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theme/themeOverride1.xml" ContentType="application/vnd.openxmlformats-officedocument.themeOverride+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551336" w14:textId="77777777" w:rsidR="00376C2C" w:rsidRDefault="00376C2C"/>
    <w:p w14:paraId="03CED6A9" w14:textId="77777777" w:rsidR="00376C2C" w:rsidRDefault="00376C2C"/>
    <w:p w14:paraId="310DD548" w14:textId="77777777" w:rsidR="00376C2C" w:rsidRDefault="00376C2C"/>
    <w:tbl>
      <w:tblPr>
        <w:tblW w:w="9889" w:type="dxa"/>
        <w:tblBorders>
          <w:bottom w:val="single" w:sz="4" w:space="0" w:color="auto"/>
        </w:tblBorders>
        <w:tblLook w:val="04A0" w:firstRow="1" w:lastRow="0" w:firstColumn="1" w:lastColumn="0" w:noHBand="0" w:noVBand="1"/>
      </w:tblPr>
      <w:tblGrid>
        <w:gridCol w:w="696"/>
        <w:gridCol w:w="4657"/>
        <w:gridCol w:w="4536"/>
      </w:tblGrid>
      <w:tr w:rsidR="00A46706" w:rsidRPr="007E0EDE" w14:paraId="478BAE59" w14:textId="77777777" w:rsidTr="00376C2C">
        <w:tc>
          <w:tcPr>
            <w:tcW w:w="696" w:type="dxa"/>
            <w:tcBorders>
              <w:top w:val="nil"/>
              <w:left w:val="nil"/>
              <w:bottom w:val="single" w:sz="4" w:space="0" w:color="auto"/>
              <w:right w:val="nil"/>
            </w:tcBorders>
            <w:hideMark/>
          </w:tcPr>
          <w:p w14:paraId="62719C99" w14:textId="6BE7F955" w:rsidR="00A46706" w:rsidRPr="007E0EDE" w:rsidRDefault="00A46706" w:rsidP="00A107B8">
            <w:pPr>
              <w:rPr>
                <w:rFonts w:eastAsia="Calibri" w:cs="Arial"/>
                <w:szCs w:val="22"/>
                <w:lang w:eastAsia="ja-JP"/>
              </w:rPr>
            </w:pPr>
          </w:p>
        </w:tc>
        <w:tc>
          <w:tcPr>
            <w:tcW w:w="4657" w:type="dxa"/>
            <w:tcBorders>
              <w:top w:val="nil"/>
              <w:left w:val="nil"/>
              <w:bottom w:val="single" w:sz="4" w:space="0" w:color="auto"/>
              <w:right w:val="nil"/>
            </w:tcBorders>
          </w:tcPr>
          <w:p w14:paraId="56D1DEB9" w14:textId="48E09CB0" w:rsidR="00A46706" w:rsidRPr="007E0EDE" w:rsidRDefault="00A46706" w:rsidP="00A107B8">
            <w:pPr>
              <w:jc w:val="left"/>
              <w:rPr>
                <w:rFonts w:eastAsia="Calibri" w:cs="Arial"/>
                <w:szCs w:val="22"/>
                <w:lang w:eastAsia="ja-JP"/>
              </w:rPr>
            </w:pPr>
          </w:p>
        </w:tc>
        <w:tc>
          <w:tcPr>
            <w:tcW w:w="4536" w:type="dxa"/>
            <w:tcBorders>
              <w:top w:val="nil"/>
              <w:left w:val="nil"/>
              <w:bottom w:val="single" w:sz="4" w:space="0" w:color="auto"/>
              <w:right w:val="nil"/>
            </w:tcBorders>
          </w:tcPr>
          <w:p w14:paraId="619FB911" w14:textId="19360814" w:rsidR="00A46706" w:rsidRPr="007E0EDE" w:rsidRDefault="00A46706" w:rsidP="00693578">
            <w:pPr>
              <w:jc w:val="left"/>
              <w:rPr>
                <w:rFonts w:eastAsia="Calibri" w:cs="Arial"/>
                <w:szCs w:val="22"/>
                <w:lang w:eastAsia="ja-JP"/>
              </w:rPr>
            </w:pPr>
          </w:p>
        </w:tc>
      </w:tr>
    </w:tbl>
    <w:p w14:paraId="54AC58C2" w14:textId="77777777" w:rsidR="00A46706" w:rsidRPr="007E0EDE" w:rsidRDefault="00A46706" w:rsidP="00A46706">
      <w:pPr>
        <w:pStyle w:val="Default"/>
        <w:spacing w:after="395"/>
        <w:rPr>
          <w:rFonts w:ascii="Arial" w:hAnsi="Arial" w:cs="Arial"/>
          <w:color w:val="auto"/>
        </w:rPr>
      </w:pPr>
    </w:p>
    <w:p w14:paraId="4F01B73C" w14:textId="77777777" w:rsidR="00342A40" w:rsidRPr="007E0EDE" w:rsidRDefault="00342A40" w:rsidP="0010797F">
      <w:pPr>
        <w:pStyle w:val="Default"/>
        <w:spacing w:after="395"/>
        <w:rPr>
          <w:rFonts w:ascii="Arial" w:hAnsi="Arial" w:cs="Arial"/>
          <w:noProof/>
          <w:color w:val="auto"/>
        </w:rPr>
      </w:pPr>
    </w:p>
    <w:p w14:paraId="0FDF4CCB" w14:textId="77777777" w:rsidR="00342A40" w:rsidRPr="007E0EDE" w:rsidRDefault="00342A40" w:rsidP="0010797F">
      <w:pPr>
        <w:pStyle w:val="Default"/>
        <w:spacing w:after="395"/>
        <w:rPr>
          <w:rFonts w:ascii="Arial" w:hAnsi="Arial" w:cs="Arial"/>
          <w:noProof/>
          <w:color w:val="auto"/>
        </w:rPr>
      </w:pPr>
    </w:p>
    <w:p w14:paraId="69578261" w14:textId="5CECE8C0" w:rsidR="00342A40" w:rsidRPr="00545EC0" w:rsidRDefault="008215C4" w:rsidP="0010797F">
      <w:pPr>
        <w:pStyle w:val="Default"/>
        <w:jc w:val="center"/>
        <w:rPr>
          <w:rFonts w:ascii="Arial" w:hAnsi="Arial" w:cs="Arial"/>
          <w:b/>
          <w:color w:val="auto"/>
          <w:sz w:val="36"/>
          <w:szCs w:val="36"/>
        </w:rPr>
      </w:pPr>
      <w:r w:rsidRPr="00545EC0">
        <w:rPr>
          <w:rFonts w:ascii="Arial" w:hAnsi="Arial" w:cs="Arial"/>
          <w:b/>
          <w:color w:val="auto"/>
          <w:sz w:val="36"/>
          <w:szCs w:val="36"/>
        </w:rPr>
        <w:t>Osnutek n</w:t>
      </w:r>
      <w:r w:rsidR="006204EC" w:rsidRPr="00545EC0">
        <w:rPr>
          <w:rFonts w:ascii="Arial" w:hAnsi="Arial" w:cs="Arial"/>
          <w:b/>
          <w:color w:val="auto"/>
          <w:sz w:val="36"/>
          <w:szCs w:val="36"/>
        </w:rPr>
        <w:t>ačrt</w:t>
      </w:r>
      <w:r w:rsidRPr="00545EC0">
        <w:rPr>
          <w:rFonts w:ascii="Arial" w:hAnsi="Arial" w:cs="Arial"/>
          <w:b/>
          <w:color w:val="auto"/>
          <w:sz w:val="36"/>
          <w:szCs w:val="36"/>
        </w:rPr>
        <w:t>a</w:t>
      </w:r>
      <w:r w:rsidR="006204EC" w:rsidRPr="00545EC0">
        <w:rPr>
          <w:rFonts w:ascii="Arial" w:hAnsi="Arial" w:cs="Arial"/>
          <w:b/>
          <w:color w:val="auto"/>
          <w:sz w:val="36"/>
          <w:szCs w:val="36"/>
        </w:rPr>
        <w:t xml:space="preserve"> upravljanja voda na vodnem območju Donave </w:t>
      </w:r>
    </w:p>
    <w:p w14:paraId="5D31C0F7" w14:textId="719A85B7" w:rsidR="00342A40" w:rsidRPr="00545EC0" w:rsidRDefault="00F05F9F" w:rsidP="0010797F">
      <w:pPr>
        <w:pStyle w:val="Default"/>
        <w:jc w:val="center"/>
        <w:rPr>
          <w:rFonts w:ascii="Arial" w:hAnsi="Arial" w:cs="Arial"/>
          <w:b/>
          <w:color w:val="auto"/>
          <w:sz w:val="36"/>
          <w:szCs w:val="36"/>
        </w:rPr>
      </w:pPr>
      <w:r w:rsidRPr="00545EC0">
        <w:rPr>
          <w:rFonts w:ascii="Arial" w:hAnsi="Arial" w:cs="Arial"/>
          <w:b/>
          <w:color w:val="auto"/>
          <w:sz w:val="36"/>
          <w:szCs w:val="36"/>
        </w:rPr>
        <w:t>za obdobje 2022</w:t>
      </w:r>
      <w:r w:rsidR="006204EC" w:rsidRPr="00545EC0">
        <w:rPr>
          <w:rFonts w:ascii="Arial" w:hAnsi="Arial" w:cs="Arial"/>
          <w:b/>
          <w:color w:val="auto"/>
          <w:sz w:val="36"/>
          <w:szCs w:val="36"/>
        </w:rPr>
        <w:t>–202</w:t>
      </w:r>
      <w:r w:rsidRPr="00545EC0">
        <w:rPr>
          <w:rFonts w:ascii="Arial" w:hAnsi="Arial" w:cs="Arial"/>
          <w:b/>
          <w:color w:val="auto"/>
          <w:sz w:val="36"/>
          <w:szCs w:val="36"/>
        </w:rPr>
        <w:t>7</w:t>
      </w:r>
    </w:p>
    <w:p w14:paraId="58C4BBFD" w14:textId="77777777" w:rsidR="00B779E1" w:rsidRPr="00545EC0" w:rsidRDefault="00B779E1" w:rsidP="0010797F">
      <w:pPr>
        <w:pStyle w:val="Default"/>
        <w:jc w:val="center"/>
        <w:rPr>
          <w:rFonts w:ascii="Arial" w:hAnsi="Arial" w:cs="Arial"/>
          <w:b/>
          <w:color w:val="auto"/>
          <w:sz w:val="36"/>
          <w:szCs w:val="36"/>
        </w:rPr>
      </w:pPr>
    </w:p>
    <w:p w14:paraId="0396FB10" w14:textId="77777777" w:rsidR="0021574F" w:rsidRPr="00545EC0" w:rsidRDefault="0021574F" w:rsidP="0021574F">
      <w:pPr>
        <w:ind w:right="-197"/>
        <w:jc w:val="center"/>
        <w:rPr>
          <w:rFonts w:cs="Arial"/>
          <w:sz w:val="32"/>
          <w:szCs w:val="20"/>
        </w:rPr>
      </w:pPr>
    </w:p>
    <w:p w14:paraId="5D50E611" w14:textId="77777777" w:rsidR="0021574F" w:rsidRPr="00545EC0" w:rsidRDefault="0021574F" w:rsidP="0021574F">
      <w:pPr>
        <w:ind w:right="-197"/>
        <w:jc w:val="center"/>
        <w:rPr>
          <w:rFonts w:cs="Arial"/>
          <w:sz w:val="32"/>
          <w:szCs w:val="20"/>
        </w:rPr>
      </w:pPr>
      <w:r w:rsidRPr="00545EC0">
        <w:rPr>
          <w:rFonts w:cs="Arial"/>
          <w:sz w:val="32"/>
          <w:szCs w:val="20"/>
        </w:rPr>
        <w:t xml:space="preserve">Gradivo za </w:t>
      </w:r>
      <w:r w:rsidRPr="00545EC0">
        <w:rPr>
          <w:sz w:val="32"/>
        </w:rPr>
        <w:t xml:space="preserve">javno </w:t>
      </w:r>
      <w:r w:rsidRPr="00545EC0">
        <w:rPr>
          <w:rFonts w:cs="Arial"/>
          <w:sz w:val="32"/>
          <w:szCs w:val="20"/>
        </w:rPr>
        <w:t xml:space="preserve">obravnavo </w:t>
      </w:r>
    </w:p>
    <w:p w14:paraId="0E6CC735" w14:textId="77777777" w:rsidR="003E3CB5" w:rsidRPr="00545EC0" w:rsidRDefault="003E3CB5" w:rsidP="0010797F">
      <w:pPr>
        <w:pStyle w:val="Default"/>
        <w:spacing w:after="395"/>
        <w:rPr>
          <w:rFonts w:ascii="Arial" w:hAnsi="Arial" w:cs="Arial"/>
          <w:noProof/>
          <w:color w:val="auto"/>
        </w:rPr>
      </w:pPr>
    </w:p>
    <w:p w14:paraId="7E22FE1D" w14:textId="77777777" w:rsidR="001B16B0" w:rsidRPr="00545EC0" w:rsidRDefault="001B16B0" w:rsidP="0010797F">
      <w:pPr>
        <w:pStyle w:val="Default"/>
        <w:spacing w:after="395"/>
        <w:rPr>
          <w:rFonts w:ascii="Arial" w:hAnsi="Arial" w:cs="Arial"/>
          <w:noProof/>
          <w:color w:val="auto"/>
        </w:rPr>
      </w:pPr>
    </w:p>
    <w:p w14:paraId="6C88E8EC" w14:textId="2B7E2FBB" w:rsidR="00525CB1" w:rsidRPr="00545EC0" w:rsidRDefault="00AA1F9D" w:rsidP="00525CB1">
      <w:pPr>
        <w:spacing w:line="360" w:lineRule="atLeast"/>
        <w:jc w:val="center"/>
        <w:rPr>
          <w:rFonts w:cs="Arial"/>
          <w:b/>
          <w:sz w:val="40"/>
          <w:szCs w:val="40"/>
        </w:rPr>
      </w:pPr>
      <w:r w:rsidRPr="00545EC0">
        <w:rPr>
          <w:rFonts w:cs="Arial"/>
          <w:szCs w:val="20"/>
        </w:rPr>
        <w:t xml:space="preserve">na podlagi prvega odstavka 55. člena in </w:t>
      </w:r>
      <w:r w:rsidR="0021574F" w:rsidRPr="00545EC0">
        <w:rPr>
          <w:rFonts w:cs="Arial"/>
          <w:szCs w:val="20"/>
        </w:rPr>
        <w:t>petega odstavka 58</w:t>
      </w:r>
      <w:r w:rsidRPr="00545EC0">
        <w:rPr>
          <w:rFonts w:cs="Arial"/>
          <w:szCs w:val="20"/>
        </w:rPr>
        <w:t xml:space="preserve">. člena </w:t>
      </w:r>
      <w:r w:rsidR="00F05F9F" w:rsidRPr="00545EC0">
        <w:rPr>
          <w:rFonts w:cs="Arial"/>
          <w:szCs w:val="20"/>
        </w:rPr>
        <w:t>Zakona o vodah (Uradni list RS, št. 67/02, 2/04 – ZZdrI-A, 41/04 – ZVO-1, 57/08, 57/12, 100/13, 40/14, 56/15 in 65/20)</w:t>
      </w:r>
    </w:p>
    <w:p w14:paraId="0B2607A5" w14:textId="77777777" w:rsidR="00342A40" w:rsidRPr="00545EC0" w:rsidRDefault="00342A40" w:rsidP="00E7394C">
      <w:pPr>
        <w:pStyle w:val="Default"/>
        <w:spacing w:after="395"/>
        <w:rPr>
          <w:rFonts w:ascii="Arial" w:hAnsi="Arial" w:cs="Arial"/>
          <w:noProof/>
          <w:color w:val="auto"/>
        </w:rPr>
      </w:pPr>
    </w:p>
    <w:p w14:paraId="4D000DC5" w14:textId="77777777" w:rsidR="00342A40" w:rsidRPr="00545EC0" w:rsidRDefault="00342A40" w:rsidP="0010797F">
      <w:pPr>
        <w:pStyle w:val="Default"/>
        <w:spacing w:after="395"/>
        <w:jc w:val="center"/>
        <w:rPr>
          <w:rFonts w:ascii="Arial" w:hAnsi="Arial" w:cs="Arial"/>
          <w:noProof/>
          <w:color w:val="auto"/>
        </w:rPr>
      </w:pPr>
    </w:p>
    <w:p w14:paraId="2712A55B" w14:textId="77777777" w:rsidR="00EA790C" w:rsidRPr="00545EC0" w:rsidRDefault="00EA790C" w:rsidP="0010797F">
      <w:pPr>
        <w:pStyle w:val="Default"/>
        <w:spacing w:after="395"/>
        <w:jc w:val="center"/>
        <w:rPr>
          <w:rFonts w:ascii="Arial" w:hAnsi="Arial" w:cs="Arial"/>
          <w:noProof/>
          <w:color w:val="auto"/>
        </w:rPr>
      </w:pPr>
    </w:p>
    <w:p w14:paraId="14A6EA35" w14:textId="77777777" w:rsidR="006801A6" w:rsidRPr="00545EC0" w:rsidRDefault="006801A6" w:rsidP="0010797F">
      <w:pPr>
        <w:pStyle w:val="Default"/>
        <w:spacing w:after="395"/>
        <w:jc w:val="center"/>
        <w:rPr>
          <w:rFonts w:ascii="Arial" w:hAnsi="Arial" w:cs="Arial"/>
          <w:noProof/>
          <w:color w:val="auto"/>
        </w:rPr>
      </w:pPr>
    </w:p>
    <w:p w14:paraId="6273BA82" w14:textId="77777777" w:rsidR="006801A6" w:rsidRPr="00545EC0" w:rsidRDefault="006801A6" w:rsidP="0010797F">
      <w:pPr>
        <w:pStyle w:val="Default"/>
        <w:spacing w:after="395"/>
        <w:jc w:val="center"/>
        <w:rPr>
          <w:rFonts w:ascii="Arial" w:hAnsi="Arial" w:cs="Arial"/>
          <w:noProof/>
          <w:color w:val="auto"/>
        </w:rPr>
      </w:pPr>
    </w:p>
    <w:p w14:paraId="3E58E045" w14:textId="77777777" w:rsidR="00342A40" w:rsidRPr="00545EC0" w:rsidRDefault="00342A40" w:rsidP="0010797F">
      <w:pPr>
        <w:rPr>
          <w:rFonts w:cs="Arial"/>
        </w:rPr>
      </w:pPr>
    </w:p>
    <w:p w14:paraId="72A0909A" w14:textId="77777777" w:rsidR="00342A40" w:rsidRPr="00545EC0" w:rsidRDefault="00342A40" w:rsidP="0010797F">
      <w:pPr>
        <w:rPr>
          <w:rFonts w:cs="Arial"/>
        </w:rPr>
      </w:pPr>
    </w:p>
    <w:p w14:paraId="14D86679" w14:textId="77777777" w:rsidR="00064921" w:rsidRDefault="00064921" w:rsidP="0010797F">
      <w:pPr>
        <w:rPr>
          <w:rFonts w:cs="Arial"/>
        </w:rPr>
      </w:pPr>
    </w:p>
    <w:p w14:paraId="6DA8DB66" w14:textId="77777777" w:rsidR="00F77050" w:rsidRDefault="00F77050" w:rsidP="0010797F">
      <w:pPr>
        <w:rPr>
          <w:rFonts w:cs="Arial"/>
        </w:rPr>
      </w:pPr>
    </w:p>
    <w:p w14:paraId="01F5D5DD" w14:textId="77777777" w:rsidR="00F77050" w:rsidRPr="00545EC0" w:rsidRDefault="00F77050" w:rsidP="0010797F">
      <w:pPr>
        <w:rPr>
          <w:rFonts w:cs="Arial"/>
        </w:rPr>
      </w:pPr>
    </w:p>
    <w:p w14:paraId="4CDFF39E" w14:textId="77777777" w:rsidR="00064921" w:rsidRPr="00545EC0" w:rsidRDefault="00064921" w:rsidP="0010797F">
      <w:pPr>
        <w:rPr>
          <w:rFonts w:cs="Arial"/>
        </w:rPr>
      </w:pPr>
    </w:p>
    <w:p w14:paraId="4691CF10" w14:textId="77777777" w:rsidR="00342A40" w:rsidRPr="00545EC0" w:rsidRDefault="00342A40" w:rsidP="0010797F">
      <w:pPr>
        <w:rPr>
          <w:rFonts w:cs="Arial"/>
        </w:rPr>
      </w:pPr>
    </w:p>
    <w:p w14:paraId="115E4B82" w14:textId="01A1C7B3" w:rsidR="00EA790C" w:rsidRPr="00545EC0" w:rsidRDefault="00836140" w:rsidP="00E90DB0">
      <w:pPr>
        <w:pStyle w:val="Default"/>
        <w:spacing w:after="395"/>
        <w:jc w:val="center"/>
        <w:rPr>
          <w:rFonts w:ascii="Arial" w:hAnsi="Arial" w:cs="Arial"/>
          <w:noProof/>
          <w:color w:val="auto"/>
          <w:sz w:val="20"/>
        </w:rPr>
        <w:sectPr w:rsidR="00EA790C" w:rsidRPr="00545EC0" w:rsidSect="00627979">
          <w:headerReference w:type="even" r:id="rId9"/>
          <w:headerReference w:type="default" r:id="rId10"/>
          <w:footerReference w:type="even" r:id="rId11"/>
          <w:footerReference w:type="default" r:id="rId12"/>
          <w:headerReference w:type="first" r:id="rId13"/>
          <w:footerReference w:type="first" r:id="rId14"/>
          <w:pgSz w:w="11907" w:h="16840" w:code="9"/>
          <w:pgMar w:top="1418" w:right="1418" w:bottom="1418" w:left="1418" w:header="709" w:footer="709" w:gutter="0"/>
          <w:cols w:space="708"/>
          <w:titlePg/>
          <w:docGrid w:linePitch="299"/>
        </w:sectPr>
      </w:pPr>
      <w:r>
        <w:rPr>
          <w:rFonts w:cs="Arial"/>
          <w:noProof/>
          <w:color w:val="auto"/>
        </w:rPr>
        <w:t>Februar 2023</w:t>
      </w:r>
    </w:p>
    <w:p w14:paraId="311C1091" w14:textId="77777777" w:rsidR="00342A40" w:rsidRPr="00545EC0" w:rsidRDefault="00342A40" w:rsidP="0010797F">
      <w:pPr>
        <w:rPr>
          <w:rFonts w:cs="Arial"/>
          <w:szCs w:val="22"/>
          <w:lang w:eastAsia="ja-JP"/>
        </w:rPr>
      </w:pPr>
    </w:p>
    <w:p w14:paraId="1CB45D06" w14:textId="77777777" w:rsidR="00782CC2" w:rsidRPr="00545EC0" w:rsidRDefault="00E7394C" w:rsidP="00E7394C">
      <w:pPr>
        <w:rPr>
          <w:b/>
          <w:sz w:val="28"/>
        </w:rPr>
      </w:pPr>
      <w:r w:rsidRPr="00545EC0">
        <w:rPr>
          <w:b/>
          <w:sz w:val="28"/>
        </w:rPr>
        <w:t>KAZALO VSEBINE:</w:t>
      </w:r>
    </w:p>
    <w:p w14:paraId="4E617A8F" w14:textId="77777777" w:rsidR="008354AC" w:rsidRPr="00545EC0" w:rsidRDefault="008354AC" w:rsidP="0010797F">
      <w:pPr>
        <w:pStyle w:val="Oddelek"/>
        <w:spacing w:before="120"/>
        <w:jc w:val="both"/>
        <w:rPr>
          <w:rFonts w:cs="Arial"/>
          <w:lang w:val="sl-SI"/>
        </w:rPr>
      </w:pPr>
    </w:p>
    <w:p w14:paraId="34901B52" w14:textId="77777777" w:rsidR="002F3E43" w:rsidRDefault="002D083E">
      <w:pPr>
        <w:pStyle w:val="Kazalovsebine1"/>
        <w:rPr>
          <w:rFonts w:asciiTheme="minorHAnsi" w:eastAsiaTheme="minorEastAsia" w:hAnsiTheme="minorHAnsi" w:cstheme="minorBidi"/>
          <w:bCs w:val="0"/>
          <w:caps w:val="0"/>
          <w:noProof/>
          <w:sz w:val="22"/>
          <w:szCs w:val="22"/>
          <w:lang w:eastAsia="sl-SI"/>
        </w:rPr>
      </w:pPr>
      <w:r w:rsidRPr="00545EC0">
        <w:rPr>
          <w:rFonts w:cs="Arial"/>
          <w:bCs w:val="0"/>
          <w:caps w:val="0"/>
        </w:rPr>
        <w:fldChar w:fldCharType="begin"/>
      </w:r>
      <w:r w:rsidRPr="00545EC0">
        <w:rPr>
          <w:rFonts w:cs="Arial"/>
        </w:rPr>
        <w:instrText xml:space="preserve"> TOC \o "1-3" \h \z \u </w:instrText>
      </w:r>
      <w:r w:rsidRPr="00545EC0">
        <w:rPr>
          <w:rFonts w:cs="Arial"/>
          <w:bCs w:val="0"/>
          <w:caps w:val="0"/>
        </w:rPr>
        <w:fldChar w:fldCharType="separate"/>
      </w:r>
      <w:hyperlink w:anchor="_Toc90261005" w:history="1">
        <w:r w:rsidR="002F3E43" w:rsidRPr="006622C3">
          <w:rPr>
            <w:rStyle w:val="Hiperpovezava"/>
            <w:noProof/>
          </w:rPr>
          <w:t>1</w:t>
        </w:r>
        <w:r w:rsidR="002F3E43">
          <w:rPr>
            <w:rFonts w:asciiTheme="minorHAnsi" w:eastAsiaTheme="minorEastAsia" w:hAnsiTheme="minorHAnsi" w:cstheme="minorBidi"/>
            <w:bCs w:val="0"/>
            <w:caps w:val="0"/>
            <w:noProof/>
            <w:sz w:val="22"/>
            <w:szCs w:val="22"/>
            <w:lang w:eastAsia="sl-SI"/>
          </w:rPr>
          <w:tab/>
        </w:r>
        <w:r w:rsidR="002F3E43" w:rsidRPr="006622C3">
          <w:rPr>
            <w:rStyle w:val="Hiperpovezava"/>
            <w:noProof/>
          </w:rPr>
          <w:t>OPIS ADMINISTRATIVNE UREDITVE</w:t>
        </w:r>
        <w:r w:rsidR="002F3E43">
          <w:rPr>
            <w:noProof/>
            <w:webHidden/>
          </w:rPr>
          <w:tab/>
        </w:r>
        <w:r w:rsidR="002F3E43">
          <w:rPr>
            <w:noProof/>
            <w:webHidden/>
          </w:rPr>
          <w:fldChar w:fldCharType="begin"/>
        </w:r>
        <w:r w:rsidR="002F3E43">
          <w:rPr>
            <w:noProof/>
            <w:webHidden/>
          </w:rPr>
          <w:instrText xml:space="preserve"> PAGEREF _Toc90261005 \h </w:instrText>
        </w:r>
        <w:r w:rsidR="002F3E43">
          <w:rPr>
            <w:noProof/>
            <w:webHidden/>
          </w:rPr>
        </w:r>
        <w:r w:rsidR="002F3E43">
          <w:rPr>
            <w:noProof/>
            <w:webHidden/>
          </w:rPr>
          <w:fldChar w:fldCharType="separate"/>
        </w:r>
        <w:r w:rsidR="002F3E43">
          <w:rPr>
            <w:noProof/>
            <w:webHidden/>
          </w:rPr>
          <w:t>7</w:t>
        </w:r>
        <w:r w:rsidR="002F3E43">
          <w:rPr>
            <w:noProof/>
            <w:webHidden/>
          </w:rPr>
          <w:fldChar w:fldCharType="end"/>
        </w:r>
      </w:hyperlink>
    </w:p>
    <w:p w14:paraId="1774DDCD" w14:textId="77777777" w:rsidR="002F3E43" w:rsidRDefault="00D17419">
      <w:pPr>
        <w:pStyle w:val="Kazalovsebine2"/>
        <w:rPr>
          <w:rFonts w:asciiTheme="minorHAnsi" w:eastAsiaTheme="minorEastAsia" w:hAnsiTheme="minorHAnsi" w:cstheme="minorBidi"/>
          <w:noProof/>
          <w:sz w:val="22"/>
          <w:lang w:eastAsia="sl-SI"/>
        </w:rPr>
      </w:pPr>
      <w:hyperlink w:anchor="_Toc90261006" w:history="1">
        <w:r w:rsidR="002F3E43" w:rsidRPr="006622C3">
          <w:rPr>
            <w:rStyle w:val="Hiperpovezava"/>
            <w:noProof/>
          </w:rPr>
          <w:t>1.1</w:t>
        </w:r>
        <w:r w:rsidR="002F3E43">
          <w:rPr>
            <w:rFonts w:asciiTheme="minorHAnsi" w:eastAsiaTheme="minorEastAsia" w:hAnsiTheme="minorHAnsi" w:cstheme="minorBidi"/>
            <w:noProof/>
            <w:sz w:val="22"/>
            <w:lang w:eastAsia="sl-SI"/>
          </w:rPr>
          <w:tab/>
        </w:r>
        <w:r w:rsidR="002F3E43" w:rsidRPr="006622C3">
          <w:rPr>
            <w:rStyle w:val="Hiperpovezava"/>
            <w:noProof/>
          </w:rPr>
          <w:t>Podatki o pripravljavcu Načrta upravljanja voda na vodnem območju Donave za obdobje 2022–2027</w:t>
        </w:r>
        <w:r w:rsidR="002F3E43">
          <w:rPr>
            <w:noProof/>
            <w:webHidden/>
          </w:rPr>
          <w:tab/>
        </w:r>
        <w:r w:rsidR="002F3E43">
          <w:rPr>
            <w:noProof/>
            <w:webHidden/>
          </w:rPr>
          <w:fldChar w:fldCharType="begin"/>
        </w:r>
        <w:r w:rsidR="002F3E43">
          <w:rPr>
            <w:noProof/>
            <w:webHidden/>
          </w:rPr>
          <w:instrText xml:space="preserve"> PAGEREF _Toc90261006 \h </w:instrText>
        </w:r>
        <w:r w:rsidR="002F3E43">
          <w:rPr>
            <w:noProof/>
            <w:webHidden/>
          </w:rPr>
        </w:r>
        <w:r w:rsidR="002F3E43">
          <w:rPr>
            <w:noProof/>
            <w:webHidden/>
          </w:rPr>
          <w:fldChar w:fldCharType="separate"/>
        </w:r>
        <w:r w:rsidR="002F3E43">
          <w:rPr>
            <w:noProof/>
            <w:webHidden/>
          </w:rPr>
          <w:t>7</w:t>
        </w:r>
        <w:r w:rsidR="002F3E43">
          <w:rPr>
            <w:noProof/>
            <w:webHidden/>
          </w:rPr>
          <w:fldChar w:fldCharType="end"/>
        </w:r>
      </w:hyperlink>
    </w:p>
    <w:p w14:paraId="796DC01C"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07" w:history="1">
        <w:r w:rsidR="002F3E43" w:rsidRPr="006622C3">
          <w:rPr>
            <w:rStyle w:val="Hiperpovezava"/>
            <w:noProof/>
          </w:rPr>
          <w:t>1.1.1</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Podatki o pripravljavcu načrta upravljanja voda</w:t>
        </w:r>
        <w:r w:rsidR="002F3E43">
          <w:rPr>
            <w:noProof/>
            <w:webHidden/>
          </w:rPr>
          <w:tab/>
        </w:r>
        <w:r w:rsidR="002F3E43">
          <w:rPr>
            <w:noProof/>
            <w:webHidden/>
          </w:rPr>
          <w:fldChar w:fldCharType="begin"/>
        </w:r>
        <w:r w:rsidR="002F3E43">
          <w:rPr>
            <w:noProof/>
            <w:webHidden/>
          </w:rPr>
          <w:instrText xml:space="preserve"> PAGEREF _Toc90261007 \h </w:instrText>
        </w:r>
        <w:r w:rsidR="002F3E43">
          <w:rPr>
            <w:noProof/>
            <w:webHidden/>
          </w:rPr>
        </w:r>
        <w:r w:rsidR="002F3E43">
          <w:rPr>
            <w:noProof/>
            <w:webHidden/>
          </w:rPr>
          <w:fldChar w:fldCharType="separate"/>
        </w:r>
        <w:r w:rsidR="002F3E43">
          <w:rPr>
            <w:noProof/>
            <w:webHidden/>
          </w:rPr>
          <w:t>7</w:t>
        </w:r>
        <w:r w:rsidR="002F3E43">
          <w:rPr>
            <w:noProof/>
            <w:webHidden/>
          </w:rPr>
          <w:fldChar w:fldCharType="end"/>
        </w:r>
      </w:hyperlink>
    </w:p>
    <w:p w14:paraId="026FECAF"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08" w:history="1">
        <w:r w:rsidR="002F3E43" w:rsidRPr="006622C3">
          <w:rPr>
            <w:rStyle w:val="Hiperpovezava"/>
            <w:noProof/>
          </w:rPr>
          <w:t>1.1.2</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Seznam predpisov in mednarodnih oziroma meddržavnih pogodb s področja upravljanja voda</w:t>
        </w:r>
        <w:r w:rsidR="002F3E43">
          <w:rPr>
            <w:noProof/>
            <w:webHidden/>
          </w:rPr>
          <w:tab/>
        </w:r>
        <w:r w:rsidR="002F3E43">
          <w:rPr>
            <w:noProof/>
            <w:webHidden/>
          </w:rPr>
          <w:fldChar w:fldCharType="begin"/>
        </w:r>
        <w:r w:rsidR="002F3E43">
          <w:rPr>
            <w:noProof/>
            <w:webHidden/>
          </w:rPr>
          <w:instrText xml:space="preserve"> PAGEREF _Toc90261008 \h </w:instrText>
        </w:r>
        <w:r w:rsidR="002F3E43">
          <w:rPr>
            <w:noProof/>
            <w:webHidden/>
          </w:rPr>
        </w:r>
        <w:r w:rsidR="002F3E43">
          <w:rPr>
            <w:noProof/>
            <w:webHidden/>
          </w:rPr>
          <w:fldChar w:fldCharType="separate"/>
        </w:r>
        <w:r w:rsidR="002F3E43">
          <w:rPr>
            <w:noProof/>
            <w:webHidden/>
          </w:rPr>
          <w:t>8</w:t>
        </w:r>
        <w:r w:rsidR="002F3E43">
          <w:rPr>
            <w:noProof/>
            <w:webHidden/>
          </w:rPr>
          <w:fldChar w:fldCharType="end"/>
        </w:r>
      </w:hyperlink>
    </w:p>
    <w:p w14:paraId="1AD7A874" w14:textId="77777777" w:rsidR="002F3E43" w:rsidRDefault="00D17419">
      <w:pPr>
        <w:pStyle w:val="Kazalovsebine2"/>
        <w:rPr>
          <w:rFonts w:asciiTheme="minorHAnsi" w:eastAsiaTheme="minorEastAsia" w:hAnsiTheme="minorHAnsi" w:cstheme="minorBidi"/>
          <w:noProof/>
          <w:sz w:val="22"/>
          <w:lang w:eastAsia="sl-SI"/>
        </w:rPr>
      </w:pPr>
      <w:hyperlink w:anchor="_Toc90261009" w:history="1">
        <w:r w:rsidR="002F3E43" w:rsidRPr="006622C3">
          <w:rPr>
            <w:rStyle w:val="Hiperpovezava"/>
            <w:noProof/>
          </w:rPr>
          <w:t>1.2</w:t>
        </w:r>
        <w:r w:rsidR="002F3E43">
          <w:rPr>
            <w:rFonts w:asciiTheme="minorHAnsi" w:eastAsiaTheme="minorEastAsia" w:hAnsiTheme="minorHAnsi" w:cstheme="minorBidi"/>
            <w:noProof/>
            <w:sz w:val="22"/>
            <w:lang w:eastAsia="sl-SI"/>
          </w:rPr>
          <w:tab/>
        </w:r>
        <w:r w:rsidR="002F3E43" w:rsidRPr="006622C3">
          <w:rPr>
            <w:rStyle w:val="Hiperpovezava"/>
            <w:noProof/>
          </w:rPr>
          <w:t>Podatki o zemljepisni opredelitvi vodnega območja</w:t>
        </w:r>
        <w:r w:rsidR="002F3E43">
          <w:rPr>
            <w:noProof/>
            <w:webHidden/>
          </w:rPr>
          <w:tab/>
        </w:r>
        <w:r w:rsidR="002F3E43">
          <w:rPr>
            <w:noProof/>
            <w:webHidden/>
          </w:rPr>
          <w:fldChar w:fldCharType="begin"/>
        </w:r>
        <w:r w:rsidR="002F3E43">
          <w:rPr>
            <w:noProof/>
            <w:webHidden/>
          </w:rPr>
          <w:instrText xml:space="preserve"> PAGEREF _Toc90261009 \h </w:instrText>
        </w:r>
        <w:r w:rsidR="002F3E43">
          <w:rPr>
            <w:noProof/>
            <w:webHidden/>
          </w:rPr>
        </w:r>
        <w:r w:rsidR="002F3E43">
          <w:rPr>
            <w:noProof/>
            <w:webHidden/>
          </w:rPr>
          <w:fldChar w:fldCharType="separate"/>
        </w:r>
        <w:r w:rsidR="002F3E43">
          <w:rPr>
            <w:noProof/>
            <w:webHidden/>
          </w:rPr>
          <w:t>12</w:t>
        </w:r>
        <w:r w:rsidR="002F3E43">
          <w:rPr>
            <w:noProof/>
            <w:webHidden/>
          </w:rPr>
          <w:fldChar w:fldCharType="end"/>
        </w:r>
      </w:hyperlink>
    </w:p>
    <w:p w14:paraId="5E662A6E"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10" w:history="1">
        <w:r w:rsidR="002F3E43" w:rsidRPr="006622C3">
          <w:rPr>
            <w:rStyle w:val="Hiperpovezava"/>
            <w:noProof/>
          </w:rPr>
          <w:t>1.2.1</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Meja vodnega območja v skladu s predpisi, ki urejajo določitev meja povodij in porečij ter meja vodnih območij z vodami prvega reda, ki jima pripadajo</w:t>
        </w:r>
        <w:r w:rsidR="002F3E43">
          <w:rPr>
            <w:noProof/>
            <w:webHidden/>
          </w:rPr>
          <w:tab/>
        </w:r>
        <w:r w:rsidR="002F3E43">
          <w:rPr>
            <w:noProof/>
            <w:webHidden/>
          </w:rPr>
          <w:fldChar w:fldCharType="begin"/>
        </w:r>
        <w:r w:rsidR="002F3E43">
          <w:rPr>
            <w:noProof/>
            <w:webHidden/>
          </w:rPr>
          <w:instrText xml:space="preserve"> PAGEREF _Toc90261010 \h </w:instrText>
        </w:r>
        <w:r w:rsidR="002F3E43">
          <w:rPr>
            <w:noProof/>
            <w:webHidden/>
          </w:rPr>
        </w:r>
        <w:r w:rsidR="002F3E43">
          <w:rPr>
            <w:noProof/>
            <w:webHidden/>
          </w:rPr>
          <w:fldChar w:fldCharType="separate"/>
        </w:r>
        <w:r w:rsidR="002F3E43">
          <w:rPr>
            <w:noProof/>
            <w:webHidden/>
          </w:rPr>
          <w:t>12</w:t>
        </w:r>
        <w:r w:rsidR="002F3E43">
          <w:rPr>
            <w:noProof/>
            <w:webHidden/>
          </w:rPr>
          <w:fldChar w:fldCharType="end"/>
        </w:r>
      </w:hyperlink>
    </w:p>
    <w:p w14:paraId="1076A8F6"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11" w:history="1">
        <w:r w:rsidR="002F3E43" w:rsidRPr="006622C3">
          <w:rPr>
            <w:rStyle w:val="Hiperpovezava"/>
            <w:noProof/>
          </w:rPr>
          <w:t>1.2.2</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Glavne reke in jezera na vodnem območju</w:t>
        </w:r>
        <w:r w:rsidR="002F3E43">
          <w:rPr>
            <w:noProof/>
            <w:webHidden/>
          </w:rPr>
          <w:tab/>
        </w:r>
        <w:r w:rsidR="002F3E43">
          <w:rPr>
            <w:noProof/>
            <w:webHidden/>
          </w:rPr>
          <w:fldChar w:fldCharType="begin"/>
        </w:r>
        <w:r w:rsidR="002F3E43">
          <w:rPr>
            <w:noProof/>
            <w:webHidden/>
          </w:rPr>
          <w:instrText xml:space="preserve"> PAGEREF _Toc90261011 \h </w:instrText>
        </w:r>
        <w:r w:rsidR="002F3E43">
          <w:rPr>
            <w:noProof/>
            <w:webHidden/>
          </w:rPr>
        </w:r>
        <w:r w:rsidR="002F3E43">
          <w:rPr>
            <w:noProof/>
            <w:webHidden/>
          </w:rPr>
          <w:fldChar w:fldCharType="separate"/>
        </w:r>
        <w:r w:rsidR="002F3E43">
          <w:rPr>
            <w:noProof/>
            <w:webHidden/>
          </w:rPr>
          <w:t>12</w:t>
        </w:r>
        <w:r w:rsidR="002F3E43">
          <w:rPr>
            <w:noProof/>
            <w:webHidden/>
          </w:rPr>
          <w:fldChar w:fldCharType="end"/>
        </w:r>
      </w:hyperlink>
    </w:p>
    <w:p w14:paraId="333CA788"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12" w:history="1">
        <w:r w:rsidR="002F3E43" w:rsidRPr="006622C3">
          <w:rPr>
            <w:rStyle w:val="Hiperpovezava"/>
            <w:noProof/>
          </w:rPr>
          <w:t>1.2.3</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Podzemne vode, ki pripadajo vodnemu območju</w:t>
        </w:r>
        <w:r w:rsidR="002F3E43">
          <w:rPr>
            <w:noProof/>
            <w:webHidden/>
          </w:rPr>
          <w:tab/>
        </w:r>
        <w:r w:rsidR="002F3E43">
          <w:rPr>
            <w:noProof/>
            <w:webHidden/>
          </w:rPr>
          <w:fldChar w:fldCharType="begin"/>
        </w:r>
        <w:r w:rsidR="002F3E43">
          <w:rPr>
            <w:noProof/>
            <w:webHidden/>
          </w:rPr>
          <w:instrText xml:space="preserve"> PAGEREF _Toc90261012 \h </w:instrText>
        </w:r>
        <w:r w:rsidR="002F3E43">
          <w:rPr>
            <w:noProof/>
            <w:webHidden/>
          </w:rPr>
        </w:r>
        <w:r w:rsidR="002F3E43">
          <w:rPr>
            <w:noProof/>
            <w:webHidden/>
          </w:rPr>
          <w:fldChar w:fldCharType="separate"/>
        </w:r>
        <w:r w:rsidR="002F3E43">
          <w:rPr>
            <w:noProof/>
            <w:webHidden/>
          </w:rPr>
          <w:t>14</w:t>
        </w:r>
        <w:r w:rsidR="002F3E43">
          <w:rPr>
            <w:noProof/>
            <w:webHidden/>
          </w:rPr>
          <w:fldChar w:fldCharType="end"/>
        </w:r>
      </w:hyperlink>
    </w:p>
    <w:p w14:paraId="38F3CECB" w14:textId="77777777" w:rsidR="002F3E43" w:rsidRDefault="00D17419">
      <w:pPr>
        <w:pStyle w:val="Kazalovsebine2"/>
        <w:rPr>
          <w:rFonts w:asciiTheme="minorHAnsi" w:eastAsiaTheme="minorEastAsia" w:hAnsiTheme="minorHAnsi" w:cstheme="minorBidi"/>
          <w:noProof/>
          <w:sz w:val="22"/>
          <w:lang w:eastAsia="sl-SI"/>
        </w:rPr>
      </w:pPr>
      <w:hyperlink w:anchor="_Toc90261013" w:history="1">
        <w:r w:rsidR="002F3E43" w:rsidRPr="006622C3">
          <w:rPr>
            <w:rStyle w:val="Hiperpovezava"/>
            <w:noProof/>
          </w:rPr>
          <w:t>1.3</w:t>
        </w:r>
        <w:r w:rsidR="002F3E43">
          <w:rPr>
            <w:rFonts w:asciiTheme="minorHAnsi" w:eastAsiaTheme="minorEastAsia" w:hAnsiTheme="minorHAnsi" w:cstheme="minorBidi"/>
            <w:noProof/>
            <w:sz w:val="22"/>
            <w:lang w:eastAsia="sl-SI"/>
          </w:rPr>
          <w:tab/>
        </w:r>
        <w:r w:rsidR="002F3E43" w:rsidRPr="006622C3">
          <w:rPr>
            <w:rStyle w:val="Hiperpovezava"/>
            <w:noProof/>
          </w:rPr>
          <w:t>Podatki o obdobju, za katerega se sprejema načrt upravljanja voda</w:t>
        </w:r>
        <w:r w:rsidR="002F3E43">
          <w:rPr>
            <w:noProof/>
            <w:webHidden/>
          </w:rPr>
          <w:tab/>
        </w:r>
        <w:r w:rsidR="002F3E43">
          <w:rPr>
            <w:noProof/>
            <w:webHidden/>
          </w:rPr>
          <w:fldChar w:fldCharType="begin"/>
        </w:r>
        <w:r w:rsidR="002F3E43">
          <w:rPr>
            <w:noProof/>
            <w:webHidden/>
          </w:rPr>
          <w:instrText xml:space="preserve"> PAGEREF _Toc90261013 \h </w:instrText>
        </w:r>
        <w:r w:rsidR="002F3E43">
          <w:rPr>
            <w:noProof/>
            <w:webHidden/>
          </w:rPr>
        </w:r>
        <w:r w:rsidR="002F3E43">
          <w:rPr>
            <w:noProof/>
            <w:webHidden/>
          </w:rPr>
          <w:fldChar w:fldCharType="separate"/>
        </w:r>
        <w:r w:rsidR="002F3E43">
          <w:rPr>
            <w:noProof/>
            <w:webHidden/>
          </w:rPr>
          <w:t>14</w:t>
        </w:r>
        <w:r w:rsidR="002F3E43">
          <w:rPr>
            <w:noProof/>
            <w:webHidden/>
          </w:rPr>
          <w:fldChar w:fldCharType="end"/>
        </w:r>
      </w:hyperlink>
    </w:p>
    <w:p w14:paraId="7C511909" w14:textId="77777777" w:rsidR="002F3E43" w:rsidRDefault="00D17419">
      <w:pPr>
        <w:pStyle w:val="Kazalovsebine1"/>
        <w:rPr>
          <w:rFonts w:asciiTheme="minorHAnsi" w:eastAsiaTheme="minorEastAsia" w:hAnsiTheme="minorHAnsi" w:cstheme="minorBidi"/>
          <w:bCs w:val="0"/>
          <w:caps w:val="0"/>
          <w:noProof/>
          <w:sz w:val="22"/>
          <w:szCs w:val="22"/>
          <w:lang w:eastAsia="sl-SI"/>
        </w:rPr>
      </w:pPr>
      <w:hyperlink w:anchor="_Toc90261014" w:history="1">
        <w:r w:rsidR="002F3E43" w:rsidRPr="006622C3">
          <w:rPr>
            <w:rStyle w:val="Hiperpovezava"/>
            <w:noProof/>
          </w:rPr>
          <w:t>2</w:t>
        </w:r>
        <w:r w:rsidR="002F3E43">
          <w:rPr>
            <w:rFonts w:asciiTheme="minorHAnsi" w:eastAsiaTheme="minorEastAsia" w:hAnsiTheme="minorHAnsi" w:cstheme="minorBidi"/>
            <w:bCs w:val="0"/>
            <w:caps w:val="0"/>
            <w:noProof/>
            <w:sz w:val="22"/>
            <w:szCs w:val="22"/>
            <w:lang w:eastAsia="sl-SI"/>
          </w:rPr>
          <w:tab/>
        </w:r>
        <w:r w:rsidR="002F3E43" w:rsidRPr="006622C3">
          <w:rPr>
            <w:rStyle w:val="Hiperpovezava"/>
            <w:noProof/>
          </w:rPr>
          <w:t>OPIS IZHODIŠČNEGA STANJA NA OBMOČJU NAČRTA UPRAVLJANJA VODA</w:t>
        </w:r>
        <w:r w:rsidR="002F3E43">
          <w:rPr>
            <w:noProof/>
            <w:webHidden/>
          </w:rPr>
          <w:tab/>
        </w:r>
        <w:r w:rsidR="002F3E43">
          <w:rPr>
            <w:noProof/>
            <w:webHidden/>
          </w:rPr>
          <w:fldChar w:fldCharType="begin"/>
        </w:r>
        <w:r w:rsidR="002F3E43">
          <w:rPr>
            <w:noProof/>
            <w:webHidden/>
          </w:rPr>
          <w:instrText xml:space="preserve"> PAGEREF _Toc90261014 \h </w:instrText>
        </w:r>
        <w:r w:rsidR="002F3E43">
          <w:rPr>
            <w:noProof/>
            <w:webHidden/>
          </w:rPr>
        </w:r>
        <w:r w:rsidR="002F3E43">
          <w:rPr>
            <w:noProof/>
            <w:webHidden/>
          </w:rPr>
          <w:fldChar w:fldCharType="separate"/>
        </w:r>
        <w:r w:rsidR="002F3E43">
          <w:rPr>
            <w:noProof/>
            <w:webHidden/>
          </w:rPr>
          <w:t>15</w:t>
        </w:r>
        <w:r w:rsidR="002F3E43">
          <w:rPr>
            <w:noProof/>
            <w:webHidden/>
          </w:rPr>
          <w:fldChar w:fldCharType="end"/>
        </w:r>
      </w:hyperlink>
    </w:p>
    <w:p w14:paraId="4E3A5F90" w14:textId="77777777" w:rsidR="002F3E43" w:rsidRDefault="00D17419">
      <w:pPr>
        <w:pStyle w:val="Kazalovsebine2"/>
        <w:rPr>
          <w:rFonts w:asciiTheme="minorHAnsi" w:eastAsiaTheme="minorEastAsia" w:hAnsiTheme="minorHAnsi" w:cstheme="minorBidi"/>
          <w:noProof/>
          <w:sz w:val="22"/>
          <w:lang w:eastAsia="sl-SI"/>
        </w:rPr>
      </w:pPr>
      <w:hyperlink w:anchor="_Toc90261015" w:history="1">
        <w:r w:rsidR="002F3E43" w:rsidRPr="006622C3">
          <w:rPr>
            <w:rStyle w:val="Hiperpovezava"/>
            <w:noProof/>
          </w:rPr>
          <w:t>2.1</w:t>
        </w:r>
        <w:r w:rsidR="002F3E43">
          <w:rPr>
            <w:rFonts w:asciiTheme="minorHAnsi" w:eastAsiaTheme="minorEastAsia" w:hAnsiTheme="minorHAnsi" w:cstheme="minorBidi"/>
            <w:noProof/>
            <w:sz w:val="22"/>
            <w:lang w:eastAsia="sl-SI"/>
          </w:rPr>
          <w:tab/>
        </w:r>
        <w:r w:rsidR="002F3E43" w:rsidRPr="006622C3">
          <w:rPr>
            <w:rStyle w:val="Hiperpovezava"/>
            <w:noProof/>
          </w:rPr>
          <w:t>Opis značilnosti vodnega območja</w:t>
        </w:r>
        <w:r w:rsidR="002F3E43">
          <w:rPr>
            <w:noProof/>
            <w:webHidden/>
          </w:rPr>
          <w:tab/>
        </w:r>
        <w:r w:rsidR="002F3E43">
          <w:rPr>
            <w:noProof/>
            <w:webHidden/>
          </w:rPr>
          <w:fldChar w:fldCharType="begin"/>
        </w:r>
        <w:r w:rsidR="002F3E43">
          <w:rPr>
            <w:noProof/>
            <w:webHidden/>
          </w:rPr>
          <w:instrText xml:space="preserve"> PAGEREF _Toc90261015 \h </w:instrText>
        </w:r>
        <w:r w:rsidR="002F3E43">
          <w:rPr>
            <w:noProof/>
            <w:webHidden/>
          </w:rPr>
        </w:r>
        <w:r w:rsidR="002F3E43">
          <w:rPr>
            <w:noProof/>
            <w:webHidden/>
          </w:rPr>
          <w:fldChar w:fldCharType="separate"/>
        </w:r>
        <w:r w:rsidR="002F3E43">
          <w:rPr>
            <w:noProof/>
            <w:webHidden/>
          </w:rPr>
          <w:t>15</w:t>
        </w:r>
        <w:r w:rsidR="002F3E43">
          <w:rPr>
            <w:noProof/>
            <w:webHidden/>
          </w:rPr>
          <w:fldChar w:fldCharType="end"/>
        </w:r>
      </w:hyperlink>
    </w:p>
    <w:p w14:paraId="3070E35E"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16" w:history="1">
        <w:r w:rsidR="002F3E43" w:rsidRPr="006622C3">
          <w:rPr>
            <w:rStyle w:val="Hiperpovezava"/>
            <w:noProof/>
          </w:rPr>
          <w:t>2.1.1</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Opis značilnosti za površinske vode</w:t>
        </w:r>
        <w:r w:rsidR="002F3E43">
          <w:rPr>
            <w:noProof/>
            <w:webHidden/>
          </w:rPr>
          <w:tab/>
        </w:r>
        <w:r w:rsidR="002F3E43">
          <w:rPr>
            <w:noProof/>
            <w:webHidden/>
          </w:rPr>
          <w:fldChar w:fldCharType="begin"/>
        </w:r>
        <w:r w:rsidR="002F3E43">
          <w:rPr>
            <w:noProof/>
            <w:webHidden/>
          </w:rPr>
          <w:instrText xml:space="preserve"> PAGEREF _Toc90261016 \h </w:instrText>
        </w:r>
        <w:r w:rsidR="002F3E43">
          <w:rPr>
            <w:noProof/>
            <w:webHidden/>
          </w:rPr>
        </w:r>
        <w:r w:rsidR="002F3E43">
          <w:rPr>
            <w:noProof/>
            <w:webHidden/>
          </w:rPr>
          <w:fldChar w:fldCharType="separate"/>
        </w:r>
        <w:r w:rsidR="002F3E43">
          <w:rPr>
            <w:noProof/>
            <w:webHidden/>
          </w:rPr>
          <w:t>15</w:t>
        </w:r>
        <w:r w:rsidR="002F3E43">
          <w:rPr>
            <w:noProof/>
            <w:webHidden/>
          </w:rPr>
          <w:fldChar w:fldCharType="end"/>
        </w:r>
      </w:hyperlink>
    </w:p>
    <w:p w14:paraId="75CF4EA2"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17" w:history="1">
        <w:r w:rsidR="002F3E43" w:rsidRPr="006622C3">
          <w:rPr>
            <w:rStyle w:val="Hiperpovezava"/>
            <w:noProof/>
          </w:rPr>
          <w:t>2.1.2</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Opis značilnosti za podzemne vode</w:t>
        </w:r>
        <w:r w:rsidR="002F3E43">
          <w:rPr>
            <w:noProof/>
            <w:webHidden/>
          </w:rPr>
          <w:tab/>
        </w:r>
        <w:r w:rsidR="002F3E43">
          <w:rPr>
            <w:noProof/>
            <w:webHidden/>
          </w:rPr>
          <w:fldChar w:fldCharType="begin"/>
        </w:r>
        <w:r w:rsidR="002F3E43">
          <w:rPr>
            <w:noProof/>
            <w:webHidden/>
          </w:rPr>
          <w:instrText xml:space="preserve"> PAGEREF _Toc90261017 \h </w:instrText>
        </w:r>
        <w:r w:rsidR="002F3E43">
          <w:rPr>
            <w:noProof/>
            <w:webHidden/>
          </w:rPr>
        </w:r>
        <w:r w:rsidR="002F3E43">
          <w:rPr>
            <w:noProof/>
            <w:webHidden/>
          </w:rPr>
          <w:fldChar w:fldCharType="separate"/>
        </w:r>
        <w:r w:rsidR="002F3E43">
          <w:rPr>
            <w:noProof/>
            <w:webHidden/>
          </w:rPr>
          <w:t>24</w:t>
        </w:r>
        <w:r w:rsidR="002F3E43">
          <w:rPr>
            <w:noProof/>
            <w:webHidden/>
          </w:rPr>
          <w:fldChar w:fldCharType="end"/>
        </w:r>
      </w:hyperlink>
    </w:p>
    <w:p w14:paraId="2D08939D" w14:textId="77777777" w:rsidR="002F3E43" w:rsidRDefault="00D17419">
      <w:pPr>
        <w:pStyle w:val="Kazalovsebine2"/>
        <w:rPr>
          <w:rFonts w:asciiTheme="minorHAnsi" w:eastAsiaTheme="minorEastAsia" w:hAnsiTheme="minorHAnsi" w:cstheme="minorBidi"/>
          <w:noProof/>
          <w:sz w:val="22"/>
          <w:lang w:eastAsia="sl-SI"/>
        </w:rPr>
      </w:pPr>
      <w:hyperlink w:anchor="_Toc90261018" w:history="1">
        <w:r w:rsidR="002F3E43" w:rsidRPr="006622C3">
          <w:rPr>
            <w:rStyle w:val="Hiperpovezava"/>
            <w:noProof/>
          </w:rPr>
          <w:t>2.2</w:t>
        </w:r>
        <w:r w:rsidR="002F3E43">
          <w:rPr>
            <w:rFonts w:asciiTheme="minorHAnsi" w:eastAsiaTheme="minorEastAsia" w:hAnsiTheme="minorHAnsi" w:cstheme="minorBidi"/>
            <w:noProof/>
            <w:sz w:val="22"/>
            <w:lang w:eastAsia="sl-SI"/>
          </w:rPr>
          <w:tab/>
        </w:r>
        <w:r w:rsidR="002F3E43" w:rsidRPr="006622C3">
          <w:rPr>
            <w:rStyle w:val="Hiperpovezava"/>
            <w:noProof/>
          </w:rPr>
          <w:t>Prikaz vplivov človekovega delovanja na stanje površinskih in podzemnih voda</w:t>
        </w:r>
        <w:r w:rsidR="002F3E43">
          <w:rPr>
            <w:noProof/>
            <w:webHidden/>
          </w:rPr>
          <w:tab/>
        </w:r>
        <w:r w:rsidR="002F3E43">
          <w:rPr>
            <w:noProof/>
            <w:webHidden/>
          </w:rPr>
          <w:fldChar w:fldCharType="begin"/>
        </w:r>
        <w:r w:rsidR="002F3E43">
          <w:rPr>
            <w:noProof/>
            <w:webHidden/>
          </w:rPr>
          <w:instrText xml:space="preserve"> PAGEREF _Toc90261018 \h </w:instrText>
        </w:r>
        <w:r w:rsidR="002F3E43">
          <w:rPr>
            <w:noProof/>
            <w:webHidden/>
          </w:rPr>
        </w:r>
        <w:r w:rsidR="002F3E43">
          <w:rPr>
            <w:noProof/>
            <w:webHidden/>
          </w:rPr>
          <w:fldChar w:fldCharType="separate"/>
        </w:r>
        <w:r w:rsidR="002F3E43">
          <w:rPr>
            <w:noProof/>
            <w:webHidden/>
          </w:rPr>
          <w:t>27</w:t>
        </w:r>
        <w:r w:rsidR="002F3E43">
          <w:rPr>
            <w:noProof/>
            <w:webHidden/>
          </w:rPr>
          <w:fldChar w:fldCharType="end"/>
        </w:r>
      </w:hyperlink>
    </w:p>
    <w:p w14:paraId="3D13C421"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19" w:history="1">
        <w:r w:rsidR="002F3E43" w:rsidRPr="006622C3">
          <w:rPr>
            <w:rStyle w:val="Hiperpovezava"/>
            <w:noProof/>
          </w:rPr>
          <w:t>2.2.1</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Točkovni viri onesnaževanja voda</w:t>
        </w:r>
        <w:r w:rsidR="002F3E43">
          <w:rPr>
            <w:noProof/>
            <w:webHidden/>
          </w:rPr>
          <w:tab/>
        </w:r>
        <w:r w:rsidR="002F3E43">
          <w:rPr>
            <w:noProof/>
            <w:webHidden/>
          </w:rPr>
          <w:fldChar w:fldCharType="begin"/>
        </w:r>
        <w:r w:rsidR="002F3E43">
          <w:rPr>
            <w:noProof/>
            <w:webHidden/>
          </w:rPr>
          <w:instrText xml:space="preserve"> PAGEREF _Toc90261019 \h </w:instrText>
        </w:r>
        <w:r w:rsidR="002F3E43">
          <w:rPr>
            <w:noProof/>
            <w:webHidden/>
          </w:rPr>
        </w:r>
        <w:r w:rsidR="002F3E43">
          <w:rPr>
            <w:noProof/>
            <w:webHidden/>
          </w:rPr>
          <w:fldChar w:fldCharType="separate"/>
        </w:r>
        <w:r w:rsidR="002F3E43">
          <w:rPr>
            <w:noProof/>
            <w:webHidden/>
          </w:rPr>
          <w:t>28</w:t>
        </w:r>
        <w:r w:rsidR="002F3E43">
          <w:rPr>
            <w:noProof/>
            <w:webHidden/>
          </w:rPr>
          <w:fldChar w:fldCharType="end"/>
        </w:r>
      </w:hyperlink>
    </w:p>
    <w:p w14:paraId="3A57F484"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20" w:history="1">
        <w:r w:rsidR="002F3E43" w:rsidRPr="006622C3">
          <w:rPr>
            <w:rStyle w:val="Hiperpovezava"/>
            <w:noProof/>
          </w:rPr>
          <w:t>2.2.2</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Razpršeni viri onesnaževanja voda</w:t>
        </w:r>
        <w:r w:rsidR="002F3E43">
          <w:rPr>
            <w:noProof/>
            <w:webHidden/>
          </w:rPr>
          <w:tab/>
        </w:r>
        <w:r w:rsidR="002F3E43">
          <w:rPr>
            <w:noProof/>
            <w:webHidden/>
          </w:rPr>
          <w:fldChar w:fldCharType="begin"/>
        </w:r>
        <w:r w:rsidR="002F3E43">
          <w:rPr>
            <w:noProof/>
            <w:webHidden/>
          </w:rPr>
          <w:instrText xml:space="preserve"> PAGEREF _Toc90261020 \h </w:instrText>
        </w:r>
        <w:r w:rsidR="002F3E43">
          <w:rPr>
            <w:noProof/>
            <w:webHidden/>
          </w:rPr>
        </w:r>
        <w:r w:rsidR="002F3E43">
          <w:rPr>
            <w:noProof/>
            <w:webHidden/>
          </w:rPr>
          <w:fldChar w:fldCharType="separate"/>
        </w:r>
        <w:r w:rsidR="002F3E43">
          <w:rPr>
            <w:noProof/>
            <w:webHidden/>
          </w:rPr>
          <w:t>40</w:t>
        </w:r>
        <w:r w:rsidR="002F3E43">
          <w:rPr>
            <w:noProof/>
            <w:webHidden/>
          </w:rPr>
          <w:fldChar w:fldCharType="end"/>
        </w:r>
      </w:hyperlink>
    </w:p>
    <w:p w14:paraId="5B4C2D37"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21" w:history="1">
        <w:r w:rsidR="002F3E43" w:rsidRPr="006622C3">
          <w:rPr>
            <w:rStyle w:val="Hiperpovezava"/>
            <w:noProof/>
          </w:rPr>
          <w:t>2.2.3</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Popis emisij, izpustov in uhajanja prednostnih in prednostno nevarnih snovi</w:t>
        </w:r>
        <w:r w:rsidR="002F3E43">
          <w:rPr>
            <w:noProof/>
            <w:webHidden/>
          </w:rPr>
          <w:tab/>
        </w:r>
        <w:r w:rsidR="002F3E43">
          <w:rPr>
            <w:noProof/>
            <w:webHidden/>
          </w:rPr>
          <w:fldChar w:fldCharType="begin"/>
        </w:r>
        <w:r w:rsidR="002F3E43">
          <w:rPr>
            <w:noProof/>
            <w:webHidden/>
          </w:rPr>
          <w:instrText xml:space="preserve"> PAGEREF _Toc90261021 \h </w:instrText>
        </w:r>
        <w:r w:rsidR="002F3E43">
          <w:rPr>
            <w:noProof/>
            <w:webHidden/>
          </w:rPr>
        </w:r>
        <w:r w:rsidR="002F3E43">
          <w:rPr>
            <w:noProof/>
            <w:webHidden/>
          </w:rPr>
          <w:fldChar w:fldCharType="separate"/>
        </w:r>
        <w:r w:rsidR="002F3E43">
          <w:rPr>
            <w:noProof/>
            <w:webHidden/>
          </w:rPr>
          <w:t>57</w:t>
        </w:r>
        <w:r w:rsidR="002F3E43">
          <w:rPr>
            <w:noProof/>
            <w:webHidden/>
          </w:rPr>
          <w:fldChar w:fldCharType="end"/>
        </w:r>
      </w:hyperlink>
    </w:p>
    <w:p w14:paraId="146F78D7"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22" w:history="1">
        <w:r w:rsidR="002F3E43" w:rsidRPr="006622C3">
          <w:rPr>
            <w:rStyle w:val="Hiperpovezava"/>
            <w:noProof/>
          </w:rPr>
          <w:t>2.2.4</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Hidromorfološke obremenitve površinskih voda</w:t>
        </w:r>
        <w:r w:rsidR="002F3E43">
          <w:rPr>
            <w:noProof/>
            <w:webHidden/>
          </w:rPr>
          <w:tab/>
        </w:r>
        <w:r w:rsidR="002F3E43">
          <w:rPr>
            <w:noProof/>
            <w:webHidden/>
          </w:rPr>
          <w:fldChar w:fldCharType="begin"/>
        </w:r>
        <w:r w:rsidR="002F3E43">
          <w:rPr>
            <w:noProof/>
            <w:webHidden/>
          </w:rPr>
          <w:instrText xml:space="preserve"> PAGEREF _Toc90261022 \h </w:instrText>
        </w:r>
        <w:r w:rsidR="002F3E43">
          <w:rPr>
            <w:noProof/>
            <w:webHidden/>
          </w:rPr>
        </w:r>
        <w:r w:rsidR="002F3E43">
          <w:rPr>
            <w:noProof/>
            <w:webHidden/>
          </w:rPr>
          <w:fldChar w:fldCharType="separate"/>
        </w:r>
        <w:r w:rsidR="002F3E43">
          <w:rPr>
            <w:noProof/>
            <w:webHidden/>
          </w:rPr>
          <w:t>60</w:t>
        </w:r>
        <w:r w:rsidR="002F3E43">
          <w:rPr>
            <w:noProof/>
            <w:webHidden/>
          </w:rPr>
          <w:fldChar w:fldCharType="end"/>
        </w:r>
      </w:hyperlink>
    </w:p>
    <w:p w14:paraId="137B8C20"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23" w:history="1">
        <w:r w:rsidR="002F3E43" w:rsidRPr="006622C3">
          <w:rPr>
            <w:rStyle w:val="Hiperpovezava"/>
            <w:noProof/>
          </w:rPr>
          <w:t>2.2.5</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Hidrološke obremenitve podzemnih voda</w:t>
        </w:r>
        <w:r w:rsidR="002F3E43">
          <w:rPr>
            <w:noProof/>
            <w:webHidden/>
          </w:rPr>
          <w:tab/>
        </w:r>
        <w:r w:rsidR="002F3E43">
          <w:rPr>
            <w:noProof/>
            <w:webHidden/>
          </w:rPr>
          <w:fldChar w:fldCharType="begin"/>
        </w:r>
        <w:r w:rsidR="002F3E43">
          <w:rPr>
            <w:noProof/>
            <w:webHidden/>
          </w:rPr>
          <w:instrText xml:space="preserve"> PAGEREF _Toc90261023 \h </w:instrText>
        </w:r>
        <w:r w:rsidR="002F3E43">
          <w:rPr>
            <w:noProof/>
            <w:webHidden/>
          </w:rPr>
        </w:r>
        <w:r w:rsidR="002F3E43">
          <w:rPr>
            <w:noProof/>
            <w:webHidden/>
          </w:rPr>
          <w:fldChar w:fldCharType="separate"/>
        </w:r>
        <w:r w:rsidR="002F3E43">
          <w:rPr>
            <w:noProof/>
            <w:webHidden/>
          </w:rPr>
          <w:t>86</w:t>
        </w:r>
        <w:r w:rsidR="002F3E43">
          <w:rPr>
            <w:noProof/>
            <w:webHidden/>
          </w:rPr>
          <w:fldChar w:fldCharType="end"/>
        </w:r>
      </w:hyperlink>
    </w:p>
    <w:p w14:paraId="05BB6E10"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24" w:history="1">
        <w:r w:rsidR="002F3E43" w:rsidRPr="006622C3">
          <w:rPr>
            <w:rStyle w:val="Hiperpovezava"/>
            <w:noProof/>
          </w:rPr>
          <w:t>2.2.6</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Raba zemljišč</w:t>
        </w:r>
        <w:r w:rsidR="002F3E43">
          <w:rPr>
            <w:noProof/>
            <w:webHidden/>
          </w:rPr>
          <w:tab/>
        </w:r>
        <w:r w:rsidR="002F3E43">
          <w:rPr>
            <w:noProof/>
            <w:webHidden/>
          </w:rPr>
          <w:fldChar w:fldCharType="begin"/>
        </w:r>
        <w:r w:rsidR="002F3E43">
          <w:rPr>
            <w:noProof/>
            <w:webHidden/>
          </w:rPr>
          <w:instrText xml:space="preserve"> PAGEREF _Toc90261024 \h </w:instrText>
        </w:r>
        <w:r w:rsidR="002F3E43">
          <w:rPr>
            <w:noProof/>
            <w:webHidden/>
          </w:rPr>
        </w:r>
        <w:r w:rsidR="002F3E43">
          <w:rPr>
            <w:noProof/>
            <w:webHidden/>
          </w:rPr>
          <w:fldChar w:fldCharType="separate"/>
        </w:r>
        <w:r w:rsidR="002F3E43">
          <w:rPr>
            <w:noProof/>
            <w:webHidden/>
          </w:rPr>
          <w:t>87</w:t>
        </w:r>
        <w:r w:rsidR="002F3E43">
          <w:rPr>
            <w:noProof/>
            <w:webHidden/>
          </w:rPr>
          <w:fldChar w:fldCharType="end"/>
        </w:r>
      </w:hyperlink>
    </w:p>
    <w:p w14:paraId="027A0567"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25" w:history="1">
        <w:r w:rsidR="002F3E43" w:rsidRPr="006622C3">
          <w:rPr>
            <w:rStyle w:val="Hiperpovezava"/>
            <w:noProof/>
          </w:rPr>
          <w:t>2.2.7</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Druge antropogene obremenitve</w:t>
        </w:r>
        <w:r w:rsidR="002F3E43">
          <w:rPr>
            <w:noProof/>
            <w:webHidden/>
          </w:rPr>
          <w:tab/>
        </w:r>
        <w:r w:rsidR="002F3E43">
          <w:rPr>
            <w:noProof/>
            <w:webHidden/>
          </w:rPr>
          <w:fldChar w:fldCharType="begin"/>
        </w:r>
        <w:r w:rsidR="002F3E43">
          <w:rPr>
            <w:noProof/>
            <w:webHidden/>
          </w:rPr>
          <w:instrText xml:space="preserve"> PAGEREF _Toc90261025 \h </w:instrText>
        </w:r>
        <w:r w:rsidR="002F3E43">
          <w:rPr>
            <w:noProof/>
            <w:webHidden/>
          </w:rPr>
        </w:r>
        <w:r w:rsidR="002F3E43">
          <w:rPr>
            <w:noProof/>
            <w:webHidden/>
          </w:rPr>
          <w:fldChar w:fldCharType="separate"/>
        </w:r>
        <w:r w:rsidR="002F3E43">
          <w:rPr>
            <w:noProof/>
            <w:webHidden/>
          </w:rPr>
          <w:t>90</w:t>
        </w:r>
        <w:r w:rsidR="002F3E43">
          <w:rPr>
            <w:noProof/>
            <w:webHidden/>
          </w:rPr>
          <w:fldChar w:fldCharType="end"/>
        </w:r>
      </w:hyperlink>
    </w:p>
    <w:p w14:paraId="1E2DECA1"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26" w:history="1">
        <w:r w:rsidR="002F3E43" w:rsidRPr="006622C3">
          <w:rPr>
            <w:rStyle w:val="Hiperpovezava"/>
            <w:noProof/>
          </w:rPr>
          <w:t>2.2.8</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Opis presoje vplivov na vodna telesa površinskih in podzemnih voda, vključno z opisom uporabljene metode in meril, in prikaz teh vplivov</w:t>
        </w:r>
        <w:r w:rsidR="002F3E43">
          <w:rPr>
            <w:noProof/>
            <w:webHidden/>
          </w:rPr>
          <w:tab/>
        </w:r>
        <w:r w:rsidR="002F3E43">
          <w:rPr>
            <w:noProof/>
            <w:webHidden/>
          </w:rPr>
          <w:fldChar w:fldCharType="begin"/>
        </w:r>
        <w:r w:rsidR="002F3E43">
          <w:rPr>
            <w:noProof/>
            <w:webHidden/>
          </w:rPr>
          <w:instrText xml:space="preserve"> PAGEREF _Toc90261026 \h </w:instrText>
        </w:r>
        <w:r w:rsidR="002F3E43">
          <w:rPr>
            <w:noProof/>
            <w:webHidden/>
          </w:rPr>
        </w:r>
        <w:r w:rsidR="002F3E43">
          <w:rPr>
            <w:noProof/>
            <w:webHidden/>
          </w:rPr>
          <w:fldChar w:fldCharType="separate"/>
        </w:r>
        <w:r w:rsidR="002F3E43">
          <w:rPr>
            <w:noProof/>
            <w:webHidden/>
          </w:rPr>
          <w:t>105</w:t>
        </w:r>
        <w:r w:rsidR="002F3E43">
          <w:rPr>
            <w:noProof/>
            <w:webHidden/>
          </w:rPr>
          <w:fldChar w:fldCharType="end"/>
        </w:r>
      </w:hyperlink>
    </w:p>
    <w:p w14:paraId="62DB9669"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27" w:history="1">
        <w:r w:rsidR="002F3E43" w:rsidRPr="006622C3">
          <w:rPr>
            <w:rStyle w:val="Hiperpovezava"/>
            <w:noProof/>
          </w:rPr>
          <w:t>2.2.9</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Ocena verjetnosti doseganja okoljskih ciljev za vodna telesa površinskih in podzemnih voda, vključno z opisom uporabljene metode in meril</w:t>
        </w:r>
        <w:r w:rsidR="002F3E43">
          <w:rPr>
            <w:noProof/>
            <w:webHidden/>
          </w:rPr>
          <w:tab/>
        </w:r>
        <w:r w:rsidR="002F3E43">
          <w:rPr>
            <w:noProof/>
            <w:webHidden/>
          </w:rPr>
          <w:fldChar w:fldCharType="begin"/>
        </w:r>
        <w:r w:rsidR="002F3E43">
          <w:rPr>
            <w:noProof/>
            <w:webHidden/>
          </w:rPr>
          <w:instrText xml:space="preserve"> PAGEREF _Toc90261027 \h </w:instrText>
        </w:r>
        <w:r w:rsidR="002F3E43">
          <w:rPr>
            <w:noProof/>
            <w:webHidden/>
          </w:rPr>
        </w:r>
        <w:r w:rsidR="002F3E43">
          <w:rPr>
            <w:noProof/>
            <w:webHidden/>
          </w:rPr>
          <w:fldChar w:fldCharType="separate"/>
        </w:r>
        <w:r w:rsidR="002F3E43">
          <w:rPr>
            <w:noProof/>
            <w:webHidden/>
          </w:rPr>
          <w:t>121</w:t>
        </w:r>
        <w:r w:rsidR="002F3E43">
          <w:rPr>
            <w:noProof/>
            <w:webHidden/>
          </w:rPr>
          <w:fldChar w:fldCharType="end"/>
        </w:r>
      </w:hyperlink>
    </w:p>
    <w:p w14:paraId="1D261449" w14:textId="77777777" w:rsidR="002F3E43" w:rsidRDefault="00D17419">
      <w:pPr>
        <w:pStyle w:val="Kazalovsebine2"/>
        <w:rPr>
          <w:rFonts w:asciiTheme="minorHAnsi" w:eastAsiaTheme="minorEastAsia" w:hAnsiTheme="minorHAnsi" w:cstheme="minorBidi"/>
          <w:noProof/>
          <w:sz w:val="22"/>
          <w:lang w:eastAsia="sl-SI"/>
        </w:rPr>
      </w:pPr>
      <w:hyperlink w:anchor="_Toc90261028" w:history="1">
        <w:r w:rsidR="002F3E43" w:rsidRPr="006622C3">
          <w:rPr>
            <w:rStyle w:val="Hiperpovezava"/>
            <w:noProof/>
          </w:rPr>
          <w:t>2.3</w:t>
        </w:r>
        <w:r w:rsidR="002F3E43">
          <w:rPr>
            <w:rFonts w:asciiTheme="minorHAnsi" w:eastAsiaTheme="minorEastAsia" w:hAnsiTheme="minorHAnsi" w:cstheme="minorBidi"/>
            <w:noProof/>
            <w:sz w:val="22"/>
            <w:lang w:eastAsia="sl-SI"/>
          </w:rPr>
          <w:tab/>
        </w:r>
        <w:r w:rsidR="002F3E43" w:rsidRPr="006622C3">
          <w:rPr>
            <w:rStyle w:val="Hiperpovezava"/>
            <w:noProof/>
          </w:rPr>
          <w:t>Ekonomska analiza storitev, povezanih z obremenjevanjem voda</w:t>
        </w:r>
        <w:r w:rsidR="002F3E43">
          <w:rPr>
            <w:noProof/>
            <w:webHidden/>
          </w:rPr>
          <w:tab/>
        </w:r>
        <w:r w:rsidR="002F3E43">
          <w:rPr>
            <w:noProof/>
            <w:webHidden/>
          </w:rPr>
          <w:fldChar w:fldCharType="begin"/>
        </w:r>
        <w:r w:rsidR="002F3E43">
          <w:rPr>
            <w:noProof/>
            <w:webHidden/>
          </w:rPr>
          <w:instrText xml:space="preserve"> PAGEREF _Toc90261028 \h </w:instrText>
        </w:r>
        <w:r w:rsidR="002F3E43">
          <w:rPr>
            <w:noProof/>
            <w:webHidden/>
          </w:rPr>
        </w:r>
        <w:r w:rsidR="002F3E43">
          <w:rPr>
            <w:noProof/>
            <w:webHidden/>
          </w:rPr>
          <w:fldChar w:fldCharType="separate"/>
        </w:r>
        <w:r w:rsidR="002F3E43">
          <w:rPr>
            <w:noProof/>
            <w:webHidden/>
          </w:rPr>
          <w:t>149</w:t>
        </w:r>
        <w:r w:rsidR="002F3E43">
          <w:rPr>
            <w:noProof/>
            <w:webHidden/>
          </w:rPr>
          <w:fldChar w:fldCharType="end"/>
        </w:r>
      </w:hyperlink>
    </w:p>
    <w:p w14:paraId="58E4FBB3"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29" w:history="1">
        <w:r w:rsidR="002F3E43" w:rsidRPr="006622C3">
          <w:rPr>
            <w:rStyle w:val="Hiperpovezava"/>
            <w:noProof/>
          </w:rPr>
          <w:t>2.3.1</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Izhodišča</w:t>
        </w:r>
        <w:r w:rsidR="002F3E43">
          <w:rPr>
            <w:noProof/>
            <w:webHidden/>
          </w:rPr>
          <w:tab/>
        </w:r>
        <w:r w:rsidR="002F3E43">
          <w:rPr>
            <w:noProof/>
            <w:webHidden/>
          </w:rPr>
          <w:fldChar w:fldCharType="begin"/>
        </w:r>
        <w:r w:rsidR="002F3E43">
          <w:rPr>
            <w:noProof/>
            <w:webHidden/>
          </w:rPr>
          <w:instrText xml:space="preserve"> PAGEREF _Toc90261029 \h </w:instrText>
        </w:r>
        <w:r w:rsidR="002F3E43">
          <w:rPr>
            <w:noProof/>
            <w:webHidden/>
          </w:rPr>
        </w:r>
        <w:r w:rsidR="002F3E43">
          <w:rPr>
            <w:noProof/>
            <w:webHidden/>
          </w:rPr>
          <w:fldChar w:fldCharType="separate"/>
        </w:r>
        <w:r w:rsidR="002F3E43">
          <w:rPr>
            <w:noProof/>
            <w:webHidden/>
          </w:rPr>
          <w:t>149</w:t>
        </w:r>
        <w:r w:rsidR="002F3E43">
          <w:rPr>
            <w:noProof/>
            <w:webHidden/>
          </w:rPr>
          <w:fldChar w:fldCharType="end"/>
        </w:r>
      </w:hyperlink>
    </w:p>
    <w:p w14:paraId="6398F14B"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30" w:history="1">
        <w:r w:rsidR="002F3E43" w:rsidRPr="006622C3">
          <w:rPr>
            <w:rStyle w:val="Hiperpovezava"/>
            <w:noProof/>
          </w:rPr>
          <w:t>2.3.2</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Metodološki pristop</w:t>
        </w:r>
        <w:r w:rsidR="002F3E43">
          <w:rPr>
            <w:noProof/>
            <w:webHidden/>
          </w:rPr>
          <w:tab/>
        </w:r>
        <w:r w:rsidR="002F3E43">
          <w:rPr>
            <w:noProof/>
            <w:webHidden/>
          </w:rPr>
          <w:fldChar w:fldCharType="begin"/>
        </w:r>
        <w:r w:rsidR="002F3E43">
          <w:rPr>
            <w:noProof/>
            <w:webHidden/>
          </w:rPr>
          <w:instrText xml:space="preserve"> PAGEREF _Toc90261030 \h </w:instrText>
        </w:r>
        <w:r w:rsidR="002F3E43">
          <w:rPr>
            <w:noProof/>
            <w:webHidden/>
          </w:rPr>
        </w:r>
        <w:r w:rsidR="002F3E43">
          <w:rPr>
            <w:noProof/>
            <w:webHidden/>
          </w:rPr>
          <w:fldChar w:fldCharType="separate"/>
        </w:r>
        <w:r w:rsidR="002F3E43">
          <w:rPr>
            <w:noProof/>
            <w:webHidden/>
          </w:rPr>
          <w:t>150</w:t>
        </w:r>
        <w:r w:rsidR="002F3E43">
          <w:rPr>
            <w:noProof/>
            <w:webHidden/>
          </w:rPr>
          <w:fldChar w:fldCharType="end"/>
        </w:r>
      </w:hyperlink>
    </w:p>
    <w:p w14:paraId="7D6DC054"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31" w:history="1">
        <w:r w:rsidR="002F3E43" w:rsidRPr="006622C3">
          <w:rPr>
            <w:rStyle w:val="Hiperpovezava"/>
            <w:noProof/>
          </w:rPr>
          <w:t>2.3.3</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Demografski kazalci</w:t>
        </w:r>
        <w:r w:rsidR="002F3E43">
          <w:rPr>
            <w:noProof/>
            <w:webHidden/>
          </w:rPr>
          <w:tab/>
        </w:r>
        <w:r w:rsidR="002F3E43">
          <w:rPr>
            <w:noProof/>
            <w:webHidden/>
          </w:rPr>
          <w:fldChar w:fldCharType="begin"/>
        </w:r>
        <w:r w:rsidR="002F3E43">
          <w:rPr>
            <w:noProof/>
            <w:webHidden/>
          </w:rPr>
          <w:instrText xml:space="preserve"> PAGEREF _Toc90261031 \h </w:instrText>
        </w:r>
        <w:r w:rsidR="002F3E43">
          <w:rPr>
            <w:noProof/>
            <w:webHidden/>
          </w:rPr>
        </w:r>
        <w:r w:rsidR="002F3E43">
          <w:rPr>
            <w:noProof/>
            <w:webHidden/>
          </w:rPr>
          <w:fldChar w:fldCharType="separate"/>
        </w:r>
        <w:r w:rsidR="002F3E43">
          <w:rPr>
            <w:noProof/>
            <w:webHidden/>
          </w:rPr>
          <w:t>151</w:t>
        </w:r>
        <w:r w:rsidR="002F3E43">
          <w:rPr>
            <w:noProof/>
            <w:webHidden/>
          </w:rPr>
          <w:fldChar w:fldCharType="end"/>
        </w:r>
      </w:hyperlink>
    </w:p>
    <w:p w14:paraId="767860E8"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32" w:history="1">
        <w:r w:rsidR="002F3E43" w:rsidRPr="006622C3">
          <w:rPr>
            <w:rStyle w:val="Hiperpovezava"/>
            <w:noProof/>
          </w:rPr>
          <w:t>2.3.4</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Analiza gospodarskega pomena dejavnosti, ki povzročajo obremenjevanje voda</w:t>
        </w:r>
        <w:r w:rsidR="002F3E43">
          <w:rPr>
            <w:noProof/>
            <w:webHidden/>
          </w:rPr>
          <w:tab/>
        </w:r>
        <w:r w:rsidR="002F3E43">
          <w:rPr>
            <w:noProof/>
            <w:webHidden/>
          </w:rPr>
          <w:fldChar w:fldCharType="begin"/>
        </w:r>
        <w:r w:rsidR="002F3E43">
          <w:rPr>
            <w:noProof/>
            <w:webHidden/>
          </w:rPr>
          <w:instrText xml:space="preserve"> PAGEREF _Toc90261032 \h </w:instrText>
        </w:r>
        <w:r w:rsidR="002F3E43">
          <w:rPr>
            <w:noProof/>
            <w:webHidden/>
          </w:rPr>
        </w:r>
        <w:r w:rsidR="002F3E43">
          <w:rPr>
            <w:noProof/>
            <w:webHidden/>
          </w:rPr>
          <w:fldChar w:fldCharType="separate"/>
        </w:r>
        <w:r w:rsidR="002F3E43">
          <w:rPr>
            <w:noProof/>
            <w:webHidden/>
          </w:rPr>
          <w:t>156</w:t>
        </w:r>
        <w:r w:rsidR="002F3E43">
          <w:rPr>
            <w:noProof/>
            <w:webHidden/>
          </w:rPr>
          <w:fldChar w:fldCharType="end"/>
        </w:r>
      </w:hyperlink>
    </w:p>
    <w:p w14:paraId="032A9102"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33" w:history="1">
        <w:r w:rsidR="002F3E43" w:rsidRPr="006622C3">
          <w:rPr>
            <w:rStyle w:val="Hiperpovezava"/>
            <w:noProof/>
          </w:rPr>
          <w:t>2.3.5</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Analiza trendov storitev, povezanih z obremenjevanjem voda</w:t>
        </w:r>
        <w:r w:rsidR="002F3E43">
          <w:rPr>
            <w:noProof/>
            <w:webHidden/>
          </w:rPr>
          <w:tab/>
        </w:r>
        <w:r w:rsidR="002F3E43">
          <w:rPr>
            <w:noProof/>
            <w:webHidden/>
          </w:rPr>
          <w:fldChar w:fldCharType="begin"/>
        </w:r>
        <w:r w:rsidR="002F3E43">
          <w:rPr>
            <w:noProof/>
            <w:webHidden/>
          </w:rPr>
          <w:instrText xml:space="preserve"> PAGEREF _Toc90261033 \h </w:instrText>
        </w:r>
        <w:r w:rsidR="002F3E43">
          <w:rPr>
            <w:noProof/>
            <w:webHidden/>
          </w:rPr>
        </w:r>
        <w:r w:rsidR="002F3E43">
          <w:rPr>
            <w:noProof/>
            <w:webHidden/>
          </w:rPr>
          <w:fldChar w:fldCharType="separate"/>
        </w:r>
        <w:r w:rsidR="002F3E43">
          <w:rPr>
            <w:noProof/>
            <w:webHidden/>
          </w:rPr>
          <w:t>158</w:t>
        </w:r>
        <w:r w:rsidR="002F3E43">
          <w:rPr>
            <w:noProof/>
            <w:webHidden/>
          </w:rPr>
          <w:fldChar w:fldCharType="end"/>
        </w:r>
      </w:hyperlink>
    </w:p>
    <w:p w14:paraId="13099C6C"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34" w:history="1">
        <w:r w:rsidR="002F3E43" w:rsidRPr="006622C3">
          <w:rPr>
            <w:rStyle w:val="Hiperpovezava"/>
            <w:noProof/>
          </w:rPr>
          <w:t>2.3.6</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Analiza vključitve stroškov obremenjevanja voda v ceno izvajanja storitev, povezanih z obremenjevanjem voda</w:t>
        </w:r>
        <w:r w:rsidR="002F3E43">
          <w:rPr>
            <w:noProof/>
            <w:webHidden/>
          </w:rPr>
          <w:tab/>
        </w:r>
        <w:r w:rsidR="002F3E43">
          <w:rPr>
            <w:noProof/>
            <w:webHidden/>
          </w:rPr>
          <w:fldChar w:fldCharType="begin"/>
        </w:r>
        <w:r w:rsidR="002F3E43">
          <w:rPr>
            <w:noProof/>
            <w:webHidden/>
          </w:rPr>
          <w:instrText xml:space="preserve"> PAGEREF _Toc90261034 \h </w:instrText>
        </w:r>
        <w:r w:rsidR="002F3E43">
          <w:rPr>
            <w:noProof/>
            <w:webHidden/>
          </w:rPr>
        </w:r>
        <w:r w:rsidR="002F3E43">
          <w:rPr>
            <w:noProof/>
            <w:webHidden/>
          </w:rPr>
          <w:fldChar w:fldCharType="separate"/>
        </w:r>
        <w:r w:rsidR="002F3E43">
          <w:rPr>
            <w:noProof/>
            <w:webHidden/>
          </w:rPr>
          <w:t>160</w:t>
        </w:r>
        <w:r w:rsidR="002F3E43">
          <w:rPr>
            <w:noProof/>
            <w:webHidden/>
          </w:rPr>
          <w:fldChar w:fldCharType="end"/>
        </w:r>
      </w:hyperlink>
    </w:p>
    <w:p w14:paraId="72C29288"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35" w:history="1">
        <w:r w:rsidR="002F3E43" w:rsidRPr="006622C3">
          <w:rPr>
            <w:rStyle w:val="Hiperpovezava"/>
            <w:noProof/>
          </w:rPr>
          <w:t>2.3.7</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Finančni stroški storitev GJS oskrbe s pitno vodo ter odvajanja in čiščenja komunalne odpadne vode</w:t>
        </w:r>
        <w:r w:rsidR="002F3E43">
          <w:rPr>
            <w:noProof/>
            <w:webHidden/>
          </w:rPr>
          <w:tab/>
        </w:r>
        <w:r w:rsidR="002F3E43">
          <w:rPr>
            <w:noProof/>
            <w:webHidden/>
          </w:rPr>
          <w:fldChar w:fldCharType="begin"/>
        </w:r>
        <w:r w:rsidR="002F3E43">
          <w:rPr>
            <w:noProof/>
            <w:webHidden/>
          </w:rPr>
          <w:instrText xml:space="preserve"> PAGEREF _Toc90261035 \h </w:instrText>
        </w:r>
        <w:r w:rsidR="002F3E43">
          <w:rPr>
            <w:noProof/>
            <w:webHidden/>
          </w:rPr>
        </w:r>
        <w:r w:rsidR="002F3E43">
          <w:rPr>
            <w:noProof/>
            <w:webHidden/>
          </w:rPr>
          <w:fldChar w:fldCharType="separate"/>
        </w:r>
        <w:r w:rsidR="002F3E43">
          <w:rPr>
            <w:noProof/>
            <w:webHidden/>
          </w:rPr>
          <w:t>161</w:t>
        </w:r>
        <w:r w:rsidR="002F3E43">
          <w:rPr>
            <w:noProof/>
            <w:webHidden/>
          </w:rPr>
          <w:fldChar w:fldCharType="end"/>
        </w:r>
      </w:hyperlink>
    </w:p>
    <w:p w14:paraId="2D7C5E33" w14:textId="77777777" w:rsidR="002F3E43" w:rsidRDefault="00D17419">
      <w:pPr>
        <w:pStyle w:val="Kazalovsebine2"/>
        <w:rPr>
          <w:rFonts w:asciiTheme="minorHAnsi" w:eastAsiaTheme="minorEastAsia" w:hAnsiTheme="minorHAnsi" w:cstheme="minorBidi"/>
          <w:noProof/>
          <w:sz w:val="22"/>
          <w:lang w:eastAsia="sl-SI"/>
        </w:rPr>
      </w:pPr>
      <w:hyperlink w:anchor="_Toc90261036" w:history="1">
        <w:r w:rsidR="002F3E43" w:rsidRPr="006622C3">
          <w:rPr>
            <w:rStyle w:val="Hiperpovezava"/>
            <w:noProof/>
          </w:rPr>
          <w:t>2.4</w:t>
        </w:r>
        <w:r w:rsidR="002F3E43">
          <w:rPr>
            <w:rFonts w:asciiTheme="minorHAnsi" w:eastAsiaTheme="minorEastAsia" w:hAnsiTheme="minorHAnsi" w:cstheme="minorBidi"/>
            <w:noProof/>
            <w:sz w:val="22"/>
            <w:lang w:eastAsia="sl-SI"/>
          </w:rPr>
          <w:tab/>
        </w:r>
        <w:r w:rsidR="002F3E43" w:rsidRPr="006622C3">
          <w:rPr>
            <w:rStyle w:val="Hiperpovezava"/>
            <w:noProof/>
          </w:rPr>
          <w:t>Prikaz območij s posebnimi zahtevami</w:t>
        </w:r>
        <w:r w:rsidR="002F3E43">
          <w:rPr>
            <w:noProof/>
            <w:webHidden/>
          </w:rPr>
          <w:tab/>
        </w:r>
        <w:r w:rsidR="002F3E43">
          <w:rPr>
            <w:noProof/>
            <w:webHidden/>
          </w:rPr>
          <w:fldChar w:fldCharType="begin"/>
        </w:r>
        <w:r w:rsidR="002F3E43">
          <w:rPr>
            <w:noProof/>
            <w:webHidden/>
          </w:rPr>
          <w:instrText xml:space="preserve"> PAGEREF _Toc90261036 \h </w:instrText>
        </w:r>
        <w:r w:rsidR="002F3E43">
          <w:rPr>
            <w:noProof/>
            <w:webHidden/>
          </w:rPr>
        </w:r>
        <w:r w:rsidR="002F3E43">
          <w:rPr>
            <w:noProof/>
            <w:webHidden/>
          </w:rPr>
          <w:fldChar w:fldCharType="separate"/>
        </w:r>
        <w:r w:rsidR="002F3E43">
          <w:rPr>
            <w:noProof/>
            <w:webHidden/>
          </w:rPr>
          <w:t>166</w:t>
        </w:r>
        <w:r w:rsidR="002F3E43">
          <w:rPr>
            <w:noProof/>
            <w:webHidden/>
          </w:rPr>
          <w:fldChar w:fldCharType="end"/>
        </w:r>
      </w:hyperlink>
    </w:p>
    <w:p w14:paraId="1736887F"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37" w:history="1">
        <w:r w:rsidR="002F3E43" w:rsidRPr="006622C3">
          <w:rPr>
            <w:rStyle w:val="Hiperpovezava"/>
            <w:noProof/>
          </w:rPr>
          <w:t>2.4.1</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Vodovarstvena območja</w:t>
        </w:r>
        <w:r w:rsidR="002F3E43">
          <w:rPr>
            <w:noProof/>
            <w:webHidden/>
          </w:rPr>
          <w:tab/>
        </w:r>
        <w:r w:rsidR="002F3E43">
          <w:rPr>
            <w:noProof/>
            <w:webHidden/>
          </w:rPr>
          <w:fldChar w:fldCharType="begin"/>
        </w:r>
        <w:r w:rsidR="002F3E43">
          <w:rPr>
            <w:noProof/>
            <w:webHidden/>
          </w:rPr>
          <w:instrText xml:space="preserve"> PAGEREF _Toc90261037 \h </w:instrText>
        </w:r>
        <w:r w:rsidR="002F3E43">
          <w:rPr>
            <w:noProof/>
            <w:webHidden/>
          </w:rPr>
        </w:r>
        <w:r w:rsidR="002F3E43">
          <w:rPr>
            <w:noProof/>
            <w:webHidden/>
          </w:rPr>
          <w:fldChar w:fldCharType="separate"/>
        </w:r>
        <w:r w:rsidR="002F3E43">
          <w:rPr>
            <w:noProof/>
            <w:webHidden/>
          </w:rPr>
          <w:t>167</w:t>
        </w:r>
        <w:r w:rsidR="002F3E43">
          <w:rPr>
            <w:noProof/>
            <w:webHidden/>
          </w:rPr>
          <w:fldChar w:fldCharType="end"/>
        </w:r>
      </w:hyperlink>
    </w:p>
    <w:p w14:paraId="221F2BEF"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38" w:history="1">
        <w:r w:rsidR="002F3E43" w:rsidRPr="006622C3">
          <w:rPr>
            <w:rStyle w:val="Hiperpovezava"/>
            <w:noProof/>
          </w:rPr>
          <w:t>2.4.2</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Kopalne vode</w:t>
        </w:r>
        <w:r w:rsidR="002F3E43">
          <w:rPr>
            <w:noProof/>
            <w:webHidden/>
          </w:rPr>
          <w:tab/>
        </w:r>
        <w:r w:rsidR="002F3E43">
          <w:rPr>
            <w:noProof/>
            <w:webHidden/>
          </w:rPr>
          <w:fldChar w:fldCharType="begin"/>
        </w:r>
        <w:r w:rsidR="002F3E43">
          <w:rPr>
            <w:noProof/>
            <w:webHidden/>
          </w:rPr>
          <w:instrText xml:space="preserve"> PAGEREF _Toc90261038 \h </w:instrText>
        </w:r>
        <w:r w:rsidR="002F3E43">
          <w:rPr>
            <w:noProof/>
            <w:webHidden/>
          </w:rPr>
        </w:r>
        <w:r w:rsidR="002F3E43">
          <w:rPr>
            <w:noProof/>
            <w:webHidden/>
          </w:rPr>
          <w:fldChar w:fldCharType="separate"/>
        </w:r>
        <w:r w:rsidR="002F3E43">
          <w:rPr>
            <w:noProof/>
            <w:webHidden/>
          </w:rPr>
          <w:t>167</w:t>
        </w:r>
        <w:r w:rsidR="002F3E43">
          <w:rPr>
            <w:noProof/>
            <w:webHidden/>
          </w:rPr>
          <w:fldChar w:fldCharType="end"/>
        </w:r>
      </w:hyperlink>
    </w:p>
    <w:p w14:paraId="20E5215B"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39" w:history="1">
        <w:r w:rsidR="002F3E43" w:rsidRPr="006622C3">
          <w:rPr>
            <w:rStyle w:val="Hiperpovezava"/>
            <w:noProof/>
          </w:rPr>
          <w:t>2.4.3</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Ogrožena območja</w:t>
        </w:r>
        <w:r w:rsidR="002F3E43">
          <w:rPr>
            <w:noProof/>
            <w:webHidden/>
          </w:rPr>
          <w:tab/>
        </w:r>
        <w:r w:rsidR="002F3E43">
          <w:rPr>
            <w:noProof/>
            <w:webHidden/>
          </w:rPr>
          <w:fldChar w:fldCharType="begin"/>
        </w:r>
        <w:r w:rsidR="002F3E43">
          <w:rPr>
            <w:noProof/>
            <w:webHidden/>
          </w:rPr>
          <w:instrText xml:space="preserve"> PAGEREF _Toc90261039 \h </w:instrText>
        </w:r>
        <w:r w:rsidR="002F3E43">
          <w:rPr>
            <w:noProof/>
            <w:webHidden/>
          </w:rPr>
        </w:r>
        <w:r w:rsidR="002F3E43">
          <w:rPr>
            <w:noProof/>
            <w:webHidden/>
          </w:rPr>
          <w:fldChar w:fldCharType="separate"/>
        </w:r>
        <w:r w:rsidR="002F3E43">
          <w:rPr>
            <w:noProof/>
            <w:webHidden/>
          </w:rPr>
          <w:t>167</w:t>
        </w:r>
        <w:r w:rsidR="002F3E43">
          <w:rPr>
            <w:noProof/>
            <w:webHidden/>
          </w:rPr>
          <w:fldChar w:fldCharType="end"/>
        </w:r>
      </w:hyperlink>
    </w:p>
    <w:p w14:paraId="113D5603"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40" w:history="1">
        <w:r w:rsidR="002F3E43" w:rsidRPr="006622C3">
          <w:rPr>
            <w:rStyle w:val="Hiperpovezava"/>
            <w:noProof/>
          </w:rPr>
          <w:t>2.4.4</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Občutljiva območja</w:t>
        </w:r>
        <w:r w:rsidR="002F3E43">
          <w:rPr>
            <w:noProof/>
            <w:webHidden/>
          </w:rPr>
          <w:tab/>
        </w:r>
        <w:r w:rsidR="002F3E43">
          <w:rPr>
            <w:noProof/>
            <w:webHidden/>
          </w:rPr>
          <w:fldChar w:fldCharType="begin"/>
        </w:r>
        <w:r w:rsidR="002F3E43">
          <w:rPr>
            <w:noProof/>
            <w:webHidden/>
          </w:rPr>
          <w:instrText xml:space="preserve"> PAGEREF _Toc90261040 \h </w:instrText>
        </w:r>
        <w:r w:rsidR="002F3E43">
          <w:rPr>
            <w:noProof/>
            <w:webHidden/>
          </w:rPr>
        </w:r>
        <w:r w:rsidR="002F3E43">
          <w:rPr>
            <w:noProof/>
            <w:webHidden/>
          </w:rPr>
          <w:fldChar w:fldCharType="separate"/>
        </w:r>
        <w:r w:rsidR="002F3E43">
          <w:rPr>
            <w:noProof/>
            <w:webHidden/>
          </w:rPr>
          <w:t>170</w:t>
        </w:r>
        <w:r w:rsidR="002F3E43">
          <w:rPr>
            <w:noProof/>
            <w:webHidden/>
          </w:rPr>
          <w:fldChar w:fldCharType="end"/>
        </w:r>
      </w:hyperlink>
    </w:p>
    <w:p w14:paraId="79195C2C"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41" w:history="1">
        <w:r w:rsidR="002F3E43" w:rsidRPr="006622C3">
          <w:rPr>
            <w:rStyle w:val="Hiperpovezava"/>
            <w:noProof/>
          </w:rPr>
          <w:t>2.4.5</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Ranljiva območja</w:t>
        </w:r>
        <w:r w:rsidR="002F3E43">
          <w:rPr>
            <w:noProof/>
            <w:webHidden/>
          </w:rPr>
          <w:tab/>
        </w:r>
        <w:r w:rsidR="002F3E43">
          <w:rPr>
            <w:noProof/>
            <w:webHidden/>
          </w:rPr>
          <w:fldChar w:fldCharType="begin"/>
        </w:r>
        <w:r w:rsidR="002F3E43">
          <w:rPr>
            <w:noProof/>
            <w:webHidden/>
          </w:rPr>
          <w:instrText xml:space="preserve"> PAGEREF _Toc90261041 \h </w:instrText>
        </w:r>
        <w:r w:rsidR="002F3E43">
          <w:rPr>
            <w:noProof/>
            <w:webHidden/>
          </w:rPr>
        </w:r>
        <w:r w:rsidR="002F3E43">
          <w:rPr>
            <w:noProof/>
            <w:webHidden/>
          </w:rPr>
          <w:fldChar w:fldCharType="separate"/>
        </w:r>
        <w:r w:rsidR="002F3E43">
          <w:rPr>
            <w:noProof/>
            <w:webHidden/>
          </w:rPr>
          <w:t>171</w:t>
        </w:r>
        <w:r w:rsidR="002F3E43">
          <w:rPr>
            <w:noProof/>
            <w:webHidden/>
          </w:rPr>
          <w:fldChar w:fldCharType="end"/>
        </w:r>
      </w:hyperlink>
    </w:p>
    <w:p w14:paraId="5CF1EED5"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42" w:history="1">
        <w:r w:rsidR="002F3E43" w:rsidRPr="006622C3">
          <w:rPr>
            <w:rStyle w:val="Hiperpovezava"/>
            <w:noProof/>
          </w:rPr>
          <w:t>2.4.6</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Območja salmonidnih in ciprinidnih voda</w:t>
        </w:r>
        <w:r w:rsidR="002F3E43">
          <w:rPr>
            <w:noProof/>
            <w:webHidden/>
          </w:rPr>
          <w:tab/>
        </w:r>
        <w:r w:rsidR="002F3E43">
          <w:rPr>
            <w:noProof/>
            <w:webHidden/>
          </w:rPr>
          <w:fldChar w:fldCharType="begin"/>
        </w:r>
        <w:r w:rsidR="002F3E43">
          <w:rPr>
            <w:noProof/>
            <w:webHidden/>
          </w:rPr>
          <w:instrText xml:space="preserve"> PAGEREF _Toc90261042 \h </w:instrText>
        </w:r>
        <w:r w:rsidR="002F3E43">
          <w:rPr>
            <w:noProof/>
            <w:webHidden/>
          </w:rPr>
        </w:r>
        <w:r w:rsidR="002F3E43">
          <w:rPr>
            <w:noProof/>
            <w:webHidden/>
          </w:rPr>
          <w:fldChar w:fldCharType="separate"/>
        </w:r>
        <w:r w:rsidR="002F3E43">
          <w:rPr>
            <w:noProof/>
            <w:webHidden/>
          </w:rPr>
          <w:t>171</w:t>
        </w:r>
        <w:r w:rsidR="002F3E43">
          <w:rPr>
            <w:noProof/>
            <w:webHidden/>
          </w:rPr>
          <w:fldChar w:fldCharType="end"/>
        </w:r>
      </w:hyperlink>
    </w:p>
    <w:p w14:paraId="48643BF8"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43" w:history="1">
        <w:r w:rsidR="002F3E43" w:rsidRPr="006622C3">
          <w:rPr>
            <w:rStyle w:val="Hiperpovezava"/>
            <w:noProof/>
          </w:rPr>
          <w:t>2.4.7</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Zavarovana in varovana območja</w:t>
        </w:r>
        <w:r w:rsidR="002F3E43">
          <w:rPr>
            <w:noProof/>
            <w:webHidden/>
          </w:rPr>
          <w:tab/>
        </w:r>
        <w:r w:rsidR="002F3E43">
          <w:rPr>
            <w:noProof/>
            <w:webHidden/>
          </w:rPr>
          <w:fldChar w:fldCharType="begin"/>
        </w:r>
        <w:r w:rsidR="002F3E43">
          <w:rPr>
            <w:noProof/>
            <w:webHidden/>
          </w:rPr>
          <w:instrText xml:space="preserve"> PAGEREF _Toc90261043 \h </w:instrText>
        </w:r>
        <w:r w:rsidR="002F3E43">
          <w:rPr>
            <w:noProof/>
            <w:webHidden/>
          </w:rPr>
        </w:r>
        <w:r w:rsidR="002F3E43">
          <w:rPr>
            <w:noProof/>
            <w:webHidden/>
          </w:rPr>
          <w:fldChar w:fldCharType="separate"/>
        </w:r>
        <w:r w:rsidR="002F3E43">
          <w:rPr>
            <w:noProof/>
            <w:webHidden/>
          </w:rPr>
          <w:t>172</w:t>
        </w:r>
        <w:r w:rsidR="002F3E43">
          <w:rPr>
            <w:noProof/>
            <w:webHidden/>
          </w:rPr>
          <w:fldChar w:fldCharType="end"/>
        </w:r>
      </w:hyperlink>
    </w:p>
    <w:p w14:paraId="485D63B9"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44" w:history="1">
        <w:r w:rsidR="002F3E43" w:rsidRPr="006622C3">
          <w:rPr>
            <w:rStyle w:val="Hiperpovezava"/>
            <w:noProof/>
          </w:rPr>
          <w:t>2.4.8</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Območja varstvenih voda v skladu s predpisi, ki urejajo ribištvo</w:t>
        </w:r>
        <w:r w:rsidR="002F3E43">
          <w:rPr>
            <w:noProof/>
            <w:webHidden/>
          </w:rPr>
          <w:tab/>
        </w:r>
        <w:r w:rsidR="002F3E43">
          <w:rPr>
            <w:noProof/>
            <w:webHidden/>
          </w:rPr>
          <w:fldChar w:fldCharType="begin"/>
        </w:r>
        <w:r w:rsidR="002F3E43">
          <w:rPr>
            <w:noProof/>
            <w:webHidden/>
          </w:rPr>
          <w:instrText xml:space="preserve"> PAGEREF _Toc90261044 \h </w:instrText>
        </w:r>
        <w:r w:rsidR="002F3E43">
          <w:rPr>
            <w:noProof/>
            <w:webHidden/>
          </w:rPr>
        </w:r>
        <w:r w:rsidR="002F3E43">
          <w:rPr>
            <w:noProof/>
            <w:webHidden/>
          </w:rPr>
          <w:fldChar w:fldCharType="separate"/>
        </w:r>
        <w:r w:rsidR="002F3E43">
          <w:rPr>
            <w:noProof/>
            <w:webHidden/>
          </w:rPr>
          <w:t>174</w:t>
        </w:r>
        <w:r w:rsidR="002F3E43">
          <w:rPr>
            <w:noProof/>
            <w:webHidden/>
          </w:rPr>
          <w:fldChar w:fldCharType="end"/>
        </w:r>
      </w:hyperlink>
    </w:p>
    <w:p w14:paraId="41C786C0" w14:textId="77777777" w:rsidR="002F3E43" w:rsidRDefault="00D17419">
      <w:pPr>
        <w:pStyle w:val="Kazalovsebine1"/>
        <w:rPr>
          <w:rFonts w:asciiTheme="minorHAnsi" w:eastAsiaTheme="minorEastAsia" w:hAnsiTheme="minorHAnsi" w:cstheme="minorBidi"/>
          <w:bCs w:val="0"/>
          <w:caps w:val="0"/>
          <w:noProof/>
          <w:sz w:val="22"/>
          <w:szCs w:val="22"/>
          <w:lang w:eastAsia="sl-SI"/>
        </w:rPr>
      </w:pPr>
      <w:hyperlink w:anchor="_Toc90261045" w:history="1">
        <w:r w:rsidR="002F3E43" w:rsidRPr="006622C3">
          <w:rPr>
            <w:rStyle w:val="Hiperpovezava"/>
            <w:noProof/>
          </w:rPr>
          <w:t>3</w:t>
        </w:r>
        <w:r w:rsidR="002F3E43">
          <w:rPr>
            <w:rFonts w:asciiTheme="minorHAnsi" w:eastAsiaTheme="minorEastAsia" w:hAnsiTheme="minorHAnsi" w:cstheme="minorBidi"/>
            <w:bCs w:val="0"/>
            <w:caps w:val="0"/>
            <w:noProof/>
            <w:sz w:val="22"/>
            <w:szCs w:val="22"/>
            <w:lang w:eastAsia="sl-SI"/>
          </w:rPr>
          <w:tab/>
        </w:r>
        <w:r w:rsidR="002F3E43" w:rsidRPr="006622C3">
          <w:rPr>
            <w:rStyle w:val="Hiperpovezava"/>
            <w:noProof/>
          </w:rPr>
          <w:t>OPIS MONITORINGA IN OCENA STANJA VODNIH TELES POVRŠINSKIH IN PODZEMNIH VODA</w:t>
        </w:r>
        <w:r w:rsidR="002F3E43">
          <w:rPr>
            <w:noProof/>
            <w:webHidden/>
          </w:rPr>
          <w:tab/>
        </w:r>
        <w:r w:rsidR="002F3E43">
          <w:rPr>
            <w:noProof/>
            <w:webHidden/>
          </w:rPr>
          <w:fldChar w:fldCharType="begin"/>
        </w:r>
        <w:r w:rsidR="002F3E43">
          <w:rPr>
            <w:noProof/>
            <w:webHidden/>
          </w:rPr>
          <w:instrText xml:space="preserve"> PAGEREF _Toc90261045 \h </w:instrText>
        </w:r>
        <w:r w:rsidR="002F3E43">
          <w:rPr>
            <w:noProof/>
            <w:webHidden/>
          </w:rPr>
        </w:r>
        <w:r w:rsidR="002F3E43">
          <w:rPr>
            <w:noProof/>
            <w:webHidden/>
          </w:rPr>
          <w:fldChar w:fldCharType="separate"/>
        </w:r>
        <w:r w:rsidR="002F3E43">
          <w:rPr>
            <w:noProof/>
            <w:webHidden/>
          </w:rPr>
          <w:t>175</w:t>
        </w:r>
        <w:r w:rsidR="002F3E43">
          <w:rPr>
            <w:noProof/>
            <w:webHidden/>
          </w:rPr>
          <w:fldChar w:fldCharType="end"/>
        </w:r>
      </w:hyperlink>
    </w:p>
    <w:p w14:paraId="1E8945B9" w14:textId="77777777" w:rsidR="002F3E43" w:rsidRDefault="00D17419">
      <w:pPr>
        <w:pStyle w:val="Kazalovsebine2"/>
        <w:rPr>
          <w:rFonts w:asciiTheme="minorHAnsi" w:eastAsiaTheme="minorEastAsia" w:hAnsiTheme="minorHAnsi" w:cstheme="minorBidi"/>
          <w:noProof/>
          <w:sz w:val="22"/>
          <w:lang w:eastAsia="sl-SI"/>
        </w:rPr>
      </w:pPr>
      <w:hyperlink w:anchor="_Toc90261046" w:history="1">
        <w:r w:rsidR="002F3E43" w:rsidRPr="006622C3">
          <w:rPr>
            <w:rStyle w:val="Hiperpovezava"/>
            <w:noProof/>
          </w:rPr>
          <w:t>3.1</w:t>
        </w:r>
        <w:r w:rsidR="002F3E43">
          <w:rPr>
            <w:rFonts w:asciiTheme="minorHAnsi" w:eastAsiaTheme="minorEastAsia" w:hAnsiTheme="minorHAnsi" w:cstheme="minorBidi"/>
            <w:noProof/>
            <w:sz w:val="22"/>
            <w:lang w:eastAsia="sl-SI"/>
          </w:rPr>
          <w:tab/>
        </w:r>
        <w:r w:rsidR="002F3E43" w:rsidRPr="006622C3">
          <w:rPr>
            <w:rStyle w:val="Hiperpovezava"/>
            <w:noProof/>
          </w:rPr>
          <w:t>Opis monitoringa vodnih teles površinskih voda in ocena stanja površinskih voda</w:t>
        </w:r>
        <w:r w:rsidR="002F3E43">
          <w:rPr>
            <w:noProof/>
            <w:webHidden/>
          </w:rPr>
          <w:tab/>
        </w:r>
        <w:r w:rsidR="002F3E43">
          <w:rPr>
            <w:noProof/>
            <w:webHidden/>
          </w:rPr>
          <w:fldChar w:fldCharType="begin"/>
        </w:r>
        <w:r w:rsidR="002F3E43">
          <w:rPr>
            <w:noProof/>
            <w:webHidden/>
          </w:rPr>
          <w:instrText xml:space="preserve"> PAGEREF _Toc90261046 \h </w:instrText>
        </w:r>
        <w:r w:rsidR="002F3E43">
          <w:rPr>
            <w:noProof/>
            <w:webHidden/>
          </w:rPr>
        </w:r>
        <w:r w:rsidR="002F3E43">
          <w:rPr>
            <w:noProof/>
            <w:webHidden/>
          </w:rPr>
          <w:fldChar w:fldCharType="separate"/>
        </w:r>
        <w:r w:rsidR="002F3E43">
          <w:rPr>
            <w:noProof/>
            <w:webHidden/>
          </w:rPr>
          <w:t>175</w:t>
        </w:r>
        <w:r w:rsidR="002F3E43">
          <w:rPr>
            <w:noProof/>
            <w:webHidden/>
          </w:rPr>
          <w:fldChar w:fldCharType="end"/>
        </w:r>
      </w:hyperlink>
    </w:p>
    <w:p w14:paraId="1344991C"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47" w:history="1">
        <w:r w:rsidR="002F3E43" w:rsidRPr="006622C3">
          <w:rPr>
            <w:rStyle w:val="Hiperpovezava"/>
            <w:noProof/>
          </w:rPr>
          <w:t>3.1.1</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Opis monitoringa vodnih teles površinskih voda za kemijsko in ekološko stanje</w:t>
        </w:r>
        <w:r w:rsidR="002F3E43">
          <w:rPr>
            <w:noProof/>
            <w:webHidden/>
          </w:rPr>
          <w:tab/>
        </w:r>
        <w:r w:rsidR="002F3E43">
          <w:rPr>
            <w:noProof/>
            <w:webHidden/>
          </w:rPr>
          <w:fldChar w:fldCharType="begin"/>
        </w:r>
        <w:r w:rsidR="002F3E43">
          <w:rPr>
            <w:noProof/>
            <w:webHidden/>
          </w:rPr>
          <w:instrText xml:space="preserve"> PAGEREF _Toc90261047 \h </w:instrText>
        </w:r>
        <w:r w:rsidR="002F3E43">
          <w:rPr>
            <w:noProof/>
            <w:webHidden/>
          </w:rPr>
        </w:r>
        <w:r w:rsidR="002F3E43">
          <w:rPr>
            <w:noProof/>
            <w:webHidden/>
          </w:rPr>
          <w:fldChar w:fldCharType="separate"/>
        </w:r>
        <w:r w:rsidR="002F3E43">
          <w:rPr>
            <w:noProof/>
            <w:webHidden/>
          </w:rPr>
          <w:t>177</w:t>
        </w:r>
        <w:r w:rsidR="002F3E43">
          <w:rPr>
            <w:noProof/>
            <w:webHidden/>
          </w:rPr>
          <w:fldChar w:fldCharType="end"/>
        </w:r>
      </w:hyperlink>
    </w:p>
    <w:p w14:paraId="49B284EA"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48" w:history="1">
        <w:r w:rsidR="002F3E43" w:rsidRPr="006622C3">
          <w:rPr>
            <w:rStyle w:val="Hiperpovezava"/>
            <w:noProof/>
          </w:rPr>
          <w:t>3.1.2</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Ocena kemijskega in ekološkega stanja površinskih voda</w:t>
        </w:r>
        <w:r w:rsidR="002F3E43">
          <w:rPr>
            <w:noProof/>
            <w:webHidden/>
          </w:rPr>
          <w:tab/>
        </w:r>
        <w:r w:rsidR="002F3E43">
          <w:rPr>
            <w:noProof/>
            <w:webHidden/>
          </w:rPr>
          <w:fldChar w:fldCharType="begin"/>
        </w:r>
        <w:r w:rsidR="002F3E43">
          <w:rPr>
            <w:noProof/>
            <w:webHidden/>
          </w:rPr>
          <w:instrText xml:space="preserve"> PAGEREF _Toc90261048 \h </w:instrText>
        </w:r>
        <w:r w:rsidR="002F3E43">
          <w:rPr>
            <w:noProof/>
            <w:webHidden/>
          </w:rPr>
        </w:r>
        <w:r w:rsidR="002F3E43">
          <w:rPr>
            <w:noProof/>
            <w:webHidden/>
          </w:rPr>
          <w:fldChar w:fldCharType="separate"/>
        </w:r>
        <w:r w:rsidR="002F3E43">
          <w:rPr>
            <w:noProof/>
            <w:webHidden/>
          </w:rPr>
          <w:t>182</w:t>
        </w:r>
        <w:r w:rsidR="002F3E43">
          <w:rPr>
            <w:noProof/>
            <w:webHidden/>
          </w:rPr>
          <w:fldChar w:fldCharType="end"/>
        </w:r>
      </w:hyperlink>
    </w:p>
    <w:p w14:paraId="60A1D242"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49" w:history="1">
        <w:r w:rsidR="002F3E43" w:rsidRPr="006622C3">
          <w:rPr>
            <w:rStyle w:val="Hiperpovezava"/>
            <w:noProof/>
          </w:rPr>
          <w:t>3.1.3</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Ocena količinskega stanja površinskih voda in plavin</w:t>
        </w:r>
        <w:r w:rsidR="002F3E43">
          <w:rPr>
            <w:noProof/>
            <w:webHidden/>
          </w:rPr>
          <w:tab/>
        </w:r>
        <w:r w:rsidR="002F3E43">
          <w:rPr>
            <w:noProof/>
            <w:webHidden/>
          </w:rPr>
          <w:fldChar w:fldCharType="begin"/>
        </w:r>
        <w:r w:rsidR="002F3E43">
          <w:rPr>
            <w:noProof/>
            <w:webHidden/>
          </w:rPr>
          <w:instrText xml:space="preserve"> PAGEREF _Toc90261049 \h </w:instrText>
        </w:r>
        <w:r w:rsidR="002F3E43">
          <w:rPr>
            <w:noProof/>
            <w:webHidden/>
          </w:rPr>
        </w:r>
        <w:r w:rsidR="002F3E43">
          <w:rPr>
            <w:noProof/>
            <w:webHidden/>
          </w:rPr>
          <w:fldChar w:fldCharType="separate"/>
        </w:r>
        <w:r w:rsidR="002F3E43">
          <w:rPr>
            <w:noProof/>
            <w:webHidden/>
          </w:rPr>
          <w:t>191</w:t>
        </w:r>
        <w:r w:rsidR="002F3E43">
          <w:rPr>
            <w:noProof/>
            <w:webHidden/>
          </w:rPr>
          <w:fldChar w:fldCharType="end"/>
        </w:r>
      </w:hyperlink>
    </w:p>
    <w:p w14:paraId="3B0C123B"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50" w:history="1">
        <w:r w:rsidR="002F3E43" w:rsidRPr="006622C3">
          <w:rPr>
            <w:rStyle w:val="Hiperpovezava"/>
            <w:noProof/>
          </w:rPr>
          <w:t>3.1.4</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Prikaz programov monitoringov in ocena stanja voda na območjih s posebnimi zahtevami</w:t>
        </w:r>
        <w:r w:rsidR="002F3E43">
          <w:rPr>
            <w:noProof/>
            <w:webHidden/>
          </w:rPr>
          <w:tab/>
        </w:r>
        <w:r w:rsidR="002F3E43">
          <w:rPr>
            <w:noProof/>
            <w:webHidden/>
          </w:rPr>
          <w:fldChar w:fldCharType="begin"/>
        </w:r>
        <w:r w:rsidR="002F3E43">
          <w:rPr>
            <w:noProof/>
            <w:webHidden/>
          </w:rPr>
          <w:instrText xml:space="preserve"> PAGEREF _Toc90261050 \h </w:instrText>
        </w:r>
        <w:r w:rsidR="002F3E43">
          <w:rPr>
            <w:noProof/>
            <w:webHidden/>
          </w:rPr>
        </w:r>
        <w:r w:rsidR="002F3E43">
          <w:rPr>
            <w:noProof/>
            <w:webHidden/>
          </w:rPr>
          <w:fldChar w:fldCharType="separate"/>
        </w:r>
        <w:r w:rsidR="002F3E43">
          <w:rPr>
            <w:noProof/>
            <w:webHidden/>
          </w:rPr>
          <w:t>193</w:t>
        </w:r>
        <w:r w:rsidR="002F3E43">
          <w:rPr>
            <w:noProof/>
            <w:webHidden/>
          </w:rPr>
          <w:fldChar w:fldCharType="end"/>
        </w:r>
      </w:hyperlink>
    </w:p>
    <w:p w14:paraId="59243C9F" w14:textId="77777777" w:rsidR="002F3E43" w:rsidRDefault="00D17419">
      <w:pPr>
        <w:pStyle w:val="Kazalovsebine2"/>
        <w:rPr>
          <w:rFonts w:asciiTheme="minorHAnsi" w:eastAsiaTheme="minorEastAsia" w:hAnsiTheme="minorHAnsi" w:cstheme="minorBidi"/>
          <w:noProof/>
          <w:sz w:val="22"/>
          <w:lang w:eastAsia="sl-SI"/>
        </w:rPr>
      </w:pPr>
      <w:hyperlink w:anchor="_Toc90261051" w:history="1">
        <w:r w:rsidR="002F3E43" w:rsidRPr="006622C3">
          <w:rPr>
            <w:rStyle w:val="Hiperpovezava"/>
            <w:noProof/>
          </w:rPr>
          <w:t>3.2</w:t>
        </w:r>
        <w:r w:rsidR="002F3E43">
          <w:rPr>
            <w:rFonts w:asciiTheme="minorHAnsi" w:eastAsiaTheme="minorEastAsia" w:hAnsiTheme="minorHAnsi" w:cstheme="minorBidi"/>
            <w:noProof/>
            <w:sz w:val="22"/>
            <w:lang w:eastAsia="sl-SI"/>
          </w:rPr>
          <w:tab/>
        </w:r>
        <w:r w:rsidR="002F3E43" w:rsidRPr="006622C3">
          <w:rPr>
            <w:rStyle w:val="Hiperpovezava"/>
            <w:noProof/>
          </w:rPr>
          <w:t>Opis monitoringa vodnih teles podzemnih voda in ocena stanja podzemnih voda</w:t>
        </w:r>
        <w:r w:rsidR="002F3E43">
          <w:rPr>
            <w:noProof/>
            <w:webHidden/>
          </w:rPr>
          <w:tab/>
        </w:r>
        <w:r w:rsidR="002F3E43">
          <w:rPr>
            <w:noProof/>
            <w:webHidden/>
          </w:rPr>
          <w:fldChar w:fldCharType="begin"/>
        </w:r>
        <w:r w:rsidR="002F3E43">
          <w:rPr>
            <w:noProof/>
            <w:webHidden/>
          </w:rPr>
          <w:instrText xml:space="preserve"> PAGEREF _Toc90261051 \h </w:instrText>
        </w:r>
        <w:r w:rsidR="002F3E43">
          <w:rPr>
            <w:noProof/>
            <w:webHidden/>
          </w:rPr>
        </w:r>
        <w:r w:rsidR="002F3E43">
          <w:rPr>
            <w:noProof/>
            <w:webHidden/>
          </w:rPr>
          <w:fldChar w:fldCharType="separate"/>
        </w:r>
        <w:r w:rsidR="002F3E43">
          <w:rPr>
            <w:noProof/>
            <w:webHidden/>
          </w:rPr>
          <w:t>195</w:t>
        </w:r>
        <w:r w:rsidR="002F3E43">
          <w:rPr>
            <w:noProof/>
            <w:webHidden/>
          </w:rPr>
          <w:fldChar w:fldCharType="end"/>
        </w:r>
      </w:hyperlink>
    </w:p>
    <w:p w14:paraId="5E367BC6"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52" w:history="1">
        <w:r w:rsidR="002F3E43" w:rsidRPr="006622C3">
          <w:rPr>
            <w:rStyle w:val="Hiperpovezava"/>
            <w:noProof/>
          </w:rPr>
          <w:t>3.2.1</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Program monitoringa in ocena količinskega stanja podzemnih voda</w:t>
        </w:r>
        <w:r w:rsidR="002F3E43">
          <w:rPr>
            <w:noProof/>
            <w:webHidden/>
          </w:rPr>
          <w:tab/>
        </w:r>
        <w:r w:rsidR="002F3E43">
          <w:rPr>
            <w:noProof/>
            <w:webHidden/>
          </w:rPr>
          <w:fldChar w:fldCharType="begin"/>
        </w:r>
        <w:r w:rsidR="002F3E43">
          <w:rPr>
            <w:noProof/>
            <w:webHidden/>
          </w:rPr>
          <w:instrText xml:space="preserve"> PAGEREF _Toc90261052 \h </w:instrText>
        </w:r>
        <w:r w:rsidR="002F3E43">
          <w:rPr>
            <w:noProof/>
            <w:webHidden/>
          </w:rPr>
        </w:r>
        <w:r w:rsidR="002F3E43">
          <w:rPr>
            <w:noProof/>
            <w:webHidden/>
          </w:rPr>
          <w:fldChar w:fldCharType="separate"/>
        </w:r>
        <w:r w:rsidR="002F3E43">
          <w:rPr>
            <w:noProof/>
            <w:webHidden/>
          </w:rPr>
          <w:t>195</w:t>
        </w:r>
        <w:r w:rsidR="002F3E43">
          <w:rPr>
            <w:noProof/>
            <w:webHidden/>
          </w:rPr>
          <w:fldChar w:fldCharType="end"/>
        </w:r>
      </w:hyperlink>
    </w:p>
    <w:p w14:paraId="6B3736DD"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53" w:history="1">
        <w:r w:rsidR="002F3E43" w:rsidRPr="006622C3">
          <w:rPr>
            <w:rStyle w:val="Hiperpovezava"/>
            <w:noProof/>
          </w:rPr>
          <w:t>3.2.2</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Program monitoringa in ocena kemijskega stanja podzemne vode</w:t>
        </w:r>
        <w:r w:rsidR="002F3E43">
          <w:rPr>
            <w:noProof/>
            <w:webHidden/>
          </w:rPr>
          <w:tab/>
        </w:r>
        <w:r w:rsidR="002F3E43">
          <w:rPr>
            <w:noProof/>
            <w:webHidden/>
          </w:rPr>
          <w:fldChar w:fldCharType="begin"/>
        </w:r>
        <w:r w:rsidR="002F3E43">
          <w:rPr>
            <w:noProof/>
            <w:webHidden/>
          </w:rPr>
          <w:instrText xml:space="preserve"> PAGEREF _Toc90261053 \h </w:instrText>
        </w:r>
        <w:r w:rsidR="002F3E43">
          <w:rPr>
            <w:noProof/>
            <w:webHidden/>
          </w:rPr>
        </w:r>
        <w:r w:rsidR="002F3E43">
          <w:rPr>
            <w:noProof/>
            <w:webHidden/>
          </w:rPr>
          <w:fldChar w:fldCharType="separate"/>
        </w:r>
        <w:r w:rsidR="002F3E43">
          <w:rPr>
            <w:noProof/>
            <w:webHidden/>
          </w:rPr>
          <w:t>206</w:t>
        </w:r>
        <w:r w:rsidR="002F3E43">
          <w:rPr>
            <w:noProof/>
            <w:webHidden/>
          </w:rPr>
          <w:fldChar w:fldCharType="end"/>
        </w:r>
      </w:hyperlink>
    </w:p>
    <w:p w14:paraId="4040B79E" w14:textId="77777777" w:rsidR="002F3E43" w:rsidRDefault="00D17419">
      <w:pPr>
        <w:pStyle w:val="Kazalovsebine1"/>
        <w:rPr>
          <w:rFonts w:asciiTheme="minorHAnsi" w:eastAsiaTheme="minorEastAsia" w:hAnsiTheme="minorHAnsi" w:cstheme="minorBidi"/>
          <w:bCs w:val="0"/>
          <w:caps w:val="0"/>
          <w:noProof/>
          <w:sz w:val="22"/>
          <w:szCs w:val="22"/>
          <w:lang w:eastAsia="sl-SI"/>
        </w:rPr>
      </w:pPr>
      <w:hyperlink w:anchor="_Toc90261054" w:history="1">
        <w:r w:rsidR="002F3E43" w:rsidRPr="006622C3">
          <w:rPr>
            <w:rStyle w:val="Hiperpovezava"/>
            <w:noProof/>
          </w:rPr>
          <w:t>4</w:t>
        </w:r>
        <w:r w:rsidR="002F3E43">
          <w:rPr>
            <w:rFonts w:asciiTheme="minorHAnsi" w:eastAsiaTheme="minorEastAsia" w:hAnsiTheme="minorHAnsi" w:cstheme="minorBidi"/>
            <w:bCs w:val="0"/>
            <w:caps w:val="0"/>
            <w:noProof/>
            <w:sz w:val="22"/>
            <w:szCs w:val="22"/>
            <w:lang w:eastAsia="sl-SI"/>
          </w:rPr>
          <w:tab/>
        </w:r>
        <w:r w:rsidR="002F3E43" w:rsidRPr="006622C3">
          <w:rPr>
            <w:rStyle w:val="Hiperpovezava"/>
            <w:noProof/>
          </w:rPr>
          <w:t>PREGLED POMEMBNIH ZADEV UPRAVLJANJA VODA</w:t>
        </w:r>
        <w:r w:rsidR="002F3E43">
          <w:rPr>
            <w:noProof/>
            <w:webHidden/>
          </w:rPr>
          <w:tab/>
        </w:r>
        <w:r w:rsidR="002F3E43">
          <w:rPr>
            <w:noProof/>
            <w:webHidden/>
          </w:rPr>
          <w:fldChar w:fldCharType="begin"/>
        </w:r>
        <w:r w:rsidR="002F3E43">
          <w:rPr>
            <w:noProof/>
            <w:webHidden/>
          </w:rPr>
          <w:instrText xml:space="preserve"> PAGEREF _Toc90261054 \h </w:instrText>
        </w:r>
        <w:r w:rsidR="002F3E43">
          <w:rPr>
            <w:noProof/>
            <w:webHidden/>
          </w:rPr>
        </w:r>
        <w:r w:rsidR="002F3E43">
          <w:rPr>
            <w:noProof/>
            <w:webHidden/>
          </w:rPr>
          <w:fldChar w:fldCharType="separate"/>
        </w:r>
        <w:r w:rsidR="002F3E43">
          <w:rPr>
            <w:noProof/>
            <w:webHidden/>
          </w:rPr>
          <w:t>218</w:t>
        </w:r>
        <w:r w:rsidR="002F3E43">
          <w:rPr>
            <w:noProof/>
            <w:webHidden/>
          </w:rPr>
          <w:fldChar w:fldCharType="end"/>
        </w:r>
      </w:hyperlink>
    </w:p>
    <w:p w14:paraId="0DD1017E" w14:textId="77777777" w:rsidR="002F3E43" w:rsidRDefault="00D17419">
      <w:pPr>
        <w:pStyle w:val="Kazalovsebine2"/>
        <w:rPr>
          <w:rFonts w:asciiTheme="minorHAnsi" w:eastAsiaTheme="minorEastAsia" w:hAnsiTheme="minorHAnsi" w:cstheme="minorBidi"/>
          <w:noProof/>
          <w:sz w:val="22"/>
          <w:lang w:eastAsia="sl-SI"/>
        </w:rPr>
      </w:pPr>
      <w:hyperlink w:anchor="_Toc90261055" w:history="1">
        <w:r w:rsidR="002F3E43" w:rsidRPr="006622C3">
          <w:rPr>
            <w:rStyle w:val="Hiperpovezava"/>
            <w:noProof/>
          </w:rPr>
          <w:t>4.1</w:t>
        </w:r>
        <w:r w:rsidR="002F3E43">
          <w:rPr>
            <w:rFonts w:asciiTheme="minorHAnsi" w:eastAsiaTheme="minorEastAsia" w:hAnsiTheme="minorHAnsi" w:cstheme="minorBidi"/>
            <w:noProof/>
            <w:sz w:val="22"/>
            <w:lang w:eastAsia="sl-SI"/>
          </w:rPr>
          <w:tab/>
        </w:r>
        <w:r w:rsidR="002F3E43" w:rsidRPr="006622C3">
          <w:rPr>
            <w:rStyle w:val="Hiperpovezava"/>
            <w:noProof/>
          </w:rPr>
          <w:t>Pregled zadev, za katere se ocenjuje, da predstavljajo glavne okoljske probleme na območju načrta upravljanja voda in jih je treba obravnavati v načrtu upravljanja voda in programu ukrepov</w:t>
        </w:r>
        <w:r w:rsidR="002F3E43">
          <w:rPr>
            <w:noProof/>
            <w:webHidden/>
          </w:rPr>
          <w:tab/>
        </w:r>
        <w:r w:rsidR="002F3E43">
          <w:rPr>
            <w:noProof/>
            <w:webHidden/>
          </w:rPr>
          <w:fldChar w:fldCharType="begin"/>
        </w:r>
        <w:r w:rsidR="002F3E43">
          <w:rPr>
            <w:noProof/>
            <w:webHidden/>
          </w:rPr>
          <w:instrText xml:space="preserve"> PAGEREF _Toc90261055 \h </w:instrText>
        </w:r>
        <w:r w:rsidR="002F3E43">
          <w:rPr>
            <w:noProof/>
            <w:webHidden/>
          </w:rPr>
        </w:r>
        <w:r w:rsidR="002F3E43">
          <w:rPr>
            <w:noProof/>
            <w:webHidden/>
          </w:rPr>
          <w:fldChar w:fldCharType="separate"/>
        </w:r>
        <w:r w:rsidR="002F3E43">
          <w:rPr>
            <w:noProof/>
            <w:webHidden/>
          </w:rPr>
          <w:t>218</w:t>
        </w:r>
        <w:r w:rsidR="002F3E43">
          <w:rPr>
            <w:noProof/>
            <w:webHidden/>
          </w:rPr>
          <w:fldChar w:fldCharType="end"/>
        </w:r>
      </w:hyperlink>
    </w:p>
    <w:p w14:paraId="2632F121" w14:textId="77777777" w:rsidR="002F3E43" w:rsidRDefault="00D17419">
      <w:pPr>
        <w:pStyle w:val="Kazalovsebine2"/>
        <w:rPr>
          <w:rFonts w:asciiTheme="minorHAnsi" w:eastAsiaTheme="minorEastAsia" w:hAnsiTheme="minorHAnsi" w:cstheme="minorBidi"/>
          <w:noProof/>
          <w:sz w:val="22"/>
          <w:lang w:eastAsia="sl-SI"/>
        </w:rPr>
      </w:pPr>
      <w:hyperlink w:anchor="_Toc90261056" w:history="1">
        <w:r w:rsidR="002F3E43" w:rsidRPr="006622C3">
          <w:rPr>
            <w:rStyle w:val="Hiperpovezava"/>
            <w:noProof/>
          </w:rPr>
          <w:t>4.2</w:t>
        </w:r>
        <w:r w:rsidR="002F3E43">
          <w:rPr>
            <w:rFonts w:asciiTheme="minorHAnsi" w:eastAsiaTheme="minorEastAsia" w:hAnsiTheme="minorHAnsi" w:cstheme="minorBidi"/>
            <w:noProof/>
            <w:sz w:val="22"/>
            <w:lang w:eastAsia="sl-SI"/>
          </w:rPr>
          <w:tab/>
        </w:r>
        <w:r w:rsidR="002F3E43" w:rsidRPr="006622C3">
          <w:rPr>
            <w:rStyle w:val="Hiperpovezava"/>
            <w:noProof/>
          </w:rPr>
          <w:t>Razpoložljivi podatki in analize, ki kažejo na pojav podnebnih sprememb na območju</w:t>
        </w:r>
        <w:r w:rsidR="002F3E43">
          <w:rPr>
            <w:noProof/>
            <w:webHidden/>
          </w:rPr>
          <w:tab/>
        </w:r>
        <w:r w:rsidR="002F3E43">
          <w:rPr>
            <w:noProof/>
            <w:webHidden/>
          </w:rPr>
          <w:fldChar w:fldCharType="begin"/>
        </w:r>
        <w:r w:rsidR="002F3E43">
          <w:rPr>
            <w:noProof/>
            <w:webHidden/>
          </w:rPr>
          <w:instrText xml:space="preserve"> PAGEREF _Toc90261056 \h </w:instrText>
        </w:r>
        <w:r w:rsidR="002F3E43">
          <w:rPr>
            <w:noProof/>
            <w:webHidden/>
          </w:rPr>
        </w:r>
        <w:r w:rsidR="002F3E43">
          <w:rPr>
            <w:noProof/>
            <w:webHidden/>
          </w:rPr>
          <w:fldChar w:fldCharType="separate"/>
        </w:r>
        <w:r w:rsidR="002F3E43">
          <w:rPr>
            <w:noProof/>
            <w:webHidden/>
          </w:rPr>
          <w:t>224</w:t>
        </w:r>
        <w:r w:rsidR="002F3E43">
          <w:rPr>
            <w:noProof/>
            <w:webHidden/>
          </w:rPr>
          <w:fldChar w:fldCharType="end"/>
        </w:r>
      </w:hyperlink>
    </w:p>
    <w:p w14:paraId="0B5934DE"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57" w:history="1">
        <w:r w:rsidR="002F3E43" w:rsidRPr="006622C3">
          <w:rPr>
            <w:rStyle w:val="Hiperpovezava"/>
            <w:noProof/>
          </w:rPr>
          <w:t>4.2.1</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Ugotovljene podnebne spremembe v Sloveniji v obdobju 1961-2011</w:t>
        </w:r>
        <w:r w:rsidR="002F3E43">
          <w:rPr>
            <w:noProof/>
            <w:webHidden/>
          </w:rPr>
          <w:tab/>
        </w:r>
        <w:r w:rsidR="002F3E43">
          <w:rPr>
            <w:noProof/>
            <w:webHidden/>
          </w:rPr>
          <w:fldChar w:fldCharType="begin"/>
        </w:r>
        <w:r w:rsidR="002F3E43">
          <w:rPr>
            <w:noProof/>
            <w:webHidden/>
          </w:rPr>
          <w:instrText xml:space="preserve"> PAGEREF _Toc90261057 \h </w:instrText>
        </w:r>
        <w:r w:rsidR="002F3E43">
          <w:rPr>
            <w:noProof/>
            <w:webHidden/>
          </w:rPr>
        </w:r>
        <w:r w:rsidR="002F3E43">
          <w:rPr>
            <w:noProof/>
            <w:webHidden/>
          </w:rPr>
          <w:fldChar w:fldCharType="separate"/>
        </w:r>
        <w:r w:rsidR="002F3E43">
          <w:rPr>
            <w:noProof/>
            <w:webHidden/>
          </w:rPr>
          <w:t>224</w:t>
        </w:r>
        <w:r w:rsidR="002F3E43">
          <w:rPr>
            <w:noProof/>
            <w:webHidden/>
          </w:rPr>
          <w:fldChar w:fldCharType="end"/>
        </w:r>
      </w:hyperlink>
    </w:p>
    <w:p w14:paraId="784DCCC3"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58" w:history="1">
        <w:r w:rsidR="002F3E43" w:rsidRPr="006622C3">
          <w:rPr>
            <w:rStyle w:val="Hiperpovezava"/>
            <w:noProof/>
          </w:rPr>
          <w:t>4.2.2</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Spremembe hidroloških spremenljivk in trendi površinskih voda</w:t>
        </w:r>
        <w:r w:rsidR="002F3E43">
          <w:rPr>
            <w:noProof/>
            <w:webHidden/>
          </w:rPr>
          <w:tab/>
        </w:r>
        <w:r w:rsidR="002F3E43">
          <w:rPr>
            <w:noProof/>
            <w:webHidden/>
          </w:rPr>
          <w:fldChar w:fldCharType="begin"/>
        </w:r>
        <w:r w:rsidR="002F3E43">
          <w:rPr>
            <w:noProof/>
            <w:webHidden/>
          </w:rPr>
          <w:instrText xml:space="preserve"> PAGEREF _Toc90261058 \h </w:instrText>
        </w:r>
        <w:r w:rsidR="002F3E43">
          <w:rPr>
            <w:noProof/>
            <w:webHidden/>
          </w:rPr>
        </w:r>
        <w:r w:rsidR="002F3E43">
          <w:rPr>
            <w:noProof/>
            <w:webHidden/>
          </w:rPr>
          <w:fldChar w:fldCharType="separate"/>
        </w:r>
        <w:r w:rsidR="002F3E43">
          <w:rPr>
            <w:noProof/>
            <w:webHidden/>
          </w:rPr>
          <w:t>225</w:t>
        </w:r>
        <w:r w:rsidR="002F3E43">
          <w:rPr>
            <w:noProof/>
            <w:webHidden/>
          </w:rPr>
          <w:fldChar w:fldCharType="end"/>
        </w:r>
      </w:hyperlink>
    </w:p>
    <w:p w14:paraId="5BB543CF"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59" w:history="1">
        <w:r w:rsidR="002F3E43" w:rsidRPr="006622C3">
          <w:rPr>
            <w:rStyle w:val="Hiperpovezava"/>
            <w:noProof/>
          </w:rPr>
          <w:t>4.2.3</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Spremembe količinskega stanja podzemnih voda</w:t>
        </w:r>
        <w:r w:rsidR="002F3E43">
          <w:rPr>
            <w:noProof/>
            <w:webHidden/>
          </w:rPr>
          <w:tab/>
        </w:r>
        <w:r w:rsidR="002F3E43">
          <w:rPr>
            <w:noProof/>
            <w:webHidden/>
          </w:rPr>
          <w:fldChar w:fldCharType="begin"/>
        </w:r>
        <w:r w:rsidR="002F3E43">
          <w:rPr>
            <w:noProof/>
            <w:webHidden/>
          </w:rPr>
          <w:instrText xml:space="preserve"> PAGEREF _Toc90261059 \h </w:instrText>
        </w:r>
        <w:r w:rsidR="002F3E43">
          <w:rPr>
            <w:noProof/>
            <w:webHidden/>
          </w:rPr>
        </w:r>
        <w:r w:rsidR="002F3E43">
          <w:rPr>
            <w:noProof/>
            <w:webHidden/>
          </w:rPr>
          <w:fldChar w:fldCharType="separate"/>
        </w:r>
        <w:r w:rsidR="002F3E43">
          <w:rPr>
            <w:noProof/>
            <w:webHidden/>
          </w:rPr>
          <w:t>226</w:t>
        </w:r>
        <w:r w:rsidR="002F3E43">
          <w:rPr>
            <w:noProof/>
            <w:webHidden/>
          </w:rPr>
          <w:fldChar w:fldCharType="end"/>
        </w:r>
      </w:hyperlink>
    </w:p>
    <w:p w14:paraId="53F7367D"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60" w:history="1">
        <w:r w:rsidR="002F3E43" w:rsidRPr="006622C3">
          <w:rPr>
            <w:rStyle w:val="Hiperpovezava"/>
            <w:noProof/>
          </w:rPr>
          <w:t>4.2.4</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Scenariji izpustov toplogrednih plinov po metodologiji IPCC</w:t>
        </w:r>
        <w:r w:rsidR="002F3E43">
          <w:rPr>
            <w:noProof/>
            <w:webHidden/>
          </w:rPr>
          <w:tab/>
        </w:r>
        <w:r w:rsidR="002F3E43">
          <w:rPr>
            <w:noProof/>
            <w:webHidden/>
          </w:rPr>
          <w:fldChar w:fldCharType="begin"/>
        </w:r>
        <w:r w:rsidR="002F3E43">
          <w:rPr>
            <w:noProof/>
            <w:webHidden/>
          </w:rPr>
          <w:instrText xml:space="preserve"> PAGEREF _Toc90261060 \h </w:instrText>
        </w:r>
        <w:r w:rsidR="002F3E43">
          <w:rPr>
            <w:noProof/>
            <w:webHidden/>
          </w:rPr>
        </w:r>
        <w:r w:rsidR="002F3E43">
          <w:rPr>
            <w:noProof/>
            <w:webHidden/>
          </w:rPr>
          <w:fldChar w:fldCharType="separate"/>
        </w:r>
        <w:r w:rsidR="002F3E43">
          <w:rPr>
            <w:noProof/>
            <w:webHidden/>
          </w:rPr>
          <w:t>227</w:t>
        </w:r>
        <w:r w:rsidR="002F3E43">
          <w:rPr>
            <w:noProof/>
            <w:webHidden/>
          </w:rPr>
          <w:fldChar w:fldCharType="end"/>
        </w:r>
      </w:hyperlink>
    </w:p>
    <w:p w14:paraId="4DF22E87"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61" w:history="1">
        <w:r w:rsidR="002F3E43" w:rsidRPr="006622C3">
          <w:rPr>
            <w:rStyle w:val="Hiperpovezava"/>
            <w:noProof/>
          </w:rPr>
          <w:t>4.2.5</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Podnebne spremembe in sprememba temperature zraka v Sloveniji</w:t>
        </w:r>
        <w:r w:rsidR="002F3E43">
          <w:rPr>
            <w:noProof/>
            <w:webHidden/>
          </w:rPr>
          <w:tab/>
        </w:r>
        <w:r w:rsidR="002F3E43">
          <w:rPr>
            <w:noProof/>
            <w:webHidden/>
          </w:rPr>
          <w:fldChar w:fldCharType="begin"/>
        </w:r>
        <w:r w:rsidR="002F3E43">
          <w:rPr>
            <w:noProof/>
            <w:webHidden/>
          </w:rPr>
          <w:instrText xml:space="preserve"> PAGEREF _Toc90261061 \h </w:instrText>
        </w:r>
        <w:r w:rsidR="002F3E43">
          <w:rPr>
            <w:noProof/>
            <w:webHidden/>
          </w:rPr>
        </w:r>
        <w:r w:rsidR="002F3E43">
          <w:rPr>
            <w:noProof/>
            <w:webHidden/>
          </w:rPr>
          <w:fldChar w:fldCharType="separate"/>
        </w:r>
        <w:r w:rsidR="002F3E43">
          <w:rPr>
            <w:noProof/>
            <w:webHidden/>
          </w:rPr>
          <w:t>228</w:t>
        </w:r>
        <w:r w:rsidR="002F3E43">
          <w:rPr>
            <w:noProof/>
            <w:webHidden/>
          </w:rPr>
          <w:fldChar w:fldCharType="end"/>
        </w:r>
      </w:hyperlink>
    </w:p>
    <w:p w14:paraId="5EEFD811"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62" w:history="1">
        <w:r w:rsidR="002F3E43" w:rsidRPr="006622C3">
          <w:rPr>
            <w:rStyle w:val="Hiperpovezava"/>
            <w:noProof/>
          </w:rPr>
          <w:t>4.2.6</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Podnebne spremembe in sprememba padavin v Sloveniji</w:t>
        </w:r>
        <w:r w:rsidR="002F3E43">
          <w:rPr>
            <w:noProof/>
            <w:webHidden/>
          </w:rPr>
          <w:tab/>
        </w:r>
        <w:r w:rsidR="002F3E43">
          <w:rPr>
            <w:noProof/>
            <w:webHidden/>
          </w:rPr>
          <w:fldChar w:fldCharType="begin"/>
        </w:r>
        <w:r w:rsidR="002F3E43">
          <w:rPr>
            <w:noProof/>
            <w:webHidden/>
          </w:rPr>
          <w:instrText xml:space="preserve"> PAGEREF _Toc90261062 \h </w:instrText>
        </w:r>
        <w:r w:rsidR="002F3E43">
          <w:rPr>
            <w:noProof/>
            <w:webHidden/>
          </w:rPr>
        </w:r>
        <w:r w:rsidR="002F3E43">
          <w:rPr>
            <w:noProof/>
            <w:webHidden/>
          </w:rPr>
          <w:fldChar w:fldCharType="separate"/>
        </w:r>
        <w:r w:rsidR="002F3E43">
          <w:rPr>
            <w:noProof/>
            <w:webHidden/>
          </w:rPr>
          <w:t>228</w:t>
        </w:r>
        <w:r w:rsidR="002F3E43">
          <w:rPr>
            <w:noProof/>
            <w:webHidden/>
          </w:rPr>
          <w:fldChar w:fldCharType="end"/>
        </w:r>
      </w:hyperlink>
    </w:p>
    <w:p w14:paraId="3240FB03"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63" w:history="1">
        <w:r w:rsidR="002F3E43" w:rsidRPr="006622C3">
          <w:rPr>
            <w:rStyle w:val="Hiperpovezava"/>
            <w:noProof/>
          </w:rPr>
          <w:t>4.2.7</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Podnebne spremembe in spremembe referenčne evapotranspiracije v Sloveniji</w:t>
        </w:r>
        <w:r w:rsidR="002F3E43">
          <w:rPr>
            <w:noProof/>
            <w:webHidden/>
          </w:rPr>
          <w:tab/>
        </w:r>
        <w:r w:rsidR="002F3E43">
          <w:rPr>
            <w:noProof/>
            <w:webHidden/>
          </w:rPr>
          <w:fldChar w:fldCharType="begin"/>
        </w:r>
        <w:r w:rsidR="002F3E43">
          <w:rPr>
            <w:noProof/>
            <w:webHidden/>
          </w:rPr>
          <w:instrText xml:space="preserve"> PAGEREF _Toc90261063 \h </w:instrText>
        </w:r>
        <w:r w:rsidR="002F3E43">
          <w:rPr>
            <w:noProof/>
            <w:webHidden/>
          </w:rPr>
        </w:r>
        <w:r w:rsidR="002F3E43">
          <w:rPr>
            <w:noProof/>
            <w:webHidden/>
          </w:rPr>
          <w:fldChar w:fldCharType="separate"/>
        </w:r>
        <w:r w:rsidR="002F3E43">
          <w:rPr>
            <w:noProof/>
            <w:webHidden/>
          </w:rPr>
          <w:t>229</w:t>
        </w:r>
        <w:r w:rsidR="002F3E43">
          <w:rPr>
            <w:noProof/>
            <w:webHidden/>
          </w:rPr>
          <w:fldChar w:fldCharType="end"/>
        </w:r>
      </w:hyperlink>
    </w:p>
    <w:p w14:paraId="01EA7F14"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64" w:history="1">
        <w:r w:rsidR="002F3E43" w:rsidRPr="006622C3">
          <w:rPr>
            <w:rStyle w:val="Hiperpovezava"/>
            <w:noProof/>
          </w:rPr>
          <w:t>4.2.8</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Podnebne spremembe in spremembe srednjih pretokov rek v Sloveniji</w:t>
        </w:r>
        <w:r w:rsidR="002F3E43">
          <w:rPr>
            <w:noProof/>
            <w:webHidden/>
          </w:rPr>
          <w:tab/>
        </w:r>
        <w:r w:rsidR="002F3E43">
          <w:rPr>
            <w:noProof/>
            <w:webHidden/>
          </w:rPr>
          <w:fldChar w:fldCharType="begin"/>
        </w:r>
        <w:r w:rsidR="002F3E43">
          <w:rPr>
            <w:noProof/>
            <w:webHidden/>
          </w:rPr>
          <w:instrText xml:space="preserve"> PAGEREF _Toc90261064 \h </w:instrText>
        </w:r>
        <w:r w:rsidR="002F3E43">
          <w:rPr>
            <w:noProof/>
            <w:webHidden/>
          </w:rPr>
        </w:r>
        <w:r w:rsidR="002F3E43">
          <w:rPr>
            <w:noProof/>
            <w:webHidden/>
          </w:rPr>
          <w:fldChar w:fldCharType="separate"/>
        </w:r>
        <w:r w:rsidR="002F3E43">
          <w:rPr>
            <w:noProof/>
            <w:webHidden/>
          </w:rPr>
          <w:t>229</w:t>
        </w:r>
        <w:r w:rsidR="002F3E43">
          <w:rPr>
            <w:noProof/>
            <w:webHidden/>
          </w:rPr>
          <w:fldChar w:fldCharType="end"/>
        </w:r>
      </w:hyperlink>
    </w:p>
    <w:p w14:paraId="1C19E5B4"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65" w:history="1">
        <w:r w:rsidR="002F3E43" w:rsidRPr="006622C3">
          <w:rPr>
            <w:rStyle w:val="Hiperpovezava"/>
            <w:noProof/>
          </w:rPr>
          <w:t>4.2.9</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Podnebne spremembe in spremembe velikih pretokov rek v Sloveniji</w:t>
        </w:r>
        <w:r w:rsidR="002F3E43">
          <w:rPr>
            <w:noProof/>
            <w:webHidden/>
          </w:rPr>
          <w:tab/>
        </w:r>
        <w:r w:rsidR="002F3E43">
          <w:rPr>
            <w:noProof/>
            <w:webHidden/>
          </w:rPr>
          <w:fldChar w:fldCharType="begin"/>
        </w:r>
        <w:r w:rsidR="002F3E43">
          <w:rPr>
            <w:noProof/>
            <w:webHidden/>
          </w:rPr>
          <w:instrText xml:space="preserve"> PAGEREF _Toc90261065 \h </w:instrText>
        </w:r>
        <w:r w:rsidR="002F3E43">
          <w:rPr>
            <w:noProof/>
            <w:webHidden/>
          </w:rPr>
        </w:r>
        <w:r w:rsidR="002F3E43">
          <w:rPr>
            <w:noProof/>
            <w:webHidden/>
          </w:rPr>
          <w:fldChar w:fldCharType="separate"/>
        </w:r>
        <w:r w:rsidR="002F3E43">
          <w:rPr>
            <w:noProof/>
            <w:webHidden/>
          </w:rPr>
          <w:t>230</w:t>
        </w:r>
        <w:r w:rsidR="002F3E43">
          <w:rPr>
            <w:noProof/>
            <w:webHidden/>
          </w:rPr>
          <w:fldChar w:fldCharType="end"/>
        </w:r>
      </w:hyperlink>
    </w:p>
    <w:p w14:paraId="288DF027"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66" w:history="1">
        <w:r w:rsidR="002F3E43" w:rsidRPr="006622C3">
          <w:rPr>
            <w:rStyle w:val="Hiperpovezava"/>
            <w:noProof/>
          </w:rPr>
          <w:t>4.2.10</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Podnebne spremembe in spremembe malih pretokov rek v Sloveniji</w:t>
        </w:r>
        <w:r w:rsidR="002F3E43">
          <w:rPr>
            <w:noProof/>
            <w:webHidden/>
          </w:rPr>
          <w:tab/>
        </w:r>
        <w:r w:rsidR="002F3E43">
          <w:rPr>
            <w:noProof/>
            <w:webHidden/>
          </w:rPr>
          <w:fldChar w:fldCharType="begin"/>
        </w:r>
        <w:r w:rsidR="002F3E43">
          <w:rPr>
            <w:noProof/>
            <w:webHidden/>
          </w:rPr>
          <w:instrText xml:space="preserve"> PAGEREF _Toc90261066 \h </w:instrText>
        </w:r>
        <w:r w:rsidR="002F3E43">
          <w:rPr>
            <w:noProof/>
            <w:webHidden/>
          </w:rPr>
        </w:r>
        <w:r w:rsidR="002F3E43">
          <w:rPr>
            <w:noProof/>
            <w:webHidden/>
          </w:rPr>
          <w:fldChar w:fldCharType="separate"/>
        </w:r>
        <w:r w:rsidR="002F3E43">
          <w:rPr>
            <w:noProof/>
            <w:webHidden/>
          </w:rPr>
          <w:t>230</w:t>
        </w:r>
        <w:r w:rsidR="002F3E43">
          <w:rPr>
            <w:noProof/>
            <w:webHidden/>
          </w:rPr>
          <w:fldChar w:fldCharType="end"/>
        </w:r>
      </w:hyperlink>
    </w:p>
    <w:p w14:paraId="6842D6C4"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67" w:history="1">
        <w:r w:rsidR="002F3E43" w:rsidRPr="006622C3">
          <w:rPr>
            <w:rStyle w:val="Hiperpovezava"/>
            <w:noProof/>
          </w:rPr>
          <w:t>4.2.11</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Podnebne spremembe in sprememba napajanja podzemne vode v Sloveniji</w:t>
        </w:r>
        <w:r w:rsidR="002F3E43">
          <w:rPr>
            <w:noProof/>
            <w:webHidden/>
          </w:rPr>
          <w:tab/>
        </w:r>
        <w:r w:rsidR="002F3E43">
          <w:rPr>
            <w:noProof/>
            <w:webHidden/>
          </w:rPr>
          <w:fldChar w:fldCharType="begin"/>
        </w:r>
        <w:r w:rsidR="002F3E43">
          <w:rPr>
            <w:noProof/>
            <w:webHidden/>
          </w:rPr>
          <w:instrText xml:space="preserve"> PAGEREF _Toc90261067 \h </w:instrText>
        </w:r>
        <w:r w:rsidR="002F3E43">
          <w:rPr>
            <w:noProof/>
            <w:webHidden/>
          </w:rPr>
        </w:r>
        <w:r w:rsidR="002F3E43">
          <w:rPr>
            <w:noProof/>
            <w:webHidden/>
          </w:rPr>
          <w:fldChar w:fldCharType="separate"/>
        </w:r>
        <w:r w:rsidR="002F3E43">
          <w:rPr>
            <w:noProof/>
            <w:webHidden/>
          </w:rPr>
          <w:t>231</w:t>
        </w:r>
        <w:r w:rsidR="002F3E43">
          <w:rPr>
            <w:noProof/>
            <w:webHidden/>
          </w:rPr>
          <w:fldChar w:fldCharType="end"/>
        </w:r>
      </w:hyperlink>
    </w:p>
    <w:p w14:paraId="67360BCC"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68" w:history="1">
        <w:r w:rsidR="002F3E43" w:rsidRPr="006622C3">
          <w:rPr>
            <w:rStyle w:val="Hiperpovezava"/>
            <w:noProof/>
          </w:rPr>
          <w:t>4.2.12</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Podnebne spremembe in sprememba temperature vode v Sloveniji</w:t>
        </w:r>
        <w:r w:rsidR="002F3E43">
          <w:rPr>
            <w:noProof/>
            <w:webHidden/>
          </w:rPr>
          <w:tab/>
        </w:r>
        <w:r w:rsidR="002F3E43">
          <w:rPr>
            <w:noProof/>
            <w:webHidden/>
          </w:rPr>
          <w:fldChar w:fldCharType="begin"/>
        </w:r>
        <w:r w:rsidR="002F3E43">
          <w:rPr>
            <w:noProof/>
            <w:webHidden/>
          </w:rPr>
          <w:instrText xml:space="preserve"> PAGEREF _Toc90261068 \h </w:instrText>
        </w:r>
        <w:r w:rsidR="002F3E43">
          <w:rPr>
            <w:noProof/>
            <w:webHidden/>
          </w:rPr>
        </w:r>
        <w:r w:rsidR="002F3E43">
          <w:rPr>
            <w:noProof/>
            <w:webHidden/>
          </w:rPr>
          <w:fldChar w:fldCharType="separate"/>
        </w:r>
        <w:r w:rsidR="002F3E43">
          <w:rPr>
            <w:noProof/>
            <w:webHidden/>
          </w:rPr>
          <w:t>231</w:t>
        </w:r>
        <w:r w:rsidR="002F3E43">
          <w:rPr>
            <w:noProof/>
            <w:webHidden/>
          </w:rPr>
          <w:fldChar w:fldCharType="end"/>
        </w:r>
      </w:hyperlink>
    </w:p>
    <w:p w14:paraId="1F6F6ED9"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69" w:history="1">
        <w:r w:rsidR="002F3E43" w:rsidRPr="006622C3">
          <w:rPr>
            <w:rStyle w:val="Hiperpovezava"/>
            <w:noProof/>
          </w:rPr>
          <w:t>4.2.13</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Podnebne spremembe in suša v tleh</w:t>
        </w:r>
        <w:r w:rsidR="002F3E43">
          <w:rPr>
            <w:noProof/>
            <w:webHidden/>
          </w:rPr>
          <w:tab/>
        </w:r>
        <w:r w:rsidR="002F3E43">
          <w:rPr>
            <w:noProof/>
            <w:webHidden/>
          </w:rPr>
          <w:fldChar w:fldCharType="begin"/>
        </w:r>
        <w:r w:rsidR="002F3E43">
          <w:rPr>
            <w:noProof/>
            <w:webHidden/>
          </w:rPr>
          <w:instrText xml:space="preserve"> PAGEREF _Toc90261069 \h </w:instrText>
        </w:r>
        <w:r w:rsidR="002F3E43">
          <w:rPr>
            <w:noProof/>
            <w:webHidden/>
          </w:rPr>
        </w:r>
        <w:r w:rsidR="002F3E43">
          <w:rPr>
            <w:noProof/>
            <w:webHidden/>
          </w:rPr>
          <w:fldChar w:fldCharType="separate"/>
        </w:r>
        <w:r w:rsidR="002F3E43">
          <w:rPr>
            <w:noProof/>
            <w:webHidden/>
          </w:rPr>
          <w:t>231</w:t>
        </w:r>
        <w:r w:rsidR="002F3E43">
          <w:rPr>
            <w:noProof/>
            <w:webHidden/>
          </w:rPr>
          <w:fldChar w:fldCharType="end"/>
        </w:r>
      </w:hyperlink>
    </w:p>
    <w:p w14:paraId="10FC373A" w14:textId="77777777" w:rsidR="002F3E43" w:rsidRDefault="00D17419">
      <w:pPr>
        <w:pStyle w:val="Kazalovsebine1"/>
        <w:rPr>
          <w:rFonts w:asciiTheme="minorHAnsi" w:eastAsiaTheme="minorEastAsia" w:hAnsiTheme="minorHAnsi" w:cstheme="minorBidi"/>
          <w:bCs w:val="0"/>
          <w:caps w:val="0"/>
          <w:noProof/>
          <w:sz w:val="22"/>
          <w:szCs w:val="22"/>
          <w:lang w:eastAsia="sl-SI"/>
        </w:rPr>
      </w:pPr>
      <w:hyperlink w:anchor="_Toc90261070" w:history="1">
        <w:r w:rsidR="002F3E43" w:rsidRPr="006622C3">
          <w:rPr>
            <w:rStyle w:val="Hiperpovezava"/>
            <w:rFonts w:cs="Arial"/>
            <w:noProof/>
          </w:rPr>
          <w:t>5</w:t>
        </w:r>
        <w:r w:rsidR="002F3E43">
          <w:rPr>
            <w:rFonts w:asciiTheme="minorHAnsi" w:eastAsiaTheme="minorEastAsia" w:hAnsiTheme="minorHAnsi" w:cstheme="minorBidi"/>
            <w:bCs w:val="0"/>
            <w:caps w:val="0"/>
            <w:noProof/>
            <w:sz w:val="22"/>
            <w:szCs w:val="22"/>
            <w:lang w:eastAsia="sl-SI"/>
          </w:rPr>
          <w:tab/>
        </w:r>
        <w:r w:rsidR="002F3E43" w:rsidRPr="006622C3">
          <w:rPr>
            <w:rStyle w:val="Hiperpovezava"/>
            <w:noProof/>
          </w:rPr>
          <w:t>PODROBNEJŠA OPREDELITEV CILJEV NAČRTA UPRAVLJANJA VODA</w:t>
        </w:r>
        <w:r w:rsidR="002F3E43">
          <w:rPr>
            <w:noProof/>
            <w:webHidden/>
          </w:rPr>
          <w:tab/>
        </w:r>
        <w:r w:rsidR="002F3E43">
          <w:rPr>
            <w:noProof/>
            <w:webHidden/>
          </w:rPr>
          <w:fldChar w:fldCharType="begin"/>
        </w:r>
        <w:r w:rsidR="002F3E43">
          <w:rPr>
            <w:noProof/>
            <w:webHidden/>
          </w:rPr>
          <w:instrText xml:space="preserve"> PAGEREF _Toc90261070 \h </w:instrText>
        </w:r>
        <w:r w:rsidR="002F3E43">
          <w:rPr>
            <w:noProof/>
            <w:webHidden/>
          </w:rPr>
        </w:r>
        <w:r w:rsidR="002F3E43">
          <w:rPr>
            <w:noProof/>
            <w:webHidden/>
          </w:rPr>
          <w:fldChar w:fldCharType="separate"/>
        </w:r>
        <w:r w:rsidR="002F3E43">
          <w:rPr>
            <w:noProof/>
            <w:webHidden/>
          </w:rPr>
          <w:t>233</w:t>
        </w:r>
        <w:r w:rsidR="002F3E43">
          <w:rPr>
            <w:noProof/>
            <w:webHidden/>
          </w:rPr>
          <w:fldChar w:fldCharType="end"/>
        </w:r>
      </w:hyperlink>
    </w:p>
    <w:p w14:paraId="36DF6EFB" w14:textId="77777777" w:rsidR="002F3E43" w:rsidRDefault="00D17419">
      <w:pPr>
        <w:pStyle w:val="Kazalovsebine2"/>
        <w:rPr>
          <w:rFonts w:asciiTheme="minorHAnsi" w:eastAsiaTheme="minorEastAsia" w:hAnsiTheme="minorHAnsi" w:cstheme="minorBidi"/>
          <w:noProof/>
          <w:sz w:val="22"/>
          <w:lang w:eastAsia="sl-SI"/>
        </w:rPr>
      </w:pPr>
      <w:hyperlink w:anchor="_Toc90261071" w:history="1">
        <w:r w:rsidR="002F3E43" w:rsidRPr="006622C3">
          <w:rPr>
            <w:rStyle w:val="Hiperpovezava"/>
            <w:noProof/>
          </w:rPr>
          <w:t>5.1</w:t>
        </w:r>
        <w:r w:rsidR="002F3E43">
          <w:rPr>
            <w:rFonts w:asciiTheme="minorHAnsi" w:eastAsiaTheme="minorEastAsia" w:hAnsiTheme="minorHAnsi" w:cstheme="minorBidi"/>
            <w:noProof/>
            <w:sz w:val="22"/>
            <w:lang w:eastAsia="sl-SI"/>
          </w:rPr>
          <w:tab/>
        </w:r>
        <w:r w:rsidR="002F3E43" w:rsidRPr="006622C3">
          <w:rPr>
            <w:rStyle w:val="Hiperpovezava"/>
            <w:noProof/>
          </w:rPr>
          <w:t>Cilji na področju varstva voda</w:t>
        </w:r>
        <w:r w:rsidR="002F3E43">
          <w:rPr>
            <w:noProof/>
            <w:webHidden/>
          </w:rPr>
          <w:tab/>
        </w:r>
        <w:r w:rsidR="002F3E43">
          <w:rPr>
            <w:noProof/>
            <w:webHidden/>
          </w:rPr>
          <w:fldChar w:fldCharType="begin"/>
        </w:r>
        <w:r w:rsidR="002F3E43">
          <w:rPr>
            <w:noProof/>
            <w:webHidden/>
          </w:rPr>
          <w:instrText xml:space="preserve"> PAGEREF _Toc90261071 \h </w:instrText>
        </w:r>
        <w:r w:rsidR="002F3E43">
          <w:rPr>
            <w:noProof/>
            <w:webHidden/>
          </w:rPr>
        </w:r>
        <w:r w:rsidR="002F3E43">
          <w:rPr>
            <w:noProof/>
            <w:webHidden/>
          </w:rPr>
          <w:fldChar w:fldCharType="separate"/>
        </w:r>
        <w:r w:rsidR="002F3E43">
          <w:rPr>
            <w:noProof/>
            <w:webHidden/>
          </w:rPr>
          <w:t>233</w:t>
        </w:r>
        <w:r w:rsidR="002F3E43">
          <w:rPr>
            <w:noProof/>
            <w:webHidden/>
          </w:rPr>
          <w:fldChar w:fldCharType="end"/>
        </w:r>
      </w:hyperlink>
    </w:p>
    <w:p w14:paraId="34B174E4" w14:textId="77777777" w:rsidR="002F3E43" w:rsidRDefault="00D17419">
      <w:pPr>
        <w:pStyle w:val="Kazalovsebine2"/>
        <w:rPr>
          <w:rFonts w:asciiTheme="minorHAnsi" w:eastAsiaTheme="minorEastAsia" w:hAnsiTheme="minorHAnsi" w:cstheme="minorBidi"/>
          <w:noProof/>
          <w:sz w:val="22"/>
          <w:lang w:eastAsia="sl-SI"/>
        </w:rPr>
      </w:pPr>
      <w:hyperlink w:anchor="_Toc90261072" w:history="1">
        <w:r w:rsidR="002F3E43" w:rsidRPr="006622C3">
          <w:rPr>
            <w:rStyle w:val="Hiperpovezava"/>
            <w:noProof/>
          </w:rPr>
          <w:t>5.2</w:t>
        </w:r>
        <w:r w:rsidR="002F3E43">
          <w:rPr>
            <w:rFonts w:asciiTheme="minorHAnsi" w:eastAsiaTheme="minorEastAsia" w:hAnsiTheme="minorHAnsi" w:cstheme="minorBidi"/>
            <w:noProof/>
            <w:sz w:val="22"/>
            <w:lang w:eastAsia="sl-SI"/>
          </w:rPr>
          <w:tab/>
        </w:r>
        <w:r w:rsidR="002F3E43" w:rsidRPr="006622C3">
          <w:rPr>
            <w:rStyle w:val="Hiperpovezava"/>
            <w:noProof/>
          </w:rPr>
          <w:t>Cilji na področju urejanja voda</w:t>
        </w:r>
        <w:r w:rsidR="002F3E43">
          <w:rPr>
            <w:noProof/>
            <w:webHidden/>
          </w:rPr>
          <w:tab/>
        </w:r>
        <w:r w:rsidR="002F3E43">
          <w:rPr>
            <w:noProof/>
            <w:webHidden/>
          </w:rPr>
          <w:fldChar w:fldCharType="begin"/>
        </w:r>
        <w:r w:rsidR="002F3E43">
          <w:rPr>
            <w:noProof/>
            <w:webHidden/>
          </w:rPr>
          <w:instrText xml:space="preserve"> PAGEREF _Toc90261072 \h </w:instrText>
        </w:r>
        <w:r w:rsidR="002F3E43">
          <w:rPr>
            <w:noProof/>
            <w:webHidden/>
          </w:rPr>
        </w:r>
        <w:r w:rsidR="002F3E43">
          <w:rPr>
            <w:noProof/>
            <w:webHidden/>
          </w:rPr>
          <w:fldChar w:fldCharType="separate"/>
        </w:r>
        <w:r w:rsidR="002F3E43">
          <w:rPr>
            <w:noProof/>
            <w:webHidden/>
          </w:rPr>
          <w:t>240</w:t>
        </w:r>
        <w:r w:rsidR="002F3E43">
          <w:rPr>
            <w:noProof/>
            <w:webHidden/>
          </w:rPr>
          <w:fldChar w:fldCharType="end"/>
        </w:r>
      </w:hyperlink>
    </w:p>
    <w:p w14:paraId="16DE2346" w14:textId="77777777" w:rsidR="002F3E43" w:rsidRDefault="00D17419">
      <w:pPr>
        <w:pStyle w:val="Kazalovsebine2"/>
        <w:rPr>
          <w:rFonts w:asciiTheme="minorHAnsi" w:eastAsiaTheme="minorEastAsia" w:hAnsiTheme="minorHAnsi" w:cstheme="minorBidi"/>
          <w:noProof/>
          <w:sz w:val="22"/>
          <w:lang w:eastAsia="sl-SI"/>
        </w:rPr>
      </w:pPr>
      <w:hyperlink w:anchor="_Toc90261073" w:history="1">
        <w:r w:rsidR="002F3E43" w:rsidRPr="006622C3">
          <w:rPr>
            <w:rStyle w:val="Hiperpovezava"/>
            <w:noProof/>
          </w:rPr>
          <w:t>5.3</w:t>
        </w:r>
        <w:r w:rsidR="002F3E43">
          <w:rPr>
            <w:rFonts w:asciiTheme="minorHAnsi" w:eastAsiaTheme="minorEastAsia" w:hAnsiTheme="minorHAnsi" w:cstheme="minorBidi"/>
            <w:noProof/>
            <w:sz w:val="22"/>
            <w:lang w:eastAsia="sl-SI"/>
          </w:rPr>
          <w:tab/>
        </w:r>
        <w:r w:rsidR="002F3E43" w:rsidRPr="006622C3">
          <w:rPr>
            <w:rStyle w:val="Hiperpovezava"/>
            <w:noProof/>
          </w:rPr>
          <w:t>Cilji na področju rabe voda</w:t>
        </w:r>
        <w:r w:rsidR="002F3E43">
          <w:rPr>
            <w:noProof/>
            <w:webHidden/>
          </w:rPr>
          <w:tab/>
        </w:r>
        <w:r w:rsidR="002F3E43">
          <w:rPr>
            <w:noProof/>
            <w:webHidden/>
          </w:rPr>
          <w:fldChar w:fldCharType="begin"/>
        </w:r>
        <w:r w:rsidR="002F3E43">
          <w:rPr>
            <w:noProof/>
            <w:webHidden/>
          </w:rPr>
          <w:instrText xml:space="preserve"> PAGEREF _Toc90261073 \h </w:instrText>
        </w:r>
        <w:r w:rsidR="002F3E43">
          <w:rPr>
            <w:noProof/>
            <w:webHidden/>
          </w:rPr>
        </w:r>
        <w:r w:rsidR="002F3E43">
          <w:rPr>
            <w:noProof/>
            <w:webHidden/>
          </w:rPr>
          <w:fldChar w:fldCharType="separate"/>
        </w:r>
        <w:r w:rsidR="002F3E43">
          <w:rPr>
            <w:noProof/>
            <w:webHidden/>
          </w:rPr>
          <w:t>242</w:t>
        </w:r>
        <w:r w:rsidR="002F3E43">
          <w:rPr>
            <w:noProof/>
            <w:webHidden/>
          </w:rPr>
          <w:fldChar w:fldCharType="end"/>
        </w:r>
      </w:hyperlink>
    </w:p>
    <w:p w14:paraId="62FC031A" w14:textId="77777777" w:rsidR="002F3E43" w:rsidRDefault="00D17419">
      <w:pPr>
        <w:pStyle w:val="Kazalovsebine2"/>
        <w:rPr>
          <w:rFonts w:asciiTheme="minorHAnsi" w:eastAsiaTheme="minorEastAsia" w:hAnsiTheme="minorHAnsi" w:cstheme="minorBidi"/>
          <w:noProof/>
          <w:sz w:val="22"/>
          <w:lang w:eastAsia="sl-SI"/>
        </w:rPr>
      </w:pPr>
      <w:hyperlink w:anchor="_Toc90261074" w:history="1">
        <w:r w:rsidR="002F3E43" w:rsidRPr="006622C3">
          <w:rPr>
            <w:rStyle w:val="Hiperpovezava"/>
            <w:noProof/>
          </w:rPr>
          <w:t>5.4</w:t>
        </w:r>
        <w:r w:rsidR="002F3E43">
          <w:rPr>
            <w:rFonts w:asciiTheme="minorHAnsi" w:eastAsiaTheme="minorEastAsia" w:hAnsiTheme="minorHAnsi" w:cstheme="minorBidi"/>
            <w:noProof/>
            <w:sz w:val="22"/>
            <w:lang w:eastAsia="sl-SI"/>
          </w:rPr>
          <w:tab/>
        </w:r>
        <w:r w:rsidR="002F3E43" w:rsidRPr="006622C3">
          <w:rPr>
            <w:rStyle w:val="Hiperpovezava"/>
            <w:noProof/>
          </w:rPr>
          <w:t>Cilji na področju upravljanja vodnih in priobalnih zemljišč v lasti države</w:t>
        </w:r>
        <w:r w:rsidR="002F3E43">
          <w:rPr>
            <w:noProof/>
            <w:webHidden/>
          </w:rPr>
          <w:tab/>
        </w:r>
        <w:r w:rsidR="002F3E43">
          <w:rPr>
            <w:noProof/>
            <w:webHidden/>
          </w:rPr>
          <w:fldChar w:fldCharType="begin"/>
        </w:r>
        <w:r w:rsidR="002F3E43">
          <w:rPr>
            <w:noProof/>
            <w:webHidden/>
          </w:rPr>
          <w:instrText xml:space="preserve"> PAGEREF _Toc90261074 \h </w:instrText>
        </w:r>
        <w:r w:rsidR="002F3E43">
          <w:rPr>
            <w:noProof/>
            <w:webHidden/>
          </w:rPr>
        </w:r>
        <w:r w:rsidR="002F3E43">
          <w:rPr>
            <w:noProof/>
            <w:webHidden/>
          </w:rPr>
          <w:fldChar w:fldCharType="separate"/>
        </w:r>
        <w:r w:rsidR="002F3E43">
          <w:rPr>
            <w:noProof/>
            <w:webHidden/>
          </w:rPr>
          <w:t>243</w:t>
        </w:r>
        <w:r w:rsidR="002F3E43">
          <w:rPr>
            <w:noProof/>
            <w:webHidden/>
          </w:rPr>
          <w:fldChar w:fldCharType="end"/>
        </w:r>
      </w:hyperlink>
    </w:p>
    <w:p w14:paraId="790FF201" w14:textId="77777777" w:rsidR="002F3E43" w:rsidRDefault="00D17419">
      <w:pPr>
        <w:pStyle w:val="Kazalovsebine2"/>
        <w:rPr>
          <w:rFonts w:asciiTheme="minorHAnsi" w:eastAsiaTheme="minorEastAsia" w:hAnsiTheme="minorHAnsi" w:cstheme="minorBidi"/>
          <w:noProof/>
          <w:sz w:val="22"/>
          <w:lang w:eastAsia="sl-SI"/>
        </w:rPr>
      </w:pPr>
      <w:hyperlink w:anchor="_Toc90261075" w:history="1">
        <w:r w:rsidR="002F3E43" w:rsidRPr="006622C3">
          <w:rPr>
            <w:rStyle w:val="Hiperpovezava"/>
            <w:noProof/>
          </w:rPr>
          <w:t>5.5</w:t>
        </w:r>
        <w:r w:rsidR="002F3E43">
          <w:rPr>
            <w:rFonts w:asciiTheme="minorHAnsi" w:eastAsiaTheme="minorEastAsia" w:hAnsiTheme="minorHAnsi" w:cstheme="minorBidi"/>
            <w:noProof/>
            <w:sz w:val="22"/>
            <w:lang w:eastAsia="sl-SI"/>
          </w:rPr>
          <w:tab/>
        </w:r>
        <w:r w:rsidR="002F3E43" w:rsidRPr="006622C3">
          <w:rPr>
            <w:rStyle w:val="Hiperpovezava"/>
            <w:noProof/>
          </w:rPr>
          <w:t>Izjeme pri doseganju okoljskih ciljev</w:t>
        </w:r>
        <w:r w:rsidR="002F3E43">
          <w:rPr>
            <w:noProof/>
            <w:webHidden/>
          </w:rPr>
          <w:tab/>
        </w:r>
        <w:r w:rsidR="002F3E43">
          <w:rPr>
            <w:noProof/>
            <w:webHidden/>
          </w:rPr>
          <w:fldChar w:fldCharType="begin"/>
        </w:r>
        <w:r w:rsidR="002F3E43">
          <w:rPr>
            <w:noProof/>
            <w:webHidden/>
          </w:rPr>
          <w:instrText xml:space="preserve"> PAGEREF _Toc90261075 \h </w:instrText>
        </w:r>
        <w:r w:rsidR="002F3E43">
          <w:rPr>
            <w:noProof/>
            <w:webHidden/>
          </w:rPr>
        </w:r>
        <w:r w:rsidR="002F3E43">
          <w:rPr>
            <w:noProof/>
            <w:webHidden/>
          </w:rPr>
          <w:fldChar w:fldCharType="separate"/>
        </w:r>
        <w:r w:rsidR="002F3E43">
          <w:rPr>
            <w:noProof/>
            <w:webHidden/>
          </w:rPr>
          <w:t>243</w:t>
        </w:r>
        <w:r w:rsidR="002F3E43">
          <w:rPr>
            <w:noProof/>
            <w:webHidden/>
          </w:rPr>
          <w:fldChar w:fldCharType="end"/>
        </w:r>
      </w:hyperlink>
    </w:p>
    <w:p w14:paraId="73C41057"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76" w:history="1">
        <w:r w:rsidR="002F3E43" w:rsidRPr="006622C3">
          <w:rPr>
            <w:rStyle w:val="Hiperpovezava"/>
            <w:rFonts w:cs="Arial"/>
            <w:noProof/>
          </w:rPr>
          <w:t>5.5.1</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Izjeme pri doseganju okoljskih ciljev za površinske vode</w:t>
        </w:r>
        <w:r w:rsidR="002F3E43">
          <w:rPr>
            <w:noProof/>
            <w:webHidden/>
          </w:rPr>
          <w:tab/>
        </w:r>
        <w:r w:rsidR="002F3E43">
          <w:rPr>
            <w:noProof/>
            <w:webHidden/>
          </w:rPr>
          <w:fldChar w:fldCharType="begin"/>
        </w:r>
        <w:r w:rsidR="002F3E43">
          <w:rPr>
            <w:noProof/>
            <w:webHidden/>
          </w:rPr>
          <w:instrText xml:space="preserve"> PAGEREF _Toc90261076 \h </w:instrText>
        </w:r>
        <w:r w:rsidR="002F3E43">
          <w:rPr>
            <w:noProof/>
            <w:webHidden/>
          </w:rPr>
        </w:r>
        <w:r w:rsidR="002F3E43">
          <w:rPr>
            <w:noProof/>
            <w:webHidden/>
          </w:rPr>
          <w:fldChar w:fldCharType="separate"/>
        </w:r>
        <w:r w:rsidR="002F3E43">
          <w:rPr>
            <w:noProof/>
            <w:webHidden/>
          </w:rPr>
          <w:t>246</w:t>
        </w:r>
        <w:r w:rsidR="002F3E43">
          <w:rPr>
            <w:noProof/>
            <w:webHidden/>
          </w:rPr>
          <w:fldChar w:fldCharType="end"/>
        </w:r>
      </w:hyperlink>
    </w:p>
    <w:p w14:paraId="43B3BCBC"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77" w:history="1">
        <w:r w:rsidR="002F3E43" w:rsidRPr="006622C3">
          <w:rPr>
            <w:rStyle w:val="Hiperpovezava"/>
            <w:noProof/>
          </w:rPr>
          <w:t>5.5.2</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Izjeme pri doseganju okoljskih ciljev za podzemne vode</w:t>
        </w:r>
        <w:r w:rsidR="002F3E43">
          <w:rPr>
            <w:noProof/>
            <w:webHidden/>
          </w:rPr>
          <w:tab/>
        </w:r>
        <w:r w:rsidR="002F3E43">
          <w:rPr>
            <w:noProof/>
            <w:webHidden/>
          </w:rPr>
          <w:fldChar w:fldCharType="begin"/>
        </w:r>
        <w:r w:rsidR="002F3E43">
          <w:rPr>
            <w:noProof/>
            <w:webHidden/>
          </w:rPr>
          <w:instrText xml:space="preserve"> PAGEREF _Toc90261077 \h </w:instrText>
        </w:r>
        <w:r w:rsidR="002F3E43">
          <w:rPr>
            <w:noProof/>
            <w:webHidden/>
          </w:rPr>
        </w:r>
        <w:r w:rsidR="002F3E43">
          <w:rPr>
            <w:noProof/>
            <w:webHidden/>
          </w:rPr>
          <w:fldChar w:fldCharType="separate"/>
        </w:r>
        <w:r w:rsidR="002F3E43">
          <w:rPr>
            <w:noProof/>
            <w:webHidden/>
          </w:rPr>
          <w:t>250</w:t>
        </w:r>
        <w:r w:rsidR="002F3E43">
          <w:rPr>
            <w:noProof/>
            <w:webHidden/>
          </w:rPr>
          <w:fldChar w:fldCharType="end"/>
        </w:r>
      </w:hyperlink>
    </w:p>
    <w:p w14:paraId="615C5E1F"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78" w:history="1">
        <w:r w:rsidR="002F3E43" w:rsidRPr="006622C3">
          <w:rPr>
            <w:rStyle w:val="Hiperpovezava"/>
            <w:noProof/>
          </w:rPr>
          <w:t>5.5.3</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Obrazložitev primerov odstopanj od okoljskih ciljev</w:t>
        </w:r>
        <w:r w:rsidR="002F3E43">
          <w:rPr>
            <w:noProof/>
            <w:webHidden/>
          </w:rPr>
          <w:tab/>
        </w:r>
        <w:r w:rsidR="002F3E43">
          <w:rPr>
            <w:noProof/>
            <w:webHidden/>
          </w:rPr>
          <w:fldChar w:fldCharType="begin"/>
        </w:r>
        <w:r w:rsidR="002F3E43">
          <w:rPr>
            <w:noProof/>
            <w:webHidden/>
          </w:rPr>
          <w:instrText xml:space="preserve"> PAGEREF _Toc90261078 \h </w:instrText>
        </w:r>
        <w:r w:rsidR="002F3E43">
          <w:rPr>
            <w:noProof/>
            <w:webHidden/>
          </w:rPr>
        </w:r>
        <w:r w:rsidR="002F3E43">
          <w:rPr>
            <w:noProof/>
            <w:webHidden/>
          </w:rPr>
          <w:fldChar w:fldCharType="separate"/>
        </w:r>
        <w:r w:rsidR="002F3E43">
          <w:rPr>
            <w:noProof/>
            <w:webHidden/>
          </w:rPr>
          <w:t>251</w:t>
        </w:r>
        <w:r w:rsidR="002F3E43">
          <w:rPr>
            <w:noProof/>
            <w:webHidden/>
          </w:rPr>
          <w:fldChar w:fldCharType="end"/>
        </w:r>
      </w:hyperlink>
    </w:p>
    <w:p w14:paraId="2F93C5B2" w14:textId="77777777" w:rsidR="002F3E43" w:rsidRDefault="00D17419">
      <w:pPr>
        <w:pStyle w:val="Kazalovsebine1"/>
        <w:rPr>
          <w:rFonts w:asciiTheme="minorHAnsi" w:eastAsiaTheme="minorEastAsia" w:hAnsiTheme="minorHAnsi" w:cstheme="minorBidi"/>
          <w:bCs w:val="0"/>
          <w:caps w:val="0"/>
          <w:noProof/>
          <w:sz w:val="22"/>
          <w:szCs w:val="22"/>
          <w:lang w:eastAsia="sl-SI"/>
        </w:rPr>
      </w:pPr>
      <w:hyperlink w:anchor="_Toc90261079" w:history="1">
        <w:r w:rsidR="002F3E43" w:rsidRPr="006622C3">
          <w:rPr>
            <w:rStyle w:val="Hiperpovezava"/>
            <w:noProof/>
          </w:rPr>
          <w:t>6</w:t>
        </w:r>
        <w:r w:rsidR="002F3E43">
          <w:rPr>
            <w:rFonts w:asciiTheme="minorHAnsi" w:eastAsiaTheme="minorEastAsia" w:hAnsiTheme="minorHAnsi" w:cstheme="minorBidi"/>
            <w:bCs w:val="0"/>
            <w:caps w:val="0"/>
            <w:noProof/>
            <w:sz w:val="22"/>
            <w:szCs w:val="22"/>
            <w:lang w:eastAsia="sl-SI"/>
          </w:rPr>
          <w:tab/>
        </w:r>
        <w:r w:rsidR="002F3E43" w:rsidRPr="006622C3">
          <w:rPr>
            <w:rStyle w:val="Hiperpovezava"/>
            <w:noProof/>
          </w:rPr>
          <w:t>POVZETEK PROGRAMA UKREPOV</w:t>
        </w:r>
        <w:r w:rsidR="002F3E43">
          <w:rPr>
            <w:noProof/>
            <w:webHidden/>
          </w:rPr>
          <w:tab/>
        </w:r>
        <w:r w:rsidR="002F3E43">
          <w:rPr>
            <w:noProof/>
            <w:webHidden/>
          </w:rPr>
          <w:fldChar w:fldCharType="begin"/>
        </w:r>
        <w:r w:rsidR="002F3E43">
          <w:rPr>
            <w:noProof/>
            <w:webHidden/>
          </w:rPr>
          <w:instrText xml:space="preserve"> PAGEREF _Toc90261079 \h </w:instrText>
        </w:r>
        <w:r w:rsidR="002F3E43">
          <w:rPr>
            <w:noProof/>
            <w:webHidden/>
          </w:rPr>
        </w:r>
        <w:r w:rsidR="002F3E43">
          <w:rPr>
            <w:noProof/>
            <w:webHidden/>
          </w:rPr>
          <w:fldChar w:fldCharType="separate"/>
        </w:r>
        <w:r w:rsidR="002F3E43">
          <w:rPr>
            <w:noProof/>
            <w:webHidden/>
          </w:rPr>
          <w:t>254</w:t>
        </w:r>
        <w:r w:rsidR="002F3E43">
          <w:rPr>
            <w:noProof/>
            <w:webHidden/>
          </w:rPr>
          <w:fldChar w:fldCharType="end"/>
        </w:r>
      </w:hyperlink>
    </w:p>
    <w:p w14:paraId="53140FDC" w14:textId="77777777" w:rsidR="002F3E43" w:rsidRDefault="00D17419">
      <w:pPr>
        <w:pStyle w:val="Kazalovsebine2"/>
        <w:rPr>
          <w:rFonts w:asciiTheme="minorHAnsi" w:eastAsiaTheme="minorEastAsia" w:hAnsiTheme="minorHAnsi" w:cstheme="minorBidi"/>
          <w:noProof/>
          <w:sz w:val="22"/>
          <w:lang w:eastAsia="sl-SI"/>
        </w:rPr>
      </w:pPr>
      <w:hyperlink w:anchor="_Toc90261080" w:history="1">
        <w:r w:rsidR="002F3E43" w:rsidRPr="006622C3">
          <w:rPr>
            <w:rStyle w:val="Hiperpovezava"/>
            <w:noProof/>
          </w:rPr>
          <w:t>6.1</w:t>
        </w:r>
        <w:r w:rsidR="002F3E43">
          <w:rPr>
            <w:rFonts w:asciiTheme="minorHAnsi" w:eastAsiaTheme="minorEastAsia" w:hAnsiTheme="minorHAnsi" w:cstheme="minorBidi"/>
            <w:noProof/>
            <w:sz w:val="22"/>
            <w:lang w:eastAsia="sl-SI"/>
          </w:rPr>
          <w:tab/>
        </w:r>
        <w:r w:rsidR="002F3E43" w:rsidRPr="006622C3">
          <w:rPr>
            <w:rStyle w:val="Hiperpovezava"/>
            <w:noProof/>
          </w:rPr>
          <w:t>Izvajanje Programa ukrepov upravljanja voda v obdobju 2016 do 2020</w:t>
        </w:r>
        <w:r w:rsidR="002F3E43">
          <w:rPr>
            <w:noProof/>
            <w:webHidden/>
          </w:rPr>
          <w:tab/>
        </w:r>
        <w:r w:rsidR="002F3E43">
          <w:rPr>
            <w:noProof/>
            <w:webHidden/>
          </w:rPr>
          <w:fldChar w:fldCharType="begin"/>
        </w:r>
        <w:r w:rsidR="002F3E43">
          <w:rPr>
            <w:noProof/>
            <w:webHidden/>
          </w:rPr>
          <w:instrText xml:space="preserve"> PAGEREF _Toc90261080 \h </w:instrText>
        </w:r>
        <w:r w:rsidR="002F3E43">
          <w:rPr>
            <w:noProof/>
            <w:webHidden/>
          </w:rPr>
        </w:r>
        <w:r w:rsidR="002F3E43">
          <w:rPr>
            <w:noProof/>
            <w:webHidden/>
          </w:rPr>
          <w:fldChar w:fldCharType="separate"/>
        </w:r>
        <w:r w:rsidR="002F3E43">
          <w:rPr>
            <w:noProof/>
            <w:webHidden/>
          </w:rPr>
          <w:t>254</w:t>
        </w:r>
        <w:r w:rsidR="002F3E43">
          <w:rPr>
            <w:noProof/>
            <w:webHidden/>
          </w:rPr>
          <w:fldChar w:fldCharType="end"/>
        </w:r>
      </w:hyperlink>
    </w:p>
    <w:p w14:paraId="43B14EBA" w14:textId="77777777" w:rsidR="002F3E43" w:rsidRDefault="00D17419">
      <w:pPr>
        <w:pStyle w:val="Kazalovsebine2"/>
        <w:rPr>
          <w:rFonts w:asciiTheme="minorHAnsi" w:eastAsiaTheme="minorEastAsia" w:hAnsiTheme="minorHAnsi" w:cstheme="minorBidi"/>
          <w:noProof/>
          <w:sz w:val="22"/>
          <w:lang w:eastAsia="sl-SI"/>
        </w:rPr>
      </w:pPr>
      <w:hyperlink w:anchor="_Toc90261081" w:history="1">
        <w:r w:rsidR="002F3E43" w:rsidRPr="006622C3">
          <w:rPr>
            <w:rStyle w:val="Hiperpovezava"/>
            <w:noProof/>
          </w:rPr>
          <w:t>6.2</w:t>
        </w:r>
        <w:r w:rsidR="002F3E43">
          <w:rPr>
            <w:rFonts w:asciiTheme="minorHAnsi" w:eastAsiaTheme="minorEastAsia" w:hAnsiTheme="minorHAnsi" w:cstheme="minorBidi"/>
            <w:noProof/>
            <w:sz w:val="22"/>
            <w:lang w:eastAsia="sl-SI"/>
          </w:rPr>
          <w:tab/>
        </w:r>
        <w:r w:rsidR="002F3E43" w:rsidRPr="006622C3">
          <w:rPr>
            <w:rStyle w:val="Hiperpovezava"/>
            <w:noProof/>
          </w:rPr>
          <w:t>Povzetek temeljnih ukrepov</w:t>
        </w:r>
        <w:r w:rsidR="002F3E43">
          <w:rPr>
            <w:noProof/>
            <w:webHidden/>
          </w:rPr>
          <w:tab/>
        </w:r>
        <w:r w:rsidR="002F3E43">
          <w:rPr>
            <w:noProof/>
            <w:webHidden/>
          </w:rPr>
          <w:fldChar w:fldCharType="begin"/>
        </w:r>
        <w:r w:rsidR="002F3E43">
          <w:rPr>
            <w:noProof/>
            <w:webHidden/>
          </w:rPr>
          <w:instrText xml:space="preserve"> PAGEREF _Toc90261081 \h </w:instrText>
        </w:r>
        <w:r w:rsidR="002F3E43">
          <w:rPr>
            <w:noProof/>
            <w:webHidden/>
          </w:rPr>
        </w:r>
        <w:r w:rsidR="002F3E43">
          <w:rPr>
            <w:noProof/>
            <w:webHidden/>
          </w:rPr>
          <w:fldChar w:fldCharType="separate"/>
        </w:r>
        <w:r w:rsidR="002F3E43">
          <w:rPr>
            <w:noProof/>
            <w:webHidden/>
          </w:rPr>
          <w:t>254</w:t>
        </w:r>
        <w:r w:rsidR="002F3E43">
          <w:rPr>
            <w:noProof/>
            <w:webHidden/>
          </w:rPr>
          <w:fldChar w:fldCharType="end"/>
        </w:r>
      </w:hyperlink>
    </w:p>
    <w:p w14:paraId="04260D51" w14:textId="77777777" w:rsidR="002F3E43" w:rsidRDefault="00D17419">
      <w:pPr>
        <w:pStyle w:val="Kazalovsebine2"/>
        <w:rPr>
          <w:rFonts w:asciiTheme="minorHAnsi" w:eastAsiaTheme="minorEastAsia" w:hAnsiTheme="minorHAnsi" w:cstheme="minorBidi"/>
          <w:noProof/>
          <w:sz w:val="22"/>
          <w:lang w:eastAsia="sl-SI"/>
        </w:rPr>
      </w:pPr>
      <w:hyperlink w:anchor="_Toc90261082" w:history="1">
        <w:r w:rsidR="002F3E43" w:rsidRPr="006622C3">
          <w:rPr>
            <w:rStyle w:val="Hiperpovezava"/>
            <w:noProof/>
          </w:rPr>
          <w:t>6.3</w:t>
        </w:r>
        <w:r w:rsidR="002F3E43">
          <w:rPr>
            <w:rFonts w:asciiTheme="minorHAnsi" w:eastAsiaTheme="minorEastAsia" w:hAnsiTheme="minorHAnsi" w:cstheme="minorBidi"/>
            <w:noProof/>
            <w:sz w:val="22"/>
            <w:lang w:eastAsia="sl-SI"/>
          </w:rPr>
          <w:tab/>
        </w:r>
        <w:r w:rsidR="002F3E43" w:rsidRPr="006622C3">
          <w:rPr>
            <w:rStyle w:val="Hiperpovezava"/>
            <w:noProof/>
          </w:rPr>
          <w:t>Povzetek dopolnilnih ukrepov</w:t>
        </w:r>
        <w:r w:rsidR="002F3E43">
          <w:rPr>
            <w:noProof/>
            <w:webHidden/>
          </w:rPr>
          <w:tab/>
        </w:r>
        <w:r w:rsidR="002F3E43">
          <w:rPr>
            <w:noProof/>
            <w:webHidden/>
          </w:rPr>
          <w:fldChar w:fldCharType="begin"/>
        </w:r>
        <w:r w:rsidR="002F3E43">
          <w:rPr>
            <w:noProof/>
            <w:webHidden/>
          </w:rPr>
          <w:instrText xml:space="preserve"> PAGEREF _Toc90261082 \h </w:instrText>
        </w:r>
        <w:r w:rsidR="002F3E43">
          <w:rPr>
            <w:noProof/>
            <w:webHidden/>
          </w:rPr>
        </w:r>
        <w:r w:rsidR="002F3E43">
          <w:rPr>
            <w:noProof/>
            <w:webHidden/>
          </w:rPr>
          <w:fldChar w:fldCharType="separate"/>
        </w:r>
        <w:r w:rsidR="002F3E43">
          <w:rPr>
            <w:noProof/>
            <w:webHidden/>
          </w:rPr>
          <w:t>262</w:t>
        </w:r>
        <w:r w:rsidR="002F3E43">
          <w:rPr>
            <w:noProof/>
            <w:webHidden/>
          </w:rPr>
          <w:fldChar w:fldCharType="end"/>
        </w:r>
      </w:hyperlink>
    </w:p>
    <w:p w14:paraId="42D98470"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83" w:history="1">
        <w:r w:rsidR="002F3E43" w:rsidRPr="006622C3">
          <w:rPr>
            <w:rStyle w:val="Hiperpovezava"/>
            <w:noProof/>
          </w:rPr>
          <w:t>6.3.1</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Povzetek dopolnilnih ukrepov</w:t>
        </w:r>
        <w:r w:rsidR="002F3E43">
          <w:rPr>
            <w:noProof/>
            <w:webHidden/>
          </w:rPr>
          <w:tab/>
        </w:r>
        <w:r w:rsidR="002F3E43">
          <w:rPr>
            <w:noProof/>
            <w:webHidden/>
          </w:rPr>
          <w:fldChar w:fldCharType="begin"/>
        </w:r>
        <w:r w:rsidR="002F3E43">
          <w:rPr>
            <w:noProof/>
            <w:webHidden/>
          </w:rPr>
          <w:instrText xml:space="preserve"> PAGEREF _Toc90261083 \h </w:instrText>
        </w:r>
        <w:r w:rsidR="002F3E43">
          <w:rPr>
            <w:noProof/>
            <w:webHidden/>
          </w:rPr>
        </w:r>
        <w:r w:rsidR="002F3E43">
          <w:rPr>
            <w:noProof/>
            <w:webHidden/>
          </w:rPr>
          <w:fldChar w:fldCharType="separate"/>
        </w:r>
        <w:r w:rsidR="002F3E43">
          <w:rPr>
            <w:noProof/>
            <w:webHidden/>
          </w:rPr>
          <w:t>262</w:t>
        </w:r>
        <w:r w:rsidR="002F3E43">
          <w:rPr>
            <w:noProof/>
            <w:webHidden/>
          </w:rPr>
          <w:fldChar w:fldCharType="end"/>
        </w:r>
      </w:hyperlink>
    </w:p>
    <w:p w14:paraId="2DBA9661" w14:textId="77777777" w:rsidR="002F3E43" w:rsidRDefault="00D17419">
      <w:pPr>
        <w:pStyle w:val="Kazalovsebine3"/>
        <w:rPr>
          <w:rFonts w:asciiTheme="minorHAnsi" w:eastAsiaTheme="minorEastAsia" w:hAnsiTheme="minorHAnsi" w:cstheme="minorBidi"/>
          <w:iCs w:val="0"/>
          <w:noProof/>
          <w:sz w:val="22"/>
          <w:szCs w:val="22"/>
          <w:lang w:eastAsia="sl-SI"/>
        </w:rPr>
      </w:pPr>
      <w:hyperlink w:anchor="_Toc90261084" w:history="1">
        <w:r w:rsidR="002F3E43" w:rsidRPr="006622C3">
          <w:rPr>
            <w:rStyle w:val="Hiperpovezava"/>
            <w:noProof/>
          </w:rPr>
          <w:t>6.3.2</w:t>
        </w:r>
        <w:r w:rsidR="002F3E43">
          <w:rPr>
            <w:rFonts w:asciiTheme="minorHAnsi" w:eastAsiaTheme="minorEastAsia" w:hAnsiTheme="minorHAnsi" w:cstheme="minorBidi"/>
            <w:iCs w:val="0"/>
            <w:noProof/>
            <w:sz w:val="22"/>
            <w:szCs w:val="22"/>
            <w:lang w:eastAsia="sl-SI"/>
          </w:rPr>
          <w:tab/>
        </w:r>
        <w:r w:rsidR="002F3E43" w:rsidRPr="006622C3">
          <w:rPr>
            <w:rStyle w:val="Hiperpovezava"/>
            <w:noProof/>
          </w:rPr>
          <w:t>Analiza stroškovne učinkovitosti dopolnilnih ukrepov</w:t>
        </w:r>
        <w:r w:rsidR="002F3E43">
          <w:rPr>
            <w:noProof/>
            <w:webHidden/>
          </w:rPr>
          <w:tab/>
        </w:r>
        <w:r w:rsidR="002F3E43">
          <w:rPr>
            <w:noProof/>
            <w:webHidden/>
          </w:rPr>
          <w:fldChar w:fldCharType="begin"/>
        </w:r>
        <w:r w:rsidR="002F3E43">
          <w:rPr>
            <w:noProof/>
            <w:webHidden/>
          </w:rPr>
          <w:instrText xml:space="preserve"> PAGEREF _Toc90261084 \h </w:instrText>
        </w:r>
        <w:r w:rsidR="002F3E43">
          <w:rPr>
            <w:noProof/>
            <w:webHidden/>
          </w:rPr>
        </w:r>
        <w:r w:rsidR="002F3E43">
          <w:rPr>
            <w:noProof/>
            <w:webHidden/>
          </w:rPr>
          <w:fldChar w:fldCharType="separate"/>
        </w:r>
        <w:r w:rsidR="002F3E43">
          <w:rPr>
            <w:noProof/>
            <w:webHidden/>
          </w:rPr>
          <w:t>264</w:t>
        </w:r>
        <w:r w:rsidR="002F3E43">
          <w:rPr>
            <w:noProof/>
            <w:webHidden/>
          </w:rPr>
          <w:fldChar w:fldCharType="end"/>
        </w:r>
      </w:hyperlink>
    </w:p>
    <w:p w14:paraId="6A27CAF9" w14:textId="77777777" w:rsidR="002F3E43" w:rsidRDefault="00D17419">
      <w:pPr>
        <w:pStyle w:val="Kazalovsebine1"/>
        <w:rPr>
          <w:rFonts w:asciiTheme="minorHAnsi" w:eastAsiaTheme="minorEastAsia" w:hAnsiTheme="minorHAnsi" w:cstheme="minorBidi"/>
          <w:bCs w:val="0"/>
          <w:caps w:val="0"/>
          <w:noProof/>
          <w:sz w:val="22"/>
          <w:szCs w:val="22"/>
          <w:lang w:eastAsia="sl-SI"/>
        </w:rPr>
      </w:pPr>
      <w:hyperlink w:anchor="_Toc90261085" w:history="1">
        <w:r w:rsidR="002F3E43" w:rsidRPr="006622C3">
          <w:rPr>
            <w:rStyle w:val="Hiperpovezava"/>
            <w:noProof/>
          </w:rPr>
          <w:t>7</w:t>
        </w:r>
        <w:r w:rsidR="002F3E43">
          <w:rPr>
            <w:rFonts w:asciiTheme="minorHAnsi" w:eastAsiaTheme="minorEastAsia" w:hAnsiTheme="minorHAnsi" w:cstheme="minorBidi"/>
            <w:bCs w:val="0"/>
            <w:caps w:val="0"/>
            <w:noProof/>
            <w:sz w:val="22"/>
            <w:szCs w:val="22"/>
            <w:lang w:eastAsia="sl-SI"/>
          </w:rPr>
          <w:tab/>
        </w:r>
        <w:r w:rsidR="002F3E43" w:rsidRPr="006622C3">
          <w:rPr>
            <w:rStyle w:val="Hiperpovezava"/>
            <w:noProof/>
          </w:rPr>
          <w:t>FINANČNA SREDSTVA</w:t>
        </w:r>
        <w:r w:rsidR="002F3E43">
          <w:rPr>
            <w:noProof/>
            <w:webHidden/>
          </w:rPr>
          <w:tab/>
        </w:r>
        <w:r w:rsidR="002F3E43">
          <w:rPr>
            <w:noProof/>
            <w:webHidden/>
          </w:rPr>
          <w:fldChar w:fldCharType="begin"/>
        </w:r>
        <w:r w:rsidR="002F3E43">
          <w:rPr>
            <w:noProof/>
            <w:webHidden/>
          </w:rPr>
          <w:instrText xml:space="preserve"> PAGEREF _Toc90261085 \h </w:instrText>
        </w:r>
        <w:r w:rsidR="002F3E43">
          <w:rPr>
            <w:noProof/>
            <w:webHidden/>
          </w:rPr>
        </w:r>
        <w:r w:rsidR="002F3E43">
          <w:rPr>
            <w:noProof/>
            <w:webHidden/>
          </w:rPr>
          <w:fldChar w:fldCharType="separate"/>
        </w:r>
        <w:r w:rsidR="002F3E43">
          <w:rPr>
            <w:noProof/>
            <w:webHidden/>
          </w:rPr>
          <w:t>267</w:t>
        </w:r>
        <w:r w:rsidR="002F3E43">
          <w:rPr>
            <w:noProof/>
            <w:webHidden/>
          </w:rPr>
          <w:fldChar w:fldCharType="end"/>
        </w:r>
      </w:hyperlink>
    </w:p>
    <w:p w14:paraId="13A29417" w14:textId="77777777" w:rsidR="002F3E43" w:rsidRDefault="00D17419">
      <w:pPr>
        <w:pStyle w:val="Kazalovsebine2"/>
        <w:rPr>
          <w:rFonts w:asciiTheme="minorHAnsi" w:eastAsiaTheme="minorEastAsia" w:hAnsiTheme="minorHAnsi" w:cstheme="minorBidi"/>
          <w:noProof/>
          <w:sz w:val="22"/>
          <w:lang w:eastAsia="sl-SI"/>
        </w:rPr>
      </w:pPr>
      <w:hyperlink w:anchor="_Toc90261086" w:history="1">
        <w:r w:rsidR="002F3E43" w:rsidRPr="006622C3">
          <w:rPr>
            <w:rStyle w:val="Hiperpovezava"/>
            <w:noProof/>
          </w:rPr>
          <w:t>7.1</w:t>
        </w:r>
        <w:r w:rsidR="002F3E43">
          <w:rPr>
            <w:rFonts w:asciiTheme="minorHAnsi" w:eastAsiaTheme="minorEastAsia" w:hAnsiTheme="minorHAnsi" w:cstheme="minorBidi"/>
            <w:noProof/>
            <w:sz w:val="22"/>
            <w:lang w:eastAsia="sl-SI"/>
          </w:rPr>
          <w:tab/>
        </w:r>
        <w:r w:rsidR="002F3E43" w:rsidRPr="006622C3">
          <w:rPr>
            <w:rStyle w:val="Hiperpovezava"/>
            <w:noProof/>
          </w:rPr>
          <w:t>Ocene potrebnih finančnih sredstev za izvedbo programa ukrepov in predvideni viri financiranja</w:t>
        </w:r>
        <w:r w:rsidR="002F3E43">
          <w:rPr>
            <w:noProof/>
            <w:webHidden/>
          </w:rPr>
          <w:tab/>
        </w:r>
        <w:r w:rsidR="002F3E43">
          <w:rPr>
            <w:noProof/>
            <w:webHidden/>
          </w:rPr>
          <w:fldChar w:fldCharType="begin"/>
        </w:r>
        <w:r w:rsidR="002F3E43">
          <w:rPr>
            <w:noProof/>
            <w:webHidden/>
          </w:rPr>
          <w:instrText xml:space="preserve"> PAGEREF _Toc90261086 \h </w:instrText>
        </w:r>
        <w:r w:rsidR="002F3E43">
          <w:rPr>
            <w:noProof/>
            <w:webHidden/>
          </w:rPr>
        </w:r>
        <w:r w:rsidR="002F3E43">
          <w:rPr>
            <w:noProof/>
            <w:webHidden/>
          </w:rPr>
          <w:fldChar w:fldCharType="separate"/>
        </w:r>
        <w:r w:rsidR="002F3E43">
          <w:rPr>
            <w:noProof/>
            <w:webHidden/>
          </w:rPr>
          <w:t>267</w:t>
        </w:r>
        <w:r w:rsidR="002F3E43">
          <w:rPr>
            <w:noProof/>
            <w:webHidden/>
          </w:rPr>
          <w:fldChar w:fldCharType="end"/>
        </w:r>
      </w:hyperlink>
    </w:p>
    <w:p w14:paraId="5F1803D4" w14:textId="77777777" w:rsidR="002F3E43" w:rsidRDefault="00D17419">
      <w:pPr>
        <w:pStyle w:val="Kazalovsebine2"/>
        <w:rPr>
          <w:rFonts w:asciiTheme="minorHAnsi" w:eastAsiaTheme="minorEastAsia" w:hAnsiTheme="minorHAnsi" w:cstheme="minorBidi"/>
          <w:noProof/>
          <w:sz w:val="22"/>
          <w:lang w:eastAsia="sl-SI"/>
        </w:rPr>
      </w:pPr>
      <w:hyperlink w:anchor="_Toc90261087" w:history="1">
        <w:r w:rsidR="002F3E43" w:rsidRPr="006622C3">
          <w:rPr>
            <w:rStyle w:val="Hiperpovezava"/>
            <w:noProof/>
          </w:rPr>
          <w:t>7.2</w:t>
        </w:r>
        <w:r w:rsidR="002F3E43">
          <w:rPr>
            <w:rFonts w:asciiTheme="minorHAnsi" w:eastAsiaTheme="minorEastAsia" w:hAnsiTheme="minorHAnsi" w:cstheme="minorBidi"/>
            <w:noProof/>
            <w:sz w:val="22"/>
            <w:lang w:eastAsia="sl-SI"/>
          </w:rPr>
          <w:tab/>
        </w:r>
        <w:r w:rsidR="002F3E43" w:rsidRPr="006622C3">
          <w:rPr>
            <w:rStyle w:val="Hiperpovezava"/>
            <w:noProof/>
          </w:rPr>
          <w:t>Opredelitev vsote potrebnih finančnih sredstev in predvidenih virov finančnih sredstev za izvedbo izbrane kombinacije dopolnilnih ukrepov</w:t>
        </w:r>
        <w:r w:rsidR="002F3E43">
          <w:rPr>
            <w:noProof/>
            <w:webHidden/>
          </w:rPr>
          <w:tab/>
        </w:r>
        <w:r w:rsidR="002F3E43">
          <w:rPr>
            <w:noProof/>
            <w:webHidden/>
          </w:rPr>
          <w:fldChar w:fldCharType="begin"/>
        </w:r>
        <w:r w:rsidR="002F3E43">
          <w:rPr>
            <w:noProof/>
            <w:webHidden/>
          </w:rPr>
          <w:instrText xml:space="preserve"> PAGEREF _Toc90261087 \h </w:instrText>
        </w:r>
        <w:r w:rsidR="002F3E43">
          <w:rPr>
            <w:noProof/>
            <w:webHidden/>
          </w:rPr>
        </w:r>
        <w:r w:rsidR="002F3E43">
          <w:rPr>
            <w:noProof/>
            <w:webHidden/>
          </w:rPr>
          <w:fldChar w:fldCharType="separate"/>
        </w:r>
        <w:r w:rsidR="002F3E43">
          <w:rPr>
            <w:noProof/>
            <w:webHidden/>
          </w:rPr>
          <w:t>269</w:t>
        </w:r>
        <w:r w:rsidR="002F3E43">
          <w:rPr>
            <w:noProof/>
            <w:webHidden/>
          </w:rPr>
          <w:fldChar w:fldCharType="end"/>
        </w:r>
      </w:hyperlink>
    </w:p>
    <w:p w14:paraId="3757D52D" w14:textId="77777777" w:rsidR="002F3E43" w:rsidRDefault="00D17419">
      <w:pPr>
        <w:pStyle w:val="Kazalovsebine2"/>
        <w:rPr>
          <w:rFonts w:asciiTheme="minorHAnsi" w:eastAsiaTheme="minorEastAsia" w:hAnsiTheme="minorHAnsi" w:cstheme="minorBidi"/>
          <w:noProof/>
          <w:sz w:val="22"/>
          <w:lang w:eastAsia="sl-SI"/>
        </w:rPr>
      </w:pPr>
      <w:hyperlink w:anchor="_Toc90261088" w:history="1">
        <w:r w:rsidR="002F3E43" w:rsidRPr="006622C3">
          <w:rPr>
            <w:rStyle w:val="Hiperpovezava"/>
            <w:noProof/>
          </w:rPr>
          <w:t>7.3</w:t>
        </w:r>
        <w:r w:rsidR="002F3E43">
          <w:rPr>
            <w:rFonts w:asciiTheme="minorHAnsi" w:eastAsiaTheme="minorEastAsia" w:hAnsiTheme="minorHAnsi" w:cstheme="minorBidi"/>
            <w:noProof/>
            <w:sz w:val="22"/>
            <w:lang w:eastAsia="sl-SI"/>
          </w:rPr>
          <w:tab/>
        </w:r>
        <w:r w:rsidR="002F3E43" w:rsidRPr="006622C3">
          <w:rPr>
            <w:rStyle w:val="Hiperpovezava"/>
            <w:noProof/>
          </w:rPr>
          <w:t>Analiza občutljivosti</w:t>
        </w:r>
        <w:r w:rsidR="002F3E43">
          <w:rPr>
            <w:noProof/>
            <w:webHidden/>
          </w:rPr>
          <w:tab/>
        </w:r>
        <w:r w:rsidR="002F3E43">
          <w:rPr>
            <w:noProof/>
            <w:webHidden/>
          </w:rPr>
          <w:fldChar w:fldCharType="begin"/>
        </w:r>
        <w:r w:rsidR="002F3E43">
          <w:rPr>
            <w:noProof/>
            <w:webHidden/>
          </w:rPr>
          <w:instrText xml:space="preserve"> PAGEREF _Toc90261088 \h </w:instrText>
        </w:r>
        <w:r w:rsidR="002F3E43">
          <w:rPr>
            <w:noProof/>
            <w:webHidden/>
          </w:rPr>
        </w:r>
        <w:r w:rsidR="002F3E43">
          <w:rPr>
            <w:noProof/>
            <w:webHidden/>
          </w:rPr>
          <w:fldChar w:fldCharType="separate"/>
        </w:r>
        <w:r w:rsidR="002F3E43">
          <w:rPr>
            <w:noProof/>
            <w:webHidden/>
          </w:rPr>
          <w:t>270</w:t>
        </w:r>
        <w:r w:rsidR="002F3E43">
          <w:rPr>
            <w:noProof/>
            <w:webHidden/>
          </w:rPr>
          <w:fldChar w:fldCharType="end"/>
        </w:r>
      </w:hyperlink>
    </w:p>
    <w:p w14:paraId="3F99EE2C" w14:textId="77777777" w:rsidR="002F3E43" w:rsidRDefault="00D17419">
      <w:pPr>
        <w:pStyle w:val="Kazalovsebine2"/>
        <w:rPr>
          <w:rFonts w:asciiTheme="minorHAnsi" w:eastAsiaTheme="minorEastAsia" w:hAnsiTheme="minorHAnsi" w:cstheme="minorBidi"/>
          <w:noProof/>
          <w:sz w:val="22"/>
          <w:lang w:eastAsia="sl-SI"/>
        </w:rPr>
      </w:pPr>
      <w:hyperlink w:anchor="_Toc90261089" w:history="1">
        <w:r w:rsidR="002F3E43" w:rsidRPr="006622C3">
          <w:rPr>
            <w:rStyle w:val="Hiperpovezava"/>
            <w:noProof/>
          </w:rPr>
          <w:t>7.4</w:t>
        </w:r>
        <w:r w:rsidR="002F3E43">
          <w:rPr>
            <w:rFonts w:asciiTheme="minorHAnsi" w:eastAsiaTheme="minorEastAsia" w:hAnsiTheme="minorHAnsi" w:cstheme="minorBidi"/>
            <w:noProof/>
            <w:sz w:val="22"/>
            <w:lang w:eastAsia="sl-SI"/>
          </w:rPr>
          <w:tab/>
        </w:r>
        <w:r w:rsidR="002F3E43" w:rsidRPr="006622C3">
          <w:rPr>
            <w:rStyle w:val="Hiperpovezava"/>
            <w:noProof/>
          </w:rPr>
          <w:t>Finančne posledice programa ukrepov</w:t>
        </w:r>
        <w:r w:rsidR="002F3E43">
          <w:rPr>
            <w:noProof/>
            <w:webHidden/>
          </w:rPr>
          <w:tab/>
        </w:r>
        <w:r w:rsidR="002F3E43">
          <w:rPr>
            <w:noProof/>
            <w:webHidden/>
          </w:rPr>
          <w:fldChar w:fldCharType="begin"/>
        </w:r>
        <w:r w:rsidR="002F3E43">
          <w:rPr>
            <w:noProof/>
            <w:webHidden/>
          </w:rPr>
          <w:instrText xml:space="preserve"> PAGEREF _Toc90261089 \h </w:instrText>
        </w:r>
        <w:r w:rsidR="002F3E43">
          <w:rPr>
            <w:noProof/>
            <w:webHidden/>
          </w:rPr>
        </w:r>
        <w:r w:rsidR="002F3E43">
          <w:rPr>
            <w:noProof/>
            <w:webHidden/>
          </w:rPr>
          <w:fldChar w:fldCharType="separate"/>
        </w:r>
        <w:r w:rsidR="002F3E43">
          <w:rPr>
            <w:noProof/>
            <w:webHidden/>
          </w:rPr>
          <w:t>270</w:t>
        </w:r>
        <w:r w:rsidR="002F3E43">
          <w:rPr>
            <w:noProof/>
            <w:webHidden/>
          </w:rPr>
          <w:fldChar w:fldCharType="end"/>
        </w:r>
      </w:hyperlink>
    </w:p>
    <w:p w14:paraId="0F52EB20" w14:textId="77777777" w:rsidR="002F3E43" w:rsidRDefault="00D17419">
      <w:pPr>
        <w:pStyle w:val="Kazalovsebine2"/>
        <w:rPr>
          <w:rFonts w:asciiTheme="minorHAnsi" w:eastAsiaTheme="minorEastAsia" w:hAnsiTheme="minorHAnsi" w:cstheme="minorBidi"/>
          <w:noProof/>
          <w:sz w:val="22"/>
          <w:lang w:eastAsia="sl-SI"/>
        </w:rPr>
      </w:pPr>
      <w:hyperlink w:anchor="_Toc90261090" w:history="1">
        <w:r w:rsidR="002F3E43" w:rsidRPr="006622C3">
          <w:rPr>
            <w:rStyle w:val="Hiperpovezava"/>
            <w:noProof/>
          </w:rPr>
          <w:t>7.5</w:t>
        </w:r>
        <w:r w:rsidR="002F3E43">
          <w:rPr>
            <w:rFonts w:asciiTheme="minorHAnsi" w:eastAsiaTheme="minorEastAsia" w:hAnsiTheme="minorHAnsi" w:cstheme="minorBidi"/>
            <w:noProof/>
            <w:sz w:val="22"/>
            <w:lang w:eastAsia="sl-SI"/>
          </w:rPr>
          <w:tab/>
        </w:r>
        <w:r w:rsidR="002F3E43" w:rsidRPr="006622C3">
          <w:rPr>
            <w:rStyle w:val="Hiperpovezava"/>
            <w:noProof/>
          </w:rPr>
          <w:t>Ocena možnih vplivov na ekonomsko ceno storitev, povezanih z obremenjevanjem voda</w:t>
        </w:r>
        <w:r w:rsidR="002F3E43">
          <w:rPr>
            <w:noProof/>
            <w:webHidden/>
          </w:rPr>
          <w:tab/>
        </w:r>
        <w:r w:rsidR="002F3E43">
          <w:rPr>
            <w:noProof/>
            <w:webHidden/>
          </w:rPr>
          <w:fldChar w:fldCharType="begin"/>
        </w:r>
        <w:r w:rsidR="002F3E43">
          <w:rPr>
            <w:noProof/>
            <w:webHidden/>
          </w:rPr>
          <w:instrText xml:space="preserve"> PAGEREF _Toc90261090 \h </w:instrText>
        </w:r>
        <w:r w:rsidR="002F3E43">
          <w:rPr>
            <w:noProof/>
            <w:webHidden/>
          </w:rPr>
        </w:r>
        <w:r w:rsidR="002F3E43">
          <w:rPr>
            <w:noProof/>
            <w:webHidden/>
          </w:rPr>
          <w:fldChar w:fldCharType="separate"/>
        </w:r>
        <w:r w:rsidR="002F3E43">
          <w:rPr>
            <w:noProof/>
            <w:webHidden/>
          </w:rPr>
          <w:t>271</w:t>
        </w:r>
        <w:r w:rsidR="002F3E43">
          <w:rPr>
            <w:noProof/>
            <w:webHidden/>
          </w:rPr>
          <w:fldChar w:fldCharType="end"/>
        </w:r>
      </w:hyperlink>
    </w:p>
    <w:p w14:paraId="7B12D5A1" w14:textId="77777777" w:rsidR="002F3E43" w:rsidRDefault="00D17419">
      <w:pPr>
        <w:pStyle w:val="Kazalovsebine1"/>
        <w:rPr>
          <w:rFonts w:asciiTheme="minorHAnsi" w:eastAsiaTheme="minorEastAsia" w:hAnsiTheme="minorHAnsi" w:cstheme="minorBidi"/>
          <w:bCs w:val="0"/>
          <w:caps w:val="0"/>
          <w:noProof/>
          <w:sz w:val="22"/>
          <w:szCs w:val="22"/>
          <w:lang w:eastAsia="sl-SI"/>
        </w:rPr>
      </w:pPr>
      <w:hyperlink w:anchor="_Toc90261091" w:history="1">
        <w:r w:rsidR="002F3E43" w:rsidRPr="006622C3">
          <w:rPr>
            <w:rStyle w:val="Hiperpovezava"/>
            <w:noProof/>
          </w:rPr>
          <w:t>8</w:t>
        </w:r>
        <w:r w:rsidR="002F3E43">
          <w:rPr>
            <w:rFonts w:asciiTheme="minorHAnsi" w:eastAsiaTheme="minorEastAsia" w:hAnsiTheme="minorHAnsi" w:cstheme="minorBidi"/>
            <w:bCs w:val="0"/>
            <w:caps w:val="0"/>
            <w:noProof/>
            <w:sz w:val="22"/>
            <w:szCs w:val="22"/>
            <w:lang w:eastAsia="sl-SI"/>
          </w:rPr>
          <w:tab/>
        </w:r>
        <w:r w:rsidR="002F3E43" w:rsidRPr="006622C3">
          <w:rPr>
            <w:rStyle w:val="Hiperpovezava"/>
            <w:noProof/>
          </w:rPr>
          <w:t>POVZETEK AKTIVNOSTI IN REZULTATOV SODELOVANJA JAVNOSTI</w:t>
        </w:r>
        <w:r w:rsidR="002F3E43">
          <w:rPr>
            <w:noProof/>
            <w:webHidden/>
          </w:rPr>
          <w:tab/>
        </w:r>
        <w:r w:rsidR="002F3E43">
          <w:rPr>
            <w:noProof/>
            <w:webHidden/>
          </w:rPr>
          <w:fldChar w:fldCharType="begin"/>
        </w:r>
        <w:r w:rsidR="002F3E43">
          <w:rPr>
            <w:noProof/>
            <w:webHidden/>
          </w:rPr>
          <w:instrText xml:space="preserve"> PAGEREF _Toc90261091 \h </w:instrText>
        </w:r>
        <w:r w:rsidR="002F3E43">
          <w:rPr>
            <w:noProof/>
            <w:webHidden/>
          </w:rPr>
        </w:r>
        <w:r w:rsidR="002F3E43">
          <w:rPr>
            <w:noProof/>
            <w:webHidden/>
          </w:rPr>
          <w:fldChar w:fldCharType="separate"/>
        </w:r>
        <w:r w:rsidR="002F3E43">
          <w:rPr>
            <w:noProof/>
            <w:webHidden/>
          </w:rPr>
          <w:t>272</w:t>
        </w:r>
        <w:r w:rsidR="002F3E43">
          <w:rPr>
            <w:noProof/>
            <w:webHidden/>
          </w:rPr>
          <w:fldChar w:fldCharType="end"/>
        </w:r>
      </w:hyperlink>
    </w:p>
    <w:p w14:paraId="1C9A8BBC" w14:textId="77777777" w:rsidR="002F3E43" w:rsidRDefault="00D17419">
      <w:pPr>
        <w:pStyle w:val="Kazalovsebine2"/>
        <w:rPr>
          <w:rFonts w:asciiTheme="minorHAnsi" w:eastAsiaTheme="minorEastAsia" w:hAnsiTheme="minorHAnsi" w:cstheme="minorBidi"/>
          <w:noProof/>
          <w:sz w:val="22"/>
          <w:lang w:eastAsia="sl-SI"/>
        </w:rPr>
      </w:pPr>
      <w:hyperlink w:anchor="_Toc90261092" w:history="1">
        <w:r w:rsidR="002F3E43" w:rsidRPr="006622C3">
          <w:rPr>
            <w:rStyle w:val="Hiperpovezava"/>
            <w:noProof/>
          </w:rPr>
          <w:t>8.1</w:t>
        </w:r>
        <w:r w:rsidR="002F3E43">
          <w:rPr>
            <w:rFonts w:asciiTheme="minorHAnsi" w:eastAsiaTheme="minorEastAsia" w:hAnsiTheme="minorHAnsi" w:cstheme="minorBidi"/>
            <w:noProof/>
            <w:sz w:val="22"/>
            <w:lang w:eastAsia="sl-SI"/>
          </w:rPr>
          <w:tab/>
        </w:r>
        <w:r w:rsidR="002F3E43" w:rsidRPr="006622C3">
          <w:rPr>
            <w:rStyle w:val="Hiperpovezava"/>
            <w:noProof/>
          </w:rPr>
          <w:t>Javna razprava dokumenta Pomembne zadeve upravljanja voda</w:t>
        </w:r>
        <w:r w:rsidR="002F3E43">
          <w:rPr>
            <w:noProof/>
            <w:webHidden/>
          </w:rPr>
          <w:tab/>
        </w:r>
        <w:r w:rsidR="002F3E43">
          <w:rPr>
            <w:noProof/>
            <w:webHidden/>
          </w:rPr>
          <w:fldChar w:fldCharType="begin"/>
        </w:r>
        <w:r w:rsidR="002F3E43">
          <w:rPr>
            <w:noProof/>
            <w:webHidden/>
          </w:rPr>
          <w:instrText xml:space="preserve"> PAGEREF _Toc90261092 \h </w:instrText>
        </w:r>
        <w:r w:rsidR="002F3E43">
          <w:rPr>
            <w:noProof/>
            <w:webHidden/>
          </w:rPr>
        </w:r>
        <w:r w:rsidR="002F3E43">
          <w:rPr>
            <w:noProof/>
            <w:webHidden/>
          </w:rPr>
          <w:fldChar w:fldCharType="separate"/>
        </w:r>
        <w:r w:rsidR="002F3E43">
          <w:rPr>
            <w:noProof/>
            <w:webHidden/>
          </w:rPr>
          <w:t>272</w:t>
        </w:r>
        <w:r w:rsidR="002F3E43">
          <w:rPr>
            <w:noProof/>
            <w:webHidden/>
          </w:rPr>
          <w:fldChar w:fldCharType="end"/>
        </w:r>
      </w:hyperlink>
    </w:p>
    <w:p w14:paraId="6FEF63B7" w14:textId="77777777" w:rsidR="002F3E43" w:rsidRDefault="00D17419">
      <w:pPr>
        <w:pStyle w:val="Kazalovsebine2"/>
        <w:rPr>
          <w:rFonts w:asciiTheme="minorHAnsi" w:eastAsiaTheme="minorEastAsia" w:hAnsiTheme="minorHAnsi" w:cstheme="minorBidi"/>
          <w:noProof/>
          <w:sz w:val="22"/>
          <w:lang w:eastAsia="sl-SI"/>
        </w:rPr>
      </w:pPr>
      <w:hyperlink w:anchor="_Toc90261093" w:history="1">
        <w:r w:rsidR="002F3E43" w:rsidRPr="006622C3">
          <w:rPr>
            <w:rStyle w:val="Hiperpovezava"/>
            <w:noProof/>
          </w:rPr>
          <w:t>8.2</w:t>
        </w:r>
        <w:r w:rsidR="002F3E43">
          <w:rPr>
            <w:rFonts w:asciiTheme="minorHAnsi" w:eastAsiaTheme="minorEastAsia" w:hAnsiTheme="minorHAnsi" w:cstheme="minorBidi"/>
            <w:noProof/>
            <w:sz w:val="22"/>
            <w:lang w:eastAsia="sl-SI"/>
          </w:rPr>
          <w:tab/>
        </w:r>
        <w:r w:rsidR="002F3E43" w:rsidRPr="006622C3">
          <w:rPr>
            <w:rStyle w:val="Hiperpovezava"/>
            <w:noProof/>
          </w:rPr>
          <w:t>Javna razprava osnutka načrta upravljanja voda na vodnem območju Donave</w:t>
        </w:r>
        <w:r w:rsidR="002F3E43">
          <w:rPr>
            <w:noProof/>
            <w:webHidden/>
          </w:rPr>
          <w:tab/>
        </w:r>
        <w:r w:rsidR="002F3E43">
          <w:rPr>
            <w:noProof/>
            <w:webHidden/>
          </w:rPr>
          <w:fldChar w:fldCharType="begin"/>
        </w:r>
        <w:r w:rsidR="002F3E43">
          <w:rPr>
            <w:noProof/>
            <w:webHidden/>
          </w:rPr>
          <w:instrText xml:space="preserve"> PAGEREF _Toc90261093 \h </w:instrText>
        </w:r>
        <w:r w:rsidR="002F3E43">
          <w:rPr>
            <w:noProof/>
            <w:webHidden/>
          </w:rPr>
        </w:r>
        <w:r w:rsidR="002F3E43">
          <w:rPr>
            <w:noProof/>
            <w:webHidden/>
          </w:rPr>
          <w:fldChar w:fldCharType="separate"/>
        </w:r>
        <w:r w:rsidR="002F3E43">
          <w:rPr>
            <w:noProof/>
            <w:webHidden/>
          </w:rPr>
          <w:t>272</w:t>
        </w:r>
        <w:r w:rsidR="002F3E43">
          <w:rPr>
            <w:noProof/>
            <w:webHidden/>
          </w:rPr>
          <w:fldChar w:fldCharType="end"/>
        </w:r>
      </w:hyperlink>
    </w:p>
    <w:p w14:paraId="4DD15B11" w14:textId="77777777" w:rsidR="002F3E43" w:rsidRDefault="00D17419">
      <w:pPr>
        <w:pStyle w:val="Kazalovsebine1"/>
        <w:rPr>
          <w:rFonts w:asciiTheme="minorHAnsi" w:eastAsiaTheme="minorEastAsia" w:hAnsiTheme="minorHAnsi" w:cstheme="minorBidi"/>
          <w:bCs w:val="0"/>
          <w:caps w:val="0"/>
          <w:noProof/>
          <w:sz w:val="22"/>
          <w:szCs w:val="22"/>
          <w:lang w:eastAsia="sl-SI"/>
        </w:rPr>
      </w:pPr>
      <w:hyperlink w:anchor="_Toc90261094" w:history="1">
        <w:r w:rsidR="002F3E43" w:rsidRPr="006622C3">
          <w:rPr>
            <w:rStyle w:val="Hiperpovezava"/>
            <w:noProof/>
          </w:rPr>
          <w:t>9</w:t>
        </w:r>
        <w:r w:rsidR="002F3E43">
          <w:rPr>
            <w:rFonts w:asciiTheme="minorHAnsi" w:eastAsiaTheme="minorEastAsia" w:hAnsiTheme="minorHAnsi" w:cstheme="minorBidi"/>
            <w:bCs w:val="0"/>
            <w:caps w:val="0"/>
            <w:noProof/>
            <w:sz w:val="22"/>
            <w:szCs w:val="22"/>
            <w:lang w:eastAsia="sl-SI"/>
          </w:rPr>
          <w:tab/>
        </w:r>
        <w:r w:rsidR="002F3E43" w:rsidRPr="006622C3">
          <w:rPr>
            <w:rStyle w:val="Hiperpovezava"/>
            <w:noProof/>
          </w:rPr>
          <w:t>PRILOGE</w:t>
        </w:r>
        <w:r w:rsidR="002F3E43">
          <w:rPr>
            <w:noProof/>
            <w:webHidden/>
          </w:rPr>
          <w:tab/>
        </w:r>
        <w:r w:rsidR="002F3E43">
          <w:rPr>
            <w:noProof/>
            <w:webHidden/>
          </w:rPr>
          <w:fldChar w:fldCharType="begin"/>
        </w:r>
        <w:r w:rsidR="002F3E43">
          <w:rPr>
            <w:noProof/>
            <w:webHidden/>
          </w:rPr>
          <w:instrText xml:space="preserve"> PAGEREF _Toc90261094 \h </w:instrText>
        </w:r>
        <w:r w:rsidR="002F3E43">
          <w:rPr>
            <w:noProof/>
            <w:webHidden/>
          </w:rPr>
        </w:r>
        <w:r w:rsidR="002F3E43">
          <w:rPr>
            <w:noProof/>
            <w:webHidden/>
          </w:rPr>
          <w:fldChar w:fldCharType="separate"/>
        </w:r>
        <w:r w:rsidR="002F3E43">
          <w:rPr>
            <w:noProof/>
            <w:webHidden/>
          </w:rPr>
          <w:t>272</w:t>
        </w:r>
        <w:r w:rsidR="002F3E43">
          <w:rPr>
            <w:noProof/>
            <w:webHidden/>
          </w:rPr>
          <w:fldChar w:fldCharType="end"/>
        </w:r>
      </w:hyperlink>
    </w:p>
    <w:p w14:paraId="739F711E" w14:textId="77777777" w:rsidR="002F3E43" w:rsidRDefault="00D17419">
      <w:pPr>
        <w:pStyle w:val="Kazalovsebine2"/>
        <w:rPr>
          <w:rFonts w:asciiTheme="minorHAnsi" w:eastAsiaTheme="minorEastAsia" w:hAnsiTheme="minorHAnsi" w:cstheme="minorBidi"/>
          <w:noProof/>
          <w:sz w:val="22"/>
          <w:lang w:eastAsia="sl-SI"/>
        </w:rPr>
      </w:pPr>
      <w:hyperlink w:anchor="_Toc90261095" w:history="1">
        <w:r w:rsidR="002F3E43" w:rsidRPr="006622C3">
          <w:rPr>
            <w:rStyle w:val="Hiperpovezava"/>
            <w:noProof/>
          </w:rPr>
          <w:t>9.1</w:t>
        </w:r>
        <w:r w:rsidR="002F3E43">
          <w:rPr>
            <w:rFonts w:asciiTheme="minorHAnsi" w:eastAsiaTheme="minorEastAsia" w:hAnsiTheme="minorHAnsi" w:cstheme="minorBidi"/>
            <w:noProof/>
            <w:sz w:val="22"/>
            <w:lang w:eastAsia="sl-SI"/>
          </w:rPr>
          <w:tab/>
        </w:r>
        <w:r w:rsidR="002F3E43" w:rsidRPr="006622C3">
          <w:rPr>
            <w:rStyle w:val="Hiperpovezava"/>
            <w:noProof/>
          </w:rPr>
          <w:t>Seznam morebitnih podrobnejših programov in načrtov upravljanja voda, ki vplivajo na upravljanje voda na območju, na katero se nanaša načrt, skupaj s povzetkom njihovih vsebin</w:t>
        </w:r>
        <w:r w:rsidR="002F3E43">
          <w:rPr>
            <w:noProof/>
            <w:webHidden/>
          </w:rPr>
          <w:tab/>
        </w:r>
        <w:r w:rsidR="002F3E43">
          <w:rPr>
            <w:noProof/>
            <w:webHidden/>
          </w:rPr>
          <w:fldChar w:fldCharType="begin"/>
        </w:r>
        <w:r w:rsidR="002F3E43">
          <w:rPr>
            <w:noProof/>
            <w:webHidden/>
          </w:rPr>
          <w:instrText xml:space="preserve"> PAGEREF _Toc90261095 \h </w:instrText>
        </w:r>
        <w:r w:rsidR="002F3E43">
          <w:rPr>
            <w:noProof/>
            <w:webHidden/>
          </w:rPr>
        </w:r>
        <w:r w:rsidR="002F3E43">
          <w:rPr>
            <w:noProof/>
            <w:webHidden/>
          </w:rPr>
          <w:fldChar w:fldCharType="separate"/>
        </w:r>
        <w:r w:rsidR="002F3E43">
          <w:rPr>
            <w:noProof/>
            <w:webHidden/>
          </w:rPr>
          <w:t>272</w:t>
        </w:r>
        <w:r w:rsidR="002F3E43">
          <w:rPr>
            <w:noProof/>
            <w:webHidden/>
          </w:rPr>
          <w:fldChar w:fldCharType="end"/>
        </w:r>
      </w:hyperlink>
    </w:p>
    <w:p w14:paraId="46C372DA" w14:textId="77777777" w:rsidR="002F3E43" w:rsidRDefault="00D17419">
      <w:pPr>
        <w:pStyle w:val="Kazalovsebine2"/>
        <w:rPr>
          <w:rFonts w:asciiTheme="minorHAnsi" w:eastAsiaTheme="minorEastAsia" w:hAnsiTheme="minorHAnsi" w:cstheme="minorBidi"/>
          <w:noProof/>
          <w:sz w:val="22"/>
          <w:lang w:eastAsia="sl-SI"/>
        </w:rPr>
      </w:pPr>
      <w:hyperlink w:anchor="_Toc90261096" w:history="1">
        <w:r w:rsidR="002F3E43" w:rsidRPr="006622C3">
          <w:rPr>
            <w:rStyle w:val="Hiperpovezava"/>
            <w:noProof/>
          </w:rPr>
          <w:t>9.2</w:t>
        </w:r>
        <w:r w:rsidR="002F3E43">
          <w:rPr>
            <w:rFonts w:asciiTheme="minorHAnsi" w:eastAsiaTheme="minorEastAsia" w:hAnsiTheme="minorHAnsi" w:cstheme="minorBidi"/>
            <w:noProof/>
            <w:sz w:val="22"/>
            <w:lang w:eastAsia="sl-SI"/>
          </w:rPr>
          <w:tab/>
        </w:r>
        <w:r w:rsidR="002F3E43" w:rsidRPr="006622C3">
          <w:rPr>
            <w:rStyle w:val="Hiperpovezava"/>
            <w:noProof/>
          </w:rPr>
          <w:t>Poročilo o aktivnostih in rezultatih sodelovanja javnosti pri pripravi načrta</w:t>
        </w:r>
        <w:r w:rsidR="002F3E43">
          <w:rPr>
            <w:noProof/>
            <w:webHidden/>
          </w:rPr>
          <w:tab/>
        </w:r>
        <w:r w:rsidR="002F3E43">
          <w:rPr>
            <w:noProof/>
            <w:webHidden/>
          </w:rPr>
          <w:fldChar w:fldCharType="begin"/>
        </w:r>
        <w:r w:rsidR="002F3E43">
          <w:rPr>
            <w:noProof/>
            <w:webHidden/>
          </w:rPr>
          <w:instrText xml:space="preserve"> PAGEREF _Toc90261096 \h </w:instrText>
        </w:r>
        <w:r w:rsidR="002F3E43">
          <w:rPr>
            <w:noProof/>
            <w:webHidden/>
          </w:rPr>
        </w:r>
        <w:r w:rsidR="002F3E43">
          <w:rPr>
            <w:noProof/>
            <w:webHidden/>
          </w:rPr>
          <w:fldChar w:fldCharType="separate"/>
        </w:r>
        <w:r w:rsidR="002F3E43">
          <w:rPr>
            <w:noProof/>
            <w:webHidden/>
          </w:rPr>
          <w:t>272</w:t>
        </w:r>
        <w:r w:rsidR="002F3E43">
          <w:rPr>
            <w:noProof/>
            <w:webHidden/>
          </w:rPr>
          <w:fldChar w:fldCharType="end"/>
        </w:r>
      </w:hyperlink>
    </w:p>
    <w:p w14:paraId="5319DEB3" w14:textId="77777777" w:rsidR="002F3E43" w:rsidRDefault="00D17419">
      <w:pPr>
        <w:pStyle w:val="Kazalovsebine2"/>
        <w:rPr>
          <w:rFonts w:asciiTheme="minorHAnsi" w:eastAsiaTheme="minorEastAsia" w:hAnsiTheme="minorHAnsi" w:cstheme="minorBidi"/>
          <w:noProof/>
          <w:sz w:val="22"/>
          <w:lang w:eastAsia="sl-SI"/>
        </w:rPr>
      </w:pPr>
      <w:hyperlink w:anchor="_Toc90261097" w:history="1">
        <w:r w:rsidR="002F3E43" w:rsidRPr="006622C3">
          <w:rPr>
            <w:rStyle w:val="Hiperpovezava"/>
            <w:noProof/>
          </w:rPr>
          <w:t>9.3</w:t>
        </w:r>
        <w:r w:rsidR="002F3E43">
          <w:rPr>
            <w:rFonts w:asciiTheme="minorHAnsi" w:eastAsiaTheme="minorEastAsia" w:hAnsiTheme="minorHAnsi" w:cstheme="minorBidi"/>
            <w:noProof/>
            <w:sz w:val="22"/>
            <w:lang w:eastAsia="sl-SI"/>
          </w:rPr>
          <w:tab/>
        </w:r>
        <w:r w:rsidR="002F3E43" w:rsidRPr="006622C3">
          <w:rPr>
            <w:rStyle w:val="Hiperpovezava"/>
            <w:noProof/>
          </w:rPr>
          <w:t>Seznam pristojnih organov in institucij in način pridobitve dokumentov, na podlagi katerih je bil izdelan načrt</w:t>
        </w:r>
        <w:r w:rsidR="002F3E43">
          <w:rPr>
            <w:noProof/>
            <w:webHidden/>
          </w:rPr>
          <w:tab/>
        </w:r>
        <w:r w:rsidR="002F3E43">
          <w:rPr>
            <w:noProof/>
            <w:webHidden/>
          </w:rPr>
          <w:fldChar w:fldCharType="begin"/>
        </w:r>
        <w:r w:rsidR="002F3E43">
          <w:rPr>
            <w:noProof/>
            <w:webHidden/>
          </w:rPr>
          <w:instrText xml:space="preserve"> PAGEREF _Toc90261097 \h </w:instrText>
        </w:r>
        <w:r w:rsidR="002F3E43">
          <w:rPr>
            <w:noProof/>
            <w:webHidden/>
          </w:rPr>
        </w:r>
        <w:r w:rsidR="002F3E43">
          <w:rPr>
            <w:noProof/>
            <w:webHidden/>
          </w:rPr>
          <w:fldChar w:fldCharType="separate"/>
        </w:r>
        <w:r w:rsidR="002F3E43">
          <w:rPr>
            <w:noProof/>
            <w:webHidden/>
          </w:rPr>
          <w:t>272</w:t>
        </w:r>
        <w:r w:rsidR="002F3E43">
          <w:rPr>
            <w:noProof/>
            <w:webHidden/>
          </w:rPr>
          <w:fldChar w:fldCharType="end"/>
        </w:r>
      </w:hyperlink>
    </w:p>
    <w:p w14:paraId="22815A23" w14:textId="77777777" w:rsidR="002F3E43" w:rsidRDefault="00D17419">
      <w:pPr>
        <w:pStyle w:val="Kazalovsebine2"/>
        <w:rPr>
          <w:rFonts w:asciiTheme="minorHAnsi" w:eastAsiaTheme="minorEastAsia" w:hAnsiTheme="minorHAnsi" w:cstheme="minorBidi"/>
          <w:noProof/>
          <w:sz w:val="22"/>
          <w:lang w:eastAsia="sl-SI"/>
        </w:rPr>
      </w:pPr>
      <w:hyperlink w:anchor="_Toc90261098" w:history="1">
        <w:r w:rsidR="002F3E43" w:rsidRPr="006622C3">
          <w:rPr>
            <w:rStyle w:val="Hiperpovezava"/>
            <w:noProof/>
          </w:rPr>
          <w:t>9.4</w:t>
        </w:r>
        <w:r w:rsidR="002F3E43">
          <w:rPr>
            <w:rFonts w:asciiTheme="minorHAnsi" w:eastAsiaTheme="minorEastAsia" w:hAnsiTheme="minorHAnsi" w:cstheme="minorBidi"/>
            <w:noProof/>
            <w:sz w:val="22"/>
            <w:lang w:eastAsia="sl-SI"/>
          </w:rPr>
          <w:tab/>
        </w:r>
        <w:r w:rsidR="002F3E43" w:rsidRPr="006622C3">
          <w:rPr>
            <w:rStyle w:val="Hiperpovezava"/>
            <w:noProof/>
          </w:rPr>
          <w:t>Seznam strokovnih podlag, strokovnih navodil, metodologij in poročil, na podlagi katerih je bil izdelan načrt</w:t>
        </w:r>
        <w:r w:rsidR="002F3E43">
          <w:rPr>
            <w:noProof/>
            <w:webHidden/>
          </w:rPr>
          <w:tab/>
        </w:r>
        <w:r w:rsidR="002F3E43">
          <w:rPr>
            <w:noProof/>
            <w:webHidden/>
          </w:rPr>
          <w:fldChar w:fldCharType="begin"/>
        </w:r>
        <w:r w:rsidR="002F3E43">
          <w:rPr>
            <w:noProof/>
            <w:webHidden/>
          </w:rPr>
          <w:instrText xml:space="preserve"> PAGEREF _Toc90261098 \h </w:instrText>
        </w:r>
        <w:r w:rsidR="002F3E43">
          <w:rPr>
            <w:noProof/>
            <w:webHidden/>
          </w:rPr>
        </w:r>
        <w:r w:rsidR="002F3E43">
          <w:rPr>
            <w:noProof/>
            <w:webHidden/>
          </w:rPr>
          <w:fldChar w:fldCharType="separate"/>
        </w:r>
        <w:r w:rsidR="002F3E43">
          <w:rPr>
            <w:noProof/>
            <w:webHidden/>
          </w:rPr>
          <w:t>272</w:t>
        </w:r>
        <w:r w:rsidR="002F3E43">
          <w:rPr>
            <w:noProof/>
            <w:webHidden/>
          </w:rPr>
          <w:fldChar w:fldCharType="end"/>
        </w:r>
      </w:hyperlink>
    </w:p>
    <w:p w14:paraId="576BB3C6" w14:textId="77777777" w:rsidR="002F3E43" w:rsidRDefault="00D17419">
      <w:pPr>
        <w:pStyle w:val="Kazalovsebine2"/>
        <w:rPr>
          <w:rFonts w:asciiTheme="minorHAnsi" w:eastAsiaTheme="minorEastAsia" w:hAnsiTheme="minorHAnsi" w:cstheme="minorBidi"/>
          <w:noProof/>
          <w:sz w:val="22"/>
          <w:lang w:eastAsia="sl-SI"/>
        </w:rPr>
      </w:pPr>
      <w:hyperlink w:anchor="_Toc90261099" w:history="1">
        <w:r w:rsidR="002F3E43" w:rsidRPr="006622C3">
          <w:rPr>
            <w:rStyle w:val="Hiperpovezava"/>
            <w:noProof/>
          </w:rPr>
          <w:t>9.5</w:t>
        </w:r>
        <w:r w:rsidR="002F3E43">
          <w:rPr>
            <w:rFonts w:asciiTheme="minorHAnsi" w:eastAsiaTheme="minorEastAsia" w:hAnsiTheme="minorHAnsi" w:cstheme="minorBidi"/>
            <w:noProof/>
            <w:sz w:val="22"/>
            <w:lang w:eastAsia="sl-SI"/>
          </w:rPr>
          <w:tab/>
        </w:r>
        <w:r w:rsidR="002F3E43" w:rsidRPr="006622C3">
          <w:rPr>
            <w:rStyle w:val="Hiperpovezava"/>
            <w:noProof/>
          </w:rPr>
          <w:t>Povzetek obveznosti, sprejetih z mednarodnimi pogodbami, ki se nanašajo na upravljanje voda in način njihovega uresničevanja</w:t>
        </w:r>
        <w:r w:rsidR="002F3E43">
          <w:rPr>
            <w:noProof/>
            <w:webHidden/>
          </w:rPr>
          <w:tab/>
        </w:r>
        <w:r w:rsidR="002F3E43">
          <w:rPr>
            <w:noProof/>
            <w:webHidden/>
          </w:rPr>
          <w:fldChar w:fldCharType="begin"/>
        </w:r>
        <w:r w:rsidR="002F3E43">
          <w:rPr>
            <w:noProof/>
            <w:webHidden/>
          </w:rPr>
          <w:instrText xml:space="preserve"> PAGEREF _Toc90261099 \h </w:instrText>
        </w:r>
        <w:r w:rsidR="002F3E43">
          <w:rPr>
            <w:noProof/>
            <w:webHidden/>
          </w:rPr>
        </w:r>
        <w:r w:rsidR="002F3E43">
          <w:rPr>
            <w:noProof/>
            <w:webHidden/>
          </w:rPr>
          <w:fldChar w:fldCharType="separate"/>
        </w:r>
        <w:r w:rsidR="002F3E43">
          <w:rPr>
            <w:noProof/>
            <w:webHidden/>
          </w:rPr>
          <w:t>273</w:t>
        </w:r>
        <w:r w:rsidR="002F3E43">
          <w:rPr>
            <w:noProof/>
            <w:webHidden/>
          </w:rPr>
          <w:fldChar w:fldCharType="end"/>
        </w:r>
      </w:hyperlink>
    </w:p>
    <w:p w14:paraId="59DCA292" w14:textId="77777777" w:rsidR="002F3E43" w:rsidRDefault="00D17419">
      <w:pPr>
        <w:pStyle w:val="Kazalovsebine2"/>
        <w:rPr>
          <w:rFonts w:asciiTheme="minorHAnsi" w:eastAsiaTheme="minorEastAsia" w:hAnsiTheme="minorHAnsi" w:cstheme="minorBidi"/>
          <w:noProof/>
          <w:sz w:val="22"/>
          <w:lang w:eastAsia="sl-SI"/>
        </w:rPr>
      </w:pPr>
      <w:hyperlink w:anchor="_Toc90261100" w:history="1">
        <w:r w:rsidR="002F3E43" w:rsidRPr="006622C3">
          <w:rPr>
            <w:rStyle w:val="Hiperpovezava"/>
            <w:noProof/>
          </w:rPr>
          <w:t>9.6</w:t>
        </w:r>
        <w:r w:rsidR="002F3E43">
          <w:rPr>
            <w:rFonts w:asciiTheme="minorHAnsi" w:eastAsiaTheme="minorEastAsia" w:hAnsiTheme="minorHAnsi" w:cstheme="minorBidi"/>
            <w:noProof/>
            <w:sz w:val="22"/>
            <w:lang w:eastAsia="sl-SI"/>
          </w:rPr>
          <w:tab/>
        </w:r>
        <w:r w:rsidR="002F3E43" w:rsidRPr="006622C3">
          <w:rPr>
            <w:rStyle w:val="Hiperpovezava"/>
            <w:noProof/>
          </w:rPr>
          <w:t>Seznam naslovov za stike in postopke za pridobitev osnovnih dokumentov, strokovnih podlag in informacij ter aktualnih podatkov o monitoringu voda</w:t>
        </w:r>
        <w:r w:rsidR="002F3E43">
          <w:rPr>
            <w:noProof/>
            <w:webHidden/>
          </w:rPr>
          <w:tab/>
        </w:r>
        <w:r w:rsidR="002F3E43">
          <w:rPr>
            <w:noProof/>
            <w:webHidden/>
          </w:rPr>
          <w:fldChar w:fldCharType="begin"/>
        </w:r>
        <w:r w:rsidR="002F3E43">
          <w:rPr>
            <w:noProof/>
            <w:webHidden/>
          </w:rPr>
          <w:instrText xml:space="preserve"> PAGEREF _Toc90261100 \h </w:instrText>
        </w:r>
        <w:r w:rsidR="002F3E43">
          <w:rPr>
            <w:noProof/>
            <w:webHidden/>
          </w:rPr>
        </w:r>
        <w:r w:rsidR="002F3E43">
          <w:rPr>
            <w:noProof/>
            <w:webHidden/>
          </w:rPr>
          <w:fldChar w:fldCharType="separate"/>
        </w:r>
        <w:r w:rsidR="002F3E43">
          <w:rPr>
            <w:noProof/>
            <w:webHidden/>
          </w:rPr>
          <w:t>273</w:t>
        </w:r>
        <w:r w:rsidR="002F3E43">
          <w:rPr>
            <w:noProof/>
            <w:webHidden/>
          </w:rPr>
          <w:fldChar w:fldCharType="end"/>
        </w:r>
      </w:hyperlink>
    </w:p>
    <w:p w14:paraId="0055AD9C" w14:textId="77777777" w:rsidR="002F3E43" w:rsidRDefault="00D17419">
      <w:pPr>
        <w:pStyle w:val="Kazalovsebine2"/>
        <w:rPr>
          <w:rFonts w:asciiTheme="minorHAnsi" w:eastAsiaTheme="minorEastAsia" w:hAnsiTheme="minorHAnsi" w:cstheme="minorBidi"/>
          <w:noProof/>
          <w:sz w:val="22"/>
          <w:lang w:eastAsia="sl-SI"/>
        </w:rPr>
      </w:pPr>
      <w:hyperlink w:anchor="_Toc90261101" w:history="1">
        <w:r w:rsidR="002F3E43" w:rsidRPr="006622C3">
          <w:rPr>
            <w:rStyle w:val="Hiperpovezava"/>
            <w:noProof/>
          </w:rPr>
          <w:t>9.7</w:t>
        </w:r>
        <w:r w:rsidR="002F3E43">
          <w:rPr>
            <w:rFonts w:asciiTheme="minorHAnsi" w:eastAsiaTheme="minorEastAsia" w:hAnsiTheme="minorHAnsi" w:cstheme="minorBidi"/>
            <w:noProof/>
            <w:sz w:val="22"/>
            <w:lang w:eastAsia="sl-SI"/>
          </w:rPr>
          <w:tab/>
        </w:r>
        <w:r w:rsidR="002F3E43" w:rsidRPr="006622C3">
          <w:rPr>
            <w:rStyle w:val="Hiperpovezava"/>
            <w:noProof/>
          </w:rPr>
          <w:t>Povzetek sprememb in dopolnitev načrta od dneva njegove uveljavitve, skupaj s povzetkom in obrazložitvijo</w:t>
        </w:r>
        <w:r w:rsidR="002F3E43">
          <w:rPr>
            <w:noProof/>
            <w:webHidden/>
          </w:rPr>
          <w:tab/>
        </w:r>
        <w:r w:rsidR="002F3E43">
          <w:rPr>
            <w:noProof/>
            <w:webHidden/>
          </w:rPr>
          <w:fldChar w:fldCharType="begin"/>
        </w:r>
        <w:r w:rsidR="002F3E43">
          <w:rPr>
            <w:noProof/>
            <w:webHidden/>
          </w:rPr>
          <w:instrText xml:space="preserve"> PAGEREF _Toc90261101 \h </w:instrText>
        </w:r>
        <w:r w:rsidR="002F3E43">
          <w:rPr>
            <w:noProof/>
            <w:webHidden/>
          </w:rPr>
        </w:r>
        <w:r w:rsidR="002F3E43">
          <w:rPr>
            <w:noProof/>
            <w:webHidden/>
          </w:rPr>
          <w:fldChar w:fldCharType="separate"/>
        </w:r>
        <w:r w:rsidR="002F3E43">
          <w:rPr>
            <w:noProof/>
            <w:webHidden/>
          </w:rPr>
          <w:t>273</w:t>
        </w:r>
        <w:r w:rsidR="002F3E43">
          <w:rPr>
            <w:noProof/>
            <w:webHidden/>
          </w:rPr>
          <w:fldChar w:fldCharType="end"/>
        </w:r>
      </w:hyperlink>
    </w:p>
    <w:p w14:paraId="71F1E2BB" w14:textId="77777777" w:rsidR="002F3E43" w:rsidRDefault="00D17419">
      <w:pPr>
        <w:pStyle w:val="Kazalovsebine2"/>
        <w:rPr>
          <w:rFonts w:asciiTheme="minorHAnsi" w:eastAsiaTheme="minorEastAsia" w:hAnsiTheme="minorHAnsi" w:cstheme="minorBidi"/>
          <w:noProof/>
          <w:sz w:val="22"/>
          <w:lang w:eastAsia="sl-SI"/>
        </w:rPr>
      </w:pPr>
      <w:hyperlink w:anchor="_Toc90261102" w:history="1">
        <w:r w:rsidR="002F3E43" w:rsidRPr="006622C3">
          <w:rPr>
            <w:rStyle w:val="Hiperpovezava"/>
            <w:noProof/>
          </w:rPr>
          <w:t>9.8</w:t>
        </w:r>
        <w:r w:rsidR="002F3E43">
          <w:rPr>
            <w:rFonts w:asciiTheme="minorHAnsi" w:eastAsiaTheme="minorEastAsia" w:hAnsiTheme="minorHAnsi" w:cstheme="minorBidi"/>
            <w:noProof/>
            <w:sz w:val="22"/>
            <w:lang w:eastAsia="sl-SI"/>
          </w:rPr>
          <w:tab/>
        </w:r>
        <w:r w:rsidR="002F3E43" w:rsidRPr="006622C3">
          <w:rPr>
            <w:rStyle w:val="Hiperpovezava"/>
            <w:noProof/>
          </w:rPr>
          <w:t>Povzetek ocene napredka pri doseganju okoljskih ciljev</w:t>
        </w:r>
        <w:r w:rsidR="002F3E43">
          <w:rPr>
            <w:noProof/>
            <w:webHidden/>
          </w:rPr>
          <w:tab/>
        </w:r>
        <w:r w:rsidR="002F3E43">
          <w:rPr>
            <w:noProof/>
            <w:webHidden/>
          </w:rPr>
          <w:fldChar w:fldCharType="begin"/>
        </w:r>
        <w:r w:rsidR="002F3E43">
          <w:rPr>
            <w:noProof/>
            <w:webHidden/>
          </w:rPr>
          <w:instrText xml:space="preserve"> PAGEREF _Toc90261102 \h </w:instrText>
        </w:r>
        <w:r w:rsidR="002F3E43">
          <w:rPr>
            <w:noProof/>
            <w:webHidden/>
          </w:rPr>
        </w:r>
        <w:r w:rsidR="002F3E43">
          <w:rPr>
            <w:noProof/>
            <w:webHidden/>
          </w:rPr>
          <w:fldChar w:fldCharType="separate"/>
        </w:r>
        <w:r w:rsidR="002F3E43">
          <w:rPr>
            <w:noProof/>
            <w:webHidden/>
          </w:rPr>
          <w:t>273</w:t>
        </w:r>
        <w:r w:rsidR="002F3E43">
          <w:rPr>
            <w:noProof/>
            <w:webHidden/>
          </w:rPr>
          <w:fldChar w:fldCharType="end"/>
        </w:r>
      </w:hyperlink>
    </w:p>
    <w:p w14:paraId="67940E74" w14:textId="77777777" w:rsidR="002F3E43" w:rsidRDefault="00D17419">
      <w:pPr>
        <w:pStyle w:val="Kazalovsebine2"/>
        <w:rPr>
          <w:rFonts w:asciiTheme="minorHAnsi" w:eastAsiaTheme="minorEastAsia" w:hAnsiTheme="minorHAnsi" w:cstheme="minorBidi"/>
          <w:noProof/>
          <w:sz w:val="22"/>
          <w:lang w:eastAsia="sl-SI"/>
        </w:rPr>
      </w:pPr>
      <w:hyperlink w:anchor="_Toc90261103" w:history="1">
        <w:r w:rsidR="002F3E43" w:rsidRPr="006622C3">
          <w:rPr>
            <w:rStyle w:val="Hiperpovezava"/>
            <w:noProof/>
          </w:rPr>
          <w:t>9.9</w:t>
        </w:r>
        <w:r w:rsidR="002F3E43">
          <w:rPr>
            <w:rFonts w:asciiTheme="minorHAnsi" w:eastAsiaTheme="minorEastAsia" w:hAnsiTheme="minorHAnsi" w:cstheme="minorBidi"/>
            <w:noProof/>
            <w:sz w:val="22"/>
            <w:lang w:eastAsia="sl-SI"/>
          </w:rPr>
          <w:tab/>
        </w:r>
        <w:r w:rsidR="002F3E43" w:rsidRPr="006622C3">
          <w:rPr>
            <w:rStyle w:val="Hiperpovezava"/>
            <w:noProof/>
          </w:rPr>
          <w:t>Analizne metode za prednostne in prednostne nevarne snovi, analizirane na Vodnem območju Donave</w:t>
        </w:r>
        <w:r w:rsidR="002F3E43">
          <w:rPr>
            <w:noProof/>
            <w:webHidden/>
          </w:rPr>
          <w:tab/>
        </w:r>
        <w:r w:rsidR="002F3E43">
          <w:rPr>
            <w:noProof/>
            <w:webHidden/>
          </w:rPr>
          <w:fldChar w:fldCharType="begin"/>
        </w:r>
        <w:r w:rsidR="002F3E43">
          <w:rPr>
            <w:noProof/>
            <w:webHidden/>
          </w:rPr>
          <w:instrText xml:space="preserve"> PAGEREF _Toc90261103 \h </w:instrText>
        </w:r>
        <w:r w:rsidR="002F3E43">
          <w:rPr>
            <w:noProof/>
            <w:webHidden/>
          </w:rPr>
        </w:r>
        <w:r w:rsidR="002F3E43">
          <w:rPr>
            <w:noProof/>
            <w:webHidden/>
          </w:rPr>
          <w:fldChar w:fldCharType="separate"/>
        </w:r>
        <w:r w:rsidR="002F3E43">
          <w:rPr>
            <w:noProof/>
            <w:webHidden/>
          </w:rPr>
          <w:t>273</w:t>
        </w:r>
        <w:r w:rsidR="002F3E43">
          <w:rPr>
            <w:noProof/>
            <w:webHidden/>
          </w:rPr>
          <w:fldChar w:fldCharType="end"/>
        </w:r>
      </w:hyperlink>
    </w:p>
    <w:p w14:paraId="35FB5D38" w14:textId="77777777" w:rsidR="002F3E43" w:rsidRDefault="00D17419">
      <w:pPr>
        <w:pStyle w:val="Kazalovsebine2"/>
        <w:rPr>
          <w:rFonts w:asciiTheme="minorHAnsi" w:eastAsiaTheme="minorEastAsia" w:hAnsiTheme="minorHAnsi" w:cstheme="minorBidi"/>
          <w:noProof/>
          <w:sz w:val="22"/>
          <w:lang w:eastAsia="sl-SI"/>
        </w:rPr>
      </w:pPr>
      <w:hyperlink w:anchor="_Toc90261104" w:history="1">
        <w:r w:rsidR="002F3E43" w:rsidRPr="006622C3">
          <w:rPr>
            <w:rStyle w:val="Hiperpovezava"/>
            <w:noProof/>
          </w:rPr>
          <w:t>9.10</w:t>
        </w:r>
        <w:r w:rsidR="002F3E43">
          <w:rPr>
            <w:rFonts w:asciiTheme="minorHAnsi" w:eastAsiaTheme="minorEastAsia" w:hAnsiTheme="minorHAnsi" w:cstheme="minorBidi"/>
            <w:noProof/>
            <w:sz w:val="22"/>
            <w:lang w:eastAsia="sl-SI"/>
          </w:rPr>
          <w:tab/>
        </w:r>
        <w:r w:rsidR="002F3E43" w:rsidRPr="006622C3">
          <w:rPr>
            <w:rStyle w:val="Hiperpovezava"/>
            <w:noProof/>
          </w:rPr>
          <w:t>Publikacijske karte</w:t>
        </w:r>
        <w:r w:rsidR="002F3E43">
          <w:rPr>
            <w:noProof/>
            <w:webHidden/>
          </w:rPr>
          <w:tab/>
        </w:r>
        <w:r w:rsidR="002F3E43">
          <w:rPr>
            <w:noProof/>
            <w:webHidden/>
          </w:rPr>
          <w:fldChar w:fldCharType="begin"/>
        </w:r>
        <w:r w:rsidR="002F3E43">
          <w:rPr>
            <w:noProof/>
            <w:webHidden/>
          </w:rPr>
          <w:instrText xml:space="preserve"> PAGEREF _Toc90261104 \h </w:instrText>
        </w:r>
        <w:r w:rsidR="002F3E43">
          <w:rPr>
            <w:noProof/>
            <w:webHidden/>
          </w:rPr>
        </w:r>
        <w:r w:rsidR="002F3E43">
          <w:rPr>
            <w:noProof/>
            <w:webHidden/>
          </w:rPr>
          <w:fldChar w:fldCharType="separate"/>
        </w:r>
        <w:r w:rsidR="002F3E43">
          <w:rPr>
            <w:noProof/>
            <w:webHidden/>
          </w:rPr>
          <w:t>273</w:t>
        </w:r>
        <w:r w:rsidR="002F3E43">
          <w:rPr>
            <w:noProof/>
            <w:webHidden/>
          </w:rPr>
          <w:fldChar w:fldCharType="end"/>
        </w:r>
      </w:hyperlink>
    </w:p>
    <w:p w14:paraId="07340876" w14:textId="77777777" w:rsidR="002F3E43" w:rsidRDefault="00D17419">
      <w:pPr>
        <w:pStyle w:val="Kazalovsebine2"/>
        <w:rPr>
          <w:rFonts w:asciiTheme="minorHAnsi" w:eastAsiaTheme="minorEastAsia" w:hAnsiTheme="minorHAnsi" w:cstheme="minorBidi"/>
          <w:noProof/>
          <w:sz w:val="22"/>
          <w:lang w:eastAsia="sl-SI"/>
        </w:rPr>
      </w:pPr>
      <w:hyperlink w:anchor="_Toc90261105" w:history="1">
        <w:r w:rsidR="002F3E43" w:rsidRPr="006622C3">
          <w:rPr>
            <w:rStyle w:val="Hiperpovezava"/>
            <w:noProof/>
          </w:rPr>
          <w:t>9.11</w:t>
        </w:r>
        <w:r w:rsidR="002F3E43">
          <w:rPr>
            <w:rFonts w:asciiTheme="minorHAnsi" w:eastAsiaTheme="minorEastAsia" w:hAnsiTheme="minorHAnsi" w:cstheme="minorBidi"/>
            <w:noProof/>
            <w:sz w:val="22"/>
            <w:lang w:eastAsia="sl-SI"/>
          </w:rPr>
          <w:tab/>
        </w:r>
        <w:r w:rsidR="002F3E43" w:rsidRPr="006622C3">
          <w:rPr>
            <w:rStyle w:val="Hiperpovezava"/>
            <w:noProof/>
          </w:rPr>
          <w:t>Prikaz podatkov za vodna telesa površinskih in podzemnih voda</w:t>
        </w:r>
        <w:r w:rsidR="002F3E43">
          <w:rPr>
            <w:noProof/>
            <w:webHidden/>
          </w:rPr>
          <w:tab/>
        </w:r>
        <w:r w:rsidR="002F3E43">
          <w:rPr>
            <w:noProof/>
            <w:webHidden/>
          </w:rPr>
          <w:fldChar w:fldCharType="begin"/>
        </w:r>
        <w:r w:rsidR="002F3E43">
          <w:rPr>
            <w:noProof/>
            <w:webHidden/>
          </w:rPr>
          <w:instrText xml:space="preserve"> PAGEREF _Toc90261105 \h </w:instrText>
        </w:r>
        <w:r w:rsidR="002F3E43">
          <w:rPr>
            <w:noProof/>
            <w:webHidden/>
          </w:rPr>
        </w:r>
        <w:r w:rsidR="002F3E43">
          <w:rPr>
            <w:noProof/>
            <w:webHidden/>
          </w:rPr>
          <w:fldChar w:fldCharType="separate"/>
        </w:r>
        <w:r w:rsidR="002F3E43">
          <w:rPr>
            <w:noProof/>
            <w:webHidden/>
          </w:rPr>
          <w:t>273</w:t>
        </w:r>
        <w:r w:rsidR="002F3E43">
          <w:rPr>
            <w:noProof/>
            <w:webHidden/>
          </w:rPr>
          <w:fldChar w:fldCharType="end"/>
        </w:r>
      </w:hyperlink>
    </w:p>
    <w:p w14:paraId="07F6CD12" w14:textId="0680BCC6" w:rsidR="00342A40" w:rsidRPr="00545EC0" w:rsidRDefault="002D083E" w:rsidP="0010797F">
      <w:pPr>
        <w:pStyle w:val="Oddelek"/>
        <w:spacing w:before="120"/>
        <w:jc w:val="both"/>
        <w:rPr>
          <w:rFonts w:cs="Arial"/>
          <w:lang w:val="sl-SI"/>
        </w:rPr>
      </w:pPr>
      <w:r w:rsidRPr="00545EC0">
        <w:rPr>
          <w:rFonts w:cs="Arial"/>
          <w:sz w:val="24"/>
          <w:szCs w:val="20"/>
          <w:lang w:val="sl-SI" w:eastAsia="ja-JP"/>
        </w:rPr>
        <w:fldChar w:fldCharType="end"/>
      </w:r>
    </w:p>
    <w:p w14:paraId="2225DBF2" w14:textId="77777777" w:rsidR="00954912" w:rsidRPr="00545EC0" w:rsidRDefault="00954912" w:rsidP="0010797F">
      <w:pPr>
        <w:pStyle w:val="Oddelek"/>
        <w:spacing w:before="120"/>
        <w:jc w:val="both"/>
        <w:rPr>
          <w:rFonts w:cs="Arial"/>
          <w:lang w:val="sl-SI"/>
        </w:rPr>
      </w:pPr>
    </w:p>
    <w:p w14:paraId="2173936E" w14:textId="77777777" w:rsidR="00C0711F" w:rsidRPr="00545EC0" w:rsidRDefault="007873CC" w:rsidP="0010797F">
      <w:pPr>
        <w:rPr>
          <w:rFonts w:cs="Arial"/>
          <w:b/>
          <w:szCs w:val="22"/>
        </w:rPr>
      </w:pPr>
      <w:bookmarkStart w:id="0" w:name="_Toc419099155"/>
      <w:r w:rsidRPr="00545EC0">
        <w:rPr>
          <w:rFonts w:cs="Arial"/>
          <w:b/>
          <w:szCs w:val="22"/>
        </w:rPr>
        <w:br w:type="page"/>
      </w:r>
      <w:r w:rsidR="00C0711F" w:rsidRPr="00545EC0">
        <w:rPr>
          <w:rFonts w:cs="Arial"/>
          <w:b/>
          <w:szCs w:val="22"/>
        </w:rPr>
        <w:lastRenderedPageBreak/>
        <w:t>OKRAJŠAVE IN SIMBOLI</w:t>
      </w:r>
      <w:bookmarkEnd w:id="0"/>
    </w:p>
    <w:p w14:paraId="1EE2DA6E" w14:textId="77777777" w:rsidR="00D33449" w:rsidRPr="00545EC0" w:rsidRDefault="00D33449" w:rsidP="0010797F">
      <w:pPr>
        <w:pStyle w:val="Oddelek"/>
        <w:spacing w:before="120"/>
        <w:jc w:val="both"/>
        <w:rPr>
          <w:rFonts w:cs="Arial"/>
          <w:lang w:val="sl-SI"/>
        </w:rPr>
      </w:pPr>
    </w:p>
    <w:tbl>
      <w:tblPr>
        <w:tblW w:w="8474" w:type="dxa"/>
        <w:tblInd w:w="55" w:type="dxa"/>
        <w:tblCellMar>
          <w:left w:w="70" w:type="dxa"/>
          <w:right w:w="70" w:type="dxa"/>
        </w:tblCellMar>
        <w:tblLook w:val="04A0" w:firstRow="1" w:lastRow="0" w:firstColumn="1" w:lastColumn="0" w:noHBand="0" w:noVBand="1"/>
      </w:tblPr>
      <w:tblGrid>
        <w:gridCol w:w="1640"/>
        <w:gridCol w:w="6834"/>
      </w:tblGrid>
      <w:tr w:rsidR="003122F4" w:rsidRPr="00545EC0" w14:paraId="3C884BAA" w14:textId="77777777" w:rsidTr="002B231A">
        <w:trPr>
          <w:trHeight w:val="290"/>
        </w:trPr>
        <w:tc>
          <w:tcPr>
            <w:tcW w:w="1640" w:type="dxa"/>
            <w:shd w:val="clear" w:color="auto" w:fill="auto"/>
            <w:noWrap/>
            <w:vAlign w:val="center"/>
            <w:hideMark/>
          </w:tcPr>
          <w:p w14:paraId="324CE45B" w14:textId="77777777" w:rsidR="00C97744" w:rsidRPr="00545EC0" w:rsidRDefault="00C97744" w:rsidP="00720C99">
            <w:pPr>
              <w:overflowPunct/>
              <w:autoSpaceDE/>
              <w:autoSpaceDN/>
              <w:adjustRightInd/>
              <w:spacing w:line="276" w:lineRule="auto"/>
              <w:textAlignment w:val="auto"/>
              <w:rPr>
                <w:rFonts w:cs="Arial"/>
                <w:szCs w:val="20"/>
              </w:rPr>
            </w:pPr>
            <w:r w:rsidRPr="00545EC0">
              <w:rPr>
                <w:rFonts w:cs="Arial"/>
                <w:szCs w:val="20"/>
              </w:rPr>
              <w:t>ARSO</w:t>
            </w:r>
          </w:p>
        </w:tc>
        <w:tc>
          <w:tcPr>
            <w:tcW w:w="6834" w:type="dxa"/>
            <w:shd w:val="clear" w:color="auto" w:fill="auto"/>
            <w:noWrap/>
            <w:vAlign w:val="center"/>
            <w:hideMark/>
          </w:tcPr>
          <w:p w14:paraId="4AE133AD" w14:textId="77777777" w:rsidR="00C97744" w:rsidRPr="00545EC0" w:rsidRDefault="00C97744" w:rsidP="00720C99">
            <w:pPr>
              <w:overflowPunct/>
              <w:autoSpaceDE/>
              <w:autoSpaceDN/>
              <w:adjustRightInd/>
              <w:spacing w:line="276" w:lineRule="auto"/>
              <w:jc w:val="left"/>
              <w:textAlignment w:val="auto"/>
              <w:rPr>
                <w:rFonts w:cs="Arial"/>
                <w:szCs w:val="20"/>
              </w:rPr>
            </w:pPr>
            <w:r w:rsidRPr="00545EC0">
              <w:rPr>
                <w:rFonts w:cs="Arial"/>
                <w:szCs w:val="20"/>
              </w:rPr>
              <w:t>Agencija Republike Slovenije za okolje</w:t>
            </w:r>
          </w:p>
        </w:tc>
      </w:tr>
      <w:tr w:rsidR="003122F4" w:rsidRPr="00545EC0" w14:paraId="708BCA8F" w14:textId="77777777" w:rsidTr="002B231A">
        <w:trPr>
          <w:trHeight w:val="290"/>
        </w:trPr>
        <w:tc>
          <w:tcPr>
            <w:tcW w:w="1640" w:type="dxa"/>
            <w:shd w:val="clear" w:color="auto" w:fill="auto"/>
            <w:noWrap/>
            <w:vAlign w:val="center"/>
            <w:hideMark/>
          </w:tcPr>
          <w:p w14:paraId="53CB8E1A" w14:textId="77777777" w:rsidR="00C97744" w:rsidRPr="00545EC0" w:rsidRDefault="00C97744" w:rsidP="00720C99">
            <w:pPr>
              <w:overflowPunct/>
              <w:autoSpaceDE/>
              <w:autoSpaceDN/>
              <w:adjustRightInd/>
              <w:spacing w:line="276" w:lineRule="auto"/>
              <w:textAlignment w:val="auto"/>
              <w:rPr>
                <w:rFonts w:cs="Arial"/>
                <w:szCs w:val="20"/>
              </w:rPr>
            </w:pPr>
            <w:r w:rsidRPr="00545EC0">
              <w:rPr>
                <w:rFonts w:cs="Arial"/>
                <w:szCs w:val="20"/>
              </w:rPr>
              <w:t>BDP</w:t>
            </w:r>
          </w:p>
        </w:tc>
        <w:tc>
          <w:tcPr>
            <w:tcW w:w="6834" w:type="dxa"/>
            <w:shd w:val="clear" w:color="auto" w:fill="auto"/>
            <w:noWrap/>
            <w:vAlign w:val="center"/>
            <w:hideMark/>
          </w:tcPr>
          <w:p w14:paraId="43175103" w14:textId="77777777" w:rsidR="00C97744" w:rsidRPr="00545EC0" w:rsidRDefault="00C97744" w:rsidP="00720C99">
            <w:pPr>
              <w:overflowPunct/>
              <w:autoSpaceDE/>
              <w:autoSpaceDN/>
              <w:adjustRightInd/>
              <w:spacing w:line="276" w:lineRule="auto"/>
              <w:jc w:val="left"/>
              <w:textAlignment w:val="auto"/>
              <w:rPr>
                <w:rFonts w:cs="Arial"/>
                <w:szCs w:val="20"/>
              </w:rPr>
            </w:pPr>
            <w:r w:rsidRPr="00545EC0">
              <w:rPr>
                <w:rFonts w:cs="Arial"/>
                <w:szCs w:val="20"/>
              </w:rPr>
              <w:t>bruto družbeni proizvod</w:t>
            </w:r>
          </w:p>
        </w:tc>
      </w:tr>
      <w:tr w:rsidR="003122F4" w:rsidRPr="00545EC0" w14:paraId="75815A43" w14:textId="77777777" w:rsidTr="002B231A">
        <w:trPr>
          <w:trHeight w:val="290"/>
        </w:trPr>
        <w:tc>
          <w:tcPr>
            <w:tcW w:w="1640" w:type="dxa"/>
            <w:shd w:val="clear" w:color="auto" w:fill="auto"/>
            <w:noWrap/>
            <w:vAlign w:val="center"/>
            <w:hideMark/>
          </w:tcPr>
          <w:p w14:paraId="3DE6D46C" w14:textId="77777777" w:rsidR="00C97744" w:rsidRPr="00545EC0" w:rsidRDefault="00C97744" w:rsidP="00720C99">
            <w:pPr>
              <w:overflowPunct/>
              <w:autoSpaceDE/>
              <w:autoSpaceDN/>
              <w:adjustRightInd/>
              <w:spacing w:line="276" w:lineRule="auto"/>
              <w:textAlignment w:val="auto"/>
              <w:rPr>
                <w:rFonts w:cs="Arial"/>
                <w:szCs w:val="20"/>
              </w:rPr>
            </w:pPr>
            <w:r w:rsidRPr="00545EC0">
              <w:rPr>
                <w:rFonts w:cs="Arial"/>
                <w:szCs w:val="20"/>
              </w:rPr>
              <w:t>BDV</w:t>
            </w:r>
          </w:p>
        </w:tc>
        <w:tc>
          <w:tcPr>
            <w:tcW w:w="6834" w:type="dxa"/>
            <w:shd w:val="clear" w:color="auto" w:fill="auto"/>
            <w:noWrap/>
            <w:vAlign w:val="center"/>
            <w:hideMark/>
          </w:tcPr>
          <w:p w14:paraId="5B701278" w14:textId="77777777" w:rsidR="00C97744" w:rsidRPr="00545EC0" w:rsidRDefault="00C97744" w:rsidP="00720C99">
            <w:pPr>
              <w:overflowPunct/>
              <w:autoSpaceDE/>
              <w:autoSpaceDN/>
              <w:adjustRightInd/>
              <w:spacing w:line="276" w:lineRule="auto"/>
              <w:jc w:val="left"/>
              <w:textAlignment w:val="auto"/>
              <w:rPr>
                <w:rFonts w:cs="Arial"/>
                <w:szCs w:val="20"/>
              </w:rPr>
            </w:pPr>
            <w:r w:rsidRPr="00545EC0">
              <w:rPr>
                <w:rFonts w:cs="Arial"/>
                <w:szCs w:val="20"/>
              </w:rPr>
              <w:t>bruto dodana vrednost</w:t>
            </w:r>
          </w:p>
        </w:tc>
      </w:tr>
      <w:tr w:rsidR="003122F4" w:rsidRPr="00545EC0" w14:paraId="2D3112B9" w14:textId="77777777" w:rsidTr="002B231A">
        <w:trPr>
          <w:trHeight w:val="310"/>
        </w:trPr>
        <w:tc>
          <w:tcPr>
            <w:tcW w:w="1640" w:type="dxa"/>
            <w:shd w:val="clear" w:color="auto" w:fill="auto"/>
            <w:noWrap/>
            <w:vAlign w:val="center"/>
            <w:hideMark/>
          </w:tcPr>
          <w:p w14:paraId="7E709FEB" w14:textId="77777777" w:rsidR="00C97744" w:rsidRPr="00545EC0" w:rsidRDefault="00C97744" w:rsidP="00720C99">
            <w:pPr>
              <w:overflowPunct/>
              <w:autoSpaceDE/>
              <w:autoSpaceDN/>
              <w:adjustRightInd/>
              <w:spacing w:line="276" w:lineRule="auto"/>
              <w:textAlignment w:val="auto"/>
              <w:rPr>
                <w:rFonts w:cs="Arial"/>
                <w:szCs w:val="20"/>
              </w:rPr>
            </w:pPr>
            <w:r w:rsidRPr="00545EC0">
              <w:rPr>
                <w:rFonts w:cs="Arial"/>
                <w:szCs w:val="20"/>
              </w:rPr>
              <w:t>BPK</w:t>
            </w:r>
            <w:r w:rsidRPr="00545EC0">
              <w:rPr>
                <w:rFonts w:cs="Arial"/>
                <w:szCs w:val="20"/>
                <w:vertAlign w:val="subscript"/>
              </w:rPr>
              <w:t>5</w:t>
            </w:r>
          </w:p>
        </w:tc>
        <w:tc>
          <w:tcPr>
            <w:tcW w:w="6834" w:type="dxa"/>
            <w:shd w:val="clear" w:color="auto" w:fill="auto"/>
            <w:noWrap/>
            <w:vAlign w:val="center"/>
            <w:hideMark/>
          </w:tcPr>
          <w:p w14:paraId="41B3E3A5" w14:textId="77777777" w:rsidR="00C97744" w:rsidRPr="00545EC0" w:rsidRDefault="00C97744" w:rsidP="00720C99">
            <w:pPr>
              <w:overflowPunct/>
              <w:autoSpaceDE/>
              <w:autoSpaceDN/>
              <w:adjustRightInd/>
              <w:spacing w:line="276" w:lineRule="auto"/>
              <w:jc w:val="left"/>
              <w:textAlignment w:val="auto"/>
              <w:rPr>
                <w:rFonts w:cs="Arial"/>
                <w:szCs w:val="20"/>
              </w:rPr>
            </w:pPr>
            <w:r w:rsidRPr="00545EC0">
              <w:rPr>
                <w:rFonts w:cs="Arial"/>
                <w:szCs w:val="20"/>
              </w:rPr>
              <w:t>biokemijska potreba po kisiku</w:t>
            </w:r>
          </w:p>
        </w:tc>
      </w:tr>
      <w:tr w:rsidR="003122F4" w:rsidRPr="00545EC0" w14:paraId="28FFE700" w14:textId="77777777" w:rsidTr="002B231A">
        <w:trPr>
          <w:trHeight w:val="290"/>
        </w:trPr>
        <w:tc>
          <w:tcPr>
            <w:tcW w:w="1640" w:type="dxa"/>
            <w:shd w:val="clear" w:color="auto" w:fill="auto"/>
            <w:noWrap/>
            <w:vAlign w:val="bottom"/>
            <w:hideMark/>
          </w:tcPr>
          <w:p w14:paraId="4EA81E9E" w14:textId="77777777" w:rsidR="00C97744" w:rsidRPr="00545EC0" w:rsidRDefault="00C97744" w:rsidP="00720C99">
            <w:pPr>
              <w:overflowPunct/>
              <w:autoSpaceDE/>
              <w:autoSpaceDN/>
              <w:adjustRightInd/>
              <w:spacing w:line="276" w:lineRule="auto"/>
              <w:jc w:val="left"/>
              <w:textAlignment w:val="auto"/>
              <w:rPr>
                <w:rFonts w:cs="Arial"/>
                <w:szCs w:val="20"/>
              </w:rPr>
            </w:pPr>
            <w:r w:rsidRPr="00545EC0">
              <w:rPr>
                <w:rFonts w:cs="Arial"/>
                <w:szCs w:val="20"/>
              </w:rPr>
              <w:t>CORS</w:t>
            </w:r>
          </w:p>
        </w:tc>
        <w:tc>
          <w:tcPr>
            <w:tcW w:w="6834" w:type="dxa"/>
            <w:shd w:val="clear" w:color="auto" w:fill="auto"/>
            <w:noWrap/>
            <w:vAlign w:val="bottom"/>
            <w:hideMark/>
          </w:tcPr>
          <w:p w14:paraId="22AB8451" w14:textId="77777777" w:rsidR="00C97744" w:rsidRPr="00545EC0" w:rsidRDefault="00C97744" w:rsidP="00720C99">
            <w:pPr>
              <w:overflowPunct/>
              <w:autoSpaceDE/>
              <w:autoSpaceDN/>
              <w:adjustRightInd/>
              <w:spacing w:line="276" w:lineRule="auto"/>
              <w:jc w:val="left"/>
              <w:textAlignment w:val="auto"/>
              <w:rPr>
                <w:rFonts w:cs="Arial"/>
                <w:szCs w:val="20"/>
              </w:rPr>
            </w:pPr>
            <w:r w:rsidRPr="00545EC0">
              <w:rPr>
                <w:rFonts w:cs="Arial"/>
                <w:szCs w:val="20"/>
              </w:rPr>
              <w:t>Center za obveščanje Republike Slovenije</w:t>
            </w:r>
          </w:p>
        </w:tc>
      </w:tr>
      <w:tr w:rsidR="003122F4" w:rsidRPr="00545EC0" w14:paraId="5EDF2626" w14:textId="77777777" w:rsidTr="002B231A">
        <w:trPr>
          <w:trHeight w:val="290"/>
        </w:trPr>
        <w:tc>
          <w:tcPr>
            <w:tcW w:w="1640" w:type="dxa"/>
            <w:shd w:val="clear" w:color="auto" w:fill="auto"/>
            <w:noWrap/>
            <w:vAlign w:val="center"/>
            <w:hideMark/>
          </w:tcPr>
          <w:p w14:paraId="7C4DC117" w14:textId="77777777" w:rsidR="00C97744" w:rsidRPr="00545EC0" w:rsidRDefault="00C97744" w:rsidP="00720C99">
            <w:pPr>
              <w:overflowPunct/>
              <w:autoSpaceDE/>
              <w:autoSpaceDN/>
              <w:adjustRightInd/>
              <w:spacing w:line="276" w:lineRule="auto"/>
              <w:textAlignment w:val="auto"/>
              <w:rPr>
                <w:rFonts w:cs="Arial"/>
                <w:szCs w:val="20"/>
              </w:rPr>
            </w:pPr>
            <w:r w:rsidRPr="00545EC0">
              <w:rPr>
                <w:rFonts w:cs="Arial"/>
                <w:szCs w:val="20"/>
              </w:rPr>
              <w:t>CPVO</w:t>
            </w:r>
          </w:p>
        </w:tc>
        <w:tc>
          <w:tcPr>
            <w:tcW w:w="6834" w:type="dxa"/>
            <w:shd w:val="clear" w:color="auto" w:fill="auto"/>
            <w:noWrap/>
            <w:vAlign w:val="center"/>
            <w:hideMark/>
          </w:tcPr>
          <w:p w14:paraId="4DF5843E" w14:textId="77777777" w:rsidR="00C97744" w:rsidRPr="00545EC0" w:rsidRDefault="00C97744" w:rsidP="00720C99">
            <w:pPr>
              <w:overflowPunct/>
              <w:autoSpaceDE/>
              <w:autoSpaceDN/>
              <w:adjustRightInd/>
              <w:spacing w:line="276" w:lineRule="auto"/>
              <w:jc w:val="left"/>
              <w:textAlignment w:val="auto"/>
              <w:rPr>
                <w:rFonts w:cs="Arial"/>
                <w:szCs w:val="20"/>
              </w:rPr>
            </w:pPr>
            <w:r w:rsidRPr="00545EC0">
              <w:rPr>
                <w:rFonts w:cs="Arial"/>
                <w:szCs w:val="20"/>
              </w:rPr>
              <w:t>celovita presoja vplivov na okolje</w:t>
            </w:r>
          </w:p>
        </w:tc>
      </w:tr>
      <w:tr w:rsidR="003122F4" w:rsidRPr="00545EC0" w14:paraId="4B1202BA" w14:textId="77777777" w:rsidTr="002B231A">
        <w:trPr>
          <w:trHeight w:val="290"/>
        </w:trPr>
        <w:tc>
          <w:tcPr>
            <w:tcW w:w="1640" w:type="dxa"/>
            <w:shd w:val="clear" w:color="auto" w:fill="auto"/>
            <w:noWrap/>
            <w:vAlign w:val="center"/>
            <w:hideMark/>
          </w:tcPr>
          <w:p w14:paraId="31C761AA" w14:textId="77777777" w:rsidR="00C97744" w:rsidRPr="00545EC0" w:rsidRDefault="00C97744" w:rsidP="00720C99">
            <w:pPr>
              <w:overflowPunct/>
              <w:autoSpaceDE/>
              <w:autoSpaceDN/>
              <w:adjustRightInd/>
              <w:spacing w:line="276" w:lineRule="auto"/>
              <w:textAlignment w:val="auto"/>
              <w:rPr>
                <w:rFonts w:cs="Arial"/>
                <w:szCs w:val="20"/>
              </w:rPr>
            </w:pPr>
            <w:r w:rsidRPr="00545EC0">
              <w:rPr>
                <w:rFonts w:cs="Arial"/>
                <w:szCs w:val="20"/>
              </w:rPr>
              <w:t>DEP</w:t>
            </w:r>
          </w:p>
        </w:tc>
        <w:tc>
          <w:tcPr>
            <w:tcW w:w="6834" w:type="dxa"/>
            <w:shd w:val="clear" w:color="auto" w:fill="auto"/>
            <w:noWrap/>
            <w:vAlign w:val="center"/>
            <w:hideMark/>
          </w:tcPr>
          <w:p w14:paraId="48FA72C6" w14:textId="77777777" w:rsidR="00C97744" w:rsidRPr="00545EC0" w:rsidRDefault="00C97744" w:rsidP="00720C99">
            <w:pPr>
              <w:overflowPunct/>
              <w:autoSpaceDE/>
              <w:autoSpaceDN/>
              <w:adjustRightInd/>
              <w:spacing w:line="276" w:lineRule="auto"/>
              <w:jc w:val="left"/>
              <w:textAlignment w:val="auto"/>
              <w:rPr>
                <w:rFonts w:cs="Arial"/>
                <w:szCs w:val="20"/>
              </w:rPr>
            </w:pPr>
            <w:r w:rsidRPr="00545EC0">
              <w:rPr>
                <w:rFonts w:cs="Arial"/>
                <w:szCs w:val="20"/>
              </w:rPr>
              <w:t>dober ekološki potencial</w:t>
            </w:r>
          </w:p>
        </w:tc>
      </w:tr>
      <w:tr w:rsidR="003122F4" w:rsidRPr="00545EC0" w14:paraId="6EA315BF" w14:textId="77777777" w:rsidTr="002B231A">
        <w:trPr>
          <w:trHeight w:val="290"/>
        </w:trPr>
        <w:tc>
          <w:tcPr>
            <w:tcW w:w="1640" w:type="dxa"/>
            <w:shd w:val="clear" w:color="auto" w:fill="auto"/>
            <w:noWrap/>
            <w:vAlign w:val="center"/>
            <w:hideMark/>
          </w:tcPr>
          <w:p w14:paraId="0CFF6986" w14:textId="77777777" w:rsidR="00C97744" w:rsidRPr="00545EC0" w:rsidRDefault="00C97744" w:rsidP="00720C99">
            <w:pPr>
              <w:overflowPunct/>
              <w:autoSpaceDE/>
              <w:autoSpaceDN/>
              <w:adjustRightInd/>
              <w:spacing w:line="276" w:lineRule="auto"/>
              <w:textAlignment w:val="auto"/>
              <w:rPr>
                <w:rFonts w:cs="Arial"/>
                <w:szCs w:val="20"/>
              </w:rPr>
            </w:pPr>
            <w:r w:rsidRPr="00545EC0">
              <w:rPr>
                <w:rFonts w:cs="Arial"/>
                <w:szCs w:val="20"/>
              </w:rPr>
              <w:t>DES</w:t>
            </w:r>
          </w:p>
        </w:tc>
        <w:tc>
          <w:tcPr>
            <w:tcW w:w="6834" w:type="dxa"/>
            <w:shd w:val="clear" w:color="auto" w:fill="auto"/>
            <w:noWrap/>
            <w:vAlign w:val="center"/>
            <w:hideMark/>
          </w:tcPr>
          <w:p w14:paraId="3D7FE5E3" w14:textId="77777777" w:rsidR="00C97744" w:rsidRPr="00545EC0" w:rsidRDefault="00C97744" w:rsidP="00720C99">
            <w:pPr>
              <w:overflowPunct/>
              <w:autoSpaceDE/>
              <w:autoSpaceDN/>
              <w:adjustRightInd/>
              <w:spacing w:line="276" w:lineRule="auto"/>
              <w:jc w:val="left"/>
              <w:textAlignment w:val="auto"/>
              <w:rPr>
                <w:rFonts w:cs="Arial"/>
                <w:szCs w:val="20"/>
              </w:rPr>
            </w:pPr>
            <w:r w:rsidRPr="00545EC0">
              <w:rPr>
                <w:rFonts w:cs="Arial"/>
                <w:szCs w:val="20"/>
              </w:rPr>
              <w:t>dobro ekološko stanje</w:t>
            </w:r>
          </w:p>
        </w:tc>
      </w:tr>
      <w:tr w:rsidR="003122F4" w:rsidRPr="00545EC0" w14:paraId="443E6990" w14:textId="77777777" w:rsidTr="002B231A">
        <w:trPr>
          <w:trHeight w:val="290"/>
        </w:trPr>
        <w:tc>
          <w:tcPr>
            <w:tcW w:w="1640" w:type="dxa"/>
            <w:shd w:val="clear" w:color="auto" w:fill="auto"/>
            <w:noWrap/>
            <w:vAlign w:val="center"/>
            <w:hideMark/>
          </w:tcPr>
          <w:p w14:paraId="018629E4" w14:textId="77777777" w:rsidR="00C97744" w:rsidRPr="00545EC0" w:rsidRDefault="00C97744" w:rsidP="00720C99">
            <w:pPr>
              <w:overflowPunct/>
              <w:autoSpaceDE/>
              <w:autoSpaceDN/>
              <w:adjustRightInd/>
              <w:spacing w:line="276" w:lineRule="auto"/>
              <w:textAlignment w:val="auto"/>
              <w:rPr>
                <w:rFonts w:cs="Arial"/>
                <w:szCs w:val="20"/>
              </w:rPr>
            </w:pPr>
            <w:r w:rsidRPr="00545EC0">
              <w:rPr>
                <w:rFonts w:cs="Arial"/>
                <w:szCs w:val="20"/>
              </w:rPr>
              <w:t>DLN</w:t>
            </w:r>
          </w:p>
        </w:tc>
        <w:tc>
          <w:tcPr>
            <w:tcW w:w="6834" w:type="dxa"/>
            <w:shd w:val="clear" w:color="auto" w:fill="auto"/>
            <w:noWrap/>
            <w:vAlign w:val="center"/>
            <w:hideMark/>
          </w:tcPr>
          <w:p w14:paraId="1301B9B7" w14:textId="77777777" w:rsidR="00C97744" w:rsidRPr="00545EC0" w:rsidRDefault="00C97744" w:rsidP="00720C99">
            <w:pPr>
              <w:overflowPunct/>
              <w:autoSpaceDE/>
              <w:autoSpaceDN/>
              <w:adjustRightInd/>
              <w:spacing w:line="276" w:lineRule="auto"/>
              <w:jc w:val="left"/>
              <w:textAlignment w:val="auto"/>
              <w:rPr>
                <w:rFonts w:cs="Arial"/>
                <w:szCs w:val="20"/>
              </w:rPr>
            </w:pPr>
            <w:r w:rsidRPr="00545EC0">
              <w:rPr>
                <w:rFonts w:cs="Arial"/>
                <w:szCs w:val="20"/>
              </w:rPr>
              <w:t>državni lokacijski načrt</w:t>
            </w:r>
          </w:p>
        </w:tc>
      </w:tr>
      <w:tr w:rsidR="003122F4" w:rsidRPr="00545EC0" w14:paraId="09E7624D" w14:textId="77777777" w:rsidTr="002B231A">
        <w:trPr>
          <w:trHeight w:val="290"/>
        </w:trPr>
        <w:tc>
          <w:tcPr>
            <w:tcW w:w="1640" w:type="dxa"/>
            <w:shd w:val="clear" w:color="auto" w:fill="auto"/>
            <w:noWrap/>
            <w:vAlign w:val="center"/>
            <w:hideMark/>
          </w:tcPr>
          <w:p w14:paraId="2964949D" w14:textId="77777777" w:rsidR="00C97744" w:rsidRPr="00545EC0" w:rsidRDefault="00C97744" w:rsidP="00720C99">
            <w:pPr>
              <w:overflowPunct/>
              <w:autoSpaceDE/>
              <w:autoSpaceDN/>
              <w:adjustRightInd/>
              <w:spacing w:line="276" w:lineRule="auto"/>
              <w:textAlignment w:val="auto"/>
              <w:rPr>
                <w:rFonts w:cs="Arial"/>
                <w:szCs w:val="20"/>
              </w:rPr>
            </w:pPr>
            <w:r w:rsidRPr="00545EC0">
              <w:rPr>
                <w:rFonts w:cs="Arial"/>
                <w:szCs w:val="20"/>
              </w:rPr>
              <w:t>DPN</w:t>
            </w:r>
          </w:p>
        </w:tc>
        <w:tc>
          <w:tcPr>
            <w:tcW w:w="6834" w:type="dxa"/>
            <w:shd w:val="clear" w:color="auto" w:fill="auto"/>
            <w:noWrap/>
            <w:vAlign w:val="center"/>
            <w:hideMark/>
          </w:tcPr>
          <w:p w14:paraId="12A61E5C" w14:textId="77777777" w:rsidR="00C97744" w:rsidRPr="00545EC0" w:rsidRDefault="00C97744" w:rsidP="00720C99">
            <w:pPr>
              <w:overflowPunct/>
              <w:autoSpaceDE/>
              <w:autoSpaceDN/>
              <w:adjustRightInd/>
              <w:spacing w:line="276" w:lineRule="auto"/>
              <w:jc w:val="left"/>
              <w:textAlignment w:val="auto"/>
              <w:rPr>
                <w:rFonts w:cs="Arial"/>
                <w:szCs w:val="20"/>
              </w:rPr>
            </w:pPr>
            <w:r w:rsidRPr="00545EC0">
              <w:rPr>
                <w:rFonts w:cs="Arial"/>
                <w:szCs w:val="20"/>
              </w:rPr>
              <w:t>državni prostorski načrt</w:t>
            </w:r>
          </w:p>
        </w:tc>
      </w:tr>
      <w:tr w:rsidR="003122F4" w:rsidRPr="00545EC0" w14:paraId="7E255877" w14:textId="77777777" w:rsidTr="002B231A">
        <w:trPr>
          <w:trHeight w:val="290"/>
        </w:trPr>
        <w:tc>
          <w:tcPr>
            <w:tcW w:w="1640" w:type="dxa"/>
            <w:shd w:val="clear" w:color="auto" w:fill="auto"/>
            <w:noWrap/>
            <w:vAlign w:val="center"/>
            <w:hideMark/>
          </w:tcPr>
          <w:p w14:paraId="0CB2E444" w14:textId="77777777" w:rsidR="00C97744" w:rsidRPr="00545EC0" w:rsidRDefault="00C97744" w:rsidP="00720C99">
            <w:pPr>
              <w:overflowPunct/>
              <w:autoSpaceDE/>
              <w:autoSpaceDN/>
              <w:adjustRightInd/>
              <w:spacing w:line="276" w:lineRule="auto"/>
              <w:textAlignment w:val="auto"/>
              <w:rPr>
                <w:rFonts w:cs="Arial"/>
                <w:szCs w:val="20"/>
              </w:rPr>
            </w:pPr>
            <w:r w:rsidRPr="00545EC0">
              <w:rPr>
                <w:rFonts w:cs="Arial"/>
                <w:szCs w:val="20"/>
              </w:rPr>
              <w:t>DPSIR</w:t>
            </w:r>
          </w:p>
        </w:tc>
        <w:tc>
          <w:tcPr>
            <w:tcW w:w="6834" w:type="dxa"/>
            <w:shd w:val="clear" w:color="auto" w:fill="auto"/>
            <w:noWrap/>
            <w:vAlign w:val="center"/>
            <w:hideMark/>
          </w:tcPr>
          <w:p w14:paraId="45EBB256" w14:textId="77777777" w:rsidR="00C97744" w:rsidRPr="00545EC0" w:rsidRDefault="00C97744" w:rsidP="00720C99">
            <w:pPr>
              <w:overflowPunct/>
              <w:autoSpaceDE/>
              <w:autoSpaceDN/>
              <w:adjustRightInd/>
              <w:spacing w:line="276" w:lineRule="auto"/>
              <w:jc w:val="left"/>
              <w:textAlignment w:val="auto"/>
              <w:rPr>
                <w:rFonts w:cs="Arial"/>
                <w:szCs w:val="20"/>
              </w:rPr>
            </w:pPr>
            <w:r w:rsidRPr="00545EC0">
              <w:rPr>
                <w:rFonts w:cs="Arial"/>
                <w:szCs w:val="20"/>
              </w:rPr>
              <w:t>okvir, ki vključuje gonilne sile – obremenitve – stanje – vplive - odzive</w:t>
            </w:r>
          </w:p>
        </w:tc>
      </w:tr>
      <w:tr w:rsidR="003122F4" w:rsidRPr="00545EC0" w14:paraId="74A16F6A" w14:textId="77777777" w:rsidTr="002B231A">
        <w:trPr>
          <w:trHeight w:val="290"/>
        </w:trPr>
        <w:tc>
          <w:tcPr>
            <w:tcW w:w="1640" w:type="dxa"/>
            <w:shd w:val="clear" w:color="auto" w:fill="auto"/>
            <w:noWrap/>
            <w:vAlign w:val="center"/>
            <w:hideMark/>
          </w:tcPr>
          <w:p w14:paraId="79BFDB84" w14:textId="77777777" w:rsidR="00C97744" w:rsidRPr="00545EC0" w:rsidRDefault="00C97744" w:rsidP="00720C99">
            <w:pPr>
              <w:overflowPunct/>
              <w:autoSpaceDE/>
              <w:autoSpaceDN/>
              <w:adjustRightInd/>
              <w:spacing w:line="276" w:lineRule="auto"/>
              <w:textAlignment w:val="auto"/>
              <w:rPr>
                <w:rFonts w:cs="Arial"/>
                <w:szCs w:val="20"/>
              </w:rPr>
            </w:pPr>
            <w:r w:rsidRPr="00545EC0">
              <w:rPr>
                <w:rFonts w:cs="Arial"/>
                <w:szCs w:val="20"/>
              </w:rPr>
              <w:t>DRSV</w:t>
            </w:r>
          </w:p>
        </w:tc>
        <w:tc>
          <w:tcPr>
            <w:tcW w:w="6834" w:type="dxa"/>
            <w:shd w:val="clear" w:color="auto" w:fill="auto"/>
            <w:noWrap/>
            <w:vAlign w:val="center"/>
            <w:hideMark/>
          </w:tcPr>
          <w:p w14:paraId="505554C2" w14:textId="77777777" w:rsidR="00C97744" w:rsidRPr="00545EC0" w:rsidRDefault="00C97744" w:rsidP="00720C99">
            <w:pPr>
              <w:overflowPunct/>
              <w:autoSpaceDE/>
              <w:autoSpaceDN/>
              <w:adjustRightInd/>
              <w:spacing w:line="276" w:lineRule="auto"/>
              <w:jc w:val="left"/>
              <w:textAlignment w:val="auto"/>
              <w:rPr>
                <w:rFonts w:cs="Arial"/>
                <w:szCs w:val="20"/>
              </w:rPr>
            </w:pPr>
            <w:r w:rsidRPr="00545EC0">
              <w:rPr>
                <w:rFonts w:cs="Arial"/>
                <w:szCs w:val="20"/>
              </w:rPr>
              <w:t>Direkcija Republike Slovenije za vode</w:t>
            </w:r>
          </w:p>
        </w:tc>
      </w:tr>
      <w:tr w:rsidR="003122F4" w:rsidRPr="00545EC0" w14:paraId="7442F2D2" w14:textId="77777777" w:rsidTr="002B231A">
        <w:trPr>
          <w:trHeight w:val="290"/>
        </w:trPr>
        <w:tc>
          <w:tcPr>
            <w:tcW w:w="1640" w:type="dxa"/>
            <w:shd w:val="clear" w:color="auto" w:fill="auto"/>
            <w:noWrap/>
            <w:vAlign w:val="center"/>
            <w:hideMark/>
          </w:tcPr>
          <w:p w14:paraId="703C26A6" w14:textId="77777777" w:rsidR="00C97744" w:rsidRPr="00545EC0" w:rsidRDefault="00C97744" w:rsidP="00720C99">
            <w:pPr>
              <w:overflowPunct/>
              <w:autoSpaceDE/>
              <w:autoSpaceDN/>
              <w:adjustRightInd/>
              <w:spacing w:line="276" w:lineRule="auto"/>
              <w:textAlignment w:val="auto"/>
              <w:rPr>
                <w:rFonts w:cs="Arial"/>
                <w:szCs w:val="20"/>
              </w:rPr>
            </w:pPr>
            <w:r w:rsidRPr="00545EC0">
              <w:rPr>
                <w:rFonts w:cs="Arial"/>
                <w:szCs w:val="20"/>
              </w:rPr>
              <w:t>DUDDS</w:t>
            </w:r>
          </w:p>
        </w:tc>
        <w:tc>
          <w:tcPr>
            <w:tcW w:w="6834" w:type="dxa"/>
            <w:shd w:val="clear" w:color="auto" w:fill="auto"/>
            <w:noWrap/>
            <w:vAlign w:val="center"/>
            <w:hideMark/>
          </w:tcPr>
          <w:p w14:paraId="4EA392C8" w14:textId="77777777" w:rsidR="00C97744" w:rsidRPr="00545EC0" w:rsidRDefault="00C97744" w:rsidP="00720C99">
            <w:pPr>
              <w:overflowPunct/>
              <w:autoSpaceDE/>
              <w:autoSpaceDN/>
              <w:adjustRightInd/>
              <w:spacing w:line="276" w:lineRule="auto"/>
              <w:jc w:val="left"/>
              <w:textAlignment w:val="auto"/>
              <w:rPr>
                <w:rFonts w:cs="Arial"/>
                <w:szCs w:val="20"/>
              </w:rPr>
            </w:pPr>
            <w:r w:rsidRPr="00545EC0">
              <w:rPr>
                <w:rFonts w:cs="Arial"/>
                <w:szCs w:val="20"/>
              </w:rPr>
              <w:t>dopolnilni ukrepi za doseganje dobrega stanja oziroma dobrega potenciala</w:t>
            </w:r>
          </w:p>
        </w:tc>
      </w:tr>
      <w:tr w:rsidR="003122F4" w:rsidRPr="00545EC0" w14:paraId="5F411E81" w14:textId="77777777" w:rsidTr="002B231A">
        <w:trPr>
          <w:trHeight w:val="290"/>
        </w:trPr>
        <w:tc>
          <w:tcPr>
            <w:tcW w:w="1640" w:type="dxa"/>
            <w:shd w:val="clear" w:color="auto" w:fill="auto"/>
            <w:noWrap/>
            <w:vAlign w:val="center"/>
            <w:hideMark/>
          </w:tcPr>
          <w:p w14:paraId="476A5F45" w14:textId="77777777" w:rsidR="00C97744" w:rsidRPr="00545EC0" w:rsidRDefault="00C97744" w:rsidP="00720C99">
            <w:pPr>
              <w:overflowPunct/>
              <w:autoSpaceDE/>
              <w:autoSpaceDN/>
              <w:adjustRightInd/>
              <w:spacing w:line="276" w:lineRule="auto"/>
              <w:textAlignment w:val="auto"/>
              <w:rPr>
                <w:rFonts w:cs="Arial"/>
                <w:szCs w:val="20"/>
              </w:rPr>
            </w:pPr>
            <w:r w:rsidRPr="00545EC0">
              <w:rPr>
                <w:rFonts w:cs="Arial"/>
                <w:szCs w:val="20"/>
              </w:rPr>
              <w:t>DUPPS</w:t>
            </w:r>
          </w:p>
        </w:tc>
        <w:tc>
          <w:tcPr>
            <w:tcW w:w="6834" w:type="dxa"/>
            <w:shd w:val="clear" w:color="auto" w:fill="auto"/>
            <w:noWrap/>
            <w:vAlign w:val="center"/>
            <w:hideMark/>
          </w:tcPr>
          <w:p w14:paraId="56D5B301" w14:textId="77777777" w:rsidR="00C97744" w:rsidRPr="00545EC0" w:rsidRDefault="00C97744" w:rsidP="00720C99">
            <w:pPr>
              <w:overflowPunct/>
              <w:autoSpaceDE/>
              <w:autoSpaceDN/>
              <w:adjustRightInd/>
              <w:spacing w:line="276" w:lineRule="auto"/>
              <w:jc w:val="left"/>
              <w:textAlignment w:val="auto"/>
              <w:rPr>
                <w:rFonts w:cs="Arial"/>
                <w:szCs w:val="20"/>
              </w:rPr>
            </w:pPr>
            <w:r w:rsidRPr="00545EC0">
              <w:rPr>
                <w:rFonts w:cs="Arial"/>
                <w:szCs w:val="20"/>
              </w:rPr>
              <w:t>dopolnilni ukrepi za preprečitev poslabšanja ali slabšanja stanja</w:t>
            </w:r>
          </w:p>
        </w:tc>
      </w:tr>
      <w:tr w:rsidR="00D928DC" w:rsidRPr="00545EC0" w14:paraId="62350207" w14:textId="77777777" w:rsidTr="002B231A">
        <w:trPr>
          <w:trHeight w:val="290"/>
        </w:trPr>
        <w:tc>
          <w:tcPr>
            <w:tcW w:w="1640" w:type="dxa"/>
            <w:shd w:val="clear" w:color="auto" w:fill="auto"/>
            <w:noWrap/>
            <w:vAlign w:val="center"/>
          </w:tcPr>
          <w:p w14:paraId="7B529D03" w14:textId="04879C09" w:rsidR="00D928DC" w:rsidRPr="00545EC0" w:rsidRDefault="00D928DC" w:rsidP="00720C99">
            <w:pPr>
              <w:overflowPunct/>
              <w:autoSpaceDE/>
              <w:autoSpaceDN/>
              <w:adjustRightInd/>
              <w:spacing w:line="276" w:lineRule="auto"/>
              <w:textAlignment w:val="auto"/>
              <w:rPr>
                <w:rFonts w:cs="Arial"/>
                <w:szCs w:val="20"/>
              </w:rPr>
            </w:pPr>
            <w:r w:rsidRPr="00545EC0">
              <w:rPr>
                <w:rFonts w:cs="Arial"/>
                <w:szCs w:val="20"/>
              </w:rPr>
              <w:t>dVTPV</w:t>
            </w:r>
          </w:p>
        </w:tc>
        <w:tc>
          <w:tcPr>
            <w:tcW w:w="6834" w:type="dxa"/>
            <w:shd w:val="clear" w:color="auto" w:fill="auto"/>
            <w:noWrap/>
            <w:vAlign w:val="center"/>
          </w:tcPr>
          <w:p w14:paraId="2B5E782C" w14:textId="6179ACD4" w:rsidR="00D928DC" w:rsidRPr="00545EC0" w:rsidRDefault="00D928DC" w:rsidP="00720C99">
            <w:pPr>
              <w:overflowPunct/>
              <w:autoSpaceDE/>
              <w:autoSpaceDN/>
              <w:adjustRightInd/>
              <w:spacing w:line="276" w:lineRule="auto"/>
              <w:jc w:val="left"/>
              <w:textAlignment w:val="auto"/>
              <w:rPr>
                <w:rFonts w:cs="Arial"/>
                <w:szCs w:val="20"/>
              </w:rPr>
            </w:pPr>
            <w:r w:rsidRPr="00545EC0">
              <w:rPr>
                <w:rFonts w:cs="Arial"/>
                <w:szCs w:val="20"/>
              </w:rPr>
              <w:t>deli vodnih teles površinskih voda</w:t>
            </w:r>
          </w:p>
        </w:tc>
      </w:tr>
      <w:tr w:rsidR="00D928DC" w:rsidRPr="00545EC0" w14:paraId="61A46EAD" w14:textId="77777777" w:rsidTr="002B231A">
        <w:trPr>
          <w:trHeight w:val="290"/>
        </w:trPr>
        <w:tc>
          <w:tcPr>
            <w:tcW w:w="1640" w:type="dxa"/>
            <w:shd w:val="clear" w:color="auto" w:fill="auto"/>
            <w:noWrap/>
            <w:vAlign w:val="center"/>
            <w:hideMark/>
          </w:tcPr>
          <w:p w14:paraId="603C1F57" w14:textId="77777777" w:rsidR="00D928DC" w:rsidRPr="00545EC0" w:rsidRDefault="00D928DC" w:rsidP="00720C99">
            <w:pPr>
              <w:overflowPunct/>
              <w:autoSpaceDE/>
              <w:autoSpaceDN/>
              <w:adjustRightInd/>
              <w:spacing w:line="276" w:lineRule="auto"/>
              <w:textAlignment w:val="auto"/>
              <w:rPr>
                <w:rFonts w:cs="Arial"/>
                <w:szCs w:val="20"/>
              </w:rPr>
            </w:pPr>
            <w:r w:rsidRPr="00545EC0">
              <w:rPr>
                <w:rFonts w:cs="Arial"/>
                <w:szCs w:val="20"/>
              </w:rPr>
              <w:t>EEA</w:t>
            </w:r>
          </w:p>
        </w:tc>
        <w:tc>
          <w:tcPr>
            <w:tcW w:w="6834" w:type="dxa"/>
            <w:shd w:val="clear" w:color="auto" w:fill="auto"/>
            <w:noWrap/>
            <w:vAlign w:val="center"/>
            <w:hideMark/>
          </w:tcPr>
          <w:p w14:paraId="7D8B3CB2" w14:textId="77777777" w:rsidR="00D928DC" w:rsidRPr="00545EC0" w:rsidRDefault="00D928DC" w:rsidP="00720C99">
            <w:pPr>
              <w:overflowPunct/>
              <w:autoSpaceDE/>
              <w:autoSpaceDN/>
              <w:adjustRightInd/>
              <w:spacing w:line="276" w:lineRule="auto"/>
              <w:jc w:val="left"/>
              <w:textAlignment w:val="auto"/>
              <w:rPr>
                <w:rFonts w:cs="Arial"/>
                <w:szCs w:val="20"/>
              </w:rPr>
            </w:pPr>
            <w:r w:rsidRPr="00545EC0">
              <w:rPr>
                <w:rFonts w:cs="Arial"/>
                <w:szCs w:val="20"/>
              </w:rPr>
              <w:t>Evropska agencija za okolje</w:t>
            </w:r>
          </w:p>
        </w:tc>
      </w:tr>
      <w:tr w:rsidR="00D928DC" w:rsidRPr="00545EC0" w14:paraId="7186D63F" w14:textId="77777777" w:rsidTr="002B231A">
        <w:trPr>
          <w:trHeight w:val="290"/>
        </w:trPr>
        <w:tc>
          <w:tcPr>
            <w:tcW w:w="1640" w:type="dxa"/>
            <w:shd w:val="clear" w:color="auto" w:fill="auto"/>
            <w:noWrap/>
            <w:vAlign w:val="center"/>
            <w:hideMark/>
          </w:tcPr>
          <w:p w14:paraId="7C36BFFB" w14:textId="77777777" w:rsidR="00D928DC" w:rsidRPr="00545EC0" w:rsidRDefault="00D928DC" w:rsidP="00720C99">
            <w:pPr>
              <w:overflowPunct/>
              <w:autoSpaceDE/>
              <w:autoSpaceDN/>
              <w:adjustRightInd/>
              <w:spacing w:line="276" w:lineRule="auto"/>
              <w:textAlignment w:val="auto"/>
              <w:rPr>
                <w:rFonts w:cs="Arial"/>
                <w:szCs w:val="20"/>
              </w:rPr>
            </w:pPr>
            <w:r w:rsidRPr="00545EC0">
              <w:rPr>
                <w:rFonts w:cs="Arial"/>
                <w:szCs w:val="20"/>
              </w:rPr>
              <w:t>EK</w:t>
            </w:r>
          </w:p>
        </w:tc>
        <w:tc>
          <w:tcPr>
            <w:tcW w:w="6834" w:type="dxa"/>
            <w:shd w:val="clear" w:color="auto" w:fill="auto"/>
            <w:noWrap/>
            <w:vAlign w:val="center"/>
            <w:hideMark/>
          </w:tcPr>
          <w:p w14:paraId="5B6FF7EB" w14:textId="77777777" w:rsidR="00D928DC" w:rsidRPr="00545EC0" w:rsidRDefault="00D928DC" w:rsidP="00720C99">
            <w:pPr>
              <w:overflowPunct/>
              <w:autoSpaceDE/>
              <w:autoSpaceDN/>
              <w:adjustRightInd/>
              <w:spacing w:line="276" w:lineRule="auto"/>
              <w:jc w:val="left"/>
              <w:textAlignment w:val="auto"/>
              <w:rPr>
                <w:rFonts w:cs="Arial"/>
                <w:szCs w:val="20"/>
              </w:rPr>
            </w:pPr>
            <w:r w:rsidRPr="00545EC0">
              <w:rPr>
                <w:rFonts w:cs="Arial"/>
                <w:szCs w:val="20"/>
              </w:rPr>
              <w:t>Evropska komisija</w:t>
            </w:r>
          </w:p>
        </w:tc>
      </w:tr>
      <w:tr w:rsidR="00D928DC" w:rsidRPr="00545EC0" w14:paraId="6FCD63D3" w14:textId="77777777" w:rsidTr="002B231A">
        <w:trPr>
          <w:trHeight w:val="290"/>
        </w:trPr>
        <w:tc>
          <w:tcPr>
            <w:tcW w:w="1640" w:type="dxa"/>
            <w:shd w:val="clear" w:color="auto" w:fill="auto"/>
            <w:noWrap/>
            <w:vAlign w:val="center"/>
            <w:hideMark/>
          </w:tcPr>
          <w:p w14:paraId="5CD633F5" w14:textId="77777777" w:rsidR="00D928DC" w:rsidRPr="00545EC0" w:rsidRDefault="00D928DC" w:rsidP="00720C99">
            <w:pPr>
              <w:overflowPunct/>
              <w:autoSpaceDE/>
              <w:autoSpaceDN/>
              <w:adjustRightInd/>
              <w:spacing w:line="276" w:lineRule="auto"/>
              <w:textAlignment w:val="auto"/>
              <w:rPr>
                <w:rFonts w:cs="Arial"/>
                <w:szCs w:val="20"/>
              </w:rPr>
            </w:pPr>
            <w:r w:rsidRPr="00545EC0">
              <w:rPr>
                <w:rFonts w:cs="Arial"/>
                <w:szCs w:val="20"/>
              </w:rPr>
              <w:t>EMK</w:t>
            </w:r>
          </w:p>
        </w:tc>
        <w:tc>
          <w:tcPr>
            <w:tcW w:w="6834" w:type="dxa"/>
            <w:shd w:val="clear" w:color="auto" w:fill="auto"/>
            <w:noWrap/>
            <w:vAlign w:val="center"/>
            <w:hideMark/>
          </w:tcPr>
          <w:p w14:paraId="20942EA0" w14:textId="77777777" w:rsidR="00D928DC" w:rsidRPr="00545EC0" w:rsidRDefault="00D928DC" w:rsidP="00720C99">
            <w:pPr>
              <w:overflowPunct/>
              <w:autoSpaceDE/>
              <w:autoSpaceDN/>
              <w:adjustRightInd/>
              <w:spacing w:line="276" w:lineRule="auto"/>
              <w:jc w:val="left"/>
              <w:textAlignment w:val="auto"/>
              <w:rPr>
                <w:rFonts w:cs="Arial"/>
                <w:szCs w:val="20"/>
              </w:rPr>
            </w:pPr>
            <w:r w:rsidRPr="00545EC0">
              <w:rPr>
                <w:rFonts w:cs="Arial"/>
                <w:szCs w:val="20"/>
              </w:rPr>
              <w:t xml:space="preserve">kategorizacija vodotokov po ekomorfološkem pomenu </w:t>
            </w:r>
          </w:p>
        </w:tc>
      </w:tr>
      <w:tr w:rsidR="00D928DC" w:rsidRPr="00545EC0" w14:paraId="54D64E16" w14:textId="77777777" w:rsidTr="002B231A">
        <w:trPr>
          <w:trHeight w:val="290"/>
        </w:trPr>
        <w:tc>
          <w:tcPr>
            <w:tcW w:w="1640" w:type="dxa"/>
            <w:shd w:val="clear" w:color="auto" w:fill="auto"/>
            <w:noWrap/>
            <w:vAlign w:val="center"/>
            <w:hideMark/>
          </w:tcPr>
          <w:p w14:paraId="357B7C3B" w14:textId="77777777" w:rsidR="00D928DC" w:rsidRPr="00545EC0" w:rsidRDefault="00D928DC" w:rsidP="00720C99">
            <w:pPr>
              <w:overflowPunct/>
              <w:autoSpaceDE/>
              <w:autoSpaceDN/>
              <w:adjustRightInd/>
              <w:spacing w:line="276" w:lineRule="auto"/>
              <w:textAlignment w:val="auto"/>
              <w:rPr>
                <w:rFonts w:cs="Arial"/>
                <w:szCs w:val="20"/>
              </w:rPr>
            </w:pPr>
            <w:r w:rsidRPr="00545EC0">
              <w:rPr>
                <w:rFonts w:cs="Arial"/>
                <w:szCs w:val="20"/>
              </w:rPr>
              <w:t>EO</w:t>
            </w:r>
          </w:p>
        </w:tc>
        <w:tc>
          <w:tcPr>
            <w:tcW w:w="6834" w:type="dxa"/>
            <w:shd w:val="clear" w:color="auto" w:fill="auto"/>
            <w:noWrap/>
            <w:vAlign w:val="center"/>
            <w:hideMark/>
          </w:tcPr>
          <w:p w14:paraId="5D59B089" w14:textId="77777777" w:rsidR="00D928DC" w:rsidRPr="00545EC0" w:rsidRDefault="00D928DC" w:rsidP="00720C99">
            <w:pPr>
              <w:overflowPunct/>
              <w:autoSpaceDE/>
              <w:autoSpaceDN/>
              <w:adjustRightInd/>
              <w:spacing w:line="276" w:lineRule="auto"/>
              <w:jc w:val="left"/>
              <w:textAlignment w:val="auto"/>
              <w:rPr>
                <w:rFonts w:cs="Arial"/>
                <w:szCs w:val="20"/>
              </w:rPr>
            </w:pPr>
            <w:r w:rsidRPr="00545EC0">
              <w:rPr>
                <w:rFonts w:cs="Arial"/>
                <w:szCs w:val="20"/>
              </w:rPr>
              <w:t>enota obremenitve</w:t>
            </w:r>
          </w:p>
        </w:tc>
      </w:tr>
      <w:tr w:rsidR="00D928DC" w:rsidRPr="00545EC0" w14:paraId="66AFFA1D" w14:textId="77777777" w:rsidTr="002B231A">
        <w:trPr>
          <w:trHeight w:val="290"/>
        </w:trPr>
        <w:tc>
          <w:tcPr>
            <w:tcW w:w="1640" w:type="dxa"/>
            <w:shd w:val="clear" w:color="auto" w:fill="auto"/>
            <w:noWrap/>
            <w:vAlign w:val="center"/>
            <w:hideMark/>
          </w:tcPr>
          <w:p w14:paraId="3C7E856C" w14:textId="77777777" w:rsidR="00D928DC" w:rsidRPr="00545EC0" w:rsidRDefault="00D928DC" w:rsidP="00720C99">
            <w:pPr>
              <w:overflowPunct/>
              <w:autoSpaceDE/>
              <w:autoSpaceDN/>
              <w:adjustRightInd/>
              <w:spacing w:line="276" w:lineRule="auto"/>
              <w:textAlignment w:val="auto"/>
              <w:rPr>
                <w:rFonts w:cs="Arial"/>
                <w:szCs w:val="20"/>
              </w:rPr>
            </w:pPr>
            <w:r w:rsidRPr="00545EC0">
              <w:rPr>
                <w:rFonts w:cs="Arial"/>
                <w:szCs w:val="20"/>
              </w:rPr>
              <w:t>EP</w:t>
            </w:r>
          </w:p>
        </w:tc>
        <w:tc>
          <w:tcPr>
            <w:tcW w:w="6834" w:type="dxa"/>
            <w:shd w:val="clear" w:color="auto" w:fill="auto"/>
            <w:noWrap/>
            <w:vAlign w:val="center"/>
            <w:hideMark/>
          </w:tcPr>
          <w:p w14:paraId="5CD15B7F" w14:textId="77777777" w:rsidR="00D928DC" w:rsidRPr="00545EC0" w:rsidRDefault="00D928DC" w:rsidP="00720C99">
            <w:pPr>
              <w:overflowPunct/>
              <w:autoSpaceDE/>
              <w:autoSpaceDN/>
              <w:adjustRightInd/>
              <w:spacing w:line="276" w:lineRule="auto"/>
              <w:jc w:val="left"/>
              <w:textAlignment w:val="auto"/>
              <w:rPr>
                <w:rFonts w:cs="Arial"/>
                <w:szCs w:val="20"/>
              </w:rPr>
            </w:pPr>
            <w:r w:rsidRPr="00545EC0">
              <w:rPr>
                <w:rFonts w:cs="Arial"/>
                <w:szCs w:val="20"/>
              </w:rPr>
              <w:t>ekološki potencial</w:t>
            </w:r>
          </w:p>
        </w:tc>
      </w:tr>
      <w:tr w:rsidR="00D928DC" w:rsidRPr="00545EC0" w14:paraId="344C7939" w14:textId="77777777" w:rsidTr="002B231A">
        <w:trPr>
          <w:trHeight w:val="290"/>
        </w:trPr>
        <w:tc>
          <w:tcPr>
            <w:tcW w:w="1640" w:type="dxa"/>
            <w:shd w:val="clear" w:color="auto" w:fill="auto"/>
            <w:noWrap/>
            <w:vAlign w:val="center"/>
            <w:hideMark/>
          </w:tcPr>
          <w:p w14:paraId="081B28B8" w14:textId="77777777" w:rsidR="00D928DC" w:rsidRPr="00545EC0" w:rsidRDefault="00D928DC" w:rsidP="00720C99">
            <w:pPr>
              <w:overflowPunct/>
              <w:autoSpaceDE/>
              <w:autoSpaceDN/>
              <w:adjustRightInd/>
              <w:spacing w:line="276" w:lineRule="auto"/>
              <w:textAlignment w:val="auto"/>
              <w:rPr>
                <w:rFonts w:cs="Arial"/>
                <w:szCs w:val="20"/>
              </w:rPr>
            </w:pPr>
            <w:r w:rsidRPr="00545EC0">
              <w:rPr>
                <w:rFonts w:cs="Arial"/>
                <w:szCs w:val="20"/>
              </w:rPr>
              <w:t>ES</w:t>
            </w:r>
          </w:p>
        </w:tc>
        <w:tc>
          <w:tcPr>
            <w:tcW w:w="6834" w:type="dxa"/>
            <w:shd w:val="clear" w:color="auto" w:fill="auto"/>
            <w:noWrap/>
            <w:vAlign w:val="center"/>
            <w:hideMark/>
          </w:tcPr>
          <w:p w14:paraId="14F5C9D4" w14:textId="77777777" w:rsidR="00D928DC" w:rsidRPr="00545EC0" w:rsidRDefault="00D928DC" w:rsidP="00720C99">
            <w:pPr>
              <w:overflowPunct/>
              <w:autoSpaceDE/>
              <w:autoSpaceDN/>
              <w:adjustRightInd/>
              <w:spacing w:line="276" w:lineRule="auto"/>
              <w:jc w:val="left"/>
              <w:textAlignment w:val="auto"/>
              <w:rPr>
                <w:rFonts w:cs="Arial"/>
                <w:szCs w:val="20"/>
              </w:rPr>
            </w:pPr>
            <w:r w:rsidRPr="00545EC0">
              <w:rPr>
                <w:rFonts w:cs="Arial"/>
                <w:szCs w:val="20"/>
              </w:rPr>
              <w:t>ekološko stanje</w:t>
            </w:r>
          </w:p>
        </w:tc>
      </w:tr>
      <w:tr w:rsidR="00D928DC" w:rsidRPr="00545EC0" w14:paraId="38924381" w14:textId="77777777" w:rsidTr="002B231A">
        <w:trPr>
          <w:trHeight w:val="290"/>
        </w:trPr>
        <w:tc>
          <w:tcPr>
            <w:tcW w:w="1640" w:type="dxa"/>
            <w:shd w:val="clear" w:color="auto" w:fill="auto"/>
            <w:noWrap/>
            <w:vAlign w:val="center"/>
            <w:hideMark/>
          </w:tcPr>
          <w:p w14:paraId="74D343D0" w14:textId="77777777" w:rsidR="00D928DC" w:rsidRPr="00545EC0" w:rsidRDefault="00D928DC" w:rsidP="00720C99">
            <w:pPr>
              <w:overflowPunct/>
              <w:autoSpaceDE/>
              <w:autoSpaceDN/>
              <w:adjustRightInd/>
              <w:spacing w:line="276" w:lineRule="auto"/>
              <w:textAlignment w:val="auto"/>
              <w:rPr>
                <w:rFonts w:cs="Arial"/>
                <w:szCs w:val="20"/>
              </w:rPr>
            </w:pPr>
            <w:r w:rsidRPr="00545EC0">
              <w:rPr>
                <w:rFonts w:cs="Arial"/>
                <w:szCs w:val="20"/>
              </w:rPr>
              <w:t>ESR</w:t>
            </w:r>
          </w:p>
        </w:tc>
        <w:tc>
          <w:tcPr>
            <w:tcW w:w="6834" w:type="dxa"/>
            <w:shd w:val="clear" w:color="auto" w:fill="auto"/>
            <w:noWrap/>
            <w:vAlign w:val="center"/>
            <w:hideMark/>
          </w:tcPr>
          <w:p w14:paraId="67DD8709" w14:textId="77777777" w:rsidR="00D928DC" w:rsidRPr="00545EC0" w:rsidRDefault="00D928DC" w:rsidP="00720C99">
            <w:pPr>
              <w:overflowPunct/>
              <w:autoSpaceDE/>
              <w:autoSpaceDN/>
              <w:adjustRightInd/>
              <w:spacing w:line="276" w:lineRule="auto"/>
              <w:jc w:val="left"/>
              <w:textAlignment w:val="auto"/>
              <w:rPr>
                <w:rFonts w:cs="Arial"/>
                <w:szCs w:val="20"/>
              </w:rPr>
            </w:pPr>
            <w:r w:rsidRPr="00545EC0">
              <w:rPr>
                <w:rFonts w:cs="Arial"/>
                <w:szCs w:val="20"/>
              </w:rPr>
              <w:t>Evropski sklad za ribištvo</w:t>
            </w:r>
          </w:p>
        </w:tc>
      </w:tr>
      <w:tr w:rsidR="00D928DC" w:rsidRPr="00545EC0" w14:paraId="2018E0C0" w14:textId="77777777" w:rsidTr="002B231A">
        <w:trPr>
          <w:trHeight w:val="290"/>
        </w:trPr>
        <w:tc>
          <w:tcPr>
            <w:tcW w:w="1640" w:type="dxa"/>
            <w:shd w:val="clear" w:color="auto" w:fill="auto"/>
            <w:noWrap/>
            <w:vAlign w:val="center"/>
            <w:hideMark/>
          </w:tcPr>
          <w:p w14:paraId="5E348088" w14:textId="77777777" w:rsidR="00D928DC" w:rsidRPr="00545EC0" w:rsidRDefault="00D928DC" w:rsidP="00720C99">
            <w:pPr>
              <w:overflowPunct/>
              <w:autoSpaceDE/>
              <w:autoSpaceDN/>
              <w:adjustRightInd/>
              <w:spacing w:line="276" w:lineRule="auto"/>
              <w:textAlignment w:val="auto"/>
              <w:rPr>
                <w:rFonts w:cs="Arial"/>
                <w:szCs w:val="20"/>
              </w:rPr>
            </w:pPr>
            <w:r w:rsidRPr="00545EC0">
              <w:rPr>
                <w:rFonts w:cs="Arial"/>
                <w:szCs w:val="20"/>
              </w:rPr>
              <w:t>EU</w:t>
            </w:r>
          </w:p>
        </w:tc>
        <w:tc>
          <w:tcPr>
            <w:tcW w:w="6834" w:type="dxa"/>
            <w:shd w:val="clear" w:color="auto" w:fill="auto"/>
            <w:noWrap/>
            <w:vAlign w:val="center"/>
            <w:hideMark/>
          </w:tcPr>
          <w:p w14:paraId="1F33C4FD" w14:textId="77777777" w:rsidR="00D928DC" w:rsidRPr="00545EC0" w:rsidRDefault="00D928DC" w:rsidP="00720C99">
            <w:pPr>
              <w:overflowPunct/>
              <w:autoSpaceDE/>
              <w:autoSpaceDN/>
              <w:adjustRightInd/>
              <w:spacing w:line="276" w:lineRule="auto"/>
              <w:jc w:val="left"/>
              <w:textAlignment w:val="auto"/>
              <w:rPr>
                <w:rFonts w:cs="Arial"/>
                <w:szCs w:val="20"/>
              </w:rPr>
            </w:pPr>
            <w:r w:rsidRPr="00545EC0">
              <w:rPr>
                <w:rFonts w:cs="Arial"/>
                <w:szCs w:val="20"/>
              </w:rPr>
              <w:t>Evropska unija</w:t>
            </w:r>
          </w:p>
        </w:tc>
      </w:tr>
      <w:tr w:rsidR="00D928DC" w:rsidRPr="00545EC0" w14:paraId="36F3E41A" w14:textId="77777777" w:rsidTr="002B231A">
        <w:trPr>
          <w:trHeight w:val="290"/>
        </w:trPr>
        <w:tc>
          <w:tcPr>
            <w:tcW w:w="1640" w:type="dxa"/>
            <w:shd w:val="clear" w:color="auto" w:fill="auto"/>
            <w:noWrap/>
            <w:vAlign w:val="center"/>
            <w:hideMark/>
          </w:tcPr>
          <w:p w14:paraId="7572DA1F" w14:textId="77777777" w:rsidR="00D928DC" w:rsidRPr="00545EC0" w:rsidRDefault="00D928DC" w:rsidP="00720C99">
            <w:pPr>
              <w:overflowPunct/>
              <w:autoSpaceDE/>
              <w:autoSpaceDN/>
              <w:adjustRightInd/>
              <w:spacing w:line="276" w:lineRule="auto"/>
              <w:textAlignment w:val="auto"/>
              <w:rPr>
                <w:rFonts w:cs="Arial"/>
                <w:szCs w:val="20"/>
              </w:rPr>
            </w:pPr>
            <w:r w:rsidRPr="00545EC0">
              <w:rPr>
                <w:rFonts w:cs="Arial"/>
                <w:szCs w:val="20"/>
              </w:rPr>
              <w:t>FFS</w:t>
            </w:r>
          </w:p>
        </w:tc>
        <w:tc>
          <w:tcPr>
            <w:tcW w:w="6834" w:type="dxa"/>
            <w:shd w:val="clear" w:color="auto" w:fill="auto"/>
            <w:noWrap/>
            <w:vAlign w:val="center"/>
            <w:hideMark/>
          </w:tcPr>
          <w:p w14:paraId="5226D631" w14:textId="77777777" w:rsidR="00D928DC" w:rsidRPr="00545EC0" w:rsidRDefault="00D928DC" w:rsidP="00720C99">
            <w:pPr>
              <w:overflowPunct/>
              <w:autoSpaceDE/>
              <w:autoSpaceDN/>
              <w:adjustRightInd/>
              <w:spacing w:line="276" w:lineRule="auto"/>
              <w:jc w:val="left"/>
              <w:textAlignment w:val="auto"/>
              <w:rPr>
                <w:rFonts w:cs="Arial"/>
                <w:szCs w:val="20"/>
              </w:rPr>
            </w:pPr>
            <w:r w:rsidRPr="00545EC0">
              <w:rPr>
                <w:rFonts w:cs="Arial"/>
                <w:szCs w:val="20"/>
              </w:rPr>
              <w:t>fitofarmacevtska sredstva</w:t>
            </w:r>
          </w:p>
        </w:tc>
      </w:tr>
      <w:tr w:rsidR="00D928DC" w:rsidRPr="00545EC0" w14:paraId="346CCA94" w14:textId="77777777" w:rsidTr="002B231A">
        <w:trPr>
          <w:trHeight w:val="290"/>
        </w:trPr>
        <w:tc>
          <w:tcPr>
            <w:tcW w:w="1640" w:type="dxa"/>
            <w:shd w:val="clear" w:color="auto" w:fill="auto"/>
            <w:noWrap/>
            <w:vAlign w:val="center"/>
            <w:hideMark/>
          </w:tcPr>
          <w:p w14:paraId="45828C2B" w14:textId="77777777" w:rsidR="00D928DC" w:rsidRPr="00545EC0" w:rsidRDefault="00D928DC" w:rsidP="00720C99">
            <w:pPr>
              <w:overflowPunct/>
              <w:autoSpaceDE/>
              <w:autoSpaceDN/>
              <w:adjustRightInd/>
              <w:spacing w:line="276" w:lineRule="auto"/>
              <w:textAlignment w:val="auto"/>
              <w:rPr>
                <w:rFonts w:cs="Arial"/>
                <w:szCs w:val="20"/>
              </w:rPr>
            </w:pPr>
            <w:r w:rsidRPr="00545EC0">
              <w:rPr>
                <w:rFonts w:cs="Arial"/>
                <w:szCs w:val="20"/>
              </w:rPr>
              <w:t>GeoZS</w:t>
            </w:r>
          </w:p>
        </w:tc>
        <w:tc>
          <w:tcPr>
            <w:tcW w:w="6834" w:type="dxa"/>
            <w:shd w:val="clear" w:color="auto" w:fill="auto"/>
            <w:noWrap/>
            <w:vAlign w:val="center"/>
            <w:hideMark/>
          </w:tcPr>
          <w:p w14:paraId="3C48157A" w14:textId="77777777" w:rsidR="00D928DC" w:rsidRPr="00545EC0" w:rsidRDefault="00D928DC" w:rsidP="00720C99">
            <w:pPr>
              <w:overflowPunct/>
              <w:autoSpaceDE/>
              <w:autoSpaceDN/>
              <w:adjustRightInd/>
              <w:spacing w:line="276" w:lineRule="auto"/>
              <w:jc w:val="left"/>
              <w:textAlignment w:val="auto"/>
              <w:rPr>
                <w:rFonts w:cs="Arial"/>
                <w:szCs w:val="20"/>
              </w:rPr>
            </w:pPr>
            <w:r w:rsidRPr="00545EC0">
              <w:rPr>
                <w:rFonts w:cs="Arial"/>
                <w:szCs w:val="20"/>
              </w:rPr>
              <w:t>Geološki zavod Slovenije</w:t>
            </w:r>
          </w:p>
        </w:tc>
      </w:tr>
      <w:tr w:rsidR="00D928DC" w:rsidRPr="00545EC0" w14:paraId="62131779" w14:textId="77777777" w:rsidTr="002B231A">
        <w:trPr>
          <w:trHeight w:val="290"/>
        </w:trPr>
        <w:tc>
          <w:tcPr>
            <w:tcW w:w="1640" w:type="dxa"/>
            <w:shd w:val="clear" w:color="auto" w:fill="auto"/>
            <w:noWrap/>
            <w:vAlign w:val="center"/>
            <w:hideMark/>
          </w:tcPr>
          <w:p w14:paraId="4CA460C3" w14:textId="77777777" w:rsidR="00D928DC" w:rsidRPr="00545EC0" w:rsidRDefault="00D928DC" w:rsidP="00720C99">
            <w:pPr>
              <w:overflowPunct/>
              <w:autoSpaceDE/>
              <w:autoSpaceDN/>
              <w:adjustRightInd/>
              <w:spacing w:line="276" w:lineRule="auto"/>
              <w:textAlignment w:val="auto"/>
              <w:rPr>
                <w:rFonts w:cs="Arial"/>
                <w:szCs w:val="20"/>
              </w:rPr>
            </w:pPr>
            <w:r w:rsidRPr="00545EC0">
              <w:rPr>
                <w:rFonts w:cs="Arial"/>
                <w:szCs w:val="20"/>
              </w:rPr>
              <w:t>GERK</w:t>
            </w:r>
          </w:p>
        </w:tc>
        <w:tc>
          <w:tcPr>
            <w:tcW w:w="6834" w:type="dxa"/>
            <w:shd w:val="clear" w:color="auto" w:fill="auto"/>
            <w:noWrap/>
            <w:vAlign w:val="center"/>
            <w:hideMark/>
          </w:tcPr>
          <w:p w14:paraId="5921003D" w14:textId="77777777" w:rsidR="00D928DC" w:rsidRPr="00545EC0" w:rsidRDefault="00D928DC" w:rsidP="00720C99">
            <w:pPr>
              <w:overflowPunct/>
              <w:autoSpaceDE/>
              <w:autoSpaceDN/>
              <w:adjustRightInd/>
              <w:spacing w:line="276" w:lineRule="auto"/>
              <w:jc w:val="left"/>
              <w:textAlignment w:val="auto"/>
              <w:rPr>
                <w:rFonts w:cs="Arial"/>
                <w:szCs w:val="20"/>
              </w:rPr>
            </w:pPr>
            <w:r w:rsidRPr="00545EC0">
              <w:rPr>
                <w:rFonts w:cs="Arial"/>
                <w:szCs w:val="20"/>
              </w:rPr>
              <w:t>grafična enota rabe kmetijskega gospodarstva</w:t>
            </w:r>
          </w:p>
        </w:tc>
      </w:tr>
      <w:tr w:rsidR="00D928DC" w:rsidRPr="00545EC0" w14:paraId="5256B68A" w14:textId="77777777" w:rsidTr="002B231A">
        <w:trPr>
          <w:trHeight w:val="290"/>
        </w:trPr>
        <w:tc>
          <w:tcPr>
            <w:tcW w:w="1640" w:type="dxa"/>
            <w:shd w:val="clear" w:color="auto" w:fill="auto"/>
            <w:noWrap/>
            <w:vAlign w:val="center"/>
            <w:hideMark/>
          </w:tcPr>
          <w:p w14:paraId="11786BB4" w14:textId="77777777" w:rsidR="00D928DC" w:rsidRPr="00545EC0" w:rsidRDefault="00D928DC" w:rsidP="00720C99">
            <w:pPr>
              <w:overflowPunct/>
              <w:autoSpaceDE/>
              <w:autoSpaceDN/>
              <w:adjustRightInd/>
              <w:spacing w:line="276" w:lineRule="auto"/>
              <w:textAlignment w:val="auto"/>
              <w:rPr>
                <w:rFonts w:cs="Arial"/>
                <w:szCs w:val="20"/>
              </w:rPr>
            </w:pPr>
            <w:r w:rsidRPr="00545EC0">
              <w:rPr>
                <w:rFonts w:cs="Arial"/>
                <w:szCs w:val="20"/>
              </w:rPr>
              <w:t>GIS</w:t>
            </w:r>
          </w:p>
        </w:tc>
        <w:tc>
          <w:tcPr>
            <w:tcW w:w="6834" w:type="dxa"/>
            <w:shd w:val="clear" w:color="auto" w:fill="auto"/>
            <w:noWrap/>
            <w:vAlign w:val="center"/>
            <w:hideMark/>
          </w:tcPr>
          <w:p w14:paraId="53C89DB3" w14:textId="77777777" w:rsidR="00D928DC" w:rsidRPr="00545EC0" w:rsidRDefault="00D928DC" w:rsidP="00720C99">
            <w:pPr>
              <w:overflowPunct/>
              <w:autoSpaceDE/>
              <w:autoSpaceDN/>
              <w:adjustRightInd/>
              <w:spacing w:line="276" w:lineRule="auto"/>
              <w:jc w:val="left"/>
              <w:textAlignment w:val="auto"/>
              <w:rPr>
                <w:rFonts w:cs="Arial"/>
                <w:szCs w:val="20"/>
              </w:rPr>
            </w:pPr>
            <w:r w:rsidRPr="00545EC0">
              <w:rPr>
                <w:rFonts w:cs="Arial"/>
                <w:szCs w:val="20"/>
              </w:rPr>
              <w:t>geografski informacijski sistem</w:t>
            </w:r>
          </w:p>
        </w:tc>
      </w:tr>
      <w:tr w:rsidR="00D928DC" w:rsidRPr="00545EC0" w14:paraId="1B9D0AC3" w14:textId="77777777" w:rsidTr="002B231A">
        <w:trPr>
          <w:trHeight w:val="290"/>
        </w:trPr>
        <w:tc>
          <w:tcPr>
            <w:tcW w:w="1640" w:type="dxa"/>
            <w:shd w:val="clear" w:color="auto" w:fill="auto"/>
            <w:noWrap/>
            <w:vAlign w:val="center"/>
            <w:hideMark/>
          </w:tcPr>
          <w:p w14:paraId="63A5B628" w14:textId="77777777" w:rsidR="00D928DC" w:rsidRPr="00545EC0" w:rsidRDefault="00D928DC" w:rsidP="00720C99">
            <w:pPr>
              <w:overflowPunct/>
              <w:autoSpaceDE/>
              <w:autoSpaceDN/>
              <w:adjustRightInd/>
              <w:spacing w:line="276" w:lineRule="auto"/>
              <w:textAlignment w:val="auto"/>
              <w:rPr>
                <w:rFonts w:cs="Arial"/>
                <w:szCs w:val="20"/>
              </w:rPr>
            </w:pPr>
            <w:r w:rsidRPr="00545EC0">
              <w:rPr>
                <w:rFonts w:cs="Arial"/>
                <w:szCs w:val="20"/>
              </w:rPr>
              <w:t>GJS</w:t>
            </w:r>
          </w:p>
        </w:tc>
        <w:tc>
          <w:tcPr>
            <w:tcW w:w="6834" w:type="dxa"/>
            <w:shd w:val="clear" w:color="auto" w:fill="auto"/>
            <w:noWrap/>
            <w:vAlign w:val="center"/>
            <w:hideMark/>
          </w:tcPr>
          <w:p w14:paraId="6749F731" w14:textId="77777777" w:rsidR="00D928DC" w:rsidRPr="00545EC0" w:rsidRDefault="00D928DC" w:rsidP="00720C99">
            <w:pPr>
              <w:overflowPunct/>
              <w:autoSpaceDE/>
              <w:autoSpaceDN/>
              <w:adjustRightInd/>
              <w:spacing w:line="276" w:lineRule="auto"/>
              <w:jc w:val="left"/>
              <w:textAlignment w:val="auto"/>
              <w:rPr>
                <w:rFonts w:cs="Arial"/>
                <w:szCs w:val="20"/>
              </w:rPr>
            </w:pPr>
            <w:r w:rsidRPr="00545EC0">
              <w:rPr>
                <w:rFonts w:cs="Arial"/>
                <w:szCs w:val="20"/>
              </w:rPr>
              <w:t>gospodarska javna služba</w:t>
            </w:r>
          </w:p>
        </w:tc>
      </w:tr>
      <w:tr w:rsidR="00D928DC" w:rsidRPr="00545EC0" w14:paraId="621FEC63" w14:textId="77777777" w:rsidTr="002B231A">
        <w:trPr>
          <w:trHeight w:val="290"/>
        </w:trPr>
        <w:tc>
          <w:tcPr>
            <w:tcW w:w="1640" w:type="dxa"/>
            <w:shd w:val="clear" w:color="auto" w:fill="auto"/>
            <w:noWrap/>
            <w:vAlign w:val="center"/>
            <w:hideMark/>
          </w:tcPr>
          <w:p w14:paraId="72B2AD42" w14:textId="77777777" w:rsidR="00D928DC" w:rsidRPr="00545EC0" w:rsidRDefault="00D928DC" w:rsidP="00720C99">
            <w:pPr>
              <w:overflowPunct/>
              <w:autoSpaceDE/>
              <w:autoSpaceDN/>
              <w:adjustRightInd/>
              <w:spacing w:line="276" w:lineRule="auto"/>
              <w:textAlignment w:val="auto"/>
              <w:rPr>
                <w:rFonts w:cs="Arial"/>
                <w:szCs w:val="20"/>
              </w:rPr>
            </w:pPr>
            <w:r w:rsidRPr="00545EC0">
              <w:rPr>
                <w:rFonts w:cs="Arial"/>
                <w:szCs w:val="20"/>
              </w:rPr>
              <w:t>HE</w:t>
            </w:r>
          </w:p>
        </w:tc>
        <w:tc>
          <w:tcPr>
            <w:tcW w:w="6834" w:type="dxa"/>
            <w:shd w:val="clear" w:color="auto" w:fill="auto"/>
            <w:noWrap/>
            <w:vAlign w:val="center"/>
            <w:hideMark/>
          </w:tcPr>
          <w:p w14:paraId="4BADB5B0" w14:textId="77777777" w:rsidR="00D928DC" w:rsidRPr="00545EC0" w:rsidRDefault="00D928DC" w:rsidP="00720C99">
            <w:pPr>
              <w:overflowPunct/>
              <w:autoSpaceDE/>
              <w:autoSpaceDN/>
              <w:adjustRightInd/>
              <w:spacing w:line="276" w:lineRule="auto"/>
              <w:jc w:val="left"/>
              <w:textAlignment w:val="auto"/>
              <w:rPr>
                <w:rFonts w:cs="Arial"/>
                <w:szCs w:val="20"/>
              </w:rPr>
            </w:pPr>
            <w:r w:rsidRPr="00545EC0">
              <w:rPr>
                <w:rFonts w:cs="Arial"/>
                <w:szCs w:val="20"/>
              </w:rPr>
              <w:t>hidroelektrarna</w:t>
            </w:r>
          </w:p>
        </w:tc>
      </w:tr>
      <w:tr w:rsidR="00D928DC" w:rsidRPr="00545EC0" w14:paraId="498172A1" w14:textId="77777777" w:rsidTr="002B231A">
        <w:trPr>
          <w:trHeight w:val="290"/>
        </w:trPr>
        <w:tc>
          <w:tcPr>
            <w:tcW w:w="1640" w:type="dxa"/>
            <w:shd w:val="clear" w:color="auto" w:fill="auto"/>
            <w:noWrap/>
            <w:vAlign w:val="center"/>
            <w:hideMark/>
          </w:tcPr>
          <w:p w14:paraId="7DBC8ECB" w14:textId="77777777" w:rsidR="00D928DC" w:rsidRPr="00545EC0" w:rsidRDefault="00D928DC" w:rsidP="00720C99">
            <w:pPr>
              <w:overflowPunct/>
              <w:autoSpaceDE/>
              <w:autoSpaceDN/>
              <w:adjustRightInd/>
              <w:spacing w:line="276" w:lineRule="auto"/>
              <w:textAlignment w:val="auto"/>
              <w:rPr>
                <w:rFonts w:cs="Arial"/>
                <w:szCs w:val="20"/>
              </w:rPr>
            </w:pPr>
            <w:r w:rsidRPr="00545EC0">
              <w:rPr>
                <w:rFonts w:cs="Arial"/>
                <w:szCs w:val="20"/>
              </w:rPr>
              <w:t>HGO</w:t>
            </w:r>
          </w:p>
        </w:tc>
        <w:tc>
          <w:tcPr>
            <w:tcW w:w="6834" w:type="dxa"/>
            <w:shd w:val="clear" w:color="auto" w:fill="auto"/>
            <w:noWrap/>
            <w:vAlign w:val="center"/>
            <w:hideMark/>
          </w:tcPr>
          <w:p w14:paraId="45BEF31D" w14:textId="77777777" w:rsidR="00D928DC" w:rsidRPr="00545EC0" w:rsidRDefault="00D928DC" w:rsidP="00720C99">
            <w:pPr>
              <w:overflowPunct/>
              <w:autoSpaceDE/>
              <w:autoSpaceDN/>
              <w:adjustRightInd/>
              <w:spacing w:line="276" w:lineRule="auto"/>
              <w:jc w:val="left"/>
              <w:textAlignment w:val="auto"/>
              <w:rPr>
                <w:rFonts w:cs="Arial"/>
                <w:szCs w:val="20"/>
              </w:rPr>
            </w:pPr>
            <w:r w:rsidRPr="00545EC0">
              <w:rPr>
                <w:rFonts w:cs="Arial"/>
                <w:szCs w:val="20"/>
              </w:rPr>
              <w:t>hidrografsko območje</w:t>
            </w:r>
          </w:p>
        </w:tc>
      </w:tr>
      <w:tr w:rsidR="00D928DC" w:rsidRPr="00545EC0" w14:paraId="4DD3683A" w14:textId="77777777" w:rsidTr="002B231A">
        <w:trPr>
          <w:trHeight w:val="290"/>
        </w:trPr>
        <w:tc>
          <w:tcPr>
            <w:tcW w:w="1640" w:type="dxa"/>
            <w:shd w:val="clear" w:color="auto" w:fill="auto"/>
            <w:noWrap/>
            <w:vAlign w:val="center"/>
            <w:hideMark/>
          </w:tcPr>
          <w:p w14:paraId="06177531" w14:textId="77777777" w:rsidR="00D928DC" w:rsidRPr="00545EC0" w:rsidRDefault="00D928DC" w:rsidP="00720C99">
            <w:pPr>
              <w:overflowPunct/>
              <w:autoSpaceDE/>
              <w:autoSpaceDN/>
              <w:adjustRightInd/>
              <w:spacing w:line="276" w:lineRule="auto"/>
              <w:textAlignment w:val="auto"/>
              <w:rPr>
                <w:rFonts w:cs="Arial"/>
                <w:szCs w:val="20"/>
              </w:rPr>
            </w:pPr>
            <w:r w:rsidRPr="00545EC0">
              <w:rPr>
                <w:rFonts w:cs="Arial"/>
                <w:szCs w:val="20"/>
              </w:rPr>
              <w:t>HMS/SD</w:t>
            </w:r>
          </w:p>
        </w:tc>
        <w:tc>
          <w:tcPr>
            <w:tcW w:w="6834" w:type="dxa"/>
            <w:shd w:val="clear" w:color="auto" w:fill="auto"/>
            <w:noWrap/>
            <w:vAlign w:val="center"/>
            <w:hideMark/>
          </w:tcPr>
          <w:p w14:paraId="4CF77F17" w14:textId="77777777" w:rsidR="00D928DC" w:rsidRPr="00545EC0" w:rsidRDefault="00D928DC" w:rsidP="00720C99">
            <w:pPr>
              <w:overflowPunct/>
              <w:autoSpaceDE/>
              <w:autoSpaceDN/>
              <w:adjustRightInd/>
              <w:spacing w:line="276" w:lineRule="auto"/>
              <w:jc w:val="left"/>
              <w:textAlignment w:val="auto"/>
              <w:rPr>
                <w:rFonts w:cs="Arial"/>
                <w:szCs w:val="20"/>
              </w:rPr>
            </w:pPr>
            <w:r w:rsidRPr="00545EC0">
              <w:rPr>
                <w:rFonts w:cs="Arial"/>
                <w:szCs w:val="20"/>
              </w:rPr>
              <w:t>hidromorfološka spremenjenost/splošna degradiranost</w:t>
            </w:r>
          </w:p>
        </w:tc>
      </w:tr>
      <w:tr w:rsidR="00D928DC" w:rsidRPr="00545EC0" w14:paraId="55AA54B8" w14:textId="77777777" w:rsidTr="002B231A">
        <w:trPr>
          <w:trHeight w:val="290"/>
        </w:trPr>
        <w:tc>
          <w:tcPr>
            <w:tcW w:w="1640" w:type="dxa"/>
            <w:shd w:val="clear" w:color="auto" w:fill="auto"/>
            <w:noWrap/>
            <w:vAlign w:val="center"/>
            <w:hideMark/>
          </w:tcPr>
          <w:p w14:paraId="42524EDD" w14:textId="77777777" w:rsidR="00D928DC" w:rsidRPr="00545EC0" w:rsidRDefault="00D928DC" w:rsidP="00720C99">
            <w:pPr>
              <w:overflowPunct/>
              <w:autoSpaceDE/>
              <w:autoSpaceDN/>
              <w:adjustRightInd/>
              <w:spacing w:line="276" w:lineRule="auto"/>
              <w:textAlignment w:val="auto"/>
              <w:rPr>
                <w:rFonts w:cs="Arial"/>
                <w:szCs w:val="20"/>
              </w:rPr>
            </w:pPr>
            <w:r w:rsidRPr="00545EC0">
              <w:rPr>
                <w:rFonts w:cs="Arial"/>
                <w:szCs w:val="20"/>
              </w:rPr>
              <w:t>IAH</w:t>
            </w:r>
          </w:p>
        </w:tc>
        <w:tc>
          <w:tcPr>
            <w:tcW w:w="6834" w:type="dxa"/>
            <w:shd w:val="clear" w:color="auto" w:fill="auto"/>
            <w:noWrap/>
            <w:vAlign w:val="center"/>
            <w:hideMark/>
          </w:tcPr>
          <w:p w14:paraId="6AA84D4C" w14:textId="77777777" w:rsidR="00D928DC" w:rsidRPr="00545EC0" w:rsidRDefault="00D928DC" w:rsidP="00720C99">
            <w:pPr>
              <w:overflowPunct/>
              <w:autoSpaceDE/>
              <w:autoSpaceDN/>
              <w:adjustRightInd/>
              <w:spacing w:line="276" w:lineRule="auto"/>
              <w:jc w:val="left"/>
              <w:textAlignment w:val="auto"/>
              <w:rPr>
                <w:rFonts w:cs="Arial"/>
                <w:szCs w:val="20"/>
              </w:rPr>
            </w:pPr>
            <w:r w:rsidRPr="00545EC0">
              <w:rPr>
                <w:rFonts w:cs="Arial"/>
                <w:szCs w:val="20"/>
              </w:rPr>
              <w:t>Mednarodna zveza hidrogeologov</w:t>
            </w:r>
          </w:p>
        </w:tc>
      </w:tr>
      <w:tr w:rsidR="00D928DC" w:rsidRPr="00545EC0" w14:paraId="7641B5C3" w14:textId="77777777" w:rsidTr="002B231A">
        <w:trPr>
          <w:trHeight w:val="290"/>
        </w:trPr>
        <w:tc>
          <w:tcPr>
            <w:tcW w:w="1640" w:type="dxa"/>
            <w:shd w:val="clear" w:color="auto" w:fill="auto"/>
            <w:noWrap/>
            <w:vAlign w:val="center"/>
            <w:hideMark/>
          </w:tcPr>
          <w:p w14:paraId="0280F735" w14:textId="77777777" w:rsidR="00D928DC" w:rsidRPr="00545EC0" w:rsidRDefault="00D928DC" w:rsidP="00720C99">
            <w:pPr>
              <w:overflowPunct/>
              <w:autoSpaceDE/>
              <w:autoSpaceDN/>
              <w:adjustRightInd/>
              <w:spacing w:line="276" w:lineRule="auto"/>
              <w:textAlignment w:val="auto"/>
              <w:rPr>
                <w:rFonts w:cs="Arial"/>
                <w:szCs w:val="20"/>
              </w:rPr>
            </w:pPr>
            <w:r w:rsidRPr="00545EC0">
              <w:rPr>
                <w:rFonts w:cs="Arial"/>
                <w:szCs w:val="20"/>
              </w:rPr>
              <w:t>IPCC</w:t>
            </w:r>
          </w:p>
        </w:tc>
        <w:tc>
          <w:tcPr>
            <w:tcW w:w="6834" w:type="dxa"/>
            <w:shd w:val="clear" w:color="auto" w:fill="auto"/>
            <w:noWrap/>
            <w:vAlign w:val="center"/>
            <w:hideMark/>
          </w:tcPr>
          <w:p w14:paraId="28984FFF" w14:textId="77777777" w:rsidR="00D928DC" w:rsidRPr="00545EC0" w:rsidRDefault="00D928DC" w:rsidP="00720C99">
            <w:pPr>
              <w:overflowPunct/>
              <w:autoSpaceDE/>
              <w:autoSpaceDN/>
              <w:adjustRightInd/>
              <w:spacing w:line="276" w:lineRule="auto"/>
              <w:jc w:val="left"/>
              <w:textAlignment w:val="auto"/>
              <w:rPr>
                <w:rFonts w:cs="Arial"/>
                <w:szCs w:val="20"/>
              </w:rPr>
            </w:pPr>
            <w:r w:rsidRPr="00545EC0">
              <w:rPr>
                <w:rFonts w:cs="Arial"/>
                <w:szCs w:val="20"/>
              </w:rPr>
              <w:t>Medvladni odbor za podnebne spremembe</w:t>
            </w:r>
          </w:p>
        </w:tc>
      </w:tr>
      <w:tr w:rsidR="00D928DC" w:rsidRPr="00545EC0" w14:paraId="3E9F0450" w14:textId="77777777" w:rsidTr="002B231A">
        <w:trPr>
          <w:trHeight w:val="290"/>
        </w:trPr>
        <w:tc>
          <w:tcPr>
            <w:tcW w:w="1640" w:type="dxa"/>
            <w:shd w:val="clear" w:color="auto" w:fill="auto"/>
            <w:noWrap/>
            <w:vAlign w:val="center"/>
            <w:hideMark/>
          </w:tcPr>
          <w:p w14:paraId="51E6FFA9" w14:textId="77777777" w:rsidR="00D928DC" w:rsidRPr="00545EC0" w:rsidRDefault="00D928DC" w:rsidP="00720C99">
            <w:pPr>
              <w:overflowPunct/>
              <w:autoSpaceDE/>
              <w:autoSpaceDN/>
              <w:adjustRightInd/>
              <w:spacing w:line="276" w:lineRule="auto"/>
              <w:textAlignment w:val="auto"/>
              <w:rPr>
                <w:rFonts w:cs="Arial"/>
                <w:szCs w:val="20"/>
              </w:rPr>
            </w:pPr>
            <w:r w:rsidRPr="00545EC0">
              <w:rPr>
                <w:rFonts w:cs="Arial"/>
                <w:szCs w:val="20"/>
              </w:rPr>
              <w:t>IRSKGH</w:t>
            </w:r>
          </w:p>
        </w:tc>
        <w:tc>
          <w:tcPr>
            <w:tcW w:w="6834" w:type="dxa"/>
            <w:shd w:val="clear" w:color="auto" w:fill="auto"/>
            <w:noWrap/>
            <w:vAlign w:val="center"/>
            <w:hideMark/>
          </w:tcPr>
          <w:p w14:paraId="25EADFF8" w14:textId="77777777" w:rsidR="00D928DC" w:rsidRPr="00545EC0" w:rsidRDefault="00D928DC" w:rsidP="00720C99">
            <w:pPr>
              <w:overflowPunct/>
              <w:autoSpaceDE/>
              <w:autoSpaceDN/>
              <w:adjustRightInd/>
              <w:spacing w:line="276" w:lineRule="auto"/>
              <w:jc w:val="left"/>
              <w:textAlignment w:val="auto"/>
              <w:rPr>
                <w:rFonts w:cs="Arial"/>
                <w:szCs w:val="20"/>
              </w:rPr>
            </w:pPr>
            <w:r w:rsidRPr="00545EC0">
              <w:rPr>
                <w:rFonts w:cs="Arial"/>
                <w:szCs w:val="20"/>
              </w:rPr>
              <w:t>Inšpektorat Republike Slovenije za kmetijstvo, gozdarstvo in hrano</w:t>
            </w:r>
          </w:p>
        </w:tc>
      </w:tr>
      <w:tr w:rsidR="00D928DC" w:rsidRPr="00545EC0" w14:paraId="44411F2C" w14:textId="77777777" w:rsidTr="002B231A">
        <w:trPr>
          <w:trHeight w:val="290"/>
        </w:trPr>
        <w:tc>
          <w:tcPr>
            <w:tcW w:w="1640" w:type="dxa"/>
            <w:shd w:val="clear" w:color="auto" w:fill="auto"/>
            <w:noWrap/>
            <w:vAlign w:val="center"/>
            <w:hideMark/>
          </w:tcPr>
          <w:p w14:paraId="75753505" w14:textId="77777777" w:rsidR="00D928DC" w:rsidRPr="00545EC0" w:rsidRDefault="00D928DC" w:rsidP="00720C99">
            <w:pPr>
              <w:overflowPunct/>
              <w:autoSpaceDE/>
              <w:autoSpaceDN/>
              <w:adjustRightInd/>
              <w:spacing w:line="276" w:lineRule="auto"/>
              <w:textAlignment w:val="auto"/>
              <w:rPr>
                <w:rFonts w:cs="Arial"/>
                <w:szCs w:val="20"/>
              </w:rPr>
            </w:pPr>
            <w:r w:rsidRPr="00545EC0">
              <w:rPr>
                <w:rFonts w:cs="Arial"/>
                <w:szCs w:val="20"/>
              </w:rPr>
              <w:t>IRSOP</w:t>
            </w:r>
          </w:p>
        </w:tc>
        <w:tc>
          <w:tcPr>
            <w:tcW w:w="6834" w:type="dxa"/>
            <w:shd w:val="clear" w:color="auto" w:fill="auto"/>
            <w:noWrap/>
            <w:vAlign w:val="center"/>
            <w:hideMark/>
          </w:tcPr>
          <w:p w14:paraId="2C7FF75B" w14:textId="77777777" w:rsidR="00D928DC" w:rsidRPr="00545EC0" w:rsidRDefault="00D928DC" w:rsidP="00720C99">
            <w:pPr>
              <w:overflowPunct/>
              <w:autoSpaceDE/>
              <w:autoSpaceDN/>
              <w:adjustRightInd/>
              <w:spacing w:line="276" w:lineRule="auto"/>
              <w:jc w:val="left"/>
              <w:textAlignment w:val="auto"/>
              <w:rPr>
                <w:rFonts w:cs="Arial"/>
                <w:szCs w:val="20"/>
              </w:rPr>
            </w:pPr>
            <w:r w:rsidRPr="00545EC0">
              <w:rPr>
                <w:rFonts w:cs="Arial"/>
                <w:szCs w:val="20"/>
              </w:rPr>
              <w:t>Inšpektorat Republike Slovenije za okolje in prostor</w:t>
            </w:r>
          </w:p>
        </w:tc>
      </w:tr>
      <w:tr w:rsidR="00D928DC" w:rsidRPr="00545EC0" w14:paraId="3951A02E" w14:textId="77777777" w:rsidTr="002B231A">
        <w:trPr>
          <w:trHeight w:val="290"/>
        </w:trPr>
        <w:tc>
          <w:tcPr>
            <w:tcW w:w="1640" w:type="dxa"/>
            <w:shd w:val="clear" w:color="auto" w:fill="auto"/>
            <w:noWrap/>
            <w:vAlign w:val="center"/>
            <w:hideMark/>
          </w:tcPr>
          <w:p w14:paraId="1155AEE8" w14:textId="77777777" w:rsidR="00D928DC" w:rsidRPr="00545EC0" w:rsidRDefault="00D928DC" w:rsidP="00720C99">
            <w:pPr>
              <w:overflowPunct/>
              <w:autoSpaceDE/>
              <w:autoSpaceDN/>
              <w:adjustRightInd/>
              <w:spacing w:line="276" w:lineRule="auto"/>
              <w:textAlignment w:val="auto"/>
              <w:rPr>
                <w:rFonts w:cs="Arial"/>
                <w:szCs w:val="20"/>
              </w:rPr>
            </w:pPr>
            <w:r w:rsidRPr="00545EC0">
              <w:rPr>
                <w:rFonts w:cs="Arial"/>
                <w:szCs w:val="20"/>
              </w:rPr>
              <w:t>IzVRS</w:t>
            </w:r>
          </w:p>
        </w:tc>
        <w:tc>
          <w:tcPr>
            <w:tcW w:w="6834" w:type="dxa"/>
            <w:shd w:val="clear" w:color="auto" w:fill="auto"/>
            <w:noWrap/>
            <w:vAlign w:val="center"/>
            <w:hideMark/>
          </w:tcPr>
          <w:p w14:paraId="1F23BE8B" w14:textId="77777777" w:rsidR="00D928DC" w:rsidRPr="00545EC0" w:rsidRDefault="00D928DC" w:rsidP="00720C99">
            <w:pPr>
              <w:overflowPunct/>
              <w:autoSpaceDE/>
              <w:autoSpaceDN/>
              <w:adjustRightInd/>
              <w:spacing w:line="276" w:lineRule="auto"/>
              <w:jc w:val="left"/>
              <w:textAlignment w:val="auto"/>
              <w:rPr>
                <w:rFonts w:cs="Arial"/>
                <w:szCs w:val="20"/>
              </w:rPr>
            </w:pPr>
            <w:r w:rsidRPr="00545EC0">
              <w:rPr>
                <w:rFonts w:cs="Arial"/>
                <w:szCs w:val="20"/>
              </w:rPr>
              <w:t>Inštitut za vode Republike Slovenije</w:t>
            </w:r>
          </w:p>
        </w:tc>
      </w:tr>
      <w:tr w:rsidR="00D928DC" w:rsidRPr="00545EC0" w14:paraId="7D5AAABB" w14:textId="77777777" w:rsidTr="002B231A">
        <w:trPr>
          <w:trHeight w:val="290"/>
        </w:trPr>
        <w:tc>
          <w:tcPr>
            <w:tcW w:w="1640" w:type="dxa"/>
            <w:shd w:val="clear" w:color="auto" w:fill="auto"/>
            <w:noWrap/>
            <w:vAlign w:val="center"/>
            <w:hideMark/>
          </w:tcPr>
          <w:p w14:paraId="0B7ADBB5" w14:textId="77777777" w:rsidR="00D928DC" w:rsidRPr="00545EC0" w:rsidRDefault="00D928DC" w:rsidP="00720C99">
            <w:pPr>
              <w:overflowPunct/>
              <w:autoSpaceDE/>
              <w:autoSpaceDN/>
              <w:adjustRightInd/>
              <w:spacing w:line="276" w:lineRule="auto"/>
              <w:textAlignment w:val="auto"/>
              <w:rPr>
                <w:rFonts w:cs="Arial"/>
                <w:szCs w:val="20"/>
              </w:rPr>
            </w:pPr>
            <w:r w:rsidRPr="00545EC0">
              <w:rPr>
                <w:rFonts w:cs="Arial"/>
                <w:szCs w:val="20"/>
              </w:rPr>
              <w:t>kMPVT</w:t>
            </w:r>
          </w:p>
        </w:tc>
        <w:tc>
          <w:tcPr>
            <w:tcW w:w="6834" w:type="dxa"/>
            <w:shd w:val="clear" w:color="auto" w:fill="auto"/>
            <w:noWrap/>
            <w:vAlign w:val="center"/>
            <w:hideMark/>
          </w:tcPr>
          <w:p w14:paraId="034B5DD0" w14:textId="77777777" w:rsidR="00D928DC" w:rsidRPr="00545EC0" w:rsidRDefault="00D928DC" w:rsidP="00720C99">
            <w:pPr>
              <w:overflowPunct/>
              <w:autoSpaceDE/>
              <w:autoSpaceDN/>
              <w:adjustRightInd/>
              <w:spacing w:line="276" w:lineRule="auto"/>
              <w:jc w:val="left"/>
              <w:textAlignment w:val="auto"/>
              <w:rPr>
                <w:rFonts w:cs="Arial"/>
                <w:szCs w:val="20"/>
              </w:rPr>
            </w:pPr>
            <w:r w:rsidRPr="00545EC0">
              <w:rPr>
                <w:rFonts w:cs="Arial"/>
                <w:szCs w:val="20"/>
              </w:rPr>
              <w:t>kandidat za močno preoblikovano vodno telo</w:t>
            </w:r>
          </w:p>
        </w:tc>
      </w:tr>
      <w:tr w:rsidR="00D928DC" w:rsidRPr="00545EC0" w14:paraId="0EA33386" w14:textId="77777777" w:rsidTr="002B231A">
        <w:trPr>
          <w:trHeight w:val="290"/>
        </w:trPr>
        <w:tc>
          <w:tcPr>
            <w:tcW w:w="1640" w:type="dxa"/>
            <w:shd w:val="clear" w:color="auto" w:fill="auto"/>
            <w:noWrap/>
            <w:vAlign w:val="center"/>
            <w:hideMark/>
          </w:tcPr>
          <w:p w14:paraId="1A54D4A7" w14:textId="77777777" w:rsidR="00D928DC" w:rsidRPr="00545EC0" w:rsidRDefault="00D928DC" w:rsidP="00720C99">
            <w:pPr>
              <w:overflowPunct/>
              <w:autoSpaceDE/>
              <w:autoSpaceDN/>
              <w:adjustRightInd/>
              <w:spacing w:line="276" w:lineRule="auto"/>
              <w:textAlignment w:val="auto"/>
              <w:rPr>
                <w:rFonts w:cs="Arial"/>
                <w:szCs w:val="20"/>
              </w:rPr>
            </w:pPr>
            <w:r w:rsidRPr="00545EC0">
              <w:rPr>
                <w:rFonts w:cs="Arial"/>
                <w:szCs w:val="20"/>
              </w:rPr>
              <w:t>KPK</w:t>
            </w:r>
          </w:p>
        </w:tc>
        <w:tc>
          <w:tcPr>
            <w:tcW w:w="6834" w:type="dxa"/>
            <w:shd w:val="clear" w:color="auto" w:fill="auto"/>
            <w:noWrap/>
            <w:vAlign w:val="center"/>
            <w:hideMark/>
          </w:tcPr>
          <w:p w14:paraId="436ED9B8" w14:textId="77777777" w:rsidR="00D928DC" w:rsidRPr="00545EC0" w:rsidRDefault="00D928DC" w:rsidP="00720C99">
            <w:pPr>
              <w:overflowPunct/>
              <w:autoSpaceDE/>
              <w:autoSpaceDN/>
              <w:adjustRightInd/>
              <w:spacing w:line="276" w:lineRule="auto"/>
              <w:jc w:val="left"/>
              <w:textAlignment w:val="auto"/>
              <w:rPr>
                <w:rFonts w:cs="Arial"/>
                <w:szCs w:val="20"/>
              </w:rPr>
            </w:pPr>
            <w:r w:rsidRPr="00545EC0">
              <w:rPr>
                <w:rFonts w:cs="Arial"/>
                <w:szCs w:val="20"/>
              </w:rPr>
              <w:t>kemijska potreba po kisiku</w:t>
            </w:r>
          </w:p>
        </w:tc>
      </w:tr>
      <w:tr w:rsidR="00D928DC" w:rsidRPr="00545EC0" w14:paraId="129405B3" w14:textId="77777777" w:rsidTr="002B231A">
        <w:trPr>
          <w:trHeight w:val="290"/>
        </w:trPr>
        <w:tc>
          <w:tcPr>
            <w:tcW w:w="1640" w:type="dxa"/>
            <w:shd w:val="clear" w:color="auto" w:fill="auto"/>
            <w:noWrap/>
            <w:vAlign w:val="center"/>
            <w:hideMark/>
          </w:tcPr>
          <w:p w14:paraId="25FC60B1" w14:textId="77777777" w:rsidR="00D928DC" w:rsidRPr="00545EC0" w:rsidRDefault="00D928DC" w:rsidP="00720C99">
            <w:pPr>
              <w:overflowPunct/>
              <w:autoSpaceDE/>
              <w:autoSpaceDN/>
              <w:adjustRightInd/>
              <w:spacing w:line="276" w:lineRule="auto"/>
              <w:textAlignment w:val="auto"/>
              <w:rPr>
                <w:rFonts w:cs="Arial"/>
                <w:szCs w:val="20"/>
              </w:rPr>
            </w:pPr>
            <w:r w:rsidRPr="00545EC0">
              <w:rPr>
                <w:rFonts w:cs="Arial"/>
                <w:szCs w:val="20"/>
              </w:rPr>
              <w:t>LOD</w:t>
            </w:r>
          </w:p>
        </w:tc>
        <w:tc>
          <w:tcPr>
            <w:tcW w:w="6834" w:type="dxa"/>
            <w:shd w:val="clear" w:color="auto" w:fill="auto"/>
            <w:noWrap/>
            <w:vAlign w:val="center"/>
            <w:hideMark/>
          </w:tcPr>
          <w:p w14:paraId="5E1624F0" w14:textId="77777777" w:rsidR="00D928DC" w:rsidRPr="00545EC0" w:rsidRDefault="00D928DC" w:rsidP="00720C99">
            <w:pPr>
              <w:overflowPunct/>
              <w:autoSpaceDE/>
              <w:autoSpaceDN/>
              <w:adjustRightInd/>
              <w:spacing w:line="276" w:lineRule="auto"/>
              <w:jc w:val="left"/>
              <w:textAlignment w:val="auto"/>
              <w:rPr>
                <w:rFonts w:cs="Arial"/>
                <w:szCs w:val="20"/>
              </w:rPr>
            </w:pPr>
            <w:r w:rsidRPr="00545EC0">
              <w:rPr>
                <w:rFonts w:cs="Arial"/>
                <w:szCs w:val="20"/>
              </w:rPr>
              <w:t>meja detekcije analitske metode</w:t>
            </w:r>
          </w:p>
        </w:tc>
      </w:tr>
      <w:tr w:rsidR="00D928DC" w:rsidRPr="00545EC0" w14:paraId="74BBC524" w14:textId="77777777" w:rsidTr="002B231A">
        <w:trPr>
          <w:trHeight w:val="290"/>
        </w:trPr>
        <w:tc>
          <w:tcPr>
            <w:tcW w:w="1640" w:type="dxa"/>
            <w:shd w:val="clear" w:color="auto" w:fill="auto"/>
            <w:noWrap/>
            <w:vAlign w:val="center"/>
            <w:hideMark/>
          </w:tcPr>
          <w:p w14:paraId="53AB56D4" w14:textId="77777777" w:rsidR="00D928DC" w:rsidRPr="00545EC0" w:rsidRDefault="00D928DC" w:rsidP="00720C99">
            <w:pPr>
              <w:overflowPunct/>
              <w:autoSpaceDE/>
              <w:autoSpaceDN/>
              <w:adjustRightInd/>
              <w:spacing w:line="276" w:lineRule="auto"/>
              <w:textAlignment w:val="auto"/>
              <w:rPr>
                <w:rFonts w:cs="Arial"/>
                <w:szCs w:val="20"/>
              </w:rPr>
            </w:pPr>
            <w:r w:rsidRPr="00545EC0">
              <w:rPr>
                <w:rFonts w:cs="Arial"/>
                <w:szCs w:val="20"/>
              </w:rPr>
              <w:t>LOQ</w:t>
            </w:r>
          </w:p>
        </w:tc>
        <w:tc>
          <w:tcPr>
            <w:tcW w:w="6834" w:type="dxa"/>
            <w:shd w:val="clear" w:color="auto" w:fill="auto"/>
            <w:noWrap/>
            <w:vAlign w:val="center"/>
            <w:hideMark/>
          </w:tcPr>
          <w:p w14:paraId="6F2EE2B2" w14:textId="77777777" w:rsidR="00D928DC" w:rsidRPr="00545EC0" w:rsidRDefault="00D928DC" w:rsidP="00720C99">
            <w:pPr>
              <w:overflowPunct/>
              <w:autoSpaceDE/>
              <w:autoSpaceDN/>
              <w:adjustRightInd/>
              <w:spacing w:line="276" w:lineRule="auto"/>
              <w:jc w:val="left"/>
              <w:textAlignment w:val="auto"/>
              <w:rPr>
                <w:rFonts w:cs="Arial"/>
                <w:szCs w:val="20"/>
              </w:rPr>
            </w:pPr>
            <w:r w:rsidRPr="00545EC0">
              <w:rPr>
                <w:rFonts w:cs="Arial"/>
                <w:szCs w:val="20"/>
              </w:rPr>
              <w:t>meja določljivosti analitske metode</w:t>
            </w:r>
          </w:p>
        </w:tc>
      </w:tr>
      <w:tr w:rsidR="00D928DC" w:rsidRPr="00545EC0" w14:paraId="56573924" w14:textId="77777777" w:rsidTr="002B231A">
        <w:trPr>
          <w:trHeight w:val="290"/>
        </w:trPr>
        <w:tc>
          <w:tcPr>
            <w:tcW w:w="1640" w:type="dxa"/>
            <w:shd w:val="clear" w:color="auto" w:fill="auto"/>
            <w:noWrap/>
            <w:vAlign w:val="center"/>
            <w:hideMark/>
          </w:tcPr>
          <w:p w14:paraId="6286E74B" w14:textId="77777777" w:rsidR="00D928DC" w:rsidRPr="00545EC0" w:rsidRDefault="00D928DC" w:rsidP="00720C99">
            <w:pPr>
              <w:overflowPunct/>
              <w:autoSpaceDE/>
              <w:autoSpaceDN/>
              <w:adjustRightInd/>
              <w:spacing w:line="276" w:lineRule="auto"/>
              <w:textAlignment w:val="auto"/>
              <w:rPr>
                <w:rFonts w:cs="Arial"/>
                <w:szCs w:val="20"/>
              </w:rPr>
            </w:pPr>
            <w:r w:rsidRPr="00545EC0">
              <w:rPr>
                <w:rFonts w:cs="Arial"/>
                <w:szCs w:val="20"/>
              </w:rPr>
              <w:t>LP–OSK</w:t>
            </w:r>
          </w:p>
        </w:tc>
        <w:tc>
          <w:tcPr>
            <w:tcW w:w="6834" w:type="dxa"/>
            <w:shd w:val="clear" w:color="auto" w:fill="auto"/>
            <w:noWrap/>
            <w:vAlign w:val="center"/>
            <w:hideMark/>
          </w:tcPr>
          <w:p w14:paraId="6C6413C4" w14:textId="77777777" w:rsidR="00D928DC" w:rsidRPr="00545EC0" w:rsidRDefault="00D928DC" w:rsidP="00720C99">
            <w:pPr>
              <w:overflowPunct/>
              <w:autoSpaceDE/>
              <w:autoSpaceDN/>
              <w:adjustRightInd/>
              <w:spacing w:line="276" w:lineRule="auto"/>
              <w:jc w:val="left"/>
              <w:textAlignment w:val="auto"/>
              <w:rPr>
                <w:rFonts w:cs="Arial"/>
                <w:szCs w:val="20"/>
              </w:rPr>
            </w:pPr>
            <w:r w:rsidRPr="00545EC0">
              <w:rPr>
                <w:rFonts w:cs="Arial"/>
                <w:szCs w:val="20"/>
              </w:rPr>
              <w:t>okoljski standard kakovosti - letna povprečna vrednost parametra</w:t>
            </w:r>
          </w:p>
        </w:tc>
      </w:tr>
      <w:tr w:rsidR="00D928DC" w:rsidRPr="00545EC0" w14:paraId="54D767BE" w14:textId="77777777" w:rsidTr="002B231A">
        <w:trPr>
          <w:trHeight w:val="290"/>
        </w:trPr>
        <w:tc>
          <w:tcPr>
            <w:tcW w:w="1640" w:type="dxa"/>
            <w:shd w:val="clear" w:color="auto" w:fill="auto"/>
            <w:noWrap/>
            <w:vAlign w:val="center"/>
            <w:hideMark/>
          </w:tcPr>
          <w:p w14:paraId="6B380C57" w14:textId="77777777" w:rsidR="00D928DC" w:rsidRPr="00545EC0" w:rsidRDefault="00D928DC" w:rsidP="00720C99">
            <w:pPr>
              <w:overflowPunct/>
              <w:autoSpaceDE/>
              <w:autoSpaceDN/>
              <w:adjustRightInd/>
              <w:spacing w:line="276" w:lineRule="auto"/>
              <w:textAlignment w:val="auto"/>
              <w:rPr>
                <w:rFonts w:cs="Arial"/>
                <w:szCs w:val="20"/>
              </w:rPr>
            </w:pPr>
            <w:r w:rsidRPr="00545EC0">
              <w:rPr>
                <w:rFonts w:cs="Arial"/>
                <w:szCs w:val="20"/>
              </w:rPr>
              <w:t>MBP</w:t>
            </w:r>
          </w:p>
        </w:tc>
        <w:tc>
          <w:tcPr>
            <w:tcW w:w="6834" w:type="dxa"/>
            <w:shd w:val="clear" w:color="auto" w:fill="auto"/>
            <w:noWrap/>
            <w:vAlign w:val="center"/>
            <w:hideMark/>
          </w:tcPr>
          <w:p w14:paraId="603E65E2" w14:textId="77777777" w:rsidR="00D928DC" w:rsidRPr="00545EC0" w:rsidRDefault="00D928DC" w:rsidP="00720C99">
            <w:pPr>
              <w:overflowPunct/>
              <w:autoSpaceDE/>
              <w:autoSpaceDN/>
              <w:adjustRightInd/>
              <w:spacing w:line="276" w:lineRule="auto"/>
              <w:jc w:val="left"/>
              <w:textAlignment w:val="auto"/>
              <w:rPr>
                <w:rFonts w:cs="Arial"/>
                <w:szCs w:val="20"/>
              </w:rPr>
            </w:pPr>
            <w:r w:rsidRPr="00545EC0">
              <w:rPr>
                <w:rFonts w:cs="Arial"/>
                <w:szCs w:val="20"/>
              </w:rPr>
              <w:t>Morska biološka postaja</w:t>
            </w:r>
          </w:p>
        </w:tc>
      </w:tr>
      <w:tr w:rsidR="00D928DC" w:rsidRPr="00545EC0" w14:paraId="5E3C8D10" w14:textId="77777777" w:rsidTr="002B231A">
        <w:trPr>
          <w:trHeight w:val="290"/>
        </w:trPr>
        <w:tc>
          <w:tcPr>
            <w:tcW w:w="1640" w:type="dxa"/>
            <w:shd w:val="clear" w:color="auto" w:fill="auto"/>
            <w:noWrap/>
            <w:vAlign w:val="center"/>
            <w:hideMark/>
          </w:tcPr>
          <w:p w14:paraId="66B3B94A" w14:textId="77777777" w:rsidR="00D928DC" w:rsidRPr="00545EC0" w:rsidRDefault="00D928DC" w:rsidP="00720C99">
            <w:pPr>
              <w:overflowPunct/>
              <w:autoSpaceDE/>
              <w:autoSpaceDN/>
              <w:adjustRightInd/>
              <w:spacing w:line="276" w:lineRule="auto"/>
              <w:textAlignment w:val="auto"/>
              <w:rPr>
                <w:rFonts w:cs="Arial"/>
                <w:szCs w:val="20"/>
              </w:rPr>
            </w:pPr>
            <w:r w:rsidRPr="00545EC0">
              <w:rPr>
                <w:rFonts w:cs="Arial"/>
                <w:szCs w:val="20"/>
              </w:rPr>
              <w:t>MF</w:t>
            </w:r>
          </w:p>
        </w:tc>
        <w:tc>
          <w:tcPr>
            <w:tcW w:w="6834" w:type="dxa"/>
            <w:shd w:val="clear" w:color="auto" w:fill="auto"/>
            <w:noWrap/>
            <w:vAlign w:val="center"/>
            <w:hideMark/>
          </w:tcPr>
          <w:p w14:paraId="17D840D9" w14:textId="77777777" w:rsidR="00D928DC" w:rsidRPr="00545EC0" w:rsidRDefault="00D928DC" w:rsidP="00720C99">
            <w:pPr>
              <w:overflowPunct/>
              <w:autoSpaceDE/>
              <w:autoSpaceDN/>
              <w:adjustRightInd/>
              <w:spacing w:line="276" w:lineRule="auto"/>
              <w:jc w:val="left"/>
              <w:textAlignment w:val="auto"/>
              <w:rPr>
                <w:rFonts w:cs="Arial"/>
                <w:szCs w:val="20"/>
              </w:rPr>
            </w:pPr>
            <w:r w:rsidRPr="00545EC0">
              <w:rPr>
                <w:rFonts w:cs="Arial"/>
                <w:szCs w:val="20"/>
              </w:rPr>
              <w:t>Ministrstvo za finance</w:t>
            </w:r>
          </w:p>
        </w:tc>
      </w:tr>
      <w:tr w:rsidR="00D928DC" w:rsidRPr="00545EC0" w14:paraId="5A09154F" w14:textId="77777777" w:rsidTr="002B231A">
        <w:trPr>
          <w:trHeight w:val="290"/>
        </w:trPr>
        <w:tc>
          <w:tcPr>
            <w:tcW w:w="1640" w:type="dxa"/>
            <w:shd w:val="clear" w:color="auto" w:fill="auto"/>
            <w:noWrap/>
            <w:vAlign w:val="center"/>
            <w:hideMark/>
          </w:tcPr>
          <w:p w14:paraId="53FC7C8C" w14:textId="77777777" w:rsidR="00D928DC" w:rsidRPr="00545EC0" w:rsidRDefault="00D928DC" w:rsidP="00720C99">
            <w:pPr>
              <w:overflowPunct/>
              <w:autoSpaceDE/>
              <w:autoSpaceDN/>
              <w:adjustRightInd/>
              <w:spacing w:line="276" w:lineRule="auto"/>
              <w:textAlignment w:val="auto"/>
              <w:rPr>
                <w:rFonts w:cs="Arial"/>
                <w:szCs w:val="20"/>
              </w:rPr>
            </w:pPr>
            <w:r w:rsidRPr="00545EC0">
              <w:rPr>
                <w:rFonts w:cs="Arial"/>
                <w:szCs w:val="20"/>
              </w:rPr>
              <w:t>MGRT</w:t>
            </w:r>
          </w:p>
        </w:tc>
        <w:tc>
          <w:tcPr>
            <w:tcW w:w="6834" w:type="dxa"/>
            <w:shd w:val="clear" w:color="auto" w:fill="auto"/>
            <w:noWrap/>
            <w:vAlign w:val="center"/>
            <w:hideMark/>
          </w:tcPr>
          <w:p w14:paraId="1842E99E" w14:textId="77777777" w:rsidR="00D928DC" w:rsidRPr="00545EC0" w:rsidRDefault="00D928DC" w:rsidP="00720C99">
            <w:pPr>
              <w:overflowPunct/>
              <w:autoSpaceDE/>
              <w:autoSpaceDN/>
              <w:adjustRightInd/>
              <w:spacing w:line="276" w:lineRule="auto"/>
              <w:jc w:val="left"/>
              <w:textAlignment w:val="auto"/>
              <w:rPr>
                <w:rFonts w:cs="Arial"/>
                <w:szCs w:val="20"/>
              </w:rPr>
            </w:pPr>
            <w:r w:rsidRPr="00545EC0">
              <w:rPr>
                <w:rFonts w:cs="Arial"/>
                <w:szCs w:val="20"/>
              </w:rPr>
              <w:t>Ministrstvo za gospodarski razvoj in tehnologijo</w:t>
            </w:r>
          </w:p>
        </w:tc>
      </w:tr>
      <w:tr w:rsidR="00D928DC" w:rsidRPr="00545EC0" w14:paraId="23F9E2BF" w14:textId="77777777" w:rsidTr="002B231A">
        <w:trPr>
          <w:trHeight w:val="290"/>
        </w:trPr>
        <w:tc>
          <w:tcPr>
            <w:tcW w:w="1640" w:type="dxa"/>
            <w:shd w:val="clear" w:color="auto" w:fill="auto"/>
            <w:noWrap/>
            <w:vAlign w:val="center"/>
            <w:hideMark/>
          </w:tcPr>
          <w:p w14:paraId="29835968" w14:textId="77777777" w:rsidR="00D928DC" w:rsidRPr="00545EC0" w:rsidRDefault="00D928DC" w:rsidP="00720C99">
            <w:pPr>
              <w:overflowPunct/>
              <w:autoSpaceDE/>
              <w:autoSpaceDN/>
              <w:adjustRightInd/>
              <w:spacing w:line="276" w:lineRule="auto"/>
              <w:textAlignment w:val="auto"/>
              <w:rPr>
                <w:rFonts w:cs="Arial"/>
                <w:szCs w:val="20"/>
              </w:rPr>
            </w:pPr>
            <w:r w:rsidRPr="00545EC0">
              <w:rPr>
                <w:rFonts w:cs="Arial"/>
                <w:szCs w:val="20"/>
              </w:rPr>
              <w:t>mHE</w:t>
            </w:r>
          </w:p>
        </w:tc>
        <w:tc>
          <w:tcPr>
            <w:tcW w:w="6834" w:type="dxa"/>
            <w:shd w:val="clear" w:color="auto" w:fill="auto"/>
            <w:noWrap/>
            <w:vAlign w:val="center"/>
            <w:hideMark/>
          </w:tcPr>
          <w:p w14:paraId="2F09BF3A" w14:textId="77777777" w:rsidR="00D928DC" w:rsidRPr="00545EC0" w:rsidRDefault="00D928DC" w:rsidP="00720C99">
            <w:pPr>
              <w:overflowPunct/>
              <w:autoSpaceDE/>
              <w:autoSpaceDN/>
              <w:adjustRightInd/>
              <w:spacing w:line="276" w:lineRule="auto"/>
              <w:jc w:val="left"/>
              <w:textAlignment w:val="auto"/>
              <w:rPr>
                <w:rFonts w:cs="Arial"/>
                <w:szCs w:val="20"/>
              </w:rPr>
            </w:pPr>
            <w:r w:rsidRPr="00545EC0">
              <w:rPr>
                <w:rFonts w:cs="Arial"/>
                <w:szCs w:val="20"/>
              </w:rPr>
              <w:t>mala hidroelektrarna</w:t>
            </w:r>
          </w:p>
        </w:tc>
      </w:tr>
      <w:tr w:rsidR="00D928DC" w:rsidRPr="00545EC0" w14:paraId="638D3AF0" w14:textId="77777777" w:rsidTr="002B231A">
        <w:trPr>
          <w:trHeight w:val="290"/>
        </w:trPr>
        <w:tc>
          <w:tcPr>
            <w:tcW w:w="1640" w:type="dxa"/>
            <w:shd w:val="clear" w:color="auto" w:fill="auto"/>
            <w:noWrap/>
            <w:vAlign w:val="center"/>
            <w:hideMark/>
          </w:tcPr>
          <w:p w14:paraId="447C8896" w14:textId="77777777" w:rsidR="00D928DC" w:rsidRPr="00545EC0" w:rsidRDefault="00D928DC" w:rsidP="00720C99">
            <w:pPr>
              <w:overflowPunct/>
              <w:autoSpaceDE/>
              <w:autoSpaceDN/>
              <w:adjustRightInd/>
              <w:spacing w:line="276" w:lineRule="auto"/>
              <w:textAlignment w:val="auto"/>
              <w:rPr>
                <w:rFonts w:cs="Arial"/>
                <w:szCs w:val="20"/>
              </w:rPr>
            </w:pPr>
            <w:r w:rsidRPr="00545EC0">
              <w:rPr>
                <w:rFonts w:cs="Arial"/>
                <w:szCs w:val="20"/>
              </w:rPr>
              <w:lastRenderedPageBreak/>
              <w:t>MKGP</w:t>
            </w:r>
          </w:p>
        </w:tc>
        <w:tc>
          <w:tcPr>
            <w:tcW w:w="6834" w:type="dxa"/>
            <w:shd w:val="clear" w:color="auto" w:fill="auto"/>
            <w:noWrap/>
            <w:vAlign w:val="center"/>
            <w:hideMark/>
          </w:tcPr>
          <w:p w14:paraId="7890BC1A" w14:textId="77777777" w:rsidR="00D928DC" w:rsidRPr="00545EC0" w:rsidRDefault="00D928DC" w:rsidP="00720C99">
            <w:pPr>
              <w:overflowPunct/>
              <w:autoSpaceDE/>
              <w:autoSpaceDN/>
              <w:adjustRightInd/>
              <w:spacing w:line="276" w:lineRule="auto"/>
              <w:jc w:val="left"/>
              <w:textAlignment w:val="auto"/>
              <w:rPr>
                <w:rFonts w:cs="Arial"/>
                <w:szCs w:val="20"/>
              </w:rPr>
            </w:pPr>
            <w:r w:rsidRPr="00545EC0">
              <w:rPr>
                <w:rFonts w:cs="Arial"/>
                <w:szCs w:val="20"/>
              </w:rPr>
              <w:t>Ministrstvo za kmetijstvo, gozdarstvo in prehrano</w:t>
            </w:r>
          </w:p>
        </w:tc>
      </w:tr>
      <w:tr w:rsidR="00D928DC" w:rsidRPr="00545EC0" w14:paraId="51C826E0" w14:textId="77777777" w:rsidTr="002B231A">
        <w:trPr>
          <w:trHeight w:val="290"/>
        </w:trPr>
        <w:tc>
          <w:tcPr>
            <w:tcW w:w="1640" w:type="dxa"/>
            <w:shd w:val="clear" w:color="auto" w:fill="auto"/>
            <w:noWrap/>
            <w:vAlign w:val="center"/>
            <w:hideMark/>
          </w:tcPr>
          <w:p w14:paraId="3C1AEF04" w14:textId="77777777" w:rsidR="00D928DC" w:rsidRPr="00545EC0" w:rsidRDefault="00D928DC" w:rsidP="00720C99">
            <w:pPr>
              <w:overflowPunct/>
              <w:autoSpaceDE/>
              <w:autoSpaceDN/>
              <w:adjustRightInd/>
              <w:spacing w:line="276" w:lineRule="auto"/>
              <w:textAlignment w:val="auto"/>
              <w:rPr>
                <w:rFonts w:cs="Arial"/>
                <w:szCs w:val="20"/>
              </w:rPr>
            </w:pPr>
            <w:r w:rsidRPr="00545EC0">
              <w:rPr>
                <w:rFonts w:cs="Arial"/>
                <w:szCs w:val="20"/>
              </w:rPr>
              <w:t>MNZ</w:t>
            </w:r>
          </w:p>
        </w:tc>
        <w:tc>
          <w:tcPr>
            <w:tcW w:w="6834" w:type="dxa"/>
            <w:shd w:val="clear" w:color="auto" w:fill="auto"/>
            <w:noWrap/>
            <w:vAlign w:val="center"/>
            <w:hideMark/>
          </w:tcPr>
          <w:p w14:paraId="70504085" w14:textId="77777777" w:rsidR="00D928DC" w:rsidRPr="00545EC0" w:rsidRDefault="00D928DC" w:rsidP="00720C99">
            <w:pPr>
              <w:overflowPunct/>
              <w:autoSpaceDE/>
              <w:autoSpaceDN/>
              <w:adjustRightInd/>
              <w:spacing w:line="276" w:lineRule="auto"/>
              <w:jc w:val="left"/>
              <w:textAlignment w:val="auto"/>
              <w:rPr>
                <w:rFonts w:cs="Arial"/>
                <w:szCs w:val="20"/>
              </w:rPr>
            </w:pPr>
            <w:r w:rsidRPr="00545EC0">
              <w:rPr>
                <w:rFonts w:cs="Arial"/>
                <w:szCs w:val="20"/>
              </w:rPr>
              <w:t>Ministrstvo za notranje zadeve</w:t>
            </w:r>
          </w:p>
        </w:tc>
      </w:tr>
      <w:tr w:rsidR="00D928DC" w:rsidRPr="00545EC0" w14:paraId="04EB8169" w14:textId="77777777" w:rsidTr="002B231A">
        <w:trPr>
          <w:trHeight w:val="290"/>
        </w:trPr>
        <w:tc>
          <w:tcPr>
            <w:tcW w:w="1640" w:type="dxa"/>
            <w:shd w:val="clear" w:color="auto" w:fill="auto"/>
            <w:noWrap/>
            <w:vAlign w:val="center"/>
            <w:hideMark/>
          </w:tcPr>
          <w:p w14:paraId="06884342" w14:textId="672F2850" w:rsidR="00D928DC" w:rsidRPr="00545EC0" w:rsidRDefault="00663EA3" w:rsidP="00720C99">
            <w:pPr>
              <w:overflowPunct/>
              <w:autoSpaceDE/>
              <w:autoSpaceDN/>
              <w:adjustRightInd/>
              <w:spacing w:line="276" w:lineRule="auto"/>
              <w:textAlignment w:val="auto"/>
              <w:rPr>
                <w:rFonts w:cs="Arial"/>
                <w:szCs w:val="20"/>
              </w:rPr>
            </w:pPr>
            <w:r>
              <w:rPr>
                <w:rFonts w:cs="Arial"/>
                <w:szCs w:val="20"/>
              </w:rPr>
              <w:t>MNVP</w:t>
            </w:r>
          </w:p>
        </w:tc>
        <w:tc>
          <w:tcPr>
            <w:tcW w:w="6834" w:type="dxa"/>
            <w:shd w:val="clear" w:color="auto" w:fill="auto"/>
            <w:noWrap/>
            <w:vAlign w:val="center"/>
            <w:hideMark/>
          </w:tcPr>
          <w:p w14:paraId="3488F353" w14:textId="5295726A" w:rsidR="00D928DC" w:rsidRPr="00545EC0" w:rsidRDefault="00D928DC" w:rsidP="00663EA3">
            <w:pPr>
              <w:overflowPunct/>
              <w:autoSpaceDE/>
              <w:autoSpaceDN/>
              <w:adjustRightInd/>
              <w:spacing w:line="276" w:lineRule="auto"/>
              <w:jc w:val="left"/>
              <w:textAlignment w:val="auto"/>
              <w:rPr>
                <w:rFonts w:cs="Arial"/>
                <w:szCs w:val="20"/>
              </w:rPr>
            </w:pPr>
            <w:r w:rsidRPr="00545EC0">
              <w:rPr>
                <w:rFonts w:cs="Arial"/>
                <w:szCs w:val="20"/>
              </w:rPr>
              <w:t xml:space="preserve">Ministrstvo za </w:t>
            </w:r>
            <w:r w:rsidR="00663EA3">
              <w:rPr>
                <w:rFonts w:cs="Arial"/>
                <w:szCs w:val="20"/>
              </w:rPr>
              <w:t>naravne vire</w:t>
            </w:r>
            <w:r w:rsidRPr="00545EC0">
              <w:rPr>
                <w:rFonts w:cs="Arial"/>
                <w:szCs w:val="20"/>
              </w:rPr>
              <w:t xml:space="preserve"> in prostor</w:t>
            </w:r>
          </w:p>
        </w:tc>
      </w:tr>
      <w:tr w:rsidR="00D928DC" w:rsidRPr="00545EC0" w14:paraId="33665663" w14:textId="77777777" w:rsidTr="002B231A">
        <w:trPr>
          <w:trHeight w:val="290"/>
        </w:trPr>
        <w:tc>
          <w:tcPr>
            <w:tcW w:w="1640" w:type="dxa"/>
            <w:shd w:val="clear" w:color="auto" w:fill="auto"/>
            <w:noWrap/>
            <w:vAlign w:val="center"/>
            <w:hideMark/>
          </w:tcPr>
          <w:p w14:paraId="59D04CD8" w14:textId="3F70F4A8" w:rsidR="00D928DC" w:rsidRPr="00545EC0" w:rsidRDefault="00D928DC" w:rsidP="00B754C4">
            <w:pPr>
              <w:overflowPunct/>
              <w:autoSpaceDE/>
              <w:autoSpaceDN/>
              <w:adjustRightInd/>
              <w:spacing w:line="276" w:lineRule="auto"/>
              <w:textAlignment w:val="auto"/>
              <w:rPr>
                <w:rFonts w:cs="Arial"/>
                <w:szCs w:val="20"/>
              </w:rPr>
            </w:pPr>
            <w:r w:rsidRPr="00545EC0">
              <w:rPr>
                <w:rFonts w:cs="Arial"/>
                <w:szCs w:val="20"/>
              </w:rPr>
              <w:t>M</w:t>
            </w:r>
            <w:r w:rsidR="00B754C4">
              <w:rPr>
                <w:rFonts w:cs="Arial"/>
                <w:szCs w:val="20"/>
              </w:rPr>
              <w:t>OP</w:t>
            </w:r>
          </w:p>
        </w:tc>
        <w:tc>
          <w:tcPr>
            <w:tcW w:w="6834" w:type="dxa"/>
            <w:shd w:val="clear" w:color="auto" w:fill="auto"/>
            <w:noWrap/>
            <w:vAlign w:val="center"/>
            <w:hideMark/>
          </w:tcPr>
          <w:p w14:paraId="2720E10C" w14:textId="5CF81BB5" w:rsidR="00D928DC" w:rsidRPr="00545EC0" w:rsidRDefault="00D928DC" w:rsidP="00B754C4">
            <w:pPr>
              <w:overflowPunct/>
              <w:autoSpaceDE/>
              <w:autoSpaceDN/>
              <w:adjustRightInd/>
              <w:spacing w:line="276" w:lineRule="auto"/>
              <w:jc w:val="left"/>
              <w:textAlignment w:val="auto"/>
              <w:rPr>
                <w:rFonts w:cs="Arial"/>
                <w:szCs w:val="20"/>
              </w:rPr>
            </w:pPr>
            <w:r w:rsidRPr="00545EC0">
              <w:rPr>
                <w:rFonts w:cs="Arial"/>
                <w:szCs w:val="20"/>
              </w:rPr>
              <w:t xml:space="preserve">Ministrstvo </w:t>
            </w:r>
            <w:r w:rsidR="00B754C4">
              <w:rPr>
                <w:rFonts w:cs="Arial"/>
                <w:szCs w:val="20"/>
              </w:rPr>
              <w:t>za okolje in prostor</w:t>
            </w:r>
          </w:p>
        </w:tc>
      </w:tr>
      <w:tr w:rsidR="00B754C4" w:rsidRPr="00545EC0" w14:paraId="3D9C515A" w14:textId="77777777" w:rsidTr="002B231A">
        <w:trPr>
          <w:trHeight w:val="290"/>
        </w:trPr>
        <w:tc>
          <w:tcPr>
            <w:tcW w:w="1640" w:type="dxa"/>
            <w:shd w:val="clear" w:color="auto" w:fill="auto"/>
            <w:noWrap/>
            <w:vAlign w:val="center"/>
          </w:tcPr>
          <w:p w14:paraId="6B37B3B4" w14:textId="48C206FA" w:rsidR="00B754C4" w:rsidRPr="00545EC0" w:rsidRDefault="00B754C4" w:rsidP="00720C99">
            <w:pPr>
              <w:overflowPunct/>
              <w:autoSpaceDE/>
              <w:autoSpaceDN/>
              <w:adjustRightInd/>
              <w:spacing w:line="276" w:lineRule="auto"/>
              <w:textAlignment w:val="auto"/>
              <w:rPr>
                <w:rFonts w:cs="Arial"/>
                <w:szCs w:val="20"/>
              </w:rPr>
            </w:pPr>
            <w:r w:rsidRPr="00545EC0">
              <w:rPr>
                <w:rFonts w:cs="Arial"/>
                <w:szCs w:val="20"/>
              </w:rPr>
              <w:t>MORS</w:t>
            </w:r>
          </w:p>
        </w:tc>
        <w:tc>
          <w:tcPr>
            <w:tcW w:w="6834" w:type="dxa"/>
            <w:shd w:val="clear" w:color="auto" w:fill="auto"/>
            <w:noWrap/>
            <w:vAlign w:val="center"/>
          </w:tcPr>
          <w:p w14:paraId="52F5DFEC" w14:textId="56928BFF" w:rsidR="00B754C4" w:rsidRPr="00545EC0" w:rsidRDefault="00B754C4" w:rsidP="00720C99">
            <w:pPr>
              <w:overflowPunct/>
              <w:autoSpaceDE/>
              <w:autoSpaceDN/>
              <w:adjustRightInd/>
              <w:spacing w:line="276" w:lineRule="auto"/>
              <w:jc w:val="left"/>
              <w:textAlignment w:val="auto"/>
              <w:rPr>
                <w:rFonts w:cs="Arial"/>
                <w:szCs w:val="20"/>
              </w:rPr>
            </w:pPr>
            <w:r w:rsidRPr="00545EC0">
              <w:rPr>
                <w:rFonts w:cs="Arial"/>
                <w:szCs w:val="20"/>
              </w:rPr>
              <w:t>Ministrstvo za obrambo</w:t>
            </w:r>
          </w:p>
        </w:tc>
      </w:tr>
      <w:tr w:rsidR="00B754C4" w:rsidRPr="00545EC0" w14:paraId="47BC70EC" w14:textId="77777777" w:rsidTr="002B231A">
        <w:trPr>
          <w:trHeight w:val="290"/>
        </w:trPr>
        <w:tc>
          <w:tcPr>
            <w:tcW w:w="1640" w:type="dxa"/>
            <w:shd w:val="clear" w:color="auto" w:fill="auto"/>
            <w:noWrap/>
            <w:vAlign w:val="center"/>
            <w:hideMark/>
          </w:tcPr>
          <w:p w14:paraId="780CE350" w14:textId="77777777" w:rsidR="00B754C4" w:rsidRPr="00545EC0" w:rsidRDefault="00B754C4" w:rsidP="00720C99">
            <w:pPr>
              <w:overflowPunct/>
              <w:autoSpaceDE/>
              <w:autoSpaceDN/>
              <w:adjustRightInd/>
              <w:spacing w:line="276" w:lineRule="auto"/>
              <w:textAlignment w:val="auto"/>
              <w:rPr>
                <w:rFonts w:cs="Arial"/>
                <w:szCs w:val="20"/>
              </w:rPr>
            </w:pPr>
            <w:r w:rsidRPr="00545EC0">
              <w:rPr>
                <w:rFonts w:cs="Arial"/>
                <w:szCs w:val="20"/>
              </w:rPr>
              <w:t>MPVT</w:t>
            </w:r>
          </w:p>
        </w:tc>
        <w:tc>
          <w:tcPr>
            <w:tcW w:w="6834" w:type="dxa"/>
            <w:shd w:val="clear" w:color="auto" w:fill="auto"/>
            <w:noWrap/>
            <w:vAlign w:val="center"/>
            <w:hideMark/>
          </w:tcPr>
          <w:p w14:paraId="21795B9E" w14:textId="77777777" w:rsidR="00B754C4" w:rsidRPr="00545EC0" w:rsidRDefault="00B754C4" w:rsidP="00720C99">
            <w:pPr>
              <w:overflowPunct/>
              <w:autoSpaceDE/>
              <w:autoSpaceDN/>
              <w:adjustRightInd/>
              <w:spacing w:line="276" w:lineRule="auto"/>
              <w:jc w:val="left"/>
              <w:textAlignment w:val="auto"/>
              <w:rPr>
                <w:rFonts w:cs="Arial"/>
                <w:szCs w:val="20"/>
              </w:rPr>
            </w:pPr>
            <w:r w:rsidRPr="00545EC0">
              <w:rPr>
                <w:rFonts w:cs="Arial"/>
                <w:szCs w:val="20"/>
              </w:rPr>
              <w:t>močno preoblikovano vodno telo</w:t>
            </w:r>
          </w:p>
        </w:tc>
      </w:tr>
      <w:tr w:rsidR="00B754C4" w:rsidRPr="00545EC0" w14:paraId="580ECDD0" w14:textId="77777777" w:rsidTr="002B231A">
        <w:trPr>
          <w:trHeight w:val="290"/>
        </w:trPr>
        <w:tc>
          <w:tcPr>
            <w:tcW w:w="1640" w:type="dxa"/>
            <w:shd w:val="clear" w:color="auto" w:fill="auto"/>
            <w:noWrap/>
            <w:vAlign w:val="center"/>
            <w:hideMark/>
          </w:tcPr>
          <w:p w14:paraId="2344F43D" w14:textId="77777777" w:rsidR="00B754C4" w:rsidRPr="00545EC0" w:rsidRDefault="00B754C4" w:rsidP="00720C99">
            <w:pPr>
              <w:overflowPunct/>
              <w:autoSpaceDE/>
              <w:autoSpaceDN/>
              <w:adjustRightInd/>
              <w:spacing w:line="276" w:lineRule="auto"/>
              <w:textAlignment w:val="auto"/>
              <w:rPr>
                <w:rFonts w:cs="Arial"/>
                <w:szCs w:val="20"/>
              </w:rPr>
            </w:pPr>
            <w:r w:rsidRPr="00545EC0">
              <w:rPr>
                <w:rFonts w:cs="Arial"/>
                <w:szCs w:val="20"/>
              </w:rPr>
              <w:t>NDK–OSK</w:t>
            </w:r>
          </w:p>
        </w:tc>
        <w:tc>
          <w:tcPr>
            <w:tcW w:w="6834" w:type="dxa"/>
            <w:shd w:val="clear" w:color="auto" w:fill="auto"/>
            <w:noWrap/>
            <w:vAlign w:val="center"/>
            <w:hideMark/>
          </w:tcPr>
          <w:p w14:paraId="275A8E38" w14:textId="77777777" w:rsidR="00B754C4" w:rsidRPr="00545EC0" w:rsidRDefault="00B754C4" w:rsidP="00720C99">
            <w:pPr>
              <w:overflowPunct/>
              <w:autoSpaceDE/>
              <w:autoSpaceDN/>
              <w:adjustRightInd/>
              <w:spacing w:line="276" w:lineRule="auto"/>
              <w:jc w:val="left"/>
              <w:textAlignment w:val="auto"/>
              <w:rPr>
                <w:rFonts w:cs="Arial"/>
                <w:szCs w:val="20"/>
              </w:rPr>
            </w:pPr>
            <w:r w:rsidRPr="00545EC0">
              <w:rPr>
                <w:rFonts w:cs="Arial"/>
                <w:szCs w:val="20"/>
              </w:rPr>
              <w:t>okoljski standard kakovosti - največja dovoljena koncentracija parametra</w:t>
            </w:r>
          </w:p>
        </w:tc>
      </w:tr>
      <w:tr w:rsidR="00B754C4" w:rsidRPr="00545EC0" w14:paraId="22A27749" w14:textId="77777777" w:rsidTr="002B231A">
        <w:trPr>
          <w:trHeight w:val="290"/>
        </w:trPr>
        <w:tc>
          <w:tcPr>
            <w:tcW w:w="1640" w:type="dxa"/>
            <w:shd w:val="clear" w:color="auto" w:fill="auto"/>
            <w:noWrap/>
            <w:vAlign w:val="center"/>
            <w:hideMark/>
          </w:tcPr>
          <w:p w14:paraId="4AFA8BBD" w14:textId="77777777" w:rsidR="00B754C4" w:rsidRPr="00545EC0" w:rsidRDefault="00B754C4" w:rsidP="00720C99">
            <w:pPr>
              <w:overflowPunct/>
              <w:autoSpaceDE/>
              <w:autoSpaceDN/>
              <w:adjustRightInd/>
              <w:spacing w:line="276" w:lineRule="auto"/>
              <w:textAlignment w:val="auto"/>
              <w:rPr>
                <w:rFonts w:cs="Arial"/>
                <w:szCs w:val="20"/>
              </w:rPr>
            </w:pPr>
            <w:r w:rsidRPr="00545EC0">
              <w:rPr>
                <w:rFonts w:cs="Arial"/>
                <w:szCs w:val="20"/>
              </w:rPr>
              <w:t>nQnp</w:t>
            </w:r>
          </w:p>
        </w:tc>
        <w:tc>
          <w:tcPr>
            <w:tcW w:w="6834" w:type="dxa"/>
            <w:shd w:val="clear" w:color="auto" w:fill="auto"/>
            <w:noWrap/>
            <w:vAlign w:val="center"/>
            <w:hideMark/>
          </w:tcPr>
          <w:p w14:paraId="08CFB013" w14:textId="77777777" w:rsidR="00B754C4" w:rsidRPr="00545EC0" w:rsidRDefault="00B754C4" w:rsidP="00720C99">
            <w:pPr>
              <w:overflowPunct/>
              <w:autoSpaceDE/>
              <w:autoSpaceDN/>
              <w:adjustRightInd/>
              <w:spacing w:line="276" w:lineRule="auto"/>
              <w:jc w:val="left"/>
              <w:textAlignment w:val="auto"/>
              <w:rPr>
                <w:rFonts w:cs="Arial"/>
                <w:szCs w:val="20"/>
              </w:rPr>
            </w:pPr>
            <w:r w:rsidRPr="00545EC0">
              <w:rPr>
                <w:rFonts w:cs="Arial"/>
                <w:szCs w:val="20"/>
              </w:rPr>
              <w:t>najmanjši mali pretok v obdobju – dnevno povprečje</w:t>
            </w:r>
          </w:p>
        </w:tc>
      </w:tr>
      <w:tr w:rsidR="00B754C4" w:rsidRPr="00545EC0" w14:paraId="243323B5" w14:textId="77777777" w:rsidTr="002B231A">
        <w:trPr>
          <w:trHeight w:val="290"/>
        </w:trPr>
        <w:tc>
          <w:tcPr>
            <w:tcW w:w="1640" w:type="dxa"/>
            <w:shd w:val="clear" w:color="auto" w:fill="auto"/>
            <w:noWrap/>
            <w:vAlign w:val="center"/>
            <w:hideMark/>
          </w:tcPr>
          <w:p w14:paraId="4DC6EFB4" w14:textId="77777777" w:rsidR="00B754C4" w:rsidRPr="00545EC0" w:rsidRDefault="00B754C4" w:rsidP="00720C99">
            <w:pPr>
              <w:overflowPunct/>
              <w:autoSpaceDE/>
              <w:autoSpaceDN/>
              <w:adjustRightInd/>
              <w:spacing w:line="276" w:lineRule="auto"/>
              <w:textAlignment w:val="auto"/>
              <w:rPr>
                <w:rFonts w:cs="Arial"/>
                <w:szCs w:val="20"/>
              </w:rPr>
            </w:pPr>
            <w:r w:rsidRPr="00545EC0">
              <w:rPr>
                <w:rFonts w:cs="Arial"/>
                <w:szCs w:val="20"/>
              </w:rPr>
              <w:t>NUV</w:t>
            </w:r>
          </w:p>
        </w:tc>
        <w:tc>
          <w:tcPr>
            <w:tcW w:w="6834" w:type="dxa"/>
            <w:shd w:val="clear" w:color="auto" w:fill="auto"/>
            <w:noWrap/>
            <w:vAlign w:val="center"/>
            <w:hideMark/>
          </w:tcPr>
          <w:p w14:paraId="63E6B178" w14:textId="77777777" w:rsidR="00B754C4" w:rsidRPr="00545EC0" w:rsidRDefault="00B754C4" w:rsidP="00720C99">
            <w:pPr>
              <w:overflowPunct/>
              <w:autoSpaceDE/>
              <w:autoSpaceDN/>
              <w:adjustRightInd/>
              <w:spacing w:line="276" w:lineRule="auto"/>
              <w:jc w:val="left"/>
              <w:textAlignment w:val="auto"/>
              <w:rPr>
                <w:rFonts w:cs="Arial"/>
                <w:szCs w:val="20"/>
              </w:rPr>
            </w:pPr>
            <w:r w:rsidRPr="00545EC0">
              <w:rPr>
                <w:rFonts w:cs="Arial"/>
                <w:szCs w:val="20"/>
              </w:rPr>
              <w:t>načrt upravljanja voda na vodnih območjih</w:t>
            </w:r>
          </w:p>
        </w:tc>
      </w:tr>
      <w:tr w:rsidR="00B754C4" w:rsidRPr="00545EC0" w14:paraId="4BA1F337" w14:textId="77777777" w:rsidTr="002B231A">
        <w:trPr>
          <w:trHeight w:val="290"/>
        </w:trPr>
        <w:tc>
          <w:tcPr>
            <w:tcW w:w="1640" w:type="dxa"/>
            <w:shd w:val="clear" w:color="auto" w:fill="auto"/>
            <w:noWrap/>
            <w:vAlign w:val="center"/>
            <w:hideMark/>
          </w:tcPr>
          <w:p w14:paraId="58EDABCC" w14:textId="77777777" w:rsidR="00B754C4" w:rsidRPr="00545EC0" w:rsidRDefault="00B754C4" w:rsidP="00720C99">
            <w:pPr>
              <w:overflowPunct/>
              <w:autoSpaceDE/>
              <w:autoSpaceDN/>
              <w:adjustRightInd/>
              <w:spacing w:line="276" w:lineRule="auto"/>
              <w:textAlignment w:val="auto"/>
              <w:rPr>
                <w:rFonts w:cs="Arial"/>
                <w:szCs w:val="20"/>
              </w:rPr>
            </w:pPr>
            <w:r w:rsidRPr="00545EC0">
              <w:rPr>
                <w:rFonts w:cs="Arial"/>
                <w:szCs w:val="20"/>
              </w:rPr>
              <w:t>OPN</w:t>
            </w:r>
          </w:p>
        </w:tc>
        <w:tc>
          <w:tcPr>
            <w:tcW w:w="6834" w:type="dxa"/>
            <w:shd w:val="clear" w:color="auto" w:fill="auto"/>
            <w:noWrap/>
            <w:vAlign w:val="center"/>
            <w:hideMark/>
          </w:tcPr>
          <w:p w14:paraId="30E4912B" w14:textId="77777777" w:rsidR="00B754C4" w:rsidRPr="00545EC0" w:rsidRDefault="00B754C4" w:rsidP="00720C99">
            <w:pPr>
              <w:overflowPunct/>
              <w:autoSpaceDE/>
              <w:autoSpaceDN/>
              <w:adjustRightInd/>
              <w:spacing w:line="276" w:lineRule="auto"/>
              <w:jc w:val="left"/>
              <w:textAlignment w:val="auto"/>
              <w:rPr>
                <w:rFonts w:cs="Arial"/>
                <w:szCs w:val="20"/>
              </w:rPr>
            </w:pPr>
            <w:r w:rsidRPr="00545EC0">
              <w:rPr>
                <w:rFonts w:cs="Arial"/>
                <w:szCs w:val="20"/>
              </w:rPr>
              <w:t>občinski prostorski načrt</w:t>
            </w:r>
          </w:p>
        </w:tc>
      </w:tr>
      <w:tr w:rsidR="00B754C4" w:rsidRPr="00545EC0" w14:paraId="44D757B6" w14:textId="77777777" w:rsidTr="002B231A">
        <w:trPr>
          <w:trHeight w:val="290"/>
        </w:trPr>
        <w:tc>
          <w:tcPr>
            <w:tcW w:w="1640" w:type="dxa"/>
            <w:shd w:val="clear" w:color="auto" w:fill="auto"/>
            <w:noWrap/>
            <w:vAlign w:val="center"/>
            <w:hideMark/>
          </w:tcPr>
          <w:p w14:paraId="1EFC6198" w14:textId="77777777" w:rsidR="00B754C4" w:rsidRPr="00545EC0" w:rsidRDefault="00B754C4" w:rsidP="00720C99">
            <w:pPr>
              <w:overflowPunct/>
              <w:autoSpaceDE/>
              <w:autoSpaceDN/>
              <w:adjustRightInd/>
              <w:spacing w:line="276" w:lineRule="auto"/>
              <w:textAlignment w:val="auto"/>
              <w:rPr>
                <w:rFonts w:cs="Arial"/>
                <w:szCs w:val="20"/>
              </w:rPr>
            </w:pPr>
            <w:r w:rsidRPr="00545EC0">
              <w:rPr>
                <w:rFonts w:cs="Arial"/>
                <w:szCs w:val="20"/>
              </w:rPr>
              <w:t>OSK</w:t>
            </w:r>
          </w:p>
        </w:tc>
        <w:tc>
          <w:tcPr>
            <w:tcW w:w="6834" w:type="dxa"/>
            <w:shd w:val="clear" w:color="auto" w:fill="auto"/>
            <w:noWrap/>
            <w:vAlign w:val="center"/>
            <w:hideMark/>
          </w:tcPr>
          <w:p w14:paraId="5338CB2D" w14:textId="77777777" w:rsidR="00B754C4" w:rsidRPr="00545EC0" w:rsidRDefault="00B754C4" w:rsidP="00720C99">
            <w:pPr>
              <w:overflowPunct/>
              <w:autoSpaceDE/>
              <w:autoSpaceDN/>
              <w:adjustRightInd/>
              <w:spacing w:line="276" w:lineRule="auto"/>
              <w:jc w:val="left"/>
              <w:textAlignment w:val="auto"/>
              <w:rPr>
                <w:rFonts w:cs="Arial"/>
                <w:szCs w:val="20"/>
              </w:rPr>
            </w:pPr>
            <w:r w:rsidRPr="00545EC0">
              <w:rPr>
                <w:rFonts w:cs="Arial"/>
                <w:szCs w:val="20"/>
              </w:rPr>
              <w:t>okoljski standard kakovosti</w:t>
            </w:r>
          </w:p>
        </w:tc>
      </w:tr>
      <w:tr w:rsidR="00B754C4" w:rsidRPr="00545EC0" w14:paraId="1E25A0F6" w14:textId="77777777" w:rsidTr="002B231A">
        <w:trPr>
          <w:trHeight w:val="290"/>
        </w:trPr>
        <w:tc>
          <w:tcPr>
            <w:tcW w:w="1640" w:type="dxa"/>
            <w:shd w:val="clear" w:color="auto" w:fill="auto"/>
            <w:noWrap/>
            <w:vAlign w:val="center"/>
            <w:hideMark/>
          </w:tcPr>
          <w:p w14:paraId="144CBD35" w14:textId="77777777" w:rsidR="00B754C4" w:rsidRPr="00545EC0" w:rsidRDefault="00B754C4" w:rsidP="00720C99">
            <w:pPr>
              <w:overflowPunct/>
              <w:autoSpaceDE/>
              <w:autoSpaceDN/>
              <w:adjustRightInd/>
              <w:spacing w:line="276" w:lineRule="auto"/>
              <w:textAlignment w:val="auto"/>
              <w:rPr>
                <w:rFonts w:cs="Arial"/>
                <w:szCs w:val="20"/>
              </w:rPr>
            </w:pPr>
            <w:r w:rsidRPr="00545EC0">
              <w:rPr>
                <w:rFonts w:cs="Arial"/>
                <w:szCs w:val="20"/>
              </w:rPr>
              <w:t>OVDOC</w:t>
            </w:r>
          </w:p>
        </w:tc>
        <w:tc>
          <w:tcPr>
            <w:tcW w:w="6834" w:type="dxa"/>
            <w:shd w:val="clear" w:color="auto" w:fill="auto"/>
            <w:noWrap/>
            <w:vAlign w:val="center"/>
            <w:hideMark/>
          </w:tcPr>
          <w:p w14:paraId="5F0356CB" w14:textId="77777777" w:rsidR="00B754C4" w:rsidRPr="00545EC0" w:rsidRDefault="00B754C4" w:rsidP="00720C99">
            <w:pPr>
              <w:overflowPunct/>
              <w:autoSpaceDE/>
              <w:autoSpaceDN/>
              <w:adjustRightInd/>
              <w:spacing w:line="276" w:lineRule="auto"/>
              <w:jc w:val="left"/>
              <w:textAlignment w:val="auto"/>
              <w:rPr>
                <w:rFonts w:cs="Arial"/>
                <w:szCs w:val="20"/>
              </w:rPr>
            </w:pPr>
            <w:r w:rsidRPr="00545EC0">
              <w:rPr>
                <w:rFonts w:cs="Arial"/>
                <w:szCs w:val="20"/>
              </w:rPr>
              <w:t>ocena verjetnosti doseganja okoljskih ciljev</w:t>
            </w:r>
          </w:p>
        </w:tc>
      </w:tr>
      <w:tr w:rsidR="00B754C4" w:rsidRPr="00545EC0" w14:paraId="4532CD04" w14:textId="77777777" w:rsidTr="002B231A">
        <w:trPr>
          <w:trHeight w:val="290"/>
        </w:trPr>
        <w:tc>
          <w:tcPr>
            <w:tcW w:w="1640" w:type="dxa"/>
            <w:shd w:val="clear" w:color="auto" w:fill="auto"/>
            <w:noWrap/>
            <w:vAlign w:val="center"/>
            <w:hideMark/>
          </w:tcPr>
          <w:p w14:paraId="249CB078" w14:textId="77777777" w:rsidR="00B754C4" w:rsidRPr="00545EC0" w:rsidRDefault="00B754C4" w:rsidP="00720C99">
            <w:pPr>
              <w:overflowPunct/>
              <w:autoSpaceDE/>
              <w:autoSpaceDN/>
              <w:adjustRightInd/>
              <w:spacing w:line="276" w:lineRule="auto"/>
              <w:textAlignment w:val="auto"/>
              <w:rPr>
                <w:rFonts w:cs="Arial"/>
                <w:szCs w:val="20"/>
              </w:rPr>
            </w:pPr>
            <w:r w:rsidRPr="00545EC0">
              <w:rPr>
                <w:rFonts w:cs="Arial"/>
                <w:szCs w:val="20"/>
              </w:rPr>
              <w:t>OVE</w:t>
            </w:r>
          </w:p>
        </w:tc>
        <w:tc>
          <w:tcPr>
            <w:tcW w:w="6834" w:type="dxa"/>
            <w:shd w:val="clear" w:color="auto" w:fill="auto"/>
            <w:noWrap/>
            <w:vAlign w:val="center"/>
            <w:hideMark/>
          </w:tcPr>
          <w:p w14:paraId="2A2AC0CA" w14:textId="77777777" w:rsidR="00B754C4" w:rsidRPr="00545EC0" w:rsidRDefault="00B754C4" w:rsidP="00720C99">
            <w:pPr>
              <w:overflowPunct/>
              <w:autoSpaceDE/>
              <w:autoSpaceDN/>
              <w:adjustRightInd/>
              <w:spacing w:line="276" w:lineRule="auto"/>
              <w:jc w:val="left"/>
              <w:textAlignment w:val="auto"/>
              <w:rPr>
                <w:rFonts w:cs="Arial"/>
                <w:szCs w:val="20"/>
              </w:rPr>
            </w:pPr>
            <w:r w:rsidRPr="00545EC0">
              <w:rPr>
                <w:rFonts w:cs="Arial"/>
                <w:szCs w:val="20"/>
              </w:rPr>
              <w:t>obnovljivi viri energije</w:t>
            </w:r>
          </w:p>
        </w:tc>
      </w:tr>
      <w:tr w:rsidR="00B754C4" w:rsidRPr="00545EC0" w14:paraId="751AFE70" w14:textId="77777777" w:rsidTr="002B231A">
        <w:trPr>
          <w:trHeight w:val="290"/>
        </w:trPr>
        <w:tc>
          <w:tcPr>
            <w:tcW w:w="1640" w:type="dxa"/>
            <w:shd w:val="clear" w:color="auto" w:fill="auto"/>
            <w:noWrap/>
            <w:vAlign w:val="center"/>
            <w:hideMark/>
          </w:tcPr>
          <w:p w14:paraId="48EFDECE" w14:textId="77777777" w:rsidR="00B754C4" w:rsidRPr="00545EC0" w:rsidRDefault="00B754C4" w:rsidP="00720C99">
            <w:pPr>
              <w:overflowPunct/>
              <w:autoSpaceDE/>
              <w:autoSpaceDN/>
              <w:adjustRightInd/>
              <w:spacing w:line="276" w:lineRule="auto"/>
              <w:textAlignment w:val="auto"/>
              <w:rPr>
                <w:rFonts w:cs="Arial"/>
                <w:szCs w:val="20"/>
              </w:rPr>
            </w:pPr>
            <w:r w:rsidRPr="00545EC0">
              <w:rPr>
                <w:rFonts w:cs="Arial"/>
                <w:szCs w:val="20"/>
              </w:rPr>
              <w:t>PE</w:t>
            </w:r>
          </w:p>
        </w:tc>
        <w:tc>
          <w:tcPr>
            <w:tcW w:w="6834" w:type="dxa"/>
            <w:shd w:val="clear" w:color="auto" w:fill="auto"/>
            <w:noWrap/>
            <w:vAlign w:val="center"/>
            <w:hideMark/>
          </w:tcPr>
          <w:p w14:paraId="35436233" w14:textId="77777777" w:rsidR="00B754C4" w:rsidRPr="00545EC0" w:rsidRDefault="00B754C4" w:rsidP="00720C99">
            <w:pPr>
              <w:overflowPunct/>
              <w:autoSpaceDE/>
              <w:autoSpaceDN/>
              <w:adjustRightInd/>
              <w:spacing w:line="276" w:lineRule="auto"/>
              <w:jc w:val="left"/>
              <w:textAlignment w:val="auto"/>
              <w:rPr>
                <w:rFonts w:cs="Arial"/>
                <w:szCs w:val="20"/>
              </w:rPr>
            </w:pPr>
            <w:r w:rsidRPr="00545EC0">
              <w:rPr>
                <w:rFonts w:cs="Arial"/>
                <w:szCs w:val="20"/>
              </w:rPr>
              <w:t>populacijski ekvivalent</w:t>
            </w:r>
          </w:p>
        </w:tc>
      </w:tr>
      <w:tr w:rsidR="00B754C4" w:rsidRPr="00545EC0" w14:paraId="5313BF47" w14:textId="77777777" w:rsidTr="002B231A">
        <w:trPr>
          <w:trHeight w:val="290"/>
        </w:trPr>
        <w:tc>
          <w:tcPr>
            <w:tcW w:w="1640" w:type="dxa"/>
            <w:shd w:val="clear" w:color="auto" w:fill="auto"/>
            <w:noWrap/>
            <w:vAlign w:val="center"/>
            <w:hideMark/>
          </w:tcPr>
          <w:p w14:paraId="27A00C92" w14:textId="77777777" w:rsidR="00B754C4" w:rsidRPr="00545EC0" w:rsidRDefault="00B754C4" w:rsidP="00720C99">
            <w:pPr>
              <w:overflowPunct/>
              <w:autoSpaceDE/>
              <w:autoSpaceDN/>
              <w:adjustRightInd/>
              <w:spacing w:line="276" w:lineRule="auto"/>
              <w:textAlignment w:val="auto"/>
              <w:rPr>
                <w:rFonts w:cs="Arial"/>
                <w:szCs w:val="20"/>
              </w:rPr>
            </w:pPr>
            <w:r w:rsidRPr="00545EC0">
              <w:rPr>
                <w:rFonts w:cs="Arial"/>
                <w:szCs w:val="20"/>
              </w:rPr>
              <w:t>PUN2000</w:t>
            </w:r>
          </w:p>
        </w:tc>
        <w:tc>
          <w:tcPr>
            <w:tcW w:w="6834" w:type="dxa"/>
            <w:shd w:val="clear" w:color="auto" w:fill="auto"/>
            <w:noWrap/>
            <w:vAlign w:val="center"/>
            <w:hideMark/>
          </w:tcPr>
          <w:p w14:paraId="420EF682" w14:textId="77777777" w:rsidR="00B754C4" w:rsidRPr="00545EC0" w:rsidRDefault="00B754C4" w:rsidP="00720C99">
            <w:pPr>
              <w:overflowPunct/>
              <w:autoSpaceDE/>
              <w:autoSpaceDN/>
              <w:adjustRightInd/>
              <w:spacing w:line="276" w:lineRule="auto"/>
              <w:jc w:val="left"/>
              <w:textAlignment w:val="auto"/>
              <w:rPr>
                <w:rFonts w:cs="Arial"/>
                <w:szCs w:val="20"/>
              </w:rPr>
            </w:pPr>
            <w:r w:rsidRPr="00545EC0">
              <w:rPr>
                <w:rFonts w:cs="Arial"/>
                <w:szCs w:val="20"/>
              </w:rPr>
              <w:t>Operativni program upravljanja z območji Natura 2000 v Sloveniji 2014–2020</w:t>
            </w:r>
          </w:p>
        </w:tc>
      </w:tr>
      <w:tr w:rsidR="00B754C4" w:rsidRPr="00545EC0" w14:paraId="560F13FB" w14:textId="77777777" w:rsidTr="002B231A">
        <w:trPr>
          <w:trHeight w:val="290"/>
        </w:trPr>
        <w:tc>
          <w:tcPr>
            <w:tcW w:w="1640" w:type="dxa"/>
            <w:shd w:val="clear" w:color="auto" w:fill="auto"/>
            <w:noWrap/>
            <w:vAlign w:val="center"/>
            <w:hideMark/>
          </w:tcPr>
          <w:p w14:paraId="379DEFC5" w14:textId="77777777" w:rsidR="00B754C4" w:rsidRPr="00545EC0" w:rsidRDefault="00B754C4" w:rsidP="00720C99">
            <w:pPr>
              <w:overflowPunct/>
              <w:autoSpaceDE/>
              <w:autoSpaceDN/>
              <w:adjustRightInd/>
              <w:spacing w:line="276" w:lineRule="auto"/>
              <w:textAlignment w:val="auto"/>
              <w:rPr>
                <w:rFonts w:cs="Arial"/>
                <w:szCs w:val="20"/>
              </w:rPr>
            </w:pPr>
            <w:r w:rsidRPr="00545EC0">
              <w:rPr>
                <w:rFonts w:cs="Arial"/>
                <w:szCs w:val="20"/>
              </w:rPr>
              <w:t>Qes</w:t>
            </w:r>
          </w:p>
        </w:tc>
        <w:tc>
          <w:tcPr>
            <w:tcW w:w="6834" w:type="dxa"/>
            <w:shd w:val="clear" w:color="auto" w:fill="auto"/>
            <w:noWrap/>
            <w:vAlign w:val="center"/>
            <w:hideMark/>
          </w:tcPr>
          <w:p w14:paraId="41041E66" w14:textId="77777777" w:rsidR="00B754C4" w:rsidRPr="00545EC0" w:rsidRDefault="00B754C4" w:rsidP="00720C99">
            <w:pPr>
              <w:overflowPunct/>
              <w:autoSpaceDE/>
              <w:autoSpaceDN/>
              <w:adjustRightInd/>
              <w:spacing w:line="276" w:lineRule="auto"/>
              <w:jc w:val="left"/>
              <w:textAlignment w:val="auto"/>
              <w:rPr>
                <w:rFonts w:cs="Arial"/>
                <w:szCs w:val="20"/>
              </w:rPr>
            </w:pPr>
            <w:r w:rsidRPr="00545EC0">
              <w:rPr>
                <w:rFonts w:cs="Arial"/>
                <w:szCs w:val="20"/>
              </w:rPr>
              <w:t>ekološko sprejemljiv pretok</w:t>
            </w:r>
          </w:p>
        </w:tc>
      </w:tr>
      <w:tr w:rsidR="00B754C4" w:rsidRPr="00545EC0" w14:paraId="3C48AE15" w14:textId="77777777" w:rsidTr="002B231A">
        <w:trPr>
          <w:trHeight w:val="290"/>
        </w:trPr>
        <w:tc>
          <w:tcPr>
            <w:tcW w:w="1640" w:type="dxa"/>
            <w:shd w:val="clear" w:color="auto" w:fill="auto"/>
            <w:noWrap/>
            <w:vAlign w:val="center"/>
            <w:hideMark/>
          </w:tcPr>
          <w:p w14:paraId="1B7E77BA" w14:textId="77777777" w:rsidR="00B754C4" w:rsidRPr="00545EC0" w:rsidRDefault="00B754C4" w:rsidP="00720C99">
            <w:pPr>
              <w:overflowPunct/>
              <w:autoSpaceDE/>
              <w:autoSpaceDN/>
              <w:adjustRightInd/>
              <w:spacing w:line="276" w:lineRule="auto"/>
              <w:textAlignment w:val="auto"/>
              <w:rPr>
                <w:rFonts w:cs="Arial"/>
                <w:szCs w:val="20"/>
              </w:rPr>
            </w:pPr>
            <w:r w:rsidRPr="00545EC0">
              <w:rPr>
                <w:rFonts w:cs="Arial"/>
                <w:szCs w:val="20"/>
              </w:rPr>
              <w:t>RC</w:t>
            </w:r>
          </w:p>
        </w:tc>
        <w:tc>
          <w:tcPr>
            <w:tcW w:w="6834" w:type="dxa"/>
            <w:shd w:val="clear" w:color="auto" w:fill="auto"/>
            <w:noWrap/>
            <w:vAlign w:val="center"/>
            <w:hideMark/>
          </w:tcPr>
          <w:p w14:paraId="5DC3D17E" w14:textId="77777777" w:rsidR="00B754C4" w:rsidRPr="00545EC0" w:rsidRDefault="00B754C4" w:rsidP="00720C99">
            <w:pPr>
              <w:overflowPunct/>
              <w:autoSpaceDE/>
              <w:autoSpaceDN/>
              <w:adjustRightInd/>
              <w:spacing w:line="276" w:lineRule="auto"/>
              <w:jc w:val="left"/>
              <w:textAlignment w:val="auto"/>
              <w:rPr>
                <w:rFonts w:cs="Arial"/>
                <w:szCs w:val="20"/>
              </w:rPr>
            </w:pPr>
            <w:r w:rsidRPr="00545EC0">
              <w:rPr>
                <w:rFonts w:cs="Arial"/>
                <w:szCs w:val="20"/>
              </w:rPr>
              <w:t>regijski center</w:t>
            </w:r>
          </w:p>
        </w:tc>
      </w:tr>
      <w:tr w:rsidR="00B754C4" w:rsidRPr="00545EC0" w14:paraId="0D7D0D79" w14:textId="77777777" w:rsidTr="002B231A">
        <w:trPr>
          <w:cantSplit/>
          <w:trHeight w:val="290"/>
        </w:trPr>
        <w:tc>
          <w:tcPr>
            <w:tcW w:w="1640" w:type="dxa"/>
            <w:shd w:val="clear" w:color="auto" w:fill="auto"/>
            <w:noWrap/>
            <w:vAlign w:val="center"/>
            <w:hideMark/>
          </w:tcPr>
          <w:p w14:paraId="4B4B3744" w14:textId="77777777" w:rsidR="00B754C4" w:rsidRPr="00545EC0" w:rsidRDefault="00B754C4" w:rsidP="00720C99">
            <w:pPr>
              <w:overflowPunct/>
              <w:autoSpaceDE/>
              <w:autoSpaceDN/>
              <w:adjustRightInd/>
              <w:spacing w:line="276" w:lineRule="auto"/>
              <w:textAlignment w:val="auto"/>
              <w:rPr>
                <w:rFonts w:cs="Arial"/>
                <w:szCs w:val="20"/>
              </w:rPr>
            </w:pPr>
            <w:r w:rsidRPr="00545EC0">
              <w:rPr>
                <w:rFonts w:cs="Arial"/>
                <w:szCs w:val="20"/>
              </w:rPr>
              <w:t>RS</w:t>
            </w:r>
          </w:p>
        </w:tc>
        <w:tc>
          <w:tcPr>
            <w:tcW w:w="6834" w:type="dxa"/>
            <w:shd w:val="clear" w:color="auto" w:fill="auto"/>
            <w:noWrap/>
            <w:vAlign w:val="center"/>
            <w:hideMark/>
          </w:tcPr>
          <w:p w14:paraId="1F940B2A" w14:textId="77777777" w:rsidR="00B754C4" w:rsidRPr="00545EC0" w:rsidRDefault="00B754C4" w:rsidP="00720C99">
            <w:pPr>
              <w:overflowPunct/>
              <w:autoSpaceDE/>
              <w:autoSpaceDN/>
              <w:adjustRightInd/>
              <w:spacing w:line="276" w:lineRule="auto"/>
              <w:jc w:val="left"/>
              <w:textAlignment w:val="auto"/>
              <w:rPr>
                <w:rFonts w:cs="Arial"/>
                <w:szCs w:val="20"/>
              </w:rPr>
            </w:pPr>
            <w:r w:rsidRPr="00545EC0">
              <w:rPr>
                <w:rFonts w:cs="Arial"/>
                <w:szCs w:val="20"/>
              </w:rPr>
              <w:t>Republika Slovenija</w:t>
            </w:r>
          </w:p>
        </w:tc>
      </w:tr>
      <w:tr w:rsidR="00B754C4" w:rsidRPr="00545EC0" w14:paraId="6666DADA" w14:textId="77777777" w:rsidTr="002B231A">
        <w:trPr>
          <w:trHeight w:val="290"/>
        </w:trPr>
        <w:tc>
          <w:tcPr>
            <w:tcW w:w="1640" w:type="dxa"/>
            <w:shd w:val="clear" w:color="auto" w:fill="auto"/>
            <w:noWrap/>
            <w:vAlign w:val="center"/>
            <w:hideMark/>
          </w:tcPr>
          <w:p w14:paraId="117A8BD0" w14:textId="77777777" w:rsidR="00B754C4" w:rsidRPr="00545EC0" w:rsidRDefault="00B754C4" w:rsidP="00720C99">
            <w:pPr>
              <w:overflowPunct/>
              <w:autoSpaceDE/>
              <w:autoSpaceDN/>
              <w:adjustRightInd/>
              <w:spacing w:line="276" w:lineRule="auto"/>
              <w:jc w:val="left"/>
              <w:textAlignment w:val="auto"/>
              <w:rPr>
                <w:rFonts w:cs="Arial"/>
                <w:szCs w:val="20"/>
              </w:rPr>
            </w:pPr>
            <w:r w:rsidRPr="00545EC0">
              <w:rPr>
                <w:rFonts w:cs="Arial"/>
                <w:szCs w:val="20"/>
              </w:rPr>
              <w:t>SMEIH</w:t>
            </w:r>
          </w:p>
        </w:tc>
        <w:tc>
          <w:tcPr>
            <w:tcW w:w="6834" w:type="dxa"/>
            <w:shd w:val="clear" w:color="auto" w:fill="auto"/>
            <w:noWrap/>
            <w:vAlign w:val="center"/>
            <w:hideMark/>
          </w:tcPr>
          <w:p w14:paraId="25526E86" w14:textId="77777777" w:rsidR="00B754C4" w:rsidRPr="00545EC0" w:rsidRDefault="00B754C4" w:rsidP="00720C99">
            <w:pPr>
              <w:overflowPunct/>
              <w:autoSpaceDE/>
              <w:autoSpaceDN/>
              <w:adjustRightInd/>
              <w:spacing w:line="276" w:lineRule="auto"/>
              <w:jc w:val="left"/>
              <w:textAlignment w:val="auto"/>
              <w:rPr>
                <w:rFonts w:cs="Arial"/>
                <w:szCs w:val="20"/>
              </w:rPr>
            </w:pPr>
            <w:r w:rsidRPr="00545EC0">
              <w:rPr>
                <w:rFonts w:cs="Arial"/>
                <w:szCs w:val="20"/>
              </w:rPr>
              <w:t>slovenski multimetrijski indeks</w:t>
            </w:r>
          </w:p>
        </w:tc>
      </w:tr>
      <w:tr w:rsidR="00B754C4" w:rsidRPr="00545EC0" w14:paraId="24E2300B" w14:textId="77777777" w:rsidTr="002B231A">
        <w:trPr>
          <w:trHeight w:val="290"/>
        </w:trPr>
        <w:tc>
          <w:tcPr>
            <w:tcW w:w="1640" w:type="dxa"/>
            <w:shd w:val="clear" w:color="auto" w:fill="auto"/>
            <w:noWrap/>
            <w:vAlign w:val="center"/>
            <w:hideMark/>
          </w:tcPr>
          <w:p w14:paraId="12E6C4AD" w14:textId="77777777" w:rsidR="00B754C4" w:rsidRPr="00545EC0" w:rsidRDefault="00B754C4" w:rsidP="00720C99">
            <w:pPr>
              <w:overflowPunct/>
              <w:autoSpaceDE/>
              <w:autoSpaceDN/>
              <w:adjustRightInd/>
              <w:spacing w:line="276" w:lineRule="auto"/>
              <w:textAlignment w:val="auto"/>
              <w:rPr>
                <w:rFonts w:cs="Arial"/>
                <w:szCs w:val="20"/>
              </w:rPr>
            </w:pPr>
            <w:r w:rsidRPr="00545EC0">
              <w:rPr>
                <w:rFonts w:cs="Arial"/>
                <w:szCs w:val="20"/>
              </w:rPr>
              <w:t>SURS</w:t>
            </w:r>
          </w:p>
        </w:tc>
        <w:tc>
          <w:tcPr>
            <w:tcW w:w="6834" w:type="dxa"/>
            <w:shd w:val="clear" w:color="auto" w:fill="auto"/>
            <w:noWrap/>
            <w:vAlign w:val="center"/>
            <w:hideMark/>
          </w:tcPr>
          <w:p w14:paraId="3A13CE68" w14:textId="77777777" w:rsidR="00B754C4" w:rsidRPr="00545EC0" w:rsidRDefault="00B754C4" w:rsidP="00720C99">
            <w:pPr>
              <w:overflowPunct/>
              <w:autoSpaceDE/>
              <w:autoSpaceDN/>
              <w:adjustRightInd/>
              <w:spacing w:line="276" w:lineRule="auto"/>
              <w:jc w:val="left"/>
              <w:textAlignment w:val="auto"/>
              <w:rPr>
                <w:rFonts w:cs="Arial"/>
                <w:szCs w:val="20"/>
              </w:rPr>
            </w:pPr>
            <w:r w:rsidRPr="00545EC0">
              <w:rPr>
                <w:rFonts w:cs="Arial"/>
                <w:szCs w:val="20"/>
              </w:rPr>
              <w:t>Statistični urad Republike Slovenije</w:t>
            </w:r>
          </w:p>
        </w:tc>
      </w:tr>
      <w:tr w:rsidR="00B754C4" w:rsidRPr="00545EC0" w14:paraId="752F954E" w14:textId="77777777" w:rsidTr="002B231A">
        <w:trPr>
          <w:trHeight w:val="290"/>
        </w:trPr>
        <w:tc>
          <w:tcPr>
            <w:tcW w:w="1640" w:type="dxa"/>
            <w:shd w:val="clear" w:color="auto" w:fill="auto"/>
            <w:noWrap/>
            <w:vAlign w:val="center"/>
            <w:hideMark/>
          </w:tcPr>
          <w:p w14:paraId="1459DBAF" w14:textId="77777777" w:rsidR="00B754C4" w:rsidRPr="00545EC0" w:rsidRDefault="00B754C4" w:rsidP="00720C99">
            <w:pPr>
              <w:overflowPunct/>
              <w:autoSpaceDE/>
              <w:autoSpaceDN/>
              <w:adjustRightInd/>
              <w:spacing w:line="276" w:lineRule="auto"/>
              <w:textAlignment w:val="auto"/>
              <w:rPr>
                <w:rFonts w:cs="Arial"/>
                <w:szCs w:val="20"/>
              </w:rPr>
            </w:pPr>
            <w:r w:rsidRPr="00545EC0">
              <w:rPr>
                <w:rFonts w:cs="Arial"/>
                <w:szCs w:val="20"/>
              </w:rPr>
              <w:t>UVT</w:t>
            </w:r>
          </w:p>
        </w:tc>
        <w:tc>
          <w:tcPr>
            <w:tcW w:w="6834" w:type="dxa"/>
            <w:shd w:val="clear" w:color="auto" w:fill="auto"/>
            <w:noWrap/>
            <w:vAlign w:val="center"/>
            <w:hideMark/>
          </w:tcPr>
          <w:p w14:paraId="564D7934" w14:textId="77777777" w:rsidR="00B754C4" w:rsidRPr="00545EC0" w:rsidRDefault="00B754C4" w:rsidP="00720C99">
            <w:pPr>
              <w:overflowPunct/>
              <w:autoSpaceDE/>
              <w:autoSpaceDN/>
              <w:adjustRightInd/>
              <w:spacing w:line="276" w:lineRule="auto"/>
              <w:jc w:val="left"/>
              <w:textAlignment w:val="auto"/>
              <w:rPr>
                <w:rFonts w:cs="Arial"/>
                <w:szCs w:val="20"/>
              </w:rPr>
            </w:pPr>
            <w:r w:rsidRPr="00545EC0">
              <w:rPr>
                <w:rFonts w:cs="Arial"/>
                <w:szCs w:val="20"/>
              </w:rPr>
              <w:t>umetno vodno telo</w:t>
            </w:r>
          </w:p>
        </w:tc>
      </w:tr>
      <w:tr w:rsidR="00B754C4" w:rsidRPr="00545EC0" w14:paraId="06C2B82A" w14:textId="77777777" w:rsidTr="002B231A">
        <w:trPr>
          <w:trHeight w:val="290"/>
        </w:trPr>
        <w:tc>
          <w:tcPr>
            <w:tcW w:w="1640" w:type="dxa"/>
            <w:shd w:val="clear" w:color="auto" w:fill="auto"/>
            <w:noWrap/>
            <w:vAlign w:val="center"/>
            <w:hideMark/>
          </w:tcPr>
          <w:p w14:paraId="3D7FD43C" w14:textId="77777777" w:rsidR="00B754C4" w:rsidRPr="00545EC0" w:rsidRDefault="00B754C4" w:rsidP="00720C99">
            <w:pPr>
              <w:overflowPunct/>
              <w:autoSpaceDE/>
              <w:autoSpaceDN/>
              <w:adjustRightInd/>
              <w:spacing w:line="276" w:lineRule="auto"/>
              <w:textAlignment w:val="auto"/>
              <w:rPr>
                <w:rFonts w:cs="Arial"/>
                <w:szCs w:val="20"/>
              </w:rPr>
            </w:pPr>
            <w:r w:rsidRPr="00545EC0">
              <w:rPr>
                <w:rFonts w:cs="Arial"/>
                <w:szCs w:val="20"/>
              </w:rPr>
              <w:t>VO</w:t>
            </w:r>
          </w:p>
        </w:tc>
        <w:tc>
          <w:tcPr>
            <w:tcW w:w="6834" w:type="dxa"/>
            <w:shd w:val="clear" w:color="auto" w:fill="auto"/>
            <w:noWrap/>
            <w:vAlign w:val="center"/>
            <w:hideMark/>
          </w:tcPr>
          <w:p w14:paraId="6BFDE839" w14:textId="77777777" w:rsidR="00B754C4" w:rsidRPr="00545EC0" w:rsidRDefault="00B754C4" w:rsidP="00720C99">
            <w:pPr>
              <w:overflowPunct/>
              <w:autoSpaceDE/>
              <w:autoSpaceDN/>
              <w:adjustRightInd/>
              <w:spacing w:line="276" w:lineRule="auto"/>
              <w:jc w:val="left"/>
              <w:textAlignment w:val="auto"/>
              <w:rPr>
                <w:rFonts w:cs="Arial"/>
                <w:szCs w:val="20"/>
              </w:rPr>
            </w:pPr>
            <w:r w:rsidRPr="00545EC0">
              <w:rPr>
                <w:rFonts w:cs="Arial"/>
                <w:szCs w:val="20"/>
              </w:rPr>
              <w:t>vodno območje</w:t>
            </w:r>
          </w:p>
        </w:tc>
      </w:tr>
      <w:tr w:rsidR="00B754C4" w:rsidRPr="00545EC0" w14:paraId="556089C3" w14:textId="77777777" w:rsidTr="002B231A">
        <w:trPr>
          <w:trHeight w:val="290"/>
        </w:trPr>
        <w:tc>
          <w:tcPr>
            <w:tcW w:w="1640" w:type="dxa"/>
            <w:shd w:val="clear" w:color="auto" w:fill="auto"/>
            <w:noWrap/>
            <w:vAlign w:val="center"/>
            <w:hideMark/>
          </w:tcPr>
          <w:p w14:paraId="771FD47C" w14:textId="77777777" w:rsidR="00B754C4" w:rsidRPr="00545EC0" w:rsidRDefault="00B754C4" w:rsidP="00720C99">
            <w:pPr>
              <w:overflowPunct/>
              <w:autoSpaceDE/>
              <w:autoSpaceDN/>
              <w:adjustRightInd/>
              <w:spacing w:line="276" w:lineRule="auto"/>
              <w:textAlignment w:val="auto"/>
              <w:rPr>
                <w:rFonts w:cs="Arial"/>
                <w:szCs w:val="20"/>
              </w:rPr>
            </w:pPr>
            <w:r w:rsidRPr="00545EC0">
              <w:rPr>
                <w:rFonts w:cs="Arial"/>
                <w:szCs w:val="20"/>
              </w:rPr>
              <w:t>VTPodV</w:t>
            </w:r>
          </w:p>
        </w:tc>
        <w:tc>
          <w:tcPr>
            <w:tcW w:w="6834" w:type="dxa"/>
            <w:shd w:val="clear" w:color="auto" w:fill="auto"/>
            <w:noWrap/>
            <w:vAlign w:val="center"/>
            <w:hideMark/>
          </w:tcPr>
          <w:p w14:paraId="1B277FDA" w14:textId="77777777" w:rsidR="00B754C4" w:rsidRPr="00545EC0" w:rsidRDefault="00B754C4" w:rsidP="00720C99">
            <w:pPr>
              <w:overflowPunct/>
              <w:autoSpaceDE/>
              <w:autoSpaceDN/>
              <w:adjustRightInd/>
              <w:spacing w:line="276" w:lineRule="auto"/>
              <w:jc w:val="left"/>
              <w:textAlignment w:val="auto"/>
              <w:rPr>
                <w:rFonts w:cs="Arial"/>
                <w:szCs w:val="20"/>
              </w:rPr>
            </w:pPr>
            <w:r w:rsidRPr="00545EC0">
              <w:rPr>
                <w:rFonts w:cs="Arial"/>
                <w:szCs w:val="20"/>
              </w:rPr>
              <w:t>vodno telo podzemne vode</w:t>
            </w:r>
          </w:p>
        </w:tc>
      </w:tr>
      <w:tr w:rsidR="00B754C4" w:rsidRPr="00545EC0" w14:paraId="3B53F9EF" w14:textId="77777777" w:rsidTr="002B231A">
        <w:trPr>
          <w:trHeight w:val="290"/>
        </w:trPr>
        <w:tc>
          <w:tcPr>
            <w:tcW w:w="1640" w:type="dxa"/>
            <w:shd w:val="clear" w:color="auto" w:fill="auto"/>
            <w:noWrap/>
            <w:vAlign w:val="center"/>
            <w:hideMark/>
          </w:tcPr>
          <w:p w14:paraId="7391E730" w14:textId="77777777" w:rsidR="00B754C4" w:rsidRPr="00545EC0" w:rsidRDefault="00B754C4" w:rsidP="00720C99">
            <w:pPr>
              <w:overflowPunct/>
              <w:autoSpaceDE/>
              <w:autoSpaceDN/>
              <w:adjustRightInd/>
              <w:spacing w:line="276" w:lineRule="auto"/>
              <w:textAlignment w:val="auto"/>
              <w:rPr>
                <w:rFonts w:cs="Arial"/>
                <w:szCs w:val="20"/>
              </w:rPr>
            </w:pPr>
            <w:r w:rsidRPr="00545EC0">
              <w:rPr>
                <w:rFonts w:cs="Arial"/>
                <w:szCs w:val="20"/>
              </w:rPr>
              <w:t>VTPV</w:t>
            </w:r>
          </w:p>
        </w:tc>
        <w:tc>
          <w:tcPr>
            <w:tcW w:w="6834" w:type="dxa"/>
            <w:shd w:val="clear" w:color="auto" w:fill="auto"/>
            <w:noWrap/>
            <w:vAlign w:val="center"/>
            <w:hideMark/>
          </w:tcPr>
          <w:p w14:paraId="3F5F051D" w14:textId="77777777" w:rsidR="00B754C4" w:rsidRPr="00545EC0" w:rsidRDefault="00B754C4" w:rsidP="00720C99">
            <w:pPr>
              <w:overflowPunct/>
              <w:autoSpaceDE/>
              <w:autoSpaceDN/>
              <w:adjustRightInd/>
              <w:spacing w:line="276" w:lineRule="auto"/>
              <w:jc w:val="left"/>
              <w:textAlignment w:val="auto"/>
              <w:rPr>
                <w:rFonts w:cs="Arial"/>
                <w:szCs w:val="20"/>
              </w:rPr>
            </w:pPr>
            <w:r w:rsidRPr="00545EC0">
              <w:rPr>
                <w:rFonts w:cs="Arial"/>
                <w:szCs w:val="20"/>
              </w:rPr>
              <w:t>vodno telo površinske vode</w:t>
            </w:r>
          </w:p>
        </w:tc>
      </w:tr>
      <w:tr w:rsidR="00B754C4" w:rsidRPr="00545EC0" w14:paraId="4A04D2ED" w14:textId="77777777" w:rsidTr="002B231A">
        <w:trPr>
          <w:trHeight w:val="290"/>
        </w:trPr>
        <w:tc>
          <w:tcPr>
            <w:tcW w:w="1640" w:type="dxa"/>
            <w:shd w:val="clear" w:color="auto" w:fill="auto"/>
            <w:noWrap/>
            <w:vAlign w:val="center"/>
            <w:hideMark/>
          </w:tcPr>
          <w:p w14:paraId="1FA81BD8" w14:textId="77777777" w:rsidR="00B754C4" w:rsidRPr="00545EC0" w:rsidRDefault="00B754C4" w:rsidP="00720C99">
            <w:pPr>
              <w:overflowPunct/>
              <w:autoSpaceDE/>
              <w:autoSpaceDN/>
              <w:adjustRightInd/>
              <w:spacing w:line="276" w:lineRule="auto"/>
              <w:textAlignment w:val="auto"/>
              <w:rPr>
                <w:rFonts w:cs="Arial"/>
                <w:szCs w:val="20"/>
              </w:rPr>
            </w:pPr>
            <w:r w:rsidRPr="00545EC0">
              <w:rPr>
                <w:rFonts w:cs="Arial"/>
                <w:szCs w:val="20"/>
              </w:rPr>
              <w:t>ZRSVN</w:t>
            </w:r>
          </w:p>
        </w:tc>
        <w:tc>
          <w:tcPr>
            <w:tcW w:w="6834" w:type="dxa"/>
            <w:shd w:val="clear" w:color="auto" w:fill="auto"/>
            <w:noWrap/>
            <w:vAlign w:val="center"/>
            <w:hideMark/>
          </w:tcPr>
          <w:p w14:paraId="0F40F507" w14:textId="77777777" w:rsidR="00B754C4" w:rsidRPr="00545EC0" w:rsidRDefault="00B754C4" w:rsidP="00720C99">
            <w:pPr>
              <w:overflowPunct/>
              <w:autoSpaceDE/>
              <w:autoSpaceDN/>
              <w:adjustRightInd/>
              <w:spacing w:line="276" w:lineRule="auto"/>
              <w:jc w:val="left"/>
              <w:textAlignment w:val="auto"/>
              <w:rPr>
                <w:rFonts w:cs="Arial"/>
                <w:szCs w:val="20"/>
              </w:rPr>
            </w:pPr>
            <w:r w:rsidRPr="00545EC0">
              <w:rPr>
                <w:rFonts w:cs="Arial"/>
                <w:szCs w:val="20"/>
              </w:rPr>
              <w:t>Zavod Republike Slovenije za varstvo narave</w:t>
            </w:r>
          </w:p>
        </w:tc>
      </w:tr>
      <w:tr w:rsidR="00B754C4" w:rsidRPr="00545EC0" w14:paraId="666EC928" w14:textId="77777777" w:rsidTr="002B231A">
        <w:trPr>
          <w:trHeight w:val="290"/>
        </w:trPr>
        <w:tc>
          <w:tcPr>
            <w:tcW w:w="1640" w:type="dxa"/>
            <w:shd w:val="clear" w:color="auto" w:fill="auto"/>
            <w:noWrap/>
            <w:vAlign w:val="center"/>
            <w:hideMark/>
          </w:tcPr>
          <w:p w14:paraId="361CAF95" w14:textId="77777777" w:rsidR="00B754C4" w:rsidRPr="00545EC0" w:rsidRDefault="00B754C4" w:rsidP="00720C99">
            <w:pPr>
              <w:overflowPunct/>
              <w:autoSpaceDE/>
              <w:autoSpaceDN/>
              <w:adjustRightInd/>
              <w:spacing w:line="276" w:lineRule="auto"/>
              <w:textAlignment w:val="auto"/>
              <w:rPr>
                <w:rFonts w:cs="Arial"/>
                <w:szCs w:val="20"/>
              </w:rPr>
            </w:pPr>
            <w:r w:rsidRPr="00545EC0">
              <w:rPr>
                <w:rFonts w:cs="Arial"/>
                <w:szCs w:val="20"/>
              </w:rPr>
              <w:t>ZZRS</w:t>
            </w:r>
          </w:p>
        </w:tc>
        <w:tc>
          <w:tcPr>
            <w:tcW w:w="6834" w:type="dxa"/>
            <w:shd w:val="clear" w:color="auto" w:fill="auto"/>
            <w:noWrap/>
            <w:vAlign w:val="center"/>
            <w:hideMark/>
          </w:tcPr>
          <w:p w14:paraId="0588A6AC" w14:textId="77777777" w:rsidR="00B754C4" w:rsidRPr="00545EC0" w:rsidRDefault="00B754C4" w:rsidP="00720C99">
            <w:pPr>
              <w:overflowPunct/>
              <w:autoSpaceDE/>
              <w:autoSpaceDN/>
              <w:adjustRightInd/>
              <w:spacing w:line="276" w:lineRule="auto"/>
              <w:jc w:val="left"/>
              <w:textAlignment w:val="auto"/>
              <w:rPr>
                <w:rFonts w:cs="Arial"/>
                <w:szCs w:val="20"/>
              </w:rPr>
            </w:pPr>
            <w:r w:rsidRPr="00545EC0">
              <w:rPr>
                <w:rFonts w:cs="Arial"/>
                <w:szCs w:val="20"/>
              </w:rPr>
              <w:t>Zavod za ribištvo Slovenije</w:t>
            </w:r>
          </w:p>
        </w:tc>
      </w:tr>
    </w:tbl>
    <w:p w14:paraId="6C0EB629" w14:textId="77777777" w:rsidR="00C97744" w:rsidRPr="00545EC0" w:rsidRDefault="00C97744" w:rsidP="0010797F">
      <w:pPr>
        <w:pStyle w:val="Oddelek"/>
        <w:spacing w:before="120"/>
        <w:jc w:val="both"/>
        <w:rPr>
          <w:rFonts w:cs="Arial"/>
          <w:lang w:val="sl-SI"/>
        </w:rPr>
        <w:sectPr w:rsidR="00C97744" w:rsidRPr="00545EC0" w:rsidSect="00627979">
          <w:headerReference w:type="even" r:id="rId15"/>
          <w:headerReference w:type="default" r:id="rId16"/>
          <w:footerReference w:type="default" r:id="rId17"/>
          <w:headerReference w:type="first" r:id="rId18"/>
          <w:footerReference w:type="first" r:id="rId19"/>
          <w:pgSz w:w="11907" w:h="16840" w:code="9"/>
          <w:pgMar w:top="1418" w:right="1418" w:bottom="1418" w:left="1418" w:header="964" w:footer="567" w:gutter="0"/>
          <w:pgNumType w:fmt="upperRoman" w:start="1"/>
          <w:cols w:space="708"/>
          <w:docGrid w:linePitch="299"/>
        </w:sectPr>
      </w:pPr>
    </w:p>
    <w:p w14:paraId="580AD718" w14:textId="3947D6CB" w:rsidR="00FE59C8" w:rsidRPr="00545EC0" w:rsidRDefault="00E7394C" w:rsidP="00FE59C8">
      <w:pPr>
        <w:pStyle w:val="Naslov10"/>
        <w:rPr>
          <w:lang w:val="sl-SI"/>
        </w:rPr>
      </w:pPr>
      <w:bookmarkStart w:id="1" w:name="_Toc90261005"/>
      <w:r w:rsidRPr="00545EC0">
        <w:lastRenderedPageBreak/>
        <w:t>OPIS ADMINISTRATIVNE UREDITVE</w:t>
      </w:r>
      <w:bookmarkEnd w:id="1"/>
    </w:p>
    <w:p w14:paraId="35BE0639" w14:textId="28F921F1" w:rsidR="007B654A" w:rsidRPr="00545EC0" w:rsidRDefault="00FE59C8" w:rsidP="007B654A">
      <w:pPr>
        <w:pStyle w:val="Naslov20"/>
        <w:ind w:left="709" w:hanging="709"/>
        <w:jc w:val="both"/>
        <w:rPr>
          <w:lang w:val="sl-SI"/>
        </w:rPr>
      </w:pPr>
      <w:bookmarkStart w:id="2" w:name="_Toc90261006"/>
      <w:r w:rsidRPr="00545EC0">
        <w:t xml:space="preserve">Podatki o pripravljavcu </w:t>
      </w:r>
      <w:r w:rsidRPr="00545EC0">
        <w:rPr>
          <w:lang w:val="sl-SI"/>
        </w:rPr>
        <w:t>N</w:t>
      </w:r>
      <w:r w:rsidRPr="00545EC0">
        <w:t xml:space="preserve">ačrta upravljanja voda </w:t>
      </w:r>
      <w:r w:rsidRPr="00545EC0">
        <w:rPr>
          <w:lang w:val="sl-SI"/>
        </w:rPr>
        <w:t>na</w:t>
      </w:r>
      <w:r w:rsidRPr="00545EC0">
        <w:t xml:space="preserve"> vodn</w:t>
      </w:r>
      <w:r w:rsidRPr="00545EC0">
        <w:rPr>
          <w:lang w:val="sl-SI"/>
        </w:rPr>
        <w:t>em</w:t>
      </w:r>
      <w:r w:rsidRPr="00545EC0">
        <w:t xml:space="preserve"> območj</w:t>
      </w:r>
      <w:r w:rsidRPr="00545EC0">
        <w:rPr>
          <w:lang w:val="sl-SI"/>
        </w:rPr>
        <w:t>u</w:t>
      </w:r>
      <w:r w:rsidRPr="00545EC0">
        <w:t xml:space="preserve"> Donave za obdobje 20</w:t>
      </w:r>
      <w:r w:rsidRPr="00545EC0">
        <w:rPr>
          <w:lang w:val="sl-SI"/>
        </w:rPr>
        <w:t>22</w:t>
      </w:r>
      <w:r w:rsidRPr="00545EC0">
        <w:t>–202</w:t>
      </w:r>
      <w:r w:rsidRPr="00545EC0">
        <w:rPr>
          <w:lang w:val="sl-SI"/>
        </w:rPr>
        <w:t>7</w:t>
      </w:r>
      <w:bookmarkEnd w:id="2"/>
    </w:p>
    <w:p w14:paraId="6CD226C6" w14:textId="77777777" w:rsidR="00FE59C8" w:rsidRPr="00545EC0" w:rsidRDefault="00FE59C8">
      <w:pPr>
        <w:pStyle w:val="Naslov3"/>
      </w:pPr>
      <w:bookmarkStart w:id="3" w:name="_Toc90261007"/>
      <w:r w:rsidRPr="00545EC0">
        <w:t>Podatki o pripravljavcu načrta upravljanja voda</w:t>
      </w:r>
      <w:bookmarkEnd w:id="3"/>
    </w:p>
    <w:p w14:paraId="55265A10" w14:textId="7B6E0C2B" w:rsidR="00FE59C8" w:rsidRPr="00545EC0" w:rsidRDefault="00FE59C8" w:rsidP="00FE59C8">
      <w:pPr>
        <w:rPr>
          <w:rFonts w:cs="Arial"/>
        </w:rPr>
      </w:pPr>
      <w:r w:rsidRPr="00545EC0">
        <w:rPr>
          <w:rFonts w:cs="Arial"/>
        </w:rPr>
        <w:t xml:space="preserve">Pripravljavec Načrta upravljanja voda na vodnem območju Donave za obdobje 2022-2027 (v nadaljnjem besedilu: NUV III za vodno območje Donave) je Ministrstvo za </w:t>
      </w:r>
      <w:r w:rsidR="00A81717">
        <w:rPr>
          <w:rFonts w:cs="Arial"/>
        </w:rPr>
        <w:t>naravne vire in prostor</w:t>
      </w:r>
      <w:r w:rsidRPr="00545EC0">
        <w:rPr>
          <w:rFonts w:cs="Arial"/>
        </w:rPr>
        <w:t xml:space="preserve"> (v nadaljnjem besedilu: ministrstvo), pristojno za upravljanje voda, ki skladno s 158. členom Zakona o vodah (Uradni list RS, št. 67/02, 2/04 – ZZdrI-A, 41/04 – ZVO-1, 57/08, 57/12, 100/13, 40/14, 56/15 in 65/20) (v nadaljnjem besedilu: zakon o vodah) opravlja upravne in z njimi povezane strokovne naloge iz tega zakona.</w:t>
      </w:r>
    </w:p>
    <w:p w14:paraId="3B59F373" w14:textId="77777777" w:rsidR="00FE59C8" w:rsidRPr="00545EC0" w:rsidRDefault="00FE59C8" w:rsidP="00FE59C8">
      <w:pPr>
        <w:rPr>
          <w:rFonts w:cs="Arial"/>
        </w:rPr>
      </w:pPr>
    </w:p>
    <w:tbl>
      <w:tblPr>
        <w:tblW w:w="0" w:type="auto"/>
        <w:tblLook w:val="01E0" w:firstRow="1" w:lastRow="1" w:firstColumn="1" w:lastColumn="1" w:noHBand="0" w:noVBand="0"/>
      </w:tblPr>
      <w:tblGrid>
        <w:gridCol w:w="3023"/>
        <w:gridCol w:w="6264"/>
      </w:tblGrid>
      <w:tr w:rsidR="003122F4" w:rsidRPr="00545EC0" w14:paraId="1385F0BB" w14:textId="77777777" w:rsidTr="00B506A9">
        <w:tc>
          <w:tcPr>
            <w:tcW w:w="3088" w:type="dxa"/>
            <w:hideMark/>
          </w:tcPr>
          <w:p w14:paraId="04DD623D" w14:textId="77777777" w:rsidR="00FE59C8" w:rsidRPr="00545EC0" w:rsidRDefault="00FE59C8" w:rsidP="00B506A9">
            <w:pPr>
              <w:rPr>
                <w:rFonts w:cs="Arial"/>
                <w:lang w:eastAsia="ja-JP"/>
              </w:rPr>
            </w:pPr>
            <w:r w:rsidRPr="00545EC0">
              <w:rPr>
                <w:rFonts w:cs="Arial"/>
              </w:rPr>
              <w:t>Ime:</w:t>
            </w:r>
          </w:p>
        </w:tc>
        <w:tc>
          <w:tcPr>
            <w:tcW w:w="6406" w:type="dxa"/>
            <w:hideMark/>
          </w:tcPr>
          <w:p w14:paraId="3C0E815F" w14:textId="03887935" w:rsidR="00FE59C8" w:rsidRPr="00545EC0" w:rsidRDefault="00FE59C8" w:rsidP="00A81717">
            <w:pPr>
              <w:rPr>
                <w:rFonts w:cs="Arial"/>
                <w:lang w:eastAsia="ja-JP"/>
              </w:rPr>
            </w:pPr>
            <w:r w:rsidRPr="00545EC0">
              <w:rPr>
                <w:rFonts w:cs="Arial"/>
              </w:rPr>
              <w:t xml:space="preserve">Ministrstvo za </w:t>
            </w:r>
            <w:r w:rsidR="00A81717">
              <w:rPr>
                <w:rFonts w:cs="Arial"/>
              </w:rPr>
              <w:t>naravne vire in prostor</w:t>
            </w:r>
          </w:p>
        </w:tc>
      </w:tr>
      <w:tr w:rsidR="003122F4" w:rsidRPr="00545EC0" w14:paraId="35A85543" w14:textId="77777777" w:rsidTr="00B506A9">
        <w:tc>
          <w:tcPr>
            <w:tcW w:w="3088" w:type="dxa"/>
          </w:tcPr>
          <w:p w14:paraId="1470F9E6" w14:textId="77777777" w:rsidR="00FE59C8" w:rsidRPr="00545EC0" w:rsidRDefault="00FE59C8" w:rsidP="00B506A9">
            <w:pPr>
              <w:rPr>
                <w:rFonts w:cs="Arial"/>
                <w:lang w:eastAsia="ja-JP"/>
              </w:rPr>
            </w:pPr>
          </w:p>
        </w:tc>
        <w:tc>
          <w:tcPr>
            <w:tcW w:w="6406" w:type="dxa"/>
          </w:tcPr>
          <w:p w14:paraId="4D2F965D" w14:textId="77777777" w:rsidR="00FE59C8" w:rsidRPr="00545EC0" w:rsidRDefault="00FE59C8" w:rsidP="00B506A9">
            <w:pPr>
              <w:rPr>
                <w:rFonts w:cs="Arial"/>
                <w:lang w:eastAsia="ja-JP"/>
              </w:rPr>
            </w:pPr>
          </w:p>
        </w:tc>
      </w:tr>
      <w:tr w:rsidR="003122F4" w:rsidRPr="00545EC0" w14:paraId="6633551A" w14:textId="77777777" w:rsidTr="00B506A9">
        <w:tc>
          <w:tcPr>
            <w:tcW w:w="3088" w:type="dxa"/>
            <w:hideMark/>
          </w:tcPr>
          <w:p w14:paraId="15DBBF43" w14:textId="77777777" w:rsidR="00FE59C8" w:rsidRPr="00545EC0" w:rsidRDefault="00FE59C8" w:rsidP="00B506A9">
            <w:pPr>
              <w:rPr>
                <w:rFonts w:cs="Arial"/>
                <w:lang w:eastAsia="ja-JP"/>
              </w:rPr>
            </w:pPr>
            <w:r w:rsidRPr="00545EC0">
              <w:rPr>
                <w:rFonts w:cs="Arial"/>
              </w:rPr>
              <w:t>Naslov:</w:t>
            </w:r>
          </w:p>
        </w:tc>
        <w:tc>
          <w:tcPr>
            <w:tcW w:w="6406" w:type="dxa"/>
            <w:hideMark/>
          </w:tcPr>
          <w:p w14:paraId="2A45319A" w14:textId="77777777" w:rsidR="00FE59C8" w:rsidRPr="00545EC0" w:rsidRDefault="00FE59C8" w:rsidP="00B506A9">
            <w:pPr>
              <w:rPr>
                <w:rFonts w:cs="Arial"/>
              </w:rPr>
            </w:pPr>
            <w:r w:rsidRPr="00545EC0">
              <w:rPr>
                <w:rFonts w:cs="Arial"/>
              </w:rPr>
              <w:t xml:space="preserve">Dunajska cesta 48 </w:t>
            </w:r>
          </w:p>
          <w:p w14:paraId="3B8CA6A1" w14:textId="77777777" w:rsidR="00FE59C8" w:rsidRPr="00545EC0" w:rsidRDefault="00FE59C8" w:rsidP="00B506A9">
            <w:pPr>
              <w:rPr>
                <w:rFonts w:cs="Arial"/>
              </w:rPr>
            </w:pPr>
            <w:r w:rsidRPr="00545EC0">
              <w:rPr>
                <w:rFonts w:cs="Arial"/>
              </w:rPr>
              <w:t>SI-1000 Ljubljana</w:t>
            </w:r>
          </w:p>
          <w:p w14:paraId="1DE1457C" w14:textId="77777777" w:rsidR="00FE59C8" w:rsidRPr="00545EC0" w:rsidRDefault="00FE59C8" w:rsidP="00B506A9">
            <w:pPr>
              <w:rPr>
                <w:rFonts w:cs="Arial"/>
                <w:lang w:eastAsia="ja-JP"/>
              </w:rPr>
            </w:pPr>
            <w:r w:rsidRPr="00545EC0">
              <w:rPr>
                <w:rFonts w:cs="Arial"/>
              </w:rPr>
              <w:t>Slovenija</w:t>
            </w:r>
          </w:p>
        </w:tc>
      </w:tr>
      <w:tr w:rsidR="003122F4" w:rsidRPr="00545EC0" w14:paraId="41FA2F41" w14:textId="77777777" w:rsidTr="00B506A9">
        <w:tc>
          <w:tcPr>
            <w:tcW w:w="3088" w:type="dxa"/>
          </w:tcPr>
          <w:p w14:paraId="5A54A2FB" w14:textId="77777777" w:rsidR="00FE59C8" w:rsidRPr="00545EC0" w:rsidRDefault="00FE59C8" w:rsidP="00B506A9">
            <w:pPr>
              <w:rPr>
                <w:rFonts w:cs="Arial"/>
                <w:lang w:eastAsia="ja-JP"/>
              </w:rPr>
            </w:pPr>
          </w:p>
        </w:tc>
        <w:tc>
          <w:tcPr>
            <w:tcW w:w="6406" w:type="dxa"/>
          </w:tcPr>
          <w:p w14:paraId="7BFD5D88" w14:textId="77777777" w:rsidR="00FE59C8" w:rsidRPr="00545EC0" w:rsidRDefault="00FE59C8" w:rsidP="00B506A9">
            <w:pPr>
              <w:rPr>
                <w:rFonts w:cs="Arial"/>
                <w:lang w:eastAsia="ja-JP"/>
              </w:rPr>
            </w:pPr>
          </w:p>
        </w:tc>
      </w:tr>
      <w:tr w:rsidR="003122F4" w:rsidRPr="00545EC0" w14:paraId="3AAFC71C" w14:textId="77777777" w:rsidTr="00B506A9">
        <w:tc>
          <w:tcPr>
            <w:tcW w:w="3088" w:type="dxa"/>
            <w:hideMark/>
          </w:tcPr>
          <w:p w14:paraId="35F3AC67" w14:textId="77777777" w:rsidR="00FE59C8" w:rsidRPr="00545EC0" w:rsidRDefault="00FE59C8" w:rsidP="00B506A9">
            <w:pPr>
              <w:rPr>
                <w:rFonts w:cs="Arial"/>
                <w:lang w:eastAsia="ja-JP"/>
              </w:rPr>
            </w:pPr>
            <w:r w:rsidRPr="00545EC0">
              <w:rPr>
                <w:rFonts w:cs="Arial"/>
              </w:rPr>
              <w:t>Koda države članice:</w:t>
            </w:r>
          </w:p>
        </w:tc>
        <w:tc>
          <w:tcPr>
            <w:tcW w:w="6406" w:type="dxa"/>
            <w:hideMark/>
          </w:tcPr>
          <w:p w14:paraId="6029B273" w14:textId="77777777" w:rsidR="00FE59C8" w:rsidRPr="00545EC0" w:rsidRDefault="00FE59C8" w:rsidP="00B506A9">
            <w:pPr>
              <w:rPr>
                <w:rFonts w:cs="Arial"/>
                <w:lang w:eastAsia="ja-JP"/>
              </w:rPr>
            </w:pPr>
            <w:r w:rsidRPr="00545EC0">
              <w:rPr>
                <w:rFonts w:cs="Arial"/>
              </w:rPr>
              <w:t>SI</w:t>
            </w:r>
          </w:p>
        </w:tc>
      </w:tr>
      <w:tr w:rsidR="003122F4" w:rsidRPr="00545EC0" w14:paraId="6A58BDF6" w14:textId="77777777" w:rsidTr="00B506A9">
        <w:tc>
          <w:tcPr>
            <w:tcW w:w="3088" w:type="dxa"/>
          </w:tcPr>
          <w:p w14:paraId="04765524" w14:textId="77777777" w:rsidR="00FE59C8" w:rsidRPr="00545EC0" w:rsidRDefault="00FE59C8" w:rsidP="00B506A9">
            <w:pPr>
              <w:rPr>
                <w:rFonts w:cs="Arial"/>
                <w:lang w:eastAsia="ja-JP"/>
              </w:rPr>
            </w:pPr>
          </w:p>
        </w:tc>
        <w:tc>
          <w:tcPr>
            <w:tcW w:w="6406" w:type="dxa"/>
          </w:tcPr>
          <w:p w14:paraId="4AAD02FF" w14:textId="77777777" w:rsidR="00FE59C8" w:rsidRPr="00545EC0" w:rsidRDefault="00FE59C8" w:rsidP="00B506A9">
            <w:pPr>
              <w:rPr>
                <w:rFonts w:cs="Arial"/>
                <w:lang w:eastAsia="ja-JP"/>
              </w:rPr>
            </w:pPr>
          </w:p>
        </w:tc>
      </w:tr>
      <w:tr w:rsidR="003122F4" w:rsidRPr="00545EC0" w14:paraId="3BDE2E1F" w14:textId="77777777" w:rsidTr="00B506A9">
        <w:tc>
          <w:tcPr>
            <w:tcW w:w="3088" w:type="dxa"/>
            <w:hideMark/>
          </w:tcPr>
          <w:p w14:paraId="697C7196" w14:textId="77777777" w:rsidR="00FE59C8" w:rsidRPr="00545EC0" w:rsidRDefault="00FE59C8" w:rsidP="00B506A9">
            <w:pPr>
              <w:rPr>
                <w:rFonts w:cs="Arial"/>
                <w:lang w:eastAsia="ja-JP"/>
              </w:rPr>
            </w:pPr>
            <w:r w:rsidRPr="00545EC0">
              <w:rPr>
                <w:rFonts w:cs="Arial"/>
              </w:rPr>
              <w:t>Spletna stran ministrstva:</w:t>
            </w:r>
          </w:p>
        </w:tc>
        <w:tc>
          <w:tcPr>
            <w:tcW w:w="6406" w:type="dxa"/>
            <w:hideMark/>
          </w:tcPr>
          <w:p w14:paraId="661E84EC" w14:textId="443BBAD1" w:rsidR="00FE59C8" w:rsidRPr="00545EC0" w:rsidRDefault="00D17419" w:rsidP="00B506A9">
            <w:pPr>
              <w:rPr>
                <w:rFonts w:cs="Arial"/>
                <w:lang w:eastAsia="ja-JP"/>
              </w:rPr>
            </w:pPr>
            <w:hyperlink r:id="rId20" w:history="1">
              <w:r w:rsidR="00A81717" w:rsidRPr="00CD10AF">
                <w:rPr>
                  <w:rStyle w:val="Hiperpovezava"/>
                </w:rPr>
                <w:t>http://www.mnvp.gov.si/</w:t>
              </w:r>
            </w:hyperlink>
          </w:p>
        </w:tc>
      </w:tr>
      <w:tr w:rsidR="003122F4" w:rsidRPr="00545EC0" w14:paraId="51DA945D" w14:textId="77777777" w:rsidTr="00B506A9">
        <w:tc>
          <w:tcPr>
            <w:tcW w:w="3088" w:type="dxa"/>
          </w:tcPr>
          <w:p w14:paraId="559C33AD" w14:textId="77777777" w:rsidR="00FE59C8" w:rsidRPr="00545EC0" w:rsidRDefault="00FE59C8" w:rsidP="00B506A9">
            <w:pPr>
              <w:rPr>
                <w:rFonts w:cs="Arial"/>
                <w:lang w:eastAsia="ja-JP"/>
              </w:rPr>
            </w:pPr>
          </w:p>
        </w:tc>
        <w:tc>
          <w:tcPr>
            <w:tcW w:w="6406" w:type="dxa"/>
          </w:tcPr>
          <w:p w14:paraId="64775A93" w14:textId="77777777" w:rsidR="00FE59C8" w:rsidRPr="00545EC0" w:rsidRDefault="00FE59C8" w:rsidP="00B506A9">
            <w:pPr>
              <w:rPr>
                <w:rFonts w:cs="Arial"/>
                <w:lang w:eastAsia="ja-JP"/>
              </w:rPr>
            </w:pPr>
          </w:p>
        </w:tc>
      </w:tr>
      <w:tr w:rsidR="003122F4" w:rsidRPr="00545EC0" w14:paraId="16720398" w14:textId="77777777" w:rsidTr="00B506A9">
        <w:tc>
          <w:tcPr>
            <w:tcW w:w="3088" w:type="dxa"/>
            <w:hideMark/>
          </w:tcPr>
          <w:p w14:paraId="497AA141" w14:textId="77777777" w:rsidR="00FE59C8" w:rsidRPr="00545EC0" w:rsidRDefault="00FE59C8" w:rsidP="00B506A9">
            <w:pPr>
              <w:rPr>
                <w:rFonts w:cs="Arial"/>
                <w:lang w:eastAsia="ja-JP"/>
              </w:rPr>
            </w:pPr>
            <w:r w:rsidRPr="00545EC0">
              <w:rPr>
                <w:rFonts w:cs="Arial"/>
              </w:rPr>
              <w:t>Kontaktni naslov:</w:t>
            </w:r>
          </w:p>
        </w:tc>
        <w:tc>
          <w:tcPr>
            <w:tcW w:w="6406" w:type="dxa"/>
          </w:tcPr>
          <w:p w14:paraId="5AAAE3E2" w14:textId="77777777" w:rsidR="00A81717" w:rsidRDefault="00A81717" w:rsidP="00B506A9">
            <w:pPr>
              <w:rPr>
                <w:rFonts w:cs="Arial"/>
              </w:rPr>
            </w:pPr>
            <w:r w:rsidRPr="00545EC0">
              <w:rPr>
                <w:rFonts w:cs="Arial"/>
              </w:rPr>
              <w:t xml:space="preserve">Ministrstvo za </w:t>
            </w:r>
            <w:r>
              <w:rPr>
                <w:rFonts w:cs="Arial"/>
              </w:rPr>
              <w:t>naravne vire in prostor</w:t>
            </w:r>
            <w:r w:rsidRPr="00545EC0">
              <w:rPr>
                <w:rFonts w:cs="Arial"/>
              </w:rPr>
              <w:t xml:space="preserve"> </w:t>
            </w:r>
          </w:p>
          <w:p w14:paraId="280D3EDB" w14:textId="68F54890" w:rsidR="00FE59C8" w:rsidRPr="00545EC0" w:rsidRDefault="00FE59C8" w:rsidP="00B506A9">
            <w:pPr>
              <w:rPr>
                <w:rFonts w:cs="Arial"/>
              </w:rPr>
            </w:pPr>
            <w:r w:rsidRPr="00545EC0">
              <w:rPr>
                <w:rFonts w:cs="Arial"/>
              </w:rPr>
              <w:t>Dunajska cesta 48</w:t>
            </w:r>
          </w:p>
          <w:p w14:paraId="1F3114DA" w14:textId="77777777" w:rsidR="00FE59C8" w:rsidRPr="00545EC0" w:rsidRDefault="00FE59C8" w:rsidP="00B506A9">
            <w:pPr>
              <w:rPr>
                <w:rFonts w:cs="Arial"/>
              </w:rPr>
            </w:pPr>
            <w:r w:rsidRPr="00545EC0">
              <w:rPr>
                <w:rFonts w:cs="Arial"/>
              </w:rPr>
              <w:t>SI-1000 Ljubljana</w:t>
            </w:r>
          </w:p>
          <w:p w14:paraId="38F9C480" w14:textId="77777777" w:rsidR="00FE59C8" w:rsidRPr="00545EC0" w:rsidRDefault="00FE59C8" w:rsidP="00B506A9">
            <w:pPr>
              <w:rPr>
                <w:rFonts w:cs="Arial"/>
              </w:rPr>
            </w:pPr>
            <w:r w:rsidRPr="00545EC0">
              <w:rPr>
                <w:rFonts w:cs="Arial"/>
              </w:rPr>
              <w:t>Slovenija</w:t>
            </w:r>
          </w:p>
          <w:p w14:paraId="60F447C4" w14:textId="77777777" w:rsidR="00FE59C8" w:rsidRPr="00545EC0" w:rsidRDefault="00FE59C8" w:rsidP="00B506A9">
            <w:pPr>
              <w:rPr>
                <w:rFonts w:cs="Arial"/>
                <w:lang w:eastAsia="ja-JP"/>
              </w:rPr>
            </w:pPr>
          </w:p>
        </w:tc>
      </w:tr>
      <w:tr w:rsidR="00FF7F37" w:rsidRPr="00545EC0" w14:paraId="1ED7069A" w14:textId="77777777" w:rsidTr="00B506A9">
        <w:tc>
          <w:tcPr>
            <w:tcW w:w="3088" w:type="dxa"/>
            <w:hideMark/>
          </w:tcPr>
          <w:p w14:paraId="2F00AC72" w14:textId="77777777" w:rsidR="00FE59C8" w:rsidRPr="00545EC0" w:rsidRDefault="00FE59C8" w:rsidP="00B506A9">
            <w:pPr>
              <w:rPr>
                <w:rFonts w:cs="Arial"/>
                <w:lang w:eastAsia="ja-JP"/>
              </w:rPr>
            </w:pPr>
            <w:r w:rsidRPr="00545EC0">
              <w:rPr>
                <w:rFonts w:cs="Arial"/>
              </w:rPr>
              <w:t>Naslov elektronske pošte:</w:t>
            </w:r>
          </w:p>
        </w:tc>
        <w:tc>
          <w:tcPr>
            <w:tcW w:w="6406" w:type="dxa"/>
            <w:hideMark/>
          </w:tcPr>
          <w:p w14:paraId="47E45D2B" w14:textId="7ED6229A" w:rsidR="00FE59C8" w:rsidRPr="00545EC0" w:rsidRDefault="00D17419" w:rsidP="00A81717">
            <w:pPr>
              <w:rPr>
                <w:rFonts w:cs="Arial"/>
                <w:lang w:eastAsia="ja-JP"/>
              </w:rPr>
            </w:pPr>
            <w:hyperlink r:id="rId21" w:history="1">
              <w:r w:rsidR="00FE59C8" w:rsidRPr="00545EC0">
                <w:rPr>
                  <w:rStyle w:val="Hiperpovezava"/>
                  <w:color w:val="auto"/>
                </w:rPr>
                <w:t>gp.</w:t>
              </w:r>
              <w:r w:rsidR="00A81717">
                <w:rPr>
                  <w:rStyle w:val="Hiperpovezava"/>
                  <w:color w:val="auto"/>
                </w:rPr>
                <w:t>mnvp</w:t>
              </w:r>
              <w:r w:rsidR="00FE59C8" w:rsidRPr="00545EC0">
                <w:rPr>
                  <w:rStyle w:val="Hiperpovezava"/>
                  <w:color w:val="auto"/>
                </w:rPr>
                <w:t>(at)gov.si</w:t>
              </w:r>
            </w:hyperlink>
          </w:p>
        </w:tc>
      </w:tr>
    </w:tbl>
    <w:p w14:paraId="3A24FC77" w14:textId="77777777" w:rsidR="00FE59C8" w:rsidRPr="00545EC0" w:rsidRDefault="00FE59C8" w:rsidP="00FE59C8">
      <w:pPr>
        <w:rPr>
          <w:rFonts w:cs="Arial"/>
        </w:rPr>
      </w:pPr>
    </w:p>
    <w:p w14:paraId="37F635C0" w14:textId="473A06F0" w:rsidR="00FE59C8" w:rsidRPr="00545EC0" w:rsidRDefault="00FE59C8" w:rsidP="00FE59C8">
      <w:pPr>
        <w:rPr>
          <w:rFonts w:cs="Arial"/>
        </w:rPr>
      </w:pPr>
      <w:r w:rsidRPr="00545EC0">
        <w:rPr>
          <w:rFonts w:cs="Arial"/>
        </w:rPr>
        <w:t>Pomembne informacije</w:t>
      </w:r>
      <w:r w:rsidR="00401CE5" w:rsidRPr="00545EC0">
        <w:rPr>
          <w:rFonts w:cs="Arial"/>
        </w:rPr>
        <w:t xml:space="preserve"> o</w:t>
      </w:r>
      <w:r w:rsidRPr="00545EC0">
        <w:rPr>
          <w:rFonts w:cs="Arial"/>
        </w:rPr>
        <w:t xml:space="preserve"> pristojnih organih in načinu pridobitve podatkov so podane v poglavju </w:t>
      </w:r>
      <w:r w:rsidRPr="00545EC0">
        <w:rPr>
          <w:rFonts w:cs="Arial"/>
        </w:rPr>
        <w:fldChar w:fldCharType="begin"/>
      </w:r>
      <w:r w:rsidRPr="00545EC0">
        <w:rPr>
          <w:rFonts w:cs="Arial"/>
        </w:rPr>
        <w:instrText xml:space="preserve"> REF _Ref427315996 \r \h  \* MERGEFORMAT </w:instrText>
      </w:r>
      <w:r w:rsidRPr="00545EC0">
        <w:rPr>
          <w:rFonts w:cs="Arial"/>
        </w:rPr>
      </w:r>
      <w:r w:rsidRPr="00545EC0">
        <w:rPr>
          <w:rFonts w:cs="Arial"/>
        </w:rPr>
        <w:fldChar w:fldCharType="separate"/>
      </w:r>
      <w:r w:rsidR="002F3E43">
        <w:rPr>
          <w:rFonts w:cs="Arial"/>
        </w:rPr>
        <w:t>9</w:t>
      </w:r>
      <w:r w:rsidRPr="00545EC0">
        <w:rPr>
          <w:rFonts w:cs="Arial"/>
        </w:rPr>
        <w:fldChar w:fldCharType="end"/>
      </w:r>
      <w:r w:rsidRPr="00545EC0">
        <w:rPr>
          <w:rFonts w:cs="Arial"/>
        </w:rPr>
        <w:t xml:space="preserve"> (Priloge), in sicer:</w:t>
      </w:r>
    </w:p>
    <w:p w14:paraId="7B78DC64" w14:textId="77777777" w:rsidR="00FE59C8" w:rsidRPr="00545EC0" w:rsidRDefault="00FE59C8" w:rsidP="00FE59C8">
      <w:pPr>
        <w:pStyle w:val="Odstavekseznama"/>
        <w:numPr>
          <w:ilvl w:val="0"/>
          <w:numId w:val="7"/>
        </w:numPr>
        <w:overflowPunct/>
        <w:autoSpaceDE/>
        <w:autoSpaceDN/>
        <w:adjustRightInd/>
        <w:ind w:left="567" w:hanging="207"/>
        <w:contextualSpacing/>
        <w:textAlignment w:val="auto"/>
        <w:rPr>
          <w:rFonts w:cs="Arial"/>
          <w:lang w:val="sl-SI"/>
        </w:rPr>
      </w:pPr>
      <w:r w:rsidRPr="00545EC0">
        <w:rPr>
          <w:rFonts w:cs="Arial"/>
          <w:lang w:val="sl-SI"/>
        </w:rPr>
        <w:t xml:space="preserve">seznam pristojnih organov in način pridobitve dokumentov, na podlagi katerih je bil izdelan načrt </w:t>
      </w:r>
      <w:r w:rsidRPr="00545EC0">
        <w:rPr>
          <w:rFonts w:cs="Arial"/>
          <w:i/>
          <w:lang w:val="sl-SI"/>
        </w:rPr>
        <w:t xml:space="preserve">(poglavje </w:t>
      </w:r>
      <w:r w:rsidRPr="00545EC0">
        <w:rPr>
          <w:rFonts w:cs="Arial"/>
          <w:i/>
          <w:lang w:val="sl-SI"/>
        </w:rPr>
        <w:fldChar w:fldCharType="begin"/>
      </w:r>
      <w:r w:rsidRPr="00545EC0">
        <w:rPr>
          <w:rFonts w:cs="Arial"/>
          <w:i/>
          <w:lang w:val="sl-SI"/>
        </w:rPr>
        <w:instrText xml:space="preserve"> REF _Ref427316071 \r \h  \* MERGEFORMAT </w:instrText>
      </w:r>
      <w:r w:rsidRPr="00545EC0">
        <w:rPr>
          <w:rFonts w:cs="Arial"/>
          <w:i/>
          <w:lang w:val="sl-SI"/>
        </w:rPr>
      </w:r>
      <w:r w:rsidRPr="00545EC0">
        <w:rPr>
          <w:rFonts w:cs="Arial"/>
          <w:i/>
          <w:lang w:val="sl-SI"/>
        </w:rPr>
        <w:fldChar w:fldCharType="separate"/>
      </w:r>
      <w:r w:rsidR="002F3E43">
        <w:rPr>
          <w:rFonts w:cs="Arial"/>
          <w:i/>
          <w:lang w:val="sl-SI"/>
        </w:rPr>
        <w:t>9.3</w:t>
      </w:r>
      <w:r w:rsidRPr="00545EC0">
        <w:rPr>
          <w:rFonts w:cs="Arial"/>
          <w:i/>
          <w:lang w:val="sl-SI"/>
        </w:rPr>
        <w:fldChar w:fldCharType="end"/>
      </w:r>
      <w:r w:rsidRPr="00545EC0">
        <w:rPr>
          <w:rFonts w:cs="Arial"/>
          <w:i/>
          <w:lang w:val="sl-SI"/>
        </w:rPr>
        <w:t>)</w:t>
      </w:r>
      <w:r w:rsidRPr="00545EC0">
        <w:rPr>
          <w:rFonts w:cs="Arial"/>
          <w:lang w:val="sl-SI"/>
        </w:rPr>
        <w:t xml:space="preserve">, </w:t>
      </w:r>
    </w:p>
    <w:p w14:paraId="66ABD9C4" w14:textId="77777777" w:rsidR="00FE59C8" w:rsidRPr="00545EC0" w:rsidRDefault="00FE59C8" w:rsidP="00FE59C8">
      <w:pPr>
        <w:pStyle w:val="Odstavekseznama"/>
        <w:numPr>
          <w:ilvl w:val="0"/>
          <w:numId w:val="7"/>
        </w:numPr>
        <w:overflowPunct/>
        <w:autoSpaceDE/>
        <w:autoSpaceDN/>
        <w:adjustRightInd/>
        <w:ind w:left="567" w:hanging="207"/>
        <w:contextualSpacing/>
        <w:textAlignment w:val="auto"/>
        <w:rPr>
          <w:rFonts w:cs="Arial"/>
          <w:lang w:val="sl-SI"/>
        </w:rPr>
      </w:pPr>
      <w:r w:rsidRPr="00545EC0">
        <w:rPr>
          <w:rFonts w:cs="Arial"/>
          <w:lang w:val="sl-SI"/>
        </w:rPr>
        <w:t xml:space="preserve">seznam naslovov za stike in postopke za pridobitev osnovnih dokumentov strokovnih podlag in informacij ter aktualnih podatkov o monitoringu voda </w:t>
      </w:r>
      <w:r w:rsidRPr="00545EC0">
        <w:rPr>
          <w:rFonts w:cs="Arial"/>
          <w:i/>
          <w:lang w:val="sl-SI"/>
        </w:rPr>
        <w:t xml:space="preserve">(poglavje </w:t>
      </w:r>
      <w:r w:rsidRPr="00545EC0">
        <w:rPr>
          <w:rFonts w:cs="Arial"/>
          <w:i/>
          <w:lang w:val="sl-SI"/>
        </w:rPr>
        <w:fldChar w:fldCharType="begin"/>
      </w:r>
      <w:r w:rsidRPr="00545EC0">
        <w:rPr>
          <w:rFonts w:cs="Arial"/>
          <w:i/>
          <w:lang w:val="sl-SI"/>
        </w:rPr>
        <w:instrText xml:space="preserve"> REF _Ref427316107 \r \h  \* MERGEFORMAT </w:instrText>
      </w:r>
      <w:r w:rsidRPr="00545EC0">
        <w:rPr>
          <w:rFonts w:cs="Arial"/>
          <w:i/>
          <w:lang w:val="sl-SI"/>
        </w:rPr>
      </w:r>
      <w:r w:rsidRPr="00545EC0">
        <w:rPr>
          <w:rFonts w:cs="Arial"/>
          <w:i/>
          <w:lang w:val="sl-SI"/>
        </w:rPr>
        <w:fldChar w:fldCharType="separate"/>
      </w:r>
      <w:r w:rsidR="002F3E43">
        <w:rPr>
          <w:rFonts w:cs="Arial"/>
          <w:i/>
          <w:lang w:val="sl-SI"/>
        </w:rPr>
        <w:t>9.6</w:t>
      </w:r>
      <w:r w:rsidRPr="00545EC0">
        <w:rPr>
          <w:rFonts w:cs="Arial"/>
          <w:i/>
          <w:lang w:val="sl-SI"/>
        </w:rPr>
        <w:fldChar w:fldCharType="end"/>
      </w:r>
      <w:r w:rsidRPr="00545EC0">
        <w:rPr>
          <w:rFonts w:cs="Arial"/>
          <w:i/>
          <w:lang w:val="sl-SI"/>
        </w:rPr>
        <w:t>)</w:t>
      </w:r>
      <w:r w:rsidRPr="00545EC0">
        <w:rPr>
          <w:rFonts w:cs="Arial"/>
          <w:lang w:val="sl-SI"/>
        </w:rPr>
        <w:t>,</w:t>
      </w:r>
    </w:p>
    <w:p w14:paraId="69CE348E" w14:textId="77777777" w:rsidR="00FE59C8" w:rsidRPr="00545EC0" w:rsidRDefault="00FE59C8" w:rsidP="00FE59C8">
      <w:pPr>
        <w:pStyle w:val="Odstavekseznama"/>
        <w:numPr>
          <w:ilvl w:val="0"/>
          <w:numId w:val="7"/>
        </w:numPr>
        <w:overflowPunct/>
        <w:autoSpaceDE/>
        <w:autoSpaceDN/>
        <w:adjustRightInd/>
        <w:ind w:left="567" w:hanging="207"/>
        <w:contextualSpacing/>
        <w:textAlignment w:val="auto"/>
        <w:rPr>
          <w:rFonts w:cs="Arial"/>
          <w:lang w:val="sl-SI"/>
        </w:rPr>
      </w:pPr>
      <w:r w:rsidRPr="00545EC0">
        <w:rPr>
          <w:rFonts w:cs="Arial"/>
          <w:lang w:val="sl-SI"/>
        </w:rPr>
        <w:t xml:space="preserve">seznam strokovnih podlag, strokovnih navodil, metodologij in poročil, na podlagi katerih je bil izdelan načrt </w:t>
      </w:r>
      <w:r w:rsidRPr="00545EC0">
        <w:rPr>
          <w:rFonts w:cs="Arial"/>
          <w:i/>
          <w:lang w:val="sl-SI"/>
        </w:rPr>
        <w:t xml:space="preserve">(poglavje </w:t>
      </w:r>
      <w:r w:rsidRPr="00545EC0">
        <w:rPr>
          <w:rFonts w:cs="Arial"/>
          <w:i/>
          <w:lang w:val="sl-SI"/>
        </w:rPr>
        <w:fldChar w:fldCharType="begin"/>
      </w:r>
      <w:r w:rsidRPr="00545EC0">
        <w:rPr>
          <w:rFonts w:cs="Arial"/>
          <w:i/>
          <w:lang w:val="sl-SI"/>
        </w:rPr>
        <w:instrText xml:space="preserve"> REF _Ref427316143 \r \h  \* MERGEFORMAT </w:instrText>
      </w:r>
      <w:r w:rsidRPr="00545EC0">
        <w:rPr>
          <w:rFonts w:cs="Arial"/>
          <w:i/>
          <w:lang w:val="sl-SI"/>
        </w:rPr>
      </w:r>
      <w:r w:rsidRPr="00545EC0">
        <w:rPr>
          <w:rFonts w:cs="Arial"/>
          <w:i/>
          <w:lang w:val="sl-SI"/>
        </w:rPr>
        <w:fldChar w:fldCharType="separate"/>
      </w:r>
      <w:r w:rsidR="002F3E43">
        <w:rPr>
          <w:rFonts w:cs="Arial"/>
          <w:i/>
          <w:lang w:val="sl-SI"/>
        </w:rPr>
        <w:t>9.4</w:t>
      </w:r>
      <w:r w:rsidRPr="00545EC0">
        <w:rPr>
          <w:rFonts w:cs="Arial"/>
          <w:i/>
          <w:lang w:val="sl-SI"/>
        </w:rPr>
        <w:fldChar w:fldCharType="end"/>
      </w:r>
      <w:r w:rsidRPr="00545EC0">
        <w:rPr>
          <w:rFonts w:cs="Arial"/>
          <w:i/>
          <w:lang w:val="sl-SI"/>
        </w:rPr>
        <w:t>)</w:t>
      </w:r>
      <w:r w:rsidRPr="00545EC0">
        <w:rPr>
          <w:rFonts w:cs="Arial"/>
          <w:lang w:val="sl-SI"/>
        </w:rPr>
        <w:t>.</w:t>
      </w:r>
    </w:p>
    <w:p w14:paraId="26C30B32" w14:textId="77777777" w:rsidR="00FE59C8" w:rsidRPr="00545EC0" w:rsidRDefault="00FE59C8" w:rsidP="00FE59C8">
      <w:pPr>
        <w:rPr>
          <w:rFonts w:cs="Arial"/>
          <w:b/>
        </w:rPr>
      </w:pPr>
      <w:bookmarkStart w:id="4" w:name="_Toc419099159"/>
      <w:bookmarkStart w:id="5" w:name="_Toc366228061"/>
      <w:bookmarkStart w:id="6" w:name="_Toc275340788"/>
    </w:p>
    <w:p w14:paraId="23914E50" w14:textId="70A8ACC5" w:rsidR="00FE59C8" w:rsidRPr="00545EC0" w:rsidRDefault="00FE59C8">
      <w:pPr>
        <w:pStyle w:val="Naslov3"/>
      </w:pPr>
      <w:r w:rsidRPr="00545EC0">
        <w:br w:type="page"/>
      </w:r>
      <w:bookmarkStart w:id="7" w:name="_Toc90261008"/>
      <w:r w:rsidRPr="00545EC0">
        <w:lastRenderedPageBreak/>
        <w:t>Seznam predpisov in mednarodnih oziroma meddržavnih pogodb s področja upravljanja voda</w:t>
      </w:r>
      <w:bookmarkEnd w:id="4"/>
      <w:bookmarkEnd w:id="5"/>
      <w:bookmarkEnd w:id="6"/>
      <w:bookmarkEnd w:id="7"/>
    </w:p>
    <w:p w14:paraId="1876220A" w14:textId="77777777" w:rsidR="00FE59C8" w:rsidRPr="00545EC0" w:rsidRDefault="00FE59C8" w:rsidP="004F2AF2">
      <w:pPr>
        <w:pStyle w:val="Naslov4"/>
        <w:ind w:left="1006"/>
        <w:jc w:val="both"/>
        <w:rPr>
          <w:color w:val="auto"/>
        </w:rPr>
      </w:pPr>
      <w:bookmarkStart w:id="8" w:name="_Toc419099160"/>
      <w:bookmarkStart w:id="9" w:name="_Toc366228062"/>
      <w:bookmarkStart w:id="10" w:name="_Toc275340789"/>
      <w:r w:rsidRPr="00545EC0">
        <w:rPr>
          <w:color w:val="auto"/>
        </w:rPr>
        <w:t>Nacionalni predpisi</w:t>
      </w:r>
      <w:bookmarkEnd w:id="8"/>
      <w:bookmarkEnd w:id="9"/>
      <w:bookmarkEnd w:id="10"/>
    </w:p>
    <w:p w14:paraId="07049E59" w14:textId="3D8041E3" w:rsidR="00FE59C8" w:rsidRPr="00545EC0" w:rsidRDefault="00FE59C8" w:rsidP="00FE59C8">
      <w:pPr>
        <w:pStyle w:val="Natevanjeotevileno"/>
        <w:numPr>
          <w:ilvl w:val="0"/>
          <w:numId w:val="0"/>
        </w:numPr>
        <w:tabs>
          <w:tab w:val="num" w:pos="180"/>
        </w:tabs>
        <w:rPr>
          <w:rFonts w:ascii="Arial" w:hAnsi="Arial" w:cs="Arial"/>
          <w:szCs w:val="20"/>
        </w:rPr>
      </w:pPr>
      <w:r w:rsidRPr="00545EC0">
        <w:rPr>
          <w:rFonts w:ascii="Arial" w:hAnsi="Arial" w:cs="Arial"/>
          <w:szCs w:val="20"/>
        </w:rPr>
        <w:t xml:space="preserve">Področje upravljanja voda ureja zakon o vodah in njegovi podzakonski akti, v določenem delu pa tudi </w:t>
      </w:r>
      <w:r w:rsidRPr="00545EC0">
        <w:rPr>
          <w:rFonts w:ascii="Arial" w:hAnsi="Arial" w:cs="Arial"/>
          <w:bCs/>
          <w:szCs w:val="20"/>
          <w:shd w:val="clear" w:color="auto" w:fill="FFFFFF"/>
        </w:rPr>
        <w:t>Zakon o varstvu okolja (Uradni list RS, št. </w:t>
      </w:r>
      <w:hyperlink r:id="rId22" w:tgtFrame="_blank" w:tooltip="Zakon o varstvu okolja (uradno prečiščeno besedilo)" w:history="1">
        <w:r w:rsidRPr="00545EC0">
          <w:rPr>
            <w:rStyle w:val="Hiperpovezava"/>
            <w:rFonts w:ascii="Arial" w:hAnsi="Arial" w:cs="Arial"/>
            <w:bCs/>
            <w:color w:val="auto"/>
            <w:szCs w:val="20"/>
            <w:shd w:val="clear" w:color="auto" w:fill="FFFFFF"/>
          </w:rPr>
          <w:t>39/06</w:t>
        </w:r>
      </w:hyperlink>
      <w:r w:rsidRPr="00545EC0">
        <w:rPr>
          <w:rFonts w:ascii="Arial" w:hAnsi="Arial" w:cs="Arial"/>
          <w:bCs/>
          <w:szCs w:val="20"/>
          <w:shd w:val="clear" w:color="auto" w:fill="FFFFFF"/>
        </w:rPr>
        <w:t> – uradno prečiščeno besedilo, </w:t>
      </w:r>
      <w:hyperlink r:id="rId23" w:tgtFrame="_blank" w:tooltip="Zakon o meteorološki dejavnosti" w:history="1">
        <w:r w:rsidRPr="00545EC0">
          <w:rPr>
            <w:rStyle w:val="Hiperpovezava"/>
            <w:rFonts w:ascii="Arial" w:hAnsi="Arial" w:cs="Arial"/>
            <w:bCs/>
            <w:color w:val="auto"/>
            <w:szCs w:val="20"/>
            <w:shd w:val="clear" w:color="auto" w:fill="FFFFFF"/>
          </w:rPr>
          <w:t>49/06</w:t>
        </w:r>
      </w:hyperlink>
      <w:r w:rsidRPr="00545EC0">
        <w:rPr>
          <w:rFonts w:ascii="Arial" w:hAnsi="Arial" w:cs="Arial"/>
          <w:bCs/>
          <w:szCs w:val="20"/>
          <w:shd w:val="clear" w:color="auto" w:fill="FFFFFF"/>
        </w:rPr>
        <w:t> – ZMetD, </w:t>
      </w:r>
      <w:hyperlink r:id="rId24" w:tgtFrame="_blank" w:tooltip="Odločba o delni razveljavitvi drugega odstavka 187. člena Zakona o varstvu okolja" w:history="1">
        <w:r w:rsidRPr="00545EC0">
          <w:rPr>
            <w:rStyle w:val="Hiperpovezava"/>
            <w:rFonts w:ascii="Arial" w:hAnsi="Arial" w:cs="Arial"/>
            <w:bCs/>
            <w:color w:val="auto"/>
            <w:szCs w:val="20"/>
            <w:shd w:val="clear" w:color="auto" w:fill="FFFFFF"/>
          </w:rPr>
          <w:t>66/06</w:t>
        </w:r>
      </w:hyperlink>
      <w:r w:rsidRPr="00545EC0">
        <w:rPr>
          <w:rFonts w:ascii="Arial" w:hAnsi="Arial" w:cs="Arial"/>
          <w:bCs/>
          <w:szCs w:val="20"/>
          <w:shd w:val="clear" w:color="auto" w:fill="FFFFFF"/>
        </w:rPr>
        <w:t> – odl. US, </w:t>
      </w:r>
      <w:hyperlink r:id="rId25" w:tgtFrame="_blank" w:tooltip="Zakon o prostorskem načrtovanju" w:history="1">
        <w:r w:rsidRPr="00545EC0">
          <w:rPr>
            <w:rStyle w:val="Hiperpovezava"/>
            <w:rFonts w:ascii="Arial" w:hAnsi="Arial" w:cs="Arial"/>
            <w:bCs/>
            <w:color w:val="auto"/>
            <w:szCs w:val="20"/>
            <w:shd w:val="clear" w:color="auto" w:fill="FFFFFF"/>
          </w:rPr>
          <w:t>33/07</w:t>
        </w:r>
      </w:hyperlink>
      <w:r w:rsidRPr="00545EC0">
        <w:rPr>
          <w:rFonts w:ascii="Arial" w:hAnsi="Arial" w:cs="Arial"/>
          <w:bCs/>
          <w:szCs w:val="20"/>
          <w:shd w:val="clear" w:color="auto" w:fill="FFFFFF"/>
        </w:rPr>
        <w:t> – ZPNačrt, </w:t>
      </w:r>
      <w:hyperlink r:id="rId26" w:tgtFrame="_blank" w:tooltip="Zakon o spremembah in dopolnitvah Zakona o financiranju občin" w:history="1">
        <w:r w:rsidRPr="00545EC0">
          <w:rPr>
            <w:rStyle w:val="Hiperpovezava"/>
            <w:rFonts w:ascii="Arial" w:hAnsi="Arial" w:cs="Arial"/>
            <w:bCs/>
            <w:color w:val="auto"/>
            <w:szCs w:val="20"/>
            <w:shd w:val="clear" w:color="auto" w:fill="FFFFFF"/>
          </w:rPr>
          <w:t>57/08</w:t>
        </w:r>
      </w:hyperlink>
      <w:r w:rsidRPr="00545EC0">
        <w:rPr>
          <w:rFonts w:ascii="Arial" w:hAnsi="Arial" w:cs="Arial"/>
          <w:bCs/>
          <w:szCs w:val="20"/>
          <w:shd w:val="clear" w:color="auto" w:fill="FFFFFF"/>
        </w:rPr>
        <w:t> – ZFO-1A, </w:t>
      </w:r>
      <w:hyperlink r:id="rId27" w:tgtFrame="_blank" w:tooltip="Zakon o spremembah in dopolnitvah Zakona o varstvu okolja" w:history="1">
        <w:r w:rsidRPr="00545EC0">
          <w:rPr>
            <w:rStyle w:val="Hiperpovezava"/>
            <w:rFonts w:ascii="Arial" w:hAnsi="Arial" w:cs="Arial"/>
            <w:bCs/>
            <w:color w:val="auto"/>
            <w:szCs w:val="20"/>
            <w:shd w:val="clear" w:color="auto" w:fill="FFFFFF"/>
          </w:rPr>
          <w:t>70/08</w:t>
        </w:r>
      </w:hyperlink>
      <w:r w:rsidRPr="00545EC0">
        <w:rPr>
          <w:rFonts w:ascii="Arial" w:hAnsi="Arial" w:cs="Arial"/>
          <w:bCs/>
          <w:szCs w:val="20"/>
          <w:shd w:val="clear" w:color="auto" w:fill="FFFFFF"/>
        </w:rPr>
        <w:t>, </w:t>
      </w:r>
      <w:hyperlink r:id="rId28" w:tgtFrame="_blank" w:tooltip="Zakon o spremembah in dopolnitvah Zakona o varstvu okolja" w:history="1">
        <w:r w:rsidRPr="00545EC0">
          <w:rPr>
            <w:rStyle w:val="Hiperpovezava"/>
            <w:rFonts w:ascii="Arial" w:hAnsi="Arial" w:cs="Arial"/>
            <w:bCs/>
            <w:color w:val="auto"/>
            <w:szCs w:val="20"/>
            <w:shd w:val="clear" w:color="auto" w:fill="FFFFFF"/>
          </w:rPr>
          <w:t>108/09</w:t>
        </w:r>
      </w:hyperlink>
      <w:r w:rsidRPr="00545EC0">
        <w:rPr>
          <w:rFonts w:ascii="Arial" w:hAnsi="Arial" w:cs="Arial"/>
          <w:bCs/>
          <w:szCs w:val="20"/>
          <w:shd w:val="clear" w:color="auto" w:fill="FFFFFF"/>
        </w:rPr>
        <w:t>, </w:t>
      </w:r>
      <w:hyperlink r:id="rId29" w:tgtFrame="_blank" w:tooltip="Zakon o spremembah in dopolnitvah Zakona o prostorskem načrtovanju" w:history="1">
        <w:r w:rsidRPr="00545EC0">
          <w:rPr>
            <w:rStyle w:val="Hiperpovezava"/>
            <w:rFonts w:ascii="Arial" w:hAnsi="Arial" w:cs="Arial"/>
            <w:bCs/>
            <w:color w:val="auto"/>
            <w:szCs w:val="20"/>
            <w:shd w:val="clear" w:color="auto" w:fill="FFFFFF"/>
          </w:rPr>
          <w:t>108/09</w:t>
        </w:r>
      </w:hyperlink>
      <w:r w:rsidRPr="00545EC0">
        <w:rPr>
          <w:rFonts w:ascii="Arial" w:hAnsi="Arial" w:cs="Arial"/>
          <w:bCs/>
          <w:szCs w:val="20"/>
          <w:shd w:val="clear" w:color="auto" w:fill="FFFFFF"/>
        </w:rPr>
        <w:t> – ZPNačrt-A,  </w:t>
      </w:r>
      <w:hyperlink r:id="rId30" w:tgtFrame="_blank" w:tooltip="Zakon o spremembah Zakona o varstvu okolja" w:history="1">
        <w:r w:rsidRPr="00545EC0">
          <w:rPr>
            <w:rStyle w:val="Hiperpovezava"/>
            <w:rFonts w:ascii="Arial" w:hAnsi="Arial" w:cs="Arial"/>
            <w:bCs/>
            <w:color w:val="auto"/>
            <w:szCs w:val="20"/>
            <w:shd w:val="clear" w:color="auto" w:fill="FFFFFF"/>
          </w:rPr>
          <w:t>48/12</w:t>
        </w:r>
      </w:hyperlink>
      <w:r w:rsidRPr="00545EC0">
        <w:rPr>
          <w:rFonts w:ascii="Arial" w:hAnsi="Arial" w:cs="Arial"/>
          <w:bCs/>
          <w:szCs w:val="20"/>
          <w:shd w:val="clear" w:color="auto" w:fill="FFFFFF"/>
        </w:rPr>
        <w:t>, </w:t>
      </w:r>
      <w:hyperlink r:id="rId31" w:tgtFrame="_blank" w:tooltip="Zakon o spremembah in dopolnitvah Zakona o varstvu okolja" w:history="1">
        <w:r w:rsidRPr="00545EC0">
          <w:rPr>
            <w:rStyle w:val="Hiperpovezava"/>
            <w:rFonts w:ascii="Arial" w:hAnsi="Arial" w:cs="Arial"/>
            <w:bCs/>
            <w:color w:val="auto"/>
            <w:szCs w:val="20"/>
            <w:shd w:val="clear" w:color="auto" w:fill="FFFFFF"/>
          </w:rPr>
          <w:t>57/12</w:t>
        </w:r>
      </w:hyperlink>
      <w:r w:rsidRPr="00545EC0">
        <w:rPr>
          <w:rFonts w:ascii="Arial" w:hAnsi="Arial" w:cs="Arial"/>
          <w:bCs/>
          <w:szCs w:val="20"/>
          <w:shd w:val="clear" w:color="auto" w:fill="FFFFFF"/>
        </w:rPr>
        <w:t>, </w:t>
      </w:r>
      <w:hyperlink r:id="rId32" w:tgtFrame="_blank" w:tooltip="Zakon o spremembah in dopolnitvah Zakona o varstvu okolja" w:history="1">
        <w:r w:rsidRPr="00545EC0">
          <w:rPr>
            <w:rStyle w:val="Hiperpovezava"/>
            <w:rFonts w:ascii="Arial" w:hAnsi="Arial" w:cs="Arial"/>
            <w:bCs/>
            <w:color w:val="auto"/>
            <w:szCs w:val="20"/>
            <w:shd w:val="clear" w:color="auto" w:fill="FFFFFF"/>
          </w:rPr>
          <w:t>92/13</w:t>
        </w:r>
      </w:hyperlink>
      <w:r w:rsidRPr="00545EC0">
        <w:rPr>
          <w:rFonts w:ascii="Arial" w:hAnsi="Arial" w:cs="Arial"/>
          <w:bCs/>
          <w:szCs w:val="20"/>
          <w:shd w:val="clear" w:color="auto" w:fill="FFFFFF"/>
        </w:rPr>
        <w:t>, </w:t>
      </w:r>
      <w:hyperlink r:id="rId33" w:tgtFrame="_blank" w:tooltip="Zakon o spremembah Zakona o varstvu okolja" w:history="1">
        <w:r w:rsidRPr="00545EC0">
          <w:rPr>
            <w:rStyle w:val="Hiperpovezava"/>
            <w:rFonts w:ascii="Arial" w:hAnsi="Arial" w:cs="Arial"/>
            <w:bCs/>
            <w:color w:val="auto"/>
            <w:szCs w:val="20"/>
            <w:shd w:val="clear" w:color="auto" w:fill="FFFFFF"/>
          </w:rPr>
          <w:t>56/15</w:t>
        </w:r>
      </w:hyperlink>
      <w:r w:rsidRPr="00545EC0">
        <w:rPr>
          <w:rFonts w:ascii="Arial" w:hAnsi="Arial" w:cs="Arial"/>
          <w:bCs/>
          <w:szCs w:val="20"/>
          <w:shd w:val="clear" w:color="auto" w:fill="FFFFFF"/>
        </w:rPr>
        <w:t>, </w:t>
      </w:r>
      <w:hyperlink r:id="rId34" w:tgtFrame="_blank" w:tooltip="Zakon o spremembah Zakona o spremembah in dopolnitvah Zakona o varstvu okolja" w:history="1">
        <w:r w:rsidRPr="00545EC0">
          <w:rPr>
            <w:rStyle w:val="Hiperpovezava"/>
            <w:rFonts w:ascii="Arial" w:hAnsi="Arial" w:cs="Arial"/>
            <w:bCs/>
            <w:color w:val="auto"/>
            <w:szCs w:val="20"/>
            <w:shd w:val="clear" w:color="auto" w:fill="FFFFFF"/>
          </w:rPr>
          <w:t>102/15</w:t>
        </w:r>
      </w:hyperlink>
      <w:r w:rsidRPr="00545EC0">
        <w:rPr>
          <w:rFonts w:ascii="Arial" w:hAnsi="Arial" w:cs="Arial"/>
          <w:bCs/>
          <w:szCs w:val="20"/>
          <w:shd w:val="clear" w:color="auto" w:fill="FFFFFF"/>
        </w:rPr>
        <w:t>, </w:t>
      </w:r>
      <w:hyperlink r:id="rId35" w:tgtFrame="_blank" w:tooltip="Zakon o spremembah in dopolnitvah Zakona o varstvu okolja" w:history="1">
        <w:r w:rsidRPr="00545EC0">
          <w:rPr>
            <w:rStyle w:val="Hiperpovezava"/>
            <w:rFonts w:ascii="Arial" w:hAnsi="Arial" w:cs="Arial"/>
            <w:bCs/>
            <w:color w:val="auto"/>
            <w:szCs w:val="20"/>
            <w:shd w:val="clear" w:color="auto" w:fill="FFFFFF"/>
          </w:rPr>
          <w:t>30/16</w:t>
        </w:r>
      </w:hyperlink>
      <w:r w:rsidRPr="00545EC0">
        <w:rPr>
          <w:rFonts w:ascii="Arial" w:hAnsi="Arial" w:cs="Arial"/>
          <w:bCs/>
          <w:szCs w:val="20"/>
          <w:shd w:val="clear" w:color="auto" w:fill="FFFFFF"/>
        </w:rPr>
        <w:t>, </w:t>
      </w:r>
      <w:hyperlink r:id="rId36" w:tgtFrame="_blank" w:tooltip="Gradbeni zakon" w:history="1">
        <w:r w:rsidRPr="00545EC0">
          <w:rPr>
            <w:rStyle w:val="Hiperpovezava"/>
            <w:rFonts w:ascii="Arial" w:hAnsi="Arial" w:cs="Arial"/>
            <w:bCs/>
            <w:color w:val="auto"/>
            <w:szCs w:val="20"/>
            <w:shd w:val="clear" w:color="auto" w:fill="FFFFFF"/>
          </w:rPr>
          <w:t>61/17</w:t>
        </w:r>
      </w:hyperlink>
      <w:r w:rsidRPr="00545EC0">
        <w:rPr>
          <w:rFonts w:ascii="Arial" w:hAnsi="Arial" w:cs="Arial"/>
          <w:bCs/>
          <w:szCs w:val="20"/>
          <w:shd w:val="clear" w:color="auto" w:fill="FFFFFF"/>
        </w:rPr>
        <w:t> – GZ, </w:t>
      </w:r>
      <w:hyperlink r:id="rId37" w:tgtFrame="_blank" w:tooltip="Zakon o nevladnih organizacijah" w:history="1">
        <w:r w:rsidRPr="00545EC0">
          <w:rPr>
            <w:rStyle w:val="Hiperpovezava"/>
            <w:rFonts w:ascii="Arial" w:hAnsi="Arial" w:cs="Arial"/>
            <w:bCs/>
            <w:color w:val="auto"/>
            <w:szCs w:val="20"/>
            <w:shd w:val="clear" w:color="auto" w:fill="FFFFFF"/>
          </w:rPr>
          <w:t>21/18</w:t>
        </w:r>
      </w:hyperlink>
      <w:r w:rsidRPr="00545EC0">
        <w:rPr>
          <w:rFonts w:ascii="Arial" w:hAnsi="Arial" w:cs="Arial"/>
          <w:bCs/>
          <w:szCs w:val="20"/>
          <w:shd w:val="clear" w:color="auto" w:fill="FFFFFF"/>
        </w:rPr>
        <w:t> – ZNOrg, </w:t>
      </w:r>
      <w:hyperlink r:id="rId38" w:tgtFrame="_blank" w:tooltip="Zakon o interventnih ukrepih pri ravnanju s komunalno odpadno embalažo in z odpadnimi nagrobnimi svečami" w:history="1">
        <w:r w:rsidRPr="00545EC0">
          <w:rPr>
            <w:rStyle w:val="Hiperpovezava"/>
            <w:rFonts w:ascii="Arial" w:hAnsi="Arial" w:cs="Arial"/>
            <w:bCs/>
            <w:color w:val="auto"/>
            <w:szCs w:val="20"/>
            <w:shd w:val="clear" w:color="auto" w:fill="FFFFFF"/>
          </w:rPr>
          <w:t>84/18</w:t>
        </w:r>
      </w:hyperlink>
      <w:r w:rsidRPr="00545EC0">
        <w:rPr>
          <w:rFonts w:ascii="Arial" w:hAnsi="Arial" w:cs="Arial"/>
          <w:bCs/>
          <w:szCs w:val="20"/>
          <w:shd w:val="clear" w:color="auto" w:fill="FFFFFF"/>
        </w:rPr>
        <w:t xml:space="preserve"> – ZIURKOE </w:t>
      </w:r>
      <w:r w:rsidR="00DC642B" w:rsidRPr="00DC642B">
        <w:rPr>
          <w:rFonts w:ascii="Arial" w:hAnsi="Arial" w:cs="Arial"/>
          <w:bCs/>
          <w:szCs w:val="20"/>
          <w:shd w:val="clear" w:color="auto" w:fill="FFFFFF"/>
        </w:rPr>
        <w:t>, 158/20 in 44/22 – ZVO-2)</w:t>
      </w:r>
      <w:r w:rsidRPr="00545EC0">
        <w:rPr>
          <w:rFonts w:ascii="Arial" w:hAnsi="Arial" w:cs="Arial"/>
          <w:bCs/>
          <w:szCs w:val="20"/>
          <w:shd w:val="clear" w:color="auto" w:fill="FFFFFF"/>
        </w:rPr>
        <w:t xml:space="preserve"> </w:t>
      </w:r>
      <w:r w:rsidRPr="00545EC0">
        <w:rPr>
          <w:rFonts w:ascii="Arial" w:hAnsi="Arial" w:cs="Arial"/>
          <w:szCs w:val="20"/>
        </w:rPr>
        <w:t>(v nadaljnjem besedilu: zakon o varstvu okolja), ter njegovi podzakonski akti, zlasti:</w:t>
      </w:r>
    </w:p>
    <w:p w14:paraId="573B5F19" w14:textId="77777777" w:rsidR="00FE59C8" w:rsidRPr="00545EC0" w:rsidRDefault="00FE59C8" w:rsidP="00FE59C8">
      <w:pPr>
        <w:pStyle w:val="Natevanjeotevileno"/>
        <w:numPr>
          <w:ilvl w:val="0"/>
          <w:numId w:val="0"/>
        </w:numPr>
        <w:tabs>
          <w:tab w:val="num" w:pos="180"/>
        </w:tabs>
        <w:rPr>
          <w:rFonts w:ascii="Arial" w:hAnsi="Arial" w:cs="Arial"/>
        </w:rPr>
      </w:pPr>
    </w:p>
    <w:p w14:paraId="1BBC26B7" w14:textId="246DB95B" w:rsidR="00FE59C8" w:rsidRPr="00545EC0" w:rsidRDefault="00FE59C8" w:rsidP="00DD37C5">
      <w:pPr>
        <w:pStyle w:val="Odstavekseznama"/>
        <w:numPr>
          <w:ilvl w:val="0"/>
          <w:numId w:val="43"/>
        </w:numPr>
        <w:overflowPunct/>
        <w:autoSpaceDE/>
        <w:autoSpaceDN/>
        <w:adjustRightInd/>
        <w:spacing w:after="200" w:line="276" w:lineRule="auto"/>
        <w:ind w:left="567" w:hanging="567"/>
        <w:contextualSpacing/>
        <w:textAlignment w:val="auto"/>
        <w:rPr>
          <w:rFonts w:cs="Arial"/>
          <w:szCs w:val="20"/>
          <w:lang w:val="sl-SI"/>
        </w:rPr>
      </w:pPr>
      <w:r w:rsidRPr="00545EC0">
        <w:rPr>
          <w:rFonts w:cs="Arial"/>
          <w:szCs w:val="20"/>
          <w:lang w:val="sl-SI"/>
        </w:rPr>
        <w:t>Zakon o vodah in njegovi podzakonski akti</w:t>
      </w:r>
      <w:r w:rsidR="00A01787">
        <w:rPr>
          <w:rFonts w:cs="Arial"/>
          <w:szCs w:val="20"/>
          <w:lang w:val="sl-SI"/>
        </w:rPr>
        <w:t>:</w:t>
      </w:r>
    </w:p>
    <w:p w14:paraId="1C25EBC9" w14:textId="77777777" w:rsidR="00FE59C8" w:rsidRPr="00545EC0" w:rsidRDefault="00FE59C8" w:rsidP="00DD37C5">
      <w:pPr>
        <w:numPr>
          <w:ilvl w:val="0"/>
          <w:numId w:val="44"/>
        </w:numPr>
        <w:tabs>
          <w:tab w:val="center" w:pos="709"/>
        </w:tabs>
        <w:ind w:left="709" w:hanging="283"/>
        <w:rPr>
          <w:rFonts w:cs="Arial"/>
          <w:szCs w:val="20"/>
        </w:rPr>
      </w:pPr>
      <w:r w:rsidRPr="00545EC0">
        <w:rPr>
          <w:rFonts w:cs="Arial"/>
          <w:szCs w:val="20"/>
        </w:rPr>
        <w:t>Uredba o podrobnejši vsebini in načinu priprave načrta upravljanja voda (Uradni list RS, št. 26/06, 5/09, 36/13, in 74/16)</w:t>
      </w:r>
    </w:p>
    <w:p w14:paraId="75D3456C" w14:textId="77777777" w:rsidR="00FE59C8" w:rsidRPr="00545EC0" w:rsidRDefault="00FE59C8" w:rsidP="00DD37C5">
      <w:pPr>
        <w:numPr>
          <w:ilvl w:val="0"/>
          <w:numId w:val="45"/>
        </w:numPr>
        <w:tabs>
          <w:tab w:val="center" w:pos="709"/>
        </w:tabs>
        <w:ind w:left="709" w:hanging="283"/>
        <w:rPr>
          <w:rFonts w:cs="Arial"/>
          <w:szCs w:val="20"/>
        </w:rPr>
      </w:pPr>
      <w:r w:rsidRPr="00545EC0">
        <w:rPr>
          <w:rFonts w:cs="Arial"/>
          <w:szCs w:val="20"/>
        </w:rPr>
        <w:t>Uredba o načrtu upravljanja voda za vodni območji Donave in Jadranskega morja (Uradni list RS, št. 61/11, 49/12 in 67/16)</w:t>
      </w:r>
    </w:p>
    <w:p w14:paraId="451B4468" w14:textId="77777777" w:rsidR="00FE59C8" w:rsidRPr="00545EC0" w:rsidRDefault="00FE59C8" w:rsidP="00DD37C5">
      <w:pPr>
        <w:numPr>
          <w:ilvl w:val="0"/>
          <w:numId w:val="45"/>
        </w:numPr>
        <w:tabs>
          <w:tab w:val="center" w:pos="709"/>
        </w:tabs>
        <w:ind w:left="709" w:hanging="283"/>
        <w:rPr>
          <w:rFonts w:cs="Arial"/>
          <w:szCs w:val="20"/>
        </w:rPr>
      </w:pPr>
      <w:r w:rsidRPr="00545EC0">
        <w:rPr>
          <w:rFonts w:cs="Arial"/>
          <w:szCs w:val="20"/>
        </w:rPr>
        <w:t>Uredba o načrtih upravljanja voda na vodnih območjih Donave in Jadranskega morja (Uradni list RS, št. 67/16)</w:t>
      </w:r>
    </w:p>
    <w:p w14:paraId="421C3381" w14:textId="77777777" w:rsidR="00FE59C8" w:rsidRPr="00545EC0" w:rsidRDefault="00FE59C8" w:rsidP="00DD37C5">
      <w:pPr>
        <w:numPr>
          <w:ilvl w:val="0"/>
          <w:numId w:val="45"/>
        </w:numPr>
        <w:tabs>
          <w:tab w:val="center" w:pos="709"/>
        </w:tabs>
        <w:ind w:left="709" w:hanging="283"/>
        <w:rPr>
          <w:rFonts w:cs="Arial"/>
          <w:szCs w:val="20"/>
        </w:rPr>
      </w:pPr>
      <w:r w:rsidRPr="00545EC0">
        <w:rPr>
          <w:rFonts w:cs="Arial"/>
          <w:szCs w:val="20"/>
        </w:rPr>
        <w:t>Uredba o vodnih povračilih (Uradni list RS, št. 103/02, 122/07 in 3/21)</w:t>
      </w:r>
    </w:p>
    <w:p w14:paraId="4EF0C104" w14:textId="77777777" w:rsidR="00FE59C8" w:rsidRPr="00545EC0" w:rsidRDefault="00FE59C8" w:rsidP="00DD37C5">
      <w:pPr>
        <w:numPr>
          <w:ilvl w:val="0"/>
          <w:numId w:val="45"/>
        </w:numPr>
        <w:tabs>
          <w:tab w:val="center" w:pos="709"/>
        </w:tabs>
        <w:ind w:left="709" w:hanging="283"/>
        <w:rPr>
          <w:rFonts w:cs="Arial"/>
          <w:szCs w:val="20"/>
        </w:rPr>
      </w:pPr>
      <w:r w:rsidRPr="00545EC0">
        <w:rPr>
          <w:rFonts w:cs="Arial"/>
          <w:szCs w:val="20"/>
        </w:rPr>
        <w:t>Uredba o pogojih in omejitvah za izvajanje dejavnosti in posegov v prostor na območjih, ogroženih zaradi poplav in z njimi povezane erozije celinskih voda in morja (Uradni list RS, št. 89/08 in 49/20)</w:t>
      </w:r>
    </w:p>
    <w:p w14:paraId="0529988A" w14:textId="77777777" w:rsidR="00FE59C8" w:rsidRPr="00545EC0" w:rsidRDefault="00FE59C8" w:rsidP="00DD37C5">
      <w:pPr>
        <w:numPr>
          <w:ilvl w:val="0"/>
          <w:numId w:val="45"/>
        </w:numPr>
        <w:tabs>
          <w:tab w:val="center" w:pos="709"/>
        </w:tabs>
        <w:ind w:left="709" w:hanging="283"/>
        <w:rPr>
          <w:rFonts w:cs="Arial"/>
          <w:szCs w:val="20"/>
        </w:rPr>
      </w:pPr>
      <w:r w:rsidRPr="00545EC0">
        <w:rPr>
          <w:rFonts w:cs="Arial"/>
          <w:szCs w:val="20"/>
        </w:rPr>
        <w:t>Uredba o upravljanju kakovosti kopalnih voda (Uradni list RS, št. 25/08)</w:t>
      </w:r>
    </w:p>
    <w:p w14:paraId="27CD90B2" w14:textId="77777777" w:rsidR="00FE59C8" w:rsidRPr="00545EC0" w:rsidRDefault="00FE59C8" w:rsidP="00DD37C5">
      <w:pPr>
        <w:numPr>
          <w:ilvl w:val="0"/>
          <w:numId w:val="45"/>
        </w:numPr>
        <w:tabs>
          <w:tab w:val="center" w:pos="709"/>
        </w:tabs>
        <w:ind w:left="709" w:hanging="283"/>
        <w:rPr>
          <w:rFonts w:cs="Arial"/>
          <w:szCs w:val="20"/>
        </w:rPr>
      </w:pPr>
      <w:r w:rsidRPr="00545EC0">
        <w:rPr>
          <w:rFonts w:cs="Arial"/>
          <w:szCs w:val="20"/>
        </w:rPr>
        <w:t>Uredba o načinu izplačevanja in merilih za izračun nadomestila za zmanjšanje dohodka iz kmetijske dejavnosti zaradi prilagoditve ukrepom vodovarstvenega režima (Uradni list RS, št. 105/11, 64/12, 44/13, 55/15,  97/15, 77/16 in 197/20)</w:t>
      </w:r>
    </w:p>
    <w:p w14:paraId="370BEEF5" w14:textId="7086F8F6" w:rsidR="002F7E9E" w:rsidRPr="00545EC0" w:rsidRDefault="002F7E9E" w:rsidP="00DD37C5">
      <w:pPr>
        <w:numPr>
          <w:ilvl w:val="0"/>
          <w:numId w:val="45"/>
        </w:numPr>
        <w:tabs>
          <w:tab w:val="center" w:pos="709"/>
        </w:tabs>
        <w:rPr>
          <w:rFonts w:cs="Arial"/>
          <w:szCs w:val="20"/>
        </w:rPr>
      </w:pPr>
      <w:r w:rsidRPr="00545EC0">
        <w:rPr>
          <w:rFonts w:cs="Arial"/>
          <w:szCs w:val="20"/>
        </w:rPr>
        <w:t>Uredba o kriterijih za določitev ter načinu spremljanja in poročanja ekološko sprejemljivega pretoka (Uradni list RS, št. 97/09)</w:t>
      </w:r>
    </w:p>
    <w:p w14:paraId="1434B6BD" w14:textId="77777777" w:rsidR="00FE59C8" w:rsidRPr="00545EC0" w:rsidRDefault="00FE59C8" w:rsidP="00DD37C5">
      <w:pPr>
        <w:numPr>
          <w:ilvl w:val="0"/>
          <w:numId w:val="45"/>
        </w:numPr>
        <w:tabs>
          <w:tab w:val="center" w:pos="709"/>
        </w:tabs>
        <w:ind w:left="709" w:hanging="283"/>
        <w:rPr>
          <w:rFonts w:cs="Arial"/>
          <w:szCs w:val="20"/>
        </w:rPr>
      </w:pPr>
      <w:r w:rsidRPr="00545EC0">
        <w:rPr>
          <w:rFonts w:cs="Arial"/>
          <w:szCs w:val="20"/>
        </w:rPr>
        <w:t>Seznam obstoječe vodne infrastrukture (Uradni list RS, št. 63/06 in 96/06)</w:t>
      </w:r>
    </w:p>
    <w:p w14:paraId="45531B5F" w14:textId="77777777" w:rsidR="00FE59C8" w:rsidRPr="00545EC0" w:rsidRDefault="00FE59C8" w:rsidP="00DD37C5">
      <w:pPr>
        <w:numPr>
          <w:ilvl w:val="0"/>
          <w:numId w:val="45"/>
        </w:numPr>
        <w:tabs>
          <w:tab w:val="center" w:pos="709"/>
        </w:tabs>
        <w:ind w:left="709" w:hanging="283"/>
        <w:rPr>
          <w:rFonts w:cs="Arial"/>
          <w:szCs w:val="20"/>
        </w:rPr>
      </w:pPr>
      <w:r w:rsidRPr="00545EC0">
        <w:rPr>
          <w:rFonts w:cs="Arial"/>
          <w:szCs w:val="20"/>
        </w:rPr>
        <w:t>Pravilnik o določitvi vodne infrastrukture (Uradni list RS, št. 46/05)</w:t>
      </w:r>
    </w:p>
    <w:p w14:paraId="204DD385" w14:textId="443A8651" w:rsidR="00FE59C8" w:rsidRPr="00545EC0" w:rsidRDefault="00FE59C8" w:rsidP="00DD37C5">
      <w:pPr>
        <w:numPr>
          <w:ilvl w:val="0"/>
          <w:numId w:val="45"/>
        </w:numPr>
        <w:tabs>
          <w:tab w:val="center" w:pos="709"/>
        </w:tabs>
        <w:ind w:left="709" w:hanging="283"/>
        <w:rPr>
          <w:rFonts w:cs="Arial"/>
          <w:szCs w:val="20"/>
        </w:rPr>
      </w:pPr>
      <w:r w:rsidRPr="00545EC0">
        <w:rPr>
          <w:rFonts w:cs="Arial"/>
          <w:szCs w:val="20"/>
        </w:rPr>
        <w:t>Pravilnik o določitvi meja povodij in porečij ter meja vodnih območij z vodami 1. reda, ki jima pripadajo (Ura</w:t>
      </w:r>
      <w:r w:rsidR="00D7150F" w:rsidRPr="00545EC0">
        <w:rPr>
          <w:rFonts w:cs="Arial"/>
          <w:szCs w:val="20"/>
        </w:rPr>
        <w:t>dni list RS, št. 82/03 in 8/18)</w:t>
      </w:r>
    </w:p>
    <w:p w14:paraId="64B85E25" w14:textId="77777777" w:rsidR="00FE59C8" w:rsidRPr="00545EC0" w:rsidRDefault="00FE59C8" w:rsidP="00DD37C5">
      <w:pPr>
        <w:numPr>
          <w:ilvl w:val="0"/>
          <w:numId w:val="45"/>
        </w:numPr>
        <w:tabs>
          <w:tab w:val="center" w:pos="709"/>
        </w:tabs>
        <w:ind w:left="709" w:hanging="283"/>
        <w:rPr>
          <w:rFonts w:cs="Arial"/>
          <w:szCs w:val="20"/>
        </w:rPr>
      </w:pPr>
      <w:r w:rsidRPr="00545EC0">
        <w:rPr>
          <w:rFonts w:cs="Arial"/>
          <w:szCs w:val="20"/>
        </w:rPr>
        <w:t>Pravilnik o določ</w:t>
      </w:r>
      <w:r w:rsidRPr="00545EC0">
        <w:rPr>
          <w:rFonts w:cs="Arial"/>
          <w:spacing w:val="-2"/>
          <w:szCs w:val="20"/>
        </w:rPr>
        <w:t>itvi</w:t>
      </w:r>
      <w:r w:rsidRPr="00545EC0">
        <w:rPr>
          <w:rFonts w:cs="Arial"/>
          <w:szCs w:val="20"/>
        </w:rPr>
        <w:t xml:space="preserve"> </w:t>
      </w:r>
      <w:r w:rsidRPr="00545EC0">
        <w:rPr>
          <w:rFonts w:cs="Arial"/>
          <w:spacing w:val="-2"/>
          <w:szCs w:val="20"/>
        </w:rPr>
        <w:t>in</w:t>
      </w:r>
      <w:r w:rsidRPr="00545EC0">
        <w:rPr>
          <w:rFonts w:cs="Arial"/>
          <w:szCs w:val="20"/>
        </w:rPr>
        <w:t xml:space="preserve"> </w:t>
      </w:r>
      <w:r w:rsidRPr="00545EC0">
        <w:rPr>
          <w:rFonts w:cs="Arial"/>
          <w:spacing w:val="-2"/>
          <w:szCs w:val="20"/>
        </w:rPr>
        <w:t>razv</w:t>
      </w:r>
      <w:r w:rsidRPr="00545EC0">
        <w:rPr>
          <w:rFonts w:cs="Arial"/>
          <w:szCs w:val="20"/>
        </w:rPr>
        <w:t>r</w:t>
      </w:r>
      <w:r w:rsidRPr="00545EC0">
        <w:rPr>
          <w:rFonts w:cs="Arial"/>
          <w:spacing w:val="-2"/>
          <w:szCs w:val="20"/>
        </w:rPr>
        <w:t>stitvi</w:t>
      </w:r>
      <w:r w:rsidRPr="00545EC0">
        <w:rPr>
          <w:rFonts w:cs="Arial"/>
          <w:szCs w:val="20"/>
        </w:rPr>
        <w:t xml:space="preserve"> </w:t>
      </w:r>
      <w:r w:rsidRPr="00545EC0">
        <w:rPr>
          <w:rFonts w:cs="Arial"/>
          <w:spacing w:val="-2"/>
          <w:szCs w:val="20"/>
        </w:rPr>
        <w:t xml:space="preserve">vodnih teles površinskih voda </w:t>
      </w:r>
      <w:r w:rsidRPr="00545EC0">
        <w:rPr>
          <w:rFonts w:cs="Arial"/>
          <w:szCs w:val="20"/>
        </w:rPr>
        <w:t>(Uradni list RS, št. 63/05, 26/06, 32/11 in 8/18)</w:t>
      </w:r>
    </w:p>
    <w:p w14:paraId="1000A090" w14:textId="77777777" w:rsidR="00FE59C8" w:rsidRPr="00545EC0" w:rsidRDefault="00FE59C8" w:rsidP="00DD37C5">
      <w:pPr>
        <w:numPr>
          <w:ilvl w:val="0"/>
          <w:numId w:val="45"/>
        </w:numPr>
        <w:tabs>
          <w:tab w:val="center" w:pos="709"/>
        </w:tabs>
        <w:ind w:left="709" w:hanging="283"/>
        <w:rPr>
          <w:rFonts w:cs="Arial"/>
          <w:spacing w:val="-2"/>
          <w:szCs w:val="20"/>
        </w:rPr>
      </w:pPr>
      <w:r w:rsidRPr="00545EC0">
        <w:rPr>
          <w:rFonts w:cs="Arial"/>
          <w:spacing w:val="-2"/>
          <w:szCs w:val="20"/>
        </w:rPr>
        <w:t>Pravilnik o določitvi vodnih teles podzemnih voda (Uradni list RS, št. </w:t>
      </w:r>
      <w:hyperlink r:id="rId39" w:tgtFrame="_blank" w:tooltip="Pravilnik o določitvi vodnih teles podzemnih voda" w:history="1">
        <w:r w:rsidRPr="00545EC0">
          <w:rPr>
            <w:rFonts w:cs="Arial"/>
            <w:spacing w:val="-2"/>
            <w:szCs w:val="20"/>
          </w:rPr>
          <w:t>63/05</w:t>
        </w:r>
      </w:hyperlink>
      <w:r w:rsidRPr="00545EC0">
        <w:rPr>
          <w:rFonts w:cs="Arial"/>
          <w:spacing w:val="-2"/>
          <w:szCs w:val="20"/>
        </w:rPr>
        <w:t xml:space="preserve"> in 8/18)</w:t>
      </w:r>
    </w:p>
    <w:p w14:paraId="031C761B" w14:textId="77777777" w:rsidR="00FE59C8" w:rsidRPr="00545EC0" w:rsidRDefault="00FE59C8" w:rsidP="00DD37C5">
      <w:pPr>
        <w:numPr>
          <w:ilvl w:val="0"/>
          <w:numId w:val="45"/>
        </w:numPr>
        <w:tabs>
          <w:tab w:val="center" w:pos="709"/>
        </w:tabs>
        <w:ind w:left="709" w:hanging="283"/>
        <w:rPr>
          <w:rFonts w:cs="Arial"/>
          <w:szCs w:val="20"/>
        </w:rPr>
      </w:pPr>
      <w:r w:rsidRPr="00545EC0">
        <w:rPr>
          <w:rFonts w:cs="Arial"/>
          <w:szCs w:val="20"/>
        </w:rPr>
        <w:t>Pravilnik o metodologiji za določanje vodnih teles podzemnih voda (Uradni list RS, št. 65/03)</w:t>
      </w:r>
    </w:p>
    <w:p w14:paraId="4C26C26E" w14:textId="3D3223BB" w:rsidR="000932BC" w:rsidRPr="00545EC0" w:rsidRDefault="000932BC" w:rsidP="00DD37C5">
      <w:pPr>
        <w:numPr>
          <w:ilvl w:val="0"/>
          <w:numId w:val="45"/>
        </w:numPr>
        <w:tabs>
          <w:tab w:val="center" w:pos="709"/>
        </w:tabs>
        <w:ind w:left="709" w:hanging="283"/>
        <w:rPr>
          <w:rFonts w:cs="Arial"/>
          <w:szCs w:val="20"/>
        </w:rPr>
      </w:pPr>
      <w:r w:rsidRPr="00545EC0">
        <w:rPr>
          <w:rFonts w:cs="Arial"/>
          <w:szCs w:val="20"/>
        </w:rPr>
        <w:t>Pravilnikom o metodologiji za določanje vodnih teles podzemnih voda (Uradni list RS, št. 65/03)</w:t>
      </w:r>
    </w:p>
    <w:p w14:paraId="75EB895A" w14:textId="77777777" w:rsidR="00FE59C8" w:rsidRPr="00545EC0" w:rsidRDefault="00FE59C8" w:rsidP="00DD37C5">
      <w:pPr>
        <w:numPr>
          <w:ilvl w:val="0"/>
          <w:numId w:val="45"/>
        </w:numPr>
        <w:tabs>
          <w:tab w:val="center" w:pos="709"/>
        </w:tabs>
        <w:ind w:left="709" w:hanging="283"/>
        <w:rPr>
          <w:rFonts w:cs="Arial"/>
          <w:szCs w:val="20"/>
        </w:rPr>
      </w:pPr>
      <w:r w:rsidRPr="00545EC0">
        <w:rPr>
          <w:rFonts w:cs="Arial"/>
          <w:szCs w:val="20"/>
        </w:rPr>
        <w:t xml:space="preserve">Pravilnik o kriterijih za določitev vodovarstvenega območja (Uradni list RS, št. 64/04, 5/06, 58/11 in 15/16) </w:t>
      </w:r>
    </w:p>
    <w:p w14:paraId="68012D98" w14:textId="77777777" w:rsidR="00FE59C8" w:rsidRPr="00545EC0" w:rsidRDefault="00FE59C8" w:rsidP="00DD37C5">
      <w:pPr>
        <w:numPr>
          <w:ilvl w:val="0"/>
          <w:numId w:val="45"/>
        </w:numPr>
        <w:tabs>
          <w:tab w:val="center" w:pos="709"/>
        </w:tabs>
        <w:ind w:left="709" w:hanging="283"/>
        <w:rPr>
          <w:rFonts w:cs="Arial"/>
          <w:szCs w:val="20"/>
        </w:rPr>
      </w:pPr>
      <w:r w:rsidRPr="00545EC0">
        <w:rPr>
          <w:rFonts w:cs="Arial"/>
          <w:szCs w:val="20"/>
        </w:rPr>
        <w:t>Pravilnik o metodologiji za določanje območij, ogroženih zaradi poplav in z njimi povezane erozije celinskih voda in morja, ter o načinu razvrščanja zemljišč v razrede ogroženosti (Uradni list RS, št. 60/07)</w:t>
      </w:r>
    </w:p>
    <w:p w14:paraId="7CC847DE" w14:textId="77777777" w:rsidR="001A7954" w:rsidRPr="00545EC0" w:rsidRDefault="001A7954" w:rsidP="00DD37C5">
      <w:pPr>
        <w:numPr>
          <w:ilvl w:val="0"/>
          <w:numId w:val="45"/>
        </w:numPr>
        <w:tabs>
          <w:tab w:val="center" w:pos="709"/>
        </w:tabs>
        <w:ind w:left="709" w:hanging="283"/>
        <w:rPr>
          <w:rFonts w:cs="Arial"/>
          <w:szCs w:val="20"/>
        </w:rPr>
      </w:pPr>
      <w:r w:rsidRPr="00545EC0">
        <w:rPr>
          <w:rFonts w:cs="Arial"/>
          <w:szCs w:val="20"/>
        </w:rPr>
        <w:t>Pravilnik o klasifikaciji vrst posebne rabe vode in naplavin (Uradni list RS, 24/15)</w:t>
      </w:r>
    </w:p>
    <w:p w14:paraId="5FC75301" w14:textId="11E7BE1B" w:rsidR="001A7954" w:rsidRPr="00545EC0" w:rsidRDefault="00EC5C03" w:rsidP="00DD37C5">
      <w:pPr>
        <w:numPr>
          <w:ilvl w:val="0"/>
          <w:numId w:val="45"/>
        </w:numPr>
        <w:tabs>
          <w:tab w:val="center" w:pos="709"/>
        </w:tabs>
        <w:ind w:left="709" w:hanging="283"/>
        <w:rPr>
          <w:rFonts w:cs="Arial"/>
          <w:szCs w:val="20"/>
        </w:rPr>
      </w:pPr>
      <w:r w:rsidRPr="00545EC0">
        <w:rPr>
          <w:rFonts w:cs="Arial"/>
          <w:noProof/>
          <w:szCs w:val="20"/>
        </w:rPr>
        <w:t>Pravilnik o evidentirani posebni rabi vode (Uradni list RS, št. 178/20)</w:t>
      </w:r>
    </w:p>
    <w:p w14:paraId="103F0035" w14:textId="77777777" w:rsidR="00FE59C8" w:rsidRPr="00545EC0" w:rsidRDefault="00FE59C8" w:rsidP="00FE59C8">
      <w:pPr>
        <w:ind w:left="720"/>
        <w:rPr>
          <w:rFonts w:cs="Arial"/>
          <w:szCs w:val="20"/>
        </w:rPr>
      </w:pPr>
    </w:p>
    <w:p w14:paraId="5BF79884" w14:textId="206CA610" w:rsidR="00FE59C8" w:rsidRPr="00545EC0" w:rsidRDefault="00FE59C8" w:rsidP="00DD37C5">
      <w:pPr>
        <w:pStyle w:val="Odstavekseznama"/>
        <w:numPr>
          <w:ilvl w:val="0"/>
          <w:numId w:val="43"/>
        </w:numPr>
        <w:overflowPunct/>
        <w:autoSpaceDE/>
        <w:autoSpaceDN/>
        <w:adjustRightInd/>
        <w:spacing w:after="200" w:line="276" w:lineRule="auto"/>
        <w:ind w:left="567" w:hanging="567"/>
        <w:contextualSpacing/>
        <w:textAlignment w:val="auto"/>
        <w:rPr>
          <w:rFonts w:cs="Arial"/>
          <w:szCs w:val="20"/>
          <w:lang w:val="sl-SI"/>
        </w:rPr>
      </w:pPr>
      <w:r w:rsidRPr="00545EC0">
        <w:rPr>
          <w:rFonts w:cs="Arial"/>
          <w:szCs w:val="20"/>
          <w:lang w:val="sl-SI"/>
        </w:rPr>
        <w:t>Zakon o varstvu okolja in podzakonski akti</w:t>
      </w:r>
      <w:r w:rsidR="00A01787">
        <w:rPr>
          <w:rFonts w:cs="Arial"/>
          <w:szCs w:val="20"/>
          <w:lang w:val="sl-SI"/>
        </w:rPr>
        <w:t>:</w:t>
      </w:r>
    </w:p>
    <w:p w14:paraId="44A2E0B0" w14:textId="7C6C8724" w:rsidR="00FE59C8" w:rsidRPr="00545EC0" w:rsidRDefault="00FE59C8" w:rsidP="00EB3FD7">
      <w:pPr>
        <w:numPr>
          <w:ilvl w:val="0"/>
          <w:numId w:val="44"/>
        </w:numPr>
        <w:tabs>
          <w:tab w:val="center" w:pos="709"/>
        </w:tabs>
        <w:rPr>
          <w:rFonts w:cs="Arial"/>
          <w:szCs w:val="20"/>
        </w:rPr>
      </w:pPr>
      <w:r w:rsidRPr="00545EC0">
        <w:rPr>
          <w:rFonts w:cs="Arial"/>
          <w:szCs w:val="20"/>
        </w:rPr>
        <w:lastRenderedPageBreak/>
        <w:t>Uredba o stanju površinskih voda (</w:t>
      </w:r>
      <w:r w:rsidR="00EB3FD7" w:rsidRPr="00EB3FD7">
        <w:rPr>
          <w:rFonts w:cs="Arial"/>
          <w:szCs w:val="20"/>
        </w:rPr>
        <w:t>Uradni list RS, št. 14/09, 98/10, 96/13, 24/16 in 44/22 – ZVO-2</w:t>
      </w:r>
      <w:r w:rsidRPr="00545EC0">
        <w:rPr>
          <w:rFonts w:cs="Arial"/>
          <w:szCs w:val="20"/>
        </w:rPr>
        <w:t>)</w:t>
      </w:r>
    </w:p>
    <w:p w14:paraId="37928685" w14:textId="6A895C92" w:rsidR="00FE59C8" w:rsidRPr="00545EC0" w:rsidRDefault="00FE59C8" w:rsidP="00EB3FD7">
      <w:pPr>
        <w:numPr>
          <w:ilvl w:val="0"/>
          <w:numId w:val="44"/>
        </w:numPr>
        <w:tabs>
          <w:tab w:val="center" w:pos="709"/>
        </w:tabs>
        <w:rPr>
          <w:rFonts w:cs="Arial"/>
          <w:szCs w:val="20"/>
        </w:rPr>
      </w:pPr>
      <w:r w:rsidRPr="00545EC0">
        <w:rPr>
          <w:rFonts w:cs="Arial"/>
          <w:szCs w:val="20"/>
        </w:rPr>
        <w:t xml:space="preserve">Uredba o stanju podzemnih voda (Uradni list RS, </w:t>
      </w:r>
      <w:r w:rsidR="00EB3FD7" w:rsidRPr="00EB3FD7">
        <w:rPr>
          <w:rFonts w:cs="Arial"/>
          <w:szCs w:val="20"/>
        </w:rPr>
        <w:t>št. 25/09, 68/12, 66/16 in 44/22 – ZVO-2</w:t>
      </w:r>
      <w:r w:rsidRPr="00545EC0">
        <w:rPr>
          <w:rFonts w:cs="Arial"/>
          <w:szCs w:val="20"/>
        </w:rPr>
        <w:t>)</w:t>
      </w:r>
    </w:p>
    <w:p w14:paraId="0B3F7A35" w14:textId="57041429" w:rsidR="00FE59C8" w:rsidRPr="00545EC0" w:rsidRDefault="00FE59C8" w:rsidP="00EB3FD7">
      <w:pPr>
        <w:numPr>
          <w:ilvl w:val="0"/>
          <w:numId w:val="44"/>
        </w:numPr>
        <w:tabs>
          <w:tab w:val="center" w:pos="709"/>
        </w:tabs>
        <w:rPr>
          <w:rFonts w:cs="Arial"/>
          <w:szCs w:val="20"/>
        </w:rPr>
      </w:pPr>
      <w:r w:rsidRPr="00545EC0">
        <w:rPr>
          <w:rFonts w:cs="Arial"/>
          <w:szCs w:val="20"/>
        </w:rPr>
        <w:t xml:space="preserve">Uredba o odvajanju in čiščenju komunalne odpadne vode (Uradni list RS, </w:t>
      </w:r>
      <w:r w:rsidR="00EB3FD7" w:rsidRPr="00EB3FD7">
        <w:rPr>
          <w:rFonts w:cs="Arial"/>
          <w:szCs w:val="20"/>
        </w:rPr>
        <w:t>št. 98/15, 76/17, 81/19, 194/21 in 44/22 – ZVO-2</w:t>
      </w:r>
      <w:r w:rsidRPr="00545EC0">
        <w:rPr>
          <w:rFonts w:cs="Arial"/>
          <w:szCs w:val="20"/>
        </w:rPr>
        <w:t xml:space="preserve">) </w:t>
      </w:r>
    </w:p>
    <w:p w14:paraId="1D3FE739" w14:textId="528647AE" w:rsidR="00FE59C8" w:rsidRPr="00545EC0" w:rsidRDefault="00FE59C8" w:rsidP="00EB3FD7">
      <w:pPr>
        <w:numPr>
          <w:ilvl w:val="0"/>
          <w:numId w:val="44"/>
        </w:numPr>
        <w:tabs>
          <w:tab w:val="center" w:pos="709"/>
        </w:tabs>
        <w:rPr>
          <w:rFonts w:cs="Arial"/>
          <w:szCs w:val="20"/>
        </w:rPr>
      </w:pPr>
      <w:r w:rsidRPr="00545EC0">
        <w:rPr>
          <w:rFonts w:cs="Arial"/>
          <w:szCs w:val="20"/>
        </w:rPr>
        <w:t xml:space="preserve">Uredba o emisiji snovi in toplote pri odvajanju odpadnih voda v vode in javno kanalizacijo (Uradni list RS, </w:t>
      </w:r>
      <w:r w:rsidR="00EB3FD7" w:rsidRPr="00EB3FD7">
        <w:rPr>
          <w:rFonts w:cs="Arial"/>
          <w:szCs w:val="20"/>
        </w:rPr>
        <w:t>št. 64/12, 64/14, 98/15, 44/22 – ZVO-2 in 75/22</w:t>
      </w:r>
      <w:r w:rsidRPr="00545EC0">
        <w:rPr>
          <w:rFonts w:cs="Arial"/>
          <w:szCs w:val="20"/>
        </w:rPr>
        <w:t>)</w:t>
      </w:r>
    </w:p>
    <w:p w14:paraId="0FC1F48A" w14:textId="77777777" w:rsidR="001A5370" w:rsidRDefault="00EB3FD7" w:rsidP="00EB3FD7">
      <w:pPr>
        <w:numPr>
          <w:ilvl w:val="0"/>
          <w:numId w:val="44"/>
        </w:numPr>
        <w:tabs>
          <w:tab w:val="center" w:pos="709"/>
        </w:tabs>
        <w:rPr>
          <w:rFonts w:cs="Arial"/>
          <w:szCs w:val="20"/>
        </w:rPr>
      </w:pPr>
      <w:r w:rsidRPr="00EB3FD7">
        <w:rPr>
          <w:rFonts w:cs="Arial"/>
          <w:szCs w:val="20"/>
        </w:rPr>
        <w:t>Uredba o vrsti dejavnosti in naprav, ki povzročajo industrijske emisije (Uradni list RS, št. 68/22)</w:t>
      </w:r>
      <w:r w:rsidRPr="00EB3FD7" w:rsidDel="00EB3FD7">
        <w:rPr>
          <w:rFonts w:cs="Arial"/>
          <w:szCs w:val="20"/>
        </w:rPr>
        <w:t xml:space="preserve"> </w:t>
      </w:r>
    </w:p>
    <w:p w14:paraId="17CAB555" w14:textId="1ECF0CE1" w:rsidR="00FE59C8" w:rsidRPr="00545EC0" w:rsidRDefault="00FE59C8" w:rsidP="00EB3FD7">
      <w:pPr>
        <w:numPr>
          <w:ilvl w:val="0"/>
          <w:numId w:val="44"/>
        </w:numPr>
        <w:tabs>
          <w:tab w:val="center" w:pos="709"/>
        </w:tabs>
        <w:rPr>
          <w:rFonts w:cs="Arial"/>
          <w:szCs w:val="20"/>
        </w:rPr>
      </w:pPr>
      <w:r w:rsidRPr="00545EC0">
        <w:rPr>
          <w:rFonts w:cs="Arial"/>
          <w:szCs w:val="20"/>
        </w:rPr>
        <w:t xml:space="preserve">Uredba o varstvu voda pred onesnaževanjem z nitrati iz kmetijskih virov (Uradni list RS, </w:t>
      </w:r>
      <w:r w:rsidR="00EB3FD7" w:rsidRPr="00EB3FD7">
        <w:rPr>
          <w:rFonts w:cs="Arial"/>
          <w:szCs w:val="20"/>
        </w:rPr>
        <w:t>št. 113/09, 5/13, 22/15, 12/17 in 44/22 – ZVO-2</w:t>
      </w:r>
      <w:r w:rsidRPr="00545EC0">
        <w:rPr>
          <w:rFonts w:cs="Arial"/>
          <w:szCs w:val="20"/>
        </w:rPr>
        <w:t xml:space="preserve">) </w:t>
      </w:r>
    </w:p>
    <w:p w14:paraId="26415177" w14:textId="082DE24E" w:rsidR="000932BC" w:rsidRPr="00545EC0" w:rsidRDefault="00FE59C8" w:rsidP="00EB3FD7">
      <w:pPr>
        <w:numPr>
          <w:ilvl w:val="0"/>
          <w:numId w:val="44"/>
        </w:numPr>
        <w:tabs>
          <w:tab w:val="center" w:pos="709"/>
        </w:tabs>
        <w:rPr>
          <w:rFonts w:cs="Arial"/>
          <w:szCs w:val="20"/>
        </w:rPr>
      </w:pPr>
      <w:r w:rsidRPr="00545EC0">
        <w:rPr>
          <w:rFonts w:cs="Arial"/>
          <w:szCs w:val="20"/>
        </w:rPr>
        <w:t xml:space="preserve">Uredba o kakovosti površinskih voda za življenje sladkovodnih vrst rib (Uradni list RS, </w:t>
      </w:r>
      <w:r w:rsidR="00EB3FD7" w:rsidRPr="00EB3FD7">
        <w:rPr>
          <w:rFonts w:cs="Arial"/>
          <w:szCs w:val="20"/>
        </w:rPr>
        <w:t>št. 46/02, 41/04 – ZVO-1 in 44/22 – ZVO-2</w:t>
      </w:r>
      <w:r w:rsidRPr="00545EC0">
        <w:rPr>
          <w:rFonts w:cs="Arial"/>
          <w:szCs w:val="20"/>
        </w:rPr>
        <w:t>)</w:t>
      </w:r>
    </w:p>
    <w:p w14:paraId="1EA3D4FC" w14:textId="634F7BE6" w:rsidR="00FE59C8" w:rsidRPr="00545EC0" w:rsidRDefault="00FE59C8" w:rsidP="00EB3FD7">
      <w:pPr>
        <w:numPr>
          <w:ilvl w:val="0"/>
          <w:numId w:val="44"/>
        </w:numPr>
        <w:tabs>
          <w:tab w:val="center" w:pos="709"/>
        </w:tabs>
        <w:rPr>
          <w:rFonts w:cs="Arial"/>
          <w:szCs w:val="20"/>
        </w:rPr>
      </w:pPr>
      <w:r w:rsidRPr="00545EC0">
        <w:rPr>
          <w:rFonts w:cs="Arial"/>
          <w:szCs w:val="20"/>
        </w:rPr>
        <w:t xml:space="preserve">Uredba o oskrbi s pitno vodo (Uradni list RS, </w:t>
      </w:r>
      <w:r w:rsidR="00EB3FD7" w:rsidRPr="00EB3FD7">
        <w:rPr>
          <w:rFonts w:cs="Arial"/>
          <w:szCs w:val="20"/>
        </w:rPr>
        <w:t>št. 88/12 in 44/22 – ZVO-2</w:t>
      </w:r>
      <w:r w:rsidRPr="00545EC0">
        <w:rPr>
          <w:rFonts w:cs="Arial"/>
          <w:szCs w:val="20"/>
        </w:rPr>
        <w:t>)</w:t>
      </w:r>
    </w:p>
    <w:p w14:paraId="0E2E9A7F" w14:textId="7B511987" w:rsidR="00FE59C8" w:rsidRPr="00545EC0" w:rsidRDefault="00FE59C8" w:rsidP="00EB3FD7">
      <w:pPr>
        <w:numPr>
          <w:ilvl w:val="0"/>
          <w:numId w:val="44"/>
        </w:numPr>
        <w:tabs>
          <w:tab w:val="center" w:pos="709"/>
        </w:tabs>
        <w:rPr>
          <w:rFonts w:cs="Arial"/>
          <w:szCs w:val="20"/>
        </w:rPr>
      </w:pPr>
      <w:r w:rsidRPr="00545EC0">
        <w:rPr>
          <w:rFonts w:cs="Arial"/>
          <w:szCs w:val="20"/>
        </w:rPr>
        <w:t xml:space="preserve">Uredba o upravljanju kakovosti kopalnih voda (Uradni list RS, </w:t>
      </w:r>
      <w:r w:rsidR="00EB3FD7" w:rsidRPr="00EB3FD7">
        <w:rPr>
          <w:rFonts w:cs="Arial"/>
          <w:szCs w:val="20"/>
        </w:rPr>
        <w:t>št. 25/08 in 44/22 – ZVO-2</w:t>
      </w:r>
      <w:r w:rsidRPr="00545EC0">
        <w:rPr>
          <w:rFonts w:cs="Arial"/>
          <w:szCs w:val="20"/>
        </w:rPr>
        <w:t>)</w:t>
      </w:r>
    </w:p>
    <w:p w14:paraId="2CE9B089" w14:textId="714D5902" w:rsidR="00FE59C8" w:rsidRPr="00545EC0" w:rsidRDefault="00FE59C8" w:rsidP="00EB3FD7">
      <w:pPr>
        <w:numPr>
          <w:ilvl w:val="0"/>
          <w:numId w:val="44"/>
        </w:numPr>
        <w:tabs>
          <w:tab w:val="center" w:pos="709"/>
        </w:tabs>
        <w:rPr>
          <w:rFonts w:cs="Arial"/>
          <w:szCs w:val="20"/>
        </w:rPr>
      </w:pPr>
      <w:r w:rsidRPr="00545EC0">
        <w:rPr>
          <w:rFonts w:cs="Arial"/>
          <w:szCs w:val="20"/>
        </w:rPr>
        <w:t xml:space="preserve">Uredba o okoljski dajatvi za onesnaževanje okolja zaradi odvajanja odpadnih voda (Uradni list RS, </w:t>
      </w:r>
      <w:r w:rsidR="00EB3FD7" w:rsidRPr="00EB3FD7">
        <w:rPr>
          <w:rFonts w:cs="Arial"/>
          <w:szCs w:val="20"/>
        </w:rPr>
        <w:t>št. 80/12, 98/15 in 44/22 – ZVO-2</w:t>
      </w:r>
      <w:r w:rsidRPr="00545EC0">
        <w:rPr>
          <w:rFonts w:cs="Arial"/>
          <w:szCs w:val="20"/>
        </w:rPr>
        <w:t>)</w:t>
      </w:r>
    </w:p>
    <w:p w14:paraId="1C264CAA" w14:textId="3F5CA36E" w:rsidR="00FE59C8" w:rsidRPr="00545EC0" w:rsidRDefault="00FE59C8" w:rsidP="00186467">
      <w:pPr>
        <w:numPr>
          <w:ilvl w:val="0"/>
          <w:numId w:val="44"/>
        </w:numPr>
        <w:tabs>
          <w:tab w:val="center" w:pos="709"/>
        </w:tabs>
        <w:rPr>
          <w:rFonts w:cs="Arial"/>
          <w:szCs w:val="20"/>
        </w:rPr>
      </w:pPr>
      <w:r w:rsidRPr="00545EC0">
        <w:rPr>
          <w:rFonts w:cs="Arial"/>
          <w:szCs w:val="20"/>
        </w:rPr>
        <w:t xml:space="preserve">Uredba o metodologiji za oblikovanje cen storitev obveznih občinskih gospodarskih javnih služb varstva okolja (Uradni list RS, št. </w:t>
      </w:r>
      <w:r w:rsidR="00186467" w:rsidRPr="00186467">
        <w:rPr>
          <w:rFonts w:cs="Arial"/>
          <w:szCs w:val="20"/>
        </w:rPr>
        <w:t>št. 87/12, 109/12, 76/17, 78/19 in 44/22 – ZVO-2</w:t>
      </w:r>
      <w:r w:rsidRPr="00545EC0">
        <w:rPr>
          <w:rFonts w:cs="Arial"/>
          <w:szCs w:val="20"/>
        </w:rPr>
        <w:t>)</w:t>
      </w:r>
    </w:p>
    <w:p w14:paraId="1CCA5D10" w14:textId="5FF6769F" w:rsidR="00186467" w:rsidRDefault="00FE59C8" w:rsidP="00186467">
      <w:pPr>
        <w:numPr>
          <w:ilvl w:val="0"/>
          <w:numId w:val="44"/>
        </w:numPr>
        <w:tabs>
          <w:tab w:val="center" w:pos="709"/>
        </w:tabs>
        <w:rPr>
          <w:rFonts w:cs="Arial"/>
          <w:szCs w:val="20"/>
        </w:rPr>
      </w:pPr>
      <w:r w:rsidRPr="00545EC0">
        <w:rPr>
          <w:rFonts w:cs="Arial"/>
          <w:szCs w:val="20"/>
        </w:rPr>
        <w:t xml:space="preserve">Pravilnik o monitoringu stanja površinskih voda (Uradni list RS, </w:t>
      </w:r>
      <w:r w:rsidR="00186467" w:rsidRPr="00186467">
        <w:rPr>
          <w:rFonts w:cs="Arial"/>
          <w:szCs w:val="20"/>
        </w:rPr>
        <w:t>št. 10/09, 81/11, 73/16 in 44/22 – ZVO-2</w:t>
      </w:r>
      <w:r w:rsidRPr="00545EC0">
        <w:rPr>
          <w:rFonts w:cs="Arial"/>
          <w:szCs w:val="20"/>
        </w:rPr>
        <w:t xml:space="preserve">) </w:t>
      </w:r>
    </w:p>
    <w:p w14:paraId="0457E7E2" w14:textId="0D318C6E" w:rsidR="00FE59C8" w:rsidRPr="00545EC0" w:rsidRDefault="00FE59C8" w:rsidP="00186467">
      <w:pPr>
        <w:numPr>
          <w:ilvl w:val="0"/>
          <w:numId w:val="44"/>
        </w:numPr>
        <w:tabs>
          <w:tab w:val="center" w:pos="709"/>
        </w:tabs>
        <w:rPr>
          <w:rFonts w:cs="Arial"/>
          <w:szCs w:val="20"/>
        </w:rPr>
      </w:pPr>
      <w:r w:rsidRPr="00545EC0">
        <w:rPr>
          <w:rFonts w:cs="Arial"/>
          <w:szCs w:val="20"/>
        </w:rPr>
        <w:t xml:space="preserve">Pravilnik o monitoringu podzemnih voda (Uradni list RS, </w:t>
      </w:r>
      <w:r w:rsidR="00186467" w:rsidRPr="00186467">
        <w:rPr>
          <w:rFonts w:cs="Arial"/>
          <w:szCs w:val="20"/>
        </w:rPr>
        <w:t>št. 31/09 in 44/22 – ZVO-2</w:t>
      </w:r>
      <w:r w:rsidRPr="00545EC0">
        <w:rPr>
          <w:rFonts w:cs="Arial"/>
          <w:szCs w:val="20"/>
        </w:rPr>
        <w:t>)</w:t>
      </w:r>
    </w:p>
    <w:p w14:paraId="3B677F93" w14:textId="40E50332" w:rsidR="00FE59C8" w:rsidRPr="00545EC0" w:rsidRDefault="00FE59C8" w:rsidP="00186467">
      <w:pPr>
        <w:numPr>
          <w:ilvl w:val="0"/>
          <w:numId w:val="44"/>
        </w:numPr>
        <w:tabs>
          <w:tab w:val="center" w:pos="709"/>
        </w:tabs>
        <w:rPr>
          <w:rFonts w:cs="Arial"/>
          <w:szCs w:val="20"/>
        </w:rPr>
      </w:pPr>
      <w:r w:rsidRPr="00545EC0">
        <w:rPr>
          <w:rFonts w:cs="Arial"/>
          <w:szCs w:val="20"/>
        </w:rPr>
        <w:t xml:space="preserve">Pravilnik o imisijskem monitoringu kakovosti površinske vode za življenje sladkovodnih vrst rib (Uradni list RS, </w:t>
      </w:r>
      <w:r w:rsidR="00186467" w:rsidRPr="00186467">
        <w:rPr>
          <w:rFonts w:cs="Arial"/>
          <w:szCs w:val="20"/>
        </w:rPr>
        <w:t>št. 71/02, 41/04 – ZVO-1 in 44/22 – ZVO-2</w:t>
      </w:r>
      <w:r w:rsidRPr="00545EC0">
        <w:rPr>
          <w:rFonts w:cs="Arial"/>
          <w:szCs w:val="20"/>
        </w:rPr>
        <w:t xml:space="preserve">) </w:t>
      </w:r>
    </w:p>
    <w:p w14:paraId="0C960645" w14:textId="2CB86796" w:rsidR="00FE59C8" w:rsidRPr="00545EC0" w:rsidRDefault="00FE59C8" w:rsidP="00186467">
      <w:pPr>
        <w:numPr>
          <w:ilvl w:val="0"/>
          <w:numId w:val="44"/>
        </w:numPr>
        <w:tabs>
          <w:tab w:val="center" w:pos="709"/>
        </w:tabs>
        <w:rPr>
          <w:rFonts w:cs="Arial"/>
          <w:szCs w:val="20"/>
        </w:rPr>
      </w:pPr>
      <w:r w:rsidRPr="00545EC0">
        <w:rPr>
          <w:rFonts w:cs="Arial"/>
          <w:szCs w:val="20"/>
        </w:rPr>
        <w:t xml:space="preserve">Pravilnik o določitvi odsekov površinskih voda, pomembnih za življenje sladkovodnih vrst rib (Uradni list RS, </w:t>
      </w:r>
      <w:r w:rsidR="00186467" w:rsidRPr="00186467">
        <w:rPr>
          <w:rFonts w:cs="Arial"/>
          <w:szCs w:val="20"/>
        </w:rPr>
        <w:t>št. 28/05, 8/18 in 44/22 – ZVO-2</w:t>
      </w:r>
      <w:r w:rsidRPr="00545EC0">
        <w:rPr>
          <w:rFonts w:cs="Arial"/>
          <w:szCs w:val="20"/>
        </w:rPr>
        <w:t>)</w:t>
      </w:r>
    </w:p>
    <w:p w14:paraId="727B2CB3" w14:textId="396AB7D7" w:rsidR="00FE59C8" w:rsidRPr="00545EC0" w:rsidRDefault="00FE59C8" w:rsidP="00186467">
      <w:pPr>
        <w:numPr>
          <w:ilvl w:val="0"/>
          <w:numId w:val="44"/>
        </w:numPr>
        <w:tabs>
          <w:tab w:val="center" w:pos="709"/>
        </w:tabs>
        <w:rPr>
          <w:rFonts w:cs="Arial"/>
          <w:szCs w:val="20"/>
        </w:rPr>
      </w:pPr>
      <w:r w:rsidRPr="00545EC0">
        <w:rPr>
          <w:rFonts w:cs="Arial"/>
          <w:szCs w:val="20"/>
        </w:rPr>
        <w:t xml:space="preserve">Pravilnik o obratovalnem monitoringu stanja površinskih voda (Uradni list RS, </w:t>
      </w:r>
      <w:r w:rsidR="00186467" w:rsidRPr="00186467">
        <w:rPr>
          <w:rFonts w:cs="Arial"/>
          <w:szCs w:val="20"/>
        </w:rPr>
        <w:t>št. 91/13 in 44/22 – ZVO-2</w:t>
      </w:r>
      <w:r w:rsidRPr="00545EC0">
        <w:rPr>
          <w:rFonts w:cs="Arial"/>
          <w:szCs w:val="20"/>
        </w:rPr>
        <w:t>)</w:t>
      </w:r>
    </w:p>
    <w:p w14:paraId="32DF0332" w14:textId="4E1B7E7C" w:rsidR="000932BC" w:rsidRPr="00545EC0" w:rsidRDefault="00FE59C8" w:rsidP="00186467">
      <w:pPr>
        <w:numPr>
          <w:ilvl w:val="0"/>
          <w:numId w:val="44"/>
        </w:numPr>
        <w:tabs>
          <w:tab w:val="center" w:pos="709"/>
        </w:tabs>
        <w:rPr>
          <w:rFonts w:cs="Arial"/>
          <w:szCs w:val="20"/>
        </w:rPr>
      </w:pPr>
      <w:r w:rsidRPr="00545EC0">
        <w:rPr>
          <w:rFonts w:cs="Arial"/>
          <w:szCs w:val="20"/>
        </w:rPr>
        <w:t xml:space="preserve">Pravilnik o obratovalnem monitoringu stanja podzemne vode (Uradni list RS, </w:t>
      </w:r>
      <w:r w:rsidR="00186467" w:rsidRPr="00186467">
        <w:rPr>
          <w:rFonts w:cs="Arial"/>
          <w:szCs w:val="20"/>
        </w:rPr>
        <w:t>št. 13/21 in 44/22 – ZVO-2</w:t>
      </w:r>
      <w:r w:rsidRPr="00545EC0">
        <w:rPr>
          <w:rFonts w:cs="Arial"/>
          <w:szCs w:val="20"/>
        </w:rPr>
        <w:t>)</w:t>
      </w:r>
    </w:p>
    <w:p w14:paraId="2A8EDBAE" w14:textId="0FD02A8D" w:rsidR="00A01787" w:rsidRDefault="005728DF" w:rsidP="001A5370">
      <w:pPr>
        <w:numPr>
          <w:ilvl w:val="0"/>
          <w:numId w:val="44"/>
        </w:numPr>
        <w:tabs>
          <w:tab w:val="center" w:pos="709"/>
        </w:tabs>
        <w:rPr>
          <w:rFonts w:cs="Arial"/>
          <w:szCs w:val="22"/>
          <w:lang w:eastAsia="ja-JP"/>
        </w:rPr>
      </w:pPr>
      <w:r w:rsidRPr="00A01787">
        <w:rPr>
          <w:rFonts w:cs="Arial"/>
          <w:szCs w:val="20"/>
        </w:rPr>
        <w:t>Uredba o izvajanju Uredbe Evropskega parlamenta in Sveta (ES) št. 166/2006 o Evropskem registru izpustov in prenosov onesnaževal ter spremembi Direktiv Sveta 91/689/EGS in 96/61/ES (</w:t>
      </w:r>
      <w:r w:rsidRPr="009C3FE4">
        <w:rPr>
          <w:rFonts w:cs="Arial"/>
          <w:szCs w:val="20"/>
        </w:rPr>
        <w:t>Uradni list RS, št. 77/06)</w:t>
      </w:r>
    </w:p>
    <w:p w14:paraId="1F237917" w14:textId="77777777" w:rsidR="00A01787" w:rsidRPr="009B12B2" w:rsidRDefault="00122042" w:rsidP="001A5370">
      <w:pPr>
        <w:numPr>
          <w:ilvl w:val="0"/>
          <w:numId w:val="44"/>
        </w:numPr>
        <w:tabs>
          <w:tab w:val="center" w:pos="709"/>
        </w:tabs>
        <w:rPr>
          <w:rFonts w:cs="Arial"/>
          <w:szCs w:val="22"/>
          <w:lang w:eastAsia="ja-JP"/>
        </w:rPr>
      </w:pPr>
      <w:r w:rsidRPr="00A01787">
        <w:rPr>
          <w:rFonts w:cs="Arial"/>
          <w:szCs w:val="22"/>
          <w:lang w:eastAsia="ja-JP"/>
        </w:rPr>
        <w:t>Uredba (EU) št. 1143/2014 Evropskega parlamenta in Sveta z dne 22. oktobra 2014 o preprečevanju in obvladovanju</w:t>
      </w:r>
      <w:r w:rsidRPr="009C3FE4">
        <w:rPr>
          <w:rFonts w:cs="Arial"/>
          <w:szCs w:val="22"/>
          <w:lang w:eastAsia="ja-JP"/>
        </w:rPr>
        <w:t xml:space="preserve"> </w:t>
      </w:r>
      <w:r w:rsidRPr="009B12B2">
        <w:rPr>
          <w:rFonts w:cs="Arial"/>
          <w:szCs w:val="22"/>
          <w:lang w:eastAsia="ja-JP"/>
        </w:rPr>
        <w:t>vnosa in širjenja invazivnih tujerodnih vrst.</w:t>
      </w:r>
    </w:p>
    <w:p w14:paraId="074715D2" w14:textId="77777777" w:rsidR="000932BC" w:rsidRPr="00545EC0" w:rsidRDefault="000932BC" w:rsidP="00FE59C8">
      <w:pPr>
        <w:rPr>
          <w:rFonts w:cs="Arial"/>
        </w:rPr>
      </w:pPr>
    </w:p>
    <w:p w14:paraId="6C396E5A" w14:textId="1A95ED4E" w:rsidR="00FE59C8" w:rsidRPr="00545EC0" w:rsidRDefault="00FE59C8" w:rsidP="00FE59C8">
      <w:pPr>
        <w:rPr>
          <w:rFonts w:cs="Arial"/>
        </w:rPr>
      </w:pPr>
      <w:r w:rsidRPr="00545EC0">
        <w:rPr>
          <w:rFonts w:cs="Arial"/>
        </w:rPr>
        <w:t>Za potrebe priprave načrta upravljanja voda so bili uporabljeni podzakonski predpisi, ki jih urejajo  drugi zakoni, zlasti:</w:t>
      </w:r>
    </w:p>
    <w:p w14:paraId="724B58BF" w14:textId="77777777" w:rsidR="00FE59C8" w:rsidRPr="00545EC0" w:rsidRDefault="00FE59C8" w:rsidP="00DD37C5">
      <w:pPr>
        <w:numPr>
          <w:ilvl w:val="0"/>
          <w:numId w:val="44"/>
        </w:numPr>
        <w:tabs>
          <w:tab w:val="center" w:pos="709"/>
        </w:tabs>
        <w:ind w:left="709" w:hanging="283"/>
        <w:rPr>
          <w:rFonts w:cs="Arial"/>
          <w:szCs w:val="20"/>
        </w:rPr>
      </w:pPr>
      <w:r w:rsidRPr="00545EC0">
        <w:rPr>
          <w:rFonts w:cs="Arial"/>
          <w:szCs w:val="20"/>
        </w:rPr>
        <w:t xml:space="preserve">Zakon o varstvu pred naravnimi in drugimi nesrečami (Uradni list RS, št. 51/06 – uradno prečiščeno besedilo in 97/10 in 21/18 – ZNOrg): </w:t>
      </w:r>
    </w:p>
    <w:p w14:paraId="4F98805C" w14:textId="77777777" w:rsidR="00FE59C8" w:rsidRPr="00545EC0" w:rsidRDefault="00FE59C8" w:rsidP="00DD37C5">
      <w:pPr>
        <w:numPr>
          <w:ilvl w:val="1"/>
          <w:numId w:val="46"/>
        </w:numPr>
        <w:rPr>
          <w:rFonts w:cs="Arial"/>
          <w:szCs w:val="20"/>
        </w:rPr>
      </w:pPr>
      <w:r w:rsidRPr="00545EC0">
        <w:rPr>
          <w:rFonts w:cs="Arial"/>
          <w:szCs w:val="20"/>
        </w:rPr>
        <w:t>Uredba o pogojih in omejitvah za izvajanje dejavnosti in posegov v prostor na območjih, ogroženih zaradi poplav in z njimi povezane erozije celinskih voda in morja (Uradni list RS, št. 89/08 in 49/20)</w:t>
      </w:r>
    </w:p>
    <w:p w14:paraId="288135B2" w14:textId="77777777" w:rsidR="00FE59C8" w:rsidRPr="00545EC0" w:rsidRDefault="00FE59C8" w:rsidP="00DD37C5">
      <w:pPr>
        <w:numPr>
          <w:ilvl w:val="0"/>
          <w:numId w:val="44"/>
        </w:numPr>
        <w:tabs>
          <w:tab w:val="center" w:pos="709"/>
        </w:tabs>
        <w:ind w:left="709" w:hanging="283"/>
        <w:rPr>
          <w:rFonts w:cs="Arial"/>
          <w:szCs w:val="20"/>
        </w:rPr>
      </w:pPr>
      <w:r w:rsidRPr="00545EC0">
        <w:rPr>
          <w:rFonts w:cs="Arial"/>
          <w:szCs w:val="20"/>
        </w:rPr>
        <w:t>Zakon o kmetijstvu (Uradni list RS, št. 45/08, 57/12, 90/12 – ZdZPVHVVR, 26/14, 32/15, 27/17 in 22/18, 86/21, odl. US in 123/21):</w:t>
      </w:r>
    </w:p>
    <w:p w14:paraId="7FF5B332" w14:textId="5455D8F9" w:rsidR="00FE59C8" w:rsidRPr="00545EC0" w:rsidRDefault="00D7150F" w:rsidP="00DD37C5">
      <w:pPr>
        <w:numPr>
          <w:ilvl w:val="1"/>
          <w:numId w:val="46"/>
        </w:numPr>
        <w:rPr>
          <w:rFonts w:cs="Arial"/>
          <w:szCs w:val="20"/>
        </w:rPr>
      </w:pPr>
      <w:r w:rsidRPr="00545EC0">
        <w:rPr>
          <w:rFonts w:cs="Arial"/>
          <w:szCs w:val="20"/>
        </w:rPr>
        <w:t>Pravilnik</w:t>
      </w:r>
      <w:r w:rsidR="00FE59C8" w:rsidRPr="00545EC0">
        <w:rPr>
          <w:rFonts w:cs="Arial"/>
          <w:szCs w:val="20"/>
        </w:rPr>
        <w:t xml:space="preserve"> o evidenci dejanske rabe kmetijskih in gozdnih zemljišč (Uradni lis</w:t>
      </w:r>
      <w:r w:rsidRPr="00545EC0">
        <w:rPr>
          <w:rFonts w:cs="Arial"/>
          <w:szCs w:val="20"/>
        </w:rPr>
        <w:t>t RS, št. 122/08, 4/10, 110/10)</w:t>
      </w:r>
    </w:p>
    <w:p w14:paraId="21B4CED6" w14:textId="77777777" w:rsidR="007E2A2E" w:rsidRPr="00545EC0" w:rsidRDefault="007E2A2E" w:rsidP="00DD37C5">
      <w:pPr>
        <w:numPr>
          <w:ilvl w:val="0"/>
          <w:numId w:val="46"/>
        </w:numPr>
        <w:tabs>
          <w:tab w:val="center" w:pos="709"/>
        </w:tabs>
        <w:rPr>
          <w:rFonts w:cs="Arial"/>
          <w:szCs w:val="20"/>
        </w:rPr>
      </w:pPr>
      <w:r w:rsidRPr="00545EC0">
        <w:rPr>
          <w:rFonts w:cs="Arial"/>
          <w:szCs w:val="20"/>
        </w:rPr>
        <w:t>Zakon o gozdovih (Uradni list RS, št. 30/93, 56/99 – ZON, 67/02, 110/02 – ZGO-1, 115/06 – ORZG40, 110/07, 106/10, 63/13, 101/13 – ZDavNepr, 17/14, 22/14 – odl. US, 24/15, 9/16 – ZGGLRS in 77/16)</w:t>
      </w:r>
    </w:p>
    <w:p w14:paraId="30435230" w14:textId="36D27DD8" w:rsidR="007E2A2E" w:rsidRPr="00545EC0" w:rsidRDefault="007E2A2E" w:rsidP="00DD37C5">
      <w:pPr>
        <w:numPr>
          <w:ilvl w:val="1"/>
          <w:numId w:val="46"/>
        </w:numPr>
        <w:rPr>
          <w:rFonts w:cs="Arial"/>
          <w:szCs w:val="20"/>
        </w:rPr>
      </w:pPr>
      <w:r w:rsidRPr="00545EC0">
        <w:rPr>
          <w:rFonts w:cs="Arial"/>
          <w:szCs w:val="20"/>
        </w:rPr>
        <w:lastRenderedPageBreak/>
        <w:t>Resolucija o nacionalnem gozdnem programu (Uradni list RS, št. 111/07)</w:t>
      </w:r>
    </w:p>
    <w:p w14:paraId="0FE87496" w14:textId="77777777" w:rsidR="00FE59C8" w:rsidRPr="00545EC0" w:rsidRDefault="00FE59C8" w:rsidP="00DD37C5">
      <w:pPr>
        <w:numPr>
          <w:ilvl w:val="0"/>
          <w:numId w:val="44"/>
        </w:numPr>
        <w:tabs>
          <w:tab w:val="center" w:pos="709"/>
        </w:tabs>
        <w:ind w:left="709" w:hanging="283"/>
        <w:rPr>
          <w:rFonts w:cs="Arial"/>
          <w:szCs w:val="20"/>
        </w:rPr>
      </w:pPr>
      <w:r w:rsidRPr="00545EC0">
        <w:rPr>
          <w:rFonts w:cs="Arial"/>
          <w:szCs w:val="20"/>
        </w:rPr>
        <w:t xml:space="preserve">Zakon o zdravstveni ustreznosti živil in izdelkov ter snovi, ki prihajajo v stik z živili (Uradni list RS, št. 52/00, 42/02 in 47/04 – ZdZPZ): </w:t>
      </w:r>
    </w:p>
    <w:p w14:paraId="63CD55DD" w14:textId="77777777" w:rsidR="00FE59C8" w:rsidRPr="00545EC0" w:rsidRDefault="00FE59C8" w:rsidP="00DD37C5">
      <w:pPr>
        <w:numPr>
          <w:ilvl w:val="1"/>
          <w:numId w:val="46"/>
        </w:numPr>
        <w:rPr>
          <w:rFonts w:cs="Arial"/>
          <w:szCs w:val="20"/>
        </w:rPr>
      </w:pPr>
      <w:r w:rsidRPr="00545EC0">
        <w:rPr>
          <w:rFonts w:cs="Arial"/>
          <w:szCs w:val="20"/>
        </w:rPr>
        <w:t xml:space="preserve">Pravilnik o pitni vodi (Uradni list RS, št. 19/04, 35/04, 26/06, 92/06, 25/09, 74/15 in 51/17) </w:t>
      </w:r>
    </w:p>
    <w:p w14:paraId="5763E20A" w14:textId="77777777" w:rsidR="00FE59C8" w:rsidRPr="00545EC0" w:rsidRDefault="00FE59C8" w:rsidP="00DD37C5">
      <w:pPr>
        <w:numPr>
          <w:ilvl w:val="0"/>
          <w:numId w:val="44"/>
        </w:numPr>
        <w:tabs>
          <w:tab w:val="center" w:pos="709"/>
        </w:tabs>
        <w:ind w:left="709" w:hanging="283"/>
        <w:rPr>
          <w:rFonts w:cs="Arial"/>
          <w:szCs w:val="20"/>
        </w:rPr>
      </w:pPr>
      <w:r w:rsidRPr="00545EC0">
        <w:rPr>
          <w:rFonts w:cs="Arial"/>
          <w:szCs w:val="20"/>
        </w:rPr>
        <w:t>Zakon o ohranjanju narave (Uradni list RS, št. 96/04 – uradno prečiščeno besedilo, 61/06 – ZDru-1, 8/10 – ZSKZ-B, 46/14, 21/18 – ZNOrg, 31/18 in 82/20):</w:t>
      </w:r>
    </w:p>
    <w:p w14:paraId="2DE382E9" w14:textId="77777777" w:rsidR="00FE59C8" w:rsidRPr="00545EC0" w:rsidRDefault="00FE59C8" w:rsidP="00DD37C5">
      <w:pPr>
        <w:numPr>
          <w:ilvl w:val="1"/>
          <w:numId w:val="46"/>
        </w:numPr>
        <w:rPr>
          <w:rFonts w:cs="Arial"/>
          <w:szCs w:val="20"/>
        </w:rPr>
      </w:pPr>
      <w:r w:rsidRPr="00545EC0">
        <w:rPr>
          <w:rFonts w:cs="Arial"/>
          <w:szCs w:val="20"/>
        </w:rPr>
        <w:t>Uredba o zvrsteh naravnih vrednot (Uradni list RS, št. 52/02 in 67/03)</w:t>
      </w:r>
    </w:p>
    <w:p w14:paraId="0C21DFFE" w14:textId="77777777" w:rsidR="00FE59C8" w:rsidRPr="00545EC0" w:rsidRDefault="00FE59C8" w:rsidP="00DD37C5">
      <w:pPr>
        <w:numPr>
          <w:ilvl w:val="1"/>
          <w:numId w:val="46"/>
        </w:numPr>
        <w:rPr>
          <w:rFonts w:cs="Arial"/>
          <w:szCs w:val="20"/>
        </w:rPr>
      </w:pPr>
      <w:r w:rsidRPr="00545EC0">
        <w:rPr>
          <w:rFonts w:cs="Arial"/>
          <w:szCs w:val="20"/>
        </w:rPr>
        <w:t>Uredba o ekološko pomembnih območjih (Uradni list RS, št. 48/04, 33/13, 99/13 in 47/18)</w:t>
      </w:r>
    </w:p>
    <w:p w14:paraId="0A9AC15C" w14:textId="77777777" w:rsidR="00FE59C8" w:rsidRPr="00545EC0" w:rsidRDefault="00FE59C8" w:rsidP="00DD37C5">
      <w:pPr>
        <w:numPr>
          <w:ilvl w:val="1"/>
          <w:numId w:val="46"/>
        </w:numPr>
        <w:rPr>
          <w:rFonts w:cs="Arial"/>
          <w:szCs w:val="20"/>
        </w:rPr>
      </w:pPr>
      <w:r w:rsidRPr="00545EC0">
        <w:rPr>
          <w:rFonts w:cs="Arial"/>
          <w:szCs w:val="20"/>
        </w:rPr>
        <w:t>Uredba o posebnih varstvenih območjih (območjih Natura 2000) (Uradni list RS, št. 49/04, 110/04, 59/07, 43/08, 8/12, 33/13, 35/13 – popr., 39/13 – odl. US, 3/14, 21/16 in 47/18)</w:t>
      </w:r>
    </w:p>
    <w:p w14:paraId="6DF88EBB" w14:textId="77777777" w:rsidR="00FE59C8" w:rsidRPr="00545EC0" w:rsidRDefault="00FE59C8" w:rsidP="00DD37C5">
      <w:pPr>
        <w:numPr>
          <w:ilvl w:val="0"/>
          <w:numId w:val="44"/>
        </w:numPr>
        <w:tabs>
          <w:tab w:val="center" w:pos="709"/>
        </w:tabs>
        <w:ind w:left="709" w:hanging="283"/>
        <w:rPr>
          <w:rFonts w:cs="Arial"/>
          <w:szCs w:val="20"/>
        </w:rPr>
      </w:pPr>
      <w:r w:rsidRPr="00545EC0">
        <w:rPr>
          <w:rFonts w:cs="Arial"/>
          <w:szCs w:val="20"/>
        </w:rPr>
        <w:t xml:space="preserve">Zakon o javnih financah (Uradni list RS, št. 11/11 – uradno prečiščeno besedilo, 14/13 – popr., 101/13, 55/15 – ZfisP, 96/15 – ZIPRS1617, 13/18 in 195/20 – odl. US): </w:t>
      </w:r>
    </w:p>
    <w:p w14:paraId="7388917E" w14:textId="77777777" w:rsidR="00FE59C8" w:rsidRPr="00545EC0" w:rsidRDefault="00FE59C8" w:rsidP="00DD37C5">
      <w:pPr>
        <w:numPr>
          <w:ilvl w:val="1"/>
          <w:numId w:val="46"/>
        </w:numPr>
        <w:rPr>
          <w:rFonts w:cs="Arial"/>
          <w:szCs w:val="20"/>
        </w:rPr>
      </w:pPr>
      <w:r w:rsidRPr="00545EC0">
        <w:rPr>
          <w:rFonts w:cs="Arial"/>
          <w:szCs w:val="20"/>
        </w:rPr>
        <w:t>Uredba o enotni metodologiji za pripravo in obravnavo investicijske dokumentacije na področju javnih financ (Uradni list RS, št. 60/06, 54/10 in 27/16)</w:t>
      </w:r>
    </w:p>
    <w:p w14:paraId="59428ED3" w14:textId="77777777" w:rsidR="00FE59C8" w:rsidRPr="00545EC0" w:rsidRDefault="00FE59C8" w:rsidP="00DD37C5">
      <w:pPr>
        <w:numPr>
          <w:ilvl w:val="0"/>
          <w:numId w:val="44"/>
        </w:numPr>
        <w:tabs>
          <w:tab w:val="center" w:pos="709"/>
        </w:tabs>
        <w:ind w:left="709" w:hanging="283"/>
        <w:rPr>
          <w:rFonts w:cs="Arial"/>
          <w:szCs w:val="20"/>
        </w:rPr>
      </w:pPr>
      <w:r w:rsidRPr="00545EC0">
        <w:rPr>
          <w:rFonts w:cs="Arial"/>
          <w:szCs w:val="20"/>
        </w:rPr>
        <w:t>Zakon o sladkovodnem ribištvu (Uradni list RS, št. 61/06):</w:t>
      </w:r>
    </w:p>
    <w:p w14:paraId="696E1ED3" w14:textId="77777777" w:rsidR="00FE59C8" w:rsidRPr="00545EC0" w:rsidRDefault="00FE59C8" w:rsidP="00DD37C5">
      <w:pPr>
        <w:numPr>
          <w:ilvl w:val="1"/>
          <w:numId w:val="46"/>
        </w:numPr>
        <w:rPr>
          <w:rFonts w:cs="Arial"/>
          <w:szCs w:val="20"/>
        </w:rPr>
      </w:pPr>
      <w:r w:rsidRPr="00545EC0">
        <w:rPr>
          <w:rFonts w:cs="Arial"/>
          <w:szCs w:val="20"/>
        </w:rPr>
        <w:t>Uredba o določitvi voda posebnega pomena ter načinu izvajanja ribiškega upravljanja v njih (Uradni list RS, št. 52/07)</w:t>
      </w:r>
    </w:p>
    <w:p w14:paraId="4D1CD7B4" w14:textId="0B0BFA2D" w:rsidR="000932BC" w:rsidRPr="00545EC0" w:rsidRDefault="000932BC" w:rsidP="00DD37C5">
      <w:pPr>
        <w:pStyle w:val="Odstavekseznama"/>
        <w:numPr>
          <w:ilvl w:val="1"/>
          <w:numId w:val="46"/>
        </w:numPr>
        <w:rPr>
          <w:rFonts w:cs="Arial"/>
          <w:szCs w:val="20"/>
        </w:rPr>
      </w:pPr>
      <w:r w:rsidRPr="00545EC0">
        <w:rPr>
          <w:rFonts w:cs="Arial"/>
          <w:szCs w:val="20"/>
          <w:lang w:val="sl-SI" w:eastAsia="sl-SI"/>
        </w:rPr>
        <w:t>Pravilnik o ribolovnem režimu v ribolovnih vodah (Uradni list RS, št. 99/07 in 75/10)</w:t>
      </w:r>
    </w:p>
    <w:p w14:paraId="2CFDFE5F" w14:textId="799B3802" w:rsidR="00F07473" w:rsidRPr="00545EC0" w:rsidRDefault="00FE59C8" w:rsidP="00DD37C5">
      <w:pPr>
        <w:numPr>
          <w:ilvl w:val="0"/>
          <w:numId w:val="44"/>
        </w:numPr>
        <w:tabs>
          <w:tab w:val="center" w:pos="709"/>
        </w:tabs>
        <w:ind w:left="709" w:hanging="283"/>
        <w:rPr>
          <w:rFonts w:cs="Arial"/>
          <w:szCs w:val="20"/>
        </w:rPr>
      </w:pPr>
      <w:r w:rsidRPr="00545EC0">
        <w:rPr>
          <w:rFonts w:cs="Arial"/>
          <w:szCs w:val="20"/>
        </w:rPr>
        <w:t>Zakon o prostorskem načrtovanju (Uradni list RS, št. 33/07, 70/08 – ZVO-1B, 108/09, 80/10 – ZUPUDPP, 43/11 – ZKZ-C, 57/12, 57/12 – ZUPUDPP-A, 109/12, 76/14 – odl. US, 14/15 – ZUUJFO in 61/17 – ZUreP-2)</w:t>
      </w:r>
    </w:p>
    <w:p w14:paraId="7EBA3C01" w14:textId="27145D67" w:rsidR="00FE59C8" w:rsidRPr="00545EC0" w:rsidRDefault="00FE59C8" w:rsidP="00DD37C5">
      <w:pPr>
        <w:pStyle w:val="Odstavekseznama"/>
        <w:numPr>
          <w:ilvl w:val="1"/>
          <w:numId w:val="46"/>
        </w:numPr>
        <w:rPr>
          <w:rFonts w:cs="Arial"/>
          <w:szCs w:val="20"/>
        </w:rPr>
      </w:pPr>
      <w:r w:rsidRPr="00545EC0">
        <w:rPr>
          <w:rFonts w:cs="Arial"/>
          <w:szCs w:val="20"/>
        </w:rPr>
        <w:t>Uredba o programu opremljanja stavbnih zemljišč in odloku o podlagah za odmero komunalnega prispevka za obstoječo komunalno opremo ter o izračunu in odmeri komunalnega prispevka (Uradni list RS, št. 20/19, 30/19 – popr. in 34/19)</w:t>
      </w:r>
      <w:r w:rsidRPr="00545EC0" w:rsidDel="00F717CA">
        <w:rPr>
          <w:rFonts w:cs="Arial"/>
          <w:szCs w:val="20"/>
        </w:rPr>
        <w:t xml:space="preserve"> </w:t>
      </w:r>
    </w:p>
    <w:p w14:paraId="499CE142" w14:textId="77777777" w:rsidR="00FE59C8" w:rsidRPr="00545EC0" w:rsidRDefault="00FE59C8" w:rsidP="00DD37C5">
      <w:pPr>
        <w:numPr>
          <w:ilvl w:val="0"/>
          <w:numId w:val="44"/>
        </w:numPr>
        <w:tabs>
          <w:tab w:val="center" w:pos="709"/>
        </w:tabs>
        <w:ind w:left="709" w:hanging="283"/>
        <w:rPr>
          <w:rFonts w:cs="Arial"/>
          <w:szCs w:val="20"/>
        </w:rPr>
      </w:pPr>
      <w:r w:rsidRPr="00545EC0">
        <w:rPr>
          <w:rFonts w:cs="Arial"/>
          <w:szCs w:val="20"/>
        </w:rPr>
        <w:t>Zakon o financiranju občin (ZFO-1) (Uradni list RS, št. 123/06, 57/08, 36/11, 14/15 – ZUUJFO, 71/17, 21/18 –popr., 80/20 – ZUIOOPE in 189/20 – ZFRO)</w:t>
      </w:r>
    </w:p>
    <w:p w14:paraId="6F870F2D" w14:textId="04DF4239" w:rsidR="00E75CF8" w:rsidRPr="00545EC0" w:rsidRDefault="00E75CF8" w:rsidP="00DD37C5">
      <w:pPr>
        <w:numPr>
          <w:ilvl w:val="0"/>
          <w:numId w:val="44"/>
        </w:numPr>
        <w:tabs>
          <w:tab w:val="center" w:pos="709"/>
        </w:tabs>
        <w:rPr>
          <w:rFonts w:cs="Arial"/>
          <w:szCs w:val="20"/>
        </w:rPr>
      </w:pPr>
      <w:r w:rsidRPr="00545EC0">
        <w:rPr>
          <w:rFonts w:cs="Arial"/>
          <w:szCs w:val="20"/>
        </w:rPr>
        <w:t>Zakon o plovbi po celinskih vodah (Uradni list RS, št. 30/02, 29/17 – ZŠpo-1 in 41/17 – PZ-G)</w:t>
      </w:r>
    </w:p>
    <w:p w14:paraId="227A7439" w14:textId="77777777" w:rsidR="00FE59C8" w:rsidRPr="00545EC0" w:rsidRDefault="00FE59C8" w:rsidP="00FE59C8">
      <w:pPr>
        <w:pStyle w:val="Naslov4"/>
        <w:ind w:left="1006"/>
        <w:jc w:val="both"/>
        <w:rPr>
          <w:color w:val="auto"/>
        </w:rPr>
      </w:pPr>
      <w:bookmarkStart w:id="11" w:name="_Toc419099161"/>
      <w:bookmarkStart w:id="12" w:name="_Toc366228063"/>
      <w:bookmarkStart w:id="13" w:name="_Toc275340790"/>
      <w:r w:rsidRPr="00545EC0">
        <w:rPr>
          <w:color w:val="auto"/>
        </w:rPr>
        <w:t>Mednarodne pogodbe</w:t>
      </w:r>
      <w:bookmarkEnd w:id="11"/>
      <w:bookmarkEnd w:id="12"/>
      <w:bookmarkEnd w:id="13"/>
    </w:p>
    <w:p w14:paraId="0DFF4E52" w14:textId="11850CCE" w:rsidR="00FE59C8" w:rsidRPr="00545EC0" w:rsidRDefault="00FE59C8" w:rsidP="00F07473">
      <w:pPr>
        <w:rPr>
          <w:rFonts w:cs="Arial"/>
          <w:szCs w:val="20"/>
        </w:rPr>
      </w:pPr>
      <w:r w:rsidRPr="00545EC0">
        <w:rPr>
          <w:rFonts w:cs="Arial"/>
        </w:rPr>
        <w:t xml:space="preserve">Sklenjene mednarodne oziroma meddržavne pogodbe, ki nalagajo obvezo sodelovanja na področju vodnega gospodarstva oziroma upravljanja voda, so </w:t>
      </w:r>
      <w:r w:rsidR="00F07473" w:rsidRPr="00545EC0">
        <w:rPr>
          <w:rFonts w:cs="Arial"/>
        </w:rPr>
        <w:t>navedene v prilogi (priloga 9.5).</w:t>
      </w:r>
    </w:p>
    <w:p w14:paraId="166C5BA9" w14:textId="77777777" w:rsidR="00FE59C8" w:rsidRPr="00545EC0" w:rsidRDefault="00FE59C8" w:rsidP="00FE59C8">
      <w:pPr>
        <w:tabs>
          <w:tab w:val="left" w:pos="6430"/>
        </w:tabs>
        <w:spacing w:before="240" w:after="240"/>
        <w:rPr>
          <w:rFonts w:cs="Arial"/>
          <w:b/>
        </w:rPr>
      </w:pPr>
      <w:r w:rsidRPr="00545EC0">
        <w:rPr>
          <w:rFonts w:cs="Arial"/>
          <w:b/>
        </w:rPr>
        <w:t>Mednarodne komisije</w:t>
      </w:r>
    </w:p>
    <w:p w14:paraId="56051AE4" w14:textId="069974F7" w:rsidR="00FE59C8" w:rsidRPr="00545EC0" w:rsidRDefault="00FE59C8" w:rsidP="00FE59C8">
      <w:pPr>
        <w:rPr>
          <w:rStyle w:val="hps"/>
          <w:rFonts w:cs="Arial"/>
        </w:rPr>
      </w:pPr>
      <w:r w:rsidRPr="00545EC0">
        <w:rPr>
          <w:rFonts w:cs="Arial"/>
        </w:rPr>
        <w:t xml:space="preserve">Usklajevanje </w:t>
      </w:r>
      <w:r w:rsidRPr="00545EC0">
        <w:rPr>
          <w:rStyle w:val="hps"/>
          <w:rFonts w:cs="Arial"/>
        </w:rPr>
        <w:t>informacij, pomembnih</w:t>
      </w:r>
      <w:r w:rsidRPr="00545EC0">
        <w:rPr>
          <w:rFonts w:cs="Arial"/>
        </w:rPr>
        <w:t xml:space="preserve"> </w:t>
      </w:r>
      <w:r w:rsidRPr="00545EC0">
        <w:rPr>
          <w:rStyle w:val="hps"/>
          <w:rFonts w:cs="Arial"/>
        </w:rPr>
        <w:t>za celotno</w:t>
      </w:r>
      <w:r w:rsidRPr="00545EC0">
        <w:rPr>
          <w:rFonts w:cs="Arial"/>
        </w:rPr>
        <w:t xml:space="preserve"> vodno območje </w:t>
      </w:r>
      <w:r w:rsidRPr="00545EC0">
        <w:rPr>
          <w:rStyle w:val="hps"/>
          <w:rFonts w:cs="Arial"/>
        </w:rPr>
        <w:t>poteka</w:t>
      </w:r>
      <w:r w:rsidRPr="00545EC0">
        <w:rPr>
          <w:rFonts w:cs="Arial"/>
        </w:rPr>
        <w:t xml:space="preserve"> </w:t>
      </w:r>
      <w:r w:rsidRPr="00545EC0">
        <w:rPr>
          <w:rStyle w:val="hps"/>
          <w:rFonts w:cs="Arial"/>
        </w:rPr>
        <w:t>v okviru mednarodnih komisij, in sicer</w:t>
      </w:r>
      <w:r w:rsidR="007608E2" w:rsidRPr="00545EC0">
        <w:rPr>
          <w:rStyle w:val="hps"/>
          <w:rFonts w:cs="Arial"/>
        </w:rPr>
        <w:t>:</w:t>
      </w:r>
    </w:p>
    <w:p w14:paraId="1CE57505" w14:textId="0603876E" w:rsidR="00FE59C8" w:rsidRPr="00545EC0" w:rsidRDefault="00FE59C8" w:rsidP="00DD37C5">
      <w:pPr>
        <w:numPr>
          <w:ilvl w:val="0"/>
          <w:numId w:val="44"/>
        </w:numPr>
        <w:tabs>
          <w:tab w:val="center" w:pos="709"/>
        </w:tabs>
        <w:ind w:left="709" w:hanging="283"/>
        <w:rPr>
          <w:rFonts w:cs="Arial"/>
          <w:szCs w:val="20"/>
        </w:rPr>
      </w:pPr>
      <w:r w:rsidRPr="00545EC0">
        <w:rPr>
          <w:rFonts w:cs="Arial"/>
          <w:szCs w:val="20"/>
        </w:rPr>
        <w:t>za vodno območje Donave v okviru Mednarodne komisije za varstvo reke Donave (v nadaljnjem besedilu: MKVRD</w:t>
      </w:r>
      <w:r w:rsidR="00780A30" w:rsidRPr="00545EC0">
        <w:rPr>
          <w:rFonts w:cs="Arial"/>
          <w:szCs w:val="20"/>
        </w:rPr>
        <w:t>)</w:t>
      </w:r>
      <w:r w:rsidRPr="00545EC0">
        <w:rPr>
          <w:rFonts w:cs="Arial"/>
          <w:szCs w:val="20"/>
        </w:rPr>
        <w:t xml:space="preserve"> (Angleška kratica: ICPDR)</w:t>
      </w:r>
      <w:r w:rsidR="00D7150F" w:rsidRPr="00545EC0">
        <w:rPr>
          <w:rFonts w:cs="Arial"/>
          <w:szCs w:val="20"/>
        </w:rPr>
        <w:t>,</w:t>
      </w:r>
      <w:r w:rsidRPr="00545EC0">
        <w:rPr>
          <w:rFonts w:cs="Arial"/>
          <w:szCs w:val="20"/>
        </w:rPr>
        <w:t xml:space="preserve"> </w:t>
      </w:r>
    </w:p>
    <w:p w14:paraId="29C712A4" w14:textId="316B8CC1" w:rsidR="00FE59C8" w:rsidRPr="00545EC0" w:rsidRDefault="00FE59C8" w:rsidP="00DD37C5">
      <w:pPr>
        <w:numPr>
          <w:ilvl w:val="0"/>
          <w:numId w:val="44"/>
        </w:numPr>
        <w:tabs>
          <w:tab w:val="center" w:pos="709"/>
        </w:tabs>
        <w:ind w:left="709" w:hanging="283"/>
        <w:rPr>
          <w:rFonts w:cs="Arial"/>
          <w:szCs w:val="20"/>
        </w:rPr>
      </w:pPr>
      <w:r w:rsidRPr="00545EC0">
        <w:rPr>
          <w:rFonts w:cs="Arial"/>
          <w:szCs w:val="20"/>
        </w:rPr>
        <w:t>za porečje reke Save v okviru Mednarodne komisije za savski bazen (v nadaljnjem besedilu: MKSB) (Angleška kratica: ISRBC)</w:t>
      </w:r>
      <w:r w:rsidR="00D7150F" w:rsidRPr="00545EC0">
        <w:rPr>
          <w:rFonts w:cs="Arial"/>
          <w:szCs w:val="20"/>
        </w:rPr>
        <w:t>.</w:t>
      </w:r>
    </w:p>
    <w:p w14:paraId="5522DE8A" w14:textId="77777777" w:rsidR="00FE59C8" w:rsidRPr="00545EC0" w:rsidRDefault="00FE59C8" w:rsidP="00FE59C8">
      <w:pPr>
        <w:pStyle w:val="Odstavekseznama"/>
        <w:rPr>
          <w:rStyle w:val="hps"/>
          <w:rFonts w:cs="Arial"/>
          <w:lang w:val="sl-SI"/>
        </w:rPr>
      </w:pPr>
    </w:p>
    <w:p w14:paraId="35C0407B" w14:textId="4DF31C0C" w:rsidR="00FE59C8" w:rsidRPr="00545EC0" w:rsidRDefault="00FE59C8" w:rsidP="00FE59C8">
      <w:pPr>
        <w:rPr>
          <w:rFonts w:cs="Arial"/>
        </w:rPr>
      </w:pPr>
      <w:r w:rsidRPr="00545EC0">
        <w:rPr>
          <w:rFonts w:cs="Arial"/>
        </w:rPr>
        <w:t xml:space="preserve">Slovenija v okviru MKVRD in MKSB redno sodeluje v strokovnih skupinah, ki se ukvarjajo z različnimi vprašanji in s pripravo dokumentov za potrebe priprave Mednarodnih načrtov upravljanja voda za Donavo in Savo. V izogib dodatnemu administrativnemu bremenu in čim večji usklajenosti mednarodnih načrtov in nacionalnega načrta upravljanja voda, so v navedene strokovne skupine vključeni strokovnjaki, ki pripravljajo nacionalni načrt upravljanja voda. Vsebine pripravljene v okviru </w:t>
      </w:r>
      <w:r w:rsidRPr="00545EC0">
        <w:rPr>
          <w:rFonts w:cs="Arial"/>
        </w:rPr>
        <w:lastRenderedPageBreak/>
        <w:t>mednarodnih načrtov so tako usklajene z nacionalnim Načrtom upravljanja voda na vodne</w:t>
      </w:r>
      <w:r w:rsidR="00285737" w:rsidRPr="00545EC0">
        <w:rPr>
          <w:rFonts w:cs="Arial"/>
        </w:rPr>
        <w:t>m</w:t>
      </w:r>
      <w:r w:rsidRPr="00545EC0">
        <w:rPr>
          <w:rFonts w:cs="Arial"/>
        </w:rPr>
        <w:t xml:space="preserve"> območju Donave in obratno. </w:t>
      </w:r>
    </w:p>
    <w:p w14:paraId="63E11BC4" w14:textId="77777777" w:rsidR="00285737" w:rsidRPr="00545EC0" w:rsidRDefault="00285737" w:rsidP="00FE59C8">
      <w:pPr>
        <w:rPr>
          <w:b/>
        </w:rPr>
      </w:pPr>
    </w:p>
    <w:p w14:paraId="2B767B30" w14:textId="77777777" w:rsidR="00FE59C8" w:rsidRPr="00545EC0" w:rsidRDefault="00FE59C8" w:rsidP="00FE59C8">
      <w:pPr>
        <w:rPr>
          <w:b/>
        </w:rPr>
      </w:pPr>
      <w:r w:rsidRPr="00545EC0">
        <w:rPr>
          <w:b/>
        </w:rPr>
        <w:t xml:space="preserve">Prizadevanja Slovenije v mednarodnih komisijah </w:t>
      </w:r>
    </w:p>
    <w:p w14:paraId="25CBCFD2" w14:textId="77777777" w:rsidR="00F162E8" w:rsidRPr="00545EC0" w:rsidRDefault="00F162E8" w:rsidP="00FE59C8">
      <w:pPr>
        <w:rPr>
          <w:b/>
        </w:rPr>
      </w:pPr>
    </w:p>
    <w:p w14:paraId="7B60A55E" w14:textId="77777777" w:rsidR="00FE59C8" w:rsidRPr="00545EC0" w:rsidRDefault="00FE59C8" w:rsidP="00FE59C8">
      <w:r w:rsidRPr="00545EC0">
        <w:t>Slovenija si kot članica mednarodne komisije za varstvo reke Donave (ICPDR) in mednarodne komisije za savski bazen (ISRBC) prizadeva za skupne cilje organizacij, med katere sodijo:</w:t>
      </w:r>
    </w:p>
    <w:p w14:paraId="45B50B8C" w14:textId="58ED6C28" w:rsidR="00FE59C8" w:rsidRPr="00545EC0" w:rsidRDefault="00FE59C8" w:rsidP="00DD37C5">
      <w:pPr>
        <w:pStyle w:val="Odstavekseznama"/>
        <w:numPr>
          <w:ilvl w:val="0"/>
          <w:numId w:val="44"/>
        </w:numPr>
      </w:pPr>
      <w:r w:rsidRPr="00545EC0">
        <w:rPr>
          <w:lang w:val="sl-SI"/>
        </w:rPr>
        <w:t>zagotavljanje trajnostnega upravljanja z vodami</w:t>
      </w:r>
      <w:r w:rsidR="00D7150F" w:rsidRPr="00545EC0">
        <w:rPr>
          <w:lang w:val="sl-SI"/>
        </w:rPr>
        <w:t>,</w:t>
      </w:r>
    </w:p>
    <w:p w14:paraId="4D88D233" w14:textId="275B1D97" w:rsidR="00FE59C8" w:rsidRPr="00545EC0" w:rsidRDefault="00FE59C8" w:rsidP="00DD37C5">
      <w:pPr>
        <w:pStyle w:val="Odstavekseznama"/>
        <w:numPr>
          <w:ilvl w:val="0"/>
          <w:numId w:val="44"/>
        </w:numPr>
      </w:pPr>
      <w:r w:rsidRPr="00545EC0">
        <w:rPr>
          <w:lang w:val="sl-SI"/>
        </w:rPr>
        <w:t>zagotavljanje ohranjanja, izboljšanja kakovosti ter racionalne uporabe podzemnih in površinskih voda</w:t>
      </w:r>
      <w:r w:rsidR="00D7150F" w:rsidRPr="00545EC0">
        <w:rPr>
          <w:lang w:val="sl-SI"/>
        </w:rPr>
        <w:t>,</w:t>
      </w:r>
    </w:p>
    <w:p w14:paraId="14F4CE4A" w14:textId="6D8AE246" w:rsidR="00FE59C8" w:rsidRPr="00545EC0" w:rsidRDefault="00285737" w:rsidP="00DD37C5">
      <w:pPr>
        <w:pStyle w:val="Odstavekseznama"/>
        <w:numPr>
          <w:ilvl w:val="0"/>
          <w:numId w:val="44"/>
        </w:numPr>
      </w:pPr>
      <w:r w:rsidRPr="00545EC0">
        <w:rPr>
          <w:lang w:val="sl-SI"/>
        </w:rPr>
        <w:t>z</w:t>
      </w:r>
      <w:r w:rsidR="00FE59C8" w:rsidRPr="00545EC0">
        <w:rPr>
          <w:lang w:val="sl-SI"/>
        </w:rPr>
        <w:t>manjševanje izpustov hranil in ostalih nevarnih snovi</w:t>
      </w:r>
      <w:r w:rsidR="00D7150F" w:rsidRPr="00545EC0">
        <w:rPr>
          <w:lang w:val="sl-SI"/>
        </w:rPr>
        <w:t>,</w:t>
      </w:r>
    </w:p>
    <w:p w14:paraId="0E9AA59B" w14:textId="04178F05" w:rsidR="00FE59C8" w:rsidRPr="00545EC0" w:rsidRDefault="00285737" w:rsidP="00DD37C5">
      <w:pPr>
        <w:pStyle w:val="Odstavekseznama"/>
        <w:numPr>
          <w:ilvl w:val="0"/>
          <w:numId w:val="44"/>
        </w:numPr>
      </w:pPr>
      <w:r w:rsidRPr="00545EC0">
        <w:rPr>
          <w:lang w:val="sl-SI"/>
        </w:rPr>
        <w:t>v</w:t>
      </w:r>
      <w:r w:rsidR="00FE59C8" w:rsidRPr="00545EC0">
        <w:rPr>
          <w:lang w:val="sl-SI"/>
        </w:rPr>
        <w:t>zpostavitev mednarodnega režima plovbe po reki Savi in njenih plovnih pretokih</w:t>
      </w:r>
      <w:r w:rsidR="00D7150F" w:rsidRPr="00545EC0">
        <w:rPr>
          <w:lang w:val="sl-SI"/>
        </w:rPr>
        <w:t>,</w:t>
      </w:r>
    </w:p>
    <w:p w14:paraId="5DCFF20A" w14:textId="16D66266" w:rsidR="00FE59C8" w:rsidRPr="00545EC0" w:rsidRDefault="00285737" w:rsidP="00DD37C5">
      <w:pPr>
        <w:pStyle w:val="Odstavekseznama"/>
        <w:numPr>
          <w:ilvl w:val="0"/>
          <w:numId w:val="44"/>
        </w:numPr>
      </w:pPr>
      <w:r w:rsidRPr="00545EC0">
        <w:rPr>
          <w:lang w:val="sl-SI"/>
        </w:rPr>
        <w:t>s</w:t>
      </w:r>
      <w:r w:rsidR="00FE59C8" w:rsidRPr="00545EC0">
        <w:rPr>
          <w:lang w:val="sl-SI"/>
        </w:rPr>
        <w:t>prejemanje ukrepov za preprečevanje ali omejevanje nevarnosti oz. tveganj ter odpravo škodljivih posledic, vključno s posledicami poplav, nevarnosti zaradi ledu, suše ter nesreč povezanih z vodi nevarnimi snovmi</w:t>
      </w:r>
      <w:r w:rsidR="00D7150F" w:rsidRPr="00545EC0">
        <w:rPr>
          <w:lang w:val="sl-SI"/>
        </w:rPr>
        <w:t>,</w:t>
      </w:r>
    </w:p>
    <w:p w14:paraId="0D855575" w14:textId="506F4D18" w:rsidR="00FE59C8" w:rsidRPr="00545EC0" w:rsidRDefault="00196C16" w:rsidP="00DD37C5">
      <w:pPr>
        <w:pStyle w:val="Odstavekseznama"/>
        <w:numPr>
          <w:ilvl w:val="0"/>
          <w:numId w:val="44"/>
        </w:numPr>
      </w:pPr>
      <w:r w:rsidRPr="00545EC0">
        <w:rPr>
          <w:lang w:val="sl-SI"/>
        </w:rPr>
        <w:t>n</w:t>
      </w:r>
      <w:r w:rsidR="00FE59C8" w:rsidRPr="00545EC0">
        <w:rPr>
          <w:lang w:val="sl-SI"/>
        </w:rPr>
        <w:t>ačrtovanje in izvajanje prilagoditvenih ukrepov na podnebne spremembe</w:t>
      </w:r>
      <w:r w:rsidR="00D7150F" w:rsidRPr="00545EC0">
        <w:rPr>
          <w:lang w:val="sl-SI"/>
        </w:rPr>
        <w:t>.</w:t>
      </w:r>
    </w:p>
    <w:p w14:paraId="4F2C2B97" w14:textId="77777777" w:rsidR="00FE59C8" w:rsidRPr="00545EC0" w:rsidRDefault="00FE59C8" w:rsidP="00FE59C8">
      <w:pPr>
        <w:pStyle w:val="Odstavekseznama"/>
        <w:ind w:left="720"/>
      </w:pPr>
    </w:p>
    <w:p w14:paraId="6C9121A2" w14:textId="3989A3A5" w:rsidR="00FE59C8" w:rsidRPr="00545EC0" w:rsidRDefault="00FE59C8" w:rsidP="00FE59C8">
      <w:r w:rsidRPr="00545EC0">
        <w:t>Znotraj mednarodnih komisij Slovenija sodeluje pri različnih dejavnostih, kot so ocena stanja površinskih in podzemnih voda, priprav</w:t>
      </w:r>
      <w:r w:rsidR="007608E2" w:rsidRPr="00545EC0">
        <w:t>a</w:t>
      </w:r>
      <w:r w:rsidRPr="00545EC0">
        <w:t xml:space="preserve"> ukrepov za ohranitev ter izboljšanje </w:t>
      </w:r>
      <w:r w:rsidR="00285737" w:rsidRPr="00545EC0">
        <w:t>kakovosti</w:t>
      </w:r>
      <w:r w:rsidRPr="00545EC0">
        <w:t xml:space="preserve"> voda, pridobivanje informacij o delovanju ukrepov ter podpor</w:t>
      </w:r>
      <w:r w:rsidR="007608E2" w:rsidRPr="00545EC0">
        <w:t>a</w:t>
      </w:r>
      <w:r w:rsidRPr="00545EC0">
        <w:t xml:space="preserve"> ostalim članicam pri implementaciji ukrepov. Komisije, kjer kot članica sodeluje tudi Slovenija</w:t>
      </w:r>
      <w:r w:rsidR="00D7150F" w:rsidRPr="00545EC0">
        <w:t>,</w:t>
      </w:r>
      <w:r w:rsidRPr="00545EC0">
        <w:t xml:space="preserve"> sodelujejo in pomagajo tudi pri reševanju sporov. Znotraj mednarodnih komisij se na področju upravljanja voda sodeluje in usklajuje tudi pri razvoju skupnih načrtov, kot je Načrt upravljanja voda v porečju reke Save, načrt </w:t>
      </w:r>
      <w:r w:rsidR="00285737" w:rsidRPr="00545EC0">
        <w:t>zmanjševanja ogroženosti</w:t>
      </w:r>
      <w:r w:rsidRPr="00545EC0">
        <w:t xml:space="preserve"> pred poplavami in načrt zaščite in reševanja. Sodeluje se tudi pri vzpostavljanju skupnega informacijskega sistema, monitoringa, obveščanja v primeru nesreč, izvajanju razvojnih programov ter ostalih strateških dokumentov.  </w:t>
      </w:r>
    </w:p>
    <w:p w14:paraId="16C445A1" w14:textId="52C09E7C" w:rsidR="00FE59C8" w:rsidRPr="00545EC0" w:rsidRDefault="00FE59C8" w:rsidP="00FE59C8">
      <w:pPr>
        <w:tabs>
          <w:tab w:val="left" w:pos="6430"/>
        </w:tabs>
        <w:spacing w:before="240" w:after="240"/>
        <w:rPr>
          <w:rFonts w:cs="Arial"/>
          <w:b/>
        </w:rPr>
      </w:pPr>
      <w:r w:rsidRPr="00545EC0">
        <w:rPr>
          <w:rFonts w:cs="Arial"/>
          <w:b/>
        </w:rPr>
        <w:t>Bilateralne komisije</w:t>
      </w:r>
    </w:p>
    <w:p w14:paraId="02AFFC0C" w14:textId="2C68EBB6" w:rsidR="00FE59C8" w:rsidRPr="00545EC0" w:rsidRDefault="00FE59C8" w:rsidP="00FE59C8">
      <w:pPr>
        <w:rPr>
          <w:rFonts w:cs="Arial"/>
        </w:rPr>
      </w:pPr>
      <w:r w:rsidRPr="00545EC0">
        <w:rPr>
          <w:rFonts w:cs="Arial"/>
        </w:rPr>
        <w:t xml:space="preserve">Usklajevanje vprašanj v zvezi z delom porečja/povodja, katerega vodna telesa so mejna ali čezmejna, poteka v okviru naslednjih petih bilateralnih </w:t>
      </w:r>
      <w:r w:rsidR="00285737" w:rsidRPr="00545EC0">
        <w:rPr>
          <w:rFonts w:cs="Arial"/>
        </w:rPr>
        <w:t>komisij</w:t>
      </w:r>
      <w:r w:rsidRPr="00545EC0">
        <w:rPr>
          <w:rFonts w:cs="Arial"/>
        </w:rPr>
        <w:t xml:space="preserve"> in sicer:</w:t>
      </w:r>
    </w:p>
    <w:p w14:paraId="34650192" w14:textId="70988885" w:rsidR="00FE59C8" w:rsidRPr="00545EC0" w:rsidRDefault="00FE59C8" w:rsidP="00DD37C5">
      <w:pPr>
        <w:numPr>
          <w:ilvl w:val="0"/>
          <w:numId w:val="44"/>
        </w:numPr>
        <w:tabs>
          <w:tab w:val="center" w:pos="709"/>
        </w:tabs>
        <w:ind w:left="709" w:hanging="283"/>
        <w:rPr>
          <w:rFonts w:cs="Arial"/>
          <w:szCs w:val="20"/>
        </w:rPr>
      </w:pPr>
      <w:r w:rsidRPr="00545EC0">
        <w:rPr>
          <w:rFonts w:cs="Arial"/>
          <w:szCs w:val="20"/>
        </w:rPr>
        <w:t>Stalna slovensko - avstrijske komisije za Dravo (v nadaljnjem besedilu: SLO-AUT komisija za Dravo)</w:t>
      </w:r>
      <w:r w:rsidR="00D7150F" w:rsidRPr="00545EC0">
        <w:rPr>
          <w:rFonts w:cs="Arial"/>
          <w:szCs w:val="20"/>
        </w:rPr>
        <w:t>,</w:t>
      </w:r>
    </w:p>
    <w:p w14:paraId="21FA1423" w14:textId="26BA3FBE" w:rsidR="00FE59C8" w:rsidRPr="00545EC0" w:rsidRDefault="00FE59C8" w:rsidP="00DD37C5">
      <w:pPr>
        <w:numPr>
          <w:ilvl w:val="0"/>
          <w:numId w:val="44"/>
        </w:numPr>
        <w:tabs>
          <w:tab w:val="center" w:pos="709"/>
        </w:tabs>
        <w:ind w:left="709" w:hanging="283"/>
        <w:rPr>
          <w:rFonts w:cs="Arial"/>
          <w:szCs w:val="20"/>
        </w:rPr>
      </w:pPr>
      <w:r w:rsidRPr="00545EC0">
        <w:rPr>
          <w:rFonts w:cs="Arial"/>
          <w:szCs w:val="20"/>
        </w:rPr>
        <w:t>Stalna slovensko - avstrijske komisije za Muro (v nadaljnjem besedilu: SLO-AUT komisija za Muro)</w:t>
      </w:r>
      <w:r w:rsidR="00D7150F" w:rsidRPr="00545EC0">
        <w:rPr>
          <w:rFonts w:cs="Arial"/>
          <w:szCs w:val="20"/>
        </w:rPr>
        <w:t>,</w:t>
      </w:r>
    </w:p>
    <w:p w14:paraId="11E341E2" w14:textId="522C2561" w:rsidR="00FE59C8" w:rsidRPr="00545EC0" w:rsidRDefault="00FE59C8" w:rsidP="00DD37C5">
      <w:pPr>
        <w:numPr>
          <w:ilvl w:val="0"/>
          <w:numId w:val="44"/>
        </w:numPr>
        <w:tabs>
          <w:tab w:val="center" w:pos="709"/>
        </w:tabs>
        <w:ind w:left="709" w:hanging="283"/>
        <w:rPr>
          <w:rFonts w:cs="Arial"/>
          <w:szCs w:val="20"/>
        </w:rPr>
      </w:pPr>
      <w:r w:rsidRPr="00545EC0">
        <w:rPr>
          <w:rFonts w:cs="Arial"/>
          <w:szCs w:val="20"/>
        </w:rPr>
        <w:t>Stalna slovensko - hrvaške komisije za vodno gospodarstvo (v nadaljnjem besedilu: SLO-HR komisija za VG)</w:t>
      </w:r>
      <w:r w:rsidR="00D7150F" w:rsidRPr="00545EC0">
        <w:rPr>
          <w:rFonts w:cs="Arial"/>
          <w:szCs w:val="20"/>
        </w:rPr>
        <w:t>,</w:t>
      </w:r>
    </w:p>
    <w:p w14:paraId="5663334C" w14:textId="7057BA72" w:rsidR="00FE59C8" w:rsidRPr="00545EC0" w:rsidRDefault="00FE59C8" w:rsidP="00DD37C5">
      <w:pPr>
        <w:numPr>
          <w:ilvl w:val="0"/>
          <w:numId w:val="44"/>
        </w:numPr>
        <w:tabs>
          <w:tab w:val="center" w:pos="709"/>
        </w:tabs>
        <w:ind w:left="709" w:hanging="283"/>
        <w:rPr>
          <w:rFonts w:cs="Arial"/>
          <w:szCs w:val="20"/>
        </w:rPr>
      </w:pPr>
      <w:r w:rsidRPr="00545EC0">
        <w:rPr>
          <w:rFonts w:cs="Arial"/>
          <w:szCs w:val="20"/>
        </w:rPr>
        <w:t>Stalna slovensko - madžarske komisije za vodno gospodarstvo (v nadaljnjem besedilu: SLO-MAD komisija za VG)</w:t>
      </w:r>
      <w:r w:rsidR="00D7150F" w:rsidRPr="00545EC0">
        <w:rPr>
          <w:rFonts w:cs="Arial"/>
          <w:szCs w:val="20"/>
        </w:rPr>
        <w:t>.</w:t>
      </w:r>
    </w:p>
    <w:p w14:paraId="36B3CD4A" w14:textId="77777777" w:rsidR="00FE59C8" w:rsidRPr="00545EC0" w:rsidRDefault="00FE59C8" w:rsidP="00FE59C8">
      <w:pPr>
        <w:rPr>
          <w:rFonts w:cs="Arial"/>
        </w:rPr>
      </w:pPr>
    </w:p>
    <w:p w14:paraId="3EEA520D" w14:textId="20C682ED" w:rsidR="008A58C7" w:rsidRPr="00545EC0" w:rsidRDefault="008A58C7" w:rsidP="008A58C7">
      <w:pPr>
        <w:rPr>
          <w:rFonts w:cs="Arial"/>
        </w:rPr>
      </w:pPr>
      <w:r w:rsidRPr="00545EC0">
        <w:rPr>
          <w:rFonts w:cs="Arial"/>
        </w:rPr>
        <w:t>Zapisniki zasedanj billaterarnih komisij, ki so potekala od leta 2007 naprej, so na voljo na spletnem portalu eVode.</w:t>
      </w:r>
    </w:p>
    <w:p w14:paraId="26448144" w14:textId="77777777" w:rsidR="00FE59C8" w:rsidRPr="00545EC0" w:rsidRDefault="00FE59C8" w:rsidP="00FE59C8">
      <w:pPr>
        <w:tabs>
          <w:tab w:val="left" w:pos="6430"/>
        </w:tabs>
        <w:spacing w:before="240" w:after="240"/>
        <w:rPr>
          <w:rFonts w:cs="Arial"/>
          <w:b/>
        </w:rPr>
      </w:pPr>
      <w:r w:rsidRPr="00545EC0">
        <w:rPr>
          <w:rFonts w:cs="Arial"/>
          <w:b/>
        </w:rPr>
        <w:t>Mednarodne in meddržavne pogodbe</w:t>
      </w:r>
    </w:p>
    <w:p w14:paraId="2D1FE1C6" w14:textId="7910C71C" w:rsidR="00FE59C8" w:rsidRPr="00545EC0" w:rsidRDefault="00FE59C8" w:rsidP="00FE59C8">
      <w:pPr>
        <w:rPr>
          <w:rFonts w:cs="Arial"/>
        </w:rPr>
      </w:pPr>
      <w:r w:rsidRPr="00545EC0">
        <w:rPr>
          <w:rFonts w:cs="Arial"/>
        </w:rPr>
        <w:t>Povzetek obveznosti, ki izhajajo iz sklenjenih mednarodnih oziroma meddržavnih pogodb, ki se nanašajo na upravljanje voda je podan v poglavju</w:t>
      </w:r>
      <w:r w:rsidR="007608E2" w:rsidRPr="00545EC0">
        <w:rPr>
          <w:rFonts w:cs="Arial"/>
        </w:rPr>
        <w:t xml:space="preserve"> </w:t>
      </w:r>
      <w:r w:rsidRPr="00545EC0">
        <w:rPr>
          <w:rFonts w:cs="Arial"/>
        </w:rPr>
        <w:fldChar w:fldCharType="begin"/>
      </w:r>
      <w:r w:rsidRPr="00545EC0">
        <w:rPr>
          <w:rFonts w:cs="Arial"/>
        </w:rPr>
        <w:instrText xml:space="preserve"> REF _Ref428448190 \r \h  \* MERGEFORMAT </w:instrText>
      </w:r>
      <w:r w:rsidRPr="00545EC0">
        <w:rPr>
          <w:rFonts w:cs="Arial"/>
        </w:rPr>
      </w:r>
      <w:r w:rsidRPr="00545EC0">
        <w:rPr>
          <w:rFonts w:cs="Arial"/>
        </w:rPr>
        <w:fldChar w:fldCharType="separate"/>
      </w:r>
      <w:r w:rsidR="002F3E43">
        <w:rPr>
          <w:rFonts w:cs="Arial"/>
        </w:rPr>
        <w:t>9.5</w:t>
      </w:r>
      <w:r w:rsidRPr="00545EC0">
        <w:rPr>
          <w:rFonts w:cs="Arial"/>
        </w:rPr>
        <w:fldChar w:fldCharType="end"/>
      </w:r>
      <w:r w:rsidRPr="00545EC0">
        <w:rPr>
          <w:rFonts w:cs="Arial"/>
        </w:rPr>
        <w:t xml:space="preserve"> (Povzetek obveznosti, sprejetih z mednarodnimi pogodbami, ki se nanašajo na upravljanje voda in način njihovega uresničevanja).</w:t>
      </w:r>
    </w:p>
    <w:p w14:paraId="3B253B20" w14:textId="77777777" w:rsidR="00FE59C8" w:rsidRPr="00545EC0" w:rsidRDefault="00FE59C8" w:rsidP="00FE59C8">
      <w:pPr>
        <w:rPr>
          <w:rFonts w:cs="Arial"/>
        </w:rPr>
      </w:pPr>
    </w:p>
    <w:p w14:paraId="024E39B5" w14:textId="77777777" w:rsidR="00FE59C8" w:rsidRPr="00545EC0" w:rsidRDefault="00FE59C8" w:rsidP="00FE59C8">
      <w:pPr>
        <w:pStyle w:val="Naslov20"/>
        <w:ind w:left="709" w:hanging="709"/>
        <w:jc w:val="both"/>
      </w:pPr>
      <w:r w:rsidRPr="00545EC0">
        <w:br w:type="page"/>
      </w:r>
      <w:bookmarkStart w:id="14" w:name="_Toc90261009"/>
      <w:r w:rsidRPr="00545EC0">
        <w:lastRenderedPageBreak/>
        <w:t>Podatki o zemljepisni opredelitvi vodnega območja</w:t>
      </w:r>
      <w:bookmarkEnd w:id="14"/>
    </w:p>
    <w:p w14:paraId="0E087CC5" w14:textId="797F3906" w:rsidR="00FE59C8" w:rsidRPr="00545EC0" w:rsidRDefault="00307E73" w:rsidP="00FE59C8">
      <w:r w:rsidRPr="00545EC0">
        <w:t xml:space="preserve">Republika </w:t>
      </w:r>
      <w:r w:rsidR="00FE59C8" w:rsidRPr="00545EC0">
        <w:t xml:space="preserve">Slovenija je kot teritorialne podlage za izvajanje programa upravljanja z vodami z zakonom o vodah določila </w:t>
      </w:r>
      <w:r w:rsidR="00381497" w:rsidRPr="00545EC0">
        <w:t xml:space="preserve">dve vodni območji in sicer </w:t>
      </w:r>
      <w:r w:rsidR="00FE59C8" w:rsidRPr="00545EC0">
        <w:t>vodno območje Donave (v nadaljnjem besedilu: VO Donave) in vodno območje Jadranskega morja (v nadaljnjem besedilu: VO Jadranskega morja). VO Donave je hkrati del mednarodnega povodja Donave</w:t>
      </w:r>
      <w:r w:rsidR="00945ABC" w:rsidRPr="00545EC0">
        <w:t xml:space="preserve"> na območju </w:t>
      </w:r>
      <w:r w:rsidRPr="00545EC0">
        <w:t xml:space="preserve">Republike </w:t>
      </w:r>
      <w:r w:rsidR="00945ABC" w:rsidRPr="00545EC0">
        <w:t>Slovenije.</w:t>
      </w:r>
    </w:p>
    <w:p w14:paraId="1C7FFA9E" w14:textId="77777777" w:rsidR="00307E73" w:rsidRPr="00545EC0" w:rsidRDefault="00307E73" w:rsidP="00FE59C8"/>
    <w:p w14:paraId="76A744E4" w14:textId="77777777" w:rsidR="00FE59C8" w:rsidRPr="00545EC0" w:rsidRDefault="00FE59C8">
      <w:pPr>
        <w:pStyle w:val="Naslov3"/>
        <w:rPr>
          <w:szCs w:val="22"/>
        </w:rPr>
      </w:pPr>
      <w:bookmarkStart w:id="15" w:name="_Toc90261010"/>
      <w:r w:rsidRPr="00545EC0">
        <w:t>Meja vodnega območja v skladu s predpisi, ki urejajo določitev meja povodij in porečij ter meja vodnih območij z vodami prvega reda</w:t>
      </w:r>
      <w:r w:rsidRPr="00545EC0">
        <w:rPr>
          <w:szCs w:val="22"/>
        </w:rPr>
        <w:t>, ki jima pripadajo</w:t>
      </w:r>
      <w:bookmarkEnd w:id="15"/>
    </w:p>
    <w:p w14:paraId="56F1FCE6" w14:textId="77777777" w:rsidR="00307E73" w:rsidRPr="00545EC0" w:rsidRDefault="00307E73" w:rsidP="00FE59C8"/>
    <w:p w14:paraId="0A0ADFEF" w14:textId="30C70F04" w:rsidR="00FE59C8" w:rsidRPr="00545EC0" w:rsidRDefault="00FE59C8" w:rsidP="00FE59C8">
      <w:r w:rsidRPr="00545EC0">
        <w:t xml:space="preserve">Območje </w:t>
      </w:r>
      <w:r w:rsidR="00307E73" w:rsidRPr="00545EC0">
        <w:t xml:space="preserve">Republike </w:t>
      </w:r>
      <w:r w:rsidRPr="00545EC0">
        <w:t xml:space="preserve">Slovenije s pripadajočo hidrografsko mrežo je </w:t>
      </w:r>
      <w:r w:rsidR="00381497" w:rsidRPr="00545EC0">
        <w:t>prikazano na publikacij</w:t>
      </w:r>
      <w:r w:rsidR="002B19AC" w:rsidRPr="00545EC0">
        <w:t>sk</w:t>
      </w:r>
      <w:r w:rsidR="00381497" w:rsidRPr="00545EC0">
        <w:t>i karti (</w:t>
      </w:r>
      <w:r w:rsidR="00381497" w:rsidRPr="00545EC0">
        <w:rPr>
          <w:i/>
        </w:rPr>
        <w:t>Publikacijska karta</w:t>
      </w:r>
      <w:r w:rsidR="001D5C1B" w:rsidRPr="00545EC0">
        <w:rPr>
          <w:i/>
        </w:rPr>
        <w:t xml:space="preserve"> 1.1</w:t>
      </w:r>
      <w:r w:rsidR="00381497" w:rsidRPr="00545EC0">
        <w:rPr>
          <w:i/>
        </w:rPr>
        <w:t>: Hidrografska mreža, porečja in povodji</w:t>
      </w:r>
      <w:r w:rsidR="00381497" w:rsidRPr="00545EC0">
        <w:t>)</w:t>
      </w:r>
      <w:r w:rsidRPr="00545EC0">
        <w:t>. Meje VO in vode 1. reda, ki jima pripadajo, so določene s predpisom, ki ureja določitev meje povodij in porečij ter meja vodnih območij z vodami 1. reda, ki jima pripadajo. Meja med VO Donave in VO Jadranskega morja je določena na podlagi hidrografske razvodnice za raven merila 1 : 25.000 v nacionalnem koordinatnem sistemu. VO Donave pripadajo vse površinske vode, ki se vanj stekajo. Podzemne vode, ki pripadajo posameznemu VO, ne sovpadajo povsem s površinsko hidrografsko razvodnico. Do razlik prihaja zaradi kraških značilnosti območja in razlik v odtoku podzemnih voda glede na celotni tok vode v vodonosnikih na meji med VO Donave in VO Jadranskega morja.</w:t>
      </w:r>
    </w:p>
    <w:p w14:paraId="5E3D8619" w14:textId="77777777" w:rsidR="00FE59C8" w:rsidRPr="00545EC0" w:rsidRDefault="00FE59C8">
      <w:pPr>
        <w:pStyle w:val="Naslov3"/>
      </w:pPr>
      <w:bookmarkStart w:id="16" w:name="_Toc90261011"/>
      <w:r w:rsidRPr="00545EC0">
        <w:t>Glavne reke in jezera na vodnem območju</w:t>
      </w:r>
      <w:bookmarkEnd w:id="16"/>
    </w:p>
    <w:p w14:paraId="794E68B6" w14:textId="402F9A8C" w:rsidR="00FE59C8" w:rsidRPr="00545EC0" w:rsidRDefault="00FE59C8" w:rsidP="00FE59C8">
      <w:pPr>
        <w:rPr>
          <w:rFonts w:cs="Arial"/>
        </w:rPr>
      </w:pPr>
      <w:r w:rsidRPr="00545EC0">
        <w:rPr>
          <w:rFonts w:cs="Arial"/>
        </w:rPr>
        <w:t>Glavne reke na VO Donave (</w:t>
      </w:r>
      <w:r w:rsidRPr="00545EC0">
        <w:rPr>
          <w:rFonts w:cs="Arial"/>
          <w:i/>
        </w:rPr>
        <w:t>Publikacijska karta</w:t>
      </w:r>
      <w:r w:rsidR="001D5C1B" w:rsidRPr="00545EC0">
        <w:rPr>
          <w:rFonts w:cs="Arial"/>
          <w:i/>
        </w:rPr>
        <w:t xml:space="preserve"> 1.2</w:t>
      </w:r>
      <w:r w:rsidRPr="00545EC0">
        <w:rPr>
          <w:rFonts w:cs="Arial"/>
          <w:i/>
        </w:rPr>
        <w:t>: Glavne reke in jezera</w:t>
      </w:r>
      <w:r w:rsidRPr="00545EC0">
        <w:rPr>
          <w:rFonts w:cs="Arial"/>
        </w:rPr>
        <w:t xml:space="preserve">) so reke prvega reda in reke, ki tvorijo ali prečkajo državno mejo. Seznam površinskih voda na VO Donave obsega 24 glavnih rek in tri naravna jezera. Osnovni podatki o porečju, prispevni površini, dolžini rek in srednjih letnih pretokih za obdobje od 1981 do 2010 ter površini jezer so navedeni v preglednicah </w:t>
      </w:r>
      <w:r w:rsidR="00AE414A" w:rsidRPr="00545EC0">
        <w:rPr>
          <w:rFonts w:cs="Arial"/>
        </w:rPr>
        <w:t>(</w:t>
      </w:r>
      <w:r w:rsidR="00A107B8" w:rsidRPr="00545EC0">
        <w:rPr>
          <w:rFonts w:cs="Arial"/>
        </w:rPr>
        <w:fldChar w:fldCharType="begin"/>
      </w:r>
      <w:r w:rsidR="00A107B8" w:rsidRPr="00545EC0">
        <w:rPr>
          <w:rFonts w:cs="Arial"/>
        </w:rPr>
        <w:instrText xml:space="preserve"> REF _Ref84329806 \h </w:instrText>
      </w:r>
      <w:r w:rsidR="003122F4" w:rsidRPr="00545EC0">
        <w:rPr>
          <w:rFonts w:cs="Arial"/>
        </w:rPr>
        <w:instrText xml:space="preserve"> \* MERGEFORMAT </w:instrText>
      </w:r>
      <w:r w:rsidR="00A107B8" w:rsidRPr="00545EC0">
        <w:rPr>
          <w:rFonts w:cs="Arial"/>
        </w:rPr>
      </w:r>
      <w:r w:rsidR="00A107B8" w:rsidRPr="00545EC0">
        <w:rPr>
          <w:rFonts w:cs="Arial"/>
        </w:rPr>
        <w:fldChar w:fldCharType="separate"/>
      </w:r>
      <w:r w:rsidR="002F3E43" w:rsidRPr="00545EC0">
        <w:t xml:space="preserve">Preglednica </w:t>
      </w:r>
      <w:r w:rsidR="002F3E43">
        <w:rPr>
          <w:noProof/>
        </w:rPr>
        <w:t>1</w:t>
      </w:r>
      <w:r w:rsidR="002F3E43" w:rsidRPr="00545EC0">
        <w:rPr>
          <w:noProof/>
        </w:rPr>
        <w:noBreakHyphen/>
      </w:r>
      <w:r w:rsidR="002F3E43">
        <w:rPr>
          <w:noProof/>
        </w:rPr>
        <w:t>1</w:t>
      </w:r>
      <w:r w:rsidR="00A107B8" w:rsidRPr="00545EC0">
        <w:rPr>
          <w:rFonts w:cs="Arial"/>
        </w:rPr>
        <w:fldChar w:fldCharType="end"/>
      </w:r>
      <w:r w:rsidR="00A107B8" w:rsidRPr="00545EC0">
        <w:rPr>
          <w:rFonts w:cs="Arial"/>
        </w:rPr>
        <w:t xml:space="preserve">, </w:t>
      </w:r>
      <w:r w:rsidR="00A107B8" w:rsidRPr="00545EC0">
        <w:rPr>
          <w:rFonts w:cs="Arial"/>
        </w:rPr>
        <w:fldChar w:fldCharType="begin"/>
      </w:r>
      <w:r w:rsidR="00A107B8" w:rsidRPr="00545EC0">
        <w:rPr>
          <w:rFonts w:cs="Arial"/>
        </w:rPr>
        <w:instrText xml:space="preserve"> REF _Ref84496319 \h </w:instrText>
      </w:r>
      <w:r w:rsidR="003122F4" w:rsidRPr="00545EC0">
        <w:rPr>
          <w:rFonts w:cs="Arial"/>
        </w:rPr>
        <w:instrText xml:space="preserve"> \* MERGEFORMAT </w:instrText>
      </w:r>
      <w:r w:rsidR="00A107B8" w:rsidRPr="00545EC0">
        <w:rPr>
          <w:rFonts w:cs="Arial"/>
        </w:rPr>
      </w:r>
      <w:r w:rsidR="00A107B8" w:rsidRPr="00545EC0">
        <w:rPr>
          <w:rFonts w:cs="Arial"/>
        </w:rPr>
        <w:fldChar w:fldCharType="separate"/>
      </w:r>
      <w:r w:rsidR="002F3E43" w:rsidRPr="00545EC0">
        <w:t xml:space="preserve">Preglednica </w:t>
      </w:r>
      <w:r w:rsidR="002F3E43">
        <w:rPr>
          <w:noProof/>
        </w:rPr>
        <w:t>1</w:t>
      </w:r>
      <w:r w:rsidR="002F3E43" w:rsidRPr="00545EC0">
        <w:rPr>
          <w:noProof/>
        </w:rPr>
        <w:noBreakHyphen/>
      </w:r>
      <w:r w:rsidR="002F3E43">
        <w:rPr>
          <w:noProof/>
        </w:rPr>
        <w:t>2</w:t>
      </w:r>
      <w:r w:rsidR="00A107B8" w:rsidRPr="00545EC0">
        <w:rPr>
          <w:rFonts w:cs="Arial"/>
        </w:rPr>
        <w:fldChar w:fldCharType="end"/>
      </w:r>
      <w:r w:rsidR="00AE414A" w:rsidRPr="00545EC0">
        <w:rPr>
          <w:rFonts w:cs="Arial"/>
        </w:rPr>
        <w:t>).</w:t>
      </w:r>
    </w:p>
    <w:p w14:paraId="50140314" w14:textId="77777777" w:rsidR="00FE59C8" w:rsidRPr="00545EC0" w:rsidRDefault="00FE59C8" w:rsidP="00FE59C8">
      <w:pPr>
        <w:rPr>
          <w:rFonts w:cs="Arial"/>
        </w:rPr>
      </w:pPr>
    </w:p>
    <w:p w14:paraId="2AC704F0" w14:textId="34FD22FF" w:rsidR="00FE59C8" w:rsidRPr="00545EC0" w:rsidRDefault="00FE59C8" w:rsidP="00FE59C8">
      <w:pPr>
        <w:pStyle w:val="Napis"/>
      </w:pPr>
      <w:bookmarkStart w:id="17" w:name="_Ref84329806"/>
      <w:bookmarkStart w:id="18" w:name="_Ref84251754"/>
      <w:r w:rsidRPr="00545EC0">
        <w:t xml:space="preserve">Preglednica </w:t>
      </w:r>
      <w:fldSimple w:instr=" STYLEREF 1 \s ">
        <w:r w:rsidR="002F3E43">
          <w:rPr>
            <w:noProof/>
          </w:rPr>
          <w:t>1</w:t>
        </w:r>
      </w:fldSimple>
      <w:r w:rsidR="001A7511" w:rsidRPr="00545EC0">
        <w:noBreakHyphen/>
      </w:r>
      <w:fldSimple w:instr=" SEQ Preglednica \* ARABIC \s 1 ">
        <w:r w:rsidR="002F3E43">
          <w:rPr>
            <w:noProof/>
          </w:rPr>
          <w:t>1</w:t>
        </w:r>
      </w:fldSimple>
      <w:bookmarkEnd w:id="17"/>
      <w:r w:rsidRPr="00545EC0">
        <w:t>: Podatki o glavnih rekah na VO Donave</w:t>
      </w:r>
      <w:bookmarkEnd w:id="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9"/>
        <w:gridCol w:w="1992"/>
        <w:gridCol w:w="1492"/>
        <w:gridCol w:w="1739"/>
        <w:gridCol w:w="1243"/>
        <w:gridCol w:w="1886"/>
      </w:tblGrid>
      <w:tr w:rsidR="003122F4" w:rsidRPr="00545EC0" w14:paraId="23DFFD3F" w14:textId="77777777" w:rsidTr="00AE414A">
        <w:trPr>
          <w:cantSplit/>
          <w:trHeight w:val="255"/>
          <w:tblHeader/>
          <w:jc w:val="center"/>
        </w:trPr>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152987" w14:textId="77777777" w:rsidR="00FE59C8" w:rsidRPr="00545EC0" w:rsidRDefault="00FE59C8" w:rsidP="00B506A9">
            <w:pPr>
              <w:jc w:val="center"/>
              <w:rPr>
                <w:rFonts w:cs="Arial"/>
                <w:b/>
                <w:sz w:val="18"/>
                <w:szCs w:val="18"/>
                <w:lang w:eastAsia="ja-JP"/>
              </w:rPr>
            </w:pPr>
            <w:r w:rsidRPr="00545EC0">
              <w:rPr>
                <w:rFonts w:cs="Arial"/>
                <w:b/>
                <w:sz w:val="18"/>
                <w:szCs w:val="18"/>
              </w:rPr>
              <w:t>Zap. št.</w:t>
            </w:r>
          </w:p>
        </w:tc>
        <w:tc>
          <w:tcPr>
            <w:tcW w:w="108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6E6FEAE" w14:textId="77777777" w:rsidR="00FE59C8" w:rsidRPr="00545EC0" w:rsidRDefault="00FE59C8" w:rsidP="00B506A9">
            <w:pPr>
              <w:rPr>
                <w:rFonts w:cs="Arial"/>
                <w:b/>
                <w:sz w:val="18"/>
                <w:szCs w:val="18"/>
                <w:lang w:eastAsia="ja-JP"/>
              </w:rPr>
            </w:pPr>
            <w:r w:rsidRPr="00545EC0">
              <w:rPr>
                <w:rFonts w:cs="Arial"/>
                <w:b/>
                <w:sz w:val="18"/>
                <w:szCs w:val="18"/>
              </w:rPr>
              <w:t>Vode I. reda</w:t>
            </w:r>
          </w:p>
        </w:tc>
        <w:tc>
          <w:tcPr>
            <w:tcW w:w="81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C51C7F" w14:textId="77777777" w:rsidR="00FE59C8" w:rsidRPr="00545EC0" w:rsidRDefault="00FE59C8" w:rsidP="00B506A9">
            <w:pPr>
              <w:jc w:val="center"/>
              <w:rPr>
                <w:rFonts w:cs="Arial"/>
                <w:b/>
                <w:sz w:val="18"/>
                <w:szCs w:val="18"/>
                <w:lang w:eastAsia="ja-JP"/>
              </w:rPr>
            </w:pPr>
            <w:r w:rsidRPr="00545EC0">
              <w:rPr>
                <w:rFonts w:cs="Arial"/>
                <w:b/>
                <w:sz w:val="18"/>
                <w:szCs w:val="18"/>
              </w:rPr>
              <w:t>Porečje</w:t>
            </w:r>
          </w:p>
        </w:tc>
        <w:tc>
          <w:tcPr>
            <w:tcW w:w="94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E31252" w14:textId="434D4389" w:rsidR="00FE59C8" w:rsidRPr="00545EC0" w:rsidRDefault="00FE59C8">
            <w:pPr>
              <w:jc w:val="center"/>
              <w:rPr>
                <w:rFonts w:cs="Arial"/>
                <w:b/>
                <w:sz w:val="18"/>
                <w:szCs w:val="18"/>
                <w:lang w:eastAsia="ja-JP"/>
              </w:rPr>
            </w:pPr>
            <w:r w:rsidRPr="00545EC0">
              <w:rPr>
                <w:rFonts w:cs="Arial"/>
                <w:b/>
                <w:sz w:val="18"/>
                <w:szCs w:val="18"/>
              </w:rPr>
              <w:t xml:space="preserve">Prispevna površina v </w:t>
            </w:r>
            <w:r w:rsidR="00307E73" w:rsidRPr="00545EC0">
              <w:rPr>
                <w:rFonts w:cs="Arial"/>
                <w:b/>
                <w:sz w:val="18"/>
                <w:szCs w:val="18"/>
              </w:rPr>
              <w:t xml:space="preserve">Republiki </w:t>
            </w:r>
            <w:r w:rsidRPr="00545EC0">
              <w:rPr>
                <w:rFonts w:cs="Arial"/>
                <w:b/>
                <w:sz w:val="18"/>
                <w:szCs w:val="18"/>
              </w:rPr>
              <w:t>Sloveniji (km</w:t>
            </w:r>
            <w:r w:rsidRPr="00545EC0">
              <w:rPr>
                <w:rFonts w:cs="Arial"/>
                <w:b/>
                <w:sz w:val="18"/>
                <w:szCs w:val="18"/>
                <w:vertAlign w:val="superscript"/>
              </w:rPr>
              <w:t>2</w:t>
            </w:r>
            <w:r w:rsidRPr="00545EC0">
              <w:rPr>
                <w:rFonts w:cs="Arial"/>
                <w:b/>
                <w:sz w:val="18"/>
                <w:szCs w:val="18"/>
              </w:rPr>
              <w:t>)</w:t>
            </w:r>
          </w:p>
        </w:tc>
        <w:tc>
          <w:tcPr>
            <w:tcW w:w="67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42B9FE" w14:textId="77777777" w:rsidR="00FE59C8" w:rsidRPr="00545EC0" w:rsidRDefault="00FE59C8" w:rsidP="00B506A9">
            <w:pPr>
              <w:jc w:val="center"/>
              <w:rPr>
                <w:rFonts w:cs="Arial"/>
                <w:b/>
                <w:sz w:val="18"/>
                <w:szCs w:val="18"/>
                <w:lang w:eastAsia="ja-JP"/>
              </w:rPr>
            </w:pPr>
            <w:r w:rsidRPr="00545EC0">
              <w:rPr>
                <w:rFonts w:cs="Arial"/>
                <w:b/>
                <w:sz w:val="18"/>
                <w:szCs w:val="18"/>
                <w:lang w:eastAsia="ja-JP"/>
              </w:rPr>
              <w:t>Srednji letni pretok 1981-2010 (m</w:t>
            </w:r>
            <w:r w:rsidRPr="00545EC0">
              <w:rPr>
                <w:rFonts w:cs="Arial"/>
                <w:b/>
                <w:sz w:val="18"/>
                <w:szCs w:val="18"/>
                <w:vertAlign w:val="superscript"/>
                <w:lang w:eastAsia="ja-JP"/>
              </w:rPr>
              <w:t>3</w:t>
            </w:r>
            <w:r w:rsidRPr="00545EC0">
              <w:rPr>
                <w:rFonts w:cs="Arial"/>
                <w:b/>
                <w:sz w:val="18"/>
                <w:szCs w:val="18"/>
                <w:lang w:eastAsia="ja-JP"/>
              </w:rPr>
              <w:t>/s)</w:t>
            </w:r>
          </w:p>
        </w:tc>
        <w:tc>
          <w:tcPr>
            <w:tcW w:w="102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E615D2" w14:textId="77777777" w:rsidR="00FE59C8" w:rsidRPr="00545EC0" w:rsidRDefault="00FE59C8" w:rsidP="00B506A9">
            <w:pPr>
              <w:jc w:val="center"/>
              <w:rPr>
                <w:rFonts w:cs="Arial"/>
                <w:b/>
                <w:sz w:val="18"/>
                <w:szCs w:val="18"/>
                <w:lang w:eastAsia="ja-JP"/>
              </w:rPr>
            </w:pPr>
            <w:r w:rsidRPr="00545EC0">
              <w:rPr>
                <w:rFonts w:cs="Arial"/>
                <w:b/>
                <w:sz w:val="18"/>
                <w:szCs w:val="18"/>
              </w:rPr>
              <w:t>Vodomerna postaja</w:t>
            </w:r>
          </w:p>
        </w:tc>
      </w:tr>
      <w:tr w:rsidR="00EC3460" w:rsidRPr="00545EC0" w14:paraId="517CB2E2" w14:textId="77777777" w:rsidTr="00EC3460">
        <w:trPr>
          <w:cantSplit/>
          <w:trHeight w:val="137"/>
          <w:jc w:val="center"/>
        </w:trPr>
        <w:tc>
          <w:tcPr>
            <w:tcW w:w="466" w:type="pct"/>
            <w:tcBorders>
              <w:top w:val="single" w:sz="4" w:space="0" w:color="auto"/>
              <w:left w:val="single" w:sz="4" w:space="0" w:color="auto"/>
              <w:bottom w:val="single" w:sz="4" w:space="0" w:color="auto"/>
              <w:right w:val="single" w:sz="4" w:space="0" w:color="auto"/>
            </w:tcBorders>
            <w:vAlign w:val="center"/>
            <w:hideMark/>
          </w:tcPr>
          <w:p w14:paraId="63031933" w14:textId="77777777" w:rsidR="00FE59C8" w:rsidRPr="00545EC0" w:rsidRDefault="00FE59C8" w:rsidP="00B506A9">
            <w:pPr>
              <w:rPr>
                <w:rFonts w:cs="Arial"/>
                <w:sz w:val="18"/>
                <w:szCs w:val="18"/>
                <w:lang w:eastAsia="ja-JP"/>
              </w:rPr>
            </w:pPr>
            <w:r w:rsidRPr="00545EC0">
              <w:rPr>
                <w:rFonts w:cs="Arial"/>
                <w:sz w:val="18"/>
                <w:szCs w:val="18"/>
              </w:rPr>
              <w:t>1</w:t>
            </w:r>
          </w:p>
        </w:tc>
        <w:tc>
          <w:tcPr>
            <w:tcW w:w="1081" w:type="pct"/>
            <w:tcBorders>
              <w:top w:val="single" w:sz="4" w:space="0" w:color="auto"/>
              <w:left w:val="single" w:sz="4" w:space="0" w:color="auto"/>
              <w:bottom w:val="single" w:sz="4" w:space="0" w:color="auto"/>
              <w:right w:val="single" w:sz="4" w:space="0" w:color="auto"/>
            </w:tcBorders>
            <w:vAlign w:val="center"/>
            <w:hideMark/>
          </w:tcPr>
          <w:p w14:paraId="08EAA607" w14:textId="77777777" w:rsidR="00FE59C8" w:rsidRPr="00545EC0" w:rsidRDefault="00FE59C8" w:rsidP="00B506A9">
            <w:pPr>
              <w:rPr>
                <w:rFonts w:cs="Arial"/>
                <w:sz w:val="18"/>
                <w:szCs w:val="18"/>
                <w:lang w:eastAsia="ja-JP"/>
              </w:rPr>
            </w:pPr>
            <w:r w:rsidRPr="00545EC0">
              <w:rPr>
                <w:rFonts w:cs="Arial"/>
                <w:sz w:val="18"/>
                <w:szCs w:val="18"/>
              </w:rPr>
              <w:t>Ledava</w:t>
            </w:r>
          </w:p>
        </w:tc>
        <w:tc>
          <w:tcPr>
            <w:tcW w:w="810" w:type="pct"/>
            <w:tcBorders>
              <w:top w:val="single" w:sz="4" w:space="0" w:color="auto"/>
              <w:left w:val="single" w:sz="4" w:space="0" w:color="auto"/>
              <w:bottom w:val="single" w:sz="4" w:space="0" w:color="auto"/>
              <w:right w:val="single" w:sz="4" w:space="0" w:color="auto"/>
            </w:tcBorders>
            <w:vAlign w:val="center"/>
            <w:hideMark/>
          </w:tcPr>
          <w:p w14:paraId="2CF00E9F" w14:textId="77777777" w:rsidR="00FE59C8" w:rsidRPr="00545EC0" w:rsidRDefault="00FE59C8" w:rsidP="00B506A9">
            <w:pPr>
              <w:rPr>
                <w:rFonts w:cs="Arial"/>
                <w:sz w:val="18"/>
                <w:szCs w:val="18"/>
                <w:lang w:eastAsia="ja-JP"/>
              </w:rPr>
            </w:pPr>
            <w:r w:rsidRPr="00545EC0">
              <w:rPr>
                <w:rFonts w:cs="Arial"/>
                <w:sz w:val="18"/>
                <w:szCs w:val="18"/>
              </w:rPr>
              <w:t>Mura</w:t>
            </w:r>
          </w:p>
        </w:tc>
        <w:tc>
          <w:tcPr>
            <w:tcW w:w="944" w:type="pct"/>
            <w:tcBorders>
              <w:top w:val="single" w:sz="4" w:space="0" w:color="auto"/>
              <w:left w:val="single" w:sz="4" w:space="0" w:color="auto"/>
              <w:bottom w:val="single" w:sz="4" w:space="0" w:color="auto"/>
              <w:right w:val="single" w:sz="4" w:space="0" w:color="auto"/>
            </w:tcBorders>
            <w:vAlign w:val="center"/>
            <w:hideMark/>
          </w:tcPr>
          <w:p w14:paraId="106DA675" w14:textId="77777777" w:rsidR="00FE59C8" w:rsidRPr="00545EC0" w:rsidRDefault="00FE59C8" w:rsidP="00B506A9">
            <w:pPr>
              <w:jc w:val="center"/>
              <w:rPr>
                <w:rFonts w:cs="Arial"/>
                <w:sz w:val="18"/>
                <w:szCs w:val="18"/>
                <w:lang w:eastAsia="ja-JP"/>
              </w:rPr>
            </w:pPr>
            <w:r w:rsidRPr="00545EC0">
              <w:rPr>
                <w:rFonts w:cs="Arial"/>
                <w:sz w:val="18"/>
                <w:szCs w:val="18"/>
              </w:rPr>
              <w:t>825</w:t>
            </w:r>
          </w:p>
        </w:tc>
        <w:tc>
          <w:tcPr>
            <w:tcW w:w="675" w:type="pct"/>
            <w:tcBorders>
              <w:top w:val="single" w:sz="4" w:space="0" w:color="auto"/>
              <w:left w:val="single" w:sz="4" w:space="0" w:color="auto"/>
              <w:bottom w:val="single" w:sz="4" w:space="0" w:color="auto"/>
              <w:right w:val="single" w:sz="4" w:space="0" w:color="auto"/>
            </w:tcBorders>
            <w:vAlign w:val="center"/>
          </w:tcPr>
          <w:p w14:paraId="2652EB52" w14:textId="0B6D34CD" w:rsidR="00FE59C8" w:rsidRPr="00545EC0" w:rsidRDefault="00FE59C8" w:rsidP="00EC3460">
            <w:pPr>
              <w:jc w:val="center"/>
              <w:rPr>
                <w:rFonts w:cs="Arial"/>
                <w:sz w:val="18"/>
                <w:szCs w:val="18"/>
                <w:lang w:eastAsia="ja-JP"/>
              </w:rPr>
            </w:pPr>
            <w:r w:rsidRPr="00545EC0">
              <w:rPr>
                <w:rFonts w:cs="Arial"/>
                <w:sz w:val="18"/>
                <w:szCs w:val="18"/>
              </w:rPr>
              <w:t>1,04</w:t>
            </w:r>
          </w:p>
        </w:tc>
        <w:tc>
          <w:tcPr>
            <w:tcW w:w="1024" w:type="pct"/>
            <w:tcBorders>
              <w:top w:val="single" w:sz="4" w:space="0" w:color="auto"/>
              <w:left w:val="single" w:sz="4" w:space="0" w:color="auto"/>
              <w:bottom w:val="single" w:sz="4" w:space="0" w:color="auto"/>
              <w:right w:val="single" w:sz="4" w:space="0" w:color="auto"/>
            </w:tcBorders>
            <w:vAlign w:val="center"/>
            <w:hideMark/>
          </w:tcPr>
          <w:p w14:paraId="561A7EBB" w14:textId="77777777" w:rsidR="00FE59C8" w:rsidRPr="00545EC0" w:rsidRDefault="00FE59C8" w:rsidP="00B506A9">
            <w:pPr>
              <w:jc w:val="center"/>
              <w:rPr>
                <w:rFonts w:cs="Arial"/>
                <w:sz w:val="18"/>
                <w:szCs w:val="18"/>
                <w:lang w:eastAsia="ja-JP"/>
              </w:rPr>
            </w:pPr>
            <w:r w:rsidRPr="00545EC0">
              <w:rPr>
                <w:rFonts w:cs="Arial"/>
                <w:sz w:val="18"/>
                <w:szCs w:val="18"/>
                <w:lang w:eastAsia="ja-JP"/>
              </w:rPr>
              <w:t>Polana</w:t>
            </w:r>
          </w:p>
        </w:tc>
      </w:tr>
      <w:tr w:rsidR="003122F4" w:rsidRPr="00545EC0" w14:paraId="690921A7" w14:textId="77777777" w:rsidTr="00AE414A">
        <w:trPr>
          <w:cantSplit/>
          <w:trHeight w:val="255"/>
          <w:jc w:val="center"/>
        </w:trPr>
        <w:tc>
          <w:tcPr>
            <w:tcW w:w="466" w:type="pct"/>
            <w:tcBorders>
              <w:top w:val="single" w:sz="4" w:space="0" w:color="auto"/>
              <w:left w:val="single" w:sz="4" w:space="0" w:color="auto"/>
              <w:bottom w:val="single" w:sz="4" w:space="0" w:color="auto"/>
              <w:right w:val="single" w:sz="4" w:space="0" w:color="auto"/>
            </w:tcBorders>
            <w:vAlign w:val="center"/>
            <w:hideMark/>
          </w:tcPr>
          <w:p w14:paraId="37E777F8" w14:textId="77777777" w:rsidR="00FE59C8" w:rsidRPr="00545EC0" w:rsidRDefault="00FE59C8" w:rsidP="00B506A9">
            <w:pPr>
              <w:rPr>
                <w:rFonts w:cs="Arial"/>
                <w:sz w:val="18"/>
                <w:szCs w:val="18"/>
                <w:lang w:eastAsia="ja-JP"/>
              </w:rPr>
            </w:pPr>
            <w:r w:rsidRPr="00545EC0">
              <w:rPr>
                <w:rFonts w:cs="Arial"/>
                <w:sz w:val="18"/>
                <w:szCs w:val="18"/>
              </w:rPr>
              <w:t>2</w:t>
            </w:r>
          </w:p>
        </w:tc>
        <w:tc>
          <w:tcPr>
            <w:tcW w:w="1081" w:type="pct"/>
            <w:tcBorders>
              <w:top w:val="single" w:sz="4" w:space="0" w:color="auto"/>
              <w:left w:val="single" w:sz="4" w:space="0" w:color="auto"/>
              <w:bottom w:val="single" w:sz="4" w:space="0" w:color="auto"/>
              <w:right w:val="single" w:sz="4" w:space="0" w:color="auto"/>
            </w:tcBorders>
            <w:vAlign w:val="center"/>
            <w:hideMark/>
          </w:tcPr>
          <w:p w14:paraId="45F24633" w14:textId="77777777" w:rsidR="00FE59C8" w:rsidRPr="00545EC0" w:rsidRDefault="00FE59C8" w:rsidP="00B506A9">
            <w:pPr>
              <w:rPr>
                <w:rFonts w:cs="Arial"/>
                <w:sz w:val="18"/>
                <w:szCs w:val="18"/>
                <w:lang w:eastAsia="ja-JP"/>
              </w:rPr>
            </w:pPr>
            <w:r w:rsidRPr="00545EC0">
              <w:rPr>
                <w:rFonts w:cs="Arial"/>
                <w:sz w:val="18"/>
                <w:szCs w:val="18"/>
              </w:rPr>
              <w:t>Mura</w:t>
            </w:r>
          </w:p>
        </w:tc>
        <w:tc>
          <w:tcPr>
            <w:tcW w:w="810" w:type="pct"/>
            <w:tcBorders>
              <w:top w:val="single" w:sz="4" w:space="0" w:color="auto"/>
              <w:left w:val="single" w:sz="4" w:space="0" w:color="auto"/>
              <w:bottom w:val="single" w:sz="4" w:space="0" w:color="auto"/>
              <w:right w:val="single" w:sz="4" w:space="0" w:color="auto"/>
            </w:tcBorders>
            <w:vAlign w:val="center"/>
            <w:hideMark/>
          </w:tcPr>
          <w:p w14:paraId="7A7BFBF3" w14:textId="77777777" w:rsidR="00FE59C8" w:rsidRPr="00545EC0" w:rsidRDefault="00FE59C8" w:rsidP="00B506A9">
            <w:pPr>
              <w:rPr>
                <w:rFonts w:cs="Arial"/>
                <w:sz w:val="18"/>
                <w:szCs w:val="18"/>
                <w:lang w:eastAsia="ja-JP"/>
              </w:rPr>
            </w:pPr>
            <w:r w:rsidRPr="00545EC0">
              <w:rPr>
                <w:rFonts w:cs="Arial"/>
                <w:sz w:val="18"/>
                <w:szCs w:val="18"/>
              </w:rPr>
              <w:t>Mura</w:t>
            </w:r>
          </w:p>
        </w:tc>
        <w:tc>
          <w:tcPr>
            <w:tcW w:w="944" w:type="pct"/>
            <w:tcBorders>
              <w:top w:val="single" w:sz="4" w:space="0" w:color="auto"/>
              <w:left w:val="single" w:sz="4" w:space="0" w:color="auto"/>
              <w:bottom w:val="single" w:sz="4" w:space="0" w:color="auto"/>
              <w:right w:val="single" w:sz="4" w:space="0" w:color="auto"/>
            </w:tcBorders>
            <w:vAlign w:val="center"/>
            <w:hideMark/>
          </w:tcPr>
          <w:p w14:paraId="017D88ED" w14:textId="77777777" w:rsidR="00FE59C8" w:rsidRPr="00545EC0" w:rsidRDefault="00FE59C8" w:rsidP="00B506A9">
            <w:pPr>
              <w:jc w:val="center"/>
              <w:rPr>
                <w:rFonts w:cs="Arial"/>
                <w:sz w:val="18"/>
                <w:szCs w:val="18"/>
                <w:lang w:eastAsia="ja-JP"/>
              </w:rPr>
            </w:pPr>
            <w:r w:rsidRPr="00545EC0">
              <w:rPr>
                <w:rFonts w:cs="Arial"/>
                <w:sz w:val="18"/>
                <w:szCs w:val="18"/>
              </w:rPr>
              <w:t>1387</w:t>
            </w:r>
          </w:p>
        </w:tc>
        <w:tc>
          <w:tcPr>
            <w:tcW w:w="675" w:type="pct"/>
            <w:tcBorders>
              <w:top w:val="single" w:sz="4" w:space="0" w:color="auto"/>
              <w:left w:val="single" w:sz="4" w:space="0" w:color="auto"/>
              <w:bottom w:val="single" w:sz="4" w:space="0" w:color="auto"/>
              <w:right w:val="single" w:sz="4" w:space="0" w:color="auto"/>
            </w:tcBorders>
            <w:vAlign w:val="center"/>
            <w:hideMark/>
          </w:tcPr>
          <w:p w14:paraId="47FA91F0" w14:textId="77777777" w:rsidR="00FE59C8" w:rsidRPr="00545EC0" w:rsidRDefault="00FE59C8" w:rsidP="00B506A9">
            <w:pPr>
              <w:jc w:val="center"/>
              <w:rPr>
                <w:rFonts w:cs="Arial"/>
                <w:sz w:val="18"/>
                <w:szCs w:val="18"/>
                <w:lang w:eastAsia="ja-JP"/>
              </w:rPr>
            </w:pPr>
            <w:r w:rsidRPr="00545EC0">
              <w:rPr>
                <w:rFonts w:cs="Arial"/>
                <w:sz w:val="18"/>
                <w:szCs w:val="18"/>
                <w:lang w:eastAsia="ja-JP"/>
              </w:rPr>
              <w:t>152</w:t>
            </w:r>
          </w:p>
        </w:tc>
        <w:tc>
          <w:tcPr>
            <w:tcW w:w="1024" w:type="pct"/>
            <w:tcBorders>
              <w:top w:val="single" w:sz="4" w:space="0" w:color="auto"/>
              <w:left w:val="single" w:sz="4" w:space="0" w:color="auto"/>
              <w:bottom w:val="single" w:sz="4" w:space="0" w:color="auto"/>
              <w:right w:val="single" w:sz="4" w:space="0" w:color="auto"/>
            </w:tcBorders>
            <w:vAlign w:val="center"/>
            <w:hideMark/>
          </w:tcPr>
          <w:p w14:paraId="72BD739C" w14:textId="77777777" w:rsidR="00FE59C8" w:rsidRPr="00545EC0" w:rsidRDefault="00FE59C8" w:rsidP="00B506A9">
            <w:pPr>
              <w:jc w:val="center"/>
              <w:rPr>
                <w:rFonts w:cs="Arial"/>
                <w:sz w:val="18"/>
                <w:szCs w:val="18"/>
                <w:lang w:eastAsia="ja-JP"/>
              </w:rPr>
            </w:pPr>
            <w:r w:rsidRPr="00545EC0">
              <w:rPr>
                <w:rFonts w:cs="Arial"/>
                <w:sz w:val="18"/>
                <w:szCs w:val="18"/>
              </w:rPr>
              <w:t>Gornja Radgona</w:t>
            </w:r>
          </w:p>
        </w:tc>
      </w:tr>
      <w:tr w:rsidR="003122F4" w:rsidRPr="00545EC0" w14:paraId="4835D25E" w14:textId="77777777" w:rsidTr="00AE414A">
        <w:trPr>
          <w:cantSplit/>
          <w:trHeight w:val="255"/>
          <w:jc w:val="center"/>
        </w:trPr>
        <w:tc>
          <w:tcPr>
            <w:tcW w:w="466" w:type="pct"/>
            <w:tcBorders>
              <w:top w:val="single" w:sz="4" w:space="0" w:color="auto"/>
              <w:left w:val="single" w:sz="4" w:space="0" w:color="auto"/>
              <w:bottom w:val="single" w:sz="4" w:space="0" w:color="auto"/>
              <w:right w:val="single" w:sz="4" w:space="0" w:color="auto"/>
            </w:tcBorders>
            <w:vAlign w:val="center"/>
            <w:hideMark/>
          </w:tcPr>
          <w:p w14:paraId="1E5CF8C9" w14:textId="77777777" w:rsidR="00FE59C8" w:rsidRPr="00545EC0" w:rsidRDefault="00FE59C8" w:rsidP="00B506A9">
            <w:pPr>
              <w:rPr>
                <w:rFonts w:cs="Arial"/>
                <w:sz w:val="18"/>
                <w:szCs w:val="18"/>
                <w:lang w:eastAsia="ja-JP"/>
              </w:rPr>
            </w:pPr>
            <w:r w:rsidRPr="00545EC0">
              <w:rPr>
                <w:rFonts w:cs="Arial"/>
                <w:sz w:val="18"/>
                <w:szCs w:val="18"/>
              </w:rPr>
              <w:t>3</w:t>
            </w:r>
          </w:p>
        </w:tc>
        <w:tc>
          <w:tcPr>
            <w:tcW w:w="1081" w:type="pct"/>
            <w:tcBorders>
              <w:top w:val="single" w:sz="4" w:space="0" w:color="auto"/>
              <w:left w:val="single" w:sz="4" w:space="0" w:color="auto"/>
              <w:bottom w:val="single" w:sz="4" w:space="0" w:color="auto"/>
              <w:right w:val="single" w:sz="4" w:space="0" w:color="auto"/>
            </w:tcBorders>
            <w:vAlign w:val="center"/>
            <w:hideMark/>
          </w:tcPr>
          <w:p w14:paraId="6FC0E6D2" w14:textId="77777777" w:rsidR="00FE59C8" w:rsidRPr="00545EC0" w:rsidRDefault="00FE59C8" w:rsidP="00B506A9">
            <w:pPr>
              <w:rPr>
                <w:rFonts w:cs="Arial"/>
                <w:sz w:val="18"/>
                <w:szCs w:val="18"/>
                <w:lang w:eastAsia="ja-JP"/>
              </w:rPr>
            </w:pPr>
            <w:r w:rsidRPr="00545EC0">
              <w:rPr>
                <w:rFonts w:cs="Arial"/>
                <w:sz w:val="18"/>
                <w:szCs w:val="18"/>
              </w:rPr>
              <w:t>Velika Krka</w:t>
            </w:r>
          </w:p>
        </w:tc>
        <w:tc>
          <w:tcPr>
            <w:tcW w:w="810" w:type="pct"/>
            <w:tcBorders>
              <w:top w:val="single" w:sz="4" w:space="0" w:color="auto"/>
              <w:left w:val="single" w:sz="4" w:space="0" w:color="auto"/>
              <w:bottom w:val="single" w:sz="4" w:space="0" w:color="auto"/>
              <w:right w:val="single" w:sz="4" w:space="0" w:color="auto"/>
            </w:tcBorders>
            <w:vAlign w:val="center"/>
            <w:hideMark/>
          </w:tcPr>
          <w:p w14:paraId="56640225" w14:textId="77777777" w:rsidR="00FE59C8" w:rsidRPr="00545EC0" w:rsidRDefault="00FE59C8" w:rsidP="00B506A9">
            <w:pPr>
              <w:rPr>
                <w:rFonts w:cs="Arial"/>
                <w:sz w:val="18"/>
                <w:szCs w:val="18"/>
                <w:lang w:eastAsia="ja-JP"/>
              </w:rPr>
            </w:pPr>
            <w:r w:rsidRPr="00545EC0">
              <w:rPr>
                <w:rFonts w:cs="Arial"/>
                <w:sz w:val="18"/>
                <w:szCs w:val="18"/>
              </w:rPr>
              <w:t>Mura</w:t>
            </w:r>
          </w:p>
        </w:tc>
        <w:tc>
          <w:tcPr>
            <w:tcW w:w="944" w:type="pct"/>
            <w:tcBorders>
              <w:top w:val="single" w:sz="4" w:space="0" w:color="auto"/>
              <w:left w:val="single" w:sz="4" w:space="0" w:color="auto"/>
              <w:bottom w:val="single" w:sz="4" w:space="0" w:color="auto"/>
              <w:right w:val="single" w:sz="4" w:space="0" w:color="auto"/>
            </w:tcBorders>
            <w:vAlign w:val="center"/>
            <w:hideMark/>
          </w:tcPr>
          <w:p w14:paraId="55B32905" w14:textId="77777777" w:rsidR="00FE59C8" w:rsidRPr="00545EC0" w:rsidRDefault="00FE59C8" w:rsidP="00B506A9">
            <w:pPr>
              <w:jc w:val="center"/>
              <w:rPr>
                <w:rFonts w:cs="Arial"/>
                <w:sz w:val="18"/>
                <w:szCs w:val="18"/>
                <w:lang w:eastAsia="ja-JP"/>
              </w:rPr>
            </w:pPr>
            <w:r w:rsidRPr="00545EC0">
              <w:rPr>
                <w:rFonts w:cs="Arial"/>
                <w:sz w:val="18"/>
                <w:szCs w:val="18"/>
              </w:rPr>
              <w:t>150</w:t>
            </w:r>
          </w:p>
        </w:tc>
        <w:tc>
          <w:tcPr>
            <w:tcW w:w="675" w:type="pct"/>
            <w:tcBorders>
              <w:top w:val="single" w:sz="4" w:space="0" w:color="auto"/>
              <w:left w:val="single" w:sz="4" w:space="0" w:color="auto"/>
              <w:bottom w:val="single" w:sz="4" w:space="0" w:color="auto"/>
              <w:right w:val="single" w:sz="4" w:space="0" w:color="auto"/>
            </w:tcBorders>
            <w:vAlign w:val="center"/>
            <w:hideMark/>
          </w:tcPr>
          <w:p w14:paraId="55398E04" w14:textId="77777777" w:rsidR="00FE59C8" w:rsidRPr="00545EC0" w:rsidRDefault="00FE59C8" w:rsidP="00B506A9">
            <w:pPr>
              <w:jc w:val="center"/>
              <w:rPr>
                <w:rFonts w:cs="Arial"/>
                <w:sz w:val="18"/>
                <w:szCs w:val="18"/>
                <w:lang w:eastAsia="ja-JP"/>
              </w:rPr>
            </w:pPr>
            <w:r w:rsidRPr="00545EC0">
              <w:rPr>
                <w:rFonts w:cs="Arial"/>
                <w:sz w:val="18"/>
                <w:szCs w:val="18"/>
              </w:rPr>
              <w:t>0,384</w:t>
            </w:r>
          </w:p>
        </w:tc>
        <w:tc>
          <w:tcPr>
            <w:tcW w:w="1024" w:type="pct"/>
            <w:tcBorders>
              <w:top w:val="single" w:sz="4" w:space="0" w:color="auto"/>
              <w:left w:val="single" w:sz="4" w:space="0" w:color="auto"/>
              <w:bottom w:val="single" w:sz="4" w:space="0" w:color="auto"/>
              <w:right w:val="single" w:sz="4" w:space="0" w:color="auto"/>
            </w:tcBorders>
            <w:vAlign w:val="center"/>
            <w:hideMark/>
          </w:tcPr>
          <w:p w14:paraId="1C0A0A32" w14:textId="77777777" w:rsidR="00FE59C8" w:rsidRPr="00545EC0" w:rsidRDefault="00FE59C8" w:rsidP="00B506A9">
            <w:pPr>
              <w:jc w:val="center"/>
              <w:rPr>
                <w:rFonts w:cs="Arial"/>
                <w:sz w:val="18"/>
                <w:szCs w:val="18"/>
                <w:lang w:eastAsia="ja-JP"/>
              </w:rPr>
            </w:pPr>
            <w:r w:rsidRPr="00545EC0">
              <w:rPr>
                <w:rFonts w:cs="Arial"/>
                <w:sz w:val="18"/>
                <w:szCs w:val="18"/>
              </w:rPr>
              <w:t>Hodoš</w:t>
            </w:r>
          </w:p>
        </w:tc>
      </w:tr>
      <w:tr w:rsidR="003122F4" w:rsidRPr="00545EC0" w14:paraId="7CA28A1C" w14:textId="77777777" w:rsidTr="00AE414A">
        <w:trPr>
          <w:cantSplit/>
          <w:trHeight w:val="255"/>
          <w:jc w:val="center"/>
        </w:trPr>
        <w:tc>
          <w:tcPr>
            <w:tcW w:w="466" w:type="pct"/>
            <w:tcBorders>
              <w:top w:val="single" w:sz="4" w:space="0" w:color="auto"/>
              <w:left w:val="single" w:sz="4" w:space="0" w:color="auto"/>
              <w:bottom w:val="single" w:sz="4" w:space="0" w:color="auto"/>
              <w:right w:val="single" w:sz="4" w:space="0" w:color="auto"/>
            </w:tcBorders>
            <w:vAlign w:val="center"/>
            <w:hideMark/>
          </w:tcPr>
          <w:p w14:paraId="53D42E73" w14:textId="77777777" w:rsidR="00FE59C8" w:rsidRPr="00545EC0" w:rsidRDefault="00FE59C8" w:rsidP="00B506A9">
            <w:pPr>
              <w:rPr>
                <w:rFonts w:cs="Arial"/>
                <w:sz w:val="18"/>
                <w:szCs w:val="18"/>
                <w:lang w:eastAsia="ja-JP"/>
              </w:rPr>
            </w:pPr>
            <w:r w:rsidRPr="00545EC0">
              <w:rPr>
                <w:rFonts w:cs="Arial"/>
                <w:sz w:val="18"/>
                <w:szCs w:val="18"/>
              </w:rPr>
              <w:t>4</w:t>
            </w:r>
          </w:p>
        </w:tc>
        <w:tc>
          <w:tcPr>
            <w:tcW w:w="1081" w:type="pct"/>
            <w:tcBorders>
              <w:top w:val="single" w:sz="4" w:space="0" w:color="auto"/>
              <w:left w:val="single" w:sz="4" w:space="0" w:color="auto"/>
              <w:bottom w:val="single" w:sz="4" w:space="0" w:color="auto"/>
              <w:right w:val="single" w:sz="4" w:space="0" w:color="auto"/>
            </w:tcBorders>
            <w:vAlign w:val="center"/>
            <w:hideMark/>
          </w:tcPr>
          <w:p w14:paraId="0E06C480" w14:textId="77777777" w:rsidR="00FE59C8" w:rsidRPr="00545EC0" w:rsidRDefault="00FE59C8" w:rsidP="00B506A9">
            <w:pPr>
              <w:rPr>
                <w:rFonts w:cs="Arial"/>
                <w:sz w:val="18"/>
                <w:szCs w:val="18"/>
                <w:lang w:eastAsia="ja-JP"/>
              </w:rPr>
            </w:pPr>
            <w:r w:rsidRPr="00545EC0">
              <w:rPr>
                <w:rFonts w:cs="Arial"/>
                <w:sz w:val="18"/>
                <w:szCs w:val="18"/>
              </w:rPr>
              <w:t>Ščavnica</w:t>
            </w:r>
          </w:p>
        </w:tc>
        <w:tc>
          <w:tcPr>
            <w:tcW w:w="810" w:type="pct"/>
            <w:tcBorders>
              <w:top w:val="single" w:sz="4" w:space="0" w:color="auto"/>
              <w:left w:val="single" w:sz="4" w:space="0" w:color="auto"/>
              <w:bottom w:val="single" w:sz="4" w:space="0" w:color="auto"/>
              <w:right w:val="single" w:sz="4" w:space="0" w:color="auto"/>
            </w:tcBorders>
            <w:vAlign w:val="center"/>
            <w:hideMark/>
          </w:tcPr>
          <w:p w14:paraId="34AD2A5B" w14:textId="77777777" w:rsidR="00FE59C8" w:rsidRPr="00545EC0" w:rsidRDefault="00FE59C8" w:rsidP="00B506A9">
            <w:pPr>
              <w:rPr>
                <w:rFonts w:cs="Arial"/>
                <w:sz w:val="18"/>
                <w:szCs w:val="18"/>
                <w:lang w:eastAsia="ja-JP"/>
              </w:rPr>
            </w:pPr>
            <w:r w:rsidRPr="00545EC0">
              <w:rPr>
                <w:rFonts w:cs="Arial"/>
                <w:sz w:val="18"/>
                <w:szCs w:val="18"/>
              </w:rPr>
              <w:t>Mura</w:t>
            </w:r>
          </w:p>
        </w:tc>
        <w:tc>
          <w:tcPr>
            <w:tcW w:w="944" w:type="pct"/>
            <w:tcBorders>
              <w:top w:val="single" w:sz="4" w:space="0" w:color="auto"/>
              <w:left w:val="single" w:sz="4" w:space="0" w:color="auto"/>
              <w:bottom w:val="single" w:sz="4" w:space="0" w:color="auto"/>
              <w:right w:val="single" w:sz="4" w:space="0" w:color="auto"/>
            </w:tcBorders>
            <w:vAlign w:val="center"/>
            <w:hideMark/>
          </w:tcPr>
          <w:p w14:paraId="723EC650" w14:textId="77777777" w:rsidR="00FE59C8" w:rsidRPr="00545EC0" w:rsidRDefault="00FE59C8" w:rsidP="00B506A9">
            <w:pPr>
              <w:jc w:val="center"/>
              <w:rPr>
                <w:rFonts w:cs="Arial"/>
                <w:sz w:val="18"/>
                <w:szCs w:val="18"/>
                <w:lang w:eastAsia="ja-JP"/>
              </w:rPr>
            </w:pPr>
            <w:r w:rsidRPr="00545EC0">
              <w:rPr>
                <w:rFonts w:cs="Arial"/>
                <w:sz w:val="18"/>
                <w:szCs w:val="18"/>
              </w:rPr>
              <w:t>299</w:t>
            </w:r>
          </w:p>
        </w:tc>
        <w:tc>
          <w:tcPr>
            <w:tcW w:w="675" w:type="pct"/>
            <w:tcBorders>
              <w:top w:val="single" w:sz="4" w:space="0" w:color="auto"/>
              <w:left w:val="single" w:sz="4" w:space="0" w:color="auto"/>
              <w:bottom w:val="single" w:sz="4" w:space="0" w:color="auto"/>
              <w:right w:val="single" w:sz="4" w:space="0" w:color="auto"/>
            </w:tcBorders>
            <w:vAlign w:val="center"/>
            <w:hideMark/>
          </w:tcPr>
          <w:p w14:paraId="6D4AE26C" w14:textId="77777777" w:rsidR="00FE59C8" w:rsidRPr="00545EC0" w:rsidRDefault="00FE59C8" w:rsidP="00B506A9">
            <w:pPr>
              <w:jc w:val="center"/>
              <w:rPr>
                <w:rFonts w:cs="Arial"/>
                <w:sz w:val="18"/>
                <w:szCs w:val="18"/>
                <w:lang w:eastAsia="ja-JP"/>
              </w:rPr>
            </w:pPr>
            <w:r w:rsidRPr="00545EC0">
              <w:rPr>
                <w:rFonts w:cs="Arial"/>
                <w:sz w:val="18"/>
                <w:szCs w:val="18"/>
              </w:rPr>
              <w:t>1,99</w:t>
            </w:r>
          </w:p>
        </w:tc>
        <w:tc>
          <w:tcPr>
            <w:tcW w:w="1024" w:type="pct"/>
            <w:tcBorders>
              <w:top w:val="single" w:sz="4" w:space="0" w:color="auto"/>
              <w:left w:val="single" w:sz="4" w:space="0" w:color="auto"/>
              <w:bottom w:val="single" w:sz="4" w:space="0" w:color="auto"/>
              <w:right w:val="single" w:sz="4" w:space="0" w:color="auto"/>
            </w:tcBorders>
            <w:vAlign w:val="center"/>
            <w:hideMark/>
          </w:tcPr>
          <w:p w14:paraId="6CDD30B5" w14:textId="77777777" w:rsidR="00FE59C8" w:rsidRPr="00545EC0" w:rsidRDefault="00FE59C8" w:rsidP="00B506A9">
            <w:pPr>
              <w:jc w:val="center"/>
              <w:rPr>
                <w:rFonts w:cs="Arial"/>
                <w:sz w:val="18"/>
                <w:szCs w:val="18"/>
                <w:lang w:eastAsia="ja-JP"/>
              </w:rPr>
            </w:pPr>
            <w:r w:rsidRPr="00545EC0">
              <w:rPr>
                <w:rFonts w:cs="Arial"/>
                <w:sz w:val="18"/>
                <w:szCs w:val="18"/>
              </w:rPr>
              <w:t>Pristava</w:t>
            </w:r>
          </w:p>
        </w:tc>
      </w:tr>
      <w:tr w:rsidR="003122F4" w:rsidRPr="00545EC0" w14:paraId="4E6B18D0" w14:textId="77777777" w:rsidTr="00AE414A">
        <w:trPr>
          <w:cantSplit/>
          <w:trHeight w:val="255"/>
          <w:jc w:val="center"/>
        </w:trPr>
        <w:tc>
          <w:tcPr>
            <w:tcW w:w="466" w:type="pct"/>
            <w:tcBorders>
              <w:top w:val="single" w:sz="4" w:space="0" w:color="auto"/>
              <w:left w:val="single" w:sz="4" w:space="0" w:color="auto"/>
              <w:bottom w:val="single" w:sz="4" w:space="0" w:color="auto"/>
              <w:right w:val="single" w:sz="4" w:space="0" w:color="auto"/>
            </w:tcBorders>
            <w:vAlign w:val="center"/>
            <w:hideMark/>
          </w:tcPr>
          <w:p w14:paraId="029945D8" w14:textId="77777777" w:rsidR="00FE59C8" w:rsidRPr="00545EC0" w:rsidRDefault="00FE59C8" w:rsidP="00B506A9">
            <w:pPr>
              <w:rPr>
                <w:rFonts w:cs="Arial"/>
                <w:sz w:val="18"/>
                <w:szCs w:val="18"/>
                <w:lang w:eastAsia="ja-JP"/>
              </w:rPr>
            </w:pPr>
            <w:r w:rsidRPr="00545EC0">
              <w:rPr>
                <w:rFonts w:cs="Arial"/>
                <w:sz w:val="18"/>
                <w:szCs w:val="18"/>
              </w:rPr>
              <w:t>5</w:t>
            </w:r>
          </w:p>
        </w:tc>
        <w:tc>
          <w:tcPr>
            <w:tcW w:w="1081" w:type="pct"/>
            <w:tcBorders>
              <w:top w:val="single" w:sz="4" w:space="0" w:color="auto"/>
              <w:left w:val="single" w:sz="4" w:space="0" w:color="auto"/>
              <w:bottom w:val="single" w:sz="4" w:space="0" w:color="auto"/>
              <w:right w:val="single" w:sz="4" w:space="0" w:color="auto"/>
            </w:tcBorders>
            <w:vAlign w:val="center"/>
            <w:hideMark/>
          </w:tcPr>
          <w:p w14:paraId="4D1911B6" w14:textId="77777777" w:rsidR="00FE59C8" w:rsidRPr="00545EC0" w:rsidRDefault="00FE59C8" w:rsidP="00B506A9">
            <w:pPr>
              <w:rPr>
                <w:rFonts w:cs="Arial"/>
                <w:sz w:val="18"/>
                <w:szCs w:val="18"/>
                <w:lang w:eastAsia="ja-JP"/>
              </w:rPr>
            </w:pPr>
            <w:r w:rsidRPr="00545EC0">
              <w:rPr>
                <w:rFonts w:cs="Arial"/>
                <w:sz w:val="18"/>
                <w:szCs w:val="18"/>
              </w:rPr>
              <w:t>Drava</w:t>
            </w:r>
          </w:p>
        </w:tc>
        <w:tc>
          <w:tcPr>
            <w:tcW w:w="810" w:type="pct"/>
            <w:tcBorders>
              <w:top w:val="single" w:sz="4" w:space="0" w:color="auto"/>
              <w:left w:val="single" w:sz="4" w:space="0" w:color="auto"/>
              <w:bottom w:val="single" w:sz="4" w:space="0" w:color="auto"/>
              <w:right w:val="single" w:sz="4" w:space="0" w:color="auto"/>
            </w:tcBorders>
            <w:vAlign w:val="center"/>
            <w:hideMark/>
          </w:tcPr>
          <w:p w14:paraId="55C94D55" w14:textId="77777777" w:rsidR="00FE59C8" w:rsidRPr="00545EC0" w:rsidRDefault="00FE59C8" w:rsidP="00B506A9">
            <w:pPr>
              <w:rPr>
                <w:rFonts w:cs="Arial"/>
                <w:sz w:val="18"/>
                <w:szCs w:val="18"/>
                <w:lang w:eastAsia="ja-JP"/>
              </w:rPr>
            </w:pPr>
            <w:r w:rsidRPr="00545EC0">
              <w:rPr>
                <w:rFonts w:cs="Arial"/>
                <w:sz w:val="18"/>
                <w:szCs w:val="18"/>
              </w:rPr>
              <w:t>Drava</w:t>
            </w:r>
          </w:p>
        </w:tc>
        <w:tc>
          <w:tcPr>
            <w:tcW w:w="944" w:type="pct"/>
            <w:tcBorders>
              <w:top w:val="single" w:sz="4" w:space="0" w:color="auto"/>
              <w:left w:val="single" w:sz="4" w:space="0" w:color="auto"/>
              <w:bottom w:val="single" w:sz="4" w:space="0" w:color="auto"/>
              <w:right w:val="single" w:sz="4" w:space="0" w:color="auto"/>
            </w:tcBorders>
            <w:vAlign w:val="center"/>
            <w:hideMark/>
          </w:tcPr>
          <w:p w14:paraId="26A89B09" w14:textId="77777777" w:rsidR="00FE59C8" w:rsidRPr="00545EC0" w:rsidRDefault="00FE59C8" w:rsidP="00B506A9">
            <w:pPr>
              <w:jc w:val="center"/>
              <w:rPr>
                <w:rFonts w:cs="Arial"/>
                <w:sz w:val="18"/>
                <w:szCs w:val="18"/>
                <w:lang w:eastAsia="ja-JP"/>
              </w:rPr>
            </w:pPr>
            <w:r w:rsidRPr="00545EC0">
              <w:rPr>
                <w:rFonts w:cs="Arial"/>
                <w:sz w:val="18"/>
                <w:szCs w:val="18"/>
              </w:rPr>
              <w:t>3271</w:t>
            </w:r>
          </w:p>
        </w:tc>
        <w:tc>
          <w:tcPr>
            <w:tcW w:w="675" w:type="pct"/>
            <w:tcBorders>
              <w:top w:val="single" w:sz="4" w:space="0" w:color="auto"/>
              <w:left w:val="single" w:sz="4" w:space="0" w:color="auto"/>
              <w:bottom w:val="single" w:sz="4" w:space="0" w:color="auto"/>
              <w:right w:val="single" w:sz="4" w:space="0" w:color="auto"/>
            </w:tcBorders>
            <w:vAlign w:val="center"/>
            <w:hideMark/>
          </w:tcPr>
          <w:p w14:paraId="2D5063FD" w14:textId="77777777" w:rsidR="00FE59C8" w:rsidRPr="00545EC0" w:rsidRDefault="00FE59C8" w:rsidP="00B506A9">
            <w:pPr>
              <w:jc w:val="center"/>
              <w:rPr>
                <w:rFonts w:cs="Arial"/>
                <w:sz w:val="18"/>
                <w:szCs w:val="18"/>
                <w:lang w:eastAsia="ja-JP"/>
              </w:rPr>
            </w:pPr>
            <w:r w:rsidRPr="00545EC0">
              <w:rPr>
                <w:rFonts w:cs="Arial"/>
                <w:sz w:val="18"/>
                <w:szCs w:val="18"/>
              </w:rPr>
              <w:t>244</w:t>
            </w:r>
          </w:p>
        </w:tc>
        <w:tc>
          <w:tcPr>
            <w:tcW w:w="1024" w:type="pct"/>
            <w:tcBorders>
              <w:top w:val="single" w:sz="4" w:space="0" w:color="auto"/>
              <w:left w:val="single" w:sz="4" w:space="0" w:color="auto"/>
              <w:bottom w:val="single" w:sz="4" w:space="0" w:color="auto"/>
              <w:right w:val="single" w:sz="4" w:space="0" w:color="auto"/>
            </w:tcBorders>
            <w:vAlign w:val="center"/>
            <w:hideMark/>
          </w:tcPr>
          <w:p w14:paraId="0018B1D6" w14:textId="77777777" w:rsidR="00FE59C8" w:rsidRPr="00545EC0" w:rsidRDefault="00FE59C8" w:rsidP="00B506A9">
            <w:pPr>
              <w:jc w:val="center"/>
              <w:rPr>
                <w:rFonts w:cs="Arial"/>
                <w:sz w:val="18"/>
                <w:szCs w:val="18"/>
                <w:lang w:eastAsia="ja-JP"/>
              </w:rPr>
            </w:pPr>
            <w:r w:rsidRPr="00545EC0">
              <w:rPr>
                <w:rFonts w:cs="Arial"/>
                <w:sz w:val="18"/>
                <w:szCs w:val="18"/>
              </w:rPr>
              <w:t>HE Dravograd</w:t>
            </w:r>
          </w:p>
        </w:tc>
      </w:tr>
      <w:tr w:rsidR="003122F4" w:rsidRPr="00545EC0" w14:paraId="340FCD93" w14:textId="77777777" w:rsidTr="00AE414A">
        <w:trPr>
          <w:cantSplit/>
          <w:trHeight w:val="255"/>
          <w:jc w:val="center"/>
        </w:trPr>
        <w:tc>
          <w:tcPr>
            <w:tcW w:w="466" w:type="pct"/>
            <w:tcBorders>
              <w:top w:val="single" w:sz="4" w:space="0" w:color="auto"/>
              <w:left w:val="single" w:sz="4" w:space="0" w:color="auto"/>
              <w:bottom w:val="single" w:sz="4" w:space="0" w:color="auto"/>
              <w:right w:val="single" w:sz="4" w:space="0" w:color="auto"/>
            </w:tcBorders>
            <w:vAlign w:val="center"/>
            <w:hideMark/>
          </w:tcPr>
          <w:p w14:paraId="7DA3B4A2" w14:textId="77777777" w:rsidR="00FE59C8" w:rsidRPr="00545EC0" w:rsidRDefault="00FE59C8" w:rsidP="00B506A9">
            <w:pPr>
              <w:rPr>
                <w:rFonts w:cs="Arial"/>
                <w:sz w:val="18"/>
                <w:szCs w:val="18"/>
                <w:lang w:eastAsia="ja-JP"/>
              </w:rPr>
            </w:pPr>
            <w:r w:rsidRPr="00545EC0">
              <w:rPr>
                <w:rFonts w:cs="Arial"/>
                <w:sz w:val="18"/>
                <w:szCs w:val="18"/>
              </w:rPr>
              <w:t>6</w:t>
            </w:r>
          </w:p>
        </w:tc>
        <w:tc>
          <w:tcPr>
            <w:tcW w:w="1081" w:type="pct"/>
            <w:tcBorders>
              <w:top w:val="single" w:sz="4" w:space="0" w:color="auto"/>
              <w:left w:val="single" w:sz="4" w:space="0" w:color="auto"/>
              <w:bottom w:val="single" w:sz="4" w:space="0" w:color="auto"/>
              <w:right w:val="single" w:sz="4" w:space="0" w:color="auto"/>
            </w:tcBorders>
            <w:vAlign w:val="center"/>
            <w:hideMark/>
          </w:tcPr>
          <w:p w14:paraId="0C55A6DD" w14:textId="77777777" w:rsidR="00FE59C8" w:rsidRPr="00545EC0" w:rsidRDefault="00FE59C8" w:rsidP="00B506A9">
            <w:pPr>
              <w:rPr>
                <w:rFonts w:cs="Arial"/>
                <w:sz w:val="18"/>
                <w:szCs w:val="18"/>
                <w:lang w:eastAsia="ja-JP"/>
              </w:rPr>
            </w:pPr>
            <w:r w:rsidRPr="00545EC0">
              <w:rPr>
                <w:rFonts w:cs="Arial"/>
                <w:sz w:val="18"/>
                <w:szCs w:val="18"/>
              </w:rPr>
              <w:t>Dravinja</w:t>
            </w:r>
          </w:p>
        </w:tc>
        <w:tc>
          <w:tcPr>
            <w:tcW w:w="810" w:type="pct"/>
            <w:tcBorders>
              <w:top w:val="single" w:sz="4" w:space="0" w:color="auto"/>
              <w:left w:val="single" w:sz="4" w:space="0" w:color="auto"/>
              <w:bottom w:val="single" w:sz="4" w:space="0" w:color="auto"/>
              <w:right w:val="single" w:sz="4" w:space="0" w:color="auto"/>
            </w:tcBorders>
            <w:vAlign w:val="center"/>
            <w:hideMark/>
          </w:tcPr>
          <w:p w14:paraId="4CEF1113" w14:textId="77777777" w:rsidR="00FE59C8" w:rsidRPr="00545EC0" w:rsidRDefault="00FE59C8" w:rsidP="00B506A9">
            <w:pPr>
              <w:rPr>
                <w:rFonts w:cs="Arial"/>
                <w:sz w:val="18"/>
                <w:szCs w:val="18"/>
                <w:lang w:eastAsia="ja-JP"/>
              </w:rPr>
            </w:pPr>
            <w:r w:rsidRPr="00545EC0">
              <w:rPr>
                <w:rFonts w:cs="Arial"/>
                <w:sz w:val="18"/>
                <w:szCs w:val="18"/>
              </w:rPr>
              <w:t>Drava</w:t>
            </w:r>
          </w:p>
        </w:tc>
        <w:tc>
          <w:tcPr>
            <w:tcW w:w="944" w:type="pct"/>
            <w:tcBorders>
              <w:top w:val="single" w:sz="4" w:space="0" w:color="auto"/>
              <w:left w:val="single" w:sz="4" w:space="0" w:color="auto"/>
              <w:bottom w:val="single" w:sz="4" w:space="0" w:color="auto"/>
              <w:right w:val="single" w:sz="4" w:space="0" w:color="auto"/>
            </w:tcBorders>
            <w:vAlign w:val="center"/>
            <w:hideMark/>
          </w:tcPr>
          <w:p w14:paraId="0A6EE6DD" w14:textId="77777777" w:rsidR="00FE59C8" w:rsidRPr="00545EC0" w:rsidRDefault="00FE59C8" w:rsidP="00B506A9">
            <w:pPr>
              <w:jc w:val="center"/>
              <w:rPr>
                <w:rFonts w:cs="Arial"/>
                <w:sz w:val="18"/>
                <w:szCs w:val="18"/>
                <w:lang w:eastAsia="ja-JP"/>
              </w:rPr>
            </w:pPr>
            <w:r w:rsidRPr="00545EC0">
              <w:rPr>
                <w:rFonts w:cs="Arial"/>
                <w:sz w:val="18"/>
                <w:szCs w:val="18"/>
              </w:rPr>
              <w:t>826</w:t>
            </w:r>
          </w:p>
        </w:tc>
        <w:tc>
          <w:tcPr>
            <w:tcW w:w="675" w:type="pct"/>
            <w:tcBorders>
              <w:top w:val="single" w:sz="4" w:space="0" w:color="auto"/>
              <w:left w:val="single" w:sz="4" w:space="0" w:color="auto"/>
              <w:bottom w:val="single" w:sz="4" w:space="0" w:color="auto"/>
              <w:right w:val="single" w:sz="4" w:space="0" w:color="auto"/>
            </w:tcBorders>
            <w:vAlign w:val="center"/>
            <w:hideMark/>
          </w:tcPr>
          <w:p w14:paraId="5B9B6168" w14:textId="77777777" w:rsidR="00FE59C8" w:rsidRPr="00545EC0" w:rsidRDefault="00FE59C8" w:rsidP="00B506A9">
            <w:pPr>
              <w:jc w:val="center"/>
              <w:rPr>
                <w:rFonts w:cs="Arial"/>
                <w:sz w:val="18"/>
                <w:szCs w:val="18"/>
                <w:lang w:eastAsia="ja-JP"/>
              </w:rPr>
            </w:pPr>
            <w:r w:rsidRPr="00545EC0">
              <w:rPr>
                <w:rFonts w:cs="Arial"/>
                <w:sz w:val="18"/>
                <w:szCs w:val="18"/>
              </w:rPr>
              <w:t>10,5</w:t>
            </w:r>
          </w:p>
        </w:tc>
        <w:tc>
          <w:tcPr>
            <w:tcW w:w="1024" w:type="pct"/>
            <w:tcBorders>
              <w:top w:val="single" w:sz="4" w:space="0" w:color="auto"/>
              <w:left w:val="single" w:sz="4" w:space="0" w:color="auto"/>
              <w:bottom w:val="single" w:sz="4" w:space="0" w:color="auto"/>
              <w:right w:val="single" w:sz="4" w:space="0" w:color="auto"/>
            </w:tcBorders>
            <w:vAlign w:val="center"/>
            <w:hideMark/>
          </w:tcPr>
          <w:p w14:paraId="72F4CAAA" w14:textId="77777777" w:rsidR="00FE59C8" w:rsidRPr="00545EC0" w:rsidRDefault="00FE59C8" w:rsidP="00B506A9">
            <w:pPr>
              <w:jc w:val="center"/>
              <w:rPr>
                <w:rFonts w:cs="Arial"/>
                <w:sz w:val="18"/>
                <w:szCs w:val="18"/>
                <w:lang w:eastAsia="ja-JP"/>
              </w:rPr>
            </w:pPr>
            <w:r w:rsidRPr="00545EC0">
              <w:rPr>
                <w:rFonts w:cs="Arial"/>
                <w:sz w:val="18"/>
                <w:szCs w:val="18"/>
              </w:rPr>
              <w:t>Videm</w:t>
            </w:r>
          </w:p>
        </w:tc>
      </w:tr>
      <w:tr w:rsidR="003122F4" w:rsidRPr="00545EC0" w14:paraId="14713182" w14:textId="77777777" w:rsidTr="00AE414A">
        <w:trPr>
          <w:cantSplit/>
          <w:trHeight w:val="255"/>
          <w:jc w:val="center"/>
        </w:trPr>
        <w:tc>
          <w:tcPr>
            <w:tcW w:w="466" w:type="pct"/>
            <w:tcBorders>
              <w:top w:val="single" w:sz="4" w:space="0" w:color="auto"/>
              <w:left w:val="single" w:sz="4" w:space="0" w:color="auto"/>
              <w:bottom w:val="single" w:sz="4" w:space="0" w:color="auto"/>
              <w:right w:val="single" w:sz="4" w:space="0" w:color="auto"/>
            </w:tcBorders>
            <w:vAlign w:val="center"/>
            <w:hideMark/>
          </w:tcPr>
          <w:p w14:paraId="5D4E56F1" w14:textId="77777777" w:rsidR="00FE59C8" w:rsidRPr="00545EC0" w:rsidRDefault="00FE59C8" w:rsidP="00B506A9">
            <w:pPr>
              <w:rPr>
                <w:rFonts w:cs="Arial"/>
                <w:sz w:val="18"/>
                <w:szCs w:val="18"/>
                <w:lang w:eastAsia="ja-JP"/>
              </w:rPr>
            </w:pPr>
            <w:r w:rsidRPr="00545EC0">
              <w:rPr>
                <w:rFonts w:cs="Arial"/>
                <w:sz w:val="18"/>
                <w:szCs w:val="18"/>
              </w:rPr>
              <w:t>7</w:t>
            </w:r>
          </w:p>
        </w:tc>
        <w:tc>
          <w:tcPr>
            <w:tcW w:w="1081" w:type="pct"/>
            <w:tcBorders>
              <w:top w:val="single" w:sz="4" w:space="0" w:color="auto"/>
              <w:left w:val="single" w:sz="4" w:space="0" w:color="auto"/>
              <w:bottom w:val="single" w:sz="4" w:space="0" w:color="auto"/>
              <w:right w:val="single" w:sz="4" w:space="0" w:color="auto"/>
            </w:tcBorders>
            <w:vAlign w:val="center"/>
            <w:hideMark/>
          </w:tcPr>
          <w:p w14:paraId="216A53E3" w14:textId="77777777" w:rsidR="00FE59C8" w:rsidRPr="00545EC0" w:rsidRDefault="00FE59C8" w:rsidP="00B506A9">
            <w:pPr>
              <w:rPr>
                <w:rFonts w:cs="Arial"/>
                <w:sz w:val="18"/>
                <w:szCs w:val="18"/>
                <w:lang w:eastAsia="ja-JP"/>
              </w:rPr>
            </w:pPr>
            <w:r w:rsidRPr="00545EC0">
              <w:rPr>
                <w:rFonts w:cs="Arial"/>
                <w:sz w:val="18"/>
                <w:szCs w:val="18"/>
              </w:rPr>
              <w:t>Meža z Mislinjo</w:t>
            </w:r>
          </w:p>
        </w:tc>
        <w:tc>
          <w:tcPr>
            <w:tcW w:w="810" w:type="pct"/>
            <w:tcBorders>
              <w:top w:val="single" w:sz="4" w:space="0" w:color="auto"/>
              <w:left w:val="single" w:sz="4" w:space="0" w:color="auto"/>
              <w:bottom w:val="single" w:sz="4" w:space="0" w:color="auto"/>
              <w:right w:val="single" w:sz="4" w:space="0" w:color="auto"/>
            </w:tcBorders>
            <w:vAlign w:val="center"/>
            <w:hideMark/>
          </w:tcPr>
          <w:p w14:paraId="0720FA5E" w14:textId="77777777" w:rsidR="00FE59C8" w:rsidRPr="00545EC0" w:rsidRDefault="00FE59C8" w:rsidP="00B506A9">
            <w:pPr>
              <w:rPr>
                <w:rFonts w:cs="Arial"/>
                <w:sz w:val="18"/>
                <w:szCs w:val="18"/>
                <w:lang w:eastAsia="ja-JP"/>
              </w:rPr>
            </w:pPr>
            <w:r w:rsidRPr="00545EC0">
              <w:rPr>
                <w:rFonts w:cs="Arial"/>
                <w:sz w:val="18"/>
                <w:szCs w:val="18"/>
              </w:rPr>
              <w:t>Drava</w:t>
            </w:r>
          </w:p>
        </w:tc>
        <w:tc>
          <w:tcPr>
            <w:tcW w:w="944" w:type="pct"/>
            <w:tcBorders>
              <w:top w:val="single" w:sz="4" w:space="0" w:color="auto"/>
              <w:left w:val="single" w:sz="4" w:space="0" w:color="auto"/>
              <w:bottom w:val="single" w:sz="4" w:space="0" w:color="auto"/>
              <w:right w:val="single" w:sz="4" w:space="0" w:color="auto"/>
            </w:tcBorders>
            <w:vAlign w:val="center"/>
            <w:hideMark/>
          </w:tcPr>
          <w:p w14:paraId="1731A5E4" w14:textId="77777777" w:rsidR="00FE59C8" w:rsidRPr="00545EC0" w:rsidRDefault="00FE59C8" w:rsidP="00B506A9">
            <w:pPr>
              <w:jc w:val="center"/>
              <w:rPr>
                <w:rFonts w:cs="Arial"/>
                <w:sz w:val="18"/>
                <w:szCs w:val="18"/>
                <w:lang w:eastAsia="ja-JP"/>
              </w:rPr>
            </w:pPr>
            <w:r w:rsidRPr="00545EC0">
              <w:rPr>
                <w:rFonts w:cs="Arial"/>
                <w:sz w:val="18"/>
                <w:szCs w:val="18"/>
              </w:rPr>
              <w:t>546</w:t>
            </w:r>
          </w:p>
        </w:tc>
        <w:tc>
          <w:tcPr>
            <w:tcW w:w="675" w:type="pct"/>
            <w:tcBorders>
              <w:top w:val="single" w:sz="4" w:space="0" w:color="auto"/>
              <w:left w:val="single" w:sz="4" w:space="0" w:color="auto"/>
              <w:bottom w:val="single" w:sz="4" w:space="0" w:color="auto"/>
              <w:right w:val="single" w:sz="4" w:space="0" w:color="auto"/>
            </w:tcBorders>
            <w:vAlign w:val="center"/>
            <w:hideMark/>
          </w:tcPr>
          <w:p w14:paraId="66B5E914" w14:textId="77777777" w:rsidR="00FE59C8" w:rsidRPr="00545EC0" w:rsidRDefault="00FE59C8" w:rsidP="00B506A9">
            <w:pPr>
              <w:jc w:val="center"/>
              <w:rPr>
                <w:rFonts w:cs="Arial"/>
                <w:sz w:val="18"/>
                <w:szCs w:val="18"/>
                <w:lang w:eastAsia="ja-JP"/>
              </w:rPr>
            </w:pPr>
            <w:r w:rsidRPr="00545EC0">
              <w:rPr>
                <w:rFonts w:cs="Arial"/>
                <w:sz w:val="18"/>
                <w:szCs w:val="18"/>
              </w:rPr>
              <w:t>11,5</w:t>
            </w:r>
          </w:p>
        </w:tc>
        <w:tc>
          <w:tcPr>
            <w:tcW w:w="1024" w:type="pct"/>
            <w:tcBorders>
              <w:top w:val="single" w:sz="4" w:space="0" w:color="auto"/>
              <w:left w:val="single" w:sz="4" w:space="0" w:color="auto"/>
              <w:bottom w:val="single" w:sz="4" w:space="0" w:color="auto"/>
              <w:right w:val="single" w:sz="4" w:space="0" w:color="auto"/>
            </w:tcBorders>
            <w:vAlign w:val="center"/>
            <w:hideMark/>
          </w:tcPr>
          <w:p w14:paraId="6BBB8884" w14:textId="77777777" w:rsidR="00FE59C8" w:rsidRPr="00545EC0" w:rsidRDefault="00FE59C8" w:rsidP="00B506A9">
            <w:pPr>
              <w:jc w:val="center"/>
              <w:rPr>
                <w:rFonts w:cs="Arial"/>
                <w:sz w:val="18"/>
                <w:szCs w:val="18"/>
                <w:lang w:eastAsia="ja-JP"/>
              </w:rPr>
            </w:pPr>
            <w:r w:rsidRPr="00545EC0">
              <w:rPr>
                <w:rFonts w:cs="Arial"/>
                <w:sz w:val="18"/>
                <w:szCs w:val="18"/>
              </w:rPr>
              <w:t>Otiški Vrh</w:t>
            </w:r>
          </w:p>
        </w:tc>
      </w:tr>
      <w:tr w:rsidR="003122F4" w:rsidRPr="00545EC0" w14:paraId="33446175" w14:textId="77777777" w:rsidTr="00AE414A">
        <w:trPr>
          <w:cantSplit/>
          <w:trHeight w:val="255"/>
          <w:jc w:val="center"/>
        </w:trPr>
        <w:tc>
          <w:tcPr>
            <w:tcW w:w="466" w:type="pct"/>
            <w:tcBorders>
              <w:top w:val="single" w:sz="4" w:space="0" w:color="auto"/>
              <w:left w:val="single" w:sz="4" w:space="0" w:color="auto"/>
              <w:bottom w:val="single" w:sz="4" w:space="0" w:color="auto"/>
              <w:right w:val="single" w:sz="4" w:space="0" w:color="auto"/>
            </w:tcBorders>
            <w:vAlign w:val="center"/>
            <w:hideMark/>
          </w:tcPr>
          <w:p w14:paraId="5584FDF3" w14:textId="77777777" w:rsidR="00FE59C8" w:rsidRPr="00545EC0" w:rsidRDefault="00FE59C8" w:rsidP="00B506A9">
            <w:pPr>
              <w:rPr>
                <w:rFonts w:cs="Arial"/>
                <w:sz w:val="18"/>
                <w:szCs w:val="18"/>
                <w:lang w:eastAsia="ja-JP"/>
              </w:rPr>
            </w:pPr>
            <w:r w:rsidRPr="00545EC0">
              <w:rPr>
                <w:rFonts w:cs="Arial"/>
                <w:sz w:val="18"/>
                <w:szCs w:val="18"/>
              </w:rPr>
              <w:t>8</w:t>
            </w:r>
          </w:p>
        </w:tc>
        <w:tc>
          <w:tcPr>
            <w:tcW w:w="1081" w:type="pct"/>
            <w:tcBorders>
              <w:top w:val="single" w:sz="4" w:space="0" w:color="auto"/>
              <w:left w:val="single" w:sz="4" w:space="0" w:color="auto"/>
              <w:bottom w:val="single" w:sz="4" w:space="0" w:color="auto"/>
              <w:right w:val="single" w:sz="4" w:space="0" w:color="auto"/>
            </w:tcBorders>
            <w:vAlign w:val="center"/>
            <w:hideMark/>
          </w:tcPr>
          <w:p w14:paraId="6A0F362E" w14:textId="77777777" w:rsidR="00FE59C8" w:rsidRPr="00545EC0" w:rsidRDefault="00FE59C8" w:rsidP="00B506A9">
            <w:pPr>
              <w:rPr>
                <w:rFonts w:cs="Arial"/>
                <w:sz w:val="18"/>
                <w:szCs w:val="18"/>
                <w:lang w:eastAsia="ja-JP"/>
              </w:rPr>
            </w:pPr>
            <w:r w:rsidRPr="00545EC0">
              <w:rPr>
                <w:rFonts w:cs="Arial"/>
                <w:sz w:val="18"/>
                <w:szCs w:val="18"/>
              </w:rPr>
              <w:t>Pesnica</w:t>
            </w:r>
          </w:p>
        </w:tc>
        <w:tc>
          <w:tcPr>
            <w:tcW w:w="810" w:type="pct"/>
            <w:tcBorders>
              <w:top w:val="single" w:sz="4" w:space="0" w:color="auto"/>
              <w:left w:val="single" w:sz="4" w:space="0" w:color="auto"/>
              <w:bottom w:val="single" w:sz="4" w:space="0" w:color="auto"/>
              <w:right w:val="single" w:sz="4" w:space="0" w:color="auto"/>
            </w:tcBorders>
            <w:vAlign w:val="center"/>
            <w:hideMark/>
          </w:tcPr>
          <w:p w14:paraId="649E79EC" w14:textId="77777777" w:rsidR="00FE59C8" w:rsidRPr="00545EC0" w:rsidRDefault="00FE59C8" w:rsidP="00B506A9">
            <w:pPr>
              <w:rPr>
                <w:rFonts w:cs="Arial"/>
                <w:sz w:val="18"/>
                <w:szCs w:val="18"/>
                <w:lang w:eastAsia="ja-JP"/>
              </w:rPr>
            </w:pPr>
            <w:r w:rsidRPr="00545EC0">
              <w:rPr>
                <w:rFonts w:cs="Arial"/>
                <w:sz w:val="18"/>
                <w:szCs w:val="18"/>
              </w:rPr>
              <w:t>Drava</w:t>
            </w:r>
          </w:p>
        </w:tc>
        <w:tc>
          <w:tcPr>
            <w:tcW w:w="944" w:type="pct"/>
            <w:tcBorders>
              <w:top w:val="single" w:sz="4" w:space="0" w:color="auto"/>
              <w:left w:val="single" w:sz="4" w:space="0" w:color="auto"/>
              <w:bottom w:val="single" w:sz="4" w:space="0" w:color="auto"/>
              <w:right w:val="single" w:sz="4" w:space="0" w:color="auto"/>
            </w:tcBorders>
            <w:vAlign w:val="center"/>
            <w:hideMark/>
          </w:tcPr>
          <w:p w14:paraId="2EB82C33" w14:textId="77777777" w:rsidR="00FE59C8" w:rsidRPr="00545EC0" w:rsidRDefault="00FE59C8" w:rsidP="00B506A9">
            <w:pPr>
              <w:jc w:val="center"/>
              <w:rPr>
                <w:rFonts w:cs="Arial"/>
                <w:sz w:val="18"/>
                <w:szCs w:val="18"/>
                <w:lang w:eastAsia="ja-JP"/>
              </w:rPr>
            </w:pPr>
            <w:r w:rsidRPr="00545EC0">
              <w:rPr>
                <w:rFonts w:cs="Arial"/>
                <w:sz w:val="18"/>
                <w:szCs w:val="18"/>
              </w:rPr>
              <w:t>541</w:t>
            </w:r>
          </w:p>
        </w:tc>
        <w:tc>
          <w:tcPr>
            <w:tcW w:w="675" w:type="pct"/>
            <w:tcBorders>
              <w:top w:val="single" w:sz="4" w:space="0" w:color="auto"/>
              <w:left w:val="single" w:sz="4" w:space="0" w:color="auto"/>
              <w:bottom w:val="single" w:sz="4" w:space="0" w:color="auto"/>
              <w:right w:val="single" w:sz="4" w:space="0" w:color="auto"/>
            </w:tcBorders>
            <w:vAlign w:val="center"/>
            <w:hideMark/>
          </w:tcPr>
          <w:p w14:paraId="6A8475B8" w14:textId="77777777" w:rsidR="00FE59C8" w:rsidRPr="00545EC0" w:rsidRDefault="00FE59C8" w:rsidP="00B506A9">
            <w:pPr>
              <w:jc w:val="center"/>
              <w:rPr>
                <w:rFonts w:cs="Arial"/>
                <w:sz w:val="18"/>
                <w:szCs w:val="18"/>
                <w:lang w:eastAsia="ja-JP"/>
              </w:rPr>
            </w:pPr>
            <w:r w:rsidRPr="00545EC0">
              <w:rPr>
                <w:rFonts w:cs="Arial"/>
                <w:sz w:val="18"/>
                <w:szCs w:val="18"/>
              </w:rPr>
              <w:t>4,66</w:t>
            </w:r>
          </w:p>
        </w:tc>
        <w:tc>
          <w:tcPr>
            <w:tcW w:w="1024" w:type="pct"/>
            <w:tcBorders>
              <w:top w:val="single" w:sz="4" w:space="0" w:color="auto"/>
              <w:left w:val="single" w:sz="4" w:space="0" w:color="auto"/>
              <w:bottom w:val="single" w:sz="4" w:space="0" w:color="auto"/>
              <w:right w:val="single" w:sz="4" w:space="0" w:color="auto"/>
            </w:tcBorders>
            <w:vAlign w:val="center"/>
            <w:hideMark/>
          </w:tcPr>
          <w:p w14:paraId="76A501D6" w14:textId="77777777" w:rsidR="00FE59C8" w:rsidRPr="00545EC0" w:rsidRDefault="00FE59C8" w:rsidP="00B506A9">
            <w:pPr>
              <w:jc w:val="center"/>
              <w:rPr>
                <w:rFonts w:cs="Arial"/>
                <w:sz w:val="18"/>
                <w:szCs w:val="18"/>
                <w:lang w:eastAsia="ja-JP"/>
              </w:rPr>
            </w:pPr>
            <w:r w:rsidRPr="00545EC0">
              <w:rPr>
                <w:rFonts w:cs="Arial"/>
                <w:sz w:val="18"/>
                <w:szCs w:val="18"/>
              </w:rPr>
              <w:t>Zamušani</w:t>
            </w:r>
          </w:p>
        </w:tc>
      </w:tr>
      <w:tr w:rsidR="003122F4" w:rsidRPr="00545EC0" w14:paraId="1BD91F41" w14:textId="77777777" w:rsidTr="00AE414A">
        <w:trPr>
          <w:cantSplit/>
          <w:trHeight w:val="255"/>
          <w:jc w:val="center"/>
        </w:trPr>
        <w:tc>
          <w:tcPr>
            <w:tcW w:w="466" w:type="pct"/>
            <w:tcBorders>
              <w:top w:val="single" w:sz="4" w:space="0" w:color="auto"/>
              <w:left w:val="single" w:sz="4" w:space="0" w:color="auto"/>
              <w:bottom w:val="single" w:sz="4" w:space="0" w:color="auto"/>
              <w:right w:val="single" w:sz="4" w:space="0" w:color="auto"/>
            </w:tcBorders>
            <w:vAlign w:val="center"/>
            <w:hideMark/>
          </w:tcPr>
          <w:p w14:paraId="615BA2F0" w14:textId="77777777" w:rsidR="00FE59C8" w:rsidRPr="00545EC0" w:rsidRDefault="00FE59C8" w:rsidP="00B506A9">
            <w:pPr>
              <w:rPr>
                <w:rFonts w:cs="Arial"/>
                <w:sz w:val="18"/>
                <w:szCs w:val="18"/>
                <w:lang w:eastAsia="ja-JP"/>
              </w:rPr>
            </w:pPr>
            <w:r w:rsidRPr="00545EC0">
              <w:rPr>
                <w:rFonts w:cs="Arial"/>
                <w:sz w:val="18"/>
                <w:szCs w:val="18"/>
              </w:rPr>
              <w:t>9</w:t>
            </w:r>
          </w:p>
        </w:tc>
        <w:tc>
          <w:tcPr>
            <w:tcW w:w="1081" w:type="pct"/>
            <w:tcBorders>
              <w:top w:val="single" w:sz="4" w:space="0" w:color="auto"/>
              <w:left w:val="single" w:sz="4" w:space="0" w:color="auto"/>
              <w:bottom w:val="single" w:sz="4" w:space="0" w:color="auto"/>
              <w:right w:val="single" w:sz="4" w:space="0" w:color="auto"/>
            </w:tcBorders>
            <w:vAlign w:val="center"/>
            <w:hideMark/>
          </w:tcPr>
          <w:p w14:paraId="1386BE70" w14:textId="77777777" w:rsidR="00FE59C8" w:rsidRPr="00545EC0" w:rsidRDefault="00FE59C8" w:rsidP="00B506A9">
            <w:pPr>
              <w:rPr>
                <w:rFonts w:cs="Arial"/>
                <w:sz w:val="18"/>
                <w:szCs w:val="18"/>
                <w:lang w:eastAsia="ja-JP"/>
              </w:rPr>
            </w:pPr>
            <w:r w:rsidRPr="00545EC0">
              <w:rPr>
                <w:rFonts w:cs="Arial"/>
                <w:sz w:val="18"/>
                <w:szCs w:val="18"/>
              </w:rPr>
              <w:t>Kamniška Bistrica</w:t>
            </w:r>
          </w:p>
        </w:tc>
        <w:tc>
          <w:tcPr>
            <w:tcW w:w="810" w:type="pct"/>
            <w:tcBorders>
              <w:top w:val="single" w:sz="4" w:space="0" w:color="auto"/>
              <w:left w:val="single" w:sz="4" w:space="0" w:color="auto"/>
              <w:bottom w:val="single" w:sz="4" w:space="0" w:color="auto"/>
              <w:right w:val="single" w:sz="4" w:space="0" w:color="auto"/>
            </w:tcBorders>
            <w:vAlign w:val="center"/>
            <w:hideMark/>
          </w:tcPr>
          <w:p w14:paraId="33447BB8" w14:textId="77777777" w:rsidR="00FE59C8" w:rsidRPr="00545EC0" w:rsidRDefault="00FE59C8" w:rsidP="00B506A9">
            <w:pPr>
              <w:rPr>
                <w:rFonts w:cs="Arial"/>
                <w:sz w:val="18"/>
                <w:szCs w:val="18"/>
                <w:lang w:eastAsia="ja-JP"/>
              </w:rPr>
            </w:pPr>
            <w:r w:rsidRPr="00545EC0">
              <w:rPr>
                <w:rFonts w:cs="Arial"/>
                <w:sz w:val="18"/>
                <w:szCs w:val="18"/>
              </w:rPr>
              <w:t>Sava</w:t>
            </w:r>
          </w:p>
        </w:tc>
        <w:tc>
          <w:tcPr>
            <w:tcW w:w="944" w:type="pct"/>
            <w:tcBorders>
              <w:top w:val="single" w:sz="4" w:space="0" w:color="auto"/>
              <w:left w:val="single" w:sz="4" w:space="0" w:color="auto"/>
              <w:bottom w:val="single" w:sz="4" w:space="0" w:color="auto"/>
              <w:right w:val="single" w:sz="4" w:space="0" w:color="auto"/>
            </w:tcBorders>
            <w:vAlign w:val="center"/>
            <w:hideMark/>
          </w:tcPr>
          <w:p w14:paraId="654B220D" w14:textId="77777777" w:rsidR="00FE59C8" w:rsidRPr="00545EC0" w:rsidRDefault="00FE59C8" w:rsidP="00B506A9">
            <w:pPr>
              <w:jc w:val="center"/>
              <w:rPr>
                <w:rFonts w:cs="Arial"/>
                <w:sz w:val="18"/>
                <w:szCs w:val="18"/>
                <w:lang w:eastAsia="ja-JP"/>
              </w:rPr>
            </w:pPr>
            <w:r w:rsidRPr="00545EC0">
              <w:rPr>
                <w:rFonts w:cs="Arial"/>
                <w:sz w:val="18"/>
                <w:szCs w:val="18"/>
              </w:rPr>
              <w:t>539</w:t>
            </w:r>
          </w:p>
        </w:tc>
        <w:tc>
          <w:tcPr>
            <w:tcW w:w="675" w:type="pct"/>
            <w:tcBorders>
              <w:top w:val="single" w:sz="4" w:space="0" w:color="auto"/>
              <w:left w:val="single" w:sz="4" w:space="0" w:color="auto"/>
              <w:bottom w:val="single" w:sz="4" w:space="0" w:color="auto"/>
              <w:right w:val="single" w:sz="4" w:space="0" w:color="auto"/>
            </w:tcBorders>
            <w:vAlign w:val="center"/>
            <w:hideMark/>
          </w:tcPr>
          <w:p w14:paraId="0E662F42" w14:textId="77777777" w:rsidR="00FE59C8" w:rsidRPr="00545EC0" w:rsidRDefault="00FE59C8" w:rsidP="00B506A9">
            <w:pPr>
              <w:jc w:val="center"/>
              <w:rPr>
                <w:rFonts w:cs="Arial"/>
                <w:sz w:val="18"/>
                <w:szCs w:val="18"/>
                <w:lang w:eastAsia="ja-JP"/>
              </w:rPr>
            </w:pPr>
            <w:r w:rsidRPr="00545EC0">
              <w:rPr>
                <w:rFonts w:cs="Arial"/>
                <w:sz w:val="18"/>
                <w:szCs w:val="18"/>
              </w:rPr>
              <w:t>6,88</w:t>
            </w:r>
          </w:p>
        </w:tc>
        <w:tc>
          <w:tcPr>
            <w:tcW w:w="1024" w:type="pct"/>
            <w:tcBorders>
              <w:top w:val="single" w:sz="4" w:space="0" w:color="auto"/>
              <w:left w:val="single" w:sz="4" w:space="0" w:color="auto"/>
              <w:bottom w:val="single" w:sz="4" w:space="0" w:color="auto"/>
              <w:right w:val="single" w:sz="4" w:space="0" w:color="auto"/>
            </w:tcBorders>
            <w:vAlign w:val="center"/>
            <w:hideMark/>
          </w:tcPr>
          <w:p w14:paraId="012FA4FD" w14:textId="77777777" w:rsidR="00FE59C8" w:rsidRPr="00545EC0" w:rsidRDefault="00FE59C8" w:rsidP="00B506A9">
            <w:pPr>
              <w:jc w:val="center"/>
              <w:rPr>
                <w:rFonts w:cs="Arial"/>
                <w:sz w:val="18"/>
                <w:szCs w:val="18"/>
                <w:lang w:eastAsia="ja-JP"/>
              </w:rPr>
            </w:pPr>
            <w:r w:rsidRPr="00545EC0">
              <w:rPr>
                <w:rFonts w:cs="Arial"/>
                <w:sz w:val="18"/>
                <w:szCs w:val="18"/>
              </w:rPr>
              <w:t>Kamnik</w:t>
            </w:r>
          </w:p>
        </w:tc>
      </w:tr>
      <w:tr w:rsidR="003122F4" w:rsidRPr="00545EC0" w14:paraId="26AE0298" w14:textId="77777777" w:rsidTr="00AE414A">
        <w:trPr>
          <w:cantSplit/>
          <w:trHeight w:val="255"/>
          <w:jc w:val="center"/>
        </w:trPr>
        <w:tc>
          <w:tcPr>
            <w:tcW w:w="466" w:type="pct"/>
            <w:tcBorders>
              <w:top w:val="single" w:sz="4" w:space="0" w:color="auto"/>
              <w:left w:val="single" w:sz="4" w:space="0" w:color="auto"/>
              <w:bottom w:val="single" w:sz="4" w:space="0" w:color="auto"/>
              <w:right w:val="single" w:sz="4" w:space="0" w:color="auto"/>
            </w:tcBorders>
            <w:vAlign w:val="center"/>
            <w:hideMark/>
          </w:tcPr>
          <w:p w14:paraId="7390D3EF" w14:textId="77777777" w:rsidR="00FE59C8" w:rsidRPr="00545EC0" w:rsidRDefault="00FE59C8" w:rsidP="00B506A9">
            <w:pPr>
              <w:rPr>
                <w:rFonts w:cs="Arial"/>
                <w:sz w:val="18"/>
                <w:szCs w:val="18"/>
                <w:lang w:eastAsia="ja-JP"/>
              </w:rPr>
            </w:pPr>
            <w:r w:rsidRPr="00545EC0">
              <w:rPr>
                <w:rFonts w:cs="Arial"/>
                <w:sz w:val="18"/>
                <w:szCs w:val="18"/>
              </w:rPr>
              <w:t>10</w:t>
            </w:r>
          </w:p>
        </w:tc>
        <w:tc>
          <w:tcPr>
            <w:tcW w:w="1081" w:type="pct"/>
            <w:tcBorders>
              <w:top w:val="single" w:sz="4" w:space="0" w:color="auto"/>
              <w:left w:val="single" w:sz="4" w:space="0" w:color="auto"/>
              <w:bottom w:val="single" w:sz="4" w:space="0" w:color="auto"/>
              <w:right w:val="single" w:sz="4" w:space="0" w:color="auto"/>
            </w:tcBorders>
            <w:vAlign w:val="center"/>
            <w:hideMark/>
          </w:tcPr>
          <w:p w14:paraId="161F5C91" w14:textId="77777777" w:rsidR="00FE59C8" w:rsidRPr="00545EC0" w:rsidRDefault="00FE59C8" w:rsidP="00B506A9">
            <w:pPr>
              <w:rPr>
                <w:rFonts w:cs="Arial"/>
                <w:sz w:val="18"/>
                <w:szCs w:val="18"/>
                <w:lang w:eastAsia="ja-JP"/>
              </w:rPr>
            </w:pPr>
            <w:r w:rsidRPr="00545EC0">
              <w:rPr>
                <w:rFonts w:cs="Arial"/>
                <w:sz w:val="18"/>
                <w:szCs w:val="18"/>
              </w:rPr>
              <w:t>Kokra</w:t>
            </w:r>
          </w:p>
        </w:tc>
        <w:tc>
          <w:tcPr>
            <w:tcW w:w="810" w:type="pct"/>
            <w:tcBorders>
              <w:top w:val="single" w:sz="4" w:space="0" w:color="auto"/>
              <w:left w:val="single" w:sz="4" w:space="0" w:color="auto"/>
              <w:bottom w:val="single" w:sz="4" w:space="0" w:color="auto"/>
              <w:right w:val="single" w:sz="4" w:space="0" w:color="auto"/>
            </w:tcBorders>
            <w:vAlign w:val="center"/>
            <w:hideMark/>
          </w:tcPr>
          <w:p w14:paraId="4C2EF593" w14:textId="77777777" w:rsidR="00FE59C8" w:rsidRPr="00545EC0" w:rsidRDefault="00FE59C8" w:rsidP="00B506A9">
            <w:pPr>
              <w:rPr>
                <w:rFonts w:cs="Arial"/>
                <w:sz w:val="18"/>
                <w:szCs w:val="18"/>
                <w:lang w:eastAsia="ja-JP"/>
              </w:rPr>
            </w:pPr>
            <w:r w:rsidRPr="00545EC0">
              <w:rPr>
                <w:rFonts w:cs="Arial"/>
                <w:sz w:val="18"/>
                <w:szCs w:val="18"/>
              </w:rPr>
              <w:t>Sava</w:t>
            </w:r>
          </w:p>
        </w:tc>
        <w:tc>
          <w:tcPr>
            <w:tcW w:w="944" w:type="pct"/>
            <w:tcBorders>
              <w:top w:val="single" w:sz="4" w:space="0" w:color="auto"/>
              <w:left w:val="single" w:sz="4" w:space="0" w:color="auto"/>
              <w:bottom w:val="single" w:sz="4" w:space="0" w:color="auto"/>
              <w:right w:val="single" w:sz="4" w:space="0" w:color="auto"/>
            </w:tcBorders>
            <w:vAlign w:val="center"/>
            <w:hideMark/>
          </w:tcPr>
          <w:p w14:paraId="408FEC82" w14:textId="77777777" w:rsidR="00FE59C8" w:rsidRPr="00545EC0" w:rsidRDefault="00FE59C8" w:rsidP="00B506A9">
            <w:pPr>
              <w:jc w:val="center"/>
              <w:rPr>
                <w:rFonts w:cs="Arial"/>
                <w:sz w:val="18"/>
                <w:szCs w:val="18"/>
                <w:lang w:eastAsia="ja-JP"/>
              </w:rPr>
            </w:pPr>
            <w:r w:rsidRPr="00545EC0">
              <w:rPr>
                <w:rFonts w:cs="Arial"/>
                <w:sz w:val="18"/>
                <w:szCs w:val="18"/>
              </w:rPr>
              <w:t>222</w:t>
            </w:r>
          </w:p>
        </w:tc>
        <w:tc>
          <w:tcPr>
            <w:tcW w:w="675" w:type="pct"/>
            <w:tcBorders>
              <w:top w:val="single" w:sz="4" w:space="0" w:color="auto"/>
              <w:left w:val="single" w:sz="4" w:space="0" w:color="auto"/>
              <w:bottom w:val="single" w:sz="4" w:space="0" w:color="auto"/>
              <w:right w:val="single" w:sz="4" w:space="0" w:color="auto"/>
            </w:tcBorders>
            <w:vAlign w:val="center"/>
            <w:hideMark/>
          </w:tcPr>
          <w:p w14:paraId="6C71047A" w14:textId="77777777" w:rsidR="00FE59C8" w:rsidRPr="00545EC0" w:rsidRDefault="00FE59C8" w:rsidP="00B506A9">
            <w:pPr>
              <w:jc w:val="center"/>
              <w:rPr>
                <w:rFonts w:cs="Arial"/>
                <w:sz w:val="18"/>
                <w:szCs w:val="18"/>
                <w:lang w:eastAsia="ja-JP"/>
              </w:rPr>
            </w:pPr>
            <w:r w:rsidRPr="00545EC0">
              <w:rPr>
                <w:rFonts w:cs="Arial"/>
                <w:sz w:val="18"/>
                <w:szCs w:val="18"/>
              </w:rPr>
              <w:t>3,94</w:t>
            </w:r>
          </w:p>
        </w:tc>
        <w:tc>
          <w:tcPr>
            <w:tcW w:w="1024" w:type="pct"/>
            <w:tcBorders>
              <w:top w:val="single" w:sz="4" w:space="0" w:color="auto"/>
              <w:left w:val="single" w:sz="4" w:space="0" w:color="auto"/>
              <w:bottom w:val="single" w:sz="4" w:space="0" w:color="auto"/>
              <w:right w:val="single" w:sz="4" w:space="0" w:color="auto"/>
            </w:tcBorders>
            <w:vAlign w:val="center"/>
            <w:hideMark/>
          </w:tcPr>
          <w:p w14:paraId="46C5A093" w14:textId="77777777" w:rsidR="00FE59C8" w:rsidRPr="00545EC0" w:rsidRDefault="00FE59C8" w:rsidP="00B506A9">
            <w:pPr>
              <w:jc w:val="center"/>
              <w:rPr>
                <w:rFonts w:cs="Arial"/>
                <w:sz w:val="18"/>
                <w:szCs w:val="18"/>
                <w:lang w:eastAsia="ja-JP"/>
              </w:rPr>
            </w:pPr>
            <w:r w:rsidRPr="00545EC0">
              <w:rPr>
                <w:rFonts w:cs="Arial"/>
                <w:sz w:val="18"/>
                <w:szCs w:val="18"/>
                <w:lang w:eastAsia="ja-JP"/>
              </w:rPr>
              <w:t>Kokra</w:t>
            </w:r>
          </w:p>
        </w:tc>
      </w:tr>
      <w:tr w:rsidR="003122F4" w:rsidRPr="00545EC0" w14:paraId="1353697B" w14:textId="77777777" w:rsidTr="00AE414A">
        <w:trPr>
          <w:cantSplit/>
          <w:trHeight w:val="255"/>
          <w:jc w:val="center"/>
        </w:trPr>
        <w:tc>
          <w:tcPr>
            <w:tcW w:w="466" w:type="pct"/>
            <w:tcBorders>
              <w:top w:val="single" w:sz="4" w:space="0" w:color="auto"/>
              <w:left w:val="single" w:sz="4" w:space="0" w:color="auto"/>
              <w:bottom w:val="single" w:sz="4" w:space="0" w:color="auto"/>
              <w:right w:val="single" w:sz="4" w:space="0" w:color="auto"/>
            </w:tcBorders>
            <w:vAlign w:val="center"/>
            <w:hideMark/>
          </w:tcPr>
          <w:p w14:paraId="7CA636DD" w14:textId="77777777" w:rsidR="00FE59C8" w:rsidRPr="00545EC0" w:rsidRDefault="00FE59C8" w:rsidP="00B506A9">
            <w:pPr>
              <w:rPr>
                <w:rFonts w:cs="Arial"/>
                <w:sz w:val="18"/>
                <w:szCs w:val="18"/>
                <w:lang w:eastAsia="ja-JP"/>
              </w:rPr>
            </w:pPr>
            <w:r w:rsidRPr="00545EC0">
              <w:rPr>
                <w:rFonts w:cs="Arial"/>
                <w:sz w:val="18"/>
                <w:szCs w:val="18"/>
              </w:rPr>
              <w:t>11</w:t>
            </w:r>
          </w:p>
        </w:tc>
        <w:tc>
          <w:tcPr>
            <w:tcW w:w="1081" w:type="pct"/>
            <w:tcBorders>
              <w:top w:val="single" w:sz="4" w:space="0" w:color="auto"/>
              <w:left w:val="single" w:sz="4" w:space="0" w:color="auto"/>
              <w:bottom w:val="single" w:sz="4" w:space="0" w:color="auto"/>
              <w:right w:val="single" w:sz="4" w:space="0" w:color="auto"/>
            </w:tcBorders>
            <w:vAlign w:val="center"/>
            <w:hideMark/>
          </w:tcPr>
          <w:p w14:paraId="0F93BE97" w14:textId="77777777" w:rsidR="00FE59C8" w:rsidRPr="00545EC0" w:rsidRDefault="00FE59C8" w:rsidP="00B506A9">
            <w:pPr>
              <w:rPr>
                <w:rFonts w:cs="Arial"/>
                <w:sz w:val="18"/>
                <w:szCs w:val="18"/>
                <w:lang w:eastAsia="ja-JP"/>
              </w:rPr>
            </w:pPr>
            <w:r w:rsidRPr="00545EC0">
              <w:rPr>
                <w:rFonts w:cs="Arial"/>
                <w:sz w:val="18"/>
                <w:szCs w:val="18"/>
              </w:rPr>
              <w:t xml:space="preserve">Mirna na Dolenjskem </w:t>
            </w:r>
          </w:p>
        </w:tc>
        <w:tc>
          <w:tcPr>
            <w:tcW w:w="810" w:type="pct"/>
            <w:tcBorders>
              <w:top w:val="single" w:sz="4" w:space="0" w:color="auto"/>
              <w:left w:val="single" w:sz="4" w:space="0" w:color="auto"/>
              <w:bottom w:val="single" w:sz="4" w:space="0" w:color="auto"/>
              <w:right w:val="single" w:sz="4" w:space="0" w:color="auto"/>
            </w:tcBorders>
            <w:vAlign w:val="center"/>
            <w:hideMark/>
          </w:tcPr>
          <w:p w14:paraId="32035589" w14:textId="77777777" w:rsidR="00FE59C8" w:rsidRPr="00545EC0" w:rsidRDefault="00FE59C8" w:rsidP="00B506A9">
            <w:pPr>
              <w:rPr>
                <w:rFonts w:cs="Arial"/>
                <w:sz w:val="18"/>
                <w:szCs w:val="18"/>
                <w:lang w:eastAsia="ja-JP"/>
              </w:rPr>
            </w:pPr>
            <w:r w:rsidRPr="00545EC0">
              <w:rPr>
                <w:rFonts w:cs="Arial"/>
                <w:sz w:val="18"/>
                <w:szCs w:val="18"/>
              </w:rPr>
              <w:t>Sava</w:t>
            </w:r>
          </w:p>
        </w:tc>
        <w:tc>
          <w:tcPr>
            <w:tcW w:w="944" w:type="pct"/>
            <w:tcBorders>
              <w:top w:val="single" w:sz="4" w:space="0" w:color="auto"/>
              <w:left w:val="single" w:sz="4" w:space="0" w:color="auto"/>
              <w:bottom w:val="single" w:sz="4" w:space="0" w:color="auto"/>
              <w:right w:val="single" w:sz="4" w:space="0" w:color="auto"/>
            </w:tcBorders>
            <w:vAlign w:val="center"/>
            <w:hideMark/>
          </w:tcPr>
          <w:p w14:paraId="44F548D4" w14:textId="77777777" w:rsidR="00FE59C8" w:rsidRPr="00545EC0" w:rsidRDefault="00FE59C8" w:rsidP="00B506A9">
            <w:pPr>
              <w:jc w:val="center"/>
              <w:rPr>
                <w:rFonts w:cs="Arial"/>
                <w:sz w:val="18"/>
                <w:szCs w:val="18"/>
                <w:lang w:eastAsia="ja-JP"/>
              </w:rPr>
            </w:pPr>
            <w:r w:rsidRPr="00545EC0">
              <w:rPr>
                <w:rFonts w:cs="Arial"/>
                <w:sz w:val="18"/>
                <w:szCs w:val="18"/>
              </w:rPr>
              <w:t>295</w:t>
            </w:r>
          </w:p>
        </w:tc>
        <w:tc>
          <w:tcPr>
            <w:tcW w:w="675" w:type="pct"/>
            <w:tcBorders>
              <w:top w:val="single" w:sz="4" w:space="0" w:color="auto"/>
              <w:left w:val="single" w:sz="4" w:space="0" w:color="auto"/>
              <w:bottom w:val="single" w:sz="4" w:space="0" w:color="auto"/>
              <w:right w:val="single" w:sz="4" w:space="0" w:color="auto"/>
            </w:tcBorders>
            <w:vAlign w:val="center"/>
            <w:hideMark/>
          </w:tcPr>
          <w:p w14:paraId="10F7C19D" w14:textId="77777777" w:rsidR="00FE59C8" w:rsidRPr="00545EC0" w:rsidRDefault="00FE59C8" w:rsidP="00B506A9">
            <w:pPr>
              <w:jc w:val="center"/>
              <w:rPr>
                <w:rFonts w:cs="Arial"/>
                <w:sz w:val="18"/>
                <w:szCs w:val="18"/>
                <w:lang w:eastAsia="ja-JP"/>
              </w:rPr>
            </w:pPr>
            <w:r w:rsidRPr="00545EC0">
              <w:rPr>
                <w:rFonts w:cs="Arial"/>
                <w:sz w:val="18"/>
                <w:szCs w:val="18"/>
                <w:lang w:eastAsia="ja-JP"/>
              </w:rPr>
              <w:t>2,57</w:t>
            </w:r>
          </w:p>
        </w:tc>
        <w:tc>
          <w:tcPr>
            <w:tcW w:w="1024" w:type="pct"/>
            <w:tcBorders>
              <w:top w:val="single" w:sz="4" w:space="0" w:color="auto"/>
              <w:left w:val="single" w:sz="4" w:space="0" w:color="auto"/>
              <w:bottom w:val="single" w:sz="4" w:space="0" w:color="auto"/>
              <w:right w:val="single" w:sz="4" w:space="0" w:color="auto"/>
            </w:tcBorders>
            <w:vAlign w:val="center"/>
            <w:hideMark/>
          </w:tcPr>
          <w:p w14:paraId="0BCB5A49" w14:textId="77777777" w:rsidR="00FE59C8" w:rsidRPr="00545EC0" w:rsidRDefault="00FE59C8" w:rsidP="00B506A9">
            <w:pPr>
              <w:jc w:val="center"/>
              <w:rPr>
                <w:rFonts w:cs="Arial"/>
                <w:sz w:val="18"/>
                <w:szCs w:val="18"/>
                <w:lang w:eastAsia="ja-JP"/>
              </w:rPr>
            </w:pPr>
            <w:r w:rsidRPr="00545EC0">
              <w:rPr>
                <w:rFonts w:cs="Arial"/>
                <w:sz w:val="18"/>
                <w:szCs w:val="18"/>
                <w:lang w:eastAsia="ja-JP"/>
              </w:rPr>
              <w:t>Martinja Vas</w:t>
            </w:r>
          </w:p>
        </w:tc>
      </w:tr>
      <w:tr w:rsidR="003122F4" w:rsidRPr="00545EC0" w14:paraId="2FF786CB" w14:textId="77777777" w:rsidTr="00AE414A">
        <w:trPr>
          <w:cantSplit/>
          <w:trHeight w:val="255"/>
          <w:jc w:val="center"/>
        </w:trPr>
        <w:tc>
          <w:tcPr>
            <w:tcW w:w="466" w:type="pct"/>
            <w:tcBorders>
              <w:top w:val="single" w:sz="4" w:space="0" w:color="auto"/>
              <w:left w:val="single" w:sz="4" w:space="0" w:color="auto"/>
              <w:bottom w:val="single" w:sz="4" w:space="0" w:color="auto"/>
              <w:right w:val="single" w:sz="4" w:space="0" w:color="auto"/>
            </w:tcBorders>
            <w:vAlign w:val="center"/>
            <w:hideMark/>
          </w:tcPr>
          <w:p w14:paraId="020247B0" w14:textId="77777777" w:rsidR="00FE59C8" w:rsidRPr="00545EC0" w:rsidRDefault="00FE59C8" w:rsidP="00B506A9">
            <w:pPr>
              <w:rPr>
                <w:rFonts w:cs="Arial"/>
                <w:sz w:val="18"/>
                <w:szCs w:val="18"/>
                <w:lang w:eastAsia="ja-JP"/>
              </w:rPr>
            </w:pPr>
            <w:r w:rsidRPr="00545EC0">
              <w:rPr>
                <w:rFonts w:cs="Arial"/>
                <w:sz w:val="18"/>
                <w:szCs w:val="18"/>
              </w:rPr>
              <w:t>12</w:t>
            </w:r>
          </w:p>
        </w:tc>
        <w:tc>
          <w:tcPr>
            <w:tcW w:w="1081" w:type="pct"/>
            <w:tcBorders>
              <w:top w:val="single" w:sz="4" w:space="0" w:color="auto"/>
              <w:left w:val="single" w:sz="4" w:space="0" w:color="auto"/>
              <w:bottom w:val="single" w:sz="4" w:space="0" w:color="auto"/>
              <w:right w:val="single" w:sz="4" w:space="0" w:color="auto"/>
            </w:tcBorders>
            <w:vAlign w:val="center"/>
            <w:hideMark/>
          </w:tcPr>
          <w:p w14:paraId="2C84E0AA" w14:textId="77777777" w:rsidR="00FE59C8" w:rsidRPr="00545EC0" w:rsidRDefault="00FE59C8" w:rsidP="00B506A9">
            <w:pPr>
              <w:rPr>
                <w:rFonts w:cs="Arial"/>
                <w:sz w:val="18"/>
                <w:szCs w:val="18"/>
                <w:lang w:eastAsia="ja-JP"/>
              </w:rPr>
            </w:pPr>
            <w:r w:rsidRPr="00545EC0">
              <w:rPr>
                <w:rFonts w:cs="Arial"/>
                <w:sz w:val="18"/>
                <w:szCs w:val="18"/>
              </w:rPr>
              <w:t>Kolpa</w:t>
            </w:r>
          </w:p>
        </w:tc>
        <w:tc>
          <w:tcPr>
            <w:tcW w:w="810" w:type="pct"/>
            <w:tcBorders>
              <w:top w:val="single" w:sz="4" w:space="0" w:color="auto"/>
              <w:left w:val="single" w:sz="4" w:space="0" w:color="auto"/>
              <w:bottom w:val="single" w:sz="4" w:space="0" w:color="auto"/>
              <w:right w:val="single" w:sz="4" w:space="0" w:color="auto"/>
            </w:tcBorders>
            <w:vAlign w:val="center"/>
            <w:hideMark/>
          </w:tcPr>
          <w:p w14:paraId="00AB964E" w14:textId="77777777" w:rsidR="00FE59C8" w:rsidRPr="00545EC0" w:rsidRDefault="00FE59C8" w:rsidP="00B506A9">
            <w:pPr>
              <w:rPr>
                <w:rFonts w:cs="Arial"/>
                <w:sz w:val="18"/>
                <w:szCs w:val="18"/>
                <w:lang w:eastAsia="ja-JP"/>
              </w:rPr>
            </w:pPr>
            <w:r w:rsidRPr="00545EC0">
              <w:rPr>
                <w:rFonts w:cs="Arial"/>
                <w:sz w:val="18"/>
                <w:szCs w:val="18"/>
              </w:rPr>
              <w:t>Sava</w:t>
            </w:r>
          </w:p>
        </w:tc>
        <w:tc>
          <w:tcPr>
            <w:tcW w:w="944" w:type="pct"/>
            <w:tcBorders>
              <w:top w:val="single" w:sz="4" w:space="0" w:color="auto"/>
              <w:left w:val="single" w:sz="4" w:space="0" w:color="auto"/>
              <w:bottom w:val="single" w:sz="4" w:space="0" w:color="auto"/>
              <w:right w:val="single" w:sz="4" w:space="0" w:color="auto"/>
            </w:tcBorders>
            <w:vAlign w:val="center"/>
            <w:hideMark/>
          </w:tcPr>
          <w:p w14:paraId="51B1EFD3" w14:textId="77777777" w:rsidR="00FE59C8" w:rsidRPr="00545EC0" w:rsidRDefault="00FE59C8" w:rsidP="00B506A9">
            <w:pPr>
              <w:jc w:val="center"/>
              <w:rPr>
                <w:rFonts w:cs="Arial"/>
                <w:sz w:val="18"/>
                <w:szCs w:val="18"/>
                <w:lang w:eastAsia="ja-JP"/>
              </w:rPr>
            </w:pPr>
            <w:r w:rsidRPr="00545EC0">
              <w:rPr>
                <w:rFonts w:cs="Arial"/>
                <w:sz w:val="18"/>
                <w:szCs w:val="18"/>
              </w:rPr>
              <w:t>1.071</w:t>
            </w:r>
          </w:p>
        </w:tc>
        <w:tc>
          <w:tcPr>
            <w:tcW w:w="675" w:type="pct"/>
            <w:tcBorders>
              <w:top w:val="single" w:sz="4" w:space="0" w:color="auto"/>
              <w:left w:val="single" w:sz="4" w:space="0" w:color="auto"/>
              <w:bottom w:val="single" w:sz="4" w:space="0" w:color="auto"/>
              <w:right w:val="single" w:sz="4" w:space="0" w:color="auto"/>
            </w:tcBorders>
            <w:vAlign w:val="center"/>
            <w:hideMark/>
          </w:tcPr>
          <w:p w14:paraId="324A420D" w14:textId="77777777" w:rsidR="00FE59C8" w:rsidRPr="00545EC0" w:rsidRDefault="00FE59C8" w:rsidP="00B506A9">
            <w:pPr>
              <w:jc w:val="center"/>
              <w:rPr>
                <w:rFonts w:cs="Arial"/>
                <w:sz w:val="18"/>
                <w:szCs w:val="18"/>
                <w:lang w:eastAsia="ja-JP"/>
              </w:rPr>
            </w:pPr>
            <w:r w:rsidRPr="00545EC0">
              <w:rPr>
                <w:rFonts w:cs="Arial"/>
                <w:sz w:val="18"/>
                <w:szCs w:val="18"/>
              </w:rPr>
              <w:t>67,5</w:t>
            </w:r>
          </w:p>
        </w:tc>
        <w:tc>
          <w:tcPr>
            <w:tcW w:w="1024" w:type="pct"/>
            <w:tcBorders>
              <w:top w:val="single" w:sz="4" w:space="0" w:color="auto"/>
              <w:left w:val="single" w:sz="4" w:space="0" w:color="auto"/>
              <w:bottom w:val="single" w:sz="4" w:space="0" w:color="auto"/>
              <w:right w:val="single" w:sz="4" w:space="0" w:color="auto"/>
            </w:tcBorders>
            <w:vAlign w:val="center"/>
            <w:hideMark/>
          </w:tcPr>
          <w:p w14:paraId="65D4CE34" w14:textId="77777777" w:rsidR="00FE59C8" w:rsidRPr="00545EC0" w:rsidRDefault="00FE59C8" w:rsidP="00B506A9">
            <w:pPr>
              <w:jc w:val="center"/>
              <w:rPr>
                <w:rFonts w:cs="Arial"/>
                <w:sz w:val="18"/>
                <w:szCs w:val="18"/>
                <w:lang w:eastAsia="ja-JP"/>
              </w:rPr>
            </w:pPr>
            <w:r w:rsidRPr="00545EC0">
              <w:rPr>
                <w:rFonts w:cs="Arial"/>
                <w:sz w:val="18"/>
                <w:szCs w:val="18"/>
              </w:rPr>
              <w:t>Metlika</w:t>
            </w:r>
          </w:p>
        </w:tc>
      </w:tr>
      <w:tr w:rsidR="003122F4" w:rsidRPr="00545EC0" w14:paraId="2D78B45E" w14:textId="77777777" w:rsidTr="00AE414A">
        <w:trPr>
          <w:cantSplit/>
          <w:trHeight w:val="255"/>
          <w:jc w:val="center"/>
        </w:trPr>
        <w:tc>
          <w:tcPr>
            <w:tcW w:w="466" w:type="pct"/>
            <w:tcBorders>
              <w:top w:val="single" w:sz="4" w:space="0" w:color="auto"/>
              <w:left w:val="single" w:sz="4" w:space="0" w:color="auto"/>
              <w:bottom w:val="single" w:sz="4" w:space="0" w:color="auto"/>
              <w:right w:val="single" w:sz="4" w:space="0" w:color="auto"/>
            </w:tcBorders>
            <w:vAlign w:val="center"/>
            <w:hideMark/>
          </w:tcPr>
          <w:p w14:paraId="45FAF4C9" w14:textId="77777777" w:rsidR="00FE59C8" w:rsidRPr="00545EC0" w:rsidRDefault="00FE59C8" w:rsidP="00B506A9">
            <w:pPr>
              <w:rPr>
                <w:rFonts w:cs="Arial"/>
                <w:sz w:val="18"/>
                <w:szCs w:val="18"/>
                <w:lang w:eastAsia="ja-JP"/>
              </w:rPr>
            </w:pPr>
            <w:r w:rsidRPr="00545EC0">
              <w:rPr>
                <w:rFonts w:cs="Arial"/>
                <w:sz w:val="18"/>
                <w:szCs w:val="18"/>
              </w:rPr>
              <w:t>13</w:t>
            </w:r>
          </w:p>
        </w:tc>
        <w:tc>
          <w:tcPr>
            <w:tcW w:w="1081" w:type="pct"/>
            <w:tcBorders>
              <w:top w:val="single" w:sz="4" w:space="0" w:color="auto"/>
              <w:left w:val="single" w:sz="4" w:space="0" w:color="auto"/>
              <w:bottom w:val="single" w:sz="4" w:space="0" w:color="auto"/>
              <w:right w:val="single" w:sz="4" w:space="0" w:color="auto"/>
            </w:tcBorders>
            <w:vAlign w:val="center"/>
            <w:hideMark/>
          </w:tcPr>
          <w:p w14:paraId="478D9118" w14:textId="77777777" w:rsidR="00FE59C8" w:rsidRPr="00545EC0" w:rsidRDefault="00FE59C8" w:rsidP="00B506A9">
            <w:pPr>
              <w:rPr>
                <w:rFonts w:cs="Arial"/>
                <w:sz w:val="18"/>
                <w:szCs w:val="18"/>
                <w:lang w:eastAsia="ja-JP"/>
              </w:rPr>
            </w:pPr>
            <w:r w:rsidRPr="00545EC0">
              <w:rPr>
                <w:rFonts w:cs="Arial"/>
                <w:sz w:val="18"/>
                <w:szCs w:val="18"/>
              </w:rPr>
              <w:t>Krka</w:t>
            </w:r>
          </w:p>
        </w:tc>
        <w:tc>
          <w:tcPr>
            <w:tcW w:w="810" w:type="pct"/>
            <w:tcBorders>
              <w:top w:val="single" w:sz="4" w:space="0" w:color="auto"/>
              <w:left w:val="single" w:sz="4" w:space="0" w:color="auto"/>
              <w:bottom w:val="single" w:sz="4" w:space="0" w:color="auto"/>
              <w:right w:val="single" w:sz="4" w:space="0" w:color="auto"/>
            </w:tcBorders>
            <w:vAlign w:val="center"/>
            <w:hideMark/>
          </w:tcPr>
          <w:p w14:paraId="1D0429E6" w14:textId="77777777" w:rsidR="00FE59C8" w:rsidRPr="00545EC0" w:rsidRDefault="00FE59C8" w:rsidP="00B506A9">
            <w:pPr>
              <w:rPr>
                <w:rFonts w:cs="Arial"/>
                <w:sz w:val="18"/>
                <w:szCs w:val="18"/>
                <w:lang w:eastAsia="ja-JP"/>
              </w:rPr>
            </w:pPr>
            <w:r w:rsidRPr="00545EC0">
              <w:rPr>
                <w:rFonts w:cs="Arial"/>
                <w:sz w:val="18"/>
                <w:szCs w:val="18"/>
              </w:rPr>
              <w:t>Sava</w:t>
            </w:r>
          </w:p>
        </w:tc>
        <w:tc>
          <w:tcPr>
            <w:tcW w:w="944" w:type="pct"/>
            <w:tcBorders>
              <w:top w:val="single" w:sz="4" w:space="0" w:color="auto"/>
              <w:left w:val="single" w:sz="4" w:space="0" w:color="auto"/>
              <w:bottom w:val="single" w:sz="4" w:space="0" w:color="auto"/>
              <w:right w:val="single" w:sz="4" w:space="0" w:color="auto"/>
            </w:tcBorders>
            <w:vAlign w:val="center"/>
            <w:hideMark/>
          </w:tcPr>
          <w:p w14:paraId="43C830C6" w14:textId="77777777" w:rsidR="00FE59C8" w:rsidRPr="00545EC0" w:rsidRDefault="00FE59C8" w:rsidP="00B506A9">
            <w:pPr>
              <w:jc w:val="center"/>
              <w:rPr>
                <w:rFonts w:cs="Arial"/>
                <w:sz w:val="18"/>
                <w:szCs w:val="18"/>
                <w:lang w:eastAsia="ja-JP"/>
              </w:rPr>
            </w:pPr>
            <w:r w:rsidRPr="00545EC0">
              <w:rPr>
                <w:rFonts w:cs="Arial"/>
                <w:sz w:val="18"/>
                <w:szCs w:val="18"/>
              </w:rPr>
              <w:t>2.248</w:t>
            </w:r>
          </w:p>
        </w:tc>
        <w:tc>
          <w:tcPr>
            <w:tcW w:w="675" w:type="pct"/>
            <w:tcBorders>
              <w:top w:val="single" w:sz="4" w:space="0" w:color="auto"/>
              <w:left w:val="single" w:sz="4" w:space="0" w:color="auto"/>
              <w:bottom w:val="single" w:sz="4" w:space="0" w:color="auto"/>
              <w:right w:val="single" w:sz="4" w:space="0" w:color="auto"/>
            </w:tcBorders>
            <w:vAlign w:val="center"/>
            <w:hideMark/>
          </w:tcPr>
          <w:p w14:paraId="7203FC0F" w14:textId="77777777" w:rsidR="00FE59C8" w:rsidRPr="00545EC0" w:rsidRDefault="00FE59C8" w:rsidP="00B506A9">
            <w:pPr>
              <w:jc w:val="center"/>
              <w:rPr>
                <w:rFonts w:cs="Arial"/>
                <w:sz w:val="18"/>
                <w:szCs w:val="18"/>
                <w:lang w:eastAsia="ja-JP"/>
              </w:rPr>
            </w:pPr>
            <w:r w:rsidRPr="00545EC0">
              <w:rPr>
                <w:rFonts w:cs="Arial"/>
                <w:sz w:val="18"/>
                <w:szCs w:val="18"/>
              </w:rPr>
              <w:t>50,1</w:t>
            </w:r>
          </w:p>
        </w:tc>
        <w:tc>
          <w:tcPr>
            <w:tcW w:w="1024" w:type="pct"/>
            <w:tcBorders>
              <w:top w:val="single" w:sz="4" w:space="0" w:color="auto"/>
              <w:left w:val="single" w:sz="4" w:space="0" w:color="auto"/>
              <w:bottom w:val="single" w:sz="4" w:space="0" w:color="auto"/>
              <w:right w:val="single" w:sz="4" w:space="0" w:color="auto"/>
            </w:tcBorders>
            <w:vAlign w:val="center"/>
            <w:hideMark/>
          </w:tcPr>
          <w:p w14:paraId="1DE9CD61" w14:textId="77777777" w:rsidR="00FE59C8" w:rsidRPr="00545EC0" w:rsidRDefault="00FE59C8" w:rsidP="00B506A9">
            <w:pPr>
              <w:jc w:val="center"/>
              <w:rPr>
                <w:rFonts w:cs="Arial"/>
                <w:sz w:val="18"/>
                <w:szCs w:val="18"/>
                <w:lang w:eastAsia="ja-JP"/>
              </w:rPr>
            </w:pPr>
            <w:r w:rsidRPr="00545EC0">
              <w:rPr>
                <w:rFonts w:cs="Arial"/>
                <w:sz w:val="18"/>
                <w:szCs w:val="18"/>
              </w:rPr>
              <w:t>Podbočje</w:t>
            </w:r>
          </w:p>
        </w:tc>
      </w:tr>
      <w:tr w:rsidR="003122F4" w:rsidRPr="00545EC0" w14:paraId="385065E1" w14:textId="77777777" w:rsidTr="00AE414A">
        <w:trPr>
          <w:cantSplit/>
          <w:trHeight w:val="255"/>
          <w:jc w:val="center"/>
        </w:trPr>
        <w:tc>
          <w:tcPr>
            <w:tcW w:w="466" w:type="pct"/>
            <w:tcBorders>
              <w:top w:val="single" w:sz="4" w:space="0" w:color="auto"/>
              <w:left w:val="single" w:sz="4" w:space="0" w:color="auto"/>
              <w:bottom w:val="single" w:sz="4" w:space="0" w:color="auto"/>
              <w:right w:val="single" w:sz="4" w:space="0" w:color="auto"/>
            </w:tcBorders>
            <w:vAlign w:val="center"/>
            <w:hideMark/>
          </w:tcPr>
          <w:p w14:paraId="0AAC417C" w14:textId="77777777" w:rsidR="00FE59C8" w:rsidRPr="00545EC0" w:rsidRDefault="00FE59C8" w:rsidP="00B506A9">
            <w:pPr>
              <w:rPr>
                <w:rFonts w:cs="Arial"/>
                <w:sz w:val="18"/>
                <w:szCs w:val="18"/>
                <w:lang w:eastAsia="ja-JP"/>
              </w:rPr>
            </w:pPr>
            <w:r w:rsidRPr="00545EC0">
              <w:rPr>
                <w:rFonts w:cs="Arial"/>
                <w:sz w:val="18"/>
                <w:szCs w:val="18"/>
              </w:rPr>
              <w:t>14</w:t>
            </w:r>
          </w:p>
        </w:tc>
        <w:tc>
          <w:tcPr>
            <w:tcW w:w="1081" w:type="pct"/>
            <w:tcBorders>
              <w:top w:val="single" w:sz="4" w:space="0" w:color="auto"/>
              <w:left w:val="single" w:sz="4" w:space="0" w:color="auto"/>
              <w:bottom w:val="single" w:sz="4" w:space="0" w:color="auto"/>
              <w:right w:val="single" w:sz="4" w:space="0" w:color="auto"/>
            </w:tcBorders>
            <w:vAlign w:val="center"/>
            <w:hideMark/>
          </w:tcPr>
          <w:p w14:paraId="0D58E287" w14:textId="77777777" w:rsidR="00FE59C8" w:rsidRPr="00545EC0" w:rsidRDefault="00FE59C8" w:rsidP="00B506A9">
            <w:pPr>
              <w:rPr>
                <w:rFonts w:cs="Arial"/>
                <w:sz w:val="18"/>
                <w:szCs w:val="18"/>
                <w:lang w:eastAsia="ja-JP"/>
              </w:rPr>
            </w:pPr>
            <w:r w:rsidRPr="00545EC0">
              <w:rPr>
                <w:rFonts w:cs="Arial"/>
                <w:sz w:val="18"/>
                <w:szCs w:val="18"/>
              </w:rPr>
              <w:t>Ljubljanica</w:t>
            </w:r>
          </w:p>
        </w:tc>
        <w:tc>
          <w:tcPr>
            <w:tcW w:w="810" w:type="pct"/>
            <w:tcBorders>
              <w:top w:val="single" w:sz="4" w:space="0" w:color="auto"/>
              <w:left w:val="single" w:sz="4" w:space="0" w:color="auto"/>
              <w:bottom w:val="single" w:sz="4" w:space="0" w:color="auto"/>
              <w:right w:val="single" w:sz="4" w:space="0" w:color="auto"/>
            </w:tcBorders>
            <w:vAlign w:val="center"/>
            <w:hideMark/>
          </w:tcPr>
          <w:p w14:paraId="25F71C87" w14:textId="77777777" w:rsidR="00FE59C8" w:rsidRPr="00545EC0" w:rsidRDefault="00FE59C8" w:rsidP="00B506A9">
            <w:pPr>
              <w:rPr>
                <w:rFonts w:cs="Arial"/>
                <w:sz w:val="18"/>
                <w:szCs w:val="18"/>
                <w:lang w:eastAsia="ja-JP"/>
              </w:rPr>
            </w:pPr>
            <w:r w:rsidRPr="00545EC0">
              <w:rPr>
                <w:rFonts w:cs="Arial"/>
                <w:sz w:val="18"/>
                <w:szCs w:val="18"/>
              </w:rPr>
              <w:t>Sava</w:t>
            </w:r>
          </w:p>
        </w:tc>
        <w:tc>
          <w:tcPr>
            <w:tcW w:w="944" w:type="pct"/>
            <w:tcBorders>
              <w:top w:val="single" w:sz="4" w:space="0" w:color="auto"/>
              <w:left w:val="single" w:sz="4" w:space="0" w:color="auto"/>
              <w:bottom w:val="single" w:sz="4" w:space="0" w:color="auto"/>
              <w:right w:val="single" w:sz="4" w:space="0" w:color="auto"/>
            </w:tcBorders>
            <w:vAlign w:val="center"/>
            <w:hideMark/>
          </w:tcPr>
          <w:p w14:paraId="140E2576" w14:textId="77777777" w:rsidR="00FE59C8" w:rsidRPr="00545EC0" w:rsidRDefault="00FE59C8" w:rsidP="00B506A9">
            <w:pPr>
              <w:jc w:val="center"/>
              <w:rPr>
                <w:rFonts w:cs="Arial"/>
                <w:sz w:val="18"/>
                <w:szCs w:val="18"/>
                <w:lang w:eastAsia="ja-JP"/>
              </w:rPr>
            </w:pPr>
            <w:r w:rsidRPr="00545EC0">
              <w:rPr>
                <w:rFonts w:cs="Arial"/>
                <w:sz w:val="18"/>
                <w:szCs w:val="18"/>
              </w:rPr>
              <w:t>1.864</w:t>
            </w:r>
          </w:p>
        </w:tc>
        <w:tc>
          <w:tcPr>
            <w:tcW w:w="675" w:type="pct"/>
            <w:tcBorders>
              <w:top w:val="single" w:sz="4" w:space="0" w:color="auto"/>
              <w:left w:val="single" w:sz="4" w:space="0" w:color="auto"/>
              <w:bottom w:val="single" w:sz="4" w:space="0" w:color="auto"/>
              <w:right w:val="single" w:sz="4" w:space="0" w:color="auto"/>
            </w:tcBorders>
            <w:vAlign w:val="center"/>
            <w:hideMark/>
          </w:tcPr>
          <w:p w14:paraId="7DBFDF1A" w14:textId="77777777" w:rsidR="00FE59C8" w:rsidRPr="00545EC0" w:rsidRDefault="00FE59C8" w:rsidP="00B506A9">
            <w:pPr>
              <w:jc w:val="center"/>
              <w:rPr>
                <w:rFonts w:cs="Arial"/>
                <w:sz w:val="18"/>
                <w:szCs w:val="18"/>
                <w:lang w:eastAsia="ja-JP"/>
              </w:rPr>
            </w:pPr>
            <w:r w:rsidRPr="00545EC0">
              <w:rPr>
                <w:rFonts w:cs="Arial"/>
                <w:sz w:val="18"/>
                <w:szCs w:val="18"/>
              </w:rPr>
              <w:t>52,3</w:t>
            </w:r>
          </w:p>
        </w:tc>
        <w:tc>
          <w:tcPr>
            <w:tcW w:w="1024" w:type="pct"/>
            <w:tcBorders>
              <w:top w:val="single" w:sz="4" w:space="0" w:color="auto"/>
              <w:left w:val="single" w:sz="4" w:space="0" w:color="auto"/>
              <w:bottom w:val="single" w:sz="4" w:space="0" w:color="auto"/>
              <w:right w:val="single" w:sz="4" w:space="0" w:color="auto"/>
            </w:tcBorders>
            <w:vAlign w:val="center"/>
            <w:hideMark/>
          </w:tcPr>
          <w:p w14:paraId="44DEF456" w14:textId="77777777" w:rsidR="00FE59C8" w:rsidRPr="00545EC0" w:rsidRDefault="00FE59C8" w:rsidP="00B506A9">
            <w:pPr>
              <w:jc w:val="center"/>
              <w:rPr>
                <w:rFonts w:cs="Arial"/>
                <w:sz w:val="18"/>
                <w:szCs w:val="18"/>
                <w:lang w:eastAsia="ja-JP"/>
              </w:rPr>
            </w:pPr>
            <w:r w:rsidRPr="00545EC0">
              <w:rPr>
                <w:rFonts w:cs="Arial"/>
                <w:sz w:val="18"/>
                <w:szCs w:val="18"/>
              </w:rPr>
              <w:t>Moste</w:t>
            </w:r>
          </w:p>
        </w:tc>
      </w:tr>
      <w:tr w:rsidR="003122F4" w:rsidRPr="00545EC0" w14:paraId="7889B193" w14:textId="77777777" w:rsidTr="00AE414A">
        <w:trPr>
          <w:cantSplit/>
          <w:trHeight w:val="255"/>
          <w:jc w:val="center"/>
        </w:trPr>
        <w:tc>
          <w:tcPr>
            <w:tcW w:w="466" w:type="pct"/>
            <w:tcBorders>
              <w:top w:val="single" w:sz="4" w:space="0" w:color="auto"/>
              <w:left w:val="single" w:sz="4" w:space="0" w:color="auto"/>
              <w:bottom w:val="single" w:sz="4" w:space="0" w:color="auto"/>
              <w:right w:val="single" w:sz="4" w:space="0" w:color="auto"/>
            </w:tcBorders>
            <w:vAlign w:val="center"/>
            <w:hideMark/>
          </w:tcPr>
          <w:p w14:paraId="7F612C05" w14:textId="77777777" w:rsidR="00FE59C8" w:rsidRPr="00545EC0" w:rsidRDefault="00FE59C8" w:rsidP="00B506A9">
            <w:pPr>
              <w:rPr>
                <w:rFonts w:cs="Arial"/>
                <w:szCs w:val="20"/>
                <w:lang w:eastAsia="ja-JP"/>
              </w:rPr>
            </w:pPr>
            <w:r w:rsidRPr="00545EC0">
              <w:rPr>
                <w:rFonts w:cs="Arial"/>
                <w:sz w:val="18"/>
                <w:szCs w:val="20"/>
              </w:rPr>
              <w:lastRenderedPageBreak/>
              <w:t>15</w:t>
            </w:r>
          </w:p>
        </w:tc>
        <w:tc>
          <w:tcPr>
            <w:tcW w:w="1081" w:type="pct"/>
            <w:tcBorders>
              <w:top w:val="single" w:sz="4" w:space="0" w:color="auto"/>
              <w:left w:val="single" w:sz="4" w:space="0" w:color="auto"/>
              <w:bottom w:val="single" w:sz="4" w:space="0" w:color="auto"/>
              <w:right w:val="single" w:sz="4" w:space="0" w:color="auto"/>
            </w:tcBorders>
            <w:vAlign w:val="center"/>
            <w:hideMark/>
          </w:tcPr>
          <w:p w14:paraId="4DE2C05D" w14:textId="77777777" w:rsidR="00FE59C8" w:rsidRPr="00545EC0" w:rsidRDefault="00FE59C8" w:rsidP="00B506A9">
            <w:pPr>
              <w:rPr>
                <w:rFonts w:cs="Arial"/>
                <w:sz w:val="18"/>
                <w:szCs w:val="20"/>
                <w:lang w:eastAsia="ja-JP"/>
              </w:rPr>
            </w:pPr>
            <w:r w:rsidRPr="00545EC0">
              <w:rPr>
                <w:rFonts w:cs="Arial"/>
                <w:sz w:val="18"/>
                <w:szCs w:val="20"/>
              </w:rPr>
              <w:t>Paka</w:t>
            </w:r>
          </w:p>
        </w:tc>
        <w:tc>
          <w:tcPr>
            <w:tcW w:w="810" w:type="pct"/>
            <w:tcBorders>
              <w:top w:val="single" w:sz="4" w:space="0" w:color="auto"/>
              <w:left w:val="single" w:sz="4" w:space="0" w:color="auto"/>
              <w:bottom w:val="single" w:sz="4" w:space="0" w:color="auto"/>
              <w:right w:val="single" w:sz="4" w:space="0" w:color="auto"/>
            </w:tcBorders>
            <w:vAlign w:val="center"/>
            <w:hideMark/>
          </w:tcPr>
          <w:p w14:paraId="0EFA9611" w14:textId="77777777" w:rsidR="00FE59C8" w:rsidRPr="00545EC0" w:rsidRDefault="00FE59C8" w:rsidP="00B506A9">
            <w:pPr>
              <w:rPr>
                <w:rFonts w:cs="Arial"/>
                <w:sz w:val="18"/>
                <w:szCs w:val="20"/>
                <w:lang w:eastAsia="ja-JP"/>
              </w:rPr>
            </w:pPr>
            <w:r w:rsidRPr="00545EC0">
              <w:rPr>
                <w:rFonts w:cs="Arial"/>
                <w:sz w:val="18"/>
                <w:szCs w:val="20"/>
              </w:rPr>
              <w:t>Sava</w:t>
            </w:r>
          </w:p>
        </w:tc>
        <w:tc>
          <w:tcPr>
            <w:tcW w:w="944" w:type="pct"/>
            <w:tcBorders>
              <w:top w:val="single" w:sz="4" w:space="0" w:color="auto"/>
              <w:left w:val="single" w:sz="4" w:space="0" w:color="auto"/>
              <w:bottom w:val="single" w:sz="4" w:space="0" w:color="auto"/>
              <w:right w:val="single" w:sz="4" w:space="0" w:color="auto"/>
            </w:tcBorders>
            <w:vAlign w:val="center"/>
            <w:hideMark/>
          </w:tcPr>
          <w:p w14:paraId="3E5BBB54" w14:textId="77777777" w:rsidR="00FE59C8" w:rsidRPr="00545EC0" w:rsidRDefault="00FE59C8" w:rsidP="00B506A9">
            <w:pPr>
              <w:jc w:val="center"/>
              <w:rPr>
                <w:rFonts w:cs="Arial"/>
                <w:sz w:val="18"/>
                <w:szCs w:val="20"/>
                <w:lang w:eastAsia="ja-JP"/>
              </w:rPr>
            </w:pPr>
            <w:r w:rsidRPr="00545EC0">
              <w:rPr>
                <w:rFonts w:cs="Arial"/>
                <w:sz w:val="18"/>
                <w:szCs w:val="20"/>
              </w:rPr>
              <w:t>211</w:t>
            </w:r>
          </w:p>
        </w:tc>
        <w:tc>
          <w:tcPr>
            <w:tcW w:w="675" w:type="pct"/>
            <w:tcBorders>
              <w:top w:val="single" w:sz="4" w:space="0" w:color="auto"/>
              <w:left w:val="single" w:sz="4" w:space="0" w:color="auto"/>
              <w:bottom w:val="single" w:sz="4" w:space="0" w:color="auto"/>
              <w:right w:val="single" w:sz="4" w:space="0" w:color="auto"/>
            </w:tcBorders>
            <w:vAlign w:val="center"/>
            <w:hideMark/>
          </w:tcPr>
          <w:p w14:paraId="602E6559" w14:textId="77777777" w:rsidR="00FE59C8" w:rsidRPr="00545EC0" w:rsidRDefault="00FE59C8" w:rsidP="00B506A9">
            <w:pPr>
              <w:jc w:val="center"/>
              <w:rPr>
                <w:rFonts w:cs="Arial"/>
                <w:sz w:val="18"/>
                <w:szCs w:val="20"/>
                <w:lang w:eastAsia="ja-JP"/>
              </w:rPr>
            </w:pPr>
            <w:r w:rsidRPr="00545EC0">
              <w:rPr>
                <w:rFonts w:cs="Arial"/>
                <w:sz w:val="18"/>
                <w:szCs w:val="20"/>
              </w:rPr>
              <w:t>3,68</w:t>
            </w:r>
          </w:p>
        </w:tc>
        <w:tc>
          <w:tcPr>
            <w:tcW w:w="1024" w:type="pct"/>
            <w:tcBorders>
              <w:top w:val="single" w:sz="4" w:space="0" w:color="auto"/>
              <w:left w:val="single" w:sz="4" w:space="0" w:color="auto"/>
              <w:bottom w:val="single" w:sz="4" w:space="0" w:color="auto"/>
              <w:right w:val="single" w:sz="4" w:space="0" w:color="auto"/>
            </w:tcBorders>
            <w:vAlign w:val="center"/>
            <w:hideMark/>
          </w:tcPr>
          <w:p w14:paraId="6EF2ED62" w14:textId="77777777" w:rsidR="00FE59C8" w:rsidRPr="00545EC0" w:rsidRDefault="00FE59C8" w:rsidP="00B506A9">
            <w:pPr>
              <w:jc w:val="center"/>
              <w:rPr>
                <w:rFonts w:cs="Arial"/>
                <w:szCs w:val="20"/>
                <w:lang w:eastAsia="ja-JP"/>
              </w:rPr>
            </w:pPr>
            <w:r w:rsidRPr="00545EC0">
              <w:rPr>
                <w:rFonts w:cs="Arial"/>
                <w:sz w:val="18"/>
                <w:szCs w:val="20"/>
              </w:rPr>
              <w:t>Rečica</w:t>
            </w:r>
          </w:p>
        </w:tc>
      </w:tr>
      <w:tr w:rsidR="003122F4" w:rsidRPr="00545EC0" w14:paraId="4425D1A3" w14:textId="77777777" w:rsidTr="00AE414A">
        <w:trPr>
          <w:cantSplit/>
          <w:trHeight w:val="255"/>
          <w:jc w:val="center"/>
        </w:trPr>
        <w:tc>
          <w:tcPr>
            <w:tcW w:w="466" w:type="pct"/>
            <w:tcBorders>
              <w:top w:val="single" w:sz="4" w:space="0" w:color="auto"/>
              <w:left w:val="single" w:sz="4" w:space="0" w:color="auto"/>
              <w:bottom w:val="single" w:sz="4" w:space="0" w:color="auto"/>
              <w:right w:val="single" w:sz="4" w:space="0" w:color="auto"/>
            </w:tcBorders>
            <w:vAlign w:val="center"/>
            <w:hideMark/>
          </w:tcPr>
          <w:p w14:paraId="556E40AC" w14:textId="77777777" w:rsidR="00FE59C8" w:rsidRPr="00545EC0" w:rsidRDefault="00FE59C8" w:rsidP="00B506A9">
            <w:pPr>
              <w:rPr>
                <w:rFonts w:cs="Arial"/>
                <w:sz w:val="18"/>
                <w:szCs w:val="18"/>
                <w:lang w:eastAsia="ja-JP"/>
              </w:rPr>
            </w:pPr>
            <w:r w:rsidRPr="00545EC0">
              <w:rPr>
                <w:rFonts w:cs="Arial"/>
                <w:sz w:val="18"/>
                <w:szCs w:val="18"/>
              </w:rPr>
              <w:t>16</w:t>
            </w:r>
          </w:p>
        </w:tc>
        <w:tc>
          <w:tcPr>
            <w:tcW w:w="1081" w:type="pct"/>
            <w:tcBorders>
              <w:top w:val="single" w:sz="4" w:space="0" w:color="auto"/>
              <w:left w:val="single" w:sz="4" w:space="0" w:color="auto"/>
              <w:bottom w:val="single" w:sz="4" w:space="0" w:color="auto"/>
              <w:right w:val="single" w:sz="4" w:space="0" w:color="auto"/>
            </w:tcBorders>
            <w:vAlign w:val="center"/>
            <w:hideMark/>
          </w:tcPr>
          <w:p w14:paraId="01B3F276" w14:textId="77777777" w:rsidR="00FE59C8" w:rsidRPr="00545EC0" w:rsidRDefault="00FE59C8" w:rsidP="00B506A9">
            <w:pPr>
              <w:rPr>
                <w:rFonts w:cs="Arial"/>
                <w:sz w:val="18"/>
                <w:szCs w:val="18"/>
                <w:lang w:eastAsia="ja-JP"/>
              </w:rPr>
            </w:pPr>
            <w:r w:rsidRPr="00545EC0">
              <w:rPr>
                <w:rFonts w:cs="Arial"/>
                <w:sz w:val="18"/>
                <w:szCs w:val="18"/>
              </w:rPr>
              <w:t>Poljanska Sora</w:t>
            </w:r>
          </w:p>
        </w:tc>
        <w:tc>
          <w:tcPr>
            <w:tcW w:w="810" w:type="pct"/>
            <w:tcBorders>
              <w:top w:val="single" w:sz="4" w:space="0" w:color="auto"/>
              <w:left w:val="single" w:sz="4" w:space="0" w:color="auto"/>
              <w:bottom w:val="single" w:sz="4" w:space="0" w:color="auto"/>
              <w:right w:val="single" w:sz="4" w:space="0" w:color="auto"/>
            </w:tcBorders>
            <w:vAlign w:val="center"/>
            <w:hideMark/>
          </w:tcPr>
          <w:p w14:paraId="6F694286" w14:textId="77777777" w:rsidR="00FE59C8" w:rsidRPr="00545EC0" w:rsidRDefault="00FE59C8" w:rsidP="00B506A9">
            <w:pPr>
              <w:rPr>
                <w:rFonts w:cs="Arial"/>
                <w:sz w:val="18"/>
                <w:szCs w:val="18"/>
                <w:lang w:eastAsia="ja-JP"/>
              </w:rPr>
            </w:pPr>
            <w:r w:rsidRPr="00545EC0">
              <w:rPr>
                <w:rFonts w:cs="Arial"/>
                <w:sz w:val="18"/>
                <w:szCs w:val="18"/>
              </w:rPr>
              <w:t>Sava</w:t>
            </w:r>
          </w:p>
        </w:tc>
        <w:tc>
          <w:tcPr>
            <w:tcW w:w="944" w:type="pct"/>
            <w:tcBorders>
              <w:top w:val="single" w:sz="4" w:space="0" w:color="auto"/>
              <w:left w:val="single" w:sz="4" w:space="0" w:color="auto"/>
              <w:bottom w:val="single" w:sz="4" w:space="0" w:color="auto"/>
              <w:right w:val="single" w:sz="4" w:space="0" w:color="auto"/>
            </w:tcBorders>
            <w:vAlign w:val="center"/>
            <w:hideMark/>
          </w:tcPr>
          <w:p w14:paraId="342A0E96" w14:textId="77777777" w:rsidR="00FE59C8" w:rsidRPr="00545EC0" w:rsidRDefault="00FE59C8" w:rsidP="00B506A9">
            <w:pPr>
              <w:jc w:val="center"/>
              <w:rPr>
                <w:rFonts w:cs="Arial"/>
                <w:sz w:val="18"/>
                <w:szCs w:val="18"/>
                <w:lang w:eastAsia="ja-JP"/>
              </w:rPr>
            </w:pPr>
            <w:r w:rsidRPr="00545EC0">
              <w:rPr>
                <w:rFonts w:cs="Arial"/>
                <w:sz w:val="18"/>
                <w:szCs w:val="18"/>
              </w:rPr>
              <w:t>329</w:t>
            </w:r>
          </w:p>
        </w:tc>
        <w:tc>
          <w:tcPr>
            <w:tcW w:w="675" w:type="pct"/>
            <w:tcBorders>
              <w:top w:val="single" w:sz="4" w:space="0" w:color="auto"/>
              <w:left w:val="single" w:sz="4" w:space="0" w:color="auto"/>
              <w:bottom w:val="single" w:sz="4" w:space="0" w:color="auto"/>
              <w:right w:val="single" w:sz="4" w:space="0" w:color="auto"/>
            </w:tcBorders>
            <w:vAlign w:val="center"/>
            <w:hideMark/>
          </w:tcPr>
          <w:p w14:paraId="4C7E5D4B" w14:textId="77777777" w:rsidR="00FE59C8" w:rsidRPr="00545EC0" w:rsidRDefault="00FE59C8" w:rsidP="00B506A9">
            <w:pPr>
              <w:jc w:val="center"/>
              <w:rPr>
                <w:rFonts w:cs="Arial"/>
                <w:sz w:val="18"/>
                <w:szCs w:val="18"/>
                <w:lang w:eastAsia="ja-JP"/>
              </w:rPr>
            </w:pPr>
            <w:r w:rsidRPr="00545EC0">
              <w:rPr>
                <w:rFonts w:cs="Arial"/>
                <w:sz w:val="18"/>
                <w:szCs w:val="18"/>
              </w:rPr>
              <w:t>10,4</w:t>
            </w:r>
          </w:p>
        </w:tc>
        <w:tc>
          <w:tcPr>
            <w:tcW w:w="1024" w:type="pct"/>
            <w:tcBorders>
              <w:top w:val="single" w:sz="4" w:space="0" w:color="auto"/>
              <w:left w:val="single" w:sz="4" w:space="0" w:color="auto"/>
              <w:bottom w:val="single" w:sz="4" w:space="0" w:color="auto"/>
              <w:right w:val="single" w:sz="4" w:space="0" w:color="auto"/>
            </w:tcBorders>
            <w:vAlign w:val="center"/>
            <w:hideMark/>
          </w:tcPr>
          <w:p w14:paraId="26CDE70E" w14:textId="77777777" w:rsidR="00FE59C8" w:rsidRPr="00545EC0" w:rsidRDefault="00FE59C8" w:rsidP="00B506A9">
            <w:pPr>
              <w:jc w:val="center"/>
              <w:rPr>
                <w:rFonts w:cs="Arial"/>
                <w:sz w:val="18"/>
                <w:szCs w:val="18"/>
                <w:lang w:eastAsia="ja-JP"/>
              </w:rPr>
            </w:pPr>
            <w:r w:rsidRPr="00545EC0">
              <w:rPr>
                <w:rFonts w:cs="Arial"/>
                <w:sz w:val="18"/>
                <w:szCs w:val="18"/>
              </w:rPr>
              <w:t>Zminec</w:t>
            </w:r>
          </w:p>
        </w:tc>
      </w:tr>
      <w:tr w:rsidR="003122F4" w:rsidRPr="00545EC0" w14:paraId="7C9D94D3" w14:textId="77777777" w:rsidTr="00AE414A">
        <w:trPr>
          <w:cantSplit/>
          <w:trHeight w:val="255"/>
          <w:jc w:val="center"/>
        </w:trPr>
        <w:tc>
          <w:tcPr>
            <w:tcW w:w="466" w:type="pct"/>
            <w:tcBorders>
              <w:top w:val="single" w:sz="4" w:space="0" w:color="auto"/>
              <w:left w:val="single" w:sz="4" w:space="0" w:color="auto"/>
              <w:bottom w:val="single" w:sz="4" w:space="0" w:color="auto"/>
              <w:right w:val="single" w:sz="4" w:space="0" w:color="auto"/>
            </w:tcBorders>
            <w:vAlign w:val="center"/>
            <w:hideMark/>
          </w:tcPr>
          <w:p w14:paraId="79E833FA" w14:textId="77777777" w:rsidR="00FE59C8" w:rsidRPr="00545EC0" w:rsidRDefault="00FE59C8" w:rsidP="00B506A9">
            <w:pPr>
              <w:rPr>
                <w:rFonts w:cs="Arial"/>
                <w:sz w:val="18"/>
                <w:szCs w:val="18"/>
                <w:lang w:eastAsia="ja-JP"/>
              </w:rPr>
            </w:pPr>
            <w:r w:rsidRPr="00545EC0">
              <w:rPr>
                <w:rFonts w:cs="Arial"/>
                <w:sz w:val="18"/>
                <w:szCs w:val="18"/>
              </w:rPr>
              <w:t>17</w:t>
            </w:r>
          </w:p>
        </w:tc>
        <w:tc>
          <w:tcPr>
            <w:tcW w:w="1081" w:type="pct"/>
            <w:tcBorders>
              <w:top w:val="single" w:sz="4" w:space="0" w:color="auto"/>
              <w:left w:val="single" w:sz="4" w:space="0" w:color="auto"/>
              <w:bottom w:val="single" w:sz="4" w:space="0" w:color="auto"/>
              <w:right w:val="single" w:sz="4" w:space="0" w:color="auto"/>
            </w:tcBorders>
            <w:vAlign w:val="center"/>
            <w:hideMark/>
          </w:tcPr>
          <w:p w14:paraId="5C1EEEE3" w14:textId="77777777" w:rsidR="00FE59C8" w:rsidRPr="00545EC0" w:rsidRDefault="00FE59C8" w:rsidP="00B506A9">
            <w:pPr>
              <w:rPr>
                <w:rFonts w:cs="Arial"/>
                <w:sz w:val="18"/>
                <w:szCs w:val="18"/>
                <w:lang w:eastAsia="ja-JP"/>
              </w:rPr>
            </w:pPr>
            <w:r w:rsidRPr="00545EC0">
              <w:rPr>
                <w:rFonts w:cs="Arial"/>
                <w:sz w:val="18"/>
                <w:szCs w:val="18"/>
              </w:rPr>
              <w:t>Sava</w:t>
            </w:r>
          </w:p>
        </w:tc>
        <w:tc>
          <w:tcPr>
            <w:tcW w:w="810" w:type="pct"/>
            <w:tcBorders>
              <w:top w:val="single" w:sz="4" w:space="0" w:color="auto"/>
              <w:left w:val="single" w:sz="4" w:space="0" w:color="auto"/>
              <w:bottom w:val="single" w:sz="4" w:space="0" w:color="auto"/>
              <w:right w:val="single" w:sz="4" w:space="0" w:color="auto"/>
            </w:tcBorders>
            <w:vAlign w:val="center"/>
            <w:hideMark/>
          </w:tcPr>
          <w:p w14:paraId="29BF580D" w14:textId="77777777" w:rsidR="00FE59C8" w:rsidRPr="00545EC0" w:rsidRDefault="00FE59C8" w:rsidP="00B506A9">
            <w:pPr>
              <w:rPr>
                <w:rFonts w:cs="Arial"/>
                <w:sz w:val="18"/>
                <w:szCs w:val="18"/>
                <w:lang w:eastAsia="ja-JP"/>
              </w:rPr>
            </w:pPr>
            <w:r w:rsidRPr="00545EC0">
              <w:rPr>
                <w:rFonts w:cs="Arial"/>
                <w:sz w:val="18"/>
                <w:szCs w:val="18"/>
              </w:rPr>
              <w:t>Sava</w:t>
            </w:r>
          </w:p>
        </w:tc>
        <w:tc>
          <w:tcPr>
            <w:tcW w:w="944" w:type="pct"/>
            <w:tcBorders>
              <w:top w:val="single" w:sz="4" w:space="0" w:color="auto"/>
              <w:left w:val="single" w:sz="4" w:space="0" w:color="auto"/>
              <w:bottom w:val="single" w:sz="4" w:space="0" w:color="auto"/>
              <w:right w:val="single" w:sz="4" w:space="0" w:color="auto"/>
            </w:tcBorders>
            <w:vAlign w:val="center"/>
            <w:hideMark/>
          </w:tcPr>
          <w:p w14:paraId="2CA1BF8B" w14:textId="77777777" w:rsidR="00FE59C8" w:rsidRPr="00545EC0" w:rsidRDefault="00FE59C8" w:rsidP="00B506A9">
            <w:pPr>
              <w:jc w:val="center"/>
              <w:rPr>
                <w:rFonts w:cs="Arial"/>
                <w:sz w:val="18"/>
                <w:szCs w:val="18"/>
                <w:lang w:eastAsia="ja-JP"/>
              </w:rPr>
            </w:pPr>
            <w:r w:rsidRPr="00545EC0">
              <w:rPr>
                <w:rFonts w:cs="Arial"/>
                <w:sz w:val="18"/>
                <w:szCs w:val="18"/>
              </w:rPr>
              <w:t>10.688</w:t>
            </w:r>
          </w:p>
        </w:tc>
        <w:tc>
          <w:tcPr>
            <w:tcW w:w="675" w:type="pct"/>
            <w:tcBorders>
              <w:top w:val="single" w:sz="4" w:space="0" w:color="auto"/>
              <w:left w:val="single" w:sz="4" w:space="0" w:color="auto"/>
              <w:bottom w:val="single" w:sz="4" w:space="0" w:color="auto"/>
              <w:right w:val="single" w:sz="4" w:space="0" w:color="auto"/>
            </w:tcBorders>
            <w:vAlign w:val="center"/>
            <w:hideMark/>
          </w:tcPr>
          <w:p w14:paraId="543E02A6" w14:textId="77777777" w:rsidR="00FE59C8" w:rsidRPr="00545EC0" w:rsidRDefault="00FE59C8" w:rsidP="00B506A9">
            <w:pPr>
              <w:jc w:val="center"/>
              <w:rPr>
                <w:rFonts w:cs="Arial"/>
                <w:sz w:val="18"/>
                <w:szCs w:val="18"/>
                <w:lang w:eastAsia="ja-JP"/>
              </w:rPr>
            </w:pPr>
            <w:r w:rsidRPr="00545EC0">
              <w:rPr>
                <w:rFonts w:cs="Arial"/>
                <w:sz w:val="18"/>
                <w:szCs w:val="18"/>
              </w:rPr>
              <w:t>258</w:t>
            </w:r>
          </w:p>
        </w:tc>
        <w:tc>
          <w:tcPr>
            <w:tcW w:w="1024" w:type="pct"/>
            <w:tcBorders>
              <w:top w:val="single" w:sz="4" w:space="0" w:color="auto"/>
              <w:left w:val="single" w:sz="4" w:space="0" w:color="auto"/>
              <w:bottom w:val="single" w:sz="4" w:space="0" w:color="auto"/>
              <w:right w:val="single" w:sz="4" w:space="0" w:color="auto"/>
            </w:tcBorders>
            <w:vAlign w:val="center"/>
            <w:hideMark/>
          </w:tcPr>
          <w:p w14:paraId="69F87B42" w14:textId="77777777" w:rsidR="00FE59C8" w:rsidRPr="00545EC0" w:rsidRDefault="00FE59C8" w:rsidP="00B506A9">
            <w:pPr>
              <w:jc w:val="center"/>
              <w:rPr>
                <w:rFonts w:cs="Arial"/>
                <w:sz w:val="18"/>
                <w:szCs w:val="18"/>
                <w:lang w:eastAsia="ja-JP"/>
              </w:rPr>
            </w:pPr>
            <w:r w:rsidRPr="00545EC0">
              <w:rPr>
                <w:rFonts w:cs="Arial"/>
                <w:sz w:val="18"/>
                <w:szCs w:val="18"/>
              </w:rPr>
              <w:t>Čatež</w:t>
            </w:r>
          </w:p>
        </w:tc>
      </w:tr>
      <w:tr w:rsidR="003122F4" w:rsidRPr="00545EC0" w14:paraId="1BA14E7D" w14:textId="77777777" w:rsidTr="00AE414A">
        <w:trPr>
          <w:cantSplit/>
          <w:trHeight w:val="255"/>
          <w:jc w:val="center"/>
        </w:trPr>
        <w:tc>
          <w:tcPr>
            <w:tcW w:w="466" w:type="pct"/>
            <w:tcBorders>
              <w:top w:val="single" w:sz="4" w:space="0" w:color="auto"/>
              <w:left w:val="single" w:sz="4" w:space="0" w:color="auto"/>
              <w:bottom w:val="single" w:sz="4" w:space="0" w:color="auto"/>
              <w:right w:val="single" w:sz="4" w:space="0" w:color="auto"/>
            </w:tcBorders>
            <w:vAlign w:val="center"/>
            <w:hideMark/>
          </w:tcPr>
          <w:p w14:paraId="44635A8A" w14:textId="77777777" w:rsidR="00FE59C8" w:rsidRPr="00545EC0" w:rsidRDefault="00FE59C8" w:rsidP="00B506A9">
            <w:pPr>
              <w:rPr>
                <w:rFonts w:cs="Arial"/>
                <w:sz w:val="18"/>
                <w:szCs w:val="18"/>
                <w:lang w:eastAsia="ja-JP"/>
              </w:rPr>
            </w:pPr>
            <w:r w:rsidRPr="00545EC0">
              <w:rPr>
                <w:rFonts w:cs="Arial"/>
                <w:sz w:val="18"/>
                <w:szCs w:val="18"/>
              </w:rPr>
              <w:t>18</w:t>
            </w:r>
          </w:p>
        </w:tc>
        <w:tc>
          <w:tcPr>
            <w:tcW w:w="1081" w:type="pct"/>
            <w:tcBorders>
              <w:top w:val="single" w:sz="4" w:space="0" w:color="auto"/>
              <w:left w:val="single" w:sz="4" w:space="0" w:color="auto"/>
              <w:bottom w:val="single" w:sz="4" w:space="0" w:color="auto"/>
              <w:right w:val="single" w:sz="4" w:space="0" w:color="auto"/>
            </w:tcBorders>
            <w:vAlign w:val="center"/>
            <w:hideMark/>
          </w:tcPr>
          <w:p w14:paraId="32952B96" w14:textId="77777777" w:rsidR="00FE59C8" w:rsidRPr="00545EC0" w:rsidRDefault="00FE59C8" w:rsidP="00B506A9">
            <w:pPr>
              <w:rPr>
                <w:rFonts w:cs="Arial"/>
                <w:sz w:val="18"/>
                <w:szCs w:val="18"/>
                <w:lang w:eastAsia="ja-JP"/>
              </w:rPr>
            </w:pPr>
            <w:r w:rsidRPr="00545EC0">
              <w:rPr>
                <w:rFonts w:cs="Arial"/>
                <w:sz w:val="18"/>
                <w:szCs w:val="18"/>
              </w:rPr>
              <w:t>Sava Bohinjka</w:t>
            </w:r>
          </w:p>
        </w:tc>
        <w:tc>
          <w:tcPr>
            <w:tcW w:w="810" w:type="pct"/>
            <w:tcBorders>
              <w:top w:val="single" w:sz="4" w:space="0" w:color="auto"/>
              <w:left w:val="single" w:sz="4" w:space="0" w:color="auto"/>
              <w:bottom w:val="single" w:sz="4" w:space="0" w:color="auto"/>
              <w:right w:val="single" w:sz="4" w:space="0" w:color="auto"/>
            </w:tcBorders>
            <w:vAlign w:val="center"/>
            <w:hideMark/>
          </w:tcPr>
          <w:p w14:paraId="1FB5EFF6" w14:textId="77777777" w:rsidR="00FE59C8" w:rsidRPr="00545EC0" w:rsidRDefault="00FE59C8" w:rsidP="00B506A9">
            <w:pPr>
              <w:rPr>
                <w:rFonts w:cs="Arial"/>
                <w:sz w:val="18"/>
                <w:szCs w:val="18"/>
                <w:lang w:eastAsia="ja-JP"/>
              </w:rPr>
            </w:pPr>
            <w:r w:rsidRPr="00545EC0">
              <w:rPr>
                <w:rFonts w:cs="Arial"/>
                <w:sz w:val="18"/>
                <w:szCs w:val="18"/>
              </w:rPr>
              <w:t>Sava</w:t>
            </w:r>
          </w:p>
        </w:tc>
        <w:tc>
          <w:tcPr>
            <w:tcW w:w="944" w:type="pct"/>
            <w:tcBorders>
              <w:top w:val="single" w:sz="4" w:space="0" w:color="auto"/>
              <w:left w:val="single" w:sz="4" w:space="0" w:color="auto"/>
              <w:bottom w:val="single" w:sz="4" w:space="0" w:color="auto"/>
              <w:right w:val="single" w:sz="4" w:space="0" w:color="auto"/>
            </w:tcBorders>
            <w:vAlign w:val="center"/>
            <w:hideMark/>
          </w:tcPr>
          <w:p w14:paraId="21C37B5F" w14:textId="77777777" w:rsidR="00FE59C8" w:rsidRPr="00545EC0" w:rsidRDefault="00FE59C8" w:rsidP="00B506A9">
            <w:pPr>
              <w:jc w:val="center"/>
              <w:rPr>
                <w:rFonts w:cs="Arial"/>
                <w:sz w:val="18"/>
                <w:szCs w:val="18"/>
                <w:lang w:eastAsia="ja-JP"/>
              </w:rPr>
            </w:pPr>
            <w:r w:rsidRPr="00545EC0">
              <w:rPr>
                <w:rFonts w:cs="Arial"/>
                <w:sz w:val="18"/>
                <w:szCs w:val="18"/>
              </w:rPr>
              <w:t>387</w:t>
            </w:r>
          </w:p>
        </w:tc>
        <w:tc>
          <w:tcPr>
            <w:tcW w:w="675" w:type="pct"/>
            <w:tcBorders>
              <w:top w:val="single" w:sz="4" w:space="0" w:color="auto"/>
              <w:left w:val="single" w:sz="4" w:space="0" w:color="auto"/>
              <w:bottom w:val="single" w:sz="4" w:space="0" w:color="auto"/>
              <w:right w:val="single" w:sz="4" w:space="0" w:color="auto"/>
            </w:tcBorders>
            <w:vAlign w:val="center"/>
            <w:hideMark/>
          </w:tcPr>
          <w:p w14:paraId="6360BE88" w14:textId="77777777" w:rsidR="00FE59C8" w:rsidRPr="00545EC0" w:rsidRDefault="00FE59C8" w:rsidP="00B506A9">
            <w:pPr>
              <w:jc w:val="center"/>
              <w:rPr>
                <w:rFonts w:cs="Arial"/>
                <w:sz w:val="18"/>
                <w:szCs w:val="18"/>
                <w:lang w:eastAsia="ja-JP"/>
              </w:rPr>
            </w:pPr>
            <w:r w:rsidRPr="00545EC0">
              <w:rPr>
                <w:rFonts w:cs="Arial"/>
                <w:sz w:val="18"/>
                <w:szCs w:val="18"/>
              </w:rPr>
              <w:t>7,58</w:t>
            </w:r>
          </w:p>
        </w:tc>
        <w:tc>
          <w:tcPr>
            <w:tcW w:w="1024" w:type="pct"/>
            <w:tcBorders>
              <w:top w:val="single" w:sz="4" w:space="0" w:color="auto"/>
              <w:left w:val="single" w:sz="4" w:space="0" w:color="auto"/>
              <w:bottom w:val="single" w:sz="4" w:space="0" w:color="auto"/>
              <w:right w:val="single" w:sz="4" w:space="0" w:color="auto"/>
            </w:tcBorders>
            <w:vAlign w:val="center"/>
            <w:hideMark/>
          </w:tcPr>
          <w:p w14:paraId="117A4B24" w14:textId="77777777" w:rsidR="00FE59C8" w:rsidRPr="00545EC0" w:rsidRDefault="00FE59C8" w:rsidP="00B506A9">
            <w:pPr>
              <w:jc w:val="center"/>
              <w:rPr>
                <w:rFonts w:cs="Arial"/>
                <w:sz w:val="18"/>
                <w:szCs w:val="18"/>
                <w:lang w:eastAsia="ja-JP"/>
              </w:rPr>
            </w:pPr>
            <w:r w:rsidRPr="00545EC0">
              <w:rPr>
                <w:rFonts w:cs="Arial"/>
                <w:sz w:val="18"/>
                <w:szCs w:val="18"/>
              </w:rPr>
              <w:t>Sveti Janez</w:t>
            </w:r>
          </w:p>
        </w:tc>
      </w:tr>
      <w:tr w:rsidR="003122F4" w:rsidRPr="00545EC0" w14:paraId="72C88038" w14:textId="77777777" w:rsidTr="00AE414A">
        <w:trPr>
          <w:cantSplit/>
          <w:trHeight w:val="255"/>
          <w:jc w:val="center"/>
        </w:trPr>
        <w:tc>
          <w:tcPr>
            <w:tcW w:w="466" w:type="pct"/>
            <w:tcBorders>
              <w:top w:val="single" w:sz="4" w:space="0" w:color="auto"/>
              <w:left w:val="single" w:sz="4" w:space="0" w:color="auto"/>
              <w:bottom w:val="single" w:sz="4" w:space="0" w:color="auto"/>
              <w:right w:val="single" w:sz="4" w:space="0" w:color="auto"/>
            </w:tcBorders>
            <w:vAlign w:val="center"/>
            <w:hideMark/>
          </w:tcPr>
          <w:p w14:paraId="164CE3E9" w14:textId="77777777" w:rsidR="00FE59C8" w:rsidRPr="00545EC0" w:rsidRDefault="00FE59C8" w:rsidP="00B506A9">
            <w:pPr>
              <w:rPr>
                <w:rFonts w:cs="Arial"/>
                <w:sz w:val="18"/>
                <w:szCs w:val="18"/>
                <w:lang w:eastAsia="ja-JP"/>
              </w:rPr>
            </w:pPr>
            <w:r w:rsidRPr="00545EC0">
              <w:rPr>
                <w:rFonts w:cs="Arial"/>
                <w:sz w:val="18"/>
                <w:szCs w:val="18"/>
              </w:rPr>
              <w:t>19</w:t>
            </w:r>
          </w:p>
        </w:tc>
        <w:tc>
          <w:tcPr>
            <w:tcW w:w="1081" w:type="pct"/>
            <w:tcBorders>
              <w:top w:val="single" w:sz="4" w:space="0" w:color="auto"/>
              <w:left w:val="single" w:sz="4" w:space="0" w:color="auto"/>
              <w:bottom w:val="single" w:sz="4" w:space="0" w:color="auto"/>
              <w:right w:val="single" w:sz="4" w:space="0" w:color="auto"/>
            </w:tcBorders>
            <w:vAlign w:val="center"/>
            <w:hideMark/>
          </w:tcPr>
          <w:p w14:paraId="1ED01499" w14:textId="77777777" w:rsidR="00FE59C8" w:rsidRPr="00545EC0" w:rsidRDefault="00FE59C8" w:rsidP="00B506A9">
            <w:pPr>
              <w:rPr>
                <w:rFonts w:cs="Arial"/>
                <w:sz w:val="18"/>
                <w:szCs w:val="18"/>
                <w:lang w:eastAsia="ja-JP"/>
              </w:rPr>
            </w:pPr>
            <w:r w:rsidRPr="00545EC0">
              <w:rPr>
                <w:rFonts w:cs="Arial"/>
                <w:sz w:val="18"/>
                <w:szCs w:val="18"/>
              </w:rPr>
              <w:t>Sava Dolinka</w:t>
            </w:r>
          </w:p>
        </w:tc>
        <w:tc>
          <w:tcPr>
            <w:tcW w:w="810" w:type="pct"/>
            <w:tcBorders>
              <w:top w:val="single" w:sz="4" w:space="0" w:color="auto"/>
              <w:left w:val="single" w:sz="4" w:space="0" w:color="auto"/>
              <w:bottom w:val="single" w:sz="4" w:space="0" w:color="auto"/>
              <w:right w:val="single" w:sz="4" w:space="0" w:color="auto"/>
            </w:tcBorders>
            <w:vAlign w:val="center"/>
            <w:hideMark/>
          </w:tcPr>
          <w:p w14:paraId="2FB2F8D7" w14:textId="77777777" w:rsidR="00FE59C8" w:rsidRPr="00545EC0" w:rsidRDefault="00FE59C8" w:rsidP="00B506A9">
            <w:pPr>
              <w:rPr>
                <w:rFonts w:cs="Arial"/>
                <w:sz w:val="18"/>
                <w:szCs w:val="18"/>
                <w:lang w:eastAsia="ja-JP"/>
              </w:rPr>
            </w:pPr>
            <w:r w:rsidRPr="00545EC0">
              <w:rPr>
                <w:rFonts w:cs="Arial"/>
                <w:sz w:val="18"/>
                <w:szCs w:val="18"/>
              </w:rPr>
              <w:t>Sava</w:t>
            </w:r>
          </w:p>
        </w:tc>
        <w:tc>
          <w:tcPr>
            <w:tcW w:w="944" w:type="pct"/>
            <w:tcBorders>
              <w:top w:val="single" w:sz="4" w:space="0" w:color="auto"/>
              <w:left w:val="single" w:sz="4" w:space="0" w:color="auto"/>
              <w:bottom w:val="single" w:sz="4" w:space="0" w:color="auto"/>
              <w:right w:val="single" w:sz="4" w:space="0" w:color="auto"/>
            </w:tcBorders>
            <w:vAlign w:val="center"/>
            <w:hideMark/>
          </w:tcPr>
          <w:p w14:paraId="00011FFC" w14:textId="77777777" w:rsidR="00FE59C8" w:rsidRPr="00545EC0" w:rsidRDefault="00FE59C8" w:rsidP="00B506A9">
            <w:pPr>
              <w:jc w:val="center"/>
              <w:rPr>
                <w:rFonts w:cs="Arial"/>
                <w:sz w:val="18"/>
                <w:szCs w:val="18"/>
                <w:lang w:eastAsia="ja-JP"/>
              </w:rPr>
            </w:pPr>
            <w:r w:rsidRPr="00545EC0">
              <w:rPr>
                <w:rFonts w:cs="Arial"/>
                <w:sz w:val="18"/>
                <w:szCs w:val="18"/>
              </w:rPr>
              <w:t>518</w:t>
            </w:r>
          </w:p>
        </w:tc>
        <w:tc>
          <w:tcPr>
            <w:tcW w:w="675" w:type="pct"/>
            <w:tcBorders>
              <w:top w:val="single" w:sz="4" w:space="0" w:color="auto"/>
              <w:left w:val="single" w:sz="4" w:space="0" w:color="auto"/>
              <w:bottom w:val="single" w:sz="4" w:space="0" w:color="auto"/>
              <w:right w:val="single" w:sz="4" w:space="0" w:color="auto"/>
            </w:tcBorders>
            <w:vAlign w:val="center"/>
            <w:hideMark/>
          </w:tcPr>
          <w:p w14:paraId="4634ABC9" w14:textId="77777777" w:rsidR="00FE59C8" w:rsidRPr="00545EC0" w:rsidRDefault="00FE59C8" w:rsidP="00B506A9">
            <w:pPr>
              <w:jc w:val="center"/>
              <w:rPr>
                <w:rFonts w:cs="Arial"/>
                <w:sz w:val="18"/>
                <w:szCs w:val="18"/>
                <w:lang w:eastAsia="ja-JP"/>
              </w:rPr>
            </w:pPr>
            <w:r w:rsidRPr="00545EC0">
              <w:rPr>
                <w:rFonts w:cs="Arial"/>
                <w:sz w:val="18"/>
                <w:szCs w:val="18"/>
              </w:rPr>
              <w:t>21,8</w:t>
            </w:r>
          </w:p>
        </w:tc>
        <w:tc>
          <w:tcPr>
            <w:tcW w:w="1024" w:type="pct"/>
            <w:tcBorders>
              <w:top w:val="single" w:sz="4" w:space="0" w:color="auto"/>
              <w:left w:val="single" w:sz="4" w:space="0" w:color="auto"/>
              <w:bottom w:val="single" w:sz="4" w:space="0" w:color="auto"/>
              <w:right w:val="single" w:sz="4" w:space="0" w:color="auto"/>
            </w:tcBorders>
            <w:vAlign w:val="center"/>
            <w:hideMark/>
          </w:tcPr>
          <w:p w14:paraId="6DAF226C" w14:textId="77777777" w:rsidR="00FE59C8" w:rsidRPr="00545EC0" w:rsidRDefault="00FE59C8" w:rsidP="00B506A9">
            <w:pPr>
              <w:jc w:val="center"/>
              <w:rPr>
                <w:rFonts w:cs="Arial"/>
                <w:sz w:val="18"/>
                <w:szCs w:val="18"/>
                <w:lang w:eastAsia="ja-JP"/>
              </w:rPr>
            </w:pPr>
            <w:r w:rsidRPr="00545EC0">
              <w:rPr>
                <w:rFonts w:cs="Arial"/>
                <w:sz w:val="18"/>
                <w:szCs w:val="18"/>
              </w:rPr>
              <w:t>Blejski most</w:t>
            </w:r>
          </w:p>
        </w:tc>
      </w:tr>
      <w:tr w:rsidR="003122F4" w:rsidRPr="00545EC0" w14:paraId="06AB3109" w14:textId="77777777" w:rsidTr="00AE414A">
        <w:trPr>
          <w:cantSplit/>
          <w:trHeight w:val="255"/>
          <w:jc w:val="center"/>
        </w:trPr>
        <w:tc>
          <w:tcPr>
            <w:tcW w:w="466" w:type="pct"/>
            <w:tcBorders>
              <w:top w:val="single" w:sz="4" w:space="0" w:color="auto"/>
              <w:left w:val="single" w:sz="4" w:space="0" w:color="auto"/>
              <w:bottom w:val="single" w:sz="4" w:space="0" w:color="auto"/>
              <w:right w:val="single" w:sz="4" w:space="0" w:color="auto"/>
            </w:tcBorders>
            <w:vAlign w:val="center"/>
            <w:hideMark/>
          </w:tcPr>
          <w:p w14:paraId="10EBCF45" w14:textId="77777777" w:rsidR="00FE59C8" w:rsidRPr="00545EC0" w:rsidRDefault="00FE59C8" w:rsidP="00B506A9">
            <w:pPr>
              <w:rPr>
                <w:rFonts w:cs="Arial"/>
                <w:sz w:val="18"/>
                <w:szCs w:val="18"/>
                <w:lang w:eastAsia="ja-JP"/>
              </w:rPr>
            </w:pPr>
            <w:r w:rsidRPr="00545EC0">
              <w:rPr>
                <w:rFonts w:cs="Arial"/>
                <w:sz w:val="18"/>
                <w:szCs w:val="18"/>
              </w:rPr>
              <w:t>20</w:t>
            </w:r>
          </w:p>
        </w:tc>
        <w:tc>
          <w:tcPr>
            <w:tcW w:w="1081" w:type="pct"/>
            <w:tcBorders>
              <w:top w:val="single" w:sz="4" w:space="0" w:color="auto"/>
              <w:left w:val="single" w:sz="4" w:space="0" w:color="auto"/>
              <w:bottom w:val="single" w:sz="4" w:space="0" w:color="auto"/>
              <w:right w:val="single" w:sz="4" w:space="0" w:color="auto"/>
            </w:tcBorders>
            <w:vAlign w:val="center"/>
            <w:hideMark/>
          </w:tcPr>
          <w:p w14:paraId="417B4556" w14:textId="77777777" w:rsidR="00FE59C8" w:rsidRPr="00545EC0" w:rsidRDefault="00FE59C8" w:rsidP="00B506A9">
            <w:pPr>
              <w:rPr>
                <w:rFonts w:cs="Arial"/>
                <w:sz w:val="18"/>
                <w:szCs w:val="18"/>
                <w:lang w:eastAsia="ja-JP"/>
              </w:rPr>
            </w:pPr>
            <w:r w:rsidRPr="00545EC0">
              <w:rPr>
                <w:rFonts w:cs="Arial"/>
                <w:sz w:val="18"/>
                <w:szCs w:val="18"/>
              </w:rPr>
              <w:t>Savinja</w:t>
            </w:r>
          </w:p>
        </w:tc>
        <w:tc>
          <w:tcPr>
            <w:tcW w:w="810" w:type="pct"/>
            <w:tcBorders>
              <w:top w:val="single" w:sz="4" w:space="0" w:color="auto"/>
              <w:left w:val="single" w:sz="4" w:space="0" w:color="auto"/>
              <w:bottom w:val="single" w:sz="4" w:space="0" w:color="auto"/>
              <w:right w:val="single" w:sz="4" w:space="0" w:color="auto"/>
            </w:tcBorders>
            <w:vAlign w:val="center"/>
            <w:hideMark/>
          </w:tcPr>
          <w:p w14:paraId="311FC1B8" w14:textId="77777777" w:rsidR="00FE59C8" w:rsidRPr="00545EC0" w:rsidRDefault="00FE59C8" w:rsidP="00B506A9">
            <w:pPr>
              <w:rPr>
                <w:rFonts w:cs="Arial"/>
                <w:sz w:val="18"/>
                <w:szCs w:val="18"/>
                <w:lang w:eastAsia="ja-JP"/>
              </w:rPr>
            </w:pPr>
            <w:r w:rsidRPr="00545EC0">
              <w:rPr>
                <w:rFonts w:cs="Arial"/>
                <w:sz w:val="18"/>
                <w:szCs w:val="18"/>
              </w:rPr>
              <w:t>Sava</w:t>
            </w:r>
          </w:p>
        </w:tc>
        <w:tc>
          <w:tcPr>
            <w:tcW w:w="944" w:type="pct"/>
            <w:tcBorders>
              <w:top w:val="single" w:sz="4" w:space="0" w:color="auto"/>
              <w:left w:val="single" w:sz="4" w:space="0" w:color="auto"/>
              <w:bottom w:val="single" w:sz="4" w:space="0" w:color="auto"/>
              <w:right w:val="single" w:sz="4" w:space="0" w:color="auto"/>
            </w:tcBorders>
            <w:vAlign w:val="center"/>
            <w:hideMark/>
          </w:tcPr>
          <w:p w14:paraId="2A5782A4" w14:textId="77777777" w:rsidR="00FE59C8" w:rsidRPr="00545EC0" w:rsidRDefault="00FE59C8" w:rsidP="00B506A9">
            <w:pPr>
              <w:jc w:val="center"/>
              <w:rPr>
                <w:rFonts w:cs="Arial"/>
                <w:sz w:val="18"/>
                <w:szCs w:val="18"/>
                <w:lang w:eastAsia="ja-JP"/>
              </w:rPr>
            </w:pPr>
            <w:r w:rsidRPr="00545EC0">
              <w:rPr>
                <w:rFonts w:cs="Arial"/>
                <w:sz w:val="18"/>
                <w:szCs w:val="18"/>
              </w:rPr>
              <w:t>1.853</w:t>
            </w:r>
          </w:p>
        </w:tc>
        <w:tc>
          <w:tcPr>
            <w:tcW w:w="675" w:type="pct"/>
            <w:tcBorders>
              <w:top w:val="single" w:sz="4" w:space="0" w:color="auto"/>
              <w:left w:val="single" w:sz="4" w:space="0" w:color="auto"/>
              <w:bottom w:val="single" w:sz="4" w:space="0" w:color="auto"/>
              <w:right w:val="single" w:sz="4" w:space="0" w:color="auto"/>
            </w:tcBorders>
            <w:vAlign w:val="center"/>
            <w:hideMark/>
          </w:tcPr>
          <w:p w14:paraId="7A3B9C66" w14:textId="77777777" w:rsidR="00FE59C8" w:rsidRPr="00545EC0" w:rsidRDefault="00FE59C8" w:rsidP="00B506A9">
            <w:pPr>
              <w:jc w:val="center"/>
              <w:rPr>
                <w:rFonts w:cs="Arial"/>
                <w:sz w:val="18"/>
                <w:szCs w:val="18"/>
                <w:lang w:eastAsia="ja-JP"/>
              </w:rPr>
            </w:pPr>
            <w:r w:rsidRPr="00545EC0">
              <w:rPr>
                <w:rFonts w:cs="Arial"/>
                <w:sz w:val="18"/>
                <w:szCs w:val="18"/>
              </w:rPr>
              <w:t>37,8</w:t>
            </w:r>
          </w:p>
        </w:tc>
        <w:tc>
          <w:tcPr>
            <w:tcW w:w="1024" w:type="pct"/>
            <w:tcBorders>
              <w:top w:val="single" w:sz="4" w:space="0" w:color="auto"/>
              <w:left w:val="single" w:sz="4" w:space="0" w:color="auto"/>
              <w:bottom w:val="single" w:sz="4" w:space="0" w:color="auto"/>
              <w:right w:val="single" w:sz="4" w:space="0" w:color="auto"/>
            </w:tcBorders>
            <w:vAlign w:val="center"/>
            <w:hideMark/>
          </w:tcPr>
          <w:p w14:paraId="5BEBF88D" w14:textId="77777777" w:rsidR="00FE59C8" w:rsidRPr="00545EC0" w:rsidRDefault="00FE59C8" w:rsidP="00B506A9">
            <w:pPr>
              <w:jc w:val="center"/>
              <w:rPr>
                <w:rFonts w:cs="Arial"/>
                <w:sz w:val="18"/>
                <w:szCs w:val="18"/>
                <w:lang w:eastAsia="ja-JP"/>
              </w:rPr>
            </w:pPr>
            <w:r w:rsidRPr="00545EC0">
              <w:rPr>
                <w:rFonts w:cs="Arial"/>
                <w:sz w:val="18"/>
                <w:szCs w:val="18"/>
              </w:rPr>
              <w:t>Laško</w:t>
            </w:r>
          </w:p>
        </w:tc>
      </w:tr>
      <w:tr w:rsidR="003122F4" w:rsidRPr="00545EC0" w14:paraId="17F9B655" w14:textId="77777777" w:rsidTr="00AE414A">
        <w:trPr>
          <w:cantSplit/>
          <w:trHeight w:val="255"/>
          <w:jc w:val="center"/>
        </w:trPr>
        <w:tc>
          <w:tcPr>
            <w:tcW w:w="466" w:type="pct"/>
            <w:tcBorders>
              <w:top w:val="single" w:sz="4" w:space="0" w:color="auto"/>
              <w:left w:val="single" w:sz="4" w:space="0" w:color="auto"/>
              <w:bottom w:val="single" w:sz="4" w:space="0" w:color="auto"/>
              <w:right w:val="single" w:sz="4" w:space="0" w:color="auto"/>
            </w:tcBorders>
            <w:vAlign w:val="center"/>
            <w:hideMark/>
          </w:tcPr>
          <w:p w14:paraId="7084EAC0" w14:textId="77777777" w:rsidR="00FE59C8" w:rsidRPr="00545EC0" w:rsidRDefault="00FE59C8" w:rsidP="00B506A9">
            <w:pPr>
              <w:rPr>
                <w:rFonts w:cs="Arial"/>
                <w:sz w:val="18"/>
                <w:szCs w:val="18"/>
                <w:lang w:eastAsia="ja-JP"/>
              </w:rPr>
            </w:pPr>
            <w:r w:rsidRPr="00545EC0">
              <w:rPr>
                <w:rFonts w:cs="Arial"/>
                <w:sz w:val="18"/>
                <w:szCs w:val="18"/>
              </w:rPr>
              <w:t>21</w:t>
            </w:r>
          </w:p>
        </w:tc>
        <w:tc>
          <w:tcPr>
            <w:tcW w:w="1081" w:type="pct"/>
            <w:tcBorders>
              <w:top w:val="single" w:sz="4" w:space="0" w:color="auto"/>
              <w:left w:val="single" w:sz="4" w:space="0" w:color="auto"/>
              <w:bottom w:val="single" w:sz="4" w:space="0" w:color="auto"/>
              <w:right w:val="single" w:sz="4" w:space="0" w:color="auto"/>
            </w:tcBorders>
            <w:vAlign w:val="center"/>
            <w:hideMark/>
          </w:tcPr>
          <w:p w14:paraId="362EC8B4" w14:textId="77777777" w:rsidR="00FE59C8" w:rsidRPr="00545EC0" w:rsidRDefault="00FE59C8" w:rsidP="00B506A9">
            <w:pPr>
              <w:rPr>
                <w:rFonts w:cs="Arial"/>
                <w:sz w:val="18"/>
                <w:szCs w:val="18"/>
                <w:lang w:eastAsia="ja-JP"/>
              </w:rPr>
            </w:pPr>
            <w:r w:rsidRPr="00545EC0">
              <w:rPr>
                <w:rFonts w:cs="Arial"/>
                <w:sz w:val="18"/>
                <w:szCs w:val="18"/>
              </w:rPr>
              <w:t>Selška Sora</w:t>
            </w:r>
          </w:p>
        </w:tc>
        <w:tc>
          <w:tcPr>
            <w:tcW w:w="810" w:type="pct"/>
            <w:tcBorders>
              <w:top w:val="single" w:sz="4" w:space="0" w:color="auto"/>
              <w:left w:val="single" w:sz="4" w:space="0" w:color="auto"/>
              <w:bottom w:val="single" w:sz="4" w:space="0" w:color="auto"/>
              <w:right w:val="single" w:sz="4" w:space="0" w:color="auto"/>
            </w:tcBorders>
            <w:vAlign w:val="center"/>
            <w:hideMark/>
          </w:tcPr>
          <w:p w14:paraId="3BD66C18" w14:textId="77777777" w:rsidR="00FE59C8" w:rsidRPr="00545EC0" w:rsidRDefault="00FE59C8" w:rsidP="00B506A9">
            <w:pPr>
              <w:rPr>
                <w:rFonts w:cs="Arial"/>
                <w:sz w:val="18"/>
                <w:szCs w:val="18"/>
                <w:lang w:eastAsia="ja-JP"/>
              </w:rPr>
            </w:pPr>
            <w:r w:rsidRPr="00545EC0">
              <w:rPr>
                <w:rFonts w:cs="Arial"/>
                <w:sz w:val="18"/>
                <w:szCs w:val="18"/>
              </w:rPr>
              <w:t>Sava</w:t>
            </w:r>
          </w:p>
        </w:tc>
        <w:tc>
          <w:tcPr>
            <w:tcW w:w="944" w:type="pct"/>
            <w:tcBorders>
              <w:top w:val="single" w:sz="4" w:space="0" w:color="auto"/>
              <w:left w:val="single" w:sz="4" w:space="0" w:color="auto"/>
              <w:bottom w:val="single" w:sz="4" w:space="0" w:color="auto"/>
              <w:right w:val="single" w:sz="4" w:space="0" w:color="auto"/>
            </w:tcBorders>
            <w:vAlign w:val="center"/>
            <w:hideMark/>
          </w:tcPr>
          <w:p w14:paraId="2BFDB23B" w14:textId="77777777" w:rsidR="00FE59C8" w:rsidRPr="00545EC0" w:rsidRDefault="00FE59C8" w:rsidP="00B506A9">
            <w:pPr>
              <w:jc w:val="center"/>
              <w:rPr>
                <w:rFonts w:cs="Arial"/>
                <w:sz w:val="18"/>
                <w:szCs w:val="18"/>
                <w:lang w:eastAsia="ja-JP"/>
              </w:rPr>
            </w:pPr>
            <w:r w:rsidRPr="00545EC0">
              <w:rPr>
                <w:rFonts w:cs="Arial"/>
                <w:sz w:val="18"/>
                <w:szCs w:val="18"/>
              </w:rPr>
              <w:t>224</w:t>
            </w:r>
          </w:p>
        </w:tc>
        <w:tc>
          <w:tcPr>
            <w:tcW w:w="675" w:type="pct"/>
            <w:tcBorders>
              <w:top w:val="single" w:sz="4" w:space="0" w:color="auto"/>
              <w:left w:val="single" w:sz="4" w:space="0" w:color="auto"/>
              <w:bottom w:val="single" w:sz="4" w:space="0" w:color="auto"/>
              <w:right w:val="single" w:sz="4" w:space="0" w:color="auto"/>
            </w:tcBorders>
            <w:vAlign w:val="center"/>
            <w:hideMark/>
          </w:tcPr>
          <w:p w14:paraId="3EAB4F49" w14:textId="77777777" w:rsidR="00FE59C8" w:rsidRPr="00545EC0" w:rsidRDefault="00FE59C8" w:rsidP="00B506A9">
            <w:pPr>
              <w:jc w:val="center"/>
              <w:rPr>
                <w:rFonts w:cs="Arial"/>
                <w:sz w:val="18"/>
                <w:szCs w:val="18"/>
                <w:lang w:eastAsia="ja-JP"/>
              </w:rPr>
            </w:pPr>
            <w:r w:rsidRPr="00545EC0">
              <w:rPr>
                <w:rFonts w:cs="Arial"/>
                <w:sz w:val="18"/>
                <w:szCs w:val="18"/>
              </w:rPr>
              <w:t>7,06*</w:t>
            </w:r>
          </w:p>
        </w:tc>
        <w:tc>
          <w:tcPr>
            <w:tcW w:w="1024" w:type="pct"/>
            <w:tcBorders>
              <w:top w:val="single" w:sz="4" w:space="0" w:color="auto"/>
              <w:left w:val="single" w:sz="4" w:space="0" w:color="auto"/>
              <w:bottom w:val="single" w:sz="4" w:space="0" w:color="auto"/>
              <w:right w:val="single" w:sz="4" w:space="0" w:color="auto"/>
            </w:tcBorders>
            <w:vAlign w:val="center"/>
            <w:hideMark/>
          </w:tcPr>
          <w:p w14:paraId="4D0D72CB" w14:textId="77777777" w:rsidR="00FE59C8" w:rsidRPr="00545EC0" w:rsidRDefault="00FE59C8" w:rsidP="00B506A9">
            <w:pPr>
              <w:jc w:val="center"/>
              <w:rPr>
                <w:rFonts w:cs="Arial"/>
                <w:sz w:val="18"/>
                <w:szCs w:val="18"/>
                <w:lang w:eastAsia="ja-JP"/>
              </w:rPr>
            </w:pPr>
            <w:r w:rsidRPr="00545EC0">
              <w:rPr>
                <w:rFonts w:cs="Arial"/>
                <w:sz w:val="18"/>
                <w:szCs w:val="18"/>
              </w:rPr>
              <w:t>Vešter</w:t>
            </w:r>
          </w:p>
        </w:tc>
      </w:tr>
      <w:tr w:rsidR="003122F4" w:rsidRPr="00545EC0" w14:paraId="131DA9CB" w14:textId="77777777" w:rsidTr="00AE414A">
        <w:trPr>
          <w:cantSplit/>
          <w:trHeight w:val="255"/>
          <w:jc w:val="center"/>
        </w:trPr>
        <w:tc>
          <w:tcPr>
            <w:tcW w:w="466" w:type="pct"/>
            <w:tcBorders>
              <w:top w:val="single" w:sz="4" w:space="0" w:color="auto"/>
              <w:left w:val="single" w:sz="4" w:space="0" w:color="auto"/>
              <w:bottom w:val="single" w:sz="4" w:space="0" w:color="auto"/>
              <w:right w:val="single" w:sz="4" w:space="0" w:color="auto"/>
            </w:tcBorders>
            <w:vAlign w:val="center"/>
            <w:hideMark/>
          </w:tcPr>
          <w:p w14:paraId="61D49386" w14:textId="77777777" w:rsidR="00FE59C8" w:rsidRPr="00545EC0" w:rsidRDefault="00FE59C8" w:rsidP="00B506A9">
            <w:pPr>
              <w:rPr>
                <w:rFonts w:cs="Arial"/>
                <w:sz w:val="18"/>
                <w:szCs w:val="18"/>
                <w:lang w:eastAsia="ja-JP"/>
              </w:rPr>
            </w:pPr>
            <w:r w:rsidRPr="00545EC0">
              <w:rPr>
                <w:rFonts w:cs="Arial"/>
                <w:sz w:val="18"/>
                <w:szCs w:val="18"/>
              </w:rPr>
              <w:t>22</w:t>
            </w:r>
          </w:p>
        </w:tc>
        <w:tc>
          <w:tcPr>
            <w:tcW w:w="1081" w:type="pct"/>
            <w:tcBorders>
              <w:top w:val="single" w:sz="4" w:space="0" w:color="auto"/>
              <w:left w:val="single" w:sz="4" w:space="0" w:color="auto"/>
              <w:bottom w:val="single" w:sz="4" w:space="0" w:color="auto"/>
              <w:right w:val="single" w:sz="4" w:space="0" w:color="auto"/>
            </w:tcBorders>
            <w:vAlign w:val="center"/>
            <w:hideMark/>
          </w:tcPr>
          <w:p w14:paraId="332C61CF" w14:textId="77777777" w:rsidR="00FE59C8" w:rsidRPr="00545EC0" w:rsidRDefault="00FE59C8" w:rsidP="00B506A9">
            <w:pPr>
              <w:rPr>
                <w:rFonts w:cs="Arial"/>
                <w:sz w:val="18"/>
                <w:szCs w:val="18"/>
                <w:lang w:eastAsia="ja-JP"/>
              </w:rPr>
            </w:pPr>
            <w:r w:rsidRPr="00545EC0">
              <w:rPr>
                <w:rFonts w:cs="Arial"/>
                <w:sz w:val="18"/>
                <w:szCs w:val="18"/>
              </w:rPr>
              <w:t>Sora</w:t>
            </w:r>
          </w:p>
        </w:tc>
        <w:tc>
          <w:tcPr>
            <w:tcW w:w="810" w:type="pct"/>
            <w:tcBorders>
              <w:top w:val="single" w:sz="4" w:space="0" w:color="auto"/>
              <w:left w:val="single" w:sz="4" w:space="0" w:color="auto"/>
              <w:bottom w:val="single" w:sz="4" w:space="0" w:color="auto"/>
              <w:right w:val="single" w:sz="4" w:space="0" w:color="auto"/>
            </w:tcBorders>
            <w:vAlign w:val="center"/>
            <w:hideMark/>
          </w:tcPr>
          <w:p w14:paraId="48B10BC7" w14:textId="77777777" w:rsidR="00FE59C8" w:rsidRPr="00545EC0" w:rsidRDefault="00FE59C8" w:rsidP="00B506A9">
            <w:pPr>
              <w:rPr>
                <w:rFonts w:cs="Arial"/>
                <w:sz w:val="18"/>
                <w:szCs w:val="18"/>
                <w:lang w:eastAsia="ja-JP"/>
              </w:rPr>
            </w:pPr>
            <w:r w:rsidRPr="00545EC0">
              <w:rPr>
                <w:rFonts w:cs="Arial"/>
                <w:sz w:val="18"/>
                <w:szCs w:val="18"/>
              </w:rPr>
              <w:t>Sava</w:t>
            </w:r>
          </w:p>
        </w:tc>
        <w:tc>
          <w:tcPr>
            <w:tcW w:w="944" w:type="pct"/>
            <w:tcBorders>
              <w:top w:val="single" w:sz="4" w:space="0" w:color="auto"/>
              <w:left w:val="single" w:sz="4" w:space="0" w:color="auto"/>
              <w:bottom w:val="single" w:sz="4" w:space="0" w:color="auto"/>
              <w:right w:val="single" w:sz="4" w:space="0" w:color="auto"/>
            </w:tcBorders>
            <w:vAlign w:val="center"/>
            <w:hideMark/>
          </w:tcPr>
          <w:p w14:paraId="4B1DB95E" w14:textId="77777777" w:rsidR="00FE59C8" w:rsidRPr="00545EC0" w:rsidRDefault="00FE59C8" w:rsidP="00B506A9">
            <w:pPr>
              <w:jc w:val="center"/>
              <w:rPr>
                <w:rFonts w:cs="Arial"/>
                <w:sz w:val="18"/>
                <w:szCs w:val="18"/>
                <w:lang w:eastAsia="ja-JP"/>
              </w:rPr>
            </w:pPr>
            <w:r w:rsidRPr="00545EC0">
              <w:rPr>
                <w:rFonts w:cs="Arial"/>
                <w:sz w:val="18"/>
                <w:szCs w:val="18"/>
              </w:rPr>
              <w:t>651</w:t>
            </w:r>
          </w:p>
        </w:tc>
        <w:tc>
          <w:tcPr>
            <w:tcW w:w="675" w:type="pct"/>
            <w:tcBorders>
              <w:top w:val="single" w:sz="4" w:space="0" w:color="auto"/>
              <w:left w:val="single" w:sz="4" w:space="0" w:color="auto"/>
              <w:bottom w:val="single" w:sz="4" w:space="0" w:color="auto"/>
              <w:right w:val="single" w:sz="4" w:space="0" w:color="auto"/>
            </w:tcBorders>
            <w:vAlign w:val="center"/>
            <w:hideMark/>
          </w:tcPr>
          <w:p w14:paraId="4E5D3073" w14:textId="77777777" w:rsidR="00FE59C8" w:rsidRPr="00545EC0" w:rsidRDefault="00FE59C8" w:rsidP="00B506A9">
            <w:pPr>
              <w:jc w:val="center"/>
              <w:rPr>
                <w:rFonts w:cs="Arial"/>
                <w:sz w:val="18"/>
                <w:szCs w:val="18"/>
                <w:lang w:eastAsia="ja-JP"/>
              </w:rPr>
            </w:pPr>
            <w:r w:rsidRPr="00545EC0">
              <w:rPr>
                <w:rFonts w:cs="Arial"/>
                <w:sz w:val="18"/>
                <w:szCs w:val="18"/>
              </w:rPr>
              <w:t>18,3</w:t>
            </w:r>
          </w:p>
        </w:tc>
        <w:tc>
          <w:tcPr>
            <w:tcW w:w="1024" w:type="pct"/>
            <w:tcBorders>
              <w:top w:val="single" w:sz="4" w:space="0" w:color="auto"/>
              <w:left w:val="single" w:sz="4" w:space="0" w:color="auto"/>
              <w:bottom w:val="single" w:sz="4" w:space="0" w:color="auto"/>
              <w:right w:val="single" w:sz="4" w:space="0" w:color="auto"/>
            </w:tcBorders>
            <w:vAlign w:val="center"/>
            <w:hideMark/>
          </w:tcPr>
          <w:p w14:paraId="68189BCB" w14:textId="77777777" w:rsidR="00FE59C8" w:rsidRPr="00545EC0" w:rsidRDefault="00FE59C8" w:rsidP="00B506A9">
            <w:pPr>
              <w:jc w:val="center"/>
              <w:rPr>
                <w:rFonts w:cs="Arial"/>
                <w:sz w:val="18"/>
                <w:szCs w:val="18"/>
                <w:lang w:eastAsia="ja-JP"/>
              </w:rPr>
            </w:pPr>
            <w:r w:rsidRPr="00545EC0">
              <w:rPr>
                <w:rFonts w:cs="Arial"/>
                <w:sz w:val="18"/>
                <w:szCs w:val="18"/>
              </w:rPr>
              <w:t>Suha</w:t>
            </w:r>
          </w:p>
        </w:tc>
      </w:tr>
      <w:tr w:rsidR="003122F4" w:rsidRPr="00545EC0" w14:paraId="578BD0F3" w14:textId="77777777" w:rsidTr="00AE414A">
        <w:trPr>
          <w:cantSplit/>
          <w:trHeight w:val="255"/>
          <w:jc w:val="center"/>
        </w:trPr>
        <w:tc>
          <w:tcPr>
            <w:tcW w:w="466" w:type="pct"/>
            <w:tcBorders>
              <w:top w:val="single" w:sz="4" w:space="0" w:color="auto"/>
              <w:left w:val="single" w:sz="4" w:space="0" w:color="auto"/>
              <w:bottom w:val="single" w:sz="4" w:space="0" w:color="auto"/>
              <w:right w:val="single" w:sz="4" w:space="0" w:color="auto"/>
            </w:tcBorders>
            <w:vAlign w:val="center"/>
            <w:hideMark/>
          </w:tcPr>
          <w:p w14:paraId="74078B90" w14:textId="77777777" w:rsidR="00FE59C8" w:rsidRPr="00545EC0" w:rsidRDefault="00FE59C8" w:rsidP="00B506A9">
            <w:pPr>
              <w:rPr>
                <w:rFonts w:cs="Arial"/>
                <w:sz w:val="18"/>
                <w:szCs w:val="18"/>
                <w:lang w:eastAsia="ja-JP"/>
              </w:rPr>
            </w:pPr>
            <w:r w:rsidRPr="00545EC0">
              <w:rPr>
                <w:rFonts w:cs="Arial"/>
                <w:sz w:val="18"/>
                <w:szCs w:val="18"/>
              </w:rPr>
              <w:t>23</w:t>
            </w:r>
          </w:p>
        </w:tc>
        <w:tc>
          <w:tcPr>
            <w:tcW w:w="1081" w:type="pct"/>
            <w:tcBorders>
              <w:top w:val="single" w:sz="4" w:space="0" w:color="auto"/>
              <w:left w:val="single" w:sz="4" w:space="0" w:color="auto"/>
              <w:bottom w:val="single" w:sz="4" w:space="0" w:color="auto"/>
              <w:right w:val="single" w:sz="4" w:space="0" w:color="auto"/>
            </w:tcBorders>
            <w:vAlign w:val="center"/>
            <w:hideMark/>
          </w:tcPr>
          <w:p w14:paraId="608203B4" w14:textId="77777777" w:rsidR="00FE59C8" w:rsidRPr="00545EC0" w:rsidRDefault="00FE59C8" w:rsidP="00B506A9">
            <w:pPr>
              <w:rPr>
                <w:rFonts w:cs="Arial"/>
                <w:sz w:val="18"/>
                <w:szCs w:val="18"/>
                <w:lang w:eastAsia="ja-JP"/>
              </w:rPr>
            </w:pPr>
            <w:r w:rsidRPr="00545EC0">
              <w:rPr>
                <w:rFonts w:cs="Arial"/>
                <w:sz w:val="18"/>
                <w:szCs w:val="18"/>
              </w:rPr>
              <w:t>Sotla</w:t>
            </w:r>
          </w:p>
        </w:tc>
        <w:tc>
          <w:tcPr>
            <w:tcW w:w="810" w:type="pct"/>
            <w:tcBorders>
              <w:top w:val="single" w:sz="4" w:space="0" w:color="auto"/>
              <w:left w:val="single" w:sz="4" w:space="0" w:color="auto"/>
              <w:bottom w:val="single" w:sz="4" w:space="0" w:color="auto"/>
              <w:right w:val="single" w:sz="4" w:space="0" w:color="auto"/>
            </w:tcBorders>
            <w:vAlign w:val="center"/>
            <w:hideMark/>
          </w:tcPr>
          <w:p w14:paraId="76D4FBE9" w14:textId="77777777" w:rsidR="00FE59C8" w:rsidRPr="00545EC0" w:rsidRDefault="00FE59C8" w:rsidP="00B506A9">
            <w:pPr>
              <w:rPr>
                <w:rFonts w:cs="Arial"/>
                <w:sz w:val="18"/>
                <w:szCs w:val="18"/>
                <w:lang w:eastAsia="ja-JP"/>
              </w:rPr>
            </w:pPr>
            <w:r w:rsidRPr="00545EC0">
              <w:rPr>
                <w:rFonts w:cs="Arial"/>
                <w:sz w:val="18"/>
                <w:szCs w:val="18"/>
              </w:rPr>
              <w:t>Sava</w:t>
            </w:r>
          </w:p>
        </w:tc>
        <w:tc>
          <w:tcPr>
            <w:tcW w:w="944" w:type="pct"/>
            <w:tcBorders>
              <w:top w:val="single" w:sz="4" w:space="0" w:color="auto"/>
              <w:left w:val="single" w:sz="4" w:space="0" w:color="auto"/>
              <w:bottom w:val="single" w:sz="4" w:space="0" w:color="auto"/>
              <w:right w:val="single" w:sz="4" w:space="0" w:color="auto"/>
            </w:tcBorders>
            <w:vAlign w:val="center"/>
            <w:hideMark/>
          </w:tcPr>
          <w:p w14:paraId="63D10C95" w14:textId="77777777" w:rsidR="00FE59C8" w:rsidRPr="00545EC0" w:rsidRDefault="00FE59C8" w:rsidP="00B506A9">
            <w:pPr>
              <w:jc w:val="center"/>
              <w:rPr>
                <w:rFonts w:cs="Arial"/>
                <w:sz w:val="18"/>
                <w:szCs w:val="18"/>
                <w:lang w:eastAsia="ja-JP"/>
              </w:rPr>
            </w:pPr>
            <w:r w:rsidRPr="00545EC0">
              <w:rPr>
                <w:rFonts w:cs="Arial"/>
                <w:sz w:val="18"/>
                <w:szCs w:val="18"/>
              </w:rPr>
              <w:t>451</w:t>
            </w:r>
          </w:p>
        </w:tc>
        <w:tc>
          <w:tcPr>
            <w:tcW w:w="675" w:type="pct"/>
            <w:tcBorders>
              <w:top w:val="single" w:sz="4" w:space="0" w:color="auto"/>
              <w:left w:val="single" w:sz="4" w:space="0" w:color="auto"/>
              <w:bottom w:val="single" w:sz="4" w:space="0" w:color="auto"/>
              <w:right w:val="single" w:sz="4" w:space="0" w:color="auto"/>
            </w:tcBorders>
            <w:vAlign w:val="center"/>
            <w:hideMark/>
          </w:tcPr>
          <w:p w14:paraId="65DCA264" w14:textId="77777777" w:rsidR="00FE59C8" w:rsidRPr="00545EC0" w:rsidRDefault="00FE59C8" w:rsidP="00B506A9">
            <w:pPr>
              <w:jc w:val="center"/>
              <w:rPr>
                <w:rFonts w:cs="Arial"/>
                <w:sz w:val="18"/>
                <w:szCs w:val="18"/>
                <w:lang w:eastAsia="ja-JP"/>
              </w:rPr>
            </w:pPr>
            <w:r w:rsidRPr="00545EC0">
              <w:rPr>
                <w:rFonts w:cs="Arial"/>
                <w:sz w:val="18"/>
                <w:szCs w:val="18"/>
              </w:rPr>
              <w:t>8,52</w:t>
            </w:r>
          </w:p>
        </w:tc>
        <w:tc>
          <w:tcPr>
            <w:tcW w:w="1024" w:type="pct"/>
            <w:tcBorders>
              <w:top w:val="single" w:sz="4" w:space="0" w:color="auto"/>
              <w:left w:val="single" w:sz="4" w:space="0" w:color="auto"/>
              <w:bottom w:val="single" w:sz="4" w:space="0" w:color="auto"/>
              <w:right w:val="single" w:sz="4" w:space="0" w:color="auto"/>
            </w:tcBorders>
            <w:vAlign w:val="center"/>
            <w:hideMark/>
          </w:tcPr>
          <w:p w14:paraId="5C4ED69B" w14:textId="77777777" w:rsidR="00FE59C8" w:rsidRPr="00545EC0" w:rsidRDefault="00FE59C8" w:rsidP="00B506A9">
            <w:pPr>
              <w:jc w:val="center"/>
              <w:rPr>
                <w:rFonts w:cs="Arial"/>
                <w:sz w:val="18"/>
                <w:szCs w:val="18"/>
                <w:lang w:eastAsia="ja-JP"/>
              </w:rPr>
            </w:pPr>
            <w:r w:rsidRPr="00545EC0">
              <w:rPr>
                <w:rFonts w:cs="Arial"/>
                <w:sz w:val="18"/>
                <w:szCs w:val="18"/>
              </w:rPr>
              <w:t>Rakovec</w:t>
            </w:r>
          </w:p>
        </w:tc>
      </w:tr>
      <w:tr w:rsidR="003122F4" w:rsidRPr="00545EC0" w14:paraId="264755C1" w14:textId="77777777" w:rsidTr="00AE414A">
        <w:trPr>
          <w:cantSplit/>
          <w:trHeight w:val="255"/>
          <w:jc w:val="center"/>
        </w:trPr>
        <w:tc>
          <w:tcPr>
            <w:tcW w:w="466" w:type="pct"/>
            <w:tcBorders>
              <w:top w:val="single" w:sz="4" w:space="0" w:color="auto"/>
              <w:left w:val="single" w:sz="4" w:space="0" w:color="auto"/>
              <w:bottom w:val="single" w:sz="4" w:space="0" w:color="auto"/>
              <w:right w:val="single" w:sz="4" w:space="0" w:color="auto"/>
            </w:tcBorders>
            <w:vAlign w:val="center"/>
            <w:hideMark/>
          </w:tcPr>
          <w:p w14:paraId="29DBCF8C" w14:textId="77777777" w:rsidR="00FE59C8" w:rsidRPr="00545EC0" w:rsidRDefault="00FE59C8" w:rsidP="00B506A9">
            <w:pPr>
              <w:rPr>
                <w:rFonts w:cs="Arial"/>
                <w:sz w:val="18"/>
                <w:szCs w:val="18"/>
                <w:lang w:eastAsia="ja-JP"/>
              </w:rPr>
            </w:pPr>
            <w:r w:rsidRPr="00545EC0">
              <w:rPr>
                <w:rFonts w:cs="Arial"/>
                <w:sz w:val="18"/>
                <w:szCs w:val="18"/>
              </w:rPr>
              <w:t>24</w:t>
            </w:r>
          </w:p>
        </w:tc>
        <w:tc>
          <w:tcPr>
            <w:tcW w:w="1081" w:type="pct"/>
            <w:tcBorders>
              <w:top w:val="single" w:sz="4" w:space="0" w:color="auto"/>
              <w:left w:val="single" w:sz="4" w:space="0" w:color="auto"/>
              <w:bottom w:val="single" w:sz="4" w:space="0" w:color="auto"/>
              <w:right w:val="single" w:sz="4" w:space="0" w:color="auto"/>
            </w:tcBorders>
            <w:vAlign w:val="center"/>
            <w:hideMark/>
          </w:tcPr>
          <w:p w14:paraId="70B5FC75" w14:textId="77777777" w:rsidR="00FE59C8" w:rsidRPr="00545EC0" w:rsidRDefault="00FE59C8" w:rsidP="00B506A9">
            <w:pPr>
              <w:rPr>
                <w:rFonts w:cs="Arial"/>
                <w:sz w:val="18"/>
                <w:szCs w:val="18"/>
                <w:lang w:eastAsia="ja-JP"/>
              </w:rPr>
            </w:pPr>
            <w:r w:rsidRPr="00545EC0">
              <w:rPr>
                <w:rFonts w:cs="Arial"/>
                <w:sz w:val="18"/>
                <w:szCs w:val="18"/>
              </w:rPr>
              <w:t>Tržiška Bistrica</w:t>
            </w:r>
          </w:p>
        </w:tc>
        <w:tc>
          <w:tcPr>
            <w:tcW w:w="810" w:type="pct"/>
            <w:tcBorders>
              <w:top w:val="single" w:sz="4" w:space="0" w:color="auto"/>
              <w:left w:val="single" w:sz="4" w:space="0" w:color="auto"/>
              <w:bottom w:val="single" w:sz="4" w:space="0" w:color="auto"/>
              <w:right w:val="single" w:sz="4" w:space="0" w:color="auto"/>
            </w:tcBorders>
            <w:vAlign w:val="center"/>
            <w:hideMark/>
          </w:tcPr>
          <w:p w14:paraId="10A3031A" w14:textId="77777777" w:rsidR="00FE59C8" w:rsidRPr="00545EC0" w:rsidRDefault="00FE59C8" w:rsidP="00B506A9">
            <w:pPr>
              <w:rPr>
                <w:rFonts w:cs="Arial"/>
                <w:sz w:val="18"/>
                <w:szCs w:val="18"/>
                <w:lang w:eastAsia="ja-JP"/>
              </w:rPr>
            </w:pPr>
            <w:r w:rsidRPr="00545EC0">
              <w:rPr>
                <w:rFonts w:cs="Arial"/>
                <w:sz w:val="18"/>
                <w:szCs w:val="18"/>
              </w:rPr>
              <w:t>Sava</w:t>
            </w:r>
          </w:p>
        </w:tc>
        <w:tc>
          <w:tcPr>
            <w:tcW w:w="944" w:type="pct"/>
            <w:tcBorders>
              <w:top w:val="single" w:sz="4" w:space="0" w:color="auto"/>
              <w:left w:val="single" w:sz="4" w:space="0" w:color="auto"/>
              <w:bottom w:val="single" w:sz="4" w:space="0" w:color="auto"/>
              <w:right w:val="single" w:sz="4" w:space="0" w:color="auto"/>
            </w:tcBorders>
            <w:vAlign w:val="center"/>
            <w:hideMark/>
          </w:tcPr>
          <w:p w14:paraId="58BAB3D1" w14:textId="77777777" w:rsidR="00FE59C8" w:rsidRPr="00545EC0" w:rsidRDefault="00FE59C8" w:rsidP="00B506A9">
            <w:pPr>
              <w:jc w:val="center"/>
              <w:rPr>
                <w:rFonts w:cs="Arial"/>
                <w:sz w:val="18"/>
                <w:szCs w:val="18"/>
                <w:lang w:eastAsia="ja-JP"/>
              </w:rPr>
            </w:pPr>
            <w:r w:rsidRPr="00545EC0">
              <w:rPr>
                <w:rFonts w:cs="Arial"/>
                <w:sz w:val="18"/>
                <w:szCs w:val="18"/>
              </w:rPr>
              <w:t>146</w:t>
            </w:r>
          </w:p>
        </w:tc>
        <w:tc>
          <w:tcPr>
            <w:tcW w:w="675" w:type="pct"/>
            <w:tcBorders>
              <w:top w:val="single" w:sz="4" w:space="0" w:color="auto"/>
              <w:left w:val="single" w:sz="4" w:space="0" w:color="auto"/>
              <w:bottom w:val="single" w:sz="4" w:space="0" w:color="auto"/>
              <w:right w:val="single" w:sz="4" w:space="0" w:color="auto"/>
            </w:tcBorders>
            <w:vAlign w:val="center"/>
            <w:hideMark/>
          </w:tcPr>
          <w:p w14:paraId="0D913BAF" w14:textId="77777777" w:rsidR="00FE59C8" w:rsidRPr="00545EC0" w:rsidRDefault="00FE59C8" w:rsidP="00B506A9">
            <w:pPr>
              <w:jc w:val="center"/>
              <w:rPr>
                <w:rFonts w:cs="Arial"/>
                <w:sz w:val="18"/>
                <w:szCs w:val="18"/>
                <w:lang w:eastAsia="ja-JP"/>
              </w:rPr>
            </w:pPr>
            <w:r w:rsidRPr="00545EC0">
              <w:rPr>
                <w:rFonts w:cs="Arial"/>
                <w:sz w:val="18"/>
                <w:szCs w:val="18"/>
              </w:rPr>
              <w:t>4,83</w:t>
            </w:r>
          </w:p>
        </w:tc>
        <w:tc>
          <w:tcPr>
            <w:tcW w:w="1024" w:type="pct"/>
            <w:tcBorders>
              <w:top w:val="single" w:sz="4" w:space="0" w:color="auto"/>
              <w:left w:val="single" w:sz="4" w:space="0" w:color="auto"/>
              <w:bottom w:val="single" w:sz="4" w:space="0" w:color="auto"/>
              <w:right w:val="single" w:sz="4" w:space="0" w:color="auto"/>
            </w:tcBorders>
            <w:vAlign w:val="center"/>
            <w:hideMark/>
          </w:tcPr>
          <w:p w14:paraId="17AB6B7D" w14:textId="77777777" w:rsidR="00FE59C8" w:rsidRPr="00545EC0" w:rsidRDefault="00FE59C8" w:rsidP="00B506A9">
            <w:pPr>
              <w:jc w:val="center"/>
              <w:rPr>
                <w:rFonts w:cs="Arial"/>
                <w:sz w:val="18"/>
                <w:szCs w:val="18"/>
                <w:lang w:eastAsia="ja-JP"/>
              </w:rPr>
            </w:pPr>
            <w:r w:rsidRPr="00545EC0">
              <w:rPr>
                <w:rFonts w:cs="Arial"/>
                <w:sz w:val="18"/>
                <w:szCs w:val="18"/>
              </w:rPr>
              <w:t>Preska</w:t>
            </w:r>
          </w:p>
        </w:tc>
      </w:tr>
    </w:tbl>
    <w:p w14:paraId="04D7D9F5" w14:textId="6C4FC9DF" w:rsidR="006E0548" w:rsidRPr="00545EC0" w:rsidRDefault="006E0548" w:rsidP="00FE59C8">
      <w:pPr>
        <w:rPr>
          <w:rFonts w:cs="Arial"/>
          <w:i/>
          <w:sz w:val="18"/>
          <w:szCs w:val="18"/>
        </w:rPr>
      </w:pPr>
      <w:r w:rsidRPr="00545EC0">
        <w:rPr>
          <w:rFonts w:cs="Arial"/>
          <w:i/>
          <w:sz w:val="18"/>
          <w:szCs w:val="18"/>
        </w:rPr>
        <w:t>*meritev na postaji Vešter je potekala samo med letoma 1989 in 2010</w:t>
      </w:r>
    </w:p>
    <w:p w14:paraId="19B1A18F" w14:textId="77777777" w:rsidR="00FE59C8" w:rsidRPr="00545EC0" w:rsidRDefault="00FE59C8" w:rsidP="00FE59C8">
      <w:pPr>
        <w:rPr>
          <w:rFonts w:cs="Arial"/>
          <w:i/>
          <w:sz w:val="18"/>
          <w:szCs w:val="18"/>
          <w:lang w:eastAsia="ja-JP"/>
        </w:rPr>
      </w:pPr>
      <w:r w:rsidRPr="00545EC0">
        <w:rPr>
          <w:rFonts w:cs="Arial"/>
          <w:i/>
          <w:sz w:val="18"/>
          <w:szCs w:val="18"/>
        </w:rPr>
        <w:t>OPOMBA: v seznam niso vključene ostale celinske vode, ki tvorijo ali prečkajo državno mejo iz Priloge »Seznam voda 1. reda« zakona o vodah,  razen Velike Krke, ki ima prispevno površino večjo kot 100 km</w:t>
      </w:r>
      <w:r w:rsidRPr="00545EC0">
        <w:rPr>
          <w:rFonts w:cs="Arial"/>
          <w:i/>
          <w:sz w:val="18"/>
          <w:szCs w:val="18"/>
          <w:vertAlign w:val="superscript"/>
        </w:rPr>
        <w:t>2</w:t>
      </w:r>
    </w:p>
    <w:p w14:paraId="4E8FB9A0" w14:textId="77777777" w:rsidR="00FE59C8" w:rsidRPr="00545EC0" w:rsidRDefault="00FE59C8" w:rsidP="00FE59C8">
      <w:pPr>
        <w:rPr>
          <w:rFonts w:cs="Arial"/>
        </w:rPr>
      </w:pPr>
    </w:p>
    <w:p w14:paraId="7AD0FE52" w14:textId="4FA6257C" w:rsidR="00FE59C8" w:rsidRPr="00545EC0" w:rsidRDefault="00FE59C8" w:rsidP="00FE59C8">
      <w:pPr>
        <w:pStyle w:val="Napis"/>
        <w:rPr>
          <w:rFonts w:eastAsia="Calibri"/>
        </w:rPr>
      </w:pPr>
      <w:bookmarkStart w:id="19" w:name="_Ref84496319"/>
      <w:bookmarkStart w:id="20" w:name="_Ref84251755"/>
      <w:r w:rsidRPr="00545EC0">
        <w:t xml:space="preserve">Preglednica </w:t>
      </w:r>
      <w:fldSimple w:instr=" STYLEREF 1 \s ">
        <w:r w:rsidR="002F3E43">
          <w:rPr>
            <w:noProof/>
          </w:rPr>
          <w:t>1</w:t>
        </w:r>
      </w:fldSimple>
      <w:r w:rsidR="001A7511" w:rsidRPr="00545EC0">
        <w:noBreakHyphen/>
      </w:r>
      <w:fldSimple w:instr=" SEQ Preglednica \* ARABIC \s 1 ">
        <w:r w:rsidR="002F3E43">
          <w:rPr>
            <w:noProof/>
          </w:rPr>
          <w:t>2</w:t>
        </w:r>
      </w:fldSimple>
      <w:bookmarkEnd w:id="19"/>
      <w:r w:rsidRPr="00545EC0">
        <w:t xml:space="preserve">: </w:t>
      </w:r>
      <w:r w:rsidRPr="00545EC0">
        <w:rPr>
          <w:rFonts w:eastAsia="Calibri"/>
        </w:rPr>
        <w:t>Podatki o glavnih jezerih na VO Donave</w:t>
      </w:r>
      <w:bookmarkEnd w:id="20"/>
    </w:p>
    <w:tbl>
      <w:tblPr>
        <w:tblW w:w="5000" w:type="pct"/>
        <w:tblCellMar>
          <w:left w:w="70" w:type="dxa"/>
          <w:right w:w="70" w:type="dxa"/>
        </w:tblCellMar>
        <w:tblLook w:val="04A0" w:firstRow="1" w:lastRow="0" w:firstColumn="1" w:lastColumn="0" w:noHBand="0" w:noVBand="1"/>
      </w:tblPr>
      <w:tblGrid>
        <w:gridCol w:w="456"/>
        <w:gridCol w:w="1629"/>
        <w:gridCol w:w="1041"/>
        <w:gridCol w:w="2242"/>
        <w:gridCol w:w="2509"/>
        <w:gridCol w:w="1334"/>
      </w:tblGrid>
      <w:tr w:rsidR="003122F4" w:rsidRPr="00545EC0" w14:paraId="56A83796" w14:textId="77777777" w:rsidTr="00AE414A">
        <w:trPr>
          <w:trHeight w:val="434"/>
        </w:trPr>
        <w:tc>
          <w:tcPr>
            <w:tcW w:w="2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B98FC4" w14:textId="77777777" w:rsidR="00FE59C8" w:rsidRPr="00545EC0" w:rsidRDefault="00FE59C8" w:rsidP="00B506A9">
            <w:pPr>
              <w:rPr>
                <w:rFonts w:cs="Arial"/>
                <w:b/>
                <w:bCs/>
                <w:sz w:val="18"/>
                <w:szCs w:val="18"/>
                <w:lang w:eastAsia="ja-JP"/>
              </w:rPr>
            </w:pPr>
          </w:p>
        </w:tc>
        <w:tc>
          <w:tcPr>
            <w:tcW w:w="88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FCD3555" w14:textId="77777777" w:rsidR="00FE59C8" w:rsidRPr="00545EC0" w:rsidRDefault="00FE59C8" w:rsidP="00B506A9">
            <w:pPr>
              <w:rPr>
                <w:rFonts w:cs="Arial"/>
                <w:b/>
                <w:bCs/>
                <w:sz w:val="18"/>
                <w:szCs w:val="18"/>
                <w:lang w:eastAsia="ja-JP"/>
              </w:rPr>
            </w:pPr>
            <w:r w:rsidRPr="00545EC0">
              <w:rPr>
                <w:rFonts w:cs="Arial"/>
                <w:b/>
                <w:bCs/>
                <w:sz w:val="18"/>
                <w:szCs w:val="18"/>
              </w:rPr>
              <w:t>Vode I. reda</w:t>
            </w:r>
          </w:p>
        </w:tc>
        <w:tc>
          <w:tcPr>
            <w:tcW w:w="56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E83E3A2" w14:textId="77777777" w:rsidR="00FE59C8" w:rsidRPr="00545EC0" w:rsidRDefault="00FE59C8" w:rsidP="00B506A9">
            <w:pPr>
              <w:rPr>
                <w:rFonts w:cs="Arial"/>
                <w:b/>
                <w:bCs/>
                <w:sz w:val="18"/>
                <w:szCs w:val="18"/>
                <w:lang w:eastAsia="ja-JP"/>
              </w:rPr>
            </w:pPr>
            <w:r w:rsidRPr="00545EC0">
              <w:rPr>
                <w:rFonts w:cs="Arial"/>
                <w:b/>
                <w:bCs/>
                <w:sz w:val="18"/>
                <w:szCs w:val="18"/>
              </w:rPr>
              <w:t>Porečje</w:t>
            </w:r>
          </w:p>
        </w:tc>
        <w:tc>
          <w:tcPr>
            <w:tcW w:w="121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4C08AF5" w14:textId="44025F43" w:rsidR="00FE59C8" w:rsidRPr="00545EC0" w:rsidRDefault="00FE59C8">
            <w:pPr>
              <w:rPr>
                <w:rFonts w:cs="Arial"/>
                <w:b/>
                <w:bCs/>
                <w:sz w:val="18"/>
                <w:szCs w:val="18"/>
                <w:lang w:eastAsia="ja-JP"/>
              </w:rPr>
            </w:pPr>
            <w:r w:rsidRPr="00545EC0">
              <w:rPr>
                <w:rFonts w:cs="Arial"/>
                <w:b/>
                <w:bCs/>
                <w:sz w:val="18"/>
                <w:szCs w:val="18"/>
              </w:rPr>
              <w:t>Prispevna površina v Sloveniji (km</w:t>
            </w:r>
            <w:r w:rsidRPr="00545EC0">
              <w:rPr>
                <w:rFonts w:cs="Arial"/>
                <w:b/>
                <w:bCs/>
                <w:sz w:val="18"/>
                <w:szCs w:val="18"/>
                <w:vertAlign w:val="superscript"/>
              </w:rPr>
              <w:t>2</w:t>
            </w:r>
            <w:r w:rsidRPr="00545EC0">
              <w:rPr>
                <w:rFonts w:cs="Arial"/>
                <w:b/>
                <w:bCs/>
                <w:sz w:val="18"/>
                <w:szCs w:val="18"/>
              </w:rPr>
              <w:t>)</w:t>
            </w:r>
          </w:p>
        </w:tc>
        <w:tc>
          <w:tcPr>
            <w:tcW w:w="1362"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99F88F5" w14:textId="77777777" w:rsidR="00FE59C8" w:rsidRPr="00545EC0" w:rsidRDefault="00FE59C8" w:rsidP="00B506A9">
            <w:pPr>
              <w:rPr>
                <w:rFonts w:cs="Arial"/>
                <w:b/>
                <w:bCs/>
                <w:sz w:val="18"/>
                <w:szCs w:val="18"/>
                <w:lang w:eastAsia="ja-JP"/>
              </w:rPr>
            </w:pPr>
            <w:r w:rsidRPr="00545EC0">
              <w:rPr>
                <w:rFonts w:cs="Arial"/>
                <w:b/>
                <w:bCs/>
                <w:sz w:val="18"/>
                <w:szCs w:val="18"/>
              </w:rPr>
              <w:t>Kumulativna prispevna površina (km</w:t>
            </w:r>
            <w:r w:rsidRPr="00545EC0">
              <w:rPr>
                <w:rFonts w:cs="Arial"/>
                <w:b/>
                <w:bCs/>
                <w:sz w:val="18"/>
                <w:szCs w:val="18"/>
                <w:vertAlign w:val="superscript"/>
              </w:rPr>
              <w:t>2</w:t>
            </w:r>
            <w:r w:rsidRPr="00545EC0">
              <w:rPr>
                <w:rFonts w:cs="Arial"/>
                <w:b/>
                <w:bCs/>
                <w:sz w:val="18"/>
                <w:szCs w:val="18"/>
              </w:rPr>
              <w:t>)</w:t>
            </w:r>
          </w:p>
        </w:tc>
        <w:tc>
          <w:tcPr>
            <w:tcW w:w="72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856026F" w14:textId="77777777" w:rsidR="00FE59C8" w:rsidRPr="00545EC0" w:rsidRDefault="00FE59C8" w:rsidP="00B506A9">
            <w:pPr>
              <w:rPr>
                <w:rFonts w:cs="Arial"/>
                <w:b/>
                <w:bCs/>
                <w:sz w:val="18"/>
                <w:szCs w:val="18"/>
                <w:lang w:eastAsia="ja-JP"/>
              </w:rPr>
            </w:pPr>
            <w:r w:rsidRPr="00545EC0">
              <w:rPr>
                <w:rFonts w:cs="Arial"/>
                <w:b/>
                <w:bCs/>
                <w:sz w:val="18"/>
                <w:szCs w:val="18"/>
              </w:rPr>
              <w:t>Površina jezera (km</w:t>
            </w:r>
            <w:r w:rsidRPr="00545EC0">
              <w:rPr>
                <w:rFonts w:cs="Arial"/>
                <w:b/>
                <w:bCs/>
                <w:sz w:val="18"/>
                <w:szCs w:val="18"/>
                <w:vertAlign w:val="superscript"/>
              </w:rPr>
              <w:t>2</w:t>
            </w:r>
            <w:r w:rsidRPr="00545EC0">
              <w:rPr>
                <w:rFonts w:cs="Arial"/>
                <w:b/>
                <w:bCs/>
                <w:sz w:val="18"/>
                <w:szCs w:val="18"/>
              </w:rPr>
              <w:t>)</w:t>
            </w:r>
          </w:p>
        </w:tc>
      </w:tr>
      <w:tr w:rsidR="003122F4" w:rsidRPr="00545EC0" w14:paraId="42E9BAAB" w14:textId="77777777" w:rsidTr="00AE414A">
        <w:trPr>
          <w:trHeight w:val="255"/>
        </w:trPr>
        <w:tc>
          <w:tcPr>
            <w:tcW w:w="248" w:type="pct"/>
            <w:tcBorders>
              <w:top w:val="nil"/>
              <w:left w:val="single" w:sz="4" w:space="0" w:color="auto"/>
              <w:bottom w:val="single" w:sz="4" w:space="0" w:color="auto"/>
              <w:right w:val="single" w:sz="4" w:space="0" w:color="auto"/>
            </w:tcBorders>
            <w:vAlign w:val="center"/>
            <w:hideMark/>
          </w:tcPr>
          <w:p w14:paraId="0E69587A" w14:textId="77777777" w:rsidR="00FE59C8" w:rsidRPr="00545EC0" w:rsidRDefault="00FE59C8" w:rsidP="00B506A9">
            <w:pPr>
              <w:rPr>
                <w:rFonts w:cs="Arial"/>
                <w:sz w:val="18"/>
                <w:szCs w:val="18"/>
                <w:lang w:eastAsia="ja-JP"/>
              </w:rPr>
            </w:pPr>
            <w:r w:rsidRPr="00545EC0">
              <w:rPr>
                <w:rFonts w:cs="Arial"/>
                <w:sz w:val="18"/>
                <w:szCs w:val="18"/>
              </w:rPr>
              <w:t>1</w:t>
            </w:r>
          </w:p>
        </w:tc>
        <w:tc>
          <w:tcPr>
            <w:tcW w:w="884" w:type="pct"/>
            <w:tcBorders>
              <w:top w:val="nil"/>
              <w:left w:val="nil"/>
              <w:bottom w:val="single" w:sz="4" w:space="0" w:color="auto"/>
              <w:right w:val="single" w:sz="4" w:space="0" w:color="auto"/>
            </w:tcBorders>
            <w:vAlign w:val="center"/>
            <w:hideMark/>
          </w:tcPr>
          <w:p w14:paraId="7A73F1C5" w14:textId="77777777" w:rsidR="00FE59C8" w:rsidRPr="00545EC0" w:rsidRDefault="00FE59C8" w:rsidP="00B506A9">
            <w:pPr>
              <w:rPr>
                <w:rFonts w:cs="Arial"/>
                <w:sz w:val="18"/>
                <w:szCs w:val="18"/>
                <w:lang w:eastAsia="ja-JP"/>
              </w:rPr>
            </w:pPr>
            <w:r w:rsidRPr="00545EC0">
              <w:rPr>
                <w:rFonts w:cs="Arial"/>
                <w:sz w:val="18"/>
                <w:szCs w:val="18"/>
              </w:rPr>
              <w:t>Blejsko jezero</w:t>
            </w:r>
          </w:p>
        </w:tc>
        <w:tc>
          <w:tcPr>
            <w:tcW w:w="565" w:type="pct"/>
            <w:tcBorders>
              <w:top w:val="nil"/>
              <w:left w:val="nil"/>
              <w:bottom w:val="single" w:sz="4" w:space="0" w:color="auto"/>
              <w:right w:val="single" w:sz="4" w:space="0" w:color="auto"/>
            </w:tcBorders>
            <w:vAlign w:val="center"/>
            <w:hideMark/>
          </w:tcPr>
          <w:p w14:paraId="4D0F0E46" w14:textId="77777777" w:rsidR="00FE59C8" w:rsidRPr="00545EC0" w:rsidRDefault="00FE59C8" w:rsidP="00B506A9">
            <w:pPr>
              <w:rPr>
                <w:rFonts w:cs="Arial"/>
                <w:sz w:val="18"/>
                <w:szCs w:val="18"/>
                <w:lang w:eastAsia="ja-JP"/>
              </w:rPr>
            </w:pPr>
            <w:r w:rsidRPr="00545EC0">
              <w:rPr>
                <w:rFonts w:cs="Arial"/>
                <w:sz w:val="18"/>
                <w:szCs w:val="18"/>
              </w:rPr>
              <w:t>Sava</w:t>
            </w:r>
          </w:p>
        </w:tc>
        <w:tc>
          <w:tcPr>
            <w:tcW w:w="1217" w:type="pct"/>
            <w:tcBorders>
              <w:top w:val="nil"/>
              <w:left w:val="nil"/>
              <w:bottom w:val="single" w:sz="4" w:space="0" w:color="auto"/>
              <w:right w:val="single" w:sz="4" w:space="0" w:color="auto"/>
            </w:tcBorders>
            <w:vAlign w:val="center"/>
            <w:hideMark/>
          </w:tcPr>
          <w:p w14:paraId="55A36912" w14:textId="77777777" w:rsidR="00FE59C8" w:rsidRPr="00545EC0" w:rsidRDefault="00FE59C8" w:rsidP="00B506A9">
            <w:pPr>
              <w:rPr>
                <w:rFonts w:cs="Arial"/>
                <w:sz w:val="18"/>
                <w:szCs w:val="18"/>
                <w:lang w:eastAsia="ja-JP"/>
              </w:rPr>
            </w:pPr>
            <w:r w:rsidRPr="00545EC0">
              <w:rPr>
                <w:rFonts w:cs="Arial"/>
                <w:sz w:val="18"/>
                <w:szCs w:val="18"/>
              </w:rPr>
              <w:t>7</w:t>
            </w:r>
          </w:p>
        </w:tc>
        <w:tc>
          <w:tcPr>
            <w:tcW w:w="1362" w:type="pct"/>
            <w:tcBorders>
              <w:top w:val="nil"/>
              <w:left w:val="nil"/>
              <w:bottom w:val="single" w:sz="4" w:space="0" w:color="auto"/>
              <w:right w:val="single" w:sz="4" w:space="0" w:color="auto"/>
            </w:tcBorders>
            <w:vAlign w:val="center"/>
            <w:hideMark/>
          </w:tcPr>
          <w:p w14:paraId="7902C8FA" w14:textId="77777777" w:rsidR="00FE59C8" w:rsidRPr="00545EC0" w:rsidRDefault="00FE59C8" w:rsidP="00B506A9">
            <w:pPr>
              <w:rPr>
                <w:rFonts w:cs="Arial"/>
                <w:sz w:val="18"/>
                <w:szCs w:val="18"/>
                <w:lang w:eastAsia="ja-JP"/>
              </w:rPr>
            </w:pPr>
            <w:r w:rsidRPr="00545EC0">
              <w:rPr>
                <w:rFonts w:cs="Arial"/>
                <w:sz w:val="18"/>
                <w:szCs w:val="18"/>
              </w:rPr>
              <w:t>7</w:t>
            </w:r>
          </w:p>
        </w:tc>
        <w:tc>
          <w:tcPr>
            <w:tcW w:w="725" w:type="pct"/>
            <w:tcBorders>
              <w:top w:val="nil"/>
              <w:left w:val="nil"/>
              <w:bottom w:val="single" w:sz="4" w:space="0" w:color="auto"/>
              <w:right w:val="single" w:sz="4" w:space="0" w:color="auto"/>
            </w:tcBorders>
            <w:vAlign w:val="center"/>
            <w:hideMark/>
          </w:tcPr>
          <w:p w14:paraId="7AE51F2B" w14:textId="77777777" w:rsidR="00FE59C8" w:rsidRPr="00545EC0" w:rsidRDefault="00FE59C8" w:rsidP="00B506A9">
            <w:pPr>
              <w:rPr>
                <w:rFonts w:cs="Arial"/>
                <w:sz w:val="18"/>
                <w:szCs w:val="18"/>
                <w:lang w:eastAsia="ja-JP"/>
              </w:rPr>
            </w:pPr>
            <w:r w:rsidRPr="00545EC0">
              <w:rPr>
                <w:rFonts w:cs="Arial"/>
                <w:sz w:val="18"/>
                <w:szCs w:val="18"/>
              </w:rPr>
              <w:t>1,4</w:t>
            </w:r>
          </w:p>
        </w:tc>
      </w:tr>
      <w:tr w:rsidR="003122F4" w:rsidRPr="00545EC0" w14:paraId="04448FE0" w14:textId="77777777" w:rsidTr="00AE414A">
        <w:trPr>
          <w:trHeight w:val="255"/>
        </w:trPr>
        <w:tc>
          <w:tcPr>
            <w:tcW w:w="248" w:type="pct"/>
            <w:tcBorders>
              <w:top w:val="nil"/>
              <w:left w:val="single" w:sz="4" w:space="0" w:color="auto"/>
              <w:bottom w:val="single" w:sz="4" w:space="0" w:color="auto"/>
              <w:right w:val="single" w:sz="4" w:space="0" w:color="auto"/>
            </w:tcBorders>
            <w:vAlign w:val="center"/>
            <w:hideMark/>
          </w:tcPr>
          <w:p w14:paraId="1BAB0A50" w14:textId="77777777" w:rsidR="00FE59C8" w:rsidRPr="00545EC0" w:rsidRDefault="00FE59C8" w:rsidP="00B506A9">
            <w:pPr>
              <w:rPr>
                <w:rFonts w:cs="Arial"/>
                <w:sz w:val="18"/>
                <w:szCs w:val="18"/>
                <w:lang w:eastAsia="ja-JP"/>
              </w:rPr>
            </w:pPr>
            <w:r w:rsidRPr="00545EC0">
              <w:rPr>
                <w:rFonts w:cs="Arial"/>
                <w:sz w:val="18"/>
                <w:szCs w:val="18"/>
              </w:rPr>
              <w:t>2</w:t>
            </w:r>
          </w:p>
        </w:tc>
        <w:tc>
          <w:tcPr>
            <w:tcW w:w="884" w:type="pct"/>
            <w:tcBorders>
              <w:top w:val="nil"/>
              <w:left w:val="nil"/>
              <w:bottom w:val="single" w:sz="4" w:space="0" w:color="auto"/>
              <w:right w:val="single" w:sz="4" w:space="0" w:color="auto"/>
            </w:tcBorders>
            <w:vAlign w:val="center"/>
            <w:hideMark/>
          </w:tcPr>
          <w:p w14:paraId="0BB770E3" w14:textId="77777777" w:rsidR="00FE59C8" w:rsidRPr="00545EC0" w:rsidRDefault="00FE59C8" w:rsidP="00B506A9">
            <w:pPr>
              <w:rPr>
                <w:rFonts w:cs="Arial"/>
                <w:sz w:val="18"/>
                <w:szCs w:val="18"/>
                <w:lang w:eastAsia="ja-JP"/>
              </w:rPr>
            </w:pPr>
            <w:r w:rsidRPr="00545EC0">
              <w:rPr>
                <w:rFonts w:cs="Arial"/>
                <w:sz w:val="18"/>
                <w:szCs w:val="18"/>
              </w:rPr>
              <w:t>Bohinjsko jezero</w:t>
            </w:r>
          </w:p>
        </w:tc>
        <w:tc>
          <w:tcPr>
            <w:tcW w:w="565" w:type="pct"/>
            <w:tcBorders>
              <w:top w:val="nil"/>
              <w:left w:val="nil"/>
              <w:bottom w:val="single" w:sz="4" w:space="0" w:color="auto"/>
              <w:right w:val="single" w:sz="4" w:space="0" w:color="auto"/>
            </w:tcBorders>
            <w:vAlign w:val="center"/>
            <w:hideMark/>
          </w:tcPr>
          <w:p w14:paraId="1772756E" w14:textId="77777777" w:rsidR="00FE59C8" w:rsidRPr="00545EC0" w:rsidRDefault="00FE59C8" w:rsidP="00B506A9">
            <w:pPr>
              <w:rPr>
                <w:rFonts w:cs="Arial"/>
                <w:sz w:val="18"/>
                <w:szCs w:val="18"/>
                <w:lang w:eastAsia="ja-JP"/>
              </w:rPr>
            </w:pPr>
            <w:r w:rsidRPr="00545EC0">
              <w:rPr>
                <w:rFonts w:cs="Arial"/>
                <w:sz w:val="18"/>
                <w:szCs w:val="18"/>
              </w:rPr>
              <w:t>Sava</w:t>
            </w:r>
          </w:p>
        </w:tc>
        <w:tc>
          <w:tcPr>
            <w:tcW w:w="1217" w:type="pct"/>
            <w:tcBorders>
              <w:top w:val="nil"/>
              <w:left w:val="nil"/>
              <w:bottom w:val="single" w:sz="4" w:space="0" w:color="auto"/>
              <w:right w:val="single" w:sz="4" w:space="0" w:color="auto"/>
            </w:tcBorders>
            <w:vAlign w:val="center"/>
            <w:hideMark/>
          </w:tcPr>
          <w:p w14:paraId="1D0FC2F2" w14:textId="77777777" w:rsidR="00FE59C8" w:rsidRPr="00545EC0" w:rsidRDefault="00FE59C8" w:rsidP="00B506A9">
            <w:pPr>
              <w:rPr>
                <w:rFonts w:cs="Arial"/>
                <w:sz w:val="18"/>
                <w:szCs w:val="18"/>
                <w:lang w:eastAsia="ja-JP"/>
              </w:rPr>
            </w:pPr>
            <w:r w:rsidRPr="00545EC0">
              <w:rPr>
                <w:rFonts w:cs="Arial"/>
                <w:sz w:val="18"/>
                <w:szCs w:val="18"/>
              </w:rPr>
              <w:t>94</w:t>
            </w:r>
          </w:p>
        </w:tc>
        <w:tc>
          <w:tcPr>
            <w:tcW w:w="1362" w:type="pct"/>
            <w:tcBorders>
              <w:top w:val="nil"/>
              <w:left w:val="nil"/>
              <w:bottom w:val="single" w:sz="4" w:space="0" w:color="auto"/>
              <w:right w:val="single" w:sz="4" w:space="0" w:color="auto"/>
            </w:tcBorders>
            <w:vAlign w:val="center"/>
            <w:hideMark/>
          </w:tcPr>
          <w:p w14:paraId="00B68A6C" w14:textId="77777777" w:rsidR="00FE59C8" w:rsidRPr="00545EC0" w:rsidRDefault="00FE59C8" w:rsidP="00B506A9">
            <w:pPr>
              <w:rPr>
                <w:rFonts w:cs="Arial"/>
                <w:sz w:val="18"/>
                <w:szCs w:val="18"/>
                <w:lang w:eastAsia="ja-JP"/>
              </w:rPr>
            </w:pPr>
            <w:r w:rsidRPr="00545EC0">
              <w:rPr>
                <w:rFonts w:cs="Arial"/>
                <w:sz w:val="18"/>
                <w:szCs w:val="18"/>
              </w:rPr>
              <w:t>94</w:t>
            </w:r>
          </w:p>
        </w:tc>
        <w:tc>
          <w:tcPr>
            <w:tcW w:w="725" w:type="pct"/>
            <w:tcBorders>
              <w:top w:val="nil"/>
              <w:left w:val="nil"/>
              <w:bottom w:val="single" w:sz="4" w:space="0" w:color="auto"/>
              <w:right w:val="single" w:sz="4" w:space="0" w:color="auto"/>
            </w:tcBorders>
            <w:vAlign w:val="center"/>
            <w:hideMark/>
          </w:tcPr>
          <w:p w14:paraId="75E8EFCD" w14:textId="77777777" w:rsidR="00FE59C8" w:rsidRPr="00545EC0" w:rsidRDefault="00FE59C8" w:rsidP="00B506A9">
            <w:pPr>
              <w:rPr>
                <w:rFonts w:cs="Arial"/>
                <w:sz w:val="18"/>
                <w:szCs w:val="18"/>
                <w:lang w:eastAsia="ja-JP"/>
              </w:rPr>
            </w:pPr>
            <w:r w:rsidRPr="00545EC0">
              <w:rPr>
                <w:rFonts w:cs="Arial"/>
                <w:sz w:val="18"/>
                <w:szCs w:val="18"/>
              </w:rPr>
              <w:t>3,2</w:t>
            </w:r>
          </w:p>
        </w:tc>
      </w:tr>
      <w:tr w:rsidR="003122F4" w:rsidRPr="00545EC0" w14:paraId="1F6FAD5C" w14:textId="77777777" w:rsidTr="00AE414A">
        <w:trPr>
          <w:trHeight w:val="255"/>
        </w:trPr>
        <w:tc>
          <w:tcPr>
            <w:tcW w:w="248" w:type="pct"/>
            <w:tcBorders>
              <w:top w:val="nil"/>
              <w:left w:val="single" w:sz="4" w:space="0" w:color="auto"/>
              <w:bottom w:val="single" w:sz="4" w:space="0" w:color="auto"/>
              <w:right w:val="single" w:sz="4" w:space="0" w:color="auto"/>
            </w:tcBorders>
            <w:vAlign w:val="center"/>
            <w:hideMark/>
          </w:tcPr>
          <w:p w14:paraId="555041BE" w14:textId="77777777" w:rsidR="00FE59C8" w:rsidRPr="00545EC0" w:rsidRDefault="00FE59C8" w:rsidP="00B506A9">
            <w:pPr>
              <w:rPr>
                <w:rFonts w:cs="Arial"/>
                <w:sz w:val="18"/>
                <w:szCs w:val="18"/>
                <w:lang w:eastAsia="ja-JP"/>
              </w:rPr>
            </w:pPr>
            <w:r w:rsidRPr="00545EC0">
              <w:rPr>
                <w:rFonts w:cs="Arial"/>
                <w:sz w:val="18"/>
                <w:szCs w:val="18"/>
              </w:rPr>
              <w:t>3</w:t>
            </w:r>
          </w:p>
        </w:tc>
        <w:tc>
          <w:tcPr>
            <w:tcW w:w="884" w:type="pct"/>
            <w:tcBorders>
              <w:top w:val="nil"/>
              <w:left w:val="nil"/>
              <w:bottom w:val="single" w:sz="4" w:space="0" w:color="auto"/>
              <w:right w:val="single" w:sz="4" w:space="0" w:color="auto"/>
            </w:tcBorders>
            <w:vAlign w:val="center"/>
            <w:hideMark/>
          </w:tcPr>
          <w:p w14:paraId="02F6E6CD" w14:textId="77777777" w:rsidR="00FE59C8" w:rsidRPr="00545EC0" w:rsidRDefault="00FE59C8" w:rsidP="00B506A9">
            <w:pPr>
              <w:rPr>
                <w:rFonts w:cs="Arial"/>
                <w:sz w:val="18"/>
                <w:szCs w:val="18"/>
                <w:lang w:eastAsia="ja-JP"/>
              </w:rPr>
            </w:pPr>
            <w:r w:rsidRPr="00545EC0">
              <w:rPr>
                <w:rFonts w:cs="Arial"/>
                <w:sz w:val="18"/>
                <w:szCs w:val="18"/>
              </w:rPr>
              <w:t>Cerkniško jezero*</w:t>
            </w:r>
          </w:p>
        </w:tc>
        <w:tc>
          <w:tcPr>
            <w:tcW w:w="565" w:type="pct"/>
            <w:tcBorders>
              <w:top w:val="nil"/>
              <w:left w:val="nil"/>
              <w:bottom w:val="single" w:sz="4" w:space="0" w:color="auto"/>
              <w:right w:val="single" w:sz="4" w:space="0" w:color="auto"/>
            </w:tcBorders>
            <w:vAlign w:val="center"/>
            <w:hideMark/>
          </w:tcPr>
          <w:p w14:paraId="5500F29B" w14:textId="77777777" w:rsidR="00FE59C8" w:rsidRPr="00545EC0" w:rsidRDefault="00FE59C8" w:rsidP="00B506A9">
            <w:pPr>
              <w:rPr>
                <w:rFonts w:cs="Arial"/>
                <w:sz w:val="18"/>
                <w:szCs w:val="18"/>
                <w:lang w:eastAsia="ja-JP"/>
              </w:rPr>
            </w:pPr>
            <w:r w:rsidRPr="00545EC0">
              <w:rPr>
                <w:rFonts w:cs="Arial"/>
                <w:sz w:val="18"/>
                <w:szCs w:val="18"/>
              </w:rPr>
              <w:t>Sava</w:t>
            </w:r>
          </w:p>
        </w:tc>
        <w:tc>
          <w:tcPr>
            <w:tcW w:w="1217" w:type="pct"/>
            <w:tcBorders>
              <w:top w:val="nil"/>
              <w:left w:val="nil"/>
              <w:bottom w:val="single" w:sz="4" w:space="0" w:color="auto"/>
              <w:right w:val="single" w:sz="4" w:space="0" w:color="auto"/>
            </w:tcBorders>
            <w:vAlign w:val="center"/>
            <w:hideMark/>
          </w:tcPr>
          <w:p w14:paraId="2067FDA1" w14:textId="77777777" w:rsidR="00FE59C8" w:rsidRPr="00545EC0" w:rsidRDefault="00FE59C8" w:rsidP="00B506A9">
            <w:pPr>
              <w:rPr>
                <w:rFonts w:cs="Arial"/>
                <w:sz w:val="18"/>
                <w:szCs w:val="18"/>
                <w:lang w:eastAsia="ja-JP"/>
              </w:rPr>
            </w:pPr>
            <w:r w:rsidRPr="00545EC0">
              <w:rPr>
                <w:rFonts w:cs="Arial"/>
                <w:sz w:val="18"/>
                <w:szCs w:val="18"/>
              </w:rPr>
              <w:t>306</w:t>
            </w:r>
          </w:p>
        </w:tc>
        <w:tc>
          <w:tcPr>
            <w:tcW w:w="1362" w:type="pct"/>
            <w:tcBorders>
              <w:top w:val="nil"/>
              <w:left w:val="nil"/>
              <w:bottom w:val="single" w:sz="4" w:space="0" w:color="auto"/>
              <w:right w:val="single" w:sz="4" w:space="0" w:color="auto"/>
            </w:tcBorders>
            <w:vAlign w:val="center"/>
            <w:hideMark/>
          </w:tcPr>
          <w:p w14:paraId="5079C162" w14:textId="77777777" w:rsidR="00FE59C8" w:rsidRPr="00545EC0" w:rsidRDefault="00FE59C8" w:rsidP="00B506A9">
            <w:pPr>
              <w:rPr>
                <w:rFonts w:cs="Arial"/>
                <w:sz w:val="18"/>
                <w:szCs w:val="18"/>
                <w:lang w:eastAsia="ja-JP"/>
              </w:rPr>
            </w:pPr>
            <w:r w:rsidRPr="00545EC0">
              <w:rPr>
                <w:rFonts w:cs="Arial"/>
                <w:sz w:val="18"/>
                <w:szCs w:val="18"/>
              </w:rPr>
              <w:t>306</w:t>
            </w:r>
          </w:p>
        </w:tc>
        <w:tc>
          <w:tcPr>
            <w:tcW w:w="725" w:type="pct"/>
            <w:tcBorders>
              <w:top w:val="nil"/>
              <w:left w:val="nil"/>
              <w:bottom w:val="single" w:sz="4" w:space="0" w:color="auto"/>
              <w:right w:val="single" w:sz="4" w:space="0" w:color="auto"/>
            </w:tcBorders>
            <w:vAlign w:val="center"/>
            <w:hideMark/>
          </w:tcPr>
          <w:p w14:paraId="69FCB9C5" w14:textId="77777777" w:rsidR="00FE59C8" w:rsidRPr="00545EC0" w:rsidRDefault="00FE59C8" w:rsidP="00B506A9">
            <w:pPr>
              <w:rPr>
                <w:rFonts w:cs="Arial"/>
                <w:sz w:val="18"/>
                <w:szCs w:val="18"/>
                <w:lang w:eastAsia="ja-JP"/>
              </w:rPr>
            </w:pPr>
            <w:r w:rsidRPr="00545EC0">
              <w:rPr>
                <w:rFonts w:cs="Arial"/>
                <w:sz w:val="18"/>
                <w:szCs w:val="18"/>
              </w:rPr>
              <w:t>20,2</w:t>
            </w:r>
          </w:p>
        </w:tc>
      </w:tr>
    </w:tbl>
    <w:p w14:paraId="1A5A6064" w14:textId="77777777" w:rsidR="00FE59C8" w:rsidRPr="00545EC0" w:rsidRDefault="00FE59C8" w:rsidP="00FE59C8">
      <w:pPr>
        <w:rPr>
          <w:rFonts w:cs="Arial"/>
          <w:i/>
          <w:sz w:val="18"/>
          <w:szCs w:val="18"/>
          <w:lang w:eastAsia="ja-JP"/>
        </w:rPr>
      </w:pPr>
      <w:r w:rsidRPr="00545EC0">
        <w:rPr>
          <w:rFonts w:cs="Arial"/>
          <w:i/>
          <w:sz w:val="18"/>
          <w:szCs w:val="18"/>
        </w:rPr>
        <w:t>* Gre za kraško značilnost – presihajoče jezero. Cerkniško jezero ima v smislu ekološkega tipa sicer več značilnosti vodotokov kot stalnih jezer in je bilo zato vključeno v program spremljanja stanja vodotokov. Tudi ocena stanja je določena po kriterijih in metodologijah, ki veljajo za vodotoke.</w:t>
      </w:r>
    </w:p>
    <w:p w14:paraId="18309820" w14:textId="77777777" w:rsidR="00FE59C8" w:rsidRPr="00545EC0" w:rsidRDefault="00FE59C8">
      <w:pPr>
        <w:pStyle w:val="Naslov3"/>
      </w:pPr>
      <w:r w:rsidRPr="00545EC0">
        <w:rPr>
          <w:rFonts w:cs="Arial"/>
        </w:rPr>
        <w:br w:type="page"/>
      </w:r>
      <w:bookmarkStart w:id="21" w:name="_Toc90261012"/>
      <w:bookmarkStart w:id="22" w:name="_Toc366228068"/>
      <w:r w:rsidRPr="00545EC0">
        <w:lastRenderedPageBreak/>
        <w:t>Podzemne vode, ki pripadajo vodnemu območju</w:t>
      </w:r>
      <w:bookmarkEnd w:id="21"/>
    </w:p>
    <w:bookmarkEnd w:id="22"/>
    <w:p w14:paraId="1B48B528" w14:textId="2A0D71F8" w:rsidR="00FE59C8" w:rsidRPr="00545EC0" w:rsidRDefault="00FE59C8" w:rsidP="00FE59C8">
      <w:pPr>
        <w:rPr>
          <w:rFonts w:cs="Arial"/>
        </w:rPr>
      </w:pPr>
      <w:r w:rsidRPr="00545EC0">
        <w:rPr>
          <w:rFonts w:cs="Arial"/>
        </w:rPr>
        <w:t>Preko hidrografske razvodnice med vodnima območjema VO Donave in VO Jadranskega morja obstajajo občasna in lokalna pretakanja podzemne vode. Do pretakanj prihaja zaradi kraških značilnosti tokov podzemne vode po kamninah s kraško in razpoklinsko poroznostjo. Položaj podzemne razvodnice se lahko spreminja. Če potek podzemne razvodnice ni poznan, je meja med vodnima območjema opredeljena po površinski razvodnici.</w:t>
      </w:r>
    </w:p>
    <w:p w14:paraId="4F5A757B" w14:textId="77777777" w:rsidR="00FE59C8" w:rsidRPr="00545EC0" w:rsidRDefault="00FE59C8" w:rsidP="00FE59C8">
      <w:pPr>
        <w:rPr>
          <w:rFonts w:cs="Arial"/>
        </w:rPr>
      </w:pPr>
    </w:p>
    <w:p w14:paraId="5C59C121" w14:textId="77777777" w:rsidR="00FE59C8" w:rsidRPr="00545EC0" w:rsidRDefault="00FE59C8" w:rsidP="00FE59C8">
      <w:pPr>
        <w:rPr>
          <w:rFonts w:cs="Arial"/>
        </w:rPr>
      </w:pPr>
      <w:r w:rsidRPr="00545EC0">
        <w:rPr>
          <w:rFonts w:cs="Arial"/>
        </w:rPr>
        <w:t>V Sloveniji je določenih 165 vodonosnih sistemov, 125 na VO Donave in 40 na VO Jadranskega morja. Na 7 vodonosnih sistemih se podzemne vode pretakajo tudi preko meje vodnega območja:</w:t>
      </w:r>
    </w:p>
    <w:p w14:paraId="7A52F9D5" w14:textId="3AAF0073" w:rsidR="00FE59C8" w:rsidRPr="00545EC0" w:rsidRDefault="00FE59C8" w:rsidP="00DD37C5">
      <w:pPr>
        <w:numPr>
          <w:ilvl w:val="0"/>
          <w:numId w:val="47"/>
        </w:numPr>
        <w:ind w:left="584" w:hanging="227"/>
        <w:rPr>
          <w:szCs w:val="20"/>
        </w:rPr>
      </w:pPr>
      <w:r w:rsidRPr="00545EC0">
        <w:rPr>
          <w:szCs w:val="20"/>
        </w:rPr>
        <w:t>Območje Logatca (11822)</w:t>
      </w:r>
      <w:r w:rsidR="00D7150F" w:rsidRPr="00545EC0">
        <w:rPr>
          <w:szCs w:val="20"/>
        </w:rPr>
        <w:t>,</w:t>
      </w:r>
    </w:p>
    <w:p w14:paraId="5C476154" w14:textId="66B1044F" w:rsidR="00FE59C8" w:rsidRPr="00545EC0" w:rsidRDefault="00FE59C8" w:rsidP="00DD37C5">
      <w:pPr>
        <w:numPr>
          <w:ilvl w:val="0"/>
          <w:numId w:val="47"/>
        </w:numPr>
        <w:ind w:left="584" w:hanging="227"/>
        <w:rPr>
          <w:szCs w:val="20"/>
        </w:rPr>
      </w:pPr>
      <w:r w:rsidRPr="00545EC0">
        <w:rPr>
          <w:szCs w:val="20"/>
        </w:rPr>
        <w:t>Območje Pivke (11824)</w:t>
      </w:r>
      <w:r w:rsidR="00D7150F" w:rsidRPr="00545EC0">
        <w:rPr>
          <w:szCs w:val="20"/>
        </w:rPr>
        <w:t>,</w:t>
      </w:r>
    </w:p>
    <w:p w14:paraId="396DC495" w14:textId="2FFF34F3" w:rsidR="00FE59C8" w:rsidRPr="00545EC0" w:rsidRDefault="00FE59C8" w:rsidP="00DD37C5">
      <w:pPr>
        <w:numPr>
          <w:ilvl w:val="0"/>
          <w:numId w:val="47"/>
        </w:numPr>
        <w:ind w:left="584" w:hanging="227"/>
        <w:rPr>
          <w:szCs w:val="20"/>
        </w:rPr>
      </w:pPr>
      <w:r w:rsidRPr="00545EC0">
        <w:rPr>
          <w:szCs w:val="20"/>
        </w:rPr>
        <w:t>Javorniki–Snežnik (11825)</w:t>
      </w:r>
      <w:r w:rsidR="00D7150F" w:rsidRPr="00545EC0">
        <w:rPr>
          <w:szCs w:val="20"/>
        </w:rPr>
        <w:t>,</w:t>
      </w:r>
    </w:p>
    <w:p w14:paraId="431B65A4" w14:textId="6C9F177B" w:rsidR="00FE59C8" w:rsidRPr="00545EC0" w:rsidRDefault="00FE59C8" w:rsidP="00DD37C5">
      <w:pPr>
        <w:numPr>
          <w:ilvl w:val="0"/>
          <w:numId w:val="47"/>
        </w:numPr>
        <w:ind w:left="584" w:hanging="227"/>
        <w:rPr>
          <w:szCs w:val="20"/>
        </w:rPr>
      </w:pPr>
      <w:r w:rsidRPr="00545EC0">
        <w:rPr>
          <w:szCs w:val="20"/>
        </w:rPr>
        <w:t>Bistrica–Snežnik (50521)</w:t>
      </w:r>
      <w:r w:rsidR="00D7150F" w:rsidRPr="00545EC0">
        <w:rPr>
          <w:szCs w:val="20"/>
        </w:rPr>
        <w:t>,</w:t>
      </w:r>
    </w:p>
    <w:p w14:paraId="0D17126F" w14:textId="2E54B548" w:rsidR="00FE59C8" w:rsidRPr="00545EC0" w:rsidRDefault="00FE59C8" w:rsidP="00DD37C5">
      <w:pPr>
        <w:numPr>
          <w:ilvl w:val="0"/>
          <w:numId w:val="47"/>
        </w:numPr>
        <w:ind w:left="584" w:hanging="227"/>
        <w:rPr>
          <w:szCs w:val="20"/>
        </w:rPr>
      </w:pPr>
      <w:r w:rsidRPr="00545EC0">
        <w:rPr>
          <w:szCs w:val="20"/>
        </w:rPr>
        <w:t>Riječina–Zvir–Snežnik (50522)</w:t>
      </w:r>
      <w:r w:rsidR="00D7150F" w:rsidRPr="00545EC0">
        <w:rPr>
          <w:szCs w:val="20"/>
        </w:rPr>
        <w:t>,</w:t>
      </w:r>
    </w:p>
    <w:p w14:paraId="492AD53C" w14:textId="02BB5EB5" w:rsidR="00FE59C8" w:rsidRPr="00545EC0" w:rsidRDefault="00FE59C8" w:rsidP="00DD37C5">
      <w:pPr>
        <w:numPr>
          <w:ilvl w:val="0"/>
          <w:numId w:val="47"/>
        </w:numPr>
        <w:ind w:left="584" w:hanging="227"/>
        <w:rPr>
          <w:szCs w:val="20"/>
        </w:rPr>
      </w:pPr>
      <w:r w:rsidRPr="00545EC0">
        <w:rPr>
          <w:szCs w:val="20"/>
        </w:rPr>
        <w:t>Brestovica–Timav (50621)</w:t>
      </w:r>
      <w:r w:rsidR="00D7150F" w:rsidRPr="00545EC0">
        <w:rPr>
          <w:szCs w:val="20"/>
        </w:rPr>
        <w:t>,</w:t>
      </w:r>
    </w:p>
    <w:p w14:paraId="0B433F62" w14:textId="02A2CD6A" w:rsidR="00FE59C8" w:rsidRPr="00545EC0" w:rsidRDefault="00FE59C8" w:rsidP="00DD37C5">
      <w:pPr>
        <w:numPr>
          <w:ilvl w:val="0"/>
          <w:numId w:val="47"/>
        </w:numPr>
        <w:ind w:left="584" w:hanging="227"/>
        <w:rPr>
          <w:szCs w:val="20"/>
        </w:rPr>
      </w:pPr>
      <w:r w:rsidRPr="00545EC0">
        <w:rPr>
          <w:szCs w:val="20"/>
        </w:rPr>
        <w:t>Hrušica–Nanos (60322)</w:t>
      </w:r>
      <w:r w:rsidR="00D7150F" w:rsidRPr="00545EC0">
        <w:rPr>
          <w:szCs w:val="20"/>
        </w:rPr>
        <w:t>.</w:t>
      </w:r>
    </w:p>
    <w:p w14:paraId="2DE34B40" w14:textId="77777777" w:rsidR="00FE59C8" w:rsidRPr="00545EC0" w:rsidRDefault="00FE59C8" w:rsidP="00FE59C8">
      <w:pPr>
        <w:rPr>
          <w:rFonts w:cs="Arial"/>
        </w:rPr>
      </w:pPr>
    </w:p>
    <w:p w14:paraId="03CA9605" w14:textId="4A38538E" w:rsidR="00FE59C8" w:rsidRPr="00545EC0" w:rsidRDefault="00017486" w:rsidP="00FE59C8">
      <w:pPr>
        <w:rPr>
          <w:rFonts w:cs="Arial"/>
          <w:i/>
        </w:rPr>
      </w:pPr>
      <w:r w:rsidRPr="00545EC0">
        <w:rPr>
          <w:rFonts w:cs="Arial"/>
        </w:rPr>
        <w:t>Meje vodnih območij, vodnih teles podzemne vode in v</w:t>
      </w:r>
      <w:r w:rsidR="00FE59C8" w:rsidRPr="00545EC0">
        <w:rPr>
          <w:rFonts w:cs="Arial"/>
        </w:rPr>
        <w:t xml:space="preserve">odonosnih sistemov </w:t>
      </w:r>
      <w:r w:rsidRPr="00545EC0">
        <w:rPr>
          <w:rFonts w:cs="Arial"/>
        </w:rPr>
        <w:t xml:space="preserve">so prikazane na publikacijskih kartah </w:t>
      </w:r>
      <w:r w:rsidR="00FE59C8" w:rsidRPr="00545EC0">
        <w:rPr>
          <w:rFonts w:cs="Arial"/>
          <w:i/>
        </w:rPr>
        <w:t>(Publikacijska karta</w:t>
      </w:r>
      <w:r w:rsidR="001D5C1B" w:rsidRPr="00545EC0">
        <w:rPr>
          <w:rFonts w:cs="Arial"/>
          <w:i/>
        </w:rPr>
        <w:t xml:space="preserve"> 1.3</w:t>
      </w:r>
      <w:r w:rsidR="00FE59C8" w:rsidRPr="00545EC0">
        <w:rPr>
          <w:rFonts w:cs="Arial"/>
          <w:i/>
        </w:rPr>
        <w:t>: Vodonosni sistemi, Publikacijska karta</w:t>
      </w:r>
      <w:r w:rsidR="001D5C1B" w:rsidRPr="00545EC0">
        <w:rPr>
          <w:rFonts w:cs="Arial"/>
          <w:i/>
        </w:rPr>
        <w:t xml:space="preserve"> 1.6</w:t>
      </w:r>
      <w:r w:rsidR="00FE59C8" w:rsidRPr="00545EC0">
        <w:rPr>
          <w:rFonts w:cs="Arial"/>
          <w:i/>
        </w:rPr>
        <w:t xml:space="preserve">: </w:t>
      </w:r>
      <w:r w:rsidR="001D5C1B" w:rsidRPr="00545EC0">
        <w:rPr>
          <w:rFonts w:cs="Arial"/>
          <w:i/>
        </w:rPr>
        <w:t>Vodna telesa podzemnih voda</w:t>
      </w:r>
      <w:r w:rsidR="00FE59C8" w:rsidRPr="00545EC0">
        <w:rPr>
          <w:rFonts w:cs="Arial"/>
          <w:i/>
        </w:rPr>
        <w:t>)</w:t>
      </w:r>
      <w:r w:rsidRPr="00545EC0">
        <w:rPr>
          <w:rFonts w:cs="Arial"/>
          <w:i/>
        </w:rPr>
        <w:t>.</w:t>
      </w:r>
    </w:p>
    <w:p w14:paraId="0DE9E109" w14:textId="77777777" w:rsidR="00FE59C8" w:rsidRPr="00545EC0" w:rsidRDefault="00FE59C8" w:rsidP="00FE59C8">
      <w:pPr>
        <w:pStyle w:val="Naslov20"/>
        <w:ind w:left="709" w:hanging="709"/>
        <w:jc w:val="both"/>
      </w:pPr>
      <w:bookmarkStart w:id="23" w:name="_Toc419099166"/>
      <w:bookmarkStart w:id="24" w:name="_Toc366228072"/>
      <w:bookmarkStart w:id="25" w:name="_Toc90261013"/>
      <w:r w:rsidRPr="00545EC0">
        <w:t>Podatki o obdobju, za katerega se sprejema načrt upravljanja voda</w:t>
      </w:r>
      <w:bookmarkEnd w:id="23"/>
      <w:bookmarkEnd w:id="24"/>
      <w:bookmarkEnd w:id="25"/>
    </w:p>
    <w:p w14:paraId="606AD7FB" w14:textId="77777777" w:rsidR="00FE59C8" w:rsidRPr="00545EC0" w:rsidRDefault="00FE59C8" w:rsidP="00FE59C8">
      <w:pPr>
        <w:rPr>
          <w:rFonts w:cs="Arial"/>
        </w:rPr>
      </w:pPr>
    </w:p>
    <w:p w14:paraId="397194B0" w14:textId="7AAD5D46" w:rsidR="00FE59C8" w:rsidRPr="00545EC0" w:rsidRDefault="00FE59C8" w:rsidP="00FE59C8">
      <w:pPr>
        <w:rPr>
          <w:rFonts w:cs="Arial"/>
        </w:rPr>
      </w:pPr>
      <w:r w:rsidRPr="00545EC0">
        <w:rPr>
          <w:rFonts w:cs="Arial"/>
        </w:rPr>
        <w:t xml:space="preserve">Predhodni Načrt upravljanja voda na vodnem območju Donave </w:t>
      </w:r>
      <w:r w:rsidR="007608E2" w:rsidRPr="00545EC0">
        <w:rPr>
          <w:rFonts w:cs="Arial"/>
        </w:rPr>
        <w:t xml:space="preserve"> </w:t>
      </w:r>
      <w:r w:rsidRPr="00545EC0">
        <w:rPr>
          <w:rFonts w:cs="Arial"/>
        </w:rPr>
        <w:t>za obdobje 2015-2021 je pričel veljati s predpisom, ki</w:t>
      </w:r>
      <w:r w:rsidR="00A367A2" w:rsidRPr="00545EC0">
        <w:rPr>
          <w:rFonts w:cs="Arial"/>
        </w:rPr>
        <w:t xml:space="preserve"> ureja načrt upravljanja voda na</w:t>
      </w:r>
      <w:r w:rsidRPr="00545EC0">
        <w:rPr>
          <w:rFonts w:cs="Arial"/>
        </w:rPr>
        <w:t xml:space="preserve"> vodni</w:t>
      </w:r>
      <w:r w:rsidR="00A367A2" w:rsidRPr="00545EC0">
        <w:rPr>
          <w:rFonts w:cs="Arial"/>
        </w:rPr>
        <w:t>h</w:t>
      </w:r>
      <w:r w:rsidRPr="00545EC0">
        <w:rPr>
          <w:rFonts w:cs="Arial"/>
        </w:rPr>
        <w:t xml:space="preserve"> območji</w:t>
      </w:r>
      <w:r w:rsidR="00A367A2" w:rsidRPr="00545EC0">
        <w:rPr>
          <w:rFonts w:cs="Arial"/>
        </w:rPr>
        <w:t>h</w:t>
      </w:r>
      <w:r w:rsidRPr="00545EC0">
        <w:rPr>
          <w:rFonts w:cs="Arial"/>
        </w:rPr>
        <w:t xml:space="preserve"> Donave in</w:t>
      </w:r>
      <w:r w:rsidR="00E75CF8" w:rsidRPr="00545EC0">
        <w:rPr>
          <w:rFonts w:cs="Arial"/>
        </w:rPr>
        <w:t xml:space="preserve"> Jadranskega morja. Na podlagi z</w:t>
      </w:r>
      <w:r w:rsidRPr="00545EC0">
        <w:rPr>
          <w:rFonts w:cs="Arial"/>
        </w:rPr>
        <w:t>akona o vodah (59. člen) se načrt upravljanja voda pr</w:t>
      </w:r>
      <w:r w:rsidR="00D7150F" w:rsidRPr="00545EC0">
        <w:rPr>
          <w:rFonts w:cs="Arial"/>
        </w:rPr>
        <w:t xml:space="preserve">egleda in po potrebi posodobi </w:t>
      </w:r>
      <w:r w:rsidRPr="00545EC0">
        <w:rPr>
          <w:rFonts w:cs="Arial"/>
        </w:rPr>
        <w:t>vsakih 6 let. V skladu z obveznostmi in izvajanjem Direktive Evropskega parlamenta in Sveta 2000/60/ES z dne 23. oktobra 2000 o določitvi okvira za ukrepe Skupnosti na področju vodne polit</w:t>
      </w:r>
      <w:r w:rsidR="00401B38" w:rsidRPr="00545EC0">
        <w:rPr>
          <w:rFonts w:cs="Arial"/>
        </w:rPr>
        <w:t>ike (v nadaljnjem besedilu</w:t>
      </w:r>
      <w:r w:rsidR="00A367A2" w:rsidRPr="00545EC0">
        <w:rPr>
          <w:rFonts w:cs="Arial"/>
        </w:rPr>
        <w:t>: vodna direktiva) se načrt upravljanja voda na</w:t>
      </w:r>
      <w:r w:rsidRPr="00545EC0">
        <w:rPr>
          <w:rFonts w:cs="Arial"/>
        </w:rPr>
        <w:t xml:space="preserve"> vodni</w:t>
      </w:r>
      <w:r w:rsidR="00A367A2" w:rsidRPr="00545EC0">
        <w:rPr>
          <w:rFonts w:cs="Arial"/>
        </w:rPr>
        <w:t>h</w:t>
      </w:r>
      <w:r w:rsidRPr="00545EC0">
        <w:rPr>
          <w:rFonts w:cs="Arial"/>
        </w:rPr>
        <w:t xml:space="preserve"> območji</w:t>
      </w:r>
      <w:r w:rsidR="00A367A2" w:rsidRPr="00545EC0">
        <w:rPr>
          <w:rFonts w:cs="Arial"/>
        </w:rPr>
        <w:t>h</w:t>
      </w:r>
      <w:r w:rsidRPr="00545EC0">
        <w:rPr>
          <w:rFonts w:cs="Arial"/>
        </w:rPr>
        <w:t xml:space="preserve"> Donave in Jadranskega morja pripravi za naslednjih 6 le</w:t>
      </w:r>
      <w:r w:rsidR="0014072F" w:rsidRPr="00545EC0">
        <w:rPr>
          <w:rFonts w:cs="Arial"/>
        </w:rPr>
        <w:t>t in velja od leta 2022 – 2027.</w:t>
      </w:r>
    </w:p>
    <w:p w14:paraId="5561F0D0" w14:textId="5C3270A0" w:rsidR="00401B38" w:rsidRPr="00545EC0" w:rsidRDefault="00401B38">
      <w:pPr>
        <w:overflowPunct/>
        <w:autoSpaceDE/>
        <w:autoSpaceDN/>
        <w:adjustRightInd/>
        <w:spacing w:line="240" w:lineRule="auto"/>
        <w:jc w:val="left"/>
        <w:textAlignment w:val="auto"/>
        <w:rPr>
          <w:rFonts w:cs="Arial"/>
        </w:rPr>
      </w:pPr>
      <w:r w:rsidRPr="00545EC0">
        <w:rPr>
          <w:rFonts w:cs="Arial"/>
        </w:rPr>
        <w:br w:type="page"/>
      </w:r>
    </w:p>
    <w:p w14:paraId="26ABF603" w14:textId="394CF2C9" w:rsidR="00493E8B" w:rsidRPr="00545EC0" w:rsidRDefault="00E7394C" w:rsidP="003C7C5E">
      <w:pPr>
        <w:pStyle w:val="Naslov10"/>
      </w:pPr>
      <w:bookmarkStart w:id="26" w:name="_Toc90261014"/>
      <w:r w:rsidRPr="00545EC0">
        <w:lastRenderedPageBreak/>
        <w:t>OPIS IZHODIŠČNEGA STANJA NA OBMOČJU NAČRTA UPRAVLJANJA VODA</w:t>
      </w:r>
      <w:bookmarkEnd w:id="26"/>
    </w:p>
    <w:p w14:paraId="17D6CD72" w14:textId="7266F99A" w:rsidR="00AE414A" w:rsidRPr="00545EC0" w:rsidRDefault="009E0F88" w:rsidP="00AE414A">
      <w:pPr>
        <w:pStyle w:val="Naslov20"/>
        <w:rPr>
          <w:lang w:val="sl-SI"/>
        </w:rPr>
      </w:pPr>
      <w:bookmarkStart w:id="27" w:name="_Toc90261015"/>
      <w:r w:rsidRPr="00545EC0">
        <w:t>O</w:t>
      </w:r>
      <w:r w:rsidR="00493E8B" w:rsidRPr="00545EC0">
        <w:t>pis značilnosti vodnega območja</w:t>
      </w:r>
      <w:bookmarkEnd w:id="27"/>
    </w:p>
    <w:p w14:paraId="41DB760F" w14:textId="77777777" w:rsidR="006C00AE" w:rsidRPr="00545EC0" w:rsidRDefault="006C00AE">
      <w:pPr>
        <w:pStyle w:val="Naslov3"/>
      </w:pPr>
      <w:bookmarkStart w:id="28" w:name="_Toc90261016"/>
      <w:r w:rsidRPr="00545EC0">
        <w:t>Opis značilnosti za površinske vode</w:t>
      </w:r>
      <w:bookmarkEnd w:id="28"/>
    </w:p>
    <w:p w14:paraId="64FFB97F" w14:textId="52C92E29" w:rsidR="002D4B85" w:rsidRPr="00545EC0" w:rsidRDefault="002D4B85" w:rsidP="002D4B85">
      <w:r w:rsidRPr="00545EC0">
        <w:t>VO Donave tvorijo tri porečja, porečje Mure, porečje Drave in porečje Save (</w:t>
      </w:r>
      <w:r w:rsidRPr="00545EC0">
        <w:fldChar w:fldCharType="begin"/>
      </w:r>
      <w:r w:rsidRPr="00545EC0">
        <w:instrText xml:space="preserve"> REF _Ref462038764 \h </w:instrText>
      </w:r>
      <w:r w:rsidR="004F2AF2" w:rsidRPr="00545EC0">
        <w:instrText xml:space="preserve"> \* MERGEFORMAT </w:instrText>
      </w:r>
      <w:r w:rsidRPr="00545EC0">
        <w:fldChar w:fldCharType="separate"/>
      </w:r>
      <w:r w:rsidR="002F3E43" w:rsidRPr="00545EC0">
        <w:t xml:space="preserve">Preglednica </w:t>
      </w:r>
      <w:r w:rsidR="002F3E43">
        <w:rPr>
          <w:noProof/>
        </w:rPr>
        <w:t>2</w:t>
      </w:r>
      <w:r w:rsidR="002F3E43" w:rsidRPr="00545EC0">
        <w:rPr>
          <w:noProof/>
        </w:rPr>
        <w:noBreakHyphen/>
      </w:r>
      <w:r w:rsidR="002F3E43">
        <w:rPr>
          <w:noProof/>
        </w:rPr>
        <w:t>1</w:t>
      </w:r>
      <w:r w:rsidRPr="00545EC0">
        <w:fldChar w:fldCharType="end"/>
      </w:r>
      <w:r w:rsidRPr="00545EC0">
        <w:t xml:space="preserve"> in </w:t>
      </w:r>
      <w:r w:rsidRPr="00545EC0">
        <w:rPr>
          <w:i/>
        </w:rPr>
        <w:t>Publikacijska karta</w:t>
      </w:r>
      <w:r w:rsidR="001D5C1B" w:rsidRPr="00545EC0">
        <w:rPr>
          <w:i/>
        </w:rPr>
        <w:t xml:space="preserve"> 1.1</w:t>
      </w:r>
      <w:r w:rsidRPr="00545EC0">
        <w:rPr>
          <w:i/>
        </w:rPr>
        <w:t>: Hidrografska mreža, porečja in povodji</w:t>
      </w:r>
      <w:r w:rsidRPr="00545EC0">
        <w:t>). VO Donave meri 16.421 km</w:t>
      </w:r>
      <w:r w:rsidRPr="00545EC0">
        <w:rPr>
          <w:vertAlign w:val="superscript"/>
        </w:rPr>
        <w:t>2</w:t>
      </w:r>
      <w:r w:rsidRPr="00545EC0">
        <w:t xml:space="preserve">, kar je 80,8 % ozemlja Slovenije. Na VO Donave živi več kot 1.800.000 prebivalcev, to pa predstavlja več kot 88 % celotnega prebivalstva v Sloveniji. </w:t>
      </w:r>
    </w:p>
    <w:p w14:paraId="62AE0658" w14:textId="77777777" w:rsidR="00AE414A" w:rsidRPr="00545EC0" w:rsidRDefault="00AE414A" w:rsidP="002D4B85"/>
    <w:p w14:paraId="55754DD9" w14:textId="1B15FA25" w:rsidR="002D4B85" w:rsidRPr="00545EC0" w:rsidRDefault="002D4B85" w:rsidP="002D4B85">
      <w:pPr>
        <w:pStyle w:val="Napis"/>
      </w:pPr>
      <w:bookmarkStart w:id="29" w:name="_Ref462038764"/>
      <w:bookmarkStart w:id="30" w:name="_Toc419097361"/>
      <w:bookmarkStart w:id="31" w:name="_Toc384108240"/>
      <w:bookmarkStart w:id="32" w:name="_Toc299421076"/>
      <w:bookmarkStart w:id="33" w:name="_Toc275865800"/>
      <w:bookmarkStart w:id="34" w:name="_Toc240425685"/>
      <w:bookmarkStart w:id="35" w:name="_Toc235363577"/>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1</w:t>
        </w:r>
      </w:fldSimple>
      <w:bookmarkEnd w:id="29"/>
      <w:r w:rsidRPr="00545EC0">
        <w:t>: Porečja na VO Donave</w:t>
      </w:r>
    </w:p>
    <w:tbl>
      <w:tblPr>
        <w:tblW w:w="5000" w:type="pct"/>
        <w:tblCellMar>
          <w:left w:w="70" w:type="dxa"/>
          <w:right w:w="70" w:type="dxa"/>
        </w:tblCellMar>
        <w:tblLook w:val="04A0" w:firstRow="1" w:lastRow="0" w:firstColumn="1" w:lastColumn="0" w:noHBand="0" w:noVBand="1"/>
      </w:tblPr>
      <w:tblGrid>
        <w:gridCol w:w="1442"/>
        <w:gridCol w:w="1806"/>
        <w:gridCol w:w="2132"/>
        <w:gridCol w:w="1499"/>
        <w:gridCol w:w="2332"/>
      </w:tblGrid>
      <w:tr w:rsidR="003122F4" w:rsidRPr="00545EC0" w14:paraId="7807123B" w14:textId="77777777" w:rsidTr="00AE414A">
        <w:trPr>
          <w:trHeight w:val="255"/>
        </w:trPr>
        <w:tc>
          <w:tcPr>
            <w:tcW w:w="801" w:type="pct"/>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bookmarkEnd w:id="30"/>
          <w:bookmarkEnd w:id="31"/>
          <w:bookmarkEnd w:id="32"/>
          <w:bookmarkEnd w:id="33"/>
          <w:bookmarkEnd w:id="34"/>
          <w:bookmarkEnd w:id="35"/>
          <w:p w14:paraId="10385547" w14:textId="77777777" w:rsidR="002D4B85" w:rsidRPr="00545EC0" w:rsidRDefault="002D4B85" w:rsidP="00017486">
            <w:pPr>
              <w:jc w:val="center"/>
              <w:rPr>
                <w:rFonts w:cs="Arial"/>
                <w:b/>
                <w:bCs/>
                <w:spacing w:val="-3"/>
                <w:sz w:val="18"/>
                <w:szCs w:val="18"/>
                <w:lang w:eastAsia="ja-JP"/>
              </w:rPr>
            </w:pPr>
            <w:r w:rsidRPr="00545EC0">
              <w:rPr>
                <w:rFonts w:cs="Arial"/>
                <w:b/>
                <w:bCs/>
                <w:spacing w:val="-3"/>
                <w:sz w:val="18"/>
                <w:szCs w:val="18"/>
              </w:rPr>
              <w:t>Porečje</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C2C374B" w14:textId="77777777" w:rsidR="002D4B85" w:rsidRPr="00545EC0" w:rsidRDefault="002D4B85" w:rsidP="00017486">
            <w:pPr>
              <w:jc w:val="center"/>
              <w:rPr>
                <w:rFonts w:cs="Arial"/>
                <w:b/>
                <w:bCs/>
                <w:spacing w:val="-3"/>
                <w:sz w:val="18"/>
                <w:szCs w:val="18"/>
                <w:lang w:eastAsia="ja-JP"/>
              </w:rPr>
            </w:pPr>
            <w:r w:rsidRPr="00545EC0">
              <w:rPr>
                <w:rFonts w:cs="Arial"/>
                <w:b/>
                <w:bCs/>
                <w:spacing w:val="-3"/>
                <w:sz w:val="18"/>
                <w:szCs w:val="18"/>
              </w:rPr>
              <w:t>Površina (km</w:t>
            </w:r>
            <w:r w:rsidRPr="00545EC0">
              <w:rPr>
                <w:rFonts w:cs="Arial"/>
                <w:b/>
                <w:bCs/>
                <w:spacing w:val="-3"/>
                <w:sz w:val="18"/>
                <w:szCs w:val="18"/>
                <w:vertAlign w:val="superscript"/>
              </w:rPr>
              <w:t>2</w:t>
            </w:r>
            <w:r w:rsidRPr="00545EC0">
              <w:rPr>
                <w:rFonts w:cs="Arial"/>
                <w:b/>
                <w:bCs/>
                <w:spacing w:val="-3"/>
                <w:sz w:val="18"/>
                <w:szCs w:val="18"/>
              </w:rPr>
              <w:t>)</w:t>
            </w:r>
          </w:p>
        </w:tc>
        <w:tc>
          <w:tcPr>
            <w:tcW w:w="1083"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752226C" w14:textId="77777777" w:rsidR="002D4B85" w:rsidRPr="00545EC0" w:rsidRDefault="002D4B85" w:rsidP="00017486">
            <w:pPr>
              <w:jc w:val="center"/>
              <w:rPr>
                <w:rFonts w:cs="Arial"/>
                <w:b/>
                <w:bCs/>
                <w:spacing w:val="-3"/>
                <w:sz w:val="18"/>
                <w:szCs w:val="18"/>
                <w:lang w:eastAsia="ja-JP"/>
              </w:rPr>
            </w:pPr>
            <w:r w:rsidRPr="00545EC0">
              <w:rPr>
                <w:rFonts w:cs="Arial"/>
                <w:b/>
                <w:bCs/>
                <w:spacing w:val="-3"/>
                <w:sz w:val="18"/>
                <w:szCs w:val="18"/>
              </w:rPr>
              <w:t>Delež porečja na VO (%)</w:t>
            </w:r>
          </w:p>
        </w:tc>
        <w:tc>
          <w:tcPr>
            <w:tcW w:w="832"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4FF4B79" w14:textId="77777777" w:rsidR="002D4B85" w:rsidRPr="00545EC0" w:rsidRDefault="002D4B85" w:rsidP="00017486">
            <w:pPr>
              <w:jc w:val="center"/>
              <w:rPr>
                <w:rFonts w:cs="Arial"/>
                <w:b/>
                <w:bCs/>
                <w:spacing w:val="-3"/>
                <w:sz w:val="18"/>
                <w:szCs w:val="18"/>
                <w:lang w:eastAsia="ja-JP"/>
              </w:rPr>
            </w:pPr>
            <w:r w:rsidRPr="00545EC0">
              <w:rPr>
                <w:rFonts w:cs="Arial"/>
                <w:b/>
                <w:bCs/>
                <w:spacing w:val="-3"/>
                <w:sz w:val="18"/>
                <w:szCs w:val="18"/>
              </w:rPr>
              <w:t>Število VTPV</w:t>
            </w:r>
          </w:p>
        </w:tc>
        <w:tc>
          <w:tcPr>
            <w:tcW w:w="128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0FF2A50" w14:textId="77777777" w:rsidR="002D4B85" w:rsidRPr="00545EC0" w:rsidRDefault="002D4B85" w:rsidP="00017486">
            <w:pPr>
              <w:jc w:val="center"/>
              <w:rPr>
                <w:rFonts w:cs="Arial"/>
                <w:b/>
                <w:bCs/>
                <w:sz w:val="18"/>
                <w:szCs w:val="18"/>
                <w:lang w:eastAsia="ja-JP"/>
              </w:rPr>
            </w:pPr>
            <w:r w:rsidRPr="00545EC0">
              <w:rPr>
                <w:rFonts w:cs="Arial"/>
                <w:b/>
                <w:bCs/>
                <w:sz w:val="18"/>
                <w:szCs w:val="18"/>
              </w:rPr>
              <w:t>Gostota rečne mreže (km/km</w:t>
            </w:r>
            <w:r w:rsidRPr="00545EC0">
              <w:rPr>
                <w:rFonts w:cs="Arial"/>
                <w:b/>
                <w:bCs/>
                <w:sz w:val="18"/>
                <w:szCs w:val="18"/>
                <w:vertAlign w:val="superscript"/>
              </w:rPr>
              <w:t>2</w:t>
            </w:r>
            <w:r w:rsidRPr="00545EC0">
              <w:rPr>
                <w:rFonts w:cs="Arial"/>
                <w:b/>
                <w:bCs/>
                <w:sz w:val="18"/>
                <w:szCs w:val="18"/>
              </w:rPr>
              <w:t>)</w:t>
            </w:r>
          </w:p>
        </w:tc>
      </w:tr>
      <w:tr w:rsidR="003122F4" w:rsidRPr="00545EC0" w14:paraId="6930104C" w14:textId="77777777" w:rsidTr="00AE414A">
        <w:trPr>
          <w:trHeight w:val="255"/>
        </w:trPr>
        <w:tc>
          <w:tcPr>
            <w:tcW w:w="801" w:type="pct"/>
            <w:tcBorders>
              <w:top w:val="nil"/>
              <w:left w:val="single" w:sz="4" w:space="0" w:color="auto"/>
              <w:bottom w:val="single" w:sz="4" w:space="0" w:color="auto"/>
              <w:right w:val="nil"/>
            </w:tcBorders>
            <w:noWrap/>
            <w:vAlign w:val="center"/>
            <w:hideMark/>
          </w:tcPr>
          <w:p w14:paraId="4253531A" w14:textId="77777777" w:rsidR="002D4B85" w:rsidRPr="00545EC0" w:rsidRDefault="002D4B85" w:rsidP="00017486">
            <w:pPr>
              <w:rPr>
                <w:rFonts w:cs="Arial"/>
                <w:sz w:val="18"/>
                <w:szCs w:val="18"/>
                <w:lang w:eastAsia="ja-JP"/>
              </w:rPr>
            </w:pPr>
            <w:r w:rsidRPr="00545EC0">
              <w:rPr>
                <w:rFonts w:cs="Arial"/>
                <w:sz w:val="18"/>
                <w:szCs w:val="18"/>
              </w:rPr>
              <w:t>Mura</w:t>
            </w:r>
          </w:p>
        </w:tc>
        <w:tc>
          <w:tcPr>
            <w:tcW w:w="999" w:type="pct"/>
            <w:tcBorders>
              <w:top w:val="nil"/>
              <w:left w:val="single" w:sz="4" w:space="0" w:color="auto"/>
              <w:bottom w:val="single" w:sz="4" w:space="0" w:color="auto"/>
              <w:right w:val="single" w:sz="4" w:space="0" w:color="auto"/>
            </w:tcBorders>
            <w:noWrap/>
            <w:vAlign w:val="center"/>
            <w:hideMark/>
          </w:tcPr>
          <w:p w14:paraId="11A7D50E" w14:textId="77777777" w:rsidR="002D4B85" w:rsidRPr="00545EC0" w:rsidRDefault="002D4B85" w:rsidP="00017486">
            <w:pPr>
              <w:jc w:val="center"/>
              <w:rPr>
                <w:rFonts w:cs="Arial"/>
                <w:sz w:val="18"/>
                <w:szCs w:val="18"/>
                <w:lang w:eastAsia="ja-JP"/>
              </w:rPr>
            </w:pPr>
            <w:r w:rsidRPr="00545EC0">
              <w:rPr>
                <w:rFonts w:cs="Arial"/>
                <w:sz w:val="18"/>
                <w:szCs w:val="18"/>
              </w:rPr>
              <w:t>1.387</w:t>
            </w:r>
          </w:p>
        </w:tc>
        <w:tc>
          <w:tcPr>
            <w:tcW w:w="1083" w:type="pct"/>
            <w:tcBorders>
              <w:top w:val="nil"/>
              <w:left w:val="nil"/>
              <w:bottom w:val="single" w:sz="4" w:space="0" w:color="auto"/>
              <w:right w:val="single" w:sz="4" w:space="0" w:color="auto"/>
            </w:tcBorders>
            <w:noWrap/>
            <w:vAlign w:val="center"/>
            <w:hideMark/>
          </w:tcPr>
          <w:p w14:paraId="6EA52DEF" w14:textId="77777777" w:rsidR="002D4B85" w:rsidRPr="00545EC0" w:rsidRDefault="002D4B85" w:rsidP="00017486">
            <w:pPr>
              <w:jc w:val="center"/>
              <w:rPr>
                <w:rFonts w:cs="Arial"/>
                <w:sz w:val="18"/>
                <w:szCs w:val="18"/>
                <w:lang w:eastAsia="ja-JP"/>
              </w:rPr>
            </w:pPr>
            <w:r w:rsidRPr="00545EC0">
              <w:rPr>
                <w:rFonts w:cs="Arial"/>
                <w:sz w:val="18"/>
                <w:szCs w:val="18"/>
              </w:rPr>
              <w:t>8,4</w:t>
            </w:r>
          </w:p>
        </w:tc>
        <w:tc>
          <w:tcPr>
            <w:tcW w:w="832" w:type="pct"/>
            <w:tcBorders>
              <w:top w:val="nil"/>
              <w:left w:val="nil"/>
              <w:bottom w:val="single" w:sz="4" w:space="0" w:color="auto"/>
              <w:right w:val="single" w:sz="4" w:space="0" w:color="auto"/>
            </w:tcBorders>
            <w:vAlign w:val="center"/>
            <w:hideMark/>
          </w:tcPr>
          <w:p w14:paraId="51E01E56" w14:textId="77777777" w:rsidR="002D4B85" w:rsidRPr="00545EC0" w:rsidRDefault="002D4B85" w:rsidP="00017486">
            <w:pPr>
              <w:jc w:val="center"/>
              <w:rPr>
                <w:rFonts w:cs="Arial"/>
                <w:sz w:val="18"/>
                <w:szCs w:val="18"/>
                <w:lang w:eastAsia="ja-JP"/>
              </w:rPr>
            </w:pPr>
            <w:r w:rsidRPr="00545EC0">
              <w:rPr>
                <w:rFonts w:cs="Arial"/>
                <w:sz w:val="18"/>
                <w:szCs w:val="18"/>
              </w:rPr>
              <w:t>14</w:t>
            </w:r>
          </w:p>
        </w:tc>
        <w:tc>
          <w:tcPr>
            <w:tcW w:w="1284" w:type="pct"/>
            <w:tcBorders>
              <w:top w:val="nil"/>
              <w:left w:val="nil"/>
              <w:bottom w:val="single" w:sz="4" w:space="0" w:color="auto"/>
              <w:right w:val="single" w:sz="4" w:space="0" w:color="auto"/>
            </w:tcBorders>
            <w:vAlign w:val="center"/>
            <w:hideMark/>
          </w:tcPr>
          <w:p w14:paraId="1DF8B478" w14:textId="77777777" w:rsidR="002D4B85" w:rsidRPr="00545EC0" w:rsidRDefault="002D4B85" w:rsidP="00017486">
            <w:pPr>
              <w:jc w:val="center"/>
              <w:rPr>
                <w:rFonts w:cs="Arial"/>
                <w:sz w:val="18"/>
                <w:szCs w:val="18"/>
                <w:lang w:eastAsia="ja-JP"/>
              </w:rPr>
            </w:pPr>
            <w:r w:rsidRPr="00545EC0">
              <w:rPr>
                <w:rFonts w:cs="Arial"/>
                <w:sz w:val="18"/>
                <w:szCs w:val="18"/>
              </w:rPr>
              <w:t>0,6</w:t>
            </w:r>
          </w:p>
        </w:tc>
      </w:tr>
      <w:tr w:rsidR="003122F4" w:rsidRPr="00545EC0" w14:paraId="775DBF5C" w14:textId="77777777" w:rsidTr="00AE414A">
        <w:trPr>
          <w:trHeight w:val="255"/>
        </w:trPr>
        <w:tc>
          <w:tcPr>
            <w:tcW w:w="801" w:type="pct"/>
            <w:tcBorders>
              <w:top w:val="nil"/>
              <w:left w:val="single" w:sz="4" w:space="0" w:color="auto"/>
              <w:bottom w:val="single" w:sz="4" w:space="0" w:color="auto"/>
              <w:right w:val="nil"/>
            </w:tcBorders>
            <w:noWrap/>
            <w:vAlign w:val="center"/>
            <w:hideMark/>
          </w:tcPr>
          <w:p w14:paraId="73EE0FFE" w14:textId="77777777" w:rsidR="002D4B85" w:rsidRPr="00545EC0" w:rsidRDefault="002D4B85" w:rsidP="00017486">
            <w:pPr>
              <w:rPr>
                <w:rFonts w:cs="Arial"/>
                <w:sz w:val="18"/>
                <w:szCs w:val="18"/>
                <w:lang w:eastAsia="ja-JP"/>
              </w:rPr>
            </w:pPr>
            <w:r w:rsidRPr="00545EC0">
              <w:rPr>
                <w:rFonts w:cs="Arial"/>
                <w:sz w:val="18"/>
                <w:szCs w:val="18"/>
              </w:rPr>
              <w:t>Drava</w:t>
            </w:r>
          </w:p>
        </w:tc>
        <w:tc>
          <w:tcPr>
            <w:tcW w:w="999" w:type="pct"/>
            <w:tcBorders>
              <w:top w:val="nil"/>
              <w:left w:val="single" w:sz="4" w:space="0" w:color="auto"/>
              <w:bottom w:val="single" w:sz="4" w:space="0" w:color="auto"/>
              <w:right w:val="single" w:sz="4" w:space="0" w:color="auto"/>
            </w:tcBorders>
            <w:noWrap/>
            <w:vAlign w:val="center"/>
            <w:hideMark/>
          </w:tcPr>
          <w:p w14:paraId="0EE8820E" w14:textId="77777777" w:rsidR="002D4B85" w:rsidRPr="00545EC0" w:rsidRDefault="002D4B85" w:rsidP="00017486">
            <w:pPr>
              <w:jc w:val="center"/>
              <w:rPr>
                <w:rFonts w:cs="Arial"/>
                <w:sz w:val="18"/>
                <w:szCs w:val="18"/>
                <w:lang w:eastAsia="ja-JP"/>
              </w:rPr>
            </w:pPr>
            <w:r w:rsidRPr="00545EC0">
              <w:rPr>
                <w:rFonts w:cs="Arial"/>
                <w:sz w:val="18"/>
                <w:szCs w:val="18"/>
              </w:rPr>
              <w:t>3.271</w:t>
            </w:r>
          </w:p>
        </w:tc>
        <w:tc>
          <w:tcPr>
            <w:tcW w:w="1083" w:type="pct"/>
            <w:tcBorders>
              <w:top w:val="nil"/>
              <w:left w:val="nil"/>
              <w:bottom w:val="single" w:sz="4" w:space="0" w:color="auto"/>
              <w:right w:val="single" w:sz="4" w:space="0" w:color="auto"/>
            </w:tcBorders>
            <w:noWrap/>
            <w:vAlign w:val="center"/>
            <w:hideMark/>
          </w:tcPr>
          <w:p w14:paraId="08D21374" w14:textId="77777777" w:rsidR="002D4B85" w:rsidRPr="00545EC0" w:rsidRDefault="002D4B85" w:rsidP="00017486">
            <w:pPr>
              <w:jc w:val="center"/>
              <w:rPr>
                <w:rFonts w:cs="Arial"/>
                <w:sz w:val="18"/>
                <w:szCs w:val="18"/>
                <w:lang w:eastAsia="ja-JP"/>
              </w:rPr>
            </w:pPr>
            <w:r w:rsidRPr="00545EC0">
              <w:rPr>
                <w:rFonts w:cs="Arial"/>
                <w:sz w:val="18"/>
                <w:szCs w:val="18"/>
              </w:rPr>
              <w:t>19,9</w:t>
            </w:r>
          </w:p>
        </w:tc>
        <w:tc>
          <w:tcPr>
            <w:tcW w:w="832" w:type="pct"/>
            <w:tcBorders>
              <w:top w:val="nil"/>
              <w:left w:val="nil"/>
              <w:bottom w:val="single" w:sz="4" w:space="0" w:color="auto"/>
              <w:right w:val="single" w:sz="4" w:space="0" w:color="auto"/>
            </w:tcBorders>
            <w:vAlign w:val="center"/>
            <w:hideMark/>
          </w:tcPr>
          <w:p w14:paraId="7E40FDBD" w14:textId="77777777" w:rsidR="002D4B85" w:rsidRPr="00545EC0" w:rsidRDefault="002D4B85" w:rsidP="00017486">
            <w:pPr>
              <w:jc w:val="center"/>
              <w:rPr>
                <w:rFonts w:cs="Arial"/>
                <w:sz w:val="18"/>
                <w:szCs w:val="18"/>
                <w:lang w:eastAsia="ja-JP"/>
              </w:rPr>
            </w:pPr>
            <w:r w:rsidRPr="00545EC0">
              <w:rPr>
                <w:rFonts w:cs="Arial"/>
                <w:sz w:val="18"/>
                <w:szCs w:val="18"/>
              </w:rPr>
              <w:t>24</w:t>
            </w:r>
          </w:p>
        </w:tc>
        <w:tc>
          <w:tcPr>
            <w:tcW w:w="1284" w:type="pct"/>
            <w:tcBorders>
              <w:top w:val="nil"/>
              <w:left w:val="nil"/>
              <w:bottom w:val="single" w:sz="4" w:space="0" w:color="auto"/>
              <w:right w:val="single" w:sz="4" w:space="0" w:color="auto"/>
            </w:tcBorders>
            <w:vAlign w:val="center"/>
            <w:hideMark/>
          </w:tcPr>
          <w:p w14:paraId="1E532922" w14:textId="77777777" w:rsidR="002D4B85" w:rsidRPr="00545EC0" w:rsidRDefault="002D4B85" w:rsidP="00017486">
            <w:pPr>
              <w:jc w:val="center"/>
              <w:rPr>
                <w:rFonts w:cs="Arial"/>
                <w:sz w:val="18"/>
                <w:szCs w:val="18"/>
                <w:lang w:eastAsia="ja-JP"/>
              </w:rPr>
            </w:pPr>
            <w:r w:rsidRPr="00545EC0">
              <w:rPr>
                <w:rFonts w:cs="Arial"/>
                <w:sz w:val="18"/>
                <w:szCs w:val="18"/>
              </w:rPr>
              <w:t>0,5</w:t>
            </w:r>
          </w:p>
        </w:tc>
      </w:tr>
      <w:tr w:rsidR="003122F4" w:rsidRPr="00545EC0" w14:paraId="07832AEB" w14:textId="77777777" w:rsidTr="00AE414A">
        <w:trPr>
          <w:trHeight w:val="255"/>
        </w:trPr>
        <w:tc>
          <w:tcPr>
            <w:tcW w:w="801" w:type="pct"/>
            <w:tcBorders>
              <w:top w:val="nil"/>
              <w:left w:val="single" w:sz="4" w:space="0" w:color="auto"/>
              <w:bottom w:val="single" w:sz="4" w:space="0" w:color="auto"/>
              <w:right w:val="nil"/>
            </w:tcBorders>
            <w:noWrap/>
            <w:vAlign w:val="center"/>
            <w:hideMark/>
          </w:tcPr>
          <w:p w14:paraId="62832D99" w14:textId="77777777" w:rsidR="002D4B85" w:rsidRPr="00545EC0" w:rsidRDefault="002D4B85" w:rsidP="00017486">
            <w:pPr>
              <w:rPr>
                <w:rFonts w:cs="Arial"/>
                <w:sz w:val="18"/>
                <w:szCs w:val="18"/>
                <w:lang w:eastAsia="ja-JP"/>
              </w:rPr>
            </w:pPr>
            <w:r w:rsidRPr="00545EC0">
              <w:rPr>
                <w:rFonts w:cs="Arial"/>
                <w:sz w:val="18"/>
                <w:szCs w:val="18"/>
              </w:rPr>
              <w:t>Sava</w:t>
            </w:r>
          </w:p>
        </w:tc>
        <w:tc>
          <w:tcPr>
            <w:tcW w:w="999" w:type="pct"/>
            <w:tcBorders>
              <w:top w:val="nil"/>
              <w:left w:val="single" w:sz="4" w:space="0" w:color="auto"/>
              <w:bottom w:val="single" w:sz="4" w:space="0" w:color="auto"/>
              <w:right w:val="single" w:sz="4" w:space="0" w:color="auto"/>
            </w:tcBorders>
            <w:noWrap/>
            <w:vAlign w:val="center"/>
            <w:hideMark/>
          </w:tcPr>
          <w:p w14:paraId="5D79261D" w14:textId="77777777" w:rsidR="002D4B85" w:rsidRPr="00545EC0" w:rsidRDefault="002D4B85" w:rsidP="00017486">
            <w:pPr>
              <w:jc w:val="center"/>
              <w:rPr>
                <w:rFonts w:cs="Arial"/>
                <w:sz w:val="18"/>
                <w:szCs w:val="18"/>
                <w:lang w:eastAsia="ja-JP"/>
              </w:rPr>
            </w:pPr>
            <w:r w:rsidRPr="00545EC0">
              <w:rPr>
                <w:rFonts w:cs="Arial"/>
                <w:sz w:val="18"/>
                <w:szCs w:val="18"/>
              </w:rPr>
              <w:t>11.759</w:t>
            </w:r>
          </w:p>
        </w:tc>
        <w:tc>
          <w:tcPr>
            <w:tcW w:w="1083" w:type="pct"/>
            <w:tcBorders>
              <w:top w:val="nil"/>
              <w:left w:val="nil"/>
              <w:bottom w:val="single" w:sz="4" w:space="0" w:color="auto"/>
              <w:right w:val="single" w:sz="4" w:space="0" w:color="auto"/>
            </w:tcBorders>
            <w:noWrap/>
            <w:vAlign w:val="center"/>
            <w:hideMark/>
          </w:tcPr>
          <w:p w14:paraId="0BB81715" w14:textId="77777777" w:rsidR="002D4B85" w:rsidRPr="00545EC0" w:rsidRDefault="002D4B85" w:rsidP="00017486">
            <w:pPr>
              <w:jc w:val="center"/>
              <w:rPr>
                <w:rFonts w:cs="Arial"/>
                <w:sz w:val="18"/>
                <w:szCs w:val="18"/>
                <w:lang w:eastAsia="ja-JP"/>
              </w:rPr>
            </w:pPr>
            <w:r w:rsidRPr="00545EC0">
              <w:rPr>
                <w:rFonts w:cs="Arial"/>
                <w:sz w:val="18"/>
                <w:szCs w:val="18"/>
              </w:rPr>
              <w:t>71,6</w:t>
            </w:r>
          </w:p>
        </w:tc>
        <w:tc>
          <w:tcPr>
            <w:tcW w:w="832" w:type="pct"/>
            <w:tcBorders>
              <w:top w:val="nil"/>
              <w:left w:val="nil"/>
              <w:bottom w:val="single" w:sz="4" w:space="0" w:color="auto"/>
              <w:right w:val="single" w:sz="4" w:space="0" w:color="auto"/>
            </w:tcBorders>
            <w:vAlign w:val="center"/>
            <w:hideMark/>
          </w:tcPr>
          <w:p w14:paraId="305A2D5D" w14:textId="77777777" w:rsidR="002D4B85" w:rsidRPr="00545EC0" w:rsidRDefault="002D4B85" w:rsidP="00017486">
            <w:pPr>
              <w:jc w:val="center"/>
              <w:rPr>
                <w:rFonts w:cs="Arial"/>
                <w:sz w:val="18"/>
                <w:szCs w:val="18"/>
                <w:lang w:eastAsia="ja-JP"/>
              </w:rPr>
            </w:pPr>
            <w:r w:rsidRPr="00545EC0">
              <w:rPr>
                <w:rFonts w:cs="Arial"/>
                <w:sz w:val="18"/>
                <w:szCs w:val="18"/>
              </w:rPr>
              <w:t>83</w:t>
            </w:r>
          </w:p>
        </w:tc>
        <w:tc>
          <w:tcPr>
            <w:tcW w:w="1284" w:type="pct"/>
            <w:tcBorders>
              <w:top w:val="nil"/>
              <w:left w:val="nil"/>
              <w:bottom w:val="single" w:sz="4" w:space="0" w:color="auto"/>
              <w:right w:val="single" w:sz="4" w:space="0" w:color="auto"/>
            </w:tcBorders>
            <w:vAlign w:val="center"/>
            <w:hideMark/>
          </w:tcPr>
          <w:p w14:paraId="0E8B0D20" w14:textId="77777777" w:rsidR="002D4B85" w:rsidRPr="00545EC0" w:rsidRDefault="002D4B85" w:rsidP="00017486">
            <w:pPr>
              <w:jc w:val="center"/>
              <w:rPr>
                <w:rFonts w:cs="Arial"/>
                <w:sz w:val="18"/>
                <w:szCs w:val="18"/>
                <w:lang w:eastAsia="ja-JP"/>
              </w:rPr>
            </w:pPr>
            <w:r w:rsidRPr="00545EC0">
              <w:rPr>
                <w:rFonts w:cs="Arial"/>
                <w:sz w:val="18"/>
                <w:szCs w:val="18"/>
              </w:rPr>
              <w:t>0,3</w:t>
            </w:r>
          </w:p>
        </w:tc>
      </w:tr>
    </w:tbl>
    <w:p w14:paraId="4E1225E1" w14:textId="77777777" w:rsidR="002D4B85" w:rsidRPr="00545EC0" w:rsidRDefault="002D4B85" w:rsidP="002D4B85">
      <w:pPr>
        <w:rPr>
          <w:rFonts w:cs="Arial"/>
          <w:i/>
          <w:szCs w:val="20"/>
          <w:lang w:eastAsia="ja-JP"/>
        </w:rPr>
      </w:pPr>
      <w:r w:rsidRPr="00545EC0">
        <w:rPr>
          <w:rFonts w:cs="Arial"/>
          <w:i/>
          <w:szCs w:val="20"/>
        </w:rPr>
        <w:t>* VTPV– vodno telo površinske vode</w:t>
      </w:r>
    </w:p>
    <w:p w14:paraId="2943FE88" w14:textId="77777777" w:rsidR="002D4B85" w:rsidRPr="00545EC0" w:rsidRDefault="002D4B85" w:rsidP="002D4B85">
      <w:pPr>
        <w:pStyle w:val="podnaslov0"/>
      </w:pPr>
      <w:bookmarkStart w:id="36" w:name="_Toc419099170"/>
      <w:r w:rsidRPr="00545EC0">
        <w:t>Opis značilnosti porečja Mure</w:t>
      </w:r>
      <w:bookmarkEnd w:id="36"/>
    </w:p>
    <w:p w14:paraId="3088806C" w14:textId="239F8C18" w:rsidR="002D4B85" w:rsidRPr="00545EC0" w:rsidRDefault="002D4B85" w:rsidP="002D4B85">
      <w:pPr>
        <w:rPr>
          <w:rFonts w:cs="Arial"/>
        </w:rPr>
      </w:pPr>
      <w:r w:rsidRPr="00545EC0">
        <w:rPr>
          <w:rFonts w:cs="Arial"/>
        </w:rPr>
        <w:t>Površina porečja Mure obsega 1.387 km</w:t>
      </w:r>
      <w:r w:rsidRPr="00545EC0">
        <w:rPr>
          <w:rFonts w:cs="Arial"/>
          <w:vertAlign w:val="superscript"/>
        </w:rPr>
        <w:t>2</w:t>
      </w:r>
      <w:r w:rsidRPr="00545EC0">
        <w:rPr>
          <w:rFonts w:cs="Arial"/>
        </w:rPr>
        <w:t xml:space="preserve"> in zavzema 8,4 % celotnega VO Donave. Površina tega porečja v primerjavi s površino </w:t>
      </w:r>
      <w:r w:rsidR="00307E73" w:rsidRPr="00545EC0">
        <w:rPr>
          <w:rFonts w:cs="Arial"/>
        </w:rPr>
        <w:t xml:space="preserve">Republike </w:t>
      </w:r>
      <w:r w:rsidRPr="00545EC0">
        <w:rPr>
          <w:rFonts w:cs="Arial"/>
        </w:rPr>
        <w:t>Slovenije znaša 6,96 %. Dolžina vseh rek na porečju Mure meri 4</w:t>
      </w:r>
      <w:r w:rsidR="00803715" w:rsidRPr="00545EC0">
        <w:rPr>
          <w:rFonts w:cs="Arial"/>
        </w:rPr>
        <w:t>.</w:t>
      </w:r>
      <w:r w:rsidRPr="00545EC0">
        <w:rPr>
          <w:rFonts w:cs="Arial"/>
        </w:rPr>
        <w:t>689 km. Gostota rečne mreže na porečju Mure znaša 3,4 km/km</w:t>
      </w:r>
      <w:r w:rsidRPr="00545EC0">
        <w:rPr>
          <w:rFonts w:cs="Arial"/>
          <w:vertAlign w:val="superscript"/>
        </w:rPr>
        <w:t>2</w:t>
      </w:r>
      <w:r w:rsidRPr="00545EC0">
        <w:rPr>
          <w:rFonts w:cs="Arial"/>
        </w:rPr>
        <w:t xml:space="preserve">. </w:t>
      </w:r>
    </w:p>
    <w:p w14:paraId="7FB380FA" w14:textId="77777777" w:rsidR="002D4B85" w:rsidRPr="00545EC0" w:rsidRDefault="002D4B85" w:rsidP="002D4B85">
      <w:pPr>
        <w:rPr>
          <w:rFonts w:cs="Arial"/>
        </w:rPr>
      </w:pPr>
    </w:p>
    <w:p w14:paraId="2467FD8B" w14:textId="2C53E51F" w:rsidR="002D4B85" w:rsidRPr="00545EC0" w:rsidRDefault="002D4B85" w:rsidP="002D4B85">
      <w:pPr>
        <w:rPr>
          <w:rFonts w:eastAsia="Arial Unicode MS" w:cs="Arial"/>
          <w:spacing w:val="-2"/>
        </w:rPr>
      </w:pPr>
      <w:r w:rsidRPr="00545EC0">
        <w:rPr>
          <w:rFonts w:eastAsia="Arial Unicode MS" w:cs="Arial"/>
          <w:spacing w:val="-2"/>
        </w:rPr>
        <w:t>Porečje Mure obsega 14 od skupno 155 VTPV (</w:t>
      </w:r>
      <w:r w:rsidRPr="00545EC0">
        <w:rPr>
          <w:rFonts w:eastAsia="Arial Unicode MS" w:cs="Arial"/>
          <w:spacing w:val="-2"/>
        </w:rPr>
        <w:fldChar w:fldCharType="begin"/>
      </w:r>
      <w:r w:rsidRPr="00545EC0">
        <w:rPr>
          <w:rFonts w:eastAsia="Arial Unicode MS" w:cs="Arial"/>
          <w:spacing w:val="-2"/>
        </w:rPr>
        <w:instrText xml:space="preserve"> REF _Ref462038764 \h </w:instrText>
      </w:r>
      <w:r w:rsidR="00885981" w:rsidRPr="00545EC0">
        <w:rPr>
          <w:rFonts w:eastAsia="Arial Unicode MS" w:cs="Arial"/>
          <w:spacing w:val="-2"/>
        </w:rPr>
        <w:instrText xml:space="preserve"> \* MERGEFORMAT </w:instrText>
      </w:r>
      <w:r w:rsidRPr="00545EC0">
        <w:rPr>
          <w:rFonts w:eastAsia="Arial Unicode MS" w:cs="Arial"/>
          <w:spacing w:val="-2"/>
        </w:rPr>
      </w:r>
      <w:r w:rsidRPr="00545EC0">
        <w:rPr>
          <w:rFonts w:eastAsia="Arial Unicode MS" w:cs="Arial"/>
          <w:spacing w:val="-2"/>
        </w:rPr>
        <w:fldChar w:fldCharType="separate"/>
      </w:r>
      <w:r w:rsidR="002F3E43" w:rsidRPr="002F3E43">
        <w:rPr>
          <w:rFonts w:eastAsia="Arial Unicode MS" w:cs="Arial"/>
          <w:spacing w:val="-2"/>
        </w:rPr>
        <w:t>Preglednica 2</w:t>
      </w:r>
      <w:r w:rsidR="002F3E43" w:rsidRPr="002F3E43">
        <w:rPr>
          <w:rFonts w:eastAsia="Arial Unicode MS" w:cs="Arial"/>
          <w:spacing w:val="-2"/>
        </w:rPr>
        <w:noBreakHyphen/>
        <w:t>1</w:t>
      </w:r>
      <w:r w:rsidRPr="00545EC0">
        <w:rPr>
          <w:rFonts w:eastAsia="Arial Unicode MS" w:cs="Arial"/>
          <w:spacing w:val="-2"/>
        </w:rPr>
        <w:fldChar w:fldCharType="end"/>
      </w:r>
      <w:r w:rsidRPr="00545EC0">
        <w:rPr>
          <w:rFonts w:eastAsia="Arial Unicode MS" w:cs="Arial"/>
          <w:spacing w:val="-2"/>
        </w:rPr>
        <w:t>), ki so določena s predpisom, ki ureja določitev in razvrstitev vodnih teles površinskih voda. Od tega sta 2 VTPV določena kot MPVT</w:t>
      </w:r>
      <w:r w:rsidR="00885981" w:rsidRPr="00545EC0">
        <w:rPr>
          <w:rFonts w:eastAsia="Arial Unicode MS" w:cs="Arial"/>
          <w:spacing w:val="-2"/>
        </w:rPr>
        <w:t xml:space="preserve"> (MPVT zadrževalnik Gajševsko jezero in MPVT zadrževalnik Ledavsko jezero)</w:t>
      </w:r>
      <w:r w:rsidRPr="00545EC0">
        <w:rPr>
          <w:rFonts w:eastAsia="Arial Unicode MS" w:cs="Arial"/>
          <w:spacing w:val="-2"/>
        </w:rPr>
        <w:t>. Največji delež porečja pokriva VTPV Ledava</w:t>
      </w:r>
      <w:r w:rsidR="00993775" w:rsidRPr="00545EC0">
        <w:rPr>
          <w:rFonts w:eastAsia="Arial Unicode MS" w:cs="Arial"/>
          <w:spacing w:val="-2"/>
        </w:rPr>
        <w:t>, in sicer zavzema skoraj 33 % prispevne</w:t>
      </w:r>
      <w:r w:rsidRPr="00545EC0">
        <w:rPr>
          <w:rFonts w:eastAsia="Arial Unicode MS" w:cs="Arial"/>
          <w:spacing w:val="-2"/>
        </w:rPr>
        <w:t xml:space="preserve"> površine vseh VTPV na tem porečju. </w:t>
      </w:r>
    </w:p>
    <w:p w14:paraId="4476879A" w14:textId="77777777" w:rsidR="002D4B85" w:rsidRPr="00545EC0" w:rsidRDefault="002D4B85" w:rsidP="002D4B85">
      <w:pPr>
        <w:rPr>
          <w:rFonts w:eastAsia="Arial Unicode MS" w:cs="Arial"/>
          <w:spacing w:val="-2"/>
        </w:rPr>
      </w:pPr>
    </w:p>
    <w:p w14:paraId="123CEB13" w14:textId="22C9ACFC" w:rsidR="002D4B85" w:rsidRPr="00545EC0" w:rsidRDefault="002D4B85" w:rsidP="002D4B85">
      <w:pPr>
        <w:rPr>
          <w:rFonts w:eastAsia="Arial Unicode MS" w:cs="Arial"/>
        </w:rPr>
      </w:pPr>
      <w:r w:rsidRPr="00545EC0">
        <w:rPr>
          <w:rFonts w:eastAsia="Arial Unicode MS" w:cs="Arial"/>
        </w:rPr>
        <w:t>Največ površin na porečju Mure je kmetijskih, saj se razprostirajo na več kot dveh tretjinah tega območja (</w:t>
      </w:r>
      <w:r w:rsidRPr="00545EC0">
        <w:rPr>
          <w:rFonts w:eastAsia="Arial Unicode MS" w:cs="Arial"/>
        </w:rPr>
        <w:fldChar w:fldCharType="begin"/>
      </w:r>
      <w:r w:rsidRPr="00545EC0">
        <w:rPr>
          <w:rFonts w:eastAsia="Arial Unicode MS" w:cs="Arial"/>
        </w:rPr>
        <w:instrText xml:space="preserve"> REF _Ref462038793 \h </w:instrText>
      </w:r>
      <w:r w:rsidR="004F2AF2" w:rsidRPr="00545EC0">
        <w:rPr>
          <w:rFonts w:eastAsia="Arial Unicode MS" w:cs="Arial"/>
        </w:rPr>
        <w:instrText xml:space="preserve"> \* MERGEFORMAT </w:instrText>
      </w:r>
      <w:r w:rsidRPr="00545EC0">
        <w:rPr>
          <w:rFonts w:eastAsia="Arial Unicode MS" w:cs="Arial"/>
        </w:rPr>
      </w:r>
      <w:r w:rsidRPr="00545EC0">
        <w:rPr>
          <w:rFonts w:eastAsia="Arial Unicode MS" w:cs="Arial"/>
        </w:rPr>
        <w:fldChar w:fldCharType="separate"/>
      </w:r>
      <w:r w:rsidR="002F3E43" w:rsidRPr="00545EC0">
        <w:t xml:space="preserve">Preglednica </w:t>
      </w:r>
      <w:r w:rsidR="002F3E43">
        <w:rPr>
          <w:noProof/>
        </w:rPr>
        <w:t>2</w:t>
      </w:r>
      <w:r w:rsidR="002F3E43" w:rsidRPr="00545EC0">
        <w:rPr>
          <w:noProof/>
        </w:rPr>
        <w:noBreakHyphen/>
      </w:r>
      <w:r w:rsidR="002F3E43">
        <w:rPr>
          <w:noProof/>
        </w:rPr>
        <w:t>2</w:t>
      </w:r>
      <w:r w:rsidRPr="00545EC0">
        <w:rPr>
          <w:rFonts w:eastAsia="Arial Unicode MS" w:cs="Arial"/>
        </w:rPr>
        <w:fldChar w:fldCharType="end"/>
      </w:r>
      <w:r w:rsidRPr="00545EC0">
        <w:rPr>
          <w:rFonts w:eastAsia="Arial Unicode MS" w:cs="Arial"/>
        </w:rPr>
        <w:t xml:space="preserve">). Skoraj tretjino porečja Mure zavzema gozd. Največje urbano območje v tem delu </w:t>
      </w:r>
      <w:r w:rsidR="00307E73" w:rsidRPr="00545EC0">
        <w:rPr>
          <w:rFonts w:eastAsia="Arial Unicode MS" w:cs="Arial"/>
        </w:rPr>
        <w:t xml:space="preserve">Republike </w:t>
      </w:r>
      <w:r w:rsidRPr="00545EC0">
        <w:rPr>
          <w:rFonts w:eastAsia="Arial Unicode MS" w:cs="Arial"/>
        </w:rPr>
        <w:t xml:space="preserve">Slovenije je Murska Sobota. Na porečju Mure sicer prebiva </w:t>
      </w:r>
      <w:r w:rsidR="004A69FB" w:rsidRPr="00545EC0">
        <w:rPr>
          <w:rFonts w:eastAsia="Arial Unicode MS" w:cs="Arial"/>
        </w:rPr>
        <w:t xml:space="preserve">cca. </w:t>
      </w:r>
      <w:r w:rsidRPr="00545EC0">
        <w:rPr>
          <w:rFonts w:eastAsia="Arial Unicode MS" w:cs="Arial"/>
        </w:rPr>
        <w:t xml:space="preserve">6,5 % celotnega prebivalstva v </w:t>
      </w:r>
      <w:r w:rsidR="00307E73" w:rsidRPr="00545EC0">
        <w:rPr>
          <w:rFonts w:eastAsia="Arial Unicode MS" w:cs="Arial"/>
        </w:rPr>
        <w:t xml:space="preserve">Republiki </w:t>
      </w:r>
      <w:r w:rsidRPr="00545EC0">
        <w:rPr>
          <w:rFonts w:eastAsia="Arial Unicode MS" w:cs="Arial"/>
        </w:rPr>
        <w:t>Sloveniji.</w:t>
      </w:r>
    </w:p>
    <w:p w14:paraId="4613005C" w14:textId="77777777" w:rsidR="002D4B85" w:rsidRPr="00545EC0" w:rsidRDefault="002D4B85" w:rsidP="002D4B85">
      <w:pPr>
        <w:rPr>
          <w:rFonts w:eastAsia="Arial Unicode MS" w:cs="Arial"/>
        </w:rPr>
      </w:pPr>
    </w:p>
    <w:p w14:paraId="41171C3A" w14:textId="77777777" w:rsidR="00885981" w:rsidRPr="00545EC0" w:rsidRDefault="002D4B85" w:rsidP="002D4B85">
      <w:r w:rsidRPr="00545EC0">
        <w:rPr>
          <w:rFonts w:eastAsia="Arial Unicode MS" w:cs="Arial"/>
        </w:rPr>
        <w:br w:type="page"/>
      </w:r>
    </w:p>
    <w:p w14:paraId="620195B2" w14:textId="0C194921" w:rsidR="002D4B85" w:rsidRPr="00545EC0" w:rsidRDefault="002D4B85" w:rsidP="002D4B85"/>
    <w:p w14:paraId="71D8CA6B" w14:textId="4E4B5E3B" w:rsidR="002D4B85" w:rsidRPr="00545EC0" w:rsidRDefault="002D4B85" w:rsidP="002D4B85">
      <w:pPr>
        <w:pStyle w:val="Napis"/>
      </w:pPr>
      <w:bookmarkStart w:id="37" w:name="_Ref462038793"/>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2</w:t>
        </w:r>
      </w:fldSimple>
      <w:bookmarkEnd w:id="37"/>
      <w:r w:rsidRPr="00545EC0">
        <w:t xml:space="preserve">: Vrste rabe in deleži površin na porečju Mure </w:t>
      </w:r>
    </w:p>
    <w:tbl>
      <w:tblPr>
        <w:tblW w:w="5000" w:type="pct"/>
        <w:tblCellMar>
          <w:left w:w="70" w:type="dxa"/>
          <w:right w:w="70" w:type="dxa"/>
        </w:tblCellMar>
        <w:tblLook w:val="04A0" w:firstRow="1" w:lastRow="0" w:firstColumn="1" w:lastColumn="0" w:noHBand="0" w:noVBand="1"/>
      </w:tblPr>
      <w:tblGrid>
        <w:gridCol w:w="4757"/>
        <w:gridCol w:w="4454"/>
      </w:tblGrid>
      <w:tr w:rsidR="003122F4" w:rsidRPr="00545EC0" w14:paraId="6E82479B" w14:textId="77777777" w:rsidTr="00AE414A">
        <w:trPr>
          <w:trHeight w:val="510"/>
        </w:trPr>
        <w:tc>
          <w:tcPr>
            <w:tcW w:w="258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4DA5545" w14:textId="0C243B72" w:rsidR="002D4B85" w:rsidRPr="00545EC0" w:rsidRDefault="0087247F" w:rsidP="00017486">
            <w:pPr>
              <w:rPr>
                <w:rFonts w:cs="Arial"/>
                <w:b/>
                <w:bCs/>
                <w:sz w:val="18"/>
                <w:szCs w:val="18"/>
                <w:lang w:eastAsia="ja-JP"/>
              </w:rPr>
            </w:pPr>
            <w:r w:rsidRPr="00545EC0">
              <w:rPr>
                <w:rFonts w:cs="Arial"/>
                <w:b/>
                <w:bCs/>
                <w:sz w:val="18"/>
                <w:szCs w:val="18"/>
              </w:rPr>
              <w:t>Vrsta rabe zemljišč</w:t>
            </w:r>
          </w:p>
        </w:tc>
        <w:tc>
          <w:tcPr>
            <w:tcW w:w="241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7060F35" w14:textId="77777777" w:rsidR="002D4B85" w:rsidRPr="00545EC0" w:rsidRDefault="002D4B85" w:rsidP="00017486">
            <w:pPr>
              <w:jc w:val="center"/>
              <w:rPr>
                <w:rFonts w:cs="Arial"/>
                <w:b/>
                <w:bCs/>
                <w:sz w:val="18"/>
                <w:szCs w:val="18"/>
                <w:lang w:eastAsia="ja-JP"/>
              </w:rPr>
            </w:pPr>
            <w:r w:rsidRPr="00545EC0">
              <w:rPr>
                <w:rFonts w:cs="Arial"/>
                <w:b/>
                <w:bCs/>
                <w:sz w:val="18"/>
                <w:szCs w:val="18"/>
              </w:rPr>
              <w:t>Delež površine na porečju (%)</w:t>
            </w:r>
          </w:p>
        </w:tc>
      </w:tr>
      <w:tr w:rsidR="003122F4" w:rsidRPr="00545EC0" w14:paraId="2FE1DBB1" w14:textId="77777777" w:rsidTr="00AE414A">
        <w:trPr>
          <w:trHeight w:val="300"/>
        </w:trPr>
        <w:tc>
          <w:tcPr>
            <w:tcW w:w="2582" w:type="pct"/>
            <w:tcBorders>
              <w:top w:val="nil"/>
              <w:left w:val="single" w:sz="4" w:space="0" w:color="auto"/>
              <w:bottom w:val="single" w:sz="4" w:space="0" w:color="auto"/>
              <w:right w:val="single" w:sz="4" w:space="0" w:color="auto"/>
            </w:tcBorders>
            <w:vAlign w:val="center"/>
            <w:hideMark/>
          </w:tcPr>
          <w:p w14:paraId="1701FFF8" w14:textId="77777777" w:rsidR="002D4B85" w:rsidRPr="00545EC0" w:rsidRDefault="002D4B85" w:rsidP="00017486">
            <w:pPr>
              <w:rPr>
                <w:rFonts w:cs="Arial"/>
                <w:sz w:val="18"/>
                <w:szCs w:val="18"/>
                <w:lang w:eastAsia="ja-JP"/>
              </w:rPr>
            </w:pPr>
            <w:r w:rsidRPr="00545EC0">
              <w:rPr>
                <w:rFonts w:cs="Arial"/>
                <w:sz w:val="18"/>
                <w:szCs w:val="18"/>
              </w:rPr>
              <w:t>NJIVE IN VRTOVI</w:t>
            </w:r>
          </w:p>
        </w:tc>
        <w:tc>
          <w:tcPr>
            <w:tcW w:w="2418" w:type="pct"/>
            <w:tcBorders>
              <w:top w:val="nil"/>
              <w:left w:val="nil"/>
              <w:bottom w:val="single" w:sz="4" w:space="0" w:color="auto"/>
              <w:right w:val="single" w:sz="4" w:space="0" w:color="auto"/>
            </w:tcBorders>
            <w:noWrap/>
            <w:vAlign w:val="center"/>
            <w:hideMark/>
          </w:tcPr>
          <w:p w14:paraId="42C58DE8" w14:textId="77777777" w:rsidR="002D4B85" w:rsidRPr="00545EC0" w:rsidRDefault="002D4B85" w:rsidP="00017486">
            <w:pPr>
              <w:jc w:val="center"/>
              <w:rPr>
                <w:rFonts w:cs="Arial"/>
                <w:sz w:val="18"/>
                <w:szCs w:val="18"/>
                <w:lang w:eastAsia="ja-JP"/>
              </w:rPr>
            </w:pPr>
            <w:r w:rsidRPr="00545EC0">
              <w:rPr>
                <w:rFonts w:cs="Arial"/>
                <w:sz w:val="18"/>
                <w:szCs w:val="18"/>
              </w:rPr>
              <w:t>42,0</w:t>
            </w:r>
          </w:p>
        </w:tc>
      </w:tr>
      <w:tr w:rsidR="003122F4" w:rsidRPr="00545EC0" w14:paraId="4162C393" w14:textId="77777777" w:rsidTr="00AE414A">
        <w:trPr>
          <w:trHeight w:val="300"/>
        </w:trPr>
        <w:tc>
          <w:tcPr>
            <w:tcW w:w="2582" w:type="pct"/>
            <w:tcBorders>
              <w:top w:val="nil"/>
              <w:left w:val="single" w:sz="4" w:space="0" w:color="auto"/>
              <w:bottom w:val="single" w:sz="4" w:space="0" w:color="auto"/>
              <w:right w:val="single" w:sz="4" w:space="0" w:color="auto"/>
            </w:tcBorders>
            <w:vAlign w:val="center"/>
            <w:hideMark/>
          </w:tcPr>
          <w:p w14:paraId="06B5EA0C" w14:textId="77777777" w:rsidR="002D4B85" w:rsidRPr="00545EC0" w:rsidRDefault="002D4B85" w:rsidP="00017486">
            <w:pPr>
              <w:rPr>
                <w:rFonts w:cs="Arial"/>
                <w:sz w:val="18"/>
                <w:szCs w:val="18"/>
                <w:lang w:eastAsia="ja-JP"/>
              </w:rPr>
            </w:pPr>
            <w:r w:rsidRPr="00545EC0">
              <w:rPr>
                <w:rFonts w:cs="Arial"/>
                <w:sz w:val="18"/>
                <w:szCs w:val="18"/>
              </w:rPr>
              <w:t>TRAJNI NASADI</w:t>
            </w:r>
          </w:p>
        </w:tc>
        <w:tc>
          <w:tcPr>
            <w:tcW w:w="2418" w:type="pct"/>
            <w:tcBorders>
              <w:top w:val="nil"/>
              <w:left w:val="nil"/>
              <w:bottom w:val="single" w:sz="4" w:space="0" w:color="auto"/>
              <w:right w:val="single" w:sz="4" w:space="0" w:color="auto"/>
            </w:tcBorders>
            <w:noWrap/>
            <w:vAlign w:val="center"/>
            <w:hideMark/>
          </w:tcPr>
          <w:p w14:paraId="0BE0928C" w14:textId="77777777" w:rsidR="002D4B85" w:rsidRPr="00545EC0" w:rsidRDefault="002D4B85" w:rsidP="00017486">
            <w:pPr>
              <w:jc w:val="center"/>
              <w:rPr>
                <w:rFonts w:cs="Arial"/>
                <w:sz w:val="18"/>
                <w:szCs w:val="18"/>
                <w:lang w:eastAsia="ja-JP"/>
              </w:rPr>
            </w:pPr>
            <w:r w:rsidRPr="00545EC0">
              <w:rPr>
                <w:rFonts w:cs="Arial"/>
                <w:sz w:val="18"/>
                <w:szCs w:val="18"/>
              </w:rPr>
              <w:t>3,7</w:t>
            </w:r>
          </w:p>
        </w:tc>
      </w:tr>
      <w:tr w:rsidR="003122F4" w:rsidRPr="00545EC0" w14:paraId="22B703B2" w14:textId="77777777" w:rsidTr="00AE414A">
        <w:trPr>
          <w:trHeight w:val="300"/>
        </w:trPr>
        <w:tc>
          <w:tcPr>
            <w:tcW w:w="2582" w:type="pct"/>
            <w:tcBorders>
              <w:top w:val="nil"/>
              <w:left w:val="single" w:sz="4" w:space="0" w:color="auto"/>
              <w:bottom w:val="single" w:sz="4" w:space="0" w:color="auto"/>
              <w:right w:val="single" w:sz="4" w:space="0" w:color="auto"/>
            </w:tcBorders>
            <w:vAlign w:val="center"/>
            <w:hideMark/>
          </w:tcPr>
          <w:p w14:paraId="04F5B985" w14:textId="77777777" w:rsidR="002D4B85" w:rsidRPr="00545EC0" w:rsidRDefault="002D4B85" w:rsidP="00017486">
            <w:pPr>
              <w:rPr>
                <w:rFonts w:cs="Arial"/>
                <w:sz w:val="18"/>
                <w:szCs w:val="18"/>
                <w:lang w:eastAsia="ja-JP"/>
              </w:rPr>
            </w:pPr>
            <w:r w:rsidRPr="00545EC0">
              <w:rPr>
                <w:rFonts w:cs="Arial"/>
                <w:sz w:val="18"/>
                <w:szCs w:val="18"/>
              </w:rPr>
              <w:t>TRAVNIŠKE POVRŠINE</w:t>
            </w:r>
          </w:p>
        </w:tc>
        <w:tc>
          <w:tcPr>
            <w:tcW w:w="2418" w:type="pct"/>
            <w:tcBorders>
              <w:top w:val="nil"/>
              <w:left w:val="nil"/>
              <w:bottom w:val="single" w:sz="4" w:space="0" w:color="auto"/>
              <w:right w:val="single" w:sz="4" w:space="0" w:color="auto"/>
            </w:tcBorders>
            <w:noWrap/>
            <w:vAlign w:val="center"/>
            <w:hideMark/>
          </w:tcPr>
          <w:p w14:paraId="61DAD1FF" w14:textId="77777777" w:rsidR="002D4B85" w:rsidRPr="00545EC0" w:rsidRDefault="002D4B85" w:rsidP="00017486">
            <w:pPr>
              <w:jc w:val="center"/>
              <w:rPr>
                <w:rFonts w:cs="Arial"/>
                <w:sz w:val="18"/>
                <w:szCs w:val="18"/>
                <w:lang w:eastAsia="ja-JP"/>
              </w:rPr>
            </w:pPr>
            <w:r w:rsidRPr="00545EC0">
              <w:rPr>
                <w:rFonts w:cs="Arial"/>
                <w:sz w:val="18"/>
                <w:szCs w:val="18"/>
              </w:rPr>
              <w:t>10,7</w:t>
            </w:r>
          </w:p>
        </w:tc>
      </w:tr>
      <w:tr w:rsidR="003122F4" w:rsidRPr="00545EC0" w14:paraId="2F137FD0" w14:textId="77777777" w:rsidTr="00AE414A">
        <w:trPr>
          <w:trHeight w:val="300"/>
        </w:trPr>
        <w:tc>
          <w:tcPr>
            <w:tcW w:w="2582" w:type="pct"/>
            <w:tcBorders>
              <w:top w:val="nil"/>
              <w:left w:val="single" w:sz="4" w:space="0" w:color="auto"/>
              <w:bottom w:val="single" w:sz="4" w:space="0" w:color="auto"/>
              <w:right w:val="single" w:sz="4" w:space="0" w:color="auto"/>
            </w:tcBorders>
            <w:vAlign w:val="center"/>
            <w:hideMark/>
          </w:tcPr>
          <w:p w14:paraId="62159842" w14:textId="77777777" w:rsidR="002D4B85" w:rsidRPr="00545EC0" w:rsidRDefault="002D4B85" w:rsidP="00017486">
            <w:pPr>
              <w:rPr>
                <w:rFonts w:cs="Arial"/>
                <w:sz w:val="18"/>
                <w:szCs w:val="18"/>
                <w:lang w:eastAsia="ja-JP"/>
              </w:rPr>
            </w:pPr>
            <w:r w:rsidRPr="00545EC0">
              <w:rPr>
                <w:rFonts w:cs="Arial"/>
                <w:sz w:val="18"/>
                <w:szCs w:val="18"/>
              </w:rPr>
              <w:t>DRUGE KMETIJSKE POVRŠINE</w:t>
            </w:r>
          </w:p>
        </w:tc>
        <w:tc>
          <w:tcPr>
            <w:tcW w:w="2418" w:type="pct"/>
            <w:tcBorders>
              <w:top w:val="nil"/>
              <w:left w:val="nil"/>
              <w:bottom w:val="single" w:sz="4" w:space="0" w:color="auto"/>
              <w:right w:val="single" w:sz="4" w:space="0" w:color="auto"/>
            </w:tcBorders>
            <w:noWrap/>
            <w:vAlign w:val="center"/>
            <w:hideMark/>
          </w:tcPr>
          <w:p w14:paraId="717EF896" w14:textId="77777777" w:rsidR="002D4B85" w:rsidRPr="00545EC0" w:rsidRDefault="002D4B85" w:rsidP="00017486">
            <w:pPr>
              <w:jc w:val="center"/>
              <w:rPr>
                <w:rFonts w:cs="Arial"/>
                <w:sz w:val="18"/>
                <w:szCs w:val="18"/>
                <w:lang w:eastAsia="ja-JP"/>
              </w:rPr>
            </w:pPr>
            <w:r w:rsidRPr="00545EC0">
              <w:rPr>
                <w:rFonts w:cs="Arial"/>
                <w:sz w:val="18"/>
                <w:szCs w:val="18"/>
              </w:rPr>
              <w:t>4,9</w:t>
            </w:r>
          </w:p>
        </w:tc>
      </w:tr>
      <w:tr w:rsidR="003122F4" w:rsidRPr="00545EC0" w14:paraId="7C079FDE" w14:textId="77777777" w:rsidTr="00AE414A">
        <w:trPr>
          <w:trHeight w:val="300"/>
        </w:trPr>
        <w:tc>
          <w:tcPr>
            <w:tcW w:w="2582" w:type="pct"/>
            <w:tcBorders>
              <w:top w:val="nil"/>
              <w:left w:val="single" w:sz="4" w:space="0" w:color="auto"/>
              <w:bottom w:val="single" w:sz="4" w:space="0" w:color="auto"/>
              <w:right w:val="single" w:sz="4" w:space="0" w:color="auto"/>
            </w:tcBorders>
            <w:vAlign w:val="center"/>
            <w:hideMark/>
          </w:tcPr>
          <w:p w14:paraId="1A1B2901" w14:textId="77777777" w:rsidR="002D4B85" w:rsidRPr="00545EC0" w:rsidRDefault="002D4B85" w:rsidP="00017486">
            <w:pPr>
              <w:rPr>
                <w:rFonts w:cs="Arial"/>
                <w:sz w:val="18"/>
                <w:szCs w:val="18"/>
                <w:lang w:eastAsia="ja-JP"/>
              </w:rPr>
            </w:pPr>
            <w:r w:rsidRPr="00545EC0">
              <w:rPr>
                <w:rFonts w:cs="Arial"/>
                <w:sz w:val="18"/>
                <w:szCs w:val="18"/>
              </w:rPr>
              <w:t>GOZD</w:t>
            </w:r>
          </w:p>
        </w:tc>
        <w:tc>
          <w:tcPr>
            <w:tcW w:w="2418" w:type="pct"/>
            <w:tcBorders>
              <w:top w:val="nil"/>
              <w:left w:val="nil"/>
              <w:bottom w:val="single" w:sz="4" w:space="0" w:color="auto"/>
              <w:right w:val="single" w:sz="4" w:space="0" w:color="auto"/>
            </w:tcBorders>
            <w:noWrap/>
            <w:vAlign w:val="center"/>
            <w:hideMark/>
          </w:tcPr>
          <w:p w14:paraId="1F00C80F" w14:textId="77777777" w:rsidR="002D4B85" w:rsidRPr="00545EC0" w:rsidRDefault="002D4B85" w:rsidP="00017486">
            <w:pPr>
              <w:jc w:val="center"/>
              <w:rPr>
                <w:rFonts w:cs="Arial"/>
                <w:sz w:val="18"/>
                <w:szCs w:val="18"/>
                <w:lang w:eastAsia="ja-JP"/>
              </w:rPr>
            </w:pPr>
            <w:r w:rsidRPr="00545EC0">
              <w:rPr>
                <w:rFonts w:cs="Arial"/>
                <w:sz w:val="18"/>
                <w:szCs w:val="18"/>
              </w:rPr>
              <w:t>31,0</w:t>
            </w:r>
          </w:p>
        </w:tc>
      </w:tr>
      <w:tr w:rsidR="003122F4" w:rsidRPr="00545EC0" w14:paraId="5A60179C" w14:textId="77777777" w:rsidTr="00AE414A">
        <w:trPr>
          <w:trHeight w:val="300"/>
        </w:trPr>
        <w:tc>
          <w:tcPr>
            <w:tcW w:w="2582" w:type="pct"/>
            <w:tcBorders>
              <w:top w:val="nil"/>
              <w:left w:val="single" w:sz="4" w:space="0" w:color="auto"/>
              <w:bottom w:val="single" w:sz="4" w:space="0" w:color="auto"/>
              <w:right w:val="single" w:sz="4" w:space="0" w:color="auto"/>
            </w:tcBorders>
            <w:vAlign w:val="center"/>
            <w:hideMark/>
          </w:tcPr>
          <w:p w14:paraId="4B8CFF3C" w14:textId="77777777" w:rsidR="002D4B85" w:rsidRPr="00545EC0" w:rsidRDefault="002D4B85" w:rsidP="00017486">
            <w:pPr>
              <w:rPr>
                <w:rFonts w:cs="Arial"/>
                <w:sz w:val="18"/>
                <w:szCs w:val="18"/>
                <w:lang w:eastAsia="ja-JP"/>
              </w:rPr>
            </w:pPr>
            <w:r w:rsidRPr="00545EC0">
              <w:rPr>
                <w:rFonts w:cs="Arial"/>
                <w:sz w:val="18"/>
                <w:szCs w:val="18"/>
              </w:rPr>
              <w:t>OSTALA NEKMETIJSKA ZEMLJIŠČA</w:t>
            </w:r>
          </w:p>
        </w:tc>
        <w:tc>
          <w:tcPr>
            <w:tcW w:w="2418" w:type="pct"/>
            <w:tcBorders>
              <w:top w:val="nil"/>
              <w:left w:val="nil"/>
              <w:bottom w:val="single" w:sz="4" w:space="0" w:color="auto"/>
              <w:right w:val="single" w:sz="4" w:space="0" w:color="auto"/>
            </w:tcBorders>
            <w:noWrap/>
            <w:vAlign w:val="center"/>
            <w:hideMark/>
          </w:tcPr>
          <w:p w14:paraId="7B2876BD" w14:textId="77777777" w:rsidR="002D4B85" w:rsidRPr="00545EC0" w:rsidRDefault="002D4B85" w:rsidP="00017486">
            <w:pPr>
              <w:jc w:val="center"/>
              <w:rPr>
                <w:rFonts w:cs="Arial"/>
                <w:sz w:val="18"/>
                <w:szCs w:val="18"/>
                <w:lang w:eastAsia="ja-JP"/>
              </w:rPr>
            </w:pPr>
            <w:r w:rsidRPr="00545EC0">
              <w:rPr>
                <w:rFonts w:cs="Arial"/>
                <w:sz w:val="18"/>
                <w:szCs w:val="18"/>
              </w:rPr>
              <w:t>7,8</w:t>
            </w:r>
          </w:p>
        </w:tc>
      </w:tr>
    </w:tbl>
    <w:p w14:paraId="3376AB8A" w14:textId="77777777" w:rsidR="002D4B85" w:rsidRPr="00545EC0" w:rsidRDefault="002D4B85" w:rsidP="002D4B85">
      <w:pPr>
        <w:pStyle w:val="podnaslov0"/>
      </w:pPr>
      <w:bookmarkStart w:id="38" w:name="_Toc419099171"/>
      <w:bookmarkStart w:id="39" w:name="_Toc366228081"/>
      <w:bookmarkStart w:id="40" w:name="_Toc225041559"/>
      <w:bookmarkStart w:id="41" w:name="_Toc222108575"/>
      <w:r w:rsidRPr="00545EC0">
        <w:t>Opis značilnosti porečja Drave</w:t>
      </w:r>
      <w:bookmarkEnd w:id="38"/>
      <w:bookmarkEnd w:id="39"/>
      <w:bookmarkEnd w:id="40"/>
      <w:bookmarkEnd w:id="41"/>
    </w:p>
    <w:p w14:paraId="6A9FAE3D" w14:textId="05E1D681" w:rsidR="002D4B85" w:rsidRPr="00545EC0" w:rsidRDefault="002D4B85" w:rsidP="002D4B85">
      <w:pPr>
        <w:rPr>
          <w:rFonts w:cs="Arial"/>
        </w:rPr>
      </w:pPr>
      <w:r w:rsidRPr="00545EC0">
        <w:rPr>
          <w:rFonts w:cs="Arial"/>
        </w:rPr>
        <w:t>Površina porečja Drave obsega 3.271 km</w:t>
      </w:r>
      <w:r w:rsidRPr="00545EC0">
        <w:rPr>
          <w:rFonts w:cs="Arial"/>
          <w:vertAlign w:val="superscript"/>
        </w:rPr>
        <w:t xml:space="preserve">2 </w:t>
      </w:r>
      <w:r w:rsidRPr="00545EC0">
        <w:rPr>
          <w:rFonts w:cs="Arial"/>
        </w:rPr>
        <w:t xml:space="preserve">in zavzema 19,9 % celotnega VO Donave. Površina tega porečja v primerjavi s površino </w:t>
      </w:r>
      <w:r w:rsidR="00307E73" w:rsidRPr="00545EC0">
        <w:rPr>
          <w:rFonts w:cs="Arial"/>
        </w:rPr>
        <w:t xml:space="preserve">Republike </w:t>
      </w:r>
      <w:r w:rsidRPr="00545EC0">
        <w:rPr>
          <w:rFonts w:cs="Arial"/>
        </w:rPr>
        <w:t>Slovenije znaša 16,</w:t>
      </w:r>
      <w:r w:rsidR="0087247F" w:rsidRPr="00545EC0">
        <w:rPr>
          <w:rFonts w:cs="Arial"/>
        </w:rPr>
        <w:t>3</w:t>
      </w:r>
      <w:r w:rsidRPr="00545EC0">
        <w:rPr>
          <w:rFonts w:cs="Arial"/>
        </w:rPr>
        <w:t xml:space="preserve"> %. Dolžina vseh rek na porečju Drave meri 10</w:t>
      </w:r>
      <w:r w:rsidR="0087247F" w:rsidRPr="00545EC0">
        <w:rPr>
          <w:rFonts w:cs="Arial"/>
        </w:rPr>
        <w:t>.</w:t>
      </w:r>
      <w:r w:rsidRPr="00545EC0">
        <w:rPr>
          <w:rFonts w:cs="Arial"/>
        </w:rPr>
        <w:t>686</w:t>
      </w:r>
      <w:r w:rsidR="0087247F" w:rsidRPr="00545EC0">
        <w:rPr>
          <w:rFonts w:cs="Arial"/>
        </w:rPr>
        <w:t xml:space="preserve"> </w:t>
      </w:r>
      <w:r w:rsidRPr="00545EC0">
        <w:rPr>
          <w:rFonts w:cs="Arial"/>
        </w:rPr>
        <w:t>km. Povprečna gostota rečne mreže na porečju Drave znaša 3,3 km/km</w:t>
      </w:r>
      <w:r w:rsidRPr="00545EC0">
        <w:rPr>
          <w:rFonts w:cs="Arial"/>
          <w:vertAlign w:val="superscript"/>
        </w:rPr>
        <w:t>2</w:t>
      </w:r>
      <w:r w:rsidRPr="00545EC0">
        <w:rPr>
          <w:rFonts w:cs="Arial"/>
        </w:rPr>
        <w:t>.</w:t>
      </w:r>
    </w:p>
    <w:p w14:paraId="0AEC4396" w14:textId="77777777" w:rsidR="002D4B85" w:rsidRPr="00545EC0" w:rsidRDefault="002D4B85" w:rsidP="002D4B85">
      <w:pPr>
        <w:rPr>
          <w:rFonts w:cs="Arial"/>
        </w:rPr>
      </w:pPr>
    </w:p>
    <w:p w14:paraId="24E99AC6" w14:textId="0A3E04B0" w:rsidR="002D4B85" w:rsidRPr="00545EC0" w:rsidRDefault="002D4B85" w:rsidP="002D4B85">
      <w:pPr>
        <w:rPr>
          <w:rFonts w:cs="Arial"/>
          <w:bCs/>
        </w:rPr>
      </w:pPr>
      <w:bookmarkStart w:id="42" w:name="_Ref440630406"/>
      <w:r w:rsidRPr="00545EC0">
        <w:rPr>
          <w:rFonts w:cs="Arial"/>
        </w:rPr>
        <w:t>Porečje Drave obsega 24 od skupno 155 VTPV (</w:t>
      </w:r>
      <w:bookmarkEnd w:id="42"/>
      <w:r w:rsidRPr="00545EC0">
        <w:rPr>
          <w:rFonts w:cs="Arial"/>
        </w:rPr>
        <w:fldChar w:fldCharType="begin"/>
      </w:r>
      <w:r w:rsidRPr="00545EC0">
        <w:rPr>
          <w:rFonts w:cs="Arial"/>
        </w:rPr>
        <w:instrText xml:space="preserve"> REF _Ref462038764 \h </w:instrText>
      </w:r>
      <w:r w:rsidR="004F2AF2" w:rsidRPr="00545EC0">
        <w:rPr>
          <w:rFonts w:cs="Arial"/>
        </w:rPr>
        <w:instrText xml:space="preserve"> \* MERGEFORMAT </w:instrText>
      </w:r>
      <w:r w:rsidRPr="00545EC0">
        <w:rPr>
          <w:rFonts w:cs="Arial"/>
        </w:rPr>
      </w:r>
      <w:r w:rsidRPr="00545EC0">
        <w:rPr>
          <w:rFonts w:cs="Arial"/>
        </w:rPr>
        <w:fldChar w:fldCharType="separate"/>
      </w:r>
      <w:r w:rsidR="002F3E43" w:rsidRPr="00545EC0">
        <w:t xml:space="preserve">Preglednica </w:t>
      </w:r>
      <w:r w:rsidR="002F3E43">
        <w:rPr>
          <w:noProof/>
        </w:rPr>
        <w:t>2</w:t>
      </w:r>
      <w:r w:rsidR="002F3E43" w:rsidRPr="00545EC0">
        <w:rPr>
          <w:noProof/>
        </w:rPr>
        <w:noBreakHyphen/>
      </w:r>
      <w:r w:rsidR="002F3E43">
        <w:rPr>
          <w:noProof/>
        </w:rPr>
        <w:t>1</w:t>
      </w:r>
      <w:r w:rsidRPr="00545EC0">
        <w:rPr>
          <w:rFonts w:cs="Arial"/>
        </w:rPr>
        <w:fldChar w:fldCharType="end"/>
      </w:r>
      <w:r w:rsidRPr="00545EC0">
        <w:rPr>
          <w:rFonts w:cs="Arial"/>
          <w:bCs/>
        </w:rPr>
        <w:t xml:space="preserve">), </w:t>
      </w:r>
      <w:r w:rsidRPr="00545EC0">
        <w:rPr>
          <w:rFonts w:eastAsia="Arial Unicode MS" w:cs="Arial"/>
          <w:spacing w:val="-2"/>
        </w:rPr>
        <w:t xml:space="preserve">ki so določena s predpisom, ki ureja določitev in razvrstitev vodnih teles površinskih voda. </w:t>
      </w:r>
      <w:r w:rsidRPr="00545EC0">
        <w:rPr>
          <w:rFonts w:cs="Arial"/>
          <w:bCs/>
        </w:rPr>
        <w:t>Od tega je 5 MPVT</w:t>
      </w:r>
      <w:r w:rsidR="0087247F" w:rsidRPr="00545EC0">
        <w:rPr>
          <w:rFonts w:cs="Arial"/>
          <w:bCs/>
        </w:rPr>
        <w:t xml:space="preserve"> (MPVT zadrževalnik Perniško jezero, MPVT Drava mejni odsek z Avstrijo, MPVT Drava Dravograd – Maribor, MPVT zadrževalnik Ptujsko jezero</w:t>
      </w:r>
      <w:r w:rsidRPr="00545EC0">
        <w:rPr>
          <w:rFonts w:cs="Arial"/>
          <w:bCs/>
        </w:rPr>
        <w:t>,</w:t>
      </w:r>
      <w:r w:rsidR="0087247F" w:rsidRPr="00545EC0">
        <w:rPr>
          <w:rFonts w:cs="Arial"/>
          <w:bCs/>
        </w:rPr>
        <w:t xml:space="preserve"> MPVT zadrževalnik Ormoško jezero)</w:t>
      </w:r>
      <w:r w:rsidR="004A69FB" w:rsidRPr="00545EC0">
        <w:rPr>
          <w:rFonts w:cs="Arial"/>
          <w:bCs/>
        </w:rPr>
        <w:t>,</w:t>
      </w:r>
      <w:r w:rsidRPr="00545EC0">
        <w:rPr>
          <w:rFonts w:cs="Arial"/>
          <w:bCs/>
        </w:rPr>
        <w:t xml:space="preserve"> 2 VT pa sta umetni (UVT)</w:t>
      </w:r>
      <w:r w:rsidR="0087247F" w:rsidRPr="00545EC0">
        <w:rPr>
          <w:rFonts w:cs="Arial"/>
          <w:bCs/>
        </w:rPr>
        <w:t xml:space="preserve"> (UVT Kanal HE Zlatoličje, UVT Kanal HE Formin)</w:t>
      </w:r>
      <w:r w:rsidRPr="00545EC0">
        <w:rPr>
          <w:rFonts w:cs="Arial"/>
          <w:bCs/>
        </w:rPr>
        <w:t xml:space="preserve">. Največji delež površine porečja zavzema MPVT Drava Dravograd–Maribor, in sicer več kot 20 % prispevnih površin vseh VTPV v tem porečju. </w:t>
      </w:r>
    </w:p>
    <w:p w14:paraId="30E36A22" w14:textId="77777777" w:rsidR="002D4B85" w:rsidRPr="00545EC0" w:rsidRDefault="002D4B85" w:rsidP="002D4B85">
      <w:pPr>
        <w:rPr>
          <w:rFonts w:cs="Arial"/>
        </w:rPr>
      </w:pPr>
    </w:p>
    <w:p w14:paraId="1F6B69C7" w14:textId="3CF369FB" w:rsidR="002D4B85" w:rsidRPr="00545EC0" w:rsidRDefault="002D4B85" w:rsidP="002D4B85">
      <w:pPr>
        <w:rPr>
          <w:rFonts w:eastAsia="Arial Unicode MS" w:cs="Arial"/>
        </w:rPr>
      </w:pPr>
      <w:r w:rsidRPr="00545EC0">
        <w:rPr>
          <w:rFonts w:cs="Arial"/>
        </w:rPr>
        <w:t>Polovico porečja Drave zavzemajo gozdne površine, nekaj manj površin pa predstavljajo kmetijska zemljišča (</w:t>
      </w:r>
      <w:r w:rsidRPr="00545EC0">
        <w:rPr>
          <w:rFonts w:cs="Arial"/>
        </w:rPr>
        <w:fldChar w:fldCharType="begin"/>
      </w:r>
      <w:r w:rsidRPr="00545EC0">
        <w:rPr>
          <w:rFonts w:cs="Arial"/>
        </w:rPr>
        <w:instrText xml:space="preserve"> REF _Ref462038832 \h </w:instrText>
      </w:r>
      <w:r w:rsidR="00AE414A" w:rsidRPr="00545EC0">
        <w:rPr>
          <w:rFonts w:cs="Arial"/>
        </w:rPr>
        <w:instrText xml:space="preserve"> \* MERGEFORMAT </w:instrText>
      </w:r>
      <w:r w:rsidRPr="00545EC0">
        <w:rPr>
          <w:rFonts w:cs="Arial"/>
        </w:rPr>
      </w:r>
      <w:r w:rsidRPr="00545EC0">
        <w:rPr>
          <w:rFonts w:cs="Arial"/>
        </w:rPr>
        <w:fldChar w:fldCharType="separate"/>
      </w:r>
      <w:r w:rsidR="002F3E43" w:rsidRPr="00545EC0">
        <w:t xml:space="preserve">Preglednica </w:t>
      </w:r>
      <w:r w:rsidR="002F3E43">
        <w:rPr>
          <w:noProof/>
        </w:rPr>
        <w:t>2</w:t>
      </w:r>
      <w:r w:rsidR="002F3E43" w:rsidRPr="00545EC0">
        <w:rPr>
          <w:noProof/>
        </w:rPr>
        <w:noBreakHyphen/>
      </w:r>
      <w:r w:rsidR="002F3E43">
        <w:rPr>
          <w:noProof/>
        </w:rPr>
        <w:t>3</w:t>
      </w:r>
      <w:r w:rsidRPr="00545EC0">
        <w:rPr>
          <w:rFonts w:cs="Arial"/>
        </w:rPr>
        <w:fldChar w:fldCharType="end"/>
      </w:r>
      <w:r w:rsidRPr="00545EC0">
        <w:rPr>
          <w:rFonts w:cs="Arial"/>
        </w:rPr>
        <w:t xml:space="preserve">). Največje urbano območje, tako po površini kot po prebivalstvu, je mesto Maribor. Na porečju Drave sicer prebiva okoli 21 % celotnega prebivalstva v </w:t>
      </w:r>
      <w:r w:rsidR="00307E73" w:rsidRPr="00545EC0">
        <w:rPr>
          <w:rFonts w:cs="Arial"/>
        </w:rPr>
        <w:t xml:space="preserve">Republiki </w:t>
      </w:r>
      <w:r w:rsidRPr="00545EC0">
        <w:rPr>
          <w:rFonts w:cs="Arial"/>
        </w:rPr>
        <w:t>Sloveniji.</w:t>
      </w:r>
    </w:p>
    <w:p w14:paraId="76C5BF72" w14:textId="77777777" w:rsidR="002D4B85" w:rsidRPr="00545EC0" w:rsidRDefault="002D4B85" w:rsidP="002D4B85">
      <w:pPr>
        <w:rPr>
          <w:rFonts w:cs="Arial"/>
        </w:rPr>
      </w:pPr>
      <w:bookmarkStart w:id="43" w:name="_Toc384108244"/>
    </w:p>
    <w:p w14:paraId="1B4E758C" w14:textId="46B086EE" w:rsidR="002D4B85" w:rsidRPr="00545EC0" w:rsidRDefault="002D4B85" w:rsidP="002D4B85">
      <w:pPr>
        <w:pStyle w:val="Napis"/>
      </w:pPr>
      <w:bookmarkStart w:id="44" w:name="_Ref462038832"/>
      <w:bookmarkStart w:id="45" w:name="_Toc419097363"/>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3</w:t>
        </w:r>
      </w:fldSimple>
      <w:bookmarkEnd w:id="44"/>
      <w:r w:rsidRPr="00545EC0">
        <w:t>: Vrsta rabe površin na porečju Drave</w:t>
      </w:r>
    </w:p>
    <w:tbl>
      <w:tblPr>
        <w:tblW w:w="5000" w:type="pct"/>
        <w:tblCellMar>
          <w:left w:w="70" w:type="dxa"/>
          <w:right w:w="70" w:type="dxa"/>
        </w:tblCellMar>
        <w:tblLook w:val="04A0" w:firstRow="1" w:lastRow="0" w:firstColumn="1" w:lastColumn="0" w:noHBand="0" w:noVBand="1"/>
      </w:tblPr>
      <w:tblGrid>
        <w:gridCol w:w="4757"/>
        <w:gridCol w:w="4454"/>
      </w:tblGrid>
      <w:tr w:rsidR="003122F4" w:rsidRPr="00545EC0" w14:paraId="77F22E5F" w14:textId="77777777" w:rsidTr="00AE414A">
        <w:trPr>
          <w:trHeight w:val="510"/>
        </w:trPr>
        <w:tc>
          <w:tcPr>
            <w:tcW w:w="258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bookmarkEnd w:id="43"/>
          <w:bookmarkEnd w:id="45"/>
          <w:p w14:paraId="2C003C60" w14:textId="578850DC" w:rsidR="002D4B85" w:rsidRPr="00545EC0" w:rsidRDefault="00EC369A" w:rsidP="00017486">
            <w:pPr>
              <w:rPr>
                <w:rFonts w:cs="Arial"/>
                <w:b/>
                <w:bCs/>
                <w:sz w:val="18"/>
                <w:szCs w:val="18"/>
                <w:lang w:eastAsia="ja-JP"/>
              </w:rPr>
            </w:pPr>
            <w:r w:rsidRPr="00545EC0">
              <w:rPr>
                <w:rFonts w:cs="Arial"/>
                <w:b/>
                <w:bCs/>
                <w:sz w:val="18"/>
                <w:szCs w:val="18"/>
              </w:rPr>
              <w:t>Vrsta rabe zemljišč</w:t>
            </w:r>
          </w:p>
        </w:tc>
        <w:tc>
          <w:tcPr>
            <w:tcW w:w="241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018F16A" w14:textId="77777777" w:rsidR="002D4B85" w:rsidRPr="00545EC0" w:rsidRDefault="002D4B85" w:rsidP="00017486">
            <w:pPr>
              <w:jc w:val="center"/>
              <w:rPr>
                <w:rFonts w:cs="Arial"/>
                <w:b/>
                <w:bCs/>
                <w:sz w:val="18"/>
                <w:szCs w:val="18"/>
                <w:lang w:eastAsia="ja-JP"/>
              </w:rPr>
            </w:pPr>
            <w:r w:rsidRPr="00545EC0">
              <w:rPr>
                <w:rFonts w:cs="Arial"/>
                <w:b/>
                <w:bCs/>
                <w:sz w:val="18"/>
                <w:szCs w:val="18"/>
              </w:rPr>
              <w:t>Delež površine na porečju (%)</w:t>
            </w:r>
          </w:p>
        </w:tc>
      </w:tr>
      <w:tr w:rsidR="003122F4" w:rsidRPr="00545EC0" w14:paraId="74406957" w14:textId="77777777" w:rsidTr="00AE414A">
        <w:trPr>
          <w:trHeight w:val="300"/>
        </w:trPr>
        <w:tc>
          <w:tcPr>
            <w:tcW w:w="2582" w:type="pct"/>
            <w:tcBorders>
              <w:top w:val="nil"/>
              <w:left w:val="single" w:sz="4" w:space="0" w:color="auto"/>
              <w:bottom w:val="single" w:sz="4" w:space="0" w:color="auto"/>
              <w:right w:val="single" w:sz="4" w:space="0" w:color="auto"/>
            </w:tcBorders>
            <w:vAlign w:val="center"/>
            <w:hideMark/>
          </w:tcPr>
          <w:p w14:paraId="20E9DB90" w14:textId="77777777" w:rsidR="002D4B85" w:rsidRPr="00545EC0" w:rsidRDefault="002D4B85" w:rsidP="00017486">
            <w:pPr>
              <w:rPr>
                <w:rFonts w:cs="Arial"/>
                <w:sz w:val="18"/>
                <w:szCs w:val="18"/>
                <w:lang w:eastAsia="ja-JP"/>
              </w:rPr>
            </w:pPr>
            <w:r w:rsidRPr="00545EC0">
              <w:rPr>
                <w:rFonts w:cs="Arial"/>
                <w:sz w:val="18"/>
                <w:szCs w:val="18"/>
              </w:rPr>
              <w:t>NJIVE IN VRTOVI</w:t>
            </w:r>
          </w:p>
        </w:tc>
        <w:tc>
          <w:tcPr>
            <w:tcW w:w="2418" w:type="pct"/>
            <w:tcBorders>
              <w:top w:val="nil"/>
              <w:left w:val="nil"/>
              <w:bottom w:val="single" w:sz="4" w:space="0" w:color="auto"/>
              <w:right w:val="single" w:sz="4" w:space="0" w:color="auto"/>
            </w:tcBorders>
            <w:noWrap/>
            <w:vAlign w:val="center"/>
            <w:hideMark/>
          </w:tcPr>
          <w:p w14:paraId="4698F01D" w14:textId="77777777" w:rsidR="002D4B85" w:rsidRPr="00545EC0" w:rsidRDefault="002D4B85" w:rsidP="00017486">
            <w:pPr>
              <w:jc w:val="center"/>
              <w:rPr>
                <w:rFonts w:cs="Arial"/>
                <w:sz w:val="18"/>
                <w:szCs w:val="18"/>
                <w:lang w:eastAsia="ja-JP"/>
              </w:rPr>
            </w:pPr>
            <w:r w:rsidRPr="00545EC0">
              <w:rPr>
                <w:rFonts w:cs="Arial"/>
                <w:sz w:val="18"/>
                <w:szCs w:val="18"/>
              </w:rPr>
              <w:t>15,7</w:t>
            </w:r>
          </w:p>
        </w:tc>
      </w:tr>
      <w:tr w:rsidR="003122F4" w:rsidRPr="00545EC0" w14:paraId="30262A34" w14:textId="77777777" w:rsidTr="00AE414A">
        <w:trPr>
          <w:trHeight w:val="300"/>
        </w:trPr>
        <w:tc>
          <w:tcPr>
            <w:tcW w:w="2582" w:type="pct"/>
            <w:tcBorders>
              <w:top w:val="nil"/>
              <w:left w:val="single" w:sz="4" w:space="0" w:color="auto"/>
              <w:bottom w:val="single" w:sz="4" w:space="0" w:color="auto"/>
              <w:right w:val="single" w:sz="4" w:space="0" w:color="auto"/>
            </w:tcBorders>
            <w:vAlign w:val="center"/>
            <w:hideMark/>
          </w:tcPr>
          <w:p w14:paraId="66162284" w14:textId="77777777" w:rsidR="002D4B85" w:rsidRPr="00545EC0" w:rsidRDefault="002D4B85" w:rsidP="00017486">
            <w:pPr>
              <w:rPr>
                <w:rFonts w:cs="Arial"/>
                <w:sz w:val="18"/>
                <w:szCs w:val="18"/>
                <w:lang w:eastAsia="ja-JP"/>
              </w:rPr>
            </w:pPr>
            <w:r w:rsidRPr="00545EC0">
              <w:rPr>
                <w:rFonts w:cs="Arial"/>
                <w:sz w:val="18"/>
                <w:szCs w:val="18"/>
              </w:rPr>
              <w:t>TRAJNI NASADI</w:t>
            </w:r>
          </w:p>
        </w:tc>
        <w:tc>
          <w:tcPr>
            <w:tcW w:w="2418" w:type="pct"/>
            <w:tcBorders>
              <w:top w:val="nil"/>
              <w:left w:val="nil"/>
              <w:bottom w:val="single" w:sz="4" w:space="0" w:color="auto"/>
              <w:right w:val="single" w:sz="4" w:space="0" w:color="auto"/>
            </w:tcBorders>
            <w:noWrap/>
            <w:vAlign w:val="center"/>
            <w:hideMark/>
          </w:tcPr>
          <w:p w14:paraId="7A372227" w14:textId="77777777" w:rsidR="002D4B85" w:rsidRPr="00545EC0" w:rsidRDefault="002D4B85" w:rsidP="00017486">
            <w:pPr>
              <w:jc w:val="center"/>
              <w:rPr>
                <w:rFonts w:cs="Arial"/>
                <w:sz w:val="18"/>
                <w:szCs w:val="18"/>
                <w:lang w:eastAsia="ja-JP"/>
              </w:rPr>
            </w:pPr>
            <w:r w:rsidRPr="00545EC0">
              <w:rPr>
                <w:rFonts w:cs="Arial"/>
                <w:sz w:val="18"/>
                <w:szCs w:val="18"/>
              </w:rPr>
              <w:t>3,8</w:t>
            </w:r>
          </w:p>
        </w:tc>
      </w:tr>
      <w:tr w:rsidR="003122F4" w:rsidRPr="00545EC0" w14:paraId="2F15495B" w14:textId="77777777" w:rsidTr="00AE414A">
        <w:trPr>
          <w:trHeight w:val="300"/>
        </w:trPr>
        <w:tc>
          <w:tcPr>
            <w:tcW w:w="2582" w:type="pct"/>
            <w:tcBorders>
              <w:top w:val="nil"/>
              <w:left w:val="single" w:sz="4" w:space="0" w:color="auto"/>
              <w:bottom w:val="single" w:sz="4" w:space="0" w:color="auto"/>
              <w:right w:val="single" w:sz="4" w:space="0" w:color="auto"/>
            </w:tcBorders>
            <w:vAlign w:val="center"/>
            <w:hideMark/>
          </w:tcPr>
          <w:p w14:paraId="432DE648" w14:textId="77777777" w:rsidR="002D4B85" w:rsidRPr="00545EC0" w:rsidRDefault="002D4B85" w:rsidP="00017486">
            <w:pPr>
              <w:rPr>
                <w:rFonts w:cs="Arial"/>
                <w:sz w:val="18"/>
                <w:szCs w:val="18"/>
                <w:lang w:eastAsia="ja-JP"/>
              </w:rPr>
            </w:pPr>
            <w:r w:rsidRPr="00545EC0">
              <w:rPr>
                <w:rFonts w:cs="Arial"/>
                <w:sz w:val="18"/>
                <w:szCs w:val="18"/>
              </w:rPr>
              <w:t>TRAVNIŠKE POVRŠINE</w:t>
            </w:r>
          </w:p>
        </w:tc>
        <w:tc>
          <w:tcPr>
            <w:tcW w:w="2418" w:type="pct"/>
            <w:tcBorders>
              <w:top w:val="nil"/>
              <w:left w:val="nil"/>
              <w:bottom w:val="single" w:sz="4" w:space="0" w:color="auto"/>
              <w:right w:val="single" w:sz="4" w:space="0" w:color="auto"/>
            </w:tcBorders>
            <w:noWrap/>
            <w:vAlign w:val="center"/>
            <w:hideMark/>
          </w:tcPr>
          <w:p w14:paraId="52E82661" w14:textId="77777777" w:rsidR="002D4B85" w:rsidRPr="00545EC0" w:rsidRDefault="002D4B85" w:rsidP="00017486">
            <w:pPr>
              <w:jc w:val="center"/>
              <w:rPr>
                <w:rFonts w:cs="Arial"/>
                <w:sz w:val="18"/>
                <w:szCs w:val="18"/>
                <w:lang w:eastAsia="ja-JP"/>
              </w:rPr>
            </w:pPr>
            <w:r w:rsidRPr="00545EC0">
              <w:rPr>
                <w:rFonts w:cs="Arial"/>
                <w:sz w:val="18"/>
                <w:szCs w:val="18"/>
              </w:rPr>
              <w:t>18,6</w:t>
            </w:r>
          </w:p>
        </w:tc>
      </w:tr>
      <w:tr w:rsidR="003122F4" w:rsidRPr="00545EC0" w14:paraId="600052AF" w14:textId="77777777" w:rsidTr="00AE414A">
        <w:trPr>
          <w:trHeight w:val="300"/>
        </w:trPr>
        <w:tc>
          <w:tcPr>
            <w:tcW w:w="2582" w:type="pct"/>
            <w:tcBorders>
              <w:top w:val="nil"/>
              <w:left w:val="single" w:sz="4" w:space="0" w:color="auto"/>
              <w:bottom w:val="single" w:sz="4" w:space="0" w:color="auto"/>
              <w:right w:val="single" w:sz="4" w:space="0" w:color="auto"/>
            </w:tcBorders>
            <w:vAlign w:val="center"/>
            <w:hideMark/>
          </w:tcPr>
          <w:p w14:paraId="5EABF409" w14:textId="77777777" w:rsidR="002D4B85" w:rsidRPr="00545EC0" w:rsidRDefault="002D4B85" w:rsidP="00017486">
            <w:pPr>
              <w:rPr>
                <w:rFonts w:cs="Arial"/>
                <w:sz w:val="18"/>
                <w:szCs w:val="18"/>
                <w:lang w:eastAsia="ja-JP"/>
              </w:rPr>
            </w:pPr>
            <w:r w:rsidRPr="00545EC0">
              <w:rPr>
                <w:rFonts w:cs="Arial"/>
                <w:sz w:val="18"/>
                <w:szCs w:val="18"/>
              </w:rPr>
              <w:t>DRUGE KMETIJSKE POVRŠINE</w:t>
            </w:r>
          </w:p>
        </w:tc>
        <w:tc>
          <w:tcPr>
            <w:tcW w:w="2418" w:type="pct"/>
            <w:tcBorders>
              <w:top w:val="nil"/>
              <w:left w:val="nil"/>
              <w:bottom w:val="single" w:sz="4" w:space="0" w:color="auto"/>
              <w:right w:val="single" w:sz="4" w:space="0" w:color="auto"/>
            </w:tcBorders>
            <w:noWrap/>
            <w:vAlign w:val="center"/>
            <w:hideMark/>
          </w:tcPr>
          <w:p w14:paraId="05BDDE28" w14:textId="77777777" w:rsidR="002D4B85" w:rsidRPr="00545EC0" w:rsidRDefault="002D4B85" w:rsidP="00017486">
            <w:pPr>
              <w:jc w:val="center"/>
              <w:rPr>
                <w:rFonts w:cs="Arial"/>
                <w:sz w:val="18"/>
                <w:szCs w:val="18"/>
                <w:lang w:eastAsia="ja-JP"/>
              </w:rPr>
            </w:pPr>
            <w:r w:rsidRPr="00545EC0">
              <w:rPr>
                <w:rFonts w:cs="Arial"/>
                <w:sz w:val="18"/>
                <w:szCs w:val="18"/>
              </w:rPr>
              <w:t>3,8</w:t>
            </w:r>
          </w:p>
        </w:tc>
      </w:tr>
      <w:tr w:rsidR="003122F4" w:rsidRPr="00545EC0" w14:paraId="326C453E" w14:textId="77777777" w:rsidTr="00AE414A">
        <w:trPr>
          <w:trHeight w:val="300"/>
        </w:trPr>
        <w:tc>
          <w:tcPr>
            <w:tcW w:w="2582" w:type="pct"/>
            <w:tcBorders>
              <w:top w:val="nil"/>
              <w:left w:val="single" w:sz="4" w:space="0" w:color="auto"/>
              <w:bottom w:val="single" w:sz="4" w:space="0" w:color="auto"/>
              <w:right w:val="single" w:sz="4" w:space="0" w:color="auto"/>
            </w:tcBorders>
            <w:vAlign w:val="center"/>
            <w:hideMark/>
          </w:tcPr>
          <w:p w14:paraId="0770FF96" w14:textId="77777777" w:rsidR="002D4B85" w:rsidRPr="00545EC0" w:rsidRDefault="002D4B85" w:rsidP="00017486">
            <w:pPr>
              <w:rPr>
                <w:rFonts w:cs="Arial"/>
                <w:sz w:val="18"/>
                <w:szCs w:val="18"/>
                <w:lang w:eastAsia="ja-JP"/>
              </w:rPr>
            </w:pPr>
            <w:r w:rsidRPr="00545EC0">
              <w:rPr>
                <w:rFonts w:cs="Arial"/>
                <w:sz w:val="18"/>
                <w:szCs w:val="18"/>
              </w:rPr>
              <w:t>GOZD</w:t>
            </w:r>
          </w:p>
        </w:tc>
        <w:tc>
          <w:tcPr>
            <w:tcW w:w="2418" w:type="pct"/>
            <w:tcBorders>
              <w:top w:val="nil"/>
              <w:left w:val="nil"/>
              <w:bottom w:val="single" w:sz="4" w:space="0" w:color="auto"/>
              <w:right w:val="single" w:sz="4" w:space="0" w:color="auto"/>
            </w:tcBorders>
            <w:noWrap/>
            <w:vAlign w:val="center"/>
            <w:hideMark/>
          </w:tcPr>
          <w:p w14:paraId="1509C236" w14:textId="77777777" w:rsidR="002D4B85" w:rsidRPr="00545EC0" w:rsidRDefault="002D4B85" w:rsidP="00017486">
            <w:pPr>
              <w:jc w:val="center"/>
              <w:rPr>
                <w:rFonts w:cs="Arial"/>
                <w:sz w:val="18"/>
                <w:szCs w:val="18"/>
                <w:lang w:eastAsia="ja-JP"/>
              </w:rPr>
            </w:pPr>
            <w:r w:rsidRPr="00545EC0">
              <w:rPr>
                <w:rFonts w:cs="Arial"/>
                <w:sz w:val="18"/>
                <w:szCs w:val="18"/>
              </w:rPr>
              <w:t>50,1</w:t>
            </w:r>
          </w:p>
        </w:tc>
      </w:tr>
      <w:tr w:rsidR="002D4B85" w:rsidRPr="00545EC0" w14:paraId="01A5F58E" w14:textId="77777777" w:rsidTr="00AE414A">
        <w:trPr>
          <w:trHeight w:val="300"/>
        </w:trPr>
        <w:tc>
          <w:tcPr>
            <w:tcW w:w="2582" w:type="pct"/>
            <w:tcBorders>
              <w:top w:val="nil"/>
              <w:left w:val="single" w:sz="4" w:space="0" w:color="auto"/>
              <w:bottom w:val="single" w:sz="4" w:space="0" w:color="auto"/>
              <w:right w:val="single" w:sz="4" w:space="0" w:color="auto"/>
            </w:tcBorders>
            <w:vAlign w:val="center"/>
            <w:hideMark/>
          </w:tcPr>
          <w:p w14:paraId="7EA93B21" w14:textId="77777777" w:rsidR="002D4B85" w:rsidRPr="00545EC0" w:rsidRDefault="002D4B85" w:rsidP="00017486">
            <w:pPr>
              <w:rPr>
                <w:rFonts w:cs="Arial"/>
                <w:sz w:val="18"/>
                <w:szCs w:val="18"/>
                <w:lang w:eastAsia="ja-JP"/>
              </w:rPr>
            </w:pPr>
            <w:r w:rsidRPr="00545EC0">
              <w:rPr>
                <w:rFonts w:cs="Arial"/>
                <w:sz w:val="18"/>
                <w:szCs w:val="18"/>
              </w:rPr>
              <w:t>OSTALA NEKMETIJSKA ZEMLJIŠČA</w:t>
            </w:r>
          </w:p>
        </w:tc>
        <w:tc>
          <w:tcPr>
            <w:tcW w:w="2418" w:type="pct"/>
            <w:tcBorders>
              <w:top w:val="nil"/>
              <w:left w:val="nil"/>
              <w:bottom w:val="single" w:sz="4" w:space="0" w:color="auto"/>
              <w:right w:val="single" w:sz="4" w:space="0" w:color="auto"/>
            </w:tcBorders>
            <w:noWrap/>
            <w:vAlign w:val="center"/>
            <w:hideMark/>
          </w:tcPr>
          <w:p w14:paraId="3D4E5880" w14:textId="77777777" w:rsidR="002D4B85" w:rsidRPr="00545EC0" w:rsidRDefault="002D4B85" w:rsidP="00017486">
            <w:pPr>
              <w:jc w:val="center"/>
              <w:rPr>
                <w:rFonts w:cs="Arial"/>
                <w:sz w:val="18"/>
                <w:szCs w:val="18"/>
                <w:lang w:eastAsia="ja-JP"/>
              </w:rPr>
            </w:pPr>
            <w:r w:rsidRPr="00545EC0">
              <w:rPr>
                <w:rFonts w:cs="Arial"/>
                <w:sz w:val="18"/>
                <w:szCs w:val="18"/>
              </w:rPr>
              <w:t>7,9</w:t>
            </w:r>
          </w:p>
        </w:tc>
      </w:tr>
    </w:tbl>
    <w:p w14:paraId="56C9EDE6" w14:textId="77777777" w:rsidR="002D4B85" w:rsidRPr="00545EC0" w:rsidRDefault="002D4B85" w:rsidP="002D4B85">
      <w:pPr>
        <w:rPr>
          <w:rFonts w:cs="Arial"/>
          <w:szCs w:val="22"/>
          <w:lang w:eastAsia="ja-JP"/>
        </w:rPr>
      </w:pPr>
    </w:p>
    <w:p w14:paraId="1BB87BEE" w14:textId="77777777" w:rsidR="002D4B85" w:rsidRPr="00545EC0" w:rsidRDefault="002D4B85" w:rsidP="002D4B85">
      <w:pPr>
        <w:rPr>
          <w:rFonts w:cs="Arial"/>
        </w:rPr>
      </w:pPr>
    </w:p>
    <w:p w14:paraId="0F772391" w14:textId="77777777" w:rsidR="002D4B85" w:rsidRPr="00545EC0" w:rsidRDefault="002D4B85" w:rsidP="002D4B85">
      <w:pPr>
        <w:rPr>
          <w:rFonts w:cs="Arial"/>
        </w:rPr>
      </w:pPr>
    </w:p>
    <w:p w14:paraId="689C3DCD" w14:textId="77777777" w:rsidR="002D4B85" w:rsidRPr="00545EC0" w:rsidRDefault="002D4B85" w:rsidP="002D4B85">
      <w:pPr>
        <w:pStyle w:val="podnaslov0"/>
      </w:pPr>
      <w:r w:rsidRPr="00545EC0">
        <w:br w:type="page"/>
      </w:r>
      <w:bookmarkStart w:id="46" w:name="_Toc419099172"/>
      <w:bookmarkStart w:id="47" w:name="_Toc366228082"/>
      <w:bookmarkStart w:id="48" w:name="_Toc225041560"/>
      <w:bookmarkStart w:id="49" w:name="_Toc222108576"/>
      <w:r w:rsidRPr="00545EC0">
        <w:lastRenderedPageBreak/>
        <w:t>Opis značilnosti porečja Save</w:t>
      </w:r>
      <w:bookmarkEnd w:id="46"/>
      <w:bookmarkEnd w:id="47"/>
      <w:bookmarkEnd w:id="48"/>
      <w:bookmarkEnd w:id="49"/>
    </w:p>
    <w:p w14:paraId="4CFBD04B" w14:textId="19838A19" w:rsidR="002D4B85" w:rsidRPr="00545EC0" w:rsidRDefault="002D4B85" w:rsidP="002D4B85">
      <w:pPr>
        <w:rPr>
          <w:rFonts w:cs="Arial"/>
        </w:rPr>
      </w:pPr>
      <w:r w:rsidRPr="00545EC0">
        <w:rPr>
          <w:rFonts w:cs="Arial"/>
        </w:rPr>
        <w:t xml:space="preserve">Porečje Save je največje porečje v </w:t>
      </w:r>
      <w:r w:rsidR="00307E73" w:rsidRPr="00545EC0">
        <w:rPr>
          <w:rFonts w:cs="Arial"/>
        </w:rPr>
        <w:t xml:space="preserve">Republiki </w:t>
      </w:r>
      <w:r w:rsidRPr="00545EC0">
        <w:rPr>
          <w:rFonts w:cs="Arial"/>
        </w:rPr>
        <w:t>Sloveniji. Površina porečja Save obsega 11.759 km</w:t>
      </w:r>
      <w:r w:rsidRPr="00545EC0">
        <w:rPr>
          <w:rFonts w:cs="Arial"/>
          <w:vertAlign w:val="superscript"/>
        </w:rPr>
        <w:t>2</w:t>
      </w:r>
      <w:r w:rsidRPr="00545EC0">
        <w:rPr>
          <w:rFonts w:cs="Arial"/>
        </w:rPr>
        <w:t xml:space="preserve"> in zavzema 71,8 % celotnega VO Donave. Površina tega porečja v primerjavi s površino </w:t>
      </w:r>
      <w:r w:rsidR="00307E73" w:rsidRPr="00545EC0">
        <w:rPr>
          <w:rFonts w:cs="Arial"/>
        </w:rPr>
        <w:t xml:space="preserve">Republike </w:t>
      </w:r>
      <w:r w:rsidRPr="00545EC0">
        <w:rPr>
          <w:rFonts w:cs="Arial"/>
        </w:rPr>
        <w:t>Slovenije znaša 59,04 %. Dolžina vseh rek na porečju Save meri 27</w:t>
      </w:r>
      <w:r w:rsidR="00803715" w:rsidRPr="00545EC0">
        <w:rPr>
          <w:rFonts w:cs="Arial"/>
        </w:rPr>
        <w:t>.</w:t>
      </w:r>
      <w:r w:rsidRPr="00545EC0">
        <w:rPr>
          <w:rFonts w:cs="Arial"/>
        </w:rPr>
        <w:t xml:space="preserve">114 km. V primerjavi z ostalimi porečji in povodji v </w:t>
      </w:r>
      <w:r w:rsidR="00307E73" w:rsidRPr="00545EC0">
        <w:rPr>
          <w:rFonts w:cs="Arial"/>
        </w:rPr>
        <w:t xml:space="preserve">Republiki </w:t>
      </w:r>
      <w:r w:rsidRPr="00545EC0">
        <w:rPr>
          <w:rFonts w:cs="Arial"/>
        </w:rPr>
        <w:t>Sloveniji je povprečna gostota rečne mreže na porečju Save 2,3 km/km</w:t>
      </w:r>
      <w:r w:rsidRPr="00545EC0">
        <w:rPr>
          <w:rFonts w:cs="Arial"/>
          <w:vertAlign w:val="superscript"/>
        </w:rPr>
        <w:t>2</w:t>
      </w:r>
      <w:r w:rsidRPr="00545EC0">
        <w:rPr>
          <w:rFonts w:cs="Arial"/>
        </w:rPr>
        <w:t>.</w:t>
      </w:r>
    </w:p>
    <w:p w14:paraId="73729985" w14:textId="77777777" w:rsidR="002D4B85" w:rsidRPr="00545EC0" w:rsidRDefault="002D4B85" w:rsidP="002D4B85">
      <w:pPr>
        <w:rPr>
          <w:rFonts w:cs="Arial"/>
        </w:rPr>
      </w:pPr>
    </w:p>
    <w:p w14:paraId="0E788013" w14:textId="2F136F08" w:rsidR="002D4B85" w:rsidRPr="00545EC0" w:rsidRDefault="002D4B85" w:rsidP="002D4B85">
      <w:pPr>
        <w:rPr>
          <w:rFonts w:cs="Arial"/>
        </w:rPr>
      </w:pPr>
      <w:bookmarkStart w:id="50" w:name="_Ref440630626"/>
      <w:r w:rsidRPr="00545EC0">
        <w:t>Porečje Save obsega 83 od skupno 155 VTPV</w:t>
      </w:r>
      <w:r w:rsidRPr="00545EC0">
        <w:rPr>
          <w:rFonts w:cs="Arial"/>
        </w:rPr>
        <w:t xml:space="preserve"> (</w:t>
      </w:r>
      <w:bookmarkEnd w:id="50"/>
      <w:r w:rsidRPr="00545EC0">
        <w:rPr>
          <w:rFonts w:cs="Arial"/>
        </w:rPr>
        <w:fldChar w:fldCharType="begin"/>
      </w:r>
      <w:r w:rsidRPr="00545EC0">
        <w:rPr>
          <w:rFonts w:cs="Arial"/>
        </w:rPr>
        <w:instrText xml:space="preserve"> REF _Ref462038764 \h </w:instrText>
      </w:r>
      <w:r w:rsidR="004F2AF2" w:rsidRPr="00545EC0">
        <w:rPr>
          <w:rFonts w:cs="Arial"/>
        </w:rPr>
        <w:instrText xml:space="preserve"> \* MERGEFORMAT </w:instrText>
      </w:r>
      <w:r w:rsidRPr="00545EC0">
        <w:rPr>
          <w:rFonts w:cs="Arial"/>
        </w:rPr>
      </w:r>
      <w:r w:rsidRPr="00545EC0">
        <w:rPr>
          <w:rFonts w:cs="Arial"/>
        </w:rPr>
        <w:fldChar w:fldCharType="separate"/>
      </w:r>
      <w:r w:rsidR="002F3E43" w:rsidRPr="00545EC0">
        <w:t xml:space="preserve">Preglednica </w:t>
      </w:r>
      <w:r w:rsidR="002F3E43">
        <w:rPr>
          <w:noProof/>
        </w:rPr>
        <w:t>2</w:t>
      </w:r>
      <w:r w:rsidR="002F3E43" w:rsidRPr="00545EC0">
        <w:rPr>
          <w:noProof/>
        </w:rPr>
        <w:noBreakHyphen/>
      </w:r>
      <w:r w:rsidR="002F3E43">
        <w:rPr>
          <w:noProof/>
        </w:rPr>
        <w:t>1</w:t>
      </w:r>
      <w:r w:rsidRPr="00545EC0">
        <w:rPr>
          <w:rFonts w:cs="Arial"/>
        </w:rPr>
        <w:fldChar w:fldCharType="end"/>
      </w:r>
      <w:r w:rsidRPr="00545EC0">
        <w:rPr>
          <w:rFonts w:cs="Arial"/>
        </w:rPr>
        <w:t xml:space="preserve">), ki so določena </w:t>
      </w:r>
      <w:r w:rsidRPr="00545EC0">
        <w:rPr>
          <w:rFonts w:eastAsia="Arial Unicode MS" w:cs="Arial"/>
          <w:spacing w:val="-2"/>
        </w:rPr>
        <w:t xml:space="preserve">s predpisom, ki ureja določitev in razvrstitev vodnih teles površinskih voda. </w:t>
      </w:r>
      <w:r w:rsidRPr="00545EC0">
        <w:rPr>
          <w:rFonts w:cs="Arial"/>
        </w:rPr>
        <w:t>Od tega je 6 VT določenih kot MPVT</w:t>
      </w:r>
      <w:r w:rsidR="00AA741C" w:rsidRPr="00545EC0">
        <w:rPr>
          <w:rFonts w:cs="Arial"/>
        </w:rPr>
        <w:t xml:space="preserve"> (MPVT zadrževalnik HE Moste</w:t>
      </w:r>
      <w:r w:rsidRPr="00545EC0">
        <w:rPr>
          <w:rFonts w:cs="Arial"/>
        </w:rPr>
        <w:t>,</w:t>
      </w:r>
      <w:r w:rsidR="00AA741C" w:rsidRPr="00545EC0">
        <w:rPr>
          <w:rFonts w:cs="Arial"/>
        </w:rPr>
        <w:t xml:space="preserve"> MPVT Mestna Ljubljanica, MPVT Sava Mavčiče – Medvode, MPVT Sava Vrhovo – Boštanj, MPVT zadrževalnik Šmartinsko jezero, MPVT zadrževalnik Slivniško jezero)</w:t>
      </w:r>
      <w:r w:rsidRPr="00545EC0">
        <w:rPr>
          <w:rFonts w:cs="Arial"/>
        </w:rPr>
        <w:t xml:space="preserve"> 2 VT pa sta umetni (UVT)</w:t>
      </w:r>
      <w:r w:rsidR="00EC369A" w:rsidRPr="00545EC0">
        <w:rPr>
          <w:rFonts w:cs="Arial"/>
        </w:rPr>
        <w:t xml:space="preserve"> (UVT Velenjsko jezero, UVT Gruberjev prekop)</w:t>
      </w:r>
      <w:r w:rsidRPr="00545EC0">
        <w:rPr>
          <w:rFonts w:cs="Arial"/>
        </w:rPr>
        <w:t xml:space="preserve">. Na porečju Save se nahajajo tudi 3 VTJ. Največji delež porečja pokriva VTPV Krka povirje – Soteska, in sicer zavzema 9,4 % površine vseh VTPV na tem porečju. </w:t>
      </w:r>
      <w:r w:rsidR="00EC369A" w:rsidRPr="00545EC0">
        <w:rPr>
          <w:rFonts w:cs="Arial"/>
        </w:rPr>
        <w:t>Porečje Save se deli na porečje zgornje Save, porečje srednje Save, porečje spodnje Save in porečje Savinje.</w:t>
      </w:r>
    </w:p>
    <w:p w14:paraId="3FD61D03" w14:textId="77777777" w:rsidR="002D4B85" w:rsidRPr="00545EC0" w:rsidRDefault="002D4B85" w:rsidP="002D4B85">
      <w:pPr>
        <w:rPr>
          <w:rFonts w:cs="Arial"/>
        </w:rPr>
      </w:pPr>
    </w:p>
    <w:p w14:paraId="1423DA34" w14:textId="14D8ED1B" w:rsidR="002D4B85" w:rsidRPr="00545EC0" w:rsidRDefault="002D4B85" w:rsidP="002D4B85">
      <w:pPr>
        <w:rPr>
          <w:rFonts w:eastAsia="Arial Unicode MS" w:cs="Arial"/>
        </w:rPr>
      </w:pPr>
      <w:r w:rsidRPr="00545EC0">
        <w:rPr>
          <w:rFonts w:cs="Arial"/>
        </w:rPr>
        <w:t xml:space="preserve">Na porečju Save prevladujejo gozdne površine, saj le-te zavzemajo skoraj dve tretjini celotnega porečja. Veliko je tudi kmetijskih površin, skoraj eno tretjino. Največje urbano območje na porečju je glavno mesto </w:t>
      </w:r>
      <w:r w:rsidR="00307E73" w:rsidRPr="00545EC0">
        <w:rPr>
          <w:rFonts w:cs="Arial"/>
        </w:rPr>
        <w:t xml:space="preserve">Republike </w:t>
      </w:r>
      <w:r w:rsidRPr="00545EC0">
        <w:rPr>
          <w:rFonts w:cs="Arial"/>
        </w:rPr>
        <w:t xml:space="preserve">Slovenije Ljubljana. Na porečju Save sicer prebiva okoli 62 % celotnega prebivalstva v </w:t>
      </w:r>
      <w:r w:rsidRPr="00545EC0">
        <w:rPr>
          <w:rFonts w:eastAsia="Arial Unicode MS" w:cs="Arial"/>
        </w:rPr>
        <w:t xml:space="preserve"> </w:t>
      </w:r>
      <w:r w:rsidR="00307E73" w:rsidRPr="00545EC0">
        <w:rPr>
          <w:rFonts w:eastAsia="Arial Unicode MS" w:cs="Arial"/>
        </w:rPr>
        <w:t xml:space="preserve">Republiki </w:t>
      </w:r>
      <w:r w:rsidRPr="00545EC0">
        <w:rPr>
          <w:rFonts w:cs="Arial"/>
        </w:rPr>
        <w:t>Sloveniji</w:t>
      </w:r>
      <w:r w:rsidRPr="00545EC0">
        <w:rPr>
          <w:rFonts w:eastAsia="Arial Unicode MS" w:cs="Arial"/>
        </w:rPr>
        <w:t>.</w:t>
      </w:r>
    </w:p>
    <w:p w14:paraId="3E76B5C3" w14:textId="77777777" w:rsidR="002D4B85" w:rsidRPr="00545EC0" w:rsidRDefault="002D4B85" w:rsidP="002D4B85">
      <w:pPr>
        <w:rPr>
          <w:rFonts w:eastAsia="Arial Unicode MS" w:cs="Arial"/>
        </w:rPr>
      </w:pPr>
    </w:p>
    <w:p w14:paraId="6B27CE82" w14:textId="1B5028E1" w:rsidR="002D4B85" w:rsidRPr="00545EC0" w:rsidRDefault="002D4B85" w:rsidP="002D4B85">
      <w:pPr>
        <w:pStyle w:val="Napis"/>
      </w:pPr>
      <w:bookmarkStart w:id="51" w:name="_Toc419097364"/>
      <w:bookmarkStart w:id="52" w:name="_Toc384108245"/>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4</w:t>
        </w:r>
      </w:fldSimple>
      <w:r w:rsidRPr="00545EC0">
        <w:t>: Vrsta rabe površin na porečju Save</w:t>
      </w:r>
      <w:bookmarkEnd w:id="51"/>
      <w:bookmarkEnd w:id="52"/>
    </w:p>
    <w:tbl>
      <w:tblPr>
        <w:tblW w:w="5000" w:type="pct"/>
        <w:tblCellMar>
          <w:left w:w="70" w:type="dxa"/>
          <w:right w:w="70" w:type="dxa"/>
        </w:tblCellMar>
        <w:tblLook w:val="04A0" w:firstRow="1" w:lastRow="0" w:firstColumn="1" w:lastColumn="0" w:noHBand="0" w:noVBand="1"/>
      </w:tblPr>
      <w:tblGrid>
        <w:gridCol w:w="4757"/>
        <w:gridCol w:w="4454"/>
      </w:tblGrid>
      <w:tr w:rsidR="003122F4" w:rsidRPr="00545EC0" w14:paraId="482F8FF4" w14:textId="77777777" w:rsidTr="00AE414A">
        <w:trPr>
          <w:trHeight w:val="510"/>
        </w:trPr>
        <w:tc>
          <w:tcPr>
            <w:tcW w:w="258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12A34CE" w14:textId="58470B27" w:rsidR="002D4B85" w:rsidRPr="00545EC0" w:rsidRDefault="00EC369A" w:rsidP="00017486">
            <w:pPr>
              <w:rPr>
                <w:rFonts w:cs="Arial"/>
                <w:b/>
                <w:bCs/>
                <w:sz w:val="18"/>
                <w:szCs w:val="18"/>
                <w:lang w:eastAsia="ja-JP"/>
              </w:rPr>
            </w:pPr>
            <w:r w:rsidRPr="00545EC0">
              <w:rPr>
                <w:rFonts w:cs="Arial"/>
                <w:b/>
                <w:bCs/>
                <w:sz w:val="18"/>
                <w:szCs w:val="18"/>
              </w:rPr>
              <w:t>Vrsta rabe zemljišč</w:t>
            </w:r>
          </w:p>
        </w:tc>
        <w:tc>
          <w:tcPr>
            <w:tcW w:w="241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B38AC1B" w14:textId="77777777" w:rsidR="002D4B85" w:rsidRPr="00545EC0" w:rsidRDefault="002D4B85" w:rsidP="00017486">
            <w:pPr>
              <w:jc w:val="center"/>
              <w:rPr>
                <w:rFonts w:cs="Arial"/>
                <w:b/>
                <w:bCs/>
                <w:sz w:val="18"/>
                <w:szCs w:val="18"/>
                <w:lang w:eastAsia="ja-JP"/>
              </w:rPr>
            </w:pPr>
            <w:r w:rsidRPr="00545EC0">
              <w:rPr>
                <w:rFonts w:cs="Arial"/>
                <w:b/>
                <w:bCs/>
                <w:sz w:val="18"/>
                <w:szCs w:val="18"/>
              </w:rPr>
              <w:t>Delež površine na porečju (%)</w:t>
            </w:r>
          </w:p>
        </w:tc>
      </w:tr>
      <w:tr w:rsidR="003122F4" w:rsidRPr="00545EC0" w14:paraId="6BB5DB0A" w14:textId="77777777" w:rsidTr="00AE414A">
        <w:trPr>
          <w:trHeight w:val="300"/>
        </w:trPr>
        <w:tc>
          <w:tcPr>
            <w:tcW w:w="2582" w:type="pct"/>
            <w:tcBorders>
              <w:top w:val="nil"/>
              <w:left w:val="single" w:sz="4" w:space="0" w:color="auto"/>
              <w:bottom w:val="single" w:sz="4" w:space="0" w:color="auto"/>
              <w:right w:val="single" w:sz="4" w:space="0" w:color="auto"/>
            </w:tcBorders>
            <w:vAlign w:val="center"/>
            <w:hideMark/>
          </w:tcPr>
          <w:p w14:paraId="63B25F20" w14:textId="77777777" w:rsidR="002D4B85" w:rsidRPr="00545EC0" w:rsidRDefault="002D4B85" w:rsidP="00017486">
            <w:pPr>
              <w:rPr>
                <w:rFonts w:cs="Arial"/>
                <w:sz w:val="18"/>
                <w:szCs w:val="18"/>
                <w:lang w:eastAsia="ja-JP"/>
              </w:rPr>
            </w:pPr>
            <w:r w:rsidRPr="00545EC0">
              <w:rPr>
                <w:rFonts w:cs="Arial"/>
                <w:sz w:val="18"/>
                <w:szCs w:val="18"/>
              </w:rPr>
              <w:t>NJIVE IN VRTOVI</w:t>
            </w:r>
          </w:p>
        </w:tc>
        <w:tc>
          <w:tcPr>
            <w:tcW w:w="2418" w:type="pct"/>
            <w:tcBorders>
              <w:top w:val="nil"/>
              <w:left w:val="nil"/>
              <w:bottom w:val="single" w:sz="4" w:space="0" w:color="auto"/>
              <w:right w:val="single" w:sz="4" w:space="0" w:color="auto"/>
            </w:tcBorders>
            <w:noWrap/>
            <w:vAlign w:val="center"/>
            <w:hideMark/>
          </w:tcPr>
          <w:p w14:paraId="4CF84683" w14:textId="77777777" w:rsidR="002D4B85" w:rsidRPr="00545EC0" w:rsidRDefault="002D4B85" w:rsidP="00017486">
            <w:pPr>
              <w:jc w:val="center"/>
              <w:rPr>
                <w:rFonts w:cs="Arial"/>
                <w:sz w:val="18"/>
                <w:szCs w:val="18"/>
                <w:lang w:eastAsia="ja-JP"/>
              </w:rPr>
            </w:pPr>
            <w:r w:rsidRPr="00545EC0">
              <w:rPr>
                <w:rFonts w:cs="Arial"/>
                <w:sz w:val="18"/>
                <w:szCs w:val="18"/>
              </w:rPr>
              <w:t>5,8</w:t>
            </w:r>
          </w:p>
        </w:tc>
      </w:tr>
      <w:tr w:rsidR="003122F4" w:rsidRPr="00545EC0" w14:paraId="238693D2" w14:textId="77777777" w:rsidTr="00AE414A">
        <w:trPr>
          <w:trHeight w:val="300"/>
        </w:trPr>
        <w:tc>
          <w:tcPr>
            <w:tcW w:w="2582" w:type="pct"/>
            <w:tcBorders>
              <w:top w:val="nil"/>
              <w:left w:val="single" w:sz="4" w:space="0" w:color="auto"/>
              <w:bottom w:val="single" w:sz="4" w:space="0" w:color="auto"/>
              <w:right w:val="single" w:sz="4" w:space="0" w:color="auto"/>
            </w:tcBorders>
            <w:vAlign w:val="center"/>
            <w:hideMark/>
          </w:tcPr>
          <w:p w14:paraId="3AA10B77" w14:textId="77777777" w:rsidR="002D4B85" w:rsidRPr="00545EC0" w:rsidRDefault="002D4B85" w:rsidP="00017486">
            <w:pPr>
              <w:rPr>
                <w:rFonts w:cs="Arial"/>
                <w:sz w:val="18"/>
                <w:szCs w:val="18"/>
                <w:lang w:eastAsia="ja-JP"/>
              </w:rPr>
            </w:pPr>
            <w:r w:rsidRPr="00545EC0">
              <w:rPr>
                <w:rFonts w:cs="Arial"/>
                <w:sz w:val="18"/>
                <w:szCs w:val="18"/>
              </w:rPr>
              <w:t>TRAJNI NASADI</w:t>
            </w:r>
          </w:p>
        </w:tc>
        <w:tc>
          <w:tcPr>
            <w:tcW w:w="2418" w:type="pct"/>
            <w:tcBorders>
              <w:top w:val="nil"/>
              <w:left w:val="nil"/>
              <w:bottom w:val="single" w:sz="4" w:space="0" w:color="auto"/>
              <w:right w:val="single" w:sz="4" w:space="0" w:color="auto"/>
            </w:tcBorders>
            <w:noWrap/>
            <w:vAlign w:val="center"/>
            <w:hideMark/>
          </w:tcPr>
          <w:p w14:paraId="4F419F3C" w14:textId="77777777" w:rsidR="002D4B85" w:rsidRPr="00545EC0" w:rsidRDefault="002D4B85" w:rsidP="00017486">
            <w:pPr>
              <w:jc w:val="center"/>
              <w:rPr>
                <w:rFonts w:cs="Arial"/>
                <w:sz w:val="18"/>
                <w:szCs w:val="18"/>
                <w:lang w:eastAsia="ja-JP"/>
              </w:rPr>
            </w:pPr>
            <w:r w:rsidRPr="00545EC0">
              <w:rPr>
                <w:rFonts w:cs="Arial"/>
                <w:sz w:val="18"/>
                <w:szCs w:val="18"/>
              </w:rPr>
              <w:t>1,8</w:t>
            </w:r>
          </w:p>
        </w:tc>
      </w:tr>
      <w:tr w:rsidR="003122F4" w:rsidRPr="00545EC0" w14:paraId="1CD61656" w14:textId="77777777" w:rsidTr="00AE414A">
        <w:trPr>
          <w:trHeight w:val="300"/>
        </w:trPr>
        <w:tc>
          <w:tcPr>
            <w:tcW w:w="2582" w:type="pct"/>
            <w:tcBorders>
              <w:top w:val="nil"/>
              <w:left w:val="single" w:sz="4" w:space="0" w:color="auto"/>
              <w:bottom w:val="single" w:sz="4" w:space="0" w:color="auto"/>
              <w:right w:val="single" w:sz="4" w:space="0" w:color="auto"/>
            </w:tcBorders>
            <w:vAlign w:val="center"/>
            <w:hideMark/>
          </w:tcPr>
          <w:p w14:paraId="7CE19CA7" w14:textId="77777777" w:rsidR="002D4B85" w:rsidRPr="00545EC0" w:rsidRDefault="002D4B85" w:rsidP="00017486">
            <w:pPr>
              <w:rPr>
                <w:rFonts w:cs="Arial"/>
                <w:sz w:val="18"/>
                <w:szCs w:val="18"/>
                <w:lang w:eastAsia="ja-JP"/>
              </w:rPr>
            </w:pPr>
            <w:r w:rsidRPr="00545EC0">
              <w:rPr>
                <w:rFonts w:cs="Arial"/>
                <w:sz w:val="18"/>
                <w:szCs w:val="18"/>
              </w:rPr>
              <w:t>TRAVNIŠKE POVRŠINE</w:t>
            </w:r>
          </w:p>
        </w:tc>
        <w:tc>
          <w:tcPr>
            <w:tcW w:w="2418" w:type="pct"/>
            <w:tcBorders>
              <w:top w:val="nil"/>
              <w:left w:val="nil"/>
              <w:bottom w:val="single" w:sz="4" w:space="0" w:color="auto"/>
              <w:right w:val="single" w:sz="4" w:space="0" w:color="auto"/>
            </w:tcBorders>
            <w:noWrap/>
            <w:vAlign w:val="center"/>
            <w:hideMark/>
          </w:tcPr>
          <w:p w14:paraId="7643A9CD" w14:textId="77777777" w:rsidR="002D4B85" w:rsidRPr="00545EC0" w:rsidRDefault="002D4B85" w:rsidP="00017486">
            <w:pPr>
              <w:jc w:val="center"/>
              <w:rPr>
                <w:rFonts w:cs="Arial"/>
                <w:sz w:val="18"/>
                <w:szCs w:val="18"/>
                <w:lang w:eastAsia="ja-JP"/>
              </w:rPr>
            </w:pPr>
            <w:r w:rsidRPr="00545EC0">
              <w:rPr>
                <w:rFonts w:cs="Arial"/>
                <w:sz w:val="18"/>
                <w:szCs w:val="18"/>
              </w:rPr>
              <w:t>19,3</w:t>
            </w:r>
          </w:p>
        </w:tc>
      </w:tr>
      <w:tr w:rsidR="003122F4" w:rsidRPr="00545EC0" w14:paraId="6A31ADFF" w14:textId="77777777" w:rsidTr="00AE414A">
        <w:trPr>
          <w:trHeight w:val="300"/>
        </w:trPr>
        <w:tc>
          <w:tcPr>
            <w:tcW w:w="2582" w:type="pct"/>
            <w:tcBorders>
              <w:top w:val="nil"/>
              <w:left w:val="single" w:sz="4" w:space="0" w:color="auto"/>
              <w:bottom w:val="single" w:sz="4" w:space="0" w:color="auto"/>
              <w:right w:val="single" w:sz="4" w:space="0" w:color="auto"/>
            </w:tcBorders>
            <w:vAlign w:val="center"/>
            <w:hideMark/>
          </w:tcPr>
          <w:p w14:paraId="5C239444" w14:textId="77777777" w:rsidR="002D4B85" w:rsidRPr="00545EC0" w:rsidRDefault="002D4B85" w:rsidP="00017486">
            <w:pPr>
              <w:rPr>
                <w:rFonts w:cs="Arial"/>
                <w:sz w:val="18"/>
                <w:szCs w:val="18"/>
                <w:lang w:eastAsia="ja-JP"/>
              </w:rPr>
            </w:pPr>
            <w:r w:rsidRPr="00545EC0">
              <w:rPr>
                <w:rFonts w:cs="Arial"/>
                <w:sz w:val="18"/>
                <w:szCs w:val="18"/>
              </w:rPr>
              <w:t>DRUGE KMETIJSKE POVRŠINE</w:t>
            </w:r>
          </w:p>
        </w:tc>
        <w:tc>
          <w:tcPr>
            <w:tcW w:w="2418" w:type="pct"/>
            <w:tcBorders>
              <w:top w:val="nil"/>
              <w:left w:val="nil"/>
              <w:bottom w:val="single" w:sz="4" w:space="0" w:color="auto"/>
              <w:right w:val="single" w:sz="4" w:space="0" w:color="auto"/>
            </w:tcBorders>
            <w:noWrap/>
            <w:vAlign w:val="center"/>
            <w:hideMark/>
          </w:tcPr>
          <w:p w14:paraId="5BFBE94A" w14:textId="77777777" w:rsidR="002D4B85" w:rsidRPr="00545EC0" w:rsidRDefault="002D4B85" w:rsidP="00017486">
            <w:pPr>
              <w:jc w:val="center"/>
              <w:rPr>
                <w:rFonts w:cs="Arial"/>
                <w:sz w:val="18"/>
                <w:szCs w:val="18"/>
                <w:lang w:eastAsia="ja-JP"/>
              </w:rPr>
            </w:pPr>
            <w:r w:rsidRPr="00545EC0">
              <w:rPr>
                <w:rFonts w:cs="Arial"/>
                <w:sz w:val="18"/>
                <w:szCs w:val="18"/>
              </w:rPr>
              <w:t>2,8</w:t>
            </w:r>
          </w:p>
        </w:tc>
      </w:tr>
      <w:tr w:rsidR="003122F4" w:rsidRPr="00545EC0" w14:paraId="662E31E8" w14:textId="77777777" w:rsidTr="00AE414A">
        <w:trPr>
          <w:trHeight w:val="300"/>
        </w:trPr>
        <w:tc>
          <w:tcPr>
            <w:tcW w:w="2582" w:type="pct"/>
            <w:tcBorders>
              <w:top w:val="nil"/>
              <w:left w:val="single" w:sz="4" w:space="0" w:color="auto"/>
              <w:bottom w:val="single" w:sz="4" w:space="0" w:color="auto"/>
              <w:right w:val="single" w:sz="4" w:space="0" w:color="auto"/>
            </w:tcBorders>
            <w:vAlign w:val="center"/>
            <w:hideMark/>
          </w:tcPr>
          <w:p w14:paraId="0EED01FB" w14:textId="77777777" w:rsidR="002D4B85" w:rsidRPr="00545EC0" w:rsidRDefault="002D4B85" w:rsidP="00017486">
            <w:pPr>
              <w:rPr>
                <w:rFonts w:cs="Arial"/>
                <w:sz w:val="18"/>
                <w:szCs w:val="18"/>
                <w:lang w:eastAsia="ja-JP"/>
              </w:rPr>
            </w:pPr>
            <w:r w:rsidRPr="00545EC0">
              <w:rPr>
                <w:rFonts w:cs="Arial"/>
                <w:sz w:val="18"/>
                <w:szCs w:val="18"/>
              </w:rPr>
              <w:t>GOZD</w:t>
            </w:r>
          </w:p>
        </w:tc>
        <w:tc>
          <w:tcPr>
            <w:tcW w:w="2418" w:type="pct"/>
            <w:tcBorders>
              <w:top w:val="nil"/>
              <w:left w:val="nil"/>
              <w:bottom w:val="single" w:sz="4" w:space="0" w:color="auto"/>
              <w:right w:val="single" w:sz="4" w:space="0" w:color="auto"/>
            </w:tcBorders>
            <w:noWrap/>
            <w:vAlign w:val="center"/>
            <w:hideMark/>
          </w:tcPr>
          <w:p w14:paraId="3571B4B4" w14:textId="77777777" w:rsidR="002D4B85" w:rsidRPr="00545EC0" w:rsidRDefault="002D4B85" w:rsidP="00017486">
            <w:pPr>
              <w:jc w:val="center"/>
              <w:rPr>
                <w:rFonts w:cs="Arial"/>
                <w:sz w:val="18"/>
                <w:szCs w:val="18"/>
                <w:lang w:eastAsia="ja-JP"/>
              </w:rPr>
            </w:pPr>
            <w:r w:rsidRPr="00545EC0">
              <w:rPr>
                <w:rFonts w:cs="Arial"/>
                <w:sz w:val="18"/>
                <w:szCs w:val="18"/>
              </w:rPr>
              <w:t>63,1</w:t>
            </w:r>
          </w:p>
        </w:tc>
      </w:tr>
      <w:tr w:rsidR="002D4B85" w:rsidRPr="00545EC0" w14:paraId="4FB1295B" w14:textId="77777777" w:rsidTr="00AE414A">
        <w:trPr>
          <w:trHeight w:val="300"/>
        </w:trPr>
        <w:tc>
          <w:tcPr>
            <w:tcW w:w="2582" w:type="pct"/>
            <w:tcBorders>
              <w:top w:val="nil"/>
              <w:left w:val="single" w:sz="4" w:space="0" w:color="auto"/>
              <w:bottom w:val="single" w:sz="4" w:space="0" w:color="auto"/>
              <w:right w:val="single" w:sz="4" w:space="0" w:color="auto"/>
            </w:tcBorders>
            <w:vAlign w:val="center"/>
            <w:hideMark/>
          </w:tcPr>
          <w:p w14:paraId="153D8D4A" w14:textId="77777777" w:rsidR="002D4B85" w:rsidRPr="00545EC0" w:rsidRDefault="002D4B85" w:rsidP="00017486">
            <w:pPr>
              <w:rPr>
                <w:rFonts w:cs="Arial"/>
                <w:sz w:val="18"/>
                <w:szCs w:val="18"/>
                <w:lang w:eastAsia="ja-JP"/>
              </w:rPr>
            </w:pPr>
            <w:r w:rsidRPr="00545EC0">
              <w:rPr>
                <w:rFonts w:cs="Arial"/>
                <w:sz w:val="18"/>
                <w:szCs w:val="18"/>
              </w:rPr>
              <w:t>OSTALA NEKMETIJSKA ZEMLJIŠČA</w:t>
            </w:r>
          </w:p>
        </w:tc>
        <w:tc>
          <w:tcPr>
            <w:tcW w:w="2418" w:type="pct"/>
            <w:tcBorders>
              <w:top w:val="nil"/>
              <w:left w:val="nil"/>
              <w:bottom w:val="single" w:sz="4" w:space="0" w:color="auto"/>
              <w:right w:val="single" w:sz="4" w:space="0" w:color="auto"/>
            </w:tcBorders>
            <w:noWrap/>
            <w:vAlign w:val="center"/>
            <w:hideMark/>
          </w:tcPr>
          <w:p w14:paraId="75621AF5" w14:textId="77777777" w:rsidR="002D4B85" w:rsidRPr="00545EC0" w:rsidRDefault="002D4B85" w:rsidP="00017486">
            <w:pPr>
              <w:jc w:val="center"/>
              <w:rPr>
                <w:rFonts w:cs="Arial"/>
                <w:sz w:val="18"/>
                <w:szCs w:val="18"/>
                <w:lang w:eastAsia="ja-JP"/>
              </w:rPr>
            </w:pPr>
            <w:r w:rsidRPr="00545EC0">
              <w:rPr>
                <w:rFonts w:cs="Arial"/>
                <w:sz w:val="18"/>
                <w:szCs w:val="18"/>
              </w:rPr>
              <w:t>6,8</w:t>
            </w:r>
          </w:p>
        </w:tc>
      </w:tr>
    </w:tbl>
    <w:p w14:paraId="50EBC68F" w14:textId="77777777" w:rsidR="00342A40" w:rsidRPr="00545EC0" w:rsidRDefault="00342A40" w:rsidP="0010797F">
      <w:pPr>
        <w:pStyle w:val="lennaslov"/>
        <w:jc w:val="both"/>
        <w:rPr>
          <w:rFonts w:cs="Arial"/>
          <w:lang w:val="sl-SI"/>
        </w:rPr>
      </w:pPr>
    </w:p>
    <w:p w14:paraId="002D44B4" w14:textId="3CB92C41" w:rsidR="00342A40" w:rsidRPr="00545EC0" w:rsidRDefault="0016421B" w:rsidP="00506E03">
      <w:pPr>
        <w:pStyle w:val="Naslov4"/>
        <w:tabs>
          <w:tab w:val="clear" w:pos="1134"/>
          <w:tab w:val="center" w:pos="851"/>
        </w:tabs>
        <w:rPr>
          <w:color w:val="auto"/>
        </w:rPr>
      </w:pPr>
      <w:r w:rsidRPr="00545EC0">
        <w:rPr>
          <w:color w:val="auto"/>
        </w:rPr>
        <w:t>Prikaz lokacij in meja vodnih teles površinskih voda ter opis uporabljenih meril za njihovo določitev</w:t>
      </w:r>
    </w:p>
    <w:p w14:paraId="63B15E51" w14:textId="3CB4A926" w:rsidR="00342A40" w:rsidRPr="00545EC0" w:rsidRDefault="00342A40" w:rsidP="00605980">
      <w:r w:rsidRPr="00545EC0">
        <w:rPr>
          <w:spacing w:val="-2"/>
        </w:rPr>
        <w:t>Vodna</w:t>
      </w:r>
      <w:r w:rsidRPr="00545EC0">
        <w:t xml:space="preserve"> </w:t>
      </w:r>
      <w:r w:rsidRPr="00545EC0">
        <w:rPr>
          <w:spacing w:val="-2"/>
        </w:rPr>
        <w:t>telesa</w:t>
      </w:r>
      <w:r w:rsidRPr="00545EC0">
        <w:t xml:space="preserve"> </w:t>
      </w:r>
      <w:r w:rsidRPr="00545EC0">
        <w:rPr>
          <w:spacing w:val="-2"/>
        </w:rPr>
        <w:t>površi</w:t>
      </w:r>
      <w:r w:rsidRPr="00545EC0">
        <w:t>n</w:t>
      </w:r>
      <w:r w:rsidRPr="00545EC0">
        <w:rPr>
          <w:spacing w:val="-2"/>
        </w:rPr>
        <w:t>s</w:t>
      </w:r>
      <w:r w:rsidRPr="00545EC0">
        <w:t>k</w:t>
      </w:r>
      <w:r w:rsidRPr="00545EC0">
        <w:rPr>
          <w:spacing w:val="-2"/>
        </w:rPr>
        <w:t>ih</w:t>
      </w:r>
      <w:r w:rsidRPr="00545EC0">
        <w:t xml:space="preserve"> </w:t>
      </w:r>
      <w:r w:rsidRPr="00545EC0">
        <w:rPr>
          <w:spacing w:val="-2"/>
        </w:rPr>
        <w:t>voda</w:t>
      </w:r>
      <w:r w:rsidRPr="00545EC0">
        <w:t xml:space="preserve"> (v </w:t>
      </w:r>
      <w:r w:rsidR="008655D0" w:rsidRPr="00545EC0">
        <w:rPr>
          <w:rFonts w:cs="Arial"/>
        </w:rPr>
        <w:t>nadaljnjem besedilu:</w:t>
      </w:r>
      <w:r w:rsidR="004A69FB" w:rsidRPr="00545EC0">
        <w:rPr>
          <w:rFonts w:cs="Arial"/>
        </w:rPr>
        <w:t xml:space="preserve"> </w:t>
      </w:r>
      <w:r w:rsidRPr="00545EC0">
        <w:t xml:space="preserve">VTPV) </w:t>
      </w:r>
      <w:r w:rsidRPr="00545EC0">
        <w:rPr>
          <w:spacing w:val="-2"/>
        </w:rPr>
        <w:t>so</w:t>
      </w:r>
      <w:r w:rsidRPr="00545EC0">
        <w:t xml:space="preserve"> </w:t>
      </w:r>
      <w:r w:rsidRPr="00545EC0">
        <w:rPr>
          <w:spacing w:val="-2"/>
        </w:rPr>
        <w:t>dol</w:t>
      </w:r>
      <w:r w:rsidRPr="00545EC0">
        <w:t xml:space="preserve">očena s </w:t>
      </w:r>
      <w:r w:rsidR="0075064D" w:rsidRPr="00545EC0">
        <w:rPr>
          <w:rFonts w:eastAsia="Arial Unicode MS" w:cs="Arial"/>
          <w:spacing w:val="-2"/>
        </w:rPr>
        <w:t>predpisom, ki ureja določitev in razvrstitev vodnih teles površinskih voda</w:t>
      </w:r>
      <w:r w:rsidR="004A69FB" w:rsidRPr="00545EC0">
        <w:rPr>
          <w:rFonts w:eastAsia="Arial Unicode MS" w:cs="Arial"/>
          <w:spacing w:val="-2"/>
        </w:rPr>
        <w:t xml:space="preserve"> </w:t>
      </w:r>
      <w:r w:rsidRPr="00545EC0">
        <w:t>(</w:t>
      </w:r>
      <w:r w:rsidR="00162E83" w:rsidRPr="00545EC0">
        <w:rPr>
          <w:i/>
        </w:rPr>
        <w:t>Publikacijska kart</w:t>
      </w:r>
      <w:r w:rsidR="001D5C1B" w:rsidRPr="00545EC0">
        <w:rPr>
          <w:i/>
        </w:rPr>
        <w:t>a 1.4</w:t>
      </w:r>
      <w:r w:rsidRPr="00545EC0">
        <w:rPr>
          <w:i/>
        </w:rPr>
        <w:t>: Vodna telesa površinskih voda</w:t>
      </w:r>
      <w:r w:rsidRPr="00545EC0">
        <w:t>).</w:t>
      </w:r>
    </w:p>
    <w:p w14:paraId="267C3AB9" w14:textId="77777777" w:rsidR="00342A40" w:rsidRPr="00545EC0" w:rsidRDefault="00342A40" w:rsidP="00605980">
      <w:pPr>
        <w:rPr>
          <w:spacing w:val="-2"/>
        </w:rPr>
      </w:pPr>
    </w:p>
    <w:p w14:paraId="06E57F49" w14:textId="08603537" w:rsidR="00342A40" w:rsidRPr="00545EC0" w:rsidRDefault="00342A40" w:rsidP="00605980">
      <w:pPr>
        <w:rPr>
          <w:spacing w:val="-2"/>
        </w:rPr>
      </w:pPr>
      <w:bookmarkStart w:id="53" w:name="_Ref283372732"/>
      <w:bookmarkStart w:id="54" w:name="_Toc384108242"/>
      <w:bookmarkStart w:id="55" w:name="_Toc299421078"/>
      <w:bookmarkStart w:id="56" w:name="_Toc275865802"/>
      <w:bookmarkStart w:id="57" w:name="_Toc225041648"/>
      <w:bookmarkStart w:id="58" w:name="_Toc222108973"/>
      <w:bookmarkStart w:id="59" w:name="_Toc215473627"/>
      <w:bookmarkStart w:id="60" w:name="_Toc214344063"/>
      <w:r w:rsidRPr="00545EC0">
        <w:rPr>
          <w:spacing w:val="-2"/>
        </w:rPr>
        <w:t>Prva določitev VTPV je bila izvedena leta</w:t>
      </w:r>
      <w:r w:rsidR="00FF4B2E" w:rsidRPr="00545EC0">
        <w:rPr>
          <w:spacing w:val="-2"/>
        </w:rPr>
        <w:t xml:space="preserve"> 2005 (z dopolnitvami leta 2006,</w:t>
      </w:r>
      <w:r w:rsidRPr="00545EC0">
        <w:rPr>
          <w:spacing w:val="-2"/>
        </w:rPr>
        <w:t xml:space="preserve"> 2011</w:t>
      </w:r>
      <w:r w:rsidR="00FF4B2E" w:rsidRPr="00545EC0">
        <w:rPr>
          <w:spacing w:val="-2"/>
        </w:rPr>
        <w:t xml:space="preserve"> in 2016</w:t>
      </w:r>
      <w:r w:rsidRPr="00545EC0">
        <w:rPr>
          <w:spacing w:val="-2"/>
        </w:rPr>
        <w:t>), in sicer za reke, jezera in obalno morje. V določitev VTPV niso zajete somornice. Določitev obsega tudi opredelitev umetnih vodnih teles (UVT) in močno preoblikovanih vodnih teles (MPVT</w:t>
      </w:r>
      <w:r w:rsidR="00242799" w:rsidRPr="00545EC0">
        <w:rPr>
          <w:spacing w:val="-2"/>
        </w:rPr>
        <w:t>)</w:t>
      </w:r>
      <w:r w:rsidRPr="00545EC0">
        <w:rPr>
          <w:spacing w:val="-2"/>
        </w:rPr>
        <w:t>.</w:t>
      </w:r>
    </w:p>
    <w:p w14:paraId="2D50D037" w14:textId="77777777" w:rsidR="00342A40" w:rsidRPr="00545EC0" w:rsidRDefault="00342A40" w:rsidP="00605980">
      <w:pPr>
        <w:rPr>
          <w:spacing w:val="-2"/>
        </w:rPr>
      </w:pPr>
    </w:p>
    <w:p w14:paraId="10508668" w14:textId="77777777" w:rsidR="00342A40" w:rsidRPr="00545EC0" w:rsidRDefault="00342A40" w:rsidP="00605980">
      <w:pPr>
        <w:rPr>
          <w:spacing w:val="-2"/>
        </w:rPr>
      </w:pPr>
      <w:r w:rsidRPr="00545EC0">
        <w:rPr>
          <w:spacing w:val="-2"/>
        </w:rPr>
        <w:t>VTPV so določena za:</w:t>
      </w:r>
    </w:p>
    <w:p w14:paraId="7C40EEA3" w14:textId="77777777" w:rsidR="00342A40" w:rsidRPr="00545EC0" w:rsidRDefault="00342A40" w:rsidP="00DD37C5">
      <w:pPr>
        <w:numPr>
          <w:ilvl w:val="0"/>
          <w:numId w:val="47"/>
        </w:numPr>
        <w:ind w:left="584" w:hanging="227"/>
        <w:rPr>
          <w:szCs w:val="20"/>
        </w:rPr>
      </w:pPr>
      <w:r w:rsidRPr="00545EC0">
        <w:rPr>
          <w:szCs w:val="20"/>
        </w:rPr>
        <w:t>reke s prispevno površino večjo od 100 km</w:t>
      </w:r>
      <w:r w:rsidRPr="00545EC0">
        <w:rPr>
          <w:szCs w:val="20"/>
          <w:vertAlign w:val="superscript"/>
        </w:rPr>
        <w:t>2</w:t>
      </w:r>
      <w:r w:rsidRPr="00545EC0">
        <w:rPr>
          <w:szCs w:val="20"/>
        </w:rPr>
        <w:t>,</w:t>
      </w:r>
    </w:p>
    <w:p w14:paraId="620FDF85" w14:textId="77777777" w:rsidR="00342A40" w:rsidRPr="00545EC0" w:rsidRDefault="00342A40" w:rsidP="00DD37C5">
      <w:pPr>
        <w:numPr>
          <w:ilvl w:val="0"/>
          <w:numId w:val="47"/>
        </w:numPr>
        <w:ind w:left="584" w:hanging="227"/>
        <w:rPr>
          <w:szCs w:val="20"/>
        </w:rPr>
      </w:pPr>
      <w:r w:rsidRPr="00545EC0">
        <w:rPr>
          <w:szCs w:val="20"/>
        </w:rPr>
        <w:t>reke s prispevno površino manjšo od 100 km2, kjer je bilo opredeljeno pomembno različno stanje VTPV,</w:t>
      </w:r>
    </w:p>
    <w:p w14:paraId="15FED858" w14:textId="77777777" w:rsidR="00342A40" w:rsidRPr="00545EC0" w:rsidRDefault="00342A40" w:rsidP="00DD37C5">
      <w:pPr>
        <w:numPr>
          <w:ilvl w:val="0"/>
          <w:numId w:val="47"/>
        </w:numPr>
        <w:ind w:left="584" w:hanging="227"/>
        <w:rPr>
          <w:szCs w:val="20"/>
        </w:rPr>
      </w:pPr>
      <w:r w:rsidRPr="00545EC0">
        <w:rPr>
          <w:szCs w:val="20"/>
        </w:rPr>
        <w:t>naravna jezera s površino vodne gladine večjo od 0,5 km</w:t>
      </w:r>
      <w:r w:rsidRPr="00545EC0">
        <w:rPr>
          <w:szCs w:val="20"/>
          <w:vertAlign w:val="superscript"/>
        </w:rPr>
        <w:t>2</w:t>
      </w:r>
      <w:r w:rsidRPr="00545EC0">
        <w:rPr>
          <w:szCs w:val="20"/>
        </w:rPr>
        <w:t>,</w:t>
      </w:r>
    </w:p>
    <w:p w14:paraId="6CBE7870" w14:textId="77777777" w:rsidR="00342A40" w:rsidRPr="00545EC0" w:rsidRDefault="00342A40" w:rsidP="00DD37C5">
      <w:pPr>
        <w:numPr>
          <w:ilvl w:val="0"/>
          <w:numId w:val="47"/>
        </w:numPr>
        <w:ind w:left="584" w:hanging="227"/>
        <w:rPr>
          <w:szCs w:val="20"/>
        </w:rPr>
      </w:pPr>
      <w:r w:rsidRPr="00545EC0">
        <w:rPr>
          <w:szCs w:val="20"/>
        </w:rPr>
        <w:lastRenderedPageBreak/>
        <w:t>morje,</w:t>
      </w:r>
    </w:p>
    <w:p w14:paraId="621F6409" w14:textId="77777777" w:rsidR="00342A40" w:rsidRPr="00545EC0" w:rsidRDefault="00342A40" w:rsidP="00DD37C5">
      <w:pPr>
        <w:numPr>
          <w:ilvl w:val="0"/>
          <w:numId w:val="47"/>
        </w:numPr>
        <w:ind w:left="584" w:hanging="227"/>
        <w:rPr>
          <w:szCs w:val="20"/>
        </w:rPr>
      </w:pPr>
      <w:r w:rsidRPr="00545EC0">
        <w:rPr>
          <w:szCs w:val="20"/>
        </w:rPr>
        <w:t>umetne kanale, daljše od 3 km,</w:t>
      </w:r>
    </w:p>
    <w:p w14:paraId="694D9724" w14:textId="77777777" w:rsidR="00342A40" w:rsidRPr="00545EC0" w:rsidRDefault="00342A40" w:rsidP="00DD37C5">
      <w:pPr>
        <w:numPr>
          <w:ilvl w:val="0"/>
          <w:numId w:val="47"/>
        </w:numPr>
        <w:ind w:left="584" w:hanging="227"/>
        <w:rPr>
          <w:szCs w:val="20"/>
        </w:rPr>
      </w:pPr>
      <w:r w:rsidRPr="00545EC0">
        <w:rPr>
          <w:szCs w:val="20"/>
        </w:rPr>
        <w:t>vodne zadrževalnike na rekah in umetne ojezeritve s površino večjo od 0,5 km</w:t>
      </w:r>
      <w:r w:rsidRPr="00545EC0">
        <w:rPr>
          <w:szCs w:val="20"/>
          <w:vertAlign w:val="superscript"/>
        </w:rPr>
        <w:t>2</w:t>
      </w:r>
      <w:r w:rsidRPr="00545EC0">
        <w:rPr>
          <w:szCs w:val="20"/>
        </w:rPr>
        <w:t>.</w:t>
      </w:r>
    </w:p>
    <w:p w14:paraId="60AC332B" w14:textId="77777777" w:rsidR="00342A40" w:rsidRPr="00545EC0" w:rsidRDefault="00342A40" w:rsidP="00605980">
      <w:pPr>
        <w:rPr>
          <w:spacing w:val="-2"/>
        </w:rPr>
      </w:pPr>
    </w:p>
    <w:p w14:paraId="4933D276" w14:textId="65AEADBC" w:rsidR="00342A40" w:rsidRPr="00545EC0" w:rsidRDefault="00342A40" w:rsidP="00605980">
      <w:pPr>
        <w:rPr>
          <w:spacing w:val="-2"/>
        </w:rPr>
      </w:pPr>
      <w:r w:rsidRPr="00545EC0">
        <w:t>Reke ali njeni deli, ki ne ustrezajo navedenim merilom, so priključeni k VTPV rek, v katera se stekajo (</w:t>
      </w:r>
      <w:r w:rsidR="00162E83" w:rsidRPr="00545EC0">
        <w:rPr>
          <w:i/>
        </w:rPr>
        <w:t>Publikacijska kart</w:t>
      </w:r>
      <w:r w:rsidR="001D5C1B" w:rsidRPr="00545EC0">
        <w:rPr>
          <w:i/>
        </w:rPr>
        <w:t>a 1.5</w:t>
      </w:r>
      <w:r w:rsidRPr="00545EC0">
        <w:rPr>
          <w:i/>
        </w:rPr>
        <w:t>: Prispevne površine vodnih teles površinskih voda</w:t>
      </w:r>
      <w:r w:rsidRPr="00545EC0">
        <w:t>).</w:t>
      </w:r>
    </w:p>
    <w:p w14:paraId="641DCA8A" w14:textId="77777777" w:rsidR="00342A40" w:rsidRPr="00545EC0" w:rsidRDefault="00342A40" w:rsidP="00605980">
      <w:pPr>
        <w:rPr>
          <w:spacing w:val="-2"/>
        </w:rPr>
      </w:pPr>
    </w:p>
    <w:p w14:paraId="65EFE985" w14:textId="77777777" w:rsidR="00342A40" w:rsidRPr="00545EC0" w:rsidRDefault="00342A40" w:rsidP="00605980">
      <w:pPr>
        <w:rPr>
          <w:spacing w:val="-2"/>
        </w:rPr>
      </w:pPr>
      <w:r w:rsidRPr="00545EC0">
        <w:rPr>
          <w:spacing w:val="-2"/>
        </w:rPr>
        <w:t xml:space="preserve">VTPV se določijo na osnovi: </w:t>
      </w:r>
    </w:p>
    <w:p w14:paraId="57109B08" w14:textId="77777777" w:rsidR="00342A40" w:rsidRPr="00545EC0" w:rsidRDefault="00342A40" w:rsidP="00DD37C5">
      <w:pPr>
        <w:numPr>
          <w:ilvl w:val="0"/>
          <w:numId w:val="47"/>
        </w:numPr>
        <w:ind w:left="584" w:hanging="227"/>
        <w:rPr>
          <w:szCs w:val="20"/>
        </w:rPr>
      </w:pPr>
      <w:r w:rsidRPr="00545EC0">
        <w:rPr>
          <w:szCs w:val="20"/>
        </w:rPr>
        <w:t>pomembnih hidromorfoloških sprememb površinske v</w:t>
      </w:r>
      <w:r w:rsidR="008205B5" w:rsidRPr="00545EC0">
        <w:rPr>
          <w:szCs w:val="20"/>
        </w:rPr>
        <w:t>od</w:t>
      </w:r>
      <w:r w:rsidRPr="00545EC0">
        <w:rPr>
          <w:szCs w:val="20"/>
        </w:rPr>
        <w:t>e ali njenega dela,</w:t>
      </w:r>
    </w:p>
    <w:p w14:paraId="3318743F" w14:textId="77777777" w:rsidR="00342A40" w:rsidRPr="00545EC0" w:rsidRDefault="00342A40" w:rsidP="00DD37C5">
      <w:pPr>
        <w:numPr>
          <w:ilvl w:val="0"/>
          <w:numId w:val="47"/>
        </w:numPr>
        <w:ind w:left="584" w:hanging="227"/>
        <w:rPr>
          <w:szCs w:val="20"/>
        </w:rPr>
      </w:pPr>
      <w:r w:rsidRPr="00545EC0">
        <w:rPr>
          <w:szCs w:val="20"/>
        </w:rPr>
        <w:t>presihanja,</w:t>
      </w:r>
    </w:p>
    <w:p w14:paraId="4C3075C5" w14:textId="77777777" w:rsidR="00342A40" w:rsidRPr="00545EC0" w:rsidRDefault="00342A40" w:rsidP="00DD37C5">
      <w:pPr>
        <w:numPr>
          <w:ilvl w:val="0"/>
          <w:numId w:val="47"/>
        </w:numPr>
        <w:ind w:left="584" w:hanging="227"/>
        <w:rPr>
          <w:szCs w:val="20"/>
        </w:rPr>
      </w:pPr>
      <w:r w:rsidRPr="00545EC0">
        <w:rPr>
          <w:szCs w:val="20"/>
        </w:rPr>
        <w:t xml:space="preserve">pomembnih antropogenih fizičnih sprememb hidromorfoloških značilnosti površinske vode, </w:t>
      </w:r>
    </w:p>
    <w:p w14:paraId="7A22DB15" w14:textId="77777777" w:rsidR="00342A40" w:rsidRPr="00545EC0" w:rsidRDefault="00342A40" w:rsidP="00DD37C5">
      <w:pPr>
        <w:numPr>
          <w:ilvl w:val="0"/>
          <w:numId w:val="47"/>
        </w:numPr>
        <w:ind w:left="584" w:hanging="227"/>
        <w:rPr>
          <w:szCs w:val="20"/>
        </w:rPr>
      </w:pPr>
      <w:r w:rsidRPr="00545EC0">
        <w:rPr>
          <w:szCs w:val="20"/>
        </w:rPr>
        <w:t xml:space="preserve">pomembno različnega stanja površinske vode in njenega dela. </w:t>
      </w:r>
    </w:p>
    <w:p w14:paraId="263BB0A3" w14:textId="77777777" w:rsidR="00342A40" w:rsidRPr="00545EC0" w:rsidRDefault="00342A40" w:rsidP="00605980">
      <w:pPr>
        <w:rPr>
          <w:spacing w:val="-2"/>
        </w:rPr>
      </w:pPr>
    </w:p>
    <w:p w14:paraId="5AF4285E" w14:textId="77777777" w:rsidR="00342A40" w:rsidRPr="00545EC0" w:rsidRDefault="00342A40" w:rsidP="00605980">
      <w:r w:rsidRPr="00545EC0">
        <w:rPr>
          <w:spacing w:val="-2"/>
        </w:rPr>
        <w:t>Pomembno</w:t>
      </w:r>
      <w:r w:rsidRPr="00545EC0">
        <w:t xml:space="preserve"> </w:t>
      </w:r>
      <w:r w:rsidRPr="00545EC0">
        <w:rPr>
          <w:spacing w:val="-2"/>
        </w:rPr>
        <w:t>razli</w:t>
      </w:r>
      <w:r w:rsidRPr="00545EC0">
        <w:t>č</w:t>
      </w:r>
      <w:r w:rsidRPr="00545EC0">
        <w:rPr>
          <w:spacing w:val="-2"/>
        </w:rPr>
        <w:t>no</w:t>
      </w:r>
      <w:r w:rsidRPr="00545EC0">
        <w:t xml:space="preserve"> </w:t>
      </w:r>
      <w:r w:rsidRPr="00545EC0">
        <w:rPr>
          <w:spacing w:val="-2"/>
        </w:rPr>
        <w:t>stanje</w:t>
      </w:r>
      <w:r w:rsidRPr="00545EC0">
        <w:t xml:space="preserve"> </w:t>
      </w:r>
      <w:r w:rsidRPr="00545EC0">
        <w:rPr>
          <w:spacing w:val="-2"/>
        </w:rPr>
        <w:t>površinskih</w:t>
      </w:r>
      <w:r w:rsidRPr="00545EC0">
        <w:t xml:space="preserve"> v</w:t>
      </w:r>
      <w:r w:rsidRPr="00545EC0">
        <w:rPr>
          <w:spacing w:val="-2"/>
        </w:rPr>
        <w:t>oda</w:t>
      </w:r>
      <w:r w:rsidRPr="00545EC0">
        <w:t xml:space="preserve"> </w:t>
      </w:r>
      <w:r w:rsidRPr="00545EC0">
        <w:rPr>
          <w:spacing w:val="-2"/>
        </w:rPr>
        <w:t>ali</w:t>
      </w:r>
      <w:r w:rsidRPr="00545EC0">
        <w:t xml:space="preserve"> </w:t>
      </w:r>
      <w:r w:rsidRPr="00545EC0">
        <w:rPr>
          <w:spacing w:val="-2"/>
        </w:rPr>
        <w:t>njiho</w:t>
      </w:r>
      <w:r w:rsidRPr="00545EC0">
        <w:t>v</w:t>
      </w:r>
      <w:r w:rsidRPr="00545EC0">
        <w:rPr>
          <w:spacing w:val="-2"/>
        </w:rPr>
        <w:t>ih</w:t>
      </w:r>
      <w:r w:rsidRPr="00545EC0">
        <w:t xml:space="preserve"> </w:t>
      </w:r>
      <w:r w:rsidRPr="00545EC0">
        <w:rPr>
          <w:spacing w:val="-2"/>
        </w:rPr>
        <w:t>delov</w:t>
      </w:r>
      <w:r w:rsidRPr="00545EC0">
        <w:t xml:space="preserve"> </w:t>
      </w:r>
      <w:r w:rsidRPr="00545EC0">
        <w:rPr>
          <w:spacing w:val="-2"/>
        </w:rPr>
        <w:t>je</w:t>
      </w:r>
      <w:r w:rsidRPr="00545EC0">
        <w:t xml:space="preserve"> </w:t>
      </w:r>
      <w:r w:rsidRPr="00545EC0">
        <w:rPr>
          <w:spacing w:val="-2"/>
        </w:rPr>
        <w:t>bilo</w:t>
      </w:r>
      <w:r w:rsidRPr="00545EC0">
        <w:t xml:space="preserve"> </w:t>
      </w:r>
      <w:r w:rsidRPr="00545EC0">
        <w:rPr>
          <w:spacing w:val="-2"/>
        </w:rPr>
        <w:t>ocenjeno</w:t>
      </w:r>
      <w:r w:rsidRPr="00545EC0">
        <w:t xml:space="preserve"> </w:t>
      </w:r>
      <w:r w:rsidRPr="00545EC0">
        <w:rPr>
          <w:spacing w:val="-2"/>
        </w:rPr>
        <w:t>na</w:t>
      </w:r>
      <w:r w:rsidRPr="00545EC0">
        <w:t xml:space="preserve"> </w:t>
      </w:r>
      <w:r w:rsidRPr="00545EC0">
        <w:rPr>
          <w:spacing w:val="-2"/>
        </w:rPr>
        <w:t>podlagi:</w:t>
      </w:r>
    </w:p>
    <w:p w14:paraId="63BD7F1B" w14:textId="77777777" w:rsidR="00342A40" w:rsidRPr="00545EC0" w:rsidRDefault="00342A40" w:rsidP="00DD37C5">
      <w:pPr>
        <w:numPr>
          <w:ilvl w:val="0"/>
          <w:numId w:val="47"/>
        </w:numPr>
        <w:ind w:left="584" w:hanging="227"/>
        <w:rPr>
          <w:szCs w:val="20"/>
        </w:rPr>
      </w:pPr>
      <w:r w:rsidRPr="00545EC0">
        <w:rPr>
          <w:szCs w:val="20"/>
        </w:rPr>
        <w:t xml:space="preserve">ocene kemijskega stanja vode v skladu </w:t>
      </w:r>
      <w:r w:rsidR="00794F09" w:rsidRPr="00545EC0">
        <w:rPr>
          <w:szCs w:val="20"/>
        </w:rPr>
        <w:t xml:space="preserve">s </w:t>
      </w:r>
      <w:r w:rsidR="0075064D" w:rsidRPr="00545EC0">
        <w:rPr>
          <w:szCs w:val="20"/>
        </w:rPr>
        <w:t xml:space="preserve">predpisom, ki ureja kemijsko stanje površinskih voda </w:t>
      </w:r>
      <w:r w:rsidRPr="00545EC0">
        <w:rPr>
          <w:szCs w:val="20"/>
        </w:rPr>
        <w:t>(dobro/slabo),</w:t>
      </w:r>
    </w:p>
    <w:p w14:paraId="77C20A4B" w14:textId="77777777" w:rsidR="00342A40" w:rsidRPr="00545EC0" w:rsidRDefault="00342A40" w:rsidP="00DD37C5">
      <w:pPr>
        <w:numPr>
          <w:ilvl w:val="0"/>
          <w:numId w:val="47"/>
        </w:numPr>
        <w:ind w:left="584" w:hanging="227"/>
        <w:rPr>
          <w:szCs w:val="20"/>
        </w:rPr>
      </w:pPr>
      <w:r w:rsidRPr="00545EC0">
        <w:rPr>
          <w:szCs w:val="20"/>
        </w:rPr>
        <w:t>rezultatov nacionalnega monitoringa bioloških parametrov,</w:t>
      </w:r>
    </w:p>
    <w:p w14:paraId="6A11D721" w14:textId="77777777" w:rsidR="00342A40" w:rsidRPr="00545EC0" w:rsidRDefault="00342A40" w:rsidP="00DD37C5">
      <w:pPr>
        <w:numPr>
          <w:ilvl w:val="0"/>
          <w:numId w:val="47"/>
        </w:numPr>
        <w:ind w:left="584" w:hanging="227"/>
        <w:rPr>
          <w:szCs w:val="20"/>
        </w:rPr>
      </w:pPr>
      <w:r w:rsidRPr="00545EC0">
        <w:rPr>
          <w:szCs w:val="20"/>
        </w:rPr>
        <w:t>najboljše možne ocene pomembno različnega stanja posameznih delov površinskih voda ali njihovih delov glede na evidence obremenitev.</w:t>
      </w:r>
    </w:p>
    <w:p w14:paraId="4976FECE" w14:textId="77777777" w:rsidR="00342A40" w:rsidRPr="00545EC0" w:rsidRDefault="00342A40" w:rsidP="00605980"/>
    <w:p w14:paraId="3A20C5B3" w14:textId="77777777" w:rsidR="00F20C82" w:rsidRPr="00545EC0" w:rsidRDefault="00F20C82" w:rsidP="00F20C82">
      <w:pPr>
        <w:rPr>
          <w:rFonts w:cs="Arial"/>
          <w:szCs w:val="20"/>
        </w:rPr>
      </w:pPr>
      <w:r w:rsidRPr="00545EC0">
        <w:rPr>
          <w:rFonts w:cs="Arial"/>
          <w:szCs w:val="20"/>
        </w:rPr>
        <w:t>Močno preoblikovana vodna telesa (v nadaljnem besedilu MPVT) so vodna telesa površinskih voda, ki imajo očitno in bistveno spremenjene hidrološke in morfološke značilnosti glede na naravne razmere, trajne spremembe zaradi antropogenih dejavnosti, posledic rabe vode in rabe prostora, zaradi katerih ne dosega biološke kakovosti, ki je ustrezna za doseganje dobrega ekološkega stanja voda.</w:t>
      </w:r>
    </w:p>
    <w:p w14:paraId="164D45D0" w14:textId="77777777" w:rsidR="00F20C82" w:rsidRPr="00545EC0" w:rsidRDefault="00F20C82" w:rsidP="00F20C82">
      <w:pPr>
        <w:rPr>
          <w:rFonts w:cs="Arial"/>
          <w:szCs w:val="20"/>
        </w:rPr>
      </w:pPr>
    </w:p>
    <w:p w14:paraId="2D7BF19D" w14:textId="77777777" w:rsidR="00F20C82" w:rsidRPr="00545EC0" w:rsidRDefault="00F20C82" w:rsidP="00F20C82">
      <w:pPr>
        <w:rPr>
          <w:rFonts w:cs="Arial"/>
          <w:szCs w:val="20"/>
        </w:rPr>
      </w:pPr>
      <w:r w:rsidRPr="00545EC0">
        <w:rPr>
          <w:rFonts w:cs="Arial"/>
          <w:szCs w:val="20"/>
        </w:rPr>
        <w:t>Umetna vodna telesa (v nadaljnem besedilu UVT) so vodna telesa površinskih voda, ki so nastala kot posledica fizičnih posegov v okolje na območjih, kjer površinska vodna telesa predhodno niso obstajala.</w:t>
      </w:r>
    </w:p>
    <w:p w14:paraId="5ED623BA" w14:textId="77777777" w:rsidR="00342A40" w:rsidRPr="00545EC0" w:rsidRDefault="00342A40" w:rsidP="00605980"/>
    <w:p w14:paraId="58256EC2" w14:textId="77777777" w:rsidR="00342A40" w:rsidRPr="00545EC0" w:rsidRDefault="00342A40" w:rsidP="00605980">
      <w:r w:rsidRPr="00545EC0">
        <w:t>Poleg</w:t>
      </w:r>
      <w:r w:rsidRPr="00545EC0">
        <w:rPr>
          <w:spacing w:val="29"/>
        </w:rPr>
        <w:t xml:space="preserve"> </w:t>
      </w:r>
      <w:r w:rsidRPr="00545EC0">
        <w:t>navedenih</w:t>
      </w:r>
      <w:r w:rsidRPr="00545EC0">
        <w:rPr>
          <w:spacing w:val="29"/>
        </w:rPr>
        <w:t xml:space="preserve"> </w:t>
      </w:r>
      <w:r w:rsidRPr="00545EC0">
        <w:t>meril</w:t>
      </w:r>
      <w:r w:rsidRPr="00545EC0">
        <w:rPr>
          <w:spacing w:val="29"/>
        </w:rPr>
        <w:t xml:space="preserve"> </w:t>
      </w:r>
      <w:r w:rsidRPr="00545EC0">
        <w:t>je</w:t>
      </w:r>
      <w:r w:rsidRPr="00545EC0">
        <w:rPr>
          <w:spacing w:val="29"/>
        </w:rPr>
        <w:t xml:space="preserve"> </w:t>
      </w:r>
      <w:r w:rsidRPr="00545EC0">
        <w:t>bilo</w:t>
      </w:r>
      <w:r w:rsidRPr="00545EC0">
        <w:rPr>
          <w:spacing w:val="29"/>
        </w:rPr>
        <w:t xml:space="preserve"> </w:t>
      </w:r>
      <w:r w:rsidRPr="00545EC0">
        <w:t>pri</w:t>
      </w:r>
      <w:r w:rsidRPr="00545EC0">
        <w:rPr>
          <w:spacing w:val="29"/>
        </w:rPr>
        <w:t xml:space="preserve"> </w:t>
      </w:r>
      <w:r w:rsidRPr="00545EC0">
        <w:t>določitvi</w:t>
      </w:r>
      <w:r w:rsidRPr="00545EC0">
        <w:rPr>
          <w:spacing w:val="29"/>
        </w:rPr>
        <w:t xml:space="preserve"> </w:t>
      </w:r>
      <w:r w:rsidRPr="00545EC0">
        <w:t>VTPV</w:t>
      </w:r>
      <w:r w:rsidRPr="00545EC0">
        <w:rPr>
          <w:spacing w:val="29"/>
        </w:rPr>
        <w:t xml:space="preserve"> </w:t>
      </w:r>
      <w:r w:rsidRPr="00545EC0">
        <w:t>rek</w:t>
      </w:r>
      <w:r w:rsidRPr="00545EC0">
        <w:rPr>
          <w:spacing w:val="29"/>
        </w:rPr>
        <w:t xml:space="preserve"> </w:t>
      </w:r>
      <w:r w:rsidRPr="00545EC0">
        <w:t>upoštevano</w:t>
      </w:r>
      <w:r w:rsidRPr="00545EC0">
        <w:rPr>
          <w:spacing w:val="29"/>
        </w:rPr>
        <w:t xml:space="preserve"> </w:t>
      </w:r>
      <w:r w:rsidRPr="00545EC0">
        <w:t>tudi</w:t>
      </w:r>
      <w:r w:rsidRPr="00545EC0">
        <w:rPr>
          <w:spacing w:val="29"/>
        </w:rPr>
        <w:t xml:space="preserve"> </w:t>
      </w:r>
      <w:r w:rsidRPr="00545EC0">
        <w:t>dodatno</w:t>
      </w:r>
      <w:r w:rsidRPr="00545EC0">
        <w:rPr>
          <w:spacing w:val="29"/>
        </w:rPr>
        <w:t xml:space="preserve"> </w:t>
      </w:r>
      <w:r w:rsidRPr="00545EC0">
        <w:t>merilo minimalne</w:t>
      </w:r>
      <w:r w:rsidRPr="00545EC0">
        <w:rPr>
          <w:spacing w:val="35"/>
        </w:rPr>
        <w:t xml:space="preserve"> </w:t>
      </w:r>
      <w:r w:rsidRPr="00545EC0">
        <w:t>dolžine</w:t>
      </w:r>
      <w:r w:rsidRPr="00545EC0">
        <w:rPr>
          <w:spacing w:val="35"/>
        </w:rPr>
        <w:t xml:space="preserve"> </w:t>
      </w:r>
      <w:r w:rsidRPr="00545EC0">
        <w:t>VTPV,</w:t>
      </w:r>
      <w:r w:rsidRPr="00545EC0">
        <w:rPr>
          <w:spacing w:val="35"/>
        </w:rPr>
        <w:t xml:space="preserve"> </w:t>
      </w:r>
      <w:r w:rsidRPr="00545EC0">
        <w:t>ki</w:t>
      </w:r>
      <w:r w:rsidRPr="00545EC0">
        <w:rPr>
          <w:spacing w:val="35"/>
        </w:rPr>
        <w:t xml:space="preserve"> </w:t>
      </w:r>
      <w:r w:rsidRPr="00545EC0">
        <w:t>znaša</w:t>
      </w:r>
      <w:r w:rsidRPr="00545EC0">
        <w:rPr>
          <w:spacing w:val="35"/>
        </w:rPr>
        <w:t xml:space="preserve"> </w:t>
      </w:r>
      <w:r w:rsidRPr="00545EC0">
        <w:t>najmanj</w:t>
      </w:r>
      <w:r w:rsidRPr="00545EC0">
        <w:rPr>
          <w:spacing w:val="35"/>
        </w:rPr>
        <w:t xml:space="preserve"> </w:t>
      </w:r>
      <w:r w:rsidRPr="00545EC0">
        <w:t>5</w:t>
      </w:r>
      <w:r w:rsidRPr="00545EC0">
        <w:rPr>
          <w:spacing w:val="35"/>
        </w:rPr>
        <w:t xml:space="preserve"> </w:t>
      </w:r>
      <w:r w:rsidRPr="00545EC0">
        <w:t>km</w:t>
      </w:r>
      <w:r w:rsidRPr="00545EC0">
        <w:rPr>
          <w:spacing w:val="35"/>
        </w:rPr>
        <w:t xml:space="preserve"> </w:t>
      </w:r>
      <w:r w:rsidRPr="00545EC0">
        <w:t>reke.</w:t>
      </w:r>
      <w:r w:rsidRPr="00545EC0">
        <w:rPr>
          <w:spacing w:val="35"/>
        </w:rPr>
        <w:t xml:space="preserve"> </w:t>
      </w:r>
      <w:r w:rsidRPr="00545EC0">
        <w:t>Merilo minimalne dolžine ali predpisane minimalne površine</w:t>
      </w:r>
      <w:r w:rsidRPr="00545EC0">
        <w:rPr>
          <w:spacing w:val="8"/>
        </w:rPr>
        <w:t xml:space="preserve"> </w:t>
      </w:r>
      <w:r w:rsidRPr="00545EC0">
        <w:t>jezera ni upoštevana</w:t>
      </w:r>
      <w:r w:rsidRPr="00545EC0">
        <w:rPr>
          <w:spacing w:val="8"/>
        </w:rPr>
        <w:t xml:space="preserve"> </w:t>
      </w:r>
      <w:r w:rsidRPr="00545EC0">
        <w:t>v primerih, ko gre za površinske</w:t>
      </w:r>
      <w:r w:rsidRPr="00545EC0">
        <w:rPr>
          <w:spacing w:val="35"/>
        </w:rPr>
        <w:t xml:space="preserve"> </w:t>
      </w:r>
      <w:r w:rsidRPr="00545EC0">
        <w:t>vode</w:t>
      </w:r>
      <w:r w:rsidRPr="00545EC0">
        <w:rPr>
          <w:spacing w:val="35"/>
        </w:rPr>
        <w:t xml:space="preserve"> </w:t>
      </w:r>
      <w:r w:rsidRPr="00545EC0">
        <w:t>ali</w:t>
      </w:r>
      <w:r w:rsidRPr="00545EC0">
        <w:rPr>
          <w:spacing w:val="35"/>
        </w:rPr>
        <w:t xml:space="preserve"> </w:t>
      </w:r>
      <w:r w:rsidRPr="00545EC0">
        <w:t>njihove</w:t>
      </w:r>
      <w:r w:rsidRPr="00545EC0">
        <w:rPr>
          <w:spacing w:val="35"/>
        </w:rPr>
        <w:t xml:space="preserve"> </w:t>
      </w:r>
      <w:r w:rsidRPr="00545EC0">
        <w:t>dele,</w:t>
      </w:r>
      <w:r w:rsidRPr="00545EC0">
        <w:rPr>
          <w:spacing w:val="35"/>
        </w:rPr>
        <w:t xml:space="preserve"> </w:t>
      </w:r>
      <w:r w:rsidRPr="00545EC0">
        <w:t>ki</w:t>
      </w:r>
      <w:r w:rsidRPr="00545EC0">
        <w:rPr>
          <w:spacing w:val="35"/>
        </w:rPr>
        <w:t xml:space="preserve"> </w:t>
      </w:r>
      <w:r w:rsidRPr="00545EC0">
        <w:t>so</w:t>
      </w:r>
      <w:r w:rsidRPr="00545EC0">
        <w:rPr>
          <w:spacing w:val="35"/>
        </w:rPr>
        <w:t xml:space="preserve"> </w:t>
      </w:r>
      <w:r w:rsidRPr="00545EC0">
        <w:t>predmet</w:t>
      </w:r>
      <w:r w:rsidRPr="00545EC0">
        <w:rPr>
          <w:spacing w:val="35"/>
        </w:rPr>
        <w:t xml:space="preserve"> </w:t>
      </w:r>
      <w:r w:rsidRPr="00545EC0">
        <w:t>bilateralnih</w:t>
      </w:r>
      <w:r w:rsidRPr="00545EC0">
        <w:rPr>
          <w:spacing w:val="35"/>
        </w:rPr>
        <w:t xml:space="preserve"> </w:t>
      </w:r>
      <w:r w:rsidRPr="00545EC0">
        <w:t>usklajevanj</w:t>
      </w:r>
      <w:r w:rsidRPr="00545EC0">
        <w:rPr>
          <w:spacing w:val="35"/>
        </w:rPr>
        <w:t xml:space="preserve"> </w:t>
      </w:r>
      <w:r w:rsidRPr="00545EC0">
        <w:t>s</w:t>
      </w:r>
      <w:r w:rsidRPr="00545EC0">
        <w:rPr>
          <w:spacing w:val="35"/>
        </w:rPr>
        <w:t xml:space="preserve"> </w:t>
      </w:r>
      <w:r w:rsidRPr="00545EC0">
        <w:t>sosednjo</w:t>
      </w:r>
      <w:r w:rsidRPr="00545EC0">
        <w:rPr>
          <w:spacing w:val="35"/>
        </w:rPr>
        <w:t xml:space="preserve"> </w:t>
      </w:r>
      <w:r w:rsidRPr="00545EC0">
        <w:t>državo</w:t>
      </w:r>
      <w:r w:rsidRPr="00545EC0">
        <w:rPr>
          <w:spacing w:val="35"/>
        </w:rPr>
        <w:t xml:space="preserve"> </w:t>
      </w:r>
      <w:r w:rsidRPr="00545EC0">
        <w:t>ali</w:t>
      </w:r>
      <w:r w:rsidRPr="00545EC0">
        <w:rPr>
          <w:spacing w:val="35"/>
        </w:rPr>
        <w:t xml:space="preserve"> </w:t>
      </w:r>
      <w:r w:rsidRPr="00545EC0">
        <w:t>imajo pomembno različno stanje ali zaznan pomemben vpliv antropogenih obremenitev.</w:t>
      </w:r>
    </w:p>
    <w:p w14:paraId="2F1700AA" w14:textId="77777777" w:rsidR="00342A40" w:rsidRPr="00545EC0" w:rsidRDefault="00342A40" w:rsidP="00605980"/>
    <w:p w14:paraId="20813AB9" w14:textId="474D7D9C" w:rsidR="00D213DD" w:rsidRPr="00545EC0" w:rsidRDefault="00342A40" w:rsidP="00605980">
      <w:pPr>
        <w:rPr>
          <w:spacing w:val="-2"/>
        </w:rPr>
      </w:pPr>
      <w:r w:rsidRPr="00545EC0">
        <w:t>V</w:t>
      </w:r>
      <w:r w:rsidRPr="00545EC0">
        <w:rPr>
          <w:spacing w:val="1"/>
        </w:rPr>
        <w:t xml:space="preserve"> </w:t>
      </w:r>
      <w:r w:rsidRPr="00545EC0">
        <w:t>prvi</w:t>
      </w:r>
      <w:r w:rsidRPr="00545EC0">
        <w:rPr>
          <w:spacing w:val="1"/>
        </w:rPr>
        <w:t xml:space="preserve"> </w:t>
      </w:r>
      <w:r w:rsidRPr="00545EC0">
        <w:t>določitvi</w:t>
      </w:r>
      <w:r w:rsidRPr="00545EC0">
        <w:rPr>
          <w:spacing w:val="1"/>
        </w:rPr>
        <w:t xml:space="preserve"> </w:t>
      </w:r>
      <w:r w:rsidRPr="00545EC0">
        <w:t>je</w:t>
      </w:r>
      <w:r w:rsidRPr="00545EC0">
        <w:rPr>
          <w:spacing w:val="1"/>
        </w:rPr>
        <w:t xml:space="preserve"> </w:t>
      </w:r>
      <w:r w:rsidR="00D213DD" w:rsidRPr="00545EC0">
        <w:rPr>
          <w:spacing w:val="1"/>
        </w:rPr>
        <w:t xml:space="preserve">na območju </w:t>
      </w:r>
      <w:r w:rsidR="00307E73" w:rsidRPr="00545EC0">
        <w:rPr>
          <w:spacing w:val="1"/>
        </w:rPr>
        <w:t xml:space="preserve">Republike </w:t>
      </w:r>
      <w:r w:rsidR="00D213DD" w:rsidRPr="00545EC0">
        <w:rPr>
          <w:spacing w:val="1"/>
        </w:rPr>
        <w:t xml:space="preserve">Slovenije </w:t>
      </w:r>
      <w:r w:rsidRPr="00545EC0">
        <w:t>dol</w:t>
      </w:r>
      <w:r w:rsidRPr="00545EC0">
        <w:rPr>
          <w:spacing w:val="-2"/>
        </w:rPr>
        <w:t>o</w:t>
      </w:r>
      <w:r w:rsidRPr="00545EC0">
        <w:t>čenih</w:t>
      </w:r>
      <w:r w:rsidRPr="00545EC0">
        <w:rPr>
          <w:spacing w:val="1"/>
        </w:rPr>
        <w:t xml:space="preserve"> </w:t>
      </w:r>
      <w:r w:rsidRPr="00545EC0">
        <w:t>155</w:t>
      </w:r>
      <w:r w:rsidRPr="00545EC0">
        <w:rPr>
          <w:spacing w:val="1"/>
        </w:rPr>
        <w:t xml:space="preserve"> </w:t>
      </w:r>
      <w:r w:rsidRPr="00545EC0">
        <w:t>VTPV,</w:t>
      </w:r>
      <w:r w:rsidRPr="00545EC0">
        <w:rPr>
          <w:spacing w:val="1"/>
        </w:rPr>
        <w:t xml:space="preserve"> </w:t>
      </w:r>
      <w:r w:rsidRPr="00545EC0">
        <w:t>od</w:t>
      </w:r>
      <w:r w:rsidRPr="00545EC0">
        <w:rPr>
          <w:spacing w:val="1"/>
        </w:rPr>
        <w:t xml:space="preserve"> </w:t>
      </w:r>
      <w:r w:rsidRPr="00545EC0">
        <w:t>tega</w:t>
      </w:r>
      <w:r w:rsidRPr="00545EC0">
        <w:rPr>
          <w:spacing w:val="1"/>
        </w:rPr>
        <w:t xml:space="preserve"> </w:t>
      </w:r>
      <w:r w:rsidRPr="00545EC0">
        <w:t>125</w:t>
      </w:r>
      <w:r w:rsidRPr="00545EC0">
        <w:rPr>
          <w:spacing w:val="2"/>
        </w:rPr>
        <w:t xml:space="preserve"> </w:t>
      </w:r>
      <w:r w:rsidRPr="00545EC0">
        <w:t>VT</w:t>
      </w:r>
      <w:r w:rsidRPr="00545EC0">
        <w:rPr>
          <w:spacing w:val="1"/>
        </w:rPr>
        <w:t xml:space="preserve"> </w:t>
      </w:r>
      <w:r w:rsidRPr="00545EC0">
        <w:t xml:space="preserve">rek, </w:t>
      </w:r>
      <w:r w:rsidRPr="00545EC0">
        <w:rPr>
          <w:spacing w:val="-2"/>
        </w:rPr>
        <w:t>3</w:t>
      </w:r>
      <w:r w:rsidRPr="00545EC0">
        <w:rPr>
          <w:spacing w:val="4"/>
        </w:rPr>
        <w:t xml:space="preserve"> </w:t>
      </w:r>
      <w:r w:rsidRPr="00545EC0">
        <w:rPr>
          <w:spacing w:val="-2"/>
        </w:rPr>
        <w:t>VT</w:t>
      </w:r>
      <w:r w:rsidRPr="00545EC0">
        <w:rPr>
          <w:spacing w:val="4"/>
        </w:rPr>
        <w:t xml:space="preserve"> </w:t>
      </w:r>
      <w:r w:rsidRPr="00545EC0">
        <w:rPr>
          <w:spacing w:val="-2"/>
        </w:rPr>
        <w:t>naravnih</w:t>
      </w:r>
      <w:r w:rsidRPr="00545EC0">
        <w:rPr>
          <w:spacing w:val="4"/>
        </w:rPr>
        <w:t xml:space="preserve"> </w:t>
      </w:r>
      <w:r w:rsidRPr="00545EC0">
        <w:rPr>
          <w:spacing w:val="-2"/>
        </w:rPr>
        <w:t>jezer,</w:t>
      </w:r>
      <w:r w:rsidRPr="00545EC0">
        <w:rPr>
          <w:spacing w:val="4"/>
        </w:rPr>
        <w:t xml:space="preserve"> </w:t>
      </w:r>
      <w:r w:rsidRPr="00545EC0">
        <w:rPr>
          <w:spacing w:val="-2"/>
        </w:rPr>
        <w:t>4</w:t>
      </w:r>
      <w:r w:rsidRPr="00545EC0">
        <w:rPr>
          <w:spacing w:val="4"/>
        </w:rPr>
        <w:t xml:space="preserve"> </w:t>
      </w:r>
      <w:r w:rsidRPr="00545EC0">
        <w:rPr>
          <w:spacing w:val="-2"/>
        </w:rPr>
        <w:t>VT</w:t>
      </w:r>
      <w:r w:rsidRPr="00545EC0">
        <w:rPr>
          <w:spacing w:val="4"/>
        </w:rPr>
        <w:t xml:space="preserve"> </w:t>
      </w:r>
      <w:r w:rsidRPr="00545EC0">
        <w:rPr>
          <w:spacing w:val="-2"/>
        </w:rPr>
        <w:t>morja,</w:t>
      </w:r>
      <w:r w:rsidRPr="00545EC0">
        <w:rPr>
          <w:spacing w:val="4"/>
        </w:rPr>
        <w:t xml:space="preserve"> </w:t>
      </w:r>
      <w:r w:rsidRPr="00545EC0">
        <w:rPr>
          <w:spacing w:val="-2"/>
        </w:rPr>
        <w:t>4</w:t>
      </w:r>
      <w:r w:rsidRPr="00545EC0">
        <w:rPr>
          <w:spacing w:val="4"/>
        </w:rPr>
        <w:t xml:space="preserve"> </w:t>
      </w:r>
      <w:r w:rsidRPr="00545EC0">
        <w:rPr>
          <w:spacing w:val="-2"/>
        </w:rPr>
        <w:t>UVT</w:t>
      </w:r>
      <w:r w:rsidRPr="00545EC0">
        <w:rPr>
          <w:spacing w:val="4"/>
        </w:rPr>
        <w:t xml:space="preserve"> </w:t>
      </w:r>
      <w:r w:rsidRPr="00545EC0">
        <w:rPr>
          <w:spacing w:val="-2"/>
        </w:rPr>
        <w:t>in</w:t>
      </w:r>
      <w:r w:rsidRPr="00545EC0">
        <w:rPr>
          <w:spacing w:val="4"/>
        </w:rPr>
        <w:t xml:space="preserve"> </w:t>
      </w:r>
      <w:r w:rsidRPr="00545EC0">
        <w:rPr>
          <w:spacing w:val="-2"/>
        </w:rPr>
        <w:t>19</w:t>
      </w:r>
      <w:r w:rsidRPr="00545EC0">
        <w:rPr>
          <w:spacing w:val="4"/>
        </w:rPr>
        <w:t xml:space="preserve"> </w:t>
      </w:r>
      <w:r w:rsidRPr="00545EC0">
        <w:rPr>
          <w:spacing w:val="-2"/>
        </w:rPr>
        <w:t xml:space="preserve">MPVT. </w:t>
      </w:r>
    </w:p>
    <w:p w14:paraId="18B69131" w14:textId="77777777" w:rsidR="00D213DD" w:rsidRPr="00545EC0" w:rsidRDefault="00D213DD" w:rsidP="00605980">
      <w:pPr>
        <w:rPr>
          <w:spacing w:val="-2"/>
        </w:rPr>
      </w:pPr>
    </w:p>
    <w:p w14:paraId="4E266245" w14:textId="16BD9076" w:rsidR="00342A40" w:rsidRPr="00545EC0" w:rsidRDefault="00342A40" w:rsidP="00A107B8">
      <w:pPr>
        <w:pStyle w:val="Napis"/>
      </w:pPr>
      <w:bookmarkStart w:id="61" w:name="_Ref440631004"/>
      <w:bookmarkStart w:id="62" w:name="_Ref440892705"/>
      <w:r w:rsidRPr="00545EC0">
        <w:rPr>
          <w:spacing w:val="-2"/>
        </w:rPr>
        <w:t>Število</w:t>
      </w:r>
      <w:r w:rsidRPr="00545EC0">
        <w:rPr>
          <w:spacing w:val="11"/>
        </w:rPr>
        <w:t xml:space="preserve"> </w:t>
      </w:r>
      <w:r w:rsidRPr="00545EC0">
        <w:rPr>
          <w:spacing w:val="-2"/>
        </w:rPr>
        <w:t>VTPV</w:t>
      </w:r>
      <w:r w:rsidRPr="00545EC0">
        <w:rPr>
          <w:spacing w:val="11"/>
        </w:rPr>
        <w:t xml:space="preserve"> </w:t>
      </w:r>
      <w:r w:rsidRPr="00545EC0">
        <w:rPr>
          <w:spacing w:val="-2"/>
        </w:rPr>
        <w:t>rek,</w:t>
      </w:r>
      <w:r w:rsidRPr="00545EC0">
        <w:rPr>
          <w:spacing w:val="11"/>
        </w:rPr>
        <w:t xml:space="preserve"> VTPV </w:t>
      </w:r>
      <w:r w:rsidRPr="00545EC0">
        <w:rPr>
          <w:spacing w:val="-2"/>
        </w:rPr>
        <w:t>jezer, UVT</w:t>
      </w:r>
      <w:r w:rsidRPr="00545EC0">
        <w:rPr>
          <w:spacing w:val="11"/>
        </w:rPr>
        <w:t xml:space="preserve"> </w:t>
      </w:r>
      <w:r w:rsidRPr="00545EC0">
        <w:rPr>
          <w:spacing w:val="-2"/>
        </w:rPr>
        <w:t>ali</w:t>
      </w:r>
      <w:r w:rsidRPr="00545EC0">
        <w:rPr>
          <w:spacing w:val="11"/>
        </w:rPr>
        <w:t xml:space="preserve"> </w:t>
      </w:r>
      <w:r w:rsidRPr="00545EC0">
        <w:rPr>
          <w:spacing w:val="-2"/>
        </w:rPr>
        <w:t>MPVT</w:t>
      </w:r>
      <w:r w:rsidRPr="00545EC0">
        <w:t xml:space="preserve"> </w:t>
      </w:r>
      <w:r w:rsidRPr="00545EC0">
        <w:rPr>
          <w:spacing w:val="-2"/>
        </w:rPr>
        <w:t>po</w:t>
      </w:r>
      <w:r w:rsidRPr="00545EC0">
        <w:t xml:space="preserve"> </w:t>
      </w:r>
      <w:r w:rsidRPr="00545EC0">
        <w:rPr>
          <w:spacing w:val="-2"/>
        </w:rPr>
        <w:t>posameznih</w:t>
      </w:r>
      <w:r w:rsidRPr="00545EC0">
        <w:t xml:space="preserve"> </w:t>
      </w:r>
      <w:r w:rsidRPr="00545EC0">
        <w:rPr>
          <w:spacing w:val="-2"/>
        </w:rPr>
        <w:t>por</w:t>
      </w:r>
      <w:r w:rsidRPr="00545EC0">
        <w:t>ečjih je razvidno i</w:t>
      </w:r>
      <w:r w:rsidRPr="00545EC0">
        <w:rPr>
          <w:spacing w:val="-2"/>
        </w:rPr>
        <w:t>z</w:t>
      </w:r>
      <w:r w:rsidRPr="00545EC0">
        <w:t xml:space="preserve"> </w:t>
      </w:r>
      <w:r w:rsidRPr="00545EC0">
        <w:rPr>
          <w:spacing w:val="-2"/>
        </w:rPr>
        <w:t>preglednice</w:t>
      </w:r>
      <w:r w:rsidRPr="00545EC0">
        <w:t xml:space="preserve"> </w:t>
      </w:r>
      <w:r w:rsidRPr="00545EC0">
        <w:rPr>
          <w:spacing w:val="-2"/>
        </w:rPr>
        <w:t>(</w:t>
      </w:r>
      <w:bookmarkEnd w:id="61"/>
      <w:r w:rsidR="00A107B8" w:rsidRPr="00545EC0">
        <w:rPr>
          <w:spacing w:val="-2"/>
        </w:rPr>
        <w:fldChar w:fldCharType="begin"/>
      </w:r>
      <w:r w:rsidR="00A107B8" w:rsidRPr="00545EC0">
        <w:rPr>
          <w:spacing w:val="-2"/>
        </w:rPr>
        <w:instrText xml:space="preserve"> REF _Ref84496320 \h </w:instrText>
      </w:r>
      <w:r w:rsidR="003122F4" w:rsidRPr="00545EC0">
        <w:rPr>
          <w:spacing w:val="-2"/>
        </w:rPr>
        <w:instrText xml:space="preserve"> \* MERGEFORMAT </w:instrText>
      </w:r>
      <w:r w:rsidR="00A107B8" w:rsidRPr="00545EC0">
        <w:rPr>
          <w:spacing w:val="-2"/>
        </w:rPr>
      </w:r>
      <w:r w:rsidR="00A107B8" w:rsidRPr="00545EC0">
        <w:rPr>
          <w:spacing w:val="-2"/>
        </w:rPr>
        <w:fldChar w:fldCharType="separate"/>
      </w:r>
      <w:r w:rsidR="002F3E43" w:rsidRPr="00545EC0">
        <w:t xml:space="preserve">Preglednica </w:t>
      </w:r>
      <w:r w:rsidR="002F3E43">
        <w:rPr>
          <w:noProof/>
        </w:rPr>
        <w:t>2</w:t>
      </w:r>
      <w:r w:rsidR="002F3E43" w:rsidRPr="00545EC0">
        <w:rPr>
          <w:noProof/>
        </w:rPr>
        <w:noBreakHyphen/>
      </w:r>
      <w:r w:rsidR="002F3E43">
        <w:rPr>
          <w:noProof/>
        </w:rPr>
        <w:t>5</w:t>
      </w:r>
      <w:r w:rsidR="00A107B8" w:rsidRPr="00545EC0">
        <w:rPr>
          <w:spacing w:val="-2"/>
        </w:rPr>
        <w:fldChar w:fldCharType="end"/>
      </w:r>
      <w:r w:rsidRPr="00545EC0">
        <w:rPr>
          <w:spacing w:val="-2"/>
        </w:rPr>
        <w:t>).</w:t>
      </w:r>
      <w:r w:rsidRPr="00545EC0">
        <w:t xml:space="preserve"> </w:t>
      </w:r>
      <w:r w:rsidRPr="00545EC0">
        <w:rPr>
          <w:spacing w:val="-2"/>
        </w:rPr>
        <w:t xml:space="preserve">V </w:t>
      </w:r>
      <w:r w:rsidRPr="00545EC0">
        <w:t>preglednici</w:t>
      </w:r>
      <w:r w:rsidRPr="00545EC0">
        <w:rPr>
          <w:spacing w:val="19"/>
        </w:rPr>
        <w:t xml:space="preserve"> </w:t>
      </w:r>
      <w:r w:rsidRPr="00545EC0">
        <w:t>je</w:t>
      </w:r>
      <w:r w:rsidRPr="00545EC0">
        <w:rPr>
          <w:spacing w:val="19"/>
        </w:rPr>
        <w:t xml:space="preserve"> </w:t>
      </w:r>
      <w:r w:rsidRPr="00545EC0">
        <w:t>prikazan</w:t>
      </w:r>
      <w:r w:rsidRPr="00545EC0">
        <w:rPr>
          <w:spacing w:val="19"/>
        </w:rPr>
        <w:t xml:space="preserve"> </w:t>
      </w:r>
      <w:r w:rsidRPr="00545EC0">
        <w:t>tudi</w:t>
      </w:r>
      <w:r w:rsidRPr="00545EC0">
        <w:rPr>
          <w:spacing w:val="19"/>
        </w:rPr>
        <w:t xml:space="preserve"> </w:t>
      </w:r>
      <w:r w:rsidRPr="00545EC0">
        <w:t>odstotek</w:t>
      </w:r>
      <w:r w:rsidRPr="00545EC0">
        <w:rPr>
          <w:spacing w:val="19"/>
        </w:rPr>
        <w:t xml:space="preserve"> </w:t>
      </w:r>
      <w:r w:rsidRPr="00545EC0">
        <w:t>posamezne</w:t>
      </w:r>
      <w:r w:rsidRPr="00545EC0">
        <w:rPr>
          <w:spacing w:val="19"/>
        </w:rPr>
        <w:t xml:space="preserve"> </w:t>
      </w:r>
      <w:r w:rsidRPr="00545EC0">
        <w:t>vrste</w:t>
      </w:r>
      <w:r w:rsidRPr="00545EC0">
        <w:rPr>
          <w:spacing w:val="19"/>
        </w:rPr>
        <w:t xml:space="preserve"> </w:t>
      </w:r>
      <w:r w:rsidRPr="00545EC0">
        <w:t>VTPV</w:t>
      </w:r>
      <w:r w:rsidRPr="00545EC0">
        <w:rPr>
          <w:spacing w:val="19"/>
        </w:rPr>
        <w:t xml:space="preserve"> </w:t>
      </w:r>
      <w:r w:rsidRPr="00545EC0">
        <w:t>glede</w:t>
      </w:r>
      <w:r w:rsidRPr="00545EC0">
        <w:rPr>
          <w:spacing w:val="19"/>
        </w:rPr>
        <w:t xml:space="preserve"> </w:t>
      </w:r>
      <w:r w:rsidRPr="00545EC0">
        <w:t>na</w:t>
      </w:r>
      <w:r w:rsidRPr="00545EC0">
        <w:rPr>
          <w:spacing w:val="19"/>
        </w:rPr>
        <w:t xml:space="preserve"> </w:t>
      </w:r>
      <w:r w:rsidRPr="00545EC0">
        <w:t xml:space="preserve">skupno </w:t>
      </w:r>
      <w:r w:rsidRPr="00545EC0">
        <w:rPr>
          <w:spacing w:val="-2"/>
        </w:rPr>
        <w:t>število</w:t>
      </w:r>
      <w:r w:rsidRPr="00545EC0">
        <w:rPr>
          <w:spacing w:val="3"/>
        </w:rPr>
        <w:t xml:space="preserve"> </w:t>
      </w:r>
      <w:r w:rsidRPr="00545EC0">
        <w:t xml:space="preserve"> </w:t>
      </w:r>
      <w:r w:rsidRPr="00545EC0">
        <w:rPr>
          <w:spacing w:val="-2"/>
        </w:rPr>
        <w:t>vseh</w:t>
      </w:r>
      <w:r w:rsidRPr="00545EC0">
        <w:t xml:space="preserve"> </w:t>
      </w:r>
      <w:r w:rsidRPr="00545EC0">
        <w:rPr>
          <w:spacing w:val="-2"/>
        </w:rPr>
        <w:t>VTPV</w:t>
      </w:r>
      <w:r w:rsidRPr="00545EC0">
        <w:t xml:space="preserve"> </w:t>
      </w:r>
      <w:r w:rsidRPr="00545EC0">
        <w:rPr>
          <w:spacing w:val="-2"/>
        </w:rPr>
        <w:t>na</w:t>
      </w:r>
      <w:r w:rsidRPr="00545EC0">
        <w:t xml:space="preserve"> </w:t>
      </w:r>
      <w:r w:rsidRPr="00545EC0">
        <w:rPr>
          <w:spacing w:val="-2"/>
        </w:rPr>
        <w:t>posameznem</w:t>
      </w:r>
      <w:r w:rsidRPr="00545EC0">
        <w:t xml:space="preserve"> </w:t>
      </w:r>
      <w:r w:rsidRPr="00545EC0">
        <w:rPr>
          <w:spacing w:val="-2"/>
        </w:rPr>
        <w:t>po</w:t>
      </w:r>
      <w:r w:rsidRPr="00545EC0">
        <w:t>v</w:t>
      </w:r>
      <w:r w:rsidRPr="00545EC0">
        <w:rPr>
          <w:spacing w:val="-2"/>
        </w:rPr>
        <w:t>odju</w:t>
      </w:r>
      <w:r w:rsidRPr="00545EC0">
        <w:t xml:space="preserve"> </w:t>
      </w:r>
      <w:r w:rsidRPr="00545EC0">
        <w:rPr>
          <w:spacing w:val="-2"/>
        </w:rPr>
        <w:t>ali</w:t>
      </w:r>
      <w:r w:rsidRPr="00545EC0">
        <w:t xml:space="preserve"> </w:t>
      </w:r>
      <w:r w:rsidRPr="00545EC0">
        <w:rPr>
          <w:spacing w:val="-2"/>
        </w:rPr>
        <w:t>por</w:t>
      </w:r>
      <w:r w:rsidRPr="00545EC0">
        <w:t>eč</w:t>
      </w:r>
      <w:r w:rsidRPr="00545EC0">
        <w:rPr>
          <w:spacing w:val="-2"/>
        </w:rPr>
        <w:t>ju</w:t>
      </w:r>
      <w:r w:rsidRPr="00545EC0">
        <w:t xml:space="preserve"> </w:t>
      </w:r>
      <w:r w:rsidRPr="00545EC0">
        <w:rPr>
          <w:spacing w:val="-2"/>
        </w:rPr>
        <w:t>o</w:t>
      </w:r>
      <w:r w:rsidRPr="00545EC0">
        <w:t>z</w:t>
      </w:r>
      <w:r w:rsidRPr="00545EC0">
        <w:rPr>
          <w:spacing w:val="-2"/>
        </w:rPr>
        <w:t>iroma</w:t>
      </w:r>
      <w:r w:rsidRPr="00545EC0">
        <w:t xml:space="preserve"> </w:t>
      </w:r>
      <w:r w:rsidRPr="00545EC0">
        <w:rPr>
          <w:spacing w:val="-2"/>
        </w:rPr>
        <w:t>VO</w:t>
      </w:r>
      <w:r w:rsidRPr="00545EC0">
        <w:t>.</w:t>
      </w:r>
      <w:bookmarkEnd w:id="62"/>
    </w:p>
    <w:p w14:paraId="3194CF1A" w14:textId="77777777" w:rsidR="00506E03" w:rsidRPr="00545EC0" w:rsidRDefault="00506E03" w:rsidP="003176A4">
      <w:pPr>
        <w:pStyle w:val="Napis"/>
      </w:pPr>
      <w:bookmarkStart w:id="63" w:name="_Ref462038905"/>
      <w:bookmarkStart w:id="64" w:name="_Ref440630979"/>
      <w:bookmarkEnd w:id="53"/>
      <w:bookmarkEnd w:id="54"/>
      <w:bookmarkEnd w:id="55"/>
      <w:bookmarkEnd w:id="56"/>
      <w:bookmarkEnd w:id="57"/>
      <w:bookmarkEnd w:id="58"/>
      <w:bookmarkEnd w:id="59"/>
      <w:bookmarkEnd w:id="60"/>
    </w:p>
    <w:p w14:paraId="472B1903" w14:textId="77777777" w:rsidR="00AE414A" w:rsidRPr="00545EC0" w:rsidRDefault="00AE414A" w:rsidP="00AE414A">
      <w:pPr>
        <w:rPr>
          <w:lang w:eastAsia="x-none"/>
        </w:rPr>
      </w:pPr>
    </w:p>
    <w:p w14:paraId="5EE39626" w14:textId="77777777" w:rsidR="00A107B8" w:rsidRPr="00545EC0" w:rsidRDefault="00A107B8" w:rsidP="00AE414A">
      <w:pPr>
        <w:rPr>
          <w:lang w:eastAsia="x-none"/>
        </w:rPr>
      </w:pPr>
    </w:p>
    <w:p w14:paraId="5B6B7509" w14:textId="77777777" w:rsidR="00AE414A" w:rsidRPr="00545EC0" w:rsidRDefault="00AE414A" w:rsidP="00AE414A">
      <w:pPr>
        <w:rPr>
          <w:lang w:eastAsia="x-none"/>
        </w:rPr>
      </w:pPr>
    </w:p>
    <w:p w14:paraId="4475B828" w14:textId="77777777" w:rsidR="00AE414A" w:rsidRPr="00545EC0" w:rsidRDefault="00AE414A" w:rsidP="00AE414A">
      <w:pPr>
        <w:rPr>
          <w:lang w:eastAsia="x-none"/>
        </w:rPr>
      </w:pPr>
    </w:p>
    <w:p w14:paraId="4389D7C9" w14:textId="77777777" w:rsidR="00926EA0" w:rsidRPr="00545EC0" w:rsidRDefault="00926EA0" w:rsidP="00AE414A">
      <w:pPr>
        <w:rPr>
          <w:lang w:eastAsia="x-none"/>
        </w:rPr>
      </w:pPr>
    </w:p>
    <w:p w14:paraId="1A281F66" w14:textId="77777777" w:rsidR="00926EA0" w:rsidRPr="00545EC0" w:rsidRDefault="00926EA0" w:rsidP="00AE414A">
      <w:pPr>
        <w:rPr>
          <w:lang w:eastAsia="x-none"/>
        </w:rPr>
      </w:pPr>
    </w:p>
    <w:p w14:paraId="10495CAE" w14:textId="77777777" w:rsidR="00926EA0" w:rsidRPr="00545EC0" w:rsidRDefault="00926EA0" w:rsidP="00AE414A">
      <w:pPr>
        <w:rPr>
          <w:lang w:eastAsia="x-none"/>
        </w:rPr>
      </w:pPr>
    </w:p>
    <w:p w14:paraId="7326A0DB" w14:textId="77777777" w:rsidR="00AE414A" w:rsidRPr="00545EC0" w:rsidRDefault="00AE414A" w:rsidP="00AE414A">
      <w:pPr>
        <w:rPr>
          <w:lang w:eastAsia="x-none"/>
        </w:rPr>
      </w:pPr>
    </w:p>
    <w:p w14:paraId="34D9F0B6" w14:textId="6993F684" w:rsidR="00342A40" w:rsidRPr="00545EC0" w:rsidRDefault="00A107B8" w:rsidP="00A107B8">
      <w:pPr>
        <w:pStyle w:val="Napis"/>
      </w:pPr>
      <w:bookmarkStart w:id="65" w:name="_Ref84496320"/>
      <w:bookmarkEnd w:id="63"/>
      <w:r w:rsidRPr="00545EC0">
        <w:lastRenderedPageBreak/>
        <w:t xml:space="preserve">Preglednica </w:t>
      </w:r>
      <w:fldSimple w:instr=" STYLEREF 1 \s ">
        <w:r w:rsidR="002F3E43">
          <w:rPr>
            <w:noProof/>
          </w:rPr>
          <w:t>2</w:t>
        </w:r>
      </w:fldSimple>
      <w:r w:rsidR="001A7511" w:rsidRPr="00545EC0">
        <w:noBreakHyphen/>
      </w:r>
      <w:fldSimple w:instr=" SEQ Preglednica \* ARABIC \s 1 ">
        <w:r w:rsidR="002F3E43">
          <w:rPr>
            <w:noProof/>
          </w:rPr>
          <w:t>5</w:t>
        </w:r>
      </w:fldSimple>
      <w:bookmarkEnd w:id="65"/>
      <w:r w:rsidRPr="00545EC0">
        <w:t xml:space="preserve">: </w:t>
      </w:r>
      <w:r w:rsidR="00242799" w:rsidRPr="00545EC0">
        <w:t xml:space="preserve">Število VTPV rek, VTPV jezer, UVT ali MPVT po posameznih porečjih </w:t>
      </w:r>
    </w:p>
    <w:tbl>
      <w:tblPr>
        <w:tblW w:w="5000" w:type="pct"/>
        <w:tblCellMar>
          <w:left w:w="70" w:type="dxa"/>
          <w:right w:w="70" w:type="dxa"/>
        </w:tblCellMar>
        <w:tblLook w:val="04A0" w:firstRow="1" w:lastRow="0" w:firstColumn="1" w:lastColumn="0" w:noHBand="0" w:noVBand="1"/>
      </w:tblPr>
      <w:tblGrid>
        <w:gridCol w:w="1528"/>
        <w:gridCol w:w="885"/>
        <w:gridCol w:w="905"/>
        <w:gridCol w:w="424"/>
        <w:gridCol w:w="870"/>
        <w:gridCol w:w="385"/>
        <w:gridCol w:w="958"/>
        <w:gridCol w:w="505"/>
        <w:gridCol w:w="958"/>
        <w:gridCol w:w="385"/>
        <w:gridCol w:w="870"/>
        <w:gridCol w:w="538"/>
      </w:tblGrid>
      <w:tr w:rsidR="00EC3460" w:rsidRPr="00545EC0" w14:paraId="28E482FD" w14:textId="77777777" w:rsidTr="00EC3460">
        <w:trPr>
          <w:cantSplit/>
          <w:trHeight w:val="394"/>
          <w:tblHeader/>
        </w:trPr>
        <w:tc>
          <w:tcPr>
            <w:tcW w:w="829" w:type="pct"/>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14:paraId="27F44EE9" w14:textId="77777777" w:rsidR="00EC3460" w:rsidRPr="00545EC0" w:rsidRDefault="00EC3460" w:rsidP="0031694B">
            <w:pPr>
              <w:spacing w:line="240" w:lineRule="auto"/>
              <w:jc w:val="center"/>
              <w:rPr>
                <w:rFonts w:cs="Arial"/>
                <w:sz w:val="18"/>
                <w:szCs w:val="18"/>
                <w:lang w:eastAsia="ja-JP"/>
              </w:rPr>
            </w:pPr>
          </w:p>
        </w:tc>
        <w:tc>
          <w:tcPr>
            <w:tcW w:w="48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283FD7C" w14:textId="77777777" w:rsidR="00EC3460" w:rsidRPr="00545EC0" w:rsidRDefault="00EC3460" w:rsidP="0031694B">
            <w:pPr>
              <w:spacing w:line="240" w:lineRule="auto"/>
              <w:jc w:val="center"/>
              <w:rPr>
                <w:rFonts w:cs="Arial"/>
                <w:b/>
                <w:bCs/>
                <w:sz w:val="18"/>
                <w:szCs w:val="18"/>
                <w:lang w:eastAsia="ja-JP"/>
              </w:rPr>
            </w:pPr>
            <w:r w:rsidRPr="00545EC0">
              <w:rPr>
                <w:rFonts w:cs="Arial"/>
                <w:b/>
                <w:bCs/>
                <w:sz w:val="18"/>
                <w:szCs w:val="18"/>
              </w:rPr>
              <w:t>Skupaj</w:t>
            </w:r>
          </w:p>
        </w:tc>
        <w:tc>
          <w:tcPr>
            <w:tcW w:w="721" w:type="pct"/>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CA06AC4" w14:textId="77777777" w:rsidR="00EC3460" w:rsidRPr="00545EC0" w:rsidRDefault="00EC3460" w:rsidP="0031694B">
            <w:pPr>
              <w:spacing w:line="240" w:lineRule="auto"/>
              <w:jc w:val="center"/>
              <w:rPr>
                <w:rFonts w:cs="Arial"/>
                <w:b/>
                <w:bCs/>
                <w:sz w:val="18"/>
                <w:szCs w:val="18"/>
                <w:lang w:eastAsia="ja-JP"/>
              </w:rPr>
            </w:pPr>
            <w:r w:rsidRPr="00545EC0">
              <w:rPr>
                <w:rFonts w:cs="Arial"/>
                <w:b/>
                <w:bCs/>
                <w:sz w:val="18"/>
                <w:szCs w:val="18"/>
              </w:rPr>
              <w:t>VTR</w:t>
            </w:r>
          </w:p>
        </w:tc>
        <w:tc>
          <w:tcPr>
            <w:tcW w:w="681" w:type="pct"/>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12CD08C" w14:textId="77777777" w:rsidR="00EC3460" w:rsidRPr="00545EC0" w:rsidRDefault="00EC3460" w:rsidP="0031694B">
            <w:pPr>
              <w:spacing w:line="240" w:lineRule="auto"/>
              <w:jc w:val="center"/>
              <w:rPr>
                <w:rFonts w:cs="Arial"/>
                <w:b/>
                <w:bCs/>
                <w:sz w:val="18"/>
                <w:szCs w:val="18"/>
                <w:lang w:eastAsia="ja-JP"/>
              </w:rPr>
            </w:pPr>
            <w:r w:rsidRPr="00545EC0">
              <w:rPr>
                <w:rFonts w:cs="Arial"/>
                <w:b/>
                <w:bCs/>
                <w:sz w:val="18"/>
                <w:szCs w:val="18"/>
              </w:rPr>
              <w:t>VTJ</w:t>
            </w:r>
          </w:p>
        </w:tc>
        <w:tc>
          <w:tcPr>
            <w:tcW w:w="794" w:type="pct"/>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F4961B4" w14:textId="77777777" w:rsidR="00EC3460" w:rsidRPr="00545EC0" w:rsidRDefault="00EC3460" w:rsidP="0031694B">
            <w:pPr>
              <w:spacing w:line="240" w:lineRule="auto"/>
              <w:jc w:val="center"/>
              <w:rPr>
                <w:rFonts w:cs="Arial"/>
                <w:b/>
                <w:bCs/>
                <w:sz w:val="18"/>
                <w:szCs w:val="18"/>
                <w:lang w:eastAsia="ja-JP"/>
              </w:rPr>
            </w:pPr>
            <w:r w:rsidRPr="00545EC0">
              <w:rPr>
                <w:rFonts w:cs="Arial"/>
                <w:b/>
                <w:bCs/>
                <w:sz w:val="18"/>
                <w:szCs w:val="18"/>
              </w:rPr>
              <w:t>VTM</w:t>
            </w:r>
          </w:p>
        </w:tc>
        <w:tc>
          <w:tcPr>
            <w:tcW w:w="729" w:type="pct"/>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D35FDDF" w14:textId="77777777" w:rsidR="00EC3460" w:rsidRPr="00545EC0" w:rsidRDefault="00EC3460" w:rsidP="0031694B">
            <w:pPr>
              <w:spacing w:line="240" w:lineRule="auto"/>
              <w:jc w:val="center"/>
              <w:rPr>
                <w:rFonts w:cs="Arial"/>
                <w:b/>
                <w:bCs/>
                <w:sz w:val="18"/>
                <w:szCs w:val="18"/>
                <w:lang w:eastAsia="ja-JP"/>
              </w:rPr>
            </w:pPr>
            <w:r w:rsidRPr="00545EC0">
              <w:rPr>
                <w:rFonts w:cs="Arial"/>
                <w:b/>
                <w:bCs/>
                <w:sz w:val="18"/>
                <w:szCs w:val="18"/>
              </w:rPr>
              <w:t>UVT</w:t>
            </w:r>
          </w:p>
        </w:tc>
        <w:tc>
          <w:tcPr>
            <w:tcW w:w="764" w:type="pct"/>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B5938C9" w14:textId="77777777" w:rsidR="00EC3460" w:rsidRPr="00545EC0" w:rsidRDefault="00EC3460" w:rsidP="0031694B">
            <w:pPr>
              <w:spacing w:line="240" w:lineRule="auto"/>
              <w:jc w:val="center"/>
              <w:rPr>
                <w:rFonts w:cs="Arial"/>
                <w:b/>
                <w:bCs/>
                <w:sz w:val="18"/>
                <w:szCs w:val="18"/>
                <w:lang w:eastAsia="ja-JP"/>
              </w:rPr>
            </w:pPr>
            <w:r w:rsidRPr="00545EC0">
              <w:rPr>
                <w:rFonts w:cs="Arial"/>
                <w:b/>
                <w:bCs/>
                <w:sz w:val="18"/>
                <w:szCs w:val="18"/>
              </w:rPr>
              <w:t>MPVT</w:t>
            </w:r>
          </w:p>
        </w:tc>
      </w:tr>
      <w:tr w:rsidR="00EC3460" w:rsidRPr="00545EC0" w14:paraId="5075D8CD" w14:textId="77777777" w:rsidTr="00EC3460">
        <w:trPr>
          <w:cantSplit/>
          <w:trHeight w:val="391"/>
          <w:tblHeader/>
        </w:trPr>
        <w:tc>
          <w:tcPr>
            <w:tcW w:w="829" w:type="pct"/>
            <w:vMerge/>
            <w:tcBorders>
              <w:left w:val="single" w:sz="4" w:space="0" w:color="auto"/>
              <w:bottom w:val="single" w:sz="4" w:space="0" w:color="auto"/>
              <w:right w:val="single" w:sz="4" w:space="0" w:color="auto"/>
            </w:tcBorders>
            <w:shd w:val="clear" w:color="auto" w:fill="F2F2F2" w:themeFill="background1" w:themeFillShade="F2"/>
            <w:noWrap/>
            <w:vAlign w:val="center"/>
          </w:tcPr>
          <w:p w14:paraId="6181E313" w14:textId="77777777" w:rsidR="00EC3460" w:rsidRPr="00545EC0" w:rsidRDefault="00EC3460" w:rsidP="0031694B">
            <w:pPr>
              <w:spacing w:line="240" w:lineRule="auto"/>
              <w:jc w:val="center"/>
              <w:rPr>
                <w:rFonts w:cs="Arial"/>
                <w:sz w:val="18"/>
                <w:szCs w:val="18"/>
                <w:lang w:eastAsia="ja-JP"/>
              </w:rPr>
            </w:pPr>
          </w:p>
        </w:tc>
        <w:tc>
          <w:tcPr>
            <w:tcW w:w="480" w:type="pct"/>
            <w:tcBorders>
              <w:top w:val="nil"/>
              <w:left w:val="nil"/>
              <w:bottom w:val="single" w:sz="4" w:space="0" w:color="auto"/>
              <w:right w:val="single" w:sz="4" w:space="0" w:color="auto"/>
            </w:tcBorders>
            <w:shd w:val="clear" w:color="auto" w:fill="F2F2F2" w:themeFill="background1" w:themeFillShade="F2"/>
            <w:vAlign w:val="center"/>
            <w:hideMark/>
          </w:tcPr>
          <w:p w14:paraId="4EF12E76" w14:textId="77777777" w:rsidR="00EC3460" w:rsidRPr="00545EC0" w:rsidRDefault="00EC3460" w:rsidP="0031694B">
            <w:pPr>
              <w:spacing w:line="240" w:lineRule="auto"/>
              <w:jc w:val="center"/>
              <w:rPr>
                <w:rFonts w:cs="Arial"/>
                <w:b/>
                <w:bCs/>
                <w:sz w:val="18"/>
                <w:szCs w:val="18"/>
                <w:lang w:eastAsia="ja-JP"/>
              </w:rPr>
            </w:pPr>
            <w:r w:rsidRPr="00545EC0">
              <w:rPr>
                <w:rFonts w:cs="Arial"/>
                <w:b/>
                <w:bCs/>
                <w:sz w:val="18"/>
                <w:szCs w:val="18"/>
              </w:rPr>
              <w:t>število</w:t>
            </w:r>
          </w:p>
        </w:tc>
        <w:tc>
          <w:tcPr>
            <w:tcW w:w="491" w:type="pct"/>
            <w:tcBorders>
              <w:top w:val="nil"/>
              <w:left w:val="nil"/>
              <w:bottom w:val="single" w:sz="4" w:space="0" w:color="auto"/>
              <w:right w:val="single" w:sz="4" w:space="0" w:color="auto"/>
            </w:tcBorders>
            <w:shd w:val="clear" w:color="auto" w:fill="F2F2F2" w:themeFill="background1" w:themeFillShade="F2"/>
            <w:vAlign w:val="center"/>
            <w:hideMark/>
          </w:tcPr>
          <w:p w14:paraId="1590478D" w14:textId="77777777" w:rsidR="00EC3460" w:rsidRPr="00545EC0" w:rsidRDefault="00EC3460" w:rsidP="0031694B">
            <w:pPr>
              <w:spacing w:line="240" w:lineRule="auto"/>
              <w:jc w:val="center"/>
              <w:rPr>
                <w:rFonts w:cs="Arial"/>
                <w:b/>
                <w:bCs/>
                <w:sz w:val="18"/>
                <w:szCs w:val="18"/>
                <w:lang w:eastAsia="ja-JP"/>
              </w:rPr>
            </w:pPr>
            <w:r w:rsidRPr="00545EC0">
              <w:rPr>
                <w:rFonts w:cs="Arial"/>
                <w:b/>
                <w:bCs/>
                <w:sz w:val="18"/>
                <w:szCs w:val="18"/>
              </w:rPr>
              <w:t>število</w:t>
            </w:r>
          </w:p>
        </w:tc>
        <w:tc>
          <w:tcPr>
            <w:tcW w:w="230" w:type="pct"/>
            <w:tcBorders>
              <w:top w:val="nil"/>
              <w:left w:val="nil"/>
              <w:bottom w:val="single" w:sz="4" w:space="0" w:color="auto"/>
              <w:right w:val="single" w:sz="4" w:space="0" w:color="auto"/>
            </w:tcBorders>
            <w:shd w:val="clear" w:color="auto" w:fill="F2F2F2" w:themeFill="background1" w:themeFillShade="F2"/>
            <w:vAlign w:val="center"/>
            <w:hideMark/>
          </w:tcPr>
          <w:p w14:paraId="5B15A82A" w14:textId="77777777" w:rsidR="00EC3460" w:rsidRPr="00545EC0" w:rsidRDefault="00EC3460" w:rsidP="0031694B">
            <w:pPr>
              <w:spacing w:line="240" w:lineRule="auto"/>
              <w:jc w:val="center"/>
              <w:rPr>
                <w:rFonts w:cs="Arial"/>
                <w:b/>
                <w:bCs/>
                <w:sz w:val="18"/>
                <w:szCs w:val="18"/>
                <w:lang w:eastAsia="ja-JP"/>
              </w:rPr>
            </w:pPr>
            <w:r w:rsidRPr="00545EC0">
              <w:rPr>
                <w:rFonts w:cs="Arial"/>
                <w:b/>
                <w:bCs/>
                <w:sz w:val="18"/>
                <w:szCs w:val="18"/>
              </w:rPr>
              <w:t>%</w:t>
            </w:r>
          </w:p>
        </w:tc>
        <w:tc>
          <w:tcPr>
            <w:tcW w:w="472" w:type="pct"/>
            <w:tcBorders>
              <w:top w:val="nil"/>
              <w:left w:val="nil"/>
              <w:bottom w:val="single" w:sz="4" w:space="0" w:color="auto"/>
              <w:right w:val="single" w:sz="4" w:space="0" w:color="auto"/>
            </w:tcBorders>
            <w:shd w:val="clear" w:color="auto" w:fill="F2F2F2" w:themeFill="background1" w:themeFillShade="F2"/>
            <w:vAlign w:val="center"/>
            <w:hideMark/>
          </w:tcPr>
          <w:p w14:paraId="68E13915" w14:textId="77777777" w:rsidR="00EC3460" w:rsidRPr="00545EC0" w:rsidRDefault="00EC3460" w:rsidP="0031694B">
            <w:pPr>
              <w:spacing w:line="240" w:lineRule="auto"/>
              <w:jc w:val="center"/>
              <w:rPr>
                <w:rFonts w:cs="Arial"/>
                <w:b/>
                <w:bCs/>
                <w:sz w:val="18"/>
                <w:szCs w:val="18"/>
                <w:lang w:eastAsia="ja-JP"/>
              </w:rPr>
            </w:pPr>
            <w:r w:rsidRPr="00545EC0">
              <w:rPr>
                <w:rFonts w:cs="Arial"/>
                <w:b/>
                <w:bCs/>
                <w:sz w:val="18"/>
                <w:szCs w:val="18"/>
              </w:rPr>
              <w:t>število</w:t>
            </w:r>
          </w:p>
        </w:tc>
        <w:tc>
          <w:tcPr>
            <w:tcW w:w="209" w:type="pct"/>
            <w:tcBorders>
              <w:top w:val="nil"/>
              <w:left w:val="nil"/>
              <w:bottom w:val="single" w:sz="4" w:space="0" w:color="auto"/>
              <w:right w:val="single" w:sz="4" w:space="0" w:color="auto"/>
            </w:tcBorders>
            <w:shd w:val="clear" w:color="auto" w:fill="F2F2F2" w:themeFill="background1" w:themeFillShade="F2"/>
            <w:vAlign w:val="center"/>
            <w:hideMark/>
          </w:tcPr>
          <w:p w14:paraId="2357D510" w14:textId="77777777" w:rsidR="00EC3460" w:rsidRPr="00545EC0" w:rsidRDefault="00EC3460" w:rsidP="0031694B">
            <w:pPr>
              <w:spacing w:line="240" w:lineRule="auto"/>
              <w:jc w:val="center"/>
              <w:rPr>
                <w:rFonts w:cs="Arial"/>
                <w:b/>
                <w:bCs/>
                <w:sz w:val="18"/>
                <w:szCs w:val="18"/>
                <w:lang w:eastAsia="ja-JP"/>
              </w:rPr>
            </w:pPr>
            <w:r w:rsidRPr="00545EC0">
              <w:rPr>
                <w:rFonts w:cs="Arial"/>
                <w:b/>
                <w:bCs/>
                <w:sz w:val="18"/>
                <w:szCs w:val="18"/>
              </w:rPr>
              <w:t>%</w:t>
            </w:r>
          </w:p>
        </w:tc>
        <w:tc>
          <w:tcPr>
            <w:tcW w:w="520" w:type="pct"/>
            <w:tcBorders>
              <w:top w:val="nil"/>
              <w:left w:val="nil"/>
              <w:bottom w:val="single" w:sz="4" w:space="0" w:color="auto"/>
              <w:right w:val="single" w:sz="4" w:space="0" w:color="auto"/>
            </w:tcBorders>
            <w:shd w:val="clear" w:color="auto" w:fill="F2F2F2" w:themeFill="background1" w:themeFillShade="F2"/>
            <w:vAlign w:val="center"/>
            <w:hideMark/>
          </w:tcPr>
          <w:p w14:paraId="7B959901" w14:textId="77777777" w:rsidR="00EC3460" w:rsidRPr="00545EC0" w:rsidRDefault="00EC3460" w:rsidP="0031694B">
            <w:pPr>
              <w:spacing w:line="240" w:lineRule="auto"/>
              <w:jc w:val="center"/>
              <w:rPr>
                <w:rFonts w:cs="Arial"/>
                <w:b/>
                <w:bCs/>
                <w:sz w:val="18"/>
                <w:szCs w:val="18"/>
                <w:lang w:eastAsia="ja-JP"/>
              </w:rPr>
            </w:pPr>
            <w:r w:rsidRPr="00545EC0">
              <w:rPr>
                <w:rFonts w:cs="Arial"/>
                <w:b/>
                <w:bCs/>
                <w:sz w:val="18"/>
                <w:szCs w:val="18"/>
              </w:rPr>
              <w:t>število</w:t>
            </w:r>
          </w:p>
        </w:tc>
        <w:tc>
          <w:tcPr>
            <w:tcW w:w="274" w:type="pct"/>
            <w:tcBorders>
              <w:top w:val="nil"/>
              <w:left w:val="nil"/>
              <w:bottom w:val="single" w:sz="4" w:space="0" w:color="auto"/>
              <w:right w:val="single" w:sz="4" w:space="0" w:color="auto"/>
            </w:tcBorders>
            <w:shd w:val="clear" w:color="auto" w:fill="F2F2F2" w:themeFill="background1" w:themeFillShade="F2"/>
            <w:vAlign w:val="center"/>
            <w:hideMark/>
          </w:tcPr>
          <w:p w14:paraId="351BC588" w14:textId="77777777" w:rsidR="00EC3460" w:rsidRPr="00545EC0" w:rsidRDefault="00EC3460" w:rsidP="0031694B">
            <w:pPr>
              <w:spacing w:line="240" w:lineRule="auto"/>
              <w:jc w:val="center"/>
              <w:rPr>
                <w:rFonts w:cs="Arial"/>
                <w:b/>
                <w:bCs/>
                <w:sz w:val="18"/>
                <w:szCs w:val="18"/>
                <w:lang w:eastAsia="ja-JP"/>
              </w:rPr>
            </w:pPr>
            <w:r w:rsidRPr="00545EC0">
              <w:rPr>
                <w:rFonts w:cs="Arial"/>
                <w:b/>
                <w:bCs/>
                <w:sz w:val="18"/>
                <w:szCs w:val="18"/>
              </w:rPr>
              <w:t>%</w:t>
            </w:r>
          </w:p>
        </w:tc>
        <w:tc>
          <w:tcPr>
            <w:tcW w:w="520" w:type="pct"/>
            <w:tcBorders>
              <w:top w:val="nil"/>
              <w:left w:val="nil"/>
              <w:bottom w:val="single" w:sz="4" w:space="0" w:color="auto"/>
              <w:right w:val="single" w:sz="4" w:space="0" w:color="auto"/>
            </w:tcBorders>
            <w:shd w:val="clear" w:color="auto" w:fill="F2F2F2" w:themeFill="background1" w:themeFillShade="F2"/>
            <w:vAlign w:val="center"/>
            <w:hideMark/>
          </w:tcPr>
          <w:p w14:paraId="0575CA27" w14:textId="77777777" w:rsidR="00EC3460" w:rsidRPr="00545EC0" w:rsidRDefault="00EC3460" w:rsidP="0031694B">
            <w:pPr>
              <w:spacing w:line="240" w:lineRule="auto"/>
              <w:jc w:val="center"/>
              <w:rPr>
                <w:rFonts w:cs="Arial"/>
                <w:b/>
                <w:bCs/>
                <w:sz w:val="18"/>
                <w:szCs w:val="18"/>
                <w:lang w:eastAsia="ja-JP"/>
              </w:rPr>
            </w:pPr>
            <w:r w:rsidRPr="00545EC0">
              <w:rPr>
                <w:rFonts w:cs="Arial"/>
                <w:b/>
                <w:bCs/>
                <w:sz w:val="18"/>
                <w:szCs w:val="18"/>
              </w:rPr>
              <w:t>število</w:t>
            </w:r>
          </w:p>
        </w:tc>
        <w:tc>
          <w:tcPr>
            <w:tcW w:w="209" w:type="pct"/>
            <w:tcBorders>
              <w:top w:val="nil"/>
              <w:left w:val="nil"/>
              <w:bottom w:val="single" w:sz="4" w:space="0" w:color="auto"/>
              <w:right w:val="single" w:sz="4" w:space="0" w:color="auto"/>
            </w:tcBorders>
            <w:shd w:val="clear" w:color="auto" w:fill="F2F2F2" w:themeFill="background1" w:themeFillShade="F2"/>
            <w:vAlign w:val="center"/>
            <w:hideMark/>
          </w:tcPr>
          <w:p w14:paraId="12D8E22F" w14:textId="77777777" w:rsidR="00EC3460" w:rsidRPr="00545EC0" w:rsidRDefault="00EC3460" w:rsidP="0031694B">
            <w:pPr>
              <w:spacing w:line="240" w:lineRule="auto"/>
              <w:jc w:val="center"/>
              <w:rPr>
                <w:rFonts w:cs="Arial"/>
                <w:b/>
                <w:bCs/>
                <w:sz w:val="18"/>
                <w:szCs w:val="18"/>
                <w:lang w:eastAsia="ja-JP"/>
              </w:rPr>
            </w:pPr>
            <w:r w:rsidRPr="00545EC0">
              <w:rPr>
                <w:rFonts w:cs="Arial"/>
                <w:b/>
                <w:bCs/>
                <w:sz w:val="18"/>
                <w:szCs w:val="18"/>
              </w:rPr>
              <w:t>%</w:t>
            </w:r>
          </w:p>
        </w:tc>
        <w:tc>
          <w:tcPr>
            <w:tcW w:w="472" w:type="pct"/>
            <w:tcBorders>
              <w:top w:val="nil"/>
              <w:left w:val="nil"/>
              <w:bottom w:val="single" w:sz="4" w:space="0" w:color="auto"/>
              <w:right w:val="single" w:sz="4" w:space="0" w:color="auto"/>
            </w:tcBorders>
            <w:shd w:val="clear" w:color="auto" w:fill="F2F2F2" w:themeFill="background1" w:themeFillShade="F2"/>
            <w:vAlign w:val="center"/>
            <w:hideMark/>
          </w:tcPr>
          <w:p w14:paraId="2569D867" w14:textId="77777777" w:rsidR="00EC3460" w:rsidRPr="00545EC0" w:rsidRDefault="00EC3460" w:rsidP="0031694B">
            <w:pPr>
              <w:spacing w:line="240" w:lineRule="auto"/>
              <w:jc w:val="center"/>
              <w:rPr>
                <w:rFonts w:cs="Arial"/>
                <w:b/>
                <w:bCs/>
                <w:sz w:val="18"/>
                <w:szCs w:val="18"/>
                <w:lang w:eastAsia="ja-JP"/>
              </w:rPr>
            </w:pPr>
            <w:r w:rsidRPr="00545EC0">
              <w:rPr>
                <w:rFonts w:cs="Arial"/>
                <w:b/>
                <w:bCs/>
                <w:sz w:val="18"/>
                <w:szCs w:val="18"/>
              </w:rPr>
              <w:t>število</w:t>
            </w:r>
          </w:p>
        </w:tc>
        <w:tc>
          <w:tcPr>
            <w:tcW w:w="292" w:type="pct"/>
            <w:tcBorders>
              <w:top w:val="nil"/>
              <w:left w:val="nil"/>
              <w:bottom w:val="single" w:sz="4" w:space="0" w:color="auto"/>
              <w:right w:val="single" w:sz="4" w:space="0" w:color="auto"/>
            </w:tcBorders>
            <w:shd w:val="clear" w:color="auto" w:fill="F2F2F2" w:themeFill="background1" w:themeFillShade="F2"/>
            <w:vAlign w:val="center"/>
            <w:hideMark/>
          </w:tcPr>
          <w:p w14:paraId="689FAB27" w14:textId="77777777" w:rsidR="00EC3460" w:rsidRPr="00545EC0" w:rsidRDefault="00EC3460" w:rsidP="0031694B">
            <w:pPr>
              <w:spacing w:line="240" w:lineRule="auto"/>
              <w:jc w:val="center"/>
              <w:rPr>
                <w:rFonts w:cs="Arial"/>
                <w:b/>
                <w:bCs/>
                <w:sz w:val="18"/>
                <w:szCs w:val="18"/>
                <w:lang w:eastAsia="ja-JP"/>
              </w:rPr>
            </w:pPr>
            <w:r w:rsidRPr="00545EC0">
              <w:rPr>
                <w:rFonts w:cs="Arial"/>
                <w:b/>
                <w:bCs/>
                <w:sz w:val="18"/>
                <w:szCs w:val="18"/>
              </w:rPr>
              <w:t>%</w:t>
            </w:r>
          </w:p>
        </w:tc>
      </w:tr>
      <w:tr w:rsidR="00EC3460" w:rsidRPr="00545EC0" w14:paraId="5FDA56DD" w14:textId="77777777" w:rsidTr="00EC3460">
        <w:trPr>
          <w:trHeight w:val="391"/>
        </w:trPr>
        <w:tc>
          <w:tcPr>
            <w:tcW w:w="829" w:type="pct"/>
            <w:tcBorders>
              <w:top w:val="nil"/>
              <w:left w:val="single" w:sz="4" w:space="0" w:color="auto"/>
              <w:bottom w:val="single" w:sz="4" w:space="0" w:color="auto"/>
              <w:right w:val="single" w:sz="4" w:space="0" w:color="auto"/>
            </w:tcBorders>
            <w:shd w:val="clear" w:color="auto" w:fill="auto"/>
            <w:vAlign w:val="center"/>
            <w:hideMark/>
          </w:tcPr>
          <w:p w14:paraId="540AFDF3" w14:textId="77777777" w:rsidR="00342A40" w:rsidRPr="00545EC0" w:rsidRDefault="00342A40" w:rsidP="0031694B">
            <w:pPr>
              <w:spacing w:line="240" w:lineRule="auto"/>
              <w:jc w:val="center"/>
              <w:rPr>
                <w:rFonts w:cs="Arial"/>
                <w:sz w:val="18"/>
                <w:szCs w:val="18"/>
                <w:lang w:eastAsia="ja-JP"/>
              </w:rPr>
            </w:pPr>
            <w:r w:rsidRPr="00545EC0">
              <w:rPr>
                <w:rFonts w:cs="Arial"/>
                <w:sz w:val="18"/>
                <w:szCs w:val="18"/>
              </w:rPr>
              <w:t>Porečje Mure</w:t>
            </w:r>
          </w:p>
        </w:tc>
        <w:tc>
          <w:tcPr>
            <w:tcW w:w="480" w:type="pct"/>
            <w:tcBorders>
              <w:top w:val="nil"/>
              <w:left w:val="nil"/>
              <w:bottom w:val="single" w:sz="4" w:space="0" w:color="auto"/>
              <w:right w:val="single" w:sz="4" w:space="0" w:color="auto"/>
            </w:tcBorders>
            <w:shd w:val="clear" w:color="auto" w:fill="auto"/>
            <w:noWrap/>
            <w:vAlign w:val="center"/>
            <w:hideMark/>
          </w:tcPr>
          <w:p w14:paraId="44BD2613" w14:textId="77777777" w:rsidR="00342A40" w:rsidRPr="00545EC0" w:rsidRDefault="00342A40" w:rsidP="0031694B">
            <w:pPr>
              <w:spacing w:line="240" w:lineRule="auto"/>
              <w:jc w:val="center"/>
              <w:rPr>
                <w:rFonts w:cs="Arial"/>
                <w:sz w:val="18"/>
                <w:szCs w:val="18"/>
                <w:lang w:eastAsia="ja-JP"/>
              </w:rPr>
            </w:pPr>
            <w:r w:rsidRPr="00545EC0">
              <w:rPr>
                <w:rFonts w:cs="Arial"/>
                <w:sz w:val="18"/>
                <w:szCs w:val="18"/>
              </w:rPr>
              <w:t>14</w:t>
            </w:r>
          </w:p>
        </w:tc>
        <w:tc>
          <w:tcPr>
            <w:tcW w:w="491" w:type="pct"/>
            <w:tcBorders>
              <w:top w:val="nil"/>
              <w:left w:val="nil"/>
              <w:bottom w:val="single" w:sz="4" w:space="0" w:color="auto"/>
              <w:right w:val="single" w:sz="4" w:space="0" w:color="auto"/>
            </w:tcBorders>
            <w:shd w:val="clear" w:color="auto" w:fill="auto"/>
            <w:noWrap/>
            <w:vAlign w:val="center"/>
            <w:hideMark/>
          </w:tcPr>
          <w:p w14:paraId="276A75BB" w14:textId="77777777" w:rsidR="00342A40" w:rsidRPr="00545EC0" w:rsidRDefault="00342A40" w:rsidP="0031694B">
            <w:pPr>
              <w:spacing w:line="240" w:lineRule="auto"/>
              <w:jc w:val="center"/>
              <w:rPr>
                <w:rFonts w:cs="Arial"/>
                <w:sz w:val="18"/>
                <w:szCs w:val="18"/>
                <w:lang w:eastAsia="ja-JP"/>
              </w:rPr>
            </w:pPr>
            <w:r w:rsidRPr="00545EC0">
              <w:rPr>
                <w:rFonts w:cs="Arial"/>
                <w:sz w:val="18"/>
                <w:szCs w:val="18"/>
              </w:rPr>
              <w:t>12</w:t>
            </w:r>
          </w:p>
        </w:tc>
        <w:tc>
          <w:tcPr>
            <w:tcW w:w="230" w:type="pct"/>
            <w:tcBorders>
              <w:top w:val="nil"/>
              <w:left w:val="nil"/>
              <w:bottom w:val="single" w:sz="4" w:space="0" w:color="auto"/>
              <w:right w:val="single" w:sz="4" w:space="0" w:color="auto"/>
            </w:tcBorders>
            <w:shd w:val="clear" w:color="auto" w:fill="auto"/>
            <w:noWrap/>
            <w:vAlign w:val="center"/>
            <w:hideMark/>
          </w:tcPr>
          <w:p w14:paraId="3A333DB5" w14:textId="77777777" w:rsidR="00342A40" w:rsidRPr="00545EC0" w:rsidRDefault="00342A40" w:rsidP="0031694B">
            <w:pPr>
              <w:spacing w:line="240" w:lineRule="auto"/>
              <w:jc w:val="center"/>
              <w:rPr>
                <w:rFonts w:cs="Arial"/>
                <w:sz w:val="18"/>
                <w:szCs w:val="18"/>
                <w:lang w:eastAsia="ja-JP"/>
              </w:rPr>
            </w:pPr>
            <w:r w:rsidRPr="00545EC0">
              <w:rPr>
                <w:rFonts w:cs="Arial"/>
                <w:sz w:val="18"/>
                <w:szCs w:val="18"/>
              </w:rPr>
              <w:t>86</w:t>
            </w:r>
          </w:p>
        </w:tc>
        <w:tc>
          <w:tcPr>
            <w:tcW w:w="472" w:type="pct"/>
            <w:tcBorders>
              <w:top w:val="nil"/>
              <w:left w:val="nil"/>
              <w:bottom w:val="single" w:sz="4" w:space="0" w:color="auto"/>
              <w:right w:val="single" w:sz="4" w:space="0" w:color="auto"/>
            </w:tcBorders>
            <w:shd w:val="clear" w:color="auto" w:fill="auto"/>
            <w:noWrap/>
            <w:vAlign w:val="center"/>
            <w:hideMark/>
          </w:tcPr>
          <w:p w14:paraId="5AD31A20" w14:textId="77777777" w:rsidR="00342A40" w:rsidRPr="00545EC0" w:rsidRDefault="00342A40" w:rsidP="0031694B">
            <w:pPr>
              <w:spacing w:line="240" w:lineRule="auto"/>
              <w:jc w:val="center"/>
              <w:rPr>
                <w:rFonts w:cs="Arial"/>
                <w:sz w:val="18"/>
                <w:szCs w:val="18"/>
                <w:lang w:eastAsia="ja-JP"/>
              </w:rPr>
            </w:pPr>
            <w:r w:rsidRPr="00545EC0">
              <w:rPr>
                <w:rFonts w:cs="Arial"/>
                <w:sz w:val="18"/>
                <w:szCs w:val="18"/>
              </w:rPr>
              <w:t>0</w:t>
            </w:r>
          </w:p>
        </w:tc>
        <w:tc>
          <w:tcPr>
            <w:tcW w:w="209" w:type="pct"/>
            <w:tcBorders>
              <w:top w:val="nil"/>
              <w:left w:val="nil"/>
              <w:bottom w:val="single" w:sz="4" w:space="0" w:color="auto"/>
              <w:right w:val="single" w:sz="4" w:space="0" w:color="auto"/>
            </w:tcBorders>
            <w:shd w:val="clear" w:color="auto" w:fill="auto"/>
            <w:noWrap/>
            <w:vAlign w:val="center"/>
            <w:hideMark/>
          </w:tcPr>
          <w:p w14:paraId="6F9E2180" w14:textId="77777777" w:rsidR="00342A40" w:rsidRPr="00545EC0" w:rsidRDefault="00342A40" w:rsidP="0031694B">
            <w:pPr>
              <w:spacing w:line="240" w:lineRule="auto"/>
              <w:jc w:val="center"/>
              <w:rPr>
                <w:rFonts w:cs="Arial"/>
                <w:sz w:val="18"/>
                <w:szCs w:val="18"/>
                <w:lang w:eastAsia="ja-JP"/>
              </w:rPr>
            </w:pPr>
            <w:r w:rsidRPr="00545EC0">
              <w:rPr>
                <w:rFonts w:cs="Arial"/>
                <w:sz w:val="18"/>
                <w:szCs w:val="18"/>
              </w:rPr>
              <w:t>0</w:t>
            </w:r>
          </w:p>
        </w:tc>
        <w:tc>
          <w:tcPr>
            <w:tcW w:w="520" w:type="pct"/>
            <w:tcBorders>
              <w:top w:val="nil"/>
              <w:left w:val="nil"/>
              <w:bottom w:val="single" w:sz="4" w:space="0" w:color="auto"/>
              <w:right w:val="single" w:sz="4" w:space="0" w:color="auto"/>
            </w:tcBorders>
            <w:shd w:val="clear" w:color="auto" w:fill="auto"/>
            <w:noWrap/>
            <w:vAlign w:val="center"/>
            <w:hideMark/>
          </w:tcPr>
          <w:p w14:paraId="20783093" w14:textId="77777777" w:rsidR="00342A40" w:rsidRPr="00545EC0" w:rsidRDefault="00342A40" w:rsidP="0031694B">
            <w:pPr>
              <w:spacing w:line="240" w:lineRule="auto"/>
              <w:jc w:val="center"/>
              <w:rPr>
                <w:rFonts w:cs="Arial"/>
                <w:sz w:val="18"/>
                <w:szCs w:val="18"/>
                <w:lang w:eastAsia="ja-JP"/>
              </w:rPr>
            </w:pPr>
            <w:r w:rsidRPr="00545EC0">
              <w:rPr>
                <w:rFonts w:cs="Arial"/>
                <w:sz w:val="18"/>
                <w:szCs w:val="18"/>
              </w:rPr>
              <w:t>0</w:t>
            </w:r>
          </w:p>
        </w:tc>
        <w:tc>
          <w:tcPr>
            <w:tcW w:w="274" w:type="pct"/>
            <w:tcBorders>
              <w:top w:val="nil"/>
              <w:left w:val="nil"/>
              <w:bottom w:val="single" w:sz="4" w:space="0" w:color="auto"/>
              <w:right w:val="single" w:sz="4" w:space="0" w:color="auto"/>
            </w:tcBorders>
            <w:shd w:val="clear" w:color="auto" w:fill="auto"/>
            <w:noWrap/>
            <w:vAlign w:val="center"/>
            <w:hideMark/>
          </w:tcPr>
          <w:p w14:paraId="3DEC41A8" w14:textId="77777777" w:rsidR="00342A40" w:rsidRPr="00545EC0" w:rsidRDefault="00342A40" w:rsidP="0031694B">
            <w:pPr>
              <w:spacing w:line="240" w:lineRule="auto"/>
              <w:jc w:val="center"/>
              <w:rPr>
                <w:rFonts w:cs="Arial"/>
                <w:sz w:val="18"/>
                <w:szCs w:val="18"/>
                <w:lang w:eastAsia="ja-JP"/>
              </w:rPr>
            </w:pPr>
            <w:r w:rsidRPr="00545EC0">
              <w:rPr>
                <w:rFonts w:cs="Arial"/>
                <w:sz w:val="18"/>
                <w:szCs w:val="18"/>
              </w:rPr>
              <w:t>0</w:t>
            </w:r>
          </w:p>
        </w:tc>
        <w:tc>
          <w:tcPr>
            <w:tcW w:w="520" w:type="pct"/>
            <w:tcBorders>
              <w:top w:val="nil"/>
              <w:left w:val="nil"/>
              <w:bottom w:val="single" w:sz="4" w:space="0" w:color="auto"/>
              <w:right w:val="single" w:sz="4" w:space="0" w:color="auto"/>
            </w:tcBorders>
            <w:shd w:val="clear" w:color="auto" w:fill="auto"/>
            <w:noWrap/>
            <w:vAlign w:val="center"/>
            <w:hideMark/>
          </w:tcPr>
          <w:p w14:paraId="2B9FA419" w14:textId="77777777" w:rsidR="00342A40" w:rsidRPr="00545EC0" w:rsidRDefault="00342A40" w:rsidP="0031694B">
            <w:pPr>
              <w:spacing w:line="240" w:lineRule="auto"/>
              <w:jc w:val="center"/>
              <w:rPr>
                <w:rFonts w:cs="Arial"/>
                <w:sz w:val="18"/>
                <w:szCs w:val="18"/>
                <w:lang w:eastAsia="ja-JP"/>
              </w:rPr>
            </w:pPr>
            <w:r w:rsidRPr="00545EC0">
              <w:rPr>
                <w:rFonts w:cs="Arial"/>
                <w:sz w:val="18"/>
                <w:szCs w:val="18"/>
              </w:rPr>
              <w:t>0</w:t>
            </w:r>
          </w:p>
        </w:tc>
        <w:tc>
          <w:tcPr>
            <w:tcW w:w="209" w:type="pct"/>
            <w:tcBorders>
              <w:top w:val="nil"/>
              <w:left w:val="nil"/>
              <w:bottom w:val="single" w:sz="4" w:space="0" w:color="auto"/>
              <w:right w:val="single" w:sz="4" w:space="0" w:color="auto"/>
            </w:tcBorders>
            <w:shd w:val="clear" w:color="auto" w:fill="auto"/>
            <w:noWrap/>
            <w:vAlign w:val="center"/>
            <w:hideMark/>
          </w:tcPr>
          <w:p w14:paraId="2667134C" w14:textId="77777777" w:rsidR="00342A40" w:rsidRPr="00545EC0" w:rsidRDefault="00342A40" w:rsidP="0031694B">
            <w:pPr>
              <w:spacing w:line="240" w:lineRule="auto"/>
              <w:jc w:val="center"/>
              <w:rPr>
                <w:rFonts w:cs="Arial"/>
                <w:sz w:val="18"/>
                <w:szCs w:val="18"/>
                <w:lang w:eastAsia="ja-JP"/>
              </w:rPr>
            </w:pPr>
            <w:r w:rsidRPr="00545EC0">
              <w:rPr>
                <w:rFonts w:cs="Arial"/>
                <w:sz w:val="18"/>
                <w:szCs w:val="18"/>
              </w:rPr>
              <w:t>0</w:t>
            </w:r>
          </w:p>
        </w:tc>
        <w:tc>
          <w:tcPr>
            <w:tcW w:w="472" w:type="pct"/>
            <w:tcBorders>
              <w:top w:val="nil"/>
              <w:left w:val="nil"/>
              <w:bottom w:val="single" w:sz="4" w:space="0" w:color="auto"/>
              <w:right w:val="single" w:sz="4" w:space="0" w:color="auto"/>
            </w:tcBorders>
            <w:shd w:val="clear" w:color="auto" w:fill="auto"/>
            <w:noWrap/>
            <w:vAlign w:val="center"/>
            <w:hideMark/>
          </w:tcPr>
          <w:p w14:paraId="5B5C17A2" w14:textId="77777777" w:rsidR="00342A40" w:rsidRPr="00545EC0" w:rsidRDefault="00342A40" w:rsidP="0031694B">
            <w:pPr>
              <w:spacing w:line="240" w:lineRule="auto"/>
              <w:jc w:val="center"/>
              <w:rPr>
                <w:rFonts w:cs="Arial"/>
                <w:sz w:val="18"/>
                <w:szCs w:val="18"/>
                <w:lang w:eastAsia="ja-JP"/>
              </w:rPr>
            </w:pPr>
            <w:r w:rsidRPr="00545EC0">
              <w:rPr>
                <w:rFonts w:cs="Arial"/>
                <w:sz w:val="18"/>
                <w:szCs w:val="18"/>
              </w:rPr>
              <w:t>2</w:t>
            </w:r>
          </w:p>
        </w:tc>
        <w:tc>
          <w:tcPr>
            <w:tcW w:w="292" w:type="pct"/>
            <w:tcBorders>
              <w:top w:val="nil"/>
              <w:left w:val="nil"/>
              <w:bottom w:val="single" w:sz="4" w:space="0" w:color="auto"/>
              <w:right w:val="single" w:sz="4" w:space="0" w:color="auto"/>
            </w:tcBorders>
            <w:shd w:val="clear" w:color="auto" w:fill="auto"/>
            <w:noWrap/>
            <w:vAlign w:val="center"/>
            <w:hideMark/>
          </w:tcPr>
          <w:p w14:paraId="77039790" w14:textId="77777777" w:rsidR="00342A40" w:rsidRPr="00545EC0" w:rsidRDefault="00342A40" w:rsidP="0031694B">
            <w:pPr>
              <w:spacing w:line="240" w:lineRule="auto"/>
              <w:jc w:val="center"/>
              <w:rPr>
                <w:rFonts w:cs="Arial"/>
                <w:sz w:val="18"/>
                <w:szCs w:val="18"/>
                <w:lang w:eastAsia="ja-JP"/>
              </w:rPr>
            </w:pPr>
            <w:r w:rsidRPr="00545EC0">
              <w:rPr>
                <w:rFonts w:cs="Arial"/>
                <w:sz w:val="18"/>
                <w:szCs w:val="18"/>
              </w:rPr>
              <w:t>14</w:t>
            </w:r>
          </w:p>
        </w:tc>
      </w:tr>
      <w:tr w:rsidR="00EC3460" w:rsidRPr="00545EC0" w14:paraId="07DBF98B" w14:textId="77777777" w:rsidTr="00EC3460">
        <w:trPr>
          <w:trHeight w:val="517"/>
        </w:trPr>
        <w:tc>
          <w:tcPr>
            <w:tcW w:w="829" w:type="pct"/>
            <w:tcBorders>
              <w:top w:val="nil"/>
              <w:left w:val="single" w:sz="4" w:space="0" w:color="auto"/>
              <w:bottom w:val="single" w:sz="4" w:space="0" w:color="auto"/>
              <w:right w:val="single" w:sz="4" w:space="0" w:color="auto"/>
            </w:tcBorders>
            <w:shd w:val="clear" w:color="auto" w:fill="auto"/>
            <w:vAlign w:val="center"/>
            <w:hideMark/>
          </w:tcPr>
          <w:p w14:paraId="56433752" w14:textId="77777777" w:rsidR="00342A40" w:rsidRPr="00545EC0" w:rsidRDefault="00342A40" w:rsidP="0031694B">
            <w:pPr>
              <w:spacing w:line="240" w:lineRule="auto"/>
              <w:jc w:val="center"/>
              <w:rPr>
                <w:rFonts w:cs="Arial"/>
                <w:sz w:val="18"/>
                <w:szCs w:val="18"/>
                <w:lang w:eastAsia="ja-JP"/>
              </w:rPr>
            </w:pPr>
            <w:r w:rsidRPr="00545EC0">
              <w:rPr>
                <w:rFonts w:cs="Arial"/>
                <w:sz w:val="18"/>
                <w:szCs w:val="18"/>
              </w:rPr>
              <w:t>Porečje Drave</w:t>
            </w:r>
          </w:p>
        </w:tc>
        <w:tc>
          <w:tcPr>
            <w:tcW w:w="480" w:type="pct"/>
            <w:tcBorders>
              <w:top w:val="nil"/>
              <w:left w:val="nil"/>
              <w:bottom w:val="single" w:sz="4" w:space="0" w:color="auto"/>
              <w:right w:val="single" w:sz="4" w:space="0" w:color="auto"/>
            </w:tcBorders>
            <w:shd w:val="clear" w:color="auto" w:fill="auto"/>
            <w:noWrap/>
            <w:vAlign w:val="center"/>
            <w:hideMark/>
          </w:tcPr>
          <w:p w14:paraId="6BAE393A" w14:textId="77777777" w:rsidR="00342A40" w:rsidRPr="00545EC0" w:rsidRDefault="00342A40" w:rsidP="0031694B">
            <w:pPr>
              <w:spacing w:line="240" w:lineRule="auto"/>
              <w:jc w:val="center"/>
              <w:rPr>
                <w:rFonts w:cs="Arial"/>
                <w:sz w:val="18"/>
                <w:szCs w:val="18"/>
                <w:lang w:eastAsia="ja-JP"/>
              </w:rPr>
            </w:pPr>
            <w:r w:rsidRPr="00545EC0">
              <w:rPr>
                <w:rFonts w:cs="Arial"/>
                <w:sz w:val="18"/>
                <w:szCs w:val="18"/>
              </w:rPr>
              <w:t>24</w:t>
            </w:r>
          </w:p>
        </w:tc>
        <w:tc>
          <w:tcPr>
            <w:tcW w:w="491" w:type="pct"/>
            <w:tcBorders>
              <w:top w:val="nil"/>
              <w:left w:val="nil"/>
              <w:bottom w:val="single" w:sz="4" w:space="0" w:color="auto"/>
              <w:right w:val="single" w:sz="4" w:space="0" w:color="auto"/>
            </w:tcBorders>
            <w:shd w:val="clear" w:color="auto" w:fill="auto"/>
            <w:noWrap/>
            <w:vAlign w:val="center"/>
            <w:hideMark/>
          </w:tcPr>
          <w:p w14:paraId="15D64A41" w14:textId="77777777" w:rsidR="00342A40" w:rsidRPr="00545EC0" w:rsidRDefault="00342A40" w:rsidP="0031694B">
            <w:pPr>
              <w:spacing w:line="240" w:lineRule="auto"/>
              <w:jc w:val="center"/>
              <w:rPr>
                <w:rFonts w:cs="Arial"/>
                <w:sz w:val="18"/>
                <w:szCs w:val="18"/>
                <w:lang w:eastAsia="ja-JP"/>
              </w:rPr>
            </w:pPr>
            <w:r w:rsidRPr="00545EC0">
              <w:rPr>
                <w:rFonts w:cs="Arial"/>
                <w:sz w:val="18"/>
                <w:szCs w:val="18"/>
              </w:rPr>
              <w:t>17</w:t>
            </w:r>
          </w:p>
        </w:tc>
        <w:tc>
          <w:tcPr>
            <w:tcW w:w="230" w:type="pct"/>
            <w:tcBorders>
              <w:top w:val="nil"/>
              <w:left w:val="nil"/>
              <w:bottom w:val="single" w:sz="4" w:space="0" w:color="auto"/>
              <w:right w:val="single" w:sz="4" w:space="0" w:color="auto"/>
            </w:tcBorders>
            <w:shd w:val="clear" w:color="auto" w:fill="auto"/>
            <w:noWrap/>
            <w:vAlign w:val="center"/>
            <w:hideMark/>
          </w:tcPr>
          <w:p w14:paraId="58EB4D8B" w14:textId="77777777" w:rsidR="00342A40" w:rsidRPr="00545EC0" w:rsidRDefault="00342A40" w:rsidP="0031694B">
            <w:pPr>
              <w:spacing w:line="240" w:lineRule="auto"/>
              <w:jc w:val="center"/>
              <w:rPr>
                <w:rFonts w:cs="Arial"/>
                <w:sz w:val="18"/>
                <w:szCs w:val="18"/>
                <w:lang w:eastAsia="ja-JP"/>
              </w:rPr>
            </w:pPr>
            <w:r w:rsidRPr="00545EC0">
              <w:rPr>
                <w:rFonts w:cs="Arial"/>
                <w:sz w:val="18"/>
                <w:szCs w:val="18"/>
              </w:rPr>
              <w:t>58</w:t>
            </w:r>
          </w:p>
        </w:tc>
        <w:tc>
          <w:tcPr>
            <w:tcW w:w="472" w:type="pct"/>
            <w:tcBorders>
              <w:top w:val="nil"/>
              <w:left w:val="nil"/>
              <w:bottom w:val="single" w:sz="4" w:space="0" w:color="auto"/>
              <w:right w:val="single" w:sz="4" w:space="0" w:color="auto"/>
            </w:tcBorders>
            <w:shd w:val="clear" w:color="auto" w:fill="auto"/>
            <w:noWrap/>
            <w:vAlign w:val="center"/>
            <w:hideMark/>
          </w:tcPr>
          <w:p w14:paraId="560AB499" w14:textId="77777777" w:rsidR="00342A40" w:rsidRPr="00545EC0" w:rsidRDefault="00342A40" w:rsidP="0031694B">
            <w:pPr>
              <w:spacing w:line="240" w:lineRule="auto"/>
              <w:jc w:val="center"/>
              <w:rPr>
                <w:rFonts w:cs="Arial"/>
                <w:sz w:val="18"/>
                <w:szCs w:val="18"/>
                <w:lang w:eastAsia="ja-JP"/>
              </w:rPr>
            </w:pPr>
            <w:r w:rsidRPr="00545EC0">
              <w:rPr>
                <w:rFonts w:cs="Arial"/>
                <w:sz w:val="18"/>
                <w:szCs w:val="18"/>
              </w:rPr>
              <w:t>0</w:t>
            </w:r>
          </w:p>
        </w:tc>
        <w:tc>
          <w:tcPr>
            <w:tcW w:w="209" w:type="pct"/>
            <w:tcBorders>
              <w:top w:val="nil"/>
              <w:left w:val="nil"/>
              <w:bottom w:val="single" w:sz="4" w:space="0" w:color="auto"/>
              <w:right w:val="single" w:sz="4" w:space="0" w:color="auto"/>
            </w:tcBorders>
            <w:shd w:val="clear" w:color="auto" w:fill="auto"/>
            <w:noWrap/>
            <w:vAlign w:val="center"/>
            <w:hideMark/>
          </w:tcPr>
          <w:p w14:paraId="73BF2905" w14:textId="77777777" w:rsidR="00342A40" w:rsidRPr="00545EC0" w:rsidRDefault="00342A40" w:rsidP="0031694B">
            <w:pPr>
              <w:spacing w:line="240" w:lineRule="auto"/>
              <w:jc w:val="center"/>
              <w:rPr>
                <w:rFonts w:cs="Arial"/>
                <w:sz w:val="18"/>
                <w:szCs w:val="18"/>
                <w:lang w:eastAsia="ja-JP"/>
              </w:rPr>
            </w:pPr>
            <w:r w:rsidRPr="00545EC0">
              <w:rPr>
                <w:rFonts w:cs="Arial"/>
                <w:sz w:val="18"/>
                <w:szCs w:val="18"/>
              </w:rPr>
              <w:t>0</w:t>
            </w:r>
          </w:p>
        </w:tc>
        <w:tc>
          <w:tcPr>
            <w:tcW w:w="520" w:type="pct"/>
            <w:tcBorders>
              <w:top w:val="nil"/>
              <w:left w:val="nil"/>
              <w:bottom w:val="single" w:sz="4" w:space="0" w:color="auto"/>
              <w:right w:val="single" w:sz="4" w:space="0" w:color="auto"/>
            </w:tcBorders>
            <w:shd w:val="clear" w:color="auto" w:fill="auto"/>
            <w:noWrap/>
            <w:vAlign w:val="center"/>
            <w:hideMark/>
          </w:tcPr>
          <w:p w14:paraId="0795A40C" w14:textId="77777777" w:rsidR="00342A40" w:rsidRPr="00545EC0" w:rsidRDefault="00342A40" w:rsidP="0031694B">
            <w:pPr>
              <w:spacing w:line="240" w:lineRule="auto"/>
              <w:jc w:val="center"/>
              <w:rPr>
                <w:rFonts w:cs="Arial"/>
                <w:sz w:val="18"/>
                <w:szCs w:val="18"/>
                <w:lang w:eastAsia="ja-JP"/>
              </w:rPr>
            </w:pPr>
            <w:r w:rsidRPr="00545EC0">
              <w:rPr>
                <w:rFonts w:cs="Arial"/>
                <w:sz w:val="18"/>
                <w:szCs w:val="18"/>
              </w:rPr>
              <w:t>0</w:t>
            </w:r>
          </w:p>
        </w:tc>
        <w:tc>
          <w:tcPr>
            <w:tcW w:w="274" w:type="pct"/>
            <w:tcBorders>
              <w:top w:val="nil"/>
              <w:left w:val="nil"/>
              <w:bottom w:val="single" w:sz="4" w:space="0" w:color="auto"/>
              <w:right w:val="single" w:sz="4" w:space="0" w:color="auto"/>
            </w:tcBorders>
            <w:shd w:val="clear" w:color="auto" w:fill="auto"/>
            <w:noWrap/>
            <w:vAlign w:val="center"/>
            <w:hideMark/>
          </w:tcPr>
          <w:p w14:paraId="12C32453" w14:textId="77777777" w:rsidR="00342A40" w:rsidRPr="00545EC0" w:rsidRDefault="00342A40" w:rsidP="0031694B">
            <w:pPr>
              <w:spacing w:line="240" w:lineRule="auto"/>
              <w:jc w:val="center"/>
              <w:rPr>
                <w:rFonts w:cs="Arial"/>
                <w:sz w:val="18"/>
                <w:szCs w:val="18"/>
                <w:lang w:eastAsia="ja-JP"/>
              </w:rPr>
            </w:pPr>
            <w:r w:rsidRPr="00545EC0">
              <w:rPr>
                <w:rFonts w:cs="Arial"/>
                <w:sz w:val="18"/>
                <w:szCs w:val="18"/>
              </w:rPr>
              <w:t>0</w:t>
            </w:r>
          </w:p>
        </w:tc>
        <w:tc>
          <w:tcPr>
            <w:tcW w:w="520" w:type="pct"/>
            <w:tcBorders>
              <w:top w:val="nil"/>
              <w:left w:val="nil"/>
              <w:bottom w:val="single" w:sz="4" w:space="0" w:color="auto"/>
              <w:right w:val="single" w:sz="4" w:space="0" w:color="auto"/>
            </w:tcBorders>
            <w:shd w:val="clear" w:color="auto" w:fill="auto"/>
            <w:noWrap/>
            <w:vAlign w:val="center"/>
            <w:hideMark/>
          </w:tcPr>
          <w:p w14:paraId="63552DF6" w14:textId="77777777" w:rsidR="00342A40" w:rsidRPr="00545EC0" w:rsidRDefault="00342A40" w:rsidP="0031694B">
            <w:pPr>
              <w:spacing w:line="240" w:lineRule="auto"/>
              <w:jc w:val="center"/>
              <w:rPr>
                <w:rFonts w:cs="Arial"/>
                <w:sz w:val="18"/>
                <w:szCs w:val="18"/>
                <w:lang w:eastAsia="ja-JP"/>
              </w:rPr>
            </w:pPr>
            <w:r w:rsidRPr="00545EC0">
              <w:rPr>
                <w:rFonts w:cs="Arial"/>
                <w:sz w:val="18"/>
                <w:szCs w:val="18"/>
              </w:rPr>
              <w:t>2</w:t>
            </w:r>
          </w:p>
        </w:tc>
        <w:tc>
          <w:tcPr>
            <w:tcW w:w="209" w:type="pct"/>
            <w:tcBorders>
              <w:top w:val="nil"/>
              <w:left w:val="nil"/>
              <w:bottom w:val="single" w:sz="4" w:space="0" w:color="auto"/>
              <w:right w:val="single" w:sz="4" w:space="0" w:color="auto"/>
            </w:tcBorders>
            <w:shd w:val="clear" w:color="auto" w:fill="auto"/>
            <w:noWrap/>
            <w:vAlign w:val="center"/>
            <w:hideMark/>
          </w:tcPr>
          <w:p w14:paraId="55D11DD8" w14:textId="77777777" w:rsidR="00342A40" w:rsidRPr="00545EC0" w:rsidRDefault="00342A40" w:rsidP="0031694B">
            <w:pPr>
              <w:spacing w:line="240" w:lineRule="auto"/>
              <w:jc w:val="center"/>
              <w:rPr>
                <w:rFonts w:cs="Arial"/>
                <w:sz w:val="18"/>
                <w:szCs w:val="18"/>
                <w:lang w:eastAsia="ja-JP"/>
              </w:rPr>
            </w:pPr>
            <w:r w:rsidRPr="00545EC0">
              <w:rPr>
                <w:rFonts w:cs="Arial"/>
                <w:sz w:val="18"/>
                <w:szCs w:val="18"/>
              </w:rPr>
              <w:t>8</w:t>
            </w:r>
          </w:p>
        </w:tc>
        <w:tc>
          <w:tcPr>
            <w:tcW w:w="472" w:type="pct"/>
            <w:tcBorders>
              <w:top w:val="nil"/>
              <w:left w:val="nil"/>
              <w:bottom w:val="single" w:sz="4" w:space="0" w:color="auto"/>
              <w:right w:val="single" w:sz="4" w:space="0" w:color="auto"/>
            </w:tcBorders>
            <w:shd w:val="clear" w:color="auto" w:fill="auto"/>
            <w:noWrap/>
            <w:vAlign w:val="center"/>
            <w:hideMark/>
          </w:tcPr>
          <w:p w14:paraId="5272BB63" w14:textId="77777777" w:rsidR="00342A40" w:rsidRPr="00545EC0" w:rsidRDefault="00342A40" w:rsidP="0031694B">
            <w:pPr>
              <w:spacing w:line="240" w:lineRule="auto"/>
              <w:jc w:val="center"/>
              <w:rPr>
                <w:rFonts w:cs="Arial"/>
                <w:sz w:val="18"/>
                <w:szCs w:val="18"/>
                <w:lang w:eastAsia="ja-JP"/>
              </w:rPr>
            </w:pPr>
            <w:r w:rsidRPr="00545EC0">
              <w:rPr>
                <w:rFonts w:cs="Arial"/>
                <w:sz w:val="18"/>
                <w:szCs w:val="18"/>
              </w:rPr>
              <w:t>5</w:t>
            </w:r>
          </w:p>
        </w:tc>
        <w:tc>
          <w:tcPr>
            <w:tcW w:w="292" w:type="pct"/>
            <w:tcBorders>
              <w:top w:val="nil"/>
              <w:left w:val="nil"/>
              <w:bottom w:val="single" w:sz="4" w:space="0" w:color="auto"/>
              <w:right w:val="single" w:sz="4" w:space="0" w:color="auto"/>
            </w:tcBorders>
            <w:shd w:val="clear" w:color="auto" w:fill="auto"/>
            <w:noWrap/>
            <w:vAlign w:val="center"/>
            <w:hideMark/>
          </w:tcPr>
          <w:p w14:paraId="168BAF97" w14:textId="77777777" w:rsidR="00342A40" w:rsidRPr="00545EC0" w:rsidRDefault="00342A40" w:rsidP="0031694B">
            <w:pPr>
              <w:spacing w:line="240" w:lineRule="auto"/>
              <w:jc w:val="center"/>
              <w:rPr>
                <w:rFonts w:cs="Arial"/>
                <w:sz w:val="18"/>
                <w:szCs w:val="18"/>
                <w:lang w:eastAsia="ja-JP"/>
              </w:rPr>
            </w:pPr>
            <w:r w:rsidRPr="00545EC0">
              <w:rPr>
                <w:rFonts w:cs="Arial"/>
                <w:sz w:val="18"/>
                <w:szCs w:val="18"/>
              </w:rPr>
              <w:t>33</w:t>
            </w:r>
          </w:p>
        </w:tc>
      </w:tr>
      <w:tr w:rsidR="00EC3460" w:rsidRPr="00545EC0" w14:paraId="4D47FED5" w14:textId="77777777" w:rsidTr="00EC3460">
        <w:trPr>
          <w:trHeight w:val="391"/>
        </w:trPr>
        <w:tc>
          <w:tcPr>
            <w:tcW w:w="829" w:type="pct"/>
            <w:tcBorders>
              <w:top w:val="nil"/>
              <w:left w:val="single" w:sz="4" w:space="0" w:color="auto"/>
              <w:bottom w:val="single" w:sz="4" w:space="0" w:color="auto"/>
              <w:right w:val="single" w:sz="4" w:space="0" w:color="auto"/>
            </w:tcBorders>
            <w:shd w:val="clear" w:color="auto" w:fill="auto"/>
            <w:vAlign w:val="center"/>
            <w:hideMark/>
          </w:tcPr>
          <w:p w14:paraId="1D00FA21" w14:textId="77777777" w:rsidR="00342A40" w:rsidRPr="00545EC0" w:rsidRDefault="00342A40" w:rsidP="0031694B">
            <w:pPr>
              <w:spacing w:line="240" w:lineRule="auto"/>
              <w:jc w:val="center"/>
              <w:rPr>
                <w:rFonts w:cs="Arial"/>
                <w:sz w:val="18"/>
                <w:szCs w:val="18"/>
                <w:lang w:eastAsia="ja-JP"/>
              </w:rPr>
            </w:pPr>
            <w:r w:rsidRPr="00545EC0">
              <w:rPr>
                <w:rFonts w:cs="Arial"/>
                <w:sz w:val="18"/>
                <w:szCs w:val="18"/>
              </w:rPr>
              <w:t>Porečje Save</w:t>
            </w:r>
          </w:p>
        </w:tc>
        <w:tc>
          <w:tcPr>
            <w:tcW w:w="480" w:type="pct"/>
            <w:tcBorders>
              <w:top w:val="nil"/>
              <w:left w:val="nil"/>
              <w:bottom w:val="single" w:sz="4" w:space="0" w:color="auto"/>
              <w:right w:val="single" w:sz="4" w:space="0" w:color="auto"/>
            </w:tcBorders>
            <w:shd w:val="clear" w:color="auto" w:fill="auto"/>
            <w:noWrap/>
            <w:vAlign w:val="center"/>
            <w:hideMark/>
          </w:tcPr>
          <w:p w14:paraId="4988730B" w14:textId="77777777" w:rsidR="00342A40" w:rsidRPr="00545EC0" w:rsidRDefault="00342A40" w:rsidP="0031694B">
            <w:pPr>
              <w:spacing w:line="240" w:lineRule="auto"/>
              <w:jc w:val="center"/>
              <w:rPr>
                <w:rFonts w:cs="Arial"/>
                <w:sz w:val="18"/>
                <w:szCs w:val="18"/>
                <w:lang w:eastAsia="ja-JP"/>
              </w:rPr>
            </w:pPr>
            <w:r w:rsidRPr="00545EC0">
              <w:rPr>
                <w:rFonts w:cs="Arial"/>
                <w:sz w:val="18"/>
                <w:szCs w:val="18"/>
              </w:rPr>
              <w:t>83</w:t>
            </w:r>
          </w:p>
        </w:tc>
        <w:tc>
          <w:tcPr>
            <w:tcW w:w="491" w:type="pct"/>
            <w:tcBorders>
              <w:top w:val="nil"/>
              <w:left w:val="nil"/>
              <w:bottom w:val="single" w:sz="4" w:space="0" w:color="auto"/>
              <w:right w:val="single" w:sz="4" w:space="0" w:color="auto"/>
            </w:tcBorders>
            <w:shd w:val="clear" w:color="auto" w:fill="auto"/>
            <w:noWrap/>
            <w:vAlign w:val="center"/>
            <w:hideMark/>
          </w:tcPr>
          <w:p w14:paraId="12B24989" w14:textId="77777777" w:rsidR="00342A40" w:rsidRPr="00545EC0" w:rsidRDefault="00342A40" w:rsidP="0031694B">
            <w:pPr>
              <w:spacing w:line="240" w:lineRule="auto"/>
              <w:jc w:val="center"/>
              <w:rPr>
                <w:rFonts w:cs="Arial"/>
                <w:sz w:val="18"/>
                <w:szCs w:val="18"/>
                <w:lang w:eastAsia="ja-JP"/>
              </w:rPr>
            </w:pPr>
            <w:r w:rsidRPr="00545EC0">
              <w:rPr>
                <w:rFonts w:cs="Arial"/>
                <w:sz w:val="18"/>
                <w:szCs w:val="18"/>
              </w:rPr>
              <w:t>72</w:t>
            </w:r>
          </w:p>
        </w:tc>
        <w:tc>
          <w:tcPr>
            <w:tcW w:w="230" w:type="pct"/>
            <w:tcBorders>
              <w:top w:val="nil"/>
              <w:left w:val="nil"/>
              <w:bottom w:val="single" w:sz="4" w:space="0" w:color="auto"/>
              <w:right w:val="single" w:sz="4" w:space="0" w:color="auto"/>
            </w:tcBorders>
            <w:shd w:val="clear" w:color="auto" w:fill="auto"/>
            <w:noWrap/>
            <w:vAlign w:val="center"/>
            <w:hideMark/>
          </w:tcPr>
          <w:p w14:paraId="5CBBCCC2" w14:textId="77777777" w:rsidR="00342A40" w:rsidRPr="00545EC0" w:rsidRDefault="00342A40" w:rsidP="0031694B">
            <w:pPr>
              <w:spacing w:line="240" w:lineRule="auto"/>
              <w:jc w:val="center"/>
              <w:rPr>
                <w:rFonts w:cs="Arial"/>
                <w:sz w:val="18"/>
                <w:szCs w:val="18"/>
                <w:lang w:eastAsia="ja-JP"/>
              </w:rPr>
            </w:pPr>
            <w:r w:rsidRPr="00545EC0">
              <w:rPr>
                <w:rFonts w:cs="Arial"/>
                <w:sz w:val="18"/>
                <w:szCs w:val="18"/>
              </w:rPr>
              <w:t>87</w:t>
            </w:r>
          </w:p>
        </w:tc>
        <w:tc>
          <w:tcPr>
            <w:tcW w:w="472" w:type="pct"/>
            <w:tcBorders>
              <w:top w:val="nil"/>
              <w:left w:val="nil"/>
              <w:bottom w:val="single" w:sz="4" w:space="0" w:color="auto"/>
              <w:right w:val="single" w:sz="4" w:space="0" w:color="auto"/>
            </w:tcBorders>
            <w:shd w:val="clear" w:color="auto" w:fill="auto"/>
            <w:noWrap/>
            <w:vAlign w:val="center"/>
            <w:hideMark/>
          </w:tcPr>
          <w:p w14:paraId="2BAB0CF6" w14:textId="77777777" w:rsidR="00342A40" w:rsidRPr="00545EC0" w:rsidRDefault="00342A40" w:rsidP="0031694B">
            <w:pPr>
              <w:spacing w:line="240" w:lineRule="auto"/>
              <w:jc w:val="center"/>
              <w:rPr>
                <w:rFonts w:cs="Arial"/>
                <w:sz w:val="18"/>
                <w:szCs w:val="18"/>
                <w:lang w:eastAsia="ja-JP"/>
              </w:rPr>
            </w:pPr>
            <w:r w:rsidRPr="00545EC0">
              <w:rPr>
                <w:rFonts w:cs="Arial"/>
                <w:sz w:val="18"/>
                <w:szCs w:val="18"/>
              </w:rPr>
              <w:t>3</w:t>
            </w:r>
          </w:p>
        </w:tc>
        <w:tc>
          <w:tcPr>
            <w:tcW w:w="209" w:type="pct"/>
            <w:tcBorders>
              <w:top w:val="nil"/>
              <w:left w:val="nil"/>
              <w:bottom w:val="single" w:sz="4" w:space="0" w:color="auto"/>
              <w:right w:val="single" w:sz="4" w:space="0" w:color="auto"/>
            </w:tcBorders>
            <w:shd w:val="clear" w:color="auto" w:fill="auto"/>
            <w:noWrap/>
            <w:vAlign w:val="center"/>
            <w:hideMark/>
          </w:tcPr>
          <w:p w14:paraId="5C1D1514" w14:textId="77777777" w:rsidR="00342A40" w:rsidRPr="00545EC0" w:rsidRDefault="00342A40" w:rsidP="0031694B">
            <w:pPr>
              <w:spacing w:line="240" w:lineRule="auto"/>
              <w:jc w:val="center"/>
              <w:rPr>
                <w:rFonts w:cs="Arial"/>
                <w:sz w:val="18"/>
                <w:szCs w:val="18"/>
                <w:lang w:eastAsia="ja-JP"/>
              </w:rPr>
            </w:pPr>
            <w:r w:rsidRPr="00545EC0">
              <w:rPr>
                <w:rFonts w:cs="Arial"/>
                <w:sz w:val="18"/>
                <w:szCs w:val="18"/>
              </w:rPr>
              <w:t>4</w:t>
            </w:r>
          </w:p>
        </w:tc>
        <w:tc>
          <w:tcPr>
            <w:tcW w:w="520" w:type="pct"/>
            <w:tcBorders>
              <w:top w:val="nil"/>
              <w:left w:val="nil"/>
              <w:bottom w:val="single" w:sz="4" w:space="0" w:color="auto"/>
              <w:right w:val="single" w:sz="4" w:space="0" w:color="auto"/>
            </w:tcBorders>
            <w:shd w:val="clear" w:color="auto" w:fill="auto"/>
            <w:noWrap/>
            <w:vAlign w:val="center"/>
            <w:hideMark/>
          </w:tcPr>
          <w:p w14:paraId="62BE86B1" w14:textId="77777777" w:rsidR="00342A40" w:rsidRPr="00545EC0" w:rsidRDefault="00342A40" w:rsidP="0031694B">
            <w:pPr>
              <w:spacing w:line="240" w:lineRule="auto"/>
              <w:jc w:val="center"/>
              <w:rPr>
                <w:rFonts w:cs="Arial"/>
                <w:sz w:val="18"/>
                <w:szCs w:val="18"/>
                <w:lang w:eastAsia="ja-JP"/>
              </w:rPr>
            </w:pPr>
            <w:r w:rsidRPr="00545EC0">
              <w:rPr>
                <w:rFonts w:cs="Arial"/>
                <w:sz w:val="18"/>
                <w:szCs w:val="18"/>
              </w:rPr>
              <w:t>0</w:t>
            </w:r>
          </w:p>
        </w:tc>
        <w:tc>
          <w:tcPr>
            <w:tcW w:w="274" w:type="pct"/>
            <w:tcBorders>
              <w:top w:val="nil"/>
              <w:left w:val="nil"/>
              <w:bottom w:val="single" w:sz="4" w:space="0" w:color="auto"/>
              <w:right w:val="single" w:sz="4" w:space="0" w:color="auto"/>
            </w:tcBorders>
            <w:shd w:val="clear" w:color="auto" w:fill="auto"/>
            <w:noWrap/>
            <w:vAlign w:val="center"/>
            <w:hideMark/>
          </w:tcPr>
          <w:p w14:paraId="424219C1" w14:textId="77777777" w:rsidR="00342A40" w:rsidRPr="00545EC0" w:rsidRDefault="00342A40" w:rsidP="0031694B">
            <w:pPr>
              <w:spacing w:line="240" w:lineRule="auto"/>
              <w:jc w:val="center"/>
              <w:rPr>
                <w:rFonts w:cs="Arial"/>
                <w:sz w:val="18"/>
                <w:szCs w:val="18"/>
                <w:lang w:eastAsia="ja-JP"/>
              </w:rPr>
            </w:pPr>
            <w:r w:rsidRPr="00545EC0">
              <w:rPr>
                <w:rFonts w:cs="Arial"/>
                <w:sz w:val="18"/>
                <w:szCs w:val="18"/>
              </w:rPr>
              <w:t>0</w:t>
            </w:r>
          </w:p>
        </w:tc>
        <w:tc>
          <w:tcPr>
            <w:tcW w:w="520" w:type="pct"/>
            <w:tcBorders>
              <w:top w:val="nil"/>
              <w:left w:val="nil"/>
              <w:bottom w:val="single" w:sz="4" w:space="0" w:color="auto"/>
              <w:right w:val="single" w:sz="4" w:space="0" w:color="auto"/>
            </w:tcBorders>
            <w:shd w:val="clear" w:color="auto" w:fill="auto"/>
            <w:noWrap/>
            <w:vAlign w:val="center"/>
            <w:hideMark/>
          </w:tcPr>
          <w:p w14:paraId="7CE2D8B3" w14:textId="77777777" w:rsidR="00342A40" w:rsidRPr="00545EC0" w:rsidRDefault="00342A40" w:rsidP="0031694B">
            <w:pPr>
              <w:spacing w:line="240" w:lineRule="auto"/>
              <w:jc w:val="center"/>
              <w:rPr>
                <w:rFonts w:cs="Arial"/>
                <w:sz w:val="18"/>
                <w:szCs w:val="18"/>
                <w:lang w:eastAsia="ja-JP"/>
              </w:rPr>
            </w:pPr>
            <w:r w:rsidRPr="00545EC0">
              <w:rPr>
                <w:rFonts w:cs="Arial"/>
                <w:sz w:val="18"/>
                <w:szCs w:val="18"/>
              </w:rPr>
              <w:t>2</w:t>
            </w:r>
          </w:p>
        </w:tc>
        <w:tc>
          <w:tcPr>
            <w:tcW w:w="209" w:type="pct"/>
            <w:tcBorders>
              <w:top w:val="nil"/>
              <w:left w:val="nil"/>
              <w:bottom w:val="single" w:sz="4" w:space="0" w:color="auto"/>
              <w:right w:val="single" w:sz="4" w:space="0" w:color="auto"/>
            </w:tcBorders>
            <w:shd w:val="clear" w:color="auto" w:fill="auto"/>
            <w:noWrap/>
            <w:vAlign w:val="center"/>
            <w:hideMark/>
          </w:tcPr>
          <w:p w14:paraId="25A05832" w14:textId="77777777" w:rsidR="00342A40" w:rsidRPr="00545EC0" w:rsidRDefault="00342A40" w:rsidP="0031694B">
            <w:pPr>
              <w:spacing w:line="240" w:lineRule="auto"/>
              <w:jc w:val="center"/>
              <w:rPr>
                <w:rFonts w:cs="Arial"/>
                <w:sz w:val="18"/>
                <w:szCs w:val="18"/>
                <w:lang w:eastAsia="ja-JP"/>
              </w:rPr>
            </w:pPr>
            <w:r w:rsidRPr="00545EC0">
              <w:rPr>
                <w:rFonts w:cs="Arial"/>
                <w:sz w:val="18"/>
                <w:szCs w:val="18"/>
              </w:rPr>
              <w:t>2</w:t>
            </w:r>
          </w:p>
        </w:tc>
        <w:tc>
          <w:tcPr>
            <w:tcW w:w="472" w:type="pct"/>
            <w:tcBorders>
              <w:top w:val="nil"/>
              <w:left w:val="nil"/>
              <w:bottom w:val="single" w:sz="4" w:space="0" w:color="auto"/>
              <w:right w:val="single" w:sz="4" w:space="0" w:color="auto"/>
            </w:tcBorders>
            <w:shd w:val="clear" w:color="auto" w:fill="auto"/>
            <w:noWrap/>
            <w:vAlign w:val="center"/>
            <w:hideMark/>
          </w:tcPr>
          <w:p w14:paraId="136431BC" w14:textId="77777777" w:rsidR="00342A40" w:rsidRPr="00545EC0" w:rsidRDefault="00342A40" w:rsidP="0031694B">
            <w:pPr>
              <w:spacing w:line="240" w:lineRule="auto"/>
              <w:jc w:val="center"/>
              <w:rPr>
                <w:rFonts w:cs="Arial"/>
                <w:sz w:val="18"/>
                <w:szCs w:val="18"/>
                <w:lang w:eastAsia="ja-JP"/>
              </w:rPr>
            </w:pPr>
            <w:r w:rsidRPr="00545EC0">
              <w:rPr>
                <w:rFonts w:cs="Arial"/>
                <w:sz w:val="18"/>
                <w:szCs w:val="18"/>
              </w:rPr>
              <w:t>6</w:t>
            </w:r>
          </w:p>
        </w:tc>
        <w:tc>
          <w:tcPr>
            <w:tcW w:w="292" w:type="pct"/>
            <w:tcBorders>
              <w:top w:val="nil"/>
              <w:left w:val="nil"/>
              <w:bottom w:val="single" w:sz="4" w:space="0" w:color="auto"/>
              <w:right w:val="single" w:sz="4" w:space="0" w:color="auto"/>
            </w:tcBorders>
            <w:shd w:val="clear" w:color="auto" w:fill="auto"/>
            <w:noWrap/>
            <w:vAlign w:val="center"/>
            <w:hideMark/>
          </w:tcPr>
          <w:p w14:paraId="05D4BC49" w14:textId="77777777" w:rsidR="00342A40" w:rsidRPr="00545EC0" w:rsidRDefault="00342A40" w:rsidP="0031694B">
            <w:pPr>
              <w:spacing w:line="240" w:lineRule="auto"/>
              <w:jc w:val="center"/>
              <w:rPr>
                <w:rFonts w:cs="Arial"/>
                <w:sz w:val="18"/>
                <w:szCs w:val="18"/>
                <w:lang w:eastAsia="ja-JP"/>
              </w:rPr>
            </w:pPr>
            <w:r w:rsidRPr="00545EC0">
              <w:rPr>
                <w:rFonts w:cs="Arial"/>
                <w:sz w:val="18"/>
                <w:szCs w:val="18"/>
              </w:rPr>
              <w:t>7</w:t>
            </w:r>
          </w:p>
        </w:tc>
      </w:tr>
      <w:tr w:rsidR="00EC3460" w:rsidRPr="00545EC0" w14:paraId="0A94F88D" w14:textId="77777777" w:rsidTr="00EC3460">
        <w:trPr>
          <w:trHeight w:val="391"/>
        </w:trPr>
        <w:tc>
          <w:tcPr>
            <w:tcW w:w="829" w:type="pct"/>
            <w:tcBorders>
              <w:top w:val="nil"/>
              <w:left w:val="single" w:sz="4" w:space="0" w:color="auto"/>
              <w:bottom w:val="single" w:sz="4" w:space="0" w:color="auto"/>
              <w:right w:val="single" w:sz="4" w:space="0" w:color="auto"/>
            </w:tcBorders>
            <w:shd w:val="clear" w:color="auto" w:fill="auto"/>
            <w:vAlign w:val="center"/>
            <w:hideMark/>
          </w:tcPr>
          <w:p w14:paraId="09F4DB7C" w14:textId="77777777" w:rsidR="00EC3460" w:rsidRPr="00545EC0" w:rsidRDefault="00EC3460" w:rsidP="0031694B">
            <w:pPr>
              <w:spacing w:line="240" w:lineRule="auto"/>
              <w:jc w:val="center"/>
              <w:rPr>
                <w:rFonts w:cs="Arial"/>
                <w:bCs/>
                <w:sz w:val="18"/>
                <w:szCs w:val="18"/>
              </w:rPr>
            </w:pPr>
            <w:r w:rsidRPr="00545EC0">
              <w:rPr>
                <w:rFonts w:cs="Arial"/>
                <w:bCs/>
                <w:sz w:val="18"/>
                <w:szCs w:val="18"/>
              </w:rPr>
              <w:t>SKUPAJ</w:t>
            </w:r>
          </w:p>
          <w:p w14:paraId="5E0801B3" w14:textId="1194E8C2" w:rsidR="00342A40" w:rsidRPr="00545EC0" w:rsidRDefault="00342A40" w:rsidP="0031694B">
            <w:pPr>
              <w:spacing w:line="240" w:lineRule="auto"/>
              <w:jc w:val="center"/>
              <w:rPr>
                <w:rFonts w:cs="Arial"/>
                <w:bCs/>
                <w:sz w:val="18"/>
                <w:szCs w:val="18"/>
                <w:lang w:eastAsia="ja-JP"/>
              </w:rPr>
            </w:pPr>
            <w:r w:rsidRPr="00545EC0">
              <w:rPr>
                <w:rFonts w:cs="Arial"/>
                <w:bCs/>
                <w:sz w:val="18"/>
                <w:szCs w:val="18"/>
              </w:rPr>
              <w:t>VO Donave</w:t>
            </w:r>
          </w:p>
        </w:tc>
        <w:tc>
          <w:tcPr>
            <w:tcW w:w="480" w:type="pct"/>
            <w:tcBorders>
              <w:top w:val="nil"/>
              <w:left w:val="nil"/>
              <w:bottom w:val="single" w:sz="4" w:space="0" w:color="auto"/>
              <w:right w:val="single" w:sz="4" w:space="0" w:color="auto"/>
            </w:tcBorders>
            <w:shd w:val="clear" w:color="auto" w:fill="auto"/>
            <w:noWrap/>
            <w:vAlign w:val="center"/>
            <w:hideMark/>
          </w:tcPr>
          <w:p w14:paraId="74362570" w14:textId="77777777" w:rsidR="00342A40" w:rsidRPr="00545EC0" w:rsidRDefault="00342A40" w:rsidP="0031694B">
            <w:pPr>
              <w:spacing w:line="240" w:lineRule="auto"/>
              <w:jc w:val="center"/>
              <w:rPr>
                <w:rFonts w:cs="Arial"/>
                <w:bCs/>
                <w:sz w:val="18"/>
                <w:szCs w:val="18"/>
                <w:lang w:eastAsia="ja-JP"/>
              </w:rPr>
            </w:pPr>
            <w:r w:rsidRPr="00545EC0">
              <w:rPr>
                <w:rFonts w:cs="Arial"/>
                <w:bCs/>
                <w:sz w:val="18"/>
                <w:szCs w:val="18"/>
              </w:rPr>
              <w:t>121</w:t>
            </w:r>
          </w:p>
        </w:tc>
        <w:tc>
          <w:tcPr>
            <w:tcW w:w="491" w:type="pct"/>
            <w:tcBorders>
              <w:top w:val="nil"/>
              <w:left w:val="nil"/>
              <w:bottom w:val="single" w:sz="4" w:space="0" w:color="auto"/>
              <w:right w:val="single" w:sz="4" w:space="0" w:color="auto"/>
            </w:tcBorders>
            <w:shd w:val="clear" w:color="auto" w:fill="auto"/>
            <w:noWrap/>
            <w:vAlign w:val="center"/>
            <w:hideMark/>
          </w:tcPr>
          <w:p w14:paraId="5C472BBA" w14:textId="77777777" w:rsidR="00342A40" w:rsidRPr="00545EC0" w:rsidRDefault="00342A40" w:rsidP="0031694B">
            <w:pPr>
              <w:spacing w:line="240" w:lineRule="auto"/>
              <w:jc w:val="center"/>
              <w:rPr>
                <w:rFonts w:cs="Arial"/>
                <w:bCs/>
                <w:sz w:val="18"/>
                <w:szCs w:val="18"/>
                <w:lang w:eastAsia="ja-JP"/>
              </w:rPr>
            </w:pPr>
            <w:r w:rsidRPr="00545EC0">
              <w:rPr>
                <w:rFonts w:cs="Arial"/>
                <w:bCs/>
                <w:sz w:val="18"/>
                <w:szCs w:val="18"/>
              </w:rPr>
              <w:t>101</w:t>
            </w:r>
          </w:p>
        </w:tc>
        <w:tc>
          <w:tcPr>
            <w:tcW w:w="230" w:type="pct"/>
            <w:tcBorders>
              <w:top w:val="nil"/>
              <w:left w:val="nil"/>
              <w:bottom w:val="single" w:sz="4" w:space="0" w:color="auto"/>
              <w:right w:val="single" w:sz="4" w:space="0" w:color="auto"/>
            </w:tcBorders>
            <w:shd w:val="clear" w:color="auto" w:fill="auto"/>
            <w:noWrap/>
            <w:vAlign w:val="center"/>
            <w:hideMark/>
          </w:tcPr>
          <w:p w14:paraId="31656A18" w14:textId="77777777" w:rsidR="00342A40" w:rsidRPr="00545EC0" w:rsidRDefault="00342A40" w:rsidP="0031694B">
            <w:pPr>
              <w:spacing w:line="240" w:lineRule="auto"/>
              <w:jc w:val="center"/>
              <w:rPr>
                <w:rFonts w:cs="Arial"/>
                <w:bCs/>
                <w:sz w:val="18"/>
                <w:szCs w:val="18"/>
                <w:lang w:eastAsia="ja-JP"/>
              </w:rPr>
            </w:pPr>
            <w:r w:rsidRPr="00545EC0">
              <w:rPr>
                <w:rFonts w:cs="Arial"/>
                <w:bCs/>
                <w:sz w:val="18"/>
                <w:szCs w:val="18"/>
              </w:rPr>
              <w:t>81</w:t>
            </w:r>
          </w:p>
        </w:tc>
        <w:tc>
          <w:tcPr>
            <w:tcW w:w="472" w:type="pct"/>
            <w:tcBorders>
              <w:top w:val="nil"/>
              <w:left w:val="nil"/>
              <w:bottom w:val="single" w:sz="4" w:space="0" w:color="auto"/>
              <w:right w:val="single" w:sz="4" w:space="0" w:color="auto"/>
            </w:tcBorders>
            <w:shd w:val="clear" w:color="auto" w:fill="auto"/>
            <w:noWrap/>
            <w:vAlign w:val="center"/>
            <w:hideMark/>
          </w:tcPr>
          <w:p w14:paraId="1AA3E74C" w14:textId="77777777" w:rsidR="00342A40" w:rsidRPr="00545EC0" w:rsidRDefault="00342A40" w:rsidP="0031694B">
            <w:pPr>
              <w:spacing w:line="240" w:lineRule="auto"/>
              <w:jc w:val="center"/>
              <w:rPr>
                <w:rFonts w:cs="Arial"/>
                <w:bCs/>
                <w:sz w:val="18"/>
                <w:szCs w:val="18"/>
                <w:lang w:eastAsia="ja-JP"/>
              </w:rPr>
            </w:pPr>
            <w:r w:rsidRPr="00545EC0">
              <w:rPr>
                <w:rFonts w:cs="Arial"/>
                <w:bCs/>
                <w:sz w:val="18"/>
                <w:szCs w:val="18"/>
              </w:rPr>
              <w:t>3</w:t>
            </w:r>
          </w:p>
        </w:tc>
        <w:tc>
          <w:tcPr>
            <w:tcW w:w="209" w:type="pct"/>
            <w:tcBorders>
              <w:top w:val="nil"/>
              <w:left w:val="nil"/>
              <w:bottom w:val="single" w:sz="4" w:space="0" w:color="auto"/>
              <w:right w:val="single" w:sz="4" w:space="0" w:color="auto"/>
            </w:tcBorders>
            <w:shd w:val="clear" w:color="auto" w:fill="auto"/>
            <w:noWrap/>
            <w:vAlign w:val="center"/>
            <w:hideMark/>
          </w:tcPr>
          <w:p w14:paraId="1CED1A84" w14:textId="77777777" w:rsidR="00342A40" w:rsidRPr="00545EC0" w:rsidRDefault="00342A40" w:rsidP="0031694B">
            <w:pPr>
              <w:spacing w:line="240" w:lineRule="auto"/>
              <w:jc w:val="center"/>
              <w:rPr>
                <w:rFonts w:cs="Arial"/>
                <w:bCs/>
                <w:sz w:val="18"/>
                <w:szCs w:val="18"/>
                <w:lang w:eastAsia="ja-JP"/>
              </w:rPr>
            </w:pPr>
            <w:r w:rsidRPr="00545EC0">
              <w:rPr>
                <w:rFonts w:cs="Arial"/>
                <w:bCs/>
                <w:sz w:val="18"/>
                <w:szCs w:val="18"/>
              </w:rPr>
              <w:t>2</w:t>
            </w:r>
          </w:p>
        </w:tc>
        <w:tc>
          <w:tcPr>
            <w:tcW w:w="520" w:type="pct"/>
            <w:tcBorders>
              <w:top w:val="nil"/>
              <w:left w:val="nil"/>
              <w:bottom w:val="single" w:sz="4" w:space="0" w:color="auto"/>
              <w:right w:val="single" w:sz="4" w:space="0" w:color="auto"/>
            </w:tcBorders>
            <w:shd w:val="clear" w:color="auto" w:fill="auto"/>
            <w:noWrap/>
            <w:vAlign w:val="center"/>
            <w:hideMark/>
          </w:tcPr>
          <w:p w14:paraId="4F1EED81" w14:textId="77777777" w:rsidR="00342A40" w:rsidRPr="00545EC0" w:rsidRDefault="00342A40" w:rsidP="0031694B">
            <w:pPr>
              <w:spacing w:line="240" w:lineRule="auto"/>
              <w:jc w:val="center"/>
              <w:rPr>
                <w:rFonts w:cs="Arial"/>
                <w:bCs/>
                <w:sz w:val="18"/>
                <w:szCs w:val="18"/>
                <w:lang w:eastAsia="ja-JP"/>
              </w:rPr>
            </w:pPr>
            <w:r w:rsidRPr="00545EC0">
              <w:rPr>
                <w:rFonts w:cs="Arial"/>
                <w:bCs/>
                <w:sz w:val="18"/>
                <w:szCs w:val="18"/>
              </w:rPr>
              <w:t>0</w:t>
            </w:r>
          </w:p>
        </w:tc>
        <w:tc>
          <w:tcPr>
            <w:tcW w:w="274" w:type="pct"/>
            <w:tcBorders>
              <w:top w:val="nil"/>
              <w:left w:val="nil"/>
              <w:bottom w:val="single" w:sz="4" w:space="0" w:color="auto"/>
              <w:right w:val="single" w:sz="4" w:space="0" w:color="auto"/>
            </w:tcBorders>
            <w:shd w:val="clear" w:color="auto" w:fill="auto"/>
            <w:noWrap/>
            <w:vAlign w:val="center"/>
            <w:hideMark/>
          </w:tcPr>
          <w:p w14:paraId="708A4680" w14:textId="77777777" w:rsidR="00342A40" w:rsidRPr="00545EC0" w:rsidRDefault="00342A40" w:rsidP="0031694B">
            <w:pPr>
              <w:spacing w:line="240" w:lineRule="auto"/>
              <w:jc w:val="center"/>
              <w:rPr>
                <w:rFonts w:cs="Arial"/>
                <w:bCs/>
                <w:sz w:val="18"/>
                <w:szCs w:val="18"/>
                <w:lang w:eastAsia="ja-JP"/>
              </w:rPr>
            </w:pPr>
            <w:r w:rsidRPr="00545EC0">
              <w:rPr>
                <w:rFonts w:cs="Arial"/>
                <w:bCs/>
                <w:sz w:val="18"/>
                <w:szCs w:val="18"/>
              </w:rPr>
              <w:t>0</w:t>
            </w:r>
          </w:p>
        </w:tc>
        <w:tc>
          <w:tcPr>
            <w:tcW w:w="520" w:type="pct"/>
            <w:tcBorders>
              <w:top w:val="nil"/>
              <w:left w:val="nil"/>
              <w:bottom w:val="single" w:sz="4" w:space="0" w:color="auto"/>
              <w:right w:val="single" w:sz="4" w:space="0" w:color="auto"/>
            </w:tcBorders>
            <w:shd w:val="clear" w:color="auto" w:fill="auto"/>
            <w:noWrap/>
            <w:vAlign w:val="center"/>
            <w:hideMark/>
          </w:tcPr>
          <w:p w14:paraId="03BF9823" w14:textId="77777777" w:rsidR="00342A40" w:rsidRPr="00545EC0" w:rsidRDefault="00342A40" w:rsidP="0031694B">
            <w:pPr>
              <w:spacing w:line="240" w:lineRule="auto"/>
              <w:jc w:val="center"/>
              <w:rPr>
                <w:rFonts w:cs="Arial"/>
                <w:bCs/>
                <w:sz w:val="18"/>
                <w:szCs w:val="18"/>
                <w:lang w:eastAsia="ja-JP"/>
              </w:rPr>
            </w:pPr>
            <w:r w:rsidRPr="00545EC0">
              <w:rPr>
                <w:rFonts w:cs="Arial"/>
                <w:bCs/>
                <w:sz w:val="18"/>
                <w:szCs w:val="18"/>
              </w:rPr>
              <w:t>4</w:t>
            </w:r>
          </w:p>
        </w:tc>
        <w:tc>
          <w:tcPr>
            <w:tcW w:w="209" w:type="pct"/>
            <w:tcBorders>
              <w:top w:val="nil"/>
              <w:left w:val="nil"/>
              <w:bottom w:val="single" w:sz="4" w:space="0" w:color="auto"/>
              <w:right w:val="single" w:sz="4" w:space="0" w:color="auto"/>
            </w:tcBorders>
            <w:shd w:val="clear" w:color="auto" w:fill="auto"/>
            <w:noWrap/>
            <w:vAlign w:val="center"/>
            <w:hideMark/>
          </w:tcPr>
          <w:p w14:paraId="683C1F19" w14:textId="77777777" w:rsidR="00342A40" w:rsidRPr="00545EC0" w:rsidRDefault="00342A40" w:rsidP="0031694B">
            <w:pPr>
              <w:spacing w:line="240" w:lineRule="auto"/>
              <w:jc w:val="center"/>
              <w:rPr>
                <w:rFonts w:cs="Arial"/>
                <w:bCs/>
                <w:sz w:val="18"/>
                <w:szCs w:val="18"/>
                <w:lang w:eastAsia="ja-JP"/>
              </w:rPr>
            </w:pPr>
            <w:r w:rsidRPr="00545EC0">
              <w:rPr>
                <w:rFonts w:cs="Arial"/>
                <w:bCs/>
                <w:sz w:val="18"/>
                <w:szCs w:val="18"/>
              </w:rPr>
              <w:t>3</w:t>
            </w:r>
          </w:p>
        </w:tc>
        <w:tc>
          <w:tcPr>
            <w:tcW w:w="472" w:type="pct"/>
            <w:tcBorders>
              <w:top w:val="nil"/>
              <w:left w:val="nil"/>
              <w:bottom w:val="single" w:sz="4" w:space="0" w:color="auto"/>
              <w:right w:val="single" w:sz="4" w:space="0" w:color="auto"/>
            </w:tcBorders>
            <w:shd w:val="clear" w:color="auto" w:fill="auto"/>
            <w:noWrap/>
            <w:vAlign w:val="center"/>
            <w:hideMark/>
          </w:tcPr>
          <w:p w14:paraId="6581FE9C" w14:textId="77777777" w:rsidR="00342A40" w:rsidRPr="00545EC0" w:rsidRDefault="00342A40" w:rsidP="0031694B">
            <w:pPr>
              <w:spacing w:line="240" w:lineRule="auto"/>
              <w:jc w:val="center"/>
              <w:rPr>
                <w:rFonts w:cs="Arial"/>
                <w:bCs/>
                <w:sz w:val="18"/>
                <w:szCs w:val="18"/>
                <w:lang w:eastAsia="ja-JP"/>
              </w:rPr>
            </w:pPr>
            <w:r w:rsidRPr="00545EC0">
              <w:rPr>
                <w:rFonts w:cs="Arial"/>
                <w:bCs/>
                <w:sz w:val="18"/>
                <w:szCs w:val="18"/>
              </w:rPr>
              <w:t>13</w:t>
            </w:r>
          </w:p>
        </w:tc>
        <w:tc>
          <w:tcPr>
            <w:tcW w:w="292" w:type="pct"/>
            <w:tcBorders>
              <w:top w:val="nil"/>
              <w:left w:val="nil"/>
              <w:bottom w:val="single" w:sz="4" w:space="0" w:color="auto"/>
              <w:right w:val="single" w:sz="4" w:space="0" w:color="auto"/>
            </w:tcBorders>
            <w:shd w:val="clear" w:color="auto" w:fill="auto"/>
            <w:noWrap/>
            <w:vAlign w:val="center"/>
            <w:hideMark/>
          </w:tcPr>
          <w:p w14:paraId="4711A287" w14:textId="77777777" w:rsidR="00342A40" w:rsidRPr="00545EC0" w:rsidRDefault="00342A40" w:rsidP="0031694B">
            <w:pPr>
              <w:spacing w:line="240" w:lineRule="auto"/>
              <w:jc w:val="center"/>
              <w:rPr>
                <w:rFonts w:cs="Arial"/>
                <w:bCs/>
                <w:sz w:val="18"/>
                <w:szCs w:val="18"/>
                <w:lang w:eastAsia="ja-JP"/>
              </w:rPr>
            </w:pPr>
            <w:r w:rsidRPr="00545EC0">
              <w:rPr>
                <w:rFonts w:cs="Arial"/>
                <w:bCs/>
                <w:sz w:val="18"/>
                <w:szCs w:val="18"/>
              </w:rPr>
              <w:t>13</w:t>
            </w:r>
          </w:p>
        </w:tc>
      </w:tr>
      <w:tr w:rsidR="00EC3460" w:rsidRPr="00545EC0" w14:paraId="50F6DCBD" w14:textId="77777777" w:rsidTr="00EC3460">
        <w:trPr>
          <w:trHeight w:val="401"/>
        </w:trPr>
        <w:tc>
          <w:tcPr>
            <w:tcW w:w="829" w:type="pct"/>
            <w:tcBorders>
              <w:top w:val="nil"/>
              <w:left w:val="single" w:sz="4" w:space="0" w:color="auto"/>
              <w:bottom w:val="single" w:sz="4" w:space="0" w:color="auto"/>
              <w:right w:val="single" w:sz="4" w:space="0" w:color="auto"/>
            </w:tcBorders>
            <w:shd w:val="clear" w:color="auto" w:fill="auto"/>
            <w:vAlign w:val="center"/>
            <w:hideMark/>
          </w:tcPr>
          <w:p w14:paraId="100FF518" w14:textId="5F448EBB" w:rsidR="00342A40" w:rsidRPr="00545EC0" w:rsidRDefault="00342A40" w:rsidP="0031694B">
            <w:pPr>
              <w:spacing w:line="240" w:lineRule="auto"/>
              <w:jc w:val="center"/>
              <w:rPr>
                <w:rFonts w:cs="Arial"/>
                <w:bCs/>
                <w:sz w:val="18"/>
                <w:szCs w:val="18"/>
                <w:lang w:eastAsia="ja-JP"/>
              </w:rPr>
            </w:pPr>
            <w:r w:rsidRPr="00545EC0">
              <w:rPr>
                <w:rFonts w:cs="Arial"/>
                <w:bCs/>
                <w:sz w:val="18"/>
                <w:szCs w:val="18"/>
              </w:rPr>
              <w:t>SKUPAJ</w:t>
            </w:r>
            <w:r w:rsidR="00EB2250" w:rsidRPr="00545EC0">
              <w:rPr>
                <w:rFonts w:cs="Arial"/>
                <w:bCs/>
                <w:sz w:val="18"/>
                <w:szCs w:val="18"/>
              </w:rPr>
              <w:t xml:space="preserve"> </w:t>
            </w:r>
            <w:r w:rsidR="00EC3460" w:rsidRPr="00545EC0">
              <w:rPr>
                <w:rFonts w:cs="Arial"/>
                <w:bCs/>
                <w:sz w:val="18"/>
                <w:szCs w:val="18"/>
              </w:rPr>
              <w:t>Republika Slovenija</w:t>
            </w:r>
          </w:p>
        </w:tc>
        <w:tc>
          <w:tcPr>
            <w:tcW w:w="480" w:type="pct"/>
            <w:tcBorders>
              <w:top w:val="nil"/>
              <w:left w:val="nil"/>
              <w:bottom w:val="single" w:sz="4" w:space="0" w:color="auto"/>
              <w:right w:val="single" w:sz="4" w:space="0" w:color="auto"/>
            </w:tcBorders>
            <w:shd w:val="clear" w:color="auto" w:fill="auto"/>
            <w:noWrap/>
            <w:vAlign w:val="center"/>
            <w:hideMark/>
          </w:tcPr>
          <w:p w14:paraId="4F3A5237" w14:textId="77777777" w:rsidR="00342A40" w:rsidRPr="00545EC0" w:rsidRDefault="00342A40" w:rsidP="0031694B">
            <w:pPr>
              <w:spacing w:line="240" w:lineRule="auto"/>
              <w:jc w:val="center"/>
              <w:rPr>
                <w:rFonts w:cs="Arial"/>
                <w:bCs/>
                <w:sz w:val="18"/>
                <w:szCs w:val="18"/>
                <w:lang w:eastAsia="ja-JP"/>
              </w:rPr>
            </w:pPr>
            <w:r w:rsidRPr="00545EC0">
              <w:rPr>
                <w:rFonts w:cs="Arial"/>
                <w:bCs/>
                <w:sz w:val="18"/>
                <w:szCs w:val="18"/>
              </w:rPr>
              <w:t>155</w:t>
            </w:r>
          </w:p>
        </w:tc>
        <w:tc>
          <w:tcPr>
            <w:tcW w:w="491" w:type="pct"/>
            <w:tcBorders>
              <w:top w:val="nil"/>
              <w:left w:val="nil"/>
              <w:bottom w:val="single" w:sz="4" w:space="0" w:color="auto"/>
              <w:right w:val="single" w:sz="4" w:space="0" w:color="auto"/>
            </w:tcBorders>
            <w:shd w:val="clear" w:color="auto" w:fill="auto"/>
            <w:noWrap/>
            <w:vAlign w:val="center"/>
            <w:hideMark/>
          </w:tcPr>
          <w:p w14:paraId="0B70E02D" w14:textId="77777777" w:rsidR="00342A40" w:rsidRPr="00545EC0" w:rsidRDefault="00342A40" w:rsidP="0031694B">
            <w:pPr>
              <w:spacing w:line="240" w:lineRule="auto"/>
              <w:jc w:val="center"/>
              <w:rPr>
                <w:rFonts w:cs="Arial"/>
                <w:bCs/>
                <w:sz w:val="18"/>
                <w:szCs w:val="18"/>
                <w:lang w:eastAsia="ja-JP"/>
              </w:rPr>
            </w:pPr>
            <w:r w:rsidRPr="00545EC0">
              <w:rPr>
                <w:rFonts w:cs="Arial"/>
                <w:bCs/>
                <w:sz w:val="18"/>
                <w:szCs w:val="18"/>
              </w:rPr>
              <w:t>125</w:t>
            </w:r>
          </w:p>
        </w:tc>
        <w:tc>
          <w:tcPr>
            <w:tcW w:w="230" w:type="pct"/>
            <w:tcBorders>
              <w:top w:val="nil"/>
              <w:left w:val="nil"/>
              <w:bottom w:val="single" w:sz="4" w:space="0" w:color="auto"/>
              <w:right w:val="single" w:sz="4" w:space="0" w:color="auto"/>
            </w:tcBorders>
            <w:shd w:val="clear" w:color="auto" w:fill="auto"/>
            <w:noWrap/>
            <w:vAlign w:val="center"/>
            <w:hideMark/>
          </w:tcPr>
          <w:p w14:paraId="0454C9CF" w14:textId="77777777" w:rsidR="00342A40" w:rsidRPr="00545EC0" w:rsidRDefault="00342A40" w:rsidP="0031694B">
            <w:pPr>
              <w:spacing w:line="240" w:lineRule="auto"/>
              <w:jc w:val="center"/>
              <w:rPr>
                <w:rFonts w:cs="Arial"/>
                <w:bCs/>
                <w:sz w:val="18"/>
                <w:szCs w:val="18"/>
                <w:lang w:eastAsia="ja-JP"/>
              </w:rPr>
            </w:pPr>
            <w:r w:rsidRPr="00545EC0">
              <w:rPr>
                <w:rFonts w:cs="Arial"/>
                <w:bCs/>
                <w:sz w:val="18"/>
                <w:szCs w:val="18"/>
              </w:rPr>
              <w:t>79</w:t>
            </w:r>
          </w:p>
        </w:tc>
        <w:tc>
          <w:tcPr>
            <w:tcW w:w="472" w:type="pct"/>
            <w:tcBorders>
              <w:top w:val="nil"/>
              <w:left w:val="nil"/>
              <w:bottom w:val="single" w:sz="4" w:space="0" w:color="auto"/>
              <w:right w:val="single" w:sz="4" w:space="0" w:color="auto"/>
            </w:tcBorders>
            <w:shd w:val="clear" w:color="auto" w:fill="auto"/>
            <w:noWrap/>
            <w:vAlign w:val="center"/>
            <w:hideMark/>
          </w:tcPr>
          <w:p w14:paraId="43CECB2A" w14:textId="77777777" w:rsidR="00342A40" w:rsidRPr="00545EC0" w:rsidRDefault="00342A40" w:rsidP="0031694B">
            <w:pPr>
              <w:spacing w:line="240" w:lineRule="auto"/>
              <w:jc w:val="center"/>
              <w:rPr>
                <w:rFonts w:cs="Arial"/>
                <w:bCs/>
                <w:sz w:val="18"/>
                <w:szCs w:val="18"/>
                <w:lang w:eastAsia="ja-JP"/>
              </w:rPr>
            </w:pPr>
            <w:r w:rsidRPr="00545EC0">
              <w:rPr>
                <w:rFonts w:cs="Arial"/>
                <w:bCs/>
                <w:sz w:val="18"/>
                <w:szCs w:val="18"/>
              </w:rPr>
              <w:t>3</w:t>
            </w:r>
          </w:p>
        </w:tc>
        <w:tc>
          <w:tcPr>
            <w:tcW w:w="209" w:type="pct"/>
            <w:tcBorders>
              <w:top w:val="nil"/>
              <w:left w:val="nil"/>
              <w:bottom w:val="single" w:sz="4" w:space="0" w:color="auto"/>
              <w:right w:val="single" w:sz="4" w:space="0" w:color="auto"/>
            </w:tcBorders>
            <w:shd w:val="clear" w:color="auto" w:fill="auto"/>
            <w:noWrap/>
            <w:vAlign w:val="center"/>
            <w:hideMark/>
          </w:tcPr>
          <w:p w14:paraId="6F54D03D" w14:textId="77777777" w:rsidR="00342A40" w:rsidRPr="00545EC0" w:rsidRDefault="00342A40" w:rsidP="0031694B">
            <w:pPr>
              <w:spacing w:line="240" w:lineRule="auto"/>
              <w:jc w:val="center"/>
              <w:rPr>
                <w:rFonts w:cs="Arial"/>
                <w:bCs/>
                <w:sz w:val="18"/>
                <w:szCs w:val="18"/>
                <w:lang w:eastAsia="ja-JP"/>
              </w:rPr>
            </w:pPr>
            <w:r w:rsidRPr="00545EC0">
              <w:rPr>
                <w:rFonts w:cs="Arial"/>
                <w:bCs/>
                <w:sz w:val="18"/>
                <w:szCs w:val="18"/>
              </w:rPr>
              <w:t>2</w:t>
            </w:r>
          </w:p>
        </w:tc>
        <w:tc>
          <w:tcPr>
            <w:tcW w:w="520" w:type="pct"/>
            <w:tcBorders>
              <w:top w:val="nil"/>
              <w:left w:val="nil"/>
              <w:bottom w:val="single" w:sz="4" w:space="0" w:color="auto"/>
              <w:right w:val="single" w:sz="4" w:space="0" w:color="auto"/>
            </w:tcBorders>
            <w:shd w:val="clear" w:color="auto" w:fill="auto"/>
            <w:noWrap/>
            <w:vAlign w:val="center"/>
            <w:hideMark/>
          </w:tcPr>
          <w:p w14:paraId="23C5A707" w14:textId="77777777" w:rsidR="00342A40" w:rsidRPr="00545EC0" w:rsidRDefault="00342A40" w:rsidP="0031694B">
            <w:pPr>
              <w:spacing w:line="240" w:lineRule="auto"/>
              <w:jc w:val="center"/>
              <w:rPr>
                <w:rFonts w:cs="Arial"/>
                <w:bCs/>
                <w:sz w:val="18"/>
                <w:szCs w:val="18"/>
                <w:lang w:eastAsia="ja-JP"/>
              </w:rPr>
            </w:pPr>
            <w:r w:rsidRPr="00545EC0">
              <w:rPr>
                <w:rFonts w:cs="Arial"/>
                <w:bCs/>
                <w:sz w:val="18"/>
                <w:szCs w:val="18"/>
              </w:rPr>
              <w:t>4</w:t>
            </w:r>
          </w:p>
        </w:tc>
        <w:tc>
          <w:tcPr>
            <w:tcW w:w="274" w:type="pct"/>
            <w:tcBorders>
              <w:top w:val="nil"/>
              <w:left w:val="nil"/>
              <w:bottom w:val="single" w:sz="4" w:space="0" w:color="auto"/>
              <w:right w:val="single" w:sz="4" w:space="0" w:color="auto"/>
            </w:tcBorders>
            <w:shd w:val="clear" w:color="auto" w:fill="auto"/>
            <w:noWrap/>
            <w:vAlign w:val="center"/>
            <w:hideMark/>
          </w:tcPr>
          <w:p w14:paraId="70A57C8D" w14:textId="77777777" w:rsidR="00342A40" w:rsidRPr="00545EC0" w:rsidRDefault="00342A40" w:rsidP="0031694B">
            <w:pPr>
              <w:spacing w:line="240" w:lineRule="auto"/>
              <w:jc w:val="center"/>
              <w:rPr>
                <w:rFonts w:cs="Arial"/>
                <w:bCs/>
                <w:sz w:val="18"/>
                <w:szCs w:val="18"/>
                <w:lang w:eastAsia="ja-JP"/>
              </w:rPr>
            </w:pPr>
            <w:r w:rsidRPr="00545EC0">
              <w:rPr>
                <w:rFonts w:cs="Arial"/>
                <w:bCs/>
                <w:sz w:val="18"/>
                <w:szCs w:val="18"/>
              </w:rPr>
              <w:t>3</w:t>
            </w:r>
          </w:p>
        </w:tc>
        <w:tc>
          <w:tcPr>
            <w:tcW w:w="520" w:type="pct"/>
            <w:tcBorders>
              <w:top w:val="nil"/>
              <w:left w:val="nil"/>
              <w:bottom w:val="single" w:sz="4" w:space="0" w:color="auto"/>
              <w:right w:val="single" w:sz="4" w:space="0" w:color="auto"/>
            </w:tcBorders>
            <w:shd w:val="clear" w:color="auto" w:fill="auto"/>
            <w:noWrap/>
            <w:vAlign w:val="center"/>
            <w:hideMark/>
          </w:tcPr>
          <w:p w14:paraId="17A8123B" w14:textId="77777777" w:rsidR="00342A40" w:rsidRPr="00545EC0" w:rsidRDefault="00342A40" w:rsidP="0031694B">
            <w:pPr>
              <w:spacing w:line="240" w:lineRule="auto"/>
              <w:jc w:val="center"/>
              <w:rPr>
                <w:rFonts w:cs="Arial"/>
                <w:bCs/>
                <w:sz w:val="18"/>
                <w:szCs w:val="18"/>
                <w:lang w:eastAsia="ja-JP"/>
              </w:rPr>
            </w:pPr>
            <w:r w:rsidRPr="00545EC0">
              <w:rPr>
                <w:rFonts w:cs="Arial"/>
                <w:bCs/>
                <w:sz w:val="18"/>
                <w:szCs w:val="18"/>
              </w:rPr>
              <w:t>4</w:t>
            </w:r>
          </w:p>
        </w:tc>
        <w:tc>
          <w:tcPr>
            <w:tcW w:w="209" w:type="pct"/>
            <w:tcBorders>
              <w:top w:val="nil"/>
              <w:left w:val="nil"/>
              <w:bottom w:val="single" w:sz="4" w:space="0" w:color="auto"/>
              <w:right w:val="single" w:sz="4" w:space="0" w:color="auto"/>
            </w:tcBorders>
            <w:shd w:val="clear" w:color="auto" w:fill="auto"/>
            <w:noWrap/>
            <w:vAlign w:val="center"/>
            <w:hideMark/>
          </w:tcPr>
          <w:p w14:paraId="25D00F37" w14:textId="77777777" w:rsidR="00342A40" w:rsidRPr="00545EC0" w:rsidRDefault="00342A40" w:rsidP="0031694B">
            <w:pPr>
              <w:spacing w:line="240" w:lineRule="auto"/>
              <w:jc w:val="center"/>
              <w:rPr>
                <w:rFonts w:cs="Arial"/>
                <w:bCs/>
                <w:sz w:val="18"/>
                <w:szCs w:val="18"/>
                <w:lang w:eastAsia="ja-JP"/>
              </w:rPr>
            </w:pPr>
            <w:r w:rsidRPr="00545EC0">
              <w:rPr>
                <w:rFonts w:cs="Arial"/>
                <w:bCs/>
                <w:sz w:val="18"/>
                <w:szCs w:val="18"/>
              </w:rPr>
              <w:t>3</w:t>
            </w:r>
          </w:p>
        </w:tc>
        <w:tc>
          <w:tcPr>
            <w:tcW w:w="472" w:type="pct"/>
            <w:tcBorders>
              <w:top w:val="nil"/>
              <w:left w:val="nil"/>
              <w:bottom w:val="single" w:sz="4" w:space="0" w:color="auto"/>
              <w:right w:val="single" w:sz="4" w:space="0" w:color="auto"/>
            </w:tcBorders>
            <w:shd w:val="clear" w:color="auto" w:fill="auto"/>
            <w:noWrap/>
            <w:vAlign w:val="center"/>
            <w:hideMark/>
          </w:tcPr>
          <w:p w14:paraId="39E48A25" w14:textId="77777777" w:rsidR="00342A40" w:rsidRPr="00545EC0" w:rsidRDefault="00342A40" w:rsidP="0031694B">
            <w:pPr>
              <w:spacing w:line="240" w:lineRule="auto"/>
              <w:jc w:val="center"/>
              <w:rPr>
                <w:rFonts w:cs="Arial"/>
                <w:bCs/>
                <w:sz w:val="18"/>
                <w:szCs w:val="18"/>
                <w:lang w:eastAsia="ja-JP"/>
              </w:rPr>
            </w:pPr>
            <w:r w:rsidRPr="00545EC0">
              <w:rPr>
                <w:rFonts w:cs="Arial"/>
                <w:bCs/>
                <w:sz w:val="18"/>
                <w:szCs w:val="18"/>
              </w:rPr>
              <w:t>19</w:t>
            </w:r>
          </w:p>
        </w:tc>
        <w:tc>
          <w:tcPr>
            <w:tcW w:w="292" w:type="pct"/>
            <w:tcBorders>
              <w:top w:val="nil"/>
              <w:left w:val="nil"/>
              <w:bottom w:val="single" w:sz="4" w:space="0" w:color="auto"/>
              <w:right w:val="single" w:sz="4" w:space="0" w:color="auto"/>
            </w:tcBorders>
            <w:shd w:val="clear" w:color="auto" w:fill="auto"/>
            <w:noWrap/>
            <w:vAlign w:val="center"/>
            <w:hideMark/>
          </w:tcPr>
          <w:p w14:paraId="0F948D21" w14:textId="77777777" w:rsidR="00342A40" w:rsidRPr="00545EC0" w:rsidRDefault="00342A40" w:rsidP="0031694B">
            <w:pPr>
              <w:spacing w:line="240" w:lineRule="auto"/>
              <w:jc w:val="center"/>
              <w:rPr>
                <w:rFonts w:cs="Arial"/>
                <w:bCs/>
                <w:sz w:val="18"/>
                <w:szCs w:val="18"/>
                <w:lang w:eastAsia="ja-JP"/>
              </w:rPr>
            </w:pPr>
            <w:r w:rsidRPr="00545EC0">
              <w:rPr>
                <w:rFonts w:cs="Arial"/>
                <w:bCs/>
                <w:sz w:val="18"/>
                <w:szCs w:val="18"/>
              </w:rPr>
              <w:t>14</w:t>
            </w:r>
          </w:p>
        </w:tc>
      </w:tr>
    </w:tbl>
    <w:p w14:paraId="297F2FE1" w14:textId="77777777" w:rsidR="00342A40" w:rsidRPr="00545EC0" w:rsidRDefault="00342A40" w:rsidP="0031694B">
      <w:pPr>
        <w:spacing w:line="240" w:lineRule="auto"/>
        <w:rPr>
          <w:rFonts w:cs="Arial"/>
          <w:i/>
          <w:sz w:val="18"/>
          <w:szCs w:val="20"/>
          <w:lang w:eastAsia="ja-JP"/>
        </w:rPr>
      </w:pPr>
      <w:r w:rsidRPr="00545EC0">
        <w:rPr>
          <w:rFonts w:cs="Arial"/>
          <w:i/>
          <w:sz w:val="18"/>
          <w:szCs w:val="20"/>
        </w:rPr>
        <w:t>VTR – vodno telo reka</w:t>
      </w:r>
    </w:p>
    <w:p w14:paraId="0F5C8FD3" w14:textId="77777777" w:rsidR="00342A40" w:rsidRPr="00545EC0" w:rsidRDefault="00342A40" w:rsidP="0031694B">
      <w:pPr>
        <w:spacing w:line="240" w:lineRule="auto"/>
        <w:rPr>
          <w:rFonts w:cs="Arial"/>
          <w:i/>
          <w:sz w:val="18"/>
          <w:szCs w:val="20"/>
        </w:rPr>
      </w:pPr>
      <w:r w:rsidRPr="00545EC0">
        <w:rPr>
          <w:rFonts w:cs="Arial"/>
          <w:i/>
          <w:sz w:val="18"/>
          <w:szCs w:val="20"/>
        </w:rPr>
        <w:t>VTJ – vodno telo jezero</w:t>
      </w:r>
    </w:p>
    <w:p w14:paraId="6D065742" w14:textId="77777777" w:rsidR="00342A40" w:rsidRPr="00545EC0" w:rsidRDefault="00342A40" w:rsidP="0031694B">
      <w:pPr>
        <w:spacing w:line="240" w:lineRule="auto"/>
        <w:rPr>
          <w:rFonts w:cs="Arial"/>
          <w:i/>
          <w:sz w:val="18"/>
          <w:szCs w:val="20"/>
        </w:rPr>
      </w:pPr>
      <w:r w:rsidRPr="00545EC0">
        <w:rPr>
          <w:rFonts w:cs="Arial"/>
          <w:i/>
          <w:sz w:val="18"/>
          <w:szCs w:val="20"/>
        </w:rPr>
        <w:t>VTM – vodno telo morje</w:t>
      </w:r>
    </w:p>
    <w:p w14:paraId="274E755D" w14:textId="77777777" w:rsidR="00342A40" w:rsidRPr="00545EC0" w:rsidRDefault="00342A40" w:rsidP="0031694B">
      <w:pPr>
        <w:spacing w:line="240" w:lineRule="auto"/>
        <w:rPr>
          <w:rFonts w:cs="Arial"/>
          <w:i/>
          <w:sz w:val="18"/>
          <w:szCs w:val="20"/>
        </w:rPr>
      </w:pPr>
      <w:r w:rsidRPr="00545EC0">
        <w:rPr>
          <w:rFonts w:cs="Arial"/>
          <w:i/>
          <w:sz w:val="18"/>
          <w:szCs w:val="20"/>
        </w:rPr>
        <w:t>UVT – umetno vodno telo</w:t>
      </w:r>
    </w:p>
    <w:p w14:paraId="07F94A54" w14:textId="77777777" w:rsidR="00342A40" w:rsidRPr="00545EC0" w:rsidRDefault="00342A40" w:rsidP="0031694B">
      <w:pPr>
        <w:spacing w:line="240" w:lineRule="auto"/>
        <w:rPr>
          <w:rFonts w:cs="Arial"/>
          <w:i/>
          <w:sz w:val="18"/>
          <w:szCs w:val="20"/>
        </w:rPr>
      </w:pPr>
      <w:r w:rsidRPr="00545EC0">
        <w:rPr>
          <w:rFonts w:cs="Arial"/>
          <w:i/>
          <w:sz w:val="18"/>
          <w:szCs w:val="20"/>
        </w:rPr>
        <w:t>MPVT – močno preoblikovano vodno telo</w:t>
      </w:r>
    </w:p>
    <w:p w14:paraId="01A52E51" w14:textId="77777777" w:rsidR="00342A40" w:rsidRPr="00545EC0" w:rsidRDefault="00342A40" w:rsidP="0010797F">
      <w:pPr>
        <w:rPr>
          <w:rFonts w:cs="Arial"/>
        </w:rPr>
      </w:pPr>
    </w:p>
    <w:p w14:paraId="38EE9CF0" w14:textId="794BF516" w:rsidR="00342A40" w:rsidRPr="00545EC0" w:rsidRDefault="00342A40" w:rsidP="0010797F">
      <w:pPr>
        <w:widowControl w:val="0"/>
        <w:tabs>
          <w:tab w:val="left" w:pos="8788"/>
        </w:tabs>
        <w:ind w:right="-34"/>
        <w:rPr>
          <w:rFonts w:cs="Arial"/>
        </w:rPr>
      </w:pPr>
      <w:bookmarkStart w:id="66" w:name="_Toc366228084"/>
      <w:bookmarkStart w:id="67" w:name="_Toc241996401"/>
      <w:bookmarkStart w:id="68" w:name="_Toc222114874"/>
      <w:r w:rsidRPr="00545EC0">
        <w:rPr>
          <w:rFonts w:cs="Arial"/>
          <w:spacing w:val="-2"/>
        </w:rPr>
        <w:t>Na</w:t>
      </w:r>
      <w:r w:rsidRPr="00545EC0">
        <w:rPr>
          <w:rFonts w:cs="Arial"/>
          <w:spacing w:val="15"/>
        </w:rPr>
        <w:t xml:space="preserve"> </w:t>
      </w:r>
      <w:r w:rsidRPr="00545EC0">
        <w:rPr>
          <w:rFonts w:cs="Arial"/>
          <w:spacing w:val="-2"/>
        </w:rPr>
        <w:t>V</w:t>
      </w:r>
      <w:r w:rsidRPr="00545EC0">
        <w:rPr>
          <w:rFonts w:cs="Arial"/>
        </w:rPr>
        <w:t>O</w:t>
      </w:r>
      <w:r w:rsidRPr="00545EC0">
        <w:rPr>
          <w:rFonts w:cs="Arial"/>
          <w:spacing w:val="15"/>
        </w:rPr>
        <w:t xml:space="preserve"> </w:t>
      </w:r>
      <w:r w:rsidRPr="00545EC0">
        <w:rPr>
          <w:rFonts w:cs="Arial"/>
        </w:rPr>
        <w:t>D</w:t>
      </w:r>
      <w:r w:rsidRPr="00545EC0">
        <w:rPr>
          <w:rFonts w:cs="Arial"/>
          <w:spacing w:val="-2"/>
        </w:rPr>
        <w:t>o</w:t>
      </w:r>
      <w:r w:rsidRPr="00545EC0">
        <w:rPr>
          <w:rFonts w:cs="Arial"/>
        </w:rPr>
        <w:t>n</w:t>
      </w:r>
      <w:r w:rsidRPr="00545EC0">
        <w:rPr>
          <w:rFonts w:cs="Arial"/>
          <w:spacing w:val="-2"/>
        </w:rPr>
        <w:t>ave</w:t>
      </w:r>
      <w:r w:rsidRPr="00545EC0">
        <w:rPr>
          <w:rFonts w:cs="Arial"/>
          <w:spacing w:val="15"/>
        </w:rPr>
        <w:t xml:space="preserve"> </w:t>
      </w:r>
      <w:r w:rsidRPr="00545EC0">
        <w:rPr>
          <w:rFonts w:cs="Arial"/>
          <w:spacing w:val="-2"/>
        </w:rPr>
        <w:t>j</w:t>
      </w:r>
      <w:r w:rsidRPr="00545EC0">
        <w:rPr>
          <w:rFonts w:cs="Arial"/>
        </w:rPr>
        <w:t xml:space="preserve">e </w:t>
      </w:r>
      <w:r w:rsidRPr="00545EC0">
        <w:rPr>
          <w:rFonts w:cs="Arial"/>
          <w:spacing w:val="-2"/>
        </w:rPr>
        <w:t>do</w:t>
      </w:r>
      <w:r w:rsidRPr="00545EC0">
        <w:rPr>
          <w:rFonts w:cs="Arial"/>
        </w:rPr>
        <w:t>l</w:t>
      </w:r>
      <w:r w:rsidRPr="00545EC0">
        <w:rPr>
          <w:rFonts w:cs="Arial"/>
          <w:spacing w:val="-2"/>
        </w:rPr>
        <w:t>o</w:t>
      </w:r>
      <w:r w:rsidRPr="00545EC0">
        <w:rPr>
          <w:rFonts w:cs="Arial"/>
        </w:rPr>
        <w:t>č</w:t>
      </w:r>
      <w:r w:rsidRPr="00545EC0">
        <w:rPr>
          <w:rFonts w:cs="Arial"/>
          <w:spacing w:val="-2"/>
        </w:rPr>
        <w:t>enih</w:t>
      </w:r>
      <w:r w:rsidRPr="00545EC0">
        <w:rPr>
          <w:rFonts w:cs="Arial"/>
        </w:rPr>
        <w:t xml:space="preserve"> </w:t>
      </w:r>
      <w:r w:rsidRPr="00545EC0">
        <w:rPr>
          <w:rFonts w:cs="Arial"/>
          <w:spacing w:val="-2"/>
        </w:rPr>
        <w:t>101</w:t>
      </w:r>
      <w:r w:rsidRPr="00545EC0">
        <w:rPr>
          <w:rFonts w:cs="Arial"/>
          <w:spacing w:val="15"/>
        </w:rPr>
        <w:t xml:space="preserve"> </w:t>
      </w:r>
      <w:r w:rsidRPr="00545EC0">
        <w:rPr>
          <w:rFonts w:cs="Arial"/>
          <w:spacing w:val="-2"/>
        </w:rPr>
        <w:t xml:space="preserve">VTPV </w:t>
      </w:r>
      <w:r w:rsidRPr="00545EC0">
        <w:rPr>
          <w:rFonts w:cs="Arial"/>
        </w:rPr>
        <w:t>rek,</w:t>
      </w:r>
      <w:r w:rsidRPr="00545EC0">
        <w:rPr>
          <w:rFonts w:cs="Arial"/>
          <w:spacing w:val="11"/>
        </w:rPr>
        <w:t xml:space="preserve"> </w:t>
      </w:r>
      <w:r w:rsidRPr="00545EC0">
        <w:rPr>
          <w:rFonts w:cs="Arial"/>
        </w:rPr>
        <w:t>ki so jim</w:t>
      </w:r>
      <w:r w:rsidRPr="00545EC0">
        <w:rPr>
          <w:rFonts w:cs="Arial"/>
          <w:spacing w:val="11"/>
        </w:rPr>
        <w:t xml:space="preserve"> </w:t>
      </w:r>
      <w:r w:rsidRPr="00545EC0">
        <w:rPr>
          <w:rFonts w:cs="Arial"/>
        </w:rPr>
        <w:t>priklj</w:t>
      </w:r>
      <w:r w:rsidRPr="00545EC0">
        <w:rPr>
          <w:rFonts w:cs="Arial"/>
          <w:spacing w:val="-2"/>
        </w:rPr>
        <w:t>u</w:t>
      </w:r>
      <w:r w:rsidRPr="00545EC0">
        <w:rPr>
          <w:rFonts w:cs="Arial"/>
        </w:rPr>
        <w:t>čene</w:t>
      </w:r>
      <w:r w:rsidRPr="00545EC0">
        <w:rPr>
          <w:rFonts w:cs="Arial"/>
          <w:spacing w:val="11"/>
        </w:rPr>
        <w:t xml:space="preserve"> </w:t>
      </w:r>
      <w:r w:rsidRPr="00545EC0">
        <w:rPr>
          <w:rFonts w:cs="Arial"/>
        </w:rPr>
        <w:t>vse reke</w:t>
      </w:r>
      <w:r w:rsidRPr="00545EC0">
        <w:rPr>
          <w:rFonts w:cs="Arial"/>
          <w:spacing w:val="11"/>
        </w:rPr>
        <w:t xml:space="preserve"> </w:t>
      </w:r>
      <w:r w:rsidRPr="00545EC0">
        <w:rPr>
          <w:rFonts w:cs="Arial"/>
        </w:rPr>
        <w:t>ali</w:t>
      </w:r>
      <w:r w:rsidRPr="00545EC0">
        <w:rPr>
          <w:rFonts w:cs="Arial"/>
          <w:spacing w:val="11"/>
        </w:rPr>
        <w:t xml:space="preserve"> </w:t>
      </w:r>
      <w:r w:rsidRPr="00545EC0">
        <w:rPr>
          <w:rFonts w:cs="Arial"/>
        </w:rPr>
        <w:t>njihovi</w:t>
      </w:r>
      <w:r w:rsidRPr="00545EC0">
        <w:rPr>
          <w:rFonts w:cs="Arial"/>
          <w:spacing w:val="11"/>
        </w:rPr>
        <w:t xml:space="preserve"> </w:t>
      </w:r>
      <w:r w:rsidRPr="00545EC0">
        <w:rPr>
          <w:rFonts w:cs="Arial"/>
        </w:rPr>
        <w:t>deli,</w:t>
      </w:r>
      <w:r w:rsidRPr="00545EC0">
        <w:rPr>
          <w:rFonts w:cs="Arial"/>
          <w:spacing w:val="11"/>
        </w:rPr>
        <w:t xml:space="preserve"> </w:t>
      </w:r>
      <w:r w:rsidRPr="00545EC0">
        <w:rPr>
          <w:rFonts w:cs="Arial"/>
        </w:rPr>
        <w:t>s</w:t>
      </w:r>
      <w:r w:rsidRPr="00545EC0">
        <w:rPr>
          <w:rFonts w:cs="Arial"/>
          <w:spacing w:val="11"/>
        </w:rPr>
        <w:t xml:space="preserve"> </w:t>
      </w:r>
      <w:r w:rsidRPr="00545EC0">
        <w:rPr>
          <w:rFonts w:cs="Arial"/>
        </w:rPr>
        <w:t>prispevnimi</w:t>
      </w:r>
      <w:r w:rsidRPr="00545EC0">
        <w:rPr>
          <w:rFonts w:cs="Arial"/>
          <w:spacing w:val="11"/>
        </w:rPr>
        <w:t xml:space="preserve"> </w:t>
      </w:r>
      <w:r w:rsidRPr="00545EC0">
        <w:rPr>
          <w:rFonts w:cs="Arial"/>
        </w:rPr>
        <w:t>površinami</w:t>
      </w:r>
      <w:r w:rsidRPr="00545EC0">
        <w:rPr>
          <w:rFonts w:cs="Arial"/>
          <w:spacing w:val="11"/>
        </w:rPr>
        <w:t xml:space="preserve"> </w:t>
      </w:r>
      <w:r w:rsidRPr="00545EC0">
        <w:rPr>
          <w:rFonts w:cs="Arial"/>
        </w:rPr>
        <w:t>manjš</w:t>
      </w:r>
      <w:r w:rsidRPr="00545EC0">
        <w:rPr>
          <w:rFonts w:cs="Arial"/>
          <w:spacing w:val="-2"/>
        </w:rPr>
        <w:t>i</w:t>
      </w:r>
      <w:r w:rsidRPr="00545EC0">
        <w:rPr>
          <w:rFonts w:cs="Arial"/>
        </w:rPr>
        <w:t>mi</w:t>
      </w:r>
      <w:r w:rsidRPr="00545EC0">
        <w:rPr>
          <w:rFonts w:cs="Arial"/>
          <w:spacing w:val="11"/>
        </w:rPr>
        <w:t xml:space="preserve"> </w:t>
      </w:r>
      <w:r w:rsidRPr="00545EC0">
        <w:rPr>
          <w:rFonts w:cs="Arial"/>
        </w:rPr>
        <w:t>od</w:t>
      </w:r>
      <w:r w:rsidRPr="00545EC0">
        <w:rPr>
          <w:rFonts w:cs="Arial"/>
          <w:spacing w:val="11"/>
        </w:rPr>
        <w:t xml:space="preserve"> </w:t>
      </w:r>
      <w:r w:rsidRPr="00545EC0">
        <w:rPr>
          <w:rFonts w:cs="Arial"/>
        </w:rPr>
        <w:t xml:space="preserve">100 </w:t>
      </w:r>
      <w:r w:rsidRPr="00545EC0">
        <w:rPr>
          <w:rFonts w:cs="Arial"/>
          <w:spacing w:val="-2"/>
        </w:rPr>
        <w:t>k</w:t>
      </w:r>
      <w:r w:rsidRPr="00545EC0">
        <w:rPr>
          <w:rFonts w:cs="Arial"/>
        </w:rPr>
        <w:t>m</w:t>
      </w:r>
      <w:r w:rsidRPr="00545EC0">
        <w:rPr>
          <w:rFonts w:cs="Arial"/>
          <w:vertAlign w:val="superscript"/>
        </w:rPr>
        <w:t>2</w:t>
      </w:r>
      <w:r w:rsidRPr="00545EC0">
        <w:rPr>
          <w:rFonts w:cs="Arial"/>
          <w:spacing w:val="-2"/>
        </w:rPr>
        <w:t>,</w:t>
      </w:r>
      <w:r w:rsidRPr="00545EC0">
        <w:rPr>
          <w:rFonts w:cs="Arial"/>
          <w:spacing w:val="12"/>
        </w:rPr>
        <w:t xml:space="preserve"> </w:t>
      </w:r>
      <w:r w:rsidRPr="00545EC0">
        <w:rPr>
          <w:rFonts w:cs="Arial"/>
          <w:spacing w:val="-2"/>
        </w:rPr>
        <w:t>ki</w:t>
      </w:r>
      <w:r w:rsidRPr="00545EC0">
        <w:rPr>
          <w:rFonts w:cs="Arial"/>
          <w:spacing w:val="12"/>
        </w:rPr>
        <w:t xml:space="preserve"> </w:t>
      </w:r>
      <w:r w:rsidRPr="00545EC0">
        <w:rPr>
          <w:rFonts w:cs="Arial"/>
          <w:spacing w:val="-2"/>
        </w:rPr>
        <w:t>se</w:t>
      </w:r>
      <w:r w:rsidRPr="00545EC0">
        <w:rPr>
          <w:rFonts w:cs="Arial"/>
          <w:spacing w:val="12"/>
        </w:rPr>
        <w:t xml:space="preserve"> </w:t>
      </w:r>
      <w:r w:rsidRPr="00545EC0">
        <w:rPr>
          <w:rFonts w:cs="Arial"/>
          <w:spacing w:val="-2"/>
        </w:rPr>
        <w:t>v</w:t>
      </w:r>
      <w:r w:rsidRPr="00545EC0">
        <w:rPr>
          <w:rFonts w:cs="Arial"/>
          <w:spacing w:val="12"/>
        </w:rPr>
        <w:t xml:space="preserve"> </w:t>
      </w:r>
      <w:r w:rsidRPr="00545EC0">
        <w:rPr>
          <w:rFonts w:cs="Arial"/>
          <w:spacing w:val="-2"/>
        </w:rPr>
        <w:t>posamezno</w:t>
      </w:r>
      <w:r w:rsidRPr="00545EC0">
        <w:rPr>
          <w:rFonts w:cs="Arial"/>
          <w:spacing w:val="12"/>
        </w:rPr>
        <w:t xml:space="preserve"> </w:t>
      </w:r>
      <w:r w:rsidRPr="00545EC0">
        <w:rPr>
          <w:rFonts w:cs="Arial"/>
          <w:spacing w:val="-2"/>
        </w:rPr>
        <w:t>VTPV</w:t>
      </w:r>
      <w:r w:rsidRPr="00545EC0">
        <w:rPr>
          <w:rFonts w:cs="Arial"/>
          <w:spacing w:val="12"/>
        </w:rPr>
        <w:t xml:space="preserve"> </w:t>
      </w:r>
      <w:r w:rsidRPr="00545EC0">
        <w:rPr>
          <w:rFonts w:cs="Arial"/>
          <w:spacing w:val="-2"/>
        </w:rPr>
        <w:t>steka</w:t>
      </w:r>
      <w:r w:rsidRPr="00545EC0">
        <w:rPr>
          <w:rFonts w:cs="Arial"/>
        </w:rPr>
        <w:t>j</w:t>
      </w:r>
      <w:r w:rsidRPr="00545EC0">
        <w:rPr>
          <w:rFonts w:cs="Arial"/>
          <w:spacing w:val="-2"/>
        </w:rPr>
        <w:t>o.</w:t>
      </w:r>
      <w:r w:rsidRPr="00545EC0">
        <w:rPr>
          <w:rFonts w:cs="Arial"/>
          <w:spacing w:val="29"/>
        </w:rPr>
        <w:t xml:space="preserve"> </w:t>
      </w:r>
      <w:r w:rsidRPr="00545EC0">
        <w:rPr>
          <w:rFonts w:cs="Arial"/>
          <w:spacing w:val="-2"/>
        </w:rPr>
        <w:t>Na</w:t>
      </w:r>
      <w:r w:rsidRPr="00545EC0">
        <w:rPr>
          <w:rFonts w:cs="Arial"/>
          <w:spacing w:val="29"/>
        </w:rPr>
        <w:t xml:space="preserve"> </w:t>
      </w:r>
      <w:r w:rsidRPr="00545EC0">
        <w:rPr>
          <w:rFonts w:cs="Arial"/>
          <w:spacing w:val="-2"/>
        </w:rPr>
        <w:t>VO</w:t>
      </w:r>
      <w:r w:rsidRPr="00545EC0">
        <w:rPr>
          <w:rFonts w:cs="Arial"/>
          <w:spacing w:val="29"/>
        </w:rPr>
        <w:t xml:space="preserve"> </w:t>
      </w:r>
      <w:r w:rsidRPr="00545EC0">
        <w:rPr>
          <w:rFonts w:cs="Arial"/>
          <w:spacing w:val="-2"/>
        </w:rPr>
        <w:t>Donave</w:t>
      </w:r>
      <w:r w:rsidRPr="00545EC0">
        <w:rPr>
          <w:rFonts w:cs="Arial"/>
          <w:spacing w:val="29"/>
        </w:rPr>
        <w:t xml:space="preserve"> </w:t>
      </w:r>
      <w:r w:rsidRPr="00545EC0">
        <w:rPr>
          <w:rFonts w:cs="Arial"/>
          <w:spacing w:val="-2"/>
        </w:rPr>
        <w:t>je</w:t>
      </w:r>
      <w:r w:rsidRPr="00545EC0">
        <w:rPr>
          <w:rFonts w:cs="Arial"/>
          <w:spacing w:val="29"/>
        </w:rPr>
        <w:t xml:space="preserve"> </w:t>
      </w:r>
      <w:r w:rsidRPr="00545EC0">
        <w:rPr>
          <w:rFonts w:cs="Arial"/>
          <w:spacing w:val="-2"/>
        </w:rPr>
        <w:t>dol</w:t>
      </w:r>
      <w:r w:rsidRPr="00545EC0">
        <w:rPr>
          <w:rFonts w:cs="Arial"/>
        </w:rPr>
        <w:t>oč</w:t>
      </w:r>
      <w:r w:rsidRPr="00545EC0">
        <w:rPr>
          <w:rFonts w:cs="Arial"/>
          <w:spacing w:val="-2"/>
        </w:rPr>
        <w:t>enih</w:t>
      </w:r>
      <w:r w:rsidRPr="00545EC0">
        <w:rPr>
          <w:rFonts w:cs="Arial"/>
          <w:spacing w:val="29"/>
        </w:rPr>
        <w:t xml:space="preserve"> </w:t>
      </w:r>
      <w:r w:rsidRPr="00545EC0">
        <w:rPr>
          <w:rFonts w:cs="Arial"/>
          <w:spacing w:val="-2"/>
        </w:rPr>
        <w:t>13</w:t>
      </w:r>
      <w:r w:rsidRPr="00545EC0">
        <w:rPr>
          <w:rFonts w:cs="Arial"/>
          <w:spacing w:val="29"/>
        </w:rPr>
        <w:t xml:space="preserve"> </w:t>
      </w:r>
      <w:r w:rsidRPr="00545EC0">
        <w:rPr>
          <w:rFonts w:cs="Arial"/>
          <w:spacing w:val="-2"/>
        </w:rPr>
        <w:t xml:space="preserve">MPVT. </w:t>
      </w:r>
      <w:r w:rsidR="00162E83" w:rsidRPr="00545EC0">
        <w:rPr>
          <w:rFonts w:cs="Arial"/>
          <w:spacing w:val="-2"/>
        </w:rPr>
        <w:t xml:space="preserve">Vodna telesa </w:t>
      </w:r>
      <w:r w:rsidR="004A69FB" w:rsidRPr="00545EC0">
        <w:rPr>
          <w:rFonts w:cs="Arial"/>
          <w:spacing w:val="-2"/>
        </w:rPr>
        <w:t>s</w:t>
      </w:r>
      <w:r w:rsidRPr="00545EC0">
        <w:rPr>
          <w:rFonts w:cs="Arial"/>
          <w:spacing w:val="-2"/>
        </w:rPr>
        <w:t>o</w:t>
      </w:r>
      <w:r w:rsidRPr="00545EC0">
        <w:rPr>
          <w:rFonts w:cs="Arial"/>
          <w:spacing w:val="36"/>
        </w:rPr>
        <w:t xml:space="preserve"> </w:t>
      </w:r>
      <w:r w:rsidRPr="00545EC0">
        <w:rPr>
          <w:rFonts w:cs="Arial"/>
        </w:rPr>
        <w:t>prikazan</w:t>
      </w:r>
      <w:r w:rsidR="00AD586B" w:rsidRPr="00545EC0">
        <w:rPr>
          <w:rFonts w:cs="Arial"/>
        </w:rPr>
        <w:t>a</w:t>
      </w:r>
      <w:r w:rsidRPr="00545EC0">
        <w:rPr>
          <w:rFonts w:cs="Arial"/>
        </w:rPr>
        <w:t xml:space="preserve"> na kartah v </w:t>
      </w:r>
      <w:r w:rsidR="00AB6E53" w:rsidRPr="00545EC0">
        <w:rPr>
          <w:rFonts w:cs="Arial"/>
        </w:rPr>
        <w:t>publikacijskih kartah</w:t>
      </w:r>
      <w:r w:rsidRPr="00545EC0">
        <w:rPr>
          <w:rFonts w:cs="Arial"/>
        </w:rPr>
        <w:t xml:space="preserve"> (</w:t>
      </w:r>
      <w:r w:rsidR="00162E83" w:rsidRPr="00545EC0">
        <w:rPr>
          <w:rFonts w:cs="Arial"/>
          <w:i/>
        </w:rPr>
        <w:t>Publikacijska karta</w:t>
      </w:r>
      <w:r w:rsidR="001D5C1B" w:rsidRPr="00545EC0">
        <w:rPr>
          <w:rFonts w:cs="Arial"/>
          <w:i/>
        </w:rPr>
        <w:t xml:space="preserve"> 1.4</w:t>
      </w:r>
      <w:r w:rsidRPr="00545EC0">
        <w:rPr>
          <w:rFonts w:cs="Arial"/>
          <w:i/>
        </w:rPr>
        <w:t>: Vodna telesa površinskih voda</w:t>
      </w:r>
      <w:r w:rsidRPr="00545EC0">
        <w:rPr>
          <w:rFonts w:cs="Arial"/>
        </w:rPr>
        <w:t>). Na VO Donave so določena še 3 VTPV na jezerih in 4 UVT.</w:t>
      </w:r>
    </w:p>
    <w:p w14:paraId="35076FEB" w14:textId="77777777" w:rsidR="00342A40" w:rsidRPr="00545EC0" w:rsidRDefault="00342A40" w:rsidP="0010797F">
      <w:pPr>
        <w:widowControl w:val="0"/>
        <w:ind w:right="-32"/>
        <w:rPr>
          <w:rFonts w:cs="Arial"/>
        </w:rPr>
      </w:pPr>
    </w:p>
    <w:p w14:paraId="795D494F" w14:textId="7331CE27" w:rsidR="00342A40" w:rsidRPr="00545EC0" w:rsidRDefault="00342A40" w:rsidP="0010797F">
      <w:pPr>
        <w:rPr>
          <w:rFonts w:cs="Arial"/>
        </w:rPr>
      </w:pPr>
      <w:r w:rsidRPr="00545EC0">
        <w:rPr>
          <w:rFonts w:cs="Arial"/>
        </w:rPr>
        <w:t xml:space="preserve">Na VO Donave je </w:t>
      </w:r>
      <w:r w:rsidR="004A69FB" w:rsidRPr="00545EC0">
        <w:rPr>
          <w:rFonts w:cs="Arial"/>
        </w:rPr>
        <w:t xml:space="preserve">na meji </w:t>
      </w:r>
      <w:r w:rsidRPr="00545EC0">
        <w:rPr>
          <w:rFonts w:cs="Arial"/>
        </w:rPr>
        <w:t xml:space="preserve">z Republiko Avstrijo določenih </w:t>
      </w:r>
      <w:r w:rsidR="00D97844" w:rsidRPr="00545EC0">
        <w:rPr>
          <w:rFonts w:cs="Arial"/>
        </w:rPr>
        <w:t xml:space="preserve">sedem </w:t>
      </w:r>
      <w:r w:rsidRPr="00545EC0">
        <w:rPr>
          <w:rFonts w:cs="Arial"/>
        </w:rPr>
        <w:t xml:space="preserve">mejnih </w:t>
      </w:r>
      <w:r w:rsidR="00D97844" w:rsidRPr="00545EC0">
        <w:rPr>
          <w:rFonts w:cs="Arial"/>
        </w:rPr>
        <w:t>vodnih teles površinskih voda</w:t>
      </w:r>
      <w:r w:rsidRPr="00545EC0">
        <w:rPr>
          <w:rFonts w:cs="Arial"/>
        </w:rPr>
        <w:t xml:space="preserve">. </w:t>
      </w:r>
      <w:bookmarkStart w:id="69" w:name="_Toc366228080"/>
    </w:p>
    <w:p w14:paraId="0AD24BB8" w14:textId="77777777" w:rsidR="000E202D" w:rsidRPr="00545EC0" w:rsidRDefault="000E202D" w:rsidP="0010797F">
      <w:pPr>
        <w:rPr>
          <w:rFonts w:cs="Arial"/>
        </w:rPr>
      </w:pPr>
    </w:p>
    <w:p w14:paraId="40AF9A99" w14:textId="28EBCADE" w:rsidR="00901B63" w:rsidRPr="00545EC0" w:rsidRDefault="00901B63" w:rsidP="0010797F">
      <w:pPr>
        <w:rPr>
          <w:rFonts w:cs="Arial"/>
        </w:rPr>
      </w:pPr>
      <w:r w:rsidRPr="00545EC0">
        <w:rPr>
          <w:rFonts w:cs="Arial"/>
        </w:rPr>
        <w:t xml:space="preserve">Mejni odseki rek z </w:t>
      </w:r>
      <w:r w:rsidR="006E0548" w:rsidRPr="00545EC0">
        <w:rPr>
          <w:rFonts w:cs="Arial"/>
        </w:rPr>
        <w:t>R</w:t>
      </w:r>
      <w:r w:rsidRPr="00545EC0">
        <w:rPr>
          <w:rFonts w:cs="Arial"/>
        </w:rPr>
        <w:t>epubliko Hrvaško so Mura od Gibine do sotočja</w:t>
      </w:r>
      <w:r w:rsidR="00AD586B" w:rsidRPr="00545EC0">
        <w:rPr>
          <w:rFonts w:cs="Arial"/>
        </w:rPr>
        <w:t xml:space="preserve"> Velike</w:t>
      </w:r>
      <w:r w:rsidRPr="00545EC0">
        <w:rPr>
          <w:rFonts w:cs="Arial"/>
        </w:rPr>
        <w:t xml:space="preserve"> Krke in Mure, Drava od Zavrča do Središča, Sotla od izvira </w:t>
      </w:r>
      <w:r w:rsidR="00AD586B" w:rsidRPr="00545EC0">
        <w:rPr>
          <w:rFonts w:cs="Arial"/>
        </w:rPr>
        <w:t>sotočja s Savo</w:t>
      </w:r>
      <w:r w:rsidRPr="00545EC0">
        <w:rPr>
          <w:rFonts w:cs="Arial"/>
        </w:rPr>
        <w:t xml:space="preserve">, Bregana od Gabrovice </w:t>
      </w:r>
      <w:r w:rsidR="00AD586B" w:rsidRPr="00545EC0">
        <w:rPr>
          <w:rFonts w:cs="Arial"/>
        </w:rPr>
        <w:t xml:space="preserve">sotočja s </w:t>
      </w:r>
      <w:r w:rsidRPr="00545EC0">
        <w:rPr>
          <w:rFonts w:cs="Arial"/>
        </w:rPr>
        <w:t>Savo, Kolpa od Osilnice do Rakovca, Čabranka od izvira do sotočja s Kolpo.</w:t>
      </w:r>
    </w:p>
    <w:bookmarkEnd w:id="66"/>
    <w:bookmarkEnd w:id="67"/>
    <w:bookmarkEnd w:id="68"/>
    <w:bookmarkEnd w:id="69"/>
    <w:p w14:paraId="2BCAC7BC" w14:textId="77777777" w:rsidR="0016421B" w:rsidRPr="00545EC0" w:rsidRDefault="0016421B" w:rsidP="00424902">
      <w:pPr>
        <w:pStyle w:val="Naslov4"/>
        <w:rPr>
          <w:color w:val="auto"/>
        </w:rPr>
      </w:pPr>
      <w:r w:rsidRPr="00545EC0">
        <w:rPr>
          <w:color w:val="auto"/>
        </w:rPr>
        <w:t>Prikaz ekoregij in tipov vodnih teles površinskih voda ter opis njihovih značilnosti</w:t>
      </w:r>
    </w:p>
    <w:p w14:paraId="1D5D3D35" w14:textId="77777777" w:rsidR="00442122" w:rsidRPr="00545EC0" w:rsidRDefault="0075064D" w:rsidP="00442122">
      <w:pPr>
        <w:rPr>
          <w:rFonts w:cs="Arial"/>
        </w:rPr>
      </w:pPr>
      <w:r w:rsidRPr="00545EC0">
        <w:rPr>
          <w:rFonts w:eastAsia="Arial Unicode MS" w:cs="Arial"/>
          <w:spacing w:val="-2"/>
        </w:rPr>
        <w:t xml:space="preserve">V skladu s predpisom, ki ureja določitev in razvrstitev vodnih teles površinskih voda </w:t>
      </w:r>
      <w:r w:rsidR="00442122" w:rsidRPr="00545EC0">
        <w:rPr>
          <w:rFonts w:cs="Arial"/>
        </w:rPr>
        <w:t xml:space="preserve">so VTPV razvrščena v tipe vodotokov in naravnih jezer. Razvrstitev VTPV v tipe voda je bila pripravljena v skladu s prilogo II </w:t>
      </w:r>
      <w:r w:rsidR="00EB1AAD" w:rsidRPr="00545EC0">
        <w:rPr>
          <w:rFonts w:cs="Arial"/>
        </w:rPr>
        <w:t>v</w:t>
      </w:r>
      <w:r w:rsidR="00442122" w:rsidRPr="00545EC0">
        <w:rPr>
          <w:rFonts w:cs="Arial"/>
        </w:rPr>
        <w:t xml:space="preserve">odne direktive. Za opredeljevanje tipov površinskih voda je bil uporabljen sistem B, ki je določen v oddelku 1.2. priloge II </w:t>
      </w:r>
      <w:r w:rsidR="00EB1AAD" w:rsidRPr="00545EC0">
        <w:rPr>
          <w:rFonts w:cs="Arial"/>
        </w:rPr>
        <w:t>v</w:t>
      </w:r>
      <w:r w:rsidR="00242799" w:rsidRPr="00545EC0">
        <w:rPr>
          <w:rFonts w:cs="Arial"/>
        </w:rPr>
        <w:t>odne direktive</w:t>
      </w:r>
      <w:r w:rsidR="00442122" w:rsidRPr="00545EC0">
        <w:rPr>
          <w:rFonts w:cs="Arial"/>
        </w:rPr>
        <w:t xml:space="preserve">. </w:t>
      </w:r>
    </w:p>
    <w:p w14:paraId="1D01DFCA" w14:textId="77777777" w:rsidR="00342A40" w:rsidRPr="00545EC0" w:rsidRDefault="00342A40" w:rsidP="0010797F">
      <w:pPr>
        <w:rPr>
          <w:rFonts w:eastAsia="Century" w:cs="Arial"/>
          <w:w w:val="91"/>
          <w:sz w:val="18"/>
          <w:szCs w:val="18"/>
        </w:rPr>
      </w:pPr>
    </w:p>
    <w:p w14:paraId="6BF3116F" w14:textId="288BA53E" w:rsidR="00342A40" w:rsidRPr="00545EC0" w:rsidRDefault="00342A40" w:rsidP="0010797F">
      <w:pPr>
        <w:rPr>
          <w:rFonts w:cs="Arial"/>
          <w:szCs w:val="22"/>
        </w:rPr>
      </w:pPr>
      <w:r w:rsidRPr="00545EC0">
        <w:rPr>
          <w:rFonts w:cs="Arial"/>
        </w:rPr>
        <w:t>Tipi vodotokov so opredeljeni z obveznimi deskriptorji sistema B: geološka podlaga in velikost prispevne površine ter deskriptorjem hidroekoregija.</w:t>
      </w:r>
      <w:r w:rsidR="008C5111" w:rsidRPr="00545EC0">
        <w:rPr>
          <w:rFonts w:cs="Arial"/>
        </w:rPr>
        <w:t xml:space="preserve"> Pri opredelitvi hidroekoregij </w:t>
      </w:r>
      <w:r w:rsidRPr="00545EC0">
        <w:rPr>
          <w:rFonts w:cs="Arial"/>
        </w:rPr>
        <w:t>so upoštevan</w:t>
      </w:r>
      <w:r w:rsidR="004A69FB" w:rsidRPr="00545EC0">
        <w:rPr>
          <w:rFonts w:cs="Arial"/>
        </w:rPr>
        <w:t>e</w:t>
      </w:r>
      <w:r w:rsidRPr="00545EC0">
        <w:rPr>
          <w:rFonts w:cs="Arial"/>
        </w:rPr>
        <w:t xml:space="preserve"> nadmorsk</w:t>
      </w:r>
      <w:r w:rsidR="00C26126" w:rsidRPr="00545EC0">
        <w:rPr>
          <w:rFonts w:cs="Arial"/>
        </w:rPr>
        <w:t>e</w:t>
      </w:r>
      <w:r w:rsidRPr="00545EC0">
        <w:rPr>
          <w:rFonts w:cs="Arial"/>
        </w:rPr>
        <w:t xml:space="preserve"> višin</w:t>
      </w:r>
      <w:r w:rsidR="00C26126" w:rsidRPr="00545EC0">
        <w:rPr>
          <w:rFonts w:cs="Arial"/>
        </w:rPr>
        <w:t>e in lokacije vodotokov.</w:t>
      </w:r>
    </w:p>
    <w:p w14:paraId="66F0D359" w14:textId="77777777" w:rsidR="00342A40" w:rsidRPr="00545EC0" w:rsidRDefault="00342A40" w:rsidP="0010797F">
      <w:pPr>
        <w:rPr>
          <w:rFonts w:cs="Arial"/>
        </w:rPr>
      </w:pPr>
    </w:p>
    <w:p w14:paraId="3FE8D945" w14:textId="5AA85DC0" w:rsidR="00342A40" w:rsidRPr="00545EC0" w:rsidRDefault="00342A40" w:rsidP="0010797F">
      <w:pPr>
        <w:rPr>
          <w:rFonts w:cs="Arial"/>
        </w:rPr>
      </w:pPr>
      <w:r w:rsidRPr="00545EC0">
        <w:rPr>
          <w:rFonts w:cs="Arial"/>
        </w:rPr>
        <w:t>Tipi jezer so opredeljeni z obveznimi deskriptorji sistema B: nadmorska višina, povprečna globina, geološka podlaga, velikost in deskriptorjem hidroekoregija ter izbirnima deskriptorjema: zadrževalni čas in presihanje.</w:t>
      </w:r>
      <w:r w:rsidR="008C5111" w:rsidRPr="00545EC0">
        <w:rPr>
          <w:rFonts w:cs="Arial"/>
        </w:rPr>
        <w:t xml:space="preserve"> Pri opredelitvi hidroekoregij </w:t>
      </w:r>
      <w:r w:rsidRPr="00545EC0">
        <w:rPr>
          <w:rFonts w:cs="Arial"/>
        </w:rPr>
        <w:t>sta upoštevan</w:t>
      </w:r>
      <w:r w:rsidR="00C26126" w:rsidRPr="00545EC0">
        <w:rPr>
          <w:rFonts w:cs="Arial"/>
        </w:rPr>
        <w:t>i</w:t>
      </w:r>
      <w:r w:rsidRPr="00545EC0">
        <w:rPr>
          <w:rFonts w:cs="Arial"/>
        </w:rPr>
        <w:t xml:space="preserve"> zemljepisna širina in zemljepisna dolžina.</w:t>
      </w:r>
    </w:p>
    <w:p w14:paraId="62E40109" w14:textId="77777777" w:rsidR="00342A40" w:rsidRPr="00545EC0" w:rsidRDefault="00342A40" w:rsidP="0010797F">
      <w:pPr>
        <w:rPr>
          <w:rFonts w:cs="Arial"/>
        </w:rPr>
      </w:pPr>
    </w:p>
    <w:p w14:paraId="51163BF3" w14:textId="77777777" w:rsidR="00342A40" w:rsidRPr="00545EC0" w:rsidRDefault="00342A40" w:rsidP="0010797F">
      <w:pPr>
        <w:rPr>
          <w:rFonts w:cs="Arial"/>
        </w:rPr>
      </w:pPr>
      <w:r w:rsidRPr="00545EC0">
        <w:rPr>
          <w:rFonts w:cs="Arial"/>
        </w:rPr>
        <w:t>Na VO Donave so prisotne tri hidroekoregije: Alpe, Dinaridi in Panonska nižina</w:t>
      </w:r>
      <w:r w:rsidR="0075064D" w:rsidRPr="00545EC0">
        <w:rPr>
          <w:rFonts w:cs="Arial"/>
        </w:rPr>
        <w:t>.</w:t>
      </w:r>
    </w:p>
    <w:p w14:paraId="5D06CA1E" w14:textId="77777777" w:rsidR="00342A40" w:rsidRPr="00545EC0" w:rsidRDefault="00342A40" w:rsidP="0010797F">
      <w:pPr>
        <w:rPr>
          <w:rFonts w:cs="Arial"/>
        </w:rPr>
      </w:pPr>
      <w:r w:rsidRPr="00545EC0">
        <w:rPr>
          <w:rFonts w:cs="Arial"/>
        </w:rPr>
        <w:t xml:space="preserve">Vodna telesa na VO Donave so razvrščena v 19 tipov vodotokov in tri tipe jezer. </w:t>
      </w:r>
    </w:p>
    <w:p w14:paraId="6884CFDD" w14:textId="77777777" w:rsidR="00342A40" w:rsidRPr="00545EC0" w:rsidRDefault="00342A40" w:rsidP="0010797F">
      <w:pPr>
        <w:rPr>
          <w:rFonts w:cs="Arial"/>
        </w:rPr>
      </w:pPr>
    </w:p>
    <w:p w14:paraId="4A2751DD" w14:textId="7D4267E4" w:rsidR="00342A40" w:rsidRPr="00545EC0" w:rsidRDefault="00342A40" w:rsidP="0010797F">
      <w:pPr>
        <w:rPr>
          <w:rFonts w:cs="Arial"/>
        </w:rPr>
      </w:pPr>
      <w:r w:rsidRPr="00545EC0">
        <w:rPr>
          <w:rFonts w:cs="Arial"/>
        </w:rPr>
        <w:t xml:space="preserve">V hidroekoregiji Alpe, ki predstavlja ekoregijo Alpe po Illiesu (1978), so vodna telesa razvrščena v  šest tipov vodotokov in dva tipa jezer. V hidroekoregiji Dinaridi, ki predstavlja ekoregijo Dinarski </w:t>
      </w:r>
      <w:r w:rsidRPr="00545EC0">
        <w:rPr>
          <w:rFonts w:cs="Arial"/>
        </w:rPr>
        <w:lastRenderedPageBreak/>
        <w:t>zahodni Balkan po Illiesu (1978)</w:t>
      </w:r>
      <w:r w:rsidR="008C5111" w:rsidRPr="00545EC0">
        <w:rPr>
          <w:rFonts w:cs="Arial"/>
        </w:rPr>
        <w:t xml:space="preserve">, so vodna telesa razvrščena v </w:t>
      </w:r>
      <w:r w:rsidRPr="00545EC0">
        <w:rPr>
          <w:rFonts w:cs="Arial"/>
        </w:rPr>
        <w:t>štiri tipe vodotokov in en tip jezer. V hidroekoregiji Panonska nižina, ki predstavlja ekoregijo Madžarsko nižavje po Illiesu (1978)</w:t>
      </w:r>
      <w:r w:rsidR="008C5111" w:rsidRPr="00545EC0">
        <w:rPr>
          <w:rFonts w:cs="Arial"/>
        </w:rPr>
        <w:t xml:space="preserve">, so vodna telesa razvrščena v </w:t>
      </w:r>
      <w:r w:rsidRPr="00545EC0">
        <w:rPr>
          <w:rFonts w:cs="Arial"/>
        </w:rPr>
        <w:t>devet tipov vodotokov.</w:t>
      </w:r>
    </w:p>
    <w:p w14:paraId="617C596F" w14:textId="77777777" w:rsidR="0016421B" w:rsidRPr="00545EC0" w:rsidRDefault="0016421B" w:rsidP="00506E03">
      <w:pPr>
        <w:pStyle w:val="Naslov4"/>
        <w:ind w:left="1134" w:hanging="1134"/>
        <w:rPr>
          <w:color w:val="auto"/>
        </w:rPr>
      </w:pPr>
      <w:r w:rsidRPr="00545EC0">
        <w:rPr>
          <w:color w:val="auto"/>
        </w:rPr>
        <w:t>Opis za tipe značilnih referenčnih razmer, vključno z opisom uporabljene metode in meril za njihovo določitev, ter opis in prikaz referenčnih mest</w:t>
      </w:r>
    </w:p>
    <w:p w14:paraId="00D92026" w14:textId="2A3BBE5A" w:rsidR="00FF4B2E" w:rsidRPr="00545EC0" w:rsidRDefault="008A43AF" w:rsidP="008A43AF">
      <w:r w:rsidRPr="00545EC0">
        <w:t xml:space="preserve">Referenčne biološke razmere predstavljajo vrednosti bioloških elementov kakovosti pri zelo dobrem ekološkem stanju, kot je določeno s predpisom, ki ureja podrobnejšo vsebino in način priprave načrta upravljanja voda. Določitev referenčnih razmer je eden od predpogojev za razvoj sistema vrednotenja in razvrščanje VT v razrede ekološkega stanja. Referenčne razmere </w:t>
      </w:r>
      <w:r w:rsidR="00FF4B2E" w:rsidRPr="00545EC0">
        <w:t>se</w:t>
      </w:r>
      <w:r w:rsidRPr="00545EC0">
        <w:t xml:space="preserve"> določ</w:t>
      </w:r>
      <w:r w:rsidR="00FF4B2E" w:rsidRPr="00545EC0">
        <w:t xml:space="preserve">a </w:t>
      </w:r>
      <w:r w:rsidRPr="00545EC0">
        <w:t>za vsak ekološki tip površinske vode in za vsak relevantni biološki element posebej. Referenčne razmere se lahko določi na podlagi zgodovinskih podatkov, paleolimnoloških podatkov, modeliranja ali t.i. prostorskega pristopa t.j. na podlagi podatkov z referenčnih mest.</w:t>
      </w:r>
      <w:r w:rsidR="00FF4B2E" w:rsidRPr="00545EC0">
        <w:t xml:space="preserve"> </w:t>
      </w:r>
      <w:r w:rsidRPr="00545EC0">
        <w:t xml:space="preserve">V primeru prostorskega pristopa se pridobi podatke o referenčnih razmerah na podlagi vzorčenj na terenu. Za uporabo prostorskega pristopa je treba imeti prepoznana referenčna mesta, ki ustrezajo stanju, kjer so lahko prisotne le zelo majhne spremembe v hidromorfoloških, bioloških ter fizikalno-kemijskih parametrih. </w:t>
      </w:r>
    </w:p>
    <w:p w14:paraId="025752E9" w14:textId="77777777" w:rsidR="00FF4B2E" w:rsidRPr="00545EC0" w:rsidRDefault="00FF4B2E" w:rsidP="008A43AF"/>
    <w:p w14:paraId="0D27298B" w14:textId="4D72B9D6" w:rsidR="008A43AF" w:rsidRPr="00545EC0" w:rsidRDefault="008A43AF" w:rsidP="008A43AF">
      <w:r w:rsidRPr="00545EC0">
        <w:t xml:space="preserve">V skladu s splošnim izborom kriterijev, je bil pripravljen seznam kriterijev za izbor potencialnih referenčnih mest na rekah in jezerih v </w:t>
      </w:r>
      <w:r w:rsidR="00307E73" w:rsidRPr="00545EC0">
        <w:t xml:space="preserve">Republiki </w:t>
      </w:r>
      <w:r w:rsidRPr="00545EC0">
        <w:t>Sloveniji. Vodn</w:t>
      </w:r>
      <w:r w:rsidR="00FF4B2E" w:rsidRPr="00545EC0">
        <w:t>a</w:t>
      </w:r>
      <w:r w:rsidRPr="00545EC0">
        <w:t xml:space="preserve"> direktiv</w:t>
      </w:r>
      <w:r w:rsidR="00C04FAE" w:rsidRPr="00545EC0">
        <w:t>a</w:t>
      </w:r>
      <w:r w:rsidRPr="00545EC0">
        <w:t xml:space="preserve"> </w:t>
      </w:r>
      <w:r w:rsidR="00FF4B2E" w:rsidRPr="00545EC0">
        <w:t xml:space="preserve">določa, </w:t>
      </w:r>
      <w:r w:rsidRPr="00545EC0">
        <w:t>da za tipske referenčne biološke razmere, ki temeljijo na prostorskih merilih, države članice razvijejo referenčno omrežje za vsak tip površinskih vodnih teles, ki vsebuje dovolj območij z zelo dobrim stanjem, da se zagotovi dovolj visoka raven zaupanja za vrednosti za referenčne razmere glede na spremenljivost vrednosti elementov kakovosti, ki ustrezajo zelo dobremu ekološkemu stanju za ta tip površinskih vodnih teles. Za ekološke tipe voda, za katere referenčn</w:t>
      </w:r>
      <w:r w:rsidR="00D62121" w:rsidRPr="00545EC0">
        <w:t>a</w:t>
      </w:r>
      <w:r w:rsidRPr="00545EC0">
        <w:t xml:space="preserve"> mest</w:t>
      </w:r>
      <w:r w:rsidR="00D62121" w:rsidRPr="00545EC0">
        <w:t>a</w:t>
      </w:r>
      <w:r w:rsidRPr="00545EC0">
        <w:t xml:space="preserve"> nis</w:t>
      </w:r>
      <w:r w:rsidR="00D62121" w:rsidRPr="00545EC0">
        <w:t>o</w:t>
      </w:r>
      <w:r w:rsidRPr="00545EC0">
        <w:t xml:space="preserve"> ugotov</w:t>
      </w:r>
      <w:r w:rsidR="00D62121" w:rsidRPr="00545EC0">
        <w:t>ljena</w:t>
      </w:r>
      <w:r w:rsidRPr="00545EC0">
        <w:t>, je bil za določitev referenčnih razmer uporabljen pristop z modeliranjem, kombinacije zgodovinskih podatkov in modeliranja ali pa so bile referenčne razmere določene na podlagi strokovnega mnenja.</w:t>
      </w:r>
    </w:p>
    <w:p w14:paraId="62E8B1C2" w14:textId="77777777" w:rsidR="005A1C45" w:rsidRPr="00545EC0" w:rsidRDefault="005A1C45" w:rsidP="008A43AF"/>
    <w:p w14:paraId="3A3D4806" w14:textId="2FFBA5EA" w:rsidR="008A43AF" w:rsidRPr="00545EC0" w:rsidRDefault="008A43AF" w:rsidP="008A43AF">
      <w:r w:rsidRPr="00545EC0">
        <w:t xml:space="preserve">V </w:t>
      </w:r>
      <w:r w:rsidR="00307E73" w:rsidRPr="00545EC0">
        <w:t xml:space="preserve">Republiki </w:t>
      </w:r>
      <w:r w:rsidRPr="00545EC0">
        <w:t xml:space="preserve">Sloveniji se ekološko stanje površinskih voda vrednoti glede na skupino obremenitev (modul). Za posamezno skupino obremenitev so bili izbrani enometrijski ali multimetrijski indeksi. </w:t>
      </w:r>
      <w:r w:rsidR="00C12042" w:rsidRPr="00545EC0">
        <w:t>Za vrednotenje ekološkega stanja vodotokov se uporabljata saprobni indeks in trofični indeks za fitobentos, indeks rečnih makrofitov za makrofite, slovenski saprobni indeks, multimetrijski indeks SMEIH za bentoške nevretenčarje ter multimetrijski indeks SIFAIR za ribe. Ekološko stanje jezer se vrednoti na podlagi multimetrijskega indeksa MMI_FPL za fitoplankton, trofičnega indeksa za fitobentos, multimetrijskega indeksa SMILE za makrofite in multimetrijskega indeksa SI-LFI za ribe</w:t>
      </w:r>
      <w:r w:rsidR="004D3123" w:rsidRPr="00545EC0">
        <w:t>.</w:t>
      </w:r>
      <w:r w:rsidR="00C12042" w:rsidRPr="00545EC0">
        <w:t xml:space="preserve"> </w:t>
      </w:r>
      <w:r w:rsidRPr="00545EC0">
        <w:t xml:space="preserve">Ekološko stanje obalnega morja se vrednoti na podlagi klorofila </w:t>
      </w:r>
      <w:r w:rsidRPr="00545EC0">
        <w:rPr>
          <w:i/>
        </w:rPr>
        <w:t>a</w:t>
      </w:r>
      <w:r w:rsidRPr="00545EC0">
        <w:t xml:space="preserve"> za fitoplankton, indeksa vrednotenja ekološkega stanja EEI-c za makroalge in multimetrijskega indeksa M-AMBI za bentoške nevretenčarje. </w:t>
      </w:r>
      <w:r w:rsidR="004D3123" w:rsidRPr="00545EC0">
        <w:t>Vse</w:t>
      </w:r>
      <w:r w:rsidRPr="00545EC0">
        <w:t xml:space="preserve"> razvite metode vrednotenja (enometrijske in multimetrijske indekse) so bile določene za tip značilne referenčne vrednosti in referenčne razmere. Za vodotoke in jezera so referenčne razmere določene za vsak posamezni biološki element kakovosti glede na ekološki tip vodotoka oz. ekološki tip jezera, razen za ribe v vodotokih, ko so referenčne razmere določene glede na ribji tip. Za obalno morje so referenčne razmere določene za posamezni biološki element kakovosti enake za oba tipa obalnega morja. Ekološki tipi vodotokov, ekološki tipi jezer in ribji tipi so del metodologij vrednotenja ekološkega stanja voda. Referenčne vrednosti so bile določene tudi za posamezno m</w:t>
      </w:r>
      <w:r w:rsidR="004D3123" w:rsidRPr="00545EC0">
        <w:t>a</w:t>
      </w:r>
      <w:r w:rsidRPr="00545EC0">
        <w:t xml:space="preserve">triko multimetrijskih indeksov. Referenčne razmere so razmere z zelo dobrim stanjem. Za indekse vodotokov </w:t>
      </w:r>
      <w:r w:rsidR="00C12042" w:rsidRPr="00545EC0">
        <w:t>in</w:t>
      </w:r>
      <w:r w:rsidRPr="00545EC0">
        <w:t xml:space="preserve"> jezer so referenčne razmere pri vrednostih ≥0,80. </w:t>
      </w:r>
    </w:p>
    <w:p w14:paraId="5C00D1EA" w14:textId="77777777" w:rsidR="008A43AF" w:rsidRPr="00545EC0" w:rsidRDefault="008A43AF" w:rsidP="008A43AF"/>
    <w:p w14:paraId="2681DFA4" w14:textId="77777777" w:rsidR="008A43AF" w:rsidRPr="00545EC0" w:rsidRDefault="008A43AF" w:rsidP="008A43AF">
      <w:r w:rsidRPr="00545EC0">
        <w:t xml:space="preserve">Za tip značilne referenčne razmere še niso določene za vse ribje tipe, saj metodologija vrednotenja z indeksom SIFAIR še ni razvita za vse ribje tipe v hidroekoregiji Dinaridi in hidroekoregiji Padska nižina. </w:t>
      </w:r>
      <w:r w:rsidRPr="00545EC0">
        <w:lastRenderedPageBreak/>
        <w:t>Razvoj manjkajočih metodologij poteka v skladu s Programom dela Inštituta za vode Republike Slovenije po fazah in je še v izvajanju.</w:t>
      </w:r>
    </w:p>
    <w:p w14:paraId="5F6D640D" w14:textId="77777777" w:rsidR="008A43AF" w:rsidRPr="00545EC0" w:rsidRDefault="008A43AF" w:rsidP="008A43AF"/>
    <w:p w14:paraId="02A43FE3" w14:textId="5338EDBD" w:rsidR="008A43AF" w:rsidRPr="00545EC0" w:rsidRDefault="008A43AF" w:rsidP="008A43AF">
      <w:r w:rsidRPr="00545EC0">
        <w:t>Za tip značilne razmere so bile določene za splošne fizikalno-kemijske elemente kakovosti, za katere so razvite mejne vrednosti za vrednotenje ekološkega stanja. Za vodotoke so za tip značilne razmere in metodologije vrednotenja ekološkega stanja na podlagi splošnih fizikalno-kemijskih elementov kakovosti določene za parametre biokemijska potreba po kisiku, nitrati, celotni fosfor, temperatura, pH in električna prevodnost. Za jezera so za tip značilne razmere in metodologije vrednotenja ekološkega stanja na podlagi splošnih fizikalno-kemijskih elementov kakovosti določene za parametre Secchijeva globina, temperatura vode v hipolimniju, specifična električna prevodnost, nasičenost vode s kisikom v hipolimniju, pH in celotni fosfor. Za obalno morje so za tip značilne razmere in metodologije vrednotenja ekološkega stanja na podlagi splošnih fizikalno-kemijskih elementov kakovosti določene za parametre hranil, in sicer za nitrat, celotni fosfor in ortofosfat. Iz strokovnih podlag izhaja, da za splošni fizikalno-kemijski element kakovosti slanost za obalno morje ni mogoče dovolj zanesljivo postaviti mej med razredi ekološkega stanja. Navedeno izhaja iz ugotovitev, da je za obalno morje značilen širok razpon vrednosti in velika časovna variabilnosti, predvsem v odvisnosti od sladkovodnih pritokov. Dodatno iz strokovnih podlag izhaja, da so spremembe prosojnosti v slovenskem morju zaradi razmeroma nizke globine</w:t>
      </w:r>
      <w:r w:rsidRPr="00545EC0">
        <w:rPr>
          <w:strike/>
        </w:rPr>
        <w:t>,</w:t>
      </w:r>
      <w:r w:rsidRPr="00545EC0">
        <w:t xml:space="preserve"> povezane tako s spremembo fitoplanktonske biomase, kot tudi z resuspenzijo sedimentov. Resuspenzija sedimentov je lahko</w:t>
      </w:r>
      <w:r w:rsidR="004D3123" w:rsidRPr="00545EC0">
        <w:t xml:space="preserve"> tako</w:t>
      </w:r>
      <w:r w:rsidRPr="00545EC0">
        <w:t xml:space="preserve"> posledica človekovega delovanja kakor tudi naravnih procesov. Parameter zaradi navedenega ne omogoča dovolj zanesljivega razvrščanja obalnega morja v razrede ekološkega stanja. Podobno je ugotovljeno za parameter temperatura. Iz strokovnih podlag izhaja, da meje med razredi ekološkega stanja za parameter temperatura na podlagi naravnih karakteristik slovenskega morja in na podlagi razpoložljivih podatkov ni mogoče postaviti dovolj zanesljivo.</w:t>
      </w:r>
    </w:p>
    <w:p w14:paraId="72338FEC" w14:textId="77777777" w:rsidR="008A43AF" w:rsidRPr="00545EC0" w:rsidRDefault="008A43AF" w:rsidP="008A43AF"/>
    <w:p w14:paraId="4B3EFFEB" w14:textId="7AA824B3" w:rsidR="008A43AF" w:rsidRPr="00545EC0" w:rsidRDefault="008A43AF" w:rsidP="008A43AF">
      <w:r w:rsidRPr="00545EC0">
        <w:t>Za tip značilne razmere in metodologije vrednotenja vodotokov, jezer in obalnega morja na podlagi splošnih fizikalno-kemijskih elementov kakovosti, bodo predmet sprememb in dopolnitev predpisa, ki ureja stanje površinskih voda</w:t>
      </w:r>
      <w:r w:rsidR="004D3123" w:rsidRPr="00545EC0">
        <w:t>.</w:t>
      </w:r>
      <w:r w:rsidRPr="00545EC0">
        <w:t xml:space="preserve"> </w:t>
      </w:r>
      <w:bookmarkEnd w:id="64"/>
    </w:p>
    <w:p w14:paraId="4AECBEB3" w14:textId="77777777" w:rsidR="008A43AF" w:rsidRPr="00545EC0" w:rsidRDefault="008A43AF" w:rsidP="008A43AF">
      <w:pPr>
        <w:pStyle w:val="podnaslov0"/>
      </w:pPr>
      <w:r w:rsidRPr="00545EC0">
        <w:t>Referenčna mesta na VO Donave</w:t>
      </w:r>
    </w:p>
    <w:p w14:paraId="775CBB2E" w14:textId="20ABD36A" w:rsidR="008A43AF" w:rsidRPr="00545EC0" w:rsidRDefault="008A43AF" w:rsidP="008A43AF">
      <w:r w:rsidRPr="00545EC0">
        <w:t xml:space="preserve">Na vodnem območju Donave </w:t>
      </w:r>
      <w:r w:rsidR="00D62121" w:rsidRPr="00545EC0">
        <w:t xml:space="preserve">je </w:t>
      </w:r>
      <w:r w:rsidRPr="00545EC0">
        <w:t>določ</w:t>
      </w:r>
      <w:r w:rsidR="00D62121" w:rsidRPr="00545EC0">
        <w:t>enih</w:t>
      </w:r>
      <w:r w:rsidRPr="00545EC0">
        <w:t xml:space="preserve"> 31 referenčnih mest vodotokov. Največ referenčnih mest </w:t>
      </w:r>
      <w:r w:rsidR="00D62121" w:rsidRPr="00545EC0">
        <w:t xml:space="preserve">je </w:t>
      </w:r>
      <w:r w:rsidRPr="00545EC0">
        <w:t>določ</w:t>
      </w:r>
      <w:r w:rsidR="00D62121" w:rsidRPr="00545EC0">
        <w:t>enih</w:t>
      </w:r>
      <w:r w:rsidRPr="00545EC0">
        <w:t xml:space="preserve"> na ekoloških tipih malih preddinarskih in malih predalpskih rek donavskega porečja. Referenčna mesta so bila ugotovljena na 12 ekoloških tipih vodotokov in v treh hidroekoregijah (</w:t>
      </w:r>
      <w:r w:rsidRPr="00545EC0">
        <w:fldChar w:fldCharType="begin"/>
      </w:r>
      <w:r w:rsidRPr="00545EC0">
        <w:instrText xml:space="preserve"> REF _Ref462038935 \h </w:instrText>
      </w:r>
      <w:r w:rsidR="004F2AF2" w:rsidRPr="00545EC0">
        <w:instrText xml:space="preserve"> \* MERGEFORMAT </w:instrText>
      </w:r>
      <w:r w:rsidRPr="00545EC0">
        <w:fldChar w:fldCharType="separate"/>
      </w:r>
      <w:r w:rsidR="002F3E43" w:rsidRPr="00545EC0">
        <w:t xml:space="preserve">Preglednica </w:t>
      </w:r>
      <w:r w:rsidR="002F3E43">
        <w:rPr>
          <w:noProof/>
        </w:rPr>
        <w:t>2</w:t>
      </w:r>
      <w:r w:rsidR="002F3E43" w:rsidRPr="00545EC0">
        <w:rPr>
          <w:noProof/>
        </w:rPr>
        <w:noBreakHyphen/>
      </w:r>
      <w:r w:rsidR="002F3E43">
        <w:rPr>
          <w:noProof/>
        </w:rPr>
        <w:t>6</w:t>
      </w:r>
      <w:r w:rsidRPr="00545EC0">
        <w:fldChar w:fldCharType="end"/>
      </w:r>
      <w:r w:rsidRPr="00545EC0">
        <w:t xml:space="preserve">). Devet ekoloških tipov z referenčnimi mesti je iz hidroekoregije Alpe, en ekološki tip iz hidroekoregije Dinaridi in dva ekološka tipa iz hidroekoregije Panonska nižina. </w:t>
      </w:r>
    </w:p>
    <w:p w14:paraId="3B85D1F7" w14:textId="24AC9B54" w:rsidR="008A43AF" w:rsidRPr="00545EC0" w:rsidRDefault="008A43AF" w:rsidP="008A43AF">
      <w:r w:rsidRPr="00545EC0">
        <w:t xml:space="preserve">Dva referenčna odseka </w:t>
      </w:r>
      <w:r w:rsidR="00D62121" w:rsidRPr="00545EC0">
        <w:t xml:space="preserve">sta </w:t>
      </w:r>
      <w:r w:rsidRPr="00545EC0">
        <w:t>določ</w:t>
      </w:r>
      <w:r w:rsidR="00D62121" w:rsidRPr="00545EC0">
        <w:t>ena</w:t>
      </w:r>
      <w:r w:rsidRPr="00545EC0">
        <w:t xml:space="preserve"> na Bohinjskem jezeru.</w:t>
      </w:r>
    </w:p>
    <w:p w14:paraId="17D4CD1F" w14:textId="77777777" w:rsidR="008A43AF" w:rsidRPr="00545EC0" w:rsidRDefault="008A43AF" w:rsidP="008A43AF">
      <w:bookmarkStart w:id="70" w:name="_Toc406770248"/>
    </w:p>
    <w:p w14:paraId="59CDD050" w14:textId="1FBC3C2C" w:rsidR="008A43AF" w:rsidRPr="00545EC0" w:rsidRDefault="008A43AF" w:rsidP="008A43AF">
      <w:pPr>
        <w:pStyle w:val="Napis"/>
      </w:pPr>
      <w:bookmarkStart w:id="71" w:name="_Ref462038935"/>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6</w:t>
        </w:r>
      </w:fldSimple>
      <w:bookmarkEnd w:id="71"/>
      <w:r w:rsidRPr="00545EC0">
        <w:t>: Ekološki tipi vodotokov z ugotovljenimi referenčnimi mesti</w:t>
      </w:r>
      <w:bookmarkEnd w:id="70"/>
      <w:r w:rsidRPr="00545EC0">
        <w:t xml:space="preserve"> na VO Donava.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41"/>
        <w:gridCol w:w="2470"/>
      </w:tblGrid>
      <w:tr w:rsidR="003122F4" w:rsidRPr="00545EC0" w14:paraId="5F2B0870" w14:textId="77777777" w:rsidTr="00A107B8">
        <w:trPr>
          <w:trHeight w:val="315"/>
        </w:trPr>
        <w:tc>
          <w:tcPr>
            <w:tcW w:w="3659" w:type="pct"/>
            <w:shd w:val="clear" w:color="auto" w:fill="F2F2F2" w:themeFill="background1" w:themeFillShade="F2"/>
            <w:hideMark/>
          </w:tcPr>
          <w:p w14:paraId="47BD73CA" w14:textId="77777777" w:rsidR="008A43AF" w:rsidRPr="00545EC0" w:rsidRDefault="008A43AF" w:rsidP="00017486">
            <w:pPr>
              <w:rPr>
                <w:rFonts w:cs="Arial"/>
                <w:b/>
                <w:bCs/>
                <w:sz w:val="18"/>
                <w:szCs w:val="20"/>
              </w:rPr>
            </w:pPr>
            <w:r w:rsidRPr="00545EC0">
              <w:rPr>
                <w:rFonts w:cs="Arial"/>
                <w:b/>
                <w:bCs/>
                <w:sz w:val="18"/>
                <w:szCs w:val="20"/>
              </w:rPr>
              <w:t>Ekološki tip</w:t>
            </w:r>
          </w:p>
        </w:tc>
        <w:tc>
          <w:tcPr>
            <w:tcW w:w="1341" w:type="pct"/>
            <w:shd w:val="clear" w:color="auto" w:fill="F2F2F2" w:themeFill="background1" w:themeFillShade="F2"/>
            <w:noWrap/>
            <w:hideMark/>
          </w:tcPr>
          <w:p w14:paraId="4A0FE758" w14:textId="77777777" w:rsidR="008A43AF" w:rsidRPr="00545EC0" w:rsidRDefault="008A43AF" w:rsidP="00017486">
            <w:pPr>
              <w:rPr>
                <w:rFonts w:cs="Arial"/>
                <w:b/>
                <w:bCs/>
                <w:sz w:val="18"/>
                <w:szCs w:val="20"/>
              </w:rPr>
            </w:pPr>
            <w:r w:rsidRPr="00545EC0">
              <w:rPr>
                <w:rFonts w:cs="Arial"/>
                <w:b/>
                <w:bCs/>
                <w:sz w:val="18"/>
                <w:szCs w:val="20"/>
              </w:rPr>
              <w:t>Ekološki tip - šifra</w:t>
            </w:r>
          </w:p>
        </w:tc>
      </w:tr>
      <w:tr w:rsidR="003122F4" w:rsidRPr="00545EC0" w14:paraId="1BFCD0C5" w14:textId="77777777" w:rsidTr="00A107B8">
        <w:trPr>
          <w:trHeight w:val="300"/>
        </w:trPr>
        <w:tc>
          <w:tcPr>
            <w:tcW w:w="3659" w:type="pct"/>
            <w:hideMark/>
          </w:tcPr>
          <w:p w14:paraId="10EF98FE" w14:textId="77777777" w:rsidR="008A43AF" w:rsidRPr="00545EC0" w:rsidRDefault="008A43AF" w:rsidP="00017486">
            <w:pPr>
              <w:rPr>
                <w:rFonts w:cs="Arial"/>
                <w:sz w:val="18"/>
                <w:szCs w:val="20"/>
              </w:rPr>
            </w:pPr>
            <w:r w:rsidRPr="00545EC0">
              <w:rPr>
                <w:rFonts w:cs="Arial"/>
                <w:sz w:val="18"/>
                <w:szCs w:val="20"/>
              </w:rPr>
              <w:t>Male reke_Krško-brežiška kotlina</w:t>
            </w:r>
          </w:p>
        </w:tc>
        <w:tc>
          <w:tcPr>
            <w:tcW w:w="1341" w:type="pct"/>
            <w:noWrap/>
            <w:hideMark/>
          </w:tcPr>
          <w:p w14:paraId="52CCF5C1" w14:textId="77777777" w:rsidR="008A43AF" w:rsidRPr="00545EC0" w:rsidRDefault="008A43AF" w:rsidP="00017486">
            <w:pPr>
              <w:rPr>
                <w:rFonts w:cs="Arial"/>
                <w:sz w:val="18"/>
                <w:szCs w:val="20"/>
              </w:rPr>
            </w:pPr>
            <w:r w:rsidRPr="00545EC0">
              <w:rPr>
                <w:rFonts w:cs="Arial"/>
                <w:sz w:val="18"/>
                <w:szCs w:val="20"/>
              </w:rPr>
              <w:t>R_SI_11_PN-KrBr-kotl_1</w:t>
            </w:r>
          </w:p>
        </w:tc>
      </w:tr>
      <w:tr w:rsidR="003122F4" w:rsidRPr="00545EC0" w14:paraId="78B4C8ED" w14:textId="77777777" w:rsidTr="00A107B8">
        <w:trPr>
          <w:trHeight w:val="300"/>
        </w:trPr>
        <w:tc>
          <w:tcPr>
            <w:tcW w:w="3659" w:type="pct"/>
            <w:hideMark/>
          </w:tcPr>
          <w:p w14:paraId="4CE1DF5F" w14:textId="77777777" w:rsidR="008A43AF" w:rsidRPr="00545EC0" w:rsidRDefault="008A43AF" w:rsidP="00017486">
            <w:pPr>
              <w:rPr>
                <w:rFonts w:cs="Arial"/>
                <w:sz w:val="18"/>
                <w:szCs w:val="20"/>
              </w:rPr>
            </w:pPr>
            <w:r w:rsidRPr="00545EC0">
              <w:rPr>
                <w:rFonts w:cs="Arial"/>
                <w:sz w:val="18"/>
                <w:szCs w:val="20"/>
              </w:rPr>
              <w:t>Male reke_Panonske ravnine z alpskim vplivnim območjem</w:t>
            </w:r>
          </w:p>
        </w:tc>
        <w:tc>
          <w:tcPr>
            <w:tcW w:w="1341" w:type="pct"/>
            <w:noWrap/>
            <w:hideMark/>
          </w:tcPr>
          <w:p w14:paraId="10431622" w14:textId="77777777" w:rsidR="008A43AF" w:rsidRPr="00545EC0" w:rsidRDefault="008A43AF" w:rsidP="00017486">
            <w:pPr>
              <w:rPr>
                <w:rFonts w:cs="Arial"/>
                <w:sz w:val="18"/>
                <w:szCs w:val="20"/>
              </w:rPr>
            </w:pPr>
            <w:r w:rsidRPr="00545EC0">
              <w:rPr>
                <w:rFonts w:cs="Arial"/>
                <w:sz w:val="18"/>
                <w:szCs w:val="20"/>
              </w:rPr>
              <w:t>R_SI_11_PN-zALvpliv_1</w:t>
            </w:r>
          </w:p>
        </w:tc>
      </w:tr>
      <w:tr w:rsidR="003122F4" w:rsidRPr="00545EC0" w14:paraId="118B0A50" w14:textId="77777777" w:rsidTr="00A107B8">
        <w:trPr>
          <w:trHeight w:val="300"/>
        </w:trPr>
        <w:tc>
          <w:tcPr>
            <w:tcW w:w="3659" w:type="pct"/>
            <w:hideMark/>
          </w:tcPr>
          <w:p w14:paraId="4A8D1D3D" w14:textId="77777777" w:rsidR="008A43AF" w:rsidRPr="00545EC0" w:rsidRDefault="008A43AF" w:rsidP="00017486">
            <w:pPr>
              <w:rPr>
                <w:rFonts w:cs="Arial"/>
                <w:sz w:val="18"/>
                <w:szCs w:val="20"/>
              </w:rPr>
            </w:pPr>
            <w:r w:rsidRPr="00545EC0">
              <w:rPr>
                <w:rFonts w:cs="Arial"/>
                <w:sz w:val="18"/>
                <w:szCs w:val="20"/>
              </w:rPr>
              <w:t>Male reke_Karbonatne Alpe-donavsko porečje</w:t>
            </w:r>
          </w:p>
        </w:tc>
        <w:tc>
          <w:tcPr>
            <w:tcW w:w="1341" w:type="pct"/>
            <w:noWrap/>
            <w:hideMark/>
          </w:tcPr>
          <w:p w14:paraId="22A791A4" w14:textId="77777777" w:rsidR="008A43AF" w:rsidRPr="00545EC0" w:rsidRDefault="008A43AF" w:rsidP="00017486">
            <w:pPr>
              <w:rPr>
                <w:rFonts w:cs="Arial"/>
                <w:sz w:val="18"/>
                <w:szCs w:val="20"/>
              </w:rPr>
            </w:pPr>
            <w:r w:rsidRPr="00545EC0">
              <w:rPr>
                <w:rFonts w:cs="Arial"/>
                <w:sz w:val="18"/>
                <w:szCs w:val="20"/>
              </w:rPr>
              <w:t>R_SI_4_KB-AL-D_1</w:t>
            </w:r>
          </w:p>
        </w:tc>
      </w:tr>
      <w:tr w:rsidR="003122F4" w:rsidRPr="00545EC0" w14:paraId="5FA1FC18" w14:textId="77777777" w:rsidTr="00A107B8">
        <w:trPr>
          <w:trHeight w:val="300"/>
        </w:trPr>
        <w:tc>
          <w:tcPr>
            <w:tcW w:w="3659" w:type="pct"/>
            <w:hideMark/>
          </w:tcPr>
          <w:p w14:paraId="1E17485A" w14:textId="77777777" w:rsidR="008A43AF" w:rsidRPr="00545EC0" w:rsidRDefault="008A43AF" w:rsidP="00017486">
            <w:pPr>
              <w:rPr>
                <w:rFonts w:cs="Arial"/>
                <w:sz w:val="18"/>
                <w:szCs w:val="20"/>
              </w:rPr>
            </w:pPr>
            <w:r w:rsidRPr="00545EC0">
              <w:rPr>
                <w:rFonts w:cs="Arial"/>
                <w:sz w:val="18"/>
                <w:szCs w:val="20"/>
              </w:rPr>
              <w:t>Male gorske reke_Karbonatne Alpe-donavsko porečje</w:t>
            </w:r>
          </w:p>
        </w:tc>
        <w:tc>
          <w:tcPr>
            <w:tcW w:w="1341" w:type="pct"/>
            <w:noWrap/>
            <w:hideMark/>
          </w:tcPr>
          <w:p w14:paraId="7E3F5B64" w14:textId="77777777" w:rsidR="008A43AF" w:rsidRPr="00545EC0" w:rsidRDefault="008A43AF" w:rsidP="00017486">
            <w:pPr>
              <w:rPr>
                <w:rFonts w:cs="Arial"/>
                <w:sz w:val="18"/>
                <w:szCs w:val="20"/>
              </w:rPr>
            </w:pPr>
            <w:r w:rsidRPr="00545EC0">
              <w:rPr>
                <w:rFonts w:cs="Arial"/>
                <w:sz w:val="18"/>
                <w:szCs w:val="20"/>
              </w:rPr>
              <w:t>R_SI_4_KB-AL-D_1_&gt;700</w:t>
            </w:r>
          </w:p>
        </w:tc>
      </w:tr>
      <w:tr w:rsidR="003122F4" w:rsidRPr="00545EC0" w14:paraId="754F9560" w14:textId="77777777" w:rsidTr="00A107B8">
        <w:trPr>
          <w:trHeight w:val="300"/>
        </w:trPr>
        <w:tc>
          <w:tcPr>
            <w:tcW w:w="3659" w:type="pct"/>
            <w:hideMark/>
          </w:tcPr>
          <w:p w14:paraId="64510CCB" w14:textId="77777777" w:rsidR="008A43AF" w:rsidRPr="00545EC0" w:rsidRDefault="008A43AF" w:rsidP="00017486">
            <w:pPr>
              <w:rPr>
                <w:rFonts w:cs="Arial"/>
                <w:sz w:val="18"/>
                <w:szCs w:val="20"/>
              </w:rPr>
            </w:pPr>
            <w:r w:rsidRPr="00545EC0">
              <w:rPr>
                <w:rFonts w:cs="Arial"/>
                <w:sz w:val="18"/>
                <w:szCs w:val="20"/>
              </w:rPr>
              <w:t>Male reke pod kraškim izvirom_Karbonatne Alpe-donavsko porečje</w:t>
            </w:r>
          </w:p>
        </w:tc>
        <w:tc>
          <w:tcPr>
            <w:tcW w:w="1341" w:type="pct"/>
            <w:noWrap/>
            <w:hideMark/>
          </w:tcPr>
          <w:p w14:paraId="1464AD0D" w14:textId="77777777" w:rsidR="008A43AF" w:rsidRPr="00545EC0" w:rsidRDefault="008A43AF" w:rsidP="00017486">
            <w:pPr>
              <w:rPr>
                <w:rFonts w:cs="Arial"/>
                <w:sz w:val="18"/>
                <w:szCs w:val="20"/>
              </w:rPr>
            </w:pPr>
            <w:r w:rsidRPr="00545EC0">
              <w:rPr>
                <w:rFonts w:cs="Arial"/>
                <w:sz w:val="18"/>
                <w:szCs w:val="20"/>
              </w:rPr>
              <w:t>R_SI_4_KB-AL-D_1_KI</w:t>
            </w:r>
          </w:p>
        </w:tc>
      </w:tr>
      <w:tr w:rsidR="003122F4" w:rsidRPr="00545EC0" w14:paraId="47604B9D" w14:textId="77777777" w:rsidTr="00A107B8">
        <w:trPr>
          <w:trHeight w:val="300"/>
        </w:trPr>
        <w:tc>
          <w:tcPr>
            <w:tcW w:w="3659" w:type="pct"/>
            <w:hideMark/>
          </w:tcPr>
          <w:p w14:paraId="092272EC" w14:textId="77777777" w:rsidR="008A43AF" w:rsidRPr="00545EC0" w:rsidRDefault="008A43AF" w:rsidP="00017486">
            <w:pPr>
              <w:rPr>
                <w:rFonts w:cs="Arial"/>
                <w:sz w:val="18"/>
                <w:szCs w:val="20"/>
              </w:rPr>
            </w:pPr>
            <w:r w:rsidRPr="00545EC0">
              <w:rPr>
                <w:rFonts w:cs="Arial"/>
                <w:sz w:val="18"/>
                <w:szCs w:val="20"/>
              </w:rPr>
              <w:t>Male presihajoče reke_Karbonatne Alpe-donavsko porečje</w:t>
            </w:r>
          </w:p>
        </w:tc>
        <w:tc>
          <w:tcPr>
            <w:tcW w:w="1341" w:type="pct"/>
            <w:noWrap/>
            <w:hideMark/>
          </w:tcPr>
          <w:p w14:paraId="099F828F" w14:textId="77777777" w:rsidR="008A43AF" w:rsidRPr="00545EC0" w:rsidRDefault="008A43AF" w:rsidP="00017486">
            <w:pPr>
              <w:rPr>
                <w:rFonts w:cs="Arial"/>
                <w:sz w:val="18"/>
                <w:szCs w:val="20"/>
              </w:rPr>
            </w:pPr>
            <w:r w:rsidRPr="00545EC0">
              <w:rPr>
                <w:rFonts w:cs="Arial"/>
                <w:sz w:val="18"/>
                <w:szCs w:val="20"/>
              </w:rPr>
              <w:t>R_SI_4_KB-AL-D_1_Pres</w:t>
            </w:r>
          </w:p>
        </w:tc>
      </w:tr>
      <w:tr w:rsidR="003122F4" w:rsidRPr="00545EC0" w14:paraId="416D11F2" w14:textId="77777777" w:rsidTr="00A107B8">
        <w:trPr>
          <w:trHeight w:val="300"/>
        </w:trPr>
        <w:tc>
          <w:tcPr>
            <w:tcW w:w="3659" w:type="pct"/>
            <w:hideMark/>
          </w:tcPr>
          <w:p w14:paraId="5441B18E" w14:textId="77777777" w:rsidR="008A43AF" w:rsidRPr="00545EC0" w:rsidRDefault="008A43AF" w:rsidP="00017486">
            <w:pPr>
              <w:rPr>
                <w:rFonts w:cs="Arial"/>
                <w:sz w:val="18"/>
                <w:szCs w:val="20"/>
              </w:rPr>
            </w:pPr>
            <w:r w:rsidRPr="00545EC0">
              <w:rPr>
                <w:rFonts w:cs="Arial"/>
                <w:sz w:val="18"/>
                <w:szCs w:val="20"/>
              </w:rPr>
              <w:t>Srednje velike reke pod kraškim izvirom_Karbonatne Alpe-donavsko porečje</w:t>
            </w:r>
          </w:p>
        </w:tc>
        <w:tc>
          <w:tcPr>
            <w:tcW w:w="1341" w:type="pct"/>
            <w:noWrap/>
            <w:hideMark/>
          </w:tcPr>
          <w:p w14:paraId="77458786" w14:textId="77777777" w:rsidR="008A43AF" w:rsidRPr="00545EC0" w:rsidRDefault="008A43AF" w:rsidP="00017486">
            <w:pPr>
              <w:rPr>
                <w:rFonts w:cs="Arial"/>
                <w:sz w:val="18"/>
                <w:szCs w:val="20"/>
              </w:rPr>
            </w:pPr>
            <w:r w:rsidRPr="00545EC0">
              <w:rPr>
                <w:rFonts w:cs="Arial"/>
                <w:sz w:val="18"/>
                <w:szCs w:val="20"/>
              </w:rPr>
              <w:t>R_SI_4_KB-AL-D_2_KI</w:t>
            </w:r>
          </w:p>
        </w:tc>
      </w:tr>
      <w:tr w:rsidR="003122F4" w:rsidRPr="00545EC0" w14:paraId="46518F31" w14:textId="77777777" w:rsidTr="00A107B8">
        <w:trPr>
          <w:trHeight w:val="300"/>
        </w:trPr>
        <w:tc>
          <w:tcPr>
            <w:tcW w:w="3659" w:type="pct"/>
            <w:hideMark/>
          </w:tcPr>
          <w:p w14:paraId="10564AE8" w14:textId="77777777" w:rsidR="008A43AF" w:rsidRPr="00545EC0" w:rsidRDefault="008A43AF" w:rsidP="00017486">
            <w:pPr>
              <w:rPr>
                <w:rFonts w:cs="Arial"/>
                <w:sz w:val="18"/>
                <w:szCs w:val="20"/>
              </w:rPr>
            </w:pPr>
            <w:r w:rsidRPr="00545EC0">
              <w:rPr>
                <w:rFonts w:cs="Arial"/>
                <w:sz w:val="18"/>
                <w:szCs w:val="20"/>
              </w:rPr>
              <w:t>Male reke_Predalpska hribovja-donavsko porečje</w:t>
            </w:r>
          </w:p>
        </w:tc>
        <w:tc>
          <w:tcPr>
            <w:tcW w:w="1341" w:type="pct"/>
            <w:noWrap/>
            <w:hideMark/>
          </w:tcPr>
          <w:p w14:paraId="59845F86" w14:textId="77777777" w:rsidR="008A43AF" w:rsidRPr="00545EC0" w:rsidRDefault="008A43AF" w:rsidP="00017486">
            <w:pPr>
              <w:rPr>
                <w:rFonts w:cs="Arial"/>
                <w:sz w:val="18"/>
                <w:szCs w:val="20"/>
              </w:rPr>
            </w:pPr>
            <w:r w:rsidRPr="00545EC0">
              <w:rPr>
                <w:rFonts w:cs="Arial"/>
                <w:sz w:val="18"/>
                <w:szCs w:val="20"/>
              </w:rPr>
              <w:t>R_SI_4_PA-hrib-D_1</w:t>
            </w:r>
          </w:p>
        </w:tc>
      </w:tr>
      <w:tr w:rsidR="003122F4" w:rsidRPr="00545EC0" w14:paraId="3D1F6B7E" w14:textId="77777777" w:rsidTr="00A107B8">
        <w:trPr>
          <w:trHeight w:val="300"/>
        </w:trPr>
        <w:tc>
          <w:tcPr>
            <w:tcW w:w="3659" w:type="pct"/>
            <w:hideMark/>
          </w:tcPr>
          <w:p w14:paraId="41EF19C7" w14:textId="77777777" w:rsidR="008A43AF" w:rsidRPr="00545EC0" w:rsidRDefault="008A43AF" w:rsidP="00017486">
            <w:pPr>
              <w:rPr>
                <w:rFonts w:cs="Arial"/>
                <w:sz w:val="18"/>
                <w:szCs w:val="20"/>
              </w:rPr>
            </w:pPr>
            <w:r w:rsidRPr="00545EC0">
              <w:rPr>
                <w:rFonts w:cs="Arial"/>
                <w:sz w:val="18"/>
                <w:szCs w:val="20"/>
              </w:rPr>
              <w:t>Srednje velike reke_Predalpska hribovja-donavsko porečje</w:t>
            </w:r>
          </w:p>
        </w:tc>
        <w:tc>
          <w:tcPr>
            <w:tcW w:w="1341" w:type="pct"/>
            <w:noWrap/>
            <w:hideMark/>
          </w:tcPr>
          <w:p w14:paraId="0CBCAC01" w14:textId="77777777" w:rsidR="008A43AF" w:rsidRPr="00545EC0" w:rsidRDefault="008A43AF" w:rsidP="00017486">
            <w:pPr>
              <w:rPr>
                <w:rFonts w:cs="Arial"/>
                <w:sz w:val="18"/>
                <w:szCs w:val="20"/>
              </w:rPr>
            </w:pPr>
            <w:r w:rsidRPr="00545EC0">
              <w:rPr>
                <w:rFonts w:cs="Arial"/>
                <w:sz w:val="18"/>
                <w:szCs w:val="20"/>
              </w:rPr>
              <w:t>R_SI_4_PA-hrib-D_2</w:t>
            </w:r>
          </w:p>
        </w:tc>
      </w:tr>
      <w:tr w:rsidR="003122F4" w:rsidRPr="00545EC0" w14:paraId="10356B67" w14:textId="77777777" w:rsidTr="00A107B8">
        <w:trPr>
          <w:trHeight w:val="300"/>
        </w:trPr>
        <w:tc>
          <w:tcPr>
            <w:tcW w:w="3659" w:type="pct"/>
            <w:hideMark/>
          </w:tcPr>
          <w:p w14:paraId="796BA566" w14:textId="77777777" w:rsidR="008A43AF" w:rsidRPr="00545EC0" w:rsidRDefault="008A43AF" w:rsidP="00017486">
            <w:pPr>
              <w:rPr>
                <w:rFonts w:cs="Arial"/>
                <w:sz w:val="18"/>
                <w:szCs w:val="20"/>
              </w:rPr>
            </w:pPr>
            <w:r w:rsidRPr="00545EC0">
              <w:rPr>
                <w:rFonts w:cs="Arial"/>
                <w:sz w:val="18"/>
                <w:szCs w:val="20"/>
              </w:rPr>
              <w:lastRenderedPageBreak/>
              <w:t>Male reke_Silikatne Alpe</w:t>
            </w:r>
          </w:p>
        </w:tc>
        <w:tc>
          <w:tcPr>
            <w:tcW w:w="1341" w:type="pct"/>
            <w:noWrap/>
            <w:hideMark/>
          </w:tcPr>
          <w:p w14:paraId="31B53816" w14:textId="77777777" w:rsidR="008A43AF" w:rsidRPr="00545EC0" w:rsidRDefault="008A43AF" w:rsidP="00017486">
            <w:pPr>
              <w:rPr>
                <w:rFonts w:cs="Arial"/>
                <w:sz w:val="18"/>
                <w:szCs w:val="20"/>
              </w:rPr>
            </w:pPr>
            <w:r w:rsidRPr="00545EC0">
              <w:rPr>
                <w:rFonts w:cs="Arial"/>
                <w:sz w:val="18"/>
                <w:szCs w:val="20"/>
              </w:rPr>
              <w:t>R_SI_4_SI-AL_1</w:t>
            </w:r>
          </w:p>
        </w:tc>
      </w:tr>
      <w:tr w:rsidR="003122F4" w:rsidRPr="00545EC0" w14:paraId="78C106F4" w14:textId="77777777" w:rsidTr="00A107B8">
        <w:trPr>
          <w:trHeight w:val="300"/>
        </w:trPr>
        <w:tc>
          <w:tcPr>
            <w:tcW w:w="3659" w:type="pct"/>
            <w:hideMark/>
          </w:tcPr>
          <w:p w14:paraId="6C6605DD" w14:textId="77777777" w:rsidR="008A43AF" w:rsidRPr="00545EC0" w:rsidRDefault="008A43AF" w:rsidP="00017486">
            <w:pPr>
              <w:rPr>
                <w:rFonts w:cs="Arial"/>
                <w:sz w:val="18"/>
                <w:szCs w:val="20"/>
              </w:rPr>
            </w:pPr>
            <w:r w:rsidRPr="00545EC0">
              <w:rPr>
                <w:rFonts w:cs="Arial"/>
                <w:sz w:val="18"/>
                <w:szCs w:val="20"/>
              </w:rPr>
              <w:t>Male gorske reke_Silikatne Alpe</w:t>
            </w:r>
          </w:p>
        </w:tc>
        <w:tc>
          <w:tcPr>
            <w:tcW w:w="1341" w:type="pct"/>
            <w:noWrap/>
            <w:hideMark/>
          </w:tcPr>
          <w:p w14:paraId="20FBD903" w14:textId="77777777" w:rsidR="008A43AF" w:rsidRPr="00545EC0" w:rsidRDefault="008A43AF" w:rsidP="00017486">
            <w:pPr>
              <w:rPr>
                <w:rFonts w:cs="Arial"/>
                <w:sz w:val="18"/>
                <w:szCs w:val="20"/>
              </w:rPr>
            </w:pPr>
            <w:r w:rsidRPr="00545EC0">
              <w:rPr>
                <w:rFonts w:cs="Arial"/>
                <w:sz w:val="18"/>
                <w:szCs w:val="20"/>
              </w:rPr>
              <w:t>R_SI_4_SI-AL_1_&gt;700</w:t>
            </w:r>
          </w:p>
        </w:tc>
      </w:tr>
      <w:tr w:rsidR="00A107B8" w:rsidRPr="00545EC0" w14:paraId="104E0C42" w14:textId="77777777" w:rsidTr="00A107B8">
        <w:trPr>
          <w:trHeight w:val="300"/>
        </w:trPr>
        <w:tc>
          <w:tcPr>
            <w:tcW w:w="3659" w:type="pct"/>
            <w:hideMark/>
          </w:tcPr>
          <w:p w14:paraId="2034A7B1" w14:textId="77777777" w:rsidR="008A43AF" w:rsidRPr="00545EC0" w:rsidRDefault="008A43AF" w:rsidP="00017486">
            <w:pPr>
              <w:rPr>
                <w:rFonts w:cs="Arial"/>
                <w:sz w:val="18"/>
                <w:szCs w:val="20"/>
              </w:rPr>
            </w:pPr>
            <w:r w:rsidRPr="00545EC0">
              <w:rPr>
                <w:rFonts w:cs="Arial"/>
                <w:sz w:val="18"/>
                <w:szCs w:val="20"/>
              </w:rPr>
              <w:t>Male reke_Preddinarska hribovja in ravnine</w:t>
            </w:r>
          </w:p>
        </w:tc>
        <w:tc>
          <w:tcPr>
            <w:tcW w:w="1341" w:type="pct"/>
            <w:noWrap/>
            <w:hideMark/>
          </w:tcPr>
          <w:p w14:paraId="1F11FE1B" w14:textId="77777777" w:rsidR="008A43AF" w:rsidRPr="00545EC0" w:rsidRDefault="008A43AF" w:rsidP="00017486">
            <w:pPr>
              <w:rPr>
                <w:rFonts w:cs="Arial"/>
                <w:sz w:val="18"/>
                <w:szCs w:val="20"/>
              </w:rPr>
            </w:pPr>
            <w:r w:rsidRPr="00545EC0">
              <w:rPr>
                <w:rFonts w:cs="Arial"/>
                <w:sz w:val="18"/>
                <w:szCs w:val="20"/>
              </w:rPr>
              <w:t>R_SI_5_PD-hrib-ravni_1</w:t>
            </w:r>
          </w:p>
        </w:tc>
      </w:tr>
    </w:tbl>
    <w:p w14:paraId="7BFBAF1D" w14:textId="77777777" w:rsidR="0016421B" w:rsidRPr="00545EC0" w:rsidRDefault="0016421B" w:rsidP="0010797F">
      <w:pPr>
        <w:pStyle w:val="tevilnatoka"/>
        <w:numPr>
          <w:ilvl w:val="0"/>
          <w:numId w:val="0"/>
        </w:numPr>
        <w:tabs>
          <w:tab w:val="clear" w:pos="900"/>
          <w:tab w:val="left" w:pos="567"/>
        </w:tabs>
        <w:ind w:left="567"/>
        <w:rPr>
          <w:rFonts w:cs="Arial"/>
          <w:b/>
          <w:lang w:val="sl-SI"/>
        </w:rPr>
      </w:pPr>
    </w:p>
    <w:p w14:paraId="0179EB5E" w14:textId="77777777" w:rsidR="0016421B" w:rsidRPr="00545EC0" w:rsidRDefault="0016421B" w:rsidP="00424902">
      <w:pPr>
        <w:pStyle w:val="Naslov4"/>
        <w:rPr>
          <w:color w:val="auto"/>
        </w:rPr>
      </w:pPr>
      <w:r w:rsidRPr="00545EC0">
        <w:rPr>
          <w:color w:val="auto"/>
        </w:rPr>
        <w:t>Prikaz lokacij in meja umetnih in močno preoblikovanih vodnih teles, opis uporabljenih meril za njihovo določitev in opis njihove razvrstitve v tipe</w:t>
      </w:r>
    </w:p>
    <w:p w14:paraId="3D472421" w14:textId="0152DEA7" w:rsidR="00342A40" w:rsidRPr="00545EC0" w:rsidRDefault="00342A40" w:rsidP="0010797F">
      <w:pPr>
        <w:rPr>
          <w:rFonts w:eastAsia="SimSun" w:cs="Arial"/>
          <w:lang w:eastAsia="zh-CN"/>
        </w:rPr>
      </w:pPr>
      <w:r w:rsidRPr="00545EC0">
        <w:rPr>
          <w:rFonts w:eastAsia="SimSun" w:cs="Arial"/>
          <w:lang w:eastAsia="zh-CN"/>
        </w:rPr>
        <w:t>Umetna vodna telesa</w:t>
      </w:r>
      <w:r w:rsidR="007A0BB2" w:rsidRPr="00545EC0">
        <w:rPr>
          <w:rFonts w:eastAsia="SimSun" w:cs="Arial"/>
          <w:lang w:eastAsia="zh-CN"/>
        </w:rPr>
        <w:t xml:space="preserve"> (</w:t>
      </w:r>
      <w:r w:rsidRPr="00545EC0">
        <w:rPr>
          <w:rFonts w:eastAsia="SimSun" w:cs="Arial"/>
          <w:lang w:eastAsia="zh-CN"/>
        </w:rPr>
        <w:t>UVT</w:t>
      </w:r>
      <w:r w:rsidR="007A0BB2" w:rsidRPr="00545EC0">
        <w:rPr>
          <w:rFonts w:eastAsia="SimSun" w:cs="Arial"/>
          <w:lang w:eastAsia="zh-CN"/>
        </w:rPr>
        <w:t>)</w:t>
      </w:r>
      <w:r w:rsidRPr="00545EC0">
        <w:rPr>
          <w:rFonts w:eastAsia="SimSun" w:cs="Arial"/>
          <w:spacing w:val="35"/>
          <w:lang w:eastAsia="zh-CN"/>
        </w:rPr>
        <w:t xml:space="preserve"> </w:t>
      </w:r>
      <w:r w:rsidRPr="00545EC0">
        <w:rPr>
          <w:rFonts w:eastAsia="SimSun" w:cs="Arial"/>
          <w:lang w:eastAsia="zh-CN"/>
        </w:rPr>
        <w:t>so</w:t>
      </w:r>
      <w:r w:rsidRPr="00545EC0">
        <w:rPr>
          <w:rFonts w:eastAsia="SimSun" w:cs="Arial"/>
          <w:spacing w:val="35"/>
          <w:lang w:eastAsia="zh-CN"/>
        </w:rPr>
        <w:t xml:space="preserve"> </w:t>
      </w:r>
      <w:r w:rsidRPr="00545EC0">
        <w:rPr>
          <w:rFonts w:eastAsia="SimSun" w:cs="Arial"/>
          <w:spacing w:val="-2"/>
          <w:lang w:eastAsia="zh-CN"/>
        </w:rPr>
        <w:t>bila</w:t>
      </w:r>
      <w:r w:rsidRPr="00545EC0">
        <w:rPr>
          <w:rFonts w:eastAsia="SimSun" w:cs="Arial"/>
          <w:spacing w:val="35"/>
          <w:lang w:eastAsia="zh-CN"/>
        </w:rPr>
        <w:t xml:space="preserve"> </w:t>
      </w:r>
      <w:r w:rsidRPr="00545EC0">
        <w:rPr>
          <w:rFonts w:eastAsia="SimSun" w:cs="Arial"/>
          <w:spacing w:val="-2"/>
          <w:lang w:eastAsia="zh-CN"/>
        </w:rPr>
        <w:t>opredeljena</w:t>
      </w:r>
      <w:r w:rsidRPr="00545EC0">
        <w:rPr>
          <w:rFonts w:eastAsia="SimSun" w:cs="Arial"/>
          <w:spacing w:val="35"/>
          <w:lang w:eastAsia="zh-CN"/>
        </w:rPr>
        <w:t xml:space="preserve"> </w:t>
      </w:r>
      <w:r w:rsidRPr="00545EC0">
        <w:rPr>
          <w:rFonts w:eastAsia="SimSun" w:cs="Arial"/>
          <w:spacing w:val="-2"/>
          <w:lang w:eastAsia="zh-CN"/>
        </w:rPr>
        <w:t>na</w:t>
      </w:r>
      <w:r w:rsidRPr="00545EC0">
        <w:rPr>
          <w:rFonts w:eastAsia="SimSun" w:cs="Arial"/>
          <w:spacing w:val="35"/>
          <w:lang w:eastAsia="zh-CN"/>
        </w:rPr>
        <w:t xml:space="preserve"> </w:t>
      </w:r>
      <w:r w:rsidRPr="00545EC0">
        <w:rPr>
          <w:rFonts w:eastAsia="SimSun" w:cs="Arial"/>
          <w:spacing w:val="-2"/>
          <w:lang w:eastAsia="zh-CN"/>
        </w:rPr>
        <w:t>obm</w:t>
      </w:r>
      <w:r w:rsidRPr="00545EC0">
        <w:rPr>
          <w:rFonts w:eastAsia="SimSun" w:cs="Arial"/>
          <w:lang w:eastAsia="zh-CN"/>
        </w:rPr>
        <w:t>oč</w:t>
      </w:r>
      <w:r w:rsidRPr="00545EC0">
        <w:rPr>
          <w:rFonts w:eastAsia="SimSun" w:cs="Arial"/>
          <w:spacing w:val="-2"/>
          <w:lang w:eastAsia="zh-CN"/>
        </w:rPr>
        <w:t>ju,</w:t>
      </w:r>
      <w:r w:rsidRPr="00545EC0">
        <w:rPr>
          <w:rFonts w:eastAsia="SimSun" w:cs="Arial"/>
          <w:spacing w:val="35"/>
          <w:lang w:eastAsia="zh-CN"/>
        </w:rPr>
        <w:t xml:space="preserve"> </w:t>
      </w:r>
      <w:r w:rsidRPr="00545EC0">
        <w:rPr>
          <w:rFonts w:eastAsia="SimSun" w:cs="Arial"/>
          <w:spacing w:val="-2"/>
          <w:lang w:eastAsia="zh-CN"/>
        </w:rPr>
        <w:t>kje</w:t>
      </w:r>
      <w:r w:rsidRPr="00545EC0">
        <w:rPr>
          <w:rFonts w:eastAsia="SimSun" w:cs="Arial"/>
          <w:lang w:eastAsia="zh-CN"/>
        </w:rPr>
        <w:t>r</w:t>
      </w:r>
      <w:r w:rsidRPr="00545EC0">
        <w:rPr>
          <w:rFonts w:eastAsia="SimSun" w:cs="Arial"/>
          <w:spacing w:val="35"/>
          <w:lang w:eastAsia="zh-CN"/>
        </w:rPr>
        <w:t xml:space="preserve"> </w:t>
      </w:r>
      <w:r w:rsidRPr="00545EC0">
        <w:rPr>
          <w:rFonts w:eastAsia="SimSun" w:cs="Arial"/>
          <w:spacing w:val="-2"/>
          <w:lang w:eastAsia="zh-CN"/>
        </w:rPr>
        <w:t>površinska</w:t>
      </w:r>
      <w:r w:rsidRPr="00545EC0">
        <w:rPr>
          <w:rFonts w:eastAsia="SimSun" w:cs="Arial"/>
          <w:spacing w:val="35"/>
          <w:lang w:eastAsia="zh-CN"/>
        </w:rPr>
        <w:t xml:space="preserve"> </w:t>
      </w:r>
      <w:r w:rsidRPr="00545EC0">
        <w:rPr>
          <w:rFonts w:eastAsia="SimSun" w:cs="Arial"/>
          <w:lang w:eastAsia="zh-CN"/>
        </w:rPr>
        <w:t xml:space="preserve">vodna telesa </w:t>
      </w:r>
      <w:r w:rsidRPr="00545EC0">
        <w:rPr>
          <w:rFonts w:eastAsia="SimSun" w:cs="Arial"/>
          <w:spacing w:val="-2"/>
          <w:lang w:eastAsia="zh-CN"/>
        </w:rPr>
        <w:t>predhodno</w:t>
      </w:r>
      <w:r w:rsidRPr="00545EC0">
        <w:rPr>
          <w:rFonts w:eastAsia="SimSun" w:cs="Arial"/>
          <w:spacing w:val="35"/>
          <w:lang w:eastAsia="zh-CN"/>
        </w:rPr>
        <w:t xml:space="preserve"> </w:t>
      </w:r>
      <w:r w:rsidRPr="00545EC0">
        <w:rPr>
          <w:rFonts w:eastAsia="SimSun" w:cs="Arial"/>
          <w:spacing w:val="-2"/>
          <w:lang w:eastAsia="zh-CN"/>
        </w:rPr>
        <w:t>niso obstajala.</w:t>
      </w:r>
      <w:r w:rsidRPr="00545EC0">
        <w:rPr>
          <w:rFonts w:eastAsia="SimSun" w:cs="Arial"/>
          <w:lang w:eastAsia="zh-CN"/>
        </w:rPr>
        <w:t xml:space="preserve"> Pri</w:t>
      </w:r>
      <w:r w:rsidRPr="00545EC0">
        <w:rPr>
          <w:rFonts w:eastAsia="SimSun" w:cs="Arial"/>
          <w:spacing w:val="5"/>
          <w:lang w:eastAsia="zh-CN"/>
        </w:rPr>
        <w:t xml:space="preserve"> določitvi UVT sta bila upošteva kriterija za najmanjšo dolžino (</w:t>
      </w:r>
      <w:r w:rsidRPr="00545EC0">
        <w:rPr>
          <w:rFonts w:eastAsia="SimSun" w:cs="Arial"/>
          <w:spacing w:val="-2"/>
          <w:lang w:eastAsia="zh-CN"/>
        </w:rPr>
        <w:t>5</w:t>
      </w:r>
      <w:r w:rsidRPr="00545EC0">
        <w:rPr>
          <w:rFonts w:eastAsia="SimSun" w:cs="Arial"/>
          <w:lang w:eastAsia="zh-CN"/>
        </w:rPr>
        <w:t xml:space="preserve"> </w:t>
      </w:r>
      <w:r w:rsidRPr="00545EC0">
        <w:rPr>
          <w:rFonts w:eastAsia="SimSun" w:cs="Arial"/>
          <w:spacing w:val="-2"/>
          <w:lang w:eastAsia="zh-CN"/>
        </w:rPr>
        <w:t>km</w:t>
      </w:r>
      <w:r w:rsidRPr="00545EC0">
        <w:rPr>
          <w:rFonts w:eastAsia="SimSun" w:cs="Arial"/>
          <w:spacing w:val="5"/>
          <w:lang w:eastAsia="zh-CN"/>
        </w:rPr>
        <w:t>) in površino UVT (</w:t>
      </w:r>
      <w:r w:rsidRPr="00545EC0">
        <w:rPr>
          <w:rFonts w:eastAsia="SimSun" w:cs="Arial"/>
          <w:spacing w:val="-2"/>
          <w:lang w:eastAsia="zh-CN"/>
        </w:rPr>
        <w:t>0,5</w:t>
      </w:r>
      <w:r w:rsidRPr="00545EC0">
        <w:rPr>
          <w:rFonts w:eastAsia="SimSun" w:cs="Arial"/>
          <w:lang w:eastAsia="zh-CN"/>
        </w:rPr>
        <w:t xml:space="preserve"> </w:t>
      </w:r>
      <w:r w:rsidRPr="00545EC0">
        <w:rPr>
          <w:rFonts w:eastAsia="SimSun" w:cs="Arial"/>
          <w:spacing w:val="-2"/>
          <w:lang w:eastAsia="zh-CN"/>
        </w:rPr>
        <w:t>k</w:t>
      </w:r>
      <w:r w:rsidRPr="00545EC0">
        <w:rPr>
          <w:rFonts w:eastAsia="SimSun" w:cs="Arial"/>
          <w:lang w:eastAsia="zh-CN"/>
        </w:rPr>
        <w:t>m</w:t>
      </w:r>
      <w:r w:rsidRPr="00545EC0">
        <w:rPr>
          <w:rFonts w:eastAsia="SimSun" w:cs="Arial"/>
          <w:vertAlign w:val="superscript"/>
          <w:lang w:eastAsia="zh-CN"/>
        </w:rPr>
        <w:t>2</w:t>
      </w:r>
      <w:r w:rsidRPr="00545EC0">
        <w:rPr>
          <w:rFonts w:eastAsia="SimSun" w:cs="Arial"/>
          <w:spacing w:val="5"/>
          <w:lang w:eastAsia="zh-CN"/>
        </w:rPr>
        <w:t xml:space="preserve">). </w:t>
      </w:r>
      <w:r w:rsidRPr="00545EC0">
        <w:rPr>
          <w:rFonts w:eastAsia="SimSun" w:cs="Arial"/>
          <w:spacing w:val="-2"/>
          <w:lang w:eastAsia="zh-CN"/>
        </w:rPr>
        <w:t>Kot</w:t>
      </w:r>
      <w:r w:rsidRPr="00545EC0">
        <w:rPr>
          <w:rFonts w:eastAsia="SimSun" w:cs="Arial"/>
          <w:lang w:eastAsia="zh-CN"/>
        </w:rPr>
        <w:t xml:space="preserve"> </w:t>
      </w:r>
      <w:r w:rsidRPr="00545EC0">
        <w:rPr>
          <w:rFonts w:eastAsia="SimSun" w:cs="Arial"/>
          <w:spacing w:val="-2"/>
          <w:lang w:eastAsia="zh-CN"/>
        </w:rPr>
        <w:t>UVT</w:t>
      </w:r>
      <w:r w:rsidRPr="00545EC0">
        <w:rPr>
          <w:rFonts w:eastAsia="SimSun" w:cs="Arial"/>
          <w:lang w:eastAsia="zh-CN"/>
        </w:rPr>
        <w:t xml:space="preserve"> </w:t>
      </w:r>
      <w:r w:rsidRPr="00545EC0">
        <w:rPr>
          <w:rFonts w:eastAsia="SimSun" w:cs="Arial"/>
          <w:spacing w:val="-2"/>
          <w:lang w:eastAsia="zh-CN"/>
        </w:rPr>
        <w:t>so</w:t>
      </w:r>
      <w:r w:rsidRPr="00545EC0">
        <w:rPr>
          <w:rFonts w:eastAsia="SimSun" w:cs="Arial"/>
          <w:lang w:eastAsia="zh-CN"/>
        </w:rPr>
        <w:t xml:space="preserve"> </w:t>
      </w:r>
      <w:r w:rsidRPr="00545EC0">
        <w:rPr>
          <w:rFonts w:eastAsia="SimSun" w:cs="Arial"/>
          <w:spacing w:val="-2"/>
          <w:lang w:eastAsia="zh-CN"/>
        </w:rPr>
        <w:t>bili</w:t>
      </w:r>
      <w:r w:rsidRPr="00545EC0">
        <w:rPr>
          <w:rFonts w:eastAsia="SimSun" w:cs="Arial"/>
          <w:lang w:eastAsia="zh-CN"/>
        </w:rPr>
        <w:t xml:space="preserve"> </w:t>
      </w:r>
      <w:r w:rsidRPr="00545EC0">
        <w:rPr>
          <w:rFonts w:eastAsia="SimSun" w:cs="Arial"/>
          <w:spacing w:val="-2"/>
          <w:lang w:eastAsia="zh-CN"/>
        </w:rPr>
        <w:t>t</w:t>
      </w:r>
      <w:r w:rsidRPr="00545EC0">
        <w:rPr>
          <w:rFonts w:eastAsia="SimSun" w:cs="Arial"/>
          <w:lang w:eastAsia="zh-CN"/>
        </w:rPr>
        <w:t>a</w:t>
      </w:r>
      <w:r w:rsidRPr="00545EC0">
        <w:rPr>
          <w:rFonts w:eastAsia="SimSun" w:cs="Arial"/>
          <w:spacing w:val="-2"/>
          <w:lang w:eastAsia="zh-CN"/>
        </w:rPr>
        <w:t>ko</w:t>
      </w:r>
      <w:r w:rsidRPr="00545EC0">
        <w:rPr>
          <w:rFonts w:eastAsia="SimSun" w:cs="Arial"/>
          <w:lang w:eastAsia="zh-CN"/>
        </w:rPr>
        <w:t xml:space="preserve"> </w:t>
      </w:r>
      <w:r w:rsidRPr="00545EC0">
        <w:rPr>
          <w:rFonts w:eastAsia="SimSun" w:cs="Arial"/>
          <w:spacing w:val="-2"/>
          <w:lang w:eastAsia="zh-CN"/>
        </w:rPr>
        <w:t>opredeljeni</w:t>
      </w:r>
      <w:r w:rsidRPr="00545EC0">
        <w:rPr>
          <w:rFonts w:eastAsia="SimSun" w:cs="Arial"/>
          <w:lang w:eastAsia="zh-CN"/>
        </w:rPr>
        <w:t xml:space="preserve"> </w:t>
      </w:r>
      <w:r w:rsidRPr="00545EC0">
        <w:rPr>
          <w:rFonts w:eastAsia="SimSun" w:cs="Arial"/>
          <w:spacing w:val="-2"/>
          <w:lang w:eastAsia="zh-CN"/>
        </w:rPr>
        <w:t>zlasti:</w:t>
      </w:r>
    </w:p>
    <w:p w14:paraId="6D41DB8E" w14:textId="77777777" w:rsidR="00342A40" w:rsidRPr="00545EC0" w:rsidRDefault="00342A40" w:rsidP="00327A32">
      <w:pPr>
        <w:numPr>
          <w:ilvl w:val="0"/>
          <w:numId w:val="20"/>
        </w:numPr>
        <w:tabs>
          <w:tab w:val="clear" w:pos="360"/>
          <w:tab w:val="num" w:pos="567"/>
          <w:tab w:val="num" w:pos="3904"/>
        </w:tabs>
        <w:overflowPunct/>
        <w:autoSpaceDE/>
        <w:autoSpaceDN/>
        <w:adjustRightInd/>
        <w:ind w:left="567" w:hanging="283"/>
        <w:textAlignment w:val="auto"/>
        <w:rPr>
          <w:rFonts w:cs="Arial"/>
          <w:lang w:eastAsia="ja-JP"/>
        </w:rPr>
      </w:pPr>
      <w:r w:rsidRPr="00545EC0">
        <w:rPr>
          <w:rFonts w:cs="Arial"/>
        </w:rPr>
        <w:t>umetni derivacijski, kanali zgrajeni za potrebe proizvodnje električne energije,</w:t>
      </w:r>
    </w:p>
    <w:p w14:paraId="1290CC87" w14:textId="77777777" w:rsidR="00342A40" w:rsidRPr="00545EC0" w:rsidRDefault="00342A40" w:rsidP="00327A32">
      <w:pPr>
        <w:numPr>
          <w:ilvl w:val="0"/>
          <w:numId w:val="20"/>
        </w:numPr>
        <w:tabs>
          <w:tab w:val="clear" w:pos="360"/>
          <w:tab w:val="num" w:pos="567"/>
          <w:tab w:val="num" w:pos="3904"/>
        </w:tabs>
        <w:overflowPunct/>
        <w:autoSpaceDE/>
        <w:autoSpaceDN/>
        <w:adjustRightInd/>
        <w:ind w:left="567" w:hanging="283"/>
        <w:textAlignment w:val="auto"/>
        <w:rPr>
          <w:rFonts w:cs="Arial"/>
        </w:rPr>
      </w:pPr>
      <w:r w:rsidRPr="00545EC0">
        <w:rPr>
          <w:rFonts w:cs="Arial"/>
        </w:rPr>
        <w:t>umetni kanali, zgrajeni za zagotavljanje poplavne varnosti,</w:t>
      </w:r>
    </w:p>
    <w:p w14:paraId="580306EC" w14:textId="77777777" w:rsidR="00342A40" w:rsidRPr="00545EC0" w:rsidRDefault="00342A40" w:rsidP="00327A32">
      <w:pPr>
        <w:numPr>
          <w:ilvl w:val="0"/>
          <w:numId w:val="20"/>
        </w:numPr>
        <w:tabs>
          <w:tab w:val="clear" w:pos="360"/>
          <w:tab w:val="num" w:pos="567"/>
          <w:tab w:val="num" w:pos="3904"/>
        </w:tabs>
        <w:overflowPunct/>
        <w:autoSpaceDE/>
        <w:autoSpaceDN/>
        <w:adjustRightInd/>
        <w:ind w:left="567" w:hanging="283"/>
        <w:textAlignment w:val="auto"/>
        <w:rPr>
          <w:rFonts w:cs="Arial"/>
        </w:rPr>
      </w:pPr>
      <w:r w:rsidRPr="00545EC0">
        <w:rPr>
          <w:rFonts w:cs="Arial"/>
        </w:rPr>
        <w:t>umetna jezera, ki so nastala kot posledica antropogenih posegov na območjih, kjer površinska voda predhodno ni obstajala.</w:t>
      </w:r>
    </w:p>
    <w:p w14:paraId="072D6833" w14:textId="77777777" w:rsidR="00342A40" w:rsidRPr="00545EC0" w:rsidRDefault="00342A40" w:rsidP="0010797F">
      <w:pPr>
        <w:rPr>
          <w:rFonts w:cs="Arial"/>
        </w:rPr>
      </w:pPr>
    </w:p>
    <w:p w14:paraId="7403258C" w14:textId="77777777" w:rsidR="00342A40" w:rsidRPr="00545EC0" w:rsidRDefault="00342A40" w:rsidP="0010797F">
      <w:pPr>
        <w:rPr>
          <w:rFonts w:eastAsia="SimSun" w:cs="Arial"/>
          <w:lang w:eastAsia="zh-CN"/>
        </w:rPr>
      </w:pPr>
      <w:r w:rsidRPr="00545EC0">
        <w:rPr>
          <w:rFonts w:eastAsia="SimSun" w:cs="Arial"/>
          <w:lang w:eastAsia="zh-CN"/>
        </w:rPr>
        <w:t>Za opredelitev MPVT so bili uporabljeni kriteriji da:</w:t>
      </w:r>
    </w:p>
    <w:p w14:paraId="37C44E77" w14:textId="77777777" w:rsidR="00342A40" w:rsidRPr="00545EC0" w:rsidRDefault="00342A40" w:rsidP="00327A32">
      <w:pPr>
        <w:numPr>
          <w:ilvl w:val="0"/>
          <w:numId w:val="20"/>
        </w:numPr>
        <w:tabs>
          <w:tab w:val="clear" w:pos="360"/>
          <w:tab w:val="num" w:pos="567"/>
          <w:tab w:val="num" w:pos="3904"/>
        </w:tabs>
        <w:overflowPunct/>
        <w:autoSpaceDE/>
        <w:autoSpaceDN/>
        <w:adjustRightInd/>
        <w:ind w:left="567" w:hanging="283"/>
        <w:textAlignment w:val="auto"/>
        <w:rPr>
          <w:rFonts w:cs="Arial"/>
          <w:lang w:eastAsia="ja-JP"/>
        </w:rPr>
      </w:pPr>
      <w:r w:rsidRPr="00545EC0">
        <w:rPr>
          <w:rFonts w:cs="Arial"/>
        </w:rPr>
        <w:t>imajo očitno in bistveno spremenjene hidrološke in morfološke značilnosti glede na naravne razmere - antropogene fizične spremembe hidromorfoloških značilnosti,</w:t>
      </w:r>
    </w:p>
    <w:p w14:paraId="01030692" w14:textId="77777777" w:rsidR="00342A40" w:rsidRPr="00545EC0" w:rsidRDefault="00342A40" w:rsidP="00327A32">
      <w:pPr>
        <w:numPr>
          <w:ilvl w:val="0"/>
          <w:numId w:val="20"/>
        </w:numPr>
        <w:tabs>
          <w:tab w:val="clear" w:pos="360"/>
          <w:tab w:val="num" w:pos="567"/>
          <w:tab w:val="num" w:pos="3904"/>
        </w:tabs>
        <w:overflowPunct/>
        <w:autoSpaceDE/>
        <w:autoSpaceDN/>
        <w:adjustRightInd/>
        <w:ind w:left="567" w:hanging="283"/>
        <w:textAlignment w:val="auto"/>
        <w:rPr>
          <w:rFonts w:cs="Arial"/>
        </w:rPr>
      </w:pPr>
      <w:r w:rsidRPr="00545EC0">
        <w:rPr>
          <w:rFonts w:cs="Arial"/>
        </w:rPr>
        <w:t>so spremembe hidromorfoloških značilnosti trajne in so posledica določenih vrst človekove dejavnosti, rabe vode ali prostora, ali pa so neizbežno potrebne za izvajanje določene rabe in</w:t>
      </w:r>
    </w:p>
    <w:p w14:paraId="6C1FD29F" w14:textId="77777777" w:rsidR="00342A40" w:rsidRPr="00545EC0" w:rsidRDefault="00342A40" w:rsidP="00327A32">
      <w:pPr>
        <w:numPr>
          <w:ilvl w:val="0"/>
          <w:numId w:val="20"/>
        </w:numPr>
        <w:tabs>
          <w:tab w:val="clear" w:pos="360"/>
          <w:tab w:val="num" w:pos="567"/>
          <w:tab w:val="num" w:pos="3904"/>
        </w:tabs>
        <w:overflowPunct/>
        <w:autoSpaceDE/>
        <w:autoSpaceDN/>
        <w:adjustRightInd/>
        <w:ind w:left="567" w:hanging="283"/>
        <w:textAlignment w:val="auto"/>
        <w:rPr>
          <w:rFonts w:cs="Arial"/>
        </w:rPr>
      </w:pPr>
      <w:r w:rsidRPr="00545EC0">
        <w:rPr>
          <w:rFonts w:cs="Arial"/>
        </w:rPr>
        <w:t>vodno telo zaradi hidromorfoloških sprememb ne dosega biološke kakovosti, ki je ustrezna za doseganje dobrega ekološkega stanja.</w:t>
      </w:r>
    </w:p>
    <w:p w14:paraId="1BE017D3" w14:textId="77777777" w:rsidR="00424902" w:rsidRPr="00545EC0" w:rsidRDefault="00424902" w:rsidP="0010797F">
      <w:pPr>
        <w:rPr>
          <w:rFonts w:eastAsia="SimSun" w:cs="Arial"/>
          <w:spacing w:val="-2"/>
          <w:lang w:eastAsia="zh-CN"/>
        </w:rPr>
      </w:pPr>
    </w:p>
    <w:p w14:paraId="7EFEB49E" w14:textId="0CCFACC7" w:rsidR="00342A40" w:rsidRPr="00545EC0" w:rsidRDefault="00342A40" w:rsidP="0010797F">
      <w:pPr>
        <w:rPr>
          <w:rFonts w:eastAsia="SimSun" w:cs="Arial"/>
          <w:lang w:eastAsia="zh-CN"/>
        </w:rPr>
      </w:pPr>
      <w:r w:rsidRPr="00545EC0">
        <w:rPr>
          <w:rFonts w:eastAsia="SimSun" w:cs="Arial"/>
          <w:spacing w:val="-2"/>
          <w:lang w:eastAsia="zh-CN"/>
        </w:rPr>
        <w:t>Pomembne</w:t>
      </w:r>
      <w:r w:rsidRPr="00545EC0">
        <w:rPr>
          <w:rFonts w:eastAsia="SimSun" w:cs="Arial"/>
          <w:spacing w:val="10"/>
          <w:lang w:eastAsia="zh-CN"/>
        </w:rPr>
        <w:t xml:space="preserve"> </w:t>
      </w:r>
      <w:r w:rsidRPr="00545EC0">
        <w:rPr>
          <w:rFonts w:eastAsia="SimSun" w:cs="Arial"/>
          <w:spacing w:val="-2"/>
          <w:lang w:eastAsia="zh-CN"/>
        </w:rPr>
        <w:t>antropogene</w:t>
      </w:r>
      <w:r w:rsidRPr="00545EC0">
        <w:rPr>
          <w:rFonts w:eastAsia="SimSun" w:cs="Arial"/>
          <w:spacing w:val="10"/>
          <w:lang w:eastAsia="zh-CN"/>
        </w:rPr>
        <w:t xml:space="preserve"> </w:t>
      </w:r>
      <w:r w:rsidRPr="00545EC0">
        <w:rPr>
          <w:rFonts w:eastAsia="SimSun" w:cs="Arial"/>
          <w:spacing w:val="-2"/>
          <w:lang w:eastAsia="zh-CN"/>
        </w:rPr>
        <w:t>fiz</w:t>
      </w:r>
      <w:r w:rsidRPr="00545EC0">
        <w:rPr>
          <w:rFonts w:eastAsia="SimSun" w:cs="Arial"/>
          <w:lang w:eastAsia="zh-CN"/>
        </w:rPr>
        <w:t>ič</w:t>
      </w:r>
      <w:r w:rsidRPr="00545EC0">
        <w:rPr>
          <w:rFonts w:eastAsia="SimSun" w:cs="Arial"/>
          <w:spacing w:val="-2"/>
          <w:lang w:eastAsia="zh-CN"/>
        </w:rPr>
        <w:t>ne</w:t>
      </w:r>
      <w:r w:rsidRPr="00545EC0">
        <w:rPr>
          <w:rFonts w:eastAsia="SimSun" w:cs="Arial"/>
          <w:spacing w:val="10"/>
          <w:lang w:eastAsia="zh-CN"/>
        </w:rPr>
        <w:t xml:space="preserve"> </w:t>
      </w:r>
      <w:r w:rsidRPr="00545EC0">
        <w:rPr>
          <w:rFonts w:eastAsia="SimSun" w:cs="Arial"/>
          <w:spacing w:val="-2"/>
          <w:lang w:eastAsia="zh-CN"/>
        </w:rPr>
        <w:t>spremembe</w:t>
      </w:r>
      <w:r w:rsidRPr="00545EC0">
        <w:rPr>
          <w:rFonts w:eastAsia="SimSun" w:cs="Arial"/>
          <w:spacing w:val="10"/>
          <w:lang w:eastAsia="zh-CN"/>
        </w:rPr>
        <w:t xml:space="preserve"> </w:t>
      </w:r>
      <w:r w:rsidRPr="00545EC0">
        <w:rPr>
          <w:rFonts w:eastAsia="SimSun" w:cs="Arial"/>
          <w:spacing w:val="-2"/>
          <w:lang w:eastAsia="zh-CN"/>
        </w:rPr>
        <w:t>hidromorfoloških</w:t>
      </w:r>
      <w:r w:rsidRPr="00545EC0">
        <w:rPr>
          <w:rFonts w:eastAsia="SimSun" w:cs="Arial"/>
          <w:spacing w:val="10"/>
          <w:lang w:eastAsia="zh-CN"/>
        </w:rPr>
        <w:t xml:space="preserve"> </w:t>
      </w:r>
      <w:r w:rsidRPr="00545EC0">
        <w:rPr>
          <w:rFonts w:eastAsia="SimSun" w:cs="Arial"/>
          <w:spacing w:val="-2"/>
          <w:lang w:eastAsia="zh-CN"/>
        </w:rPr>
        <w:t>zn</w:t>
      </w:r>
      <w:r w:rsidRPr="00545EC0">
        <w:rPr>
          <w:rFonts w:eastAsia="SimSun" w:cs="Arial"/>
          <w:lang w:eastAsia="zh-CN"/>
        </w:rPr>
        <w:t>ač</w:t>
      </w:r>
      <w:r w:rsidRPr="00545EC0">
        <w:rPr>
          <w:rFonts w:eastAsia="SimSun" w:cs="Arial"/>
          <w:spacing w:val="-2"/>
          <w:lang w:eastAsia="zh-CN"/>
        </w:rPr>
        <w:t>ilnosti</w:t>
      </w:r>
      <w:r w:rsidRPr="00545EC0">
        <w:rPr>
          <w:rFonts w:eastAsia="SimSun" w:cs="Arial"/>
          <w:spacing w:val="10"/>
          <w:lang w:eastAsia="zh-CN"/>
        </w:rPr>
        <w:t xml:space="preserve"> </w:t>
      </w:r>
      <w:r w:rsidRPr="00545EC0">
        <w:rPr>
          <w:rFonts w:eastAsia="SimSun" w:cs="Arial"/>
          <w:spacing w:val="-2"/>
          <w:lang w:eastAsia="zh-CN"/>
        </w:rPr>
        <w:t>imajo</w:t>
      </w:r>
      <w:r w:rsidRPr="00545EC0">
        <w:rPr>
          <w:rFonts w:eastAsia="SimSun" w:cs="Arial"/>
          <w:spacing w:val="10"/>
          <w:lang w:eastAsia="zh-CN"/>
        </w:rPr>
        <w:t xml:space="preserve"> </w:t>
      </w:r>
      <w:r w:rsidRPr="00545EC0">
        <w:rPr>
          <w:rFonts w:eastAsia="SimSun" w:cs="Arial"/>
          <w:spacing w:val="-2"/>
          <w:lang w:eastAsia="zh-CN"/>
        </w:rPr>
        <w:t>odseki</w:t>
      </w:r>
      <w:r w:rsidRPr="00545EC0">
        <w:rPr>
          <w:rFonts w:eastAsia="SimSun" w:cs="Arial"/>
          <w:spacing w:val="10"/>
          <w:lang w:eastAsia="zh-CN"/>
        </w:rPr>
        <w:t xml:space="preserve"> </w:t>
      </w:r>
      <w:r w:rsidRPr="00545EC0">
        <w:rPr>
          <w:rFonts w:eastAsia="SimSun" w:cs="Arial"/>
          <w:spacing w:val="-2"/>
          <w:lang w:eastAsia="zh-CN"/>
        </w:rPr>
        <w:t>rek</w:t>
      </w:r>
      <w:r w:rsidRPr="00545EC0">
        <w:rPr>
          <w:rFonts w:eastAsia="SimSun" w:cs="Arial"/>
          <w:spacing w:val="10"/>
          <w:lang w:eastAsia="zh-CN"/>
        </w:rPr>
        <w:t xml:space="preserve"> </w:t>
      </w:r>
      <w:r w:rsidRPr="00545EC0">
        <w:rPr>
          <w:rFonts w:eastAsia="SimSun" w:cs="Arial"/>
          <w:spacing w:val="-2"/>
          <w:lang w:eastAsia="zh-CN"/>
        </w:rPr>
        <w:t>ali deli</w:t>
      </w:r>
      <w:r w:rsidRPr="00545EC0">
        <w:rPr>
          <w:rFonts w:eastAsia="SimSun" w:cs="Arial"/>
          <w:lang w:eastAsia="zh-CN"/>
        </w:rPr>
        <w:t xml:space="preserve"> </w:t>
      </w:r>
      <w:r w:rsidRPr="00545EC0">
        <w:rPr>
          <w:rFonts w:eastAsia="SimSun" w:cs="Arial"/>
          <w:spacing w:val="-2"/>
          <w:lang w:eastAsia="zh-CN"/>
        </w:rPr>
        <w:t>jezer,</w:t>
      </w:r>
      <w:r w:rsidRPr="00545EC0">
        <w:rPr>
          <w:rFonts w:eastAsia="SimSun" w:cs="Arial"/>
          <w:lang w:eastAsia="zh-CN"/>
        </w:rPr>
        <w:t xml:space="preserve"> </w:t>
      </w:r>
      <w:r w:rsidRPr="00545EC0">
        <w:rPr>
          <w:rFonts w:eastAsia="SimSun" w:cs="Arial"/>
          <w:spacing w:val="-2"/>
          <w:lang w:eastAsia="zh-CN"/>
        </w:rPr>
        <w:t>za</w:t>
      </w:r>
      <w:r w:rsidRPr="00545EC0">
        <w:rPr>
          <w:rFonts w:eastAsia="SimSun" w:cs="Arial"/>
          <w:lang w:eastAsia="zh-CN"/>
        </w:rPr>
        <w:t xml:space="preserve"> </w:t>
      </w:r>
      <w:r w:rsidRPr="00545EC0">
        <w:rPr>
          <w:rFonts w:eastAsia="SimSun" w:cs="Arial"/>
          <w:spacing w:val="-2"/>
          <w:lang w:eastAsia="zh-CN"/>
        </w:rPr>
        <w:t>katere</w:t>
      </w:r>
      <w:r w:rsidRPr="00545EC0">
        <w:rPr>
          <w:rFonts w:eastAsia="SimSun" w:cs="Arial"/>
          <w:lang w:eastAsia="zh-CN"/>
        </w:rPr>
        <w:t xml:space="preserve"> </w:t>
      </w:r>
      <w:r w:rsidRPr="00545EC0">
        <w:rPr>
          <w:rFonts w:eastAsia="SimSun" w:cs="Arial"/>
          <w:spacing w:val="-2"/>
          <w:lang w:eastAsia="zh-CN"/>
        </w:rPr>
        <w:t>se</w:t>
      </w:r>
      <w:r w:rsidRPr="00545EC0">
        <w:rPr>
          <w:rFonts w:eastAsia="SimSun" w:cs="Arial"/>
          <w:lang w:eastAsia="zh-CN"/>
        </w:rPr>
        <w:t xml:space="preserve"> </w:t>
      </w:r>
      <w:r w:rsidRPr="00545EC0">
        <w:rPr>
          <w:rFonts w:eastAsia="SimSun" w:cs="Arial"/>
          <w:spacing w:val="-2"/>
          <w:lang w:eastAsia="zh-CN"/>
        </w:rPr>
        <w:t>ocenjuje</w:t>
      </w:r>
      <w:r w:rsidRPr="00545EC0">
        <w:rPr>
          <w:rFonts w:eastAsia="SimSun" w:cs="Arial"/>
          <w:lang w:eastAsia="zh-CN"/>
        </w:rPr>
        <w:t>, da</w:t>
      </w:r>
      <w:r w:rsidRPr="00545EC0">
        <w:rPr>
          <w:rFonts w:eastAsia="SimSun" w:cs="Arial"/>
          <w:spacing w:val="2"/>
          <w:lang w:eastAsia="zh-CN"/>
        </w:rPr>
        <w:t xml:space="preserve"> </w:t>
      </w:r>
      <w:r w:rsidRPr="00545EC0">
        <w:rPr>
          <w:rFonts w:eastAsia="SimSun" w:cs="Arial"/>
          <w:lang w:eastAsia="zh-CN"/>
        </w:rPr>
        <w:t>imajo</w:t>
      </w:r>
      <w:r w:rsidRPr="00545EC0">
        <w:rPr>
          <w:rFonts w:eastAsia="SimSun" w:cs="Arial"/>
          <w:spacing w:val="2"/>
          <w:lang w:eastAsia="zh-CN"/>
        </w:rPr>
        <w:t xml:space="preserve"> </w:t>
      </w:r>
      <w:r w:rsidRPr="00545EC0">
        <w:rPr>
          <w:rFonts w:eastAsia="SimSun" w:cs="Arial"/>
          <w:lang w:eastAsia="zh-CN"/>
        </w:rPr>
        <w:t>naravne</w:t>
      </w:r>
      <w:r w:rsidRPr="00545EC0">
        <w:rPr>
          <w:rFonts w:eastAsia="SimSun" w:cs="Arial"/>
          <w:spacing w:val="2"/>
          <w:lang w:eastAsia="zh-CN"/>
        </w:rPr>
        <w:t xml:space="preserve"> </w:t>
      </w:r>
      <w:r w:rsidRPr="00545EC0">
        <w:rPr>
          <w:rFonts w:eastAsia="SimSun" w:cs="Arial"/>
          <w:lang w:eastAsia="zh-CN"/>
        </w:rPr>
        <w:t>hidr</w:t>
      </w:r>
      <w:r w:rsidRPr="00545EC0">
        <w:rPr>
          <w:rFonts w:eastAsia="SimSun" w:cs="Arial"/>
          <w:spacing w:val="-2"/>
          <w:lang w:eastAsia="zh-CN"/>
        </w:rPr>
        <w:t>omorfološke</w:t>
      </w:r>
      <w:r w:rsidRPr="00545EC0">
        <w:rPr>
          <w:rFonts w:eastAsia="SimSun" w:cs="Arial"/>
          <w:lang w:eastAsia="zh-CN"/>
        </w:rPr>
        <w:t xml:space="preserve"> </w:t>
      </w:r>
      <w:r w:rsidRPr="00545EC0">
        <w:rPr>
          <w:rFonts w:eastAsia="SimSun" w:cs="Arial"/>
          <w:spacing w:val="-2"/>
          <w:lang w:eastAsia="zh-CN"/>
        </w:rPr>
        <w:t>zn</w:t>
      </w:r>
      <w:r w:rsidRPr="00545EC0">
        <w:rPr>
          <w:rFonts w:eastAsia="SimSun" w:cs="Arial"/>
          <w:lang w:eastAsia="zh-CN"/>
        </w:rPr>
        <w:t xml:space="preserve">ačilnosti spremenjene do te mere, </w:t>
      </w:r>
      <w:r w:rsidRPr="00545EC0">
        <w:rPr>
          <w:rFonts w:eastAsia="SimSun" w:cs="Arial"/>
          <w:spacing w:val="-2"/>
          <w:lang w:eastAsia="zh-CN"/>
        </w:rPr>
        <w:t>da</w:t>
      </w:r>
      <w:r w:rsidRPr="00545EC0">
        <w:rPr>
          <w:rFonts w:eastAsia="SimSun" w:cs="Arial"/>
          <w:lang w:eastAsia="zh-CN"/>
        </w:rPr>
        <w:t xml:space="preserve"> </w:t>
      </w:r>
      <w:r w:rsidRPr="00545EC0">
        <w:rPr>
          <w:rFonts w:eastAsia="SimSun" w:cs="Arial"/>
          <w:spacing w:val="-2"/>
          <w:lang w:eastAsia="zh-CN"/>
        </w:rPr>
        <w:t>se</w:t>
      </w:r>
      <w:r w:rsidRPr="00545EC0">
        <w:rPr>
          <w:rFonts w:eastAsia="SimSun" w:cs="Arial"/>
          <w:lang w:eastAsia="zh-CN"/>
        </w:rPr>
        <w:t xml:space="preserve"> </w:t>
      </w:r>
      <w:r w:rsidRPr="00545EC0">
        <w:rPr>
          <w:rFonts w:eastAsia="SimSun" w:cs="Arial"/>
          <w:spacing w:val="-2"/>
          <w:lang w:eastAsia="zh-CN"/>
        </w:rPr>
        <w:t>lah</w:t>
      </w:r>
      <w:r w:rsidRPr="00545EC0">
        <w:rPr>
          <w:rFonts w:eastAsia="SimSun" w:cs="Arial"/>
          <w:lang w:eastAsia="zh-CN"/>
        </w:rPr>
        <w:t>k</w:t>
      </w:r>
      <w:r w:rsidRPr="00545EC0">
        <w:rPr>
          <w:rFonts w:eastAsia="SimSun" w:cs="Arial"/>
          <w:spacing w:val="-2"/>
          <w:lang w:eastAsia="zh-CN"/>
        </w:rPr>
        <w:t>o</w:t>
      </w:r>
      <w:r w:rsidRPr="00545EC0">
        <w:rPr>
          <w:rFonts w:eastAsia="SimSun" w:cs="Arial"/>
          <w:lang w:eastAsia="zh-CN"/>
        </w:rPr>
        <w:t xml:space="preserve"> </w:t>
      </w:r>
      <w:r w:rsidRPr="00545EC0">
        <w:rPr>
          <w:rFonts w:eastAsia="SimSun" w:cs="Arial"/>
          <w:spacing w:val="-2"/>
          <w:lang w:eastAsia="zh-CN"/>
        </w:rPr>
        <w:t>oceni</w:t>
      </w:r>
      <w:r w:rsidRPr="00545EC0">
        <w:rPr>
          <w:rFonts w:eastAsia="SimSun" w:cs="Arial"/>
          <w:lang w:eastAsia="zh-CN"/>
        </w:rPr>
        <w:t xml:space="preserve"> </w:t>
      </w:r>
      <w:r w:rsidRPr="00545EC0">
        <w:rPr>
          <w:rFonts w:eastAsia="SimSun" w:cs="Arial"/>
          <w:spacing w:val="-2"/>
          <w:lang w:eastAsia="zh-CN"/>
        </w:rPr>
        <w:t>sprememba</w:t>
      </w:r>
      <w:r w:rsidRPr="00545EC0">
        <w:rPr>
          <w:rFonts w:eastAsia="SimSun" w:cs="Arial"/>
          <w:lang w:eastAsia="zh-CN"/>
        </w:rPr>
        <w:t xml:space="preserve"> </w:t>
      </w:r>
      <w:r w:rsidRPr="00545EC0">
        <w:rPr>
          <w:rFonts w:eastAsia="SimSun" w:cs="Arial"/>
          <w:spacing w:val="-2"/>
          <w:lang w:eastAsia="zh-CN"/>
        </w:rPr>
        <w:t>njiho</w:t>
      </w:r>
      <w:r w:rsidRPr="00545EC0">
        <w:rPr>
          <w:rFonts w:eastAsia="SimSun" w:cs="Arial"/>
          <w:lang w:eastAsia="zh-CN"/>
        </w:rPr>
        <w:t>v</w:t>
      </w:r>
      <w:r w:rsidRPr="00545EC0">
        <w:rPr>
          <w:rFonts w:eastAsia="SimSun" w:cs="Arial"/>
          <w:spacing w:val="-2"/>
          <w:lang w:eastAsia="zh-CN"/>
        </w:rPr>
        <w:t>e</w:t>
      </w:r>
      <w:r w:rsidRPr="00545EC0">
        <w:rPr>
          <w:rFonts w:eastAsia="SimSun" w:cs="Arial"/>
          <w:lang w:eastAsia="zh-CN"/>
        </w:rPr>
        <w:t xml:space="preserve"> </w:t>
      </w:r>
      <w:r w:rsidRPr="00545EC0">
        <w:rPr>
          <w:rFonts w:eastAsia="SimSun" w:cs="Arial"/>
          <w:spacing w:val="-2"/>
          <w:lang w:eastAsia="zh-CN"/>
        </w:rPr>
        <w:t>vrste. Tovrstne spremembe imajo tudi</w:t>
      </w:r>
      <w:r w:rsidRPr="00545EC0">
        <w:rPr>
          <w:rFonts w:eastAsia="SimSun" w:cs="Arial"/>
          <w:lang w:eastAsia="zh-CN"/>
        </w:rPr>
        <w:t xml:space="preserve"> </w:t>
      </w:r>
      <w:r w:rsidRPr="00545EC0">
        <w:rPr>
          <w:rFonts w:eastAsia="SimSun" w:cs="Arial"/>
          <w:spacing w:val="-2"/>
          <w:lang w:eastAsia="zh-CN"/>
        </w:rPr>
        <w:t>odseki</w:t>
      </w:r>
      <w:r w:rsidRPr="00545EC0">
        <w:rPr>
          <w:rFonts w:eastAsia="SimSun" w:cs="Arial"/>
          <w:lang w:eastAsia="zh-CN"/>
        </w:rPr>
        <w:t xml:space="preserve"> </w:t>
      </w:r>
      <w:r w:rsidRPr="00545EC0">
        <w:rPr>
          <w:rFonts w:eastAsia="SimSun" w:cs="Arial"/>
          <w:spacing w:val="-2"/>
          <w:lang w:eastAsia="zh-CN"/>
        </w:rPr>
        <w:t>rek</w:t>
      </w:r>
      <w:r w:rsidRPr="00545EC0">
        <w:rPr>
          <w:rFonts w:eastAsia="SimSun" w:cs="Arial"/>
          <w:lang w:eastAsia="zh-CN"/>
        </w:rPr>
        <w:t xml:space="preserve"> a</w:t>
      </w:r>
      <w:r w:rsidRPr="00545EC0">
        <w:rPr>
          <w:rFonts w:eastAsia="SimSun" w:cs="Arial"/>
          <w:spacing w:val="-2"/>
          <w:lang w:eastAsia="zh-CN"/>
        </w:rPr>
        <w:t>li</w:t>
      </w:r>
      <w:r w:rsidRPr="00545EC0">
        <w:rPr>
          <w:rFonts w:eastAsia="SimSun" w:cs="Arial"/>
          <w:lang w:eastAsia="zh-CN"/>
        </w:rPr>
        <w:t xml:space="preserve"> </w:t>
      </w:r>
      <w:r w:rsidRPr="00545EC0">
        <w:rPr>
          <w:rFonts w:eastAsia="SimSun" w:cs="Arial"/>
          <w:spacing w:val="-2"/>
          <w:lang w:eastAsia="zh-CN"/>
        </w:rPr>
        <w:t>deli</w:t>
      </w:r>
      <w:r w:rsidRPr="00545EC0">
        <w:rPr>
          <w:rFonts w:eastAsia="SimSun" w:cs="Arial"/>
          <w:lang w:eastAsia="zh-CN"/>
        </w:rPr>
        <w:t xml:space="preserve"> </w:t>
      </w:r>
      <w:r w:rsidRPr="00545EC0">
        <w:rPr>
          <w:rFonts w:eastAsia="SimSun" w:cs="Arial"/>
          <w:spacing w:val="-2"/>
          <w:lang w:eastAsia="zh-CN"/>
        </w:rPr>
        <w:t>je</w:t>
      </w:r>
      <w:r w:rsidRPr="00545EC0">
        <w:rPr>
          <w:rFonts w:eastAsia="SimSun" w:cs="Arial"/>
          <w:lang w:eastAsia="zh-CN"/>
        </w:rPr>
        <w:t>z</w:t>
      </w:r>
      <w:r w:rsidRPr="00545EC0">
        <w:rPr>
          <w:rFonts w:eastAsia="SimSun" w:cs="Arial"/>
          <w:spacing w:val="-2"/>
          <w:lang w:eastAsia="zh-CN"/>
        </w:rPr>
        <w:t>er</w:t>
      </w:r>
      <w:r w:rsidRPr="00545EC0">
        <w:rPr>
          <w:rFonts w:eastAsia="SimSun" w:cs="Arial"/>
          <w:lang w:eastAsia="zh-CN"/>
        </w:rPr>
        <w:t xml:space="preserve"> </w:t>
      </w:r>
      <w:r w:rsidRPr="00545EC0">
        <w:rPr>
          <w:rFonts w:eastAsia="SimSun" w:cs="Arial"/>
          <w:spacing w:val="-2"/>
          <w:lang w:eastAsia="zh-CN"/>
        </w:rPr>
        <w:t>s</w:t>
      </w:r>
      <w:r w:rsidRPr="00545EC0">
        <w:rPr>
          <w:rFonts w:eastAsia="SimSun" w:cs="Arial"/>
          <w:lang w:eastAsia="zh-CN"/>
        </w:rPr>
        <w:t xml:space="preserve"> </w:t>
      </w:r>
      <w:r w:rsidRPr="00545EC0">
        <w:rPr>
          <w:rFonts w:eastAsia="SimSun" w:cs="Arial"/>
          <w:spacing w:val="-2"/>
          <w:lang w:eastAsia="zh-CN"/>
        </w:rPr>
        <w:t>hidromorfološkimi obremenitvami</w:t>
      </w:r>
      <w:r w:rsidRPr="00545EC0">
        <w:rPr>
          <w:rFonts w:eastAsia="SimSun" w:cs="Arial"/>
          <w:lang w:eastAsia="zh-CN"/>
        </w:rPr>
        <w:t xml:space="preserve"> </w:t>
      </w:r>
      <w:r w:rsidRPr="00545EC0">
        <w:rPr>
          <w:rFonts w:eastAsia="SimSun" w:cs="Arial"/>
          <w:spacing w:val="-2"/>
          <w:lang w:eastAsia="zh-CN"/>
        </w:rPr>
        <w:t>z</w:t>
      </w:r>
      <w:r w:rsidRPr="00545EC0">
        <w:rPr>
          <w:rFonts w:eastAsia="SimSun" w:cs="Arial"/>
          <w:lang w:eastAsia="zh-CN"/>
        </w:rPr>
        <w:t xml:space="preserve"> </w:t>
      </w:r>
      <w:r w:rsidRPr="00545EC0">
        <w:rPr>
          <w:rFonts w:eastAsia="SimSun" w:cs="Arial"/>
          <w:spacing w:val="-2"/>
          <w:lang w:eastAsia="zh-CN"/>
        </w:rPr>
        <w:t>veliki</w:t>
      </w:r>
      <w:r w:rsidRPr="00545EC0">
        <w:rPr>
          <w:rFonts w:eastAsia="SimSun" w:cs="Arial"/>
          <w:lang w:eastAsia="zh-CN"/>
        </w:rPr>
        <w:t xml:space="preserve">m </w:t>
      </w:r>
      <w:r w:rsidRPr="00545EC0">
        <w:rPr>
          <w:rFonts w:eastAsia="SimSun" w:cs="Arial"/>
          <w:spacing w:val="-2"/>
          <w:lang w:eastAsia="zh-CN"/>
        </w:rPr>
        <w:t>vplivom</w:t>
      </w:r>
      <w:r w:rsidRPr="00545EC0">
        <w:rPr>
          <w:rFonts w:eastAsia="SimSun" w:cs="Arial"/>
          <w:spacing w:val="33"/>
          <w:lang w:eastAsia="zh-CN"/>
        </w:rPr>
        <w:t xml:space="preserve"> </w:t>
      </w:r>
      <w:r w:rsidRPr="00545EC0">
        <w:rPr>
          <w:rFonts w:eastAsia="SimSun" w:cs="Arial"/>
          <w:spacing w:val="-2"/>
          <w:lang w:eastAsia="zh-CN"/>
        </w:rPr>
        <w:t>n</w:t>
      </w:r>
      <w:r w:rsidRPr="00545EC0">
        <w:rPr>
          <w:rFonts w:eastAsia="SimSun" w:cs="Arial"/>
          <w:lang w:eastAsia="zh-CN"/>
        </w:rPr>
        <w:t xml:space="preserve">a </w:t>
      </w:r>
      <w:r w:rsidRPr="00545EC0">
        <w:rPr>
          <w:rFonts w:eastAsia="SimSun" w:cs="Arial"/>
          <w:spacing w:val="-2"/>
          <w:lang w:eastAsia="zh-CN"/>
        </w:rPr>
        <w:t>ekološko</w:t>
      </w:r>
      <w:r w:rsidRPr="00545EC0">
        <w:rPr>
          <w:rFonts w:eastAsia="SimSun" w:cs="Arial"/>
          <w:spacing w:val="33"/>
          <w:lang w:eastAsia="zh-CN"/>
        </w:rPr>
        <w:t xml:space="preserve"> </w:t>
      </w:r>
      <w:r w:rsidRPr="00545EC0">
        <w:rPr>
          <w:rFonts w:eastAsia="SimSun" w:cs="Arial"/>
          <w:spacing w:val="-2"/>
          <w:lang w:eastAsia="zh-CN"/>
        </w:rPr>
        <w:t>stanje.</w:t>
      </w:r>
      <w:r w:rsidRPr="00545EC0">
        <w:rPr>
          <w:rFonts w:eastAsia="SimSun" w:cs="Arial"/>
          <w:lang w:eastAsia="zh-CN"/>
        </w:rPr>
        <w:t xml:space="preserve"> </w:t>
      </w:r>
      <w:r w:rsidRPr="00545EC0">
        <w:rPr>
          <w:rFonts w:eastAsia="SimSun" w:cs="Arial"/>
          <w:spacing w:val="-2"/>
          <w:lang w:eastAsia="zh-CN"/>
        </w:rPr>
        <w:t>Merila</w:t>
      </w:r>
      <w:r w:rsidRPr="00545EC0">
        <w:rPr>
          <w:rFonts w:eastAsia="SimSun" w:cs="Arial"/>
          <w:lang w:eastAsia="zh-CN"/>
        </w:rPr>
        <w:t xml:space="preserve"> </w:t>
      </w:r>
      <w:r w:rsidRPr="00545EC0">
        <w:rPr>
          <w:rFonts w:eastAsia="SimSun" w:cs="Arial"/>
          <w:spacing w:val="-2"/>
          <w:lang w:eastAsia="zh-CN"/>
        </w:rPr>
        <w:t>za</w:t>
      </w:r>
      <w:r w:rsidRPr="00545EC0">
        <w:rPr>
          <w:rFonts w:eastAsia="SimSun" w:cs="Arial"/>
          <w:lang w:eastAsia="zh-CN"/>
        </w:rPr>
        <w:t xml:space="preserve"> </w:t>
      </w:r>
      <w:r w:rsidRPr="00545EC0">
        <w:rPr>
          <w:rFonts w:eastAsia="SimSun" w:cs="Arial"/>
          <w:spacing w:val="-2"/>
          <w:lang w:eastAsia="zh-CN"/>
        </w:rPr>
        <w:t>dol</w:t>
      </w:r>
      <w:r w:rsidRPr="00545EC0">
        <w:rPr>
          <w:rFonts w:eastAsia="SimSun" w:cs="Arial"/>
          <w:lang w:eastAsia="zh-CN"/>
        </w:rPr>
        <w:t>oč</w:t>
      </w:r>
      <w:r w:rsidRPr="00545EC0">
        <w:rPr>
          <w:rFonts w:eastAsia="SimSun" w:cs="Arial"/>
          <w:spacing w:val="-2"/>
          <w:lang w:eastAsia="zh-CN"/>
        </w:rPr>
        <w:t>itev</w:t>
      </w:r>
      <w:r w:rsidRPr="00545EC0">
        <w:rPr>
          <w:rFonts w:eastAsia="SimSun" w:cs="Arial"/>
          <w:lang w:eastAsia="zh-CN"/>
        </w:rPr>
        <w:t xml:space="preserve"> </w:t>
      </w:r>
      <w:r w:rsidRPr="00545EC0">
        <w:rPr>
          <w:rFonts w:eastAsia="SimSun" w:cs="Arial"/>
          <w:spacing w:val="-2"/>
          <w:lang w:eastAsia="zh-CN"/>
        </w:rPr>
        <w:t>antropogenih</w:t>
      </w:r>
      <w:r w:rsidRPr="00545EC0">
        <w:rPr>
          <w:rFonts w:eastAsia="SimSun" w:cs="Arial"/>
          <w:lang w:eastAsia="zh-CN"/>
        </w:rPr>
        <w:t xml:space="preserve"> </w:t>
      </w:r>
      <w:r w:rsidRPr="00545EC0">
        <w:rPr>
          <w:rFonts w:eastAsia="SimSun" w:cs="Arial"/>
          <w:spacing w:val="-2"/>
          <w:lang w:eastAsia="zh-CN"/>
        </w:rPr>
        <w:t>fiz</w:t>
      </w:r>
      <w:r w:rsidRPr="00545EC0">
        <w:rPr>
          <w:rFonts w:eastAsia="SimSun" w:cs="Arial"/>
          <w:lang w:eastAsia="zh-CN"/>
        </w:rPr>
        <w:t>ičn</w:t>
      </w:r>
      <w:r w:rsidRPr="00545EC0">
        <w:rPr>
          <w:rFonts w:eastAsia="SimSun" w:cs="Arial"/>
          <w:spacing w:val="-2"/>
          <w:lang w:eastAsia="zh-CN"/>
        </w:rPr>
        <w:t>i</w:t>
      </w:r>
      <w:r w:rsidRPr="00545EC0">
        <w:rPr>
          <w:rFonts w:eastAsia="SimSun" w:cs="Arial"/>
          <w:lang w:eastAsia="zh-CN"/>
        </w:rPr>
        <w:t xml:space="preserve">h </w:t>
      </w:r>
      <w:r w:rsidRPr="00545EC0">
        <w:rPr>
          <w:rFonts w:eastAsia="SimSun" w:cs="Arial"/>
          <w:spacing w:val="-2"/>
          <w:lang w:eastAsia="zh-CN"/>
        </w:rPr>
        <w:t>sprememb</w:t>
      </w:r>
      <w:r w:rsidRPr="00545EC0">
        <w:rPr>
          <w:rFonts w:eastAsia="SimSun" w:cs="Arial"/>
          <w:spacing w:val="20"/>
          <w:lang w:eastAsia="zh-CN"/>
        </w:rPr>
        <w:t xml:space="preserve"> </w:t>
      </w:r>
      <w:r w:rsidRPr="00545EC0">
        <w:rPr>
          <w:rFonts w:eastAsia="SimSun" w:cs="Arial"/>
          <w:spacing w:val="-2"/>
          <w:lang w:eastAsia="zh-CN"/>
        </w:rPr>
        <w:t>hidromorfoloških</w:t>
      </w:r>
      <w:r w:rsidRPr="00545EC0">
        <w:rPr>
          <w:rFonts w:eastAsia="SimSun" w:cs="Arial"/>
          <w:spacing w:val="20"/>
          <w:lang w:eastAsia="zh-CN"/>
        </w:rPr>
        <w:t xml:space="preserve"> </w:t>
      </w:r>
      <w:r w:rsidRPr="00545EC0">
        <w:rPr>
          <w:rFonts w:eastAsia="SimSun" w:cs="Arial"/>
          <w:spacing w:val="-2"/>
          <w:lang w:eastAsia="zh-CN"/>
        </w:rPr>
        <w:t>zn</w:t>
      </w:r>
      <w:r w:rsidRPr="00545EC0">
        <w:rPr>
          <w:rFonts w:eastAsia="SimSun" w:cs="Arial"/>
          <w:lang w:eastAsia="zh-CN"/>
        </w:rPr>
        <w:t>ač</w:t>
      </w:r>
      <w:r w:rsidRPr="00545EC0">
        <w:rPr>
          <w:rFonts w:eastAsia="SimSun" w:cs="Arial"/>
          <w:spacing w:val="-2"/>
          <w:lang w:eastAsia="zh-CN"/>
        </w:rPr>
        <w:t>ilnosti</w:t>
      </w:r>
      <w:r w:rsidRPr="00545EC0">
        <w:rPr>
          <w:rFonts w:eastAsia="SimSun" w:cs="Arial"/>
          <w:lang w:eastAsia="zh-CN"/>
        </w:rPr>
        <w:t xml:space="preserve"> </w:t>
      </w:r>
      <w:r w:rsidRPr="00545EC0">
        <w:rPr>
          <w:rFonts w:eastAsia="SimSun" w:cs="Arial"/>
          <w:spacing w:val="-2"/>
          <w:lang w:eastAsia="zh-CN"/>
        </w:rPr>
        <w:t>odsekov</w:t>
      </w:r>
      <w:r w:rsidRPr="00545EC0">
        <w:rPr>
          <w:rFonts w:eastAsia="SimSun" w:cs="Arial"/>
          <w:lang w:eastAsia="zh-CN"/>
        </w:rPr>
        <w:t xml:space="preserve"> </w:t>
      </w:r>
      <w:r w:rsidRPr="00545EC0">
        <w:rPr>
          <w:rFonts w:eastAsia="SimSun" w:cs="Arial"/>
          <w:spacing w:val="-2"/>
          <w:lang w:eastAsia="zh-CN"/>
        </w:rPr>
        <w:t>rek</w:t>
      </w:r>
      <w:r w:rsidRPr="00545EC0">
        <w:rPr>
          <w:rFonts w:eastAsia="SimSun" w:cs="Arial"/>
          <w:lang w:eastAsia="zh-CN"/>
        </w:rPr>
        <w:t xml:space="preserve"> </w:t>
      </w:r>
      <w:r w:rsidRPr="00545EC0">
        <w:rPr>
          <w:rFonts w:eastAsia="SimSun" w:cs="Arial"/>
          <w:spacing w:val="-2"/>
          <w:lang w:eastAsia="zh-CN"/>
        </w:rPr>
        <w:t>ali</w:t>
      </w:r>
      <w:r w:rsidRPr="00545EC0">
        <w:rPr>
          <w:rFonts w:eastAsia="SimSun" w:cs="Arial"/>
          <w:lang w:eastAsia="zh-CN"/>
        </w:rPr>
        <w:t xml:space="preserve"> </w:t>
      </w:r>
      <w:r w:rsidRPr="00545EC0">
        <w:rPr>
          <w:rFonts w:eastAsia="SimSun" w:cs="Arial"/>
          <w:spacing w:val="-2"/>
          <w:lang w:eastAsia="zh-CN"/>
        </w:rPr>
        <w:t>delov</w:t>
      </w:r>
      <w:r w:rsidRPr="00545EC0">
        <w:rPr>
          <w:rFonts w:eastAsia="SimSun" w:cs="Arial"/>
          <w:lang w:eastAsia="zh-CN"/>
        </w:rPr>
        <w:t xml:space="preserve"> </w:t>
      </w:r>
      <w:r w:rsidRPr="00545EC0">
        <w:rPr>
          <w:rFonts w:eastAsia="SimSun" w:cs="Arial"/>
          <w:spacing w:val="-2"/>
          <w:lang w:eastAsia="zh-CN"/>
        </w:rPr>
        <w:t>jezer</w:t>
      </w:r>
      <w:r w:rsidRPr="00545EC0">
        <w:rPr>
          <w:rFonts w:eastAsia="SimSun" w:cs="Arial"/>
          <w:lang w:eastAsia="zh-CN"/>
        </w:rPr>
        <w:t xml:space="preserve"> </w:t>
      </w:r>
      <w:r w:rsidRPr="00545EC0">
        <w:rPr>
          <w:rFonts w:eastAsia="SimSun" w:cs="Arial"/>
          <w:spacing w:val="-2"/>
          <w:lang w:eastAsia="zh-CN"/>
        </w:rPr>
        <w:t>zaradi</w:t>
      </w:r>
      <w:r w:rsidRPr="00545EC0">
        <w:rPr>
          <w:rFonts w:eastAsia="SimSun" w:cs="Arial"/>
          <w:lang w:eastAsia="zh-CN"/>
        </w:rPr>
        <w:t xml:space="preserve"> </w:t>
      </w:r>
      <w:r w:rsidRPr="00545EC0">
        <w:rPr>
          <w:rFonts w:eastAsia="SimSun" w:cs="Arial"/>
          <w:spacing w:val="-2"/>
          <w:lang w:eastAsia="zh-CN"/>
        </w:rPr>
        <w:t>dol</w:t>
      </w:r>
      <w:r w:rsidRPr="00545EC0">
        <w:rPr>
          <w:rFonts w:eastAsia="SimSun" w:cs="Arial"/>
          <w:lang w:eastAsia="zh-CN"/>
        </w:rPr>
        <w:t>oč</w:t>
      </w:r>
      <w:r w:rsidRPr="00545EC0">
        <w:rPr>
          <w:rFonts w:eastAsia="SimSun" w:cs="Arial"/>
          <w:spacing w:val="-2"/>
          <w:lang w:eastAsia="zh-CN"/>
        </w:rPr>
        <w:t>eni</w:t>
      </w:r>
      <w:r w:rsidRPr="00545EC0">
        <w:rPr>
          <w:rFonts w:eastAsia="SimSun" w:cs="Arial"/>
          <w:lang w:eastAsia="zh-CN"/>
        </w:rPr>
        <w:t xml:space="preserve">h </w:t>
      </w:r>
      <w:r w:rsidR="004D3123" w:rsidRPr="00545EC0">
        <w:rPr>
          <w:rFonts w:eastAsia="SimSun" w:cs="Arial"/>
          <w:lang w:eastAsia="zh-CN"/>
        </w:rPr>
        <w:t xml:space="preserve">antropogenih </w:t>
      </w:r>
      <w:r w:rsidRPr="00545EC0">
        <w:rPr>
          <w:rFonts w:eastAsia="SimSun" w:cs="Arial"/>
          <w:spacing w:val="-2"/>
          <w:lang w:eastAsia="zh-CN"/>
        </w:rPr>
        <w:t>rab</w:t>
      </w:r>
      <w:r w:rsidRPr="00545EC0">
        <w:rPr>
          <w:rFonts w:eastAsia="SimSun" w:cs="Arial"/>
          <w:lang w:eastAsia="zh-CN"/>
        </w:rPr>
        <w:t xml:space="preserve"> </w:t>
      </w:r>
      <w:r w:rsidRPr="00545EC0">
        <w:rPr>
          <w:rFonts w:eastAsia="SimSun" w:cs="Arial"/>
          <w:spacing w:val="-2"/>
          <w:lang w:eastAsia="zh-CN"/>
        </w:rPr>
        <w:t>vode</w:t>
      </w:r>
      <w:r w:rsidRPr="00545EC0">
        <w:rPr>
          <w:rFonts w:eastAsia="SimSun" w:cs="Arial"/>
          <w:lang w:eastAsia="zh-CN"/>
        </w:rPr>
        <w:t xml:space="preserve"> </w:t>
      </w:r>
      <w:r w:rsidRPr="00545EC0">
        <w:rPr>
          <w:rFonts w:eastAsia="SimSun" w:cs="Arial"/>
          <w:spacing w:val="-2"/>
          <w:lang w:eastAsia="zh-CN"/>
        </w:rPr>
        <w:t>ali</w:t>
      </w:r>
      <w:r w:rsidRPr="00545EC0">
        <w:rPr>
          <w:rFonts w:eastAsia="SimSun" w:cs="Arial"/>
          <w:lang w:eastAsia="zh-CN"/>
        </w:rPr>
        <w:t xml:space="preserve"> </w:t>
      </w:r>
      <w:r w:rsidRPr="00545EC0">
        <w:rPr>
          <w:rFonts w:eastAsia="SimSun" w:cs="Arial"/>
          <w:spacing w:val="-2"/>
          <w:lang w:eastAsia="zh-CN"/>
        </w:rPr>
        <w:t>prostora</w:t>
      </w:r>
      <w:r w:rsidRPr="00545EC0">
        <w:rPr>
          <w:rFonts w:eastAsia="SimSun" w:cs="Arial"/>
          <w:lang w:eastAsia="zh-CN"/>
        </w:rPr>
        <w:t xml:space="preserve"> </w:t>
      </w:r>
      <w:r w:rsidRPr="00545EC0">
        <w:rPr>
          <w:rFonts w:eastAsia="SimSun" w:cs="Arial"/>
          <w:spacing w:val="-2"/>
          <w:lang w:eastAsia="zh-CN"/>
        </w:rPr>
        <w:t>so:</w:t>
      </w:r>
    </w:p>
    <w:p w14:paraId="0C640FBB" w14:textId="77777777" w:rsidR="00342A40" w:rsidRPr="00545EC0" w:rsidRDefault="00342A40" w:rsidP="00327A32">
      <w:pPr>
        <w:numPr>
          <w:ilvl w:val="0"/>
          <w:numId w:val="20"/>
        </w:numPr>
        <w:tabs>
          <w:tab w:val="clear" w:pos="360"/>
          <w:tab w:val="num" w:pos="567"/>
          <w:tab w:val="num" w:pos="3904"/>
        </w:tabs>
        <w:overflowPunct/>
        <w:autoSpaceDE/>
        <w:autoSpaceDN/>
        <w:adjustRightInd/>
        <w:ind w:left="568" w:hanging="284"/>
        <w:textAlignment w:val="auto"/>
        <w:rPr>
          <w:rFonts w:cs="Arial"/>
          <w:lang w:eastAsia="ja-JP"/>
        </w:rPr>
      </w:pPr>
      <w:r w:rsidRPr="00545EC0">
        <w:rPr>
          <w:rFonts w:cs="Arial"/>
        </w:rPr>
        <w:t>dolžina vzdolžnega profila vodnega zadrževalnika za potrebe določene rabe je 1.000 m ali več,</w:t>
      </w:r>
    </w:p>
    <w:p w14:paraId="75BC35FF" w14:textId="77777777" w:rsidR="00342A40" w:rsidRPr="00545EC0" w:rsidRDefault="00342A40" w:rsidP="00327A32">
      <w:pPr>
        <w:numPr>
          <w:ilvl w:val="0"/>
          <w:numId w:val="20"/>
        </w:numPr>
        <w:tabs>
          <w:tab w:val="clear" w:pos="360"/>
          <w:tab w:val="num" w:pos="567"/>
          <w:tab w:val="num" w:pos="3904"/>
        </w:tabs>
        <w:overflowPunct/>
        <w:autoSpaceDE/>
        <w:autoSpaceDN/>
        <w:adjustRightInd/>
        <w:ind w:left="568" w:hanging="284"/>
        <w:textAlignment w:val="auto"/>
        <w:rPr>
          <w:rFonts w:cs="Arial"/>
        </w:rPr>
      </w:pPr>
      <w:r w:rsidRPr="00545EC0">
        <w:rPr>
          <w:rFonts w:cs="Arial"/>
        </w:rPr>
        <w:t xml:space="preserve">dolžina derivacijskega kanala je 1.000 m ali več in/ali preostanek vode v naravni strugi je manjši od analitično določenega ekološko sprejemljivega pretoka (v </w:t>
      </w:r>
      <w:r w:rsidR="008655D0" w:rsidRPr="00545EC0">
        <w:rPr>
          <w:rFonts w:cs="Arial"/>
        </w:rPr>
        <w:t>nadaljnjem besedilu:</w:t>
      </w:r>
      <w:r w:rsidRPr="00545EC0">
        <w:rPr>
          <w:rFonts w:cs="Arial"/>
        </w:rPr>
        <w:t xml:space="preserve"> Qes),</w:t>
      </w:r>
    </w:p>
    <w:p w14:paraId="50707943" w14:textId="77777777" w:rsidR="00342A40" w:rsidRPr="00545EC0" w:rsidRDefault="00342A40" w:rsidP="00327A32">
      <w:pPr>
        <w:numPr>
          <w:ilvl w:val="0"/>
          <w:numId w:val="20"/>
        </w:numPr>
        <w:tabs>
          <w:tab w:val="clear" w:pos="360"/>
          <w:tab w:val="num" w:pos="567"/>
          <w:tab w:val="num" w:pos="3904"/>
        </w:tabs>
        <w:overflowPunct/>
        <w:autoSpaceDE/>
        <w:autoSpaceDN/>
        <w:adjustRightInd/>
        <w:ind w:left="568" w:hanging="284"/>
        <w:textAlignment w:val="auto"/>
        <w:rPr>
          <w:rFonts w:cs="Arial"/>
        </w:rPr>
      </w:pPr>
      <w:r w:rsidRPr="00545EC0">
        <w:rPr>
          <w:rFonts w:cs="Arial"/>
        </w:rPr>
        <w:t>protipoplavne ureditve (nasipi,  dvojni trapezni profili) so v neposredni bližini struge reke, naravno poplavno območje reke pa je ločeno od osrednjega dela rečnega koridorja,</w:t>
      </w:r>
    </w:p>
    <w:p w14:paraId="05E8E279" w14:textId="77777777" w:rsidR="00342A40" w:rsidRPr="00545EC0" w:rsidRDefault="00342A40" w:rsidP="00327A32">
      <w:pPr>
        <w:numPr>
          <w:ilvl w:val="0"/>
          <w:numId w:val="20"/>
        </w:numPr>
        <w:tabs>
          <w:tab w:val="clear" w:pos="360"/>
          <w:tab w:val="num" w:pos="567"/>
          <w:tab w:val="num" w:pos="3904"/>
        </w:tabs>
        <w:overflowPunct/>
        <w:autoSpaceDE/>
        <w:autoSpaceDN/>
        <w:adjustRightInd/>
        <w:ind w:left="568" w:hanging="284"/>
        <w:textAlignment w:val="auto"/>
        <w:rPr>
          <w:rFonts w:cs="Arial"/>
        </w:rPr>
      </w:pPr>
      <w:r w:rsidRPr="00545EC0">
        <w:rPr>
          <w:rFonts w:cs="Arial"/>
        </w:rPr>
        <w:t>objekti v območju urbanih površin so od struge reke oddaljeni manj kot 15 m na rekah 1. reda ali manj kot 5 m na rekah 2. reda, na obeh bregovih odseka, dolgega vsaj 1.000 m,</w:t>
      </w:r>
    </w:p>
    <w:p w14:paraId="5244FB58" w14:textId="77777777" w:rsidR="00342A40" w:rsidRPr="00545EC0" w:rsidRDefault="00342A40" w:rsidP="00327A32">
      <w:pPr>
        <w:numPr>
          <w:ilvl w:val="0"/>
          <w:numId w:val="20"/>
        </w:numPr>
        <w:tabs>
          <w:tab w:val="clear" w:pos="360"/>
          <w:tab w:val="num" w:pos="567"/>
          <w:tab w:val="num" w:pos="3904"/>
        </w:tabs>
        <w:overflowPunct/>
        <w:autoSpaceDE/>
        <w:autoSpaceDN/>
        <w:adjustRightInd/>
        <w:ind w:left="568" w:hanging="284"/>
        <w:textAlignment w:val="auto"/>
        <w:rPr>
          <w:rFonts w:cs="Arial"/>
        </w:rPr>
      </w:pPr>
      <w:r w:rsidRPr="00545EC0">
        <w:rPr>
          <w:rFonts w:cs="Arial"/>
        </w:rPr>
        <w:t>utrditve dna obrežnega pasu, brežin in pozidanost ali drug razlog vodonepropustnosti obalnega jezerskega pasu na 30 % ali več jezerske obale.</w:t>
      </w:r>
    </w:p>
    <w:p w14:paraId="7CB77948" w14:textId="77777777" w:rsidR="00342A40" w:rsidRPr="00545EC0" w:rsidRDefault="00342A40" w:rsidP="0010797F">
      <w:pPr>
        <w:rPr>
          <w:rFonts w:eastAsia="SimSun" w:cs="Arial"/>
        </w:rPr>
      </w:pPr>
    </w:p>
    <w:p w14:paraId="25B4BB17" w14:textId="0A3E0A4B" w:rsidR="00342A40" w:rsidRPr="00545EC0" w:rsidRDefault="00342A40" w:rsidP="0010797F">
      <w:pPr>
        <w:widowControl w:val="0"/>
        <w:spacing w:after="200"/>
        <w:ind w:right="91"/>
        <w:rPr>
          <w:rFonts w:eastAsia="SimSun" w:cs="Arial"/>
          <w:lang w:eastAsia="zh-CN"/>
        </w:rPr>
      </w:pPr>
      <w:r w:rsidRPr="00545EC0">
        <w:rPr>
          <w:rFonts w:eastAsia="SimSun" w:cs="Arial"/>
          <w:lang w:eastAsia="zh-CN"/>
        </w:rPr>
        <w:t>Na</w:t>
      </w:r>
      <w:r w:rsidRPr="00545EC0">
        <w:rPr>
          <w:rFonts w:eastAsia="SimSun" w:cs="Arial"/>
          <w:spacing w:val="4"/>
          <w:lang w:eastAsia="zh-CN"/>
        </w:rPr>
        <w:t xml:space="preserve"> </w:t>
      </w:r>
      <w:r w:rsidRPr="00545EC0">
        <w:rPr>
          <w:rFonts w:eastAsia="SimSun" w:cs="Arial"/>
          <w:lang w:eastAsia="zh-CN"/>
        </w:rPr>
        <w:t xml:space="preserve">VO Donave </w:t>
      </w:r>
      <w:r w:rsidRPr="00545EC0">
        <w:rPr>
          <w:rFonts w:eastAsia="SimSun" w:cs="Arial"/>
          <w:spacing w:val="-2"/>
          <w:lang w:eastAsia="zh-CN"/>
        </w:rPr>
        <w:t>je</w:t>
      </w:r>
      <w:r w:rsidRPr="00545EC0">
        <w:rPr>
          <w:rFonts w:eastAsia="SimSun" w:cs="Arial"/>
          <w:spacing w:val="4"/>
          <w:lang w:eastAsia="zh-CN"/>
        </w:rPr>
        <w:t xml:space="preserve"> bilo </w:t>
      </w:r>
      <w:r w:rsidRPr="00545EC0">
        <w:rPr>
          <w:rFonts w:eastAsia="SimSun" w:cs="Arial"/>
          <w:spacing w:val="-2"/>
          <w:lang w:eastAsia="zh-CN"/>
        </w:rPr>
        <w:t>opredeljenih</w:t>
      </w:r>
      <w:r w:rsidRPr="00545EC0">
        <w:rPr>
          <w:rFonts w:eastAsia="SimSun" w:cs="Arial"/>
          <w:spacing w:val="4"/>
          <w:lang w:eastAsia="zh-CN"/>
        </w:rPr>
        <w:t xml:space="preserve"> </w:t>
      </w:r>
      <w:r w:rsidRPr="00545EC0">
        <w:rPr>
          <w:rFonts w:eastAsia="SimSun" w:cs="Arial"/>
          <w:spacing w:val="-2"/>
          <w:lang w:eastAsia="zh-CN"/>
        </w:rPr>
        <w:t xml:space="preserve">13 </w:t>
      </w:r>
      <w:r w:rsidRPr="00545EC0">
        <w:rPr>
          <w:rFonts w:eastAsia="SimSun" w:cs="Arial"/>
          <w:lang w:eastAsia="zh-CN"/>
        </w:rPr>
        <w:t>M</w:t>
      </w:r>
      <w:r w:rsidRPr="00545EC0">
        <w:rPr>
          <w:rFonts w:eastAsia="SimSun" w:cs="Arial"/>
          <w:spacing w:val="-2"/>
          <w:lang w:eastAsia="zh-CN"/>
        </w:rPr>
        <w:t>PVT</w:t>
      </w:r>
      <w:r w:rsidRPr="00545EC0">
        <w:rPr>
          <w:rFonts w:eastAsia="SimSun" w:cs="Arial"/>
          <w:spacing w:val="4"/>
          <w:lang w:eastAsia="zh-CN"/>
        </w:rPr>
        <w:t xml:space="preserve"> </w:t>
      </w:r>
      <w:r w:rsidRPr="00545EC0">
        <w:rPr>
          <w:rFonts w:eastAsia="SimSun" w:cs="Arial"/>
          <w:spacing w:val="-2"/>
          <w:lang w:eastAsia="zh-CN"/>
        </w:rPr>
        <w:t>in</w:t>
      </w:r>
      <w:r w:rsidRPr="00545EC0">
        <w:rPr>
          <w:rFonts w:eastAsia="SimSun" w:cs="Arial"/>
          <w:spacing w:val="4"/>
          <w:lang w:eastAsia="zh-CN"/>
        </w:rPr>
        <w:t xml:space="preserve"> </w:t>
      </w:r>
      <w:r w:rsidRPr="00545EC0">
        <w:rPr>
          <w:rFonts w:eastAsia="SimSun" w:cs="Arial"/>
          <w:spacing w:val="-2"/>
          <w:lang w:eastAsia="zh-CN"/>
        </w:rPr>
        <w:t>4</w:t>
      </w:r>
      <w:r w:rsidRPr="00545EC0">
        <w:rPr>
          <w:rFonts w:eastAsia="SimSun" w:cs="Arial"/>
          <w:spacing w:val="4"/>
          <w:lang w:eastAsia="zh-CN"/>
        </w:rPr>
        <w:t xml:space="preserve"> </w:t>
      </w:r>
      <w:r w:rsidRPr="00545EC0">
        <w:rPr>
          <w:rFonts w:eastAsia="SimSun" w:cs="Arial"/>
          <w:spacing w:val="-2"/>
          <w:lang w:eastAsia="zh-CN"/>
        </w:rPr>
        <w:t xml:space="preserve">UVT. </w:t>
      </w:r>
      <w:r w:rsidRPr="00545EC0">
        <w:rPr>
          <w:rFonts w:eastAsia="SimSun" w:cs="Arial"/>
          <w:lang w:eastAsia="zh-CN"/>
        </w:rPr>
        <w:t>Na</w:t>
      </w:r>
      <w:r w:rsidRPr="00545EC0">
        <w:rPr>
          <w:rFonts w:eastAsia="SimSun" w:cs="Arial"/>
          <w:spacing w:val="35"/>
          <w:lang w:eastAsia="zh-CN"/>
        </w:rPr>
        <w:t xml:space="preserve"> </w:t>
      </w:r>
      <w:r w:rsidRPr="00545EC0">
        <w:rPr>
          <w:rFonts w:eastAsia="SimSun" w:cs="Arial"/>
          <w:lang w:eastAsia="zh-CN"/>
        </w:rPr>
        <w:t>rekah</w:t>
      </w:r>
      <w:r w:rsidRPr="00545EC0">
        <w:rPr>
          <w:rFonts w:eastAsia="SimSun" w:cs="Arial"/>
          <w:spacing w:val="35"/>
          <w:lang w:eastAsia="zh-CN"/>
        </w:rPr>
        <w:t xml:space="preserve"> </w:t>
      </w:r>
      <w:r w:rsidRPr="00545EC0">
        <w:rPr>
          <w:rFonts w:eastAsia="SimSun" w:cs="Arial"/>
          <w:lang w:eastAsia="zh-CN"/>
        </w:rPr>
        <w:t>Sava</w:t>
      </w:r>
      <w:r w:rsidRPr="00545EC0">
        <w:rPr>
          <w:rFonts w:eastAsia="SimSun" w:cs="Arial"/>
          <w:spacing w:val="35"/>
          <w:lang w:eastAsia="zh-CN"/>
        </w:rPr>
        <w:t xml:space="preserve"> </w:t>
      </w:r>
      <w:r w:rsidRPr="00545EC0">
        <w:rPr>
          <w:rFonts w:eastAsia="SimSun" w:cs="Arial"/>
          <w:lang w:eastAsia="zh-CN"/>
        </w:rPr>
        <w:t>in</w:t>
      </w:r>
      <w:r w:rsidRPr="00545EC0">
        <w:rPr>
          <w:rFonts w:eastAsia="SimSun" w:cs="Arial"/>
          <w:spacing w:val="35"/>
          <w:lang w:eastAsia="zh-CN"/>
        </w:rPr>
        <w:t xml:space="preserve"> </w:t>
      </w:r>
      <w:r w:rsidRPr="00545EC0">
        <w:rPr>
          <w:rFonts w:eastAsia="SimSun" w:cs="Arial"/>
          <w:lang w:eastAsia="zh-CN"/>
        </w:rPr>
        <w:t xml:space="preserve">Drava </w:t>
      </w:r>
      <w:r w:rsidRPr="00545EC0">
        <w:rPr>
          <w:rFonts w:eastAsia="SimSun" w:cs="Arial"/>
          <w:spacing w:val="-2"/>
          <w:lang w:eastAsia="zh-CN"/>
        </w:rPr>
        <w:t>so</w:t>
      </w:r>
      <w:r w:rsidRPr="00545EC0">
        <w:rPr>
          <w:rFonts w:eastAsia="SimSun" w:cs="Arial"/>
          <w:spacing w:val="35"/>
          <w:lang w:eastAsia="zh-CN"/>
        </w:rPr>
        <w:t xml:space="preserve"> </w:t>
      </w:r>
      <w:r w:rsidRPr="00545EC0">
        <w:rPr>
          <w:rFonts w:eastAsia="SimSun" w:cs="Arial"/>
          <w:spacing w:val="-2"/>
          <w:lang w:eastAsia="zh-CN"/>
        </w:rPr>
        <w:t>zaradi</w:t>
      </w:r>
      <w:r w:rsidRPr="00545EC0">
        <w:rPr>
          <w:rFonts w:eastAsia="SimSun" w:cs="Arial"/>
          <w:spacing w:val="35"/>
          <w:lang w:eastAsia="zh-CN"/>
        </w:rPr>
        <w:t xml:space="preserve"> </w:t>
      </w:r>
      <w:r w:rsidRPr="00545EC0">
        <w:rPr>
          <w:rFonts w:eastAsia="SimSun" w:cs="Arial"/>
          <w:spacing w:val="-2"/>
          <w:lang w:eastAsia="zh-CN"/>
        </w:rPr>
        <w:t>antropogenih</w:t>
      </w:r>
      <w:r w:rsidRPr="00545EC0">
        <w:rPr>
          <w:rFonts w:eastAsia="SimSun" w:cs="Arial"/>
          <w:spacing w:val="35"/>
          <w:lang w:eastAsia="zh-CN"/>
        </w:rPr>
        <w:t xml:space="preserve"> </w:t>
      </w:r>
      <w:r w:rsidRPr="00545EC0">
        <w:rPr>
          <w:rFonts w:eastAsia="SimSun" w:cs="Arial"/>
          <w:spacing w:val="-2"/>
          <w:lang w:eastAsia="zh-CN"/>
        </w:rPr>
        <w:t>posego</w:t>
      </w:r>
      <w:r w:rsidRPr="00545EC0">
        <w:rPr>
          <w:rFonts w:eastAsia="SimSun" w:cs="Arial"/>
          <w:lang w:eastAsia="zh-CN"/>
        </w:rPr>
        <w:t>v</w:t>
      </w:r>
      <w:r w:rsidRPr="00545EC0">
        <w:rPr>
          <w:rFonts w:eastAsia="SimSun" w:cs="Arial"/>
          <w:spacing w:val="35"/>
          <w:lang w:eastAsia="zh-CN"/>
        </w:rPr>
        <w:t xml:space="preserve"> </w:t>
      </w:r>
      <w:r w:rsidRPr="00545EC0">
        <w:rPr>
          <w:rFonts w:eastAsia="SimSun" w:cs="Arial"/>
          <w:spacing w:val="-2"/>
          <w:lang w:eastAsia="zh-CN"/>
        </w:rPr>
        <w:t>p</w:t>
      </w:r>
      <w:r w:rsidRPr="00545EC0">
        <w:rPr>
          <w:rFonts w:eastAsia="SimSun" w:cs="Arial"/>
          <w:lang w:eastAsia="zh-CN"/>
        </w:rPr>
        <w:t>ovezanih</w:t>
      </w:r>
      <w:r w:rsidRPr="00545EC0">
        <w:rPr>
          <w:rFonts w:eastAsia="SimSun" w:cs="Arial"/>
          <w:spacing w:val="35"/>
          <w:lang w:eastAsia="zh-CN"/>
        </w:rPr>
        <w:t xml:space="preserve"> </w:t>
      </w:r>
      <w:r w:rsidRPr="00545EC0">
        <w:rPr>
          <w:rFonts w:eastAsia="SimSun" w:cs="Arial"/>
          <w:lang w:eastAsia="zh-CN"/>
        </w:rPr>
        <w:t>s</w:t>
      </w:r>
      <w:r w:rsidRPr="00545EC0">
        <w:rPr>
          <w:rFonts w:eastAsia="SimSun" w:cs="Arial"/>
          <w:spacing w:val="35"/>
          <w:lang w:eastAsia="zh-CN"/>
        </w:rPr>
        <w:t xml:space="preserve"> </w:t>
      </w:r>
      <w:r w:rsidRPr="00545EC0">
        <w:rPr>
          <w:rFonts w:eastAsia="SimSun" w:cs="Arial"/>
          <w:lang w:eastAsia="zh-CN"/>
        </w:rPr>
        <w:t>proizvodnjo</w:t>
      </w:r>
      <w:r w:rsidRPr="00545EC0">
        <w:rPr>
          <w:rFonts w:eastAsia="SimSun" w:cs="Arial"/>
          <w:spacing w:val="35"/>
          <w:lang w:eastAsia="zh-CN"/>
        </w:rPr>
        <w:t xml:space="preserve"> </w:t>
      </w:r>
      <w:r w:rsidRPr="00545EC0">
        <w:rPr>
          <w:rFonts w:eastAsia="SimSun" w:cs="Arial"/>
          <w:lang w:eastAsia="zh-CN"/>
        </w:rPr>
        <w:t>elektr</w:t>
      </w:r>
      <w:r w:rsidRPr="00545EC0">
        <w:rPr>
          <w:rFonts w:eastAsia="SimSun" w:cs="Arial"/>
          <w:spacing w:val="-2"/>
          <w:lang w:eastAsia="zh-CN"/>
        </w:rPr>
        <w:t>i</w:t>
      </w:r>
      <w:r w:rsidRPr="00545EC0">
        <w:rPr>
          <w:rFonts w:eastAsia="SimSun" w:cs="Arial"/>
          <w:lang w:eastAsia="zh-CN"/>
        </w:rPr>
        <w:t>č</w:t>
      </w:r>
      <w:r w:rsidRPr="00545EC0">
        <w:rPr>
          <w:rFonts w:eastAsia="SimSun" w:cs="Arial"/>
          <w:spacing w:val="-2"/>
          <w:lang w:eastAsia="zh-CN"/>
        </w:rPr>
        <w:t>ne energije nas</w:t>
      </w:r>
      <w:r w:rsidRPr="00545EC0">
        <w:rPr>
          <w:rFonts w:eastAsia="SimSun" w:cs="Arial"/>
          <w:lang w:eastAsia="zh-CN"/>
        </w:rPr>
        <w:t>t</w:t>
      </w:r>
      <w:r w:rsidRPr="00545EC0">
        <w:rPr>
          <w:rFonts w:eastAsia="SimSun" w:cs="Arial"/>
          <w:spacing w:val="-2"/>
          <w:lang w:eastAsia="zh-CN"/>
        </w:rPr>
        <w:t xml:space="preserve">ali zadrževalniki za potrebe naslednjih hidroelektrarn (v </w:t>
      </w:r>
      <w:r w:rsidR="008655D0" w:rsidRPr="00545EC0">
        <w:rPr>
          <w:rFonts w:cs="Arial"/>
        </w:rPr>
        <w:t>nadaljnjem besedilu:</w:t>
      </w:r>
      <w:r w:rsidRPr="00545EC0">
        <w:rPr>
          <w:rFonts w:eastAsia="SimSun" w:cs="Arial"/>
          <w:spacing w:val="-2"/>
          <w:lang w:eastAsia="zh-CN"/>
        </w:rPr>
        <w:t xml:space="preserve"> HE):</w:t>
      </w:r>
      <w:r w:rsidRPr="00545EC0">
        <w:rPr>
          <w:rFonts w:eastAsia="SimSun" w:cs="Arial"/>
          <w:lang w:eastAsia="zh-CN"/>
        </w:rPr>
        <w:t xml:space="preserve"> na reki Savi HE </w:t>
      </w:r>
      <w:r w:rsidRPr="00545EC0">
        <w:rPr>
          <w:rFonts w:eastAsia="SimSun" w:cs="Arial"/>
          <w:spacing w:val="-2"/>
          <w:lang w:eastAsia="zh-CN"/>
        </w:rPr>
        <w:t>Moste,</w:t>
      </w:r>
      <w:r w:rsidRPr="00545EC0">
        <w:rPr>
          <w:rFonts w:eastAsia="SimSun" w:cs="Arial"/>
          <w:lang w:eastAsia="zh-CN"/>
        </w:rPr>
        <w:t xml:space="preserve"> </w:t>
      </w:r>
      <w:r w:rsidRPr="00545EC0">
        <w:rPr>
          <w:rFonts w:eastAsia="SimSun" w:cs="Arial"/>
          <w:spacing w:val="-2"/>
          <w:lang w:eastAsia="zh-CN"/>
        </w:rPr>
        <w:t>HE</w:t>
      </w:r>
      <w:r w:rsidRPr="00545EC0">
        <w:rPr>
          <w:rFonts w:eastAsia="SimSun" w:cs="Arial"/>
          <w:lang w:eastAsia="zh-CN"/>
        </w:rPr>
        <w:t xml:space="preserve"> </w:t>
      </w:r>
      <w:r w:rsidRPr="00545EC0">
        <w:rPr>
          <w:rFonts w:eastAsia="SimSun" w:cs="Arial"/>
          <w:spacing w:val="-2"/>
          <w:lang w:eastAsia="zh-CN"/>
        </w:rPr>
        <w:t>Ma</w:t>
      </w:r>
      <w:r w:rsidRPr="00545EC0">
        <w:rPr>
          <w:rFonts w:eastAsia="SimSun" w:cs="Arial"/>
          <w:lang w:eastAsia="zh-CN"/>
        </w:rPr>
        <w:t>vč</w:t>
      </w:r>
      <w:r w:rsidRPr="00545EC0">
        <w:rPr>
          <w:rFonts w:eastAsia="SimSun" w:cs="Arial"/>
          <w:spacing w:val="-2"/>
          <w:lang w:eastAsia="zh-CN"/>
        </w:rPr>
        <w:t>i</w:t>
      </w:r>
      <w:r w:rsidRPr="00545EC0">
        <w:rPr>
          <w:rFonts w:eastAsia="SimSun" w:cs="Arial"/>
          <w:lang w:eastAsia="zh-CN"/>
        </w:rPr>
        <w:t>č</w:t>
      </w:r>
      <w:r w:rsidRPr="00545EC0">
        <w:rPr>
          <w:rFonts w:eastAsia="SimSun" w:cs="Arial"/>
          <w:spacing w:val="-2"/>
          <w:lang w:eastAsia="zh-CN"/>
        </w:rPr>
        <w:t>e,</w:t>
      </w:r>
      <w:r w:rsidRPr="00545EC0">
        <w:rPr>
          <w:rFonts w:eastAsia="SimSun" w:cs="Arial"/>
          <w:lang w:eastAsia="zh-CN"/>
        </w:rPr>
        <w:t xml:space="preserve"> </w:t>
      </w:r>
      <w:r w:rsidRPr="00545EC0">
        <w:rPr>
          <w:rFonts w:eastAsia="SimSun" w:cs="Arial"/>
          <w:spacing w:val="-2"/>
          <w:lang w:eastAsia="zh-CN"/>
        </w:rPr>
        <w:t xml:space="preserve">HE </w:t>
      </w:r>
      <w:r w:rsidRPr="00545EC0">
        <w:rPr>
          <w:rFonts w:eastAsia="SimSun" w:cs="Arial"/>
          <w:lang w:eastAsia="zh-CN"/>
        </w:rPr>
        <w:t xml:space="preserve">Medvode, HE Vrhovo, </w:t>
      </w:r>
      <w:r w:rsidRPr="00545EC0">
        <w:rPr>
          <w:rFonts w:eastAsia="SimSun" w:cs="Arial"/>
          <w:spacing w:val="-2"/>
          <w:lang w:eastAsia="zh-CN"/>
        </w:rPr>
        <w:t>HE</w:t>
      </w:r>
      <w:r w:rsidRPr="00545EC0">
        <w:rPr>
          <w:rFonts w:eastAsia="SimSun" w:cs="Arial"/>
          <w:spacing w:val="32"/>
          <w:lang w:eastAsia="zh-CN"/>
        </w:rPr>
        <w:t xml:space="preserve"> </w:t>
      </w:r>
      <w:r w:rsidR="00FD07E1" w:rsidRPr="00545EC0">
        <w:rPr>
          <w:rFonts w:eastAsia="SimSun" w:cs="Arial"/>
          <w:spacing w:val="-2"/>
          <w:lang w:eastAsia="zh-CN"/>
        </w:rPr>
        <w:t xml:space="preserve">Boštanj in HE </w:t>
      </w:r>
      <w:r w:rsidR="009910C7">
        <w:rPr>
          <w:rFonts w:eastAsia="SimSun" w:cs="Arial"/>
          <w:spacing w:val="-2"/>
          <w:lang w:eastAsia="zh-CN"/>
        </w:rPr>
        <w:t>Arto-</w:t>
      </w:r>
      <w:r w:rsidR="00FD07E1" w:rsidRPr="00545EC0">
        <w:rPr>
          <w:rFonts w:eastAsia="SimSun" w:cs="Arial"/>
          <w:spacing w:val="-2"/>
          <w:lang w:eastAsia="zh-CN"/>
        </w:rPr>
        <w:t xml:space="preserve">Blanca in HE </w:t>
      </w:r>
      <w:r w:rsidR="000758C6">
        <w:rPr>
          <w:rFonts w:eastAsia="SimSun" w:cs="Arial"/>
          <w:spacing w:val="-2"/>
          <w:lang w:eastAsia="zh-CN"/>
        </w:rPr>
        <w:t>Krško in HE Brežice</w:t>
      </w:r>
      <w:r w:rsidR="00FD07E1" w:rsidRPr="00545EC0">
        <w:rPr>
          <w:rFonts w:eastAsia="SimSun" w:cs="Arial"/>
          <w:spacing w:val="-2"/>
          <w:lang w:eastAsia="zh-CN"/>
        </w:rPr>
        <w:t>,</w:t>
      </w:r>
      <w:r w:rsidRPr="00545EC0">
        <w:rPr>
          <w:rFonts w:eastAsia="SimSun" w:cs="Arial"/>
          <w:spacing w:val="-2"/>
          <w:lang w:eastAsia="zh-CN"/>
        </w:rPr>
        <w:t xml:space="preserve"> na reki Dravi pa HE Dravograd, HE Vuzenica, HE Vuhred, HE Ožbalt, HE Fala, HE Mariborski otok, HE Melje, HE Zlatoličje</w:t>
      </w:r>
      <w:r w:rsidR="004D3123" w:rsidRPr="00545EC0">
        <w:rPr>
          <w:rFonts w:eastAsia="SimSun" w:cs="Arial"/>
          <w:spacing w:val="-2"/>
          <w:lang w:eastAsia="zh-CN"/>
        </w:rPr>
        <w:t xml:space="preserve">  in</w:t>
      </w:r>
      <w:r w:rsidRPr="00545EC0">
        <w:rPr>
          <w:rFonts w:eastAsia="SimSun" w:cs="Arial"/>
          <w:spacing w:val="-2"/>
          <w:lang w:eastAsia="zh-CN"/>
        </w:rPr>
        <w:t xml:space="preserve"> HE Formin.</w:t>
      </w:r>
      <w:r w:rsidRPr="00545EC0">
        <w:rPr>
          <w:rFonts w:eastAsia="SimSun" w:cs="Arial"/>
          <w:lang w:eastAsia="zh-CN"/>
        </w:rPr>
        <w:t xml:space="preserve"> </w:t>
      </w:r>
      <w:r w:rsidRPr="00545EC0">
        <w:rPr>
          <w:rFonts w:eastAsia="SimSun" w:cs="Arial"/>
          <w:spacing w:val="-2"/>
          <w:lang w:eastAsia="zh-CN"/>
        </w:rPr>
        <w:t>Odseki</w:t>
      </w:r>
      <w:r w:rsidRPr="00545EC0">
        <w:rPr>
          <w:rFonts w:eastAsia="SimSun" w:cs="Arial"/>
          <w:lang w:eastAsia="zh-CN"/>
        </w:rPr>
        <w:t xml:space="preserve"> </w:t>
      </w:r>
      <w:r w:rsidRPr="00545EC0">
        <w:rPr>
          <w:rFonts w:eastAsia="SimSun" w:cs="Arial"/>
          <w:spacing w:val="-2"/>
          <w:lang w:eastAsia="zh-CN"/>
        </w:rPr>
        <w:t>na</w:t>
      </w:r>
      <w:r w:rsidRPr="00545EC0">
        <w:rPr>
          <w:rFonts w:eastAsia="SimSun" w:cs="Arial"/>
          <w:lang w:eastAsia="zh-CN"/>
        </w:rPr>
        <w:t xml:space="preserve"> </w:t>
      </w:r>
      <w:r w:rsidRPr="00545EC0">
        <w:rPr>
          <w:rFonts w:eastAsia="SimSun" w:cs="Arial"/>
          <w:spacing w:val="-2"/>
          <w:lang w:eastAsia="zh-CN"/>
        </w:rPr>
        <w:t>omenjenih</w:t>
      </w:r>
      <w:r w:rsidRPr="00545EC0">
        <w:rPr>
          <w:rFonts w:eastAsia="SimSun" w:cs="Arial"/>
          <w:lang w:eastAsia="zh-CN"/>
        </w:rPr>
        <w:t xml:space="preserve"> </w:t>
      </w:r>
      <w:r w:rsidRPr="00545EC0">
        <w:rPr>
          <w:rFonts w:eastAsia="SimSun" w:cs="Arial"/>
          <w:spacing w:val="-2"/>
          <w:lang w:eastAsia="zh-CN"/>
        </w:rPr>
        <w:t>rekah</w:t>
      </w:r>
      <w:r w:rsidRPr="00545EC0">
        <w:rPr>
          <w:rFonts w:eastAsia="SimSun" w:cs="Arial"/>
          <w:lang w:eastAsia="zh-CN"/>
        </w:rPr>
        <w:t xml:space="preserve">, ki imajo zaradi antropogenih </w:t>
      </w:r>
      <w:r w:rsidRPr="00545EC0">
        <w:rPr>
          <w:rFonts w:eastAsia="SimSun" w:cs="Arial"/>
          <w:spacing w:val="-2"/>
          <w:lang w:eastAsia="zh-CN"/>
        </w:rPr>
        <w:t>hidromorfolo</w:t>
      </w:r>
      <w:r w:rsidRPr="00545EC0">
        <w:rPr>
          <w:rFonts w:eastAsia="SimSun" w:cs="Arial"/>
          <w:lang w:eastAsia="zh-CN"/>
        </w:rPr>
        <w:t>š</w:t>
      </w:r>
      <w:r w:rsidRPr="00545EC0">
        <w:rPr>
          <w:rFonts w:eastAsia="SimSun" w:cs="Arial"/>
          <w:spacing w:val="-2"/>
          <w:lang w:eastAsia="zh-CN"/>
        </w:rPr>
        <w:t>kih</w:t>
      </w:r>
      <w:r w:rsidRPr="00545EC0">
        <w:rPr>
          <w:rFonts w:eastAsia="SimSun" w:cs="Arial"/>
          <w:spacing w:val="16"/>
          <w:lang w:eastAsia="zh-CN"/>
        </w:rPr>
        <w:t xml:space="preserve"> </w:t>
      </w:r>
      <w:r w:rsidRPr="00545EC0">
        <w:rPr>
          <w:rFonts w:eastAsia="SimSun" w:cs="Arial"/>
          <w:spacing w:val="-2"/>
          <w:lang w:eastAsia="zh-CN"/>
        </w:rPr>
        <w:t>posego</w:t>
      </w:r>
      <w:r w:rsidRPr="00545EC0">
        <w:rPr>
          <w:rFonts w:eastAsia="SimSun" w:cs="Arial"/>
          <w:lang w:eastAsia="zh-CN"/>
        </w:rPr>
        <w:t>v</w:t>
      </w:r>
      <w:r w:rsidRPr="00545EC0">
        <w:rPr>
          <w:rFonts w:eastAsia="SimSun" w:cs="Arial"/>
          <w:spacing w:val="16"/>
          <w:lang w:eastAsia="zh-CN"/>
        </w:rPr>
        <w:t xml:space="preserve"> </w:t>
      </w:r>
      <w:r w:rsidRPr="00545EC0">
        <w:rPr>
          <w:rFonts w:eastAsia="SimSun" w:cs="Arial"/>
          <w:spacing w:val="-2"/>
          <w:lang w:eastAsia="zh-CN"/>
        </w:rPr>
        <w:t>znatn</w:t>
      </w:r>
      <w:r w:rsidRPr="00545EC0">
        <w:rPr>
          <w:rFonts w:eastAsia="SimSun" w:cs="Arial"/>
          <w:lang w:eastAsia="zh-CN"/>
        </w:rPr>
        <w:t>o</w:t>
      </w:r>
      <w:r w:rsidRPr="00545EC0">
        <w:rPr>
          <w:rFonts w:eastAsia="SimSun" w:cs="Arial"/>
          <w:spacing w:val="16"/>
          <w:lang w:eastAsia="zh-CN"/>
        </w:rPr>
        <w:t xml:space="preserve"> </w:t>
      </w:r>
      <w:r w:rsidRPr="00545EC0">
        <w:rPr>
          <w:rFonts w:eastAsia="SimSun" w:cs="Arial"/>
          <w:lang w:eastAsia="zh-CN"/>
        </w:rPr>
        <w:t>spremenjene</w:t>
      </w:r>
      <w:r w:rsidRPr="00545EC0">
        <w:rPr>
          <w:rFonts w:eastAsia="SimSun" w:cs="Arial"/>
          <w:spacing w:val="16"/>
          <w:lang w:eastAsia="zh-CN"/>
        </w:rPr>
        <w:t xml:space="preserve"> </w:t>
      </w:r>
      <w:r w:rsidRPr="00545EC0">
        <w:rPr>
          <w:rFonts w:eastAsia="SimSun" w:cs="Arial"/>
          <w:lang w:eastAsia="zh-CN"/>
        </w:rPr>
        <w:t>hidromorfološke</w:t>
      </w:r>
      <w:r w:rsidRPr="00545EC0">
        <w:rPr>
          <w:rFonts w:eastAsia="SimSun" w:cs="Arial"/>
          <w:spacing w:val="16"/>
          <w:lang w:eastAsia="zh-CN"/>
        </w:rPr>
        <w:t xml:space="preserve"> </w:t>
      </w:r>
      <w:r w:rsidRPr="00545EC0">
        <w:rPr>
          <w:rFonts w:eastAsia="SimSun" w:cs="Arial"/>
          <w:lang w:eastAsia="zh-CN"/>
        </w:rPr>
        <w:t>z</w:t>
      </w:r>
      <w:r w:rsidRPr="00545EC0">
        <w:rPr>
          <w:rFonts w:eastAsia="SimSun" w:cs="Arial"/>
          <w:spacing w:val="-2"/>
          <w:lang w:eastAsia="zh-CN"/>
        </w:rPr>
        <w:t>n</w:t>
      </w:r>
      <w:r w:rsidRPr="00545EC0">
        <w:rPr>
          <w:rFonts w:eastAsia="SimSun" w:cs="Arial"/>
          <w:lang w:eastAsia="zh-CN"/>
        </w:rPr>
        <w:t>ač</w:t>
      </w:r>
      <w:r w:rsidRPr="00545EC0">
        <w:rPr>
          <w:rFonts w:eastAsia="SimSun" w:cs="Arial"/>
          <w:spacing w:val="-2"/>
          <w:lang w:eastAsia="zh-CN"/>
        </w:rPr>
        <w:t>il</w:t>
      </w:r>
      <w:r w:rsidRPr="00545EC0">
        <w:rPr>
          <w:rFonts w:eastAsia="SimSun" w:cs="Arial"/>
          <w:lang w:eastAsia="zh-CN"/>
        </w:rPr>
        <w:t>n</w:t>
      </w:r>
      <w:r w:rsidRPr="00545EC0">
        <w:rPr>
          <w:rFonts w:eastAsia="SimSun" w:cs="Arial"/>
          <w:spacing w:val="-2"/>
          <w:lang w:eastAsia="zh-CN"/>
        </w:rPr>
        <w:t>osti</w:t>
      </w:r>
      <w:r w:rsidRPr="00545EC0">
        <w:rPr>
          <w:rFonts w:eastAsia="SimSun" w:cs="Arial"/>
          <w:spacing w:val="16"/>
          <w:lang w:eastAsia="zh-CN"/>
        </w:rPr>
        <w:t xml:space="preserve"> </w:t>
      </w:r>
      <w:r w:rsidRPr="00545EC0">
        <w:rPr>
          <w:rFonts w:eastAsia="SimSun" w:cs="Arial"/>
          <w:spacing w:val="-2"/>
          <w:lang w:eastAsia="zh-CN"/>
        </w:rPr>
        <w:t>in</w:t>
      </w:r>
      <w:r w:rsidRPr="00545EC0">
        <w:rPr>
          <w:rFonts w:eastAsia="SimSun" w:cs="Arial"/>
          <w:spacing w:val="16"/>
          <w:lang w:eastAsia="zh-CN"/>
        </w:rPr>
        <w:t xml:space="preserve"> </w:t>
      </w:r>
      <w:r w:rsidRPr="00545EC0">
        <w:rPr>
          <w:rFonts w:eastAsia="SimSun" w:cs="Arial"/>
          <w:lang w:eastAsia="zh-CN"/>
        </w:rPr>
        <w:t>v</w:t>
      </w:r>
      <w:r w:rsidRPr="00545EC0">
        <w:rPr>
          <w:rFonts w:eastAsia="SimSun" w:cs="Arial"/>
          <w:spacing w:val="-2"/>
          <w:lang w:eastAsia="zh-CN"/>
        </w:rPr>
        <w:t>klj</w:t>
      </w:r>
      <w:r w:rsidRPr="00545EC0">
        <w:rPr>
          <w:rFonts w:eastAsia="SimSun" w:cs="Arial"/>
          <w:lang w:eastAsia="zh-CN"/>
        </w:rPr>
        <w:t>uč</w:t>
      </w:r>
      <w:r w:rsidRPr="00545EC0">
        <w:rPr>
          <w:rFonts w:eastAsia="SimSun" w:cs="Arial"/>
          <w:spacing w:val="-2"/>
          <w:lang w:eastAsia="zh-CN"/>
        </w:rPr>
        <w:t>ujejo</w:t>
      </w:r>
      <w:r w:rsidRPr="00545EC0">
        <w:rPr>
          <w:rFonts w:eastAsia="SimSun" w:cs="Arial"/>
          <w:spacing w:val="16"/>
          <w:lang w:eastAsia="zh-CN"/>
        </w:rPr>
        <w:t xml:space="preserve"> </w:t>
      </w:r>
      <w:r w:rsidRPr="00545EC0">
        <w:rPr>
          <w:rFonts w:eastAsia="SimSun" w:cs="Arial"/>
          <w:spacing w:val="-2"/>
          <w:lang w:eastAsia="zh-CN"/>
        </w:rPr>
        <w:t xml:space="preserve">zadrževalnike </w:t>
      </w:r>
      <w:r w:rsidRPr="00545EC0">
        <w:rPr>
          <w:rFonts w:eastAsia="SimSun" w:cs="Arial"/>
          <w:lang w:eastAsia="zh-CN"/>
        </w:rPr>
        <w:t>vode</w:t>
      </w:r>
      <w:r w:rsidRPr="00545EC0">
        <w:rPr>
          <w:rFonts w:eastAsia="SimSun" w:cs="Arial"/>
          <w:spacing w:val="6"/>
          <w:lang w:eastAsia="zh-CN"/>
        </w:rPr>
        <w:t xml:space="preserve"> </w:t>
      </w:r>
      <w:r w:rsidRPr="00545EC0">
        <w:rPr>
          <w:rFonts w:eastAsia="SimSun" w:cs="Arial"/>
          <w:lang w:eastAsia="zh-CN"/>
        </w:rPr>
        <w:t>za</w:t>
      </w:r>
      <w:r w:rsidRPr="00545EC0">
        <w:rPr>
          <w:rFonts w:eastAsia="SimSun" w:cs="Arial"/>
          <w:spacing w:val="6"/>
          <w:lang w:eastAsia="zh-CN"/>
        </w:rPr>
        <w:t xml:space="preserve"> </w:t>
      </w:r>
      <w:r w:rsidRPr="00545EC0">
        <w:rPr>
          <w:rFonts w:eastAsia="SimSun" w:cs="Arial"/>
          <w:lang w:eastAsia="zh-CN"/>
        </w:rPr>
        <w:t>proiz</w:t>
      </w:r>
      <w:r w:rsidRPr="00545EC0">
        <w:rPr>
          <w:rFonts w:eastAsia="SimSun" w:cs="Arial"/>
          <w:spacing w:val="-2"/>
          <w:lang w:eastAsia="zh-CN"/>
        </w:rPr>
        <w:t>v</w:t>
      </w:r>
      <w:r w:rsidRPr="00545EC0">
        <w:rPr>
          <w:rFonts w:eastAsia="SimSun" w:cs="Arial"/>
          <w:lang w:eastAsia="zh-CN"/>
        </w:rPr>
        <w:t>odnjo</w:t>
      </w:r>
      <w:r w:rsidRPr="00545EC0">
        <w:rPr>
          <w:rFonts w:eastAsia="SimSun" w:cs="Arial"/>
          <w:spacing w:val="6"/>
          <w:lang w:eastAsia="zh-CN"/>
        </w:rPr>
        <w:t xml:space="preserve"> </w:t>
      </w:r>
      <w:r w:rsidRPr="00545EC0">
        <w:rPr>
          <w:rFonts w:eastAsia="SimSun" w:cs="Arial"/>
          <w:lang w:eastAsia="zh-CN"/>
        </w:rPr>
        <w:t>elektr</w:t>
      </w:r>
      <w:r w:rsidRPr="00545EC0">
        <w:rPr>
          <w:rFonts w:eastAsia="SimSun" w:cs="Arial"/>
          <w:spacing w:val="-2"/>
          <w:lang w:eastAsia="zh-CN"/>
        </w:rPr>
        <w:t>i</w:t>
      </w:r>
      <w:r w:rsidRPr="00545EC0">
        <w:rPr>
          <w:rFonts w:eastAsia="SimSun" w:cs="Arial"/>
          <w:lang w:eastAsia="zh-CN"/>
        </w:rPr>
        <w:t>č</w:t>
      </w:r>
      <w:r w:rsidRPr="00545EC0">
        <w:rPr>
          <w:rFonts w:eastAsia="SimSun" w:cs="Arial"/>
          <w:spacing w:val="-2"/>
          <w:lang w:eastAsia="zh-CN"/>
        </w:rPr>
        <w:t>ne</w:t>
      </w:r>
      <w:r w:rsidRPr="00545EC0">
        <w:rPr>
          <w:rFonts w:eastAsia="SimSun" w:cs="Arial"/>
          <w:spacing w:val="6"/>
          <w:lang w:eastAsia="zh-CN"/>
        </w:rPr>
        <w:t xml:space="preserve"> </w:t>
      </w:r>
      <w:r w:rsidRPr="00545EC0">
        <w:rPr>
          <w:rFonts w:eastAsia="SimSun" w:cs="Arial"/>
          <w:spacing w:val="-2"/>
          <w:lang w:eastAsia="zh-CN"/>
        </w:rPr>
        <w:t>energije,</w:t>
      </w:r>
      <w:r w:rsidRPr="00545EC0">
        <w:rPr>
          <w:rFonts w:eastAsia="SimSun" w:cs="Arial"/>
          <w:spacing w:val="6"/>
          <w:lang w:eastAsia="zh-CN"/>
        </w:rPr>
        <w:t xml:space="preserve"> </w:t>
      </w:r>
      <w:r w:rsidRPr="00545EC0">
        <w:rPr>
          <w:rFonts w:eastAsia="SimSun" w:cs="Arial"/>
          <w:spacing w:val="-2"/>
          <w:lang w:eastAsia="zh-CN"/>
        </w:rPr>
        <w:t>so</w:t>
      </w:r>
      <w:r w:rsidRPr="00545EC0">
        <w:rPr>
          <w:rFonts w:eastAsia="SimSun" w:cs="Arial"/>
          <w:spacing w:val="6"/>
          <w:lang w:eastAsia="zh-CN"/>
        </w:rPr>
        <w:t xml:space="preserve"> </w:t>
      </w:r>
      <w:r w:rsidRPr="00545EC0">
        <w:rPr>
          <w:rFonts w:eastAsia="SimSun" w:cs="Arial"/>
          <w:spacing w:val="-2"/>
          <w:lang w:eastAsia="zh-CN"/>
        </w:rPr>
        <w:t>dol</w:t>
      </w:r>
      <w:r w:rsidRPr="00545EC0">
        <w:rPr>
          <w:rFonts w:eastAsia="SimSun" w:cs="Arial"/>
          <w:lang w:eastAsia="zh-CN"/>
        </w:rPr>
        <w:t>očeni</w:t>
      </w:r>
      <w:r w:rsidRPr="00545EC0">
        <w:rPr>
          <w:rFonts w:eastAsia="SimSun" w:cs="Arial"/>
          <w:spacing w:val="6"/>
          <w:lang w:eastAsia="zh-CN"/>
        </w:rPr>
        <w:t xml:space="preserve"> </w:t>
      </w:r>
      <w:r w:rsidRPr="00545EC0">
        <w:rPr>
          <w:rFonts w:eastAsia="SimSun" w:cs="Arial"/>
          <w:lang w:eastAsia="zh-CN"/>
        </w:rPr>
        <w:t>k</w:t>
      </w:r>
      <w:r w:rsidRPr="00545EC0">
        <w:rPr>
          <w:rFonts w:eastAsia="SimSun" w:cs="Arial"/>
          <w:spacing w:val="-2"/>
          <w:lang w:eastAsia="zh-CN"/>
        </w:rPr>
        <w:t>o</w:t>
      </w:r>
      <w:r w:rsidRPr="00545EC0">
        <w:rPr>
          <w:rFonts w:eastAsia="SimSun" w:cs="Arial"/>
          <w:lang w:eastAsia="zh-CN"/>
        </w:rPr>
        <w:t>t</w:t>
      </w:r>
      <w:r w:rsidRPr="00545EC0">
        <w:rPr>
          <w:rFonts w:eastAsia="SimSun" w:cs="Arial"/>
          <w:spacing w:val="6"/>
          <w:lang w:eastAsia="zh-CN"/>
        </w:rPr>
        <w:t xml:space="preserve"> </w:t>
      </w:r>
      <w:r w:rsidRPr="00545EC0">
        <w:rPr>
          <w:rFonts w:eastAsia="SimSun" w:cs="Arial"/>
          <w:lang w:eastAsia="zh-CN"/>
        </w:rPr>
        <w:t>samostojna</w:t>
      </w:r>
      <w:r w:rsidRPr="00545EC0">
        <w:rPr>
          <w:rFonts w:eastAsia="SimSun" w:cs="Arial"/>
          <w:spacing w:val="6"/>
          <w:lang w:eastAsia="zh-CN"/>
        </w:rPr>
        <w:t xml:space="preserve"> </w:t>
      </w:r>
      <w:r w:rsidRPr="00545EC0">
        <w:rPr>
          <w:rFonts w:eastAsia="SimSun" w:cs="Arial"/>
          <w:lang w:eastAsia="zh-CN"/>
        </w:rPr>
        <w:t>VT,</w:t>
      </w:r>
      <w:r w:rsidRPr="00545EC0">
        <w:rPr>
          <w:rFonts w:eastAsia="SimSun" w:cs="Arial"/>
          <w:spacing w:val="6"/>
          <w:lang w:eastAsia="zh-CN"/>
        </w:rPr>
        <w:t xml:space="preserve"> </w:t>
      </w:r>
      <w:r w:rsidRPr="00545EC0">
        <w:rPr>
          <w:rFonts w:eastAsia="SimSun" w:cs="Arial"/>
          <w:lang w:eastAsia="zh-CN"/>
        </w:rPr>
        <w:t>ki</w:t>
      </w:r>
      <w:r w:rsidRPr="00545EC0">
        <w:rPr>
          <w:rFonts w:eastAsia="SimSun" w:cs="Arial"/>
          <w:spacing w:val="6"/>
          <w:lang w:eastAsia="zh-CN"/>
        </w:rPr>
        <w:t xml:space="preserve"> </w:t>
      </w:r>
      <w:r w:rsidRPr="00545EC0">
        <w:rPr>
          <w:rFonts w:eastAsia="SimSun" w:cs="Arial"/>
          <w:lang w:eastAsia="zh-CN"/>
        </w:rPr>
        <w:t>so</w:t>
      </w:r>
      <w:r w:rsidRPr="00545EC0">
        <w:rPr>
          <w:rFonts w:eastAsia="SimSun" w:cs="Arial"/>
          <w:spacing w:val="6"/>
          <w:lang w:eastAsia="zh-CN"/>
        </w:rPr>
        <w:t xml:space="preserve"> </w:t>
      </w:r>
      <w:r w:rsidRPr="00545EC0">
        <w:rPr>
          <w:rFonts w:eastAsia="SimSun" w:cs="Arial"/>
          <w:lang w:eastAsia="zh-CN"/>
        </w:rPr>
        <w:t>opredeljena</w:t>
      </w:r>
      <w:r w:rsidRPr="00545EC0">
        <w:rPr>
          <w:rFonts w:eastAsia="SimSun" w:cs="Arial"/>
          <w:spacing w:val="6"/>
          <w:lang w:eastAsia="zh-CN"/>
        </w:rPr>
        <w:t xml:space="preserve"> </w:t>
      </w:r>
      <w:r w:rsidRPr="00545EC0">
        <w:rPr>
          <w:rFonts w:eastAsia="SimSun" w:cs="Arial"/>
          <w:lang w:eastAsia="zh-CN"/>
        </w:rPr>
        <w:t>kot MPVT.</w:t>
      </w:r>
    </w:p>
    <w:p w14:paraId="217A3102" w14:textId="77777777" w:rsidR="00977EB2" w:rsidRPr="00545EC0" w:rsidRDefault="00977EB2" w:rsidP="00977EB2">
      <w:pPr>
        <w:widowControl w:val="0"/>
        <w:spacing w:after="200"/>
        <w:ind w:right="91"/>
        <w:rPr>
          <w:rFonts w:eastAsia="SimSun" w:cs="Arial"/>
          <w:lang w:eastAsia="zh-CN"/>
        </w:rPr>
      </w:pPr>
      <w:r w:rsidRPr="00545EC0">
        <w:rPr>
          <w:rFonts w:eastAsia="SimSun" w:cs="Arial"/>
          <w:lang w:eastAsia="zh-CN"/>
        </w:rPr>
        <w:lastRenderedPageBreak/>
        <w:t>Na sedmih rekah VO Donave so zaradi vodnogospodarske rabe voda nastali zadrževalniki Šmartinsko jezero, Slivniško jezero, Perniško jezero, Ptujsko jezero, Ormoško jezero, Vonarsko jezero, Gajševsko jezero in Ledavsko jezero.</w:t>
      </w:r>
    </w:p>
    <w:p w14:paraId="67B6D06C" w14:textId="77777777" w:rsidR="007C6666" w:rsidRPr="00545EC0" w:rsidRDefault="00977EB2" w:rsidP="003176A4">
      <w:pPr>
        <w:pStyle w:val="Napis"/>
        <w:rPr>
          <w:rFonts w:eastAsia="SimSun"/>
          <w:lang w:eastAsia="zh-CN"/>
        </w:rPr>
      </w:pPr>
      <w:r w:rsidRPr="00545EC0">
        <w:rPr>
          <w:rFonts w:eastAsia="SimSun"/>
          <w:lang w:eastAsia="zh-CN"/>
        </w:rPr>
        <w:t xml:space="preserve">Razporeditev v vrsto vodnega telesa opredeljuje </w:t>
      </w:r>
      <w:r w:rsidR="0075064D" w:rsidRPr="00545EC0">
        <w:rPr>
          <w:rFonts w:eastAsia="Arial Unicode MS"/>
        </w:rPr>
        <w:t>predpis, ki ureja določitev in razvrstitev vodnih teles površinskih voda.</w:t>
      </w:r>
      <w:bookmarkStart w:id="72" w:name="_Ref283374354"/>
      <w:bookmarkStart w:id="73" w:name="_Toc299421089"/>
      <w:bookmarkStart w:id="74" w:name="_Toc275865810"/>
      <w:bookmarkStart w:id="75" w:name="_Toc263154440"/>
      <w:bookmarkStart w:id="76" w:name="_Toc419097369"/>
      <w:bookmarkStart w:id="77" w:name="_Toc384108248"/>
      <w:bookmarkStart w:id="78" w:name="_Toc386026168"/>
      <w:bookmarkStart w:id="79" w:name="_Toc366228096"/>
    </w:p>
    <w:p w14:paraId="6B66B000" w14:textId="77777777" w:rsidR="007C6666" w:rsidRPr="00545EC0" w:rsidRDefault="007C6666" w:rsidP="003176A4">
      <w:pPr>
        <w:pStyle w:val="Napis"/>
        <w:rPr>
          <w:rFonts w:eastAsia="SimSun"/>
        </w:rPr>
      </w:pPr>
    </w:p>
    <w:bookmarkEnd w:id="72"/>
    <w:bookmarkEnd w:id="73"/>
    <w:bookmarkEnd w:id="74"/>
    <w:bookmarkEnd w:id="75"/>
    <w:p w14:paraId="5D7AD800" w14:textId="3C583FD9" w:rsidR="00D05F34" w:rsidRPr="00545EC0" w:rsidRDefault="007155F5" w:rsidP="003176A4">
      <w:pPr>
        <w:pStyle w:val="Napis"/>
        <w:rPr>
          <w:lang w:eastAsia="ja-JP"/>
        </w:rPr>
      </w:pPr>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7</w:t>
        </w:r>
      </w:fldSimple>
      <w:r w:rsidRPr="00545EC0">
        <w:t xml:space="preserve">: </w:t>
      </w:r>
      <w:r w:rsidR="00D05F34" w:rsidRPr="00545EC0">
        <w:t xml:space="preserve">Seznam MPVT in UVT </w:t>
      </w:r>
      <w:bookmarkEnd w:id="76"/>
      <w:bookmarkEnd w:id="77"/>
      <w:r w:rsidR="000B3497" w:rsidRPr="00545EC0">
        <w:t>ter razlogi za razvrstitev vodnih teles v MPVT ali UVT na VO Donave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6"/>
        <w:gridCol w:w="3128"/>
        <w:gridCol w:w="849"/>
        <w:gridCol w:w="2268"/>
        <w:gridCol w:w="1770"/>
      </w:tblGrid>
      <w:tr w:rsidR="003122F4" w:rsidRPr="00545EC0" w14:paraId="3C1B2DBA" w14:textId="77777777" w:rsidTr="001F17B5">
        <w:trPr>
          <w:trHeight w:val="255"/>
          <w:tblHeader/>
        </w:trPr>
        <w:tc>
          <w:tcPr>
            <w:tcW w:w="649" w:type="pct"/>
            <w:shd w:val="clear" w:color="auto" w:fill="F2F2F2" w:themeFill="background1" w:themeFillShade="F2"/>
            <w:vAlign w:val="center"/>
            <w:hideMark/>
          </w:tcPr>
          <w:p w14:paraId="3C98CA66" w14:textId="77777777" w:rsidR="001F17B5" w:rsidRPr="00545EC0" w:rsidRDefault="001F17B5" w:rsidP="008F5BFC">
            <w:pPr>
              <w:spacing w:line="240" w:lineRule="auto"/>
              <w:jc w:val="center"/>
              <w:rPr>
                <w:rFonts w:cs="Arial"/>
                <w:sz w:val="18"/>
                <w:szCs w:val="18"/>
                <w:lang w:eastAsia="zh-CN"/>
              </w:rPr>
            </w:pPr>
            <w:r w:rsidRPr="00545EC0">
              <w:rPr>
                <w:rFonts w:eastAsia="SimSun" w:cs="Arial"/>
                <w:b/>
                <w:bCs/>
                <w:sz w:val="18"/>
                <w:szCs w:val="18"/>
                <w:lang w:eastAsia="zh-CN"/>
              </w:rPr>
              <w:t>Šifra VTPV</w:t>
            </w:r>
          </w:p>
        </w:tc>
        <w:tc>
          <w:tcPr>
            <w:tcW w:w="1698" w:type="pct"/>
            <w:shd w:val="clear" w:color="auto" w:fill="F2F2F2" w:themeFill="background1" w:themeFillShade="F2"/>
            <w:vAlign w:val="center"/>
            <w:hideMark/>
          </w:tcPr>
          <w:p w14:paraId="4C998724" w14:textId="77777777" w:rsidR="001F17B5" w:rsidRPr="00545EC0" w:rsidRDefault="001F17B5" w:rsidP="008F5BFC">
            <w:pPr>
              <w:spacing w:line="240" w:lineRule="auto"/>
              <w:jc w:val="center"/>
              <w:rPr>
                <w:rFonts w:cs="Arial"/>
                <w:sz w:val="18"/>
                <w:szCs w:val="18"/>
                <w:lang w:eastAsia="zh-CN"/>
              </w:rPr>
            </w:pPr>
            <w:r w:rsidRPr="00545EC0">
              <w:rPr>
                <w:rFonts w:eastAsia="SimSun" w:cs="Arial"/>
                <w:b/>
                <w:bCs/>
                <w:sz w:val="18"/>
                <w:szCs w:val="18"/>
                <w:lang w:eastAsia="zh-CN"/>
              </w:rPr>
              <w:t>Ime MPVT/UVT</w:t>
            </w:r>
          </w:p>
        </w:tc>
        <w:tc>
          <w:tcPr>
            <w:tcW w:w="461" w:type="pct"/>
            <w:shd w:val="clear" w:color="auto" w:fill="F2F2F2" w:themeFill="background1" w:themeFillShade="F2"/>
            <w:vAlign w:val="center"/>
            <w:hideMark/>
          </w:tcPr>
          <w:p w14:paraId="38E252FC" w14:textId="77777777" w:rsidR="001F17B5" w:rsidRPr="00545EC0" w:rsidRDefault="001F17B5" w:rsidP="008F5BFC">
            <w:pPr>
              <w:spacing w:line="240" w:lineRule="auto"/>
              <w:jc w:val="center"/>
              <w:rPr>
                <w:rFonts w:cs="Arial"/>
                <w:sz w:val="18"/>
                <w:szCs w:val="18"/>
                <w:lang w:eastAsia="zh-CN"/>
              </w:rPr>
            </w:pPr>
            <w:r w:rsidRPr="00545EC0">
              <w:rPr>
                <w:rFonts w:eastAsia="SimSun" w:cs="Arial"/>
                <w:b/>
                <w:bCs/>
                <w:sz w:val="18"/>
                <w:szCs w:val="18"/>
                <w:lang w:eastAsia="zh-CN"/>
              </w:rPr>
              <w:t>Vrsta</w:t>
            </w:r>
          </w:p>
        </w:tc>
        <w:tc>
          <w:tcPr>
            <w:tcW w:w="1231" w:type="pct"/>
            <w:shd w:val="clear" w:color="auto" w:fill="F2F2F2" w:themeFill="background1" w:themeFillShade="F2"/>
            <w:vAlign w:val="center"/>
          </w:tcPr>
          <w:p w14:paraId="5D965E65" w14:textId="77777777" w:rsidR="001F17B5" w:rsidRPr="00545EC0" w:rsidRDefault="001F17B5" w:rsidP="000B3497">
            <w:pPr>
              <w:spacing w:line="240" w:lineRule="auto"/>
              <w:jc w:val="left"/>
              <w:rPr>
                <w:rFonts w:eastAsia="SimSun" w:cs="Arial"/>
                <w:b/>
                <w:bCs/>
                <w:sz w:val="18"/>
                <w:szCs w:val="18"/>
                <w:lang w:eastAsia="zh-CN"/>
              </w:rPr>
            </w:pPr>
            <w:r w:rsidRPr="00545EC0">
              <w:rPr>
                <w:rFonts w:eastAsia="SimSun" w:cs="Arial"/>
                <w:b/>
                <w:bCs/>
                <w:sz w:val="18"/>
                <w:szCs w:val="18"/>
                <w:lang w:eastAsia="zh-CN"/>
              </w:rPr>
              <w:t>Razlog (fizična sprememba) za razvrstitev VT</w:t>
            </w:r>
          </w:p>
        </w:tc>
        <w:tc>
          <w:tcPr>
            <w:tcW w:w="961" w:type="pct"/>
            <w:shd w:val="clear" w:color="auto" w:fill="F2F2F2" w:themeFill="background1" w:themeFillShade="F2"/>
            <w:vAlign w:val="center"/>
          </w:tcPr>
          <w:p w14:paraId="6CB02227" w14:textId="77777777" w:rsidR="001F17B5" w:rsidRPr="00545EC0" w:rsidRDefault="001F17B5" w:rsidP="008F5BFC">
            <w:pPr>
              <w:spacing w:line="240" w:lineRule="auto"/>
              <w:jc w:val="center"/>
              <w:rPr>
                <w:rFonts w:eastAsia="SimSun" w:cs="Arial"/>
                <w:b/>
                <w:bCs/>
                <w:sz w:val="18"/>
                <w:szCs w:val="18"/>
                <w:lang w:eastAsia="zh-CN"/>
              </w:rPr>
            </w:pPr>
            <w:r w:rsidRPr="00545EC0">
              <w:rPr>
                <w:rFonts w:eastAsia="SimSun" w:cs="Arial"/>
                <w:b/>
                <w:bCs/>
                <w:sz w:val="18"/>
                <w:szCs w:val="18"/>
                <w:lang w:eastAsia="zh-CN"/>
              </w:rPr>
              <w:t>Primarna raba</w:t>
            </w:r>
          </w:p>
        </w:tc>
      </w:tr>
      <w:tr w:rsidR="003122F4" w:rsidRPr="00545EC0" w14:paraId="7C22DCED" w14:textId="77777777" w:rsidTr="001F17B5">
        <w:trPr>
          <w:trHeight w:val="255"/>
        </w:trPr>
        <w:tc>
          <w:tcPr>
            <w:tcW w:w="649" w:type="pct"/>
            <w:shd w:val="clear" w:color="auto" w:fill="FFFFFF"/>
            <w:vAlign w:val="center"/>
            <w:hideMark/>
          </w:tcPr>
          <w:p w14:paraId="79B60046" w14:textId="77777777" w:rsidR="001F17B5" w:rsidRPr="00545EC0" w:rsidRDefault="001F17B5" w:rsidP="008F5BFC">
            <w:pPr>
              <w:spacing w:line="240" w:lineRule="auto"/>
              <w:jc w:val="center"/>
              <w:rPr>
                <w:rFonts w:eastAsia="SimSun" w:cs="Arial"/>
                <w:sz w:val="18"/>
                <w:szCs w:val="18"/>
                <w:lang w:eastAsia="zh-CN"/>
              </w:rPr>
            </w:pPr>
            <w:r w:rsidRPr="00545EC0">
              <w:rPr>
                <w:rFonts w:eastAsia="SimSun" w:cs="Arial"/>
                <w:sz w:val="18"/>
                <w:szCs w:val="18"/>
                <w:lang w:eastAsia="zh-CN"/>
              </w:rPr>
              <w:t>SI111VT7</w:t>
            </w:r>
          </w:p>
        </w:tc>
        <w:tc>
          <w:tcPr>
            <w:tcW w:w="1698" w:type="pct"/>
            <w:shd w:val="clear" w:color="auto" w:fill="FFFFFF"/>
            <w:vAlign w:val="center"/>
            <w:hideMark/>
          </w:tcPr>
          <w:p w14:paraId="5635771D"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MPVT zadrževalnik HE Moste</w:t>
            </w:r>
          </w:p>
        </w:tc>
        <w:tc>
          <w:tcPr>
            <w:tcW w:w="461" w:type="pct"/>
            <w:shd w:val="clear" w:color="auto" w:fill="FFFFFF"/>
            <w:vAlign w:val="center"/>
            <w:hideMark/>
          </w:tcPr>
          <w:p w14:paraId="5C276CC6"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MPVT</w:t>
            </w:r>
          </w:p>
        </w:tc>
        <w:tc>
          <w:tcPr>
            <w:tcW w:w="1231" w:type="pct"/>
            <w:shd w:val="clear" w:color="auto" w:fill="FFFFFF"/>
            <w:vAlign w:val="center"/>
          </w:tcPr>
          <w:p w14:paraId="6F84CE94"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fizične spremembe vodotoka / pregrada, zadrževalnik</w:t>
            </w:r>
          </w:p>
        </w:tc>
        <w:tc>
          <w:tcPr>
            <w:tcW w:w="961" w:type="pct"/>
            <w:shd w:val="clear" w:color="auto" w:fill="FFFFFF"/>
            <w:vAlign w:val="center"/>
          </w:tcPr>
          <w:p w14:paraId="54F5FE1F"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hidroenergetska raba</w:t>
            </w:r>
          </w:p>
        </w:tc>
      </w:tr>
      <w:tr w:rsidR="003122F4" w:rsidRPr="00545EC0" w14:paraId="0DA618E8" w14:textId="77777777" w:rsidTr="001F17B5">
        <w:trPr>
          <w:trHeight w:val="255"/>
        </w:trPr>
        <w:tc>
          <w:tcPr>
            <w:tcW w:w="649" w:type="pct"/>
            <w:shd w:val="clear" w:color="auto" w:fill="FFFFFF"/>
            <w:vAlign w:val="center"/>
            <w:hideMark/>
          </w:tcPr>
          <w:p w14:paraId="60825EFD" w14:textId="77777777" w:rsidR="001F17B5" w:rsidRPr="00545EC0" w:rsidRDefault="001F17B5" w:rsidP="008F5BFC">
            <w:pPr>
              <w:spacing w:line="240" w:lineRule="auto"/>
              <w:jc w:val="center"/>
              <w:rPr>
                <w:rFonts w:eastAsia="SimSun" w:cs="Arial"/>
                <w:sz w:val="18"/>
                <w:szCs w:val="18"/>
                <w:lang w:eastAsia="zh-CN"/>
              </w:rPr>
            </w:pPr>
            <w:r w:rsidRPr="00545EC0">
              <w:rPr>
                <w:rFonts w:eastAsia="SimSun" w:cs="Arial"/>
                <w:sz w:val="18"/>
                <w:szCs w:val="18"/>
                <w:lang w:eastAsia="zh-CN"/>
              </w:rPr>
              <w:t>SI14912VT</w:t>
            </w:r>
          </w:p>
        </w:tc>
        <w:tc>
          <w:tcPr>
            <w:tcW w:w="1698" w:type="pct"/>
            <w:shd w:val="clear" w:color="auto" w:fill="FFFFFF"/>
            <w:vAlign w:val="center"/>
            <w:hideMark/>
          </w:tcPr>
          <w:p w14:paraId="04830986"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UVT Gruberjev prekop</w:t>
            </w:r>
          </w:p>
        </w:tc>
        <w:tc>
          <w:tcPr>
            <w:tcW w:w="461" w:type="pct"/>
            <w:shd w:val="clear" w:color="auto" w:fill="FFFFFF"/>
            <w:vAlign w:val="center"/>
            <w:hideMark/>
          </w:tcPr>
          <w:p w14:paraId="32110597"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UVT</w:t>
            </w:r>
          </w:p>
        </w:tc>
        <w:tc>
          <w:tcPr>
            <w:tcW w:w="1231" w:type="pct"/>
            <w:shd w:val="clear" w:color="auto" w:fill="FFFFFF"/>
            <w:vAlign w:val="center"/>
          </w:tcPr>
          <w:p w14:paraId="52103644"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umetni kanal</w:t>
            </w:r>
          </w:p>
        </w:tc>
        <w:tc>
          <w:tcPr>
            <w:tcW w:w="961" w:type="pct"/>
            <w:shd w:val="clear" w:color="auto" w:fill="FFFFFF"/>
            <w:vAlign w:val="center"/>
          </w:tcPr>
          <w:p w14:paraId="52FEA253"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zmanjševanje poplavne ogroženosti</w:t>
            </w:r>
          </w:p>
        </w:tc>
      </w:tr>
      <w:tr w:rsidR="003122F4" w:rsidRPr="00545EC0" w14:paraId="7141D530" w14:textId="77777777" w:rsidTr="001F17B5">
        <w:trPr>
          <w:trHeight w:val="255"/>
        </w:trPr>
        <w:tc>
          <w:tcPr>
            <w:tcW w:w="649" w:type="pct"/>
            <w:shd w:val="clear" w:color="auto" w:fill="FFFFFF"/>
            <w:vAlign w:val="center"/>
            <w:hideMark/>
          </w:tcPr>
          <w:p w14:paraId="38162C16" w14:textId="77777777" w:rsidR="001F17B5" w:rsidRPr="00545EC0" w:rsidRDefault="001F17B5" w:rsidP="008F5BFC">
            <w:pPr>
              <w:spacing w:line="240" w:lineRule="auto"/>
              <w:jc w:val="center"/>
              <w:rPr>
                <w:rFonts w:eastAsia="SimSun" w:cs="Arial"/>
                <w:sz w:val="18"/>
                <w:szCs w:val="18"/>
                <w:lang w:eastAsia="zh-CN"/>
              </w:rPr>
            </w:pPr>
            <w:r w:rsidRPr="00545EC0">
              <w:rPr>
                <w:rFonts w:eastAsia="SimSun" w:cs="Arial"/>
                <w:sz w:val="18"/>
                <w:szCs w:val="18"/>
                <w:lang w:eastAsia="zh-CN"/>
              </w:rPr>
              <w:t>SI14VT93</w:t>
            </w:r>
          </w:p>
        </w:tc>
        <w:tc>
          <w:tcPr>
            <w:tcW w:w="1698" w:type="pct"/>
            <w:shd w:val="clear" w:color="auto" w:fill="FFFFFF"/>
            <w:vAlign w:val="center"/>
            <w:hideMark/>
          </w:tcPr>
          <w:p w14:paraId="45A61D7C"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MPVT Mestna Ljubljanica</w:t>
            </w:r>
          </w:p>
        </w:tc>
        <w:tc>
          <w:tcPr>
            <w:tcW w:w="461" w:type="pct"/>
            <w:shd w:val="clear" w:color="auto" w:fill="FFFFFF"/>
            <w:vAlign w:val="center"/>
            <w:hideMark/>
          </w:tcPr>
          <w:p w14:paraId="10C6018E"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MPVT</w:t>
            </w:r>
          </w:p>
        </w:tc>
        <w:tc>
          <w:tcPr>
            <w:tcW w:w="1231" w:type="pct"/>
            <w:shd w:val="clear" w:color="auto" w:fill="FFFFFF"/>
            <w:vAlign w:val="center"/>
          </w:tcPr>
          <w:p w14:paraId="17366075"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fizična sprememba vodotoka/ regulacija</w:t>
            </w:r>
          </w:p>
        </w:tc>
        <w:tc>
          <w:tcPr>
            <w:tcW w:w="961" w:type="pct"/>
            <w:shd w:val="clear" w:color="auto" w:fill="FFFFFF"/>
            <w:vAlign w:val="center"/>
          </w:tcPr>
          <w:p w14:paraId="1C1F2101"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zmanjševanje poplavne ogroženosti</w:t>
            </w:r>
          </w:p>
        </w:tc>
      </w:tr>
      <w:tr w:rsidR="003122F4" w:rsidRPr="00545EC0" w14:paraId="17BA2FD9" w14:textId="77777777" w:rsidTr="001F17B5">
        <w:trPr>
          <w:trHeight w:val="255"/>
        </w:trPr>
        <w:tc>
          <w:tcPr>
            <w:tcW w:w="649" w:type="pct"/>
            <w:shd w:val="clear" w:color="auto" w:fill="FFFFFF"/>
            <w:vAlign w:val="center"/>
            <w:hideMark/>
          </w:tcPr>
          <w:p w14:paraId="059C8AA0" w14:textId="77777777" w:rsidR="001F17B5" w:rsidRPr="00545EC0" w:rsidRDefault="001F17B5" w:rsidP="008F5BFC">
            <w:pPr>
              <w:spacing w:line="240" w:lineRule="auto"/>
              <w:jc w:val="center"/>
              <w:rPr>
                <w:rFonts w:eastAsia="SimSun" w:cs="Arial"/>
                <w:sz w:val="18"/>
                <w:szCs w:val="18"/>
                <w:lang w:eastAsia="zh-CN"/>
              </w:rPr>
            </w:pPr>
            <w:r w:rsidRPr="00545EC0">
              <w:rPr>
                <w:rFonts w:eastAsia="SimSun" w:cs="Arial"/>
                <w:sz w:val="18"/>
                <w:szCs w:val="18"/>
                <w:lang w:eastAsia="zh-CN"/>
              </w:rPr>
              <w:t>SI1624VT</w:t>
            </w:r>
          </w:p>
        </w:tc>
        <w:tc>
          <w:tcPr>
            <w:tcW w:w="1698" w:type="pct"/>
            <w:shd w:val="clear" w:color="auto" w:fill="FFFFFF"/>
            <w:vAlign w:val="center"/>
            <w:hideMark/>
          </w:tcPr>
          <w:p w14:paraId="617EDD16"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UVT Velenjsko jezero</w:t>
            </w:r>
          </w:p>
        </w:tc>
        <w:tc>
          <w:tcPr>
            <w:tcW w:w="461" w:type="pct"/>
            <w:shd w:val="clear" w:color="auto" w:fill="FFFFFF"/>
            <w:vAlign w:val="center"/>
            <w:hideMark/>
          </w:tcPr>
          <w:p w14:paraId="5AF48156"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UVT</w:t>
            </w:r>
          </w:p>
        </w:tc>
        <w:tc>
          <w:tcPr>
            <w:tcW w:w="1231" w:type="pct"/>
            <w:shd w:val="clear" w:color="auto" w:fill="FFFFFF"/>
            <w:vAlign w:val="center"/>
          </w:tcPr>
          <w:p w14:paraId="7112B31B"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fizična sprememba vodotoka zaradi ugrezanja tal kot posledice rudarske dejavnosti</w:t>
            </w:r>
          </w:p>
        </w:tc>
        <w:tc>
          <w:tcPr>
            <w:tcW w:w="961" w:type="pct"/>
            <w:shd w:val="clear" w:color="auto" w:fill="FFFFFF"/>
            <w:vAlign w:val="center"/>
          </w:tcPr>
          <w:p w14:paraId="756DFE1A"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drugo</w:t>
            </w:r>
          </w:p>
        </w:tc>
      </w:tr>
      <w:tr w:rsidR="003122F4" w:rsidRPr="00545EC0" w14:paraId="6AA67703" w14:textId="77777777" w:rsidTr="001F17B5">
        <w:trPr>
          <w:trHeight w:val="255"/>
        </w:trPr>
        <w:tc>
          <w:tcPr>
            <w:tcW w:w="649" w:type="pct"/>
            <w:shd w:val="clear" w:color="auto" w:fill="FFFFFF"/>
            <w:vAlign w:val="center"/>
            <w:hideMark/>
          </w:tcPr>
          <w:p w14:paraId="5CCA49CF" w14:textId="77777777" w:rsidR="001F17B5" w:rsidRPr="00545EC0" w:rsidRDefault="001F17B5" w:rsidP="008F5BFC">
            <w:pPr>
              <w:spacing w:line="240" w:lineRule="auto"/>
              <w:jc w:val="center"/>
              <w:rPr>
                <w:rFonts w:eastAsia="SimSun" w:cs="Arial"/>
                <w:sz w:val="18"/>
                <w:szCs w:val="18"/>
                <w:lang w:eastAsia="zh-CN"/>
              </w:rPr>
            </w:pPr>
            <w:r w:rsidRPr="00545EC0">
              <w:rPr>
                <w:rFonts w:eastAsia="SimSun" w:cs="Arial"/>
                <w:sz w:val="18"/>
                <w:szCs w:val="18"/>
                <w:lang w:eastAsia="zh-CN"/>
              </w:rPr>
              <w:t>SI1668VT</w:t>
            </w:r>
          </w:p>
        </w:tc>
        <w:tc>
          <w:tcPr>
            <w:tcW w:w="1698" w:type="pct"/>
            <w:shd w:val="clear" w:color="auto" w:fill="FFFFFF"/>
            <w:vAlign w:val="center"/>
            <w:hideMark/>
          </w:tcPr>
          <w:p w14:paraId="577E69F5"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MPVT zadrževalnik Šmartinsko jezero</w:t>
            </w:r>
          </w:p>
        </w:tc>
        <w:tc>
          <w:tcPr>
            <w:tcW w:w="461" w:type="pct"/>
            <w:shd w:val="clear" w:color="auto" w:fill="FFFFFF"/>
            <w:vAlign w:val="center"/>
            <w:hideMark/>
          </w:tcPr>
          <w:p w14:paraId="27B3BB17"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MPVT</w:t>
            </w:r>
          </w:p>
        </w:tc>
        <w:tc>
          <w:tcPr>
            <w:tcW w:w="1231" w:type="pct"/>
            <w:shd w:val="clear" w:color="auto" w:fill="FFFFFF"/>
            <w:vAlign w:val="center"/>
          </w:tcPr>
          <w:p w14:paraId="351D2817"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fizična sprememba vodotoka / pregrada, zadrževalnik</w:t>
            </w:r>
          </w:p>
        </w:tc>
        <w:tc>
          <w:tcPr>
            <w:tcW w:w="961" w:type="pct"/>
            <w:shd w:val="clear" w:color="auto" w:fill="FFFFFF"/>
            <w:vAlign w:val="center"/>
          </w:tcPr>
          <w:p w14:paraId="3A97BFD1"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zmanjševanje poplavne ogroženosti</w:t>
            </w:r>
          </w:p>
        </w:tc>
      </w:tr>
      <w:tr w:rsidR="003122F4" w:rsidRPr="00545EC0" w14:paraId="5D38486C" w14:textId="77777777" w:rsidTr="001F17B5">
        <w:trPr>
          <w:trHeight w:val="255"/>
        </w:trPr>
        <w:tc>
          <w:tcPr>
            <w:tcW w:w="649" w:type="pct"/>
            <w:shd w:val="clear" w:color="auto" w:fill="FFFFFF"/>
            <w:vAlign w:val="center"/>
            <w:hideMark/>
          </w:tcPr>
          <w:p w14:paraId="0F308FE0" w14:textId="77777777" w:rsidR="001F17B5" w:rsidRPr="00545EC0" w:rsidRDefault="001F17B5" w:rsidP="008F5BFC">
            <w:pPr>
              <w:spacing w:line="240" w:lineRule="auto"/>
              <w:jc w:val="center"/>
              <w:rPr>
                <w:rFonts w:eastAsia="SimSun" w:cs="Arial"/>
                <w:sz w:val="18"/>
                <w:szCs w:val="18"/>
                <w:lang w:eastAsia="zh-CN"/>
              </w:rPr>
            </w:pPr>
            <w:r w:rsidRPr="00545EC0">
              <w:rPr>
                <w:rFonts w:eastAsia="SimSun" w:cs="Arial"/>
                <w:sz w:val="18"/>
                <w:szCs w:val="18"/>
                <w:lang w:eastAsia="zh-CN"/>
              </w:rPr>
              <w:t>SI168VT3</w:t>
            </w:r>
          </w:p>
        </w:tc>
        <w:tc>
          <w:tcPr>
            <w:tcW w:w="1698" w:type="pct"/>
            <w:shd w:val="clear" w:color="auto" w:fill="FFFFFF"/>
            <w:vAlign w:val="center"/>
            <w:hideMark/>
          </w:tcPr>
          <w:p w14:paraId="550C396C"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MPVT zadrževalnik Slivniško jezero</w:t>
            </w:r>
          </w:p>
        </w:tc>
        <w:tc>
          <w:tcPr>
            <w:tcW w:w="461" w:type="pct"/>
            <w:shd w:val="clear" w:color="auto" w:fill="FFFFFF"/>
            <w:vAlign w:val="center"/>
            <w:hideMark/>
          </w:tcPr>
          <w:p w14:paraId="5103D527"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MPVT</w:t>
            </w:r>
          </w:p>
        </w:tc>
        <w:tc>
          <w:tcPr>
            <w:tcW w:w="1231" w:type="pct"/>
            <w:shd w:val="clear" w:color="auto" w:fill="FFFFFF"/>
            <w:vAlign w:val="center"/>
          </w:tcPr>
          <w:p w14:paraId="1B1508BF"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fizična sprememba vodotoka / pregrada, zadrževalnik</w:t>
            </w:r>
          </w:p>
        </w:tc>
        <w:tc>
          <w:tcPr>
            <w:tcW w:w="961" w:type="pct"/>
            <w:shd w:val="clear" w:color="auto" w:fill="FFFFFF"/>
            <w:vAlign w:val="center"/>
          </w:tcPr>
          <w:p w14:paraId="10FD371F"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zmanjševanje poplavne ogroženosti</w:t>
            </w:r>
          </w:p>
        </w:tc>
      </w:tr>
      <w:tr w:rsidR="003122F4" w:rsidRPr="00545EC0" w14:paraId="0E506E62" w14:textId="77777777" w:rsidTr="001F17B5">
        <w:trPr>
          <w:trHeight w:val="255"/>
        </w:trPr>
        <w:tc>
          <w:tcPr>
            <w:tcW w:w="649" w:type="pct"/>
            <w:shd w:val="clear" w:color="auto" w:fill="FFFFFF"/>
            <w:vAlign w:val="center"/>
            <w:hideMark/>
          </w:tcPr>
          <w:p w14:paraId="533F3EDC" w14:textId="77777777" w:rsidR="001F17B5" w:rsidRPr="00545EC0" w:rsidRDefault="001F17B5" w:rsidP="008F5BFC">
            <w:pPr>
              <w:spacing w:line="240" w:lineRule="auto"/>
              <w:jc w:val="center"/>
              <w:rPr>
                <w:rFonts w:eastAsia="SimSun" w:cs="Arial"/>
                <w:sz w:val="18"/>
                <w:szCs w:val="18"/>
                <w:lang w:eastAsia="zh-CN"/>
              </w:rPr>
            </w:pPr>
            <w:r w:rsidRPr="00545EC0">
              <w:rPr>
                <w:rFonts w:eastAsia="SimSun" w:cs="Arial"/>
                <w:sz w:val="18"/>
                <w:szCs w:val="18"/>
                <w:lang w:eastAsia="zh-CN"/>
              </w:rPr>
              <w:t>SI1VT170</w:t>
            </w:r>
          </w:p>
        </w:tc>
        <w:tc>
          <w:tcPr>
            <w:tcW w:w="1698" w:type="pct"/>
            <w:shd w:val="clear" w:color="auto" w:fill="FFFFFF"/>
            <w:vAlign w:val="center"/>
            <w:hideMark/>
          </w:tcPr>
          <w:p w14:paraId="3C5B5FC7"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MPVT Sava Mavčiče – Medvode</w:t>
            </w:r>
          </w:p>
        </w:tc>
        <w:tc>
          <w:tcPr>
            <w:tcW w:w="461" w:type="pct"/>
            <w:shd w:val="clear" w:color="auto" w:fill="FFFFFF"/>
            <w:vAlign w:val="center"/>
            <w:hideMark/>
          </w:tcPr>
          <w:p w14:paraId="187637AD"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MPVT</w:t>
            </w:r>
          </w:p>
        </w:tc>
        <w:tc>
          <w:tcPr>
            <w:tcW w:w="1231" w:type="pct"/>
            <w:shd w:val="clear" w:color="auto" w:fill="FFFFFF"/>
            <w:vAlign w:val="center"/>
          </w:tcPr>
          <w:p w14:paraId="0A42AE49"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fizična sprememba vodotoka / pregrada, zadrževalnik</w:t>
            </w:r>
          </w:p>
        </w:tc>
        <w:tc>
          <w:tcPr>
            <w:tcW w:w="961" w:type="pct"/>
            <w:shd w:val="clear" w:color="auto" w:fill="FFFFFF"/>
            <w:vAlign w:val="center"/>
          </w:tcPr>
          <w:p w14:paraId="3B24D01B"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hidroenergetska raba</w:t>
            </w:r>
          </w:p>
        </w:tc>
      </w:tr>
      <w:tr w:rsidR="003122F4" w:rsidRPr="00545EC0" w14:paraId="35A6967A" w14:textId="77777777" w:rsidTr="001F17B5">
        <w:trPr>
          <w:trHeight w:val="255"/>
        </w:trPr>
        <w:tc>
          <w:tcPr>
            <w:tcW w:w="649" w:type="pct"/>
            <w:shd w:val="clear" w:color="auto" w:fill="FFFFFF"/>
            <w:vAlign w:val="center"/>
            <w:hideMark/>
          </w:tcPr>
          <w:p w14:paraId="3EA75F86" w14:textId="77777777" w:rsidR="001F17B5" w:rsidRPr="00545EC0" w:rsidRDefault="001F17B5" w:rsidP="008F5BFC">
            <w:pPr>
              <w:spacing w:line="240" w:lineRule="auto"/>
              <w:jc w:val="center"/>
              <w:rPr>
                <w:rFonts w:eastAsia="SimSun" w:cs="Arial"/>
                <w:sz w:val="18"/>
                <w:szCs w:val="18"/>
                <w:lang w:eastAsia="zh-CN"/>
              </w:rPr>
            </w:pPr>
            <w:r w:rsidRPr="00545EC0">
              <w:rPr>
                <w:rFonts w:eastAsia="SimSun" w:cs="Arial"/>
                <w:sz w:val="18"/>
                <w:szCs w:val="18"/>
                <w:lang w:eastAsia="zh-CN"/>
              </w:rPr>
              <w:t>SI1VT713</w:t>
            </w:r>
          </w:p>
        </w:tc>
        <w:tc>
          <w:tcPr>
            <w:tcW w:w="1698" w:type="pct"/>
            <w:shd w:val="clear" w:color="auto" w:fill="FFFFFF"/>
            <w:vAlign w:val="center"/>
            <w:hideMark/>
          </w:tcPr>
          <w:p w14:paraId="36085AD1"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MPVT Sava Vrhovo – Boštanj</w:t>
            </w:r>
          </w:p>
        </w:tc>
        <w:tc>
          <w:tcPr>
            <w:tcW w:w="461" w:type="pct"/>
            <w:shd w:val="clear" w:color="auto" w:fill="FFFFFF"/>
            <w:vAlign w:val="center"/>
            <w:hideMark/>
          </w:tcPr>
          <w:p w14:paraId="7990D42C"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MPVT</w:t>
            </w:r>
          </w:p>
        </w:tc>
        <w:tc>
          <w:tcPr>
            <w:tcW w:w="1231" w:type="pct"/>
            <w:shd w:val="clear" w:color="auto" w:fill="FFFFFF"/>
            <w:vAlign w:val="center"/>
          </w:tcPr>
          <w:p w14:paraId="44288A6E"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fizična sprememba vodotoka / pregrada, zadrževalnik</w:t>
            </w:r>
          </w:p>
        </w:tc>
        <w:tc>
          <w:tcPr>
            <w:tcW w:w="961" w:type="pct"/>
            <w:shd w:val="clear" w:color="auto" w:fill="FFFFFF"/>
            <w:vAlign w:val="center"/>
          </w:tcPr>
          <w:p w14:paraId="62536DC2"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hidroenergetska raba</w:t>
            </w:r>
          </w:p>
        </w:tc>
      </w:tr>
      <w:tr w:rsidR="003122F4" w:rsidRPr="00545EC0" w14:paraId="1E0CC087" w14:textId="77777777" w:rsidTr="001F17B5">
        <w:trPr>
          <w:trHeight w:val="255"/>
        </w:trPr>
        <w:tc>
          <w:tcPr>
            <w:tcW w:w="649" w:type="pct"/>
            <w:shd w:val="clear" w:color="auto" w:fill="FFFFFF"/>
            <w:vAlign w:val="center"/>
            <w:hideMark/>
          </w:tcPr>
          <w:p w14:paraId="52E7887B" w14:textId="77777777" w:rsidR="001F17B5" w:rsidRPr="00545EC0" w:rsidRDefault="001F17B5" w:rsidP="008F5BFC">
            <w:pPr>
              <w:spacing w:line="240" w:lineRule="auto"/>
              <w:jc w:val="center"/>
              <w:rPr>
                <w:rFonts w:eastAsia="SimSun" w:cs="Arial"/>
                <w:sz w:val="18"/>
                <w:szCs w:val="18"/>
                <w:lang w:eastAsia="zh-CN"/>
              </w:rPr>
            </w:pPr>
            <w:r w:rsidRPr="00545EC0">
              <w:rPr>
                <w:rFonts w:eastAsia="SimSun" w:cs="Arial"/>
                <w:sz w:val="18"/>
                <w:szCs w:val="18"/>
                <w:lang w:eastAsia="zh-CN"/>
              </w:rPr>
              <w:t>SI35172VT</w:t>
            </w:r>
          </w:p>
        </w:tc>
        <w:tc>
          <w:tcPr>
            <w:tcW w:w="1698" w:type="pct"/>
            <w:shd w:val="clear" w:color="auto" w:fill="FFFFFF"/>
            <w:vAlign w:val="center"/>
            <w:hideMark/>
          </w:tcPr>
          <w:p w14:paraId="176BBF70"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UVT Kanal HE Zlatoličje</w:t>
            </w:r>
          </w:p>
        </w:tc>
        <w:tc>
          <w:tcPr>
            <w:tcW w:w="461" w:type="pct"/>
            <w:shd w:val="clear" w:color="auto" w:fill="FFFFFF"/>
            <w:vAlign w:val="center"/>
            <w:hideMark/>
          </w:tcPr>
          <w:p w14:paraId="1B9BDC9E"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UVT</w:t>
            </w:r>
          </w:p>
        </w:tc>
        <w:tc>
          <w:tcPr>
            <w:tcW w:w="1231" w:type="pct"/>
            <w:shd w:val="clear" w:color="auto" w:fill="FFFFFF"/>
            <w:vAlign w:val="center"/>
          </w:tcPr>
          <w:p w14:paraId="456B6454"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umetni kanal</w:t>
            </w:r>
          </w:p>
        </w:tc>
        <w:tc>
          <w:tcPr>
            <w:tcW w:w="961" w:type="pct"/>
            <w:shd w:val="clear" w:color="auto" w:fill="FFFFFF"/>
            <w:vAlign w:val="center"/>
          </w:tcPr>
          <w:p w14:paraId="43F4B691"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hidroenergetska raba</w:t>
            </w:r>
          </w:p>
        </w:tc>
      </w:tr>
      <w:tr w:rsidR="003122F4" w:rsidRPr="00545EC0" w14:paraId="42D81405" w14:textId="77777777" w:rsidTr="001F17B5">
        <w:trPr>
          <w:trHeight w:val="255"/>
        </w:trPr>
        <w:tc>
          <w:tcPr>
            <w:tcW w:w="649" w:type="pct"/>
            <w:shd w:val="clear" w:color="auto" w:fill="FFFFFF"/>
            <w:vAlign w:val="center"/>
            <w:hideMark/>
          </w:tcPr>
          <w:p w14:paraId="6A42CB70" w14:textId="77777777" w:rsidR="001F17B5" w:rsidRPr="00545EC0" w:rsidRDefault="001F17B5" w:rsidP="008F5BFC">
            <w:pPr>
              <w:spacing w:line="240" w:lineRule="auto"/>
              <w:jc w:val="center"/>
              <w:rPr>
                <w:rFonts w:eastAsia="SimSun" w:cs="Arial"/>
                <w:sz w:val="18"/>
                <w:szCs w:val="18"/>
                <w:lang w:eastAsia="zh-CN"/>
              </w:rPr>
            </w:pPr>
            <w:r w:rsidRPr="00545EC0">
              <w:rPr>
                <w:rFonts w:eastAsia="SimSun" w:cs="Arial"/>
                <w:sz w:val="18"/>
                <w:szCs w:val="18"/>
                <w:lang w:eastAsia="zh-CN"/>
              </w:rPr>
              <w:t>SI378VT</w:t>
            </w:r>
          </w:p>
        </w:tc>
        <w:tc>
          <w:tcPr>
            <w:tcW w:w="1698" w:type="pct"/>
            <w:shd w:val="clear" w:color="auto" w:fill="FFFFFF"/>
            <w:vAlign w:val="center"/>
            <w:hideMark/>
          </w:tcPr>
          <w:p w14:paraId="1F838412"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UVT Kanal HE Formin</w:t>
            </w:r>
          </w:p>
        </w:tc>
        <w:tc>
          <w:tcPr>
            <w:tcW w:w="461" w:type="pct"/>
            <w:shd w:val="clear" w:color="auto" w:fill="FFFFFF"/>
            <w:vAlign w:val="center"/>
            <w:hideMark/>
          </w:tcPr>
          <w:p w14:paraId="136E6E19"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UVT</w:t>
            </w:r>
          </w:p>
        </w:tc>
        <w:tc>
          <w:tcPr>
            <w:tcW w:w="1231" w:type="pct"/>
            <w:shd w:val="clear" w:color="auto" w:fill="FFFFFF"/>
            <w:vAlign w:val="center"/>
          </w:tcPr>
          <w:p w14:paraId="0E827A78"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umetni kanal</w:t>
            </w:r>
          </w:p>
        </w:tc>
        <w:tc>
          <w:tcPr>
            <w:tcW w:w="961" w:type="pct"/>
            <w:shd w:val="clear" w:color="auto" w:fill="FFFFFF"/>
            <w:vAlign w:val="center"/>
          </w:tcPr>
          <w:p w14:paraId="3EA108B6"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hidroenergetska raba</w:t>
            </w:r>
          </w:p>
        </w:tc>
      </w:tr>
      <w:tr w:rsidR="003122F4" w:rsidRPr="00545EC0" w14:paraId="7FB8B809" w14:textId="77777777" w:rsidTr="001F17B5">
        <w:trPr>
          <w:trHeight w:val="255"/>
        </w:trPr>
        <w:tc>
          <w:tcPr>
            <w:tcW w:w="649" w:type="pct"/>
            <w:shd w:val="clear" w:color="auto" w:fill="FFFFFF"/>
            <w:vAlign w:val="center"/>
            <w:hideMark/>
          </w:tcPr>
          <w:p w14:paraId="7684DEDA" w14:textId="77777777" w:rsidR="001F17B5" w:rsidRPr="00545EC0" w:rsidRDefault="001F17B5" w:rsidP="008F5BFC">
            <w:pPr>
              <w:spacing w:line="240" w:lineRule="auto"/>
              <w:jc w:val="center"/>
              <w:rPr>
                <w:rFonts w:eastAsia="SimSun" w:cs="Arial"/>
                <w:sz w:val="18"/>
                <w:szCs w:val="18"/>
                <w:lang w:eastAsia="zh-CN"/>
              </w:rPr>
            </w:pPr>
            <w:r w:rsidRPr="00545EC0">
              <w:rPr>
                <w:rFonts w:eastAsia="SimSun" w:cs="Arial"/>
                <w:sz w:val="18"/>
                <w:szCs w:val="18"/>
                <w:lang w:eastAsia="zh-CN"/>
              </w:rPr>
              <w:t>SI38VT34</w:t>
            </w:r>
          </w:p>
        </w:tc>
        <w:tc>
          <w:tcPr>
            <w:tcW w:w="1698" w:type="pct"/>
            <w:shd w:val="clear" w:color="auto" w:fill="FFFFFF"/>
            <w:vAlign w:val="center"/>
            <w:hideMark/>
          </w:tcPr>
          <w:p w14:paraId="626645A2"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MPVT zadrževalnik Perniško jezero</w:t>
            </w:r>
          </w:p>
        </w:tc>
        <w:tc>
          <w:tcPr>
            <w:tcW w:w="461" w:type="pct"/>
            <w:shd w:val="clear" w:color="auto" w:fill="FFFFFF"/>
            <w:vAlign w:val="center"/>
            <w:hideMark/>
          </w:tcPr>
          <w:p w14:paraId="088A3C09"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MPVT</w:t>
            </w:r>
          </w:p>
        </w:tc>
        <w:tc>
          <w:tcPr>
            <w:tcW w:w="1231" w:type="pct"/>
            <w:shd w:val="clear" w:color="auto" w:fill="FFFFFF"/>
            <w:vAlign w:val="center"/>
          </w:tcPr>
          <w:p w14:paraId="3A2DD320"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fizična sprememba vodotoka / pregrada, zadrževalnik</w:t>
            </w:r>
          </w:p>
        </w:tc>
        <w:tc>
          <w:tcPr>
            <w:tcW w:w="961" w:type="pct"/>
            <w:shd w:val="clear" w:color="auto" w:fill="FFFFFF"/>
            <w:vAlign w:val="center"/>
          </w:tcPr>
          <w:p w14:paraId="0B0952C3"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zmanjševanje poplavne ogroženosti</w:t>
            </w:r>
          </w:p>
        </w:tc>
      </w:tr>
      <w:tr w:rsidR="003122F4" w:rsidRPr="00545EC0" w14:paraId="1805F874" w14:textId="77777777" w:rsidTr="001F17B5">
        <w:trPr>
          <w:trHeight w:val="255"/>
        </w:trPr>
        <w:tc>
          <w:tcPr>
            <w:tcW w:w="649" w:type="pct"/>
            <w:shd w:val="clear" w:color="auto" w:fill="FFFFFF"/>
            <w:vAlign w:val="center"/>
            <w:hideMark/>
          </w:tcPr>
          <w:p w14:paraId="6C79301F" w14:textId="77777777" w:rsidR="001F17B5" w:rsidRPr="00545EC0" w:rsidRDefault="001F17B5" w:rsidP="008F5BFC">
            <w:pPr>
              <w:spacing w:line="240" w:lineRule="auto"/>
              <w:jc w:val="center"/>
              <w:rPr>
                <w:rFonts w:eastAsia="SimSun" w:cs="Arial"/>
                <w:sz w:val="18"/>
                <w:szCs w:val="18"/>
                <w:lang w:eastAsia="zh-CN"/>
              </w:rPr>
            </w:pPr>
            <w:r w:rsidRPr="00545EC0">
              <w:rPr>
                <w:rFonts w:eastAsia="SimSun" w:cs="Arial"/>
                <w:sz w:val="18"/>
                <w:szCs w:val="18"/>
                <w:lang w:eastAsia="zh-CN"/>
              </w:rPr>
              <w:t>SI3VT197</w:t>
            </w:r>
          </w:p>
        </w:tc>
        <w:tc>
          <w:tcPr>
            <w:tcW w:w="1698" w:type="pct"/>
            <w:shd w:val="clear" w:color="auto" w:fill="FFFFFF"/>
            <w:vAlign w:val="center"/>
            <w:hideMark/>
          </w:tcPr>
          <w:p w14:paraId="00380309"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MPVT Drava mejni odsek z Avstrijo</w:t>
            </w:r>
          </w:p>
        </w:tc>
        <w:tc>
          <w:tcPr>
            <w:tcW w:w="461" w:type="pct"/>
            <w:shd w:val="clear" w:color="auto" w:fill="FFFFFF"/>
            <w:vAlign w:val="center"/>
            <w:hideMark/>
          </w:tcPr>
          <w:p w14:paraId="7FD927CA"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MPVT</w:t>
            </w:r>
          </w:p>
        </w:tc>
        <w:tc>
          <w:tcPr>
            <w:tcW w:w="1231" w:type="pct"/>
            <w:shd w:val="clear" w:color="auto" w:fill="FFFFFF"/>
            <w:vAlign w:val="center"/>
          </w:tcPr>
          <w:p w14:paraId="48D86114"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fizična sprememba vodotoka / pregrada, zadrževalnik</w:t>
            </w:r>
          </w:p>
        </w:tc>
        <w:tc>
          <w:tcPr>
            <w:tcW w:w="961" w:type="pct"/>
            <w:shd w:val="clear" w:color="auto" w:fill="FFFFFF"/>
            <w:vAlign w:val="center"/>
          </w:tcPr>
          <w:p w14:paraId="30110552"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hidroenergetska raba</w:t>
            </w:r>
          </w:p>
        </w:tc>
      </w:tr>
      <w:tr w:rsidR="003122F4" w:rsidRPr="00545EC0" w14:paraId="43F203EC" w14:textId="77777777" w:rsidTr="001F17B5">
        <w:trPr>
          <w:trHeight w:val="255"/>
        </w:trPr>
        <w:tc>
          <w:tcPr>
            <w:tcW w:w="649" w:type="pct"/>
            <w:shd w:val="clear" w:color="auto" w:fill="FFFFFF"/>
            <w:vAlign w:val="center"/>
            <w:hideMark/>
          </w:tcPr>
          <w:p w14:paraId="38192F91" w14:textId="77777777" w:rsidR="001F17B5" w:rsidRPr="00545EC0" w:rsidRDefault="001F17B5" w:rsidP="008F5BFC">
            <w:pPr>
              <w:spacing w:line="240" w:lineRule="auto"/>
              <w:jc w:val="center"/>
              <w:rPr>
                <w:rFonts w:eastAsia="SimSun" w:cs="Arial"/>
                <w:sz w:val="18"/>
                <w:szCs w:val="18"/>
                <w:lang w:eastAsia="zh-CN"/>
              </w:rPr>
            </w:pPr>
            <w:r w:rsidRPr="00545EC0">
              <w:rPr>
                <w:rFonts w:eastAsia="SimSun" w:cs="Arial"/>
                <w:sz w:val="18"/>
                <w:szCs w:val="18"/>
                <w:lang w:eastAsia="zh-CN"/>
              </w:rPr>
              <w:t>SI3VT359</w:t>
            </w:r>
          </w:p>
        </w:tc>
        <w:tc>
          <w:tcPr>
            <w:tcW w:w="1698" w:type="pct"/>
            <w:shd w:val="clear" w:color="auto" w:fill="FFFFFF"/>
            <w:vAlign w:val="center"/>
            <w:hideMark/>
          </w:tcPr>
          <w:p w14:paraId="394294B5"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MPVT Drava Dravograd – Maribor</w:t>
            </w:r>
          </w:p>
        </w:tc>
        <w:tc>
          <w:tcPr>
            <w:tcW w:w="461" w:type="pct"/>
            <w:shd w:val="clear" w:color="auto" w:fill="FFFFFF"/>
            <w:vAlign w:val="center"/>
            <w:hideMark/>
          </w:tcPr>
          <w:p w14:paraId="4A4FC516"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MPVT</w:t>
            </w:r>
          </w:p>
        </w:tc>
        <w:tc>
          <w:tcPr>
            <w:tcW w:w="1231" w:type="pct"/>
            <w:shd w:val="clear" w:color="auto" w:fill="FFFFFF"/>
            <w:vAlign w:val="center"/>
          </w:tcPr>
          <w:p w14:paraId="7148B4F5"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fizična sprememba vodotoka / pregrada, zadrževalnik</w:t>
            </w:r>
          </w:p>
        </w:tc>
        <w:tc>
          <w:tcPr>
            <w:tcW w:w="961" w:type="pct"/>
            <w:shd w:val="clear" w:color="auto" w:fill="FFFFFF"/>
            <w:vAlign w:val="center"/>
          </w:tcPr>
          <w:p w14:paraId="0D52FE4A"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hidroenergetska raba</w:t>
            </w:r>
          </w:p>
        </w:tc>
      </w:tr>
      <w:tr w:rsidR="003122F4" w:rsidRPr="00545EC0" w14:paraId="7C1BA775" w14:textId="77777777" w:rsidTr="001F17B5">
        <w:trPr>
          <w:trHeight w:val="255"/>
        </w:trPr>
        <w:tc>
          <w:tcPr>
            <w:tcW w:w="649" w:type="pct"/>
            <w:shd w:val="clear" w:color="auto" w:fill="FFFFFF"/>
            <w:vAlign w:val="center"/>
            <w:hideMark/>
          </w:tcPr>
          <w:p w14:paraId="368D4090" w14:textId="77777777" w:rsidR="001F17B5" w:rsidRPr="00545EC0" w:rsidRDefault="001F17B5" w:rsidP="008F5BFC">
            <w:pPr>
              <w:spacing w:line="240" w:lineRule="auto"/>
              <w:jc w:val="center"/>
              <w:rPr>
                <w:rFonts w:eastAsia="SimSun" w:cs="Arial"/>
                <w:sz w:val="18"/>
                <w:szCs w:val="18"/>
                <w:lang w:eastAsia="zh-CN"/>
              </w:rPr>
            </w:pPr>
            <w:r w:rsidRPr="00545EC0">
              <w:rPr>
                <w:rFonts w:eastAsia="SimSun" w:cs="Arial"/>
                <w:sz w:val="18"/>
                <w:szCs w:val="18"/>
                <w:lang w:eastAsia="zh-CN"/>
              </w:rPr>
              <w:t>SI3VT5172</w:t>
            </w:r>
          </w:p>
        </w:tc>
        <w:tc>
          <w:tcPr>
            <w:tcW w:w="1698" w:type="pct"/>
            <w:shd w:val="clear" w:color="auto" w:fill="FFFFFF"/>
            <w:vAlign w:val="center"/>
            <w:hideMark/>
          </w:tcPr>
          <w:p w14:paraId="63F2A742"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MPVT zadrževalnik Ptujsko jezero</w:t>
            </w:r>
          </w:p>
        </w:tc>
        <w:tc>
          <w:tcPr>
            <w:tcW w:w="461" w:type="pct"/>
            <w:shd w:val="clear" w:color="auto" w:fill="FFFFFF"/>
            <w:vAlign w:val="center"/>
            <w:hideMark/>
          </w:tcPr>
          <w:p w14:paraId="6F076BBC"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MPVT</w:t>
            </w:r>
          </w:p>
        </w:tc>
        <w:tc>
          <w:tcPr>
            <w:tcW w:w="1231" w:type="pct"/>
            <w:shd w:val="clear" w:color="auto" w:fill="FFFFFF"/>
            <w:vAlign w:val="center"/>
          </w:tcPr>
          <w:p w14:paraId="0ABD068F"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fizična sprememba vodotoka / pregrada, zadrževalnik</w:t>
            </w:r>
          </w:p>
        </w:tc>
        <w:tc>
          <w:tcPr>
            <w:tcW w:w="961" w:type="pct"/>
            <w:shd w:val="clear" w:color="auto" w:fill="FFFFFF"/>
            <w:vAlign w:val="center"/>
          </w:tcPr>
          <w:p w14:paraId="10B147C9"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hidroenergetska raba</w:t>
            </w:r>
          </w:p>
        </w:tc>
      </w:tr>
      <w:tr w:rsidR="003122F4" w:rsidRPr="00545EC0" w14:paraId="39E0458F" w14:textId="77777777" w:rsidTr="001F17B5">
        <w:trPr>
          <w:trHeight w:val="255"/>
        </w:trPr>
        <w:tc>
          <w:tcPr>
            <w:tcW w:w="649" w:type="pct"/>
            <w:shd w:val="clear" w:color="auto" w:fill="FFFFFF"/>
            <w:vAlign w:val="center"/>
            <w:hideMark/>
          </w:tcPr>
          <w:p w14:paraId="4BF4319C" w14:textId="77777777" w:rsidR="001F17B5" w:rsidRPr="00545EC0" w:rsidRDefault="001F17B5" w:rsidP="008F5BFC">
            <w:pPr>
              <w:spacing w:line="240" w:lineRule="auto"/>
              <w:jc w:val="center"/>
              <w:rPr>
                <w:rFonts w:eastAsia="SimSun" w:cs="Arial"/>
                <w:sz w:val="18"/>
                <w:szCs w:val="18"/>
                <w:lang w:eastAsia="zh-CN"/>
              </w:rPr>
            </w:pPr>
            <w:r w:rsidRPr="00545EC0">
              <w:rPr>
                <w:rFonts w:eastAsia="SimSun" w:cs="Arial"/>
                <w:sz w:val="18"/>
                <w:szCs w:val="18"/>
                <w:lang w:eastAsia="zh-CN"/>
              </w:rPr>
              <w:t>SI3VT950</w:t>
            </w:r>
          </w:p>
        </w:tc>
        <w:tc>
          <w:tcPr>
            <w:tcW w:w="1698" w:type="pct"/>
            <w:shd w:val="clear" w:color="auto" w:fill="FFFFFF"/>
            <w:vAlign w:val="center"/>
            <w:hideMark/>
          </w:tcPr>
          <w:p w14:paraId="721FFC1E"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MPVT zadrževalnik Ormoško jezero</w:t>
            </w:r>
          </w:p>
        </w:tc>
        <w:tc>
          <w:tcPr>
            <w:tcW w:w="461" w:type="pct"/>
            <w:shd w:val="clear" w:color="auto" w:fill="FFFFFF"/>
            <w:vAlign w:val="center"/>
            <w:hideMark/>
          </w:tcPr>
          <w:p w14:paraId="501811EB"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MPVT</w:t>
            </w:r>
          </w:p>
        </w:tc>
        <w:tc>
          <w:tcPr>
            <w:tcW w:w="1231" w:type="pct"/>
            <w:shd w:val="clear" w:color="auto" w:fill="FFFFFF"/>
            <w:vAlign w:val="center"/>
          </w:tcPr>
          <w:p w14:paraId="46744A59"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fizična sprememba vodotoka / pregrada, zadrževalnik</w:t>
            </w:r>
          </w:p>
        </w:tc>
        <w:tc>
          <w:tcPr>
            <w:tcW w:w="961" w:type="pct"/>
            <w:shd w:val="clear" w:color="auto" w:fill="FFFFFF"/>
            <w:vAlign w:val="center"/>
          </w:tcPr>
          <w:p w14:paraId="76551A56"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hidroenergetska raba</w:t>
            </w:r>
          </w:p>
        </w:tc>
      </w:tr>
      <w:tr w:rsidR="003122F4" w:rsidRPr="00545EC0" w14:paraId="2F99228B" w14:textId="77777777" w:rsidTr="001F17B5">
        <w:trPr>
          <w:trHeight w:val="255"/>
        </w:trPr>
        <w:tc>
          <w:tcPr>
            <w:tcW w:w="649" w:type="pct"/>
            <w:shd w:val="clear" w:color="auto" w:fill="FFFFFF"/>
            <w:vAlign w:val="center"/>
            <w:hideMark/>
          </w:tcPr>
          <w:p w14:paraId="6BD96393" w14:textId="77777777" w:rsidR="001F17B5" w:rsidRPr="00545EC0" w:rsidRDefault="001F17B5" w:rsidP="008F5BFC">
            <w:pPr>
              <w:spacing w:line="240" w:lineRule="auto"/>
              <w:jc w:val="center"/>
              <w:rPr>
                <w:rFonts w:eastAsia="SimSun" w:cs="Arial"/>
                <w:sz w:val="18"/>
                <w:szCs w:val="18"/>
                <w:lang w:eastAsia="zh-CN"/>
              </w:rPr>
            </w:pPr>
            <w:r w:rsidRPr="00545EC0">
              <w:rPr>
                <w:rFonts w:eastAsia="SimSun" w:cs="Arial"/>
                <w:sz w:val="18"/>
                <w:szCs w:val="18"/>
                <w:lang w:eastAsia="zh-CN"/>
              </w:rPr>
              <w:t>SI434VT52</w:t>
            </w:r>
          </w:p>
        </w:tc>
        <w:tc>
          <w:tcPr>
            <w:tcW w:w="1698" w:type="pct"/>
            <w:shd w:val="clear" w:color="auto" w:fill="FFFFFF"/>
            <w:vAlign w:val="center"/>
            <w:hideMark/>
          </w:tcPr>
          <w:p w14:paraId="0DCDFC6F"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MPVT zadrževalnik Gajševsko jezero</w:t>
            </w:r>
          </w:p>
        </w:tc>
        <w:tc>
          <w:tcPr>
            <w:tcW w:w="461" w:type="pct"/>
            <w:shd w:val="clear" w:color="auto" w:fill="FFFFFF"/>
            <w:vAlign w:val="center"/>
            <w:hideMark/>
          </w:tcPr>
          <w:p w14:paraId="3259F5BB"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MPVT</w:t>
            </w:r>
          </w:p>
        </w:tc>
        <w:tc>
          <w:tcPr>
            <w:tcW w:w="1231" w:type="pct"/>
            <w:shd w:val="clear" w:color="auto" w:fill="FFFFFF"/>
            <w:vAlign w:val="center"/>
          </w:tcPr>
          <w:p w14:paraId="4034E4BE"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fizična sprememba vodotoka / pregrada, zadrževalnik</w:t>
            </w:r>
          </w:p>
        </w:tc>
        <w:tc>
          <w:tcPr>
            <w:tcW w:w="961" w:type="pct"/>
            <w:shd w:val="clear" w:color="auto" w:fill="FFFFFF"/>
            <w:vAlign w:val="center"/>
          </w:tcPr>
          <w:p w14:paraId="483836BF"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zmanjševanje poplavne ogroženosti</w:t>
            </w:r>
          </w:p>
        </w:tc>
      </w:tr>
      <w:tr w:rsidR="003122F4" w:rsidRPr="00545EC0" w14:paraId="1704C44F" w14:textId="77777777" w:rsidTr="001F17B5">
        <w:trPr>
          <w:trHeight w:val="255"/>
        </w:trPr>
        <w:tc>
          <w:tcPr>
            <w:tcW w:w="649" w:type="pct"/>
            <w:shd w:val="clear" w:color="auto" w:fill="FFFFFF"/>
            <w:vAlign w:val="center"/>
            <w:hideMark/>
          </w:tcPr>
          <w:p w14:paraId="20CEEA37" w14:textId="77777777" w:rsidR="001F17B5" w:rsidRPr="00545EC0" w:rsidRDefault="001F17B5" w:rsidP="008F5BFC">
            <w:pPr>
              <w:spacing w:line="240" w:lineRule="auto"/>
              <w:jc w:val="center"/>
              <w:rPr>
                <w:rFonts w:eastAsia="SimSun" w:cs="Arial"/>
                <w:sz w:val="18"/>
                <w:szCs w:val="18"/>
                <w:lang w:eastAsia="zh-CN"/>
              </w:rPr>
            </w:pPr>
            <w:r w:rsidRPr="00545EC0">
              <w:rPr>
                <w:rFonts w:eastAsia="SimSun" w:cs="Arial"/>
                <w:sz w:val="18"/>
                <w:szCs w:val="18"/>
                <w:lang w:eastAsia="zh-CN"/>
              </w:rPr>
              <w:t>SI442VT12</w:t>
            </w:r>
          </w:p>
        </w:tc>
        <w:tc>
          <w:tcPr>
            <w:tcW w:w="1698" w:type="pct"/>
            <w:shd w:val="clear" w:color="auto" w:fill="FFFFFF"/>
            <w:vAlign w:val="center"/>
            <w:hideMark/>
          </w:tcPr>
          <w:p w14:paraId="3CFC10E7"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MPVT zadrževalnik Ledavsko jezero</w:t>
            </w:r>
          </w:p>
        </w:tc>
        <w:tc>
          <w:tcPr>
            <w:tcW w:w="461" w:type="pct"/>
            <w:shd w:val="clear" w:color="auto" w:fill="FFFFFF"/>
            <w:vAlign w:val="center"/>
            <w:hideMark/>
          </w:tcPr>
          <w:p w14:paraId="2D214E5A"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MPVT</w:t>
            </w:r>
          </w:p>
        </w:tc>
        <w:tc>
          <w:tcPr>
            <w:tcW w:w="1231" w:type="pct"/>
            <w:shd w:val="clear" w:color="auto" w:fill="FFFFFF"/>
            <w:vAlign w:val="center"/>
          </w:tcPr>
          <w:p w14:paraId="71C7A3C4"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fizična sprememba vodotoka / pregrada, zadrževalnik</w:t>
            </w:r>
          </w:p>
        </w:tc>
        <w:tc>
          <w:tcPr>
            <w:tcW w:w="961" w:type="pct"/>
            <w:shd w:val="clear" w:color="auto" w:fill="FFFFFF"/>
            <w:vAlign w:val="center"/>
          </w:tcPr>
          <w:p w14:paraId="12E28493" w14:textId="77777777" w:rsidR="001F17B5" w:rsidRPr="00545EC0" w:rsidRDefault="001F17B5" w:rsidP="008F5BFC">
            <w:pPr>
              <w:spacing w:line="240" w:lineRule="auto"/>
              <w:jc w:val="left"/>
              <w:rPr>
                <w:rFonts w:eastAsia="SimSun" w:cs="Arial"/>
                <w:sz w:val="18"/>
                <w:szCs w:val="18"/>
                <w:lang w:eastAsia="zh-CN"/>
              </w:rPr>
            </w:pPr>
            <w:r w:rsidRPr="00545EC0">
              <w:rPr>
                <w:rFonts w:eastAsia="SimSun" w:cs="Arial"/>
                <w:sz w:val="18"/>
                <w:szCs w:val="18"/>
                <w:lang w:eastAsia="zh-CN"/>
              </w:rPr>
              <w:t>zmanjševanje poplavne ogroženosti</w:t>
            </w:r>
          </w:p>
        </w:tc>
      </w:tr>
    </w:tbl>
    <w:p w14:paraId="7BCAA932" w14:textId="77777777" w:rsidR="00342A40" w:rsidRPr="00545EC0" w:rsidRDefault="00342A40" w:rsidP="0010797F">
      <w:pPr>
        <w:rPr>
          <w:rFonts w:cs="Arial"/>
          <w:b/>
          <w:lang w:eastAsia="ja-JP"/>
        </w:rPr>
      </w:pPr>
    </w:p>
    <w:p w14:paraId="34517619" w14:textId="2A2F6C53" w:rsidR="00493E8B" w:rsidRPr="00545EC0" w:rsidRDefault="00313D43">
      <w:pPr>
        <w:pStyle w:val="Naslov3"/>
      </w:pPr>
      <w:bookmarkStart w:id="80" w:name="_Toc248223843"/>
      <w:bookmarkStart w:id="81" w:name="_Toc287009228"/>
      <w:bookmarkStart w:id="82" w:name="_Toc287527202"/>
      <w:bookmarkStart w:id="83" w:name="_Toc288053293"/>
      <w:bookmarkStart w:id="84" w:name="_Toc287009230"/>
      <w:bookmarkStart w:id="85" w:name="_Toc287527204"/>
      <w:bookmarkStart w:id="86" w:name="_Toc288053295"/>
      <w:bookmarkStart w:id="87" w:name="_Toc287009231"/>
      <w:bookmarkStart w:id="88" w:name="_Toc287527205"/>
      <w:bookmarkStart w:id="89" w:name="_Toc288053296"/>
      <w:bookmarkStart w:id="90" w:name="_Toc287009232"/>
      <w:bookmarkStart w:id="91" w:name="_Toc287527206"/>
      <w:bookmarkStart w:id="92" w:name="_Toc288053297"/>
      <w:bookmarkStart w:id="93" w:name="_Toc287009233"/>
      <w:bookmarkStart w:id="94" w:name="_Toc287527207"/>
      <w:bookmarkStart w:id="95" w:name="_Toc288053298"/>
      <w:bookmarkStart w:id="96" w:name="_Toc287009235"/>
      <w:bookmarkStart w:id="97" w:name="_Toc287527209"/>
      <w:bookmarkStart w:id="98" w:name="_Toc288053300"/>
      <w:bookmarkStart w:id="99" w:name="_Toc287009267"/>
      <w:bookmarkStart w:id="100" w:name="_Toc287527241"/>
      <w:bookmarkStart w:id="101" w:name="_Toc288053332"/>
      <w:bookmarkStart w:id="102" w:name="_Toc287009268"/>
      <w:bookmarkStart w:id="103" w:name="_Toc287527242"/>
      <w:bookmarkStart w:id="104" w:name="_Toc288053333"/>
      <w:bookmarkStart w:id="105" w:name="_Toc287009270"/>
      <w:bookmarkStart w:id="106" w:name="_Toc287527244"/>
      <w:bookmarkStart w:id="107" w:name="_Toc288053335"/>
      <w:bookmarkStart w:id="108" w:name="_Toc287009271"/>
      <w:bookmarkStart w:id="109" w:name="_Toc287527245"/>
      <w:bookmarkStart w:id="110" w:name="_Toc288053336"/>
      <w:bookmarkStart w:id="111" w:name="_Toc287009272"/>
      <w:bookmarkStart w:id="112" w:name="_Toc287527246"/>
      <w:bookmarkStart w:id="113" w:name="_Toc288053337"/>
      <w:bookmarkStart w:id="114" w:name="_Toc287009273"/>
      <w:bookmarkStart w:id="115" w:name="_Toc287527247"/>
      <w:bookmarkStart w:id="116" w:name="_Toc288053338"/>
      <w:bookmarkStart w:id="117" w:name="_Toc287009274"/>
      <w:bookmarkStart w:id="118" w:name="_Toc287527248"/>
      <w:bookmarkStart w:id="119" w:name="_Toc288053339"/>
      <w:bookmarkStart w:id="120" w:name="_Toc287009275"/>
      <w:bookmarkStart w:id="121" w:name="_Toc287527249"/>
      <w:bookmarkStart w:id="122" w:name="_Toc288053340"/>
      <w:bookmarkStart w:id="123" w:name="_Toc287009287"/>
      <w:bookmarkStart w:id="124" w:name="_Toc287527261"/>
      <w:bookmarkStart w:id="125" w:name="_Toc288053352"/>
      <w:bookmarkStart w:id="126" w:name="_Toc287009288"/>
      <w:bookmarkStart w:id="127" w:name="_Toc287527262"/>
      <w:bookmarkStart w:id="128" w:name="_Toc288053353"/>
      <w:bookmarkStart w:id="129" w:name="_Toc9026101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545EC0">
        <w:lastRenderedPageBreak/>
        <w:t>O</w:t>
      </w:r>
      <w:r w:rsidR="00493E8B" w:rsidRPr="00545EC0">
        <w:t>p</w:t>
      </w:r>
      <w:r w:rsidR="00F34175" w:rsidRPr="00545EC0">
        <w:t>is značilnosti za podzemne vode</w:t>
      </w:r>
      <w:bookmarkEnd w:id="129"/>
    </w:p>
    <w:p w14:paraId="342C6F94" w14:textId="77777777" w:rsidR="0016421B" w:rsidRPr="00545EC0" w:rsidRDefault="0016421B" w:rsidP="00424902">
      <w:pPr>
        <w:pStyle w:val="Naslov4"/>
        <w:rPr>
          <w:color w:val="auto"/>
        </w:rPr>
      </w:pPr>
      <w:r w:rsidRPr="00545EC0">
        <w:rPr>
          <w:color w:val="auto"/>
        </w:rPr>
        <w:t>Prikaz opredelitve vodnih teles podzemnih voda</w:t>
      </w:r>
    </w:p>
    <w:p w14:paraId="27C15A15" w14:textId="2735B6D6" w:rsidR="00432214" w:rsidRPr="00545EC0" w:rsidRDefault="00432214" w:rsidP="00907CBA">
      <w:pPr>
        <w:rPr>
          <w:rFonts w:cs="Arial"/>
        </w:rPr>
      </w:pPr>
      <w:bookmarkStart w:id="130" w:name="_Toc417058113"/>
      <w:r w:rsidRPr="00545EC0">
        <w:rPr>
          <w:rFonts w:cs="Arial"/>
        </w:rPr>
        <w:t xml:space="preserve">Vsa podzemna voda, ki se nahaja v 165 vodonosnih sistemih </w:t>
      </w:r>
      <w:r w:rsidR="00307E73" w:rsidRPr="00545EC0">
        <w:rPr>
          <w:rFonts w:cs="Arial"/>
        </w:rPr>
        <w:t xml:space="preserve">Republike </w:t>
      </w:r>
      <w:r w:rsidRPr="00545EC0">
        <w:rPr>
          <w:rFonts w:cs="Arial"/>
        </w:rPr>
        <w:t xml:space="preserve">Slovenije, je </w:t>
      </w:r>
      <w:r w:rsidR="00EB1AAD" w:rsidRPr="00545EC0">
        <w:rPr>
          <w:rFonts w:cs="Arial"/>
        </w:rPr>
        <w:t>s</w:t>
      </w:r>
      <w:r w:rsidR="0075064D" w:rsidRPr="00545EC0">
        <w:rPr>
          <w:rFonts w:cs="Arial"/>
        </w:rPr>
        <w:t xml:space="preserve"> predpisom, ki ureja določitev vodnih teles </w:t>
      </w:r>
      <w:r w:rsidR="00EB1AAD" w:rsidRPr="00545EC0">
        <w:rPr>
          <w:rFonts w:cs="Arial"/>
        </w:rPr>
        <w:t>podzemnih</w:t>
      </w:r>
      <w:r w:rsidR="0075064D" w:rsidRPr="00545EC0">
        <w:rPr>
          <w:rFonts w:cs="Arial"/>
        </w:rPr>
        <w:t xml:space="preserve"> voda </w:t>
      </w:r>
      <w:r w:rsidRPr="00545EC0">
        <w:rPr>
          <w:rFonts w:cs="Arial"/>
        </w:rPr>
        <w:t>združena v 21 značilnih vodnih teles podzemne vode (</w:t>
      </w:r>
      <w:r w:rsidR="0075064D" w:rsidRPr="00545EC0">
        <w:rPr>
          <w:rFonts w:cs="Arial"/>
        </w:rPr>
        <w:t xml:space="preserve">v nadaljnjem besedilu: </w:t>
      </w:r>
      <w:r w:rsidRPr="00545EC0">
        <w:rPr>
          <w:rFonts w:cs="Arial"/>
        </w:rPr>
        <w:t xml:space="preserve">VTPodV). Na </w:t>
      </w:r>
      <w:r w:rsidR="00EB1AAD" w:rsidRPr="00545EC0">
        <w:rPr>
          <w:rFonts w:cs="Arial"/>
        </w:rPr>
        <w:t>VO</w:t>
      </w:r>
      <w:r w:rsidRPr="00545EC0">
        <w:rPr>
          <w:rFonts w:cs="Arial"/>
        </w:rPr>
        <w:t xml:space="preserve"> Donave je določenih 18 vodn</w:t>
      </w:r>
      <w:r w:rsidR="00EB1AAD" w:rsidRPr="00545EC0">
        <w:rPr>
          <w:rFonts w:cs="Arial"/>
        </w:rPr>
        <w:t>ih</w:t>
      </w:r>
      <w:r w:rsidR="00FD07E1" w:rsidRPr="00545EC0">
        <w:rPr>
          <w:rFonts w:cs="Arial"/>
        </w:rPr>
        <w:t xml:space="preserve"> teles podzemnih</w:t>
      </w:r>
      <w:r w:rsidRPr="00545EC0">
        <w:rPr>
          <w:rFonts w:cs="Arial"/>
        </w:rPr>
        <w:t xml:space="preserve"> vod</w:t>
      </w:r>
      <w:r w:rsidR="00FD07E1" w:rsidRPr="00545EC0">
        <w:rPr>
          <w:rFonts w:cs="Arial"/>
        </w:rPr>
        <w:t>a</w:t>
      </w:r>
      <w:r w:rsidRPr="00545EC0">
        <w:rPr>
          <w:rFonts w:cs="Arial"/>
        </w:rPr>
        <w:t xml:space="preserve">. </w:t>
      </w:r>
    </w:p>
    <w:p w14:paraId="3FA99EE3" w14:textId="77777777" w:rsidR="00342A40" w:rsidRPr="00545EC0" w:rsidRDefault="00342A40" w:rsidP="0010797F">
      <w:pPr>
        <w:pStyle w:val="Napis2"/>
        <w:rPr>
          <w:rFonts w:cs="Arial"/>
          <w:szCs w:val="20"/>
        </w:rPr>
      </w:pPr>
    </w:p>
    <w:p w14:paraId="69413A56" w14:textId="32B0362C" w:rsidR="00342A40" w:rsidRPr="00545EC0" w:rsidRDefault="007155F5" w:rsidP="003176A4">
      <w:pPr>
        <w:pStyle w:val="Napis"/>
      </w:pPr>
      <w:bookmarkStart w:id="131" w:name="_Toc419097371"/>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8</w:t>
        </w:r>
      </w:fldSimple>
      <w:r w:rsidRPr="00545EC0">
        <w:t xml:space="preserve">: </w:t>
      </w:r>
      <w:r w:rsidR="00342A40" w:rsidRPr="00545EC0">
        <w:t xml:space="preserve">Vodna telesa podzemne vode na </w:t>
      </w:r>
      <w:r w:rsidR="00775603" w:rsidRPr="00545EC0">
        <w:t>vodnem območju</w:t>
      </w:r>
      <w:r w:rsidR="00342A40" w:rsidRPr="00545EC0">
        <w:t xml:space="preserve"> Donave </w:t>
      </w:r>
      <w:bookmarkEnd w:id="130"/>
      <w:bookmarkEnd w:id="1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07"/>
        <w:gridCol w:w="7104"/>
      </w:tblGrid>
      <w:tr w:rsidR="003122F4" w:rsidRPr="00545EC0" w14:paraId="1F74D628" w14:textId="77777777" w:rsidTr="00907CBA">
        <w:trPr>
          <w:trHeight w:val="300"/>
          <w:tblHeader/>
        </w:trPr>
        <w:tc>
          <w:tcPr>
            <w:tcW w:w="114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67E736" w14:textId="77777777" w:rsidR="00775603" w:rsidRPr="00545EC0" w:rsidRDefault="00775603" w:rsidP="00775603">
            <w:pPr>
              <w:jc w:val="center"/>
              <w:rPr>
                <w:rFonts w:eastAsia="Kozuka Gothic Pro H" w:cs="Arial"/>
                <w:b/>
                <w:sz w:val="18"/>
                <w:szCs w:val="18"/>
                <w:lang w:eastAsia="ja-JP"/>
              </w:rPr>
            </w:pPr>
            <w:r w:rsidRPr="00545EC0">
              <w:rPr>
                <w:rFonts w:eastAsia="Kozuka Gothic Pro H" w:cs="Arial"/>
                <w:sz w:val="18"/>
                <w:szCs w:val="18"/>
              </w:rPr>
              <w:t>VTPodV</w:t>
            </w:r>
          </w:p>
        </w:tc>
        <w:tc>
          <w:tcPr>
            <w:tcW w:w="385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1DC0A8" w14:textId="77777777" w:rsidR="00775603" w:rsidRPr="00545EC0" w:rsidRDefault="00775603" w:rsidP="0010797F">
            <w:pPr>
              <w:jc w:val="center"/>
              <w:rPr>
                <w:rFonts w:eastAsia="Kozuka Gothic Pro H" w:cs="Arial"/>
                <w:sz w:val="18"/>
                <w:szCs w:val="18"/>
                <w:lang w:eastAsia="ja-JP"/>
              </w:rPr>
            </w:pPr>
            <w:r w:rsidRPr="00545EC0">
              <w:rPr>
                <w:rFonts w:eastAsia="Kozuka Gothic Pro H" w:cs="Arial"/>
                <w:b/>
                <w:sz w:val="18"/>
                <w:szCs w:val="18"/>
              </w:rPr>
              <w:t>Vodno območje Donave</w:t>
            </w:r>
          </w:p>
        </w:tc>
      </w:tr>
      <w:tr w:rsidR="003122F4" w:rsidRPr="00545EC0" w14:paraId="2D703F52" w14:textId="77777777" w:rsidTr="00907CBA">
        <w:trPr>
          <w:trHeight w:val="300"/>
          <w:tblHeader/>
        </w:trPr>
        <w:tc>
          <w:tcPr>
            <w:tcW w:w="1144" w:type="pct"/>
            <w:tcBorders>
              <w:top w:val="single" w:sz="4" w:space="0" w:color="auto"/>
              <w:left w:val="single" w:sz="4" w:space="0" w:color="auto"/>
              <w:bottom w:val="single" w:sz="4" w:space="0" w:color="auto"/>
              <w:right w:val="single" w:sz="4" w:space="0" w:color="auto"/>
            </w:tcBorders>
            <w:vAlign w:val="center"/>
            <w:hideMark/>
          </w:tcPr>
          <w:p w14:paraId="6048904D" w14:textId="77777777" w:rsidR="00775603" w:rsidRPr="00545EC0" w:rsidRDefault="00EB1AAD" w:rsidP="00775603">
            <w:pPr>
              <w:jc w:val="center"/>
              <w:rPr>
                <w:rFonts w:eastAsia="Kozuka Gothic Pro H" w:cs="Arial"/>
                <w:sz w:val="18"/>
                <w:szCs w:val="18"/>
                <w:lang w:eastAsia="ja-JP"/>
              </w:rPr>
            </w:pPr>
            <w:r w:rsidRPr="00545EC0">
              <w:rPr>
                <w:rFonts w:eastAsia="Kozuka Gothic Pro H" w:cs="Arial"/>
                <w:sz w:val="18"/>
                <w:szCs w:val="18"/>
              </w:rPr>
              <w:t>VTPodV_</w:t>
            </w:r>
            <w:r w:rsidR="00775603" w:rsidRPr="00545EC0">
              <w:rPr>
                <w:rFonts w:eastAsia="Kozuka Gothic Pro H" w:cs="Arial"/>
                <w:sz w:val="18"/>
                <w:szCs w:val="18"/>
              </w:rPr>
              <w:t>1001</w:t>
            </w:r>
          </w:p>
        </w:tc>
        <w:tc>
          <w:tcPr>
            <w:tcW w:w="3856" w:type="pct"/>
            <w:tcBorders>
              <w:top w:val="single" w:sz="4" w:space="0" w:color="auto"/>
              <w:left w:val="single" w:sz="4" w:space="0" w:color="auto"/>
              <w:bottom w:val="single" w:sz="4" w:space="0" w:color="auto"/>
              <w:right w:val="single" w:sz="4" w:space="0" w:color="auto"/>
            </w:tcBorders>
            <w:vAlign w:val="center"/>
            <w:hideMark/>
          </w:tcPr>
          <w:p w14:paraId="5AD4B6A8" w14:textId="77777777" w:rsidR="00775603" w:rsidRPr="00545EC0" w:rsidRDefault="00775603" w:rsidP="0010797F">
            <w:pPr>
              <w:rPr>
                <w:rFonts w:eastAsia="Kozuka Gothic Pro H" w:cs="Arial"/>
                <w:sz w:val="18"/>
                <w:szCs w:val="18"/>
                <w:lang w:eastAsia="ja-JP"/>
              </w:rPr>
            </w:pPr>
            <w:r w:rsidRPr="00545EC0">
              <w:rPr>
                <w:rFonts w:eastAsia="Kozuka Gothic Pro H" w:cs="Arial"/>
                <w:sz w:val="18"/>
                <w:szCs w:val="18"/>
              </w:rPr>
              <w:t>Savska kotlina in Ljubljansko Barje</w:t>
            </w:r>
          </w:p>
        </w:tc>
      </w:tr>
      <w:tr w:rsidR="003122F4" w:rsidRPr="00545EC0" w14:paraId="3A33C388" w14:textId="77777777" w:rsidTr="00907CBA">
        <w:trPr>
          <w:trHeight w:val="300"/>
          <w:tblHeader/>
        </w:trPr>
        <w:tc>
          <w:tcPr>
            <w:tcW w:w="1144" w:type="pct"/>
            <w:tcBorders>
              <w:top w:val="single" w:sz="4" w:space="0" w:color="auto"/>
              <w:left w:val="single" w:sz="4" w:space="0" w:color="auto"/>
              <w:bottom w:val="single" w:sz="4" w:space="0" w:color="auto"/>
              <w:right w:val="single" w:sz="4" w:space="0" w:color="auto"/>
            </w:tcBorders>
            <w:vAlign w:val="center"/>
            <w:hideMark/>
          </w:tcPr>
          <w:p w14:paraId="463A0308" w14:textId="77777777" w:rsidR="00775603" w:rsidRPr="00545EC0" w:rsidRDefault="00EB1AAD" w:rsidP="00775603">
            <w:pPr>
              <w:jc w:val="center"/>
              <w:rPr>
                <w:rFonts w:eastAsia="Kozuka Gothic Pro H" w:cs="Arial"/>
                <w:sz w:val="18"/>
                <w:szCs w:val="18"/>
                <w:lang w:eastAsia="ja-JP"/>
              </w:rPr>
            </w:pPr>
            <w:r w:rsidRPr="00545EC0">
              <w:rPr>
                <w:rFonts w:eastAsia="Kozuka Gothic Pro H" w:cs="Arial"/>
                <w:sz w:val="18"/>
                <w:szCs w:val="18"/>
              </w:rPr>
              <w:t>VTPodV_</w:t>
            </w:r>
            <w:r w:rsidR="00775603" w:rsidRPr="00545EC0">
              <w:rPr>
                <w:rFonts w:eastAsia="Kozuka Gothic Pro H" w:cs="Arial"/>
                <w:sz w:val="18"/>
                <w:szCs w:val="18"/>
              </w:rPr>
              <w:t>1002</w:t>
            </w:r>
          </w:p>
        </w:tc>
        <w:tc>
          <w:tcPr>
            <w:tcW w:w="3856" w:type="pct"/>
            <w:tcBorders>
              <w:top w:val="single" w:sz="4" w:space="0" w:color="auto"/>
              <w:left w:val="single" w:sz="4" w:space="0" w:color="auto"/>
              <w:bottom w:val="single" w:sz="4" w:space="0" w:color="auto"/>
              <w:right w:val="single" w:sz="4" w:space="0" w:color="auto"/>
            </w:tcBorders>
            <w:vAlign w:val="center"/>
            <w:hideMark/>
          </w:tcPr>
          <w:p w14:paraId="3A93265E" w14:textId="77777777" w:rsidR="00775603" w:rsidRPr="00545EC0" w:rsidRDefault="00775603" w:rsidP="0010797F">
            <w:pPr>
              <w:rPr>
                <w:rFonts w:eastAsia="Kozuka Gothic Pro H" w:cs="Arial"/>
                <w:sz w:val="18"/>
                <w:szCs w:val="18"/>
                <w:lang w:eastAsia="ja-JP"/>
              </w:rPr>
            </w:pPr>
            <w:r w:rsidRPr="00545EC0">
              <w:rPr>
                <w:rFonts w:eastAsia="Kozuka Gothic Pro H" w:cs="Arial"/>
                <w:sz w:val="18"/>
                <w:szCs w:val="18"/>
              </w:rPr>
              <w:t>Savinjska kotlina</w:t>
            </w:r>
          </w:p>
        </w:tc>
      </w:tr>
      <w:tr w:rsidR="003122F4" w:rsidRPr="00545EC0" w14:paraId="4D33C89F" w14:textId="77777777" w:rsidTr="00907CBA">
        <w:trPr>
          <w:trHeight w:val="300"/>
          <w:tblHeader/>
        </w:trPr>
        <w:tc>
          <w:tcPr>
            <w:tcW w:w="1144" w:type="pct"/>
            <w:tcBorders>
              <w:top w:val="single" w:sz="4" w:space="0" w:color="auto"/>
              <w:left w:val="single" w:sz="4" w:space="0" w:color="auto"/>
              <w:bottom w:val="single" w:sz="4" w:space="0" w:color="auto"/>
              <w:right w:val="single" w:sz="4" w:space="0" w:color="auto"/>
            </w:tcBorders>
            <w:vAlign w:val="center"/>
            <w:hideMark/>
          </w:tcPr>
          <w:p w14:paraId="6EE11B02" w14:textId="77777777" w:rsidR="00775603" w:rsidRPr="00545EC0" w:rsidRDefault="00EB1AAD" w:rsidP="00775603">
            <w:pPr>
              <w:jc w:val="center"/>
              <w:rPr>
                <w:rFonts w:eastAsia="Kozuka Gothic Pro H" w:cs="Arial"/>
                <w:sz w:val="18"/>
                <w:szCs w:val="18"/>
                <w:lang w:eastAsia="ja-JP"/>
              </w:rPr>
            </w:pPr>
            <w:r w:rsidRPr="00545EC0">
              <w:rPr>
                <w:rFonts w:eastAsia="Kozuka Gothic Pro H" w:cs="Arial"/>
                <w:sz w:val="18"/>
                <w:szCs w:val="18"/>
              </w:rPr>
              <w:t>VTPodV_</w:t>
            </w:r>
            <w:r w:rsidR="00775603" w:rsidRPr="00545EC0">
              <w:rPr>
                <w:rFonts w:eastAsia="Kozuka Gothic Pro H" w:cs="Arial"/>
                <w:sz w:val="18"/>
                <w:szCs w:val="18"/>
              </w:rPr>
              <w:t>1003</w:t>
            </w:r>
          </w:p>
        </w:tc>
        <w:tc>
          <w:tcPr>
            <w:tcW w:w="3856" w:type="pct"/>
            <w:tcBorders>
              <w:top w:val="single" w:sz="4" w:space="0" w:color="auto"/>
              <w:left w:val="single" w:sz="4" w:space="0" w:color="auto"/>
              <w:bottom w:val="single" w:sz="4" w:space="0" w:color="auto"/>
              <w:right w:val="single" w:sz="4" w:space="0" w:color="auto"/>
            </w:tcBorders>
            <w:vAlign w:val="center"/>
            <w:hideMark/>
          </w:tcPr>
          <w:p w14:paraId="4CD61D6D" w14:textId="77777777" w:rsidR="00775603" w:rsidRPr="00545EC0" w:rsidRDefault="00775603" w:rsidP="0010797F">
            <w:pPr>
              <w:rPr>
                <w:rFonts w:eastAsia="Kozuka Gothic Pro H" w:cs="Arial"/>
                <w:sz w:val="18"/>
                <w:szCs w:val="18"/>
                <w:lang w:eastAsia="ja-JP"/>
              </w:rPr>
            </w:pPr>
            <w:r w:rsidRPr="00545EC0">
              <w:rPr>
                <w:rFonts w:eastAsia="Kozuka Gothic Pro H" w:cs="Arial"/>
                <w:sz w:val="18"/>
                <w:szCs w:val="18"/>
              </w:rPr>
              <w:t>Krška kotlina</w:t>
            </w:r>
          </w:p>
        </w:tc>
      </w:tr>
      <w:tr w:rsidR="003122F4" w:rsidRPr="00545EC0" w14:paraId="4CFB0196" w14:textId="77777777" w:rsidTr="00907CBA">
        <w:trPr>
          <w:trHeight w:val="300"/>
          <w:tblHeader/>
        </w:trPr>
        <w:tc>
          <w:tcPr>
            <w:tcW w:w="1144" w:type="pct"/>
            <w:tcBorders>
              <w:top w:val="single" w:sz="4" w:space="0" w:color="auto"/>
              <w:left w:val="single" w:sz="4" w:space="0" w:color="auto"/>
              <w:bottom w:val="single" w:sz="4" w:space="0" w:color="auto"/>
              <w:right w:val="single" w:sz="4" w:space="0" w:color="auto"/>
            </w:tcBorders>
            <w:vAlign w:val="center"/>
            <w:hideMark/>
          </w:tcPr>
          <w:p w14:paraId="56A4566D" w14:textId="77777777" w:rsidR="00775603" w:rsidRPr="00545EC0" w:rsidRDefault="00EB1AAD" w:rsidP="00775603">
            <w:pPr>
              <w:jc w:val="center"/>
              <w:rPr>
                <w:rFonts w:eastAsia="Kozuka Gothic Pro H" w:cs="Arial"/>
                <w:sz w:val="18"/>
                <w:szCs w:val="18"/>
                <w:lang w:eastAsia="ja-JP"/>
              </w:rPr>
            </w:pPr>
            <w:r w:rsidRPr="00545EC0">
              <w:rPr>
                <w:rFonts w:eastAsia="Kozuka Gothic Pro H" w:cs="Arial"/>
                <w:sz w:val="18"/>
                <w:szCs w:val="18"/>
              </w:rPr>
              <w:t>VTPodV_</w:t>
            </w:r>
            <w:r w:rsidR="00775603" w:rsidRPr="00545EC0">
              <w:rPr>
                <w:rFonts w:eastAsia="Kozuka Gothic Pro H" w:cs="Arial"/>
                <w:sz w:val="18"/>
                <w:szCs w:val="18"/>
              </w:rPr>
              <w:t>1004</w:t>
            </w:r>
          </w:p>
        </w:tc>
        <w:tc>
          <w:tcPr>
            <w:tcW w:w="3856" w:type="pct"/>
            <w:tcBorders>
              <w:top w:val="single" w:sz="4" w:space="0" w:color="auto"/>
              <w:left w:val="single" w:sz="4" w:space="0" w:color="auto"/>
              <w:bottom w:val="single" w:sz="4" w:space="0" w:color="auto"/>
              <w:right w:val="single" w:sz="4" w:space="0" w:color="auto"/>
            </w:tcBorders>
            <w:vAlign w:val="center"/>
            <w:hideMark/>
          </w:tcPr>
          <w:p w14:paraId="79946531" w14:textId="77777777" w:rsidR="00775603" w:rsidRPr="00545EC0" w:rsidRDefault="00775603" w:rsidP="0010797F">
            <w:pPr>
              <w:rPr>
                <w:rFonts w:eastAsia="Kozuka Gothic Pro H" w:cs="Arial"/>
                <w:sz w:val="18"/>
                <w:szCs w:val="18"/>
                <w:lang w:eastAsia="ja-JP"/>
              </w:rPr>
            </w:pPr>
            <w:r w:rsidRPr="00545EC0">
              <w:rPr>
                <w:rFonts w:eastAsia="Kozuka Gothic Pro H" w:cs="Arial"/>
                <w:sz w:val="18"/>
                <w:szCs w:val="18"/>
              </w:rPr>
              <w:t>Julijske Alpe v pore</w:t>
            </w:r>
            <w:r w:rsidRPr="00545EC0">
              <w:rPr>
                <w:rFonts w:eastAsia="MS Gothic" w:cs="Arial"/>
                <w:sz w:val="18"/>
                <w:szCs w:val="18"/>
              </w:rPr>
              <w:t>č</w:t>
            </w:r>
            <w:r w:rsidRPr="00545EC0">
              <w:rPr>
                <w:rFonts w:eastAsia="Kozuka Gothic Pro H" w:cs="Arial"/>
                <w:sz w:val="18"/>
                <w:szCs w:val="18"/>
              </w:rPr>
              <w:t>ju Save</w:t>
            </w:r>
          </w:p>
        </w:tc>
      </w:tr>
      <w:tr w:rsidR="003122F4" w:rsidRPr="00545EC0" w14:paraId="276D2C8C" w14:textId="77777777" w:rsidTr="00907CBA">
        <w:trPr>
          <w:trHeight w:val="300"/>
          <w:tblHeader/>
        </w:trPr>
        <w:tc>
          <w:tcPr>
            <w:tcW w:w="1144" w:type="pct"/>
            <w:tcBorders>
              <w:top w:val="single" w:sz="4" w:space="0" w:color="auto"/>
              <w:left w:val="single" w:sz="4" w:space="0" w:color="auto"/>
              <w:bottom w:val="single" w:sz="4" w:space="0" w:color="auto"/>
              <w:right w:val="single" w:sz="4" w:space="0" w:color="auto"/>
            </w:tcBorders>
            <w:vAlign w:val="center"/>
            <w:hideMark/>
          </w:tcPr>
          <w:p w14:paraId="5478A9D6" w14:textId="77777777" w:rsidR="00775603" w:rsidRPr="00545EC0" w:rsidRDefault="00EB1AAD" w:rsidP="00775603">
            <w:pPr>
              <w:jc w:val="center"/>
              <w:rPr>
                <w:rFonts w:eastAsia="Kozuka Gothic Pro H" w:cs="Arial"/>
                <w:sz w:val="18"/>
                <w:szCs w:val="18"/>
                <w:lang w:eastAsia="ja-JP"/>
              </w:rPr>
            </w:pPr>
            <w:r w:rsidRPr="00545EC0">
              <w:rPr>
                <w:rFonts w:eastAsia="Kozuka Gothic Pro H" w:cs="Arial"/>
                <w:sz w:val="18"/>
                <w:szCs w:val="18"/>
              </w:rPr>
              <w:t>VTPodV_</w:t>
            </w:r>
            <w:r w:rsidR="00775603" w:rsidRPr="00545EC0">
              <w:rPr>
                <w:rFonts w:eastAsia="Kozuka Gothic Pro H" w:cs="Arial"/>
                <w:sz w:val="18"/>
                <w:szCs w:val="18"/>
              </w:rPr>
              <w:t>1005</w:t>
            </w:r>
          </w:p>
        </w:tc>
        <w:tc>
          <w:tcPr>
            <w:tcW w:w="3856" w:type="pct"/>
            <w:tcBorders>
              <w:top w:val="single" w:sz="4" w:space="0" w:color="auto"/>
              <w:left w:val="single" w:sz="4" w:space="0" w:color="auto"/>
              <w:bottom w:val="single" w:sz="4" w:space="0" w:color="auto"/>
              <w:right w:val="single" w:sz="4" w:space="0" w:color="auto"/>
            </w:tcBorders>
            <w:hideMark/>
          </w:tcPr>
          <w:p w14:paraId="3418687C" w14:textId="77777777" w:rsidR="00775603" w:rsidRPr="00545EC0" w:rsidRDefault="00775603" w:rsidP="0010797F">
            <w:pPr>
              <w:rPr>
                <w:rFonts w:eastAsia="Kozuka Gothic Pro H" w:cs="Arial"/>
                <w:sz w:val="18"/>
                <w:szCs w:val="18"/>
                <w:lang w:eastAsia="ja-JP"/>
              </w:rPr>
            </w:pPr>
            <w:r w:rsidRPr="00545EC0">
              <w:rPr>
                <w:rFonts w:eastAsia="Kozuka Gothic Pro H" w:cs="Arial"/>
                <w:sz w:val="18"/>
                <w:szCs w:val="18"/>
              </w:rPr>
              <w:t>Karavanke</w:t>
            </w:r>
          </w:p>
        </w:tc>
      </w:tr>
      <w:tr w:rsidR="003122F4" w:rsidRPr="00545EC0" w14:paraId="08266A0E" w14:textId="77777777" w:rsidTr="00907CBA">
        <w:trPr>
          <w:trHeight w:val="300"/>
          <w:tblHeader/>
        </w:trPr>
        <w:tc>
          <w:tcPr>
            <w:tcW w:w="1144" w:type="pct"/>
            <w:tcBorders>
              <w:top w:val="single" w:sz="4" w:space="0" w:color="auto"/>
              <w:left w:val="single" w:sz="4" w:space="0" w:color="auto"/>
              <w:bottom w:val="single" w:sz="4" w:space="0" w:color="auto"/>
              <w:right w:val="single" w:sz="4" w:space="0" w:color="auto"/>
            </w:tcBorders>
            <w:vAlign w:val="center"/>
            <w:hideMark/>
          </w:tcPr>
          <w:p w14:paraId="2252C5FC" w14:textId="77777777" w:rsidR="00775603" w:rsidRPr="00545EC0" w:rsidRDefault="00EB1AAD" w:rsidP="00775603">
            <w:pPr>
              <w:jc w:val="center"/>
              <w:rPr>
                <w:rFonts w:eastAsia="Kozuka Gothic Pro H" w:cs="Arial"/>
                <w:sz w:val="18"/>
                <w:szCs w:val="18"/>
                <w:lang w:eastAsia="ja-JP"/>
              </w:rPr>
            </w:pPr>
            <w:r w:rsidRPr="00545EC0">
              <w:rPr>
                <w:rFonts w:eastAsia="Kozuka Gothic Pro H" w:cs="Arial"/>
                <w:sz w:val="18"/>
                <w:szCs w:val="18"/>
              </w:rPr>
              <w:t>VTPodV_</w:t>
            </w:r>
            <w:r w:rsidR="00775603" w:rsidRPr="00545EC0">
              <w:rPr>
                <w:rFonts w:eastAsia="Kozuka Gothic Pro H" w:cs="Arial"/>
                <w:sz w:val="18"/>
                <w:szCs w:val="18"/>
              </w:rPr>
              <w:t>1006</w:t>
            </w:r>
          </w:p>
        </w:tc>
        <w:tc>
          <w:tcPr>
            <w:tcW w:w="3856" w:type="pct"/>
            <w:tcBorders>
              <w:top w:val="single" w:sz="4" w:space="0" w:color="auto"/>
              <w:left w:val="single" w:sz="4" w:space="0" w:color="auto"/>
              <w:bottom w:val="single" w:sz="4" w:space="0" w:color="auto"/>
              <w:right w:val="single" w:sz="4" w:space="0" w:color="auto"/>
            </w:tcBorders>
            <w:vAlign w:val="center"/>
            <w:hideMark/>
          </w:tcPr>
          <w:p w14:paraId="5C822731" w14:textId="77777777" w:rsidR="00775603" w:rsidRPr="00545EC0" w:rsidRDefault="00775603" w:rsidP="0010797F">
            <w:pPr>
              <w:rPr>
                <w:rFonts w:eastAsia="Kozuka Gothic Pro H" w:cs="Arial"/>
                <w:sz w:val="18"/>
                <w:szCs w:val="18"/>
                <w:lang w:eastAsia="ja-JP"/>
              </w:rPr>
            </w:pPr>
            <w:r w:rsidRPr="00545EC0">
              <w:rPr>
                <w:rFonts w:eastAsia="Kozuka Gothic Pro H" w:cs="Arial"/>
                <w:sz w:val="18"/>
                <w:szCs w:val="18"/>
              </w:rPr>
              <w:t>Kamniško-Savinjske Alpe</w:t>
            </w:r>
          </w:p>
        </w:tc>
      </w:tr>
      <w:tr w:rsidR="003122F4" w:rsidRPr="00545EC0" w14:paraId="50D53F19" w14:textId="77777777" w:rsidTr="00907CBA">
        <w:trPr>
          <w:trHeight w:val="300"/>
          <w:tblHeader/>
        </w:trPr>
        <w:tc>
          <w:tcPr>
            <w:tcW w:w="1144" w:type="pct"/>
            <w:tcBorders>
              <w:top w:val="single" w:sz="4" w:space="0" w:color="auto"/>
              <w:left w:val="single" w:sz="4" w:space="0" w:color="auto"/>
              <w:bottom w:val="single" w:sz="4" w:space="0" w:color="auto"/>
              <w:right w:val="single" w:sz="4" w:space="0" w:color="auto"/>
            </w:tcBorders>
            <w:vAlign w:val="center"/>
            <w:hideMark/>
          </w:tcPr>
          <w:p w14:paraId="44BF5A1A" w14:textId="77777777" w:rsidR="00775603" w:rsidRPr="00545EC0" w:rsidRDefault="00EB1AAD" w:rsidP="00775603">
            <w:pPr>
              <w:jc w:val="center"/>
              <w:rPr>
                <w:rFonts w:eastAsia="Kozuka Gothic Pro H" w:cs="Arial"/>
                <w:sz w:val="18"/>
                <w:szCs w:val="18"/>
                <w:lang w:eastAsia="ja-JP"/>
              </w:rPr>
            </w:pPr>
            <w:r w:rsidRPr="00545EC0">
              <w:rPr>
                <w:rFonts w:eastAsia="Kozuka Gothic Pro H" w:cs="Arial"/>
                <w:sz w:val="18"/>
                <w:szCs w:val="18"/>
              </w:rPr>
              <w:t>VTPodV_</w:t>
            </w:r>
            <w:r w:rsidR="00775603" w:rsidRPr="00545EC0">
              <w:rPr>
                <w:rFonts w:eastAsia="Kozuka Gothic Pro H" w:cs="Arial"/>
                <w:sz w:val="18"/>
                <w:szCs w:val="18"/>
              </w:rPr>
              <w:t>1007</w:t>
            </w:r>
          </w:p>
        </w:tc>
        <w:tc>
          <w:tcPr>
            <w:tcW w:w="3856" w:type="pct"/>
            <w:tcBorders>
              <w:top w:val="single" w:sz="4" w:space="0" w:color="auto"/>
              <w:left w:val="single" w:sz="4" w:space="0" w:color="auto"/>
              <w:bottom w:val="single" w:sz="4" w:space="0" w:color="auto"/>
              <w:right w:val="single" w:sz="4" w:space="0" w:color="auto"/>
            </w:tcBorders>
            <w:vAlign w:val="center"/>
            <w:hideMark/>
          </w:tcPr>
          <w:p w14:paraId="7BF06811" w14:textId="491C6B93" w:rsidR="00775603" w:rsidRPr="00545EC0" w:rsidRDefault="00775603" w:rsidP="0010797F">
            <w:pPr>
              <w:rPr>
                <w:rFonts w:eastAsia="Kozuka Gothic Pro H" w:cs="Arial"/>
                <w:sz w:val="18"/>
                <w:szCs w:val="18"/>
                <w:lang w:eastAsia="ja-JP"/>
              </w:rPr>
            </w:pPr>
            <w:r w:rsidRPr="00545EC0">
              <w:rPr>
                <w:rFonts w:eastAsia="Kozuka Gothic Pro H" w:cs="Arial"/>
                <w:sz w:val="18"/>
                <w:szCs w:val="18"/>
              </w:rPr>
              <w:t>Cerkljansko, Škofjeloško in Polhograjsko</w:t>
            </w:r>
            <w:r w:rsidR="004D3123" w:rsidRPr="00545EC0">
              <w:rPr>
                <w:rFonts w:eastAsia="Kozuka Gothic Pro H" w:cs="Arial"/>
                <w:sz w:val="18"/>
                <w:szCs w:val="18"/>
              </w:rPr>
              <w:t xml:space="preserve"> hribovje</w:t>
            </w:r>
          </w:p>
        </w:tc>
      </w:tr>
      <w:tr w:rsidR="003122F4" w:rsidRPr="00545EC0" w14:paraId="71D419CC" w14:textId="77777777" w:rsidTr="00907CBA">
        <w:trPr>
          <w:trHeight w:val="300"/>
          <w:tblHeader/>
        </w:trPr>
        <w:tc>
          <w:tcPr>
            <w:tcW w:w="1144" w:type="pct"/>
            <w:tcBorders>
              <w:top w:val="single" w:sz="4" w:space="0" w:color="auto"/>
              <w:left w:val="single" w:sz="4" w:space="0" w:color="auto"/>
              <w:bottom w:val="single" w:sz="4" w:space="0" w:color="auto"/>
              <w:right w:val="single" w:sz="4" w:space="0" w:color="auto"/>
            </w:tcBorders>
            <w:vAlign w:val="center"/>
            <w:hideMark/>
          </w:tcPr>
          <w:p w14:paraId="1FE283B7" w14:textId="77777777" w:rsidR="00775603" w:rsidRPr="00545EC0" w:rsidRDefault="00EB1AAD" w:rsidP="00775603">
            <w:pPr>
              <w:jc w:val="center"/>
              <w:rPr>
                <w:rFonts w:eastAsia="Kozuka Gothic Pro H" w:cs="Arial"/>
                <w:sz w:val="18"/>
                <w:szCs w:val="18"/>
                <w:lang w:eastAsia="ja-JP"/>
              </w:rPr>
            </w:pPr>
            <w:r w:rsidRPr="00545EC0">
              <w:rPr>
                <w:rFonts w:eastAsia="Kozuka Gothic Pro H" w:cs="Arial"/>
                <w:sz w:val="18"/>
                <w:szCs w:val="18"/>
              </w:rPr>
              <w:t>VTPodV_</w:t>
            </w:r>
            <w:r w:rsidR="00775603" w:rsidRPr="00545EC0">
              <w:rPr>
                <w:rFonts w:eastAsia="Kozuka Gothic Pro H" w:cs="Arial"/>
                <w:sz w:val="18"/>
                <w:szCs w:val="18"/>
              </w:rPr>
              <w:t>1008</w:t>
            </w:r>
          </w:p>
        </w:tc>
        <w:tc>
          <w:tcPr>
            <w:tcW w:w="3856" w:type="pct"/>
            <w:tcBorders>
              <w:top w:val="single" w:sz="4" w:space="0" w:color="auto"/>
              <w:left w:val="single" w:sz="4" w:space="0" w:color="auto"/>
              <w:bottom w:val="single" w:sz="4" w:space="0" w:color="auto"/>
              <w:right w:val="single" w:sz="4" w:space="0" w:color="auto"/>
            </w:tcBorders>
            <w:vAlign w:val="center"/>
            <w:hideMark/>
          </w:tcPr>
          <w:p w14:paraId="4FE3D0F5" w14:textId="77777777" w:rsidR="00775603" w:rsidRPr="00545EC0" w:rsidRDefault="00775603" w:rsidP="0010797F">
            <w:pPr>
              <w:rPr>
                <w:rFonts w:eastAsia="Kozuka Gothic Pro H" w:cs="Arial"/>
                <w:sz w:val="18"/>
                <w:szCs w:val="18"/>
                <w:lang w:eastAsia="ja-JP"/>
              </w:rPr>
            </w:pPr>
            <w:r w:rsidRPr="00545EC0">
              <w:rPr>
                <w:rFonts w:eastAsia="Kozuka Gothic Pro H" w:cs="Arial"/>
                <w:sz w:val="18"/>
                <w:szCs w:val="18"/>
              </w:rPr>
              <w:t>Posavsko hribovje do osrednje Sotle</w:t>
            </w:r>
          </w:p>
        </w:tc>
      </w:tr>
      <w:tr w:rsidR="003122F4" w:rsidRPr="00545EC0" w14:paraId="44FD2CD5" w14:textId="77777777" w:rsidTr="00907CBA">
        <w:trPr>
          <w:trHeight w:val="300"/>
          <w:tblHeader/>
        </w:trPr>
        <w:tc>
          <w:tcPr>
            <w:tcW w:w="1144" w:type="pct"/>
            <w:tcBorders>
              <w:top w:val="single" w:sz="4" w:space="0" w:color="auto"/>
              <w:left w:val="single" w:sz="4" w:space="0" w:color="auto"/>
              <w:bottom w:val="single" w:sz="4" w:space="0" w:color="auto"/>
              <w:right w:val="single" w:sz="4" w:space="0" w:color="auto"/>
            </w:tcBorders>
            <w:vAlign w:val="center"/>
            <w:hideMark/>
          </w:tcPr>
          <w:p w14:paraId="70EE9C4B" w14:textId="77777777" w:rsidR="00775603" w:rsidRPr="00545EC0" w:rsidRDefault="00EB1AAD" w:rsidP="00775603">
            <w:pPr>
              <w:jc w:val="center"/>
              <w:rPr>
                <w:rFonts w:eastAsia="Kozuka Gothic Pro H" w:cs="Arial"/>
                <w:sz w:val="18"/>
                <w:szCs w:val="18"/>
                <w:lang w:eastAsia="ja-JP"/>
              </w:rPr>
            </w:pPr>
            <w:r w:rsidRPr="00545EC0">
              <w:rPr>
                <w:rFonts w:eastAsia="Kozuka Gothic Pro H" w:cs="Arial"/>
                <w:sz w:val="18"/>
                <w:szCs w:val="18"/>
              </w:rPr>
              <w:t>VTPodV_</w:t>
            </w:r>
            <w:r w:rsidR="00775603" w:rsidRPr="00545EC0">
              <w:rPr>
                <w:rFonts w:eastAsia="Kozuka Gothic Pro H" w:cs="Arial"/>
                <w:sz w:val="18"/>
                <w:szCs w:val="18"/>
              </w:rPr>
              <w:t>1009</w:t>
            </w:r>
          </w:p>
        </w:tc>
        <w:tc>
          <w:tcPr>
            <w:tcW w:w="3856" w:type="pct"/>
            <w:tcBorders>
              <w:top w:val="single" w:sz="4" w:space="0" w:color="auto"/>
              <w:left w:val="single" w:sz="4" w:space="0" w:color="auto"/>
              <w:bottom w:val="single" w:sz="4" w:space="0" w:color="auto"/>
              <w:right w:val="single" w:sz="4" w:space="0" w:color="auto"/>
            </w:tcBorders>
            <w:vAlign w:val="center"/>
            <w:hideMark/>
          </w:tcPr>
          <w:p w14:paraId="0CEEECC0" w14:textId="77777777" w:rsidR="00775603" w:rsidRPr="00545EC0" w:rsidRDefault="00775603" w:rsidP="0010797F">
            <w:pPr>
              <w:rPr>
                <w:rFonts w:eastAsia="Kozuka Gothic Pro H" w:cs="Arial"/>
                <w:sz w:val="18"/>
                <w:szCs w:val="18"/>
                <w:lang w:eastAsia="ja-JP"/>
              </w:rPr>
            </w:pPr>
            <w:r w:rsidRPr="00545EC0">
              <w:rPr>
                <w:rFonts w:eastAsia="Kozuka Gothic Pro H" w:cs="Arial"/>
                <w:sz w:val="18"/>
                <w:szCs w:val="18"/>
              </w:rPr>
              <w:t>Spodnji del Savinje do Sotle</w:t>
            </w:r>
          </w:p>
        </w:tc>
      </w:tr>
      <w:tr w:rsidR="003122F4" w:rsidRPr="00545EC0" w14:paraId="261F7F06" w14:textId="77777777" w:rsidTr="00907CBA">
        <w:trPr>
          <w:trHeight w:val="300"/>
          <w:tblHeader/>
        </w:trPr>
        <w:tc>
          <w:tcPr>
            <w:tcW w:w="1144" w:type="pct"/>
            <w:tcBorders>
              <w:top w:val="single" w:sz="4" w:space="0" w:color="auto"/>
              <w:left w:val="single" w:sz="4" w:space="0" w:color="auto"/>
              <w:bottom w:val="single" w:sz="4" w:space="0" w:color="auto"/>
              <w:right w:val="single" w:sz="4" w:space="0" w:color="auto"/>
            </w:tcBorders>
            <w:vAlign w:val="center"/>
            <w:hideMark/>
          </w:tcPr>
          <w:p w14:paraId="3FADD23A" w14:textId="77777777" w:rsidR="00775603" w:rsidRPr="00545EC0" w:rsidRDefault="00EB1AAD" w:rsidP="00775603">
            <w:pPr>
              <w:jc w:val="center"/>
              <w:rPr>
                <w:rFonts w:eastAsia="Kozuka Gothic Pro H" w:cs="Arial"/>
                <w:sz w:val="18"/>
                <w:szCs w:val="18"/>
                <w:lang w:eastAsia="ja-JP"/>
              </w:rPr>
            </w:pPr>
            <w:r w:rsidRPr="00545EC0">
              <w:rPr>
                <w:rFonts w:eastAsia="Kozuka Gothic Pro H" w:cs="Arial"/>
                <w:sz w:val="18"/>
                <w:szCs w:val="18"/>
              </w:rPr>
              <w:t>VTPodV_</w:t>
            </w:r>
            <w:r w:rsidR="00775603" w:rsidRPr="00545EC0">
              <w:rPr>
                <w:rFonts w:eastAsia="Kozuka Gothic Pro H" w:cs="Arial"/>
                <w:sz w:val="18"/>
                <w:szCs w:val="18"/>
              </w:rPr>
              <w:t>1010</w:t>
            </w:r>
          </w:p>
        </w:tc>
        <w:tc>
          <w:tcPr>
            <w:tcW w:w="3856" w:type="pct"/>
            <w:tcBorders>
              <w:top w:val="single" w:sz="4" w:space="0" w:color="auto"/>
              <w:left w:val="single" w:sz="4" w:space="0" w:color="auto"/>
              <w:bottom w:val="single" w:sz="4" w:space="0" w:color="auto"/>
              <w:right w:val="single" w:sz="4" w:space="0" w:color="auto"/>
            </w:tcBorders>
            <w:vAlign w:val="center"/>
            <w:hideMark/>
          </w:tcPr>
          <w:p w14:paraId="0A66D5AA" w14:textId="77777777" w:rsidR="00775603" w:rsidRPr="00545EC0" w:rsidRDefault="00775603" w:rsidP="0010797F">
            <w:pPr>
              <w:rPr>
                <w:rFonts w:eastAsia="Kozuka Gothic Pro H" w:cs="Arial"/>
                <w:sz w:val="18"/>
                <w:szCs w:val="18"/>
                <w:lang w:eastAsia="ja-JP"/>
              </w:rPr>
            </w:pPr>
            <w:r w:rsidRPr="00545EC0">
              <w:rPr>
                <w:rFonts w:eastAsia="Kozuka Gothic Pro H" w:cs="Arial"/>
                <w:sz w:val="18"/>
                <w:szCs w:val="18"/>
              </w:rPr>
              <w:t>Kraška Ljubljanica</w:t>
            </w:r>
          </w:p>
        </w:tc>
      </w:tr>
      <w:tr w:rsidR="003122F4" w:rsidRPr="00545EC0" w14:paraId="29DA499D" w14:textId="77777777" w:rsidTr="00907CBA">
        <w:trPr>
          <w:trHeight w:val="300"/>
          <w:tblHeader/>
        </w:trPr>
        <w:tc>
          <w:tcPr>
            <w:tcW w:w="1144" w:type="pct"/>
            <w:tcBorders>
              <w:top w:val="single" w:sz="4" w:space="0" w:color="auto"/>
              <w:left w:val="single" w:sz="4" w:space="0" w:color="auto"/>
              <w:bottom w:val="single" w:sz="4" w:space="0" w:color="auto"/>
              <w:right w:val="single" w:sz="4" w:space="0" w:color="auto"/>
            </w:tcBorders>
            <w:vAlign w:val="center"/>
            <w:hideMark/>
          </w:tcPr>
          <w:p w14:paraId="2158DFB9" w14:textId="77777777" w:rsidR="00775603" w:rsidRPr="00545EC0" w:rsidRDefault="00EB1AAD" w:rsidP="00775603">
            <w:pPr>
              <w:jc w:val="center"/>
              <w:rPr>
                <w:rFonts w:eastAsia="Kozuka Gothic Pro H" w:cs="Arial"/>
                <w:sz w:val="18"/>
                <w:szCs w:val="18"/>
                <w:lang w:eastAsia="ja-JP"/>
              </w:rPr>
            </w:pPr>
            <w:r w:rsidRPr="00545EC0">
              <w:rPr>
                <w:rFonts w:eastAsia="Kozuka Gothic Pro H" w:cs="Arial"/>
                <w:sz w:val="18"/>
                <w:szCs w:val="18"/>
              </w:rPr>
              <w:t>VTPodV_</w:t>
            </w:r>
            <w:r w:rsidR="00775603" w:rsidRPr="00545EC0">
              <w:rPr>
                <w:rFonts w:eastAsia="Kozuka Gothic Pro H" w:cs="Arial"/>
                <w:sz w:val="18"/>
                <w:szCs w:val="18"/>
              </w:rPr>
              <w:t>1011</w:t>
            </w:r>
          </w:p>
        </w:tc>
        <w:tc>
          <w:tcPr>
            <w:tcW w:w="3856" w:type="pct"/>
            <w:tcBorders>
              <w:top w:val="single" w:sz="4" w:space="0" w:color="auto"/>
              <w:left w:val="single" w:sz="4" w:space="0" w:color="auto"/>
              <w:bottom w:val="single" w:sz="4" w:space="0" w:color="auto"/>
              <w:right w:val="single" w:sz="4" w:space="0" w:color="auto"/>
            </w:tcBorders>
            <w:vAlign w:val="center"/>
            <w:hideMark/>
          </w:tcPr>
          <w:p w14:paraId="698B8E2D" w14:textId="77777777" w:rsidR="00775603" w:rsidRPr="00545EC0" w:rsidRDefault="00775603" w:rsidP="0010797F">
            <w:pPr>
              <w:rPr>
                <w:rFonts w:eastAsia="Kozuka Gothic Pro H" w:cs="Arial"/>
                <w:sz w:val="18"/>
                <w:szCs w:val="18"/>
                <w:lang w:eastAsia="ja-JP"/>
              </w:rPr>
            </w:pPr>
            <w:r w:rsidRPr="00545EC0">
              <w:rPr>
                <w:rFonts w:eastAsia="Kozuka Gothic Pro H" w:cs="Arial"/>
                <w:sz w:val="18"/>
                <w:szCs w:val="18"/>
              </w:rPr>
              <w:t>Dolenjski kras</w:t>
            </w:r>
          </w:p>
        </w:tc>
      </w:tr>
      <w:tr w:rsidR="003122F4" w:rsidRPr="00545EC0" w14:paraId="24304CC1" w14:textId="77777777" w:rsidTr="00907CBA">
        <w:trPr>
          <w:trHeight w:val="300"/>
          <w:tblHeader/>
        </w:trPr>
        <w:tc>
          <w:tcPr>
            <w:tcW w:w="1144" w:type="pct"/>
            <w:tcBorders>
              <w:top w:val="single" w:sz="4" w:space="0" w:color="auto"/>
              <w:left w:val="single" w:sz="4" w:space="0" w:color="auto"/>
              <w:bottom w:val="single" w:sz="4" w:space="0" w:color="auto"/>
              <w:right w:val="single" w:sz="4" w:space="0" w:color="auto"/>
            </w:tcBorders>
            <w:vAlign w:val="center"/>
            <w:hideMark/>
          </w:tcPr>
          <w:p w14:paraId="3646C9C7" w14:textId="77777777" w:rsidR="00775603" w:rsidRPr="00545EC0" w:rsidRDefault="00EB1AAD" w:rsidP="00775603">
            <w:pPr>
              <w:jc w:val="center"/>
              <w:rPr>
                <w:rFonts w:eastAsia="Kozuka Gothic Pro H" w:cs="Arial"/>
                <w:sz w:val="18"/>
                <w:szCs w:val="18"/>
                <w:lang w:eastAsia="ja-JP"/>
              </w:rPr>
            </w:pPr>
            <w:r w:rsidRPr="00545EC0">
              <w:rPr>
                <w:rFonts w:eastAsia="Kozuka Gothic Pro H" w:cs="Arial"/>
                <w:sz w:val="18"/>
                <w:szCs w:val="18"/>
              </w:rPr>
              <w:t>VTPodV_</w:t>
            </w:r>
            <w:r w:rsidR="00775603" w:rsidRPr="00545EC0">
              <w:rPr>
                <w:rFonts w:eastAsia="Kozuka Gothic Pro H" w:cs="Arial"/>
                <w:sz w:val="18"/>
                <w:szCs w:val="18"/>
              </w:rPr>
              <w:t>3012</w:t>
            </w:r>
          </w:p>
        </w:tc>
        <w:tc>
          <w:tcPr>
            <w:tcW w:w="3856" w:type="pct"/>
            <w:tcBorders>
              <w:top w:val="single" w:sz="4" w:space="0" w:color="auto"/>
              <w:left w:val="single" w:sz="4" w:space="0" w:color="auto"/>
              <w:bottom w:val="single" w:sz="4" w:space="0" w:color="auto"/>
              <w:right w:val="single" w:sz="4" w:space="0" w:color="auto"/>
            </w:tcBorders>
            <w:vAlign w:val="center"/>
            <w:hideMark/>
          </w:tcPr>
          <w:p w14:paraId="54B7A48B" w14:textId="77777777" w:rsidR="00775603" w:rsidRPr="00545EC0" w:rsidRDefault="00775603" w:rsidP="0010797F">
            <w:pPr>
              <w:rPr>
                <w:rFonts w:eastAsia="Kozuka Gothic Pro H" w:cs="Arial"/>
                <w:sz w:val="18"/>
                <w:szCs w:val="18"/>
                <w:lang w:eastAsia="ja-JP"/>
              </w:rPr>
            </w:pPr>
            <w:r w:rsidRPr="00545EC0">
              <w:rPr>
                <w:rFonts w:eastAsia="Kozuka Gothic Pro H" w:cs="Arial"/>
                <w:sz w:val="18"/>
                <w:szCs w:val="18"/>
              </w:rPr>
              <w:t>Dravska kotlina</w:t>
            </w:r>
          </w:p>
        </w:tc>
      </w:tr>
      <w:tr w:rsidR="003122F4" w:rsidRPr="00545EC0" w14:paraId="3E434377" w14:textId="77777777" w:rsidTr="00907CBA">
        <w:trPr>
          <w:trHeight w:val="300"/>
          <w:tblHeader/>
        </w:trPr>
        <w:tc>
          <w:tcPr>
            <w:tcW w:w="1144" w:type="pct"/>
            <w:tcBorders>
              <w:top w:val="single" w:sz="4" w:space="0" w:color="auto"/>
              <w:left w:val="single" w:sz="4" w:space="0" w:color="auto"/>
              <w:bottom w:val="single" w:sz="4" w:space="0" w:color="auto"/>
              <w:right w:val="single" w:sz="4" w:space="0" w:color="auto"/>
            </w:tcBorders>
            <w:vAlign w:val="center"/>
            <w:hideMark/>
          </w:tcPr>
          <w:p w14:paraId="6BFD3CEF" w14:textId="77777777" w:rsidR="00775603" w:rsidRPr="00545EC0" w:rsidRDefault="00EB1AAD" w:rsidP="00775603">
            <w:pPr>
              <w:jc w:val="center"/>
              <w:rPr>
                <w:rFonts w:eastAsia="Kozuka Gothic Pro H" w:cs="Arial"/>
                <w:sz w:val="18"/>
                <w:szCs w:val="18"/>
                <w:lang w:eastAsia="ja-JP"/>
              </w:rPr>
            </w:pPr>
            <w:r w:rsidRPr="00545EC0">
              <w:rPr>
                <w:rFonts w:eastAsia="Kozuka Gothic Pro H" w:cs="Arial"/>
                <w:sz w:val="18"/>
                <w:szCs w:val="18"/>
              </w:rPr>
              <w:t>VTPodV_</w:t>
            </w:r>
            <w:r w:rsidR="00775603" w:rsidRPr="00545EC0">
              <w:rPr>
                <w:rFonts w:eastAsia="Kozuka Gothic Pro H" w:cs="Arial"/>
                <w:sz w:val="18"/>
                <w:szCs w:val="18"/>
              </w:rPr>
              <w:t>3013</w:t>
            </w:r>
          </w:p>
        </w:tc>
        <w:tc>
          <w:tcPr>
            <w:tcW w:w="3856" w:type="pct"/>
            <w:tcBorders>
              <w:top w:val="single" w:sz="4" w:space="0" w:color="auto"/>
              <w:left w:val="single" w:sz="4" w:space="0" w:color="auto"/>
              <w:bottom w:val="single" w:sz="4" w:space="0" w:color="auto"/>
              <w:right w:val="single" w:sz="4" w:space="0" w:color="auto"/>
            </w:tcBorders>
            <w:vAlign w:val="center"/>
            <w:hideMark/>
          </w:tcPr>
          <w:p w14:paraId="6D179F32" w14:textId="77777777" w:rsidR="00775603" w:rsidRPr="00545EC0" w:rsidRDefault="00775603" w:rsidP="0010797F">
            <w:pPr>
              <w:rPr>
                <w:rFonts w:eastAsia="Kozuka Gothic Pro H" w:cs="Arial"/>
                <w:sz w:val="18"/>
                <w:szCs w:val="18"/>
                <w:lang w:eastAsia="ja-JP"/>
              </w:rPr>
            </w:pPr>
            <w:r w:rsidRPr="00545EC0">
              <w:rPr>
                <w:rFonts w:eastAsia="Kozuka Gothic Pro H" w:cs="Arial"/>
                <w:sz w:val="18"/>
                <w:szCs w:val="18"/>
              </w:rPr>
              <w:t>Vzhodne Alpe</w:t>
            </w:r>
          </w:p>
        </w:tc>
      </w:tr>
      <w:tr w:rsidR="003122F4" w:rsidRPr="00545EC0" w14:paraId="2BA82201" w14:textId="77777777" w:rsidTr="00907CBA">
        <w:trPr>
          <w:trHeight w:val="300"/>
          <w:tblHeader/>
        </w:trPr>
        <w:tc>
          <w:tcPr>
            <w:tcW w:w="1144" w:type="pct"/>
            <w:tcBorders>
              <w:top w:val="single" w:sz="4" w:space="0" w:color="auto"/>
              <w:left w:val="single" w:sz="4" w:space="0" w:color="auto"/>
              <w:bottom w:val="single" w:sz="4" w:space="0" w:color="auto"/>
              <w:right w:val="single" w:sz="4" w:space="0" w:color="auto"/>
            </w:tcBorders>
            <w:vAlign w:val="center"/>
            <w:hideMark/>
          </w:tcPr>
          <w:p w14:paraId="35800146" w14:textId="77777777" w:rsidR="00775603" w:rsidRPr="00545EC0" w:rsidRDefault="00EB1AAD" w:rsidP="00775603">
            <w:pPr>
              <w:jc w:val="center"/>
              <w:rPr>
                <w:rFonts w:eastAsia="Kozuka Gothic Pro H" w:cs="Arial"/>
                <w:sz w:val="18"/>
                <w:szCs w:val="18"/>
                <w:lang w:eastAsia="ja-JP"/>
              </w:rPr>
            </w:pPr>
            <w:r w:rsidRPr="00545EC0">
              <w:rPr>
                <w:rFonts w:eastAsia="Kozuka Gothic Pro H" w:cs="Arial"/>
                <w:sz w:val="18"/>
                <w:szCs w:val="18"/>
              </w:rPr>
              <w:t>VTPodV_</w:t>
            </w:r>
            <w:r w:rsidR="00775603" w:rsidRPr="00545EC0">
              <w:rPr>
                <w:rFonts w:eastAsia="Kozuka Gothic Pro H" w:cs="Arial"/>
                <w:sz w:val="18"/>
                <w:szCs w:val="18"/>
              </w:rPr>
              <w:t>3014</w:t>
            </w:r>
          </w:p>
        </w:tc>
        <w:tc>
          <w:tcPr>
            <w:tcW w:w="3856" w:type="pct"/>
            <w:tcBorders>
              <w:top w:val="single" w:sz="4" w:space="0" w:color="auto"/>
              <w:left w:val="single" w:sz="4" w:space="0" w:color="auto"/>
              <w:bottom w:val="single" w:sz="4" w:space="0" w:color="auto"/>
              <w:right w:val="single" w:sz="4" w:space="0" w:color="auto"/>
            </w:tcBorders>
            <w:vAlign w:val="center"/>
            <w:hideMark/>
          </w:tcPr>
          <w:p w14:paraId="0ABDBA7E" w14:textId="77777777" w:rsidR="00775603" w:rsidRPr="00545EC0" w:rsidRDefault="00775603" w:rsidP="0010797F">
            <w:pPr>
              <w:rPr>
                <w:rFonts w:eastAsia="Kozuka Gothic Pro H" w:cs="Arial"/>
                <w:sz w:val="18"/>
                <w:szCs w:val="18"/>
                <w:lang w:eastAsia="ja-JP"/>
              </w:rPr>
            </w:pPr>
            <w:r w:rsidRPr="00545EC0">
              <w:rPr>
                <w:rFonts w:eastAsia="Kozuka Gothic Pro H" w:cs="Arial"/>
                <w:sz w:val="18"/>
                <w:szCs w:val="18"/>
              </w:rPr>
              <w:t>Haloze in Dravinjske gorice</w:t>
            </w:r>
          </w:p>
        </w:tc>
      </w:tr>
      <w:tr w:rsidR="003122F4" w:rsidRPr="00545EC0" w14:paraId="020211BC" w14:textId="77777777" w:rsidTr="00907CBA">
        <w:trPr>
          <w:trHeight w:val="300"/>
          <w:tblHeader/>
        </w:trPr>
        <w:tc>
          <w:tcPr>
            <w:tcW w:w="1144" w:type="pct"/>
            <w:tcBorders>
              <w:top w:val="single" w:sz="4" w:space="0" w:color="auto"/>
              <w:left w:val="single" w:sz="4" w:space="0" w:color="auto"/>
              <w:bottom w:val="single" w:sz="4" w:space="0" w:color="auto"/>
              <w:right w:val="single" w:sz="4" w:space="0" w:color="auto"/>
            </w:tcBorders>
            <w:vAlign w:val="center"/>
            <w:hideMark/>
          </w:tcPr>
          <w:p w14:paraId="6C2D5CF9" w14:textId="77777777" w:rsidR="00775603" w:rsidRPr="00545EC0" w:rsidRDefault="00EB1AAD" w:rsidP="00775603">
            <w:pPr>
              <w:jc w:val="center"/>
              <w:rPr>
                <w:rFonts w:eastAsia="Kozuka Gothic Pro H" w:cs="Arial"/>
                <w:sz w:val="18"/>
                <w:szCs w:val="18"/>
                <w:lang w:eastAsia="ja-JP"/>
              </w:rPr>
            </w:pPr>
            <w:r w:rsidRPr="00545EC0">
              <w:rPr>
                <w:rFonts w:eastAsia="Kozuka Gothic Pro H" w:cs="Arial"/>
                <w:sz w:val="18"/>
                <w:szCs w:val="18"/>
              </w:rPr>
              <w:t>VTPodV_</w:t>
            </w:r>
            <w:r w:rsidR="00775603" w:rsidRPr="00545EC0">
              <w:rPr>
                <w:rFonts w:eastAsia="Kozuka Gothic Pro H" w:cs="Arial"/>
                <w:sz w:val="18"/>
                <w:szCs w:val="18"/>
              </w:rPr>
              <w:t>3015</w:t>
            </w:r>
          </w:p>
        </w:tc>
        <w:tc>
          <w:tcPr>
            <w:tcW w:w="3856" w:type="pct"/>
            <w:tcBorders>
              <w:top w:val="single" w:sz="4" w:space="0" w:color="auto"/>
              <w:left w:val="single" w:sz="4" w:space="0" w:color="auto"/>
              <w:bottom w:val="single" w:sz="4" w:space="0" w:color="auto"/>
              <w:right w:val="single" w:sz="4" w:space="0" w:color="auto"/>
            </w:tcBorders>
            <w:vAlign w:val="center"/>
            <w:hideMark/>
          </w:tcPr>
          <w:p w14:paraId="2354A9C8" w14:textId="77777777" w:rsidR="00775603" w:rsidRPr="00545EC0" w:rsidRDefault="00775603" w:rsidP="0010797F">
            <w:pPr>
              <w:rPr>
                <w:rFonts w:eastAsia="Kozuka Gothic Pro H" w:cs="Arial"/>
                <w:sz w:val="18"/>
                <w:szCs w:val="18"/>
                <w:lang w:eastAsia="ja-JP"/>
              </w:rPr>
            </w:pPr>
            <w:r w:rsidRPr="00545EC0">
              <w:rPr>
                <w:rFonts w:eastAsia="Kozuka Gothic Pro H" w:cs="Arial"/>
                <w:sz w:val="18"/>
                <w:szCs w:val="18"/>
              </w:rPr>
              <w:t>Zahodne Slovenske gorice</w:t>
            </w:r>
          </w:p>
        </w:tc>
      </w:tr>
      <w:tr w:rsidR="003122F4" w:rsidRPr="00545EC0" w14:paraId="4F02B9E4" w14:textId="77777777" w:rsidTr="00907CBA">
        <w:trPr>
          <w:trHeight w:val="300"/>
          <w:tblHeader/>
        </w:trPr>
        <w:tc>
          <w:tcPr>
            <w:tcW w:w="1144" w:type="pct"/>
            <w:tcBorders>
              <w:top w:val="single" w:sz="4" w:space="0" w:color="auto"/>
              <w:left w:val="single" w:sz="4" w:space="0" w:color="auto"/>
              <w:bottom w:val="single" w:sz="4" w:space="0" w:color="auto"/>
              <w:right w:val="single" w:sz="4" w:space="0" w:color="auto"/>
            </w:tcBorders>
            <w:vAlign w:val="center"/>
            <w:hideMark/>
          </w:tcPr>
          <w:p w14:paraId="246F15FE" w14:textId="77777777" w:rsidR="00775603" w:rsidRPr="00545EC0" w:rsidRDefault="00EB1AAD" w:rsidP="00775603">
            <w:pPr>
              <w:jc w:val="center"/>
              <w:rPr>
                <w:rFonts w:eastAsia="Kozuka Gothic Pro H" w:cs="Arial"/>
                <w:sz w:val="18"/>
                <w:szCs w:val="18"/>
                <w:lang w:eastAsia="ja-JP"/>
              </w:rPr>
            </w:pPr>
            <w:r w:rsidRPr="00545EC0">
              <w:rPr>
                <w:rFonts w:eastAsia="Kozuka Gothic Pro H" w:cs="Arial"/>
                <w:sz w:val="18"/>
                <w:szCs w:val="18"/>
              </w:rPr>
              <w:t>VTPodV_</w:t>
            </w:r>
            <w:r w:rsidR="00775603" w:rsidRPr="00545EC0">
              <w:rPr>
                <w:rFonts w:eastAsia="Kozuka Gothic Pro H" w:cs="Arial"/>
                <w:sz w:val="18"/>
                <w:szCs w:val="18"/>
              </w:rPr>
              <w:t>4016</w:t>
            </w:r>
          </w:p>
        </w:tc>
        <w:tc>
          <w:tcPr>
            <w:tcW w:w="3856" w:type="pct"/>
            <w:tcBorders>
              <w:top w:val="single" w:sz="4" w:space="0" w:color="auto"/>
              <w:left w:val="single" w:sz="4" w:space="0" w:color="auto"/>
              <w:bottom w:val="single" w:sz="4" w:space="0" w:color="auto"/>
              <w:right w:val="single" w:sz="4" w:space="0" w:color="auto"/>
            </w:tcBorders>
            <w:vAlign w:val="center"/>
            <w:hideMark/>
          </w:tcPr>
          <w:p w14:paraId="54AB69B2" w14:textId="77777777" w:rsidR="00775603" w:rsidRPr="00545EC0" w:rsidRDefault="00775603" w:rsidP="0010797F">
            <w:pPr>
              <w:rPr>
                <w:rFonts w:eastAsia="Kozuka Gothic Pro H" w:cs="Arial"/>
                <w:sz w:val="18"/>
                <w:szCs w:val="18"/>
                <w:lang w:eastAsia="ja-JP"/>
              </w:rPr>
            </w:pPr>
            <w:r w:rsidRPr="00545EC0">
              <w:rPr>
                <w:rFonts w:eastAsia="Kozuka Gothic Pro H" w:cs="Arial"/>
                <w:sz w:val="18"/>
                <w:szCs w:val="18"/>
              </w:rPr>
              <w:t>Murska kotlina</w:t>
            </w:r>
          </w:p>
        </w:tc>
      </w:tr>
      <w:tr w:rsidR="003122F4" w:rsidRPr="00545EC0" w14:paraId="57C6840D" w14:textId="77777777" w:rsidTr="00907CBA">
        <w:trPr>
          <w:trHeight w:val="300"/>
          <w:tblHeader/>
        </w:trPr>
        <w:tc>
          <w:tcPr>
            <w:tcW w:w="1144" w:type="pct"/>
            <w:tcBorders>
              <w:top w:val="single" w:sz="4" w:space="0" w:color="auto"/>
              <w:left w:val="single" w:sz="4" w:space="0" w:color="auto"/>
              <w:bottom w:val="single" w:sz="4" w:space="0" w:color="auto"/>
              <w:right w:val="single" w:sz="4" w:space="0" w:color="auto"/>
            </w:tcBorders>
            <w:vAlign w:val="center"/>
            <w:hideMark/>
          </w:tcPr>
          <w:p w14:paraId="36A22CB5" w14:textId="77777777" w:rsidR="00775603" w:rsidRPr="00545EC0" w:rsidRDefault="00EB1AAD" w:rsidP="00775603">
            <w:pPr>
              <w:jc w:val="center"/>
              <w:rPr>
                <w:rFonts w:eastAsia="Kozuka Gothic Pro H" w:cs="Arial"/>
                <w:sz w:val="18"/>
                <w:szCs w:val="18"/>
                <w:lang w:eastAsia="ja-JP"/>
              </w:rPr>
            </w:pPr>
            <w:r w:rsidRPr="00545EC0">
              <w:rPr>
                <w:rFonts w:eastAsia="Kozuka Gothic Pro H" w:cs="Arial"/>
                <w:sz w:val="18"/>
                <w:szCs w:val="18"/>
              </w:rPr>
              <w:t>VTPodV_</w:t>
            </w:r>
            <w:r w:rsidR="00775603" w:rsidRPr="00545EC0">
              <w:rPr>
                <w:rFonts w:eastAsia="Kozuka Gothic Pro H" w:cs="Arial"/>
                <w:sz w:val="18"/>
                <w:szCs w:val="18"/>
              </w:rPr>
              <w:t>4017</w:t>
            </w:r>
          </w:p>
        </w:tc>
        <w:tc>
          <w:tcPr>
            <w:tcW w:w="3856" w:type="pct"/>
            <w:tcBorders>
              <w:top w:val="single" w:sz="4" w:space="0" w:color="auto"/>
              <w:left w:val="single" w:sz="4" w:space="0" w:color="auto"/>
              <w:bottom w:val="single" w:sz="4" w:space="0" w:color="auto"/>
              <w:right w:val="single" w:sz="4" w:space="0" w:color="auto"/>
            </w:tcBorders>
            <w:vAlign w:val="center"/>
            <w:hideMark/>
          </w:tcPr>
          <w:p w14:paraId="0699DD2C" w14:textId="77777777" w:rsidR="00775603" w:rsidRPr="00545EC0" w:rsidRDefault="00775603" w:rsidP="0010797F">
            <w:pPr>
              <w:rPr>
                <w:rFonts w:eastAsia="Kozuka Gothic Pro H" w:cs="Arial"/>
                <w:sz w:val="18"/>
                <w:szCs w:val="18"/>
                <w:lang w:eastAsia="ja-JP"/>
              </w:rPr>
            </w:pPr>
            <w:r w:rsidRPr="00545EC0">
              <w:rPr>
                <w:rFonts w:eastAsia="Kozuka Gothic Pro H" w:cs="Arial"/>
                <w:sz w:val="18"/>
                <w:szCs w:val="18"/>
              </w:rPr>
              <w:t>Vzhodne Slovenske gorice</w:t>
            </w:r>
          </w:p>
        </w:tc>
      </w:tr>
      <w:tr w:rsidR="003122F4" w:rsidRPr="00545EC0" w14:paraId="4403B5A6" w14:textId="77777777" w:rsidTr="00907CBA">
        <w:trPr>
          <w:trHeight w:val="300"/>
          <w:tblHeader/>
        </w:trPr>
        <w:tc>
          <w:tcPr>
            <w:tcW w:w="1144" w:type="pct"/>
            <w:tcBorders>
              <w:top w:val="single" w:sz="4" w:space="0" w:color="auto"/>
              <w:left w:val="single" w:sz="4" w:space="0" w:color="auto"/>
              <w:bottom w:val="single" w:sz="4" w:space="0" w:color="auto"/>
              <w:right w:val="single" w:sz="4" w:space="0" w:color="auto"/>
            </w:tcBorders>
            <w:vAlign w:val="center"/>
            <w:hideMark/>
          </w:tcPr>
          <w:p w14:paraId="75C4C0DC" w14:textId="77777777" w:rsidR="00775603" w:rsidRPr="00545EC0" w:rsidRDefault="00EB1AAD" w:rsidP="00775603">
            <w:pPr>
              <w:jc w:val="center"/>
              <w:rPr>
                <w:rFonts w:eastAsia="Kozuka Gothic Pro H" w:cs="Arial"/>
                <w:sz w:val="18"/>
                <w:szCs w:val="18"/>
                <w:lang w:eastAsia="ja-JP"/>
              </w:rPr>
            </w:pPr>
            <w:r w:rsidRPr="00545EC0">
              <w:rPr>
                <w:rFonts w:eastAsia="Kozuka Gothic Pro H" w:cs="Arial"/>
                <w:sz w:val="18"/>
                <w:szCs w:val="18"/>
              </w:rPr>
              <w:t>VTPodV_</w:t>
            </w:r>
            <w:r w:rsidR="00775603" w:rsidRPr="00545EC0">
              <w:rPr>
                <w:rFonts w:eastAsia="Kozuka Gothic Pro H" w:cs="Arial"/>
                <w:sz w:val="18"/>
                <w:szCs w:val="18"/>
              </w:rPr>
              <w:t>4018</w:t>
            </w:r>
          </w:p>
        </w:tc>
        <w:tc>
          <w:tcPr>
            <w:tcW w:w="3856" w:type="pct"/>
            <w:tcBorders>
              <w:top w:val="single" w:sz="4" w:space="0" w:color="auto"/>
              <w:left w:val="single" w:sz="4" w:space="0" w:color="auto"/>
              <w:bottom w:val="single" w:sz="4" w:space="0" w:color="auto"/>
              <w:right w:val="single" w:sz="4" w:space="0" w:color="auto"/>
            </w:tcBorders>
            <w:vAlign w:val="center"/>
            <w:hideMark/>
          </w:tcPr>
          <w:p w14:paraId="1827A578" w14:textId="77777777" w:rsidR="00775603" w:rsidRPr="00545EC0" w:rsidRDefault="00775603" w:rsidP="0010797F">
            <w:pPr>
              <w:rPr>
                <w:rFonts w:eastAsia="Kozuka Gothic Pro H" w:cs="Arial"/>
                <w:sz w:val="18"/>
                <w:szCs w:val="18"/>
                <w:lang w:eastAsia="ja-JP"/>
              </w:rPr>
            </w:pPr>
            <w:r w:rsidRPr="00545EC0">
              <w:rPr>
                <w:rFonts w:eastAsia="Kozuka Gothic Pro H" w:cs="Arial"/>
                <w:sz w:val="18"/>
                <w:szCs w:val="18"/>
              </w:rPr>
              <w:t>Gori</w:t>
            </w:r>
            <w:r w:rsidRPr="00545EC0">
              <w:rPr>
                <w:rFonts w:eastAsia="MS Gothic" w:cs="Arial"/>
                <w:sz w:val="18"/>
                <w:szCs w:val="18"/>
              </w:rPr>
              <w:t>č</w:t>
            </w:r>
            <w:r w:rsidRPr="00545EC0">
              <w:rPr>
                <w:rFonts w:eastAsia="Kozuka Gothic Pro H" w:cs="Arial"/>
                <w:sz w:val="18"/>
                <w:szCs w:val="18"/>
              </w:rPr>
              <w:t>ko</w:t>
            </w:r>
          </w:p>
        </w:tc>
      </w:tr>
    </w:tbl>
    <w:p w14:paraId="5D5C7EF7" w14:textId="77777777" w:rsidR="00342A40" w:rsidRPr="00545EC0" w:rsidRDefault="00342A40" w:rsidP="00424902">
      <w:pPr>
        <w:pStyle w:val="podnaslov0"/>
      </w:pPr>
      <w:r w:rsidRPr="00545EC0">
        <w:t xml:space="preserve">Uporabljena merila za določitev </w:t>
      </w:r>
      <w:r w:rsidR="00424902" w:rsidRPr="00545EC0">
        <w:t>v</w:t>
      </w:r>
      <w:r w:rsidRPr="00545EC0">
        <w:t>odnih teles podzemne vode</w:t>
      </w:r>
    </w:p>
    <w:p w14:paraId="407FA585" w14:textId="77777777" w:rsidR="00342A40" w:rsidRPr="00545EC0" w:rsidRDefault="00342A40" w:rsidP="00107628">
      <w:r w:rsidRPr="00545EC0">
        <w:t xml:space="preserve">Merila za razmejitev vodnih teles podzemne vode so </w:t>
      </w:r>
      <w:r w:rsidR="001B7685" w:rsidRPr="00545EC0">
        <w:t xml:space="preserve">urejena </w:t>
      </w:r>
      <w:r w:rsidRPr="00545EC0">
        <w:t xml:space="preserve">s </w:t>
      </w:r>
      <w:r w:rsidR="001B7685" w:rsidRPr="00545EC0">
        <w:t>predpisom, ki določa metodologijo za določanje vodnih teles podzemnih voda</w:t>
      </w:r>
      <w:r w:rsidRPr="00545EC0">
        <w:t xml:space="preserve">. </w:t>
      </w:r>
    </w:p>
    <w:p w14:paraId="7BFDA658" w14:textId="77777777" w:rsidR="00342A40" w:rsidRPr="00545EC0" w:rsidRDefault="00342A40" w:rsidP="00107628"/>
    <w:p w14:paraId="4CE385AA" w14:textId="1D732AE8" w:rsidR="00342A40" w:rsidRPr="00545EC0" w:rsidRDefault="00342A40" w:rsidP="00107628">
      <w:r w:rsidRPr="00545EC0">
        <w:t>Vodno telo podzemne vode je razločen volumen podzemne vode v vodonosniku ali vodonosnikih. Vodonosnik pa je kamninski sloj ali sloji ali druge geološke plasti pod zemeljsko površino, ki so dovolj porozne ali prepustne, da omogočajo pomemben tok podzemne vode ali odvzem pomembnih količin podzemne vode.</w:t>
      </w:r>
      <w:r w:rsidR="00B54561" w:rsidRPr="00545EC0">
        <w:t xml:space="preserve"> </w:t>
      </w:r>
      <w:r w:rsidRPr="00545EC0">
        <w:t xml:space="preserve">Osnovni tipi vodonosnikov so </w:t>
      </w:r>
      <w:r w:rsidR="00FD07E1" w:rsidRPr="00545EC0">
        <w:t xml:space="preserve">določeni </w:t>
      </w:r>
      <w:r w:rsidRPr="00545EC0">
        <w:t>v skladu z metodologijo po priporočilih IAH:</w:t>
      </w:r>
    </w:p>
    <w:p w14:paraId="4F8BA2CC" w14:textId="77777777" w:rsidR="00342A40" w:rsidRPr="00545EC0" w:rsidRDefault="00342A40" w:rsidP="00DD37C5">
      <w:pPr>
        <w:numPr>
          <w:ilvl w:val="0"/>
          <w:numId w:val="51"/>
        </w:numPr>
        <w:ind w:left="567" w:hanging="425"/>
        <w:rPr>
          <w:szCs w:val="20"/>
        </w:rPr>
      </w:pPr>
      <w:r w:rsidRPr="00545EC0">
        <w:rPr>
          <w:szCs w:val="20"/>
        </w:rPr>
        <w:t>vodonosniki z medzrnsko poroznostjo (prevladujejo nevezani aluvialni sedimenti),</w:t>
      </w:r>
    </w:p>
    <w:p w14:paraId="3AF1565C" w14:textId="77777777" w:rsidR="00342A40" w:rsidRPr="00545EC0" w:rsidRDefault="00342A40" w:rsidP="00DD37C5">
      <w:pPr>
        <w:numPr>
          <w:ilvl w:val="0"/>
          <w:numId w:val="51"/>
        </w:numPr>
        <w:ind w:left="567" w:hanging="425"/>
        <w:rPr>
          <w:szCs w:val="20"/>
        </w:rPr>
      </w:pPr>
      <w:r w:rsidRPr="00545EC0">
        <w:rPr>
          <w:szCs w:val="20"/>
        </w:rPr>
        <w:t>vodonosniki z razpoklinsko ter kraško poroznostjo (prevladujejo apnenčaste, dolomitne kamnine, peščenjaki in laporji), in</w:t>
      </w:r>
    </w:p>
    <w:p w14:paraId="578AD0A0" w14:textId="77777777" w:rsidR="00342A40" w:rsidRPr="00545EC0" w:rsidRDefault="00342A40" w:rsidP="00DD37C5">
      <w:pPr>
        <w:numPr>
          <w:ilvl w:val="0"/>
          <w:numId w:val="51"/>
        </w:numPr>
        <w:ind w:left="567" w:hanging="425"/>
        <w:rPr>
          <w:szCs w:val="20"/>
        </w:rPr>
      </w:pPr>
      <w:r w:rsidRPr="00545EC0">
        <w:rPr>
          <w:szCs w:val="20"/>
        </w:rPr>
        <w:t>manjši vodonosniki medzrnske ali razpoklinske poroznosti in geološke plasti brez pomembnih virov podzemne vode.</w:t>
      </w:r>
    </w:p>
    <w:p w14:paraId="037275BA" w14:textId="77777777" w:rsidR="00342A40" w:rsidRPr="00545EC0" w:rsidRDefault="00342A40" w:rsidP="0010797F">
      <w:pPr>
        <w:pStyle w:val="Odstavekseznama"/>
        <w:ind w:left="993" w:hanging="283"/>
        <w:rPr>
          <w:rFonts w:cs="Arial"/>
          <w:lang w:val="sl-SI"/>
        </w:rPr>
      </w:pPr>
    </w:p>
    <w:p w14:paraId="591B0DC0" w14:textId="5A5EE728" w:rsidR="00342A40" w:rsidRPr="00545EC0" w:rsidRDefault="00342A40" w:rsidP="0010797F">
      <w:pPr>
        <w:rPr>
          <w:rFonts w:cs="Arial"/>
        </w:rPr>
      </w:pPr>
      <w:r w:rsidRPr="00545EC0">
        <w:rPr>
          <w:rFonts w:cs="Arial"/>
        </w:rPr>
        <w:t xml:space="preserve">Vodonosniki se združujejo v vodonosne sisteme. </w:t>
      </w:r>
      <w:r w:rsidR="00FD07E1" w:rsidRPr="00545EC0">
        <w:rPr>
          <w:rFonts w:cs="Arial"/>
        </w:rPr>
        <w:t>Vodonosni sistem je sistem, ki ga tvori eden ali več vodonosnikov različnih tipov in je določen ob upoštevanju hidrogeološke meje.</w:t>
      </w:r>
      <w:r w:rsidR="00C04FAE" w:rsidRPr="00545EC0">
        <w:rPr>
          <w:rFonts w:cs="Arial"/>
        </w:rPr>
        <w:t xml:space="preserve"> </w:t>
      </w:r>
      <w:r w:rsidRPr="00545EC0">
        <w:rPr>
          <w:rFonts w:cs="Arial"/>
        </w:rPr>
        <w:t xml:space="preserve">Razmejitev vodonosnih sistemov sledi hidravličnim mejam in temelji na opredelitvi vodonosnikov iz strokovnih hidrogeoloških </w:t>
      </w:r>
      <w:r w:rsidRPr="00545EC0">
        <w:rPr>
          <w:rFonts w:cs="Arial"/>
        </w:rPr>
        <w:lastRenderedPageBreak/>
        <w:t>podlag. Za približek hidravličnim mejam, kjer te niso podrobneje poznane, je uporabljena metodologija razmejevanja  za ra</w:t>
      </w:r>
      <w:r w:rsidR="00FD07E1" w:rsidRPr="00545EC0">
        <w:rPr>
          <w:rFonts w:cs="Arial"/>
        </w:rPr>
        <w:t>zlične tipe vodonosnih sistemov, in sicer glede na:</w:t>
      </w:r>
    </w:p>
    <w:p w14:paraId="7DEB6CE4" w14:textId="77777777" w:rsidR="00342A40" w:rsidRPr="00545EC0" w:rsidRDefault="00342A40" w:rsidP="008548F6">
      <w:pPr>
        <w:pStyle w:val="Odstavekseznama"/>
        <w:numPr>
          <w:ilvl w:val="0"/>
          <w:numId w:val="23"/>
        </w:numPr>
        <w:overflowPunct/>
        <w:autoSpaceDE/>
        <w:autoSpaceDN/>
        <w:adjustRightInd/>
        <w:ind w:hanging="578"/>
        <w:contextualSpacing/>
        <w:textAlignment w:val="auto"/>
        <w:rPr>
          <w:rFonts w:cs="Arial"/>
          <w:lang w:val="sl-SI"/>
        </w:rPr>
      </w:pPr>
      <w:r w:rsidRPr="00545EC0">
        <w:rPr>
          <w:rFonts w:cs="Arial"/>
          <w:lang w:val="sl-SI"/>
        </w:rPr>
        <w:t>vodonosni sistemi v aluvialnih sedimentih,</w:t>
      </w:r>
    </w:p>
    <w:p w14:paraId="4BBD677B" w14:textId="77777777" w:rsidR="00342A40" w:rsidRPr="00545EC0" w:rsidRDefault="00342A40" w:rsidP="008548F6">
      <w:pPr>
        <w:pStyle w:val="Odstavekseznama"/>
        <w:numPr>
          <w:ilvl w:val="0"/>
          <w:numId w:val="23"/>
        </w:numPr>
        <w:overflowPunct/>
        <w:autoSpaceDE/>
        <w:autoSpaceDN/>
        <w:adjustRightInd/>
        <w:ind w:hanging="578"/>
        <w:contextualSpacing/>
        <w:textAlignment w:val="auto"/>
        <w:rPr>
          <w:rFonts w:cs="Arial"/>
          <w:lang w:val="sl-SI"/>
        </w:rPr>
      </w:pPr>
      <w:r w:rsidRPr="00545EC0">
        <w:rPr>
          <w:rFonts w:cs="Arial"/>
          <w:lang w:val="sl-SI"/>
        </w:rPr>
        <w:t>vodonosni sistemi v sedimentnih kamninah in nevezanih sedimentih,</w:t>
      </w:r>
    </w:p>
    <w:p w14:paraId="3C37AEE1" w14:textId="77777777" w:rsidR="00342A40" w:rsidRPr="00545EC0" w:rsidRDefault="00342A40" w:rsidP="008548F6">
      <w:pPr>
        <w:pStyle w:val="Odstavekseznama"/>
        <w:numPr>
          <w:ilvl w:val="0"/>
          <w:numId w:val="23"/>
        </w:numPr>
        <w:overflowPunct/>
        <w:autoSpaceDE/>
        <w:autoSpaceDN/>
        <w:adjustRightInd/>
        <w:ind w:hanging="578"/>
        <w:contextualSpacing/>
        <w:textAlignment w:val="auto"/>
        <w:rPr>
          <w:rFonts w:cs="Arial"/>
          <w:lang w:val="sl-SI"/>
        </w:rPr>
      </w:pPr>
      <w:r w:rsidRPr="00545EC0">
        <w:rPr>
          <w:rFonts w:cs="Arial"/>
          <w:lang w:val="sl-SI"/>
        </w:rPr>
        <w:t>raznovrstni hidravlični vodonosni sistemi, značilni za hribovita, močno nagubana območja,</w:t>
      </w:r>
    </w:p>
    <w:p w14:paraId="3F3CB55F" w14:textId="77777777" w:rsidR="00342A40" w:rsidRPr="00545EC0" w:rsidRDefault="00342A40" w:rsidP="008548F6">
      <w:pPr>
        <w:pStyle w:val="Odstavekseznama"/>
        <w:numPr>
          <w:ilvl w:val="0"/>
          <w:numId w:val="23"/>
        </w:numPr>
        <w:overflowPunct/>
        <w:autoSpaceDE/>
        <w:autoSpaceDN/>
        <w:adjustRightInd/>
        <w:ind w:hanging="578"/>
        <w:contextualSpacing/>
        <w:textAlignment w:val="auto"/>
        <w:rPr>
          <w:rFonts w:cs="Arial"/>
          <w:lang w:val="sl-SI"/>
        </w:rPr>
      </w:pPr>
      <w:r w:rsidRPr="00545EC0">
        <w:rPr>
          <w:rFonts w:cs="Arial"/>
          <w:lang w:val="sl-SI"/>
        </w:rPr>
        <w:t>vodonosni sistemi v geoloških plasteh podlage in</w:t>
      </w:r>
    </w:p>
    <w:p w14:paraId="1706C9DE" w14:textId="77777777" w:rsidR="00342A40" w:rsidRPr="00545EC0" w:rsidRDefault="00342A40" w:rsidP="008548F6">
      <w:pPr>
        <w:pStyle w:val="Odstavekseznama"/>
        <w:numPr>
          <w:ilvl w:val="0"/>
          <w:numId w:val="23"/>
        </w:numPr>
        <w:overflowPunct/>
        <w:autoSpaceDE/>
        <w:autoSpaceDN/>
        <w:adjustRightInd/>
        <w:ind w:hanging="578"/>
        <w:contextualSpacing/>
        <w:textAlignment w:val="auto"/>
        <w:rPr>
          <w:rFonts w:cs="Arial"/>
          <w:lang w:val="sl-SI"/>
        </w:rPr>
      </w:pPr>
      <w:r w:rsidRPr="00545EC0">
        <w:rPr>
          <w:rFonts w:cs="Arial"/>
          <w:lang w:val="sl-SI"/>
        </w:rPr>
        <w:t>slabo prepustni vodonosni sistemi z lokalno omejenimi vodonosniki.</w:t>
      </w:r>
    </w:p>
    <w:p w14:paraId="7A7B00A4" w14:textId="77777777" w:rsidR="0095457B" w:rsidRPr="00545EC0" w:rsidRDefault="0095457B" w:rsidP="00424902">
      <w:pPr>
        <w:pStyle w:val="podnaslov0"/>
      </w:pPr>
      <w:r w:rsidRPr="00545EC0">
        <w:t>Osnovne značilnosti vrhnjih plasti</w:t>
      </w:r>
    </w:p>
    <w:p w14:paraId="5BD4A038" w14:textId="59D747E3" w:rsidR="0095457B" w:rsidRPr="00545EC0" w:rsidRDefault="0095457B" w:rsidP="0095457B">
      <w:pPr>
        <w:rPr>
          <w:rFonts w:cs="Arial"/>
        </w:rPr>
      </w:pPr>
      <w:r w:rsidRPr="00545EC0">
        <w:rPr>
          <w:rFonts w:cs="Arial"/>
        </w:rPr>
        <w:t xml:space="preserve">Podrobnejše značilnosti vrhnjih plasti in metodologija določanja značilnosti so podane v Strokovnih podlagah z opisi konceptualnih modelov vodnih teles podzemne vode. </w:t>
      </w:r>
    </w:p>
    <w:p w14:paraId="07135BF0" w14:textId="77777777" w:rsidR="0095457B" w:rsidRPr="00545EC0" w:rsidRDefault="00242799" w:rsidP="00F06A3A">
      <w:pPr>
        <w:tabs>
          <w:tab w:val="left" w:pos="7162"/>
        </w:tabs>
        <w:rPr>
          <w:rFonts w:cs="Arial"/>
        </w:rPr>
      </w:pPr>
      <w:r w:rsidRPr="00545EC0">
        <w:rPr>
          <w:rFonts w:cs="Arial"/>
        </w:rPr>
        <w:tab/>
      </w:r>
    </w:p>
    <w:p w14:paraId="0CBAC6A1" w14:textId="77777777" w:rsidR="0095457B" w:rsidRPr="00545EC0" w:rsidRDefault="0095457B" w:rsidP="0095457B">
      <w:pPr>
        <w:rPr>
          <w:rFonts w:cs="Arial"/>
        </w:rPr>
      </w:pPr>
      <w:r w:rsidRPr="00545EC0">
        <w:rPr>
          <w:rFonts w:cs="Arial"/>
        </w:rPr>
        <w:t>Značilnosti vrhnjih plasti so pomembne pri oceni velikosti vpliva obremenitev na stanje podzemne vode. Za oceno vpliva prenosa onesnaževal na kemijsko stanje VTPodV je bil za vse nastopajoče vrste vrhnjih plasti določen faktor ranljivosti, za oceno količinskega stanja pa faktor izkoristljivosti. Značilnosti vrhnjih plasti so upoštevane tudi pri oceni naravnega ozadja v kemijski sestavi podzemne vode.</w:t>
      </w:r>
    </w:p>
    <w:p w14:paraId="7462CA0E" w14:textId="77777777" w:rsidR="0095457B" w:rsidRPr="00545EC0" w:rsidRDefault="0095457B" w:rsidP="0095457B">
      <w:pPr>
        <w:pStyle w:val="Odstavekseznama"/>
        <w:ind w:left="0"/>
        <w:rPr>
          <w:rFonts w:cs="Arial"/>
          <w:b/>
          <w:lang w:val="sl-SI"/>
        </w:rPr>
      </w:pPr>
    </w:p>
    <w:p w14:paraId="308FDF26" w14:textId="0C67B636" w:rsidR="00372F26" w:rsidRPr="00545EC0" w:rsidRDefault="00372F26" w:rsidP="003122F4">
      <w:pPr>
        <w:pStyle w:val="Odstavekseznama"/>
        <w:ind w:left="0"/>
      </w:pPr>
      <w:r w:rsidRPr="00545EC0">
        <w:rPr>
          <w:lang w:val="sl-SI"/>
        </w:rPr>
        <w:t xml:space="preserve">Na </w:t>
      </w:r>
      <w:r w:rsidR="00EB1AAD" w:rsidRPr="00545EC0">
        <w:rPr>
          <w:lang w:val="sl-SI"/>
        </w:rPr>
        <w:t xml:space="preserve">VO </w:t>
      </w:r>
      <w:r w:rsidRPr="00545EC0">
        <w:rPr>
          <w:lang w:val="sl-SI"/>
        </w:rPr>
        <w:t>Donave prevladujejo vrhnje plasti z zapleteno hidrogeološko strukturo in napajanjem podzemne vode od 182.5 mm/leto do 374.1 mm/leto  v tektonskih enotah Južnih Alp, Periadriatskih magmatskih kamnin, Vzhodnih Alp, Zunanjih in Notranjih Dinaridov. V severovzhodnem delu območja (v glavnem gre za Prekmurje) predstavljajo vrhnje plasti del večjega bazena podzemne vode z napajanjem 167,2 mm/leto v tektonski enoti terciarnih in kvartarnih usedlin Panonskega bazena.</w:t>
      </w:r>
    </w:p>
    <w:p w14:paraId="6BC6B9FB" w14:textId="77777777" w:rsidR="0095457B" w:rsidRPr="00545EC0" w:rsidRDefault="0095457B" w:rsidP="00107628"/>
    <w:p w14:paraId="41D9C4F9" w14:textId="77777777" w:rsidR="0095457B" w:rsidRPr="00545EC0" w:rsidRDefault="0095457B" w:rsidP="00107628">
      <w:r w:rsidRPr="00545EC0">
        <w:t>Napajanje podzemne vode z infiltracijo padavin se praviloma zmanjšuje v smeri od zahoda proti vzhodu vodnega območja, od 1139 mm/leto v visokogorskih predelih Južnih Alp (VTPodV Julijske Alpe v porečju Save) do 232 mm/leto v predelih Panonskega bazena (VTPodV Goričko).</w:t>
      </w:r>
    </w:p>
    <w:p w14:paraId="5A6668C9" w14:textId="77777777" w:rsidR="0095457B" w:rsidRPr="00545EC0" w:rsidRDefault="0095457B" w:rsidP="00107628"/>
    <w:p w14:paraId="25CEC92D" w14:textId="77777777" w:rsidR="0095457B" w:rsidRPr="00545EC0" w:rsidRDefault="0095457B" w:rsidP="00107628">
      <w:r w:rsidRPr="00545EC0">
        <w:t xml:space="preserve">Za območja vodnih teles v aluvialnih sedimentih je značilna dobra do zelo dobra prepustnost vrhnjih plasti in srednja do visoka izdatnost vodonosnikov. V takih vodonosnikih je izkoristljivost obnovljivih zalog in s tem tudi količina razpoložljivih zalog zelo velika. Možna so zajetja z zmogljivostjo preko 50 l/s in izkoristljivostjo preko 40 % obnovljivih zalog. Najnižja izdatnost vodonosnikov, zmogljivost zajetij in izkoristljivost zalog podzemne vode je ocenjena za vodonosnike na območjih VTPodV spodnji del Savinje do Sotle, Haloze in Dravinjske gorice, Zahodne Slovenske gorice, Vzhodne Slovenske gorice in Vzhodne Alpe, kjer je povprečni faktor izkoristljivosti ocenjen na 4–7 %. </w:t>
      </w:r>
    </w:p>
    <w:p w14:paraId="09089B3E" w14:textId="77777777" w:rsidR="0095457B" w:rsidRPr="00545EC0" w:rsidRDefault="0095457B" w:rsidP="00107628">
      <w:pPr>
        <w:rPr>
          <w:rFonts w:cs="Arial"/>
        </w:rPr>
      </w:pPr>
    </w:p>
    <w:p w14:paraId="2A384F79" w14:textId="747F4EBC" w:rsidR="0095457B" w:rsidRPr="00545EC0" w:rsidRDefault="0095457B" w:rsidP="00107628">
      <w:pPr>
        <w:rPr>
          <w:rFonts w:cs="Arial"/>
        </w:rPr>
      </w:pPr>
      <w:r w:rsidRPr="00545EC0">
        <w:rPr>
          <w:rFonts w:cs="Arial"/>
        </w:rPr>
        <w:t xml:space="preserve">Zaščitne krovne plasti se pojavljajo le na ožjih območjih VTPodV, na posameznih vodonosnih sistemih. Sicer pa prevladuje </w:t>
      </w:r>
      <w:r w:rsidR="005E5A44" w:rsidRPr="00545EC0">
        <w:rPr>
          <w:rFonts w:cs="Arial"/>
        </w:rPr>
        <w:t>območja z</w:t>
      </w:r>
      <w:r w:rsidRPr="00545EC0">
        <w:rPr>
          <w:rFonts w:cs="Arial"/>
        </w:rPr>
        <w:t xml:space="preserve"> majhno </w:t>
      </w:r>
      <w:r w:rsidR="005E5A44" w:rsidRPr="00545EC0">
        <w:rPr>
          <w:rFonts w:cs="Arial"/>
        </w:rPr>
        <w:t>zadrževalno sposobnostjo vodonosnika za širjenje onesnaževal</w:t>
      </w:r>
      <w:r w:rsidRPr="00545EC0">
        <w:rPr>
          <w:rFonts w:cs="Arial"/>
        </w:rPr>
        <w:t xml:space="preserve">. </w:t>
      </w:r>
      <w:r w:rsidR="005E5A44" w:rsidRPr="00545EC0">
        <w:rPr>
          <w:rFonts w:cs="Arial"/>
        </w:rPr>
        <w:t xml:space="preserve">Slednje še zlasti velja za </w:t>
      </w:r>
      <w:r w:rsidRPr="00545EC0">
        <w:rPr>
          <w:rFonts w:cs="Arial"/>
        </w:rPr>
        <w:t>območj</w:t>
      </w:r>
      <w:r w:rsidR="005E5A44" w:rsidRPr="00545EC0">
        <w:rPr>
          <w:rFonts w:cs="Arial"/>
        </w:rPr>
        <w:t>a</w:t>
      </w:r>
      <w:r w:rsidRPr="00545EC0">
        <w:rPr>
          <w:rFonts w:cs="Arial"/>
        </w:rPr>
        <w:t xml:space="preserve"> vodnih teles v aluvialnih sedimentih (5 VTPodV Savska kotlina in Ljubljansko barje, Savinjska kotlina, Krška kotlina, Dravska kotlina in Murska kotlina) ter </w:t>
      </w:r>
      <w:r w:rsidR="005E5A44" w:rsidRPr="00545EC0">
        <w:rPr>
          <w:rFonts w:cs="Arial"/>
        </w:rPr>
        <w:t xml:space="preserve">za </w:t>
      </w:r>
      <w:r w:rsidRPr="00545EC0">
        <w:rPr>
          <w:rFonts w:cs="Arial"/>
        </w:rPr>
        <w:t>območj</w:t>
      </w:r>
      <w:r w:rsidR="005E5A44" w:rsidRPr="00545EC0">
        <w:rPr>
          <w:rFonts w:cs="Arial"/>
        </w:rPr>
        <w:t>a</w:t>
      </w:r>
      <w:r w:rsidRPr="00545EC0">
        <w:rPr>
          <w:rFonts w:cs="Arial"/>
        </w:rPr>
        <w:t xml:space="preserve"> vodnih teles podzemne vode s prevladujočo kraško poroznostjo (5 VTPodV Julijske Alpe v porečju Save, Karavanke, Kamniško-Savinjske Alpe, Kraška Ljubljanica in Dolenjski kras). </w:t>
      </w:r>
      <w:r w:rsidR="005E5A44" w:rsidRPr="00545EC0">
        <w:rPr>
          <w:rFonts w:cs="Arial"/>
        </w:rPr>
        <w:t xml:space="preserve">Za ta </w:t>
      </w:r>
      <w:r w:rsidRPr="00545EC0">
        <w:rPr>
          <w:rFonts w:cs="Arial"/>
        </w:rPr>
        <w:t>območj</w:t>
      </w:r>
      <w:r w:rsidR="005E5A44" w:rsidRPr="00545EC0">
        <w:rPr>
          <w:rFonts w:cs="Arial"/>
        </w:rPr>
        <w:t>a</w:t>
      </w:r>
      <w:r w:rsidRPr="00545EC0">
        <w:rPr>
          <w:rFonts w:cs="Arial"/>
        </w:rPr>
        <w:t xml:space="preserve"> vodnih teles </w:t>
      </w:r>
      <w:r w:rsidR="005E5A44" w:rsidRPr="00545EC0">
        <w:rPr>
          <w:rFonts w:cs="Arial"/>
        </w:rPr>
        <w:t xml:space="preserve">se </w:t>
      </w:r>
      <w:r w:rsidRPr="00545EC0">
        <w:rPr>
          <w:rFonts w:cs="Arial"/>
        </w:rPr>
        <w:t>ocenj</w:t>
      </w:r>
      <w:r w:rsidR="005E5A44" w:rsidRPr="00545EC0">
        <w:rPr>
          <w:rFonts w:cs="Arial"/>
        </w:rPr>
        <w:t>uje</w:t>
      </w:r>
      <w:r w:rsidRPr="00545EC0">
        <w:rPr>
          <w:rFonts w:cs="Arial"/>
        </w:rPr>
        <w:t xml:space="preserve">, da se vsaj 90 % </w:t>
      </w:r>
      <w:r w:rsidR="000B4546" w:rsidRPr="00545EC0">
        <w:rPr>
          <w:rFonts w:cs="Arial"/>
        </w:rPr>
        <w:t>presežkov mase</w:t>
      </w:r>
      <w:r w:rsidRPr="00545EC0">
        <w:rPr>
          <w:rFonts w:cs="Arial"/>
        </w:rPr>
        <w:t xml:space="preserve"> onesnaževal prenese v podzemno vodo. </w:t>
      </w:r>
    </w:p>
    <w:p w14:paraId="4D4DA667" w14:textId="77777777" w:rsidR="0095457B" w:rsidRPr="00545EC0" w:rsidRDefault="0095457B" w:rsidP="00107628">
      <w:pPr>
        <w:rPr>
          <w:rFonts w:cs="Arial"/>
        </w:rPr>
      </w:pPr>
    </w:p>
    <w:p w14:paraId="4C3B2934" w14:textId="52FC88B8" w:rsidR="004F4AB5" w:rsidRPr="00545EC0" w:rsidRDefault="00372F26" w:rsidP="00107628">
      <w:r w:rsidRPr="00545EC0">
        <w:t>VTPodV Murska kotlina se nahaja v treh značilnih vodonosnikih, ki si sledijo po globini; 1) aluvialni vodonosnik v zasipu Mure</w:t>
      </w:r>
      <w:r w:rsidR="000B4546" w:rsidRPr="00545EC0">
        <w:t>,</w:t>
      </w:r>
      <w:r w:rsidRPr="00545EC0">
        <w:t xml:space="preserve"> 2) medzrnski vodonosnik v terciarnih sedimentih</w:t>
      </w:r>
      <w:r w:rsidR="000B4546" w:rsidRPr="00545EC0">
        <w:t>,</w:t>
      </w:r>
      <w:r w:rsidRPr="00545EC0">
        <w:t xml:space="preserve"> ter 3) vodonosnik v globljih terciarnih sedimentih in predterciarni podlagi. Izkoriščanje termalne vode poteka predvsem iz tretjega vodonosnika, ki ga sestavljajo izdatni in hidravlično povezani zgornje miocenski peski in </w:t>
      </w:r>
      <w:r w:rsidRPr="00545EC0">
        <w:lastRenderedPageBreak/>
        <w:t xml:space="preserve">peščenjaki Murske formacije. Te plasti se raztezajo na območju Ptujskega, Dravskega in Murskega polja, Slovenskih in Lendavskih goric ter Goričkega in se zvezno nadaljujejo v Avstrijo, Madžarsko in Hrvaško, zato je to vodno telo čezmejno. Krovne in talninske plasti so slabo prepustne, zato je njegovo naravno napajanje omejeno. Regionalni tok podzemne vode v zaprtem vodonosniku poteka v smeri od (severo)zahoda proti (jugo)vzhodu in je povezan s plio-kvartarnim vodonosnikom na vrelčnem območju mineralnih vod v Radencih. </w:t>
      </w:r>
    </w:p>
    <w:p w14:paraId="2042C1E9" w14:textId="77777777" w:rsidR="004F4AB5" w:rsidRPr="00545EC0" w:rsidRDefault="004F4AB5" w:rsidP="00107628"/>
    <w:p w14:paraId="36F5A844" w14:textId="2AFA2BF1" w:rsidR="0095457B" w:rsidRPr="00545EC0" w:rsidRDefault="0095457B" w:rsidP="00107628">
      <w:pPr>
        <w:rPr>
          <w:rFonts w:cs="Arial"/>
        </w:rPr>
      </w:pPr>
      <w:r w:rsidRPr="00545EC0">
        <w:rPr>
          <w:rFonts w:cs="Arial"/>
        </w:rPr>
        <w:t>Značilnosti vrhnjih plasti dajejo tudi glavne značilnosti kemijski sestavi podzemne vode. V splošnem velja, da so v zahodnem delu vodnega območja v porečju Save prevladujoče karbonatne geološke plasti s srednjo mineralizacijo in prevodnostjo okoli 400 μS/cm. Po hidrogeokemijskem tipu gre za kalcijevo magnezijevo hidrogenkarbonatne vode, tj. vode iz apnencev in sedimentov molasnega tipa. V vzhodnem delu vodnega območja prevladujejo klastične sedimentne plasti s silikatno ter silikatno in karbonatno sestavo ter tudi takimi hidrogeokemijskimi značilnostmi podzemne vode. Značilna je srednja do nizka mineralizacija s prevodnostjo okoli 400 μS/cm do 50 μS/cm. Po hidrogeokemijskem tipu gre za kalcijevo magnezijevo hidrogenkarbonatne vode s povečanimi deleži natrija in kalija oziroma vode pretežno iz sedimentov molasnega tipa ter vode iz magmatskih in metamorfnih kamnin.</w:t>
      </w:r>
    </w:p>
    <w:p w14:paraId="0945134C" w14:textId="77777777" w:rsidR="0095457B" w:rsidRPr="00545EC0" w:rsidRDefault="0095457B" w:rsidP="00107628">
      <w:pPr>
        <w:rPr>
          <w:rFonts w:cs="Arial"/>
        </w:rPr>
      </w:pPr>
    </w:p>
    <w:p w14:paraId="3A01EEE0" w14:textId="77777777" w:rsidR="0095457B" w:rsidRPr="00545EC0" w:rsidRDefault="0095457B" w:rsidP="00107628">
      <w:pPr>
        <w:rPr>
          <w:rFonts w:cs="Arial"/>
        </w:rPr>
      </w:pPr>
      <w:r w:rsidRPr="00545EC0">
        <w:rPr>
          <w:rFonts w:cs="Arial"/>
        </w:rPr>
        <w:t>Naravno porazdelitev kemičnih prvin v tleh, ki prekrivajo vrhnje plasti, predstavljajo naslednje značilne geokemične združbe prvin:</w:t>
      </w:r>
    </w:p>
    <w:p w14:paraId="7735DDEA" w14:textId="77777777" w:rsidR="0095457B" w:rsidRPr="00545EC0" w:rsidRDefault="0095457B" w:rsidP="00DD37C5">
      <w:pPr>
        <w:numPr>
          <w:ilvl w:val="0"/>
          <w:numId w:val="54"/>
        </w:numPr>
        <w:ind w:left="567" w:hanging="436"/>
        <w:rPr>
          <w:szCs w:val="20"/>
        </w:rPr>
      </w:pPr>
      <w:r w:rsidRPr="00545EC0">
        <w:rPr>
          <w:szCs w:val="20"/>
        </w:rPr>
        <w:t>Ni-Cu-Cr-Sc-Fe-V-Mn: značilna za tla kraških območij in kot posledica preperevanja fliša (najbolj značilno območje: Kraška Ljubljanica),</w:t>
      </w:r>
    </w:p>
    <w:p w14:paraId="688F5257" w14:textId="5C5413AB" w:rsidR="0095457B" w:rsidRPr="00545EC0" w:rsidRDefault="0095457B" w:rsidP="00DD37C5">
      <w:pPr>
        <w:numPr>
          <w:ilvl w:val="0"/>
          <w:numId w:val="54"/>
        </w:numPr>
        <w:ind w:left="567" w:hanging="436"/>
        <w:rPr>
          <w:szCs w:val="20"/>
        </w:rPr>
      </w:pPr>
      <w:r w:rsidRPr="00545EC0">
        <w:rPr>
          <w:szCs w:val="20"/>
        </w:rPr>
        <w:t xml:space="preserve">Ba-Na-K-Al: značilna za distrična rjava tla, ki so nastala na območjih magmatskih in metamorfnih kamnin območij severovzhodne in centralne </w:t>
      </w:r>
      <w:r w:rsidR="00307E73" w:rsidRPr="00545EC0">
        <w:rPr>
          <w:szCs w:val="20"/>
        </w:rPr>
        <w:t xml:space="preserve">Republike </w:t>
      </w:r>
      <w:r w:rsidRPr="00545EC0">
        <w:rPr>
          <w:szCs w:val="20"/>
        </w:rPr>
        <w:t>Slovenije, kot posledica preperevanja paleocenskih skrilavcev in peščenjakov ter magmatskih in metamorfnih kamnin (najbolj značilna območja: Vzhodne Alpe, Murska kotlina, Vzhodne Slovenske gorice, Zahodne Slovenske gorice, Dravska kotlina in Haloze in Dravinjske gorice),</w:t>
      </w:r>
    </w:p>
    <w:p w14:paraId="5D56C904" w14:textId="77777777" w:rsidR="0095457B" w:rsidRPr="00545EC0" w:rsidRDefault="0095457B" w:rsidP="00DD37C5">
      <w:pPr>
        <w:numPr>
          <w:ilvl w:val="0"/>
          <w:numId w:val="54"/>
        </w:numPr>
        <w:ind w:left="567" w:hanging="436"/>
        <w:rPr>
          <w:szCs w:val="20"/>
        </w:rPr>
      </w:pPr>
      <w:r w:rsidRPr="00545EC0">
        <w:rPr>
          <w:szCs w:val="20"/>
        </w:rPr>
        <w:t>La-Y-Th-Zr-Ti-Nb: značilna za rjava pokarbonatna tla ali za terro rosso, ki so nastale na karbonatnih platformah dolenjskega krasa (najbolj značilni območji: Dolenjski kras in Kraška Ljubljanica),</w:t>
      </w:r>
    </w:p>
    <w:p w14:paraId="656A907E" w14:textId="77777777" w:rsidR="0095457B" w:rsidRPr="00545EC0" w:rsidRDefault="0095457B" w:rsidP="00DD37C5">
      <w:pPr>
        <w:numPr>
          <w:ilvl w:val="0"/>
          <w:numId w:val="54"/>
        </w:numPr>
        <w:ind w:left="567" w:hanging="436"/>
        <w:rPr>
          <w:szCs w:val="20"/>
        </w:rPr>
      </w:pPr>
      <w:r w:rsidRPr="00545EC0">
        <w:rPr>
          <w:szCs w:val="20"/>
        </w:rPr>
        <w:t>Mo-U: značilna za pokarbonatna rjava tla dinarskega krasa (najbolj značilni območji: Dolenjski kras in Kraška Ljubljanica) in</w:t>
      </w:r>
    </w:p>
    <w:p w14:paraId="44361D25" w14:textId="77777777" w:rsidR="00424902" w:rsidRPr="00545EC0" w:rsidRDefault="0095457B" w:rsidP="00DD37C5">
      <w:pPr>
        <w:numPr>
          <w:ilvl w:val="0"/>
          <w:numId w:val="54"/>
        </w:numPr>
        <w:ind w:left="567" w:hanging="436"/>
        <w:rPr>
          <w:szCs w:val="20"/>
        </w:rPr>
      </w:pPr>
      <w:r w:rsidRPr="00545EC0">
        <w:rPr>
          <w:szCs w:val="20"/>
        </w:rPr>
        <w:t xml:space="preserve">Ca-Sr-Mg: značilna za visokogorski kras Julijskih Alp v porečju Save, območja magmatskih in metamorfnih kamnin in rečne sedimente Drave in Mure (najbolj značilna območja: Karavanke, Dravska kotlina, Kraška Ljubljanica in Savinjska kotlina). </w:t>
      </w:r>
    </w:p>
    <w:p w14:paraId="6B08F971" w14:textId="77777777" w:rsidR="00424902" w:rsidRPr="00545EC0" w:rsidRDefault="00424902" w:rsidP="00424902">
      <w:pPr>
        <w:rPr>
          <w:szCs w:val="20"/>
        </w:rPr>
      </w:pPr>
    </w:p>
    <w:p w14:paraId="52565E8F" w14:textId="77777777" w:rsidR="0095457B" w:rsidRPr="00545EC0" w:rsidRDefault="0095457B" w:rsidP="00424902">
      <w:pPr>
        <w:rPr>
          <w:szCs w:val="20"/>
        </w:rPr>
      </w:pPr>
      <w:r w:rsidRPr="00545EC0">
        <w:t>Značilno antropogeno porazdelitev kemičnih prvin v tleh, ki prekrivajo vrhnje plasti, predstavljajo geokemične združbe prvin:</w:t>
      </w:r>
    </w:p>
    <w:p w14:paraId="56766D30" w14:textId="77989C19" w:rsidR="00342A40" w:rsidRPr="00545EC0" w:rsidRDefault="0095457B" w:rsidP="00107628">
      <w:r w:rsidRPr="00545EC0">
        <w:t xml:space="preserve">Pb-Zn-Cd-As-Sn: tipične težke kovin kot posledica naravne erozije </w:t>
      </w:r>
      <w:r w:rsidR="000B4546" w:rsidRPr="00545EC0">
        <w:t xml:space="preserve">rudonosnih </w:t>
      </w:r>
      <w:r w:rsidRPr="00545EC0">
        <w:t>kamnin ali pa industrijske, rudarske in topilniške dejavnosti. Najvišje vsebnosti teh kovin so vezane na okolico rudarskih in metalurških centrov (Celja, Jesenic, Litije in Mežice). Povišane vsebnosti težkih kovin na območju Julijskih Alp so posledica predvsem daljinskega atmosferskega transporta. Posamezne ekstremno visoke vsebnosti težkih kovin v tleh kažejo na lokalne industrijske vplive. Za antropogeno porazdeljene težke kovine je značilno, da se njihova vsebnost v tleh in sedimentih z globino zmanjšuje</w:t>
      </w:r>
      <w:r w:rsidR="008C5111" w:rsidRPr="00545EC0">
        <w:t>.</w:t>
      </w:r>
    </w:p>
    <w:p w14:paraId="1847B118" w14:textId="77777777" w:rsidR="00342A40" w:rsidRPr="00545EC0" w:rsidRDefault="00342A40" w:rsidP="00424902">
      <w:pPr>
        <w:pStyle w:val="podnaslov0"/>
      </w:pPr>
      <w:r w:rsidRPr="00545EC0">
        <w:t>Opis vodonosnikov</w:t>
      </w:r>
    </w:p>
    <w:p w14:paraId="675EAEEC" w14:textId="2F222CD3" w:rsidR="00342A40" w:rsidRPr="00545EC0" w:rsidRDefault="000B4546" w:rsidP="003122F4">
      <w:pPr>
        <w:pStyle w:val="podnaslov0"/>
      </w:pPr>
      <w:r w:rsidRPr="00545EC0">
        <w:t>Plitvi medzrnski vodonosniki</w:t>
      </w:r>
    </w:p>
    <w:p w14:paraId="36697BA9" w14:textId="751EAA0C" w:rsidR="00342A40" w:rsidRPr="00545EC0" w:rsidRDefault="000B4546" w:rsidP="00107628">
      <w:r w:rsidRPr="00545EC0">
        <w:lastRenderedPageBreak/>
        <w:t xml:space="preserve">Plitvi medzrnski vodonosniki, ki zavzemajo dobro četrtino ozemlja (26,2 %) </w:t>
      </w:r>
      <w:r w:rsidR="00307E73" w:rsidRPr="00545EC0">
        <w:t xml:space="preserve">Republike </w:t>
      </w:r>
      <w:r w:rsidRPr="00545EC0">
        <w:t>Slovenije</w:t>
      </w:r>
      <w:r w:rsidR="00342A40" w:rsidRPr="00545EC0">
        <w:t>, so praviloma najbolj izpostavljen</w:t>
      </w:r>
      <w:r w:rsidRPr="00545EC0">
        <w:t>i</w:t>
      </w:r>
      <w:r w:rsidR="00342A40" w:rsidRPr="00545EC0">
        <w:t xml:space="preserve"> </w:t>
      </w:r>
      <w:r w:rsidR="008C5111" w:rsidRPr="00545EC0">
        <w:t>obremenitvam in vplivom. To so v</w:t>
      </w:r>
      <w:r w:rsidR="00342A40" w:rsidRPr="00545EC0">
        <w:t>odna telesa podzemne vode</w:t>
      </w:r>
      <w:r w:rsidRPr="00545EC0">
        <w:t xml:space="preserve"> </w:t>
      </w:r>
      <w:r w:rsidR="00342A40" w:rsidRPr="00545EC0">
        <w:t xml:space="preserve"> Murske, Dravske, Savinjske, Krške in Savske kotline z Ljubljanskim Barjem. Na teh ravninskih območjih so tudi največje poselitve okoli večjih mest kot so Murska Sobota, Maribor, Ptuj, Celje, Krško, Brežice, Ljubljana, Kranj, Škofja Loka in druga. Tu so hkrati tudi najpomembnejša sklenjena kmetijska območja v državi. Omenjena vodna telesa podzemne vode se izkoriščajo za oskrbo večine prebivalstva in njihovih dejavnosti. </w:t>
      </w:r>
    </w:p>
    <w:p w14:paraId="07B9D9C4" w14:textId="77777777" w:rsidR="00342A40" w:rsidRPr="00545EC0" w:rsidRDefault="00342A40" w:rsidP="00107628"/>
    <w:p w14:paraId="4D9D58FD" w14:textId="286BAFD6" w:rsidR="000B4546" w:rsidRPr="00545EC0" w:rsidRDefault="000B4546" w:rsidP="00107628">
      <w:pPr>
        <w:rPr>
          <w:b/>
        </w:rPr>
      </w:pPr>
      <w:r w:rsidRPr="00545EC0">
        <w:rPr>
          <w:b/>
        </w:rPr>
        <w:t>Tipični kraško razpoklinski vodonosniki</w:t>
      </w:r>
    </w:p>
    <w:p w14:paraId="46457AFC" w14:textId="77777777" w:rsidR="000B4546" w:rsidRPr="00545EC0" w:rsidRDefault="000B4546" w:rsidP="00107628">
      <w:pPr>
        <w:rPr>
          <w:b/>
        </w:rPr>
      </w:pPr>
    </w:p>
    <w:p w14:paraId="205BBE81" w14:textId="5FFAAD78" w:rsidR="00563970" w:rsidRPr="00545EC0" w:rsidRDefault="00342A40" w:rsidP="00107628">
      <w:r w:rsidRPr="00545EC0">
        <w:t xml:space="preserve">Tipični kraško razpoklinski vodonosniki zavzemajo skoraj polovico ozemlja (44,1 %) </w:t>
      </w:r>
      <w:r w:rsidR="00307E73" w:rsidRPr="00545EC0">
        <w:t xml:space="preserve">Republike </w:t>
      </w:r>
      <w:r w:rsidRPr="00545EC0">
        <w:t>Slovenije.</w:t>
      </w:r>
      <w:r w:rsidR="00307E73" w:rsidRPr="00545EC0">
        <w:t xml:space="preserve"> </w:t>
      </w:r>
    </w:p>
    <w:p w14:paraId="197B1215" w14:textId="10E4361D" w:rsidR="00342A40" w:rsidRPr="00545EC0" w:rsidRDefault="00342A40" w:rsidP="00107628">
      <w:r w:rsidRPr="00545EC0">
        <w:t xml:space="preserve">Vodna telesa podzemne vode, ki se nahajajo v tipičnih kraških vodonosnikih s kanalsko poroznostjo, so prav tako izredno visoko ranljiva, vendar pa sta na teh območjih razmeroma manjši poselitev in kmetijska dejavnost. Najbolj značilna kraška </w:t>
      </w:r>
      <w:r w:rsidR="008C5111" w:rsidRPr="00545EC0">
        <w:t>v</w:t>
      </w:r>
      <w:r w:rsidRPr="00545EC0">
        <w:t xml:space="preserve">odna telesa podzemne vode so na primer, Obala in </w:t>
      </w:r>
      <w:r w:rsidR="000B4546" w:rsidRPr="00545EC0">
        <w:t>K</w:t>
      </w:r>
      <w:r w:rsidRPr="00545EC0">
        <w:t>ras z Brkini, Kraška Ljubljanica in Dolenjski kras. Za kraške podzemne vode je značilno, da se pretakajo v odprtih razpokah in kraških kanalih. Zato je tok te podzemne vode marsikje podoben toku površinske vode (»površinski tip«), naravne samočistilne sposobnosti so zanemarljivo majhne. Poleg tega so kraške podzemne vode velikokrat v neposrednem stiku s površinskimi vodami, posebej tam, kjer pot</w:t>
      </w:r>
      <w:r w:rsidR="004F4AB5" w:rsidRPr="00545EC0">
        <w:t>o</w:t>
      </w:r>
      <w:r w:rsidRPr="00545EC0">
        <w:t xml:space="preserve">ki ponikajo v odprte ponikalnice. </w:t>
      </w:r>
    </w:p>
    <w:p w14:paraId="21717C82" w14:textId="77777777" w:rsidR="00342A40" w:rsidRPr="00545EC0" w:rsidRDefault="00342A40" w:rsidP="00107628"/>
    <w:p w14:paraId="19C248A4" w14:textId="77777777" w:rsidR="00342A40" w:rsidRPr="00545EC0" w:rsidRDefault="00342A40" w:rsidP="00107628">
      <w:r w:rsidRPr="00545EC0">
        <w:t xml:space="preserve">Malo manj kot 30 % ozemlja Slovenije zavzemajo vodonosniki z razpoklinsko poroznostjo (prevladujejo flišne kamnine – peščenjaki in laporji, manjši del (&lt;4,7 %) pa magmatske in metamorfne kamnine). </w:t>
      </w:r>
    </w:p>
    <w:p w14:paraId="4D698502" w14:textId="77777777" w:rsidR="00EB1AAD" w:rsidRPr="00545EC0" w:rsidRDefault="00EB1AAD" w:rsidP="00107628"/>
    <w:p w14:paraId="642077DD" w14:textId="7F2EEB91" w:rsidR="00342A40" w:rsidRPr="00545EC0" w:rsidRDefault="00342A40" w:rsidP="00107628">
      <w:r w:rsidRPr="00545EC0">
        <w:t xml:space="preserve">Globlji deli vodnih teles podzemne vode Murske, Dravske in Krške kotline, Vzhodnih in Zahodnih Slovenskih goric ter Goričkega predstavljajo danes najpomembnejše zaloge termalne in mineralne vode v državi. Te termalne vode predstavljajo tudi pomemben delež obnovljivih virov energije za ogrevanje in hlajenje ter za turistično dejavnost. Danes najpomembnejši del termalne vode se nahaja v preko 2.000 m debelih peščeno meljnih plasteh severovzhodne </w:t>
      </w:r>
      <w:r w:rsidR="00307E73" w:rsidRPr="00545EC0">
        <w:t xml:space="preserve">Republike </w:t>
      </w:r>
      <w:r w:rsidRPr="00545EC0">
        <w:t>Slovenije in do 2.000</w:t>
      </w:r>
      <w:r w:rsidR="004F4AB5" w:rsidRPr="00545EC0">
        <w:t xml:space="preserve"> m</w:t>
      </w:r>
      <w:r w:rsidRPr="00545EC0">
        <w:t xml:space="preserve"> globoko v karbonatnih kamninah na širšem območju Krške kotline, Posavskih gub in Cerknega.</w:t>
      </w:r>
    </w:p>
    <w:p w14:paraId="53F93CA2" w14:textId="29410192" w:rsidR="00493E8B" w:rsidRPr="00545EC0" w:rsidRDefault="00493E8B" w:rsidP="003C7C5E">
      <w:pPr>
        <w:pStyle w:val="Naslov20"/>
        <w:rPr>
          <w:lang w:val="sl-SI"/>
        </w:rPr>
      </w:pPr>
      <w:bookmarkStart w:id="132" w:name="_Toc90261018"/>
      <w:r w:rsidRPr="00545EC0">
        <w:t>Prikaz vplivov človekovega delovanja na stanje površinskih in podzemnih voda</w:t>
      </w:r>
      <w:bookmarkEnd w:id="132"/>
    </w:p>
    <w:p w14:paraId="7C8C955E" w14:textId="77777777" w:rsidR="00100903" w:rsidRPr="00545EC0" w:rsidRDefault="00100903" w:rsidP="0013272A">
      <w:pPr>
        <w:pStyle w:val="Besedilo"/>
        <w:rPr>
          <w:lang w:val="sl-SI"/>
        </w:rPr>
      </w:pPr>
    </w:p>
    <w:p w14:paraId="26BA184B" w14:textId="70E9D312" w:rsidR="0013272A" w:rsidRPr="00545EC0" w:rsidRDefault="0013272A" w:rsidP="00563970">
      <w:pPr>
        <w:pStyle w:val="Besedilo"/>
        <w:spacing w:line="276" w:lineRule="auto"/>
        <w:rPr>
          <w:rFonts w:cs="Arial"/>
          <w:lang w:val="sl-SI"/>
        </w:rPr>
      </w:pPr>
      <w:r w:rsidRPr="00545EC0">
        <w:rPr>
          <w:lang w:val="sl-SI"/>
        </w:rPr>
        <w:t>Prikaz vplivov človekovega delovanja na stanje površinskih in podzemnih voda zajema obremenitve 155 vodnih teles površinskih voda določenih s predpisom, ki ureja določitev in razvrstitev vodnih teles površinskih voda</w:t>
      </w:r>
      <w:r w:rsidR="00100903" w:rsidRPr="00545EC0">
        <w:rPr>
          <w:lang w:val="sl-SI"/>
        </w:rPr>
        <w:t xml:space="preserve"> in 21 vodnih teles podzemnih voda določenih s predpisom, ki ureja določitev vodnih teles podzemnih voda</w:t>
      </w:r>
      <w:r w:rsidRPr="00545EC0">
        <w:rPr>
          <w:lang w:val="sl-SI"/>
        </w:rPr>
        <w:t xml:space="preserve">. </w:t>
      </w:r>
    </w:p>
    <w:p w14:paraId="4C42AFEA" w14:textId="77777777" w:rsidR="0013272A" w:rsidRPr="00545EC0" w:rsidRDefault="0013272A" w:rsidP="002C4249">
      <w:pPr>
        <w:spacing w:line="276" w:lineRule="auto"/>
        <w:ind w:left="720"/>
        <w:rPr>
          <w:rFonts w:cs="Arial"/>
        </w:rPr>
      </w:pPr>
    </w:p>
    <w:p w14:paraId="35638677" w14:textId="1DFCB2C8" w:rsidR="0013272A" w:rsidRPr="00545EC0" w:rsidRDefault="00563970">
      <w:pPr>
        <w:spacing w:line="276" w:lineRule="auto"/>
        <w:rPr>
          <w:rFonts w:cs="Arial"/>
        </w:rPr>
      </w:pPr>
      <w:r w:rsidRPr="00545EC0">
        <w:rPr>
          <w:rFonts w:cs="Arial"/>
        </w:rPr>
        <w:t xml:space="preserve">Analiza je izvedena na podlagi zbirk podatkov, ki jih vzdržujejo oz. upravljajo ministrstvo, Direkcija Republike Slovenije za vode (v nadaljnjem besedilu: DRSV), Agencija Republike Slovenije za okolje (v nadaljnjem besedilu: ARSO), Statistični urad Republike Slovenije (v nadaljnjem besedilu: SURS), Geodetka uprava Republike Slovenije (v nadaljnjem besedilu: GURS), Agencija Republike Slovenije za javnopravne evidence in storitve (v nadaljnjem besedilu:  AJPES) </w:t>
      </w:r>
      <w:r w:rsidR="00100903" w:rsidRPr="00545EC0">
        <w:rPr>
          <w:rFonts w:cs="Arial"/>
        </w:rPr>
        <w:t xml:space="preserve">in na podlagi drugih razpoložljivih podatkov pripravljenih za potrebe zmanjšanja negotovosti in vrzeli v podatkih. </w:t>
      </w:r>
      <w:r w:rsidR="0013272A" w:rsidRPr="00545EC0">
        <w:rPr>
          <w:rFonts w:cs="Arial"/>
        </w:rPr>
        <w:t>Podatki</w:t>
      </w:r>
      <w:r w:rsidR="008C5111" w:rsidRPr="00545EC0">
        <w:rPr>
          <w:rFonts w:cs="Arial"/>
        </w:rPr>
        <w:t>,</w:t>
      </w:r>
      <w:r w:rsidR="0013272A" w:rsidRPr="00545EC0">
        <w:rPr>
          <w:rFonts w:cs="Arial"/>
        </w:rPr>
        <w:t xml:space="preserve"> uporabljeni v analizi obremenitev zajemajo pokrovnost in rabo tal, </w:t>
      </w:r>
      <w:r w:rsidR="0013272A" w:rsidRPr="00545EC0">
        <w:t xml:space="preserve">obratovalni monitoring odpadnih voda, podatke javnih služb varstva okolja, bilanco dušika in bilanco fosforja na kmetijskih zemljiščih, podatke o povprečnih dnevnih prometnih obremenitvah cest, podatke o prodaji fitofarmacevtskih sredstev, </w:t>
      </w:r>
      <w:r w:rsidR="0013272A" w:rsidRPr="00545EC0">
        <w:lastRenderedPageBreak/>
        <w:t xml:space="preserve">kataster melioracijskih sistemov in naprav, evidenco incidentnih dogodkov, vodno infrastrukturo, </w:t>
      </w:r>
      <w:r w:rsidR="0013272A" w:rsidRPr="00545EC0">
        <w:rPr>
          <w:rFonts w:cs="Arial"/>
        </w:rPr>
        <w:t>podeljene koncesije in vodna dovoljenja, podatke o odvzemih in izpustih voda, hidromorfološko spremenjenost vo</w:t>
      </w:r>
      <w:r w:rsidR="00100903" w:rsidRPr="00545EC0">
        <w:rPr>
          <w:rFonts w:cs="Arial"/>
        </w:rPr>
        <w:t>dotokov in obalnega morja, ipd</w:t>
      </w:r>
      <w:r w:rsidR="0013272A" w:rsidRPr="00545EC0">
        <w:rPr>
          <w:rFonts w:cs="Arial"/>
        </w:rPr>
        <w:t xml:space="preserve">. </w:t>
      </w:r>
    </w:p>
    <w:p w14:paraId="6A2C5990" w14:textId="77777777" w:rsidR="00100903" w:rsidRPr="00545EC0" w:rsidRDefault="00100903">
      <w:pPr>
        <w:spacing w:line="276" w:lineRule="auto"/>
        <w:rPr>
          <w:rFonts w:cs="Arial"/>
        </w:rPr>
      </w:pPr>
    </w:p>
    <w:p w14:paraId="7B342EBF" w14:textId="50FC8FFB" w:rsidR="0013272A" w:rsidRPr="00545EC0" w:rsidRDefault="00100903">
      <w:pPr>
        <w:spacing w:line="276" w:lineRule="auto"/>
        <w:rPr>
          <w:rFonts w:cs="Arial"/>
        </w:rPr>
      </w:pPr>
      <w:r w:rsidRPr="00545EC0">
        <w:rPr>
          <w:rFonts w:cs="Arial"/>
        </w:rPr>
        <w:t>Za potrebe ugotavljanja pomembnih obremenitev vodnih teles površinskih in podzemnih voda so določena merila za ugotavljanje pomembnih obremenitev. Pomembna obremenitev je v skladu s predpisom, ki ureja podrobnejšo vsebino in način priprave načrta upravljanja voda, obremenitev, za katero se oceni velika verjetnost, da sama po sebi ali v kombinaciji z drugimi vrstami obremenitev povzroči, da vodno telo ali skupina vodnih teles ne bo dosegla zanje določenih ciljev.</w:t>
      </w:r>
    </w:p>
    <w:p w14:paraId="042C6F1F" w14:textId="77777777" w:rsidR="00100903" w:rsidRPr="00545EC0" w:rsidRDefault="00100903">
      <w:pPr>
        <w:spacing w:line="276" w:lineRule="auto"/>
        <w:rPr>
          <w:rFonts w:cs="Arial"/>
        </w:rPr>
      </w:pPr>
    </w:p>
    <w:p w14:paraId="4CF0F902" w14:textId="383141C3" w:rsidR="00100903" w:rsidRPr="00545EC0" w:rsidRDefault="00100903" w:rsidP="00693578">
      <w:pPr>
        <w:tabs>
          <w:tab w:val="center" w:pos="426"/>
        </w:tabs>
        <w:spacing w:line="276" w:lineRule="auto"/>
        <w:rPr>
          <w:rFonts w:cs="Arial"/>
        </w:rPr>
      </w:pPr>
      <w:r w:rsidRPr="00545EC0">
        <w:rPr>
          <w:rFonts w:cs="Arial"/>
        </w:rPr>
        <w:t>Merila oz. mejne vrednosti za opredelitev pomembnih obremenitev vodnih teles površinskih voda so opredeljene na podlagi povezanosti/soodvisnosti med izračuni obremenitev na vodnih telesih površinskih voda in rezultati državnega monitoringa stanja površinskih voda na teh vodnih telesih ter predstavljajo merila za oceno stopnje obremenitve vodnega telesa oz. morebiten vpliv obremenitve</w:t>
      </w:r>
      <w:r w:rsidR="000D20FC" w:rsidRPr="00545EC0">
        <w:rPr>
          <w:rFonts w:cs="Arial"/>
        </w:rPr>
        <w:t xml:space="preserve"> na stanje voda (IzVRS</w:t>
      </w:r>
      <w:r w:rsidRPr="00545EC0">
        <w:rPr>
          <w:rFonts w:cs="Arial"/>
        </w:rPr>
        <w:t xml:space="preserve">, 2014). </w:t>
      </w:r>
    </w:p>
    <w:p w14:paraId="37AFB10F" w14:textId="77777777" w:rsidR="00100903" w:rsidRPr="00545EC0" w:rsidRDefault="00100903" w:rsidP="00563970">
      <w:pPr>
        <w:spacing w:line="276" w:lineRule="auto"/>
        <w:rPr>
          <w:lang w:eastAsia="x-none"/>
        </w:rPr>
      </w:pPr>
    </w:p>
    <w:p w14:paraId="414990D8" w14:textId="1D189653" w:rsidR="00100903" w:rsidRPr="00545EC0" w:rsidRDefault="00100903" w:rsidP="00693578">
      <w:pPr>
        <w:spacing w:line="276" w:lineRule="auto"/>
        <w:rPr>
          <w:lang w:eastAsia="x-none"/>
        </w:rPr>
      </w:pPr>
      <w:r w:rsidRPr="00545EC0">
        <w:rPr>
          <w:rFonts w:cs="Arial"/>
        </w:rPr>
        <w:t xml:space="preserve">Za obremenitve, kjer statistična povezanost s parametri stanja ni bila prepoznana, so kriteriji za opredelitev pomembnih obremenitev povzeti iz strokovne literature oziroma strokovnih podlag za pripravo načrtov upravljanja voda. Uporabljena literatura zajema merila iz strokovnih podlag, ki se uporabljajo za pripravo načrtov upravljanja voda v drugih državah članicah (LAWA, 2013), vsebine pripravljene v okviru Mednarodne komisije za varstvo reke Donave (ICPDR, </w:t>
      </w:r>
      <w:r w:rsidR="000D20FC" w:rsidRPr="00545EC0">
        <w:rPr>
          <w:rFonts w:cs="Arial"/>
        </w:rPr>
        <w:t>2019; ICPDR, 2021</w:t>
      </w:r>
      <w:r w:rsidRPr="00545EC0">
        <w:rPr>
          <w:rFonts w:cs="Arial"/>
        </w:rPr>
        <w:t>)</w:t>
      </w:r>
      <w:r w:rsidR="00D4599D" w:rsidRPr="00545EC0">
        <w:rPr>
          <w:rFonts w:cs="Arial"/>
        </w:rPr>
        <w:t>,</w:t>
      </w:r>
      <w:r w:rsidRPr="00545EC0">
        <w:rPr>
          <w:rFonts w:cs="Arial"/>
        </w:rPr>
        <w:t xml:space="preserve"> Mednarodne komisije za Savski bazen, ipd.</w:t>
      </w:r>
      <w:r w:rsidR="00D4599D" w:rsidRPr="00545EC0">
        <w:rPr>
          <w:rFonts w:cs="Arial"/>
        </w:rPr>
        <w:t>, kakor tudi z nacionalno zakodajo določena merila oz. okoljske standarde kakovsti za vrednotenje stanja voda in merila za ugotavljanje čezmerne obremenitev okolja.</w:t>
      </w:r>
    </w:p>
    <w:p w14:paraId="2D5D5F9D" w14:textId="1691F86A" w:rsidR="00573AF2" w:rsidRPr="00545EC0" w:rsidRDefault="0016421B">
      <w:pPr>
        <w:pStyle w:val="Naslov3"/>
      </w:pPr>
      <w:bookmarkStart w:id="133" w:name="_Toc419099234"/>
      <w:bookmarkStart w:id="134" w:name="_Toc90261019"/>
      <w:r w:rsidRPr="00545EC0">
        <w:t>T</w:t>
      </w:r>
      <w:r w:rsidR="00573AF2" w:rsidRPr="00545EC0">
        <w:t>očkovni viri onesnaževanja voda</w:t>
      </w:r>
      <w:bookmarkEnd w:id="133"/>
      <w:bookmarkEnd w:id="134"/>
    </w:p>
    <w:p w14:paraId="0402BD36" w14:textId="4C5A2D0E" w:rsidR="00617285" w:rsidRPr="00545EC0" w:rsidRDefault="00617285" w:rsidP="00AD4FE7">
      <w:pPr>
        <w:rPr>
          <w:rFonts w:cs="Arial"/>
        </w:rPr>
      </w:pPr>
      <w:r w:rsidRPr="00545EC0">
        <w:rPr>
          <w:rFonts w:cs="Arial"/>
        </w:rPr>
        <w:t>Točkovni viri onesnaževanja so objekti in naprave, iz katerih se odpadne vode odvajajo neposredno (točkovno) v vode. Točkovni viri onesnaževanja vključujejo iztok</w:t>
      </w:r>
      <w:r w:rsidR="000B4546" w:rsidRPr="00545EC0">
        <w:rPr>
          <w:rFonts w:cs="Arial"/>
        </w:rPr>
        <w:t>e</w:t>
      </w:r>
      <w:r w:rsidRPr="00545EC0">
        <w:rPr>
          <w:rFonts w:cs="Arial"/>
        </w:rPr>
        <w:t xml:space="preserve"> odpadne vode iz komunalnih čistilnih naprav, iz objektov in naprav, v katerih nastaja industrijska odpadna voda, ter točkovne izpuste (v nadaljnjem besedilu: iztok) odpadnih voda ali drugih onesnaženih tekočin v primeru incidentnih dogodkov (npr. razlitja v primeru prometnih in drugih nesreč). Točkovni viri onesnaževanja lahko onesnažujejo vodna telesa </w:t>
      </w:r>
      <w:r w:rsidR="00984C96" w:rsidRPr="00545EC0">
        <w:rPr>
          <w:rFonts w:cs="Arial"/>
        </w:rPr>
        <w:t>s</w:t>
      </w:r>
      <w:r w:rsidRPr="00545EC0">
        <w:rPr>
          <w:rFonts w:cs="Arial"/>
        </w:rPr>
        <w:t xml:space="preserve"> hranili, </w:t>
      </w:r>
      <w:r w:rsidR="00984C96" w:rsidRPr="00545EC0">
        <w:t xml:space="preserve">biološko razgradljivimi organskimi snovmi </w:t>
      </w:r>
      <w:r w:rsidRPr="00545EC0">
        <w:rPr>
          <w:rFonts w:cs="Arial"/>
        </w:rPr>
        <w:t>ali z različnimi onesnaževali, ki vključujejo prednostne snovi, prednostno nevarne snovi ali druga onesnaževala iz predpisa, ki ureja stanje površinskih voda, ali druge snovi, ki lahko onesnažujejo okolje.</w:t>
      </w:r>
    </w:p>
    <w:p w14:paraId="78217A62" w14:textId="77777777" w:rsidR="00617285" w:rsidRPr="00545EC0" w:rsidRDefault="00617285" w:rsidP="00AD4FE7">
      <w:pPr>
        <w:rPr>
          <w:rFonts w:cs="Arial"/>
        </w:rPr>
      </w:pPr>
    </w:p>
    <w:p w14:paraId="37610387" w14:textId="77777777" w:rsidR="00617285" w:rsidRPr="00545EC0" w:rsidRDefault="00617285" w:rsidP="00AD4FE7">
      <w:pPr>
        <w:rPr>
          <w:rFonts w:cs="Arial"/>
          <w:szCs w:val="20"/>
        </w:rPr>
      </w:pPr>
      <w:r w:rsidRPr="00545EC0">
        <w:rPr>
          <w:rFonts w:cs="Arial"/>
          <w:szCs w:val="20"/>
        </w:rPr>
        <w:t xml:space="preserve">Do onesnaženja površinskih vode lahko prihaja zaradi odvajanja odpadne vode iz točkovnih virov obremenjevanja. Možni točkovni viri oziroma poti vnosa snovi v površinske vode so: </w:t>
      </w:r>
    </w:p>
    <w:p w14:paraId="1FD12A89" w14:textId="026357A2" w:rsidR="00617285" w:rsidRPr="00545EC0" w:rsidRDefault="003905D9" w:rsidP="00DD37C5">
      <w:pPr>
        <w:pStyle w:val="Odstavekseznama"/>
        <w:numPr>
          <w:ilvl w:val="0"/>
          <w:numId w:val="106"/>
        </w:numPr>
        <w:rPr>
          <w:rFonts w:cs="Arial"/>
          <w:szCs w:val="20"/>
          <w:lang w:val="sl-SI"/>
        </w:rPr>
      </w:pPr>
      <w:r w:rsidRPr="00545EC0">
        <w:rPr>
          <w:rFonts w:cs="Arial"/>
          <w:szCs w:val="20"/>
          <w:lang w:val="sl-SI"/>
        </w:rPr>
        <w:t>I</w:t>
      </w:r>
      <w:r w:rsidR="00617285" w:rsidRPr="00545EC0">
        <w:rPr>
          <w:rFonts w:cs="Arial"/>
          <w:szCs w:val="20"/>
          <w:lang w:val="sl-SI"/>
        </w:rPr>
        <w:t>ztoki</w:t>
      </w:r>
      <w:r w:rsidRPr="00545EC0">
        <w:rPr>
          <w:rFonts w:cs="Arial"/>
          <w:szCs w:val="20"/>
          <w:lang w:val="sl-SI"/>
        </w:rPr>
        <w:t xml:space="preserve"> industrijskih</w:t>
      </w:r>
      <w:r w:rsidR="00617285" w:rsidRPr="00545EC0">
        <w:rPr>
          <w:rFonts w:cs="Arial"/>
          <w:szCs w:val="20"/>
          <w:lang w:val="sl-SI"/>
        </w:rPr>
        <w:t xml:space="preserve"> odpadn</w:t>
      </w:r>
      <w:r w:rsidRPr="00545EC0">
        <w:rPr>
          <w:rFonts w:cs="Arial"/>
          <w:szCs w:val="20"/>
          <w:lang w:val="sl-SI"/>
        </w:rPr>
        <w:t>ih</w:t>
      </w:r>
      <w:r w:rsidR="00617285" w:rsidRPr="00545EC0">
        <w:rPr>
          <w:rFonts w:cs="Arial"/>
          <w:szCs w:val="20"/>
          <w:lang w:val="sl-SI"/>
        </w:rPr>
        <w:t xml:space="preserve"> vode v </w:t>
      </w:r>
      <w:r w:rsidRPr="00545EC0">
        <w:rPr>
          <w:rFonts w:cs="Arial"/>
          <w:szCs w:val="20"/>
          <w:lang w:val="sl-SI"/>
        </w:rPr>
        <w:t>površinske vode ali posredno v podzemne vode</w:t>
      </w:r>
      <w:r w:rsidR="00617285" w:rsidRPr="00545EC0">
        <w:rPr>
          <w:rFonts w:cs="Arial"/>
          <w:szCs w:val="20"/>
          <w:lang w:val="sl-SI"/>
        </w:rPr>
        <w:t xml:space="preserve">, </w:t>
      </w:r>
    </w:p>
    <w:p w14:paraId="3659911A" w14:textId="4711A17E" w:rsidR="00617285" w:rsidRPr="00545EC0" w:rsidRDefault="00617285" w:rsidP="00DD37C5">
      <w:pPr>
        <w:pStyle w:val="Odstavekseznama"/>
        <w:numPr>
          <w:ilvl w:val="0"/>
          <w:numId w:val="106"/>
        </w:numPr>
        <w:rPr>
          <w:rFonts w:cs="Arial"/>
          <w:szCs w:val="20"/>
          <w:lang w:val="sl-SI"/>
        </w:rPr>
      </w:pPr>
      <w:r w:rsidRPr="00545EC0">
        <w:rPr>
          <w:rFonts w:cs="Arial"/>
          <w:szCs w:val="20"/>
          <w:lang w:val="sl-SI"/>
        </w:rPr>
        <w:t xml:space="preserve">iztoki </w:t>
      </w:r>
      <w:r w:rsidR="003905D9" w:rsidRPr="00545EC0">
        <w:rPr>
          <w:rFonts w:cs="Arial"/>
          <w:szCs w:val="20"/>
          <w:lang w:val="sl-SI"/>
        </w:rPr>
        <w:t xml:space="preserve">komunalne </w:t>
      </w:r>
      <w:r w:rsidRPr="00545EC0">
        <w:rPr>
          <w:rFonts w:cs="Arial"/>
          <w:szCs w:val="20"/>
          <w:lang w:val="sl-SI"/>
        </w:rPr>
        <w:t xml:space="preserve">odpadne vode </w:t>
      </w:r>
      <w:r w:rsidR="003905D9" w:rsidRPr="00545EC0">
        <w:rPr>
          <w:rFonts w:cs="Arial"/>
          <w:szCs w:val="20"/>
          <w:lang w:val="sl-SI"/>
        </w:rPr>
        <w:t xml:space="preserve">in </w:t>
      </w:r>
      <w:r w:rsidRPr="00545EC0">
        <w:rPr>
          <w:rFonts w:cs="Arial"/>
          <w:szCs w:val="20"/>
          <w:lang w:val="sl-SI"/>
        </w:rPr>
        <w:t>mešan</w:t>
      </w:r>
      <w:r w:rsidR="003905D9" w:rsidRPr="00545EC0">
        <w:rPr>
          <w:rFonts w:cs="Arial"/>
          <w:szCs w:val="20"/>
          <w:lang w:val="sl-SI"/>
        </w:rPr>
        <w:t>ice</w:t>
      </w:r>
      <w:r w:rsidRPr="00545EC0">
        <w:rPr>
          <w:rFonts w:cs="Arial"/>
          <w:szCs w:val="20"/>
          <w:lang w:val="sl-SI"/>
        </w:rPr>
        <w:t xml:space="preserve"> </w:t>
      </w:r>
      <w:r w:rsidR="003905D9" w:rsidRPr="00545EC0">
        <w:rPr>
          <w:lang w:val="sl-SI"/>
        </w:rPr>
        <w:t>komunalne in industrijske odpadne vode</w:t>
      </w:r>
      <w:r w:rsidRPr="00545EC0">
        <w:rPr>
          <w:rFonts w:cs="Arial"/>
          <w:szCs w:val="20"/>
          <w:lang w:val="sl-SI"/>
        </w:rPr>
        <w:t xml:space="preserve">, ki </w:t>
      </w:r>
      <w:r w:rsidR="003905D9" w:rsidRPr="00545EC0">
        <w:rPr>
          <w:rFonts w:cs="Arial"/>
          <w:szCs w:val="20"/>
          <w:lang w:val="sl-SI"/>
        </w:rPr>
        <w:t xml:space="preserve">se po čiščenju na </w:t>
      </w:r>
      <w:r w:rsidRPr="00545EC0">
        <w:rPr>
          <w:rFonts w:cs="Arial"/>
          <w:szCs w:val="20"/>
          <w:lang w:val="sl-SI"/>
        </w:rPr>
        <w:t>komunal</w:t>
      </w:r>
      <w:r w:rsidR="003905D9" w:rsidRPr="00545EC0">
        <w:rPr>
          <w:rFonts w:cs="Arial"/>
          <w:szCs w:val="20"/>
          <w:lang w:val="sl-SI"/>
        </w:rPr>
        <w:t>ni</w:t>
      </w:r>
      <w:r w:rsidRPr="00545EC0">
        <w:rPr>
          <w:rFonts w:cs="Arial"/>
          <w:szCs w:val="20"/>
          <w:lang w:val="sl-SI"/>
        </w:rPr>
        <w:t xml:space="preserve"> čistiln</w:t>
      </w:r>
      <w:r w:rsidR="003905D9" w:rsidRPr="00545EC0">
        <w:rPr>
          <w:rFonts w:cs="Arial"/>
          <w:szCs w:val="20"/>
          <w:lang w:val="sl-SI"/>
        </w:rPr>
        <w:t>i</w:t>
      </w:r>
      <w:r w:rsidRPr="00545EC0">
        <w:rPr>
          <w:rFonts w:cs="Arial"/>
          <w:szCs w:val="20"/>
          <w:lang w:val="sl-SI"/>
        </w:rPr>
        <w:t xml:space="preserve"> naprav</w:t>
      </w:r>
      <w:r w:rsidR="003905D9" w:rsidRPr="00545EC0">
        <w:rPr>
          <w:rFonts w:cs="Arial"/>
          <w:szCs w:val="20"/>
          <w:lang w:val="sl-SI"/>
        </w:rPr>
        <w:t>i odvaja v površinske vode ali posredno v podzemne vode</w:t>
      </w:r>
      <w:r w:rsidRPr="00545EC0">
        <w:rPr>
          <w:rFonts w:cs="Arial"/>
          <w:szCs w:val="20"/>
          <w:lang w:val="sl-SI"/>
        </w:rPr>
        <w:t>,</w:t>
      </w:r>
    </w:p>
    <w:p w14:paraId="2520694A" w14:textId="77777777" w:rsidR="00617285" w:rsidRPr="00545EC0" w:rsidRDefault="00617285" w:rsidP="00DD37C5">
      <w:pPr>
        <w:pStyle w:val="Odstavekseznama"/>
        <w:numPr>
          <w:ilvl w:val="0"/>
          <w:numId w:val="106"/>
        </w:numPr>
        <w:rPr>
          <w:rFonts w:cs="Arial"/>
          <w:szCs w:val="20"/>
          <w:lang w:val="sl-SI"/>
        </w:rPr>
      </w:pPr>
      <w:r w:rsidRPr="00545EC0">
        <w:rPr>
          <w:rFonts w:cs="Arial"/>
          <w:szCs w:val="20"/>
          <w:lang w:val="sl-SI"/>
        </w:rPr>
        <w:t xml:space="preserve">iztoki komunalne odpadne vode, </w:t>
      </w:r>
      <w:r w:rsidRPr="00545EC0">
        <w:rPr>
          <w:lang w:val="sl-SI"/>
        </w:rPr>
        <w:t>ki nastaja v objektih, ki niso priključeni na javni kanalizacijski sistem,</w:t>
      </w:r>
    </w:p>
    <w:p w14:paraId="6774035D" w14:textId="77777777" w:rsidR="00617285" w:rsidRPr="00545EC0" w:rsidRDefault="00617285" w:rsidP="00DD37C5">
      <w:pPr>
        <w:pStyle w:val="Odstavekseznama"/>
        <w:numPr>
          <w:ilvl w:val="0"/>
          <w:numId w:val="106"/>
        </w:numPr>
        <w:rPr>
          <w:rFonts w:cs="Arial"/>
          <w:szCs w:val="20"/>
          <w:lang w:val="sl-SI"/>
        </w:rPr>
      </w:pPr>
      <w:r w:rsidRPr="00545EC0">
        <w:rPr>
          <w:rFonts w:cs="Arial"/>
          <w:szCs w:val="20"/>
          <w:lang w:val="sl-SI"/>
        </w:rPr>
        <w:t>odpadne vode zaradi izvajanja dejavnosti obdelave odpadkov,</w:t>
      </w:r>
    </w:p>
    <w:p w14:paraId="2BA5204E" w14:textId="4ACEECDC" w:rsidR="006801A6" w:rsidRPr="00545EC0" w:rsidRDefault="003905D9" w:rsidP="00DD37C5">
      <w:pPr>
        <w:pStyle w:val="Odstavekseznama"/>
        <w:numPr>
          <w:ilvl w:val="0"/>
          <w:numId w:val="106"/>
        </w:numPr>
        <w:rPr>
          <w:lang w:eastAsia="ja-JP"/>
        </w:rPr>
      </w:pPr>
      <w:r w:rsidRPr="00545EC0">
        <w:rPr>
          <w:lang w:val="sl-SI"/>
        </w:rPr>
        <w:t>območja, ki so bila onesnažena v preteklosti in iz katerih se snovi emitirajo v vod</w:t>
      </w:r>
      <w:r w:rsidR="00617285" w:rsidRPr="00545EC0">
        <w:rPr>
          <w:lang w:eastAsia="ja-JP"/>
        </w:rPr>
        <w:t xml:space="preserve">. </w:t>
      </w:r>
    </w:p>
    <w:p w14:paraId="555D7B3F" w14:textId="77777777" w:rsidR="00984C96" w:rsidRPr="00545EC0" w:rsidRDefault="00984C96" w:rsidP="00984C96">
      <w:pPr>
        <w:rPr>
          <w:lang w:eastAsia="ja-JP"/>
        </w:rPr>
      </w:pPr>
    </w:p>
    <w:p w14:paraId="4579057F" w14:textId="21AD0768" w:rsidR="008F5BFC" w:rsidRPr="00545EC0" w:rsidRDefault="006801A6" w:rsidP="00AD4FE7">
      <w:pPr>
        <w:pStyle w:val="Naslov4"/>
        <w:rPr>
          <w:color w:val="auto"/>
          <w:lang w:val="sl-SI"/>
        </w:rPr>
      </w:pPr>
      <w:r w:rsidRPr="00545EC0">
        <w:rPr>
          <w:color w:val="auto"/>
          <w:lang w:val="sl-SI"/>
        </w:rPr>
        <w:t xml:space="preserve">Točkovni viri </w:t>
      </w:r>
      <w:r w:rsidRPr="00545EC0">
        <w:rPr>
          <w:color w:val="auto"/>
        </w:rPr>
        <w:t xml:space="preserve">industrijske odpadne vode </w:t>
      </w:r>
    </w:p>
    <w:p w14:paraId="158BB0D6" w14:textId="18589A23" w:rsidR="003905D9" w:rsidRPr="00545EC0" w:rsidRDefault="00617285" w:rsidP="00AD4FE7">
      <w:r w:rsidRPr="00545EC0">
        <w:t>Kot točkovni viri industrijske odpadne vode so obravnavani iztoki odpadne vode iz raznovrstnih dejavnosti proizvodne in predelovalne</w:t>
      </w:r>
      <w:r w:rsidR="000B4546" w:rsidRPr="00545EC0">
        <w:t xml:space="preserve"> industrijske</w:t>
      </w:r>
      <w:r w:rsidRPr="00545EC0">
        <w:t xml:space="preserve"> dejavnosti kakor tudi iztoki odpadn</w:t>
      </w:r>
      <w:r w:rsidR="00563970" w:rsidRPr="00545EC0">
        <w:t>e</w:t>
      </w:r>
      <w:r w:rsidRPr="00545EC0">
        <w:t xml:space="preserve"> vod</w:t>
      </w:r>
      <w:r w:rsidR="00563970" w:rsidRPr="00545EC0">
        <w:t>e</w:t>
      </w:r>
      <w:r w:rsidRPr="00545EC0">
        <w:t xml:space="preserve"> iz obrtne</w:t>
      </w:r>
      <w:r w:rsidR="000B4546" w:rsidRPr="00545EC0">
        <w:t>,</w:t>
      </w:r>
      <w:r w:rsidRPr="00545EC0">
        <w:t xml:space="preserve"> </w:t>
      </w:r>
      <w:r w:rsidRPr="00545EC0">
        <w:lastRenderedPageBreak/>
        <w:t>obrti podobne a</w:t>
      </w:r>
      <w:r w:rsidR="00251748" w:rsidRPr="00545EC0">
        <w:t>li druge gospodarske dejavnosti</w:t>
      </w:r>
      <w:r w:rsidRPr="00545EC0">
        <w:t xml:space="preserve"> neposredno v površinske vode. Prav tako </w:t>
      </w:r>
      <w:r w:rsidR="003905D9" w:rsidRPr="00545EC0">
        <w:t xml:space="preserve">se </w:t>
      </w:r>
      <w:r w:rsidRPr="00545EC0">
        <w:t xml:space="preserve"> med točkovnimi viri industrijske </w:t>
      </w:r>
      <w:r w:rsidR="000B4546" w:rsidRPr="00545EC0">
        <w:t>o</w:t>
      </w:r>
      <w:r w:rsidRPr="00545EC0">
        <w:t>dpadne vode obravnavan</w:t>
      </w:r>
      <w:r w:rsidR="000B4546" w:rsidRPr="00545EC0">
        <w:t>a</w:t>
      </w:r>
      <w:r w:rsidR="003905D9" w:rsidRPr="00545EC0">
        <w:t>jo iztoki:</w:t>
      </w:r>
    </w:p>
    <w:p w14:paraId="0F425694" w14:textId="1A1DE10C" w:rsidR="003905D9" w:rsidRPr="00545EC0" w:rsidRDefault="003905D9" w:rsidP="00DD37C5">
      <w:pPr>
        <w:pStyle w:val="Odstavekseznama"/>
        <w:numPr>
          <w:ilvl w:val="0"/>
          <w:numId w:val="106"/>
        </w:numPr>
      </w:pPr>
      <w:r w:rsidRPr="00545EC0">
        <w:rPr>
          <w:lang w:val="sl-SI"/>
        </w:rPr>
        <w:t xml:space="preserve">odpadne </w:t>
      </w:r>
      <w:r w:rsidRPr="00545EC0">
        <w:t>vod</w:t>
      </w:r>
      <w:r w:rsidRPr="00545EC0">
        <w:rPr>
          <w:lang w:val="sl-SI"/>
        </w:rPr>
        <w:t>e</w:t>
      </w:r>
      <w:r w:rsidRPr="00545EC0">
        <w:t>, ki nastaja pri uporabi v kmetijski dejavnosti</w:t>
      </w:r>
      <w:r w:rsidR="00251748" w:rsidRPr="00545EC0">
        <w:rPr>
          <w:lang w:val="sl-SI"/>
        </w:rPr>
        <w:t>,</w:t>
      </w:r>
      <w:r w:rsidRPr="00545EC0" w:rsidDel="003905D9">
        <w:t xml:space="preserve"> </w:t>
      </w:r>
    </w:p>
    <w:p w14:paraId="3F057314" w14:textId="77777777" w:rsidR="003905D9" w:rsidRPr="00545EC0" w:rsidRDefault="003905D9" w:rsidP="00DD37C5">
      <w:pPr>
        <w:pStyle w:val="Odstavekseznama"/>
        <w:numPr>
          <w:ilvl w:val="0"/>
          <w:numId w:val="106"/>
        </w:numPr>
      </w:pPr>
      <w:r w:rsidRPr="00545EC0">
        <w:t>odpadn</w:t>
      </w:r>
      <w:r w:rsidRPr="00545EC0">
        <w:rPr>
          <w:lang w:val="sl-SI"/>
        </w:rPr>
        <w:t>e</w:t>
      </w:r>
      <w:r w:rsidRPr="00545EC0">
        <w:t xml:space="preserve"> vod</w:t>
      </w:r>
      <w:r w:rsidRPr="00545EC0">
        <w:rPr>
          <w:lang w:val="sl-SI"/>
        </w:rPr>
        <w:t>e</w:t>
      </w:r>
      <w:r w:rsidRPr="00545EC0">
        <w:t>, ki se zbira in odteka s površin objektov ali naprav za predhodno skladiščenje, predelavo, skladiščenje ali odstranjevanje odpadkov, razen njihovih streh, ali s funkcionalnih prometnih površin ob teh objektih in napravah, če na teh površinah poteka manipulacija z odpadki in bi lahko prišlo do onesnaženja površin,</w:t>
      </w:r>
    </w:p>
    <w:p w14:paraId="35FE39A3" w14:textId="77777777" w:rsidR="003905D9" w:rsidRPr="00545EC0" w:rsidRDefault="003905D9" w:rsidP="00DD37C5">
      <w:pPr>
        <w:pStyle w:val="Odstavekseznama"/>
        <w:numPr>
          <w:ilvl w:val="0"/>
          <w:numId w:val="106"/>
        </w:numPr>
      </w:pPr>
      <w:r w:rsidRPr="00545EC0">
        <w:rPr>
          <w:lang w:val="sl-SI"/>
        </w:rPr>
        <w:t>hladilne odpadne vode,</w:t>
      </w:r>
    </w:p>
    <w:p w14:paraId="74F5E2E0" w14:textId="77777777" w:rsidR="003905D9" w:rsidRPr="00545EC0" w:rsidRDefault="003905D9" w:rsidP="00DD37C5">
      <w:pPr>
        <w:pStyle w:val="Odstavekseznama"/>
        <w:numPr>
          <w:ilvl w:val="0"/>
          <w:numId w:val="106"/>
        </w:numPr>
      </w:pPr>
      <w:r w:rsidRPr="00545EC0">
        <w:t>biološko razgradljiv</w:t>
      </w:r>
      <w:r w:rsidRPr="00545EC0">
        <w:rPr>
          <w:lang w:val="sl-SI"/>
        </w:rPr>
        <w:t>e</w:t>
      </w:r>
      <w:r w:rsidRPr="00545EC0">
        <w:t xml:space="preserve"> industrijsk</w:t>
      </w:r>
      <w:r w:rsidRPr="00545EC0">
        <w:rPr>
          <w:lang w:val="sl-SI"/>
        </w:rPr>
        <w:t>e</w:t>
      </w:r>
      <w:r w:rsidRPr="00545EC0">
        <w:t xml:space="preserve"> odpadn</w:t>
      </w:r>
      <w:r w:rsidRPr="00545EC0">
        <w:rPr>
          <w:lang w:val="sl-SI"/>
        </w:rPr>
        <w:t>e</w:t>
      </w:r>
      <w:r w:rsidRPr="00545EC0">
        <w:t xml:space="preserve"> vod</w:t>
      </w:r>
      <w:r w:rsidRPr="00545EC0">
        <w:rPr>
          <w:lang w:val="sl-SI"/>
        </w:rPr>
        <w:t>e</w:t>
      </w:r>
      <w:r w:rsidRPr="00545EC0">
        <w:t xml:space="preserve"> iz naprave, v kateri poteka </w:t>
      </w:r>
      <w:r w:rsidRPr="00545EC0">
        <w:rPr>
          <w:lang w:val="sl-SI"/>
        </w:rPr>
        <w:t xml:space="preserve">ena ali več naslednjih </w:t>
      </w:r>
      <w:r w:rsidRPr="00545EC0">
        <w:t>dejavnost</w:t>
      </w:r>
      <w:r w:rsidRPr="00545EC0">
        <w:rPr>
          <w:lang w:val="sl-SI"/>
        </w:rPr>
        <w:t xml:space="preserve">i (predelava mleka, pridelava sadnih in zelenjavnih proizvodov, proizvodnja in polnjenje brezalkoholnih pijač, predelava krompirja, mesna industrija, proizvodnj piva, proizvodnja alkoholnih pijač, proizvdonja živalske krme iz rastlniskih proizvodov, proizvodnja želatine in lepila iz kož, krzna ali kosti, proizvodnja slada in predelava rib, </w:t>
      </w:r>
      <w:r w:rsidRPr="00545EC0">
        <w:t xml:space="preserve"> </w:t>
      </w:r>
    </w:p>
    <w:p w14:paraId="180DA237" w14:textId="3B360C25" w:rsidR="003905D9" w:rsidRPr="00545EC0" w:rsidRDefault="003905D9" w:rsidP="00DD37C5">
      <w:pPr>
        <w:pStyle w:val="Odstavekseznama"/>
        <w:numPr>
          <w:ilvl w:val="0"/>
          <w:numId w:val="106"/>
        </w:numPr>
      </w:pPr>
      <w:r w:rsidRPr="00545EC0">
        <w:t>odpadne vode</w:t>
      </w:r>
      <w:r w:rsidRPr="00545EC0">
        <w:rPr>
          <w:lang w:val="sl-SI"/>
        </w:rPr>
        <w:t xml:space="preserve">, ki nastajajo pri </w:t>
      </w:r>
      <w:r w:rsidRPr="00545EC0">
        <w:t>oskrb</w:t>
      </w:r>
      <w:r w:rsidRPr="00545EC0">
        <w:rPr>
          <w:lang w:val="sl-SI"/>
        </w:rPr>
        <w:t>i</w:t>
      </w:r>
      <w:r w:rsidRPr="00545EC0">
        <w:t xml:space="preserve"> s pitno vodo</w:t>
      </w:r>
      <w:r w:rsidRPr="00545EC0">
        <w:rPr>
          <w:lang w:val="sl-SI"/>
        </w:rPr>
        <w:t xml:space="preserve"> in</w:t>
      </w:r>
    </w:p>
    <w:p w14:paraId="5E14CE9A" w14:textId="77777777" w:rsidR="003905D9" w:rsidRPr="00545EC0" w:rsidRDefault="003905D9" w:rsidP="00DD37C5">
      <w:pPr>
        <w:pStyle w:val="Odstavekseznama"/>
        <w:numPr>
          <w:ilvl w:val="0"/>
          <w:numId w:val="106"/>
        </w:numPr>
      </w:pPr>
      <w:r w:rsidRPr="00545EC0">
        <w:t>odpadne vode iz zdravstvene dejavnosti.</w:t>
      </w:r>
    </w:p>
    <w:p w14:paraId="39E9BD6B" w14:textId="77777777" w:rsidR="00617285" w:rsidRPr="00545EC0" w:rsidRDefault="00617285" w:rsidP="00AD4FE7"/>
    <w:p w14:paraId="2F279ECD" w14:textId="5F2C93C5" w:rsidR="00AD4FE7" w:rsidRPr="00545EC0" w:rsidRDefault="00617285" w:rsidP="00AD4FE7">
      <w:r w:rsidRPr="00545EC0">
        <w:t xml:space="preserve">Odpadna voda iz naprav, ki odvajajo industrijsko odpadno vodo je lahko obremenjena z različnimi sintetičnimi onesnaževali, ki so izključno rezultat človekovega delovanja, kot tudi s t.i. nesintetičnimi onesnaževali (med temi so tudi kovine), ki jih lahko najdemo tudi v naravnem okolju. </w:t>
      </w:r>
      <w:r w:rsidR="00764B14" w:rsidRPr="00545EC0">
        <w:t xml:space="preserve">Naprave, v katerih nastaja industrijska odpadna voda, morajo zagotavljati, da je vsebnost onesnaževal v odpadni vod nižja od  predpisane mejne vrednosti  za iztok v javno kanalizacijo ali iztok neposredno v vode. Če tega ne morejo zagotavljati z drugimi ukrepi, morajo zagotoviti vgradno in obratovanje industrijske čistilne naprave, ki industrijsko odpadno vodo očisti vsaj do predpisanih mejnih vrednosti parametrov onesnaženosti. </w:t>
      </w:r>
    </w:p>
    <w:p w14:paraId="32B33F85" w14:textId="77777777" w:rsidR="002C4249" w:rsidRPr="00545EC0" w:rsidRDefault="002C4249" w:rsidP="00AD4FE7"/>
    <w:p w14:paraId="61C47BA6" w14:textId="77777777" w:rsidR="00AD4FE7" w:rsidRPr="00545EC0" w:rsidRDefault="00AD4FE7" w:rsidP="00AD4FE7">
      <w:r w:rsidRPr="00545EC0">
        <w:t>Naprave, ki odvajajo industrijsko odpadno vodo se ločijo na:</w:t>
      </w:r>
    </w:p>
    <w:p w14:paraId="49C88BAF" w14:textId="77777777" w:rsidR="00AD4FE7" w:rsidRPr="00545EC0" w:rsidRDefault="00AD4FE7" w:rsidP="00DD37C5">
      <w:pPr>
        <w:pStyle w:val="Odstavekseznama"/>
        <w:numPr>
          <w:ilvl w:val="0"/>
          <w:numId w:val="92"/>
        </w:numPr>
        <w:rPr>
          <w:lang w:val="sl-SI"/>
        </w:rPr>
      </w:pPr>
      <w:r w:rsidRPr="00545EC0">
        <w:rPr>
          <w:lang w:val="sl-SI"/>
        </w:rPr>
        <w:t>naprave, ki lahko povzročajo onesnaževanje okolja večjega obsega (t.i. IED naprave), in</w:t>
      </w:r>
    </w:p>
    <w:p w14:paraId="2DA3A67F" w14:textId="77777777" w:rsidR="00AD4FE7" w:rsidRPr="00545EC0" w:rsidRDefault="00AD4FE7" w:rsidP="00DD37C5">
      <w:pPr>
        <w:pStyle w:val="Odstavekseznama"/>
        <w:numPr>
          <w:ilvl w:val="0"/>
          <w:numId w:val="92"/>
        </w:numPr>
        <w:rPr>
          <w:lang w:val="sl-SI"/>
        </w:rPr>
      </w:pPr>
      <w:r w:rsidRPr="00545EC0">
        <w:rPr>
          <w:lang w:val="sl-SI"/>
        </w:rPr>
        <w:t>druge naprave, t.j. naprave, ki odvajajo industrijsko odpadno vodo, a niso naprave iz prejšnje alineje (v nadaljnjem besedilu: druge naprave).</w:t>
      </w:r>
    </w:p>
    <w:p w14:paraId="7A371B84" w14:textId="77777777" w:rsidR="00AD4FE7" w:rsidRPr="00545EC0" w:rsidRDefault="00AD4FE7" w:rsidP="00AD4FE7"/>
    <w:p w14:paraId="25ADE946" w14:textId="5DA914C6" w:rsidR="00AD4FE7" w:rsidRPr="00545EC0" w:rsidRDefault="00AD4FE7" w:rsidP="00AD4FE7">
      <w:pPr>
        <w:rPr>
          <w:b/>
          <w:i/>
        </w:rPr>
      </w:pPr>
      <w:r w:rsidRPr="00545EC0">
        <w:rPr>
          <w:b/>
          <w:i/>
        </w:rPr>
        <w:t>Prikaz obremenitev vodnih teles površinskih voda</w:t>
      </w:r>
    </w:p>
    <w:p w14:paraId="1BDAE917" w14:textId="77777777" w:rsidR="00AD4FE7" w:rsidRPr="00545EC0" w:rsidRDefault="00AD4FE7" w:rsidP="00AD4FE7"/>
    <w:p w14:paraId="153F216E" w14:textId="074F42E8" w:rsidR="00617285" w:rsidRPr="00545EC0" w:rsidRDefault="00617285" w:rsidP="00AD4FE7">
      <w:r w:rsidRPr="00545EC0">
        <w:t xml:space="preserve">Točkovne vire industrijske odpadne vode se obravnavana ločeno glede na to, ali gre za odvajanje industrijske odpadne vode iz industrijske naprave, ki se preko javne kanalizacije odvaja na komunalno čistilno napravo ali za odvajanje industrijske odpadne vode, ki se iz industrijske naprave odvaja neposredno v </w:t>
      </w:r>
      <w:r w:rsidR="00522EEA" w:rsidRPr="00545EC0">
        <w:t xml:space="preserve">površinske </w:t>
      </w:r>
      <w:r w:rsidRPr="00545EC0">
        <w:t xml:space="preserve">vode. Pri tem velja poudariti, da so nekatere mejne vrednosti emisij za neposredno odvajanje v </w:t>
      </w:r>
      <w:r w:rsidR="00522EEA" w:rsidRPr="00545EC0">
        <w:t xml:space="preserve">površinske </w:t>
      </w:r>
      <w:r w:rsidRPr="00545EC0">
        <w:t>vode strožje v primerjavi z mejnimi vrednostmi emisij za izpuste v kanalizacijo.</w:t>
      </w:r>
    </w:p>
    <w:p w14:paraId="31F244F0" w14:textId="77777777" w:rsidR="00617285" w:rsidRPr="00545EC0" w:rsidRDefault="00617285" w:rsidP="00AD4FE7"/>
    <w:p w14:paraId="17F7114E" w14:textId="159061D1" w:rsidR="00764B14" w:rsidRPr="00545EC0" w:rsidRDefault="00764B14" w:rsidP="00764B14">
      <w:pPr>
        <w:pStyle w:val="Pripombabesedilo"/>
        <w:rPr>
          <w:lang w:val="sl-SI"/>
        </w:rPr>
      </w:pPr>
      <w:r w:rsidRPr="00545EC0">
        <w:rPr>
          <w:lang w:val="sl-SI"/>
        </w:rPr>
        <w:t xml:space="preserve">Pri obremenitvah z onesnaževali, hranili ali biološko razgradljivimi organskimi snovmi zaradi odvajanja industrijske odpadne vode so upoštevani podatki iz poročil o </w:t>
      </w:r>
      <w:r w:rsidRPr="00545EC0">
        <w:t>obratovalne</w:t>
      </w:r>
      <w:r w:rsidRPr="00545EC0">
        <w:rPr>
          <w:lang w:val="sl-SI"/>
        </w:rPr>
        <w:t>m</w:t>
      </w:r>
      <w:r w:rsidRPr="00545EC0">
        <w:t xml:space="preserve"> monitoring</w:t>
      </w:r>
      <w:r w:rsidRPr="00545EC0">
        <w:rPr>
          <w:lang w:val="sl-SI"/>
        </w:rPr>
        <w:t>u</w:t>
      </w:r>
      <w:r w:rsidRPr="00545EC0">
        <w:t xml:space="preserve"> odpadnih voda </w:t>
      </w:r>
      <w:r w:rsidRPr="00545EC0">
        <w:rPr>
          <w:lang w:val="sl-SI"/>
        </w:rPr>
        <w:t xml:space="preserve">iz </w:t>
      </w:r>
      <w:r w:rsidRPr="00545EC0">
        <w:t>naprav, ki odvajajo industrijsko odpadno vode</w:t>
      </w:r>
      <w:r w:rsidRPr="00545EC0">
        <w:rPr>
          <w:lang w:val="sl-SI"/>
        </w:rPr>
        <w:t>, in se zbirajo in vodijo</w:t>
      </w:r>
      <w:r w:rsidRPr="00545EC0">
        <w:t xml:space="preserve"> na Agenciji Republike Slovenije za okolje</w:t>
      </w:r>
      <w:r w:rsidR="002B19AC" w:rsidRPr="00545EC0">
        <w:rPr>
          <w:lang w:val="sl-SI"/>
        </w:rPr>
        <w:t>.</w:t>
      </w:r>
    </w:p>
    <w:p w14:paraId="08E6D00B" w14:textId="77777777" w:rsidR="00251748" w:rsidRPr="00545EC0" w:rsidRDefault="00251748" w:rsidP="00764B14">
      <w:pPr>
        <w:pStyle w:val="Pripombabesedilo"/>
        <w:rPr>
          <w:lang w:val="sl-SI"/>
        </w:rPr>
      </w:pPr>
    </w:p>
    <w:p w14:paraId="3B3B96EA" w14:textId="06C684F1" w:rsidR="00764B14" w:rsidRPr="00545EC0" w:rsidRDefault="00764B14" w:rsidP="00AD4FE7">
      <w:r w:rsidRPr="00545EC0">
        <w:t xml:space="preserve">Obremenitve povšrinskih voda zaradi naprav, ki odvajajo industrijsko odpadno vodo so </w:t>
      </w:r>
      <w:r w:rsidR="00617285" w:rsidRPr="00545EC0">
        <w:t>prikazane na publikacijski</w:t>
      </w:r>
      <w:r w:rsidR="002B19AC" w:rsidRPr="00545EC0">
        <w:t xml:space="preserve"> </w:t>
      </w:r>
      <w:r w:rsidR="00617285" w:rsidRPr="00545EC0">
        <w:t>karti (</w:t>
      </w:r>
      <w:r w:rsidR="00617285" w:rsidRPr="00545EC0">
        <w:rPr>
          <w:i/>
        </w:rPr>
        <w:t>Publikacijska karta</w:t>
      </w:r>
      <w:r w:rsidR="001D5C1B" w:rsidRPr="00545EC0">
        <w:rPr>
          <w:i/>
        </w:rPr>
        <w:t xml:space="preserve"> 2.3</w:t>
      </w:r>
      <w:r w:rsidR="00617285" w:rsidRPr="00545EC0">
        <w:rPr>
          <w:i/>
        </w:rPr>
        <w:t xml:space="preserve">: Točkovni viri onesnaževanja – obremenitev površinskih voda </w:t>
      </w:r>
      <w:r w:rsidR="00B368A6" w:rsidRPr="00545EC0">
        <w:rPr>
          <w:rFonts w:cs="Arial"/>
          <w:i/>
          <w:szCs w:val="20"/>
          <w:lang w:eastAsia="zh-CN"/>
        </w:rPr>
        <w:t>zaradi odvajanja odpadne vode iz</w:t>
      </w:r>
      <w:r w:rsidRPr="00545EC0">
        <w:rPr>
          <w:i/>
        </w:rPr>
        <w:t xml:space="preserve"> </w:t>
      </w:r>
      <w:r w:rsidR="00617285" w:rsidRPr="00545EC0">
        <w:rPr>
          <w:i/>
        </w:rPr>
        <w:t>naprav,ki odvajajo industrijsko odpadno vodo</w:t>
      </w:r>
      <w:r w:rsidR="00617285" w:rsidRPr="00545EC0">
        <w:t>)</w:t>
      </w:r>
      <w:r w:rsidR="00251748" w:rsidRPr="00545EC0">
        <w:t>.</w:t>
      </w:r>
    </w:p>
    <w:p w14:paraId="0B496310" w14:textId="77777777" w:rsidR="00617285" w:rsidRPr="00545EC0" w:rsidRDefault="00617285" w:rsidP="00AD4FE7"/>
    <w:p w14:paraId="378A4473" w14:textId="27FF4CA3" w:rsidR="00617285" w:rsidRPr="00545EC0" w:rsidRDefault="00617285" w:rsidP="00AD4FE7">
      <w:r w:rsidRPr="00545EC0">
        <w:lastRenderedPageBreak/>
        <w:t>Na VO Donave je bilo v obdobj</w:t>
      </w:r>
      <w:r w:rsidR="009B7498" w:rsidRPr="00545EC0">
        <w:t>u</w:t>
      </w:r>
      <w:r w:rsidRPr="00545EC0">
        <w:t xml:space="preserve"> 2013—2017 skupno 1180 iztokov industrijske odpadne vode iz 722 naprav. Industrijska odpadna voda se je v letu 2017 </w:t>
      </w:r>
      <w:r w:rsidR="00764B14" w:rsidRPr="00545EC0">
        <w:t xml:space="preserve">od skupno 907 iztokov </w:t>
      </w:r>
      <w:r w:rsidRPr="00545EC0">
        <w:t xml:space="preserve">odvajala v površinske vode iz 330 iztokov </w:t>
      </w:r>
      <w:r w:rsidRPr="00545EC0">
        <w:rPr>
          <w:rFonts w:cs="Arial"/>
          <w:szCs w:val="20"/>
        </w:rPr>
        <w:t>(</w:t>
      </w:r>
      <w:r w:rsidRPr="00545EC0">
        <w:rPr>
          <w:rFonts w:cs="Arial"/>
          <w:szCs w:val="20"/>
        </w:rPr>
        <w:fldChar w:fldCharType="begin"/>
      </w:r>
      <w:r w:rsidRPr="00545EC0">
        <w:rPr>
          <w:rFonts w:cs="Arial"/>
          <w:szCs w:val="20"/>
        </w:rPr>
        <w:instrText xml:space="preserve"> REF _Ref83108932 \h </w:instrText>
      </w:r>
      <w:r w:rsidR="004F2AF2" w:rsidRPr="00545EC0">
        <w:rPr>
          <w:rFonts w:cs="Arial"/>
          <w:szCs w:val="20"/>
        </w:rPr>
        <w:instrText xml:space="preserve"> \* MERGEFORMAT </w:instrText>
      </w:r>
      <w:r w:rsidRPr="00545EC0">
        <w:rPr>
          <w:rFonts w:cs="Arial"/>
          <w:szCs w:val="20"/>
        </w:rPr>
      </w:r>
      <w:r w:rsidRPr="00545EC0">
        <w:rPr>
          <w:rFonts w:cs="Arial"/>
          <w:szCs w:val="20"/>
        </w:rPr>
        <w:fldChar w:fldCharType="separate"/>
      </w:r>
      <w:r w:rsidR="002F3E43" w:rsidRPr="00545EC0">
        <w:t xml:space="preserve">Preglednica </w:t>
      </w:r>
      <w:r w:rsidR="002F3E43">
        <w:rPr>
          <w:noProof/>
        </w:rPr>
        <w:t>2</w:t>
      </w:r>
      <w:r w:rsidR="002F3E43" w:rsidRPr="00545EC0">
        <w:rPr>
          <w:noProof/>
        </w:rPr>
        <w:noBreakHyphen/>
      </w:r>
      <w:r w:rsidR="002F3E43">
        <w:rPr>
          <w:noProof/>
        </w:rPr>
        <w:t>9</w:t>
      </w:r>
      <w:r w:rsidRPr="00545EC0">
        <w:rPr>
          <w:rFonts w:cs="Arial"/>
          <w:szCs w:val="20"/>
        </w:rPr>
        <w:fldChar w:fldCharType="end"/>
      </w:r>
      <w:r w:rsidRPr="00545EC0">
        <w:rPr>
          <w:rFonts w:cs="Arial"/>
          <w:szCs w:val="20"/>
        </w:rPr>
        <w:t>)</w:t>
      </w:r>
      <w:r w:rsidRPr="00545EC0">
        <w:t xml:space="preserve">. </w:t>
      </w:r>
      <w:r w:rsidR="00764B14" w:rsidRPr="00545EC0">
        <w:t xml:space="preserve">Iz </w:t>
      </w:r>
      <w:r w:rsidRPr="00545EC0">
        <w:t>preostalih 5</w:t>
      </w:r>
      <w:r w:rsidR="00251748" w:rsidRPr="00545EC0">
        <w:t>77 iztokov</w:t>
      </w:r>
      <w:r w:rsidRPr="00545EC0">
        <w:t xml:space="preserve"> se je industrijska odpadna voda odvajala v javno kanalizacijo, ki se zaključi s komunalno čistilno napravo. </w:t>
      </w:r>
      <w:r w:rsidRPr="00545EC0">
        <w:rPr>
          <w:rFonts w:cs="Arial"/>
          <w:szCs w:val="20"/>
        </w:rPr>
        <w:t xml:space="preserve">Največje število naprav, ki odvajajo industrijsko odpadno vodo v površinske vode, se nahaja na porečju Save. </w:t>
      </w:r>
      <w:r w:rsidRPr="00545EC0">
        <w:t>Največja gostota naprav (št</w:t>
      </w:r>
      <w:r w:rsidR="00251748" w:rsidRPr="00545EC0">
        <w:t>.</w:t>
      </w:r>
      <w:r w:rsidRPr="00545EC0">
        <w:t>/km</w:t>
      </w:r>
      <w:r w:rsidRPr="00545EC0">
        <w:rPr>
          <w:vertAlign w:val="superscript"/>
        </w:rPr>
        <w:t>2</w:t>
      </w:r>
      <w:r w:rsidRPr="00545EC0">
        <w:t>) se nahaja na porečju Drave</w:t>
      </w:r>
      <w:r w:rsidR="00984C96" w:rsidRPr="00545EC0">
        <w:t xml:space="preserve"> (IzVRS, 2021)</w:t>
      </w:r>
      <w:r w:rsidRPr="00545EC0">
        <w:t xml:space="preserve">. </w:t>
      </w:r>
    </w:p>
    <w:p w14:paraId="4E70BEC0" w14:textId="77777777" w:rsidR="00617285" w:rsidRPr="00545EC0" w:rsidRDefault="00617285" w:rsidP="00AD4FE7"/>
    <w:p w14:paraId="5652B6D2" w14:textId="0222943C" w:rsidR="00617285" w:rsidRPr="00545EC0" w:rsidRDefault="00617285" w:rsidP="00AD4FE7">
      <w:r w:rsidRPr="00545EC0">
        <w:rPr>
          <w:rFonts w:cs="Arial"/>
        </w:rPr>
        <w:t xml:space="preserve">V okviru točkovnih virov industrijske odpadne vode so ločeno obravnavane industrijske odpadne vode iz odlagališč odpadkov. Glede na podatke </w:t>
      </w:r>
      <w:r w:rsidR="00522EEA" w:rsidRPr="00545EC0">
        <w:rPr>
          <w:rFonts w:cs="Arial"/>
        </w:rPr>
        <w:t xml:space="preserve">iz </w:t>
      </w:r>
      <w:r w:rsidRPr="00545EC0">
        <w:t>obratovaln</w:t>
      </w:r>
      <w:r w:rsidR="00522EEA" w:rsidRPr="00545EC0">
        <w:t>ih</w:t>
      </w:r>
      <w:r w:rsidRPr="00545EC0">
        <w:t xml:space="preserve"> monitoring</w:t>
      </w:r>
      <w:r w:rsidR="00522EEA" w:rsidRPr="00545EC0">
        <w:t>ov</w:t>
      </w:r>
      <w:r w:rsidRPr="00545EC0">
        <w:t xml:space="preserve"> industrijskih odpadnih voda se je odpadna voda iz odlagališč v letu 2017 odvajala v površinske vode na 125 iztokih. Število iztokov industrijsk</w:t>
      </w:r>
      <w:r w:rsidR="009B7498" w:rsidRPr="00545EC0">
        <w:t>e</w:t>
      </w:r>
      <w:r w:rsidRPr="00545EC0">
        <w:t xml:space="preserve"> odpadn</w:t>
      </w:r>
      <w:r w:rsidR="009B7498" w:rsidRPr="00545EC0">
        <w:t>e</w:t>
      </w:r>
      <w:r w:rsidRPr="00545EC0">
        <w:t xml:space="preserve"> vod</w:t>
      </w:r>
      <w:r w:rsidR="009B7498" w:rsidRPr="00545EC0">
        <w:t>e</w:t>
      </w:r>
      <w:r w:rsidRPr="00545EC0">
        <w:t xml:space="preserve"> iz odlagališč odpadkov</w:t>
      </w:r>
      <w:r w:rsidR="009B7498" w:rsidRPr="00545EC0">
        <w:t xml:space="preserve"> v tla</w:t>
      </w:r>
      <w:r w:rsidRPr="00545EC0">
        <w:t>, ki se odvaja v površinske vode je na VO Donave večje za okoli 51% v primerjavi s številom iztokov v tla, ki so obravnavani v poglavju 2.2.2 tega načrta upravljanja voda</w:t>
      </w:r>
      <w:r w:rsidR="00984C96" w:rsidRPr="00545EC0">
        <w:t xml:space="preserve"> (IzVRS, 2021)</w:t>
      </w:r>
      <w:r w:rsidRPr="00545EC0">
        <w:t>.</w:t>
      </w:r>
    </w:p>
    <w:p w14:paraId="3E3C85C8" w14:textId="77777777" w:rsidR="00617285" w:rsidRPr="00545EC0" w:rsidRDefault="00617285" w:rsidP="00AD4FE7"/>
    <w:p w14:paraId="008C9247" w14:textId="082BCBAE" w:rsidR="008F5BFC" w:rsidRPr="00545EC0" w:rsidRDefault="00617285" w:rsidP="00AD4FE7">
      <w:pPr>
        <w:rPr>
          <w:rFonts w:cs="Arial"/>
        </w:rPr>
      </w:pPr>
      <w:r w:rsidRPr="00545EC0">
        <w:rPr>
          <w:rFonts w:cs="Arial"/>
        </w:rPr>
        <w:t>Na podlagi razpoložljivih podatkov in ob upoštevanju podatk</w:t>
      </w:r>
      <w:r w:rsidR="009B7498" w:rsidRPr="00545EC0">
        <w:rPr>
          <w:rFonts w:cs="Arial"/>
        </w:rPr>
        <w:t>ov</w:t>
      </w:r>
      <w:r w:rsidRPr="00545EC0">
        <w:rPr>
          <w:rFonts w:cs="Arial"/>
        </w:rPr>
        <w:t xml:space="preserve"> o IED napravah je na VO Donave v letu 2017 obratovalo 107 naprav (235 iztokov), </w:t>
      </w:r>
      <w:r w:rsidRPr="00545EC0">
        <w:t>ki lahko povzročajo onesnaževanje okolja večjega obsega</w:t>
      </w:r>
      <w:r w:rsidR="00522EEA" w:rsidRPr="00545EC0">
        <w:t xml:space="preserve"> in iz katerih se odvajajo industrijske odpadne vode</w:t>
      </w:r>
      <w:r w:rsidRPr="00545EC0">
        <w:t xml:space="preserve">. </w:t>
      </w:r>
      <w:r w:rsidRPr="00545EC0">
        <w:rPr>
          <w:rFonts w:cs="Arial"/>
        </w:rPr>
        <w:t>Največ IED naprav</w:t>
      </w:r>
      <w:r w:rsidR="00522EEA" w:rsidRPr="00545EC0">
        <w:rPr>
          <w:rFonts w:cs="Arial"/>
        </w:rPr>
        <w:t xml:space="preserve">, </w:t>
      </w:r>
      <w:r w:rsidR="00522EEA" w:rsidRPr="00545EC0">
        <w:t>ki imajo iztoke industrijskih odapdnih voda,</w:t>
      </w:r>
      <w:r w:rsidRPr="00545EC0">
        <w:rPr>
          <w:rFonts w:cs="Arial"/>
        </w:rPr>
        <w:t xml:space="preserve"> je na območju Srednje Save </w:t>
      </w:r>
      <w:r w:rsidR="008F5BFC" w:rsidRPr="00545EC0">
        <w:rPr>
          <w:rFonts w:cs="Arial"/>
        </w:rPr>
        <w:t xml:space="preserve">(36) in na porečju Drave (25). </w:t>
      </w:r>
    </w:p>
    <w:p w14:paraId="0B6B3F59" w14:textId="77777777" w:rsidR="008F5BFC" w:rsidRPr="00545EC0" w:rsidRDefault="008F5BFC" w:rsidP="00AD4FE7"/>
    <w:p w14:paraId="4E1228DE" w14:textId="67FB1F7B" w:rsidR="00E86B40" w:rsidRPr="00545EC0" w:rsidRDefault="00617285" w:rsidP="00AD4FE7">
      <w:pPr>
        <w:pStyle w:val="Napis"/>
      </w:pPr>
      <w:bookmarkStart w:id="135" w:name="_Ref83108932"/>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9</w:t>
        </w:r>
      </w:fldSimple>
      <w:bookmarkEnd w:id="135"/>
      <w:r w:rsidRPr="00545EC0">
        <w:t>: Število naprav IED in drugih naprav ter število iztokov industrijske odpadne vode na porečjih VO Donave (2017)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59"/>
        <w:gridCol w:w="991"/>
        <w:gridCol w:w="1135"/>
        <w:gridCol w:w="709"/>
        <w:gridCol w:w="917"/>
      </w:tblGrid>
      <w:tr w:rsidR="003122F4" w:rsidRPr="00545EC0" w14:paraId="3281822F" w14:textId="77777777" w:rsidTr="008F5BFC">
        <w:trPr>
          <w:cantSplit/>
          <w:trHeight w:val="340"/>
          <w:tblHeader/>
        </w:trPr>
        <w:tc>
          <w:tcPr>
            <w:tcW w:w="2963" w:type="pct"/>
            <w:shd w:val="clear" w:color="auto" w:fill="F2F2F2" w:themeFill="background1" w:themeFillShade="F2"/>
            <w:vAlign w:val="center"/>
            <w:hideMark/>
          </w:tcPr>
          <w:p w14:paraId="68FC4247" w14:textId="77777777" w:rsidR="00617285" w:rsidRPr="00545EC0" w:rsidRDefault="00617285" w:rsidP="00AD4FE7">
            <w:pPr>
              <w:pStyle w:val="Odstavekseznama"/>
              <w:ind w:left="142"/>
              <w:rPr>
                <w:rFonts w:cs="Arial"/>
                <w:b/>
                <w:bCs/>
                <w:sz w:val="18"/>
                <w:szCs w:val="18"/>
                <w:lang w:val="sl-SI" w:eastAsia="sl-SI"/>
              </w:rPr>
            </w:pPr>
            <w:r w:rsidRPr="00545EC0">
              <w:rPr>
                <w:rFonts w:cs="Arial"/>
                <w:b/>
                <w:bCs/>
                <w:sz w:val="18"/>
                <w:szCs w:val="18"/>
                <w:lang w:val="sl-SI" w:eastAsia="sl-SI"/>
              </w:rPr>
              <w:t> </w:t>
            </w:r>
          </w:p>
        </w:tc>
        <w:tc>
          <w:tcPr>
            <w:tcW w:w="538" w:type="pct"/>
            <w:shd w:val="clear" w:color="auto" w:fill="F2F2F2" w:themeFill="background1" w:themeFillShade="F2"/>
            <w:noWrap/>
            <w:vAlign w:val="center"/>
            <w:hideMark/>
          </w:tcPr>
          <w:p w14:paraId="30878785" w14:textId="77777777" w:rsidR="00617285" w:rsidRPr="00545EC0" w:rsidRDefault="00617285" w:rsidP="00AD4FE7">
            <w:pPr>
              <w:pStyle w:val="Odstavekseznama"/>
              <w:ind w:left="0"/>
              <w:jc w:val="center"/>
              <w:rPr>
                <w:rFonts w:cs="Arial"/>
                <w:b/>
                <w:bCs/>
                <w:sz w:val="18"/>
                <w:szCs w:val="18"/>
                <w:lang w:val="sl-SI" w:eastAsia="sl-SI"/>
              </w:rPr>
            </w:pPr>
            <w:r w:rsidRPr="00545EC0">
              <w:rPr>
                <w:rFonts w:cs="Arial"/>
                <w:b/>
                <w:bCs/>
                <w:sz w:val="18"/>
                <w:szCs w:val="18"/>
                <w:lang w:val="sl-SI" w:eastAsia="sl-SI"/>
              </w:rPr>
              <w:t>Mura</w:t>
            </w:r>
          </w:p>
        </w:tc>
        <w:tc>
          <w:tcPr>
            <w:tcW w:w="616" w:type="pct"/>
            <w:shd w:val="clear" w:color="auto" w:fill="F2F2F2" w:themeFill="background1" w:themeFillShade="F2"/>
            <w:noWrap/>
            <w:vAlign w:val="center"/>
            <w:hideMark/>
          </w:tcPr>
          <w:p w14:paraId="5A66B81B" w14:textId="77777777" w:rsidR="00617285" w:rsidRPr="00545EC0" w:rsidRDefault="00617285" w:rsidP="00AD4FE7">
            <w:pPr>
              <w:pStyle w:val="Odstavekseznama"/>
              <w:ind w:left="0"/>
              <w:jc w:val="center"/>
              <w:rPr>
                <w:rFonts w:cs="Arial"/>
                <w:b/>
                <w:bCs/>
                <w:sz w:val="18"/>
                <w:szCs w:val="18"/>
                <w:lang w:val="sl-SI" w:eastAsia="sl-SI"/>
              </w:rPr>
            </w:pPr>
            <w:r w:rsidRPr="00545EC0">
              <w:rPr>
                <w:rFonts w:cs="Arial"/>
                <w:b/>
                <w:bCs/>
                <w:sz w:val="18"/>
                <w:szCs w:val="18"/>
                <w:lang w:val="sl-SI" w:eastAsia="sl-SI"/>
              </w:rPr>
              <w:t>Drava</w:t>
            </w:r>
          </w:p>
        </w:tc>
        <w:tc>
          <w:tcPr>
            <w:tcW w:w="385" w:type="pct"/>
            <w:shd w:val="clear" w:color="auto" w:fill="F2F2F2" w:themeFill="background1" w:themeFillShade="F2"/>
            <w:noWrap/>
            <w:vAlign w:val="center"/>
            <w:hideMark/>
          </w:tcPr>
          <w:p w14:paraId="31B1C5E4" w14:textId="77777777" w:rsidR="00617285" w:rsidRPr="00545EC0" w:rsidRDefault="00617285" w:rsidP="00AD4FE7">
            <w:pPr>
              <w:pStyle w:val="Odstavekseznama"/>
              <w:ind w:left="0"/>
              <w:jc w:val="center"/>
              <w:rPr>
                <w:rFonts w:cs="Arial"/>
                <w:b/>
                <w:bCs/>
                <w:sz w:val="18"/>
                <w:szCs w:val="18"/>
                <w:lang w:val="sl-SI" w:eastAsia="sl-SI"/>
              </w:rPr>
            </w:pPr>
            <w:r w:rsidRPr="00545EC0">
              <w:rPr>
                <w:rFonts w:cs="Arial"/>
                <w:b/>
                <w:bCs/>
                <w:sz w:val="18"/>
                <w:szCs w:val="18"/>
                <w:lang w:val="sl-SI" w:eastAsia="sl-SI"/>
              </w:rPr>
              <w:t>Sava</w:t>
            </w:r>
          </w:p>
        </w:tc>
        <w:tc>
          <w:tcPr>
            <w:tcW w:w="498" w:type="pct"/>
            <w:shd w:val="clear" w:color="auto" w:fill="F2F2F2" w:themeFill="background1" w:themeFillShade="F2"/>
            <w:vAlign w:val="center"/>
            <w:hideMark/>
          </w:tcPr>
          <w:p w14:paraId="0C018CC1" w14:textId="77777777" w:rsidR="00617285" w:rsidRPr="00545EC0" w:rsidRDefault="00617285" w:rsidP="00AD4FE7">
            <w:pPr>
              <w:pStyle w:val="Odstavekseznama"/>
              <w:ind w:left="0"/>
              <w:jc w:val="center"/>
              <w:rPr>
                <w:rFonts w:cs="Arial"/>
                <w:b/>
                <w:bCs/>
                <w:sz w:val="18"/>
                <w:szCs w:val="18"/>
                <w:lang w:val="sl-SI" w:eastAsia="sl-SI"/>
              </w:rPr>
            </w:pPr>
            <w:r w:rsidRPr="00545EC0">
              <w:rPr>
                <w:rFonts w:cs="Arial"/>
                <w:b/>
                <w:bCs/>
                <w:sz w:val="18"/>
                <w:szCs w:val="18"/>
                <w:lang w:val="sl-SI" w:eastAsia="sl-SI"/>
              </w:rPr>
              <w:t>VO Donava</w:t>
            </w:r>
          </w:p>
        </w:tc>
      </w:tr>
      <w:tr w:rsidR="003122F4" w:rsidRPr="00545EC0" w14:paraId="269A77D0" w14:textId="77777777" w:rsidTr="00017486">
        <w:trPr>
          <w:cantSplit/>
          <w:trHeight w:val="340"/>
        </w:trPr>
        <w:tc>
          <w:tcPr>
            <w:tcW w:w="5000" w:type="pct"/>
            <w:gridSpan w:val="5"/>
            <w:shd w:val="clear" w:color="auto" w:fill="auto"/>
            <w:vAlign w:val="center"/>
            <w:hideMark/>
          </w:tcPr>
          <w:p w14:paraId="2D6C1626" w14:textId="77777777" w:rsidR="00617285" w:rsidRPr="00545EC0" w:rsidRDefault="00617285" w:rsidP="00AD4FE7">
            <w:pPr>
              <w:pStyle w:val="Odstavekseznama"/>
              <w:ind w:left="0"/>
              <w:rPr>
                <w:rFonts w:cs="Arial"/>
                <w:b/>
                <w:bCs/>
                <w:sz w:val="18"/>
                <w:szCs w:val="18"/>
                <w:lang w:val="sl-SI" w:eastAsia="sl-SI"/>
              </w:rPr>
            </w:pPr>
            <w:r w:rsidRPr="00545EC0">
              <w:rPr>
                <w:rFonts w:cs="Arial"/>
                <w:b/>
                <w:bCs/>
                <w:sz w:val="18"/>
                <w:szCs w:val="18"/>
                <w:lang w:val="sl-SI" w:eastAsia="sl-SI"/>
              </w:rPr>
              <w:t>IED naprave:</w:t>
            </w:r>
          </w:p>
        </w:tc>
      </w:tr>
      <w:tr w:rsidR="003122F4" w:rsidRPr="00545EC0" w14:paraId="1231C479" w14:textId="77777777" w:rsidTr="00017486">
        <w:trPr>
          <w:cantSplit/>
          <w:trHeight w:val="340"/>
        </w:trPr>
        <w:tc>
          <w:tcPr>
            <w:tcW w:w="2963" w:type="pct"/>
            <w:shd w:val="clear" w:color="auto" w:fill="auto"/>
            <w:vAlign w:val="center"/>
            <w:hideMark/>
          </w:tcPr>
          <w:p w14:paraId="0EF32F65" w14:textId="77777777" w:rsidR="00617285" w:rsidRPr="00545EC0" w:rsidRDefault="00617285" w:rsidP="00AD4FE7">
            <w:pPr>
              <w:pStyle w:val="Odstavekseznama"/>
              <w:ind w:left="142"/>
              <w:rPr>
                <w:rFonts w:cs="Arial"/>
                <w:bCs/>
                <w:sz w:val="18"/>
                <w:szCs w:val="18"/>
                <w:lang w:val="sl-SI" w:eastAsia="sl-SI"/>
              </w:rPr>
            </w:pPr>
            <w:r w:rsidRPr="00545EC0">
              <w:rPr>
                <w:rFonts w:cs="Arial"/>
                <w:bCs/>
                <w:sz w:val="18"/>
                <w:szCs w:val="18"/>
                <w:lang w:val="sl-SI" w:eastAsia="sl-SI"/>
              </w:rPr>
              <w:t>število naprav</w:t>
            </w:r>
          </w:p>
        </w:tc>
        <w:tc>
          <w:tcPr>
            <w:tcW w:w="538" w:type="pct"/>
            <w:shd w:val="clear" w:color="auto" w:fill="auto"/>
            <w:vAlign w:val="center"/>
          </w:tcPr>
          <w:p w14:paraId="226DFE73" w14:textId="77777777" w:rsidR="00617285" w:rsidRPr="00545EC0" w:rsidRDefault="00617285" w:rsidP="00AD4FE7">
            <w:pPr>
              <w:pStyle w:val="Odstavekseznama"/>
              <w:ind w:left="0"/>
              <w:jc w:val="center"/>
              <w:rPr>
                <w:rFonts w:cs="Arial"/>
                <w:bCs/>
                <w:sz w:val="18"/>
                <w:szCs w:val="18"/>
                <w:lang w:val="sl-SI" w:eastAsia="sl-SI"/>
              </w:rPr>
            </w:pPr>
            <w:r w:rsidRPr="00545EC0">
              <w:rPr>
                <w:rFonts w:cs="Arial"/>
                <w:sz w:val="18"/>
                <w:szCs w:val="18"/>
                <w:lang w:val="sl-SI"/>
              </w:rPr>
              <w:t>7</w:t>
            </w:r>
          </w:p>
        </w:tc>
        <w:tc>
          <w:tcPr>
            <w:tcW w:w="616" w:type="pct"/>
            <w:shd w:val="clear" w:color="auto" w:fill="auto"/>
            <w:vAlign w:val="center"/>
          </w:tcPr>
          <w:p w14:paraId="70C74390" w14:textId="77777777" w:rsidR="00617285" w:rsidRPr="00545EC0" w:rsidRDefault="00617285" w:rsidP="00AD4FE7">
            <w:pPr>
              <w:pStyle w:val="Odstavekseznama"/>
              <w:ind w:left="0"/>
              <w:jc w:val="center"/>
              <w:rPr>
                <w:rFonts w:cs="Arial"/>
                <w:bCs/>
                <w:sz w:val="18"/>
                <w:szCs w:val="18"/>
                <w:lang w:val="sl-SI" w:eastAsia="sl-SI"/>
              </w:rPr>
            </w:pPr>
            <w:r w:rsidRPr="00545EC0">
              <w:rPr>
                <w:rFonts w:cs="Arial"/>
                <w:sz w:val="18"/>
                <w:szCs w:val="18"/>
                <w:lang w:val="sl-SI"/>
              </w:rPr>
              <w:t>25</w:t>
            </w:r>
          </w:p>
        </w:tc>
        <w:tc>
          <w:tcPr>
            <w:tcW w:w="385" w:type="pct"/>
            <w:shd w:val="clear" w:color="auto" w:fill="auto"/>
            <w:vAlign w:val="center"/>
          </w:tcPr>
          <w:p w14:paraId="2777D796" w14:textId="77777777" w:rsidR="00617285" w:rsidRPr="00545EC0" w:rsidRDefault="00617285" w:rsidP="00AD4FE7">
            <w:pPr>
              <w:pStyle w:val="Odstavekseznama"/>
              <w:ind w:left="0"/>
              <w:jc w:val="center"/>
              <w:rPr>
                <w:rFonts w:cs="Arial"/>
                <w:bCs/>
                <w:sz w:val="18"/>
                <w:szCs w:val="18"/>
                <w:lang w:val="sl-SI" w:eastAsia="sl-SI"/>
              </w:rPr>
            </w:pPr>
            <w:r w:rsidRPr="00545EC0">
              <w:rPr>
                <w:rFonts w:cs="Arial"/>
                <w:sz w:val="18"/>
                <w:szCs w:val="18"/>
                <w:lang w:val="sl-SI"/>
              </w:rPr>
              <w:t>75</w:t>
            </w:r>
          </w:p>
        </w:tc>
        <w:tc>
          <w:tcPr>
            <w:tcW w:w="498" w:type="pct"/>
            <w:shd w:val="clear" w:color="auto" w:fill="auto"/>
            <w:vAlign w:val="center"/>
          </w:tcPr>
          <w:p w14:paraId="3B965B1A" w14:textId="77777777" w:rsidR="00617285" w:rsidRPr="00545EC0" w:rsidRDefault="00617285" w:rsidP="00AD4FE7">
            <w:pPr>
              <w:pStyle w:val="Odstavekseznama"/>
              <w:ind w:left="0"/>
              <w:jc w:val="center"/>
              <w:rPr>
                <w:rFonts w:cs="Arial"/>
                <w:bCs/>
                <w:sz w:val="18"/>
                <w:szCs w:val="18"/>
                <w:lang w:val="sl-SI" w:eastAsia="sl-SI"/>
              </w:rPr>
            </w:pPr>
            <w:r w:rsidRPr="00545EC0">
              <w:rPr>
                <w:rFonts w:cs="Arial"/>
                <w:sz w:val="18"/>
                <w:szCs w:val="18"/>
                <w:lang w:val="sl-SI"/>
              </w:rPr>
              <w:t>107</w:t>
            </w:r>
          </w:p>
        </w:tc>
      </w:tr>
      <w:tr w:rsidR="003122F4" w:rsidRPr="00545EC0" w14:paraId="469A2924" w14:textId="77777777" w:rsidTr="00017486">
        <w:trPr>
          <w:cantSplit/>
          <w:trHeight w:val="340"/>
        </w:trPr>
        <w:tc>
          <w:tcPr>
            <w:tcW w:w="2963" w:type="pct"/>
            <w:shd w:val="clear" w:color="auto" w:fill="auto"/>
            <w:vAlign w:val="center"/>
            <w:hideMark/>
          </w:tcPr>
          <w:p w14:paraId="1A4B0923" w14:textId="77777777" w:rsidR="00617285" w:rsidRPr="00545EC0" w:rsidRDefault="00617285" w:rsidP="00AD4FE7">
            <w:pPr>
              <w:pStyle w:val="Odstavekseznama"/>
              <w:ind w:left="142"/>
              <w:rPr>
                <w:rFonts w:cs="Arial"/>
                <w:bCs/>
                <w:sz w:val="18"/>
                <w:szCs w:val="18"/>
                <w:lang w:val="sl-SI" w:eastAsia="sl-SI"/>
              </w:rPr>
            </w:pPr>
            <w:r w:rsidRPr="00545EC0">
              <w:rPr>
                <w:rFonts w:cs="Arial"/>
                <w:bCs/>
                <w:sz w:val="18"/>
                <w:szCs w:val="18"/>
                <w:lang w:val="sl-SI" w:eastAsia="sl-SI"/>
              </w:rPr>
              <w:t>število iztokov</w:t>
            </w:r>
          </w:p>
        </w:tc>
        <w:tc>
          <w:tcPr>
            <w:tcW w:w="538" w:type="pct"/>
            <w:shd w:val="clear" w:color="auto" w:fill="auto"/>
            <w:vAlign w:val="center"/>
          </w:tcPr>
          <w:p w14:paraId="4BAA3983" w14:textId="77777777" w:rsidR="00617285" w:rsidRPr="00545EC0" w:rsidRDefault="00617285" w:rsidP="00AD4FE7">
            <w:pPr>
              <w:pStyle w:val="Odstavekseznama"/>
              <w:ind w:left="0"/>
              <w:jc w:val="center"/>
              <w:rPr>
                <w:rFonts w:cs="Arial"/>
                <w:bCs/>
                <w:sz w:val="18"/>
                <w:szCs w:val="18"/>
                <w:lang w:val="sl-SI" w:eastAsia="sl-SI"/>
              </w:rPr>
            </w:pPr>
            <w:r w:rsidRPr="00545EC0">
              <w:rPr>
                <w:rFonts w:cs="Arial"/>
                <w:sz w:val="18"/>
                <w:szCs w:val="18"/>
                <w:lang w:val="sl-SI"/>
              </w:rPr>
              <w:t>11</w:t>
            </w:r>
          </w:p>
        </w:tc>
        <w:tc>
          <w:tcPr>
            <w:tcW w:w="616" w:type="pct"/>
            <w:shd w:val="clear" w:color="auto" w:fill="auto"/>
            <w:vAlign w:val="center"/>
          </w:tcPr>
          <w:p w14:paraId="5C6D4076" w14:textId="77777777" w:rsidR="00617285" w:rsidRPr="00545EC0" w:rsidRDefault="00617285" w:rsidP="00AD4FE7">
            <w:pPr>
              <w:pStyle w:val="Odstavekseznama"/>
              <w:ind w:left="0"/>
              <w:jc w:val="center"/>
              <w:rPr>
                <w:rFonts w:cs="Arial"/>
                <w:bCs/>
                <w:sz w:val="18"/>
                <w:szCs w:val="18"/>
                <w:lang w:val="sl-SI" w:eastAsia="sl-SI"/>
              </w:rPr>
            </w:pPr>
            <w:r w:rsidRPr="00545EC0">
              <w:rPr>
                <w:rFonts w:cs="Arial"/>
                <w:sz w:val="18"/>
                <w:szCs w:val="18"/>
                <w:lang w:val="sl-SI"/>
              </w:rPr>
              <w:t>68</w:t>
            </w:r>
          </w:p>
        </w:tc>
        <w:tc>
          <w:tcPr>
            <w:tcW w:w="385" w:type="pct"/>
            <w:shd w:val="clear" w:color="auto" w:fill="auto"/>
            <w:vAlign w:val="center"/>
          </w:tcPr>
          <w:p w14:paraId="664EE1F4" w14:textId="77777777" w:rsidR="00617285" w:rsidRPr="00545EC0" w:rsidRDefault="00617285" w:rsidP="00AD4FE7">
            <w:pPr>
              <w:pStyle w:val="Odstavekseznama"/>
              <w:ind w:left="0"/>
              <w:jc w:val="center"/>
              <w:rPr>
                <w:rFonts w:cs="Arial"/>
                <w:bCs/>
                <w:sz w:val="18"/>
                <w:szCs w:val="18"/>
                <w:lang w:val="sl-SI" w:eastAsia="sl-SI"/>
              </w:rPr>
            </w:pPr>
            <w:r w:rsidRPr="00545EC0">
              <w:rPr>
                <w:rFonts w:cs="Arial"/>
                <w:sz w:val="18"/>
                <w:szCs w:val="18"/>
                <w:lang w:val="sl-SI"/>
              </w:rPr>
              <w:t>156</w:t>
            </w:r>
          </w:p>
        </w:tc>
        <w:tc>
          <w:tcPr>
            <w:tcW w:w="498" w:type="pct"/>
            <w:shd w:val="clear" w:color="auto" w:fill="auto"/>
            <w:vAlign w:val="center"/>
          </w:tcPr>
          <w:p w14:paraId="7B3F4DD7" w14:textId="77777777" w:rsidR="00617285" w:rsidRPr="00545EC0" w:rsidRDefault="00617285" w:rsidP="00AD4FE7">
            <w:pPr>
              <w:pStyle w:val="Odstavekseznama"/>
              <w:ind w:left="0"/>
              <w:jc w:val="center"/>
              <w:rPr>
                <w:rFonts w:cs="Arial"/>
                <w:bCs/>
                <w:sz w:val="18"/>
                <w:szCs w:val="18"/>
                <w:lang w:val="sl-SI" w:eastAsia="sl-SI"/>
              </w:rPr>
            </w:pPr>
            <w:r w:rsidRPr="00545EC0">
              <w:rPr>
                <w:rFonts w:cs="Arial"/>
                <w:sz w:val="18"/>
                <w:szCs w:val="18"/>
                <w:lang w:val="sl-SI"/>
              </w:rPr>
              <w:t>235</w:t>
            </w:r>
          </w:p>
        </w:tc>
      </w:tr>
      <w:tr w:rsidR="003122F4" w:rsidRPr="00545EC0" w14:paraId="716DA203" w14:textId="77777777" w:rsidTr="00017486">
        <w:trPr>
          <w:cantSplit/>
          <w:trHeight w:val="340"/>
        </w:trPr>
        <w:tc>
          <w:tcPr>
            <w:tcW w:w="2963" w:type="pct"/>
            <w:shd w:val="clear" w:color="auto" w:fill="auto"/>
            <w:vAlign w:val="center"/>
            <w:hideMark/>
          </w:tcPr>
          <w:p w14:paraId="23292378" w14:textId="4BF3613B" w:rsidR="00617285" w:rsidRPr="00545EC0" w:rsidRDefault="00522EEA" w:rsidP="00DD37C5">
            <w:pPr>
              <w:pStyle w:val="Odstavekseznama"/>
              <w:numPr>
                <w:ilvl w:val="0"/>
                <w:numId w:val="85"/>
              </w:numPr>
              <w:rPr>
                <w:rFonts w:cs="Arial"/>
                <w:bCs/>
                <w:sz w:val="18"/>
                <w:szCs w:val="18"/>
                <w:lang w:val="sl-SI" w:eastAsia="sl-SI"/>
              </w:rPr>
            </w:pPr>
            <w:r w:rsidRPr="00545EC0">
              <w:rPr>
                <w:rFonts w:cs="Arial"/>
                <w:bCs/>
                <w:sz w:val="18"/>
                <w:szCs w:val="18"/>
                <w:lang w:val="sl-SI" w:eastAsia="sl-SI"/>
              </w:rPr>
              <w:t>neposredno odvajanje v površinske vode</w:t>
            </w:r>
          </w:p>
        </w:tc>
        <w:tc>
          <w:tcPr>
            <w:tcW w:w="538" w:type="pct"/>
            <w:shd w:val="clear" w:color="auto" w:fill="auto"/>
            <w:vAlign w:val="center"/>
          </w:tcPr>
          <w:p w14:paraId="7C4280D1" w14:textId="77777777" w:rsidR="00617285" w:rsidRPr="00545EC0" w:rsidRDefault="00617285" w:rsidP="00AD4FE7">
            <w:pPr>
              <w:pStyle w:val="Odstavekseznama"/>
              <w:ind w:left="0"/>
              <w:jc w:val="center"/>
              <w:rPr>
                <w:rFonts w:cs="Arial"/>
                <w:bCs/>
                <w:sz w:val="18"/>
                <w:szCs w:val="18"/>
                <w:lang w:val="sl-SI" w:eastAsia="sl-SI"/>
              </w:rPr>
            </w:pPr>
            <w:r w:rsidRPr="00545EC0">
              <w:rPr>
                <w:rFonts w:cs="Arial"/>
                <w:sz w:val="18"/>
                <w:szCs w:val="18"/>
                <w:lang w:val="sl-SI"/>
              </w:rPr>
              <w:t>4</w:t>
            </w:r>
          </w:p>
        </w:tc>
        <w:tc>
          <w:tcPr>
            <w:tcW w:w="616" w:type="pct"/>
            <w:shd w:val="clear" w:color="auto" w:fill="auto"/>
            <w:vAlign w:val="center"/>
          </w:tcPr>
          <w:p w14:paraId="1E54C40B" w14:textId="77777777" w:rsidR="00617285" w:rsidRPr="00545EC0" w:rsidRDefault="00617285" w:rsidP="00AD4FE7">
            <w:pPr>
              <w:pStyle w:val="Odstavekseznama"/>
              <w:ind w:left="0"/>
              <w:jc w:val="center"/>
              <w:rPr>
                <w:rFonts w:cs="Arial"/>
                <w:bCs/>
                <w:sz w:val="18"/>
                <w:szCs w:val="18"/>
                <w:lang w:val="sl-SI" w:eastAsia="sl-SI"/>
              </w:rPr>
            </w:pPr>
            <w:r w:rsidRPr="00545EC0">
              <w:rPr>
                <w:rFonts w:cs="Arial"/>
                <w:sz w:val="18"/>
                <w:szCs w:val="18"/>
                <w:lang w:val="sl-SI"/>
              </w:rPr>
              <w:t>53</w:t>
            </w:r>
          </w:p>
        </w:tc>
        <w:tc>
          <w:tcPr>
            <w:tcW w:w="385" w:type="pct"/>
            <w:shd w:val="clear" w:color="auto" w:fill="auto"/>
            <w:vAlign w:val="center"/>
          </w:tcPr>
          <w:p w14:paraId="34F1A60D" w14:textId="77777777" w:rsidR="00617285" w:rsidRPr="00545EC0" w:rsidRDefault="00617285" w:rsidP="00AD4FE7">
            <w:pPr>
              <w:pStyle w:val="Odstavekseznama"/>
              <w:ind w:left="0"/>
              <w:jc w:val="center"/>
              <w:rPr>
                <w:rFonts w:cs="Arial"/>
                <w:bCs/>
                <w:sz w:val="18"/>
                <w:szCs w:val="18"/>
                <w:lang w:val="sl-SI" w:eastAsia="sl-SI"/>
              </w:rPr>
            </w:pPr>
            <w:r w:rsidRPr="00545EC0">
              <w:rPr>
                <w:rFonts w:cs="Arial"/>
                <w:sz w:val="18"/>
                <w:szCs w:val="18"/>
                <w:lang w:val="sl-SI"/>
              </w:rPr>
              <w:t>76</w:t>
            </w:r>
          </w:p>
        </w:tc>
        <w:tc>
          <w:tcPr>
            <w:tcW w:w="498" w:type="pct"/>
            <w:shd w:val="clear" w:color="auto" w:fill="auto"/>
            <w:vAlign w:val="center"/>
          </w:tcPr>
          <w:p w14:paraId="357C0236" w14:textId="77777777" w:rsidR="00617285" w:rsidRPr="00545EC0" w:rsidRDefault="00617285" w:rsidP="00AD4FE7">
            <w:pPr>
              <w:pStyle w:val="Odstavekseznama"/>
              <w:ind w:left="0"/>
              <w:jc w:val="center"/>
              <w:rPr>
                <w:rFonts w:cs="Arial"/>
                <w:bCs/>
                <w:sz w:val="18"/>
                <w:szCs w:val="18"/>
                <w:lang w:val="sl-SI" w:eastAsia="sl-SI"/>
              </w:rPr>
            </w:pPr>
            <w:r w:rsidRPr="00545EC0">
              <w:rPr>
                <w:rFonts w:cs="Arial"/>
                <w:sz w:val="18"/>
                <w:szCs w:val="18"/>
                <w:lang w:val="sl-SI"/>
              </w:rPr>
              <w:t>133</w:t>
            </w:r>
          </w:p>
        </w:tc>
      </w:tr>
      <w:tr w:rsidR="003122F4" w:rsidRPr="00545EC0" w14:paraId="166A4336" w14:textId="77777777" w:rsidTr="00017486">
        <w:trPr>
          <w:cantSplit/>
          <w:trHeight w:val="340"/>
        </w:trPr>
        <w:tc>
          <w:tcPr>
            <w:tcW w:w="2963" w:type="pct"/>
            <w:shd w:val="clear" w:color="auto" w:fill="auto"/>
            <w:vAlign w:val="center"/>
            <w:hideMark/>
          </w:tcPr>
          <w:p w14:paraId="15ED4979" w14:textId="77777777" w:rsidR="00617285" w:rsidRPr="00545EC0" w:rsidRDefault="00617285" w:rsidP="00DD37C5">
            <w:pPr>
              <w:pStyle w:val="Odstavekseznama"/>
              <w:numPr>
                <w:ilvl w:val="0"/>
                <w:numId w:val="86"/>
              </w:numPr>
              <w:rPr>
                <w:rFonts w:cs="Arial"/>
                <w:bCs/>
                <w:sz w:val="18"/>
                <w:szCs w:val="18"/>
                <w:lang w:val="sl-SI" w:eastAsia="sl-SI"/>
              </w:rPr>
            </w:pPr>
            <w:r w:rsidRPr="00545EC0">
              <w:rPr>
                <w:rFonts w:cs="Arial"/>
                <w:bCs/>
                <w:sz w:val="18"/>
                <w:szCs w:val="18"/>
                <w:lang w:val="sl-SI" w:eastAsia="sl-SI"/>
              </w:rPr>
              <w:t>odvajanje v javno kanalizacijo, ki ni zaključena s KČN</w:t>
            </w:r>
          </w:p>
        </w:tc>
        <w:tc>
          <w:tcPr>
            <w:tcW w:w="538" w:type="pct"/>
            <w:shd w:val="clear" w:color="auto" w:fill="auto"/>
            <w:vAlign w:val="center"/>
          </w:tcPr>
          <w:p w14:paraId="4B286E83" w14:textId="77777777" w:rsidR="00617285" w:rsidRPr="00545EC0" w:rsidRDefault="00617285" w:rsidP="00AD4FE7">
            <w:pPr>
              <w:pStyle w:val="Odstavekseznama"/>
              <w:ind w:left="142"/>
              <w:jc w:val="center"/>
              <w:rPr>
                <w:rFonts w:cs="Arial"/>
                <w:bCs/>
                <w:sz w:val="18"/>
                <w:szCs w:val="18"/>
                <w:lang w:val="sl-SI" w:eastAsia="sl-SI"/>
              </w:rPr>
            </w:pPr>
            <w:r w:rsidRPr="00545EC0">
              <w:rPr>
                <w:rFonts w:cs="Arial"/>
                <w:sz w:val="18"/>
                <w:szCs w:val="18"/>
                <w:lang w:val="sl-SI"/>
              </w:rPr>
              <w:t>0</w:t>
            </w:r>
          </w:p>
        </w:tc>
        <w:tc>
          <w:tcPr>
            <w:tcW w:w="616" w:type="pct"/>
            <w:shd w:val="clear" w:color="auto" w:fill="auto"/>
            <w:vAlign w:val="center"/>
          </w:tcPr>
          <w:p w14:paraId="69248356" w14:textId="77777777" w:rsidR="00617285" w:rsidRPr="00545EC0" w:rsidRDefault="00617285" w:rsidP="00AD4FE7">
            <w:pPr>
              <w:pStyle w:val="Odstavekseznama"/>
              <w:ind w:left="142"/>
              <w:jc w:val="center"/>
              <w:rPr>
                <w:rFonts w:cs="Arial"/>
                <w:bCs/>
                <w:sz w:val="18"/>
                <w:szCs w:val="18"/>
                <w:lang w:val="sl-SI" w:eastAsia="sl-SI"/>
              </w:rPr>
            </w:pPr>
            <w:r w:rsidRPr="00545EC0">
              <w:rPr>
                <w:rFonts w:cs="Arial"/>
                <w:sz w:val="18"/>
                <w:szCs w:val="18"/>
                <w:lang w:val="sl-SI"/>
              </w:rPr>
              <w:t>0</w:t>
            </w:r>
          </w:p>
        </w:tc>
        <w:tc>
          <w:tcPr>
            <w:tcW w:w="385" w:type="pct"/>
            <w:shd w:val="clear" w:color="auto" w:fill="auto"/>
            <w:vAlign w:val="center"/>
          </w:tcPr>
          <w:p w14:paraId="38CF5BBA" w14:textId="77777777" w:rsidR="00617285" w:rsidRPr="00545EC0" w:rsidRDefault="00617285" w:rsidP="00AD4FE7">
            <w:pPr>
              <w:pStyle w:val="Odstavekseznama"/>
              <w:ind w:left="142"/>
              <w:jc w:val="center"/>
              <w:rPr>
                <w:rFonts w:cs="Arial"/>
                <w:bCs/>
                <w:sz w:val="18"/>
                <w:szCs w:val="18"/>
                <w:lang w:val="sl-SI" w:eastAsia="sl-SI"/>
              </w:rPr>
            </w:pPr>
            <w:r w:rsidRPr="00545EC0">
              <w:rPr>
                <w:rFonts w:cs="Arial"/>
                <w:sz w:val="18"/>
                <w:szCs w:val="18"/>
                <w:lang w:val="sl-SI"/>
              </w:rPr>
              <w:t>0</w:t>
            </w:r>
          </w:p>
        </w:tc>
        <w:tc>
          <w:tcPr>
            <w:tcW w:w="498" w:type="pct"/>
            <w:shd w:val="clear" w:color="auto" w:fill="auto"/>
            <w:vAlign w:val="center"/>
          </w:tcPr>
          <w:p w14:paraId="05FEAE1D" w14:textId="77777777" w:rsidR="00617285" w:rsidRPr="00545EC0" w:rsidRDefault="00617285" w:rsidP="00AD4FE7">
            <w:pPr>
              <w:pStyle w:val="Odstavekseznama"/>
              <w:ind w:left="142"/>
              <w:jc w:val="center"/>
              <w:rPr>
                <w:rFonts w:cs="Arial"/>
                <w:bCs/>
                <w:sz w:val="18"/>
                <w:szCs w:val="18"/>
                <w:lang w:val="sl-SI" w:eastAsia="sl-SI"/>
              </w:rPr>
            </w:pPr>
            <w:r w:rsidRPr="00545EC0">
              <w:rPr>
                <w:rFonts w:cs="Arial"/>
                <w:sz w:val="18"/>
                <w:szCs w:val="18"/>
                <w:lang w:val="sl-SI"/>
              </w:rPr>
              <w:t>0</w:t>
            </w:r>
          </w:p>
        </w:tc>
      </w:tr>
      <w:tr w:rsidR="003122F4" w:rsidRPr="00545EC0" w14:paraId="12B0ED03" w14:textId="77777777" w:rsidTr="00017486">
        <w:trPr>
          <w:cantSplit/>
          <w:trHeight w:val="340"/>
        </w:trPr>
        <w:tc>
          <w:tcPr>
            <w:tcW w:w="2963" w:type="pct"/>
            <w:shd w:val="clear" w:color="auto" w:fill="auto"/>
            <w:vAlign w:val="center"/>
            <w:hideMark/>
          </w:tcPr>
          <w:p w14:paraId="05A13CB2" w14:textId="77777777" w:rsidR="00617285" w:rsidRPr="00545EC0" w:rsidRDefault="00617285" w:rsidP="00DD37C5">
            <w:pPr>
              <w:pStyle w:val="Odstavekseznama"/>
              <w:numPr>
                <w:ilvl w:val="0"/>
                <w:numId w:val="85"/>
              </w:numPr>
              <w:rPr>
                <w:rFonts w:cs="Arial"/>
                <w:bCs/>
                <w:sz w:val="18"/>
                <w:szCs w:val="18"/>
                <w:lang w:val="sl-SI" w:eastAsia="sl-SI"/>
              </w:rPr>
            </w:pPr>
            <w:r w:rsidRPr="00545EC0">
              <w:rPr>
                <w:rFonts w:cs="Arial"/>
                <w:bCs/>
                <w:sz w:val="18"/>
                <w:szCs w:val="18"/>
                <w:lang w:val="sl-SI" w:eastAsia="sl-SI"/>
              </w:rPr>
              <w:t>odvajanje v javno kanalizacijo, ki je zaključena s KČN</w:t>
            </w:r>
          </w:p>
        </w:tc>
        <w:tc>
          <w:tcPr>
            <w:tcW w:w="538" w:type="pct"/>
            <w:shd w:val="clear" w:color="auto" w:fill="auto"/>
            <w:vAlign w:val="center"/>
          </w:tcPr>
          <w:p w14:paraId="15A2367C" w14:textId="77777777" w:rsidR="00617285" w:rsidRPr="00545EC0" w:rsidRDefault="00617285" w:rsidP="00AD4FE7">
            <w:pPr>
              <w:pStyle w:val="Odstavekseznama"/>
              <w:ind w:left="142"/>
              <w:jc w:val="center"/>
              <w:rPr>
                <w:rFonts w:cs="Arial"/>
                <w:bCs/>
                <w:sz w:val="18"/>
                <w:szCs w:val="18"/>
                <w:lang w:val="sl-SI" w:eastAsia="sl-SI"/>
              </w:rPr>
            </w:pPr>
            <w:r w:rsidRPr="00545EC0">
              <w:rPr>
                <w:rFonts w:cs="Arial"/>
                <w:sz w:val="18"/>
                <w:szCs w:val="18"/>
                <w:lang w:val="sl-SI"/>
              </w:rPr>
              <w:t>7</w:t>
            </w:r>
          </w:p>
        </w:tc>
        <w:tc>
          <w:tcPr>
            <w:tcW w:w="616" w:type="pct"/>
            <w:shd w:val="clear" w:color="auto" w:fill="auto"/>
            <w:vAlign w:val="center"/>
          </w:tcPr>
          <w:p w14:paraId="0B10E0E8" w14:textId="77777777" w:rsidR="00617285" w:rsidRPr="00545EC0" w:rsidRDefault="00617285" w:rsidP="00AD4FE7">
            <w:pPr>
              <w:pStyle w:val="Odstavekseznama"/>
              <w:ind w:left="142"/>
              <w:jc w:val="center"/>
              <w:rPr>
                <w:rFonts w:cs="Arial"/>
                <w:bCs/>
                <w:sz w:val="18"/>
                <w:szCs w:val="18"/>
                <w:lang w:val="sl-SI" w:eastAsia="sl-SI"/>
              </w:rPr>
            </w:pPr>
            <w:r w:rsidRPr="00545EC0">
              <w:rPr>
                <w:rFonts w:cs="Arial"/>
                <w:sz w:val="18"/>
                <w:szCs w:val="18"/>
                <w:lang w:val="sl-SI"/>
              </w:rPr>
              <w:t>15</w:t>
            </w:r>
          </w:p>
        </w:tc>
        <w:tc>
          <w:tcPr>
            <w:tcW w:w="385" w:type="pct"/>
            <w:shd w:val="clear" w:color="auto" w:fill="auto"/>
            <w:vAlign w:val="center"/>
          </w:tcPr>
          <w:p w14:paraId="2190DE0E" w14:textId="77777777" w:rsidR="00617285" w:rsidRPr="00545EC0" w:rsidRDefault="00617285" w:rsidP="00AD4FE7">
            <w:pPr>
              <w:pStyle w:val="Odstavekseznama"/>
              <w:ind w:left="142"/>
              <w:jc w:val="center"/>
              <w:rPr>
                <w:rFonts w:cs="Arial"/>
                <w:bCs/>
                <w:sz w:val="18"/>
                <w:szCs w:val="18"/>
                <w:lang w:val="sl-SI" w:eastAsia="sl-SI"/>
              </w:rPr>
            </w:pPr>
            <w:r w:rsidRPr="00545EC0">
              <w:rPr>
                <w:rFonts w:cs="Arial"/>
                <w:sz w:val="18"/>
                <w:szCs w:val="18"/>
                <w:lang w:val="sl-SI"/>
              </w:rPr>
              <w:t>80</w:t>
            </w:r>
          </w:p>
        </w:tc>
        <w:tc>
          <w:tcPr>
            <w:tcW w:w="498" w:type="pct"/>
            <w:shd w:val="clear" w:color="auto" w:fill="auto"/>
            <w:vAlign w:val="center"/>
          </w:tcPr>
          <w:p w14:paraId="4DA37449" w14:textId="77777777" w:rsidR="00617285" w:rsidRPr="00545EC0" w:rsidRDefault="00617285" w:rsidP="00AD4FE7">
            <w:pPr>
              <w:pStyle w:val="Odstavekseznama"/>
              <w:ind w:left="142"/>
              <w:jc w:val="center"/>
              <w:rPr>
                <w:rFonts w:cs="Arial"/>
                <w:bCs/>
                <w:sz w:val="18"/>
                <w:szCs w:val="18"/>
                <w:lang w:val="sl-SI" w:eastAsia="sl-SI"/>
              </w:rPr>
            </w:pPr>
            <w:r w:rsidRPr="00545EC0">
              <w:rPr>
                <w:rFonts w:cs="Arial"/>
                <w:sz w:val="18"/>
                <w:szCs w:val="18"/>
                <w:lang w:val="sl-SI"/>
              </w:rPr>
              <w:t>102</w:t>
            </w:r>
          </w:p>
        </w:tc>
      </w:tr>
      <w:tr w:rsidR="003122F4" w:rsidRPr="00545EC0" w14:paraId="046A2D15" w14:textId="77777777" w:rsidTr="00017486">
        <w:trPr>
          <w:cantSplit/>
          <w:trHeight w:val="340"/>
        </w:trPr>
        <w:tc>
          <w:tcPr>
            <w:tcW w:w="5000" w:type="pct"/>
            <w:gridSpan w:val="5"/>
            <w:shd w:val="clear" w:color="auto" w:fill="auto"/>
            <w:vAlign w:val="center"/>
          </w:tcPr>
          <w:p w14:paraId="2881536C" w14:textId="77777777" w:rsidR="00617285" w:rsidRPr="00545EC0" w:rsidRDefault="00617285" w:rsidP="00AD4FE7">
            <w:pPr>
              <w:jc w:val="left"/>
              <w:rPr>
                <w:rFonts w:cs="Arial"/>
                <w:b/>
                <w:bCs/>
                <w:sz w:val="18"/>
                <w:szCs w:val="18"/>
              </w:rPr>
            </w:pPr>
            <w:r w:rsidRPr="00545EC0">
              <w:rPr>
                <w:rFonts w:cs="Arial"/>
                <w:b/>
                <w:bCs/>
                <w:sz w:val="18"/>
                <w:szCs w:val="18"/>
              </w:rPr>
              <w:t>Druge naprave</w:t>
            </w:r>
          </w:p>
        </w:tc>
      </w:tr>
      <w:tr w:rsidR="003122F4" w:rsidRPr="00545EC0" w14:paraId="472E7420" w14:textId="77777777" w:rsidTr="00017486">
        <w:trPr>
          <w:cantSplit/>
          <w:trHeight w:val="340"/>
        </w:trPr>
        <w:tc>
          <w:tcPr>
            <w:tcW w:w="2963" w:type="pct"/>
            <w:shd w:val="clear" w:color="auto" w:fill="auto"/>
            <w:vAlign w:val="center"/>
            <w:hideMark/>
          </w:tcPr>
          <w:p w14:paraId="78501FBE" w14:textId="77777777" w:rsidR="00617285" w:rsidRPr="00545EC0" w:rsidRDefault="00617285" w:rsidP="00AD4FE7">
            <w:pPr>
              <w:pStyle w:val="Odstavekseznama"/>
              <w:ind w:left="142"/>
              <w:rPr>
                <w:rFonts w:cs="Arial"/>
                <w:bCs/>
                <w:sz w:val="18"/>
                <w:szCs w:val="18"/>
                <w:lang w:val="sl-SI" w:eastAsia="sl-SI"/>
              </w:rPr>
            </w:pPr>
            <w:r w:rsidRPr="00545EC0">
              <w:rPr>
                <w:rFonts w:cs="Arial"/>
                <w:bCs/>
                <w:sz w:val="18"/>
                <w:szCs w:val="18"/>
                <w:lang w:val="sl-SI" w:eastAsia="sl-SI"/>
              </w:rPr>
              <w:t>število naprav</w:t>
            </w:r>
          </w:p>
        </w:tc>
        <w:tc>
          <w:tcPr>
            <w:tcW w:w="538" w:type="pct"/>
            <w:shd w:val="clear" w:color="auto" w:fill="auto"/>
            <w:vAlign w:val="center"/>
          </w:tcPr>
          <w:p w14:paraId="34DEC72B" w14:textId="77777777" w:rsidR="00617285" w:rsidRPr="00545EC0" w:rsidRDefault="00617285" w:rsidP="00AD4FE7">
            <w:pPr>
              <w:pStyle w:val="Odstavekseznama"/>
              <w:ind w:left="142"/>
              <w:jc w:val="center"/>
              <w:rPr>
                <w:rFonts w:cs="Arial"/>
                <w:bCs/>
                <w:sz w:val="18"/>
                <w:szCs w:val="18"/>
                <w:lang w:val="sl-SI" w:eastAsia="sl-SI"/>
              </w:rPr>
            </w:pPr>
            <w:r w:rsidRPr="00545EC0">
              <w:rPr>
                <w:rFonts w:cs="Arial"/>
                <w:sz w:val="18"/>
                <w:szCs w:val="18"/>
                <w:lang w:val="sl-SI"/>
              </w:rPr>
              <w:t>42</w:t>
            </w:r>
          </w:p>
        </w:tc>
        <w:tc>
          <w:tcPr>
            <w:tcW w:w="616" w:type="pct"/>
            <w:shd w:val="clear" w:color="auto" w:fill="auto"/>
            <w:vAlign w:val="center"/>
          </w:tcPr>
          <w:p w14:paraId="618B7BEF" w14:textId="77777777" w:rsidR="00617285" w:rsidRPr="00545EC0" w:rsidRDefault="00617285" w:rsidP="00AD4FE7">
            <w:pPr>
              <w:pStyle w:val="Odstavekseznama"/>
              <w:ind w:left="142"/>
              <w:jc w:val="center"/>
              <w:rPr>
                <w:rFonts w:cs="Arial"/>
                <w:bCs/>
                <w:sz w:val="18"/>
                <w:szCs w:val="18"/>
                <w:lang w:val="sl-SI" w:eastAsia="sl-SI"/>
              </w:rPr>
            </w:pPr>
            <w:r w:rsidRPr="00545EC0">
              <w:rPr>
                <w:rFonts w:cs="Arial"/>
                <w:sz w:val="18"/>
                <w:szCs w:val="18"/>
                <w:lang w:val="sl-SI"/>
              </w:rPr>
              <w:t>116</w:t>
            </w:r>
          </w:p>
        </w:tc>
        <w:tc>
          <w:tcPr>
            <w:tcW w:w="385" w:type="pct"/>
            <w:shd w:val="clear" w:color="auto" w:fill="auto"/>
            <w:vAlign w:val="center"/>
          </w:tcPr>
          <w:p w14:paraId="3F1E6C52" w14:textId="77777777" w:rsidR="00617285" w:rsidRPr="00545EC0" w:rsidRDefault="00617285" w:rsidP="00AD4FE7">
            <w:pPr>
              <w:pStyle w:val="Odstavekseznama"/>
              <w:ind w:left="142"/>
              <w:jc w:val="center"/>
              <w:rPr>
                <w:rFonts w:cs="Arial"/>
                <w:bCs/>
                <w:sz w:val="18"/>
                <w:szCs w:val="18"/>
                <w:lang w:val="sl-SI" w:eastAsia="sl-SI"/>
              </w:rPr>
            </w:pPr>
            <w:r w:rsidRPr="00545EC0">
              <w:rPr>
                <w:rFonts w:cs="Arial"/>
                <w:sz w:val="18"/>
                <w:szCs w:val="18"/>
                <w:lang w:val="sl-SI"/>
              </w:rPr>
              <w:t>385</w:t>
            </w:r>
          </w:p>
        </w:tc>
        <w:tc>
          <w:tcPr>
            <w:tcW w:w="498" w:type="pct"/>
            <w:shd w:val="clear" w:color="auto" w:fill="auto"/>
            <w:vAlign w:val="center"/>
          </w:tcPr>
          <w:p w14:paraId="0D2E603B" w14:textId="77777777" w:rsidR="00617285" w:rsidRPr="00545EC0" w:rsidRDefault="00617285" w:rsidP="00AD4FE7">
            <w:pPr>
              <w:pStyle w:val="Odstavekseznama"/>
              <w:ind w:left="142"/>
              <w:jc w:val="center"/>
              <w:rPr>
                <w:rFonts w:cs="Arial"/>
                <w:bCs/>
                <w:sz w:val="18"/>
                <w:szCs w:val="18"/>
                <w:lang w:val="sl-SI" w:eastAsia="sl-SI"/>
              </w:rPr>
            </w:pPr>
            <w:r w:rsidRPr="00545EC0">
              <w:rPr>
                <w:rFonts w:cs="Arial"/>
                <w:sz w:val="18"/>
                <w:szCs w:val="18"/>
                <w:lang w:val="sl-SI"/>
              </w:rPr>
              <w:t>543</w:t>
            </w:r>
          </w:p>
        </w:tc>
      </w:tr>
      <w:tr w:rsidR="003122F4" w:rsidRPr="00545EC0" w14:paraId="303E1C00" w14:textId="77777777" w:rsidTr="00017486">
        <w:trPr>
          <w:cantSplit/>
          <w:trHeight w:val="340"/>
        </w:trPr>
        <w:tc>
          <w:tcPr>
            <w:tcW w:w="2963" w:type="pct"/>
            <w:shd w:val="clear" w:color="auto" w:fill="auto"/>
            <w:vAlign w:val="center"/>
            <w:hideMark/>
          </w:tcPr>
          <w:p w14:paraId="5C29CE68" w14:textId="77777777" w:rsidR="00617285" w:rsidRPr="00545EC0" w:rsidRDefault="00617285" w:rsidP="00AD4FE7">
            <w:pPr>
              <w:pStyle w:val="Odstavekseznama"/>
              <w:ind w:left="142"/>
              <w:rPr>
                <w:rFonts w:cs="Arial"/>
                <w:bCs/>
                <w:sz w:val="18"/>
                <w:szCs w:val="18"/>
                <w:lang w:val="sl-SI" w:eastAsia="sl-SI"/>
              </w:rPr>
            </w:pPr>
            <w:r w:rsidRPr="00545EC0">
              <w:rPr>
                <w:rFonts w:cs="Arial"/>
                <w:bCs/>
                <w:sz w:val="18"/>
                <w:szCs w:val="18"/>
                <w:lang w:val="sl-SI" w:eastAsia="sl-SI"/>
              </w:rPr>
              <w:t>število iztokov</w:t>
            </w:r>
          </w:p>
        </w:tc>
        <w:tc>
          <w:tcPr>
            <w:tcW w:w="538" w:type="pct"/>
            <w:shd w:val="clear" w:color="auto" w:fill="auto"/>
            <w:vAlign w:val="center"/>
          </w:tcPr>
          <w:p w14:paraId="4AE0635E" w14:textId="77777777" w:rsidR="00617285" w:rsidRPr="00545EC0" w:rsidRDefault="00617285" w:rsidP="00AD4FE7">
            <w:pPr>
              <w:pStyle w:val="Odstavekseznama"/>
              <w:ind w:left="142"/>
              <w:jc w:val="center"/>
              <w:rPr>
                <w:rFonts w:cs="Arial"/>
                <w:bCs/>
                <w:sz w:val="18"/>
                <w:szCs w:val="18"/>
                <w:lang w:val="sl-SI" w:eastAsia="sl-SI"/>
              </w:rPr>
            </w:pPr>
            <w:r w:rsidRPr="00545EC0">
              <w:rPr>
                <w:rFonts w:cs="Arial"/>
                <w:sz w:val="18"/>
                <w:szCs w:val="18"/>
                <w:lang w:val="sl-SI"/>
              </w:rPr>
              <w:t>59</w:t>
            </w:r>
          </w:p>
        </w:tc>
        <w:tc>
          <w:tcPr>
            <w:tcW w:w="616" w:type="pct"/>
            <w:shd w:val="clear" w:color="auto" w:fill="auto"/>
            <w:vAlign w:val="center"/>
          </w:tcPr>
          <w:p w14:paraId="1D50E318" w14:textId="77777777" w:rsidR="00617285" w:rsidRPr="00545EC0" w:rsidRDefault="00617285" w:rsidP="00AD4FE7">
            <w:pPr>
              <w:pStyle w:val="Odstavekseznama"/>
              <w:ind w:left="142"/>
              <w:jc w:val="center"/>
              <w:rPr>
                <w:rFonts w:cs="Arial"/>
                <w:bCs/>
                <w:sz w:val="18"/>
                <w:szCs w:val="18"/>
                <w:lang w:val="sl-SI" w:eastAsia="sl-SI"/>
              </w:rPr>
            </w:pPr>
            <w:r w:rsidRPr="00545EC0">
              <w:rPr>
                <w:rFonts w:cs="Arial"/>
                <w:sz w:val="18"/>
                <w:szCs w:val="18"/>
                <w:lang w:val="sl-SI"/>
              </w:rPr>
              <w:t>162</w:t>
            </w:r>
          </w:p>
        </w:tc>
        <w:tc>
          <w:tcPr>
            <w:tcW w:w="385" w:type="pct"/>
            <w:shd w:val="clear" w:color="auto" w:fill="auto"/>
            <w:vAlign w:val="center"/>
          </w:tcPr>
          <w:p w14:paraId="4324D04F" w14:textId="77777777" w:rsidR="00617285" w:rsidRPr="00545EC0" w:rsidRDefault="00617285" w:rsidP="00AD4FE7">
            <w:pPr>
              <w:pStyle w:val="Odstavekseznama"/>
              <w:ind w:left="142"/>
              <w:jc w:val="center"/>
              <w:rPr>
                <w:rFonts w:cs="Arial"/>
                <w:bCs/>
                <w:sz w:val="18"/>
                <w:szCs w:val="18"/>
                <w:lang w:val="sl-SI" w:eastAsia="sl-SI"/>
              </w:rPr>
            </w:pPr>
            <w:r w:rsidRPr="00545EC0">
              <w:rPr>
                <w:rFonts w:cs="Arial"/>
                <w:sz w:val="18"/>
                <w:szCs w:val="18"/>
                <w:lang w:val="sl-SI"/>
              </w:rPr>
              <w:t>508</w:t>
            </w:r>
          </w:p>
        </w:tc>
        <w:tc>
          <w:tcPr>
            <w:tcW w:w="498" w:type="pct"/>
            <w:shd w:val="clear" w:color="auto" w:fill="auto"/>
            <w:vAlign w:val="center"/>
          </w:tcPr>
          <w:p w14:paraId="76583033" w14:textId="77777777" w:rsidR="00617285" w:rsidRPr="00545EC0" w:rsidRDefault="00617285" w:rsidP="00AD4FE7">
            <w:pPr>
              <w:pStyle w:val="Odstavekseznama"/>
              <w:ind w:left="142"/>
              <w:jc w:val="center"/>
              <w:rPr>
                <w:rFonts w:cs="Arial"/>
                <w:bCs/>
                <w:sz w:val="18"/>
                <w:szCs w:val="18"/>
                <w:lang w:val="sl-SI" w:eastAsia="sl-SI"/>
              </w:rPr>
            </w:pPr>
            <w:r w:rsidRPr="00545EC0">
              <w:rPr>
                <w:rFonts w:cs="Arial"/>
                <w:sz w:val="18"/>
                <w:szCs w:val="18"/>
                <w:lang w:val="sl-SI"/>
              </w:rPr>
              <w:t>729</w:t>
            </w:r>
          </w:p>
        </w:tc>
      </w:tr>
      <w:tr w:rsidR="003122F4" w:rsidRPr="00545EC0" w14:paraId="2D053762" w14:textId="77777777" w:rsidTr="00017486">
        <w:trPr>
          <w:cantSplit/>
          <w:trHeight w:val="340"/>
        </w:trPr>
        <w:tc>
          <w:tcPr>
            <w:tcW w:w="2963" w:type="pct"/>
            <w:shd w:val="clear" w:color="auto" w:fill="auto"/>
            <w:vAlign w:val="center"/>
            <w:hideMark/>
          </w:tcPr>
          <w:p w14:paraId="59C4EF0F" w14:textId="52E5F742" w:rsidR="00617285" w:rsidRPr="00545EC0" w:rsidRDefault="00522EEA" w:rsidP="00DD37C5">
            <w:pPr>
              <w:pStyle w:val="Odstavekseznama"/>
              <w:numPr>
                <w:ilvl w:val="0"/>
                <w:numId w:val="85"/>
              </w:numPr>
              <w:rPr>
                <w:rFonts w:cs="Arial"/>
                <w:bCs/>
                <w:sz w:val="18"/>
                <w:szCs w:val="18"/>
                <w:lang w:val="sl-SI" w:eastAsia="sl-SI"/>
              </w:rPr>
            </w:pPr>
            <w:r w:rsidRPr="00545EC0">
              <w:rPr>
                <w:rFonts w:cs="Arial"/>
                <w:bCs/>
                <w:sz w:val="18"/>
                <w:szCs w:val="18"/>
                <w:lang w:val="sl-SI" w:eastAsia="sl-SI"/>
              </w:rPr>
              <w:t>neposredno odvajanje v površinske vode</w:t>
            </w:r>
          </w:p>
        </w:tc>
        <w:tc>
          <w:tcPr>
            <w:tcW w:w="538" w:type="pct"/>
            <w:shd w:val="clear" w:color="auto" w:fill="auto"/>
            <w:vAlign w:val="center"/>
          </w:tcPr>
          <w:p w14:paraId="73140217" w14:textId="77777777" w:rsidR="00617285" w:rsidRPr="00545EC0" w:rsidRDefault="00617285" w:rsidP="00AD4FE7">
            <w:pPr>
              <w:pStyle w:val="Odstavekseznama"/>
              <w:ind w:left="142"/>
              <w:jc w:val="center"/>
              <w:rPr>
                <w:rFonts w:cs="Arial"/>
                <w:bCs/>
                <w:sz w:val="18"/>
                <w:szCs w:val="18"/>
                <w:lang w:val="sl-SI" w:eastAsia="sl-SI"/>
              </w:rPr>
            </w:pPr>
            <w:r w:rsidRPr="00545EC0">
              <w:rPr>
                <w:rFonts w:cs="Arial"/>
                <w:sz w:val="18"/>
                <w:szCs w:val="18"/>
                <w:lang w:val="sl-SI"/>
              </w:rPr>
              <w:t>15</w:t>
            </w:r>
          </w:p>
        </w:tc>
        <w:tc>
          <w:tcPr>
            <w:tcW w:w="616" w:type="pct"/>
            <w:shd w:val="clear" w:color="auto" w:fill="auto"/>
            <w:vAlign w:val="center"/>
          </w:tcPr>
          <w:p w14:paraId="61A11EEB" w14:textId="77777777" w:rsidR="00617285" w:rsidRPr="00545EC0" w:rsidRDefault="00617285" w:rsidP="00AD4FE7">
            <w:pPr>
              <w:pStyle w:val="Odstavekseznama"/>
              <w:ind w:left="142"/>
              <w:jc w:val="center"/>
              <w:rPr>
                <w:rFonts w:cs="Arial"/>
                <w:bCs/>
                <w:sz w:val="18"/>
                <w:szCs w:val="18"/>
                <w:lang w:val="sl-SI" w:eastAsia="sl-SI"/>
              </w:rPr>
            </w:pPr>
            <w:r w:rsidRPr="00545EC0">
              <w:rPr>
                <w:rFonts w:cs="Arial"/>
                <w:sz w:val="18"/>
                <w:szCs w:val="18"/>
                <w:lang w:val="sl-SI"/>
              </w:rPr>
              <w:t>39</w:t>
            </w:r>
          </w:p>
        </w:tc>
        <w:tc>
          <w:tcPr>
            <w:tcW w:w="385" w:type="pct"/>
            <w:shd w:val="clear" w:color="auto" w:fill="auto"/>
            <w:vAlign w:val="center"/>
          </w:tcPr>
          <w:p w14:paraId="7D2C133B" w14:textId="77777777" w:rsidR="00617285" w:rsidRPr="00545EC0" w:rsidRDefault="00617285" w:rsidP="00AD4FE7">
            <w:pPr>
              <w:pStyle w:val="Odstavekseznama"/>
              <w:ind w:left="142"/>
              <w:jc w:val="center"/>
              <w:rPr>
                <w:rFonts w:cs="Arial"/>
                <w:bCs/>
                <w:sz w:val="18"/>
                <w:szCs w:val="18"/>
                <w:lang w:val="sl-SI" w:eastAsia="sl-SI"/>
              </w:rPr>
            </w:pPr>
            <w:r w:rsidRPr="00545EC0">
              <w:rPr>
                <w:rFonts w:cs="Arial"/>
                <w:sz w:val="18"/>
                <w:szCs w:val="18"/>
                <w:lang w:val="sl-SI"/>
              </w:rPr>
              <w:t>127</w:t>
            </w:r>
          </w:p>
        </w:tc>
        <w:tc>
          <w:tcPr>
            <w:tcW w:w="498" w:type="pct"/>
            <w:shd w:val="clear" w:color="auto" w:fill="auto"/>
            <w:vAlign w:val="center"/>
          </w:tcPr>
          <w:p w14:paraId="1EEAB3EC" w14:textId="77777777" w:rsidR="00617285" w:rsidRPr="00545EC0" w:rsidRDefault="00617285" w:rsidP="00AD4FE7">
            <w:pPr>
              <w:pStyle w:val="Odstavekseznama"/>
              <w:ind w:left="142"/>
              <w:jc w:val="center"/>
              <w:rPr>
                <w:rFonts w:cs="Arial"/>
                <w:bCs/>
                <w:sz w:val="18"/>
                <w:szCs w:val="18"/>
                <w:lang w:val="sl-SI" w:eastAsia="sl-SI"/>
              </w:rPr>
            </w:pPr>
            <w:r w:rsidRPr="00545EC0">
              <w:rPr>
                <w:rFonts w:cs="Arial"/>
                <w:sz w:val="18"/>
                <w:szCs w:val="18"/>
                <w:lang w:val="sl-SI"/>
              </w:rPr>
              <w:t>181</w:t>
            </w:r>
          </w:p>
        </w:tc>
      </w:tr>
      <w:tr w:rsidR="003122F4" w:rsidRPr="00545EC0" w14:paraId="52C485C6" w14:textId="77777777" w:rsidTr="00017486">
        <w:trPr>
          <w:cantSplit/>
          <w:trHeight w:val="340"/>
        </w:trPr>
        <w:tc>
          <w:tcPr>
            <w:tcW w:w="2963" w:type="pct"/>
            <w:shd w:val="clear" w:color="auto" w:fill="auto"/>
            <w:vAlign w:val="center"/>
            <w:hideMark/>
          </w:tcPr>
          <w:p w14:paraId="3C2A6B7D" w14:textId="77777777" w:rsidR="00617285" w:rsidRPr="00545EC0" w:rsidRDefault="00617285" w:rsidP="00DD37C5">
            <w:pPr>
              <w:pStyle w:val="Odstavekseznama"/>
              <w:numPr>
                <w:ilvl w:val="0"/>
                <w:numId w:val="85"/>
              </w:numPr>
              <w:rPr>
                <w:rFonts w:cs="Arial"/>
                <w:bCs/>
                <w:sz w:val="18"/>
                <w:szCs w:val="18"/>
                <w:lang w:val="sl-SI" w:eastAsia="sl-SI"/>
              </w:rPr>
            </w:pPr>
            <w:r w:rsidRPr="00545EC0">
              <w:rPr>
                <w:rFonts w:cs="Arial"/>
                <w:bCs/>
                <w:sz w:val="18"/>
                <w:szCs w:val="18"/>
                <w:lang w:val="sl-SI" w:eastAsia="sl-SI"/>
              </w:rPr>
              <w:t>odvajanje v javno kanalizacijo, ki ni zaključena s KČN</w:t>
            </w:r>
          </w:p>
        </w:tc>
        <w:tc>
          <w:tcPr>
            <w:tcW w:w="538" w:type="pct"/>
            <w:shd w:val="clear" w:color="auto" w:fill="auto"/>
            <w:vAlign w:val="center"/>
          </w:tcPr>
          <w:p w14:paraId="426A7FCA" w14:textId="77777777" w:rsidR="00617285" w:rsidRPr="00545EC0" w:rsidRDefault="00617285" w:rsidP="00AD4FE7">
            <w:pPr>
              <w:pStyle w:val="Odstavekseznama"/>
              <w:ind w:left="142"/>
              <w:jc w:val="center"/>
              <w:rPr>
                <w:rFonts w:cs="Arial"/>
                <w:bCs/>
                <w:sz w:val="18"/>
                <w:szCs w:val="18"/>
                <w:lang w:val="sl-SI" w:eastAsia="sl-SI"/>
              </w:rPr>
            </w:pPr>
            <w:r w:rsidRPr="00545EC0">
              <w:rPr>
                <w:rFonts w:cs="Arial"/>
                <w:sz w:val="18"/>
                <w:szCs w:val="18"/>
                <w:lang w:val="sl-SI"/>
              </w:rPr>
              <w:t>3</w:t>
            </w:r>
          </w:p>
        </w:tc>
        <w:tc>
          <w:tcPr>
            <w:tcW w:w="616" w:type="pct"/>
            <w:shd w:val="clear" w:color="auto" w:fill="auto"/>
            <w:vAlign w:val="center"/>
          </w:tcPr>
          <w:p w14:paraId="0AB53902" w14:textId="77777777" w:rsidR="00617285" w:rsidRPr="00545EC0" w:rsidRDefault="00617285" w:rsidP="00AD4FE7">
            <w:pPr>
              <w:pStyle w:val="Odstavekseznama"/>
              <w:ind w:left="142"/>
              <w:jc w:val="center"/>
              <w:rPr>
                <w:rFonts w:cs="Arial"/>
                <w:bCs/>
                <w:sz w:val="18"/>
                <w:szCs w:val="18"/>
                <w:lang w:val="sl-SI" w:eastAsia="sl-SI"/>
              </w:rPr>
            </w:pPr>
            <w:r w:rsidRPr="00545EC0">
              <w:rPr>
                <w:rFonts w:cs="Arial"/>
                <w:sz w:val="18"/>
                <w:szCs w:val="18"/>
                <w:lang w:val="sl-SI"/>
              </w:rPr>
              <w:t>7</w:t>
            </w:r>
          </w:p>
        </w:tc>
        <w:tc>
          <w:tcPr>
            <w:tcW w:w="385" w:type="pct"/>
            <w:shd w:val="clear" w:color="auto" w:fill="auto"/>
            <w:vAlign w:val="center"/>
          </w:tcPr>
          <w:p w14:paraId="6558C649" w14:textId="77777777" w:rsidR="00617285" w:rsidRPr="00545EC0" w:rsidRDefault="00617285" w:rsidP="00AD4FE7">
            <w:pPr>
              <w:pStyle w:val="Odstavekseznama"/>
              <w:ind w:left="142"/>
              <w:jc w:val="center"/>
              <w:rPr>
                <w:rFonts w:cs="Arial"/>
                <w:bCs/>
                <w:sz w:val="18"/>
                <w:szCs w:val="18"/>
                <w:lang w:val="sl-SI" w:eastAsia="sl-SI"/>
              </w:rPr>
            </w:pPr>
            <w:r w:rsidRPr="00545EC0">
              <w:rPr>
                <w:rFonts w:cs="Arial"/>
                <w:sz w:val="18"/>
                <w:szCs w:val="18"/>
                <w:lang w:val="sl-SI"/>
              </w:rPr>
              <w:t>6</w:t>
            </w:r>
          </w:p>
        </w:tc>
        <w:tc>
          <w:tcPr>
            <w:tcW w:w="498" w:type="pct"/>
            <w:shd w:val="clear" w:color="auto" w:fill="auto"/>
            <w:vAlign w:val="center"/>
          </w:tcPr>
          <w:p w14:paraId="19BBC014" w14:textId="77777777" w:rsidR="00617285" w:rsidRPr="00545EC0" w:rsidRDefault="00617285" w:rsidP="00AD4FE7">
            <w:pPr>
              <w:pStyle w:val="Odstavekseznama"/>
              <w:ind w:left="142"/>
              <w:jc w:val="center"/>
              <w:rPr>
                <w:rFonts w:cs="Arial"/>
                <w:bCs/>
                <w:sz w:val="18"/>
                <w:szCs w:val="18"/>
                <w:lang w:val="sl-SI" w:eastAsia="sl-SI"/>
              </w:rPr>
            </w:pPr>
            <w:r w:rsidRPr="00545EC0">
              <w:rPr>
                <w:rFonts w:cs="Arial"/>
                <w:sz w:val="18"/>
                <w:szCs w:val="18"/>
                <w:lang w:val="sl-SI"/>
              </w:rPr>
              <w:t>16</w:t>
            </w:r>
          </w:p>
        </w:tc>
      </w:tr>
      <w:tr w:rsidR="00617285" w:rsidRPr="00545EC0" w14:paraId="01894409" w14:textId="77777777" w:rsidTr="00017486">
        <w:trPr>
          <w:cantSplit/>
          <w:trHeight w:val="340"/>
        </w:trPr>
        <w:tc>
          <w:tcPr>
            <w:tcW w:w="2963" w:type="pct"/>
            <w:shd w:val="clear" w:color="auto" w:fill="auto"/>
            <w:vAlign w:val="center"/>
            <w:hideMark/>
          </w:tcPr>
          <w:p w14:paraId="584CD3D8" w14:textId="77777777" w:rsidR="00617285" w:rsidRPr="00545EC0" w:rsidRDefault="00617285" w:rsidP="00DD37C5">
            <w:pPr>
              <w:pStyle w:val="Odstavekseznama"/>
              <w:numPr>
                <w:ilvl w:val="0"/>
                <w:numId w:val="85"/>
              </w:numPr>
              <w:rPr>
                <w:rFonts w:cs="Arial"/>
                <w:bCs/>
                <w:sz w:val="18"/>
                <w:szCs w:val="18"/>
                <w:lang w:val="sl-SI" w:eastAsia="sl-SI"/>
              </w:rPr>
            </w:pPr>
            <w:r w:rsidRPr="00545EC0">
              <w:rPr>
                <w:rFonts w:cs="Arial"/>
                <w:bCs/>
                <w:sz w:val="18"/>
                <w:szCs w:val="18"/>
                <w:lang w:val="sl-SI" w:eastAsia="sl-SI"/>
              </w:rPr>
              <w:t>odvajanje v javno kanalizacijo, ki je zaključena s KČN</w:t>
            </w:r>
          </w:p>
        </w:tc>
        <w:tc>
          <w:tcPr>
            <w:tcW w:w="538" w:type="pct"/>
            <w:shd w:val="clear" w:color="auto" w:fill="auto"/>
            <w:vAlign w:val="center"/>
          </w:tcPr>
          <w:p w14:paraId="1667FA49" w14:textId="77777777" w:rsidR="00617285" w:rsidRPr="00545EC0" w:rsidRDefault="00617285" w:rsidP="00AD4FE7">
            <w:pPr>
              <w:pStyle w:val="Odstavekseznama"/>
              <w:ind w:left="142"/>
              <w:jc w:val="center"/>
              <w:rPr>
                <w:rFonts w:cs="Arial"/>
                <w:bCs/>
                <w:sz w:val="18"/>
                <w:szCs w:val="18"/>
                <w:lang w:val="sl-SI" w:eastAsia="sl-SI"/>
              </w:rPr>
            </w:pPr>
            <w:r w:rsidRPr="00545EC0">
              <w:rPr>
                <w:rFonts w:cs="Arial"/>
                <w:sz w:val="18"/>
                <w:szCs w:val="18"/>
                <w:lang w:val="sl-SI"/>
              </w:rPr>
              <w:t>38</w:t>
            </w:r>
          </w:p>
        </w:tc>
        <w:tc>
          <w:tcPr>
            <w:tcW w:w="616" w:type="pct"/>
            <w:shd w:val="clear" w:color="auto" w:fill="auto"/>
            <w:vAlign w:val="center"/>
          </w:tcPr>
          <w:p w14:paraId="2DF97CD1" w14:textId="77777777" w:rsidR="00617285" w:rsidRPr="00545EC0" w:rsidRDefault="00617285" w:rsidP="00AD4FE7">
            <w:pPr>
              <w:pStyle w:val="Odstavekseznama"/>
              <w:ind w:left="142"/>
              <w:jc w:val="center"/>
              <w:rPr>
                <w:rFonts w:cs="Arial"/>
                <w:bCs/>
                <w:sz w:val="18"/>
                <w:szCs w:val="18"/>
                <w:lang w:val="sl-SI" w:eastAsia="sl-SI"/>
              </w:rPr>
            </w:pPr>
            <w:r w:rsidRPr="00545EC0">
              <w:rPr>
                <w:rFonts w:cs="Arial"/>
                <w:sz w:val="18"/>
                <w:szCs w:val="18"/>
                <w:lang w:val="sl-SI"/>
              </w:rPr>
              <w:t>101</w:t>
            </w:r>
          </w:p>
        </w:tc>
        <w:tc>
          <w:tcPr>
            <w:tcW w:w="385" w:type="pct"/>
            <w:shd w:val="clear" w:color="auto" w:fill="auto"/>
            <w:vAlign w:val="center"/>
          </w:tcPr>
          <w:p w14:paraId="57361D8A" w14:textId="77777777" w:rsidR="00617285" w:rsidRPr="00545EC0" w:rsidRDefault="00617285" w:rsidP="00AD4FE7">
            <w:pPr>
              <w:pStyle w:val="Odstavekseznama"/>
              <w:ind w:left="142"/>
              <w:jc w:val="center"/>
              <w:rPr>
                <w:rFonts w:cs="Arial"/>
                <w:bCs/>
                <w:sz w:val="18"/>
                <w:szCs w:val="18"/>
                <w:lang w:val="sl-SI" w:eastAsia="sl-SI"/>
              </w:rPr>
            </w:pPr>
            <w:r w:rsidRPr="00545EC0">
              <w:rPr>
                <w:rFonts w:cs="Arial"/>
                <w:sz w:val="18"/>
                <w:szCs w:val="18"/>
                <w:lang w:val="sl-SI"/>
              </w:rPr>
              <w:t>336</w:t>
            </w:r>
          </w:p>
        </w:tc>
        <w:tc>
          <w:tcPr>
            <w:tcW w:w="498" w:type="pct"/>
            <w:shd w:val="clear" w:color="auto" w:fill="auto"/>
            <w:vAlign w:val="center"/>
          </w:tcPr>
          <w:p w14:paraId="52181923" w14:textId="77777777" w:rsidR="00617285" w:rsidRPr="00545EC0" w:rsidRDefault="00617285" w:rsidP="00AD4FE7">
            <w:pPr>
              <w:pStyle w:val="Odstavekseznama"/>
              <w:ind w:left="142"/>
              <w:jc w:val="center"/>
              <w:rPr>
                <w:rFonts w:cs="Arial"/>
                <w:bCs/>
                <w:sz w:val="18"/>
                <w:szCs w:val="18"/>
                <w:lang w:val="sl-SI" w:eastAsia="sl-SI"/>
              </w:rPr>
            </w:pPr>
            <w:r w:rsidRPr="00545EC0">
              <w:rPr>
                <w:rFonts w:cs="Arial"/>
                <w:sz w:val="18"/>
                <w:szCs w:val="18"/>
                <w:lang w:val="sl-SI"/>
              </w:rPr>
              <w:t>475</w:t>
            </w:r>
          </w:p>
        </w:tc>
      </w:tr>
    </w:tbl>
    <w:p w14:paraId="0A03CB77" w14:textId="77777777" w:rsidR="00617285" w:rsidRPr="00545EC0" w:rsidRDefault="00617285" w:rsidP="00AD4FE7">
      <w:pPr>
        <w:rPr>
          <w:lang w:eastAsia="x-none"/>
        </w:rPr>
      </w:pPr>
    </w:p>
    <w:p w14:paraId="4EA13E91" w14:textId="77777777" w:rsidR="00617285" w:rsidRPr="00545EC0" w:rsidRDefault="00617285" w:rsidP="00AD4FE7">
      <w:r w:rsidRPr="00545EC0">
        <w:t xml:space="preserve">Pri večini zavezancev za izvajanje obratovalnega monitoringa industrijskih odpadnih voda so v monitoring vključene biološko razgradljive organske snovi, izražene kot biološka potreba po kisiku (v nadaljnjem besedilu BPK5), celotni dušik in celotni fosfor. Iz podatkov za obdobje 2013-2017 je razvidno, da se z industrijsko odpadno vodo na VO Donave odvajajo največje količine biološko razgradljivih snovi, izraženih kot BPK5, na območju Srednje in Spodnje Save, največje količine  celotnega dušika na območju Srednje in Spodnje Save in največje količine celotnega fosforja na porečju Savinje in na območju Srednje in Spodnje Save. </w:t>
      </w:r>
    </w:p>
    <w:p w14:paraId="1AEA17B5" w14:textId="506E45BD" w:rsidR="00617285" w:rsidRPr="00545EC0" w:rsidRDefault="00617285" w:rsidP="00AD4FE7">
      <w:pPr>
        <w:tabs>
          <w:tab w:val="num" w:pos="567"/>
          <w:tab w:val="left" w:pos="9600"/>
        </w:tabs>
        <w:spacing w:before="120"/>
        <w:rPr>
          <w:rFonts w:cs="Arial"/>
          <w:szCs w:val="20"/>
        </w:rPr>
      </w:pPr>
      <w:r w:rsidRPr="00545EC0">
        <w:rPr>
          <w:rFonts w:cs="Arial"/>
          <w:szCs w:val="20"/>
        </w:rPr>
        <w:t xml:space="preserve">Predpisi, ki urejajo emisijo snovi in toplote pri odvajanju industrijskih odpadnih voda, določajo sezname snovi, za katere je treba zagotoviti omejevanje ali ustavitev emisij. Seznami vključujejo približno 140 snovi. Poleg navedenega predpisi določajo, da je treba obravnavati tudi druge snovi, ki </w:t>
      </w:r>
      <w:r w:rsidRPr="00545EC0">
        <w:rPr>
          <w:rFonts w:cs="Arial"/>
          <w:szCs w:val="20"/>
        </w:rPr>
        <w:lastRenderedPageBreak/>
        <w:t xml:space="preserve">niso vključene v </w:t>
      </w:r>
      <w:r w:rsidR="00D84785" w:rsidRPr="00545EC0">
        <w:rPr>
          <w:rFonts w:cs="Arial"/>
          <w:szCs w:val="20"/>
        </w:rPr>
        <w:t xml:space="preserve">posebne </w:t>
      </w:r>
      <w:r w:rsidRPr="00545EC0">
        <w:rPr>
          <w:rFonts w:cs="Arial"/>
          <w:szCs w:val="20"/>
        </w:rPr>
        <w:t xml:space="preserve">predpise, ki urejajo emisijo snovi in toplote pri odvajanju odpadnih voda, če se jih v industrijski odpadni vodi glede na proizvodni proces pričakuje in je zanje treba določiti mejne vrednosti emisije zaradi doseganja okoljskih ciljev. </w:t>
      </w:r>
    </w:p>
    <w:p w14:paraId="219C4084" w14:textId="77777777" w:rsidR="00617285" w:rsidRPr="00545EC0" w:rsidRDefault="00617285" w:rsidP="00AD4FE7">
      <w:pPr>
        <w:tabs>
          <w:tab w:val="left" w:pos="9600"/>
        </w:tabs>
        <w:overflowPunct/>
        <w:autoSpaceDE/>
        <w:autoSpaceDN/>
        <w:adjustRightInd/>
        <w:spacing w:before="120"/>
        <w:textAlignment w:val="auto"/>
        <w:rPr>
          <w:rFonts w:cs="Arial"/>
          <w:szCs w:val="20"/>
        </w:rPr>
      </w:pPr>
      <w:r w:rsidRPr="00545EC0">
        <w:rPr>
          <w:rFonts w:cs="Arial"/>
          <w:szCs w:val="20"/>
        </w:rPr>
        <w:t xml:space="preserve">Na VO Donave pri odvajanju industrijskih odpadnih voda v površinske vode glede na rezultate obratovalnega monitoringa industrijskih odpadnih voda prihaja do emisij: </w:t>
      </w:r>
    </w:p>
    <w:p w14:paraId="0263BF8E" w14:textId="61B7634B" w:rsidR="00617285" w:rsidRPr="00545EC0" w:rsidRDefault="00C12042" w:rsidP="00DD37C5">
      <w:pPr>
        <w:pStyle w:val="Odstavekseznama"/>
        <w:numPr>
          <w:ilvl w:val="0"/>
          <w:numId w:val="87"/>
        </w:numPr>
        <w:rPr>
          <w:rFonts w:cs="Arial"/>
          <w:szCs w:val="20"/>
          <w:lang w:val="sl-SI"/>
        </w:rPr>
      </w:pPr>
      <w:r w:rsidRPr="00545EC0">
        <w:rPr>
          <w:rFonts w:cs="Arial"/>
          <w:szCs w:val="20"/>
          <w:lang w:val="sl-SI"/>
        </w:rPr>
        <w:t xml:space="preserve">dvanajstih snovi in njihovih spojin, ki so v skladu s predpisom, ki ureja stanje površinskih voda, opredeljene kot prednostno nevarne snovi, in sicer kadmij, živo srebro, policiklični aromatski ogljikovodiki (PAH), benzo(k)fluoranten, benzo(a)piren, benzo(g,h,i)perilen, indeno(1,2,3-cd)piren, benzo(b)fluoronaten, nonilfenol, antracen, Di(2-etilheksil)ftalat (DEHP), Heksakloro-1,3-Butadien, </w:t>
      </w:r>
    </w:p>
    <w:p w14:paraId="47B85585" w14:textId="77777777" w:rsidR="00617285" w:rsidRPr="00545EC0" w:rsidRDefault="00617285" w:rsidP="00DD37C5">
      <w:pPr>
        <w:pStyle w:val="Odstavekseznama"/>
        <w:numPr>
          <w:ilvl w:val="0"/>
          <w:numId w:val="87"/>
        </w:numPr>
        <w:rPr>
          <w:rFonts w:cs="Arial"/>
          <w:szCs w:val="20"/>
          <w:lang w:val="sl-SI"/>
        </w:rPr>
      </w:pPr>
      <w:r w:rsidRPr="00545EC0">
        <w:rPr>
          <w:rFonts w:cs="Arial"/>
          <w:szCs w:val="20"/>
          <w:lang w:val="sl-SI"/>
        </w:rPr>
        <w:t>desetih snovi in njihovih spojin, ki so v skladu s predpisom, ki ureja stanje površinskih voda, opredeljene kot prednostne snovi, in sicer nikelj, svinec, triklorometan, diklorometan, fluoranten, 1,2-Dikloroetan, benzen, diuron, naftalen, oktilfenol,</w:t>
      </w:r>
    </w:p>
    <w:p w14:paraId="05B5AC3C" w14:textId="77777777" w:rsidR="00617285" w:rsidRPr="00545EC0" w:rsidRDefault="00617285" w:rsidP="00DD37C5">
      <w:pPr>
        <w:pStyle w:val="Odstavekseznama"/>
        <w:numPr>
          <w:ilvl w:val="0"/>
          <w:numId w:val="87"/>
        </w:numPr>
        <w:rPr>
          <w:rFonts w:cs="Arial"/>
          <w:szCs w:val="20"/>
          <w:lang w:val="sl-SI"/>
        </w:rPr>
      </w:pPr>
      <w:r w:rsidRPr="00545EC0">
        <w:rPr>
          <w:rFonts w:cs="Arial"/>
          <w:szCs w:val="20"/>
          <w:lang w:val="sl-SI"/>
        </w:rPr>
        <w:t>22  snovi in njihovih spojin, ki so v skladu s predpisom, ki ureja stanje površinskih voda, opredeljene kot posebna onesnaževala, izmed katerih je:</w:t>
      </w:r>
    </w:p>
    <w:p w14:paraId="259D26E8" w14:textId="77777777" w:rsidR="00617285" w:rsidRPr="00545EC0" w:rsidRDefault="00617285" w:rsidP="00DD37C5">
      <w:pPr>
        <w:pStyle w:val="Odstavekseznama"/>
        <w:numPr>
          <w:ilvl w:val="1"/>
          <w:numId w:val="88"/>
        </w:numPr>
        <w:rPr>
          <w:rFonts w:cs="Arial"/>
          <w:szCs w:val="20"/>
          <w:lang w:val="sl-SI"/>
        </w:rPr>
      </w:pPr>
      <w:r w:rsidRPr="00545EC0">
        <w:rPr>
          <w:rFonts w:cs="Arial"/>
          <w:szCs w:val="20"/>
          <w:lang w:val="sl-SI"/>
        </w:rPr>
        <w:t xml:space="preserve">devet nesintetičnih onesnaževal, in sicer bor, arzen, baker, cink, kobalt, celotni krom, molibden, antimon, selen, </w:t>
      </w:r>
    </w:p>
    <w:p w14:paraId="18EA5319" w14:textId="77777777" w:rsidR="00617285" w:rsidRPr="00545EC0" w:rsidRDefault="00617285" w:rsidP="00DD37C5">
      <w:pPr>
        <w:pStyle w:val="Odstavekseznama"/>
        <w:numPr>
          <w:ilvl w:val="1"/>
          <w:numId w:val="88"/>
        </w:numPr>
        <w:rPr>
          <w:rFonts w:cs="Arial"/>
          <w:szCs w:val="20"/>
          <w:lang w:val="sl-SI"/>
        </w:rPr>
      </w:pPr>
      <w:r w:rsidRPr="00545EC0">
        <w:rPr>
          <w:rFonts w:cs="Arial"/>
          <w:szCs w:val="20"/>
          <w:lang w:val="sl-SI"/>
        </w:rPr>
        <w:t>osem sintetičnih onesnaževal, in sicer cianid – prosti, fluorid, fenoli, toluen, ksilen, bisfenol-A, formaldehid, S-metolaklor</w:t>
      </w:r>
      <w:r w:rsidRPr="00545EC0" w:rsidDel="002161D2">
        <w:rPr>
          <w:rFonts w:cs="Arial"/>
          <w:szCs w:val="20"/>
          <w:lang w:val="sl-SI"/>
        </w:rPr>
        <w:t xml:space="preserve"> </w:t>
      </w:r>
      <w:r w:rsidRPr="00545EC0">
        <w:rPr>
          <w:rFonts w:cs="Arial"/>
          <w:szCs w:val="20"/>
          <w:lang w:val="sl-SI"/>
        </w:rPr>
        <w:t xml:space="preserve">in </w:t>
      </w:r>
    </w:p>
    <w:p w14:paraId="70829E20" w14:textId="02453D09" w:rsidR="00617285" w:rsidRPr="00545EC0" w:rsidRDefault="00C12042" w:rsidP="00DD37C5">
      <w:pPr>
        <w:pStyle w:val="Odstavekseznama"/>
        <w:numPr>
          <w:ilvl w:val="1"/>
          <w:numId w:val="88"/>
        </w:numPr>
        <w:rPr>
          <w:rFonts w:cs="Arial"/>
          <w:szCs w:val="20"/>
          <w:lang w:val="sl-SI"/>
        </w:rPr>
      </w:pPr>
      <w:r w:rsidRPr="00545EC0">
        <w:rPr>
          <w:rFonts w:cs="Arial"/>
          <w:szCs w:val="20"/>
          <w:lang w:val="sl-SI"/>
        </w:rPr>
        <w:t xml:space="preserve">pet snovi, ki so v skladu s predpisom, ki ureja stanje površinskih voda, opredeljene kot druga posebna onesnaževala, in sicer sulfat, kemijska potreba po kisiku (KPK), celotni ogljikovodiki (mineralna olja), absorbljivi organski halogeni (AOX), nitriti (nitritni dušik). </w:t>
      </w:r>
    </w:p>
    <w:p w14:paraId="5DF92CBB" w14:textId="77777777" w:rsidR="00617285" w:rsidRPr="00545EC0" w:rsidRDefault="00617285" w:rsidP="00AD4FE7">
      <w:pPr>
        <w:rPr>
          <w:rFonts w:cs="Arial"/>
        </w:rPr>
      </w:pPr>
    </w:p>
    <w:p w14:paraId="3B35EC8F" w14:textId="77777777" w:rsidR="00617285" w:rsidRPr="00545EC0" w:rsidRDefault="00617285" w:rsidP="00AD4FE7">
      <w:pPr>
        <w:rPr>
          <w:rFonts w:cs="Arial"/>
        </w:rPr>
      </w:pPr>
      <w:r w:rsidRPr="00545EC0">
        <w:rPr>
          <w:rFonts w:cs="Arial"/>
        </w:rPr>
        <w:t>Ocenjeno je, da so pomembne obremenitve iz točkovnih virov industrijske odpadne vode prisotne na vodnih telesih površinskih voda, kjer velja da:</w:t>
      </w:r>
    </w:p>
    <w:p w14:paraId="1EC0EFA3" w14:textId="59A33867" w:rsidR="00617285" w:rsidRPr="00545EC0" w:rsidRDefault="00617285" w:rsidP="00DD37C5">
      <w:pPr>
        <w:pStyle w:val="Odstavekseznama"/>
        <w:numPr>
          <w:ilvl w:val="0"/>
          <w:numId w:val="89"/>
        </w:numPr>
        <w:rPr>
          <w:rFonts w:cs="Arial"/>
          <w:lang w:val="sl-SI"/>
        </w:rPr>
      </w:pPr>
      <w:r w:rsidRPr="00545EC0">
        <w:rPr>
          <w:rFonts w:cs="Arial"/>
          <w:lang w:val="sl-SI"/>
        </w:rPr>
        <w:t xml:space="preserve">je na podlagi rezultatov obratovalnega monitoringa industrijske odpadne vode ugotovljeno čezmerno obremenjevanje </w:t>
      </w:r>
      <w:r w:rsidR="00D84785" w:rsidRPr="00545EC0">
        <w:rPr>
          <w:rFonts w:cs="Arial"/>
          <w:lang w:val="sl-SI"/>
        </w:rPr>
        <w:t xml:space="preserve">okolja </w:t>
      </w:r>
      <w:r w:rsidRPr="00545EC0">
        <w:rPr>
          <w:rFonts w:cs="Arial"/>
          <w:lang w:val="sl-SI"/>
        </w:rPr>
        <w:t xml:space="preserve">ali </w:t>
      </w:r>
    </w:p>
    <w:p w14:paraId="6AB5F0D7" w14:textId="77777777" w:rsidR="00617285" w:rsidRPr="00545EC0" w:rsidRDefault="00617285" w:rsidP="00DD37C5">
      <w:pPr>
        <w:pStyle w:val="Odstavekseznama"/>
        <w:numPr>
          <w:ilvl w:val="0"/>
          <w:numId w:val="89"/>
        </w:numPr>
        <w:rPr>
          <w:rFonts w:cs="Arial"/>
          <w:lang w:val="sl-SI"/>
        </w:rPr>
      </w:pPr>
      <w:r w:rsidRPr="00545EC0">
        <w:rPr>
          <w:rFonts w:cs="Arial"/>
          <w:lang w:val="sl-SI"/>
        </w:rPr>
        <w:t>na podlagi letnih količin emisij snovi iz vseh iztokov industrijske odpadne vode na neposredni prispevni površini posameznega vodnega telesa površinskih voda in srednjega pretoka na dolvodni meji tega vodnega telesa površinskih voda izračunana koncentracija prednostnih snovi ali posebnih onesnaževal presega vrednost okoljskega standarda kakovosti v skladu s predpisom, ki ureja stanje površinskih voda.</w:t>
      </w:r>
    </w:p>
    <w:p w14:paraId="60E563E3" w14:textId="77777777" w:rsidR="00617285" w:rsidRPr="00545EC0" w:rsidRDefault="00617285" w:rsidP="00AD4FE7">
      <w:pPr>
        <w:tabs>
          <w:tab w:val="num" w:pos="567"/>
          <w:tab w:val="left" w:pos="9600"/>
        </w:tabs>
        <w:spacing w:before="120"/>
        <w:rPr>
          <w:rFonts w:cs="Arial"/>
          <w:szCs w:val="20"/>
        </w:rPr>
      </w:pPr>
      <w:r w:rsidRPr="00545EC0">
        <w:rPr>
          <w:rFonts w:cs="Arial"/>
          <w:szCs w:val="20"/>
        </w:rPr>
        <w:t>Pomembna obremenitev zaradi čezmernega obremenjevanja na iztokih iz naprav, ki odvajajo industrijsko odpadno vodo neposredno v površinske vode, je bila v obdobju 2013 — 2017 na VO Donave ugotovljena na 42 vodnih telesih površinskih voda, in sicer na:</w:t>
      </w:r>
    </w:p>
    <w:p w14:paraId="5B35D800" w14:textId="77777777" w:rsidR="00617285" w:rsidRPr="00545EC0" w:rsidRDefault="00617285" w:rsidP="00DD37C5">
      <w:pPr>
        <w:pStyle w:val="Odstavekseznama"/>
        <w:numPr>
          <w:ilvl w:val="0"/>
          <w:numId w:val="89"/>
        </w:numPr>
        <w:rPr>
          <w:rFonts w:cs="Arial"/>
          <w:lang w:val="sl-SI"/>
        </w:rPr>
      </w:pPr>
      <w:r w:rsidRPr="00545EC0">
        <w:rPr>
          <w:rFonts w:cs="Arial"/>
          <w:lang w:val="sl-SI"/>
        </w:rPr>
        <w:t xml:space="preserve">14  vodnih telesih površinskih voda zaradi obremenjevanja s hranili, </w:t>
      </w:r>
    </w:p>
    <w:p w14:paraId="3BAC5E5A" w14:textId="06C7D407" w:rsidR="00617285" w:rsidRPr="00545EC0" w:rsidRDefault="00617285" w:rsidP="00DD37C5">
      <w:pPr>
        <w:pStyle w:val="Odstavekseznama"/>
        <w:numPr>
          <w:ilvl w:val="0"/>
          <w:numId w:val="89"/>
        </w:numPr>
        <w:rPr>
          <w:rFonts w:cs="Arial"/>
          <w:lang w:val="sl-SI"/>
        </w:rPr>
      </w:pPr>
      <w:r w:rsidRPr="00545EC0">
        <w:rPr>
          <w:rFonts w:cs="Arial"/>
          <w:lang w:val="sl-SI"/>
        </w:rPr>
        <w:t xml:space="preserve">24 vodnih telesih površinskih voda zaradi onesnaževanja z </w:t>
      </w:r>
      <w:r w:rsidR="006470D4" w:rsidRPr="00545EC0">
        <w:rPr>
          <w:rFonts w:cs="Arial"/>
          <w:lang w:val="sl-SI"/>
        </w:rPr>
        <w:t xml:space="preserve">biološko razgradljivimi </w:t>
      </w:r>
      <w:r w:rsidRPr="00545EC0">
        <w:rPr>
          <w:rFonts w:cs="Arial"/>
          <w:lang w:val="sl-SI"/>
        </w:rPr>
        <w:t xml:space="preserve">organskimi snovmi, izraženimi kot biokemijska potreba po kisiku, </w:t>
      </w:r>
    </w:p>
    <w:p w14:paraId="5EAC812E" w14:textId="77777777" w:rsidR="00617285" w:rsidRPr="00545EC0" w:rsidRDefault="00617285" w:rsidP="00DD37C5">
      <w:pPr>
        <w:pStyle w:val="Odstavekseznama"/>
        <w:numPr>
          <w:ilvl w:val="0"/>
          <w:numId w:val="89"/>
        </w:numPr>
        <w:rPr>
          <w:rFonts w:cs="Arial"/>
          <w:lang w:val="sl-SI"/>
        </w:rPr>
      </w:pPr>
      <w:r w:rsidRPr="00545EC0">
        <w:rPr>
          <w:rFonts w:cs="Arial"/>
          <w:lang w:val="sl-SI"/>
        </w:rPr>
        <w:t xml:space="preserve">30 vodnih telesih površinskih voda zaradi  onesnaževanja s posebnimi onesnaževali in </w:t>
      </w:r>
    </w:p>
    <w:p w14:paraId="0CB93149" w14:textId="5B4B8793" w:rsidR="006801A6" w:rsidRPr="00545EC0" w:rsidRDefault="00617285" w:rsidP="00DD37C5">
      <w:pPr>
        <w:pStyle w:val="Odstavekseznama"/>
        <w:numPr>
          <w:ilvl w:val="0"/>
          <w:numId w:val="89"/>
        </w:numPr>
        <w:rPr>
          <w:rFonts w:cs="Arial"/>
          <w:lang w:val="sl-SI"/>
        </w:rPr>
      </w:pPr>
      <w:r w:rsidRPr="00545EC0">
        <w:rPr>
          <w:rFonts w:cs="Arial"/>
          <w:lang w:val="sl-SI"/>
        </w:rPr>
        <w:t>treh vodnih telesih površinskih voda zaradi onesnaževanja z nikljem, svincem in triklorometanom, ki spadajo med prednostne snovi, in živim srebrom, ki spada med prednostno nevarne snovi.</w:t>
      </w:r>
    </w:p>
    <w:p w14:paraId="156BD400" w14:textId="77777777" w:rsidR="00AD4FE7" w:rsidRPr="00545EC0" w:rsidRDefault="00AD4FE7" w:rsidP="00AD4FE7">
      <w:pPr>
        <w:rPr>
          <w:rFonts w:cs="Arial"/>
        </w:rPr>
      </w:pPr>
    </w:p>
    <w:p w14:paraId="602791B3" w14:textId="248FB4CC" w:rsidR="00AD4FE7" w:rsidRPr="00545EC0" w:rsidRDefault="00AD4FE7" w:rsidP="00AD4FE7">
      <w:pPr>
        <w:rPr>
          <w:b/>
          <w:i/>
        </w:rPr>
      </w:pPr>
      <w:r w:rsidRPr="00545EC0">
        <w:rPr>
          <w:b/>
          <w:i/>
        </w:rPr>
        <w:t>Prikaz obremenitev vodnih teles podzemnih voda</w:t>
      </w:r>
    </w:p>
    <w:p w14:paraId="3817B9B2" w14:textId="77777777" w:rsidR="00AD4FE7" w:rsidRPr="00545EC0" w:rsidRDefault="00AD4FE7" w:rsidP="00AD4FE7">
      <w:pPr>
        <w:rPr>
          <w:b/>
          <w:i/>
        </w:rPr>
      </w:pPr>
    </w:p>
    <w:p w14:paraId="343F5056" w14:textId="13318A1C" w:rsidR="00AD4FE7" w:rsidRPr="00545EC0" w:rsidRDefault="00AD4FE7" w:rsidP="00AD4F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545EC0">
        <w:rPr>
          <w:rFonts w:cs="Arial"/>
        </w:rPr>
        <w:t xml:space="preserve">Kot točkovni viri onesnaževanja podzemnih voda so obravnavani iztoki odpadnih voda, ki se odvajajo </w:t>
      </w:r>
      <w:r w:rsidR="006470D4" w:rsidRPr="00545EC0">
        <w:rPr>
          <w:rFonts w:cs="Arial"/>
        </w:rPr>
        <w:t xml:space="preserve">posredno v podzemne vode pri čemer gre za odvajanje odpadne vode na površje tal ali s ponikanjem v tla, od koder odpadna voda pronica skozi neomočene sedimente ali zemljino in lahko pride do vnosa </w:t>
      </w:r>
      <w:r w:rsidR="006470D4" w:rsidRPr="00545EC0">
        <w:rPr>
          <w:rFonts w:cs="Arial"/>
        </w:rPr>
        <w:lastRenderedPageBreak/>
        <w:t xml:space="preserve">onesnaževal v podzemne vode. </w:t>
      </w:r>
      <w:r w:rsidRPr="00545EC0">
        <w:rPr>
          <w:rFonts w:cs="Arial"/>
        </w:rPr>
        <w:t xml:space="preserve">Za </w:t>
      </w:r>
      <w:r w:rsidR="006470D4" w:rsidRPr="00545EC0">
        <w:rPr>
          <w:rFonts w:cs="Arial"/>
        </w:rPr>
        <w:t xml:space="preserve">neposredne </w:t>
      </w:r>
      <w:r w:rsidRPr="00545EC0">
        <w:rPr>
          <w:rFonts w:cs="Arial"/>
        </w:rPr>
        <w:t>iztoke v površinske vode je privzeto, da ne vplivajo na podzemno vodo, razen če gre za iztoke odpadne vode v vodotoke, ki ponikajo (zlasti kraške površinske vode, ki ponikajo v vodonosnik, ali površinske vode, ki se z obrobja zlivajo na aluvialne ravnine in ponikajo v vodonosnik)</w:t>
      </w:r>
      <w:r w:rsidR="00251748" w:rsidRPr="00545EC0">
        <w:rPr>
          <w:rFonts w:cs="Arial"/>
        </w:rPr>
        <w:t>.</w:t>
      </w:r>
    </w:p>
    <w:p w14:paraId="768F41EA" w14:textId="5167326E" w:rsidR="00AD4FE7" w:rsidRPr="00545EC0" w:rsidRDefault="00AD4FE7" w:rsidP="00AD4FE7">
      <w:pPr>
        <w:tabs>
          <w:tab w:val="num" w:pos="567"/>
          <w:tab w:val="left" w:pos="9600"/>
        </w:tabs>
        <w:spacing w:before="120"/>
        <w:rPr>
          <w:rFonts w:cs="Arial"/>
          <w:szCs w:val="20"/>
        </w:rPr>
      </w:pPr>
      <w:r w:rsidRPr="00545EC0">
        <w:rPr>
          <w:rFonts w:cs="Arial"/>
          <w:szCs w:val="20"/>
        </w:rPr>
        <w:t xml:space="preserve">Kot točkovni viri industrijske odpadne vode so obravnavane tako naprave, </w:t>
      </w:r>
      <w:r w:rsidRPr="00545EC0">
        <w:t>ki lahko povzročajo onesnaževanje okolja večjega obsega (t.i. IED naprave</w:t>
      </w:r>
      <w:r w:rsidR="006470D4" w:rsidRPr="00545EC0">
        <w:t xml:space="preserve">) in iz katerih se odvajajo industrijske odpadne vode </w:t>
      </w:r>
      <w:r w:rsidRPr="00545EC0">
        <w:t xml:space="preserve">kakor tudi druge </w:t>
      </w:r>
      <w:r w:rsidRPr="00545EC0">
        <w:rPr>
          <w:rFonts w:cs="Arial"/>
          <w:szCs w:val="20"/>
        </w:rPr>
        <w:t>naprave, ki ne sodijo med t.i. IED naprave.</w:t>
      </w:r>
    </w:p>
    <w:p w14:paraId="70E0B1BB" w14:textId="6E8C1AFA" w:rsidR="00AD4FE7" w:rsidRPr="00545EC0" w:rsidRDefault="00AD4FE7" w:rsidP="00AD4FE7">
      <w:pPr>
        <w:tabs>
          <w:tab w:val="num" w:pos="567"/>
          <w:tab w:val="left" w:pos="9600"/>
        </w:tabs>
        <w:spacing w:before="120"/>
        <w:rPr>
          <w:rFonts w:cs="Arial"/>
          <w:szCs w:val="20"/>
        </w:rPr>
      </w:pPr>
      <w:r w:rsidRPr="00545EC0">
        <w:rPr>
          <w:rFonts w:cs="Arial"/>
          <w:szCs w:val="20"/>
        </w:rPr>
        <w:t xml:space="preserve">Na VO Donave je 168 iztokov odpadne vode iz naprav, ki </w:t>
      </w:r>
      <w:r w:rsidR="006470D4" w:rsidRPr="00545EC0">
        <w:rPr>
          <w:rFonts w:cs="Arial"/>
          <w:szCs w:val="20"/>
        </w:rPr>
        <w:t xml:space="preserve">posredno v podzemne vode </w:t>
      </w:r>
      <w:r w:rsidRPr="00545EC0">
        <w:rPr>
          <w:rFonts w:cs="Arial"/>
          <w:szCs w:val="20"/>
        </w:rPr>
        <w:t xml:space="preserve">odvajajo industrijsko odpadno vodo </w:t>
      </w:r>
      <w:r w:rsidR="00A107B8" w:rsidRPr="00545EC0">
        <w:rPr>
          <w:rFonts w:cs="Arial"/>
          <w:szCs w:val="20"/>
        </w:rPr>
        <w:t>(</w:t>
      </w:r>
      <w:r w:rsidR="00A107B8" w:rsidRPr="00545EC0">
        <w:rPr>
          <w:rFonts w:cs="Arial"/>
          <w:szCs w:val="20"/>
        </w:rPr>
        <w:fldChar w:fldCharType="begin"/>
      </w:r>
      <w:r w:rsidR="00A107B8" w:rsidRPr="00545EC0">
        <w:rPr>
          <w:rFonts w:cs="Arial"/>
          <w:szCs w:val="20"/>
        </w:rPr>
        <w:instrText xml:space="preserve"> REF _Ref84321332 \h </w:instrText>
      </w:r>
      <w:r w:rsidR="003122F4" w:rsidRPr="00545EC0">
        <w:rPr>
          <w:rFonts w:cs="Arial"/>
          <w:szCs w:val="20"/>
        </w:rPr>
        <w:instrText xml:space="preserve"> \* MERGEFORMAT </w:instrText>
      </w:r>
      <w:r w:rsidR="00A107B8" w:rsidRPr="00545EC0">
        <w:rPr>
          <w:rFonts w:cs="Arial"/>
          <w:szCs w:val="20"/>
        </w:rPr>
      </w:r>
      <w:r w:rsidR="00A107B8" w:rsidRPr="00545EC0">
        <w:rPr>
          <w:rFonts w:cs="Arial"/>
          <w:szCs w:val="20"/>
        </w:rPr>
        <w:fldChar w:fldCharType="separate"/>
      </w:r>
      <w:r w:rsidR="002F3E43" w:rsidRPr="00545EC0">
        <w:t xml:space="preserve">Preglednica </w:t>
      </w:r>
      <w:r w:rsidR="002F3E43">
        <w:rPr>
          <w:noProof/>
        </w:rPr>
        <w:t>2</w:t>
      </w:r>
      <w:r w:rsidR="002F3E43" w:rsidRPr="00545EC0">
        <w:rPr>
          <w:noProof/>
        </w:rPr>
        <w:noBreakHyphen/>
      </w:r>
      <w:r w:rsidR="002F3E43">
        <w:rPr>
          <w:noProof/>
        </w:rPr>
        <w:t>10</w:t>
      </w:r>
      <w:r w:rsidR="00A107B8" w:rsidRPr="00545EC0">
        <w:rPr>
          <w:rFonts w:cs="Arial"/>
          <w:szCs w:val="20"/>
        </w:rPr>
        <w:fldChar w:fldCharType="end"/>
      </w:r>
      <w:r w:rsidRPr="00545EC0">
        <w:rPr>
          <w:rFonts w:cs="Arial"/>
          <w:szCs w:val="20"/>
        </w:rPr>
        <w:t xml:space="preserve">). </w:t>
      </w:r>
      <w:r w:rsidRPr="00545EC0">
        <w:rPr>
          <w:rFonts w:cs="Arial"/>
        </w:rPr>
        <w:t xml:space="preserve">Glede na podatke obratovalnega monitoringa emisij odpadne vode </w:t>
      </w:r>
      <w:r w:rsidR="00EC1348" w:rsidRPr="00545EC0">
        <w:rPr>
          <w:rFonts w:cs="Arial"/>
        </w:rPr>
        <w:t>v obdobju od 2012 do 2017</w:t>
      </w:r>
      <w:r w:rsidRPr="00545EC0">
        <w:rPr>
          <w:rFonts w:cs="Arial"/>
        </w:rPr>
        <w:t xml:space="preserve">, je na vodnih telesih podzemnih voda VO Donave 149 iztokov industrijske odpadne vode, iz katerih se odpadna voda odvajajo posredno </w:t>
      </w:r>
      <w:r w:rsidR="006470D4" w:rsidRPr="00545EC0">
        <w:rPr>
          <w:rFonts w:cs="Arial"/>
        </w:rPr>
        <w:t>v podzemne vode</w:t>
      </w:r>
      <w:r w:rsidRPr="00545EC0">
        <w:rPr>
          <w:rFonts w:cs="Arial"/>
        </w:rPr>
        <w:t>. Iztoki so prisotni na vseh vodnih telesih podzemnih voda. Preostali iztoki industrijske odpadne vode za katere je privzeto</w:t>
      </w:r>
      <w:r w:rsidRPr="00545EC0">
        <w:rPr>
          <w:rFonts w:cs="Arial"/>
          <w:szCs w:val="20"/>
        </w:rPr>
        <w:t>, da vplivajo na podzemno vodo (na primer iztoki v vodotoke, ki poniknejo v tla) so prisotni na dveh vodnih telesih podzemnih voda (VTPodV_1010 Kraška Ljubljanica in VTPodV_1011 Dolenjski kras).</w:t>
      </w:r>
    </w:p>
    <w:p w14:paraId="770F3935" w14:textId="77777777" w:rsidR="00AD4FE7" w:rsidRPr="00545EC0" w:rsidRDefault="00AD4FE7" w:rsidP="00AD4FE7">
      <w:pPr>
        <w:rPr>
          <w:rFonts w:cs="Arial"/>
          <w:szCs w:val="20"/>
        </w:rPr>
      </w:pPr>
    </w:p>
    <w:p w14:paraId="4F653D8F" w14:textId="72857F19" w:rsidR="00C40307" w:rsidRPr="00545EC0" w:rsidRDefault="00AD4FE7" w:rsidP="00C40307">
      <w:r w:rsidRPr="00545EC0">
        <w:t>V primerjavi s predhodnim načrtom upravljanja voda se je na VO Donave število iztokov odpadne vode iz naprav, ki odvajajo industrijsko odpadno vodo posredno v podzemne vode povečalo za okoli 40 % (iz 97 iztokov na 168 iztokov). Do povečanja je prišlo zlasti zaradi dopolnitev podatkovne zbirke o zavezancih za izvajanje obratovalnega monitoringa industrijske odpadne vode, v skladu z nadgrajeno obrazložitvijo izraza »industrijska odpadna voda« v skladu s predpisom, ki ureja emisijo in toplote pri odvajanju odpadnih voda v vode in javno kanalizacijo. Te dopolnitve se nanašajo na zavezance</w:t>
      </w:r>
      <w:bookmarkStart w:id="136" w:name="_Ref56699933"/>
      <w:bookmarkStart w:id="137" w:name="_Ref84357906"/>
      <w:bookmarkStart w:id="138" w:name="_Toc60896613"/>
      <w:bookmarkStart w:id="139" w:name="_Toc71784488"/>
      <w:bookmarkStart w:id="140" w:name="_Toc84312595"/>
      <w:r w:rsidR="00C40307" w:rsidRPr="00545EC0">
        <w:t xml:space="preserve"> s področja predelave odpadkov.</w:t>
      </w:r>
    </w:p>
    <w:p w14:paraId="7E7D4D90" w14:textId="77777777" w:rsidR="00C40307" w:rsidRPr="00545EC0" w:rsidRDefault="00C40307" w:rsidP="00C40307"/>
    <w:p w14:paraId="05356088" w14:textId="2AB9ABE4" w:rsidR="00C40307" w:rsidRPr="00545EC0" w:rsidRDefault="00AD4FE7" w:rsidP="00C40307">
      <w:pPr>
        <w:rPr>
          <w:bCs/>
        </w:rPr>
      </w:pPr>
      <w:bookmarkStart w:id="141" w:name="_Ref84321332"/>
      <w:bookmarkEnd w:id="136"/>
      <w:bookmarkEnd w:id="137"/>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10</w:t>
        </w:r>
      </w:fldSimple>
      <w:bookmarkEnd w:id="141"/>
      <w:r w:rsidRPr="00545EC0">
        <w:t>: Število iztokov odpadne vode iz naprav, ki odvajajo industrijsko odpadno vodo in</w:t>
      </w:r>
      <w:bookmarkEnd w:id="138"/>
      <w:bookmarkEnd w:id="139"/>
      <w:bookmarkEnd w:id="140"/>
      <w:r w:rsidRPr="00545EC0">
        <w:t xml:space="preserve"> so</w:t>
      </w:r>
      <w:r w:rsidRPr="00545EC0">
        <w:rPr>
          <w:bCs/>
        </w:rPr>
        <w:t xml:space="preserve"> </w:t>
      </w:r>
    </w:p>
    <w:p w14:paraId="456B16E3" w14:textId="6BC4F87A" w:rsidR="00AD4FE7" w:rsidRPr="00545EC0" w:rsidRDefault="00AD4FE7" w:rsidP="00C40307">
      <w:r w:rsidRPr="00545EC0">
        <w:rPr>
          <w:bCs/>
        </w:rPr>
        <w:t>obravnavani kot točkovni viri obremenitev podzemnih voda</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33"/>
        <w:gridCol w:w="2373"/>
      </w:tblGrid>
      <w:tr w:rsidR="00625DB6" w:rsidRPr="00545EC0" w14:paraId="4A08FB7F" w14:textId="77777777" w:rsidTr="00625DB6">
        <w:trPr>
          <w:cantSplit/>
          <w:trHeight w:val="340"/>
        </w:trPr>
        <w:tc>
          <w:tcPr>
            <w:tcW w:w="3697" w:type="pct"/>
            <w:shd w:val="clear" w:color="auto" w:fill="F2F2F2" w:themeFill="background1" w:themeFillShade="F2"/>
            <w:vAlign w:val="center"/>
            <w:hideMark/>
          </w:tcPr>
          <w:p w14:paraId="3859E7B2" w14:textId="77777777" w:rsidR="00AD4FE7" w:rsidRPr="00545EC0" w:rsidRDefault="00AD4FE7" w:rsidP="00AD4FE7">
            <w:pPr>
              <w:pStyle w:val="Odstavekseznama"/>
              <w:ind w:left="142"/>
              <w:rPr>
                <w:rFonts w:cs="Arial"/>
                <w:b/>
                <w:bCs/>
                <w:sz w:val="18"/>
                <w:szCs w:val="20"/>
                <w:lang w:val="sl-SI" w:eastAsia="sl-SI"/>
              </w:rPr>
            </w:pPr>
            <w:r w:rsidRPr="00545EC0">
              <w:rPr>
                <w:rFonts w:cs="Arial"/>
                <w:b/>
                <w:bCs/>
                <w:sz w:val="18"/>
                <w:szCs w:val="20"/>
                <w:lang w:val="sl-SI" w:eastAsia="sl-SI"/>
              </w:rPr>
              <w:t>Število iztokov</w:t>
            </w:r>
          </w:p>
        </w:tc>
        <w:tc>
          <w:tcPr>
            <w:tcW w:w="1303" w:type="pct"/>
            <w:shd w:val="clear" w:color="auto" w:fill="F2F2F2" w:themeFill="background1" w:themeFillShade="F2"/>
            <w:vAlign w:val="center"/>
          </w:tcPr>
          <w:p w14:paraId="6C1A5A59" w14:textId="77777777" w:rsidR="00AD4FE7" w:rsidRPr="00545EC0" w:rsidRDefault="00AD4FE7" w:rsidP="00AD4FE7">
            <w:pPr>
              <w:pStyle w:val="Odstavekseznama"/>
              <w:ind w:left="0"/>
              <w:jc w:val="center"/>
              <w:rPr>
                <w:rFonts w:cs="Arial"/>
                <w:b/>
                <w:bCs/>
                <w:sz w:val="18"/>
                <w:szCs w:val="20"/>
                <w:lang w:val="sl-SI" w:eastAsia="sl-SI"/>
              </w:rPr>
            </w:pPr>
            <w:r w:rsidRPr="00545EC0">
              <w:rPr>
                <w:rFonts w:cs="Arial"/>
                <w:b/>
                <w:bCs/>
                <w:sz w:val="18"/>
                <w:szCs w:val="20"/>
                <w:lang w:val="sl-SI" w:eastAsia="sl-SI"/>
              </w:rPr>
              <w:t>VO Donava</w:t>
            </w:r>
          </w:p>
        </w:tc>
      </w:tr>
      <w:tr w:rsidR="003122F4" w:rsidRPr="00545EC0" w14:paraId="7C5854E2" w14:textId="77777777" w:rsidTr="00AD4FE7">
        <w:trPr>
          <w:cantSplit/>
          <w:trHeight w:val="340"/>
        </w:trPr>
        <w:tc>
          <w:tcPr>
            <w:tcW w:w="3697" w:type="pct"/>
            <w:shd w:val="clear" w:color="auto" w:fill="auto"/>
            <w:vAlign w:val="center"/>
            <w:hideMark/>
          </w:tcPr>
          <w:p w14:paraId="55A51805" w14:textId="77777777" w:rsidR="00AD4FE7" w:rsidRPr="00545EC0" w:rsidRDefault="00AD4FE7" w:rsidP="00AD4FE7">
            <w:pPr>
              <w:pStyle w:val="Odstavekseznama"/>
              <w:ind w:left="142"/>
              <w:rPr>
                <w:rFonts w:cs="Arial"/>
                <w:bCs/>
                <w:sz w:val="18"/>
                <w:szCs w:val="20"/>
                <w:lang w:val="sl-SI" w:eastAsia="sl-SI"/>
              </w:rPr>
            </w:pPr>
            <w:r w:rsidRPr="00545EC0">
              <w:rPr>
                <w:rFonts w:cs="Arial"/>
                <w:bCs/>
                <w:sz w:val="18"/>
                <w:szCs w:val="20"/>
                <w:lang w:val="sl-SI" w:eastAsia="sl-SI"/>
              </w:rPr>
              <w:t>Število iztokov na vodnem območju</w:t>
            </w:r>
          </w:p>
        </w:tc>
        <w:tc>
          <w:tcPr>
            <w:tcW w:w="1303" w:type="pct"/>
            <w:shd w:val="clear" w:color="auto" w:fill="auto"/>
            <w:vAlign w:val="center"/>
          </w:tcPr>
          <w:p w14:paraId="39974C56" w14:textId="77777777" w:rsidR="00AD4FE7" w:rsidRPr="00545EC0" w:rsidRDefault="00AD4FE7" w:rsidP="00AD4FE7">
            <w:pPr>
              <w:pStyle w:val="Odstavekseznama"/>
              <w:ind w:left="0"/>
              <w:jc w:val="center"/>
              <w:rPr>
                <w:rFonts w:cs="Arial"/>
                <w:bCs/>
                <w:sz w:val="18"/>
                <w:szCs w:val="20"/>
                <w:lang w:val="sl-SI" w:eastAsia="sl-SI"/>
              </w:rPr>
            </w:pPr>
            <w:r w:rsidRPr="00545EC0">
              <w:rPr>
                <w:rFonts w:cs="Arial"/>
                <w:bCs/>
                <w:sz w:val="18"/>
                <w:szCs w:val="20"/>
                <w:lang w:val="sl-SI" w:eastAsia="sl-SI"/>
              </w:rPr>
              <w:t>168</w:t>
            </w:r>
          </w:p>
        </w:tc>
      </w:tr>
      <w:tr w:rsidR="003122F4" w:rsidRPr="00545EC0" w14:paraId="791CD5A7" w14:textId="77777777" w:rsidTr="00AD4FE7">
        <w:trPr>
          <w:cantSplit/>
          <w:trHeight w:val="340"/>
        </w:trPr>
        <w:tc>
          <w:tcPr>
            <w:tcW w:w="3697" w:type="pct"/>
            <w:shd w:val="clear" w:color="auto" w:fill="auto"/>
            <w:vAlign w:val="center"/>
            <w:hideMark/>
          </w:tcPr>
          <w:p w14:paraId="63BD538B" w14:textId="6FE88315" w:rsidR="00AD4FE7" w:rsidRPr="00545EC0" w:rsidRDefault="004439AE" w:rsidP="00DD37C5">
            <w:pPr>
              <w:pStyle w:val="Odstavekseznama"/>
              <w:numPr>
                <w:ilvl w:val="0"/>
                <w:numId w:val="85"/>
              </w:numPr>
              <w:rPr>
                <w:rFonts w:cs="Arial"/>
                <w:bCs/>
                <w:sz w:val="18"/>
                <w:szCs w:val="20"/>
                <w:lang w:val="sl-SI" w:eastAsia="sl-SI"/>
              </w:rPr>
            </w:pPr>
            <w:r w:rsidRPr="00545EC0">
              <w:rPr>
                <w:rFonts w:cs="Arial"/>
                <w:bCs/>
                <w:sz w:val="18"/>
                <w:szCs w:val="20"/>
                <w:lang w:val="sl-SI" w:eastAsia="sl-SI"/>
              </w:rPr>
              <w:t>posredno odvajanje v podzemne vode</w:t>
            </w:r>
          </w:p>
        </w:tc>
        <w:tc>
          <w:tcPr>
            <w:tcW w:w="1303" w:type="pct"/>
            <w:shd w:val="clear" w:color="auto" w:fill="auto"/>
            <w:vAlign w:val="center"/>
          </w:tcPr>
          <w:p w14:paraId="713AD57B" w14:textId="77777777" w:rsidR="00AD4FE7" w:rsidRPr="00545EC0" w:rsidRDefault="00AD4FE7" w:rsidP="00AD4FE7">
            <w:pPr>
              <w:pStyle w:val="Odstavekseznama"/>
              <w:ind w:left="0"/>
              <w:jc w:val="center"/>
              <w:rPr>
                <w:rFonts w:cs="Arial"/>
                <w:bCs/>
                <w:sz w:val="18"/>
                <w:szCs w:val="20"/>
                <w:lang w:val="sl-SI" w:eastAsia="sl-SI"/>
              </w:rPr>
            </w:pPr>
            <w:r w:rsidRPr="00545EC0">
              <w:rPr>
                <w:rFonts w:cs="Arial"/>
                <w:bCs/>
                <w:sz w:val="18"/>
                <w:szCs w:val="20"/>
                <w:lang w:val="sl-SI" w:eastAsia="sl-SI"/>
              </w:rPr>
              <w:t>149</w:t>
            </w:r>
          </w:p>
        </w:tc>
      </w:tr>
      <w:tr w:rsidR="003122F4" w:rsidRPr="00545EC0" w14:paraId="3036A285" w14:textId="77777777" w:rsidTr="00AD4FE7">
        <w:trPr>
          <w:cantSplit/>
          <w:trHeight w:val="340"/>
        </w:trPr>
        <w:tc>
          <w:tcPr>
            <w:tcW w:w="3697" w:type="pct"/>
            <w:shd w:val="clear" w:color="auto" w:fill="auto"/>
            <w:vAlign w:val="center"/>
            <w:hideMark/>
          </w:tcPr>
          <w:p w14:paraId="623D5F2D" w14:textId="77777777" w:rsidR="00AD4FE7" w:rsidRPr="00545EC0" w:rsidRDefault="00AD4FE7" w:rsidP="00DD37C5">
            <w:pPr>
              <w:pStyle w:val="Odstavekseznama"/>
              <w:numPr>
                <w:ilvl w:val="0"/>
                <w:numId w:val="86"/>
              </w:numPr>
              <w:rPr>
                <w:rFonts w:cs="Arial"/>
                <w:bCs/>
                <w:sz w:val="18"/>
                <w:szCs w:val="20"/>
                <w:lang w:val="sl-SI" w:eastAsia="sl-SI"/>
              </w:rPr>
            </w:pPr>
            <w:r w:rsidRPr="00545EC0">
              <w:rPr>
                <w:rFonts w:cs="Arial"/>
                <w:bCs/>
                <w:sz w:val="18"/>
                <w:szCs w:val="20"/>
                <w:lang w:val="sl-SI" w:eastAsia="sl-SI"/>
              </w:rPr>
              <w:t>odvajanje v vodotok, ki ponikne</w:t>
            </w:r>
          </w:p>
        </w:tc>
        <w:tc>
          <w:tcPr>
            <w:tcW w:w="1303" w:type="pct"/>
            <w:shd w:val="clear" w:color="auto" w:fill="auto"/>
            <w:vAlign w:val="center"/>
          </w:tcPr>
          <w:p w14:paraId="677936C2" w14:textId="77777777" w:rsidR="00AD4FE7" w:rsidRPr="00545EC0" w:rsidRDefault="00AD4FE7" w:rsidP="00AD4FE7">
            <w:pPr>
              <w:pStyle w:val="Odstavekseznama"/>
              <w:ind w:left="142"/>
              <w:jc w:val="center"/>
              <w:rPr>
                <w:rFonts w:cs="Arial"/>
                <w:bCs/>
                <w:sz w:val="18"/>
                <w:szCs w:val="20"/>
                <w:lang w:val="sl-SI" w:eastAsia="sl-SI"/>
              </w:rPr>
            </w:pPr>
            <w:r w:rsidRPr="00545EC0">
              <w:rPr>
                <w:rFonts w:cs="Arial"/>
                <w:bCs/>
                <w:sz w:val="18"/>
                <w:szCs w:val="20"/>
                <w:lang w:val="sl-SI" w:eastAsia="sl-SI"/>
              </w:rPr>
              <w:t>13</w:t>
            </w:r>
          </w:p>
        </w:tc>
      </w:tr>
      <w:tr w:rsidR="00AD4FE7" w:rsidRPr="00545EC0" w14:paraId="595968AD" w14:textId="77777777" w:rsidTr="00AD4FE7">
        <w:trPr>
          <w:cantSplit/>
          <w:trHeight w:val="340"/>
        </w:trPr>
        <w:tc>
          <w:tcPr>
            <w:tcW w:w="3697" w:type="pct"/>
            <w:shd w:val="clear" w:color="auto" w:fill="auto"/>
            <w:vAlign w:val="center"/>
            <w:hideMark/>
          </w:tcPr>
          <w:p w14:paraId="3B058D53" w14:textId="77777777" w:rsidR="00AD4FE7" w:rsidRPr="00545EC0" w:rsidRDefault="00AD4FE7" w:rsidP="00DD37C5">
            <w:pPr>
              <w:pStyle w:val="Odstavekseznama"/>
              <w:numPr>
                <w:ilvl w:val="0"/>
                <w:numId w:val="85"/>
              </w:numPr>
              <w:rPr>
                <w:rFonts w:cs="Arial"/>
                <w:bCs/>
                <w:sz w:val="18"/>
                <w:szCs w:val="20"/>
                <w:lang w:val="sl-SI" w:eastAsia="sl-SI"/>
              </w:rPr>
            </w:pPr>
            <w:r w:rsidRPr="00545EC0">
              <w:rPr>
                <w:rFonts w:cs="Arial"/>
                <w:bCs/>
                <w:sz w:val="18"/>
                <w:szCs w:val="20"/>
                <w:lang w:val="sl-SI" w:eastAsia="sl-SI"/>
              </w:rPr>
              <w:t>neopredeljeni iztoki ki so na kraških tleh in za katere je privzeto, da vplivajo na podzemno vodo</w:t>
            </w:r>
          </w:p>
        </w:tc>
        <w:tc>
          <w:tcPr>
            <w:tcW w:w="1303" w:type="pct"/>
            <w:shd w:val="clear" w:color="auto" w:fill="auto"/>
            <w:vAlign w:val="center"/>
          </w:tcPr>
          <w:p w14:paraId="5F0B8E27" w14:textId="77777777" w:rsidR="00AD4FE7" w:rsidRPr="00545EC0" w:rsidRDefault="00AD4FE7" w:rsidP="00AD4FE7">
            <w:pPr>
              <w:pStyle w:val="Odstavekseznama"/>
              <w:ind w:left="142"/>
              <w:jc w:val="center"/>
              <w:rPr>
                <w:rFonts w:cs="Arial"/>
                <w:bCs/>
                <w:sz w:val="18"/>
                <w:szCs w:val="20"/>
                <w:lang w:val="sl-SI" w:eastAsia="sl-SI"/>
              </w:rPr>
            </w:pPr>
            <w:r w:rsidRPr="00545EC0">
              <w:rPr>
                <w:rFonts w:cs="Arial"/>
                <w:bCs/>
                <w:sz w:val="18"/>
                <w:szCs w:val="20"/>
                <w:lang w:val="sl-SI" w:eastAsia="sl-SI"/>
              </w:rPr>
              <w:t>6</w:t>
            </w:r>
          </w:p>
        </w:tc>
      </w:tr>
    </w:tbl>
    <w:p w14:paraId="56118E03" w14:textId="77777777" w:rsidR="00AD4FE7" w:rsidRPr="00545EC0" w:rsidRDefault="00AD4FE7" w:rsidP="00AD4FE7">
      <w:pPr>
        <w:rPr>
          <w:rFonts w:cs="Arial"/>
          <w:szCs w:val="20"/>
        </w:rPr>
      </w:pPr>
    </w:p>
    <w:p w14:paraId="7A81E8C5" w14:textId="193CD401" w:rsidR="00AD4FE7" w:rsidRPr="00545EC0" w:rsidRDefault="00AD4FE7" w:rsidP="00AD4FE7">
      <w:pPr>
        <w:tabs>
          <w:tab w:val="num" w:pos="567"/>
          <w:tab w:val="left" w:pos="9600"/>
        </w:tabs>
        <w:spacing w:before="120"/>
        <w:rPr>
          <w:rFonts w:cs="Arial"/>
          <w:szCs w:val="20"/>
        </w:rPr>
      </w:pPr>
      <w:r w:rsidRPr="00545EC0">
        <w:rPr>
          <w:rFonts w:cs="Arial"/>
          <w:szCs w:val="20"/>
        </w:rPr>
        <w:t>Podatki kažejo, da na VO Donave</w:t>
      </w:r>
      <w:r w:rsidR="004439AE" w:rsidRPr="00545EC0">
        <w:rPr>
          <w:rFonts w:cs="Arial"/>
          <w:szCs w:val="20"/>
        </w:rPr>
        <w:t xml:space="preserve"> pri odvajanju</w:t>
      </w:r>
      <w:r w:rsidRPr="00545EC0">
        <w:rPr>
          <w:rFonts w:cs="Arial"/>
          <w:szCs w:val="20"/>
        </w:rPr>
        <w:t xml:space="preserve"> industrijskih odpadnih voda</w:t>
      </w:r>
      <w:r w:rsidR="004439AE" w:rsidRPr="00545EC0">
        <w:rPr>
          <w:rFonts w:cs="Arial"/>
          <w:szCs w:val="20"/>
        </w:rPr>
        <w:t xml:space="preserve"> posredno v podzemne vode</w:t>
      </w:r>
      <w:r w:rsidRPr="00545EC0">
        <w:rPr>
          <w:rFonts w:cs="Arial"/>
          <w:szCs w:val="20"/>
        </w:rPr>
        <w:t xml:space="preserve"> ali v vodotoke, ki ponikajo, </w:t>
      </w:r>
      <w:r w:rsidR="00251748" w:rsidRPr="00545EC0">
        <w:rPr>
          <w:rFonts w:cs="Arial"/>
          <w:szCs w:val="20"/>
        </w:rPr>
        <w:t>prihaja do emisij</w:t>
      </w:r>
      <w:r w:rsidRPr="00545EC0">
        <w:rPr>
          <w:rFonts w:cs="Arial"/>
          <w:szCs w:val="20"/>
        </w:rPr>
        <w:t>:</w:t>
      </w:r>
    </w:p>
    <w:p w14:paraId="36D30659" w14:textId="04A17F9D" w:rsidR="001A1DB9" w:rsidRPr="00545EC0" w:rsidRDefault="001A1DB9" w:rsidP="00DD37C5">
      <w:pPr>
        <w:numPr>
          <w:ilvl w:val="0"/>
          <w:numId w:val="62"/>
        </w:numPr>
        <w:tabs>
          <w:tab w:val="left" w:pos="9600"/>
        </w:tabs>
        <w:overflowPunct/>
        <w:autoSpaceDE/>
        <w:autoSpaceDN/>
        <w:adjustRightInd/>
        <w:spacing w:before="120"/>
        <w:textAlignment w:val="auto"/>
        <w:rPr>
          <w:szCs w:val="20"/>
        </w:rPr>
      </w:pPr>
      <w:r w:rsidRPr="00545EC0">
        <w:rPr>
          <w:szCs w:val="20"/>
        </w:rPr>
        <w:t>9</w:t>
      </w:r>
      <w:r w:rsidR="00AD4FE7" w:rsidRPr="00545EC0">
        <w:rPr>
          <w:szCs w:val="20"/>
        </w:rPr>
        <w:t xml:space="preserve"> različnih onesnaževal, ki so s predpisom, ki ureja emisijo snovi in toplote pri odvajanju odpadnih voda v vode in javno kanalizacijo, določena kot nevarna za podzemno vodo,</w:t>
      </w:r>
      <w:r w:rsidRPr="00545EC0">
        <w:rPr>
          <w:szCs w:val="20"/>
        </w:rPr>
        <w:t xml:space="preserve"> s predpisom, ki ureja stanje podzemnih voda, določena kot parametri stanja podzemnih voda in v skladu s predpisom, ki ureja pitno vodo in določa zahteve, ki jih mora izpolnjevati pitna voda z namenom varovanja zdravja ljudi pred škodljivimi učinki zaradi onesnaženja pitne vode,</w:t>
      </w:r>
      <w:r w:rsidR="00AD4FE7" w:rsidRPr="00545EC0">
        <w:rPr>
          <w:szCs w:val="20"/>
        </w:rPr>
        <w:t xml:space="preserve"> in sicer </w:t>
      </w:r>
      <w:r w:rsidRPr="00545EC0">
        <w:rPr>
          <w:szCs w:val="20"/>
        </w:rPr>
        <w:t xml:space="preserve">arzen, kadmij, svinec, živo srebro, tetraklorometan, triklorometan, 1,2-dikloroetan, trikloroeten, heptaklorepoksid, </w:t>
      </w:r>
    </w:p>
    <w:p w14:paraId="444D2249" w14:textId="1FC271EF" w:rsidR="001A1DB9" w:rsidRPr="00545EC0" w:rsidRDefault="001A1DB9" w:rsidP="00DD37C5">
      <w:pPr>
        <w:numPr>
          <w:ilvl w:val="0"/>
          <w:numId w:val="62"/>
        </w:numPr>
        <w:tabs>
          <w:tab w:val="left" w:pos="9600"/>
        </w:tabs>
        <w:overflowPunct/>
        <w:autoSpaceDE/>
        <w:autoSpaceDN/>
        <w:adjustRightInd/>
        <w:spacing w:before="120" w:after="120"/>
        <w:textAlignment w:val="auto"/>
        <w:rPr>
          <w:rFonts w:cstheme="minorHAnsi"/>
        </w:rPr>
      </w:pPr>
      <w:r w:rsidRPr="00545EC0">
        <w:rPr>
          <w:szCs w:val="20"/>
        </w:rPr>
        <w:t>4 različna onesnaževal</w:t>
      </w:r>
      <w:r w:rsidR="009B7498" w:rsidRPr="00545EC0">
        <w:rPr>
          <w:szCs w:val="20"/>
        </w:rPr>
        <w:t>a</w:t>
      </w:r>
      <w:r w:rsidRPr="00545EC0">
        <w:rPr>
          <w:szCs w:val="20"/>
        </w:rPr>
        <w:t xml:space="preserve">, ki so s predpisom, ki ureja emisijo snovi in toplote pri odvajanju odpadnih voda v vode in javno kanalizacijo, določena kot nevarna za podzemno vodo in s predpisom, ki ureja stanje podzemnih voda, določena kot parametri stanja podzemnih voda, in </w:t>
      </w:r>
      <w:r w:rsidRPr="00545EC0">
        <w:rPr>
          <w:szCs w:val="20"/>
        </w:rPr>
        <w:lastRenderedPageBreak/>
        <w:t xml:space="preserve">sicer lahkohlapni halogenirani ogljikovodiki (LKCH), 1,1-dikloroeten, tetrakloroeten, diklorometan, </w:t>
      </w:r>
    </w:p>
    <w:p w14:paraId="5FA8327E" w14:textId="1E6455D4" w:rsidR="001A1DB9" w:rsidRPr="00545EC0" w:rsidRDefault="001A1DB9" w:rsidP="00DD37C5">
      <w:pPr>
        <w:numPr>
          <w:ilvl w:val="0"/>
          <w:numId w:val="62"/>
        </w:numPr>
        <w:tabs>
          <w:tab w:val="left" w:pos="9600"/>
        </w:tabs>
        <w:overflowPunct/>
        <w:autoSpaceDE/>
        <w:autoSpaceDN/>
        <w:adjustRightInd/>
        <w:spacing w:before="120" w:after="120"/>
        <w:textAlignment w:val="auto"/>
        <w:rPr>
          <w:rFonts w:cstheme="minorHAnsi"/>
        </w:rPr>
      </w:pPr>
      <w:r w:rsidRPr="00545EC0">
        <w:rPr>
          <w:szCs w:val="20"/>
        </w:rPr>
        <w:t xml:space="preserve">9 različnih onesnaževal, ki so s predpisom, ki ureja emisijo snovi in toplote pri odvajanju odpadnih voda v vode in javno kanalizacijo, določena kot nevarna za podzemno vodo in v skladu s predpisom, ki ureja pitno vodo in določa zahteve, ki jih mora izpolnjevati pitna voda z namenom varovanja zdravja ljudi pred škodljivimi učinki zaradi onesnaženja pitne vode in sicer </w:t>
      </w:r>
      <w:r w:rsidRPr="00545EC0">
        <w:rPr>
          <w:rFonts w:cstheme="minorHAnsi"/>
        </w:rPr>
        <w:t>nikelj, cianid – prosti, benzen, policiklični aromatski ogljikovodiki (PAH)</w:t>
      </w:r>
      <w:r w:rsidR="009B7498" w:rsidRPr="00545EC0">
        <w:rPr>
          <w:rFonts w:cstheme="minorHAnsi"/>
        </w:rPr>
        <w:t>,</w:t>
      </w:r>
      <w:r w:rsidRPr="00545EC0">
        <w:rPr>
          <w:rFonts w:cstheme="minorHAnsi"/>
        </w:rPr>
        <w:t xml:space="preserve"> benzo(a)piren, benzo(b)fluoranten, benzo(k)fluoranten, benzo(g,h,i)perilen, indeno(1,2,3-cd)piren</w:t>
      </w:r>
    </w:p>
    <w:p w14:paraId="104E162C" w14:textId="2745AD73" w:rsidR="001A1DB9" w:rsidRPr="00545EC0" w:rsidRDefault="001A1DB9" w:rsidP="00DD37C5">
      <w:pPr>
        <w:numPr>
          <w:ilvl w:val="0"/>
          <w:numId w:val="62"/>
        </w:numPr>
        <w:tabs>
          <w:tab w:val="left" w:pos="9600"/>
        </w:tabs>
        <w:overflowPunct/>
        <w:autoSpaceDE/>
        <w:autoSpaceDN/>
        <w:adjustRightInd/>
        <w:spacing w:before="120" w:after="120"/>
        <w:textAlignment w:val="auto"/>
        <w:rPr>
          <w:rFonts w:cstheme="minorHAnsi"/>
        </w:rPr>
      </w:pPr>
      <w:r w:rsidRPr="00545EC0">
        <w:rPr>
          <w:szCs w:val="20"/>
        </w:rPr>
        <w:t xml:space="preserve">9 različnih onesnaževal, ki so s predpisom, ki ureja emisijo snovi in toplote pri odvajanju odpadnih voda v vode in javno kanalizacijo, določena kot nevarna za podzemno vodo, in sicer </w:t>
      </w:r>
      <w:r w:rsidRPr="00545EC0">
        <w:rPr>
          <w:rFonts w:cstheme="minorHAnsi"/>
        </w:rPr>
        <w:t xml:space="preserve">celotni cianid, kvintozen, atrazin, celotni ogljikovodiki (mineralna olja), toluen, ksilen, etilbenzen, naftalen, fluoranten, in </w:t>
      </w:r>
    </w:p>
    <w:p w14:paraId="436FD0AF" w14:textId="46127487" w:rsidR="001A1DB9" w:rsidRPr="00545EC0" w:rsidRDefault="001A1DB9" w:rsidP="00DD37C5">
      <w:pPr>
        <w:numPr>
          <w:ilvl w:val="0"/>
          <w:numId w:val="62"/>
        </w:numPr>
        <w:tabs>
          <w:tab w:val="left" w:pos="9600"/>
        </w:tabs>
        <w:overflowPunct/>
        <w:autoSpaceDE/>
        <w:autoSpaceDN/>
        <w:adjustRightInd/>
        <w:spacing w:before="120" w:after="120"/>
        <w:textAlignment w:val="auto"/>
        <w:rPr>
          <w:rFonts w:cstheme="minorHAnsi"/>
        </w:rPr>
      </w:pPr>
      <w:r w:rsidRPr="00545EC0">
        <w:rPr>
          <w:szCs w:val="20"/>
        </w:rPr>
        <w:t xml:space="preserve">2 onesnaževali, ki sta s predpisom, ki ureja stanje podzemnih voda, določena kot parametri stanja podzemnih voda, in sicer </w:t>
      </w:r>
      <w:r w:rsidRPr="00545EC0">
        <w:rPr>
          <w:rFonts w:cstheme="minorHAnsi"/>
        </w:rPr>
        <w:t>1,1,1-trikloroetan, 1,1,2,2-tetrakloroetan.</w:t>
      </w:r>
    </w:p>
    <w:p w14:paraId="0E343050" w14:textId="1B9797A2" w:rsidR="00474035" w:rsidRPr="00545EC0" w:rsidRDefault="00DB06AC" w:rsidP="00C40307">
      <w:pPr>
        <w:tabs>
          <w:tab w:val="left" w:pos="9600"/>
        </w:tabs>
        <w:overflowPunct/>
        <w:autoSpaceDE/>
        <w:autoSpaceDN/>
        <w:adjustRightInd/>
        <w:spacing w:before="120" w:after="120"/>
        <w:textAlignment w:val="auto"/>
        <w:rPr>
          <w:rFonts w:cstheme="minorHAnsi"/>
        </w:rPr>
      </w:pPr>
      <w:r w:rsidRPr="00545EC0">
        <w:rPr>
          <w:rFonts w:cstheme="minorHAnsi"/>
        </w:rPr>
        <w:t>Na VO Donava</w:t>
      </w:r>
      <w:r w:rsidR="001A1DB9" w:rsidRPr="00545EC0">
        <w:rPr>
          <w:rFonts w:cstheme="minorHAnsi"/>
        </w:rPr>
        <w:t xml:space="preserve"> je v odpadni vodi iz</w:t>
      </w:r>
      <w:r w:rsidRPr="00545EC0">
        <w:rPr>
          <w:rFonts w:cstheme="minorHAnsi"/>
        </w:rPr>
        <w:t xml:space="preserve"> industrijsk</w:t>
      </w:r>
      <w:r w:rsidR="001A1DB9" w:rsidRPr="00545EC0">
        <w:rPr>
          <w:rFonts w:cstheme="minorHAnsi"/>
        </w:rPr>
        <w:t xml:space="preserve">ih </w:t>
      </w:r>
      <w:r w:rsidRPr="00545EC0">
        <w:rPr>
          <w:rFonts w:cstheme="minorHAnsi"/>
        </w:rPr>
        <w:t>naprav</w:t>
      </w:r>
      <w:r w:rsidR="001A1DB9" w:rsidRPr="00545EC0">
        <w:rPr>
          <w:rFonts w:cstheme="minorHAnsi"/>
        </w:rPr>
        <w:t>, ki</w:t>
      </w:r>
      <w:r w:rsidRPr="00545EC0">
        <w:rPr>
          <w:rFonts w:cstheme="minorHAnsi"/>
        </w:rPr>
        <w:t xml:space="preserve"> izpuščajo</w:t>
      </w:r>
      <w:r w:rsidR="001A1DB9" w:rsidRPr="00545EC0">
        <w:rPr>
          <w:rFonts w:cstheme="minorHAnsi"/>
        </w:rPr>
        <w:t xml:space="preserve"> odpadno vodo</w:t>
      </w:r>
      <w:r w:rsidRPr="00545EC0">
        <w:rPr>
          <w:rFonts w:cstheme="minorHAnsi"/>
        </w:rPr>
        <w:t xml:space="preserve"> v tla ali vodotok, ki ponika v tla, </w:t>
      </w:r>
      <w:r w:rsidR="001A1DB9" w:rsidRPr="00545EC0">
        <w:rPr>
          <w:rFonts w:cstheme="minorHAnsi"/>
        </w:rPr>
        <w:t xml:space="preserve">največkrat prisoten </w:t>
      </w:r>
      <w:r w:rsidR="00C12042" w:rsidRPr="00545EC0">
        <w:rPr>
          <w:rFonts w:cstheme="minorHAnsi"/>
        </w:rPr>
        <w:t>celoten</w:t>
      </w:r>
      <w:r w:rsidR="001A1DB9" w:rsidRPr="00545EC0">
        <w:rPr>
          <w:rFonts w:cstheme="minorHAnsi"/>
        </w:rPr>
        <w:t xml:space="preserve"> ogljikovodik (mineralna olja). </w:t>
      </w:r>
      <w:r w:rsidRPr="00545EC0">
        <w:rPr>
          <w:rFonts w:cstheme="minorHAnsi"/>
        </w:rPr>
        <w:t xml:space="preserve">Sledijo svinec, nikelj, kadmij, LKCH, trikloroeten, tetraklorometan, diklorometan, tetrakloroeten, živo srebro, 1.2-Dikloroeten, 1.1-Dikloroeten, BTX, etilbenzen, </w:t>
      </w:r>
      <w:r w:rsidR="001A1DB9" w:rsidRPr="00545EC0">
        <w:rPr>
          <w:rFonts w:cstheme="minorHAnsi"/>
        </w:rPr>
        <w:t>benzen, toluen, ksilen in</w:t>
      </w:r>
      <w:r w:rsidRPr="00545EC0">
        <w:rPr>
          <w:rFonts w:cstheme="minorHAnsi"/>
        </w:rPr>
        <w:t xml:space="preserve"> </w:t>
      </w:r>
      <w:r w:rsidR="001A1DB9" w:rsidRPr="00545EC0">
        <w:rPr>
          <w:rFonts w:cstheme="minorHAnsi"/>
        </w:rPr>
        <w:t>1,1,1-trikloroetan.</w:t>
      </w:r>
    </w:p>
    <w:p w14:paraId="1E142C8B" w14:textId="16D645DA" w:rsidR="00DF29EE" w:rsidRPr="00545EC0" w:rsidRDefault="00DF29EE" w:rsidP="00DF29EE">
      <w:pPr>
        <w:spacing w:before="120" w:after="120"/>
        <w:rPr>
          <w:rFonts w:cs="Tahoma"/>
        </w:rPr>
      </w:pPr>
      <w:r w:rsidRPr="00545EC0">
        <w:rPr>
          <w:rFonts w:cs="Arial"/>
        </w:rPr>
        <w:t xml:space="preserve">V okviru točkovnih virov industrijske odpadne vode so bila obravnavana tudi odlagališča odpadkov. </w:t>
      </w:r>
      <w:r w:rsidRPr="00545EC0">
        <w:rPr>
          <w:rFonts w:cs="Calibri"/>
        </w:rPr>
        <w:t xml:space="preserve">Na podlagi poročil o obratovalnem monitoringu </w:t>
      </w:r>
      <w:r w:rsidRPr="00545EC0">
        <w:rPr>
          <w:rFonts w:cs="Arial"/>
        </w:rPr>
        <w:t>onesnaženja podzemne vode na območju odlagališč</w:t>
      </w:r>
      <w:r w:rsidRPr="00545EC0">
        <w:rPr>
          <w:rFonts w:cs="Calibri"/>
        </w:rPr>
        <w:t xml:space="preserve"> za leto 2017 je bilo na VO Donava obravnavanih 61 odlagališč oziroma odlagalnih polj, od tega 43 komunalnih odlagališč, 12 nenevarnih oziroma industrijskih odlagališč, 4 inertna odlagališča in 2 nevarni odlagališči. </w:t>
      </w:r>
    </w:p>
    <w:p w14:paraId="4839CD0D" w14:textId="4D9DE628" w:rsidR="00DF29EE" w:rsidRPr="00545EC0" w:rsidRDefault="00DF29EE" w:rsidP="00AD4FE7">
      <w:pPr>
        <w:rPr>
          <w:rFonts w:cs="Arial"/>
        </w:rPr>
      </w:pPr>
      <w:r w:rsidRPr="00545EC0">
        <w:rPr>
          <w:rFonts w:cs="Arial"/>
          <w:szCs w:val="20"/>
        </w:rPr>
        <w:t>Primerjava ocenjenih podatkov o vrstah in jakostih obremenitev z oceno stanja vodnih teles pozemnih voda kaže, da ni mogoče zanesljivo opredeliti pomembnih obremenitev zaradi odlagališč odpadkov</w:t>
      </w:r>
      <w:r w:rsidR="00251748" w:rsidRPr="00545EC0">
        <w:rPr>
          <w:rFonts w:cs="Arial"/>
          <w:szCs w:val="20"/>
        </w:rPr>
        <w:t>.</w:t>
      </w:r>
    </w:p>
    <w:p w14:paraId="37A47C63" w14:textId="77777777" w:rsidR="006801A6" w:rsidRPr="00545EC0" w:rsidRDefault="006801A6" w:rsidP="00AD4FE7">
      <w:pPr>
        <w:pStyle w:val="Naslov4"/>
        <w:rPr>
          <w:color w:val="auto"/>
        </w:rPr>
      </w:pPr>
      <w:bookmarkStart w:id="142" w:name="_Ref87873642"/>
      <w:r w:rsidRPr="00545EC0">
        <w:rPr>
          <w:color w:val="auto"/>
          <w:lang w:val="sl-SI"/>
        </w:rPr>
        <w:t xml:space="preserve">Točkovni viri komunalne odpadne </w:t>
      </w:r>
      <w:r w:rsidRPr="00545EC0">
        <w:rPr>
          <w:color w:val="auto"/>
        </w:rPr>
        <w:t>vode</w:t>
      </w:r>
      <w:bookmarkEnd w:id="142"/>
    </w:p>
    <w:p w14:paraId="0AB5BB5A" w14:textId="3D93646C" w:rsidR="008356BD" w:rsidRPr="00545EC0" w:rsidRDefault="00617285" w:rsidP="003122F4">
      <w:pPr>
        <w:tabs>
          <w:tab w:val="num" w:pos="567"/>
          <w:tab w:val="left" w:pos="9600"/>
        </w:tabs>
        <w:rPr>
          <w:rFonts w:cs="Arial"/>
          <w:szCs w:val="20"/>
        </w:rPr>
      </w:pPr>
      <w:r w:rsidRPr="00545EC0">
        <w:rPr>
          <w:rFonts w:cs="Arial"/>
        </w:rPr>
        <w:t xml:space="preserve">Kot točkovni viri komunalne odpadne vode so obravnavani iztoki odpadne vode iz komunalnih in skupnih čistilnih naprav, kot so opredeljeni  s predpisom, ki ureja emisijo snovi in toplote pri odvajanju odpadnih voda v vode in javno kanalizacijo (v nadaljnjem besedilu: KČN). </w:t>
      </w:r>
      <w:r w:rsidRPr="00545EC0">
        <w:rPr>
          <w:rFonts w:cs="Arial"/>
          <w:szCs w:val="20"/>
        </w:rPr>
        <w:t>Pri tem se kot komunalna odpadna voda upošteva voda, ki nastaja v bivalnem okolju gospodinjstev zaradi rabe vode v sanitarnih prostorih, pri kuhanju, pranju in drugih gospodinjskih opravilih</w:t>
      </w:r>
      <w:r w:rsidR="008356BD" w:rsidRPr="00545EC0">
        <w:rPr>
          <w:rFonts w:cs="Arial"/>
          <w:szCs w:val="20"/>
        </w:rPr>
        <w:t>. Komunalna odpadna voda je tudi odpadna voda, ki:</w:t>
      </w:r>
    </w:p>
    <w:p w14:paraId="6C5F2C30" w14:textId="0A3D5BF8" w:rsidR="008356BD" w:rsidRPr="00545EC0" w:rsidRDefault="008356BD" w:rsidP="00DD37C5">
      <w:pPr>
        <w:pStyle w:val="Odstavekseznama"/>
        <w:numPr>
          <w:ilvl w:val="0"/>
          <w:numId w:val="118"/>
        </w:numPr>
        <w:tabs>
          <w:tab w:val="left" w:pos="9600"/>
        </w:tabs>
        <w:rPr>
          <w:rFonts w:cs="Arial"/>
          <w:szCs w:val="20"/>
        </w:rPr>
      </w:pPr>
      <w:r w:rsidRPr="00545EC0">
        <w:rPr>
          <w:rFonts w:cs="Arial"/>
          <w:szCs w:val="20"/>
        </w:rPr>
        <w:t>nastaja v objektih v javni rabi ali pri drugih dejavnostih, če je po nastanku in sestavi podobna vodi po uporabi v gospodinjstvu,</w:t>
      </w:r>
    </w:p>
    <w:p w14:paraId="78EDF647" w14:textId="638667D5" w:rsidR="008356BD" w:rsidRPr="00545EC0" w:rsidRDefault="008356BD" w:rsidP="00DD37C5">
      <w:pPr>
        <w:pStyle w:val="Odstavekseznama"/>
        <w:numPr>
          <w:ilvl w:val="0"/>
          <w:numId w:val="118"/>
        </w:numPr>
        <w:tabs>
          <w:tab w:val="left" w:pos="9600"/>
        </w:tabs>
        <w:rPr>
          <w:rFonts w:cs="Arial"/>
          <w:szCs w:val="20"/>
        </w:rPr>
      </w:pPr>
      <w:r w:rsidRPr="00545EC0">
        <w:rPr>
          <w:rFonts w:cs="Arial"/>
          <w:szCs w:val="20"/>
        </w:rPr>
        <w:t>nastaja kot industrijska odpadna voda v proizvodnji ali storitveni ali drugi dejavnosti ali mešanica te odpadne vode s komunalno ali padavinsko odpadno vodo, če je po naravi in sestavi podobna odpadni vodi po uporabi v gospodinjstvu, njen povprečni dnevni pretok ne presega 15 m3/dan, njena letna količina ne presega 4.000 m3, obremenjevanje okolja zaradi njenega odvajanja ne presega 50 PE in pri kateri za nobeno od onesnaževal letna količina ne presega mejnih vrednosti letnih količin onesnaževal,</w:t>
      </w:r>
      <w:r w:rsidRPr="00545EC0">
        <w:rPr>
          <w:rFonts w:cs="Arial"/>
          <w:szCs w:val="20"/>
          <w:lang w:val="sl-SI"/>
        </w:rPr>
        <w:t xml:space="preserve"> določenih v predpisu, ki ureja emisijo snovi in toplote pri odvajanju odpadnih voda v vode in javno kanalizacij,</w:t>
      </w:r>
    </w:p>
    <w:p w14:paraId="57FD5C72" w14:textId="185C948E" w:rsidR="008356BD" w:rsidRPr="00545EC0" w:rsidRDefault="008356BD" w:rsidP="00DD37C5">
      <w:pPr>
        <w:pStyle w:val="Odstavekseznama"/>
        <w:numPr>
          <w:ilvl w:val="0"/>
          <w:numId w:val="118"/>
        </w:numPr>
        <w:tabs>
          <w:tab w:val="left" w:pos="9600"/>
        </w:tabs>
        <w:rPr>
          <w:rFonts w:cs="Arial"/>
          <w:szCs w:val="20"/>
        </w:rPr>
      </w:pPr>
      <w:r w:rsidRPr="00545EC0">
        <w:rPr>
          <w:rFonts w:cs="Arial"/>
          <w:szCs w:val="20"/>
        </w:rPr>
        <w:t>nastaja kot industrijska odpadna voda, za katero iz posebnega predpisa, ki posamezna vprašanja emisije snovi in toplote pri odvajanju tovrstne industrijske odpadne vode ureja drugače, izhaja, da se za te industrijske odpadne vode ne uporablja ali</w:t>
      </w:r>
    </w:p>
    <w:p w14:paraId="682D5404" w14:textId="0C0049CB" w:rsidR="008356BD" w:rsidRPr="00545EC0" w:rsidRDefault="008356BD" w:rsidP="00DD37C5">
      <w:pPr>
        <w:pStyle w:val="Odstavekseznama"/>
        <w:numPr>
          <w:ilvl w:val="0"/>
          <w:numId w:val="118"/>
        </w:numPr>
        <w:tabs>
          <w:tab w:val="left" w:pos="9600"/>
        </w:tabs>
        <w:rPr>
          <w:rFonts w:cs="Arial"/>
          <w:szCs w:val="20"/>
        </w:rPr>
      </w:pPr>
      <w:r w:rsidRPr="00545EC0">
        <w:rPr>
          <w:rFonts w:cs="Arial"/>
          <w:szCs w:val="20"/>
        </w:rPr>
        <w:lastRenderedPageBreak/>
        <w:t>nastaja kot industrijska odpadna voda v napravi, za katero iz posebnega predpisa, ki posamezna vprašanja emisije snovi in toplote pri odvajanju industrijske odpadne vode iz tovrstne naprave ureja drugače, izhaja, da se za industrijske odpadne vode iz te naprave ne uporablja</w:t>
      </w:r>
      <w:r w:rsidRPr="00545EC0">
        <w:rPr>
          <w:rFonts w:cs="Arial"/>
          <w:szCs w:val="20"/>
          <w:lang w:val="sl-SI"/>
        </w:rPr>
        <w:t>.</w:t>
      </w:r>
    </w:p>
    <w:p w14:paraId="0FA396E8" w14:textId="24814457" w:rsidR="00617285" w:rsidRPr="00545EC0" w:rsidRDefault="00617285" w:rsidP="00AD4FE7">
      <w:pPr>
        <w:tabs>
          <w:tab w:val="num" w:pos="567"/>
          <w:tab w:val="left" w:pos="9600"/>
        </w:tabs>
        <w:spacing w:before="120"/>
        <w:rPr>
          <w:rFonts w:cs="Arial"/>
        </w:rPr>
      </w:pPr>
      <w:r w:rsidRPr="00545EC0">
        <w:rPr>
          <w:rFonts w:cs="Arial"/>
        </w:rPr>
        <w:t>Glede na podatke I</w:t>
      </w:r>
      <w:r w:rsidRPr="00545EC0">
        <w:rPr>
          <w:rFonts w:cs="Arial"/>
          <w:szCs w:val="20"/>
        </w:rPr>
        <w:t xml:space="preserve">nformacijskega sistema javnih služb varstva okolja, ki ga vodi ministrstvo pristojno za vode (v nadaljnjem besedilu: IJSVO) </w:t>
      </w:r>
      <w:r w:rsidRPr="00545EC0">
        <w:rPr>
          <w:rFonts w:cs="Arial"/>
        </w:rPr>
        <w:t>je na VO Donave evidentiranih okoli 1.408.000 stalno prijavljenih prebivalcev znotraj meja aglomeracij, kar v primerjavi s številom prebivalcev v Sloveniji znaša okoli 77 %. Največje število stalnih prebivalcev, ki živijo na območju aglomeracij, je evidentiranih na porečju Srednje Save. Podatki kažejo, da je največji delež stalno prijavljenih prebivalcev v aglomeracijah priključenih na javno kanalizacijo na porečju Mure (</w:t>
      </w:r>
      <w:r w:rsidRPr="00545EC0">
        <w:rPr>
          <w:rFonts w:cs="Arial"/>
        </w:rPr>
        <w:fldChar w:fldCharType="begin"/>
      </w:r>
      <w:r w:rsidRPr="00545EC0">
        <w:rPr>
          <w:rFonts w:cs="Arial"/>
        </w:rPr>
        <w:instrText xml:space="preserve"> REF _Ref83113016 \h </w:instrText>
      </w:r>
      <w:r w:rsidR="004F2AF2" w:rsidRPr="00545EC0">
        <w:rPr>
          <w:rFonts w:cs="Arial"/>
        </w:rPr>
        <w:instrText xml:space="preserve"> \* MERGEFORMAT </w:instrText>
      </w:r>
      <w:r w:rsidRPr="00545EC0">
        <w:rPr>
          <w:rFonts w:cs="Arial"/>
        </w:rPr>
      </w:r>
      <w:r w:rsidRPr="00545EC0">
        <w:rPr>
          <w:rFonts w:cs="Arial"/>
        </w:rPr>
        <w:fldChar w:fldCharType="separate"/>
      </w:r>
      <w:r w:rsidR="002F3E43" w:rsidRPr="00545EC0">
        <w:t xml:space="preserve">Preglednica </w:t>
      </w:r>
      <w:r w:rsidR="002F3E43">
        <w:rPr>
          <w:noProof/>
        </w:rPr>
        <w:t>2</w:t>
      </w:r>
      <w:r w:rsidR="002F3E43" w:rsidRPr="00545EC0">
        <w:rPr>
          <w:noProof/>
        </w:rPr>
        <w:noBreakHyphen/>
      </w:r>
      <w:r w:rsidR="002F3E43">
        <w:rPr>
          <w:noProof/>
        </w:rPr>
        <w:t>11</w:t>
      </w:r>
      <w:r w:rsidRPr="00545EC0">
        <w:rPr>
          <w:rFonts w:cs="Arial"/>
        </w:rPr>
        <w:fldChar w:fldCharType="end"/>
      </w:r>
      <w:r w:rsidRPr="00545EC0">
        <w:rPr>
          <w:rFonts w:cs="Arial"/>
        </w:rPr>
        <w:t>). Podrobnejši podatki o drugih načinih ureditve so razvidni iz preglednice (</w:t>
      </w:r>
      <w:r w:rsidRPr="00545EC0">
        <w:rPr>
          <w:rFonts w:cs="Arial"/>
        </w:rPr>
        <w:fldChar w:fldCharType="begin"/>
      </w:r>
      <w:r w:rsidRPr="00545EC0">
        <w:rPr>
          <w:rFonts w:cs="Arial"/>
        </w:rPr>
        <w:instrText xml:space="preserve"> REF _Ref82686914 \h </w:instrText>
      </w:r>
      <w:r w:rsidR="008F5BFC" w:rsidRPr="00545EC0">
        <w:rPr>
          <w:rFonts w:cs="Arial"/>
        </w:rPr>
        <w:instrText xml:space="preserve"> \* MERGEFORMAT </w:instrText>
      </w:r>
      <w:r w:rsidRPr="00545EC0">
        <w:rPr>
          <w:rFonts w:cs="Arial"/>
        </w:rPr>
      </w:r>
      <w:r w:rsidRPr="00545EC0">
        <w:rPr>
          <w:rFonts w:cs="Arial"/>
        </w:rPr>
        <w:fldChar w:fldCharType="separate"/>
      </w:r>
      <w:r w:rsidR="002F3E43" w:rsidRPr="00545EC0">
        <w:t xml:space="preserve">Preglednica </w:t>
      </w:r>
      <w:r w:rsidR="002F3E43">
        <w:rPr>
          <w:noProof/>
        </w:rPr>
        <w:t>2</w:t>
      </w:r>
      <w:r w:rsidR="002F3E43" w:rsidRPr="00545EC0">
        <w:rPr>
          <w:noProof/>
        </w:rPr>
        <w:noBreakHyphen/>
      </w:r>
      <w:r w:rsidR="002F3E43">
        <w:rPr>
          <w:noProof/>
        </w:rPr>
        <w:t>17</w:t>
      </w:r>
      <w:r w:rsidRPr="00545EC0">
        <w:rPr>
          <w:rFonts w:cs="Arial"/>
        </w:rPr>
        <w:fldChar w:fldCharType="end"/>
      </w:r>
      <w:r w:rsidRPr="00545EC0">
        <w:rPr>
          <w:rFonts w:cs="Arial"/>
        </w:rPr>
        <w:t>) v poglavju, ki obravnava razpršene vire zaradi komunalne odpadne vode, ki nastaja v objektih, ki niso priključeni na javni kanalizacijski sistem.</w:t>
      </w:r>
    </w:p>
    <w:p w14:paraId="2766347F" w14:textId="77777777" w:rsidR="008F5BFC" w:rsidRPr="00545EC0" w:rsidRDefault="008F5BFC" w:rsidP="00AD4FE7">
      <w:pPr>
        <w:rPr>
          <w:rFonts w:cs="Arial"/>
        </w:rPr>
      </w:pPr>
    </w:p>
    <w:p w14:paraId="0193BEDF" w14:textId="1C132063" w:rsidR="00617285" w:rsidRPr="00545EC0" w:rsidRDefault="00617285" w:rsidP="00AD4FE7">
      <w:pPr>
        <w:pStyle w:val="Napis"/>
        <w:rPr>
          <w:szCs w:val="20"/>
        </w:rPr>
      </w:pPr>
      <w:bookmarkStart w:id="143" w:name="_Ref83113016"/>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11</w:t>
        </w:r>
      </w:fldSimple>
      <w:bookmarkEnd w:id="143"/>
      <w:r w:rsidRPr="00545EC0">
        <w:t xml:space="preserve">: </w:t>
      </w:r>
      <w:r w:rsidRPr="00545EC0">
        <w:rPr>
          <w:rFonts w:eastAsia="Kozuka Gothic Pro H"/>
          <w:bCs w:val="0"/>
          <w:szCs w:val="20"/>
        </w:rPr>
        <w:t>Število stalno prijavljenih prebivalcev v aglomeracijah, priključenih na javno kanalizacijo</w:t>
      </w:r>
      <w:r w:rsidRPr="00545EC0">
        <w:rPr>
          <w:szCs w:val="20"/>
        </w:rPr>
        <w:t xml:space="preserve"> na VO Donave (podatki za leto 2018)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0"/>
        <w:gridCol w:w="895"/>
        <w:gridCol w:w="936"/>
        <w:gridCol w:w="954"/>
        <w:gridCol w:w="916"/>
        <w:gridCol w:w="940"/>
        <w:gridCol w:w="1030"/>
      </w:tblGrid>
      <w:tr w:rsidR="003122F4" w:rsidRPr="00545EC0" w14:paraId="707D7B05" w14:textId="77777777" w:rsidTr="008F5BFC">
        <w:trPr>
          <w:cantSplit/>
          <w:trHeight w:val="340"/>
          <w:tblHeader/>
        </w:trPr>
        <w:tc>
          <w:tcPr>
            <w:tcW w:w="1922" w:type="pct"/>
            <w:shd w:val="clear" w:color="auto" w:fill="F2F2F2" w:themeFill="background1" w:themeFillShade="F2"/>
            <w:vAlign w:val="center"/>
            <w:hideMark/>
          </w:tcPr>
          <w:p w14:paraId="1C0E2BD5" w14:textId="77777777" w:rsidR="00617285" w:rsidRPr="00545EC0" w:rsidRDefault="00617285" w:rsidP="00AE0F92">
            <w:pPr>
              <w:spacing w:before="60" w:after="60" w:line="240" w:lineRule="auto"/>
              <w:jc w:val="left"/>
              <w:rPr>
                <w:rFonts w:eastAsia="Kozuka Gothic Pro H" w:cs="Arial"/>
                <w:b/>
                <w:sz w:val="18"/>
                <w:szCs w:val="18"/>
              </w:rPr>
            </w:pPr>
            <w:r w:rsidRPr="00545EC0">
              <w:rPr>
                <w:rFonts w:eastAsia="Kozuka Gothic Pro H" w:cs="Arial"/>
                <w:b/>
                <w:sz w:val="18"/>
                <w:szCs w:val="18"/>
              </w:rPr>
              <w:t>Ureditve za odvajanje in čiščenje komunalne odpadne vode iz posameznih objektov v aglomeracijah</w:t>
            </w:r>
          </w:p>
        </w:tc>
        <w:tc>
          <w:tcPr>
            <w:tcW w:w="486" w:type="pct"/>
            <w:shd w:val="clear" w:color="auto" w:fill="F2F2F2" w:themeFill="background1" w:themeFillShade="F2"/>
            <w:noWrap/>
            <w:vAlign w:val="center"/>
            <w:hideMark/>
          </w:tcPr>
          <w:p w14:paraId="66B45468" w14:textId="77777777" w:rsidR="00617285" w:rsidRPr="00545EC0" w:rsidRDefault="00617285" w:rsidP="00AE0F92">
            <w:pPr>
              <w:spacing w:before="60" w:after="60" w:line="240" w:lineRule="auto"/>
              <w:jc w:val="center"/>
              <w:rPr>
                <w:rFonts w:eastAsia="Kozuka Gothic Pro H" w:cs="Arial"/>
                <w:b/>
                <w:sz w:val="18"/>
                <w:szCs w:val="18"/>
              </w:rPr>
            </w:pPr>
            <w:r w:rsidRPr="00545EC0">
              <w:rPr>
                <w:rFonts w:eastAsia="Kozuka Gothic Pro H" w:cs="Arial"/>
                <w:b/>
                <w:sz w:val="18"/>
                <w:szCs w:val="18"/>
              </w:rPr>
              <w:t>Mura</w:t>
            </w:r>
          </w:p>
        </w:tc>
        <w:tc>
          <w:tcPr>
            <w:tcW w:w="508" w:type="pct"/>
            <w:shd w:val="clear" w:color="auto" w:fill="F2F2F2" w:themeFill="background1" w:themeFillShade="F2"/>
            <w:noWrap/>
            <w:vAlign w:val="center"/>
            <w:hideMark/>
          </w:tcPr>
          <w:p w14:paraId="2F1710CE" w14:textId="77777777" w:rsidR="00617285" w:rsidRPr="00545EC0" w:rsidRDefault="00617285" w:rsidP="00AE0F92">
            <w:pPr>
              <w:spacing w:before="60" w:after="60" w:line="240" w:lineRule="auto"/>
              <w:jc w:val="center"/>
              <w:rPr>
                <w:rFonts w:eastAsia="Kozuka Gothic Pro H" w:cs="Arial"/>
                <w:b/>
                <w:sz w:val="18"/>
                <w:szCs w:val="18"/>
              </w:rPr>
            </w:pPr>
            <w:r w:rsidRPr="00545EC0">
              <w:rPr>
                <w:rFonts w:eastAsia="Kozuka Gothic Pro H" w:cs="Arial"/>
                <w:b/>
                <w:sz w:val="18"/>
                <w:szCs w:val="18"/>
              </w:rPr>
              <w:t>Drava</w:t>
            </w:r>
          </w:p>
        </w:tc>
        <w:tc>
          <w:tcPr>
            <w:tcW w:w="518" w:type="pct"/>
            <w:shd w:val="clear" w:color="auto" w:fill="F2F2F2" w:themeFill="background1" w:themeFillShade="F2"/>
            <w:vAlign w:val="center"/>
          </w:tcPr>
          <w:p w14:paraId="22EC8A1A" w14:textId="77777777" w:rsidR="00617285" w:rsidRPr="00545EC0" w:rsidRDefault="00617285" w:rsidP="00AE0F92">
            <w:pPr>
              <w:spacing w:before="60" w:after="60" w:line="240" w:lineRule="auto"/>
              <w:jc w:val="center"/>
              <w:rPr>
                <w:rFonts w:eastAsia="Kozuka Gothic Pro H" w:cs="Arial"/>
                <w:b/>
                <w:sz w:val="18"/>
                <w:szCs w:val="18"/>
              </w:rPr>
            </w:pPr>
            <w:r w:rsidRPr="00545EC0">
              <w:rPr>
                <w:rFonts w:eastAsia="Kozuka Gothic Pro H" w:cs="Arial"/>
                <w:b/>
                <w:sz w:val="18"/>
                <w:szCs w:val="18"/>
              </w:rPr>
              <w:t>Zgornja Sava</w:t>
            </w:r>
          </w:p>
        </w:tc>
        <w:tc>
          <w:tcPr>
            <w:tcW w:w="497" w:type="pct"/>
            <w:shd w:val="clear" w:color="auto" w:fill="F2F2F2" w:themeFill="background1" w:themeFillShade="F2"/>
            <w:vAlign w:val="center"/>
          </w:tcPr>
          <w:p w14:paraId="677AC40F" w14:textId="77777777" w:rsidR="00617285" w:rsidRPr="00545EC0" w:rsidRDefault="00617285" w:rsidP="00AE0F92">
            <w:pPr>
              <w:spacing w:before="60" w:after="60" w:line="240" w:lineRule="auto"/>
              <w:jc w:val="center"/>
              <w:rPr>
                <w:rFonts w:eastAsia="Kozuka Gothic Pro H" w:cs="Arial"/>
                <w:b/>
                <w:sz w:val="18"/>
                <w:szCs w:val="18"/>
              </w:rPr>
            </w:pPr>
            <w:r w:rsidRPr="00545EC0">
              <w:rPr>
                <w:rFonts w:eastAsia="Kozuka Gothic Pro H" w:cs="Arial"/>
                <w:b/>
                <w:sz w:val="18"/>
                <w:szCs w:val="18"/>
              </w:rPr>
              <w:t>Srednja Sava</w:t>
            </w:r>
          </w:p>
        </w:tc>
        <w:tc>
          <w:tcPr>
            <w:tcW w:w="510" w:type="pct"/>
            <w:shd w:val="clear" w:color="auto" w:fill="F2F2F2" w:themeFill="background1" w:themeFillShade="F2"/>
            <w:vAlign w:val="center"/>
          </w:tcPr>
          <w:p w14:paraId="6BC071A0" w14:textId="77777777" w:rsidR="00617285" w:rsidRPr="00545EC0" w:rsidRDefault="00617285" w:rsidP="00AE0F92">
            <w:pPr>
              <w:spacing w:before="60" w:after="60" w:line="240" w:lineRule="auto"/>
              <w:jc w:val="center"/>
              <w:rPr>
                <w:rFonts w:eastAsia="Kozuka Gothic Pro H" w:cs="Arial"/>
                <w:b/>
                <w:sz w:val="18"/>
                <w:szCs w:val="18"/>
              </w:rPr>
            </w:pPr>
            <w:r w:rsidRPr="00545EC0">
              <w:rPr>
                <w:rFonts w:eastAsia="Kozuka Gothic Pro H" w:cs="Arial"/>
                <w:b/>
                <w:sz w:val="18"/>
                <w:szCs w:val="18"/>
              </w:rPr>
              <w:t>Spodnja Sava</w:t>
            </w:r>
          </w:p>
        </w:tc>
        <w:tc>
          <w:tcPr>
            <w:tcW w:w="559" w:type="pct"/>
            <w:shd w:val="clear" w:color="auto" w:fill="F2F2F2" w:themeFill="background1" w:themeFillShade="F2"/>
            <w:noWrap/>
            <w:vAlign w:val="center"/>
            <w:hideMark/>
          </w:tcPr>
          <w:p w14:paraId="50D402D5" w14:textId="77777777" w:rsidR="00617285" w:rsidRPr="00545EC0" w:rsidRDefault="00617285" w:rsidP="00AE0F92">
            <w:pPr>
              <w:spacing w:before="60" w:after="60" w:line="240" w:lineRule="auto"/>
              <w:jc w:val="center"/>
              <w:rPr>
                <w:rFonts w:eastAsia="Kozuka Gothic Pro H" w:cs="Arial"/>
                <w:b/>
                <w:sz w:val="18"/>
                <w:szCs w:val="18"/>
              </w:rPr>
            </w:pPr>
            <w:r w:rsidRPr="00545EC0">
              <w:rPr>
                <w:rFonts w:eastAsia="Kozuka Gothic Pro H" w:cs="Arial"/>
                <w:b/>
                <w:sz w:val="18"/>
                <w:szCs w:val="18"/>
              </w:rPr>
              <w:t>Savinja</w:t>
            </w:r>
          </w:p>
        </w:tc>
      </w:tr>
      <w:tr w:rsidR="003122F4" w:rsidRPr="00545EC0" w14:paraId="3E74C1F7" w14:textId="77777777" w:rsidTr="00017486">
        <w:trPr>
          <w:cantSplit/>
          <w:trHeight w:val="340"/>
        </w:trPr>
        <w:tc>
          <w:tcPr>
            <w:tcW w:w="1922" w:type="pct"/>
            <w:shd w:val="clear" w:color="auto" w:fill="auto"/>
            <w:vAlign w:val="center"/>
            <w:hideMark/>
          </w:tcPr>
          <w:p w14:paraId="18E56043" w14:textId="77777777" w:rsidR="00617285" w:rsidRPr="00545EC0" w:rsidRDefault="00617285" w:rsidP="00AE0F92">
            <w:pPr>
              <w:spacing w:before="60" w:after="60" w:line="240" w:lineRule="auto"/>
              <w:jc w:val="left"/>
              <w:rPr>
                <w:rFonts w:eastAsia="Kozuka Gothic Pro H" w:cs="Arial"/>
                <w:bCs/>
                <w:sz w:val="18"/>
                <w:szCs w:val="18"/>
              </w:rPr>
            </w:pPr>
            <w:r w:rsidRPr="00545EC0">
              <w:rPr>
                <w:rFonts w:eastAsia="Kozuka Gothic Pro H" w:cs="Arial"/>
                <w:bCs/>
                <w:sz w:val="18"/>
                <w:szCs w:val="18"/>
              </w:rPr>
              <w:t xml:space="preserve">Število stalno prijavljenih prebivalcev v aglomeracijah </w:t>
            </w:r>
          </w:p>
        </w:tc>
        <w:tc>
          <w:tcPr>
            <w:tcW w:w="486" w:type="pct"/>
            <w:shd w:val="clear" w:color="auto" w:fill="auto"/>
            <w:vAlign w:val="center"/>
          </w:tcPr>
          <w:p w14:paraId="32AA9DF7" w14:textId="77777777" w:rsidR="00617285" w:rsidRPr="00545EC0" w:rsidRDefault="00617285" w:rsidP="00AE0F92">
            <w:pPr>
              <w:spacing w:before="60" w:after="60" w:line="240" w:lineRule="auto"/>
              <w:jc w:val="center"/>
              <w:rPr>
                <w:rFonts w:eastAsia="Kozuka Gothic Pro H" w:cs="Arial"/>
                <w:sz w:val="18"/>
                <w:szCs w:val="18"/>
              </w:rPr>
            </w:pPr>
            <w:r w:rsidRPr="00545EC0">
              <w:rPr>
                <w:sz w:val="18"/>
                <w:szCs w:val="18"/>
              </w:rPr>
              <w:t>83.116</w:t>
            </w:r>
          </w:p>
        </w:tc>
        <w:tc>
          <w:tcPr>
            <w:tcW w:w="508" w:type="pct"/>
            <w:shd w:val="clear" w:color="auto" w:fill="auto"/>
            <w:vAlign w:val="center"/>
          </w:tcPr>
          <w:p w14:paraId="567AEC57" w14:textId="77777777" w:rsidR="00617285" w:rsidRPr="00545EC0" w:rsidRDefault="00617285" w:rsidP="00AE0F92">
            <w:pPr>
              <w:spacing w:before="60" w:after="60" w:line="240" w:lineRule="auto"/>
              <w:jc w:val="center"/>
              <w:rPr>
                <w:rFonts w:eastAsia="Kozuka Gothic Pro H" w:cs="Arial"/>
                <w:sz w:val="18"/>
                <w:szCs w:val="18"/>
              </w:rPr>
            </w:pPr>
            <w:r w:rsidRPr="00545EC0">
              <w:rPr>
                <w:sz w:val="18"/>
                <w:szCs w:val="18"/>
              </w:rPr>
              <w:t>288.480</w:t>
            </w:r>
          </w:p>
        </w:tc>
        <w:tc>
          <w:tcPr>
            <w:tcW w:w="518" w:type="pct"/>
            <w:vAlign w:val="center"/>
          </w:tcPr>
          <w:p w14:paraId="44C996C1" w14:textId="77777777" w:rsidR="00617285" w:rsidRPr="00545EC0" w:rsidRDefault="00617285" w:rsidP="00AE0F92">
            <w:pPr>
              <w:spacing w:before="60" w:after="60" w:line="240" w:lineRule="auto"/>
              <w:jc w:val="center"/>
              <w:rPr>
                <w:rFonts w:eastAsia="Kozuka Gothic Pro H" w:cs="Arial"/>
                <w:sz w:val="18"/>
                <w:szCs w:val="18"/>
              </w:rPr>
            </w:pPr>
            <w:r w:rsidRPr="00545EC0">
              <w:rPr>
                <w:sz w:val="18"/>
                <w:szCs w:val="18"/>
              </w:rPr>
              <w:t>186.787</w:t>
            </w:r>
          </w:p>
        </w:tc>
        <w:tc>
          <w:tcPr>
            <w:tcW w:w="497" w:type="pct"/>
            <w:vAlign w:val="center"/>
          </w:tcPr>
          <w:p w14:paraId="04A93917" w14:textId="77777777" w:rsidR="00617285" w:rsidRPr="00545EC0" w:rsidRDefault="00617285" w:rsidP="00AE0F92">
            <w:pPr>
              <w:spacing w:before="60" w:after="60" w:line="240" w:lineRule="auto"/>
              <w:jc w:val="center"/>
              <w:rPr>
                <w:rFonts w:eastAsia="Kozuka Gothic Pro H" w:cs="Arial"/>
                <w:sz w:val="18"/>
                <w:szCs w:val="18"/>
              </w:rPr>
            </w:pPr>
            <w:r w:rsidRPr="00545EC0">
              <w:rPr>
                <w:sz w:val="18"/>
                <w:szCs w:val="18"/>
              </w:rPr>
              <w:t>519.901</w:t>
            </w:r>
          </w:p>
        </w:tc>
        <w:tc>
          <w:tcPr>
            <w:tcW w:w="510" w:type="pct"/>
            <w:vAlign w:val="center"/>
          </w:tcPr>
          <w:p w14:paraId="6AFFEC10" w14:textId="77777777" w:rsidR="00617285" w:rsidRPr="00545EC0" w:rsidRDefault="00617285" w:rsidP="00AE0F92">
            <w:pPr>
              <w:spacing w:before="60" w:after="60" w:line="240" w:lineRule="auto"/>
              <w:jc w:val="center"/>
              <w:rPr>
                <w:rFonts w:eastAsia="Kozuka Gothic Pro H" w:cs="Arial"/>
                <w:sz w:val="18"/>
                <w:szCs w:val="18"/>
              </w:rPr>
            </w:pPr>
            <w:r w:rsidRPr="00545EC0">
              <w:rPr>
                <w:sz w:val="18"/>
                <w:szCs w:val="18"/>
              </w:rPr>
              <w:t>185.549</w:t>
            </w:r>
          </w:p>
        </w:tc>
        <w:tc>
          <w:tcPr>
            <w:tcW w:w="559" w:type="pct"/>
            <w:shd w:val="clear" w:color="auto" w:fill="auto"/>
            <w:vAlign w:val="center"/>
          </w:tcPr>
          <w:p w14:paraId="7710114E" w14:textId="77777777" w:rsidR="00617285" w:rsidRPr="00545EC0" w:rsidRDefault="00617285" w:rsidP="00AE0F92">
            <w:pPr>
              <w:spacing w:before="60" w:after="60" w:line="240" w:lineRule="auto"/>
              <w:jc w:val="center"/>
              <w:rPr>
                <w:rFonts w:eastAsia="Kozuka Gothic Pro H" w:cs="Arial"/>
                <w:sz w:val="18"/>
                <w:szCs w:val="18"/>
              </w:rPr>
            </w:pPr>
            <w:r w:rsidRPr="00545EC0">
              <w:rPr>
                <w:sz w:val="18"/>
                <w:szCs w:val="18"/>
              </w:rPr>
              <w:t>143.685</w:t>
            </w:r>
          </w:p>
        </w:tc>
      </w:tr>
      <w:tr w:rsidR="003122F4" w:rsidRPr="00545EC0" w14:paraId="50F5DF89" w14:textId="77777777" w:rsidTr="00017486">
        <w:trPr>
          <w:cantSplit/>
          <w:trHeight w:val="340"/>
        </w:trPr>
        <w:tc>
          <w:tcPr>
            <w:tcW w:w="1922" w:type="pct"/>
            <w:shd w:val="clear" w:color="auto" w:fill="auto"/>
            <w:vAlign w:val="center"/>
            <w:hideMark/>
          </w:tcPr>
          <w:p w14:paraId="2041F879" w14:textId="77777777" w:rsidR="00617285" w:rsidRPr="00545EC0" w:rsidRDefault="00617285" w:rsidP="00AE0F92">
            <w:pPr>
              <w:spacing w:before="60" w:after="60" w:line="240" w:lineRule="auto"/>
              <w:jc w:val="left"/>
              <w:rPr>
                <w:rFonts w:eastAsia="Kozuka Gothic Pro H" w:cs="Arial"/>
                <w:bCs/>
                <w:sz w:val="18"/>
                <w:szCs w:val="18"/>
              </w:rPr>
            </w:pPr>
            <w:r w:rsidRPr="00545EC0">
              <w:rPr>
                <w:rFonts w:eastAsia="Kozuka Gothic Pro H" w:cs="Arial"/>
                <w:bCs/>
                <w:sz w:val="18"/>
                <w:szCs w:val="18"/>
              </w:rPr>
              <w:t>Število stalno prijavljenih prebivalcev v aglomeracijah, priključenih na javno kanalizacijo</w:t>
            </w:r>
          </w:p>
        </w:tc>
        <w:tc>
          <w:tcPr>
            <w:tcW w:w="486" w:type="pct"/>
            <w:shd w:val="clear" w:color="auto" w:fill="auto"/>
            <w:vAlign w:val="center"/>
          </w:tcPr>
          <w:p w14:paraId="1DE60856" w14:textId="77777777" w:rsidR="00617285" w:rsidRPr="00545EC0" w:rsidRDefault="00617285" w:rsidP="00AE0F92">
            <w:pPr>
              <w:spacing w:before="60" w:after="60" w:line="240" w:lineRule="auto"/>
              <w:jc w:val="center"/>
              <w:rPr>
                <w:rFonts w:eastAsia="Kozuka Gothic Pro H" w:cs="Arial"/>
                <w:sz w:val="18"/>
                <w:szCs w:val="18"/>
              </w:rPr>
            </w:pPr>
            <w:r w:rsidRPr="00545EC0">
              <w:rPr>
                <w:sz w:val="18"/>
                <w:szCs w:val="18"/>
              </w:rPr>
              <w:t>74.016</w:t>
            </w:r>
          </w:p>
        </w:tc>
        <w:tc>
          <w:tcPr>
            <w:tcW w:w="508" w:type="pct"/>
            <w:shd w:val="clear" w:color="auto" w:fill="auto"/>
            <w:vAlign w:val="center"/>
          </w:tcPr>
          <w:p w14:paraId="1CDA7E92" w14:textId="77777777" w:rsidR="00617285" w:rsidRPr="00545EC0" w:rsidRDefault="00617285" w:rsidP="00AE0F92">
            <w:pPr>
              <w:spacing w:before="60" w:after="60" w:line="240" w:lineRule="auto"/>
              <w:jc w:val="center"/>
              <w:rPr>
                <w:rFonts w:eastAsia="Kozuka Gothic Pro H" w:cs="Arial"/>
                <w:sz w:val="18"/>
                <w:szCs w:val="18"/>
              </w:rPr>
            </w:pPr>
            <w:r w:rsidRPr="00545EC0">
              <w:rPr>
                <w:sz w:val="18"/>
                <w:szCs w:val="18"/>
              </w:rPr>
              <w:t>238.462</w:t>
            </w:r>
          </w:p>
        </w:tc>
        <w:tc>
          <w:tcPr>
            <w:tcW w:w="518" w:type="pct"/>
            <w:vAlign w:val="center"/>
          </w:tcPr>
          <w:p w14:paraId="05366AC7" w14:textId="77777777" w:rsidR="00617285" w:rsidRPr="00545EC0" w:rsidRDefault="00617285" w:rsidP="00AE0F92">
            <w:pPr>
              <w:spacing w:before="60" w:after="60" w:line="240" w:lineRule="auto"/>
              <w:jc w:val="center"/>
              <w:rPr>
                <w:rFonts w:eastAsia="Kozuka Gothic Pro H" w:cs="Arial"/>
                <w:sz w:val="18"/>
                <w:szCs w:val="18"/>
              </w:rPr>
            </w:pPr>
            <w:r w:rsidRPr="00545EC0">
              <w:rPr>
                <w:sz w:val="18"/>
                <w:szCs w:val="18"/>
              </w:rPr>
              <w:t>147.337</w:t>
            </w:r>
          </w:p>
        </w:tc>
        <w:tc>
          <w:tcPr>
            <w:tcW w:w="497" w:type="pct"/>
            <w:vAlign w:val="center"/>
          </w:tcPr>
          <w:p w14:paraId="13AB0F90" w14:textId="77777777" w:rsidR="00617285" w:rsidRPr="00545EC0" w:rsidRDefault="00617285" w:rsidP="00AE0F92">
            <w:pPr>
              <w:spacing w:before="60" w:after="60" w:line="240" w:lineRule="auto"/>
              <w:jc w:val="center"/>
              <w:rPr>
                <w:rFonts w:eastAsia="Kozuka Gothic Pro H" w:cs="Arial"/>
                <w:sz w:val="18"/>
                <w:szCs w:val="18"/>
              </w:rPr>
            </w:pPr>
            <w:r w:rsidRPr="00545EC0">
              <w:rPr>
                <w:sz w:val="18"/>
                <w:szCs w:val="18"/>
              </w:rPr>
              <w:t>429.786</w:t>
            </w:r>
          </w:p>
        </w:tc>
        <w:tc>
          <w:tcPr>
            <w:tcW w:w="510" w:type="pct"/>
            <w:vAlign w:val="center"/>
          </w:tcPr>
          <w:p w14:paraId="2480D4CA" w14:textId="77777777" w:rsidR="00617285" w:rsidRPr="00545EC0" w:rsidRDefault="00617285" w:rsidP="00AE0F92">
            <w:pPr>
              <w:spacing w:before="60" w:after="60" w:line="240" w:lineRule="auto"/>
              <w:jc w:val="center"/>
              <w:rPr>
                <w:rFonts w:eastAsia="Kozuka Gothic Pro H" w:cs="Arial"/>
                <w:sz w:val="18"/>
                <w:szCs w:val="18"/>
              </w:rPr>
            </w:pPr>
            <w:r w:rsidRPr="00545EC0">
              <w:rPr>
                <w:sz w:val="18"/>
                <w:szCs w:val="18"/>
              </w:rPr>
              <w:t>88.029</w:t>
            </w:r>
          </w:p>
        </w:tc>
        <w:tc>
          <w:tcPr>
            <w:tcW w:w="559" w:type="pct"/>
            <w:shd w:val="clear" w:color="auto" w:fill="auto"/>
            <w:vAlign w:val="center"/>
          </w:tcPr>
          <w:p w14:paraId="7D701C2D" w14:textId="77777777" w:rsidR="00617285" w:rsidRPr="00545EC0" w:rsidRDefault="00617285" w:rsidP="00AE0F92">
            <w:pPr>
              <w:spacing w:before="60" w:after="60" w:line="240" w:lineRule="auto"/>
              <w:jc w:val="center"/>
              <w:rPr>
                <w:rFonts w:eastAsia="Kozuka Gothic Pro H" w:cs="Arial"/>
                <w:sz w:val="18"/>
                <w:szCs w:val="18"/>
              </w:rPr>
            </w:pPr>
            <w:r w:rsidRPr="00545EC0">
              <w:rPr>
                <w:sz w:val="18"/>
                <w:szCs w:val="18"/>
              </w:rPr>
              <w:t>119.115</w:t>
            </w:r>
          </w:p>
        </w:tc>
      </w:tr>
      <w:tr w:rsidR="009F42E2" w:rsidRPr="00545EC0" w14:paraId="693F0D11" w14:textId="77777777" w:rsidTr="009F42E2">
        <w:trPr>
          <w:cantSplit/>
          <w:trHeight w:val="340"/>
        </w:trPr>
        <w:tc>
          <w:tcPr>
            <w:tcW w:w="19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2A9AB7" w14:textId="77777777" w:rsidR="009F42E2" w:rsidRPr="00545EC0" w:rsidRDefault="009F42E2" w:rsidP="00AE0F92">
            <w:pPr>
              <w:spacing w:before="60" w:after="60" w:line="240" w:lineRule="auto"/>
              <w:jc w:val="left"/>
              <w:rPr>
                <w:rFonts w:eastAsia="Kozuka Gothic Pro H" w:cs="Arial"/>
                <w:bCs/>
                <w:sz w:val="18"/>
                <w:szCs w:val="18"/>
              </w:rPr>
            </w:pPr>
            <w:r w:rsidRPr="00545EC0">
              <w:rPr>
                <w:rFonts w:eastAsia="Kozuka Gothic Pro H" w:cs="Arial"/>
                <w:bCs/>
                <w:sz w:val="18"/>
                <w:szCs w:val="18"/>
              </w:rPr>
              <w:t>Delež stalno prijavljenih prebivalcev v aglomeracijah, priključenih na javno kanalizacijo</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3F7E2B22" w14:textId="77777777" w:rsidR="009F42E2" w:rsidRPr="00545EC0" w:rsidRDefault="009F42E2" w:rsidP="00AE0F92">
            <w:pPr>
              <w:spacing w:before="60" w:after="60" w:line="240" w:lineRule="auto"/>
              <w:jc w:val="center"/>
              <w:rPr>
                <w:sz w:val="18"/>
                <w:szCs w:val="18"/>
              </w:rPr>
            </w:pPr>
            <w:r w:rsidRPr="00545EC0">
              <w:rPr>
                <w:sz w:val="18"/>
                <w:szCs w:val="18"/>
              </w:rPr>
              <w:t>89%</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66498A38" w14:textId="77777777" w:rsidR="009F42E2" w:rsidRPr="00545EC0" w:rsidRDefault="009F42E2" w:rsidP="00AE0F92">
            <w:pPr>
              <w:spacing w:before="60" w:after="60" w:line="240" w:lineRule="auto"/>
              <w:jc w:val="center"/>
              <w:rPr>
                <w:sz w:val="18"/>
                <w:szCs w:val="18"/>
              </w:rPr>
            </w:pPr>
            <w:r w:rsidRPr="00545EC0">
              <w:rPr>
                <w:sz w:val="18"/>
                <w:szCs w:val="18"/>
              </w:rPr>
              <w:t>83%</w:t>
            </w:r>
          </w:p>
        </w:tc>
        <w:tc>
          <w:tcPr>
            <w:tcW w:w="518" w:type="pct"/>
            <w:tcBorders>
              <w:top w:val="single" w:sz="4" w:space="0" w:color="auto"/>
              <w:left w:val="single" w:sz="4" w:space="0" w:color="auto"/>
              <w:bottom w:val="single" w:sz="4" w:space="0" w:color="auto"/>
              <w:right w:val="single" w:sz="4" w:space="0" w:color="auto"/>
            </w:tcBorders>
            <w:vAlign w:val="center"/>
          </w:tcPr>
          <w:p w14:paraId="2E488280" w14:textId="77777777" w:rsidR="009F42E2" w:rsidRPr="00545EC0" w:rsidRDefault="009F42E2" w:rsidP="00AE0F92">
            <w:pPr>
              <w:spacing w:before="60" w:after="60" w:line="240" w:lineRule="auto"/>
              <w:jc w:val="center"/>
              <w:rPr>
                <w:sz w:val="18"/>
                <w:szCs w:val="18"/>
              </w:rPr>
            </w:pPr>
            <w:r w:rsidRPr="00545EC0">
              <w:rPr>
                <w:sz w:val="18"/>
                <w:szCs w:val="18"/>
              </w:rPr>
              <w:t>79%</w:t>
            </w:r>
          </w:p>
        </w:tc>
        <w:tc>
          <w:tcPr>
            <w:tcW w:w="497" w:type="pct"/>
            <w:tcBorders>
              <w:top w:val="single" w:sz="4" w:space="0" w:color="auto"/>
              <w:left w:val="single" w:sz="4" w:space="0" w:color="auto"/>
              <w:bottom w:val="single" w:sz="4" w:space="0" w:color="auto"/>
              <w:right w:val="single" w:sz="4" w:space="0" w:color="auto"/>
            </w:tcBorders>
            <w:vAlign w:val="center"/>
          </w:tcPr>
          <w:p w14:paraId="2EC34184" w14:textId="77777777" w:rsidR="009F42E2" w:rsidRPr="00545EC0" w:rsidRDefault="009F42E2" w:rsidP="00AE0F92">
            <w:pPr>
              <w:spacing w:before="60" w:after="60" w:line="240" w:lineRule="auto"/>
              <w:jc w:val="center"/>
              <w:rPr>
                <w:sz w:val="18"/>
                <w:szCs w:val="18"/>
              </w:rPr>
            </w:pPr>
            <w:r w:rsidRPr="00545EC0">
              <w:rPr>
                <w:sz w:val="18"/>
                <w:szCs w:val="18"/>
              </w:rPr>
              <w:t>83%</w:t>
            </w:r>
          </w:p>
        </w:tc>
        <w:tc>
          <w:tcPr>
            <w:tcW w:w="510" w:type="pct"/>
            <w:tcBorders>
              <w:top w:val="single" w:sz="4" w:space="0" w:color="auto"/>
              <w:left w:val="single" w:sz="4" w:space="0" w:color="auto"/>
              <w:bottom w:val="single" w:sz="4" w:space="0" w:color="auto"/>
              <w:right w:val="single" w:sz="4" w:space="0" w:color="auto"/>
            </w:tcBorders>
            <w:vAlign w:val="center"/>
          </w:tcPr>
          <w:p w14:paraId="13B536B4" w14:textId="77777777" w:rsidR="009F42E2" w:rsidRPr="00545EC0" w:rsidRDefault="009F42E2" w:rsidP="00AE0F92">
            <w:pPr>
              <w:spacing w:before="60" w:after="60" w:line="240" w:lineRule="auto"/>
              <w:jc w:val="center"/>
              <w:rPr>
                <w:sz w:val="18"/>
                <w:szCs w:val="18"/>
              </w:rPr>
            </w:pPr>
            <w:r w:rsidRPr="00545EC0">
              <w:rPr>
                <w:sz w:val="18"/>
                <w:szCs w:val="18"/>
              </w:rPr>
              <w:t>47%</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14:paraId="2A005163" w14:textId="77777777" w:rsidR="009F42E2" w:rsidRPr="00545EC0" w:rsidRDefault="009F42E2" w:rsidP="00AE0F92">
            <w:pPr>
              <w:spacing w:before="60" w:after="60" w:line="240" w:lineRule="auto"/>
              <w:jc w:val="center"/>
              <w:rPr>
                <w:sz w:val="18"/>
                <w:szCs w:val="18"/>
              </w:rPr>
            </w:pPr>
            <w:r w:rsidRPr="00545EC0">
              <w:rPr>
                <w:sz w:val="18"/>
                <w:szCs w:val="18"/>
              </w:rPr>
              <w:t>83%</w:t>
            </w:r>
          </w:p>
        </w:tc>
      </w:tr>
    </w:tbl>
    <w:p w14:paraId="2B64996C" w14:textId="77777777" w:rsidR="001719A9" w:rsidRPr="00545EC0" w:rsidRDefault="001719A9" w:rsidP="00AD4FE7">
      <w:pPr>
        <w:rPr>
          <w:rFonts w:cs="Arial"/>
        </w:rPr>
      </w:pPr>
    </w:p>
    <w:p w14:paraId="62D800A7" w14:textId="5A805F8B" w:rsidR="00617285" w:rsidRPr="00545EC0" w:rsidRDefault="00617285" w:rsidP="00AD4FE7">
      <w:pPr>
        <w:rPr>
          <w:rFonts w:cs="Arial"/>
          <w:i/>
        </w:rPr>
      </w:pPr>
      <w:r w:rsidRPr="00545EC0">
        <w:rPr>
          <w:rFonts w:cs="Arial"/>
        </w:rPr>
        <w:t xml:space="preserve">Komunalne odpadne vode, ki se zbirajo v javnem kanalizacijskem sistemu, so se na VO Donave v letu 2019, glede na podatke obratovalnega monitoringa emisij komunalnih odpadnih voda, obdelovale na  416 KČN z zmogljivostjo enako ali večjo od 50 populacijskih enot (v nadaljnjem besedilu: PE), kot je prikazano na publikacijski karti </w:t>
      </w:r>
      <w:r w:rsidRPr="00545EC0">
        <w:rPr>
          <w:rFonts w:cs="Arial"/>
          <w:i/>
        </w:rPr>
        <w:t>(Publikacijska karta</w:t>
      </w:r>
      <w:r w:rsidR="001D5C1B" w:rsidRPr="00545EC0">
        <w:rPr>
          <w:rFonts w:cs="Arial"/>
          <w:i/>
        </w:rPr>
        <w:t xml:space="preserve"> 2.1</w:t>
      </w:r>
      <w:r w:rsidRPr="00545EC0">
        <w:rPr>
          <w:rFonts w:cs="Arial"/>
          <w:i/>
        </w:rPr>
        <w:t>: Točkovni viri onesnaževanja – obremenitev površinskih voda</w:t>
      </w:r>
      <w:r w:rsidR="008356BD" w:rsidRPr="00545EC0">
        <w:rPr>
          <w:rFonts w:cs="Arial"/>
          <w:i/>
        </w:rPr>
        <w:t xml:space="preserve"> </w:t>
      </w:r>
      <w:r w:rsidR="008356BD" w:rsidRPr="00545EC0">
        <w:rPr>
          <w:i/>
        </w:rPr>
        <w:t>zaradi odvajanja prečiščene komunalne odpadne vode</w:t>
      </w:r>
      <w:r w:rsidRPr="00545EC0">
        <w:rPr>
          <w:rFonts w:cs="Arial"/>
          <w:i/>
        </w:rPr>
        <w:t xml:space="preserve"> iz komunalnih čistilnih naprav).</w:t>
      </w:r>
    </w:p>
    <w:p w14:paraId="139DEA8D" w14:textId="77777777" w:rsidR="00617285" w:rsidRPr="00545EC0" w:rsidRDefault="00617285" w:rsidP="00AD4FE7">
      <w:pPr>
        <w:rPr>
          <w:rFonts w:cs="Arial"/>
        </w:rPr>
      </w:pPr>
    </w:p>
    <w:p w14:paraId="2C3BDB92" w14:textId="10F212BF" w:rsidR="00617285" w:rsidRPr="00545EC0" w:rsidRDefault="00617285" w:rsidP="00AD4FE7">
      <w:pPr>
        <w:rPr>
          <w:rFonts w:cs="Arial"/>
        </w:rPr>
      </w:pPr>
      <w:r w:rsidRPr="00545EC0">
        <w:rPr>
          <w:rFonts w:cs="Arial"/>
        </w:rPr>
        <w:t>Delež KČN na katerih se zagotavlja sekundarna stopnja čiščenja znaša 84 %, delež KČN na katerih se zagotavlja terciarna stopnja čiščenja pa znaša 16%</w:t>
      </w:r>
      <w:r w:rsidR="009B51D0" w:rsidRPr="00545EC0">
        <w:rPr>
          <w:rFonts w:cs="Arial"/>
        </w:rPr>
        <w:t xml:space="preserve"> (</w:t>
      </w:r>
      <w:r w:rsidR="009B51D0" w:rsidRPr="00545EC0">
        <w:rPr>
          <w:rFonts w:cs="Arial"/>
        </w:rPr>
        <w:fldChar w:fldCharType="begin"/>
      </w:r>
      <w:r w:rsidR="009B51D0" w:rsidRPr="00545EC0">
        <w:rPr>
          <w:rFonts w:cs="Arial"/>
        </w:rPr>
        <w:instrText xml:space="preserve"> REF _Ref84329992 \h </w:instrText>
      </w:r>
      <w:r w:rsidR="00F37A91" w:rsidRPr="00545EC0">
        <w:rPr>
          <w:rFonts w:cs="Arial"/>
        </w:rPr>
        <w:instrText xml:space="preserve"> \* MERGEFORMAT </w:instrText>
      </w:r>
      <w:r w:rsidR="009B51D0" w:rsidRPr="00545EC0">
        <w:rPr>
          <w:rFonts w:cs="Arial"/>
        </w:rPr>
      </w:r>
      <w:r w:rsidR="009B51D0" w:rsidRPr="00545EC0">
        <w:rPr>
          <w:rFonts w:cs="Arial"/>
        </w:rPr>
        <w:fldChar w:fldCharType="separate"/>
      </w:r>
      <w:r w:rsidR="002F3E43" w:rsidRPr="00545EC0">
        <w:rPr>
          <w:rFonts w:cs="Arial"/>
          <w:bCs/>
          <w:szCs w:val="20"/>
          <w:lang w:eastAsia="ja-JP"/>
        </w:rPr>
        <w:t xml:space="preserve">Slika </w:t>
      </w:r>
      <w:r w:rsidR="002F3E43">
        <w:rPr>
          <w:rFonts w:cs="Arial"/>
          <w:bCs/>
          <w:noProof/>
          <w:szCs w:val="20"/>
          <w:lang w:eastAsia="ja-JP"/>
        </w:rPr>
        <w:t>2</w:t>
      </w:r>
      <w:r w:rsidR="002F3E43" w:rsidRPr="00545EC0">
        <w:rPr>
          <w:rFonts w:cs="Arial"/>
          <w:bCs/>
          <w:noProof/>
          <w:szCs w:val="20"/>
          <w:lang w:eastAsia="ja-JP"/>
        </w:rPr>
        <w:noBreakHyphen/>
      </w:r>
      <w:r w:rsidR="002F3E43">
        <w:rPr>
          <w:rFonts w:cs="Arial"/>
          <w:bCs/>
          <w:noProof/>
          <w:szCs w:val="20"/>
          <w:lang w:eastAsia="ja-JP"/>
        </w:rPr>
        <w:t>1</w:t>
      </w:r>
      <w:r w:rsidR="009B51D0" w:rsidRPr="00545EC0">
        <w:rPr>
          <w:rFonts w:cs="Arial"/>
        </w:rPr>
        <w:fldChar w:fldCharType="end"/>
      </w:r>
      <w:r w:rsidR="009B51D0" w:rsidRPr="00545EC0">
        <w:rPr>
          <w:rFonts w:cs="Arial"/>
        </w:rPr>
        <w:t>)</w:t>
      </w:r>
      <w:r w:rsidRPr="00545EC0">
        <w:rPr>
          <w:rFonts w:cs="Arial"/>
        </w:rPr>
        <w:t xml:space="preserve"> </w:t>
      </w:r>
      <w:r w:rsidR="009B51D0" w:rsidRPr="00545EC0">
        <w:rPr>
          <w:rFonts w:cs="Arial"/>
          <w:szCs w:val="20"/>
        </w:rPr>
        <w:t>naj</w:t>
      </w:r>
      <w:r w:rsidRPr="00545EC0">
        <w:rPr>
          <w:rFonts w:cs="Arial"/>
        </w:rPr>
        <w:t>večje število KČN se nahaja na porečju Drave (96) ter na porečju Save (porečje Spodnje Save (99) in porečje Srednje Save (88) (Slika 2-2). Glede na zmogljivost KČN, izraženo v populacijskih enotah, je na VO Donave največ KČN z zmogljivostjo enako ali večjo od 50 in manjšo od 2.000 PE, in sicer 307. Na VO Donave obratujejo tudi 4 KČN z zmogljivostjo, enako ali večjo od 100.000 PE. V primerjavi s predhodnim načrtom upravljanja voda se je delež evidentiranih KČN zvišal za okoli 70 % (iz 246 v letu 2012 evidentiranih KČN na 416 v letu 2019 evidentiranih KČN).</w:t>
      </w:r>
    </w:p>
    <w:p w14:paraId="0F633A4C" w14:textId="77777777" w:rsidR="00617285" w:rsidRPr="00545EC0" w:rsidRDefault="00617285" w:rsidP="00AD4FE7">
      <w:pPr>
        <w:rPr>
          <w:rFonts w:cs="Arial"/>
        </w:rPr>
      </w:pPr>
    </w:p>
    <w:p w14:paraId="6CC0294F" w14:textId="77777777" w:rsidR="00617285" w:rsidRPr="00545EC0" w:rsidRDefault="00617285" w:rsidP="00AD4FE7">
      <w:pPr>
        <w:rPr>
          <w:rFonts w:cs="Arial"/>
        </w:rPr>
      </w:pPr>
      <w:r w:rsidRPr="00545EC0">
        <w:rPr>
          <w:noProof/>
          <w:shd w:val="clear" w:color="auto" w:fill="F2F2F2" w:themeFill="background1" w:themeFillShade="F2"/>
        </w:rPr>
        <w:lastRenderedPageBreak/>
        <w:drawing>
          <wp:inline distT="0" distB="0" distL="0" distR="0" wp14:anchorId="7976CC76" wp14:editId="1BAD8AA5">
            <wp:extent cx="5760720" cy="2938543"/>
            <wp:effectExtent l="0" t="0" r="11430" b="14605"/>
            <wp:docPr id="56" name="Grafikon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2FDA247" w14:textId="01A3B3DB" w:rsidR="00617285" w:rsidRPr="00545EC0" w:rsidRDefault="00617285" w:rsidP="00AD4FE7">
      <w:pPr>
        <w:overflowPunct/>
        <w:autoSpaceDE/>
        <w:autoSpaceDN/>
        <w:adjustRightInd/>
        <w:jc w:val="left"/>
        <w:textAlignment w:val="auto"/>
        <w:rPr>
          <w:rFonts w:cs="Arial"/>
          <w:bCs/>
          <w:szCs w:val="20"/>
          <w:lang w:eastAsia="ja-JP"/>
        </w:rPr>
      </w:pPr>
      <w:bookmarkStart w:id="144" w:name="_Ref84329992"/>
      <w:r w:rsidRPr="00545EC0">
        <w:rPr>
          <w:rFonts w:cs="Arial"/>
          <w:bCs/>
          <w:szCs w:val="20"/>
          <w:lang w:eastAsia="ja-JP"/>
        </w:rPr>
        <w:t xml:space="preserve">Slika </w:t>
      </w:r>
      <w:r w:rsidR="00396E1E" w:rsidRPr="00545EC0">
        <w:rPr>
          <w:rFonts w:cs="Arial"/>
          <w:bCs/>
          <w:szCs w:val="20"/>
          <w:lang w:eastAsia="ja-JP"/>
        </w:rPr>
        <w:fldChar w:fldCharType="begin"/>
      </w:r>
      <w:r w:rsidR="00396E1E" w:rsidRPr="00545EC0">
        <w:rPr>
          <w:rFonts w:cs="Arial"/>
          <w:bCs/>
          <w:szCs w:val="20"/>
          <w:lang w:eastAsia="ja-JP"/>
        </w:rPr>
        <w:instrText xml:space="preserve"> STYLEREF 1 \s </w:instrText>
      </w:r>
      <w:r w:rsidR="00396E1E" w:rsidRPr="00545EC0">
        <w:rPr>
          <w:rFonts w:cs="Arial"/>
          <w:bCs/>
          <w:szCs w:val="20"/>
          <w:lang w:eastAsia="ja-JP"/>
        </w:rPr>
        <w:fldChar w:fldCharType="separate"/>
      </w:r>
      <w:r w:rsidR="002F3E43">
        <w:rPr>
          <w:rFonts w:cs="Arial"/>
          <w:bCs/>
          <w:noProof/>
          <w:szCs w:val="20"/>
          <w:lang w:eastAsia="ja-JP"/>
        </w:rPr>
        <w:t>2</w:t>
      </w:r>
      <w:r w:rsidR="00396E1E" w:rsidRPr="00545EC0">
        <w:rPr>
          <w:rFonts w:cs="Arial"/>
          <w:bCs/>
          <w:szCs w:val="20"/>
          <w:lang w:eastAsia="ja-JP"/>
        </w:rPr>
        <w:fldChar w:fldCharType="end"/>
      </w:r>
      <w:r w:rsidR="00396E1E" w:rsidRPr="00545EC0">
        <w:rPr>
          <w:rFonts w:cs="Arial"/>
          <w:bCs/>
          <w:szCs w:val="20"/>
          <w:lang w:eastAsia="ja-JP"/>
        </w:rPr>
        <w:noBreakHyphen/>
      </w:r>
      <w:r w:rsidR="00396E1E" w:rsidRPr="00545EC0">
        <w:rPr>
          <w:rFonts w:cs="Arial"/>
          <w:bCs/>
          <w:szCs w:val="20"/>
          <w:lang w:eastAsia="ja-JP"/>
        </w:rPr>
        <w:fldChar w:fldCharType="begin"/>
      </w:r>
      <w:r w:rsidR="00396E1E" w:rsidRPr="00545EC0">
        <w:rPr>
          <w:rFonts w:cs="Arial"/>
          <w:bCs/>
          <w:szCs w:val="20"/>
          <w:lang w:eastAsia="ja-JP"/>
        </w:rPr>
        <w:instrText xml:space="preserve"> SEQ Slika \* ARABIC \s 1 </w:instrText>
      </w:r>
      <w:r w:rsidR="00396E1E" w:rsidRPr="00545EC0">
        <w:rPr>
          <w:rFonts w:cs="Arial"/>
          <w:bCs/>
          <w:szCs w:val="20"/>
          <w:lang w:eastAsia="ja-JP"/>
        </w:rPr>
        <w:fldChar w:fldCharType="separate"/>
      </w:r>
      <w:r w:rsidR="002F3E43">
        <w:rPr>
          <w:rFonts w:cs="Arial"/>
          <w:bCs/>
          <w:noProof/>
          <w:szCs w:val="20"/>
          <w:lang w:eastAsia="ja-JP"/>
        </w:rPr>
        <w:t>1</w:t>
      </w:r>
      <w:r w:rsidR="00396E1E" w:rsidRPr="00545EC0">
        <w:rPr>
          <w:rFonts w:cs="Arial"/>
          <w:bCs/>
          <w:szCs w:val="20"/>
          <w:lang w:eastAsia="ja-JP"/>
        </w:rPr>
        <w:fldChar w:fldCharType="end"/>
      </w:r>
      <w:bookmarkEnd w:id="144"/>
      <w:r w:rsidRPr="00545EC0">
        <w:rPr>
          <w:rFonts w:cs="Arial"/>
          <w:bCs/>
          <w:szCs w:val="20"/>
          <w:lang w:eastAsia="ja-JP"/>
        </w:rPr>
        <w:t>: Število KČN po velikostnih razredih glede na zmogljivost, izraženo kot PE, na VO Donave</w:t>
      </w:r>
    </w:p>
    <w:p w14:paraId="77474AE4" w14:textId="77777777" w:rsidR="00617285" w:rsidRPr="00545EC0" w:rsidRDefault="00617285" w:rsidP="00AD4FE7">
      <w:pPr>
        <w:rPr>
          <w:lang w:eastAsia="ja-JP"/>
        </w:rPr>
      </w:pPr>
    </w:p>
    <w:p w14:paraId="05110983" w14:textId="77777777" w:rsidR="00617285" w:rsidRPr="00545EC0" w:rsidRDefault="00617285" w:rsidP="00AD4FE7">
      <w:pPr>
        <w:rPr>
          <w:rFonts w:cs="Arial"/>
          <w:b/>
          <w:bCs/>
          <w:szCs w:val="20"/>
          <w:lang w:eastAsia="x-none"/>
        </w:rPr>
      </w:pPr>
      <w:r w:rsidRPr="00545EC0">
        <w:rPr>
          <w:noProof/>
        </w:rPr>
        <w:drawing>
          <wp:inline distT="0" distB="0" distL="0" distR="0" wp14:anchorId="46BE6991" wp14:editId="6BACABD0">
            <wp:extent cx="5760720" cy="3200672"/>
            <wp:effectExtent l="0" t="0" r="11430" b="19050"/>
            <wp:docPr id="59" name="Grafikon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8E13F4C" w14:textId="00563F3F" w:rsidR="00617285" w:rsidRPr="00545EC0" w:rsidRDefault="00617285" w:rsidP="00A973EE">
      <w:pPr>
        <w:pStyle w:val="Napis"/>
        <w:rPr>
          <w:lang w:eastAsia="ja-JP"/>
        </w:rPr>
      </w:pPr>
      <w:bookmarkStart w:id="145" w:name="_Ref84329957"/>
      <w:bookmarkStart w:id="146" w:name="_Ref83109051"/>
      <w:r w:rsidRPr="00545EC0">
        <w:t xml:space="preserve">Slika </w:t>
      </w:r>
      <w:fldSimple w:instr=" STYLEREF 1 \s ">
        <w:r w:rsidR="002F3E43">
          <w:rPr>
            <w:noProof/>
          </w:rPr>
          <w:t>2</w:t>
        </w:r>
      </w:fldSimple>
      <w:r w:rsidR="00396E1E" w:rsidRPr="00545EC0">
        <w:noBreakHyphen/>
      </w:r>
      <w:fldSimple w:instr=" SEQ Slika \* ARABIC \s 1 ">
        <w:r w:rsidR="002F3E43">
          <w:rPr>
            <w:noProof/>
          </w:rPr>
          <w:t>2</w:t>
        </w:r>
      </w:fldSimple>
      <w:bookmarkEnd w:id="145"/>
      <w:r w:rsidRPr="00545EC0">
        <w:t>: Število KČN s terciarno stopnjo čiščenja in število KČN s sekundarno in/ali primarno stopnjo čiščenja po porečjih VO Donave</w:t>
      </w:r>
      <w:bookmarkEnd w:id="146"/>
      <w:r w:rsidRPr="00545EC0">
        <w:t xml:space="preserve"> </w:t>
      </w:r>
    </w:p>
    <w:p w14:paraId="1D27BD5B" w14:textId="77777777" w:rsidR="00C621F3" w:rsidRPr="00545EC0" w:rsidRDefault="00C621F3" w:rsidP="00AD4FE7">
      <w:pPr>
        <w:rPr>
          <w:rFonts w:cs="Arial"/>
          <w:szCs w:val="20"/>
        </w:rPr>
      </w:pPr>
    </w:p>
    <w:p w14:paraId="1CDF1DAA" w14:textId="77777777" w:rsidR="00C621F3" w:rsidRPr="00545EC0" w:rsidRDefault="00C621F3" w:rsidP="00C621F3">
      <w:pPr>
        <w:rPr>
          <w:b/>
          <w:i/>
        </w:rPr>
      </w:pPr>
      <w:r w:rsidRPr="00545EC0">
        <w:rPr>
          <w:b/>
          <w:i/>
        </w:rPr>
        <w:t>Prikaz obremenitev vodnih teles površinskih voda</w:t>
      </w:r>
    </w:p>
    <w:p w14:paraId="1898115F" w14:textId="77777777" w:rsidR="00C621F3" w:rsidRPr="00545EC0" w:rsidRDefault="00C621F3" w:rsidP="00AD4FE7">
      <w:pPr>
        <w:rPr>
          <w:rFonts w:cs="Arial"/>
          <w:szCs w:val="20"/>
        </w:rPr>
      </w:pPr>
    </w:p>
    <w:p w14:paraId="4446033A" w14:textId="31C5EE79" w:rsidR="00617285" w:rsidRPr="00545EC0" w:rsidRDefault="00617285" w:rsidP="00AD4FE7">
      <w:pPr>
        <w:rPr>
          <w:rFonts w:cs="Arial"/>
        </w:rPr>
      </w:pPr>
      <w:r w:rsidRPr="00545EC0">
        <w:rPr>
          <w:rFonts w:cs="Arial"/>
          <w:szCs w:val="20"/>
        </w:rPr>
        <w:t xml:space="preserve">Onesnaževanje površinskih voda pri odvajanju komunalne odpadne vode iz KČN je obravnavano na podlagi podatkov o emisijah snovi pri odvajanju odpadne vode iz KČN na podlagi rezultatov obratovalnega monitoringa komunalnih odpadnih voda. Letne količine ter časovni in prostorski razpored emisij pri odvajanju komunalne odpadne vode za emisije celotnega  dušika na porečjih VO Donave v obdobju od 2000 do 2017 je prikazan na sliki </w:t>
      </w:r>
      <w:r w:rsidRPr="00545EC0">
        <w:rPr>
          <w:rFonts w:cs="Arial"/>
        </w:rPr>
        <w:t>(</w:t>
      </w:r>
      <w:r w:rsidR="009B51D0" w:rsidRPr="00545EC0">
        <w:rPr>
          <w:rFonts w:cs="Arial"/>
        </w:rPr>
        <w:fldChar w:fldCharType="begin"/>
      </w:r>
      <w:r w:rsidR="009B51D0" w:rsidRPr="00545EC0">
        <w:rPr>
          <w:rFonts w:cs="Arial"/>
        </w:rPr>
        <w:instrText xml:space="preserve"> REF _Ref84330102 \h </w:instrText>
      </w:r>
      <w:r w:rsidR="00F37A91" w:rsidRPr="00545EC0">
        <w:rPr>
          <w:rFonts w:cs="Arial"/>
        </w:rPr>
        <w:instrText xml:space="preserve"> \* MERGEFORMAT </w:instrText>
      </w:r>
      <w:r w:rsidR="009B51D0" w:rsidRPr="00545EC0">
        <w:rPr>
          <w:rFonts w:cs="Arial"/>
        </w:rPr>
      </w:r>
      <w:r w:rsidR="009B51D0" w:rsidRPr="00545EC0">
        <w:rPr>
          <w:rFonts w:cs="Arial"/>
        </w:rPr>
        <w:fldChar w:fldCharType="separate"/>
      </w:r>
      <w:r w:rsidR="002F3E43" w:rsidRPr="00545EC0">
        <w:rPr>
          <w:rFonts w:cs="Arial"/>
          <w:bCs/>
          <w:szCs w:val="20"/>
          <w:lang w:eastAsia="ja-JP"/>
        </w:rPr>
        <w:t xml:space="preserve">Slika </w:t>
      </w:r>
      <w:r w:rsidR="002F3E43">
        <w:rPr>
          <w:rFonts w:cs="Arial"/>
          <w:bCs/>
          <w:noProof/>
          <w:szCs w:val="20"/>
          <w:lang w:eastAsia="ja-JP"/>
        </w:rPr>
        <w:t>2</w:t>
      </w:r>
      <w:r w:rsidR="002F3E43" w:rsidRPr="00545EC0">
        <w:rPr>
          <w:rFonts w:cs="Arial"/>
          <w:bCs/>
          <w:noProof/>
          <w:szCs w:val="20"/>
          <w:lang w:eastAsia="ja-JP"/>
        </w:rPr>
        <w:noBreakHyphen/>
      </w:r>
      <w:r w:rsidR="002F3E43">
        <w:rPr>
          <w:rFonts w:cs="Arial"/>
          <w:bCs/>
          <w:noProof/>
          <w:szCs w:val="20"/>
          <w:lang w:eastAsia="ja-JP"/>
        </w:rPr>
        <w:t>3</w:t>
      </w:r>
      <w:r w:rsidR="009B51D0" w:rsidRPr="00545EC0">
        <w:rPr>
          <w:rFonts w:cs="Arial"/>
        </w:rPr>
        <w:fldChar w:fldCharType="end"/>
      </w:r>
      <w:r w:rsidRPr="00545EC0">
        <w:rPr>
          <w:rFonts w:cs="Arial"/>
        </w:rPr>
        <w:t xml:space="preserve">). </w:t>
      </w:r>
    </w:p>
    <w:p w14:paraId="4CF69FE3" w14:textId="77777777" w:rsidR="00617285" w:rsidRPr="00545EC0" w:rsidRDefault="00617285" w:rsidP="00AD4FE7">
      <w:pPr>
        <w:rPr>
          <w:rFonts w:cs="Arial"/>
          <w:sz w:val="24"/>
        </w:rPr>
      </w:pPr>
    </w:p>
    <w:p w14:paraId="2C609CCF" w14:textId="77777777" w:rsidR="00617285" w:rsidRPr="00545EC0" w:rsidRDefault="00617285" w:rsidP="00AD4FE7">
      <w:pPr>
        <w:rPr>
          <w:rFonts w:cs="Arial"/>
          <w:sz w:val="24"/>
        </w:rPr>
      </w:pPr>
      <w:r w:rsidRPr="00545EC0">
        <w:rPr>
          <w:rFonts w:cs="Arial"/>
          <w:noProof/>
          <w:sz w:val="24"/>
        </w:rPr>
        <w:lastRenderedPageBreak/>
        <w:drawing>
          <wp:inline distT="0" distB="0" distL="0" distR="0" wp14:anchorId="0E7CF0D4" wp14:editId="7875214F">
            <wp:extent cx="5761355" cy="3180137"/>
            <wp:effectExtent l="19050" t="19050" r="10795" b="2032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1355" cy="3180137"/>
                    </a:xfrm>
                    <a:prstGeom prst="rect">
                      <a:avLst/>
                    </a:prstGeom>
                    <a:noFill/>
                    <a:ln>
                      <a:solidFill>
                        <a:schemeClr val="bg1">
                          <a:lumMod val="75000"/>
                        </a:schemeClr>
                      </a:solidFill>
                    </a:ln>
                  </pic:spPr>
                </pic:pic>
              </a:graphicData>
            </a:graphic>
          </wp:inline>
        </w:drawing>
      </w:r>
    </w:p>
    <w:p w14:paraId="0B7AF7AE" w14:textId="29AE8225" w:rsidR="00617285" w:rsidRPr="00545EC0" w:rsidRDefault="00617285" w:rsidP="00AD4FE7">
      <w:pPr>
        <w:overflowPunct/>
        <w:autoSpaceDE/>
        <w:autoSpaceDN/>
        <w:adjustRightInd/>
        <w:textAlignment w:val="auto"/>
        <w:rPr>
          <w:rFonts w:cs="Arial"/>
          <w:bCs/>
          <w:szCs w:val="20"/>
          <w:lang w:eastAsia="ja-JP"/>
        </w:rPr>
      </w:pPr>
      <w:bookmarkStart w:id="147" w:name="_Ref84330102"/>
      <w:r w:rsidRPr="00545EC0">
        <w:rPr>
          <w:rFonts w:cs="Arial"/>
          <w:bCs/>
          <w:szCs w:val="20"/>
          <w:lang w:eastAsia="ja-JP"/>
        </w:rPr>
        <w:t xml:space="preserve">Slika </w:t>
      </w:r>
      <w:r w:rsidR="00396E1E" w:rsidRPr="00545EC0">
        <w:rPr>
          <w:rFonts w:cs="Arial"/>
          <w:bCs/>
          <w:szCs w:val="20"/>
          <w:lang w:eastAsia="ja-JP"/>
        </w:rPr>
        <w:fldChar w:fldCharType="begin"/>
      </w:r>
      <w:r w:rsidR="00396E1E" w:rsidRPr="00545EC0">
        <w:rPr>
          <w:rFonts w:cs="Arial"/>
          <w:bCs/>
          <w:szCs w:val="20"/>
          <w:lang w:eastAsia="ja-JP"/>
        </w:rPr>
        <w:instrText xml:space="preserve"> STYLEREF 1 \s </w:instrText>
      </w:r>
      <w:r w:rsidR="00396E1E" w:rsidRPr="00545EC0">
        <w:rPr>
          <w:rFonts w:cs="Arial"/>
          <w:bCs/>
          <w:szCs w:val="20"/>
          <w:lang w:eastAsia="ja-JP"/>
        </w:rPr>
        <w:fldChar w:fldCharType="separate"/>
      </w:r>
      <w:r w:rsidR="002F3E43">
        <w:rPr>
          <w:rFonts w:cs="Arial"/>
          <w:bCs/>
          <w:noProof/>
          <w:szCs w:val="20"/>
          <w:lang w:eastAsia="ja-JP"/>
        </w:rPr>
        <w:t>2</w:t>
      </w:r>
      <w:r w:rsidR="00396E1E" w:rsidRPr="00545EC0">
        <w:rPr>
          <w:rFonts w:cs="Arial"/>
          <w:bCs/>
          <w:szCs w:val="20"/>
          <w:lang w:eastAsia="ja-JP"/>
        </w:rPr>
        <w:fldChar w:fldCharType="end"/>
      </w:r>
      <w:r w:rsidR="00396E1E" w:rsidRPr="00545EC0">
        <w:rPr>
          <w:rFonts w:cs="Arial"/>
          <w:bCs/>
          <w:szCs w:val="20"/>
          <w:lang w:eastAsia="ja-JP"/>
        </w:rPr>
        <w:noBreakHyphen/>
      </w:r>
      <w:r w:rsidR="00396E1E" w:rsidRPr="00545EC0">
        <w:rPr>
          <w:rFonts w:cs="Arial"/>
          <w:bCs/>
          <w:szCs w:val="20"/>
          <w:lang w:eastAsia="ja-JP"/>
        </w:rPr>
        <w:fldChar w:fldCharType="begin"/>
      </w:r>
      <w:r w:rsidR="00396E1E" w:rsidRPr="00545EC0">
        <w:rPr>
          <w:rFonts w:cs="Arial"/>
          <w:bCs/>
          <w:szCs w:val="20"/>
          <w:lang w:eastAsia="ja-JP"/>
        </w:rPr>
        <w:instrText xml:space="preserve"> SEQ Slika \* ARABIC \s 1 </w:instrText>
      </w:r>
      <w:r w:rsidR="00396E1E" w:rsidRPr="00545EC0">
        <w:rPr>
          <w:rFonts w:cs="Arial"/>
          <w:bCs/>
          <w:szCs w:val="20"/>
          <w:lang w:eastAsia="ja-JP"/>
        </w:rPr>
        <w:fldChar w:fldCharType="separate"/>
      </w:r>
      <w:r w:rsidR="002F3E43">
        <w:rPr>
          <w:rFonts w:cs="Arial"/>
          <w:bCs/>
          <w:noProof/>
          <w:szCs w:val="20"/>
          <w:lang w:eastAsia="ja-JP"/>
        </w:rPr>
        <w:t>3</w:t>
      </w:r>
      <w:r w:rsidR="00396E1E" w:rsidRPr="00545EC0">
        <w:rPr>
          <w:rFonts w:cs="Arial"/>
          <w:bCs/>
          <w:szCs w:val="20"/>
          <w:lang w:eastAsia="ja-JP"/>
        </w:rPr>
        <w:fldChar w:fldCharType="end"/>
      </w:r>
      <w:bookmarkEnd w:id="147"/>
      <w:r w:rsidRPr="00545EC0">
        <w:rPr>
          <w:rFonts w:cs="Arial"/>
          <w:bCs/>
          <w:szCs w:val="20"/>
          <w:lang w:eastAsia="ja-JP"/>
        </w:rPr>
        <w:t>: Količine celotnega dušika (t/leto) i</w:t>
      </w:r>
      <w:r w:rsidR="007804BE" w:rsidRPr="00545EC0">
        <w:rPr>
          <w:rFonts w:cs="Arial"/>
          <w:bCs/>
          <w:szCs w:val="20"/>
          <w:lang w:eastAsia="ja-JP"/>
        </w:rPr>
        <w:t xml:space="preserve">z KČN po porečjih na VO Donave </w:t>
      </w:r>
    </w:p>
    <w:p w14:paraId="077C85F6" w14:textId="77777777" w:rsidR="00617285" w:rsidRPr="00545EC0" w:rsidRDefault="00617285" w:rsidP="00AD4FE7">
      <w:pPr>
        <w:tabs>
          <w:tab w:val="num" w:pos="567"/>
          <w:tab w:val="left" w:pos="9600"/>
        </w:tabs>
        <w:spacing w:before="120"/>
        <w:rPr>
          <w:rFonts w:cs="Arial"/>
          <w:szCs w:val="20"/>
        </w:rPr>
      </w:pPr>
      <w:r w:rsidRPr="00545EC0">
        <w:rPr>
          <w:rFonts w:cs="Arial"/>
          <w:szCs w:val="20"/>
        </w:rPr>
        <w:t>Zaradi raznolikih virov, ki odpadne vode odvajajo v javno kanalizacijo, so v komunalni odpadni vodi prisotna tudi sintetična in nesintetična onesnaževala, ki se lahko uvrščajo med posebna onesnaževala, prednostne in prednostno nevarne snovi. Katerokoli onesnaževalo, ki ni biološko razgradljivo, lahko predstavlja problem, saj se zaradi njihove prisotnosti zmanjša učinkovitost čiščenja odpadne vode v KČN. Kovine se v KČN delno usedajo na dno bazena(ov) in postanejo del odpadnega blata, delno pa prehajajo z odpadno vodo v okolje.</w:t>
      </w:r>
    </w:p>
    <w:p w14:paraId="4F2BE73D" w14:textId="3EA3C16A" w:rsidR="00617285" w:rsidRPr="00545EC0" w:rsidRDefault="00617285" w:rsidP="00AD4FE7">
      <w:pPr>
        <w:tabs>
          <w:tab w:val="num" w:pos="567"/>
          <w:tab w:val="left" w:pos="9600"/>
        </w:tabs>
        <w:spacing w:before="120"/>
        <w:rPr>
          <w:rFonts w:cs="Arial"/>
          <w:szCs w:val="20"/>
        </w:rPr>
      </w:pPr>
      <w:r w:rsidRPr="00545EC0">
        <w:rPr>
          <w:rFonts w:cs="Arial"/>
          <w:szCs w:val="20"/>
        </w:rPr>
        <w:t xml:space="preserve">Predpis, ki ureja emisijo snovi in toplote pri odvajanju odpadnih voda v vode in javno kanalizacijo, določa, da je treba obravnavati tudi druge snovi, če se jih v odpadni vodi glede na proces pričakuje. Na VO Donave se je pri odvajanju komunalnih odpadnih voda iz </w:t>
      </w:r>
      <w:r w:rsidR="00B368A6" w:rsidRPr="00545EC0">
        <w:rPr>
          <w:rFonts w:cs="Arial"/>
          <w:szCs w:val="20"/>
        </w:rPr>
        <w:t xml:space="preserve">manjšega števila </w:t>
      </w:r>
      <w:r w:rsidRPr="00545EC0">
        <w:rPr>
          <w:rFonts w:cs="Arial"/>
          <w:szCs w:val="20"/>
        </w:rPr>
        <w:t>KČN v površinske vode, glede na rezultate obratovalnega monitoringa odpadnih voda v obdobju od 2013 do 2017, spremljalo</w:t>
      </w:r>
      <w:r w:rsidR="00B368A6" w:rsidRPr="00545EC0">
        <w:rPr>
          <w:rFonts w:cs="Arial"/>
          <w:szCs w:val="20"/>
        </w:rPr>
        <w:t xml:space="preserve"> eno ali več sledečih snovi in njihovih spojin</w:t>
      </w:r>
      <w:r w:rsidRPr="00545EC0">
        <w:rPr>
          <w:rFonts w:cs="Arial"/>
          <w:szCs w:val="20"/>
        </w:rPr>
        <w:t>:</w:t>
      </w:r>
    </w:p>
    <w:p w14:paraId="6252E3D4" w14:textId="77777777" w:rsidR="00617285" w:rsidRPr="00545EC0" w:rsidRDefault="00617285" w:rsidP="00DD37C5">
      <w:pPr>
        <w:numPr>
          <w:ilvl w:val="0"/>
          <w:numId w:val="84"/>
        </w:numPr>
        <w:tabs>
          <w:tab w:val="left" w:pos="9600"/>
        </w:tabs>
        <w:overflowPunct/>
        <w:autoSpaceDE/>
        <w:autoSpaceDN/>
        <w:adjustRightInd/>
        <w:spacing w:before="120"/>
        <w:textAlignment w:val="auto"/>
        <w:rPr>
          <w:rFonts w:cs="Arial"/>
          <w:szCs w:val="20"/>
        </w:rPr>
      </w:pPr>
      <w:r w:rsidRPr="00545EC0">
        <w:rPr>
          <w:rFonts w:cs="Arial"/>
          <w:szCs w:val="20"/>
        </w:rPr>
        <w:t>7 snovi in njihovih spojin, ki so v skladu s predpisom, ki ureja stanje površinskih voda, opredeljene kot prednostno nevarne snovi, in sicer di(2-etilheksil)ftalat (DEHP), kadmij in njegove spojine, kloroalkani: C 10-13, nonilfenoli, poliaromatski ogljikovodiki (PAH), tributilkositrove spojine, živo srebro in njegove spojine,</w:t>
      </w:r>
    </w:p>
    <w:p w14:paraId="20FB1F99" w14:textId="77777777" w:rsidR="00617285" w:rsidRPr="00545EC0" w:rsidRDefault="00617285" w:rsidP="00DD37C5">
      <w:pPr>
        <w:numPr>
          <w:ilvl w:val="0"/>
          <w:numId w:val="84"/>
        </w:numPr>
        <w:tabs>
          <w:tab w:val="left" w:pos="9600"/>
        </w:tabs>
        <w:overflowPunct/>
        <w:autoSpaceDE/>
        <w:autoSpaceDN/>
        <w:adjustRightInd/>
        <w:spacing w:before="120"/>
        <w:textAlignment w:val="auto"/>
        <w:rPr>
          <w:rFonts w:cs="Arial"/>
          <w:szCs w:val="20"/>
        </w:rPr>
      </w:pPr>
      <w:r w:rsidRPr="00545EC0">
        <w:rPr>
          <w:rFonts w:cs="Arial"/>
          <w:szCs w:val="20"/>
        </w:rPr>
        <w:t>9 snovi in njihovih spojin, ki so v skladu s predpisom, ki ureja stanje površinskih voda, opredeljene kot prednostne snovi, in sicer atrazin, benzen, diuron, izoproturon, nikelj in njegove spojine, oktilfenoli, simazin, svinec in njegove spojine ter terbutrin,</w:t>
      </w:r>
    </w:p>
    <w:p w14:paraId="5CF7F36B" w14:textId="77777777" w:rsidR="00617285" w:rsidRPr="00545EC0" w:rsidRDefault="00617285" w:rsidP="00DD37C5">
      <w:pPr>
        <w:numPr>
          <w:ilvl w:val="0"/>
          <w:numId w:val="84"/>
        </w:numPr>
        <w:tabs>
          <w:tab w:val="left" w:pos="9600"/>
        </w:tabs>
        <w:overflowPunct/>
        <w:autoSpaceDE/>
        <w:autoSpaceDN/>
        <w:adjustRightInd/>
        <w:spacing w:before="120"/>
        <w:textAlignment w:val="auto"/>
        <w:rPr>
          <w:rFonts w:cs="Arial"/>
          <w:szCs w:val="20"/>
        </w:rPr>
      </w:pPr>
      <w:r w:rsidRPr="00545EC0">
        <w:rPr>
          <w:rFonts w:cs="Arial"/>
          <w:szCs w:val="20"/>
        </w:rPr>
        <w:t>13 snovi in njihovih spojin, ki so v skladu s predpisom, ki ureja stanje površinskih voda, opredeljene kot posebna onesnaževala, izmed katerih je:</w:t>
      </w:r>
    </w:p>
    <w:p w14:paraId="2F422A9C" w14:textId="77777777" w:rsidR="00617285" w:rsidRPr="00545EC0" w:rsidRDefault="00617285" w:rsidP="00DD37C5">
      <w:pPr>
        <w:numPr>
          <w:ilvl w:val="0"/>
          <w:numId w:val="62"/>
        </w:numPr>
        <w:tabs>
          <w:tab w:val="left" w:pos="9600"/>
        </w:tabs>
        <w:overflowPunct/>
        <w:autoSpaceDE/>
        <w:autoSpaceDN/>
        <w:adjustRightInd/>
        <w:spacing w:before="120"/>
        <w:ind w:left="644"/>
        <w:textAlignment w:val="auto"/>
        <w:rPr>
          <w:rFonts w:cs="Arial"/>
          <w:szCs w:val="20"/>
        </w:rPr>
      </w:pPr>
      <w:r w:rsidRPr="00545EC0">
        <w:rPr>
          <w:rFonts w:cs="Arial"/>
          <w:szCs w:val="20"/>
        </w:rPr>
        <w:t>pet nesintetičnih onesnaževal, in sicer arzen in njegove spojine, baker in njegove spojine, celotni krom, cink in njegove spojine ter kobalt in njegove spojine,</w:t>
      </w:r>
    </w:p>
    <w:p w14:paraId="18697B3D" w14:textId="77777777" w:rsidR="00617285" w:rsidRPr="00545EC0" w:rsidRDefault="00617285" w:rsidP="00DD37C5">
      <w:pPr>
        <w:numPr>
          <w:ilvl w:val="0"/>
          <w:numId w:val="62"/>
        </w:numPr>
        <w:tabs>
          <w:tab w:val="left" w:pos="9600"/>
        </w:tabs>
        <w:overflowPunct/>
        <w:autoSpaceDE/>
        <w:autoSpaceDN/>
        <w:adjustRightInd/>
        <w:spacing w:before="120"/>
        <w:ind w:left="644"/>
        <w:textAlignment w:val="auto"/>
        <w:rPr>
          <w:rFonts w:cs="Arial"/>
          <w:szCs w:val="20"/>
        </w:rPr>
      </w:pPr>
      <w:r w:rsidRPr="00545EC0">
        <w:rPr>
          <w:rFonts w:cs="Arial"/>
          <w:szCs w:val="20"/>
        </w:rPr>
        <w:t xml:space="preserve">tri sintetična onesnaževala, in sicer </w:t>
      </w:r>
      <w:r w:rsidRPr="00545EC0">
        <w:t>dibutilkositrov kation, fenol in terbutilazin,</w:t>
      </w:r>
    </w:p>
    <w:p w14:paraId="21A9A176" w14:textId="77777777" w:rsidR="00617285" w:rsidRPr="00545EC0" w:rsidRDefault="00617285" w:rsidP="00DD37C5">
      <w:pPr>
        <w:numPr>
          <w:ilvl w:val="0"/>
          <w:numId w:val="62"/>
        </w:numPr>
        <w:tabs>
          <w:tab w:val="left" w:pos="9600"/>
        </w:tabs>
        <w:overflowPunct/>
        <w:autoSpaceDE/>
        <w:autoSpaceDN/>
        <w:adjustRightInd/>
        <w:spacing w:before="120"/>
        <w:ind w:left="644"/>
        <w:textAlignment w:val="auto"/>
        <w:rPr>
          <w:rFonts w:cs="Arial"/>
          <w:szCs w:val="20"/>
        </w:rPr>
      </w:pPr>
      <w:r w:rsidRPr="00545EC0">
        <w:rPr>
          <w:rFonts w:cs="Arial"/>
          <w:szCs w:val="20"/>
        </w:rPr>
        <w:t>pet snovi, ki so v skladu s predpisom, ki ureja stanje površinskih voda, opredeljene kot druga posebna onesnaževala, in sicer KPK, nitrit, adsorbljivi organski halogeni (AOX), mineralna olja in sulfat.</w:t>
      </w:r>
    </w:p>
    <w:p w14:paraId="03A3FE98" w14:textId="25100F75" w:rsidR="00617285" w:rsidRPr="00545EC0" w:rsidRDefault="00617285" w:rsidP="00AD4FE7">
      <w:pPr>
        <w:tabs>
          <w:tab w:val="num" w:pos="567"/>
          <w:tab w:val="left" w:pos="9600"/>
        </w:tabs>
        <w:spacing w:before="120"/>
        <w:rPr>
          <w:rFonts w:cs="Arial"/>
          <w:szCs w:val="20"/>
        </w:rPr>
      </w:pPr>
      <w:r w:rsidRPr="00545EC0">
        <w:rPr>
          <w:rFonts w:cs="Arial"/>
          <w:szCs w:val="20"/>
        </w:rPr>
        <w:lastRenderedPageBreak/>
        <w:t xml:space="preserve">Onesnaževanje z dušikovimi, fosforjevimi in </w:t>
      </w:r>
      <w:r w:rsidR="00FD74B0" w:rsidRPr="00545EC0">
        <w:rPr>
          <w:rFonts w:cs="Arial"/>
          <w:szCs w:val="20"/>
        </w:rPr>
        <w:t xml:space="preserve">biološko razgradljivimi </w:t>
      </w:r>
      <w:r w:rsidRPr="00545EC0">
        <w:rPr>
          <w:rFonts w:cs="Arial"/>
          <w:szCs w:val="20"/>
        </w:rPr>
        <w:t>organskimi snovmi pri odvajanju komunalne odpadne vode iz javnega kanalizacijskega omrežja, ki ni zaključeno s KČN, je obravnavano na podlagi podatkov o številu prebivalcev, ki so priključeni na tako javno kanalizacijsko omrežje, kot izhaja iz IJSVO. Na podlagi razpoložljive strokovne literature (Roš, M., 2001) je upoštevano, da en prebivalec predstavlja obremenitev z:</w:t>
      </w:r>
    </w:p>
    <w:p w14:paraId="456AAEB6" w14:textId="77777777" w:rsidR="00617285" w:rsidRPr="00545EC0" w:rsidRDefault="00617285" w:rsidP="00DD37C5">
      <w:pPr>
        <w:numPr>
          <w:ilvl w:val="0"/>
          <w:numId w:val="62"/>
        </w:numPr>
        <w:tabs>
          <w:tab w:val="num" w:pos="567"/>
          <w:tab w:val="left" w:pos="9600"/>
        </w:tabs>
        <w:overflowPunct/>
        <w:autoSpaceDE/>
        <w:autoSpaceDN/>
        <w:adjustRightInd/>
        <w:spacing w:before="120"/>
        <w:ind w:left="357" w:hanging="357"/>
        <w:textAlignment w:val="auto"/>
        <w:rPr>
          <w:rFonts w:cs="Arial"/>
          <w:szCs w:val="20"/>
        </w:rPr>
      </w:pPr>
      <w:r w:rsidRPr="00545EC0">
        <w:rPr>
          <w:rFonts w:cs="Arial"/>
          <w:szCs w:val="20"/>
        </w:rPr>
        <w:t>4,38 kg dušika na leto (12 g na prebivalca na dan),</w:t>
      </w:r>
    </w:p>
    <w:p w14:paraId="28BD5D60" w14:textId="77777777" w:rsidR="00617285" w:rsidRPr="00545EC0" w:rsidRDefault="00617285" w:rsidP="00DD37C5">
      <w:pPr>
        <w:numPr>
          <w:ilvl w:val="0"/>
          <w:numId w:val="62"/>
        </w:numPr>
        <w:tabs>
          <w:tab w:val="num" w:pos="567"/>
          <w:tab w:val="left" w:pos="9600"/>
        </w:tabs>
        <w:overflowPunct/>
        <w:autoSpaceDE/>
        <w:autoSpaceDN/>
        <w:adjustRightInd/>
        <w:spacing w:before="120"/>
        <w:ind w:left="357" w:hanging="357"/>
        <w:textAlignment w:val="auto"/>
        <w:rPr>
          <w:rFonts w:cs="Arial"/>
          <w:szCs w:val="20"/>
        </w:rPr>
      </w:pPr>
      <w:r w:rsidRPr="00545EC0">
        <w:rPr>
          <w:rFonts w:cs="Arial"/>
          <w:szCs w:val="20"/>
        </w:rPr>
        <w:t>0,73 kg fosforja na leto  ( 2 g na prebivalca na dan) in</w:t>
      </w:r>
    </w:p>
    <w:p w14:paraId="03B3FCE0" w14:textId="77777777" w:rsidR="00617285" w:rsidRPr="00545EC0" w:rsidRDefault="00617285" w:rsidP="00DD37C5">
      <w:pPr>
        <w:numPr>
          <w:ilvl w:val="0"/>
          <w:numId w:val="62"/>
        </w:numPr>
        <w:tabs>
          <w:tab w:val="num" w:pos="567"/>
          <w:tab w:val="left" w:pos="9600"/>
        </w:tabs>
        <w:overflowPunct/>
        <w:autoSpaceDE/>
        <w:autoSpaceDN/>
        <w:adjustRightInd/>
        <w:spacing w:before="120"/>
        <w:ind w:left="357" w:hanging="357"/>
        <w:textAlignment w:val="auto"/>
        <w:rPr>
          <w:rFonts w:cs="Arial"/>
          <w:szCs w:val="20"/>
        </w:rPr>
      </w:pPr>
      <w:r w:rsidRPr="00545EC0">
        <w:rPr>
          <w:rFonts w:cs="Arial"/>
          <w:szCs w:val="20"/>
        </w:rPr>
        <w:t>21,9 kg biokemijske potrebe po kisiku na leto (60 g na prebivalca na dan).</w:t>
      </w:r>
    </w:p>
    <w:p w14:paraId="2AF8DE6A" w14:textId="77777777" w:rsidR="00617285" w:rsidRPr="00545EC0" w:rsidRDefault="00617285" w:rsidP="00AD4FE7">
      <w:pPr>
        <w:rPr>
          <w:rFonts w:cs="Arial"/>
        </w:rPr>
      </w:pPr>
    </w:p>
    <w:p w14:paraId="28795576" w14:textId="77777777" w:rsidR="00617285" w:rsidRPr="00545EC0" w:rsidRDefault="00617285" w:rsidP="00AD4FE7">
      <w:pPr>
        <w:rPr>
          <w:rFonts w:cs="Arial"/>
          <w:szCs w:val="20"/>
        </w:rPr>
      </w:pPr>
      <w:r w:rsidRPr="00545EC0">
        <w:rPr>
          <w:rFonts w:cs="Arial"/>
          <w:szCs w:val="20"/>
        </w:rPr>
        <w:t>Ocenjeno je, da so pomembne obremenitve iz točkovnih virov komunalne odpadne vode prisotne na vodnih telesih površinskih voda, kjer velja, da so prisotni izpusti iz javnega kanalizacijskega omrežja, ki ni zaključeno s KČN. Glede na to, da na podlagi razpoložljivih podatkov ni mogoče dovolj zanesljivo določiti mest izpustov iz teh javnih kanalizacijskih omrežij, je obremenitev iz teh virov podrobneje obravnavana v okviru razpršenega onesnaževanja zaradi poselitve.</w:t>
      </w:r>
    </w:p>
    <w:p w14:paraId="51D0583F" w14:textId="77777777" w:rsidR="00617285" w:rsidRPr="00545EC0" w:rsidRDefault="00617285" w:rsidP="00AD4FE7">
      <w:pPr>
        <w:rPr>
          <w:rFonts w:cs="Arial"/>
          <w:szCs w:val="20"/>
        </w:rPr>
      </w:pPr>
    </w:p>
    <w:p w14:paraId="40D6548F" w14:textId="0CB2F692" w:rsidR="00617285" w:rsidRPr="00545EC0" w:rsidRDefault="00617285" w:rsidP="00AD4FE7">
      <w:pPr>
        <w:rPr>
          <w:rFonts w:cs="Arial"/>
          <w:szCs w:val="20"/>
        </w:rPr>
      </w:pPr>
      <w:r w:rsidRPr="00545EC0">
        <w:rPr>
          <w:rFonts w:cs="Arial"/>
          <w:szCs w:val="20"/>
        </w:rPr>
        <w:t xml:space="preserve">Zaradi omejenega števila podatkov o izmerjenih emisijah obravnavanih kovin na iztokih iz KČN ni mogoča zanesljiva validacija emisijskih faktorjev za slovenske razmere. Glede na navedeno imajo ocene nizko stopnjo zaupanja in tako ni mogoče zanesljivo opredeliti pomembnih obremenitev zaradi emisij pri odvajanju komunalne odpadne vode. </w:t>
      </w:r>
    </w:p>
    <w:p w14:paraId="72B51E33" w14:textId="77777777" w:rsidR="0065595A" w:rsidRPr="00545EC0" w:rsidRDefault="0065595A" w:rsidP="00AD4FE7">
      <w:pPr>
        <w:rPr>
          <w:rFonts w:cs="Arial"/>
          <w:szCs w:val="20"/>
        </w:rPr>
      </w:pPr>
    </w:p>
    <w:p w14:paraId="1364465F" w14:textId="6DC1F162" w:rsidR="00C621F3" w:rsidRPr="00545EC0" w:rsidRDefault="00C621F3" w:rsidP="00C621F3">
      <w:pPr>
        <w:rPr>
          <w:b/>
          <w:i/>
        </w:rPr>
      </w:pPr>
      <w:r w:rsidRPr="00545EC0">
        <w:rPr>
          <w:b/>
          <w:i/>
        </w:rPr>
        <w:t>Prikaz obremenitev vodnih teles podzemnih voda</w:t>
      </w:r>
    </w:p>
    <w:p w14:paraId="0C88CDCA" w14:textId="77777777" w:rsidR="0065595A" w:rsidRPr="00545EC0" w:rsidRDefault="0065595A" w:rsidP="00AD4FE7">
      <w:pPr>
        <w:rPr>
          <w:rFonts w:cs="Arial"/>
          <w:szCs w:val="20"/>
        </w:rPr>
      </w:pPr>
    </w:p>
    <w:p w14:paraId="36D17331" w14:textId="772EB362" w:rsidR="00AD4FE7" w:rsidRPr="00545EC0" w:rsidRDefault="00AD4FE7" w:rsidP="00AD4FE7">
      <w:pPr>
        <w:spacing w:before="120" w:after="120"/>
        <w:rPr>
          <w:rFonts w:cstheme="minorHAnsi"/>
        </w:rPr>
      </w:pPr>
      <w:r w:rsidRPr="00545EC0">
        <w:rPr>
          <w:rFonts w:cstheme="minorHAnsi"/>
        </w:rPr>
        <w:t xml:space="preserve">Za opredelitev obremenitev KČN na podzemno vode </w:t>
      </w:r>
      <w:r w:rsidR="00FD74B0" w:rsidRPr="00545EC0">
        <w:rPr>
          <w:rFonts w:cstheme="minorHAnsi"/>
        </w:rPr>
        <w:t xml:space="preserve">so </w:t>
      </w:r>
      <w:r w:rsidRPr="00545EC0">
        <w:rPr>
          <w:rFonts w:cstheme="minorHAnsi"/>
        </w:rPr>
        <w:t>upošteva</w:t>
      </w:r>
      <w:r w:rsidR="00FD74B0" w:rsidRPr="00545EC0">
        <w:rPr>
          <w:rFonts w:cstheme="minorHAnsi"/>
        </w:rPr>
        <w:t>ne</w:t>
      </w:r>
      <w:r w:rsidRPr="00545EC0">
        <w:rPr>
          <w:rFonts w:cstheme="minorHAnsi"/>
        </w:rPr>
        <w:t xml:space="preserve"> le tiste KČN, ki </w:t>
      </w:r>
      <w:r w:rsidR="00FD74B0" w:rsidRPr="00545EC0">
        <w:rPr>
          <w:rFonts w:cstheme="minorHAnsi"/>
        </w:rPr>
        <w:t>posredno odvajajo odpadne vode v podzemne vode (</w:t>
      </w:r>
      <w:r w:rsidRPr="00545EC0">
        <w:rPr>
          <w:rFonts w:cstheme="minorHAnsi"/>
        </w:rPr>
        <w:t>iztok v tla</w:t>
      </w:r>
      <w:r w:rsidR="00FD74B0" w:rsidRPr="00545EC0">
        <w:rPr>
          <w:rFonts w:cstheme="minorHAnsi"/>
        </w:rPr>
        <w:t>)</w:t>
      </w:r>
      <w:r w:rsidRPr="00545EC0">
        <w:rPr>
          <w:rFonts w:cstheme="minorHAnsi"/>
        </w:rPr>
        <w:t xml:space="preserve"> ali v vodotoke, ki ponikajo v tla. V obdobju med 2012 do 2017 je v Sloveniji delovalo 143 KČN</w:t>
      </w:r>
      <w:r w:rsidR="00251748" w:rsidRPr="00545EC0">
        <w:rPr>
          <w:rFonts w:cstheme="minorHAnsi"/>
        </w:rPr>
        <w:t>,</w:t>
      </w:r>
      <w:r w:rsidRPr="00545EC0">
        <w:rPr>
          <w:rFonts w:cstheme="minorHAnsi"/>
        </w:rPr>
        <w:t xml:space="preserve"> </w:t>
      </w:r>
      <w:r w:rsidR="00034C49" w:rsidRPr="00545EC0">
        <w:rPr>
          <w:rFonts w:cstheme="minorHAnsi"/>
        </w:rPr>
        <w:t>ki so odvajale odpadne vode posredno v podzemne vode inv</w:t>
      </w:r>
      <w:r w:rsidR="00251748" w:rsidRPr="00545EC0">
        <w:rPr>
          <w:rFonts w:cstheme="minorHAnsi"/>
        </w:rPr>
        <w:t xml:space="preserve"> vodotok, ki ponika. </w:t>
      </w:r>
      <w:r w:rsidRPr="00545EC0">
        <w:rPr>
          <w:rFonts w:cstheme="minorHAnsi"/>
        </w:rPr>
        <w:t xml:space="preserve">V obdobju od leta 2012-2017 se povečuje število KČN z iztokom v tla in </w:t>
      </w:r>
      <w:r w:rsidR="00251748" w:rsidRPr="00545EC0">
        <w:rPr>
          <w:rFonts w:cstheme="minorHAnsi"/>
        </w:rPr>
        <w:t xml:space="preserve">v </w:t>
      </w:r>
      <w:r w:rsidRPr="00545EC0">
        <w:rPr>
          <w:rFonts w:cstheme="minorHAnsi"/>
        </w:rPr>
        <w:t xml:space="preserve">vodotok, ki ponika v tla. Pomemben porast števila KČN je na vodnih telesih podzemne vode Dolenjski kras (1011), Kraška Ljubljanica (1010), Savska kotlina in Ljubljansko Barje (1001) na VO Donave. Razlog za to je razpršena poselitev na teh območjih in oteženo povezovanje v večje kanalizacijske sisteme, zato je tudi kapaciteta čistilnih naprav manjša. Večina KČN je pod 5000 PE. </w:t>
      </w:r>
    </w:p>
    <w:p w14:paraId="1C3CFBF0" w14:textId="5C51BF42" w:rsidR="00AD4FE7" w:rsidRPr="00545EC0" w:rsidRDefault="00AD4FE7" w:rsidP="00AD4FE7">
      <w:pPr>
        <w:spacing w:before="120" w:after="120"/>
        <w:rPr>
          <w:rFonts w:cstheme="minorHAnsi"/>
        </w:rPr>
      </w:pPr>
      <w:r w:rsidRPr="00545EC0">
        <w:rPr>
          <w:rFonts w:cstheme="minorHAnsi"/>
        </w:rPr>
        <w:t xml:space="preserve">Na VO Donava so se emisije </w:t>
      </w:r>
      <w:r w:rsidR="00034C49" w:rsidRPr="00545EC0">
        <w:rPr>
          <w:rFonts w:cstheme="minorHAnsi"/>
        </w:rPr>
        <w:t xml:space="preserve">celotnega dušika </w:t>
      </w:r>
      <w:r w:rsidRPr="00545EC0">
        <w:rPr>
          <w:rFonts w:cstheme="minorHAnsi"/>
        </w:rPr>
        <w:t xml:space="preserve">iz KČN </w:t>
      </w:r>
      <w:r w:rsidR="00034C49" w:rsidRPr="00545EC0">
        <w:rPr>
          <w:rFonts w:cstheme="minorHAnsi"/>
        </w:rPr>
        <w:t xml:space="preserve">ki odvajajo odpadne vode </w:t>
      </w:r>
      <w:r w:rsidRPr="00545EC0">
        <w:rPr>
          <w:rFonts w:cstheme="minorHAnsi"/>
        </w:rPr>
        <w:t>v vodotok, ki ponika, v obdobju 2012 – 2017 zmanjšale za okoli 70,0 t N/leto (ocenjen padajoč trend). Na VTP</w:t>
      </w:r>
      <w:r w:rsidR="00034C49" w:rsidRPr="00545EC0">
        <w:rPr>
          <w:rFonts w:cstheme="minorHAnsi"/>
        </w:rPr>
        <w:t>od</w:t>
      </w:r>
      <w:r w:rsidRPr="00545EC0">
        <w:rPr>
          <w:rFonts w:cstheme="minorHAnsi"/>
        </w:rPr>
        <w:t xml:space="preserve">V Kraška Ljubljanica (1010) in Dolenjski kras (1011) so med 2007 - 2014 emisije </w:t>
      </w:r>
      <w:r w:rsidR="00034C49" w:rsidRPr="00545EC0">
        <w:rPr>
          <w:rFonts w:cstheme="minorHAnsi"/>
        </w:rPr>
        <w:t xml:space="preserve">dušika </w:t>
      </w:r>
      <w:r w:rsidRPr="00545EC0">
        <w:rPr>
          <w:rFonts w:cstheme="minorHAnsi"/>
        </w:rPr>
        <w:t>nihale okoli 50 - 80 t N/leto, po letu 2014 pa se zmanjšujejo in so se zmanjšale na okoli 20 - 30 t N/leto (</w:t>
      </w:r>
      <w:r w:rsidRPr="00545EC0">
        <w:rPr>
          <w:rFonts w:cstheme="minorHAnsi"/>
        </w:rPr>
        <w:fldChar w:fldCharType="begin"/>
      </w:r>
      <w:r w:rsidRPr="00545EC0">
        <w:rPr>
          <w:rFonts w:cstheme="minorHAnsi"/>
        </w:rPr>
        <w:instrText xml:space="preserve"> REF _Ref84339919 \h </w:instrText>
      </w:r>
      <w:r w:rsidR="00F37A91" w:rsidRPr="00545EC0">
        <w:rPr>
          <w:rFonts w:cstheme="minorHAnsi"/>
        </w:rPr>
        <w:instrText xml:space="preserve"> \* MERGEFORMAT </w:instrText>
      </w:r>
      <w:r w:rsidRPr="00545EC0">
        <w:rPr>
          <w:rFonts w:cstheme="minorHAnsi"/>
        </w:rPr>
      </w:r>
      <w:r w:rsidRPr="00545EC0">
        <w:rPr>
          <w:rFonts w:cstheme="minorHAnsi"/>
        </w:rPr>
        <w:fldChar w:fldCharType="separate"/>
      </w:r>
      <w:r w:rsidR="002F3E43" w:rsidRPr="00545EC0">
        <w:t xml:space="preserve">Slika </w:t>
      </w:r>
      <w:r w:rsidR="002F3E43">
        <w:rPr>
          <w:noProof/>
        </w:rPr>
        <w:t>2</w:t>
      </w:r>
      <w:r w:rsidR="002F3E43" w:rsidRPr="00545EC0">
        <w:rPr>
          <w:noProof/>
        </w:rPr>
        <w:noBreakHyphen/>
      </w:r>
      <w:r w:rsidR="002F3E43">
        <w:rPr>
          <w:noProof/>
        </w:rPr>
        <w:t>4</w:t>
      </w:r>
      <w:r w:rsidRPr="00545EC0">
        <w:rPr>
          <w:rFonts w:cstheme="minorHAnsi"/>
        </w:rPr>
        <w:fldChar w:fldCharType="end"/>
      </w:r>
      <w:r w:rsidRPr="00545EC0">
        <w:rPr>
          <w:rFonts w:cstheme="minorHAnsi"/>
        </w:rPr>
        <w:t>). Razlog za zmanjšanje je v bolj učinkovitem čiščenju odpadne vode.</w:t>
      </w:r>
    </w:p>
    <w:p w14:paraId="6A99F78F" w14:textId="77777777" w:rsidR="00AD4FE7" w:rsidRPr="00545EC0" w:rsidRDefault="00AD4FE7" w:rsidP="00AD4FE7"/>
    <w:p w14:paraId="2FBB0CD4" w14:textId="77777777" w:rsidR="00AD4FE7" w:rsidRPr="00545EC0" w:rsidRDefault="00AD4FE7" w:rsidP="00AD4FE7">
      <w:pPr>
        <w:keepNext/>
        <w:spacing w:after="120"/>
      </w:pPr>
      <w:r w:rsidRPr="00545EC0">
        <w:rPr>
          <w:rFonts w:cstheme="minorHAnsi"/>
          <w:noProof/>
        </w:rPr>
        <w:lastRenderedPageBreak/>
        <w:drawing>
          <wp:inline distT="0" distB="0" distL="0" distR="0" wp14:anchorId="785CE779" wp14:editId="623291E1">
            <wp:extent cx="5715000" cy="3290887"/>
            <wp:effectExtent l="19050" t="19050" r="19050" b="2413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22367" cy="3295129"/>
                    </a:xfrm>
                    <a:prstGeom prst="rect">
                      <a:avLst/>
                    </a:prstGeom>
                    <a:noFill/>
                    <a:ln>
                      <a:solidFill>
                        <a:schemeClr val="bg1">
                          <a:lumMod val="85000"/>
                        </a:schemeClr>
                      </a:solidFill>
                    </a:ln>
                  </pic:spPr>
                </pic:pic>
              </a:graphicData>
            </a:graphic>
          </wp:inline>
        </w:drawing>
      </w:r>
    </w:p>
    <w:p w14:paraId="35E7FFBA" w14:textId="793AF1E5" w:rsidR="00AD4FE7" w:rsidRPr="00545EC0" w:rsidRDefault="00AD4FE7" w:rsidP="00AD4FE7">
      <w:pPr>
        <w:pStyle w:val="Napis"/>
        <w:rPr>
          <w:rFonts w:cstheme="minorHAnsi"/>
        </w:rPr>
      </w:pPr>
      <w:bookmarkStart w:id="148" w:name="_Ref84339919"/>
      <w:r w:rsidRPr="00545EC0">
        <w:t xml:space="preserve">Slika </w:t>
      </w:r>
      <w:fldSimple w:instr=" STYLEREF 1 \s ">
        <w:r w:rsidR="002F3E43">
          <w:rPr>
            <w:noProof/>
          </w:rPr>
          <w:t>2</w:t>
        </w:r>
      </w:fldSimple>
      <w:r w:rsidR="00396E1E" w:rsidRPr="00545EC0">
        <w:noBreakHyphen/>
      </w:r>
      <w:fldSimple w:instr=" SEQ Slika \* ARABIC \s 1 ">
        <w:r w:rsidR="002F3E43">
          <w:rPr>
            <w:noProof/>
          </w:rPr>
          <w:t>4</w:t>
        </w:r>
      </w:fldSimple>
      <w:bookmarkEnd w:id="148"/>
      <w:r w:rsidRPr="00545EC0">
        <w:t xml:space="preserve">: Emisije </w:t>
      </w:r>
      <w:r w:rsidR="00A86904" w:rsidRPr="00545EC0">
        <w:t xml:space="preserve">dušika </w:t>
      </w:r>
      <w:r w:rsidRPr="00545EC0">
        <w:t>iz KČN</w:t>
      </w:r>
      <w:r w:rsidR="00A86904" w:rsidRPr="00545EC0">
        <w:t>,</w:t>
      </w:r>
      <w:r w:rsidRPr="00545EC0">
        <w:t xml:space="preserve"> </w:t>
      </w:r>
      <w:r w:rsidR="00A86904" w:rsidRPr="00545EC0">
        <w:t xml:space="preserve">ki posredno odvajajo odpadno vodo v podzemno vodo zaradi </w:t>
      </w:r>
      <w:r w:rsidRPr="00545EC0">
        <w:t>iztok</w:t>
      </w:r>
      <w:r w:rsidR="00A86904" w:rsidRPr="00545EC0">
        <w:t>a</w:t>
      </w:r>
      <w:r w:rsidRPr="00545EC0">
        <w:t xml:space="preserve"> v vodotok, ki ponika na VO Donava</w:t>
      </w:r>
    </w:p>
    <w:p w14:paraId="204A4CD4" w14:textId="48106B21" w:rsidR="00AD4FE7" w:rsidRPr="00545EC0" w:rsidRDefault="00AD4FE7" w:rsidP="00AD4FE7">
      <w:pPr>
        <w:spacing w:before="120" w:after="120"/>
        <w:rPr>
          <w:rFonts w:cstheme="minorHAnsi"/>
        </w:rPr>
      </w:pPr>
      <w:r w:rsidRPr="00545EC0">
        <w:rPr>
          <w:rFonts w:cstheme="minorHAnsi"/>
        </w:rPr>
        <w:t>Na VO Donave emisije fosforja iz KČN</w:t>
      </w:r>
      <w:r w:rsidR="00FD74B0" w:rsidRPr="00545EC0">
        <w:rPr>
          <w:rFonts w:cstheme="minorHAnsi"/>
        </w:rPr>
        <w:t>, ki posredno odvajajo odpadne vode v podzemne vode</w:t>
      </w:r>
      <w:r w:rsidRPr="00545EC0">
        <w:rPr>
          <w:rFonts w:cstheme="minorHAnsi"/>
        </w:rPr>
        <w:t xml:space="preserve"> v obdobju od 2012 – 2017 nimajo </w:t>
      </w:r>
      <w:r w:rsidR="00FD74B0" w:rsidRPr="00545EC0">
        <w:rPr>
          <w:rFonts w:cstheme="minorHAnsi"/>
        </w:rPr>
        <w:t xml:space="preserve">statistično značilnega </w:t>
      </w:r>
      <w:r w:rsidRPr="00545EC0">
        <w:rPr>
          <w:rFonts w:cstheme="minorHAnsi"/>
        </w:rPr>
        <w:t xml:space="preserve">trenda in opazujemo nihanje </w:t>
      </w:r>
      <w:r w:rsidR="00FD74B0" w:rsidRPr="00545EC0">
        <w:rPr>
          <w:rFonts w:cstheme="minorHAnsi"/>
        </w:rPr>
        <w:t xml:space="preserve">emisij </w:t>
      </w:r>
      <w:r w:rsidRPr="00545EC0">
        <w:rPr>
          <w:rFonts w:cstheme="minorHAnsi"/>
        </w:rPr>
        <w:t xml:space="preserve">v </w:t>
      </w:r>
      <w:r w:rsidR="00FD74B0" w:rsidRPr="00545EC0">
        <w:rPr>
          <w:rFonts w:cstheme="minorHAnsi"/>
        </w:rPr>
        <w:t>iztokih</w:t>
      </w:r>
      <w:r w:rsidRPr="00545EC0">
        <w:rPr>
          <w:rFonts w:cstheme="minorHAnsi"/>
        </w:rPr>
        <w:t>. Največj</w:t>
      </w:r>
      <w:r w:rsidR="00FD74B0" w:rsidRPr="00545EC0">
        <w:rPr>
          <w:rFonts w:cstheme="minorHAnsi"/>
        </w:rPr>
        <w:t>e emisije fosforja</w:t>
      </w:r>
      <w:r w:rsidRPr="00545EC0">
        <w:rPr>
          <w:rFonts w:cstheme="minorHAnsi"/>
        </w:rPr>
        <w:t xml:space="preserve"> v iz</w:t>
      </w:r>
      <w:r w:rsidR="00FD74B0" w:rsidRPr="00545EC0">
        <w:rPr>
          <w:rFonts w:cstheme="minorHAnsi"/>
        </w:rPr>
        <w:t>tokih</w:t>
      </w:r>
      <w:r w:rsidRPr="00545EC0">
        <w:rPr>
          <w:rFonts w:cstheme="minorHAnsi"/>
        </w:rPr>
        <w:t xml:space="preserve"> </w:t>
      </w:r>
      <w:r w:rsidR="00FD74B0" w:rsidRPr="00545EC0">
        <w:rPr>
          <w:rFonts w:cstheme="minorHAnsi"/>
        </w:rPr>
        <w:t xml:space="preserve">so ocenjene </w:t>
      </w:r>
      <w:r w:rsidRPr="00545EC0">
        <w:rPr>
          <w:rFonts w:cstheme="minorHAnsi"/>
        </w:rPr>
        <w:t xml:space="preserve">na </w:t>
      </w:r>
      <w:r w:rsidR="00FD74B0" w:rsidRPr="00545EC0">
        <w:rPr>
          <w:rFonts w:cstheme="minorHAnsi"/>
        </w:rPr>
        <w:t xml:space="preserve">VTPodV </w:t>
      </w:r>
      <w:r w:rsidRPr="00545EC0">
        <w:rPr>
          <w:rFonts w:cstheme="minorHAnsi"/>
        </w:rPr>
        <w:t>Krška kotlina (1003)</w:t>
      </w:r>
      <w:r w:rsidR="00A86904" w:rsidRPr="00545EC0">
        <w:rPr>
          <w:rFonts w:cstheme="minorHAnsi"/>
        </w:rPr>
        <w:t xml:space="preserve"> in VTPodV Dolenjski kras (1011). </w:t>
      </w:r>
      <w:r w:rsidRPr="00545EC0">
        <w:rPr>
          <w:rFonts w:cstheme="minorHAnsi"/>
        </w:rPr>
        <w:t>(</w:t>
      </w:r>
      <w:r w:rsidRPr="00545EC0">
        <w:rPr>
          <w:rFonts w:cstheme="minorHAnsi"/>
        </w:rPr>
        <w:fldChar w:fldCharType="begin"/>
      </w:r>
      <w:r w:rsidRPr="00545EC0">
        <w:rPr>
          <w:rFonts w:cstheme="minorHAnsi"/>
        </w:rPr>
        <w:instrText xml:space="preserve"> REF _Ref84339978 \h </w:instrText>
      </w:r>
      <w:r w:rsidR="00F37A91" w:rsidRPr="00545EC0">
        <w:rPr>
          <w:rFonts w:cstheme="minorHAnsi"/>
        </w:rPr>
        <w:instrText xml:space="preserve"> \* MERGEFORMAT </w:instrText>
      </w:r>
      <w:r w:rsidRPr="00545EC0">
        <w:rPr>
          <w:rFonts w:cstheme="minorHAnsi"/>
        </w:rPr>
      </w:r>
      <w:r w:rsidRPr="00545EC0">
        <w:rPr>
          <w:rFonts w:cstheme="minorHAnsi"/>
        </w:rPr>
        <w:fldChar w:fldCharType="separate"/>
      </w:r>
      <w:r w:rsidR="002F3E43" w:rsidRPr="00545EC0">
        <w:t xml:space="preserve">Slika </w:t>
      </w:r>
      <w:r w:rsidR="002F3E43">
        <w:rPr>
          <w:noProof/>
        </w:rPr>
        <w:t>2</w:t>
      </w:r>
      <w:r w:rsidR="002F3E43" w:rsidRPr="00545EC0">
        <w:rPr>
          <w:noProof/>
        </w:rPr>
        <w:noBreakHyphen/>
      </w:r>
      <w:r w:rsidR="002F3E43">
        <w:rPr>
          <w:noProof/>
        </w:rPr>
        <w:t>5</w:t>
      </w:r>
      <w:r w:rsidRPr="00545EC0">
        <w:rPr>
          <w:rFonts w:cstheme="minorHAnsi"/>
        </w:rPr>
        <w:fldChar w:fldCharType="end"/>
      </w:r>
      <w:r w:rsidRPr="00545EC0">
        <w:rPr>
          <w:rFonts w:cstheme="minorHAnsi"/>
        </w:rPr>
        <w:t xml:space="preserve">).. Na </w:t>
      </w:r>
      <w:r w:rsidR="00A86904" w:rsidRPr="00545EC0">
        <w:rPr>
          <w:rFonts w:cstheme="minorHAnsi"/>
        </w:rPr>
        <w:t xml:space="preserve">VTPodV </w:t>
      </w:r>
      <w:r w:rsidRPr="00545EC0">
        <w:rPr>
          <w:rFonts w:cstheme="minorHAnsi"/>
        </w:rPr>
        <w:t>Kraška Ljubljanica (1010), Savska kotlina in Ljubljansko Barje (1001) je v obdobju 2012 – 2017 ocenjeno rahlo naraščanje emisij</w:t>
      </w:r>
      <w:r w:rsidR="00A86904" w:rsidRPr="00545EC0">
        <w:rPr>
          <w:rFonts w:cstheme="minorHAnsi"/>
        </w:rPr>
        <w:t>i</w:t>
      </w:r>
      <w:r w:rsidRPr="00545EC0">
        <w:rPr>
          <w:rFonts w:cstheme="minorHAnsi"/>
        </w:rPr>
        <w:t xml:space="preserve"> </w:t>
      </w:r>
      <w:r w:rsidR="00A86904" w:rsidRPr="00545EC0">
        <w:rPr>
          <w:rFonts w:cstheme="minorHAnsi"/>
        </w:rPr>
        <w:t>fosforja zaradi posrednega odvajanja odpadne vode v podzemno vodo</w:t>
      </w:r>
      <w:r w:rsidRPr="00545EC0">
        <w:rPr>
          <w:rFonts w:cstheme="minorHAnsi"/>
        </w:rPr>
        <w:t xml:space="preserve">, kjer pa </w:t>
      </w:r>
      <w:r w:rsidR="00A86904" w:rsidRPr="00545EC0">
        <w:rPr>
          <w:rFonts w:cstheme="minorHAnsi"/>
        </w:rPr>
        <w:t>skupne emisije fosforja</w:t>
      </w:r>
      <w:r w:rsidRPr="00545EC0">
        <w:rPr>
          <w:rFonts w:cstheme="minorHAnsi"/>
        </w:rPr>
        <w:t xml:space="preserve"> ne preseže</w:t>
      </w:r>
      <w:r w:rsidR="00A86904" w:rsidRPr="00545EC0">
        <w:rPr>
          <w:rFonts w:cstheme="minorHAnsi"/>
        </w:rPr>
        <w:t>jo</w:t>
      </w:r>
      <w:r w:rsidRPr="00545EC0">
        <w:rPr>
          <w:rFonts w:cstheme="minorHAnsi"/>
        </w:rPr>
        <w:t xml:space="preserve"> 1,0 t/leto.</w:t>
      </w:r>
    </w:p>
    <w:p w14:paraId="5D7214B7" w14:textId="77777777" w:rsidR="00AD4FE7" w:rsidRPr="00545EC0" w:rsidRDefault="00AD4FE7" w:rsidP="00AD4FE7">
      <w:pPr>
        <w:keepNext/>
        <w:spacing w:after="120"/>
      </w:pPr>
      <w:r w:rsidRPr="00545EC0">
        <w:rPr>
          <w:rFonts w:cstheme="minorHAnsi"/>
          <w:noProof/>
        </w:rPr>
        <w:drawing>
          <wp:inline distT="0" distB="0" distL="0" distR="0" wp14:anchorId="035841C0" wp14:editId="6947A4D0">
            <wp:extent cx="5746750" cy="3342693"/>
            <wp:effectExtent l="19050" t="19050" r="25400" b="1016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3538" cy="3346642"/>
                    </a:xfrm>
                    <a:prstGeom prst="rect">
                      <a:avLst/>
                    </a:prstGeom>
                    <a:noFill/>
                    <a:ln>
                      <a:solidFill>
                        <a:schemeClr val="bg1">
                          <a:lumMod val="85000"/>
                        </a:schemeClr>
                      </a:solidFill>
                    </a:ln>
                  </pic:spPr>
                </pic:pic>
              </a:graphicData>
            </a:graphic>
          </wp:inline>
        </w:drawing>
      </w:r>
    </w:p>
    <w:p w14:paraId="7C91970E" w14:textId="7B513E1E" w:rsidR="00AD4FE7" w:rsidRPr="00545EC0" w:rsidRDefault="00AD4FE7" w:rsidP="00AD4FE7">
      <w:pPr>
        <w:pStyle w:val="Napis"/>
        <w:spacing w:after="120"/>
      </w:pPr>
      <w:bookmarkStart w:id="149" w:name="_Ref84339978"/>
      <w:r w:rsidRPr="00545EC0">
        <w:t xml:space="preserve">Slika </w:t>
      </w:r>
      <w:fldSimple w:instr=" STYLEREF 1 \s ">
        <w:r w:rsidR="002F3E43">
          <w:rPr>
            <w:noProof/>
          </w:rPr>
          <w:t>2</w:t>
        </w:r>
      </w:fldSimple>
      <w:r w:rsidR="00396E1E" w:rsidRPr="00545EC0">
        <w:noBreakHyphen/>
      </w:r>
      <w:fldSimple w:instr=" SEQ Slika \* ARABIC \s 1 ">
        <w:r w:rsidR="002F3E43">
          <w:rPr>
            <w:noProof/>
          </w:rPr>
          <w:t>5</w:t>
        </w:r>
      </w:fldSimple>
      <w:bookmarkEnd w:id="149"/>
      <w:r w:rsidRPr="00545EC0">
        <w:t xml:space="preserve">: Emisije </w:t>
      </w:r>
      <w:r w:rsidR="00FD74B0" w:rsidRPr="00545EC0">
        <w:t>fosforja</w:t>
      </w:r>
      <w:r w:rsidRPr="00545EC0">
        <w:t xml:space="preserve"> iz KČN</w:t>
      </w:r>
      <w:r w:rsidR="00FD74B0" w:rsidRPr="00545EC0">
        <w:t>, ki posredno odvajajo odpadno vodo v podzemno vodo (t.i.</w:t>
      </w:r>
      <w:r w:rsidRPr="00545EC0">
        <w:t xml:space="preserve"> iztok v tla</w:t>
      </w:r>
      <w:r w:rsidR="00FD74B0" w:rsidRPr="00545EC0">
        <w:t>)</w:t>
      </w:r>
      <w:r w:rsidRPr="00545EC0">
        <w:t xml:space="preserve"> na </w:t>
      </w:r>
      <w:r w:rsidR="00FD74B0" w:rsidRPr="00545EC0">
        <w:t xml:space="preserve">vodnih telesih podzemnih voda na </w:t>
      </w:r>
      <w:r w:rsidRPr="00545EC0">
        <w:t>VO Donava.</w:t>
      </w:r>
    </w:p>
    <w:p w14:paraId="5F7E9864" w14:textId="77777777" w:rsidR="006801A6" w:rsidRPr="00545EC0" w:rsidRDefault="006801A6" w:rsidP="00AD4FE7">
      <w:pPr>
        <w:pStyle w:val="Naslov4"/>
        <w:rPr>
          <w:color w:val="auto"/>
          <w:lang w:val="sl-SI"/>
        </w:rPr>
      </w:pPr>
      <w:r w:rsidRPr="00545EC0">
        <w:rPr>
          <w:color w:val="auto"/>
        </w:rPr>
        <w:lastRenderedPageBreak/>
        <w:t>Točkovni viri onesnaževanja zaradi uhajanje snovi iz v preteklosti onesnaženih območij</w:t>
      </w:r>
    </w:p>
    <w:p w14:paraId="0EF0C374" w14:textId="77777777" w:rsidR="00617285" w:rsidRPr="00545EC0" w:rsidRDefault="00617285" w:rsidP="00AD4FE7">
      <w:pPr>
        <w:rPr>
          <w:lang w:eastAsia="ja-JP"/>
        </w:rPr>
      </w:pPr>
      <w:r w:rsidRPr="00545EC0">
        <w:rPr>
          <w:lang w:eastAsia="ja-JP"/>
        </w:rPr>
        <w:t xml:space="preserve">V preteklosti onesnažena območja so lahko točkovni vir onesnaževanja površinskih voda zaradi uhajanja snovi iz v preteklosti onesnaženih sedimentov ali zaradi uhajanja snovi iz v preteklosti onesnaženih zemljišč. </w:t>
      </w:r>
    </w:p>
    <w:p w14:paraId="4586DF47" w14:textId="77777777" w:rsidR="00617285" w:rsidRPr="00545EC0" w:rsidRDefault="00617285" w:rsidP="00AD4FE7">
      <w:pPr>
        <w:rPr>
          <w:lang w:eastAsia="ja-JP"/>
        </w:rPr>
      </w:pPr>
    </w:p>
    <w:p w14:paraId="62309217" w14:textId="4C9D64DF" w:rsidR="00617285" w:rsidRPr="00545EC0" w:rsidRDefault="00617285" w:rsidP="00AD4FE7">
      <w:pPr>
        <w:rPr>
          <w:lang w:eastAsia="ja-JP"/>
        </w:rPr>
      </w:pPr>
      <w:r w:rsidRPr="00545EC0">
        <w:rPr>
          <w:lang w:eastAsia="ja-JP"/>
        </w:rPr>
        <w:t>Območja, kjer se lahko pričakuje onesnaženost zemljišč, so lahko območja različnih dejavnosti, od rudarskih obratov, odlagališč odpadkov, letališča, pristanišča, nekdanj</w:t>
      </w:r>
      <w:r w:rsidR="00A86904" w:rsidRPr="00545EC0">
        <w:rPr>
          <w:lang w:eastAsia="ja-JP"/>
        </w:rPr>
        <w:t>e</w:t>
      </w:r>
      <w:r w:rsidRPr="00545EC0">
        <w:rPr>
          <w:lang w:eastAsia="ja-JP"/>
        </w:rPr>
        <w:t xml:space="preserve"> vojašk</w:t>
      </w:r>
      <w:r w:rsidR="00A86904" w:rsidRPr="00545EC0">
        <w:rPr>
          <w:lang w:eastAsia="ja-JP"/>
        </w:rPr>
        <w:t>o</w:t>
      </w:r>
      <w:r w:rsidRPr="00545EC0">
        <w:rPr>
          <w:lang w:eastAsia="ja-JP"/>
        </w:rPr>
        <w:t xml:space="preserve"> </w:t>
      </w:r>
      <w:r w:rsidR="00A86904" w:rsidRPr="00545EC0">
        <w:rPr>
          <w:lang w:eastAsia="ja-JP"/>
        </w:rPr>
        <w:t>vadbišče</w:t>
      </w:r>
      <w:r w:rsidRPr="00545EC0">
        <w:rPr>
          <w:lang w:eastAsia="ja-JP"/>
        </w:rPr>
        <w:t xml:space="preserve">, bencinske črpalke, kemične čistilnice, kmetijske dejavnosti, območja, ki so bila v preteklosti onesnažena zaradi odlaganja odpadkov. Med njimi prevladujejo odlaganje in nasipanje, industrija in dejavnosti pridobivanja mineralnih surovin. Po skupni površini prevladujejo trije tipi območij, in sicer največ je območij industrijske dejavnosti, sledijo območja odlaganja in nasipanja in območja pridobivanja mineralnih surovin. V veliko primerih gre za zanemarjena, povsem ne-vzdrževana območja. Na tovrstnih območjih so prisotna stara okoljska bremena kor tudi dodatna okoljska bremena, npr. odlagališča različnih odpadkov, ki so jih tekom let na območjih odlagali različni akterji. Pogosto so območja v slabem fizičnem stanju zaradi propadanja npr. industrijskih in skladiščnih hal in drugih objektov (Lampič B. in sod., 2021). </w:t>
      </w:r>
    </w:p>
    <w:p w14:paraId="7C615A63" w14:textId="77777777" w:rsidR="00617285" w:rsidRPr="00545EC0" w:rsidRDefault="00617285" w:rsidP="00AD4FE7">
      <w:pPr>
        <w:rPr>
          <w:lang w:eastAsia="ja-JP"/>
        </w:rPr>
      </w:pPr>
    </w:p>
    <w:p w14:paraId="14D64326" w14:textId="33481569" w:rsidR="00907F8B" w:rsidRPr="00545EC0" w:rsidRDefault="00907F8B" w:rsidP="00907F8B">
      <w:pPr>
        <w:rPr>
          <w:b/>
          <w:i/>
        </w:rPr>
      </w:pPr>
      <w:r w:rsidRPr="00545EC0">
        <w:rPr>
          <w:b/>
          <w:i/>
        </w:rPr>
        <w:t>Prikaz obremenitev vodnih teles površinskih voda</w:t>
      </w:r>
    </w:p>
    <w:p w14:paraId="49A11FB6" w14:textId="77777777" w:rsidR="00907F8B" w:rsidRPr="00545EC0" w:rsidRDefault="00907F8B" w:rsidP="00AD4FE7">
      <w:pPr>
        <w:rPr>
          <w:lang w:eastAsia="ja-JP"/>
        </w:rPr>
      </w:pPr>
    </w:p>
    <w:p w14:paraId="3DD58698" w14:textId="55A4B382" w:rsidR="00617285" w:rsidRPr="00545EC0" w:rsidRDefault="00617285" w:rsidP="00AD4FE7">
      <w:pPr>
        <w:rPr>
          <w:lang w:eastAsia="ja-JP"/>
        </w:rPr>
      </w:pPr>
      <w:r w:rsidRPr="00545EC0">
        <w:rPr>
          <w:lang w:eastAsia="ja-JP"/>
        </w:rPr>
        <w:t>Točkovni vir onesnaževanja površinskih voda zaradi uhajanja snovi iz v preteklosti onesnaženih zemljišč so lahko onesnažena industrijska območja z opuščeno industrijsko dejavnostjo, katera v preteklosti niso bila ustrezno sanirana in predstavljajo t.i. stara okoljska bremena ali območja odlaganja in nasipanja. Med slednje se uvrščajo območja komunalnih, industrijskih in rudarskih odpadkov</w:t>
      </w:r>
      <w:r w:rsidR="00251748" w:rsidRPr="00545EC0">
        <w:rPr>
          <w:lang w:eastAsia="ja-JP"/>
        </w:rPr>
        <w:t>,</w:t>
      </w:r>
      <w:r w:rsidRPr="00545EC0">
        <w:rPr>
          <w:lang w:eastAsia="ja-JP"/>
        </w:rPr>
        <w:t xml:space="preserve"> pa tudi območja neurejenih ali nelegalnih odlagališč (na primer ne-legalno odlaganje blata iz komunalnih čistilnih naprav), ki ravno tako predstavljajo možen vir onesnaževanja voda.</w:t>
      </w:r>
    </w:p>
    <w:p w14:paraId="43994E02" w14:textId="77777777" w:rsidR="00617285" w:rsidRPr="00545EC0" w:rsidRDefault="00617285" w:rsidP="00AD4FE7">
      <w:pPr>
        <w:rPr>
          <w:lang w:eastAsia="ja-JP"/>
        </w:rPr>
      </w:pPr>
    </w:p>
    <w:p w14:paraId="6B5285EE" w14:textId="399B0340" w:rsidR="00617285" w:rsidRPr="00545EC0" w:rsidRDefault="00617285" w:rsidP="00AD4FE7">
      <w:pPr>
        <w:rPr>
          <w:lang w:eastAsia="ja-JP"/>
        </w:rPr>
      </w:pPr>
      <w:r w:rsidRPr="00545EC0">
        <w:rPr>
          <w:lang w:eastAsia="ja-JP"/>
        </w:rPr>
        <w:t xml:space="preserve">Onesnaževanja površinskih voda zaradi uhajanja snovi iz v preteklosti onesnaženih zemljišč je prisotno na vodnem telesu površinskih voda SI21602VT VT Krupa. Navedeno vodno telo </w:t>
      </w:r>
      <w:r w:rsidRPr="00545EC0">
        <w:rPr>
          <w:rFonts w:cs="Arial"/>
          <w:szCs w:val="20"/>
        </w:rPr>
        <w:t xml:space="preserve">glede na oceno ekološkega stanja voda </w:t>
      </w:r>
      <w:r w:rsidR="00815EC0" w:rsidRPr="00545EC0">
        <w:rPr>
          <w:rFonts w:cs="Arial"/>
          <w:szCs w:val="20"/>
        </w:rPr>
        <w:t xml:space="preserve">ne </w:t>
      </w:r>
      <w:r w:rsidRPr="00545EC0">
        <w:rPr>
          <w:rFonts w:cs="Arial"/>
          <w:szCs w:val="20"/>
        </w:rPr>
        <w:t xml:space="preserve">dosega dobrega stanja zaradi povišanih koncentracij polikloriranih bifenilov (v nadaljnjem besedilu: PCB). Pomembna obremenitev, ki povzroča slabo stanje, je predvsem izcejanje in izpiranje PCB iz odlagališč odpadkov in iz v preteklosti onesnaženih zemljišč. </w:t>
      </w:r>
    </w:p>
    <w:p w14:paraId="57E8E82E" w14:textId="77777777" w:rsidR="00617285" w:rsidRPr="00545EC0" w:rsidRDefault="00617285" w:rsidP="00AD4FE7">
      <w:pPr>
        <w:rPr>
          <w:lang w:eastAsia="ja-JP"/>
        </w:rPr>
      </w:pPr>
    </w:p>
    <w:p w14:paraId="1DFA770C" w14:textId="77777777" w:rsidR="009E74CB" w:rsidRPr="00545EC0" w:rsidRDefault="009E74CB" w:rsidP="009E74CB">
      <w:pPr>
        <w:rPr>
          <w:rFonts w:cs="Arial"/>
          <w:bCs/>
          <w:szCs w:val="20"/>
        </w:rPr>
      </w:pPr>
      <w:r w:rsidRPr="00545EC0">
        <w:rPr>
          <w:rFonts w:cs="Arial"/>
          <w:szCs w:val="20"/>
        </w:rPr>
        <w:t xml:space="preserve">Primerjava ocenjenih podatkov o vrstah in jakostih obremenitev z oceno stanja vodnih teles površinskih voda kaže, da za vodna telesa površinskih voda z izjemo </w:t>
      </w:r>
      <w:r w:rsidRPr="00545EC0">
        <w:rPr>
          <w:lang w:eastAsia="ja-JP"/>
        </w:rPr>
        <w:t>SI21602VT VT Krupa,</w:t>
      </w:r>
      <w:r w:rsidRPr="00545EC0">
        <w:rPr>
          <w:rFonts w:cs="Arial"/>
          <w:szCs w:val="20"/>
        </w:rPr>
        <w:t xml:space="preserve"> ni mogoče zanesljivo opredeliti pomembnih obremenitev zaradi </w:t>
      </w:r>
      <w:r w:rsidRPr="00545EC0">
        <w:rPr>
          <w:rFonts w:cs="Arial"/>
          <w:bCs/>
          <w:szCs w:val="20"/>
        </w:rPr>
        <w:t>uhajanje snovi iz v preteklosti onesnaženih območij.</w:t>
      </w:r>
    </w:p>
    <w:p w14:paraId="4E6C02B0" w14:textId="77777777" w:rsidR="00907F8B" w:rsidRPr="00545EC0" w:rsidRDefault="00907F8B" w:rsidP="00AD4FE7">
      <w:pPr>
        <w:rPr>
          <w:lang w:eastAsia="ja-JP"/>
        </w:rPr>
      </w:pPr>
    </w:p>
    <w:p w14:paraId="54992396" w14:textId="18F42D4C" w:rsidR="00907F8B" w:rsidRPr="00545EC0" w:rsidRDefault="00907F8B" w:rsidP="00907F8B">
      <w:pPr>
        <w:rPr>
          <w:b/>
          <w:i/>
        </w:rPr>
      </w:pPr>
      <w:bookmarkStart w:id="150" w:name="_Toc419099235"/>
      <w:r w:rsidRPr="00545EC0">
        <w:rPr>
          <w:b/>
          <w:i/>
        </w:rPr>
        <w:t>Prikaz obremenitev vodnih teles podzemnih voda</w:t>
      </w:r>
    </w:p>
    <w:p w14:paraId="11F711A1" w14:textId="77777777" w:rsidR="00907F8B" w:rsidRPr="00545EC0" w:rsidRDefault="00907F8B" w:rsidP="00907F8B">
      <w:pPr>
        <w:rPr>
          <w:b/>
          <w:i/>
        </w:rPr>
      </w:pPr>
    </w:p>
    <w:p w14:paraId="7F25344F" w14:textId="2E3FC5D8" w:rsidR="00C232DA" w:rsidRPr="00545EC0" w:rsidRDefault="00AD4FE7" w:rsidP="00C232DA">
      <w:pPr>
        <w:pStyle w:val="Odstavekseznam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cs="Arial"/>
          <w:lang w:val="sl-SI"/>
        </w:rPr>
      </w:pPr>
      <w:r w:rsidRPr="00545EC0">
        <w:rPr>
          <w:rFonts w:cs="Arial"/>
          <w:lang w:val="sl-SI"/>
        </w:rPr>
        <w:t xml:space="preserve">Do leta 2017 je bilo v Sloveniji </w:t>
      </w:r>
      <w:r w:rsidR="00251748" w:rsidRPr="00545EC0">
        <w:rPr>
          <w:rFonts w:cs="Arial"/>
          <w:lang w:val="sl-SI"/>
        </w:rPr>
        <w:t xml:space="preserve">po podatkih Rudarske knjige </w:t>
      </w:r>
      <w:r w:rsidRPr="00545EC0">
        <w:rPr>
          <w:rFonts w:cs="Arial"/>
          <w:lang w:val="sl-SI"/>
        </w:rPr>
        <w:t>215 rudarskih objektov z rudarsko pravico (točkovni podatkovni sloj), od tega je 52 gramoznic in glinokopov (mineralna surovina: prod, prod in pesek, prod, pesek in mivka, bentonit, keramičarska glina, opekarska glina, ognjevarna glina, kreda). Rudarskih objektov z rudarsko pravico, ki ne posegajo na nobeno varovano območje narave oziroma drugo posebno območje je bilo le 20. Skupno je bilo na območjih, kjer se pričakuje možne pomembnejše obremenitve podzemne vode, 195 delujočih objektov od 272 aktivnih</w:t>
      </w:r>
      <w:r w:rsidR="00251748" w:rsidRPr="00545EC0">
        <w:rPr>
          <w:rFonts w:cs="Arial"/>
          <w:lang w:val="sl-SI"/>
        </w:rPr>
        <w:t xml:space="preserve"> nahajališč mineralnih surovin. </w:t>
      </w:r>
    </w:p>
    <w:p w14:paraId="1F4B7E7A" w14:textId="77777777" w:rsidR="00251748" w:rsidRPr="00545EC0" w:rsidRDefault="00251748" w:rsidP="00C232DA">
      <w:pPr>
        <w:pStyle w:val="Odstavekseznam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cs="Arial"/>
          <w:lang w:val="sl-SI"/>
        </w:rPr>
      </w:pPr>
    </w:p>
    <w:p w14:paraId="45F10192" w14:textId="77777777" w:rsidR="00C232DA" w:rsidRPr="00545EC0" w:rsidRDefault="00C232DA" w:rsidP="00C232DA">
      <w:pPr>
        <w:pStyle w:val="Odstavekseznam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cs="Arial"/>
          <w:lang w:val="sl-SI"/>
        </w:rPr>
      </w:pPr>
      <w:r w:rsidRPr="00545EC0">
        <w:rPr>
          <w:rFonts w:cs="Arial"/>
          <w:lang w:val="sl-SI"/>
        </w:rPr>
        <w:lastRenderedPageBreak/>
        <w:t>Pri rudarski dejavnosti prihaja do neposrednih posegov v podzemno vodo ali pa do posrednih posegov s povečanjem izpostavljenosti podzemne vode in ranljivosti vodonosnika.</w:t>
      </w:r>
    </w:p>
    <w:p w14:paraId="49D60E10" w14:textId="77777777" w:rsidR="00C232DA" w:rsidRPr="00545EC0" w:rsidRDefault="00C232DA" w:rsidP="00C232DA">
      <w:pPr>
        <w:pStyle w:val="Odstavekseznam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cs="Arial"/>
          <w:lang w:val="sl-SI"/>
        </w:rPr>
      </w:pPr>
    </w:p>
    <w:p w14:paraId="33E6555A" w14:textId="429A754C" w:rsidR="00C232DA" w:rsidRPr="00545EC0" w:rsidRDefault="00C232DA" w:rsidP="00C232DA">
      <w:pPr>
        <w:pStyle w:val="Odstavekseznam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cs="Arial"/>
          <w:lang w:val="sl-SI"/>
        </w:rPr>
      </w:pPr>
      <w:r w:rsidRPr="00545EC0">
        <w:rPr>
          <w:rFonts w:cs="Arial"/>
          <w:lang w:val="sl-SI"/>
        </w:rPr>
        <w:t>Izkoriščanje mineralnih surovin, v okviru katerih se večinoma posega v vodonosnike, je  še posebej aktualno za območja dobro izdatnih razpoklinskih dolomitnih vodonosnikov (II.a) in visoko izdatnih regionalnih aluvialnih vodonosnikov v prodno-peščenih zasipih (I.a). Navedeni vodonosniki zaradi dobre prepustnosti, izdatnosti in pomembnih količin podzemne vode, ki se pretakajo v teh vodonosnikih,</w:t>
      </w:r>
      <w:r w:rsidR="009B7498" w:rsidRPr="00545EC0">
        <w:rPr>
          <w:rFonts w:cs="Arial"/>
          <w:lang w:val="sl-SI"/>
        </w:rPr>
        <w:t xml:space="preserve"> ti pa</w:t>
      </w:r>
      <w:r w:rsidRPr="00545EC0">
        <w:rPr>
          <w:rFonts w:cs="Arial"/>
          <w:lang w:val="sl-SI"/>
        </w:rPr>
        <w:t xml:space="preserve"> predstavljajo velik potencial za izkoriščanje pitne vode danes in v prihodnosti. </w:t>
      </w:r>
    </w:p>
    <w:p w14:paraId="488DF81A" w14:textId="77F252FB" w:rsidR="00F4209F" w:rsidRPr="00545EC0" w:rsidRDefault="00F4209F">
      <w:pPr>
        <w:pStyle w:val="Naslov3"/>
      </w:pPr>
      <w:bookmarkStart w:id="151" w:name="_Toc90261020"/>
      <w:r w:rsidRPr="00545EC0">
        <w:t>Razpršeni viri onesnaževanja voda</w:t>
      </w:r>
      <w:bookmarkEnd w:id="150"/>
      <w:bookmarkEnd w:id="151"/>
      <w:r w:rsidRPr="00545EC0">
        <w:t xml:space="preserve"> </w:t>
      </w:r>
    </w:p>
    <w:p w14:paraId="0992C293" w14:textId="7A46726D" w:rsidR="00617285" w:rsidRPr="00545EC0" w:rsidRDefault="00617285" w:rsidP="00AD4FE7">
      <w:pPr>
        <w:rPr>
          <w:rFonts w:cs="Arial"/>
        </w:rPr>
      </w:pPr>
      <w:r w:rsidRPr="00545EC0">
        <w:rPr>
          <w:rFonts w:cs="Arial"/>
        </w:rPr>
        <w:t xml:space="preserve">Razpršeno onesnaževanje izhaja iz širokega nabora različnih človekovih dejavnosti. Pri razpršenem onesnaževanju se lahko onesnaževala izpuščajo v tla, zrak ali vodo pri čemer vira onesnaževanja ni mogoče natančno določiti, saj je posledica prostorsko obsežne rabe zemljišč (npr. kmetijstvo, naselja, promet, industrija). Možni razpršeni viri oziroma poti vnosa snovi v površinske </w:t>
      </w:r>
      <w:r w:rsidR="00213672" w:rsidRPr="00545EC0">
        <w:rPr>
          <w:rFonts w:cs="Arial"/>
        </w:rPr>
        <w:t xml:space="preserve">in podzemne </w:t>
      </w:r>
      <w:r w:rsidRPr="00545EC0">
        <w:rPr>
          <w:rFonts w:cs="Arial"/>
        </w:rPr>
        <w:t xml:space="preserve">vode so: </w:t>
      </w:r>
    </w:p>
    <w:p w14:paraId="5E3F272A" w14:textId="6D425817" w:rsidR="00617285" w:rsidRPr="00545EC0" w:rsidRDefault="00617285" w:rsidP="00DD37C5">
      <w:pPr>
        <w:pStyle w:val="Odstavekseznama"/>
        <w:numPr>
          <w:ilvl w:val="0"/>
          <w:numId w:val="42"/>
        </w:numPr>
        <w:rPr>
          <w:rFonts w:cs="Arial"/>
          <w:lang w:val="sl-SI"/>
        </w:rPr>
      </w:pPr>
      <w:r w:rsidRPr="00545EC0">
        <w:rPr>
          <w:rFonts w:cs="Arial"/>
          <w:lang w:val="sl-SI"/>
        </w:rPr>
        <w:t>izvajanj</w:t>
      </w:r>
      <w:r w:rsidR="009E74CB" w:rsidRPr="00545EC0">
        <w:rPr>
          <w:rFonts w:cs="Arial"/>
          <w:lang w:val="sl-SI"/>
        </w:rPr>
        <w:t>e</w:t>
      </w:r>
      <w:r w:rsidRPr="00545EC0">
        <w:rPr>
          <w:rFonts w:cs="Arial"/>
          <w:lang w:val="sl-SI"/>
        </w:rPr>
        <w:t xml:space="preserve"> kmetijskih dejavnosti (prek izpiranja</w:t>
      </w:r>
      <w:r w:rsidR="00F0017E" w:rsidRPr="00545EC0">
        <w:rPr>
          <w:rFonts w:cs="Arial"/>
          <w:lang w:val="sl-SI"/>
        </w:rPr>
        <w:t xml:space="preserve"> snovi, ki se uporabljajo na</w:t>
      </w:r>
      <w:r w:rsidRPr="00545EC0">
        <w:rPr>
          <w:rFonts w:cs="Arial"/>
          <w:lang w:val="sl-SI"/>
        </w:rPr>
        <w:t xml:space="preserve"> kmetijskih površin</w:t>
      </w:r>
      <w:r w:rsidR="00F0017E" w:rsidRPr="00545EC0">
        <w:rPr>
          <w:rFonts w:cs="Arial"/>
          <w:lang w:val="sl-SI"/>
        </w:rPr>
        <w:t>ah</w:t>
      </w:r>
      <w:r w:rsidRPr="00545EC0">
        <w:rPr>
          <w:rFonts w:cs="Arial"/>
          <w:lang w:val="sl-SI"/>
        </w:rPr>
        <w:t>, zaradi erozije</w:t>
      </w:r>
      <w:r w:rsidR="00F0017E" w:rsidRPr="00545EC0">
        <w:rPr>
          <w:rFonts w:cs="Arial"/>
          <w:lang w:val="sl-SI"/>
        </w:rPr>
        <w:t xml:space="preserve"> onesnaženih tal</w:t>
      </w:r>
      <w:r w:rsidRPr="00545EC0">
        <w:rPr>
          <w:rFonts w:cs="Arial"/>
          <w:lang w:val="sl-SI"/>
        </w:rPr>
        <w:t>, razlitja</w:t>
      </w:r>
      <w:r w:rsidR="00F0017E" w:rsidRPr="00545EC0">
        <w:rPr>
          <w:rFonts w:cs="Arial"/>
          <w:lang w:val="sl-SI"/>
        </w:rPr>
        <w:t xml:space="preserve"> snovi</w:t>
      </w:r>
      <w:r w:rsidRPr="00545EC0">
        <w:rPr>
          <w:rFonts w:cs="Arial"/>
          <w:lang w:val="sl-SI"/>
        </w:rPr>
        <w:t xml:space="preserve">, </w:t>
      </w:r>
      <w:r w:rsidR="00F0017E" w:rsidRPr="00545EC0">
        <w:rPr>
          <w:rFonts w:cs="Arial"/>
          <w:lang w:val="sl-SI"/>
        </w:rPr>
        <w:t>odvodnjavanj kmetijskih zemljišč</w:t>
      </w:r>
      <w:r w:rsidRPr="00545EC0">
        <w:rPr>
          <w:rFonts w:cs="Arial"/>
          <w:lang w:val="sl-SI"/>
        </w:rPr>
        <w:t>),</w:t>
      </w:r>
    </w:p>
    <w:p w14:paraId="37CE6514" w14:textId="33194B0B" w:rsidR="00617285" w:rsidRPr="00545EC0" w:rsidRDefault="00617285" w:rsidP="00DD37C5">
      <w:pPr>
        <w:pStyle w:val="Odstavekseznama"/>
        <w:numPr>
          <w:ilvl w:val="0"/>
          <w:numId w:val="42"/>
        </w:numPr>
        <w:rPr>
          <w:rFonts w:cs="Arial"/>
          <w:lang w:val="sl-SI"/>
        </w:rPr>
      </w:pPr>
      <w:r w:rsidRPr="00545EC0">
        <w:rPr>
          <w:rFonts w:cs="Arial"/>
          <w:lang w:val="sl-SI"/>
        </w:rPr>
        <w:t xml:space="preserve">zaradi infrastrukture brez priključka na kanalizacijsko omrežje (kot npr. zaradi odvajanja komunalne odpadne vode iz posameznih objektov, ki ležijo izven meja aglomeracij in niso priključeni na javno kanalizacijo, ali iz posameznih objektov, ki ležijo v aglomeracijah in nimajo ustrezno urejenega odvajanja in čiščenja komunalne odpadne vode, spiranje z utrjenih površin </w:t>
      </w:r>
      <w:r w:rsidR="00213672" w:rsidRPr="00545EC0">
        <w:rPr>
          <w:rFonts w:cs="Arial"/>
          <w:lang w:val="sl-SI"/>
        </w:rPr>
        <w:t xml:space="preserve">v </w:t>
      </w:r>
      <w:r w:rsidRPr="00545EC0">
        <w:rPr>
          <w:rFonts w:cs="Arial"/>
          <w:lang w:val="sl-SI"/>
        </w:rPr>
        <w:t>urbanih območij),</w:t>
      </w:r>
    </w:p>
    <w:p w14:paraId="04087C8C" w14:textId="4B169F0D" w:rsidR="00617285" w:rsidRPr="00545EC0" w:rsidRDefault="00617285" w:rsidP="00DD37C5">
      <w:pPr>
        <w:pStyle w:val="Odstavekseznama"/>
        <w:numPr>
          <w:ilvl w:val="0"/>
          <w:numId w:val="42"/>
        </w:numPr>
        <w:rPr>
          <w:rFonts w:cs="Arial"/>
          <w:lang w:val="sl-SI"/>
        </w:rPr>
      </w:pPr>
      <w:r w:rsidRPr="00545EC0">
        <w:rPr>
          <w:rFonts w:cs="Arial"/>
          <w:lang w:val="sl-SI"/>
        </w:rPr>
        <w:t>zaradi cestnega, železniškega in pomorskega prometa (prek izpiranja s površin</w:t>
      </w:r>
      <w:r w:rsidR="00213672" w:rsidRPr="00545EC0">
        <w:rPr>
          <w:rFonts w:cs="Arial"/>
          <w:lang w:val="sl-SI"/>
        </w:rPr>
        <w:t xml:space="preserve"> izven urbanih območij</w:t>
      </w:r>
      <w:r w:rsidRPr="00545EC0">
        <w:rPr>
          <w:rFonts w:cs="Arial"/>
          <w:lang w:val="sl-SI"/>
        </w:rPr>
        <w:t xml:space="preserve">, nenamernega razlitja v primeru nesreče), </w:t>
      </w:r>
    </w:p>
    <w:p w14:paraId="549EB6E3" w14:textId="77777777" w:rsidR="00617285" w:rsidRPr="00545EC0" w:rsidRDefault="00617285" w:rsidP="00DD37C5">
      <w:pPr>
        <w:pStyle w:val="Odstavekseznama"/>
        <w:numPr>
          <w:ilvl w:val="0"/>
          <w:numId w:val="42"/>
        </w:numPr>
        <w:rPr>
          <w:rFonts w:cs="Arial"/>
          <w:lang w:val="sl-SI"/>
        </w:rPr>
      </w:pPr>
      <w:r w:rsidRPr="00545EC0">
        <w:rPr>
          <w:rFonts w:cs="Arial"/>
          <w:lang w:val="sl-SI"/>
        </w:rPr>
        <w:t xml:space="preserve">odlaganja snovi iz zraka (t.i. atmosferska depozicija) na vodno površino, </w:t>
      </w:r>
    </w:p>
    <w:p w14:paraId="67DB0CDC" w14:textId="5EC4D40D" w:rsidR="00617285" w:rsidRPr="00545EC0" w:rsidRDefault="00213672" w:rsidP="00DD37C5">
      <w:pPr>
        <w:pStyle w:val="Odstavekseznama"/>
        <w:numPr>
          <w:ilvl w:val="0"/>
          <w:numId w:val="42"/>
        </w:numPr>
        <w:rPr>
          <w:rFonts w:cs="Arial"/>
          <w:lang w:val="sl-SI"/>
        </w:rPr>
      </w:pPr>
      <w:r w:rsidRPr="00545EC0">
        <w:rPr>
          <w:rFonts w:cs="Arial"/>
          <w:lang w:val="sl-SI"/>
        </w:rPr>
        <w:t xml:space="preserve">obremenjevanje površinske ali podzemne vode zaradi </w:t>
      </w:r>
      <w:r w:rsidRPr="00545EC0">
        <w:rPr>
          <w:rFonts w:cs="Arial"/>
          <w:szCs w:val="20"/>
        </w:rPr>
        <w:t>naravnih povezav med površinsko in podzemno vodo</w:t>
      </w:r>
      <w:r w:rsidRPr="00545EC0">
        <w:rPr>
          <w:rFonts w:cs="Arial"/>
          <w:lang w:val="sl-SI"/>
        </w:rPr>
        <w:t xml:space="preserve"> </w:t>
      </w:r>
      <w:r w:rsidR="00771FCB" w:rsidRPr="00545EC0">
        <w:rPr>
          <w:rFonts w:cs="Arial"/>
          <w:lang w:val="sl-SI"/>
        </w:rPr>
        <w:t xml:space="preserve">(t.i. </w:t>
      </w:r>
      <w:r w:rsidR="00617285" w:rsidRPr="00545EC0">
        <w:rPr>
          <w:rFonts w:cs="Arial"/>
          <w:lang w:val="sl-SI"/>
        </w:rPr>
        <w:t xml:space="preserve">dreniranja </w:t>
      </w:r>
      <w:r w:rsidR="00771FCB" w:rsidRPr="00545EC0">
        <w:rPr>
          <w:rFonts w:cs="Arial"/>
          <w:lang w:val="sl-SI"/>
        </w:rPr>
        <w:t xml:space="preserve">ali napajanje </w:t>
      </w:r>
      <w:r w:rsidR="00617285" w:rsidRPr="00545EC0">
        <w:rPr>
          <w:rFonts w:cs="Arial"/>
          <w:lang w:val="sl-SI"/>
        </w:rPr>
        <w:t>podzemne vode</w:t>
      </w:r>
      <w:r w:rsidR="00771FCB" w:rsidRPr="00545EC0">
        <w:rPr>
          <w:rFonts w:cs="Arial"/>
          <w:lang w:val="sl-SI"/>
        </w:rPr>
        <w:t>)</w:t>
      </w:r>
      <w:r w:rsidR="00617285" w:rsidRPr="00545EC0">
        <w:rPr>
          <w:rFonts w:cs="Arial"/>
          <w:lang w:val="sl-SI"/>
        </w:rPr>
        <w:t>,</w:t>
      </w:r>
    </w:p>
    <w:p w14:paraId="5989516D" w14:textId="0E05A825" w:rsidR="00617285" w:rsidRPr="00545EC0" w:rsidRDefault="00617285" w:rsidP="00DD37C5">
      <w:pPr>
        <w:pStyle w:val="Odstavekseznama"/>
        <w:numPr>
          <w:ilvl w:val="0"/>
          <w:numId w:val="42"/>
        </w:numPr>
        <w:rPr>
          <w:rFonts w:cs="Arial"/>
          <w:lang w:val="sl-SI"/>
        </w:rPr>
      </w:pPr>
      <w:r w:rsidRPr="00545EC0">
        <w:rPr>
          <w:rFonts w:cs="Arial"/>
          <w:lang w:val="sl-SI"/>
        </w:rPr>
        <w:t>nenamernega (incidentna) razlitja</w:t>
      </w:r>
      <w:r w:rsidR="00213672" w:rsidRPr="00545EC0">
        <w:rPr>
          <w:rFonts w:cs="Arial"/>
          <w:lang w:val="sl-SI"/>
        </w:rPr>
        <w:t xml:space="preserve"> onesnaževal</w:t>
      </w:r>
      <w:r w:rsidR="00251748" w:rsidRPr="00545EC0">
        <w:rPr>
          <w:rFonts w:cs="Arial"/>
          <w:lang w:val="sl-SI"/>
        </w:rPr>
        <w:t>.</w:t>
      </w:r>
    </w:p>
    <w:p w14:paraId="73A29D3B" w14:textId="77777777" w:rsidR="00213672" w:rsidRPr="00545EC0" w:rsidRDefault="00213672" w:rsidP="00AD4FE7">
      <w:pPr>
        <w:tabs>
          <w:tab w:val="num" w:pos="567"/>
          <w:tab w:val="left" w:pos="9600"/>
        </w:tabs>
        <w:spacing w:before="120"/>
        <w:rPr>
          <w:rFonts w:cs="Arial"/>
          <w:szCs w:val="20"/>
        </w:rPr>
      </w:pPr>
    </w:p>
    <w:p w14:paraId="1D74BAEA" w14:textId="2AEE2B48" w:rsidR="00771FCB" w:rsidRPr="00545EC0" w:rsidRDefault="00771FCB" w:rsidP="00213672">
      <w:pPr>
        <w:rPr>
          <w:rFonts w:cs="Arial"/>
          <w:szCs w:val="20"/>
        </w:rPr>
      </w:pPr>
      <w:r w:rsidRPr="00545EC0">
        <w:rPr>
          <w:rFonts w:cs="Arial"/>
          <w:szCs w:val="20"/>
        </w:rPr>
        <w:t>Obremenitev površinskih voda s kemijskimi snovi zaradi emisije snovi v površinske vode iz razpršenih virov onesnaževanja lahko nastajajo prek odlaganja snovi (t.i. atmosferske depozicije) na vodno površino zaradi emisije snovi v ozračje. Plini in delci, ki se sproščajo v ozračje iz različnih virov, kot so emisije iz motornih vozil, različnega gorenja in industrijskih virov, vsebujejo snovi, ki posledično padejo na tla kot prah ali preko padavin. Takšna onesnaževala potujejo po zraku in imajo lahko oddaljen izvor onesnaževanja. Odlaganje onesnaževal je lahko neposredno na vodno površino ali pa na tlakovana tla s katerih se potem te snovi ob padavinskih dogodkih izperejo v vode. Vnos onesnaževal lahko vodi do zakislevanja voda ali kopičenja teh snovi v sedimentih, kar negativno vpliva na stanje površinskih voda ter na spremembo strukture in funkcije vodnega ekosistema.</w:t>
      </w:r>
    </w:p>
    <w:p w14:paraId="26D7413B" w14:textId="77777777" w:rsidR="00771FCB" w:rsidRPr="00545EC0" w:rsidRDefault="00771FCB" w:rsidP="00213672">
      <w:pPr>
        <w:rPr>
          <w:rFonts w:cs="Arial"/>
          <w:szCs w:val="20"/>
        </w:rPr>
      </w:pPr>
    </w:p>
    <w:p w14:paraId="07206958" w14:textId="0A26F1BF" w:rsidR="00771FCB" w:rsidRPr="00545EC0" w:rsidRDefault="00251748" w:rsidP="00771FCB">
      <w:pPr>
        <w:rPr>
          <w:rFonts w:cs="Arial"/>
          <w:szCs w:val="20"/>
        </w:rPr>
      </w:pPr>
      <w:r w:rsidRPr="00545EC0">
        <w:rPr>
          <w:rFonts w:cs="Arial"/>
          <w:szCs w:val="20"/>
        </w:rPr>
        <w:t>Vire</w:t>
      </w:r>
      <w:r w:rsidR="00771FCB" w:rsidRPr="00545EC0">
        <w:rPr>
          <w:rFonts w:cs="Arial"/>
          <w:szCs w:val="20"/>
        </w:rPr>
        <w:t xml:space="preserve"> emisij snovi v ozračje lahko predstavljajo številne dejavnosti, in sicer kmetijstvo, gozdarstvo, promet, infrastruktura, raba v gospodinjstvu in druge potrošniške rabe, dejavnosti in naprav</w:t>
      </w:r>
      <w:r w:rsidRPr="00545EC0">
        <w:rPr>
          <w:rFonts w:cs="Arial"/>
          <w:szCs w:val="20"/>
        </w:rPr>
        <w:t>e</w:t>
      </w:r>
      <w:r w:rsidR="00771FCB" w:rsidRPr="00545EC0">
        <w:rPr>
          <w:rFonts w:cs="Arial"/>
          <w:szCs w:val="20"/>
        </w:rPr>
        <w:t>, ki niso naprave, ki lahko povzročajo onesnaževanje okolja večjega obsega in naprav</w:t>
      </w:r>
      <w:r w:rsidRPr="00545EC0">
        <w:rPr>
          <w:rFonts w:cs="Arial"/>
          <w:szCs w:val="20"/>
        </w:rPr>
        <w:t>e</w:t>
      </w:r>
      <w:r w:rsidR="00771FCB" w:rsidRPr="00545EC0">
        <w:rPr>
          <w:rFonts w:cs="Arial"/>
          <w:szCs w:val="20"/>
        </w:rPr>
        <w:t>, ki lahko povzročajo onesnaževanje okolja večjega obsega in se v njih izvaja proizvodnja in formulacija snovi. Formulacija snovi je priprava snovi, ki zajema kombinacijo aktivne snovi (ene ali več) in dodatkov. Formulacija zagotavlja fitofarmacevtskemu sredstvu njegovo obliko in specifične lastnosti ter omogoča učinkovito in enostavnejše zatiranje škodljivih organizmov, istočasno pa zagotavlja večjo varnost za uporabnika, okolje in treti</w:t>
      </w:r>
      <w:r w:rsidR="00AD346D" w:rsidRPr="00545EC0">
        <w:rPr>
          <w:rFonts w:cs="Arial"/>
          <w:szCs w:val="20"/>
        </w:rPr>
        <w:t>rane rastline (Fras Peterlin, R,</w:t>
      </w:r>
      <w:r w:rsidR="00771FCB" w:rsidRPr="00545EC0">
        <w:rPr>
          <w:rFonts w:cs="Arial"/>
          <w:szCs w:val="20"/>
        </w:rPr>
        <w:t xml:space="preserve"> 2017)</w:t>
      </w:r>
      <w:r w:rsidRPr="00545EC0">
        <w:rPr>
          <w:rFonts w:cs="Arial"/>
          <w:szCs w:val="20"/>
        </w:rPr>
        <w:t>.</w:t>
      </w:r>
      <w:r w:rsidR="00771FCB" w:rsidRPr="00545EC0">
        <w:rPr>
          <w:rFonts w:cs="Arial"/>
          <w:szCs w:val="20"/>
        </w:rPr>
        <w:t xml:space="preserve"> </w:t>
      </w:r>
    </w:p>
    <w:p w14:paraId="28B30923" w14:textId="77777777" w:rsidR="00771FCB" w:rsidRPr="00545EC0" w:rsidRDefault="00771FCB" w:rsidP="00771FCB">
      <w:pPr>
        <w:rPr>
          <w:rFonts w:cs="Arial"/>
          <w:szCs w:val="20"/>
        </w:rPr>
      </w:pPr>
    </w:p>
    <w:p w14:paraId="77678CCC" w14:textId="15AD87B7" w:rsidR="00771FCB" w:rsidRPr="00545EC0" w:rsidRDefault="00771FCB" w:rsidP="00771FCB">
      <w:pPr>
        <w:rPr>
          <w:rFonts w:cs="Arial"/>
          <w:szCs w:val="20"/>
        </w:rPr>
      </w:pPr>
      <w:r w:rsidRPr="00545EC0">
        <w:rPr>
          <w:rFonts w:cs="Arial"/>
          <w:szCs w:val="20"/>
        </w:rPr>
        <w:lastRenderedPageBreak/>
        <w:t>Možna pot onesnaževanja je lahko tu</w:t>
      </w:r>
      <w:r w:rsidR="00251748" w:rsidRPr="00545EC0">
        <w:rPr>
          <w:rFonts w:cs="Arial"/>
          <w:szCs w:val="20"/>
        </w:rPr>
        <w:t>di emisija snovi zaradi uhajanja</w:t>
      </w:r>
      <w:r w:rsidRPr="00545EC0">
        <w:rPr>
          <w:rFonts w:cs="Arial"/>
          <w:szCs w:val="20"/>
        </w:rPr>
        <w:t xml:space="preserve"> snovi z območij za odstranjevanje/predelavo odpadkov (odlagališča in drugo) ali emisija snovi zaradi uhajanj</w:t>
      </w:r>
      <w:r w:rsidR="00251748" w:rsidRPr="00545EC0">
        <w:rPr>
          <w:rFonts w:cs="Arial"/>
          <w:szCs w:val="20"/>
        </w:rPr>
        <w:t>a</w:t>
      </w:r>
      <w:r w:rsidRPr="00545EC0">
        <w:rPr>
          <w:rFonts w:cs="Arial"/>
          <w:szCs w:val="20"/>
        </w:rPr>
        <w:t xml:space="preserve"> snovi iz onesnaženega zemljišča (t.i. stara bremena).</w:t>
      </w:r>
    </w:p>
    <w:p w14:paraId="5A91623F" w14:textId="77777777" w:rsidR="00771FCB" w:rsidRPr="00545EC0" w:rsidRDefault="00771FCB" w:rsidP="00771FCB">
      <w:pPr>
        <w:rPr>
          <w:rFonts w:cs="Arial"/>
          <w:szCs w:val="20"/>
        </w:rPr>
      </w:pPr>
    </w:p>
    <w:p w14:paraId="1672F98F" w14:textId="77777777" w:rsidR="00771FCB" w:rsidRPr="00545EC0" w:rsidRDefault="00771FCB" w:rsidP="00771FCB">
      <w:pPr>
        <w:rPr>
          <w:rFonts w:cs="Arial"/>
          <w:szCs w:val="20"/>
        </w:rPr>
      </w:pPr>
      <w:r w:rsidRPr="00545EC0">
        <w:rPr>
          <w:rFonts w:cs="Arial"/>
          <w:szCs w:val="20"/>
        </w:rPr>
        <w:t>Zaradi naravnih povezav med površinsko in podzemno vodo lahko do obremenitev površinskih voda s kemijskimi snovi prihaja prek dreniranja podzemne vode. Povezava med površinsko in podzemno vodo je zapleten in dinamičen proces. Odvisna je od več dejavnikov, med katerimi velja izpostaviti vodostaj površinske in podzemne vode, litološko sestavo vodonosnika in prepustnost rečne</w:t>
      </w:r>
      <w:r w:rsidRPr="00545EC0">
        <w:rPr>
          <w:rFonts w:cs="Arial"/>
          <w:szCs w:val="20"/>
          <w:lang w:val="x-none"/>
        </w:rPr>
        <w:t xml:space="preserve"> struge. </w:t>
      </w:r>
      <w:r w:rsidRPr="00545EC0">
        <w:rPr>
          <w:rFonts w:cs="Arial"/>
          <w:szCs w:val="20"/>
        </w:rPr>
        <w:t>V odvisnosti od hidroloških razmer podzemna voda lahko napaja površinsko vodo in obratno (GeoZS, 2014). V primeru, da so kemijske snovi prisotne v podzemni vodi lahko le-te prehajajo v površinsko vodo in jo na ta način onesnažujejo.</w:t>
      </w:r>
    </w:p>
    <w:p w14:paraId="53DCA14A" w14:textId="77777777" w:rsidR="00771FCB" w:rsidRPr="00545EC0" w:rsidRDefault="00771FCB" w:rsidP="00771FCB">
      <w:pPr>
        <w:rPr>
          <w:rFonts w:cs="Arial"/>
          <w:szCs w:val="20"/>
        </w:rPr>
      </w:pPr>
    </w:p>
    <w:p w14:paraId="52247284" w14:textId="3C6121CB" w:rsidR="00771FCB" w:rsidRPr="00545EC0" w:rsidRDefault="00251748" w:rsidP="00771FCB">
      <w:pPr>
        <w:rPr>
          <w:rFonts w:cs="Arial"/>
          <w:szCs w:val="20"/>
        </w:rPr>
      </w:pPr>
      <w:r w:rsidRPr="00545EC0">
        <w:rPr>
          <w:rFonts w:cs="Arial"/>
          <w:szCs w:val="20"/>
        </w:rPr>
        <w:t>Obremenitve</w:t>
      </w:r>
      <w:r w:rsidR="00771FCB" w:rsidRPr="00545EC0">
        <w:rPr>
          <w:rFonts w:cs="Arial"/>
          <w:szCs w:val="20"/>
        </w:rPr>
        <w:t xml:space="preserve"> površinskih in podzemnih voda zaradi izvajanja kmetijskih dejavnosti, zaradi prometa in infrastrukture brez priključka na kanalizacijsko omrežje (ladje, vlaki, avtomobili in letala ter prek njihove infrastrukture zunaj mes</w:t>
      </w:r>
      <w:r w:rsidRPr="00545EC0">
        <w:rPr>
          <w:rFonts w:cs="Arial"/>
          <w:szCs w:val="20"/>
        </w:rPr>
        <w:t>tnega območja) in prek izpiranja</w:t>
      </w:r>
      <w:r w:rsidR="00771FCB" w:rsidRPr="00545EC0">
        <w:rPr>
          <w:rFonts w:cs="Arial"/>
          <w:szCs w:val="20"/>
        </w:rPr>
        <w:t xml:space="preserve"> iz materialov in konstrukcij na območjih, kjer ni zagotovljeno kanalizacijsko omrežje, so lahko posledica spiranja snovi ob padavinskih dogodkih. </w:t>
      </w:r>
    </w:p>
    <w:p w14:paraId="5B4A1B9A" w14:textId="77777777" w:rsidR="00771FCB" w:rsidRPr="00545EC0" w:rsidRDefault="00771FCB" w:rsidP="00771FCB">
      <w:pPr>
        <w:rPr>
          <w:rFonts w:cs="Arial"/>
          <w:szCs w:val="20"/>
        </w:rPr>
      </w:pPr>
    </w:p>
    <w:p w14:paraId="4511C121" w14:textId="5183BADD" w:rsidR="00771FCB" w:rsidRPr="00545EC0" w:rsidRDefault="00771FCB" w:rsidP="00771FCB">
      <w:pPr>
        <w:rPr>
          <w:rFonts w:cs="Arial"/>
          <w:szCs w:val="20"/>
        </w:rPr>
      </w:pPr>
      <w:r w:rsidRPr="00545EC0">
        <w:rPr>
          <w:rFonts w:cs="Arial"/>
          <w:szCs w:val="20"/>
        </w:rPr>
        <w:t>Nenamerna izlitja</w:t>
      </w:r>
      <w:r w:rsidR="00AD346D" w:rsidRPr="00545EC0">
        <w:rPr>
          <w:rFonts w:cs="Arial"/>
          <w:szCs w:val="20"/>
        </w:rPr>
        <w:t xml:space="preserve"> kemijskih snovi predstavljajo</w:t>
      </w:r>
      <w:r w:rsidRPr="00545EC0">
        <w:rPr>
          <w:rFonts w:cs="Arial"/>
          <w:szCs w:val="20"/>
        </w:rPr>
        <w:t xml:space="preserve"> vire emisij do katerih lahko prihaja zaradi neustreznega skladiščenja ali rokovanja s kemijskimi snovmi, ki se uporabljajo v proizvodnih procesih in so dana na trg </w:t>
      </w:r>
      <w:r w:rsidR="00251748" w:rsidRPr="00545EC0">
        <w:rPr>
          <w:rFonts w:cs="Arial"/>
          <w:szCs w:val="20"/>
        </w:rPr>
        <w:t>v Republiki Sloveniji</w:t>
      </w:r>
      <w:r w:rsidRPr="00545EC0">
        <w:rPr>
          <w:rFonts w:cs="Arial"/>
          <w:szCs w:val="20"/>
        </w:rPr>
        <w:t xml:space="preserve"> ali se uporabljajo pri tretiranju izdelkov. Tretiran izdelek pomeni snov, zmes ali izdelek, ki je bil tretiran z enim ali več biocidnimi proizvodi. Tretiran izdelek se ne daje na trg, razen če so vse aktivne snovi v biocidnem proizvodu, ki se uporabi za tretiranje izdelka ali ga tretiran izdelek vsebuje, vključene v seznam aktivnih snovi.</w:t>
      </w:r>
    </w:p>
    <w:p w14:paraId="0405A5F5" w14:textId="53D9C831" w:rsidR="00617285" w:rsidRPr="00545EC0" w:rsidRDefault="00213672" w:rsidP="00AD4FE7">
      <w:pPr>
        <w:tabs>
          <w:tab w:val="num" w:pos="567"/>
          <w:tab w:val="left" w:pos="9600"/>
        </w:tabs>
        <w:spacing w:before="120"/>
        <w:rPr>
          <w:rFonts w:cs="Arial"/>
          <w:szCs w:val="20"/>
        </w:rPr>
      </w:pPr>
      <w:r w:rsidRPr="00545EC0">
        <w:rPr>
          <w:rFonts w:cs="Arial"/>
          <w:szCs w:val="20"/>
        </w:rPr>
        <w:t>R</w:t>
      </w:r>
      <w:r w:rsidR="00617285" w:rsidRPr="00545EC0">
        <w:rPr>
          <w:rFonts w:cs="Arial"/>
          <w:szCs w:val="20"/>
        </w:rPr>
        <w:t xml:space="preserve">azpršeni viri onesnaževanja so </w:t>
      </w:r>
      <w:r w:rsidRPr="00545EC0">
        <w:rPr>
          <w:rFonts w:cs="Arial"/>
          <w:szCs w:val="20"/>
        </w:rPr>
        <w:t xml:space="preserve">lahko </w:t>
      </w:r>
      <w:r w:rsidR="00617285" w:rsidRPr="00545EC0">
        <w:rPr>
          <w:rFonts w:cs="Arial"/>
          <w:szCs w:val="20"/>
        </w:rPr>
        <w:t>tudi številni manjši točkovni viri onesnaževanja, ki niso obravnavani v okviru tega načrta.</w:t>
      </w:r>
    </w:p>
    <w:p w14:paraId="4FC7A6BE" w14:textId="63D3455B" w:rsidR="00EE5E77" w:rsidRPr="00545EC0" w:rsidRDefault="00EE5E77" w:rsidP="00AD4FE7">
      <w:pPr>
        <w:pStyle w:val="Naslov4"/>
        <w:rPr>
          <w:color w:val="auto"/>
        </w:rPr>
      </w:pPr>
      <w:bookmarkStart w:id="152" w:name="_Ref87873236"/>
      <w:r w:rsidRPr="00545EC0">
        <w:rPr>
          <w:color w:val="auto"/>
          <w:lang w:val="sl-SI"/>
        </w:rPr>
        <w:t xml:space="preserve">Razpršeni viri zaradi </w:t>
      </w:r>
      <w:r w:rsidR="00AD346D" w:rsidRPr="00545EC0">
        <w:rPr>
          <w:color w:val="auto"/>
          <w:lang w:val="sl-SI"/>
        </w:rPr>
        <w:t xml:space="preserve">izvajanja </w:t>
      </w:r>
      <w:r w:rsidRPr="00545EC0">
        <w:rPr>
          <w:color w:val="auto"/>
          <w:lang w:val="sl-SI"/>
        </w:rPr>
        <w:t>kmetijske dejavnosti</w:t>
      </w:r>
      <w:bookmarkEnd w:id="152"/>
      <w:r w:rsidRPr="00545EC0">
        <w:rPr>
          <w:color w:val="auto"/>
          <w:lang w:val="sl-SI"/>
        </w:rPr>
        <w:t xml:space="preserve"> </w:t>
      </w:r>
    </w:p>
    <w:p w14:paraId="50F0B7C9" w14:textId="77777777" w:rsidR="00617285" w:rsidRPr="00545EC0" w:rsidRDefault="00617285" w:rsidP="00AD4FE7">
      <w:pPr>
        <w:rPr>
          <w:rFonts w:cs="Arial"/>
        </w:rPr>
      </w:pPr>
      <w:r w:rsidRPr="00545EC0">
        <w:rPr>
          <w:rFonts w:cs="Arial"/>
        </w:rPr>
        <w:t xml:space="preserve">Kmetijska dejavnost povzroča onesnaževanje voda s hranili kot tudi s fitofarmacevtskimi sredstvi. </w:t>
      </w:r>
    </w:p>
    <w:p w14:paraId="3DC76FBD" w14:textId="77777777" w:rsidR="00617285" w:rsidRPr="00545EC0" w:rsidRDefault="00617285" w:rsidP="004A582B">
      <w:pPr>
        <w:pStyle w:val="Naslov5"/>
      </w:pPr>
      <w:r w:rsidRPr="00545EC0">
        <w:t xml:space="preserve">Razpršene obremenitve zaradi kmetijske dejavnosti s hranili </w:t>
      </w:r>
    </w:p>
    <w:p w14:paraId="23FB30A0" w14:textId="6837A2BE" w:rsidR="00617285" w:rsidRPr="00545EC0" w:rsidRDefault="00617285" w:rsidP="00AD4FE7">
      <w:pPr>
        <w:rPr>
          <w:rFonts w:cs="Arial"/>
        </w:rPr>
      </w:pPr>
      <w:r w:rsidRPr="00545EC0">
        <w:rPr>
          <w:rFonts w:cs="Arial"/>
        </w:rPr>
        <w:t xml:space="preserve">Do onesnaževanja s hranili (nitrat, fosfor) prihaja zlasti pri rabi </w:t>
      </w:r>
      <w:r w:rsidR="0099448A">
        <w:rPr>
          <w:rFonts w:cs="Arial"/>
        </w:rPr>
        <w:t>organskih (</w:t>
      </w:r>
      <w:r w:rsidRPr="00545EC0">
        <w:rPr>
          <w:rFonts w:cs="Arial"/>
        </w:rPr>
        <w:t>živinska gnojila,</w:t>
      </w:r>
      <w:r w:rsidR="0099448A">
        <w:rPr>
          <w:rFonts w:cs="Arial"/>
        </w:rPr>
        <w:t xml:space="preserve"> komposti, digestati ipd) in</w:t>
      </w:r>
      <w:r w:rsidRPr="00545EC0">
        <w:rPr>
          <w:rFonts w:cs="Arial"/>
        </w:rPr>
        <w:t xml:space="preserve"> mineraln</w:t>
      </w:r>
      <w:r w:rsidR="0099448A">
        <w:rPr>
          <w:rFonts w:cs="Arial"/>
        </w:rPr>
        <w:t>ih</w:t>
      </w:r>
      <w:r w:rsidRPr="00545EC0">
        <w:rPr>
          <w:rFonts w:cs="Arial"/>
        </w:rPr>
        <w:t xml:space="preserve"> gnojil</w:t>
      </w:r>
      <w:r w:rsidR="00AD346D" w:rsidRPr="00545EC0">
        <w:rPr>
          <w:rFonts w:cs="Arial"/>
        </w:rPr>
        <w:t xml:space="preserve">, </w:t>
      </w:r>
      <w:r w:rsidR="00AD346D" w:rsidRPr="00545EC0">
        <w:t xml:space="preserve"> </w:t>
      </w:r>
      <w:r w:rsidRPr="00545EC0">
        <w:rPr>
          <w:rFonts w:cs="Arial"/>
        </w:rPr>
        <w:t>ali blat</w:t>
      </w:r>
      <w:r w:rsidR="0099448A">
        <w:rPr>
          <w:rFonts w:cs="Arial"/>
        </w:rPr>
        <w:t>a</w:t>
      </w:r>
      <w:r w:rsidRPr="00545EC0">
        <w:rPr>
          <w:rFonts w:cs="Arial"/>
        </w:rPr>
        <w:t xml:space="preserve"> iz KČN. Raba gnojil v kombinaciji z neprimernim </w:t>
      </w:r>
      <w:r w:rsidR="00AD346D" w:rsidRPr="00545EC0">
        <w:rPr>
          <w:rFonts w:cs="Arial"/>
        </w:rPr>
        <w:t xml:space="preserve">ravnanjem na </w:t>
      </w:r>
      <w:r w:rsidRPr="00545EC0">
        <w:rPr>
          <w:rFonts w:cs="Arial"/>
        </w:rPr>
        <w:t>kmetijskih zemljišč</w:t>
      </w:r>
      <w:r w:rsidR="00AD346D" w:rsidRPr="00545EC0">
        <w:rPr>
          <w:rFonts w:cs="Arial"/>
        </w:rPr>
        <w:t>ih</w:t>
      </w:r>
      <w:r w:rsidRPr="00545EC0">
        <w:rPr>
          <w:rFonts w:cs="Arial"/>
        </w:rPr>
        <w:t xml:space="preserve"> (npr. odstranjevanje obrežne vegetacije, neprimerno namakanje) in v kombinaciji z naravnimi danostmi (tla, padavine) povzroča onesnaževanje voda s hranili in evtrofikacijo. Do onesnaževanja lahko prihaja zaradi spiranja, zanašanja ob aplikaciji </w:t>
      </w:r>
      <w:r w:rsidR="0099448A">
        <w:rPr>
          <w:rFonts w:cs="Arial"/>
        </w:rPr>
        <w:t>gnojil</w:t>
      </w:r>
      <w:r w:rsidRPr="00545EC0">
        <w:rPr>
          <w:rFonts w:cs="Arial"/>
        </w:rPr>
        <w:t xml:space="preserve">, neposrednega površinskega odtoka zaradi odstranjene obrežne vegetacije in podobno. </w:t>
      </w:r>
    </w:p>
    <w:p w14:paraId="768523BE" w14:textId="77777777" w:rsidR="00617285" w:rsidRPr="00545EC0" w:rsidRDefault="00617285" w:rsidP="00AD4FE7">
      <w:pPr>
        <w:rPr>
          <w:rFonts w:cs="Arial"/>
        </w:rPr>
      </w:pPr>
    </w:p>
    <w:p w14:paraId="7CFCD126" w14:textId="34F40AF8" w:rsidR="008F5BFC" w:rsidRPr="00545EC0" w:rsidRDefault="00617285" w:rsidP="00AD4FE7">
      <w:pPr>
        <w:rPr>
          <w:rFonts w:cs="Arial"/>
          <w:szCs w:val="20"/>
        </w:rPr>
      </w:pPr>
      <w:r w:rsidRPr="00545EC0">
        <w:rPr>
          <w:rFonts w:cs="Arial"/>
        </w:rPr>
        <w:t xml:space="preserve">Ocena razpršenega onesnaževanja površinskih voda z dušikom iz kmetijskih površin je v primerjavi s predhodnim načrtom upravljanja voda posodobljena z uporabo modelske analize, ki temelji na modelskem sistemu GROWA/DENUZ/WEKU. Modelski sistem, ki ga uporablja Agencija Republike Slovenije za okolje, vključuje različne vire obremenjevanja voda z dušikom, bilanco vode ter model transporta dušika preko tal in podzemne vode v površinske vode. Razpršeni viri oziroma poti vnosa dušika v vode, ki so vključeni v modelski sistem, so </w:t>
      </w:r>
      <w:r w:rsidR="00AD346D" w:rsidRPr="00545EC0">
        <w:rPr>
          <w:rFonts w:cs="Arial"/>
        </w:rPr>
        <w:t xml:space="preserve">poleg </w:t>
      </w:r>
      <w:r w:rsidRPr="00545EC0">
        <w:rPr>
          <w:rFonts w:cs="Arial"/>
          <w:szCs w:val="20"/>
        </w:rPr>
        <w:t>izvajanje kmetijskih dejavnosti</w:t>
      </w:r>
      <w:r w:rsidR="00AD346D" w:rsidRPr="00545EC0">
        <w:rPr>
          <w:rFonts w:cs="Arial"/>
        </w:rPr>
        <w:t xml:space="preserve"> tudi</w:t>
      </w:r>
      <w:r w:rsidRPr="00545EC0">
        <w:rPr>
          <w:rFonts w:cs="Arial"/>
        </w:rPr>
        <w:t xml:space="preserve"> </w:t>
      </w:r>
      <w:r w:rsidRPr="00545EC0">
        <w:rPr>
          <w:rFonts w:cs="Arial"/>
          <w:szCs w:val="20"/>
        </w:rPr>
        <w:t>odlaganja snovi iz zraka (t.i. atmosferska depozicija) in infrastruktura brez priključka na javno kanalizacijsko omrežje.</w:t>
      </w:r>
      <w:r w:rsidR="008F5BFC" w:rsidRPr="00545EC0">
        <w:rPr>
          <w:rFonts w:cs="Arial"/>
          <w:szCs w:val="20"/>
        </w:rPr>
        <w:t xml:space="preserve"> </w:t>
      </w:r>
      <w:r w:rsidR="00AD346D" w:rsidRPr="00545EC0">
        <w:rPr>
          <w:rFonts w:cs="Arial"/>
          <w:szCs w:val="20"/>
        </w:rPr>
        <w:t xml:space="preserve">Ocena emisij dušika zaradi odlaganja snovi iz zraka (t.i. atmosferska depozicija) je obravnavana v poglavju </w:t>
      </w:r>
      <w:r w:rsidR="00AD346D" w:rsidRPr="00545EC0">
        <w:rPr>
          <w:rFonts w:cs="Arial"/>
          <w:szCs w:val="20"/>
        </w:rPr>
        <w:fldChar w:fldCharType="begin"/>
      </w:r>
      <w:r w:rsidR="00AD346D" w:rsidRPr="00545EC0">
        <w:rPr>
          <w:rFonts w:cs="Arial"/>
          <w:szCs w:val="20"/>
        </w:rPr>
        <w:instrText xml:space="preserve"> REF _Ref87861496 \r \h </w:instrText>
      </w:r>
      <w:r w:rsidR="003122F4" w:rsidRPr="00545EC0">
        <w:rPr>
          <w:rFonts w:cs="Arial"/>
          <w:szCs w:val="20"/>
        </w:rPr>
        <w:instrText xml:space="preserve"> \* MERGEFORMAT </w:instrText>
      </w:r>
      <w:r w:rsidR="00AD346D" w:rsidRPr="00545EC0">
        <w:rPr>
          <w:rFonts w:cs="Arial"/>
          <w:szCs w:val="20"/>
        </w:rPr>
      </w:r>
      <w:r w:rsidR="00AD346D" w:rsidRPr="00545EC0">
        <w:rPr>
          <w:rFonts w:cs="Arial"/>
          <w:szCs w:val="20"/>
        </w:rPr>
        <w:fldChar w:fldCharType="separate"/>
      </w:r>
      <w:r w:rsidR="002F3E43">
        <w:rPr>
          <w:rFonts w:cs="Arial"/>
          <w:szCs w:val="20"/>
        </w:rPr>
        <w:t>2.2.2.4</w:t>
      </w:r>
      <w:r w:rsidR="00AD346D" w:rsidRPr="00545EC0">
        <w:rPr>
          <w:rFonts w:cs="Arial"/>
          <w:szCs w:val="20"/>
        </w:rPr>
        <w:fldChar w:fldCharType="end"/>
      </w:r>
      <w:r w:rsidR="00AD346D" w:rsidRPr="00545EC0">
        <w:rPr>
          <w:rFonts w:cs="Arial"/>
          <w:szCs w:val="20"/>
        </w:rPr>
        <w:t xml:space="preserve"> tega načrta načrta upravljanja voda in ocena emisij dušika zaradi infrastrukture brez priključka na javno kanalizacijsko omrežje v poglavju </w:t>
      </w:r>
      <w:r w:rsidR="00AD346D" w:rsidRPr="00545EC0">
        <w:rPr>
          <w:rFonts w:cs="Arial"/>
          <w:szCs w:val="20"/>
        </w:rPr>
        <w:fldChar w:fldCharType="begin"/>
      </w:r>
      <w:r w:rsidR="00AD346D" w:rsidRPr="00545EC0">
        <w:rPr>
          <w:rFonts w:cs="Arial"/>
          <w:szCs w:val="20"/>
        </w:rPr>
        <w:instrText xml:space="preserve"> REF _Ref87861524 \r \h </w:instrText>
      </w:r>
      <w:r w:rsidR="003122F4" w:rsidRPr="00545EC0">
        <w:rPr>
          <w:rFonts w:cs="Arial"/>
          <w:szCs w:val="20"/>
        </w:rPr>
        <w:instrText xml:space="preserve"> \* MERGEFORMAT </w:instrText>
      </w:r>
      <w:r w:rsidR="00AD346D" w:rsidRPr="00545EC0">
        <w:rPr>
          <w:rFonts w:cs="Arial"/>
          <w:szCs w:val="20"/>
        </w:rPr>
      </w:r>
      <w:r w:rsidR="00AD346D" w:rsidRPr="00545EC0">
        <w:rPr>
          <w:rFonts w:cs="Arial"/>
          <w:szCs w:val="20"/>
        </w:rPr>
        <w:fldChar w:fldCharType="separate"/>
      </w:r>
      <w:r w:rsidR="002F3E43">
        <w:rPr>
          <w:rFonts w:cs="Arial"/>
          <w:szCs w:val="20"/>
        </w:rPr>
        <w:t>2.2.2.2</w:t>
      </w:r>
      <w:r w:rsidR="00AD346D" w:rsidRPr="00545EC0">
        <w:rPr>
          <w:rFonts w:cs="Arial"/>
          <w:szCs w:val="20"/>
        </w:rPr>
        <w:fldChar w:fldCharType="end"/>
      </w:r>
      <w:r w:rsidR="00AD346D" w:rsidRPr="00545EC0">
        <w:rPr>
          <w:rFonts w:cs="Arial"/>
          <w:szCs w:val="20"/>
        </w:rPr>
        <w:t xml:space="preserve"> tega </w:t>
      </w:r>
      <w:r w:rsidR="00AD346D" w:rsidRPr="00545EC0">
        <w:rPr>
          <w:rFonts w:cs="Arial"/>
          <w:szCs w:val="20"/>
        </w:rPr>
        <w:lastRenderedPageBreak/>
        <w:t xml:space="preserve">načrta upravljanja voda. </w:t>
      </w:r>
      <w:r w:rsidR="0013272A" w:rsidRPr="00545EC0">
        <w:rPr>
          <w:rFonts w:cs="Arial"/>
          <w:szCs w:val="20"/>
        </w:rPr>
        <w:t xml:space="preserve">Deleži emisij celotnega dušika v površinske vode v Sloveniji iz različnih virov obremenjevanja so prikazani v okviru presoje vplivov na vodna telesa površinskih </w:t>
      </w:r>
      <w:r w:rsidR="00D93374" w:rsidRPr="00545EC0">
        <w:rPr>
          <w:rFonts w:cs="Arial"/>
          <w:szCs w:val="20"/>
        </w:rPr>
        <w:t>in podzemnih voda</w:t>
      </w:r>
      <w:r w:rsidR="0013272A" w:rsidRPr="00545EC0">
        <w:rPr>
          <w:rFonts w:cs="Arial"/>
          <w:szCs w:val="20"/>
        </w:rPr>
        <w:t xml:space="preserve"> v poglavju </w:t>
      </w:r>
      <w:r w:rsidR="0013272A" w:rsidRPr="00545EC0">
        <w:rPr>
          <w:rFonts w:cs="Arial"/>
          <w:szCs w:val="20"/>
        </w:rPr>
        <w:fldChar w:fldCharType="begin"/>
      </w:r>
      <w:r w:rsidR="0013272A" w:rsidRPr="00545EC0">
        <w:rPr>
          <w:rFonts w:cs="Arial"/>
          <w:szCs w:val="20"/>
        </w:rPr>
        <w:instrText xml:space="preserve"> REF _Ref87865273 \r \h </w:instrText>
      </w:r>
      <w:r w:rsidR="003122F4" w:rsidRPr="00545EC0">
        <w:rPr>
          <w:rFonts w:cs="Arial"/>
          <w:szCs w:val="20"/>
        </w:rPr>
        <w:instrText xml:space="preserve"> \* MERGEFORMAT </w:instrText>
      </w:r>
      <w:r w:rsidR="0013272A" w:rsidRPr="00545EC0">
        <w:rPr>
          <w:rFonts w:cs="Arial"/>
          <w:szCs w:val="20"/>
        </w:rPr>
      </w:r>
      <w:r w:rsidR="0013272A" w:rsidRPr="00545EC0">
        <w:rPr>
          <w:rFonts w:cs="Arial"/>
          <w:szCs w:val="20"/>
        </w:rPr>
        <w:fldChar w:fldCharType="separate"/>
      </w:r>
      <w:r w:rsidR="002F3E43">
        <w:rPr>
          <w:rFonts w:cs="Arial"/>
          <w:szCs w:val="20"/>
        </w:rPr>
        <w:t>2.2.8.1</w:t>
      </w:r>
      <w:r w:rsidR="0013272A" w:rsidRPr="00545EC0">
        <w:rPr>
          <w:rFonts w:cs="Arial"/>
          <w:szCs w:val="20"/>
        </w:rPr>
        <w:fldChar w:fldCharType="end"/>
      </w:r>
      <w:r w:rsidR="0013272A" w:rsidRPr="00545EC0">
        <w:rPr>
          <w:rFonts w:cs="Arial"/>
          <w:szCs w:val="20"/>
        </w:rPr>
        <w:t xml:space="preserve"> tega načrta upravljanja voda.</w:t>
      </w:r>
    </w:p>
    <w:p w14:paraId="5246D04F" w14:textId="77777777" w:rsidR="00617285" w:rsidRPr="00545EC0" w:rsidRDefault="00617285" w:rsidP="00AD4FE7">
      <w:pPr>
        <w:rPr>
          <w:rFonts w:cs="Arial"/>
          <w:szCs w:val="20"/>
        </w:rPr>
      </w:pPr>
      <w:r w:rsidRPr="00545EC0">
        <w:rPr>
          <w:rFonts w:cs="Arial"/>
          <w:szCs w:val="20"/>
        </w:rPr>
        <w:t xml:space="preserve">Ocena emisij dušika v vode zaradi izvajanja kmetijske dejavnosti temelji na podatku o neto bilančnem presežku dušika v kmetijstvu na ravni kmetijskih zemljišč v uporabi </w:t>
      </w:r>
      <w:r w:rsidRPr="00545EC0">
        <w:rPr>
          <w:rFonts w:cs="Arial"/>
        </w:rPr>
        <w:t>v skladu z  OECD – EUROSTAT metodologijo</w:t>
      </w:r>
      <w:r w:rsidRPr="00545EC0">
        <w:rPr>
          <w:rFonts w:cs="Arial"/>
          <w:szCs w:val="20"/>
        </w:rPr>
        <w:t>. Neto bilančni presežek predstavlja razliko med vnosom in odvzemom dušika s kmetijskih zemljišč, pri čemer se upošteva tudi dušik, ki se z različnimi plini (NH</w:t>
      </w:r>
      <w:r w:rsidRPr="00545EC0">
        <w:rPr>
          <w:rFonts w:cs="Arial"/>
          <w:szCs w:val="20"/>
          <w:vertAlign w:val="subscript"/>
        </w:rPr>
        <w:t>3</w:t>
      </w:r>
      <w:r w:rsidRPr="00545EC0">
        <w:rPr>
          <w:rFonts w:cs="Arial"/>
          <w:szCs w:val="20"/>
        </w:rPr>
        <w:t>, N</w:t>
      </w:r>
      <w:r w:rsidRPr="00545EC0">
        <w:rPr>
          <w:rFonts w:cs="Arial"/>
          <w:szCs w:val="20"/>
          <w:vertAlign w:val="subscript"/>
        </w:rPr>
        <w:t>2</w:t>
      </w:r>
      <w:r w:rsidRPr="00545EC0">
        <w:rPr>
          <w:rFonts w:cs="Arial"/>
          <w:szCs w:val="20"/>
        </w:rPr>
        <w:t xml:space="preserve">O, NOx) izgubi v zrak. </w:t>
      </w:r>
    </w:p>
    <w:p w14:paraId="01B24B8F" w14:textId="77777777" w:rsidR="00617285" w:rsidRPr="00545EC0" w:rsidRDefault="00617285" w:rsidP="00AD4FE7">
      <w:pPr>
        <w:rPr>
          <w:rFonts w:cs="Arial"/>
          <w:szCs w:val="20"/>
        </w:rPr>
      </w:pPr>
    </w:p>
    <w:p w14:paraId="30094CCC" w14:textId="77777777" w:rsidR="00617285" w:rsidRPr="00545EC0" w:rsidRDefault="00617285" w:rsidP="00AD4FE7">
      <w:pPr>
        <w:rPr>
          <w:rFonts w:cs="Arial"/>
          <w:szCs w:val="20"/>
        </w:rPr>
      </w:pPr>
      <w:r w:rsidRPr="00545EC0">
        <w:rPr>
          <w:rFonts w:cs="Arial"/>
          <w:szCs w:val="20"/>
        </w:rPr>
        <w:t xml:space="preserve">Na podlagi regionalnega vodno-bilančnega modela GROWA (Kunkel in Wendland, 2002) se tok vode, ki vsebuje dušik iz različnih razpršenih virov, loči v neposredni odtok (odtok zaradi drenaž in pripovršinski odtok), ki doseže površinske vode znotraj kratkih časovnih intervalov (v približno enem tednu) in odtok s podzemno vodo, ki doseže površinske vode v daljšem časovnem obdobju (več let). V tem obdobju v vodonosnikih lahko poteka denitrifikacija, ki zmanjša količino dušika v podzemni vodi in posledično tudi emisije dušika iz podzemne vode v površinske vode (Kunkel in Wendland 1997; Kunkel in Wendland 2000; Kunkel in sod., 2008; Wendland in sod., 2004). Proces denitrifkacije v vodonosnikih je zajet v okviru modela WEKU. Poleg navedenega se presežki dušika lahko denitrificirajo pri prehodu dušika skozi tla. Proces denitrifikacije v tleh, ki je odvisen od pedoloških značilnosti in padavinskih razmer, je zajet v okviru modela DENUZ. </w:t>
      </w:r>
    </w:p>
    <w:p w14:paraId="6FD3E927" w14:textId="0F4B0D9C" w:rsidR="00617285" w:rsidRPr="00545EC0" w:rsidRDefault="00617285" w:rsidP="00AD4FE7">
      <w:pPr>
        <w:rPr>
          <w:rFonts w:cs="Arial"/>
        </w:rPr>
      </w:pPr>
    </w:p>
    <w:p w14:paraId="656ECEB5" w14:textId="77777777" w:rsidR="0025492B" w:rsidRPr="00545EC0" w:rsidRDefault="0025492B" w:rsidP="0025492B">
      <w:pPr>
        <w:rPr>
          <w:b/>
          <w:i/>
        </w:rPr>
      </w:pPr>
      <w:r w:rsidRPr="00545EC0">
        <w:rPr>
          <w:b/>
          <w:i/>
        </w:rPr>
        <w:t>Prikaz obremenitev vodnih teles površinskih voda</w:t>
      </w:r>
    </w:p>
    <w:p w14:paraId="6892DE80" w14:textId="77777777" w:rsidR="0025492B" w:rsidRPr="00545EC0" w:rsidRDefault="0025492B" w:rsidP="00AD4FE7">
      <w:pPr>
        <w:rPr>
          <w:rFonts w:cs="Arial"/>
        </w:rPr>
      </w:pPr>
    </w:p>
    <w:p w14:paraId="2FA4731B" w14:textId="4D276087" w:rsidR="00617285" w:rsidRPr="00545EC0" w:rsidRDefault="00617285" w:rsidP="00AD4FE7">
      <w:pPr>
        <w:rPr>
          <w:rFonts w:cs="Arial"/>
        </w:rPr>
      </w:pPr>
      <w:r w:rsidRPr="00545EC0">
        <w:rPr>
          <w:rFonts w:cs="Arial"/>
        </w:rPr>
        <w:t>Na podlagi navedenega so v poglavju 2.2.2 tega načrta upravljanja voda za vodna telesa površinskih voda prikazani deleži skupne količine (N t/leto) v površinske vode ločeno glede na vire ali poti vnosa dušika v vode. Ocenjene količine dušika, ki so zaradi izvajanja kmetijske dejavnosti v letih 2015 do 2017 prehajale v površinske vode na VO Donave</w:t>
      </w:r>
      <w:r w:rsidR="00251748" w:rsidRPr="00545EC0">
        <w:rPr>
          <w:rFonts w:cs="Arial"/>
        </w:rPr>
        <w:t>,</w:t>
      </w:r>
      <w:r w:rsidRPr="00545EC0">
        <w:rPr>
          <w:rFonts w:cs="Arial"/>
        </w:rPr>
        <w:t xml:space="preserve"> so prikazane na sliki (</w:t>
      </w:r>
      <w:r w:rsidR="007804BE" w:rsidRPr="00545EC0">
        <w:rPr>
          <w:rFonts w:cs="Arial"/>
        </w:rPr>
        <w:fldChar w:fldCharType="begin"/>
      </w:r>
      <w:r w:rsidR="007804BE" w:rsidRPr="00545EC0">
        <w:rPr>
          <w:rFonts w:cs="Arial"/>
        </w:rPr>
        <w:instrText xml:space="preserve"> REF _Ref84330129 \h </w:instrText>
      </w:r>
      <w:r w:rsidR="00F37A91" w:rsidRPr="00545EC0">
        <w:rPr>
          <w:rFonts w:cs="Arial"/>
        </w:rPr>
        <w:instrText xml:space="preserve"> \* MERGEFORMAT </w:instrText>
      </w:r>
      <w:r w:rsidR="007804BE" w:rsidRPr="00545EC0">
        <w:rPr>
          <w:rFonts w:cs="Arial"/>
        </w:rPr>
      </w:r>
      <w:r w:rsidR="007804BE" w:rsidRPr="00545EC0">
        <w:rPr>
          <w:rFonts w:cs="Arial"/>
        </w:rPr>
        <w:fldChar w:fldCharType="separate"/>
      </w:r>
      <w:r w:rsidR="002F3E43" w:rsidRPr="00545EC0">
        <w:rPr>
          <w:rFonts w:cs="Arial"/>
          <w:bCs/>
          <w:szCs w:val="20"/>
          <w:lang w:eastAsia="ja-JP"/>
        </w:rPr>
        <w:t xml:space="preserve">Slika </w:t>
      </w:r>
      <w:r w:rsidR="002F3E43">
        <w:rPr>
          <w:rFonts w:cs="Arial"/>
          <w:bCs/>
          <w:noProof/>
          <w:szCs w:val="20"/>
          <w:lang w:eastAsia="ja-JP"/>
        </w:rPr>
        <w:t>2</w:t>
      </w:r>
      <w:r w:rsidR="002F3E43" w:rsidRPr="00545EC0">
        <w:rPr>
          <w:rFonts w:cs="Arial"/>
          <w:bCs/>
          <w:noProof/>
          <w:szCs w:val="20"/>
          <w:lang w:eastAsia="ja-JP"/>
        </w:rPr>
        <w:noBreakHyphen/>
      </w:r>
      <w:r w:rsidR="002F3E43">
        <w:rPr>
          <w:rFonts w:cs="Arial"/>
          <w:bCs/>
          <w:noProof/>
          <w:szCs w:val="20"/>
          <w:lang w:eastAsia="ja-JP"/>
        </w:rPr>
        <w:t>6</w:t>
      </w:r>
      <w:r w:rsidR="007804BE" w:rsidRPr="00545EC0">
        <w:rPr>
          <w:rFonts w:cs="Arial"/>
        </w:rPr>
        <w:fldChar w:fldCharType="end"/>
      </w:r>
      <w:r w:rsidR="00251748" w:rsidRPr="00545EC0">
        <w:rPr>
          <w:rFonts w:cs="Arial"/>
        </w:rPr>
        <w:t>). Največje količine dušika so</w:t>
      </w:r>
      <w:r w:rsidRPr="00545EC0">
        <w:rPr>
          <w:rFonts w:cs="Arial"/>
        </w:rPr>
        <w:t xml:space="preserve"> v površinske vode prehajale na porečju Drave. </w:t>
      </w:r>
    </w:p>
    <w:p w14:paraId="52E0A8E6" w14:textId="77777777" w:rsidR="00617285" w:rsidRPr="00545EC0" w:rsidRDefault="00617285" w:rsidP="00AD4FE7">
      <w:pPr>
        <w:rPr>
          <w:rFonts w:cs="Arial"/>
        </w:rPr>
      </w:pPr>
    </w:p>
    <w:p w14:paraId="0FBC7472" w14:textId="77777777" w:rsidR="00617285" w:rsidRPr="00545EC0" w:rsidRDefault="00617285" w:rsidP="00AD4FE7">
      <w:pPr>
        <w:rPr>
          <w:rFonts w:cs="Arial"/>
          <w:sz w:val="24"/>
        </w:rPr>
      </w:pPr>
      <w:r w:rsidRPr="00545EC0">
        <w:rPr>
          <w:rFonts w:cs="Arial"/>
          <w:noProof/>
          <w:sz w:val="24"/>
        </w:rPr>
        <w:drawing>
          <wp:inline distT="0" distB="0" distL="0" distR="0" wp14:anchorId="090F1635" wp14:editId="3767FEE9">
            <wp:extent cx="5451478" cy="3467100"/>
            <wp:effectExtent l="19050" t="19050" r="15875" b="1905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47666" cy="3464676"/>
                    </a:xfrm>
                    <a:prstGeom prst="rect">
                      <a:avLst/>
                    </a:prstGeom>
                    <a:noFill/>
                    <a:ln>
                      <a:solidFill>
                        <a:schemeClr val="bg1">
                          <a:lumMod val="75000"/>
                        </a:schemeClr>
                      </a:solidFill>
                    </a:ln>
                  </pic:spPr>
                </pic:pic>
              </a:graphicData>
            </a:graphic>
          </wp:inline>
        </w:drawing>
      </w:r>
    </w:p>
    <w:p w14:paraId="4BCBFAAD" w14:textId="07F0D57E" w:rsidR="00617285" w:rsidRPr="00545EC0" w:rsidRDefault="00617285" w:rsidP="00AD4FE7">
      <w:pPr>
        <w:overflowPunct/>
        <w:autoSpaceDE/>
        <w:autoSpaceDN/>
        <w:adjustRightInd/>
        <w:textAlignment w:val="auto"/>
        <w:rPr>
          <w:rFonts w:cs="Arial"/>
          <w:bCs/>
          <w:szCs w:val="20"/>
          <w:lang w:eastAsia="ja-JP"/>
        </w:rPr>
      </w:pPr>
      <w:bookmarkStart w:id="153" w:name="_Ref84330129"/>
      <w:r w:rsidRPr="00545EC0">
        <w:rPr>
          <w:rFonts w:cs="Arial"/>
          <w:bCs/>
          <w:szCs w:val="20"/>
          <w:lang w:eastAsia="ja-JP"/>
        </w:rPr>
        <w:t xml:space="preserve">Slika </w:t>
      </w:r>
      <w:r w:rsidR="00396E1E" w:rsidRPr="00545EC0">
        <w:rPr>
          <w:rFonts w:cs="Arial"/>
          <w:bCs/>
          <w:szCs w:val="20"/>
          <w:lang w:eastAsia="ja-JP"/>
        </w:rPr>
        <w:fldChar w:fldCharType="begin"/>
      </w:r>
      <w:r w:rsidR="00396E1E" w:rsidRPr="00545EC0">
        <w:rPr>
          <w:rFonts w:cs="Arial"/>
          <w:bCs/>
          <w:szCs w:val="20"/>
          <w:lang w:eastAsia="ja-JP"/>
        </w:rPr>
        <w:instrText xml:space="preserve"> STYLEREF 1 \s </w:instrText>
      </w:r>
      <w:r w:rsidR="00396E1E" w:rsidRPr="00545EC0">
        <w:rPr>
          <w:rFonts w:cs="Arial"/>
          <w:bCs/>
          <w:szCs w:val="20"/>
          <w:lang w:eastAsia="ja-JP"/>
        </w:rPr>
        <w:fldChar w:fldCharType="separate"/>
      </w:r>
      <w:r w:rsidR="002F3E43">
        <w:rPr>
          <w:rFonts w:cs="Arial"/>
          <w:bCs/>
          <w:noProof/>
          <w:szCs w:val="20"/>
          <w:lang w:eastAsia="ja-JP"/>
        </w:rPr>
        <w:t>2</w:t>
      </w:r>
      <w:r w:rsidR="00396E1E" w:rsidRPr="00545EC0">
        <w:rPr>
          <w:rFonts w:cs="Arial"/>
          <w:bCs/>
          <w:szCs w:val="20"/>
          <w:lang w:eastAsia="ja-JP"/>
        </w:rPr>
        <w:fldChar w:fldCharType="end"/>
      </w:r>
      <w:r w:rsidR="00396E1E" w:rsidRPr="00545EC0">
        <w:rPr>
          <w:rFonts w:cs="Arial"/>
          <w:bCs/>
          <w:szCs w:val="20"/>
          <w:lang w:eastAsia="ja-JP"/>
        </w:rPr>
        <w:noBreakHyphen/>
      </w:r>
      <w:r w:rsidR="00396E1E" w:rsidRPr="00545EC0">
        <w:rPr>
          <w:rFonts w:cs="Arial"/>
          <w:bCs/>
          <w:szCs w:val="20"/>
          <w:lang w:eastAsia="ja-JP"/>
        </w:rPr>
        <w:fldChar w:fldCharType="begin"/>
      </w:r>
      <w:r w:rsidR="00396E1E" w:rsidRPr="00545EC0">
        <w:rPr>
          <w:rFonts w:cs="Arial"/>
          <w:bCs/>
          <w:szCs w:val="20"/>
          <w:lang w:eastAsia="ja-JP"/>
        </w:rPr>
        <w:instrText xml:space="preserve"> SEQ Slika \* ARABIC \s 1 </w:instrText>
      </w:r>
      <w:r w:rsidR="00396E1E" w:rsidRPr="00545EC0">
        <w:rPr>
          <w:rFonts w:cs="Arial"/>
          <w:bCs/>
          <w:szCs w:val="20"/>
          <w:lang w:eastAsia="ja-JP"/>
        </w:rPr>
        <w:fldChar w:fldCharType="separate"/>
      </w:r>
      <w:r w:rsidR="002F3E43">
        <w:rPr>
          <w:rFonts w:cs="Arial"/>
          <w:bCs/>
          <w:noProof/>
          <w:szCs w:val="20"/>
          <w:lang w:eastAsia="ja-JP"/>
        </w:rPr>
        <w:t>6</w:t>
      </w:r>
      <w:r w:rsidR="00396E1E" w:rsidRPr="00545EC0">
        <w:rPr>
          <w:rFonts w:cs="Arial"/>
          <w:bCs/>
          <w:szCs w:val="20"/>
          <w:lang w:eastAsia="ja-JP"/>
        </w:rPr>
        <w:fldChar w:fldCharType="end"/>
      </w:r>
      <w:bookmarkEnd w:id="153"/>
      <w:r w:rsidRPr="00545EC0">
        <w:rPr>
          <w:rFonts w:cs="Arial"/>
          <w:bCs/>
          <w:szCs w:val="20"/>
          <w:lang w:eastAsia="ja-JP"/>
        </w:rPr>
        <w:t>: Ocenjene količine dušika (t/leto), ki so se zaradi kmetijstva v letih 2015, 2016 in 2017 odvajale v površinske vode na porečjih VO Donave</w:t>
      </w:r>
    </w:p>
    <w:p w14:paraId="6B5CA0B4" w14:textId="77777777" w:rsidR="00617285" w:rsidRPr="00545EC0" w:rsidRDefault="00617285" w:rsidP="00AD4FE7">
      <w:pPr>
        <w:rPr>
          <w:rFonts w:cs="Arial"/>
          <w:sz w:val="24"/>
        </w:rPr>
      </w:pPr>
    </w:p>
    <w:p w14:paraId="5B8DFBC5" w14:textId="11559C1F" w:rsidR="00617285" w:rsidRPr="00545EC0" w:rsidRDefault="00617285" w:rsidP="00AD4FE7">
      <w:pPr>
        <w:rPr>
          <w:rFonts w:cs="Arial"/>
        </w:rPr>
      </w:pPr>
      <w:r w:rsidRPr="00545EC0">
        <w:rPr>
          <w:rFonts w:cs="Arial"/>
        </w:rPr>
        <w:t>Bilančni presežek fosforja v kmetijstvu v Sloveniji</w:t>
      </w:r>
      <w:r w:rsidR="009B7498" w:rsidRPr="00545EC0">
        <w:rPr>
          <w:rFonts w:cs="Arial"/>
        </w:rPr>
        <w:t>,</w:t>
      </w:r>
      <w:r w:rsidRPr="00545EC0">
        <w:rPr>
          <w:rFonts w:cs="Arial"/>
        </w:rPr>
        <w:t xml:space="preserve"> izračunan po OECD – EUROSTAT metodologiji</w:t>
      </w:r>
      <w:r w:rsidR="009B7498" w:rsidRPr="00545EC0">
        <w:rPr>
          <w:rFonts w:cs="Arial"/>
        </w:rPr>
        <w:t>,</w:t>
      </w:r>
      <w:r w:rsidRPr="00545EC0">
        <w:rPr>
          <w:rFonts w:cs="Arial"/>
        </w:rPr>
        <w:t xml:space="preserve"> se je v obdobju 1992–2019 zmanjševal (Kazalci okolja, 2021). Za obdobje do leta 2005 so bili značilni presežki med 10 in 15 kg na hektar, po letu 2005 pa so večinoma manjši od 5 kg na hektar. Analiza trenda kaže, da se je bilančni presežek fosforja v obdobju 1992–2019 zmanjšal za 97 % (od 15,2 na 0,5 kg na hektar). Za bilančni presežek fosforja so značilna precejšnja nihanja med leti (od 5,9 kg P/leto do 0,7 kg P/leto</w:t>
      </w:r>
      <w:r w:rsidR="000B4718" w:rsidRPr="00545EC0">
        <w:rPr>
          <w:rFonts w:cs="Arial"/>
        </w:rPr>
        <w:t>)</w:t>
      </w:r>
      <w:r w:rsidRPr="00545EC0">
        <w:rPr>
          <w:rFonts w:cs="Arial"/>
        </w:rPr>
        <w:t xml:space="preserve"> v obdobju od 2009-2019</w:t>
      </w:r>
      <w:r w:rsidR="008F5BFC" w:rsidRPr="00545EC0">
        <w:rPr>
          <w:rFonts w:cs="Arial"/>
        </w:rPr>
        <w:t xml:space="preserve"> (</w:t>
      </w:r>
      <w:r w:rsidR="008F2748" w:rsidRPr="00545EC0">
        <w:rPr>
          <w:rFonts w:cs="Arial"/>
        </w:rPr>
        <w:fldChar w:fldCharType="begin"/>
      </w:r>
      <w:r w:rsidR="008F2748" w:rsidRPr="00545EC0">
        <w:rPr>
          <w:rFonts w:cs="Arial"/>
        </w:rPr>
        <w:instrText xml:space="preserve"> REF _Ref84577573 \h </w:instrText>
      </w:r>
      <w:r w:rsidR="003122F4" w:rsidRPr="00545EC0">
        <w:rPr>
          <w:rFonts w:cs="Arial"/>
        </w:rPr>
        <w:instrText xml:space="preserve"> \* MERGEFORMAT </w:instrText>
      </w:r>
      <w:r w:rsidR="008F2748" w:rsidRPr="00545EC0">
        <w:rPr>
          <w:rFonts w:cs="Arial"/>
        </w:rPr>
      </w:r>
      <w:r w:rsidR="008F2748" w:rsidRPr="00545EC0">
        <w:rPr>
          <w:rFonts w:cs="Arial"/>
        </w:rPr>
        <w:fldChar w:fldCharType="separate"/>
      </w:r>
      <w:r w:rsidR="002F3E43" w:rsidRPr="00545EC0">
        <w:t xml:space="preserve">Preglednica </w:t>
      </w:r>
      <w:r w:rsidR="002F3E43">
        <w:rPr>
          <w:noProof/>
        </w:rPr>
        <w:t>2</w:t>
      </w:r>
      <w:r w:rsidR="002F3E43" w:rsidRPr="00545EC0">
        <w:rPr>
          <w:noProof/>
        </w:rPr>
        <w:noBreakHyphen/>
      </w:r>
      <w:r w:rsidR="002F3E43">
        <w:rPr>
          <w:noProof/>
        </w:rPr>
        <w:t>12</w:t>
      </w:r>
      <w:r w:rsidR="008F2748" w:rsidRPr="00545EC0">
        <w:rPr>
          <w:rFonts w:cs="Arial"/>
        </w:rPr>
        <w:fldChar w:fldCharType="end"/>
      </w:r>
      <w:r w:rsidR="008F2748" w:rsidRPr="00545EC0">
        <w:rPr>
          <w:rFonts w:cs="Arial"/>
        </w:rPr>
        <w:t>)</w:t>
      </w:r>
      <w:r w:rsidR="000B4718" w:rsidRPr="00545EC0">
        <w:rPr>
          <w:rFonts w:cs="Arial"/>
        </w:rPr>
        <w:t>.</w:t>
      </w:r>
      <w:r w:rsidR="008F5BFC" w:rsidRPr="00545EC0">
        <w:rPr>
          <w:rFonts w:cs="Arial"/>
        </w:rPr>
        <w:fldChar w:fldCharType="begin"/>
      </w:r>
      <w:r w:rsidR="008F5BFC" w:rsidRPr="00545EC0">
        <w:rPr>
          <w:rFonts w:cs="Arial"/>
        </w:rPr>
        <w:instrText xml:space="preserve"> REF _Ref84252851 \h </w:instrText>
      </w:r>
      <w:r w:rsidR="00F37A91" w:rsidRPr="00545EC0">
        <w:rPr>
          <w:rFonts w:cs="Arial"/>
        </w:rPr>
        <w:instrText xml:space="preserve"> \* MERGEFORMAT </w:instrText>
      </w:r>
      <w:r w:rsidR="008F5BFC" w:rsidRPr="00545EC0">
        <w:rPr>
          <w:rFonts w:cs="Arial"/>
        </w:rPr>
      </w:r>
      <w:r w:rsidR="008F5BFC" w:rsidRPr="00545EC0">
        <w:rPr>
          <w:rFonts w:cs="Arial"/>
        </w:rPr>
        <w:fldChar w:fldCharType="separate"/>
      </w:r>
      <w:r w:rsidR="002F3E43" w:rsidRPr="00545EC0">
        <w:t xml:space="preserve">Preglednica </w:t>
      </w:r>
      <w:r w:rsidR="002F3E43">
        <w:rPr>
          <w:noProof/>
        </w:rPr>
        <w:t>2</w:t>
      </w:r>
      <w:r w:rsidR="002F3E43" w:rsidRPr="00545EC0">
        <w:rPr>
          <w:noProof/>
        </w:rPr>
        <w:noBreakHyphen/>
      </w:r>
      <w:r w:rsidR="002F3E43">
        <w:rPr>
          <w:noProof/>
        </w:rPr>
        <w:t>12</w:t>
      </w:r>
      <w:r w:rsidR="002F3E43" w:rsidRPr="00545EC0">
        <w:t xml:space="preserve">: </w:t>
      </w:r>
      <w:r w:rsidR="002F3E43" w:rsidRPr="00545EC0">
        <w:rPr>
          <w:szCs w:val="20"/>
        </w:rPr>
        <w:t>Bilančni presežek fosforja v kmetijstvu v Sloveniji v obdobju od 2009 – 2019 (VIR: Kmetijski inštitut Slovenije, Ljubljana 2021)</w:t>
      </w:r>
      <w:r w:rsidR="008F5BFC" w:rsidRPr="00545EC0">
        <w:rPr>
          <w:rFonts w:cs="Arial"/>
        </w:rPr>
        <w:fldChar w:fldCharType="end"/>
      </w:r>
      <w:r w:rsidRPr="00545EC0">
        <w:rPr>
          <w:rFonts w:cs="Arial"/>
        </w:rPr>
        <w:t xml:space="preserve"> Velike razlike so pogojene predvsem z različnimi vremenskimi razmerami, ki pogojujejo rast kmetijskih rastlin, pridelave in s tem odvzem fosforja s kmetijskih zemljišč. </w:t>
      </w:r>
    </w:p>
    <w:p w14:paraId="7100A16F" w14:textId="77777777" w:rsidR="00617285" w:rsidRPr="00545EC0" w:rsidRDefault="00617285" w:rsidP="00AD4FE7">
      <w:pPr>
        <w:rPr>
          <w:rFonts w:cs="Arial"/>
        </w:rPr>
      </w:pPr>
    </w:p>
    <w:p w14:paraId="403E1C9B" w14:textId="77777777" w:rsidR="00617285" w:rsidRPr="00545EC0" w:rsidRDefault="00617285" w:rsidP="00AD4FE7">
      <w:pPr>
        <w:rPr>
          <w:rFonts w:cs="Arial"/>
        </w:rPr>
      </w:pPr>
      <w:r w:rsidRPr="00545EC0">
        <w:rPr>
          <w:rFonts w:cs="Arial"/>
        </w:rPr>
        <w:t>Rezultate o bilančnih presežkih fosforja je treba interpretirati v povezavi s podatki o založenosti tal s tem elementom. Potencialno tveganje za onesnaženje voda predstavljajo prevelike zaloge fosforja v tleh. Rezultati analiz tal kažejo, da v povprečju 79 % travniških in 44 % njivskih tal ne dosega optimalne založenosti s fosforjem, optimalna založenost pa je presežena na 9 % travniških in 26 % njivskih tal (Babnik in sod., 2011).</w:t>
      </w:r>
    </w:p>
    <w:p w14:paraId="16F8BCFD" w14:textId="77777777" w:rsidR="008F5BFC" w:rsidRPr="00545EC0" w:rsidRDefault="008F5BFC" w:rsidP="00AD4FE7">
      <w:pPr>
        <w:rPr>
          <w:rFonts w:cs="Arial"/>
        </w:rPr>
      </w:pPr>
    </w:p>
    <w:p w14:paraId="7FE0D721" w14:textId="3406F437" w:rsidR="00617285" w:rsidRPr="00545EC0" w:rsidRDefault="00617285" w:rsidP="00AD4FE7">
      <w:pPr>
        <w:pStyle w:val="Napis"/>
        <w:rPr>
          <w:szCs w:val="20"/>
        </w:rPr>
      </w:pPr>
      <w:bookmarkStart w:id="154" w:name="_Ref84577573"/>
      <w:bookmarkStart w:id="155" w:name="_Ref84252851"/>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12</w:t>
        </w:r>
      </w:fldSimple>
      <w:bookmarkEnd w:id="154"/>
      <w:r w:rsidRPr="00545EC0">
        <w:t xml:space="preserve">: </w:t>
      </w:r>
      <w:r w:rsidRPr="00545EC0">
        <w:rPr>
          <w:szCs w:val="20"/>
        </w:rPr>
        <w:t>Bilančni presežek fosforja v kmetijstvu v Sloveniji v obdobju od 2009 – 2019 (VIR: Kmetijski inštitut Slovenije, Ljubljana 2021)</w:t>
      </w:r>
      <w:bookmarkEnd w:id="155"/>
    </w:p>
    <w:tbl>
      <w:tblPr>
        <w:tblStyle w:val="Tabelamrea"/>
        <w:tblW w:w="0" w:type="auto"/>
        <w:tblLook w:val="04A0" w:firstRow="1" w:lastRow="0" w:firstColumn="1" w:lastColumn="0" w:noHBand="0" w:noVBand="1"/>
      </w:tblPr>
      <w:tblGrid>
        <w:gridCol w:w="1073"/>
        <w:gridCol w:w="735"/>
        <w:gridCol w:w="735"/>
        <w:gridCol w:w="735"/>
        <w:gridCol w:w="735"/>
        <w:gridCol w:w="735"/>
        <w:gridCol w:w="735"/>
        <w:gridCol w:w="735"/>
        <w:gridCol w:w="735"/>
        <w:gridCol w:w="778"/>
        <w:gridCol w:w="778"/>
        <w:gridCol w:w="778"/>
      </w:tblGrid>
      <w:tr w:rsidR="003122F4" w:rsidRPr="00545EC0" w14:paraId="09E9C0E3" w14:textId="77777777" w:rsidTr="008F5BFC">
        <w:trPr>
          <w:trHeight w:val="361"/>
        </w:trPr>
        <w:tc>
          <w:tcPr>
            <w:tcW w:w="1073" w:type="dxa"/>
            <w:shd w:val="clear" w:color="auto" w:fill="F2F2F2" w:themeFill="background1" w:themeFillShade="F2"/>
            <w:vAlign w:val="center"/>
          </w:tcPr>
          <w:p w14:paraId="6FAA1954" w14:textId="77777777" w:rsidR="00617285" w:rsidRPr="00545EC0" w:rsidRDefault="00617285" w:rsidP="00AD4FE7">
            <w:pPr>
              <w:jc w:val="center"/>
              <w:rPr>
                <w:b/>
                <w:sz w:val="18"/>
                <w:szCs w:val="20"/>
                <w:lang w:eastAsia="x-none"/>
              </w:rPr>
            </w:pPr>
            <w:r w:rsidRPr="00545EC0">
              <w:rPr>
                <w:b/>
                <w:sz w:val="18"/>
                <w:szCs w:val="20"/>
                <w:lang w:eastAsia="x-none"/>
              </w:rPr>
              <w:t>Leto</w:t>
            </w:r>
          </w:p>
        </w:tc>
        <w:tc>
          <w:tcPr>
            <w:tcW w:w="735" w:type="dxa"/>
            <w:shd w:val="clear" w:color="auto" w:fill="F2F2F2" w:themeFill="background1" w:themeFillShade="F2"/>
            <w:vAlign w:val="center"/>
          </w:tcPr>
          <w:p w14:paraId="6B9A8D98" w14:textId="77777777" w:rsidR="00617285" w:rsidRPr="00545EC0" w:rsidRDefault="00617285" w:rsidP="00AD4FE7">
            <w:pPr>
              <w:jc w:val="center"/>
              <w:rPr>
                <w:b/>
                <w:sz w:val="18"/>
                <w:szCs w:val="20"/>
                <w:lang w:eastAsia="x-none"/>
              </w:rPr>
            </w:pPr>
            <w:r w:rsidRPr="00545EC0">
              <w:rPr>
                <w:b/>
                <w:sz w:val="18"/>
                <w:szCs w:val="20"/>
                <w:lang w:eastAsia="x-none"/>
              </w:rPr>
              <w:t>2009</w:t>
            </w:r>
          </w:p>
        </w:tc>
        <w:tc>
          <w:tcPr>
            <w:tcW w:w="735" w:type="dxa"/>
            <w:shd w:val="clear" w:color="auto" w:fill="F2F2F2" w:themeFill="background1" w:themeFillShade="F2"/>
            <w:vAlign w:val="center"/>
          </w:tcPr>
          <w:p w14:paraId="2336F795" w14:textId="77777777" w:rsidR="00617285" w:rsidRPr="00545EC0" w:rsidRDefault="00617285" w:rsidP="00AD4FE7">
            <w:pPr>
              <w:jc w:val="center"/>
              <w:rPr>
                <w:b/>
                <w:sz w:val="18"/>
                <w:szCs w:val="20"/>
                <w:lang w:eastAsia="x-none"/>
              </w:rPr>
            </w:pPr>
            <w:r w:rsidRPr="00545EC0">
              <w:rPr>
                <w:b/>
                <w:sz w:val="18"/>
                <w:szCs w:val="20"/>
                <w:lang w:eastAsia="x-none"/>
              </w:rPr>
              <w:t>2010</w:t>
            </w:r>
          </w:p>
        </w:tc>
        <w:tc>
          <w:tcPr>
            <w:tcW w:w="735" w:type="dxa"/>
            <w:shd w:val="clear" w:color="auto" w:fill="F2F2F2" w:themeFill="background1" w:themeFillShade="F2"/>
            <w:vAlign w:val="center"/>
          </w:tcPr>
          <w:p w14:paraId="0EC4D03F" w14:textId="77777777" w:rsidR="00617285" w:rsidRPr="00545EC0" w:rsidRDefault="00617285" w:rsidP="00AD4FE7">
            <w:pPr>
              <w:jc w:val="center"/>
              <w:rPr>
                <w:b/>
                <w:sz w:val="18"/>
                <w:szCs w:val="20"/>
                <w:lang w:eastAsia="x-none"/>
              </w:rPr>
            </w:pPr>
            <w:r w:rsidRPr="00545EC0">
              <w:rPr>
                <w:b/>
                <w:sz w:val="18"/>
                <w:szCs w:val="20"/>
                <w:lang w:eastAsia="x-none"/>
              </w:rPr>
              <w:t>2011</w:t>
            </w:r>
          </w:p>
        </w:tc>
        <w:tc>
          <w:tcPr>
            <w:tcW w:w="735" w:type="dxa"/>
            <w:shd w:val="clear" w:color="auto" w:fill="F2F2F2" w:themeFill="background1" w:themeFillShade="F2"/>
            <w:vAlign w:val="center"/>
          </w:tcPr>
          <w:p w14:paraId="2F75AE72" w14:textId="77777777" w:rsidR="00617285" w:rsidRPr="00545EC0" w:rsidRDefault="00617285" w:rsidP="00AD4FE7">
            <w:pPr>
              <w:jc w:val="center"/>
              <w:rPr>
                <w:b/>
                <w:sz w:val="18"/>
                <w:szCs w:val="20"/>
                <w:lang w:eastAsia="x-none"/>
              </w:rPr>
            </w:pPr>
            <w:r w:rsidRPr="00545EC0">
              <w:rPr>
                <w:b/>
                <w:sz w:val="18"/>
                <w:szCs w:val="20"/>
                <w:lang w:eastAsia="x-none"/>
              </w:rPr>
              <w:t>2012</w:t>
            </w:r>
          </w:p>
        </w:tc>
        <w:tc>
          <w:tcPr>
            <w:tcW w:w="735" w:type="dxa"/>
            <w:shd w:val="clear" w:color="auto" w:fill="F2F2F2" w:themeFill="background1" w:themeFillShade="F2"/>
            <w:vAlign w:val="center"/>
          </w:tcPr>
          <w:p w14:paraId="50B20FAC" w14:textId="77777777" w:rsidR="00617285" w:rsidRPr="00545EC0" w:rsidRDefault="00617285" w:rsidP="00AD4FE7">
            <w:pPr>
              <w:jc w:val="center"/>
              <w:rPr>
                <w:b/>
                <w:sz w:val="18"/>
                <w:szCs w:val="20"/>
                <w:lang w:eastAsia="x-none"/>
              </w:rPr>
            </w:pPr>
            <w:r w:rsidRPr="00545EC0">
              <w:rPr>
                <w:b/>
                <w:sz w:val="18"/>
                <w:szCs w:val="20"/>
                <w:lang w:eastAsia="x-none"/>
              </w:rPr>
              <w:t>2013</w:t>
            </w:r>
          </w:p>
        </w:tc>
        <w:tc>
          <w:tcPr>
            <w:tcW w:w="735" w:type="dxa"/>
            <w:shd w:val="clear" w:color="auto" w:fill="F2F2F2" w:themeFill="background1" w:themeFillShade="F2"/>
            <w:vAlign w:val="center"/>
          </w:tcPr>
          <w:p w14:paraId="5A102588" w14:textId="77777777" w:rsidR="00617285" w:rsidRPr="00545EC0" w:rsidRDefault="00617285" w:rsidP="00AD4FE7">
            <w:pPr>
              <w:jc w:val="center"/>
              <w:rPr>
                <w:b/>
                <w:sz w:val="18"/>
                <w:szCs w:val="20"/>
                <w:lang w:eastAsia="x-none"/>
              </w:rPr>
            </w:pPr>
            <w:r w:rsidRPr="00545EC0">
              <w:rPr>
                <w:b/>
                <w:sz w:val="18"/>
                <w:szCs w:val="20"/>
                <w:lang w:eastAsia="x-none"/>
              </w:rPr>
              <w:t>2014</w:t>
            </w:r>
          </w:p>
        </w:tc>
        <w:tc>
          <w:tcPr>
            <w:tcW w:w="735" w:type="dxa"/>
            <w:shd w:val="clear" w:color="auto" w:fill="F2F2F2" w:themeFill="background1" w:themeFillShade="F2"/>
            <w:vAlign w:val="center"/>
          </w:tcPr>
          <w:p w14:paraId="387CA966" w14:textId="77777777" w:rsidR="00617285" w:rsidRPr="00545EC0" w:rsidRDefault="00617285" w:rsidP="00AD4FE7">
            <w:pPr>
              <w:jc w:val="center"/>
              <w:rPr>
                <w:b/>
                <w:sz w:val="18"/>
                <w:szCs w:val="20"/>
                <w:lang w:eastAsia="x-none"/>
              </w:rPr>
            </w:pPr>
            <w:r w:rsidRPr="00545EC0">
              <w:rPr>
                <w:b/>
                <w:sz w:val="18"/>
                <w:szCs w:val="20"/>
                <w:lang w:eastAsia="x-none"/>
              </w:rPr>
              <w:t>2015</w:t>
            </w:r>
          </w:p>
        </w:tc>
        <w:tc>
          <w:tcPr>
            <w:tcW w:w="735" w:type="dxa"/>
            <w:shd w:val="clear" w:color="auto" w:fill="F2F2F2" w:themeFill="background1" w:themeFillShade="F2"/>
            <w:vAlign w:val="center"/>
          </w:tcPr>
          <w:p w14:paraId="217B837A" w14:textId="77777777" w:rsidR="00617285" w:rsidRPr="00545EC0" w:rsidRDefault="00617285" w:rsidP="00AD4FE7">
            <w:pPr>
              <w:jc w:val="center"/>
              <w:rPr>
                <w:b/>
                <w:sz w:val="18"/>
                <w:szCs w:val="20"/>
                <w:lang w:eastAsia="x-none"/>
              </w:rPr>
            </w:pPr>
            <w:r w:rsidRPr="00545EC0">
              <w:rPr>
                <w:b/>
                <w:sz w:val="18"/>
                <w:szCs w:val="20"/>
                <w:lang w:eastAsia="x-none"/>
              </w:rPr>
              <w:t>2016</w:t>
            </w:r>
          </w:p>
        </w:tc>
        <w:tc>
          <w:tcPr>
            <w:tcW w:w="778" w:type="dxa"/>
            <w:shd w:val="clear" w:color="auto" w:fill="F2F2F2" w:themeFill="background1" w:themeFillShade="F2"/>
            <w:vAlign w:val="center"/>
          </w:tcPr>
          <w:p w14:paraId="1A6F957F" w14:textId="77777777" w:rsidR="00617285" w:rsidRPr="00545EC0" w:rsidRDefault="00617285" w:rsidP="00AD4FE7">
            <w:pPr>
              <w:jc w:val="center"/>
              <w:rPr>
                <w:b/>
                <w:sz w:val="18"/>
                <w:szCs w:val="20"/>
                <w:lang w:eastAsia="x-none"/>
              </w:rPr>
            </w:pPr>
            <w:r w:rsidRPr="00545EC0">
              <w:rPr>
                <w:b/>
                <w:sz w:val="18"/>
                <w:szCs w:val="20"/>
                <w:lang w:eastAsia="x-none"/>
              </w:rPr>
              <w:t>2017</w:t>
            </w:r>
          </w:p>
        </w:tc>
        <w:tc>
          <w:tcPr>
            <w:tcW w:w="778" w:type="dxa"/>
            <w:shd w:val="clear" w:color="auto" w:fill="F2F2F2" w:themeFill="background1" w:themeFillShade="F2"/>
            <w:vAlign w:val="center"/>
          </w:tcPr>
          <w:p w14:paraId="45C6E920" w14:textId="77777777" w:rsidR="00617285" w:rsidRPr="00545EC0" w:rsidRDefault="00617285" w:rsidP="00AD4FE7">
            <w:pPr>
              <w:jc w:val="center"/>
              <w:rPr>
                <w:b/>
                <w:sz w:val="18"/>
                <w:szCs w:val="20"/>
                <w:lang w:eastAsia="x-none"/>
              </w:rPr>
            </w:pPr>
            <w:r w:rsidRPr="00545EC0">
              <w:rPr>
                <w:b/>
                <w:sz w:val="18"/>
                <w:szCs w:val="20"/>
                <w:lang w:eastAsia="x-none"/>
              </w:rPr>
              <w:t>2018</w:t>
            </w:r>
          </w:p>
        </w:tc>
        <w:tc>
          <w:tcPr>
            <w:tcW w:w="778" w:type="dxa"/>
            <w:shd w:val="clear" w:color="auto" w:fill="F2F2F2" w:themeFill="background1" w:themeFillShade="F2"/>
            <w:vAlign w:val="center"/>
          </w:tcPr>
          <w:p w14:paraId="7AEA4F1B" w14:textId="77777777" w:rsidR="00617285" w:rsidRPr="00545EC0" w:rsidRDefault="00617285" w:rsidP="00AD4FE7">
            <w:pPr>
              <w:jc w:val="center"/>
              <w:rPr>
                <w:b/>
                <w:sz w:val="18"/>
                <w:szCs w:val="20"/>
                <w:lang w:eastAsia="x-none"/>
              </w:rPr>
            </w:pPr>
            <w:r w:rsidRPr="00545EC0">
              <w:rPr>
                <w:b/>
                <w:sz w:val="18"/>
                <w:szCs w:val="20"/>
                <w:lang w:eastAsia="x-none"/>
              </w:rPr>
              <w:t>2019</w:t>
            </w:r>
          </w:p>
        </w:tc>
      </w:tr>
      <w:tr w:rsidR="00617285" w:rsidRPr="00545EC0" w14:paraId="63E836F7" w14:textId="77777777" w:rsidTr="00017486">
        <w:tc>
          <w:tcPr>
            <w:tcW w:w="1073" w:type="dxa"/>
            <w:vAlign w:val="center"/>
          </w:tcPr>
          <w:p w14:paraId="67998487" w14:textId="66445C5E" w:rsidR="00617285" w:rsidRPr="00545EC0" w:rsidRDefault="00617285" w:rsidP="00AD4FE7">
            <w:pPr>
              <w:jc w:val="center"/>
              <w:rPr>
                <w:rFonts w:cs="Arial"/>
                <w:b/>
                <w:bCs/>
                <w:sz w:val="18"/>
                <w:szCs w:val="20"/>
              </w:rPr>
            </w:pPr>
            <w:r w:rsidRPr="00545EC0">
              <w:rPr>
                <w:rFonts w:cs="Arial"/>
                <w:b/>
                <w:bCs/>
                <w:sz w:val="18"/>
                <w:szCs w:val="20"/>
              </w:rPr>
              <w:t xml:space="preserve">Bilančni presežek </w:t>
            </w:r>
            <w:r w:rsidR="00C12042" w:rsidRPr="00545EC0">
              <w:rPr>
                <w:rFonts w:cs="Arial"/>
                <w:b/>
                <w:bCs/>
                <w:sz w:val="18"/>
                <w:szCs w:val="20"/>
              </w:rPr>
              <w:t>fosforja</w:t>
            </w:r>
          </w:p>
          <w:p w14:paraId="077E1480" w14:textId="77777777" w:rsidR="00617285" w:rsidRPr="00545EC0" w:rsidRDefault="00617285" w:rsidP="00AD4FE7">
            <w:pPr>
              <w:jc w:val="center"/>
              <w:rPr>
                <w:sz w:val="18"/>
                <w:szCs w:val="20"/>
                <w:lang w:eastAsia="x-none"/>
              </w:rPr>
            </w:pPr>
            <w:r w:rsidRPr="00545EC0">
              <w:rPr>
                <w:rFonts w:cs="Arial"/>
                <w:bCs/>
                <w:sz w:val="18"/>
                <w:szCs w:val="20"/>
              </w:rPr>
              <w:t>[ kg P/ha]</w:t>
            </w:r>
          </w:p>
        </w:tc>
        <w:tc>
          <w:tcPr>
            <w:tcW w:w="735" w:type="dxa"/>
            <w:vAlign w:val="center"/>
          </w:tcPr>
          <w:p w14:paraId="0AE523BB" w14:textId="77777777" w:rsidR="00617285" w:rsidRPr="00545EC0" w:rsidRDefault="00617285" w:rsidP="00AD4FE7">
            <w:pPr>
              <w:jc w:val="center"/>
              <w:rPr>
                <w:sz w:val="18"/>
                <w:szCs w:val="20"/>
                <w:lang w:eastAsia="x-none"/>
              </w:rPr>
            </w:pPr>
            <w:r w:rsidRPr="00545EC0">
              <w:rPr>
                <w:rFonts w:cs="Arial"/>
                <w:sz w:val="18"/>
                <w:szCs w:val="20"/>
              </w:rPr>
              <w:t>2,1</w:t>
            </w:r>
          </w:p>
        </w:tc>
        <w:tc>
          <w:tcPr>
            <w:tcW w:w="735" w:type="dxa"/>
            <w:vAlign w:val="center"/>
          </w:tcPr>
          <w:p w14:paraId="13987D60" w14:textId="77777777" w:rsidR="00617285" w:rsidRPr="00545EC0" w:rsidRDefault="00617285" w:rsidP="00AD4FE7">
            <w:pPr>
              <w:jc w:val="center"/>
              <w:rPr>
                <w:sz w:val="18"/>
                <w:szCs w:val="20"/>
                <w:lang w:eastAsia="x-none"/>
              </w:rPr>
            </w:pPr>
            <w:r w:rsidRPr="00545EC0">
              <w:rPr>
                <w:rFonts w:cs="Arial"/>
                <w:sz w:val="18"/>
                <w:szCs w:val="20"/>
              </w:rPr>
              <w:t>2,9</w:t>
            </w:r>
          </w:p>
        </w:tc>
        <w:tc>
          <w:tcPr>
            <w:tcW w:w="735" w:type="dxa"/>
            <w:vAlign w:val="center"/>
          </w:tcPr>
          <w:p w14:paraId="5C0E8771" w14:textId="77777777" w:rsidR="00617285" w:rsidRPr="00545EC0" w:rsidRDefault="00617285" w:rsidP="00AD4FE7">
            <w:pPr>
              <w:jc w:val="center"/>
              <w:rPr>
                <w:sz w:val="18"/>
                <w:szCs w:val="20"/>
                <w:lang w:eastAsia="x-none"/>
              </w:rPr>
            </w:pPr>
            <w:r w:rsidRPr="00545EC0">
              <w:rPr>
                <w:rFonts w:cs="Arial"/>
                <w:sz w:val="18"/>
                <w:szCs w:val="20"/>
              </w:rPr>
              <w:t>2,8</w:t>
            </w:r>
          </w:p>
        </w:tc>
        <w:tc>
          <w:tcPr>
            <w:tcW w:w="735" w:type="dxa"/>
            <w:vAlign w:val="center"/>
          </w:tcPr>
          <w:p w14:paraId="346EE367" w14:textId="77777777" w:rsidR="00617285" w:rsidRPr="00545EC0" w:rsidRDefault="00617285" w:rsidP="00AD4FE7">
            <w:pPr>
              <w:jc w:val="center"/>
              <w:rPr>
                <w:sz w:val="18"/>
                <w:szCs w:val="20"/>
                <w:lang w:eastAsia="x-none"/>
              </w:rPr>
            </w:pPr>
            <w:r w:rsidRPr="00545EC0">
              <w:rPr>
                <w:rFonts w:cs="Arial"/>
                <w:sz w:val="18"/>
                <w:szCs w:val="20"/>
              </w:rPr>
              <w:t>4,2</w:t>
            </w:r>
          </w:p>
        </w:tc>
        <w:tc>
          <w:tcPr>
            <w:tcW w:w="735" w:type="dxa"/>
            <w:vAlign w:val="center"/>
          </w:tcPr>
          <w:p w14:paraId="1D16A8BB" w14:textId="77777777" w:rsidR="00617285" w:rsidRPr="00545EC0" w:rsidRDefault="00617285" w:rsidP="00AD4FE7">
            <w:pPr>
              <w:jc w:val="center"/>
              <w:rPr>
                <w:sz w:val="18"/>
                <w:szCs w:val="20"/>
                <w:lang w:eastAsia="x-none"/>
              </w:rPr>
            </w:pPr>
            <w:r w:rsidRPr="00545EC0">
              <w:rPr>
                <w:rFonts w:cs="Arial"/>
                <w:sz w:val="18"/>
                <w:szCs w:val="20"/>
              </w:rPr>
              <w:t>5,9</w:t>
            </w:r>
          </w:p>
        </w:tc>
        <w:tc>
          <w:tcPr>
            <w:tcW w:w="735" w:type="dxa"/>
            <w:vAlign w:val="center"/>
          </w:tcPr>
          <w:p w14:paraId="0953DE43" w14:textId="77777777" w:rsidR="00617285" w:rsidRPr="00545EC0" w:rsidRDefault="00617285" w:rsidP="00AD4FE7">
            <w:pPr>
              <w:jc w:val="center"/>
              <w:rPr>
                <w:sz w:val="18"/>
                <w:szCs w:val="20"/>
                <w:lang w:eastAsia="x-none"/>
              </w:rPr>
            </w:pPr>
            <w:r w:rsidRPr="00545EC0">
              <w:rPr>
                <w:rFonts w:cs="Arial"/>
                <w:sz w:val="18"/>
                <w:szCs w:val="20"/>
              </w:rPr>
              <w:t>1,3</w:t>
            </w:r>
          </w:p>
        </w:tc>
        <w:tc>
          <w:tcPr>
            <w:tcW w:w="735" w:type="dxa"/>
            <w:vAlign w:val="center"/>
          </w:tcPr>
          <w:p w14:paraId="71825906" w14:textId="77777777" w:rsidR="00617285" w:rsidRPr="00545EC0" w:rsidRDefault="00617285" w:rsidP="00AD4FE7">
            <w:pPr>
              <w:jc w:val="center"/>
              <w:rPr>
                <w:sz w:val="18"/>
                <w:szCs w:val="20"/>
                <w:lang w:eastAsia="x-none"/>
              </w:rPr>
            </w:pPr>
            <w:r w:rsidRPr="00545EC0">
              <w:rPr>
                <w:rFonts w:cs="Arial"/>
                <w:sz w:val="18"/>
                <w:szCs w:val="20"/>
              </w:rPr>
              <w:t>2,0</w:t>
            </w:r>
          </w:p>
        </w:tc>
        <w:tc>
          <w:tcPr>
            <w:tcW w:w="735" w:type="dxa"/>
            <w:vAlign w:val="center"/>
          </w:tcPr>
          <w:p w14:paraId="309E2D39" w14:textId="77777777" w:rsidR="00617285" w:rsidRPr="00545EC0" w:rsidRDefault="00617285" w:rsidP="00AD4FE7">
            <w:pPr>
              <w:jc w:val="center"/>
              <w:rPr>
                <w:sz w:val="18"/>
                <w:szCs w:val="20"/>
                <w:lang w:eastAsia="x-none"/>
              </w:rPr>
            </w:pPr>
            <w:r w:rsidRPr="00545EC0">
              <w:rPr>
                <w:rFonts w:cs="Arial"/>
                <w:sz w:val="18"/>
                <w:szCs w:val="20"/>
              </w:rPr>
              <w:t>1,6</w:t>
            </w:r>
          </w:p>
        </w:tc>
        <w:tc>
          <w:tcPr>
            <w:tcW w:w="778" w:type="dxa"/>
            <w:vAlign w:val="center"/>
          </w:tcPr>
          <w:p w14:paraId="3F39A8B7" w14:textId="77777777" w:rsidR="00617285" w:rsidRPr="00545EC0" w:rsidRDefault="00617285" w:rsidP="00AD4FE7">
            <w:pPr>
              <w:jc w:val="center"/>
              <w:rPr>
                <w:sz w:val="18"/>
                <w:szCs w:val="20"/>
                <w:lang w:eastAsia="x-none"/>
              </w:rPr>
            </w:pPr>
            <w:r w:rsidRPr="00545EC0">
              <w:rPr>
                <w:rFonts w:cs="Arial"/>
                <w:sz w:val="18"/>
                <w:szCs w:val="20"/>
              </w:rPr>
              <w:t>5,1</w:t>
            </w:r>
          </w:p>
        </w:tc>
        <w:tc>
          <w:tcPr>
            <w:tcW w:w="778" w:type="dxa"/>
            <w:vAlign w:val="center"/>
          </w:tcPr>
          <w:p w14:paraId="220A597C" w14:textId="77777777" w:rsidR="00617285" w:rsidRPr="00545EC0" w:rsidRDefault="00617285" w:rsidP="00AD4FE7">
            <w:pPr>
              <w:jc w:val="center"/>
              <w:rPr>
                <w:sz w:val="18"/>
                <w:szCs w:val="20"/>
                <w:lang w:eastAsia="x-none"/>
              </w:rPr>
            </w:pPr>
            <w:r w:rsidRPr="00545EC0">
              <w:rPr>
                <w:rFonts w:cs="Arial"/>
                <w:sz w:val="18"/>
                <w:szCs w:val="20"/>
              </w:rPr>
              <w:t>1,9</w:t>
            </w:r>
          </w:p>
        </w:tc>
        <w:tc>
          <w:tcPr>
            <w:tcW w:w="778" w:type="dxa"/>
            <w:vAlign w:val="center"/>
          </w:tcPr>
          <w:p w14:paraId="0217BE32" w14:textId="77777777" w:rsidR="00617285" w:rsidRPr="00545EC0" w:rsidRDefault="00617285" w:rsidP="00AD4FE7">
            <w:pPr>
              <w:jc w:val="center"/>
              <w:rPr>
                <w:sz w:val="18"/>
                <w:szCs w:val="20"/>
                <w:lang w:eastAsia="x-none"/>
              </w:rPr>
            </w:pPr>
            <w:r w:rsidRPr="00545EC0">
              <w:rPr>
                <w:rFonts w:cs="Arial"/>
                <w:sz w:val="18"/>
                <w:szCs w:val="20"/>
              </w:rPr>
              <w:t>0,7</w:t>
            </w:r>
          </w:p>
        </w:tc>
      </w:tr>
    </w:tbl>
    <w:p w14:paraId="0F1EAEA1" w14:textId="77777777" w:rsidR="00617285" w:rsidRPr="00545EC0" w:rsidRDefault="00617285" w:rsidP="00AD4FE7">
      <w:pPr>
        <w:rPr>
          <w:rFonts w:cs="Arial"/>
        </w:rPr>
      </w:pPr>
    </w:p>
    <w:p w14:paraId="271E1847" w14:textId="52B5BE1F" w:rsidR="00617285" w:rsidRPr="00545EC0" w:rsidRDefault="00617285" w:rsidP="00AD4FE7">
      <w:pPr>
        <w:rPr>
          <w:rFonts w:cs="Arial"/>
        </w:rPr>
      </w:pPr>
      <w:r w:rsidRPr="00545EC0">
        <w:rPr>
          <w:rFonts w:cs="Arial"/>
          <w:szCs w:val="20"/>
        </w:rPr>
        <w:t>Ocena emisij fosforja v vodna telesa površinskih voda zaradi izvajanja kmetijske dejavnosti, pripravljena za</w:t>
      </w:r>
      <w:r w:rsidRPr="00545EC0">
        <w:rPr>
          <w:rFonts w:cs="Arial"/>
        </w:rPr>
        <w:t xml:space="preserve"> predhodni načrt upravljanja voda, je temeljila na oceni bilančnega presežka fosforja na ravni vodnih teles površinskih voda. V oceni, izračunani na podlagi podatkov o kmetijskih zemljiščih in ob upoštevanju OECD–EUROSTAT metodologije, so bila upoštevana tista kmetijska zemljišča, ki so bila po podatkih za leto 2013 vključena v sistem GERK pri Agenciji R</w:t>
      </w:r>
      <w:r w:rsidR="00926EA0" w:rsidRPr="00545EC0">
        <w:rPr>
          <w:rFonts w:cs="Arial"/>
        </w:rPr>
        <w:t xml:space="preserve">epublike </w:t>
      </w:r>
      <w:r w:rsidRPr="00545EC0">
        <w:rPr>
          <w:rFonts w:cs="Arial"/>
        </w:rPr>
        <w:t>S</w:t>
      </w:r>
      <w:r w:rsidR="00926EA0" w:rsidRPr="00545EC0">
        <w:rPr>
          <w:rFonts w:cs="Arial"/>
        </w:rPr>
        <w:t>lovenije</w:t>
      </w:r>
      <w:r w:rsidRPr="00545EC0">
        <w:rPr>
          <w:rFonts w:cs="Arial"/>
        </w:rPr>
        <w:t xml:space="preserve"> za kmetijske trge in razvoj podeželja in za katere so bili na voljo podatki o vrsti kmetijske rastline na posamezni enoti rabe tal. Ob upoštevanju podatkov strokovne literature je bil ocenjen delež presežka fosforja, ki se spere v površinske vode. </w:t>
      </w:r>
    </w:p>
    <w:p w14:paraId="489621B3" w14:textId="77777777" w:rsidR="00617285" w:rsidRPr="00545EC0" w:rsidRDefault="00617285" w:rsidP="00AD4FE7">
      <w:pPr>
        <w:rPr>
          <w:rFonts w:cs="Arial"/>
        </w:rPr>
      </w:pPr>
    </w:p>
    <w:p w14:paraId="4297BBED" w14:textId="287ECB0A" w:rsidR="00617285" w:rsidRPr="00545EC0" w:rsidRDefault="00617285" w:rsidP="00AD4FE7">
      <w:pPr>
        <w:rPr>
          <w:rFonts w:cs="Arial"/>
        </w:rPr>
      </w:pPr>
      <w:r w:rsidRPr="00545EC0">
        <w:rPr>
          <w:rFonts w:cs="Arial"/>
        </w:rPr>
        <w:t xml:space="preserve">Ocena emisij fosforja v vodna telesa površinskih voda zaradi izvajanja kmetijske dejavnosti se ob upoštevanju, da so za bilančni presežek fosforja značilna precejšnja nihanja, pogojene predvsem z različnimi vremenskimi razmerami, v primerjavi </w:t>
      </w:r>
      <w:r w:rsidR="00251748" w:rsidRPr="00545EC0">
        <w:rPr>
          <w:rFonts w:cs="Arial"/>
        </w:rPr>
        <w:t>z</w:t>
      </w:r>
      <w:r w:rsidRPr="00545EC0">
        <w:rPr>
          <w:rFonts w:cs="Arial"/>
        </w:rPr>
        <w:t xml:space="preserve"> oceno iz prejšnjega načrta upravljanja voda ne spreminja.</w:t>
      </w:r>
    </w:p>
    <w:p w14:paraId="52113C27" w14:textId="77777777" w:rsidR="00617285" w:rsidRPr="00545EC0" w:rsidRDefault="00617285" w:rsidP="00AD4FE7">
      <w:pPr>
        <w:rPr>
          <w:rFonts w:cs="Arial"/>
        </w:rPr>
      </w:pPr>
    </w:p>
    <w:p w14:paraId="7A3D81D3" w14:textId="060E82F0" w:rsidR="00617285" w:rsidRPr="00545EC0" w:rsidRDefault="00617285" w:rsidP="00AD4FE7">
      <w:pPr>
        <w:rPr>
          <w:rFonts w:cs="Arial"/>
        </w:rPr>
      </w:pPr>
      <w:r w:rsidRPr="00545EC0">
        <w:rPr>
          <w:rFonts w:cs="Arial"/>
        </w:rPr>
        <w:t>Na ravni VO Donave je povprečna bilanca fosforja na kmetijskih zemljiščih negativna. Najvišje vrednosti bilance fosforja na kmetijskih zemljiščih so izračunane na porečjih Drave in Mure. Kljub temu pa je na nekaterih posameznih VTPV (približno 20) bila izračunana pozitivna bilanca (npr. VT Polskava Zgornja Polskava – Tržec, MPVT zadrževalnik Gajševsko jezero, UVT Gruberjev prekop). Najvišje emisije  fosforja v površinske vode so bile izračunane na porečju Drave (2845 kg/leto) in Mure (1388 kg/leto) (</w:t>
      </w:r>
      <w:r w:rsidR="007804BE" w:rsidRPr="00545EC0">
        <w:rPr>
          <w:rFonts w:cs="Arial"/>
        </w:rPr>
        <w:fldChar w:fldCharType="begin"/>
      </w:r>
      <w:r w:rsidR="007804BE" w:rsidRPr="00545EC0">
        <w:rPr>
          <w:rFonts w:cs="Arial"/>
        </w:rPr>
        <w:instrText xml:space="preserve"> REF _Ref84330145 \h </w:instrText>
      </w:r>
      <w:r w:rsidR="00F37A91" w:rsidRPr="00545EC0">
        <w:rPr>
          <w:rFonts w:cs="Arial"/>
        </w:rPr>
        <w:instrText xml:space="preserve"> \* MERGEFORMAT </w:instrText>
      </w:r>
      <w:r w:rsidR="007804BE" w:rsidRPr="00545EC0">
        <w:rPr>
          <w:rFonts w:cs="Arial"/>
        </w:rPr>
      </w:r>
      <w:r w:rsidR="007804BE" w:rsidRPr="00545EC0">
        <w:rPr>
          <w:rFonts w:cs="Arial"/>
        </w:rPr>
        <w:fldChar w:fldCharType="separate"/>
      </w:r>
      <w:r w:rsidR="002F3E43" w:rsidRPr="00545EC0">
        <w:rPr>
          <w:rFonts w:cs="Arial"/>
          <w:szCs w:val="20"/>
        </w:rPr>
        <w:t xml:space="preserve">Slika </w:t>
      </w:r>
      <w:r w:rsidR="002F3E43">
        <w:rPr>
          <w:rFonts w:cs="Arial"/>
          <w:noProof/>
          <w:szCs w:val="20"/>
        </w:rPr>
        <w:t>2</w:t>
      </w:r>
      <w:r w:rsidR="002F3E43" w:rsidRPr="00545EC0">
        <w:rPr>
          <w:rFonts w:cs="Arial"/>
          <w:noProof/>
          <w:szCs w:val="20"/>
        </w:rPr>
        <w:noBreakHyphen/>
      </w:r>
      <w:r w:rsidR="002F3E43">
        <w:rPr>
          <w:rFonts w:cs="Arial"/>
          <w:noProof/>
          <w:szCs w:val="20"/>
        </w:rPr>
        <w:t>7</w:t>
      </w:r>
      <w:r w:rsidR="007804BE" w:rsidRPr="00545EC0">
        <w:rPr>
          <w:rFonts w:cs="Arial"/>
        </w:rPr>
        <w:fldChar w:fldCharType="end"/>
      </w:r>
      <w:r w:rsidRPr="00545EC0">
        <w:rPr>
          <w:rFonts w:cs="Arial"/>
        </w:rPr>
        <w:t>).</w:t>
      </w:r>
    </w:p>
    <w:p w14:paraId="24AA7DCE" w14:textId="77777777" w:rsidR="00617285" w:rsidRPr="00545EC0" w:rsidRDefault="00617285" w:rsidP="00AD4FE7">
      <w:pPr>
        <w:rPr>
          <w:rFonts w:cs="Arial"/>
        </w:rPr>
      </w:pPr>
    </w:p>
    <w:p w14:paraId="3BA90EF2" w14:textId="51AAC162" w:rsidR="00617285" w:rsidRPr="00545EC0" w:rsidRDefault="00617285" w:rsidP="00AD4FE7">
      <w:pPr>
        <w:rPr>
          <w:rFonts w:cs="Arial"/>
        </w:rPr>
      </w:pPr>
      <w:r w:rsidRPr="00545EC0">
        <w:rPr>
          <w:rFonts w:cs="Arial"/>
        </w:rPr>
        <w:t>Rezultati so prikazani na publikacijski karti (</w:t>
      </w:r>
      <w:r w:rsidRPr="00545EC0">
        <w:rPr>
          <w:rFonts w:cs="Arial"/>
          <w:i/>
        </w:rPr>
        <w:t>Publikacijska karta</w:t>
      </w:r>
      <w:r w:rsidR="001D5C1B" w:rsidRPr="00545EC0">
        <w:rPr>
          <w:rFonts w:cs="Arial"/>
          <w:i/>
        </w:rPr>
        <w:t xml:space="preserve"> 3.1</w:t>
      </w:r>
      <w:r w:rsidRPr="00545EC0">
        <w:rPr>
          <w:rFonts w:cs="Arial"/>
          <w:i/>
        </w:rPr>
        <w:t>: Razpršeni viri onesnaževanja –  obremenitev površinskih voda (emisije fosforja iz kmetijstva)</w:t>
      </w:r>
      <w:r w:rsidRPr="00545EC0">
        <w:rPr>
          <w:rFonts w:cs="Arial"/>
        </w:rPr>
        <w:t>)</w:t>
      </w:r>
    </w:p>
    <w:p w14:paraId="5FAF1BD9" w14:textId="77777777" w:rsidR="00617285" w:rsidRPr="00545EC0" w:rsidRDefault="00617285" w:rsidP="00AD4FE7">
      <w:pPr>
        <w:rPr>
          <w:rFonts w:cs="Arial"/>
        </w:rPr>
      </w:pPr>
    </w:p>
    <w:p w14:paraId="5BCC4E0A" w14:textId="77777777" w:rsidR="00617285" w:rsidRPr="00545EC0" w:rsidRDefault="00617285" w:rsidP="00AD4FE7">
      <w:pPr>
        <w:rPr>
          <w:rFonts w:cs="Arial"/>
          <w:sz w:val="24"/>
        </w:rPr>
      </w:pPr>
      <w:r w:rsidRPr="00545EC0">
        <w:rPr>
          <w:rFonts w:cs="Arial"/>
          <w:noProof/>
          <w:sz w:val="24"/>
        </w:rPr>
        <w:lastRenderedPageBreak/>
        <w:drawing>
          <wp:inline distT="0" distB="0" distL="0" distR="0" wp14:anchorId="2A5C0586" wp14:editId="525886C4">
            <wp:extent cx="5181600" cy="3114702"/>
            <wp:effectExtent l="19050" t="19050" r="19050" b="28575"/>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87577" cy="3118295"/>
                    </a:xfrm>
                    <a:prstGeom prst="rect">
                      <a:avLst/>
                    </a:prstGeom>
                    <a:noFill/>
                    <a:ln w="3175">
                      <a:solidFill>
                        <a:schemeClr val="bg1">
                          <a:lumMod val="85000"/>
                        </a:schemeClr>
                      </a:solidFill>
                    </a:ln>
                  </pic:spPr>
                </pic:pic>
              </a:graphicData>
            </a:graphic>
          </wp:inline>
        </w:drawing>
      </w:r>
    </w:p>
    <w:p w14:paraId="47DAB94A" w14:textId="470B710D" w:rsidR="00617285" w:rsidRPr="00545EC0" w:rsidRDefault="00617285" w:rsidP="00AD4FE7">
      <w:pPr>
        <w:rPr>
          <w:rFonts w:cs="Arial"/>
          <w:szCs w:val="20"/>
        </w:rPr>
      </w:pPr>
      <w:bookmarkStart w:id="156" w:name="_Ref84330145"/>
      <w:r w:rsidRPr="00545EC0">
        <w:rPr>
          <w:rFonts w:cs="Arial"/>
          <w:szCs w:val="20"/>
        </w:rPr>
        <w:t xml:space="preserve">Slika </w:t>
      </w:r>
      <w:r w:rsidR="00396E1E" w:rsidRPr="00545EC0">
        <w:rPr>
          <w:rFonts w:cs="Arial"/>
          <w:szCs w:val="20"/>
        </w:rPr>
        <w:fldChar w:fldCharType="begin"/>
      </w:r>
      <w:r w:rsidR="00396E1E" w:rsidRPr="00545EC0">
        <w:rPr>
          <w:rFonts w:cs="Arial"/>
          <w:szCs w:val="20"/>
        </w:rPr>
        <w:instrText xml:space="preserve"> STYLEREF 1 \s </w:instrText>
      </w:r>
      <w:r w:rsidR="00396E1E" w:rsidRPr="00545EC0">
        <w:rPr>
          <w:rFonts w:cs="Arial"/>
          <w:szCs w:val="20"/>
        </w:rPr>
        <w:fldChar w:fldCharType="separate"/>
      </w:r>
      <w:r w:rsidR="002F3E43">
        <w:rPr>
          <w:rFonts w:cs="Arial"/>
          <w:noProof/>
          <w:szCs w:val="20"/>
        </w:rPr>
        <w:t>2</w:t>
      </w:r>
      <w:r w:rsidR="00396E1E" w:rsidRPr="00545EC0">
        <w:rPr>
          <w:rFonts w:cs="Arial"/>
          <w:szCs w:val="20"/>
        </w:rPr>
        <w:fldChar w:fldCharType="end"/>
      </w:r>
      <w:r w:rsidR="00396E1E" w:rsidRPr="00545EC0">
        <w:rPr>
          <w:rFonts w:cs="Arial"/>
          <w:szCs w:val="20"/>
        </w:rPr>
        <w:noBreakHyphen/>
      </w:r>
      <w:r w:rsidR="00396E1E" w:rsidRPr="00545EC0">
        <w:rPr>
          <w:rFonts w:cs="Arial"/>
          <w:szCs w:val="20"/>
        </w:rPr>
        <w:fldChar w:fldCharType="begin"/>
      </w:r>
      <w:r w:rsidR="00396E1E" w:rsidRPr="00545EC0">
        <w:rPr>
          <w:rFonts w:cs="Arial"/>
          <w:szCs w:val="20"/>
        </w:rPr>
        <w:instrText xml:space="preserve"> SEQ Slika \* ARABIC \s 1 </w:instrText>
      </w:r>
      <w:r w:rsidR="00396E1E" w:rsidRPr="00545EC0">
        <w:rPr>
          <w:rFonts w:cs="Arial"/>
          <w:szCs w:val="20"/>
        </w:rPr>
        <w:fldChar w:fldCharType="separate"/>
      </w:r>
      <w:r w:rsidR="002F3E43">
        <w:rPr>
          <w:rFonts w:cs="Arial"/>
          <w:noProof/>
          <w:szCs w:val="20"/>
        </w:rPr>
        <w:t>7</w:t>
      </w:r>
      <w:r w:rsidR="00396E1E" w:rsidRPr="00545EC0">
        <w:rPr>
          <w:rFonts w:cs="Arial"/>
          <w:szCs w:val="20"/>
        </w:rPr>
        <w:fldChar w:fldCharType="end"/>
      </w:r>
      <w:bookmarkEnd w:id="156"/>
      <w:r w:rsidRPr="00545EC0">
        <w:rPr>
          <w:rFonts w:cs="Arial"/>
          <w:szCs w:val="20"/>
        </w:rPr>
        <w:t>: Emisije fosforja iz kmetijstva na porečjih VO Donave</w:t>
      </w:r>
    </w:p>
    <w:p w14:paraId="2D0315B0" w14:textId="64CEEE54" w:rsidR="00617285" w:rsidRPr="00545EC0" w:rsidRDefault="00617285" w:rsidP="00DB5CEE">
      <w:pPr>
        <w:tabs>
          <w:tab w:val="num" w:pos="0"/>
          <w:tab w:val="num" w:pos="567"/>
          <w:tab w:val="left" w:pos="9600"/>
        </w:tabs>
        <w:spacing w:before="120"/>
        <w:rPr>
          <w:rFonts w:cs="Arial"/>
          <w:szCs w:val="20"/>
        </w:rPr>
      </w:pPr>
      <w:r w:rsidRPr="00545EC0">
        <w:rPr>
          <w:rFonts w:cs="Arial"/>
          <w:szCs w:val="20"/>
        </w:rPr>
        <w:t>Primerjava ocenjenih podatkov o vrstah in jakostih obremenitev z oceno stanja vodnih teles površinskih voda</w:t>
      </w:r>
      <w:r w:rsidR="00080908" w:rsidRPr="00545EC0">
        <w:rPr>
          <w:rFonts w:cs="Arial"/>
          <w:szCs w:val="20"/>
        </w:rPr>
        <w:t xml:space="preserve"> iz predhodnega načrta upravljanja voda</w:t>
      </w:r>
      <w:r w:rsidRPr="00545EC0">
        <w:rPr>
          <w:rFonts w:cs="Arial"/>
          <w:szCs w:val="20"/>
        </w:rPr>
        <w:t xml:space="preserve"> kaže, da je razpršeno onesnaževanje s hranili iz kmetijstva pomembna obremenitev vodnih teles površinskih voda, pri čemer je razpršeno onesnaževanje s hranili iz kmetijstva na posameznem vodnem telesu prepoznano kot pomembna obremenitev</w:t>
      </w:r>
      <w:r w:rsidR="00080908" w:rsidRPr="00545EC0">
        <w:rPr>
          <w:rFonts w:cs="Arial"/>
          <w:szCs w:val="20"/>
        </w:rPr>
        <w:t xml:space="preserve"> na podlagi </w:t>
      </w:r>
      <w:r w:rsidR="00080908" w:rsidRPr="00545EC0">
        <w:rPr>
          <w:rFonts w:cs="Arial"/>
        </w:rPr>
        <w:t>povezanosti/soodvisnosti med izračuni obremenitev na vodnih telesih površinskih voda in rezultati državnega monitoringa stanja površinskih voda</w:t>
      </w:r>
      <w:r w:rsidRPr="00545EC0">
        <w:rPr>
          <w:rFonts w:cs="Arial"/>
          <w:szCs w:val="20"/>
        </w:rPr>
        <w:t xml:space="preserve">, če ustreza pogojem, da je ocenjen vnos: </w:t>
      </w:r>
    </w:p>
    <w:p w14:paraId="6A63D78D" w14:textId="77777777" w:rsidR="00617285" w:rsidRPr="00545EC0" w:rsidRDefault="00617285" w:rsidP="00DD37C5">
      <w:pPr>
        <w:numPr>
          <w:ilvl w:val="0"/>
          <w:numId w:val="42"/>
        </w:numPr>
        <w:tabs>
          <w:tab w:val="center" w:pos="426"/>
        </w:tabs>
        <w:ind w:left="426" w:hanging="426"/>
        <w:rPr>
          <w:rFonts w:cs="Arial"/>
        </w:rPr>
      </w:pPr>
      <w:r w:rsidRPr="00545EC0">
        <w:rPr>
          <w:rFonts w:cs="Arial"/>
        </w:rPr>
        <w:t>nitrata s celotne prispevne površine vodnega telesa površinskih voda večji od 23 % vnosa nitrata na območju celotne Slovenije ali</w:t>
      </w:r>
    </w:p>
    <w:p w14:paraId="162D1566" w14:textId="4EE1ECFF" w:rsidR="0013272A" w:rsidRPr="00545EC0" w:rsidRDefault="00617285" w:rsidP="00DD37C5">
      <w:pPr>
        <w:numPr>
          <w:ilvl w:val="0"/>
          <w:numId w:val="42"/>
        </w:numPr>
        <w:tabs>
          <w:tab w:val="center" w:pos="426"/>
        </w:tabs>
        <w:ind w:left="426" w:hanging="426"/>
        <w:rPr>
          <w:rFonts w:cs="Arial"/>
        </w:rPr>
      </w:pPr>
      <w:r w:rsidRPr="00545EC0">
        <w:rPr>
          <w:rFonts w:cs="Arial"/>
        </w:rPr>
        <w:t>fosforja s celotne prispevne površine vodnega telesa površinskih voda večji od 23 % vnosa fosforja na območju celotne Slovenije.</w:t>
      </w:r>
    </w:p>
    <w:p w14:paraId="2E6574D3" w14:textId="41AE8507" w:rsidR="00617285" w:rsidRPr="00545EC0" w:rsidRDefault="00617285" w:rsidP="00DB5CEE">
      <w:pPr>
        <w:tabs>
          <w:tab w:val="num" w:pos="567"/>
          <w:tab w:val="left" w:pos="9600"/>
        </w:tabs>
        <w:spacing w:before="120"/>
        <w:rPr>
          <w:rFonts w:cs="Arial"/>
          <w:szCs w:val="20"/>
        </w:rPr>
      </w:pPr>
      <w:r w:rsidRPr="00545EC0">
        <w:rPr>
          <w:rFonts w:cs="Arial"/>
          <w:szCs w:val="20"/>
        </w:rPr>
        <w:t xml:space="preserve">Ne glede na prejšnji odstavek </w:t>
      </w:r>
      <w:r w:rsidR="00080908" w:rsidRPr="00545EC0">
        <w:rPr>
          <w:rFonts w:cs="Arial"/>
          <w:szCs w:val="20"/>
        </w:rPr>
        <w:t xml:space="preserve">je glede na predhodni načrt upravljanja voda </w:t>
      </w:r>
      <w:r w:rsidRPr="00545EC0">
        <w:rPr>
          <w:rFonts w:cs="Arial"/>
          <w:szCs w:val="20"/>
        </w:rPr>
        <w:t>razpršeno onesnaževanje z dušikom in fosforjem iz kmetijstva na posameznem vodnem telesu prepoznano kot pomembna obremenitev tudi v primeru, da ocenjeni vnos dušika ali fosforja ne presega merila iz prve oziroma druge alineje prejšnjega odstavka, kar v kombinaciji s prisotnostjo osuševalnih sistemov na prispevni površini vodnega telesa površinskih voda povzroča vpliv na stanje vodnega telesa površinskih voda. Šteje se, da razpršeno onesnaževanje s hranili iz kmetijstva v kombinaciji z osuševanjem površin predstavlja pomembno obremenitev, če vsota površin osuševalnih sistemov na celotni prispevni površini posameznega vodnega telesa površinskih voda</w:t>
      </w:r>
      <w:r w:rsidR="00080908" w:rsidRPr="00545EC0">
        <w:rPr>
          <w:rFonts w:cs="Arial"/>
          <w:szCs w:val="20"/>
        </w:rPr>
        <w:t xml:space="preserve">, določena na podlagi </w:t>
      </w:r>
      <w:r w:rsidR="00080908" w:rsidRPr="00545EC0">
        <w:rPr>
          <w:rFonts w:cs="Arial"/>
        </w:rPr>
        <w:t>povezanosti/soodvisnosti med izračuni obremenitev na vodnih telesih površinskih voda in rezultati državnega monitoringa stanja površinskih voda,</w:t>
      </w:r>
      <w:r w:rsidR="00080908" w:rsidRPr="00545EC0">
        <w:rPr>
          <w:rFonts w:cs="Arial"/>
          <w:szCs w:val="20"/>
        </w:rPr>
        <w:t xml:space="preserve"> </w:t>
      </w:r>
      <w:r w:rsidRPr="00545EC0">
        <w:rPr>
          <w:rFonts w:cs="Arial"/>
          <w:szCs w:val="20"/>
        </w:rPr>
        <w:t xml:space="preserve"> presega 14 %.</w:t>
      </w:r>
    </w:p>
    <w:p w14:paraId="053F80C6" w14:textId="77777777" w:rsidR="00617285" w:rsidRPr="00545EC0" w:rsidRDefault="00617285" w:rsidP="00AD4FE7">
      <w:pPr>
        <w:tabs>
          <w:tab w:val="num" w:pos="567"/>
          <w:tab w:val="left" w:pos="9600"/>
        </w:tabs>
        <w:spacing w:before="120"/>
        <w:rPr>
          <w:rFonts w:cs="Arial"/>
          <w:szCs w:val="20"/>
        </w:rPr>
      </w:pPr>
      <w:r w:rsidRPr="00545EC0">
        <w:rPr>
          <w:rFonts w:cs="Arial"/>
          <w:szCs w:val="20"/>
        </w:rPr>
        <w:t xml:space="preserve">Vodna telesa površinskih voda, kjer je kot pomembna obremenitev ugotovljeno razpršeno onesnaževanje s hranili iz kmetijstva, so: </w:t>
      </w:r>
    </w:p>
    <w:p w14:paraId="703BCF4B" w14:textId="77777777" w:rsidR="00617285" w:rsidRPr="00545EC0" w:rsidRDefault="00617285" w:rsidP="00DD37C5">
      <w:pPr>
        <w:pStyle w:val="Odstavekseznama"/>
        <w:numPr>
          <w:ilvl w:val="0"/>
          <w:numId w:val="90"/>
        </w:numPr>
        <w:tabs>
          <w:tab w:val="num" w:pos="567"/>
          <w:tab w:val="left" w:pos="9600"/>
        </w:tabs>
        <w:contextualSpacing/>
        <w:rPr>
          <w:rFonts w:cs="Arial"/>
          <w:szCs w:val="20"/>
          <w:lang w:val="sl-SI"/>
        </w:rPr>
      </w:pPr>
      <w:r w:rsidRPr="00545EC0">
        <w:rPr>
          <w:rFonts w:cs="Arial"/>
          <w:szCs w:val="20"/>
          <w:lang w:val="sl-SI"/>
        </w:rPr>
        <w:t>SI16VT97 VT Savinja Celje – Zidani Most,</w:t>
      </w:r>
    </w:p>
    <w:p w14:paraId="418C6642" w14:textId="77777777" w:rsidR="00617285" w:rsidRPr="00545EC0" w:rsidRDefault="00617285" w:rsidP="00DD37C5">
      <w:pPr>
        <w:pStyle w:val="Odstavekseznama"/>
        <w:numPr>
          <w:ilvl w:val="0"/>
          <w:numId w:val="90"/>
        </w:numPr>
        <w:tabs>
          <w:tab w:val="num" w:pos="567"/>
          <w:tab w:val="left" w:pos="9600"/>
        </w:tabs>
        <w:spacing w:before="120"/>
        <w:contextualSpacing/>
        <w:rPr>
          <w:rFonts w:cs="Arial"/>
          <w:szCs w:val="20"/>
          <w:lang w:val="sl-SI"/>
        </w:rPr>
      </w:pPr>
      <w:r w:rsidRPr="00545EC0">
        <w:rPr>
          <w:rFonts w:cs="Arial"/>
          <w:szCs w:val="20"/>
          <w:lang w:val="sl-SI"/>
        </w:rPr>
        <w:t>SI1VT519 VT Sava Podgrad – Litija,</w:t>
      </w:r>
    </w:p>
    <w:p w14:paraId="423BCF1D" w14:textId="77777777" w:rsidR="00617285" w:rsidRPr="00545EC0" w:rsidRDefault="00617285" w:rsidP="00DD37C5">
      <w:pPr>
        <w:pStyle w:val="Odstavekseznama"/>
        <w:numPr>
          <w:ilvl w:val="0"/>
          <w:numId w:val="90"/>
        </w:numPr>
        <w:tabs>
          <w:tab w:val="num" w:pos="567"/>
          <w:tab w:val="left" w:pos="9600"/>
        </w:tabs>
        <w:spacing w:before="120"/>
        <w:contextualSpacing/>
        <w:rPr>
          <w:rFonts w:cs="Arial"/>
          <w:szCs w:val="20"/>
          <w:lang w:val="sl-SI"/>
        </w:rPr>
      </w:pPr>
      <w:r w:rsidRPr="00545EC0">
        <w:rPr>
          <w:rFonts w:cs="Arial"/>
          <w:szCs w:val="20"/>
          <w:lang w:val="sl-SI"/>
        </w:rPr>
        <w:t>SI1VT557 VT Sava Litija – Zidani Most,</w:t>
      </w:r>
    </w:p>
    <w:p w14:paraId="0B855CE9" w14:textId="77777777" w:rsidR="00617285" w:rsidRPr="00545EC0" w:rsidRDefault="00617285" w:rsidP="00DD37C5">
      <w:pPr>
        <w:pStyle w:val="Odstavekseznama"/>
        <w:numPr>
          <w:ilvl w:val="0"/>
          <w:numId w:val="90"/>
        </w:numPr>
        <w:tabs>
          <w:tab w:val="num" w:pos="567"/>
          <w:tab w:val="left" w:pos="9600"/>
        </w:tabs>
        <w:spacing w:before="120"/>
        <w:contextualSpacing/>
        <w:rPr>
          <w:rFonts w:cs="Arial"/>
          <w:szCs w:val="20"/>
          <w:lang w:val="sl-SI"/>
        </w:rPr>
      </w:pPr>
      <w:r w:rsidRPr="00545EC0">
        <w:rPr>
          <w:rFonts w:cs="Arial"/>
          <w:szCs w:val="20"/>
          <w:lang w:val="sl-SI"/>
        </w:rPr>
        <w:t>SI1VT713 MPVT Sava Vrhovo – Boštanj,</w:t>
      </w:r>
    </w:p>
    <w:p w14:paraId="164A142A" w14:textId="77777777" w:rsidR="00617285" w:rsidRPr="00545EC0" w:rsidRDefault="00617285" w:rsidP="00DD37C5">
      <w:pPr>
        <w:pStyle w:val="Odstavekseznama"/>
        <w:numPr>
          <w:ilvl w:val="0"/>
          <w:numId w:val="90"/>
        </w:numPr>
        <w:tabs>
          <w:tab w:val="num" w:pos="567"/>
          <w:tab w:val="left" w:pos="9600"/>
        </w:tabs>
        <w:spacing w:before="120"/>
        <w:contextualSpacing/>
        <w:rPr>
          <w:rFonts w:cs="Arial"/>
          <w:szCs w:val="20"/>
          <w:lang w:val="sl-SI"/>
        </w:rPr>
      </w:pPr>
      <w:r w:rsidRPr="00545EC0">
        <w:rPr>
          <w:rFonts w:cs="Arial"/>
          <w:szCs w:val="20"/>
          <w:lang w:val="sl-SI"/>
        </w:rPr>
        <w:t>SI1VT739 VT Sava Boštanj – Krško,</w:t>
      </w:r>
    </w:p>
    <w:p w14:paraId="32F4479B" w14:textId="77777777" w:rsidR="00617285" w:rsidRPr="00545EC0" w:rsidRDefault="00617285" w:rsidP="00DD37C5">
      <w:pPr>
        <w:pStyle w:val="Odstavekseznama"/>
        <w:numPr>
          <w:ilvl w:val="0"/>
          <w:numId w:val="90"/>
        </w:numPr>
        <w:tabs>
          <w:tab w:val="num" w:pos="567"/>
          <w:tab w:val="left" w:pos="9600"/>
        </w:tabs>
        <w:spacing w:before="120"/>
        <w:contextualSpacing/>
        <w:rPr>
          <w:rFonts w:cs="Arial"/>
          <w:szCs w:val="20"/>
          <w:lang w:val="sl-SI"/>
        </w:rPr>
      </w:pPr>
      <w:r w:rsidRPr="00545EC0">
        <w:rPr>
          <w:rFonts w:cs="Arial"/>
          <w:szCs w:val="20"/>
          <w:lang w:val="sl-SI"/>
        </w:rPr>
        <w:t>SI1VT913 VT Sava Krško – Vrbina,</w:t>
      </w:r>
    </w:p>
    <w:p w14:paraId="606BCF90" w14:textId="77777777" w:rsidR="00617285" w:rsidRPr="00545EC0" w:rsidRDefault="00617285" w:rsidP="00DD37C5">
      <w:pPr>
        <w:pStyle w:val="Odstavekseznama"/>
        <w:numPr>
          <w:ilvl w:val="0"/>
          <w:numId w:val="90"/>
        </w:numPr>
        <w:tabs>
          <w:tab w:val="num" w:pos="567"/>
          <w:tab w:val="left" w:pos="9600"/>
        </w:tabs>
        <w:spacing w:before="120"/>
        <w:contextualSpacing/>
        <w:rPr>
          <w:rFonts w:cs="Arial"/>
          <w:szCs w:val="20"/>
          <w:lang w:val="sl-SI"/>
        </w:rPr>
      </w:pPr>
      <w:r w:rsidRPr="00545EC0">
        <w:rPr>
          <w:rFonts w:cs="Arial"/>
          <w:szCs w:val="20"/>
          <w:lang w:val="sl-SI"/>
        </w:rPr>
        <w:lastRenderedPageBreak/>
        <w:t>SI1VT930 VT Sava mejni odsek,</w:t>
      </w:r>
    </w:p>
    <w:p w14:paraId="2306A161" w14:textId="77777777" w:rsidR="00617285" w:rsidRPr="00545EC0" w:rsidRDefault="00617285" w:rsidP="00DD37C5">
      <w:pPr>
        <w:pStyle w:val="Odstavekseznama"/>
        <w:numPr>
          <w:ilvl w:val="0"/>
          <w:numId w:val="90"/>
        </w:numPr>
        <w:tabs>
          <w:tab w:val="num" w:pos="567"/>
          <w:tab w:val="left" w:pos="9600"/>
        </w:tabs>
        <w:spacing w:before="120"/>
        <w:contextualSpacing/>
        <w:rPr>
          <w:rFonts w:cs="Arial"/>
          <w:szCs w:val="20"/>
          <w:lang w:val="sl-SI"/>
        </w:rPr>
      </w:pPr>
      <w:r w:rsidRPr="00545EC0">
        <w:rPr>
          <w:rFonts w:cs="Arial"/>
          <w:szCs w:val="20"/>
          <w:lang w:val="sl-SI"/>
        </w:rPr>
        <w:t>SI368VT9 VT Polskava Zgornja Polskava – Tržec,</w:t>
      </w:r>
    </w:p>
    <w:p w14:paraId="5069C673" w14:textId="77777777" w:rsidR="00617285" w:rsidRPr="00545EC0" w:rsidRDefault="00617285" w:rsidP="00DD37C5">
      <w:pPr>
        <w:pStyle w:val="Odstavekseznama"/>
        <w:numPr>
          <w:ilvl w:val="0"/>
          <w:numId w:val="90"/>
        </w:numPr>
        <w:tabs>
          <w:tab w:val="num" w:pos="567"/>
          <w:tab w:val="left" w:pos="9600"/>
        </w:tabs>
        <w:spacing w:before="120"/>
        <w:contextualSpacing/>
        <w:rPr>
          <w:rFonts w:cs="Arial"/>
          <w:szCs w:val="20"/>
          <w:lang w:val="sl-SI"/>
        </w:rPr>
      </w:pPr>
      <w:r w:rsidRPr="00545EC0">
        <w:rPr>
          <w:rFonts w:cs="Arial"/>
          <w:szCs w:val="20"/>
          <w:lang w:val="sl-SI"/>
        </w:rPr>
        <w:t>SI36VT90 VT Dravinja Zreče – Videm,</w:t>
      </w:r>
    </w:p>
    <w:p w14:paraId="04EF1D2C" w14:textId="77777777" w:rsidR="00617285" w:rsidRPr="00545EC0" w:rsidRDefault="00617285" w:rsidP="00DD37C5">
      <w:pPr>
        <w:pStyle w:val="Odstavekseznama"/>
        <w:numPr>
          <w:ilvl w:val="0"/>
          <w:numId w:val="90"/>
        </w:numPr>
        <w:tabs>
          <w:tab w:val="num" w:pos="567"/>
          <w:tab w:val="left" w:pos="9600"/>
        </w:tabs>
        <w:spacing w:before="120"/>
        <w:contextualSpacing/>
        <w:rPr>
          <w:rFonts w:cs="Arial"/>
          <w:szCs w:val="20"/>
          <w:lang w:val="sl-SI"/>
        </w:rPr>
      </w:pPr>
      <w:r w:rsidRPr="00545EC0">
        <w:rPr>
          <w:rFonts w:cs="Arial"/>
          <w:szCs w:val="20"/>
          <w:lang w:val="sl-SI"/>
        </w:rPr>
        <w:t>SI3VT930 VT Drava Ptuj – Ormož,</w:t>
      </w:r>
    </w:p>
    <w:p w14:paraId="643EC9F8" w14:textId="77777777" w:rsidR="00617285" w:rsidRPr="00545EC0" w:rsidRDefault="00617285" w:rsidP="00DD37C5">
      <w:pPr>
        <w:pStyle w:val="Odstavekseznama"/>
        <w:numPr>
          <w:ilvl w:val="0"/>
          <w:numId w:val="90"/>
        </w:numPr>
        <w:tabs>
          <w:tab w:val="num" w:pos="567"/>
          <w:tab w:val="left" w:pos="9600"/>
        </w:tabs>
        <w:spacing w:before="120"/>
        <w:contextualSpacing/>
        <w:rPr>
          <w:rFonts w:cs="Arial"/>
          <w:szCs w:val="20"/>
          <w:lang w:val="sl-SI"/>
        </w:rPr>
      </w:pPr>
      <w:r w:rsidRPr="00545EC0">
        <w:rPr>
          <w:rFonts w:cs="Arial"/>
          <w:szCs w:val="20"/>
          <w:lang w:val="sl-SI"/>
        </w:rPr>
        <w:t>SI3VT950 MPVT zadrževalnik Ormoško jezero,</w:t>
      </w:r>
    </w:p>
    <w:p w14:paraId="57D716A5" w14:textId="77777777" w:rsidR="00617285" w:rsidRPr="00545EC0" w:rsidRDefault="00617285" w:rsidP="00DD37C5">
      <w:pPr>
        <w:pStyle w:val="Odstavekseznama"/>
        <w:numPr>
          <w:ilvl w:val="0"/>
          <w:numId w:val="90"/>
        </w:numPr>
        <w:tabs>
          <w:tab w:val="num" w:pos="567"/>
          <w:tab w:val="left" w:pos="9600"/>
        </w:tabs>
        <w:spacing w:before="120"/>
        <w:contextualSpacing/>
        <w:rPr>
          <w:rFonts w:cs="Arial"/>
          <w:szCs w:val="20"/>
          <w:lang w:val="sl-SI"/>
        </w:rPr>
      </w:pPr>
      <w:r w:rsidRPr="00545EC0">
        <w:rPr>
          <w:rFonts w:cs="Arial"/>
          <w:szCs w:val="20"/>
          <w:lang w:val="sl-SI"/>
        </w:rPr>
        <w:t>SI432VT VT Kučnica,</w:t>
      </w:r>
    </w:p>
    <w:p w14:paraId="718C92D4" w14:textId="77777777" w:rsidR="00617285" w:rsidRPr="00545EC0" w:rsidRDefault="00617285" w:rsidP="00DD37C5">
      <w:pPr>
        <w:pStyle w:val="Odstavekseznama"/>
        <w:numPr>
          <w:ilvl w:val="0"/>
          <w:numId w:val="90"/>
        </w:numPr>
        <w:tabs>
          <w:tab w:val="num" w:pos="567"/>
          <w:tab w:val="left" w:pos="9600"/>
        </w:tabs>
        <w:spacing w:before="120"/>
        <w:contextualSpacing/>
        <w:rPr>
          <w:rFonts w:cs="Arial"/>
          <w:szCs w:val="20"/>
          <w:lang w:val="sl-SI"/>
        </w:rPr>
      </w:pPr>
      <w:r w:rsidRPr="00545EC0">
        <w:rPr>
          <w:rFonts w:cs="Arial"/>
          <w:szCs w:val="20"/>
          <w:lang w:val="sl-SI"/>
        </w:rPr>
        <w:t>SI434VT51 VT Ščavnica povirje – zadrževalnik Gajševsko jezero,</w:t>
      </w:r>
    </w:p>
    <w:p w14:paraId="38E9B585" w14:textId="77777777" w:rsidR="00617285" w:rsidRPr="00545EC0" w:rsidRDefault="00617285" w:rsidP="00DD37C5">
      <w:pPr>
        <w:pStyle w:val="Odstavekseznama"/>
        <w:numPr>
          <w:ilvl w:val="0"/>
          <w:numId w:val="90"/>
        </w:numPr>
        <w:tabs>
          <w:tab w:val="num" w:pos="567"/>
          <w:tab w:val="left" w:pos="9600"/>
        </w:tabs>
        <w:spacing w:before="120"/>
        <w:contextualSpacing/>
        <w:rPr>
          <w:rFonts w:cs="Arial"/>
          <w:szCs w:val="20"/>
          <w:lang w:val="sl-SI"/>
        </w:rPr>
      </w:pPr>
      <w:r w:rsidRPr="00545EC0">
        <w:rPr>
          <w:rFonts w:cs="Arial"/>
          <w:szCs w:val="20"/>
          <w:lang w:val="sl-SI"/>
        </w:rPr>
        <w:t>SI434VT52 MPVT zadrževalnik Gajševsko jezero,</w:t>
      </w:r>
    </w:p>
    <w:p w14:paraId="78E5755F" w14:textId="77777777" w:rsidR="00617285" w:rsidRPr="00545EC0" w:rsidRDefault="00617285" w:rsidP="00DD37C5">
      <w:pPr>
        <w:pStyle w:val="Odstavekseznama"/>
        <w:numPr>
          <w:ilvl w:val="0"/>
          <w:numId w:val="90"/>
        </w:numPr>
        <w:tabs>
          <w:tab w:val="num" w:pos="567"/>
          <w:tab w:val="left" w:pos="9600"/>
        </w:tabs>
        <w:spacing w:before="120"/>
        <w:contextualSpacing/>
        <w:rPr>
          <w:rFonts w:cs="Arial"/>
          <w:szCs w:val="20"/>
          <w:lang w:val="sl-SI"/>
        </w:rPr>
      </w:pPr>
      <w:r w:rsidRPr="00545EC0">
        <w:rPr>
          <w:rFonts w:cs="Arial"/>
          <w:szCs w:val="20"/>
          <w:lang w:val="sl-SI"/>
        </w:rPr>
        <w:t>SI434VT9 VT Ščavnica zadrževalnik Gajševsko jezero – Gibina,</w:t>
      </w:r>
    </w:p>
    <w:p w14:paraId="15D4B759" w14:textId="77777777" w:rsidR="00617285" w:rsidRPr="00545EC0" w:rsidRDefault="00617285" w:rsidP="00DD37C5">
      <w:pPr>
        <w:pStyle w:val="Odstavekseznama"/>
        <w:numPr>
          <w:ilvl w:val="0"/>
          <w:numId w:val="90"/>
        </w:numPr>
        <w:tabs>
          <w:tab w:val="num" w:pos="567"/>
          <w:tab w:val="left" w:pos="9600"/>
        </w:tabs>
        <w:spacing w:before="120"/>
        <w:contextualSpacing/>
        <w:rPr>
          <w:rFonts w:cs="Arial"/>
          <w:szCs w:val="20"/>
          <w:lang w:val="sl-SI"/>
        </w:rPr>
      </w:pPr>
      <w:r w:rsidRPr="00545EC0">
        <w:rPr>
          <w:rFonts w:cs="Arial"/>
          <w:szCs w:val="20"/>
          <w:lang w:val="sl-SI"/>
        </w:rPr>
        <w:t>SI43VT50 VT Mura Gibina – Podturen,</w:t>
      </w:r>
    </w:p>
    <w:p w14:paraId="1C8A9226" w14:textId="77777777" w:rsidR="00617285" w:rsidRPr="00545EC0" w:rsidRDefault="00617285" w:rsidP="00DD37C5">
      <w:pPr>
        <w:pStyle w:val="Odstavekseznama"/>
        <w:numPr>
          <w:ilvl w:val="0"/>
          <w:numId w:val="90"/>
        </w:numPr>
        <w:tabs>
          <w:tab w:val="num" w:pos="567"/>
          <w:tab w:val="left" w:pos="9600"/>
        </w:tabs>
        <w:spacing w:before="120"/>
        <w:contextualSpacing/>
        <w:rPr>
          <w:rFonts w:cs="Arial"/>
          <w:szCs w:val="20"/>
          <w:lang w:val="sl-SI"/>
        </w:rPr>
      </w:pPr>
      <w:r w:rsidRPr="00545EC0">
        <w:rPr>
          <w:rFonts w:cs="Arial"/>
          <w:szCs w:val="20"/>
          <w:lang w:val="sl-SI"/>
        </w:rPr>
        <w:t>SI442VT91 VT Ledava zadrževalnik Ledavsko jezero – sotočje z Veliko Krko,</w:t>
      </w:r>
    </w:p>
    <w:p w14:paraId="0B1573DB" w14:textId="45A11422" w:rsidR="00617285" w:rsidRPr="00545EC0" w:rsidRDefault="00617285" w:rsidP="00DD37C5">
      <w:pPr>
        <w:pStyle w:val="Odstavekseznama"/>
        <w:numPr>
          <w:ilvl w:val="0"/>
          <w:numId w:val="90"/>
        </w:numPr>
        <w:tabs>
          <w:tab w:val="num" w:pos="567"/>
          <w:tab w:val="left" w:pos="9600"/>
        </w:tabs>
        <w:spacing w:before="120"/>
        <w:contextualSpacing/>
        <w:rPr>
          <w:rFonts w:cs="Arial"/>
          <w:szCs w:val="20"/>
          <w:lang w:val="sl-SI"/>
        </w:rPr>
      </w:pPr>
      <w:r w:rsidRPr="00545EC0">
        <w:rPr>
          <w:rFonts w:cs="Arial"/>
          <w:szCs w:val="20"/>
          <w:lang w:val="sl-SI"/>
        </w:rPr>
        <w:t>SI442VT92 VT Ledava mejni odsek.</w:t>
      </w:r>
    </w:p>
    <w:p w14:paraId="4F8E2721" w14:textId="0CE843FD" w:rsidR="0025492B" w:rsidRPr="00545EC0" w:rsidRDefault="0025492B" w:rsidP="0025492B">
      <w:pPr>
        <w:tabs>
          <w:tab w:val="left" w:pos="9600"/>
        </w:tabs>
        <w:spacing w:before="120"/>
        <w:contextualSpacing/>
        <w:rPr>
          <w:rFonts w:cs="Arial"/>
          <w:szCs w:val="20"/>
        </w:rPr>
      </w:pPr>
    </w:p>
    <w:p w14:paraId="194CC3E1" w14:textId="77777777" w:rsidR="0025492B" w:rsidRPr="00545EC0" w:rsidRDefault="0025492B" w:rsidP="0025492B">
      <w:pPr>
        <w:rPr>
          <w:b/>
          <w:i/>
        </w:rPr>
      </w:pPr>
      <w:r w:rsidRPr="00545EC0">
        <w:rPr>
          <w:b/>
          <w:i/>
        </w:rPr>
        <w:t>Prikaz obremenitev vodnih teles podzemnih voda</w:t>
      </w:r>
    </w:p>
    <w:p w14:paraId="4584F8E2" w14:textId="77777777" w:rsidR="0025492B" w:rsidRPr="00545EC0" w:rsidRDefault="0025492B" w:rsidP="0025492B">
      <w:pPr>
        <w:tabs>
          <w:tab w:val="left" w:pos="9600"/>
        </w:tabs>
        <w:spacing w:before="120"/>
        <w:contextualSpacing/>
        <w:rPr>
          <w:rFonts w:cs="Arial"/>
          <w:szCs w:val="20"/>
        </w:rPr>
      </w:pPr>
    </w:p>
    <w:p w14:paraId="4CD56B13" w14:textId="396B4AC2" w:rsidR="00311813" w:rsidRPr="00545EC0" w:rsidRDefault="00311813" w:rsidP="0025492B">
      <w:pPr>
        <w:tabs>
          <w:tab w:val="left" w:pos="9600"/>
        </w:tabs>
        <w:spacing w:before="120"/>
        <w:contextualSpacing/>
        <w:rPr>
          <w:rFonts w:cstheme="minorHAnsi"/>
        </w:rPr>
      </w:pPr>
      <w:r w:rsidRPr="00545EC0">
        <w:rPr>
          <w:rFonts w:cstheme="minorHAnsi"/>
        </w:rPr>
        <w:t xml:space="preserve">Viri vnosa dušika so </w:t>
      </w:r>
      <w:r w:rsidR="00947428">
        <w:rPr>
          <w:rFonts w:cstheme="minorHAnsi"/>
        </w:rPr>
        <w:t>organska</w:t>
      </w:r>
      <w:r w:rsidR="00947428" w:rsidRPr="00545EC0">
        <w:rPr>
          <w:rFonts w:cstheme="minorHAnsi"/>
        </w:rPr>
        <w:t xml:space="preserve"> </w:t>
      </w:r>
      <w:r w:rsidRPr="00545EC0">
        <w:rPr>
          <w:rFonts w:cstheme="minorHAnsi"/>
        </w:rPr>
        <w:t>in mineralna gnojila, biološko fiksiran dušik, dušik vnesen s semeni in sadikami ter dušik iz atmosferske depozicije. Podatki o obremenitvah zaradi kmetijstva so izračunani za vodna telesa podzemne vode (v t/leto) z uporabo modelskega sistema GROWA/DENUZ/WEKU.</w:t>
      </w:r>
    </w:p>
    <w:p w14:paraId="2B404699" w14:textId="77777777" w:rsidR="00311813" w:rsidRPr="00545EC0" w:rsidRDefault="00311813" w:rsidP="0025492B">
      <w:pPr>
        <w:tabs>
          <w:tab w:val="left" w:pos="9600"/>
        </w:tabs>
        <w:spacing w:before="120"/>
        <w:contextualSpacing/>
        <w:rPr>
          <w:rFonts w:cstheme="minorHAnsi"/>
        </w:rPr>
      </w:pPr>
    </w:p>
    <w:p w14:paraId="28C1A4FB" w14:textId="2210D878" w:rsidR="00311813" w:rsidRPr="00545EC0" w:rsidRDefault="00311813" w:rsidP="00311813">
      <w:pPr>
        <w:spacing w:before="120" w:after="120"/>
        <w:rPr>
          <w:rFonts w:cstheme="minorHAnsi"/>
        </w:rPr>
      </w:pPr>
      <w:r w:rsidRPr="00545EC0">
        <w:t>Količina obremenitev z dušikom zaradi kmetijstva</w:t>
      </w:r>
      <w:r w:rsidR="000B4718" w:rsidRPr="00545EC0">
        <w:t xml:space="preserve"> se</w:t>
      </w:r>
      <w:r w:rsidRPr="00545EC0">
        <w:t xml:space="preserve"> v obdobju 2015-2017 spreminja (</w:t>
      </w:r>
      <w:r w:rsidRPr="00545EC0">
        <w:fldChar w:fldCharType="begin"/>
      </w:r>
      <w:r w:rsidRPr="00545EC0">
        <w:instrText xml:space="preserve"> REF _Ref84488461 \h </w:instrText>
      </w:r>
      <w:r w:rsidR="00F37A91" w:rsidRPr="00545EC0">
        <w:instrText xml:space="preserve"> \* MERGEFORMAT </w:instrText>
      </w:r>
      <w:r w:rsidRPr="00545EC0">
        <w:fldChar w:fldCharType="separate"/>
      </w:r>
      <w:r w:rsidR="002F3E43" w:rsidRPr="00545EC0">
        <w:t xml:space="preserve">Preglednica </w:t>
      </w:r>
      <w:r w:rsidR="002F3E43">
        <w:rPr>
          <w:noProof/>
        </w:rPr>
        <w:t>2</w:t>
      </w:r>
      <w:r w:rsidR="002F3E43" w:rsidRPr="00545EC0">
        <w:rPr>
          <w:noProof/>
        </w:rPr>
        <w:noBreakHyphen/>
      </w:r>
      <w:r w:rsidR="002F3E43">
        <w:rPr>
          <w:noProof/>
        </w:rPr>
        <w:t>13</w:t>
      </w:r>
      <w:r w:rsidRPr="00545EC0">
        <w:fldChar w:fldCharType="end"/>
      </w:r>
      <w:r w:rsidRPr="00545EC0">
        <w:t xml:space="preserve">). Najnižje obremenitve z dušikom so bile v letu 2016, medtem ko so </w:t>
      </w:r>
      <w:r w:rsidR="000B4718" w:rsidRPr="00545EC0">
        <w:t xml:space="preserve">bile </w:t>
      </w:r>
      <w:r w:rsidRPr="00545EC0">
        <w:t xml:space="preserve">najvišje v letu 2017. Obremenitve </w:t>
      </w:r>
      <w:r w:rsidR="000B4718" w:rsidRPr="00545EC0">
        <w:t xml:space="preserve">so </w:t>
      </w:r>
      <w:r w:rsidRPr="00545EC0">
        <w:t xml:space="preserve">se na posameznih vodnih telesih v letu 2017 v primerjavi z 2016 skoraj </w:t>
      </w:r>
      <w:r w:rsidR="000B4718" w:rsidRPr="00545EC0">
        <w:t>podvojile</w:t>
      </w:r>
      <w:r w:rsidRPr="00545EC0">
        <w:t xml:space="preserve"> Razlike </w:t>
      </w:r>
      <w:r w:rsidR="00080908" w:rsidRPr="00545EC0">
        <w:t xml:space="preserve">v </w:t>
      </w:r>
      <w:r w:rsidRPr="00545EC0">
        <w:t xml:space="preserve">obremenitvah z dušikom med leti so verjetno posledica razlik med letnim odvzemom dušika s pridelki, ki je pogojen predvsem z različnimi vremenskimi razmerami, saj je za bolj sušna leta zaradi manjših </w:t>
      </w:r>
      <w:r w:rsidR="000B4718" w:rsidRPr="00545EC0">
        <w:t xml:space="preserve">količin </w:t>
      </w:r>
      <w:r w:rsidRPr="00545EC0">
        <w:t xml:space="preserve">pridelkov značilen manjši odvzem dušika. </w:t>
      </w:r>
    </w:p>
    <w:p w14:paraId="27E307F4" w14:textId="77777777" w:rsidR="00311813" w:rsidRPr="00545EC0" w:rsidRDefault="00311813" w:rsidP="0025492B">
      <w:pPr>
        <w:tabs>
          <w:tab w:val="left" w:pos="9600"/>
        </w:tabs>
        <w:spacing w:before="120"/>
        <w:contextualSpacing/>
        <w:rPr>
          <w:rFonts w:cstheme="minorHAnsi"/>
        </w:rPr>
      </w:pPr>
    </w:p>
    <w:p w14:paraId="6859B3AA" w14:textId="0004CD12" w:rsidR="00311813" w:rsidRPr="00545EC0" w:rsidRDefault="00311813" w:rsidP="00311813">
      <w:pPr>
        <w:pStyle w:val="Napis"/>
        <w:rPr>
          <w:b/>
        </w:rPr>
      </w:pPr>
      <w:bookmarkStart w:id="157" w:name="_Ref84488461"/>
      <w:bookmarkStart w:id="158" w:name="_Toc60896589"/>
      <w:bookmarkStart w:id="159" w:name="_Toc71784464"/>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13</w:t>
        </w:r>
      </w:fldSimple>
      <w:bookmarkEnd w:id="157"/>
      <w:r w:rsidRPr="00545EC0">
        <w:t>: Obremenitve s skupnim dušikom zaradi kmetijstva po posameznih vodnih telesih podzemne vode v obdobju 2015-2017 v t/leto in v kg/ha/leto.</w:t>
      </w:r>
      <w:bookmarkEnd w:id="158"/>
      <w:bookmarkEnd w:id="159"/>
      <w:r w:rsidRPr="00545EC0">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2266"/>
        <w:gridCol w:w="903"/>
        <w:gridCol w:w="904"/>
        <w:gridCol w:w="904"/>
        <w:gridCol w:w="903"/>
        <w:gridCol w:w="904"/>
        <w:gridCol w:w="904"/>
      </w:tblGrid>
      <w:tr w:rsidR="007E0EDE" w:rsidRPr="00545EC0" w14:paraId="2961CB41" w14:textId="77777777" w:rsidTr="003122F4">
        <w:trPr>
          <w:trHeight w:val="654"/>
          <w:tblHeader/>
        </w:trPr>
        <w:tc>
          <w:tcPr>
            <w:tcW w:w="1387" w:type="dxa"/>
            <w:vMerge w:val="restart"/>
            <w:shd w:val="clear" w:color="auto" w:fill="D9D9D9" w:themeFill="background1" w:themeFillShade="D9"/>
            <w:noWrap/>
            <w:vAlign w:val="center"/>
            <w:hideMark/>
          </w:tcPr>
          <w:p w14:paraId="544E6F20" w14:textId="2DE1D33B" w:rsidR="00311813" w:rsidRPr="00545EC0" w:rsidRDefault="00034C49" w:rsidP="00034C49">
            <w:pPr>
              <w:spacing w:before="60" w:after="60" w:line="240" w:lineRule="auto"/>
              <w:jc w:val="center"/>
              <w:rPr>
                <w:rFonts w:cs="Arial"/>
                <w:b/>
                <w:bCs/>
                <w:sz w:val="18"/>
                <w:szCs w:val="18"/>
              </w:rPr>
            </w:pPr>
            <w:r w:rsidRPr="00545EC0">
              <w:rPr>
                <w:rFonts w:cs="Arial"/>
                <w:b/>
                <w:bCs/>
                <w:sz w:val="18"/>
                <w:szCs w:val="18"/>
              </w:rPr>
              <w:t xml:space="preserve">Ime </w:t>
            </w:r>
            <w:r w:rsidR="00311813" w:rsidRPr="00545EC0">
              <w:rPr>
                <w:rFonts w:cs="Arial"/>
                <w:b/>
                <w:bCs/>
                <w:sz w:val="18"/>
                <w:szCs w:val="18"/>
              </w:rPr>
              <w:t>VTP</w:t>
            </w:r>
            <w:r w:rsidRPr="00545EC0">
              <w:rPr>
                <w:rFonts w:cs="Arial"/>
                <w:b/>
                <w:bCs/>
                <w:sz w:val="18"/>
                <w:szCs w:val="18"/>
              </w:rPr>
              <w:t>od</w:t>
            </w:r>
            <w:r w:rsidR="00311813" w:rsidRPr="00545EC0">
              <w:rPr>
                <w:rFonts w:cs="Arial"/>
                <w:b/>
                <w:bCs/>
                <w:sz w:val="18"/>
                <w:szCs w:val="18"/>
              </w:rPr>
              <w:t>V</w:t>
            </w:r>
          </w:p>
        </w:tc>
        <w:tc>
          <w:tcPr>
            <w:tcW w:w="2266" w:type="dxa"/>
            <w:vMerge w:val="restart"/>
            <w:shd w:val="clear" w:color="auto" w:fill="D9D9D9" w:themeFill="background1" w:themeFillShade="D9"/>
            <w:noWrap/>
            <w:vAlign w:val="center"/>
            <w:hideMark/>
          </w:tcPr>
          <w:p w14:paraId="600A0DD1" w14:textId="3E532B17" w:rsidR="00311813" w:rsidRPr="00545EC0" w:rsidRDefault="00034C49" w:rsidP="00311813">
            <w:pPr>
              <w:spacing w:before="60" w:after="60" w:line="240" w:lineRule="auto"/>
              <w:jc w:val="center"/>
              <w:rPr>
                <w:rFonts w:cs="Arial"/>
                <w:b/>
                <w:bCs/>
                <w:sz w:val="18"/>
                <w:szCs w:val="18"/>
              </w:rPr>
            </w:pPr>
            <w:r w:rsidRPr="00545EC0">
              <w:rPr>
                <w:rFonts w:cs="Arial"/>
                <w:b/>
                <w:bCs/>
                <w:sz w:val="18"/>
                <w:szCs w:val="18"/>
              </w:rPr>
              <w:t>Ime VTPod</w:t>
            </w:r>
            <w:r w:rsidR="00311813" w:rsidRPr="00545EC0">
              <w:rPr>
                <w:rFonts w:cs="Arial"/>
                <w:b/>
                <w:bCs/>
                <w:sz w:val="18"/>
                <w:szCs w:val="18"/>
              </w:rPr>
              <w:t>V</w:t>
            </w:r>
          </w:p>
        </w:tc>
        <w:tc>
          <w:tcPr>
            <w:tcW w:w="5422" w:type="dxa"/>
            <w:gridSpan w:val="6"/>
            <w:shd w:val="clear" w:color="auto" w:fill="D9D9D9" w:themeFill="background1" w:themeFillShade="D9"/>
            <w:noWrap/>
            <w:vAlign w:val="center"/>
          </w:tcPr>
          <w:p w14:paraId="1699E7E4" w14:textId="3E226042" w:rsidR="00311813" w:rsidRPr="00545EC0" w:rsidRDefault="00311813" w:rsidP="00311813">
            <w:pPr>
              <w:spacing w:before="60" w:after="60" w:line="240" w:lineRule="auto"/>
              <w:jc w:val="center"/>
              <w:rPr>
                <w:rFonts w:cs="Arial"/>
                <w:b/>
                <w:bCs/>
                <w:sz w:val="18"/>
                <w:szCs w:val="18"/>
              </w:rPr>
            </w:pPr>
            <w:r w:rsidRPr="00545EC0">
              <w:rPr>
                <w:b/>
                <w:bCs/>
                <w:szCs w:val="18"/>
              </w:rPr>
              <w:t>Obremenitve s skupnim dušikom zaradi kmetijstva</w:t>
            </w:r>
          </w:p>
        </w:tc>
      </w:tr>
      <w:tr w:rsidR="007E0EDE" w:rsidRPr="00545EC0" w14:paraId="68DD0872" w14:textId="77777777" w:rsidTr="003122F4">
        <w:trPr>
          <w:trHeight w:val="654"/>
          <w:tblHeader/>
        </w:trPr>
        <w:tc>
          <w:tcPr>
            <w:tcW w:w="1387" w:type="dxa"/>
            <w:vMerge/>
            <w:shd w:val="clear" w:color="auto" w:fill="D9D9D9" w:themeFill="background1" w:themeFillShade="D9"/>
            <w:noWrap/>
            <w:vAlign w:val="center"/>
          </w:tcPr>
          <w:p w14:paraId="616B378F" w14:textId="77777777" w:rsidR="00311813" w:rsidRPr="00545EC0" w:rsidRDefault="00311813" w:rsidP="00311813">
            <w:pPr>
              <w:spacing w:before="60" w:after="60" w:line="240" w:lineRule="auto"/>
              <w:jc w:val="center"/>
              <w:rPr>
                <w:rFonts w:cs="Arial"/>
                <w:b/>
                <w:bCs/>
                <w:sz w:val="18"/>
                <w:szCs w:val="18"/>
              </w:rPr>
            </w:pPr>
          </w:p>
        </w:tc>
        <w:tc>
          <w:tcPr>
            <w:tcW w:w="2266" w:type="dxa"/>
            <w:vMerge/>
            <w:shd w:val="clear" w:color="auto" w:fill="D9D9D9" w:themeFill="background1" w:themeFillShade="D9"/>
            <w:noWrap/>
            <w:vAlign w:val="center"/>
          </w:tcPr>
          <w:p w14:paraId="693F5CA3" w14:textId="77777777" w:rsidR="00311813" w:rsidRPr="00545EC0" w:rsidRDefault="00311813" w:rsidP="00311813">
            <w:pPr>
              <w:spacing w:before="60" w:after="60" w:line="240" w:lineRule="auto"/>
              <w:jc w:val="center"/>
              <w:rPr>
                <w:rFonts w:cs="Arial"/>
                <w:b/>
                <w:bCs/>
                <w:sz w:val="18"/>
                <w:szCs w:val="18"/>
              </w:rPr>
            </w:pPr>
          </w:p>
        </w:tc>
        <w:tc>
          <w:tcPr>
            <w:tcW w:w="903" w:type="dxa"/>
            <w:shd w:val="clear" w:color="auto" w:fill="D9D9D9" w:themeFill="background1" w:themeFillShade="D9"/>
            <w:noWrap/>
            <w:vAlign w:val="center"/>
          </w:tcPr>
          <w:p w14:paraId="5C9B33C2" w14:textId="77777777" w:rsidR="00311813" w:rsidRPr="00545EC0" w:rsidRDefault="00311813" w:rsidP="00311813">
            <w:pPr>
              <w:spacing w:before="60" w:after="60" w:line="240" w:lineRule="auto"/>
              <w:jc w:val="center"/>
              <w:rPr>
                <w:rFonts w:cs="Arial"/>
                <w:b/>
                <w:bCs/>
                <w:sz w:val="18"/>
                <w:szCs w:val="18"/>
                <w:lang w:val="en-GB"/>
              </w:rPr>
            </w:pPr>
            <w:r w:rsidRPr="00545EC0">
              <w:rPr>
                <w:rFonts w:cs="Arial"/>
                <w:b/>
                <w:bCs/>
                <w:sz w:val="18"/>
                <w:szCs w:val="18"/>
              </w:rPr>
              <w:t>2015</w:t>
            </w:r>
          </w:p>
          <w:p w14:paraId="3ED1C470" w14:textId="491D80E1" w:rsidR="00311813" w:rsidRPr="00545EC0" w:rsidRDefault="00311813" w:rsidP="00311813">
            <w:pPr>
              <w:spacing w:before="60" w:after="60" w:line="240" w:lineRule="auto"/>
              <w:jc w:val="center"/>
              <w:rPr>
                <w:rFonts w:cs="Arial"/>
                <w:b/>
                <w:bCs/>
                <w:sz w:val="18"/>
                <w:szCs w:val="18"/>
              </w:rPr>
            </w:pPr>
            <w:r w:rsidRPr="00545EC0">
              <w:rPr>
                <w:rFonts w:cs="Arial"/>
                <w:b/>
                <w:bCs/>
                <w:sz w:val="18"/>
                <w:szCs w:val="18"/>
                <w:lang w:val="en-GB"/>
              </w:rPr>
              <w:t>(t)</w:t>
            </w:r>
          </w:p>
        </w:tc>
        <w:tc>
          <w:tcPr>
            <w:tcW w:w="904" w:type="dxa"/>
            <w:shd w:val="clear" w:color="auto" w:fill="D9D9D9" w:themeFill="background1" w:themeFillShade="D9"/>
            <w:vAlign w:val="center"/>
          </w:tcPr>
          <w:p w14:paraId="0BE604B1" w14:textId="77777777" w:rsidR="00311813" w:rsidRPr="00545EC0" w:rsidRDefault="00311813" w:rsidP="00311813">
            <w:pPr>
              <w:spacing w:before="60" w:after="60" w:line="240" w:lineRule="auto"/>
              <w:jc w:val="center"/>
              <w:rPr>
                <w:rFonts w:cs="Arial"/>
                <w:b/>
                <w:bCs/>
                <w:sz w:val="18"/>
                <w:szCs w:val="18"/>
              </w:rPr>
            </w:pPr>
            <w:r w:rsidRPr="00545EC0">
              <w:rPr>
                <w:rFonts w:cs="Arial"/>
                <w:b/>
                <w:bCs/>
                <w:sz w:val="18"/>
                <w:szCs w:val="18"/>
              </w:rPr>
              <w:t>2015</w:t>
            </w:r>
          </w:p>
          <w:p w14:paraId="1069D3C2" w14:textId="124EC2AF" w:rsidR="00311813" w:rsidRPr="00545EC0" w:rsidRDefault="00311813" w:rsidP="00311813">
            <w:pPr>
              <w:spacing w:before="60" w:after="60" w:line="240" w:lineRule="auto"/>
              <w:jc w:val="center"/>
              <w:rPr>
                <w:rFonts w:cs="Arial"/>
                <w:b/>
                <w:bCs/>
                <w:sz w:val="18"/>
                <w:szCs w:val="18"/>
              </w:rPr>
            </w:pPr>
            <w:r w:rsidRPr="00545EC0">
              <w:rPr>
                <w:rFonts w:cs="Arial"/>
                <w:b/>
                <w:bCs/>
                <w:sz w:val="18"/>
                <w:szCs w:val="18"/>
              </w:rPr>
              <w:t>(kg/ha)</w:t>
            </w:r>
          </w:p>
        </w:tc>
        <w:tc>
          <w:tcPr>
            <w:tcW w:w="904" w:type="dxa"/>
            <w:shd w:val="clear" w:color="auto" w:fill="D9D9D9" w:themeFill="background1" w:themeFillShade="D9"/>
            <w:noWrap/>
            <w:vAlign w:val="center"/>
          </w:tcPr>
          <w:p w14:paraId="728F78E1" w14:textId="77777777" w:rsidR="00311813" w:rsidRPr="00545EC0" w:rsidRDefault="00311813" w:rsidP="00311813">
            <w:pPr>
              <w:spacing w:before="60" w:after="60" w:line="240" w:lineRule="auto"/>
              <w:jc w:val="center"/>
              <w:rPr>
                <w:rFonts w:cs="Arial"/>
                <w:b/>
                <w:bCs/>
                <w:sz w:val="18"/>
                <w:szCs w:val="18"/>
              </w:rPr>
            </w:pPr>
            <w:r w:rsidRPr="00545EC0">
              <w:rPr>
                <w:rFonts w:cs="Arial"/>
                <w:b/>
                <w:bCs/>
                <w:sz w:val="18"/>
                <w:szCs w:val="18"/>
              </w:rPr>
              <w:t>2016</w:t>
            </w:r>
          </w:p>
          <w:p w14:paraId="46ED6F80" w14:textId="051D509E" w:rsidR="00311813" w:rsidRPr="00545EC0" w:rsidRDefault="00311813" w:rsidP="00311813">
            <w:pPr>
              <w:spacing w:before="60" w:after="60" w:line="240" w:lineRule="auto"/>
              <w:jc w:val="center"/>
              <w:rPr>
                <w:rFonts w:cs="Arial"/>
                <w:b/>
                <w:bCs/>
                <w:sz w:val="18"/>
                <w:szCs w:val="18"/>
              </w:rPr>
            </w:pPr>
            <w:r w:rsidRPr="00545EC0">
              <w:rPr>
                <w:rFonts w:cs="Arial"/>
                <w:b/>
                <w:bCs/>
                <w:sz w:val="18"/>
                <w:szCs w:val="18"/>
                <w:lang w:val="en-GB"/>
              </w:rPr>
              <w:t>(t)</w:t>
            </w:r>
          </w:p>
        </w:tc>
        <w:tc>
          <w:tcPr>
            <w:tcW w:w="903" w:type="dxa"/>
            <w:shd w:val="clear" w:color="auto" w:fill="D9D9D9" w:themeFill="background1" w:themeFillShade="D9"/>
            <w:vAlign w:val="center"/>
          </w:tcPr>
          <w:p w14:paraId="50AA810F" w14:textId="77777777" w:rsidR="00311813" w:rsidRPr="00545EC0" w:rsidRDefault="00311813" w:rsidP="00311813">
            <w:pPr>
              <w:spacing w:before="60" w:after="60" w:line="240" w:lineRule="auto"/>
              <w:jc w:val="center"/>
              <w:rPr>
                <w:rFonts w:cs="Arial"/>
                <w:b/>
                <w:bCs/>
                <w:sz w:val="18"/>
                <w:szCs w:val="18"/>
              </w:rPr>
            </w:pPr>
            <w:r w:rsidRPr="00545EC0">
              <w:rPr>
                <w:rFonts w:cs="Arial"/>
                <w:b/>
                <w:bCs/>
                <w:sz w:val="18"/>
                <w:szCs w:val="18"/>
              </w:rPr>
              <w:t>2016</w:t>
            </w:r>
          </w:p>
          <w:p w14:paraId="1DDB59EB" w14:textId="3825F71D" w:rsidR="00311813" w:rsidRPr="00545EC0" w:rsidRDefault="00311813" w:rsidP="00311813">
            <w:pPr>
              <w:spacing w:before="60" w:after="60" w:line="240" w:lineRule="auto"/>
              <w:jc w:val="center"/>
              <w:rPr>
                <w:rFonts w:cs="Arial"/>
                <w:b/>
                <w:bCs/>
                <w:sz w:val="18"/>
                <w:szCs w:val="18"/>
              </w:rPr>
            </w:pPr>
            <w:r w:rsidRPr="00545EC0">
              <w:rPr>
                <w:rFonts w:cs="Arial"/>
                <w:b/>
                <w:bCs/>
                <w:sz w:val="18"/>
                <w:szCs w:val="18"/>
              </w:rPr>
              <w:t>(kg/ha)</w:t>
            </w:r>
          </w:p>
        </w:tc>
        <w:tc>
          <w:tcPr>
            <w:tcW w:w="904" w:type="dxa"/>
            <w:shd w:val="clear" w:color="auto" w:fill="D9D9D9" w:themeFill="background1" w:themeFillShade="D9"/>
            <w:noWrap/>
            <w:vAlign w:val="center"/>
          </w:tcPr>
          <w:p w14:paraId="2385E522" w14:textId="77777777" w:rsidR="00311813" w:rsidRPr="00545EC0" w:rsidRDefault="00311813" w:rsidP="00311813">
            <w:pPr>
              <w:spacing w:before="60" w:after="60" w:line="240" w:lineRule="auto"/>
              <w:jc w:val="center"/>
              <w:rPr>
                <w:rFonts w:cs="Arial"/>
                <w:b/>
                <w:bCs/>
                <w:sz w:val="18"/>
                <w:szCs w:val="18"/>
                <w:lang w:val="en-GB"/>
              </w:rPr>
            </w:pPr>
            <w:r w:rsidRPr="00545EC0">
              <w:rPr>
                <w:rFonts w:cs="Arial"/>
                <w:b/>
                <w:bCs/>
                <w:sz w:val="18"/>
                <w:szCs w:val="18"/>
              </w:rPr>
              <w:t>2017</w:t>
            </w:r>
          </w:p>
          <w:p w14:paraId="03154CBD" w14:textId="62B41BC5" w:rsidR="00311813" w:rsidRPr="00545EC0" w:rsidRDefault="00311813" w:rsidP="00311813">
            <w:pPr>
              <w:spacing w:before="60" w:after="60" w:line="240" w:lineRule="auto"/>
              <w:jc w:val="center"/>
              <w:rPr>
                <w:rFonts w:cs="Arial"/>
                <w:b/>
                <w:bCs/>
                <w:sz w:val="18"/>
                <w:szCs w:val="18"/>
              </w:rPr>
            </w:pPr>
            <w:r w:rsidRPr="00545EC0">
              <w:rPr>
                <w:rFonts w:cs="Arial"/>
                <w:b/>
                <w:bCs/>
                <w:sz w:val="18"/>
                <w:szCs w:val="18"/>
                <w:lang w:val="en-GB"/>
              </w:rPr>
              <w:t>(t)</w:t>
            </w:r>
          </w:p>
        </w:tc>
        <w:tc>
          <w:tcPr>
            <w:tcW w:w="904" w:type="dxa"/>
            <w:shd w:val="clear" w:color="auto" w:fill="D9D9D9" w:themeFill="background1" w:themeFillShade="D9"/>
            <w:vAlign w:val="center"/>
          </w:tcPr>
          <w:p w14:paraId="329A4D47" w14:textId="77777777" w:rsidR="00311813" w:rsidRPr="00545EC0" w:rsidRDefault="00311813" w:rsidP="00311813">
            <w:pPr>
              <w:spacing w:before="60" w:after="60" w:line="240" w:lineRule="auto"/>
              <w:jc w:val="center"/>
              <w:rPr>
                <w:rFonts w:cs="Arial"/>
                <w:b/>
                <w:bCs/>
                <w:sz w:val="18"/>
                <w:szCs w:val="18"/>
              </w:rPr>
            </w:pPr>
            <w:r w:rsidRPr="00545EC0">
              <w:rPr>
                <w:rFonts w:cs="Arial"/>
                <w:b/>
                <w:bCs/>
                <w:sz w:val="18"/>
                <w:szCs w:val="18"/>
              </w:rPr>
              <w:t>2017</w:t>
            </w:r>
          </w:p>
          <w:p w14:paraId="632DA342" w14:textId="6493682B" w:rsidR="00311813" w:rsidRPr="00545EC0" w:rsidRDefault="00311813" w:rsidP="00311813">
            <w:pPr>
              <w:spacing w:before="60" w:after="60" w:line="240" w:lineRule="auto"/>
              <w:jc w:val="center"/>
              <w:rPr>
                <w:rFonts w:cs="Arial"/>
                <w:b/>
                <w:bCs/>
                <w:sz w:val="18"/>
                <w:szCs w:val="18"/>
              </w:rPr>
            </w:pPr>
            <w:r w:rsidRPr="00545EC0">
              <w:rPr>
                <w:rFonts w:cs="Arial"/>
                <w:b/>
                <w:bCs/>
                <w:sz w:val="18"/>
                <w:szCs w:val="18"/>
              </w:rPr>
              <w:t>(kg/ha)</w:t>
            </w:r>
          </w:p>
        </w:tc>
      </w:tr>
      <w:tr w:rsidR="007E0EDE" w:rsidRPr="00545EC0" w14:paraId="1C318B7E" w14:textId="77777777" w:rsidTr="00625DB6">
        <w:trPr>
          <w:trHeight w:val="288"/>
        </w:trPr>
        <w:tc>
          <w:tcPr>
            <w:tcW w:w="1387" w:type="dxa"/>
            <w:shd w:val="clear" w:color="auto" w:fill="auto"/>
            <w:noWrap/>
            <w:hideMark/>
          </w:tcPr>
          <w:p w14:paraId="27BF43A6" w14:textId="77777777" w:rsidR="00311813" w:rsidRPr="00545EC0" w:rsidRDefault="00311813" w:rsidP="00625DB6">
            <w:pPr>
              <w:spacing w:before="60" w:after="60" w:line="240" w:lineRule="auto"/>
              <w:jc w:val="left"/>
              <w:rPr>
                <w:rFonts w:cs="Arial"/>
                <w:sz w:val="18"/>
                <w:szCs w:val="18"/>
              </w:rPr>
            </w:pPr>
            <w:r w:rsidRPr="00545EC0">
              <w:rPr>
                <w:rFonts w:cs="Arial"/>
                <w:sz w:val="18"/>
                <w:szCs w:val="18"/>
              </w:rPr>
              <w:t>VTPodV_1001</w:t>
            </w:r>
          </w:p>
        </w:tc>
        <w:tc>
          <w:tcPr>
            <w:tcW w:w="2266" w:type="dxa"/>
            <w:shd w:val="clear" w:color="auto" w:fill="auto"/>
            <w:noWrap/>
            <w:vAlign w:val="center"/>
            <w:hideMark/>
          </w:tcPr>
          <w:p w14:paraId="6F92F245" w14:textId="77777777" w:rsidR="00311813" w:rsidRPr="00545EC0" w:rsidRDefault="00311813" w:rsidP="00311813">
            <w:pPr>
              <w:spacing w:before="60" w:after="60" w:line="240" w:lineRule="auto"/>
              <w:jc w:val="left"/>
              <w:rPr>
                <w:rFonts w:cs="Arial"/>
                <w:sz w:val="18"/>
                <w:szCs w:val="18"/>
              </w:rPr>
            </w:pPr>
            <w:r w:rsidRPr="00545EC0">
              <w:rPr>
                <w:rFonts w:cs="Arial"/>
                <w:sz w:val="18"/>
                <w:szCs w:val="18"/>
              </w:rPr>
              <w:t>Savska kotlina in Ljubljansko Barje</w:t>
            </w:r>
          </w:p>
        </w:tc>
        <w:tc>
          <w:tcPr>
            <w:tcW w:w="903" w:type="dxa"/>
            <w:shd w:val="clear" w:color="auto" w:fill="auto"/>
            <w:noWrap/>
            <w:vAlign w:val="center"/>
            <w:hideMark/>
          </w:tcPr>
          <w:p w14:paraId="73653F65"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1.126</w:t>
            </w:r>
          </w:p>
        </w:tc>
        <w:tc>
          <w:tcPr>
            <w:tcW w:w="904" w:type="dxa"/>
            <w:shd w:val="clear" w:color="auto" w:fill="F2F2F2" w:themeFill="background1" w:themeFillShade="F2"/>
            <w:vAlign w:val="center"/>
          </w:tcPr>
          <w:p w14:paraId="0E3DE8FA"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14,6</w:t>
            </w:r>
          </w:p>
        </w:tc>
        <w:tc>
          <w:tcPr>
            <w:tcW w:w="904" w:type="dxa"/>
            <w:shd w:val="clear" w:color="auto" w:fill="auto"/>
            <w:noWrap/>
            <w:vAlign w:val="center"/>
            <w:hideMark/>
          </w:tcPr>
          <w:p w14:paraId="781F65DB"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1.052</w:t>
            </w:r>
          </w:p>
        </w:tc>
        <w:tc>
          <w:tcPr>
            <w:tcW w:w="903" w:type="dxa"/>
            <w:shd w:val="clear" w:color="auto" w:fill="F2F2F2" w:themeFill="background1" w:themeFillShade="F2"/>
            <w:vAlign w:val="center"/>
          </w:tcPr>
          <w:p w14:paraId="679374BF"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13,6</w:t>
            </w:r>
          </w:p>
        </w:tc>
        <w:tc>
          <w:tcPr>
            <w:tcW w:w="904" w:type="dxa"/>
            <w:shd w:val="clear" w:color="auto" w:fill="auto"/>
            <w:noWrap/>
            <w:vAlign w:val="center"/>
            <w:hideMark/>
          </w:tcPr>
          <w:p w14:paraId="1EF2BCB3"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2.185</w:t>
            </w:r>
          </w:p>
        </w:tc>
        <w:tc>
          <w:tcPr>
            <w:tcW w:w="904" w:type="dxa"/>
            <w:shd w:val="clear" w:color="auto" w:fill="F2F2F2" w:themeFill="background1" w:themeFillShade="F2"/>
            <w:vAlign w:val="center"/>
          </w:tcPr>
          <w:p w14:paraId="613DD56C"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28,2</w:t>
            </w:r>
          </w:p>
        </w:tc>
      </w:tr>
      <w:tr w:rsidR="007E0EDE" w:rsidRPr="00545EC0" w14:paraId="1A39A3FD" w14:textId="77777777" w:rsidTr="00625DB6">
        <w:trPr>
          <w:trHeight w:val="288"/>
        </w:trPr>
        <w:tc>
          <w:tcPr>
            <w:tcW w:w="1387" w:type="dxa"/>
            <w:shd w:val="clear" w:color="auto" w:fill="auto"/>
            <w:noWrap/>
            <w:hideMark/>
          </w:tcPr>
          <w:p w14:paraId="33C132E5" w14:textId="77777777" w:rsidR="00311813" w:rsidRPr="00545EC0" w:rsidRDefault="00311813" w:rsidP="00625DB6">
            <w:pPr>
              <w:spacing w:before="60" w:after="60" w:line="240" w:lineRule="auto"/>
              <w:jc w:val="left"/>
              <w:rPr>
                <w:rFonts w:cs="Arial"/>
                <w:sz w:val="18"/>
                <w:szCs w:val="18"/>
              </w:rPr>
            </w:pPr>
            <w:r w:rsidRPr="00545EC0">
              <w:rPr>
                <w:rFonts w:cs="Arial"/>
                <w:sz w:val="18"/>
                <w:szCs w:val="18"/>
              </w:rPr>
              <w:t>VTPodV_1002</w:t>
            </w:r>
          </w:p>
        </w:tc>
        <w:tc>
          <w:tcPr>
            <w:tcW w:w="2266" w:type="dxa"/>
            <w:shd w:val="clear" w:color="auto" w:fill="auto"/>
            <w:noWrap/>
            <w:vAlign w:val="center"/>
            <w:hideMark/>
          </w:tcPr>
          <w:p w14:paraId="15CA5808" w14:textId="77777777" w:rsidR="00311813" w:rsidRPr="00545EC0" w:rsidRDefault="00311813" w:rsidP="00311813">
            <w:pPr>
              <w:spacing w:before="60" w:after="60" w:line="240" w:lineRule="auto"/>
              <w:jc w:val="left"/>
              <w:rPr>
                <w:rFonts w:cs="Arial"/>
                <w:sz w:val="18"/>
                <w:szCs w:val="18"/>
              </w:rPr>
            </w:pPr>
            <w:r w:rsidRPr="00545EC0">
              <w:rPr>
                <w:rFonts w:cs="Arial"/>
                <w:sz w:val="18"/>
                <w:szCs w:val="18"/>
              </w:rPr>
              <w:t>Savinjska kotlina</w:t>
            </w:r>
          </w:p>
        </w:tc>
        <w:tc>
          <w:tcPr>
            <w:tcW w:w="903" w:type="dxa"/>
            <w:shd w:val="clear" w:color="auto" w:fill="auto"/>
            <w:noWrap/>
            <w:vAlign w:val="center"/>
            <w:hideMark/>
          </w:tcPr>
          <w:p w14:paraId="0E9FE069"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237</w:t>
            </w:r>
          </w:p>
        </w:tc>
        <w:tc>
          <w:tcPr>
            <w:tcW w:w="904" w:type="dxa"/>
            <w:shd w:val="clear" w:color="auto" w:fill="F2F2F2" w:themeFill="background1" w:themeFillShade="F2"/>
            <w:vAlign w:val="center"/>
          </w:tcPr>
          <w:p w14:paraId="2670C3C9"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21,7</w:t>
            </w:r>
          </w:p>
        </w:tc>
        <w:tc>
          <w:tcPr>
            <w:tcW w:w="904" w:type="dxa"/>
            <w:shd w:val="clear" w:color="auto" w:fill="auto"/>
            <w:noWrap/>
            <w:vAlign w:val="center"/>
            <w:hideMark/>
          </w:tcPr>
          <w:p w14:paraId="4F13ACDE"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223</w:t>
            </w:r>
          </w:p>
        </w:tc>
        <w:tc>
          <w:tcPr>
            <w:tcW w:w="903" w:type="dxa"/>
            <w:shd w:val="clear" w:color="auto" w:fill="F2F2F2" w:themeFill="background1" w:themeFillShade="F2"/>
            <w:vAlign w:val="center"/>
          </w:tcPr>
          <w:p w14:paraId="40DB98FD"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20,4</w:t>
            </w:r>
          </w:p>
        </w:tc>
        <w:tc>
          <w:tcPr>
            <w:tcW w:w="904" w:type="dxa"/>
            <w:shd w:val="clear" w:color="auto" w:fill="auto"/>
            <w:noWrap/>
            <w:vAlign w:val="center"/>
            <w:hideMark/>
          </w:tcPr>
          <w:p w14:paraId="438901AB"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314</w:t>
            </w:r>
          </w:p>
        </w:tc>
        <w:tc>
          <w:tcPr>
            <w:tcW w:w="904" w:type="dxa"/>
            <w:shd w:val="clear" w:color="auto" w:fill="F2F2F2" w:themeFill="background1" w:themeFillShade="F2"/>
            <w:vAlign w:val="center"/>
          </w:tcPr>
          <w:p w14:paraId="7A11DC34"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28,8</w:t>
            </w:r>
          </w:p>
        </w:tc>
      </w:tr>
      <w:tr w:rsidR="007E0EDE" w:rsidRPr="00545EC0" w14:paraId="111A4E2B" w14:textId="77777777" w:rsidTr="00625DB6">
        <w:trPr>
          <w:trHeight w:val="288"/>
        </w:trPr>
        <w:tc>
          <w:tcPr>
            <w:tcW w:w="1387" w:type="dxa"/>
            <w:shd w:val="clear" w:color="auto" w:fill="auto"/>
            <w:noWrap/>
            <w:hideMark/>
          </w:tcPr>
          <w:p w14:paraId="3054E65F" w14:textId="77777777" w:rsidR="00311813" w:rsidRPr="00545EC0" w:rsidRDefault="00311813" w:rsidP="00625DB6">
            <w:pPr>
              <w:spacing w:before="60" w:after="60" w:line="240" w:lineRule="auto"/>
              <w:jc w:val="left"/>
              <w:rPr>
                <w:rFonts w:cs="Arial"/>
                <w:sz w:val="18"/>
                <w:szCs w:val="18"/>
              </w:rPr>
            </w:pPr>
            <w:r w:rsidRPr="00545EC0">
              <w:rPr>
                <w:rFonts w:cs="Arial"/>
                <w:sz w:val="18"/>
                <w:szCs w:val="18"/>
              </w:rPr>
              <w:t>VTPodV_1003</w:t>
            </w:r>
          </w:p>
        </w:tc>
        <w:tc>
          <w:tcPr>
            <w:tcW w:w="2266" w:type="dxa"/>
            <w:shd w:val="clear" w:color="auto" w:fill="auto"/>
            <w:noWrap/>
            <w:vAlign w:val="center"/>
            <w:hideMark/>
          </w:tcPr>
          <w:p w14:paraId="44168C99" w14:textId="77777777" w:rsidR="00311813" w:rsidRPr="00545EC0" w:rsidRDefault="00311813" w:rsidP="00311813">
            <w:pPr>
              <w:spacing w:before="60" w:after="60" w:line="240" w:lineRule="auto"/>
              <w:jc w:val="left"/>
              <w:rPr>
                <w:rFonts w:cs="Arial"/>
                <w:sz w:val="18"/>
                <w:szCs w:val="18"/>
              </w:rPr>
            </w:pPr>
            <w:r w:rsidRPr="00545EC0">
              <w:rPr>
                <w:rFonts w:cs="Arial"/>
                <w:sz w:val="18"/>
                <w:szCs w:val="18"/>
              </w:rPr>
              <w:t>Krška kotlina</w:t>
            </w:r>
          </w:p>
        </w:tc>
        <w:tc>
          <w:tcPr>
            <w:tcW w:w="903" w:type="dxa"/>
            <w:shd w:val="clear" w:color="auto" w:fill="auto"/>
            <w:noWrap/>
            <w:vAlign w:val="center"/>
            <w:hideMark/>
          </w:tcPr>
          <w:p w14:paraId="301CAB5D"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188</w:t>
            </w:r>
          </w:p>
        </w:tc>
        <w:tc>
          <w:tcPr>
            <w:tcW w:w="904" w:type="dxa"/>
            <w:shd w:val="clear" w:color="auto" w:fill="F2F2F2" w:themeFill="background1" w:themeFillShade="F2"/>
            <w:vAlign w:val="center"/>
          </w:tcPr>
          <w:p w14:paraId="56E6EA32"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19,4</w:t>
            </w:r>
          </w:p>
        </w:tc>
        <w:tc>
          <w:tcPr>
            <w:tcW w:w="904" w:type="dxa"/>
            <w:shd w:val="clear" w:color="auto" w:fill="auto"/>
            <w:noWrap/>
            <w:vAlign w:val="center"/>
            <w:hideMark/>
          </w:tcPr>
          <w:p w14:paraId="73B37114"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145</w:t>
            </w:r>
          </w:p>
        </w:tc>
        <w:tc>
          <w:tcPr>
            <w:tcW w:w="903" w:type="dxa"/>
            <w:shd w:val="clear" w:color="auto" w:fill="F2F2F2" w:themeFill="background1" w:themeFillShade="F2"/>
            <w:vAlign w:val="center"/>
          </w:tcPr>
          <w:p w14:paraId="46060234"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15,0</w:t>
            </w:r>
          </w:p>
        </w:tc>
        <w:tc>
          <w:tcPr>
            <w:tcW w:w="904" w:type="dxa"/>
            <w:shd w:val="clear" w:color="auto" w:fill="auto"/>
            <w:noWrap/>
            <w:vAlign w:val="center"/>
            <w:hideMark/>
          </w:tcPr>
          <w:p w14:paraId="6F8F5AFB"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162</w:t>
            </w:r>
          </w:p>
        </w:tc>
        <w:tc>
          <w:tcPr>
            <w:tcW w:w="904" w:type="dxa"/>
            <w:shd w:val="clear" w:color="auto" w:fill="F2F2F2" w:themeFill="background1" w:themeFillShade="F2"/>
            <w:vAlign w:val="center"/>
          </w:tcPr>
          <w:p w14:paraId="69A24412"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16,7</w:t>
            </w:r>
          </w:p>
        </w:tc>
      </w:tr>
      <w:tr w:rsidR="007E0EDE" w:rsidRPr="00545EC0" w14:paraId="0A0F5385" w14:textId="77777777" w:rsidTr="00625DB6">
        <w:trPr>
          <w:trHeight w:val="288"/>
        </w:trPr>
        <w:tc>
          <w:tcPr>
            <w:tcW w:w="1387" w:type="dxa"/>
            <w:shd w:val="clear" w:color="auto" w:fill="auto"/>
            <w:noWrap/>
            <w:hideMark/>
          </w:tcPr>
          <w:p w14:paraId="3935831D" w14:textId="77777777" w:rsidR="00311813" w:rsidRPr="00545EC0" w:rsidRDefault="00311813" w:rsidP="00625DB6">
            <w:pPr>
              <w:spacing w:before="60" w:after="60" w:line="240" w:lineRule="auto"/>
              <w:jc w:val="left"/>
              <w:rPr>
                <w:rFonts w:cs="Arial"/>
                <w:sz w:val="18"/>
                <w:szCs w:val="18"/>
              </w:rPr>
            </w:pPr>
            <w:r w:rsidRPr="00545EC0">
              <w:rPr>
                <w:rFonts w:cs="Arial"/>
                <w:sz w:val="18"/>
                <w:szCs w:val="18"/>
              </w:rPr>
              <w:t>VTPodV_1004</w:t>
            </w:r>
          </w:p>
        </w:tc>
        <w:tc>
          <w:tcPr>
            <w:tcW w:w="2266" w:type="dxa"/>
            <w:shd w:val="clear" w:color="auto" w:fill="auto"/>
            <w:noWrap/>
            <w:vAlign w:val="center"/>
            <w:hideMark/>
          </w:tcPr>
          <w:p w14:paraId="54F3D1EA" w14:textId="77777777" w:rsidR="00311813" w:rsidRPr="00545EC0" w:rsidRDefault="00311813" w:rsidP="00311813">
            <w:pPr>
              <w:spacing w:before="60" w:after="60" w:line="240" w:lineRule="auto"/>
              <w:jc w:val="left"/>
              <w:rPr>
                <w:rFonts w:cs="Arial"/>
                <w:sz w:val="18"/>
                <w:szCs w:val="18"/>
              </w:rPr>
            </w:pPr>
            <w:r w:rsidRPr="00545EC0">
              <w:rPr>
                <w:rFonts w:cs="Arial"/>
                <w:sz w:val="18"/>
                <w:szCs w:val="18"/>
              </w:rPr>
              <w:t>Julijske Alpe v porečju Save</w:t>
            </w:r>
          </w:p>
        </w:tc>
        <w:tc>
          <w:tcPr>
            <w:tcW w:w="903" w:type="dxa"/>
            <w:shd w:val="clear" w:color="auto" w:fill="auto"/>
            <w:noWrap/>
            <w:vAlign w:val="center"/>
            <w:hideMark/>
          </w:tcPr>
          <w:p w14:paraId="28C8EACE"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53</w:t>
            </w:r>
          </w:p>
        </w:tc>
        <w:tc>
          <w:tcPr>
            <w:tcW w:w="904" w:type="dxa"/>
            <w:shd w:val="clear" w:color="auto" w:fill="F2F2F2" w:themeFill="background1" w:themeFillShade="F2"/>
            <w:vAlign w:val="center"/>
          </w:tcPr>
          <w:p w14:paraId="3EE4B0C9"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0,7</w:t>
            </w:r>
          </w:p>
        </w:tc>
        <w:tc>
          <w:tcPr>
            <w:tcW w:w="904" w:type="dxa"/>
            <w:shd w:val="clear" w:color="auto" w:fill="auto"/>
            <w:noWrap/>
            <w:vAlign w:val="center"/>
            <w:hideMark/>
          </w:tcPr>
          <w:p w14:paraId="665EE197"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51</w:t>
            </w:r>
          </w:p>
        </w:tc>
        <w:tc>
          <w:tcPr>
            <w:tcW w:w="903" w:type="dxa"/>
            <w:shd w:val="clear" w:color="auto" w:fill="F2F2F2" w:themeFill="background1" w:themeFillShade="F2"/>
            <w:vAlign w:val="center"/>
          </w:tcPr>
          <w:p w14:paraId="61013E23"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0,7</w:t>
            </w:r>
          </w:p>
        </w:tc>
        <w:tc>
          <w:tcPr>
            <w:tcW w:w="904" w:type="dxa"/>
            <w:shd w:val="clear" w:color="auto" w:fill="auto"/>
            <w:noWrap/>
            <w:vAlign w:val="center"/>
            <w:hideMark/>
          </w:tcPr>
          <w:p w14:paraId="07B9AE38"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150</w:t>
            </w:r>
          </w:p>
        </w:tc>
        <w:tc>
          <w:tcPr>
            <w:tcW w:w="904" w:type="dxa"/>
            <w:shd w:val="clear" w:color="auto" w:fill="F2F2F2" w:themeFill="background1" w:themeFillShade="F2"/>
            <w:vAlign w:val="center"/>
          </w:tcPr>
          <w:p w14:paraId="795D443A"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1,9</w:t>
            </w:r>
          </w:p>
        </w:tc>
      </w:tr>
      <w:tr w:rsidR="007E0EDE" w:rsidRPr="00545EC0" w14:paraId="36304E17" w14:textId="77777777" w:rsidTr="00625DB6">
        <w:trPr>
          <w:trHeight w:val="288"/>
        </w:trPr>
        <w:tc>
          <w:tcPr>
            <w:tcW w:w="1387" w:type="dxa"/>
            <w:shd w:val="clear" w:color="auto" w:fill="auto"/>
            <w:noWrap/>
            <w:hideMark/>
          </w:tcPr>
          <w:p w14:paraId="0903BEC1" w14:textId="77777777" w:rsidR="00311813" w:rsidRPr="00545EC0" w:rsidRDefault="00311813" w:rsidP="00625DB6">
            <w:pPr>
              <w:spacing w:before="60" w:after="60" w:line="240" w:lineRule="auto"/>
              <w:jc w:val="left"/>
              <w:rPr>
                <w:rFonts w:cs="Arial"/>
                <w:sz w:val="18"/>
                <w:szCs w:val="18"/>
              </w:rPr>
            </w:pPr>
            <w:r w:rsidRPr="00545EC0">
              <w:rPr>
                <w:rFonts w:cs="Arial"/>
                <w:sz w:val="18"/>
                <w:szCs w:val="18"/>
              </w:rPr>
              <w:t>VTPodV_1005</w:t>
            </w:r>
          </w:p>
        </w:tc>
        <w:tc>
          <w:tcPr>
            <w:tcW w:w="2266" w:type="dxa"/>
            <w:shd w:val="clear" w:color="auto" w:fill="auto"/>
            <w:noWrap/>
            <w:vAlign w:val="center"/>
            <w:hideMark/>
          </w:tcPr>
          <w:p w14:paraId="6FB9B6BF" w14:textId="77777777" w:rsidR="00311813" w:rsidRPr="00545EC0" w:rsidRDefault="00311813" w:rsidP="00311813">
            <w:pPr>
              <w:spacing w:before="60" w:after="60" w:line="240" w:lineRule="auto"/>
              <w:jc w:val="left"/>
              <w:rPr>
                <w:rFonts w:cs="Arial"/>
                <w:sz w:val="18"/>
                <w:szCs w:val="18"/>
              </w:rPr>
            </w:pPr>
            <w:r w:rsidRPr="00545EC0">
              <w:rPr>
                <w:rFonts w:cs="Arial"/>
                <w:sz w:val="18"/>
                <w:szCs w:val="18"/>
                <w:lang w:val="en-GB"/>
              </w:rPr>
              <w:t>Karavanke</w:t>
            </w:r>
          </w:p>
        </w:tc>
        <w:tc>
          <w:tcPr>
            <w:tcW w:w="903" w:type="dxa"/>
            <w:shd w:val="clear" w:color="auto" w:fill="auto"/>
            <w:noWrap/>
            <w:vAlign w:val="center"/>
            <w:hideMark/>
          </w:tcPr>
          <w:p w14:paraId="42A4A5E9"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12</w:t>
            </w:r>
          </w:p>
        </w:tc>
        <w:tc>
          <w:tcPr>
            <w:tcW w:w="904" w:type="dxa"/>
            <w:shd w:val="clear" w:color="auto" w:fill="F2F2F2" w:themeFill="background1" w:themeFillShade="F2"/>
            <w:vAlign w:val="center"/>
          </w:tcPr>
          <w:p w14:paraId="417DC478"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0,3</w:t>
            </w:r>
          </w:p>
        </w:tc>
        <w:tc>
          <w:tcPr>
            <w:tcW w:w="904" w:type="dxa"/>
            <w:shd w:val="clear" w:color="auto" w:fill="auto"/>
            <w:noWrap/>
            <w:vAlign w:val="center"/>
            <w:hideMark/>
          </w:tcPr>
          <w:p w14:paraId="10E70DDB"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13</w:t>
            </w:r>
          </w:p>
        </w:tc>
        <w:tc>
          <w:tcPr>
            <w:tcW w:w="903" w:type="dxa"/>
            <w:shd w:val="clear" w:color="auto" w:fill="F2F2F2" w:themeFill="background1" w:themeFillShade="F2"/>
            <w:vAlign w:val="center"/>
          </w:tcPr>
          <w:p w14:paraId="0B0B515F"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0,3</w:t>
            </w:r>
          </w:p>
        </w:tc>
        <w:tc>
          <w:tcPr>
            <w:tcW w:w="904" w:type="dxa"/>
            <w:shd w:val="clear" w:color="auto" w:fill="auto"/>
            <w:noWrap/>
            <w:vAlign w:val="center"/>
            <w:hideMark/>
          </w:tcPr>
          <w:p w14:paraId="4C3D4F93"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58</w:t>
            </w:r>
          </w:p>
        </w:tc>
        <w:tc>
          <w:tcPr>
            <w:tcW w:w="904" w:type="dxa"/>
            <w:shd w:val="clear" w:color="auto" w:fill="F2F2F2" w:themeFill="background1" w:themeFillShade="F2"/>
            <w:vAlign w:val="center"/>
          </w:tcPr>
          <w:p w14:paraId="67229EBB"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1,4</w:t>
            </w:r>
          </w:p>
        </w:tc>
      </w:tr>
      <w:tr w:rsidR="007E0EDE" w:rsidRPr="00545EC0" w14:paraId="436D9F20" w14:textId="77777777" w:rsidTr="00625DB6">
        <w:trPr>
          <w:trHeight w:val="288"/>
        </w:trPr>
        <w:tc>
          <w:tcPr>
            <w:tcW w:w="1387" w:type="dxa"/>
            <w:shd w:val="clear" w:color="auto" w:fill="auto"/>
            <w:noWrap/>
            <w:hideMark/>
          </w:tcPr>
          <w:p w14:paraId="7630A03E" w14:textId="77777777" w:rsidR="00311813" w:rsidRPr="00545EC0" w:rsidRDefault="00311813" w:rsidP="00625DB6">
            <w:pPr>
              <w:spacing w:before="60" w:after="60" w:line="240" w:lineRule="auto"/>
              <w:jc w:val="left"/>
              <w:rPr>
                <w:rFonts w:cs="Arial"/>
                <w:sz w:val="18"/>
                <w:szCs w:val="18"/>
              </w:rPr>
            </w:pPr>
            <w:r w:rsidRPr="00545EC0">
              <w:rPr>
                <w:rFonts w:cs="Arial"/>
                <w:sz w:val="18"/>
                <w:szCs w:val="18"/>
              </w:rPr>
              <w:t>VTPodV_1006</w:t>
            </w:r>
          </w:p>
        </w:tc>
        <w:tc>
          <w:tcPr>
            <w:tcW w:w="2266" w:type="dxa"/>
            <w:shd w:val="clear" w:color="auto" w:fill="auto"/>
            <w:noWrap/>
            <w:vAlign w:val="center"/>
            <w:hideMark/>
          </w:tcPr>
          <w:p w14:paraId="42806D33" w14:textId="77777777" w:rsidR="00311813" w:rsidRPr="00545EC0" w:rsidRDefault="00311813" w:rsidP="00311813">
            <w:pPr>
              <w:spacing w:before="60" w:after="60" w:line="240" w:lineRule="auto"/>
              <w:jc w:val="left"/>
              <w:rPr>
                <w:rFonts w:cs="Arial"/>
                <w:sz w:val="18"/>
                <w:szCs w:val="18"/>
              </w:rPr>
            </w:pPr>
            <w:r w:rsidRPr="00545EC0">
              <w:rPr>
                <w:rFonts w:cs="Arial"/>
                <w:sz w:val="18"/>
                <w:szCs w:val="18"/>
              </w:rPr>
              <w:t>Kamniško-Savinjske Alpe</w:t>
            </w:r>
          </w:p>
        </w:tc>
        <w:tc>
          <w:tcPr>
            <w:tcW w:w="903" w:type="dxa"/>
            <w:shd w:val="clear" w:color="auto" w:fill="auto"/>
            <w:noWrap/>
            <w:vAlign w:val="center"/>
            <w:hideMark/>
          </w:tcPr>
          <w:p w14:paraId="53EA0EF9"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180</w:t>
            </w:r>
          </w:p>
        </w:tc>
        <w:tc>
          <w:tcPr>
            <w:tcW w:w="904" w:type="dxa"/>
            <w:shd w:val="clear" w:color="auto" w:fill="F2F2F2" w:themeFill="background1" w:themeFillShade="F2"/>
            <w:vAlign w:val="center"/>
          </w:tcPr>
          <w:p w14:paraId="554D514E"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1,6</w:t>
            </w:r>
          </w:p>
        </w:tc>
        <w:tc>
          <w:tcPr>
            <w:tcW w:w="904" w:type="dxa"/>
            <w:shd w:val="clear" w:color="auto" w:fill="auto"/>
            <w:noWrap/>
            <w:vAlign w:val="center"/>
            <w:hideMark/>
          </w:tcPr>
          <w:p w14:paraId="1234F7ED"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157</w:t>
            </w:r>
          </w:p>
        </w:tc>
        <w:tc>
          <w:tcPr>
            <w:tcW w:w="903" w:type="dxa"/>
            <w:shd w:val="clear" w:color="auto" w:fill="F2F2F2" w:themeFill="background1" w:themeFillShade="F2"/>
            <w:vAlign w:val="center"/>
          </w:tcPr>
          <w:p w14:paraId="151809BB"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1,4</w:t>
            </w:r>
          </w:p>
        </w:tc>
        <w:tc>
          <w:tcPr>
            <w:tcW w:w="904" w:type="dxa"/>
            <w:shd w:val="clear" w:color="auto" w:fill="auto"/>
            <w:noWrap/>
            <w:vAlign w:val="center"/>
            <w:hideMark/>
          </w:tcPr>
          <w:p w14:paraId="5639FB1D"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441</w:t>
            </w:r>
          </w:p>
        </w:tc>
        <w:tc>
          <w:tcPr>
            <w:tcW w:w="904" w:type="dxa"/>
            <w:shd w:val="clear" w:color="auto" w:fill="F2F2F2" w:themeFill="background1" w:themeFillShade="F2"/>
            <w:vAlign w:val="center"/>
          </w:tcPr>
          <w:p w14:paraId="09635983"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4,0</w:t>
            </w:r>
          </w:p>
        </w:tc>
      </w:tr>
      <w:tr w:rsidR="007E0EDE" w:rsidRPr="00545EC0" w14:paraId="570B4375" w14:textId="77777777" w:rsidTr="00625DB6">
        <w:trPr>
          <w:trHeight w:val="288"/>
        </w:trPr>
        <w:tc>
          <w:tcPr>
            <w:tcW w:w="1387" w:type="dxa"/>
            <w:shd w:val="clear" w:color="auto" w:fill="auto"/>
            <w:noWrap/>
            <w:hideMark/>
          </w:tcPr>
          <w:p w14:paraId="5F7E72BA" w14:textId="77777777" w:rsidR="00311813" w:rsidRPr="00545EC0" w:rsidRDefault="00311813" w:rsidP="00625DB6">
            <w:pPr>
              <w:spacing w:before="60" w:after="60" w:line="240" w:lineRule="auto"/>
              <w:jc w:val="left"/>
              <w:rPr>
                <w:rFonts w:cs="Arial"/>
                <w:sz w:val="18"/>
                <w:szCs w:val="18"/>
              </w:rPr>
            </w:pPr>
            <w:r w:rsidRPr="00545EC0">
              <w:rPr>
                <w:rFonts w:cs="Arial"/>
                <w:sz w:val="18"/>
                <w:szCs w:val="18"/>
              </w:rPr>
              <w:t>VTPodV_1007</w:t>
            </w:r>
          </w:p>
        </w:tc>
        <w:tc>
          <w:tcPr>
            <w:tcW w:w="2266" w:type="dxa"/>
            <w:shd w:val="clear" w:color="auto" w:fill="auto"/>
            <w:noWrap/>
            <w:vAlign w:val="center"/>
            <w:hideMark/>
          </w:tcPr>
          <w:p w14:paraId="11043D30" w14:textId="77777777" w:rsidR="00311813" w:rsidRPr="00545EC0" w:rsidRDefault="00311813" w:rsidP="00311813">
            <w:pPr>
              <w:spacing w:before="60" w:after="60" w:line="240" w:lineRule="auto"/>
              <w:jc w:val="left"/>
              <w:rPr>
                <w:rFonts w:cs="Arial"/>
                <w:sz w:val="18"/>
                <w:szCs w:val="18"/>
              </w:rPr>
            </w:pPr>
            <w:r w:rsidRPr="00545EC0">
              <w:rPr>
                <w:rFonts w:cs="Arial"/>
                <w:sz w:val="18"/>
                <w:szCs w:val="18"/>
              </w:rPr>
              <w:t>Cerkljansko, Škofjeloško in Polhograjsko hribovje</w:t>
            </w:r>
          </w:p>
        </w:tc>
        <w:tc>
          <w:tcPr>
            <w:tcW w:w="903" w:type="dxa"/>
            <w:shd w:val="clear" w:color="auto" w:fill="auto"/>
            <w:noWrap/>
            <w:vAlign w:val="center"/>
            <w:hideMark/>
          </w:tcPr>
          <w:p w14:paraId="6AAC1853"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203</w:t>
            </w:r>
          </w:p>
        </w:tc>
        <w:tc>
          <w:tcPr>
            <w:tcW w:w="904" w:type="dxa"/>
            <w:shd w:val="clear" w:color="auto" w:fill="F2F2F2" w:themeFill="background1" w:themeFillShade="F2"/>
            <w:vAlign w:val="center"/>
          </w:tcPr>
          <w:p w14:paraId="672E29B4"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2,4</w:t>
            </w:r>
          </w:p>
        </w:tc>
        <w:tc>
          <w:tcPr>
            <w:tcW w:w="904" w:type="dxa"/>
            <w:shd w:val="clear" w:color="auto" w:fill="auto"/>
            <w:noWrap/>
            <w:vAlign w:val="center"/>
            <w:hideMark/>
          </w:tcPr>
          <w:p w14:paraId="7102BA66"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211</w:t>
            </w:r>
          </w:p>
        </w:tc>
        <w:tc>
          <w:tcPr>
            <w:tcW w:w="903" w:type="dxa"/>
            <w:shd w:val="clear" w:color="auto" w:fill="F2F2F2" w:themeFill="background1" w:themeFillShade="F2"/>
            <w:vAlign w:val="center"/>
          </w:tcPr>
          <w:p w14:paraId="10B5DD5C"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2,5</w:t>
            </w:r>
          </w:p>
        </w:tc>
        <w:tc>
          <w:tcPr>
            <w:tcW w:w="904" w:type="dxa"/>
            <w:shd w:val="clear" w:color="auto" w:fill="auto"/>
            <w:noWrap/>
            <w:vAlign w:val="center"/>
            <w:hideMark/>
          </w:tcPr>
          <w:p w14:paraId="2BF9C11B"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632</w:t>
            </w:r>
          </w:p>
        </w:tc>
        <w:tc>
          <w:tcPr>
            <w:tcW w:w="904" w:type="dxa"/>
            <w:shd w:val="clear" w:color="auto" w:fill="F2F2F2" w:themeFill="background1" w:themeFillShade="F2"/>
            <w:vAlign w:val="center"/>
          </w:tcPr>
          <w:p w14:paraId="2771E281"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7,4</w:t>
            </w:r>
          </w:p>
        </w:tc>
      </w:tr>
      <w:tr w:rsidR="007E0EDE" w:rsidRPr="00545EC0" w14:paraId="4E6DCB4A" w14:textId="77777777" w:rsidTr="00625DB6">
        <w:trPr>
          <w:trHeight w:val="288"/>
        </w:trPr>
        <w:tc>
          <w:tcPr>
            <w:tcW w:w="1387" w:type="dxa"/>
            <w:shd w:val="clear" w:color="auto" w:fill="auto"/>
            <w:noWrap/>
            <w:hideMark/>
          </w:tcPr>
          <w:p w14:paraId="6627BC1D" w14:textId="77777777" w:rsidR="00311813" w:rsidRPr="00545EC0" w:rsidRDefault="00311813" w:rsidP="00625DB6">
            <w:pPr>
              <w:spacing w:before="60" w:after="60" w:line="240" w:lineRule="auto"/>
              <w:jc w:val="left"/>
              <w:rPr>
                <w:rFonts w:cs="Arial"/>
                <w:sz w:val="18"/>
                <w:szCs w:val="18"/>
              </w:rPr>
            </w:pPr>
            <w:r w:rsidRPr="00545EC0">
              <w:rPr>
                <w:rFonts w:cs="Arial"/>
                <w:sz w:val="18"/>
                <w:szCs w:val="18"/>
              </w:rPr>
              <w:t>VTPodV_1008</w:t>
            </w:r>
          </w:p>
        </w:tc>
        <w:tc>
          <w:tcPr>
            <w:tcW w:w="2266" w:type="dxa"/>
            <w:shd w:val="clear" w:color="auto" w:fill="auto"/>
            <w:noWrap/>
            <w:vAlign w:val="center"/>
            <w:hideMark/>
          </w:tcPr>
          <w:p w14:paraId="1D6891DC" w14:textId="77777777" w:rsidR="00311813" w:rsidRPr="00545EC0" w:rsidRDefault="00311813" w:rsidP="00311813">
            <w:pPr>
              <w:spacing w:before="60" w:after="60" w:line="240" w:lineRule="auto"/>
              <w:jc w:val="left"/>
              <w:rPr>
                <w:rFonts w:cs="Arial"/>
                <w:sz w:val="18"/>
                <w:szCs w:val="18"/>
              </w:rPr>
            </w:pPr>
            <w:r w:rsidRPr="00545EC0">
              <w:rPr>
                <w:rFonts w:cs="Arial"/>
                <w:sz w:val="18"/>
                <w:szCs w:val="18"/>
              </w:rPr>
              <w:t>Posavsko hribovje do osrednje Sotle</w:t>
            </w:r>
          </w:p>
        </w:tc>
        <w:tc>
          <w:tcPr>
            <w:tcW w:w="903" w:type="dxa"/>
            <w:shd w:val="clear" w:color="auto" w:fill="auto"/>
            <w:noWrap/>
            <w:vAlign w:val="center"/>
            <w:hideMark/>
          </w:tcPr>
          <w:p w14:paraId="4FB058EC"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738</w:t>
            </w:r>
          </w:p>
        </w:tc>
        <w:tc>
          <w:tcPr>
            <w:tcW w:w="904" w:type="dxa"/>
            <w:shd w:val="clear" w:color="auto" w:fill="F2F2F2" w:themeFill="background1" w:themeFillShade="F2"/>
            <w:vAlign w:val="center"/>
          </w:tcPr>
          <w:p w14:paraId="3B5031D2"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4,1</w:t>
            </w:r>
          </w:p>
        </w:tc>
        <w:tc>
          <w:tcPr>
            <w:tcW w:w="904" w:type="dxa"/>
            <w:shd w:val="clear" w:color="auto" w:fill="auto"/>
            <w:noWrap/>
            <w:vAlign w:val="center"/>
            <w:hideMark/>
          </w:tcPr>
          <w:p w14:paraId="0E942833"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756</w:t>
            </w:r>
          </w:p>
        </w:tc>
        <w:tc>
          <w:tcPr>
            <w:tcW w:w="903" w:type="dxa"/>
            <w:shd w:val="clear" w:color="auto" w:fill="F2F2F2" w:themeFill="background1" w:themeFillShade="F2"/>
            <w:vAlign w:val="center"/>
          </w:tcPr>
          <w:p w14:paraId="64D6D703"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4,2</w:t>
            </w:r>
          </w:p>
        </w:tc>
        <w:tc>
          <w:tcPr>
            <w:tcW w:w="904" w:type="dxa"/>
            <w:shd w:val="clear" w:color="auto" w:fill="auto"/>
            <w:noWrap/>
            <w:vAlign w:val="center"/>
            <w:hideMark/>
          </w:tcPr>
          <w:p w14:paraId="2103678E"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1.342</w:t>
            </w:r>
          </w:p>
        </w:tc>
        <w:tc>
          <w:tcPr>
            <w:tcW w:w="904" w:type="dxa"/>
            <w:shd w:val="clear" w:color="auto" w:fill="F2F2F2" w:themeFill="background1" w:themeFillShade="F2"/>
            <w:vAlign w:val="center"/>
          </w:tcPr>
          <w:p w14:paraId="1AA887C8"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7,5</w:t>
            </w:r>
          </w:p>
        </w:tc>
      </w:tr>
      <w:tr w:rsidR="007E0EDE" w:rsidRPr="00545EC0" w14:paraId="1658CC2A" w14:textId="77777777" w:rsidTr="00625DB6">
        <w:trPr>
          <w:trHeight w:val="288"/>
        </w:trPr>
        <w:tc>
          <w:tcPr>
            <w:tcW w:w="1387" w:type="dxa"/>
            <w:shd w:val="clear" w:color="auto" w:fill="auto"/>
            <w:noWrap/>
            <w:hideMark/>
          </w:tcPr>
          <w:p w14:paraId="651CA23C" w14:textId="77777777" w:rsidR="00311813" w:rsidRPr="00545EC0" w:rsidRDefault="00311813" w:rsidP="00625DB6">
            <w:pPr>
              <w:spacing w:before="60" w:after="60" w:line="240" w:lineRule="auto"/>
              <w:jc w:val="left"/>
              <w:rPr>
                <w:rFonts w:cs="Arial"/>
                <w:sz w:val="18"/>
                <w:szCs w:val="18"/>
              </w:rPr>
            </w:pPr>
            <w:r w:rsidRPr="00545EC0">
              <w:rPr>
                <w:rFonts w:cs="Arial"/>
                <w:sz w:val="18"/>
                <w:szCs w:val="18"/>
              </w:rPr>
              <w:t>VTPodV_1009</w:t>
            </w:r>
          </w:p>
        </w:tc>
        <w:tc>
          <w:tcPr>
            <w:tcW w:w="2266" w:type="dxa"/>
            <w:shd w:val="clear" w:color="auto" w:fill="auto"/>
            <w:noWrap/>
            <w:vAlign w:val="center"/>
            <w:hideMark/>
          </w:tcPr>
          <w:p w14:paraId="1688B529" w14:textId="77777777" w:rsidR="00311813" w:rsidRPr="00545EC0" w:rsidRDefault="00311813" w:rsidP="00311813">
            <w:pPr>
              <w:spacing w:before="60" w:after="60" w:line="240" w:lineRule="auto"/>
              <w:jc w:val="left"/>
              <w:rPr>
                <w:rFonts w:cs="Arial"/>
                <w:sz w:val="18"/>
                <w:szCs w:val="18"/>
              </w:rPr>
            </w:pPr>
            <w:r w:rsidRPr="00545EC0">
              <w:rPr>
                <w:rFonts w:cs="Arial"/>
                <w:sz w:val="18"/>
                <w:szCs w:val="18"/>
              </w:rPr>
              <w:t>Spodnji del Savinje do Sotle</w:t>
            </w:r>
          </w:p>
        </w:tc>
        <w:tc>
          <w:tcPr>
            <w:tcW w:w="903" w:type="dxa"/>
            <w:shd w:val="clear" w:color="auto" w:fill="auto"/>
            <w:noWrap/>
            <w:vAlign w:val="center"/>
            <w:hideMark/>
          </w:tcPr>
          <w:p w14:paraId="159AA5D0"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708</w:t>
            </w:r>
          </w:p>
        </w:tc>
        <w:tc>
          <w:tcPr>
            <w:tcW w:w="904" w:type="dxa"/>
            <w:shd w:val="clear" w:color="auto" w:fill="F2F2F2" w:themeFill="background1" w:themeFillShade="F2"/>
            <w:vAlign w:val="center"/>
          </w:tcPr>
          <w:p w14:paraId="68D7CDB7"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5,1</w:t>
            </w:r>
          </w:p>
        </w:tc>
        <w:tc>
          <w:tcPr>
            <w:tcW w:w="904" w:type="dxa"/>
            <w:shd w:val="clear" w:color="auto" w:fill="auto"/>
            <w:noWrap/>
            <w:vAlign w:val="center"/>
            <w:hideMark/>
          </w:tcPr>
          <w:p w14:paraId="39FBC550"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636</w:t>
            </w:r>
          </w:p>
        </w:tc>
        <w:tc>
          <w:tcPr>
            <w:tcW w:w="903" w:type="dxa"/>
            <w:shd w:val="clear" w:color="auto" w:fill="F2F2F2" w:themeFill="background1" w:themeFillShade="F2"/>
            <w:vAlign w:val="center"/>
          </w:tcPr>
          <w:p w14:paraId="0ACD741E"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4,6</w:t>
            </w:r>
          </w:p>
        </w:tc>
        <w:tc>
          <w:tcPr>
            <w:tcW w:w="904" w:type="dxa"/>
            <w:shd w:val="clear" w:color="auto" w:fill="auto"/>
            <w:noWrap/>
            <w:vAlign w:val="center"/>
            <w:hideMark/>
          </w:tcPr>
          <w:p w14:paraId="06EC6583"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1.166</w:t>
            </w:r>
          </w:p>
        </w:tc>
        <w:tc>
          <w:tcPr>
            <w:tcW w:w="904" w:type="dxa"/>
            <w:shd w:val="clear" w:color="auto" w:fill="F2F2F2" w:themeFill="background1" w:themeFillShade="F2"/>
            <w:vAlign w:val="center"/>
          </w:tcPr>
          <w:p w14:paraId="35FF186D"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8,3</w:t>
            </w:r>
          </w:p>
        </w:tc>
      </w:tr>
      <w:tr w:rsidR="007E0EDE" w:rsidRPr="00545EC0" w14:paraId="5A3B1950" w14:textId="77777777" w:rsidTr="00625DB6">
        <w:trPr>
          <w:trHeight w:val="288"/>
        </w:trPr>
        <w:tc>
          <w:tcPr>
            <w:tcW w:w="1387" w:type="dxa"/>
            <w:shd w:val="clear" w:color="auto" w:fill="auto"/>
            <w:noWrap/>
            <w:hideMark/>
          </w:tcPr>
          <w:p w14:paraId="679D346F" w14:textId="77777777" w:rsidR="00311813" w:rsidRPr="00545EC0" w:rsidRDefault="00311813" w:rsidP="00625DB6">
            <w:pPr>
              <w:spacing w:before="60" w:after="60" w:line="240" w:lineRule="auto"/>
              <w:jc w:val="left"/>
              <w:rPr>
                <w:rFonts w:cs="Arial"/>
                <w:sz w:val="18"/>
                <w:szCs w:val="18"/>
              </w:rPr>
            </w:pPr>
            <w:r w:rsidRPr="00545EC0">
              <w:rPr>
                <w:rFonts w:cs="Arial"/>
                <w:sz w:val="18"/>
                <w:szCs w:val="18"/>
              </w:rPr>
              <w:t>VTPodV_1010</w:t>
            </w:r>
          </w:p>
        </w:tc>
        <w:tc>
          <w:tcPr>
            <w:tcW w:w="2266" w:type="dxa"/>
            <w:shd w:val="clear" w:color="auto" w:fill="auto"/>
            <w:noWrap/>
            <w:vAlign w:val="center"/>
            <w:hideMark/>
          </w:tcPr>
          <w:p w14:paraId="14F1639D" w14:textId="77777777" w:rsidR="00311813" w:rsidRPr="00545EC0" w:rsidRDefault="00311813" w:rsidP="00311813">
            <w:pPr>
              <w:spacing w:before="60" w:after="60" w:line="240" w:lineRule="auto"/>
              <w:jc w:val="left"/>
              <w:rPr>
                <w:rFonts w:cs="Arial"/>
                <w:sz w:val="18"/>
                <w:szCs w:val="18"/>
              </w:rPr>
            </w:pPr>
            <w:r w:rsidRPr="00545EC0">
              <w:rPr>
                <w:rFonts w:cs="Arial"/>
                <w:sz w:val="18"/>
                <w:szCs w:val="18"/>
              </w:rPr>
              <w:t>Kraška Ljubljanica</w:t>
            </w:r>
          </w:p>
        </w:tc>
        <w:tc>
          <w:tcPr>
            <w:tcW w:w="903" w:type="dxa"/>
            <w:shd w:val="clear" w:color="auto" w:fill="auto"/>
            <w:noWrap/>
            <w:vAlign w:val="center"/>
            <w:hideMark/>
          </w:tcPr>
          <w:p w14:paraId="0B8736FC"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94</w:t>
            </w:r>
          </w:p>
        </w:tc>
        <w:tc>
          <w:tcPr>
            <w:tcW w:w="904" w:type="dxa"/>
            <w:shd w:val="clear" w:color="auto" w:fill="F2F2F2" w:themeFill="background1" w:themeFillShade="F2"/>
            <w:vAlign w:val="center"/>
          </w:tcPr>
          <w:p w14:paraId="5D5516D2"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0,7</w:t>
            </w:r>
          </w:p>
        </w:tc>
        <w:tc>
          <w:tcPr>
            <w:tcW w:w="904" w:type="dxa"/>
            <w:shd w:val="clear" w:color="auto" w:fill="auto"/>
            <w:noWrap/>
            <w:vAlign w:val="center"/>
            <w:hideMark/>
          </w:tcPr>
          <w:p w14:paraId="245955C0"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131</w:t>
            </w:r>
          </w:p>
        </w:tc>
        <w:tc>
          <w:tcPr>
            <w:tcW w:w="903" w:type="dxa"/>
            <w:shd w:val="clear" w:color="auto" w:fill="F2F2F2" w:themeFill="background1" w:themeFillShade="F2"/>
            <w:vAlign w:val="center"/>
          </w:tcPr>
          <w:p w14:paraId="123B69F7"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1,0</w:t>
            </w:r>
          </w:p>
        </w:tc>
        <w:tc>
          <w:tcPr>
            <w:tcW w:w="904" w:type="dxa"/>
            <w:shd w:val="clear" w:color="auto" w:fill="auto"/>
            <w:noWrap/>
            <w:vAlign w:val="center"/>
            <w:hideMark/>
          </w:tcPr>
          <w:p w14:paraId="0C5CD996"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261</w:t>
            </w:r>
          </w:p>
        </w:tc>
        <w:tc>
          <w:tcPr>
            <w:tcW w:w="904" w:type="dxa"/>
            <w:shd w:val="clear" w:color="auto" w:fill="F2F2F2" w:themeFill="background1" w:themeFillShade="F2"/>
            <w:vAlign w:val="center"/>
          </w:tcPr>
          <w:p w14:paraId="61141373"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2,0</w:t>
            </w:r>
          </w:p>
        </w:tc>
      </w:tr>
      <w:tr w:rsidR="007E0EDE" w:rsidRPr="00545EC0" w14:paraId="680A67E8" w14:textId="77777777" w:rsidTr="00625DB6">
        <w:trPr>
          <w:trHeight w:val="288"/>
        </w:trPr>
        <w:tc>
          <w:tcPr>
            <w:tcW w:w="1387" w:type="dxa"/>
            <w:shd w:val="clear" w:color="auto" w:fill="auto"/>
            <w:noWrap/>
            <w:hideMark/>
          </w:tcPr>
          <w:p w14:paraId="2846F98A" w14:textId="77777777" w:rsidR="00311813" w:rsidRPr="00545EC0" w:rsidRDefault="00311813" w:rsidP="00625DB6">
            <w:pPr>
              <w:spacing w:before="60" w:after="60" w:line="240" w:lineRule="auto"/>
              <w:jc w:val="left"/>
              <w:rPr>
                <w:rFonts w:cs="Arial"/>
                <w:sz w:val="18"/>
                <w:szCs w:val="18"/>
              </w:rPr>
            </w:pPr>
            <w:r w:rsidRPr="00545EC0">
              <w:rPr>
                <w:rFonts w:cs="Arial"/>
                <w:sz w:val="18"/>
                <w:szCs w:val="18"/>
              </w:rPr>
              <w:lastRenderedPageBreak/>
              <w:t>VTPodV_1011</w:t>
            </w:r>
          </w:p>
        </w:tc>
        <w:tc>
          <w:tcPr>
            <w:tcW w:w="2266" w:type="dxa"/>
            <w:shd w:val="clear" w:color="auto" w:fill="auto"/>
            <w:noWrap/>
            <w:vAlign w:val="center"/>
            <w:hideMark/>
          </w:tcPr>
          <w:p w14:paraId="45DFF70D" w14:textId="77777777" w:rsidR="00311813" w:rsidRPr="00545EC0" w:rsidRDefault="00311813" w:rsidP="00311813">
            <w:pPr>
              <w:spacing w:before="60" w:after="60" w:line="240" w:lineRule="auto"/>
              <w:jc w:val="left"/>
              <w:rPr>
                <w:rFonts w:cs="Arial"/>
                <w:sz w:val="18"/>
                <w:szCs w:val="18"/>
              </w:rPr>
            </w:pPr>
            <w:r w:rsidRPr="00545EC0">
              <w:rPr>
                <w:rFonts w:cs="Arial"/>
                <w:sz w:val="18"/>
                <w:szCs w:val="18"/>
              </w:rPr>
              <w:t>Dolenjski kras</w:t>
            </w:r>
          </w:p>
        </w:tc>
        <w:tc>
          <w:tcPr>
            <w:tcW w:w="903" w:type="dxa"/>
            <w:shd w:val="clear" w:color="auto" w:fill="auto"/>
            <w:noWrap/>
            <w:vAlign w:val="center"/>
            <w:hideMark/>
          </w:tcPr>
          <w:p w14:paraId="3C159859"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942</w:t>
            </w:r>
          </w:p>
        </w:tc>
        <w:tc>
          <w:tcPr>
            <w:tcW w:w="904" w:type="dxa"/>
            <w:shd w:val="clear" w:color="auto" w:fill="F2F2F2" w:themeFill="background1" w:themeFillShade="F2"/>
            <w:vAlign w:val="center"/>
          </w:tcPr>
          <w:p w14:paraId="23825404"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2,8</w:t>
            </w:r>
          </w:p>
        </w:tc>
        <w:tc>
          <w:tcPr>
            <w:tcW w:w="904" w:type="dxa"/>
            <w:shd w:val="clear" w:color="auto" w:fill="auto"/>
            <w:noWrap/>
            <w:vAlign w:val="center"/>
            <w:hideMark/>
          </w:tcPr>
          <w:p w14:paraId="59DDF472"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836</w:t>
            </w:r>
          </w:p>
        </w:tc>
        <w:tc>
          <w:tcPr>
            <w:tcW w:w="903" w:type="dxa"/>
            <w:shd w:val="clear" w:color="auto" w:fill="F2F2F2" w:themeFill="background1" w:themeFillShade="F2"/>
            <w:vAlign w:val="center"/>
          </w:tcPr>
          <w:p w14:paraId="32F78ED5"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2,5</w:t>
            </w:r>
          </w:p>
        </w:tc>
        <w:tc>
          <w:tcPr>
            <w:tcW w:w="904" w:type="dxa"/>
            <w:shd w:val="clear" w:color="auto" w:fill="auto"/>
            <w:noWrap/>
            <w:vAlign w:val="center"/>
            <w:hideMark/>
          </w:tcPr>
          <w:p w14:paraId="5E2F5DEA"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1.631</w:t>
            </w:r>
          </w:p>
        </w:tc>
        <w:tc>
          <w:tcPr>
            <w:tcW w:w="904" w:type="dxa"/>
            <w:shd w:val="clear" w:color="auto" w:fill="F2F2F2" w:themeFill="background1" w:themeFillShade="F2"/>
            <w:vAlign w:val="center"/>
          </w:tcPr>
          <w:p w14:paraId="5A32C05C"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4,9</w:t>
            </w:r>
          </w:p>
        </w:tc>
      </w:tr>
      <w:tr w:rsidR="007E0EDE" w:rsidRPr="00545EC0" w14:paraId="7191DA05" w14:textId="77777777" w:rsidTr="00625DB6">
        <w:trPr>
          <w:trHeight w:val="288"/>
        </w:trPr>
        <w:tc>
          <w:tcPr>
            <w:tcW w:w="1387" w:type="dxa"/>
            <w:shd w:val="clear" w:color="auto" w:fill="auto"/>
            <w:noWrap/>
            <w:hideMark/>
          </w:tcPr>
          <w:p w14:paraId="72410AFE" w14:textId="77777777" w:rsidR="00311813" w:rsidRPr="00545EC0" w:rsidRDefault="00311813" w:rsidP="00625DB6">
            <w:pPr>
              <w:spacing w:before="60" w:after="60" w:line="240" w:lineRule="auto"/>
              <w:jc w:val="left"/>
              <w:rPr>
                <w:rFonts w:cs="Arial"/>
                <w:sz w:val="18"/>
                <w:szCs w:val="18"/>
              </w:rPr>
            </w:pPr>
            <w:r w:rsidRPr="00545EC0">
              <w:rPr>
                <w:rFonts w:cs="Arial"/>
                <w:sz w:val="18"/>
                <w:szCs w:val="18"/>
              </w:rPr>
              <w:t>VTPodV_3012</w:t>
            </w:r>
          </w:p>
        </w:tc>
        <w:tc>
          <w:tcPr>
            <w:tcW w:w="2266" w:type="dxa"/>
            <w:shd w:val="clear" w:color="auto" w:fill="auto"/>
            <w:noWrap/>
            <w:vAlign w:val="center"/>
            <w:hideMark/>
          </w:tcPr>
          <w:p w14:paraId="444F98B3" w14:textId="77777777" w:rsidR="00311813" w:rsidRPr="00545EC0" w:rsidRDefault="00311813" w:rsidP="00311813">
            <w:pPr>
              <w:spacing w:before="60" w:after="60" w:line="240" w:lineRule="auto"/>
              <w:jc w:val="left"/>
              <w:rPr>
                <w:rFonts w:cs="Arial"/>
                <w:sz w:val="18"/>
                <w:szCs w:val="18"/>
              </w:rPr>
            </w:pPr>
            <w:r w:rsidRPr="00545EC0">
              <w:rPr>
                <w:rFonts w:cs="Arial"/>
                <w:sz w:val="18"/>
                <w:szCs w:val="18"/>
              </w:rPr>
              <w:t>Dravska kotlina</w:t>
            </w:r>
          </w:p>
        </w:tc>
        <w:tc>
          <w:tcPr>
            <w:tcW w:w="903" w:type="dxa"/>
            <w:shd w:val="clear" w:color="auto" w:fill="auto"/>
            <w:noWrap/>
            <w:vAlign w:val="center"/>
            <w:hideMark/>
          </w:tcPr>
          <w:p w14:paraId="3CA1F08E"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622</w:t>
            </w:r>
          </w:p>
        </w:tc>
        <w:tc>
          <w:tcPr>
            <w:tcW w:w="904" w:type="dxa"/>
            <w:shd w:val="clear" w:color="auto" w:fill="F2F2F2" w:themeFill="background1" w:themeFillShade="F2"/>
            <w:vAlign w:val="center"/>
          </w:tcPr>
          <w:p w14:paraId="2B965626"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14,5</w:t>
            </w:r>
          </w:p>
        </w:tc>
        <w:tc>
          <w:tcPr>
            <w:tcW w:w="904" w:type="dxa"/>
            <w:shd w:val="clear" w:color="auto" w:fill="auto"/>
            <w:noWrap/>
            <w:vAlign w:val="center"/>
            <w:hideMark/>
          </w:tcPr>
          <w:p w14:paraId="4173AC1F"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503</w:t>
            </w:r>
          </w:p>
        </w:tc>
        <w:tc>
          <w:tcPr>
            <w:tcW w:w="903" w:type="dxa"/>
            <w:shd w:val="clear" w:color="auto" w:fill="F2F2F2" w:themeFill="background1" w:themeFillShade="F2"/>
            <w:vAlign w:val="center"/>
          </w:tcPr>
          <w:p w14:paraId="0D9F0392"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11,7</w:t>
            </w:r>
          </w:p>
        </w:tc>
        <w:tc>
          <w:tcPr>
            <w:tcW w:w="904" w:type="dxa"/>
            <w:shd w:val="clear" w:color="auto" w:fill="auto"/>
            <w:noWrap/>
            <w:vAlign w:val="center"/>
            <w:hideMark/>
          </w:tcPr>
          <w:p w14:paraId="2858B781"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1.021</w:t>
            </w:r>
          </w:p>
        </w:tc>
        <w:tc>
          <w:tcPr>
            <w:tcW w:w="904" w:type="dxa"/>
            <w:shd w:val="clear" w:color="auto" w:fill="F2F2F2" w:themeFill="background1" w:themeFillShade="F2"/>
            <w:vAlign w:val="center"/>
          </w:tcPr>
          <w:p w14:paraId="6E84A3EE"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23,8</w:t>
            </w:r>
          </w:p>
        </w:tc>
      </w:tr>
      <w:tr w:rsidR="007E0EDE" w:rsidRPr="00545EC0" w14:paraId="25FD8EEA" w14:textId="77777777" w:rsidTr="00625DB6">
        <w:trPr>
          <w:trHeight w:val="288"/>
        </w:trPr>
        <w:tc>
          <w:tcPr>
            <w:tcW w:w="1387" w:type="dxa"/>
            <w:shd w:val="clear" w:color="auto" w:fill="auto"/>
            <w:noWrap/>
            <w:hideMark/>
          </w:tcPr>
          <w:p w14:paraId="0365D5B3" w14:textId="77777777" w:rsidR="00311813" w:rsidRPr="00545EC0" w:rsidRDefault="00311813" w:rsidP="00625DB6">
            <w:pPr>
              <w:spacing w:before="60" w:after="60" w:line="240" w:lineRule="auto"/>
              <w:jc w:val="left"/>
              <w:rPr>
                <w:rFonts w:cs="Arial"/>
                <w:sz w:val="18"/>
                <w:szCs w:val="18"/>
              </w:rPr>
            </w:pPr>
            <w:r w:rsidRPr="00545EC0">
              <w:rPr>
                <w:rFonts w:cs="Arial"/>
                <w:sz w:val="18"/>
                <w:szCs w:val="18"/>
              </w:rPr>
              <w:t>VTPodV_3013</w:t>
            </w:r>
          </w:p>
        </w:tc>
        <w:tc>
          <w:tcPr>
            <w:tcW w:w="2266" w:type="dxa"/>
            <w:shd w:val="clear" w:color="auto" w:fill="auto"/>
            <w:noWrap/>
            <w:vAlign w:val="center"/>
            <w:hideMark/>
          </w:tcPr>
          <w:p w14:paraId="74C3EC72" w14:textId="77777777" w:rsidR="00311813" w:rsidRPr="00545EC0" w:rsidRDefault="00311813" w:rsidP="00311813">
            <w:pPr>
              <w:spacing w:before="60" w:after="60" w:line="240" w:lineRule="auto"/>
              <w:jc w:val="left"/>
              <w:rPr>
                <w:rFonts w:cs="Arial"/>
                <w:sz w:val="18"/>
                <w:szCs w:val="18"/>
              </w:rPr>
            </w:pPr>
            <w:r w:rsidRPr="00545EC0">
              <w:rPr>
                <w:rFonts w:cs="Arial"/>
                <w:sz w:val="18"/>
                <w:szCs w:val="18"/>
              </w:rPr>
              <w:t>Vzhodne Alpe</w:t>
            </w:r>
          </w:p>
        </w:tc>
        <w:tc>
          <w:tcPr>
            <w:tcW w:w="903" w:type="dxa"/>
            <w:shd w:val="clear" w:color="auto" w:fill="auto"/>
            <w:noWrap/>
            <w:vAlign w:val="center"/>
            <w:hideMark/>
          </w:tcPr>
          <w:p w14:paraId="1B52C901"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423</w:t>
            </w:r>
          </w:p>
        </w:tc>
        <w:tc>
          <w:tcPr>
            <w:tcW w:w="904" w:type="dxa"/>
            <w:shd w:val="clear" w:color="auto" w:fill="F2F2F2" w:themeFill="background1" w:themeFillShade="F2"/>
            <w:vAlign w:val="center"/>
          </w:tcPr>
          <w:p w14:paraId="51F5DAF1"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3,3</w:t>
            </w:r>
          </w:p>
        </w:tc>
        <w:tc>
          <w:tcPr>
            <w:tcW w:w="904" w:type="dxa"/>
            <w:shd w:val="clear" w:color="auto" w:fill="auto"/>
            <w:noWrap/>
            <w:vAlign w:val="center"/>
            <w:hideMark/>
          </w:tcPr>
          <w:p w14:paraId="5FDD3680"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449</w:t>
            </w:r>
          </w:p>
        </w:tc>
        <w:tc>
          <w:tcPr>
            <w:tcW w:w="903" w:type="dxa"/>
            <w:shd w:val="clear" w:color="auto" w:fill="F2F2F2" w:themeFill="background1" w:themeFillShade="F2"/>
            <w:vAlign w:val="center"/>
          </w:tcPr>
          <w:p w14:paraId="4480BC5E"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3,5</w:t>
            </w:r>
          </w:p>
        </w:tc>
        <w:tc>
          <w:tcPr>
            <w:tcW w:w="904" w:type="dxa"/>
            <w:shd w:val="clear" w:color="auto" w:fill="auto"/>
            <w:noWrap/>
            <w:vAlign w:val="center"/>
            <w:hideMark/>
          </w:tcPr>
          <w:p w14:paraId="19C74342"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1.335</w:t>
            </w:r>
          </w:p>
        </w:tc>
        <w:tc>
          <w:tcPr>
            <w:tcW w:w="904" w:type="dxa"/>
            <w:shd w:val="clear" w:color="auto" w:fill="F2F2F2" w:themeFill="background1" w:themeFillShade="F2"/>
            <w:vAlign w:val="center"/>
          </w:tcPr>
          <w:p w14:paraId="0C6BFE0A"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10,5</w:t>
            </w:r>
          </w:p>
        </w:tc>
      </w:tr>
      <w:tr w:rsidR="007E0EDE" w:rsidRPr="00545EC0" w14:paraId="4624D5E5" w14:textId="77777777" w:rsidTr="00625DB6">
        <w:trPr>
          <w:trHeight w:val="288"/>
        </w:trPr>
        <w:tc>
          <w:tcPr>
            <w:tcW w:w="1387" w:type="dxa"/>
            <w:shd w:val="clear" w:color="auto" w:fill="auto"/>
            <w:noWrap/>
            <w:hideMark/>
          </w:tcPr>
          <w:p w14:paraId="0B607337" w14:textId="77777777" w:rsidR="00311813" w:rsidRPr="00545EC0" w:rsidRDefault="00311813" w:rsidP="00625DB6">
            <w:pPr>
              <w:spacing w:before="60" w:after="60" w:line="240" w:lineRule="auto"/>
              <w:jc w:val="left"/>
              <w:rPr>
                <w:rFonts w:cs="Arial"/>
                <w:sz w:val="18"/>
                <w:szCs w:val="18"/>
              </w:rPr>
            </w:pPr>
            <w:r w:rsidRPr="00545EC0">
              <w:rPr>
                <w:rFonts w:cs="Arial"/>
                <w:sz w:val="18"/>
                <w:szCs w:val="18"/>
              </w:rPr>
              <w:t>VTPodV_3014</w:t>
            </w:r>
          </w:p>
        </w:tc>
        <w:tc>
          <w:tcPr>
            <w:tcW w:w="2266" w:type="dxa"/>
            <w:shd w:val="clear" w:color="auto" w:fill="auto"/>
            <w:noWrap/>
            <w:vAlign w:val="center"/>
            <w:hideMark/>
          </w:tcPr>
          <w:p w14:paraId="0E30AE0B" w14:textId="77777777" w:rsidR="00311813" w:rsidRPr="00545EC0" w:rsidRDefault="00311813" w:rsidP="00311813">
            <w:pPr>
              <w:spacing w:before="60" w:after="60" w:line="240" w:lineRule="auto"/>
              <w:jc w:val="left"/>
              <w:rPr>
                <w:rFonts w:cs="Arial"/>
                <w:sz w:val="18"/>
                <w:szCs w:val="18"/>
              </w:rPr>
            </w:pPr>
            <w:r w:rsidRPr="00545EC0">
              <w:rPr>
                <w:rFonts w:cs="Arial"/>
                <w:sz w:val="18"/>
                <w:szCs w:val="18"/>
              </w:rPr>
              <w:t>Haloze in Dravinjske gorice</w:t>
            </w:r>
          </w:p>
        </w:tc>
        <w:tc>
          <w:tcPr>
            <w:tcW w:w="903" w:type="dxa"/>
            <w:shd w:val="clear" w:color="auto" w:fill="auto"/>
            <w:noWrap/>
            <w:vAlign w:val="center"/>
            <w:hideMark/>
          </w:tcPr>
          <w:p w14:paraId="7C91A426"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739</w:t>
            </w:r>
          </w:p>
        </w:tc>
        <w:tc>
          <w:tcPr>
            <w:tcW w:w="904" w:type="dxa"/>
            <w:shd w:val="clear" w:color="auto" w:fill="F2F2F2" w:themeFill="background1" w:themeFillShade="F2"/>
            <w:vAlign w:val="center"/>
          </w:tcPr>
          <w:p w14:paraId="7A5342EF"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12,4</w:t>
            </w:r>
          </w:p>
        </w:tc>
        <w:tc>
          <w:tcPr>
            <w:tcW w:w="904" w:type="dxa"/>
            <w:shd w:val="clear" w:color="auto" w:fill="auto"/>
            <w:noWrap/>
            <w:vAlign w:val="center"/>
            <w:hideMark/>
          </w:tcPr>
          <w:p w14:paraId="673BB1B3"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656</w:t>
            </w:r>
          </w:p>
        </w:tc>
        <w:tc>
          <w:tcPr>
            <w:tcW w:w="903" w:type="dxa"/>
            <w:shd w:val="clear" w:color="auto" w:fill="F2F2F2" w:themeFill="background1" w:themeFillShade="F2"/>
            <w:vAlign w:val="center"/>
          </w:tcPr>
          <w:p w14:paraId="781D0900"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11,0</w:t>
            </w:r>
          </w:p>
        </w:tc>
        <w:tc>
          <w:tcPr>
            <w:tcW w:w="904" w:type="dxa"/>
            <w:shd w:val="clear" w:color="auto" w:fill="auto"/>
            <w:noWrap/>
            <w:vAlign w:val="center"/>
            <w:hideMark/>
          </w:tcPr>
          <w:p w14:paraId="0CEF3133"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1.051</w:t>
            </w:r>
          </w:p>
        </w:tc>
        <w:tc>
          <w:tcPr>
            <w:tcW w:w="904" w:type="dxa"/>
            <w:shd w:val="clear" w:color="auto" w:fill="F2F2F2" w:themeFill="background1" w:themeFillShade="F2"/>
            <w:vAlign w:val="center"/>
          </w:tcPr>
          <w:p w14:paraId="4F3F3018"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17,6</w:t>
            </w:r>
          </w:p>
        </w:tc>
      </w:tr>
      <w:tr w:rsidR="007E0EDE" w:rsidRPr="00545EC0" w14:paraId="26F0E028" w14:textId="77777777" w:rsidTr="00625DB6">
        <w:trPr>
          <w:trHeight w:val="288"/>
        </w:trPr>
        <w:tc>
          <w:tcPr>
            <w:tcW w:w="1387" w:type="dxa"/>
            <w:shd w:val="clear" w:color="auto" w:fill="auto"/>
            <w:noWrap/>
            <w:hideMark/>
          </w:tcPr>
          <w:p w14:paraId="0E2E8F7B" w14:textId="77777777" w:rsidR="00311813" w:rsidRPr="00545EC0" w:rsidRDefault="00311813" w:rsidP="00625DB6">
            <w:pPr>
              <w:spacing w:before="60" w:after="60" w:line="240" w:lineRule="auto"/>
              <w:jc w:val="left"/>
              <w:rPr>
                <w:rFonts w:cs="Arial"/>
                <w:sz w:val="18"/>
                <w:szCs w:val="18"/>
              </w:rPr>
            </w:pPr>
            <w:r w:rsidRPr="00545EC0">
              <w:rPr>
                <w:rFonts w:cs="Arial"/>
                <w:sz w:val="18"/>
                <w:szCs w:val="18"/>
              </w:rPr>
              <w:t>VTPodV_3015</w:t>
            </w:r>
          </w:p>
        </w:tc>
        <w:tc>
          <w:tcPr>
            <w:tcW w:w="2266" w:type="dxa"/>
            <w:shd w:val="clear" w:color="auto" w:fill="auto"/>
            <w:noWrap/>
            <w:vAlign w:val="center"/>
            <w:hideMark/>
          </w:tcPr>
          <w:p w14:paraId="2B431AA1" w14:textId="77777777" w:rsidR="00311813" w:rsidRPr="00545EC0" w:rsidRDefault="00311813" w:rsidP="00311813">
            <w:pPr>
              <w:spacing w:before="60" w:after="60" w:line="240" w:lineRule="auto"/>
              <w:jc w:val="left"/>
              <w:rPr>
                <w:rFonts w:cs="Arial"/>
                <w:sz w:val="18"/>
                <w:szCs w:val="18"/>
              </w:rPr>
            </w:pPr>
            <w:r w:rsidRPr="00545EC0">
              <w:rPr>
                <w:rFonts w:cs="Arial"/>
                <w:sz w:val="18"/>
                <w:szCs w:val="18"/>
              </w:rPr>
              <w:t>Zahodne Slovenske gorice</w:t>
            </w:r>
          </w:p>
        </w:tc>
        <w:tc>
          <w:tcPr>
            <w:tcW w:w="903" w:type="dxa"/>
            <w:shd w:val="clear" w:color="auto" w:fill="auto"/>
            <w:noWrap/>
            <w:vAlign w:val="center"/>
            <w:hideMark/>
          </w:tcPr>
          <w:p w14:paraId="48616E20"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1.142</w:t>
            </w:r>
          </w:p>
        </w:tc>
        <w:tc>
          <w:tcPr>
            <w:tcW w:w="904" w:type="dxa"/>
            <w:shd w:val="clear" w:color="auto" w:fill="F2F2F2" w:themeFill="background1" w:themeFillShade="F2"/>
            <w:vAlign w:val="center"/>
          </w:tcPr>
          <w:p w14:paraId="5CCAA115"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15,1</w:t>
            </w:r>
          </w:p>
        </w:tc>
        <w:tc>
          <w:tcPr>
            <w:tcW w:w="904" w:type="dxa"/>
            <w:shd w:val="clear" w:color="auto" w:fill="auto"/>
            <w:noWrap/>
            <w:vAlign w:val="center"/>
            <w:hideMark/>
          </w:tcPr>
          <w:p w14:paraId="64928C33"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968</w:t>
            </w:r>
          </w:p>
        </w:tc>
        <w:tc>
          <w:tcPr>
            <w:tcW w:w="903" w:type="dxa"/>
            <w:shd w:val="clear" w:color="auto" w:fill="F2F2F2" w:themeFill="background1" w:themeFillShade="F2"/>
            <w:vAlign w:val="center"/>
          </w:tcPr>
          <w:p w14:paraId="65197E1B"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12,8</w:t>
            </w:r>
          </w:p>
        </w:tc>
        <w:tc>
          <w:tcPr>
            <w:tcW w:w="904" w:type="dxa"/>
            <w:shd w:val="clear" w:color="auto" w:fill="auto"/>
            <w:noWrap/>
            <w:vAlign w:val="center"/>
            <w:hideMark/>
          </w:tcPr>
          <w:p w14:paraId="1E07BC22"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1.791</w:t>
            </w:r>
          </w:p>
        </w:tc>
        <w:tc>
          <w:tcPr>
            <w:tcW w:w="904" w:type="dxa"/>
            <w:shd w:val="clear" w:color="auto" w:fill="F2F2F2" w:themeFill="background1" w:themeFillShade="F2"/>
            <w:vAlign w:val="center"/>
          </w:tcPr>
          <w:p w14:paraId="29C93487"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23,7</w:t>
            </w:r>
          </w:p>
        </w:tc>
      </w:tr>
      <w:tr w:rsidR="007E0EDE" w:rsidRPr="00545EC0" w14:paraId="0C10B26C" w14:textId="77777777" w:rsidTr="00625DB6">
        <w:trPr>
          <w:trHeight w:val="288"/>
        </w:trPr>
        <w:tc>
          <w:tcPr>
            <w:tcW w:w="1387" w:type="dxa"/>
            <w:shd w:val="clear" w:color="auto" w:fill="auto"/>
            <w:noWrap/>
            <w:hideMark/>
          </w:tcPr>
          <w:p w14:paraId="01D43274" w14:textId="77777777" w:rsidR="00311813" w:rsidRPr="00545EC0" w:rsidRDefault="00311813" w:rsidP="00625DB6">
            <w:pPr>
              <w:spacing w:before="60" w:after="60" w:line="240" w:lineRule="auto"/>
              <w:jc w:val="left"/>
              <w:rPr>
                <w:rFonts w:cs="Arial"/>
                <w:sz w:val="18"/>
                <w:szCs w:val="18"/>
              </w:rPr>
            </w:pPr>
            <w:r w:rsidRPr="00545EC0">
              <w:rPr>
                <w:rFonts w:cs="Arial"/>
                <w:sz w:val="18"/>
                <w:szCs w:val="18"/>
              </w:rPr>
              <w:t>VTPodV_4016</w:t>
            </w:r>
          </w:p>
        </w:tc>
        <w:tc>
          <w:tcPr>
            <w:tcW w:w="2266" w:type="dxa"/>
            <w:shd w:val="clear" w:color="auto" w:fill="auto"/>
            <w:noWrap/>
            <w:vAlign w:val="center"/>
            <w:hideMark/>
          </w:tcPr>
          <w:p w14:paraId="44A05066" w14:textId="77777777" w:rsidR="00311813" w:rsidRPr="00545EC0" w:rsidRDefault="00311813" w:rsidP="00311813">
            <w:pPr>
              <w:spacing w:before="60" w:after="60" w:line="240" w:lineRule="auto"/>
              <w:jc w:val="left"/>
              <w:rPr>
                <w:rFonts w:cs="Arial"/>
                <w:sz w:val="18"/>
                <w:szCs w:val="18"/>
              </w:rPr>
            </w:pPr>
            <w:r w:rsidRPr="00545EC0">
              <w:rPr>
                <w:rFonts w:cs="Arial"/>
                <w:sz w:val="18"/>
                <w:szCs w:val="18"/>
              </w:rPr>
              <w:t>Murska kotlina</w:t>
            </w:r>
          </w:p>
        </w:tc>
        <w:tc>
          <w:tcPr>
            <w:tcW w:w="903" w:type="dxa"/>
            <w:shd w:val="clear" w:color="auto" w:fill="auto"/>
            <w:noWrap/>
            <w:vAlign w:val="center"/>
            <w:hideMark/>
          </w:tcPr>
          <w:p w14:paraId="5539451A"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740</w:t>
            </w:r>
          </w:p>
        </w:tc>
        <w:tc>
          <w:tcPr>
            <w:tcW w:w="904" w:type="dxa"/>
            <w:shd w:val="clear" w:color="auto" w:fill="F2F2F2" w:themeFill="background1" w:themeFillShade="F2"/>
            <w:vAlign w:val="center"/>
          </w:tcPr>
          <w:p w14:paraId="111CE471"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12,5</w:t>
            </w:r>
          </w:p>
        </w:tc>
        <w:tc>
          <w:tcPr>
            <w:tcW w:w="904" w:type="dxa"/>
            <w:shd w:val="clear" w:color="auto" w:fill="auto"/>
            <w:noWrap/>
            <w:vAlign w:val="center"/>
            <w:hideMark/>
          </w:tcPr>
          <w:p w14:paraId="1C748F68"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717</w:t>
            </w:r>
          </w:p>
        </w:tc>
        <w:tc>
          <w:tcPr>
            <w:tcW w:w="903" w:type="dxa"/>
            <w:shd w:val="clear" w:color="auto" w:fill="F2F2F2" w:themeFill="background1" w:themeFillShade="F2"/>
            <w:vAlign w:val="center"/>
          </w:tcPr>
          <w:p w14:paraId="3EAE3FC7"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12,1</w:t>
            </w:r>
          </w:p>
        </w:tc>
        <w:tc>
          <w:tcPr>
            <w:tcW w:w="904" w:type="dxa"/>
            <w:shd w:val="clear" w:color="auto" w:fill="auto"/>
            <w:noWrap/>
            <w:vAlign w:val="center"/>
            <w:hideMark/>
          </w:tcPr>
          <w:p w14:paraId="3DD19B92"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891</w:t>
            </w:r>
          </w:p>
        </w:tc>
        <w:tc>
          <w:tcPr>
            <w:tcW w:w="904" w:type="dxa"/>
            <w:shd w:val="clear" w:color="auto" w:fill="F2F2F2" w:themeFill="background1" w:themeFillShade="F2"/>
            <w:vAlign w:val="center"/>
          </w:tcPr>
          <w:p w14:paraId="2D4A078F"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15,1</w:t>
            </w:r>
          </w:p>
        </w:tc>
      </w:tr>
      <w:tr w:rsidR="007E0EDE" w:rsidRPr="00545EC0" w14:paraId="27D6E416" w14:textId="77777777" w:rsidTr="00625DB6">
        <w:trPr>
          <w:trHeight w:val="288"/>
        </w:trPr>
        <w:tc>
          <w:tcPr>
            <w:tcW w:w="1387" w:type="dxa"/>
            <w:shd w:val="clear" w:color="auto" w:fill="auto"/>
            <w:noWrap/>
            <w:hideMark/>
          </w:tcPr>
          <w:p w14:paraId="779998EC" w14:textId="77777777" w:rsidR="00311813" w:rsidRPr="00545EC0" w:rsidRDefault="00311813" w:rsidP="00625DB6">
            <w:pPr>
              <w:spacing w:before="60" w:after="60" w:line="240" w:lineRule="auto"/>
              <w:jc w:val="left"/>
              <w:rPr>
                <w:rFonts w:cs="Arial"/>
                <w:sz w:val="18"/>
                <w:szCs w:val="18"/>
              </w:rPr>
            </w:pPr>
            <w:r w:rsidRPr="00545EC0">
              <w:rPr>
                <w:rFonts w:cs="Arial"/>
                <w:sz w:val="18"/>
                <w:szCs w:val="18"/>
              </w:rPr>
              <w:t>VTPodV_4017</w:t>
            </w:r>
          </w:p>
        </w:tc>
        <w:tc>
          <w:tcPr>
            <w:tcW w:w="2266" w:type="dxa"/>
            <w:shd w:val="clear" w:color="auto" w:fill="auto"/>
            <w:noWrap/>
            <w:vAlign w:val="center"/>
            <w:hideMark/>
          </w:tcPr>
          <w:p w14:paraId="5A8C7EB5" w14:textId="77777777" w:rsidR="00311813" w:rsidRPr="00545EC0" w:rsidRDefault="00311813" w:rsidP="00311813">
            <w:pPr>
              <w:spacing w:before="60" w:after="60" w:line="240" w:lineRule="auto"/>
              <w:jc w:val="left"/>
              <w:rPr>
                <w:rFonts w:cs="Arial"/>
                <w:sz w:val="18"/>
                <w:szCs w:val="18"/>
              </w:rPr>
            </w:pPr>
            <w:r w:rsidRPr="00545EC0">
              <w:rPr>
                <w:rFonts w:cs="Arial"/>
                <w:sz w:val="18"/>
                <w:szCs w:val="18"/>
              </w:rPr>
              <w:t>Vzhodne Slovenske gorice</w:t>
            </w:r>
          </w:p>
        </w:tc>
        <w:tc>
          <w:tcPr>
            <w:tcW w:w="903" w:type="dxa"/>
            <w:shd w:val="clear" w:color="auto" w:fill="auto"/>
            <w:noWrap/>
            <w:vAlign w:val="center"/>
            <w:hideMark/>
          </w:tcPr>
          <w:p w14:paraId="5AE5D206"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696</w:t>
            </w:r>
          </w:p>
        </w:tc>
        <w:tc>
          <w:tcPr>
            <w:tcW w:w="904" w:type="dxa"/>
            <w:shd w:val="clear" w:color="auto" w:fill="F2F2F2" w:themeFill="background1" w:themeFillShade="F2"/>
            <w:vAlign w:val="center"/>
          </w:tcPr>
          <w:p w14:paraId="3DB71C14"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22,6</w:t>
            </w:r>
          </w:p>
        </w:tc>
        <w:tc>
          <w:tcPr>
            <w:tcW w:w="904" w:type="dxa"/>
            <w:shd w:val="clear" w:color="auto" w:fill="auto"/>
            <w:noWrap/>
            <w:vAlign w:val="center"/>
            <w:hideMark/>
          </w:tcPr>
          <w:p w14:paraId="34BCF452"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614</w:t>
            </w:r>
          </w:p>
        </w:tc>
        <w:tc>
          <w:tcPr>
            <w:tcW w:w="903" w:type="dxa"/>
            <w:shd w:val="clear" w:color="auto" w:fill="F2F2F2" w:themeFill="background1" w:themeFillShade="F2"/>
            <w:vAlign w:val="center"/>
          </w:tcPr>
          <w:p w14:paraId="4FF5CB73"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19,9</w:t>
            </w:r>
          </w:p>
        </w:tc>
        <w:tc>
          <w:tcPr>
            <w:tcW w:w="904" w:type="dxa"/>
            <w:shd w:val="clear" w:color="auto" w:fill="auto"/>
            <w:noWrap/>
            <w:vAlign w:val="center"/>
            <w:hideMark/>
          </w:tcPr>
          <w:p w14:paraId="238AD691"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719</w:t>
            </w:r>
          </w:p>
        </w:tc>
        <w:tc>
          <w:tcPr>
            <w:tcW w:w="904" w:type="dxa"/>
            <w:shd w:val="clear" w:color="auto" w:fill="F2F2F2" w:themeFill="background1" w:themeFillShade="F2"/>
            <w:vAlign w:val="center"/>
          </w:tcPr>
          <w:p w14:paraId="20563FB6"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23,4</w:t>
            </w:r>
          </w:p>
        </w:tc>
      </w:tr>
      <w:tr w:rsidR="007E0EDE" w:rsidRPr="00545EC0" w14:paraId="767DCA75" w14:textId="77777777" w:rsidTr="00625DB6">
        <w:trPr>
          <w:trHeight w:val="288"/>
        </w:trPr>
        <w:tc>
          <w:tcPr>
            <w:tcW w:w="1387" w:type="dxa"/>
            <w:shd w:val="clear" w:color="auto" w:fill="auto"/>
            <w:noWrap/>
            <w:hideMark/>
          </w:tcPr>
          <w:p w14:paraId="79F8F7F4" w14:textId="77777777" w:rsidR="00311813" w:rsidRPr="00545EC0" w:rsidRDefault="00311813" w:rsidP="00625DB6">
            <w:pPr>
              <w:spacing w:before="60" w:after="60" w:line="240" w:lineRule="auto"/>
              <w:jc w:val="left"/>
              <w:rPr>
                <w:rFonts w:cs="Arial"/>
                <w:sz w:val="18"/>
                <w:szCs w:val="18"/>
              </w:rPr>
            </w:pPr>
            <w:r w:rsidRPr="00545EC0">
              <w:rPr>
                <w:rFonts w:cs="Arial"/>
                <w:sz w:val="18"/>
                <w:szCs w:val="18"/>
              </w:rPr>
              <w:t>VTPodV_4018</w:t>
            </w:r>
          </w:p>
        </w:tc>
        <w:tc>
          <w:tcPr>
            <w:tcW w:w="2266" w:type="dxa"/>
            <w:shd w:val="clear" w:color="auto" w:fill="auto"/>
            <w:noWrap/>
            <w:vAlign w:val="center"/>
            <w:hideMark/>
          </w:tcPr>
          <w:p w14:paraId="5F4D5548" w14:textId="77777777" w:rsidR="00311813" w:rsidRPr="00545EC0" w:rsidRDefault="00311813" w:rsidP="00311813">
            <w:pPr>
              <w:spacing w:before="60" w:after="60" w:line="240" w:lineRule="auto"/>
              <w:jc w:val="left"/>
              <w:rPr>
                <w:rFonts w:cs="Arial"/>
                <w:sz w:val="18"/>
                <w:szCs w:val="18"/>
              </w:rPr>
            </w:pPr>
            <w:r w:rsidRPr="00545EC0">
              <w:rPr>
                <w:rFonts w:cs="Arial"/>
                <w:sz w:val="18"/>
                <w:szCs w:val="18"/>
                <w:lang w:val="en-GB"/>
              </w:rPr>
              <w:t>Goričko</w:t>
            </w:r>
          </w:p>
        </w:tc>
        <w:tc>
          <w:tcPr>
            <w:tcW w:w="903" w:type="dxa"/>
            <w:shd w:val="clear" w:color="auto" w:fill="auto"/>
            <w:noWrap/>
            <w:vAlign w:val="center"/>
            <w:hideMark/>
          </w:tcPr>
          <w:p w14:paraId="34CD9EEC"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481</w:t>
            </w:r>
          </w:p>
        </w:tc>
        <w:tc>
          <w:tcPr>
            <w:tcW w:w="904" w:type="dxa"/>
            <w:shd w:val="clear" w:color="auto" w:fill="F2F2F2" w:themeFill="background1" w:themeFillShade="F2"/>
            <w:vAlign w:val="center"/>
          </w:tcPr>
          <w:p w14:paraId="4F568F90"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9,7</w:t>
            </w:r>
          </w:p>
        </w:tc>
        <w:tc>
          <w:tcPr>
            <w:tcW w:w="904" w:type="dxa"/>
            <w:shd w:val="clear" w:color="auto" w:fill="auto"/>
            <w:noWrap/>
            <w:vAlign w:val="center"/>
            <w:hideMark/>
          </w:tcPr>
          <w:p w14:paraId="46CE5A42"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453</w:t>
            </w:r>
          </w:p>
        </w:tc>
        <w:tc>
          <w:tcPr>
            <w:tcW w:w="903" w:type="dxa"/>
            <w:shd w:val="clear" w:color="auto" w:fill="F2F2F2" w:themeFill="background1" w:themeFillShade="F2"/>
            <w:vAlign w:val="center"/>
          </w:tcPr>
          <w:p w14:paraId="756972BC"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9,2</w:t>
            </w:r>
          </w:p>
        </w:tc>
        <w:tc>
          <w:tcPr>
            <w:tcW w:w="904" w:type="dxa"/>
            <w:shd w:val="clear" w:color="auto" w:fill="auto"/>
            <w:noWrap/>
            <w:vAlign w:val="center"/>
            <w:hideMark/>
          </w:tcPr>
          <w:p w14:paraId="6963918D"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474</w:t>
            </w:r>
          </w:p>
        </w:tc>
        <w:tc>
          <w:tcPr>
            <w:tcW w:w="904" w:type="dxa"/>
            <w:shd w:val="clear" w:color="auto" w:fill="F2F2F2" w:themeFill="background1" w:themeFillShade="F2"/>
            <w:vAlign w:val="center"/>
          </w:tcPr>
          <w:p w14:paraId="2BD3C6C9" w14:textId="77777777" w:rsidR="00311813" w:rsidRPr="00545EC0" w:rsidRDefault="00311813" w:rsidP="00311813">
            <w:pPr>
              <w:spacing w:before="60" w:after="60" w:line="240" w:lineRule="auto"/>
              <w:jc w:val="center"/>
              <w:rPr>
                <w:rFonts w:cs="Arial"/>
                <w:sz w:val="18"/>
                <w:szCs w:val="18"/>
              </w:rPr>
            </w:pPr>
            <w:r w:rsidRPr="00545EC0">
              <w:rPr>
                <w:rFonts w:cs="Arial"/>
                <w:sz w:val="18"/>
                <w:szCs w:val="18"/>
              </w:rPr>
              <w:t>9,6</w:t>
            </w:r>
          </w:p>
        </w:tc>
      </w:tr>
    </w:tbl>
    <w:p w14:paraId="07229E74" w14:textId="77777777" w:rsidR="008F2748" w:rsidRPr="00545EC0" w:rsidRDefault="008F2748" w:rsidP="0025492B">
      <w:pPr>
        <w:tabs>
          <w:tab w:val="left" w:pos="9600"/>
        </w:tabs>
        <w:spacing w:before="120"/>
        <w:contextualSpacing/>
        <w:rPr>
          <w:rFonts w:cstheme="minorHAnsi"/>
        </w:rPr>
      </w:pPr>
    </w:p>
    <w:p w14:paraId="510A46F0" w14:textId="77777777" w:rsidR="00617285" w:rsidRPr="00545EC0" w:rsidRDefault="00617285" w:rsidP="004A582B">
      <w:pPr>
        <w:pStyle w:val="Naslov5"/>
      </w:pPr>
      <w:r w:rsidRPr="00545EC0">
        <w:t>Razpršene obremenitve zaradi kmetijske dejavnosti s fitofarmacevtskimi sredstvi</w:t>
      </w:r>
    </w:p>
    <w:p w14:paraId="25DD054F" w14:textId="7B4D36A7" w:rsidR="0025492B" w:rsidRPr="00545EC0" w:rsidRDefault="00C12042" w:rsidP="0025492B">
      <w:pPr>
        <w:rPr>
          <w:rFonts w:cs="Arial"/>
        </w:rPr>
      </w:pPr>
      <w:r w:rsidRPr="00545EC0">
        <w:rPr>
          <w:rFonts w:cs="Arial"/>
        </w:rPr>
        <w:t xml:space="preserve">Razpršeno obremenjevanja s fitofarmacevtskimi sredstvi je ocenjeno na podlagi podatkov Ministrstva za kmetijstvo, gozdarstvo in prehrano, Uprave za varno hrano, veterinarstvo in varstvo rastlin (v nadaljnjem besedilu: UVHVVR) o količinah prodanih aktivnih snovi na območju Slovenije in na podlagi podatkov </w:t>
      </w:r>
      <w:r w:rsidRPr="00545EC0">
        <w:rPr>
          <w:rFonts w:cstheme="minorHAnsi"/>
        </w:rPr>
        <w:t>Statističnega urada Slovenije</w:t>
      </w:r>
      <w:r w:rsidRPr="00545EC0">
        <w:rPr>
          <w:rFonts w:cs="Arial"/>
        </w:rPr>
        <w:t>.</w:t>
      </w:r>
    </w:p>
    <w:p w14:paraId="2B21795F" w14:textId="39E2184F" w:rsidR="0025492B" w:rsidRPr="00545EC0" w:rsidRDefault="0025492B" w:rsidP="0025492B">
      <w:pPr>
        <w:spacing w:before="120" w:after="120"/>
        <w:rPr>
          <w:rFonts w:cstheme="minorHAnsi"/>
        </w:rPr>
      </w:pPr>
      <w:r w:rsidRPr="00545EC0">
        <w:rPr>
          <w:rFonts w:cstheme="minorHAnsi"/>
        </w:rPr>
        <w:t>Glede na podatke Statističnega urada Slovenije (SURS, 2020) je bilo v Sloveniji leta 2019 prodanih okoli 1.000 ton aktivnih snovi, ki se uporabljajo kot fitofarmacevtsko sredstvo (</w:t>
      </w:r>
      <w:r w:rsidRPr="00545EC0">
        <w:rPr>
          <w:rFonts w:cstheme="minorHAnsi"/>
        </w:rPr>
        <w:fldChar w:fldCharType="begin"/>
      </w:r>
      <w:r w:rsidRPr="00545EC0">
        <w:rPr>
          <w:rFonts w:cstheme="minorHAnsi"/>
        </w:rPr>
        <w:instrText xml:space="preserve"> REF _Ref84457580 \h </w:instrText>
      </w:r>
      <w:r w:rsidR="00F37A91" w:rsidRPr="00545EC0">
        <w:rPr>
          <w:rFonts w:cstheme="minorHAnsi"/>
        </w:rPr>
        <w:instrText xml:space="preserve"> \* MERGEFORMAT </w:instrText>
      </w:r>
      <w:r w:rsidRPr="00545EC0">
        <w:rPr>
          <w:rFonts w:cstheme="minorHAnsi"/>
        </w:rPr>
      </w:r>
      <w:r w:rsidRPr="00545EC0">
        <w:rPr>
          <w:rFonts w:cstheme="minorHAnsi"/>
        </w:rPr>
        <w:fldChar w:fldCharType="separate"/>
      </w:r>
      <w:r w:rsidR="002F3E43" w:rsidRPr="00545EC0">
        <w:t xml:space="preserve">Preglednica </w:t>
      </w:r>
      <w:r w:rsidR="002F3E43">
        <w:rPr>
          <w:noProof/>
        </w:rPr>
        <w:t>2</w:t>
      </w:r>
      <w:r w:rsidR="002F3E43" w:rsidRPr="00545EC0">
        <w:rPr>
          <w:noProof/>
        </w:rPr>
        <w:noBreakHyphen/>
      </w:r>
      <w:r w:rsidR="002F3E43">
        <w:rPr>
          <w:noProof/>
        </w:rPr>
        <w:t>14</w:t>
      </w:r>
      <w:r w:rsidRPr="00545EC0">
        <w:rPr>
          <w:rFonts w:cstheme="minorHAnsi"/>
        </w:rPr>
        <w:fldChar w:fldCharType="end"/>
      </w:r>
      <w:r w:rsidRPr="00545EC0">
        <w:rPr>
          <w:rFonts w:cstheme="minorHAnsi"/>
        </w:rPr>
        <w:t>). Po kategoriji proizvodov je bilo v letu 2019 v Sloveniji največ aktivnih snovi v prodanih anorganskih fungicidih. Sledili so drugi fungicidi in baktericidi, drugi herbicidi ter fungicidi na osnovi karbamatov in ditiokarbamatov.</w:t>
      </w:r>
    </w:p>
    <w:p w14:paraId="3E3A0AE7" w14:textId="77777777" w:rsidR="0025492B" w:rsidRPr="00545EC0" w:rsidRDefault="0025492B" w:rsidP="0025492B">
      <w:pPr>
        <w:spacing w:before="120" w:after="120"/>
        <w:rPr>
          <w:rFonts w:cstheme="minorHAnsi"/>
        </w:rPr>
      </w:pPr>
      <w:r w:rsidRPr="00545EC0">
        <w:rPr>
          <w:rFonts w:cstheme="minorHAnsi"/>
        </w:rPr>
        <w:t xml:space="preserve">Fitofarmacevtska sredstva, prodana v 2019 na območju Slovenije, so vsebovala približno 1.000 ton aktivnih snovi, kar je za približno 15 % manj kot v letu pred tem in hkrati za približno 5 % manj od desetletnega povprečja (1.058 ton). V zadnjih desetih letih je bila to, če izvzamemo leto 2013, najmanjša količina aktivnih snovi v prodanih fitofarmacevtskih sredstvih. </w:t>
      </w:r>
    </w:p>
    <w:p w14:paraId="53C10E24" w14:textId="77777777" w:rsidR="0025492B" w:rsidRPr="00545EC0" w:rsidRDefault="0025492B" w:rsidP="003122F4">
      <w:r w:rsidRPr="00545EC0">
        <w:rPr>
          <w:shd w:val="clear" w:color="auto" w:fill="FFFFFF"/>
        </w:rPr>
        <w:t xml:space="preserve">Podatki Statističnega urada Republike Slovenije podajajo informacije o veleprodaji FFS na domačem trgu, ne pa tudi dejanske porabe v posameznem letu. Na prodajo namreč lahko vpliva več dejavnikov, na primer zaloge iz prejšnjih let,  individualni nakupi v tujini, ipd.. Podatki o prodaji tudi ne odražajo porabe fitofarmacevtskih sredstev v kmetijstvu, saj se fitofarmacevstska sredstva uporabljajo tudi za druge namene (na primer za vzdrževanje železnic in cest, igrišč za golf, parkov in zelenic) </w:t>
      </w:r>
      <w:r w:rsidRPr="00545EC0">
        <w:t>(SURS, 2020). </w:t>
      </w:r>
    </w:p>
    <w:p w14:paraId="3B454DA4" w14:textId="77777777" w:rsidR="00522A02" w:rsidRPr="00545EC0" w:rsidRDefault="00522A02" w:rsidP="003122F4"/>
    <w:p w14:paraId="6591E324" w14:textId="3AF76271" w:rsidR="0025492B" w:rsidRPr="00545EC0" w:rsidRDefault="0025492B" w:rsidP="0025492B">
      <w:pPr>
        <w:pStyle w:val="Napis"/>
        <w:rPr>
          <w:rFonts w:cstheme="minorHAnsi"/>
          <w:shd w:val="clear" w:color="auto" w:fill="FFFFFF"/>
        </w:rPr>
      </w:pPr>
      <w:bookmarkStart w:id="160" w:name="_Ref84457580"/>
      <w:bookmarkStart w:id="161" w:name="_Toc60896596"/>
      <w:bookmarkStart w:id="162" w:name="_Toc71784471"/>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14</w:t>
        </w:r>
      </w:fldSimple>
      <w:bookmarkEnd w:id="160"/>
      <w:r w:rsidRPr="00545EC0">
        <w:t xml:space="preserve">: </w:t>
      </w:r>
      <w:r w:rsidRPr="00545EC0">
        <w:rPr>
          <w:rFonts w:cstheme="minorHAnsi"/>
          <w:shd w:val="clear" w:color="auto" w:fill="FFFFFF"/>
        </w:rPr>
        <w:t>Prodaja fitofarmacevtskih sredstev (kg aktivnih snovi) po glavnih skupinah na območju celotne Slovenije za leti 2018 in 2019</w:t>
      </w:r>
      <w:bookmarkEnd w:id="161"/>
      <w:bookmarkEnd w:id="162"/>
    </w:p>
    <w:tbl>
      <w:tblPr>
        <w:tblStyle w:val="Tabelamrea1"/>
        <w:tblW w:w="0" w:type="auto"/>
        <w:tblLook w:val="04A0" w:firstRow="1" w:lastRow="0" w:firstColumn="1" w:lastColumn="0" w:noHBand="0" w:noVBand="1"/>
      </w:tblPr>
      <w:tblGrid>
        <w:gridCol w:w="3918"/>
        <w:gridCol w:w="1700"/>
        <w:gridCol w:w="1699"/>
        <w:gridCol w:w="1699"/>
      </w:tblGrid>
      <w:tr w:rsidR="003122F4" w:rsidRPr="00545EC0" w14:paraId="503F551C" w14:textId="77777777" w:rsidTr="00870B16">
        <w:trPr>
          <w:trHeight w:val="399"/>
        </w:trPr>
        <w:tc>
          <w:tcPr>
            <w:tcW w:w="3918" w:type="dxa"/>
            <w:vMerge w:val="restart"/>
            <w:shd w:val="clear" w:color="auto" w:fill="D9D9D9" w:themeFill="background1" w:themeFillShade="D9"/>
            <w:hideMark/>
          </w:tcPr>
          <w:p w14:paraId="28C3BCF6" w14:textId="77777777" w:rsidR="0025492B" w:rsidRPr="00545EC0" w:rsidRDefault="0025492B" w:rsidP="00870B16">
            <w:pPr>
              <w:rPr>
                <w:rFonts w:cs="Arial"/>
                <w:sz w:val="18"/>
                <w:szCs w:val="18"/>
              </w:rPr>
            </w:pPr>
            <w:r w:rsidRPr="00545EC0">
              <w:rPr>
                <w:rFonts w:cs="Arial"/>
                <w:sz w:val="18"/>
                <w:szCs w:val="18"/>
              </w:rPr>
              <w:t> </w:t>
            </w:r>
          </w:p>
        </w:tc>
        <w:tc>
          <w:tcPr>
            <w:tcW w:w="1700" w:type="dxa"/>
            <w:vMerge w:val="restart"/>
            <w:shd w:val="clear" w:color="auto" w:fill="D9D9D9" w:themeFill="background1" w:themeFillShade="D9"/>
            <w:vAlign w:val="center"/>
            <w:hideMark/>
          </w:tcPr>
          <w:p w14:paraId="7834FDE2" w14:textId="77777777" w:rsidR="0025492B" w:rsidRPr="00545EC0" w:rsidRDefault="0025492B" w:rsidP="00870B16">
            <w:pPr>
              <w:jc w:val="center"/>
              <w:rPr>
                <w:rFonts w:cs="Arial"/>
                <w:sz w:val="18"/>
                <w:szCs w:val="18"/>
              </w:rPr>
            </w:pPr>
            <w:r w:rsidRPr="00545EC0">
              <w:rPr>
                <w:rFonts w:cs="Arial"/>
                <w:sz w:val="18"/>
                <w:szCs w:val="18"/>
              </w:rPr>
              <w:t>2018</w:t>
            </w:r>
          </w:p>
        </w:tc>
        <w:tc>
          <w:tcPr>
            <w:tcW w:w="1699" w:type="dxa"/>
            <w:vMerge w:val="restart"/>
            <w:shd w:val="clear" w:color="auto" w:fill="D9D9D9" w:themeFill="background1" w:themeFillShade="D9"/>
            <w:vAlign w:val="center"/>
            <w:hideMark/>
          </w:tcPr>
          <w:p w14:paraId="23FCC31C" w14:textId="77777777" w:rsidR="0025492B" w:rsidRPr="00545EC0" w:rsidRDefault="0025492B" w:rsidP="00870B16">
            <w:pPr>
              <w:jc w:val="center"/>
              <w:rPr>
                <w:rFonts w:cs="Arial"/>
                <w:sz w:val="18"/>
                <w:szCs w:val="18"/>
              </w:rPr>
            </w:pPr>
            <w:r w:rsidRPr="00545EC0">
              <w:rPr>
                <w:rFonts w:cs="Arial"/>
                <w:sz w:val="18"/>
                <w:szCs w:val="18"/>
              </w:rPr>
              <w:t>2019</w:t>
            </w:r>
          </w:p>
        </w:tc>
        <w:tc>
          <w:tcPr>
            <w:tcW w:w="1699" w:type="dxa"/>
            <w:shd w:val="clear" w:color="auto" w:fill="D9D9D9" w:themeFill="background1" w:themeFillShade="D9"/>
            <w:vAlign w:val="center"/>
            <w:hideMark/>
          </w:tcPr>
          <w:p w14:paraId="32D5D453" w14:textId="77777777" w:rsidR="0025492B" w:rsidRPr="00545EC0" w:rsidRDefault="0025492B" w:rsidP="00870B16">
            <w:pPr>
              <w:jc w:val="center"/>
              <w:rPr>
                <w:rFonts w:cs="Arial"/>
                <w:sz w:val="18"/>
                <w:szCs w:val="18"/>
              </w:rPr>
            </w:pPr>
            <w:r w:rsidRPr="00545EC0">
              <w:rPr>
                <w:rFonts w:cs="Arial"/>
                <w:sz w:val="18"/>
                <w:szCs w:val="18"/>
              </w:rPr>
              <w:t>I 2019</w:t>
            </w:r>
          </w:p>
        </w:tc>
      </w:tr>
      <w:tr w:rsidR="003122F4" w:rsidRPr="00545EC0" w14:paraId="03D48545" w14:textId="77777777" w:rsidTr="00870B16">
        <w:trPr>
          <w:trHeight w:val="250"/>
        </w:trPr>
        <w:tc>
          <w:tcPr>
            <w:tcW w:w="3918" w:type="dxa"/>
            <w:vMerge/>
            <w:shd w:val="clear" w:color="auto" w:fill="D9D9D9" w:themeFill="background1" w:themeFillShade="D9"/>
            <w:hideMark/>
          </w:tcPr>
          <w:p w14:paraId="28B0EEA9" w14:textId="77777777" w:rsidR="0025492B" w:rsidRPr="00545EC0" w:rsidRDefault="0025492B" w:rsidP="00870B16">
            <w:pPr>
              <w:rPr>
                <w:rFonts w:cs="Arial"/>
                <w:sz w:val="18"/>
                <w:szCs w:val="18"/>
              </w:rPr>
            </w:pPr>
          </w:p>
        </w:tc>
        <w:tc>
          <w:tcPr>
            <w:tcW w:w="1700" w:type="dxa"/>
            <w:vMerge/>
            <w:shd w:val="clear" w:color="auto" w:fill="D9D9D9" w:themeFill="background1" w:themeFillShade="D9"/>
            <w:vAlign w:val="center"/>
            <w:hideMark/>
          </w:tcPr>
          <w:p w14:paraId="26C09AEB" w14:textId="77777777" w:rsidR="0025492B" w:rsidRPr="00545EC0" w:rsidRDefault="0025492B" w:rsidP="00870B16">
            <w:pPr>
              <w:jc w:val="center"/>
              <w:rPr>
                <w:rFonts w:cs="Arial"/>
                <w:sz w:val="18"/>
                <w:szCs w:val="18"/>
              </w:rPr>
            </w:pPr>
          </w:p>
        </w:tc>
        <w:tc>
          <w:tcPr>
            <w:tcW w:w="1699" w:type="dxa"/>
            <w:vMerge/>
            <w:shd w:val="clear" w:color="auto" w:fill="D9D9D9" w:themeFill="background1" w:themeFillShade="D9"/>
            <w:vAlign w:val="center"/>
            <w:hideMark/>
          </w:tcPr>
          <w:p w14:paraId="4603F4D3" w14:textId="77777777" w:rsidR="0025492B" w:rsidRPr="00545EC0" w:rsidRDefault="0025492B" w:rsidP="00870B16">
            <w:pPr>
              <w:jc w:val="center"/>
              <w:rPr>
                <w:rFonts w:cs="Arial"/>
                <w:sz w:val="18"/>
                <w:szCs w:val="18"/>
              </w:rPr>
            </w:pPr>
          </w:p>
        </w:tc>
        <w:tc>
          <w:tcPr>
            <w:tcW w:w="1699" w:type="dxa"/>
            <w:shd w:val="clear" w:color="auto" w:fill="D9D9D9" w:themeFill="background1" w:themeFillShade="D9"/>
            <w:vAlign w:val="center"/>
            <w:hideMark/>
          </w:tcPr>
          <w:p w14:paraId="20D4191F" w14:textId="77777777" w:rsidR="0025492B" w:rsidRPr="00545EC0" w:rsidRDefault="0025492B" w:rsidP="00870B16">
            <w:pPr>
              <w:jc w:val="center"/>
              <w:rPr>
                <w:rFonts w:cs="Arial"/>
                <w:sz w:val="18"/>
                <w:szCs w:val="18"/>
              </w:rPr>
            </w:pPr>
            <w:r w:rsidRPr="00545EC0">
              <w:rPr>
                <w:rFonts w:cs="Arial"/>
                <w:sz w:val="18"/>
                <w:szCs w:val="18"/>
              </w:rPr>
              <w:t>I 2018</w:t>
            </w:r>
          </w:p>
        </w:tc>
      </w:tr>
      <w:tr w:rsidR="003122F4" w:rsidRPr="00545EC0" w14:paraId="28511ADE" w14:textId="77777777" w:rsidTr="00870B16">
        <w:trPr>
          <w:trHeight w:val="399"/>
        </w:trPr>
        <w:tc>
          <w:tcPr>
            <w:tcW w:w="3918" w:type="dxa"/>
            <w:vMerge/>
            <w:shd w:val="clear" w:color="auto" w:fill="D9D9D9" w:themeFill="background1" w:themeFillShade="D9"/>
            <w:hideMark/>
          </w:tcPr>
          <w:p w14:paraId="0B0954BA" w14:textId="77777777" w:rsidR="0025492B" w:rsidRPr="00545EC0" w:rsidRDefault="0025492B" w:rsidP="00870B16">
            <w:pPr>
              <w:rPr>
                <w:rFonts w:cs="Arial"/>
                <w:sz w:val="18"/>
                <w:szCs w:val="18"/>
              </w:rPr>
            </w:pPr>
          </w:p>
        </w:tc>
        <w:tc>
          <w:tcPr>
            <w:tcW w:w="3399" w:type="dxa"/>
            <w:gridSpan w:val="2"/>
            <w:shd w:val="clear" w:color="auto" w:fill="D9D9D9" w:themeFill="background1" w:themeFillShade="D9"/>
            <w:hideMark/>
          </w:tcPr>
          <w:p w14:paraId="000420F1" w14:textId="77777777" w:rsidR="0025492B" w:rsidRPr="00545EC0" w:rsidRDefault="0025492B" w:rsidP="00870B16">
            <w:pPr>
              <w:jc w:val="center"/>
              <w:rPr>
                <w:rFonts w:cs="Arial"/>
                <w:sz w:val="18"/>
                <w:szCs w:val="18"/>
              </w:rPr>
            </w:pPr>
            <w:r w:rsidRPr="00545EC0">
              <w:rPr>
                <w:rFonts w:cs="Arial"/>
                <w:sz w:val="18"/>
                <w:szCs w:val="18"/>
              </w:rPr>
              <w:t>kg aktivnih snovi</w:t>
            </w:r>
          </w:p>
        </w:tc>
        <w:tc>
          <w:tcPr>
            <w:tcW w:w="1699" w:type="dxa"/>
            <w:shd w:val="clear" w:color="auto" w:fill="D9D9D9" w:themeFill="background1" w:themeFillShade="D9"/>
            <w:hideMark/>
          </w:tcPr>
          <w:p w14:paraId="397067F6" w14:textId="77777777" w:rsidR="0025492B" w:rsidRPr="00545EC0" w:rsidRDefault="0025492B" w:rsidP="00870B16">
            <w:pPr>
              <w:jc w:val="center"/>
              <w:rPr>
                <w:rFonts w:cs="Arial"/>
                <w:sz w:val="18"/>
                <w:szCs w:val="18"/>
              </w:rPr>
            </w:pPr>
            <w:r w:rsidRPr="00545EC0">
              <w:rPr>
                <w:rFonts w:cs="Arial"/>
                <w:sz w:val="18"/>
                <w:szCs w:val="18"/>
              </w:rPr>
              <w:t>indeks</w:t>
            </w:r>
          </w:p>
        </w:tc>
      </w:tr>
      <w:tr w:rsidR="003122F4" w:rsidRPr="00545EC0" w14:paraId="0DB39282" w14:textId="77777777" w:rsidTr="00870B16">
        <w:trPr>
          <w:trHeight w:val="399"/>
        </w:trPr>
        <w:tc>
          <w:tcPr>
            <w:tcW w:w="3918" w:type="dxa"/>
            <w:shd w:val="clear" w:color="auto" w:fill="F2F2F2" w:themeFill="background1" w:themeFillShade="F2"/>
            <w:hideMark/>
          </w:tcPr>
          <w:p w14:paraId="4A807776" w14:textId="77777777" w:rsidR="0025492B" w:rsidRPr="00545EC0" w:rsidRDefault="0025492B" w:rsidP="00870B16">
            <w:pPr>
              <w:rPr>
                <w:rFonts w:cs="Arial"/>
                <w:b/>
                <w:bCs/>
                <w:sz w:val="18"/>
                <w:szCs w:val="18"/>
              </w:rPr>
            </w:pPr>
            <w:r w:rsidRPr="00545EC0">
              <w:rPr>
                <w:rFonts w:cs="Arial"/>
                <w:b/>
                <w:bCs/>
                <w:sz w:val="18"/>
                <w:szCs w:val="18"/>
              </w:rPr>
              <w:t>Skupaj</w:t>
            </w:r>
          </w:p>
        </w:tc>
        <w:tc>
          <w:tcPr>
            <w:tcW w:w="1700" w:type="dxa"/>
            <w:shd w:val="clear" w:color="auto" w:fill="F2F2F2" w:themeFill="background1" w:themeFillShade="F2"/>
            <w:vAlign w:val="center"/>
            <w:hideMark/>
          </w:tcPr>
          <w:p w14:paraId="3D73C847" w14:textId="77777777" w:rsidR="0025492B" w:rsidRPr="00545EC0" w:rsidRDefault="0025492B" w:rsidP="00870B16">
            <w:pPr>
              <w:jc w:val="center"/>
              <w:rPr>
                <w:rFonts w:cs="Arial"/>
                <w:b/>
                <w:bCs/>
                <w:sz w:val="18"/>
                <w:szCs w:val="18"/>
              </w:rPr>
            </w:pPr>
            <w:r w:rsidRPr="00545EC0">
              <w:rPr>
                <w:rFonts w:cs="Arial"/>
                <w:b/>
                <w:bCs/>
                <w:sz w:val="18"/>
                <w:szCs w:val="18"/>
              </w:rPr>
              <w:t>1.171.820</w:t>
            </w:r>
          </w:p>
        </w:tc>
        <w:tc>
          <w:tcPr>
            <w:tcW w:w="1699" w:type="dxa"/>
            <w:shd w:val="clear" w:color="auto" w:fill="F2F2F2" w:themeFill="background1" w:themeFillShade="F2"/>
            <w:vAlign w:val="center"/>
            <w:hideMark/>
          </w:tcPr>
          <w:p w14:paraId="1DD7208A" w14:textId="77777777" w:rsidR="0025492B" w:rsidRPr="00545EC0" w:rsidRDefault="0025492B" w:rsidP="00870B16">
            <w:pPr>
              <w:jc w:val="center"/>
              <w:rPr>
                <w:rFonts w:cs="Arial"/>
                <w:b/>
                <w:bCs/>
                <w:sz w:val="18"/>
                <w:szCs w:val="18"/>
              </w:rPr>
            </w:pPr>
            <w:r w:rsidRPr="00545EC0">
              <w:rPr>
                <w:rFonts w:cs="Arial"/>
                <w:b/>
                <w:bCs/>
                <w:sz w:val="18"/>
                <w:szCs w:val="18"/>
              </w:rPr>
              <w:t>999.920</w:t>
            </w:r>
          </w:p>
        </w:tc>
        <w:tc>
          <w:tcPr>
            <w:tcW w:w="1699" w:type="dxa"/>
            <w:shd w:val="clear" w:color="auto" w:fill="F2F2F2" w:themeFill="background1" w:themeFillShade="F2"/>
            <w:vAlign w:val="center"/>
            <w:hideMark/>
          </w:tcPr>
          <w:p w14:paraId="61081251" w14:textId="77777777" w:rsidR="0025492B" w:rsidRPr="00545EC0" w:rsidRDefault="0025492B" w:rsidP="00870B16">
            <w:pPr>
              <w:jc w:val="center"/>
              <w:rPr>
                <w:rFonts w:cs="Arial"/>
                <w:b/>
                <w:bCs/>
                <w:sz w:val="18"/>
                <w:szCs w:val="18"/>
              </w:rPr>
            </w:pPr>
            <w:r w:rsidRPr="00545EC0">
              <w:rPr>
                <w:rFonts w:cs="Arial"/>
                <w:b/>
                <w:bCs/>
                <w:sz w:val="18"/>
                <w:szCs w:val="18"/>
              </w:rPr>
              <w:t>85,3</w:t>
            </w:r>
          </w:p>
        </w:tc>
      </w:tr>
      <w:tr w:rsidR="003122F4" w:rsidRPr="00545EC0" w14:paraId="040F12BE" w14:textId="77777777" w:rsidTr="00870B16">
        <w:trPr>
          <w:trHeight w:val="399"/>
        </w:trPr>
        <w:tc>
          <w:tcPr>
            <w:tcW w:w="3918" w:type="dxa"/>
            <w:hideMark/>
          </w:tcPr>
          <w:p w14:paraId="3D0839FA" w14:textId="77777777" w:rsidR="0025492B" w:rsidRPr="00545EC0" w:rsidRDefault="0025492B" w:rsidP="0031694B">
            <w:pPr>
              <w:rPr>
                <w:rFonts w:cs="Arial"/>
                <w:sz w:val="18"/>
                <w:szCs w:val="18"/>
              </w:rPr>
            </w:pPr>
            <w:r w:rsidRPr="00545EC0">
              <w:rPr>
                <w:rFonts w:cs="Arial"/>
                <w:sz w:val="18"/>
                <w:szCs w:val="18"/>
              </w:rPr>
              <w:lastRenderedPageBreak/>
              <w:t>Fungicidi in baktericidi</w:t>
            </w:r>
          </w:p>
        </w:tc>
        <w:tc>
          <w:tcPr>
            <w:tcW w:w="1700" w:type="dxa"/>
            <w:vAlign w:val="center"/>
            <w:hideMark/>
          </w:tcPr>
          <w:p w14:paraId="7FA500DC" w14:textId="77777777" w:rsidR="0025492B" w:rsidRPr="00545EC0" w:rsidRDefault="0025492B" w:rsidP="0031694B">
            <w:pPr>
              <w:jc w:val="center"/>
              <w:rPr>
                <w:rFonts w:cs="Arial"/>
                <w:sz w:val="18"/>
                <w:szCs w:val="18"/>
              </w:rPr>
            </w:pPr>
            <w:r w:rsidRPr="00545EC0">
              <w:rPr>
                <w:rFonts w:cs="Arial"/>
                <w:sz w:val="18"/>
                <w:szCs w:val="18"/>
              </w:rPr>
              <w:t>849.096</w:t>
            </w:r>
          </w:p>
        </w:tc>
        <w:tc>
          <w:tcPr>
            <w:tcW w:w="1699" w:type="dxa"/>
            <w:vAlign w:val="center"/>
            <w:hideMark/>
          </w:tcPr>
          <w:p w14:paraId="781EFE57" w14:textId="77777777" w:rsidR="0025492B" w:rsidRPr="00545EC0" w:rsidRDefault="0025492B" w:rsidP="0031694B">
            <w:pPr>
              <w:jc w:val="center"/>
              <w:rPr>
                <w:rFonts w:cs="Arial"/>
                <w:sz w:val="18"/>
                <w:szCs w:val="18"/>
              </w:rPr>
            </w:pPr>
            <w:r w:rsidRPr="00545EC0">
              <w:rPr>
                <w:rFonts w:cs="Arial"/>
                <w:sz w:val="18"/>
                <w:szCs w:val="18"/>
              </w:rPr>
              <w:t>751.771</w:t>
            </w:r>
          </w:p>
        </w:tc>
        <w:tc>
          <w:tcPr>
            <w:tcW w:w="1699" w:type="dxa"/>
            <w:vAlign w:val="center"/>
            <w:hideMark/>
          </w:tcPr>
          <w:p w14:paraId="58104AB6" w14:textId="77777777" w:rsidR="0025492B" w:rsidRPr="00545EC0" w:rsidRDefault="0025492B" w:rsidP="0031694B">
            <w:pPr>
              <w:jc w:val="center"/>
              <w:rPr>
                <w:rFonts w:cs="Arial"/>
                <w:sz w:val="18"/>
                <w:szCs w:val="18"/>
              </w:rPr>
            </w:pPr>
            <w:r w:rsidRPr="00545EC0">
              <w:rPr>
                <w:rFonts w:cs="Arial"/>
                <w:sz w:val="18"/>
                <w:szCs w:val="18"/>
              </w:rPr>
              <w:t>88,5</w:t>
            </w:r>
          </w:p>
        </w:tc>
      </w:tr>
      <w:tr w:rsidR="003122F4" w:rsidRPr="00545EC0" w14:paraId="07B13BDE" w14:textId="77777777" w:rsidTr="00870B16">
        <w:trPr>
          <w:trHeight w:val="399"/>
        </w:trPr>
        <w:tc>
          <w:tcPr>
            <w:tcW w:w="3918" w:type="dxa"/>
          </w:tcPr>
          <w:p w14:paraId="514EC8B5" w14:textId="77777777" w:rsidR="0025492B" w:rsidRPr="00545EC0" w:rsidRDefault="0025492B" w:rsidP="0031694B">
            <w:pPr>
              <w:rPr>
                <w:rFonts w:cs="Arial"/>
                <w:sz w:val="18"/>
                <w:szCs w:val="18"/>
              </w:rPr>
            </w:pPr>
            <w:r w:rsidRPr="00545EC0">
              <w:rPr>
                <w:rFonts w:cs="Arial"/>
                <w:sz w:val="18"/>
                <w:szCs w:val="18"/>
              </w:rPr>
              <w:t>Herbicidi, snovi za uničevanje steblovine in mahu</w:t>
            </w:r>
          </w:p>
        </w:tc>
        <w:tc>
          <w:tcPr>
            <w:tcW w:w="1700" w:type="dxa"/>
            <w:vAlign w:val="center"/>
          </w:tcPr>
          <w:p w14:paraId="56769EBF" w14:textId="77777777" w:rsidR="0025492B" w:rsidRPr="00545EC0" w:rsidRDefault="0025492B" w:rsidP="0031694B">
            <w:pPr>
              <w:jc w:val="center"/>
              <w:rPr>
                <w:rFonts w:cs="Arial"/>
                <w:sz w:val="18"/>
                <w:szCs w:val="18"/>
              </w:rPr>
            </w:pPr>
            <w:r w:rsidRPr="00545EC0">
              <w:rPr>
                <w:rFonts w:cs="Arial"/>
                <w:sz w:val="18"/>
                <w:szCs w:val="18"/>
              </w:rPr>
              <w:t>256.840</w:t>
            </w:r>
          </w:p>
        </w:tc>
        <w:tc>
          <w:tcPr>
            <w:tcW w:w="1699" w:type="dxa"/>
            <w:vAlign w:val="center"/>
          </w:tcPr>
          <w:p w14:paraId="1FB4DACF" w14:textId="77777777" w:rsidR="0025492B" w:rsidRPr="00545EC0" w:rsidRDefault="0025492B" w:rsidP="0031694B">
            <w:pPr>
              <w:jc w:val="center"/>
              <w:rPr>
                <w:rFonts w:cs="Arial"/>
                <w:sz w:val="18"/>
                <w:szCs w:val="18"/>
              </w:rPr>
            </w:pPr>
            <w:r w:rsidRPr="00545EC0">
              <w:rPr>
                <w:rFonts w:cs="Arial"/>
                <w:sz w:val="18"/>
                <w:szCs w:val="18"/>
              </w:rPr>
              <w:t>197.570</w:t>
            </w:r>
          </w:p>
        </w:tc>
        <w:tc>
          <w:tcPr>
            <w:tcW w:w="1699" w:type="dxa"/>
            <w:vAlign w:val="center"/>
          </w:tcPr>
          <w:p w14:paraId="783AED5F" w14:textId="77777777" w:rsidR="0025492B" w:rsidRPr="00545EC0" w:rsidRDefault="0025492B" w:rsidP="0031694B">
            <w:pPr>
              <w:jc w:val="center"/>
              <w:rPr>
                <w:rFonts w:cs="Arial"/>
                <w:sz w:val="18"/>
                <w:szCs w:val="18"/>
              </w:rPr>
            </w:pPr>
            <w:r w:rsidRPr="00545EC0">
              <w:rPr>
                <w:rFonts w:cs="Arial"/>
                <w:sz w:val="18"/>
                <w:szCs w:val="18"/>
              </w:rPr>
              <w:t>76,9</w:t>
            </w:r>
          </w:p>
        </w:tc>
      </w:tr>
      <w:tr w:rsidR="003122F4" w:rsidRPr="00545EC0" w14:paraId="6C4E3770" w14:textId="77777777" w:rsidTr="00870B16">
        <w:trPr>
          <w:trHeight w:val="399"/>
        </w:trPr>
        <w:tc>
          <w:tcPr>
            <w:tcW w:w="3918" w:type="dxa"/>
          </w:tcPr>
          <w:p w14:paraId="35526BEC" w14:textId="77777777" w:rsidR="0025492B" w:rsidRPr="00545EC0" w:rsidRDefault="0025492B" w:rsidP="0031694B">
            <w:pPr>
              <w:rPr>
                <w:rFonts w:cs="Arial"/>
                <w:sz w:val="18"/>
                <w:szCs w:val="18"/>
              </w:rPr>
            </w:pPr>
            <w:r w:rsidRPr="00545EC0">
              <w:rPr>
                <w:rFonts w:cs="Arial"/>
                <w:sz w:val="18"/>
                <w:szCs w:val="18"/>
              </w:rPr>
              <w:t>Insekticidi in akaricidi</w:t>
            </w:r>
          </w:p>
        </w:tc>
        <w:tc>
          <w:tcPr>
            <w:tcW w:w="1700" w:type="dxa"/>
            <w:vAlign w:val="center"/>
          </w:tcPr>
          <w:p w14:paraId="36030005" w14:textId="77777777" w:rsidR="0025492B" w:rsidRPr="00545EC0" w:rsidRDefault="0025492B" w:rsidP="0031694B">
            <w:pPr>
              <w:jc w:val="center"/>
              <w:rPr>
                <w:rFonts w:cs="Arial"/>
                <w:sz w:val="18"/>
                <w:szCs w:val="18"/>
              </w:rPr>
            </w:pPr>
            <w:r w:rsidRPr="00545EC0">
              <w:rPr>
                <w:rFonts w:cs="Arial"/>
                <w:sz w:val="18"/>
                <w:szCs w:val="18"/>
              </w:rPr>
              <w:t>55.019</w:t>
            </w:r>
          </w:p>
        </w:tc>
        <w:tc>
          <w:tcPr>
            <w:tcW w:w="1699" w:type="dxa"/>
            <w:vAlign w:val="center"/>
          </w:tcPr>
          <w:p w14:paraId="2C249E01" w14:textId="77777777" w:rsidR="0025492B" w:rsidRPr="00545EC0" w:rsidRDefault="0025492B" w:rsidP="0031694B">
            <w:pPr>
              <w:jc w:val="center"/>
              <w:rPr>
                <w:rFonts w:cs="Arial"/>
                <w:sz w:val="18"/>
                <w:szCs w:val="18"/>
              </w:rPr>
            </w:pPr>
            <w:r w:rsidRPr="00545EC0">
              <w:rPr>
                <w:rFonts w:cs="Arial"/>
                <w:sz w:val="18"/>
                <w:szCs w:val="18"/>
              </w:rPr>
              <w:t>36.856</w:t>
            </w:r>
          </w:p>
        </w:tc>
        <w:tc>
          <w:tcPr>
            <w:tcW w:w="1699" w:type="dxa"/>
            <w:vAlign w:val="center"/>
          </w:tcPr>
          <w:p w14:paraId="13CE4C35" w14:textId="77777777" w:rsidR="0025492B" w:rsidRPr="00545EC0" w:rsidRDefault="0025492B" w:rsidP="0031694B">
            <w:pPr>
              <w:jc w:val="center"/>
              <w:rPr>
                <w:rFonts w:cs="Arial"/>
                <w:sz w:val="18"/>
                <w:szCs w:val="18"/>
              </w:rPr>
            </w:pPr>
            <w:r w:rsidRPr="00545EC0">
              <w:rPr>
                <w:rFonts w:cs="Arial"/>
                <w:sz w:val="18"/>
                <w:szCs w:val="18"/>
              </w:rPr>
              <w:t>67</w:t>
            </w:r>
          </w:p>
        </w:tc>
      </w:tr>
      <w:tr w:rsidR="003122F4" w:rsidRPr="00545EC0" w14:paraId="08816E23" w14:textId="77777777" w:rsidTr="00870B16">
        <w:trPr>
          <w:trHeight w:val="399"/>
        </w:trPr>
        <w:tc>
          <w:tcPr>
            <w:tcW w:w="3918" w:type="dxa"/>
            <w:hideMark/>
          </w:tcPr>
          <w:p w14:paraId="0FB1A7A5" w14:textId="77777777" w:rsidR="0025492B" w:rsidRPr="00545EC0" w:rsidRDefault="0025492B" w:rsidP="0031694B">
            <w:pPr>
              <w:rPr>
                <w:rFonts w:cs="Arial"/>
                <w:sz w:val="18"/>
                <w:szCs w:val="18"/>
              </w:rPr>
            </w:pPr>
            <w:r w:rsidRPr="00545EC0">
              <w:rPr>
                <w:rFonts w:cs="Arial"/>
                <w:sz w:val="18"/>
                <w:szCs w:val="18"/>
              </w:rPr>
              <w:t>Moluskicidi</w:t>
            </w:r>
          </w:p>
        </w:tc>
        <w:tc>
          <w:tcPr>
            <w:tcW w:w="1700" w:type="dxa"/>
            <w:vAlign w:val="center"/>
            <w:hideMark/>
          </w:tcPr>
          <w:p w14:paraId="2D792468" w14:textId="77777777" w:rsidR="0025492B" w:rsidRPr="00545EC0" w:rsidRDefault="0025492B" w:rsidP="0031694B">
            <w:pPr>
              <w:jc w:val="center"/>
              <w:rPr>
                <w:rFonts w:cs="Arial"/>
                <w:sz w:val="18"/>
                <w:szCs w:val="18"/>
              </w:rPr>
            </w:pPr>
            <w:r w:rsidRPr="00545EC0">
              <w:rPr>
                <w:rFonts w:cs="Arial"/>
                <w:sz w:val="18"/>
                <w:szCs w:val="18"/>
              </w:rPr>
              <w:t>1.595</w:t>
            </w:r>
          </w:p>
        </w:tc>
        <w:tc>
          <w:tcPr>
            <w:tcW w:w="1699" w:type="dxa"/>
            <w:vAlign w:val="center"/>
            <w:hideMark/>
          </w:tcPr>
          <w:p w14:paraId="1B767DDA" w14:textId="77777777" w:rsidR="0025492B" w:rsidRPr="00545EC0" w:rsidRDefault="0025492B" w:rsidP="0031694B">
            <w:pPr>
              <w:jc w:val="center"/>
              <w:rPr>
                <w:rFonts w:cs="Arial"/>
                <w:sz w:val="18"/>
                <w:szCs w:val="18"/>
              </w:rPr>
            </w:pPr>
            <w:r w:rsidRPr="00545EC0">
              <w:rPr>
                <w:rFonts w:cs="Arial"/>
                <w:sz w:val="18"/>
                <w:szCs w:val="18"/>
              </w:rPr>
              <w:t>2.278</w:t>
            </w:r>
          </w:p>
        </w:tc>
        <w:tc>
          <w:tcPr>
            <w:tcW w:w="1699" w:type="dxa"/>
            <w:vAlign w:val="center"/>
            <w:hideMark/>
          </w:tcPr>
          <w:p w14:paraId="2BC6E665" w14:textId="77777777" w:rsidR="0025492B" w:rsidRPr="00545EC0" w:rsidRDefault="0025492B" w:rsidP="0031694B">
            <w:pPr>
              <w:jc w:val="center"/>
              <w:rPr>
                <w:rFonts w:cs="Arial"/>
                <w:sz w:val="18"/>
                <w:szCs w:val="18"/>
              </w:rPr>
            </w:pPr>
            <w:r w:rsidRPr="00545EC0">
              <w:rPr>
                <w:rFonts w:cs="Arial"/>
                <w:sz w:val="18"/>
                <w:szCs w:val="18"/>
              </w:rPr>
              <w:t>142,8</w:t>
            </w:r>
          </w:p>
        </w:tc>
      </w:tr>
      <w:tr w:rsidR="003122F4" w:rsidRPr="00545EC0" w14:paraId="6010075E" w14:textId="77777777" w:rsidTr="00870B16">
        <w:trPr>
          <w:trHeight w:val="399"/>
        </w:trPr>
        <w:tc>
          <w:tcPr>
            <w:tcW w:w="3918" w:type="dxa"/>
            <w:hideMark/>
          </w:tcPr>
          <w:p w14:paraId="686AE617" w14:textId="77777777" w:rsidR="0025492B" w:rsidRPr="00545EC0" w:rsidRDefault="0025492B" w:rsidP="0031694B">
            <w:pPr>
              <w:rPr>
                <w:rFonts w:cs="Arial"/>
                <w:sz w:val="18"/>
                <w:szCs w:val="18"/>
              </w:rPr>
            </w:pPr>
            <w:r w:rsidRPr="00545EC0">
              <w:rPr>
                <w:rFonts w:cs="Arial"/>
                <w:sz w:val="18"/>
                <w:szCs w:val="18"/>
              </w:rPr>
              <w:t>Regulatorji rasti rastlin</w:t>
            </w:r>
          </w:p>
        </w:tc>
        <w:tc>
          <w:tcPr>
            <w:tcW w:w="1700" w:type="dxa"/>
            <w:vAlign w:val="center"/>
            <w:hideMark/>
          </w:tcPr>
          <w:p w14:paraId="6809F517" w14:textId="77777777" w:rsidR="0025492B" w:rsidRPr="00545EC0" w:rsidRDefault="0025492B" w:rsidP="0031694B">
            <w:pPr>
              <w:jc w:val="center"/>
              <w:rPr>
                <w:rFonts w:cs="Arial"/>
                <w:sz w:val="18"/>
                <w:szCs w:val="18"/>
              </w:rPr>
            </w:pPr>
            <w:r w:rsidRPr="00545EC0">
              <w:rPr>
                <w:rFonts w:cs="Arial"/>
                <w:sz w:val="18"/>
                <w:szCs w:val="18"/>
              </w:rPr>
              <w:t>4.826</w:t>
            </w:r>
          </w:p>
        </w:tc>
        <w:tc>
          <w:tcPr>
            <w:tcW w:w="1699" w:type="dxa"/>
            <w:vAlign w:val="center"/>
            <w:hideMark/>
          </w:tcPr>
          <w:p w14:paraId="610C7368" w14:textId="77777777" w:rsidR="0025492B" w:rsidRPr="00545EC0" w:rsidRDefault="0025492B" w:rsidP="0031694B">
            <w:pPr>
              <w:jc w:val="center"/>
              <w:rPr>
                <w:rFonts w:cs="Arial"/>
                <w:sz w:val="18"/>
                <w:szCs w:val="18"/>
              </w:rPr>
            </w:pPr>
            <w:r w:rsidRPr="00545EC0">
              <w:rPr>
                <w:rFonts w:cs="Arial"/>
                <w:sz w:val="18"/>
                <w:szCs w:val="18"/>
              </w:rPr>
              <w:t>7.645</w:t>
            </w:r>
          </w:p>
        </w:tc>
        <w:tc>
          <w:tcPr>
            <w:tcW w:w="1699" w:type="dxa"/>
            <w:vAlign w:val="center"/>
            <w:hideMark/>
          </w:tcPr>
          <w:p w14:paraId="35B446E1" w14:textId="77777777" w:rsidR="0025492B" w:rsidRPr="00545EC0" w:rsidRDefault="0025492B" w:rsidP="0031694B">
            <w:pPr>
              <w:jc w:val="center"/>
              <w:rPr>
                <w:rFonts w:cs="Arial"/>
                <w:sz w:val="18"/>
                <w:szCs w:val="18"/>
              </w:rPr>
            </w:pPr>
            <w:r w:rsidRPr="00545EC0">
              <w:rPr>
                <w:rFonts w:cs="Arial"/>
                <w:sz w:val="18"/>
                <w:szCs w:val="18"/>
              </w:rPr>
              <w:t>158,4</w:t>
            </w:r>
          </w:p>
        </w:tc>
      </w:tr>
      <w:tr w:rsidR="0025492B" w:rsidRPr="00545EC0" w14:paraId="3FFF6F4A" w14:textId="77777777" w:rsidTr="00870B16">
        <w:trPr>
          <w:trHeight w:val="399"/>
        </w:trPr>
        <w:tc>
          <w:tcPr>
            <w:tcW w:w="3918" w:type="dxa"/>
            <w:hideMark/>
          </w:tcPr>
          <w:p w14:paraId="61F794FC" w14:textId="77777777" w:rsidR="0025492B" w:rsidRPr="00545EC0" w:rsidRDefault="0025492B" w:rsidP="0031694B">
            <w:pPr>
              <w:rPr>
                <w:rFonts w:cs="Arial"/>
                <w:sz w:val="18"/>
                <w:szCs w:val="18"/>
              </w:rPr>
            </w:pPr>
            <w:r w:rsidRPr="00545EC0">
              <w:rPr>
                <w:rFonts w:cs="Arial"/>
                <w:sz w:val="18"/>
                <w:szCs w:val="18"/>
              </w:rPr>
              <w:t>Druga fitofarmacevtska sredstva</w:t>
            </w:r>
          </w:p>
        </w:tc>
        <w:tc>
          <w:tcPr>
            <w:tcW w:w="1700" w:type="dxa"/>
            <w:vAlign w:val="center"/>
            <w:hideMark/>
          </w:tcPr>
          <w:p w14:paraId="721B80B4" w14:textId="77777777" w:rsidR="0025492B" w:rsidRPr="00545EC0" w:rsidRDefault="0025492B" w:rsidP="0031694B">
            <w:pPr>
              <w:jc w:val="center"/>
              <w:rPr>
                <w:rFonts w:cs="Arial"/>
                <w:sz w:val="18"/>
                <w:szCs w:val="18"/>
              </w:rPr>
            </w:pPr>
            <w:r w:rsidRPr="00545EC0">
              <w:rPr>
                <w:rFonts w:cs="Arial"/>
                <w:sz w:val="18"/>
                <w:szCs w:val="18"/>
              </w:rPr>
              <w:t>4.446</w:t>
            </w:r>
          </w:p>
        </w:tc>
        <w:tc>
          <w:tcPr>
            <w:tcW w:w="1699" w:type="dxa"/>
            <w:vAlign w:val="center"/>
            <w:hideMark/>
          </w:tcPr>
          <w:p w14:paraId="24256E95" w14:textId="77777777" w:rsidR="0025492B" w:rsidRPr="00545EC0" w:rsidRDefault="0025492B" w:rsidP="0031694B">
            <w:pPr>
              <w:jc w:val="center"/>
              <w:rPr>
                <w:rFonts w:cs="Arial"/>
                <w:sz w:val="18"/>
                <w:szCs w:val="18"/>
              </w:rPr>
            </w:pPr>
            <w:r w:rsidRPr="00545EC0">
              <w:rPr>
                <w:rFonts w:cs="Arial"/>
                <w:sz w:val="18"/>
                <w:szCs w:val="18"/>
              </w:rPr>
              <w:t>3.800</w:t>
            </w:r>
          </w:p>
        </w:tc>
        <w:tc>
          <w:tcPr>
            <w:tcW w:w="1699" w:type="dxa"/>
            <w:vAlign w:val="center"/>
            <w:hideMark/>
          </w:tcPr>
          <w:p w14:paraId="4B1000E7" w14:textId="77777777" w:rsidR="0025492B" w:rsidRPr="00545EC0" w:rsidRDefault="0025492B" w:rsidP="0031694B">
            <w:pPr>
              <w:jc w:val="center"/>
              <w:rPr>
                <w:rFonts w:cs="Arial"/>
                <w:sz w:val="18"/>
                <w:szCs w:val="18"/>
              </w:rPr>
            </w:pPr>
            <w:r w:rsidRPr="00545EC0">
              <w:rPr>
                <w:rFonts w:cs="Arial"/>
                <w:sz w:val="18"/>
                <w:szCs w:val="18"/>
              </w:rPr>
              <w:t>85,5</w:t>
            </w:r>
          </w:p>
        </w:tc>
      </w:tr>
    </w:tbl>
    <w:p w14:paraId="277D108D" w14:textId="77777777" w:rsidR="0025492B" w:rsidRPr="00545EC0" w:rsidRDefault="0025492B" w:rsidP="0031694B">
      <w:pPr>
        <w:rPr>
          <w:rFonts w:cs="Arial"/>
        </w:rPr>
      </w:pPr>
    </w:p>
    <w:p w14:paraId="03F0BB7B" w14:textId="77777777" w:rsidR="0025492B" w:rsidRPr="00545EC0" w:rsidRDefault="0025492B" w:rsidP="0031694B">
      <w:pPr>
        <w:rPr>
          <w:b/>
          <w:i/>
        </w:rPr>
      </w:pPr>
      <w:r w:rsidRPr="00545EC0">
        <w:rPr>
          <w:b/>
          <w:i/>
        </w:rPr>
        <w:t>Prikaz obremenitev vodnih teles površinskih voda</w:t>
      </w:r>
    </w:p>
    <w:p w14:paraId="45551162" w14:textId="77777777" w:rsidR="0025492B" w:rsidRPr="00545EC0" w:rsidRDefault="0025492B" w:rsidP="0031694B"/>
    <w:p w14:paraId="2E0FC460" w14:textId="233FF7F4" w:rsidR="00617285" w:rsidRPr="00545EC0" w:rsidRDefault="00617285" w:rsidP="0031694B">
      <w:pPr>
        <w:rPr>
          <w:szCs w:val="20"/>
        </w:rPr>
      </w:pPr>
      <w:r w:rsidRPr="00545EC0">
        <w:t>Glavne poti vnosa fitofarmacevtskih sredstev v površinske vode so njihovo zanašanje po zraku med</w:t>
      </w:r>
      <w:r w:rsidRPr="00545EC0">
        <w:rPr>
          <w:szCs w:val="20"/>
        </w:rPr>
        <w:t xml:space="preserve"> aplikacijo (</w:t>
      </w:r>
      <w:r w:rsidR="00080908" w:rsidRPr="00545EC0">
        <w:rPr>
          <w:szCs w:val="20"/>
        </w:rPr>
        <w:t xml:space="preserve">t.i. </w:t>
      </w:r>
      <w:r w:rsidRPr="00545EC0">
        <w:rPr>
          <w:szCs w:val="20"/>
        </w:rPr>
        <w:t xml:space="preserve">drift) </w:t>
      </w:r>
      <w:r w:rsidR="00080908" w:rsidRPr="00545EC0">
        <w:rPr>
          <w:szCs w:val="20"/>
        </w:rPr>
        <w:t>in</w:t>
      </w:r>
      <w:r w:rsidRPr="00545EC0">
        <w:rPr>
          <w:szCs w:val="20"/>
        </w:rPr>
        <w:t xml:space="preserve"> površinsko odtekanje fitofarmacevtskih sredstev iz mesta aplikacije zaradi njihove nepravilne ali prekomerne uporabe</w:t>
      </w:r>
      <w:r w:rsidR="00080908" w:rsidRPr="00545EC0">
        <w:rPr>
          <w:szCs w:val="20"/>
        </w:rPr>
        <w:t xml:space="preserve"> ali zaradi prisotnosti melioracij</w:t>
      </w:r>
      <w:r w:rsidRPr="00545EC0">
        <w:rPr>
          <w:szCs w:val="20"/>
        </w:rPr>
        <w:t xml:space="preserve">. Pri tem so zelo pomembni tudi dejavniki okolja (tla, padavine, naklon ipd.). Fitofarmacevtska sredstva lahko pridejo v površinske vode tudi </w:t>
      </w:r>
      <w:r w:rsidR="00080908" w:rsidRPr="00545EC0">
        <w:rPr>
          <w:szCs w:val="20"/>
        </w:rPr>
        <w:t xml:space="preserve">zaradi </w:t>
      </w:r>
      <w:r w:rsidRPr="00545EC0">
        <w:rPr>
          <w:szCs w:val="20"/>
        </w:rPr>
        <w:t>erozij</w:t>
      </w:r>
      <w:r w:rsidR="00080908" w:rsidRPr="00545EC0">
        <w:rPr>
          <w:szCs w:val="20"/>
        </w:rPr>
        <w:t>e tal</w:t>
      </w:r>
      <w:r w:rsidRPr="00545EC0">
        <w:rPr>
          <w:szCs w:val="20"/>
        </w:rPr>
        <w:t xml:space="preserve"> ali s pronicanjem v podzemne vode od koder s podpovršinskim odtoko</w:t>
      </w:r>
      <w:r w:rsidR="00080908" w:rsidRPr="00545EC0">
        <w:rPr>
          <w:szCs w:val="20"/>
        </w:rPr>
        <w:t>m</w:t>
      </w:r>
      <w:r w:rsidRPr="00545EC0">
        <w:rPr>
          <w:szCs w:val="20"/>
        </w:rPr>
        <w:t xml:space="preserve"> podzemne vode lahko pridejo v površinske vode.</w:t>
      </w:r>
    </w:p>
    <w:p w14:paraId="093ACBF5" w14:textId="0B509922" w:rsidR="00617285" w:rsidRPr="00545EC0" w:rsidRDefault="00C12042" w:rsidP="0031694B">
      <w:pPr>
        <w:tabs>
          <w:tab w:val="num" w:pos="567"/>
          <w:tab w:val="left" w:pos="9600"/>
        </w:tabs>
        <w:spacing w:before="120"/>
        <w:rPr>
          <w:rFonts w:cs="Arial"/>
          <w:szCs w:val="20"/>
        </w:rPr>
      </w:pPr>
      <w:r w:rsidRPr="00545EC0">
        <w:rPr>
          <w:rFonts w:cs="Arial"/>
        </w:rPr>
        <w:t xml:space="preserve">Na podlagi podatkov o količinah prodanih aktivnih snovi v Sloveniji so </w:t>
      </w:r>
      <w:r w:rsidRPr="00545EC0">
        <w:rPr>
          <w:rFonts w:cs="Arial"/>
          <w:szCs w:val="20"/>
        </w:rPr>
        <w:t>Izračunane skupne količine posamezne prodane aktivne snovi (kg) v obdobju od 2013 – 2017 namenjene uporabi kot fitofarmacevtska sredstva iz skupin snovi, ki se v skladu s predpisom, ki ureja stanje površinskih voda, uvrš</w:t>
      </w:r>
      <w:r w:rsidR="00522A02" w:rsidRPr="00545EC0">
        <w:rPr>
          <w:rFonts w:cs="Arial"/>
          <w:szCs w:val="20"/>
        </w:rPr>
        <w:t>č</w:t>
      </w:r>
      <w:r w:rsidRPr="00545EC0">
        <w:rPr>
          <w:rFonts w:cs="Arial"/>
          <w:szCs w:val="20"/>
        </w:rPr>
        <w:t>ajo med prednostne snovi, prednostno nevarne snovi in posebna onesnaževala (</w:t>
      </w:r>
      <w:r w:rsidRPr="00545EC0">
        <w:rPr>
          <w:rFonts w:cs="Arial"/>
          <w:szCs w:val="20"/>
        </w:rPr>
        <w:fldChar w:fldCharType="begin"/>
      </w:r>
      <w:r w:rsidRPr="00545EC0">
        <w:rPr>
          <w:rFonts w:cs="Arial"/>
          <w:szCs w:val="20"/>
        </w:rPr>
        <w:instrText xml:space="preserve"> REF _Ref82592180 \h  \* MERGEFORMAT </w:instrText>
      </w:r>
      <w:r w:rsidRPr="00545EC0">
        <w:rPr>
          <w:rFonts w:cs="Arial"/>
          <w:szCs w:val="20"/>
        </w:rPr>
      </w:r>
      <w:r w:rsidRPr="00545EC0">
        <w:rPr>
          <w:rFonts w:cs="Arial"/>
          <w:szCs w:val="20"/>
        </w:rPr>
        <w:fldChar w:fldCharType="separate"/>
      </w:r>
      <w:r w:rsidR="002F3E43" w:rsidRPr="00545EC0">
        <w:rPr>
          <w:rFonts w:cs="Arial"/>
          <w:szCs w:val="20"/>
        </w:rPr>
        <w:t xml:space="preserve">Preglednica </w:t>
      </w:r>
      <w:r w:rsidR="002F3E43">
        <w:rPr>
          <w:rFonts w:cs="Arial"/>
          <w:szCs w:val="20"/>
        </w:rPr>
        <w:t>2</w:t>
      </w:r>
      <w:r w:rsidR="002F3E43" w:rsidRPr="00545EC0">
        <w:rPr>
          <w:rFonts w:cs="Arial"/>
          <w:szCs w:val="20"/>
        </w:rPr>
        <w:noBreakHyphen/>
      </w:r>
      <w:r w:rsidR="002F3E43">
        <w:rPr>
          <w:rFonts w:cs="Arial"/>
          <w:szCs w:val="20"/>
        </w:rPr>
        <w:t>15</w:t>
      </w:r>
      <w:r w:rsidRPr="00545EC0">
        <w:rPr>
          <w:rFonts w:cs="Arial"/>
          <w:szCs w:val="20"/>
        </w:rPr>
        <w:fldChar w:fldCharType="end"/>
      </w:r>
      <w:r w:rsidRPr="00545EC0">
        <w:rPr>
          <w:rFonts w:cs="Arial"/>
          <w:szCs w:val="20"/>
        </w:rPr>
        <w:t>).</w:t>
      </w:r>
    </w:p>
    <w:p w14:paraId="2FAF2FB3" w14:textId="3B6D211A" w:rsidR="00617285" w:rsidRPr="00545EC0" w:rsidRDefault="00617285" w:rsidP="0031694B">
      <w:pPr>
        <w:tabs>
          <w:tab w:val="num" w:pos="567"/>
          <w:tab w:val="left" w:pos="9600"/>
        </w:tabs>
        <w:spacing w:before="120"/>
        <w:rPr>
          <w:rFonts w:cs="Arial"/>
          <w:szCs w:val="20"/>
        </w:rPr>
      </w:pPr>
      <w:bookmarkStart w:id="163" w:name="_Ref82592180"/>
      <w:r w:rsidRPr="00545EC0">
        <w:rPr>
          <w:rFonts w:cs="Arial"/>
          <w:szCs w:val="20"/>
        </w:rPr>
        <w:t xml:space="preserve">Preglednica </w:t>
      </w:r>
      <w:r w:rsidR="001A7511" w:rsidRPr="00545EC0">
        <w:rPr>
          <w:rFonts w:cs="Arial"/>
          <w:szCs w:val="20"/>
        </w:rPr>
        <w:fldChar w:fldCharType="begin"/>
      </w:r>
      <w:r w:rsidR="001A7511" w:rsidRPr="00545EC0">
        <w:rPr>
          <w:rFonts w:cs="Arial"/>
          <w:szCs w:val="20"/>
        </w:rPr>
        <w:instrText xml:space="preserve"> STYLEREF 1 \s </w:instrText>
      </w:r>
      <w:r w:rsidR="001A7511" w:rsidRPr="00545EC0">
        <w:rPr>
          <w:rFonts w:cs="Arial"/>
          <w:szCs w:val="20"/>
        </w:rPr>
        <w:fldChar w:fldCharType="separate"/>
      </w:r>
      <w:r w:rsidR="002F3E43">
        <w:rPr>
          <w:rFonts w:cs="Arial"/>
          <w:noProof/>
          <w:szCs w:val="20"/>
        </w:rPr>
        <w:t>2</w:t>
      </w:r>
      <w:r w:rsidR="001A7511" w:rsidRPr="00545EC0">
        <w:rPr>
          <w:rFonts w:cs="Arial"/>
          <w:szCs w:val="20"/>
        </w:rPr>
        <w:fldChar w:fldCharType="end"/>
      </w:r>
      <w:r w:rsidR="001A7511" w:rsidRPr="00545EC0">
        <w:rPr>
          <w:rFonts w:cs="Arial"/>
          <w:szCs w:val="20"/>
        </w:rPr>
        <w:noBreakHyphen/>
      </w:r>
      <w:r w:rsidR="001A7511" w:rsidRPr="00545EC0">
        <w:rPr>
          <w:rFonts w:cs="Arial"/>
          <w:szCs w:val="20"/>
        </w:rPr>
        <w:fldChar w:fldCharType="begin"/>
      </w:r>
      <w:r w:rsidR="001A7511" w:rsidRPr="00545EC0">
        <w:rPr>
          <w:rFonts w:cs="Arial"/>
          <w:szCs w:val="20"/>
        </w:rPr>
        <w:instrText xml:space="preserve"> SEQ Preglednica \* ARABIC \s 1 </w:instrText>
      </w:r>
      <w:r w:rsidR="001A7511" w:rsidRPr="00545EC0">
        <w:rPr>
          <w:rFonts w:cs="Arial"/>
          <w:szCs w:val="20"/>
        </w:rPr>
        <w:fldChar w:fldCharType="separate"/>
      </w:r>
      <w:r w:rsidR="002F3E43">
        <w:rPr>
          <w:rFonts w:cs="Arial"/>
          <w:noProof/>
          <w:szCs w:val="20"/>
        </w:rPr>
        <w:t>15</w:t>
      </w:r>
      <w:r w:rsidR="001A7511" w:rsidRPr="00545EC0">
        <w:rPr>
          <w:rFonts w:cs="Arial"/>
          <w:szCs w:val="20"/>
        </w:rPr>
        <w:fldChar w:fldCharType="end"/>
      </w:r>
      <w:bookmarkEnd w:id="163"/>
      <w:r w:rsidRPr="00545EC0">
        <w:rPr>
          <w:rFonts w:cs="Arial"/>
          <w:szCs w:val="20"/>
        </w:rPr>
        <w:t>: Količine prodanih aktivnih snovi namenjene uporabi kot fitofarmacevtska sredstva iz skupin prednostnih snovi, prednostno nevarnih snovi in posebnih onesnaževal v obdobju od 2013 – 2017 na območju Slovenije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63"/>
        <w:gridCol w:w="1360"/>
        <w:gridCol w:w="976"/>
        <w:gridCol w:w="978"/>
        <w:gridCol w:w="978"/>
        <w:gridCol w:w="978"/>
        <w:gridCol w:w="978"/>
      </w:tblGrid>
      <w:tr w:rsidR="003122F4" w:rsidRPr="00545EC0" w14:paraId="230B7CBF" w14:textId="77777777" w:rsidTr="004C7F30">
        <w:trPr>
          <w:trHeight w:val="227"/>
        </w:trPr>
        <w:tc>
          <w:tcPr>
            <w:tcW w:w="1608" w:type="pct"/>
            <w:vMerge w:val="restart"/>
            <w:shd w:val="clear" w:color="auto" w:fill="F2F2F2" w:themeFill="background1" w:themeFillShade="F2"/>
            <w:noWrap/>
            <w:vAlign w:val="center"/>
            <w:hideMark/>
          </w:tcPr>
          <w:p w14:paraId="6EC5BA9E" w14:textId="77777777" w:rsidR="00617285" w:rsidRPr="00545EC0" w:rsidRDefault="00617285" w:rsidP="0031694B">
            <w:pPr>
              <w:spacing w:before="60" w:after="60" w:line="276" w:lineRule="auto"/>
              <w:jc w:val="left"/>
              <w:rPr>
                <w:rFonts w:cs="Arial"/>
                <w:b/>
                <w:bCs/>
                <w:sz w:val="18"/>
                <w:szCs w:val="18"/>
              </w:rPr>
            </w:pPr>
            <w:r w:rsidRPr="00545EC0">
              <w:rPr>
                <w:rFonts w:cs="Arial"/>
                <w:b/>
                <w:bCs/>
                <w:sz w:val="18"/>
                <w:szCs w:val="18"/>
              </w:rPr>
              <w:t>Parameter</w:t>
            </w:r>
          </w:p>
        </w:tc>
        <w:tc>
          <w:tcPr>
            <w:tcW w:w="738" w:type="pct"/>
            <w:vMerge w:val="restart"/>
            <w:shd w:val="clear" w:color="auto" w:fill="F2F2F2" w:themeFill="background1" w:themeFillShade="F2"/>
            <w:noWrap/>
            <w:vAlign w:val="center"/>
            <w:hideMark/>
          </w:tcPr>
          <w:p w14:paraId="32954260" w14:textId="77777777" w:rsidR="00617285" w:rsidRPr="00545EC0" w:rsidRDefault="00617285" w:rsidP="0031694B">
            <w:pPr>
              <w:spacing w:before="60" w:after="60" w:line="276" w:lineRule="auto"/>
              <w:jc w:val="center"/>
              <w:rPr>
                <w:rFonts w:cs="Arial"/>
                <w:b/>
                <w:bCs/>
                <w:sz w:val="18"/>
                <w:szCs w:val="18"/>
              </w:rPr>
            </w:pPr>
            <w:r w:rsidRPr="00545EC0">
              <w:rPr>
                <w:rFonts w:cs="Arial"/>
                <w:b/>
                <w:bCs/>
                <w:sz w:val="18"/>
                <w:szCs w:val="18"/>
              </w:rPr>
              <w:t>Opredelitev parametra</w:t>
            </w:r>
          </w:p>
        </w:tc>
        <w:tc>
          <w:tcPr>
            <w:tcW w:w="2654" w:type="pct"/>
            <w:gridSpan w:val="5"/>
            <w:shd w:val="clear" w:color="auto" w:fill="F2F2F2" w:themeFill="background1" w:themeFillShade="F2"/>
            <w:noWrap/>
            <w:vAlign w:val="center"/>
          </w:tcPr>
          <w:p w14:paraId="232023D6" w14:textId="77777777" w:rsidR="00617285" w:rsidRPr="00545EC0" w:rsidRDefault="00617285" w:rsidP="0031694B">
            <w:pPr>
              <w:spacing w:before="60" w:after="60" w:line="276" w:lineRule="auto"/>
              <w:jc w:val="center"/>
              <w:rPr>
                <w:rFonts w:cs="Arial"/>
                <w:b/>
                <w:bCs/>
                <w:sz w:val="18"/>
                <w:szCs w:val="18"/>
              </w:rPr>
            </w:pPr>
            <w:r w:rsidRPr="00545EC0">
              <w:rPr>
                <w:rFonts w:cs="Arial"/>
                <w:b/>
                <w:bCs/>
                <w:sz w:val="18"/>
                <w:szCs w:val="18"/>
              </w:rPr>
              <w:t>Količine prodanih aktivnih snovi (kg/leto)</w:t>
            </w:r>
          </w:p>
        </w:tc>
      </w:tr>
      <w:tr w:rsidR="003122F4" w:rsidRPr="00545EC0" w14:paraId="395BD61F" w14:textId="77777777" w:rsidTr="004C7F30">
        <w:trPr>
          <w:trHeight w:val="227"/>
        </w:trPr>
        <w:tc>
          <w:tcPr>
            <w:tcW w:w="1608" w:type="pct"/>
            <w:vMerge/>
            <w:shd w:val="clear" w:color="auto" w:fill="auto"/>
            <w:noWrap/>
            <w:vAlign w:val="center"/>
          </w:tcPr>
          <w:p w14:paraId="0ABD611D" w14:textId="77777777" w:rsidR="00617285" w:rsidRPr="00545EC0" w:rsidRDefault="00617285" w:rsidP="0031694B">
            <w:pPr>
              <w:spacing w:before="60" w:after="60" w:line="276" w:lineRule="auto"/>
              <w:jc w:val="left"/>
              <w:rPr>
                <w:rFonts w:cs="Arial"/>
                <w:b/>
                <w:bCs/>
                <w:sz w:val="18"/>
                <w:szCs w:val="18"/>
              </w:rPr>
            </w:pPr>
          </w:p>
        </w:tc>
        <w:tc>
          <w:tcPr>
            <w:tcW w:w="738" w:type="pct"/>
            <w:vMerge/>
            <w:shd w:val="clear" w:color="auto" w:fill="auto"/>
            <w:noWrap/>
            <w:vAlign w:val="center"/>
          </w:tcPr>
          <w:p w14:paraId="1E435214" w14:textId="77777777" w:rsidR="00617285" w:rsidRPr="00545EC0" w:rsidRDefault="00617285" w:rsidP="0031694B">
            <w:pPr>
              <w:spacing w:before="60" w:after="60" w:line="276" w:lineRule="auto"/>
              <w:jc w:val="center"/>
              <w:rPr>
                <w:rFonts w:cs="Arial"/>
                <w:b/>
                <w:bCs/>
                <w:sz w:val="18"/>
                <w:szCs w:val="18"/>
              </w:rPr>
            </w:pPr>
          </w:p>
        </w:tc>
        <w:tc>
          <w:tcPr>
            <w:tcW w:w="530" w:type="pct"/>
            <w:shd w:val="clear" w:color="auto" w:fill="F2F2F2" w:themeFill="background1" w:themeFillShade="F2"/>
            <w:noWrap/>
            <w:vAlign w:val="center"/>
          </w:tcPr>
          <w:p w14:paraId="17B09A1E" w14:textId="77777777" w:rsidR="00617285" w:rsidRPr="00545EC0" w:rsidRDefault="00617285" w:rsidP="0031694B">
            <w:pPr>
              <w:spacing w:before="60" w:after="60" w:line="276" w:lineRule="auto"/>
              <w:jc w:val="center"/>
              <w:rPr>
                <w:rFonts w:cs="Arial"/>
                <w:b/>
                <w:bCs/>
                <w:sz w:val="18"/>
                <w:szCs w:val="18"/>
              </w:rPr>
            </w:pPr>
            <w:r w:rsidRPr="00545EC0">
              <w:rPr>
                <w:rFonts w:cs="Arial"/>
                <w:b/>
                <w:bCs/>
                <w:sz w:val="18"/>
                <w:szCs w:val="18"/>
              </w:rPr>
              <w:t>2013</w:t>
            </w:r>
          </w:p>
        </w:tc>
        <w:tc>
          <w:tcPr>
            <w:tcW w:w="531" w:type="pct"/>
            <w:shd w:val="clear" w:color="auto" w:fill="F2F2F2" w:themeFill="background1" w:themeFillShade="F2"/>
            <w:noWrap/>
            <w:vAlign w:val="center"/>
          </w:tcPr>
          <w:p w14:paraId="6D1523FF" w14:textId="77777777" w:rsidR="00617285" w:rsidRPr="00545EC0" w:rsidRDefault="00617285" w:rsidP="0031694B">
            <w:pPr>
              <w:spacing w:before="60" w:after="60" w:line="276" w:lineRule="auto"/>
              <w:jc w:val="center"/>
              <w:rPr>
                <w:rFonts w:cs="Arial"/>
                <w:b/>
                <w:bCs/>
                <w:sz w:val="18"/>
                <w:szCs w:val="18"/>
              </w:rPr>
            </w:pPr>
            <w:r w:rsidRPr="00545EC0">
              <w:rPr>
                <w:rFonts w:cs="Arial"/>
                <w:b/>
                <w:bCs/>
                <w:sz w:val="18"/>
                <w:szCs w:val="18"/>
              </w:rPr>
              <w:t>2014</w:t>
            </w:r>
          </w:p>
        </w:tc>
        <w:tc>
          <w:tcPr>
            <w:tcW w:w="531" w:type="pct"/>
            <w:shd w:val="clear" w:color="auto" w:fill="F2F2F2" w:themeFill="background1" w:themeFillShade="F2"/>
            <w:noWrap/>
            <w:vAlign w:val="center"/>
          </w:tcPr>
          <w:p w14:paraId="5F12E931" w14:textId="77777777" w:rsidR="00617285" w:rsidRPr="00545EC0" w:rsidRDefault="00617285" w:rsidP="0031694B">
            <w:pPr>
              <w:spacing w:before="60" w:after="60" w:line="276" w:lineRule="auto"/>
              <w:jc w:val="center"/>
              <w:rPr>
                <w:rFonts w:cs="Arial"/>
                <w:b/>
                <w:bCs/>
                <w:sz w:val="18"/>
                <w:szCs w:val="18"/>
              </w:rPr>
            </w:pPr>
            <w:r w:rsidRPr="00545EC0">
              <w:rPr>
                <w:rFonts w:cs="Arial"/>
                <w:b/>
                <w:bCs/>
                <w:sz w:val="18"/>
                <w:szCs w:val="18"/>
              </w:rPr>
              <w:t>2015</w:t>
            </w:r>
          </w:p>
        </w:tc>
        <w:tc>
          <w:tcPr>
            <w:tcW w:w="531" w:type="pct"/>
            <w:shd w:val="clear" w:color="auto" w:fill="F2F2F2" w:themeFill="background1" w:themeFillShade="F2"/>
            <w:noWrap/>
            <w:vAlign w:val="center"/>
          </w:tcPr>
          <w:p w14:paraId="7388EADE" w14:textId="77777777" w:rsidR="00617285" w:rsidRPr="00545EC0" w:rsidRDefault="00617285" w:rsidP="0031694B">
            <w:pPr>
              <w:spacing w:before="60" w:after="60" w:line="276" w:lineRule="auto"/>
              <w:jc w:val="center"/>
              <w:rPr>
                <w:rFonts w:cs="Arial"/>
                <w:b/>
                <w:bCs/>
                <w:sz w:val="18"/>
                <w:szCs w:val="18"/>
              </w:rPr>
            </w:pPr>
            <w:r w:rsidRPr="00545EC0">
              <w:rPr>
                <w:rFonts w:cs="Arial"/>
                <w:b/>
                <w:bCs/>
                <w:sz w:val="18"/>
                <w:szCs w:val="18"/>
              </w:rPr>
              <w:t>2016</w:t>
            </w:r>
          </w:p>
        </w:tc>
        <w:tc>
          <w:tcPr>
            <w:tcW w:w="531" w:type="pct"/>
            <w:shd w:val="clear" w:color="auto" w:fill="F2F2F2" w:themeFill="background1" w:themeFillShade="F2"/>
            <w:noWrap/>
            <w:vAlign w:val="center"/>
          </w:tcPr>
          <w:p w14:paraId="66A74054" w14:textId="77777777" w:rsidR="00617285" w:rsidRPr="00545EC0" w:rsidRDefault="00617285" w:rsidP="0031694B">
            <w:pPr>
              <w:spacing w:before="60" w:after="60" w:line="276" w:lineRule="auto"/>
              <w:jc w:val="center"/>
              <w:rPr>
                <w:rFonts w:cs="Arial"/>
                <w:b/>
                <w:bCs/>
                <w:sz w:val="18"/>
                <w:szCs w:val="18"/>
              </w:rPr>
            </w:pPr>
            <w:r w:rsidRPr="00545EC0">
              <w:rPr>
                <w:rFonts w:cs="Arial"/>
                <w:b/>
                <w:bCs/>
                <w:sz w:val="18"/>
                <w:szCs w:val="18"/>
              </w:rPr>
              <w:t>2017</w:t>
            </w:r>
          </w:p>
        </w:tc>
      </w:tr>
      <w:tr w:rsidR="003122F4" w:rsidRPr="00545EC0" w14:paraId="2908DFC3" w14:textId="77777777" w:rsidTr="00017486">
        <w:trPr>
          <w:trHeight w:val="227"/>
        </w:trPr>
        <w:tc>
          <w:tcPr>
            <w:tcW w:w="1608" w:type="pct"/>
            <w:shd w:val="clear" w:color="auto" w:fill="auto"/>
            <w:noWrap/>
            <w:vAlign w:val="center"/>
            <w:hideMark/>
          </w:tcPr>
          <w:p w14:paraId="1332238E" w14:textId="77777777" w:rsidR="00617285" w:rsidRPr="00545EC0" w:rsidRDefault="00617285" w:rsidP="0031694B">
            <w:pPr>
              <w:spacing w:before="60" w:after="60" w:line="276" w:lineRule="auto"/>
              <w:jc w:val="left"/>
              <w:rPr>
                <w:rFonts w:cs="Arial"/>
                <w:sz w:val="18"/>
                <w:szCs w:val="18"/>
              </w:rPr>
            </w:pPr>
            <w:r w:rsidRPr="00545EC0">
              <w:rPr>
                <w:rFonts w:cs="Arial"/>
                <w:sz w:val="18"/>
                <w:szCs w:val="18"/>
              </w:rPr>
              <w:t>cipermetrin</w:t>
            </w:r>
          </w:p>
        </w:tc>
        <w:tc>
          <w:tcPr>
            <w:tcW w:w="738" w:type="pct"/>
            <w:shd w:val="clear" w:color="auto" w:fill="auto"/>
            <w:noWrap/>
            <w:vAlign w:val="center"/>
            <w:hideMark/>
          </w:tcPr>
          <w:p w14:paraId="058AAC39"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PS</w:t>
            </w:r>
          </w:p>
        </w:tc>
        <w:tc>
          <w:tcPr>
            <w:tcW w:w="530" w:type="pct"/>
            <w:shd w:val="clear" w:color="auto" w:fill="auto"/>
            <w:noWrap/>
            <w:vAlign w:val="center"/>
            <w:hideMark/>
          </w:tcPr>
          <w:p w14:paraId="33FDAB93"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w:t>
            </w:r>
          </w:p>
        </w:tc>
        <w:tc>
          <w:tcPr>
            <w:tcW w:w="531" w:type="pct"/>
            <w:shd w:val="clear" w:color="auto" w:fill="auto"/>
            <w:noWrap/>
            <w:vAlign w:val="center"/>
            <w:hideMark/>
          </w:tcPr>
          <w:p w14:paraId="25ABE7F7"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w:t>
            </w:r>
          </w:p>
        </w:tc>
        <w:tc>
          <w:tcPr>
            <w:tcW w:w="531" w:type="pct"/>
            <w:shd w:val="clear" w:color="auto" w:fill="auto"/>
            <w:noWrap/>
            <w:vAlign w:val="center"/>
            <w:hideMark/>
          </w:tcPr>
          <w:p w14:paraId="4EEEC619"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w:t>
            </w:r>
          </w:p>
        </w:tc>
        <w:tc>
          <w:tcPr>
            <w:tcW w:w="531" w:type="pct"/>
            <w:shd w:val="clear" w:color="auto" w:fill="auto"/>
            <w:noWrap/>
            <w:vAlign w:val="center"/>
            <w:hideMark/>
          </w:tcPr>
          <w:p w14:paraId="39327EFB"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84,0</w:t>
            </w:r>
          </w:p>
        </w:tc>
        <w:tc>
          <w:tcPr>
            <w:tcW w:w="531" w:type="pct"/>
            <w:shd w:val="clear" w:color="auto" w:fill="auto"/>
            <w:noWrap/>
            <w:vAlign w:val="center"/>
            <w:hideMark/>
          </w:tcPr>
          <w:p w14:paraId="613E2B1D"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w:t>
            </w:r>
          </w:p>
        </w:tc>
      </w:tr>
      <w:tr w:rsidR="003122F4" w:rsidRPr="00545EC0" w14:paraId="5F039745" w14:textId="77777777" w:rsidTr="00017486">
        <w:trPr>
          <w:trHeight w:val="227"/>
        </w:trPr>
        <w:tc>
          <w:tcPr>
            <w:tcW w:w="1608" w:type="pct"/>
            <w:shd w:val="clear" w:color="auto" w:fill="auto"/>
            <w:noWrap/>
            <w:vAlign w:val="center"/>
            <w:hideMark/>
          </w:tcPr>
          <w:p w14:paraId="547D08B7" w14:textId="77777777" w:rsidR="00617285" w:rsidRPr="00545EC0" w:rsidRDefault="00617285" w:rsidP="0031694B">
            <w:pPr>
              <w:spacing w:before="60" w:after="60" w:line="276" w:lineRule="auto"/>
              <w:jc w:val="left"/>
              <w:rPr>
                <w:rFonts w:cs="Arial"/>
                <w:sz w:val="18"/>
                <w:szCs w:val="18"/>
              </w:rPr>
            </w:pPr>
            <w:r w:rsidRPr="00545EC0">
              <w:rPr>
                <w:rFonts w:cs="Arial"/>
                <w:sz w:val="18"/>
                <w:szCs w:val="18"/>
              </w:rPr>
              <w:t>kvinoksifen</w:t>
            </w:r>
          </w:p>
        </w:tc>
        <w:tc>
          <w:tcPr>
            <w:tcW w:w="738" w:type="pct"/>
            <w:shd w:val="clear" w:color="auto" w:fill="auto"/>
            <w:noWrap/>
            <w:vAlign w:val="center"/>
            <w:hideMark/>
          </w:tcPr>
          <w:p w14:paraId="5BC43C41"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PNS</w:t>
            </w:r>
          </w:p>
        </w:tc>
        <w:tc>
          <w:tcPr>
            <w:tcW w:w="530" w:type="pct"/>
            <w:shd w:val="clear" w:color="auto" w:fill="auto"/>
            <w:noWrap/>
            <w:vAlign w:val="center"/>
            <w:hideMark/>
          </w:tcPr>
          <w:p w14:paraId="12487969"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396,6</w:t>
            </w:r>
          </w:p>
        </w:tc>
        <w:tc>
          <w:tcPr>
            <w:tcW w:w="531" w:type="pct"/>
            <w:shd w:val="clear" w:color="auto" w:fill="auto"/>
            <w:noWrap/>
            <w:vAlign w:val="center"/>
            <w:hideMark/>
          </w:tcPr>
          <w:p w14:paraId="016664ED"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324,1</w:t>
            </w:r>
          </w:p>
        </w:tc>
        <w:tc>
          <w:tcPr>
            <w:tcW w:w="531" w:type="pct"/>
            <w:shd w:val="clear" w:color="auto" w:fill="auto"/>
            <w:noWrap/>
            <w:vAlign w:val="center"/>
            <w:hideMark/>
          </w:tcPr>
          <w:p w14:paraId="503A78EA"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237,4</w:t>
            </w:r>
          </w:p>
        </w:tc>
        <w:tc>
          <w:tcPr>
            <w:tcW w:w="531" w:type="pct"/>
            <w:shd w:val="clear" w:color="auto" w:fill="auto"/>
            <w:noWrap/>
            <w:vAlign w:val="center"/>
            <w:hideMark/>
          </w:tcPr>
          <w:p w14:paraId="6E3D9846"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203,4</w:t>
            </w:r>
          </w:p>
        </w:tc>
        <w:tc>
          <w:tcPr>
            <w:tcW w:w="531" w:type="pct"/>
            <w:shd w:val="clear" w:color="auto" w:fill="auto"/>
            <w:noWrap/>
            <w:vAlign w:val="center"/>
            <w:hideMark/>
          </w:tcPr>
          <w:p w14:paraId="4C07B6FB"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174,6</w:t>
            </w:r>
          </w:p>
        </w:tc>
      </w:tr>
      <w:tr w:rsidR="003122F4" w:rsidRPr="00545EC0" w14:paraId="1C4DCB6A" w14:textId="77777777" w:rsidTr="00017486">
        <w:trPr>
          <w:trHeight w:val="227"/>
        </w:trPr>
        <w:tc>
          <w:tcPr>
            <w:tcW w:w="1608" w:type="pct"/>
            <w:shd w:val="clear" w:color="auto" w:fill="auto"/>
            <w:noWrap/>
            <w:vAlign w:val="center"/>
            <w:hideMark/>
          </w:tcPr>
          <w:p w14:paraId="27CF14F9" w14:textId="77777777" w:rsidR="00617285" w:rsidRPr="00545EC0" w:rsidRDefault="00617285" w:rsidP="0031694B">
            <w:pPr>
              <w:spacing w:before="60" w:after="60" w:line="276" w:lineRule="auto"/>
              <w:jc w:val="left"/>
              <w:rPr>
                <w:rFonts w:cs="Arial"/>
                <w:sz w:val="18"/>
                <w:szCs w:val="18"/>
              </w:rPr>
            </w:pPr>
            <w:r w:rsidRPr="00545EC0">
              <w:rPr>
                <w:rFonts w:cs="Arial"/>
                <w:sz w:val="18"/>
                <w:szCs w:val="18"/>
              </w:rPr>
              <w:t>glifosat</w:t>
            </w:r>
          </w:p>
        </w:tc>
        <w:tc>
          <w:tcPr>
            <w:tcW w:w="738" w:type="pct"/>
            <w:shd w:val="clear" w:color="auto" w:fill="auto"/>
            <w:noWrap/>
            <w:vAlign w:val="center"/>
            <w:hideMark/>
          </w:tcPr>
          <w:p w14:paraId="4E64654E"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PO</w:t>
            </w:r>
          </w:p>
        </w:tc>
        <w:tc>
          <w:tcPr>
            <w:tcW w:w="530" w:type="pct"/>
            <w:shd w:val="clear" w:color="auto" w:fill="auto"/>
            <w:noWrap/>
            <w:vAlign w:val="center"/>
            <w:hideMark/>
          </w:tcPr>
          <w:p w14:paraId="7C8F3ACC"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135,0</w:t>
            </w:r>
          </w:p>
        </w:tc>
        <w:tc>
          <w:tcPr>
            <w:tcW w:w="531" w:type="pct"/>
            <w:shd w:val="clear" w:color="auto" w:fill="auto"/>
            <w:noWrap/>
            <w:vAlign w:val="center"/>
            <w:hideMark/>
          </w:tcPr>
          <w:p w14:paraId="1DCF9FAB"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1363,0</w:t>
            </w:r>
          </w:p>
        </w:tc>
        <w:tc>
          <w:tcPr>
            <w:tcW w:w="531" w:type="pct"/>
            <w:shd w:val="clear" w:color="auto" w:fill="auto"/>
            <w:noWrap/>
            <w:vAlign w:val="center"/>
            <w:hideMark/>
          </w:tcPr>
          <w:p w14:paraId="412D2AD4"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423,4</w:t>
            </w:r>
          </w:p>
        </w:tc>
        <w:tc>
          <w:tcPr>
            <w:tcW w:w="531" w:type="pct"/>
            <w:shd w:val="clear" w:color="auto" w:fill="auto"/>
            <w:noWrap/>
            <w:vAlign w:val="center"/>
            <w:hideMark/>
          </w:tcPr>
          <w:p w14:paraId="7CD0DA55"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5727,8</w:t>
            </w:r>
          </w:p>
        </w:tc>
        <w:tc>
          <w:tcPr>
            <w:tcW w:w="531" w:type="pct"/>
            <w:shd w:val="clear" w:color="auto" w:fill="auto"/>
            <w:noWrap/>
            <w:vAlign w:val="center"/>
            <w:hideMark/>
          </w:tcPr>
          <w:p w14:paraId="7354EE7B"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1131,6</w:t>
            </w:r>
          </w:p>
        </w:tc>
      </w:tr>
      <w:tr w:rsidR="003122F4" w:rsidRPr="00545EC0" w14:paraId="73C0B8D8" w14:textId="77777777" w:rsidTr="00017486">
        <w:trPr>
          <w:trHeight w:val="227"/>
        </w:trPr>
        <w:tc>
          <w:tcPr>
            <w:tcW w:w="1608" w:type="pct"/>
            <w:shd w:val="clear" w:color="auto" w:fill="auto"/>
            <w:noWrap/>
            <w:vAlign w:val="center"/>
            <w:hideMark/>
          </w:tcPr>
          <w:p w14:paraId="6F81562E" w14:textId="51D93B59" w:rsidR="00617285" w:rsidRPr="00545EC0" w:rsidRDefault="00617285" w:rsidP="0031694B">
            <w:pPr>
              <w:spacing w:before="60" w:after="60" w:line="276" w:lineRule="auto"/>
              <w:jc w:val="left"/>
              <w:rPr>
                <w:rFonts w:cs="Arial"/>
                <w:sz w:val="18"/>
                <w:szCs w:val="18"/>
              </w:rPr>
            </w:pPr>
            <w:r w:rsidRPr="00545EC0">
              <w:rPr>
                <w:rFonts w:cs="Arial"/>
                <w:sz w:val="18"/>
                <w:szCs w:val="18"/>
              </w:rPr>
              <w:t>glifosat v obliki amonijeve soli</w:t>
            </w:r>
          </w:p>
        </w:tc>
        <w:tc>
          <w:tcPr>
            <w:tcW w:w="738" w:type="pct"/>
            <w:shd w:val="clear" w:color="auto" w:fill="auto"/>
            <w:noWrap/>
            <w:vAlign w:val="center"/>
            <w:hideMark/>
          </w:tcPr>
          <w:p w14:paraId="4FD41726"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PO</w:t>
            </w:r>
          </w:p>
        </w:tc>
        <w:tc>
          <w:tcPr>
            <w:tcW w:w="530" w:type="pct"/>
            <w:shd w:val="clear" w:color="auto" w:fill="auto"/>
            <w:noWrap/>
            <w:vAlign w:val="center"/>
            <w:hideMark/>
          </w:tcPr>
          <w:p w14:paraId="1688F0FD"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20138,4</w:t>
            </w:r>
          </w:p>
        </w:tc>
        <w:tc>
          <w:tcPr>
            <w:tcW w:w="531" w:type="pct"/>
            <w:shd w:val="clear" w:color="auto" w:fill="auto"/>
            <w:noWrap/>
            <w:vAlign w:val="center"/>
            <w:hideMark/>
          </w:tcPr>
          <w:p w14:paraId="1E91C7C5"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18481,0</w:t>
            </w:r>
          </w:p>
        </w:tc>
        <w:tc>
          <w:tcPr>
            <w:tcW w:w="531" w:type="pct"/>
            <w:shd w:val="clear" w:color="auto" w:fill="auto"/>
            <w:noWrap/>
            <w:vAlign w:val="center"/>
            <w:hideMark/>
          </w:tcPr>
          <w:p w14:paraId="59A98A56"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15567,0</w:t>
            </w:r>
          </w:p>
        </w:tc>
        <w:tc>
          <w:tcPr>
            <w:tcW w:w="531" w:type="pct"/>
            <w:shd w:val="clear" w:color="auto" w:fill="auto"/>
            <w:noWrap/>
            <w:vAlign w:val="center"/>
            <w:hideMark/>
          </w:tcPr>
          <w:p w14:paraId="582CE0CE"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13640,4</w:t>
            </w:r>
          </w:p>
        </w:tc>
        <w:tc>
          <w:tcPr>
            <w:tcW w:w="531" w:type="pct"/>
            <w:shd w:val="clear" w:color="auto" w:fill="auto"/>
            <w:noWrap/>
            <w:vAlign w:val="center"/>
            <w:hideMark/>
          </w:tcPr>
          <w:p w14:paraId="4CB91753"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12004,4</w:t>
            </w:r>
          </w:p>
        </w:tc>
      </w:tr>
      <w:tr w:rsidR="003122F4" w:rsidRPr="00545EC0" w14:paraId="16F578C0" w14:textId="77777777" w:rsidTr="00017486">
        <w:trPr>
          <w:trHeight w:val="227"/>
        </w:trPr>
        <w:tc>
          <w:tcPr>
            <w:tcW w:w="1608" w:type="pct"/>
            <w:shd w:val="clear" w:color="auto" w:fill="auto"/>
            <w:noWrap/>
            <w:vAlign w:val="center"/>
            <w:hideMark/>
          </w:tcPr>
          <w:p w14:paraId="438033AD" w14:textId="77777777" w:rsidR="00617285" w:rsidRPr="00545EC0" w:rsidRDefault="00617285" w:rsidP="0031694B">
            <w:pPr>
              <w:spacing w:before="60" w:after="60" w:line="276" w:lineRule="auto"/>
              <w:jc w:val="left"/>
              <w:rPr>
                <w:rFonts w:cs="Arial"/>
                <w:sz w:val="18"/>
                <w:szCs w:val="18"/>
              </w:rPr>
            </w:pPr>
            <w:r w:rsidRPr="00545EC0">
              <w:rPr>
                <w:rFonts w:cs="Arial"/>
                <w:sz w:val="18"/>
                <w:szCs w:val="18"/>
              </w:rPr>
              <w:t>glifosat v obliki izopropilamino soli</w:t>
            </w:r>
          </w:p>
        </w:tc>
        <w:tc>
          <w:tcPr>
            <w:tcW w:w="738" w:type="pct"/>
            <w:shd w:val="clear" w:color="auto" w:fill="auto"/>
            <w:noWrap/>
            <w:vAlign w:val="center"/>
            <w:hideMark/>
          </w:tcPr>
          <w:p w14:paraId="284B3B68"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PO</w:t>
            </w:r>
          </w:p>
        </w:tc>
        <w:tc>
          <w:tcPr>
            <w:tcW w:w="530" w:type="pct"/>
            <w:shd w:val="clear" w:color="auto" w:fill="auto"/>
            <w:noWrap/>
            <w:vAlign w:val="center"/>
            <w:hideMark/>
          </w:tcPr>
          <w:p w14:paraId="6932CA2A"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30317,3</w:t>
            </w:r>
          </w:p>
        </w:tc>
        <w:tc>
          <w:tcPr>
            <w:tcW w:w="531" w:type="pct"/>
            <w:shd w:val="clear" w:color="auto" w:fill="auto"/>
            <w:noWrap/>
            <w:vAlign w:val="center"/>
            <w:hideMark/>
          </w:tcPr>
          <w:p w14:paraId="5C828EBD"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49749,3</w:t>
            </w:r>
          </w:p>
        </w:tc>
        <w:tc>
          <w:tcPr>
            <w:tcW w:w="531" w:type="pct"/>
            <w:shd w:val="clear" w:color="auto" w:fill="auto"/>
            <w:noWrap/>
            <w:vAlign w:val="center"/>
            <w:hideMark/>
          </w:tcPr>
          <w:p w14:paraId="17AACE91"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54766,8</w:t>
            </w:r>
          </w:p>
        </w:tc>
        <w:tc>
          <w:tcPr>
            <w:tcW w:w="531" w:type="pct"/>
            <w:shd w:val="clear" w:color="auto" w:fill="auto"/>
            <w:noWrap/>
            <w:vAlign w:val="center"/>
            <w:hideMark/>
          </w:tcPr>
          <w:p w14:paraId="0EC3455B"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70349,6</w:t>
            </w:r>
          </w:p>
        </w:tc>
        <w:tc>
          <w:tcPr>
            <w:tcW w:w="531" w:type="pct"/>
            <w:shd w:val="clear" w:color="auto" w:fill="auto"/>
            <w:noWrap/>
            <w:vAlign w:val="center"/>
            <w:hideMark/>
          </w:tcPr>
          <w:p w14:paraId="74485BC5"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62214,5</w:t>
            </w:r>
          </w:p>
        </w:tc>
      </w:tr>
      <w:tr w:rsidR="003122F4" w:rsidRPr="00545EC0" w14:paraId="491EEABF" w14:textId="77777777" w:rsidTr="00017486">
        <w:trPr>
          <w:trHeight w:val="227"/>
        </w:trPr>
        <w:tc>
          <w:tcPr>
            <w:tcW w:w="1608" w:type="pct"/>
            <w:shd w:val="clear" w:color="auto" w:fill="auto"/>
            <w:noWrap/>
            <w:vAlign w:val="center"/>
            <w:hideMark/>
          </w:tcPr>
          <w:p w14:paraId="62260BAE" w14:textId="77777777" w:rsidR="00617285" w:rsidRPr="00545EC0" w:rsidRDefault="00617285" w:rsidP="0031694B">
            <w:pPr>
              <w:spacing w:before="60" w:after="60" w:line="276" w:lineRule="auto"/>
              <w:jc w:val="left"/>
              <w:rPr>
                <w:rFonts w:cs="Arial"/>
                <w:sz w:val="18"/>
                <w:szCs w:val="18"/>
              </w:rPr>
            </w:pPr>
            <w:r w:rsidRPr="00545EC0">
              <w:rPr>
                <w:rFonts w:cs="Arial"/>
                <w:sz w:val="18"/>
                <w:szCs w:val="18"/>
              </w:rPr>
              <w:t>glifosat v obliki kalijeve soli</w:t>
            </w:r>
          </w:p>
        </w:tc>
        <w:tc>
          <w:tcPr>
            <w:tcW w:w="738" w:type="pct"/>
            <w:shd w:val="clear" w:color="auto" w:fill="auto"/>
            <w:noWrap/>
            <w:vAlign w:val="center"/>
            <w:hideMark/>
          </w:tcPr>
          <w:p w14:paraId="689AF94F"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PO</w:t>
            </w:r>
          </w:p>
        </w:tc>
        <w:tc>
          <w:tcPr>
            <w:tcW w:w="530" w:type="pct"/>
            <w:shd w:val="clear" w:color="auto" w:fill="auto"/>
            <w:noWrap/>
            <w:vAlign w:val="center"/>
            <w:hideMark/>
          </w:tcPr>
          <w:p w14:paraId="1C5B4982"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193,8</w:t>
            </w:r>
          </w:p>
        </w:tc>
        <w:tc>
          <w:tcPr>
            <w:tcW w:w="531" w:type="pct"/>
            <w:shd w:val="clear" w:color="auto" w:fill="auto"/>
            <w:noWrap/>
            <w:vAlign w:val="center"/>
            <w:hideMark/>
          </w:tcPr>
          <w:p w14:paraId="751FB2BA"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2919,4</w:t>
            </w:r>
          </w:p>
        </w:tc>
        <w:tc>
          <w:tcPr>
            <w:tcW w:w="531" w:type="pct"/>
            <w:shd w:val="clear" w:color="auto" w:fill="auto"/>
            <w:noWrap/>
            <w:vAlign w:val="center"/>
            <w:hideMark/>
          </w:tcPr>
          <w:p w14:paraId="5C1873BE"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2476,2</w:t>
            </w:r>
          </w:p>
        </w:tc>
        <w:tc>
          <w:tcPr>
            <w:tcW w:w="531" w:type="pct"/>
            <w:shd w:val="clear" w:color="auto" w:fill="auto"/>
            <w:noWrap/>
            <w:vAlign w:val="center"/>
            <w:hideMark/>
          </w:tcPr>
          <w:p w14:paraId="311D28B3"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1898,8</w:t>
            </w:r>
          </w:p>
        </w:tc>
        <w:tc>
          <w:tcPr>
            <w:tcW w:w="531" w:type="pct"/>
            <w:shd w:val="clear" w:color="auto" w:fill="auto"/>
            <w:noWrap/>
            <w:vAlign w:val="center"/>
            <w:hideMark/>
          </w:tcPr>
          <w:p w14:paraId="46AF2B5A"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10142,6</w:t>
            </w:r>
          </w:p>
        </w:tc>
      </w:tr>
      <w:tr w:rsidR="003122F4" w:rsidRPr="00545EC0" w14:paraId="490E84B2" w14:textId="77777777" w:rsidTr="00017486">
        <w:trPr>
          <w:trHeight w:val="227"/>
        </w:trPr>
        <w:tc>
          <w:tcPr>
            <w:tcW w:w="1608" w:type="pct"/>
            <w:shd w:val="clear" w:color="auto" w:fill="auto"/>
            <w:noWrap/>
            <w:vAlign w:val="center"/>
            <w:hideMark/>
          </w:tcPr>
          <w:p w14:paraId="42206D11" w14:textId="77777777" w:rsidR="00617285" w:rsidRPr="00545EC0" w:rsidRDefault="00617285" w:rsidP="0031694B">
            <w:pPr>
              <w:spacing w:before="60" w:after="60" w:line="276" w:lineRule="auto"/>
              <w:jc w:val="left"/>
              <w:rPr>
                <w:rFonts w:cs="Arial"/>
                <w:sz w:val="18"/>
                <w:szCs w:val="18"/>
              </w:rPr>
            </w:pPr>
            <w:r w:rsidRPr="00545EC0">
              <w:rPr>
                <w:rFonts w:cs="Arial"/>
                <w:sz w:val="18"/>
                <w:szCs w:val="18"/>
              </w:rPr>
              <w:t>izoproturon</w:t>
            </w:r>
          </w:p>
        </w:tc>
        <w:tc>
          <w:tcPr>
            <w:tcW w:w="738" w:type="pct"/>
            <w:shd w:val="clear" w:color="auto" w:fill="auto"/>
            <w:noWrap/>
            <w:vAlign w:val="center"/>
            <w:hideMark/>
          </w:tcPr>
          <w:p w14:paraId="7104EA2F"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PS</w:t>
            </w:r>
          </w:p>
        </w:tc>
        <w:tc>
          <w:tcPr>
            <w:tcW w:w="530" w:type="pct"/>
            <w:shd w:val="clear" w:color="auto" w:fill="auto"/>
            <w:noWrap/>
            <w:vAlign w:val="center"/>
            <w:hideMark/>
          </w:tcPr>
          <w:p w14:paraId="6498F213"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w:t>
            </w:r>
          </w:p>
        </w:tc>
        <w:tc>
          <w:tcPr>
            <w:tcW w:w="531" w:type="pct"/>
            <w:shd w:val="clear" w:color="auto" w:fill="auto"/>
            <w:noWrap/>
            <w:vAlign w:val="center"/>
            <w:hideMark/>
          </w:tcPr>
          <w:p w14:paraId="5A8BBD69"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8,0</w:t>
            </w:r>
          </w:p>
        </w:tc>
        <w:tc>
          <w:tcPr>
            <w:tcW w:w="531" w:type="pct"/>
            <w:shd w:val="clear" w:color="auto" w:fill="auto"/>
            <w:noWrap/>
            <w:vAlign w:val="center"/>
            <w:hideMark/>
          </w:tcPr>
          <w:p w14:paraId="3DEE3E4F"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w:t>
            </w:r>
          </w:p>
        </w:tc>
        <w:tc>
          <w:tcPr>
            <w:tcW w:w="531" w:type="pct"/>
            <w:shd w:val="clear" w:color="auto" w:fill="auto"/>
            <w:noWrap/>
            <w:vAlign w:val="center"/>
            <w:hideMark/>
          </w:tcPr>
          <w:p w14:paraId="77D93C61"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w:t>
            </w:r>
          </w:p>
        </w:tc>
        <w:tc>
          <w:tcPr>
            <w:tcW w:w="531" w:type="pct"/>
            <w:shd w:val="clear" w:color="auto" w:fill="auto"/>
            <w:noWrap/>
            <w:vAlign w:val="center"/>
            <w:hideMark/>
          </w:tcPr>
          <w:p w14:paraId="63EE53B7"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w:t>
            </w:r>
          </w:p>
        </w:tc>
      </w:tr>
      <w:tr w:rsidR="003122F4" w:rsidRPr="00545EC0" w14:paraId="4C4BD433" w14:textId="77777777" w:rsidTr="00017486">
        <w:trPr>
          <w:trHeight w:val="227"/>
        </w:trPr>
        <w:tc>
          <w:tcPr>
            <w:tcW w:w="1608" w:type="pct"/>
            <w:shd w:val="clear" w:color="auto" w:fill="auto"/>
            <w:noWrap/>
            <w:vAlign w:val="center"/>
            <w:hideMark/>
          </w:tcPr>
          <w:p w14:paraId="4D058C1C" w14:textId="77777777" w:rsidR="00617285" w:rsidRPr="00545EC0" w:rsidRDefault="00617285" w:rsidP="0031694B">
            <w:pPr>
              <w:spacing w:before="60" w:after="60" w:line="276" w:lineRule="auto"/>
              <w:jc w:val="left"/>
              <w:rPr>
                <w:rFonts w:cs="Arial"/>
                <w:sz w:val="18"/>
                <w:szCs w:val="18"/>
              </w:rPr>
            </w:pPr>
            <w:r w:rsidRPr="00545EC0">
              <w:rPr>
                <w:rFonts w:cs="Arial"/>
                <w:sz w:val="18"/>
                <w:szCs w:val="18"/>
              </w:rPr>
              <w:t>klorotoluron</w:t>
            </w:r>
          </w:p>
        </w:tc>
        <w:tc>
          <w:tcPr>
            <w:tcW w:w="738" w:type="pct"/>
            <w:shd w:val="clear" w:color="auto" w:fill="auto"/>
            <w:noWrap/>
            <w:vAlign w:val="center"/>
            <w:hideMark/>
          </w:tcPr>
          <w:p w14:paraId="68DCFA24"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PO</w:t>
            </w:r>
          </w:p>
        </w:tc>
        <w:tc>
          <w:tcPr>
            <w:tcW w:w="530" w:type="pct"/>
            <w:shd w:val="clear" w:color="auto" w:fill="auto"/>
            <w:noWrap/>
            <w:vAlign w:val="center"/>
            <w:hideMark/>
          </w:tcPr>
          <w:p w14:paraId="00752D78"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1687,5</w:t>
            </w:r>
          </w:p>
        </w:tc>
        <w:tc>
          <w:tcPr>
            <w:tcW w:w="531" w:type="pct"/>
            <w:shd w:val="clear" w:color="auto" w:fill="auto"/>
            <w:noWrap/>
            <w:vAlign w:val="center"/>
            <w:hideMark/>
          </w:tcPr>
          <w:p w14:paraId="2A5E07C5"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1330,0</w:t>
            </w:r>
          </w:p>
        </w:tc>
        <w:tc>
          <w:tcPr>
            <w:tcW w:w="531" w:type="pct"/>
            <w:shd w:val="clear" w:color="auto" w:fill="auto"/>
            <w:noWrap/>
            <w:vAlign w:val="center"/>
            <w:hideMark/>
          </w:tcPr>
          <w:p w14:paraId="745CECBA"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1901,0</w:t>
            </w:r>
          </w:p>
        </w:tc>
        <w:tc>
          <w:tcPr>
            <w:tcW w:w="531" w:type="pct"/>
            <w:shd w:val="clear" w:color="auto" w:fill="auto"/>
            <w:noWrap/>
            <w:vAlign w:val="center"/>
            <w:hideMark/>
          </w:tcPr>
          <w:p w14:paraId="2BF290F2"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2316,8</w:t>
            </w:r>
          </w:p>
        </w:tc>
        <w:tc>
          <w:tcPr>
            <w:tcW w:w="531" w:type="pct"/>
            <w:shd w:val="clear" w:color="auto" w:fill="auto"/>
            <w:noWrap/>
            <w:vAlign w:val="center"/>
            <w:hideMark/>
          </w:tcPr>
          <w:p w14:paraId="13AF6F41"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2966,3</w:t>
            </w:r>
          </w:p>
        </w:tc>
      </w:tr>
      <w:tr w:rsidR="003122F4" w:rsidRPr="00545EC0" w14:paraId="42287D6C" w14:textId="77777777" w:rsidTr="00017486">
        <w:trPr>
          <w:trHeight w:val="227"/>
        </w:trPr>
        <w:tc>
          <w:tcPr>
            <w:tcW w:w="1608" w:type="pct"/>
            <w:shd w:val="clear" w:color="auto" w:fill="auto"/>
            <w:noWrap/>
            <w:vAlign w:val="center"/>
            <w:hideMark/>
          </w:tcPr>
          <w:p w14:paraId="14187C3A" w14:textId="77777777" w:rsidR="00617285" w:rsidRPr="00545EC0" w:rsidRDefault="00617285" w:rsidP="0031694B">
            <w:pPr>
              <w:spacing w:before="60" w:after="60" w:line="276" w:lineRule="auto"/>
              <w:jc w:val="left"/>
              <w:rPr>
                <w:rFonts w:cs="Arial"/>
                <w:sz w:val="18"/>
                <w:szCs w:val="18"/>
              </w:rPr>
            </w:pPr>
            <w:r w:rsidRPr="00545EC0">
              <w:rPr>
                <w:rFonts w:cs="Arial"/>
                <w:sz w:val="18"/>
                <w:szCs w:val="18"/>
              </w:rPr>
              <w:t>klorpirifos</w:t>
            </w:r>
          </w:p>
        </w:tc>
        <w:tc>
          <w:tcPr>
            <w:tcW w:w="738" w:type="pct"/>
            <w:shd w:val="clear" w:color="auto" w:fill="auto"/>
            <w:noWrap/>
            <w:vAlign w:val="center"/>
            <w:hideMark/>
          </w:tcPr>
          <w:p w14:paraId="0A626C6E"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PS</w:t>
            </w:r>
          </w:p>
        </w:tc>
        <w:tc>
          <w:tcPr>
            <w:tcW w:w="530" w:type="pct"/>
            <w:shd w:val="clear" w:color="auto" w:fill="auto"/>
            <w:noWrap/>
            <w:vAlign w:val="center"/>
            <w:hideMark/>
          </w:tcPr>
          <w:p w14:paraId="7CE663A4"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1913,5</w:t>
            </w:r>
          </w:p>
        </w:tc>
        <w:tc>
          <w:tcPr>
            <w:tcW w:w="531" w:type="pct"/>
            <w:shd w:val="clear" w:color="auto" w:fill="auto"/>
            <w:noWrap/>
            <w:vAlign w:val="center"/>
            <w:hideMark/>
          </w:tcPr>
          <w:p w14:paraId="2D8986D0"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1940,1</w:t>
            </w:r>
          </w:p>
        </w:tc>
        <w:tc>
          <w:tcPr>
            <w:tcW w:w="531" w:type="pct"/>
            <w:shd w:val="clear" w:color="auto" w:fill="auto"/>
            <w:noWrap/>
            <w:vAlign w:val="center"/>
            <w:hideMark/>
          </w:tcPr>
          <w:p w14:paraId="10059330"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1892,8</w:t>
            </w:r>
          </w:p>
        </w:tc>
        <w:tc>
          <w:tcPr>
            <w:tcW w:w="531" w:type="pct"/>
            <w:shd w:val="clear" w:color="auto" w:fill="auto"/>
            <w:noWrap/>
            <w:vAlign w:val="center"/>
            <w:hideMark/>
          </w:tcPr>
          <w:p w14:paraId="40EC3FB3"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421,6</w:t>
            </w:r>
          </w:p>
        </w:tc>
        <w:tc>
          <w:tcPr>
            <w:tcW w:w="531" w:type="pct"/>
            <w:shd w:val="clear" w:color="auto" w:fill="auto"/>
            <w:noWrap/>
            <w:vAlign w:val="center"/>
            <w:hideMark/>
          </w:tcPr>
          <w:p w14:paraId="425496C3"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w:t>
            </w:r>
          </w:p>
        </w:tc>
      </w:tr>
      <w:tr w:rsidR="003122F4" w:rsidRPr="00545EC0" w14:paraId="2CDBDFD0" w14:textId="77777777" w:rsidTr="00017486">
        <w:trPr>
          <w:trHeight w:val="227"/>
        </w:trPr>
        <w:tc>
          <w:tcPr>
            <w:tcW w:w="1608" w:type="pct"/>
            <w:shd w:val="clear" w:color="auto" w:fill="auto"/>
            <w:noWrap/>
            <w:vAlign w:val="center"/>
            <w:hideMark/>
          </w:tcPr>
          <w:p w14:paraId="2660761F" w14:textId="77777777" w:rsidR="00617285" w:rsidRPr="00545EC0" w:rsidRDefault="00617285" w:rsidP="0031694B">
            <w:pPr>
              <w:spacing w:before="60" w:after="60" w:line="276" w:lineRule="auto"/>
              <w:jc w:val="left"/>
              <w:rPr>
                <w:rFonts w:cs="Arial"/>
                <w:sz w:val="18"/>
                <w:szCs w:val="18"/>
              </w:rPr>
            </w:pPr>
            <w:r w:rsidRPr="00545EC0">
              <w:rPr>
                <w:rFonts w:cs="Arial"/>
                <w:sz w:val="18"/>
                <w:szCs w:val="18"/>
              </w:rPr>
              <w:t>pendimetalin</w:t>
            </w:r>
          </w:p>
        </w:tc>
        <w:tc>
          <w:tcPr>
            <w:tcW w:w="738" w:type="pct"/>
            <w:shd w:val="clear" w:color="auto" w:fill="auto"/>
            <w:noWrap/>
            <w:vAlign w:val="center"/>
            <w:hideMark/>
          </w:tcPr>
          <w:p w14:paraId="5DA04D97"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PO</w:t>
            </w:r>
          </w:p>
        </w:tc>
        <w:tc>
          <w:tcPr>
            <w:tcW w:w="530" w:type="pct"/>
            <w:shd w:val="clear" w:color="auto" w:fill="auto"/>
            <w:noWrap/>
            <w:vAlign w:val="center"/>
            <w:hideMark/>
          </w:tcPr>
          <w:p w14:paraId="69CD7AE3"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6082,3</w:t>
            </w:r>
          </w:p>
        </w:tc>
        <w:tc>
          <w:tcPr>
            <w:tcW w:w="531" w:type="pct"/>
            <w:shd w:val="clear" w:color="auto" w:fill="auto"/>
            <w:noWrap/>
            <w:vAlign w:val="center"/>
            <w:hideMark/>
          </w:tcPr>
          <w:p w14:paraId="0AF038ED"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5603,3</w:t>
            </w:r>
          </w:p>
        </w:tc>
        <w:tc>
          <w:tcPr>
            <w:tcW w:w="531" w:type="pct"/>
            <w:shd w:val="clear" w:color="auto" w:fill="auto"/>
            <w:noWrap/>
            <w:vAlign w:val="center"/>
            <w:hideMark/>
          </w:tcPr>
          <w:p w14:paraId="3CC48323"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8930,8</w:t>
            </w:r>
          </w:p>
        </w:tc>
        <w:tc>
          <w:tcPr>
            <w:tcW w:w="531" w:type="pct"/>
            <w:shd w:val="clear" w:color="auto" w:fill="auto"/>
            <w:noWrap/>
            <w:vAlign w:val="center"/>
            <w:hideMark/>
          </w:tcPr>
          <w:p w14:paraId="59E7A18B"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19165,1</w:t>
            </w:r>
          </w:p>
        </w:tc>
        <w:tc>
          <w:tcPr>
            <w:tcW w:w="531" w:type="pct"/>
            <w:shd w:val="clear" w:color="auto" w:fill="auto"/>
            <w:noWrap/>
            <w:vAlign w:val="center"/>
            <w:hideMark/>
          </w:tcPr>
          <w:p w14:paraId="262D2472"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16172,1</w:t>
            </w:r>
          </w:p>
        </w:tc>
      </w:tr>
      <w:tr w:rsidR="003122F4" w:rsidRPr="00545EC0" w14:paraId="4ABCE94D" w14:textId="77777777" w:rsidTr="00017486">
        <w:trPr>
          <w:trHeight w:val="227"/>
        </w:trPr>
        <w:tc>
          <w:tcPr>
            <w:tcW w:w="1608" w:type="pct"/>
            <w:shd w:val="clear" w:color="auto" w:fill="auto"/>
            <w:noWrap/>
            <w:vAlign w:val="center"/>
            <w:hideMark/>
          </w:tcPr>
          <w:p w14:paraId="0A260376" w14:textId="77777777" w:rsidR="00617285" w:rsidRPr="00545EC0" w:rsidRDefault="00617285" w:rsidP="0031694B">
            <w:pPr>
              <w:spacing w:before="60" w:after="60" w:line="276" w:lineRule="auto"/>
              <w:jc w:val="left"/>
              <w:rPr>
                <w:rFonts w:cs="Arial"/>
                <w:sz w:val="18"/>
                <w:szCs w:val="18"/>
              </w:rPr>
            </w:pPr>
            <w:r w:rsidRPr="00545EC0">
              <w:rPr>
                <w:rFonts w:cs="Arial"/>
                <w:sz w:val="18"/>
                <w:szCs w:val="18"/>
              </w:rPr>
              <w:t>S-metolaklor</w:t>
            </w:r>
          </w:p>
        </w:tc>
        <w:tc>
          <w:tcPr>
            <w:tcW w:w="738" w:type="pct"/>
            <w:shd w:val="clear" w:color="auto" w:fill="auto"/>
            <w:noWrap/>
            <w:vAlign w:val="center"/>
            <w:hideMark/>
          </w:tcPr>
          <w:p w14:paraId="6F5F719F"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PO</w:t>
            </w:r>
          </w:p>
        </w:tc>
        <w:tc>
          <w:tcPr>
            <w:tcW w:w="530" w:type="pct"/>
            <w:shd w:val="clear" w:color="auto" w:fill="auto"/>
            <w:noWrap/>
            <w:vAlign w:val="center"/>
            <w:hideMark/>
          </w:tcPr>
          <w:p w14:paraId="3B96E3F6"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69658,6</w:t>
            </w:r>
          </w:p>
        </w:tc>
        <w:tc>
          <w:tcPr>
            <w:tcW w:w="531" w:type="pct"/>
            <w:shd w:val="clear" w:color="auto" w:fill="auto"/>
            <w:noWrap/>
            <w:vAlign w:val="center"/>
            <w:hideMark/>
          </w:tcPr>
          <w:p w14:paraId="26B4304E"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67251,7</w:t>
            </w:r>
          </w:p>
        </w:tc>
        <w:tc>
          <w:tcPr>
            <w:tcW w:w="531" w:type="pct"/>
            <w:shd w:val="clear" w:color="auto" w:fill="auto"/>
            <w:noWrap/>
            <w:vAlign w:val="center"/>
            <w:hideMark/>
          </w:tcPr>
          <w:p w14:paraId="69ADF54D"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43949,0</w:t>
            </w:r>
          </w:p>
        </w:tc>
        <w:tc>
          <w:tcPr>
            <w:tcW w:w="531" w:type="pct"/>
            <w:shd w:val="clear" w:color="auto" w:fill="auto"/>
            <w:noWrap/>
            <w:vAlign w:val="center"/>
            <w:hideMark/>
          </w:tcPr>
          <w:p w14:paraId="51A88A6D"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38349,8</w:t>
            </w:r>
          </w:p>
        </w:tc>
        <w:tc>
          <w:tcPr>
            <w:tcW w:w="531" w:type="pct"/>
            <w:shd w:val="clear" w:color="auto" w:fill="auto"/>
            <w:noWrap/>
            <w:vAlign w:val="center"/>
            <w:hideMark/>
          </w:tcPr>
          <w:p w14:paraId="49D35050"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39086,3</w:t>
            </w:r>
          </w:p>
        </w:tc>
      </w:tr>
      <w:tr w:rsidR="003122F4" w:rsidRPr="00545EC0" w14:paraId="0E2C3733" w14:textId="77777777" w:rsidTr="00017486">
        <w:trPr>
          <w:trHeight w:val="227"/>
        </w:trPr>
        <w:tc>
          <w:tcPr>
            <w:tcW w:w="1608" w:type="pct"/>
            <w:shd w:val="clear" w:color="auto" w:fill="auto"/>
            <w:noWrap/>
            <w:vAlign w:val="center"/>
            <w:hideMark/>
          </w:tcPr>
          <w:p w14:paraId="4C4EF973" w14:textId="77777777" w:rsidR="00617285" w:rsidRPr="00545EC0" w:rsidRDefault="00617285" w:rsidP="0031694B">
            <w:pPr>
              <w:spacing w:before="60" w:after="60" w:line="276" w:lineRule="auto"/>
              <w:jc w:val="left"/>
              <w:rPr>
                <w:rFonts w:cs="Arial"/>
                <w:sz w:val="18"/>
                <w:szCs w:val="18"/>
              </w:rPr>
            </w:pPr>
            <w:r w:rsidRPr="00545EC0">
              <w:rPr>
                <w:rFonts w:cs="Arial"/>
                <w:sz w:val="18"/>
                <w:szCs w:val="18"/>
              </w:rPr>
              <w:t>terbutilazin</w:t>
            </w:r>
          </w:p>
        </w:tc>
        <w:tc>
          <w:tcPr>
            <w:tcW w:w="738" w:type="pct"/>
            <w:shd w:val="clear" w:color="auto" w:fill="auto"/>
            <w:noWrap/>
            <w:vAlign w:val="center"/>
            <w:hideMark/>
          </w:tcPr>
          <w:p w14:paraId="0CC49FC0"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PO</w:t>
            </w:r>
          </w:p>
        </w:tc>
        <w:tc>
          <w:tcPr>
            <w:tcW w:w="530" w:type="pct"/>
            <w:shd w:val="clear" w:color="auto" w:fill="auto"/>
            <w:noWrap/>
            <w:vAlign w:val="center"/>
            <w:hideMark/>
          </w:tcPr>
          <w:p w14:paraId="6E313C99"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21908,3</w:t>
            </w:r>
          </w:p>
        </w:tc>
        <w:tc>
          <w:tcPr>
            <w:tcW w:w="531" w:type="pct"/>
            <w:shd w:val="clear" w:color="auto" w:fill="auto"/>
            <w:noWrap/>
            <w:vAlign w:val="center"/>
            <w:hideMark/>
          </w:tcPr>
          <w:p w14:paraId="71EEAE18"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21099,5</w:t>
            </w:r>
          </w:p>
        </w:tc>
        <w:tc>
          <w:tcPr>
            <w:tcW w:w="531" w:type="pct"/>
            <w:shd w:val="clear" w:color="auto" w:fill="auto"/>
            <w:noWrap/>
            <w:vAlign w:val="center"/>
            <w:hideMark/>
          </w:tcPr>
          <w:p w14:paraId="6C99B9F0"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15371,9</w:t>
            </w:r>
          </w:p>
        </w:tc>
        <w:tc>
          <w:tcPr>
            <w:tcW w:w="531" w:type="pct"/>
            <w:shd w:val="clear" w:color="auto" w:fill="auto"/>
            <w:noWrap/>
            <w:vAlign w:val="center"/>
            <w:hideMark/>
          </w:tcPr>
          <w:p w14:paraId="607F29B1"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11713,1</w:t>
            </w:r>
          </w:p>
        </w:tc>
        <w:tc>
          <w:tcPr>
            <w:tcW w:w="531" w:type="pct"/>
            <w:shd w:val="clear" w:color="auto" w:fill="auto"/>
            <w:noWrap/>
            <w:vAlign w:val="center"/>
            <w:hideMark/>
          </w:tcPr>
          <w:p w14:paraId="096F4EBC" w14:textId="77777777" w:rsidR="00617285" w:rsidRPr="00545EC0" w:rsidRDefault="00617285" w:rsidP="0031694B">
            <w:pPr>
              <w:spacing w:before="60" w:after="60" w:line="276" w:lineRule="auto"/>
              <w:jc w:val="center"/>
              <w:rPr>
                <w:rFonts w:cs="Arial"/>
                <w:sz w:val="18"/>
                <w:szCs w:val="18"/>
              </w:rPr>
            </w:pPr>
            <w:r w:rsidRPr="00545EC0">
              <w:rPr>
                <w:rFonts w:cs="Arial"/>
                <w:sz w:val="18"/>
                <w:szCs w:val="18"/>
              </w:rPr>
              <w:t>11926,4</w:t>
            </w:r>
          </w:p>
        </w:tc>
      </w:tr>
    </w:tbl>
    <w:p w14:paraId="514E5C25" w14:textId="77777777" w:rsidR="00617285" w:rsidRPr="00545EC0" w:rsidRDefault="00617285" w:rsidP="00AD4FE7">
      <w:pPr>
        <w:tabs>
          <w:tab w:val="num" w:pos="567"/>
          <w:tab w:val="left" w:pos="9600"/>
        </w:tabs>
        <w:rPr>
          <w:rFonts w:cs="Arial"/>
          <w:i/>
          <w:iCs/>
          <w:sz w:val="18"/>
          <w:szCs w:val="14"/>
        </w:rPr>
      </w:pPr>
      <w:r w:rsidRPr="00545EC0">
        <w:rPr>
          <w:rFonts w:cs="Arial"/>
          <w:i/>
          <w:iCs/>
          <w:sz w:val="18"/>
          <w:szCs w:val="14"/>
        </w:rPr>
        <w:t>Legenda: PS – prednostna snov, PNS – prednostno nevarna snov, PO – posebno onesnaževalo</w:t>
      </w:r>
    </w:p>
    <w:p w14:paraId="4631CF42" w14:textId="77777777" w:rsidR="00617285" w:rsidRPr="00545EC0" w:rsidRDefault="00617285" w:rsidP="00AD4FE7">
      <w:pPr>
        <w:tabs>
          <w:tab w:val="num" w:pos="567"/>
          <w:tab w:val="left" w:pos="9600"/>
        </w:tabs>
        <w:rPr>
          <w:rFonts w:cs="Arial"/>
        </w:rPr>
      </w:pPr>
    </w:p>
    <w:p w14:paraId="7FE8EC51" w14:textId="15C6B880" w:rsidR="00617285" w:rsidRPr="00545EC0" w:rsidRDefault="00617285" w:rsidP="00AD4FE7">
      <w:pPr>
        <w:tabs>
          <w:tab w:val="num" w:pos="567"/>
          <w:tab w:val="left" w:pos="9600"/>
        </w:tabs>
        <w:rPr>
          <w:rFonts w:cs="Arial"/>
        </w:rPr>
      </w:pPr>
      <w:r w:rsidRPr="00545EC0">
        <w:rPr>
          <w:rFonts w:cs="Arial"/>
        </w:rPr>
        <w:t xml:space="preserve">Podatki o prodaji fitofarmacevtskih snovi kažejo, da so se na območju Slovenije v obdobju od 2013 do 2017 uporabljala fitofarmacevtska sredstva, ki so vsebovala aktivne snovi cipermetrin, ki se uvršča </w:t>
      </w:r>
      <w:r w:rsidRPr="00545EC0">
        <w:rPr>
          <w:rFonts w:cs="Arial"/>
        </w:rPr>
        <w:lastRenderedPageBreak/>
        <w:t xml:space="preserve">med prednostne snovi, kvinoksifen, ki se uvršča med prednostno nevarne snovi ter fitofarmacevtska sredstva, ki so vsebovala aktivne snovi glifost, izoproturon, klortoluron, klorpirifos, pendimetalin, S-metolaklor in  </w:t>
      </w:r>
      <w:r w:rsidRPr="00545EC0">
        <w:rPr>
          <w:rFonts w:cs="Arial"/>
          <w:szCs w:val="20"/>
        </w:rPr>
        <w:t>terbutilazin, ki se uvrščajo med posebna onesnaževala.</w:t>
      </w:r>
    </w:p>
    <w:p w14:paraId="25BEDB5C" w14:textId="77777777" w:rsidR="00617285" w:rsidRPr="00545EC0" w:rsidRDefault="00617285" w:rsidP="00AD4FE7">
      <w:pPr>
        <w:tabs>
          <w:tab w:val="num" w:pos="567"/>
          <w:tab w:val="left" w:pos="9600"/>
        </w:tabs>
        <w:rPr>
          <w:rFonts w:cs="Arial"/>
        </w:rPr>
      </w:pPr>
    </w:p>
    <w:p w14:paraId="25F21C89" w14:textId="03A0C0F3" w:rsidR="00617285" w:rsidRPr="00545EC0" w:rsidRDefault="00617285" w:rsidP="00AD4FE7">
      <w:pPr>
        <w:tabs>
          <w:tab w:val="num" w:pos="567"/>
          <w:tab w:val="left" w:pos="9600"/>
        </w:tabs>
        <w:rPr>
          <w:rFonts w:cs="Arial"/>
          <w:szCs w:val="20"/>
        </w:rPr>
      </w:pPr>
      <w:r w:rsidRPr="00545EC0">
        <w:rPr>
          <w:rFonts w:cs="Arial"/>
        </w:rPr>
        <w:t xml:space="preserve">Na podlagi prodaje aktivnih snovi ocen obremenjevanja vodnih teles površinskih voda ni mogoče podati z dovolj veliko stopnjo zanesljivosti, saj podatki ne izhajajo iz dejanske porabe fitofarmacevtskih sredstev. </w:t>
      </w:r>
      <w:r w:rsidRPr="00545EC0">
        <w:rPr>
          <w:rFonts w:cs="Arial"/>
          <w:szCs w:val="20"/>
        </w:rPr>
        <w:t xml:space="preserve">Glede na navedeno se ocenjuje, da podatki o rabi zemljišč predstavljajo bolj zanesljivo podlago za opredelitev pomembnih obremenitev zaradi razpršenega onesnaževanja s fitofarmacevtskimi sredstvi iz kmetijstva, pri čemer je onesnaževanje s fitofarmacevtskimi sredstvi iz kmetijstva na posameznem vodnem telesu prepoznano kot pomembna obremenitev, če ustreza </w:t>
      </w:r>
      <w:r w:rsidR="00080908" w:rsidRPr="00545EC0">
        <w:rPr>
          <w:rFonts w:cs="Arial"/>
          <w:szCs w:val="20"/>
        </w:rPr>
        <w:t xml:space="preserve">merilom določenim v predhodnem načrtu upravljanja voda na podlagi </w:t>
      </w:r>
      <w:r w:rsidR="00080908" w:rsidRPr="00545EC0">
        <w:rPr>
          <w:rFonts w:cs="Arial"/>
        </w:rPr>
        <w:t xml:space="preserve">povezanosti/soodvisnosti med izračuni obremenitev na vodnih telesih površinskih voda in rezultati državnega monitoringa stanja površinskih voda, pri čemer se upoštevajo pogoji </w:t>
      </w:r>
      <w:r w:rsidRPr="00545EC0">
        <w:rPr>
          <w:rFonts w:cs="Arial"/>
          <w:szCs w:val="20"/>
        </w:rPr>
        <w:t xml:space="preserve">da je: </w:t>
      </w:r>
    </w:p>
    <w:p w14:paraId="543D6B84" w14:textId="77777777" w:rsidR="00617285" w:rsidRPr="00545EC0" w:rsidRDefault="00617285" w:rsidP="00DD37C5">
      <w:pPr>
        <w:numPr>
          <w:ilvl w:val="0"/>
          <w:numId w:val="42"/>
        </w:numPr>
        <w:tabs>
          <w:tab w:val="center" w:pos="426"/>
        </w:tabs>
        <w:ind w:left="426" w:hanging="426"/>
        <w:rPr>
          <w:rFonts w:cs="Arial"/>
        </w:rPr>
      </w:pPr>
      <w:r w:rsidRPr="00545EC0">
        <w:rPr>
          <w:rFonts w:cs="Arial"/>
        </w:rPr>
        <w:t>delež kmetijskih površin z intenzivnim kmetijstvom na celotni prispevni površini vodnega telesa površinskih voda večji od 27 % ali</w:t>
      </w:r>
    </w:p>
    <w:p w14:paraId="53528630" w14:textId="77777777" w:rsidR="00617285" w:rsidRPr="00545EC0" w:rsidRDefault="00617285" w:rsidP="00DD37C5">
      <w:pPr>
        <w:numPr>
          <w:ilvl w:val="0"/>
          <w:numId w:val="42"/>
        </w:numPr>
        <w:tabs>
          <w:tab w:val="center" w:pos="426"/>
        </w:tabs>
        <w:ind w:left="426" w:hanging="426"/>
        <w:rPr>
          <w:rFonts w:cs="Arial"/>
        </w:rPr>
      </w:pPr>
      <w:r w:rsidRPr="00545EC0">
        <w:rPr>
          <w:rFonts w:cs="Arial"/>
        </w:rPr>
        <w:t>delež površin, na katerih je v skladu s predpisom, ki ureja evidenco dejanske rabe kmetijskih in gozdnih zemljišč, opredeljena skupina dejanske rabe njiva in vrtovi, na neposredni prispevni površini vodnega telesa površinskih voda večji od 16 % ali</w:t>
      </w:r>
    </w:p>
    <w:p w14:paraId="1FF2B41C" w14:textId="77777777" w:rsidR="00617285" w:rsidRPr="00545EC0" w:rsidRDefault="00617285" w:rsidP="00DD37C5">
      <w:pPr>
        <w:numPr>
          <w:ilvl w:val="0"/>
          <w:numId w:val="42"/>
        </w:numPr>
        <w:tabs>
          <w:tab w:val="center" w:pos="426"/>
        </w:tabs>
        <w:ind w:left="426" w:hanging="426"/>
        <w:rPr>
          <w:rFonts w:cs="Arial"/>
        </w:rPr>
      </w:pPr>
      <w:r w:rsidRPr="00545EC0">
        <w:rPr>
          <w:rFonts w:cs="Arial"/>
        </w:rPr>
        <w:t>delež površin, na katerih je v skladu s predpisom, ki ureja evidenco dejanske rabe kmetijskih in gozdnih zemljišč, opredeljena skupina dejanske rabe njiva in vrtovi, na celotni prispevni površini vodnega telesa večji od 18 %.</w:t>
      </w:r>
    </w:p>
    <w:p w14:paraId="3CF45364" w14:textId="77777777" w:rsidR="00617285" w:rsidRPr="00545EC0" w:rsidRDefault="00617285" w:rsidP="00AD4FE7">
      <w:pPr>
        <w:rPr>
          <w:lang w:eastAsia="x-none"/>
        </w:rPr>
      </w:pPr>
    </w:p>
    <w:p w14:paraId="3DEC50A6" w14:textId="3397FF3D" w:rsidR="00EE5E77" w:rsidRPr="00545EC0" w:rsidRDefault="00617285" w:rsidP="00AD4FE7">
      <w:pPr>
        <w:rPr>
          <w:rFonts w:cs="Arial"/>
          <w:szCs w:val="20"/>
        </w:rPr>
      </w:pPr>
      <w:r w:rsidRPr="00545EC0">
        <w:rPr>
          <w:rFonts w:cs="Arial"/>
          <w:szCs w:val="20"/>
        </w:rPr>
        <w:t xml:space="preserve">Razpršeno onesnaževanje s fitofarmacevtskimi sredstvi iz kmetijstva je na VO Donave ugotovljeno kot pomembna obremenitev na 43 vodnih telesih površinskih voda, in sicer na 14 vodnih telesih površinskih voda na porečju Mure, na 12 vodnih telesih površinskih voda na porečju Drave in na 17 vodnih telesih površinskih voda na porečju Save. </w:t>
      </w:r>
    </w:p>
    <w:p w14:paraId="692792FC" w14:textId="2E3EC6DB" w:rsidR="0025492B" w:rsidRPr="00545EC0" w:rsidRDefault="0025492B" w:rsidP="00AD4FE7">
      <w:pPr>
        <w:rPr>
          <w:rFonts w:cs="Arial"/>
          <w:szCs w:val="20"/>
        </w:rPr>
      </w:pPr>
    </w:p>
    <w:p w14:paraId="23FCCAAF" w14:textId="77777777" w:rsidR="0025492B" w:rsidRPr="00545EC0" w:rsidRDefault="0025492B" w:rsidP="0025492B">
      <w:pPr>
        <w:rPr>
          <w:b/>
          <w:i/>
        </w:rPr>
      </w:pPr>
      <w:r w:rsidRPr="00545EC0">
        <w:rPr>
          <w:b/>
          <w:i/>
        </w:rPr>
        <w:t>Prikaz obremenitev vodnih teles podzemnih voda</w:t>
      </w:r>
    </w:p>
    <w:p w14:paraId="33F86DB2" w14:textId="77777777" w:rsidR="0025492B" w:rsidRPr="00545EC0" w:rsidRDefault="0025492B" w:rsidP="0025492B">
      <w:pPr>
        <w:rPr>
          <w:rFonts w:cs="Arial"/>
          <w:szCs w:val="20"/>
        </w:rPr>
      </w:pPr>
    </w:p>
    <w:p w14:paraId="5C952280" w14:textId="4916D177" w:rsidR="0025492B" w:rsidRPr="00545EC0" w:rsidRDefault="00C12042" w:rsidP="0025492B">
      <w:pPr>
        <w:rPr>
          <w:rFonts w:cs="Arial"/>
        </w:rPr>
      </w:pPr>
      <w:r w:rsidRPr="00545EC0">
        <w:rPr>
          <w:rFonts w:cs="Arial"/>
        </w:rPr>
        <w:t>Razpršene</w:t>
      </w:r>
      <w:r w:rsidR="0025492B" w:rsidRPr="00545EC0">
        <w:rPr>
          <w:rFonts w:cs="Arial"/>
        </w:rPr>
        <w:t xml:space="preserve"> obremenitve s fitofarmacevstkimi sredstvi so obravnavane na podlagi kombinacije podatkov o prodaji aktivnih snovi na območju Slovenije v obdobju 2017 do 2019 in na podlagi podatkov državnega monitoringa stanja podzemnih voda. </w:t>
      </w:r>
    </w:p>
    <w:p w14:paraId="6059645C" w14:textId="70CE07BF" w:rsidR="0025492B" w:rsidRPr="00545EC0" w:rsidRDefault="00C12042" w:rsidP="0025492B">
      <w:pPr>
        <w:spacing w:before="120" w:after="120"/>
        <w:rPr>
          <w:rFonts w:cstheme="minorHAnsi"/>
        </w:rPr>
      </w:pPr>
      <w:r w:rsidRPr="00545EC0">
        <w:rPr>
          <w:rFonts w:cstheme="minorHAnsi"/>
        </w:rPr>
        <w:t>V spodnji preglednici (</w:t>
      </w:r>
      <w:r w:rsidRPr="00545EC0">
        <w:rPr>
          <w:rFonts w:cstheme="minorHAnsi"/>
        </w:rPr>
        <w:fldChar w:fldCharType="begin"/>
      </w:r>
      <w:r w:rsidRPr="00545EC0">
        <w:rPr>
          <w:rFonts w:cstheme="minorHAnsi"/>
        </w:rPr>
        <w:instrText xml:space="preserve"> REF _Ref84459181 \h  \* MERGEFORMAT </w:instrText>
      </w:r>
      <w:r w:rsidRPr="00545EC0">
        <w:rPr>
          <w:rFonts w:cstheme="minorHAnsi"/>
        </w:rPr>
      </w:r>
      <w:r w:rsidRPr="00545EC0">
        <w:rPr>
          <w:rFonts w:cstheme="minorHAnsi"/>
        </w:rPr>
        <w:fldChar w:fldCharType="separate"/>
      </w:r>
      <w:r w:rsidR="002F3E43" w:rsidRPr="00545EC0">
        <w:t xml:space="preserve">Preglednica </w:t>
      </w:r>
      <w:r w:rsidR="002F3E43">
        <w:rPr>
          <w:noProof/>
        </w:rPr>
        <w:t>2</w:t>
      </w:r>
      <w:r w:rsidR="002F3E43" w:rsidRPr="00545EC0">
        <w:rPr>
          <w:noProof/>
        </w:rPr>
        <w:noBreakHyphen/>
      </w:r>
      <w:r w:rsidR="002F3E43">
        <w:rPr>
          <w:noProof/>
        </w:rPr>
        <w:t>16</w:t>
      </w:r>
      <w:r w:rsidRPr="00545EC0">
        <w:rPr>
          <w:rFonts w:cstheme="minorHAnsi"/>
        </w:rPr>
        <w:fldChar w:fldCharType="end"/>
      </w:r>
      <w:r w:rsidRPr="00545EC0">
        <w:rPr>
          <w:rFonts w:cstheme="minorHAnsi"/>
        </w:rPr>
        <w:t>) so za parametre, ki so določeni v predpisu</w:t>
      </w:r>
      <w:r w:rsidR="00522A02" w:rsidRPr="00545EC0">
        <w:rPr>
          <w:rFonts w:cstheme="minorHAnsi"/>
        </w:rPr>
        <w:t>,</w:t>
      </w:r>
      <w:r w:rsidRPr="00545EC0">
        <w:rPr>
          <w:rFonts w:cstheme="minorHAnsi"/>
        </w:rPr>
        <w:t xml:space="preserve"> ki ureja stanje podzemnih voda, in za katere se na podlagi podatkov državnega monitoringa stanja podzemnih voda v obdobju 2017</w:t>
      </w:r>
      <w:r w:rsidR="00080908" w:rsidRPr="00545EC0">
        <w:rPr>
          <w:rFonts w:cstheme="minorHAnsi"/>
        </w:rPr>
        <w:t xml:space="preserve">– </w:t>
      </w:r>
      <w:r w:rsidRPr="00545EC0">
        <w:rPr>
          <w:rFonts w:cstheme="minorHAnsi"/>
        </w:rPr>
        <w:t xml:space="preserve">2019 ugotavlja prisotnost v podzemni vodi, podane količine prodanih aktivnih snovi. </w:t>
      </w:r>
    </w:p>
    <w:p w14:paraId="606C11C9" w14:textId="681823C1" w:rsidR="0025492B" w:rsidRPr="00545EC0" w:rsidRDefault="0025492B" w:rsidP="0025492B">
      <w:pPr>
        <w:spacing w:before="120" w:after="120"/>
        <w:rPr>
          <w:rFonts w:cstheme="minorHAnsi"/>
        </w:rPr>
      </w:pPr>
      <w:r w:rsidRPr="00545EC0">
        <w:rPr>
          <w:rFonts w:cstheme="minorHAnsi"/>
        </w:rPr>
        <w:t>V podzemni vodi je na podlagi podatkov državnega monitoringa podzemnih voda ugotovljena tudi prisotnost posameznih aktivnih snovi</w:t>
      </w:r>
      <w:r w:rsidR="00D40418" w:rsidRPr="00545EC0">
        <w:rPr>
          <w:rFonts w:cstheme="minorHAnsi"/>
        </w:rPr>
        <w:t>, ki se uvrščajo med aktivne snovi, ki so prepovedane na najožjih vodovarstvenih območjih kakor tudi snovi, ki so se uporabljale v preteklosti in</w:t>
      </w:r>
      <w:r w:rsidRPr="00545EC0">
        <w:rPr>
          <w:rFonts w:cstheme="minorHAnsi"/>
        </w:rPr>
        <w:t xml:space="preserve"> za katere v Sloveniji uporaba ni </w:t>
      </w:r>
      <w:r w:rsidR="00D40418" w:rsidRPr="00545EC0">
        <w:rPr>
          <w:rFonts w:cstheme="minorHAnsi"/>
        </w:rPr>
        <w:t xml:space="preserve">več </w:t>
      </w:r>
      <w:r w:rsidRPr="00545EC0">
        <w:rPr>
          <w:rFonts w:cstheme="minorHAnsi"/>
        </w:rPr>
        <w:t>dovoljena (na primer atrazin in njegov razpadni produkt desetil-atrazin, simazin in prometrin). Navedene aktivne snovi so v podzemni vodi lahko prisotne</w:t>
      </w:r>
      <w:r w:rsidR="00C46166" w:rsidRPr="00545EC0">
        <w:rPr>
          <w:rFonts w:cstheme="minorHAnsi"/>
        </w:rPr>
        <w:t xml:space="preserve"> kljub prepovedi njihove uporabe</w:t>
      </w:r>
      <w:r w:rsidRPr="00545EC0">
        <w:rPr>
          <w:rFonts w:cstheme="minorHAnsi"/>
        </w:rPr>
        <w:t xml:space="preserve"> </w:t>
      </w:r>
      <w:r w:rsidR="00C46166" w:rsidRPr="00545EC0">
        <w:rPr>
          <w:rFonts w:cstheme="minorHAnsi"/>
        </w:rPr>
        <w:t>zaradi njihovega objašanja v tleh in v podzemni vodi in zaradi lastnosti snovi (na primer prisotnosti atrazina in njegovih razgradnih produktov v podzemni vodi je posledica obnašanja snovi v anaerobnih pogojih, to je v območjih brez prisotnosti kisika).</w:t>
      </w:r>
      <w:r w:rsidRPr="00545EC0">
        <w:rPr>
          <w:rFonts w:cstheme="minorHAnsi"/>
        </w:rPr>
        <w:t xml:space="preserve"> </w:t>
      </w:r>
    </w:p>
    <w:p w14:paraId="2CF3293B" w14:textId="488664CE" w:rsidR="0025492B" w:rsidRPr="00545EC0" w:rsidRDefault="0025492B" w:rsidP="0025492B">
      <w:pPr>
        <w:pStyle w:val="Napis"/>
        <w:rPr>
          <w:rFonts w:cstheme="minorHAnsi"/>
          <w:b/>
          <w:i/>
        </w:rPr>
      </w:pPr>
      <w:bookmarkStart w:id="164" w:name="_Ref84459181"/>
      <w:bookmarkStart w:id="165" w:name="_Toc60896600"/>
      <w:bookmarkStart w:id="166" w:name="_Toc71784475"/>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16</w:t>
        </w:r>
      </w:fldSimple>
      <w:bookmarkEnd w:id="164"/>
      <w:r w:rsidRPr="00545EC0">
        <w:t xml:space="preserve">: </w:t>
      </w:r>
      <w:r w:rsidRPr="00545EC0">
        <w:rPr>
          <w:iCs/>
        </w:rPr>
        <w:t>Količina prodanih aktivnih snovi, ki jih zaznavamo v podzemni vodi</w:t>
      </w:r>
      <w:r w:rsidR="005A3A77" w:rsidRPr="00545EC0">
        <w:rPr>
          <w:iCs/>
        </w:rPr>
        <w:t>, po letih</w:t>
      </w:r>
      <w:r w:rsidRPr="00545EC0">
        <w:rPr>
          <w:iCs/>
        </w:rPr>
        <w:t xml:space="preserve"> </w:t>
      </w:r>
      <w:r w:rsidRPr="00545EC0">
        <w:rPr>
          <w:bCs w:val="0"/>
          <w:iCs/>
        </w:rPr>
        <w:t>(</w:t>
      </w:r>
      <w:r w:rsidRPr="00545EC0">
        <w:rPr>
          <w:iCs/>
        </w:rPr>
        <w:t>v t/leto</w:t>
      </w:r>
      <w:bookmarkEnd w:id="165"/>
      <w:bookmarkEnd w:id="166"/>
      <w:r w:rsidRPr="00545EC0">
        <w:rPr>
          <w:bCs w:val="0"/>
          <w:iCs/>
        </w:rPr>
        <w:t>)</w:t>
      </w:r>
    </w:p>
    <w:tbl>
      <w:tblPr>
        <w:tblStyle w:val="Tabelamrea1"/>
        <w:tblW w:w="0" w:type="auto"/>
        <w:tblLook w:val="04A0" w:firstRow="1" w:lastRow="0" w:firstColumn="1" w:lastColumn="0" w:noHBand="0" w:noVBand="1"/>
      </w:tblPr>
      <w:tblGrid>
        <w:gridCol w:w="1502"/>
        <w:gridCol w:w="1502"/>
        <w:gridCol w:w="1503"/>
        <w:gridCol w:w="1503"/>
        <w:gridCol w:w="1503"/>
        <w:gridCol w:w="1503"/>
      </w:tblGrid>
      <w:tr w:rsidR="003122F4" w:rsidRPr="00545EC0" w14:paraId="6E5291FD" w14:textId="77777777" w:rsidTr="00870B16">
        <w:tc>
          <w:tcPr>
            <w:tcW w:w="1502" w:type="dxa"/>
            <w:shd w:val="clear" w:color="auto" w:fill="D9D9D9" w:themeFill="background1" w:themeFillShade="D9"/>
          </w:tcPr>
          <w:p w14:paraId="078194C7" w14:textId="77777777" w:rsidR="0025492B" w:rsidRPr="00545EC0" w:rsidRDefault="0025492B" w:rsidP="00AE0F92">
            <w:pPr>
              <w:spacing w:line="240" w:lineRule="auto"/>
              <w:rPr>
                <w:rFonts w:cs="Arial"/>
                <w:b/>
                <w:bCs/>
                <w:sz w:val="18"/>
                <w:szCs w:val="18"/>
              </w:rPr>
            </w:pPr>
            <w:r w:rsidRPr="00545EC0">
              <w:rPr>
                <w:rFonts w:cs="Arial"/>
                <w:b/>
                <w:bCs/>
                <w:sz w:val="18"/>
                <w:szCs w:val="18"/>
              </w:rPr>
              <w:t>Aktivna snov</w:t>
            </w:r>
          </w:p>
        </w:tc>
        <w:tc>
          <w:tcPr>
            <w:tcW w:w="1502" w:type="dxa"/>
            <w:tcBorders>
              <w:bottom w:val="single" w:sz="4" w:space="0" w:color="auto"/>
            </w:tcBorders>
            <w:shd w:val="clear" w:color="auto" w:fill="D9D9D9" w:themeFill="background1" w:themeFillShade="D9"/>
          </w:tcPr>
          <w:p w14:paraId="11354FB1" w14:textId="77777777" w:rsidR="0025492B" w:rsidRPr="00545EC0" w:rsidRDefault="0025492B" w:rsidP="00AE0F92">
            <w:pPr>
              <w:spacing w:line="240" w:lineRule="auto"/>
              <w:jc w:val="center"/>
              <w:rPr>
                <w:rFonts w:cs="Arial"/>
                <w:b/>
                <w:bCs/>
                <w:sz w:val="18"/>
                <w:szCs w:val="18"/>
              </w:rPr>
            </w:pPr>
            <w:r w:rsidRPr="00545EC0">
              <w:rPr>
                <w:rFonts w:cs="Arial"/>
                <w:b/>
                <w:bCs/>
                <w:sz w:val="18"/>
                <w:szCs w:val="18"/>
              </w:rPr>
              <w:t>2013</w:t>
            </w:r>
          </w:p>
        </w:tc>
        <w:tc>
          <w:tcPr>
            <w:tcW w:w="1503" w:type="dxa"/>
            <w:tcBorders>
              <w:bottom w:val="single" w:sz="4" w:space="0" w:color="auto"/>
            </w:tcBorders>
            <w:shd w:val="clear" w:color="auto" w:fill="D9D9D9" w:themeFill="background1" w:themeFillShade="D9"/>
          </w:tcPr>
          <w:p w14:paraId="453EF206" w14:textId="77777777" w:rsidR="0025492B" w:rsidRPr="00545EC0" w:rsidRDefault="0025492B" w:rsidP="00AE0F92">
            <w:pPr>
              <w:spacing w:line="240" w:lineRule="auto"/>
              <w:jc w:val="center"/>
              <w:rPr>
                <w:rFonts w:cs="Arial"/>
                <w:b/>
                <w:bCs/>
                <w:sz w:val="18"/>
                <w:szCs w:val="18"/>
              </w:rPr>
            </w:pPr>
            <w:r w:rsidRPr="00545EC0">
              <w:rPr>
                <w:rFonts w:cs="Arial"/>
                <w:b/>
                <w:bCs/>
                <w:sz w:val="18"/>
                <w:szCs w:val="18"/>
              </w:rPr>
              <w:t>2014</w:t>
            </w:r>
          </w:p>
        </w:tc>
        <w:tc>
          <w:tcPr>
            <w:tcW w:w="1503" w:type="dxa"/>
            <w:tcBorders>
              <w:bottom w:val="single" w:sz="4" w:space="0" w:color="auto"/>
            </w:tcBorders>
            <w:shd w:val="clear" w:color="auto" w:fill="D9D9D9" w:themeFill="background1" w:themeFillShade="D9"/>
          </w:tcPr>
          <w:p w14:paraId="1AD796EA" w14:textId="77777777" w:rsidR="0025492B" w:rsidRPr="00545EC0" w:rsidRDefault="0025492B" w:rsidP="00AE0F92">
            <w:pPr>
              <w:spacing w:line="240" w:lineRule="auto"/>
              <w:jc w:val="center"/>
              <w:rPr>
                <w:rFonts w:cs="Arial"/>
                <w:b/>
                <w:bCs/>
                <w:sz w:val="18"/>
                <w:szCs w:val="18"/>
              </w:rPr>
            </w:pPr>
            <w:r w:rsidRPr="00545EC0">
              <w:rPr>
                <w:rFonts w:cs="Arial"/>
                <w:b/>
                <w:bCs/>
                <w:sz w:val="18"/>
                <w:szCs w:val="18"/>
              </w:rPr>
              <w:t>2015</w:t>
            </w:r>
          </w:p>
        </w:tc>
        <w:tc>
          <w:tcPr>
            <w:tcW w:w="1503" w:type="dxa"/>
            <w:tcBorders>
              <w:bottom w:val="single" w:sz="4" w:space="0" w:color="auto"/>
            </w:tcBorders>
            <w:shd w:val="clear" w:color="auto" w:fill="D9D9D9" w:themeFill="background1" w:themeFillShade="D9"/>
          </w:tcPr>
          <w:p w14:paraId="5BC55477" w14:textId="77777777" w:rsidR="0025492B" w:rsidRPr="00545EC0" w:rsidRDefault="0025492B" w:rsidP="00AE0F92">
            <w:pPr>
              <w:spacing w:line="240" w:lineRule="auto"/>
              <w:jc w:val="center"/>
              <w:rPr>
                <w:rFonts w:cs="Arial"/>
                <w:b/>
                <w:bCs/>
                <w:sz w:val="18"/>
                <w:szCs w:val="18"/>
              </w:rPr>
            </w:pPr>
            <w:r w:rsidRPr="00545EC0">
              <w:rPr>
                <w:rFonts w:cs="Arial"/>
                <w:b/>
                <w:bCs/>
                <w:sz w:val="18"/>
                <w:szCs w:val="18"/>
              </w:rPr>
              <w:t>2016</w:t>
            </w:r>
          </w:p>
        </w:tc>
        <w:tc>
          <w:tcPr>
            <w:tcW w:w="1503" w:type="dxa"/>
            <w:tcBorders>
              <w:bottom w:val="single" w:sz="4" w:space="0" w:color="auto"/>
            </w:tcBorders>
            <w:shd w:val="clear" w:color="auto" w:fill="D9D9D9" w:themeFill="background1" w:themeFillShade="D9"/>
          </w:tcPr>
          <w:p w14:paraId="3C4641AE" w14:textId="77777777" w:rsidR="0025492B" w:rsidRPr="00545EC0" w:rsidRDefault="0025492B" w:rsidP="00AE0F92">
            <w:pPr>
              <w:spacing w:line="240" w:lineRule="auto"/>
              <w:jc w:val="center"/>
              <w:rPr>
                <w:rFonts w:cs="Arial"/>
                <w:b/>
                <w:bCs/>
                <w:sz w:val="18"/>
                <w:szCs w:val="18"/>
              </w:rPr>
            </w:pPr>
            <w:r w:rsidRPr="00545EC0">
              <w:rPr>
                <w:rFonts w:cs="Arial"/>
                <w:b/>
                <w:bCs/>
                <w:sz w:val="18"/>
                <w:szCs w:val="18"/>
              </w:rPr>
              <w:t>2017</w:t>
            </w:r>
          </w:p>
        </w:tc>
      </w:tr>
      <w:tr w:rsidR="003122F4" w:rsidRPr="00545EC0" w14:paraId="15EDF4B1" w14:textId="77777777" w:rsidTr="00870B16">
        <w:tc>
          <w:tcPr>
            <w:tcW w:w="1502" w:type="dxa"/>
            <w:vAlign w:val="center"/>
          </w:tcPr>
          <w:p w14:paraId="70B798AF" w14:textId="77777777" w:rsidR="0025492B" w:rsidRPr="00545EC0" w:rsidRDefault="0025492B" w:rsidP="00AE0F92">
            <w:pPr>
              <w:spacing w:line="240" w:lineRule="auto"/>
              <w:jc w:val="left"/>
              <w:rPr>
                <w:rFonts w:cs="Arial"/>
                <w:sz w:val="18"/>
                <w:szCs w:val="18"/>
              </w:rPr>
            </w:pPr>
            <w:r w:rsidRPr="00545EC0">
              <w:rPr>
                <w:rFonts w:cs="Arial"/>
                <w:sz w:val="18"/>
                <w:szCs w:val="18"/>
              </w:rPr>
              <w:t>S-metolaklor</w:t>
            </w:r>
          </w:p>
        </w:tc>
        <w:tc>
          <w:tcPr>
            <w:tcW w:w="1502" w:type="dxa"/>
            <w:tcBorders>
              <w:top w:val="single" w:sz="4" w:space="0" w:color="auto"/>
              <w:left w:val="nil"/>
              <w:bottom w:val="single" w:sz="4" w:space="0" w:color="auto"/>
              <w:right w:val="single" w:sz="4" w:space="0" w:color="auto"/>
            </w:tcBorders>
            <w:shd w:val="clear" w:color="auto" w:fill="auto"/>
            <w:vAlign w:val="bottom"/>
          </w:tcPr>
          <w:p w14:paraId="4E69627E" w14:textId="77777777" w:rsidR="0025492B" w:rsidRPr="00545EC0" w:rsidRDefault="0025492B" w:rsidP="00AE0F92">
            <w:pPr>
              <w:spacing w:line="240" w:lineRule="auto"/>
              <w:jc w:val="center"/>
              <w:rPr>
                <w:rFonts w:cs="Arial"/>
                <w:b/>
                <w:bCs/>
                <w:sz w:val="18"/>
                <w:szCs w:val="18"/>
              </w:rPr>
            </w:pPr>
            <w:r w:rsidRPr="00545EC0">
              <w:rPr>
                <w:rFonts w:cs="Arial"/>
                <w:sz w:val="18"/>
                <w:szCs w:val="18"/>
              </w:rPr>
              <w:t>0,18</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14:paraId="3BF44B6C" w14:textId="77777777" w:rsidR="0025492B" w:rsidRPr="00545EC0" w:rsidRDefault="0025492B" w:rsidP="00AE0F92">
            <w:pPr>
              <w:spacing w:line="240" w:lineRule="auto"/>
              <w:jc w:val="center"/>
              <w:rPr>
                <w:rFonts w:cs="Arial"/>
                <w:b/>
                <w:bCs/>
                <w:sz w:val="18"/>
                <w:szCs w:val="18"/>
              </w:rPr>
            </w:pPr>
            <w:r w:rsidRPr="00545EC0">
              <w:rPr>
                <w:rFonts w:cs="Arial"/>
                <w:sz w:val="18"/>
                <w:szCs w:val="18"/>
              </w:rPr>
              <w:t>42,43</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14:paraId="25FE4B4C" w14:textId="77777777" w:rsidR="0025492B" w:rsidRPr="00545EC0" w:rsidRDefault="0025492B" w:rsidP="00AE0F92">
            <w:pPr>
              <w:spacing w:line="240" w:lineRule="auto"/>
              <w:jc w:val="center"/>
              <w:rPr>
                <w:rFonts w:cs="Arial"/>
                <w:b/>
                <w:bCs/>
                <w:sz w:val="18"/>
                <w:szCs w:val="18"/>
              </w:rPr>
            </w:pPr>
            <w:r w:rsidRPr="00545EC0">
              <w:rPr>
                <w:rFonts w:cs="Arial"/>
                <w:sz w:val="18"/>
                <w:szCs w:val="18"/>
              </w:rPr>
              <w:t>138,26</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14:paraId="279B6D04" w14:textId="77777777" w:rsidR="0025492B" w:rsidRPr="00545EC0" w:rsidRDefault="0025492B" w:rsidP="00AE0F92">
            <w:pPr>
              <w:spacing w:line="240" w:lineRule="auto"/>
              <w:jc w:val="center"/>
              <w:rPr>
                <w:rFonts w:cs="Arial"/>
                <w:b/>
                <w:bCs/>
                <w:sz w:val="18"/>
                <w:szCs w:val="18"/>
              </w:rPr>
            </w:pPr>
            <w:r w:rsidRPr="00545EC0">
              <w:rPr>
                <w:rFonts w:cs="Arial"/>
                <w:sz w:val="18"/>
                <w:szCs w:val="18"/>
              </w:rPr>
              <w:t>38,35</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14:paraId="10B1F418" w14:textId="77777777" w:rsidR="0025492B" w:rsidRPr="00545EC0" w:rsidRDefault="0025492B" w:rsidP="00AE0F92">
            <w:pPr>
              <w:spacing w:line="240" w:lineRule="auto"/>
              <w:jc w:val="center"/>
              <w:rPr>
                <w:rFonts w:cs="Arial"/>
                <w:b/>
                <w:bCs/>
                <w:sz w:val="18"/>
                <w:szCs w:val="18"/>
              </w:rPr>
            </w:pPr>
            <w:r w:rsidRPr="00545EC0">
              <w:rPr>
                <w:rFonts w:cs="Arial"/>
                <w:sz w:val="18"/>
                <w:szCs w:val="18"/>
              </w:rPr>
              <w:t>39,09</w:t>
            </w:r>
          </w:p>
        </w:tc>
      </w:tr>
      <w:tr w:rsidR="003122F4" w:rsidRPr="00545EC0" w14:paraId="4640D6E5" w14:textId="77777777" w:rsidTr="00870B16">
        <w:tc>
          <w:tcPr>
            <w:tcW w:w="1502" w:type="dxa"/>
            <w:vAlign w:val="center"/>
          </w:tcPr>
          <w:p w14:paraId="64D0F813" w14:textId="77777777" w:rsidR="0025492B" w:rsidRPr="00545EC0" w:rsidRDefault="0025492B" w:rsidP="00AE0F92">
            <w:pPr>
              <w:spacing w:line="240" w:lineRule="auto"/>
              <w:jc w:val="left"/>
              <w:rPr>
                <w:rFonts w:cs="Arial"/>
                <w:sz w:val="18"/>
                <w:szCs w:val="18"/>
              </w:rPr>
            </w:pPr>
            <w:r w:rsidRPr="00545EC0">
              <w:rPr>
                <w:rFonts w:cs="Arial"/>
                <w:sz w:val="18"/>
                <w:szCs w:val="18"/>
              </w:rPr>
              <w:t>terbutilazin</w:t>
            </w:r>
          </w:p>
        </w:tc>
        <w:tc>
          <w:tcPr>
            <w:tcW w:w="1502" w:type="dxa"/>
            <w:vAlign w:val="bottom"/>
          </w:tcPr>
          <w:p w14:paraId="3FC9DF92" w14:textId="77777777" w:rsidR="0025492B" w:rsidRPr="00545EC0" w:rsidRDefault="0025492B" w:rsidP="00AE0F92">
            <w:pPr>
              <w:spacing w:line="240" w:lineRule="auto"/>
              <w:jc w:val="center"/>
              <w:rPr>
                <w:rFonts w:cs="Arial"/>
                <w:b/>
                <w:bCs/>
                <w:sz w:val="18"/>
                <w:szCs w:val="18"/>
              </w:rPr>
            </w:pPr>
            <w:r w:rsidRPr="00545EC0">
              <w:rPr>
                <w:rFonts w:cs="Arial"/>
                <w:sz w:val="18"/>
                <w:szCs w:val="18"/>
              </w:rPr>
              <w:t>13,53</w:t>
            </w:r>
          </w:p>
        </w:tc>
        <w:tc>
          <w:tcPr>
            <w:tcW w:w="1503" w:type="dxa"/>
            <w:vAlign w:val="bottom"/>
          </w:tcPr>
          <w:p w14:paraId="3E92C8BE" w14:textId="77777777" w:rsidR="0025492B" w:rsidRPr="00545EC0" w:rsidRDefault="0025492B" w:rsidP="00AE0F92">
            <w:pPr>
              <w:spacing w:line="240" w:lineRule="auto"/>
              <w:jc w:val="center"/>
              <w:rPr>
                <w:rFonts w:cs="Arial"/>
                <w:b/>
                <w:bCs/>
                <w:sz w:val="18"/>
                <w:szCs w:val="18"/>
              </w:rPr>
            </w:pPr>
            <w:r w:rsidRPr="00545EC0">
              <w:rPr>
                <w:rFonts w:cs="Arial"/>
                <w:sz w:val="18"/>
                <w:szCs w:val="18"/>
              </w:rPr>
              <w:t>21,71</w:t>
            </w:r>
          </w:p>
        </w:tc>
        <w:tc>
          <w:tcPr>
            <w:tcW w:w="1503" w:type="dxa"/>
            <w:vAlign w:val="bottom"/>
          </w:tcPr>
          <w:p w14:paraId="202BFFA9" w14:textId="77777777" w:rsidR="0025492B" w:rsidRPr="00545EC0" w:rsidRDefault="0025492B" w:rsidP="00AE0F92">
            <w:pPr>
              <w:spacing w:line="240" w:lineRule="auto"/>
              <w:jc w:val="center"/>
              <w:rPr>
                <w:rFonts w:cs="Arial"/>
                <w:b/>
                <w:bCs/>
                <w:sz w:val="18"/>
                <w:szCs w:val="18"/>
              </w:rPr>
            </w:pPr>
            <w:r w:rsidRPr="00545EC0">
              <w:rPr>
                <w:rFonts w:cs="Arial"/>
                <w:sz w:val="18"/>
                <w:szCs w:val="18"/>
              </w:rPr>
              <w:t>23,14</w:t>
            </w:r>
          </w:p>
        </w:tc>
        <w:tc>
          <w:tcPr>
            <w:tcW w:w="1503" w:type="dxa"/>
            <w:vAlign w:val="bottom"/>
          </w:tcPr>
          <w:p w14:paraId="52FBB9AE" w14:textId="77777777" w:rsidR="0025492B" w:rsidRPr="00545EC0" w:rsidRDefault="0025492B" w:rsidP="00AE0F92">
            <w:pPr>
              <w:spacing w:line="240" w:lineRule="auto"/>
              <w:jc w:val="center"/>
              <w:rPr>
                <w:rFonts w:cs="Arial"/>
                <w:b/>
                <w:bCs/>
                <w:sz w:val="18"/>
                <w:szCs w:val="18"/>
              </w:rPr>
            </w:pPr>
            <w:r w:rsidRPr="00545EC0">
              <w:rPr>
                <w:rFonts w:cs="Arial"/>
                <w:sz w:val="18"/>
                <w:szCs w:val="18"/>
              </w:rPr>
              <w:t>11,71</w:t>
            </w:r>
          </w:p>
        </w:tc>
        <w:tc>
          <w:tcPr>
            <w:tcW w:w="1503" w:type="dxa"/>
            <w:vAlign w:val="bottom"/>
          </w:tcPr>
          <w:p w14:paraId="1E0F2666" w14:textId="77777777" w:rsidR="0025492B" w:rsidRPr="00545EC0" w:rsidRDefault="0025492B" w:rsidP="00AE0F92">
            <w:pPr>
              <w:spacing w:line="240" w:lineRule="auto"/>
              <w:jc w:val="center"/>
              <w:rPr>
                <w:rFonts w:cs="Arial"/>
                <w:b/>
                <w:bCs/>
                <w:sz w:val="18"/>
                <w:szCs w:val="18"/>
              </w:rPr>
            </w:pPr>
            <w:r w:rsidRPr="00545EC0">
              <w:rPr>
                <w:rFonts w:cs="Arial"/>
                <w:sz w:val="18"/>
                <w:szCs w:val="18"/>
              </w:rPr>
              <w:t>11,93</w:t>
            </w:r>
          </w:p>
        </w:tc>
      </w:tr>
      <w:tr w:rsidR="003122F4" w:rsidRPr="00545EC0" w14:paraId="08DB36E1" w14:textId="77777777" w:rsidTr="00870B16">
        <w:tc>
          <w:tcPr>
            <w:tcW w:w="1502" w:type="dxa"/>
            <w:vAlign w:val="center"/>
          </w:tcPr>
          <w:p w14:paraId="4080DFBD" w14:textId="77777777" w:rsidR="0025492B" w:rsidRPr="00545EC0" w:rsidRDefault="0025492B" w:rsidP="00AE0F92">
            <w:pPr>
              <w:spacing w:line="240" w:lineRule="auto"/>
              <w:jc w:val="left"/>
              <w:rPr>
                <w:rFonts w:cs="Arial"/>
                <w:sz w:val="18"/>
                <w:szCs w:val="18"/>
              </w:rPr>
            </w:pPr>
            <w:r w:rsidRPr="00545EC0">
              <w:rPr>
                <w:rFonts w:cs="Arial"/>
                <w:sz w:val="18"/>
                <w:szCs w:val="18"/>
              </w:rPr>
              <w:t>metazaklor</w:t>
            </w:r>
          </w:p>
        </w:tc>
        <w:tc>
          <w:tcPr>
            <w:tcW w:w="1502" w:type="dxa"/>
            <w:vAlign w:val="bottom"/>
          </w:tcPr>
          <w:p w14:paraId="2B14399E" w14:textId="77777777" w:rsidR="0025492B" w:rsidRPr="00545EC0" w:rsidRDefault="0025492B" w:rsidP="00AE0F92">
            <w:pPr>
              <w:spacing w:line="240" w:lineRule="auto"/>
              <w:jc w:val="center"/>
              <w:rPr>
                <w:rFonts w:cs="Arial"/>
                <w:b/>
                <w:bCs/>
                <w:sz w:val="18"/>
                <w:szCs w:val="18"/>
              </w:rPr>
            </w:pPr>
            <w:r w:rsidRPr="00545EC0">
              <w:rPr>
                <w:rFonts w:cs="Arial"/>
                <w:sz w:val="18"/>
                <w:szCs w:val="18"/>
              </w:rPr>
              <w:t>0,024</w:t>
            </w:r>
          </w:p>
        </w:tc>
        <w:tc>
          <w:tcPr>
            <w:tcW w:w="1503" w:type="dxa"/>
            <w:vAlign w:val="bottom"/>
          </w:tcPr>
          <w:p w14:paraId="41F321B7" w14:textId="77777777" w:rsidR="0025492B" w:rsidRPr="00545EC0" w:rsidRDefault="0025492B" w:rsidP="00AE0F92">
            <w:pPr>
              <w:spacing w:line="240" w:lineRule="auto"/>
              <w:jc w:val="center"/>
              <w:rPr>
                <w:rFonts w:cs="Arial"/>
                <w:b/>
                <w:bCs/>
                <w:sz w:val="18"/>
                <w:szCs w:val="18"/>
              </w:rPr>
            </w:pPr>
            <w:r w:rsidRPr="00545EC0">
              <w:rPr>
                <w:rFonts w:cs="Arial"/>
                <w:sz w:val="18"/>
                <w:szCs w:val="18"/>
              </w:rPr>
              <w:t>4,17</w:t>
            </w:r>
          </w:p>
        </w:tc>
        <w:tc>
          <w:tcPr>
            <w:tcW w:w="1503" w:type="dxa"/>
            <w:vAlign w:val="bottom"/>
          </w:tcPr>
          <w:p w14:paraId="27612F9D" w14:textId="77777777" w:rsidR="0025492B" w:rsidRPr="00545EC0" w:rsidRDefault="0025492B" w:rsidP="00AE0F92">
            <w:pPr>
              <w:spacing w:line="240" w:lineRule="auto"/>
              <w:jc w:val="center"/>
              <w:rPr>
                <w:rFonts w:cs="Arial"/>
                <w:b/>
                <w:bCs/>
                <w:sz w:val="18"/>
                <w:szCs w:val="18"/>
              </w:rPr>
            </w:pPr>
            <w:r w:rsidRPr="00545EC0">
              <w:rPr>
                <w:rFonts w:cs="Arial"/>
                <w:sz w:val="18"/>
                <w:szCs w:val="18"/>
              </w:rPr>
              <w:t>5,48</w:t>
            </w:r>
          </w:p>
        </w:tc>
        <w:tc>
          <w:tcPr>
            <w:tcW w:w="1503" w:type="dxa"/>
            <w:vAlign w:val="bottom"/>
          </w:tcPr>
          <w:p w14:paraId="566C7479" w14:textId="77777777" w:rsidR="0025492B" w:rsidRPr="00545EC0" w:rsidRDefault="0025492B" w:rsidP="00AE0F92">
            <w:pPr>
              <w:spacing w:line="240" w:lineRule="auto"/>
              <w:jc w:val="center"/>
              <w:rPr>
                <w:rFonts w:cs="Arial"/>
                <w:b/>
                <w:bCs/>
                <w:sz w:val="18"/>
                <w:szCs w:val="18"/>
              </w:rPr>
            </w:pPr>
            <w:r w:rsidRPr="00545EC0">
              <w:rPr>
                <w:rFonts w:cs="Arial"/>
                <w:sz w:val="18"/>
                <w:szCs w:val="18"/>
              </w:rPr>
              <w:t>0,85</w:t>
            </w:r>
          </w:p>
        </w:tc>
        <w:tc>
          <w:tcPr>
            <w:tcW w:w="1503" w:type="dxa"/>
            <w:vAlign w:val="bottom"/>
          </w:tcPr>
          <w:p w14:paraId="19BD2904" w14:textId="77777777" w:rsidR="0025492B" w:rsidRPr="00545EC0" w:rsidRDefault="0025492B" w:rsidP="00AE0F92">
            <w:pPr>
              <w:spacing w:line="240" w:lineRule="auto"/>
              <w:jc w:val="center"/>
              <w:rPr>
                <w:rFonts w:cs="Arial"/>
                <w:b/>
                <w:bCs/>
                <w:sz w:val="18"/>
                <w:szCs w:val="18"/>
              </w:rPr>
            </w:pPr>
            <w:r w:rsidRPr="00545EC0">
              <w:rPr>
                <w:rFonts w:cs="Arial"/>
                <w:sz w:val="18"/>
                <w:szCs w:val="18"/>
              </w:rPr>
              <w:t>10,07</w:t>
            </w:r>
          </w:p>
        </w:tc>
      </w:tr>
      <w:tr w:rsidR="003122F4" w:rsidRPr="00545EC0" w14:paraId="74F8E87F" w14:textId="77777777" w:rsidTr="00870B16">
        <w:tc>
          <w:tcPr>
            <w:tcW w:w="1502" w:type="dxa"/>
            <w:vAlign w:val="center"/>
          </w:tcPr>
          <w:p w14:paraId="5CD50099" w14:textId="77777777" w:rsidR="0025492B" w:rsidRPr="00545EC0" w:rsidRDefault="0025492B" w:rsidP="00AE0F92">
            <w:pPr>
              <w:spacing w:line="240" w:lineRule="auto"/>
              <w:jc w:val="left"/>
              <w:rPr>
                <w:rFonts w:cs="Arial"/>
                <w:sz w:val="18"/>
                <w:szCs w:val="18"/>
              </w:rPr>
            </w:pPr>
            <w:r w:rsidRPr="00545EC0">
              <w:rPr>
                <w:rFonts w:cs="Arial"/>
                <w:sz w:val="18"/>
                <w:szCs w:val="18"/>
              </w:rPr>
              <w:t>bentazon</w:t>
            </w:r>
          </w:p>
          <w:p w14:paraId="7284C386" w14:textId="77777777" w:rsidR="0025492B" w:rsidRPr="00545EC0" w:rsidRDefault="0025492B" w:rsidP="00AE0F92">
            <w:pPr>
              <w:spacing w:line="240" w:lineRule="auto"/>
              <w:jc w:val="left"/>
              <w:rPr>
                <w:rFonts w:cs="Arial"/>
                <w:sz w:val="18"/>
                <w:szCs w:val="18"/>
              </w:rPr>
            </w:pPr>
          </w:p>
        </w:tc>
        <w:tc>
          <w:tcPr>
            <w:tcW w:w="1502" w:type="dxa"/>
            <w:vAlign w:val="bottom"/>
          </w:tcPr>
          <w:p w14:paraId="6A4DD2A1" w14:textId="77777777" w:rsidR="0025492B" w:rsidRPr="00545EC0" w:rsidRDefault="0025492B" w:rsidP="00AE0F92">
            <w:pPr>
              <w:spacing w:line="240" w:lineRule="auto"/>
              <w:jc w:val="center"/>
              <w:rPr>
                <w:rFonts w:cs="Arial"/>
                <w:b/>
                <w:bCs/>
                <w:sz w:val="18"/>
                <w:szCs w:val="18"/>
              </w:rPr>
            </w:pPr>
            <w:r w:rsidRPr="00545EC0">
              <w:rPr>
                <w:rFonts w:cs="Arial"/>
                <w:sz w:val="18"/>
                <w:szCs w:val="18"/>
              </w:rPr>
              <w:t>6,62</w:t>
            </w:r>
          </w:p>
        </w:tc>
        <w:tc>
          <w:tcPr>
            <w:tcW w:w="1503" w:type="dxa"/>
            <w:vAlign w:val="bottom"/>
          </w:tcPr>
          <w:p w14:paraId="46965A82" w14:textId="77777777" w:rsidR="0025492B" w:rsidRPr="00545EC0" w:rsidRDefault="0025492B" w:rsidP="00AE0F92">
            <w:pPr>
              <w:spacing w:line="240" w:lineRule="auto"/>
              <w:jc w:val="center"/>
              <w:rPr>
                <w:rFonts w:cs="Arial"/>
                <w:b/>
                <w:bCs/>
                <w:sz w:val="18"/>
                <w:szCs w:val="18"/>
              </w:rPr>
            </w:pPr>
            <w:r w:rsidRPr="00545EC0">
              <w:rPr>
                <w:rFonts w:cs="Arial"/>
                <w:sz w:val="18"/>
                <w:szCs w:val="18"/>
              </w:rPr>
              <w:t>0,038</w:t>
            </w:r>
          </w:p>
        </w:tc>
        <w:tc>
          <w:tcPr>
            <w:tcW w:w="1503" w:type="dxa"/>
            <w:vAlign w:val="bottom"/>
          </w:tcPr>
          <w:p w14:paraId="111AF5E9" w14:textId="77777777" w:rsidR="0025492B" w:rsidRPr="00545EC0" w:rsidRDefault="0025492B" w:rsidP="00AE0F92">
            <w:pPr>
              <w:spacing w:line="240" w:lineRule="auto"/>
              <w:jc w:val="center"/>
              <w:rPr>
                <w:rFonts w:cs="Arial"/>
                <w:b/>
                <w:bCs/>
                <w:sz w:val="18"/>
                <w:szCs w:val="18"/>
              </w:rPr>
            </w:pPr>
            <w:r w:rsidRPr="00545EC0">
              <w:rPr>
                <w:rFonts w:cs="Arial"/>
                <w:sz w:val="18"/>
                <w:szCs w:val="18"/>
              </w:rPr>
              <w:t>0,67</w:t>
            </w:r>
          </w:p>
        </w:tc>
        <w:tc>
          <w:tcPr>
            <w:tcW w:w="1503" w:type="dxa"/>
            <w:vAlign w:val="bottom"/>
          </w:tcPr>
          <w:p w14:paraId="5258A676" w14:textId="77777777" w:rsidR="0025492B" w:rsidRPr="00545EC0" w:rsidRDefault="0025492B" w:rsidP="00AE0F92">
            <w:pPr>
              <w:spacing w:line="240" w:lineRule="auto"/>
              <w:jc w:val="center"/>
              <w:rPr>
                <w:rFonts w:cs="Arial"/>
                <w:b/>
                <w:bCs/>
                <w:sz w:val="18"/>
                <w:szCs w:val="18"/>
              </w:rPr>
            </w:pPr>
            <w:r w:rsidRPr="00545EC0">
              <w:rPr>
                <w:rFonts w:cs="Arial"/>
                <w:sz w:val="18"/>
                <w:szCs w:val="18"/>
              </w:rPr>
              <w:t>3,65</w:t>
            </w:r>
          </w:p>
        </w:tc>
        <w:tc>
          <w:tcPr>
            <w:tcW w:w="1503" w:type="dxa"/>
            <w:vAlign w:val="bottom"/>
          </w:tcPr>
          <w:p w14:paraId="2DF6ED43" w14:textId="77777777" w:rsidR="0025492B" w:rsidRPr="00545EC0" w:rsidRDefault="0025492B" w:rsidP="00AE0F92">
            <w:pPr>
              <w:spacing w:line="240" w:lineRule="auto"/>
              <w:jc w:val="center"/>
              <w:rPr>
                <w:rFonts w:cs="Arial"/>
                <w:b/>
                <w:bCs/>
                <w:sz w:val="18"/>
                <w:szCs w:val="18"/>
              </w:rPr>
            </w:pPr>
            <w:r w:rsidRPr="00545EC0">
              <w:rPr>
                <w:rFonts w:cs="Arial"/>
                <w:sz w:val="18"/>
                <w:szCs w:val="18"/>
              </w:rPr>
              <w:t>2,55</w:t>
            </w:r>
          </w:p>
        </w:tc>
      </w:tr>
      <w:tr w:rsidR="0025492B" w:rsidRPr="00545EC0" w14:paraId="4FAAA51B" w14:textId="77777777" w:rsidTr="00870B16">
        <w:tc>
          <w:tcPr>
            <w:tcW w:w="1502" w:type="dxa"/>
            <w:vAlign w:val="center"/>
          </w:tcPr>
          <w:p w14:paraId="0BFC4315" w14:textId="77777777" w:rsidR="0025492B" w:rsidRPr="00545EC0" w:rsidRDefault="0025492B" w:rsidP="00AE0F92">
            <w:pPr>
              <w:spacing w:line="240" w:lineRule="auto"/>
              <w:jc w:val="left"/>
              <w:rPr>
                <w:rFonts w:cs="Arial"/>
                <w:sz w:val="18"/>
                <w:szCs w:val="18"/>
              </w:rPr>
            </w:pPr>
            <w:r w:rsidRPr="00545EC0">
              <w:rPr>
                <w:rFonts w:cs="Arial"/>
                <w:sz w:val="18"/>
                <w:szCs w:val="18"/>
              </w:rPr>
              <w:lastRenderedPageBreak/>
              <w:t>metalaksil-M</w:t>
            </w:r>
          </w:p>
        </w:tc>
        <w:tc>
          <w:tcPr>
            <w:tcW w:w="1502" w:type="dxa"/>
            <w:vAlign w:val="bottom"/>
          </w:tcPr>
          <w:p w14:paraId="67A62251" w14:textId="77777777" w:rsidR="0025492B" w:rsidRPr="00545EC0" w:rsidRDefault="0025492B" w:rsidP="00AE0F92">
            <w:pPr>
              <w:spacing w:line="240" w:lineRule="auto"/>
              <w:jc w:val="center"/>
              <w:rPr>
                <w:rFonts w:cs="Arial"/>
                <w:b/>
                <w:bCs/>
                <w:sz w:val="18"/>
                <w:szCs w:val="18"/>
              </w:rPr>
            </w:pPr>
            <w:r w:rsidRPr="00545EC0">
              <w:rPr>
                <w:rFonts w:cs="Arial"/>
                <w:sz w:val="18"/>
                <w:szCs w:val="18"/>
              </w:rPr>
              <w:t>1,81</w:t>
            </w:r>
          </w:p>
        </w:tc>
        <w:tc>
          <w:tcPr>
            <w:tcW w:w="1503" w:type="dxa"/>
            <w:vAlign w:val="bottom"/>
          </w:tcPr>
          <w:p w14:paraId="6B7F6546" w14:textId="77777777" w:rsidR="0025492B" w:rsidRPr="00545EC0" w:rsidRDefault="0025492B" w:rsidP="00AE0F92">
            <w:pPr>
              <w:spacing w:line="240" w:lineRule="auto"/>
              <w:jc w:val="center"/>
              <w:rPr>
                <w:rFonts w:cs="Arial"/>
                <w:b/>
                <w:bCs/>
                <w:sz w:val="18"/>
                <w:szCs w:val="18"/>
              </w:rPr>
            </w:pPr>
            <w:r w:rsidRPr="00545EC0">
              <w:rPr>
                <w:rFonts w:cs="Arial"/>
                <w:sz w:val="18"/>
                <w:szCs w:val="18"/>
              </w:rPr>
              <w:t>2,0</w:t>
            </w:r>
          </w:p>
        </w:tc>
        <w:tc>
          <w:tcPr>
            <w:tcW w:w="1503" w:type="dxa"/>
            <w:vAlign w:val="bottom"/>
          </w:tcPr>
          <w:p w14:paraId="115D2532" w14:textId="77777777" w:rsidR="0025492B" w:rsidRPr="00545EC0" w:rsidRDefault="0025492B" w:rsidP="00AE0F92">
            <w:pPr>
              <w:spacing w:line="240" w:lineRule="auto"/>
              <w:jc w:val="center"/>
              <w:rPr>
                <w:rFonts w:cs="Arial"/>
                <w:b/>
                <w:bCs/>
                <w:sz w:val="18"/>
                <w:szCs w:val="18"/>
              </w:rPr>
            </w:pPr>
            <w:r w:rsidRPr="00545EC0">
              <w:rPr>
                <w:rFonts w:cs="Arial"/>
                <w:sz w:val="18"/>
                <w:szCs w:val="18"/>
              </w:rPr>
              <w:t>1,94</w:t>
            </w:r>
          </w:p>
        </w:tc>
        <w:tc>
          <w:tcPr>
            <w:tcW w:w="1503" w:type="dxa"/>
            <w:vAlign w:val="bottom"/>
          </w:tcPr>
          <w:p w14:paraId="3D689EE5" w14:textId="77777777" w:rsidR="0025492B" w:rsidRPr="00545EC0" w:rsidRDefault="0025492B" w:rsidP="00AE0F92">
            <w:pPr>
              <w:spacing w:line="240" w:lineRule="auto"/>
              <w:jc w:val="center"/>
              <w:rPr>
                <w:rFonts w:cs="Arial"/>
                <w:b/>
                <w:bCs/>
                <w:sz w:val="18"/>
                <w:szCs w:val="18"/>
              </w:rPr>
            </w:pPr>
            <w:r w:rsidRPr="00545EC0">
              <w:rPr>
                <w:rFonts w:cs="Arial"/>
                <w:sz w:val="18"/>
                <w:szCs w:val="18"/>
              </w:rPr>
              <w:t>1,87</w:t>
            </w:r>
          </w:p>
        </w:tc>
        <w:tc>
          <w:tcPr>
            <w:tcW w:w="1503" w:type="dxa"/>
            <w:vAlign w:val="bottom"/>
          </w:tcPr>
          <w:p w14:paraId="71A485B7" w14:textId="77777777" w:rsidR="0025492B" w:rsidRPr="00545EC0" w:rsidRDefault="0025492B" w:rsidP="00AE0F92">
            <w:pPr>
              <w:spacing w:line="240" w:lineRule="auto"/>
              <w:jc w:val="center"/>
              <w:rPr>
                <w:rFonts w:cs="Arial"/>
                <w:b/>
                <w:bCs/>
                <w:sz w:val="18"/>
                <w:szCs w:val="18"/>
              </w:rPr>
            </w:pPr>
            <w:r w:rsidRPr="00545EC0">
              <w:rPr>
                <w:rFonts w:cs="Arial"/>
                <w:sz w:val="18"/>
                <w:szCs w:val="18"/>
              </w:rPr>
              <w:t>1,89</w:t>
            </w:r>
          </w:p>
        </w:tc>
      </w:tr>
    </w:tbl>
    <w:p w14:paraId="395F9C52" w14:textId="77777777" w:rsidR="0025492B" w:rsidRPr="00545EC0" w:rsidRDefault="0025492B" w:rsidP="00AD4FE7">
      <w:pPr>
        <w:rPr>
          <w:rFonts w:cs="Arial"/>
          <w:szCs w:val="20"/>
        </w:rPr>
      </w:pPr>
    </w:p>
    <w:p w14:paraId="2C756DA5" w14:textId="77777777" w:rsidR="00E576E2" w:rsidRPr="00545EC0" w:rsidRDefault="00E576E2" w:rsidP="00AD4FE7">
      <w:pPr>
        <w:pStyle w:val="Naslov4"/>
        <w:rPr>
          <w:color w:val="auto"/>
          <w:lang w:val="sl-SI"/>
        </w:rPr>
      </w:pPr>
      <w:bookmarkStart w:id="167" w:name="_Ref87861524"/>
      <w:r w:rsidRPr="00545EC0">
        <w:rPr>
          <w:color w:val="auto"/>
          <w:lang w:val="sl-SI"/>
        </w:rPr>
        <w:t>Razpršeni viri zaradi komunalne odpadne vode, ki nastaja v objektih, ki niso priključeni na javni kanalizacijski sistem</w:t>
      </w:r>
      <w:bookmarkEnd w:id="167"/>
    </w:p>
    <w:p w14:paraId="28336C67" w14:textId="77777777" w:rsidR="00617285" w:rsidRPr="00545EC0" w:rsidRDefault="00617285" w:rsidP="00AD4FE7">
      <w:pPr>
        <w:rPr>
          <w:rFonts w:cs="Arial"/>
        </w:rPr>
      </w:pPr>
      <w:r w:rsidRPr="00545EC0">
        <w:rPr>
          <w:rFonts w:cs="Arial"/>
        </w:rPr>
        <w:t xml:space="preserve">Do razpršenega onesnaževanja površinskih voda zaradi odvajanja komunalne odpadne vode lahko prihaja iz posameznih objektov, ki ležijo izven aglomeracij in niso priključeni na javno kanalizacijo, ali iz posameznih objektov, ki ležijo v aglomeracijah in nimajo ustrezno urejenega odvajanja in čiščenja komunalne odpadne vode. </w:t>
      </w:r>
    </w:p>
    <w:p w14:paraId="57D275D2" w14:textId="77777777" w:rsidR="00617285" w:rsidRPr="00545EC0" w:rsidRDefault="00617285" w:rsidP="00AD4FE7">
      <w:pPr>
        <w:rPr>
          <w:rFonts w:cs="Arial"/>
        </w:rPr>
      </w:pPr>
    </w:p>
    <w:p w14:paraId="3FFEE14A" w14:textId="10356CFE" w:rsidR="00617285" w:rsidRPr="00545EC0" w:rsidRDefault="00617285" w:rsidP="00AD4FE7">
      <w:pPr>
        <w:rPr>
          <w:rFonts w:cs="Arial"/>
        </w:rPr>
      </w:pPr>
      <w:r w:rsidRPr="00545EC0">
        <w:rPr>
          <w:rFonts w:cs="Arial"/>
        </w:rPr>
        <w:t>Emisije snovi pri odvajanju komunalne odpadne vode iz posameznih stavb lahko prehajajo v površinske vode neposredno (iztoki komunalne odpadne vode v vodotok) ali posredno (zaradi pronicanja odpadne vode v tla in naknadnega spiranja s podpovršinskim odtokom). Za oceno obremenitev površinskih voda so uporabljeni podatki o številu prebivalcev s stalnim prebivanjem, ki so registrirani v centralnem registru prebivalcev (CRP) ter podatki IJSVO o načinu izvajanja javne službe na posameznem objektu. V okviru analize so upoštevani posamezni objekti, ki so v IJSVO poročani kot objekti opremljeni z obstoječo pretočno greznico, objekti opremljeni z malo komunalno čistilno napravo, ki ni del javne kanalizacije ali neposredni izpusti komunalne odpadne vode. Na podlagi razpoložljivih podatkov in ob upoštevanju strokovne literature so ocenjene emisije organskih snovi, izražen</w:t>
      </w:r>
      <w:r w:rsidR="00D93374" w:rsidRPr="00545EC0">
        <w:rPr>
          <w:rFonts w:cs="Arial"/>
        </w:rPr>
        <w:t>e</w:t>
      </w:r>
      <w:r w:rsidRPr="00545EC0">
        <w:rPr>
          <w:rFonts w:cs="Arial"/>
        </w:rPr>
        <w:t xml:space="preserve"> kot biokemijska potreba po kisiku (BPK</w:t>
      </w:r>
      <w:r w:rsidRPr="00545EC0">
        <w:rPr>
          <w:rFonts w:cs="Arial"/>
          <w:vertAlign w:val="subscript"/>
        </w:rPr>
        <w:t>5</w:t>
      </w:r>
      <w:r w:rsidRPr="00545EC0">
        <w:rPr>
          <w:rFonts w:cs="Arial"/>
        </w:rPr>
        <w:t xml:space="preserve">) in emisije hranil (celotni dušik in celotni fosfor). </w:t>
      </w:r>
    </w:p>
    <w:p w14:paraId="3015B238" w14:textId="77777777" w:rsidR="00617285" w:rsidRPr="00545EC0" w:rsidRDefault="00617285" w:rsidP="00AD4FE7">
      <w:pPr>
        <w:rPr>
          <w:rFonts w:cs="Arial"/>
        </w:rPr>
      </w:pPr>
    </w:p>
    <w:p w14:paraId="4B62DC1E" w14:textId="77777777" w:rsidR="00617285" w:rsidRPr="00545EC0" w:rsidRDefault="00617285" w:rsidP="00AD4FE7">
      <w:pPr>
        <w:tabs>
          <w:tab w:val="num" w:pos="567"/>
          <w:tab w:val="left" w:pos="9600"/>
        </w:tabs>
        <w:spacing w:before="120" w:line="276" w:lineRule="auto"/>
        <w:rPr>
          <w:rFonts w:cs="Arial"/>
          <w:szCs w:val="20"/>
        </w:rPr>
      </w:pPr>
      <w:r w:rsidRPr="00545EC0">
        <w:rPr>
          <w:rFonts w:cs="Arial"/>
        </w:rPr>
        <w:t>Glede na podatke IJSVO je na VO Donave evidentiranih okoli 400.000 stalno prijavljenih prebivalcev, ki živijo izven meja aglomeracij, kar v primerjavi s številom prebivalcev v Sloveniji znaša dobrih 22 %. Največje število stalnih prebivalcev, ki živijo na območju izven meja aglomeracij, je evidentiranih na porečju Spodnje Save. Podatki kažejo, da ima največji delež stalno prijavljenih prebivalcev na območjih izven meja aglomeracij zagotovljeno odvajanje in čiščenje komunalne odpadne vode v obstoječi pretočni greznici, in sicer na porečju Savinje 83 %, na porečju Srednje Save 82 %, na porečju Drave 80 %, na porečju Zgornje Save 76 %, na porečju Spodnje Save 57 % in na porečju Mure 46 %. Največji delež stalno prijavljenih prebivalcev v aglomeracijah, ki ima zagotovljeno odvajanje in čiščenje komunalne odpadne vode v obstoječi pretočni greznici, je na porečju Drave. Delež stalno prijavljenih prebivalcev izven meja aglomeracij in v aglomeracijah, ki nima ureditve (iztok v vode) na VO Donave glede na podatke IJSVO znaša manj kot 0,1 %. Podrobnejši podatki so razvidni iz preglednice</w:t>
      </w:r>
      <w:r w:rsidRPr="00545EC0">
        <w:rPr>
          <w:rFonts w:cs="Arial"/>
          <w:szCs w:val="20"/>
        </w:rPr>
        <w:t xml:space="preserve"> (</w:t>
      </w:r>
      <w:r w:rsidRPr="00545EC0">
        <w:rPr>
          <w:rFonts w:cs="Arial"/>
          <w:szCs w:val="20"/>
        </w:rPr>
        <w:fldChar w:fldCharType="begin"/>
      </w:r>
      <w:r w:rsidRPr="00545EC0">
        <w:rPr>
          <w:rFonts w:cs="Arial"/>
          <w:szCs w:val="20"/>
        </w:rPr>
        <w:instrText xml:space="preserve"> REF _Ref82686914 \h  \* MERGEFORMAT </w:instrText>
      </w:r>
      <w:r w:rsidRPr="00545EC0">
        <w:rPr>
          <w:rFonts w:cs="Arial"/>
          <w:szCs w:val="20"/>
        </w:rPr>
      </w:r>
      <w:r w:rsidRPr="00545EC0">
        <w:rPr>
          <w:rFonts w:cs="Arial"/>
          <w:szCs w:val="20"/>
        </w:rPr>
        <w:fldChar w:fldCharType="separate"/>
      </w:r>
      <w:r w:rsidR="002F3E43" w:rsidRPr="00545EC0">
        <w:t xml:space="preserve">Preglednica </w:t>
      </w:r>
      <w:r w:rsidR="002F3E43">
        <w:rPr>
          <w:noProof/>
        </w:rPr>
        <w:t>2</w:t>
      </w:r>
      <w:r w:rsidR="002F3E43" w:rsidRPr="00545EC0">
        <w:rPr>
          <w:noProof/>
        </w:rPr>
        <w:noBreakHyphen/>
      </w:r>
      <w:r w:rsidR="002F3E43">
        <w:rPr>
          <w:noProof/>
        </w:rPr>
        <w:t>17</w:t>
      </w:r>
      <w:r w:rsidRPr="00545EC0">
        <w:rPr>
          <w:rFonts w:cs="Arial"/>
          <w:szCs w:val="20"/>
        </w:rPr>
        <w:fldChar w:fldCharType="end"/>
      </w:r>
      <w:r w:rsidRPr="00545EC0">
        <w:rPr>
          <w:rFonts w:cs="Arial"/>
          <w:szCs w:val="20"/>
        </w:rPr>
        <w:t xml:space="preserve">). </w:t>
      </w:r>
    </w:p>
    <w:p w14:paraId="2AA35992" w14:textId="77777777" w:rsidR="00617285" w:rsidRPr="00545EC0" w:rsidRDefault="00617285" w:rsidP="00AD4FE7">
      <w:pPr>
        <w:tabs>
          <w:tab w:val="num" w:pos="567"/>
          <w:tab w:val="left" w:pos="9600"/>
        </w:tabs>
        <w:spacing w:before="120"/>
        <w:rPr>
          <w:rFonts w:cs="Arial"/>
          <w:szCs w:val="20"/>
        </w:rPr>
      </w:pPr>
    </w:p>
    <w:p w14:paraId="57AFF461" w14:textId="5A9DECAA" w:rsidR="00617285" w:rsidRPr="00545EC0" w:rsidRDefault="00617285" w:rsidP="00AD4FE7">
      <w:pPr>
        <w:pStyle w:val="Napis"/>
        <w:rPr>
          <w:szCs w:val="20"/>
        </w:rPr>
      </w:pPr>
      <w:bookmarkStart w:id="168" w:name="_Ref82686914"/>
      <w:bookmarkStart w:id="169" w:name="_Toc460701189"/>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17</w:t>
        </w:r>
      </w:fldSimple>
      <w:bookmarkEnd w:id="168"/>
      <w:r w:rsidRPr="00545EC0">
        <w:t xml:space="preserve">: </w:t>
      </w:r>
      <w:r w:rsidRPr="00545EC0">
        <w:rPr>
          <w:szCs w:val="20"/>
        </w:rPr>
        <w:t xml:space="preserve">Ureditve </w:t>
      </w:r>
      <w:r w:rsidR="00D93374" w:rsidRPr="00545EC0">
        <w:rPr>
          <w:szCs w:val="20"/>
        </w:rPr>
        <w:t xml:space="preserve">glede </w:t>
      </w:r>
      <w:r w:rsidRPr="00545EC0">
        <w:rPr>
          <w:szCs w:val="20"/>
        </w:rPr>
        <w:t>odvajanj</w:t>
      </w:r>
      <w:r w:rsidR="00D93374" w:rsidRPr="00545EC0">
        <w:rPr>
          <w:szCs w:val="20"/>
        </w:rPr>
        <w:t>a</w:t>
      </w:r>
      <w:r w:rsidRPr="00545EC0">
        <w:rPr>
          <w:szCs w:val="20"/>
        </w:rPr>
        <w:t xml:space="preserve"> in čiščenj</w:t>
      </w:r>
      <w:r w:rsidR="00D93374" w:rsidRPr="00545EC0">
        <w:rPr>
          <w:szCs w:val="20"/>
        </w:rPr>
        <w:t>a</w:t>
      </w:r>
      <w:r w:rsidRPr="00545EC0">
        <w:rPr>
          <w:szCs w:val="20"/>
        </w:rPr>
        <w:t xml:space="preserve"> komunalne odpadne vode iz posameznih objektov na VO Donave</w:t>
      </w:r>
      <w:bookmarkEnd w:id="169"/>
      <w:r w:rsidRPr="00545EC0">
        <w:rPr>
          <w:szCs w:val="20"/>
        </w:rPr>
        <w:t xml:space="preserve"> (podatki za leto 2018)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0"/>
        <w:gridCol w:w="895"/>
        <w:gridCol w:w="936"/>
        <w:gridCol w:w="954"/>
        <w:gridCol w:w="916"/>
        <w:gridCol w:w="940"/>
        <w:gridCol w:w="1030"/>
      </w:tblGrid>
      <w:tr w:rsidR="003122F4" w:rsidRPr="00545EC0" w14:paraId="17701748" w14:textId="77777777" w:rsidTr="004C7F30">
        <w:trPr>
          <w:cantSplit/>
          <w:trHeight w:val="340"/>
          <w:tblHeader/>
        </w:trPr>
        <w:tc>
          <w:tcPr>
            <w:tcW w:w="1922" w:type="pct"/>
            <w:shd w:val="clear" w:color="auto" w:fill="F2F2F2" w:themeFill="background1" w:themeFillShade="F2"/>
            <w:vAlign w:val="center"/>
            <w:hideMark/>
          </w:tcPr>
          <w:p w14:paraId="143F0BE0" w14:textId="77777777" w:rsidR="00617285" w:rsidRPr="00545EC0" w:rsidRDefault="00617285" w:rsidP="00AD4FE7">
            <w:pPr>
              <w:spacing w:before="60" w:after="60" w:line="276" w:lineRule="auto"/>
              <w:jc w:val="left"/>
              <w:rPr>
                <w:rFonts w:eastAsia="Kozuka Gothic Pro H" w:cs="Arial"/>
                <w:b/>
                <w:sz w:val="18"/>
                <w:szCs w:val="18"/>
              </w:rPr>
            </w:pPr>
            <w:r w:rsidRPr="00545EC0">
              <w:rPr>
                <w:rFonts w:eastAsia="Kozuka Gothic Pro H" w:cs="Arial"/>
                <w:b/>
                <w:sz w:val="18"/>
                <w:szCs w:val="18"/>
              </w:rPr>
              <w:t>Ureditve za odvajanje in čiščenje komunalne odpadne vode iz posameznih objektov</w:t>
            </w:r>
          </w:p>
        </w:tc>
        <w:tc>
          <w:tcPr>
            <w:tcW w:w="486" w:type="pct"/>
            <w:shd w:val="clear" w:color="auto" w:fill="F2F2F2" w:themeFill="background1" w:themeFillShade="F2"/>
            <w:noWrap/>
            <w:vAlign w:val="center"/>
            <w:hideMark/>
          </w:tcPr>
          <w:p w14:paraId="51B753A9" w14:textId="77777777" w:rsidR="00617285" w:rsidRPr="00545EC0" w:rsidRDefault="00617285" w:rsidP="00AD4FE7">
            <w:pPr>
              <w:spacing w:before="60" w:after="60" w:line="276" w:lineRule="auto"/>
              <w:jc w:val="center"/>
              <w:rPr>
                <w:rFonts w:eastAsia="Kozuka Gothic Pro H" w:cs="Arial"/>
                <w:b/>
                <w:sz w:val="18"/>
                <w:szCs w:val="18"/>
              </w:rPr>
            </w:pPr>
            <w:r w:rsidRPr="00545EC0">
              <w:rPr>
                <w:rFonts w:eastAsia="Kozuka Gothic Pro H" w:cs="Arial"/>
                <w:b/>
                <w:sz w:val="18"/>
                <w:szCs w:val="18"/>
              </w:rPr>
              <w:t>Mura</w:t>
            </w:r>
          </w:p>
        </w:tc>
        <w:tc>
          <w:tcPr>
            <w:tcW w:w="508" w:type="pct"/>
            <w:shd w:val="clear" w:color="auto" w:fill="F2F2F2" w:themeFill="background1" w:themeFillShade="F2"/>
            <w:noWrap/>
            <w:vAlign w:val="center"/>
            <w:hideMark/>
          </w:tcPr>
          <w:p w14:paraId="01115895" w14:textId="77777777" w:rsidR="00617285" w:rsidRPr="00545EC0" w:rsidRDefault="00617285" w:rsidP="00AD4FE7">
            <w:pPr>
              <w:spacing w:before="60" w:after="60" w:line="276" w:lineRule="auto"/>
              <w:jc w:val="center"/>
              <w:rPr>
                <w:rFonts w:eastAsia="Kozuka Gothic Pro H" w:cs="Arial"/>
                <w:b/>
                <w:sz w:val="18"/>
                <w:szCs w:val="18"/>
              </w:rPr>
            </w:pPr>
            <w:r w:rsidRPr="00545EC0">
              <w:rPr>
                <w:rFonts w:eastAsia="Kozuka Gothic Pro H" w:cs="Arial"/>
                <w:b/>
                <w:sz w:val="18"/>
                <w:szCs w:val="18"/>
              </w:rPr>
              <w:t>Drava</w:t>
            </w:r>
          </w:p>
        </w:tc>
        <w:tc>
          <w:tcPr>
            <w:tcW w:w="518" w:type="pct"/>
            <w:shd w:val="clear" w:color="auto" w:fill="F2F2F2" w:themeFill="background1" w:themeFillShade="F2"/>
            <w:vAlign w:val="center"/>
          </w:tcPr>
          <w:p w14:paraId="11800BF9" w14:textId="77777777" w:rsidR="00617285" w:rsidRPr="00545EC0" w:rsidRDefault="00617285" w:rsidP="00AD4FE7">
            <w:pPr>
              <w:spacing w:before="60" w:after="60" w:line="276" w:lineRule="auto"/>
              <w:jc w:val="center"/>
              <w:rPr>
                <w:rFonts w:eastAsia="Kozuka Gothic Pro H" w:cs="Arial"/>
                <w:b/>
                <w:sz w:val="18"/>
                <w:szCs w:val="18"/>
              </w:rPr>
            </w:pPr>
            <w:r w:rsidRPr="00545EC0">
              <w:rPr>
                <w:rFonts w:eastAsia="Kozuka Gothic Pro H" w:cs="Arial"/>
                <w:b/>
                <w:sz w:val="18"/>
                <w:szCs w:val="18"/>
              </w:rPr>
              <w:t>Zgornja Sava</w:t>
            </w:r>
          </w:p>
        </w:tc>
        <w:tc>
          <w:tcPr>
            <w:tcW w:w="497" w:type="pct"/>
            <w:shd w:val="clear" w:color="auto" w:fill="F2F2F2" w:themeFill="background1" w:themeFillShade="F2"/>
            <w:vAlign w:val="center"/>
          </w:tcPr>
          <w:p w14:paraId="7857F9A4" w14:textId="77777777" w:rsidR="00617285" w:rsidRPr="00545EC0" w:rsidRDefault="00617285" w:rsidP="00AD4FE7">
            <w:pPr>
              <w:spacing w:before="60" w:after="60" w:line="276" w:lineRule="auto"/>
              <w:jc w:val="center"/>
              <w:rPr>
                <w:rFonts w:eastAsia="Kozuka Gothic Pro H" w:cs="Arial"/>
                <w:b/>
                <w:sz w:val="18"/>
                <w:szCs w:val="18"/>
              </w:rPr>
            </w:pPr>
            <w:r w:rsidRPr="00545EC0">
              <w:rPr>
                <w:rFonts w:eastAsia="Kozuka Gothic Pro H" w:cs="Arial"/>
                <w:b/>
                <w:sz w:val="18"/>
                <w:szCs w:val="18"/>
              </w:rPr>
              <w:t>Srednja Sava</w:t>
            </w:r>
          </w:p>
        </w:tc>
        <w:tc>
          <w:tcPr>
            <w:tcW w:w="510" w:type="pct"/>
            <w:shd w:val="clear" w:color="auto" w:fill="F2F2F2" w:themeFill="background1" w:themeFillShade="F2"/>
            <w:vAlign w:val="center"/>
          </w:tcPr>
          <w:p w14:paraId="6210F808" w14:textId="77777777" w:rsidR="00617285" w:rsidRPr="00545EC0" w:rsidRDefault="00617285" w:rsidP="00AD4FE7">
            <w:pPr>
              <w:spacing w:before="60" w:after="60" w:line="276" w:lineRule="auto"/>
              <w:jc w:val="center"/>
              <w:rPr>
                <w:rFonts w:eastAsia="Kozuka Gothic Pro H" w:cs="Arial"/>
                <w:b/>
                <w:sz w:val="18"/>
                <w:szCs w:val="18"/>
              </w:rPr>
            </w:pPr>
            <w:r w:rsidRPr="00545EC0">
              <w:rPr>
                <w:rFonts w:eastAsia="Kozuka Gothic Pro H" w:cs="Arial"/>
                <w:b/>
                <w:sz w:val="18"/>
                <w:szCs w:val="18"/>
              </w:rPr>
              <w:t>Spodnja Sava</w:t>
            </w:r>
          </w:p>
        </w:tc>
        <w:tc>
          <w:tcPr>
            <w:tcW w:w="559" w:type="pct"/>
            <w:shd w:val="clear" w:color="auto" w:fill="F2F2F2" w:themeFill="background1" w:themeFillShade="F2"/>
            <w:noWrap/>
            <w:vAlign w:val="center"/>
            <w:hideMark/>
          </w:tcPr>
          <w:p w14:paraId="40083F45" w14:textId="77777777" w:rsidR="00617285" w:rsidRPr="00545EC0" w:rsidRDefault="00617285" w:rsidP="00AD4FE7">
            <w:pPr>
              <w:spacing w:before="60" w:after="60" w:line="276" w:lineRule="auto"/>
              <w:jc w:val="center"/>
              <w:rPr>
                <w:rFonts w:eastAsia="Kozuka Gothic Pro H" w:cs="Arial"/>
                <w:b/>
                <w:sz w:val="18"/>
                <w:szCs w:val="18"/>
              </w:rPr>
            </w:pPr>
            <w:r w:rsidRPr="00545EC0">
              <w:rPr>
                <w:rFonts w:eastAsia="Kozuka Gothic Pro H" w:cs="Arial"/>
                <w:b/>
                <w:sz w:val="18"/>
                <w:szCs w:val="18"/>
              </w:rPr>
              <w:t>Savinja</w:t>
            </w:r>
          </w:p>
        </w:tc>
      </w:tr>
      <w:tr w:rsidR="003122F4" w:rsidRPr="00545EC0" w14:paraId="3FFF131C" w14:textId="77777777" w:rsidTr="004C7F30">
        <w:trPr>
          <w:cantSplit/>
          <w:trHeight w:val="340"/>
        </w:trPr>
        <w:tc>
          <w:tcPr>
            <w:tcW w:w="5000" w:type="pct"/>
            <w:gridSpan w:val="7"/>
            <w:shd w:val="clear" w:color="auto" w:fill="F2F2F2" w:themeFill="background1" w:themeFillShade="F2"/>
            <w:vAlign w:val="center"/>
          </w:tcPr>
          <w:p w14:paraId="4239D722" w14:textId="34F7D483" w:rsidR="00617285" w:rsidRPr="00545EC0" w:rsidRDefault="00617285" w:rsidP="002A4F99">
            <w:pPr>
              <w:spacing w:before="60" w:after="60" w:line="276" w:lineRule="auto"/>
              <w:jc w:val="center"/>
              <w:rPr>
                <w:rFonts w:eastAsia="Kozuka Gothic Pro H" w:cs="Arial"/>
                <w:b/>
                <w:sz w:val="18"/>
                <w:szCs w:val="18"/>
              </w:rPr>
            </w:pPr>
            <w:r w:rsidRPr="00545EC0">
              <w:rPr>
                <w:rFonts w:eastAsia="Kozuka Gothic Pro H" w:cs="Arial"/>
                <w:b/>
                <w:sz w:val="18"/>
                <w:szCs w:val="18"/>
              </w:rPr>
              <w:t xml:space="preserve">Ureditve </w:t>
            </w:r>
            <w:r w:rsidR="002A4F99" w:rsidRPr="00545EC0">
              <w:rPr>
                <w:rFonts w:eastAsia="Kozuka Gothic Pro H" w:cs="Arial"/>
                <w:b/>
                <w:bCs/>
                <w:sz w:val="18"/>
                <w:szCs w:val="18"/>
              </w:rPr>
              <w:t>zunaj</w:t>
            </w:r>
            <w:r w:rsidRPr="00545EC0">
              <w:rPr>
                <w:rFonts w:eastAsia="Kozuka Gothic Pro H" w:cs="Arial"/>
                <w:b/>
                <w:bCs/>
                <w:sz w:val="18"/>
                <w:szCs w:val="18"/>
              </w:rPr>
              <w:t xml:space="preserve"> meja aglomeracij</w:t>
            </w:r>
          </w:p>
        </w:tc>
      </w:tr>
      <w:tr w:rsidR="003122F4" w:rsidRPr="00545EC0" w14:paraId="6A475244" w14:textId="77777777" w:rsidTr="00017486">
        <w:trPr>
          <w:cantSplit/>
          <w:trHeight w:val="340"/>
        </w:trPr>
        <w:tc>
          <w:tcPr>
            <w:tcW w:w="1922" w:type="pct"/>
            <w:shd w:val="clear" w:color="auto" w:fill="auto"/>
            <w:vAlign w:val="center"/>
            <w:hideMark/>
          </w:tcPr>
          <w:p w14:paraId="378CF842" w14:textId="77777777" w:rsidR="00617285" w:rsidRPr="00545EC0" w:rsidRDefault="00617285" w:rsidP="00AD4FE7">
            <w:pPr>
              <w:spacing w:before="60" w:after="60" w:line="276" w:lineRule="auto"/>
              <w:jc w:val="left"/>
              <w:rPr>
                <w:rFonts w:eastAsia="Kozuka Gothic Pro H" w:cs="Arial"/>
                <w:bCs/>
                <w:sz w:val="18"/>
                <w:szCs w:val="18"/>
              </w:rPr>
            </w:pPr>
            <w:r w:rsidRPr="00545EC0">
              <w:rPr>
                <w:rFonts w:eastAsia="Kozuka Gothic Pro H" w:cs="Arial"/>
                <w:bCs/>
                <w:sz w:val="18"/>
                <w:szCs w:val="18"/>
              </w:rPr>
              <w:t xml:space="preserve">Število stalno prijavljenih prebivalcev izven meja aglomeracij </w:t>
            </w:r>
          </w:p>
        </w:tc>
        <w:tc>
          <w:tcPr>
            <w:tcW w:w="486" w:type="pct"/>
            <w:shd w:val="clear" w:color="auto" w:fill="auto"/>
            <w:vAlign w:val="center"/>
            <w:hideMark/>
          </w:tcPr>
          <w:p w14:paraId="361CC2B6" w14:textId="77777777" w:rsidR="00617285" w:rsidRPr="00545EC0" w:rsidRDefault="00617285" w:rsidP="00AD4FE7">
            <w:pPr>
              <w:spacing w:before="60" w:after="60" w:line="276" w:lineRule="auto"/>
              <w:jc w:val="center"/>
              <w:rPr>
                <w:rFonts w:eastAsia="Kozuka Gothic Pro H" w:cs="Arial"/>
                <w:sz w:val="18"/>
                <w:szCs w:val="18"/>
              </w:rPr>
            </w:pPr>
            <w:r w:rsidRPr="00545EC0">
              <w:rPr>
                <w:rFonts w:eastAsia="Kozuka Gothic Pro H" w:cs="Arial"/>
                <w:sz w:val="18"/>
                <w:szCs w:val="18"/>
              </w:rPr>
              <w:t>38.971</w:t>
            </w:r>
          </w:p>
        </w:tc>
        <w:tc>
          <w:tcPr>
            <w:tcW w:w="508" w:type="pct"/>
            <w:shd w:val="clear" w:color="auto" w:fill="auto"/>
            <w:vAlign w:val="center"/>
            <w:hideMark/>
          </w:tcPr>
          <w:p w14:paraId="08668594" w14:textId="77777777" w:rsidR="00617285" w:rsidRPr="00545EC0" w:rsidRDefault="00617285" w:rsidP="00AD4FE7">
            <w:pPr>
              <w:spacing w:before="60" w:after="60" w:line="276" w:lineRule="auto"/>
              <w:jc w:val="center"/>
              <w:rPr>
                <w:rFonts w:eastAsia="Kozuka Gothic Pro H" w:cs="Arial"/>
                <w:sz w:val="18"/>
                <w:szCs w:val="18"/>
              </w:rPr>
            </w:pPr>
            <w:r w:rsidRPr="00545EC0">
              <w:rPr>
                <w:rFonts w:eastAsia="Kozuka Gothic Pro H" w:cs="Arial"/>
                <w:sz w:val="18"/>
                <w:szCs w:val="18"/>
              </w:rPr>
              <w:t>112.873</w:t>
            </w:r>
          </w:p>
        </w:tc>
        <w:tc>
          <w:tcPr>
            <w:tcW w:w="518" w:type="pct"/>
            <w:vAlign w:val="center"/>
          </w:tcPr>
          <w:p w14:paraId="601F40DA" w14:textId="77777777" w:rsidR="00617285" w:rsidRPr="00545EC0" w:rsidRDefault="00617285" w:rsidP="00AD4FE7">
            <w:pPr>
              <w:spacing w:before="60" w:after="60" w:line="276" w:lineRule="auto"/>
              <w:jc w:val="center"/>
              <w:rPr>
                <w:rFonts w:eastAsia="Kozuka Gothic Pro H" w:cs="Arial"/>
                <w:sz w:val="18"/>
                <w:szCs w:val="18"/>
              </w:rPr>
            </w:pPr>
            <w:r w:rsidRPr="00545EC0">
              <w:rPr>
                <w:rFonts w:eastAsia="Kozuka Gothic Pro H" w:cs="Arial"/>
                <w:sz w:val="18"/>
                <w:szCs w:val="18"/>
              </w:rPr>
              <w:t>21.599</w:t>
            </w:r>
          </w:p>
        </w:tc>
        <w:tc>
          <w:tcPr>
            <w:tcW w:w="497" w:type="pct"/>
            <w:vAlign w:val="center"/>
          </w:tcPr>
          <w:p w14:paraId="2A07CCFA" w14:textId="77777777" w:rsidR="00617285" w:rsidRPr="00545EC0" w:rsidRDefault="00617285" w:rsidP="00AD4FE7">
            <w:pPr>
              <w:spacing w:before="60" w:after="60" w:line="276" w:lineRule="auto"/>
              <w:jc w:val="center"/>
              <w:rPr>
                <w:rFonts w:eastAsia="Kozuka Gothic Pro H" w:cs="Arial"/>
                <w:sz w:val="18"/>
                <w:szCs w:val="18"/>
              </w:rPr>
            </w:pPr>
            <w:r w:rsidRPr="00545EC0">
              <w:rPr>
                <w:rFonts w:eastAsia="Kozuka Gothic Pro H" w:cs="Arial"/>
                <w:sz w:val="18"/>
                <w:szCs w:val="18"/>
              </w:rPr>
              <w:t>49.266</w:t>
            </w:r>
          </w:p>
        </w:tc>
        <w:tc>
          <w:tcPr>
            <w:tcW w:w="510" w:type="pct"/>
            <w:vAlign w:val="center"/>
          </w:tcPr>
          <w:p w14:paraId="084F6E3D" w14:textId="77777777" w:rsidR="00617285" w:rsidRPr="00545EC0" w:rsidRDefault="00617285" w:rsidP="00AD4FE7">
            <w:pPr>
              <w:spacing w:before="60" w:after="60" w:line="276" w:lineRule="auto"/>
              <w:jc w:val="center"/>
              <w:rPr>
                <w:rFonts w:eastAsia="Kozuka Gothic Pro H" w:cs="Arial"/>
                <w:sz w:val="18"/>
                <w:szCs w:val="18"/>
              </w:rPr>
            </w:pPr>
            <w:r w:rsidRPr="00545EC0">
              <w:rPr>
                <w:rFonts w:eastAsia="Kozuka Gothic Pro H" w:cs="Arial"/>
                <w:sz w:val="18"/>
                <w:szCs w:val="18"/>
              </w:rPr>
              <w:t>113.752</w:t>
            </w:r>
          </w:p>
        </w:tc>
        <w:tc>
          <w:tcPr>
            <w:tcW w:w="559" w:type="pct"/>
            <w:shd w:val="clear" w:color="auto" w:fill="auto"/>
            <w:vAlign w:val="center"/>
            <w:hideMark/>
          </w:tcPr>
          <w:p w14:paraId="6A44BE59" w14:textId="77777777" w:rsidR="00617285" w:rsidRPr="00545EC0" w:rsidRDefault="00617285" w:rsidP="00AD4FE7">
            <w:pPr>
              <w:spacing w:before="60" w:after="60" w:line="276" w:lineRule="auto"/>
              <w:jc w:val="center"/>
              <w:rPr>
                <w:rFonts w:eastAsia="Kozuka Gothic Pro H" w:cs="Arial"/>
                <w:sz w:val="18"/>
                <w:szCs w:val="18"/>
              </w:rPr>
            </w:pPr>
            <w:r w:rsidRPr="00545EC0">
              <w:rPr>
                <w:rFonts w:eastAsia="Kozuka Gothic Pro H" w:cs="Arial"/>
                <w:sz w:val="18"/>
                <w:szCs w:val="18"/>
              </w:rPr>
              <w:t>64.890</w:t>
            </w:r>
          </w:p>
        </w:tc>
      </w:tr>
      <w:tr w:rsidR="003122F4" w:rsidRPr="00545EC0" w14:paraId="2AB5AE6C" w14:textId="77777777" w:rsidTr="00017486">
        <w:trPr>
          <w:cantSplit/>
          <w:trHeight w:val="340"/>
        </w:trPr>
        <w:tc>
          <w:tcPr>
            <w:tcW w:w="5000" w:type="pct"/>
            <w:gridSpan w:val="7"/>
            <w:shd w:val="clear" w:color="auto" w:fill="auto"/>
            <w:vAlign w:val="center"/>
            <w:hideMark/>
          </w:tcPr>
          <w:p w14:paraId="4D2BF729" w14:textId="77777777" w:rsidR="00617285" w:rsidRPr="00545EC0" w:rsidRDefault="00617285" w:rsidP="00AD4FE7">
            <w:pPr>
              <w:spacing w:before="60" w:after="60" w:line="276" w:lineRule="auto"/>
              <w:jc w:val="left"/>
              <w:rPr>
                <w:rFonts w:eastAsia="Kozuka Gothic Pro H" w:cs="Arial"/>
                <w:sz w:val="18"/>
                <w:szCs w:val="18"/>
              </w:rPr>
            </w:pPr>
            <w:r w:rsidRPr="00545EC0">
              <w:rPr>
                <w:rFonts w:eastAsia="Kozuka Gothic Pro H" w:cs="Arial"/>
                <w:sz w:val="18"/>
                <w:szCs w:val="18"/>
              </w:rPr>
              <w:t xml:space="preserve">Število stalno prijavljenih prebivalcev </w:t>
            </w:r>
            <w:r w:rsidRPr="00545EC0">
              <w:rPr>
                <w:rFonts w:eastAsia="Kozuka Gothic Pro H" w:cs="Arial"/>
                <w:bCs/>
                <w:sz w:val="18"/>
                <w:szCs w:val="18"/>
              </w:rPr>
              <w:t>izven meja aglomeracij</w:t>
            </w:r>
            <w:r w:rsidRPr="00545EC0">
              <w:rPr>
                <w:rFonts w:eastAsia="Kozuka Gothic Pro H" w:cs="Arial"/>
                <w:sz w:val="18"/>
                <w:szCs w:val="18"/>
              </w:rPr>
              <w:t>, ki ima urejeno odvajanje komunalne odpadne vode z:</w:t>
            </w:r>
          </w:p>
        </w:tc>
      </w:tr>
      <w:tr w:rsidR="003122F4" w:rsidRPr="00545EC0" w14:paraId="169BA830" w14:textId="77777777" w:rsidTr="00017486">
        <w:trPr>
          <w:cantSplit/>
          <w:trHeight w:val="572"/>
        </w:trPr>
        <w:tc>
          <w:tcPr>
            <w:tcW w:w="1922" w:type="pct"/>
            <w:shd w:val="clear" w:color="auto" w:fill="auto"/>
            <w:vAlign w:val="center"/>
            <w:hideMark/>
          </w:tcPr>
          <w:p w14:paraId="16F12680" w14:textId="77777777" w:rsidR="00617285" w:rsidRPr="00545EC0" w:rsidRDefault="00617285" w:rsidP="00DD37C5">
            <w:pPr>
              <w:pStyle w:val="Odstavekseznama"/>
              <w:numPr>
                <w:ilvl w:val="0"/>
                <w:numId w:val="85"/>
              </w:numPr>
              <w:spacing w:before="60" w:after="60" w:line="276" w:lineRule="auto"/>
              <w:ind w:left="567" w:hanging="283"/>
              <w:jc w:val="left"/>
              <w:rPr>
                <w:rFonts w:eastAsia="Kozuka Gothic Pro H" w:cs="Arial"/>
                <w:sz w:val="18"/>
                <w:szCs w:val="18"/>
              </w:rPr>
            </w:pPr>
            <w:r w:rsidRPr="00545EC0">
              <w:rPr>
                <w:rFonts w:eastAsia="Kozuka Gothic Pro H" w:cs="Arial"/>
                <w:sz w:val="18"/>
                <w:szCs w:val="18"/>
              </w:rPr>
              <w:t>nepretočno greznico</w:t>
            </w:r>
          </w:p>
        </w:tc>
        <w:tc>
          <w:tcPr>
            <w:tcW w:w="486" w:type="pct"/>
            <w:shd w:val="clear" w:color="auto" w:fill="auto"/>
            <w:vAlign w:val="center"/>
            <w:hideMark/>
          </w:tcPr>
          <w:p w14:paraId="3C5EB7FE" w14:textId="77777777" w:rsidR="00617285" w:rsidRPr="00545EC0" w:rsidRDefault="00617285" w:rsidP="00AD4FE7">
            <w:pPr>
              <w:spacing w:before="60" w:after="60" w:line="276" w:lineRule="auto"/>
              <w:jc w:val="center"/>
              <w:rPr>
                <w:rFonts w:eastAsia="Kozuka Gothic Pro H" w:cs="Arial"/>
                <w:sz w:val="18"/>
                <w:szCs w:val="18"/>
              </w:rPr>
            </w:pPr>
            <w:r w:rsidRPr="00545EC0">
              <w:rPr>
                <w:rFonts w:cs="Arial"/>
                <w:sz w:val="18"/>
                <w:szCs w:val="18"/>
              </w:rPr>
              <w:t>5.573</w:t>
            </w:r>
          </w:p>
        </w:tc>
        <w:tc>
          <w:tcPr>
            <w:tcW w:w="508" w:type="pct"/>
            <w:shd w:val="clear" w:color="auto" w:fill="auto"/>
            <w:vAlign w:val="center"/>
            <w:hideMark/>
          </w:tcPr>
          <w:p w14:paraId="18C56DA8" w14:textId="77777777" w:rsidR="00617285" w:rsidRPr="00545EC0" w:rsidRDefault="00617285" w:rsidP="00AD4FE7">
            <w:pPr>
              <w:spacing w:before="60" w:after="60" w:line="276" w:lineRule="auto"/>
              <w:jc w:val="center"/>
              <w:rPr>
                <w:rFonts w:eastAsia="Kozuka Gothic Pro H" w:cs="Arial"/>
                <w:sz w:val="18"/>
                <w:szCs w:val="18"/>
              </w:rPr>
            </w:pPr>
            <w:r w:rsidRPr="00545EC0">
              <w:rPr>
                <w:rFonts w:cs="Arial"/>
                <w:sz w:val="18"/>
                <w:szCs w:val="18"/>
              </w:rPr>
              <w:t>8.559</w:t>
            </w:r>
          </w:p>
        </w:tc>
        <w:tc>
          <w:tcPr>
            <w:tcW w:w="518" w:type="pct"/>
            <w:vAlign w:val="center"/>
          </w:tcPr>
          <w:p w14:paraId="690C8C76" w14:textId="77777777" w:rsidR="00617285" w:rsidRPr="00545EC0" w:rsidRDefault="00617285" w:rsidP="00AD4FE7">
            <w:pPr>
              <w:spacing w:before="60" w:after="60" w:line="276" w:lineRule="auto"/>
              <w:jc w:val="center"/>
              <w:rPr>
                <w:rFonts w:eastAsia="Kozuka Gothic Pro H" w:cs="Arial"/>
                <w:sz w:val="18"/>
                <w:szCs w:val="18"/>
              </w:rPr>
            </w:pPr>
            <w:r w:rsidRPr="00545EC0">
              <w:rPr>
                <w:rFonts w:cs="Arial"/>
                <w:sz w:val="18"/>
                <w:szCs w:val="18"/>
              </w:rPr>
              <w:t>921</w:t>
            </w:r>
          </w:p>
        </w:tc>
        <w:tc>
          <w:tcPr>
            <w:tcW w:w="497" w:type="pct"/>
            <w:vAlign w:val="center"/>
          </w:tcPr>
          <w:p w14:paraId="2175812E" w14:textId="77777777" w:rsidR="00617285" w:rsidRPr="00545EC0" w:rsidRDefault="00617285" w:rsidP="00AD4FE7">
            <w:pPr>
              <w:spacing w:before="60" w:after="60" w:line="276" w:lineRule="auto"/>
              <w:jc w:val="center"/>
              <w:rPr>
                <w:rFonts w:eastAsia="Kozuka Gothic Pro H" w:cs="Arial"/>
                <w:sz w:val="18"/>
                <w:szCs w:val="18"/>
              </w:rPr>
            </w:pPr>
            <w:r w:rsidRPr="00545EC0">
              <w:rPr>
                <w:rFonts w:cs="Arial"/>
                <w:sz w:val="18"/>
                <w:szCs w:val="18"/>
              </w:rPr>
              <w:t>644</w:t>
            </w:r>
          </w:p>
        </w:tc>
        <w:tc>
          <w:tcPr>
            <w:tcW w:w="510" w:type="pct"/>
            <w:vAlign w:val="center"/>
          </w:tcPr>
          <w:p w14:paraId="33E99448" w14:textId="77777777" w:rsidR="00617285" w:rsidRPr="00545EC0" w:rsidRDefault="00617285" w:rsidP="00AD4FE7">
            <w:pPr>
              <w:spacing w:before="60" w:after="60" w:line="276" w:lineRule="auto"/>
              <w:jc w:val="center"/>
              <w:rPr>
                <w:rFonts w:eastAsia="Kozuka Gothic Pro H" w:cs="Arial"/>
                <w:sz w:val="18"/>
                <w:szCs w:val="18"/>
              </w:rPr>
            </w:pPr>
            <w:r w:rsidRPr="00545EC0">
              <w:rPr>
                <w:rFonts w:cs="Arial"/>
                <w:sz w:val="18"/>
                <w:szCs w:val="18"/>
              </w:rPr>
              <w:t>3.090</w:t>
            </w:r>
          </w:p>
        </w:tc>
        <w:tc>
          <w:tcPr>
            <w:tcW w:w="559" w:type="pct"/>
            <w:shd w:val="clear" w:color="auto" w:fill="auto"/>
            <w:vAlign w:val="center"/>
            <w:hideMark/>
          </w:tcPr>
          <w:p w14:paraId="22EA6E71" w14:textId="77777777" w:rsidR="00617285" w:rsidRPr="00545EC0" w:rsidRDefault="00617285" w:rsidP="00AD4FE7">
            <w:pPr>
              <w:spacing w:before="60" w:after="60" w:line="276" w:lineRule="auto"/>
              <w:jc w:val="center"/>
              <w:rPr>
                <w:rFonts w:eastAsia="Kozuka Gothic Pro H" w:cs="Arial"/>
                <w:sz w:val="18"/>
                <w:szCs w:val="18"/>
              </w:rPr>
            </w:pPr>
            <w:r w:rsidRPr="00545EC0">
              <w:rPr>
                <w:rFonts w:cs="Arial"/>
                <w:sz w:val="18"/>
                <w:szCs w:val="18"/>
              </w:rPr>
              <w:t>1.384</w:t>
            </w:r>
          </w:p>
        </w:tc>
      </w:tr>
      <w:tr w:rsidR="003122F4" w:rsidRPr="00545EC0" w14:paraId="38FF0C71" w14:textId="77777777" w:rsidTr="00017486">
        <w:trPr>
          <w:cantSplit/>
          <w:trHeight w:val="566"/>
        </w:trPr>
        <w:tc>
          <w:tcPr>
            <w:tcW w:w="1922" w:type="pct"/>
            <w:shd w:val="clear" w:color="auto" w:fill="auto"/>
            <w:vAlign w:val="center"/>
            <w:hideMark/>
          </w:tcPr>
          <w:p w14:paraId="6C9009AF" w14:textId="77777777" w:rsidR="00617285" w:rsidRPr="00545EC0" w:rsidRDefault="00617285" w:rsidP="00DD37C5">
            <w:pPr>
              <w:pStyle w:val="Odstavekseznama"/>
              <w:numPr>
                <w:ilvl w:val="0"/>
                <w:numId w:val="85"/>
              </w:numPr>
              <w:spacing w:before="60" w:after="60" w:line="276" w:lineRule="auto"/>
              <w:ind w:left="567" w:hanging="283"/>
              <w:jc w:val="left"/>
              <w:rPr>
                <w:rFonts w:eastAsia="Kozuka Gothic Pro H" w:cs="Arial"/>
                <w:sz w:val="18"/>
                <w:szCs w:val="18"/>
              </w:rPr>
            </w:pPr>
            <w:r w:rsidRPr="00545EC0">
              <w:rPr>
                <w:rFonts w:eastAsia="Kozuka Gothic Pro H" w:cs="Arial"/>
                <w:sz w:val="18"/>
                <w:szCs w:val="18"/>
              </w:rPr>
              <w:t>obstoječo pretočno greznico</w:t>
            </w:r>
          </w:p>
        </w:tc>
        <w:tc>
          <w:tcPr>
            <w:tcW w:w="486" w:type="pct"/>
            <w:shd w:val="clear" w:color="auto" w:fill="auto"/>
            <w:vAlign w:val="center"/>
            <w:hideMark/>
          </w:tcPr>
          <w:p w14:paraId="6CD06D04" w14:textId="77777777" w:rsidR="00617285" w:rsidRPr="00545EC0" w:rsidRDefault="00617285" w:rsidP="00AD4FE7">
            <w:pPr>
              <w:spacing w:before="60" w:after="60" w:line="276" w:lineRule="auto"/>
              <w:jc w:val="center"/>
              <w:rPr>
                <w:rFonts w:eastAsia="Kozuka Gothic Pro H" w:cs="Arial"/>
                <w:sz w:val="18"/>
                <w:szCs w:val="18"/>
              </w:rPr>
            </w:pPr>
            <w:r w:rsidRPr="00545EC0">
              <w:rPr>
                <w:rFonts w:cs="Arial"/>
                <w:sz w:val="18"/>
                <w:szCs w:val="18"/>
              </w:rPr>
              <w:t>17.854</w:t>
            </w:r>
          </w:p>
        </w:tc>
        <w:tc>
          <w:tcPr>
            <w:tcW w:w="508" w:type="pct"/>
            <w:shd w:val="clear" w:color="auto" w:fill="auto"/>
            <w:vAlign w:val="center"/>
            <w:hideMark/>
          </w:tcPr>
          <w:p w14:paraId="12F3289E" w14:textId="77777777" w:rsidR="00617285" w:rsidRPr="00545EC0" w:rsidRDefault="00617285" w:rsidP="00AD4FE7">
            <w:pPr>
              <w:spacing w:before="60" w:after="60" w:line="276" w:lineRule="auto"/>
              <w:jc w:val="center"/>
              <w:rPr>
                <w:rFonts w:eastAsia="Kozuka Gothic Pro H" w:cs="Arial"/>
                <w:sz w:val="18"/>
                <w:szCs w:val="18"/>
              </w:rPr>
            </w:pPr>
            <w:r w:rsidRPr="00545EC0">
              <w:rPr>
                <w:rFonts w:cs="Arial"/>
                <w:sz w:val="18"/>
                <w:szCs w:val="18"/>
              </w:rPr>
              <w:t>89.899</w:t>
            </w:r>
          </w:p>
        </w:tc>
        <w:tc>
          <w:tcPr>
            <w:tcW w:w="518" w:type="pct"/>
            <w:vAlign w:val="center"/>
          </w:tcPr>
          <w:p w14:paraId="1569FA1C" w14:textId="77777777" w:rsidR="00617285" w:rsidRPr="00545EC0" w:rsidRDefault="00617285" w:rsidP="00AD4FE7">
            <w:pPr>
              <w:spacing w:before="60" w:after="60" w:line="276" w:lineRule="auto"/>
              <w:jc w:val="center"/>
              <w:rPr>
                <w:rFonts w:eastAsia="Kozuka Gothic Pro H" w:cs="Arial"/>
                <w:sz w:val="18"/>
                <w:szCs w:val="18"/>
              </w:rPr>
            </w:pPr>
            <w:r w:rsidRPr="00545EC0">
              <w:rPr>
                <w:rFonts w:cs="Arial"/>
                <w:sz w:val="18"/>
                <w:szCs w:val="18"/>
              </w:rPr>
              <w:t>16.493</w:t>
            </w:r>
          </w:p>
        </w:tc>
        <w:tc>
          <w:tcPr>
            <w:tcW w:w="497" w:type="pct"/>
            <w:vAlign w:val="center"/>
          </w:tcPr>
          <w:p w14:paraId="1DACCD4E" w14:textId="77777777" w:rsidR="00617285" w:rsidRPr="00545EC0" w:rsidRDefault="00617285" w:rsidP="00AD4FE7">
            <w:pPr>
              <w:spacing w:before="60" w:after="60" w:line="276" w:lineRule="auto"/>
              <w:jc w:val="center"/>
              <w:rPr>
                <w:rFonts w:eastAsia="Kozuka Gothic Pro H" w:cs="Arial"/>
                <w:sz w:val="18"/>
                <w:szCs w:val="18"/>
              </w:rPr>
            </w:pPr>
            <w:r w:rsidRPr="00545EC0">
              <w:rPr>
                <w:rFonts w:cs="Arial"/>
                <w:sz w:val="18"/>
                <w:szCs w:val="18"/>
              </w:rPr>
              <w:t>40.496</w:t>
            </w:r>
          </w:p>
        </w:tc>
        <w:tc>
          <w:tcPr>
            <w:tcW w:w="510" w:type="pct"/>
            <w:vAlign w:val="center"/>
          </w:tcPr>
          <w:p w14:paraId="094CE79B" w14:textId="77777777" w:rsidR="00617285" w:rsidRPr="00545EC0" w:rsidRDefault="00617285" w:rsidP="00AD4FE7">
            <w:pPr>
              <w:spacing w:before="60" w:after="60" w:line="276" w:lineRule="auto"/>
              <w:jc w:val="center"/>
              <w:rPr>
                <w:rFonts w:eastAsia="Kozuka Gothic Pro H" w:cs="Arial"/>
                <w:sz w:val="18"/>
                <w:szCs w:val="18"/>
              </w:rPr>
            </w:pPr>
            <w:r w:rsidRPr="00545EC0">
              <w:rPr>
                <w:rFonts w:cs="Arial"/>
                <w:sz w:val="18"/>
                <w:szCs w:val="18"/>
              </w:rPr>
              <w:t>64.888</w:t>
            </w:r>
          </w:p>
        </w:tc>
        <w:tc>
          <w:tcPr>
            <w:tcW w:w="559" w:type="pct"/>
            <w:shd w:val="clear" w:color="auto" w:fill="auto"/>
            <w:vAlign w:val="center"/>
            <w:hideMark/>
          </w:tcPr>
          <w:p w14:paraId="665DD69C" w14:textId="77777777" w:rsidR="00617285" w:rsidRPr="00545EC0" w:rsidRDefault="00617285" w:rsidP="00AD4FE7">
            <w:pPr>
              <w:spacing w:before="60" w:after="60" w:line="276" w:lineRule="auto"/>
              <w:jc w:val="center"/>
              <w:rPr>
                <w:rFonts w:eastAsia="Kozuka Gothic Pro H" w:cs="Arial"/>
                <w:sz w:val="18"/>
                <w:szCs w:val="18"/>
              </w:rPr>
            </w:pPr>
            <w:r w:rsidRPr="00545EC0">
              <w:rPr>
                <w:rFonts w:cs="Arial"/>
                <w:sz w:val="18"/>
                <w:szCs w:val="18"/>
              </w:rPr>
              <w:t>53.695</w:t>
            </w:r>
          </w:p>
        </w:tc>
      </w:tr>
      <w:tr w:rsidR="003122F4" w:rsidRPr="00545EC0" w14:paraId="7B255D08" w14:textId="77777777" w:rsidTr="00017486">
        <w:trPr>
          <w:cantSplit/>
          <w:trHeight w:val="340"/>
        </w:trPr>
        <w:tc>
          <w:tcPr>
            <w:tcW w:w="1922" w:type="pct"/>
            <w:shd w:val="clear" w:color="auto" w:fill="auto"/>
            <w:vAlign w:val="center"/>
            <w:hideMark/>
          </w:tcPr>
          <w:p w14:paraId="2B8D28DD" w14:textId="77777777" w:rsidR="00617285" w:rsidRPr="00545EC0" w:rsidRDefault="00617285" w:rsidP="00DD37C5">
            <w:pPr>
              <w:pStyle w:val="Odstavekseznama"/>
              <w:numPr>
                <w:ilvl w:val="0"/>
                <w:numId w:val="85"/>
              </w:numPr>
              <w:spacing w:before="60" w:after="60" w:line="276" w:lineRule="auto"/>
              <w:ind w:left="567" w:hanging="283"/>
              <w:jc w:val="left"/>
              <w:rPr>
                <w:rFonts w:eastAsia="Kozuka Gothic Pro H" w:cs="Arial"/>
                <w:sz w:val="18"/>
                <w:szCs w:val="18"/>
              </w:rPr>
            </w:pPr>
            <w:r w:rsidRPr="00545EC0">
              <w:rPr>
                <w:rFonts w:eastAsia="Kozuka Gothic Pro H" w:cs="Arial"/>
                <w:sz w:val="18"/>
                <w:szCs w:val="18"/>
              </w:rPr>
              <w:lastRenderedPageBreak/>
              <w:t>MKČN, ki ni del javne kanalizacije in ni javna infrastruktura</w:t>
            </w:r>
          </w:p>
        </w:tc>
        <w:tc>
          <w:tcPr>
            <w:tcW w:w="486" w:type="pct"/>
            <w:shd w:val="clear" w:color="auto" w:fill="auto"/>
            <w:vAlign w:val="center"/>
            <w:hideMark/>
          </w:tcPr>
          <w:p w14:paraId="616569A5" w14:textId="77777777" w:rsidR="00617285" w:rsidRPr="00545EC0" w:rsidRDefault="00617285" w:rsidP="00AD4FE7">
            <w:pPr>
              <w:spacing w:before="60" w:after="60" w:line="276" w:lineRule="auto"/>
              <w:jc w:val="center"/>
              <w:rPr>
                <w:rFonts w:eastAsia="Kozuka Gothic Pro H" w:cs="Arial"/>
                <w:sz w:val="18"/>
                <w:szCs w:val="18"/>
              </w:rPr>
            </w:pPr>
            <w:r w:rsidRPr="00545EC0">
              <w:rPr>
                <w:rFonts w:cs="Arial"/>
                <w:sz w:val="18"/>
                <w:szCs w:val="18"/>
              </w:rPr>
              <w:t>1.539</w:t>
            </w:r>
          </w:p>
        </w:tc>
        <w:tc>
          <w:tcPr>
            <w:tcW w:w="508" w:type="pct"/>
            <w:shd w:val="clear" w:color="auto" w:fill="auto"/>
            <w:vAlign w:val="center"/>
            <w:hideMark/>
          </w:tcPr>
          <w:p w14:paraId="0A92C419" w14:textId="77777777" w:rsidR="00617285" w:rsidRPr="00545EC0" w:rsidRDefault="00617285" w:rsidP="00AD4FE7">
            <w:pPr>
              <w:spacing w:before="60" w:after="60" w:line="276" w:lineRule="auto"/>
              <w:jc w:val="center"/>
              <w:rPr>
                <w:rFonts w:eastAsia="Kozuka Gothic Pro H" w:cs="Arial"/>
                <w:sz w:val="18"/>
                <w:szCs w:val="18"/>
              </w:rPr>
            </w:pPr>
            <w:r w:rsidRPr="00545EC0">
              <w:rPr>
                <w:rFonts w:cs="Arial"/>
                <w:sz w:val="18"/>
                <w:szCs w:val="18"/>
              </w:rPr>
              <w:t>3.923</w:t>
            </w:r>
          </w:p>
        </w:tc>
        <w:tc>
          <w:tcPr>
            <w:tcW w:w="518" w:type="pct"/>
            <w:vAlign w:val="center"/>
          </w:tcPr>
          <w:p w14:paraId="3B79AECD" w14:textId="77777777" w:rsidR="00617285" w:rsidRPr="00545EC0" w:rsidRDefault="00617285" w:rsidP="00AD4FE7">
            <w:pPr>
              <w:spacing w:before="60" w:after="60" w:line="276" w:lineRule="auto"/>
              <w:jc w:val="center"/>
              <w:rPr>
                <w:rFonts w:eastAsia="Kozuka Gothic Pro H" w:cs="Arial"/>
                <w:sz w:val="18"/>
                <w:szCs w:val="18"/>
              </w:rPr>
            </w:pPr>
            <w:r w:rsidRPr="00545EC0">
              <w:rPr>
                <w:rFonts w:cs="Arial"/>
                <w:sz w:val="18"/>
                <w:szCs w:val="18"/>
              </w:rPr>
              <w:t>1.962</w:t>
            </w:r>
          </w:p>
        </w:tc>
        <w:tc>
          <w:tcPr>
            <w:tcW w:w="497" w:type="pct"/>
            <w:vAlign w:val="center"/>
          </w:tcPr>
          <w:p w14:paraId="4633BF65" w14:textId="77777777" w:rsidR="00617285" w:rsidRPr="00545EC0" w:rsidRDefault="00617285" w:rsidP="00AD4FE7">
            <w:pPr>
              <w:spacing w:before="60" w:after="60" w:line="276" w:lineRule="auto"/>
              <w:jc w:val="center"/>
              <w:rPr>
                <w:rFonts w:eastAsia="Kozuka Gothic Pro H" w:cs="Arial"/>
                <w:sz w:val="18"/>
                <w:szCs w:val="18"/>
              </w:rPr>
            </w:pPr>
            <w:r w:rsidRPr="00545EC0">
              <w:rPr>
                <w:rFonts w:cs="Arial"/>
                <w:sz w:val="18"/>
                <w:szCs w:val="18"/>
              </w:rPr>
              <w:t>3.573</w:t>
            </w:r>
          </w:p>
        </w:tc>
        <w:tc>
          <w:tcPr>
            <w:tcW w:w="510" w:type="pct"/>
            <w:vAlign w:val="center"/>
          </w:tcPr>
          <w:p w14:paraId="4A426620" w14:textId="77777777" w:rsidR="00617285" w:rsidRPr="00545EC0" w:rsidRDefault="00617285" w:rsidP="00AD4FE7">
            <w:pPr>
              <w:spacing w:before="60" w:after="60" w:line="276" w:lineRule="auto"/>
              <w:jc w:val="center"/>
              <w:rPr>
                <w:rFonts w:eastAsia="Kozuka Gothic Pro H" w:cs="Arial"/>
                <w:sz w:val="18"/>
                <w:szCs w:val="18"/>
              </w:rPr>
            </w:pPr>
            <w:r w:rsidRPr="00545EC0">
              <w:rPr>
                <w:rFonts w:cs="Arial"/>
                <w:sz w:val="18"/>
                <w:szCs w:val="18"/>
              </w:rPr>
              <w:t>3.928</w:t>
            </w:r>
          </w:p>
        </w:tc>
        <w:tc>
          <w:tcPr>
            <w:tcW w:w="559" w:type="pct"/>
            <w:shd w:val="clear" w:color="auto" w:fill="auto"/>
            <w:vAlign w:val="center"/>
            <w:hideMark/>
          </w:tcPr>
          <w:p w14:paraId="7054AAB2" w14:textId="77777777" w:rsidR="00617285" w:rsidRPr="00545EC0" w:rsidRDefault="00617285" w:rsidP="00AD4FE7">
            <w:pPr>
              <w:spacing w:before="60" w:after="60" w:line="276" w:lineRule="auto"/>
              <w:jc w:val="center"/>
              <w:rPr>
                <w:rFonts w:eastAsia="Kozuka Gothic Pro H" w:cs="Arial"/>
                <w:sz w:val="18"/>
                <w:szCs w:val="18"/>
              </w:rPr>
            </w:pPr>
            <w:r w:rsidRPr="00545EC0">
              <w:rPr>
                <w:rFonts w:cs="Arial"/>
                <w:sz w:val="18"/>
                <w:szCs w:val="18"/>
              </w:rPr>
              <w:t>3.614</w:t>
            </w:r>
          </w:p>
        </w:tc>
      </w:tr>
      <w:tr w:rsidR="003122F4" w:rsidRPr="00545EC0" w14:paraId="0315973D" w14:textId="77777777" w:rsidTr="00017486">
        <w:trPr>
          <w:cantSplit/>
          <w:trHeight w:val="340"/>
        </w:trPr>
        <w:tc>
          <w:tcPr>
            <w:tcW w:w="1922" w:type="pct"/>
            <w:shd w:val="clear" w:color="auto" w:fill="auto"/>
            <w:vAlign w:val="center"/>
            <w:hideMark/>
          </w:tcPr>
          <w:p w14:paraId="636EEB2C" w14:textId="77777777" w:rsidR="00617285" w:rsidRPr="00545EC0" w:rsidRDefault="00617285" w:rsidP="00AD4FE7">
            <w:pPr>
              <w:spacing w:before="60" w:after="60" w:line="276" w:lineRule="auto"/>
              <w:jc w:val="left"/>
              <w:rPr>
                <w:rFonts w:eastAsia="Kozuka Gothic Pro H" w:cs="Arial"/>
                <w:sz w:val="18"/>
                <w:szCs w:val="18"/>
              </w:rPr>
            </w:pPr>
            <w:r w:rsidRPr="00545EC0">
              <w:rPr>
                <w:rFonts w:eastAsia="Kozuka Gothic Pro H" w:cs="Arial"/>
                <w:sz w:val="18"/>
                <w:szCs w:val="18"/>
              </w:rPr>
              <w:t xml:space="preserve">Število stalno prijavljenih prebivalcev </w:t>
            </w:r>
            <w:r w:rsidRPr="00545EC0">
              <w:rPr>
                <w:rFonts w:eastAsia="Kozuka Gothic Pro H" w:cs="Arial"/>
                <w:bCs/>
                <w:sz w:val="18"/>
                <w:szCs w:val="18"/>
              </w:rPr>
              <w:t>izven meja aglomeracij</w:t>
            </w:r>
            <w:r w:rsidRPr="00545EC0">
              <w:rPr>
                <w:rFonts w:eastAsia="Kozuka Gothic Pro H" w:cs="Arial"/>
                <w:sz w:val="18"/>
                <w:szCs w:val="18"/>
              </w:rPr>
              <w:t>, ki nima ureditve (iztok v vode)</w:t>
            </w:r>
          </w:p>
        </w:tc>
        <w:tc>
          <w:tcPr>
            <w:tcW w:w="486" w:type="pct"/>
            <w:shd w:val="clear" w:color="auto" w:fill="auto"/>
            <w:vAlign w:val="center"/>
            <w:hideMark/>
          </w:tcPr>
          <w:p w14:paraId="3140ED26" w14:textId="77777777" w:rsidR="00617285" w:rsidRPr="00545EC0" w:rsidRDefault="00617285" w:rsidP="00AD4FE7">
            <w:pPr>
              <w:spacing w:before="60" w:after="60" w:line="276" w:lineRule="auto"/>
              <w:jc w:val="center"/>
              <w:rPr>
                <w:rFonts w:eastAsia="Kozuka Gothic Pro H" w:cs="Arial"/>
                <w:sz w:val="18"/>
                <w:szCs w:val="18"/>
              </w:rPr>
            </w:pPr>
            <w:r w:rsidRPr="00545EC0">
              <w:rPr>
                <w:rFonts w:cs="Arial"/>
                <w:sz w:val="18"/>
                <w:szCs w:val="18"/>
              </w:rPr>
              <w:t>49</w:t>
            </w:r>
          </w:p>
        </w:tc>
        <w:tc>
          <w:tcPr>
            <w:tcW w:w="508" w:type="pct"/>
            <w:shd w:val="clear" w:color="auto" w:fill="auto"/>
            <w:vAlign w:val="center"/>
            <w:hideMark/>
          </w:tcPr>
          <w:p w14:paraId="22D68F71" w14:textId="77777777" w:rsidR="00617285" w:rsidRPr="00545EC0" w:rsidRDefault="00617285" w:rsidP="00AD4FE7">
            <w:pPr>
              <w:spacing w:before="60" w:after="60" w:line="276" w:lineRule="auto"/>
              <w:jc w:val="center"/>
              <w:rPr>
                <w:rFonts w:eastAsia="Kozuka Gothic Pro H" w:cs="Arial"/>
                <w:sz w:val="18"/>
                <w:szCs w:val="18"/>
              </w:rPr>
            </w:pPr>
            <w:r w:rsidRPr="00545EC0">
              <w:rPr>
                <w:rFonts w:eastAsia="Kozuka Gothic Pro H" w:cs="Arial"/>
                <w:sz w:val="18"/>
                <w:szCs w:val="18"/>
              </w:rPr>
              <w:t>0</w:t>
            </w:r>
          </w:p>
        </w:tc>
        <w:tc>
          <w:tcPr>
            <w:tcW w:w="518" w:type="pct"/>
            <w:vAlign w:val="center"/>
          </w:tcPr>
          <w:p w14:paraId="1C49A437" w14:textId="77777777" w:rsidR="00617285" w:rsidRPr="00545EC0" w:rsidRDefault="00617285" w:rsidP="00AD4FE7">
            <w:pPr>
              <w:spacing w:before="60" w:after="60" w:line="276" w:lineRule="auto"/>
              <w:jc w:val="center"/>
              <w:rPr>
                <w:rFonts w:eastAsia="Kozuka Gothic Pro H" w:cs="Arial"/>
                <w:sz w:val="18"/>
                <w:szCs w:val="18"/>
              </w:rPr>
            </w:pPr>
            <w:r w:rsidRPr="00545EC0">
              <w:rPr>
                <w:rFonts w:cs="Arial"/>
                <w:sz w:val="18"/>
                <w:szCs w:val="18"/>
              </w:rPr>
              <w:t>72</w:t>
            </w:r>
          </w:p>
        </w:tc>
        <w:tc>
          <w:tcPr>
            <w:tcW w:w="497" w:type="pct"/>
            <w:vAlign w:val="center"/>
          </w:tcPr>
          <w:p w14:paraId="502D945E" w14:textId="77777777" w:rsidR="00617285" w:rsidRPr="00545EC0" w:rsidRDefault="00617285" w:rsidP="00AD4FE7">
            <w:pPr>
              <w:spacing w:before="60" w:after="60" w:line="276" w:lineRule="auto"/>
              <w:jc w:val="center"/>
              <w:rPr>
                <w:rFonts w:eastAsia="Kozuka Gothic Pro H" w:cs="Arial"/>
                <w:sz w:val="18"/>
                <w:szCs w:val="18"/>
              </w:rPr>
            </w:pPr>
            <w:r w:rsidRPr="00545EC0">
              <w:rPr>
                <w:rFonts w:cs="Arial"/>
                <w:sz w:val="18"/>
                <w:szCs w:val="18"/>
              </w:rPr>
              <w:t>0</w:t>
            </w:r>
          </w:p>
        </w:tc>
        <w:tc>
          <w:tcPr>
            <w:tcW w:w="510" w:type="pct"/>
            <w:vAlign w:val="center"/>
          </w:tcPr>
          <w:p w14:paraId="7FA1B170" w14:textId="77777777" w:rsidR="00617285" w:rsidRPr="00545EC0" w:rsidRDefault="00617285" w:rsidP="00AD4FE7">
            <w:pPr>
              <w:spacing w:before="60" w:after="60" w:line="276" w:lineRule="auto"/>
              <w:jc w:val="center"/>
              <w:rPr>
                <w:rFonts w:eastAsia="Kozuka Gothic Pro H" w:cs="Arial"/>
                <w:sz w:val="18"/>
                <w:szCs w:val="18"/>
              </w:rPr>
            </w:pPr>
            <w:r w:rsidRPr="00545EC0">
              <w:rPr>
                <w:rFonts w:cs="Arial"/>
                <w:sz w:val="18"/>
                <w:szCs w:val="18"/>
              </w:rPr>
              <w:t>282</w:t>
            </w:r>
          </w:p>
        </w:tc>
        <w:tc>
          <w:tcPr>
            <w:tcW w:w="559" w:type="pct"/>
            <w:shd w:val="clear" w:color="auto" w:fill="auto"/>
            <w:vAlign w:val="center"/>
            <w:hideMark/>
          </w:tcPr>
          <w:p w14:paraId="792106FA" w14:textId="77777777" w:rsidR="00617285" w:rsidRPr="00545EC0" w:rsidRDefault="00617285" w:rsidP="00AD4FE7">
            <w:pPr>
              <w:spacing w:before="60" w:after="60" w:line="276" w:lineRule="auto"/>
              <w:jc w:val="center"/>
              <w:rPr>
                <w:rFonts w:eastAsia="Kozuka Gothic Pro H" w:cs="Arial"/>
                <w:sz w:val="18"/>
                <w:szCs w:val="18"/>
              </w:rPr>
            </w:pPr>
            <w:r w:rsidRPr="00545EC0">
              <w:rPr>
                <w:rFonts w:cs="Arial"/>
                <w:sz w:val="18"/>
                <w:szCs w:val="18"/>
              </w:rPr>
              <w:t>4</w:t>
            </w:r>
          </w:p>
        </w:tc>
      </w:tr>
      <w:tr w:rsidR="003122F4" w:rsidRPr="00545EC0" w14:paraId="37895094" w14:textId="77777777" w:rsidTr="004C7F30">
        <w:trPr>
          <w:cantSplit/>
          <w:trHeight w:val="340"/>
        </w:trPr>
        <w:tc>
          <w:tcPr>
            <w:tcW w:w="5000" w:type="pct"/>
            <w:gridSpan w:val="7"/>
            <w:shd w:val="clear" w:color="auto" w:fill="F2F2F2" w:themeFill="background1" w:themeFillShade="F2"/>
            <w:vAlign w:val="center"/>
          </w:tcPr>
          <w:p w14:paraId="6E57C0B8" w14:textId="77777777" w:rsidR="00617285" w:rsidRPr="00545EC0" w:rsidRDefault="00617285" w:rsidP="00AD4FE7">
            <w:pPr>
              <w:spacing w:before="60" w:after="60" w:line="276" w:lineRule="auto"/>
              <w:jc w:val="center"/>
              <w:rPr>
                <w:rFonts w:cs="Arial"/>
                <w:sz w:val="18"/>
                <w:szCs w:val="18"/>
              </w:rPr>
            </w:pPr>
            <w:r w:rsidRPr="00545EC0">
              <w:rPr>
                <w:rFonts w:eastAsia="Kozuka Gothic Pro H" w:cs="Arial"/>
                <w:b/>
                <w:sz w:val="18"/>
                <w:szCs w:val="18"/>
              </w:rPr>
              <w:t xml:space="preserve">Ureditve </w:t>
            </w:r>
            <w:r w:rsidRPr="00545EC0">
              <w:rPr>
                <w:rFonts w:eastAsia="Kozuka Gothic Pro H" w:cs="Arial"/>
                <w:b/>
                <w:bCs/>
                <w:sz w:val="18"/>
                <w:szCs w:val="18"/>
              </w:rPr>
              <w:t>v območju aglomeracij</w:t>
            </w:r>
          </w:p>
        </w:tc>
      </w:tr>
      <w:tr w:rsidR="003122F4" w:rsidRPr="00545EC0" w14:paraId="2169321D" w14:textId="77777777" w:rsidTr="00017486">
        <w:trPr>
          <w:cantSplit/>
          <w:trHeight w:val="340"/>
        </w:trPr>
        <w:tc>
          <w:tcPr>
            <w:tcW w:w="19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E5003B" w14:textId="77777777" w:rsidR="00617285" w:rsidRPr="00545EC0" w:rsidRDefault="00617285" w:rsidP="00AD4FE7">
            <w:pPr>
              <w:spacing w:before="60" w:after="60" w:line="276" w:lineRule="auto"/>
              <w:jc w:val="left"/>
              <w:rPr>
                <w:rFonts w:eastAsia="Kozuka Gothic Pro H" w:cs="Arial"/>
                <w:sz w:val="18"/>
                <w:szCs w:val="18"/>
              </w:rPr>
            </w:pPr>
            <w:r w:rsidRPr="00545EC0">
              <w:rPr>
                <w:rFonts w:eastAsia="Kozuka Gothic Pro H" w:cs="Arial"/>
                <w:sz w:val="18"/>
                <w:szCs w:val="18"/>
              </w:rPr>
              <w:t xml:space="preserve">Število stalno prijavljenih prebivalcev v območju aglomeracij </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468F54" w14:textId="77777777" w:rsidR="00617285" w:rsidRPr="00545EC0" w:rsidRDefault="00617285" w:rsidP="00AD4FE7">
            <w:pPr>
              <w:spacing w:before="60" w:after="60" w:line="276" w:lineRule="auto"/>
              <w:jc w:val="center"/>
              <w:rPr>
                <w:rFonts w:cs="Arial"/>
                <w:sz w:val="18"/>
                <w:szCs w:val="18"/>
              </w:rPr>
            </w:pPr>
            <w:r w:rsidRPr="00545EC0">
              <w:rPr>
                <w:rFonts w:cs="Arial"/>
                <w:sz w:val="18"/>
                <w:szCs w:val="18"/>
              </w:rPr>
              <w:t>83.116</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F576B0" w14:textId="77777777" w:rsidR="00617285" w:rsidRPr="00545EC0" w:rsidRDefault="00617285" w:rsidP="00AD4FE7">
            <w:pPr>
              <w:spacing w:before="60" w:after="60" w:line="276" w:lineRule="auto"/>
              <w:jc w:val="center"/>
              <w:rPr>
                <w:rFonts w:eastAsia="Kozuka Gothic Pro H" w:cs="Arial"/>
                <w:sz w:val="18"/>
                <w:szCs w:val="18"/>
              </w:rPr>
            </w:pPr>
            <w:r w:rsidRPr="00545EC0">
              <w:rPr>
                <w:rFonts w:eastAsia="Kozuka Gothic Pro H" w:cs="Arial"/>
                <w:sz w:val="18"/>
                <w:szCs w:val="18"/>
              </w:rPr>
              <w:t>288.480</w:t>
            </w:r>
          </w:p>
        </w:tc>
        <w:tc>
          <w:tcPr>
            <w:tcW w:w="518" w:type="pct"/>
            <w:tcBorders>
              <w:top w:val="single" w:sz="4" w:space="0" w:color="auto"/>
              <w:left w:val="single" w:sz="4" w:space="0" w:color="auto"/>
              <w:bottom w:val="single" w:sz="4" w:space="0" w:color="auto"/>
              <w:right w:val="single" w:sz="4" w:space="0" w:color="auto"/>
            </w:tcBorders>
            <w:vAlign w:val="center"/>
          </w:tcPr>
          <w:p w14:paraId="55D70A5D" w14:textId="77777777" w:rsidR="00617285" w:rsidRPr="00545EC0" w:rsidRDefault="00617285" w:rsidP="00AD4FE7">
            <w:pPr>
              <w:spacing w:before="60" w:after="60" w:line="276" w:lineRule="auto"/>
              <w:jc w:val="center"/>
              <w:rPr>
                <w:rFonts w:cs="Arial"/>
                <w:sz w:val="18"/>
                <w:szCs w:val="18"/>
              </w:rPr>
            </w:pPr>
            <w:r w:rsidRPr="00545EC0">
              <w:rPr>
                <w:rFonts w:cs="Arial"/>
                <w:sz w:val="18"/>
                <w:szCs w:val="18"/>
              </w:rPr>
              <w:t>186.787</w:t>
            </w:r>
          </w:p>
        </w:tc>
        <w:tc>
          <w:tcPr>
            <w:tcW w:w="497" w:type="pct"/>
            <w:tcBorders>
              <w:top w:val="single" w:sz="4" w:space="0" w:color="auto"/>
              <w:left w:val="single" w:sz="4" w:space="0" w:color="auto"/>
              <w:bottom w:val="single" w:sz="4" w:space="0" w:color="auto"/>
              <w:right w:val="single" w:sz="4" w:space="0" w:color="auto"/>
            </w:tcBorders>
            <w:vAlign w:val="center"/>
          </w:tcPr>
          <w:p w14:paraId="35B5761D" w14:textId="77777777" w:rsidR="00617285" w:rsidRPr="00545EC0" w:rsidRDefault="00617285" w:rsidP="00AD4FE7">
            <w:pPr>
              <w:spacing w:before="60" w:after="60" w:line="276" w:lineRule="auto"/>
              <w:jc w:val="center"/>
              <w:rPr>
                <w:rFonts w:cs="Arial"/>
                <w:sz w:val="18"/>
                <w:szCs w:val="18"/>
              </w:rPr>
            </w:pPr>
            <w:r w:rsidRPr="00545EC0">
              <w:rPr>
                <w:rFonts w:cs="Arial"/>
                <w:sz w:val="18"/>
                <w:szCs w:val="18"/>
              </w:rPr>
              <w:t>519.901</w:t>
            </w:r>
          </w:p>
        </w:tc>
        <w:tc>
          <w:tcPr>
            <w:tcW w:w="510" w:type="pct"/>
            <w:tcBorders>
              <w:top w:val="single" w:sz="4" w:space="0" w:color="auto"/>
              <w:left w:val="single" w:sz="4" w:space="0" w:color="auto"/>
              <w:bottom w:val="single" w:sz="4" w:space="0" w:color="auto"/>
              <w:right w:val="single" w:sz="4" w:space="0" w:color="auto"/>
            </w:tcBorders>
            <w:vAlign w:val="center"/>
          </w:tcPr>
          <w:p w14:paraId="0D8118B2" w14:textId="77777777" w:rsidR="00617285" w:rsidRPr="00545EC0" w:rsidRDefault="00617285" w:rsidP="00AD4FE7">
            <w:pPr>
              <w:spacing w:before="60" w:after="60" w:line="276" w:lineRule="auto"/>
              <w:jc w:val="center"/>
              <w:rPr>
                <w:rFonts w:cs="Arial"/>
                <w:sz w:val="18"/>
                <w:szCs w:val="18"/>
              </w:rPr>
            </w:pPr>
            <w:r w:rsidRPr="00545EC0">
              <w:rPr>
                <w:rFonts w:cs="Arial"/>
                <w:sz w:val="18"/>
                <w:szCs w:val="18"/>
              </w:rPr>
              <w:t>185.549</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9D1631" w14:textId="77777777" w:rsidR="00617285" w:rsidRPr="00545EC0" w:rsidRDefault="00617285" w:rsidP="00AD4FE7">
            <w:pPr>
              <w:spacing w:before="60" w:after="60" w:line="276" w:lineRule="auto"/>
              <w:jc w:val="center"/>
              <w:rPr>
                <w:rFonts w:cs="Arial"/>
                <w:sz w:val="18"/>
                <w:szCs w:val="18"/>
              </w:rPr>
            </w:pPr>
            <w:r w:rsidRPr="00545EC0">
              <w:rPr>
                <w:rFonts w:cs="Arial"/>
                <w:sz w:val="18"/>
                <w:szCs w:val="18"/>
              </w:rPr>
              <w:t>143.685</w:t>
            </w:r>
          </w:p>
        </w:tc>
      </w:tr>
      <w:tr w:rsidR="003122F4" w:rsidRPr="00545EC0" w14:paraId="3006AF08" w14:textId="77777777" w:rsidTr="00017486">
        <w:trPr>
          <w:cantSplit/>
          <w:trHeight w:val="340"/>
        </w:trPr>
        <w:tc>
          <w:tcPr>
            <w:tcW w:w="5000" w:type="pct"/>
            <w:gridSpan w:val="7"/>
            <w:shd w:val="clear" w:color="auto" w:fill="auto"/>
            <w:vAlign w:val="center"/>
            <w:hideMark/>
          </w:tcPr>
          <w:p w14:paraId="5BB453FB" w14:textId="77777777" w:rsidR="00617285" w:rsidRPr="00545EC0" w:rsidRDefault="00617285" w:rsidP="00AD4FE7">
            <w:pPr>
              <w:spacing w:before="60" w:after="60" w:line="276" w:lineRule="auto"/>
              <w:jc w:val="left"/>
              <w:rPr>
                <w:rFonts w:eastAsia="Kozuka Gothic Pro H" w:cs="Arial"/>
                <w:sz w:val="18"/>
                <w:szCs w:val="18"/>
              </w:rPr>
            </w:pPr>
            <w:r w:rsidRPr="00545EC0">
              <w:rPr>
                <w:rFonts w:eastAsia="Kozuka Gothic Pro H" w:cs="Arial"/>
                <w:sz w:val="18"/>
                <w:szCs w:val="18"/>
              </w:rPr>
              <w:t xml:space="preserve">Število stalno prijavljenih prebivalcev </w:t>
            </w:r>
            <w:r w:rsidRPr="00545EC0">
              <w:rPr>
                <w:rFonts w:eastAsia="Kozuka Gothic Pro H" w:cs="Arial"/>
                <w:bCs/>
                <w:sz w:val="18"/>
                <w:szCs w:val="18"/>
              </w:rPr>
              <w:t>v območju aglomeracij</w:t>
            </w:r>
            <w:r w:rsidRPr="00545EC0">
              <w:rPr>
                <w:rFonts w:eastAsia="Kozuka Gothic Pro H" w:cs="Arial"/>
                <w:sz w:val="18"/>
                <w:szCs w:val="18"/>
              </w:rPr>
              <w:t>, ki ima urejeno odvajanje komunalne odpadne vode z:</w:t>
            </w:r>
          </w:p>
        </w:tc>
      </w:tr>
      <w:tr w:rsidR="003122F4" w:rsidRPr="00545EC0" w14:paraId="7BFEFA4D" w14:textId="77777777" w:rsidTr="00017486">
        <w:trPr>
          <w:cantSplit/>
          <w:trHeight w:val="340"/>
        </w:trPr>
        <w:tc>
          <w:tcPr>
            <w:tcW w:w="1922" w:type="pct"/>
            <w:shd w:val="clear" w:color="auto" w:fill="auto"/>
            <w:vAlign w:val="center"/>
            <w:hideMark/>
          </w:tcPr>
          <w:p w14:paraId="0B75A080" w14:textId="77777777" w:rsidR="00617285" w:rsidRPr="00545EC0" w:rsidRDefault="00617285" w:rsidP="00DD37C5">
            <w:pPr>
              <w:pStyle w:val="Odstavekseznama"/>
              <w:numPr>
                <w:ilvl w:val="0"/>
                <w:numId w:val="85"/>
              </w:numPr>
              <w:spacing w:before="60" w:after="60" w:line="276" w:lineRule="auto"/>
              <w:ind w:left="567" w:hanging="283"/>
              <w:jc w:val="left"/>
              <w:rPr>
                <w:rFonts w:eastAsia="Kozuka Gothic Pro H" w:cs="Arial"/>
                <w:sz w:val="18"/>
                <w:szCs w:val="18"/>
              </w:rPr>
            </w:pPr>
            <w:r w:rsidRPr="00545EC0">
              <w:rPr>
                <w:rFonts w:eastAsia="Kozuka Gothic Pro H" w:cs="Arial"/>
                <w:sz w:val="18"/>
                <w:szCs w:val="18"/>
              </w:rPr>
              <w:t>nepretočno greznico</w:t>
            </w:r>
          </w:p>
        </w:tc>
        <w:tc>
          <w:tcPr>
            <w:tcW w:w="486" w:type="pct"/>
            <w:shd w:val="clear" w:color="auto" w:fill="auto"/>
            <w:vAlign w:val="bottom"/>
          </w:tcPr>
          <w:p w14:paraId="3A9AF2C4" w14:textId="77777777" w:rsidR="00617285" w:rsidRPr="00545EC0" w:rsidRDefault="00617285" w:rsidP="00AD4FE7">
            <w:pPr>
              <w:spacing w:before="60" w:after="60" w:line="276" w:lineRule="auto"/>
              <w:jc w:val="center"/>
              <w:rPr>
                <w:rFonts w:cs="Arial"/>
                <w:sz w:val="18"/>
                <w:szCs w:val="18"/>
              </w:rPr>
            </w:pPr>
            <w:r w:rsidRPr="00545EC0">
              <w:rPr>
                <w:rFonts w:cs="Arial"/>
                <w:sz w:val="18"/>
                <w:szCs w:val="18"/>
              </w:rPr>
              <w:t>1.472</w:t>
            </w:r>
          </w:p>
        </w:tc>
        <w:tc>
          <w:tcPr>
            <w:tcW w:w="508" w:type="pct"/>
            <w:shd w:val="clear" w:color="auto" w:fill="auto"/>
            <w:vAlign w:val="bottom"/>
          </w:tcPr>
          <w:p w14:paraId="65601FBE" w14:textId="77777777" w:rsidR="00617285" w:rsidRPr="00545EC0" w:rsidRDefault="00617285" w:rsidP="00AD4FE7">
            <w:pPr>
              <w:spacing w:before="60" w:after="60" w:line="276" w:lineRule="auto"/>
              <w:jc w:val="center"/>
              <w:rPr>
                <w:rFonts w:cs="Arial"/>
                <w:sz w:val="18"/>
                <w:szCs w:val="18"/>
              </w:rPr>
            </w:pPr>
            <w:r w:rsidRPr="00545EC0">
              <w:rPr>
                <w:rFonts w:cs="Arial"/>
                <w:sz w:val="18"/>
                <w:szCs w:val="18"/>
              </w:rPr>
              <w:t>4.572</w:t>
            </w:r>
          </w:p>
        </w:tc>
        <w:tc>
          <w:tcPr>
            <w:tcW w:w="518" w:type="pct"/>
            <w:vAlign w:val="bottom"/>
          </w:tcPr>
          <w:p w14:paraId="33AEB45C" w14:textId="77777777" w:rsidR="00617285" w:rsidRPr="00545EC0" w:rsidRDefault="00617285" w:rsidP="00AD4FE7">
            <w:pPr>
              <w:spacing w:before="60" w:after="60" w:line="276" w:lineRule="auto"/>
              <w:jc w:val="center"/>
              <w:rPr>
                <w:rFonts w:cs="Arial"/>
                <w:sz w:val="18"/>
                <w:szCs w:val="18"/>
              </w:rPr>
            </w:pPr>
            <w:r w:rsidRPr="00545EC0">
              <w:rPr>
                <w:rFonts w:cs="Arial"/>
                <w:sz w:val="18"/>
                <w:szCs w:val="18"/>
              </w:rPr>
              <w:t>2.560</w:t>
            </w:r>
          </w:p>
        </w:tc>
        <w:tc>
          <w:tcPr>
            <w:tcW w:w="497" w:type="pct"/>
            <w:vAlign w:val="bottom"/>
          </w:tcPr>
          <w:p w14:paraId="5049FC52" w14:textId="77777777" w:rsidR="00617285" w:rsidRPr="00545EC0" w:rsidRDefault="00617285" w:rsidP="00AD4FE7">
            <w:pPr>
              <w:spacing w:before="60" w:after="60" w:line="276" w:lineRule="auto"/>
              <w:jc w:val="center"/>
              <w:rPr>
                <w:rFonts w:cs="Arial"/>
                <w:sz w:val="18"/>
                <w:szCs w:val="18"/>
              </w:rPr>
            </w:pPr>
            <w:r w:rsidRPr="00545EC0">
              <w:rPr>
                <w:rFonts w:cs="Arial"/>
                <w:sz w:val="18"/>
                <w:szCs w:val="18"/>
              </w:rPr>
              <w:t>1.446</w:t>
            </w:r>
          </w:p>
        </w:tc>
        <w:tc>
          <w:tcPr>
            <w:tcW w:w="510" w:type="pct"/>
            <w:vAlign w:val="bottom"/>
          </w:tcPr>
          <w:p w14:paraId="4161B9E5" w14:textId="77777777" w:rsidR="00617285" w:rsidRPr="00545EC0" w:rsidRDefault="00617285" w:rsidP="00AD4FE7">
            <w:pPr>
              <w:spacing w:before="60" w:after="60" w:line="276" w:lineRule="auto"/>
              <w:jc w:val="center"/>
              <w:rPr>
                <w:rFonts w:cs="Arial"/>
                <w:sz w:val="18"/>
                <w:szCs w:val="18"/>
              </w:rPr>
            </w:pPr>
            <w:r w:rsidRPr="00545EC0">
              <w:rPr>
                <w:rFonts w:cs="Arial"/>
                <w:sz w:val="18"/>
                <w:szCs w:val="18"/>
              </w:rPr>
              <w:t>2.914</w:t>
            </w:r>
          </w:p>
        </w:tc>
        <w:tc>
          <w:tcPr>
            <w:tcW w:w="559" w:type="pct"/>
            <w:shd w:val="clear" w:color="auto" w:fill="auto"/>
            <w:vAlign w:val="bottom"/>
          </w:tcPr>
          <w:p w14:paraId="5D255371" w14:textId="77777777" w:rsidR="00617285" w:rsidRPr="00545EC0" w:rsidRDefault="00617285" w:rsidP="00AD4FE7">
            <w:pPr>
              <w:spacing w:before="60" w:after="60" w:line="276" w:lineRule="auto"/>
              <w:jc w:val="center"/>
              <w:rPr>
                <w:rFonts w:cs="Arial"/>
                <w:sz w:val="18"/>
                <w:szCs w:val="18"/>
              </w:rPr>
            </w:pPr>
            <w:r w:rsidRPr="00545EC0">
              <w:rPr>
                <w:rFonts w:cs="Arial"/>
                <w:sz w:val="18"/>
                <w:szCs w:val="18"/>
              </w:rPr>
              <w:t>34</w:t>
            </w:r>
          </w:p>
        </w:tc>
      </w:tr>
      <w:tr w:rsidR="003122F4" w:rsidRPr="00545EC0" w14:paraId="03F7CBC7" w14:textId="77777777" w:rsidTr="00017486">
        <w:trPr>
          <w:cantSplit/>
          <w:trHeight w:val="340"/>
        </w:trPr>
        <w:tc>
          <w:tcPr>
            <w:tcW w:w="1922" w:type="pct"/>
            <w:shd w:val="clear" w:color="auto" w:fill="auto"/>
            <w:vAlign w:val="center"/>
            <w:hideMark/>
          </w:tcPr>
          <w:p w14:paraId="7FD55D85" w14:textId="77777777" w:rsidR="00617285" w:rsidRPr="00545EC0" w:rsidRDefault="00617285" w:rsidP="00DD37C5">
            <w:pPr>
              <w:pStyle w:val="Odstavekseznama"/>
              <w:numPr>
                <w:ilvl w:val="0"/>
                <w:numId w:val="85"/>
              </w:numPr>
              <w:spacing w:before="60" w:after="60" w:line="276" w:lineRule="auto"/>
              <w:ind w:left="567" w:hanging="283"/>
              <w:jc w:val="left"/>
              <w:rPr>
                <w:rFonts w:eastAsia="Kozuka Gothic Pro H" w:cs="Arial"/>
                <w:sz w:val="18"/>
                <w:szCs w:val="18"/>
              </w:rPr>
            </w:pPr>
            <w:r w:rsidRPr="00545EC0">
              <w:rPr>
                <w:rFonts w:eastAsia="Kozuka Gothic Pro H" w:cs="Arial"/>
                <w:sz w:val="18"/>
                <w:szCs w:val="18"/>
              </w:rPr>
              <w:t>obstoječo pretočno greznico</w:t>
            </w:r>
          </w:p>
        </w:tc>
        <w:tc>
          <w:tcPr>
            <w:tcW w:w="486" w:type="pct"/>
            <w:shd w:val="clear" w:color="auto" w:fill="auto"/>
            <w:vAlign w:val="bottom"/>
          </w:tcPr>
          <w:p w14:paraId="3771B9C4" w14:textId="77777777" w:rsidR="00617285" w:rsidRPr="00545EC0" w:rsidRDefault="00617285" w:rsidP="00AD4FE7">
            <w:pPr>
              <w:spacing w:before="60" w:after="60" w:line="276" w:lineRule="auto"/>
              <w:jc w:val="center"/>
              <w:rPr>
                <w:rFonts w:cs="Arial"/>
                <w:sz w:val="18"/>
                <w:szCs w:val="18"/>
              </w:rPr>
            </w:pPr>
            <w:r w:rsidRPr="00545EC0">
              <w:rPr>
                <w:rFonts w:cs="Arial"/>
                <w:sz w:val="18"/>
                <w:szCs w:val="18"/>
              </w:rPr>
              <w:t>4.470</w:t>
            </w:r>
          </w:p>
        </w:tc>
        <w:tc>
          <w:tcPr>
            <w:tcW w:w="508" w:type="pct"/>
            <w:shd w:val="clear" w:color="auto" w:fill="auto"/>
            <w:vAlign w:val="bottom"/>
          </w:tcPr>
          <w:p w14:paraId="20F07730" w14:textId="77777777" w:rsidR="00617285" w:rsidRPr="00545EC0" w:rsidRDefault="00617285" w:rsidP="00AD4FE7">
            <w:pPr>
              <w:spacing w:before="60" w:after="60" w:line="276" w:lineRule="auto"/>
              <w:jc w:val="center"/>
              <w:rPr>
                <w:rFonts w:cs="Arial"/>
                <w:sz w:val="18"/>
                <w:szCs w:val="18"/>
              </w:rPr>
            </w:pPr>
            <w:r w:rsidRPr="00545EC0">
              <w:rPr>
                <w:rFonts w:cs="Arial"/>
                <w:sz w:val="18"/>
                <w:szCs w:val="18"/>
              </w:rPr>
              <w:t>38.294</w:t>
            </w:r>
          </w:p>
        </w:tc>
        <w:tc>
          <w:tcPr>
            <w:tcW w:w="518" w:type="pct"/>
            <w:vAlign w:val="bottom"/>
          </w:tcPr>
          <w:p w14:paraId="44191DE4" w14:textId="77777777" w:rsidR="00617285" w:rsidRPr="00545EC0" w:rsidRDefault="00617285" w:rsidP="00AD4FE7">
            <w:pPr>
              <w:spacing w:before="60" w:after="60" w:line="276" w:lineRule="auto"/>
              <w:jc w:val="center"/>
              <w:rPr>
                <w:rFonts w:cs="Arial"/>
                <w:sz w:val="18"/>
                <w:szCs w:val="18"/>
              </w:rPr>
            </w:pPr>
            <w:r w:rsidRPr="00545EC0">
              <w:rPr>
                <w:rFonts w:cs="Arial"/>
                <w:sz w:val="18"/>
                <w:szCs w:val="18"/>
              </w:rPr>
              <w:t>33.339</w:t>
            </w:r>
          </w:p>
        </w:tc>
        <w:tc>
          <w:tcPr>
            <w:tcW w:w="497" w:type="pct"/>
            <w:vAlign w:val="bottom"/>
          </w:tcPr>
          <w:p w14:paraId="129C892D" w14:textId="77777777" w:rsidR="00617285" w:rsidRPr="00545EC0" w:rsidRDefault="00617285" w:rsidP="00AD4FE7">
            <w:pPr>
              <w:spacing w:before="60" w:after="60" w:line="276" w:lineRule="auto"/>
              <w:jc w:val="center"/>
              <w:rPr>
                <w:rFonts w:cs="Arial"/>
                <w:sz w:val="18"/>
                <w:szCs w:val="18"/>
              </w:rPr>
            </w:pPr>
            <w:r w:rsidRPr="00545EC0">
              <w:rPr>
                <w:rFonts w:cs="Arial"/>
                <w:sz w:val="18"/>
                <w:szCs w:val="18"/>
              </w:rPr>
              <w:t>79.385</w:t>
            </w:r>
          </w:p>
        </w:tc>
        <w:tc>
          <w:tcPr>
            <w:tcW w:w="510" w:type="pct"/>
            <w:vAlign w:val="bottom"/>
          </w:tcPr>
          <w:p w14:paraId="1A47328E" w14:textId="77777777" w:rsidR="00617285" w:rsidRPr="00545EC0" w:rsidRDefault="00617285" w:rsidP="00AD4FE7">
            <w:pPr>
              <w:spacing w:before="60" w:after="60" w:line="276" w:lineRule="auto"/>
              <w:jc w:val="center"/>
              <w:rPr>
                <w:rFonts w:cs="Arial"/>
                <w:sz w:val="18"/>
                <w:szCs w:val="18"/>
              </w:rPr>
            </w:pPr>
            <w:r w:rsidRPr="00545EC0">
              <w:rPr>
                <w:rFonts w:cs="Arial"/>
                <w:sz w:val="18"/>
                <w:szCs w:val="18"/>
              </w:rPr>
              <w:t>35.841</w:t>
            </w:r>
          </w:p>
        </w:tc>
        <w:tc>
          <w:tcPr>
            <w:tcW w:w="559" w:type="pct"/>
            <w:shd w:val="clear" w:color="auto" w:fill="auto"/>
            <w:vAlign w:val="bottom"/>
          </w:tcPr>
          <w:p w14:paraId="386B35B2" w14:textId="77777777" w:rsidR="00617285" w:rsidRPr="00545EC0" w:rsidRDefault="00617285" w:rsidP="00AD4FE7">
            <w:pPr>
              <w:spacing w:before="60" w:after="60" w:line="276" w:lineRule="auto"/>
              <w:jc w:val="center"/>
              <w:rPr>
                <w:rFonts w:cs="Arial"/>
                <w:sz w:val="18"/>
                <w:szCs w:val="18"/>
              </w:rPr>
            </w:pPr>
            <w:r w:rsidRPr="00545EC0">
              <w:rPr>
                <w:rFonts w:cs="Arial"/>
                <w:sz w:val="18"/>
                <w:szCs w:val="18"/>
              </w:rPr>
              <w:t>21.698</w:t>
            </w:r>
          </w:p>
        </w:tc>
      </w:tr>
      <w:tr w:rsidR="003122F4" w:rsidRPr="00545EC0" w14:paraId="64BC3F07" w14:textId="77777777" w:rsidTr="00017486">
        <w:trPr>
          <w:cantSplit/>
          <w:trHeight w:val="340"/>
        </w:trPr>
        <w:tc>
          <w:tcPr>
            <w:tcW w:w="1922" w:type="pct"/>
            <w:shd w:val="clear" w:color="auto" w:fill="auto"/>
            <w:vAlign w:val="center"/>
            <w:hideMark/>
          </w:tcPr>
          <w:p w14:paraId="54514A2A" w14:textId="77777777" w:rsidR="00617285" w:rsidRPr="00545EC0" w:rsidRDefault="00617285" w:rsidP="00DD37C5">
            <w:pPr>
              <w:pStyle w:val="Odstavekseznama"/>
              <w:numPr>
                <w:ilvl w:val="0"/>
                <w:numId w:val="85"/>
              </w:numPr>
              <w:spacing w:before="60" w:after="60" w:line="276" w:lineRule="auto"/>
              <w:ind w:left="567" w:hanging="283"/>
              <w:jc w:val="left"/>
              <w:rPr>
                <w:rFonts w:eastAsia="Kozuka Gothic Pro H" w:cs="Arial"/>
                <w:sz w:val="18"/>
                <w:szCs w:val="18"/>
              </w:rPr>
            </w:pPr>
            <w:r w:rsidRPr="00545EC0">
              <w:rPr>
                <w:rFonts w:eastAsia="Kozuka Gothic Pro H" w:cs="Arial"/>
                <w:sz w:val="18"/>
                <w:szCs w:val="18"/>
              </w:rPr>
              <w:t>MKČN, ki ni del javne kanalizacije in ni javna infrastruktura</w:t>
            </w:r>
          </w:p>
        </w:tc>
        <w:tc>
          <w:tcPr>
            <w:tcW w:w="486" w:type="pct"/>
            <w:shd w:val="clear" w:color="auto" w:fill="auto"/>
            <w:vAlign w:val="center"/>
          </w:tcPr>
          <w:p w14:paraId="4D9701ED" w14:textId="77777777" w:rsidR="00617285" w:rsidRPr="00545EC0" w:rsidRDefault="00617285" w:rsidP="00AD4FE7">
            <w:pPr>
              <w:spacing w:before="60" w:after="60" w:line="276" w:lineRule="auto"/>
              <w:jc w:val="center"/>
              <w:rPr>
                <w:rFonts w:cs="Arial"/>
                <w:sz w:val="18"/>
                <w:szCs w:val="18"/>
              </w:rPr>
            </w:pPr>
            <w:r w:rsidRPr="00545EC0">
              <w:rPr>
                <w:rFonts w:cs="Arial"/>
                <w:sz w:val="18"/>
                <w:szCs w:val="18"/>
              </w:rPr>
              <w:t>427</w:t>
            </w:r>
          </w:p>
        </w:tc>
        <w:tc>
          <w:tcPr>
            <w:tcW w:w="508" w:type="pct"/>
            <w:shd w:val="clear" w:color="auto" w:fill="auto"/>
            <w:vAlign w:val="center"/>
          </w:tcPr>
          <w:p w14:paraId="3531C4AE" w14:textId="77777777" w:rsidR="00617285" w:rsidRPr="00545EC0" w:rsidRDefault="00617285" w:rsidP="00AD4FE7">
            <w:pPr>
              <w:spacing w:before="60" w:after="60" w:line="276" w:lineRule="auto"/>
              <w:jc w:val="center"/>
              <w:rPr>
                <w:rFonts w:cs="Arial"/>
                <w:sz w:val="18"/>
                <w:szCs w:val="18"/>
              </w:rPr>
            </w:pPr>
            <w:r w:rsidRPr="00545EC0">
              <w:rPr>
                <w:rFonts w:cs="Arial"/>
                <w:sz w:val="18"/>
                <w:szCs w:val="18"/>
              </w:rPr>
              <w:t>1.604</w:t>
            </w:r>
          </w:p>
        </w:tc>
        <w:tc>
          <w:tcPr>
            <w:tcW w:w="518" w:type="pct"/>
            <w:vAlign w:val="center"/>
          </w:tcPr>
          <w:p w14:paraId="51530A0C" w14:textId="77777777" w:rsidR="00617285" w:rsidRPr="00545EC0" w:rsidRDefault="00617285" w:rsidP="00AD4FE7">
            <w:pPr>
              <w:spacing w:before="60" w:after="60" w:line="276" w:lineRule="auto"/>
              <w:jc w:val="center"/>
              <w:rPr>
                <w:rFonts w:cs="Arial"/>
                <w:sz w:val="18"/>
                <w:szCs w:val="18"/>
              </w:rPr>
            </w:pPr>
            <w:r w:rsidRPr="00545EC0">
              <w:rPr>
                <w:rFonts w:cs="Arial"/>
                <w:sz w:val="18"/>
                <w:szCs w:val="18"/>
              </w:rPr>
              <w:t>1.603</w:t>
            </w:r>
          </w:p>
        </w:tc>
        <w:tc>
          <w:tcPr>
            <w:tcW w:w="497" w:type="pct"/>
            <w:vAlign w:val="center"/>
          </w:tcPr>
          <w:p w14:paraId="79B54918" w14:textId="77777777" w:rsidR="00617285" w:rsidRPr="00545EC0" w:rsidRDefault="00617285" w:rsidP="00AD4FE7">
            <w:pPr>
              <w:spacing w:before="60" w:after="60" w:line="276" w:lineRule="auto"/>
              <w:jc w:val="center"/>
              <w:rPr>
                <w:rFonts w:cs="Arial"/>
                <w:sz w:val="18"/>
                <w:szCs w:val="18"/>
              </w:rPr>
            </w:pPr>
            <w:r w:rsidRPr="00545EC0">
              <w:rPr>
                <w:rFonts w:cs="Arial"/>
                <w:sz w:val="18"/>
                <w:szCs w:val="18"/>
              </w:rPr>
              <w:t>5.863</w:t>
            </w:r>
          </w:p>
        </w:tc>
        <w:tc>
          <w:tcPr>
            <w:tcW w:w="510" w:type="pct"/>
            <w:vAlign w:val="center"/>
          </w:tcPr>
          <w:p w14:paraId="3AC21CA6" w14:textId="77777777" w:rsidR="00617285" w:rsidRPr="00545EC0" w:rsidRDefault="00617285" w:rsidP="00AD4FE7">
            <w:pPr>
              <w:spacing w:before="60" w:after="60" w:line="276" w:lineRule="auto"/>
              <w:jc w:val="center"/>
              <w:rPr>
                <w:rFonts w:cs="Arial"/>
                <w:sz w:val="18"/>
                <w:szCs w:val="18"/>
              </w:rPr>
            </w:pPr>
            <w:r w:rsidRPr="00545EC0">
              <w:rPr>
                <w:rFonts w:cs="Arial"/>
                <w:sz w:val="18"/>
                <w:szCs w:val="18"/>
              </w:rPr>
              <w:t>1.616</w:t>
            </w:r>
          </w:p>
        </w:tc>
        <w:tc>
          <w:tcPr>
            <w:tcW w:w="559" w:type="pct"/>
            <w:shd w:val="clear" w:color="auto" w:fill="auto"/>
            <w:vAlign w:val="center"/>
          </w:tcPr>
          <w:p w14:paraId="43D1DA9B" w14:textId="77777777" w:rsidR="00617285" w:rsidRPr="00545EC0" w:rsidRDefault="00617285" w:rsidP="00AD4FE7">
            <w:pPr>
              <w:spacing w:before="60" w:after="60" w:line="276" w:lineRule="auto"/>
              <w:jc w:val="center"/>
              <w:rPr>
                <w:rFonts w:cs="Arial"/>
                <w:sz w:val="18"/>
                <w:szCs w:val="18"/>
              </w:rPr>
            </w:pPr>
            <w:r w:rsidRPr="00545EC0">
              <w:rPr>
                <w:rFonts w:cs="Arial"/>
                <w:sz w:val="18"/>
                <w:szCs w:val="18"/>
              </w:rPr>
              <w:t>1.161</w:t>
            </w:r>
          </w:p>
        </w:tc>
      </w:tr>
      <w:tr w:rsidR="00617285" w:rsidRPr="00545EC0" w14:paraId="165FAB88" w14:textId="77777777" w:rsidTr="00017486">
        <w:trPr>
          <w:cantSplit/>
          <w:trHeight w:val="340"/>
        </w:trPr>
        <w:tc>
          <w:tcPr>
            <w:tcW w:w="1922" w:type="pct"/>
            <w:shd w:val="clear" w:color="auto" w:fill="auto"/>
            <w:vAlign w:val="center"/>
            <w:hideMark/>
          </w:tcPr>
          <w:p w14:paraId="24CADDC4" w14:textId="77777777" w:rsidR="00617285" w:rsidRPr="00545EC0" w:rsidRDefault="00617285" w:rsidP="00AD4FE7">
            <w:pPr>
              <w:spacing w:before="60" w:after="60" w:line="276" w:lineRule="auto"/>
              <w:jc w:val="left"/>
              <w:rPr>
                <w:rFonts w:eastAsia="Kozuka Gothic Pro H" w:cs="Arial"/>
                <w:sz w:val="18"/>
                <w:szCs w:val="18"/>
              </w:rPr>
            </w:pPr>
            <w:r w:rsidRPr="00545EC0">
              <w:rPr>
                <w:rFonts w:eastAsia="Kozuka Gothic Pro H" w:cs="Arial"/>
                <w:sz w:val="18"/>
                <w:szCs w:val="18"/>
              </w:rPr>
              <w:t xml:space="preserve">Število stalno prijavljenih prebivalcev </w:t>
            </w:r>
            <w:r w:rsidRPr="00545EC0">
              <w:rPr>
                <w:rFonts w:eastAsia="Kozuka Gothic Pro H" w:cs="Arial"/>
                <w:bCs/>
                <w:sz w:val="18"/>
                <w:szCs w:val="18"/>
              </w:rPr>
              <w:t>v območju aglomeracij</w:t>
            </w:r>
            <w:r w:rsidRPr="00545EC0">
              <w:rPr>
                <w:rFonts w:eastAsia="Kozuka Gothic Pro H" w:cs="Arial"/>
                <w:sz w:val="18"/>
                <w:szCs w:val="18"/>
              </w:rPr>
              <w:t>, ki nima ureditve (iztok v vode)</w:t>
            </w:r>
          </w:p>
        </w:tc>
        <w:tc>
          <w:tcPr>
            <w:tcW w:w="486" w:type="pct"/>
            <w:shd w:val="clear" w:color="auto" w:fill="auto"/>
            <w:vAlign w:val="center"/>
          </w:tcPr>
          <w:p w14:paraId="15AA631A" w14:textId="77777777" w:rsidR="00617285" w:rsidRPr="00545EC0" w:rsidRDefault="00617285" w:rsidP="00AD4FE7">
            <w:pPr>
              <w:spacing w:before="60" w:after="60" w:line="276" w:lineRule="auto"/>
              <w:jc w:val="center"/>
              <w:rPr>
                <w:rFonts w:eastAsia="Kozuka Gothic Pro H" w:cs="Arial"/>
                <w:sz w:val="18"/>
                <w:szCs w:val="18"/>
              </w:rPr>
            </w:pPr>
            <w:r w:rsidRPr="00545EC0">
              <w:rPr>
                <w:rFonts w:cs="Arial"/>
                <w:sz w:val="18"/>
                <w:szCs w:val="18"/>
              </w:rPr>
              <w:t>27</w:t>
            </w:r>
          </w:p>
        </w:tc>
        <w:tc>
          <w:tcPr>
            <w:tcW w:w="508" w:type="pct"/>
            <w:shd w:val="clear" w:color="auto" w:fill="auto"/>
            <w:vAlign w:val="center"/>
          </w:tcPr>
          <w:p w14:paraId="44A88714" w14:textId="77777777" w:rsidR="00617285" w:rsidRPr="00545EC0" w:rsidRDefault="00617285" w:rsidP="00AD4FE7">
            <w:pPr>
              <w:spacing w:before="60" w:after="60" w:line="276" w:lineRule="auto"/>
              <w:jc w:val="center"/>
              <w:rPr>
                <w:rFonts w:eastAsia="Kozuka Gothic Pro H" w:cs="Arial"/>
                <w:sz w:val="18"/>
                <w:szCs w:val="18"/>
              </w:rPr>
            </w:pPr>
            <w:r w:rsidRPr="00545EC0">
              <w:rPr>
                <w:rFonts w:cs="Arial"/>
                <w:sz w:val="18"/>
                <w:szCs w:val="18"/>
              </w:rPr>
              <w:t>475</w:t>
            </w:r>
          </w:p>
        </w:tc>
        <w:tc>
          <w:tcPr>
            <w:tcW w:w="518" w:type="pct"/>
            <w:vAlign w:val="center"/>
          </w:tcPr>
          <w:p w14:paraId="1052F1AB" w14:textId="77777777" w:rsidR="00617285" w:rsidRPr="00545EC0" w:rsidRDefault="00617285" w:rsidP="00AD4FE7">
            <w:pPr>
              <w:spacing w:before="60" w:after="60" w:line="276" w:lineRule="auto"/>
              <w:jc w:val="center"/>
              <w:rPr>
                <w:rFonts w:eastAsia="Kozuka Gothic Pro H" w:cs="Arial"/>
                <w:sz w:val="18"/>
                <w:szCs w:val="18"/>
              </w:rPr>
            </w:pPr>
            <w:r w:rsidRPr="00545EC0">
              <w:rPr>
                <w:rFonts w:cs="Arial"/>
                <w:sz w:val="18"/>
                <w:szCs w:val="18"/>
              </w:rPr>
              <w:t>49</w:t>
            </w:r>
          </w:p>
        </w:tc>
        <w:tc>
          <w:tcPr>
            <w:tcW w:w="497" w:type="pct"/>
            <w:vAlign w:val="center"/>
          </w:tcPr>
          <w:p w14:paraId="590DFA12" w14:textId="77777777" w:rsidR="00617285" w:rsidRPr="00545EC0" w:rsidRDefault="00617285" w:rsidP="00AD4FE7">
            <w:pPr>
              <w:spacing w:before="60" w:after="60" w:line="276" w:lineRule="auto"/>
              <w:jc w:val="center"/>
              <w:rPr>
                <w:rFonts w:eastAsia="Kozuka Gothic Pro H" w:cs="Arial"/>
                <w:sz w:val="18"/>
                <w:szCs w:val="18"/>
              </w:rPr>
            </w:pPr>
            <w:r w:rsidRPr="00545EC0">
              <w:rPr>
                <w:rFonts w:cs="Arial"/>
                <w:sz w:val="18"/>
                <w:szCs w:val="18"/>
              </w:rPr>
              <w:t>12</w:t>
            </w:r>
          </w:p>
        </w:tc>
        <w:tc>
          <w:tcPr>
            <w:tcW w:w="510" w:type="pct"/>
            <w:vAlign w:val="center"/>
          </w:tcPr>
          <w:p w14:paraId="083F7349" w14:textId="77777777" w:rsidR="00617285" w:rsidRPr="00545EC0" w:rsidRDefault="00617285" w:rsidP="00AD4FE7">
            <w:pPr>
              <w:spacing w:before="60" w:after="60" w:line="276" w:lineRule="auto"/>
              <w:jc w:val="center"/>
              <w:rPr>
                <w:rFonts w:eastAsia="Kozuka Gothic Pro H" w:cs="Arial"/>
                <w:sz w:val="18"/>
                <w:szCs w:val="18"/>
              </w:rPr>
            </w:pPr>
            <w:r w:rsidRPr="00545EC0">
              <w:rPr>
                <w:rFonts w:cs="Arial"/>
                <w:sz w:val="18"/>
                <w:szCs w:val="18"/>
              </w:rPr>
              <w:t>239</w:t>
            </w:r>
          </w:p>
        </w:tc>
        <w:tc>
          <w:tcPr>
            <w:tcW w:w="559" w:type="pct"/>
            <w:shd w:val="clear" w:color="auto" w:fill="auto"/>
            <w:vAlign w:val="center"/>
          </w:tcPr>
          <w:p w14:paraId="05367CD5" w14:textId="77777777" w:rsidR="00617285" w:rsidRPr="00545EC0" w:rsidRDefault="00617285" w:rsidP="00AD4FE7">
            <w:pPr>
              <w:spacing w:before="60" w:after="60" w:line="276" w:lineRule="auto"/>
              <w:jc w:val="center"/>
              <w:rPr>
                <w:rFonts w:eastAsia="Kozuka Gothic Pro H" w:cs="Arial"/>
                <w:sz w:val="18"/>
                <w:szCs w:val="18"/>
              </w:rPr>
            </w:pPr>
            <w:r w:rsidRPr="00545EC0">
              <w:rPr>
                <w:rFonts w:eastAsia="Kozuka Gothic Pro H" w:cs="Arial"/>
                <w:sz w:val="18"/>
                <w:szCs w:val="18"/>
              </w:rPr>
              <w:t>0</w:t>
            </w:r>
          </w:p>
        </w:tc>
      </w:tr>
    </w:tbl>
    <w:p w14:paraId="6F444410" w14:textId="0B53144F" w:rsidR="00617285" w:rsidRPr="00545EC0" w:rsidRDefault="00617285" w:rsidP="00AD4FE7">
      <w:pPr>
        <w:tabs>
          <w:tab w:val="num" w:pos="567"/>
          <w:tab w:val="left" w:pos="9600"/>
        </w:tabs>
        <w:spacing w:before="120"/>
        <w:rPr>
          <w:rFonts w:cs="Arial"/>
          <w:szCs w:val="20"/>
        </w:rPr>
      </w:pPr>
    </w:p>
    <w:p w14:paraId="4038A656" w14:textId="77777777" w:rsidR="0025492B" w:rsidRPr="00545EC0" w:rsidRDefault="0025492B" w:rsidP="0025492B">
      <w:pPr>
        <w:rPr>
          <w:b/>
          <w:i/>
        </w:rPr>
      </w:pPr>
      <w:r w:rsidRPr="00545EC0">
        <w:rPr>
          <w:b/>
          <w:i/>
        </w:rPr>
        <w:t>Prikaz obremenitev vodnih teles površinskih voda</w:t>
      </w:r>
    </w:p>
    <w:p w14:paraId="195DE8BF" w14:textId="77777777" w:rsidR="0025492B" w:rsidRPr="00545EC0" w:rsidRDefault="0025492B" w:rsidP="00AD4FE7">
      <w:pPr>
        <w:rPr>
          <w:rFonts w:cs="Arial"/>
        </w:rPr>
      </w:pPr>
    </w:p>
    <w:p w14:paraId="28F41AD7" w14:textId="59E745F6" w:rsidR="00617285" w:rsidRPr="00545EC0" w:rsidRDefault="00617285" w:rsidP="00AD4FE7">
      <w:pPr>
        <w:rPr>
          <w:rFonts w:cs="Arial"/>
        </w:rPr>
      </w:pPr>
      <w:r w:rsidRPr="00545EC0">
        <w:rPr>
          <w:rFonts w:cs="Arial"/>
        </w:rPr>
        <w:t>Emisije</w:t>
      </w:r>
      <w:r w:rsidR="00D93374" w:rsidRPr="00545EC0">
        <w:rPr>
          <w:rFonts w:cs="Arial"/>
        </w:rPr>
        <w:t xml:space="preserve"> snovi</w:t>
      </w:r>
      <w:r w:rsidRPr="00545EC0">
        <w:rPr>
          <w:rFonts w:cs="Arial"/>
        </w:rPr>
        <w:t xml:space="preserve"> iz objektov</w:t>
      </w:r>
      <w:r w:rsidR="00251748" w:rsidRPr="00545EC0">
        <w:rPr>
          <w:rFonts w:cs="Arial"/>
        </w:rPr>
        <w:t>,</w:t>
      </w:r>
      <w:r w:rsidR="00D93374" w:rsidRPr="00545EC0">
        <w:t xml:space="preserve"> </w:t>
      </w:r>
      <w:r w:rsidR="00D93374" w:rsidRPr="00545EC0">
        <w:rPr>
          <w:rFonts w:cs="Arial"/>
        </w:rPr>
        <w:t>ki niso priključeni na javni kanalizacijski sistem,</w:t>
      </w:r>
      <w:r w:rsidRPr="00545EC0">
        <w:rPr>
          <w:rFonts w:cs="Arial"/>
        </w:rPr>
        <w:t xml:space="preserve"> so ocenjene na podlagi </w:t>
      </w:r>
      <w:r w:rsidR="007C642A" w:rsidRPr="00545EC0">
        <w:rPr>
          <w:rFonts w:cs="Arial"/>
        </w:rPr>
        <w:t xml:space="preserve">IJSVO in ob upoštevanju </w:t>
      </w:r>
      <w:r w:rsidRPr="00545EC0">
        <w:rPr>
          <w:rFonts w:cs="Arial"/>
        </w:rPr>
        <w:t>strokovne literature</w:t>
      </w:r>
      <w:r w:rsidR="00251748" w:rsidRPr="00545EC0">
        <w:rPr>
          <w:rFonts w:cs="Arial"/>
        </w:rPr>
        <w:t>,</w:t>
      </w:r>
      <w:r w:rsidRPr="00545EC0">
        <w:rPr>
          <w:rFonts w:cs="Arial"/>
        </w:rPr>
        <w:t xml:space="preserve"> pri čemer je upoštevano, da en prebivalec </w:t>
      </w:r>
      <w:r w:rsidR="007C642A" w:rsidRPr="00545EC0">
        <w:rPr>
          <w:rFonts w:cs="Arial"/>
        </w:rPr>
        <w:t xml:space="preserve">povzroča </w:t>
      </w:r>
      <w:r w:rsidRPr="00545EC0">
        <w:rPr>
          <w:rFonts w:cs="Arial"/>
        </w:rPr>
        <w:t>obremenit</w:t>
      </w:r>
      <w:r w:rsidR="007C642A" w:rsidRPr="00545EC0">
        <w:rPr>
          <w:rFonts w:cs="Arial"/>
        </w:rPr>
        <w:t>ve s celotnim dušikom, celotnim fosofrjem in s biološko razgradljivimi snovmi, izraženimi kot BPK</w:t>
      </w:r>
      <w:r w:rsidR="007C642A" w:rsidRPr="00545EC0">
        <w:rPr>
          <w:rFonts w:cs="Arial"/>
          <w:vertAlign w:val="subscript"/>
        </w:rPr>
        <w:t>5</w:t>
      </w:r>
      <w:r w:rsidRPr="00545EC0">
        <w:rPr>
          <w:rFonts w:cs="Arial"/>
        </w:rPr>
        <w:t>, kot je navedeno v poglavju</w:t>
      </w:r>
      <w:r w:rsidR="007C642A" w:rsidRPr="00545EC0">
        <w:rPr>
          <w:rFonts w:cs="Arial"/>
        </w:rPr>
        <w:t xml:space="preserve"> </w:t>
      </w:r>
      <w:r w:rsidR="007C642A" w:rsidRPr="00545EC0">
        <w:rPr>
          <w:rFonts w:cs="Arial"/>
        </w:rPr>
        <w:fldChar w:fldCharType="begin"/>
      </w:r>
      <w:r w:rsidR="007C642A" w:rsidRPr="00545EC0">
        <w:rPr>
          <w:rFonts w:cs="Arial"/>
        </w:rPr>
        <w:instrText xml:space="preserve"> REF _Ref87873642 \r \h </w:instrText>
      </w:r>
      <w:r w:rsidR="003122F4" w:rsidRPr="00545EC0">
        <w:rPr>
          <w:rFonts w:cs="Arial"/>
        </w:rPr>
        <w:instrText xml:space="preserve"> \* MERGEFORMAT </w:instrText>
      </w:r>
      <w:r w:rsidR="007C642A" w:rsidRPr="00545EC0">
        <w:rPr>
          <w:rFonts w:cs="Arial"/>
        </w:rPr>
      </w:r>
      <w:r w:rsidR="007C642A" w:rsidRPr="00545EC0">
        <w:rPr>
          <w:rFonts w:cs="Arial"/>
        </w:rPr>
        <w:fldChar w:fldCharType="separate"/>
      </w:r>
      <w:r w:rsidR="002F3E43">
        <w:rPr>
          <w:rFonts w:cs="Arial"/>
        </w:rPr>
        <w:t>2.2.1.2</w:t>
      </w:r>
      <w:r w:rsidR="007C642A" w:rsidRPr="00545EC0">
        <w:rPr>
          <w:rFonts w:cs="Arial"/>
        </w:rPr>
        <w:fldChar w:fldCharType="end"/>
      </w:r>
      <w:r w:rsidR="007C642A" w:rsidRPr="00545EC0">
        <w:rPr>
          <w:rFonts w:cs="Arial"/>
        </w:rPr>
        <w:t xml:space="preserve"> tega načrta upravljanja voda</w:t>
      </w:r>
      <w:r w:rsidRPr="00545EC0">
        <w:rPr>
          <w:rFonts w:cs="Arial"/>
        </w:rPr>
        <w:t>, ter da pretočna greznica zagotavlja 40 % učinkovitost čiščenja glede na BPK</w:t>
      </w:r>
      <w:r w:rsidRPr="00545EC0">
        <w:rPr>
          <w:rFonts w:cs="Arial"/>
          <w:vertAlign w:val="subscript"/>
        </w:rPr>
        <w:t>5</w:t>
      </w:r>
      <w:r w:rsidRPr="00545EC0">
        <w:rPr>
          <w:rFonts w:cs="Arial"/>
        </w:rPr>
        <w:t xml:space="preserve">. Ocena emisij </w:t>
      </w:r>
      <w:r w:rsidR="00D93374" w:rsidRPr="00545EC0">
        <w:rPr>
          <w:rFonts w:cs="Arial"/>
        </w:rPr>
        <w:t xml:space="preserve">biološko razgradljivih </w:t>
      </w:r>
      <w:r w:rsidRPr="00545EC0">
        <w:rPr>
          <w:rFonts w:cs="Arial"/>
        </w:rPr>
        <w:t>organskih snovi</w:t>
      </w:r>
      <w:r w:rsidR="00D93374" w:rsidRPr="00545EC0">
        <w:rPr>
          <w:rFonts w:cs="Arial"/>
        </w:rPr>
        <w:t xml:space="preserve"> izraženih kot BPK</w:t>
      </w:r>
      <w:r w:rsidR="00D93374" w:rsidRPr="00545EC0">
        <w:rPr>
          <w:rFonts w:cs="Arial"/>
          <w:vertAlign w:val="subscript"/>
        </w:rPr>
        <w:t>5</w:t>
      </w:r>
      <w:r w:rsidRPr="00545EC0">
        <w:rPr>
          <w:rFonts w:cs="Arial"/>
        </w:rPr>
        <w:t xml:space="preserve"> in celotnega fosforja v površinske vode je pripravljena ob upoštevanju posameznih objektov, ki ležijo v 50 m pasu ob vodotoku. </w:t>
      </w:r>
      <w:r w:rsidR="00D93374" w:rsidRPr="00545EC0">
        <w:rPr>
          <w:rFonts w:cs="Arial"/>
        </w:rPr>
        <w:t xml:space="preserve"> Ocena vnosa celotnega dušika v površinske vode temelji na modelskem sistemu GROWA/DENUZ/WEKU, ki vključuje različne vire obremenjevanja voda z dušikom, bilanco vode ter model transporta dušika preko tal in podzemne vode v površinske vode, kot je opisano v poglavju </w:t>
      </w:r>
      <w:r w:rsidR="00D93374" w:rsidRPr="00545EC0">
        <w:rPr>
          <w:rFonts w:cs="Arial"/>
        </w:rPr>
        <w:fldChar w:fldCharType="begin"/>
      </w:r>
      <w:r w:rsidR="00D93374" w:rsidRPr="00545EC0">
        <w:rPr>
          <w:rFonts w:cs="Arial"/>
        </w:rPr>
        <w:instrText xml:space="preserve"> REF _Ref87873236 \r \h </w:instrText>
      </w:r>
      <w:r w:rsidR="003122F4" w:rsidRPr="00545EC0">
        <w:rPr>
          <w:rFonts w:cs="Arial"/>
        </w:rPr>
        <w:instrText xml:space="preserve"> \* MERGEFORMAT </w:instrText>
      </w:r>
      <w:r w:rsidR="00D93374" w:rsidRPr="00545EC0">
        <w:rPr>
          <w:rFonts w:cs="Arial"/>
        </w:rPr>
      </w:r>
      <w:r w:rsidR="00D93374" w:rsidRPr="00545EC0">
        <w:rPr>
          <w:rFonts w:cs="Arial"/>
        </w:rPr>
        <w:fldChar w:fldCharType="separate"/>
      </w:r>
      <w:r w:rsidR="002F3E43">
        <w:rPr>
          <w:rFonts w:cs="Arial"/>
        </w:rPr>
        <w:t>2.2.2.1</w:t>
      </w:r>
      <w:r w:rsidR="00D93374" w:rsidRPr="00545EC0">
        <w:rPr>
          <w:rFonts w:cs="Arial"/>
        </w:rPr>
        <w:fldChar w:fldCharType="end"/>
      </w:r>
      <w:r w:rsidR="00D93374" w:rsidRPr="00545EC0">
        <w:rPr>
          <w:rFonts w:cs="Arial"/>
        </w:rPr>
        <w:t xml:space="preserve"> tega načrta upravljanja voda.</w:t>
      </w:r>
    </w:p>
    <w:p w14:paraId="37B67BB4" w14:textId="77777777" w:rsidR="00617285" w:rsidRPr="00545EC0" w:rsidRDefault="00617285" w:rsidP="00AD4FE7">
      <w:pPr>
        <w:rPr>
          <w:rFonts w:cs="Arial"/>
        </w:rPr>
      </w:pPr>
    </w:p>
    <w:p w14:paraId="6EB47ACF" w14:textId="4DD3C357" w:rsidR="00617285" w:rsidRPr="00545EC0" w:rsidRDefault="00617285" w:rsidP="00AD4FE7">
      <w:pPr>
        <w:rPr>
          <w:rFonts w:cs="Arial"/>
        </w:rPr>
      </w:pPr>
      <w:r w:rsidRPr="00545EC0">
        <w:rPr>
          <w:rFonts w:cs="Arial"/>
        </w:rPr>
        <w:t>Rezultati analiz</w:t>
      </w:r>
      <w:r w:rsidR="00604BB9" w:rsidRPr="00545EC0">
        <w:rPr>
          <w:rFonts w:cs="Arial"/>
        </w:rPr>
        <w:t xml:space="preserve"> emisije snovi iz objektov</w:t>
      </w:r>
      <w:r w:rsidR="00604BB9" w:rsidRPr="00545EC0">
        <w:t xml:space="preserve"> </w:t>
      </w:r>
      <w:r w:rsidR="00604BB9" w:rsidRPr="00545EC0">
        <w:rPr>
          <w:rFonts w:cs="Arial"/>
        </w:rPr>
        <w:t>ki niso priključeni na javni kanalizacijski sistem</w:t>
      </w:r>
      <w:r w:rsidRPr="00545EC0">
        <w:rPr>
          <w:rFonts w:cs="Arial"/>
        </w:rPr>
        <w:t xml:space="preserve"> </w:t>
      </w:r>
      <w:r w:rsidR="007C642A" w:rsidRPr="00545EC0">
        <w:rPr>
          <w:rFonts w:cs="Arial"/>
        </w:rPr>
        <w:t xml:space="preserve">(IzVRS, 2021) </w:t>
      </w:r>
      <w:r w:rsidRPr="00545EC0">
        <w:rPr>
          <w:rFonts w:cs="Arial"/>
        </w:rPr>
        <w:t xml:space="preserve">kažejo, da se je v obdobju 2015 do 2017 največje količine snovi zaradi komunalne odpadne vode iz posameznih objektov, ki ležijo izven meja območji poselitve, potencialno odvajajo v površinske vode na porečjih Drave in Spodnje Save. Na porečju Drave sta potencialno najbolj obremenjeni vodni telesi površinskih voda SI36VT90 </w:t>
      </w:r>
      <w:r w:rsidRPr="00545EC0">
        <w:t>VT Dravinja Zreče – Videm in SI3VT359 MPVT Drava Dravograd – Maribor</w:t>
      </w:r>
      <w:r w:rsidR="00016DB8" w:rsidRPr="00545EC0">
        <w:rPr>
          <w:rFonts w:cs="Arial"/>
        </w:rPr>
        <w:t>.</w:t>
      </w:r>
    </w:p>
    <w:p w14:paraId="1CD84FE9" w14:textId="77777777" w:rsidR="00617285" w:rsidRPr="00545EC0" w:rsidRDefault="00617285" w:rsidP="00AD4FE7">
      <w:pPr>
        <w:rPr>
          <w:rFonts w:cs="Arial"/>
          <w:szCs w:val="20"/>
        </w:rPr>
      </w:pPr>
    </w:p>
    <w:p w14:paraId="5992BA8C" w14:textId="0455332C" w:rsidR="00617285" w:rsidRPr="00545EC0" w:rsidRDefault="00617285" w:rsidP="00AD4FE7">
      <w:pPr>
        <w:rPr>
          <w:rFonts w:cs="Arial"/>
        </w:rPr>
      </w:pPr>
      <w:r w:rsidRPr="00545EC0">
        <w:rPr>
          <w:rFonts w:cs="Arial"/>
        </w:rPr>
        <w:t>Na podlagi primerjave podatkov o vrstah in jakostih obremenitev z oceno stanja vodnih teles površinskih voda ob upoštevanju predpisanih ukrepov na področju odvajanja in čiščenja komunalne odpadne vode je ocenjeno, da bo morebitne pomembne obremenitve zaradi odvajanja komunalne odpadne vode mogoče zanesljivo določiti po izvedbi vseh predpisanih ukrepov i</w:t>
      </w:r>
      <w:r w:rsidR="005826F0" w:rsidRPr="00545EC0">
        <w:rPr>
          <w:rFonts w:cs="Arial"/>
        </w:rPr>
        <w:t xml:space="preserve">n oceni njihove učinkovitosti. </w:t>
      </w:r>
    </w:p>
    <w:p w14:paraId="658C7B54" w14:textId="0E55DA42" w:rsidR="00EE5E77" w:rsidRPr="00545EC0" w:rsidRDefault="00C12042" w:rsidP="00AD4FE7">
      <w:pPr>
        <w:pStyle w:val="Naslov4"/>
        <w:rPr>
          <w:color w:val="auto"/>
        </w:rPr>
      </w:pPr>
      <w:r w:rsidRPr="00545EC0">
        <w:rPr>
          <w:color w:val="auto"/>
          <w:lang w:val="sl-SI"/>
        </w:rPr>
        <w:lastRenderedPageBreak/>
        <w:t>Razpršeni</w:t>
      </w:r>
      <w:r w:rsidR="00EE5E77" w:rsidRPr="00545EC0">
        <w:rPr>
          <w:color w:val="auto"/>
          <w:lang w:val="sl-SI"/>
        </w:rPr>
        <w:t xml:space="preserve"> viri </w:t>
      </w:r>
      <w:r w:rsidR="00EE5E77" w:rsidRPr="00545EC0">
        <w:rPr>
          <w:color w:val="auto"/>
        </w:rPr>
        <w:t>zaradi cestnega prometa</w:t>
      </w:r>
    </w:p>
    <w:p w14:paraId="10858DA7" w14:textId="77777777" w:rsidR="00617285" w:rsidRPr="00545EC0" w:rsidRDefault="00617285" w:rsidP="00AD4FE7">
      <w:pPr>
        <w:tabs>
          <w:tab w:val="num" w:pos="567"/>
          <w:tab w:val="left" w:pos="9600"/>
        </w:tabs>
        <w:spacing w:before="120" w:line="276" w:lineRule="auto"/>
        <w:rPr>
          <w:rFonts w:cs="Arial"/>
          <w:szCs w:val="20"/>
        </w:rPr>
      </w:pPr>
      <w:r w:rsidRPr="00545EC0">
        <w:rPr>
          <w:rFonts w:cs="Arial"/>
          <w:szCs w:val="20"/>
        </w:rPr>
        <w:t xml:space="preserve">Cestni promet prispeva k onesnaževanju površinskih voda predvsem, ko zaradi padavinskih dogodkov prihaja do izpiranja onesnaževal, ki zastajajo na cestišču zaradi cestnega prometa. V analizi je upoštevano onesnaževanje, ki nastaja zaradi obrabe pnevmatik, zavornih oblog in puščanja motornega olja. Zaradi obrabe pnevmatik prihaja do emisij manjših delcev in težkih kovin (kadmija, cinka, bakra, železa, svinca, niklja in kroma), kot tudi poliaromatskih ogljikovodikov (PAH). Obravnavani so predvsem PAH z nizko molsko maso (antracen, fluoranten), ki prevladujejo v vodi in se ne kopičijo v sedimentih. Tudi v zavornih oblogah se nahajajo težke kovine (mangan, krom, nikelj, železo). V padavinski odpadni vodi s cest je pričakovati tudi mangan, brom, antimon in molibden, ki se dodajajo v motorna in hidravlična olja. </w:t>
      </w:r>
    </w:p>
    <w:p w14:paraId="6E97F8C3" w14:textId="77777777" w:rsidR="00617285" w:rsidRPr="00545EC0" w:rsidRDefault="00617285" w:rsidP="00AD4FE7">
      <w:pPr>
        <w:tabs>
          <w:tab w:val="num" w:pos="567"/>
          <w:tab w:val="left" w:pos="9600"/>
        </w:tabs>
        <w:spacing w:before="120" w:line="276" w:lineRule="auto"/>
        <w:rPr>
          <w:rFonts w:cs="Arial"/>
          <w:szCs w:val="20"/>
        </w:rPr>
      </w:pPr>
    </w:p>
    <w:p w14:paraId="572F3A6A" w14:textId="63887679" w:rsidR="00617285" w:rsidRPr="00545EC0" w:rsidRDefault="00617285" w:rsidP="00AD4FE7">
      <w:pPr>
        <w:spacing w:line="276" w:lineRule="auto"/>
        <w:rPr>
          <w:rFonts w:cs="Arial"/>
          <w:szCs w:val="20"/>
        </w:rPr>
      </w:pPr>
      <w:r w:rsidRPr="00545EC0">
        <w:rPr>
          <w:rFonts w:cs="Arial"/>
          <w:szCs w:val="20"/>
        </w:rPr>
        <w:t>Letne količine izbranih onesnaževal (baker, cink, kadmij, nikelj, svinec, antracen, fluoranten), ki se zaradi cestnega prometa iztekajo v površinske vode, so ocenjene ob upoštevanju podatkov Direkcij</w:t>
      </w:r>
      <w:r w:rsidR="00016DB8" w:rsidRPr="00545EC0">
        <w:rPr>
          <w:rFonts w:cs="Arial"/>
          <w:szCs w:val="20"/>
        </w:rPr>
        <w:t>e</w:t>
      </w:r>
      <w:r w:rsidRPr="00545EC0">
        <w:rPr>
          <w:rFonts w:cs="Arial"/>
          <w:szCs w:val="20"/>
        </w:rPr>
        <w:t xml:space="preserve"> Republike Slovenije za infrastrukturo o cestnem prometu v obdobju od 2013 do 2017 in na podlagi emisijskih faktorjev (podatek o količini snovi, ki se izpira na dolžinsko enoto ceste), povzetih po strokovni literaturi. </w:t>
      </w:r>
    </w:p>
    <w:p w14:paraId="320D5332" w14:textId="443D6920" w:rsidR="0025492B" w:rsidRPr="00545EC0" w:rsidRDefault="0025492B" w:rsidP="00AD4FE7">
      <w:pPr>
        <w:spacing w:line="276" w:lineRule="auto"/>
        <w:rPr>
          <w:rFonts w:cs="Arial"/>
          <w:szCs w:val="20"/>
        </w:rPr>
      </w:pPr>
    </w:p>
    <w:p w14:paraId="4F4F3996" w14:textId="77777777" w:rsidR="0025492B" w:rsidRPr="00545EC0" w:rsidRDefault="0025492B" w:rsidP="0025492B">
      <w:pPr>
        <w:rPr>
          <w:b/>
          <w:i/>
        </w:rPr>
      </w:pPr>
      <w:r w:rsidRPr="00545EC0">
        <w:rPr>
          <w:b/>
          <w:i/>
        </w:rPr>
        <w:t>Prikaz obremenitev vodnih teles površinskih voda</w:t>
      </w:r>
    </w:p>
    <w:p w14:paraId="6F500EBF" w14:textId="77777777" w:rsidR="0025492B" w:rsidRPr="00545EC0" w:rsidRDefault="0025492B" w:rsidP="003122F4"/>
    <w:p w14:paraId="5BBB3578" w14:textId="1873DA58" w:rsidR="00617285" w:rsidRPr="00545EC0" w:rsidRDefault="00617285" w:rsidP="0025492B">
      <w:pPr>
        <w:tabs>
          <w:tab w:val="num" w:pos="567"/>
          <w:tab w:val="left" w:pos="9600"/>
        </w:tabs>
        <w:spacing w:before="120" w:line="276" w:lineRule="auto"/>
        <w:rPr>
          <w:rFonts w:cs="Arial"/>
        </w:rPr>
      </w:pPr>
      <w:r w:rsidRPr="00545EC0">
        <w:rPr>
          <w:rFonts w:cs="Arial"/>
          <w:szCs w:val="20"/>
        </w:rPr>
        <w:t>Pri obravnavi razpršenega onesnaževanja s cest je privzeto, da</w:t>
      </w:r>
      <w:r w:rsidR="00016DB8" w:rsidRPr="00545EC0">
        <w:rPr>
          <w:rFonts w:cs="Arial"/>
          <w:szCs w:val="20"/>
        </w:rPr>
        <w:t xml:space="preserve"> se</w:t>
      </w:r>
      <w:r w:rsidRPr="00545EC0">
        <w:rPr>
          <w:rFonts w:cs="Arial"/>
          <w:szCs w:val="20"/>
        </w:rPr>
        <w:t xml:space="preserve"> onesnaževala s prvim ali z naslednjimi padavinskimi vali spirajo v površinsko vodo, če se v pasu širine 50 m ob cesti nahaja celinska površinska voda. </w:t>
      </w:r>
      <w:r w:rsidRPr="00545EC0">
        <w:rPr>
          <w:rFonts w:cs="Arial"/>
        </w:rPr>
        <w:t>Obremenitve zaradi cestnega prometa so prikazane na publikacijski karti (</w:t>
      </w:r>
      <w:r w:rsidRPr="00545EC0">
        <w:rPr>
          <w:rFonts w:cs="Arial"/>
          <w:i/>
        </w:rPr>
        <w:t>Publikacijska karta</w:t>
      </w:r>
      <w:r w:rsidR="001D5C1B" w:rsidRPr="00545EC0">
        <w:rPr>
          <w:rFonts w:cs="Arial"/>
          <w:i/>
        </w:rPr>
        <w:t xml:space="preserve"> 3.4</w:t>
      </w:r>
      <w:r w:rsidRPr="00545EC0">
        <w:rPr>
          <w:rFonts w:cs="Arial"/>
          <w:i/>
        </w:rPr>
        <w:t>: Razpršeni viri onesnaževanja – obremenitev površinskih voda (cestni promet)</w:t>
      </w:r>
      <w:r w:rsidRPr="00545EC0">
        <w:rPr>
          <w:rFonts w:cs="Arial"/>
        </w:rPr>
        <w:t>).</w:t>
      </w:r>
    </w:p>
    <w:p w14:paraId="37FF2472" w14:textId="022F9B4B" w:rsidR="00617285" w:rsidRPr="00545EC0" w:rsidRDefault="00617285" w:rsidP="00AD4FE7">
      <w:pPr>
        <w:tabs>
          <w:tab w:val="num" w:pos="567"/>
          <w:tab w:val="left" w:pos="9600"/>
        </w:tabs>
        <w:spacing w:before="120" w:line="276" w:lineRule="auto"/>
        <w:rPr>
          <w:rFonts w:cs="Arial"/>
          <w:szCs w:val="20"/>
        </w:rPr>
      </w:pPr>
      <w:r w:rsidRPr="00545EC0">
        <w:rPr>
          <w:rFonts w:cs="Arial"/>
          <w:szCs w:val="20"/>
        </w:rPr>
        <w:t>Na podlagi analiz</w:t>
      </w:r>
      <w:r w:rsidR="007C642A" w:rsidRPr="00545EC0">
        <w:rPr>
          <w:rFonts w:cs="Arial"/>
          <w:szCs w:val="20"/>
        </w:rPr>
        <w:t>e</w:t>
      </w:r>
      <w:r w:rsidRPr="00545EC0">
        <w:rPr>
          <w:rFonts w:cs="Arial"/>
          <w:szCs w:val="20"/>
        </w:rPr>
        <w:t xml:space="preserve"> </w:t>
      </w:r>
      <w:r w:rsidR="007C642A" w:rsidRPr="00545EC0">
        <w:rPr>
          <w:rFonts w:cs="Arial"/>
          <w:szCs w:val="20"/>
        </w:rPr>
        <w:t xml:space="preserve">podatkov o cestnem prometu in ob upoštevanju emisijskih faktorjev iz stokovne literature </w:t>
      </w:r>
      <w:r w:rsidRPr="00545EC0">
        <w:rPr>
          <w:rFonts w:cs="Arial"/>
          <w:szCs w:val="20"/>
        </w:rPr>
        <w:t>je v obdobju od 2013 do 2017 opazno naraščanje količin onesnaževal, ki se zaradi cestnega prometa odvajajo v površinske vode</w:t>
      </w:r>
      <w:r w:rsidR="007C642A" w:rsidRPr="00545EC0">
        <w:rPr>
          <w:rFonts w:cs="Arial"/>
          <w:szCs w:val="20"/>
        </w:rPr>
        <w:t xml:space="preserve"> (IzVRS, 2021)</w:t>
      </w:r>
      <w:r w:rsidRPr="00545EC0">
        <w:rPr>
          <w:rFonts w:cs="Arial"/>
          <w:szCs w:val="20"/>
        </w:rPr>
        <w:t>. Naraščanje emisij onesnaževal v površinske vode je posledica postopnega naraščanja povprečnega dnevnega prometa oziroma naraščanj</w:t>
      </w:r>
      <w:r w:rsidR="007C642A" w:rsidRPr="00545EC0">
        <w:rPr>
          <w:rFonts w:cs="Arial"/>
          <w:szCs w:val="20"/>
        </w:rPr>
        <w:t>a</w:t>
      </w:r>
      <w:r w:rsidRPr="00545EC0">
        <w:rPr>
          <w:rFonts w:cs="Arial"/>
          <w:szCs w:val="20"/>
        </w:rPr>
        <w:t xml:space="preserve"> gostote prometa, ki je v obdobju od 2013 do 2017 naraščala na 75,4 % analiziranih odsek</w:t>
      </w:r>
      <w:r w:rsidR="00251748" w:rsidRPr="00545EC0">
        <w:rPr>
          <w:rFonts w:cs="Arial"/>
          <w:szCs w:val="20"/>
        </w:rPr>
        <w:t>ov</w:t>
      </w:r>
      <w:r w:rsidRPr="00545EC0">
        <w:rPr>
          <w:rFonts w:cs="Arial"/>
          <w:szCs w:val="20"/>
        </w:rPr>
        <w:t>. Ocenjeno je, da se zaradi cestnega prometa v površinske vode na VO Donave v največjih količinah vnašata cink (okoli 112 kg v letu 2017) in baker (okoli 31 kg v letu 2017). Ocenjene količine cinka, ki se zaradi cestnega prometa vnaša</w:t>
      </w:r>
      <w:r w:rsidR="007C642A" w:rsidRPr="00545EC0">
        <w:rPr>
          <w:rFonts w:cs="Arial"/>
          <w:szCs w:val="20"/>
        </w:rPr>
        <w:t>jo</w:t>
      </w:r>
      <w:r w:rsidRPr="00545EC0">
        <w:rPr>
          <w:rFonts w:cs="Arial"/>
          <w:szCs w:val="20"/>
        </w:rPr>
        <w:t xml:space="preserve"> v porečja na VO Donave, so razvidne iz slike (</w:t>
      </w:r>
      <w:r w:rsidRPr="00545EC0">
        <w:rPr>
          <w:rFonts w:cs="Arial"/>
          <w:szCs w:val="20"/>
        </w:rPr>
        <w:fldChar w:fldCharType="begin"/>
      </w:r>
      <w:r w:rsidRPr="00545EC0">
        <w:rPr>
          <w:rFonts w:cs="Arial"/>
          <w:szCs w:val="20"/>
        </w:rPr>
        <w:instrText xml:space="preserve"> REF _Ref82766323 \h  \* MERGEFORMAT </w:instrText>
      </w:r>
      <w:r w:rsidRPr="00545EC0">
        <w:rPr>
          <w:rFonts w:cs="Arial"/>
          <w:szCs w:val="20"/>
        </w:rPr>
      </w:r>
      <w:r w:rsidRPr="00545EC0">
        <w:rPr>
          <w:rFonts w:cs="Arial"/>
          <w:szCs w:val="20"/>
        </w:rPr>
        <w:fldChar w:fldCharType="separate"/>
      </w:r>
      <w:r w:rsidR="002F3E43" w:rsidRPr="00545EC0">
        <w:t xml:space="preserve">Slika </w:t>
      </w:r>
      <w:r w:rsidR="002F3E43">
        <w:rPr>
          <w:noProof/>
        </w:rPr>
        <w:t>2</w:t>
      </w:r>
      <w:r w:rsidR="002F3E43" w:rsidRPr="00545EC0">
        <w:rPr>
          <w:noProof/>
        </w:rPr>
        <w:noBreakHyphen/>
      </w:r>
      <w:r w:rsidR="002F3E43">
        <w:rPr>
          <w:noProof/>
        </w:rPr>
        <w:t>8</w:t>
      </w:r>
      <w:r w:rsidRPr="00545EC0">
        <w:rPr>
          <w:rFonts w:cs="Arial"/>
          <w:szCs w:val="20"/>
        </w:rPr>
        <w:fldChar w:fldCharType="end"/>
      </w:r>
      <w:r w:rsidRPr="00545EC0">
        <w:rPr>
          <w:rFonts w:cs="Arial"/>
          <w:szCs w:val="20"/>
        </w:rPr>
        <w:t>).</w:t>
      </w:r>
    </w:p>
    <w:p w14:paraId="5225F9D0" w14:textId="77777777" w:rsidR="00617285" w:rsidRPr="00545EC0" w:rsidRDefault="00617285" w:rsidP="00AD4FE7">
      <w:pPr>
        <w:tabs>
          <w:tab w:val="num" w:pos="567"/>
          <w:tab w:val="left" w:pos="9600"/>
        </w:tabs>
        <w:spacing w:before="120" w:line="276" w:lineRule="auto"/>
        <w:rPr>
          <w:rFonts w:cs="Arial"/>
          <w:szCs w:val="20"/>
        </w:rPr>
      </w:pPr>
    </w:p>
    <w:p w14:paraId="15ED7695" w14:textId="77777777" w:rsidR="00617285" w:rsidRPr="00545EC0" w:rsidRDefault="00617285" w:rsidP="00AD4FE7">
      <w:pPr>
        <w:tabs>
          <w:tab w:val="num" w:pos="567"/>
          <w:tab w:val="left" w:pos="9600"/>
        </w:tabs>
        <w:spacing w:before="120"/>
        <w:rPr>
          <w:rFonts w:cs="Arial"/>
          <w:szCs w:val="20"/>
        </w:rPr>
      </w:pPr>
      <w:r w:rsidRPr="00545EC0">
        <w:rPr>
          <w:rFonts w:cs="Arial"/>
          <w:noProof/>
          <w:szCs w:val="20"/>
        </w:rPr>
        <w:lastRenderedPageBreak/>
        <w:drawing>
          <wp:inline distT="0" distB="0" distL="0" distR="0" wp14:anchorId="2D918DC7" wp14:editId="60B48554">
            <wp:extent cx="5648178" cy="3395165"/>
            <wp:effectExtent l="19050" t="19050" r="10160" b="15240"/>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59814" cy="3402160"/>
                    </a:xfrm>
                    <a:prstGeom prst="rect">
                      <a:avLst/>
                    </a:prstGeom>
                    <a:noFill/>
                    <a:ln w="3175">
                      <a:solidFill>
                        <a:schemeClr val="bg1">
                          <a:lumMod val="75000"/>
                        </a:schemeClr>
                      </a:solidFill>
                    </a:ln>
                  </pic:spPr>
                </pic:pic>
              </a:graphicData>
            </a:graphic>
          </wp:inline>
        </w:drawing>
      </w:r>
    </w:p>
    <w:p w14:paraId="51EAF9AF" w14:textId="0B42BE30" w:rsidR="00617285" w:rsidRPr="00545EC0" w:rsidRDefault="00617285" w:rsidP="00AD4FE7">
      <w:pPr>
        <w:pStyle w:val="Napis"/>
        <w:rPr>
          <w:szCs w:val="20"/>
        </w:rPr>
      </w:pPr>
      <w:bookmarkStart w:id="170" w:name="_Ref82766323"/>
      <w:bookmarkStart w:id="171" w:name="_Toc460701595"/>
      <w:r w:rsidRPr="00545EC0">
        <w:t xml:space="preserve">Slika </w:t>
      </w:r>
      <w:fldSimple w:instr=" STYLEREF 1 \s ">
        <w:r w:rsidR="002F3E43">
          <w:rPr>
            <w:noProof/>
          </w:rPr>
          <w:t>2</w:t>
        </w:r>
      </w:fldSimple>
      <w:r w:rsidR="00396E1E" w:rsidRPr="00545EC0">
        <w:noBreakHyphen/>
      </w:r>
      <w:fldSimple w:instr=" SEQ Slika \* ARABIC \s 1 ">
        <w:r w:rsidR="002F3E43">
          <w:rPr>
            <w:noProof/>
          </w:rPr>
          <w:t>8</w:t>
        </w:r>
      </w:fldSimple>
      <w:bookmarkEnd w:id="170"/>
      <w:r w:rsidRPr="00545EC0">
        <w:t>:</w:t>
      </w:r>
      <w:r w:rsidRPr="00545EC0">
        <w:rPr>
          <w:szCs w:val="20"/>
        </w:rPr>
        <w:t xml:space="preserve"> Razpršeno onesnaževanje s cinkom zaradi cestnega prometa na VO Donave</w:t>
      </w:r>
      <w:bookmarkEnd w:id="171"/>
      <w:r w:rsidRPr="00545EC0">
        <w:rPr>
          <w:szCs w:val="20"/>
        </w:rPr>
        <w:t xml:space="preserve"> </w:t>
      </w:r>
    </w:p>
    <w:p w14:paraId="3E799A52" w14:textId="77777777" w:rsidR="00617285" w:rsidRPr="00545EC0" w:rsidRDefault="00617285" w:rsidP="00AD4FE7">
      <w:pPr>
        <w:tabs>
          <w:tab w:val="num" w:pos="567"/>
          <w:tab w:val="left" w:pos="9600"/>
        </w:tabs>
        <w:spacing w:before="120" w:line="276" w:lineRule="auto"/>
        <w:rPr>
          <w:rFonts w:cs="Arial"/>
          <w:szCs w:val="20"/>
        </w:rPr>
      </w:pPr>
    </w:p>
    <w:p w14:paraId="5A221D45" w14:textId="7F59A9A7" w:rsidR="00617285" w:rsidRPr="00545EC0" w:rsidRDefault="00617285" w:rsidP="00AD4FE7">
      <w:pPr>
        <w:tabs>
          <w:tab w:val="num" w:pos="567"/>
          <w:tab w:val="left" w:pos="9600"/>
        </w:tabs>
        <w:spacing w:before="120" w:line="276" w:lineRule="auto"/>
        <w:rPr>
          <w:rFonts w:cs="Arial"/>
          <w:szCs w:val="20"/>
        </w:rPr>
      </w:pPr>
      <w:r w:rsidRPr="00545EC0">
        <w:rPr>
          <w:rFonts w:cs="Arial"/>
          <w:szCs w:val="20"/>
        </w:rPr>
        <w:t>Na VO Donave je največje onesnaževanje zaradi cestnega prometa ocenjeno na Srednji Savi v okolici Ljubljane (SI14VT77 VT Ljubljanica povirje – Ljubljana, SI14VT97 VT Ljubljanica Moste – Podgrad), na prispevni površini SI144VT2 VT Pivka Prestranek – Postojnska jama, na prispevni površini SI1324VT VT Rača z Radomljo in SI145VT VT Unica. Sledi porečje Drave, kjer je najbolj obremenjena prispevna površina umetnega vodnega telesa UVT Kanal HE Zlatoličje,</w:t>
      </w:r>
      <w:r w:rsidR="00016DB8" w:rsidRPr="00545EC0">
        <w:rPr>
          <w:rFonts w:cs="Arial"/>
          <w:szCs w:val="20"/>
        </w:rPr>
        <w:t xml:space="preserve"> porečje</w:t>
      </w:r>
      <w:r w:rsidRPr="00545EC0">
        <w:rPr>
          <w:rFonts w:cs="Arial"/>
          <w:szCs w:val="20"/>
        </w:rPr>
        <w:t xml:space="preserve"> Spodnj</w:t>
      </w:r>
      <w:r w:rsidR="00016DB8" w:rsidRPr="00545EC0">
        <w:rPr>
          <w:rFonts w:cs="Arial"/>
          <w:szCs w:val="20"/>
        </w:rPr>
        <w:t>e</w:t>
      </w:r>
      <w:r w:rsidRPr="00545EC0">
        <w:rPr>
          <w:rFonts w:cs="Arial"/>
          <w:szCs w:val="20"/>
        </w:rPr>
        <w:t xml:space="preserve"> Sav</w:t>
      </w:r>
      <w:r w:rsidR="00016DB8" w:rsidRPr="00545EC0">
        <w:rPr>
          <w:rFonts w:cs="Arial"/>
          <w:szCs w:val="20"/>
        </w:rPr>
        <w:t>e</w:t>
      </w:r>
      <w:r w:rsidRPr="00545EC0">
        <w:rPr>
          <w:rFonts w:cs="Arial"/>
          <w:szCs w:val="20"/>
        </w:rPr>
        <w:t xml:space="preserve">, kjer je najbolj obremenjena prispevna površina SI18VT31 VT Krka povirje – Soteska in </w:t>
      </w:r>
      <w:r w:rsidR="00016DB8" w:rsidRPr="00545EC0">
        <w:rPr>
          <w:rFonts w:cs="Arial"/>
          <w:szCs w:val="20"/>
        </w:rPr>
        <w:t xml:space="preserve">porečje </w:t>
      </w:r>
      <w:r w:rsidRPr="00545EC0">
        <w:rPr>
          <w:rFonts w:cs="Arial"/>
          <w:szCs w:val="20"/>
        </w:rPr>
        <w:t xml:space="preserve">Savinje, kjer je najbolj obremenjena prispevna površina SI16VT70 VT Savinja Letuš – Celje. </w:t>
      </w:r>
    </w:p>
    <w:p w14:paraId="69C9C5F7" w14:textId="77777777" w:rsidR="00617285" w:rsidRPr="00545EC0" w:rsidRDefault="00617285" w:rsidP="00AD4FE7">
      <w:pPr>
        <w:rPr>
          <w:rFonts w:cs="Arial"/>
          <w:szCs w:val="20"/>
        </w:rPr>
      </w:pPr>
    </w:p>
    <w:p w14:paraId="73D9B7C9" w14:textId="42F6F61D" w:rsidR="00EE5E77" w:rsidRPr="00545EC0" w:rsidRDefault="00617285" w:rsidP="00AD4FE7">
      <w:pPr>
        <w:rPr>
          <w:rFonts w:cs="Arial"/>
          <w:szCs w:val="20"/>
        </w:rPr>
      </w:pPr>
      <w:r w:rsidRPr="00545EC0">
        <w:rPr>
          <w:rFonts w:cs="Arial"/>
          <w:szCs w:val="20"/>
        </w:rPr>
        <w:t>Primerjava ocenjenih podatkov o vrstah in jakostih obremenitev z oceno stanja vodnih teles površinskih voda kaže, da ni mogoče zanesljivo opredeliti pomembnih obremenitev zaradi razpršenega onesnaževa</w:t>
      </w:r>
      <w:r w:rsidR="005826F0" w:rsidRPr="00545EC0">
        <w:rPr>
          <w:rFonts w:cs="Arial"/>
          <w:szCs w:val="20"/>
        </w:rPr>
        <w:t xml:space="preserve">nja zaradi cestnega prometa.   </w:t>
      </w:r>
    </w:p>
    <w:p w14:paraId="174C7D0C" w14:textId="6C65E5E9" w:rsidR="0025492B" w:rsidRPr="00545EC0" w:rsidRDefault="0025492B" w:rsidP="00AD4FE7">
      <w:pPr>
        <w:rPr>
          <w:rFonts w:cs="Arial"/>
          <w:szCs w:val="20"/>
        </w:rPr>
      </w:pPr>
    </w:p>
    <w:p w14:paraId="47AE393C" w14:textId="77777777" w:rsidR="0025492B" w:rsidRPr="00545EC0" w:rsidRDefault="0025492B" w:rsidP="0025492B">
      <w:pPr>
        <w:rPr>
          <w:b/>
          <w:i/>
        </w:rPr>
      </w:pPr>
      <w:r w:rsidRPr="00545EC0">
        <w:rPr>
          <w:b/>
          <w:i/>
        </w:rPr>
        <w:t>Prikaz obremenitev vodnih teles podzemnih voda</w:t>
      </w:r>
    </w:p>
    <w:p w14:paraId="1C321076" w14:textId="77777777" w:rsidR="0025492B" w:rsidRPr="00545EC0" w:rsidRDefault="0025492B" w:rsidP="00AD4FE7">
      <w:pPr>
        <w:rPr>
          <w:rFonts w:cs="Arial"/>
          <w:szCs w:val="20"/>
        </w:rPr>
      </w:pPr>
    </w:p>
    <w:p w14:paraId="347D0011" w14:textId="639CD54A" w:rsidR="00AD4FE7" w:rsidRPr="00545EC0" w:rsidRDefault="00AD4FE7" w:rsidP="00AD4FE7">
      <w:pPr>
        <w:spacing w:before="120" w:after="120"/>
      </w:pPr>
      <w:r w:rsidRPr="00545EC0">
        <w:t xml:space="preserve">Na VO Donave </w:t>
      </w:r>
      <w:r w:rsidR="007C642A" w:rsidRPr="00545EC0">
        <w:t xml:space="preserve">so na podlagi analize podatkov o cestnem prometu in ob upoštevanju emisijskih faktorjev iz stokovne literature </w:t>
      </w:r>
      <w:r w:rsidRPr="00545EC0">
        <w:t xml:space="preserve">v letu 2017 </w:t>
      </w:r>
      <w:r w:rsidR="007C642A" w:rsidRPr="00545EC0">
        <w:t xml:space="preserve">ocenjene </w:t>
      </w:r>
      <w:r w:rsidRPr="00545EC0">
        <w:t>največje emisije iz cestnega prometa s cinkom (480,2 kg/leto) in najnižje s kadmijem (0,01 kg/leto).</w:t>
      </w:r>
      <w:r w:rsidR="0025492B" w:rsidRPr="00545EC0">
        <w:t xml:space="preserve"> </w:t>
      </w:r>
      <w:r w:rsidRPr="00545EC0">
        <w:t>Letne količine emisij obravnavanih onesnaževal po letih na VO Donave iz cestnega prometa so podane v spodnjih preglednicah (</w:t>
      </w:r>
      <w:r w:rsidRPr="00545EC0">
        <w:fldChar w:fldCharType="begin"/>
      </w:r>
      <w:r w:rsidRPr="00545EC0">
        <w:instrText xml:space="preserve"> REF _Ref84321511 \h </w:instrText>
      </w:r>
      <w:r w:rsidR="00F37A91" w:rsidRPr="00545EC0">
        <w:instrText xml:space="preserve"> \* MERGEFORMAT </w:instrText>
      </w:r>
      <w:r w:rsidRPr="00545EC0">
        <w:fldChar w:fldCharType="separate"/>
      </w:r>
      <w:r w:rsidR="002F3E43" w:rsidRPr="00545EC0">
        <w:t xml:space="preserve">Preglednica </w:t>
      </w:r>
      <w:r w:rsidR="002F3E43">
        <w:rPr>
          <w:noProof/>
        </w:rPr>
        <w:t>2</w:t>
      </w:r>
      <w:r w:rsidR="002F3E43" w:rsidRPr="00545EC0">
        <w:rPr>
          <w:noProof/>
        </w:rPr>
        <w:noBreakHyphen/>
      </w:r>
      <w:r w:rsidR="002F3E43">
        <w:rPr>
          <w:noProof/>
        </w:rPr>
        <w:t>18</w:t>
      </w:r>
      <w:r w:rsidRPr="00545EC0">
        <w:fldChar w:fldCharType="end"/>
      </w:r>
      <w:r w:rsidRPr="00545EC0">
        <w:t>).</w:t>
      </w:r>
    </w:p>
    <w:p w14:paraId="3A785648" w14:textId="0CB102A9" w:rsidR="00AD4FE7" w:rsidRPr="00545EC0" w:rsidRDefault="00AD4FE7" w:rsidP="00AD4FE7">
      <w:pPr>
        <w:pStyle w:val="Napis"/>
        <w:spacing w:after="120"/>
      </w:pPr>
      <w:bookmarkStart w:id="172" w:name="_Ref84321511"/>
      <w:bookmarkStart w:id="173" w:name="_Ref84258780"/>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18</w:t>
        </w:r>
      </w:fldSimple>
      <w:bookmarkEnd w:id="172"/>
      <w:r w:rsidRPr="00545EC0">
        <w:t>: Letne (2013 – 2017) vrednosti emisij obravnavanih onesnaževal iz cestnega prometa na VO Donave.</w:t>
      </w:r>
      <w:bookmarkEnd w:id="173"/>
    </w:p>
    <w:tbl>
      <w:tblPr>
        <w:tblW w:w="5000" w:type="pct"/>
        <w:jc w:val="center"/>
        <w:tblCellMar>
          <w:left w:w="70" w:type="dxa"/>
          <w:right w:w="70" w:type="dxa"/>
        </w:tblCellMar>
        <w:tblLook w:val="04A0" w:firstRow="1" w:lastRow="0" w:firstColumn="1" w:lastColumn="0" w:noHBand="0" w:noVBand="1"/>
      </w:tblPr>
      <w:tblGrid>
        <w:gridCol w:w="2400"/>
        <w:gridCol w:w="1284"/>
        <w:gridCol w:w="1249"/>
        <w:gridCol w:w="1426"/>
        <w:gridCol w:w="1426"/>
        <w:gridCol w:w="1426"/>
      </w:tblGrid>
      <w:tr w:rsidR="003122F4" w:rsidRPr="00545EC0" w14:paraId="606FFC44" w14:textId="77777777" w:rsidTr="00AD4FE7">
        <w:trPr>
          <w:trHeight w:val="300"/>
          <w:tblHeader/>
          <w:jc w:val="center"/>
        </w:trPr>
        <w:tc>
          <w:tcPr>
            <w:tcW w:w="130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592D449" w14:textId="77777777" w:rsidR="00AD4FE7" w:rsidRPr="00545EC0" w:rsidRDefault="00AD4FE7" w:rsidP="00AD4FE7">
            <w:pPr>
              <w:spacing w:line="240" w:lineRule="auto"/>
              <w:jc w:val="center"/>
              <w:rPr>
                <w:rFonts w:cs="Arial"/>
                <w:b/>
                <w:bCs/>
                <w:sz w:val="18"/>
                <w:szCs w:val="18"/>
              </w:rPr>
            </w:pPr>
            <w:r w:rsidRPr="00545EC0">
              <w:rPr>
                <w:rFonts w:cs="Arial"/>
                <w:b/>
                <w:bCs/>
                <w:sz w:val="18"/>
                <w:szCs w:val="18"/>
              </w:rPr>
              <w:t>VO D</w:t>
            </w:r>
          </w:p>
        </w:tc>
        <w:tc>
          <w:tcPr>
            <w:tcW w:w="69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CE6BCF9" w14:textId="77777777" w:rsidR="00AD4FE7" w:rsidRPr="00545EC0" w:rsidRDefault="00AD4FE7" w:rsidP="00AD4FE7">
            <w:pPr>
              <w:spacing w:line="240" w:lineRule="auto"/>
              <w:jc w:val="center"/>
              <w:rPr>
                <w:rFonts w:cs="Arial"/>
                <w:b/>
                <w:bCs/>
                <w:sz w:val="18"/>
                <w:szCs w:val="18"/>
              </w:rPr>
            </w:pPr>
            <w:r w:rsidRPr="00545EC0">
              <w:rPr>
                <w:rFonts w:cs="Arial"/>
                <w:b/>
                <w:bCs/>
                <w:sz w:val="18"/>
                <w:szCs w:val="18"/>
              </w:rPr>
              <w:t>2013</w:t>
            </w:r>
          </w:p>
        </w:tc>
        <w:tc>
          <w:tcPr>
            <w:tcW w:w="67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AEC8F1A" w14:textId="77777777" w:rsidR="00AD4FE7" w:rsidRPr="00545EC0" w:rsidRDefault="00AD4FE7" w:rsidP="00AD4FE7">
            <w:pPr>
              <w:spacing w:line="240" w:lineRule="auto"/>
              <w:jc w:val="center"/>
              <w:rPr>
                <w:rFonts w:cs="Arial"/>
                <w:b/>
                <w:bCs/>
                <w:sz w:val="18"/>
                <w:szCs w:val="18"/>
              </w:rPr>
            </w:pPr>
            <w:r w:rsidRPr="00545EC0">
              <w:rPr>
                <w:rFonts w:cs="Arial"/>
                <w:b/>
                <w:bCs/>
                <w:sz w:val="18"/>
                <w:szCs w:val="18"/>
              </w:rPr>
              <w:t>2014</w:t>
            </w:r>
          </w:p>
        </w:tc>
        <w:tc>
          <w:tcPr>
            <w:tcW w:w="77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03A887B" w14:textId="77777777" w:rsidR="00AD4FE7" w:rsidRPr="00545EC0" w:rsidRDefault="00AD4FE7" w:rsidP="00AD4FE7">
            <w:pPr>
              <w:spacing w:line="240" w:lineRule="auto"/>
              <w:jc w:val="center"/>
              <w:rPr>
                <w:rFonts w:cs="Arial"/>
                <w:b/>
                <w:bCs/>
                <w:sz w:val="18"/>
                <w:szCs w:val="18"/>
              </w:rPr>
            </w:pPr>
            <w:r w:rsidRPr="00545EC0">
              <w:rPr>
                <w:rFonts w:cs="Arial"/>
                <w:b/>
                <w:bCs/>
                <w:sz w:val="18"/>
                <w:szCs w:val="18"/>
              </w:rPr>
              <w:t>2015</w:t>
            </w:r>
          </w:p>
        </w:tc>
        <w:tc>
          <w:tcPr>
            <w:tcW w:w="77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092745B" w14:textId="77777777" w:rsidR="00AD4FE7" w:rsidRPr="00545EC0" w:rsidRDefault="00AD4FE7" w:rsidP="00AD4FE7">
            <w:pPr>
              <w:spacing w:line="240" w:lineRule="auto"/>
              <w:jc w:val="center"/>
              <w:rPr>
                <w:rFonts w:cs="Arial"/>
                <w:b/>
                <w:bCs/>
                <w:sz w:val="18"/>
                <w:szCs w:val="18"/>
              </w:rPr>
            </w:pPr>
            <w:r w:rsidRPr="00545EC0">
              <w:rPr>
                <w:rFonts w:cs="Arial"/>
                <w:b/>
                <w:bCs/>
                <w:sz w:val="18"/>
                <w:szCs w:val="18"/>
              </w:rPr>
              <w:t>2016</w:t>
            </w:r>
          </w:p>
        </w:tc>
        <w:tc>
          <w:tcPr>
            <w:tcW w:w="77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D869E33" w14:textId="77777777" w:rsidR="00AD4FE7" w:rsidRPr="00545EC0" w:rsidRDefault="00AD4FE7" w:rsidP="00AD4FE7">
            <w:pPr>
              <w:spacing w:line="240" w:lineRule="auto"/>
              <w:jc w:val="center"/>
              <w:rPr>
                <w:rFonts w:cs="Arial"/>
                <w:b/>
                <w:bCs/>
                <w:sz w:val="18"/>
                <w:szCs w:val="18"/>
              </w:rPr>
            </w:pPr>
            <w:r w:rsidRPr="00545EC0">
              <w:rPr>
                <w:rFonts w:cs="Arial"/>
                <w:b/>
                <w:bCs/>
                <w:sz w:val="18"/>
                <w:szCs w:val="18"/>
              </w:rPr>
              <w:t>2017</w:t>
            </w:r>
          </w:p>
        </w:tc>
      </w:tr>
      <w:tr w:rsidR="003122F4" w:rsidRPr="00545EC0" w14:paraId="101F6597" w14:textId="77777777" w:rsidTr="00AD4FE7">
        <w:trPr>
          <w:trHeight w:val="300"/>
          <w:jc w:val="center"/>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14:paraId="432DB291" w14:textId="77777777" w:rsidR="00AD4FE7" w:rsidRPr="00545EC0" w:rsidRDefault="00AD4FE7" w:rsidP="00AD4FE7">
            <w:pPr>
              <w:spacing w:line="240" w:lineRule="auto"/>
              <w:rPr>
                <w:rFonts w:cs="Arial"/>
                <w:sz w:val="18"/>
                <w:szCs w:val="18"/>
              </w:rPr>
            </w:pPr>
            <w:r w:rsidRPr="00545EC0">
              <w:rPr>
                <w:rFonts w:cs="Arial"/>
                <w:sz w:val="18"/>
                <w:szCs w:val="18"/>
              </w:rPr>
              <w:t>Antracen (kg/leto)</w:t>
            </w:r>
          </w:p>
        </w:tc>
        <w:tc>
          <w:tcPr>
            <w:tcW w:w="697" w:type="pct"/>
            <w:tcBorders>
              <w:top w:val="nil"/>
              <w:left w:val="nil"/>
              <w:bottom w:val="single" w:sz="4" w:space="0" w:color="auto"/>
              <w:right w:val="single" w:sz="4" w:space="0" w:color="auto"/>
            </w:tcBorders>
            <w:shd w:val="clear" w:color="auto" w:fill="auto"/>
            <w:noWrap/>
            <w:vAlign w:val="center"/>
            <w:hideMark/>
          </w:tcPr>
          <w:p w14:paraId="4B2833CD" w14:textId="77777777" w:rsidR="00AD4FE7" w:rsidRPr="00545EC0" w:rsidRDefault="00AD4FE7" w:rsidP="00AD4FE7">
            <w:pPr>
              <w:spacing w:line="240" w:lineRule="auto"/>
              <w:jc w:val="center"/>
              <w:rPr>
                <w:rFonts w:cs="Arial"/>
                <w:sz w:val="18"/>
                <w:szCs w:val="18"/>
              </w:rPr>
            </w:pPr>
            <w:r w:rsidRPr="00545EC0">
              <w:rPr>
                <w:rFonts w:cs="Arial"/>
                <w:sz w:val="18"/>
                <w:szCs w:val="18"/>
              </w:rPr>
              <w:t>0.45</w:t>
            </w:r>
          </w:p>
        </w:tc>
        <w:tc>
          <w:tcPr>
            <w:tcW w:w="678" w:type="pct"/>
            <w:tcBorders>
              <w:top w:val="nil"/>
              <w:left w:val="nil"/>
              <w:bottom w:val="single" w:sz="4" w:space="0" w:color="auto"/>
              <w:right w:val="single" w:sz="4" w:space="0" w:color="auto"/>
            </w:tcBorders>
            <w:shd w:val="clear" w:color="auto" w:fill="auto"/>
            <w:noWrap/>
            <w:vAlign w:val="center"/>
            <w:hideMark/>
          </w:tcPr>
          <w:p w14:paraId="6058121E" w14:textId="77777777" w:rsidR="00AD4FE7" w:rsidRPr="00545EC0" w:rsidRDefault="00AD4FE7" w:rsidP="00AD4FE7">
            <w:pPr>
              <w:spacing w:line="240" w:lineRule="auto"/>
              <w:jc w:val="center"/>
              <w:rPr>
                <w:rFonts w:cs="Arial"/>
                <w:sz w:val="18"/>
                <w:szCs w:val="18"/>
              </w:rPr>
            </w:pPr>
            <w:r w:rsidRPr="00545EC0">
              <w:rPr>
                <w:rFonts w:cs="Arial"/>
                <w:sz w:val="18"/>
                <w:szCs w:val="18"/>
              </w:rPr>
              <w:t>0.46</w:t>
            </w:r>
          </w:p>
        </w:tc>
        <w:tc>
          <w:tcPr>
            <w:tcW w:w="774" w:type="pct"/>
            <w:tcBorders>
              <w:top w:val="nil"/>
              <w:left w:val="nil"/>
              <w:bottom w:val="single" w:sz="4" w:space="0" w:color="auto"/>
              <w:right w:val="single" w:sz="4" w:space="0" w:color="auto"/>
            </w:tcBorders>
            <w:shd w:val="clear" w:color="auto" w:fill="auto"/>
            <w:noWrap/>
            <w:vAlign w:val="center"/>
            <w:hideMark/>
          </w:tcPr>
          <w:p w14:paraId="2DBBF027" w14:textId="77777777" w:rsidR="00AD4FE7" w:rsidRPr="00545EC0" w:rsidRDefault="00AD4FE7" w:rsidP="00AD4FE7">
            <w:pPr>
              <w:spacing w:line="240" w:lineRule="auto"/>
              <w:jc w:val="center"/>
              <w:rPr>
                <w:rFonts w:cs="Arial"/>
                <w:sz w:val="18"/>
                <w:szCs w:val="18"/>
              </w:rPr>
            </w:pPr>
            <w:r w:rsidRPr="00545EC0">
              <w:rPr>
                <w:rFonts w:cs="Arial"/>
                <w:sz w:val="18"/>
                <w:szCs w:val="18"/>
              </w:rPr>
              <w:t>0.48</w:t>
            </w:r>
          </w:p>
        </w:tc>
        <w:tc>
          <w:tcPr>
            <w:tcW w:w="774" w:type="pct"/>
            <w:tcBorders>
              <w:top w:val="nil"/>
              <w:left w:val="nil"/>
              <w:bottom w:val="single" w:sz="4" w:space="0" w:color="auto"/>
              <w:right w:val="single" w:sz="4" w:space="0" w:color="auto"/>
            </w:tcBorders>
            <w:shd w:val="clear" w:color="auto" w:fill="auto"/>
            <w:noWrap/>
            <w:vAlign w:val="center"/>
            <w:hideMark/>
          </w:tcPr>
          <w:p w14:paraId="1DF8C72F" w14:textId="77777777" w:rsidR="00AD4FE7" w:rsidRPr="00545EC0" w:rsidRDefault="00AD4FE7" w:rsidP="00AD4FE7">
            <w:pPr>
              <w:spacing w:line="240" w:lineRule="auto"/>
              <w:jc w:val="center"/>
              <w:rPr>
                <w:rFonts w:cs="Arial"/>
                <w:sz w:val="18"/>
                <w:szCs w:val="18"/>
              </w:rPr>
            </w:pPr>
            <w:r w:rsidRPr="00545EC0">
              <w:rPr>
                <w:rFonts w:cs="Arial"/>
                <w:sz w:val="18"/>
                <w:szCs w:val="18"/>
              </w:rPr>
              <w:t>0.50</w:t>
            </w:r>
          </w:p>
        </w:tc>
        <w:tc>
          <w:tcPr>
            <w:tcW w:w="774" w:type="pct"/>
            <w:tcBorders>
              <w:top w:val="nil"/>
              <w:left w:val="nil"/>
              <w:bottom w:val="single" w:sz="4" w:space="0" w:color="auto"/>
              <w:right w:val="single" w:sz="4" w:space="0" w:color="auto"/>
            </w:tcBorders>
            <w:shd w:val="clear" w:color="auto" w:fill="auto"/>
            <w:noWrap/>
            <w:vAlign w:val="center"/>
            <w:hideMark/>
          </w:tcPr>
          <w:p w14:paraId="6BFE26B2" w14:textId="77777777" w:rsidR="00AD4FE7" w:rsidRPr="00545EC0" w:rsidRDefault="00AD4FE7" w:rsidP="00AD4FE7">
            <w:pPr>
              <w:spacing w:line="240" w:lineRule="auto"/>
              <w:jc w:val="center"/>
              <w:rPr>
                <w:rFonts w:cs="Arial"/>
                <w:sz w:val="18"/>
                <w:szCs w:val="18"/>
              </w:rPr>
            </w:pPr>
            <w:r w:rsidRPr="00545EC0">
              <w:rPr>
                <w:rFonts w:cs="Arial"/>
                <w:sz w:val="18"/>
                <w:szCs w:val="18"/>
              </w:rPr>
              <w:t>0.51</w:t>
            </w:r>
          </w:p>
        </w:tc>
      </w:tr>
      <w:tr w:rsidR="003122F4" w:rsidRPr="00545EC0" w14:paraId="1620AD9D" w14:textId="77777777" w:rsidTr="00AD4FE7">
        <w:trPr>
          <w:trHeight w:val="300"/>
          <w:jc w:val="center"/>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14:paraId="1F890D20" w14:textId="77777777" w:rsidR="00AD4FE7" w:rsidRPr="00545EC0" w:rsidRDefault="00AD4FE7" w:rsidP="00AD4FE7">
            <w:pPr>
              <w:spacing w:line="240" w:lineRule="auto"/>
              <w:rPr>
                <w:rFonts w:cs="Arial"/>
                <w:sz w:val="18"/>
                <w:szCs w:val="18"/>
              </w:rPr>
            </w:pPr>
            <w:r w:rsidRPr="00545EC0">
              <w:rPr>
                <w:rFonts w:cs="Arial"/>
                <w:sz w:val="18"/>
                <w:szCs w:val="18"/>
              </w:rPr>
              <w:t>Kadmij (kg/ leto)</w:t>
            </w:r>
          </w:p>
        </w:tc>
        <w:tc>
          <w:tcPr>
            <w:tcW w:w="697" w:type="pct"/>
            <w:tcBorders>
              <w:top w:val="nil"/>
              <w:left w:val="nil"/>
              <w:bottom w:val="single" w:sz="4" w:space="0" w:color="auto"/>
              <w:right w:val="single" w:sz="4" w:space="0" w:color="auto"/>
            </w:tcBorders>
            <w:shd w:val="clear" w:color="auto" w:fill="auto"/>
            <w:noWrap/>
            <w:vAlign w:val="center"/>
            <w:hideMark/>
          </w:tcPr>
          <w:p w14:paraId="67C95219" w14:textId="77777777" w:rsidR="00AD4FE7" w:rsidRPr="00545EC0" w:rsidRDefault="00AD4FE7" w:rsidP="00AD4FE7">
            <w:pPr>
              <w:spacing w:line="240" w:lineRule="auto"/>
              <w:jc w:val="center"/>
              <w:rPr>
                <w:rFonts w:cs="Arial"/>
                <w:sz w:val="18"/>
                <w:szCs w:val="18"/>
              </w:rPr>
            </w:pPr>
            <w:r w:rsidRPr="00545EC0">
              <w:rPr>
                <w:rFonts w:cs="Arial"/>
                <w:sz w:val="18"/>
                <w:szCs w:val="18"/>
              </w:rPr>
              <w:t>0.01</w:t>
            </w:r>
          </w:p>
        </w:tc>
        <w:tc>
          <w:tcPr>
            <w:tcW w:w="678" w:type="pct"/>
            <w:tcBorders>
              <w:top w:val="nil"/>
              <w:left w:val="nil"/>
              <w:bottom w:val="single" w:sz="4" w:space="0" w:color="auto"/>
              <w:right w:val="single" w:sz="4" w:space="0" w:color="auto"/>
            </w:tcBorders>
            <w:shd w:val="clear" w:color="auto" w:fill="auto"/>
            <w:noWrap/>
            <w:vAlign w:val="center"/>
            <w:hideMark/>
          </w:tcPr>
          <w:p w14:paraId="315F823E" w14:textId="77777777" w:rsidR="00AD4FE7" w:rsidRPr="00545EC0" w:rsidRDefault="00AD4FE7" w:rsidP="00AD4FE7">
            <w:pPr>
              <w:spacing w:line="240" w:lineRule="auto"/>
              <w:jc w:val="center"/>
              <w:rPr>
                <w:rFonts w:cs="Arial"/>
                <w:sz w:val="18"/>
                <w:szCs w:val="18"/>
              </w:rPr>
            </w:pPr>
            <w:r w:rsidRPr="00545EC0">
              <w:rPr>
                <w:rFonts w:cs="Arial"/>
                <w:sz w:val="18"/>
                <w:szCs w:val="18"/>
              </w:rPr>
              <w:t>0.01</w:t>
            </w:r>
          </w:p>
        </w:tc>
        <w:tc>
          <w:tcPr>
            <w:tcW w:w="774" w:type="pct"/>
            <w:tcBorders>
              <w:top w:val="nil"/>
              <w:left w:val="nil"/>
              <w:bottom w:val="single" w:sz="4" w:space="0" w:color="auto"/>
              <w:right w:val="single" w:sz="4" w:space="0" w:color="auto"/>
            </w:tcBorders>
            <w:shd w:val="clear" w:color="auto" w:fill="auto"/>
            <w:noWrap/>
            <w:vAlign w:val="center"/>
            <w:hideMark/>
          </w:tcPr>
          <w:p w14:paraId="38145359" w14:textId="77777777" w:rsidR="00AD4FE7" w:rsidRPr="00545EC0" w:rsidRDefault="00AD4FE7" w:rsidP="00AD4FE7">
            <w:pPr>
              <w:spacing w:line="240" w:lineRule="auto"/>
              <w:jc w:val="center"/>
              <w:rPr>
                <w:rFonts w:cs="Arial"/>
                <w:sz w:val="18"/>
                <w:szCs w:val="18"/>
              </w:rPr>
            </w:pPr>
            <w:r w:rsidRPr="00545EC0">
              <w:rPr>
                <w:rFonts w:cs="Arial"/>
                <w:sz w:val="18"/>
                <w:szCs w:val="18"/>
              </w:rPr>
              <w:t>0.01</w:t>
            </w:r>
          </w:p>
        </w:tc>
        <w:tc>
          <w:tcPr>
            <w:tcW w:w="774" w:type="pct"/>
            <w:tcBorders>
              <w:top w:val="nil"/>
              <w:left w:val="nil"/>
              <w:bottom w:val="single" w:sz="4" w:space="0" w:color="auto"/>
              <w:right w:val="single" w:sz="4" w:space="0" w:color="auto"/>
            </w:tcBorders>
            <w:shd w:val="clear" w:color="auto" w:fill="auto"/>
            <w:noWrap/>
            <w:vAlign w:val="center"/>
            <w:hideMark/>
          </w:tcPr>
          <w:p w14:paraId="7ECE5A77" w14:textId="77777777" w:rsidR="00AD4FE7" w:rsidRPr="00545EC0" w:rsidRDefault="00AD4FE7" w:rsidP="00AD4FE7">
            <w:pPr>
              <w:spacing w:line="240" w:lineRule="auto"/>
              <w:jc w:val="center"/>
              <w:rPr>
                <w:rFonts w:cs="Arial"/>
                <w:sz w:val="18"/>
                <w:szCs w:val="18"/>
              </w:rPr>
            </w:pPr>
            <w:r w:rsidRPr="00545EC0">
              <w:rPr>
                <w:rFonts w:cs="Arial"/>
                <w:sz w:val="18"/>
                <w:szCs w:val="18"/>
              </w:rPr>
              <w:t>0.01</w:t>
            </w:r>
          </w:p>
        </w:tc>
        <w:tc>
          <w:tcPr>
            <w:tcW w:w="774" w:type="pct"/>
            <w:tcBorders>
              <w:top w:val="nil"/>
              <w:left w:val="nil"/>
              <w:bottom w:val="single" w:sz="4" w:space="0" w:color="auto"/>
              <w:right w:val="single" w:sz="4" w:space="0" w:color="auto"/>
            </w:tcBorders>
            <w:shd w:val="clear" w:color="auto" w:fill="auto"/>
            <w:noWrap/>
            <w:vAlign w:val="center"/>
            <w:hideMark/>
          </w:tcPr>
          <w:p w14:paraId="4D717EF7" w14:textId="77777777" w:rsidR="00AD4FE7" w:rsidRPr="00545EC0" w:rsidRDefault="00AD4FE7" w:rsidP="00AD4FE7">
            <w:pPr>
              <w:spacing w:line="240" w:lineRule="auto"/>
              <w:jc w:val="center"/>
              <w:rPr>
                <w:rFonts w:cs="Arial"/>
                <w:sz w:val="18"/>
                <w:szCs w:val="18"/>
              </w:rPr>
            </w:pPr>
            <w:r w:rsidRPr="00545EC0">
              <w:rPr>
                <w:rFonts w:cs="Arial"/>
                <w:sz w:val="18"/>
                <w:szCs w:val="18"/>
              </w:rPr>
              <w:t>0.01</w:t>
            </w:r>
          </w:p>
        </w:tc>
      </w:tr>
      <w:tr w:rsidR="003122F4" w:rsidRPr="00545EC0" w14:paraId="3C3951A7" w14:textId="77777777" w:rsidTr="00AD4FE7">
        <w:trPr>
          <w:trHeight w:val="300"/>
          <w:jc w:val="center"/>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14:paraId="7EB11861" w14:textId="77777777" w:rsidR="00AD4FE7" w:rsidRPr="00545EC0" w:rsidRDefault="00AD4FE7" w:rsidP="00AD4FE7">
            <w:pPr>
              <w:spacing w:line="240" w:lineRule="auto"/>
              <w:rPr>
                <w:rFonts w:cs="Arial"/>
                <w:sz w:val="18"/>
                <w:szCs w:val="18"/>
              </w:rPr>
            </w:pPr>
            <w:r w:rsidRPr="00545EC0">
              <w:rPr>
                <w:rFonts w:cs="Arial"/>
                <w:sz w:val="18"/>
                <w:szCs w:val="18"/>
              </w:rPr>
              <w:t>Baker (kg/ leto)</w:t>
            </w:r>
          </w:p>
        </w:tc>
        <w:tc>
          <w:tcPr>
            <w:tcW w:w="697" w:type="pct"/>
            <w:tcBorders>
              <w:top w:val="nil"/>
              <w:left w:val="nil"/>
              <w:bottom w:val="single" w:sz="4" w:space="0" w:color="auto"/>
              <w:right w:val="single" w:sz="4" w:space="0" w:color="auto"/>
            </w:tcBorders>
            <w:shd w:val="clear" w:color="auto" w:fill="auto"/>
            <w:noWrap/>
            <w:vAlign w:val="center"/>
            <w:hideMark/>
          </w:tcPr>
          <w:p w14:paraId="6B0131DA" w14:textId="77777777" w:rsidR="00AD4FE7" w:rsidRPr="00545EC0" w:rsidRDefault="00AD4FE7" w:rsidP="00AD4FE7">
            <w:pPr>
              <w:spacing w:line="240" w:lineRule="auto"/>
              <w:jc w:val="center"/>
              <w:rPr>
                <w:rFonts w:cs="Arial"/>
                <w:sz w:val="18"/>
                <w:szCs w:val="18"/>
              </w:rPr>
            </w:pPr>
            <w:r w:rsidRPr="00545EC0">
              <w:rPr>
                <w:rFonts w:cs="Arial"/>
                <w:sz w:val="18"/>
                <w:szCs w:val="18"/>
              </w:rPr>
              <w:t>82.7</w:t>
            </w:r>
          </w:p>
        </w:tc>
        <w:tc>
          <w:tcPr>
            <w:tcW w:w="678" w:type="pct"/>
            <w:tcBorders>
              <w:top w:val="nil"/>
              <w:left w:val="nil"/>
              <w:bottom w:val="single" w:sz="4" w:space="0" w:color="auto"/>
              <w:right w:val="single" w:sz="4" w:space="0" w:color="auto"/>
            </w:tcBorders>
            <w:shd w:val="clear" w:color="auto" w:fill="auto"/>
            <w:noWrap/>
            <w:vAlign w:val="center"/>
            <w:hideMark/>
          </w:tcPr>
          <w:p w14:paraId="27E278B3" w14:textId="77777777" w:rsidR="00AD4FE7" w:rsidRPr="00545EC0" w:rsidRDefault="00AD4FE7" w:rsidP="00AD4FE7">
            <w:pPr>
              <w:spacing w:line="240" w:lineRule="auto"/>
              <w:jc w:val="center"/>
              <w:rPr>
                <w:rFonts w:cs="Arial"/>
                <w:sz w:val="18"/>
                <w:szCs w:val="18"/>
              </w:rPr>
            </w:pPr>
            <w:r w:rsidRPr="00545EC0">
              <w:rPr>
                <w:rFonts w:cs="Arial"/>
                <w:sz w:val="18"/>
                <w:szCs w:val="18"/>
              </w:rPr>
              <w:t>84.0</w:t>
            </w:r>
          </w:p>
        </w:tc>
        <w:tc>
          <w:tcPr>
            <w:tcW w:w="774" w:type="pct"/>
            <w:tcBorders>
              <w:top w:val="nil"/>
              <w:left w:val="nil"/>
              <w:bottom w:val="single" w:sz="4" w:space="0" w:color="auto"/>
              <w:right w:val="single" w:sz="4" w:space="0" w:color="auto"/>
            </w:tcBorders>
            <w:shd w:val="clear" w:color="auto" w:fill="auto"/>
            <w:noWrap/>
            <w:vAlign w:val="center"/>
            <w:hideMark/>
          </w:tcPr>
          <w:p w14:paraId="363D3249" w14:textId="77777777" w:rsidR="00AD4FE7" w:rsidRPr="00545EC0" w:rsidRDefault="00AD4FE7" w:rsidP="00AD4FE7">
            <w:pPr>
              <w:spacing w:line="240" w:lineRule="auto"/>
              <w:jc w:val="center"/>
              <w:rPr>
                <w:rFonts w:cs="Arial"/>
                <w:sz w:val="18"/>
                <w:szCs w:val="18"/>
              </w:rPr>
            </w:pPr>
            <w:r w:rsidRPr="00545EC0">
              <w:rPr>
                <w:rFonts w:cs="Arial"/>
                <w:sz w:val="18"/>
                <w:szCs w:val="18"/>
              </w:rPr>
              <w:t>86.0</w:t>
            </w:r>
          </w:p>
        </w:tc>
        <w:tc>
          <w:tcPr>
            <w:tcW w:w="774" w:type="pct"/>
            <w:tcBorders>
              <w:top w:val="nil"/>
              <w:left w:val="nil"/>
              <w:bottom w:val="single" w:sz="4" w:space="0" w:color="auto"/>
              <w:right w:val="single" w:sz="4" w:space="0" w:color="auto"/>
            </w:tcBorders>
            <w:shd w:val="clear" w:color="auto" w:fill="auto"/>
            <w:noWrap/>
            <w:vAlign w:val="center"/>
            <w:hideMark/>
          </w:tcPr>
          <w:p w14:paraId="64BEEA64" w14:textId="77777777" w:rsidR="00AD4FE7" w:rsidRPr="00545EC0" w:rsidRDefault="00AD4FE7" w:rsidP="00AD4FE7">
            <w:pPr>
              <w:spacing w:line="240" w:lineRule="auto"/>
              <w:jc w:val="center"/>
              <w:rPr>
                <w:rFonts w:cs="Arial"/>
                <w:sz w:val="18"/>
                <w:szCs w:val="18"/>
              </w:rPr>
            </w:pPr>
            <w:r w:rsidRPr="00545EC0">
              <w:rPr>
                <w:rFonts w:cs="Arial"/>
                <w:sz w:val="18"/>
                <w:szCs w:val="18"/>
              </w:rPr>
              <w:t>89.8</w:t>
            </w:r>
          </w:p>
        </w:tc>
        <w:tc>
          <w:tcPr>
            <w:tcW w:w="774" w:type="pct"/>
            <w:tcBorders>
              <w:top w:val="nil"/>
              <w:left w:val="nil"/>
              <w:bottom w:val="single" w:sz="4" w:space="0" w:color="auto"/>
              <w:right w:val="single" w:sz="4" w:space="0" w:color="auto"/>
            </w:tcBorders>
            <w:shd w:val="clear" w:color="auto" w:fill="auto"/>
            <w:noWrap/>
            <w:vAlign w:val="center"/>
            <w:hideMark/>
          </w:tcPr>
          <w:p w14:paraId="0B32F04C" w14:textId="77777777" w:rsidR="00AD4FE7" w:rsidRPr="00545EC0" w:rsidRDefault="00AD4FE7" w:rsidP="00AD4FE7">
            <w:pPr>
              <w:spacing w:line="240" w:lineRule="auto"/>
              <w:jc w:val="center"/>
              <w:rPr>
                <w:rFonts w:cs="Arial"/>
                <w:sz w:val="18"/>
                <w:szCs w:val="18"/>
              </w:rPr>
            </w:pPr>
            <w:r w:rsidRPr="00545EC0">
              <w:rPr>
                <w:rFonts w:cs="Arial"/>
                <w:sz w:val="18"/>
                <w:szCs w:val="18"/>
              </w:rPr>
              <w:t>90.0</w:t>
            </w:r>
          </w:p>
        </w:tc>
      </w:tr>
      <w:tr w:rsidR="003122F4" w:rsidRPr="00545EC0" w14:paraId="6037EA50" w14:textId="77777777" w:rsidTr="00AD4FE7">
        <w:trPr>
          <w:trHeight w:val="300"/>
          <w:jc w:val="center"/>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14:paraId="7DFE366D" w14:textId="77777777" w:rsidR="00AD4FE7" w:rsidRPr="00545EC0" w:rsidRDefault="00AD4FE7" w:rsidP="00AD4FE7">
            <w:pPr>
              <w:spacing w:line="240" w:lineRule="auto"/>
              <w:rPr>
                <w:rFonts w:cs="Arial"/>
                <w:sz w:val="18"/>
                <w:szCs w:val="18"/>
              </w:rPr>
            </w:pPr>
            <w:r w:rsidRPr="00545EC0">
              <w:rPr>
                <w:rFonts w:cs="Arial"/>
                <w:sz w:val="18"/>
                <w:szCs w:val="18"/>
              </w:rPr>
              <w:t>Fluoranten (kg/ leto)</w:t>
            </w:r>
          </w:p>
        </w:tc>
        <w:tc>
          <w:tcPr>
            <w:tcW w:w="697" w:type="pct"/>
            <w:tcBorders>
              <w:top w:val="nil"/>
              <w:left w:val="nil"/>
              <w:bottom w:val="single" w:sz="4" w:space="0" w:color="auto"/>
              <w:right w:val="single" w:sz="4" w:space="0" w:color="auto"/>
            </w:tcBorders>
            <w:shd w:val="clear" w:color="auto" w:fill="auto"/>
            <w:noWrap/>
            <w:vAlign w:val="center"/>
            <w:hideMark/>
          </w:tcPr>
          <w:p w14:paraId="1C7AEDBC" w14:textId="77777777" w:rsidR="00AD4FE7" w:rsidRPr="00545EC0" w:rsidRDefault="00AD4FE7" w:rsidP="00AD4FE7">
            <w:pPr>
              <w:spacing w:line="240" w:lineRule="auto"/>
              <w:jc w:val="center"/>
              <w:rPr>
                <w:rFonts w:cs="Arial"/>
                <w:sz w:val="18"/>
                <w:szCs w:val="18"/>
              </w:rPr>
            </w:pPr>
            <w:r w:rsidRPr="00545EC0">
              <w:rPr>
                <w:rFonts w:cs="Arial"/>
                <w:sz w:val="18"/>
                <w:szCs w:val="18"/>
              </w:rPr>
              <w:t>2.01</w:t>
            </w:r>
          </w:p>
        </w:tc>
        <w:tc>
          <w:tcPr>
            <w:tcW w:w="678" w:type="pct"/>
            <w:tcBorders>
              <w:top w:val="nil"/>
              <w:left w:val="nil"/>
              <w:bottom w:val="single" w:sz="4" w:space="0" w:color="auto"/>
              <w:right w:val="single" w:sz="4" w:space="0" w:color="auto"/>
            </w:tcBorders>
            <w:shd w:val="clear" w:color="auto" w:fill="auto"/>
            <w:noWrap/>
            <w:vAlign w:val="center"/>
            <w:hideMark/>
          </w:tcPr>
          <w:p w14:paraId="32FEFB9F" w14:textId="77777777" w:rsidR="00AD4FE7" w:rsidRPr="00545EC0" w:rsidRDefault="00AD4FE7" w:rsidP="00AD4FE7">
            <w:pPr>
              <w:spacing w:line="240" w:lineRule="auto"/>
              <w:jc w:val="center"/>
              <w:rPr>
                <w:rFonts w:cs="Arial"/>
                <w:sz w:val="18"/>
                <w:szCs w:val="18"/>
              </w:rPr>
            </w:pPr>
            <w:r w:rsidRPr="00545EC0">
              <w:rPr>
                <w:rFonts w:cs="Arial"/>
                <w:sz w:val="18"/>
                <w:szCs w:val="18"/>
              </w:rPr>
              <w:t>2.05</w:t>
            </w:r>
          </w:p>
        </w:tc>
        <w:tc>
          <w:tcPr>
            <w:tcW w:w="774" w:type="pct"/>
            <w:tcBorders>
              <w:top w:val="nil"/>
              <w:left w:val="nil"/>
              <w:bottom w:val="single" w:sz="4" w:space="0" w:color="auto"/>
              <w:right w:val="single" w:sz="4" w:space="0" w:color="auto"/>
            </w:tcBorders>
            <w:shd w:val="clear" w:color="auto" w:fill="auto"/>
            <w:noWrap/>
            <w:vAlign w:val="center"/>
            <w:hideMark/>
          </w:tcPr>
          <w:p w14:paraId="7B07D0AF" w14:textId="77777777" w:rsidR="00AD4FE7" w:rsidRPr="00545EC0" w:rsidRDefault="00AD4FE7" w:rsidP="00AD4FE7">
            <w:pPr>
              <w:spacing w:line="240" w:lineRule="auto"/>
              <w:jc w:val="center"/>
              <w:rPr>
                <w:rFonts w:cs="Arial"/>
                <w:sz w:val="18"/>
                <w:szCs w:val="18"/>
              </w:rPr>
            </w:pPr>
            <w:r w:rsidRPr="00545EC0">
              <w:rPr>
                <w:rFonts w:cs="Arial"/>
                <w:sz w:val="18"/>
                <w:szCs w:val="18"/>
              </w:rPr>
              <w:t>2.11</w:t>
            </w:r>
          </w:p>
        </w:tc>
        <w:tc>
          <w:tcPr>
            <w:tcW w:w="774" w:type="pct"/>
            <w:tcBorders>
              <w:top w:val="nil"/>
              <w:left w:val="nil"/>
              <w:bottom w:val="single" w:sz="4" w:space="0" w:color="auto"/>
              <w:right w:val="single" w:sz="4" w:space="0" w:color="auto"/>
            </w:tcBorders>
            <w:shd w:val="clear" w:color="auto" w:fill="auto"/>
            <w:noWrap/>
            <w:vAlign w:val="center"/>
            <w:hideMark/>
          </w:tcPr>
          <w:p w14:paraId="75DDC62D" w14:textId="77777777" w:rsidR="00AD4FE7" w:rsidRPr="00545EC0" w:rsidRDefault="00AD4FE7" w:rsidP="00AD4FE7">
            <w:pPr>
              <w:spacing w:line="240" w:lineRule="auto"/>
              <w:jc w:val="center"/>
              <w:rPr>
                <w:rFonts w:cs="Arial"/>
                <w:sz w:val="18"/>
                <w:szCs w:val="18"/>
              </w:rPr>
            </w:pPr>
            <w:r w:rsidRPr="00545EC0">
              <w:rPr>
                <w:rFonts w:cs="Arial"/>
                <w:sz w:val="18"/>
                <w:szCs w:val="18"/>
              </w:rPr>
              <w:t>2.21</w:t>
            </w:r>
          </w:p>
        </w:tc>
        <w:tc>
          <w:tcPr>
            <w:tcW w:w="774" w:type="pct"/>
            <w:tcBorders>
              <w:top w:val="nil"/>
              <w:left w:val="nil"/>
              <w:bottom w:val="single" w:sz="4" w:space="0" w:color="auto"/>
              <w:right w:val="single" w:sz="4" w:space="0" w:color="auto"/>
            </w:tcBorders>
            <w:shd w:val="clear" w:color="auto" w:fill="auto"/>
            <w:noWrap/>
            <w:vAlign w:val="center"/>
            <w:hideMark/>
          </w:tcPr>
          <w:p w14:paraId="5808AF3F" w14:textId="77777777" w:rsidR="00AD4FE7" w:rsidRPr="00545EC0" w:rsidRDefault="00AD4FE7" w:rsidP="00AD4FE7">
            <w:pPr>
              <w:spacing w:line="240" w:lineRule="auto"/>
              <w:jc w:val="center"/>
              <w:rPr>
                <w:rFonts w:cs="Arial"/>
                <w:sz w:val="18"/>
                <w:szCs w:val="18"/>
              </w:rPr>
            </w:pPr>
            <w:r w:rsidRPr="00545EC0">
              <w:rPr>
                <w:rFonts w:cs="Arial"/>
                <w:sz w:val="18"/>
                <w:szCs w:val="18"/>
              </w:rPr>
              <w:t>2.25</w:t>
            </w:r>
          </w:p>
        </w:tc>
      </w:tr>
      <w:tr w:rsidR="003122F4" w:rsidRPr="00545EC0" w14:paraId="5381A8A3" w14:textId="77777777" w:rsidTr="00AD4FE7">
        <w:trPr>
          <w:trHeight w:val="300"/>
          <w:jc w:val="center"/>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14:paraId="5C24E484" w14:textId="77777777" w:rsidR="00AD4FE7" w:rsidRPr="00545EC0" w:rsidRDefault="00AD4FE7" w:rsidP="00AD4FE7">
            <w:pPr>
              <w:spacing w:line="240" w:lineRule="auto"/>
              <w:rPr>
                <w:rFonts w:cs="Arial"/>
                <w:sz w:val="18"/>
                <w:szCs w:val="18"/>
              </w:rPr>
            </w:pPr>
            <w:r w:rsidRPr="00545EC0">
              <w:rPr>
                <w:rFonts w:cs="Arial"/>
                <w:sz w:val="18"/>
                <w:szCs w:val="18"/>
              </w:rPr>
              <w:t>Svinec (kg/ leto)</w:t>
            </w:r>
          </w:p>
        </w:tc>
        <w:tc>
          <w:tcPr>
            <w:tcW w:w="697" w:type="pct"/>
            <w:tcBorders>
              <w:top w:val="nil"/>
              <w:left w:val="nil"/>
              <w:bottom w:val="single" w:sz="4" w:space="0" w:color="auto"/>
              <w:right w:val="single" w:sz="4" w:space="0" w:color="auto"/>
            </w:tcBorders>
            <w:shd w:val="clear" w:color="auto" w:fill="auto"/>
            <w:noWrap/>
            <w:vAlign w:val="center"/>
            <w:hideMark/>
          </w:tcPr>
          <w:p w14:paraId="0E5F738C" w14:textId="77777777" w:rsidR="00AD4FE7" w:rsidRPr="00545EC0" w:rsidRDefault="00AD4FE7" w:rsidP="00AD4FE7">
            <w:pPr>
              <w:spacing w:line="240" w:lineRule="auto"/>
              <w:jc w:val="center"/>
              <w:rPr>
                <w:rFonts w:cs="Arial"/>
                <w:sz w:val="18"/>
                <w:szCs w:val="18"/>
              </w:rPr>
            </w:pPr>
            <w:r w:rsidRPr="00545EC0">
              <w:rPr>
                <w:rFonts w:cs="Arial"/>
                <w:sz w:val="18"/>
                <w:szCs w:val="18"/>
              </w:rPr>
              <w:t>10.8</w:t>
            </w:r>
          </w:p>
        </w:tc>
        <w:tc>
          <w:tcPr>
            <w:tcW w:w="678" w:type="pct"/>
            <w:tcBorders>
              <w:top w:val="nil"/>
              <w:left w:val="nil"/>
              <w:bottom w:val="single" w:sz="4" w:space="0" w:color="auto"/>
              <w:right w:val="single" w:sz="4" w:space="0" w:color="auto"/>
            </w:tcBorders>
            <w:shd w:val="clear" w:color="auto" w:fill="auto"/>
            <w:noWrap/>
            <w:vAlign w:val="center"/>
            <w:hideMark/>
          </w:tcPr>
          <w:p w14:paraId="7EE0824B" w14:textId="77777777" w:rsidR="00AD4FE7" w:rsidRPr="00545EC0" w:rsidRDefault="00AD4FE7" w:rsidP="00AD4FE7">
            <w:pPr>
              <w:spacing w:line="240" w:lineRule="auto"/>
              <w:jc w:val="center"/>
              <w:rPr>
                <w:rFonts w:cs="Arial"/>
                <w:sz w:val="18"/>
                <w:szCs w:val="18"/>
              </w:rPr>
            </w:pPr>
            <w:r w:rsidRPr="00545EC0">
              <w:rPr>
                <w:rFonts w:cs="Arial"/>
                <w:sz w:val="18"/>
                <w:szCs w:val="18"/>
              </w:rPr>
              <w:t>11.0</w:t>
            </w:r>
          </w:p>
        </w:tc>
        <w:tc>
          <w:tcPr>
            <w:tcW w:w="774" w:type="pct"/>
            <w:tcBorders>
              <w:top w:val="nil"/>
              <w:left w:val="nil"/>
              <w:bottom w:val="single" w:sz="4" w:space="0" w:color="auto"/>
              <w:right w:val="single" w:sz="4" w:space="0" w:color="auto"/>
            </w:tcBorders>
            <w:shd w:val="clear" w:color="auto" w:fill="auto"/>
            <w:noWrap/>
            <w:vAlign w:val="center"/>
            <w:hideMark/>
          </w:tcPr>
          <w:p w14:paraId="05F37F8B" w14:textId="77777777" w:rsidR="00AD4FE7" w:rsidRPr="00545EC0" w:rsidRDefault="00AD4FE7" w:rsidP="00AD4FE7">
            <w:pPr>
              <w:spacing w:line="240" w:lineRule="auto"/>
              <w:jc w:val="center"/>
              <w:rPr>
                <w:rFonts w:cs="Arial"/>
                <w:sz w:val="18"/>
                <w:szCs w:val="18"/>
              </w:rPr>
            </w:pPr>
            <w:r w:rsidRPr="00545EC0">
              <w:rPr>
                <w:rFonts w:cs="Arial"/>
                <w:sz w:val="18"/>
                <w:szCs w:val="18"/>
              </w:rPr>
              <w:t>11.2</w:t>
            </w:r>
          </w:p>
        </w:tc>
        <w:tc>
          <w:tcPr>
            <w:tcW w:w="774" w:type="pct"/>
            <w:tcBorders>
              <w:top w:val="nil"/>
              <w:left w:val="nil"/>
              <w:bottom w:val="single" w:sz="4" w:space="0" w:color="auto"/>
              <w:right w:val="single" w:sz="4" w:space="0" w:color="auto"/>
            </w:tcBorders>
            <w:shd w:val="clear" w:color="auto" w:fill="auto"/>
            <w:noWrap/>
            <w:vAlign w:val="center"/>
            <w:hideMark/>
          </w:tcPr>
          <w:p w14:paraId="6970BA8E" w14:textId="77777777" w:rsidR="00AD4FE7" w:rsidRPr="00545EC0" w:rsidRDefault="00AD4FE7" w:rsidP="00AD4FE7">
            <w:pPr>
              <w:spacing w:line="240" w:lineRule="auto"/>
              <w:jc w:val="center"/>
              <w:rPr>
                <w:rFonts w:cs="Arial"/>
                <w:sz w:val="18"/>
                <w:szCs w:val="18"/>
              </w:rPr>
            </w:pPr>
            <w:r w:rsidRPr="00545EC0">
              <w:rPr>
                <w:rFonts w:cs="Arial"/>
                <w:sz w:val="18"/>
                <w:szCs w:val="18"/>
              </w:rPr>
              <w:t>11.6</w:t>
            </w:r>
          </w:p>
        </w:tc>
        <w:tc>
          <w:tcPr>
            <w:tcW w:w="774" w:type="pct"/>
            <w:tcBorders>
              <w:top w:val="nil"/>
              <w:left w:val="nil"/>
              <w:bottom w:val="single" w:sz="4" w:space="0" w:color="auto"/>
              <w:right w:val="single" w:sz="4" w:space="0" w:color="auto"/>
            </w:tcBorders>
            <w:shd w:val="clear" w:color="auto" w:fill="auto"/>
            <w:noWrap/>
            <w:vAlign w:val="center"/>
            <w:hideMark/>
          </w:tcPr>
          <w:p w14:paraId="24B1C93B" w14:textId="77777777" w:rsidR="00AD4FE7" w:rsidRPr="00545EC0" w:rsidRDefault="00AD4FE7" w:rsidP="00AD4FE7">
            <w:pPr>
              <w:spacing w:line="240" w:lineRule="auto"/>
              <w:jc w:val="center"/>
              <w:rPr>
                <w:rFonts w:cs="Arial"/>
                <w:sz w:val="18"/>
                <w:szCs w:val="18"/>
              </w:rPr>
            </w:pPr>
            <w:r w:rsidRPr="00545EC0">
              <w:rPr>
                <w:rFonts w:cs="Arial"/>
                <w:sz w:val="18"/>
                <w:szCs w:val="18"/>
              </w:rPr>
              <w:t>11.6</w:t>
            </w:r>
          </w:p>
        </w:tc>
      </w:tr>
      <w:tr w:rsidR="003122F4" w:rsidRPr="00545EC0" w14:paraId="24F53509" w14:textId="77777777" w:rsidTr="00AD4FE7">
        <w:trPr>
          <w:trHeight w:val="300"/>
          <w:jc w:val="center"/>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14:paraId="302F44A4" w14:textId="77777777" w:rsidR="00AD4FE7" w:rsidRPr="00545EC0" w:rsidRDefault="00AD4FE7" w:rsidP="00AD4FE7">
            <w:pPr>
              <w:spacing w:line="240" w:lineRule="auto"/>
              <w:rPr>
                <w:rFonts w:cs="Arial"/>
                <w:sz w:val="18"/>
                <w:szCs w:val="18"/>
              </w:rPr>
            </w:pPr>
            <w:r w:rsidRPr="00545EC0">
              <w:rPr>
                <w:rFonts w:cs="Arial"/>
                <w:sz w:val="18"/>
                <w:szCs w:val="18"/>
              </w:rPr>
              <w:lastRenderedPageBreak/>
              <w:t>Nikelj (kg/ leto)</w:t>
            </w:r>
          </w:p>
        </w:tc>
        <w:tc>
          <w:tcPr>
            <w:tcW w:w="697" w:type="pct"/>
            <w:tcBorders>
              <w:top w:val="nil"/>
              <w:left w:val="nil"/>
              <w:bottom w:val="single" w:sz="4" w:space="0" w:color="auto"/>
              <w:right w:val="single" w:sz="4" w:space="0" w:color="auto"/>
            </w:tcBorders>
            <w:shd w:val="clear" w:color="auto" w:fill="auto"/>
            <w:noWrap/>
            <w:vAlign w:val="center"/>
            <w:hideMark/>
          </w:tcPr>
          <w:p w14:paraId="20690FBC" w14:textId="77777777" w:rsidR="00AD4FE7" w:rsidRPr="00545EC0" w:rsidRDefault="00AD4FE7" w:rsidP="00AD4FE7">
            <w:pPr>
              <w:spacing w:line="240" w:lineRule="auto"/>
              <w:jc w:val="center"/>
              <w:rPr>
                <w:rFonts w:cs="Arial"/>
                <w:sz w:val="18"/>
                <w:szCs w:val="18"/>
              </w:rPr>
            </w:pPr>
            <w:r w:rsidRPr="00545EC0">
              <w:rPr>
                <w:rFonts w:cs="Arial"/>
                <w:sz w:val="18"/>
                <w:szCs w:val="18"/>
              </w:rPr>
              <w:t>2.26</w:t>
            </w:r>
          </w:p>
        </w:tc>
        <w:tc>
          <w:tcPr>
            <w:tcW w:w="678" w:type="pct"/>
            <w:tcBorders>
              <w:top w:val="nil"/>
              <w:left w:val="nil"/>
              <w:bottom w:val="single" w:sz="4" w:space="0" w:color="auto"/>
              <w:right w:val="single" w:sz="4" w:space="0" w:color="auto"/>
            </w:tcBorders>
            <w:shd w:val="clear" w:color="auto" w:fill="auto"/>
            <w:noWrap/>
            <w:vAlign w:val="center"/>
            <w:hideMark/>
          </w:tcPr>
          <w:p w14:paraId="798D7610" w14:textId="77777777" w:rsidR="00AD4FE7" w:rsidRPr="00545EC0" w:rsidRDefault="00AD4FE7" w:rsidP="00AD4FE7">
            <w:pPr>
              <w:spacing w:line="240" w:lineRule="auto"/>
              <w:jc w:val="center"/>
              <w:rPr>
                <w:rFonts w:cs="Arial"/>
                <w:sz w:val="18"/>
                <w:szCs w:val="18"/>
              </w:rPr>
            </w:pPr>
            <w:r w:rsidRPr="00545EC0">
              <w:rPr>
                <w:rFonts w:cs="Arial"/>
                <w:sz w:val="18"/>
                <w:szCs w:val="18"/>
              </w:rPr>
              <w:t>2.29</w:t>
            </w:r>
          </w:p>
        </w:tc>
        <w:tc>
          <w:tcPr>
            <w:tcW w:w="774" w:type="pct"/>
            <w:tcBorders>
              <w:top w:val="nil"/>
              <w:left w:val="nil"/>
              <w:bottom w:val="single" w:sz="4" w:space="0" w:color="auto"/>
              <w:right w:val="single" w:sz="4" w:space="0" w:color="auto"/>
            </w:tcBorders>
            <w:shd w:val="clear" w:color="auto" w:fill="auto"/>
            <w:noWrap/>
            <w:vAlign w:val="center"/>
            <w:hideMark/>
          </w:tcPr>
          <w:p w14:paraId="42F72AB0" w14:textId="77777777" w:rsidR="00AD4FE7" w:rsidRPr="00545EC0" w:rsidRDefault="00AD4FE7" w:rsidP="00AD4FE7">
            <w:pPr>
              <w:spacing w:line="240" w:lineRule="auto"/>
              <w:jc w:val="center"/>
              <w:rPr>
                <w:rFonts w:cs="Arial"/>
                <w:sz w:val="18"/>
                <w:szCs w:val="18"/>
              </w:rPr>
            </w:pPr>
            <w:r w:rsidRPr="00545EC0">
              <w:rPr>
                <w:rFonts w:cs="Arial"/>
                <w:sz w:val="18"/>
                <w:szCs w:val="18"/>
              </w:rPr>
              <w:t>2.34</w:t>
            </w:r>
          </w:p>
        </w:tc>
        <w:tc>
          <w:tcPr>
            <w:tcW w:w="774" w:type="pct"/>
            <w:tcBorders>
              <w:top w:val="nil"/>
              <w:left w:val="nil"/>
              <w:bottom w:val="single" w:sz="4" w:space="0" w:color="auto"/>
              <w:right w:val="single" w:sz="4" w:space="0" w:color="auto"/>
            </w:tcBorders>
            <w:shd w:val="clear" w:color="auto" w:fill="auto"/>
            <w:noWrap/>
            <w:vAlign w:val="center"/>
            <w:hideMark/>
          </w:tcPr>
          <w:p w14:paraId="1F2D8AEA" w14:textId="77777777" w:rsidR="00AD4FE7" w:rsidRPr="00545EC0" w:rsidRDefault="00AD4FE7" w:rsidP="00AD4FE7">
            <w:pPr>
              <w:spacing w:line="240" w:lineRule="auto"/>
              <w:jc w:val="center"/>
              <w:rPr>
                <w:rFonts w:cs="Arial"/>
                <w:sz w:val="18"/>
                <w:szCs w:val="18"/>
              </w:rPr>
            </w:pPr>
            <w:r w:rsidRPr="00545EC0">
              <w:rPr>
                <w:rFonts w:cs="Arial"/>
                <w:sz w:val="18"/>
                <w:szCs w:val="18"/>
              </w:rPr>
              <w:t>2.44</w:t>
            </w:r>
          </w:p>
        </w:tc>
        <w:tc>
          <w:tcPr>
            <w:tcW w:w="774" w:type="pct"/>
            <w:tcBorders>
              <w:top w:val="nil"/>
              <w:left w:val="nil"/>
              <w:bottom w:val="single" w:sz="4" w:space="0" w:color="auto"/>
              <w:right w:val="single" w:sz="4" w:space="0" w:color="auto"/>
            </w:tcBorders>
            <w:shd w:val="clear" w:color="auto" w:fill="auto"/>
            <w:noWrap/>
            <w:vAlign w:val="center"/>
            <w:hideMark/>
          </w:tcPr>
          <w:p w14:paraId="3136F8D8" w14:textId="77777777" w:rsidR="00AD4FE7" w:rsidRPr="00545EC0" w:rsidRDefault="00AD4FE7" w:rsidP="00AD4FE7">
            <w:pPr>
              <w:spacing w:line="240" w:lineRule="auto"/>
              <w:jc w:val="center"/>
              <w:rPr>
                <w:rFonts w:cs="Arial"/>
                <w:sz w:val="18"/>
                <w:szCs w:val="18"/>
              </w:rPr>
            </w:pPr>
            <w:r w:rsidRPr="00545EC0">
              <w:rPr>
                <w:rFonts w:cs="Arial"/>
                <w:sz w:val="18"/>
                <w:szCs w:val="18"/>
              </w:rPr>
              <w:t>2.43</w:t>
            </w:r>
          </w:p>
        </w:tc>
      </w:tr>
      <w:tr w:rsidR="00AD4FE7" w:rsidRPr="00545EC0" w14:paraId="30AF1C3F" w14:textId="77777777" w:rsidTr="00AD4FE7">
        <w:trPr>
          <w:trHeight w:val="300"/>
          <w:jc w:val="center"/>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14:paraId="6E006771" w14:textId="77777777" w:rsidR="00AD4FE7" w:rsidRPr="00545EC0" w:rsidRDefault="00AD4FE7" w:rsidP="00AD4FE7">
            <w:pPr>
              <w:spacing w:line="240" w:lineRule="auto"/>
              <w:rPr>
                <w:rFonts w:cs="Arial"/>
                <w:sz w:val="18"/>
                <w:szCs w:val="18"/>
              </w:rPr>
            </w:pPr>
            <w:r w:rsidRPr="00545EC0">
              <w:rPr>
                <w:rFonts w:cs="Arial"/>
                <w:sz w:val="18"/>
                <w:szCs w:val="18"/>
              </w:rPr>
              <w:t>Cink (kg/ leto)</w:t>
            </w:r>
          </w:p>
        </w:tc>
        <w:tc>
          <w:tcPr>
            <w:tcW w:w="697" w:type="pct"/>
            <w:tcBorders>
              <w:top w:val="nil"/>
              <w:left w:val="nil"/>
              <w:bottom w:val="single" w:sz="4" w:space="0" w:color="auto"/>
              <w:right w:val="single" w:sz="4" w:space="0" w:color="auto"/>
            </w:tcBorders>
            <w:shd w:val="clear" w:color="auto" w:fill="auto"/>
            <w:noWrap/>
            <w:vAlign w:val="center"/>
            <w:hideMark/>
          </w:tcPr>
          <w:p w14:paraId="208D5DB4" w14:textId="77777777" w:rsidR="00AD4FE7" w:rsidRPr="00545EC0" w:rsidRDefault="00AD4FE7" w:rsidP="00AD4FE7">
            <w:pPr>
              <w:spacing w:line="240" w:lineRule="auto"/>
              <w:jc w:val="center"/>
              <w:rPr>
                <w:rFonts w:cs="Arial"/>
                <w:sz w:val="18"/>
                <w:szCs w:val="18"/>
              </w:rPr>
            </w:pPr>
            <w:r w:rsidRPr="00545EC0">
              <w:rPr>
                <w:rFonts w:cs="Arial"/>
                <w:sz w:val="18"/>
                <w:szCs w:val="18"/>
              </w:rPr>
              <w:t>444.0</w:t>
            </w:r>
          </w:p>
        </w:tc>
        <w:tc>
          <w:tcPr>
            <w:tcW w:w="678" w:type="pct"/>
            <w:tcBorders>
              <w:top w:val="nil"/>
              <w:left w:val="nil"/>
              <w:bottom w:val="single" w:sz="4" w:space="0" w:color="auto"/>
              <w:right w:val="single" w:sz="4" w:space="0" w:color="auto"/>
            </w:tcBorders>
            <w:shd w:val="clear" w:color="auto" w:fill="auto"/>
            <w:noWrap/>
            <w:vAlign w:val="center"/>
            <w:hideMark/>
          </w:tcPr>
          <w:p w14:paraId="6A507B69" w14:textId="77777777" w:rsidR="00AD4FE7" w:rsidRPr="00545EC0" w:rsidRDefault="00AD4FE7" w:rsidP="00AD4FE7">
            <w:pPr>
              <w:spacing w:line="240" w:lineRule="auto"/>
              <w:jc w:val="center"/>
              <w:rPr>
                <w:rFonts w:cs="Arial"/>
                <w:sz w:val="18"/>
                <w:szCs w:val="18"/>
              </w:rPr>
            </w:pPr>
            <w:r w:rsidRPr="00545EC0">
              <w:rPr>
                <w:rFonts w:cs="Arial"/>
                <w:sz w:val="18"/>
                <w:szCs w:val="18"/>
              </w:rPr>
              <w:t>451.0</w:t>
            </w:r>
          </w:p>
        </w:tc>
        <w:tc>
          <w:tcPr>
            <w:tcW w:w="774" w:type="pct"/>
            <w:tcBorders>
              <w:top w:val="nil"/>
              <w:left w:val="nil"/>
              <w:bottom w:val="single" w:sz="4" w:space="0" w:color="auto"/>
              <w:right w:val="single" w:sz="4" w:space="0" w:color="auto"/>
            </w:tcBorders>
            <w:shd w:val="clear" w:color="auto" w:fill="auto"/>
            <w:noWrap/>
            <w:vAlign w:val="center"/>
            <w:hideMark/>
          </w:tcPr>
          <w:p w14:paraId="2C9B4DC0" w14:textId="77777777" w:rsidR="00AD4FE7" w:rsidRPr="00545EC0" w:rsidRDefault="00AD4FE7" w:rsidP="00AD4FE7">
            <w:pPr>
              <w:spacing w:line="240" w:lineRule="auto"/>
              <w:jc w:val="center"/>
              <w:rPr>
                <w:rFonts w:cs="Arial"/>
                <w:sz w:val="18"/>
                <w:szCs w:val="18"/>
              </w:rPr>
            </w:pPr>
            <w:r w:rsidRPr="00545EC0">
              <w:rPr>
                <w:rFonts w:cs="Arial"/>
                <w:sz w:val="18"/>
                <w:szCs w:val="18"/>
              </w:rPr>
              <w:t>460.8</w:t>
            </w:r>
          </w:p>
        </w:tc>
        <w:tc>
          <w:tcPr>
            <w:tcW w:w="774" w:type="pct"/>
            <w:tcBorders>
              <w:top w:val="nil"/>
              <w:left w:val="nil"/>
              <w:bottom w:val="single" w:sz="4" w:space="0" w:color="auto"/>
              <w:right w:val="single" w:sz="4" w:space="0" w:color="auto"/>
            </w:tcBorders>
            <w:shd w:val="clear" w:color="auto" w:fill="auto"/>
            <w:noWrap/>
            <w:vAlign w:val="center"/>
            <w:hideMark/>
          </w:tcPr>
          <w:p w14:paraId="5D029A16" w14:textId="77777777" w:rsidR="00AD4FE7" w:rsidRPr="00545EC0" w:rsidRDefault="00AD4FE7" w:rsidP="00AD4FE7">
            <w:pPr>
              <w:spacing w:line="240" w:lineRule="auto"/>
              <w:jc w:val="center"/>
              <w:rPr>
                <w:rFonts w:cs="Arial"/>
                <w:sz w:val="18"/>
                <w:szCs w:val="18"/>
              </w:rPr>
            </w:pPr>
            <w:r w:rsidRPr="00545EC0">
              <w:rPr>
                <w:rFonts w:cs="Arial"/>
                <w:sz w:val="18"/>
                <w:szCs w:val="18"/>
              </w:rPr>
              <w:t>481.0</w:t>
            </w:r>
          </w:p>
        </w:tc>
        <w:tc>
          <w:tcPr>
            <w:tcW w:w="774" w:type="pct"/>
            <w:tcBorders>
              <w:top w:val="nil"/>
              <w:left w:val="nil"/>
              <w:bottom w:val="single" w:sz="4" w:space="0" w:color="auto"/>
              <w:right w:val="single" w:sz="4" w:space="0" w:color="auto"/>
            </w:tcBorders>
            <w:shd w:val="clear" w:color="auto" w:fill="auto"/>
            <w:noWrap/>
            <w:vAlign w:val="center"/>
            <w:hideMark/>
          </w:tcPr>
          <w:p w14:paraId="47DE27F1" w14:textId="77777777" w:rsidR="00AD4FE7" w:rsidRPr="00545EC0" w:rsidRDefault="00AD4FE7" w:rsidP="00AD4FE7">
            <w:pPr>
              <w:spacing w:line="240" w:lineRule="auto"/>
              <w:jc w:val="center"/>
              <w:rPr>
                <w:rFonts w:cs="Arial"/>
                <w:sz w:val="18"/>
                <w:szCs w:val="18"/>
              </w:rPr>
            </w:pPr>
            <w:r w:rsidRPr="00545EC0">
              <w:rPr>
                <w:rFonts w:cs="Arial"/>
                <w:sz w:val="18"/>
                <w:szCs w:val="18"/>
              </w:rPr>
              <w:t>480.2</w:t>
            </w:r>
          </w:p>
        </w:tc>
      </w:tr>
    </w:tbl>
    <w:p w14:paraId="1358D86C" w14:textId="77777777" w:rsidR="008F2748" w:rsidRPr="00545EC0" w:rsidRDefault="008F2748" w:rsidP="00A90F9B"/>
    <w:p w14:paraId="68B1AD3B" w14:textId="77777777" w:rsidR="00E576E2" w:rsidRPr="00545EC0" w:rsidRDefault="00E576E2" w:rsidP="00AD4FE7">
      <w:pPr>
        <w:pStyle w:val="Naslov4"/>
        <w:rPr>
          <w:color w:val="auto"/>
          <w:lang w:val="sl-SI"/>
        </w:rPr>
      </w:pPr>
      <w:bookmarkStart w:id="174" w:name="_Ref87861496"/>
      <w:r w:rsidRPr="00545EC0">
        <w:rPr>
          <w:color w:val="auto"/>
          <w:lang w:val="sl-SI"/>
        </w:rPr>
        <w:t>Razpršeni viri zaradi odlaganja snovi iz zraka (t.i. atmosferska depozicija)</w:t>
      </w:r>
      <w:bookmarkEnd w:id="174"/>
    </w:p>
    <w:p w14:paraId="2DF21999" w14:textId="0011477E" w:rsidR="00617285" w:rsidRPr="00545EC0" w:rsidRDefault="00617285" w:rsidP="00AD4FE7">
      <w:pPr>
        <w:rPr>
          <w:rFonts w:cs="Arial"/>
          <w:sz w:val="24"/>
        </w:rPr>
      </w:pPr>
      <w:r w:rsidRPr="00545EC0">
        <w:rPr>
          <w:rFonts w:cs="Arial"/>
        </w:rPr>
        <w:t>Plini in delci, ki se sproščajo v ozračje iz različnih virov, kot so emisije iz motornih vozil, različnega gorenja in industrijskih virov, vsebujejo dušik, žveplo in kovine, ki posledično padejo na tla kot prah ali preko padavin. Takšna onesnaževala potujejo po zraku in imajo lahko oddaljen izvor onesnaževanja. Depozicija omenjenih onesnaževal je lahko neposredno v površinske vode ali pa na utrjena tla iz katerih se potem te snovi izperejo v vode. Vnos onesnaževal zaradi odlaganja snovi iz zraka (v nadaljnjem besedilu: atmosferska depozicija) lahko vodi do zakislevanja voda ali kopičenja teh snovi v sedimentih, kar negativno vpliva na stanje površinskih voda ter na spremembo strukture in funkcije vodnega ekosistema. V oceni razpršenega onesnaževanja površinskih voda zaradi atmosferske depozicije so upoštevane težke kovine (živo srebro, kadmij, svinec), dva izmed pogostejših poliaromatskih ogljikovodi</w:t>
      </w:r>
      <w:r w:rsidR="00251748" w:rsidRPr="00545EC0">
        <w:rPr>
          <w:rFonts w:cs="Arial"/>
        </w:rPr>
        <w:t>kov (dioksini in benzo(a)piren)</w:t>
      </w:r>
      <w:r w:rsidRPr="00545EC0">
        <w:rPr>
          <w:rFonts w:cs="Arial"/>
        </w:rPr>
        <w:t xml:space="preserve"> ter dušik in žveplo. </w:t>
      </w:r>
    </w:p>
    <w:p w14:paraId="3BCCD00F" w14:textId="7BA16ACD" w:rsidR="00617285" w:rsidRPr="00545EC0" w:rsidRDefault="00617285" w:rsidP="00AD4FE7">
      <w:pPr>
        <w:tabs>
          <w:tab w:val="num" w:pos="567"/>
          <w:tab w:val="left" w:pos="9600"/>
        </w:tabs>
        <w:spacing w:before="120"/>
        <w:rPr>
          <w:rFonts w:cs="Arial"/>
          <w:szCs w:val="20"/>
        </w:rPr>
      </w:pPr>
      <w:r w:rsidRPr="00545EC0">
        <w:rPr>
          <w:rFonts w:cs="Arial"/>
        </w:rPr>
        <w:t xml:space="preserve">Vnosi onesnaževal v vode zaradi atmosferske depozicije so izračunani na podlagi podatkov »The European Monitoring and Evaluation Programme« (EMEP) </w:t>
      </w:r>
      <w:r w:rsidRPr="00545EC0">
        <w:rPr>
          <w:rFonts w:cs="Arial"/>
          <w:szCs w:val="20"/>
        </w:rPr>
        <w:t>o vrednostih letnih količin posameznih onesnaževal na posamezno celico mreže 50 km X 50 km ozemlja Slovenije. Za izbrana onesnaževala (živo srebro, kadmij, svinec, dušikovi oksidi, benzo(a)piren, benzo(b)fluoranten, benzo(k)fluoranten, heksaklorobenzen (HCB), indeno</w:t>
      </w:r>
      <w:r w:rsidR="00016DB8" w:rsidRPr="00545EC0">
        <w:rPr>
          <w:rFonts w:cs="Arial"/>
          <w:szCs w:val="20"/>
        </w:rPr>
        <w:t>(1,2,3-cd)piren</w:t>
      </w:r>
      <w:r w:rsidRPr="00545EC0">
        <w:rPr>
          <w:rFonts w:cs="Arial"/>
          <w:szCs w:val="20"/>
        </w:rPr>
        <w:t>, PAH dioksini in žveplovi oksidi) so izdelani preračuni ob predpostavki, da se izbrana onesnaževala odlagajo iz zraka na površinsko enoto površinske vode. Na podlagi razpoložljivih podatkov so ocenjene letne količine depozicije teh onesnaževal v površinske vode v obdobju od 2013 do 2016, izražene kot masa/km</w:t>
      </w:r>
      <w:r w:rsidRPr="00545EC0">
        <w:rPr>
          <w:rFonts w:cs="Arial"/>
          <w:szCs w:val="20"/>
          <w:vertAlign w:val="superscript"/>
        </w:rPr>
        <w:t>2</w:t>
      </w:r>
      <w:r w:rsidRPr="00545EC0">
        <w:rPr>
          <w:rFonts w:cs="Arial"/>
          <w:szCs w:val="20"/>
        </w:rPr>
        <w:t xml:space="preserve">.  </w:t>
      </w:r>
    </w:p>
    <w:p w14:paraId="3B56A23F" w14:textId="77777777" w:rsidR="00617285" w:rsidRPr="00545EC0" w:rsidRDefault="00617285" w:rsidP="00AD4FE7">
      <w:pPr>
        <w:spacing w:before="120" w:after="120"/>
        <w:rPr>
          <w:rFonts w:cs="Arial"/>
        </w:rPr>
      </w:pPr>
      <w:r w:rsidRPr="00545EC0">
        <w:rPr>
          <w:rFonts w:cs="Arial"/>
        </w:rPr>
        <w:t xml:space="preserve"> Obremenitve zaradi atmosferske depozicije so prikazane na sledečih publikacijskih kartah:</w:t>
      </w:r>
    </w:p>
    <w:p w14:paraId="059B19B7" w14:textId="5F9E3ADE" w:rsidR="00617285" w:rsidRPr="00545EC0" w:rsidRDefault="00617285" w:rsidP="00DD37C5">
      <w:pPr>
        <w:numPr>
          <w:ilvl w:val="0"/>
          <w:numId w:val="42"/>
        </w:numPr>
        <w:tabs>
          <w:tab w:val="center" w:pos="426"/>
        </w:tabs>
        <w:ind w:left="426" w:hanging="426"/>
        <w:rPr>
          <w:rFonts w:cs="Arial"/>
          <w:i/>
        </w:rPr>
      </w:pPr>
      <w:r w:rsidRPr="00545EC0">
        <w:rPr>
          <w:rFonts w:cs="Arial"/>
          <w:i/>
        </w:rPr>
        <w:t>Publikacijska karta</w:t>
      </w:r>
      <w:r w:rsidR="001D5C1B" w:rsidRPr="00545EC0">
        <w:rPr>
          <w:rFonts w:cs="Arial"/>
          <w:i/>
        </w:rPr>
        <w:t xml:space="preserve"> 3.6</w:t>
      </w:r>
      <w:r w:rsidRPr="00545EC0">
        <w:rPr>
          <w:rFonts w:cs="Arial"/>
          <w:i/>
        </w:rPr>
        <w:t>: Razpršeni viri onesnaževanja – obremenitev površinskih voda (atmosferska depozicija dušika v vodno površino na prispevnem območju VTPV)</w:t>
      </w:r>
    </w:p>
    <w:p w14:paraId="2A363841" w14:textId="54452D90" w:rsidR="00617285" w:rsidRPr="00545EC0" w:rsidRDefault="00617285" w:rsidP="00DD37C5">
      <w:pPr>
        <w:numPr>
          <w:ilvl w:val="0"/>
          <w:numId w:val="42"/>
        </w:numPr>
        <w:tabs>
          <w:tab w:val="center" w:pos="426"/>
        </w:tabs>
        <w:ind w:left="426" w:hanging="426"/>
        <w:rPr>
          <w:rFonts w:cs="Arial"/>
          <w:i/>
        </w:rPr>
      </w:pPr>
      <w:r w:rsidRPr="00545EC0">
        <w:rPr>
          <w:rFonts w:cs="Arial"/>
          <w:i/>
        </w:rPr>
        <w:t>Publikacijska karta</w:t>
      </w:r>
      <w:r w:rsidR="001D5C1B" w:rsidRPr="00545EC0">
        <w:rPr>
          <w:rFonts w:cs="Arial"/>
          <w:i/>
        </w:rPr>
        <w:t xml:space="preserve"> 3.7</w:t>
      </w:r>
      <w:r w:rsidRPr="00545EC0">
        <w:rPr>
          <w:rFonts w:cs="Arial"/>
          <w:i/>
        </w:rPr>
        <w:t xml:space="preserve">: Razpršeni viri onesnaževanja – obremenitev površinskih voda (atmosferska depozicija žvepla v vodno površino na prispevnem območju VTPV) </w:t>
      </w:r>
    </w:p>
    <w:p w14:paraId="7D18E6FB" w14:textId="7CF1E21F" w:rsidR="00617285" w:rsidRPr="00545EC0" w:rsidRDefault="00617285" w:rsidP="00DD37C5">
      <w:pPr>
        <w:numPr>
          <w:ilvl w:val="0"/>
          <w:numId w:val="42"/>
        </w:numPr>
        <w:tabs>
          <w:tab w:val="center" w:pos="426"/>
        </w:tabs>
        <w:ind w:left="426" w:hanging="426"/>
        <w:rPr>
          <w:rFonts w:cs="Arial"/>
          <w:i/>
        </w:rPr>
      </w:pPr>
      <w:r w:rsidRPr="00545EC0">
        <w:rPr>
          <w:rFonts w:cs="Arial"/>
          <w:i/>
        </w:rPr>
        <w:t>Publikacijska karta</w:t>
      </w:r>
      <w:r w:rsidR="001D5C1B" w:rsidRPr="00545EC0">
        <w:rPr>
          <w:rFonts w:cs="Arial"/>
          <w:i/>
        </w:rPr>
        <w:t xml:space="preserve"> 3.8</w:t>
      </w:r>
      <w:r w:rsidRPr="00545EC0">
        <w:rPr>
          <w:rFonts w:cs="Arial"/>
          <w:i/>
        </w:rPr>
        <w:t>: Razpršeni viri onesnaževanja – obremenitev površinskih voda (atmosferska depozicija kadmija v vodno površino na prispevnem območju VTPV)</w:t>
      </w:r>
    </w:p>
    <w:p w14:paraId="3F62356D" w14:textId="667CC648" w:rsidR="00617285" w:rsidRPr="00545EC0" w:rsidRDefault="00617285" w:rsidP="00DD37C5">
      <w:pPr>
        <w:numPr>
          <w:ilvl w:val="0"/>
          <w:numId w:val="42"/>
        </w:numPr>
        <w:tabs>
          <w:tab w:val="center" w:pos="426"/>
        </w:tabs>
        <w:ind w:left="426" w:hanging="426"/>
        <w:rPr>
          <w:rFonts w:cs="Arial"/>
          <w:i/>
        </w:rPr>
      </w:pPr>
      <w:r w:rsidRPr="00545EC0">
        <w:rPr>
          <w:rFonts w:cs="Arial"/>
          <w:i/>
        </w:rPr>
        <w:t>Publikacijska karta</w:t>
      </w:r>
      <w:r w:rsidR="001D5C1B" w:rsidRPr="00545EC0">
        <w:rPr>
          <w:rFonts w:cs="Arial"/>
          <w:i/>
        </w:rPr>
        <w:t xml:space="preserve"> 3.9</w:t>
      </w:r>
      <w:r w:rsidRPr="00545EC0">
        <w:rPr>
          <w:rFonts w:cs="Arial"/>
          <w:i/>
        </w:rPr>
        <w:t>: Razpršeni viri onesnaževanja – obremenitev površinskih voda (atmosferska depozicija živega srebra v vodno površino na prispevnem območju VTPV)</w:t>
      </w:r>
    </w:p>
    <w:p w14:paraId="35A87562" w14:textId="46F2605C" w:rsidR="00617285" w:rsidRPr="00545EC0" w:rsidRDefault="00617285" w:rsidP="00DD37C5">
      <w:pPr>
        <w:numPr>
          <w:ilvl w:val="0"/>
          <w:numId w:val="42"/>
        </w:numPr>
        <w:tabs>
          <w:tab w:val="center" w:pos="426"/>
        </w:tabs>
        <w:ind w:left="426" w:hanging="426"/>
        <w:rPr>
          <w:rFonts w:cs="Arial"/>
          <w:i/>
        </w:rPr>
      </w:pPr>
      <w:r w:rsidRPr="00545EC0">
        <w:rPr>
          <w:rFonts w:cs="Arial"/>
          <w:i/>
        </w:rPr>
        <w:t>Publikacijska karta</w:t>
      </w:r>
      <w:r w:rsidR="001D5C1B" w:rsidRPr="00545EC0">
        <w:rPr>
          <w:rFonts w:cs="Arial"/>
          <w:i/>
        </w:rPr>
        <w:t xml:space="preserve"> 3.10</w:t>
      </w:r>
      <w:r w:rsidRPr="00545EC0">
        <w:rPr>
          <w:rFonts w:cs="Arial"/>
          <w:i/>
        </w:rPr>
        <w:t>: Razpršeni viri onesnaževanja – obremenitev površinskih voda (atmosferska depozicija svinca v vodno površino na prispevnem območju VTPV)</w:t>
      </w:r>
    </w:p>
    <w:p w14:paraId="1AAC01D4" w14:textId="71B062A8" w:rsidR="00617285" w:rsidRPr="00545EC0" w:rsidRDefault="00617285" w:rsidP="00DD37C5">
      <w:pPr>
        <w:numPr>
          <w:ilvl w:val="0"/>
          <w:numId w:val="42"/>
        </w:numPr>
        <w:tabs>
          <w:tab w:val="center" w:pos="426"/>
        </w:tabs>
        <w:ind w:left="426" w:hanging="426"/>
        <w:rPr>
          <w:rFonts w:cs="Arial"/>
          <w:i/>
        </w:rPr>
      </w:pPr>
      <w:r w:rsidRPr="00545EC0">
        <w:rPr>
          <w:rFonts w:cs="Arial"/>
          <w:i/>
        </w:rPr>
        <w:t>Publikacijska karta</w:t>
      </w:r>
      <w:r w:rsidR="001D5C1B" w:rsidRPr="00545EC0">
        <w:rPr>
          <w:rFonts w:cs="Arial"/>
          <w:i/>
        </w:rPr>
        <w:t xml:space="preserve"> 3.11</w:t>
      </w:r>
      <w:r w:rsidRPr="00545EC0">
        <w:rPr>
          <w:rFonts w:cs="Arial"/>
          <w:i/>
        </w:rPr>
        <w:t>: Razpršeni viri onesnaževanja – obremenitev površinskih voda (atmosferska depozicija dioksinov (PCDDF)  v vodno površino na prispevnem območju VTPV)</w:t>
      </w:r>
    </w:p>
    <w:p w14:paraId="53CED198" w14:textId="467045DE" w:rsidR="00617285" w:rsidRPr="00545EC0" w:rsidRDefault="00617285" w:rsidP="00DD37C5">
      <w:pPr>
        <w:numPr>
          <w:ilvl w:val="0"/>
          <w:numId w:val="42"/>
        </w:numPr>
        <w:tabs>
          <w:tab w:val="center" w:pos="426"/>
        </w:tabs>
        <w:ind w:left="426" w:hanging="426"/>
        <w:rPr>
          <w:rFonts w:cs="Arial"/>
          <w:i/>
        </w:rPr>
      </w:pPr>
      <w:r w:rsidRPr="00545EC0">
        <w:rPr>
          <w:rFonts w:cs="Arial"/>
          <w:i/>
        </w:rPr>
        <w:t>Publikacijska karta</w:t>
      </w:r>
      <w:r w:rsidR="001D5C1B" w:rsidRPr="00545EC0">
        <w:rPr>
          <w:rFonts w:cs="Arial"/>
          <w:i/>
        </w:rPr>
        <w:t xml:space="preserve"> 3.12</w:t>
      </w:r>
      <w:r w:rsidRPr="00545EC0">
        <w:rPr>
          <w:rFonts w:cs="Arial"/>
          <w:i/>
        </w:rPr>
        <w:t>: Razpršeni viri onesnaževanja – obremenitev površinskih voda (atmosferska depozicija benzo(a)piren (BAP) v vodno površino na prispevnem območju VTPV)</w:t>
      </w:r>
    </w:p>
    <w:p w14:paraId="404B9B2C" w14:textId="77777777" w:rsidR="00617285" w:rsidRPr="00545EC0" w:rsidRDefault="00617285" w:rsidP="00AD4FE7">
      <w:pPr>
        <w:tabs>
          <w:tab w:val="left" w:pos="709"/>
        </w:tabs>
        <w:overflowPunct/>
        <w:autoSpaceDE/>
        <w:autoSpaceDN/>
        <w:adjustRightInd/>
        <w:ind w:left="720"/>
        <w:textAlignment w:val="auto"/>
        <w:rPr>
          <w:i/>
          <w:szCs w:val="20"/>
        </w:rPr>
      </w:pPr>
    </w:p>
    <w:p w14:paraId="2F8CB07E" w14:textId="77777777" w:rsidR="00617285" w:rsidRPr="00545EC0" w:rsidRDefault="00617285" w:rsidP="00AD4FE7">
      <w:pPr>
        <w:tabs>
          <w:tab w:val="num" w:pos="567"/>
          <w:tab w:val="left" w:pos="9600"/>
        </w:tabs>
        <w:spacing w:before="120"/>
        <w:rPr>
          <w:rFonts w:cs="Arial"/>
          <w:szCs w:val="20"/>
        </w:rPr>
      </w:pPr>
      <w:r w:rsidRPr="00545EC0">
        <w:rPr>
          <w:rFonts w:cs="Arial"/>
          <w:szCs w:val="20"/>
        </w:rPr>
        <w:t xml:space="preserve">Ocene kažejo, da so na VO Donave največji vnosi obravnavanih onesnaževal zaradi atmosferske depozicije na porečju Drave, Srednje Save, Spodnje Save in Savinje. Ocene nadalje kažejo, da so se vnosi dušika in žvepla z atmosfersko depozicijo v obdobju od 2013 do 2015 zmanjševali, v letu 2016 pa je bilo ugotovljeno manjše povečanje. Za preostala izbrana onesnaževala so bili na voljo podatki za obdobje 2015 in 2016 zaradi česar morebitnega povečanja ali zmanjšanja vnosa onesnaževala v površinske vode ni mogoče dovolj zanesljivo oceniti. </w:t>
      </w:r>
    </w:p>
    <w:p w14:paraId="69BF5122" w14:textId="1661F574" w:rsidR="00EE5E77" w:rsidRPr="00545EC0" w:rsidRDefault="00C12042" w:rsidP="00AD4FE7">
      <w:pPr>
        <w:tabs>
          <w:tab w:val="num" w:pos="567"/>
          <w:tab w:val="left" w:pos="9600"/>
        </w:tabs>
        <w:spacing w:before="120"/>
        <w:rPr>
          <w:rFonts w:cs="Arial"/>
          <w:szCs w:val="20"/>
        </w:rPr>
      </w:pPr>
      <w:r w:rsidRPr="00545EC0">
        <w:rPr>
          <w:rFonts w:cs="Arial"/>
          <w:szCs w:val="20"/>
        </w:rPr>
        <w:lastRenderedPageBreak/>
        <w:t xml:space="preserve">Ob upoštevanju navedenega in primerjave ocenjenih podatkov o vrstah in jakostih obremenitev zaradi atmosferske depozicije z oceno stanja vodnih teles površinskih voda je ocenjeno, da je atmosferska depozicija pomembna obremenitev, ki povzroča slabo kemijsko stanje zaradi preseganja okoljskega standarda kakovosti za živo srebro v bioti. </w:t>
      </w:r>
    </w:p>
    <w:p w14:paraId="405A430F" w14:textId="77777777" w:rsidR="00E576E2" w:rsidRPr="00545EC0" w:rsidRDefault="00E576E2" w:rsidP="00AD4FE7">
      <w:pPr>
        <w:pStyle w:val="Naslov4"/>
        <w:rPr>
          <w:color w:val="auto"/>
          <w:lang w:val="sl-SI"/>
        </w:rPr>
      </w:pPr>
      <w:r w:rsidRPr="00545EC0">
        <w:rPr>
          <w:color w:val="auto"/>
          <w:lang w:val="sl-SI"/>
        </w:rPr>
        <w:t>Razpršeni viri zaradi gojenja vodnih organizmov ali akvakulture</w:t>
      </w:r>
    </w:p>
    <w:p w14:paraId="6C7FF05F" w14:textId="77777777" w:rsidR="00617285" w:rsidRPr="00545EC0" w:rsidRDefault="00617285" w:rsidP="00AD4FE7">
      <w:pPr>
        <w:rPr>
          <w:rFonts w:cs="Arial"/>
        </w:rPr>
      </w:pPr>
      <w:r w:rsidRPr="00545EC0">
        <w:rPr>
          <w:rFonts w:cs="Arial"/>
        </w:rPr>
        <w:t xml:space="preserve">Gojenje vodnih organizmov zajema vzrejo sladkovodnih organizmov. V Sloveniji se v celinskih vodah izvaja vzreja salmonidnih (hladnovodno ribogojstvo) ter ciprinidnih vrst rib (toplovodno ribogojstvo). Vodni organizmi se v večini primerov vzrejajo za prehrano ljudi, pa tudi za poribljavanje, za okrasne vodne organizme ali športno komercialni ribolov (trženje športnega ribolova v zasebnem interesu). </w:t>
      </w:r>
    </w:p>
    <w:p w14:paraId="0335527E" w14:textId="77777777" w:rsidR="00617285" w:rsidRPr="00545EC0" w:rsidRDefault="00617285" w:rsidP="00AD4FE7">
      <w:pPr>
        <w:rPr>
          <w:rFonts w:cs="Arial"/>
        </w:rPr>
      </w:pPr>
    </w:p>
    <w:p w14:paraId="2FAA677E" w14:textId="4BFC5B0B" w:rsidR="00617285" w:rsidRPr="00545EC0" w:rsidRDefault="00617285" w:rsidP="00AD4FE7">
      <w:pPr>
        <w:rPr>
          <w:rFonts w:cs="Arial"/>
        </w:rPr>
      </w:pPr>
      <w:r w:rsidRPr="00545EC0">
        <w:rPr>
          <w:rFonts w:cs="Arial"/>
        </w:rPr>
        <w:t xml:space="preserve">Gojenje vodnih organizmov lahko povzroča onesnaženje voda s hranili in </w:t>
      </w:r>
      <w:r w:rsidR="00E634B5" w:rsidRPr="00545EC0">
        <w:rPr>
          <w:rFonts w:cs="Arial"/>
        </w:rPr>
        <w:t xml:space="preserve">biološko razgradljivimi </w:t>
      </w:r>
      <w:r w:rsidRPr="00545EC0">
        <w:rPr>
          <w:rFonts w:cs="Arial"/>
        </w:rPr>
        <w:t>organskimi snovmi, saj se pri hladnovodnem in toplovodnem ribogojstvu organizme dodatno hrani. Predvsem pri toplovodnem ribogojstvu ali v ribnikih, kjer voda zastaja, se odvečna hrana akumulira na dnu</w:t>
      </w:r>
      <w:r w:rsidR="00016DB8" w:rsidRPr="00545EC0">
        <w:rPr>
          <w:rFonts w:cs="Arial"/>
        </w:rPr>
        <w:t>,</w:t>
      </w:r>
      <w:r w:rsidRPr="00545EC0">
        <w:rPr>
          <w:rFonts w:cs="Arial"/>
        </w:rPr>
        <w:t xml:space="preserve"> kjer se razkraja. Po drugi strani metabolni izločki gojenih organizmov predstavljajo povečanje organskih snovi v vodnem okolju. Te organske snovi začnejo razgrajevati mikroorganizmi, ki za razgradnjo organskih snovi porabljajo v vodi raztopljeni kisik. </w:t>
      </w:r>
    </w:p>
    <w:p w14:paraId="37511DB3" w14:textId="77777777" w:rsidR="00617285" w:rsidRPr="00545EC0" w:rsidRDefault="00617285" w:rsidP="00AD4FE7">
      <w:pPr>
        <w:rPr>
          <w:rFonts w:cs="Arial"/>
        </w:rPr>
      </w:pPr>
    </w:p>
    <w:p w14:paraId="3DED2D1A" w14:textId="12AF705F" w:rsidR="00617285" w:rsidRPr="00545EC0" w:rsidRDefault="00617285" w:rsidP="00AD4FE7">
      <w:pPr>
        <w:rPr>
          <w:rFonts w:cs="Arial"/>
        </w:rPr>
      </w:pPr>
      <w:r w:rsidRPr="00545EC0">
        <w:rPr>
          <w:rFonts w:cs="Arial"/>
        </w:rPr>
        <w:t xml:space="preserve">V gojitvenih objektih se zaradi velike gostote gojenih organizmov uporabljajo različne kemikalije za zatiranje kožnih parazitov ali bolezni. V ta namen se uporabljajo dezinfekcijska sredstva, antibiotiki in organofosfati. Poleg tega se v gojitvenih objektih uporabljajo tudi razkužila za bazene. Presežek teh snovi, kot tudi njihovi delni razgradni produkti se lahko z iztočno vodo iz gojitvenih objektov iztekajo v površinske vode. </w:t>
      </w:r>
    </w:p>
    <w:p w14:paraId="4EE80673" w14:textId="77777777" w:rsidR="00617285" w:rsidRPr="00545EC0" w:rsidRDefault="00617285" w:rsidP="00AD4FE7">
      <w:pPr>
        <w:rPr>
          <w:rFonts w:cs="Arial"/>
          <w:sz w:val="24"/>
        </w:rPr>
      </w:pPr>
    </w:p>
    <w:p w14:paraId="364C58F9" w14:textId="77777777" w:rsidR="00617285" w:rsidRPr="00545EC0" w:rsidRDefault="00617285" w:rsidP="00AD4FE7">
      <w:pPr>
        <w:rPr>
          <w:rFonts w:cs="Arial"/>
        </w:rPr>
      </w:pPr>
      <w:r w:rsidRPr="00545EC0">
        <w:rPr>
          <w:rFonts w:cs="Arial"/>
        </w:rPr>
        <w:t>Na VO Donave so podeljene vodne pravice za vzrejo salmonidnih in ciprinidnih vrst rib, pri čemer je vodnih pravic za vzrejo salmonidnih vrst rib več.  Največ vzrejnih objektov za salmonidne vrste rib je na območju Spodnje Save, Savinje in Srednje Save. Po drugi strani je največ vzrejnih objektov za ciprinidne vrste rib na območju Spodnje Save, Savinje ter Drave.</w:t>
      </w:r>
    </w:p>
    <w:p w14:paraId="29FE1137" w14:textId="77777777" w:rsidR="00617285" w:rsidRPr="00545EC0" w:rsidRDefault="00617285" w:rsidP="00AD4FE7">
      <w:pPr>
        <w:rPr>
          <w:rFonts w:cs="Arial"/>
        </w:rPr>
      </w:pPr>
    </w:p>
    <w:p w14:paraId="12E72CC5" w14:textId="77777777" w:rsidR="00617285" w:rsidRPr="00545EC0" w:rsidRDefault="00617285" w:rsidP="00AD4FE7">
      <w:pPr>
        <w:rPr>
          <w:rFonts w:cs="Arial"/>
        </w:rPr>
      </w:pPr>
      <w:r w:rsidRPr="00545EC0">
        <w:rPr>
          <w:rFonts w:cs="Arial"/>
        </w:rPr>
        <w:t>Vplivi salmonidnih in ciprinidnih ribogojnic so obravnavani na podlagi meritev, ki so jih v okviru raziskav vpliva ribogojnic na vodne ekosisteme opravili na Zavodu za ribištvo Slovenije (Zabric, D. in sod. 2006a;  Zabric, D. in sod. 2006b). Primerjava koncentracije izbranih onesnaževal (neraztopljene snovi, KPK, BPK</w:t>
      </w:r>
      <w:r w:rsidRPr="00545EC0">
        <w:rPr>
          <w:rFonts w:cs="Arial"/>
          <w:vertAlign w:val="subscript"/>
        </w:rPr>
        <w:t>5</w:t>
      </w:r>
      <w:r w:rsidRPr="00545EC0">
        <w:rPr>
          <w:rFonts w:cs="Arial"/>
        </w:rPr>
        <w:t>, NO</w:t>
      </w:r>
      <w:r w:rsidRPr="00545EC0">
        <w:rPr>
          <w:rFonts w:cs="Arial"/>
          <w:vertAlign w:val="subscript"/>
        </w:rPr>
        <w:t>3</w:t>
      </w:r>
      <w:r w:rsidRPr="00545EC0">
        <w:rPr>
          <w:rFonts w:cs="Arial"/>
        </w:rPr>
        <w:t>, NH</w:t>
      </w:r>
      <w:r w:rsidRPr="00545EC0">
        <w:rPr>
          <w:rFonts w:cs="Arial"/>
          <w:vertAlign w:val="subscript"/>
        </w:rPr>
        <w:t>4</w:t>
      </w:r>
      <w:r w:rsidRPr="00545EC0">
        <w:rPr>
          <w:rFonts w:cs="Arial"/>
        </w:rPr>
        <w:t>, NO</w:t>
      </w:r>
      <w:r w:rsidRPr="00545EC0">
        <w:rPr>
          <w:rFonts w:cs="Arial"/>
          <w:vertAlign w:val="subscript"/>
        </w:rPr>
        <w:t>2</w:t>
      </w:r>
      <w:r w:rsidRPr="00545EC0">
        <w:rPr>
          <w:rFonts w:cs="Arial"/>
        </w:rPr>
        <w:t>, PO</w:t>
      </w:r>
      <w:r w:rsidRPr="00545EC0">
        <w:rPr>
          <w:rFonts w:cs="Arial"/>
          <w:vertAlign w:val="subscript"/>
        </w:rPr>
        <w:t>4</w:t>
      </w:r>
      <w:r w:rsidRPr="00545EC0">
        <w:rPr>
          <w:rFonts w:cs="Arial"/>
        </w:rPr>
        <w:t>) gorvodno in dolvodno od ribogojnic kaže statistično značilno večjo koncentracijo NH</w:t>
      </w:r>
      <w:r w:rsidRPr="00545EC0">
        <w:rPr>
          <w:rFonts w:cs="Arial"/>
          <w:vertAlign w:val="subscript"/>
        </w:rPr>
        <w:t>4</w:t>
      </w:r>
      <w:r w:rsidRPr="00545EC0">
        <w:rPr>
          <w:rFonts w:cs="Arial"/>
        </w:rPr>
        <w:t xml:space="preserve"> dolvodno od salmonidnih ribogojnic ter neraztopljenih snovi in BPK</w:t>
      </w:r>
      <w:r w:rsidRPr="00545EC0">
        <w:rPr>
          <w:rFonts w:cs="Arial"/>
          <w:vertAlign w:val="subscript"/>
        </w:rPr>
        <w:t>5</w:t>
      </w:r>
      <w:r w:rsidRPr="00545EC0">
        <w:rPr>
          <w:rFonts w:cs="Arial"/>
        </w:rPr>
        <w:t xml:space="preserve"> dolvodno od ciprinidnih ribogojnic. Na podlagi navedenega je ugotovljeno, da ribogojstvo povzroča povečanje koncentracij omenjenih onesnaževal in ima zato negativen vpliv na vodne ekosisteme. </w:t>
      </w:r>
    </w:p>
    <w:p w14:paraId="49AD4779" w14:textId="77777777" w:rsidR="00617285" w:rsidRPr="00545EC0" w:rsidRDefault="00617285" w:rsidP="00AD4FE7">
      <w:pPr>
        <w:rPr>
          <w:rFonts w:cs="Arial"/>
        </w:rPr>
      </w:pPr>
    </w:p>
    <w:p w14:paraId="179BD8DB" w14:textId="659FB5E8" w:rsidR="00617285" w:rsidRPr="00545EC0" w:rsidRDefault="00617285" w:rsidP="00AD4FE7">
      <w:pPr>
        <w:rPr>
          <w:rFonts w:cs="Arial"/>
        </w:rPr>
      </w:pPr>
      <w:r w:rsidRPr="00545EC0">
        <w:rPr>
          <w:rFonts w:cs="Arial"/>
        </w:rPr>
        <w:t xml:space="preserve">Športni ribolov </w:t>
      </w:r>
      <w:r w:rsidR="008C1117">
        <w:rPr>
          <w:rFonts w:cs="Arial"/>
        </w:rPr>
        <w:t>na posamezne ciprinidne vrste</w:t>
      </w:r>
      <w:r w:rsidR="00F952D3">
        <w:rPr>
          <w:rFonts w:cs="Arial"/>
        </w:rPr>
        <w:t xml:space="preserve"> </w:t>
      </w:r>
      <w:r w:rsidRPr="00545EC0">
        <w:rPr>
          <w:rFonts w:cs="Arial"/>
        </w:rPr>
        <w:t>predstavlja razpršen vir obremenjevanja površinskih voda</w:t>
      </w:r>
      <w:r w:rsidR="00E634B5" w:rsidRPr="00545EC0">
        <w:rPr>
          <w:rFonts w:cs="Arial"/>
        </w:rPr>
        <w:t xml:space="preserve"> s hranili</w:t>
      </w:r>
      <w:r w:rsidRPr="00545EC0">
        <w:rPr>
          <w:rFonts w:cs="Arial"/>
        </w:rPr>
        <w:t>. Pri ribolovu se uporabljajo različne vrste vab za privabljanje oz. krmljenje, ki so lahko naravnega ali umetnega izvora. Največje količine naravne vabe se uporablja pri krapolovu. Na podlagi predpisa, ki ureja ribolovni režim v ribolovnih vodah skupna količina vabe za privabljanje rib ne sme presegati 5 kg na ribolovni dan ali noč, pri čemer je lahko največ 1 kg vabe živalskega izvora.</w:t>
      </w:r>
      <w:r w:rsidRPr="00545EC0">
        <w:t xml:space="preserve"> </w:t>
      </w:r>
      <w:r w:rsidRPr="00545EC0">
        <w:rPr>
          <w:rFonts w:cs="Arial"/>
        </w:rPr>
        <w:t>Obremenjevanje vodnih teles površinskih voda zaradi športnega ribolova je ocenjeno na podlagi podatkov o številu izdanih ribolovnih dovolilnic oz. ribolovnih dni na ribolovni revir, ki se zbirajo na Zavodu za ribištvo Slovenije in podatka o ribolovnih dnevih. Količine uporabljene vabe na ribolovni dan za vodna telesa površinskih voda so izračunane ob upoštevanju predpostavke, da krapolov poteka 10 % ribolovnih dni ribičev-članov (člani in mladi ribiči) in 70 % ribolovnih dni ribičev-turistov (domači in tuji turisti)</w:t>
      </w:r>
      <w:r w:rsidR="00E634B5" w:rsidRPr="00545EC0">
        <w:rPr>
          <w:rFonts w:cs="Arial"/>
        </w:rPr>
        <w:t>,</w:t>
      </w:r>
      <w:r w:rsidRPr="00545EC0">
        <w:rPr>
          <w:rFonts w:cs="Arial"/>
        </w:rPr>
        <w:t xml:space="preserve"> pri čemer je količina vabe ocenjena ločeno za </w:t>
      </w:r>
      <w:r w:rsidRPr="00545EC0">
        <w:t xml:space="preserve">posamezni ribolovni revir tekočih voda in posamezni ribolovni revir stoječih voda (jezera, zadrževalniki). </w:t>
      </w:r>
    </w:p>
    <w:p w14:paraId="0482FE75" w14:textId="6F76A2FB" w:rsidR="00617285" w:rsidRPr="00545EC0" w:rsidRDefault="00617285" w:rsidP="00AD4FE7">
      <w:r w:rsidRPr="00545EC0">
        <w:lastRenderedPageBreak/>
        <w:t>Na podlagi analize je ugotovljeno, da se je skupna količina uporabljene vabe v Sloveniji v obdobju 2013 do 2019 povečevala, pri čemer je bilo ocenjeno, da je količina uporabljene vabe v letu 2013 znašala okoli 168 ton in v letu 2019 okoli 227 ton. Na VO Donave so bila zaradi vnosa vabe (skupna količina) v celotnem obdobju od 2013 do 2019 najbolj obremenjena vodna telesa površinskih voda SI35172VT UVT Kanal HE Zlatoličje, SI1668VT MPVT zadrževalnik Šmartinsko jezero, SI1128VT VTJ Blejsko jezero, SI168VT3 MPVT zadrževalnik Slivniško jezero in SI18</w:t>
      </w:r>
      <w:r w:rsidR="005826F0" w:rsidRPr="00545EC0">
        <w:t>VT31 VT Krka povirje – Soteska.</w:t>
      </w:r>
    </w:p>
    <w:p w14:paraId="20F757E8" w14:textId="77777777" w:rsidR="005826F0" w:rsidRPr="00545EC0" w:rsidRDefault="005826F0" w:rsidP="00AD4FE7"/>
    <w:p w14:paraId="30686F40" w14:textId="77777777" w:rsidR="00617285" w:rsidRPr="00545EC0" w:rsidRDefault="00617285" w:rsidP="00AD4FE7">
      <w:pPr>
        <w:rPr>
          <w:lang w:eastAsia="ja-JP"/>
        </w:rPr>
      </w:pPr>
      <w:r w:rsidRPr="00545EC0">
        <w:rPr>
          <w:rFonts w:cs="Arial"/>
          <w:szCs w:val="20"/>
        </w:rPr>
        <w:t xml:space="preserve">Primerjava ocenjenih podatkov o vrstah in jakostih obremenitev z oceno stanja vodnih teles površinskih voda kaže, da ni mogoče zanesljivo opredeliti pomembnih obremenitev zaradi </w:t>
      </w:r>
      <w:r w:rsidRPr="00545EC0">
        <w:rPr>
          <w:rFonts w:cs="Arial"/>
          <w:bCs/>
          <w:szCs w:val="20"/>
        </w:rPr>
        <w:t>emisije snovi iz ribogojnic.</w:t>
      </w:r>
    </w:p>
    <w:p w14:paraId="165AA3E3" w14:textId="77777777" w:rsidR="00E576E2" w:rsidRPr="00545EC0" w:rsidRDefault="00E576E2" w:rsidP="00AD4FE7">
      <w:pPr>
        <w:pStyle w:val="Naslov4"/>
        <w:rPr>
          <w:color w:val="auto"/>
          <w:lang w:val="sl-SI"/>
        </w:rPr>
      </w:pPr>
      <w:r w:rsidRPr="00545EC0">
        <w:rPr>
          <w:color w:val="auto"/>
          <w:lang w:val="sl-SI"/>
        </w:rPr>
        <w:t xml:space="preserve">Razpršeni viri v primeru incidentnih dogodkov </w:t>
      </w:r>
    </w:p>
    <w:p w14:paraId="3A7C557A" w14:textId="666A49D4" w:rsidR="00617285" w:rsidRPr="00545EC0" w:rsidRDefault="00617285" w:rsidP="00AD4FE7">
      <w:pPr>
        <w:rPr>
          <w:rFonts w:cs="Arial"/>
        </w:rPr>
      </w:pPr>
      <w:r w:rsidRPr="00545EC0">
        <w:rPr>
          <w:rFonts w:cs="Arial"/>
        </w:rPr>
        <w:t xml:space="preserve">Vodna telesa površinskih voda so lahko izpostavljena tudi razpršenemu onesnaževanju zaradi incidentnih dogodkov, ki lahko povzročijo nekontrolirana izlitja onesnaževal v vode. Onesnaževanje voda zaradi incidentnih dogodkov je lahko posledica izlitja zaradi nesreč na območju naprav ali izlitja zaradi nesreč pri prevozih nevarnih snovi po cestah, železnicah ali pri plovbi. Možnost onesnaževanja posameznega vodnega telesa površinskih voda zaradi incidentnih dogodkov je ocenjena glede na njihovo ogroženost za tovrstno obremenitev. </w:t>
      </w:r>
      <w:r w:rsidR="001D5C1B" w:rsidRPr="00545EC0">
        <w:rPr>
          <w:rFonts w:cs="Arial"/>
        </w:rPr>
        <w:t xml:space="preserve">Rezultati so prikazani na </w:t>
      </w:r>
      <w:r w:rsidR="002B19AC" w:rsidRPr="00545EC0">
        <w:rPr>
          <w:rFonts w:cs="Arial"/>
        </w:rPr>
        <w:t xml:space="preserve">publikacijski </w:t>
      </w:r>
      <w:r w:rsidR="001D5C1B" w:rsidRPr="00545EC0">
        <w:rPr>
          <w:rFonts w:cs="Arial"/>
        </w:rPr>
        <w:t>karti. (</w:t>
      </w:r>
      <w:r w:rsidRPr="00545EC0">
        <w:rPr>
          <w:rFonts w:cs="Arial"/>
          <w:i/>
        </w:rPr>
        <w:t>Publikacijska karta</w:t>
      </w:r>
      <w:r w:rsidR="001D5C1B" w:rsidRPr="00545EC0">
        <w:rPr>
          <w:rFonts w:cs="Arial"/>
          <w:i/>
        </w:rPr>
        <w:t xml:space="preserve"> 2.7</w:t>
      </w:r>
      <w:r w:rsidRPr="00545EC0">
        <w:rPr>
          <w:rFonts w:cs="Arial"/>
          <w:i/>
        </w:rPr>
        <w:t>:</w:t>
      </w:r>
      <w:r w:rsidR="001D5C1B" w:rsidRPr="00545EC0">
        <w:rPr>
          <w:rFonts w:cs="Arial"/>
          <w:i/>
        </w:rPr>
        <w:t xml:space="preserve"> Točkovni viri onesnaženja – obremenitev površinskih voda</w:t>
      </w:r>
      <w:r w:rsidRPr="00545EC0">
        <w:rPr>
          <w:rFonts w:cs="Arial"/>
          <w:i/>
        </w:rPr>
        <w:t xml:space="preserve"> </w:t>
      </w:r>
      <w:r w:rsidR="001D5C1B" w:rsidRPr="00545EC0">
        <w:rPr>
          <w:rFonts w:cs="Arial"/>
          <w:i/>
        </w:rPr>
        <w:t>(</w:t>
      </w:r>
      <w:r w:rsidRPr="00545EC0">
        <w:rPr>
          <w:rFonts w:cs="Arial"/>
          <w:i/>
        </w:rPr>
        <w:t>Evidenca incidentnih onesnaženj</w:t>
      </w:r>
      <w:r w:rsidRPr="00545EC0">
        <w:rPr>
          <w:rFonts w:cs="Arial"/>
        </w:rPr>
        <w:t>)</w:t>
      </w:r>
      <w:r w:rsidR="001D5C1B" w:rsidRPr="00545EC0">
        <w:rPr>
          <w:rFonts w:cs="Arial"/>
        </w:rPr>
        <w:t>)</w:t>
      </w:r>
      <w:r w:rsidR="00016DB8" w:rsidRPr="00545EC0">
        <w:rPr>
          <w:rFonts w:cs="Arial"/>
        </w:rPr>
        <w:t>.</w:t>
      </w:r>
    </w:p>
    <w:p w14:paraId="4EE7EF87" w14:textId="77777777" w:rsidR="00617285" w:rsidRPr="00545EC0" w:rsidRDefault="00617285" w:rsidP="00AD4FE7">
      <w:pPr>
        <w:pStyle w:val="podnaslov0"/>
      </w:pPr>
      <w:r w:rsidRPr="00545EC0">
        <w:t xml:space="preserve">Potencialna ogroženost voda </w:t>
      </w:r>
      <w:r w:rsidRPr="00545EC0">
        <w:rPr>
          <w:szCs w:val="20"/>
        </w:rPr>
        <w:t>zaradi izlitja onesnaževal v primeru nesreče na območju naprav</w:t>
      </w:r>
    </w:p>
    <w:p w14:paraId="32DCEF73" w14:textId="19CD5E03" w:rsidR="00617285" w:rsidRPr="00545EC0" w:rsidRDefault="00617285" w:rsidP="00AD4FE7">
      <w:pPr>
        <w:rPr>
          <w:rFonts w:cs="Arial"/>
        </w:rPr>
      </w:pPr>
      <w:r w:rsidRPr="00545EC0">
        <w:rPr>
          <w:rFonts w:cs="Arial"/>
          <w:szCs w:val="20"/>
        </w:rPr>
        <w:t xml:space="preserve">Možnost onesnaženja posameznega vodnega telesa površinskih voda zaradi nesreč na območju naprav je ocenjena glede na prisotnost naprav, </w:t>
      </w:r>
      <w:r w:rsidRPr="00545EC0">
        <w:rPr>
          <w:rFonts w:cs="Arial"/>
        </w:rPr>
        <w:t>kot so opredeljen</w:t>
      </w:r>
      <w:r w:rsidR="00016DB8" w:rsidRPr="00545EC0">
        <w:rPr>
          <w:rFonts w:cs="Arial"/>
        </w:rPr>
        <w:t>e</w:t>
      </w:r>
      <w:r w:rsidRPr="00545EC0">
        <w:rPr>
          <w:rFonts w:cs="Arial"/>
        </w:rPr>
        <w:t xml:space="preserve"> v predpisu, ki ureja emisijo snovi in toplote pri odvajanju odpadne vode v vode in javno kanalizacijo, na celotni prispevni površini vodnega telesa površinske vode.</w:t>
      </w:r>
      <w:r w:rsidRPr="00545EC0">
        <w:rPr>
          <w:rFonts w:cs="Arial"/>
          <w:szCs w:val="20"/>
        </w:rPr>
        <w:t xml:space="preserve"> Pri tem se ločeno obravnava naprave, ki so hkrati industrijski obrati v skladu s predpisom, ki ureja preprečevanje večjih nesreč in zmanjševanje njihovih posledic. V</w:t>
      </w:r>
      <w:r w:rsidR="00016DB8" w:rsidRPr="00545EC0">
        <w:rPr>
          <w:rFonts w:cs="Arial"/>
          <w:szCs w:val="20"/>
        </w:rPr>
        <w:t xml:space="preserve"> </w:t>
      </w:r>
      <w:r w:rsidRPr="00545EC0">
        <w:rPr>
          <w:rFonts w:cs="Arial"/>
          <w:szCs w:val="20"/>
        </w:rPr>
        <w:t>s</w:t>
      </w:r>
      <w:r w:rsidR="00016DB8" w:rsidRPr="00545EC0">
        <w:rPr>
          <w:rFonts w:cs="Arial"/>
          <w:szCs w:val="20"/>
        </w:rPr>
        <w:t>k</w:t>
      </w:r>
      <w:r w:rsidRPr="00545EC0">
        <w:rPr>
          <w:rFonts w:cs="Arial"/>
          <w:szCs w:val="20"/>
        </w:rPr>
        <w:t xml:space="preserve">ladu z navedenim predpisom, se glede na količino in vrsto nevarnih snov, obrati delijo na vire manjšega in vire večjega tveganja. </w:t>
      </w:r>
    </w:p>
    <w:p w14:paraId="60DAEDB6" w14:textId="31F05AB5" w:rsidR="00617285" w:rsidRPr="00545EC0" w:rsidRDefault="00617285" w:rsidP="00AD4FE7">
      <w:pPr>
        <w:tabs>
          <w:tab w:val="num" w:pos="567"/>
          <w:tab w:val="left" w:pos="9600"/>
        </w:tabs>
        <w:spacing w:before="120"/>
        <w:rPr>
          <w:rFonts w:cs="Arial"/>
          <w:bCs/>
          <w:szCs w:val="20"/>
          <w:lang w:eastAsia="ja-JP"/>
        </w:rPr>
      </w:pPr>
      <w:r w:rsidRPr="00545EC0">
        <w:rPr>
          <w:rFonts w:cs="Arial"/>
          <w:szCs w:val="20"/>
        </w:rPr>
        <w:t xml:space="preserve">Na VO Donave so pri 63 % vodnih teles površinskih voda na prispevnih površinah prisotne naprave, </w:t>
      </w:r>
      <w:r w:rsidRPr="00545EC0">
        <w:rPr>
          <w:rFonts w:cs="Arial"/>
        </w:rPr>
        <w:t>kot so opredeljen</w:t>
      </w:r>
      <w:r w:rsidR="00016DB8" w:rsidRPr="00545EC0">
        <w:rPr>
          <w:rFonts w:cs="Arial"/>
        </w:rPr>
        <w:t>e</w:t>
      </w:r>
      <w:r w:rsidRPr="00545EC0">
        <w:rPr>
          <w:rFonts w:cs="Arial"/>
        </w:rPr>
        <w:t xml:space="preserve"> v predpisu, ki ureja emisijo snovi in toplote pri odvajanju odpadne vode v vode in javno kanalizacijo. Naprave, ki so </w:t>
      </w:r>
      <w:r w:rsidRPr="00545EC0">
        <w:rPr>
          <w:rFonts w:cs="Arial"/>
          <w:szCs w:val="20"/>
        </w:rPr>
        <w:t>hkrati industrijski obrati v skladu s predpisom, ki ureja preprečevanje večjih nesreč in zmanjševanje njihovih posledic, so prisotne na 23 % vodnih teles površinskih voda.</w:t>
      </w:r>
      <w:r w:rsidRPr="00545EC0">
        <w:rPr>
          <w:rFonts w:cs="Arial"/>
        </w:rPr>
        <w:t xml:space="preserve"> </w:t>
      </w:r>
      <w:r w:rsidRPr="00545EC0">
        <w:rPr>
          <w:rFonts w:cs="Arial"/>
          <w:szCs w:val="20"/>
        </w:rPr>
        <w:t xml:space="preserve">Glede na navedeno je ocenjeno, da do točkovnega onesnaženja zaradi izlitja onesnaževal v primeru nesreče na območju </w:t>
      </w:r>
      <w:r w:rsidR="00E634B5" w:rsidRPr="00545EC0">
        <w:rPr>
          <w:rFonts w:cs="Arial"/>
          <w:szCs w:val="20"/>
        </w:rPr>
        <w:t xml:space="preserve">teh </w:t>
      </w:r>
      <w:r w:rsidRPr="00545EC0">
        <w:rPr>
          <w:rFonts w:cs="Arial"/>
          <w:szCs w:val="20"/>
        </w:rPr>
        <w:t>naprav lahko pride pri 66 % vodnih teles površinskih voda</w:t>
      </w:r>
      <w:r w:rsidR="00251748" w:rsidRPr="00545EC0">
        <w:rPr>
          <w:rFonts w:cs="Arial"/>
          <w:szCs w:val="20"/>
        </w:rPr>
        <w:t>.</w:t>
      </w:r>
      <w:r w:rsidRPr="00545EC0">
        <w:rPr>
          <w:rFonts w:cs="Arial"/>
        </w:rPr>
        <w:t xml:space="preserve"> </w:t>
      </w:r>
    </w:p>
    <w:p w14:paraId="49DE3E47" w14:textId="77777777" w:rsidR="00617285" w:rsidRPr="00545EC0" w:rsidRDefault="00617285" w:rsidP="00AD4FE7">
      <w:pPr>
        <w:pStyle w:val="podnaslov0"/>
      </w:pPr>
      <w:r w:rsidRPr="00545EC0">
        <w:t xml:space="preserve">Potencialna ogroženost voda </w:t>
      </w:r>
      <w:r w:rsidRPr="00545EC0">
        <w:rPr>
          <w:szCs w:val="20"/>
        </w:rPr>
        <w:t xml:space="preserve">zaradi izlitja onesnaževal </w:t>
      </w:r>
      <w:r w:rsidRPr="00545EC0">
        <w:t>pri transportu nevarnih snovi</w:t>
      </w:r>
    </w:p>
    <w:p w14:paraId="6E07F77E" w14:textId="4643CEF9" w:rsidR="00617285" w:rsidRPr="00545EC0" w:rsidRDefault="00617285" w:rsidP="00AD4FE7">
      <w:pPr>
        <w:rPr>
          <w:rFonts w:cs="Arial"/>
        </w:rPr>
      </w:pPr>
      <w:r w:rsidRPr="00545EC0">
        <w:rPr>
          <w:rFonts w:cs="Arial"/>
          <w:szCs w:val="20"/>
        </w:rPr>
        <w:t>Možnost onesnaženja posameznega vodnega telesa površinskih voda zaradi nesreč pri transportu onesnaževal, pri čemer lahko pride do nekontroliranega izlitja onesnaževal, je ocenjena glede na oddaljenost vodnega telesa od prometnih poti, pri čemer je upoštevan cestni in železniški promet ter plovba po celinskih vodah. Na VO Donave</w:t>
      </w:r>
      <w:r w:rsidR="00016DB8" w:rsidRPr="00545EC0">
        <w:rPr>
          <w:rFonts w:cs="Arial"/>
          <w:szCs w:val="20"/>
        </w:rPr>
        <w:t>,</w:t>
      </w:r>
      <w:r w:rsidRPr="00545EC0">
        <w:rPr>
          <w:rFonts w:cs="Arial"/>
          <w:szCs w:val="20"/>
        </w:rPr>
        <w:t xml:space="preserve"> enako kot v </w:t>
      </w:r>
      <w:r w:rsidRPr="00545EC0">
        <w:rPr>
          <w:rFonts w:cs="Arial"/>
        </w:rPr>
        <w:t>predhodnem načrtu upravljanja voda</w:t>
      </w:r>
      <w:r w:rsidR="00016DB8" w:rsidRPr="00545EC0">
        <w:rPr>
          <w:rFonts w:cs="Arial"/>
        </w:rPr>
        <w:t>,</w:t>
      </w:r>
      <w:r w:rsidRPr="00545EC0">
        <w:rPr>
          <w:rFonts w:cs="Arial"/>
          <w:szCs w:val="20"/>
        </w:rPr>
        <w:t xml:space="preserve"> okoli 15 % vodnih teles površinskih voda ni ogroženih zaradi prometnih poti. </w:t>
      </w:r>
    </w:p>
    <w:p w14:paraId="42AE8479" w14:textId="77777777" w:rsidR="00617285" w:rsidRPr="00545EC0" w:rsidRDefault="00617285" w:rsidP="00AD4FE7">
      <w:pPr>
        <w:tabs>
          <w:tab w:val="num" w:pos="567"/>
          <w:tab w:val="left" w:pos="9600"/>
        </w:tabs>
        <w:spacing w:before="120"/>
        <w:rPr>
          <w:rFonts w:cs="Arial"/>
          <w:szCs w:val="20"/>
        </w:rPr>
      </w:pPr>
      <w:r w:rsidRPr="00545EC0">
        <w:rPr>
          <w:rFonts w:cs="Arial"/>
          <w:szCs w:val="20"/>
        </w:rPr>
        <w:t xml:space="preserve">Primerjava ocenjenih podatkov o vrstah in jakostih obremenitev z oceno stanja vodnih teles površinskih voda kaže, da ni mogoče zanesljivo opredeliti pomembnih obremenitev zaradi incidentnih dogodkov.   </w:t>
      </w:r>
    </w:p>
    <w:p w14:paraId="3C1CFEC8" w14:textId="77777777" w:rsidR="00617285" w:rsidRPr="00545EC0" w:rsidRDefault="00617285" w:rsidP="00AD4FE7">
      <w:pPr>
        <w:pStyle w:val="podnaslov0"/>
      </w:pPr>
      <w:r w:rsidRPr="00545EC0">
        <w:lastRenderedPageBreak/>
        <w:t>Evidenca incidentnih onesnaženj</w:t>
      </w:r>
    </w:p>
    <w:p w14:paraId="3F671CEB" w14:textId="3CE13119" w:rsidR="00617285" w:rsidRPr="00545EC0" w:rsidRDefault="00617285" w:rsidP="00AD4FE7">
      <w:pPr>
        <w:rPr>
          <w:rFonts w:cs="Arial"/>
        </w:rPr>
      </w:pPr>
      <w:r w:rsidRPr="00545EC0">
        <w:rPr>
          <w:rFonts w:cs="Arial"/>
        </w:rPr>
        <w:t xml:space="preserve">Na podlagi podatkov iz evidence incidentnih onesnaženj, ki jo </w:t>
      </w:r>
      <w:r w:rsidR="00251748" w:rsidRPr="00545EC0">
        <w:rPr>
          <w:rFonts w:cs="Arial"/>
        </w:rPr>
        <w:t xml:space="preserve">vodi Drava vodnogospodarsko podjetje </w:t>
      </w:r>
      <w:r w:rsidRPr="00545EC0">
        <w:rPr>
          <w:rFonts w:cs="Arial"/>
        </w:rPr>
        <w:t xml:space="preserve">Ptuj, je mogoče ugotoviti, da je na VO Donave, enako kot v predhodnem načrtu upravljanja voda, najpogosteje evidentirano incidentno onesnaženje zaradi </w:t>
      </w:r>
      <w:r w:rsidR="00E634B5" w:rsidRPr="00545EC0">
        <w:rPr>
          <w:rFonts w:cs="Arial"/>
        </w:rPr>
        <w:t xml:space="preserve">izlivov </w:t>
      </w:r>
      <w:r w:rsidRPr="00545EC0">
        <w:rPr>
          <w:rFonts w:cs="Arial"/>
        </w:rPr>
        <w:t>naftnih derivatov. Sledijo mu onesnaževanje zaradi nesreč na območju naprav, onesnaževanje zaradi incidentnih dogodkov pri izvajanju kmetijske dejavnosti (kot npr. izlitje gnojevke) in incidentni dogodki pri odvajanju in čiščenju komunalne odpadne vode (kot npr. okvara na razbremenilnem objektu, izpad delovanja KČN). Največ incidentnih onesnaženj je evidentiranih na porečju Drave (</w:t>
      </w:r>
      <w:r w:rsidR="007804BE" w:rsidRPr="00545EC0">
        <w:rPr>
          <w:rFonts w:cs="Arial"/>
        </w:rPr>
        <w:fldChar w:fldCharType="begin"/>
      </w:r>
      <w:r w:rsidR="007804BE" w:rsidRPr="00545EC0">
        <w:rPr>
          <w:rFonts w:cs="Arial"/>
        </w:rPr>
        <w:instrText xml:space="preserve"> REF _Ref84330318 \h </w:instrText>
      </w:r>
      <w:r w:rsidR="00F37A91" w:rsidRPr="00545EC0">
        <w:rPr>
          <w:rFonts w:cs="Arial"/>
        </w:rPr>
        <w:instrText xml:space="preserve"> \* MERGEFORMAT </w:instrText>
      </w:r>
      <w:r w:rsidR="007804BE" w:rsidRPr="00545EC0">
        <w:rPr>
          <w:rFonts w:cs="Arial"/>
        </w:rPr>
      </w:r>
      <w:r w:rsidR="007804BE" w:rsidRPr="00545EC0">
        <w:rPr>
          <w:rFonts w:cs="Arial"/>
        </w:rPr>
        <w:fldChar w:fldCharType="separate"/>
      </w:r>
      <w:r w:rsidR="002F3E43" w:rsidRPr="00545EC0">
        <w:rPr>
          <w:rFonts w:cs="Arial"/>
          <w:bCs/>
          <w:szCs w:val="20"/>
          <w:lang w:eastAsia="ja-JP"/>
        </w:rPr>
        <w:t xml:space="preserve">Slika </w:t>
      </w:r>
      <w:r w:rsidR="002F3E43">
        <w:rPr>
          <w:rFonts w:cs="Arial"/>
          <w:bCs/>
          <w:noProof/>
          <w:szCs w:val="20"/>
          <w:lang w:eastAsia="ja-JP"/>
        </w:rPr>
        <w:t>2</w:t>
      </w:r>
      <w:r w:rsidR="002F3E43" w:rsidRPr="00545EC0">
        <w:rPr>
          <w:rFonts w:cs="Arial"/>
          <w:bCs/>
          <w:noProof/>
          <w:szCs w:val="20"/>
          <w:lang w:eastAsia="ja-JP"/>
        </w:rPr>
        <w:noBreakHyphen/>
      </w:r>
      <w:r w:rsidR="002F3E43">
        <w:rPr>
          <w:rFonts w:cs="Arial"/>
          <w:bCs/>
          <w:noProof/>
          <w:szCs w:val="20"/>
          <w:lang w:eastAsia="ja-JP"/>
        </w:rPr>
        <w:t>9</w:t>
      </w:r>
      <w:r w:rsidR="007804BE" w:rsidRPr="00545EC0">
        <w:rPr>
          <w:rFonts w:cs="Arial"/>
        </w:rPr>
        <w:fldChar w:fldCharType="end"/>
      </w:r>
      <w:r w:rsidRPr="00545EC0">
        <w:rPr>
          <w:rFonts w:cs="Arial"/>
        </w:rPr>
        <w:t>).</w:t>
      </w:r>
    </w:p>
    <w:p w14:paraId="71CD2A2D" w14:textId="77777777" w:rsidR="00617285" w:rsidRPr="00545EC0" w:rsidRDefault="00617285" w:rsidP="00AD4FE7">
      <w:pPr>
        <w:rPr>
          <w:rFonts w:cs="Arial"/>
          <w:sz w:val="24"/>
        </w:rPr>
      </w:pPr>
    </w:p>
    <w:p w14:paraId="66D7F323" w14:textId="310175B5" w:rsidR="00617285" w:rsidRPr="00545EC0" w:rsidRDefault="00A107B8" w:rsidP="00AD4FE7">
      <w:pPr>
        <w:rPr>
          <w:rFonts w:cs="Arial"/>
          <w:sz w:val="24"/>
        </w:rPr>
      </w:pPr>
      <w:r w:rsidRPr="00545EC0">
        <w:rPr>
          <w:rFonts w:cs="Arial"/>
          <w:noProof/>
          <w:sz w:val="24"/>
        </w:rPr>
        <w:drawing>
          <wp:inline distT="0" distB="0" distL="0" distR="0" wp14:anchorId="78E03693" wp14:editId="7C856AEA">
            <wp:extent cx="5724525" cy="3218606"/>
            <wp:effectExtent l="0" t="0" r="0" b="127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49512" cy="3232655"/>
                    </a:xfrm>
                    <a:prstGeom prst="rect">
                      <a:avLst/>
                    </a:prstGeom>
                    <a:noFill/>
                  </pic:spPr>
                </pic:pic>
              </a:graphicData>
            </a:graphic>
          </wp:inline>
        </w:drawing>
      </w:r>
    </w:p>
    <w:p w14:paraId="05976A0C" w14:textId="012B2B30" w:rsidR="00617285" w:rsidRPr="00545EC0" w:rsidRDefault="00617285" w:rsidP="00AD4FE7">
      <w:pPr>
        <w:overflowPunct/>
        <w:autoSpaceDE/>
        <w:autoSpaceDN/>
        <w:adjustRightInd/>
        <w:textAlignment w:val="auto"/>
        <w:rPr>
          <w:rFonts w:cs="Arial"/>
          <w:bCs/>
          <w:szCs w:val="20"/>
          <w:lang w:eastAsia="ja-JP"/>
        </w:rPr>
      </w:pPr>
      <w:bookmarkStart w:id="175" w:name="_Ref84330318"/>
      <w:r w:rsidRPr="00545EC0">
        <w:rPr>
          <w:rFonts w:cs="Arial"/>
          <w:bCs/>
          <w:szCs w:val="20"/>
          <w:lang w:eastAsia="ja-JP"/>
        </w:rPr>
        <w:t xml:space="preserve">Slika </w:t>
      </w:r>
      <w:r w:rsidR="00396E1E" w:rsidRPr="00545EC0">
        <w:rPr>
          <w:rFonts w:cs="Arial"/>
          <w:bCs/>
          <w:szCs w:val="20"/>
          <w:lang w:eastAsia="ja-JP"/>
        </w:rPr>
        <w:fldChar w:fldCharType="begin"/>
      </w:r>
      <w:r w:rsidR="00396E1E" w:rsidRPr="00545EC0">
        <w:rPr>
          <w:rFonts w:cs="Arial"/>
          <w:bCs/>
          <w:szCs w:val="20"/>
          <w:lang w:eastAsia="ja-JP"/>
        </w:rPr>
        <w:instrText xml:space="preserve"> STYLEREF 1 \s </w:instrText>
      </w:r>
      <w:r w:rsidR="00396E1E" w:rsidRPr="00545EC0">
        <w:rPr>
          <w:rFonts w:cs="Arial"/>
          <w:bCs/>
          <w:szCs w:val="20"/>
          <w:lang w:eastAsia="ja-JP"/>
        </w:rPr>
        <w:fldChar w:fldCharType="separate"/>
      </w:r>
      <w:r w:rsidR="002F3E43">
        <w:rPr>
          <w:rFonts w:cs="Arial"/>
          <w:bCs/>
          <w:noProof/>
          <w:szCs w:val="20"/>
          <w:lang w:eastAsia="ja-JP"/>
        </w:rPr>
        <w:t>2</w:t>
      </w:r>
      <w:r w:rsidR="00396E1E" w:rsidRPr="00545EC0">
        <w:rPr>
          <w:rFonts w:cs="Arial"/>
          <w:bCs/>
          <w:szCs w:val="20"/>
          <w:lang w:eastAsia="ja-JP"/>
        </w:rPr>
        <w:fldChar w:fldCharType="end"/>
      </w:r>
      <w:r w:rsidR="00396E1E" w:rsidRPr="00545EC0">
        <w:rPr>
          <w:rFonts w:cs="Arial"/>
          <w:bCs/>
          <w:szCs w:val="20"/>
          <w:lang w:eastAsia="ja-JP"/>
        </w:rPr>
        <w:noBreakHyphen/>
      </w:r>
      <w:r w:rsidR="00396E1E" w:rsidRPr="00545EC0">
        <w:rPr>
          <w:rFonts w:cs="Arial"/>
          <w:bCs/>
          <w:szCs w:val="20"/>
          <w:lang w:eastAsia="ja-JP"/>
        </w:rPr>
        <w:fldChar w:fldCharType="begin"/>
      </w:r>
      <w:r w:rsidR="00396E1E" w:rsidRPr="00545EC0">
        <w:rPr>
          <w:rFonts w:cs="Arial"/>
          <w:bCs/>
          <w:szCs w:val="20"/>
          <w:lang w:eastAsia="ja-JP"/>
        </w:rPr>
        <w:instrText xml:space="preserve"> SEQ Slika \* ARABIC \s 1 </w:instrText>
      </w:r>
      <w:r w:rsidR="00396E1E" w:rsidRPr="00545EC0">
        <w:rPr>
          <w:rFonts w:cs="Arial"/>
          <w:bCs/>
          <w:szCs w:val="20"/>
          <w:lang w:eastAsia="ja-JP"/>
        </w:rPr>
        <w:fldChar w:fldCharType="separate"/>
      </w:r>
      <w:r w:rsidR="002F3E43">
        <w:rPr>
          <w:rFonts w:cs="Arial"/>
          <w:bCs/>
          <w:noProof/>
          <w:szCs w:val="20"/>
          <w:lang w:eastAsia="ja-JP"/>
        </w:rPr>
        <w:t>9</w:t>
      </w:r>
      <w:r w:rsidR="00396E1E" w:rsidRPr="00545EC0">
        <w:rPr>
          <w:rFonts w:cs="Arial"/>
          <w:bCs/>
          <w:szCs w:val="20"/>
          <w:lang w:eastAsia="ja-JP"/>
        </w:rPr>
        <w:fldChar w:fldCharType="end"/>
      </w:r>
      <w:bookmarkEnd w:id="175"/>
      <w:r w:rsidRPr="00545EC0">
        <w:rPr>
          <w:rFonts w:cs="Arial"/>
          <w:bCs/>
          <w:szCs w:val="20"/>
          <w:lang w:eastAsia="ja-JP"/>
        </w:rPr>
        <w:t xml:space="preserve">: Število incidentnih dogodkov glede na posamezne kategorije po povodjih VO Donave </w:t>
      </w:r>
    </w:p>
    <w:p w14:paraId="1CCC0A28" w14:textId="77777777" w:rsidR="00617285" w:rsidRPr="00545EC0" w:rsidRDefault="00617285" w:rsidP="00AD4FE7">
      <w:pPr>
        <w:rPr>
          <w:lang w:eastAsia="ja-JP"/>
        </w:rPr>
      </w:pPr>
    </w:p>
    <w:p w14:paraId="05B0D12F" w14:textId="4BF42317" w:rsidR="00617285" w:rsidRPr="00545EC0" w:rsidRDefault="00617285" w:rsidP="00AD4FE7">
      <w:pPr>
        <w:rPr>
          <w:rFonts w:cs="Arial"/>
          <w:sz w:val="24"/>
          <w:szCs w:val="22"/>
        </w:rPr>
      </w:pPr>
      <w:r w:rsidRPr="00545EC0">
        <w:rPr>
          <w:rFonts w:cs="Arial"/>
          <w:szCs w:val="20"/>
        </w:rPr>
        <w:t xml:space="preserve">Primerjava ocenjenih podatkov o vrstah in jakostih obremenitev z oceno stanja vodnih teles površinskih voda kaže, da ni mogoče zanesljivo opredeliti pomembnih obremenitev zaradi incidentnih dogodkov.   </w:t>
      </w:r>
    </w:p>
    <w:p w14:paraId="07BC4ECF" w14:textId="77777777" w:rsidR="0025492B" w:rsidRPr="00545EC0" w:rsidRDefault="0025492B" w:rsidP="0025492B">
      <w:pPr>
        <w:rPr>
          <w:b/>
          <w:i/>
        </w:rPr>
      </w:pPr>
    </w:p>
    <w:p w14:paraId="765B7D7B" w14:textId="557BC188" w:rsidR="0025492B" w:rsidRPr="00545EC0" w:rsidRDefault="0025492B" w:rsidP="0025492B">
      <w:pPr>
        <w:rPr>
          <w:b/>
        </w:rPr>
      </w:pPr>
      <w:r w:rsidRPr="00545EC0">
        <w:rPr>
          <w:b/>
        </w:rPr>
        <w:t>Prikaz obremenitev vodnih teles podzemnih voda</w:t>
      </w:r>
    </w:p>
    <w:p w14:paraId="6F343B1B" w14:textId="340536E5" w:rsidR="00A90F9B" w:rsidRPr="00545EC0" w:rsidRDefault="002D5946" w:rsidP="003122F4">
      <w:pPr>
        <w:tabs>
          <w:tab w:val="left" w:pos="3885"/>
        </w:tabs>
        <w:rPr>
          <w:b/>
          <w:i/>
        </w:rPr>
      </w:pPr>
      <w:r w:rsidRPr="00545EC0">
        <w:rPr>
          <w:b/>
          <w:i/>
        </w:rPr>
        <w:tab/>
      </w:r>
    </w:p>
    <w:p w14:paraId="5E9E949C" w14:textId="46C93E39" w:rsidR="00AD4FE7" w:rsidRPr="00545EC0" w:rsidRDefault="00AD4FE7" w:rsidP="0025492B">
      <w:pPr>
        <w:rPr>
          <w:rFonts w:cs="Arial"/>
          <w:szCs w:val="20"/>
        </w:rPr>
      </w:pPr>
      <w:r w:rsidRPr="00545EC0">
        <w:rPr>
          <w:rFonts w:cs="Arial"/>
          <w:szCs w:val="20"/>
        </w:rPr>
        <w:t xml:space="preserve">Razlitja snovi ali nevarnih snovi lahko vključujejo zelo raznolike količine in vrste onesnaževal. </w:t>
      </w:r>
      <w:r w:rsidR="00E634B5" w:rsidRPr="00545EC0">
        <w:rPr>
          <w:rFonts w:cs="Arial"/>
          <w:szCs w:val="20"/>
        </w:rPr>
        <w:t xml:space="preserve">Razlita </w:t>
      </w:r>
      <w:r w:rsidRPr="00545EC0">
        <w:rPr>
          <w:rFonts w:cs="Arial"/>
          <w:szCs w:val="20"/>
        </w:rPr>
        <w:t>onesnaževal</w:t>
      </w:r>
      <w:r w:rsidR="00E634B5" w:rsidRPr="00545EC0">
        <w:rPr>
          <w:rFonts w:cs="Arial"/>
          <w:szCs w:val="20"/>
        </w:rPr>
        <w:t>a</w:t>
      </w:r>
      <w:r w:rsidRPr="00545EC0">
        <w:rPr>
          <w:rFonts w:cs="Arial"/>
          <w:szCs w:val="20"/>
        </w:rPr>
        <w:t xml:space="preserve"> se lahko še desetletja zadržuje v </w:t>
      </w:r>
      <w:r w:rsidR="00E634B5" w:rsidRPr="00545EC0">
        <w:rPr>
          <w:rFonts w:cs="Arial"/>
          <w:szCs w:val="20"/>
        </w:rPr>
        <w:t xml:space="preserve">tleh </w:t>
      </w:r>
      <w:r w:rsidRPr="00545EC0">
        <w:rPr>
          <w:rFonts w:cs="Arial"/>
          <w:szCs w:val="20"/>
        </w:rPr>
        <w:t xml:space="preserve">in po malem sprošča v </w:t>
      </w:r>
      <w:r w:rsidR="00E634B5" w:rsidRPr="00545EC0">
        <w:rPr>
          <w:rFonts w:cs="Arial"/>
          <w:szCs w:val="20"/>
        </w:rPr>
        <w:t xml:space="preserve">podzemne vode v </w:t>
      </w:r>
      <w:r w:rsidRPr="00545EC0">
        <w:rPr>
          <w:rFonts w:cs="Arial"/>
          <w:szCs w:val="20"/>
        </w:rPr>
        <w:t xml:space="preserve">določenih hidroloških razmerah. Onesnaženja ob nesrečah tako ostajajo del ozadja v kakovosti podzemne vode, čeprav pod mejo določanja, in prispevajo h kumulativni obremenitvi </w:t>
      </w:r>
      <w:r w:rsidR="00E634B5" w:rsidRPr="00545EC0">
        <w:rPr>
          <w:rFonts w:cs="Arial"/>
          <w:szCs w:val="20"/>
        </w:rPr>
        <w:t>vodnega</w:t>
      </w:r>
      <w:r w:rsidRPr="00545EC0">
        <w:rPr>
          <w:rFonts w:cs="Arial"/>
          <w:szCs w:val="20"/>
        </w:rPr>
        <w:t xml:space="preserve"> telesa podzemne vode. Zaradi tega je zelo pomembno, da se čim natančneje izdela bilanca razlitega onesnaževala takoj po nesreči in nato čim bolj natančno spremlja potek njegove razgradnje in dejanskega vpliva</w:t>
      </w:r>
      <w:r w:rsidR="00E634B5" w:rsidRPr="00545EC0">
        <w:rPr>
          <w:rFonts w:cs="Arial"/>
          <w:szCs w:val="20"/>
        </w:rPr>
        <w:t xml:space="preserve"> na stanje podzemne vode</w:t>
      </w:r>
      <w:r w:rsidRPr="00545EC0">
        <w:rPr>
          <w:rFonts w:cs="Arial"/>
          <w:szCs w:val="20"/>
        </w:rPr>
        <w:t xml:space="preserve">. </w:t>
      </w:r>
    </w:p>
    <w:p w14:paraId="04CFB2A4" w14:textId="77777777" w:rsidR="0025492B" w:rsidRPr="00545EC0" w:rsidRDefault="0025492B" w:rsidP="0025492B">
      <w:pPr>
        <w:rPr>
          <w:rFonts w:cs="Arial"/>
          <w:szCs w:val="20"/>
        </w:rPr>
      </w:pPr>
    </w:p>
    <w:p w14:paraId="04B80EED" w14:textId="3FDC7601" w:rsidR="00AD4FE7" w:rsidRPr="00545EC0" w:rsidRDefault="00AD4FE7" w:rsidP="00AD4FE7">
      <w:r w:rsidRPr="00545EC0">
        <w:t>Pri onesnaženjih se velikokrat ugotovi prisotnost onesnaženj še iz drugih, starih ali celo do takrat neznanih virov.</w:t>
      </w:r>
      <w:r w:rsidR="00453682" w:rsidRPr="00545EC0">
        <w:t xml:space="preserve"> Da preprečimo onesnaževanje </w:t>
      </w:r>
      <w:r w:rsidR="00E634B5" w:rsidRPr="00545EC0">
        <w:t xml:space="preserve"> podzemne vode in zajetij za pitno vodo</w:t>
      </w:r>
      <w:r w:rsidR="00453682" w:rsidRPr="00545EC0">
        <w:t>, je pomembno natančno slediti onesanževanju in bilancam razlitij tudi izven vodovarstvenih območij (Prestor in sod., 2020a).</w:t>
      </w:r>
    </w:p>
    <w:p w14:paraId="41CC6AC0" w14:textId="77777777" w:rsidR="00A90F9B" w:rsidRPr="00545EC0" w:rsidRDefault="00A90F9B" w:rsidP="00AD4FE7"/>
    <w:p w14:paraId="1BFAE35D" w14:textId="77777777" w:rsidR="00453682" w:rsidRPr="00545EC0" w:rsidRDefault="00453682" w:rsidP="00AD4FE7"/>
    <w:p w14:paraId="4E1D5282" w14:textId="77777777" w:rsidR="0076195F" w:rsidRPr="00545EC0" w:rsidRDefault="0076195F" w:rsidP="00AD4FE7">
      <w:pPr>
        <w:pStyle w:val="Naslov4"/>
        <w:rPr>
          <w:color w:val="auto"/>
          <w:lang w:val="sl-SI"/>
        </w:rPr>
      </w:pPr>
      <w:r w:rsidRPr="00545EC0">
        <w:rPr>
          <w:color w:val="auto"/>
          <w:lang w:val="sl-SI"/>
        </w:rPr>
        <w:lastRenderedPageBreak/>
        <w:t>Razpršeni viri zaradi gozdarstva</w:t>
      </w:r>
    </w:p>
    <w:p w14:paraId="68F33305" w14:textId="2FBFCD8E" w:rsidR="00617285" w:rsidRPr="00545EC0" w:rsidRDefault="00617285" w:rsidP="00617285">
      <w:pPr>
        <w:spacing w:line="276" w:lineRule="auto"/>
      </w:pPr>
      <w:r w:rsidRPr="00545EC0">
        <w:t xml:space="preserve">Slovenija spada med najbolj gozdnate države v Evropi. Gozdovi pokrivajo okoli </w:t>
      </w:r>
      <w:r w:rsidR="00C20305">
        <w:t>58</w:t>
      </w:r>
      <w:r w:rsidRPr="00545EC0">
        <w:t xml:space="preserve"> % Slovenije. Pretežni del slovenskih gozdov je v območju bukovih, jelovo-bukovih in bukovo-hrastovih gozdov (70 %), ki imajo razmeroma veliko proizvodno sposobnost (ZGS, 2019). V zadnjih nekaj letih se v slovenskih gozdovih poseka od 5,0 do 6,3 milijonov kubičnih metrov dreves letno, od tega 55 % do 60 % iglavcev. </w:t>
      </w:r>
    </w:p>
    <w:p w14:paraId="54F947FE" w14:textId="77777777" w:rsidR="00617285" w:rsidRPr="00545EC0" w:rsidRDefault="00617285" w:rsidP="00617285"/>
    <w:p w14:paraId="7A4BBACE" w14:textId="2FAA04E3" w:rsidR="00617285" w:rsidRPr="00545EC0" w:rsidRDefault="00617285" w:rsidP="00617285">
      <w:pPr>
        <w:pStyle w:val="Pripombabesedilo"/>
        <w:jc w:val="both"/>
      </w:pPr>
      <w:r w:rsidRPr="00545EC0">
        <w:t>Gozdarska dejavnost lahko vpliva na stanje voda oziroma na zgradbo in delovanje ekosistemov površinskih voda v primeru uporabe intenzivnih gozdarskih praks</w:t>
      </w:r>
      <w:r w:rsidR="002319DC">
        <w:rPr>
          <w:lang w:val="sl-SI"/>
        </w:rPr>
        <w:t xml:space="preserve">. </w:t>
      </w:r>
      <w:r w:rsidRPr="00545EC0">
        <w:t xml:space="preserve">V teh primerih </w:t>
      </w:r>
      <w:r w:rsidR="002319DC">
        <w:rPr>
          <w:lang w:val="sl-SI"/>
        </w:rPr>
        <w:t xml:space="preserve">lahko </w:t>
      </w:r>
      <w:r w:rsidRPr="00545EC0">
        <w:t xml:space="preserve">gozdarstvo predstavlja razpršeno obremenitev in povzroča povečan vnos hranil, organskih in suspendiranih snovi katerih posledica je povečana </w:t>
      </w:r>
      <w:r w:rsidR="00E634B5" w:rsidRPr="00545EC0">
        <w:rPr>
          <w:lang w:val="sl-SI"/>
        </w:rPr>
        <w:t>motnost</w:t>
      </w:r>
      <w:r w:rsidRPr="00545EC0">
        <w:t>, evtrofikacija in zamuljenost vodnih ekosistemov</w:t>
      </w:r>
      <w:r w:rsidR="002319DC">
        <w:rPr>
          <w:lang w:val="sl-SI"/>
        </w:rPr>
        <w:t>.</w:t>
      </w:r>
      <w:r w:rsidRPr="00545EC0">
        <w:t xml:space="preserve"> </w:t>
      </w:r>
    </w:p>
    <w:p w14:paraId="464A6161" w14:textId="77777777" w:rsidR="00617285" w:rsidRPr="00545EC0" w:rsidRDefault="00617285" w:rsidP="00617285"/>
    <w:p w14:paraId="2E869956" w14:textId="0864BBA9" w:rsidR="00617285" w:rsidRPr="00545EC0" w:rsidRDefault="00617285" w:rsidP="00617285">
      <w:r w:rsidRPr="00545EC0">
        <w:t xml:space="preserve">Temeljna dokumenta, ki urejata področje ravnanja in gospodarjenja z gozdovi v Sloveniji sta </w:t>
      </w:r>
      <w:r w:rsidR="00F07473" w:rsidRPr="00545EC0">
        <w:t>z</w:t>
      </w:r>
      <w:r w:rsidRPr="00545EC0">
        <w:t xml:space="preserve">akon o gozdovih in Resolucija o nacionalnem gozdnem programu (ReNGP). Slednja določa, da se  gospodarjenje z gozdovi v Sloveniji izvaja po načelih trajnosti, sonaravnosti, več-namenskosti gozdov ter zagotavlja trajno ohranjanje gozdov in vseh njegovih funkcij. Pridobivanje lesa in raba gozda morata biti skladna s potenciali in kapacitetami gozdov, ki jih določa naravni razvoj gozdnih združb. </w:t>
      </w:r>
    </w:p>
    <w:p w14:paraId="7CB53C93" w14:textId="77777777" w:rsidR="00617285" w:rsidRPr="00545EC0" w:rsidRDefault="00617285" w:rsidP="00617285"/>
    <w:p w14:paraId="18081528" w14:textId="77777777" w:rsidR="002319DC" w:rsidRPr="00545EC0" w:rsidRDefault="00617285" w:rsidP="002319DC">
      <w:r w:rsidRPr="00545EC0">
        <w:t>Na podlagi razpoložljivih podatkov je ocenjeno, da gospodarjenje z gozdovi v Sloveniji ne povzroča pomembnih obremenit</w:t>
      </w:r>
      <w:r w:rsidR="005826F0" w:rsidRPr="00545EC0">
        <w:t>ev na stanje površinskih voda.</w:t>
      </w:r>
      <w:r w:rsidR="002319DC">
        <w:t xml:space="preserve"> V prihodnjih letih je smiselna</w:t>
      </w:r>
      <w:r w:rsidR="002319DC" w:rsidRPr="00601925">
        <w:t xml:space="preserve"> nadgradnja </w:t>
      </w:r>
      <w:r w:rsidR="002319DC">
        <w:t xml:space="preserve">razpoložljivih podatkov in </w:t>
      </w:r>
      <w:r w:rsidR="002319DC" w:rsidRPr="00601925">
        <w:t>znanj glede pozitivnih in negativnih vplivov</w:t>
      </w:r>
      <w:r w:rsidR="002319DC">
        <w:t xml:space="preserve"> </w:t>
      </w:r>
      <w:r w:rsidR="002319DC" w:rsidRPr="00601925">
        <w:t>gospodarjenja z gozdovi na upravljanje porečij, doseganje dobrega stanja voda ter glede izboljšanja odpornosti porečij na podnebne spremembe.</w:t>
      </w:r>
    </w:p>
    <w:p w14:paraId="66BF855C" w14:textId="6E0D872F" w:rsidR="00EE5E77" w:rsidRPr="00545EC0" w:rsidRDefault="00EE5E77" w:rsidP="00EE5E77"/>
    <w:p w14:paraId="7AAC45C0" w14:textId="77777777" w:rsidR="0076195F" w:rsidRPr="00545EC0" w:rsidRDefault="0076195F">
      <w:pPr>
        <w:pStyle w:val="Naslov3"/>
      </w:pPr>
      <w:bookmarkStart w:id="176" w:name="_Toc90261021"/>
      <w:r w:rsidRPr="00545EC0">
        <w:t>Popis emisij, izpustov in uhajanja prednostnih in prednostno nevarnih snovi</w:t>
      </w:r>
      <w:bookmarkEnd w:id="176"/>
    </w:p>
    <w:p w14:paraId="526E8A47" w14:textId="28BD8B00" w:rsidR="00617285" w:rsidRPr="00545EC0" w:rsidRDefault="00617285" w:rsidP="00617285">
      <w:pPr>
        <w:rPr>
          <w:rFonts w:cs="Arial"/>
        </w:rPr>
      </w:pPr>
      <w:r w:rsidRPr="00545EC0">
        <w:rPr>
          <w:rFonts w:cs="Arial"/>
        </w:rPr>
        <w:t>Popis emisij</w:t>
      </w:r>
      <w:r w:rsidR="002D5946" w:rsidRPr="00545EC0">
        <w:rPr>
          <w:rFonts w:cs="Arial"/>
        </w:rPr>
        <w:t>,</w:t>
      </w:r>
      <w:r w:rsidRPr="00545EC0">
        <w:rPr>
          <w:rFonts w:cs="Arial"/>
        </w:rPr>
        <w:t xml:space="preserve"> izpustov in uhajanj prednostnih in prednostno nevarnih snovi (v nadaljnjem besedilu: popis emisij) je pripravljen v skladu s predpisom, ki ureja podrobnejšo vsebino in način priprave načrta upravljanja voda. Za pripravo popisa emisij so uporabljeni podatki, pripravljeni za potrebe pregleda vplivov človekovega delovanja na stanje površinskih</w:t>
      </w:r>
      <w:r w:rsidR="002D5946" w:rsidRPr="00545EC0">
        <w:rPr>
          <w:rFonts w:cs="Arial"/>
        </w:rPr>
        <w:t xml:space="preserve"> voda</w:t>
      </w:r>
      <w:r w:rsidRPr="00545EC0">
        <w:rPr>
          <w:rFonts w:cs="Arial"/>
        </w:rPr>
        <w:t>.</w:t>
      </w:r>
    </w:p>
    <w:p w14:paraId="75BB9A02" w14:textId="77777777" w:rsidR="00617285" w:rsidRPr="00545EC0" w:rsidRDefault="00617285" w:rsidP="00617285">
      <w:pPr>
        <w:rPr>
          <w:rFonts w:cs="Arial"/>
        </w:rPr>
      </w:pPr>
    </w:p>
    <w:p w14:paraId="39104539" w14:textId="77777777" w:rsidR="00617285" w:rsidRPr="00545EC0" w:rsidRDefault="00617285" w:rsidP="00617285">
      <w:pPr>
        <w:rPr>
          <w:rFonts w:cs="Arial"/>
        </w:rPr>
      </w:pPr>
      <w:r w:rsidRPr="00545EC0">
        <w:rPr>
          <w:rFonts w:cs="Arial"/>
        </w:rPr>
        <w:t>Popis emisij je pripravljen z namenom spremljanja doseganja ciljev »postopno zmanjšanje onesnaževanja s prednostnimi snovmi« in »ustavitev ali postopna odprava emisij, odvajanja in uhajanja prednostnih nevarnih snovi«.</w:t>
      </w:r>
    </w:p>
    <w:p w14:paraId="403C7758" w14:textId="77777777" w:rsidR="00617285" w:rsidRPr="00545EC0" w:rsidRDefault="00617285" w:rsidP="00617285">
      <w:pPr>
        <w:rPr>
          <w:rFonts w:cs="Arial"/>
        </w:rPr>
      </w:pPr>
    </w:p>
    <w:p w14:paraId="6ABB4A6D" w14:textId="44206EA9" w:rsidR="00617285" w:rsidRPr="00545EC0" w:rsidRDefault="00617285" w:rsidP="00617285">
      <w:pPr>
        <w:rPr>
          <w:rFonts w:cs="Arial"/>
        </w:rPr>
      </w:pPr>
      <w:r w:rsidRPr="00545EC0">
        <w:rPr>
          <w:rFonts w:cs="Arial"/>
        </w:rPr>
        <w:t>Za pripravo popisa emisij so bili obravnavani viri onesnaženja ločeno na VO Donava in VO Jadransko morje. Za obravnavana onesnaževala, ki spadajo med prednostne in prednostno nevarne snovi ter posebna onesnaževala, so ocenjene s</w:t>
      </w:r>
      <w:r w:rsidRPr="00545EC0">
        <w:rPr>
          <w:rFonts w:cs="Tahoma"/>
          <w:bCs/>
          <w:szCs w:val="20"/>
        </w:rPr>
        <w:t>premembe letne količine onesnaževal. Ob</w:t>
      </w:r>
      <w:r w:rsidRPr="00545EC0">
        <w:rPr>
          <w:rFonts w:cs="Arial"/>
        </w:rPr>
        <w:t xml:space="preserve"> upoštevanju podatkov  za obdobje 2013 – 2017 so spremembe letnih količin onesnaževal opredeljene kot:</w:t>
      </w:r>
    </w:p>
    <w:p w14:paraId="2E23212C" w14:textId="77777777" w:rsidR="00617285" w:rsidRPr="00545EC0" w:rsidRDefault="00617285" w:rsidP="00DD37C5">
      <w:pPr>
        <w:numPr>
          <w:ilvl w:val="0"/>
          <w:numId w:val="42"/>
        </w:numPr>
        <w:tabs>
          <w:tab w:val="center" w:pos="426"/>
        </w:tabs>
        <w:ind w:left="426" w:hanging="426"/>
        <w:rPr>
          <w:rFonts w:cs="Arial"/>
        </w:rPr>
      </w:pPr>
      <w:r w:rsidRPr="00545EC0">
        <w:rPr>
          <w:rFonts w:cs="Arial"/>
        </w:rPr>
        <w:t xml:space="preserve">ni spremembe, če se letne količine onesnaževal na nivoju VO Donave, upoštevajoč vsa leta v obdobju 2013–2017, ne spreminjajo </w:t>
      </w:r>
    </w:p>
    <w:p w14:paraId="14BC6C34" w14:textId="77777777" w:rsidR="00617285" w:rsidRPr="00545EC0" w:rsidRDefault="00617285" w:rsidP="00DD37C5">
      <w:pPr>
        <w:numPr>
          <w:ilvl w:val="0"/>
          <w:numId w:val="42"/>
        </w:numPr>
        <w:tabs>
          <w:tab w:val="center" w:pos="426"/>
        </w:tabs>
        <w:ind w:left="426" w:hanging="426"/>
        <w:rPr>
          <w:rFonts w:cs="Arial"/>
        </w:rPr>
      </w:pPr>
      <w:r w:rsidRPr="00545EC0">
        <w:rPr>
          <w:rFonts w:cs="Arial"/>
        </w:rPr>
        <w:t>padajoč, če je ocenjeno da se letne količine onesnaževal na nivoju VO Donave, upoštevajoč vsa leta v obdobju 2013–2017, zmanjšujejo</w:t>
      </w:r>
    </w:p>
    <w:p w14:paraId="1B8FCADA" w14:textId="77777777" w:rsidR="00617285" w:rsidRPr="00545EC0" w:rsidRDefault="00617285" w:rsidP="00DD37C5">
      <w:pPr>
        <w:numPr>
          <w:ilvl w:val="0"/>
          <w:numId w:val="42"/>
        </w:numPr>
        <w:tabs>
          <w:tab w:val="center" w:pos="426"/>
        </w:tabs>
        <w:ind w:left="426" w:hanging="426"/>
        <w:rPr>
          <w:rFonts w:cs="Arial"/>
        </w:rPr>
      </w:pPr>
      <w:r w:rsidRPr="00545EC0">
        <w:rPr>
          <w:rFonts w:cs="Arial"/>
        </w:rPr>
        <w:t>nezadostno število podatkov, če so za oceno spremembe letnih količin onesnaževal na voljo  podatki za manj kot tri leta v obdobju od 2013-2017</w:t>
      </w:r>
    </w:p>
    <w:p w14:paraId="7665DD5E" w14:textId="262570A3" w:rsidR="00617285" w:rsidRPr="00545EC0" w:rsidRDefault="00617285" w:rsidP="00DD37C5">
      <w:pPr>
        <w:numPr>
          <w:ilvl w:val="0"/>
          <w:numId w:val="42"/>
        </w:numPr>
        <w:tabs>
          <w:tab w:val="center" w:pos="426"/>
        </w:tabs>
        <w:ind w:left="426" w:hanging="426"/>
        <w:rPr>
          <w:rFonts w:cs="Arial"/>
        </w:rPr>
      </w:pPr>
      <w:r w:rsidRPr="00545EC0">
        <w:rPr>
          <w:rFonts w:cs="Arial"/>
        </w:rPr>
        <w:t>ni podatka, če se podatki o letnih količinah onesnaževal ne zbirajo ali jih na podlagi razpoložljivih podatkov ni mogoče oceniti</w:t>
      </w:r>
      <w:r w:rsidR="000A63D5" w:rsidRPr="00545EC0">
        <w:rPr>
          <w:rFonts w:cs="Arial"/>
        </w:rPr>
        <w:t>.</w:t>
      </w:r>
      <w:r w:rsidRPr="00545EC0">
        <w:rPr>
          <w:rFonts w:cs="Arial"/>
        </w:rPr>
        <w:t xml:space="preserve"> </w:t>
      </w:r>
    </w:p>
    <w:p w14:paraId="3CEA46A0" w14:textId="77777777" w:rsidR="00617285" w:rsidRPr="00545EC0" w:rsidRDefault="00617285" w:rsidP="00617285">
      <w:pPr>
        <w:overflowPunct/>
        <w:autoSpaceDE/>
        <w:adjustRightInd/>
        <w:spacing w:line="276" w:lineRule="auto"/>
        <w:contextualSpacing/>
        <w:textAlignment w:val="auto"/>
        <w:rPr>
          <w:rFonts w:cs="Arial"/>
        </w:rPr>
      </w:pPr>
    </w:p>
    <w:p w14:paraId="02A43C20" w14:textId="5E6C26B4" w:rsidR="00617285" w:rsidRPr="00545EC0" w:rsidRDefault="00617285" w:rsidP="00617285">
      <w:pPr>
        <w:overflowPunct/>
        <w:autoSpaceDE/>
        <w:adjustRightInd/>
        <w:spacing w:line="276" w:lineRule="auto"/>
        <w:contextualSpacing/>
        <w:textAlignment w:val="auto"/>
        <w:rPr>
          <w:rFonts w:cs="Arial"/>
        </w:rPr>
      </w:pPr>
      <w:r w:rsidRPr="00545EC0">
        <w:rPr>
          <w:rFonts w:cs="Arial"/>
        </w:rPr>
        <w:lastRenderedPageBreak/>
        <w:t>Za posamezne parametre je v nadaljevanju preverjeno ali ocena kemijskega in ekološkega stanja površinskih voda, iz poglavja 3 tega načrta upravljanja voda, kaže na preseganje okoljskega standarda kakovosti (</w:t>
      </w:r>
      <w:r w:rsidR="00A107B8" w:rsidRPr="00545EC0">
        <w:rPr>
          <w:rFonts w:cs="Arial"/>
        </w:rPr>
        <w:fldChar w:fldCharType="begin"/>
      </w:r>
      <w:r w:rsidR="00A107B8" w:rsidRPr="00545EC0">
        <w:rPr>
          <w:rFonts w:cs="Arial"/>
        </w:rPr>
        <w:instrText xml:space="preserve"> REF _Ref84313079 \h </w:instrText>
      </w:r>
      <w:r w:rsidR="003122F4" w:rsidRPr="00545EC0">
        <w:rPr>
          <w:rFonts w:cs="Arial"/>
        </w:rPr>
        <w:instrText xml:space="preserve"> \* MERGEFORMAT </w:instrText>
      </w:r>
      <w:r w:rsidR="00A107B8" w:rsidRPr="00545EC0">
        <w:rPr>
          <w:rFonts w:cs="Arial"/>
        </w:rPr>
      </w:r>
      <w:r w:rsidR="00A107B8" w:rsidRPr="00545EC0">
        <w:rPr>
          <w:rFonts w:cs="Arial"/>
        </w:rPr>
        <w:fldChar w:fldCharType="separate"/>
      </w:r>
      <w:r w:rsidR="002F3E43" w:rsidRPr="00545EC0">
        <w:t xml:space="preserve">Preglednica </w:t>
      </w:r>
      <w:r w:rsidR="002F3E43">
        <w:rPr>
          <w:noProof/>
        </w:rPr>
        <w:t>2</w:t>
      </w:r>
      <w:r w:rsidR="002F3E43" w:rsidRPr="00545EC0">
        <w:rPr>
          <w:noProof/>
        </w:rPr>
        <w:noBreakHyphen/>
      </w:r>
      <w:r w:rsidR="002F3E43">
        <w:rPr>
          <w:noProof/>
        </w:rPr>
        <w:t>19</w:t>
      </w:r>
      <w:r w:rsidR="00A107B8" w:rsidRPr="00545EC0">
        <w:rPr>
          <w:rFonts w:cs="Arial"/>
        </w:rPr>
        <w:fldChar w:fldCharType="end"/>
      </w:r>
      <w:r w:rsidR="00FD30E8" w:rsidRPr="00545EC0">
        <w:rPr>
          <w:rFonts w:cs="Arial"/>
        </w:rPr>
        <w:t>)</w:t>
      </w:r>
      <w:r w:rsidR="00A107B8" w:rsidRPr="00545EC0">
        <w:rPr>
          <w:rFonts w:cs="Arial"/>
        </w:rPr>
        <w:t>.</w:t>
      </w:r>
    </w:p>
    <w:p w14:paraId="71A33C7D" w14:textId="77777777" w:rsidR="00617285" w:rsidRPr="00545EC0" w:rsidRDefault="00617285" w:rsidP="00617285">
      <w:pPr>
        <w:overflowPunct/>
        <w:autoSpaceDE/>
        <w:adjustRightInd/>
        <w:spacing w:line="276" w:lineRule="auto"/>
        <w:contextualSpacing/>
        <w:textAlignment w:val="auto"/>
        <w:rPr>
          <w:rFonts w:cs="Arial"/>
        </w:rPr>
      </w:pPr>
    </w:p>
    <w:p w14:paraId="1E546F57" w14:textId="25D9F58A" w:rsidR="00617285" w:rsidRPr="00545EC0" w:rsidRDefault="00617285" w:rsidP="00617285">
      <w:pPr>
        <w:rPr>
          <w:rFonts w:cs="Arial"/>
        </w:rPr>
      </w:pPr>
      <w:r w:rsidRPr="00545EC0">
        <w:rPr>
          <w:rFonts w:cs="Arial"/>
        </w:rPr>
        <w:t>Ocena emisij je pripravljena na podlagi merjenih podatkov in na podlagi podatkov iz strokovne literature. Pri tem je potrebno poudariti, da imajo ocene vnosov pripravljene ob upoštevanju podatkov meritev, višjo stopnjo zaupanja v primerjavi z vnosi izračunanimi na podlagi podatkov iz strokovne literature. Ocena vnosov je pripravljena na podlagi merjenih podatkov in zajema razpoložljive podatke o emisij</w:t>
      </w:r>
      <w:r w:rsidR="00E61FC5" w:rsidRPr="00545EC0">
        <w:rPr>
          <w:rFonts w:cs="Arial"/>
        </w:rPr>
        <w:t>ah</w:t>
      </w:r>
      <w:r w:rsidRPr="00545EC0">
        <w:rPr>
          <w:rFonts w:cs="Arial"/>
        </w:rPr>
        <w:t xml:space="preserve"> snovi </w:t>
      </w:r>
      <w:r w:rsidRPr="00545EC0">
        <w:rPr>
          <w:rFonts w:cs="Arial"/>
          <w:szCs w:val="20"/>
        </w:rPr>
        <w:t xml:space="preserve">pri odvajanju komunalnih odpadnih voda iz KČN </w:t>
      </w:r>
      <w:r w:rsidRPr="00545EC0">
        <w:rPr>
          <w:rFonts w:cs="Arial"/>
        </w:rPr>
        <w:t xml:space="preserve">(podatki </w:t>
      </w:r>
      <w:r w:rsidRPr="00545EC0">
        <w:rPr>
          <w:rFonts w:cs="Arial"/>
          <w:szCs w:val="20"/>
        </w:rPr>
        <w:t>obratovalnega monitoringa odpadnih voda in podatki, ki se zbirajo v skladu s predpisom, ki ureja izvajanj</w:t>
      </w:r>
      <w:r w:rsidR="00752998" w:rsidRPr="00545EC0">
        <w:rPr>
          <w:rFonts w:cs="Arial"/>
          <w:szCs w:val="20"/>
        </w:rPr>
        <w:t>e</w:t>
      </w:r>
      <w:r w:rsidRPr="00545EC0">
        <w:rPr>
          <w:rFonts w:cs="Arial"/>
          <w:szCs w:val="20"/>
        </w:rPr>
        <w:t xml:space="preserve"> </w:t>
      </w:r>
      <w:r w:rsidR="00415B5B" w:rsidRPr="00545EC0">
        <w:rPr>
          <w:rFonts w:cs="Arial"/>
          <w:szCs w:val="20"/>
        </w:rPr>
        <w:t>E</w:t>
      </w:r>
      <w:r w:rsidRPr="00545EC0">
        <w:rPr>
          <w:rFonts w:cs="Arial"/>
          <w:szCs w:val="20"/>
        </w:rPr>
        <w:t>vropsk</w:t>
      </w:r>
      <w:r w:rsidR="00415B5B" w:rsidRPr="00545EC0">
        <w:rPr>
          <w:rFonts w:cs="Arial"/>
          <w:szCs w:val="20"/>
        </w:rPr>
        <w:t>ega</w:t>
      </w:r>
      <w:r w:rsidRPr="00545EC0">
        <w:rPr>
          <w:rFonts w:cs="Arial"/>
          <w:szCs w:val="20"/>
        </w:rPr>
        <w:t xml:space="preserve"> registr</w:t>
      </w:r>
      <w:r w:rsidR="00415B5B" w:rsidRPr="00545EC0">
        <w:rPr>
          <w:rFonts w:cs="Arial"/>
          <w:szCs w:val="20"/>
        </w:rPr>
        <w:t>a</w:t>
      </w:r>
      <w:r w:rsidRPr="00545EC0">
        <w:rPr>
          <w:rFonts w:cs="Arial"/>
          <w:szCs w:val="20"/>
        </w:rPr>
        <w:t xml:space="preserve"> izpustov in prenosov onesnaževal) </w:t>
      </w:r>
      <w:r w:rsidRPr="00545EC0">
        <w:rPr>
          <w:rFonts w:cs="Arial"/>
        </w:rPr>
        <w:t>in emisij</w:t>
      </w:r>
      <w:r w:rsidR="00995107" w:rsidRPr="00545EC0">
        <w:rPr>
          <w:rFonts w:cs="Arial"/>
        </w:rPr>
        <w:t>ah</w:t>
      </w:r>
      <w:r w:rsidRPr="00545EC0">
        <w:rPr>
          <w:rFonts w:cs="Arial"/>
        </w:rPr>
        <w:t xml:space="preserve"> snovi iz </w:t>
      </w:r>
      <w:r w:rsidRPr="00545EC0">
        <w:rPr>
          <w:rFonts w:cs="Arial"/>
          <w:szCs w:val="20"/>
        </w:rPr>
        <w:t xml:space="preserve">naprav, ki odvajajo industrijsko odpadno vodo. Ocene vnosov snovi iz </w:t>
      </w:r>
      <w:r w:rsidRPr="00545EC0">
        <w:rPr>
          <w:rFonts w:cs="Arial"/>
        </w:rPr>
        <w:t>komunalnih čistilnih naprav z zmogljivostjo, manjšo od 100.000 PE, iz območij izven območij poselitve (t.i. razpršene poselitve), iz cestnega prometa, in zaradi odlaganja snovi iz zraka (t.i. atmosferske depozicije) so pripravljene ob upoštevanju emisijskih faktorjev oziroma podatkov iz strokovne literature in imajo zelo veliko stopnjo negotovosti. Emisije snovi, ki lahko prihajajo iz kmetijstva zaradi zelo velike stopnje negotovosti</w:t>
      </w:r>
      <w:r w:rsidR="000A63D5" w:rsidRPr="00545EC0">
        <w:rPr>
          <w:rFonts w:cs="Arial"/>
        </w:rPr>
        <w:t>,</w:t>
      </w:r>
      <w:r w:rsidRPr="00545EC0">
        <w:rPr>
          <w:rFonts w:cs="Arial"/>
        </w:rPr>
        <w:t xml:space="preserve"> niso bile vključene v popis emisij. </w:t>
      </w:r>
    </w:p>
    <w:p w14:paraId="2840249D" w14:textId="77777777" w:rsidR="00617285" w:rsidRPr="00545EC0" w:rsidRDefault="00617285" w:rsidP="00617285">
      <w:pPr>
        <w:rPr>
          <w:rFonts w:cs="Arial"/>
        </w:rPr>
      </w:pPr>
    </w:p>
    <w:p w14:paraId="3FC963DE" w14:textId="7B957898" w:rsidR="00617285" w:rsidRPr="00545EC0" w:rsidRDefault="00617285" w:rsidP="00617285">
      <w:pPr>
        <w:overflowPunct/>
        <w:autoSpaceDE/>
        <w:adjustRightInd/>
        <w:spacing w:line="276" w:lineRule="auto"/>
        <w:contextualSpacing/>
        <w:textAlignment w:val="auto"/>
        <w:rPr>
          <w:rFonts w:cs="Arial"/>
        </w:rPr>
      </w:pPr>
      <w:r w:rsidRPr="00545EC0">
        <w:rPr>
          <w:rFonts w:cs="Arial"/>
        </w:rPr>
        <w:t>Podatk</w:t>
      </w:r>
      <w:r w:rsidR="0037613B" w:rsidRPr="00545EC0">
        <w:rPr>
          <w:rFonts w:cs="Arial"/>
        </w:rPr>
        <w:t>e</w:t>
      </w:r>
      <w:r w:rsidRPr="00545EC0">
        <w:rPr>
          <w:rFonts w:cs="Arial"/>
        </w:rPr>
        <w:t xml:space="preserve"> o oceni emisij iz točkovnih virov</w:t>
      </w:r>
      <w:r w:rsidR="00995107" w:rsidRPr="00545EC0">
        <w:rPr>
          <w:rFonts w:cs="Arial"/>
        </w:rPr>
        <w:t xml:space="preserve"> onesnaževanja</w:t>
      </w:r>
      <w:r w:rsidRPr="00545EC0">
        <w:rPr>
          <w:rFonts w:cs="Arial"/>
        </w:rPr>
        <w:t xml:space="preserve"> se v nadaljevanju primerja z oceno letne količine onesnaževal</w:t>
      </w:r>
      <w:r w:rsidR="00995107" w:rsidRPr="00545EC0">
        <w:rPr>
          <w:rFonts w:cs="Arial"/>
        </w:rPr>
        <w:t>,</w:t>
      </w:r>
      <w:r w:rsidRPr="00545EC0">
        <w:rPr>
          <w:rFonts w:cs="Arial"/>
        </w:rPr>
        <w:t xml:space="preserve"> izračunane na podlagi podatkov o koncentracijah onesnaževal, ki se spremljajo v okviru monitoringa stanja površinskih voda</w:t>
      </w:r>
      <w:r w:rsidR="00995107" w:rsidRPr="00545EC0">
        <w:rPr>
          <w:rFonts w:cs="Arial"/>
        </w:rPr>
        <w:t>,</w:t>
      </w:r>
      <w:r w:rsidRPr="00545EC0">
        <w:rPr>
          <w:rFonts w:cs="Arial"/>
        </w:rPr>
        <w:t xml:space="preserve"> in na podlagi povprečnih dnevnih pretokov na dovodni točki vodnih teles površinskih voda (v nadaljevanju besedila: ocena letne količine onesnaževal). Navedeni pristop omogoča opredelitev ali so na vodnem območju prisotni morebitni drugi viri onesnaževanja, ki niso zajeti v poglavju 2 tega načrta upravljanja voda. </w:t>
      </w:r>
    </w:p>
    <w:p w14:paraId="2C090468" w14:textId="77777777" w:rsidR="00617285" w:rsidRPr="00545EC0" w:rsidRDefault="00617285" w:rsidP="00617285">
      <w:pPr>
        <w:overflowPunct/>
        <w:autoSpaceDE/>
        <w:adjustRightInd/>
        <w:spacing w:line="276" w:lineRule="auto"/>
        <w:contextualSpacing/>
        <w:textAlignment w:val="auto"/>
        <w:rPr>
          <w:rFonts w:cs="Arial"/>
        </w:rPr>
      </w:pPr>
    </w:p>
    <w:p w14:paraId="70FACB91" w14:textId="30405169" w:rsidR="00617285" w:rsidRPr="00545EC0" w:rsidRDefault="00617285" w:rsidP="00617285">
      <w:pPr>
        <w:rPr>
          <w:rFonts w:cs="Arial"/>
        </w:rPr>
      </w:pPr>
      <w:r w:rsidRPr="00545EC0">
        <w:rPr>
          <w:rFonts w:cs="Arial"/>
        </w:rPr>
        <w:t>V preglednici (</w:t>
      </w:r>
      <w:r w:rsidR="00A50C7E" w:rsidRPr="00545EC0">
        <w:rPr>
          <w:rFonts w:cs="Arial"/>
        </w:rPr>
        <w:fldChar w:fldCharType="begin"/>
      </w:r>
      <w:r w:rsidR="00A50C7E" w:rsidRPr="00545EC0">
        <w:rPr>
          <w:rFonts w:cs="Arial"/>
        </w:rPr>
        <w:instrText xml:space="preserve"> REF _Ref84313079 \h </w:instrText>
      </w:r>
      <w:r w:rsidR="00F37A91" w:rsidRPr="00545EC0">
        <w:rPr>
          <w:rFonts w:cs="Arial"/>
        </w:rPr>
        <w:instrText xml:space="preserve"> \* MERGEFORMAT </w:instrText>
      </w:r>
      <w:r w:rsidR="00A50C7E" w:rsidRPr="00545EC0">
        <w:rPr>
          <w:rFonts w:cs="Arial"/>
        </w:rPr>
      </w:r>
      <w:r w:rsidR="00A50C7E" w:rsidRPr="00545EC0">
        <w:rPr>
          <w:rFonts w:cs="Arial"/>
        </w:rPr>
        <w:fldChar w:fldCharType="separate"/>
      </w:r>
      <w:r w:rsidR="002F3E43" w:rsidRPr="00545EC0">
        <w:t xml:space="preserve">Preglednica </w:t>
      </w:r>
      <w:r w:rsidR="002F3E43">
        <w:rPr>
          <w:noProof/>
        </w:rPr>
        <w:t>2</w:t>
      </w:r>
      <w:r w:rsidR="002F3E43" w:rsidRPr="00545EC0">
        <w:rPr>
          <w:noProof/>
        </w:rPr>
        <w:noBreakHyphen/>
      </w:r>
      <w:r w:rsidR="002F3E43">
        <w:rPr>
          <w:noProof/>
        </w:rPr>
        <w:t>19</w:t>
      </w:r>
      <w:r w:rsidR="00A50C7E" w:rsidRPr="00545EC0">
        <w:rPr>
          <w:rFonts w:cs="Arial"/>
        </w:rPr>
        <w:fldChar w:fldCharType="end"/>
      </w:r>
      <w:r w:rsidR="00A50C7E" w:rsidRPr="00545EC0">
        <w:rPr>
          <w:rFonts w:cs="Arial"/>
        </w:rPr>
        <w:t xml:space="preserve">) </w:t>
      </w:r>
      <w:r w:rsidRPr="00545EC0">
        <w:rPr>
          <w:rFonts w:cs="Arial"/>
        </w:rPr>
        <w:t xml:space="preserve">je podan seznam obravnavanih onesnaževal, </w:t>
      </w:r>
      <w:r w:rsidRPr="00545EC0">
        <w:rPr>
          <w:rFonts w:cs="Arial"/>
          <w:szCs w:val="20"/>
        </w:rPr>
        <w:t>razvrstitev parametra med prednostne snovi, prednostno nevarne snovi ali posebna onesnaževala, ugotovljene spremembe letnih količin posameznega onesnaževala ter informacija o tem, ali je posamezen parameter vzrok za slabo stanje enega ali več vodnih teles površinskih voda, kot izhaja iz poglavja 3 tega načrta upravljanja voda. Poleg navedenega je za parametre, ki so vzrok za slabo stanje enega ali več vodnih teles površinskih voda</w:t>
      </w:r>
      <w:r w:rsidR="0037613B" w:rsidRPr="00545EC0">
        <w:rPr>
          <w:rFonts w:cs="Arial"/>
          <w:szCs w:val="20"/>
        </w:rPr>
        <w:t>,</w:t>
      </w:r>
      <w:r w:rsidRPr="00545EC0">
        <w:rPr>
          <w:rFonts w:cs="Arial"/>
          <w:szCs w:val="20"/>
        </w:rPr>
        <w:t xml:space="preserve"> v okviru ugotovljene spremembe letnih količin posameznega onesnaževala</w:t>
      </w:r>
      <w:r w:rsidR="0037613B" w:rsidRPr="00545EC0">
        <w:rPr>
          <w:rFonts w:cs="Arial"/>
          <w:szCs w:val="20"/>
        </w:rPr>
        <w:t>,</w:t>
      </w:r>
      <w:r w:rsidRPr="00545EC0">
        <w:rPr>
          <w:rFonts w:cs="Arial"/>
          <w:szCs w:val="20"/>
        </w:rPr>
        <w:t xml:space="preserve"> podana opredelitev </w:t>
      </w:r>
      <w:r w:rsidR="00995107" w:rsidRPr="00545EC0">
        <w:rPr>
          <w:rFonts w:cs="Arial"/>
          <w:szCs w:val="20"/>
        </w:rPr>
        <w:t xml:space="preserve">o </w:t>
      </w:r>
      <w:r w:rsidRPr="00545EC0">
        <w:rPr>
          <w:rFonts w:cs="Arial"/>
          <w:szCs w:val="20"/>
        </w:rPr>
        <w:t>možnih drugih virih onesnaževanja voda pripravljena</w:t>
      </w:r>
      <w:r w:rsidR="00995107" w:rsidRPr="00545EC0">
        <w:rPr>
          <w:rFonts w:cs="Arial"/>
          <w:szCs w:val="20"/>
        </w:rPr>
        <w:t>,</w:t>
      </w:r>
      <w:r w:rsidRPr="00545EC0">
        <w:rPr>
          <w:rFonts w:cs="Arial"/>
          <w:szCs w:val="20"/>
        </w:rPr>
        <w:t xml:space="preserve"> na podlagi primerjave ocen emisij iz točkovnih virov in </w:t>
      </w:r>
      <w:r w:rsidRPr="00545EC0">
        <w:rPr>
          <w:rFonts w:cs="Arial"/>
        </w:rPr>
        <w:t>ocen</w:t>
      </w:r>
      <w:r w:rsidR="00995107" w:rsidRPr="00545EC0">
        <w:rPr>
          <w:rFonts w:cs="Arial"/>
        </w:rPr>
        <w:t>e</w:t>
      </w:r>
      <w:r w:rsidRPr="00545EC0">
        <w:rPr>
          <w:rFonts w:cs="Arial"/>
        </w:rPr>
        <w:t xml:space="preserve"> letne količine onesnaževal</w:t>
      </w:r>
      <w:r w:rsidRPr="00545EC0">
        <w:rPr>
          <w:rFonts w:cs="Arial"/>
          <w:szCs w:val="20"/>
        </w:rPr>
        <w:t>. Podana je tudi primerjava s podatki popisa emisij iz predhodnega načrta upravljanja voda, ki je zajemal podatke za obdobje od 2009 do 2012.</w:t>
      </w:r>
    </w:p>
    <w:p w14:paraId="606065F2" w14:textId="77777777" w:rsidR="00617285" w:rsidRPr="00545EC0" w:rsidRDefault="00617285" w:rsidP="00617285">
      <w:pPr>
        <w:rPr>
          <w:rFonts w:cs="Arial"/>
        </w:rPr>
      </w:pPr>
    </w:p>
    <w:p w14:paraId="6D33E0E2" w14:textId="56864B98" w:rsidR="00617285" w:rsidRPr="00545EC0" w:rsidRDefault="00617285" w:rsidP="00617285">
      <w:pPr>
        <w:pStyle w:val="Napis"/>
      </w:pPr>
      <w:bookmarkStart w:id="177" w:name="_Ref84313079"/>
      <w:bookmarkStart w:id="178" w:name="_Ref84253106"/>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19</w:t>
        </w:r>
      </w:fldSimple>
      <w:bookmarkEnd w:id="177"/>
      <w:r w:rsidRPr="00545EC0">
        <w:t>: Seznam onesnaževal in podatki iz popisa emisij, izpustov in uhajanja prednostnih in prednostnih nevarnih snovi za obdobje od 2013 do 2019 skupaj s primerjavo popisa emisij iz predhodnega načrta upravljanja voda</w:t>
      </w:r>
      <w:bookmarkEnd w:id="1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4"/>
        <w:gridCol w:w="1131"/>
        <w:gridCol w:w="1702"/>
        <w:gridCol w:w="1026"/>
        <w:gridCol w:w="1667"/>
        <w:gridCol w:w="1061"/>
      </w:tblGrid>
      <w:tr w:rsidR="003122F4" w:rsidRPr="00545EC0" w14:paraId="010DFEAE" w14:textId="77777777" w:rsidTr="00E60181">
        <w:trPr>
          <w:trHeight w:val="810"/>
        </w:trPr>
        <w:tc>
          <w:tcPr>
            <w:tcW w:w="1424" w:type="pct"/>
            <w:vMerge w:val="restart"/>
            <w:shd w:val="clear" w:color="auto" w:fill="F2F2F2" w:themeFill="background1" w:themeFillShade="F2"/>
            <w:noWrap/>
            <w:vAlign w:val="center"/>
            <w:hideMark/>
          </w:tcPr>
          <w:p w14:paraId="7A47347C" w14:textId="77777777" w:rsidR="00617285" w:rsidRPr="00545EC0" w:rsidRDefault="00617285" w:rsidP="00017486">
            <w:pPr>
              <w:spacing w:line="240" w:lineRule="auto"/>
              <w:jc w:val="left"/>
              <w:rPr>
                <w:rFonts w:cs="Arial"/>
                <w:b/>
                <w:bCs/>
                <w:sz w:val="18"/>
                <w:szCs w:val="18"/>
              </w:rPr>
            </w:pPr>
            <w:r w:rsidRPr="00545EC0">
              <w:rPr>
                <w:rFonts w:cs="Arial"/>
                <w:b/>
                <w:bCs/>
                <w:sz w:val="18"/>
                <w:szCs w:val="18"/>
              </w:rPr>
              <w:t>Onesnaževalo</w:t>
            </w:r>
          </w:p>
        </w:tc>
        <w:tc>
          <w:tcPr>
            <w:tcW w:w="614" w:type="pct"/>
            <w:vMerge w:val="restart"/>
            <w:shd w:val="clear" w:color="auto" w:fill="F2F2F2" w:themeFill="background1" w:themeFillShade="F2"/>
            <w:vAlign w:val="center"/>
            <w:hideMark/>
          </w:tcPr>
          <w:p w14:paraId="18B578F4" w14:textId="77777777" w:rsidR="00617285" w:rsidRPr="00545EC0" w:rsidRDefault="00617285" w:rsidP="00017486">
            <w:pPr>
              <w:overflowPunct/>
              <w:autoSpaceDE/>
              <w:autoSpaceDN/>
              <w:adjustRightInd/>
              <w:spacing w:line="240" w:lineRule="auto"/>
              <w:jc w:val="left"/>
              <w:textAlignment w:val="auto"/>
              <w:rPr>
                <w:rFonts w:cs="Arial"/>
                <w:b/>
                <w:bCs/>
                <w:sz w:val="18"/>
                <w:szCs w:val="18"/>
              </w:rPr>
            </w:pPr>
            <w:r w:rsidRPr="00545EC0">
              <w:rPr>
                <w:rFonts w:cs="Arial"/>
                <w:b/>
                <w:bCs/>
                <w:sz w:val="18"/>
                <w:szCs w:val="18"/>
              </w:rPr>
              <w:t> </w:t>
            </w:r>
          </w:p>
          <w:p w14:paraId="04EDDE85" w14:textId="77777777" w:rsidR="00617285" w:rsidRPr="00545EC0" w:rsidRDefault="00617285" w:rsidP="00017486">
            <w:pPr>
              <w:spacing w:line="240" w:lineRule="auto"/>
              <w:jc w:val="left"/>
              <w:rPr>
                <w:rFonts w:cs="Arial"/>
                <w:b/>
                <w:bCs/>
                <w:sz w:val="18"/>
                <w:szCs w:val="18"/>
              </w:rPr>
            </w:pPr>
            <w:r w:rsidRPr="00545EC0">
              <w:rPr>
                <w:rFonts w:cs="Arial"/>
                <w:b/>
                <w:bCs/>
                <w:sz w:val="18"/>
                <w:szCs w:val="18"/>
              </w:rPr>
              <w:t>Opredelitev parametra</w:t>
            </w:r>
          </w:p>
        </w:tc>
        <w:tc>
          <w:tcPr>
            <w:tcW w:w="1481" w:type="pct"/>
            <w:gridSpan w:val="2"/>
            <w:shd w:val="clear" w:color="auto" w:fill="F2F2F2" w:themeFill="background1" w:themeFillShade="F2"/>
            <w:vAlign w:val="center"/>
            <w:hideMark/>
          </w:tcPr>
          <w:p w14:paraId="347E386F" w14:textId="77777777" w:rsidR="00617285" w:rsidRPr="00545EC0" w:rsidRDefault="00617285" w:rsidP="00017486">
            <w:pPr>
              <w:overflowPunct/>
              <w:autoSpaceDE/>
              <w:autoSpaceDN/>
              <w:adjustRightInd/>
              <w:spacing w:line="240" w:lineRule="auto"/>
              <w:jc w:val="center"/>
              <w:textAlignment w:val="auto"/>
              <w:rPr>
                <w:rFonts w:cs="Arial"/>
                <w:b/>
                <w:bCs/>
                <w:sz w:val="18"/>
                <w:szCs w:val="18"/>
              </w:rPr>
            </w:pPr>
            <w:r w:rsidRPr="00545EC0">
              <w:rPr>
                <w:rFonts w:cs="Arial"/>
                <w:b/>
                <w:bCs/>
                <w:sz w:val="18"/>
                <w:szCs w:val="18"/>
              </w:rPr>
              <w:t>Podatki iz popisa emisij, izpustov in uhajanja prednostnih in prednostnih nevarnih snovi za obdobje od 2013 do 2017</w:t>
            </w:r>
          </w:p>
        </w:tc>
        <w:tc>
          <w:tcPr>
            <w:tcW w:w="1481" w:type="pct"/>
            <w:gridSpan w:val="2"/>
            <w:shd w:val="clear" w:color="auto" w:fill="F2F2F2" w:themeFill="background1" w:themeFillShade="F2"/>
            <w:vAlign w:val="center"/>
            <w:hideMark/>
          </w:tcPr>
          <w:p w14:paraId="6947C2ED" w14:textId="77777777" w:rsidR="00617285" w:rsidRPr="00545EC0" w:rsidRDefault="00617285" w:rsidP="00017486">
            <w:pPr>
              <w:overflowPunct/>
              <w:autoSpaceDE/>
              <w:autoSpaceDN/>
              <w:adjustRightInd/>
              <w:spacing w:line="240" w:lineRule="auto"/>
              <w:jc w:val="center"/>
              <w:textAlignment w:val="auto"/>
              <w:rPr>
                <w:rFonts w:cs="Arial"/>
                <w:b/>
                <w:bCs/>
                <w:sz w:val="18"/>
                <w:szCs w:val="18"/>
              </w:rPr>
            </w:pPr>
            <w:r w:rsidRPr="00545EC0">
              <w:rPr>
                <w:rFonts w:cs="Arial"/>
                <w:b/>
                <w:bCs/>
                <w:sz w:val="18"/>
                <w:szCs w:val="18"/>
              </w:rPr>
              <w:t>Podatki iz popisa emisij, izpustov in uhajanja prednostnih in prednostnih nevarnih snovi za obdobje od 2009 do 2012</w:t>
            </w:r>
          </w:p>
        </w:tc>
      </w:tr>
      <w:tr w:rsidR="003122F4" w:rsidRPr="00545EC0" w14:paraId="6F757894" w14:textId="77777777" w:rsidTr="00E60181">
        <w:trPr>
          <w:trHeight w:val="975"/>
        </w:trPr>
        <w:tc>
          <w:tcPr>
            <w:tcW w:w="1424" w:type="pct"/>
            <w:vMerge/>
            <w:shd w:val="clear" w:color="auto" w:fill="F2F2F2" w:themeFill="background1" w:themeFillShade="F2"/>
            <w:noWrap/>
            <w:vAlign w:val="center"/>
            <w:hideMark/>
          </w:tcPr>
          <w:p w14:paraId="10F00100" w14:textId="77777777" w:rsidR="00617285" w:rsidRPr="00545EC0" w:rsidRDefault="00617285" w:rsidP="00017486">
            <w:pPr>
              <w:overflowPunct/>
              <w:autoSpaceDE/>
              <w:autoSpaceDN/>
              <w:adjustRightInd/>
              <w:spacing w:line="240" w:lineRule="auto"/>
              <w:jc w:val="left"/>
              <w:textAlignment w:val="auto"/>
              <w:rPr>
                <w:rFonts w:cs="Arial"/>
                <w:b/>
                <w:bCs/>
                <w:sz w:val="18"/>
                <w:szCs w:val="18"/>
              </w:rPr>
            </w:pPr>
          </w:p>
        </w:tc>
        <w:tc>
          <w:tcPr>
            <w:tcW w:w="614" w:type="pct"/>
            <w:vMerge/>
            <w:shd w:val="clear" w:color="auto" w:fill="F2F2F2" w:themeFill="background1" w:themeFillShade="F2"/>
            <w:vAlign w:val="center"/>
            <w:hideMark/>
          </w:tcPr>
          <w:p w14:paraId="626321C9" w14:textId="77777777" w:rsidR="00617285" w:rsidRPr="00545EC0" w:rsidRDefault="00617285" w:rsidP="00017486">
            <w:pPr>
              <w:overflowPunct/>
              <w:autoSpaceDE/>
              <w:autoSpaceDN/>
              <w:adjustRightInd/>
              <w:spacing w:line="240" w:lineRule="auto"/>
              <w:jc w:val="left"/>
              <w:textAlignment w:val="auto"/>
              <w:rPr>
                <w:rFonts w:cs="Arial"/>
                <w:b/>
                <w:bCs/>
                <w:sz w:val="18"/>
                <w:szCs w:val="18"/>
              </w:rPr>
            </w:pPr>
          </w:p>
        </w:tc>
        <w:tc>
          <w:tcPr>
            <w:tcW w:w="924" w:type="pct"/>
            <w:shd w:val="clear" w:color="auto" w:fill="F2F2F2" w:themeFill="background1" w:themeFillShade="F2"/>
            <w:vAlign w:val="center"/>
            <w:hideMark/>
          </w:tcPr>
          <w:p w14:paraId="1013F79F" w14:textId="77777777" w:rsidR="00617285" w:rsidRPr="00545EC0" w:rsidRDefault="00617285" w:rsidP="00017486">
            <w:pPr>
              <w:overflowPunct/>
              <w:autoSpaceDE/>
              <w:autoSpaceDN/>
              <w:adjustRightInd/>
              <w:spacing w:line="240" w:lineRule="auto"/>
              <w:jc w:val="left"/>
              <w:textAlignment w:val="auto"/>
              <w:rPr>
                <w:rFonts w:cs="Arial"/>
                <w:b/>
                <w:bCs/>
                <w:sz w:val="18"/>
                <w:szCs w:val="18"/>
              </w:rPr>
            </w:pPr>
            <w:r w:rsidRPr="00545EC0">
              <w:rPr>
                <w:rFonts w:cs="Arial"/>
                <w:b/>
                <w:bCs/>
                <w:sz w:val="18"/>
                <w:szCs w:val="18"/>
              </w:rPr>
              <w:t>Spremembe letne količine onesnaževala</w:t>
            </w:r>
          </w:p>
        </w:tc>
        <w:tc>
          <w:tcPr>
            <w:tcW w:w="557" w:type="pct"/>
            <w:shd w:val="clear" w:color="auto" w:fill="F2F2F2" w:themeFill="background1" w:themeFillShade="F2"/>
            <w:vAlign w:val="center"/>
            <w:hideMark/>
          </w:tcPr>
          <w:p w14:paraId="690F5797" w14:textId="77777777" w:rsidR="00617285" w:rsidRPr="00545EC0" w:rsidRDefault="00617285" w:rsidP="00017486">
            <w:pPr>
              <w:overflowPunct/>
              <w:autoSpaceDE/>
              <w:autoSpaceDN/>
              <w:adjustRightInd/>
              <w:spacing w:line="240" w:lineRule="auto"/>
              <w:jc w:val="center"/>
              <w:textAlignment w:val="auto"/>
              <w:rPr>
                <w:rFonts w:cs="Arial"/>
                <w:b/>
                <w:bCs/>
                <w:sz w:val="18"/>
                <w:szCs w:val="18"/>
              </w:rPr>
            </w:pPr>
            <w:r w:rsidRPr="00545EC0">
              <w:rPr>
                <w:rFonts w:cs="Arial"/>
                <w:b/>
                <w:bCs/>
                <w:sz w:val="18"/>
                <w:szCs w:val="18"/>
              </w:rPr>
              <w:t>Vzrok za slabo stanje enega ali več VTPV (DA/NE)</w:t>
            </w:r>
          </w:p>
        </w:tc>
        <w:tc>
          <w:tcPr>
            <w:tcW w:w="905" w:type="pct"/>
            <w:shd w:val="clear" w:color="auto" w:fill="F2F2F2" w:themeFill="background1" w:themeFillShade="F2"/>
            <w:vAlign w:val="center"/>
            <w:hideMark/>
          </w:tcPr>
          <w:p w14:paraId="0CA02AFA" w14:textId="77777777" w:rsidR="00617285" w:rsidRPr="00545EC0" w:rsidRDefault="00617285" w:rsidP="00017486">
            <w:pPr>
              <w:overflowPunct/>
              <w:autoSpaceDE/>
              <w:autoSpaceDN/>
              <w:adjustRightInd/>
              <w:spacing w:line="240" w:lineRule="auto"/>
              <w:jc w:val="left"/>
              <w:textAlignment w:val="auto"/>
              <w:rPr>
                <w:rFonts w:cs="Arial"/>
                <w:b/>
                <w:bCs/>
                <w:sz w:val="18"/>
                <w:szCs w:val="18"/>
              </w:rPr>
            </w:pPr>
            <w:r w:rsidRPr="00545EC0">
              <w:rPr>
                <w:rFonts w:cs="Arial"/>
                <w:b/>
                <w:bCs/>
                <w:sz w:val="18"/>
                <w:szCs w:val="18"/>
              </w:rPr>
              <w:t>Spremembe letne količine onesnaževala</w:t>
            </w:r>
          </w:p>
        </w:tc>
        <w:tc>
          <w:tcPr>
            <w:tcW w:w="576" w:type="pct"/>
            <w:shd w:val="clear" w:color="auto" w:fill="F2F2F2" w:themeFill="background1" w:themeFillShade="F2"/>
            <w:vAlign w:val="center"/>
            <w:hideMark/>
          </w:tcPr>
          <w:p w14:paraId="779D7A9B" w14:textId="77777777" w:rsidR="00617285" w:rsidRPr="00545EC0" w:rsidRDefault="00617285" w:rsidP="00017486">
            <w:pPr>
              <w:overflowPunct/>
              <w:autoSpaceDE/>
              <w:autoSpaceDN/>
              <w:adjustRightInd/>
              <w:spacing w:line="240" w:lineRule="auto"/>
              <w:jc w:val="center"/>
              <w:textAlignment w:val="auto"/>
              <w:rPr>
                <w:rFonts w:cs="Arial"/>
                <w:b/>
                <w:bCs/>
                <w:sz w:val="18"/>
                <w:szCs w:val="18"/>
              </w:rPr>
            </w:pPr>
            <w:r w:rsidRPr="00545EC0">
              <w:rPr>
                <w:rFonts w:cs="Arial"/>
                <w:b/>
                <w:bCs/>
                <w:sz w:val="18"/>
                <w:szCs w:val="18"/>
              </w:rPr>
              <w:t>Vzrok za slabo stanje enega ali več VTPV (DA/NE)</w:t>
            </w:r>
          </w:p>
        </w:tc>
      </w:tr>
      <w:tr w:rsidR="001A09B9" w:rsidRPr="00545EC0" w14:paraId="46A276BE" w14:textId="77777777" w:rsidTr="001A09B9">
        <w:trPr>
          <w:trHeight w:val="315"/>
        </w:trPr>
        <w:tc>
          <w:tcPr>
            <w:tcW w:w="1424" w:type="pct"/>
            <w:shd w:val="clear" w:color="auto" w:fill="auto"/>
            <w:noWrap/>
            <w:vAlign w:val="center"/>
            <w:hideMark/>
          </w:tcPr>
          <w:p w14:paraId="089FB1BE"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Antracen</w:t>
            </w:r>
          </w:p>
        </w:tc>
        <w:tc>
          <w:tcPr>
            <w:tcW w:w="614" w:type="pct"/>
            <w:shd w:val="clear" w:color="auto" w:fill="auto"/>
            <w:noWrap/>
            <w:vAlign w:val="center"/>
            <w:hideMark/>
          </w:tcPr>
          <w:p w14:paraId="71726FC1"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PNS</w:t>
            </w:r>
          </w:p>
        </w:tc>
        <w:tc>
          <w:tcPr>
            <w:tcW w:w="924" w:type="pct"/>
            <w:shd w:val="clear" w:color="auto" w:fill="auto"/>
            <w:noWrap/>
            <w:vAlign w:val="center"/>
            <w:hideMark/>
          </w:tcPr>
          <w:p w14:paraId="4E3645FC"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nezadostno število podatkov</w:t>
            </w:r>
          </w:p>
        </w:tc>
        <w:tc>
          <w:tcPr>
            <w:tcW w:w="557" w:type="pct"/>
            <w:shd w:val="clear" w:color="auto" w:fill="auto"/>
            <w:noWrap/>
            <w:vAlign w:val="center"/>
            <w:hideMark/>
          </w:tcPr>
          <w:p w14:paraId="1327AC97"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7414E0BD"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76" w:type="pct"/>
            <w:shd w:val="clear" w:color="auto" w:fill="auto"/>
            <w:noWrap/>
            <w:vAlign w:val="center"/>
            <w:hideMark/>
          </w:tcPr>
          <w:p w14:paraId="5FFEA23A"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r>
      <w:tr w:rsidR="001A09B9" w:rsidRPr="00545EC0" w14:paraId="50791F38" w14:textId="77777777" w:rsidTr="001A09B9">
        <w:trPr>
          <w:trHeight w:val="315"/>
        </w:trPr>
        <w:tc>
          <w:tcPr>
            <w:tcW w:w="1424" w:type="pct"/>
            <w:shd w:val="clear" w:color="auto" w:fill="auto"/>
            <w:noWrap/>
            <w:vAlign w:val="center"/>
            <w:hideMark/>
          </w:tcPr>
          <w:p w14:paraId="61B23189"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Benzo(a)piren</w:t>
            </w:r>
          </w:p>
        </w:tc>
        <w:tc>
          <w:tcPr>
            <w:tcW w:w="614" w:type="pct"/>
            <w:shd w:val="clear" w:color="auto" w:fill="auto"/>
            <w:noWrap/>
            <w:vAlign w:val="center"/>
            <w:hideMark/>
          </w:tcPr>
          <w:p w14:paraId="0C233ECC"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PNS</w:t>
            </w:r>
          </w:p>
        </w:tc>
        <w:tc>
          <w:tcPr>
            <w:tcW w:w="924" w:type="pct"/>
            <w:shd w:val="clear" w:color="auto" w:fill="auto"/>
            <w:noWrap/>
            <w:vAlign w:val="center"/>
            <w:hideMark/>
          </w:tcPr>
          <w:p w14:paraId="3F2CCC69"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nezadostno število podatkov</w:t>
            </w:r>
          </w:p>
        </w:tc>
        <w:tc>
          <w:tcPr>
            <w:tcW w:w="557" w:type="pct"/>
            <w:shd w:val="clear" w:color="auto" w:fill="auto"/>
            <w:noWrap/>
            <w:vAlign w:val="center"/>
            <w:hideMark/>
          </w:tcPr>
          <w:p w14:paraId="34AAA9BE"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123EB073"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76" w:type="pct"/>
            <w:shd w:val="clear" w:color="auto" w:fill="auto"/>
            <w:noWrap/>
            <w:vAlign w:val="center"/>
            <w:hideMark/>
          </w:tcPr>
          <w:p w14:paraId="0A03D7C4"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r>
      <w:tr w:rsidR="001A09B9" w:rsidRPr="00545EC0" w14:paraId="772B2064" w14:textId="77777777" w:rsidTr="001A09B9">
        <w:trPr>
          <w:trHeight w:val="315"/>
        </w:trPr>
        <w:tc>
          <w:tcPr>
            <w:tcW w:w="1424" w:type="pct"/>
            <w:shd w:val="clear" w:color="auto" w:fill="auto"/>
            <w:noWrap/>
            <w:vAlign w:val="center"/>
            <w:hideMark/>
          </w:tcPr>
          <w:p w14:paraId="51AF76D8"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Benzo(b)fluoronaten</w:t>
            </w:r>
          </w:p>
        </w:tc>
        <w:tc>
          <w:tcPr>
            <w:tcW w:w="614" w:type="pct"/>
            <w:shd w:val="clear" w:color="auto" w:fill="auto"/>
            <w:noWrap/>
            <w:vAlign w:val="center"/>
            <w:hideMark/>
          </w:tcPr>
          <w:p w14:paraId="536F0B98"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PNS</w:t>
            </w:r>
          </w:p>
        </w:tc>
        <w:tc>
          <w:tcPr>
            <w:tcW w:w="924" w:type="pct"/>
            <w:shd w:val="clear" w:color="auto" w:fill="auto"/>
            <w:noWrap/>
            <w:vAlign w:val="center"/>
            <w:hideMark/>
          </w:tcPr>
          <w:p w14:paraId="661C98DD"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 xml:space="preserve">nezadostno število </w:t>
            </w:r>
            <w:r w:rsidRPr="00545EC0">
              <w:rPr>
                <w:rFonts w:cs="Arial"/>
                <w:sz w:val="18"/>
                <w:szCs w:val="18"/>
              </w:rPr>
              <w:lastRenderedPageBreak/>
              <w:t>podatkov</w:t>
            </w:r>
          </w:p>
        </w:tc>
        <w:tc>
          <w:tcPr>
            <w:tcW w:w="557" w:type="pct"/>
            <w:shd w:val="clear" w:color="auto" w:fill="auto"/>
            <w:noWrap/>
            <w:vAlign w:val="center"/>
            <w:hideMark/>
          </w:tcPr>
          <w:p w14:paraId="72213D89"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lastRenderedPageBreak/>
              <w:t>NE</w:t>
            </w:r>
          </w:p>
        </w:tc>
        <w:tc>
          <w:tcPr>
            <w:tcW w:w="905" w:type="pct"/>
            <w:shd w:val="clear" w:color="auto" w:fill="auto"/>
            <w:noWrap/>
            <w:vAlign w:val="center"/>
            <w:hideMark/>
          </w:tcPr>
          <w:p w14:paraId="00429627"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 xml:space="preserve">nezadostno število </w:t>
            </w:r>
            <w:r w:rsidRPr="00545EC0">
              <w:rPr>
                <w:rFonts w:cs="Arial"/>
                <w:sz w:val="18"/>
                <w:szCs w:val="18"/>
              </w:rPr>
              <w:lastRenderedPageBreak/>
              <w:t>podatkov</w:t>
            </w:r>
          </w:p>
        </w:tc>
        <w:tc>
          <w:tcPr>
            <w:tcW w:w="576" w:type="pct"/>
            <w:shd w:val="clear" w:color="auto" w:fill="auto"/>
            <w:noWrap/>
            <w:vAlign w:val="center"/>
            <w:hideMark/>
          </w:tcPr>
          <w:p w14:paraId="15870081"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lastRenderedPageBreak/>
              <w:t>NE</w:t>
            </w:r>
          </w:p>
        </w:tc>
      </w:tr>
      <w:tr w:rsidR="001A09B9" w:rsidRPr="00545EC0" w14:paraId="125D7219" w14:textId="77777777" w:rsidTr="001A09B9">
        <w:trPr>
          <w:trHeight w:val="315"/>
        </w:trPr>
        <w:tc>
          <w:tcPr>
            <w:tcW w:w="1424" w:type="pct"/>
            <w:shd w:val="clear" w:color="auto" w:fill="auto"/>
            <w:noWrap/>
            <w:vAlign w:val="center"/>
            <w:hideMark/>
          </w:tcPr>
          <w:p w14:paraId="4C868821"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lastRenderedPageBreak/>
              <w:t>Benzo(g,h,i)perilen</w:t>
            </w:r>
          </w:p>
        </w:tc>
        <w:tc>
          <w:tcPr>
            <w:tcW w:w="614" w:type="pct"/>
            <w:shd w:val="clear" w:color="auto" w:fill="auto"/>
            <w:noWrap/>
            <w:vAlign w:val="center"/>
            <w:hideMark/>
          </w:tcPr>
          <w:p w14:paraId="60214A4E"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PNS</w:t>
            </w:r>
          </w:p>
        </w:tc>
        <w:tc>
          <w:tcPr>
            <w:tcW w:w="924" w:type="pct"/>
            <w:shd w:val="clear" w:color="auto" w:fill="auto"/>
            <w:noWrap/>
            <w:vAlign w:val="center"/>
            <w:hideMark/>
          </w:tcPr>
          <w:p w14:paraId="782C76E3"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nezadostno število podatkov</w:t>
            </w:r>
          </w:p>
        </w:tc>
        <w:tc>
          <w:tcPr>
            <w:tcW w:w="557" w:type="pct"/>
            <w:shd w:val="clear" w:color="auto" w:fill="auto"/>
            <w:noWrap/>
            <w:vAlign w:val="center"/>
            <w:hideMark/>
          </w:tcPr>
          <w:p w14:paraId="5CD9D986"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2C7ADBA6"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nezadostno število podatkov</w:t>
            </w:r>
          </w:p>
        </w:tc>
        <w:tc>
          <w:tcPr>
            <w:tcW w:w="576" w:type="pct"/>
            <w:shd w:val="clear" w:color="auto" w:fill="auto"/>
            <w:noWrap/>
            <w:vAlign w:val="center"/>
            <w:hideMark/>
          </w:tcPr>
          <w:p w14:paraId="00492D59"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r>
      <w:tr w:rsidR="001A09B9" w:rsidRPr="00545EC0" w14:paraId="4855C8DA" w14:textId="77777777" w:rsidTr="001A09B9">
        <w:trPr>
          <w:trHeight w:val="315"/>
        </w:trPr>
        <w:tc>
          <w:tcPr>
            <w:tcW w:w="1424" w:type="pct"/>
            <w:shd w:val="clear" w:color="auto" w:fill="auto"/>
            <w:noWrap/>
            <w:vAlign w:val="center"/>
            <w:hideMark/>
          </w:tcPr>
          <w:p w14:paraId="25EED67E"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Benzo(k)fluoranten</w:t>
            </w:r>
          </w:p>
        </w:tc>
        <w:tc>
          <w:tcPr>
            <w:tcW w:w="614" w:type="pct"/>
            <w:shd w:val="clear" w:color="auto" w:fill="auto"/>
            <w:noWrap/>
            <w:vAlign w:val="center"/>
            <w:hideMark/>
          </w:tcPr>
          <w:p w14:paraId="56A76477"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PNS</w:t>
            </w:r>
          </w:p>
        </w:tc>
        <w:tc>
          <w:tcPr>
            <w:tcW w:w="924" w:type="pct"/>
            <w:shd w:val="clear" w:color="auto" w:fill="auto"/>
            <w:noWrap/>
            <w:vAlign w:val="center"/>
            <w:hideMark/>
          </w:tcPr>
          <w:p w14:paraId="6EC5FA3A"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nezadostno število podatkov</w:t>
            </w:r>
          </w:p>
        </w:tc>
        <w:tc>
          <w:tcPr>
            <w:tcW w:w="557" w:type="pct"/>
            <w:shd w:val="clear" w:color="auto" w:fill="auto"/>
            <w:noWrap/>
            <w:vAlign w:val="center"/>
            <w:hideMark/>
          </w:tcPr>
          <w:p w14:paraId="3C1D6A79"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4F8A70E8"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nezadostno število podatkov</w:t>
            </w:r>
          </w:p>
        </w:tc>
        <w:tc>
          <w:tcPr>
            <w:tcW w:w="576" w:type="pct"/>
            <w:shd w:val="clear" w:color="auto" w:fill="auto"/>
            <w:noWrap/>
            <w:vAlign w:val="center"/>
            <w:hideMark/>
          </w:tcPr>
          <w:p w14:paraId="0D1A6307"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r>
      <w:tr w:rsidR="001A09B9" w:rsidRPr="00545EC0" w14:paraId="54857F83" w14:textId="77777777" w:rsidTr="001A09B9">
        <w:trPr>
          <w:trHeight w:val="315"/>
        </w:trPr>
        <w:tc>
          <w:tcPr>
            <w:tcW w:w="1424" w:type="pct"/>
            <w:shd w:val="clear" w:color="auto" w:fill="auto"/>
            <w:noWrap/>
            <w:vAlign w:val="center"/>
            <w:hideMark/>
          </w:tcPr>
          <w:p w14:paraId="1E072DB6"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Bromirani difenileter (BDE)</w:t>
            </w:r>
          </w:p>
        </w:tc>
        <w:tc>
          <w:tcPr>
            <w:tcW w:w="614" w:type="pct"/>
            <w:shd w:val="clear" w:color="auto" w:fill="auto"/>
            <w:noWrap/>
            <w:vAlign w:val="center"/>
            <w:hideMark/>
          </w:tcPr>
          <w:p w14:paraId="147162C8"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PNS</w:t>
            </w:r>
          </w:p>
        </w:tc>
        <w:tc>
          <w:tcPr>
            <w:tcW w:w="924" w:type="pct"/>
            <w:shd w:val="clear" w:color="auto" w:fill="auto"/>
            <w:noWrap/>
            <w:vAlign w:val="center"/>
            <w:hideMark/>
          </w:tcPr>
          <w:p w14:paraId="5CE746F4"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 xml:space="preserve">ni podatka </w:t>
            </w:r>
          </w:p>
        </w:tc>
        <w:tc>
          <w:tcPr>
            <w:tcW w:w="557" w:type="pct"/>
            <w:shd w:val="clear" w:color="auto" w:fill="auto"/>
            <w:noWrap/>
            <w:vAlign w:val="center"/>
            <w:hideMark/>
          </w:tcPr>
          <w:p w14:paraId="2F99F69A"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DA*</w:t>
            </w:r>
          </w:p>
        </w:tc>
        <w:tc>
          <w:tcPr>
            <w:tcW w:w="905" w:type="pct"/>
            <w:shd w:val="clear" w:color="auto" w:fill="auto"/>
            <w:noWrap/>
            <w:vAlign w:val="center"/>
            <w:hideMark/>
          </w:tcPr>
          <w:p w14:paraId="4096445E" w14:textId="77777777" w:rsidR="00617285" w:rsidRPr="00545EC0" w:rsidRDefault="00617285" w:rsidP="001A09B9">
            <w:pPr>
              <w:overflowPunct/>
              <w:autoSpaceDE/>
              <w:autoSpaceDN/>
              <w:adjustRightInd/>
              <w:spacing w:line="240" w:lineRule="auto"/>
              <w:jc w:val="left"/>
              <w:textAlignment w:val="auto"/>
              <w:rPr>
                <w:rFonts w:cs="Arial"/>
                <w:i/>
                <w:iCs/>
                <w:sz w:val="18"/>
                <w:szCs w:val="18"/>
              </w:rPr>
            </w:pPr>
            <w:r w:rsidRPr="00545EC0">
              <w:rPr>
                <w:rFonts w:cs="Arial"/>
                <w:i/>
                <w:iCs/>
                <w:sz w:val="18"/>
                <w:szCs w:val="18"/>
              </w:rPr>
              <w:t>n.v.</w:t>
            </w:r>
          </w:p>
        </w:tc>
        <w:tc>
          <w:tcPr>
            <w:tcW w:w="576" w:type="pct"/>
            <w:shd w:val="clear" w:color="auto" w:fill="auto"/>
            <w:noWrap/>
            <w:vAlign w:val="center"/>
            <w:hideMark/>
          </w:tcPr>
          <w:p w14:paraId="5FC99C7E" w14:textId="77777777" w:rsidR="00617285" w:rsidRPr="00545EC0" w:rsidRDefault="00617285" w:rsidP="001A09B9">
            <w:pPr>
              <w:overflowPunct/>
              <w:autoSpaceDE/>
              <w:autoSpaceDN/>
              <w:adjustRightInd/>
              <w:spacing w:line="240" w:lineRule="auto"/>
              <w:jc w:val="left"/>
              <w:textAlignment w:val="auto"/>
              <w:rPr>
                <w:rFonts w:cs="Arial"/>
                <w:i/>
                <w:iCs/>
                <w:sz w:val="18"/>
                <w:szCs w:val="18"/>
              </w:rPr>
            </w:pPr>
            <w:r w:rsidRPr="00545EC0">
              <w:rPr>
                <w:rFonts w:cs="Arial"/>
                <w:i/>
                <w:iCs/>
                <w:sz w:val="18"/>
                <w:szCs w:val="18"/>
              </w:rPr>
              <w:t>n.v.</w:t>
            </w:r>
          </w:p>
        </w:tc>
      </w:tr>
      <w:tr w:rsidR="001A09B9" w:rsidRPr="00545EC0" w14:paraId="732FEAF4" w14:textId="77777777" w:rsidTr="001A09B9">
        <w:trPr>
          <w:trHeight w:val="315"/>
        </w:trPr>
        <w:tc>
          <w:tcPr>
            <w:tcW w:w="1424" w:type="pct"/>
            <w:shd w:val="clear" w:color="auto" w:fill="auto"/>
            <w:noWrap/>
            <w:vAlign w:val="center"/>
            <w:hideMark/>
          </w:tcPr>
          <w:p w14:paraId="2079BA74"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Heksakloro-1,3-Butadien (HCBD)</w:t>
            </w:r>
          </w:p>
        </w:tc>
        <w:tc>
          <w:tcPr>
            <w:tcW w:w="614" w:type="pct"/>
            <w:shd w:val="clear" w:color="auto" w:fill="auto"/>
            <w:noWrap/>
            <w:vAlign w:val="center"/>
            <w:hideMark/>
          </w:tcPr>
          <w:p w14:paraId="78F2C343"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PNS</w:t>
            </w:r>
          </w:p>
        </w:tc>
        <w:tc>
          <w:tcPr>
            <w:tcW w:w="924" w:type="pct"/>
            <w:shd w:val="clear" w:color="auto" w:fill="auto"/>
            <w:noWrap/>
            <w:vAlign w:val="center"/>
            <w:hideMark/>
          </w:tcPr>
          <w:p w14:paraId="1439DA5A"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57" w:type="pct"/>
            <w:shd w:val="clear" w:color="auto" w:fill="auto"/>
            <w:noWrap/>
            <w:vAlign w:val="center"/>
            <w:hideMark/>
          </w:tcPr>
          <w:p w14:paraId="0A7A6FA9"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161A6C61" w14:textId="77777777" w:rsidR="00617285" w:rsidRPr="00545EC0" w:rsidRDefault="00617285" w:rsidP="001A09B9">
            <w:pPr>
              <w:overflowPunct/>
              <w:autoSpaceDE/>
              <w:autoSpaceDN/>
              <w:adjustRightInd/>
              <w:spacing w:line="240" w:lineRule="auto"/>
              <w:jc w:val="left"/>
              <w:textAlignment w:val="auto"/>
              <w:rPr>
                <w:rFonts w:cs="Arial"/>
                <w:i/>
                <w:iCs/>
                <w:sz w:val="18"/>
                <w:szCs w:val="18"/>
              </w:rPr>
            </w:pPr>
            <w:r w:rsidRPr="00545EC0">
              <w:rPr>
                <w:rFonts w:cs="Arial"/>
                <w:i/>
                <w:iCs/>
                <w:sz w:val="18"/>
                <w:szCs w:val="18"/>
              </w:rPr>
              <w:t>n.v.</w:t>
            </w:r>
          </w:p>
        </w:tc>
        <w:tc>
          <w:tcPr>
            <w:tcW w:w="576" w:type="pct"/>
            <w:shd w:val="clear" w:color="auto" w:fill="auto"/>
            <w:noWrap/>
            <w:vAlign w:val="center"/>
            <w:hideMark/>
          </w:tcPr>
          <w:p w14:paraId="0EBC91BE" w14:textId="77777777" w:rsidR="00617285" w:rsidRPr="00545EC0" w:rsidRDefault="00617285" w:rsidP="001A09B9">
            <w:pPr>
              <w:overflowPunct/>
              <w:autoSpaceDE/>
              <w:autoSpaceDN/>
              <w:adjustRightInd/>
              <w:spacing w:line="240" w:lineRule="auto"/>
              <w:jc w:val="left"/>
              <w:textAlignment w:val="auto"/>
              <w:rPr>
                <w:rFonts w:cs="Arial"/>
                <w:i/>
                <w:iCs/>
                <w:sz w:val="18"/>
                <w:szCs w:val="18"/>
              </w:rPr>
            </w:pPr>
            <w:r w:rsidRPr="00545EC0">
              <w:rPr>
                <w:rFonts w:cs="Arial"/>
                <w:i/>
                <w:iCs/>
                <w:sz w:val="18"/>
                <w:szCs w:val="18"/>
              </w:rPr>
              <w:t>n.v.</w:t>
            </w:r>
          </w:p>
        </w:tc>
      </w:tr>
      <w:tr w:rsidR="001A09B9" w:rsidRPr="00545EC0" w14:paraId="6AA62AE5" w14:textId="77777777" w:rsidTr="001A09B9">
        <w:trPr>
          <w:trHeight w:val="315"/>
        </w:trPr>
        <w:tc>
          <w:tcPr>
            <w:tcW w:w="1424" w:type="pct"/>
            <w:shd w:val="clear" w:color="auto" w:fill="auto"/>
            <w:noWrap/>
            <w:vAlign w:val="center"/>
            <w:hideMark/>
          </w:tcPr>
          <w:p w14:paraId="1055970B"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Indeno(1,2,3-cd)piren</w:t>
            </w:r>
          </w:p>
        </w:tc>
        <w:tc>
          <w:tcPr>
            <w:tcW w:w="614" w:type="pct"/>
            <w:shd w:val="clear" w:color="auto" w:fill="auto"/>
            <w:noWrap/>
            <w:vAlign w:val="center"/>
            <w:hideMark/>
          </w:tcPr>
          <w:p w14:paraId="3E9032F9"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PNS</w:t>
            </w:r>
          </w:p>
        </w:tc>
        <w:tc>
          <w:tcPr>
            <w:tcW w:w="924" w:type="pct"/>
            <w:shd w:val="clear" w:color="auto" w:fill="auto"/>
            <w:noWrap/>
            <w:vAlign w:val="center"/>
            <w:hideMark/>
          </w:tcPr>
          <w:p w14:paraId="3D005A37"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nezadostno število podatkov</w:t>
            </w:r>
          </w:p>
        </w:tc>
        <w:tc>
          <w:tcPr>
            <w:tcW w:w="557" w:type="pct"/>
            <w:shd w:val="clear" w:color="auto" w:fill="auto"/>
            <w:noWrap/>
            <w:vAlign w:val="center"/>
            <w:hideMark/>
          </w:tcPr>
          <w:p w14:paraId="5191CF10"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61C185E8"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nezadostno število podatkov</w:t>
            </w:r>
          </w:p>
        </w:tc>
        <w:tc>
          <w:tcPr>
            <w:tcW w:w="576" w:type="pct"/>
            <w:shd w:val="clear" w:color="auto" w:fill="auto"/>
            <w:noWrap/>
            <w:vAlign w:val="center"/>
            <w:hideMark/>
          </w:tcPr>
          <w:p w14:paraId="583B011A"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r>
      <w:tr w:rsidR="001A09B9" w:rsidRPr="00545EC0" w14:paraId="5EBBBE66" w14:textId="77777777" w:rsidTr="001A09B9">
        <w:trPr>
          <w:trHeight w:val="315"/>
        </w:trPr>
        <w:tc>
          <w:tcPr>
            <w:tcW w:w="1424" w:type="pct"/>
            <w:shd w:val="clear" w:color="auto" w:fill="auto"/>
            <w:noWrap/>
            <w:vAlign w:val="center"/>
            <w:hideMark/>
          </w:tcPr>
          <w:p w14:paraId="03C874FA"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Kadmij</w:t>
            </w:r>
          </w:p>
        </w:tc>
        <w:tc>
          <w:tcPr>
            <w:tcW w:w="614" w:type="pct"/>
            <w:shd w:val="clear" w:color="auto" w:fill="auto"/>
            <w:noWrap/>
            <w:vAlign w:val="center"/>
            <w:hideMark/>
          </w:tcPr>
          <w:p w14:paraId="3C3C4FDF"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PNS</w:t>
            </w:r>
          </w:p>
        </w:tc>
        <w:tc>
          <w:tcPr>
            <w:tcW w:w="924" w:type="pct"/>
            <w:shd w:val="clear" w:color="auto" w:fill="auto"/>
            <w:noWrap/>
            <w:vAlign w:val="center"/>
            <w:hideMark/>
          </w:tcPr>
          <w:p w14:paraId="70D0E890"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 xml:space="preserve">ni spremembe </w:t>
            </w:r>
          </w:p>
        </w:tc>
        <w:tc>
          <w:tcPr>
            <w:tcW w:w="557" w:type="pct"/>
            <w:shd w:val="clear" w:color="auto" w:fill="auto"/>
            <w:noWrap/>
            <w:vAlign w:val="center"/>
            <w:hideMark/>
          </w:tcPr>
          <w:p w14:paraId="1976D241"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DA</w:t>
            </w:r>
          </w:p>
        </w:tc>
        <w:tc>
          <w:tcPr>
            <w:tcW w:w="905" w:type="pct"/>
            <w:shd w:val="clear" w:color="auto" w:fill="auto"/>
            <w:noWrap/>
            <w:vAlign w:val="center"/>
            <w:hideMark/>
          </w:tcPr>
          <w:p w14:paraId="7E6CB757"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76" w:type="pct"/>
            <w:shd w:val="clear" w:color="auto" w:fill="auto"/>
            <w:noWrap/>
            <w:vAlign w:val="center"/>
            <w:hideMark/>
          </w:tcPr>
          <w:p w14:paraId="2BC2797F"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r>
      <w:tr w:rsidR="001A09B9" w:rsidRPr="00545EC0" w14:paraId="719A6722" w14:textId="77777777" w:rsidTr="001A09B9">
        <w:trPr>
          <w:trHeight w:val="315"/>
        </w:trPr>
        <w:tc>
          <w:tcPr>
            <w:tcW w:w="1424" w:type="pct"/>
            <w:shd w:val="clear" w:color="auto" w:fill="auto"/>
            <w:noWrap/>
            <w:vAlign w:val="center"/>
            <w:hideMark/>
          </w:tcPr>
          <w:p w14:paraId="638430E9"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Kloroalkani (C10-C13)</w:t>
            </w:r>
          </w:p>
        </w:tc>
        <w:tc>
          <w:tcPr>
            <w:tcW w:w="614" w:type="pct"/>
            <w:shd w:val="clear" w:color="auto" w:fill="auto"/>
            <w:noWrap/>
            <w:vAlign w:val="center"/>
            <w:hideMark/>
          </w:tcPr>
          <w:p w14:paraId="61553D06"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PNS</w:t>
            </w:r>
          </w:p>
        </w:tc>
        <w:tc>
          <w:tcPr>
            <w:tcW w:w="924" w:type="pct"/>
            <w:shd w:val="clear" w:color="auto" w:fill="auto"/>
            <w:noWrap/>
            <w:vAlign w:val="center"/>
            <w:hideMark/>
          </w:tcPr>
          <w:p w14:paraId="1E12FBFA"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nezadostno število podatkov</w:t>
            </w:r>
          </w:p>
        </w:tc>
        <w:tc>
          <w:tcPr>
            <w:tcW w:w="557" w:type="pct"/>
            <w:shd w:val="clear" w:color="auto" w:fill="auto"/>
            <w:noWrap/>
            <w:vAlign w:val="center"/>
            <w:hideMark/>
          </w:tcPr>
          <w:p w14:paraId="595975C5"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5807D923" w14:textId="77777777" w:rsidR="00617285" w:rsidRPr="00545EC0" w:rsidRDefault="00617285" w:rsidP="001A09B9">
            <w:pPr>
              <w:overflowPunct/>
              <w:autoSpaceDE/>
              <w:autoSpaceDN/>
              <w:adjustRightInd/>
              <w:spacing w:line="240" w:lineRule="auto"/>
              <w:jc w:val="left"/>
              <w:textAlignment w:val="auto"/>
              <w:rPr>
                <w:rFonts w:cs="Arial"/>
                <w:i/>
                <w:iCs/>
                <w:sz w:val="18"/>
                <w:szCs w:val="18"/>
              </w:rPr>
            </w:pPr>
            <w:r w:rsidRPr="00545EC0">
              <w:rPr>
                <w:rFonts w:cs="Arial"/>
                <w:i/>
                <w:iCs/>
                <w:sz w:val="18"/>
                <w:szCs w:val="18"/>
              </w:rPr>
              <w:t>n.v.</w:t>
            </w:r>
          </w:p>
        </w:tc>
        <w:tc>
          <w:tcPr>
            <w:tcW w:w="576" w:type="pct"/>
            <w:shd w:val="clear" w:color="auto" w:fill="auto"/>
            <w:noWrap/>
            <w:vAlign w:val="center"/>
            <w:hideMark/>
          </w:tcPr>
          <w:p w14:paraId="4021F3FF" w14:textId="77777777" w:rsidR="00617285" w:rsidRPr="00545EC0" w:rsidRDefault="00617285" w:rsidP="001A09B9">
            <w:pPr>
              <w:overflowPunct/>
              <w:autoSpaceDE/>
              <w:autoSpaceDN/>
              <w:adjustRightInd/>
              <w:spacing w:line="240" w:lineRule="auto"/>
              <w:jc w:val="left"/>
              <w:textAlignment w:val="auto"/>
              <w:rPr>
                <w:rFonts w:cs="Arial"/>
                <w:i/>
                <w:iCs/>
                <w:sz w:val="18"/>
                <w:szCs w:val="18"/>
              </w:rPr>
            </w:pPr>
            <w:r w:rsidRPr="00545EC0">
              <w:rPr>
                <w:rFonts w:cs="Arial"/>
                <w:i/>
                <w:iCs/>
                <w:sz w:val="18"/>
                <w:szCs w:val="18"/>
              </w:rPr>
              <w:t>n.v.</w:t>
            </w:r>
          </w:p>
        </w:tc>
      </w:tr>
      <w:tr w:rsidR="001A09B9" w:rsidRPr="00545EC0" w14:paraId="23CA7053" w14:textId="77777777" w:rsidTr="001A09B9">
        <w:trPr>
          <w:trHeight w:val="315"/>
        </w:trPr>
        <w:tc>
          <w:tcPr>
            <w:tcW w:w="1424" w:type="pct"/>
            <w:shd w:val="clear" w:color="auto" w:fill="auto"/>
            <w:noWrap/>
            <w:vAlign w:val="center"/>
            <w:hideMark/>
          </w:tcPr>
          <w:p w14:paraId="4B7379F6"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Nonilfenol</w:t>
            </w:r>
          </w:p>
        </w:tc>
        <w:tc>
          <w:tcPr>
            <w:tcW w:w="614" w:type="pct"/>
            <w:shd w:val="clear" w:color="auto" w:fill="auto"/>
            <w:noWrap/>
            <w:vAlign w:val="center"/>
            <w:hideMark/>
          </w:tcPr>
          <w:p w14:paraId="281AC0E3"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PNS</w:t>
            </w:r>
          </w:p>
        </w:tc>
        <w:tc>
          <w:tcPr>
            <w:tcW w:w="924" w:type="pct"/>
            <w:shd w:val="clear" w:color="auto" w:fill="auto"/>
            <w:noWrap/>
            <w:vAlign w:val="center"/>
            <w:hideMark/>
          </w:tcPr>
          <w:p w14:paraId="25669B3C"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nezadostno število podatkov</w:t>
            </w:r>
          </w:p>
        </w:tc>
        <w:tc>
          <w:tcPr>
            <w:tcW w:w="557" w:type="pct"/>
            <w:shd w:val="clear" w:color="auto" w:fill="auto"/>
            <w:noWrap/>
            <w:vAlign w:val="center"/>
            <w:hideMark/>
          </w:tcPr>
          <w:p w14:paraId="6C5E0D4F"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6F317899"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76" w:type="pct"/>
            <w:shd w:val="clear" w:color="auto" w:fill="auto"/>
            <w:noWrap/>
            <w:vAlign w:val="center"/>
            <w:hideMark/>
          </w:tcPr>
          <w:p w14:paraId="57EC6ACF"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r>
      <w:tr w:rsidR="001A09B9" w:rsidRPr="00545EC0" w14:paraId="2CFA058A" w14:textId="77777777" w:rsidTr="001A09B9">
        <w:trPr>
          <w:trHeight w:val="315"/>
        </w:trPr>
        <w:tc>
          <w:tcPr>
            <w:tcW w:w="1424" w:type="pct"/>
            <w:shd w:val="clear" w:color="auto" w:fill="auto"/>
            <w:noWrap/>
            <w:vAlign w:val="center"/>
            <w:hideMark/>
          </w:tcPr>
          <w:p w14:paraId="2843F3ED"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Nonilfenol in nonilfenol etoksilati</w:t>
            </w:r>
          </w:p>
        </w:tc>
        <w:tc>
          <w:tcPr>
            <w:tcW w:w="614" w:type="pct"/>
            <w:shd w:val="clear" w:color="auto" w:fill="auto"/>
            <w:noWrap/>
            <w:vAlign w:val="center"/>
            <w:hideMark/>
          </w:tcPr>
          <w:p w14:paraId="51F1816B"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PNS</w:t>
            </w:r>
          </w:p>
        </w:tc>
        <w:tc>
          <w:tcPr>
            <w:tcW w:w="924" w:type="pct"/>
            <w:shd w:val="clear" w:color="auto" w:fill="auto"/>
            <w:noWrap/>
            <w:vAlign w:val="center"/>
            <w:hideMark/>
          </w:tcPr>
          <w:p w14:paraId="38FEDA29"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57" w:type="pct"/>
            <w:shd w:val="clear" w:color="auto" w:fill="auto"/>
            <w:noWrap/>
            <w:vAlign w:val="center"/>
            <w:hideMark/>
          </w:tcPr>
          <w:p w14:paraId="24042D24"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4F44742D" w14:textId="77777777" w:rsidR="00617285" w:rsidRPr="00545EC0" w:rsidRDefault="00617285" w:rsidP="001A09B9">
            <w:pPr>
              <w:overflowPunct/>
              <w:autoSpaceDE/>
              <w:autoSpaceDN/>
              <w:adjustRightInd/>
              <w:spacing w:line="240" w:lineRule="auto"/>
              <w:jc w:val="left"/>
              <w:textAlignment w:val="auto"/>
              <w:rPr>
                <w:rFonts w:cs="Arial"/>
                <w:i/>
                <w:iCs/>
                <w:sz w:val="18"/>
                <w:szCs w:val="18"/>
              </w:rPr>
            </w:pPr>
            <w:r w:rsidRPr="00545EC0">
              <w:rPr>
                <w:rFonts w:cs="Arial"/>
                <w:i/>
                <w:iCs/>
                <w:sz w:val="18"/>
                <w:szCs w:val="18"/>
              </w:rPr>
              <w:t>n.v.</w:t>
            </w:r>
          </w:p>
        </w:tc>
        <w:tc>
          <w:tcPr>
            <w:tcW w:w="576" w:type="pct"/>
            <w:shd w:val="clear" w:color="auto" w:fill="auto"/>
            <w:noWrap/>
            <w:vAlign w:val="center"/>
            <w:hideMark/>
          </w:tcPr>
          <w:p w14:paraId="1029C1BC" w14:textId="77777777" w:rsidR="00617285" w:rsidRPr="00545EC0" w:rsidRDefault="00617285" w:rsidP="001A09B9">
            <w:pPr>
              <w:overflowPunct/>
              <w:autoSpaceDE/>
              <w:autoSpaceDN/>
              <w:adjustRightInd/>
              <w:spacing w:line="240" w:lineRule="auto"/>
              <w:jc w:val="left"/>
              <w:textAlignment w:val="auto"/>
              <w:rPr>
                <w:rFonts w:cs="Arial"/>
                <w:i/>
                <w:iCs/>
                <w:sz w:val="18"/>
                <w:szCs w:val="18"/>
              </w:rPr>
            </w:pPr>
            <w:r w:rsidRPr="00545EC0">
              <w:rPr>
                <w:rFonts w:cs="Arial"/>
                <w:i/>
                <w:iCs/>
                <w:sz w:val="18"/>
                <w:szCs w:val="18"/>
              </w:rPr>
              <w:t>n.v.</w:t>
            </w:r>
          </w:p>
        </w:tc>
      </w:tr>
      <w:tr w:rsidR="001A09B9" w:rsidRPr="00545EC0" w14:paraId="169D1A0A" w14:textId="77777777" w:rsidTr="001A09B9">
        <w:trPr>
          <w:trHeight w:val="315"/>
        </w:trPr>
        <w:tc>
          <w:tcPr>
            <w:tcW w:w="1424" w:type="pct"/>
            <w:shd w:val="clear" w:color="auto" w:fill="auto"/>
            <w:noWrap/>
            <w:vAlign w:val="center"/>
            <w:hideMark/>
          </w:tcPr>
          <w:p w14:paraId="0EB35A79" w14:textId="1D19F024" w:rsidR="00617285" w:rsidRPr="00545EC0" w:rsidRDefault="00C12042" w:rsidP="00017486">
            <w:pPr>
              <w:overflowPunct/>
              <w:autoSpaceDE/>
              <w:autoSpaceDN/>
              <w:adjustRightInd/>
              <w:spacing w:line="240" w:lineRule="auto"/>
              <w:jc w:val="left"/>
              <w:textAlignment w:val="auto"/>
              <w:rPr>
                <w:rFonts w:cs="Arial"/>
                <w:sz w:val="18"/>
                <w:szCs w:val="18"/>
              </w:rPr>
            </w:pPr>
            <w:r w:rsidRPr="00545EC0">
              <w:rPr>
                <w:rFonts w:cs="Arial"/>
                <w:sz w:val="18"/>
                <w:szCs w:val="18"/>
              </w:rPr>
              <w:t>Policiklični</w:t>
            </w:r>
            <w:r w:rsidR="00617285" w:rsidRPr="00545EC0">
              <w:rPr>
                <w:rFonts w:cs="Arial"/>
                <w:sz w:val="18"/>
                <w:szCs w:val="18"/>
              </w:rPr>
              <w:t xml:space="preserve"> aromatski ogljikovodiki (PAH)</w:t>
            </w:r>
          </w:p>
        </w:tc>
        <w:tc>
          <w:tcPr>
            <w:tcW w:w="614" w:type="pct"/>
            <w:shd w:val="clear" w:color="auto" w:fill="auto"/>
            <w:noWrap/>
            <w:vAlign w:val="center"/>
            <w:hideMark/>
          </w:tcPr>
          <w:p w14:paraId="11A2978C"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PNS</w:t>
            </w:r>
          </w:p>
        </w:tc>
        <w:tc>
          <w:tcPr>
            <w:tcW w:w="924" w:type="pct"/>
            <w:shd w:val="clear" w:color="auto" w:fill="auto"/>
            <w:noWrap/>
            <w:vAlign w:val="center"/>
            <w:hideMark/>
          </w:tcPr>
          <w:p w14:paraId="259C8331"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57" w:type="pct"/>
            <w:shd w:val="clear" w:color="auto" w:fill="auto"/>
            <w:noWrap/>
            <w:vAlign w:val="center"/>
            <w:hideMark/>
          </w:tcPr>
          <w:p w14:paraId="0061C486"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41BCF45D"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76" w:type="pct"/>
            <w:shd w:val="clear" w:color="auto" w:fill="auto"/>
            <w:noWrap/>
            <w:vAlign w:val="center"/>
            <w:hideMark/>
          </w:tcPr>
          <w:p w14:paraId="08F769A8"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r>
      <w:tr w:rsidR="001A09B9" w:rsidRPr="00545EC0" w14:paraId="134BD401" w14:textId="77777777" w:rsidTr="001A09B9">
        <w:trPr>
          <w:trHeight w:val="315"/>
        </w:trPr>
        <w:tc>
          <w:tcPr>
            <w:tcW w:w="1424" w:type="pct"/>
            <w:shd w:val="clear" w:color="auto" w:fill="auto"/>
            <w:noWrap/>
            <w:vAlign w:val="center"/>
            <w:hideMark/>
          </w:tcPr>
          <w:p w14:paraId="23FCBA77"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Tributilkositrove spojine (Tributilkositrov kation)</w:t>
            </w:r>
          </w:p>
        </w:tc>
        <w:tc>
          <w:tcPr>
            <w:tcW w:w="614" w:type="pct"/>
            <w:shd w:val="clear" w:color="auto" w:fill="auto"/>
            <w:noWrap/>
            <w:vAlign w:val="center"/>
            <w:hideMark/>
          </w:tcPr>
          <w:p w14:paraId="318A2FFD"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PNS</w:t>
            </w:r>
          </w:p>
        </w:tc>
        <w:tc>
          <w:tcPr>
            <w:tcW w:w="924" w:type="pct"/>
            <w:shd w:val="clear" w:color="auto" w:fill="auto"/>
            <w:noWrap/>
            <w:vAlign w:val="center"/>
            <w:hideMark/>
          </w:tcPr>
          <w:p w14:paraId="1D5FBEB3"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57" w:type="pct"/>
            <w:shd w:val="clear" w:color="auto" w:fill="auto"/>
            <w:noWrap/>
            <w:vAlign w:val="center"/>
            <w:hideMark/>
          </w:tcPr>
          <w:p w14:paraId="7D239EEF"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5A9522B8" w14:textId="77777777" w:rsidR="00617285" w:rsidRPr="00545EC0" w:rsidRDefault="00617285" w:rsidP="001A09B9">
            <w:pPr>
              <w:overflowPunct/>
              <w:autoSpaceDE/>
              <w:autoSpaceDN/>
              <w:adjustRightInd/>
              <w:spacing w:line="240" w:lineRule="auto"/>
              <w:jc w:val="left"/>
              <w:textAlignment w:val="auto"/>
              <w:rPr>
                <w:rFonts w:cs="Arial"/>
                <w:i/>
                <w:iCs/>
                <w:sz w:val="18"/>
                <w:szCs w:val="18"/>
              </w:rPr>
            </w:pPr>
            <w:r w:rsidRPr="00545EC0">
              <w:rPr>
                <w:rFonts w:cs="Arial"/>
                <w:i/>
                <w:iCs/>
                <w:sz w:val="18"/>
                <w:szCs w:val="18"/>
              </w:rPr>
              <w:t>n.v.</w:t>
            </w:r>
          </w:p>
        </w:tc>
        <w:tc>
          <w:tcPr>
            <w:tcW w:w="576" w:type="pct"/>
            <w:shd w:val="clear" w:color="auto" w:fill="auto"/>
            <w:noWrap/>
            <w:vAlign w:val="center"/>
            <w:hideMark/>
          </w:tcPr>
          <w:p w14:paraId="2661DC44" w14:textId="77777777" w:rsidR="00617285" w:rsidRPr="00545EC0" w:rsidRDefault="00617285" w:rsidP="001A09B9">
            <w:pPr>
              <w:overflowPunct/>
              <w:autoSpaceDE/>
              <w:autoSpaceDN/>
              <w:adjustRightInd/>
              <w:spacing w:line="240" w:lineRule="auto"/>
              <w:jc w:val="left"/>
              <w:textAlignment w:val="auto"/>
              <w:rPr>
                <w:rFonts w:cs="Arial"/>
                <w:i/>
                <w:iCs/>
                <w:sz w:val="18"/>
                <w:szCs w:val="18"/>
              </w:rPr>
            </w:pPr>
            <w:r w:rsidRPr="00545EC0">
              <w:rPr>
                <w:rFonts w:cs="Arial"/>
                <w:i/>
                <w:iCs/>
                <w:sz w:val="18"/>
                <w:szCs w:val="18"/>
              </w:rPr>
              <w:t>n.v.</w:t>
            </w:r>
          </w:p>
        </w:tc>
      </w:tr>
      <w:tr w:rsidR="001A09B9" w:rsidRPr="00545EC0" w14:paraId="3D85E642" w14:textId="77777777" w:rsidTr="001A09B9">
        <w:trPr>
          <w:trHeight w:val="315"/>
        </w:trPr>
        <w:tc>
          <w:tcPr>
            <w:tcW w:w="1424" w:type="pct"/>
            <w:shd w:val="clear" w:color="auto" w:fill="auto"/>
            <w:noWrap/>
            <w:vAlign w:val="center"/>
            <w:hideMark/>
          </w:tcPr>
          <w:p w14:paraId="5F10DFC9"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Živo srebro</w:t>
            </w:r>
          </w:p>
        </w:tc>
        <w:tc>
          <w:tcPr>
            <w:tcW w:w="614" w:type="pct"/>
            <w:shd w:val="clear" w:color="auto" w:fill="auto"/>
            <w:noWrap/>
            <w:vAlign w:val="center"/>
            <w:hideMark/>
          </w:tcPr>
          <w:p w14:paraId="25660F6B"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PNS</w:t>
            </w:r>
          </w:p>
        </w:tc>
        <w:tc>
          <w:tcPr>
            <w:tcW w:w="924" w:type="pct"/>
            <w:shd w:val="clear" w:color="auto" w:fill="auto"/>
            <w:noWrap/>
            <w:vAlign w:val="center"/>
            <w:hideMark/>
          </w:tcPr>
          <w:p w14:paraId="576A36D7"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57" w:type="pct"/>
            <w:shd w:val="clear" w:color="auto" w:fill="auto"/>
            <w:noWrap/>
            <w:vAlign w:val="center"/>
            <w:hideMark/>
          </w:tcPr>
          <w:p w14:paraId="20C6AE13"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DA*</w:t>
            </w:r>
          </w:p>
        </w:tc>
        <w:tc>
          <w:tcPr>
            <w:tcW w:w="905" w:type="pct"/>
            <w:shd w:val="clear" w:color="auto" w:fill="auto"/>
            <w:noWrap/>
            <w:vAlign w:val="center"/>
            <w:hideMark/>
          </w:tcPr>
          <w:p w14:paraId="0110CBD3"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76" w:type="pct"/>
            <w:shd w:val="clear" w:color="auto" w:fill="auto"/>
            <w:noWrap/>
            <w:vAlign w:val="center"/>
            <w:hideMark/>
          </w:tcPr>
          <w:p w14:paraId="7C68049D"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r>
      <w:tr w:rsidR="001A09B9" w:rsidRPr="00545EC0" w14:paraId="18375193" w14:textId="77777777" w:rsidTr="001A09B9">
        <w:trPr>
          <w:trHeight w:val="315"/>
        </w:trPr>
        <w:tc>
          <w:tcPr>
            <w:tcW w:w="1424" w:type="pct"/>
            <w:shd w:val="clear" w:color="auto" w:fill="auto"/>
            <w:noWrap/>
            <w:vAlign w:val="center"/>
            <w:hideMark/>
          </w:tcPr>
          <w:p w14:paraId="54DF5482"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Di(2-etilheksil)ftalat (DEHP)</w:t>
            </w:r>
          </w:p>
        </w:tc>
        <w:tc>
          <w:tcPr>
            <w:tcW w:w="614" w:type="pct"/>
            <w:shd w:val="clear" w:color="auto" w:fill="auto"/>
            <w:noWrap/>
            <w:vAlign w:val="center"/>
            <w:hideMark/>
          </w:tcPr>
          <w:p w14:paraId="16B9D399"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PS</w:t>
            </w:r>
          </w:p>
        </w:tc>
        <w:tc>
          <w:tcPr>
            <w:tcW w:w="924" w:type="pct"/>
            <w:shd w:val="clear" w:color="auto" w:fill="auto"/>
            <w:noWrap/>
            <w:vAlign w:val="center"/>
            <w:hideMark/>
          </w:tcPr>
          <w:p w14:paraId="71F75C49"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57" w:type="pct"/>
            <w:shd w:val="clear" w:color="auto" w:fill="auto"/>
            <w:noWrap/>
            <w:vAlign w:val="center"/>
            <w:hideMark/>
          </w:tcPr>
          <w:p w14:paraId="399C5634"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3DA3E221"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76" w:type="pct"/>
            <w:shd w:val="clear" w:color="auto" w:fill="auto"/>
            <w:noWrap/>
            <w:vAlign w:val="center"/>
            <w:hideMark/>
          </w:tcPr>
          <w:p w14:paraId="5326F2A4"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r>
      <w:tr w:rsidR="001A09B9" w:rsidRPr="00545EC0" w14:paraId="642DAE41" w14:textId="77777777" w:rsidTr="001A09B9">
        <w:trPr>
          <w:trHeight w:val="315"/>
        </w:trPr>
        <w:tc>
          <w:tcPr>
            <w:tcW w:w="1424" w:type="pct"/>
            <w:shd w:val="clear" w:color="auto" w:fill="auto"/>
            <w:noWrap/>
            <w:vAlign w:val="center"/>
            <w:hideMark/>
          </w:tcPr>
          <w:p w14:paraId="1D413FA2"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1,2-Dikloroetan</w:t>
            </w:r>
          </w:p>
        </w:tc>
        <w:tc>
          <w:tcPr>
            <w:tcW w:w="614" w:type="pct"/>
            <w:shd w:val="clear" w:color="auto" w:fill="auto"/>
            <w:noWrap/>
            <w:vAlign w:val="center"/>
            <w:hideMark/>
          </w:tcPr>
          <w:p w14:paraId="6B32EB69"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PS</w:t>
            </w:r>
          </w:p>
        </w:tc>
        <w:tc>
          <w:tcPr>
            <w:tcW w:w="924" w:type="pct"/>
            <w:shd w:val="clear" w:color="auto" w:fill="auto"/>
            <w:noWrap/>
            <w:vAlign w:val="center"/>
            <w:hideMark/>
          </w:tcPr>
          <w:p w14:paraId="1B7E18E0"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57" w:type="pct"/>
            <w:shd w:val="clear" w:color="auto" w:fill="auto"/>
            <w:noWrap/>
            <w:vAlign w:val="center"/>
            <w:hideMark/>
          </w:tcPr>
          <w:p w14:paraId="4F8D1B45"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735C145C"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76" w:type="pct"/>
            <w:shd w:val="clear" w:color="auto" w:fill="auto"/>
            <w:noWrap/>
            <w:vAlign w:val="center"/>
            <w:hideMark/>
          </w:tcPr>
          <w:p w14:paraId="2E85F5A6"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r>
      <w:tr w:rsidR="001A09B9" w:rsidRPr="00545EC0" w14:paraId="7DD9C019" w14:textId="77777777" w:rsidTr="001A09B9">
        <w:trPr>
          <w:trHeight w:val="315"/>
        </w:trPr>
        <w:tc>
          <w:tcPr>
            <w:tcW w:w="1424" w:type="pct"/>
            <w:shd w:val="clear" w:color="auto" w:fill="auto"/>
            <w:noWrap/>
            <w:vAlign w:val="center"/>
            <w:hideMark/>
          </w:tcPr>
          <w:p w14:paraId="4782E25B"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Atrazin</w:t>
            </w:r>
          </w:p>
        </w:tc>
        <w:tc>
          <w:tcPr>
            <w:tcW w:w="614" w:type="pct"/>
            <w:shd w:val="clear" w:color="auto" w:fill="auto"/>
            <w:noWrap/>
            <w:vAlign w:val="center"/>
            <w:hideMark/>
          </w:tcPr>
          <w:p w14:paraId="0332A8BC"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PS</w:t>
            </w:r>
          </w:p>
        </w:tc>
        <w:tc>
          <w:tcPr>
            <w:tcW w:w="924" w:type="pct"/>
            <w:shd w:val="clear" w:color="auto" w:fill="auto"/>
            <w:noWrap/>
            <w:vAlign w:val="center"/>
            <w:hideMark/>
          </w:tcPr>
          <w:p w14:paraId="497FE872"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57" w:type="pct"/>
            <w:shd w:val="clear" w:color="auto" w:fill="auto"/>
            <w:noWrap/>
            <w:vAlign w:val="center"/>
            <w:hideMark/>
          </w:tcPr>
          <w:p w14:paraId="4B054771"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2492855B" w14:textId="77777777" w:rsidR="00617285" w:rsidRPr="00545EC0" w:rsidRDefault="00617285" w:rsidP="001A09B9">
            <w:pPr>
              <w:overflowPunct/>
              <w:autoSpaceDE/>
              <w:autoSpaceDN/>
              <w:adjustRightInd/>
              <w:spacing w:line="240" w:lineRule="auto"/>
              <w:jc w:val="left"/>
              <w:textAlignment w:val="auto"/>
              <w:rPr>
                <w:rFonts w:cs="Arial"/>
                <w:i/>
                <w:iCs/>
                <w:sz w:val="18"/>
                <w:szCs w:val="18"/>
              </w:rPr>
            </w:pPr>
            <w:r w:rsidRPr="00545EC0">
              <w:rPr>
                <w:rFonts w:cs="Arial"/>
                <w:i/>
                <w:iCs/>
                <w:sz w:val="18"/>
                <w:szCs w:val="18"/>
              </w:rPr>
              <w:t>n.v.</w:t>
            </w:r>
          </w:p>
        </w:tc>
        <w:tc>
          <w:tcPr>
            <w:tcW w:w="576" w:type="pct"/>
            <w:shd w:val="clear" w:color="auto" w:fill="auto"/>
            <w:noWrap/>
            <w:vAlign w:val="center"/>
            <w:hideMark/>
          </w:tcPr>
          <w:p w14:paraId="2412BC97" w14:textId="77777777" w:rsidR="00617285" w:rsidRPr="00545EC0" w:rsidRDefault="00617285" w:rsidP="001A09B9">
            <w:pPr>
              <w:overflowPunct/>
              <w:autoSpaceDE/>
              <w:autoSpaceDN/>
              <w:adjustRightInd/>
              <w:spacing w:line="240" w:lineRule="auto"/>
              <w:jc w:val="left"/>
              <w:textAlignment w:val="auto"/>
              <w:rPr>
                <w:rFonts w:cs="Arial"/>
                <w:i/>
                <w:iCs/>
                <w:sz w:val="18"/>
                <w:szCs w:val="18"/>
              </w:rPr>
            </w:pPr>
            <w:r w:rsidRPr="00545EC0">
              <w:rPr>
                <w:rFonts w:cs="Arial"/>
                <w:i/>
                <w:iCs/>
                <w:sz w:val="18"/>
                <w:szCs w:val="18"/>
              </w:rPr>
              <w:t>n.v.</w:t>
            </w:r>
          </w:p>
        </w:tc>
      </w:tr>
      <w:tr w:rsidR="001A09B9" w:rsidRPr="00545EC0" w14:paraId="6EBAF6C6" w14:textId="77777777" w:rsidTr="001A09B9">
        <w:trPr>
          <w:trHeight w:val="315"/>
        </w:trPr>
        <w:tc>
          <w:tcPr>
            <w:tcW w:w="1424" w:type="pct"/>
            <w:shd w:val="clear" w:color="auto" w:fill="auto"/>
            <w:noWrap/>
            <w:vAlign w:val="center"/>
            <w:hideMark/>
          </w:tcPr>
          <w:p w14:paraId="25AB77B8"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Benzen</w:t>
            </w:r>
          </w:p>
        </w:tc>
        <w:tc>
          <w:tcPr>
            <w:tcW w:w="614" w:type="pct"/>
            <w:shd w:val="clear" w:color="auto" w:fill="auto"/>
            <w:noWrap/>
            <w:vAlign w:val="center"/>
            <w:hideMark/>
          </w:tcPr>
          <w:p w14:paraId="3E1C9241"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PS</w:t>
            </w:r>
          </w:p>
        </w:tc>
        <w:tc>
          <w:tcPr>
            <w:tcW w:w="924" w:type="pct"/>
            <w:shd w:val="clear" w:color="auto" w:fill="auto"/>
            <w:noWrap/>
            <w:vAlign w:val="center"/>
            <w:hideMark/>
          </w:tcPr>
          <w:p w14:paraId="69239B3B"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57" w:type="pct"/>
            <w:shd w:val="clear" w:color="auto" w:fill="auto"/>
            <w:noWrap/>
            <w:vAlign w:val="center"/>
            <w:hideMark/>
          </w:tcPr>
          <w:p w14:paraId="16071B8D"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29B8A007" w14:textId="77777777" w:rsidR="00617285" w:rsidRPr="00545EC0" w:rsidRDefault="00617285" w:rsidP="001A09B9">
            <w:pPr>
              <w:overflowPunct/>
              <w:autoSpaceDE/>
              <w:autoSpaceDN/>
              <w:adjustRightInd/>
              <w:spacing w:line="240" w:lineRule="auto"/>
              <w:jc w:val="left"/>
              <w:textAlignment w:val="auto"/>
              <w:rPr>
                <w:rFonts w:cs="Arial"/>
                <w:i/>
                <w:iCs/>
                <w:sz w:val="18"/>
                <w:szCs w:val="18"/>
              </w:rPr>
            </w:pPr>
            <w:r w:rsidRPr="00545EC0">
              <w:rPr>
                <w:rFonts w:cs="Arial"/>
                <w:i/>
                <w:iCs/>
                <w:sz w:val="18"/>
                <w:szCs w:val="18"/>
              </w:rPr>
              <w:t>n.v.</w:t>
            </w:r>
          </w:p>
        </w:tc>
        <w:tc>
          <w:tcPr>
            <w:tcW w:w="576" w:type="pct"/>
            <w:shd w:val="clear" w:color="auto" w:fill="auto"/>
            <w:noWrap/>
            <w:vAlign w:val="center"/>
            <w:hideMark/>
          </w:tcPr>
          <w:p w14:paraId="2AE0020A" w14:textId="77777777" w:rsidR="00617285" w:rsidRPr="00545EC0" w:rsidRDefault="00617285" w:rsidP="001A09B9">
            <w:pPr>
              <w:overflowPunct/>
              <w:autoSpaceDE/>
              <w:autoSpaceDN/>
              <w:adjustRightInd/>
              <w:spacing w:line="240" w:lineRule="auto"/>
              <w:jc w:val="left"/>
              <w:textAlignment w:val="auto"/>
              <w:rPr>
                <w:rFonts w:cs="Arial"/>
                <w:i/>
                <w:iCs/>
                <w:sz w:val="18"/>
                <w:szCs w:val="18"/>
              </w:rPr>
            </w:pPr>
            <w:r w:rsidRPr="00545EC0">
              <w:rPr>
                <w:rFonts w:cs="Arial"/>
                <w:i/>
                <w:iCs/>
                <w:sz w:val="18"/>
                <w:szCs w:val="18"/>
              </w:rPr>
              <w:t>n.v.</w:t>
            </w:r>
          </w:p>
        </w:tc>
      </w:tr>
      <w:tr w:rsidR="001A09B9" w:rsidRPr="00545EC0" w14:paraId="32041495" w14:textId="77777777" w:rsidTr="001A09B9">
        <w:trPr>
          <w:trHeight w:val="315"/>
        </w:trPr>
        <w:tc>
          <w:tcPr>
            <w:tcW w:w="1424" w:type="pct"/>
            <w:shd w:val="clear" w:color="auto" w:fill="auto"/>
            <w:noWrap/>
            <w:vAlign w:val="center"/>
            <w:hideMark/>
          </w:tcPr>
          <w:p w14:paraId="1599EC2A"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Diklorometan</w:t>
            </w:r>
          </w:p>
        </w:tc>
        <w:tc>
          <w:tcPr>
            <w:tcW w:w="614" w:type="pct"/>
            <w:shd w:val="clear" w:color="auto" w:fill="auto"/>
            <w:noWrap/>
            <w:vAlign w:val="center"/>
            <w:hideMark/>
          </w:tcPr>
          <w:p w14:paraId="4D05BFD4"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PS</w:t>
            </w:r>
          </w:p>
        </w:tc>
        <w:tc>
          <w:tcPr>
            <w:tcW w:w="924" w:type="pct"/>
            <w:shd w:val="clear" w:color="auto" w:fill="auto"/>
            <w:noWrap/>
            <w:vAlign w:val="center"/>
            <w:hideMark/>
          </w:tcPr>
          <w:p w14:paraId="709D072C"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57" w:type="pct"/>
            <w:shd w:val="clear" w:color="auto" w:fill="auto"/>
            <w:noWrap/>
            <w:vAlign w:val="center"/>
            <w:hideMark/>
          </w:tcPr>
          <w:p w14:paraId="5329170C"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6A660F22"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76" w:type="pct"/>
            <w:shd w:val="clear" w:color="auto" w:fill="auto"/>
            <w:noWrap/>
            <w:vAlign w:val="center"/>
            <w:hideMark/>
          </w:tcPr>
          <w:p w14:paraId="685F7B24"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r>
      <w:tr w:rsidR="001A09B9" w:rsidRPr="00545EC0" w14:paraId="0EC6C302" w14:textId="77777777" w:rsidTr="001A09B9">
        <w:trPr>
          <w:trHeight w:val="315"/>
        </w:trPr>
        <w:tc>
          <w:tcPr>
            <w:tcW w:w="1424" w:type="pct"/>
            <w:shd w:val="clear" w:color="auto" w:fill="auto"/>
            <w:noWrap/>
            <w:vAlign w:val="center"/>
            <w:hideMark/>
          </w:tcPr>
          <w:p w14:paraId="61965F4F"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Diuron</w:t>
            </w:r>
          </w:p>
        </w:tc>
        <w:tc>
          <w:tcPr>
            <w:tcW w:w="614" w:type="pct"/>
            <w:shd w:val="clear" w:color="auto" w:fill="auto"/>
            <w:noWrap/>
            <w:vAlign w:val="center"/>
            <w:hideMark/>
          </w:tcPr>
          <w:p w14:paraId="60D348F7"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PS</w:t>
            </w:r>
          </w:p>
        </w:tc>
        <w:tc>
          <w:tcPr>
            <w:tcW w:w="924" w:type="pct"/>
            <w:shd w:val="clear" w:color="auto" w:fill="auto"/>
            <w:noWrap/>
            <w:vAlign w:val="center"/>
            <w:hideMark/>
          </w:tcPr>
          <w:p w14:paraId="24A321D2"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nezadostno število podatkov</w:t>
            </w:r>
          </w:p>
        </w:tc>
        <w:tc>
          <w:tcPr>
            <w:tcW w:w="557" w:type="pct"/>
            <w:shd w:val="clear" w:color="auto" w:fill="auto"/>
            <w:noWrap/>
            <w:vAlign w:val="center"/>
            <w:hideMark/>
          </w:tcPr>
          <w:p w14:paraId="215532F5"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5C90A749" w14:textId="77777777" w:rsidR="00617285" w:rsidRPr="00545EC0" w:rsidRDefault="00617285" w:rsidP="001A09B9">
            <w:pPr>
              <w:overflowPunct/>
              <w:autoSpaceDE/>
              <w:autoSpaceDN/>
              <w:adjustRightInd/>
              <w:spacing w:line="240" w:lineRule="auto"/>
              <w:jc w:val="left"/>
              <w:textAlignment w:val="auto"/>
              <w:rPr>
                <w:rFonts w:cs="Arial"/>
                <w:i/>
                <w:iCs/>
                <w:sz w:val="18"/>
                <w:szCs w:val="18"/>
              </w:rPr>
            </w:pPr>
            <w:r w:rsidRPr="00545EC0">
              <w:rPr>
                <w:rFonts w:cs="Arial"/>
                <w:i/>
                <w:iCs/>
                <w:sz w:val="18"/>
                <w:szCs w:val="18"/>
              </w:rPr>
              <w:t>n.v.</w:t>
            </w:r>
          </w:p>
        </w:tc>
        <w:tc>
          <w:tcPr>
            <w:tcW w:w="576" w:type="pct"/>
            <w:shd w:val="clear" w:color="auto" w:fill="auto"/>
            <w:noWrap/>
            <w:vAlign w:val="center"/>
            <w:hideMark/>
          </w:tcPr>
          <w:p w14:paraId="346E83E5" w14:textId="77777777" w:rsidR="00617285" w:rsidRPr="00545EC0" w:rsidRDefault="00617285" w:rsidP="001A09B9">
            <w:pPr>
              <w:overflowPunct/>
              <w:autoSpaceDE/>
              <w:autoSpaceDN/>
              <w:adjustRightInd/>
              <w:spacing w:line="240" w:lineRule="auto"/>
              <w:jc w:val="left"/>
              <w:textAlignment w:val="auto"/>
              <w:rPr>
                <w:rFonts w:cs="Arial"/>
                <w:i/>
                <w:iCs/>
                <w:sz w:val="18"/>
                <w:szCs w:val="18"/>
              </w:rPr>
            </w:pPr>
            <w:r w:rsidRPr="00545EC0">
              <w:rPr>
                <w:rFonts w:cs="Arial"/>
                <w:i/>
                <w:iCs/>
                <w:sz w:val="18"/>
                <w:szCs w:val="18"/>
              </w:rPr>
              <w:t>n.v.</w:t>
            </w:r>
          </w:p>
        </w:tc>
      </w:tr>
      <w:tr w:rsidR="001A09B9" w:rsidRPr="00545EC0" w14:paraId="01EA5811" w14:textId="77777777" w:rsidTr="001A09B9">
        <w:trPr>
          <w:trHeight w:val="315"/>
        </w:trPr>
        <w:tc>
          <w:tcPr>
            <w:tcW w:w="1424" w:type="pct"/>
            <w:shd w:val="clear" w:color="auto" w:fill="auto"/>
            <w:noWrap/>
            <w:vAlign w:val="center"/>
            <w:hideMark/>
          </w:tcPr>
          <w:p w14:paraId="7A33DCE5"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Fluoranten</w:t>
            </w:r>
          </w:p>
        </w:tc>
        <w:tc>
          <w:tcPr>
            <w:tcW w:w="614" w:type="pct"/>
            <w:shd w:val="clear" w:color="auto" w:fill="auto"/>
            <w:noWrap/>
            <w:vAlign w:val="center"/>
            <w:hideMark/>
          </w:tcPr>
          <w:p w14:paraId="32AE2DBC"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PS</w:t>
            </w:r>
          </w:p>
        </w:tc>
        <w:tc>
          <w:tcPr>
            <w:tcW w:w="924" w:type="pct"/>
            <w:shd w:val="clear" w:color="auto" w:fill="auto"/>
            <w:noWrap/>
            <w:vAlign w:val="center"/>
            <w:hideMark/>
          </w:tcPr>
          <w:p w14:paraId="5F1D5864"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nezadostno število podatkov</w:t>
            </w:r>
          </w:p>
        </w:tc>
        <w:tc>
          <w:tcPr>
            <w:tcW w:w="557" w:type="pct"/>
            <w:shd w:val="clear" w:color="auto" w:fill="auto"/>
            <w:noWrap/>
            <w:vAlign w:val="center"/>
            <w:hideMark/>
          </w:tcPr>
          <w:p w14:paraId="03D4DF08"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187CDC33"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76" w:type="pct"/>
            <w:shd w:val="clear" w:color="auto" w:fill="auto"/>
            <w:noWrap/>
            <w:vAlign w:val="center"/>
            <w:hideMark/>
          </w:tcPr>
          <w:p w14:paraId="09183D0A"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r>
      <w:tr w:rsidR="001A09B9" w:rsidRPr="00545EC0" w14:paraId="7DE1F86C" w14:textId="77777777" w:rsidTr="001A09B9">
        <w:trPr>
          <w:trHeight w:val="315"/>
        </w:trPr>
        <w:tc>
          <w:tcPr>
            <w:tcW w:w="1424" w:type="pct"/>
            <w:shd w:val="clear" w:color="auto" w:fill="auto"/>
            <w:noWrap/>
            <w:vAlign w:val="center"/>
            <w:hideMark/>
          </w:tcPr>
          <w:p w14:paraId="164136D5"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Izoproturon</w:t>
            </w:r>
          </w:p>
        </w:tc>
        <w:tc>
          <w:tcPr>
            <w:tcW w:w="614" w:type="pct"/>
            <w:shd w:val="clear" w:color="auto" w:fill="auto"/>
            <w:noWrap/>
            <w:vAlign w:val="center"/>
            <w:hideMark/>
          </w:tcPr>
          <w:p w14:paraId="5EE134C3"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PS</w:t>
            </w:r>
          </w:p>
        </w:tc>
        <w:tc>
          <w:tcPr>
            <w:tcW w:w="924" w:type="pct"/>
            <w:shd w:val="clear" w:color="auto" w:fill="auto"/>
            <w:noWrap/>
            <w:vAlign w:val="center"/>
            <w:hideMark/>
          </w:tcPr>
          <w:p w14:paraId="00B21434"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nezadostno število podatkov</w:t>
            </w:r>
          </w:p>
        </w:tc>
        <w:tc>
          <w:tcPr>
            <w:tcW w:w="557" w:type="pct"/>
            <w:shd w:val="clear" w:color="auto" w:fill="auto"/>
            <w:noWrap/>
            <w:vAlign w:val="center"/>
            <w:hideMark/>
          </w:tcPr>
          <w:p w14:paraId="4ABDCFEE"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6EDEAA69" w14:textId="77777777" w:rsidR="00617285" w:rsidRPr="00545EC0" w:rsidRDefault="00617285" w:rsidP="001A09B9">
            <w:pPr>
              <w:overflowPunct/>
              <w:autoSpaceDE/>
              <w:autoSpaceDN/>
              <w:adjustRightInd/>
              <w:spacing w:line="240" w:lineRule="auto"/>
              <w:jc w:val="left"/>
              <w:textAlignment w:val="auto"/>
              <w:rPr>
                <w:rFonts w:cs="Arial"/>
                <w:i/>
                <w:iCs/>
                <w:sz w:val="18"/>
                <w:szCs w:val="18"/>
              </w:rPr>
            </w:pPr>
            <w:r w:rsidRPr="00545EC0">
              <w:rPr>
                <w:rFonts w:cs="Arial"/>
                <w:i/>
                <w:iCs/>
                <w:sz w:val="18"/>
                <w:szCs w:val="18"/>
              </w:rPr>
              <w:t>n.v.</w:t>
            </w:r>
          </w:p>
        </w:tc>
        <w:tc>
          <w:tcPr>
            <w:tcW w:w="576" w:type="pct"/>
            <w:shd w:val="clear" w:color="auto" w:fill="auto"/>
            <w:noWrap/>
            <w:vAlign w:val="center"/>
            <w:hideMark/>
          </w:tcPr>
          <w:p w14:paraId="6F3C785A" w14:textId="77777777" w:rsidR="00617285" w:rsidRPr="00545EC0" w:rsidRDefault="00617285" w:rsidP="001A09B9">
            <w:pPr>
              <w:overflowPunct/>
              <w:autoSpaceDE/>
              <w:autoSpaceDN/>
              <w:adjustRightInd/>
              <w:spacing w:line="240" w:lineRule="auto"/>
              <w:jc w:val="left"/>
              <w:textAlignment w:val="auto"/>
              <w:rPr>
                <w:rFonts w:cs="Arial"/>
                <w:i/>
                <w:iCs/>
                <w:sz w:val="18"/>
                <w:szCs w:val="18"/>
              </w:rPr>
            </w:pPr>
            <w:r w:rsidRPr="00545EC0">
              <w:rPr>
                <w:rFonts w:cs="Arial"/>
                <w:i/>
                <w:iCs/>
                <w:sz w:val="18"/>
                <w:szCs w:val="18"/>
              </w:rPr>
              <w:t>n.v.</w:t>
            </w:r>
          </w:p>
        </w:tc>
      </w:tr>
      <w:tr w:rsidR="001A09B9" w:rsidRPr="00545EC0" w14:paraId="016B9C73" w14:textId="77777777" w:rsidTr="001A09B9">
        <w:trPr>
          <w:trHeight w:val="315"/>
        </w:trPr>
        <w:tc>
          <w:tcPr>
            <w:tcW w:w="1424" w:type="pct"/>
            <w:shd w:val="clear" w:color="auto" w:fill="auto"/>
            <w:noWrap/>
            <w:vAlign w:val="center"/>
            <w:hideMark/>
          </w:tcPr>
          <w:p w14:paraId="61043E72"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Naftalen</w:t>
            </w:r>
          </w:p>
        </w:tc>
        <w:tc>
          <w:tcPr>
            <w:tcW w:w="614" w:type="pct"/>
            <w:shd w:val="clear" w:color="auto" w:fill="auto"/>
            <w:noWrap/>
            <w:vAlign w:val="center"/>
            <w:hideMark/>
          </w:tcPr>
          <w:p w14:paraId="7ADC74F3"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PS</w:t>
            </w:r>
          </w:p>
        </w:tc>
        <w:tc>
          <w:tcPr>
            <w:tcW w:w="924" w:type="pct"/>
            <w:shd w:val="clear" w:color="auto" w:fill="auto"/>
            <w:noWrap/>
            <w:vAlign w:val="center"/>
            <w:hideMark/>
          </w:tcPr>
          <w:p w14:paraId="767F90CD"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nezadostno število podatkov</w:t>
            </w:r>
          </w:p>
        </w:tc>
        <w:tc>
          <w:tcPr>
            <w:tcW w:w="557" w:type="pct"/>
            <w:shd w:val="clear" w:color="auto" w:fill="auto"/>
            <w:noWrap/>
            <w:vAlign w:val="center"/>
            <w:hideMark/>
          </w:tcPr>
          <w:p w14:paraId="16E2F259"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1B780D23"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nezadostno število podatkov</w:t>
            </w:r>
          </w:p>
        </w:tc>
        <w:tc>
          <w:tcPr>
            <w:tcW w:w="576" w:type="pct"/>
            <w:shd w:val="clear" w:color="auto" w:fill="auto"/>
            <w:noWrap/>
            <w:vAlign w:val="center"/>
            <w:hideMark/>
          </w:tcPr>
          <w:p w14:paraId="679CB228"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r>
      <w:tr w:rsidR="001A09B9" w:rsidRPr="00545EC0" w14:paraId="4FE38CAE" w14:textId="77777777" w:rsidTr="001A09B9">
        <w:trPr>
          <w:trHeight w:val="315"/>
        </w:trPr>
        <w:tc>
          <w:tcPr>
            <w:tcW w:w="1424" w:type="pct"/>
            <w:shd w:val="clear" w:color="auto" w:fill="auto"/>
            <w:noWrap/>
            <w:vAlign w:val="center"/>
            <w:hideMark/>
          </w:tcPr>
          <w:p w14:paraId="185D9B2E"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Nikelj</w:t>
            </w:r>
          </w:p>
        </w:tc>
        <w:tc>
          <w:tcPr>
            <w:tcW w:w="614" w:type="pct"/>
            <w:shd w:val="clear" w:color="auto" w:fill="auto"/>
            <w:noWrap/>
            <w:vAlign w:val="center"/>
            <w:hideMark/>
          </w:tcPr>
          <w:p w14:paraId="5A16FE6A"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PS</w:t>
            </w:r>
          </w:p>
        </w:tc>
        <w:tc>
          <w:tcPr>
            <w:tcW w:w="924" w:type="pct"/>
            <w:shd w:val="clear" w:color="auto" w:fill="auto"/>
            <w:noWrap/>
            <w:vAlign w:val="center"/>
            <w:hideMark/>
          </w:tcPr>
          <w:p w14:paraId="3F2B1185"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57" w:type="pct"/>
            <w:shd w:val="clear" w:color="auto" w:fill="auto"/>
            <w:noWrap/>
            <w:vAlign w:val="center"/>
            <w:hideMark/>
          </w:tcPr>
          <w:p w14:paraId="724BF7DA"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DA</w:t>
            </w:r>
          </w:p>
        </w:tc>
        <w:tc>
          <w:tcPr>
            <w:tcW w:w="905" w:type="pct"/>
            <w:shd w:val="clear" w:color="auto" w:fill="auto"/>
            <w:noWrap/>
            <w:vAlign w:val="center"/>
            <w:hideMark/>
          </w:tcPr>
          <w:p w14:paraId="67704C8C"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76" w:type="pct"/>
            <w:shd w:val="clear" w:color="auto" w:fill="auto"/>
            <w:noWrap/>
            <w:vAlign w:val="center"/>
            <w:hideMark/>
          </w:tcPr>
          <w:p w14:paraId="5A357558"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r>
      <w:tr w:rsidR="001A09B9" w:rsidRPr="00545EC0" w14:paraId="05C4A4AC" w14:textId="77777777" w:rsidTr="001A09B9">
        <w:trPr>
          <w:trHeight w:val="315"/>
        </w:trPr>
        <w:tc>
          <w:tcPr>
            <w:tcW w:w="1424" w:type="pct"/>
            <w:shd w:val="clear" w:color="auto" w:fill="auto"/>
            <w:noWrap/>
            <w:vAlign w:val="center"/>
            <w:hideMark/>
          </w:tcPr>
          <w:p w14:paraId="6798D5A3"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Oktilfenol</w:t>
            </w:r>
          </w:p>
        </w:tc>
        <w:tc>
          <w:tcPr>
            <w:tcW w:w="614" w:type="pct"/>
            <w:shd w:val="clear" w:color="auto" w:fill="auto"/>
            <w:noWrap/>
            <w:vAlign w:val="center"/>
            <w:hideMark/>
          </w:tcPr>
          <w:p w14:paraId="6D48B3AA"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PS</w:t>
            </w:r>
          </w:p>
        </w:tc>
        <w:tc>
          <w:tcPr>
            <w:tcW w:w="924" w:type="pct"/>
            <w:shd w:val="clear" w:color="auto" w:fill="auto"/>
            <w:noWrap/>
            <w:vAlign w:val="center"/>
            <w:hideMark/>
          </w:tcPr>
          <w:p w14:paraId="19217EB7"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57" w:type="pct"/>
            <w:shd w:val="clear" w:color="auto" w:fill="auto"/>
            <w:noWrap/>
            <w:vAlign w:val="center"/>
            <w:hideMark/>
          </w:tcPr>
          <w:p w14:paraId="3506F2FF"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66A4E32C"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76" w:type="pct"/>
            <w:shd w:val="clear" w:color="auto" w:fill="auto"/>
            <w:noWrap/>
            <w:vAlign w:val="center"/>
            <w:hideMark/>
          </w:tcPr>
          <w:p w14:paraId="5EABF436"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r>
      <w:tr w:rsidR="001A09B9" w:rsidRPr="00545EC0" w14:paraId="7A1DAA64" w14:textId="77777777" w:rsidTr="001A09B9">
        <w:trPr>
          <w:trHeight w:val="315"/>
        </w:trPr>
        <w:tc>
          <w:tcPr>
            <w:tcW w:w="1424" w:type="pct"/>
            <w:shd w:val="clear" w:color="auto" w:fill="auto"/>
            <w:noWrap/>
            <w:vAlign w:val="center"/>
            <w:hideMark/>
          </w:tcPr>
          <w:p w14:paraId="63EE00EC"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Simazin</w:t>
            </w:r>
          </w:p>
        </w:tc>
        <w:tc>
          <w:tcPr>
            <w:tcW w:w="614" w:type="pct"/>
            <w:shd w:val="clear" w:color="auto" w:fill="auto"/>
            <w:noWrap/>
            <w:vAlign w:val="center"/>
            <w:hideMark/>
          </w:tcPr>
          <w:p w14:paraId="3CA63E8B"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PS</w:t>
            </w:r>
          </w:p>
        </w:tc>
        <w:tc>
          <w:tcPr>
            <w:tcW w:w="924" w:type="pct"/>
            <w:shd w:val="clear" w:color="auto" w:fill="auto"/>
            <w:noWrap/>
            <w:vAlign w:val="center"/>
            <w:hideMark/>
          </w:tcPr>
          <w:p w14:paraId="50BA280C"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nezadostno število podatkov</w:t>
            </w:r>
          </w:p>
        </w:tc>
        <w:tc>
          <w:tcPr>
            <w:tcW w:w="557" w:type="pct"/>
            <w:shd w:val="clear" w:color="auto" w:fill="auto"/>
            <w:noWrap/>
            <w:vAlign w:val="center"/>
            <w:hideMark/>
          </w:tcPr>
          <w:p w14:paraId="109F2E20"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45B94C54" w14:textId="77777777" w:rsidR="00617285" w:rsidRPr="00545EC0" w:rsidRDefault="00617285" w:rsidP="001A09B9">
            <w:pPr>
              <w:overflowPunct/>
              <w:autoSpaceDE/>
              <w:autoSpaceDN/>
              <w:adjustRightInd/>
              <w:spacing w:line="240" w:lineRule="auto"/>
              <w:jc w:val="left"/>
              <w:textAlignment w:val="auto"/>
              <w:rPr>
                <w:rFonts w:cs="Arial"/>
                <w:i/>
                <w:iCs/>
                <w:sz w:val="18"/>
                <w:szCs w:val="18"/>
              </w:rPr>
            </w:pPr>
            <w:r w:rsidRPr="00545EC0">
              <w:rPr>
                <w:rFonts w:cs="Arial"/>
                <w:i/>
                <w:iCs/>
                <w:sz w:val="18"/>
                <w:szCs w:val="18"/>
              </w:rPr>
              <w:t>n.v.</w:t>
            </w:r>
          </w:p>
        </w:tc>
        <w:tc>
          <w:tcPr>
            <w:tcW w:w="576" w:type="pct"/>
            <w:shd w:val="clear" w:color="auto" w:fill="auto"/>
            <w:noWrap/>
            <w:vAlign w:val="center"/>
            <w:hideMark/>
          </w:tcPr>
          <w:p w14:paraId="70B21006" w14:textId="77777777" w:rsidR="00617285" w:rsidRPr="00545EC0" w:rsidRDefault="00617285" w:rsidP="001A09B9">
            <w:pPr>
              <w:overflowPunct/>
              <w:autoSpaceDE/>
              <w:autoSpaceDN/>
              <w:adjustRightInd/>
              <w:spacing w:line="240" w:lineRule="auto"/>
              <w:jc w:val="left"/>
              <w:textAlignment w:val="auto"/>
              <w:rPr>
                <w:rFonts w:cs="Arial"/>
                <w:i/>
                <w:iCs/>
                <w:sz w:val="18"/>
                <w:szCs w:val="18"/>
              </w:rPr>
            </w:pPr>
            <w:r w:rsidRPr="00545EC0">
              <w:rPr>
                <w:rFonts w:cs="Arial"/>
                <w:i/>
                <w:iCs/>
                <w:sz w:val="18"/>
                <w:szCs w:val="18"/>
              </w:rPr>
              <w:t>n.v.</w:t>
            </w:r>
          </w:p>
        </w:tc>
      </w:tr>
      <w:tr w:rsidR="001A09B9" w:rsidRPr="00545EC0" w14:paraId="465750CF" w14:textId="77777777" w:rsidTr="001A09B9">
        <w:trPr>
          <w:trHeight w:val="315"/>
        </w:trPr>
        <w:tc>
          <w:tcPr>
            <w:tcW w:w="1424" w:type="pct"/>
            <w:shd w:val="clear" w:color="auto" w:fill="auto"/>
            <w:noWrap/>
            <w:vAlign w:val="center"/>
            <w:hideMark/>
          </w:tcPr>
          <w:p w14:paraId="5F1EB40A"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Svinec</w:t>
            </w:r>
          </w:p>
        </w:tc>
        <w:tc>
          <w:tcPr>
            <w:tcW w:w="614" w:type="pct"/>
            <w:shd w:val="clear" w:color="auto" w:fill="auto"/>
            <w:noWrap/>
            <w:vAlign w:val="center"/>
            <w:hideMark/>
          </w:tcPr>
          <w:p w14:paraId="37EDCB42"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PS</w:t>
            </w:r>
          </w:p>
        </w:tc>
        <w:tc>
          <w:tcPr>
            <w:tcW w:w="924" w:type="pct"/>
            <w:shd w:val="clear" w:color="auto" w:fill="auto"/>
            <w:noWrap/>
            <w:vAlign w:val="center"/>
            <w:hideMark/>
          </w:tcPr>
          <w:p w14:paraId="389B84D5"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57" w:type="pct"/>
            <w:shd w:val="clear" w:color="auto" w:fill="auto"/>
            <w:noWrap/>
            <w:vAlign w:val="center"/>
            <w:hideMark/>
          </w:tcPr>
          <w:p w14:paraId="4143C1C3"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DA</w:t>
            </w:r>
          </w:p>
        </w:tc>
        <w:tc>
          <w:tcPr>
            <w:tcW w:w="905" w:type="pct"/>
            <w:shd w:val="clear" w:color="auto" w:fill="auto"/>
            <w:noWrap/>
            <w:vAlign w:val="center"/>
            <w:hideMark/>
          </w:tcPr>
          <w:p w14:paraId="5F6D1C45"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76" w:type="pct"/>
            <w:shd w:val="clear" w:color="auto" w:fill="auto"/>
            <w:noWrap/>
            <w:vAlign w:val="center"/>
            <w:hideMark/>
          </w:tcPr>
          <w:p w14:paraId="77E27960"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r>
      <w:tr w:rsidR="001A09B9" w:rsidRPr="00545EC0" w14:paraId="60580D81" w14:textId="77777777" w:rsidTr="001A09B9">
        <w:trPr>
          <w:trHeight w:val="315"/>
        </w:trPr>
        <w:tc>
          <w:tcPr>
            <w:tcW w:w="1424" w:type="pct"/>
            <w:shd w:val="clear" w:color="auto" w:fill="auto"/>
            <w:noWrap/>
            <w:vAlign w:val="center"/>
            <w:hideMark/>
          </w:tcPr>
          <w:p w14:paraId="1EC3F57C"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Terbutrin</w:t>
            </w:r>
          </w:p>
        </w:tc>
        <w:tc>
          <w:tcPr>
            <w:tcW w:w="614" w:type="pct"/>
            <w:shd w:val="clear" w:color="auto" w:fill="auto"/>
            <w:noWrap/>
            <w:vAlign w:val="center"/>
            <w:hideMark/>
          </w:tcPr>
          <w:p w14:paraId="5EAD592E"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PS</w:t>
            </w:r>
          </w:p>
        </w:tc>
        <w:tc>
          <w:tcPr>
            <w:tcW w:w="924" w:type="pct"/>
            <w:shd w:val="clear" w:color="auto" w:fill="auto"/>
            <w:noWrap/>
            <w:vAlign w:val="center"/>
            <w:hideMark/>
          </w:tcPr>
          <w:p w14:paraId="3B433053"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nezadostno število podatkov</w:t>
            </w:r>
          </w:p>
        </w:tc>
        <w:tc>
          <w:tcPr>
            <w:tcW w:w="557" w:type="pct"/>
            <w:shd w:val="clear" w:color="auto" w:fill="auto"/>
            <w:noWrap/>
            <w:vAlign w:val="center"/>
            <w:hideMark/>
          </w:tcPr>
          <w:p w14:paraId="1BA1A83C"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23BFD599" w14:textId="77777777" w:rsidR="00617285" w:rsidRPr="00545EC0" w:rsidRDefault="00617285" w:rsidP="001A09B9">
            <w:pPr>
              <w:overflowPunct/>
              <w:autoSpaceDE/>
              <w:autoSpaceDN/>
              <w:adjustRightInd/>
              <w:spacing w:line="240" w:lineRule="auto"/>
              <w:jc w:val="left"/>
              <w:textAlignment w:val="auto"/>
              <w:rPr>
                <w:rFonts w:cs="Arial"/>
                <w:i/>
                <w:iCs/>
                <w:sz w:val="18"/>
                <w:szCs w:val="18"/>
              </w:rPr>
            </w:pPr>
            <w:r w:rsidRPr="00545EC0">
              <w:rPr>
                <w:rFonts w:cs="Arial"/>
                <w:i/>
                <w:iCs/>
                <w:sz w:val="18"/>
                <w:szCs w:val="18"/>
              </w:rPr>
              <w:t>n.v.</w:t>
            </w:r>
          </w:p>
        </w:tc>
        <w:tc>
          <w:tcPr>
            <w:tcW w:w="576" w:type="pct"/>
            <w:shd w:val="clear" w:color="auto" w:fill="auto"/>
            <w:noWrap/>
            <w:vAlign w:val="center"/>
            <w:hideMark/>
          </w:tcPr>
          <w:p w14:paraId="11721338" w14:textId="77777777" w:rsidR="00617285" w:rsidRPr="00545EC0" w:rsidRDefault="00617285" w:rsidP="001A09B9">
            <w:pPr>
              <w:overflowPunct/>
              <w:autoSpaceDE/>
              <w:autoSpaceDN/>
              <w:adjustRightInd/>
              <w:spacing w:line="240" w:lineRule="auto"/>
              <w:jc w:val="left"/>
              <w:textAlignment w:val="auto"/>
              <w:rPr>
                <w:rFonts w:cs="Arial"/>
                <w:i/>
                <w:iCs/>
                <w:sz w:val="18"/>
                <w:szCs w:val="18"/>
              </w:rPr>
            </w:pPr>
            <w:r w:rsidRPr="00545EC0">
              <w:rPr>
                <w:rFonts w:cs="Arial"/>
                <w:i/>
                <w:iCs/>
                <w:sz w:val="18"/>
                <w:szCs w:val="18"/>
              </w:rPr>
              <w:t>n.v.</w:t>
            </w:r>
          </w:p>
        </w:tc>
      </w:tr>
      <w:tr w:rsidR="001A09B9" w:rsidRPr="00545EC0" w14:paraId="6BCB478F" w14:textId="77777777" w:rsidTr="001A09B9">
        <w:trPr>
          <w:trHeight w:val="315"/>
        </w:trPr>
        <w:tc>
          <w:tcPr>
            <w:tcW w:w="1424" w:type="pct"/>
            <w:shd w:val="clear" w:color="auto" w:fill="auto"/>
            <w:noWrap/>
            <w:vAlign w:val="center"/>
            <w:hideMark/>
          </w:tcPr>
          <w:p w14:paraId="2D0AF69D"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Triklorometan</w:t>
            </w:r>
          </w:p>
        </w:tc>
        <w:tc>
          <w:tcPr>
            <w:tcW w:w="614" w:type="pct"/>
            <w:shd w:val="clear" w:color="auto" w:fill="auto"/>
            <w:noWrap/>
            <w:vAlign w:val="center"/>
            <w:hideMark/>
          </w:tcPr>
          <w:p w14:paraId="18A3BC54"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PS</w:t>
            </w:r>
          </w:p>
        </w:tc>
        <w:tc>
          <w:tcPr>
            <w:tcW w:w="924" w:type="pct"/>
            <w:shd w:val="clear" w:color="auto" w:fill="auto"/>
            <w:noWrap/>
            <w:vAlign w:val="center"/>
            <w:hideMark/>
          </w:tcPr>
          <w:p w14:paraId="5C7CAD71"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57" w:type="pct"/>
            <w:shd w:val="clear" w:color="auto" w:fill="auto"/>
            <w:noWrap/>
            <w:vAlign w:val="center"/>
            <w:hideMark/>
          </w:tcPr>
          <w:p w14:paraId="3616BA78"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20FC4F15"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76" w:type="pct"/>
            <w:shd w:val="clear" w:color="auto" w:fill="auto"/>
            <w:noWrap/>
            <w:vAlign w:val="center"/>
            <w:hideMark/>
          </w:tcPr>
          <w:p w14:paraId="0A72A908"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r>
      <w:tr w:rsidR="001A09B9" w:rsidRPr="00545EC0" w14:paraId="2BC841A5" w14:textId="77777777" w:rsidTr="001A09B9">
        <w:trPr>
          <w:trHeight w:val="315"/>
        </w:trPr>
        <w:tc>
          <w:tcPr>
            <w:tcW w:w="1424" w:type="pct"/>
            <w:shd w:val="clear" w:color="auto" w:fill="auto"/>
            <w:noWrap/>
            <w:vAlign w:val="center"/>
            <w:hideMark/>
          </w:tcPr>
          <w:p w14:paraId="708526DE"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Bisfenol-A</w:t>
            </w:r>
          </w:p>
        </w:tc>
        <w:tc>
          <w:tcPr>
            <w:tcW w:w="614" w:type="pct"/>
            <w:shd w:val="clear" w:color="auto" w:fill="auto"/>
            <w:noWrap/>
            <w:vAlign w:val="center"/>
            <w:hideMark/>
          </w:tcPr>
          <w:p w14:paraId="3F30FE78"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PO–SO</w:t>
            </w:r>
          </w:p>
        </w:tc>
        <w:tc>
          <w:tcPr>
            <w:tcW w:w="924" w:type="pct"/>
            <w:shd w:val="clear" w:color="auto" w:fill="auto"/>
            <w:noWrap/>
            <w:vAlign w:val="center"/>
            <w:hideMark/>
          </w:tcPr>
          <w:p w14:paraId="559F2A1E"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57" w:type="pct"/>
            <w:shd w:val="clear" w:color="auto" w:fill="auto"/>
            <w:noWrap/>
            <w:vAlign w:val="center"/>
            <w:hideMark/>
          </w:tcPr>
          <w:p w14:paraId="561FA9A6"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17BC1C99"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nezadostno število podatkov</w:t>
            </w:r>
          </w:p>
        </w:tc>
        <w:tc>
          <w:tcPr>
            <w:tcW w:w="576" w:type="pct"/>
            <w:shd w:val="clear" w:color="auto" w:fill="auto"/>
            <w:noWrap/>
            <w:vAlign w:val="center"/>
            <w:hideMark/>
          </w:tcPr>
          <w:p w14:paraId="26A1E483"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r>
      <w:tr w:rsidR="001A09B9" w:rsidRPr="00545EC0" w14:paraId="11E3C379" w14:textId="77777777" w:rsidTr="001A09B9">
        <w:trPr>
          <w:trHeight w:val="315"/>
        </w:trPr>
        <w:tc>
          <w:tcPr>
            <w:tcW w:w="1424" w:type="pct"/>
            <w:shd w:val="clear" w:color="auto" w:fill="auto"/>
            <w:noWrap/>
            <w:vAlign w:val="center"/>
            <w:hideMark/>
          </w:tcPr>
          <w:p w14:paraId="3C8B186E"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Celotni cianid</w:t>
            </w:r>
          </w:p>
        </w:tc>
        <w:tc>
          <w:tcPr>
            <w:tcW w:w="614" w:type="pct"/>
            <w:shd w:val="clear" w:color="auto" w:fill="auto"/>
            <w:noWrap/>
            <w:vAlign w:val="center"/>
            <w:hideMark/>
          </w:tcPr>
          <w:p w14:paraId="3F35045C"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PO–SO</w:t>
            </w:r>
          </w:p>
        </w:tc>
        <w:tc>
          <w:tcPr>
            <w:tcW w:w="924" w:type="pct"/>
            <w:shd w:val="clear" w:color="auto" w:fill="auto"/>
            <w:noWrap/>
            <w:vAlign w:val="center"/>
            <w:hideMark/>
          </w:tcPr>
          <w:p w14:paraId="6FF51370"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57" w:type="pct"/>
            <w:shd w:val="clear" w:color="auto" w:fill="auto"/>
            <w:noWrap/>
            <w:vAlign w:val="center"/>
            <w:hideMark/>
          </w:tcPr>
          <w:p w14:paraId="27F79D9C"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61662F21"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76" w:type="pct"/>
            <w:shd w:val="clear" w:color="auto" w:fill="auto"/>
            <w:noWrap/>
            <w:vAlign w:val="center"/>
            <w:hideMark/>
          </w:tcPr>
          <w:p w14:paraId="282AED71"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r>
      <w:tr w:rsidR="001A09B9" w:rsidRPr="00545EC0" w14:paraId="0F7AD255" w14:textId="77777777" w:rsidTr="001A09B9">
        <w:trPr>
          <w:trHeight w:val="315"/>
        </w:trPr>
        <w:tc>
          <w:tcPr>
            <w:tcW w:w="1424" w:type="pct"/>
            <w:shd w:val="clear" w:color="auto" w:fill="auto"/>
            <w:noWrap/>
            <w:vAlign w:val="center"/>
            <w:hideMark/>
          </w:tcPr>
          <w:p w14:paraId="69CEAE01"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Cianid - prosti</w:t>
            </w:r>
          </w:p>
        </w:tc>
        <w:tc>
          <w:tcPr>
            <w:tcW w:w="614" w:type="pct"/>
            <w:shd w:val="clear" w:color="auto" w:fill="auto"/>
            <w:noWrap/>
            <w:vAlign w:val="center"/>
            <w:hideMark/>
          </w:tcPr>
          <w:p w14:paraId="38F64D48"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PO–SO</w:t>
            </w:r>
          </w:p>
        </w:tc>
        <w:tc>
          <w:tcPr>
            <w:tcW w:w="924" w:type="pct"/>
            <w:shd w:val="clear" w:color="auto" w:fill="auto"/>
            <w:noWrap/>
            <w:vAlign w:val="center"/>
            <w:hideMark/>
          </w:tcPr>
          <w:p w14:paraId="5BFF92BB"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57" w:type="pct"/>
            <w:shd w:val="clear" w:color="auto" w:fill="auto"/>
            <w:noWrap/>
            <w:vAlign w:val="center"/>
            <w:hideMark/>
          </w:tcPr>
          <w:p w14:paraId="76ACE606"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62016911"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76" w:type="pct"/>
            <w:shd w:val="clear" w:color="auto" w:fill="auto"/>
            <w:noWrap/>
            <w:vAlign w:val="center"/>
            <w:hideMark/>
          </w:tcPr>
          <w:p w14:paraId="6B2898CD"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r>
      <w:tr w:rsidR="001A09B9" w:rsidRPr="00545EC0" w14:paraId="5AFEBCBD" w14:textId="77777777" w:rsidTr="001A09B9">
        <w:trPr>
          <w:trHeight w:val="315"/>
        </w:trPr>
        <w:tc>
          <w:tcPr>
            <w:tcW w:w="1424" w:type="pct"/>
            <w:shd w:val="clear" w:color="auto" w:fill="auto"/>
            <w:noWrap/>
            <w:vAlign w:val="center"/>
            <w:hideMark/>
          </w:tcPr>
          <w:p w14:paraId="75E3C2E5"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Dibutilkositrove spojine (Dibutilkositrov kation)</w:t>
            </w:r>
          </w:p>
        </w:tc>
        <w:tc>
          <w:tcPr>
            <w:tcW w:w="614" w:type="pct"/>
            <w:shd w:val="clear" w:color="auto" w:fill="auto"/>
            <w:noWrap/>
            <w:vAlign w:val="center"/>
            <w:hideMark/>
          </w:tcPr>
          <w:p w14:paraId="3DB8B7FD"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PO–SO</w:t>
            </w:r>
          </w:p>
        </w:tc>
        <w:tc>
          <w:tcPr>
            <w:tcW w:w="924" w:type="pct"/>
            <w:shd w:val="clear" w:color="auto" w:fill="auto"/>
            <w:noWrap/>
            <w:vAlign w:val="center"/>
            <w:hideMark/>
          </w:tcPr>
          <w:p w14:paraId="727734DB"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57" w:type="pct"/>
            <w:shd w:val="clear" w:color="auto" w:fill="auto"/>
            <w:noWrap/>
            <w:vAlign w:val="center"/>
            <w:hideMark/>
          </w:tcPr>
          <w:p w14:paraId="6233AE7E"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73B9F80E" w14:textId="77777777" w:rsidR="00617285" w:rsidRPr="00545EC0" w:rsidRDefault="00617285" w:rsidP="001A09B9">
            <w:pPr>
              <w:overflowPunct/>
              <w:autoSpaceDE/>
              <w:autoSpaceDN/>
              <w:adjustRightInd/>
              <w:spacing w:line="240" w:lineRule="auto"/>
              <w:jc w:val="left"/>
              <w:textAlignment w:val="auto"/>
              <w:rPr>
                <w:rFonts w:cs="Arial"/>
                <w:i/>
                <w:iCs/>
                <w:sz w:val="18"/>
                <w:szCs w:val="18"/>
              </w:rPr>
            </w:pPr>
            <w:r w:rsidRPr="00545EC0">
              <w:rPr>
                <w:rFonts w:cs="Arial"/>
                <w:i/>
                <w:iCs/>
                <w:sz w:val="18"/>
                <w:szCs w:val="18"/>
              </w:rPr>
              <w:t>n.v.</w:t>
            </w:r>
          </w:p>
        </w:tc>
        <w:tc>
          <w:tcPr>
            <w:tcW w:w="576" w:type="pct"/>
            <w:shd w:val="clear" w:color="auto" w:fill="auto"/>
            <w:noWrap/>
            <w:vAlign w:val="center"/>
            <w:hideMark/>
          </w:tcPr>
          <w:p w14:paraId="406E1A96" w14:textId="77777777" w:rsidR="00617285" w:rsidRPr="00545EC0" w:rsidRDefault="00617285" w:rsidP="001A09B9">
            <w:pPr>
              <w:overflowPunct/>
              <w:autoSpaceDE/>
              <w:autoSpaceDN/>
              <w:adjustRightInd/>
              <w:spacing w:line="240" w:lineRule="auto"/>
              <w:jc w:val="left"/>
              <w:textAlignment w:val="auto"/>
              <w:rPr>
                <w:rFonts w:cs="Arial"/>
                <w:i/>
                <w:iCs/>
                <w:sz w:val="18"/>
                <w:szCs w:val="18"/>
              </w:rPr>
            </w:pPr>
            <w:r w:rsidRPr="00545EC0">
              <w:rPr>
                <w:rFonts w:cs="Arial"/>
                <w:i/>
                <w:iCs/>
                <w:sz w:val="18"/>
                <w:szCs w:val="18"/>
              </w:rPr>
              <w:t>n.v.</w:t>
            </w:r>
          </w:p>
        </w:tc>
      </w:tr>
      <w:tr w:rsidR="001A09B9" w:rsidRPr="00545EC0" w14:paraId="36550E97" w14:textId="77777777" w:rsidTr="001A09B9">
        <w:trPr>
          <w:trHeight w:val="315"/>
        </w:trPr>
        <w:tc>
          <w:tcPr>
            <w:tcW w:w="1424" w:type="pct"/>
            <w:shd w:val="clear" w:color="auto" w:fill="auto"/>
            <w:noWrap/>
            <w:vAlign w:val="center"/>
            <w:hideMark/>
          </w:tcPr>
          <w:p w14:paraId="799B8D1A"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Fenoli</w:t>
            </w:r>
          </w:p>
        </w:tc>
        <w:tc>
          <w:tcPr>
            <w:tcW w:w="614" w:type="pct"/>
            <w:shd w:val="clear" w:color="auto" w:fill="auto"/>
            <w:noWrap/>
            <w:vAlign w:val="center"/>
            <w:hideMark/>
          </w:tcPr>
          <w:p w14:paraId="5F81149B"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PO–SO</w:t>
            </w:r>
          </w:p>
        </w:tc>
        <w:tc>
          <w:tcPr>
            <w:tcW w:w="924" w:type="pct"/>
            <w:shd w:val="clear" w:color="auto" w:fill="auto"/>
            <w:noWrap/>
            <w:vAlign w:val="center"/>
            <w:hideMark/>
          </w:tcPr>
          <w:p w14:paraId="76006961"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57" w:type="pct"/>
            <w:shd w:val="clear" w:color="auto" w:fill="auto"/>
            <w:noWrap/>
            <w:vAlign w:val="center"/>
            <w:hideMark/>
          </w:tcPr>
          <w:p w14:paraId="08D79DBC"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52CAF390"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76" w:type="pct"/>
            <w:shd w:val="clear" w:color="auto" w:fill="auto"/>
            <w:noWrap/>
            <w:vAlign w:val="center"/>
            <w:hideMark/>
          </w:tcPr>
          <w:p w14:paraId="4EEEB2FA"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r>
      <w:tr w:rsidR="001A09B9" w:rsidRPr="00545EC0" w14:paraId="72AD692F" w14:textId="77777777" w:rsidTr="001A09B9">
        <w:trPr>
          <w:trHeight w:val="315"/>
        </w:trPr>
        <w:tc>
          <w:tcPr>
            <w:tcW w:w="1424" w:type="pct"/>
            <w:shd w:val="clear" w:color="auto" w:fill="auto"/>
            <w:noWrap/>
            <w:vAlign w:val="center"/>
            <w:hideMark/>
          </w:tcPr>
          <w:p w14:paraId="781D94AA"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Fluorid</w:t>
            </w:r>
          </w:p>
        </w:tc>
        <w:tc>
          <w:tcPr>
            <w:tcW w:w="614" w:type="pct"/>
            <w:shd w:val="clear" w:color="auto" w:fill="auto"/>
            <w:noWrap/>
            <w:vAlign w:val="center"/>
            <w:hideMark/>
          </w:tcPr>
          <w:p w14:paraId="21DD277C"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PO–SO</w:t>
            </w:r>
          </w:p>
        </w:tc>
        <w:tc>
          <w:tcPr>
            <w:tcW w:w="924" w:type="pct"/>
            <w:shd w:val="clear" w:color="auto" w:fill="auto"/>
            <w:noWrap/>
            <w:vAlign w:val="center"/>
            <w:hideMark/>
          </w:tcPr>
          <w:p w14:paraId="3C407EEA"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57" w:type="pct"/>
            <w:shd w:val="clear" w:color="auto" w:fill="auto"/>
            <w:noWrap/>
            <w:vAlign w:val="center"/>
            <w:hideMark/>
          </w:tcPr>
          <w:p w14:paraId="115199B2"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02820E78"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76" w:type="pct"/>
            <w:shd w:val="clear" w:color="auto" w:fill="auto"/>
            <w:noWrap/>
            <w:vAlign w:val="center"/>
            <w:hideMark/>
          </w:tcPr>
          <w:p w14:paraId="5271CC09"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r>
      <w:tr w:rsidR="001A09B9" w:rsidRPr="00545EC0" w14:paraId="2BC7E12A" w14:textId="77777777" w:rsidTr="001A09B9">
        <w:trPr>
          <w:trHeight w:val="315"/>
        </w:trPr>
        <w:tc>
          <w:tcPr>
            <w:tcW w:w="1424" w:type="pct"/>
            <w:shd w:val="clear" w:color="auto" w:fill="auto"/>
            <w:noWrap/>
            <w:vAlign w:val="center"/>
            <w:hideMark/>
          </w:tcPr>
          <w:p w14:paraId="01A920D8"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Formaldehid</w:t>
            </w:r>
          </w:p>
        </w:tc>
        <w:tc>
          <w:tcPr>
            <w:tcW w:w="614" w:type="pct"/>
            <w:shd w:val="clear" w:color="auto" w:fill="auto"/>
            <w:noWrap/>
            <w:vAlign w:val="center"/>
            <w:hideMark/>
          </w:tcPr>
          <w:p w14:paraId="505DC02E"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PO–SO</w:t>
            </w:r>
          </w:p>
        </w:tc>
        <w:tc>
          <w:tcPr>
            <w:tcW w:w="924" w:type="pct"/>
            <w:shd w:val="clear" w:color="auto" w:fill="auto"/>
            <w:noWrap/>
            <w:vAlign w:val="center"/>
            <w:hideMark/>
          </w:tcPr>
          <w:p w14:paraId="37A28A04"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57" w:type="pct"/>
            <w:shd w:val="clear" w:color="auto" w:fill="auto"/>
            <w:noWrap/>
            <w:vAlign w:val="center"/>
            <w:hideMark/>
          </w:tcPr>
          <w:p w14:paraId="71959092"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11D81812"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nezadostno število podatkov</w:t>
            </w:r>
          </w:p>
        </w:tc>
        <w:tc>
          <w:tcPr>
            <w:tcW w:w="576" w:type="pct"/>
            <w:shd w:val="clear" w:color="auto" w:fill="auto"/>
            <w:noWrap/>
            <w:vAlign w:val="center"/>
            <w:hideMark/>
          </w:tcPr>
          <w:p w14:paraId="2A2014BA"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r>
      <w:tr w:rsidR="001A09B9" w:rsidRPr="00545EC0" w14:paraId="23F5B603" w14:textId="77777777" w:rsidTr="001A09B9">
        <w:trPr>
          <w:trHeight w:val="315"/>
        </w:trPr>
        <w:tc>
          <w:tcPr>
            <w:tcW w:w="1424" w:type="pct"/>
            <w:shd w:val="clear" w:color="auto" w:fill="auto"/>
            <w:noWrap/>
            <w:vAlign w:val="center"/>
            <w:hideMark/>
          </w:tcPr>
          <w:p w14:paraId="2E15C793"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Glifosat</w:t>
            </w:r>
          </w:p>
        </w:tc>
        <w:tc>
          <w:tcPr>
            <w:tcW w:w="614" w:type="pct"/>
            <w:shd w:val="clear" w:color="auto" w:fill="auto"/>
            <w:noWrap/>
            <w:vAlign w:val="center"/>
            <w:hideMark/>
          </w:tcPr>
          <w:p w14:paraId="1496188A"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PO–SO</w:t>
            </w:r>
          </w:p>
        </w:tc>
        <w:tc>
          <w:tcPr>
            <w:tcW w:w="924" w:type="pct"/>
            <w:shd w:val="clear" w:color="auto" w:fill="auto"/>
            <w:noWrap/>
            <w:vAlign w:val="center"/>
            <w:hideMark/>
          </w:tcPr>
          <w:p w14:paraId="5D381A35"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podatka</w:t>
            </w:r>
          </w:p>
        </w:tc>
        <w:tc>
          <w:tcPr>
            <w:tcW w:w="557" w:type="pct"/>
            <w:shd w:val="clear" w:color="auto" w:fill="auto"/>
            <w:noWrap/>
            <w:vAlign w:val="center"/>
            <w:hideMark/>
          </w:tcPr>
          <w:p w14:paraId="4C52464F"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0B60237D"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podatka</w:t>
            </w:r>
          </w:p>
        </w:tc>
        <w:tc>
          <w:tcPr>
            <w:tcW w:w="576" w:type="pct"/>
            <w:shd w:val="clear" w:color="auto" w:fill="auto"/>
            <w:noWrap/>
            <w:vAlign w:val="center"/>
            <w:hideMark/>
          </w:tcPr>
          <w:p w14:paraId="023E1D46"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DA</w:t>
            </w:r>
          </w:p>
        </w:tc>
      </w:tr>
      <w:tr w:rsidR="001A09B9" w:rsidRPr="00545EC0" w14:paraId="50EA21B6" w14:textId="77777777" w:rsidTr="001A09B9">
        <w:trPr>
          <w:trHeight w:val="315"/>
        </w:trPr>
        <w:tc>
          <w:tcPr>
            <w:tcW w:w="1424" w:type="pct"/>
            <w:shd w:val="clear" w:color="auto" w:fill="auto"/>
            <w:noWrap/>
            <w:vAlign w:val="center"/>
            <w:hideMark/>
          </w:tcPr>
          <w:p w14:paraId="245451AF"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Ksilen</w:t>
            </w:r>
          </w:p>
        </w:tc>
        <w:tc>
          <w:tcPr>
            <w:tcW w:w="614" w:type="pct"/>
            <w:shd w:val="clear" w:color="auto" w:fill="auto"/>
            <w:noWrap/>
            <w:vAlign w:val="center"/>
            <w:hideMark/>
          </w:tcPr>
          <w:p w14:paraId="51CE60B8"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PO–SO</w:t>
            </w:r>
          </w:p>
        </w:tc>
        <w:tc>
          <w:tcPr>
            <w:tcW w:w="924" w:type="pct"/>
            <w:shd w:val="clear" w:color="auto" w:fill="auto"/>
            <w:noWrap/>
            <w:vAlign w:val="center"/>
            <w:hideMark/>
          </w:tcPr>
          <w:p w14:paraId="75614AE2"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57" w:type="pct"/>
            <w:shd w:val="clear" w:color="auto" w:fill="auto"/>
            <w:noWrap/>
            <w:vAlign w:val="center"/>
            <w:hideMark/>
          </w:tcPr>
          <w:p w14:paraId="3082AA5A"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1FCE07E7"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76" w:type="pct"/>
            <w:shd w:val="clear" w:color="auto" w:fill="auto"/>
            <w:noWrap/>
            <w:vAlign w:val="center"/>
            <w:hideMark/>
          </w:tcPr>
          <w:p w14:paraId="3E11EE27"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r>
      <w:tr w:rsidR="001A09B9" w:rsidRPr="00545EC0" w14:paraId="71595607" w14:textId="77777777" w:rsidTr="001A09B9">
        <w:trPr>
          <w:trHeight w:val="315"/>
        </w:trPr>
        <w:tc>
          <w:tcPr>
            <w:tcW w:w="1424" w:type="pct"/>
            <w:shd w:val="clear" w:color="auto" w:fill="auto"/>
            <w:noWrap/>
            <w:vAlign w:val="center"/>
            <w:hideMark/>
          </w:tcPr>
          <w:p w14:paraId="411C3143"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lastRenderedPageBreak/>
              <w:t xml:space="preserve">Metolaklor </w:t>
            </w:r>
          </w:p>
        </w:tc>
        <w:tc>
          <w:tcPr>
            <w:tcW w:w="614" w:type="pct"/>
            <w:shd w:val="clear" w:color="auto" w:fill="auto"/>
            <w:noWrap/>
            <w:vAlign w:val="center"/>
            <w:hideMark/>
          </w:tcPr>
          <w:p w14:paraId="719AB1A0"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PO–SO</w:t>
            </w:r>
          </w:p>
        </w:tc>
        <w:tc>
          <w:tcPr>
            <w:tcW w:w="924" w:type="pct"/>
            <w:shd w:val="clear" w:color="auto" w:fill="auto"/>
            <w:noWrap/>
            <w:vAlign w:val="center"/>
            <w:hideMark/>
          </w:tcPr>
          <w:p w14:paraId="569D429B"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nezadostno število podatkov</w:t>
            </w:r>
          </w:p>
        </w:tc>
        <w:tc>
          <w:tcPr>
            <w:tcW w:w="557" w:type="pct"/>
            <w:shd w:val="clear" w:color="auto" w:fill="auto"/>
            <w:noWrap/>
            <w:vAlign w:val="center"/>
            <w:hideMark/>
          </w:tcPr>
          <w:p w14:paraId="6A111B55"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DA</w:t>
            </w:r>
          </w:p>
        </w:tc>
        <w:tc>
          <w:tcPr>
            <w:tcW w:w="905" w:type="pct"/>
            <w:shd w:val="clear" w:color="auto" w:fill="auto"/>
            <w:noWrap/>
            <w:vAlign w:val="center"/>
            <w:hideMark/>
          </w:tcPr>
          <w:p w14:paraId="2D5282B7"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podatka</w:t>
            </w:r>
          </w:p>
        </w:tc>
        <w:tc>
          <w:tcPr>
            <w:tcW w:w="576" w:type="pct"/>
            <w:shd w:val="clear" w:color="auto" w:fill="auto"/>
            <w:noWrap/>
            <w:vAlign w:val="center"/>
            <w:hideMark/>
          </w:tcPr>
          <w:p w14:paraId="516D8377"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DA</w:t>
            </w:r>
          </w:p>
        </w:tc>
      </w:tr>
      <w:tr w:rsidR="001A09B9" w:rsidRPr="00545EC0" w14:paraId="5A53B569" w14:textId="77777777" w:rsidTr="001A09B9">
        <w:trPr>
          <w:trHeight w:val="315"/>
        </w:trPr>
        <w:tc>
          <w:tcPr>
            <w:tcW w:w="1424" w:type="pct"/>
            <w:shd w:val="clear" w:color="auto" w:fill="auto"/>
            <w:noWrap/>
            <w:vAlign w:val="center"/>
            <w:hideMark/>
          </w:tcPr>
          <w:p w14:paraId="0B4636AB"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Pendimetalin</w:t>
            </w:r>
          </w:p>
        </w:tc>
        <w:tc>
          <w:tcPr>
            <w:tcW w:w="614" w:type="pct"/>
            <w:shd w:val="clear" w:color="auto" w:fill="auto"/>
            <w:noWrap/>
            <w:vAlign w:val="center"/>
            <w:hideMark/>
          </w:tcPr>
          <w:p w14:paraId="1FABF5CC"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PO–SO</w:t>
            </w:r>
          </w:p>
        </w:tc>
        <w:tc>
          <w:tcPr>
            <w:tcW w:w="924" w:type="pct"/>
            <w:shd w:val="clear" w:color="auto" w:fill="auto"/>
            <w:noWrap/>
            <w:vAlign w:val="center"/>
            <w:hideMark/>
          </w:tcPr>
          <w:p w14:paraId="23014504"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podatka</w:t>
            </w:r>
          </w:p>
        </w:tc>
        <w:tc>
          <w:tcPr>
            <w:tcW w:w="557" w:type="pct"/>
            <w:shd w:val="clear" w:color="auto" w:fill="auto"/>
            <w:noWrap/>
            <w:vAlign w:val="center"/>
            <w:hideMark/>
          </w:tcPr>
          <w:p w14:paraId="02C15CE2"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4F1506F1"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podatka</w:t>
            </w:r>
          </w:p>
        </w:tc>
        <w:tc>
          <w:tcPr>
            <w:tcW w:w="576" w:type="pct"/>
            <w:shd w:val="clear" w:color="auto" w:fill="auto"/>
            <w:noWrap/>
            <w:vAlign w:val="center"/>
            <w:hideMark/>
          </w:tcPr>
          <w:p w14:paraId="74B83845"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DA</w:t>
            </w:r>
          </w:p>
        </w:tc>
      </w:tr>
      <w:tr w:rsidR="001A09B9" w:rsidRPr="00545EC0" w14:paraId="4ECA4D1E" w14:textId="77777777" w:rsidTr="001A09B9">
        <w:trPr>
          <w:trHeight w:val="315"/>
        </w:trPr>
        <w:tc>
          <w:tcPr>
            <w:tcW w:w="1424" w:type="pct"/>
            <w:shd w:val="clear" w:color="auto" w:fill="auto"/>
            <w:noWrap/>
            <w:vAlign w:val="center"/>
            <w:hideMark/>
          </w:tcPr>
          <w:p w14:paraId="58637135"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Terbutilazin</w:t>
            </w:r>
          </w:p>
        </w:tc>
        <w:tc>
          <w:tcPr>
            <w:tcW w:w="614" w:type="pct"/>
            <w:shd w:val="clear" w:color="auto" w:fill="auto"/>
            <w:noWrap/>
            <w:vAlign w:val="center"/>
            <w:hideMark/>
          </w:tcPr>
          <w:p w14:paraId="79FAE5F4"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PO–SO</w:t>
            </w:r>
          </w:p>
        </w:tc>
        <w:tc>
          <w:tcPr>
            <w:tcW w:w="924" w:type="pct"/>
            <w:shd w:val="clear" w:color="auto" w:fill="auto"/>
            <w:noWrap/>
            <w:vAlign w:val="center"/>
            <w:hideMark/>
          </w:tcPr>
          <w:p w14:paraId="2954AA78"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nezadostno število podatkov</w:t>
            </w:r>
          </w:p>
        </w:tc>
        <w:tc>
          <w:tcPr>
            <w:tcW w:w="557" w:type="pct"/>
            <w:shd w:val="clear" w:color="auto" w:fill="auto"/>
            <w:noWrap/>
            <w:vAlign w:val="center"/>
            <w:hideMark/>
          </w:tcPr>
          <w:p w14:paraId="301C7591"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DA</w:t>
            </w:r>
          </w:p>
        </w:tc>
        <w:tc>
          <w:tcPr>
            <w:tcW w:w="905" w:type="pct"/>
            <w:shd w:val="clear" w:color="auto" w:fill="auto"/>
            <w:noWrap/>
            <w:vAlign w:val="center"/>
            <w:hideMark/>
          </w:tcPr>
          <w:p w14:paraId="4ED70973"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podatka</w:t>
            </w:r>
          </w:p>
        </w:tc>
        <w:tc>
          <w:tcPr>
            <w:tcW w:w="576" w:type="pct"/>
            <w:shd w:val="clear" w:color="auto" w:fill="auto"/>
            <w:noWrap/>
            <w:vAlign w:val="center"/>
            <w:hideMark/>
          </w:tcPr>
          <w:p w14:paraId="2A926F73"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DA</w:t>
            </w:r>
          </w:p>
        </w:tc>
      </w:tr>
      <w:tr w:rsidR="001A09B9" w:rsidRPr="00545EC0" w14:paraId="485A9D96" w14:textId="77777777" w:rsidTr="001A09B9">
        <w:trPr>
          <w:trHeight w:val="315"/>
        </w:trPr>
        <w:tc>
          <w:tcPr>
            <w:tcW w:w="1424" w:type="pct"/>
            <w:shd w:val="clear" w:color="auto" w:fill="auto"/>
            <w:noWrap/>
            <w:vAlign w:val="center"/>
            <w:hideMark/>
          </w:tcPr>
          <w:p w14:paraId="41FD5688"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Toluen</w:t>
            </w:r>
          </w:p>
        </w:tc>
        <w:tc>
          <w:tcPr>
            <w:tcW w:w="614" w:type="pct"/>
            <w:shd w:val="clear" w:color="auto" w:fill="auto"/>
            <w:noWrap/>
            <w:vAlign w:val="center"/>
            <w:hideMark/>
          </w:tcPr>
          <w:p w14:paraId="2EED890E"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PO–SO</w:t>
            </w:r>
          </w:p>
        </w:tc>
        <w:tc>
          <w:tcPr>
            <w:tcW w:w="924" w:type="pct"/>
            <w:shd w:val="clear" w:color="auto" w:fill="auto"/>
            <w:noWrap/>
            <w:vAlign w:val="center"/>
            <w:hideMark/>
          </w:tcPr>
          <w:p w14:paraId="69AFBC45"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57" w:type="pct"/>
            <w:shd w:val="clear" w:color="auto" w:fill="auto"/>
            <w:noWrap/>
            <w:vAlign w:val="center"/>
            <w:hideMark/>
          </w:tcPr>
          <w:p w14:paraId="15D68946"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625CEC9D"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76" w:type="pct"/>
            <w:shd w:val="clear" w:color="auto" w:fill="auto"/>
            <w:noWrap/>
            <w:vAlign w:val="center"/>
            <w:hideMark/>
          </w:tcPr>
          <w:p w14:paraId="21EE26FE"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r>
      <w:tr w:rsidR="001A09B9" w:rsidRPr="00545EC0" w14:paraId="30051C02" w14:textId="77777777" w:rsidTr="001A09B9">
        <w:trPr>
          <w:trHeight w:val="315"/>
        </w:trPr>
        <w:tc>
          <w:tcPr>
            <w:tcW w:w="1424" w:type="pct"/>
            <w:shd w:val="clear" w:color="auto" w:fill="auto"/>
            <w:noWrap/>
            <w:vAlign w:val="center"/>
            <w:hideMark/>
          </w:tcPr>
          <w:p w14:paraId="575C6FFD"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Antimon</w:t>
            </w:r>
          </w:p>
        </w:tc>
        <w:tc>
          <w:tcPr>
            <w:tcW w:w="614" w:type="pct"/>
            <w:shd w:val="clear" w:color="auto" w:fill="auto"/>
            <w:noWrap/>
            <w:vAlign w:val="center"/>
            <w:hideMark/>
          </w:tcPr>
          <w:p w14:paraId="1041175A"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PO–NSO</w:t>
            </w:r>
          </w:p>
        </w:tc>
        <w:tc>
          <w:tcPr>
            <w:tcW w:w="924" w:type="pct"/>
            <w:shd w:val="clear" w:color="auto" w:fill="auto"/>
            <w:noWrap/>
            <w:vAlign w:val="center"/>
            <w:hideMark/>
          </w:tcPr>
          <w:p w14:paraId="2C299464"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57" w:type="pct"/>
            <w:shd w:val="clear" w:color="auto" w:fill="auto"/>
            <w:noWrap/>
            <w:vAlign w:val="center"/>
            <w:hideMark/>
          </w:tcPr>
          <w:p w14:paraId="522E78C0"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5BDB2EF9"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76" w:type="pct"/>
            <w:shd w:val="clear" w:color="auto" w:fill="auto"/>
            <w:noWrap/>
            <w:vAlign w:val="center"/>
            <w:hideMark/>
          </w:tcPr>
          <w:p w14:paraId="02A5DC67"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r>
      <w:tr w:rsidR="001A09B9" w:rsidRPr="00545EC0" w14:paraId="1D872F19" w14:textId="77777777" w:rsidTr="001A09B9">
        <w:trPr>
          <w:trHeight w:val="315"/>
        </w:trPr>
        <w:tc>
          <w:tcPr>
            <w:tcW w:w="1424" w:type="pct"/>
            <w:shd w:val="clear" w:color="auto" w:fill="auto"/>
            <w:noWrap/>
            <w:vAlign w:val="center"/>
            <w:hideMark/>
          </w:tcPr>
          <w:p w14:paraId="4F10423C"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Arzen</w:t>
            </w:r>
          </w:p>
        </w:tc>
        <w:tc>
          <w:tcPr>
            <w:tcW w:w="614" w:type="pct"/>
            <w:shd w:val="clear" w:color="auto" w:fill="auto"/>
            <w:noWrap/>
            <w:vAlign w:val="center"/>
            <w:hideMark/>
          </w:tcPr>
          <w:p w14:paraId="3DC9C98B"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PO–NSO</w:t>
            </w:r>
          </w:p>
        </w:tc>
        <w:tc>
          <w:tcPr>
            <w:tcW w:w="924" w:type="pct"/>
            <w:shd w:val="clear" w:color="auto" w:fill="auto"/>
            <w:noWrap/>
            <w:vAlign w:val="center"/>
            <w:hideMark/>
          </w:tcPr>
          <w:p w14:paraId="0145B9DC"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57" w:type="pct"/>
            <w:shd w:val="clear" w:color="auto" w:fill="auto"/>
            <w:noWrap/>
            <w:vAlign w:val="center"/>
            <w:hideMark/>
          </w:tcPr>
          <w:p w14:paraId="6AF7D0A9"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400CD5E3"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76" w:type="pct"/>
            <w:shd w:val="clear" w:color="auto" w:fill="auto"/>
            <w:noWrap/>
            <w:vAlign w:val="center"/>
            <w:hideMark/>
          </w:tcPr>
          <w:p w14:paraId="47763976"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r>
      <w:tr w:rsidR="001A09B9" w:rsidRPr="00545EC0" w14:paraId="2FEEB074" w14:textId="77777777" w:rsidTr="001A09B9">
        <w:trPr>
          <w:trHeight w:val="315"/>
        </w:trPr>
        <w:tc>
          <w:tcPr>
            <w:tcW w:w="1424" w:type="pct"/>
            <w:shd w:val="clear" w:color="auto" w:fill="auto"/>
            <w:noWrap/>
            <w:vAlign w:val="center"/>
            <w:hideMark/>
          </w:tcPr>
          <w:p w14:paraId="662693A4"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Baker</w:t>
            </w:r>
          </w:p>
        </w:tc>
        <w:tc>
          <w:tcPr>
            <w:tcW w:w="614" w:type="pct"/>
            <w:shd w:val="clear" w:color="auto" w:fill="auto"/>
            <w:noWrap/>
            <w:vAlign w:val="center"/>
            <w:hideMark/>
          </w:tcPr>
          <w:p w14:paraId="70FAF84E"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PO–NSO</w:t>
            </w:r>
          </w:p>
        </w:tc>
        <w:tc>
          <w:tcPr>
            <w:tcW w:w="924" w:type="pct"/>
            <w:shd w:val="clear" w:color="auto" w:fill="auto"/>
            <w:noWrap/>
            <w:vAlign w:val="center"/>
            <w:hideMark/>
          </w:tcPr>
          <w:p w14:paraId="6714C098"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57" w:type="pct"/>
            <w:shd w:val="clear" w:color="auto" w:fill="auto"/>
            <w:noWrap/>
            <w:vAlign w:val="center"/>
            <w:hideMark/>
          </w:tcPr>
          <w:p w14:paraId="222D7597"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4504EAB0"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76" w:type="pct"/>
            <w:shd w:val="clear" w:color="auto" w:fill="auto"/>
            <w:noWrap/>
            <w:vAlign w:val="center"/>
            <w:hideMark/>
          </w:tcPr>
          <w:p w14:paraId="68AC2AB1"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r>
      <w:tr w:rsidR="001A09B9" w:rsidRPr="00545EC0" w14:paraId="43417A8B" w14:textId="77777777" w:rsidTr="001A09B9">
        <w:trPr>
          <w:trHeight w:val="315"/>
        </w:trPr>
        <w:tc>
          <w:tcPr>
            <w:tcW w:w="1424" w:type="pct"/>
            <w:shd w:val="clear" w:color="auto" w:fill="auto"/>
            <w:noWrap/>
            <w:vAlign w:val="center"/>
            <w:hideMark/>
          </w:tcPr>
          <w:p w14:paraId="72F4180C"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Bor</w:t>
            </w:r>
          </w:p>
        </w:tc>
        <w:tc>
          <w:tcPr>
            <w:tcW w:w="614" w:type="pct"/>
            <w:shd w:val="clear" w:color="auto" w:fill="auto"/>
            <w:noWrap/>
            <w:vAlign w:val="center"/>
            <w:hideMark/>
          </w:tcPr>
          <w:p w14:paraId="194B7042"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PO–NSO</w:t>
            </w:r>
          </w:p>
        </w:tc>
        <w:tc>
          <w:tcPr>
            <w:tcW w:w="924" w:type="pct"/>
            <w:shd w:val="clear" w:color="auto" w:fill="auto"/>
            <w:noWrap/>
            <w:vAlign w:val="center"/>
            <w:hideMark/>
          </w:tcPr>
          <w:p w14:paraId="7E1E5D07"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57" w:type="pct"/>
            <w:shd w:val="clear" w:color="auto" w:fill="auto"/>
            <w:noWrap/>
            <w:vAlign w:val="center"/>
            <w:hideMark/>
          </w:tcPr>
          <w:p w14:paraId="6DE3D990"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591E6B76"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76" w:type="pct"/>
            <w:shd w:val="clear" w:color="auto" w:fill="auto"/>
            <w:noWrap/>
            <w:vAlign w:val="center"/>
            <w:hideMark/>
          </w:tcPr>
          <w:p w14:paraId="7F0D7B55"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r>
      <w:tr w:rsidR="001A09B9" w:rsidRPr="00545EC0" w14:paraId="0CF9E44A" w14:textId="77777777" w:rsidTr="001A09B9">
        <w:trPr>
          <w:trHeight w:val="315"/>
        </w:trPr>
        <w:tc>
          <w:tcPr>
            <w:tcW w:w="1424" w:type="pct"/>
            <w:shd w:val="clear" w:color="auto" w:fill="auto"/>
            <w:noWrap/>
            <w:vAlign w:val="center"/>
            <w:hideMark/>
          </w:tcPr>
          <w:p w14:paraId="4206FA57"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Celotni krom</w:t>
            </w:r>
          </w:p>
        </w:tc>
        <w:tc>
          <w:tcPr>
            <w:tcW w:w="614" w:type="pct"/>
            <w:shd w:val="clear" w:color="auto" w:fill="auto"/>
            <w:noWrap/>
            <w:vAlign w:val="center"/>
            <w:hideMark/>
          </w:tcPr>
          <w:p w14:paraId="20BEBF43"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PO–NSO</w:t>
            </w:r>
          </w:p>
        </w:tc>
        <w:tc>
          <w:tcPr>
            <w:tcW w:w="924" w:type="pct"/>
            <w:shd w:val="clear" w:color="auto" w:fill="auto"/>
            <w:noWrap/>
            <w:vAlign w:val="center"/>
            <w:hideMark/>
          </w:tcPr>
          <w:p w14:paraId="50BC3725"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57" w:type="pct"/>
            <w:shd w:val="clear" w:color="auto" w:fill="auto"/>
            <w:noWrap/>
            <w:vAlign w:val="center"/>
            <w:hideMark/>
          </w:tcPr>
          <w:p w14:paraId="5F9C5D0F"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0CAAE164"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76" w:type="pct"/>
            <w:shd w:val="clear" w:color="auto" w:fill="auto"/>
            <w:noWrap/>
            <w:vAlign w:val="center"/>
            <w:hideMark/>
          </w:tcPr>
          <w:p w14:paraId="1295841C"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r>
      <w:tr w:rsidR="001A09B9" w:rsidRPr="00545EC0" w14:paraId="104B2D1B" w14:textId="77777777" w:rsidTr="001A09B9">
        <w:trPr>
          <w:trHeight w:val="300"/>
        </w:trPr>
        <w:tc>
          <w:tcPr>
            <w:tcW w:w="1424" w:type="pct"/>
            <w:shd w:val="clear" w:color="auto" w:fill="auto"/>
            <w:noWrap/>
            <w:vAlign w:val="center"/>
            <w:hideMark/>
          </w:tcPr>
          <w:p w14:paraId="69B7B49C"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Cink</w:t>
            </w:r>
          </w:p>
        </w:tc>
        <w:tc>
          <w:tcPr>
            <w:tcW w:w="614" w:type="pct"/>
            <w:shd w:val="clear" w:color="auto" w:fill="auto"/>
            <w:noWrap/>
            <w:vAlign w:val="center"/>
            <w:hideMark/>
          </w:tcPr>
          <w:p w14:paraId="4798BAAF"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PO–NSO</w:t>
            </w:r>
          </w:p>
        </w:tc>
        <w:tc>
          <w:tcPr>
            <w:tcW w:w="924" w:type="pct"/>
            <w:shd w:val="clear" w:color="auto" w:fill="auto"/>
            <w:noWrap/>
            <w:vAlign w:val="center"/>
            <w:hideMark/>
          </w:tcPr>
          <w:p w14:paraId="493EA8A3"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57" w:type="pct"/>
            <w:shd w:val="clear" w:color="auto" w:fill="auto"/>
            <w:noWrap/>
            <w:vAlign w:val="center"/>
            <w:hideMark/>
          </w:tcPr>
          <w:p w14:paraId="03D83F9F"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DA</w:t>
            </w:r>
          </w:p>
        </w:tc>
        <w:tc>
          <w:tcPr>
            <w:tcW w:w="905" w:type="pct"/>
            <w:shd w:val="clear" w:color="auto" w:fill="auto"/>
            <w:noWrap/>
            <w:vAlign w:val="center"/>
            <w:hideMark/>
          </w:tcPr>
          <w:p w14:paraId="1A0D7867"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76" w:type="pct"/>
            <w:shd w:val="clear" w:color="auto" w:fill="auto"/>
            <w:noWrap/>
            <w:vAlign w:val="center"/>
            <w:hideMark/>
          </w:tcPr>
          <w:p w14:paraId="11D0BF64"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DA</w:t>
            </w:r>
          </w:p>
        </w:tc>
      </w:tr>
      <w:tr w:rsidR="001A09B9" w:rsidRPr="00545EC0" w14:paraId="2A646251" w14:textId="77777777" w:rsidTr="001A09B9">
        <w:trPr>
          <w:trHeight w:val="300"/>
        </w:trPr>
        <w:tc>
          <w:tcPr>
            <w:tcW w:w="1424" w:type="pct"/>
            <w:shd w:val="clear" w:color="auto" w:fill="auto"/>
            <w:noWrap/>
            <w:vAlign w:val="center"/>
            <w:hideMark/>
          </w:tcPr>
          <w:p w14:paraId="2F0E2D1E"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Kobalt</w:t>
            </w:r>
          </w:p>
        </w:tc>
        <w:tc>
          <w:tcPr>
            <w:tcW w:w="614" w:type="pct"/>
            <w:shd w:val="clear" w:color="auto" w:fill="auto"/>
            <w:noWrap/>
            <w:vAlign w:val="center"/>
            <w:hideMark/>
          </w:tcPr>
          <w:p w14:paraId="4DE5963D"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PO–NSO</w:t>
            </w:r>
          </w:p>
        </w:tc>
        <w:tc>
          <w:tcPr>
            <w:tcW w:w="924" w:type="pct"/>
            <w:shd w:val="clear" w:color="auto" w:fill="auto"/>
            <w:noWrap/>
            <w:vAlign w:val="center"/>
            <w:hideMark/>
          </w:tcPr>
          <w:p w14:paraId="7BC180CB"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57" w:type="pct"/>
            <w:shd w:val="clear" w:color="auto" w:fill="auto"/>
            <w:noWrap/>
            <w:vAlign w:val="center"/>
            <w:hideMark/>
          </w:tcPr>
          <w:p w14:paraId="4976D565"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DA</w:t>
            </w:r>
          </w:p>
        </w:tc>
        <w:tc>
          <w:tcPr>
            <w:tcW w:w="905" w:type="pct"/>
            <w:shd w:val="clear" w:color="auto" w:fill="auto"/>
            <w:noWrap/>
            <w:vAlign w:val="center"/>
            <w:hideMark/>
          </w:tcPr>
          <w:p w14:paraId="6EE561E0"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76" w:type="pct"/>
            <w:shd w:val="clear" w:color="auto" w:fill="auto"/>
            <w:noWrap/>
            <w:vAlign w:val="center"/>
            <w:hideMark/>
          </w:tcPr>
          <w:p w14:paraId="70E8B493"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DA</w:t>
            </w:r>
          </w:p>
        </w:tc>
      </w:tr>
      <w:tr w:rsidR="001A09B9" w:rsidRPr="00545EC0" w14:paraId="115ED3D0" w14:textId="77777777" w:rsidTr="001A09B9">
        <w:trPr>
          <w:trHeight w:val="300"/>
        </w:trPr>
        <w:tc>
          <w:tcPr>
            <w:tcW w:w="1424" w:type="pct"/>
            <w:shd w:val="clear" w:color="auto" w:fill="auto"/>
            <w:noWrap/>
            <w:vAlign w:val="center"/>
            <w:hideMark/>
          </w:tcPr>
          <w:p w14:paraId="681C7B17"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Krom-šestvalentni</w:t>
            </w:r>
          </w:p>
        </w:tc>
        <w:tc>
          <w:tcPr>
            <w:tcW w:w="614" w:type="pct"/>
            <w:shd w:val="clear" w:color="auto" w:fill="auto"/>
            <w:noWrap/>
            <w:vAlign w:val="center"/>
            <w:hideMark/>
          </w:tcPr>
          <w:p w14:paraId="27AB0E01"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PO–NSO</w:t>
            </w:r>
          </w:p>
        </w:tc>
        <w:tc>
          <w:tcPr>
            <w:tcW w:w="924" w:type="pct"/>
            <w:shd w:val="clear" w:color="auto" w:fill="auto"/>
            <w:noWrap/>
            <w:vAlign w:val="center"/>
            <w:hideMark/>
          </w:tcPr>
          <w:p w14:paraId="6844FE5F"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57" w:type="pct"/>
            <w:shd w:val="clear" w:color="auto" w:fill="auto"/>
            <w:noWrap/>
            <w:vAlign w:val="center"/>
            <w:hideMark/>
          </w:tcPr>
          <w:p w14:paraId="39DF83B0"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4ECBD678"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76" w:type="pct"/>
            <w:shd w:val="clear" w:color="auto" w:fill="auto"/>
            <w:noWrap/>
            <w:vAlign w:val="center"/>
            <w:hideMark/>
          </w:tcPr>
          <w:p w14:paraId="7CEFAA22"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r>
      <w:tr w:rsidR="001A09B9" w:rsidRPr="00545EC0" w14:paraId="28BBE222" w14:textId="77777777" w:rsidTr="001A09B9">
        <w:trPr>
          <w:trHeight w:val="300"/>
        </w:trPr>
        <w:tc>
          <w:tcPr>
            <w:tcW w:w="1424" w:type="pct"/>
            <w:shd w:val="clear" w:color="auto" w:fill="auto"/>
            <w:noWrap/>
            <w:vAlign w:val="center"/>
            <w:hideMark/>
          </w:tcPr>
          <w:p w14:paraId="7DF096F8"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Molibden</w:t>
            </w:r>
          </w:p>
        </w:tc>
        <w:tc>
          <w:tcPr>
            <w:tcW w:w="614" w:type="pct"/>
            <w:shd w:val="clear" w:color="auto" w:fill="auto"/>
            <w:noWrap/>
            <w:vAlign w:val="center"/>
            <w:hideMark/>
          </w:tcPr>
          <w:p w14:paraId="11DCA215"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PO–NSO</w:t>
            </w:r>
          </w:p>
        </w:tc>
        <w:tc>
          <w:tcPr>
            <w:tcW w:w="924" w:type="pct"/>
            <w:shd w:val="clear" w:color="auto" w:fill="auto"/>
            <w:noWrap/>
            <w:vAlign w:val="center"/>
            <w:hideMark/>
          </w:tcPr>
          <w:p w14:paraId="5842A804"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57" w:type="pct"/>
            <w:shd w:val="clear" w:color="auto" w:fill="auto"/>
            <w:noWrap/>
            <w:vAlign w:val="center"/>
            <w:hideMark/>
          </w:tcPr>
          <w:p w14:paraId="103477A0"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DA</w:t>
            </w:r>
          </w:p>
        </w:tc>
        <w:tc>
          <w:tcPr>
            <w:tcW w:w="905" w:type="pct"/>
            <w:shd w:val="clear" w:color="auto" w:fill="auto"/>
            <w:noWrap/>
            <w:vAlign w:val="center"/>
            <w:hideMark/>
          </w:tcPr>
          <w:p w14:paraId="47DDE441"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76" w:type="pct"/>
            <w:shd w:val="clear" w:color="auto" w:fill="auto"/>
            <w:noWrap/>
            <w:vAlign w:val="center"/>
            <w:hideMark/>
          </w:tcPr>
          <w:p w14:paraId="268A751F"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DA</w:t>
            </w:r>
          </w:p>
        </w:tc>
      </w:tr>
      <w:tr w:rsidR="001A09B9" w:rsidRPr="00545EC0" w14:paraId="23E6044D" w14:textId="77777777" w:rsidTr="001A09B9">
        <w:trPr>
          <w:trHeight w:val="300"/>
        </w:trPr>
        <w:tc>
          <w:tcPr>
            <w:tcW w:w="1424" w:type="pct"/>
            <w:shd w:val="clear" w:color="auto" w:fill="auto"/>
            <w:noWrap/>
            <w:vAlign w:val="center"/>
            <w:hideMark/>
          </w:tcPr>
          <w:p w14:paraId="4ADEEAD9"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Selen</w:t>
            </w:r>
          </w:p>
        </w:tc>
        <w:tc>
          <w:tcPr>
            <w:tcW w:w="614" w:type="pct"/>
            <w:shd w:val="clear" w:color="auto" w:fill="auto"/>
            <w:noWrap/>
            <w:vAlign w:val="center"/>
            <w:hideMark/>
          </w:tcPr>
          <w:p w14:paraId="64E45F05"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PO–NSO</w:t>
            </w:r>
          </w:p>
        </w:tc>
        <w:tc>
          <w:tcPr>
            <w:tcW w:w="924" w:type="pct"/>
            <w:shd w:val="clear" w:color="auto" w:fill="auto"/>
            <w:noWrap/>
            <w:vAlign w:val="center"/>
            <w:hideMark/>
          </w:tcPr>
          <w:p w14:paraId="281E3B01"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57" w:type="pct"/>
            <w:shd w:val="clear" w:color="auto" w:fill="auto"/>
            <w:noWrap/>
            <w:vAlign w:val="center"/>
            <w:hideMark/>
          </w:tcPr>
          <w:p w14:paraId="2ACA5654"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2F5E9A80" w14:textId="77777777" w:rsidR="00617285" w:rsidRPr="00545EC0" w:rsidRDefault="00617285" w:rsidP="001A09B9">
            <w:pPr>
              <w:overflowPunct/>
              <w:autoSpaceDE/>
              <w:autoSpaceDN/>
              <w:adjustRightInd/>
              <w:spacing w:line="240" w:lineRule="auto"/>
              <w:jc w:val="left"/>
              <w:textAlignment w:val="auto"/>
              <w:rPr>
                <w:rFonts w:cs="Arial"/>
                <w:i/>
                <w:iCs/>
                <w:sz w:val="18"/>
                <w:szCs w:val="18"/>
              </w:rPr>
            </w:pPr>
            <w:r w:rsidRPr="00545EC0">
              <w:rPr>
                <w:rFonts w:cs="Arial"/>
                <w:i/>
                <w:iCs/>
                <w:sz w:val="18"/>
                <w:szCs w:val="18"/>
              </w:rPr>
              <w:t>n.v.</w:t>
            </w:r>
          </w:p>
        </w:tc>
        <w:tc>
          <w:tcPr>
            <w:tcW w:w="576" w:type="pct"/>
            <w:shd w:val="clear" w:color="auto" w:fill="auto"/>
            <w:noWrap/>
            <w:vAlign w:val="center"/>
            <w:hideMark/>
          </w:tcPr>
          <w:p w14:paraId="5B59ED00" w14:textId="77777777" w:rsidR="00617285" w:rsidRPr="00545EC0" w:rsidRDefault="00617285" w:rsidP="001A09B9">
            <w:pPr>
              <w:overflowPunct/>
              <w:autoSpaceDE/>
              <w:autoSpaceDN/>
              <w:adjustRightInd/>
              <w:spacing w:line="240" w:lineRule="auto"/>
              <w:jc w:val="left"/>
              <w:textAlignment w:val="auto"/>
              <w:rPr>
                <w:rFonts w:cs="Arial"/>
                <w:i/>
                <w:iCs/>
                <w:sz w:val="18"/>
                <w:szCs w:val="18"/>
              </w:rPr>
            </w:pPr>
            <w:r w:rsidRPr="00545EC0">
              <w:rPr>
                <w:rFonts w:cs="Arial"/>
                <w:i/>
                <w:iCs/>
                <w:sz w:val="18"/>
                <w:szCs w:val="18"/>
              </w:rPr>
              <w:t>n.v.</w:t>
            </w:r>
          </w:p>
        </w:tc>
      </w:tr>
      <w:tr w:rsidR="001A09B9" w:rsidRPr="00545EC0" w14:paraId="6D81D520" w14:textId="77777777" w:rsidTr="001A09B9">
        <w:trPr>
          <w:trHeight w:val="300"/>
        </w:trPr>
        <w:tc>
          <w:tcPr>
            <w:tcW w:w="1424" w:type="pct"/>
            <w:shd w:val="clear" w:color="auto" w:fill="auto"/>
            <w:noWrap/>
            <w:vAlign w:val="center"/>
            <w:hideMark/>
          </w:tcPr>
          <w:p w14:paraId="4A3FB5A5"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Adsorbljivi organski halogeni (AOX)</w:t>
            </w:r>
          </w:p>
        </w:tc>
        <w:tc>
          <w:tcPr>
            <w:tcW w:w="614" w:type="pct"/>
            <w:shd w:val="clear" w:color="auto" w:fill="auto"/>
            <w:noWrap/>
            <w:vAlign w:val="center"/>
            <w:hideMark/>
          </w:tcPr>
          <w:p w14:paraId="09285336"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PO–DO</w:t>
            </w:r>
          </w:p>
        </w:tc>
        <w:tc>
          <w:tcPr>
            <w:tcW w:w="924" w:type="pct"/>
            <w:shd w:val="clear" w:color="auto" w:fill="auto"/>
            <w:noWrap/>
            <w:vAlign w:val="center"/>
            <w:hideMark/>
          </w:tcPr>
          <w:p w14:paraId="6B0CF10B"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57" w:type="pct"/>
            <w:shd w:val="clear" w:color="auto" w:fill="auto"/>
            <w:noWrap/>
            <w:vAlign w:val="center"/>
            <w:hideMark/>
          </w:tcPr>
          <w:p w14:paraId="6A881633"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01C88F41"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76" w:type="pct"/>
            <w:shd w:val="clear" w:color="auto" w:fill="auto"/>
            <w:noWrap/>
            <w:vAlign w:val="center"/>
            <w:hideMark/>
          </w:tcPr>
          <w:p w14:paraId="062C533C"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r>
      <w:tr w:rsidR="001A09B9" w:rsidRPr="00545EC0" w14:paraId="2CC66026" w14:textId="77777777" w:rsidTr="001A09B9">
        <w:trPr>
          <w:trHeight w:val="300"/>
        </w:trPr>
        <w:tc>
          <w:tcPr>
            <w:tcW w:w="1424" w:type="pct"/>
            <w:shd w:val="clear" w:color="auto" w:fill="auto"/>
            <w:noWrap/>
            <w:vAlign w:val="center"/>
            <w:hideMark/>
          </w:tcPr>
          <w:p w14:paraId="28DA2389"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Celotni ogljikovodiki (mineralna olja)</w:t>
            </w:r>
          </w:p>
        </w:tc>
        <w:tc>
          <w:tcPr>
            <w:tcW w:w="614" w:type="pct"/>
            <w:shd w:val="clear" w:color="auto" w:fill="auto"/>
            <w:noWrap/>
            <w:vAlign w:val="center"/>
            <w:hideMark/>
          </w:tcPr>
          <w:p w14:paraId="5391F4CB"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PO–DO</w:t>
            </w:r>
          </w:p>
        </w:tc>
        <w:tc>
          <w:tcPr>
            <w:tcW w:w="924" w:type="pct"/>
            <w:shd w:val="clear" w:color="auto" w:fill="auto"/>
            <w:noWrap/>
            <w:vAlign w:val="center"/>
            <w:hideMark/>
          </w:tcPr>
          <w:p w14:paraId="2168E82A"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57" w:type="pct"/>
            <w:shd w:val="clear" w:color="auto" w:fill="auto"/>
            <w:noWrap/>
            <w:vAlign w:val="center"/>
            <w:hideMark/>
          </w:tcPr>
          <w:p w14:paraId="509F539F"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0B57D5BA"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76" w:type="pct"/>
            <w:shd w:val="clear" w:color="auto" w:fill="auto"/>
            <w:noWrap/>
            <w:vAlign w:val="center"/>
            <w:hideMark/>
          </w:tcPr>
          <w:p w14:paraId="43AF07AD"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r>
      <w:tr w:rsidR="001A09B9" w:rsidRPr="00545EC0" w14:paraId="5B87DF34" w14:textId="77777777" w:rsidTr="001A09B9">
        <w:trPr>
          <w:trHeight w:val="300"/>
        </w:trPr>
        <w:tc>
          <w:tcPr>
            <w:tcW w:w="1424" w:type="pct"/>
            <w:shd w:val="clear" w:color="auto" w:fill="auto"/>
            <w:noWrap/>
            <w:vAlign w:val="center"/>
            <w:hideMark/>
          </w:tcPr>
          <w:p w14:paraId="516365A6"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Kemijska potreba po kisiku (KPK)</w:t>
            </w:r>
          </w:p>
        </w:tc>
        <w:tc>
          <w:tcPr>
            <w:tcW w:w="614" w:type="pct"/>
            <w:shd w:val="clear" w:color="auto" w:fill="auto"/>
            <w:noWrap/>
            <w:vAlign w:val="center"/>
            <w:hideMark/>
          </w:tcPr>
          <w:p w14:paraId="6D3F74F5"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PO–DO</w:t>
            </w:r>
          </w:p>
        </w:tc>
        <w:tc>
          <w:tcPr>
            <w:tcW w:w="924" w:type="pct"/>
            <w:shd w:val="clear" w:color="auto" w:fill="auto"/>
            <w:noWrap/>
            <w:vAlign w:val="center"/>
            <w:hideMark/>
          </w:tcPr>
          <w:p w14:paraId="3676CB2C"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57" w:type="pct"/>
            <w:shd w:val="clear" w:color="auto" w:fill="auto"/>
            <w:noWrap/>
            <w:vAlign w:val="center"/>
            <w:hideMark/>
          </w:tcPr>
          <w:p w14:paraId="065D2DAE"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3FAE25C2"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76" w:type="pct"/>
            <w:shd w:val="clear" w:color="auto" w:fill="auto"/>
            <w:noWrap/>
            <w:vAlign w:val="center"/>
            <w:hideMark/>
          </w:tcPr>
          <w:p w14:paraId="16EB4A23"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r>
      <w:tr w:rsidR="001A09B9" w:rsidRPr="00545EC0" w14:paraId="5210001F" w14:textId="77777777" w:rsidTr="001A09B9">
        <w:trPr>
          <w:trHeight w:val="300"/>
        </w:trPr>
        <w:tc>
          <w:tcPr>
            <w:tcW w:w="1424" w:type="pct"/>
            <w:shd w:val="clear" w:color="auto" w:fill="auto"/>
            <w:noWrap/>
            <w:vAlign w:val="center"/>
            <w:hideMark/>
          </w:tcPr>
          <w:p w14:paraId="068ABA77"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Nitritni dušik</w:t>
            </w:r>
          </w:p>
        </w:tc>
        <w:tc>
          <w:tcPr>
            <w:tcW w:w="614" w:type="pct"/>
            <w:shd w:val="clear" w:color="auto" w:fill="auto"/>
            <w:noWrap/>
            <w:vAlign w:val="center"/>
            <w:hideMark/>
          </w:tcPr>
          <w:p w14:paraId="13202247"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PO–DO</w:t>
            </w:r>
          </w:p>
        </w:tc>
        <w:tc>
          <w:tcPr>
            <w:tcW w:w="924" w:type="pct"/>
            <w:shd w:val="clear" w:color="auto" w:fill="auto"/>
            <w:noWrap/>
            <w:vAlign w:val="center"/>
            <w:hideMark/>
          </w:tcPr>
          <w:p w14:paraId="52CFB65D"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57" w:type="pct"/>
            <w:shd w:val="clear" w:color="auto" w:fill="auto"/>
            <w:noWrap/>
            <w:vAlign w:val="center"/>
            <w:hideMark/>
          </w:tcPr>
          <w:p w14:paraId="0593ECF3"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c>
          <w:tcPr>
            <w:tcW w:w="905" w:type="pct"/>
            <w:shd w:val="clear" w:color="auto" w:fill="auto"/>
            <w:noWrap/>
            <w:vAlign w:val="center"/>
            <w:hideMark/>
          </w:tcPr>
          <w:p w14:paraId="16F5CD9E"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76" w:type="pct"/>
            <w:shd w:val="clear" w:color="auto" w:fill="auto"/>
            <w:noWrap/>
            <w:vAlign w:val="center"/>
            <w:hideMark/>
          </w:tcPr>
          <w:p w14:paraId="6EDDE7BC"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w:t>
            </w:r>
          </w:p>
        </w:tc>
      </w:tr>
      <w:tr w:rsidR="001A09B9" w:rsidRPr="00545EC0" w14:paraId="4C7C9B0D" w14:textId="77777777" w:rsidTr="001A09B9">
        <w:trPr>
          <w:trHeight w:val="300"/>
        </w:trPr>
        <w:tc>
          <w:tcPr>
            <w:tcW w:w="1424" w:type="pct"/>
            <w:shd w:val="clear" w:color="auto" w:fill="auto"/>
            <w:noWrap/>
            <w:vAlign w:val="center"/>
            <w:hideMark/>
          </w:tcPr>
          <w:p w14:paraId="4AE18399"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Poliklorirani bifenili (PCB)</w:t>
            </w:r>
          </w:p>
        </w:tc>
        <w:tc>
          <w:tcPr>
            <w:tcW w:w="614" w:type="pct"/>
            <w:shd w:val="clear" w:color="auto" w:fill="auto"/>
            <w:noWrap/>
            <w:vAlign w:val="center"/>
            <w:hideMark/>
          </w:tcPr>
          <w:p w14:paraId="4882525B"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PO–DO</w:t>
            </w:r>
          </w:p>
        </w:tc>
        <w:tc>
          <w:tcPr>
            <w:tcW w:w="924" w:type="pct"/>
            <w:shd w:val="clear" w:color="auto" w:fill="auto"/>
            <w:noWrap/>
            <w:vAlign w:val="center"/>
            <w:hideMark/>
          </w:tcPr>
          <w:p w14:paraId="4A9E5BBA"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nezadostno število podatkov</w:t>
            </w:r>
          </w:p>
        </w:tc>
        <w:tc>
          <w:tcPr>
            <w:tcW w:w="557" w:type="pct"/>
            <w:shd w:val="clear" w:color="auto" w:fill="auto"/>
            <w:noWrap/>
            <w:vAlign w:val="center"/>
            <w:hideMark/>
          </w:tcPr>
          <w:p w14:paraId="3831D346"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DA</w:t>
            </w:r>
          </w:p>
        </w:tc>
        <w:tc>
          <w:tcPr>
            <w:tcW w:w="905" w:type="pct"/>
            <w:shd w:val="clear" w:color="auto" w:fill="auto"/>
            <w:noWrap/>
            <w:vAlign w:val="center"/>
            <w:hideMark/>
          </w:tcPr>
          <w:p w14:paraId="6A830310"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nezadostno število podatkov</w:t>
            </w:r>
          </w:p>
        </w:tc>
        <w:tc>
          <w:tcPr>
            <w:tcW w:w="576" w:type="pct"/>
            <w:shd w:val="clear" w:color="auto" w:fill="auto"/>
            <w:noWrap/>
            <w:vAlign w:val="center"/>
            <w:hideMark/>
          </w:tcPr>
          <w:p w14:paraId="3F196676"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DA</w:t>
            </w:r>
          </w:p>
        </w:tc>
      </w:tr>
      <w:tr w:rsidR="001A09B9" w:rsidRPr="00545EC0" w14:paraId="6BB792DE" w14:textId="77777777" w:rsidTr="001A09B9">
        <w:trPr>
          <w:trHeight w:val="300"/>
        </w:trPr>
        <w:tc>
          <w:tcPr>
            <w:tcW w:w="1424" w:type="pct"/>
            <w:shd w:val="clear" w:color="auto" w:fill="auto"/>
            <w:noWrap/>
            <w:vAlign w:val="center"/>
            <w:hideMark/>
          </w:tcPr>
          <w:p w14:paraId="635527EC" w14:textId="77777777" w:rsidR="00617285" w:rsidRPr="00545EC0" w:rsidRDefault="00617285" w:rsidP="00017486">
            <w:pPr>
              <w:overflowPunct/>
              <w:autoSpaceDE/>
              <w:autoSpaceDN/>
              <w:adjustRightInd/>
              <w:spacing w:line="240" w:lineRule="auto"/>
              <w:jc w:val="left"/>
              <w:textAlignment w:val="auto"/>
              <w:rPr>
                <w:rFonts w:cs="Arial"/>
                <w:sz w:val="18"/>
                <w:szCs w:val="18"/>
              </w:rPr>
            </w:pPr>
            <w:r w:rsidRPr="00545EC0">
              <w:rPr>
                <w:rFonts w:cs="Arial"/>
                <w:sz w:val="18"/>
                <w:szCs w:val="18"/>
              </w:rPr>
              <w:t>Sulfat</w:t>
            </w:r>
          </w:p>
        </w:tc>
        <w:tc>
          <w:tcPr>
            <w:tcW w:w="614" w:type="pct"/>
            <w:shd w:val="clear" w:color="auto" w:fill="auto"/>
            <w:noWrap/>
            <w:vAlign w:val="center"/>
            <w:hideMark/>
          </w:tcPr>
          <w:p w14:paraId="54E97FA5"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PO–DO</w:t>
            </w:r>
          </w:p>
        </w:tc>
        <w:tc>
          <w:tcPr>
            <w:tcW w:w="924" w:type="pct"/>
            <w:shd w:val="clear" w:color="auto" w:fill="auto"/>
            <w:noWrap/>
            <w:vAlign w:val="center"/>
            <w:hideMark/>
          </w:tcPr>
          <w:p w14:paraId="1CD2C0E6"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57" w:type="pct"/>
            <w:shd w:val="clear" w:color="auto" w:fill="auto"/>
            <w:noWrap/>
            <w:vAlign w:val="center"/>
            <w:hideMark/>
          </w:tcPr>
          <w:p w14:paraId="5C3EF6DE"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DA</w:t>
            </w:r>
          </w:p>
        </w:tc>
        <w:tc>
          <w:tcPr>
            <w:tcW w:w="905" w:type="pct"/>
            <w:shd w:val="clear" w:color="auto" w:fill="auto"/>
            <w:noWrap/>
            <w:vAlign w:val="center"/>
            <w:hideMark/>
          </w:tcPr>
          <w:p w14:paraId="76918F24"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ni spremembe</w:t>
            </w:r>
          </w:p>
        </w:tc>
        <w:tc>
          <w:tcPr>
            <w:tcW w:w="576" w:type="pct"/>
            <w:shd w:val="clear" w:color="auto" w:fill="auto"/>
            <w:noWrap/>
            <w:vAlign w:val="center"/>
            <w:hideMark/>
          </w:tcPr>
          <w:p w14:paraId="492D58E1" w14:textId="77777777" w:rsidR="00617285" w:rsidRPr="00545EC0" w:rsidRDefault="00617285" w:rsidP="001A09B9">
            <w:pPr>
              <w:overflowPunct/>
              <w:autoSpaceDE/>
              <w:autoSpaceDN/>
              <w:adjustRightInd/>
              <w:spacing w:line="240" w:lineRule="auto"/>
              <w:jc w:val="left"/>
              <w:textAlignment w:val="auto"/>
              <w:rPr>
                <w:rFonts w:cs="Arial"/>
                <w:sz w:val="18"/>
                <w:szCs w:val="18"/>
              </w:rPr>
            </w:pPr>
            <w:r w:rsidRPr="00545EC0">
              <w:rPr>
                <w:rFonts w:cs="Arial"/>
                <w:sz w:val="18"/>
                <w:szCs w:val="18"/>
              </w:rPr>
              <w:t>DA</w:t>
            </w:r>
          </w:p>
        </w:tc>
      </w:tr>
    </w:tbl>
    <w:p w14:paraId="754C9810" w14:textId="622396C5" w:rsidR="00EE5E77" w:rsidRPr="00545EC0" w:rsidRDefault="00617285" w:rsidP="00E60181">
      <w:pPr>
        <w:spacing w:line="240" w:lineRule="auto"/>
        <w:rPr>
          <w:rFonts w:cs="Arial"/>
          <w:i/>
          <w:sz w:val="18"/>
        </w:rPr>
      </w:pPr>
      <w:r w:rsidRPr="00545EC0">
        <w:rPr>
          <w:rFonts w:cs="Arial"/>
          <w:i/>
          <w:sz w:val="18"/>
        </w:rPr>
        <w:t xml:space="preserve">Legenda: PNS – prednostno nevarna snov, PS – prednostna snov, PO – posebna onesnaževala, SO – sintetična onesnaževala, NSO – nesintetična onesnaževala, DO – druga onesnaževala, n.v. - zaradi velike stopnje negotovosti parameter ni bil vključen v popis emisij za obdobje od 2009 do 2012, DA* - parameter stanja površinskih voda za katerega je ugotovljeno preseganje okoljskih standardov kakovosti v bioti, DV - opredelitev možnih drugih virov onesnaževanja voda pripravljena na podlagi primerjave ocen emisij iz točkovnih virov </w:t>
      </w:r>
      <w:r w:rsidR="00995107" w:rsidRPr="00545EC0">
        <w:rPr>
          <w:rFonts w:cs="Arial"/>
          <w:i/>
          <w:sz w:val="18"/>
        </w:rPr>
        <w:t xml:space="preserve">onesnaževanja </w:t>
      </w:r>
      <w:r w:rsidRPr="00545EC0">
        <w:rPr>
          <w:rFonts w:cs="Arial"/>
          <w:i/>
          <w:sz w:val="18"/>
        </w:rPr>
        <w:t>in o</w:t>
      </w:r>
      <w:r w:rsidR="00BA1338" w:rsidRPr="00545EC0">
        <w:rPr>
          <w:rFonts w:cs="Arial"/>
          <w:i/>
          <w:sz w:val="18"/>
        </w:rPr>
        <w:t>ceno letne količine onesnaževal</w:t>
      </w:r>
    </w:p>
    <w:p w14:paraId="1DDCDF4E" w14:textId="0E1C5841" w:rsidR="00BA1338" w:rsidRPr="00545EC0" w:rsidRDefault="00BA1338">
      <w:pPr>
        <w:pStyle w:val="Naslov3"/>
      </w:pPr>
      <w:bookmarkStart w:id="179" w:name="_Toc419099237"/>
      <w:bookmarkStart w:id="180" w:name="_Toc366228303"/>
      <w:bookmarkStart w:id="181" w:name="_Toc90261022"/>
      <w:r w:rsidRPr="00545EC0">
        <w:t>Hidromorfološke obremenitve</w:t>
      </w:r>
      <w:bookmarkEnd w:id="179"/>
      <w:bookmarkEnd w:id="180"/>
      <w:r w:rsidRPr="00545EC0">
        <w:t xml:space="preserve"> površinskih voda</w:t>
      </w:r>
      <w:bookmarkEnd w:id="181"/>
    </w:p>
    <w:p w14:paraId="3D6F69CF" w14:textId="578343FD"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0"/>
          <w:lang w:eastAsia="ja-JP"/>
        </w:rPr>
      </w:pPr>
      <w:r w:rsidRPr="00545EC0">
        <w:rPr>
          <w:rFonts w:cs="Arial"/>
          <w:szCs w:val="20"/>
          <w:lang w:eastAsia="ja-JP"/>
        </w:rPr>
        <w:t>Hidromorfološke obremenitve površinskih voda so fizični posegi v vodni in obvodni prostor, s katerimi vplivamo na količino in dinamiko vode, zveznost toka in morfološke razmere vodotokov, zadrževalnikov in jezer (</w:t>
      </w:r>
      <w:r w:rsidR="00B81413" w:rsidRPr="00545EC0">
        <w:rPr>
          <w:rFonts w:cs="Arial"/>
          <w:szCs w:val="20"/>
          <w:lang w:eastAsia="ja-JP"/>
        </w:rPr>
        <w:fldChar w:fldCharType="begin"/>
      </w:r>
      <w:r w:rsidR="00B81413" w:rsidRPr="00545EC0">
        <w:rPr>
          <w:rFonts w:cs="Arial"/>
          <w:szCs w:val="20"/>
          <w:lang w:eastAsia="ja-JP"/>
        </w:rPr>
        <w:instrText xml:space="preserve"> REF _Ref84253508 \h  \* MERGEFORMAT </w:instrText>
      </w:r>
      <w:r w:rsidR="00B81413" w:rsidRPr="00545EC0">
        <w:rPr>
          <w:rFonts w:cs="Arial"/>
          <w:szCs w:val="20"/>
          <w:lang w:eastAsia="ja-JP"/>
        </w:rPr>
      </w:r>
      <w:r w:rsidR="00B81413" w:rsidRPr="00545EC0">
        <w:rPr>
          <w:rFonts w:cs="Arial"/>
          <w:szCs w:val="20"/>
          <w:lang w:eastAsia="ja-JP"/>
        </w:rPr>
        <w:fldChar w:fldCharType="separate"/>
      </w:r>
      <w:r w:rsidR="002F3E43" w:rsidRPr="00545EC0">
        <w:t xml:space="preserve">Preglednica </w:t>
      </w:r>
      <w:r w:rsidR="002F3E43">
        <w:t>2</w:t>
      </w:r>
      <w:r w:rsidR="002F3E43" w:rsidRPr="00545EC0">
        <w:noBreakHyphen/>
      </w:r>
      <w:r w:rsidR="002F3E43">
        <w:t>20</w:t>
      </w:r>
      <w:r w:rsidR="002F3E43" w:rsidRPr="00545EC0">
        <w:t>: Hidromorfološke obremenitve na vodotokih, zadrževalnikih in jezerih</w:t>
      </w:r>
      <w:r w:rsidR="00B81413" w:rsidRPr="00545EC0">
        <w:rPr>
          <w:rFonts w:cs="Arial"/>
          <w:szCs w:val="20"/>
          <w:lang w:eastAsia="ja-JP"/>
        </w:rPr>
        <w:fldChar w:fldCharType="end"/>
      </w:r>
      <w:r w:rsidRPr="00545EC0">
        <w:rPr>
          <w:rFonts w:cs="Arial"/>
          <w:szCs w:val="20"/>
          <w:lang w:eastAsia="ja-JP"/>
        </w:rPr>
        <w:t xml:space="preserve">). Med hidromorfološkimi obremenitvami površinskih voda so obravnavani odvzemi vode, zajezitve, nihanja vodne gladine in pulzirajoči pretoki zaradi obratovanja hidroelektrarn, prečni objekti in njihovi vplivi, osuševanje zemljišč, odvzemi naplavin, regulacije in druge ureditve vodotokov, jezer in zadrževalnikov, raba tal v obrežnem pasu in plovba. </w:t>
      </w:r>
    </w:p>
    <w:p w14:paraId="763B060F"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0"/>
          <w:lang w:eastAsia="ja-JP"/>
        </w:rPr>
      </w:pPr>
    </w:p>
    <w:p w14:paraId="516461D0" w14:textId="427DFA9D" w:rsidR="00BA1338" w:rsidRPr="00545EC0" w:rsidRDefault="00BA1338" w:rsidP="00BA1338">
      <w:pPr>
        <w:pStyle w:val="Napis"/>
        <w:rPr>
          <w:lang w:eastAsia="ja-JP"/>
        </w:rPr>
      </w:pPr>
      <w:bookmarkStart w:id="182" w:name="_Ref84253508"/>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20</w:t>
        </w:r>
      </w:fldSimple>
      <w:r w:rsidRPr="00545EC0">
        <w:t>: Hidromorfološke obremenitve na vodotokih, zadrževalnikih in jezerih</w:t>
      </w:r>
      <w:bookmarkEnd w:id="182"/>
    </w:p>
    <w:tbl>
      <w:tblPr>
        <w:tblStyle w:val="Tabelamrea"/>
        <w:tblW w:w="9067" w:type="dxa"/>
        <w:shd w:val="clear" w:color="auto" w:fill="FFFFFF" w:themeFill="background1"/>
        <w:tblLook w:val="04A0" w:firstRow="1" w:lastRow="0" w:firstColumn="1" w:lastColumn="0" w:noHBand="0" w:noVBand="1"/>
      </w:tblPr>
      <w:tblGrid>
        <w:gridCol w:w="1696"/>
        <w:gridCol w:w="3685"/>
        <w:gridCol w:w="3686"/>
      </w:tblGrid>
      <w:tr w:rsidR="003122F4" w:rsidRPr="00545EC0" w14:paraId="7C9FC1B6" w14:textId="77777777" w:rsidTr="00B81413">
        <w:tc>
          <w:tcPr>
            <w:tcW w:w="1608" w:type="dxa"/>
            <w:vMerge w:val="restart"/>
            <w:shd w:val="clear" w:color="auto" w:fill="F2F2F2" w:themeFill="background1" w:themeFillShade="F2"/>
          </w:tcPr>
          <w:p w14:paraId="130945DA"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18"/>
                <w:szCs w:val="18"/>
              </w:rPr>
            </w:pPr>
            <w:r w:rsidRPr="00545EC0">
              <w:rPr>
                <w:rFonts w:cs="Arial"/>
                <w:b/>
                <w:sz w:val="18"/>
                <w:szCs w:val="18"/>
              </w:rPr>
              <w:t xml:space="preserve">Vrsta hidromorfoloških obremenitev </w:t>
            </w:r>
          </w:p>
        </w:tc>
        <w:tc>
          <w:tcPr>
            <w:tcW w:w="7459" w:type="dxa"/>
            <w:gridSpan w:val="2"/>
            <w:shd w:val="clear" w:color="auto" w:fill="F2F2F2" w:themeFill="background1" w:themeFillShade="F2"/>
            <w:vAlign w:val="center"/>
          </w:tcPr>
          <w:p w14:paraId="65C97524"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b/>
                <w:sz w:val="18"/>
                <w:szCs w:val="18"/>
              </w:rPr>
            </w:pPr>
            <w:r w:rsidRPr="00545EC0">
              <w:rPr>
                <w:rFonts w:cs="Arial"/>
                <w:b/>
                <w:sz w:val="18"/>
                <w:szCs w:val="18"/>
              </w:rPr>
              <w:t>Hidromorfološke obremenitve (HMO) in vplivi na hidromorfološke elemente kakovosti (HME)</w:t>
            </w:r>
          </w:p>
        </w:tc>
      </w:tr>
      <w:tr w:rsidR="003122F4" w:rsidRPr="00545EC0" w14:paraId="3EEBBB69" w14:textId="77777777" w:rsidTr="00B81413">
        <w:tc>
          <w:tcPr>
            <w:tcW w:w="1608" w:type="dxa"/>
            <w:vMerge/>
            <w:shd w:val="clear" w:color="auto" w:fill="F2F2F2" w:themeFill="background1" w:themeFillShade="F2"/>
          </w:tcPr>
          <w:p w14:paraId="17D768F1"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18"/>
                <w:szCs w:val="18"/>
              </w:rPr>
            </w:pPr>
          </w:p>
        </w:tc>
        <w:tc>
          <w:tcPr>
            <w:tcW w:w="3729" w:type="dxa"/>
            <w:shd w:val="clear" w:color="auto" w:fill="F2F2F2" w:themeFill="background1" w:themeFillShade="F2"/>
            <w:vAlign w:val="center"/>
          </w:tcPr>
          <w:p w14:paraId="3DE1A8C3"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18"/>
                <w:szCs w:val="18"/>
              </w:rPr>
            </w:pPr>
            <w:r w:rsidRPr="00545EC0">
              <w:rPr>
                <w:rFonts w:cs="Arial"/>
                <w:b/>
                <w:sz w:val="18"/>
                <w:szCs w:val="18"/>
              </w:rPr>
              <w:t>Vodotoki</w:t>
            </w:r>
          </w:p>
        </w:tc>
        <w:tc>
          <w:tcPr>
            <w:tcW w:w="3730" w:type="dxa"/>
            <w:shd w:val="clear" w:color="auto" w:fill="F2F2F2" w:themeFill="background1" w:themeFillShade="F2"/>
            <w:vAlign w:val="center"/>
          </w:tcPr>
          <w:p w14:paraId="1514180F"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18"/>
                <w:szCs w:val="18"/>
              </w:rPr>
            </w:pPr>
            <w:r w:rsidRPr="00545EC0">
              <w:rPr>
                <w:rFonts w:cs="Arial"/>
                <w:b/>
                <w:sz w:val="18"/>
                <w:szCs w:val="18"/>
              </w:rPr>
              <w:t>Zadrževalniki in jezera</w:t>
            </w:r>
          </w:p>
        </w:tc>
      </w:tr>
      <w:tr w:rsidR="003122F4" w:rsidRPr="00545EC0" w14:paraId="29D88234" w14:textId="77777777" w:rsidTr="00B81413">
        <w:trPr>
          <w:trHeight w:val="1211"/>
        </w:trPr>
        <w:tc>
          <w:tcPr>
            <w:tcW w:w="1608" w:type="dxa"/>
            <w:shd w:val="clear" w:color="auto" w:fill="FFFFFF" w:themeFill="background1"/>
            <w:vAlign w:val="center"/>
          </w:tcPr>
          <w:p w14:paraId="74817B51"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18"/>
                <w:szCs w:val="18"/>
              </w:rPr>
            </w:pPr>
            <w:r w:rsidRPr="00545EC0">
              <w:rPr>
                <w:rFonts w:cs="Arial"/>
                <w:b/>
                <w:sz w:val="18"/>
                <w:szCs w:val="18"/>
              </w:rPr>
              <w:t>Hidrološke obremenitve</w:t>
            </w:r>
          </w:p>
        </w:tc>
        <w:tc>
          <w:tcPr>
            <w:tcW w:w="3729" w:type="dxa"/>
            <w:shd w:val="clear" w:color="auto" w:fill="FFFFFF" w:themeFill="background1"/>
            <w:vAlign w:val="center"/>
          </w:tcPr>
          <w:p w14:paraId="2664B9E7"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18"/>
                <w:szCs w:val="18"/>
              </w:rPr>
            </w:pPr>
            <w:r w:rsidRPr="00545EC0">
              <w:rPr>
                <w:rFonts w:cs="Arial"/>
                <w:sz w:val="18"/>
                <w:szCs w:val="18"/>
              </w:rPr>
              <w:t>Obremenitve z neposrednim vplivom na HME hidrološki režim:</w:t>
            </w:r>
          </w:p>
          <w:p w14:paraId="013CA6EB" w14:textId="77777777" w:rsidR="00BA1338" w:rsidRPr="00545EC0" w:rsidRDefault="00BA1338" w:rsidP="00DD37C5">
            <w:pPr>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40" w:lineRule="auto"/>
              <w:ind w:left="173" w:hanging="142"/>
              <w:contextualSpacing/>
              <w:textAlignment w:val="auto"/>
              <w:rPr>
                <w:rFonts w:cs="Arial"/>
                <w:sz w:val="18"/>
                <w:szCs w:val="18"/>
              </w:rPr>
            </w:pPr>
            <w:r w:rsidRPr="00545EC0">
              <w:rPr>
                <w:rFonts w:cs="Arial"/>
                <w:sz w:val="18"/>
                <w:szCs w:val="18"/>
                <w:lang w:eastAsia="en-US"/>
              </w:rPr>
              <w:t>količino in dinamiko vodnega toka in</w:t>
            </w:r>
          </w:p>
          <w:p w14:paraId="0EDC2A3D" w14:textId="77777777" w:rsidR="00BA1338" w:rsidRPr="00545EC0" w:rsidRDefault="00BA1338" w:rsidP="00DD37C5">
            <w:pPr>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40" w:lineRule="auto"/>
              <w:ind w:left="173" w:hanging="142"/>
              <w:contextualSpacing/>
              <w:textAlignment w:val="auto"/>
              <w:rPr>
                <w:rFonts w:cs="Arial"/>
                <w:sz w:val="18"/>
                <w:szCs w:val="18"/>
              </w:rPr>
            </w:pPr>
            <w:r w:rsidRPr="00545EC0">
              <w:rPr>
                <w:rFonts w:cs="Arial"/>
                <w:sz w:val="18"/>
                <w:szCs w:val="18"/>
                <w:lang w:eastAsia="en-US"/>
              </w:rPr>
              <w:t>povezavo s telesi podzemne vode.</w:t>
            </w:r>
          </w:p>
        </w:tc>
        <w:tc>
          <w:tcPr>
            <w:tcW w:w="3730" w:type="dxa"/>
            <w:shd w:val="clear" w:color="auto" w:fill="FFFFFF" w:themeFill="background1"/>
            <w:vAlign w:val="center"/>
          </w:tcPr>
          <w:p w14:paraId="2F4D27BA"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18"/>
                <w:szCs w:val="18"/>
              </w:rPr>
            </w:pPr>
            <w:r w:rsidRPr="00545EC0">
              <w:rPr>
                <w:rFonts w:cs="Arial"/>
                <w:sz w:val="18"/>
                <w:szCs w:val="18"/>
              </w:rPr>
              <w:t>Obremenitve z neposrednim vplivom na HME hidrološki režim, to je:</w:t>
            </w:r>
          </w:p>
          <w:p w14:paraId="3DF9C713" w14:textId="77777777" w:rsidR="00BA1338" w:rsidRPr="00545EC0" w:rsidRDefault="00BA1338" w:rsidP="00DD37C5">
            <w:pPr>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40" w:lineRule="auto"/>
              <w:ind w:left="173" w:hanging="142"/>
              <w:contextualSpacing/>
              <w:textAlignment w:val="auto"/>
              <w:rPr>
                <w:rFonts w:cs="Arial"/>
                <w:sz w:val="18"/>
                <w:szCs w:val="18"/>
              </w:rPr>
            </w:pPr>
            <w:r w:rsidRPr="00545EC0">
              <w:rPr>
                <w:rFonts w:cs="Arial"/>
                <w:sz w:val="18"/>
                <w:szCs w:val="18"/>
                <w:lang w:eastAsia="en-US"/>
              </w:rPr>
              <w:t xml:space="preserve">količino in dinamiko vodnega toka, </w:t>
            </w:r>
          </w:p>
          <w:p w14:paraId="32570473" w14:textId="77777777" w:rsidR="00BA1338" w:rsidRPr="00545EC0" w:rsidRDefault="00BA1338" w:rsidP="00DD37C5">
            <w:pPr>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40" w:lineRule="auto"/>
              <w:ind w:left="173" w:hanging="142"/>
              <w:contextualSpacing/>
              <w:textAlignment w:val="auto"/>
              <w:rPr>
                <w:rFonts w:cs="Arial"/>
                <w:sz w:val="18"/>
                <w:szCs w:val="18"/>
              </w:rPr>
            </w:pPr>
            <w:r w:rsidRPr="00545EC0">
              <w:rPr>
                <w:rFonts w:cs="Arial"/>
                <w:sz w:val="18"/>
                <w:szCs w:val="18"/>
                <w:lang w:eastAsia="en-US"/>
              </w:rPr>
              <w:t>zadrževalni čas in</w:t>
            </w:r>
          </w:p>
          <w:p w14:paraId="4F527828" w14:textId="77777777" w:rsidR="00BA1338" w:rsidRPr="00545EC0" w:rsidRDefault="00BA1338" w:rsidP="00DD37C5">
            <w:pPr>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40" w:lineRule="auto"/>
              <w:ind w:left="173" w:hanging="142"/>
              <w:contextualSpacing/>
              <w:textAlignment w:val="auto"/>
              <w:rPr>
                <w:rFonts w:cs="Arial"/>
                <w:sz w:val="18"/>
                <w:szCs w:val="18"/>
              </w:rPr>
            </w:pPr>
            <w:r w:rsidRPr="00545EC0">
              <w:rPr>
                <w:rFonts w:cs="Arial"/>
                <w:sz w:val="18"/>
                <w:szCs w:val="18"/>
                <w:lang w:eastAsia="en-US"/>
              </w:rPr>
              <w:t>povezavo s telesi podzemne vode.</w:t>
            </w:r>
          </w:p>
        </w:tc>
      </w:tr>
      <w:tr w:rsidR="003122F4" w:rsidRPr="00545EC0" w14:paraId="2335267D" w14:textId="77777777" w:rsidTr="00B81413">
        <w:trPr>
          <w:trHeight w:val="832"/>
        </w:trPr>
        <w:tc>
          <w:tcPr>
            <w:tcW w:w="1608" w:type="dxa"/>
            <w:shd w:val="clear" w:color="auto" w:fill="FFFFFF" w:themeFill="background1"/>
            <w:vAlign w:val="center"/>
          </w:tcPr>
          <w:p w14:paraId="7207DF67"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18"/>
                <w:szCs w:val="18"/>
              </w:rPr>
            </w:pPr>
            <w:r w:rsidRPr="00545EC0">
              <w:rPr>
                <w:rFonts w:cs="Arial"/>
                <w:b/>
                <w:sz w:val="18"/>
                <w:szCs w:val="18"/>
              </w:rPr>
              <w:lastRenderedPageBreak/>
              <w:t>Obremenitve zveznosti toka</w:t>
            </w:r>
          </w:p>
        </w:tc>
        <w:tc>
          <w:tcPr>
            <w:tcW w:w="3729" w:type="dxa"/>
            <w:shd w:val="clear" w:color="auto" w:fill="FFFFFF" w:themeFill="background1"/>
            <w:vAlign w:val="center"/>
          </w:tcPr>
          <w:p w14:paraId="33125C71"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18"/>
                <w:szCs w:val="18"/>
              </w:rPr>
            </w:pPr>
            <w:r w:rsidRPr="00545EC0">
              <w:rPr>
                <w:rFonts w:cs="Arial"/>
                <w:sz w:val="18"/>
                <w:szCs w:val="18"/>
              </w:rPr>
              <w:t>Obremenitve z neposrednim vplivom na HME zveznost toka:</w:t>
            </w:r>
          </w:p>
          <w:p w14:paraId="627135CA" w14:textId="77777777" w:rsidR="00BA1338" w:rsidRPr="00545EC0" w:rsidRDefault="00BA1338" w:rsidP="00DD37C5">
            <w:pPr>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40" w:lineRule="auto"/>
              <w:ind w:left="174" w:hanging="141"/>
              <w:contextualSpacing/>
              <w:textAlignment w:val="auto"/>
              <w:rPr>
                <w:rFonts w:cs="Arial"/>
                <w:sz w:val="18"/>
                <w:szCs w:val="18"/>
              </w:rPr>
            </w:pPr>
            <w:r w:rsidRPr="00545EC0">
              <w:rPr>
                <w:rFonts w:cs="Arial"/>
                <w:sz w:val="18"/>
                <w:szCs w:val="18"/>
              </w:rPr>
              <w:t>migracijo vodnih organizmov in</w:t>
            </w:r>
          </w:p>
          <w:p w14:paraId="2C295EF3" w14:textId="77777777" w:rsidR="00BA1338" w:rsidRPr="00545EC0" w:rsidRDefault="00BA1338" w:rsidP="00DD37C5">
            <w:pPr>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40" w:lineRule="auto"/>
              <w:ind w:left="174" w:hanging="141"/>
              <w:contextualSpacing/>
              <w:textAlignment w:val="auto"/>
              <w:rPr>
                <w:rFonts w:cs="Arial"/>
                <w:sz w:val="18"/>
                <w:szCs w:val="18"/>
              </w:rPr>
            </w:pPr>
            <w:r w:rsidRPr="00545EC0">
              <w:rPr>
                <w:rFonts w:cs="Arial"/>
                <w:sz w:val="18"/>
                <w:szCs w:val="18"/>
              </w:rPr>
              <w:t>premeščanje plavin.</w:t>
            </w:r>
          </w:p>
        </w:tc>
        <w:tc>
          <w:tcPr>
            <w:tcW w:w="3730" w:type="dxa"/>
            <w:shd w:val="clear" w:color="auto" w:fill="FFFFFF" w:themeFill="background1"/>
            <w:vAlign w:val="center"/>
          </w:tcPr>
          <w:p w14:paraId="4A2C5E94"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18"/>
                <w:szCs w:val="18"/>
              </w:rPr>
            </w:pPr>
            <w:r w:rsidRPr="00545EC0">
              <w:rPr>
                <w:rFonts w:cs="Arial"/>
                <w:sz w:val="18"/>
                <w:szCs w:val="18"/>
              </w:rPr>
              <w:t>/</w:t>
            </w:r>
          </w:p>
        </w:tc>
      </w:tr>
      <w:tr w:rsidR="003122F4" w:rsidRPr="00545EC0" w14:paraId="1CB718D4" w14:textId="77777777" w:rsidTr="00B81413">
        <w:trPr>
          <w:trHeight w:val="1127"/>
        </w:trPr>
        <w:tc>
          <w:tcPr>
            <w:tcW w:w="1608" w:type="dxa"/>
            <w:shd w:val="clear" w:color="auto" w:fill="FFFFFF" w:themeFill="background1"/>
            <w:vAlign w:val="center"/>
          </w:tcPr>
          <w:p w14:paraId="49125144"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18"/>
                <w:szCs w:val="18"/>
              </w:rPr>
            </w:pPr>
            <w:r w:rsidRPr="00545EC0">
              <w:rPr>
                <w:rFonts w:cs="Arial"/>
                <w:b/>
                <w:sz w:val="18"/>
                <w:szCs w:val="18"/>
              </w:rPr>
              <w:t>Morfološke obremenitve</w:t>
            </w:r>
          </w:p>
        </w:tc>
        <w:tc>
          <w:tcPr>
            <w:tcW w:w="3729" w:type="dxa"/>
            <w:shd w:val="clear" w:color="auto" w:fill="FFFFFF" w:themeFill="background1"/>
            <w:vAlign w:val="center"/>
          </w:tcPr>
          <w:p w14:paraId="5EC47EF5"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18"/>
                <w:szCs w:val="18"/>
              </w:rPr>
            </w:pPr>
            <w:r w:rsidRPr="00545EC0">
              <w:rPr>
                <w:rFonts w:cs="Arial"/>
                <w:sz w:val="18"/>
                <w:szCs w:val="18"/>
              </w:rPr>
              <w:t>Obremenitve z neposrednim vplivom na HME morfološke razmere:</w:t>
            </w:r>
          </w:p>
          <w:p w14:paraId="3347745E" w14:textId="77777777" w:rsidR="00BA1338" w:rsidRPr="00545EC0" w:rsidRDefault="00BA1338" w:rsidP="004F2AF2">
            <w:pPr>
              <w:pStyle w:val="Brezrazmikov"/>
              <w:rPr>
                <w:rFonts w:ascii="Arial" w:hAnsi="Arial" w:cs="Arial"/>
                <w:sz w:val="18"/>
                <w:szCs w:val="18"/>
              </w:rPr>
            </w:pPr>
            <w:r w:rsidRPr="00545EC0">
              <w:rPr>
                <w:rFonts w:ascii="Arial" w:hAnsi="Arial" w:cs="Arial"/>
                <w:sz w:val="18"/>
                <w:szCs w:val="18"/>
              </w:rPr>
              <w:t xml:space="preserve">spreminjanje širine in globine struge, </w:t>
            </w:r>
          </w:p>
          <w:p w14:paraId="5747FB2F" w14:textId="77777777" w:rsidR="00BA1338" w:rsidRPr="00545EC0" w:rsidRDefault="00BA1338" w:rsidP="00DD37C5">
            <w:pPr>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40" w:lineRule="auto"/>
              <w:ind w:left="173" w:hanging="142"/>
              <w:contextualSpacing/>
              <w:textAlignment w:val="auto"/>
              <w:rPr>
                <w:rFonts w:cs="Arial"/>
                <w:sz w:val="18"/>
                <w:szCs w:val="18"/>
              </w:rPr>
            </w:pPr>
            <w:r w:rsidRPr="00545EC0">
              <w:rPr>
                <w:rFonts w:cs="Arial"/>
                <w:sz w:val="18"/>
                <w:szCs w:val="18"/>
              </w:rPr>
              <w:t xml:space="preserve">strukturo struge in substrata, </w:t>
            </w:r>
          </w:p>
          <w:p w14:paraId="7F7C2D63" w14:textId="77777777" w:rsidR="00BA1338" w:rsidRPr="00545EC0" w:rsidRDefault="00BA1338" w:rsidP="00DD37C5">
            <w:pPr>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40" w:lineRule="auto"/>
              <w:ind w:left="173" w:hanging="142"/>
              <w:contextualSpacing/>
              <w:textAlignment w:val="auto"/>
              <w:rPr>
                <w:rFonts w:cs="Arial"/>
                <w:sz w:val="18"/>
                <w:szCs w:val="18"/>
              </w:rPr>
            </w:pPr>
            <w:r w:rsidRPr="00545EC0">
              <w:rPr>
                <w:rFonts w:cs="Arial"/>
                <w:sz w:val="18"/>
                <w:szCs w:val="18"/>
              </w:rPr>
              <w:t>strukturo obrežnega pasu.</w:t>
            </w:r>
          </w:p>
        </w:tc>
        <w:tc>
          <w:tcPr>
            <w:tcW w:w="3730" w:type="dxa"/>
            <w:shd w:val="clear" w:color="auto" w:fill="FFFFFF" w:themeFill="background1"/>
            <w:vAlign w:val="center"/>
          </w:tcPr>
          <w:p w14:paraId="59E61DB5"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18"/>
                <w:szCs w:val="18"/>
              </w:rPr>
            </w:pPr>
            <w:r w:rsidRPr="00545EC0">
              <w:rPr>
                <w:rFonts w:cs="Arial"/>
                <w:sz w:val="18"/>
                <w:szCs w:val="18"/>
              </w:rPr>
              <w:t>Obremenitve z neposrednim vplivom na HME morfološke razmere:</w:t>
            </w:r>
          </w:p>
          <w:p w14:paraId="6C0E946C" w14:textId="77777777" w:rsidR="00BA1338" w:rsidRPr="00545EC0" w:rsidRDefault="00BA1338" w:rsidP="00DD37C5">
            <w:pPr>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40" w:lineRule="auto"/>
              <w:ind w:left="173" w:hanging="142"/>
              <w:contextualSpacing/>
              <w:textAlignment w:val="auto"/>
              <w:rPr>
                <w:rFonts w:cs="Arial"/>
                <w:sz w:val="18"/>
                <w:szCs w:val="18"/>
              </w:rPr>
            </w:pPr>
            <w:r w:rsidRPr="00545EC0">
              <w:rPr>
                <w:rFonts w:cs="Arial"/>
                <w:sz w:val="18"/>
                <w:szCs w:val="18"/>
              </w:rPr>
              <w:t>spreminjanje globine jezera,</w:t>
            </w:r>
          </w:p>
          <w:p w14:paraId="0660F41D" w14:textId="77777777" w:rsidR="00BA1338" w:rsidRPr="00545EC0" w:rsidRDefault="00BA1338" w:rsidP="00DD37C5">
            <w:pPr>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40" w:lineRule="auto"/>
              <w:ind w:left="173" w:hanging="142"/>
              <w:contextualSpacing/>
              <w:textAlignment w:val="auto"/>
              <w:rPr>
                <w:rFonts w:cs="Arial"/>
                <w:sz w:val="18"/>
                <w:szCs w:val="18"/>
              </w:rPr>
            </w:pPr>
            <w:r w:rsidRPr="00545EC0">
              <w:rPr>
                <w:rFonts w:cs="Arial"/>
                <w:sz w:val="18"/>
                <w:szCs w:val="18"/>
              </w:rPr>
              <w:t xml:space="preserve">količino, strukturo in substrat jezerskega dna, </w:t>
            </w:r>
          </w:p>
          <w:p w14:paraId="5081C032" w14:textId="77777777" w:rsidR="00BA1338" w:rsidRPr="00545EC0" w:rsidRDefault="00BA1338" w:rsidP="00DD37C5">
            <w:pPr>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40" w:lineRule="auto"/>
              <w:ind w:left="173" w:hanging="142"/>
              <w:contextualSpacing/>
              <w:textAlignment w:val="auto"/>
              <w:rPr>
                <w:rFonts w:cs="Arial"/>
                <w:sz w:val="18"/>
                <w:szCs w:val="18"/>
              </w:rPr>
            </w:pPr>
            <w:r w:rsidRPr="00545EC0">
              <w:rPr>
                <w:rFonts w:cs="Arial"/>
                <w:sz w:val="18"/>
                <w:szCs w:val="18"/>
              </w:rPr>
              <w:t>strukturo jezerske obale.</w:t>
            </w:r>
          </w:p>
        </w:tc>
      </w:tr>
    </w:tbl>
    <w:p w14:paraId="37404E9D"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0"/>
          <w:lang w:eastAsia="ja-JP"/>
        </w:rPr>
      </w:pPr>
    </w:p>
    <w:p w14:paraId="3914AF75" w14:textId="77777777" w:rsidR="00BA1338" w:rsidRPr="00545EC0" w:rsidRDefault="00BA1338" w:rsidP="00A3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0"/>
          <w:lang w:eastAsia="ja-JP"/>
        </w:rPr>
      </w:pPr>
      <w:r w:rsidRPr="00545EC0">
        <w:rPr>
          <w:rFonts w:cs="Arial"/>
          <w:szCs w:val="20"/>
          <w:lang w:eastAsia="ja-JP"/>
        </w:rPr>
        <w:t xml:space="preserve">Prisotnost hidromorfoloških obremenitev se znotraj porečij razlikuje glede na fizične in družbene dejavnike, v splošnem pa velja, da so najbolj obremenjeni nižinski predeli porečij, kjer različne rabe vode ter vodnega in obvodnega prostora povzročajo največje antropogene spremembe. Na vodnem območju Donave so glavne dejavnosti oziroma sektorji, ki povzročajo hidromorfološke obremenitve, urbanizacija (zmanjševanje poplavne in erozijske ogroženosti), kmetijstvo, energetika, promet ter turizem in rekreacija. </w:t>
      </w:r>
    </w:p>
    <w:p w14:paraId="699BEDD9" w14:textId="77777777" w:rsidR="00BA1338" w:rsidRPr="00545EC0" w:rsidRDefault="00BA1338" w:rsidP="00A3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0"/>
          <w:lang w:eastAsia="ja-JP"/>
        </w:rPr>
      </w:pPr>
      <w:r w:rsidRPr="00545EC0">
        <w:rPr>
          <w:rFonts w:cs="Arial"/>
          <w:szCs w:val="20"/>
          <w:lang w:eastAsia="ja-JP"/>
        </w:rPr>
        <w:t xml:space="preserve"> </w:t>
      </w:r>
    </w:p>
    <w:p w14:paraId="3DD3BEDA" w14:textId="5836C623" w:rsidR="00615BE1" w:rsidRPr="00545EC0" w:rsidRDefault="00BA1338" w:rsidP="00A3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i/>
          <w:szCs w:val="20"/>
          <w:lang w:eastAsia="ja-JP"/>
        </w:rPr>
      </w:pPr>
      <w:r w:rsidRPr="00545EC0">
        <w:rPr>
          <w:rFonts w:cs="Arial"/>
          <w:szCs w:val="20"/>
          <w:lang w:eastAsia="ja-JP"/>
        </w:rPr>
        <w:t xml:space="preserve">V </w:t>
      </w:r>
      <w:r w:rsidR="00CA166A" w:rsidRPr="00545EC0">
        <w:rPr>
          <w:rFonts w:cs="Arial"/>
          <w:szCs w:val="20"/>
          <w:lang w:eastAsia="ja-JP"/>
        </w:rPr>
        <w:t xml:space="preserve">tem kakor v predhodnih načrtih upravljanja voda </w:t>
      </w:r>
      <w:r w:rsidRPr="00545EC0">
        <w:rPr>
          <w:rFonts w:cs="Arial"/>
          <w:szCs w:val="20"/>
          <w:lang w:eastAsia="ja-JP"/>
        </w:rPr>
        <w:t xml:space="preserve">je bila prisotnost hidromorfoloških obremenitev na VO Donave analizirana na 121 vodnih telesih površinskih voda, ki so določena </w:t>
      </w:r>
      <w:r w:rsidR="00CA166A" w:rsidRPr="00545EC0">
        <w:rPr>
          <w:rFonts w:cs="Arial"/>
          <w:szCs w:val="20"/>
          <w:lang w:eastAsia="ja-JP"/>
        </w:rPr>
        <w:t xml:space="preserve">v predpisu, ki ureja </w:t>
      </w:r>
      <w:r w:rsidRPr="00545EC0">
        <w:rPr>
          <w:rFonts w:cs="Arial"/>
          <w:szCs w:val="20"/>
          <w:lang w:eastAsia="ja-JP"/>
        </w:rPr>
        <w:t>določit</w:t>
      </w:r>
      <w:r w:rsidR="00CA166A" w:rsidRPr="00545EC0">
        <w:rPr>
          <w:rFonts w:cs="Arial"/>
          <w:szCs w:val="20"/>
          <w:lang w:eastAsia="ja-JP"/>
        </w:rPr>
        <w:t>e</w:t>
      </w:r>
      <w:r w:rsidRPr="00545EC0">
        <w:rPr>
          <w:rFonts w:cs="Arial"/>
          <w:szCs w:val="20"/>
          <w:lang w:eastAsia="ja-JP"/>
        </w:rPr>
        <w:t>v in razvrstit</w:t>
      </w:r>
      <w:r w:rsidR="00CA166A" w:rsidRPr="00545EC0">
        <w:rPr>
          <w:rFonts w:cs="Arial"/>
          <w:szCs w:val="20"/>
          <w:lang w:eastAsia="ja-JP"/>
        </w:rPr>
        <w:t>ev</w:t>
      </w:r>
      <w:r w:rsidRPr="00545EC0">
        <w:rPr>
          <w:rFonts w:cs="Arial"/>
          <w:szCs w:val="20"/>
          <w:lang w:eastAsia="ja-JP"/>
        </w:rPr>
        <w:t xml:space="preserve"> vodnih teles površinskih voda. Tekom analiz </w:t>
      </w:r>
      <w:r w:rsidR="00995107" w:rsidRPr="00545EC0">
        <w:rPr>
          <w:rFonts w:cs="Arial"/>
          <w:szCs w:val="20"/>
          <w:lang w:eastAsia="ja-JP"/>
        </w:rPr>
        <w:t xml:space="preserve">podatkov o hidromorfoloških obremenitvah površinskih voda </w:t>
      </w:r>
      <w:r w:rsidRPr="00545EC0">
        <w:rPr>
          <w:rFonts w:cs="Arial"/>
          <w:szCs w:val="20"/>
          <w:lang w:eastAsia="ja-JP"/>
        </w:rPr>
        <w:t>je bilo ugotovljeno, da se na številnih VTPV-jih prisotnost hidromorfoloških obremenitev na glavnem toku VTPV in na njihovih pritokih pomembno razlikuje (npr. različna prisotnost obremenitev na glavnem toku Drave in njenih pritokih, Lobnici, Bistrici, Lamprehtovem potoku itd.). Zato je za potrebe podrobnejše obravnave hidromorfoloških obremenitev in boljše natančnosti analize za t</w:t>
      </w:r>
      <w:r w:rsidR="00EA7314" w:rsidRPr="00545EC0">
        <w:rPr>
          <w:rFonts w:cs="Arial"/>
          <w:szCs w:val="20"/>
          <w:lang w:eastAsia="ja-JP"/>
        </w:rPr>
        <w:t>a</w:t>
      </w:r>
      <w:r w:rsidRPr="00545EC0">
        <w:rPr>
          <w:rFonts w:cs="Arial"/>
          <w:szCs w:val="20"/>
          <w:lang w:eastAsia="ja-JP"/>
        </w:rPr>
        <w:t xml:space="preserve"> </w:t>
      </w:r>
      <w:r w:rsidR="00EA7314" w:rsidRPr="00545EC0">
        <w:rPr>
          <w:rFonts w:cs="Arial"/>
          <w:szCs w:val="20"/>
          <w:lang w:eastAsia="ja-JP"/>
        </w:rPr>
        <w:t>načrt upravljanja voda</w:t>
      </w:r>
      <w:r w:rsidRPr="00545EC0">
        <w:rPr>
          <w:rFonts w:cs="Arial"/>
          <w:szCs w:val="20"/>
          <w:lang w:eastAsia="ja-JP"/>
        </w:rPr>
        <w:t xml:space="preserve"> izdelana podrobnejša razdelitev 121 vodnih teles površinskih voda, in sicer na način, da je posamezno VTPV nadalje razdel</w:t>
      </w:r>
      <w:r w:rsidR="00805B59" w:rsidRPr="00545EC0">
        <w:rPr>
          <w:rFonts w:cs="Arial"/>
          <w:szCs w:val="20"/>
          <w:lang w:eastAsia="ja-JP"/>
        </w:rPr>
        <w:t>jeno na posamezne dele (</w:t>
      </w:r>
      <w:r w:rsidR="00EA7314" w:rsidRPr="00545EC0">
        <w:rPr>
          <w:rFonts w:cs="Arial"/>
          <w:szCs w:val="20"/>
          <w:lang w:eastAsia="ja-JP"/>
        </w:rPr>
        <w:t xml:space="preserve">v nadaljnjem besedilu: </w:t>
      </w:r>
      <w:r w:rsidR="00805B59" w:rsidRPr="00545EC0">
        <w:rPr>
          <w:rFonts w:cs="Arial"/>
          <w:szCs w:val="20"/>
          <w:lang w:eastAsia="ja-JP"/>
        </w:rPr>
        <w:t>dVTPV)</w:t>
      </w:r>
      <w:r w:rsidRPr="00545EC0">
        <w:rPr>
          <w:rFonts w:cs="Arial"/>
          <w:szCs w:val="20"/>
          <w:lang w:eastAsia="ja-JP"/>
        </w:rPr>
        <w:t xml:space="preserve">. Deli </w:t>
      </w:r>
      <w:r w:rsidR="00EA7314" w:rsidRPr="00545EC0">
        <w:rPr>
          <w:rFonts w:cs="Arial"/>
          <w:szCs w:val="20"/>
          <w:lang w:eastAsia="ja-JP"/>
        </w:rPr>
        <w:t xml:space="preserve">VTPV </w:t>
      </w:r>
      <w:r w:rsidRPr="00545EC0">
        <w:rPr>
          <w:rFonts w:cs="Arial"/>
          <w:szCs w:val="20"/>
          <w:lang w:eastAsia="ja-JP"/>
        </w:rPr>
        <w:t>so določeni na vseh vodotokih s prispevno površino večjo od 10 km</w:t>
      </w:r>
      <w:r w:rsidRPr="00545EC0">
        <w:rPr>
          <w:rFonts w:cs="Arial"/>
          <w:szCs w:val="20"/>
          <w:vertAlign w:val="superscript"/>
          <w:lang w:eastAsia="ja-JP"/>
        </w:rPr>
        <w:t>2</w:t>
      </w:r>
      <w:r w:rsidRPr="00545EC0">
        <w:rPr>
          <w:rFonts w:cs="Arial"/>
          <w:szCs w:val="20"/>
          <w:lang w:eastAsia="ja-JP"/>
        </w:rPr>
        <w:t xml:space="preserve">, pri čemer je za vsak del </w:t>
      </w:r>
      <w:r w:rsidR="00EA7314" w:rsidRPr="00545EC0">
        <w:rPr>
          <w:rFonts w:cs="Arial"/>
          <w:szCs w:val="20"/>
          <w:lang w:eastAsia="ja-JP"/>
        </w:rPr>
        <w:t xml:space="preserve">VTPV </w:t>
      </w:r>
      <w:r w:rsidRPr="00545EC0">
        <w:rPr>
          <w:rFonts w:cs="Arial"/>
          <w:szCs w:val="20"/>
          <w:lang w:eastAsia="ja-JP"/>
        </w:rPr>
        <w:t>opredeljeno, ali le-ta tvori glavni tok vodnega telesa ali pa je njegov pritok. Med dele vodnih teles površinskih voda s</w:t>
      </w:r>
      <w:r w:rsidR="0037613B" w:rsidRPr="00545EC0">
        <w:rPr>
          <w:rFonts w:cs="Arial"/>
          <w:szCs w:val="20"/>
          <w:lang w:eastAsia="ja-JP"/>
        </w:rPr>
        <w:t>o</w:t>
      </w:r>
      <w:r w:rsidRPr="00545EC0">
        <w:rPr>
          <w:rFonts w:cs="Arial"/>
          <w:szCs w:val="20"/>
          <w:lang w:eastAsia="ja-JP"/>
        </w:rPr>
        <w:t xml:space="preserve"> vključen</w:t>
      </w:r>
      <w:r w:rsidR="0037613B" w:rsidRPr="00545EC0">
        <w:rPr>
          <w:rFonts w:cs="Arial"/>
          <w:szCs w:val="20"/>
          <w:lang w:eastAsia="ja-JP"/>
        </w:rPr>
        <w:t>a</w:t>
      </w:r>
      <w:r w:rsidRPr="00545EC0">
        <w:rPr>
          <w:rFonts w:cs="Arial"/>
          <w:szCs w:val="20"/>
          <w:lang w:eastAsia="ja-JP"/>
        </w:rPr>
        <w:t xml:space="preserve"> tudi jezer</w:t>
      </w:r>
      <w:r w:rsidR="0037613B" w:rsidRPr="00545EC0">
        <w:rPr>
          <w:rFonts w:cs="Arial"/>
          <w:szCs w:val="20"/>
          <w:lang w:eastAsia="ja-JP"/>
        </w:rPr>
        <w:t>a</w:t>
      </w:r>
      <w:r w:rsidRPr="00545EC0">
        <w:rPr>
          <w:rFonts w:cs="Arial"/>
          <w:szCs w:val="20"/>
          <w:lang w:eastAsia="ja-JP"/>
        </w:rPr>
        <w:t xml:space="preserve"> in zadrževalnik</w:t>
      </w:r>
      <w:r w:rsidR="00615BE1" w:rsidRPr="00545EC0">
        <w:rPr>
          <w:rFonts w:cs="Arial"/>
          <w:szCs w:val="20"/>
          <w:lang w:eastAsia="ja-JP"/>
        </w:rPr>
        <w:t>i.</w:t>
      </w:r>
      <w:r w:rsidR="000A63D5" w:rsidRPr="00545EC0">
        <w:rPr>
          <w:rFonts w:cs="Arial"/>
          <w:szCs w:val="20"/>
          <w:lang w:eastAsia="ja-JP"/>
        </w:rPr>
        <w:t xml:space="preserve"> </w:t>
      </w:r>
      <w:r w:rsidR="00615BE1" w:rsidRPr="00545EC0">
        <w:rPr>
          <w:rFonts w:cs="Arial"/>
          <w:szCs w:val="20"/>
          <w:lang w:eastAsia="ja-JP"/>
        </w:rPr>
        <w:t>Stanje je prikazano na</w:t>
      </w:r>
      <w:r w:rsidR="002B19AC" w:rsidRPr="00545EC0">
        <w:rPr>
          <w:rFonts w:cs="Arial"/>
          <w:szCs w:val="20"/>
          <w:lang w:eastAsia="ja-JP"/>
        </w:rPr>
        <w:t xml:space="preserve"> publikacijski</w:t>
      </w:r>
      <w:r w:rsidR="00615BE1" w:rsidRPr="00545EC0">
        <w:rPr>
          <w:rFonts w:cs="Arial"/>
          <w:szCs w:val="20"/>
          <w:lang w:eastAsia="ja-JP"/>
        </w:rPr>
        <w:t xml:space="preserve"> karti. </w:t>
      </w:r>
      <w:r w:rsidR="00615BE1" w:rsidRPr="00545EC0">
        <w:rPr>
          <w:rFonts w:cs="Arial"/>
          <w:i/>
          <w:szCs w:val="20"/>
          <w:lang w:eastAsia="ja-JP"/>
        </w:rPr>
        <w:t xml:space="preserve">(Publikacijska karta </w:t>
      </w:r>
      <w:r w:rsidR="003A3979" w:rsidRPr="00545EC0">
        <w:rPr>
          <w:rFonts w:cs="Arial"/>
          <w:i/>
          <w:szCs w:val="20"/>
          <w:lang w:eastAsia="ja-JP"/>
        </w:rPr>
        <w:t>4.1</w:t>
      </w:r>
      <w:r w:rsidR="00615BE1" w:rsidRPr="00545EC0">
        <w:rPr>
          <w:rFonts w:cs="Arial"/>
          <w:i/>
          <w:szCs w:val="20"/>
          <w:lang w:eastAsia="ja-JP"/>
        </w:rPr>
        <w:t>:</w:t>
      </w:r>
      <w:r w:rsidR="003A3979" w:rsidRPr="00545EC0">
        <w:rPr>
          <w:rFonts w:cs="Arial"/>
          <w:i/>
          <w:szCs w:val="20"/>
          <w:lang w:eastAsia="ja-JP"/>
        </w:rPr>
        <w:t xml:space="preserve"> Območja obdelave hidromorfoloških obremenitev dVPTV).</w:t>
      </w:r>
      <w:r w:rsidR="00615BE1" w:rsidRPr="00545EC0">
        <w:rPr>
          <w:rFonts w:cs="Arial"/>
          <w:i/>
          <w:szCs w:val="20"/>
          <w:lang w:eastAsia="ja-JP"/>
        </w:rPr>
        <w:t xml:space="preserve"> </w:t>
      </w:r>
    </w:p>
    <w:p w14:paraId="1690C9E7"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0"/>
          <w:lang w:eastAsia="ja-JP"/>
        </w:rPr>
      </w:pPr>
    </w:p>
    <w:p w14:paraId="36026E65" w14:textId="6151C72A"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0"/>
          <w:lang w:eastAsia="ja-JP"/>
        </w:rPr>
      </w:pPr>
      <w:r w:rsidRPr="00545EC0">
        <w:rPr>
          <w:rFonts w:cs="Arial"/>
          <w:szCs w:val="20"/>
          <w:lang w:eastAsia="ja-JP"/>
        </w:rPr>
        <w:t>Na VO Donave je določenih 734 dVTPV-jev, pri čemer 265 dVT-jev predstavlja glavni tok, 469 dVTPV-jev pa njihove pritoke. Največje število dVTPV-jev je na porečju Spodnje Save in Drave. Na teh dveh porečjih je tudi največje število dVTPV-jev, ki so določeni na pritokih. Slednje je posledica velikosti prispevnih površin Save in Drave ter številnih pritokov (s prispevno površino večjo od 10 km</w:t>
      </w:r>
      <w:r w:rsidRPr="00545EC0">
        <w:rPr>
          <w:rFonts w:cs="Arial"/>
          <w:szCs w:val="20"/>
          <w:vertAlign w:val="superscript"/>
          <w:lang w:eastAsia="ja-JP"/>
        </w:rPr>
        <w:t>2</w:t>
      </w:r>
      <w:r w:rsidRPr="00545EC0">
        <w:rPr>
          <w:rFonts w:cs="Arial"/>
          <w:szCs w:val="20"/>
          <w:lang w:eastAsia="ja-JP"/>
        </w:rPr>
        <w:t>), ki se izlivajo v Savo in Dravo (</w:t>
      </w:r>
      <w:r w:rsidR="00A50C7E" w:rsidRPr="00545EC0">
        <w:rPr>
          <w:rFonts w:cs="Arial"/>
          <w:szCs w:val="20"/>
          <w:lang w:eastAsia="ja-JP"/>
        </w:rPr>
        <w:fldChar w:fldCharType="begin"/>
      </w:r>
      <w:r w:rsidR="00A50C7E" w:rsidRPr="00545EC0">
        <w:rPr>
          <w:rFonts w:cs="Arial"/>
          <w:szCs w:val="20"/>
          <w:lang w:eastAsia="ja-JP"/>
        </w:rPr>
        <w:instrText xml:space="preserve"> REF _Ref84313080 \h </w:instrText>
      </w:r>
      <w:r w:rsidR="00F37A91" w:rsidRPr="00545EC0">
        <w:rPr>
          <w:rFonts w:cs="Arial"/>
          <w:szCs w:val="20"/>
          <w:lang w:eastAsia="ja-JP"/>
        </w:rPr>
        <w:instrText xml:space="preserve"> \* MERGEFORMAT </w:instrText>
      </w:r>
      <w:r w:rsidR="00A50C7E" w:rsidRPr="00545EC0">
        <w:rPr>
          <w:rFonts w:cs="Arial"/>
          <w:szCs w:val="20"/>
          <w:lang w:eastAsia="ja-JP"/>
        </w:rPr>
      </w:r>
      <w:r w:rsidR="00A50C7E" w:rsidRPr="00545EC0">
        <w:rPr>
          <w:rFonts w:cs="Arial"/>
          <w:szCs w:val="20"/>
          <w:lang w:eastAsia="ja-JP"/>
        </w:rPr>
        <w:fldChar w:fldCharType="separate"/>
      </w:r>
      <w:r w:rsidR="002F3E43" w:rsidRPr="00545EC0">
        <w:t xml:space="preserve">Preglednica </w:t>
      </w:r>
      <w:r w:rsidR="002F3E43">
        <w:rPr>
          <w:noProof/>
        </w:rPr>
        <w:t>2</w:t>
      </w:r>
      <w:r w:rsidR="002F3E43" w:rsidRPr="00545EC0">
        <w:rPr>
          <w:noProof/>
        </w:rPr>
        <w:noBreakHyphen/>
      </w:r>
      <w:r w:rsidR="002F3E43">
        <w:rPr>
          <w:noProof/>
        </w:rPr>
        <w:t>21</w:t>
      </w:r>
      <w:r w:rsidR="00A50C7E" w:rsidRPr="00545EC0">
        <w:rPr>
          <w:rFonts w:cs="Arial"/>
          <w:szCs w:val="20"/>
          <w:lang w:eastAsia="ja-JP"/>
        </w:rPr>
        <w:fldChar w:fldCharType="end"/>
      </w:r>
      <w:r w:rsidRPr="00545EC0">
        <w:rPr>
          <w:rFonts w:cs="Arial"/>
          <w:szCs w:val="20"/>
          <w:lang w:eastAsia="ja-JP"/>
        </w:rPr>
        <w:t>,</w:t>
      </w:r>
      <w:r w:rsidR="007804BE" w:rsidRPr="00545EC0">
        <w:rPr>
          <w:rFonts w:cs="Arial"/>
          <w:szCs w:val="20"/>
          <w:lang w:eastAsia="ja-JP"/>
        </w:rPr>
        <w:fldChar w:fldCharType="begin"/>
      </w:r>
      <w:r w:rsidR="007804BE" w:rsidRPr="00545EC0">
        <w:rPr>
          <w:rFonts w:cs="Arial"/>
          <w:szCs w:val="20"/>
          <w:lang w:eastAsia="ja-JP"/>
        </w:rPr>
        <w:instrText xml:space="preserve"> REF _Ref84330407 \h  \* MERGEFORMAT </w:instrText>
      </w:r>
      <w:r w:rsidR="007804BE" w:rsidRPr="00545EC0">
        <w:rPr>
          <w:rFonts w:cs="Arial"/>
          <w:szCs w:val="20"/>
          <w:lang w:eastAsia="ja-JP"/>
        </w:rPr>
      </w:r>
      <w:r w:rsidR="007804BE" w:rsidRPr="00545EC0">
        <w:rPr>
          <w:rFonts w:cs="Arial"/>
          <w:szCs w:val="20"/>
          <w:lang w:eastAsia="ja-JP"/>
        </w:rPr>
        <w:fldChar w:fldCharType="separate"/>
      </w:r>
      <w:r w:rsidR="002F3E43" w:rsidRPr="00545EC0">
        <w:rPr>
          <w:szCs w:val="20"/>
        </w:rPr>
        <w:t xml:space="preserve">Slika </w:t>
      </w:r>
      <w:r w:rsidR="002F3E43">
        <w:rPr>
          <w:noProof/>
          <w:szCs w:val="20"/>
        </w:rPr>
        <w:t>2</w:t>
      </w:r>
      <w:r w:rsidR="002F3E43" w:rsidRPr="00545EC0">
        <w:rPr>
          <w:noProof/>
          <w:szCs w:val="20"/>
        </w:rPr>
        <w:noBreakHyphen/>
      </w:r>
      <w:r w:rsidR="002F3E43">
        <w:rPr>
          <w:noProof/>
          <w:szCs w:val="20"/>
        </w:rPr>
        <w:t>10</w:t>
      </w:r>
      <w:r w:rsidR="007804BE" w:rsidRPr="00545EC0">
        <w:rPr>
          <w:rFonts w:cs="Arial"/>
          <w:szCs w:val="20"/>
          <w:lang w:eastAsia="ja-JP"/>
        </w:rPr>
        <w:fldChar w:fldCharType="end"/>
      </w:r>
      <w:r w:rsidRPr="00545EC0">
        <w:rPr>
          <w:rFonts w:cs="Arial"/>
          <w:szCs w:val="20"/>
          <w:lang w:eastAsia="ja-JP"/>
        </w:rPr>
        <w:t xml:space="preserve">). </w:t>
      </w:r>
    </w:p>
    <w:p w14:paraId="65A6D6E4" w14:textId="77777777" w:rsidR="0024573C" w:rsidRPr="00545EC0" w:rsidRDefault="0024573C"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18"/>
          <w:szCs w:val="18"/>
          <w:lang w:eastAsia="ja-JP"/>
        </w:rPr>
      </w:pPr>
    </w:p>
    <w:p w14:paraId="6F119704" w14:textId="4E80BC03" w:rsidR="0024573C" w:rsidRPr="00545EC0" w:rsidRDefault="0024573C" w:rsidP="0024573C">
      <w:pPr>
        <w:pStyle w:val="Napis"/>
        <w:keepNext/>
      </w:pPr>
      <w:bookmarkStart w:id="183" w:name="_Ref84313080"/>
      <w:bookmarkStart w:id="184" w:name="_Ref84254729"/>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21</w:t>
        </w:r>
      </w:fldSimple>
      <w:bookmarkEnd w:id="183"/>
      <w:r w:rsidRPr="00545EC0">
        <w:t>: Število VTPV in DVTPV po porečjih na VO Donave</w:t>
      </w:r>
      <w:bookmarkEnd w:id="184"/>
    </w:p>
    <w:tbl>
      <w:tblPr>
        <w:tblW w:w="5000" w:type="pct"/>
        <w:tblCellMar>
          <w:left w:w="70" w:type="dxa"/>
          <w:right w:w="70" w:type="dxa"/>
        </w:tblCellMar>
        <w:tblLook w:val="04A0" w:firstRow="1" w:lastRow="0" w:firstColumn="1" w:lastColumn="0" w:noHBand="0" w:noVBand="1"/>
      </w:tblPr>
      <w:tblGrid>
        <w:gridCol w:w="1889"/>
        <w:gridCol w:w="1445"/>
        <w:gridCol w:w="1445"/>
        <w:gridCol w:w="2361"/>
        <w:gridCol w:w="2071"/>
      </w:tblGrid>
      <w:tr w:rsidR="003122F4" w:rsidRPr="00545EC0" w14:paraId="2D51EBB5" w14:textId="77777777" w:rsidTr="00552E05">
        <w:trPr>
          <w:trHeight w:val="227"/>
        </w:trPr>
        <w:tc>
          <w:tcPr>
            <w:tcW w:w="1157" w:type="pct"/>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6A23EAFE" w14:textId="77777777" w:rsidR="00BA1338" w:rsidRPr="00545EC0" w:rsidRDefault="00BA1338" w:rsidP="004F2AF2">
            <w:pPr>
              <w:spacing w:line="240" w:lineRule="auto"/>
              <w:rPr>
                <w:rFonts w:cs="Arial"/>
                <w:b/>
                <w:sz w:val="18"/>
                <w:szCs w:val="18"/>
              </w:rPr>
            </w:pPr>
            <w:r w:rsidRPr="00545EC0">
              <w:rPr>
                <w:rFonts w:cs="Arial"/>
                <w:b/>
                <w:sz w:val="18"/>
                <w:szCs w:val="18"/>
              </w:rPr>
              <w:t>Porečje</w:t>
            </w:r>
          </w:p>
        </w:tc>
        <w:tc>
          <w:tcPr>
            <w:tcW w:w="91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EFAFF84" w14:textId="77777777" w:rsidR="00BA1338" w:rsidRPr="00545EC0" w:rsidRDefault="00BA1338" w:rsidP="004F2AF2">
            <w:pPr>
              <w:spacing w:line="240" w:lineRule="auto"/>
              <w:jc w:val="center"/>
              <w:rPr>
                <w:rFonts w:cs="Arial"/>
                <w:b/>
                <w:bCs/>
                <w:sz w:val="18"/>
                <w:szCs w:val="18"/>
              </w:rPr>
            </w:pPr>
            <w:r w:rsidRPr="00545EC0">
              <w:rPr>
                <w:rFonts w:cs="Arial"/>
                <w:b/>
                <w:bCs/>
                <w:sz w:val="18"/>
                <w:szCs w:val="18"/>
              </w:rPr>
              <w:t>Število VTPV</w:t>
            </w:r>
          </w:p>
        </w:tc>
        <w:tc>
          <w:tcPr>
            <w:tcW w:w="915"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E2964B5" w14:textId="77777777" w:rsidR="00BA1338" w:rsidRPr="00545EC0" w:rsidRDefault="00BA1338" w:rsidP="004F2AF2">
            <w:pPr>
              <w:spacing w:line="240" w:lineRule="auto"/>
              <w:jc w:val="center"/>
              <w:rPr>
                <w:rFonts w:cs="Arial"/>
                <w:b/>
                <w:bCs/>
                <w:sz w:val="18"/>
                <w:szCs w:val="18"/>
              </w:rPr>
            </w:pPr>
            <w:r w:rsidRPr="00545EC0">
              <w:rPr>
                <w:rFonts w:cs="Arial"/>
                <w:b/>
                <w:bCs/>
                <w:sz w:val="18"/>
                <w:szCs w:val="18"/>
              </w:rPr>
              <w:t>Število dVTPV</w:t>
            </w:r>
          </w:p>
        </w:tc>
        <w:tc>
          <w:tcPr>
            <w:tcW w:w="99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5097A67" w14:textId="77777777" w:rsidR="00BA1338" w:rsidRPr="00545EC0" w:rsidRDefault="00BA1338" w:rsidP="004F2AF2">
            <w:pPr>
              <w:spacing w:line="240" w:lineRule="auto"/>
              <w:jc w:val="center"/>
              <w:rPr>
                <w:rFonts w:cs="Arial"/>
                <w:b/>
                <w:bCs/>
                <w:sz w:val="18"/>
                <w:szCs w:val="18"/>
              </w:rPr>
            </w:pPr>
            <w:r w:rsidRPr="00545EC0">
              <w:rPr>
                <w:rFonts w:cs="Arial"/>
                <w:b/>
                <w:bCs/>
                <w:sz w:val="18"/>
                <w:szCs w:val="18"/>
              </w:rPr>
              <w:t>Število dVTPV - glavni tok</w:t>
            </w:r>
          </w:p>
        </w:tc>
        <w:tc>
          <w:tcPr>
            <w:tcW w:w="1015"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7A984A1" w14:textId="77777777" w:rsidR="00BA1338" w:rsidRPr="00545EC0" w:rsidRDefault="00BA1338" w:rsidP="004F2AF2">
            <w:pPr>
              <w:spacing w:line="240" w:lineRule="auto"/>
              <w:jc w:val="center"/>
              <w:rPr>
                <w:rFonts w:cs="Arial"/>
                <w:b/>
                <w:bCs/>
                <w:sz w:val="18"/>
                <w:szCs w:val="18"/>
              </w:rPr>
            </w:pPr>
            <w:r w:rsidRPr="00545EC0">
              <w:rPr>
                <w:rFonts w:cs="Arial"/>
                <w:b/>
                <w:bCs/>
                <w:sz w:val="18"/>
                <w:szCs w:val="18"/>
              </w:rPr>
              <w:t>Število dVTPV - pritoki</w:t>
            </w:r>
          </w:p>
        </w:tc>
      </w:tr>
      <w:tr w:rsidR="003122F4" w:rsidRPr="00545EC0" w14:paraId="1845490C" w14:textId="77777777" w:rsidTr="00552E05">
        <w:trPr>
          <w:trHeight w:val="227"/>
        </w:trPr>
        <w:tc>
          <w:tcPr>
            <w:tcW w:w="11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C42B7" w14:textId="77777777" w:rsidR="00BA1338" w:rsidRPr="00545EC0" w:rsidRDefault="00BA1338" w:rsidP="004F2AF2">
            <w:pPr>
              <w:spacing w:line="240" w:lineRule="auto"/>
              <w:rPr>
                <w:rFonts w:cs="Arial"/>
                <w:bCs/>
                <w:sz w:val="18"/>
                <w:szCs w:val="18"/>
              </w:rPr>
            </w:pPr>
            <w:r w:rsidRPr="00545EC0">
              <w:rPr>
                <w:rFonts w:cs="Arial"/>
                <w:bCs/>
                <w:sz w:val="18"/>
                <w:szCs w:val="18"/>
              </w:rPr>
              <w:t>Zgornja Sava</w:t>
            </w:r>
          </w:p>
        </w:tc>
        <w:tc>
          <w:tcPr>
            <w:tcW w:w="915" w:type="pct"/>
            <w:tcBorders>
              <w:top w:val="nil"/>
              <w:left w:val="nil"/>
              <w:bottom w:val="single" w:sz="4" w:space="0" w:color="auto"/>
              <w:right w:val="single" w:sz="4" w:space="0" w:color="auto"/>
            </w:tcBorders>
            <w:shd w:val="clear" w:color="auto" w:fill="auto"/>
            <w:noWrap/>
            <w:vAlign w:val="bottom"/>
            <w:hideMark/>
          </w:tcPr>
          <w:p w14:paraId="492836A7" w14:textId="77777777" w:rsidR="00BA1338" w:rsidRPr="00545EC0" w:rsidRDefault="00BA1338" w:rsidP="004F2AF2">
            <w:pPr>
              <w:spacing w:line="240" w:lineRule="auto"/>
              <w:jc w:val="center"/>
              <w:rPr>
                <w:rFonts w:cs="Arial"/>
                <w:bCs/>
                <w:sz w:val="18"/>
                <w:szCs w:val="18"/>
              </w:rPr>
            </w:pPr>
            <w:r w:rsidRPr="00545EC0">
              <w:rPr>
                <w:rFonts w:cs="Arial"/>
                <w:bCs/>
                <w:sz w:val="18"/>
                <w:szCs w:val="18"/>
              </w:rPr>
              <w:t>17</w:t>
            </w:r>
          </w:p>
        </w:tc>
        <w:tc>
          <w:tcPr>
            <w:tcW w:w="915" w:type="pct"/>
            <w:tcBorders>
              <w:top w:val="nil"/>
              <w:left w:val="nil"/>
              <w:bottom w:val="single" w:sz="4" w:space="0" w:color="auto"/>
              <w:right w:val="single" w:sz="4" w:space="0" w:color="auto"/>
            </w:tcBorders>
            <w:shd w:val="clear" w:color="auto" w:fill="auto"/>
            <w:noWrap/>
            <w:vAlign w:val="bottom"/>
            <w:hideMark/>
          </w:tcPr>
          <w:p w14:paraId="26C58C25" w14:textId="77777777" w:rsidR="00BA1338" w:rsidRPr="00545EC0" w:rsidRDefault="00BA1338" w:rsidP="004F2AF2">
            <w:pPr>
              <w:spacing w:line="240" w:lineRule="auto"/>
              <w:jc w:val="center"/>
              <w:rPr>
                <w:rFonts w:cs="Arial"/>
                <w:bCs/>
                <w:sz w:val="18"/>
                <w:szCs w:val="18"/>
              </w:rPr>
            </w:pPr>
            <w:r w:rsidRPr="00545EC0">
              <w:rPr>
                <w:rFonts w:cs="Arial"/>
                <w:bCs/>
                <w:sz w:val="18"/>
                <w:szCs w:val="18"/>
              </w:rPr>
              <w:t>97</w:t>
            </w:r>
          </w:p>
        </w:tc>
        <w:tc>
          <w:tcPr>
            <w:tcW w:w="998" w:type="pct"/>
            <w:tcBorders>
              <w:top w:val="nil"/>
              <w:left w:val="nil"/>
              <w:bottom w:val="single" w:sz="4" w:space="0" w:color="auto"/>
              <w:right w:val="single" w:sz="4" w:space="0" w:color="auto"/>
            </w:tcBorders>
            <w:shd w:val="clear" w:color="auto" w:fill="auto"/>
            <w:noWrap/>
            <w:vAlign w:val="bottom"/>
            <w:hideMark/>
          </w:tcPr>
          <w:p w14:paraId="039E3B5D" w14:textId="77777777" w:rsidR="00BA1338" w:rsidRPr="00545EC0" w:rsidRDefault="00BA1338" w:rsidP="004F2AF2">
            <w:pPr>
              <w:spacing w:line="240" w:lineRule="auto"/>
              <w:jc w:val="center"/>
              <w:rPr>
                <w:rFonts w:cs="Arial"/>
                <w:sz w:val="18"/>
                <w:szCs w:val="18"/>
              </w:rPr>
            </w:pPr>
            <w:r w:rsidRPr="00545EC0">
              <w:rPr>
                <w:rFonts w:cs="Arial"/>
                <w:sz w:val="18"/>
                <w:szCs w:val="18"/>
              </w:rPr>
              <w:t>36</w:t>
            </w:r>
          </w:p>
        </w:tc>
        <w:tc>
          <w:tcPr>
            <w:tcW w:w="1015" w:type="pct"/>
            <w:tcBorders>
              <w:top w:val="nil"/>
              <w:left w:val="nil"/>
              <w:bottom w:val="single" w:sz="4" w:space="0" w:color="auto"/>
              <w:right w:val="single" w:sz="4" w:space="0" w:color="auto"/>
            </w:tcBorders>
            <w:shd w:val="clear" w:color="auto" w:fill="auto"/>
            <w:noWrap/>
            <w:vAlign w:val="bottom"/>
            <w:hideMark/>
          </w:tcPr>
          <w:p w14:paraId="6858230B" w14:textId="77777777" w:rsidR="00BA1338" w:rsidRPr="00545EC0" w:rsidRDefault="00BA1338" w:rsidP="004F2AF2">
            <w:pPr>
              <w:spacing w:line="240" w:lineRule="auto"/>
              <w:jc w:val="center"/>
              <w:rPr>
                <w:rFonts w:cs="Arial"/>
                <w:sz w:val="18"/>
                <w:szCs w:val="18"/>
              </w:rPr>
            </w:pPr>
            <w:r w:rsidRPr="00545EC0">
              <w:rPr>
                <w:rFonts w:cs="Arial"/>
                <w:sz w:val="18"/>
                <w:szCs w:val="18"/>
              </w:rPr>
              <w:t>61</w:t>
            </w:r>
          </w:p>
        </w:tc>
      </w:tr>
      <w:tr w:rsidR="003122F4" w:rsidRPr="00545EC0" w14:paraId="2103A8AE" w14:textId="77777777" w:rsidTr="00552E05">
        <w:trPr>
          <w:trHeight w:val="227"/>
        </w:trPr>
        <w:tc>
          <w:tcPr>
            <w:tcW w:w="1157" w:type="pct"/>
            <w:tcBorders>
              <w:top w:val="nil"/>
              <w:left w:val="single" w:sz="4" w:space="0" w:color="auto"/>
              <w:bottom w:val="single" w:sz="4" w:space="0" w:color="auto"/>
              <w:right w:val="single" w:sz="4" w:space="0" w:color="auto"/>
            </w:tcBorders>
            <w:shd w:val="clear" w:color="auto" w:fill="auto"/>
            <w:noWrap/>
            <w:vAlign w:val="bottom"/>
            <w:hideMark/>
          </w:tcPr>
          <w:p w14:paraId="351001FD" w14:textId="77777777" w:rsidR="00BA1338" w:rsidRPr="00545EC0" w:rsidRDefault="00BA1338" w:rsidP="004F2AF2">
            <w:pPr>
              <w:spacing w:line="240" w:lineRule="auto"/>
              <w:rPr>
                <w:rFonts w:cs="Arial"/>
                <w:bCs/>
                <w:sz w:val="18"/>
                <w:szCs w:val="18"/>
              </w:rPr>
            </w:pPr>
            <w:r w:rsidRPr="00545EC0">
              <w:rPr>
                <w:rFonts w:cs="Arial"/>
                <w:bCs/>
                <w:sz w:val="18"/>
                <w:szCs w:val="18"/>
              </w:rPr>
              <w:t>Srednja Sava</w:t>
            </w:r>
          </w:p>
        </w:tc>
        <w:tc>
          <w:tcPr>
            <w:tcW w:w="915" w:type="pct"/>
            <w:tcBorders>
              <w:top w:val="nil"/>
              <w:left w:val="nil"/>
              <w:bottom w:val="single" w:sz="4" w:space="0" w:color="auto"/>
              <w:right w:val="single" w:sz="4" w:space="0" w:color="auto"/>
            </w:tcBorders>
            <w:shd w:val="clear" w:color="auto" w:fill="auto"/>
            <w:noWrap/>
            <w:vAlign w:val="bottom"/>
            <w:hideMark/>
          </w:tcPr>
          <w:p w14:paraId="42291C54" w14:textId="77777777" w:rsidR="00BA1338" w:rsidRPr="00545EC0" w:rsidRDefault="00BA1338" w:rsidP="004F2AF2">
            <w:pPr>
              <w:spacing w:line="240" w:lineRule="auto"/>
              <w:jc w:val="center"/>
              <w:rPr>
                <w:rFonts w:cs="Arial"/>
                <w:bCs/>
                <w:sz w:val="18"/>
                <w:szCs w:val="18"/>
              </w:rPr>
            </w:pPr>
            <w:r w:rsidRPr="00545EC0">
              <w:rPr>
                <w:rFonts w:cs="Arial"/>
                <w:bCs/>
                <w:sz w:val="18"/>
                <w:szCs w:val="18"/>
              </w:rPr>
              <w:t>23</w:t>
            </w:r>
          </w:p>
        </w:tc>
        <w:tc>
          <w:tcPr>
            <w:tcW w:w="915" w:type="pct"/>
            <w:tcBorders>
              <w:top w:val="nil"/>
              <w:left w:val="nil"/>
              <w:bottom w:val="single" w:sz="4" w:space="0" w:color="auto"/>
              <w:right w:val="single" w:sz="4" w:space="0" w:color="auto"/>
            </w:tcBorders>
            <w:shd w:val="clear" w:color="auto" w:fill="auto"/>
            <w:noWrap/>
            <w:vAlign w:val="bottom"/>
            <w:hideMark/>
          </w:tcPr>
          <w:p w14:paraId="3E309F0D" w14:textId="77777777" w:rsidR="00BA1338" w:rsidRPr="00545EC0" w:rsidRDefault="00BA1338" w:rsidP="004F2AF2">
            <w:pPr>
              <w:spacing w:line="240" w:lineRule="auto"/>
              <w:jc w:val="center"/>
              <w:rPr>
                <w:rFonts w:cs="Arial"/>
                <w:bCs/>
                <w:sz w:val="18"/>
                <w:szCs w:val="18"/>
              </w:rPr>
            </w:pPr>
            <w:r w:rsidRPr="00545EC0">
              <w:rPr>
                <w:rFonts w:cs="Arial"/>
                <w:bCs/>
                <w:sz w:val="18"/>
                <w:szCs w:val="18"/>
              </w:rPr>
              <w:t>107</w:t>
            </w:r>
          </w:p>
        </w:tc>
        <w:tc>
          <w:tcPr>
            <w:tcW w:w="998" w:type="pct"/>
            <w:tcBorders>
              <w:top w:val="nil"/>
              <w:left w:val="nil"/>
              <w:bottom w:val="single" w:sz="4" w:space="0" w:color="auto"/>
              <w:right w:val="single" w:sz="4" w:space="0" w:color="auto"/>
            </w:tcBorders>
            <w:shd w:val="clear" w:color="auto" w:fill="auto"/>
            <w:noWrap/>
            <w:vAlign w:val="bottom"/>
            <w:hideMark/>
          </w:tcPr>
          <w:p w14:paraId="6A529C13" w14:textId="77777777" w:rsidR="00BA1338" w:rsidRPr="00545EC0" w:rsidRDefault="00BA1338" w:rsidP="004F2AF2">
            <w:pPr>
              <w:spacing w:line="240" w:lineRule="auto"/>
              <w:jc w:val="center"/>
              <w:rPr>
                <w:rFonts w:cs="Arial"/>
                <w:sz w:val="18"/>
                <w:szCs w:val="18"/>
              </w:rPr>
            </w:pPr>
            <w:r w:rsidRPr="00545EC0">
              <w:rPr>
                <w:rFonts w:cs="Arial"/>
                <w:sz w:val="18"/>
                <w:szCs w:val="18"/>
              </w:rPr>
              <w:t>48</w:t>
            </w:r>
          </w:p>
        </w:tc>
        <w:tc>
          <w:tcPr>
            <w:tcW w:w="1015" w:type="pct"/>
            <w:tcBorders>
              <w:top w:val="nil"/>
              <w:left w:val="nil"/>
              <w:bottom w:val="single" w:sz="4" w:space="0" w:color="auto"/>
              <w:right w:val="single" w:sz="4" w:space="0" w:color="auto"/>
            </w:tcBorders>
            <w:shd w:val="clear" w:color="auto" w:fill="auto"/>
            <w:noWrap/>
            <w:vAlign w:val="bottom"/>
            <w:hideMark/>
          </w:tcPr>
          <w:p w14:paraId="7E3A6362" w14:textId="77777777" w:rsidR="00BA1338" w:rsidRPr="00545EC0" w:rsidRDefault="00BA1338" w:rsidP="004F2AF2">
            <w:pPr>
              <w:spacing w:line="240" w:lineRule="auto"/>
              <w:jc w:val="center"/>
              <w:rPr>
                <w:rFonts w:cs="Arial"/>
                <w:sz w:val="18"/>
                <w:szCs w:val="18"/>
              </w:rPr>
            </w:pPr>
            <w:r w:rsidRPr="00545EC0">
              <w:rPr>
                <w:rFonts w:cs="Arial"/>
                <w:sz w:val="18"/>
                <w:szCs w:val="18"/>
              </w:rPr>
              <w:t>59</w:t>
            </w:r>
          </w:p>
        </w:tc>
      </w:tr>
      <w:tr w:rsidR="003122F4" w:rsidRPr="00545EC0" w14:paraId="32C2763A" w14:textId="77777777" w:rsidTr="00552E05">
        <w:trPr>
          <w:trHeight w:val="227"/>
        </w:trPr>
        <w:tc>
          <w:tcPr>
            <w:tcW w:w="1157" w:type="pct"/>
            <w:tcBorders>
              <w:top w:val="nil"/>
              <w:left w:val="single" w:sz="4" w:space="0" w:color="auto"/>
              <w:bottom w:val="single" w:sz="4" w:space="0" w:color="auto"/>
              <w:right w:val="single" w:sz="4" w:space="0" w:color="auto"/>
            </w:tcBorders>
            <w:shd w:val="clear" w:color="auto" w:fill="auto"/>
            <w:noWrap/>
            <w:vAlign w:val="bottom"/>
            <w:hideMark/>
          </w:tcPr>
          <w:p w14:paraId="246ADB47" w14:textId="77777777" w:rsidR="00BA1338" w:rsidRPr="00545EC0" w:rsidRDefault="00BA1338" w:rsidP="004F2AF2">
            <w:pPr>
              <w:spacing w:line="240" w:lineRule="auto"/>
              <w:rPr>
                <w:rFonts w:cs="Arial"/>
                <w:bCs/>
                <w:sz w:val="18"/>
                <w:szCs w:val="18"/>
              </w:rPr>
            </w:pPr>
            <w:r w:rsidRPr="00545EC0">
              <w:rPr>
                <w:rFonts w:cs="Arial"/>
                <w:bCs/>
                <w:sz w:val="18"/>
                <w:szCs w:val="18"/>
              </w:rPr>
              <w:t>Spodnja Sava</w:t>
            </w:r>
          </w:p>
        </w:tc>
        <w:tc>
          <w:tcPr>
            <w:tcW w:w="915" w:type="pct"/>
            <w:tcBorders>
              <w:top w:val="nil"/>
              <w:left w:val="nil"/>
              <w:bottom w:val="single" w:sz="4" w:space="0" w:color="auto"/>
              <w:right w:val="single" w:sz="4" w:space="0" w:color="auto"/>
            </w:tcBorders>
            <w:shd w:val="clear" w:color="auto" w:fill="auto"/>
            <w:noWrap/>
            <w:vAlign w:val="bottom"/>
            <w:hideMark/>
          </w:tcPr>
          <w:p w14:paraId="326AF1E2" w14:textId="77777777" w:rsidR="00BA1338" w:rsidRPr="00545EC0" w:rsidRDefault="00BA1338" w:rsidP="004F2AF2">
            <w:pPr>
              <w:spacing w:line="240" w:lineRule="auto"/>
              <w:jc w:val="center"/>
              <w:rPr>
                <w:rFonts w:cs="Arial"/>
                <w:bCs/>
                <w:sz w:val="18"/>
                <w:szCs w:val="18"/>
              </w:rPr>
            </w:pPr>
            <w:r w:rsidRPr="00545EC0">
              <w:rPr>
                <w:rFonts w:cs="Arial"/>
                <w:bCs/>
                <w:sz w:val="18"/>
                <w:szCs w:val="18"/>
              </w:rPr>
              <w:t>27</w:t>
            </w:r>
          </w:p>
        </w:tc>
        <w:tc>
          <w:tcPr>
            <w:tcW w:w="915" w:type="pct"/>
            <w:tcBorders>
              <w:top w:val="nil"/>
              <w:left w:val="nil"/>
              <w:bottom w:val="single" w:sz="4" w:space="0" w:color="auto"/>
              <w:right w:val="single" w:sz="4" w:space="0" w:color="auto"/>
            </w:tcBorders>
            <w:shd w:val="clear" w:color="auto" w:fill="auto"/>
            <w:noWrap/>
            <w:vAlign w:val="bottom"/>
            <w:hideMark/>
          </w:tcPr>
          <w:p w14:paraId="4BCE42B1" w14:textId="77777777" w:rsidR="00BA1338" w:rsidRPr="00545EC0" w:rsidRDefault="00BA1338" w:rsidP="004F2AF2">
            <w:pPr>
              <w:spacing w:line="240" w:lineRule="auto"/>
              <w:jc w:val="center"/>
              <w:rPr>
                <w:rFonts w:cs="Arial"/>
                <w:bCs/>
                <w:sz w:val="18"/>
                <w:szCs w:val="18"/>
              </w:rPr>
            </w:pPr>
            <w:r w:rsidRPr="00545EC0">
              <w:rPr>
                <w:rFonts w:cs="Arial"/>
                <w:bCs/>
                <w:sz w:val="18"/>
                <w:szCs w:val="18"/>
              </w:rPr>
              <w:t>178</w:t>
            </w:r>
          </w:p>
        </w:tc>
        <w:tc>
          <w:tcPr>
            <w:tcW w:w="998" w:type="pct"/>
            <w:tcBorders>
              <w:top w:val="nil"/>
              <w:left w:val="nil"/>
              <w:bottom w:val="single" w:sz="4" w:space="0" w:color="auto"/>
              <w:right w:val="single" w:sz="4" w:space="0" w:color="auto"/>
            </w:tcBorders>
            <w:shd w:val="clear" w:color="auto" w:fill="auto"/>
            <w:noWrap/>
            <w:vAlign w:val="bottom"/>
            <w:hideMark/>
          </w:tcPr>
          <w:p w14:paraId="42E1671A" w14:textId="77777777" w:rsidR="00BA1338" w:rsidRPr="00545EC0" w:rsidRDefault="00BA1338" w:rsidP="004F2AF2">
            <w:pPr>
              <w:spacing w:line="240" w:lineRule="auto"/>
              <w:jc w:val="center"/>
              <w:rPr>
                <w:rFonts w:cs="Arial"/>
                <w:sz w:val="18"/>
                <w:szCs w:val="18"/>
              </w:rPr>
            </w:pPr>
            <w:r w:rsidRPr="00545EC0">
              <w:rPr>
                <w:rFonts w:cs="Arial"/>
                <w:sz w:val="18"/>
                <w:szCs w:val="18"/>
              </w:rPr>
              <w:t>69</w:t>
            </w:r>
          </w:p>
        </w:tc>
        <w:tc>
          <w:tcPr>
            <w:tcW w:w="1015" w:type="pct"/>
            <w:tcBorders>
              <w:top w:val="nil"/>
              <w:left w:val="nil"/>
              <w:bottom w:val="single" w:sz="4" w:space="0" w:color="auto"/>
              <w:right w:val="single" w:sz="4" w:space="0" w:color="auto"/>
            </w:tcBorders>
            <w:shd w:val="clear" w:color="auto" w:fill="auto"/>
            <w:noWrap/>
            <w:vAlign w:val="bottom"/>
            <w:hideMark/>
          </w:tcPr>
          <w:p w14:paraId="5C3D3260" w14:textId="77777777" w:rsidR="00BA1338" w:rsidRPr="00545EC0" w:rsidRDefault="00BA1338" w:rsidP="004F2AF2">
            <w:pPr>
              <w:spacing w:line="240" w:lineRule="auto"/>
              <w:jc w:val="center"/>
              <w:rPr>
                <w:rFonts w:cs="Arial"/>
                <w:sz w:val="18"/>
                <w:szCs w:val="18"/>
              </w:rPr>
            </w:pPr>
            <w:r w:rsidRPr="00545EC0">
              <w:rPr>
                <w:rFonts w:cs="Arial"/>
                <w:sz w:val="18"/>
                <w:szCs w:val="18"/>
              </w:rPr>
              <w:t>109</w:t>
            </w:r>
          </w:p>
        </w:tc>
      </w:tr>
      <w:tr w:rsidR="003122F4" w:rsidRPr="00545EC0" w14:paraId="4B1E202A" w14:textId="77777777" w:rsidTr="00552E05">
        <w:trPr>
          <w:trHeight w:val="227"/>
        </w:trPr>
        <w:tc>
          <w:tcPr>
            <w:tcW w:w="1157" w:type="pct"/>
            <w:tcBorders>
              <w:top w:val="nil"/>
              <w:left w:val="single" w:sz="4" w:space="0" w:color="auto"/>
              <w:bottom w:val="single" w:sz="4" w:space="0" w:color="auto"/>
              <w:right w:val="single" w:sz="4" w:space="0" w:color="auto"/>
            </w:tcBorders>
            <w:shd w:val="clear" w:color="auto" w:fill="auto"/>
            <w:noWrap/>
            <w:vAlign w:val="bottom"/>
            <w:hideMark/>
          </w:tcPr>
          <w:p w14:paraId="693E5161" w14:textId="77777777" w:rsidR="00BA1338" w:rsidRPr="00545EC0" w:rsidRDefault="00BA1338" w:rsidP="004F2AF2">
            <w:pPr>
              <w:spacing w:line="240" w:lineRule="auto"/>
              <w:rPr>
                <w:rFonts w:cs="Arial"/>
                <w:bCs/>
                <w:sz w:val="18"/>
                <w:szCs w:val="18"/>
              </w:rPr>
            </w:pPr>
            <w:r w:rsidRPr="00545EC0">
              <w:rPr>
                <w:rFonts w:cs="Arial"/>
                <w:bCs/>
                <w:sz w:val="18"/>
                <w:szCs w:val="18"/>
              </w:rPr>
              <w:t>Savinja</w:t>
            </w:r>
          </w:p>
        </w:tc>
        <w:tc>
          <w:tcPr>
            <w:tcW w:w="915" w:type="pct"/>
            <w:tcBorders>
              <w:top w:val="nil"/>
              <w:left w:val="nil"/>
              <w:bottom w:val="single" w:sz="4" w:space="0" w:color="auto"/>
              <w:right w:val="single" w:sz="4" w:space="0" w:color="auto"/>
            </w:tcBorders>
            <w:shd w:val="clear" w:color="auto" w:fill="auto"/>
            <w:noWrap/>
            <w:vAlign w:val="bottom"/>
            <w:hideMark/>
          </w:tcPr>
          <w:p w14:paraId="16C4ECED" w14:textId="77777777" w:rsidR="00BA1338" w:rsidRPr="00545EC0" w:rsidRDefault="00BA1338" w:rsidP="004F2AF2">
            <w:pPr>
              <w:spacing w:line="240" w:lineRule="auto"/>
              <w:jc w:val="center"/>
              <w:rPr>
                <w:rFonts w:cs="Arial"/>
                <w:bCs/>
                <w:sz w:val="18"/>
                <w:szCs w:val="18"/>
              </w:rPr>
            </w:pPr>
            <w:r w:rsidRPr="00545EC0">
              <w:rPr>
                <w:rFonts w:cs="Arial"/>
                <w:bCs/>
                <w:sz w:val="18"/>
                <w:szCs w:val="18"/>
              </w:rPr>
              <w:t>16</w:t>
            </w:r>
          </w:p>
        </w:tc>
        <w:tc>
          <w:tcPr>
            <w:tcW w:w="915" w:type="pct"/>
            <w:tcBorders>
              <w:top w:val="nil"/>
              <w:left w:val="nil"/>
              <w:bottom w:val="single" w:sz="4" w:space="0" w:color="auto"/>
              <w:right w:val="single" w:sz="4" w:space="0" w:color="auto"/>
            </w:tcBorders>
            <w:shd w:val="clear" w:color="auto" w:fill="auto"/>
            <w:noWrap/>
            <w:vAlign w:val="bottom"/>
            <w:hideMark/>
          </w:tcPr>
          <w:p w14:paraId="1BC20F26" w14:textId="77777777" w:rsidR="00BA1338" w:rsidRPr="00545EC0" w:rsidRDefault="00BA1338" w:rsidP="004F2AF2">
            <w:pPr>
              <w:spacing w:line="240" w:lineRule="auto"/>
              <w:jc w:val="center"/>
              <w:rPr>
                <w:rFonts w:cs="Arial"/>
                <w:bCs/>
                <w:sz w:val="18"/>
                <w:szCs w:val="18"/>
              </w:rPr>
            </w:pPr>
            <w:r w:rsidRPr="00545EC0">
              <w:rPr>
                <w:rFonts w:cs="Arial"/>
                <w:bCs/>
                <w:sz w:val="18"/>
                <w:szCs w:val="18"/>
              </w:rPr>
              <w:t>102</w:t>
            </w:r>
          </w:p>
        </w:tc>
        <w:tc>
          <w:tcPr>
            <w:tcW w:w="998" w:type="pct"/>
            <w:tcBorders>
              <w:top w:val="nil"/>
              <w:left w:val="nil"/>
              <w:bottom w:val="single" w:sz="4" w:space="0" w:color="auto"/>
              <w:right w:val="single" w:sz="4" w:space="0" w:color="auto"/>
            </w:tcBorders>
            <w:shd w:val="clear" w:color="auto" w:fill="auto"/>
            <w:noWrap/>
            <w:vAlign w:val="bottom"/>
            <w:hideMark/>
          </w:tcPr>
          <w:p w14:paraId="7ECBF07B" w14:textId="77777777" w:rsidR="00BA1338" w:rsidRPr="00545EC0" w:rsidRDefault="00BA1338" w:rsidP="004F2AF2">
            <w:pPr>
              <w:spacing w:line="240" w:lineRule="auto"/>
              <w:jc w:val="center"/>
              <w:rPr>
                <w:rFonts w:cs="Arial"/>
                <w:sz w:val="18"/>
                <w:szCs w:val="18"/>
              </w:rPr>
            </w:pPr>
            <w:r w:rsidRPr="00545EC0">
              <w:rPr>
                <w:rFonts w:cs="Arial"/>
                <w:sz w:val="18"/>
                <w:szCs w:val="18"/>
              </w:rPr>
              <w:t>36</w:t>
            </w:r>
          </w:p>
        </w:tc>
        <w:tc>
          <w:tcPr>
            <w:tcW w:w="1015" w:type="pct"/>
            <w:tcBorders>
              <w:top w:val="nil"/>
              <w:left w:val="nil"/>
              <w:bottom w:val="single" w:sz="4" w:space="0" w:color="auto"/>
              <w:right w:val="single" w:sz="4" w:space="0" w:color="auto"/>
            </w:tcBorders>
            <w:shd w:val="clear" w:color="auto" w:fill="auto"/>
            <w:noWrap/>
            <w:vAlign w:val="bottom"/>
            <w:hideMark/>
          </w:tcPr>
          <w:p w14:paraId="70D58A0E" w14:textId="77777777" w:rsidR="00BA1338" w:rsidRPr="00545EC0" w:rsidRDefault="00BA1338" w:rsidP="004F2AF2">
            <w:pPr>
              <w:spacing w:line="240" w:lineRule="auto"/>
              <w:jc w:val="center"/>
              <w:rPr>
                <w:rFonts w:cs="Arial"/>
                <w:sz w:val="18"/>
                <w:szCs w:val="18"/>
              </w:rPr>
            </w:pPr>
            <w:r w:rsidRPr="00545EC0">
              <w:rPr>
                <w:rFonts w:cs="Arial"/>
                <w:sz w:val="18"/>
                <w:szCs w:val="18"/>
              </w:rPr>
              <w:t>66</w:t>
            </w:r>
          </w:p>
        </w:tc>
      </w:tr>
      <w:tr w:rsidR="003122F4" w:rsidRPr="00545EC0" w14:paraId="14737D78" w14:textId="77777777" w:rsidTr="00552E05">
        <w:trPr>
          <w:trHeight w:val="227"/>
        </w:trPr>
        <w:tc>
          <w:tcPr>
            <w:tcW w:w="1157" w:type="pct"/>
            <w:tcBorders>
              <w:top w:val="nil"/>
              <w:left w:val="single" w:sz="4" w:space="0" w:color="auto"/>
              <w:bottom w:val="single" w:sz="4" w:space="0" w:color="auto"/>
              <w:right w:val="single" w:sz="4" w:space="0" w:color="auto"/>
            </w:tcBorders>
            <w:shd w:val="clear" w:color="auto" w:fill="auto"/>
            <w:noWrap/>
            <w:vAlign w:val="bottom"/>
            <w:hideMark/>
          </w:tcPr>
          <w:p w14:paraId="5DC4C672" w14:textId="77777777" w:rsidR="00BA1338" w:rsidRPr="00545EC0" w:rsidRDefault="00BA1338" w:rsidP="004F2AF2">
            <w:pPr>
              <w:spacing w:line="240" w:lineRule="auto"/>
              <w:rPr>
                <w:rFonts w:cs="Arial"/>
                <w:bCs/>
                <w:sz w:val="18"/>
                <w:szCs w:val="18"/>
              </w:rPr>
            </w:pPr>
            <w:r w:rsidRPr="00545EC0">
              <w:rPr>
                <w:rFonts w:cs="Arial"/>
                <w:bCs/>
                <w:sz w:val="18"/>
                <w:szCs w:val="18"/>
              </w:rPr>
              <w:t>Drava</w:t>
            </w:r>
          </w:p>
        </w:tc>
        <w:tc>
          <w:tcPr>
            <w:tcW w:w="915" w:type="pct"/>
            <w:tcBorders>
              <w:top w:val="nil"/>
              <w:left w:val="nil"/>
              <w:bottom w:val="single" w:sz="4" w:space="0" w:color="auto"/>
              <w:right w:val="single" w:sz="4" w:space="0" w:color="auto"/>
            </w:tcBorders>
            <w:shd w:val="clear" w:color="auto" w:fill="auto"/>
            <w:noWrap/>
            <w:vAlign w:val="bottom"/>
            <w:hideMark/>
          </w:tcPr>
          <w:p w14:paraId="60FDDF6D" w14:textId="77777777" w:rsidR="00BA1338" w:rsidRPr="00545EC0" w:rsidRDefault="00BA1338" w:rsidP="004F2AF2">
            <w:pPr>
              <w:spacing w:line="240" w:lineRule="auto"/>
              <w:jc w:val="center"/>
              <w:rPr>
                <w:rFonts w:cs="Arial"/>
                <w:bCs/>
                <w:sz w:val="18"/>
                <w:szCs w:val="18"/>
              </w:rPr>
            </w:pPr>
            <w:r w:rsidRPr="00545EC0">
              <w:rPr>
                <w:rFonts w:cs="Arial"/>
                <w:bCs/>
                <w:sz w:val="18"/>
                <w:szCs w:val="18"/>
              </w:rPr>
              <w:t>24</w:t>
            </w:r>
          </w:p>
        </w:tc>
        <w:tc>
          <w:tcPr>
            <w:tcW w:w="915" w:type="pct"/>
            <w:tcBorders>
              <w:top w:val="nil"/>
              <w:left w:val="nil"/>
              <w:bottom w:val="single" w:sz="4" w:space="0" w:color="auto"/>
              <w:right w:val="single" w:sz="4" w:space="0" w:color="auto"/>
            </w:tcBorders>
            <w:shd w:val="clear" w:color="auto" w:fill="auto"/>
            <w:noWrap/>
            <w:vAlign w:val="bottom"/>
            <w:hideMark/>
          </w:tcPr>
          <w:p w14:paraId="0671348A" w14:textId="77777777" w:rsidR="00BA1338" w:rsidRPr="00545EC0" w:rsidRDefault="00BA1338" w:rsidP="004F2AF2">
            <w:pPr>
              <w:spacing w:line="240" w:lineRule="auto"/>
              <w:jc w:val="center"/>
              <w:rPr>
                <w:rFonts w:cs="Arial"/>
                <w:bCs/>
                <w:sz w:val="18"/>
                <w:szCs w:val="18"/>
              </w:rPr>
            </w:pPr>
            <w:r w:rsidRPr="00545EC0">
              <w:rPr>
                <w:rFonts w:cs="Arial"/>
                <w:bCs/>
                <w:sz w:val="18"/>
                <w:szCs w:val="18"/>
              </w:rPr>
              <w:t>173</w:t>
            </w:r>
          </w:p>
        </w:tc>
        <w:tc>
          <w:tcPr>
            <w:tcW w:w="998" w:type="pct"/>
            <w:tcBorders>
              <w:top w:val="nil"/>
              <w:left w:val="nil"/>
              <w:bottom w:val="single" w:sz="4" w:space="0" w:color="auto"/>
              <w:right w:val="single" w:sz="4" w:space="0" w:color="auto"/>
            </w:tcBorders>
            <w:shd w:val="clear" w:color="auto" w:fill="auto"/>
            <w:noWrap/>
            <w:vAlign w:val="bottom"/>
            <w:hideMark/>
          </w:tcPr>
          <w:p w14:paraId="3FF940BD" w14:textId="77777777" w:rsidR="00BA1338" w:rsidRPr="00545EC0" w:rsidRDefault="00BA1338" w:rsidP="004F2AF2">
            <w:pPr>
              <w:spacing w:line="240" w:lineRule="auto"/>
              <w:jc w:val="center"/>
              <w:rPr>
                <w:rFonts w:cs="Arial"/>
                <w:sz w:val="18"/>
                <w:szCs w:val="18"/>
              </w:rPr>
            </w:pPr>
            <w:r w:rsidRPr="00545EC0">
              <w:rPr>
                <w:rFonts w:cs="Arial"/>
                <w:sz w:val="18"/>
                <w:szCs w:val="18"/>
              </w:rPr>
              <w:t>52</w:t>
            </w:r>
          </w:p>
        </w:tc>
        <w:tc>
          <w:tcPr>
            <w:tcW w:w="1015" w:type="pct"/>
            <w:tcBorders>
              <w:top w:val="nil"/>
              <w:left w:val="nil"/>
              <w:bottom w:val="single" w:sz="4" w:space="0" w:color="auto"/>
              <w:right w:val="single" w:sz="4" w:space="0" w:color="auto"/>
            </w:tcBorders>
            <w:shd w:val="clear" w:color="auto" w:fill="auto"/>
            <w:noWrap/>
            <w:vAlign w:val="bottom"/>
            <w:hideMark/>
          </w:tcPr>
          <w:p w14:paraId="58356BC0" w14:textId="77777777" w:rsidR="00BA1338" w:rsidRPr="00545EC0" w:rsidRDefault="00BA1338" w:rsidP="004F2AF2">
            <w:pPr>
              <w:spacing w:line="240" w:lineRule="auto"/>
              <w:jc w:val="center"/>
              <w:rPr>
                <w:rFonts w:cs="Arial"/>
                <w:sz w:val="18"/>
                <w:szCs w:val="18"/>
              </w:rPr>
            </w:pPr>
            <w:r w:rsidRPr="00545EC0">
              <w:rPr>
                <w:rFonts w:cs="Arial"/>
                <w:sz w:val="18"/>
                <w:szCs w:val="18"/>
              </w:rPr>
              <w:t>121</w:t>
            </w:r>
          </w:p>
        </w:tc>
      </w:tr>
      <w:tr w:rsidR="003122F4" w:rsidRPr="00545EC0" w14:paraId="6430D2AC" w14:textId="77777777" w:rsidTr="00552E05">
        <w:trPr>
          <w:trHeight w:val="227"/>
        </w:trPr>
        <w:tc>
          <w:tcPr>
            <w:tcW w:w="1157" w:type="pct"/>
            <w:tcBorders>
              <w:top w:val="nil"/>
              <w:left w:val="single" w:sz="4" w:space="0" w:color="auto"/>
              <w:bottom w:val="single" w:sz="4" w:space="0" w:color="auto"/>
              <w:right w:val="single" w:sz="4" w:space="0" w:color="auto"/>
            </w:tcBorders>
            <w:shd w:val="clear" w:color="auto" w:fill="auto"/>
            <w:noWrap/>
            <w:vAlign w:val="bottom"/>
            <w:hideMark/>
          </w:tcPr>
          <w:p w14:paraId="2DA11A78" w14:textId="77777777" w:rsidR="00BA1338" w:rsidRPr="00545EC0" w:rsidRDefault="00BA1338" w:rsidP="004F2AF2">
            <w:pPr>
              <w:spacing w:line="240" w:lineRule="auto"/>
              <w:rPr>
                <w:rFonts w:cs="Arial"/>
                <w:bCs/>
                <w:sz w:val="18"/>
                <w:szCs w:val="18"/>
              </w:rPr>
            </w:pPr>
            <w:r w:rsidRPr="00545EC0">
              <w:rPr>
                <w:rFonts w:cs="Arial"/>
                <w:bCs/>
                <w:sz w:val="18"/>
                <w:szCs w:val="18"/>
              </w:rPr>
              <w:t>Mura</w:t>
            </w:r>
          </w:p>
        </w:tc>
        <w:tc>
          <w:tcPr>
            <w:tcW w:w="915" w:type="pct"/>
            <w:tcBorders>
              <w:top w:val="nil"/>
              <w:left w:val="nil"/>
              <w:bottom w:val="single" w:sz="4" w:space="0" w:color="auto"/>
              <w:right w:val="single" w:sz="4" w:space="0" w:color="auto"/>
            </w:tcBorders>
            <w:shd w:val="clear" w:color="auto" w:fill="auto"/>
            <w:noWrap/>
            <w:vAlign w:val="bottom"/>
            <w:hideMark/>
          </w:tcPr>
          <w:p w14:paraId="18813813" w14:textId="77777777" w:rsidR="00BA1338" w:rsidRPr="00545EC0" w:rsidRDefault="00BA1338" w:rsidP="004F2AF2">
            <w:pPr>
              <w:spacing w:line="240" w:lineRule="auto"/>
              <w:jc w:val="center"/>
              <w:rPr>
                <w:rFonts w:cs="Arial"/>
                <w:bCs/>
                <w:sz w:val="18"/>
                <w:szCs w:val="18"/>
              </w:rPr>
            </w:pPr>
            <w:r w:rsidRPr="00545EC0">
              <w:rPr>
                <w:rFonts w:cs="Arial"/>
                <w:bCs/>
                <w:sz w:val="18"/>
                <w:szCs w:val="18"/>
              </w:rPr>
              <w:t>14</w:t>
            </w:r>
          </w:p>
        </w:tc>
        <w:tc>
          <w:tcPr>
            <w:tcW w:w="915" w:type="pct"/>
            <w:tcBorders>
              <w:top w:val="nil"/>
              <w:left w:val="nil"/>
              <w:bottom w:val="single" w:sz="4" w:space="0" w:color="auto"/>
              <w:right w:val="single" w:sz="4" w:space="0" w:color="auto"/>
            </w:tcBorders>
            <w:shd w:val="clear" w:color="auto" w:fill="auto"/>
            <w:noWrap/>
            <w:vAlign w:val="bottom"/>
            <w:hideMark/>
          </w:tcPr>
          <w:p w14:paraId="3050F982" w14:textId="77777777" w:rsidR="00BA1338" w:rsidRPr="00545EC0" w:rsidRDefault="00BA1338" w:rsidP="004F2AF2">
            <w:pPr>
              <w:spacing w:line="240" w:lineRule="auto"/>
              <w:jc w:val="center"/>
              <w:rPr>
                <w:rFonts w:cs="Arial"/>
                <w:bCs/>
                <w:sz w:val="18"/>
                <w:szCs w:val="18"/>
              </w:rPr>
            </w:pPr>
            <w:r w:rsidRPr="00545EC0">
              <w:rPr>
                <w:rFonts w:cs="Arial"/>
                <w:bCs/>
                <w:sz w:val="18"/>
                <w:szCs w:val="18"/>
              </w:rPr>
              <w:t>77</w:t>
            </w:r>
          </w:p>
        </w:tc>
        <w:tc>
          <w:tcPr>
            <w:tcW w:w="998" w:type="pct"/>
            <w:tcBorders>
              <w:top w:val="nil"/>
              <w:left w:val="nil"/>
              <w:bottom w:val="single" w:sz="4" w:space="0" w:color="auto"/>
              <w:right w:val="single" w:sz="4" w:space="0" w:color="auto"/>
            </w:tcBorders>
            <w:shd w:val="clear" w:color="auto" w:fill="auto"/>
            <w:noWrap/>
            <w:vAlign w:val="bottom"/>
            <w:hideMark/>
          </w:tcPr>
          <w:p w14:paraId="2D80CA71" w14:textId="77777777" w:rsidR="00BA1338" w:rsidRPr="00545EC0" w:rsidRDefault="00BA1338" w:rsidP="004F2AF2">
            <w:pPr>
              <w:spacing w:line="240" w:lineRule="auto"/>
              <w:jc w:val="center"/>
              <w:rPr>
                <w:rFonts w:cs="Arial"/>
                <w:sz w:val="18"/>
                <w:szCs w:val="18"/>
              </w:rPr>
            </w:pPr>
            <w:r w:rsidRPr="00545EC0">
              <w:rPr>
                <w:rFonts w:cs="Arial"/>
                <w:sz w:val="18"/>
                <w:szCs w:val="18"/>
              </w:rPr>
              <w:t>24</w:t>
            </w:r>
          </w:p>
        </w:tc>
        <w:tc>
          <w:tcPr>
            <w:tcW w:w="1015" w:type="pct"/>
            <w:tcBorders>
              <w:top w:val="nil"/>
              <w:left w:val="nil"/>
              <w:bottom w:val="single" w:sz="4" w:space="0" w:color="auto"/>
              <w:right w:val="single" w:sz="4" w:space="0" w:color="auto"/>
            </w:tcBorders>
            <w:shd w:val="clear" w:color="auto" w:fill="auto"/>
            <w:noWrap/>
            <w:vAlign w:val="bottom"/>
            <w:hideMark/>
          </w:tcPr>
          <w:p w14:paraId="40E31F34" w14:textId="77777777" w:rsidR="00BA1338" w:rsidRPr="00545EC0" w:rsidRDefault="00BA1338" w:rsidP="004F2AF2">
            <w:pPr>
              <w:spacing w:line="240" w:lineRule="auto"/>
              <w:jc w:val="center"/>
              <w:rPr>
                <w:rFonts w:cs="Arial"/>
                <w:sz w:val="18"/>
                <w:szCs w:val="18"/>
              </w:rPr>
            </w:pPr>
            <w:r w:rsidRPr="00545EC0">
              <w:rPr>
                <w:rFonts w:cs="Arial"/>
                <w:sz w:val="18"/>
                <w:szCs w:val="18"/>
              </w:rPr>
              <w:t>53</w:t>
            </w:r>
          </w:p>
        </w:tc>
      </w:tr>
      <w:tr w:rsidR="00BA1338" w:rsidRPr="00545EC0" w14:paraId="7F41AE1A" w14:textId="77777777" w:rsidTr="00552E05">
        <w:trPr>
          <w:trHeight w:val="227"/>
        </w:trPr>
        <w:tc>
          <w:tcPr>
            <w:tcW w:w="11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F06F2" w14:textId="77777777" w:rsidR="00BA1338" w:rsidRPr="00545EC0" w:rsidRDefault="00BA1338" w:rsidP="004F2AF2">
            <w:pPr>
              <w:spacing w:line="240" w:lineRule="auto"/>
              <w:rPr>
                <w:rFonts w:cs="Arial"/>
                <w:b/>
                <w:sz w:val="18"/>
                <w:szCs w:val="18"/>
              </w:rPr>
            </w:pPr>
            <w:r w:rsidRPr="00545EC0">
              <w:rPr>
                <w:rFonts w:cs="Arial"/>
                <w:b/>
                <w:sz w:val="18"/>
                <w:szCs w:val="18"/>
              </w:rPr>
              <w:t>Skupaj</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A526D" w14:textId="77777777" w:rsidR="00BA1338" w:rsidRPr="00545EC0" w:rsidRDefault="00BA1338" w:rsidP="004F2AF2">
            <w:pPr>
              <w:spacing w:line="240" w:lineRule="auto"/>
              <w:jc w:val="center"/>
              <w:rPr>
                <w:rFonts w:cs="Arial"/>
                <w:b/>
                <w:bCs/>
                <w:sz w:val="18"/>
                <w:szCs w:val="18"/>
              </w:rPr>
            </w:pPr>
            <w:r w:rsidRPr="00545EC0">
              <w:rPr>
                <w:rFonts w:cs="Arial"/>
                <w:b/>
                <w:bCs/>
                <w:sz w:val="18"/>
                <w:szCs w:val="18"/>
              </w:rPr>
              <w:t>121</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8D147" w14:textId="77777777" w:rsidR="00BA1338" w:rsidRPr="00545EC0" w:rsidRDefault="00BA1338" w:rsidP="004F2AF2">
            <w:pPr>
              <w:spacing w:line="240" w:lineRule="auto"/>
              <w:jc w:val="center"/>
              <w:rPr>
                <w:rFonts w:cs="Arial"/>
                <w:b/>
                <w:bCs/>
                <w:sz w:val="18"/>
                <w:szCs w:val="18"/>
              </w:rPr>
            </w:pPr>
            <w:r w:rsidRPr="00545EC0">
              <w:rPr>
                <w:rFonts w:cs="Arial"/>
                <w:b/>
                <w:bCs/>
                <w:sz w:val="18"/>
                <w:szCs w:val="18"/>
              </w:rPr>
              <w:t>734</w:t>
            </w:r>
          </w:p>
        </w:tc>
        <w:tc>
          <w:tcPr>
            <w:tcW w:w="9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154AE" w14:textId="77777777" w:rsidR="00BA1338" w:rsidRPr="00545EC0" w:rsidRDefault="00BA1338" w:rsidP="004F2AF2">
            <w:pPr>
              <w:spacing w:line="240" w:lineRule="auto"/>
              <w:jc w:val="center"/>
              <w:rPr>
                <w:rFonts w:cs="Arial"/>
                <w:b/>
                <w:bCs/>
                <w:sz w:val="18"/>
                <w:szCs w:val="18"/>
              </w:rPr>
            </w:pPr>
            <w:r w:rsidRPr="00545EC0">
              <w:rPr>
                <w:rFonts w:cs="Arial"/>
                <w:b/>
                <w:bCs/>
                <w:sz w:val="18"/>
                <w:szCs w:val="18"/>
              </w:rPr>
              <w:t>265</w:t>
            </w:r>
          </w:p>
        </w:tc>
        <w:tc>
          <w:tcPr>
            <w:tcW w:w="10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A606B" w14:textId="77777777" w:rsidR="00BA1338" w:rsidRPr="00545EC0" w:rsidRDefault="00BA1338" w:rsidP="004F2AF2">
            <w:pPr>
              <w:spacing w:line="240" w:lineRule="auto"/>
              <w:jc w:val="center"/>
              <w:rPr>
                <w:rFonts w:cs="Arial"/>
                <w:b/>
                <w:bCs/>
                <w:sz w:val="18"/>
                <w:szCs w:val="18"/>
              </w:rPr>
            </w:pPr>
            <w:r w:rsidRPr="00545EC0">
              <w:rPr>
                <w:rFonts w:cs="Arial"/>
                <w:b/>
                <w:bCs/>
                <w:sz w:val="18"/>
                <w:szCs w:val="18"/>
              </w:rPr>
              <w:t>469</w:t>
            </w:r>
          </w:p>
        </w:tc>
      </w:tr>
    </w:tbl>
    <w:p w14:paraId="15C1155B"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0"/>
          <w:lang w:eastAsia="ja-JP"/>
        </w:rPr>
      </w:pPr>
    </w:p>
    <w:p w14:paraId="6806D592" w14:textId="77777777" w:rsidR="007804BE" w:rsidRPr="00545EC0" w:rsidRDefault="00BA1338" w:rsidP="007804B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 w:rsidRPr="00545EC0">
        <w:rPr>
          <w:rFonts w:cs="Arial"/>
          <w:noProof/>
          <w:szCs w:val="20"/>
        </w:rPr>
        <w:lastRenderedPageBreak/>
        <w:drawing>
          <wp:inline distT="0" distB="0" distL="0" distR="0" wp14:anchorId="784FDDE1" wp14:editId="711F5B42">
            <wp:extent cx="5696210" cy="3535033"/>
            <wp:effectExtent l="19050" t="19050" r="19050" b="2794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1687" cy="3544638"/>
                    </a:xfrm>
                    <a:prstGeom prst="rect">
                      <a:avLst/>
                    </a:prstGeom>
                    <a:noFill/>
                    <a:ln>
                      <a:solidFill>
                        <a:schemeClr val="bg1">
                          <a:lumMod val="75000"/>
                        </a:schemeClr>
                      </a:solidFill>
                    </a:ln>
                  </pic:spPr>
                </pic:pic>
              </a:graphicData>
            </a:graphic>
          </wp:inline>
        </w:drawing>
      </w:r>
    </w:p>
    <w:p w14:paraId="3519EDBA" w14:textId="2CEC006B" w:rsidR="007804BE" w:rsidRPr="00545EC0" w:rsidRDefault="007804BE" w:rsidP="00780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left"/>
        <w:rPr>
          <w:rFonts w:cs="Arial"/>
          <w:szCs w:val="20"/>
          <w:lang w:eastAsia="ja-JP"/>
        </w:rPr>
      </w:pPr>
      <w:bookmarkStart w:id="185" w:name="_Ref84330407"/>
      <w:r w:rsidRPr="00545EC0">
        <w:rPr>
          <w:szCs w:val="20"/>
        </w:rPr>
        <w:t xml:space="preserve">Slika </w:t>
      </w:r>
      <w:r w:rsidR="00396E1E" w:rsidRPr="00545EC0">
        <w:rPr>
          <w:szCs w:val="20"/>
        </w:rPr>
        <w:fldChar w:fldCharType="begin"/>
      </w:r>
      <w:r w:rsidR="00396E1E" w:rsidRPr="00545EC0">
        <w:rPr>
          <w:szCs w:val="20"/>
        </w:rPr>
        <w:instrText xml:space="preserve"> STYLEREF 1 \s </w:instrText>
      </w:r>
      <w:r w:rsidR="00396E1E" w:rsidRPr="00545EC0">
        <w:rPr>
          <w:szCs w:val="20"/>
        </w:rPr>
        <w:fldChar w:fldCharType="separate"/>
      </w:r>
      <w:r w:rsidR="002F3E43">
        <w:rPr>
          <w:noProof/>
          <w:szCs w:val="20"/>
        </w:rPr>
        <w:t>2</w:t>
      </w:r>
      <w:r w:rsidR="00396E1E" w:rsidRPr="00545EC0">
        <w:rPr>
          <w:szCs w:val="20"/>
        </w:rPr>
        <w:fldChar w:fldCharType="end"/>
      </w:r>
      <w:r w:rsidR="00396E1E" w:rsidRPr="00545EC0">
        <w:rPr>
          <w:szCs w:val="20"/>
        </w:rPr>
        <w:noBreakHyphen/>
      </w:r>
      <w:r w:rsidR="00396E1E" w:rsidRPr="00545EC0">
        <w:rPr>
          <w:szCs w:val="20"/>
        </w:rPr>
        <w:fldChar w:fldCharType="begin"/>
      </w:r>
      <w:r w:rsidR="00396E1E" w:rsidRPr="00545EC0">
        <w:rPr>
          <w:szCs w:val="20"/>
        </w:rPr>
        <w:instrText xml:space="preserve"> SEQ Slika \* ARABIC \s 1 </w:instrText>
      </w:r>
      <w:r w:rsidR="00396E1E" w:rsidRPr="00545EC0">
        <w:rPr>
          <w:szCs w:val="20"/>
        </w:rPr>
        <w:fldChar w:fldCharType="separate"/>
      </w:r>
      <w:r w:rsidR="002F3E43">
        <w:rPr>
          <w:noProof/>
          <w:szCs w:val="20"/>
        </w:rPr>
        <w:t>10</w:t>
      </w:r>
      <w:r w:rsidR="00396E1E" w:rsidRPr="00545EC0">
        <w:rPr>
          <w:szCs w:val="20"/>
        </w:rPr>
        <w:fldChar w:fldCharType="end"/>
      </w:r>
      <w:bookmarkEnd w:id="185"/>
      <w:r w:rsidRPr="00545EC0">
        <w:rPr>
          <w:szCs w:val="20"/>
        </w:rPr>
        <w:t>:</w:t>
      </w:r>
      <w:r w:rsidRPr="00545EC0">
        <w:rPr>
          <w:rFonts w:cs="Arial"/>
          <w:szCs w:val="20"/>
          <w:lang w:eastAsia="ja-JP"/>
        </w:rPr>
        <w:t xml:space="preserve"> Število VTPV in dVTPV (na glavnem toku in pritokih) po porečjih na VO Donave</w:t>
      </w:r>
    </w:p>
    <w:p w14:paraId="0B9A8EB4"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0"/>
          <w:lang w:eastAsia="ja-JP"/>
        </w:rPr>
      </w:pPr>
    </w:p>
    <w:p w14:paraId="4361506E" w14:textId="19529244"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0"/>
          <w:lang w:eastAsia="ja-JP"/>
        </w:rPr>
      </w:pPr>
      <w:r w:rsidRPr="00545EC0">
        <w:rPr>
          <w:rFonts w:cs="Arial"/>
          <w:szCs w:val="20"/>
          <w:lang w:eastAsia="ja-JP"/>
        </w:rPr>
        <w:t>Glede na razpoložljivost in oceno zanesljivosti podatkov so posamezne analize hidromorfoloških obremenitev izvedene na vseh dVTPV-jih, pri določenih (nihanje vodne gladine in pulzirajoč pretok ter plovba) pa le na dVTPV-jih, ki so določeni na glavnem toku (</w:t>
      </w:r>
      <w:r w:rsidR="0078626E" w:rsidRPr="00545EC0">
        <w:rPr>
          <w:rFonts w:cs="Arial"/>
          <w:szCs w:val="20"/>
          <w:lang w:eastAsia="ja-JP"/>
        </w:rPr>
        <w:fldChar w:fldCharType="begin"/>
      </w:r>
      <w:r w:rsidR="0078626E" w:rsidRPr="00545EC0">
        <w:rPr>
          <w:rFonts w:cs="Arial"/>
          <w:szCs w:val="20"/>
          <w:lang w:eastAsia="ja-JP"/>
        </w:rPr>
        <w:instrText xml:space="preserve"> REF _Ref84320821 \h </w:instrText>
      </w:r>
      <w:r w:rsidR="00F37A91" w:rsidRPr="00545EC0">
        <w:rPr>
          <w:rFonts w:cs="Arial"/>
          <w:szCs w:val="20"/>
          <w:lang w:eastAsia="ja-JP"/>
        </w:rPr>
        <w:instrText xml:space="preserve"> \* MERGEFORMAT </w:instrText>
      </w:r>
      <w:r w:rsidR="0078626E" w:rsidRPr="00545EC0">
        <w:rPr>
          <w:rFonts w:cs="Arial"/>
          <w:szCs w:val="20"/>
          <w:lang w:eastAsia="ja-JP"/>
        </w:rPr>
      </w:r>
      <w:r w:rsidR="0078626E" w:rsidRPr="00545EC0">
        <w:rPr>
          <w:rFonts w:cs="Arial"/>
          <w:szCs w:val="20"/>
          <w:lang w:eastAsia="ja-JP"/>
        </w:rPr>
        <w:fldChar w:fldCharType="separate"/>
      </w:r>
      <w:r w:rsidR="002F3E43" w:rsidRPr="00545EC0">
        <w:t xml:space="preserve">Preglednica </w:t>
      </w:r>
      <w:r w:rsidR="002F3E43">
        <w:rPr>
          <w:noProof/>
        </w:rPr>
        <w:t>2</w:t>
      </w:r>
      <w:r w:rsidR="002F3E43" w:rsidRPr="00545EC0">
        <w:rPr>
          <w:noProof/>
        </w:rPr>
        <w:noBreakHyphen/>
      </w:r>
      <w:r w:rsidR="002F3E43">
        <w:rPr>
          <w:noProof/>
        </w:rPr>
        <w:t>22</w:t>
      </w:r>
      <w:r w:rsidR="0078626E" w:rsidRPr="00545EC0">
        <w:rPr>
          <w:rFonts w:cs="Arial"/>
          <w:szCs w:val="20"/>
          <w:lang w:eastAsia="ja-JP"/>
        </w:rPr>
        <w:fldChar w:fldCharType="end"/>
      </w:r>
      <w:r w:rsidRPr="00545EC0">
        <w:rPr>
          <w:rFonts w:cs="Arial"/>
          <w:szCs w:val="20"/>
          <w:lang w:eastAsia="ja-JP"/>
        </w:rPr>
        <w:t xml:space="preserve">). </w:t>
      </w:r>
    </w:p>
    <w:p w14:paraId="2307820E" w14:textId="77777777" w:rsidR="00552E05" w:rsidRPr="00545EC0" w:rsidRDefault="00552E05"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Cs w:val="20"/>
          <w:lang w:eastAsia="ja-JP"/>
        </w:rPr>
      </w:pPr>
    </w:p>
    <w:p w14:paraId="039C489B" w14:textId="6D5E0B46" w:rsidR="00552E05" w:rsidRPr="00545EC0" w:rsidRDefault="00552E05" w:rsidP="00552E05">
      <w:pPr>
        <w:pStyle w:val="Napis"/>
        <w:keepNext/>
      </w:pPr>
      <w:bookmarkStart w:id="186" w:name="_Ref84320821"/>
      <w:bookmarkStart w:id="187" w:name="_Ref84254890"/>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22</w:t>
        </w:r>
      </w:fldSimple>
      <w:bookmarkEnd w:id="186"/>
      <w:r w:rsidRPr="00545EC0">
        <w:t xml:space="preserve">: </w:t>
      </w:r>
      <w:r w:rsidRPr="00545EC0">
        <w:rPr>
          <w:szCs w:val="20"/>
          <w:lang w:eastAsia="ja-JP"/>
        </w:rPr>
        <w:t>Analiza hidromorfoloških obremenitev na dVTPV-jih, ločeno za glavni tok in pritoke</w:t>
      </w:r>
      <w:bookmarkEnd w:id="1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75"/>
        <w:gridCol w:w="2669"/>
        <w:gridCol w:w="2205"/>
        <w:gridCol w:w="1469"/>
        <w:gridCol w:w="1469"/>
      </w:tblGrid>
      <w:tr w:rsidR="003122F4" w:rsidRPr="00545EC0" w14:paraId="73A26EB2" w14:textId="77777777" w:rsidTr="00552E05">
        <w:trPr>
          <w:trHeight w:val="227"/>
          <w:tblHeader/>
        </w:trPr>
        <w:tc>
          <w:tcPr>
            <w:tcW w:w="2231" w:type="pct"/>
            <w:gridSpan w:val="2"/>
            <w:shd w:val="clear" w:color="auto" w:fill="F2F2F2" w:themeFill="background1" w:themeFillShade="F2"/>
            <w:vAlign w:val="center"/>
          </w:tcPr>
          <w:p w14:paraId="7D3FAEA2"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b/>
                <w:sz w:val="18"/>
                <w:szCs w:val="18"/>
              </w:rPr>
            </w:pPr>
            <w:r w:rsidRPr="00545EC0">
              <w:rPr>
                <w:rFonts w:cs="Arial"/>
                <w:b/>
                <w:sz w:val="18"/>
                <w:szCs w:val="18"/>
              </w:rPr>
              <w:t>Hidromorfološke obremenitve (HMO)</w:t>
            </w:r>
          </w:p>
        </w:tc>
        <w:tc>
          <w:tcPr>
            <w:tcW w:w="1187" w:type="pct"/>
            <w:shd w:val="clear" w:color="auto" w:fill="F2F2F2" w:themeFill="background1" w:themeFillShade="F2"/>
            <w:vAlign w:val="center"/>
          </w:tcPr>
          <w:p w14:paraId="0F1B7DBB"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b/>
                <w:sz w:val="18"/>
                <w:szCs w:val="18"/>
              </w:rPr>
            </w:pPr>
            <w:r w:rsidRPr="00545EC0">
              <w:rPr>
                <w:rFonts w:cs="Arial"/>
                <w:b/>
                <w:sz w:val="18"/>
                <w:szCs w:val="18"/>
              </w:rPr>
              <w:t>Vrsta HMO</w:t>
            </w:r>
          </w:p>
        </w:tc>
        <w:tc>
          <w:tcPr>
            <w:tcW w:w="791" w:type="pct"/>
            <w:shd w:val="clear" w:color="auto" w:fill="F2F2F2" w:themeFill="background1" w:themeFillShade="F2"/>
            <w:vAlign w:val="center"/>
          </w:tcPr>
          <w:p w14:paraId="2CB33298"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Arial"/>
                <w:b/>
                <w:sz w:val="18"/>
                <w:szCs w:val="18"/>
              </w:rPr>
            </w:pPr>
            <w:r w:rsidRPr="00545EC0">
              <w:rPr>
                <w:rFonts w:cs="Arial"/>
                <w:b/>
                <w:sz w:val="18"/>
                <w:szCs w:val="18"/>
              </w:rPr>
              <w:t>dVTPV – glavni tok</w:t>
            </w:r>
          </w:p>
        </w:tc>
        <w:tc>
          <w:tcPr>
            <w:tcW w:w="791" w:type="pct"/>
            <w:shd w:val="clear" w:color="auto" w:fill="F2F2F2" w:themeFill="background1" w:themeFillShade="F2"/>
            <w:vAlign w:val="center"/>
          </w:tcPr>
          <w:p w14:paraId="71A8CBE1"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Arial"/>
                <w:b/>
                <w:sz w:val="18"/>
                <w:szCs w:val="18"/>
              </w:rPr>
            </w:pPr>
            <w:r w:rsidRPr="00545EC0">
              <w:rPr>
                <w:rFonts w:cs="Arial"/>
                <w:b/>
                <w:sz w:val="18"/>
                <w:szCs w:val="18"/>
              </w:rPr>
              <w:t>dVTPV - pritoki</w:t>
            </w:r>
          </w:p>
        </w:tc>
      </w:tr>
      <w:tr w:rsidR="00A34D38" w:rsidRPr="00545EC0" w14:paraId="1295994F" w14:textId="77777777" w:rsidTr="00A34D38">
        <w:trPr>
          <w:trHeight w:val="227"/>
          <w:tblHeader/>
        </w:trPr>
        <w:tc>
          <w:tcPr>
            <w:tcW w:w="794" w:type="pct"/>
            <w:vMerge w:val="restart"/>
            <w:shd w:val="clear" w:color="auto" w:fill="FFFFFF" w:themeFill="background1"/>
            <w:vAlign w:val="center"/>
          </w:tcPr>
          <w:p w14:paraId="397D9B86"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b/>
                <w:sz w:val="18"/>
                <w:szCs w:val="18"/>
              </w:rPr>
            </w:pPr>
            <w:r w:rsidRPr="00545EC0">
              <w:rPr>
                <w:rFonts w:cs="Arial"/>
                <w:b/>
                <w:sz w:val="18"/>
                <w:szCs w:val="18"/>
              </w:rPr>
              <w:t>Hidrološke obremenitve</w:t>
            </w:r>
          </w:p>
        </w:tc>
        <w:tc>
          <w:tcPr>
            <w:tcW w:w="1437" w:type="pct"/>
            <w:vMerge w:val="restart"/>
            <w:shd w:val="clear" w:color="auto" w:fill="FFFFFF" w:themeFill="background1"/>
            <w:vAlign w:val="center"/>
          </w:tcPr>
          <w:p w14:paraId="22C43D12"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 w:val="18"/>
                <w:szCs w:val="18"/>
              </w:rPr>
            </w:pPr>
            <w:r w:rsidRPr="00545EC0">
              <w:rPr>
                <w:rFonts w:cs="Arial"/>
                <w:sz w:val="18"/>
                <w:szCs w:val="18"/>
              </w:rPr>
              <w:t>Obremenitve z neposrednim vplivom na vodni režim, to je:</w:t>
            </w:r>
          </w:p>
          <w:p w14:paraId="5D67A9C3" w14:textId="77777777" w:rsidR="00BA1338" w:rsidRPr="00545EC0" w:rsidRDefault="00BA1338" w:rsidP="00DD37C5">
            <w:pPr>
              <w:pStyle w:val="Odstavekseznama"/>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40" w:lineRule="auto"/>
              <w:ind w:left="260" w:hanging="141"/>
              <w:contextualSpacing/>
              <w:jc w:val="left"/>
              <w:textAlignment w:val="auto"/>
              <w:rPr>
                <w:rFonts w:cs="Arial"/>
                <w:sz w:val="18"/>
                <w:szCs w:val="18"/>
              </w:rPr>
            </w:pPr>
            <w:r w:rsidRPr="00545EC0">
              <w:rPr>
                <w:rFonts w:cs="Arial"/>
                <w:sz w:val="18"/>
                <w:szCs w:val="18"/>
              </w:rPr>
              <w:t>količino in dinamiko vodnega toka in</w:t>
            </w:r>
          </w:p>
          <w:p w14:paraId="6CE88FF4" w14:textId="77777777" w:rsidR="00BA1338" w:rsidRPr="00545EC0" w:rsidRDefault="00BA1338" w:rsidP="00DD37C5">
            <w:pPr>
              <w:pStyle w:val="Odstavekseznama"/>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40" w:lineRule="auto"/>
              <w:ind w:left="260" w:hanging="141"/>
              <w:contextualSpacing/>
              <w:jc w:val="left"/>
              <w:textAlignment w:val="auto"/>
              <w:rPr>
                <w:rFonts w:cs="Arial"/>
                <w:sz w:val="18"/>
                <w:szCs w:val="18"/>
              </w:rPr>
            </w:pPr>
            <w:r w:rsidRPr="00545EC0">
              <w:rPr>
                <w:rFonts w:cs="Arial"/>
                <w:sz w:val="18"/>
                <w:szCs w:val="18"/>
              </w:rPr>
              <w:t>povezavo s telesi podzemne vode.</w:t>
            </w:r>
          </w:p>
        </w:tc>
        <w:tc>
          <w:tcPr>
            <w:tcW w:w="1187" w:type="pct"/>
            <w:shd w:val="clear" w:color="auto" w:fill="FFFFFF" w:themeFill="background1"/>
            <w:vAlign w:val="center"/>
          </w:tcPr>
          <w:p w14:paraId="30E775FC" w14:textId="77777777" w:rsidR="00BA1338" w:rsidRPr="00545EC0" w:rsidRDefault="00BA1338" w:rsidP="00A34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cs="Arial"/>
                <w:sz w:val="18"/>
                <w:szCs w:val="18"/>
              </w:rPr>
            </w:pPr>
            <w:r w:rsidRPr="00545EC0">
              <w:rPr>
                <w:rFonts w:cs="Arial"/>
                <w:sz w:val="18"/>
                <w:szCs w:val="18"/>
              </w:rPr>
              <w:t>Odvzem vode</w:t>
            </w:r>
          </w:p>
        </w:tc>
        <w:tc>
          <w:tcPr>
            <w:tcW w:w="791" w:type="pct"/>
            <w:shd w:val="clear" w:color="auto" w:fill="FFFFFF" w:themeFill="background1"/>
            <w:vAlign w:val="center"/>
          </w:tcPr>
          <w:p w14:paraId="3AA5FF11"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Arial"/>
                <w:sz w:val="18"/>
                <w:szCs w:val="18"/>
              </w:rPr>
            </w:pPr>
            <w:r w:rsidRPr="00545EC0">
              <w:rPr>
                <w:rFonts w:cs="Arial"/>
                <w:sz w:val="18"/>
                <w:szCs w:val="18"/>
              </w:rPr>
              <w:t>+</w:t>
            </w:r>
          </w:p>
        </w:tc>
        <w:tc>
          <w:tcPr>
            <w:tcW w:w="791" w:type="pct"/>
            <w:shd w:val="clear" w:color="auto" w:fill="FFFFFF" w:themeFill="background1"/>
            <w:vAlign w:val="center"/>
          </w:tcPr>
          <w:p w14:paraId="0D3703B3"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Arial"/>
                <w:sz w:val="18"/>
                <w:szCs w:val="18"/>
              </w:rPr>
            </w:pPr>
            <w:r w:rsidRPr="00545EC0">
              <w:rPr>
                <w:rFonts w:cs="Arial"/>
                <w:sz w:val="18"/>
                <w:szCs w:val="18"/>
              </w:rPr>
              <w:t>+</w:t>
            </w:r>
          </w:p>
        </w:tc>
      </w:tr>
      <w:tr w:rsidR="00A34D38" w:rsidRPr="00545EC0" w14:paraId="3FE33132" w14:textId="77777777" w:rsidTr="00A34D38">
        <w:trPr>
          <w:trHeight w:val="227"/>
          <w:tblHeader/>
        </w:trPr>
        <w:tc>
          <w:tcPr>
            <w:tcW w:w="794" w:type="pct"/>
            <w:vMerge/>
            <w:shd w:val="clear" w:color="auto" w:fill="FFFFFF" w:themeFill="background1"/>
            <w:vAlign w:val="center"/>
          </w:tcPr>
          <w:p w14:paraId="102736C8"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 w:val="18"/>
                <w:szCs w:val="18"/>
              </w:rPr>
            </w:pPr>
          </w:p>
        </w:tc>
        <w:tc>
          <w:tcPr>
            <w:tcW w:w="1437" w:type="pct"/>
            <w:vMerge/>
            <w:shd w:val="clear" w:color="auto" w:fill="FFFFFF" w:themeFill="background1"/>
            <w:vAlign w:val="center"/>
          </w:tcPr>
          <w:p w14:paraId="4B6D4A48"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 w:val="18"/>
                <w:szCs w:val="18"/>
              </w:rPr>
            </w:pPr>
          </w:p>
        </w:tc>
        <w:tc>
          <w:tcPr>
            <w:tcW w:w="1187" w:type="pct"/>
            <w:shd w:val="clear" w:color="auto" w:fill="FFFFFF" w:themeFill="background1"/>
            <w:vAlign w:val="center"/>
          </w:tcPr>
          <w:p w14:paraId="3AC78BC4" w14:textId="77777777" w:rsidR="00BA1338" w:rsidRPr="00545EC0" w:rsidRDefault="00BA1338" w:rsidP="00A34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cs="Arial"/>
                <w:sz w:val="18"/>
                <w:szCs w:val="18"/>
              </w:rPr>
            </w:pPr>
            <w:r w:rsidRPr="00545EC0">
              <w:rPr>
                <w:rFonts w:cs="Arial"/>
                <w:sz w:val="18"/>
                <w:szCs w:val="18"/>
              </w:rPr>
              <w:t>Nihanje vodne gladine in pulzirajoč pretok</w:t>
            </w:r>
          </w:p>
        </w:tc>
        <w:tc>
          <w:tcPr>
            <w:tcW w:w="791" w:type="pct"/>
            <w:shd w:val="clear" w:color="auto" w:fill="FFFFFF" w:themeFill="background1"/>
            <w:vAlign w:val="center"/>
          </w:tcPr>
          <w:p w14:paraId="1449AF5A"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Arial"/>
                <w:sz w:val="18"/>
                <w:szCs w:val="18"/>
              </w:rPr>
            </w:pPr>
            <w:r w:rsidRPr="00545EC0">
              <w:rPr>
                <w:rFonts w:cs="Arial"/>
                <w:sz w:val="18"/>
                <w:szCs w:val="18"/>
              </w:rPr>
              <w:t>+</w:t>
            </w:r>
          </w:p>
        </w:tc>
        <w:tc>
          <w:tcPr>
            <w:tcW w:w="791" w:type="pct"/>
            <w:shd w:val="clear" w:color="auto" w:fill="FFFFFF" w:themeFill="background1"/>
            <w:vAlign w:val="center"/>
          </w:tcPr>
          <w:p w14:paraId="69D8DEAB"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Arial"/>
                <w:sz w:val="18"/>
                <w:szCs w:val="18"/>
              </w:rPr>
            </w:pPr>
            <w:r w:rsidRPr="00545EC0">
              <w:rPr>
                <w:rFonts w:cs="Arial"/>
                <w:sz w:val="18"/>
                <w:szCs w:val="18"/>
              </w:rPr>
              <w:t>-</w:t>
            </w:r>
          </w:p>
        </w:tc>
      </w:tr>
      <w:tr w:rsidR="00A34D38" w:rsidRPr="00545EC0" w14:paraId="2A6BAACC" w14:textId="77777777" w:rsidTr="00A34D38">
        <w:trPr>
          <w:trHeight w:val="227"/>
          <w:tblHeader/>
        </w:trPr>
        <w:tc>
          <w:tcPr>
            <w:tcW w:w="794" w:type="pct"/>
            <w:vMerge/>
            <w:shd w:val="clear" w:color="auto" w:fill="FFFFFF" w:themeFill="background1"/>
            <w:vAlign w:val="center"/>
          </w:tcPr>
          <w:p w14:paraId="09E3144C"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 w:val="18"/>
                <w:szCs w:val="18"/>
              </w:rPr>
            </w:pPr>
          </w:p>
        </w:tc>
        <w:tc>
          <w:tcPr>
            <w:tcW w:w="1437" w:type="pct"/>
            <w:vMerge/>
            <w:shd w:val="clear" w:color="auto" w:fill="FFFFFF" w:themeFill="background1"/>
            <w:vAlign w:val="center"/>
          </w:tcPr>
          <w:p w14:paraId="678E65DF"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 w:val="18"/>
                <w:szCs w:val="18"/>
              </w:rPr>
            </w:pPr>
          </w:p>
        </w:tc>
        <w:tc>
          <w:tcPr>
            <w:tcW w:w="1187" w:type="pct"/>
            <w:shd w:val="clear" w:color="auto" w:fill="FFFFFF" w:themeFill="background1"/>
            <w:vAlign w:val="center"/>
          </w:tcPr>
          <w:p w14:paraId="5CE71A0A" w14:textId="77777777" w:rsidR="00BA1338" w:rsidRPr="00545EC0" w:rsidRDefault="00BA1338" w:rsidP="00A34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cs="Arial"/>
                <w:sz w:val="18"/>
                <w:szCs w:val="18"/>
              </w:rPr>
            </w:pPr>
            <w:r w:rsidRPr="00545EC0">
              <w:rPr>
                <w:rFonts w:cs="Arial"/>
                <w:sz w:val="18"/>
                <w:szCs w:val="18"/>
              </w:rPr>
              <w:t>Zajezitev</w:t>
            </w:r>
          </w:p>
        </w:tc>
        <w:tc>
          <w:tcPr>
            <w:tcW w:w="791" w:type="pct"/>
            <w:shd w:val="clear" w:color="auto" w:fill="FFFFFF" w:themeFill="background1"/>
            <w:vAlign w:val="center"/>
          </w:tcPr>
          <w:p w14:paraId="28DEDF68"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Arial"/>
                <w:sz w:val="18"/>
                <w:szCs w:val="18"/>
              </w:rPr>
            </w:pPr>
            <w:r w:rsidRPr="00545EC0">
              <w:rPr>
                <w:rFonts w:cs="Arial"/>
                <w:sz w:val="18"/>
                <w:szCs w:val="18"/>
              </w:rPr>
              <w:t>+</w:t>
            </w:r>
          </w:p>
        </w:tc>
        <w:tc>
          <w:tcPr>
            <w:tcW w:w="791" w:type="pct"/>
            <w:shd w:val="clear" w:color="auto" w:fill="FFFFFF" w:themeFill="background1"/>
            <w:vAlign w:val="center"/>
          </w:tcPr>
          <w:p w14:paraId="092D503B"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Arial"/>
                <w:sz w:val="18"/>
                <w:szCs w:val="18"/>
              </w:rPr>
            </w:pPr>
            <w:r w:rsidRPr="00545EC0">
              <w:rPr>
                <w:rFonts w:cs="Arial"/>
                <w:sz w:val="18"/>
                <w:szCs w:val="18"/>
              </w:rPr>
              <w:t>+</w:t>
            </w:r>
          </w:p>
        </w:tc>
      </w:tr>
      <w:tr w:rsidR="00A34D38" w:rsidRPr="00545EC0" w14:paraId="55BAE9F2" w14:textId="77777777" w:rsidTr="00A34D38">
        <w:trPr>
          <w:trHeight w:val="227"/>
          <w:tblHeader/>
        </w:trPr>
        <w:tc>
          <w:tcPr>
            <w:tcW w:w="794" w:type="pct"/>
            <w:vMerge/>
            <w:shd w:val="clear" w:color="auto" w:fill="FFFFFF" w:themeFill="background1"/>
            <w:vAlign w:val="center"/>
          </w:tcPr>
          <w:p w14:paraId="7F8412E5"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 w:val="18"/>
                <w:szCs w:val="18"/>
              </w:rPr>
            </w:pPr>
          </w:p>
        </w:tc>
        <w:tc>
          <w:tcPr>
            <w:tcW w:w="1437" w:type="pct"/>
            <w:vMerge/>
            <w:shd w:val="clear" w:color="auto" w:fill="FFFFFF" w:themeFill="background1"/>
            <w:vAlign w:val="center"/>
          </w:tcPr>
          <w:p w14:paraId="08D5E3A4"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 w:val="18"/>
                <w:szCs w:val="18"/>
              </w:rPr>
            </w:pPr>
          </w:p>
        </w:tc>
        <w:tc>
          <w:tcPr>
            <w:tcW w:w="1187" w:type="pct"/>
            <w:shd w:val="clear" w:color="auto" w:fill="FFFFFF" w:themeFill="background1"/>
            <w:vAlign w:val="center"/>
          </w:tcPr>
          <w:p w14:paraId="108AB537" w14:textId="77777777" w:rsidR="00BA1338" w:rsidRPr="00545EC0" w:rsidRDefault="00BA1338" w:rsidP="00A34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cs="Arial"/>
                <w:sz w:val="18"/>
                <w:szCs w:val="18"/>
              </w:rPr>
            </w:pPr>
            <w:r w:rsidRPr="00545EC0">
              <w:rPr>
                <w:rFonts w:cs="Arial"/>
                <w:sz w:val="18"/>
                <w:szCs w:val="18"/>
              </w:rPr>
              <w:t>Osuševanje zemljišč</w:t>
            </w:r>
          </w:p>
        </w:tc>
        <w:tc>
          <w:tcPr>
            <w:tcW w:w="791" w:type="pct"/>
            <w:shd w:val="clear" w:color="auto" w:fill="FFFFFF" w:themeFill="background1"/>
            <w:vAlign w:val="center"/>
          </w:tcPr>
          <w:p w14:paraId="3456C005"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Arial"/>
                <w:sz w:val="18"/>
                <w:szCs w:val="18"/>
              </w:rPr>
            </w:pPr>
            <w:r w:rsidRPr="00545EC0">
              <w:rPr>
                <w:rFonts w:cs="Arial"/>
                <w:sz w:val="18"/>
                <w:szCs w:val="18"/>
              </w:rPr>
              <w:t>+</w:t>
            </w:r>
          </w:p>
        </w:tc>
        <w:tc>
          <w:tcPr>
            <w:tcW w:w="791" w:type="pct"/>
            <w:shd w:val="clear" w:color="auto" w:fill="FFFFFF" w:themeFill="background1"/>
            <w:vAlign w:val="center"/>
          </w:tcPr>
          <w:p w14:paraId="7F114CC4"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Arial"/>
                <w:sz w:val="18"/>
                <w:szCs w:val="18"/>
              </w:rPr>
            </w:pPr>
            <w:r w:rsidRPr="00545EC0">
              <w:rPr>
                <w:rFonts w:cs="Arial"/>
                <w:sz w:val="18"/>
                <w:szCs w:val="18"/>
              </w:rPr>
              <w:t>+</w:t>
            </w:r>
          </w:p>
        </w:tc>
      </w:tr>
      <w:tr w:rsidR="00A34D38" w:rsidRPr="00545EC0" w14:paraId="23E3D222" w14:textId="77777777" w:rsidTr="00A34D38">
        <w:trPr>
          <w:trHeight w:val="227"/>
          <w:tblHeader/>
        </w:trPr>
        <w:tc>
          <w:tcPr>
            <w:tcW w:w="794" w:type="pct"/>
            <w:vMerge w:val="restart"/>
            <w:shd w:val="clear" w:color="auto" w:fill="FFFFFF" w:themeFill="background1"/>
            <w:vAlign w:val="center"/>
          </w:tcPr>
          <w:p w14:paraId="7EADD495"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b/>
                <w:sz w:val="18"/>
                <w:szCs w:val="18"/>
              </w:rPr>
            </w:pPr>
            <w:r w:rsidRPr="00545EC0">
              <w:rPr>
                <w:rFonts w:cs="Arial"/>
                <w:b/>
                <w:sz w:val="18"/>
                <w:szCs w:val="18"/>
              </w:rPr>
              <w:t>Obremenitve zveznosti toka</w:t>
            </w:r>
          </w:p>
        </w:tc>
        <w:tc>
          <w:tcPr>
            <w:tcW w:w="1437" w:type="pct"/>
            <w:vMerge w:val="restart"/>
            <w:shd w:val="clear" w:color="auto" w:fill="FFFFFF" w:themeFill="background1"/>
            <w:vAlign w:val="center"/>
          </w:tcPr>
          <w:p w14:paraId="6DC15901" w14:textId="77777777" w:rsidR="00BA1338" w:rsidRPr="00545EC0" w:rsidRDefault="00BA1338" w:rsidP="00DD37C5">
            <w:pPr>
              <w:pStyle w:val="Odstavekseznama"/>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40" w:lineRule="auto"/>
              <w:ind w:left="260" w:hanging="218"/>
              <w:contextualSpacing/>
              <w:jc w:val="left"/>
              <w:textAlignment w:val="auto"/>
              <w:rPr>
                <w:rFonts w:cs="Arial"/>
                <w:sz w:val="18"/>
                <w:szCs w:val="18"/>
              </w:rPr>
            </w:pPr>
            <w:r w:rsidRPr="00545EC0">
              <w:rPr>
                <w:rFonts w:cs="Arial"/>
                <w:sz w:val="18"/>
                <w:szCs w:val="18"/>
              </w:rPr>
              <w:t>Obremenitve z neposrednim vplivom na migracijo vodnih organizmov in</w:t>
            </w:r>
          </w:p>
          <w:p w14:paraId="2D806563" w14:textId="77777777" w:rsidR="00BA1338" w:rsidRPr="00545EC0" w:rsidRDefault="00BA1338" w:rsidP="00DD37C5">
            <w:pPr>
              <w:pStyle w:val="Odstavekseznama"/>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40" w:lineRule="auto"/>
              <w:ind w:left="260" w:hanging="260"/>
              <w:contextualSpacing/>
              <w:jc w:val="left"/>
              <w:textAlignment w:val="auto"/>
              <w:rPr>
                <w:rFonts w:cs="Arial"/>
                <w:sz w:val="18"/>
                <w:szCs w:val="18"/>
              </w:rPr>
            </w:pPr>
            <w:r w:rsidRPr="00545EC0">
              <w:rPr>
                <w:rFonts w:cs="Arial"/>
                <w:sz w:val="18"/>
                <w:szCs w:val="18"/>
              </w:rPr>
              <w:t>premeščanje plavin.</w:t>
            </w:r>
          </w:p>
        </w:tc>
        <w:tc>
          <w:tcPr>
            <w:tcW w:w="1187" w:type="pct"/>
            <w:shd w:val="clear" w:color="auto" w:fill="FFFFFF" w:themeFill="background1"/>
            <w:vAlign w:val="center"/>
          </w:tcPr>
          <w:p w14:paraId="31BE61B4" w14:textId="77777777" w:rsidR="00BA1338" w:rsidRPr="00545EC0" w:rsidRDefault="00BA1338" w:rsidP="00A34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cs="Arial"/>
                <w:sz w:val="18"/>
                <w:szCs w:val="18"/>
              </w:rPr>
            </w:pPr>
            <w:r w:rsidRPr="00545EC0">
              <w:rPr>
                <w:rFonts w:cs="Arial"/>
                <w:sz w:val="18"/>
                <w:szCs w:val="18"/>
              </w:rPr>
              <w:t>Prečni objekt</w:t>
            </w:r>
          </w:p>
        </w:tc>
        <w:tc>
          <w:tcPr>
            <w:tcW w:w="791" w:type="pct"/>
            <w:shd w:val="clear" w:color="auto" w:fill="FFFFFF" w:themeFill="background1"/>
            <w:vAlign w:val="center"/>
          </w:tcPr>
          <w:p w14:paraId="6FB70EF4"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Arial"/>
                <w:sz w:val="18"/>
                <w:szCs w:val="18"/>
              </w:rPr>
            </w:pPr>
            <w:r w:rsidRPr="00545EC0">
              <w:rPr>
                <w:rFonts w:cs="Arial"/>
                <w:sz w:val="18"/>
                <w:szCs w:val="18"/>
              </w:rPr>
              <w:t>○</w:t>
            </w:r>
          </w:p>
        </w:tc>
        <w:tc>
          <w:tcPr>
            <w:tcW w:w="791" w:type="pct"/>
            <w:shd w:val="clear" w:color="auto" w:fill="FFFFFF" w:themeFill="background1"/>
            <w:vAlign w:val="center"/>
          </w:tcPr>
          <w:p w14:paraId="5CC59B4D"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Arial"/>
                <w:sz w:val="18"/>
                <w:szCs w:val="18"/>
              </w:rPr>
            </w:pPr>
            <w:r w:rsidRPr="00545EC0">
              <w:rPr>
                <w:rFonts w:cs="Arial"/>
                <w:sz w:val="18"/>
                <w:szCs w:val="18"/>
              </w:rPr>
              <w:t>-</w:t>
            </w:r>
          </w:p>
        </w:tc>
      </w:tr>
      <w:tr w:rsidR="00A34D38" w:rsidRPr="00545EC0" w14:paraId="4F968F53" w14:textId="77777777" w:rsidTr="00A34D38">
        <w:trPr>
          <w:trHeight w:val="227"/>
          <w:tblHeader/>
        </w:trPr>
        <w:tc>
          <w:tcPr>
            <w:tcW w:w="794" w:type="pct"/>
            <w:vMerge/>
            <w:shd w:val="clear" w:color="auto" w:fill="FFFFFF" w:themeFill="background1"/>
            <w:vAlign w:val="center"/>
          </w:tcPr>
          <w:p w14:paraId="7601312C"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 w:val="18"/>
                <w:szCs w:val="18"/>
              </w:rPr>
            </w:pPr>
          </w:p>
        </w:tc>
        <w:tc>
          <w:tcPr>
            <w:tcW w:w="1437" w:type="pct"/>
            <w:vMerge/>
            <w:shd w:val="clear" w:color="auto" w:fill="FFFFFF" w:themeFill="background1"/>
            <w:vAlign w:val="center"/>
          </w:tcPr>
          <w:p w14:paraId="26C8687C"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 w:val="18"/>
                <w:szCs w:val="18"/>
              </w:rPr>
            </w:pPr>
          </w:p>
        </w:tc>
        <w:tc>
          <w:tcPr>
            <w:tcW w:w="1187" w:type="pct"/>
            <w:shd w:val="clear" w:color="auto" w:fill="FFFFFF" w:themeFill="background1"/>
            <w:vAlign w:val="center"/>
          </w:tcPr>
          <w:p w14:paraId="715D2E7E" w14:textId="77777777" w:rsidR="00BA1338" w:rsidRPr="00545EC0" w:rsidRDefault="00BA1338" w:rsidP="00A34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cs="Arial"/>
                <w:sz w:val="18"/>
                <w:szCs w:val="18"/>
              </w:rPr>
            </w:pPr>
            <w:r w:rsidRPr="00545EC0">
              <w:rPr>
                <w:rFonts w:cs="Arial"/>
                <w:sz w:val="18"/>
                <w:szCs w:val="18"/>
              </w:rPr>
              <w:t>Vpliv prečnih objektov</w:t>
            </w:r>
          </w:p>
        </w:tc>
        <w:tc>
          <w:tcPr>
            <w:tcW w:w="791" w:type="pct"/>
            <w:shd w:val="clear" w:color="auto" w:fill="FFFFFF" w:themeFill="background1"/>
            <w:vAlign w:val="center"/>
          </w:tcPr>
          <w:p w14:paraId="1ECD82A0"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Arial"/>
                <w:sz w:val="18"/>
                <w:szCs w:val="18"/>
              </w:rPr>
            </w:pPr>
            <w:r w:rsidRPr="00545EC0">
              <w:rPr>
                <w:rFonts w:cs="Arial"/>
                <w:sz w:val="18"/>
                <w:szCs w:val="18"/>
              </w:rPr>
              <w:t>+</w:t>
            </w:r>
          </w:p>
        </w:tc>
        <w:tc>
          <w:tcPr>
            <w:tcW w:w="791" w:type="pct"/>
            <w:shd w:val="clear" w:color="auto" w:fill="FFFFFF" w:themeFill="background1"/>
            <w:vAlign w:val="center"/>
          </w:tcPr>
          <w:p w14:paraId="4D18E859"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Arial"/>
                <w:sz w:val="18"/>
                <w:szCs w:val="18"/>
              </w:rPr>
            </w:pPr>
            <w:r w:rsidRPr="00545EC0">
              <w:rPr>
                <w:rFonts w:cs="Arial"/>
                <w:sz w:val="18"/>
                <w:szCs w:val="18"/>
              </w:rPr>
              <w:t>+</w:t>
            </w:r>
          </w:p>
        </w:tc>
      </w:tr>
      <w:tr w:rsidR="00A34D38" w:rsidRPr="00545EC0" w14:paraId="4122F110" w14:textId="77777777" w:rsidTr="00A34D38">
        <w:trPr>
          <w:trHeight w:val="227"/>
          <w:tblHeader/>
        </w:trPr>
        <w:tc>
          <w:tcPr>
            <w:tcW w:w="794" w:type="pct"/>
            <w:vMerge w:val="restart"/>
            <w:shd w:val="clear" w:color="auto" w:fill="FFFFFF" w:themeFill="background1"/>
            <w:vAlign w:val="center"/>
          </w:tcPr>
          <w:p w14:paraId="5E0539B1"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b/>
                <w:sz w:val="18"/>
                <w:szCs w:val="18"/>
              </w:rPr>
            </w:pPr>
            <w:r w:rsidRPr="00545EC0">
              <w:rPr>
                <w:rFonts w:cs="Arial"/>
                <w:b/>
                <w:sz w:val="18"/>
                <w:szCs w:val="18"/>
              </w:rPr>
              <w:t>Morfološke obremenitve</w:t>
            </w:r>
          </w:p>
        </w:tc>
        <w:tc>
          <w:tcPr>
            <w:tcW w:w="1437" w:type="pct"/>
            <w:vMerge w:val="restart"/>
            <w:shd w:val="clear" w:color="auto" w:fill="FFFFFF" w:themeFill="background1"/>
            <w:vAlign w:val="center"/>
          </w:tcPr>
          <w:p w14:paraId="098333A4"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 w:val="18"/>
                <w:szCs w:val="18"/>
              </w:rPr>
            </w:pPr>
            <w:r w:rsidRPr="00545EC0">
              <w:rPr>
                <w:rFonts w:cs="Arial"/>
                <w:sz w:val="18"/>
                <w:szCs w:val="18"/>
              </w:rPr>
              <w:t>Obremenitve z neposrednim vplivom na:</w:t>
            </w:r>
          </w:p>
          <w:p w14:paraId="0960C31E" w14:textId="77777777" w:rsidR="00BA1338" w:rsidRPr="00545EC0" w:rsidRDefault="00BA1338" w:rsidP="00DD37C5">
            <w:pPr>
              <w:pStyle w:val="Odstavekseznama"/>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40" w:lineRule="auto"/>
              <w:ind w:left="260" w:hanging="141"/>
              <w:contextualSpacing/>
              <w:jc w:val="left"/>
              <w:textAlignment w:val="auto"/>
              <w:rPr>
                <w:rFonts w:cs="Arial"/>
                <w:sz w:val="18"/>
                <w:szCs w:val="18"/>
              </w:rPr>
            </w:pPr>
            <w:r w:rsidRPr="00545EC0">
              <w:rPr>
                <w:rFonts w:cs="Arial"/>
                <w:sz w:val="18"/>
                <w:szCs w:val="18"/>
              </w:rPr>
              <w:t xml:space="preserve">spreminjanje širine in globine struge, </w:t>
            </w:r>
          </w:p>
          <w:p w14:paraId="602A13A3" w14:textId="77777777" w:rsidR="00BA1338" w:rsidRPr="00545EC0" w:rsidRDefault="00BA1338" w:rsidP="00DD37C5">
            <w:pPr>
              <w:pStyle w:val="Odstavekseznama"/>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40" w:lineRule="auto"/>
              <w:ind w:left="260" w:hanging="141"/>
              <w:contextualSpacing/>
              <w:jc w:val="left"/>
              <w:textAlignment w:val="auto"/>
              <w:rPr>
                <w:rFonts w:cs="Arial"/>
                <w:sz w:val="18"/>
                <w:szCs w:val="18"/>
              </w:rPr>
            </w:pPr>
            <w:r w:rsidRPr="00545EC0">
              <w:rPr>
                <w:rFonts w:cs="Arial"/>
                <w:sz w:val="18"/>
                <w:szCs w:val="18"/>
              </w:rPr>
              <w:t xml:space="preserve">strukturo struge in substrata, </w:t>
            </w:r>
          </w:p>
          <w:p w14:paraId="494047D4" w14:textId="77777777" w:rsidR="00BA1338" w:rsidRPr="00545EC0" w:rsidRDefault="00BA1338" w:rsidP="00DD37C5">
            <w:pPr>
              <w:pStyle w:val="Odstavekseznama"/>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40" w:lineRule="auto"/>
              <w:ind w:left="260" w:hanging="141"/>
              <w:contextualSpacing/>
              <w:jc w:val="left"/>
              <w:textAlignment w:val="auto"/>
              <w:rPr>
                <w:rFonts w:cs="Arial"/>
                <w:sz w:val="18"/>
                <w:szCs w:val="18"/>
              </w:rPr>
            </w:pPr>
            <w:r w:rsidRPr="00545EC0">
              <w:rPr>
                <w:rFonts w:cs="Arial"/>
                <w:sz w:val="18"/>
                <w:szCs w:val="18"/>
              </w:rPr>
              <w:t>strukturo obrežnega pasu.</w:t>
            </w:r>
          </w:p>
        </w:tc>
        <w:tc>
          <w:tcPr>
            <w:tcW w:w="1187" w:type="pct"/>
            <w:shd w:val="clear" w:color="auto" w:fill="FFFFFF" w:themeFill="background1"/>
            <w:vAlign w:val="center"/>
          </w:tcPr>
          <w:p w14:paraId="42107445" w14:textId="77777777" w:rsidR="00BA1338" w:rsidRPr="00545EC0" w:rsidRDefault="00BA1338" w:rsidP="00A34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cs="Arial"/>
                <w:sz w:val="18"/>
                <w:szCs w:val="18"/>
              </w:rPr>
            </w:pPr>
            <w:r w:rsidRPr="00545EC0">
              <w:rPr>
                <w:rFonts w:cs="Arial"/>
                <w:sz w:val="18"/>
                <w:szCs w:val="18"/>
              </w:rPr>
              <w:t>Odvzem naplavin</w:t>
            </w:r>
          </w:p>
        </w:tc>
        <w:tc>
          <w:tcPr>
            <w:tcW w:w="791" w:type="pct"/>
            <w:shd w:val="clear" w:color="auto" w:fill="FFFFFF" w:themeFill="background1"/>
            <w:vAlign w:val="center"/>
          </w:tcPr>
          <w:p w14:paraId="0C495642"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Arial"/>
                <w:sz w:val="18"/>
                <w:szCs w:val="18"/>
              </w:rPr>
            </w:pPr>
            <w:r w:rsidRPr="00545EC0">
              <w:rPr>
                <w:rFonts w:cs="Arial"/>
                <w:sz w:val="18"/>
                <w:szCs w:val="18"/>
              </w:rPr>
              <w:t>+</w:t>
            </w:r>
          </w:p>
        </w:tc>
        <w:tc>
          <w:tcPr>
            <w:tcW w:w="791" w:type="pct"/>
            <w:shd w:val="clear" w:color="auto" w:fill="FFFFFF" w:themeFill="background1"/>
            <w:vAlign w:val="center"/>
          </w:tcPr>
          <w:p w14:paraId="747ED79F"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Arial"/>
                <w:sz w:val="18"/>
                <w:szCs w:val="18"/>
              </w:rPr>
            </w:pPr>
            <w:r w:rsidRPr="00545EC0">
              <w:rPr>
                <w:rFonts w:cs="Arial"/>
                <w:sz w:val="18"/>
                <w:szCs w:val="18"/>
              </w:rPr>
              <w:t>+</w:t>
            </w:r>
          </w:p>
        </w:tc>
      </w:tr>
      <w:tr w:rsidR="00A34D38" w:rsidRPr="00545EC0" w14:paraId="11A9BF7E" w14:textId="77777777" w:rsidTr="00A34D38">
        <w:trPr>
          <w:trHeight w:val="227"/>
          <w:tblHeader/>
        </w:trPr>
        <w:tc>
          <w:tcPr>
            <w:tcW w:w="794" w:type="pct"/>
            <w:vMerge/>
            <w:shd w:val="clear" w:color="auto" w:fill="FFFFFF" w:themeFill="background1"/>
            <w:vAlign w:val="center"/>
          </w:tcPr>
          <w:p w14:paraId="7486C7DA"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 w:val="18"/>
                <w:szCs w:val="18"/>
              </w:rPr>
            </w:pPr>
          </w:p>
        </w:tc>
        <w:tc>
          <w:tcPr>
            <w:tcW w:w="1437" w:type="pct"/>
            <w:vMerge/>
            <w:shd w:val="clear" w:color="auto" w:fill="FFFFFF" w:themeFill="background1"/>
            <w:vAlign w:val="center"/>
          </w:tcPr>
          <w:p w14:paraId="71ADFC9D"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 w:val="18"/>
                <w:szCs w:val="18"/>
              </w:rPr>
            </w:pPr>
          </w:p>
        </w:tc>
        <w:tc>
          <w:tcPr>
            <w:tcW w:w="1187" w:type="pct"/>
            <w:shd w:val="clear" w:color="auto" w:fill="FFFFFF" w:themeFill="background1"/>
            <w:vAlign w:val="center"/>
          </w:tcPr>
          <w:p w14:paraId="3AC10DFE" w14:textId="77777777" w:rsidR="00BA1338" w:rsidRPr="00545EC0" w:rsidRDefault="00BA1338" w:rsidP="00A34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cs="Arial"/>
                <w:sz w:val="18"/>
                <w:szCs w:val="18"/>
              </w:rPr>
            </w:pPr>
            <w:r w:rsidRPr="00545EC0">
              <w:rPr>
                <w:rFonts w:cs="Arial"/>
                <w:sz w:val="18"/>
                <w:szCs w:val="18"/>
              </w:rPr>
              <w:t>HM spremenjenost vodotokov (regulacije in ureditve)</w:t>
            </w:r>
          </w:p>
        </w:tc>
        <w:tc>
          <w:tcPr>
            <w:tcW w:w="791" w:type="pct"/>
            <w:shd w:val="clear" w:color="auto" w:fill="FFFFFF" w:themeFill="background1"/>
            <w:vAlign w:val="center"/>
          </w:tcPr>
          <w:p w14:paraId="1B42A5F6"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Arial"/>
                <w:sz w:val="18"/>
                <w:szCs w:val="18"/>
              </w:rPr>
            </w:pPr>
            <w:r w:rsidRPr="00545EC0">
              <w:rPr>
                <w:rFonts w:cs="Arial"/>
                <w:sz w:val="18"/>
                <w:szCs w:val="18"/>
              </w:rPr>
              <w:t>+</w:t>
            </w:r>
          </w:p>
        </w:tc>
        <w:tc>
          <w:tcPr>
            <w:tcW w:w="791" w:type="pct"/>
            <w:shd w:val="clear" w:color="auto" w:fill="FFFFFF" w:themeFill="background1"/>
            <w:vAlign w:val="center"/>
          </w:tcPr>
          <w:p w14:paraId="66E59C4A"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Arial"/>
                <w:sz w:val="18"/>
                <w:szCs w:val="18"/>
              </w:rPr>
            </w:pPr>
            <w:r w:rsidRPr="00545EC0">
              <w:rPr>
                <w:rFonts w:cs="Arial"/>
                <w:sz w:val="18"/>
                <w:szCs w:val="18"/>
              </w:rPr>
              <w:t>+</w:t>
            </w:r>
          </w:p>
        </w:tc>
      </w:tr>
      <w:tr w:rsidR="00A34D38" w:rsidRPr="00545EC0" w14:paraId="2272EDFB" w14:textId="77777777" w:rsidTr="00A34D38">
        <w:trPr>
          <w:trHeight w:val="227"/>
          <w:tblHeader/>
        </w:trPr>
        <w:tc>
          <w:tcPr>
            <w:tcW w:w="794" w:type="pct"/>
            <w:vMerge/>
            <w:shd w:val="clear" w:color="auto" w:fill="FFFFFF" w:themeFill="background1"/>
            <w:vAlign w:val="center"/>
          </w:tcPr>
          <w:p w14:paraId="3823FADF"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 w:val="18"/>
                <w:szCs w:val="18"/>
              </w:rPr>
            </w:pPr>
          </w:p>
        </w:tc>
        <w:tc>
          <w:tcPr>
            <w:tcW w:w="1437" w:type="pct"/>
            <w:vMerge/>
            <w:shd w:val="clear" w:color="auto" w:fill="FFFFFF" w:themeFill="background1"/>
            <w:vAlign w:val="center"/>
          </w:tcPr>
          <w:p w14:paraId="575C1C65"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 w:val="18"/>
                <w:szCs w:val="18"/>
              </w:rPr>
            </w:pPr>
          </w:p>
        </w:tc>
        <w:tc>
          <w:tcPr>
            <w:tcW w:w="1187" w:type="pct"/>
            <w:shd w:val="clear" w:color="auto" w:fill="FFFFFF" w:themeFill="background1"/>
            <w:vAlign w:val="center"/>
          </w:tcPr>
          <w:p w14:paraId="03BA314D" w14:textId="77777777" w:rsidR="00BA1338" w:rsidRPr="00545EC0" w:rsidRDefault="00BA1338" w:rsidP="00A34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cs="Arial"/>
                <w:sz w:val="18"/>
                <w:szCs w:val="18"/>
              </w:rPr>
            </w:pPr>
            <w:r w:rsidRPr="00545EC0">
              <w:rPr>
                <w:rFonts w:cs="Arial"/>
                <w:sz w:val="18"/>
                <w:szCs w:val="18"/>
              </w:rPr>
              <w:t>HM spremenjenost jezer in zadrževalnikov (regulacije in ureditve)</w:t>
            </w:r>
          </w:p>
        </w:tc>
        <w:tc>
          <w:tcPr>
            <w:tcW w:w="791" w:type="pct"/>
            <w:shd w:val="clear" w:color="auto" w:fill="FFFFFF" w:themeFill="background1"/>
            <w:vAlign w:val="center"/>
          </w:tcPr>
          <w:p w14:paraId="19020BF3"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Arial"/>
                <w:sz w:val="18"/>
                <w:szCs w:val="18"/>
              </w:rPr>
            </w:pPr>
            <w:r w:rsidRPr="00545EC0">
              <w:rPr>
                <w:rFonts w:cs="Arial"/>
                <w:sz w:val="18"/>
                <w:szCs w:val="18"/>
              </w:rPr>
              <w:t>+</w:t>
            </w:r>
          </w:p>
        </w:tc>
        <w:tc>
          <w:tcPr>
            <w:tcW w:w="791" w:type="pct"/>
            <w:shd w:val="clear" w:color="auto" w:fill="FFFFFF" w:themeFill="background1"/>
            <w:vAlign w:val="center"/>
          </w:tcPr>
          <w:p w14:paraId="7E912CDC"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Arial"/>
                <w:sz w:val="18"/>
                <w:szCs w:val="18"/>
              </w:rPr>
            </w:pPr>
            <w:r w:rsidRPr="00545EC0">
              <w:rPr>
                <w:rFonts w:cs="Arial"/>
                <w:sz w:val="18"/>
                <w:szCs w:val="18"/>
              </w:rPr>
              <w:t>○</w:t>
            </w:r>
          </w:p>
        </w:tc>
      </w:tr>
      <w:tr w:rsidR="00A34D38" w:rsidRPr="00545EC0" w14:paraId="1FC795B0" w14:textId="77777777" w:rsidTr="00A34D38">
        <w:trPr>
          <w:trHeight w:val="227"/>
          <w:tblHeader/>
        </w:trPr>
        <w:tc>
          <w:tcPr>
            <w:tcW w:w="794" w:type="pct"/>
            <w:vMerge/>
            <w:shd w:val="clear" w:color="auto" w:fill="FFFFFF" w:themeFill="background1"/>
            <w:vAlign w:val="center"/>
          </w:tcPr>
          <w:p w14:paraId="2E208BFA"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 w:val="18"/>
                <w:szCs w:val="18"/>
              </w:rPr>
            </w:pPr>
          </w:p>
        </w:tc>
        <w:tc>
          <w:tcPr>
            <w:tcW w:w="1437" w:type="pct"/>
            <w:vMerge/>
            <w:shd w:val="clear" w:color="auto" w:fill="FFFFFF" w:themeFill="background1"/>
            <w:vAlign w:val="center"/>
          </w:tcPr>
          <w:p w14:paraId="31A6CED6"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 w:val="18"/>
                <w:szCs w:val="18"/>
              </w:rPr>
            </w:pPr>
          </w:p>
        </w:tc>
        <w:tc>
          <w:tcPr>
            <w:tcW w:w="1187" w:type="pct"/>
            <w:shd w:val="clear" w:color="auto" w:fill="FFFFFF" w:themeFill="background1"/>
            <w:vAlign w:val="center"/>
          </w:tcPr>
          <w:p w14:paraId="6759B97D" w14:textId="77777777" w:rsidR="00BA1338" w:rsidRPr="00545EC0" w:rsidRDefault="00BA1338" w:rsidP="00A34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cs="Arial"/>
                <w:sz w:val="18"/>
                <w:szCs w:val="18"/>
              </w:rPr>
            </w:pPr>
            <w:r w:rsidRPr="00545EC0">
              <w:rPr>
                <w:rFonts w:cs="Arial"/>
                <w:sz w:val="18"/>
                <w:szCs w:val="18"/>
              </w:rPr>
              <w:t>Raba obrežnega pasu</w:t>
            </w:r>
          </w:p>
        </w:tc>
        <w:tc>
          <w:tcPr>
            <w:tcW w:w="791" w:type="pct"/>
            <w:shd w:val="clear" w:color="auto" w:fill="FFFFFF" w:themeFill="background1"/>
            <w:vAlign w:val="center"/>
          </w:tcPr>
          <w:p w14:paraId="782DD0C4"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Arial"/>
                <w:sz w:val="18"/>
                <w:szCs w:val="18"/>
              </w:rPr>
            </w:pPr>
            <w:r w:rsidRPr="00545EC0">
              <w:rPr>
                <w:rFonts w:cs="Arial"/>
                <w:sz w:val="18"/>
                <w:szCs w:val="18"/>
              </w:rPr>
              <w:t>+</w:t>
            </w:r>
          </w:p>
        </w:tc>
        <w:tc>
          <w:tcPr>
            <w:tcW w:w="791" w:type="pct"/>
            <w:shd w:val="clear" w:color="auto" w:fill="FFFFFF" w:themeFill="background1"/>
            <w:vAlign w:val="center"/>
          </w:tcPr>
          <w:p w14:paraId="10AEDFAC"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Arial"/>
                <w:sz w:val="18"/>
                <w:szCs w:val="18"/>
              </w:rPr>
            </w:pPr>
            <w:r w:rsidRPr="00545EC0">
              <w:rPr>
                <w:rFonts w:cs="Arial"/>
                <w:sz w:val="18"/>
                <w:szCs w:val="18"/>
              </w:rPr>
              <w:t>+</w:t>
            </w:r>
          </w:p>
        </w:tc>
      </w:tr>
      <w:tr w:rsidR="00A34D38" w:rsidRPr="00545EC0" w14:paraId="7863CF3D" w14:textId="77777777" w:rsidTr="00A34D38">
        <w:trPr>
          <w:trHeight w:val="227"/>
          <w:tblHeader/>
        </w:trPr>
        <w:tc>
          <w:tcPr>
            <w:tcW w:w="794" w:type="pct"/>
            <w:vMerge/>
            <w:shd w:val="clear" w:color="auto" w:fill="FFFFFF" w:themeFill="background1"/>
            <w:vAlign w:val="center"/>
          </w:tcPr>
          <w:p w14:paraId="46C6505D"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 w:val="18"/>
                <w:szCs w:val="18"/>
              </w:rPr>
            </w:pPr>
          </w:p>
        </w:tc>
        <w:tc>
          <w:tcPr>
            <w:tcW w:w="1437" w:type="pct"/>
            <w:vMerge/>
            <w:shd w:val="clear" w:color="auto" w:fill="FFFFFF" w:themeFill="background1"/>
            <w:vAlign w:val="center"/>
          </w:tcPr>
          <w:p w14:paraId="4105C7F1"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 w:val="18"/>
                <w:szCs w:val="18"/>
              </w:rPr>
            </w:pPr>
          </w:p>
        </w:tc>
        <w:tc>
          <w:tcPr>
            <w:tcW w:w="1187" w:type="pct"/>
            <w:shd w:val="clear" w:color="auto" w:fill="FFFFFF" w:themeFill="background1"/>
            <w:vAlign w:val="center"/>
          </w:tcPr>
          <w:p w14:paraId="15D43F52" w14:textId="77777777" w:rsidR="00BA1338" w:rsidRPr="00545EC0" w:rsidRDefault="00BA1338" w:rsidP="00A34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cs="Arial"/>
                <w:sz w:val="18"/>
                <w:szCs w:val="18"/>
              </w:rPr>
            </w:pPr>
            <w:r w:rsidRPr="00545EC0">
              <w:rPr>
                <w:rFonts w:cs="Arial"/>
                <w:sz w:val="18"/>
                <w:szCs w:val="18"/>
              </w:rPr>
              <w:t>Plovba</w:t>
            </w:r>
          </w:p>
        </w:tc>
        <w:tc>
          <w:tcPr>
            <w:tcW w:w="791" w:type="pct"/>
            <w:shd w:val="clear" w:color="auto" w:fill="FFFFFF" w:themeFill="background1"/>
            <w:vAlign w:val="center"/>
          </w:tcPr>
          <w:p w14:paraId="0A8DED4E"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Arial"/>
                <w:sz w:val="18"/>
                <w:szCs w:val="18"/>
              </w:rPr>
            </w:pPr>
            <w:r w:rsidRPr="00545EC0">
              <w:rPr>
                <w:rFonts w:cs="Arial"/>
                <w:sz w:val="18"/>
                <w:szCs w:val="18"/>
              </w:rPr>
              <w:t>+</w:t>
            </w:r>
          </w:p>
        </w:tc>
        <w:tc>
          <w:tcPr>
            <w:tcW w:w="791" w:type="pct"/>
            <w:shd w:val="clear" w:color="auto" w:fill="FFFFFF" w:themeFill="background1"/>
            <w:vAlign w:val="center"/>
          </w:tcPr>
          <w:p w14:paraId="01D58BE0" w14:textId="77777777" w:rsidR="00BA1338" w:rsidRPr="00545EC0" w:rsidRDefault="00BA1338" w:rsidP="004F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Arial"/>
                <w:sz w:val="18"/>
                <w:szCs w:val="18"/>
              </w:rPr>
            </w:pPr>
            <w:r w:rsidRPr="00545EC0">
              <w:rPr>
                <w:rFonts w:cs="Arial"/>
                <w:sz w:val="18"/>
                <w:szCs w:val="18"/>
              </w:rPr>
              <w:t>-</w:t>
            </w:r>
          </w:p>
        </w:tc>
      </w:tr>
    </w:tbl>
    <w:p w14:paraId="5F363B58"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i/>
          <w:sz w:val="18"/>
          <w:szCs w:val="18"/>
          <w:lang w:eastAsia="ja-JP"/>
        </w:rPr>
      </w:pPr>
      <w:r w:rsidRPr="00545EC0">
        <w:rPr>
          <w:rFonts w:cs="Arial"/>
          <w:i/>
          <w:sz w:val="18"/>
          <w:szCs w:val="18"/>
          <w:lang w:eastAsia="ja-JP"/>
        </w:rPr>
        <w:t xml:space="preserve">Legenda: </w:t>
      </w:r>
    </w:p>
    <w:p w14:paraId="3E8F961B"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i/>
          <w:sz w:val="18"/>
          <w:szCs w:val="18"/>
          <w:lang w:eastAsia="ja-JP"/>
        </w:rPr>
      </w:pPr>
      <w:r w:rsidRPr="00545EC0">
        <w:rPr>
          <w:rFonts w:cs="Arial"/>
          <w:i/>
          <w:sz w:val="18"/>
          <w:szCs w:val="18"/>
          <w:lang w:eastAsia="ja-JP"/>
        </w:rPr>
        <w:t>+ analiza izvedena v celoti</w:t>
      </w:r>
    </w:p>
    <w:p w14:paraId="257E5C4E"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i/>
          <w:sz w:val="18"/>
          <w:szCs w:val="18"/>
          <w:lang w:eastAsia="ja-JP"/>
        </w:rPr>
      </w:pPr>
      <w:r w:rsidRPr="00545EC0">
        <w:rPr>
          <w:rFonts w:cs="Arial"/>
          <w:i/>
          <w:sz w:val="18"/>
          <w:szCs w:val="18"/>
          <w:lang w:eastAsia="ja-JP"/>
        </w:rPr>
        <w:t>○ delno izvedena analiza (glede na razpoložljivost podatkov)</w:t>
      </w:r>
    </w:p>
    <w:p w14:paraId="7BA7F5A6"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i/>
          <w:sz w:val="18"/>
          <w:szCs w:val="18"/>
          <w:lang w:eastAsia="ja-JP"/>
        </w:rPr>
      </w:pPr>
      <w:r w:rsidRPr="00545EC0">
        <w:rPr>
          <w:rFonts w:cs="Arial"/>
          <w:i/>
          <w:sz w:val="18"/>
          <w:szCs w:val="18"/>
          <w:lang w:eastAsia="ja-JP"/>
        </w:rPr>
        <w:t>- analiza ni bila izvedena (pomanjkljivi podatki ali podatki ne obstajajo)</w:t>
      </w:r>
    </w:p>
    <w:p w14:paraId="7587CEEC"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i/>
          <w:lang w:eastAsia="ja-JP"/>
        </w:rPr>
      </w:pPr>
    </w:p>
    <w:p w14:paraId="64CBE101" w14:textId="0A2AD0F8"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0"/>
          <w:lang w:eastAsia="ja-JP"/>
        </w:rPr>
      </w:pPr>
      <w:r w:rsidRPr="00545EC0">
        <w:rPr>
          <w:rFonts w:cs="Arial"/>
          <w:szCs w:val="20"/>
          <w:lang w:eastAsia="ja-JP"/>
        </w:rPr>
        <w:lastRenderedPageBreak/>
        <w:t>Analiza obremenitev je v primerjavi s predhodno analizo, ki je del predhodnega načrta upravljanja voda, izvedena ob upoštevanju novih znanj in podatkov ter na podrobnejših enotah (dVTPV), zato neposredna p</w:t>
      </w:r>
      <w:r w:rsidR="000B7BF8" w:rsidRPr="00545EC0">
        <w:rPr>
          <w:rFonts w:cs="Arial"/>
          <w:szCs w:val="20"/>
          <w:lang w:eastAsia="ja-JP"/>
        </w:rPr>
        <w:t xml:space="preserve">rimerjava rezultatov ni možna. </w:t>
      </w:r>
    </w:p>
    <w:p w14:paraId="6703AE48" w14:textId="1711F052" w:rsidR="00BA1338" w:rsidRPr="00545EC0" w:rsidRDefault="00BA1338" w:rsidP="00A90F9B">
      <w:pPr>
        <w:pStyle w:val="Naslov4"/>
        <w:rPr>
          <w:color w:val="auto"/>
          <w:lang w:val="sl-SI"/>
        </w:rPr>
      </w:pPr>
      <w:r w:rsidRPr="00545EC0">
        <w:rPr>
          <w:color w:val="auto"/>
          <w:lang w:val="sl-SI"/>
        </w:rPr>
        <w:t xml:space="preserve">Prikaz hidroloških obremenitev vodnih teles površinskih voda – vodotoki </w:t>
      </w:r>
    </w:p>
    <w:p w14:paraId="1341F306" w14:textId="142A1080" w:rsidR="00BA1338" w:rsidRPr="00545EC0" w:rsidRDefault="00BA1338" w:rsidP="00BA1338">
      <w:pPr>
        <w:spacing w:before="240" w:after="240"/>
        <w:rPr>
          <w:rFonts w:cs="Arial"/>
          <w:szCs w:val="20"/>
          <w:lang w:eastAsia="ja-JP"/>
        </w:rPr>
      </w:pPr>
      <w:r w:rsidRPr="00545EC0">
        <w:rPr>
          <w:rFonts w:cs="Arial"/>
          <w:szCs w:val="20"/>
          <w:lang w:eastAsia="ja-JP"/>
        </w:rPr>
        <w:t xml:space="preserve">V okviru hidroloških obremenitev vodotokov so obravnavani odvzemi vode, nihanje vodne gladine in pulzirajoči pretoki zaradi obratovanja hidroelektrarn, zajezitve in osuševanje zemljišč.. </w:t>
      </w:r>
    </w:p>
    <w:p w14:paraId="6414F21D" w14:textId="77777777" w:rsidR="00BA1338" w:rsidRPr="00545EC0" w:rsidRDefault="00BA1338" w:rsidP="00BA1338">
      <w:pPr>
        <w:spacing w:before="240" w:after="240"/>
        <w:rPr>
          <w:rFonts w:cs="Arial"/>
          <w:b/>
        </w:rPr>
      </w:pPr>
      <w:r w:rsidRPr="00545EC0">
        <w:rPr>
          <w:rFonts w:cs="Arial"/>
          <w:b/>
        </w:rPr>
        <w:t xml:space="preserve">Hidrološke obremenitve – odvzemi vode </w:t>
      </w:r>
    </w:p>
    <w:p w14:paraId="12992093" w14:textId="30904711"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0"/>
          <w:lang w:eastAsia="ja-JP"/>
        </w:rPr>
      </w:pPr>
      <w:r w:rsidRPr="00545EC0">
        <w:rPr>
          <w:rFonts w:cs="Arial"/>
          <w:szCs w:val="20"/>
          <w:lang w:eastAsia="ja-JP"/>
        </w:rPr>
        <w:t>Analiza odvzemov vode je izvedena glede na podatke o odvzemih vode, ki so zbrani v Vodni knjigi (DRSV, 2019 in 2020). Obravnavani so povratni odvzemi vode za proizvodnjo električne energije v malih hidroelektrarnah (v nadaljnjem besedilu: mHE) in hidroelektrarnah (v nadaljnjem besedilu: HE), pogone mlinov in žag, gojenje vodnih organizmov in izvajanje športnega ribolova v komercialnih ribnikih. V analizo so vključeni tudi odvzemi vode na izvirih, ki presegajo ekspertno določen količinski kriterij Q &gt; 0,001 m3 (1 l/s). Za posamezne povratne odvzeme</w:t>
      </w:r>
      <w:r w:rsidR="00303E4E" w:rsidRPr="00545EC0">
        <w:rPr>
          <w:rFonts w:cs="Arial"/>
          <w:szCs w:val="20"/>
          <w:lang w:eastAsia="ja-JP"/>
        </w:rPr>
        <w:t xml:space="preserve"> vode</w:t>
      </w:r>
      <w:r w:rsidRPr="00545EC0">
        <w:rPr>
          <w:rFonts w:cs="Arial"/>
          <w:szCs w:val="20"/>
          <w:lang w:eastAsia="ja-JP"/>
        </w:rPr>
        <w:t xml:space="preserve"> so na podlagi točk odvzemov in izpustov vode določeni odseki vodotokov, ki so pod vplivom odvzema vode. Na VO Donave sta glavna povzročitelja obremenitve zaradi odvzemov vode proizvodnja električne energije v malih hidroelektrarnah in ribogojstvo.</w:t>
      </w:r>
    </w:p>
    <w:p w14:paraId="1783594F"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0"/>
          <w:lang w:eastAsia="ja-JP"/>
        </w:rPr>
      </w:pPr>
    </w:p>
    <w:p w14:paraId="2505DE21" w14:textId="0FC205C9"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0"/>
          <w:lang w:eastAsia="ja-JP"/>
        </w:rPr>
      </w:pPr>
      <w:r w:rsidRPr="00545EC0">
        <w:rPr>
          <w:rFonts w:cs="Arial"/>
          <w:szCs w:val="20"/>
          <w:lang w:eastAsia="ja-JP"/>
        </w:rPr>
        <w:t>Na sliki v nadaljevanju (</w:t>
      </w:r>
      <w:r w:rsidR="0086496E" w:rsidRPr="00545EC0">
        <w:rPr>
          <w:rFonts w:cs="Arial"/>
          <w:szCs w:val="20"/>
          <w:lang w:eastAsia="ja-JP"/>
        </w:rPr>
        <w:fldChar w:fldCharType="begin"/>
      </w:r>
      <w:r w:rsidR="0086496E" w:rsidRPr="00545EC0">
        <w:rPr>
          <w:rFonts w:cs="Arial"/>
          <w:szCs w:val="20"/>
          <w:lang w:eastAsia="ja-JP"/>
        </w:rPr>
        <w:instrText xml:space="preserve"> REF _Ref84330497 \h </w:instrText>
      </w:r>
      <w:r w:rsidR="00F37A91" w:rsidRPr="00545EC0">
        <w:rPr>
          <w:rFonts w:cs="Arial"/>
          <w:szCs w:val="20"/>
          <w:lang w:eastAsia="ja-JP"/>
        </w:rPr>
        <w:instrText xml:space="preserve"> \* MERGEFORMAT </w:instrText>
      </w:r>
      <w:r w:rsidR="0086496E" w:rsidRPr="00545EC0">
        <w:rPr>
          <w:rFonts w:cs="Arial"/>
          <w:szCs w:val="20"/>
          <w:lang w:eastAsia="ja-JP"/>
        </w:rPr>
      </w:r>
      <w:r w:rsidR="0086496E" w:rsidRPr="00545EC0">
        <w:rPr>
          <w:rFonts w:cs="Arial"/>
          <w:szCs w:val="20"/>
          <w:lang w:eastAsia="ja-JP"/>
        </w:rPr>
        <w:fldChar w:fldCharType="separate"/>
      </w:r>
      <w:r w:rsidR="002F3E43" w:rsidRPr="00545EC0">
        <w:rPr>
          <w:szCs w:val="20"/>
        </w:rPr>
        <w:t xml:space="preserve">Slika </w:t>
      </w:r>
      <w:r w:rsidR="002F3E43">
        <w:rPr>
          <w:noProof/>
          <w:szCs w:val="20"/>
        </w:rPr>
        <w:t>2</w:t>
      </w:r>
      <w:r w:rsidR="002F3E43" w:rsidRPr="00545EC0">
        <w:rPr>
          <w:noProof/>
          <w:szCs w:val="20"/>
        </w:rPr>
        <w:noBreakHyphen/>
      </w:r>
      <w:r w:rsidR="002F3E43">
        <w:rPr>
          <w:noProof/>
          <w:szCs w:val="20"/>
        </w:rPr>
        <w:t>11</w:t>
      </w:r>
      <w:r w:rsidR="0086496E" w:rsidRPr="00545EC0">
        <w:rPr>
          <w:rFonts w:cs="Arial"/>
          <w:szCs w:val="20"/>
          <w:lang w:eastAsia="ja-JP"/>
        </w:rPr>
        <w:fldChar w:fldCharType="end"/>
      </w:r>
      <w:r w:rsidRPr="00545EC0">
        <w:rPr>
          <w:rFonts w:cs="Arial"/>
          <w:szCs w:val="20"/>
          <w:lang w:eastAsia="ja-JP"/>
        </w:rPr>
        <w:t xml:space="preserve">) je prikazan delež posamezne rabe vode na odsekih, ki so pod vplivom odvzemov vode. Najbolj raznolika raba vode je na porečjih Zgornje Save in Drave, medtem ko so na porečju Mure prisotni le posamezni odvzemi za male hidroelektrarne in komercialne ribnike. </w:t>
      </w:r>
    </w:p>
    <w:p w14:paraId="6D2754D4"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p>
    <w:p w14:paraId="160FB490" w14:textId="77777777" w:rsidR="0086496E" w:rsidRPr="00545EC0" w:rsidRDefault="00BA1338" w:rsidP="0086496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 w:rsidRPr="00545EC0">
        <w:rPr>
          <w:rFonts w:cs="Arial"/>
          <w:noProof/>
        </w:rPr>
        <w:drawing>
          <wp:inline distT="0" distB="0" distL="0" distR="0" wp14:anchorId="375F6FAF" wp14:editId="3638C3DD">
            <wp:extent cx="5681081" cy="3459193"/>
            <wp:effectExtent l="0" t="0" r="0" b="825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88037" cy="3463428"/>
                    </a:xfrm>
                    <a:prstGeom prst="rect">
                      <a:avLst/>
                    </a:prstGeom>
                    <a:noFill/>
                  </pic:spPr>
                </pic:pic>
              </a:graphicData>
            </a:graphic>
          </wp:inline>
        </w:drawing>
      </w:r>
    </w:p>
    <w:p w14:paraId="038065C5" w14:textId="1D7797AB" w:rsidR="0086496E" w:rsidRPr="00545EC0" w:rsidRDefault="0086496E" w:rsidP="00864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rFonts w:cs="Arial"/>
          <w:szCs w:val="20"/>
        </w:rPr>
      </w:pPr>
      <w:bookmarkStart w:id="188" w:name="_Ref84330497"/>
      <w:r w:rsidRPr="00545EC0">
        <w:rPr>
          <w:szCs w:val="20"/>
        </w:rPr>
        <w:t xml:space="preserve">Slika </w:t>
      </w:r>
      <w:r w:rsidR="00396E1E" w:rsidRPr="00545EC0">
        <w:rPr>
          <w:szCs w:val="20"/>
        </w:rPr>
        <w:fldChar w:fldCharType="begin"/>
      </w:r>
      <w:r w:rsidR="00396E1E" w:rsidRPr="00545EC0">
        <w:rPr>
          <w:szCs w:val="20"/>
        </w:rPr>
        <w:instrText xml:space="preserve"> STYLEREF 1 \s </w:instrText>
      </w:r>
      <w:r w:rsidR="00396E1E" w:rsidRPr="00545EC0">
        <w:rPr>
          <w:szCs w:val="20"/>
        </w:rPr>
        <w:fldChar w:fldCharType="separate"/>
      </w:r>
      <w:r w:rsidR="002F3E43">
        <w:rPr>
          <w:noProof/>
          <w:szCs w:val="20"/>
        </w:rPr>
        <w:t>2</w:t>
      </w:r>
      <w:r w:rsidR="00396E1E" w:rsidRPr="00545EC0">
        <w:rPr>
          <w:szCs w:val="20"/>
        </w:rPr>
        <w:fldChar w:fldCharType="end"/>
      </w:r>
      <w:r w:rsidR="00396E1E" w:rsidRPr="00545EC0">
        <w:rPr>
          <w:szCs w:val="20"/>
        </w:rPr>
        <w:noBreakHyphen/>
      </w:r>
      <w:r w:rsidR="00396E1E" w:rsidRPr="00545EC0">
        <w:rPr>
          <w:szCs w:val="20"/>
        </w:rPr>
        <w:fldChar w:fldCharType="begin"/>
      </w:r>
      <w:r w:rsidR="00396E1E" w:rsidRPr="00545EC0">
        <w:rPr>
          <w:szCs w:val="20"/>
        </w:rPr>
        <w:instrText xml:space="preserve"> SEQ Slika \* ARABIC \s 1 </w:instrText>
      </w:r>
      <w:r w:rsidR="00396E1E" w:rsidRPr="00545EC0">
        <w:rPr>
          <w:szCs w:val="20"/>
        </w:rPr>
        <w:fldChar w:fldCharType="separate"/>
      </w:r>
      <w:r w:rsidR="002F3E43">
        <w:rPr>
          <w:noProof/>
          <w:szCs w:val="20"/>
        </w:rPr>
        <w:t>11</w:t>
      </w:r>
      <w:r w:rsidR="00396E1E" w:rsidRPr="00545EC0">
        <w:rPr>
          <w:szCs w:val="20"/>
        </w:rPr>
        <w:fldChar w:fldCharType="end"/>
      </w:r>
      <w:bookmarkEnd w:id="188"/>
      <w:r w:rsidRPr="00545EC0">
        <w:rPr>
          <w:szCs w:val="20"/>
        </w:rPr>
        <w:t>:</w:t>
      </w:r>
      <w:r w:rsidRPr="00545EC0">
        <w:rPr>
          <w:rFonts w:cs="Arial"/>
          <w:szCs w:val="20"/>
        </w:rPr>
        <w:t xml:space="preserve"> Delež posamezne rabe vode na odsekih, ki so pod vplivom odvzemov vode, po porečjih na VO Donave</w:t>
      </w:r>
    </w:p>
    <w:p w14:paraId="0E41B625"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p>
    <w:p w14:paraId="09F55EDE" w14:textId="7615BA7A"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545EC0">
        <w:rPr>
          <w:rFonts w:cs="Arial"/>
        </w:rPr>
        <w:lastRenderedPageBreak/>
        <w:t>Odvzemi vode so prisotni tako na dVTPV-jih na glavnem toku kot na pritokih. V preglednici v nadaljevanju (</w:t>
      </w:r>
      <w:r w:rsidR="00A107B8" w:rsidRPr="00545EC0">
        <w:rPr>
          <w:rFonts w:cs="Arial"/>
        </w:rPr>
        <w:fldChar w:fldCharType="begin"/>
      </w:r>
      <w:r w:rsidR="00A107B8" w:rsidRPr="00545EC0">
        <w:rPr>
          <w:rFonts w:cs="Arial"/>
        </w:rPr>
        <w:instrText xml:space="preserve"> REF _Ref84496480 \h </w:instrText>
      </w:r>
      <w:r w:rsidR="003122F4" w:rsidRPr="00545EC0">
        <w:rPr>
          <w:rFonts w:cs="Arial"/>
        </w:rPr>
        <w:instrText xml:space="preserve"> \* MERGEFORMAT </w:instrText>
      </w:r>
      <w:r w:rsidR="00A107B8" w:rsidRPr="00545EC0">
        <w:rPr>
          <w:rFonts w:cs="Arial"/>
        </w:rPr>
      </w:r>
      <w:r w:rsidR="00A107B8" w:rsidRPr="00545EC0">
        <w:rPr>
          <w:rFonts w:cs="Arial"/>
        </w:rPr>
        <w:fldChar w:fldCharType="separate"/>
      </w:r>
      <w:r w:rsidR="002F3E43" w:rsidRPr="00545EC0">
        <w:t xml:space="preserve">Preglednica </w:t>
      </w:r>
      <w:r w:rsidR="002F3E43">
        <w:rPr>
          <w:noProof/>
        </w:rPr>
        <w:t>2</w:t>
      </w:r>
      <w:r w:rsidR="002F3E43" w:rsidRPr="00545EC0">
        <w:rPr>
          <w:noProof/>
        </w:rPr>
        <w:noBreakHyphen/>
      </w:r>
      <w:r w:rsidR="002F3E43">
        <w:rPr>
          <w:noProof/>
        </w:rPr>
        <w:t>23</w:t>
      </w:r>
      <w:r w:rsidR="00A107B8" w:rsidRPr="00545EC0">
        <w:rPr>
          <w:rFonts w:cs="Arial"/>
        </w:rPr>
        <w:fldChar w:fldCharType="end"/>
      </w:r>
      <w:r w:rsidR="00A107B8" w:rsidRPr="00545EC0">
        <w:rPr>
          <w:rFonts w:cs="Arial"/>
        </w:rPr>
        <w:t xml:space="preserve">) </w:t>
      </w:r>
      <w:r w:rsidRPr="00545EC0">
        <w:rPr>
          <w:rFonts w:cs="Arial"/>
        </w:rPr>
        <w:t xml:space="preserve">so navedeni vodotoki, na katerih je prisotna pomembna obremenitev zaradi odvzemov vode, ločeno za glavni tok in pritoke. </w:t>
      </w:r>
    </w:p>
    <w:p w14:paraId="173DF4DB" w14:textId="77777777" w:rsidR="00552E05" w:rsidRPr="00545EC0" w:rsidRDefault="00552E05"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Cs w:val="20"/>
        </w:rPr>
      </w:pPr>
    </w:p>
    <w:p w14:paraId="7DFD70E8" w14:textId="4BB3D444" w:rsidR="00552E05" w:rsidRPr="00545EC0" w:rsidRDefault="00552E05" w:rsidP="00552E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Cs w:val="20"/>
        </w:rPr>
      </w:pPr>
      <w:bookmarkStart w:id="189" w:name="_Ref84496480"/>
      <w:bookmarkStart w:id="190" w:name="_Ref84255019"/>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23</w:t>
        </w:r>
      </w:fldSimple>
      <w:bookmarkEnd w:id="189"/>
      <w:r w:rsidRPr="00545EC0">
        <w:t xml:space="preserve">: </w:t>
      </w:r>
      <w:r w:rsidRPr="00545EC0">
        <w:rPr>
          <w:rFonts w:cs="Arial"/>
          <w:szCs w:val="20"/>
        </w:rPr>
        <w:t>Vodna telesa površinskih voda in njihovi deli s pomembno obremenitvijo zaradi odvzemov vode</w:t>
      </w:r>
      <w:bookmarkEnd w:id="190"/>
    </w:p>
    <w:tbl>
      <w:tblPr>
        <w:tblW w:w="5000" w:type="pct"/>
        <w:tblLayout w:type="fixed"/>
        <w:tblCellMar>
          <w:left w:w="70" w:type="dxa"/>
          <w:right w:w="70" w:type="dxa"/>
        </w:tblCellMar>
        <w:tblLook w:val="04A0" w:firstRow="1" w:lastRow="0" w:firstColumn="1" w:lastColumn="0" w:noHBand="0" w:noVBand="1"/>
      </w:tblPr>
      <w:tblGrid>
        <w:gridCol w:w="1061"/>
        <w:gridCol w:w="4395"/>
        <w:gridCol w:w="1844"/>
        <w:gridCol w:w="1109"/>
        <w:gridCol w:w="402"/>
        <w:gridCol w:w="400"/>
      </w:tblGrid>
      <w:tr w:rsidR="003122F4" w:rsidRPr="00545EC0" w14:paraId="4E0A69AC" w14:textId="77777777" w:rsidTr="00552E05">
        <w:trPr>
          <w:trHeight w:val="227"/>
          <w:tblHeader/>
        </w:trPr>
        <w:tc>
          <w:tcPr>
            <w:tcW w:w="57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800C977" w14:textId="77777777" w:rsidR="00BA1338" w:rsidRPr="00545EC0" w:rsidRDefault="00BA1338" w:rsidP="004F2AF2">
            <w:pPr>
              <w:spacing w:line="240" w:lineRule="auto"/>
              <w:rPr>
                <w:rFonts w:cs="Arial"/>
                <w:b/>
                <w:sz w:val="18"/>
                <w:szCs w:val="18"/>
              </w:rPr>
            </w:pPr>
            <w:r w:rsidRPr="00545EC0">
              <w:rPr>
                <w:rFonts w:cs="Arial"/>
                <w:b/>
                <w:sz w:val="18"/>
                <w:szCs w:val="18"/>
              </w:rPr>
              <w:t>Šifra VTPV</w:t>
            </w:r>
          </w:p>
        </w:tc>
        <w:tc>
          <w:tcPr>
            <w:tcW w:w="2386"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13D9726" w14:textId="77777777" w:rsidR="00BA1338" w:rsidRPr="00545EC0" w:rsidRDefault="00BA1338" w:rsidP="004F2AF2">
            <w:pPr>
              <w:spacing w:line="240" w:lineRule="auto"/>
              <w:rPr>
                <w:rFonts w:cs="Arial"/>
                <w:b/>
                <w:sz w:val="18"/>
                <w:szCs w:val="18"/>
              </w:rPr>
            </w:pPr>
            <w:r w:rsidRPr="00545EC0">
              <w:rPr>
                <w:rFonts w:cs="Arial"/>
                <w:b/>
                <w:sz w:val="18"/>
                <w:szCs w:val="18"/>
              </w:rPr>
              <w:t>Ime VPTV</w:t>
            </w:r>
          </w:p>
        </w:tc>
        <w:tc>
          <w:tcPr>
            <w:tcW w:w="1001"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72DC5A21" w14:textId="77777777" w:rsidR="00BA1338" w:rsidRPr="00545EC0" w:rsidRDefault="00BA1338" w:rsidP="004F2AF2">
            <w:pPr>
              <w:spacing w:line="240" w:lineRule="auto"/>
              <w:rPr>
                <w:rFonts w:cs="Arial"/>
                <w:b/>
                <w:sz w:val="18"/>
                <w:szCs w:val="18"/>
              </w:rPr>
            </w:pPr>
            <w:r w:rsidRPr="00545EC0">
              <w:rPr>
                <w:rFonts w:cs="Arial"/>
                <w:b/>
                <w:sz w:val="18"/>
                <w:szCs w:val="18"/>
              </w:rPr>
              <w:t>Ime vodotoka dVTPV</w:t>
            </w:r>
          </w:p>
        </w:tc>
        <w:tc>
          <w:tcPr>
            <w:tcW w:w="6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7A8F37" w14:textId="77777777" w:rsidR="00BA1338" w:rsidRPr="00545EC0" w:rsidRDefault="00BA1338" w:rsidP="004F2AF2">
            <w:pPr>
              <w:spacing w:line="240" w:lineRule="auto"/>
              <w:rPr>
                <w:rFonts w:cs="Arial"/>
                <w:b/>
                <w:sz w:val="18"/>
                <w:szCs w:val="18"/>
              </w:rPr>
            </w:pPr>
            <w:r w:rsidRPr="00545EC0">
              <w:rPr>
                <w:rFonts w:cs="Arial"/>
                <w:b/>
                <w:sz w:val="18"/>
                <w:szCs w:val="18"/>
              </w:rPr>
              <w:t>Porečje</w:t>
            </w:r>
          </w:p>
        </w:tc>
        <w:tc>
          <w:tcPr>
            <w:tcW w:w="2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D4E1C3" w14:textId="77777777" w:rsidR="00BA1338" w:rsidRPr="00545EC0" w:rsidRDefault="00BA1338" w:rsidP="004F2AF2">
            <w:pPr>
              <w:spacing w:line="240" w:lineRule="auto"/>
              <w:rPr>
                <w:rFonts w:cs="Arial"/>
                <w:b/>
                <w:sz w:val="18"/>
                <w:szCs w:val="18"/>
              </w:rPr>
            </w:pPr>
            <w:r w:rsidRPr="00545EC0">
              <w:rPr>
                <w:rFonts w:cs="Arial"/>
                <w:b/>
                <w:sz w:val="18"/>
                <w:szCs w:val="18"/>
              </w:rPr>
              <w:t>PO - GT</w:t>
            </w:r>
          </w:p>
        </w:tc>
        <w:tc>
          <w:tcPr>
            <w:tcW w:w="2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E5B2D4" w14:textId="77777777" w:rsidR="00BA1338" w:rsidRPr="00545EC0" w:rsidRDefault="00BA1338" w:rsidP="004F2AF2">
            <w:pPr>
              <w:spacing w:line="240" w:lineRule="auto"/>
              <w:rPr>
                <w:rFonts w:cs="Arial"/>
                <w:b/>
                <w:sz w:val="18"/>
                <w:szCs w:val="18"/>
              </w:rPr>
            </w:pPr>
            <w:r w:rsidRPr="00545EC0">
              <w:rPr>
                <w:rFonts w:cs="Arial"/>
                <w:b/>
                <w:sz w:val="18"/>
                <w:szCs w:val="18"/>
              </w:rPr>
              <w:t>PO - PR</w:t>
            </w:r>
          </w:p>
        </w:tc>
      </w:tr>
      <w:tr w:rsidR="003122F4" w:rsidRPr="00545EC0" w14:paraId="089EA87C" w14:textId="77777777" w:rsidTr="00552E05">
        <w:trPr>
          <w:trHeight w:val="227"/>
        </w:trPr>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4D2AA" w14:textId="77777777" w:rsidR="00BA1338" w:rsidRPr="00545EC0" w:rsidRDefault="00BA1338" w:rsidP="004F2AF2">
            <w:pPr>
              <w:spacing w:line="240" w:lineRule="auto"/>
              <w:rPr>
                <w:rFonts w:cs="Arial"/>
                <w:sz w:val="18"/>
                <w:szCs w:val="18"/>
              </w:rPr>
            </w:pPr>
            <w:r w:rsidRPr="00545EC0">
              <w:rPr>
                <w:rFonts w:cs="Arial"/>
                <w:sz w:val="18"/>
                <w:szCs w:val="18"/>
              </w:rPr>
              <w:t>SI1118VT</w:t>
            </w:r>
          </w:p>
        </w:tc>
        <w:tc>
          <w:tcPr>
            <w:tcW w:w="2386" w:type="pct"/>
            <w:tcBorders>
              <w:top w:val="single" w:sz="4" w:space="0" w:color="auto"/>
              <w:left w:val="nil"/>
              <w:bottom w:val="single" w:sz="4" w:space="0" w:color="auto"/>
              <w:right w:val="single" w:sz="4" w:space="0" w:color="auto"/>
            </w:tcBorders>
            <w:shd w:val="clear" w:color="auto" w:fill="auto"/>
            <w:noWrap/>
            <w:vAlign w:val="center"/>
            <w:hideMark/>
          </w:tcPr>
          <w:p w14:paraId="02927BCF" w14:textId="77777777" w:rsidR="00BA1338" w:rsidRPr="00545EC0" w:rsidRDefault="00BA1338" w:rsidP="004F2AF2">
            <w:pPr>
              <w:spacing w:line="240" w:lineRule="auto"/>
              <w:rPr>
                <w:rFonts w:cs="Arial"/>
                <w:sz w:val="18"/>
                <w:szCs w:val="18"/>
              </w:rPr>
            </w:pPr>
            <w:r w:rsidRPr="00545EC0">
              <w:rPr>
                <w:rFonts w:cs="Arial"/>
                <w:sz w:val="18"/>
                <w:szCs w:val="18"/>
              </w:rPr>
              <w:t>VT Radovna</w:t>
            </w:r>
          </w:p>
        </w:tc>
        <w:tc>
          <w:tcPr>
            <w:tcW w:w="1001" w:type="pct"/>
            <w:tcBorders>
              <w:top w:val="single" w:sz="4" w:space="0" w:color="auto"/>
              <w:left w:val="nil"/>
              <w:bottom w:val="single" w:sz="4" w:space="0" w:color="auto"/>
              <w:right w:val="single" w:sz="4" w:space="0" w:color="auto"/>
            </w:tcBorders>
            <w:vAlign w:val="center"/>
          </w:tcPr>
          <w:p w14:paraId="48A46295" w14:textId="77777777" w:rsidR="00BA1338" w:rsidRPr="00545EC0" w:rsidRDefault="00BA1338" w:rsidP="004F2AF2">
            <w:pPr>
              <w:spacing w:line="240" w:lineRule="auto"/>
              <w:rPr>
                <w:rFonts w:cs="Arial"/>
                <w:sz w:val="18"/>
                <w:szCs w:val="18"/>
              </w:rPr>
            </w:pPr>
            <w:r w:rsidRPr="00545EC0">
              <w:rPr>
                <w:rFonts w:cs="Arial"/>
                <w:sz w:val="18"/>
                <w:szCs w:val="18"/>
              </w:rPr>
              <w:t>Radovna</w:t>
            </w:r>
          </w:p>
        </w:tc>
        <w:tc>
          <w:tcPr>
            <w:tcW w:w="602" w:type="pct"/>
            <w:vMerge w:val="restart"/>
            <w:tcBorders>
              <w:top w:val="single" w:sz="4" w:space="0" w:color="auto"/>
              <w:left w:val="single" w:sz="4" w:space="0" w:color="auto"/>
              <w:right w:val="single" w:sz="4" w:space="0" w:color="auto"/>
            </w:tcBorders>
            <w:shd w:val="clear" w:color="auto" w:fill="auto"/>
            <w:vAlign w:val="center"/>
          </w:tcPr>
          <w:p w14:paraId="6566BDD0" w14:textId="77777777" w:rsidR="00BA1338" w:rsidRPr="00545EC0" w:rsidRDefault="00BA1338" w:rsidP="004F2AF2">
            <w:pPr>
              <w:spacing w:line="240" w:lineRule="auto"/>
              <w:rPr>
                <w:rFonts w:cs="Arial"/>
                <w:sz w:val="18"/>
                <w:szCs w:val="18"/>
              </w:rPr>
            </w:pPr>
            <w:r w:rsidRPr="00545EC0">
              <w:rPr>
                <w:rFonts w:cs="Arial"/>
                <w:sz w:val="18"/>
                <w:szCs w:val="18"/>
              </w:rPr>
              <w:t>Zgornja Sava</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8CB153"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2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7B920B"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1885CB83" w14:textId="77777777" w:rsidTr="00552E05">
        <w:trPr>
          <w:trHeight w:val="227"/>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14:paraId="49B25385" w14:textId="77777777" w:rsidR="00BA1338" w:rsidRPr="00545EC0" w:rsidRDefault="00BA1338" w:rsidP="004F2AF2">
            <w:pPr>
              <w:spacing w:line="240" w:lineRule="auto"/>
              <w:rPr>
                <w:rFonts w:cs="Arial"/>
                <w:sz w:val="18"/>
                <w:szCs w:val="18"/>
              </w:rPr>
            </w:pPr>
            <w:r w:rsidRPr="00545EC0">
              <w:rPr>
                <w:rFonts w:cs="Arial"/>
                <w:sz w:val="18"/>
                <w:szCs w:val="18"/>
              </w:rPr>
              <w:t>SI111VT5</w:t>
            </w:r>
          </w:p>
        </w:tc>
        <w:tc>
          <w:tcPr>
            <w:tcW w:w="2386" w:type="pct"/>
            <w:tcBorders>
              <w:top w:val="nil"/>
              <w:left w:val="nil"/>
              <w:bottom w:val="single" w:sz="4" w:space="0" w:color="auto"/>
              <w:right w:val="single" w:sz="4" w:space="0" w:color="auto"/>
            </w:tcBorders>
            <w:shd w:val="clear" w:color="auto" w:fill="auto"/>
            <w:noWrap/>
            <w:vAlign w:val="center"/>
            <w:hideMark/>
          </w:tcPr>
          <w:p w14:paraId="593AF12D" w14:textId="77777777" w:rsidR="00BA1338" w:rsidRPr="00545EC0" w:rsidRDefault="00BA1338" w:rsidP="004F2AF2">
            <w:pPr>
              <w:spacing w:line="240" w:lineRule="auto"/>
              <w:rPr>
                <w:rFonts w:cs="Arial"/>
                <w:sz w:val="18"/>
                <w:szCs w:val="18"/>
              </w:rPr>
            </w:pPr>
            <w:r w:rsidRPr="00545EC0">
              <w:rPr>
                <w:rFonts w:cs="Arial"/>
                <w:sz w:val="18"/>
                <w:szCs w:val="18"/>
              </w:rPr>
              <w:t>VT Sava izvir - Hrušica</w:t>
            </w:r>
          </w:p>
        </w:tc>
        <w:tc>
          <w:tcPr>
            <w:tcW w:w="1001" w:type="pct"/>
            <w:tcBorders>
              <w:top w:val="single" w:sz="4" w:space="0" w:color="auto"/>
              <w:left w:val="nil"/>
              <w:bottom w:val="single" w:sz="4" w:space="0" w:color="auto"/>
              <w:right w:val="single" w:sz="4" w:space="0" w:color="auto"/>
            </w:tcBorders>
            <w:vAlign w:val="center"/>
          </w:tcPr>
          <w:p w14:paraId="45433FB6" w14:textId="313C70F7" w:rsidR="00BA1338" w:rsidRPr="00545EC0" w:rsidRDefault="00BA1338" w:rsidP="004F2AF2">
            <w:pPr>
              <w:spacing w:line="240" w:lineRule="auto"/>
              <w:rPr>
                <w:rFonts w:cs="Arial"/>
                <w:sz w:val="18"/>
                <w:szCs w:val="18"/>
              </w:rPr>
            </w:pPr>
            <w:r w:rsidRPr="00545EC0">
              <w:rPr>
                <w:rFonts w:cs="Arial"/>
                <w:sz w:val="18"/>
                <w:szCs w:val="18"/>
              </w:rPr>
              <w:t xml:space="preserve">Triglavska </w:t>
            </w:r>
            <w:r w:rsidR="00C12042" w:rsidRPr="00545EC0">
              <w:rPr>
                <w:rFonts w:cs="Arial"/>
                <w:sz w:val="18"/>
                <w:szCs w:val="18"/>
              </w:rPr>
              <w:t>Bistrica</w:t>
            </w:r>
          </w:p>
        </w:tc>
        <w:tc>
          <w:tcPr>
            <w:tcW w:w="602" w:type="pct"/>
            <w:vMerge/>
            <w:tcBorders>
              <w:left w:val="single" w:sz="4" w:space="0" w:color="auto"/>
              <w:right w:val="single" w:sz="4" w:space="0" w:color="auto"/>
            </w:tcBorders>
            <w:shd w:val="clear" w:color="auto" w:fill="auto"/>
            <w:vAlign w:val="center"/>
          </w:tcPr>
          <w:p w14:paraId="3FF00654" w14:textId="77777777" w:rsidR="00BA1338" w:rsidRPr="00545EC0" w:rsidRDefault="00BA1338" w:rsidP="004F2AF2">
            <w:pPr>
              <w:spacing w:line="240" w:lineRule="auto"/>
              <w:rPr>
                <w:rFonts w:cs="Arial"/>
                <w:sz w:val="18"/>
                <w:szCs w:val="18"/>
              </w:rPr>
            </w:pPr>
          </w:p>
        </w:tc>
        <w:tc>
          <w:tcPr>
            <w:tcW w:w="218" w:type="pct"/>
            <w:tcBorders>
              <w:top w:val="nil"/>
              <w:left w:val="single" w:sz="4" w:space="0" w:color="auto"/>
              <w:bottom w:val="single" w:sz="4" w:space="0" w:color="auto"/>
              <w:right w:val="single" w:sz="4" w:space="0" w:color="auto"/>
            </w:tcBorders>
            <w:shd w:val="clear" w:color="auto" w:fill="FFFFFF" w:themeFill="background1"/>
            <w:vAlign w:val="center"/>
          </w:tcPr>
          <w:p w14:paraId="762F9CDA" w14:textId="77777777" w:rsidR="00BA1338" w:rsidRPr="00545EC0" w:rsidRDefault="00BA1338" w:rsidP="004F2AF2">
            <w:pPr>
              <w:spacing w:line="240" w:lineRule="auto"/>
              <w:rPr>
                <w:rFonts w:cs="Arial"/>
                <w:sz w:val="18"/>
                <w:szCs w:val="18"/>
              </w:rPr>
            </w:pPr>
            <w:r w:rsidRPr="00545EC0">
              <w:rPr>
                <w:rFonts w:cs="Arial"/>
                <w:sz w:val="18"/>
                <w:szCs w:val="18"/>
              </w:rPr>
              <w:t>0</w:t>
            </w:r>
          </w:p>
        </w:tc>
        <w:tc>
          <w:tcPr>
            <w:tcW w:w="217" w:type="pct"/>
            <w:tcBorders>
              <w:top w:val="nil"/>
              <w:left w:val="single" w:sz="4" w:space="0" w:color="auto"/>
              <w:bottom w:val="single" w:sz="4" w:space="0" w:color="auto"/>
              <w:right w:val="single" w:sz="4" w:space="0" w:color="auto"/>
            </w:tcBorders>
            <w:shd w:val="clear" w:color="auto" w:fill="FFFFFF" w:themeFill="background1"/>
            <w:vAlign w:val="center"/>
          </w:tcPr>
          <w:p w14:paraId="1BA15D52"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3161B59A" w14:textId="77777777" w:rsidTr="00552E05">
        <w:trPr>
          <w:trHeight w:val="227"/>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14:paraId="5FDD2752" w14:textId="77777777" w:rsidR="00BA1338" w:rsidRPr="00545EC0" w:rsidRDefault="00BA1338" w:rsidP="004F2AF2">
            <w:pPr>
              <w:spacing w:line="240" w:lineRule="auto"/>
              <w:rPr>
                <w:rFonts w:cs="Arial"/>
                <w:sz w:val="18"/>
                <w:szCs w:val="18"/>
              </w:rPr>
            </w:pPr>
            <w:r w:rsidRPr="00545EC0">
              <w:rPr>
                <w:rFonts w:cs="Arial"/>
                <w:sz w:val="18"/>
                <w:szCs w:val="18"/>
              </w:rPr>
              <w:t>SI111VT7</w:t>
            </w:r>
          </w:p>
        </w:tc>
        <w:tc>
          <w:tcPr>
            <w:tcW w:w="2386" w:type="pct"/>
            <w:tcBorders>
              <w:top w:val="nil"/>
              <w:left w:val="nil"/>
              <w:bottom w:val="single" w:sz="4" w:space="0" w:color="auto"/>
              <w:right w:val="single" w:sz="4" w:space="0" w:color="auto"/>
            </w:tcBorders>
            <w:shd w:val="clear" w:color="auto" w:fill="auto"/>
            <w:noWrap/>
            <w:vAlign w:val="center"/>
            <w:hideMark/>
          </w:tcPr>
          <w:p w14:paraId="423A609C" w14:textId="77777777" w:rsidR="00BA1338" w:rsidRPr="00545EC0" w:rsidRDefault="00BA1338" w:rsidP="004F2AF2">
            <w:pPr>
              <w:spacing w:line="240" w:lineRule="auto"/>
              <w:rPr>
                <w:rFonts w:cs="Arial"/>
                <w:sz w:val="18"/>
                <w:szCs w:val="18"/>
              </w:rPr>
            </w:pPr>
            <w:r w:rsidRPr="00545EC0">
              <w:rPr>
                <w:rFonts w:cs="Arial"/>
                <w:sz w:val="18"/>
                <w:szCs w:val="18"/>
              </w:rPr>
              <w:t>MPVT zadrževalnik HE Moste</w:t>
            </w:r>
          </w:p>
        </w:tc>
        <w:tc>
          <w:tcPr>
            <w:tcW w:w="1001" w:type="pct"/>
            <w:tcBorders>
              <w:top w:val="single" w:sz="4" w:space="0" w:color="auto"/>
              <w:left w:val="nil"/>
              <w:bottom w:val="single" w:sz="4" w:space="0" w:color="auto"/>
              <w:right w:val="single" w:sz="4" w:space="0" w:color="auto"/>
            </w:tcBorders>
            <w:vAlign w:val="center"/>
          </w:tcPr>
          <w:p w14:paraId="5499291F" w14:textId="77777777" w:rsidR="00BA1338" w:rsidRPr="00545EC0" w:rsidRDefault="00BA1338" w:rsidP="004F2AF2">
            <w:pPr>
              <w:spacing w:line="240" w:lineRule="auto"/>
              <w:rPr>
                <w:rFonts w:cs="Arial"/>
                <w:sz w:val="18"/>
                <w:szCs w:val="18"/>
              </w:rPr>
            </w:pPr>
            <w:r w:rsidRPr="00545EC0">
              <w:rPr>
                <w:rFonts w:cs="Arial"/>
                <w:sz w:val="18"/>
                <w:szCs w:val="18"/>
              </w:rPr>
              <w:t>Javornik</w:t>
            </w:r>
          </w:p>
        </w:tc>
        <w:tc>
          <w:tcPr>
            <w:tcW w:w="602" w:type="pct"/>
            <w:vMerge/>
            <w:tcBorders>
              <w:left w:val="single" w:sz="4" w:space="0" w:color="auto"/>
              <w:right w:val="single" w:sz="4" w:space="0" w:color="auto"/>
            </w:tcBorders>
            <w:shd w:val="clear" w:color="auto" w:fill="auto"/>
            <w:vAlign w:val="center"/>
          </w:tcPr>
          <w:p w14:paraId="12CB6C0C" w14:textId="77777777" w:rsidR="00BA1338" w:rsidRPr="00545EC0" w:rsidRDefault="00BA1338" w:rsidP="004F2AF2">
            <w:pPr>
              <w:spacing w:line="240" w:lineRule="auto"/>
              <w:rPr>
                <w:rFonts w:cs="Arial"/>
                <w:sz w:val="18"/>
                <w:szCs w:val="18"/>
              </w:rPr>
            </w:pPr>
          </w:p>
        </w:tc>
        <w:tc>
          <w:tcPr>
            <w:tcW w:w="218" w:type="pct"/>
            <w:tcBorders>
              <w:top w:val="nil"/>
              <w:left w:val="single" w:sz="4" w:space="0" w:color="auto"/>
              <w:bottom w:val="single" w:sz="4" w:space="0" w:color="auto"/>
              <w:right w:val="single" w:sz="4" w:space="0" w:color="auto"/>
            </w:tcBorders>
            <w:shd w:val="clear" w:color="auto" w:fill="FFFFFF" w:themeFill="background1"/>
            <w:vAlign w:val="center"/>
          </w:tcPr>
          <w:p w14:paraId="20FCBD69" w14:textId="77777777" w:rsidR="00BA1338" w:rsidRPr="00545EC0" w:rsidRDefault="00BA1338" w:rsidP="004F2AF2">
            <w:pPr>
              <w:spacing w:line="240" w:lineRule="auto"/>
              <w:rPr>
                <w:rFonts w:cs="Arial"/>
                <w:sz w:val="18"/>
                <w:szCs w:val="18"/>
              </w:rPr>
            </w:pPr>
            <w:r w:rsidRPr="00545EC0">
              <w:rPr>
                <w:rFonts w:cs="Arial"/>
                <w:sz w:val="18"/>
                <w:szCs w:val="18"/>
              </w:rPr>
              <w:t>0</w:t>
            </w:r>
          </w:p>
        </w:tc>
        <w:tc>
          <w:tcPr>
            <w:tcW w:w="217" w:type="pct"/>
            <w:tcBorders>
              <w:top w:val="nil"/>
              <w:left w:val="single" w:sz="4" w:space="0" w:color="auto"/>
              <w:bottom w:val="single" w:sz="4" w:space="0" w:color="auto"/>
              <w:right w:val="single" w:sz="4" w:space="0" w:color="auto"/>
            </w:tcBorders>
            <w:shd w:val="clear" w:color="auto" w:fill="FFFFFF" w:themeFill="background1"/>
            <w:vAlign w:val="center"/>
          </w:tcPr>
          <w:p w14:paraId="1AFB2FB3"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62C9C205" w14:textId="77777777" w:rsidTr="00552E05">
        <w:trPr>
          <w:trHeight w:val="227"/>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14:paraId="0C80AB0B" w14:textId="77777777" w:rsidR="00BA1338" w:rsidRPr="00545EC0" w:rsidRDefault="00BA1338" w:rsidP="004F2AF2">
            <w:pPr>
              <w:spacing w:line="240" w:lineRule="auto"/>
              <w:rPr>
                <w:rFonts w:cs="Arial"/>
                <w:sz w:val="18"/>
                <w:szCs w:val="18"/>
              </w:rPr>
            </w:pPr>
            <w:r w:rsidRPr="00545EC0">
              <w:rPr>
                <w:rFonts w:cs="Arial"/>
                <w:sz w:val="18"/>
                <w:szCs w:val="18"/>
              </w:rPr>
              <w:t>SI112VT7</w:t>
            </w:r>
          </w:p>
        </w:tc>
        <w:tc>
          <w:tcPr>
            <w:tcW w:w="2386" w:type="pct"/>
            <w:tcBorders>
              <w:top w:val="nil"/>
              <w:left w:val="nil"/>
              <w:bottom w:val="single" w:sz="4" w:space="0" w:color="auto"/>
              <w:right w:val="single" w:sz="4" w:space="0" w:color="auto"/>
            </w:tcBorders>
            <w:shd w:val="clear" w:color="auto" w:fill="auto"/>
            <w:noWrap/>
            <w:vAlign w:val="center"/>
            <w:hideMark/>
          </w:tcPr>
          <w:p w14:paraId="3F2E6D28" w14:textId="77777777" w:rsidR="00BA1338" w:rsidRPr="00545EC0" w:rsidRDefault="00BA1338" w:rsidP="004F2AF2">
            <w:pPr>
              <w:spacing w:line="240" w:lineRule="auto"/>
              <w:rPr>
                <w:rFonts w:cs="Arial"/>
                <w:sz w:val="18"/>
                <w:szCs w:val="18"/>
              </w:rPr>
            </w:pPr>
            <w:r w:rsidRPr="00545EC0">
              <w:rPr>
                <w:rFonts w:cs="Arial"/>
                <w:sz w:val="18"/>
                <w:szCs w:val="18"/>
              </w:rPr>
              <w:t>VT Sava Sveti Janez - Jezernica</w:t>
            </w:r>
          </w:p>
        </w:tc>
        <w:tc>
          <w:tcPr>
            <w:tcW w:w="1001" w:type="pct"/>
            <w:tcBorders>
              <w:top w:val="single" w:sz="4" w:space="0" w:color="auto"/>
              <w:left w:val="nil"/>
              <w:bottom w:val="single" w:sz="4" w:space="0" w:color="auto"/>
              <w:right w:val="single" w:sz="4" w:space="0" w:color="auto"/>
            </w:tcBorders>
            <w:vAlign w:val="center"/>
          </w:tcPr>
          <w:p w14:paraId="731E7F27" w14:textId="370D0FEC" w:rsidR="00BA1338" w:rsidRPr="00545EC0" w:rsidRDefault="00BA1338" w:rsidP="004F2AF2">
            <w:pPr>
              <w:spacing w:line="240" w:lineRule="auto"/>
              <w:rPr>
                <w:rFonts w:cs="Arial"/>
                <w:sz w:val="18"/>
                <w:szCs w:val="18"/>
              </w:rPr>
            </w:pPr>
            <w:r w:rsidRPr="00545EC0">
              <w:rPr>
                <w:rFonts w:cs="Arial"/>
                <w:sz w:val="18"/>
                <w:szCs w:val="18"/>
              </w:rPr>
              <w:t xml:space="preserve">Bohinjska </w:t>
            </w:r>
            <w:r w:rsidR="00C12042" w:rsidRPr="00545EC0">
              <w:rPr>
                <w:rFonts w:cs="Arial"/>
                <w:sz w:val="18"/>
                <w:szCs w:val="18"/>
              </w:rPr>
              <w:t>Bistrica</w:t>
            </w:r>
          </w:p>
        </w:tc>
        <w:tc>
          <w:tcPr>
            <w:tcW w:w="602" w:type="pct"/>
            <w:vMerge/>
            <w:tcBorders>
              <w:left w:val="single" w:sz="4" w:space="0" w:color="auto"/>
              <w:right w:val="single" w:sz="4" w:space="0" w:color="auto"/>
            </w:tcBorders>
            <w:shd w:val="clear" w:color="auto" w:fill="auto"/>
            <w:vAlign w:val="center"/>
          </w:tcPr>
          <w:p w14:paraId="74010362" w14:textId="77777777" w:rsidR="00BA1338" w:rsidRPr="00545EC0" w:rsidRDefault="00BA1338" w:rsidP="004F2AF2">
            <w:pPr>
              <w:spacing w:line="240" w:lineRule="auto"/>
              <w:rPr>
                <w:rFonts w:cs="Arial"/>
                <w:sz w:val="18"/>
                <w:szCs w:val="18"/>
              </w:rPr>
            </w:pPr>
          </w:p>
        </w:tc>
        <w:tc>
          <w:tcPr>
            <w:tcW w:w="218" w:type="pct"/>
            <w:tcBorders>
              <w:top w:val="nil"/>
              <w:left w:val="single" w:sz="4" w:space="0" w:color="auto"/>
              <w:bottom w:val="single" w:sz="4" w:space="0" w:color="auto"/>
              <w:right w:val="single" w:sz="4" w:space="0" w:color="auto"/>
            </w:tcBorders>
            <w:shd w:val="clear" w:color="auto" w:fill="FFFFFF" w:themeFill="background1"/>
            <w:vAlign w:val="center"/>
          </w:tcPr>
          <w:p w14:paraId="65EBCF58" w14:textId="77777777" w:rsidR="00BA1338" w:rsidRPr="00545EC0" w:rsidRDefault="00BA1338" w:rsidP="004F2AF2">
            <w:pPr>
              <w:spacing w:line="240" w:lineRule="auto"/>
              <w:rPr>
                <w:rFonts w:cs="Arial"/>
                <w:sz w:val="18"/>
                <w:szCs w:val="18"/>
              </w:rPr>
            </w:pPr>
            <w:r w:rsidRPr="00545EC0">
              <w:rPr>
                <w:rFonts w:cs="Arial"/>
                <w:sz w:val="18"/>
                <w:szCs w:val="18"/>
              </w:rPr>
              <w:t>0</w:t>
            </w:r>
          </w:p>
        </w:tc>
        <w:tc>
          <w:tcPr>
            <w:tcW w:w="217" w:type="pct"/>
            <w:tcBorders>
              <w:top w:val="nil"/>
              <w:left w:val="single" w:sz="4" w:space="0" w:color="auto"/>
              <w:bottom w:val="single" w:sz="4" w:space="0" w:color="auto"/>
              <w:right w:val="single" w:sz="4" w:space="0" w:color="auto"/>
            </w:tcBorders>
            <w:shd w:val="clear" w:color="auto" w:fill="FFFFFF" w:themeFill="background1"/>
            <w:vAlign w:val="center"/>
          </w:tcPr>
          <w:p w14:paraId="227E4FD7"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03E0AB43" w14:textId="77777777" w:rsidTr="00552E05">
        <w:trPr>
          <w:trHeight w:val="227"/>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14:paraId="71252EA0" w14:textId="77777777" w:rsidR="00BA1338" w:rsidRPr="00545EC0" w:rsidRDefault="00BA1338" w:rsidP="004F2AF2">
            <w:pPr>
              <w:spacing w:line="240" w:lineRule="auto"/>
              <w:rPr>
                <w:rFonts w:cs="Arial"/>
                <w:sz w:val="18"/>
                <w:szCs w:val="18"/>
              </w:rPr>
            </w:pPr>
            <w:r w:rsidRPr="00545EC0">
              <w:rPr>
                <w:rFonts w:cs="Arial"/>
                <w:sz w:val="18"/>
                <w:szCs w:val="18"/>
              </w:rPr>
              <w:t>SI112VT9</w:t>
            </w:r>
          </w:p>
        </w:tc>
        <w:tc>
          <w:tcPr>
            <w:tcW w:w="2386" w:type="pct"/>
            <w:tcBorders>
              <w:top w:val="nil"/>
              <w:left w:val="nil"/>
              <w:bottom w:val="single" w:sz="4" w:space="0" w:color="auto"/>
              <w:right w:val="single" w:sz="4" w:space="0" w:color="auto"/>
            </w:tcBorders>
            <w:shd w:val="clear" w:color="auto" w:fill="auto"/>
            <w:noWrap/>
            <w:vAlign w:val="center"/>
            <w:hideMark/>
          </w:tcPr>
          <w:p w14:paraId="3A7AB725" w14:textId="77777777" w:rsidR="00BA1338" w:rsidRPr="00545EC0" w:rsidRDefault="00BA1338" w:rsidP="004F2AF2">
            <w:pPr>
              <w:spacing w:line="240" w:lineRule="auto"/>
              <w:rPr>
                <w:rFonts w:cs="Arial"/>
                <w:sz w:val="18"/>
                <w:szCs w:val="18"/>
              </w:rPr>
            </w:pPr>
            <w:r w:rsidRPr="00545EC0">
              <w:rPr>
                <w:rFonts w:cs="Arial"/>
                <w:sz w:val="18"/>
                <w:szCs w:val="18"/>
              </w:rPr>
              <w:t>VT Sava Jezernica - sotočje s Savo Dolinko</w:t>
            </w:r>
          </w:p>
        </w:tc>
        <w:tc>
          <w:tcPr>
            <w:tcW w:w="1001" w:type="pct"/>
            <w:tcBorders>
              <w:top w:val="single" w:sz="4" w:space="0" w:color="auto"/>
              <w:left w:val="nil"/>
              <w:bottom w:val="single" w:sz="4" w:space="0" w:color="auto"/>
              <w:right w:val="single" w:sz="4" w:space="0" w:color="auto"/>
            </w:tcBorders>
            <w:vAlign w:val="center"/>
          </w:tcPr>
          <w:p w14:paraId="10D0EC6C" w14:textId="77777777" w:rsidR="00BA1338" w:rsidRPr="00545EC0" w:rsidRDefault="00BA1338" w:rsidP="004F2AF2">
            <w:pPr>
              <w:spacing w:line="240" w:lineRule="auto"/>
              <w:rPr>
                <w:rFonts w:cs="Arial"/>
                <w:sz w:val="18"/>
                <w:szCs w:val="18"/>
              </w:rPr>
            </w:pPr>
            <w:r w:rsidRPr="00545EC0">
              <w:rPr>
                <w:rFonts w:cs="Arial"/>
                <w:sz w:val="18"/>
                <w:szCs w:val="18"/>
              </w:rPr>
              <w:t>Jezernica</w:t>
            </w:r>
          </w:p>
        </w:tc>
        <w:tc>
          <w:tcPr>
            <w:tcW w:w="602" w:type="pct"/>
            <w:vMerge/>
            <w:tcBorders>
              <w:left w:val="single" w:sz="4" w:space="0" w:color="auto"/>
              <w:right w:val="single" w:sz="4" w:space="0" w:color="auto"/>
            </w:tcBorders>
            <w:shd w:val="clear" w:color="auto" w:fill="auto"/>
            <w:vAlign w:val="center"/>
          </w:tcPr>
          <w:p w14:paraId="3A0AA6E1" w14:textId="77777777" w:rsidR="00BA1338" w:rsidRPr="00545EC0" w:rsidRDefault="00BA1338" w:rsidP="004F2AF2">
            <w:pPr>
              <w:spacing w:line="240" w:lineRule="auto"/>
              <w:rPr>
                <w:rFonts w:cs="Arial"/>
                <w:sz w:val="18"/>
                <w:szCs w:val="18"/>
              </w:rPr>
            </w:pPr>
          </w:p>
        </w:tc>
        <w:tc>
          <w:tcPr>
            <w:tcW w:w="218" w:type="pct"/>
            <w:tcBorders>
              <w:top w:val="nil"/>
              <w:left w:val="single" w:sz="4" w:space="0" w:color="auto"/>
              <w:bottom w:val="single" w:sz="4" w:space="0" w:color="auto"/>
              <w:right w:val="single" w:sz="4" w:space="0" w:color="auto"/>
            </w:tcBorders>
            <w:shd w:val="clear" w:color="auto" w:fill="FFFFFF" w:themeFill="background1"/>
            <w:vAlign w:val="center"/>
          </w:tcPr>
          <w:p w14:paraId="45B0CFB1" w14:textId="77777777" w:rsidR="00BA1338" w:rsidRPr="00545EC0" w:rsidRDefault="00BA1338" w:rsidP="004F2AF2">
            <w:pPr>
              <w:spacing w:line="240" w:lineRule="auto"/>
              <w:rPr>
                <w:rFonts w:cs="Arial"/>
                <w:sz w:val="18"/>
                <w:szCs w:val="18"/>
              </w:rPr>
            </w:pPr>
            <w:r w:rsidRPr="00545EC0">
              <w:rPr>
                <w:rFonts w:cs="Arial"/>
                <w:sz w:val="18"/>
                <w:szCs w:val="18"/>
              </w:rPr>
              <w:t>0</w:t>
            </w:r>
          </w:p>
        </w:tc>
        <w:tc>
          <w:tcPr>
            <w:tcW w:w="217" w:type="pct"/>
            <w:tcBorders>
              <w:top w:val="nil"/>
              <w:left w:val="single" w:sz="4" w:space="0" w:color="auto"/>
              <w:bottom w:val="single" w:sz="4" w:space="0" w:color="auto"/>
              <w:right w:val="single" w:sz="4" w:space="0" w:color="auto"/>
            </w:tcBorders>
            <w:shd w:val="clear" w:color="auto" w:fill="FFFFFF" w:themeFill="background1"/>
            <w:vAlign w:val="center"/>
          </w:tcPr>
          <w:p w14:paraId="2B1C9DDB"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46920B3B" w14:textId="77777777" w:rsidTr="00552E05">
        <w:trPr>
          <w:trHeight w:val="227"/>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14:paraId="5D16CE81" w14:textId="77777777" w:rsidR="00BA1338" w:rsidRPr="00545EC0" w:rsidRDefault="00BA1338" w:rsidP="004F2AF2">
            <w:pPr>
              <w:spacing w:line="240" w:lineRule="auto"/>
              <w:rPr>
                <w:rFonts w:cs="Arial"/>
                <w:sz w:val="18"/>
                <w:szCs w:val="18"/>
              </w:rPr>
            </w:pPr>
            <w:r w:rsidRPr="00545EC0">
              <w:rPr>
                <w:rFonts w:cs="Arial"/>
                <w:sz w:val="18"/>
                <w:szCs w:val="18"/>
              </w:rPr>
              <w:t>SI114VT3</w:t>
            </w:r>
          </w:p>
        </w:tc>
        <w:tc>
          <w:tcPr>
            <w:tcW w:w="2386" w:type="pct"/>
            <w:tcBorders>
              <w:top w:val="nil"/>
              <w:left w:val="nil"/>
              <w:bottom w:val="single" w:sz="4" w:space="0" w:color="auto"/>
              <w:right w:val="single" w:sz="4" w:space="0" w:color="auto"/>
            </w:tcBorders>
            <w:shd w:val="clear" w:color="auto" w:fill="auto"/>
            <w:noWrap/>
            <w:vAlign w:val="center"/>
            <w:hideMark/>
          </w:tcPr>
          <w:p w14:paraId="4EFD084C" w14:textId="77777777" w:rsidR="00BA1338" w:rsidRPr="00545EC0" w:rsidRDefault="00BA1338" w:rsidP="004F2AF2">
            <w:pPr>
              <w:spacing w:line="240" w:lineRule="auto"/>
              <w:rPr>
                <w:rFonts w:cs="Arial"/>
                <w:sz w:val="18"/>
                <w:szCs w:val="18"/>
              </w:rPr>
            </w:pPr>
            <w:r w:rsidRPr="00545EC0">
              <w:rPr>
                <w:rFonts w:cs="Arial"/>
                <w:sz w:val="18"/>
                <w:szCs w:val="18"/>
              </w:rPr>
              <w:t>VT Tržiška Bistrica povirje - sotočje z Lomščico</w:t>
            </w:r>
          </w:p>
        </w:tc>
        <w:tc>
          <w:tcPr>
            <w:tcW w:w="1001" w:type="pct"/>
            <w:tcBorders>
              <w:top w:val="single" w:sz="4" w:space="0" w:color="auto"/>
              <w:left w:val="nil"/>
              <w:bottom w:val="single" w:sz="4" w:space="0" w:color="auto"/>
              <w:right w:val="single" w:sz="4" w:space="0" w:color="auto"/>
            </w:tcBorders>
            <w:vAlign w:val="center"/>
          </w:tcPr>
          <w:p w14:paraId="5C3438DA" w14:textId="77777777" w:rsidR="00BA1338" w:rsidRPr="00545EC0" w:rsidRDefault="00BA1338" w:rsidP="004F2AF2">
            <w:pPr>
              <w:spacing w:line="240" w:lineRule="auto"/>
              <w:rPr>
                <w:rFonts w:cs="Arial"/>
                <w:sz w:val="18"/>
                <w:szCs w:val="18"/>
              </w:rPr>
            </w:pPr>
            <w:r w:rsidRPr="00545EC0">
              <w:rPr>
                <w:rFonts w:cs="Arial"/>
                <w:sz w:val="18"/>
                <w:szCs w:val="18"/>
              </w:rPr>
              <w:t>Košutnik</w:t>
            </w:r>
          </w:p>
        </w:tc>
        <w:tc>
          <w:tcPr>
            <w:tcW w:w="602" w:type="pct"/>
            <w:vMerge/>
            <w:tcBorders>
              <w:left w:val="single" w:sz="4" w:space="0" w:color="auto"/>
              <w:right w:val="single" w:sz="4" w:space="0" w:color="auto"/>
            </w:tcBorders>
            <w:shd w:val="clear" w:color="auto" w:fill="auto"/>
            <w:vAlign w:val="center"/>
          </w:tcPr>
          <w:p w14:paraId="5A75FCF4" w14:textId="77777777" w:rsidR="00BA1338" w:rsidRPr="00545EC0" w:rsidRDefault="00BA1338" w:rsidP="004F2AF2">
            <w:pPr>
              <w:spacing w:line="240" w:lineRule="auto"/>
              <w:rPr>
                <w:rFonts w:cs="Arial"/>
                <w:sz w:val="18"/>
                <w:szCs w:val="18"/>
              </w:rPr>
            </w:pPr>
          </w:p>
        </w:tc>
        <w:tc>
          <w:tcPr>
            <w:tcW w:w="218" w:type="pct"/>
            <w:tcBorders>
              <w:top w:val="nil"/>
              <w:left w:val="single" w:sz="4" w:space="0" w:color="auto"/>
              <w:bottom w:val="single" w:sz="4" w:space="0" w:color="auto"/>
              <w:right w:val="single" w:sz="4" w:space="0" w:color="auto"/>
            </w:tcBorders>
            <w:shd w:val="clear" w:color="auto" w:fill="FFFFFF" w:themeFill="background1"/>
            <w:vAlign w:val="center"/>
          </w:tcPr>
          <w:p w14:paraId="7B75FCD8" w14:textId="77777777" w:rsidR="00BA1338" w:rsidRPr="00545EC0" w:rsidRDefault="00BA1338" w:rsidP="004F2AF2">
            <w:pPr>
              <w:spacing w:line="240" w:lineRule="auto"/>
              <w:rPr>
                <w:rFonts w:cs="Arial"/>
                <w:sz w:val="18"/>
                <w:szCs w:val="18"/>
              </w:rPr>
            </w:pPr>
            <w:r w:rsidRPr="00545EC0">
              <w:rPr>
                <w:rFonts w:cs="Arial"/>
                <w:sz w:val="18"/>
                <w:szCs w:val="18"/>
              </w:rPr>
              <w:t>0</w:t>
            </w:r>
          </w:p>
        </w:tc>
        <w:tc>
          <w:tcPr>
            <w:tcW w:w="217" w:type="pct"/>
            <w:tcBorders>
              <w:top w:val="nil"/>
              <w:left w:val="single" w:sz="4" w:space="0" w:color="auto"/>
              <w:bottom w:val="single" w:sz="4" w:space="0" w:color="auto"/>
              <w:right w:val="single" w:sz="4" w:space="0" w:color="auto"/>
            </w:tcBorders>
            <w:shd w:val="clear" w:color="auto" w:fill="FFFFFF" w:themeFill="background1"/>
            <w:vAlign w:val="center"/>
          </w:tcPr>
          <w:p w14:paraId="7871F35C"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05B9083A" w14:textId="77777777" w:rsidTr="00552E05">
        <w:trPr>
          <w:trHeight w:val="227"/>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14:paraId="6BC5A52E" w14:textId="77777777" w:rsidR="00BA1338" w:rsidRPr="00545EC0" w:rsidRDefault="00BA1338" w:rsidP="004F2AF2">
            <w:pPr>
              <w:spacing w:line="240" w:lineRule="auto"/>
              <w:rPr>
                <w:rFonts w:cs="Arial"/>
                <w:sz w:val="18"/>
                <w:szCs w:val="18"/>
              </w:rPr>
            </w:pPr>
            <w:r w:rsidRPr="00545EC0">
              <w:rPr>
                <w:rFonts w:cs="Arial"/>
                <w:sz w:val="18"/>
                <w:szCs w:val="18"/>
              </w:rPr>
              <w:t>SI114VT9</w:t>
            </w:r>
          </w:p>
        </w:tc>
        <w:tc>
          <w:tcPr>
            <w:tcW w:w="2386" w:type="pct"/>
            <w:tcBorders>
              <w:top w:val="nil"/>
              <w:left w:val="nil"/>
              <w:bottom w:val="single" w:sz="4" w:space="0" w:color="auto"/>
              <w:right w:val="single" w:sz="4" w:space="0" w:color="auto"/>
            </w:tcBorders>
            <w:shd w:val="clear" w:color="auto" w:fill="auto"/>
            <w:noWrap/>
            <w:vAlign w:val="center"/>
            <w:hideMark/>
          </w:tcPr>
          <w:p w14:paraId="185ED23F" w14:textId="77777777" w:rsidR="00BA1338" w:rsidRPr="00545EC0" w:rsidRDefault="00BA1338" w:rsidP="004F2AF2">
            <w:pPr>
              <w:spacing w:line="240" w:lineRule="auto"/>
              <w:rPr>
                <w:rFonts w:cs="Arial"/>
                <w:sz w:val="18"/>
                <w:szCs w:val="18"/>
              </w:rPr>
            </w:pPr>
            <w:r w:rsidRPr="00545EC0">
              <w:rPr>
                <w:rFonts w:cs="Arial"/>
                <w:sz w:val="18"/>
                <w:szCs w:val="18"/>
              </w:rPr>
              <w:t>VT Tržiška Bistrica sotočje z Lomščico - Podbrezje</w:t>
            </w:r>
          </w:p>
        </w:tc>
        <w:tc>
          <w:tcPr>
            <w:tcW w:w="1001" w:type="pct"/>
            <w:tcBorders>
              <w:top w:val="single" w:sz="4" w:space="0" w:color="auto"/>
              <w:left w:val="nil"/>
              <w:bottom w:val="single" w:sz="4" w:space="0" w:color="auto"/>
              <w:right w:val="single" w:sz="4" w:space="0" w:color="auto"/>
            </w:tcBorders>
            <w:vAlign w:val="center"/>
          </w:tcPr>
          <w:p w14:paraId="08B46A05" w14:textId="77777777" w:rsidR="00BA1338" w:rsidRPr="00545EC0" w:rsidRDefault="00BA1338" w:rsidP="004F2AF2">
            <w:pPr>
              <w:spacing w:line="240" w:lineRule="auto"/>
              <w:rPr>
                <w:rFonts w:cs="Arial"/>
                <w:sz w:val="18"/>
                <w:szCs w:val="18"/>
              </w:rPr>
            </w:pPr>
            <w:r w:rsidRPr="00545EC0">
              <w:rPr>
                <w:rFonts w:cs="Arial"/>
                <w:sz w:val="18"/>
                <w:szCs w:val="18"/>
              </w:rPr>
              <w:t>Tržiška Bistrica, Lomščica, Mošenik</w:t>
            </w:r>
          </w:p>
        </w:tc>
        <w:tc>
          <w:tcPr>
            <w:tcW w:w="602" w:type="pct"/>
            <w:vMerge/>
            <w:tcBorders>
              <w:left w:val="single" w:sz="4" w:space="0" w:color="auto"/>
              <w:right w:val="single" w:sz="4" w:space="0" w:color="auto"/>
            </w:tcBorders>
            <w:shd w:val="clear" w:color="auto" w:fill="auto"/>
            <w:vAlign w:val="center"/>
          </w:tcPr>
          <w:p w14:paraId="0C53FEF6" w14:textId="77777777" w:rsidR="00BA1338" w:rsidRPr="00545EC0" w:rsidRDefault="00BA1338" w:rsidP="004F2AF2">
            <w:pPr>
              <w:spacing w:line="240" w:lineRule="auto"/>
              <w:rPr>
                <w:rFonts w:cs="Arial"/>
                <w:sz w:val="18"/>
                <w:szCs w:val="18"/>
              </w:rPr>
            </w:pPr>
          </w:p>
        </w:tc>
        <w:tc>
          <w:tcPr>
            <w:tcW w:w="218" w:type="pct"/>
            <w:tcBorders>
              <w:top w:val="nil"/>
              <w:left w:val="single" w:sz="4" w:space="0" w:color="auto"/>
              <w:bottom w:val="single" w:sz="4" w:space="0" w:color="auto"/>
              <w:right w:val="single" w:sz="4" w:space="0" w:color="auto"/>
            </w:tcBorders>
            <w:shd w:val="clear" w:color="auto" w:fill="FFFFFF" w:themeFill="background1"/>
            <w:vAlign w:val="center"/>
          </w:tcPr>
          <w:p w14:paraId="0D68DF3D"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217" w:type="pct"/>
            <w:tcBorders>
              <w:top w:val="nil"/>
              <w:left w:val="single" w:sz="4" w:space="0" w:color="auto"/>
              <w:bottom w:val="single" w:sz="4" w:space="0" w:color="auto"/>
              <w:right w:val="single" w:sz="4" w:space="0" w:color="auto"/>
            </w:tcBorders>
            <w:shd w:val="clear" w:color="auto" w:fill="FFFFFF" w:themeFill="background1"/>
            <w:vAlign w:val="center"/>
          </w:tcPr>
          <w:p w14:paraId="0B48DFA9"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1F50F165" w14:textId="77777777" w:rsidTr="00552E05">
        <w:trPr>
          <w:trHeight w:val="227"/>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14:paraId="267D4488" w14:textId="77777777" w:rsidR="00BA1338" w:rsidRPr="00545EC0" w:rsidRDefault="00BA1338" w:rsidP="004F2AF2">
            <w:pPr>
              <w:spacing w:line="240" w:lineRule="auto"/>
              <w:rPr>
                <w:rFonts w:cs="Arial"/>
                <w:sz w:val="18"/>
                <w:szCs w:val="18"/>
              </w:rPr>
            </w:pPr>
            <w:r w:rsidRPr="00545EC0">
              <w:rPr>
                <w:rFonts w:cs="Arial"/>
                <w:sz w:val="18"/>
                <w:szCs w:val="18"/>
              </w:rPr>
              <w:t>SI116VT7</w:t>
            </w:r>
          </w:p>
        </w:tc>
        <w:tc>
          <w:tcPr>
            <w:tcW w:w="2386" w:type="pct"/>
            <w:tcBorders>
              <w:top w:val="nil"/>
              <w:left w:val="nil"/>
              <w:bottom w:val="single" w:sz="4" w:space="0" w:color="auto"/>
              <w:right w:val="single" w:sz="4" w:space="0" w:color="auto"/>
            </w:tcBorders>
            <w:shd w:val="clear" w:color="auto" w:fill="auto"/>
            <w:noWrap/>
            <w:vAlign w:val="center"/>
            <w:hideMark/>
          </w:tcPr>
          <w:p w14:paraId="2EBAD65F" w14:textId="77777777" w:rsidR="00BA1338" w:rsidRPr="00545EC0" w:rsidRDefault="00BA1338" w:rsidP="004F2AF2">
            <w:pPr>
              <w:spacing w:line="240" w:lineRule="auto"/>
              <w:rPr>
                <w:rFonts w:cs="Arial"/>
                <w:sz w:val="18"/>
                <w:szCs w:val="18"/>
              </w:rPr>
            </w:pPr>
            <w:r w:rsidRPr="00545EC0">
              <w:rPr>
                <w:rFonts w:cs="Arial"/>
                <w:sz w:val="18"/>
                <w:szCs w:val="18"/>
              </w:rPr>
              <w:t>VT Kokra Preddvor - Kranj</w:t>
            </w:r>
          </w:p>
        </w:tc>
        <w:tc>
          <w:tcPr>
            <w:tcW w:w="1001" w:type="pct"/>
            <w:tcBorders>
              <w:top w:val="single" w:sz="4" w:space="0" w:color="auto"/>
              <w:left w:val="nil"/>
              <w:bottom w:val="single" w:sz="4" w:space="0" w:color="auto"/>
              <w:right w:val="single" w:sz="4" w:space="0" w:color="auto"/>
            </w:tcBorders>
            <w:vAlign w:val="center"/>
          </w:tcPr>
          <w:p w14:paraId="50BEC07E" w14:textId="77777777" w:rsidR="00BA1338" w:rsidRPr="00545EC0" w:rsidRDefault="00BA1338" w:rsidP="004F2AF2">
            <w:pPr>
              <w:spacing w:line="240" w:lineRule="auto"/>
              <w:rPr>
                <w:rFonts w:cs="Arial"/>
                <w:sz w:val="18"/>
                <w:szCs w:val="18"/>
              </w:rPr>
            </w:pPr>
            <w:r w:rsidRPr="00545EC0">
              <w:rPr>
                <w:rFonts w:cs="Arial"/>
                <w:sz w:val="18"/>
                <w:szCs w:val="18"/>
              </w:rPr>
              <w:t>Kokra</w:t>
            </w:r>
          </w:p>
        </w:tc>
        <w:tc>
          <w:tcPr>
            <w:tcW w:w="602" w:type="pct"/>
            <w:vMerge/>
            <w:tcBorders>
              <w:left w:val="single" w:sz="4" w:space="0" w:color="auto"/>
              <w:right w:val="single" w:sz="4" w:space="0" w:color="auto"/>
            </w:tcBorders>
            <w:shd w:val="clear" w:color="auto" w:fill="auto"/>
            <w:vAlign w:val="center"/>
          </w:tcPr>
          <w:p w14:paraId="40EB94A4" w14:textId="77777777" w:rsidR="00BA1338" w:rsidRPr="00545EC0" w:rsidRDefault="00BA1338" w:rsidP="004F2AF2">
            <w:pPr>
              <w:spacing w:line="240" w:lineRule="auto"/>
              <w:rPr>
                <w:rFonts w:cs="Arial"/>
                <w:sz w:val="18"/>
                <w:szCs w:val="18"/>
              </w:rPr>
            </w:pPr>
          </w:p>
        </w:tc>
        <w:tc>
          <w:tcPr>
            <w:tcW w:w="218" w:type="pct"/>
            <w:tcBorders>
              <w:top w:val="nil"/>
              <w:left w:val="single" w:sz="4" w:space="0" w:color="auto"/>
              <w:bottom w:val="single" w:sz="4" w:space="0" w:color="auto"/>
              <w:right w:val="single" w:sz="4" w:space="0" w:color="auto"/>
            </w:tcBorders>
            <w:shd w:val="clear" w:color="auto" w:fill="FFFFFF" w:themeFill="background1"/>
            <w:vAlign w:val="center"/>
          </w:tcPr>
          <w:p w14:paraId="28B21C84"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217" w:type="pct"/>
            <w:tcBorders>
              <w:top w:val="nil"/>
              <w:left w:val="single" w:sz="4" w:space="0" w:color="auto"/>
              <w:bottom w:val="single" w:sz="4" w:space="0" w:color="auto"/>
              <w:right w:val="single" w:sz="4" w:space="0" w:color="auto"/>
            </w:tcBorders>
            <w:shd w:val="clear" w:color="auto" w:fill="FFFFFF" w:themeFill="background1"/>
            <w:vAlign w:val="center"/>
          </w:tcPr>
          <w:p w14:paraId="53FCABA0"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48C52548" w14:textId="77777777" w:rsidTr="00552E05">
        <w:trPr>
          <w:trHeight w:val="227"/>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14:paraId="7F49621D" w14:textId="77777777" w:rsidR="00BA1338" w:rsidRPr="00545EC0" w:rsidRDefault="00BA1338" w:rsidP="004F2AF2">
            <w:pPr>
              <w:spacing w:line="240" w:lineRule="auto"/>
              <w:rPr>
                <w:rFonts w:cs="Arial"/>
                <w:sz w:val="18"/>
                <w:szCs w:val="18"/>
              </w:rPr>
            </w:pPr>
            <w:r w:rsidRPr="00545EC0">
              <w:rPr>
                <w:rFonts w:cs="Arial"/>
                <w:sz w:val="18"/>
                <w:szCs w:val="18"/>
              </w:rPr>
              <w:t>SI122VT</w:t>
            </w:r>
          </w:p>
        </w:tc>
        <w:tc>
          <w:tcPr>
            <w:tcW w:w="2386" w:type="pct"/>
            <w:tcBorders>
              <w:top w:val="nil"/>
              <w:left w:val="nil"/>
              <w:bottom w:val="single" w:sz="4" w:space="0" w:color="auto"/>
              <w:right w:val="single" w:sz="4" w:space="0" w:color="auto"/>
            </w:tcBorders>
            <w:shd w:val="clear" w:color="auto" w:fill="auto"/>
            <w:noWrap/>
            <w:vAlign w:val="center"/>
            <w:hideMark/>
          </w:tcPr>
          <w:p w14:paraId="3D45FC1B" w14:textId="77777777" w:rsidR="00BA1338" w:rsidRPr="00545EC0" w:rsidRDefault="00BA1338" w:rsidP="004F2AF2">
            <w:pPr>
              <w:spacing w:line="240" w:lineRule="auto"/>
              <w:rPr>
                <w:rFonts w:cs="Arial"/>
                <w:sz w:val="18"/>
                <w:szCs w:val="18"/>
              </w:rPr>
            </w:pPr>
            <w:r w:rsidRPr="00545EC0">
              <w:rPr>
                <w:rFonts w:cs="Arial"/>
                <w:sz w:val="18"/>
                <w:szCs w:val="18"/>
              </w:rPr>
              <w:t>VT Selška Sora</w:t>
            </w:r>
          </w:p>
        </w:tc>
        <w:tc>
          <w:tcPr>
            <w:tcW w:w="1001" w:type="pct"/>
            <w:tcBorders>
              <w:top w:val="single" w:sz="4" w:space="0" w:color="auto"/>
              <w:left w:val="nil"/>
              <w:bottom w:val="single" w:sz="4" w:space="0" w:color="auto"/>
              <w:right w:val="single" w:sz="4" w:space="0" w:color="auto"/>
            </w:tcBorders>
            <w:vAlign w:val="center"/>
          </w:tcPr>
          <w:p w14:paraId="40E55E2B" w14:textId="77777777" w:rsidR="00BA1338" w:rsidRPr="00545EC0" w:rsidRDefault="00BA1338" w:rsidP="004F2AF2">
            <w:pPr>
              <w:spacing w:line="240" w:lineRule="auto"/>
              <w:rPr>
                <w:rFonts w:cs="Arial"/>
                <w:sz w:val="18"/>
                <w:szCs w:val="18"/>
              </w:rPr>
            </w:pPr>
            <w:r w:rsidRPr="00545EC0">
              <w:rPr>
                <w:rFonts w:cs="Arial"/>
                <w:sz w:val="18"/>
                <w:szCs w:val="18"/>
              </w:rPr>
              <w:t>Selška Sora</w:t>
            </w:r>
          </w:p>
        </w:tc>
        <w:tc>
          <w:tcPr>
            <w:tcW w:w="602" w:type="pct"/>
            <w:vMerge/>
            <w:tcBorders>
              <w:left w:val="single" w:sz="4" w:space="0" w:color="auto"/>
              <w:right w:val="single" w:sz="4" w:space="0" w:color="auto"/>
            </w:tcBorders>
            <w:shd w:val="clear" w:color="auto" w:fill="auto"/>
            <w:vAlign w:val="center"/>
          </w:tcPr>
          <w:p w14:paraId="3A5A609A" w14:textId="77777777" w:rsidR="00BA1338" w:rsidRPr="00545EC0" w:rsidRDefault="00BA1338" w:rsidP="004F2AF2">
            <w:pPr>
              <w:spacing w:line="240" w:lineRule="auto"/>
              <w:rPr>
                <w:rFonts w:cs="Arial"/>
                <w:sz w:val="18"/>
                <w:szCs w:val="18"/>
              </w:rPr>
            </w:pPr>
          </w:p>
        </w:tc>
        <w:tc>
          <w:tcPr>
            <w:tcW w:w="218" w:type="pct"/>
            <w:tcBorders>
              <w:top w:val="nil"/>
              <w:left w:val="single" w:sz="4" w:space="0" w:color="auto"/>
              <w:bottom w:val="single" w:sz="4" w:space="0" w:color="auto"/>
              <w:right w:val="single" w:sz="4" w:space="0" w:color="auto"/>
            </w:tcBorders>
            <w:shd w:val="clear" w:color="auto" w:fill="FFFFFF" w:themeFill="background1"/>
            <w:vAlign w:val="center"/>
          </w:tcPr>
          <w:p w14:paraId="3838CAA3"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217" w:type="pct"/>
            <w:tcBorders>
              <w:top w:val="nil"/>
              <w:left w:val="single" w:sz="4" w:space="0" w:color="auto"/>
              <w:bottom w:val="single" w:sz="4" w:space="0" w:color="auto"/>
              <w:right w:val="single" w:sz="4" w:space="0" w:color="auto"/>
            </w:tcBorders>
            <w:shd w:val="clear" w:color="auto" w:fill="FFFFFF" w:themeFill="background1"/>
            <w:vAlign w:val="center"/>
          </w:tcPr>
          <w:p w14:paraId="75C2AF1F"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64725C01" w14:textId="77777777" w:rsidTr="00552E05">
        <w:trPr>
          <w:trHeight w:val="227"/>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14:paraId="4E342016" w14:textId="77777777" w:rsidR="00BA1338" w:rsidRPr="00545EC0" w:rsidRDefault="00BA1338" w:rsidP="004F2AF2">
            <w:pPr>
              <w:spacing w:line="240" w:lineRule="auto"/>
              <w:rPr>
                <w:rFonts w:cs="Arial"/>
                <w:sz w:val="18"/>
                <w:szCs w:val="18"/>
              </w:rPr>
            </w:pPr>
            <w:r w:rsidRPr="00545EC0">
              <w:rPr>
                <w:rFonts w:cs="Arial"/>
                <w:sz w:val="18"/>
                <w:szCs w:val="18"/>
              </w:rPr>
              <w:t>SI1VT137</w:t>
            </w:r>
          </w:p>
        </w:tc>
        <w:tc>
          <w:tcPr>
            <w:tcW w:w="2386" w:type="pct"/>
            <w:tcBorders>
              <w:top w:val="nil"/>
              <w:left w:val="nil"/>
              <w:bottom w:val="single" w:sz="4" w:space="0" w:color="auto"/>
              <w:right w:val="single" w:sz="4" w:space="0" w:color="auto"/>
            </w:tcBorders>
            <w:shd w:val="clear" w:color="auto" w:fill="auto"/>
            <w:noWrap/>
            <w:vAlign w:val="center"/>
            <w:hideMark/>
          </w:tcPr>
          <w:p w14:paraId="40BFB92B" w14:textId="77777777" w:rsidR="00BA1338" w:rsidRPr="00545EC0" w:rsidRDefault="00BA1338" w:rsidP="004F2AF2">
            <w:pPr>
              <w:spacing w:line="240" w:lineRule="auto"/>
              <w:rPr>
                <w:rFonts w:cs="Arial"/>
                <w:sz w:val="18"/>
                <w:szCs w:val="18"/>
              </w:rPr>
            </w:pPr>
            <w:r w:rsidRPr="00545EC0">
              <w:rPr>
                <w:rFonts w:cs="Arial"/>
                <w:sz w:val="18"/>
                <w:szCs w:val="18"/>
              </w:rPr>
              <w:t>VT Sava HE Moste - Podbrezje</w:t>
            </w:r>
          </w:p>
        </w:tc>
        <w:tc>
          <w:tcPr>
            <w:tcW w:w="1001" w:type="pct"/>
            <w:tcBorders>
              <w:top w:val="single" w:sz="4" w:space="0" w:color="auto"/>
              <w:left w:val="nil"/>
              <w:bottom w:val="single" w:sz="4" w:space="0" w:color="auto"/>
              <w:right w:val="single" w:sz="4" w:space="0" w:color="auto"/>
            </w:tcBorders>
            <w:vAlign w:val="center"/>
          </w:tcPr>
          <w:p w14:paraId="162F83E9" w14:textId="77777777" w:rsidR="00BA1338" w:rsidRPr="00545EC0" w:rsidRDefault="00BA1338" w:rsidP="004F2AF2">
            <w:pPr>
              <w:spacing w:line="240" w:lineRule="auto"/>
              <w:rPr>
                <w:rFonts w:cs="Arial"/>
                <w:sz w:val="18"/>
                <w:szCs w:val="18"/>
              </w:rPr>
            </w:pPr>
            <w:r w:rsidRPr="00545EC0">
              <w:rPr>
                <w:rFonts w:cs="Arial"/>
                <w:sz w:val="18"/>
                <w:szCs w:val="18"/>
              </w:rPr>
              <w:t>Sava, Završnica</w:t>
            </w:r>
          </w:p>
        </w:tc>
        <w:tc>
          <w:tcPr>
            <w:tcW w:w="602" w:type="pct"/>
            <w:vMerge/>
            <w:tcBorders>
              <w:left w:val="single" w:sz="4" w:space="0" w:color="auto"/>
              <w:bottom w:val="single" w:sz="4" w:space="0" w:color="auto"/>
              <w:right w:val="single" w:sz="4" w:space="0" w:color="auto"/>
            </w:tcBorders>
            <w:shd w:val="clear" w:color="auto" w:fill="auto"/>
            <w:vAlign w:val="center"/>
          </w:tcPr>
          <w:p w14:paraId="37E43A97" w14:textId="77777777" w:rsidR="00BA1338" w:rsidRPr="00545EC0" w:rsidRDefault="00BA1338" w:rsidP="004F2AF2">
            <w:pPr>
              <w:spacing w:line="240" w:lineRule="auto"/>
              <w:rPr>
                <w:rFonts w:cs="Arial"/>
                <w:sz w:val="18"/>
                <w:szCs w:val="18"/>
              </w:rPr>
            </w:pPr>
          </w:p>
        </w:tc>
        <w:tc>
          <w:tcPr>
            <w:tcW w:w="218" w:type="pct"/>
            <w:tcBorders>
              <w:top w:val="nil"/>
              <w:left w:val="single" w:sz="4" w:space="0" w:color="auto"/>
              <w:bottom w:val="single" w:sz="4" w:space="0" w:color="auto"/>
              <w:right w:val="single" w:sz="4" w:space="0" w:color="auto"/>
            </w:tcBorders>
            <w:shd w:val="clear" w:color="auto" w:fill="FFFFFF" w:themeFill="background1"/>
            <w:vAlign w:val="center"/>
          </w:tcPr>
          <w:p w14:paraId="49A88E7E"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217" w:type="pct"/>
            <w:tcBorders>
              <w:top w:val="nil"/>
              <w:left w:val="single" w:sz="4" w:space="0" w:color="auto"/>
              <w:bottom w:val="single" w:sz="4" w:space="0" w:color="auto"/>
              <w:right w:val="single" w:sz="4" w:space="0" w:color="auto"/>
            </w:tcBorders>
            <w:shd w:val="clear" w:color="auto" w:fill="FFFFFF" w:themeFill="background1"/>
            <w:vAlign w:val="center"/>
          </w:tcPr>
          <w:p w14:paraId="626F573B"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36FC4CE4" w14:textId="77777777" w:rsidTr="00552E05">
        <w:trPr>
          <w:trHeight w:val="227"/>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14:paraId="12408FF2" w14:textId="77777777" w:rsidR="00BA1338" w:rsidRPr="00545EC0" w:rsidRDefault="00BA1338" w:rsidP="004F2AF2">
            <w:pPr>
              <w:spacing w:line="240" w:lineRule="auto"/>
              <w:rPr>
                <w:rFonts w:cs="Arial"/>
                <w:sz w:val="18"/>
                <w:szCs w:val="18"/>
              </w:rPr>
            </w:pPr>
            <w:r w:rsidRPr="00545EC0">
              <w:rPr>
                <w:rFonts w:cs="Arial"/>
                <w:sz w:val="18"/>
                <w:szCs w:val="18"/>
              </w:rPr>
              <w:t>SI132VT5</w:t>
            </w:r>
          </w:p>
        </w:tc>
        <w:tc>
          <w:tcPr>
            <w:tcW w:w="2386" w:type="pct"/>
            <w:tcBorders>
              <w:top w:val="nil"/>
              <w:left w:val="nil"/>
              <w:bottom w:val="single" w:sz="4" w:space="0" w:color="auto"/>
              <w:right w:val="single" w:sz="4" w:space="0" w:color="auto"/>
            </w:tcBorders>
            <w:shd w:val="clear" w:color="auto" w:fill="auto"/>
            <w:noWrap/>
            <w:vAlign w:val="center"/>
            <w:hideMark/>
          </w:tcPr>
          <w:p w14:paraId="51DEFAE0" w14:textId="77777777" w:rsidR="00BA1338" w:rsidRPr="00545EC0" w:rsidRDefault="00BA1338" w:rsidP="004F2AF2">
            <w:pPr>
              <w:spacing w:line="240" w:lineRule="auto"/>
              <w:rPr>
                <w:rFonts w:cs="Arial"/>
                <w:sz w:val="18"/>
                <w:szCs w:val="18"/>
              </w:rPr>
            </w:pPr>
            <w:r w:rsidRPr="00545EC0">
              <w:rPr>
                <w:rFonts w:cs="Arial"/>
                <w:sz w:val="18"/>
                <w:szCs w:val="18"/>
              </w:rPr>
              <w:t>VT Kamniška Bistrica Stahovica - Študa</w:t>
            </w:r>
          </w:p>
        </w:tc>
        <w:tc>
          <w:tcPr>
            <w:tcW w:w="1001" w:type="pct"/>
            <w:tcBorders>
              <w:top w:val="single" w:sz="4" w:space="0" w:color="auto"/>
              <w:left w:val="nil"/>
              <w:bottom w:val="single" w:sz="4" w:space="0" w:color="auto"/>
              <w:right w:val="single" w:sz="4" w:space="0" w:color="auto"/>
            </w:tcBorders>
            <w:vAlign w:val="center"/>
          </w:tcPr>
          <w:p w14:paraId="724B338C" w14:textId="328656AE" w:rsidR="00BA1338" w:rsidRPr="00545EC0" w:rsidRDefault="00BA1338" w:rsidP="004F2AF2">
            <w:pPr>
              <w:spacing w:line="240" w:lineRule="auto"/>
              <w:rPr>
                <w:rFonts w:cs="Arial"/>
                <w:sz w:val="18"/>
                <w:szCs w:val="18"/>
              </w:rPr>
            </w:pPr>
            <w:r w:rsidRPr="00545EC0">
              <w:rPr>
                <w:rFonts w:cs="Arial"/>
                <w:sz w:val="18"/>
                <w:szCs w:val="18"/>
              </w:rPr>
              <w:t xml:space="preserve">Kamniška </w:t>
            </w:r>
            <w:r w:rsidR="00C12042" w:rsidRPr="00545EC0">
              <w:rPr>
                <w:rFonts w:cs="Arial"/>
                <w:sz w:val="18"/>
                <w:szCs w:val="18"/>
              </w:rPr>
              <w:t>Bistrica</w:t>
            </w:r>
          </w:p>
        </w:tc>
        <w:tc>
          <w:tcPr>
            <w:tcW w:w="602" w:type="pct"/>
            <w:vMerge w:val="restart"/>
            <w:tcBorders>
              <w:top w:val="nil"/>
              <w:left w:val="single" w:sz="4" w:space="0" w:color="auto"/>
              <w:right w:val="single" w:sz="4" w:space="0" w:color="auto"/>
            </w:tcBorders>
            <w:shd w:val="clear" w:color="auto" w:fill="auto"/>
            <w:vAlign w:val="center"/>
          </w:tcPr>
          <w:p w14:paraId="4A056956" w14:textId="77777777" w:rsidR="00BA1338" w:rsidRPr="00545EC0" w:rsidRDefault="00BA1338" w:rsidP="004F2AF2">
            <w:pPr>
              <w:spacing w:line="240" w:lineRule="auto"/>
              <w:rPr>
                <w:rFonts w:cs="Arial"/>
                <w:sz w:val="18"/>
                <w:szCs w:val="18"/>
              </w:rPr>
            </w:pPr>
            <w:r w:rsidRPr="00545EC0">
              <w:rPr>
                <w:rFonts w:cs="Arial"/>
                <w:sz w:val="18"/>
                <w:szCs w:val="18"/>
              </w:rPr>
              <w:t>Srednja Sava</w:t>
            </w:r>
          </w:p>
        </w:tc>
        <w:tc>
          <w:tcPr>
            <w:tcW w:w="218" w:type="pct"/>
            <w:tcBorders>
              <w:top w:val="nil"/>
              <w:left w:val="single" w:sz="4" w:space="0" w:color="auto"/>
              <w:bottom w:val="single" w:sz="4" w:space="0" w:color="auto"/>
              <w:right w:val="single" w:sz="4" w:space="0" w:color="auto"/>
            </w:tcBorders>
            <w:shd w:val="clear" w:color="auto" w:fill="FFFFFF" w:themeFill="background1"/>
            <w:vAlign w:val="center"/>
          </w:tcPr>
          <w:p w14:paraId="4CA6DC3D"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217" w:type="pct"/>
            <w:tcBorders>
              <w:top w:val="nil"/>
              <w:left w:val="single" w:sz="4" w:space="0" w:color="auto"/>
              <w:bottom w:val="single" w:sz="4" w:space="0" w:color="auto"/>
              <w:right w:val="single" w:sz="4" w:space="0" w:color="auto"/>
            </w:tcBorders>
            <w:shd w:val="clear" w:color="auto" w:fill="FFFFFF" w:themeFill="background1"/>
            <w:vAlign w:val="center"/>
          </w:tcPr>
          <w:p w14:paraId="385BDB64"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3885E3D9" w14:textId="77777777" w:rsidTr="00552E05">
        <w:trPr>
          <w:trHeight w:val="227"/>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14:paraId="081E9E33" w14:textId="77777777" w:rsidR="00BA1338" w:rsidRPr="00545EC0" w:rsidRDefault="00BA1338" w:rsidP="004F2AF2">
            <w:pPr>
              <w:spacing w:line="240" w:lineRule="auto"/>
              <w:rPr>
                <w:rFonts w:cs="Arial"/>
                <w:sz w:val="18"/>
                <w:szCs w:val="18"/>
              </w:rPr>
            </w:pPr>
            <w:r w:rsidRPr="00545EC0">
              <w:rPr>
                <w:rFonts w:cs="Arial"/>
                <w:sz w:val="18"/>
                <w:szCs w:val="18"/>
              </w:rPr>
              <w:t>SI132VT7</w:t>
            </w:r>
          </w:p>
        </w:tc>
        <w:tc>
          <w:tcPr>
            <w:tcW w:w="2386" w:type="pct"/>
            <w:tcBorders>
              <w:top w:val="nil"/>
              <w:left w:val="nil"/>
              <w:bottom w:val="single" w:sz="4" w:space="0" w:color="auto"/>
              <w:right w:val="single" w:sz="4" w:space="0" w:color="auto"/>
            </w:tcBorders>
            <w:shd w:val="clear" w:color="auto" w:fill="auto"/>
            <w:noWrap/>
            <w:vAlign w:val="center"/>
            <w:hideMark/>
          </w:tcPr>
          <w:p w14:paraId="19A7B610" w14:textId="77777777" w:rsidR="00BA1338" w:rsidRPr="00545EC0" w:rsidRDefault="00BA1338" w:rsidP="004F2AF2">
            <w:pPr>
              <w:spacing w:line="240" w:lineRule="auto"/>
              <w:rPr>
                <w:rFonts w:cs="Arial"/>
                <w:sz w:val="18"/>
                <w:szCs w:val="18"/>
              </w:rPr>
            </w:pPr>
            <w:r w:rsidRPr="00545EC0">
              <w:rPr>
                <w:rFonts w:cs="Arial"/>
                <w:sz w:val="18"/>
                <w:szCs w:val="18"/>
              </w:rPr>
              <w:t>VT Kamniška Bistrica Študa - Dol</w:t>
            </w:r>
          </w:p>
        </w:tc>
        <w:tc>
          <w:tcPr>
            <w:tcW w:w="1001" w:type="pct"/>
            <w:tcBorders>
              <w:top w:val="single" w:sz="4" w:space="0" w:color="auto"/>
              <w:left w:val="nil"/>
              <w:bottom w:val="single" w:sz="4" w:space="0" w:color="auto"/>
              <w:right w:val="single" w:sz="4" w:space="0" w:color="auto"/>
            </w:tcBorders>
            <w:vAlign w:val="center"/>
          </w:tcPr>
          <w:p w14:paraId="52004BBE" w14:textId="77777777" w:rsidR="00BA1338" w:rsidRPr="00545EC0" w:rsidRDefault="00BA1338" w:rsidP="004F2AF2">
            <w:pPr>
              <w:spacing w:line="240" w:lineRule="auto"/>
              <w:rPr>
                <w:rFonts w:cs="Arial"/>
                <w:sz w:val="18"/>
                <w:szCs w:val="18"/>
              </w:rPr>
            </w:pPr>
            <w:r w:rsidRPr="00545EC0">
              <w:rPr>
                <w:rFonts w:cs="Arial"/>
                <w:sz w:val="18"/>
                <w:szCs w:val="18"/>
              </w:rPr>
              <w:t>Kamniška Bistrica</w:t>
            </w:r>
          </w:p>
        </w:tc>
        <w:tc>
          <w:tcPr>
            <w:tcW w:w="602" w:type="pct"/>
            <w:vMerge/>
            <w:tcBorders>
              <w:left w:val="single" w:sz="4" w:space="0" w:color="auto"/>
              <w:bottom w:val="single" w:sz="4" w:space="0" w:color="auto"/>
              <w:right w:val="single" w:sz="4" w:space="0" w:color="auto"/>
            </w:tcBorders>
            <w:shd w:val="clear" w:color="auto" w:fill="auto"/>
            <w:vAlign w:val="center"/>
          </w:tcPr>
          <w:p w14:paraId="7066A03F" w14:textId="77777777" w:rsidR="00BA1338" w:rsidRPr="00545EC0" w:rsidRDefault="00BA1338" w:rsidP="004F2AF2">
            <w:pPr>
              <w:spacing w:line="240" w:lineRule="auto"/>
              <w:rPr>
                <w:rFonts w:cs="Arial"/>
                <w:sz w:val="18"/>
                <w:szCs w:val="18"/>
              </w:rPr>
            </w:pPr>
          </w:p>
        </w:tc>
        <w:tc>
          <w:tcPr>
            <w:tcW w:w="218" w:type="pct"/>
            <w:tcBorders>
              <w:top w:val="nil"/>
              <w:left w:val="single" w:sz="4" w:space="0" w:color="auto"/>
              <w:bottom w:val="single" w:sz="4" w:space="0" w:color="auto"/>
              <w:right w:val="single" w:sz="4" w:space="0" w:color="auto"/>
            </w:tcBorders>
            <w:shd w:val="clear" w:color="auto" w:fill="FFFFFF" w:themeFill="background1"/>
            <w:vAlign w:val="center"/>
          </w:tcPr>
          <w:p w14:paraId="2C1E8421"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217" w:type="pct"/>
            <w:tcBorders>
              <w:top w:val="nil"/>
              <w:left w:val="single" w:sz="4" w:space="0" w:color="auto"/>
              <w:bottom w:val="single" w:sz="4" w:space="0" w:color="auto"/>
              <w:right w:val="single" w:sz="4" w:space="0" w:color="auto"/>
            </w:tcBorders>
            <w:shd w:val="clear" w:color="auto" w:fill="FFFFFF" w:themeFill="background1"/>
            <w:vAlign w:val="center"/>
          </w:tcPr>
          <w:p w14:paraId="29BFA767"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4FE4A6A9" w14:textId="77777777" w:rsidTr="00552E05">
        <w:trPr>
          <w:trHeight w:val="227"/>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14:paraId="0382D5FA" w14:textId="77777777" w:rsidR="00BA1338" w:rsidRPr="00545EC0" w:rsidRDefault="00BA1338" w:rsidP="004F2AF2">
            <w:pPr>
              <w:spacing w:line="240" w:lineRule="auto"/>
              <w:rPr>
                <w:rFonts w:cs="Arial"/>
                <w:sz w:val="18"/>
                <w:szCs w:val="18"/>
              </w:rPr>
            </w:pPr>
            <w:r w:rsidRPr="00545EC0">
              <w:rPr>
                <w:rFonts w:cs="Arial"/>
                <w:sz w:val="18"/>
                <w:szCs w:val="18"/>
              </w:rPr>
              <w:t>SI172VT</w:t>
            </w:r>
          </w:p>
        </w:tc>
        <w:tc>
          <w:tcPr>
            <w:tcW w:w="2386" w:type="pct"/>
            <w:tcBorders>
              <w:top w:val="nil"/>
              <w:left w:val="nil"/>
              <w:bottom w:val="single" w:sz="4" w:space="0" w:color="auto"/>
              <w:right w:val="single" w:sz="4" w:space="0" w:color="auto"/>
            </w:tcBorders>
            <w:shd w:val="clear" w:color="auto" w:fill="auto"/>
            <w:noWrap/>
            <w:vAlign w:val="center"/>
            <w:hideMark/>
          </w:tcPr>
          <w:p w14:paraId="4D5778A3" w14:textId="77777777" w:rsidR="00BA1338" w:rsidRPr="00545EC0" w:rsidRDefault="00BA1338" w:rsidP="004F2AF2">
            <w:pPr>
              <w:spacing w:line="240" w:lineRule="auto"/>
              <w:rPr>
                <w:rFonts w:cs="Arial"/>
                <w:sz w:val="18"/>
                <w:szCs w:val="18"/>
              </w:rPr>
            </w:pPr>
            <w:r w:rsidRPr="00545EC0">
              <w:rPr>
                <w:rFonts w:cs="Arial"/>
                <w:sz w:val="18"/>
                <w:szCs w:val="18"/>
              </w:rPr>
              <w:t>VT Mirna</w:t>
            </w:r>
          </w:p>
        </w:tc>
        <w:tc>
          <w:tcPr>
            <w:tcW w:w="1001" w:type="pct"/>
            <w:tcBorders>
              <w:top w:val="single" w:sz="4" w:space="0" w:color="auto"/>
              <w:left w:val="nil"/>
              <w:bottom w:val="single" w:sz="4" w:space="0" w:color="auto"/>
              <w:right w:val="single" w:sz="4" w:space="0" w:color="auto"/>
            </w:tcBorders>
            <w:vAlign w:val="center"/>
          </w:tcPr>
          <w:p w14:paraId="2FBBF47C" w14:textId="77777777" w:rsidR="00BA1338" w:rsidRPr="00545EC0" w:rsidRDefault="00BA1338" w:rsidP="004F2AF2">
            <w:pPr>
              <w:spacing w:line="240" w:lineRule="auto"/>
              <w:rPr>
                <w:rFonts w:cs="Arial"/>
                <w:sz w:val="18"/>
                <w:szCs w:val="18"/>
              </w:rPr>
            </w:pPr>
            <w:r w:rsidRPr="00545EC0">
              <w:rPr>
                <w:rFonts w:cs="Arial"/>
                <w:sz w:val="18"/>
                <w:szCs w:val="18"/>
              </w:rPr>
              <w:t>Bistrica</w:t>
            </w:r>
          </w:p>
        </w:tc>
        <w:tc>
          <w:tcPr>
            <w:tcW w:w="602" w:type="pct"/>
            <w:vMerge w:val="restart"/>
            <w:tcBorders>
              <w:top w:val="nil"/>
              <w:left w:val="single" w:sz="4" w:space="0" w:color="auto"/>
              <w:right w:val="single" w:sz="4" w:space="0" w:color="auto"/>
            </w:tcBorders>
            <w:shd w:val="clear" w:color="auto" w:fill="auto"/>
            <w:vAlign w:val="center"/>
          </w:tcPr>
          <w:p w14:paraId="589F08C5" w14:textId="77777777" w:rsidR="00BA1338" w:rsidRPr="00545EC0" w:rsidRDefault="00BA1338" w:rsidP="004F2AF2">
            <w:pPr>
              <w:spacing w:line="240" w:lineRule="auto"/>
              <w:rPr>
                <w:rFonts w:cs="Arial"/>
                <w:sz w:val="18"/>
                <w:szCs w:val="18"/>
              </w:rPr>
            </w:pPr>
            <w:r w:rsidRPr="00545EC0">
              <w:rPr>
                <w:rFonts w:cs="Arial"/>
                <w:sz w:val="18"/>
                <w:szCs w:val="18"/>
              </w:rPr>
              <w:t>Spodnja Sava</w:t>
            </w:r>
          </w:p>
        </w:tc>
        <w:tc>
          <w:tcPr>
            <w:tcW w:w="218" w:type="pct"/>
            <w:tcBorders>
              <w:top w:val="nil"/>
              <w:left w:val="single" w:sz="4" w:space="0" w:color="auto"/>
              <w:bottom w:val="single" w:sz="4" w:space="0" w:color="auto"/>
              <w:right w:val="single" w:sz="4" w:space="0" w:color="auto"/>
            </w:tcBorders>
            <w:shd w:val="clear" w:color="auto" w:fill="FFFFFF" w:themeFill="background1"/>
            <w:vAlign w:val="center"/>
          </w:tcPr>
          <w:p w14:paraId="68205198" w14:textId="77777777" w:rsidR="00BA1338" w:rsidRPr="00545EC0" w:rsidRDefault="00BA1338" w:rsidP="004F2AF2">
            <w:pPr>
              <w:spacing w:line="240" w:lineRule="auto"/>
              <w:rPr>
                <w:rFonts w:cs="Arial"/>
                <w:sz w:val="18"/>
                <w:szCs w:val="18"/>
              </w:rPr>
            </w:pPr>
            <w:r w:rsidRPr="00545EC0">
              <w:rPr>
                <w:rFonts w:cs="Arial"/>
                <w:sz w:val="18"/>
                <w:szCs w:val="18"/>
              </w:rPr>
              <w:t>0</w:t>
            </w:r>
          </w:p>
        </w:tc>
        <w:tc>
          <w:tcPr>
            <w:tcW w:w="217" w:type="pct"/>
            <w:tcBorders>
              <w:top w:val="nil"/>
              <w:left w:val="single" w:sz="4" w:space="0" w:color="auto"/>
              <w:bottom w:val="single" w:sz="4" w:space="0" w:color="auto"/>
              <w:right w:val="single" w:sz="4" w:space="0" w:color="auto"/>
            </w:tcBorders>
            <w:shd w:val="clear" w:color="auto" w:fill="FFFFFF" w:themeFill="background1"/>
            <w:vAlign w:val="center"/>
          </w:tcPr>
          <w:p w14:paraId="3AE720DE"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0483931E" w14:textId="77777777" w:rsidTr="00552E05">
        <w:trPr>
          <w:trHeight w:val="227"/>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14:paraId="11DA7C36" w14:textId="77777777" w:rsidR="00BA1338" w:rsidRPr="00545EC0" w:rsidRDefault="00BA1338" w:rsidP="004F2AF2">
            <w:pPr>
              <w:spacing w:line="240" w:lineRule="auto"/>
              <w:rPr>
                <w:rFonts w:cs="Arial"/>
                <w:sz w:val="18"/>
                <w:szCs w:val="18"/>
              </w:rPr>
            </w:pPr>
            <w:r w:rsidRPr="00545EC0">
              <w:rPr>
                <w:rFonts w:cs="Arial"/>
                <w:sz w:val="18"/>
                <w:szCs w:val="18"/>
              </w:rPr>
              <w:t>SI184VT1</w:t>
            </w:r>
          </w:p>
        </w:tc>
        <w:tc>
          <w:tcPr>
            <w:tcW w:w="2386" w:type="pct"/>
            <w:tcBorders>
              <w:top w:val="nil"/>
              <w:left w:val="nil"/>
              <w:bottom w:val="single" w:sz="4" w:space="0" w:color="auto"/>
              <w:right w:val="single" w:sz="4" w:space="0" w:color="auto"/>
            </w:tcBorders>
            <w:shd w:val="clear" w:color="auto" w:fill="auto"/>
            <w:noWrap/>
            <w:vAlign w:val="center"/>
            <w:hideMark/>
          </w:tcPr>
          <w:p w14:paraId="05DBDCCB" w14:textId="77777777" w:rsidR="00BA1338" w:rsidRPr="00545EC0" w:rsidRDefault="00BA1338" w:rsidP="004F2AF2">
            <w:pPr>
              <w:spacing w:line="240" w:lineRule="auto"/>
              <w:rPr>
                <w:rFonts w:cs="Arial"/>
                <w:sz w:val="18"/>
                <w:szCs w:val="18"/>
              </w:rPr>
            </w:pPr>
            <w:r w:rsidRPr="00545EC0">
              <w:rPr>
                <w:rFonts w:cs="Arial"/>
                <w:sz w:val="18"/>
                <w:szCs w:val="18"/>
              </w:rPr>
              <w:t>VT Črmošnjičica</w:t>
            </w:r>
          </w:p>
        </w:tc>
        <w:tc>
          <w:tcPr>
            <w:tcW w:w="1001" w:type="pct"/>
            <w:tcBorders>
              <w:top w:val="single" w:sz="4" w:space="0" w:color="auto"/>
              <w:left w:val="nil"/>
              <w:bottom w:val="single" w:sz="4" w:space="0" w:color="auto"/>
              <w:right w:val="single" w:sz="4" w:space="0" w:color="auto"/>
            </w:tcBorders>
            <w:vAlign w:val="center"/>
          </w:tcPr>
          <w:p w14:paraId="5EB1FB8F" w14:textId="77777777" w:rsidR="00BA1338" w:rsidRPr="00545EC0" w:rsidRDefault="00BA1338" w:rsidP="004F2AF2">
            <w:pPr>
              <w:spacing w:line="240" w:lineRule="auto"/>
              <w:rPr>
                <w:rFonts w:cs="Arial"/>
                <w:sz w:val="18"/>
                <w:szCs w:val="18"/>
              </w:rPr>
            </w:pPr>
            <w:r w:rsidRPr="00545EC0">
              <w:rPr>
                <w:rFonts w:cs="Arial"/>
                <w:sz w:val="18"/>
                <w:szCs w:val="18"/>
              </w:rPr>
              <w:t>Črmošnjica</w:t>
            </w:r>
          </w:p>
        </w:tc>
        <w:tc>
          <w:tcPr>
            <w:tcW w:w="602" w:type="pct"/>
            <w:vMerge/>
            <w:tcBorders>
              <w:left w:val="single" w:sz="4" w:space="0" w:color="auto"/>
              <w:right w:val="single" w:sz="4" w:space="0" w:color="auto"/>
            </w:tcBorders>
            <w:shd w:val="clear" w:color="auto" w:fill="auto"/>
            <w:vAlign w:val="center"/>
          </w:tcPr>
          <w:p w14:paraId="6D0C9668" w14:textId="77777777" w:rsidR="00BA1338" w:rsidRPr="00545EC0" w:rsidRDefault="00BA1338" w:rsidP="004F2AF2">
            <w:pPr>
              <w:spacing w:line="240" w:lineRule="auto"/>
              <w:rPr>
                <w:rFonts w:cs="Arial"/>
                <w:sz w:val="18"/>
                <w:szCs w:val="18"/>
              </w:rPr>
            </w:pPr>
          </w:p>
        </w:tc>
        <w:tc>
          <w:tcPr>
            <w:tcW w:w="218" w:type="pct"/>
            <w:tcBorders>
              <w:top w:val="nil"/>
              <w:left w:val="single" w:sz="4" w:space="0" w:color="auto"/>
              <w:bottom w:val="single" w:sz="4" w:space="0" w:color="auto"/>
              <w:right w:val="single" w:sz="4" w:space="0" w:color="auto"/>
            </w:tcBorders>
            <w:shd w:val="clear" w:color="auto" w:fill="FFFFFF" w:themeFill="background1"/>
            <w:vAlign w:val="center"/>
          </w:tcPr>
          <w:p w14:paraId="16F2FE7B"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217" w:type="pct"/>
            <w:tcBorders>
              <w:top w:val="nil"/>
              <w:left w:val="single" w:sz="4" w:space="0" w:color="auto"/>
              <w:bottom w:val="single" w:sz="4" w:space="0" w:color="auto"/>
              <w:right w:val="single" w:sz="4" w:space="0" w:color="auto"/>
            </w:tcBorders>
            <w:shd w:val="clear" w:color="auto" w:fill="FFFFFF" w:themeFill="background1"/>
            <w:vAlign w:val="center"/>
          </w:tcPr>
          <w:p w14:paraId="03198157"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64F429FE" w14:textId="77777777" w:rsidTr="00552E05">
        <w:trPr>
          <w:trHeight w:val="227"/>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14:paraId="46AF9555" w14:textId="77777777" w:rsidR="00BA1338" w:rsidRPr="00545EC0" w:rsidRDefault="00BA1338" w:rsidP="004F2AF2">
            <w:pPr>
              <w:spacing w:line="240" w:lineRule="auto"/>
              <w:rPr>
                <w:rFonts w:cs="Arial"/>
                <w:sz w:val="18"/>
                <w:szCs w:val="18"/>
              </w:rPr>
            </w:pPr>
            <w:r w:rsidRPr="00545EC0">
              <w:rPr>
                <w:rFonts w:cs="Arial"/>
                <w:sz w:val="18"/>
                <w:szCs w:val="18"/>
              </w:rPr>
              <w:t>SI1VT713</w:t>
            </w:r>
          </w:p>
        </w:tc>
        <w:tc>
          <w:tcPr>
            <w:tcW w:w="2386" w:type="pct"/>
            <w:tcBorders>
              <w:top w:val="nil"/>
              <w:left w:val="nil"/>
              <w:bottom w:val="single" w:sz="4" w:space="0" w:color="auto"/>
              <w:right w:val="single" w:sz="4" w:space="0" w:color="auto"/>
            </w:tcBorders>
            <w:shd w:val="clear" w:color="auto" w:fill="auto"/>
            <w:noWrap/>
            <w:vAlign w:val="center"/>
            <w:hideMark/>
          </w:tcPr>
          <w:p w14:paraId="5900A787" w14:textId="77777777" w:rsidR="00BA1338" w:rsidRPr="00545EC0" w:rsidRDefault="00BA1338" w:rsidP="004F2AF2">
            <w:pPr>
              <w:spacing w:line="240" w:lineRule="auto"/>
              <w:rPr>
                <w:rFonts w:cs="Arial"/>
                <w:sz w:val="18"/>
                <w:szCs w:val="18"/>
              </w:rPr>
            </w:pPr>
            <w:r w:rsidRPr="00545EC0">
              <w:rPr>
                <w:rFonts w:cs="Arial"/>
                <w:sz w:val="18"/>
                <w:szCs w:val="18"/>
              </w:rPr>
              <w:t>MPVT Sava Vrhovo - Boštanj</w:t>
            </w:r>
          </w:p>
        </w:tc>
        <w:tc>
          <w:tcPr>
            <w:tcW w:w="1001" w:type="pct"/>
            <w:tcBorders>
              <w:top w:val="single" w:sz="4" w:space="0" w:color="auto"/>
              <w:left w:val="nil"/>
              <w:bottom w:val="single" w:sz="4" w:space="0" w:color="auto"/>
              <w:right w:val="single" w:sz="4" w:space="0" w:color="auto"/>
            </w:tcBorders>
            <w:vAlign w:val="center"/>
          </w:tcPr>
          <w:p w14:paraId="0927CD73" w14:textId="77777777" w:rsidR="00BA1338" w:rsidRPr="00545EC0" w:rsidRDefault="00BA1338" w:rsidP="004F2AF2">
            <w:pPr>
              <w:spacing w:line="240" w:lineRule="auto"/>
              <w:rPr>
                <w:rFonts w:cs="Arial"/>
                <w:sz w:val="18"/>
                <w:szCs w:val="18"/>
              </w:rPr>
            </w:pPr>
            <w:r w:rsidRPr="00545EC0">
              <w:rPr>
                <w:rFonts w:cs="Arial"/>
                <w:sz w:val="18"/>
                <w:szCs w:val="18"/>
              </w:rPr>
              <w:t>Sopota</w:t>
            </w:r>
          </w:p>
        </w:tc>
        <w:tc>
          <w:tcPr>
            <w:tcW w:w="602" w:type="pct"/>
            <w:vMerge/>
            <w:tcBorders>
              <w:left w:val="single" w:sz="4" w:space="0" w:color="auto"/>
              <w:bottom w:val="single" w:sz="4" w:space="0" w:color="auto"/>
              <w:right w:val="single" w:sz="4" w:space="0" w:color="auto"/>
            </w:tcBorders>
            <w:shd w:val="clear" w:color="auto" w:fill="auto"/>
            <w:vAlign w:val="center"/>
          </w:tcPr>
          <w:p w14:paraId="57015B5D" w14:textId="77777777" w:rsidR="00BA1338" w:rsidRPr="00545EC0" w:rsidRDefault="00BA1338" w:rsidP="004F2AF2">
            <w:pPr>
              <w:spacing w:line="240" w:lineRule="auto"/>
              <w:rPr>
                <w:rFonts w:cs="Arial"/>
                <w:sz w:val="18"/>
                <w:szCs w:val="18"/>
              </w:rPr>
            </w:pPr>
          </w:p>
        </w:tc>
        <w:tc>
          <w:tcPr>
            <w:tcW w:w="218" w:type="pct"/>
            <w:tcBorders>
              <w:top w:val="nil"/>
              <w:left w:val="single" w:sz="4" w:space="0" w:color="auto"/>
              <w:bottom w:val="single" w:sz="4" w:space="0" w:color="auto"/>
              <w:right w:val="single" w:sz="4" w:space="0" w:color="auto"/>
            </w:tcBorders>
            <w:shd w:val="clear" w:color="auto" w:fill="FFFFFF" w:themeFill="background1"/>
            <w:vAlign w:val="center"/>
          </w:tcPr>
          <w:p w14:paraId="6A1AED87" w14:textId="77777777" w:rsidR="00BA1338" w:rsidRPr="00545EC0" w:rsidRDefault="00BA1338" w:rsidP="004F2AF2">
            <w:pPr>
              <w:spacing w:line="240" w:lineRule="auto"/>
              <w:rPr>
                <w:rFonts w:cs="Arial"/>
                <w:sz w:val="18"/>
                <w:szCs w:val="18"/>
              </w:rPr>
            </w:pPr>
            <w:r w:rsidRPr="00545EC0">
              <w:rPr>
                <w:rFonts w:cs="Arial"/>
                <w:sz w:val="18"/>
                <w:szCs w:val="18"/>
              </w:rPr>
              <w:t>0</w:t>
            </w:r>
          </w:p>
        </w:tc>
        <w:tc>
          <w:tcPr>
            <w:tcW w:w="217" w:type="pct"/>
            <w:tcBorders>
              <w:top w:val="nil"/>
              <w:left w:val="single" w:sz="4" w:space="0" w:color="auto"/>
              <w:bottom w:val="single" w:sz="4" w:space="0" w:color="auto"/>
              <w:right w:val="single" w:sz="4" w:space="0" w:color="auto"/>
            </w:tcBorders>
            <w:shd w:val="clear" w:color="auto" w:fill="FFFFFF" w:themeFill="background1"/>
            <w:vAlign w:val="center"/>
          </w:tcPr>
          <w:p w14:paraId="26173FB8"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6944F370" w14:textId="77777777" w:rsidTr="00552E05">
        <w:trPr>
          <w:trHeight w:val="227"/>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14:paraId="05FBDF4D" w14:textId="77777777" w:rsidR="00BA1338" w:rsidRPr="00545EC0" w:rsidRDefault="00BA1338" w:rsidP="004F2AF2">
            <w:pPr>
              <w:spacing w:line="240" w:lineRule="auto"/>
              <w:rPr>
                <w:rFonts w:cs="Arial"/>
                <w:sz w:val="18"/>
                <w:szCs w:val="18"/>
              </w:rPr>
            </w:pPr>
            <w:r w:rsidRPr="00545EC0">
              <w:rPr>
                <w:rFonts w:cs="Arial"/>
                <w:sz w:val="18"/>
                <w:szCs w:val="18"/>
              </w:rPr>
              <w:t>SI16VT17</w:t>
            </w:r>
          </w:p>
        </w:tc>
        <w:tc>
          <w:tcPr>
            <w:tcW w:w="2386" w:type="pct"/>
            <w:tcBorders>
              <w:top w:val="nil"/>
              <w:left w:val="nil"/>
              <w:bottom w:val="single" w:sz="4" w:space="0" w:color="auto"/>
              <w:right w:val="single" w:sz="4" w:space="0" w:color="auto"/>
            </w:tcBorders>
            <w:shd w:val="clear" w:color="auto" w:fill="auto"/>
            <w:noWrap/>
            <w:vAlign w:val="center"/>
            <w:hideMark/>
          </w:tcPr>
          <w:p w14:paraId="2AB24146" w14:textId="77777777" w:rsidR="00BA1338" w:rsidRPr="00545EC0" w:rsidRDefault="00BA1338" w:rsidP="004F2AF2">
            <w:pPr>
              <w:spacing w:line="240" w:lineRule="auto"/>
              <w:rPr>
                <w:rFonts w:cs="Arial"/>
                <w:sz w:val="18"/>
                <w:szCs w:val="18"/>
              </w:rPr>
            </w:pPr>
            <w:r w:rsidRPr="00545EC0">
              <w:rPr>
                <w:rFonts w:cs="Arial"/>
                <w:sz w:val="18"/>
                <w:szCs w:val="18"/>
              </w:rPr>
              <w:t>VT Savinja povirje - Letuš</w:t>
            </w:r>
          </w:p>
        </w:tc>
        <w:tc>
          <w:tcPr>
            <w:tcW w:w="1001" w:type="pct"/>
            <w:tcBorders>
              <w:top w:val="single" w:sz="4" w:space="0" w:color="auto"/>
              <w:left w:val="nil"/>
              <w:bottom w:val="single" w:sz="4" w:space="0" w:color="auto"/>
              <w:right w:val="single" w:sz="4" w:space="0" w:color="auto"/>
            </w:tcBorders>
            <w:vAlign w:val="center"/>
          </w:tcPr>
          <w:p w14:paraId="137EEC08" w14:textId="77777777" w:rsidR="00BA1338" w:rsidRPr="00545EC0" w:rsidRDefault="00BA1338" w:rsidP="004F2AF2">
            <w:pPr>
              <w:spacing w:line="240" w:lineRule="auto"/>
              <w:rPr>
                <w:rFonts w:cs="Arial"/>
                <w:sz w:val="18"/>
                <w:szCs w:val="18"/>
              </w:rPr>
            </w:pPr>
            <w:r w:rsidRPr="00545EC0">
              <w:rPr>
                <w:rFonts w:cs="Arial"/>
                <w:sz w:val="18"/>
                <w:szCs w:val="18"/>
              </w:rPr>
              <w:t xml:space="preserve">Savinja, Ljubnica </w:t>
            </w:r>
          </w:p>
        </w:tc>
        <w:tc>
          <w:tcPr>
            <w:tcW w:w="602" w:type="pct"/>
            <w:vMerge w:val="restart"/>
            <w:tcBorders>
              <w:top w:val="nil"/>
              <w:left w:val="single" w:sz="4" w:space="0" w:color="auto"/>
              <w:right w:val="single" w:sz="4" w:space="0" w:color="auto"/>
            </w:tcBorders>
            <w:shd w:val="clear" w:color="auto" w:fill="auto"/>
            <w:vAlign w:val="center"/>
          </w:tcPr>
          <w:p w14:paraId="07319AF8" w14:textId="77777777" w:rsidR="00BA1338" w:rsidRPr="00545EC0" w:rsidRDefault="00BA1338" w:rsidP="004F2AF2">
            <w:pPr>
              <w:spacing w:line="240" w:lineRule="auto"/>
              <w:rPr>
                <w:rFonts w:cs="Arial"/>
                <w:sz w:val="18"/>
                <w:szCs w:val="18"/>
              </w:rPr>
            </w:pPr>
            <w:r w:rsidRPr="00545EC0">
              <w:rPr>
                <w:rFonts w:cs="Arial"/>
                <w:sz w:val="18"/>
                <w:szCs w:val="18"/>
              </w:rPr>
              <w:t>Savinja</w:t>
            </w:r>
          </w:p>
        </w:tc>
        <w:tc>
          <w:tcPr>
            <w:tcW w:w="218" w:type="pct"/>
            <w:tcBorders>
              <w:top w:val="nil"/>
              <w:left w:val="single" w:sz="4" w:space="0" w:color="auto"/>
              <w:bottom w:val="single" w:sz="4" w:space="0" w:color="auto"/>
              <w:right w:val="single" w:sz="4" w:space="0" w:color="auto"/>
            </w:tcBorders>
            <w:shd w:val="clear" w:color="auto" w:fill="FFFFFF" w:themeFill="background1"/>
            <w:vAlign w:val="center"/>
          </w:tcPr>
          <w:p w14:paraId="1512C814"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217" w:type="pct"/>
            <w:tcBorders>
              <w:top w:val="nil"/>
              <w:left w:val="single" w:sz="4" w:space="0" w:color="auto"/>
              <w:bottom w:val="single" w:sz="4" w:space="0" w:color="auto"/>
              <w:right w:val="single" w:sz="4" w:space="0" w:color="auto"/>
            </w:tcBorders>
            <w:shd w:val="clear" w:color="auto" w:fill="FFFFFF" w:themeFill="background1"/>
            <w:vAlign w:val="center"/>
          </w:tcPr>
          <w:p w14:paraId="0C9272A6"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3C767F6D" w14:textId="77777777" w:rsidTr="00552E05">
        <w:trPr>
          <w:trHeight w:val="227"/>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14:paraId="153C052E" w14:textId="77777777" w:rsidR="00BA1338" w:rsidRPr="00545EC0" w:rsidRDefault="00BA1338" w:rsidP="004F2AF2">
            <w:pPr>
              <w:spacing w:line="240" w:lineRule="auto"/>
              <w:rPr>
                <w:rFonts w:cs="Arial"/>
                <w:sz w:val="18"/>
                <w:szCs w:val="18"/>
              </w:rPr>
            </w:pPr>
            <w:r w:rsidRPr="00545EC0">
              <w:rPr>
                <w:rFonts w:cs="Arial"/>
                <w:sz w:val="18"/>
                <w:szCs w:val="18"/>
              </w:rPr>
              <w:t>SI16VT70</w:t>
            </w:r>
          </w:p>
        </w:tc>
        <w:tc>
          <w:tcPr>
            <w:tcW w:w="2386" w:type="pct"/>
            <w:tcBorders>
              <w:top w:val="nil"/>
              <w:left w:val="nil"/>
              <w:bottom w:val="single" w:sz="4" w:space="0" w:color="auto"/>
              <w:right w:val="single" w:sz="4" w:space="0" w:color="auto"/>
            </w:tcBorders>
            <w:shd w:val="clear" w:color="auto" w:fill="auto"/>
            <w:noWrap/>
            <w:vAlign w:val="center"/>
            <w:hideMark/>
          </w:tcPr>
          <w:p w14:paraId="3A9F61FF" w14:textId="77777777" w:rsidR="00BA1338" w:rsidRPr="00545EC0" w:rsidRDefault="00BA1338" w:rsidP="004F2AF2">
            <w:pPr>
              <w:spacing w:line="240" w:lineRule="auto"/>
              <w:rPr>
                <w:rFonts w:cs="Arial"/>
                <w:sz w:val="18"/>
                <w:szCs w:val="18"/>
              </w:rPr>
            </w:pPr>
            <w:r w:rsidRPr="00545EC0">
              <w:rPr>
                <w:rFonts w:cs="Arial"/>
                <w:sz w:val="18"/>
                <w:szCs w:val="18"/>
              </w:rPr>
              <w:t>VT Savinja Letuš - Celje</w:t>
            </w:r>
          </w:p>
        </w:tc>
        <w:tc>
          <w:tcPr>
            <w:tcW w:w="1001" w:type="pct"/>
            <w:tcBorders>
              <w:top w:val="single" w:sz="4" w:space="0" w:color="auto"/>
              <w:left w:val="nil"/>
              <w:bottom w:val="single" w:sz="4" w:space="0" w:color="auto"/>
              <w:right w:val="single" w:sz="4" w:space="0" w:color="auto"/>
            </w:tcBorders>
            <w:vAlign w:val="center"/>
          </w:tcPr>
          <w:p w14:paraId="0F7F3487" w14:textId="77777777" w:rsidR="00BA1338" w:rsidRPr="00545EC0" w:rsidRDefault="00BA1338" w:rsidP="004F2AF2">
            <w:pPr>
              <w:spacing w:line="240" w:lineRule="auto"/>
              <w:rPr>
                <w:rFonts w:cs="Arial"/>
                <w:sz w:val="18"/>
                <w:szCs w:val="18"/>
              </w:rPr>
            </w:pPr>
            <w:r w:rsidRPr="00545EC0">
              <w:rPr>
                <w:rFonts w:cs="Arial"/>
                <w:sz w:val="18"/>
                <w:szCs w:val="18"/>
              </w:rPr>
              <w:t>Savinja</w:t>
            </w:r>
          </w:p>
        </w:tc>
        <w:tc>
          <w:tcPr>
            <w:tcW w:w="602" w:type="pct"/>
            <w:vMerge/>
            <w:tcBorders>
              <w:left w:val="single" w:sz="4" w:space="0" w:color="auto"/>
              <w:bottom w:val="single" w:sz="4" w:space="0" w:color="auto"/>
              <w:right w:val="single" w:sz="4" w:space="0" w:color="auto"/>
            </w:tcBorders>
            <w:shd w:val="clear" w:color="auto" w:fill="auto"/>
            <w:vAlign w:val="center"/>
          </w:tcPr>
          <w:p w14:paraId="1E0EDE0F" w14:textId="77777777" w:rsidR="00BA1338" w:rsidRPr="00545EC0" w:rsidRDefault="00BA1338" w:rsidP="004F2AF2">
            <w:pPr>
              <w:spacing w:line="240" w:lineRule="auto"/>
              <w:rPr>
                <w:rFonts w:cs="Arial"/>
                <w:sz w:val="18"/>
                <w:szCs w:val="18"/>
              </w:rPr>
            </w:pPr>
          </w:p>
        </w:tc>
        <w:tc>
          <w:tcPr>
            <w:tcW w:w="218" w:type="pct"/>
            <w:tcBorders>
              <w:top w:val="nil"/>
              <w:left w:val="single" w:sz="4" w:space="0" w:color="auto"/>
              <w:bottom w:val="single" w:sz="4" w:space="0" w:color="auto"/>
              <w:right w:val="single" w:sz="4" w:space="0" w:color="auto"/>
            </w:tcBorders>
            <w:shd w:val="clear" w:color="auto" w:fill="FFFFFF" w:themeFill="background1"/>
            <w:vAlign w:val="center"/>
          </w:tcPr>
          <w:p w14:paraId="3B69B613"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217" w:type="pct"/>
            <w:tcBorders>
              <w:top w:val="nil"/>
              <w:left w:val="single" w:sz="4" w:space="0" w:color="auto"/>
              <w:bottom w:val="single" w:sz="4" w:space="0" w:color="auto"/>
              <w:right w:val="single" w:sz="4" w:space="0" w:color="auto"/>
            </w:tcBorders>
            <w:shd w:val="clear" w:color="auto" w:fill="FFFFFF" w:themeFill="background1"/>
            <w:vAlign w:val="center"/>
          </w:tcPr>
          <w:p w14:paraId="617ABB76"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6CB3BD89" w14:textId="77777777" w:rsidTr="00552E05">
        <w:trPr>
          <w:trHeight w:val="227"/>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14:paraId="29033F1B" w14:textId="77777777" w:rsidR="00BA1338" w:rsidRPr="00545EC0" w:rsidRDefault="00BA1338" w:rsidP="004F2AF2">
            <w:pPr>
              <w:spacing w:line="240" w:lineRule="auto"/>
              <w:rPr>
                <w:rFonts w:cs="Arial"/>
                <w:sz w:val="18"/>
                <w:szCs w:val="18"/>
              </w:rPr>
            </w:pPr>
            <w:r w:rsidRPr="00545EC0">
              <w:rPr>
                <w:rFonts w:cs="Arial"/>
                <w:sz w:val="18"/>
                <w:szCs w:val="18"/>
              </w:rPr>
              <w:t>SI322VT3</w:t>
            </w:r>
          </w:p>
        </w:tc>
        <w:tc>
          <w:tcPr>
            <w:tcW w:w="2386" w:type="pct"/>
            <w:tcBorders>
              <w:top w:val="nil"/>
              <w:left w:val="nil"/>
              <w:bottom w:val="single" w:sz="4" w:space="0" w:color="auto"/>
              <w:right w:val="single" w:sz="4" w:space="0" w:color="auto"/>
            </w:tcBorders>
            <w:shd w:val="clear" w:color="auto" w:fill="auto"/>
            <w:noWrap/>
            <w:vAlign w:val="center"/>
            <w:hideMark/>
          </w:tcPr>
          <w:p w14:paraId="7C98C5B9" w14:textId="77777777" w:rsidR="00BA1338" w:rsidRPr="00545EC0" w:rsidRDefault="00BA1338" w:rsidP="004F2AF2">
            <w:pPr>
              <w:spacing w:line="240" w:lineRule="auto"/>
              <w:rPr>
                <w:rFonts w:cs="Arial"/>
                <w:sz w:val="18"/>
                <w:szCs w:val="18"/>
              </w:rPr>
            </w:pPr>
            <w:r w:rsidRPr="00545EC0">
              <w:rPr>
                <w:rFonts w:cs="Arial"/>
                <w:sz w:val="18"/>
                <w:szCs w:val="18"/>
              </w:rPr>
              <w:t>VT Mislinja povirje - Slovenj Gradec</w:t>
            </w:r>
          </w:p>
        </w:tc>
        <w:tc>
          <w:tcPr>
            <w:tcW w:w="1001" w:type="pct"/>
            <w:tcBorders>
              <w:top w:val="single" w:sz="4" w:space="0" w:color="auto"/>
              <w:left w:val="nil"/>
              <w:bottom w:val="single" w:sz="4" w:space="0" w:color="auto"/>
              <w:right w:val="single" w:sz="4" w:space="0" w:color="auto"/>
            </w:tcBorders>
            <w:vAlign w:val="center"/>
          </w:tcPr>
          <w:p w14:paraId="0BE63F06" w14:textId="77777777" w:rsidR="00BA1338" w:rsidRPr="00545EC0" w:rsidRDefault="00BA1338" w:rsidP="004F2AF2">
            <w:pPr>
              <w:spacing w:line="240" w:lineRule="auto"/>
              <w:rPr>
                <w:rFonts w:cs="Arial"/>
                <w:sz w:val="18"/>
                <w:szCs w:val="18"/>
              </w:rPr>
            </w:pPr>
            <w:r w:rsidRPr="00545EC0">
              <w:rPr>
                <w:rFonts w:cs="Arial"/>
                <w:sz w:val="18"/>
                <w:szCs w:val="18"/>
              </w:rPr>
              <w:t>Mislinja, Dovžanka</w:t>
            </w:r>
          </w:p>
        </w:tc>
        <w:tc>
          <w:tcPr>
            <w:tcW w:w="602" w:type="pct"/>
            <w:vMerge w:val="restart"/>
            <w:tcBorders>
              <w:top w:val="nil"/>
              <w:left w:val="single" w:sz="4" w:space="0" w:color="auto"/>
              <w:right w:val="single" w:sz="4" w:space="0" w:color="auto"/>
            </w:tcBorders>
            <w:shd w:val="clear" w:color="auto" w:fill="auto"/>
            <w:vAlign w:val="center"/>
          </w:tcPr>
          <w:p w14:paraId="1B0C838D" w14:textId="77777777" w:rsidR="00BA1338" w:rsidRPr="00545EC0" w:rsidRDefault="00BA1338" w:rsidP="004F2AF2">
            <w:pPr>
              <w:spacing w:line="240" w:lineRule="auto"/>
              <w:rPr>
                <w:rFonts w:cs="Arial"/>
                <w:sz w:val="18"/>
                <w:szCs w:val="18"/>
              </w:rPr>
            </w:pPr>
            <w:r w:rsidRPr="00545EC0">
              <w:rPr>
                <w:rFonts w:cs="Arial"/>
                <w:sz w:val="18"/>
                <w:szCs w:val="18"/>
              </w:rPr>
              <w:t>Drava</w:t>
            </w:r>
          </w:p>
        </w:tc>
        <w:tc>
          <w:tcPr>
            <w:tcW w:w="218" w:type="pct"/>
            <w:tcBorders>
              <w:top w:val="nil"/>
              <w:left w:val="single" w:sz="4" w:space="0" w:color="auto"/>
              <w:bottom w:val="single" w:sz="4" w:space="0" w:color="auto"/>
              <w:right w:val="single" w:sz="4" w:space="0" w:color="auto"/>
            </w:tcBorders>
            <w:shd w:val="clear" w:color="auto" w:fill="FFFFFF" w:themeFill="background1"/>
            <w:vAlign w:val="center"/>
          </w:tcPr>
          <w:p w14:paraId="4A1F7ECE"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217" w:type="pct"/>
            <w:tcBorders>
              <w:top w:val="nil"/>
              <w:left w:val="single" w:sz="4" w:space="0" w:color="auto"/>
              <w:bottom w:val="single" w:sz="4" w:space="0" w:color="auto"/>
              <w:right w:val="single" w:sz="4" w:space="0" w:color="auto"/>
            </w:tcBorders>
            <w:shd w:val="clear" w:color="auto" w:fill="FFFFFF" w:themeFill="background1"/>
            <w:vAlign w:val="center"/>
          </w:tcPr>
          <w:p w14:paraId="355082B9"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49B0234A" w14:textId="77777777" w:rsidTr="00552E05">
        <w:trPr>
          <w:trHeight w:val="227"/>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14:paraId="467B11CD" w14:textId="77777777" w:rsidR="00BA1338" w:rsidRPr="00545EC0" w:rsidRDefault="00BA1338" w:rsidP="004F2AF2">
            <w:pPr>
              <w:spacing w:line="240" w:lineRule="auto"/>
              <w:rPr>
                <w:rFonts w:cs="Arial"/>
                <w:sz w:val="18"/>
                <w:szCs w:val="18"/>
              </w:rPr>
            </w:pPr>
            <w:r w:rsidRPr="00545EC0">
              <w:rPr>
                <w:rFonts w:cs="Arial"/>
                <w:sz w:val="18"/>
                <w:szCs w:val="18"/>
              </w:rPr>
              <w:t>SI32VT30</w:t>
            </w:r>
          </w:p>
        </w:tc>
        <w:tc>
          <w:tcPr>
            <w:tcW w:w="2386" w:type="pct"/>
            <w:tcBorders>
              <w:top w:val="nil"/>
              <w:left w:val="nil"/>
              <w:bottom w:val="single" w:sz="4" w:space="0" w:color="auto"/>
              <w:right w:val="single" w:sz="4" w:space="0" w:color="auto"/>
            </w:tcBorders>
            <w:shd w:val="clear" w:color="auto" w:fill="auto"/>
            <w:noWrap/>
            <w:vAlign w:val="center"/>
            <w:hideMark/>
          </w:tcPr>
          <w:p w14:paraId="7A66C800" w14:textId="77777777" w:rsidR="00BA1338" w:rsidRPr="00545EC0" w:rsidRDefault="00BA1338" w:rsidP="004F2AF2">
            <w:pPr>
              <w:spacing w:line="240" w:lineRule="auto"/>
              <w:rPr>
                <w:rFonts w:cs="Arial"/>
                <w:sz w:val="18"/>
                <w:szCs w:val="18"/>
              </w:rPr>
            </w:pPr>
            <w:r w:rsidRPr="00545EC0">
              <w:rPr>
                <w:rFonts w:cs="Arial"/>
                <w:sz w:val="18"/>
                <w:szCs w:val="18"/>
              </w:rPr>
              <w:t>VT Meža Črna na Koroškem - Dravograd</w:t>
            </w:r>
          </w:p>
        </w:tc>
        <w:tc>
          <w:tcPr>
            <w:tcW w:w="1001" w:type="pct"/>
            <w:tcBorders>
              <w:top w:val="single" w:sz="4" w:space="0" w:color="auto"/>
              <w:left w:val="nil"/>
              <w:bottom w:val="single" w:sz="4" w:space="0" w:color="auto"/>
              <w:right w:val="single" w:sz="4" w:space="0" w:color="auto"/>
            </w:tcBorders>
            <w:vAlign w:val="center"/>
          </w:tcPr>
          <w:p w14:paraId="5413A2BB" w14:textId="77777777" w:rsidR="00BA1338" w:rsidRPr="00545EC0" w:rsidRDefault="00BA1338" w:rsidP="004F2AF2">
            <w:pPr>
              <w:spacing w:line="240" w:lineRule="auto"/>
              <w:rPr>
                <w:rFonts w:cs="Arial"/>
                <w:sz w:val="18"/>
                <w:szCs w:val="18"/>
              </w:rPr>
            </w:pPr>
            <w:r w:rsidRPr="00545EC0">
              <w:rPr>
                <w:rFonts w:cs="Arial"/>
                <w:sz w:val="18"/>
                <w:szCs w:val="18"/>
              </w:rPr>
              <w:t>Meža</w:t>
            </w:r>
          </w:p>
        </w:tc>
        <w:tc>
          <w:tcPr>
            <w:tcW w:w="602" w:type="pct"/>
            <w:vMerge/>
            <w:tcBorders>
              <w:left w:val="single" w:sz="4" w:space="0" w:color="auto"/>
              <w:right w:val="single" w:sz="4" w:space="0" w:color="auto"/>
            </w:tcBorders>
            <w:shd w:val="clear" w:color="auto" w:fill="auto"/>
          </w:tcPr>
          <w:p w14:paraId="1056CE02" w14:textId="77777777" w:rsidR="00BA1338" w:rsidRPr="00545EC0" w:rsidRDefault="00BA1338" w:rsidP="004F2AF2">
            <w:pPr>
              <w:spacing w:line="240" w:lineRule="auto"/>
              <w:rPr>
                <w:rFonts w:cs="Arial"/>
                <w:sz w:val="18"/>
                <w:szCs w:val="18"/>
              </w:rPr>
            </w:pPr>
          </w:p>
        </w:tc>
        <w:tc>
          <w:tcPr>
            <w:tcW w:w="218" w:type="pct"/>
            <w:tcBorders>
              <w:top w:val="nil"/>
              <w:left w:val="single" w:sz="4" w:space="0" w:color="auto"/>
              <w:bottom w:val="single" w:sz="4" w:space="0" w:color="auto"/>
              <w:right w:val="single" w:sz="4" w:space="0" w:color="auto"/>
            </w:tcBorders>
            <w:shd w:val="clear" w:color="auto" w:fill="FFFFFF" w:themeFill="background1"/>
            <w:vAlign w:val="center"/>
          </w:tcPr>
          <w:p w14:paraId="6D29CFAE"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217" w:type="pct"/>
            <w:tcBorders>
              <w:top w:val="nil"/>
              <w:left w:val="single" w:sz="4" w:space="0" w:color="auto"/>
              <w:bottom w:val="single" w:sz="4" w:space="0" w:color="auto"/>
              <w:right w:val="single" w:sz="4" w:space="0" w:color="auto"/>
            </w:tcBorders>
            <w:shd w:val="clear" w:color="auto" w:fill="FFFFFF" w:themeFill="background1"/>
            <w:vAlign w:val="center"/>
          </w:tcPr>
          <w:p w14:paraId="781145D0"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16D9B84B" w14:textId="77777777" w:rsidTr="00552E05">
        <w:trPr>
          <w:trHeight w:val="227"/>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14:paraId="0546A8ED" w14:textId="77777777" w:rsidR="00BA1338" w:rsidRPr="00545EC0" w:rsidRDefault="00BA1338" w:rsidP="004F2AF2">
            <w:pPr>
              <w:spacing w:line="240" w:lineRule="auto"/>
              <w:rPr>
                <w:rFonts w:cs="Arial"/>
                <w:sz w:val="18"/>
                <w:szCs w:val="18"/>
              </w:rPr>
            </w:pPr>
            <w:r w:rsidRPr="00545EC0">
              <w:rPr>
                <w:rFonts w:cs="Arial"/>
                <w:sz w:val="18"/>
                <w:szCs w:val="18"/>
              </w:rPr>
              <w:t>SI368VT9</w:t>
            </w:r>
          </w:p>
        </w:tc>
        <w:tc>
          <w:tcPr>
            <w:tcW w:w="2386" w:type="pct"/>
            <w:tcBorders>
              <w:top w:val="nil"/>
              <w:left w:val="nil"/>
              <w:bottom w:val="single" w:sz="4" w:space="0" w:color="auto"/>
              <w:right w:val="single" w:sz="4" w:space="0" w:color="auto"/>
            </w:tcBorders>
            <w:shd w:val="clear" w:color="auto" w:fill="auto"/>
            <w:noWrap/>
            <w:vAlign w:val="center"/>
            <w:hideMark/>
          </w:tcPr>
          <w:p w14:paraId="02CB33D0" w14:textId="77777777" w:rsidR="00BA1338" w:rsidRPr="00545EC0" w:rsidRDefault="00BA1338" w:rsidP="004F2AF2">
            <w:pPr>
              <w:spacing w:line="240" w:lineRule="auto"/>
              <w:rPr>
                <w:rFonts w:cs="Arial"/>
                <w:sz w:val="18"/>
                <w:szCs w:val="18"/>
              </w:rPr>
            </w:pPr>
            <w:r w:rsidRPr="00545EC0">
              <w:rPr>
                <w:rFonts w:cs="Arial"/>
                <w:sz w:val="18"/>
                <w:szCs w:val="18"/>
              </w:rPr>
              <w:t>VT Polskava Zgornja Polskava - Tržec</w:t>
            </w:r>
          </w:p>
        </w:tc>
        <w:tc>
          <w:tcPr>
            <w:tcW w:w="1001" w:type="pct"/>
            <w:tcBorders>
              <w:top w:val="single" w:sz="4" w:space="0" w:color="auto"/>
              <w:left w:val="nil"/>
              <w:bottom w:val="single" w:sz="4" w:space="0" w:color="auto"/>
              <w:right w:val="single" w:sz="4" w:space="0" w:color="auto"/>
            </w:tcBorders>
            <w:vAlign w:val="center"/>
          </w:tcPr>
          <w:p w14:paraId="488F7061" w14:textId="77777777" w:rsidR="00BA1338" w:rsidRPr="00545EC0" w:rsidRDefault="00BA1338" w:rsidP="004F2AF2">
            <w:pPr>
              <w:spacing w:line="240" w:lineRule="auto"/>
              <w:rPr>
                <w:rFonts w:cs="Arial"/>
                <w:sz w:val="18"/>
                <w:szCs w:val="18"/>
              </w:rPr>
            </w:pPr>
            <w:r w:rsidRPr="00545EC0">
              <w:rPr>
                <w:rFonts w:cs="Arial"/>
                <w:sz w:val="18"/>
                <w:szCs w:val="18"/>
              </w:rPr>
              <w:t>Framski potok</w:t>
            </w:r>
          </w:p>
        </w:tc>
        <w:tc>
          <w:tcPr>
            <w:tcW w:w="602" w:type="pct"/>
            <w:vMerge/>
            <w:tcBorders>
              <w:left w:val="single" w:sz="4" w:space="0" w:color="auto"/>
              <w:right w:val="single" w:sz="4" w:space="0" w:color="auto"/>
            </w:tcBorders>
            <w:shd w:val="clear" w:color="auto" w:fill="auto"/>
          </w:tcPr>
          <w:p w14:paraId="41D70D76" w14:textId="77777777" w:rsidR="00BA1338" w:rsidRPr="00545EC0" w:rsidRDefault="00BA1338" w:rsidP="004F2AF2">
            <w:pPr>
              <w:spacing w:line="240" w:lineRule="auto"/>
              <w:rPr>
                <w:rFonts w:cs="Arial"/>
                <w:sz w:val="18"/>
                <w:szCs w:val="18"/>
              </w:rPr>
            </w:pPr>
          </w:p>
        </w:tc>
        <w:tc>
          <w:tcPr>
            <w:tcW w:w="218" w:type="pct"/>
            <w:tcBorders>
              <w:top w:val="nil"/>
              <w:left w:val="single" w:sz="4" w:space="0" w:color="auto"/>
              <w:bottom w:val="single" w:sz="4" w:space="0" w:color="auto"/>
              <w:right w:val="single" w:sz="4" w:space="0" w:color="auto"/>
            </w:tcBorders>
            <w:shd w:val="clear" w:color="auto" w:fill="FFFFFF" w:themeFill="background1"/>
            <w:vAlign w:val="center"/>
          </w:tcPr>
          <w:p w14:paraId="722C38A3" w14:textId="77777777" w:rsidR="00BA1338" w:rsidRPr="00545EC0" w:rsidRDefault="00BA1338" w:rsidP="004F2AF2">
            <w:pPr>
              <w:spacing w:line="240" w:lineRule="auto"/>
              <w:rPr>
                <w:rFonts w:cs="Arial"/>
                <w:sz w:val="18"/>
                <w:szCs w:val="18"/>
              </w:rPr>
            </w:pPr>
            <w:r w:rsidRPr="00545EC0">
              <w:rPr>
                <w:rFonts w:cs="Arial"/>
                <w:sz w:val="18"/>
                <w:szCs w:val="18"/>
              </w:rPr>
              <w:t>0</w:t>
            </w:r>
          </w:p>
        </w:tc>
        <w:tc>
          <w:tcPr>
            <w:tcW w:w="217" w:type="pct"/>
            <w:tcBorders>
              <w:top w:val="nil"/>
              <w:left w:val="single" w:sz="4" w:space="0" w:color="auto"/>
              <w:bottom w:val="single" w:sz="4" w:space="0" w:color="auto"/>
              <w:right w:val="single" w:sz="4" w:space="0" w:color="auto"/>
            </w:tcBorders>
            <w:shd w:val="clear" w:color="auto" w:fill="FFFFFF" w:themeFill="background1"/>
            <w:vAlign w:val="center"/>
          </w:tcPr>
          <w:p w14:paraId="2585BE13"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62B761B7" w14:textId="77777777" w:rsidTr="00552E05">
        <w:trPr>
          <w:trHeight w:val="227"/>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14:paraId="397FE379" w14:textId="77777777" w:rsidR="00BA1338" w:rsidRPr="00545EC0" w:rsidRDefault="00BA1338" w:rsidP="004F2AF2">
            <w:pPr>
              <w:spacing w:line="240" w:lineRule="auto"/>
              <w:rPr>
                <w:rFonts w:cs="Arial"/>
                <w:sz w:val="18"/>
                <w:szCs w:val="18"/>
              </w:rPr>
            </w:pPr>
            <w:r w:rsidRPr="00545EC0">
              <w:rPr>
                <w:rFonts w:cs="Arial"/>
                <w:sz w:val="18"/>
                <w:szCs w:val="18"/>
              </w:rPr>
              <w:t>SI38VT90</w:t>
            </w:r>
          </w:p>
        </w:tc>
        <w:tc>
          <w:tcPr>
            <w:tcW w:w="2386" w:type="pct"/>
            <w:tcBorders>
              <w:top w:val="nil"/>
              <w:left w:val="nil"/>
              <w:bottom w:val="single" w:sz="4" w:space="0" w:color="auto"/>
              <w:right w:val="single" w:sz="4" w:space="0" w:color="auto"/>
            </w:tcBorders>
            <w:shd w:val="clear" w:color="auto" w:fill="auto"/>
            <w:noWrap/>
            <w:vAlign w:val="center"/>
            <w:hideMark/>
          </w:tcPr>
          <w:p w14:paraId="7A4664B5" w14:textId="77777777" w:rsidR="00BA1338" w:rsidRPr="00545EC0" w:rsidRDefault="00BA1338" w:rsidP="004F2AF2">
            <w:pPr>
              <w:spacing w:line="240" w:lineRule="auto"/>
              <w:rPr>
                <w:rFonts w:cs="Arial"/>
                <w:sz w:val="18"/>
                <w:szCs w:val="18"/>
              </w:rPr>
            </w:pPr>
            <w:r w:rsidRPr="00545EC0">
              <w:rPr>
                <w:rFonts w:cs="Arial"/>
                <w:sz w:val="18"/>
                <w:szCs w:val="18"/>
              </w:rPr>
              <w:t>VT Pesnica zadrževalnik Perniško jezero - Ormož</w:t>
            </w:r>
          </w:p>
        </w:tc>
        <w:tc>
          <w:tcPr>
            <w:tcW w:w="1001" w:type="pct"/>
            <w:tcBorders>
              <w:top w:val="single" w:sz="4" w:space="0" w:color="auto"/>
              <w:left w:val="nil"/>
              <w:bottom w:val="single" w:sz="4" w:space="0" w:color="auto"/>
              <w:right w:val="single" w:sz="4" w:space="0" w:color="auto"/>
            </w:tcBorders>
            <w:vAlign w:val="center"/>
          </w:tcPr>
          <w:p w14:paraId="79926617" w14:textId="77777777" w:rsidR="00BA1338" w:rsidRPr="00545EC0" w:rsidRDefault="00BA1338" w:rsidP="004F2AF2">
            <w:pPr>
              <w:spacing w:line="240" w:lineRule="auto"/>
              <w:rPr>
                <w:rFonts w:cs="Arial"/>
                <w:sz w:val="18"/>
                <w:szCs w:val="18"/>
              </w:rPr>
            </w:pPr>
            <w:r w:rsidRPr="00545EC0">
              <w:rPr>
                <w:rFonts w:cs="Arial"/>
                <w:sz w:val="18"/>
                <w:szCs w:val="18"/>
              </w:rPr>
              <w:t>Pesnica</w:t>
            </w:r>
          </w:p>
        </w:tc>
        <w:tc>
          <w:tcPr>
            <w:tcW w:w="602" w:type="pct"/>
            <w:vMerge/>
            <w:tcBorders>
              <w:left w:val="single" w:sz="4" w:space="0" w:color="auto"/>
              <w:right w:val="single" w:sz="4" w:space="0" w:color="auto"/>
            </w:tcBorders>
            <w:shd w:val="clear" w:color="auto" w:fill="auto"/>
          </w:tcPr>
          <w:p w14:paraId="0063879B" w14:textId="77777777" w:rsidR="00BA1338" w:rsidRPr="00545EC0" w:rsidRDefault="00BA1338" w:rsidP="004F2AF2">
            <w:pPr>
              <w:spacing w:line="240" w:lineRule="auto"/>
              <w:rPr>
                <w:rFonts w:cs="Arial"/>
                <w:sz w:val="18"/>
                <w:szCs w:val="18"/>
              </w:rPr>
            </w:pPr>
          </w:p>
        </w:tc>
        <w:tc>
          <w:tcPr>
            <w:tcW w:w="218" w:type="pct"/>
            <w:tcBorders>
              <w:top w:val="nil"/>
              <w:left w:val="single" w:sz="4" w:space="0" w:color="auto"/>
              <w:bottom w:val="single" w:sz="4" w:space="0" w:color="auto"/>
              <w:right w:val="single" w:sz="4" w:space="0" w:color="auto"/>
            </w:tcBorders>
            <w:shd w:val="clear" w:color="auto" w:fill="FFFFFF" w:themeFill="background1"/>
            <w:vAlign w:val="center"/>
          </w:tcPr>
          <w:p w14:paraId="0555F38B"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217" w:type="pct"/>
            <w:tcBorders>
              <w:top w:val="nil"/>
              <w:left w:val="single" w:sz="4" w:space="0" w:color="auto"/>
              <w:bottom w:val="single" w:sz="4" w:space="0" w:color="auto"/>
              <w:right w:val="single" w:sz="4" w:space="0" w:color="auto"/>
            </w:tcBorders>
            <w:shd w:val="clear" w:color="auto" w:fill="FFFFFF" w:themeFill="background1"/>
            <w:vAlign w:val="center"/>
          </w:tcPr>
          <w:p w14:paraId="4D6CD1BF"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3AA1126D" w14:textId="77777777" w:rsidTr="00552E05">
        <w:trPr>
          <w:trHeight w:val="227"/>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14:paraId="302C8E8F" w14:textId="77777777" w:rsidR="00BA1338" w:rsidRPr="00545EC0" w:rsidRDefault="00BA1338" w:rsidP="004F2AF2">
            <w:pPr>
              <w:spacing w:line="240" w:lineRule="auto"/>
              <w:rPr>
                <w:rFonts w:cs="Arial"/>
                <w:sz w:val="18"/>
                <w:szCs w:val="18"/>
              </w:rPr>
            </w:pPr>
            <w:r w:rsidRPr="00545EC0">
              <w:rPr>
                <w:rFonts w:cs="Arial"/>
                <w:sz w:val="18"/>
                <w:szCs w:val="18"/>
              </w:rPr>
              <w:t>SI3VT359</w:t>
            </w:r>
          </w:p>
        </w:tc>
        <w:tc>
          <w:tcPr>
            <w:tcW w:w="2386" w:type="pct"/>
            <w:tcBorders>
              <w:top w:val="nil"/>
              <w:left w:val="nil"/>
              <w:bottom w:val="single" w:sz="4" w:space="0" w:color="auto"/>
              <w:right w:val="single" w:sz="4" w:space="0" w:color="auto"/>
            </w:tcBorders>
            <w:shd w:val="clear" w:color="auto" w:fill="auto"/>
            <w:noWrap/>
            <w:vAlign w:val="center"/>
            <w:hideMark/>
          </w:tcPr>
          <w:p w14:paraId="3865DF10" w14:textId="77777777" w:rsidR="00BA1338" w:rsidRPr="00545EC0" w:rsidRDefault="00BA1338" w:rsidP="004F2AF2">
            <w:pPr>
              <w:spacing w:line="240" w:lineRule="auto"/>
              <w:rPr>
                <w:rFonts w:cs="Arial"/>
                <w:sz w:val="18"/>
                <w:szCs w:val="18"/>
              </w:rPr>
            </w:pPr>
            <w:r w:rsidRPr="00545EC0">
              <w:rPr>
                <w:rFonts w:cs="Arial"/>
                <w:sz w:val="18"/>
                <w:szCs w:val="18"/>
              </w:rPr>
              <w:t>MPVT Drava Dravograd - Maribor</w:t>
            </w:r>
          </w:p>
        </w:tc>
        <w:tc>
          <w:tcPr>
            <w:tcW w:w="1001" w:type="pct"/>
            <w:tcBorders>
              <w:top w:val="single" w:sz="4" w:space="0" w:color="auto"/>
              <w:left w:val="nil"/>
              <w:bottom w:val="single" w:sz="4" w:space="0" w:color="auto"/>
              <w:right w:val="single" w:sz="4" w:space="0" w:color="auto"/>
            </w:tcBorders>
            <w:vAlign w:val="center"/>
          </w:tcPr>
          <w:p w14:paraId="372B3DDB" w14:textId="77777777" w:rsidR="00BA1338" w:rsidRPr="00545EC0" w:rsidRDefault="00BA1338" w:rsidP="004F2AF2">
            <w:pPr>
              <w:spacing w:line="240" w:lineRule="auto"/>
              <w:rPr>
                <w:rFonts w:cs="Arial"/>
                <w:sz w:val="18"/>
                <w:szCs w:val="18"/>
              </w:rPr>
            </w:pPr>
            <w:r w:rsidRPr="00545EC0">
              <w:rPr>
                <w:rFonts w:cs="Arial"/>
                <w:sz w:val="18"/>
                <w:szCs w:val="18"/>
              </w:rPr>
              <w:t>Radoljna, Lamprehtov potok</w:t>
            </w:r>
          </w:p>
        </w:tc>
        <w:tc>
          <w:tcPr>
            <w:tcW w:w="602" w:type="pct"/>
            <w:vMerge/>
            <w:tcBorders>
              <w:left w:val="single" w:sz="4" w:space="0" w:color="auto"/>
              <w:right w:val="single" w:sz="4" w:space="0" w:color="auto"/>
            </w:tcBorders>
            <w:shd w:val="clear" w:color="auto" w:fill="auto"/>
          </w:tcPr>
          <w:p w14:paraId="10F0DA9F" w14:textId="77777777" w:rsidR="00BA1338" w:rsidRPr="00545EC0" w:rsidRDefault="00BA1338" w:rsidP="004F2AF2">
            <w:pPr>
              <w:spacing w:line="240" w:lineRule="auto"/>
              <w:rPr>
                <w:rFonts w:cs="Arial"/>
                <w:sz w:val="18"/>
                <w:szCs w:val="18"/>
              </w:rPr>
            </w:pPr>
          </w:p>
        </w:tc>
        <w:tc>
          <w:tcPr>
            <w:tcW w:w="218" w:type="pct"/>
            <w:tcBorders>
              <w:top w:val="nil"/>
              <w:left w:val="single" w:sz="4" w:space="0" w:color="auto"/>
              <w:bottom w:val="single" w:sz="4" w:space="0" w:color="auto"/>
              <w:right w:val="single" w:sz="4" w:space="0" w:color="auto"/>
            </w:tcBorders>
            <w:shd w:val="clear" w:color="auto" w:fill="FFFFFF" w:themeFill="background1"/>
            <w:vAlign w:val="center"/>
          </w:tcPr>
          <w:p w14:paraId="02FFB3FF" w14:textId="77777777" w:rsidR="00BA1338" w:rsidRPr="00545EC0" w:rsidRDefault="00BA1338" w:rsidP="004F2AF2">
            <w:pPr>
              <w:spacing w:line="240" w:lineRule="auto"/>
              <w:rPr>
                <w:rFonts w:cs="Arial"/>
                <w:sz w:val="18"/>
                <w:szCs w:val="18"/>
              </w:rPr>
            </w:pPr>
            <w:r w:rsidRPr="00545EC0">
              <w:rPr>
                <w:rFonts w:cs="Arial"/>
                <w:sz w:val="18"/>
                <w:szCs w:val="18"/>
              </w:rPr>
              <w:t>0</w:t>
            </w:r>
          </w:p>
        </w:tc>
        <w:tc>
          <w:tcPr>
            <w:tcW w:w="217" w:type="pct"/>
            <w:tcBorders>
              <w:top w:val="nil"/>
              <w:left w:val="single" w:sz="4" w:space="0" w:color="auto"/>
              <w:bottom w:val="single" w:sz="4" w:space="0" w:color="auto"/>
              <w:right w:val="single" w:sz="4" w:space="0" w:color="auto"/>
            </w:tcBorders>
            <w:shd w:val="clear" w:color="auto" w:fill="FFFFFF" w:themeFill="background1"/>
            <w:vAlign w:val="center"/>
          </w:tcPr>
          <w:p w14:paraId="26A8F3E3"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3F1F859A" w14:textId="77777777" w:rsidTr="00552E05">
        <w:trPr>
          <w:trHeight w:val="227"/>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14:paraId="504CAA9A" w14:textId="77777777" w:rsidR="00BA1338" w:rsidRPr="00545EC0" w:rsidRDefault="00BA1338" w:rsidP="004F2AF2">
            <w:pPr>
              <w:spacing w:line="240" w:lineRule="auto"/>
              <w:rPr>
                <w:rFonts w:cs="Arial"/>
                <w:sz w:val="18"/>
                <w:szCs w:val="18"/>
              </w:rPr>
            </w:pPr>
            <w:r w:rsidRPr="00545EC0">
              <w:rPr>
                <w:rFonts w:cs="Arial"/>
                <w:sz w:val="18"/>
                <w:szCs w:val="18"/>
              </w:rPr>
              <w:t>SI3VT5171</w:t>
            </w:r>
          </w:p>
        </w:tc>
        <w:tc>
          <w:tcPr>
            <w:tcW w:w="2386" w:type="pct"/>
            <w:tcBorders>
              <w:top w:val="nil"/>
              <w:left w:val="nil"/>
              <w:bottom w:val="single" w:sz="4" w:space="0" w:color="auto"/>
              <w:right w:val="single" w:sz="4" w:space="0" w:color="auto"/>
            </w:tcBorders>
            <w:shd w:val="clear" w:color="auto" w:fill="auto"/>
            <w:noWrap/>
            <w:vAlign w:val="center"/>
            <w:hideMark/>
          </w:tcPr>
          <w:p w14:paraId="2839A8F8" w14:textId="77777777" w:rsidR="00BA1338" w:rsidRPr="00545EC0" w:rsidRDefault="00BA1338" w:rsidP="004F2AF2">
            <w:pPr>
              <w:spacing w:line="240" w:lineRule="auto"/>
              <w:rPr>
                <w:rFonts w:cs="Arial"/>
                <w:sz w:val="18"/>
                <w:szCs w:val="18"/>
              </w:rPr>
            </w:pPr>
            <w:r w:rsidRPr="00545EC0">
              <w:rPr>
                <w:rFonts w:cs="Arial"/>
                <w:sz w:val="18"/>
                <w:szCs w:val="18"/>
              </w:rPr>
              <w:t>VT Drava Maribor - Ptuj</w:t>
            </w:r>
          </w:p>
        </w:tc>
        <w:tc>
          <w:tcPr>
            <w:tcW w:w="1001" w:type="pct"/>
            <w:tcBorders>
              <w:top w:val="single" w:sz="4" w:space="0" w:color="auto"/>
              <w:left w:val="nil"/>
              <w:bottom w:val="single" w:sz="4" w:space="0" w:color="auto"/>
              <w:right w:val="single" w:sz="4" w:space="0" w:color="auto"/>
            </w:tcBorders>
            <w:vAlign w:val="center"/>
          </w:tcPr>
          <w:p w14:paraId="4713EF76" w14:textId="77777777" w:rsidR="00BA1338" w:rsidRPr="00545EC0" w:rsidRDefault="00BA1338" w:rsidP="004F2AF2">
            <w:pPr>
              <w:spacing w:line="240" w:lineRule="auto"/>
              <w:rPr>
                <w:rFonts w:cs="Arial"/>
                <w:sz w:val="18"/>
                <w:szCs w:val="18"/>
              </w:rPr>
            </w:pPr>
            <w:r w:rsidRPr="00545EC0">
              <w:rPr>
                <w:rFonts w:cs="Arial"/>
                <w:sz w:val="18"/>
                <w:szCs w:val="18"/>
              </w:rPr>
              <w:t>Drava</w:t>
            </w:r>
          </w:p>
        </w:tc>
        <w:tc>
          <w:tcPr>
            <w:tcW w:w="602" w:type="pct"/>
            <w:vMerge/>
            <w:tcBorders>
              <w:left w:val="single" w:sz="4" w:space="0" w:color="auto"/>
              <w:right w:val="single" w:sz="4" w:space="0" w:color="auto"/>
            </w:tcBorders>
            <w:shd w:val="clear" w:color="auto" w:fill="auto"/>
          </w:tcPr>
          <w:p w14:paraId="62D652A3" w14:textId="77777777" w:rsidR="00BA1338" w:rsidRPr="00545EC0" w:rsidRDefault="00BA1338" w:rsidP="004F2AF2">
            <w:pPr>
              <w:spacing w:line="240" w:lineRule="auto"/>
              <w:rPr>
                <w:rFonts w:cs="Arial"/>
                <w:sz w:val="18"/>
                <w:szCs w:val="18"/>
              </w:rPr>
            </w:pPr>
          </w:p>
        </w:tc>
        <w:tc>
          <w:tcPr>
            <w:tcW w:w="218" w:type="pct"/>
            <w:tcBorders>
              <w:top w:val="nil"/>
              <w:left w:val="single" w:sz="4" w:space="0" w:color="auto"/>
              <w:bottom w:val="single" w:sz="4" w:space="0" w:color="auto"/>
              <w:right w:val="single" w:sz="4" w:space="0" w:color="auto"/>
            </w:tcBorders>
            <w:shd w:val="clear" w:color="auto" w:fill="FFFFFF" w:themeFill="background1"/>
            <w:vAlign w:val="center"/>
          </w:tcPr>
          <w:p w14:paraId="532D3013"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217" w:type="pct"/>
            <w:tcBorders>
              <w:top w:val="nil"/>
              <w:left w:val="single" w:sz="4" w:space="0" w:color="auto"/>
              <w:bottom w:val="single" w:sz="4" w:space="0" w:color="auto"/>
              <w:right w:val="single" w:sz="4" w:space="0" w:color="auto"/>
            </w:tcBorders>
            <w:shd w:val="clear" w:color="auto" w:fill="FFFFFF" w:themeFill="background1"/>
            <w:vAlign w:val="center"/>
          </w:tcPr>
          <w:p w14:paraId="079A2238"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2ECEA555" w14:textId="77777777" w:rsidTr="00552E05">
        <w:trPr>
          <w:trHeight w:val="227"/>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14:paraId="375534D2" w14:textId="77777777" w:rsidR="00BA1338" w:rsidRPr="00545EC0" w:rsidRDefault="00BA1338" w:rsidP="004F2AF2">
            <w:pPr>
              <w:spacing w:line="240" w:lineRule="auto"/>
              <w:rPr>
                <w:rFonts w:cs="Arial"/>
                <w:sz w:val="18"/>
                <w:szCs w:val="18"/>
              </w:rPr>
            </w:pPr>
            <w:r w:rsidRPr="00545EC0">
              <w:rPr>
                <w:rFonts w:cs="Arial"/>
                <w:sz w:val="18"/>
                <w:szCs w:val="18"/>
              </w:rPr>
              <w:t>SI3VT930</w:t>
            </w:r>
          </w:p>
        </w:tc>
        <w:tc>
          <w:tcPr>
            <w:tcW w:w="2386" w:type="pct"/>
            <w:tcBorders>
              <w:top w:val="nil"/>
              <w:left w:val="nil"/>
              <w:bottom w:val="single" w:sz="4" w:space="0" w:color="auto"/>
              <w:right w:val="single" w:sz="4" w:space="0" w:color="auto"/>
            </w:tcBorders>
            <w:shd w:val="clear" w:color="auto" w:fill="auto"/>
            <w:noWrap/>
            <w:vAlign w:val="center"/>
            <w:hideMark/>
          </w:tcPr>
          <w:p w14:paraId="5AD827E4" w14:textId="77777777" w:rsidR="00BA1338" w:rsidRPr="00545EC0" w:rsidRDefault="00BA1338" w:rsidP="004F2AF2">
            <w:pPr>
              <w:spacing w:line="240" w:lineRule="auto"/>
              <w:rPr>
                <w:rFonts w:cs="Arial"/>
                <w:sz w:val="18"/>
                <w:szCs w:val="18"/>
              </w:rPr>
            </w:pPr>
            <w:r w:rsidRPr="00545EC0">
              <w:rPr>
                <w:rFonts w:cs="Arial"/>
                <w:sz w:val="18"/>
                <w:szCs w:val="18"/>
              </w:rPr>
              <w:t>VT Drava Ptuj - Ormož</w:t>
            </w:r>
          </w:p>
        </w:tc>
        <w:tc>
          <w:tcPr>
            <w:tcW w:w="1001" w:type="pct"/>
            <w:tcBorders>
              <w:top w:val="single" w:sz="4" w:space="0" w:color="auto"/>
              <w:left w:val="nil"/>
              <w:bottom w:val="single" w:sz="4" w:space="0" w:color="auto"/>
              <w:right w:val="single" w:sz="4" w:space="0" w:color="auto"/>
            </w:tcBorders>
            <w:vAlign w:val="center"/>
          </w:tcPr>
          <w:p w14:paraId="317F3A3C" w14:textId="77777777" w:rsidR="00BA1338" w:rsidRPr="00545EC0" w:rsidRDefault="00BA1338" w:rsidP="004F2AF2">
            <w:pPr>
              <w:spacing w:line="240" w:lineRule="auto"/>
              <w:rPr>
                <w:rFonts w:cs="Arial"/>
                <w:sz w:val="18"/>
                <w:szCs w:val="18"/>
              </w:rPr>
            </w:pPr>
            <w:r w:rsidRPr="00545EC0">
              <w:rPr>
                <w:rFonts w:cs="Arial"/>
                <w:sz w:val="18"/>
                <w:szCs w:val="18"/>
              </w:rPr>
              <w:t>Drava</w:t>
            </w:r>
          </w:p>
        </w:tc>
        <w:tc>
          <w:tcPr>
            <w:tcW w:w="602" w:type="pct"/>
            <w:vMerge/>
            <w:tcBorders>
              <w:left w:val="single" w:sz="4" w:space="0" w:color="auto"/>
              <w:right w:val="single" w:sz="4" w:space="0" w:color="auto"/>
            </w:tcBorders>
            <w:shd w:val="clear" w:color="auto" w:fill="auto"/>
          </w:tcPr>
          <w:p w14:paraId="78E9D28E" w14:textId="77777777" w:rsidR="00BA1338" w:rsidRPr="00545EC0" w:rsidRDefault="00BA1338" w:rsidP="004F2AF2">
            <w:pPr>
              <w:spacing w:line="240" w:lineRule="auto"/>
              <w:rPr>
                <w:rFonts w:cs="Arial"/>
                <w:sz w:val="18"/>
                <w:szCs w:val="18"/>
              </w:rPr>
            </w:pPr>
          </w:p>
        </w:tc>
        <w:tc>
          <w:tcPr>
            <w:tcW w:w="218" w:type="pct"/>
            <w:tcBorders>
              <w:top w:val="nil"/>
              <w:left w:val="single" w:sz="4" w:space="0" w:color="auto"/>
              <w:bottom w:val="single" w:sz="4" w:space="0" w:color="auto"/>
              <w:right w:val="single" w:sz="4" w:space="0" w:color="auto"/>
            </w:tcBorders>
            <w:shd w:val="clear" w:color="auto" w:fill="FFFFFF" w:themeFill="background1"/>
            <w:vAlign w:val="center"/>
          </w:tcPr>
          <w:p w14:paraId="3D3F8BB8"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217" w:type="pct"/>
            <w:tcBorders>
              <w:top w:val="nil"/>
              <w:left w:val="single" w:sz="4" w:space="0" w:color="auto"/>
              <w:bottom w:val="single" w:sz="4" w:space="0" w:color="auto"/>
              <w:right w:val="single" w:sz="4" w:space="0" w:color="auto"/>
            </w:tcBorders>
            <w:shd w:val="clear" w:color="auto" w:fill="FFFFFF" w:themeFill="background1"/>
            <w:vAlign w:val="center"/>
          </w:tcPr>
          <w:p w14:paraId="49DFEE88"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115AC1CE" w14:textId="77777777" w:rsidTr="00552E05">
        <w:trPr>
          <w:trHeight w:val="227"/>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14:paraId="48A9841F" w14:textId="77777777" w:rsidR="00BA1338" w:rsidRPr="00545EC0" w:rsidRDefault="00BA1338" w:rsidP="004F2AF2">
            <w:pPr>
              <w:spacing w:line="240" w:lineRule="auto"/>
              <w:rPr>
                <w:rFonts w:cs="Arial"/>
                <w:sz w:val="18"/>
                <w:szCs w:val="18"/>
              </w:rPr>
            </w:pPr>
            <w:r w:rsidRPr="00545EC0">
              <w:rPr>
                <w:rFonts w:cs="Arial"/>
                <w:sz w:val="18"/>
                <w:szCs w:val="18"/>
              </w:rPr>
              <w:t>SI3VT970</w:t>
            </w:r>
          </w:p>
        </w:tc>
        <w:tc>
          <w:tcPr>
            <w:tcW w:w="2386" w:type="pct"/>
            <w:tcBorders>
              <w:top w:val="nil"/>
              <w:left w:val="nil"/>
              <w:bottom w:val="single" w:sz="4" w:space="0" w:color="auto"/>
              <w:right w:val="single" w:sz="4" w:space="0" w:color="auto"/>
            </w:tcBorders>
            <w:shd w:val="clear" w:color="auto" w:fill="auto"/>
            <w:noWrap/>
            <w:vAlign w:val="center"/>
            <w:hideMark/>
          </w:tcPr>
          <w:p w14:paraId="2A3E75BA" w14:textId="77777777" w:rsidR="00BA1338" w:rsidRPr="00545EC0" w:rsidRDefault="00BA1338" w:rsidP="004F2AF2">
            <w:pPr>
              <w:spacing w:line="240" w:lineRule="auto"/>
              <w:rPr>
                <w:rFonts w:cs="Arial"/>
                <w:sz w:val="18"/>
                <w:szCs w:val="18"/>
              </w:rPr>
            </w:pPr>
            <w:r w:rsidRPr="00545EC0">
              <w:rPr>
                <w:rFonts w:cs="Arial"/>
                <w:sz w:val="18"/>
                <w:szCs w:val="18"/>
              </w:rPr>
              <w:t>VT Drava zadrževalnik Ormoško jezero - Središče ob Dravi</w:t>
            </w:r>
          </w:p>
        </w:tc>
        <w:tc>
          <w:tcPr>
            <w:tcW w:w="1001" w:type="pct"/>
            <w:tcBorders>
              <w:top w:val="single" w:sz="4" w:space="0" w:color="auto"/>
              <w:left w:val="nil"/>
              <w:bottom w:val="single" w:sz="4" w:space="0" w:color="auto"/>
              <w:right w:val="single" w:sz="4" w:space="0" w:color="auto"/>
            </w:tcBorders>
            <w:vAlign w:val="center"/>
          </w:tcPr>
          <w:p w14:paraId="39371997" w14:textId="77777777" w:rsidR="00BA1338" w:rsidRPr="00545EC0" w:rsidRDefault="00BA1338" w:rsidP="004F2AF2">
            <w:pPr>
              <w:spacing w:line="240" w:lineRule="auto"/>
              <w:rPr>
                <w:rFonts w:cs="Arial"/>
                <w:sz w:val="18"/>
                <w:szCs w:val="18"/>
              </w:rPr>
            </w:pPr>
            <w:r w:rsidRPr="00545EC0">
              <w:rPr>
                <w:rFonts w:cs="Arial"/>
                <w:sz w:val="18"/>
                <w:szCs w:val="18"/>
              </w:rPr>
              <w:t>Drava</w:t>
            </w:r>
          </w:p>
        </w:tc>
        <w:tc>
          <w:tcPr>
            <w:tcW w:w="602" w:type="pct"/>
            <w:vMerge/>
            <w:tcBorders>
              <w:left w:val="single" w:sz="4" w:space="0" w:color="auto"/>
              <w:bottom w:val="single" w:sz="4" w:space="0" w:color="auto"/>
              <w:right w:val="single" w:sz="4" w:space="0" w:color="auto"/>
            </w:tcBorders>
            <w:shd w:val="clear" w:color="auto" w:fill="auto"/>
          </w:tcPr>
          <w:p w14:paraId="11DD9877" w14:textId="77777777" w:rsidR="00BA1338" w:rsidRPr="00545EC0" w:rsidRDefault="00BA1338" w:rsidP="004F2AF2">
            <w:pPr>
              <w:spacing w:line="240" w:lineRule="auto"/>
              <w:rPr>
                <w:rFonts w:cs="Arial"/>
                <w:sz w:val="18"/>
                <w:szCs w:val="18"/>
              </w:rPr>
            </w:pPr>
          </w:p>
        </w:tc>
        <w:tc>
          <w:tcPr>
            <w:tcW w:w="218" w:type="pct"/>
            <w:tcBorders>
              <w:top w:val="nil"/>
              <w:left w:val="single" w:sz="4" w:space="0" w:color="auto"/>
              <w:bottom w:val="single" w:sz="4" w:space="0" w:color="auto"/>
              <w:right w:val="single" w:sz="4" w:space="0" w:color="auto"/>
            </w:tcBorders>
            <w:shd w:val="clear" w:color="auto" w:fill="FFFFFF" w:themeFill="background1"/>
            <w:vAlign w:val="center"/>
          </w:tcPr>
          <w:p w14:paraId="7D2EC234"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217" w:type="pct"/>
            <w:tcBorders>
              <w:top w:val="nil"/>
              <w:left w:val="single" w:sz="4" w:space="0" w:color="auto"/>
              <w:bottom w:val="single" w:sz="4" w:space="0" w:color="auto"/>
              <w:right w:val="single" w:sz="4" w:space="0" w:color="auto"/>
            </w:tcBorders>
            <w:shd w:val="clear" w:color="auto" w:fill="FFFFFF" w:themeFill="background1"/>
            <w:vAlign w:val="center"/>
          </w:tcPr>
          <w:p w14:paraId="05DD2ED8" w14:textId="77777777" w:rsidR="00BA1338" w:rsidRPr="00545EC0" w:rsidRDefault="00BA1338" w:rsidP="004F2AF2">
            <w:pPr>
              <w:spacing w:line="240" w:lineRule="auto"/>
              <w:rPr>
                <w:rFonts w:cs="Arial"/>
                <w:sz w:val="18"/>
                <w:szCs w:val="18"/>
              </w:rPr>
            </w:pPr>
            <w:r w:rsidRPr="00545EC0">
              <w:rPr>
                <w:rFonts w:cs="Arial"/>
                <w:sz w:val="18"/>
                <w:szCs w:val="18"/>
              </w:rPr>
              <w:t>0</w:t>
            </w:r>
          </w:p>
        </w:tc>
      </w:tr>
    </w:tbl>
    <w:p w14:paraId="61C9AB30"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i/>
          <w:sz w:val="18"/>
          <w:szCs w:val="18"/>
        </w:rPr>
      </w:pPr>
      <w:r w:rsidRPr="00545EC0">
        <w:rPr>
          <w:rFonts w:cs="Arial"/>
          <w:i/>
          <w:sz w:val="18"/>
          <w:szCs w:val="18"/>
        </w:rPr>
        <w:t>*PO – GT – pomembna obremenitev na glavnem toku; PO – PR – pomembna obremenitev na pritoku</w:t>
      </w:r>
    </w:p>
    <w:p w14:paraId="10B948DA"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p>
    <w:p w14:paraId="2F2C82B4" w14:textId="2287A9FF" w:rsidR="00BA1338" w:rsidRPr="00545EC0" w:rsidRDefault="00BA1338" w:rsidP="00552E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i/>
          <w:szCs w:val="20"/>
          <w:lang w:eastAsia="ja-JP"/>
        </w:rPr>
      </w:pPr>
      <w:r w:rsidRPr="00545EC0">
        <w:rPr>
          <w:rFonts w:cs="Arial"/>
          <w:szCs w:val="20"/>
          <w:lang w:eastAsia="ja-JP"/>
        </w:rPr>
        <w:t>Odvzemi vode so prepoznani kot pomembna obremenitev na dVTPV, če je delež dolžine odsek</w:t>
      </w:r>
      <w:r w:rsidR="00303E4E" w:rsidRPr="00545EC0">
        <w:rPr>
          <w:rFonts w:cs="Arial"/>
          <w:szCs w:val="20"/>
          <w:lang w:eastAsia="ja-JP"/>
        </w:rPr>
        <w:t>a</w:t>
      </w:r>
      <w:r w:rsidRPr="00545EC0">
        <w:rPr>
          <w:rFonts w:cs="Arial"/>
          <w:szCs w:val="20"/>
          <w:lang w:eastAsia="ja-JP"/>
        </w:rPr>
        <w:t>, ki je pod vplivom odvzema vode, večji od 30 % skupne dolžine dVTPV. Deli vodnih teles površinskih voda, na katerih so prisotne pomembne obremenitve zaradi odvzemov vode, so prikazani na publikacijski karti (</w:t>
      </w:r>
      <w:r w:rsidRPr="00545EC0">
        <w:rPr>
          <w:rFonts w:cs="Arial"/>
          <w:i/>
          <w:szCs w:val="20"/>
          <w:lang w:eastAsia="ja-JP"/>
        </w:rPr>
        <w:t>Publikacijska karta</w:t>
      </w:r>
      <w:r w:rsidR="00615BE1" w:rsidRPr="00545EC0">
        <w:rPr>
          <w:rFonts w:cs="Arial"/>
          <w:i/>
          <w:szCs w:val="20"/>
          <w:lang w:eastAsia="ja-JP"/>
        </w:rPr>
        <w:t xml:space="preserve"> 4.</w:t>
      </w:r>
      <w:r w:rsidR="003A3979" w:rsidRPr="00545EC0">
        <w:rPr>
          <w:rFonts w:cs="Arial"/>
          <w:i/>
          <w:szCs w:val="20"/>
          <w:lang w:eastAsia="ja-JP"/>
        </w:rPr>
        <w:t>2</w:t>
      </w:r>
      <w:r w:rsidRPr="00545EC0">
        <w:rPr>
          <w:rFonts w:cs="Arial"/>
          <w:i/>
          <w:szCs w:val="20"/>
          <w:lang w:eastAsia="ja-JP"/>
        </w:rPr>
        <w:t>:</w:t>
      </w:r>
      <w:r w:rsidR="00615BE1" w:rsidRPr="00545EC0">
        <w:rPr>
          <w:rFonts w:cs="Arial"/>
          <w:i/>
          <w:szCs w:val="20"/>
          <w:lang w:eastAsia="ja-JP"/>
        </w:rPr>
        <w:t xml:space="preserve"> </w:t>
      </w:r>
      <w:r w:rsidR="003A3979" w:rsidRPr="00545EC0">
        <w:rPr>
          <w:rFonts w:cs="Arial"/>
          <w:i/>
          <w:szCs w:val="20"/>
          <w:lang w:eastAsia="ja-JP"/>
        </w:rPr>
        <w:t>Odseki vodotokov pod vplivom odvzemov vode in pomembne obremenitve dVTPV).</w:t>
      </w:r>
    </w:p>
    <w:p w14:paraId="599EED02" w14:textId="77777777" w:rsidR="00BA1338" w:rsidRPr="00545EC0" w:rsidRDefault="00BA1338" w:rsidP="00552E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0"/>
          <w:lang w:eastAsia="ja-JP"/>
        </w:rPr>
      </w:pPr>
    </w:p>
    <w:p w14:paraId="40F759B7" w14:textId="2CE6D08D" w:rsidR="00BA1338" w:rsidRPr="00545EC0" w:rsidRDefault="00BA1338" w:rsidP="00552E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0"/>
        </w:rPr>
      </w:pPr>
      <w:r w:rsidRPr="00545EC0">
        <w:rPr>
          <w:rFonts w:cs="Arial"/>
          <w:szCs w:val="20"/>
        </w:rPr>
        <w:t>Na VO Donave je največji delež dVTPV s pomembno obremenitvijo zaradi odvzemov vode prisoten na porečju Zgornje Save, pri čemer so pomembne obremenitve zaradi odvzemov vode prepoznane tako na dVTPV-jih na glavnem toku kot na pritokih. Na porečju Drave in Savinje so pomembne obremenitve zaradi odvzemov vode ugotovljene predvsem na dVTPV-jih na glavnem toku, medtem ko je ravno obratno na porečju Spodnje Save, kjer so pomembne obremenitve prisotne v večjem deležu na dVTPV-jih na pritokih. Na Srednji Savi so pomembne obremenitve prisotne le na dVTPV-jih na glavnem toku, medtem ko na porečju Mure ni pomembnih obremenitev zaradi odvzemov vode (</w:t>
      </w:r>
      <w:r w:rsidR="0086496E" w:rsidRPr="00545EC0">
        <w:rPr>
          <w:rFonts w:cs="Arial"/>
          <w:szCs w:val="20"/>
        </w:rPr>
        <w:fldChar w:fldCharType="begin"/>
      </w:r>
      <w:r w:rsidR="0086496E" w:rsidRPr="00545EC0">
        <w:rPr>
          <w:rFonts w:cs="Arial"/>
          <w:szCs w:val="20"/>
        </w:rPr>
        <w:instrText xml:space="preserve"> REF _Ref84330568 \h </w:instrText>
      </w:r>
      <w:r w:rsidR="00F37A91" w:rsidRPr="00545EC0">
        <w:rPr>
          <w:rFonts w:cs="Arial"/>
          <w:szCs w:val="20"/>
        </w:rPr>
        <w:instrText xml:space="preserve"> \* MERGEFORMAT </w:instrText>
      </w:r>
      <w:r w:rsidR="0086496E" w:rsidRPr="00545EC0">
        <w:rPr>
          <w:rFonts w:cs="Arial"/>
          <w:szCs w:val="20"/>
        </w:rPr>
      </w:r>
      <w:r w:rsidR="0086496E" w:rsidRPr="00545EC0">
        <w:rPr>
          <w:rFonts w:cs="Arial"/>
          <w:szCs w:val="20"/>
        </w:rPr>
        <w:fldChar w:fldCharType="separate"/>
      </w:r>
      <w:r w:rsidR="002F3E43" w:rsidRPr="00545EC0">
        <w:rPr>
          <w:szCs w:val="20"/>
        </w:rPr>
        <w:t xml:space="preserve">Slika </w:t>
      </w:r>
      <w:r w:rsidR="002F3E43">
        <w:rPr>
          <w:noProof/>
          <w:szCs w:val="20"/>
        </w:rPr>
        <w:t>2</w:t>
      </w:r>
      <w:r w:rsidR="002F3E43" w:rsidRPr="00545EC0">
        <w:rPr>
          <w:noProof/>
          <w:szCs w:val="20"/>
        </w:rPr>
        <w:noBreakHyphen/>
      </w:r>
      <w:r w:rsidR="002F3E43">
        <w:rPr>
          <w:noProof/>
          <w:szCs w:val="20"/>
        </w:rPr>
        <w:t>12</w:t>
      </w:r>
      <w:r w:rsidR="0086496E" w:rsidRPr="00545EC0">
        <w:rPr>
          <w:rFonts w:cs="Arial"/>
          <w:szCs w:val="20"/>
        </w:rPr>
        <w:fldChar w:fldCharType="end"/>
      </w:r>
      <w:r w:rsidRPr="00545EC0">
        <w:rPr>
          <w:rFonts w:cs="Arial"/>
          <w:szCs w:val="20"/>
        </w:rPr>
        <w:t xml:space="preserve">). </w:t>
      </w:r>
    </w:p>
    <w:p w14:paraId="6C39A236"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p>
    <w:p w14:paraId="24A8BC4F" w14:textId="77777777" w:rsidR="0086496E" w:rsidRPr="00545EC0" w:rsidRDefault="00BA1338" w:rsidP="0086496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 w:rsidRPr="00545EC0">
        <w:rPr>
          <w:noProof/>
        </w:rPr>
        <w:lastRenderedPageBreak/>
        <w:drawing>
          <wp:inline distT="0" distB="0" distL="0" distR="0" wp14:anchorId="04B9E56B" wp14:editId="3672D542">
            <wp:extent cx="5761128" cy="335567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72053" cy="3362039"/>
                    </a:xfrm>
                    <a:prstGeom prst="rect">
                      <a:avLst/>
                    </a:prstGeom>
                    <a:noFill/>
                  </pic:spPr>
                </pic:pic>
              </a:graphicData>
            </a:graphic>
          </wp:inline>
        </w:drawing>
      </w:r>
    </w:p>
    <w:p w14:paraId="00A826EF" w14:textId="1A69B6FC" w:rsidR="00BA1338" w:rsidRPr="00545EC0" w:rsidRDefault="0086496E" w:rsidP="00864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rFonts w:cs="Arial"/>
          <w:szCs w:val="20"/>
        </w:rPr>
      </w:pPr>
      <w:bookmarkStart w:id="191" w:name="_Ref84330568"/>
      <w:r w:rsidRPr="00545EC0">
        <w:rPr>
          <w:szCs w:val="20"/>
        </w:rPr>
        <w:t xml:space="preserve">Slika </w:t>
      </w:r>
      <w:r w:rsidR="00396E1E" w:rsidRPr="00545EC0">
        <w:rPr>
          <w:szCs w:val="20"/>
        </w:rPr>
        <w:fldChar w:fldCharType="begin"/>
      </w:r>
      <w:r w:rsidR="00396E1E" w:rsidRPr="00545EC0">
        <w:rPr>
          <w:szCs w:val="20"/>
        </w:rPr>
        <w:instrText xml:space="preserve"> STYLEREF 1 \s </w:instrText>
      </w:r>
      <w:r w:rsidR="00396E1E" w:rsidRPr="00545EC0">
        <w:rPr>
          <w:szCs w:val="20"/>
        </w:rPr>
        <w:fldChar w:fldCharType="separate"/>
      </w:r>
      <w:r w:rsidR="002F3E43">
        <w:rPr>
          <w:noProof/>
          <w:szCs w:val="20"/>
        </w:rPr>
        <w:t>2</w:t>
      </w:r>
      <w:r w:rsidR="00396E1E" w:rsidRPr="00545EC0">
        <w:rPr>
          <w:szCs w:val="20"/>
        </w:rPr>
        <w:fldChar w:fldCharType="end"/>
      </w:r>
      <w:r w:rsidR="00396E1E" w:rsidRPr="00545EC0">
        <w:rPr>
          <w:szCs w:val="20"/>
        </w:rPr>
        <w:noBreakHyphen/>
      </w:r>
      <w:r w:rsidR="00396E1E" w:rsidRPr="00545EC0">
        <w:rPr>
          <w:szCs w:val="20"/>
        </w:rPr>
        <w:fldChar w:fldCharType="begin"/>
      </w:r>
      <w:r w:rsidR="00396E1E" w:rsidRPr="00545EC0">
        <w:rPr>
          <w:szCs w:val="20"/>
        </w:rPr>
        <w:instrText xml:space="preserve"> SEQ Slika \* ARABIC \s 1 </w:instrText>
      </w:r>
      <w:r w:rsidR="00396E1E" w:rsidRPr="00545EC0">
        <w:rPr>
          <w:szCs w:val="20"/>
        </w:rPr>
        <w:fldChar w:fldCharType="separate"/>
      </w:r>
      <w:r w:rsidR="002F3E43">
        <w:rPr>
          <w:noProof/>
          <w:szCs w:val="20"/>
        </w:rPr>
        <w:t>12</w:t>
      </w:r>
      <w:r w:rsidR="00396E1E" w:rsidRPr="00545EC0">
        <w:rPr>
          <w:szCs w:val="20"/>
        </w:rPr>
        <w:fldChar w:fldCharType="end"/>
      </w:r>
      <w:bookmarkEnd w:id="191"/>
      <w:r w:rsidRPr="00545EC0">
        <w:rPr>
          <w:szCs w:val="20"/>
        </w:rPr>
        <w:t>:</w:t>
      </w:r>
      <w:r w:rsidRPr="00545EC0">
        <w:rPr>
          <w:rFonts w:cs="Arial"/>
          <w:szCs w:val="20"/>
        </w:rPr>
        <w:t xml:space="preserve"> Delež števila dVTPV s pomembno obremenitvijo zaradi odvzemov vode na porečjih na VO Donave</w:t>
      </w:r>
    </w:p>
    <w:p w14:paraId="4DEA6089"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p>
    <w:p w14:paraId="33864D13"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545EC0">
        <w:rPr>
          <w:rFonts w:cs="Arial"/>
          <w:b/>
        </w:rPr>
        <w:t>Hidrološke obremenitve – nihanje vodne gladine in pulzirajoči pretoki</w:t>
      </w:r>
    </w:p>
    <w:p w14:paraId="4247A705"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p>
    <w:p w14:paraId="51DF51D8" w14:textId="2DDB825F"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545EC0">
        <w:rPr>
          <w:rFonts w:cs="Arial"/>
        </w:rPr>
        <w:t>Analiza nihanja vodne gladine in pulzirajočih pretokov je izvedena glede na razpoložljive podatke o dopustni dnevni denivelaciji vodne gladine zaradi obratovanja hidroelektrarn. Vrednosti dnevnih nihanj so povzete iz koncesijskih pogodb posameznih hidroelektrarn. V analizi je nihanje vodne gladine obravnavano v zadrževalnikih, prisotnost pulzirajočih pretokov pa je obravnavana dolvodno od izpusta vode iz hidroenergetskega objekta. V analizi je privzeto, da je vpliv pulzirajočih pretokov prisoten do prvega sotočja z večjim pritokom. Prisotnost nihanja vodne gladine in pulzirajočih pretokov na posameznih (d)VTPV-jih je podana v preglednici v nadaljevanju (</w:t>
      </w:r>
      <w:r w:rsidR="00A50C7E" w:rsidRPr="00545EC0">
        <w:rPr>
          <w:rFonts w:cs="Arial"/>
        </w:rPr>
        <w:fldChar w:fldCharType="begin"/>
      </w:r>
      <w:r w:rsidR="00A50C7E" w:rsidRPr="00545EC0">
        <w:rPr>
          <w:rFonts w:cs="Arial"/>
        </w:rPr>
        <w:instrText xml:space="preserve"> REF _Ref84313130 \h </w:instrText>
      </w:r>
      <w:r w:rsidR="00F37A91" w:rsidRPr="00545EC0">
        <w:rPr>
          <w:rFonts w:cs="Arial"/>
        </w:rPr>
        <w:instrText xml:space="preserve"> \* MERGEFORMAT </w:instrText>
      </w:r>
      <w:r w:rsidR="00A50C7E" w:rsidRPr="00545EC0">
        <w:rPr>
          <w:rFonts w:cs="Arial"/>
        </w:rPr>
      </w:r>
      <w:r w:rsidR="00A50C7E" w:rsidRPr="00545EC0">
        <w:rPr>
          <w:rFonts w:cs="Arial"/>
        </w:rPr>
        <w:fldChar w:fldCharType="separate"/>
      </w:r>
      <w:r w:rsidR="002F3E43" w:rsidRPr="00545EC0">
        <w:t xml:space="preserve">Preglednica </w:t>
      </w:r>
      <w:r w:rsidR="002F3E43">
        <w:rPr>
          <w:noProof/>
        </w:rPr>
        <w:t>2</w:t>
      </w:r>
      <w:r w:rsidR="002F3E43" w:rsidRPr="00545EC0">
        <w:rPr>
          <w:noProof/>
        </w:rPr>
        <w:noBreakHyphen/>
      </w:r>
      <w:r w:rsidR="002F3E43">
        <w:rPr>
          <w:noProof/>
        </w:rPr>
        <w:t>24</w:t>
      </w:r>
      <w:r w:rsidR="00A50C7E" w:rsidRPr="00545EC0">
        <w:rPr>
          <w:rFonts w:cs="Arial"/>
        </w:rPr>
        <w:fldChar w:fldCharType="end"/>
      </w:r>
      <w:r w:rsidR="00A50C7E" w:rsidRPr="00545EC0">
        <w:rPr>
          <w:rFonts w:cs="Arial"/>
        </w:rPr>
        <w:t>)</w:t>
      </w:r>
      <w:r w:rsidRPr="00545EC0">
        <w:rPr>
          <w:rFonts w:cs="Arial"/>
        </w:rPr>
        <w:t xml:space="preserve"> </w:t>
      </w:r>
    </w:p>
    <w:p w14:paraId="7F539BF0"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p>
    <w:p w14:paraId="45924989"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545EC0">
        <w:rPr>
          <w:rFonts w:cs="Arial"/>
        </w:rPr>
        <w:t xml:space="preserve">Nihanje vodne gladine in pulzirajoč pretok sta prepoznana kot pomembna obremenitev, če je dopustna dnevna denivelacija večja od 1 m. Na VO Donave je slednja večja na HE Moste, HE Medvode, HE Mavčiče in HE Brežice, medtem ko je na ostalih hidroelektrarnah največja dovoljena dnevna denivelacija 1 m. Glede na podan kriterij je opredeljeno, na katerih vodnih telesih so prisotne pomembne obremenitve zaradi nihanja vodne gladine (PO N) in/ali pulzirajočega pretoka (PO P). </w:t>
      </w:r>
    </w:p>
    <w:p w14:paraId="181BF6A5"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p>
    <w:p w14:paraId="5231B9FD" w14:textId="22ABA5EE" w:rsidR="00552E05" w:rsidRPr="00545EC0" w:rsidRDefault="00552E05" w:rsidP="00552E05">
      <w:pPr>
        <w:pStyle w:val="Napis"/>
        <w:keepNext/>
      </w:pPr>
      <w:bookmarkStart w:id="192" w:name="_Ref84313130"/>
      <w:bookmarkStart w:id="193" w:name="_Ref84255191"/>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24</w:t>
        </w:r>
      </w:fldSimple>
      <w:bookmarkEnd w:id="192"/>
      <w:r w:rsidRPr="00545EC0">
        <w:t xml:space="preserve">: </w:t>
      </w:r>
      <w:r w:rsidRPr="00545EC0">
        <w:rPr>
          <w:bCs w:val="0"/>
          <w:lang w:eastAsia="sl-SI"/>
        </w:rPr>
        <w:t>Vodna telesa površinskih voda, na katerih je prisoten vpliv nihanja vodne gladine in pulzirajočega pretoka zaradi obratovanja hidroelektrarn, z opredeljenimi pomembnimi obremenitvami</w:t>
      </w:r>
      <w:bookmarkEnd w:id="193"/>
    </w:p>
    <w:tbl>
      <w:tblPr>
        <w:tblW w:w="9124" w:type="dxa"/>
        <w:tblCellMar>
          <w:left w:w="70" w:type="dxa"/>
          <w:right w:w="70" w:type="dxa"/>
        </w:tblCellMar>
        <w:tblLook w:val="04A0" w:firstRow="1" w:lastRow="0" w:firstColumn="1" w:lastColumn="0" w:noHBand="0" w:noVBand="1"/>
      </w:tblPr>
      <w:tblGrid>
        <w:gridCol w:w="1140"/>
        <w:gridCol w:w="3108"/>
        <w:gridCol w:w="992"/>
        <w:gridCol w:w="284"/>
        <w:gridCol w:w="283"/>
        <w:gridCol w:w="2515"/>
        <w:gridCol w:w="401"/>
        <w:gridCol w:w="401"/>
      </w:tblGrid>
      <w:tr w:rsidR="003122F4" w:rsidRPr="00545EC0" w14:paraId="578E1703" w14:textId="77777777" w:rsidTr="00552E05">
        <w:trPr>
          <w:trHeight w:val="227"/>
          <w:tblHeader/>
        </w:trPr>
        <w:tc>
          <w:tcPr>
            <w:tcW w:w="11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63E4DF6" w14:textId="77777777" w:rsidR="00BA1338" w:rsidRPr="00545EC0" w:rsidRDefault="00BA1338" w:rsidP="004F2AF2">
            <w:pPr>
              <w:spacing w:line="60" w:lineRule="atLeast"/>
              <w:contextualSpacing/>
              <w:rPr>
                <w:rFonts w:cs="Arial"/>
                <w:b/>
                <w:bCs/>
                <w:sz w:val="18"/>
                <w:szCs w:val="18"/>
              </w:rPr>
            </w:pPr>
            <w:r w:rsidRPr="00545EC0">
              <w:rPr>
                <w:rFonts w:cs="Arial"/>
                <w:b/>
                <w:bCs/>
                <w:sz w:val="18"/>
                <w:szCs w:val="18"/>
              </w:rPr>
              <w:t>Šifra VTPV</w:t>
            </w:r>
          </w:p>
        </w:tc>
        <w:tc>
          <w:tcPr>
            <w:tcW w:w="310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F41A80A" w14:textId="77777777" w:rsidR="00BA1338" w:rsidRPr="00545EC0" w:rsidRDefault="00BA1338" w:rsidP="004F2AF2">
            <w:pPr>
              <w:spacing w:line="60" w:lineRule="atLeast"/>
              <w:contextualSpacing/>
              <w:rPr>
                <w:rFonts w:cs="Arial"/>
                <w:b/>
                <w:bCs/>
                <w:sz w:val="18"/>
                <w:szCs w:val="18"/>
              </w:rPr>
            </w:pPr>
            <w:r w:rsidRPr="00545EC0">
              <w:rPr>
                <w:rFonts w:cs="Arial"/>
                <w:b/>
                <w:bCs/>
                <w:sz w:val="18"/>
                <w:szCs w:val="18"/>
              </w:rPr>
              <w:t>Ime VTPV</w:t>
            </w:r>
          </w:p>
        </w:tc>
        <w:tc>
          <w:tcPr>
            <w:tcW w:w="99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4D86105" w14:textId="77777777" w:rsidR="00BA1338" w:rsidRPr="00545EC0" w:rsidRDefault="00BA1338" w:rsidP="004F2AF2">
            <w:pPr>
              <w:spacing w:line="60" w:lineRule="atLeast"/>
              <w:contextualSpacing/>
              <w:rPr>
                <w:rFonts w:cs="Arial"/>
                <w:b/>
                <w:bCs/>
                <w:sz w:val="18"/>
                <w:szCs w:val="18"/>
              </w:rPr>
            </w:pPr>
            <w:r w:rsidRPr="00545EC0">
              <w:rPr>
                <w:rFonts w:cs="Arial"/>
                <w:b/>
                <w:bCs/>
                <w:sz w:val="18"/>
                <w:szCs w:val="18"/>
              </w:rPr>
              <w:t>Porečje</w:t>
            </w:r>
          </w:p>
        </w:tc>
        <w:tc>
          <w:tcPr>
            <w:tcW w:w="28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C0EF169" w14:textId="77777777" w:rsidR="00BA1338" w:rsidRPr="00545EC0" w:rsidRDefault="00BA1338" w:rsidP="004F2AF2">
            <w:pPr>
              <w:spacing w:line="60" w:lineRule="atLeast"/>
              <w:contextualSpacing/>
              <w:rPr>
                <w:rFonts w:cs="Arial"/>
                <w:b/>
                <w:bCs/>
                <w:sz w:val="18"/>
                <w:szCs w:val="18"/>
              </w:rPr>
            </w:pPr>
            <w:r w:rsidRPr="00545EC0">
              <w:rPr>
                <w:rFonts w:cs="Arial"/>
                <w:b/>
                <w:bCs/>
                <w:sz w:val="18"/>
                <w:szCs w:val="18"/>
              </w:rPr>
              <w:t>N</w:t>
            </w:r>
          </w:p>
        </w:tc>
        <w:tc>
          <w:tcPr>
            <w:tcW w:w="28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44FEE89" w14:textId="77777777" w:rsidR="00BA1338" w:rsidRPr="00545EC0" w:rsidRDefault="00BA1338" w:rsidP="004F2AF2">
            <w:pPr>
              <w:spacing w:line="60" w:lineRule="atLeast"/>
              <w:contextualSpacing/>
              <w:rPr>
                <w:rFonts w:cs="Arial"/>
                <w:b/>
                <w:bCs/>
                <w:sz w:val="18"/>
                <w:szCs w:val="18"/>
              </w:rPr>
            </w:pPr>
            <w:r w:rsidRPr="00545EC0">
              <w:rPr>
                <w:rFonts w:cs="Arial"/>
                <w:b/>
                <w:bCs/>
                <w:sz w:val="18"/>
                <w:szCs w:val="18"/>
              </w:rPr>
              <w:t>P</w:t>
            </w:r>
          </w:p>
        </w:tc>
        <w:tc>
          <w:tcPr>
            <w:tcW w:w="251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97EC9BE" w14:textId="77777777" w:rsidR="00BA1338" w:rsidRPr="00545EC0" w:rsidRDefault="00BA1338" w:rsidP="004F2AF2">
            <w:pPr>
              <w:spacing w:line="60" w:lineRule="atLeast"/>
              <w:contextualSpacing/>
              <w:rPr>
                <w:rFonts w:cs="Arial"/>
                <w:b/>
                <w:bCs/>
                <w:sz w:val="18"/>
                <w:szCs w:val="18"/>
              </w:rPr>
            </w:pPr>
            <w:r w:rsidRPr="00545EC0">
              <w:rPr>
                <w:rFonts w:cs="Arial"/>
                <w:b/>
                <w:bCs/>
                <w:sz w:val="18"/>
                <w:szCs w:val="18"/>
              </w:rPr>
              <w:t>Povzročitelj obremenitve (N-nihanje, P-pulzirajoči pretoki)</w:t>
            </w:r>
          </w:p>
        </w:tc>
        <w:tc>
          <w:tcPr>
            <w:tcW w:w="40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00E8546" w14:textId="77777777" w:rsidR="00BA1338" w:rsidRPr="00545EC0" w:rsidRDefault="00BA1338" w:rsidP="004F2AF2">
            <w:pPr>
              <w:spacing w:line="60" w:lineRule="atLeast"/>
              <w:contextualSpacing/>
              <w:rPr>
                <w:rFonts w:cs="Arial"/>
                <w:b/>
                <w:bCs/>
                <w:sz w:val="18"/>
                <w:szCs w:val="18"/>
              </w:rPr>
            </w:pPr>
            <w:r w:rsidRPr="00545EC0">
              <w:rPr>
                <w:rFonts w:cs="Arial"/>
                <w:b/>
                <w:bCs/>
                <w:sz w:val="18"/>
                <w:szCs w:val="18"/>
              </w:rPr>
              <w:t>PO</w:t>
            </w:r>
          </w:p>
          <w:p w14:paraId="181B7CAA" w14:textId="77777777" w:rsidR="00BA1338" w:rsidRPr="00545EC0" w:rsidRDefault="00BA1338" w:rsidP="004F2AF2">
            <w:pPr>
              <w:spacing w:line="60" w:lineRule="atLeast"/>
              <w:contextualSpacing/>
              <w:rPr>
                <w:rFonts w:cs="Arial"/>
                <w:b/>
                <w:bCs/>
                <w:sz w:val="18"/>
                <w:szCs w:val="18"/>
              </w:rPr>
            </w:pPr>
            <w:r w:rsidRPr="00545EC0">
              <w:rPr>
                <w:rFonts w:cs="Arial"/>
                <w:b/>
                <w:bCs/>
                <w:sz w:val="18"/>
                <w:szCs w:val="18"/>
              </w:rPr>
              <w:t>N</w:t>
            </w:r>
          </w:p>
        </w:tc>
        <w:tc>
          <w:tcPr>
            <w:tcW w:w="40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18A3C01" w14:textId="77777777" w:rsidR="00BA1338" w:rsidRPr="00545EC0" w:rsidRDefault="00BA1338" w:rsidP="004F2AF2">
            <w:pPr>
              <w:spacing w:line="60" w:lineRule="atLeast"/>
              <w:contextualSpacing/>
              <w:rPr>
                <w:rFonts w:cs="Arial"/>
                <w:b/>
                <w:bCs/>
                <w:sz w:val="18"/>
                <w:szCs w:val="18"/>
              </w:rPr>
            </w:pPr>
            <w:r w:rsidRPr="00545EC0">
              <w:rPr>
                <w:rFonts w:cs="Arial"/>
                <w:b/>
                <w:bCs/>
                <w:sz w:val="18"/>
                <w:szCs w:val="18"/>
              </w:rPr>
              <w:t xml:space="preserve">PO </w:t>
            </w:r>
          </w:p>
          <w:p w14:paraId="5F2CDFAF" w14:textId="77777777" w:rsidR="00BA1338" w:rsidRPr="00545EC0" w:rsidRDefault="00BA1338" w:rsidP="004F2AF2">
            <w:pPr>
              <w:spacing w:line="60" w:lineRule="atLeast"/>
              <w:contextualSpacing/>
              <w:rPr>
                <w:rFonts w:cs="Arial"/>
                <w:b/>
                <w:bCs/>
                <w:sz w:val="18"/>
                <w:szCs w:val="18"/>
              </w:rPr>
            </w:pPr>
            <w:r w:rsidRPr="00545EC0">
              <w:rPr>
                <w:rFonts w:cs="Arial"/>
                <w:b/>
                <w:bCs/>
                <w:sz w:val="18"/>
                <w:szCs w:val="18"/>
              </w:rPr>
              <w:t>P</w:t>
            </w:r>
          </w:p>
        </w:tc>
      </w:tr>
      <w:tr w:rsidR="003122F4" w:rsidRPr="00545EC0" w14:paraId="1324E721" w14:textId="77777777" w:rsidTr="00552E05">
        <w:trPr>
          <w:trHeight w:val="227"/>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0115B126" w14:textId="77777777" w:rsidR="00BA1338" w:rsidRPr="00545EC0" w:rsidRDefault="00BA1338" w:rsidP="004F2AF2">
            <w:pPr>
              <w:spacing w:line="60" w:lineRule="atLeast"/>
              <w:contextualSpacing/>
              <w:rPr>
                <w:rFonts w:cs="Arial"/>
                <w:sz w:val="18"/>
                <w:szCs w:val="18"/>
              </w:rPr>
            </w:pPr>
            <w:r w:rsidRPr="00545EC0">
              <w:rPr>
                <w:rFonts w:cs="Arial"/>
                <w:sz w:val="18"/>
                <w:szCs w:val="18"/>
              </w:rPr>
              <w:t>SI111VT7</w:t>
            </w:r>
          </w:p>
        </w:tc>
        <w:tc>
          <w:tcPr>
            <w:tcW w:w="3108" w:type="dxa"/>
            <w:tcBorders>
              <w:top w:val="nil"/>
              <w:left w:val="nil"/>
              <w:bottom w:val="single" w:sz="4" w:space="0" w:color="auto"/>
              <w:right w:val="single" w:sz="4" w:space="0" w:color="auto"/>
            </w:tcBorders>
            <w:shd w:val="clear" w:color="auto" w:fill="auto"/>
            <w:noWrap/>
            <w:vAlign w:val="center"/>
            <w:hideMark/>
          </w:tcPr>
          <w:p w14:paraId="3839B73A" w14:textId="77777777" w:rsidR="00BA1338" w:rsidRPr="00545EC0" w:rsidRDefault="00BA1338" w:rsidP="004F2AF2">
            <w:pPr>
              <w:spacing w:line="60" w:lineRule="atLeast"/>
              <w:contextualSpacing/>
              <w:rPr>
                <w:rFonts w:cs="Arial"/>
                <w:sz w:val="18"/>
                <w:szCs w:val="18"/>
              </w:rPr>
            </w:pPr>
            <w:r w:rsidRPr="00545EC0">
              <w:rPr>
                <w:rFonts w:cs="Arial"/>
                <w:sz w:val="18"/>
                <w:szCs w:val="18"/>
              </w:rPr>
              <w:t>MPVT zadrževalnik HE Moste</w:t>
            </w:r>
          </w:p>
        </w:tc>
        <w:tc>
          <w:tcPr>
            <w:tcW w:w="992" w:type="dxa"/>
            <w:vMerge w:val="restart"/>
            <w:tcBorders>
              <w:top w:val="nil"/>
              <w:left w:val="nil"/>
              <w:right w:val="single" w:sz="4" w:space="0" w:color="auto"/>
            </w:tcBorders>
            <w:shd w:val="clear" w:color="auto" w:fill="auto"/>
            <w:noWrap/>
            <w:vAlign w:val="center"/>
            <w:hideMark/>
          </w:tcPr>
          <w:p w14:paraId="1936FD4C" w14:textId="77777777" w:rsidR="00BA1338" w:rsidRPr="00545EC0" w:rsidRDefault="00BA1338" w:rsidP="004F2AF2">
            <w:pPr>
              <w:spacing w:line="60" w:lineRule="atLeast"/>
              <w:contextualSpacing/>
              <w:rPr>
                <w:rFonts w:cs="Arial"/>
                <w:sz w:val="18"/>
                <w:szCs w:val="18"/>
              </w:rPr>
            </w:pPr>
            <w:r w:rsidRPr="00545EC0">
              <w:rPr>
                <w:rFonts w:cs="Arial"/>
                <w:sz w:val="18"/>
                <w:szCs w:val="18"/>
              </w:rPr>
              <w:t>Zgornja Sava</w:t>
            </w:r>
          </w:p>
        </w:tc>
        <w:tc>
          <w:tcPr>
            <w:tcW w:w="284" w:type="dxa"/>
            <w:tcBorders>
              <w:top w:val="nil"/>
              <w:left w:val="nil"/>
              <w:bottom w:val="single" w:sz="4" w:space="0" w:color="auto"/>
              <w:right w:val="single" w:sz="4" w:space="0" w:color="auto"/>
            </w:tcBorders>
            <w:shd w:val="clear" w:color="auto" w:fill="auto"/>
            <w:noWrap/>
            <w:vAlign w:val="center"/>
            <w:hideMark/>
          </w:tcPr>
          <w:p w14:paraId="6DA007A7" w14:textId="77777777" w:rsidR="00BA1338" w:rsidRPr="00545EC0" w:rsidRDefault="00BA1338" w:rsidP="004F2AF2">
            <w:pPr>
              <w:spacing w:line="60" w:lineRule="atLeast"/>
              <w:contextualSpacing/>
              <w:rPr>
                <w:rFonts w:cs="Arial"/>
                <w:sz w:val="18"/>
                <w:szCs w:val="18"/>
              </w:rPr>
            </w:pPr>
            <w:r w:rsidRPr="00545EC0">
              <w:rPr>
                <w:rFonts w:cs="Arial"/>
                <w:sz w:val="18"/>
                <w:szCs w:val="18"/>
              </w:rPr>
              <w:t>1</w:t>
            </w:r>
          </w:p>
        </w:tc>
        <w:tc>
          <w:tcPr>
            <w:tcW w:w="283" w:type="dxa"/>
            <w:tcBorders>
              <w:top w:val="nil"/>
              <w:left w:val="nil"/>
              <w:bottom w:val="single" w:sz="4" w:space="0" w:color="auto"/>
              <w:right w:val="single" w:sz="4" w:space="0" w:color="auto"/>
            </w:tcBorders>
            <w:shd w:val="clear" w:color="auto" w:fill="auto"/>
            <w:noWrap/>
            <w:vAlign w:val="center"/>
            <w:hideMark/>
          </w:tcPr>
          <w:p w14:paraId="2F52709A" w14:textId="77777777" w:rsidR="00BA1338" w:rsidRPr="00545EC0" w:rsidRDefault="00BA1338" w:rsidP="004F2AF2">
            <w:pPr>
              <w:spacing w:line="60" w:lineRule="atLeast"/>
              <w:contextualSpacing/>
              <w:rPr>
                <w:rFonts w:cs="Arial"/>
                <w:sz w:val="18"/>
                <w:szCs w:val="18"/>
              </w:rPr>
            </w:pPr>
            <w:r w:rsidRPr="00545EC0">
              <w:rPr>
                <w:rFonts w:cs="Arial"/>
                <w:sz w:val="18"/>
                <w:szCs w:val="18"/>
              </w:rPr>
              <w:t>0</w:t>
            </w:r>
          </w:p>
        </w:tc>
        <w:tc>
          <w:tcPr>
            <w:tcW w:w="2515" w:type="dxa"/>
            <w:tcBorders>
              <w:top w:val="nil"/>
              <w:left w:val="nil"/>
              <w:bottom w:val="single" w:sz="4" w:space="0" w:color="auto"/>
              <w:right w:val="single" w:sz="4" w:space="0" w:color="auto"/>
            </w:tcBorders>
            <w:shd w:val="clear" w:color="auto" w:fill="auto"/>
            <w:noWrap/>
            <w:vAlign w:val="center"/>
            <w:hideMark/>
          </w:tcPr>
          <w:p w14:paraId="08B6A32F" w14:textId="77777777" w:rsidR="00BA1338" w:rsidRPr="00545EC0" w:rsidRDefault="00BA1338" w:rsidP="004F2AF2">
            <w:pPr>
              <w:spacing w:line="60" w:lineRule="atLeast"/>
              <w:contextualSpacing/>
              <w:rPr>
                <w:rFonts w:cs="Arial"/>
                <w:sz w:val="18"/>
                <w:szCs w:val="18"/>
              </w:rPr>
            </w:pPr>
            <w:r w:rsidRPr="00545EC0">
              <w:rPr>
                <w:rFonts w:cs="Arial"/>
                <w:sz w:val="18"/>
                <w:szCs w:val="18"/>
              </w:rPr>
              <w:t>HE Moste (N)</w:t>
            </w:r>
          </w:p>
        </w:tc>
        <w:tc>
          <w:tcPr>
            <w:tcW w:w="401" w:type="dxa"/>
            <w:tcBorders>
              <w:top w:val="nil"/>
              <w:left w:val="nil"/>
              <w:bottom w:val="single" w:sz="4" w:space="0" w:color="auto"/>
              <w:right w:val="single" w:sz="4" w:space="0" w:color="auto"/>
            </w:tcBorders>
            <w:shd w:val="clear" w:color="auto" w:fill="FFFFFF" w:themeFill="background1"/>
            <w:noWrap/>
            <w:vAlign w:val="center"/>
            <w:hideMark/>
          </w:tcPr>
          <w:p w14:paraId="619EF061" w14:textId="77777777" w:rsidR="00BA1338" w:rsidRPr="00545EC0" w:rsidRDefault="00BA1338" w:rsidP="004F2AF2">
            <w:pPr>
              <w:spacing w:line="60" w:lineRule="atLeast"/>
              <w:contextualSpacing/>
              <w:rPr>
                <w:rFonts w:cs="Arial"/>
                <w:sz w:val="18"/>
                <w:szCs w:val="18"/>
              </w:rPr>
            </w:pPr>
            <w:r w:rsidRPr="00545EC0">
              <w:rPr>
                <w:rFonts w:cs="Arial"/>
                <w:sz w:val="18"/>
                <w:szCs w:val="18"/>
              </w:rPr>
              <w:t>1</w:t>
            </w:r>
          </w:p>
        </w:tc>
        <w:tc>
          <w:tcPr>
            <w:tcW w:w="401" w:type="dxa"/>
            <w:tcBorders>
              <w:top w:val="nil"/>
              <w:left w:val="nil"/>
              <w:bottom w:val="single" w:sz="4" w:space="0" w:color="auto"/>
              <w:right w:val="single" w:sz="4" w:space="0" w:color="auto"/>
            </w:tcBorders>
            <w:shd w:val="clear" w:color="auto" w:fill="FFFFFF" w:themeFill="background1"/>
            <w:noWrap/>
            <w:vAlign w:val="center"/>
            <w:hideMark/>
          </w:tcPr>
          <w:p w14:paraId="29789CD2" w14:textId="77777777" w:rsidR="00BA1338" w:rsidRPr="00545EC0" w:rsidRDefault="00BA1338" w:rsidP="004F2AF2">
            <w:pPr>
              <w:spacing w:line="60" w:lineRule="atLeast"/>
              <w:contextualSpacing/>
              <w:rPr>
                <w:rFonts w:cs="Arial"/>
                <w:sz w:val="18"/>
                <w:szCs w:val="18"/>
              </w:rPr>
            </w:pPr>
            <w:r w:rsidRPr="00545EC0">
              <w:rPr>
                <w:rFonts w:cs="Arial"/>
                <w:sz w:val="18"/>
                <w:szCs w:val="18"/>
              </w:rPr>
              <w:t>0</w:t>
            </w:r>
          </w:p>
        </w:tc>
      </w:tr>
      <w:tr w:rsidR="003122F4" w:rsidRPr="00545EC0" w14:paraId="5AA6CCD6" w14:textId="77777777" w:rsidTr="00552E05">
        <w:trPr>
          <w:trHeight w:val="227"/>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09C3915E" w14:textId="77777777" w:rsidR="00BA1338" w:rsidRPr="00545EC0" w:rsidRDefault="00BA1338" w:rsidP="004F2AF2">
            <w:pPr>
              <w:spacing w:line="60" w:lineRule="atLeast"/>
              <w:contextualSpacing/>
              <w:rPr>
                <w:rFonts w:cs="Arial"/>
                <w:sz w:val="18"/>
                <w:szCs w:val="18"/>
              </w:rPr>
            </w:pPr>
            <w:r w:rsidRPr="00545EC0">
              <w:rPr>
                <w:rFonts w:cs="Arial"/>
                <w:sz w:val="18"/>
                <w:szCs w:val="18"/>
              </w:rPr>
              <w:t>SI1VT137</w:t>
            </w:r>
          </w:p>
        </w:tc>
        <w:tc>
          <w:tcPr>
            <w:tcW w:w="3108" w:type="dxa"/>
            <w:tcBorders>
              <w:top w:val="nil"/>
              <w:left w:val="nil"/>
              <w:bottom w:val="single" w:sz="4" w:space="0" w:color="auto"/>
              <w:right w:val="single" w:sz="4" w:space="0" w:color="auto"/>
            </w:tcBorders>
            <w:shd w:val="clear" w:color="auto" w:fill="auto"/>
            <w:noWrap/>
            <w:vAlign w:val="center"/>
            <w:hideMark/>
          </w:tcPr>
          <w:p w14:paraId="2EAC755A" w14:textId="77777777" w:rsidR="00BA1338" w:rsidRPr="00545EC0" w:rsidRDefault="00BA1338" w:rsidP="004F2AF2">
            <w:pPr>
              <w:spacing w:line="60" w:lineRule="atLeast"/>
              <w:contextualSpacing/>
              <w:rPr>
                <w:rFonts w:cs="Arial"/>
                <w:sz w:val="18"/>
                <w:szCs w:val="18"/>
              </w:rPr>
            </w:pPr>
            <w:r w:rsidRPr="00545EC0">
              <w:rPr>
                <w:rFonts w:cs="Arial"/>
                <w:sz w:val="18"/>
                <w:szCs w:val="18"/>
              </w:rPr>
              <w:t>VT Sava HE Moste – Podbrezje</w:t>
            </w:r>
          </w:p>
        </w:tc>
        <w:tc>
          <w:tcPr>
            <w:tcW w:w="992" w:type="dxa"/>
            <w:vMerge/>
            <w:tcBorders>
              <w:left w:val="nil"/>
              <w:right w:val="single" w:sz="4" w:space="0" w:color="auto"/>
            </w:tcBorders>
            <w:shd w:val="clear" w:color="auto" w:fill="auto"/>
            <w:noWrap/>
            <w:vAlign w:val="center"/>
            <w:hideMark/>
          </w:tcPr>
          <w:p w14:paraId="291ECBFF" w14:textId="77777777" w:rsidR="00BA1338" w:rsidRPr="00545EC0" w:rsidRDefault="00BA1338" w:rsidP="004F2AF2">
            <w:pPr>
              <w:spacing w:line="60" w:lineRule="atLeast"/>
              <w:contextualSpacing/>
              <w:rPr>
                <w:rFonts w:cs="Arial"/>
                <w:sz w:val="18"/>
                <w:szCs w:val="18"/>
              </w:rPr>
            </w:pPr>
          </w:p>
        </w:tc>
        <w:tc>
          <w:tcPr>
            <w:tcW w:w="284" w:type="dxa"/>
            <w:tcBorders>
              <w:top w:val="nil"/>
              <w:left w:val="nil"/>
              <w:bottom w:val="single" w:sz="4" w:space="0" w:color="auto"/>
              <w:right w:val="single" w:sz="4" w:space="0" w:color="auto"/>
            </w:tcBorders>
            <w:shd w:val="clear" w:color="auto" w:fill="auto"/>
            <w:noWrap/>
            <w:vAlign w:val="center"/>
            <w:hideMark/>
          </w:tcPr>
          <w:p w14:paraId="1D84C85C" w14:textId="77777777" w:rsidR="00BA1338" w:rsidRPr="00545EC0" w:rsidRDefault="00BA1338" w:rsidP="004F2AF2">
            <w:pPr>
              <w:spacing w:line="60" w:lineRule="atLeast"/>
              <w:contextualSpacing/>
              <w:rPr>
                <w:rFonts w:cs="Arial"/>
                <w:sz w:val="18"/>
                <w:szCs w:val="18"/>
              </w:rPr>
            </w:pPr>
            <w:r w:rsidRPr="00545EC0">
              <w:rPr>
                <w:rFonts w:cs="Arial"/>
                <w:sz w:val="18"/>
                <w:szCs w:val="18"/>
              </w:rPr>
              <w:t>0</w:t>
            </w:r>
          </w:p>
        </w:tc>
        <w:tc>
          <w:tcPr>
            <w:tcW w:w="283" w:type="dxa"/>
            <w:tcBorders>
              <w:top w:val="nil"/>
              <w:left w:val="nil"/>
              <w:bottom w:val="single" w:sz="4" w:space="0" w:color="auto"/>
              <w:right w:val="single" w:sz="4" w:space="0" w:color="auto"/>
            </w:tcBorders>
            <w:shd w:val="clear" w:color="auto" w:fill="auto"/>
            <w:noWrap/>
            <w:vAlign w:val="center"/>
            <w:hideMark/>
          </w:tcPr>
          <w:p w14:paraId="0A073948" w14:textId="77777777" w:rsidR="00BA1338" w:rsidRPr="00545EC0" w:rsidRDefault="00BA1338" w:rsidP="004F2AF2">
            <w:pPr>
              <w:spacing w:line="60" w:lineRule="atLeast"/>
              <w:contextualSpacing/>
              <w:rPr>
                <w:rFonts w:cs="Arial"/>
                <w:sz w:val="18"/>
                <w:szCs w:val="18"/>
              </w:rPr>
            </w:pPr>
            <w:r w:rsidRPr="00545EC0">
              <w:rPr>
                <w:rFonts w:cs="Arial"/>
                <w:sz w:val="18"/>
                <w:szCs w:val="18"/>
              </w:rPr>
              <w:t>1</w:t>
            </w:r>
          </w:p>
        </w:tc>
        <w:tc>
          <w:tcPr>
            <w:tcW w:w="2515" w:type="dxa"/>
            <w:tcBorders>
              <w:top w:val="nil"/>
              <w:left w:val="nil"/>
              <w:bottom w:val="single" w:sz="4" w:space="0" w:color="auto"/>
              <w:right w:val="single" w:sz="4" w:space="0" w:color="auto"/>
            </w:tcBorders>
            <w:shd w:val="clear" w:color="auto" w:fill="auto"/>
            <w:noWrap/>
            <w:vAlign w:val="center"/>
            <w:hideMark/>
          </w:tcPr>
          <w:p w14:paraId="522D3A0D" w14:textId="77777777" w:rsidR="00BA1338" w:rsidRPr="00545EC0" w:rsidRDefault="00BA1338" w:rsidP="004F2AF2">
            <w:pPr>
              <w:spacing w:line="60" w:lineRule="atLeast"/>
              <w:contextualSpacing/>
              <w:rPr>
                <w:rFonts w:cs="Arial"/>
                <w:sz w:val="18"/>
                <w:szCs w:val="18"/>
              </w:rPr>
            </w:pPr>
            <w:r w:rsidRPr="00545EC0">
              <w:rPr>
                <w:rFonts w:cs="Arial"/>
                <w:sz w:val="18"/>
                <w:szCs w:val="18"/>
              </w:rPr>
              <w:t>HE Moste (P)</w:t>
            </w:r>
          </w:p>
        </w:tc>
        <w:tc>
          <w:tcPr>
            <w:tcW w:w="401" w:type="dxa"/>
            <w:tcBorders>
              <w:top w:val="nil"/>
              <w:left w:val="nil"/>
              <w:bottom w:val="single" w:sz="4" w:space="0" w:color="auto"/>
              <w:right w:val="single" w:sz="4" w:space="0" w:color="auto"/>
            </w:tcBorders>
            <w:shd w:val="clear" w:color="auto" w:fill="FFFFFF" w:themeFill="background1"/>
            <w:noWrap/>
            <w:vAlign w:val="center"/>
            <w:hideMark/>
          </w:tcPr>
          <w:p w14:paraId="2C18D5B9" w14:textId="77777777" w:rsidR="00BA1338" w:rsidRPr="00545EC0" w:rsidRDefault="00BA1338" w:rsidP="004F2AF2">
            <w:pPr>
              <w:spacing w:line="60" w:lineRule="atLeast"/>
              <w:contextualSpacing/>
              <w:rPr>
                <w:rFonts w:cs="Arial"/>
                <w:sz w:val="18"/>
                <w:szCs w:val="18"/>
              </w:rPr>
            </w:pPr>
            <w:r w:rsidRPr="00545EC0">
              <w:rPr>
                <w:rFonts w:cs="Arial"/>
                <w:sz w:val="18"/>
                <w:szCs w:val="18"/>
              </w:rPr>
              <w:t>0</w:t>
            </w:r>
          </w:p>
        </w:tc>
        <w:tc>
          <w:tcPr>
            <w:tcW w:w="401" w:type="dxa"/>
            <w:tcBorders>
              <w:top w:val="nil"/>
              <w:left w:val="nil"/>
              <w:bottom w:val="single" w:sz="4" w:space="0" w:color="auto"/>
              <w:right w:val="single" w:sz="4" w:space="0" w:color="auto"/>
            </w:tcBorders>
            <w:shd w:val="clear" w:color="auto" w:fill="FFFFFF" w:themeFill="background1"/>
            <w:noWrap/>
            <w:vAlign w:val="center"/>
            <w:hideMark/>
          </w:tcPr>
          <w:p w14:paraId="4FCBDB3F" w14:textId="77777777" w:rsidR="00BA1338" w:rsidRPr="00545EC0" w:rsidRDefault="00BA1338" w:rsidP="004F2AF2">
            <w:pPr>
              <w:spacing w:line="60" w:lineRule="atLeast"/>
              <w:contextualSpacing/>
              <w:rPr>
                <w:rFonts w:cs="Arial"/>
                <w:sz w:val="18"/>
                <w:szCs w:val="18"/>
              </w:rPr>
            </w:pPr>
            <w:r w:rsidRPr="00545EC0">
              <w:rPr>
                <w:rFonts w:cs="Arial"/>
                <w:sz w:val="18"/>
                <w:szCs w:val="18"/>
              </w:rPr>
              <w:t>1</w:t>
            </w:r>
          </w:p>
        </w:tc>
      </w:tr>
      <w:tr w:rsidR="003122F4" w:rsidRPr="00545EC0" w14:paraId="7BADB2CC" w14:textId="77777777" w:rsidTr="00552E05">
        <w:trPr>
          <w:trHeight w:val="227"/>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4C0D1C7C" w14:textId="77777777" w:rsidR="00BA1338" w:rsidRPr="00545EC0" w:rsidRDefault="00BA1338" w:rsidP="004F2AF2">
            <w:pPr>
              <w:spacing w:line="60" w:lineRule="atLeast"/>
              <w:contextualSpacing/>
              <w:rPr>
                <w:rFonts w:cs="Arial"/>
                <w:sz w:val="18"/>
                <w:szCs w:val="18"/>
              </w:rPr>
            </w:pPr>
            <w:r w:rsidRPr="00545EC0">
              <w:rPr>
                <w:rFonts w:cs="Arial"/>
                <w:sz w:val="18"/>
                <w:szCs w:val="18"/>
              </w:rPr>
              <w:t>SI1VT170</w:t>
            </w:r>
          </w:p>
        </w:tc>
        <w:tc>
          <w:tcPr>
            <w:tcW w:w="3108" w:type="dxa"/>
            <w:tcBorders>
              <w:top w:val="nil"/>
              <w:left w:val="nil"/>
              <w:bottom w:val="single" w:sz="4" w:space="0" w:color="auto"/>
              <w:right w:val="single" w:sz="4" w:space="0" w:color="auto"/>
            </w:tcBorders>
            <w:shd w:val="clear" w:color="auto" w:fill="auto"/>
            <w:noWrap/>
            <w:vAlign w:val="center"/>
            <w:hideMark/>
          </w:tcPr>
          <w:p w14:paraId="2E0AACB8" w14:textId="77777777" w:rsidR="00BA1338" w:rsidRPr="00545EC0" w:rsidRDefault="00BA1338" w:rsidP="004F2AF2">
            <w:pPr>
              <w:spacing w:line="60" w:lineRule="atLeast"/>
              <w:contextualSpacing/>
              <w:rPr>
                <w:rFonts w:cs="Arial"/>
                <w:sz w:val="18"/>
                <w:szCs w:val="18"/>
              </w:rPr>
            </w:pPr>
            <w:r w:rsidRPr="00545EC0">
              <w:rPr>
                <w:rFonts w:cs="Arial"/>
                <w:sz w:val="18"/>
                <w:szCs w:val="18"/>
              </w:rPr>
              <w:t>MPVT Sava Mavčiče – Medvode</w:t>
            </w:r>
          </w:p>
        </w:tc>
        <w:tc>
          <w:tcPr>
            <w:tcW w:w="992" w:type="dxa"/>
            <w:vMerge/>
            <w:tcBorders>
              <w:left w:val="nil"/>
              <w:bottom w:val="single" w:sz="4" w:space="0" w:color="auto"/>
              <w:right w:val="single" w:sz="4" w:space="0" w:color="auto"/>
            </w:tcBorders>
            <w:shd w:val="clear" w:color="auto" w:fill="auto"/>
            <w:noWrap/>
            <w:vAlign w:val="center"/>
            <w:hideMark/>
          </w:tcPr>
          <w:p w14:paraId="6A90E95B" w14:textId="77777777" w:rsidR="00BA1338" w:rsidRPr="00545EC0" w:rsidRDefault="00BA1338" w:rsidP="004F2AF2">
            <w:pPr>
              <w:spacing w:line="60" w:lineRule="atLeast"/>
              <w:contextualSpacing/>
              <w:rPr>
                <w:rFonts w:cs="Arial"/>
                <w:sz w:val="18"/>
                <w:szCs w:val="18"/>
              </w:rPr>
            </w:pPr>
          </w:p>
        </w:tc>
        <w:tc>
          <w:tcPr>
            <w:tcW w:w="284" w:type="dxa"/>
            <w:tcBorders>
              <w:top w:val="nil"/>
              <w:left w:val="nil"/>
              <w:bottom w:val="single" w:sz="4" w:space="0" w:color="auto"/>
              <w:right w:val="single" w:sz="4" w:space="0" w:color="auto"/>
            </w:tcBorders>
            <w:shd w:val="clear" w:color="auto" w:fill="auto"/>
            <w:noWrap/>
            <w:vAlign w:val="center"/>
            <w:hideMark/>
          </w:tcPr>
          <w:p w14:paraId="54553215" w14:textId="77777777" w:rsidR="00BA1338" w:rsidRPr="00545EC0" w:rsidRDefault="00BA1338" w:rsidP="004F2AF2">
            <w:pPr>
              <w:spacing w:line="60" w:lineRule="atLeast"/>
              <w:contextualSpacing/>
              <w:rPr>
                <w:rFonts w:cs="Arial"/>
                <w:sz w:val="18"/>
                <w:szCs w:val="18"/>
              </w:rPr>
            </w:pPr>
            <w:r w:rsidRPr="00545EC0">
              <w:rPr>
                <w:rFonts w:cs="Arial"/>
                <w:sz w:val="18"/>
                <w:szCs w:val="18"/>
              </w:rPr>
              <w:t>1</w:t>
            </w:r>
          </w:p>
        </w:tc>
        <w:tc>
          <w:tcPr>
            <w:tcW w:w="283" w:type="dxa"/>
            <w:tcBorders>
              <w:top w:val="nil"/>
              <w:left w:val="nil"/>
              <w:bottom w:val="single" w:sz="4" w:space="0" w:color="auto"/>
              <w:right w:val="single" w:sz="4" w:space="0" w:color="auto"/>
            </w:tcBorders>
            <w:shd w:val="clear" w:color="auto" w:fill="auto"/>
            <w:noWrap/>
            <w:vAlign w:val="center"/>
            <w:hideMark/>
          </w:tcPr>
          <w:p w14:paraId="636F2A4A" w14:textId="77777777" w:rsidR="00BA1338" w:rsidRPr="00545EC0" w:rsidRDefault="00BA1338" w:rsidP="004F2AF2">
            <w:pPr>
              <w:spacing w:line="60" w:lineRule="atLeast"/>
              <w:contextualSpacing/>
              <w:rPr>
                <w:rFonts w:cs="Arial"/>
                <w:sz w:val="18"/>
                <w:szCs w:val="18"/>
              </w:rPr>
            </w:pPr>
            <w:r w:rsidRPr="00545EC0">
              <w:rPr>
                <w:rFonts w:cs="Arial"/>
                <w:sz w:val="18"/>
                <w:szCs w:val="18"/>
              </w:rPr>
              <w:t>0</w:t>
            </w:r>
          </w:p>
        </w:tc>
        <w:tc>
          <w:tcPr>
            <w:tcW w:w="2515" w:type="dxa"/>
            <w:tcBorders>
              <w:top w:val="nil"/>
              <w:left w:val="nil"/>
              <w:bottom w:val="single" w:sz="4" w:space="0" w:color="auto"/>
              <w:right w:val="single" w:sz="4" w:space="0" w:color="auto"/>
            </w:tcBorders>
            <w:shd w:val="clear" w:color="auto" w:fill="auto"/>
            <w:noWrap/>
            <w:vAlign w:val="center"/>
            <w:hideMark/>
          </w:tcPr>
          <w:p w14:paraId="3AB650D8" w14:textId="77777777" w:rsidR="00BA1338" w:rsidRPr="00545EC0" w:rsidRDefault="00BA1338" w:rsidP="004F2AF2">
            <w:pPr>
              <w:spacing w:line="60" w:lineRule="atLeast"/>
              <w:contextualSpacing/>
              <w:rPr>
                <w:rFonts w:cs="Arial"/>
                <w:sz w:val="18"/>
                <w:szCs w:val="18"/>
              </w:rPr>
            </w:pPr>
            <w:r w:rsidRPr="00545EC0">
              <w:rPr>
                <w:rFonts w:cs="Arial"/>
                <w:sz w:val="18"/>
                <w:szCs w:val="18"/>
              </w:rPr>
              <w:t>HE Mavčiče (N, P) / HE Medvode (N)</w:t>
            </w:r>
          </w:p>
        </w:tc>
        <w:tc>
          <w:tcPr>
            <w:tcW w:w="401" w:type="dxa"/>
            <w:tcBorders>
              <w:top w:val="nil"/>
              <w:left w:val="nil"/>
              <w:bottom w:val="single" w:sz="4" w:space="0" w:color="auto"/>
              <w:right w:val="single" w:sz="4" w:space="0" w:color="auto"/>
            </w:tcBorders>
            <w:shd w:val="clear" w:color="auto" w:fill="FFFFFF" w:themeFill="background1"/>
            <w:noWrap/>
            <w:vAlign w:val="center"/>
            <w:hideMark/>
          </w:tcPr>
          <w:p w14:paraId="7F4840E3" w14:textId="77777777" w:rsidR="00BA1338" w:rsidRPr="00545EC0" w:rsidRDefault="00BA1338" w:rsidP="004F2AF2">
            <w:pPr>
              <w:spacing w:line="60" w:lineRule="atLeast"/>
              <w:contextualSpacing/>
              <w:rPr>
                <w:rFonts w:cs="Arial"/>
                <w:sz w:val="18"/>
                <w:szCs w:val="18"/>
              </w:rPr>
            </w:pPr>
            <w:r w:rsidRPr="00545EC0">
              <w:rPr>
                <w:rFonts w:cs="Arial"/>
                <w:sz w:val="18"/>
                <w:szCs w:val="18"/>
              </w:rPr>
              <w:t>1</w:t>
            </w:r>
          </w:p>
        </w:tc>
        <w:tc>
          <w:tcPr>
            <w:tcW w:w="401" w:type="dxa"/>
            <w:tcBorders>
              <w:top w:val="nil"/>
              <w:left w:val="nil"/>
              <w:bottom w:val="single" w:sz="4" w:space="0" w:color="auto"/>
              <w:right w:val="single" w:sz="4" w:space="0" w:color="auto"/>
            </w:tcBorders>
            <w:shd w:val="clear" w:color="auto" w:fill="FFFFFF" w:themeFill="background1"/>
            <w:noWrap/>
            <w:vAlign w:val="center"/>
            <w:hideMark/>
          </w:tcPr>
          <w:p w14:paraId="11EE3D2D" w14:textId="77777777" w:rsidR="00BA1338" w:rsidRPr="00545EC0" w:rsidRDefault="00BA1338" w:rsidP="004F2AF2">
            <w:pPr>
              <w:spacing w:line="60" w:lineRule="atLeast"/>
              <w:contextualSpacing/>
              <w:rPr>
                <w:rFonts w:cs="Arial"/>
                <w:sz w:val="18"/>
                <w:szCs w:val="18"/>
              </w:rPr>
            </w:pPr>
            <w:r w:rsidRPr="00545EC0">
              <w:rPr>
                <w:rFonts w:cs="Arial"/>
                <w:sz w:val="18"/>
                <w:szCs w:val="18"/>
              </w:rPr>
              <w:t>0</w:t>
            </w:r>
          </w:p>
        </w:tc>
      </w:tr>
      <w:tr w:rsidR="003122F4" w:rsidRPr="00545EC0" w14:paraId="317CBCDC" w14:textId="77777777" w:rsidTr="00552E05">
        <w:trPr>
          <w:trHeight w:val="227"/>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51B138F0" w14:textId="77777777" w:rsidR="00BA1338" w:rsidRPr="00545EC0" w:rsidRDefault="00BA1338" w:rsidP="004F2AF2">
            <w:pPr>
              <w:spacing w:line="60" w:lineRule="atLeast"/>
              <w:contextualSpacing/>
              <w:rPr>
                <w:rFonts w:cs="Arial"/>
                <w:sz w:val="18"/>
                <w:szCs w:val="18"/>
              </w:rPr>
            </w:pPr>
            <w:r w:rsidRPr="00545EC0">
              <w:rPr>
                <w:rFonts w:cs="Arial"/>
                <w:sz w:val="18"/>
                <w:szCs w:val="18"/>
              </w:rPr>
              <w:t>SI1VT310</w:t>
            </w:r>
          </w:p>
        </w:tc>
        <w:tc>
          <w:tcPr>
            <w:tcW w:w="3108" w:type="dxa"/>
            <w:tcBorders>
              <w:top w:val="nil"/>
              <w:left w:val="nil"/>
              <w:bottom w:val="single" w:sz="4" w:space="0" w:color="auto"/>
              <w:right w:val="single" w:sz="4" w:space="0" w:color="auto"/>
            </w:tcBorders>
            <w:shd w:val="clear" w:color="auto" w:fill="auto"/>
            <w:noWrap/>
            <w:vAlign w:val="center"/>
            <w:hideMark/>
          </w:tcPr>
          <w:p w14:paraId="16E2408F" w14:textId="77777777" w:rsidR="00BA1338" w:rsidRPr="00545EC0" w:rsidRDefault="00BA1338" w:rsidP="004F2AF2">
            <w:pPr>
              <w:spacing w:line="60" w:lineRule="atLeast"/>
              <w:contextualSpacing/>
              <w:rPr>
                <w:rFonts w:cs="Arial"/>
                <w:sz w:val="18"/>
                <w:szCs w:val="18"/>
              </w:rPr>
            </w:pPr>
            <w:r w:rsidRPr="00545EC0">
              <w:rPr>
                <w:rFonts w:cs="Arial"/>
                <w:sz w:val="18"/>
                <w:szCs w:val="18"/>
              </w:rPr>
              <w:t>VT Sava Medvode – Podgrad</w:t>
            </w:r>
          </w:p>
        </w:tc>
        <w:tc>
          <w:tcPr>
            <w:tcW w:w="992" w:type="dxa"/>
            <w:tcBorders>
              <w:top w:val="nil"/>
              <w:left w:val="nil"/>
              <w:bottom w:val="single" w:sz="4" w:space="0" w:color="auto"/>
              <w:right w:val="single" w:sz="4" w:space="0" w:color="auto"/>
            </w:tcBorders>
            <w:shd w:val="clear" w:color="auto" w:fill="auto"/>
            <w:noWrap/>
            <w:vAlign w:val="center"/>
            <w:hideMark/>
          </w:tcPr>
          <w:p w14:paraId="00D35A9C" w14:textId="77777777" w:rsidR="00BA1338" w:rsidRPr="00545EC0" w:rsidRDefault="00BA1338" w:rsidP="004F2AF2">
            <w:pPr>
              <w:spacing w:line="60" w:lineRule="atLeast"/>
              <w:contextualSpacing/>
              <w:rPr>
                <w:rFonts w:cs="Arial"/>
                <w:sz w:val="18"/>
                <w:szCs w:val="18"/>
              </w:rPr>
            </w:pPr>
            <w:r w:rsidRPr="00545EC0">
              <w:rPr>
                <w:rFonts w:cs="Arial"/>
                <w:sz w:val="18"/>
                <w:szCs w:val="18"/>
              </w:rPr>
              <w:t>Srednja Sava</w:t>
            </w:r>
          </w:p>
        </w:tc>
        <w:tc>
          <w:tcPr>
            <w:tcW w:w="284" w:type="dxa"/>
            <w:tcBorders>
              <w:top w:val="nil"/>
              <w:left w:val="nil"/>
              <w:bottom w:val="single" w:sz="4" w:space="0" w:color="auto"/>
              <w:right w:val="single" w:sz="4" w:space="0" w:color="auto"/>
            </w:tcBorders>
            <w:shd w:val="clear" w:color="auto" w:fill="auto"/>
            <w:noWrap/>
            <w:vAlign w:val="center"/>
            <w:hideMark/>
          </w:tcPr>
          <w:p w14:paraId="4747D00A" w14:textId="77777777" w:rsidR="00BA1338" w:rsidRPr="00545EC0" w:rsidRDefault="00BA1338" w:rsidP="004F2AF2">
            <w:pPr>
              <w:spacing w:line="60" w:lineRule="atLeast"/>
              <w:contextualSpacing/>
              <w:rPr>
                <w:rFonts w:cs="Arial"/>
                <w:sz w:val="18"/>
                <w:szCs w:val="18"/>
              </w:rPr>
            </w:pPr>
            <w:r w:rsidRPr="00545EC0">
              <w:rPr>
                <w:rFonts w:cs="Arial"/>
                <w:sz w:val="18"/>
                <w:szCs w:val="18"/>
              </w:rPr>
              <w:t>0</w:t>
            </w:r>
          </w:p>
        </w:tc>
        <w:tc>
          <w:tcPr>
            <w:tcW w:w="283" w:type="dxa"/>
            <w:tcBorders>
              <w:top w:val="nil"/>
              <w:left w:val="nil"/>
              <w:bottom w:val="single" w:sz="4" w:space="0" w:color="auto"/>
              <w:right w:val="single" w:sz="4" w:space="0" w:color="auto"/>
            </w:tcBorders>
            <w:shd w:val="clear" w:color="auto" w:fill="auto"/>
            <w:noWrap/>
            <w:vAlign w:val="center"/>
            <w:hideMark/>
          </w:tcPr>
          <w:p w14:paraId="2904E069" w14:textId="77777777" w:rsidR="00BA1338" w:rsidRPr="00545EC0" w:rsidRDefault="00BA1338" w:rsidP="004F2AF2">
            <w:pPr>
              <w:spacing w:line="60" w:lineRule="atLeast"/>
              <w:contextualSpacing/>
              <w:rPr>
                <w:rFonts w:cs="Arial"/>
                <w:sz w:val="18"/>
                <w:szCs w:val="18"/>
              </w:rPr>
            </w:pPr>
            <w:r w:rsidRPr="00545EC0">
              <w:rPr>
                <w:rFonts w:cs="Arial"/>
                <w:sz w:val="18"/>
                <w:szCs w:val="18"/>
              </w:rPr>
              <w:t>1</w:t>
            </w:r>
          </w:p>
        </w:tc>
        <w:tc>
          <w:tcPr>
            <w:tcW w:w="2515" w:type="dxa"/>
            <w:tcBorders>
              <w:top w:val="nil"/>
              <w:left w:val="nil"/>
              <w:bottom w:val="single" w:sz="4" w:space="0" w:color="auto"/>
              <w:right w:val="single" w:sz="4" w:space="0" w:color="auto"/>
            </w:tcBorders>
            <w:shd w:val="clear" w:color="auto" w:fill="auto"/>
            <w:noWrap/>
            <w:vAlign w:val="center"/>
            <w:hideMark/>
          </w:tcPr>
          <w:p w14:paraId="3B21D3BE" w14:textId="77777777" w:rsidR="00BA1338" w:rsidRPr="00545EC0" w:rsidRDefault="00BA1338" w:rsidP="004F2AF2">
            <w:pPr>
              <w:spacing w:line="60" w:lineRule="atLeast"/>
              <w:contextualSpacing/>
              <w:rPr>
                <w:rFonts w:cs="Arial"/>
                <w:sz w:val="18"/>
                <w:szCs w:val="18"/>
              </w:rPr>
            </w:pPr>
            <w:r w:rsidRPr="00545EC0">
              <w:rPr>
                <w:rFonts w:cs="Arial"/>
                <w:sz w:val="18"/>
                <w:szCs w:val="18"/>
              </w:rPr>
              <w:t>HE Medvode (P)</w:t>
            </w:r>
          </w:p>
        </w:tc>
        <w:tc>
          <w:tcPr>
            <w:tcW w:w="401" w:type="dxa"/>
            <w:tcBorders>
              <w:top w:val="nil"/>
              <w:left w:val="nil"/>
              <w:bottom w:val="single" w:sz="4" w:space="0" w:color="auto"/>
              <w:right w:val="single" w:sz="4" w:space="0" w:color="auto"/>
            </w:tcBorders>
            <w:shd w:val="clear" w:color="auto" w:fill="FFFFFF" w:themeFill="background1"/>
            <w:noWrap/>
            <w:vAlign w:val="center"/>
            <w:hideMark/>
          </w:tcPr>
          <w:p w14:paraId="1BC4F153" w14:textId="77777777" w:rsidR="00BA1338" w:rsidRPr="00545EC0" w:rsidRDefault="00BA1338" w:rsidP="004F2AF2">
            <w:pPr>
              <w:spacing w:line="60" w:lineRule="atLeast"/>
              <w:contextualSpacing/>
              <w:rPr>
                <w:rFonts w:cs="Arial"/>
                <w:sz w:val="18"/>
                <w:szCs w:val="18"/>
              </w:rPr>
            </w:pPr>
            <w:r w:rsidRPr="00545EC0">
              <w:rPr>
                <w:rFonts w:cs="Arial"/>
                <w:sz w:val="18"/>
                <w:szCs w:val="18"/>
              </w:rPr>
              <w:t>0</w:t>
            </w:r>
          </w:p>
        </w:tc>
        <w:tc>
          <w:tcPr>
            <w:tcW w:w="401" w:type="dxa"/>
            <w:tcBorders>
              <w:top w:val="nil"/>
              <w:left w:val="nil"/>
              <w:bottom w:val="single" w:sz="4" w:space="0" w:color="auto"/>
              <w:right w:val="single" w:sz="4" w:space="0" w:color="auto"/>
            </w:tcBorders>
            <w:shd w:val="clear" w:color="auto" w:fill="FFFFFF" w:themeFill="background1"/>
            <w:noWrap/>
            <w:vAlign w:val="center"/>
            <w:hideMark/>
          </w:tcPr>
          <w:p w14:paraId="6D6AB3B3" w14:textId="77777777" w:rsidR="00BA1338" w:rsidRPr="00545EC0" w:rsidRDefault="00BA1338" w:rsidP="004F2AF2">
            <w:pPr>
              <w:spacing w:line="60" w:lineRule="atLeast"/>
              <w:contextualSpacing/>
              <w:rPr>
                <w:rFonts w:cs="Arial"/>
                <w:sz w:val="18"/>
                <w:szCs w:val="18"/>
              </w:rPr>
            </w:pPr>
            <w:r w:rsidRPr="00545EC0">
              <w:rPr>
                <w:rFonts w:cs="Arial"/>
                <w:sz w:val="18"/>
                <w:szCs w:val="18"/>
              </w:rPr>
              <w:t>1</w:t>
            </w:r>
          </w:p>
        </w:tc>
      </w:tr>
      <w:tr w:rsidR="003122F4" w:rsidRPr="00545EC0" w14:paraId="21A2F9D4" w14:textId="77777777" w:rsidTr="00552E05">
        <w:trPr>
          <w:trHeight w:val="227"/>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19660DE1" w14:textId="77777777" w:rsidR="00BA1338" w:rsidRPr="00545EC0" w:rsidRDefault="00BA1338" w:rsidP="004F2AF2">
            <w:pPr>
              <w:spacing w:line="60" w:lineRule="atLeast"/>
              <w:contextualSpacing/>
              <w:rPr>
                <w:rFonts w:cs="Arial"/>
                <w:sz w:val="18"/>
                <w:szCs w:val="18"/>
              </w:rPr>
            </w:pPr>
            <w:r w:rsidRPr="00545EC0">
              <w:rPr>
                <w:rFonts w:cs="Arial"/>
                <w:sz w:val="18"/>
                <w:szCs w:val="18"/>
              </w:rPr>
              <w:t>SI1VT713</w:t>
            </w:r>
          </w:p>
        </w:tc>
        <w:tc>
          <w:tcPr>
            <w:tcW w:w="3108" w:type="dxa"/>
            <w:tcBorders>
              <w:top w:val="nil"/>
              <w:left w:val="nil"/>
              <w:bottom w:val="single" w:sz="4" w:space="0" w:color="auto"/>
              <w:right w:val="single" w:sz="4" w:space="0" w:color="auto"/>
            </w:tcBorders>
            <w:shd w:val="clear" w:color="auto" w:fill="auto"/>
            <w:noWrap/>
            <w:vAlign w:val="center"/>
            <w:hideMark/>
          </w:tcPr>
          <w:p w14:paraId="7B2F2EED" w14:textId="77777777" w:rsidR="00BA1338" w:rsidRPr="00545EC0" w:rsidRDefault="00BA1338" w:rsidP="004F2AF2">
            <w:pPr>
              <w:spacing w:line="60" w:lineRule="atLeast"/>
              <w:contextualSpacing/>
              <w:rPr>
                <w:rFonts w:cs="Arial"/>
                <w:sz w:val="18"/>
                <w:szCs w:val="18"/>
              </w:rPr>
            </w:pPr>
            <w:r w:rsidRPr="00545EC0">
              <w:rPr>
                <w:rFonts w:cs="Arial"/>
                <w:sz w:val="18"/>
                <w:szCs w:val="18"/>
              </w:rPr>
              <w:t>MPVT Sava Vrhovo – Boštanj</w:t>
            </w:r>
          </w:p>
        </w:tc>
        <w:tc>
          <w:tcPr>
            <w:tcW w:w="992" w:type="dxa"/>
            <w:vMerge w:val="restart"/>
            <w:tcBorders>
              <w:top w:val="nil"/>
              <w:left w:val="nil"/>
              <w:right w:val="single" w:sz="4" w:space="0" w:color="auto"/>
            </w:tcBorders>
            <w:shd w:val="clear" w:color="auto" w:fill="auto"/>
            <w:noWrap/>
            <w:vAlign w:val="center"/>
            <w:hideMark/>
          </w:tcPr>
          <w:p w14:paraId="5C283128" w14:textId="77777777" w:rsidR="00BA1338" w:rsidRPr="00545EC0" w:rsidRDefault="00BA1338" w:rsidP="004F2AF2">
            <w:pPr>
              <w:spacing w:line="60" w:lineRule="atLeast"/>
              <w:contextualSpacing/>
              <w:rPr>
                <w:rFonts w:cs="Arial"/>
                <w:sz w:val="18"/>
                <w:szCs w:val="18"/>
              </w:rPr>
            </w:pPr>
            <w:r w:rsidRPr="00545EC0">
              <w:rPr>
                <w:rFonts w:cs="Arial"/>
                <w:sz w:val="18"/>
                <w:szCs w:val="18"/>
              </w:rPr>
              <w:t>Spodnja Sava</w:t>
            </w:r>
          </w:p>
        </w:tc>
        <w:tc>
          <w:tcPr>
            <w:tcW w:w="284" w:type="dxa"/>
            <w:tcBorders>
              <w:top w:val="nil"/>
              <w:left w:val="nil"/>
              <w:bottom w:val="single" w:sz="4" w:space="0" w:color="auto"/>
              <w:right w:val="single" w:sz="4" w:space="0" w:color="auto"/>
            </w:tcBorders>
            <w:shd w:val="clear" w:color="auto" w:fill="auto"/>
            <w:noWrap/>
            <w:vAlign w:val="center"/>
            <w:hideMark/>
          </w:tcPr>
          <w:p w14:paraId="0CF2BD80" w14:textId="77777777" w:rsidR="00BA1338" w:rsidRPr="00545EC0" w:rsidRDefault="00BA1338" w:rsidP="004F2AF2">
            <w:pPr>
              <w:spacing w:line="60" w:lineRule="atLeast"/>
              <w:contextualSpacing/>
              <w:rPr>
                <w:rFonts w:cs="Arial"/>
                <w:sz w:val="18"/>
                <w:szCs w:val="18"/>
              </w:rPr>
            </w:pPr>
            <w:r w:rsidRPr="00545EC0">
              <w:rPr>
                <w:rFonts w:cs="Arial"/>
                <w:sz w:val="18"/>
                <w:szCs w:val="18"/>
              </w:rPr>
              <w:t>1</w:t>
            </w:r>
          </w:p>
        </w:tc>
        <w:tc>
          <w:tcPr>
            <w:tcW w:w="283" w:type="dxa"/>
            <w:tcBorders>
              <w:top w:val="nil"/>
              <w:left w:val="nil"/>
              <w:bottom w:val="single" w:sz="4" w:space="0" w:color="auto"/>
              <w:right w:val="single" w:sz="4" w:space="0" w:color="auto"/>
            </w:tcBorders>
            <w:shd w:val="clear" w:color="auto" w:fill="auto"/>
            <w:noWrap/>
            <w:vAlign w:val="center"/>
            <w:hideMark/>
          </w:tcPr>
          <w:p w14:paraId="575C958A" w14:textId="77777777" w:rsidR="00BA1338" w:rsidRPr="00545EC0" w:rsidRDefault="00BA1338" w:rsidP="004F2AF2">
            <w:pPr>
              <w:spacing w:line="60" w:lineRule="atLeast"/>
              <w:contextualSpacing/>
              <w:rPr>
                <w:rFonts w:cs="Arial"/>
                <w:sz w:val="18"/>
                <w:szCs w:val="18"/>
              </w:rPr>
            </w:pPr>
            <w:r w:rsidRPr="00545EC0">
              <w:rPr>
                <w:rFonts w:cs="Arial"/>
                <w:sz w:val="18"/>
                <w:szCs w:val="18"/>
              </w:rPr>
              <w:t>0</w:t>
            </w:r>
          </w:p>
        </w:tc>
        <w:tc>
          <w:tcPr>
            <w:tcW w:w="2515" w:type="dxa"/>
            <w:tcBorders>
              <w:top w:val="nil"/>
              <w:left w:val="nil"/>
              <w:bottom w:val="single" w:sz="4" w:space="0" w:color="auto"/>
              <w:right w:val="single" w:sz="4" w:space="0" w:color="auto"/>
            </w:tcBorders>
            <w:shd w:val="clear" w:color="auto" w:fill="auto"/>
            <w:noWrap/>
            <w:vAlign w:val="center"/>
            <w:hideMark/>
          </w:tcPr>
          <w:p w14:paraId="15E1B843" w14:textId="77777777" w:rsidR="00BA1338" w:rsidRPr="00545EC0" w:rsidRDefault="00BA1338" w:rsidP="004F2AF2">
            <w:pPr>
              <w:spacing w:line="60" w:lineRule="atLeast"/>
              <w:contextualSpacing/>
              <w:rPr>
                <w:rFonts w:cs="Arial"/>
                <w:sz w:val="18"/>
                <w:szCs w:val="18"/>
              </w:rPr>
            </w:pPr>
            <w:r w:rsidRPr="00545EC0">
              <w:rPr>
                <w:rFonts w:cs="Arial"/>
                <w:sz w:val="18"/>
                <w:szCs w:val="18"/>
              </w:rPr>
              <w:t>HE Vrhovo (N, P) / HE Boštanj (N, P)</w:t>
            </w:r>
          </w:p>
        </w:tc>
        <w:tc>
          <w:tcPr>
            <w:tcW w:w="401" w:type="dxa"/>
            <w:tcBorders>
              <w:top w:val="nil"/>
              <w:left w:val="nil"/>
              <w:bottom w:val="single" w:sz="4" w:space="0" w:color="auto"/>
              <w:right w:val="single" w:sz="4" w:space="0" w:color="auto"/>
            </w:tcBorders>
            <w:shd w:val="clear" w:color="auto" w:fill="FFFFFF" w:themeFill="background1"/>
            <w:noWrap/>
            <w:vAlign w:val="center"/>
            <w:hideMark/>
          </w:tcPr>
          <w:p w14:paraId="0F668FC0" w14:textId="77777777" w:rsidR="00BA1338" w:rsidRPr="00545EC0" w:rsidRDefault="00BA1338" w:rsidP="004F2AF2">
            <w:pPr>
              <w:spacing w:line="60" w:lineRule="atLeast"/>
              <w:contextualSpacing/>
              <w:rPr>
                <w:rFonts w:cs="Arial"/>
                <w:sz w:val="18"/>
                <w:szCs w:val="18"/>
              </w:rPr>
            </w:pPr>
            <w:r w:rsidRPr="00545EC0">
              <w:rPr>
                <w:rFonts w:cs="Arial"/>
                <w:sz w:val="18"/>
                <w:szCs w:val="18"/>
              </w:rPr>
              <w:t>0</w:t>
            </w:r>
          </w:p>
        </w:tc>
        <w:tc>
          <w:tcPr>
            <w:tcW w:w="401" w:type="dxa"/>
            <w:tcBorders>
              <w:top w:val="nil"/>
              <w:left w:val="nil"/>
              <w:bottom w:val="single" w:sz="4" w:space="0" w:color="auto"/>
              <w:right w:val="single" w:sz="4" w:space="0" w:color="auto"/>
            </w:tcBorders>
            <w:shd w:val="clear" w:color="auto" w:fill="FFFFFF" w:themeFill="background1"/>
            <w:noWrap/>
            <w:vAlign w:val="center"/>
            <w:hideMark/>
          </w:tcPr>
          <w:p w14:paraId="6CA56F12" w14:textId="77777777" w:rsidR="00BA1338" w:rsidRPr="00545EC0" w:rsidRDefault="00BA1338" w:rsidP="004F2AF2">
            <w:pPr>
              <w:spacing w:line="60" w:lineRule="atLeast"/>
              <w:contextualSpacing/>
              <w:rPr>
                <w:rFonts w:cs="Arial"/>
                <w:sz w:val="18"/>
                <w:szCs w:val="18"/>
              </w:rPr>
            </w:pPr>
            <w:r w:rsidRPr="00545EC0">
              <w:rPr>
                <w:rFonts w:cs="Arial"/>
                <w:sz w:val="18"/>
                <w:szCs w:val="18"/>
              </w:rPr>
              <w:t>0</w:t>
            </w:r>
          </w:p>
        </w:tc>
      </w:tr>
      <w:tr w:rsidR="003122F4" w:rsidRPr="00545EC0" w14:paraId="7F93430F" w14:textId="77777777" w:rsidTr="00552E05">
        <w:trPr>
          <w:trHeight w:val="227"/>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04571043" w14:textId="77777777" w:rsidR="00BA1338" w:rsidRPr="00545EC0" w:rsidRDefault="00BA1338" w:rsidP="004F2AF2">
            <w:pPr>
              <w:spacing w:line="60" w:lineRule="atLeast"/>
              <w:contextualSpacing/>
              <w:rPr>
                <w:rFonts w:cs="Arial"/>
                <w:sz w:val="18"/>
                <w:szCs w:val="18"/>
              </w:rPr>
            </w:pPr>
            <w:r w:rsidRPr="00545EC0">
              <w:rPr>
                <w:rFonts w:cs="Arial"/>
                <w:sz w:val="18"/>
                <w:szCs w:val="18"/>
              </w:rPr>
              <w:lastRenderedPageBreak/>
              <w:t>SI1VT739</w:t>
            </w:r>
          </w:p>
        </w:tc>
        <w:tc>
          <w:tcPr>
            <w:tcW w:w="3108" w:type="dxa"/>
            <w:tcBorders>
              <w:top w:val="nil"/>
              <w:left w:val="nil"/>
              <w:bottom w:val="single" w:sz="4" w:space="0" w:color="auto"/>
              <w:right w:val="single" w:sz="4" w:space="0" w:color="auto"/>
            </w:tcBorders>
            <w:shd w:val="clear" w:color="auto" w:fill="auto"/>
            <w:noWrap/>
            <w:vAlign w:val="center"/>
            <w:hideMark/>
          </w:tcPr>
          <w:p w14:paraId="1B179071" w14:textId="77777777" w:rsidR="00BA1338" w:rsidRPr="00545EC0" w:rsidRDefault="00BA1338" w:rsidP="004F2AF2">
            <w:pPr>
              <w:spacing w:line="60" w:lineRule="atLeast"/>
              <w:contextualSpacing/>
              <w:rPr>
                <w:rFonts w:cs="Arial"/>
                <w:sz w:val="18"/>
                <w:szCs w:val="18"/>
              </w:rPr>
            </w:pPr>
            <w:r w:rsidRPr="00545EC0">
              <w:rPr>
                <w:rFonts w:cs="Arial"/>
                <w:sz w:val="18"/>
                <w:szCs w:val="18"/>
              </w:rPr>
              <w:t>VT Sava Boštanj – Krško</w:t>
            </w:r>
          </w:p>
        </w:tc>
        <w:tc>
          <w:tcPr>
            <w:tcW w:w="992" w:type="dxa"/>
            <w:vMerge/>
            <w:tcBorders>
              <w:left w:val="nil"/>
              <w:right w:val="single" w:sz="4" w:space="0" w:color="auto"/>
            </w:tcBorders>
            <w:shd w:val="clear" w:color="auto" w:fill="auto"/>
            <w:noWrap/>
            <w:vAlign w:val="center"/>
          </w:tcPr>
          <w:p w14:paraId="720CF812" w14:textId="77777777" w:rsidR="00BA1338" w:rsidRPr="00545EC0" w:rsidRDefault="00BA1338" w:rsidP="004F2AF2">
            <w:pPr>
              <w:spacing w:line="60" w:lineRule="atLeast"/>
              <w:contextualSpacing/>
              <w:rPr>
                <w:rFonts w:cs="Arial"/>
                <w:sz w:val="18"/>
                <w:szCs w:val="18"/>
              </w:rPr>
            </w:pPr>
          </w:p>
        </w:tc>
        <w:tc>
          <w:tcPr>
            <w:tcW w:w="284" w:type="dxa"/>
            <w:tcBorders>
              <w:top w:val="nil"/>
              <w:left w:val="nil"/>
              <w:bottom w:val="single" w:sz="4" w:space="0" w:color="auto"/>
              <w:right w:val="single" w:sz="4" w:space="0" w:color="auto"/>
            </w:tcBorders>
            <w:shd w:val="clear" w:color="auto" w:fill="auto"/>
            <w:noWrap/>
            <w:vAlign w:val="center"/>
            <w:hideMark/>
          </w:tcPr>
          <w:p w14:paraId="7695AD24" w14:textId="77777777" w:rsidR="00BA1338" w:rsidRPr="00545EC0" w:rsidRDefault="00BA1338" w:rsidP="004F2AF2">
            <w:pPr>
              <w:spacing w:line="60" w:lineRule="atLeast"/>
              <w:contextualSpacing/>
              <w:rPr>
                <w:rFonts w:cs="Arial"/>
                <w:sz w:val="18"/>
                <w:szCs w:val="18"/>
              </w:rPr>
            </w:pPr>
            <w:r w:rsidRPr="00545EC0">
              <w:rPr>
                <w:rFonts w:cs="Arial"/>
                <w:sz w:val="18"/>
                <w:szCs w:val="18"/>
              </w:rPr>
              <w:t>1</w:t>
            </w:r>
          </w:p>
        </w:tc>
        <w:tc>
          <w:tcPr>
            <w:tcW w:w="283" w:type="dxa"/>
            <w:tcBorders>
              <w:top w:val="nil"/>
              <w:left w:val="nil"/>
              <w:bottom w:val="single" w:sz="4" w:space="0" w:color="auto"/>
              <w:right w:val="single" w:sz="4" w:space="0" w:color="auto"/>
            </w:tcBorders>
            <w:shd w:val="clear" w:color="auto" w:fill="auto"/>
            <w:noWrap/>
            <w:vAlign w:val="center"/>
            <w:hideMark/>
          </w:tcPr>
          <w:p w14:paraId="67203FC7" w14:textId="77777777" w:rsidR="00BA1338" w:rsidRPr="00545EC0" w:rsidRDefault="00BA1338" w:rsidP="004F2AF2">
            <w:pPr>
              <w:spacing w:line="60" w:lineRule="atLeast"/>
              <w:contextualSpacing/>
              <w:rPr>
                <w:rFonts w:cs="Arial"/>
                <w:sz w:val="18"/>
                <w:szCs w:val="18"/>
              </w:rPr>
            </w:pPr>
            <w:r w:rsidRPr="00545EC0">
              <w:rPr>
                <w:rFonts w:cs="Arial"/>
                <w:sz w:val="18"/>
                <w:szCs w:val="18"/>
              </w:rPr>
              <w:t>0</w:t>
            </w:r>
          </w:p>
        </w:tc>
        <w:tc>
          <w:tcPr>
            <w:tcW w:w="2515" w:type="dxa"/>
            <w:tcBorders>
              <w:top w:val="nil"/>
              <w:left w:val="nil"/>
              <w:bottom w:val="single" w:sz="4" w:space="0" w:color="auto"/>
              <w:right w:val="single" w:sz="4" w:space="0" w:color="auto"/>
            </w:tcBorders>
            <w:shd w:val="clear" w:color="auto" w:fill="auto"/>
            <w:noWrap/>
            <w:vAlign w:val="center"/>
            <w:hideMark/>
          </w:tcPr>
          <w:p w14:paraId="5B3B9F51" w14:textId="77777777" w:rsidR="00BA1338" w:rsidRPr="00545EC0" w:rsidRDefault="00BA1338" w:rsidP="004F2AF2">
            <w:pPr>
              <w:spacing w:line="60" w:lineRule="atLeast"/>
              <w:contextualSpacing/>
              <w:rPr>
                <w:rFonts w:cs="Arial"/>
                <w:sz w:val="18"/>
                <w:szCs w:val="18"/>
              </w:rPr>
            </w:pPr>
            <w:r w:rsidRPr="00545EC0">
              <w:rPr>
                <w:rFonts w:cs="Arial"/>
                <w:sz w:val="18"/>
                <w:szCs w:val="18"/>
              </w:rPr>
              <w:t>HE Arto-Blanca (N, P) / HE Krško (N)</w:t>
            </w:r>
          </w:p>
        </w:tc>
        <w:tc>
          <w:tcPr>
            <w:tcW w:w="401" w:type="dxa"/>
            <w:tcBorders>
              <w:top w:val="nil"/>
              <w:left w:val="nil"/>
              <w:bottom w:val="single" w:sz="4" w:space="0" w:color="auto"/>
              <w:right w:val="single" w:sz="4" w:space="0" w:color="auto"/>
            </w:tcBorders>
            <w:shd w:val="clear" w:color="auto" w:fill="FFFFFF" w:themeFill="background1"/>
            <w:noWrap/>
            <w:vAlign w:val="center"/>
            <w:hideMark/>
          </w:tcPr>
          <w:p w14:paraId="195BC117" w14:textId="77777777" w:rsidR="00BA1338" w:rsidRPr="00545EC0" w:rsidRDefault="00BA1338" w:rsidP="004F2AF2">
            <w:pPr>
              <w:spacing w:line="60" w:lineRule="atLeast"/>
              <w:contextualSpacing/>
              <w:rPr>
                <w:rFonts w:cs="Arial"/>
                <w:sz w:val="18"/>
                <w:szCs w:val="18"/>
              </w:rPr>
            </w:pPr>
            <w:r w:rsidRPr="00545EC0">
              <w:rPr>
                <w:rFonts w:cs="Arial"/>
                <w:sz w:val="18"/>
                <w:szCs w:val="18"/>
              </w:rPr>
              <w:t>0</w:t>
            </w:r>
          </w:p>
        </w:tc>
        <w:tc>
          <w:tcPr>
            <w:tcW w:w="401" w:type="dxa"/>
            <w:tcBorders>
              <w:top w:val="nil"/>
              <w:left w:val="nil"/>
              <w:bottom w:val="single" w:sz="4" w:space="0" w:color="auto"/>
              <w:right w:val="single" w:sz="4" w:space="0" w:color="auto"/>
            </w:tcBorders>
            <w:shd w:val="clear" w:color="auto" w:fill="FFFFFF" w:themeFill="background1"/>
            <w:noWrap/>
            <w:vAlign w:val="center"/>
            <w:hideMark/>
          </w:tcPr>
          <w:p w14:paraId="700B60F3" w14:textId="77777777" w:rsidR="00BA1338" w:rsidRPr="00545EC0" w:rsidRDefault="00BA1338" w:rsidP="004F2AF2">
            <w:pPr>
              <w:spacing w:line="60" w:lineRule="atLeast"/>
              <w:contextualSpacing/>
              <w:rPr>
                <w:rFonts w:cs="Arial"/>
                <w:sz w:val="18"/>
                <w:szCs w:val="18"/>
              </w:rPr>
            </w:pPr>
            <w:r w:rsidRPr="00545EC0">
              <w:rPr>
                <w:rFonts w:cs="Arial"/>
                <w:sz w:val="18"/>
                <w:szCs w:val="18"/>
              </w:rPr>
              <w:t>0</w:t>
            </w:r>
          </w:p>
        </w:tc>
      </w:tr>
      <w:tr w:rsidR="003122F4" w:rsidRPr="00545EC0" w14:paraId="504AED18" w14:textId="77777777" w:rsidTr="00552E05">
        <w:trPr>
          <w:trHeight w:val="227"/>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4F808F28" w14:textId="77777777" w:rsidR="00BA1338" w:rsidRPr="00545EC0" w:rsidRDefault="00BA1338" w:rsidP="004F2AF2">
            <w:pPr>
              <w:spacing w:line="60" w:lineRule="atLeast"/>
              <w:contextualSpacing/>
              <w:rPr>
                <w:rFonts w:cs="Arial"/>
                <w:sz w:val="18"/>
                <w:szCs w:val="18"/>
              </w:rPr>
            </w:pPr>
            <w:r w:rsidRPr="00545EC0">
              <w:rPr>
                <w:rFonts w:cs="Arial"/>
                <w:sz w:val="18"/>
                <w:szCs w:val="18"/>
              </w:rPr>
              <w:t>SI1VT913</w:t>
            </w:r>
          </w:p>
        </w:tc>
        <w:tc>
          <w:tcPr>
            <w:tcW w:w="3108" w:type="dxa"/>
            <w:tcBorders>
              <w:top w:val="nil"/>
              <w:left w:val="nil"/>
              <w:bottom w:val="single" w:sz="4" w:space="0" w:color="auto"/>
              <w:right w:val="single" w:sz="4" w:space="0" w:color="auto"/>
            </w:tcBorders>
            <w:shd w:val="clear" w:color="auto" w:fill="auto"/>
            <w:noWrap/>
            <w:vAlign w:val="center"/>
            <w:hideMark/>
          </w:tcPr>
          <w:p w14:paraId="1200E35A" w14:textId="77777777" w:rsidR="00BA1338" w:rsidRPr="00545EC0" w:rsidRDefault="00BA1338" w:rsidP="004F2AF2">
            <w:pPr>
              <w:spacing w:line="60" w:lineRule="atLeast"/>
              <w:contextualSpacing/>
              <w:rPr>
                <w:rFonts w:cs="Arial"/>
                <w:sz w:val="18"/>
                <w:szCs w:val="18"/>
              </w:rPr>
            </w:pPr>
            <w:r w:rsidRPr="00545EC0">
              <w:rPr>
                <w:rFonts w:cs="Arial"/>
                <w:sz w:val="18"/>
                <w:szCs w:val="18"/>
              </w:rPr>
              <w:t>VT Sava Krško – Vrbina</w:t>
            </w:r>
          </w:p>
        </w:tc>
        <w:tc>
          <w:tcPr>
            <w:tcW w:w="992" w:type="dxa"/>
            <w:vMerge/>
            <w:tcBorders>
              <w:left w:val="nil"/>
              <w:bottom w:val="single" w:sz="4" w:space="0" w:color="auto"/>
              <w:right w:val="single" w:sz="4" w:space="0" w:color="auto"/>
            </w:tcBorders>
            <w:shd w:val="clear" w:color="auto" w:fill="auto"/>
            <w:noWrap/>
            <w:vAlign w:val="center"/>
          </w:tcPr>
          <w:p w14:paraId="471EA3CD" w14:textId="77777777" w:rsidR="00BA1338" w:rsidRPr="00545EC0" w:rsidRDefault="00BA1338" w:rsidP="004F2AF2">
            <w:pPr>
              <w:spacing w:line="60" w:lineRule="atLeast"/>
              <w:contextualSpacing/>
              <w:rPr>
                <w:rFonts w:cs="Arial"/>
                <w:sz w:val="18"/>
                <w:szCs w:val="18"/>
              </w:rPr>
            </w:pPr>
          </w:p>
        </w:tc>
        <w:tc>
          <w:tcPr>
            <w:tcW w:w="284" w:type="dxa"/>
            <w:tcBorders>
              <w:top w:val="nil"/>
              <w:left w:val="nil"/>
              <w:bottom w:val="single" w:sz="4" w:space="0" w:color="auto"/>
              <w:right w:val="single" w:sz="4" w:space="0" w:color="auto"/>
            </w:tcBorders>
            <w:shd w:val="clear" w:color="auto" w:fill="auto"/>
            <w:noWrap/>
            <w:vAlign w:val="center"/>
            <w:hideMark/>
          </w:tcPr>
          <w:p w14:paraId="7D7EBA79" w14:textId="77777777" w:rsidR="00BA1338" w:rsidRPr="00545EC0" w:rsidRDefault="00BA1338" w:rsidP="004F2AF2">
            <w:pPr>
              <w:spacing w:line="60" w:lineRule="atLeast"/>
              <w:contextualSpacing/>
              <w:rPr>
                <w:rFonts w:cs="Arial"/>
                <w:sz w:val="18"/>
                <w:szCs w:val="18"/>
              </w:rPr>
            </w:pPr>
            <w:r w:rsidRPr="00545EC0">
              <w:rPr>
                <w:rFonts w:cs="Arial"/>
                <w:sz w:val="18"/>
                <w:szCs w:val="18"/>
              </w:rPr>
              <w:t>1</w:t>
            </w:r>
          </w:p>
        </w:tc>
        <w:tc>
          <w:tcPr>
            <w:tcW w:w="283" w:type="dxa"/>
            <w:tcBorders>
              <w:top w:val="nil"/>
              <w:left w:val="nil"/>
              <w:bottom w:val="single" w:sz="4" w:space="0" w:color="auto"/>
              <w:right w:val="single" w:sz="4" w:space="0" w:color="auto"/>
            </w:tcBorders>
            <w:shd w:val="clear" w:color="auto" w:fill="auto"/>
            <w:noWrap/>
            <w:vAlign w:val="center"/>
            <w:hideMark/>
          </w:tcPr>
          <w:p w14:paraId="01C4AD58" w14:textId="77777777" w:rsidR="00BA1338" w:rsidRPr="00545EC0" w:rsidRDefault="00BA1338" w:rsidP="004F2AF2">
            <w:pPr>
              <w:spacing w:line="60" w:lineRule="atLeast"/>
              <w:contextualSpacing/>
              <w:rPr>
                <w:rFonts w:cs="Arial"/>
                <w:sz w:val="18"/>
                <w:szCs w:val="18"/>
              </w:rPr>
            </w:pPr>
            <w:r w:rsidRPr="00545EC0">
              <w:rPr>
                <w:rFonts w:cs="Arial"/>
                <w:sz w:val="18"/>
                <w:szCs w:val="18"/>
              </w:rPr>
              <w:t>1</w:t>
            </w:r>
          </w:p>
        </w:tc>
        <w:tc>
          <w:tcPr>
            <w:tcW w:w="2515" w:type="dxa"/>
            <w:tcBorders>
              <w:top w:val="nil"/>
              <w:left w:val="nil"/>
              <w:bottom w:val="single" w:sz="4" w:space="0" w:color="auto"/>
              <w:right w:val="single" w:sz="4" w:space="0" w:color="auto"/>
            </w:tcBorders>
            <w:shd w:val="clear" w:color="auto" w:fill="auto"/>
            <w:noWrap/>
            <w:vAlign w:val="center"/>
            <w:hideMark/>
          </w:tcPr>
          <w:p w14:paraId="713AC655" w14:textId="77777777" w:rsidR="00BA1338" w:rsidRPr="00545EC0" w:rsidRDefault="00BA1338" w:rsidP="004F2AF2">
            <w:pPr>
              <w:spacing w:line="60" w:lineRule="atLeast"/>
              <w:contextualSpacing/>
              <w:rPr>
                <w:rFonts w:cs="Arial"/>
                <w:sz w:val="18"/>
                <w:szCs w:val="18"/>
              </w:rPr>
            </w:pPr>
            <w:r w:rsidRPr="00545EC0">
              <w:rPr>
                <w:rFonts w:cs="Arial"/>
                <w:sz w:val="18"/>
                <w:szCs w:val="18"/>
              </w:rPr>
              <w:t>HE Krško (P) / HE Brežice (N, P)</w:t>
            </w:r>
          </w:p>
        </w:tc>
        <w:tc>
          <w:tcPr>
            <w:tcW w:w="401" w:type="dxa"/>
            <w:tcBorders>
              <w:top w:val="nil"/>
              <w:left w:val="nil"/>
              <w:bottom w:val="single" w:sz="4" w:space="0" w:color="auto"/>
              <w:right w:val="single" w:sz="4" w:space="0" w:color="auto"/>
            </w:tcBorders>
            <w:shd w:val="clear" w:color="auto" w:fill="FFFFFF" w:themeFill="background1"/>
            <w:noWrap/>
            <w:vAlign w:val="center"/>
            <w:hideMark/>
          </w:tcPr>
          <w:p w14:paraId="76D7A204" w14:textId="77777777" w:rsidR="00BA1338" w:rsidRPr="00545EC0" w:rsidRDefault="00BA1338" w:rsidP="004F2AF2">
            <w:pPr>
              <w:spacing w:line="60" w:lineRule="atLeast"/>
              <w:contextualSpacing/>
              <w:rPr>
                <w:rFonts w:cs="Arial"/>
                <w:sz w:val="18"/>
                <w:szCs w:val="18"/>
              </w:rPr>
            </w:pPr>
            <w:r w:rsidRPr="00545EC0">
              <w:rPr>
                <w:rFonts w:cs="Arial"/>
                <w:sz w:val="18"/>
                <w:szCs w:val="18"/>
              </w:rPr>
              <w:t>1</w:t>
            </w:r>
          </w:p>
        </w:tc>
        <w:tc>
          <w:tcPr>
            <w:tcW w:w="401" w:type="dxa"/>
            <w:tcBorders>
              <w:top w:val="nil"/>
              <w:left w:val="nil"/>
              <w:bottom w:val="single" w:sz="4" w:space="0" w:color="auto"/>
              <w:right w:val="single" w:sz="4" w:space="0" w:color="auto"/>
            </w:tcBorders>
            <w:shd w:val="clear" w:color="auto" w:fill="FFFFFF" w:themeFill="background1"/>
            <w:noWrap/>
            <w:vAlign w:val="center"/>
            <w:hideMark/>
          </w:tcPr>
          <w:p w14:paraId="496F5CE1" w14:textId="77777777" w:rsidR="00BA1338" w:rsidRPr="00545EC0" w:rsidRDefault="00BA1338" w:rsidP="004F2AF2">
            <w:pPr>
              <w:spacing w:line="60" w:lineRule="atLeast"/>
              <w:contextualSpacing/>
              <w:rPr>
                <w:rFonts w:cs="Arial"/>
                <w:sz w:val="18"/>
                <w:szCs w:val="18"/>
              </w:rPr>
            </w:pPr>
            <w:r w:rsidRPr="00545EC0">
              <w:rPr>
                <w:rFonts w:cs="Arial"/>
                <w:sz w:val="18"/>
                <w:szCs w:val="18"/>
              </w:rPr>
              <w:t>1</w:t>
            </w:r>
          </w:p>
        </w:tc>
      </w:tr>
      <w:tr w:rsidR="003122F4" w:rsidRPr="00545EC0" w14:paraId="0F0AB73F" w14:textId="77777777" w:rsidTr="00552E05">
        <w:trPr>
          <w:trHeight w:val="227"/>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657684E3" w14:textId="77777777" w:rsidR="00BA1338" w:rsidRPr="00545EC0" w:rsidRDefault="00BA1338" w:rsidP="004F2AF2">
            <w:pPr>
              <w:spacing w:line="60" w:lineRule="atLeast"/>
              <w:contextualSpacing/>
              <w:rPr>
                <w:rFonts w:cs="Arial"/>
                <w:sz w:val="18"/>
                <w:szCs w:val="18"/>
              </w:rPr>
            </w:pPr>
            <w:r w:rsidRPr="00545EC0">
              <w:rPr>
                <w:rFonts w:cs="Arial"/>
                <w:sz w:val="18"/>
                <w:szCs w:val="18"/>
              </w:rPr>
              <w:t>SI35172VT</w:t>
            </w:r>
          </w:p>
        </w:tc>
        <w:tc>
          <w:tcPr>
            <w:tcW w:w="3108" w:type="dxa"/>
            <w:tcBorders>
              <w:top w:val="nil"/>
              <w:left w:val="nil"/>
              <w:bottom w:val="single" w:sz="4" w:space="0" w:color="auto"/>
              <w:right w:val="single" w:sz="4" w:space="0" w:color="auto"/>
            </w:tcBorders>
            <w:shd w:val="clear" w:color="auto" w:fill="auto"/>
            <w:noWrap/>
            <w:vAlign w:val="center"/>
            <w:hideMark/>
          </w:tcPr>
          <w:p w14:paraId="0ED4EA22" w14:textId="77777777" w:rsidR="00BA1338" w:rsidRPr="00545EC0" w:rsidRDefault="00BA1338" w:rsidP="004F2AF2">
            <w:pPr>
              <w:spacing w:line="60" w:lineRule="atLeast"/>
              <w:contextualSpacing/>
              <w:rPr>
                <w:rFonts w:cs="Arial"/>
                <w:sz w:val="18"/>
                <w:szCs w:val="18"/>
              </w:rPr>
            </w:pPr>
            <w:r w:rsidRPr="00545EC0">
              <w:rPr>
                <w:rFonts w:cs="Arial"/>
                <w:sz w:val="18"/>
                <w:szCs w:val="18"/>
              </w:rPr>
              <w:t>UVT Kanal HE Zlatoličje</w:t>
            </w:r>
          </w:p>
        </w:tc>
        <w:tc>
          <w:tcPr>
            <w:tcW w:w="992" w:type="dxa"/>
            <w:vMerge w:val="restart"/>
            <w:tcBorders>
              <w:top w:val="nil"/>
              <w:left w:val="nil"/>
              <w:right w:val="single" w:sz="4" w:space="0" w:color="auto"/>
            </w:tcBorders>
            <w:shd w:val="clear" w:color="auto" w:fill="auto"/>
            <w:noWrap/>
            <w:vAlign w:val="center"/>
            <w:hideMark/>
          </w:tcPr>
          <w:p w14:paraId="1926E2E3" w14:textId="77777777" w:rsidR="00BA1338" w:rsidRPr="00545EC0" w:rsidRDefault="00BA1338" w:rsidP="004F2AF2">
            <w:pPr>
              <w:spacing w:line="60" w:lineRule="atLeast"/>
              <w:contextualSpacing/>
              <w:rPr>
                <w:rFonts w:cs="Arial"/>
                <w:sz w:val="18"/>
                <w:szCs w:val="18"/>
              </w:rPr>
            </w:pPr>
            <w:r w:rsidRPr="00545EC0">
              <w:rPr>
                <w:rFonts w:cs="Arial"/>
                <w:sz w:val="18"/>
                <w:szCs w:val="18"/>
              </w:rPr>
              <w:t>Drava</w:t>
            </w:r>
          </w:p>
        </w:tc>
        <w:tc>
          <w:tcPr>
            <w:tcW w:w="284" w:type="dxa"/>
            <w:tcBorders>
              <w:top w:val="nil"/>
              <w:left w:val="nil"/>
              <w:bottom w:val="single" w:sz="4" w:space="0" w:color="auto"/>
              <w:right w:val="single" w:sz="4" w:space="0" w:color="auto"/>
            </w:tcBorders>
            <w:shd w:val="clear" w:color="auto" w:fill="auto"/>
            <w:noWrap/>
            <w:vAlign w:val="center"/>
            <w:hideMark/>
          </w:tcPr>
          <w:p w14:paraId="03DACB5A" w14:textId="77777777" w:rsidR="00BA1338" w:rsidRPr="00545EC0" w:rsidRDefault="00BA1338" w:rsidP="004F2AF2">
            <w:pPr>
              <w:spacing w:line="60" w:lineRule="atLeast"/>
              <w:contextualSpacing/>
              <w:rPr>
                <w:rFonts w:cs="Arial"/>
                <w:sz w:val="18"/>
                <w:szCs w:val="18"/>
              </w:rPr>
            </w:pPr>
            <w:r w:rsidRPr="00545EC0">
              <w:rPr>
                <w:rFonts w:cs="Arial"/>
                <w:sz w:val="18"/>
                <w:szCs w:val="18"/>
              </w:rPr>
              <w:t>1</w:t>
            </w:r>
          </w:p>
        </w:tc>
        <w:tc>
          <w:tcPr>
            <w:tcW w:w="283" w:type="dxa"/>
            <w:tcBorders>
              <w:top w:val="nil"/>
              <w:left w:val="nil"/>
              <w:bottom w:val="single" w:sz="4" w:space="0" w:color="auto"/>
              <w:right w:val="single" w:sz="4" w:space="0" w:color="auto"/>
            </w:tcBorders>
            <w:shd w:val="clear" w:color="auto" w:fill="auto"/>
            <w:noWrap/>
            <w:vAlign w:val="center"/>
            <w:hideMark/>
          </w:tcPr>
          <w:p w14:paraId="7BB7E79A" w14:textId="77777777" w:rsidR="00BA1338" w:rsidRPr="00545EC0" w:rsidRDefault="00BA1338" w:rsidP="004F2AF2">
            <w:pPr>
              <w:spacing w:line="60" w:lineRule="atLeast"/>
              <w:contextualSpacing/>
              <w:rPr>
                <w:rFonts w:cs="Arial"/>
                <w:sz w:val="18"/>
                <w:szCs w:val="18"/>
              </w:rPr>
            </w:pPr>
            <w:r w:rsidRPr="00545EC0">
              <w:rPr>
                <w:rFonts w:cs="Arial"/>
                <w:sz w:val="18"/>
                <w:szCs w:val="18"/>
              </w:rPr>
              <w:t>1</w:t>
            </w:r>
          </w:p>
        </w:tc>
        <w:tc>
          <w:tcPr>
            <w:tcW w:w="2515" w:type="dxa"/>
            <w:tcBorders>
              <w:top w:val="nil"/>
              <w:left w:val="nil"/>
              <w:bottom w:val="single" w:sz="4" w:space="0" w:color="auto"/>
              <w:right w:val="single" w:sz="4" w:space="0" w:color="auto"/>
            </w:tcBorders>
            <w:shd w:val="clear" w:color="auto" w:fill="auto"/>
            <w:noWrap/>
            <w:vAlign w:val="center"/>
            <w:hideMark/>
          </w:tcPr>
          <w:p w14:paraId="593CE9B8" w14:textId="77777777" w:rsidR="00BA1338" w:rsidRPr="00545EC0" w:rsidRDefault="00BA1338" w:rsidP="004F2AF2">
            <w:pPr>
              <w:spacing w:line="60" w:lineRule="atLeast"/>
              <w:contextualSpacing/>
              <w:rPr>
                <w:rFonts w:cs="Arial"/>
                <w:sz w:val="18"/>
                <w:szCs w:val="18"/>
              </w:rPr>
            </w:pPr>
            <w:r w:rsidRPr="00545EC0">
              <w:rPr>
                <w:rFonts w:cs="Arial"/>
                <w:sz w:val="18"/>
                <w:szCs w:val="18"/>
              </w:rPr>
              <w:t>HE Zlatoličje (N, P)</w:t>
            </w:r>
          </w:p>
        </w:tc>
        <w:tc>
          <w:tcPr>
            <w:tcW w:w="401" w:type="dxa"/>
            <w:tcBorders>
              <w:top w:val="nil"/>
              <w:left w:val="nil"/>
              <w:bottom w:val="single" w:sz="4" w:space="0" w:color="auto"/>
              <w:right w:val="single" w:sz="4" w:space="0" w:color="auto"/>
            </w:tcBorders>
            <w:shd w:val="clear" w:color="auto" w:fill="FFFFFF" w:themeFill="background1"/>
            <w:noWrap/>
            <w:vAlign w:val="center"/>
            <w:hideMark/>
          </w:tcPr>
          <w:p w14:paraId="10DF0B8B" w14:textId="77777777" w:rsidR="00BA1338" w:rsidRPr="00545EC0" w:rsidRDefault="00BA1338" w:rsidP="004F2AF2">
            <w:pPr>
              <w:spacing w:line="60" w:lineRule="atLeast"/>
              <w:contextualSpacing/>
              <w:rPr>
                <w:rFonts w:cs="Arial"/>
                <w:sz w:val="18"/>
                <w:szCs w:val="18"/>
              </w:rPr>
            </w:pPr>
            <w:r w:rsidRPr="00545EC0">
              <w:rPr>
                <w:rFonts w:cs="Arial"/>
                <w:sz w:val="18"/>
                <w:szCs w:val="18"/>
              </w:rPr>
              <w:t>0</w:t>
            </w:r>
          </w:p>
        </w:tc>
        <w:tc>
          <w:tcPr>
            <w:tcW w:w="401" w:type="dxa"/>
            <w:tcBorders>
              <w:top w:val="nil"/>
              <w:left w:val="nil"/>
              <w:bottom w:val="single" w:sz="4" w:space="0" w:color="auto"/>
              <w:right w:val="single" w:sz="4" w:space="0" w:color="auto"/>
            </w:tcBorders>
            <w:shd w:val="clear" w:color="auto" w:fill="FFFFFF" w:themeFill="background1"/>
            <w:noWrap/>
            <w:vAlign w:val="center"/>
            <w:hideMark/>
          </w:tcPr>
          <w:p w14:paraId="57CA82DA" w14:textId="77777777" w:rsidR="00BA1338" w:rsidRPr="00545EC0" w:rsidRDefault="00BA1338" w:rsidP="004F2AF2">
            <w:pPr>
              <w:spacing w:line="60" w:lineRule="atLeast"/>
              <w:contextualSpacing/>
              <w:rPr>
                <w:rFonts w:cs="Arial"/>
                <w:sz w:val="18"/>
                <w:szCs w:val="18"/>
              </w:rPr>
            </w:pPr>
            <w:r w:rsidRPr="00545EC0">
              <w:rPr>
                <w:rFonts w:cs="Arial"/>
                <w:sz w:val="18"/>
                <w:szCs w:val="18"/>
              </w:rPr>
              <w:t>0</w:t>
            </w:r>
          </w:p>
        </w:tc>
      </w:tr>
      <w:tr w:rsidR="003122F4" w:rsidRPr="00545EC0" w14:paraId="53A2E2A0" w14:textId="77777777" w:rsidTr="004F2AF2">
        <w:trPr>
          <w:trHeight w:val="227"/>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29249B65" w14:textId="77777777" w:rsidR="00BA1338" w:rsidRPr="00545EC0" w:rsidRDefault="00BA1338" w:rsidP="004F2AF2">
            <w:pPr>
              <w:spacing w:line="60" w:lineRule="atLeast"/>
              <w:contextualSpacing/>
              <w:rPr>
                <w:rFonts w:cs="Arial"/>
                <w:sz w:val="18"/>
                <w:szCs w:val="18"/>
              </w:rPr>
            </w:pPr>
            <w:r w:rsidRPr="00545EC0">
              <w:rPr>
                <w:rFonts w:cs="Arial"/>
                <w:sz w:val="18"/>
                <w:szCs w:val="18"/>
              </w:rPr>
              <w:t>SI378VT</w:t>
            </w:r>
          </w:p>
        </w:tc>
        <w:tc>
          <w:tcPr>
            <w:tcW w:w="3108" w:type="dxa"/>
            <w:tcBorders>
              <w:top w:val="nil"/>
              <w:left w:val="nil"/>
              <w:bottom w:val="single" w:sz="4" w:space="0" w:color="auto"/>
              <w:right w:val="single" w:sz="4" w:space="0" w:color="auto"/>
            </w:tcBorders>
            <w:shd w:val="clear" w:color="auto" w:fill="auto"/>
            <w:noWrap/>
            <w:vAlign w:val="center"/>
            <w:hideMark/>
          </w:tcPr>
          <w:p w14:paraId="7C6A2B4F" w14:textId="77777777" w:rsidR="00BA1338" w:rsidRPr="00545EC0" w:rsidRDefault="00BA1338" w:rsidP="004F2AF2">
            <w:pPr>
              <w:spacing w:line="60" w:lineRule="atLeast"/>
              <w:contextualSpacing/>
              <w:rPr>
                <w:rFonts w:cs="Arial"/>
                <w:sz w:val="18"/>
                <w:szCs w:val="18"/>
              </w:rPr>
            </w:pPr>
            <w:r w:rsidRPr="00545EC0">
              <w:rPr>
                <w:rFonts w:cs="Arial"/>
                <w:sz w:val="18"/>
                <w:szCs w:val="18"/>
              </w:rPr>
              <w:t>UVT Kanal HE Formin</w:t>
            </w:r>
          </w:p>
        </w:tc>
        <w:tc>
          <w:tcPr>
            <w:tcW w:w="992" w:type="dxa"/>
            <w:vMerge/>
            <w:tcBorders>
              <w:left w:val="nil"/>
              <w:right w:val="single" w:sz="4" w:space="0" w:color="auto"/>
            </w:tcBorders>
            <w:shd w:val="clear" w:color="auto" w:fill="auto"/>
            <w:noWrap/>
            <w:vAlign w:val="center"/>
          </w:tcPr>
          <w:p w14:paraId="100C69B1" w14:textId="77777777" w:rsidR="00BA1338" w:rsidRPr="00545EC0" w:rsidRDefault="00BA1338" w:rsidP="004F2AF2">
            <w:pPr>
              <w:spacing w:line="60" w:lineRule="atLeast"/>
              <w:contextualSpacing/>
              <w:rPr>
                <w:rFonts w:cs="Arial"/>
                <w:sz w:val="18"/>
                <w:szCs w:val="18"/>
              </w:rPr>
            </w:pPr>
          </w:p>
        </w:tc>
        <w:tc>
          <w:tcPr>
            <w:tcW w:w="284" w:type="dxa"/>
            <w:tcBorders>
              <w:top w:val="nil"/>
              <w:left w:val="nil"/>
              <w:bottom w:val="single" w:sz="4" w:space="0" w:color="auto"/>
              <w:right w:val="single" w:sz="4" w:space="0" w:color="auto"/>
            </w:tcBorders>
            <w:shd w:val="clear" w:color="auto" w:fill="auto"/>
            <w:noWrap/>
            <w:vAlign w:val="center"/>
            <w:hideMark/>
          </w:tcPr>
          <w:p w14:paraId="473F65AB" w14:textId="77777777" w:rsidR="00BA1338" w:rsidRPr="00545EC0" w:rsidRDefault="00BA1338" w:rsidP="004F2AF2">
            <w:pPr>
              <w:spacing w:line="60" w:lineRule="atLeast"/>
              <w:contextualSpacing/>
              <w:rPr>
                <w:rFonts w:cs="Arial"/>
                <w:sz w:val="18"/>
                <w:szCs w:val="18"/>
              </w:rPr>
            </w:pPr>
            <w:r w:rsidRPr="00545EC0">
              <w:rPr>
                <w:rFonts w:cs="Arial"/>
                <w:sz w:val="18"/>
                <w:szCs w:val="18"/>
              </w:rPr>
              <w:t>1</w:t>
            </w:r>
          </w:p>
        </w:tc>
        <w:tc>
          <w:tcPr>
            <w:tcW w:w="283" w:type="dxa"/>
            <w:tcBorders>
              <w:top w:val="nil"/>
              <w:left w:val="nil"/>
              <w:bottom w:val="single" w:sz="4" w:space="0" w:color="auto"/>
              <w:right w:val="single" w:sz="4" w:space="0" w:color="auto"/>
            </w:tcBorders>
            <w:shd w:val="clear" w:color="auto" w:fill="auto"/>
            <w:noWrap/>
            <w:vAlign w:val="center"/>
            <w:hideMark/>
          </w:tcPr>
          <w:p w14:paraId="662C3E11" w14:textId="77777777" w:rsidR="00BA1338" w:rsidRPr="00545EC0" w:rsidRDefault="00BA1338" w:rsidP="004F2AF2">
            <w:pPr>
              <w:spacing w:line="60" w:lineRule="atLeast"/>
              <w:contextualSpacing/>
              <w:rPr>
                <w:rFonts w:cs="Arial"/>
                <w:sz w:val="18"/>
                <w:szCs w:val="18"/>
              </w:rPr>
            </w:pPr>
            <w:r w:rsidRPr="00545EC0">
              <w:rPr>
                <w:rFonts w:cs="Arial"/>
                <w:sz w:val="18"/>
                <w:szCs w:val="18"/>
              </w:rPr>
              <w:t>1</w:t>
            </w:r>
          </w:p>
        </w:tc>
        <w:tc>
          <w:tcPr>
            <w:tcW w:w="2515" w:type="dxa"/>
            <w:tcBorders>
              <w:top w:val="nil"/>
              <w:left w:val="nil"/>
              <w:bottom w:val="single" w:sz="4" w:space="0" w:color="auto"/>
              <w:right w:val="single" w:sz="4" w:space="0" w:color="auto"/>
            </w:tcBorders>
            <w:shd w:val="clear" w:color="auto" w:fill="auto"/>
            <w:noWrap/>
            <w:vAlign w:val="center"/>
            <w:hideMark/>
          </w:tcPr>
          <w:p w14:paraId="4A55F010" w14:textId="77777777" w:rsidR="00BA1338" w:rsidRPr="00545EC0" w:rsidRDefault="00BA1338" w:rsidP="004F2AF2">
            <w:pPr>
              <w:spacing w:line="60" w:lineRule="atLeast"/>
              <w:contextualSpacing/>
              <w:rPr>
                <w:rFonts w:cs="Arial"/>
                <w:sz w:val="18"/>
                <w:szCs w:val="18"/>
              </w:rPr>
            </w:pPr>
            <w:r w:rsidRPr="00545EC0">
              <w:rPr>
                <w:rFonts w:cs="Arial"/>
                <w:sz w:val="18"/>
                <w:szCs w:val="18"/>
              </w:rPr>
              <w:t>HE Formin (N, P)</w:t>
            </w:r>
          </w:p>
        </w:tc>
        <w:tc>
          <w:tcPr>
            <w:tcW w:w="401" w:type="dxa"/>
            <w:tcBorders>
              <w:top w:val="nil"/>
              <w:left w:val="nil"/>
              <w:bottom w:val="single" w:sz="4" w:space="0" w:color="auto"/>
              <w:right w:val="single" w:sz="4" w:space="0" w:color="auto"/>
            </w:tcBorders>
            <w:shd w:val="clear" w:color="auto" w:fill="auto"/>
            <w:noWrap/>
            <w:vAlign w:val="center"/>
            <w:hideMark/>
          </w:tcPr>
          <w:p w14:paraId="5DE76024" w14:textId="77777777" w:rsidR="00BA1338" w:rsidRPr="00545EC0" w:rsidRDefault="00BA1338" w:rsidP="004F2AF2">
            <w:pPr>
              <w:spacing w:line="60" w:lineRule="atLeast"/>
              <w:contextualSpacing/>
              <w:rPr>
                <w:rFonts w:cs="Arial"/>
                <w:sz w:val="18"/>
                <w:szCs w:val="18"/>
              </w:rPr>
            </w:pPr>
            <w:r w:rsidRPr="00545EC0">
              <w:rPr>
                <w:rFonts w:cs="Arial"/>
                <w:sz w:val="18"/>
                <w:szCs w:val="18"/>
              </w:rPr>
              <w:t>0</w:t>
            </w:r>
          </w:p>
        </w:tc>
        <w:tc>
          <w:tcPr>
            <w:tcW w:w="401" w:type="dxa"/>
            <w:tcBorders>
              <w:top w:val="nil"/>
              <w:left w:val="nil"/>
              <w:bottom w:val="single" w:sz="4" w:space="0" w:color="auto"/>
              <w:right w:val="single" w:sz="4" w:space="0" w:color="auto"/>
            </w:tcBorders>
            <w:shd w:val="clear" w:color="auto" w:fill="auto"/>
            <w:noWrap/>
            <w:vAlign w:val="center"/>
            <w:hideMark/>
          </w:tcPr>
          <w:p w14:paraId="1060261D" w14:textId="77777777" w:rsidR="00BA1338" w:rsidRPr="00545EC0" w:rsidRDefault="00BA1338" w:rsidP="004F2AF2">
            <w:pPr>
              <w:spacing w:line="60" w:lineRule="atLeast"/>
              <w:contextualSpacing/>
              <w:rPr>
                <w:rFonts w:cs="Arial"/>
                <w:sz w:val="18"/>
                <w:szCs w:val="18"/>
              </w:rPr>
            </w:pPr>
            <w:r w:rsidRPr="00545EC0">
              <w:rPr>
                <w:rFonts w:cs="Arial"/>
                <w:sz w:val="18"/>
                <w:szCs w:val="18"/>
              </w:rPr>
              <w:t>0</w:t>
            </w:r>
          </w:p>
        </w:tc>
      </w:tr>
      <w:tr w:rsidR="003122F4" w:rsidRPr="00545EC0" w14:paraId="16D08BC5" w14:textId="77777777" w:rsidTr="004F2AF2">
        <w:trPr>
          <w:trHeight w:val="227"/>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2ADD07E4" w14:textId="77777777" w:rsidR="00BA1338" w:rsidRPr="00545EC0" w:rsidRDefault="00BA1338" w:rsidP="004F2AF2">
            <w:pPr>
              <w:spacing w:line="60" w:lineRule="atLeast"/>
              <w:contextualSpacing/>
              <w:rPr>
                <w:rFonts w:cs="Arial"/>
                <w:sz w:val="18"/>
                <w:szCs w:val="18"/>
              </w:rPr>
            </w:pPr>
            <w:r w:rsidRPr="00545EC0">
              <w:rPr>
                <w:rFonts w:cs="Arial"/>
                <w:sz w:val="18"/>
                <w:szCs w:val="18"/>
              </w:rPr>
              <w:t>SI3VT197</w:t>
            </w:r>
          </w:p>
        </w:tc>
        <w:tc>
          <w:tcPr>
            <w:tcW w:w="3108" w:type="dxa"/>
            <w:tcBorders>
              <w:top w:val="nil"/>
              <w:left w:val="nil"/>
              <w:bottom w:val="single" w:sz="4" w:space="0" w:color="auto"/>
              <w:right w:val="single" w:sz="4" w:space="0" w:color="auto"/>
            </w:tcBorders>
            <w:shd w:val="clear" w:color="auto" w:fill="auto"/>
            <w:noWrap/>
            <w:vAlign w:val="center"/>
            <w:hideMark/>
          </w:tcPr>
          <w:p w14:paraId="7C8481A7" w14:textId="77777777" w:rsidR="00BA1338" w:rsidRPr="00545EC0" w:rsidRDefault="00BA1338" w:rsidP="004F2AF2">
            <w:pPr>
              <w:spacing w:line="60" w:lineRule="atLeast"/>
              <w:contextualSpacing/>
              <w:rPr>
                <w:rFonts w:cs="Arial"/>
                <w:sz w:val="18"/>
                <w:szCs w:val="18"/>
              </w:rPr>
            </w:pPr>
            <w:r w:rsidRPr="00545EC0">
              <w:rPr>
                <w:rFonts w:cs="Arial"/>
                <w:sz w:val="18"/>
                <w:szCs w:val="18"/>
              </w:rPr>
              <w:t>MPVT Drava mejni odsek z Avstrijo</w:t>
            </w:r>
          </w:p>
        </w:tc>
        <w:tc>
          <w:tcPr>
            <w:tcW w:w="992" w:type="dxa"/>
            <w:vMerge/>
            <w:tcBorders>
              <w:left w:val="nil"/>
              <w:right w:val="single" w:sz="4" w:space="0" w:color="auto"/>
            </w:tcBorders>
            <w:shd w:val="clear" w:color="auto" w:fill="auto"/>
            <w:noWrap/>
            <w:vAlign w:val="center"/>
          </w:tcPr>
          <w:p w14:paraId="026EDCFB" w14:textId="77777777" w:rsidR="00BA1338" w:rsidRPr="00545EC0" w:rsidRDefault="00BA1338" w:rsidP="004F2AF2">
            <w:pPr>
              <w:spacing w:line="60" w:lineRule="atLeast"/>
              <w:contextualSpacing/>
              <w:rPr>
                <w:rFonts w:cs="Arial"/>
                <w:sz w:val="18"/>
                <w:szCs w:val="18"/>
              </w:rPr>
            </w:pPr>
          </w:p>
        </w:tc>
        <w:tc>
          <w:tcPr>
            <w:tcW w:w="284" w:type="dxa"/>
            <w:tcBorders>
              <w:top w:val="nil"/>
              <w:left w:val="nil"/>
              <w:bottom w:val="single" w:sz="4" w:space="0" w:color="auto"/>
              <w:right w:val="single" w:sz="4" w:space="0" w:color="auto"/>
            </w:tcBorders>
            <w:shd w:val="clear" w:color="auto" w:fill="auto"/>
            <w:noWrap/>
            <w:vAlign w:val="center"/>
            <w:hideMark/>
          </w:tcPr>
          <w:p w14:paraId="72203FA7" w14:textId="77777777" w:rsidR="00BA1338" w:rsidRPr="00545EC0" w:rsidRDefault="00BA1338" w:rsidP="004F2AF2">
            <w:pPr>
              <w:spacing w:line="60" w:lineRule="atLeast"/>
              <w:contextualSpacing/>
              <w:rPr>
                <w:rFonts w:cs="Arial"/>
                <w:sz w:val="18"/>
                <w:szCs w:val="18"/>
              </w:rPr>
            </w:pPr>
            <w:r w:rsidRPr="00545EC0">
              <w:rPr>
                <w:rFonts w:cs="Arial"/>
                <w:sz w:val="18"/>
                <w:szCs w:val="18"/>
              </w:rPr>
              <w:t>1</w:t>
            </w:r>
          </w:p>
        </w:tc>
        <w:tc>
          <w:tcPr>
            <w:tcW w:w="283" w:type="dxa"/>
            <w:tcBorders>
              <w:top w:val="nil"/>
              <w:left w:val="nil"/>
              <w:bottom w:val="single" w:sz="4" w:space="0" w:color="auto"/>
              <w:right w:val="single" w:sz="4" w:space="0" w:color="auto"/>
            </w:tcBorders>
            <w:shd w:val="clear" w:color="auto" w:fill="auto"/>
            <w:noWrap/>
            <w:vAlign w:val="center"/>
            <w:hideMark/>
          </w:tcPr>
          <w:p w14:paraId="5A36EBE5" w14:textId="77777777" w:rsidR="00BA1338" w:rsidRPr="00545EC0" w:rsidRDefault="00BA1338" w:rsidP="004F2AF2">
            <w:pPr>
              <w:spacing w:line="60" w:lineRule="atLeast"/>
              <w:contextualSpacing/>
              <w:rPr>
                <w:rFonts w:cs="Arial"/>
                <w:sz w:val="18"/>
                <w:szCs w:val="18"/>
              </w:rPr>
            </w:pPr>
            <w:r w:rsidRPr="00545EC0">
              <w:rPr>
                <w:rFonts w:cs="Arial"/>
                <w:sz w:val="18"/>
                <w:szCs w:val="18"/>
              </w:rPr>
              <w:t>0</w:t>
            </w:r>
          </w:p>
        </w:tc>
        <w:tc>
          <w:tcPr>
            <w:tcW w:w="2515" w:type="dxa"/>
            <w:tcBorders>
              <w:top w:val="nil"/>
              <w:left w:val="nil"/>
              <w:bottom w:val="single" w:sz="4" w:space="0" w:color="auto"/>
              <w:right w:val="single" w:sz="4" w:space="0" w:color="auto"/>
            </w:tcBorders>
            <w:shd w:val="clear" w:color="auto" w:fill="auto"/>
            <w:noWrap/>
            <w:vAlign w:val="center"/>
            <w:hideMark/>
          </w:tcPr>
          <w:p w14:paraId="08049520" w14:textId="77777777" w:rsidR="00BA1338" w:rsidRPr="00545EC0" w:rsidRDefault="00BA1338" w:rsidP="004F2AF2">
            <w:pPr>
              <w:spacing w:line="60" w:lineRule="atLeast"/>
              <w:contextualSpacing/>
              <w:rPr>
                <w:rFonts w:cs="Arial"/>
                <w:sz w:val="18"/>
                <w:szCs w:val="18"/>
              </w:rPr>
            </w:pPr>
            <w:r w:rsidRPr="00545EC0">
              <w:rPr>
                <w:rFonts w:cs="Arial"/>
                <w:sz w:val="18"/>
                <w:szCs w:val="18"/>
              </w:rPr>
              <w:t>AT HE na Dravi (P) / HE Dravograd (N)</w:t>
            </w:r>
          </w:p>
        </w:tc>
        <w:tc>
          <w:tcPr>
            <w:tcW w:w="401" w:type="dxa"/>
            <w:tcBorders>
              <w:top w:val="nil"/>
              <w:left w:val="nil"/>
              <w:bottom w:val="single" w:sz="4" w:space="0" w:color="auto"/>
              <w:right w:val="single" w:sz="4" w:space="0" w:color="auto"/>
            </w:tcBorders>
            <w:shd w:val="clear" w:color="auto" w:fill="auto"/>
            <w:noWrap/>
            <w:vAlign w:val="center"/>
            <w:hideMark/>
          </w:tcPr>
          <w:p w14:paraId="32D99370" w14:textId="77777777" w:rsidR="00BA1338" w:rsidRPr="00545EC0" w:rsidRDefault="00BA1338" w:rsidP="004F2AF2">
            <w:pPr>
              <w:spacing w:line="60" w:lineRule="atLeast"/>
              <w:contextualSpacing/>
              <w:rPr>
                <w:rFonts w:cs="Arial"/>
                <w:sz w:val="18"/>
                <w:szCs w:val="18"/>
              </w:rPr>
            </w:pPr>
            <w:r w:rsidRPr="00545EC0">
              <w:rPr>
                <w:rFonts w:cs="Arial"/>
                <w:sz w:val="18"/>
                <w:szCs w:val="18"/>
              </w:rPr>
              <w:t>0</w:t>
            </w:r>
          </w:p>
        </w:tc>
        <w:tc>
          <w:tcPr>
            <w:tcW w:w="401" w:type="dxa"/>
            <w:tcBorders>
              <w:top w:val="nil"/>
              <w:left w:val="nil"/>
              <w:bottom w:val="single" w:sz="4" w:space="0" w:color="auto"/>
              <w:right w:val="single" w:sz="4" w:space="0" w:color="auto"/>
            </w:tcBorders>
            <w:shd w:val="clear" w:color="auto" w:fill="auto"/>
            <w:noWrap/>
            <w:vAlign w:val="center"/>
            <w:hideMark/>
          </w:tcPr>
          <w:p w14:paraId="5FFA0CF9" w14:textId="77777777" w:rsidR="00BA1338" w:rsidRPr="00545EC0" w:rsidRDefault="00BA1338" w:rsidP="004F2AF2">
            <w:pPr>
              <w:spacing w:line="60" w:lineRule="atLeast"/>
              <w:contextualSpacing/>
              <w:rPr>
                <w:rFonts w:cs="Arial"/>
                <w:sz w:val="18"/>
                <w:szCs w:val="18"/>
              </w:rPr>
            </w:pPr>
            <w:r w:rsidRPr="00545EC0">
              <w:rPr>
                <w:rFonts w:cs="Arial"/>
                <w:sz w:val="18"/>
                <w:szCs w:val="18"/>
              </w:rPr>
              <w:t>0</w:t>
            </w:r>
          </w:p>
        </w:tc>
      </w:tr>
      <w:tr w:rsidR="003122F4" w:rsidRPr="00545EC0" w14:paraId="459E567D" w14:textId="77777777" w:rsidTr="004F2AF2">
        <w:trPr>
          <w:trHeight w:val="227"/>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598EB9D7" w14:textId="77777777" w:rsidR="00BA1338" w:rsidRPr="00545EC0" w:rsidRDefault="00BA1338" w:rsidP="004F2AF2">
            <w:pPr>
              <w:spacing w:line="60" w:lineRule="atLeast"/>
              <w:contextualSpacing/>
              <w:rPr>
                <w:rFonts w:cs="Arial"/>
                <w:sz w:val="18"/>
                <w:szCs w:val="18"/>
              </w:rPr>
            </w:pPr>
            <w:r w:rsidRPr="00545EC0">
              <w:rPr>
                <w:rFonts w:cs="Arial"/>
                <w:sz w:val="18"/>
                <w:szCs w:val="18"/>
              </w:rPr>
              <w:t>SI3VT359</w:t>
            </w:r>
          </w:p>
        </w:tc>
        <w:tc>
          <w:tcPr>
            <w:tcW w:w="3108" w:type="dxa"/>
            <w:tcBorders>
              <w:top w:val="nil"/>
              <w:left w:val="nil"/>
              <w:bottom w:val="single" w:sz="4" w:space="0" w:color="auto"/>
              <w:right w:val="single" w:sz="4" w:space="0" w:color="auto"/>
            </w:tcBorders>
            <w:shd w:val="clear" w:color="auto" w:fill="auto"/>
            <w:noWrap/>
            <w:vAlign w:val="center"/>
            <w:hideMark/>
          </w:tcPr>
          <w:p w14:paraId="537C4C90" w14:textId="77777777" w:rsidR="00BA1338" w:rsidRPr="00545EC0" w:rsidRDefault="00BA1338" w:rsidP="004F2AF2">
            <w:pPr>
              <w:spacing w:line="60" w:lineRule="atLeast"/>
              <w:contextualSpacing/>
              <w:rPr>
                <w:rFonts w:cs="Arial"/>
                <w:sz w:val="18"/>
                <w:szCs w:val="18"/>
              </w:rPr>
            </w:pPr>
            <w:r w:rsidRPr="00545EC0">
              <w:rPr>
                <w:rFonts w:cs="Arial"/>
                <w:sz w:val="18"/>
                <w:szCs w:val="18"/>
              </w:rPr>
              <w:t>MPVT Drava Dravograd – Maribor</w:t>
            </w:r>
          </w:p>
        </w:tc>
        <w:tc>
          <w:tcPr>
            <w:tcW w:w="992" w:type="dxa"/>
            <w:vMerge/>
            <w:tcBorders>
              <w:left w:val="nil"/>
              <w:right w:val="single" w:sz="4" w:space="0" w:color="auto"/>
            </w:tcBorders>
            <w:shd w:val="clear" w:color="auto" w:fill="auto"/>
            <w:noWrap/>
            <w:vAlign w:val="center"/>
          </w:tcPr>
          <w:p w14:paraId="629219E2" w14:textId="77777777" w:rsidR="00BA1338" w:rsidRPr="00545EC0" w:rsidRDefault="00BA1338" w:rsidP="004F2AF2">
            <w:pPr>
              <w:spacing w:line="60" w:lineRule="atLeast"/>
              <w:contextualSpacing/>
              <w:rPr>
                <w:rFonts w:cs="Arial"/>
                <w:sz w:val="18"/>
                <w:szCs w:val="18"/>
              </w:rPr>
            </w:pPr>
          </w:p>
        </w:tc>
        <w:tc>
          <w:tcPr>
            <w:tcW w:w="284" w:type="dxa"/>
            <w:tcBorders>
              <w:top w:val="nil"/>
              <w:left w:val="nil"/>
              <w:bottom w:val="single" w:sz="4" w:space="0" w:color="auto"/>
              <w:right w:val="single" w:sz="4" w:space="0" w:color="auto"/>
            </w:tcBorders>
            <w:shd w:val="clear" w:color="auto" w:fill="auto"/>
            <w:noWrap/>
            <w:vAlign w:val="center"/>
            <w:hideMark/>
          </w:tcPr>
          <w:p w14:paraId="19F7F0AF" w14:textId="77777777" w:rsidR="00BA1338" w:rsidRPr="00545EC0" w:rsidRDefault="00BA1338" w:rsidP="004F2AF2">
            <w:pPr>
              <w:spacing w:line="60" w:lineRule="atLeast"/>
              <w:contextualSpacing/>
              <w:rPr>
                <w:rFonts w:cs="Arial"/>
                <w:sz w:val="18"/>
                <w:szCs w:val="18"/>
              </w:rPr>
            </w:pPr>
            <w:r w:rsidRPr="00545EC0">
              <w:rPr>
                <w:rFonts w:cs="Arial"/>
                <w:sz w:val="18"/>
                <w:szCs w:val="18"/>
              </w:rPr>
              <w:t>1</w:t>
            </w:r>
          </w:p>
        </w:tc>
        <w:tc>
          <w:tcPr>
            <w:tcW w:w="283" w:type="dxa"/>
            <w:tcBorders>
              <w:top w:val="nil"/>
              <w:left w:val="nil"/>
              <w:bottom w:val="single" w:sz="4" w:space="0" w:color="auto"/>
              <w:right w:val="single" w:sz="4" w:space="0" w:color="auto"/>
            </w:tcBorders>
            <w:shd w:val="clear" w:color="auto" w:fill="auto"/>
            <w:noWrap/>
            <w:vAlign w:val="center"/>
            <w:hideMark/>
          </w:tcPr>
          <w:p w14:paraId="57D92D88" w14:textId="77777777" w:rsidR="00BA1338" w:rsidRPr="00545EC0" w:rsidRDefault="00BA1338" w:rsidP="004F2AF2">
            <w:pPr>
              <w:spacing w:line="60" w:lineRule="atLeast"/>
              <w:contextualSpacing/>
              <w:rPr>
                <w:rFonts w:cs="Arial"/>
                <w:sz w:val="18"/>
                <w:szCs w:val="18"/>
              </w:rPr>
            </w:pPr>
            <w:r w:rsidRPr="00545EC0">
              <w:rPr>
                <w:rFonts w:cs="Arial"/>
                <w:sz w:val="18"/>
                <w:szCs w:val="18"/>
              </w:rPr>
              <w:t>0</w:t>
            </w:r>
          </w:p>
        </w:tc>
        <w:tc>
          <w:tcPr>
            <w:tcW w:w="2515" w:type="dxa"/>
            <w:tcBorders>
              <w:top w:val="nil"/>
              <w:left w:val="nil"/>
              <w:bottom w:val="single" w:sz="4" w:space="0" w:color="auto"/>
              <w:right w:val="single" w:sz="4" w:space="0" w:color="auto"/>
            </w:tcBorders>
            <w:shd w:val="clear" w:color="auto" w:fill="auto"/>
            <w:noWrap/>
            <w:vAlign w:val="center"/>
            <w:hideMark/>
          </w:tcPr>
          <w:p w14:paraId="41B4B0F1" w14:textId="77777777" w:rsidR="00BA1338" w:rsidRPr="00545EC0" w:rsidRDefault="00BA1338" w:rsidP="004F2AF2">
            <w:pPr>
              <w:spacing w:line="60" w:lineRule="atLeast"/>
              <w:contextualSpacing/>
              <w:rPr>
                <w:rFonts w:cs="Arial"/>
                <w:sz w:val="18"/>
                <w:szCs w:val="18"/>
              </w:rPr>
            </w:pPr>
            <w:r w:rsidRPr="00545EC0">
              <w:rPr>
                <w:rFonts w:cs="Arial"/>
                <w:sz w:val="18"/>
                <w:szCs w:val="18"/>
              </w:rPr>
              <w:t>HE Dravograd (N, P), HE Vuzenica (N, P), HE Vuhred (N, P), HE Ožbalt (N, P), HE Fala (N, P), HE Mariborski otok (N)</w:t>
            </w:r>
          </w:p>
        </w:tc>
        <w:tc>
          <w:tcPr>
            <w:tcW w:w="401" w:type="dxa"/>
            <w:tcBorders>
              <w:top w:val="nil"/>
              <w:left w:val="nil"/>
              <w:bottom w:val="single" w:sz="4" w:space="0" w:color="auto"/>
              <w:right w:val="single" w:sz="4" w:space="0" w:color="auto"/>
            </w:tcBorders>
            <w:shd w:val="clear" w:color="auto" w:fill="auto"/>
            <w:noWrap/>
            <w:vAlign w:val="center"/>
            <w:hideMark/>
          </w:tcPr>
          <w:p w14:paraId="4BF4F507" w14:textId="77777777" w:rsidR="00BA1338" w:rsidRPr="00545EC0" w:rsidRDefault="00BA1338" w:rsidP="004F2AF2">
            <w:pPr>
              <w:spacing w:line="60" w:lineRule="atLeast"/>
              <w:contextualSpacing/>
              <w:rPr>
                <w:rFonts w:cs="Arial"/>
                <w:sz w:val="18"/>
                <w:szCs w:val="18"/>
              </w:rPr>
            </w:pPr>
            <w:r w:rsidRPr="00545EC0">
              <w:rPr>
                <w:rFonts w:cs="Arial"/>
                <w:sz w:val="18"/>
                <w:szCs w:val="18"/>
              </w:rPr>
              <w:t>0</w:t>
            </w:r>
          </w:p>
        </w:tc>
        <w:tc>
          <w:tcPr>
            <w:tcW w:w="401" w:type="dxa"/>
            <w:tcBorders>
              <w:top w:val="nil"/>
              <w:left w:val="nil"/>
              <w:bottom w:val="single" w:sz="4" w:space="0" w:color="auto"/>
              <w:right w:val="single" w:sz="4" w:space="0" w:color="auto"/>
            </w:tcBorders>
            <w:shd w:val="clear" w:color="auto" w:fill="auto"/>
            <w:noWrap/>
            <w:vAlign w:val="center"/>
            <w:hideMark/>
          </w:tcPr>
          <w:p w14:paraId="0F68E177" w14:textId="77777777" w:rsidR="00BA1338" w:rsidRPr="00545EC0" w:rsidRDefault="00BA1338" w:rsidP="004F2AF2">
            <w:pPr>
              <w:spacing w:line="60" w:lineRule="atLeast"/>
              <w:contextualSpacing/>
              <w:rPr>
                <w:rFonts w:cs="Arial"/>
                <w:sz w:val="18"/>
                <w:szCs w:val="18"/>
              </w:rPr>
            </w:pPr>
            <w:r w:rsidRPr="00545EC0">
              <w:rPr>
                <w:rFonts w:cs="Arial"/>
                <w:sz w:val="18"/>
                <w:szCs w:val="18"/>
              </w:rPr>
              <w:t>0</w:t>
            </w:r>
          </w:p>
        </w:tc>
      </w:tr>
      <w:tr w:rsidR="003122F4" w:rsidRPr="00545EC0" w14:paraId="19A3C0A0" w14:textId="77777777" w:rsidTr="004F2AF2">
        <w:trPr>
          <w:trHeight w:val="227"/>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6668E574" w14:textId="77777777" w:rsidR="00BA1338" w:rsidRPr="00545EC0" w:rsidRDefault="00BA1338" w:rsidP="004F2AF2">
            <w:pPr>
              <w:spacing w:line="60" w:lineRule="atLeast"/>
              <w:contextualSpacing/>
              <w:rPr>
                <w:rFonts w:cs="Arial"/>
                <w:sz w:val="18"/>
                <w:szCs w:val="18"/>
              </w:rPr>
            </w:pPr>
            <w:r w:rsidRPr="00545EC0">
              <w:rPr>
                <w:rFonts w:cs="Arial"/>
                <w:sz w:val="18"/>
                <w:szCs w:val="18"/>
              </w:rPr>
              <w:t>SI3VT5171</w:t>
            </w:r>
          </w:p>
        </w:tc>
        <w:tc>
          <w:tcPr>
            <w:tcW w:w="3108" w:type="dxa"/>
            <w:tcBorders>
              <w:top w:val="nil"/>
              <w:left w:val="nil"/>
              <w:bottom w:val="single" w:sz="4" w:space="0" w:color="auto"/>
              <w:right w:val="single" w:sz="4" w:space="0" w:color="auto"/>
            </w:tcBorders>
            <w:shd w:val="clear" w:color="auto" w:fill="auto"/>
            <w:noWrap/>
            <w:vAlign w:val="center"/>
            <w:hideMark/>
          </w:tcPr>
          <w:p w14:paraId="6137907E" w14:textId="77777777" w:rsidR="00BA1338" w:rsidRPr="00545EC0" w:rsidRDefault="00BA1338" w:rsidP="004F2AF2">
            <w:pPr>
              <w:spacing w:line="60" w:lineRule="atLeast"/>
              <w:contextualSpacing/>
              <w:rPr>
                <w:rFonts w:cs="Arial"/>
                <w:sz w:val="18"/>
                <w:szCs w:val="18"/>
              </w:rPr>
            </w:pPr>
            <w:r w:rsidRPr="00545EC0">
              <w:rPr>
                <w:rFonts w:cs="Arial"/>
                <w:sz w:val="18"/>
                <w:szCs w:val="18"/>
              </w:rPr>
              <w:t>VT Drava Maribor – Ptuj</w:t>
            </w:r>
          </w:p>
        </w:tc>
        <w:tc>
          <w:tcPr>
            <w:tcW w:w="992" w:type="dxa"/>
            <w:vMerge/>
            <w:tcBorders>
              <w:left w:val="nil"/>
              <w:right w:val="single" w:sz="4" w:space="0" w:color="auto"/>
            </w:tcBorders>
            <w:shd w:val="clear" w:color="auto" w:fill="auto"/>
            <w:noWrap/>
            <w:vAlign w:val="center"/>
          </w:tcPr>
          <w:p w14:paraId="2BAF2D8E" w14:textId="77777777" w:rsidR="00BA1338" w:rsidRPr="00545EC0" w:rsidRDefault="00BA1338" w:rsidP="004F2AF2">
            <w:pPr>
              <w:spacing w:line="60" w:lineRule="atLeast"/>
              <w:contextualSpacing/>
              <w:rPr>
                <w:rFonts w:cs="Arial"/>
                <w:sz w:val="18"/>
                <w:szCs w:val="18"/>
              </w:rPr>
            </w:pPr>
          </w:p>
        </w:tc>
        <w:tc>
          <w:tcPr>
            <w:tcW w:w="284" w:type="dxa"/>
            <w:tcBorders>
              <w:top w:val="nil"/>
              <w:left w:val="nil"/>
              <w:bottom w:val="single" w:sz="4" w:space="0" w:color="auto"/>
              <w:right w:val="single" w:sz="4" w:space="0" w:color="auto"/>
            </w:tcBorders>
            <w:shd w:val="clear" w:color="auto" w:fill="auto"/>
            <w:noWrap/>
            <w:vAlign w:val="center"/>
            <w:hideMark/>
          </w:tcPr>
          <w:p w14:paraId="7A737D1E" w14:textId="77777777" w:rsidR="00BA1338" w:rsidRPr="00545EC0" w:rsidRDefault="00BA1338" w:rsidP="004F2AF2">
            <w:pPr>
              <w:spacing w:line="60" w:lineRule="atLeast"/>
              <w:contextualSpacing/>
              <w:rPr>
                <w:rFonts w:cs="Arial"/>
                <w:sz w:val="18"/>
                <w:szCs w:val="18"/>
              </w:rPr>
            </w:pPr>
            <w:r w:rsidRPr="00545EC0">
              <w:rPr>
                <w:rFonts w:cs="Arial"/>
                <w:sz w:val="18"/>
                <w:szCs w:val="18"/>
              </w:rPr>
              <w:t>1</w:t>
            </w:r>
          </w:p>
        </w:tc>
        <w:tc>
          <w:tcPr>
            <w:tcW w:w="283" w:type="dxa"/>
            <w:tcBorders>
              <w:top w:val="nil"/>
              <w:left w:val="nil"/>
              <w:bottom w:val="single" w:sz="4" w:space="0" w:color="auto"/>
              <w:right w:val="single" w:sz="4" w:space="0" w:color="auto"/>
            </w:tcBorders>
            <w:shd w:val="clear" w:color="auto" w:fill="auto"/>
            <w:noWrap/>
            <w:vAlign w:val="center"/>
            <w:hideMark/>
          </w:tcPr>
          <w:p w14:paraId="3B93F49D" w14:textId="77777777" w:rsidR="00BA1338" w:rsidRPr="00545EC0" w:rsidRDefault="00BA1338" w:rsidP="004F2AF2">
            <w:pPr>
              <w:spacing w:line="60" w:lineRule="atLeast"/>
              <w:contextualSpacing/>
              <w:rPr>
                <w:rFonts w:cs="Arial"/>
                <w:sz w:val="18"/>
                <w:szCs w:val="18"/>
              </w:rPr>
            </w:pPr>
            <w:r w:rsidRPr="00545EC0">
              <w:rPr>
                <w:rFonts w:cs="Arial"/>
                <w:sz w:val="18"/>
                <w:szCs w:val="18"/>
              </w:rPr>
              <w:t>1</w:t>
            </w:r>
          </w:p>
        </w:tc>
        <w:tc>
          <w:tcPr>
            <w:tcW w:w="2515" w:type="dxa"/>
            <w:tcBorders>
              <w:top w:val="nil"/>
              <w:left w:val="nil"/>
              <w:bottom w:val="single" w:sz="4" w:space="0" w:color="auto"/>
              <w:right w:val="single" w:sz="4" w:space="0" w:color="auto"/>
            </w:tcBorders>
            <w:shd w:val="clear" w:color="auto" w:fill="auto"/>
            <w:noWrap/>
            <w:vAlign w:val="center"/>
            <w:hideMark/>
          </w:tcPr>
          <w:p w14:paraId="361C0985" w14:textId="77777777" w:rsidR="00BA1338" w:rsidRPr="00545EC0" w:rsidRDefault="00BA1338" w:rsidP="004F2AF2">
            <w:pPr>
              <w:spacing w:line="60" w:lineRule="atLeast"/>
              <w:contextualSpacing/>
              <w:rPr>
                <w:rFonts w:cs="Arial"/>
                <w:sz w:val="18"/>
                <w:szCs w:val="18"/>
              </w:rPr>
            </w:pPr>
            <w:r w:rsidRPr="00545EC0">
              <w:rPr>
                <w:rFonts w:cs="Arial"/>
                <w:sz w:val="18"/>
                <w:szCs w:val="18"/>
              </w:rPr>
              <w:t>HE Zlatoličje (N, P)</w:t>
            </w:r>
          </w:p>
        </w:tc>
        <w:tc>
          <w:tcPr>
            <w:tcW w:w="401" w:type="dxa"/>
            <w:tcBorders>
              <w:top w:val="nil"/>
              <w:left w:val="nil"/>
              <w:bottom w:val="single" w:sz="4" w:space="0" w:color="auto"/>
              <w:right w:val="single" w:sz="4" w:space="0" w:color="auto"/>
            </w:tcBorders>
            <w:shd w:val="clear" w:color="auto" w:fill="auto"/>
            <w:noWrap/>
            <w:vAlign w:val="center"/>
            <w:hideMark/>
          </w:tcPr>
          <w:p w14:paraId="6CA60F07" w14:textId="77777777" w:rsidR="00BA1338" w:rsidRPr="00545EC0" w:rsidRDefault="00BA1338" w:rsidP="004F2AF2">
            <w:pPr>
              <w:spacing w:line="60" w:lineRule="atLeast"/>
              <w:contextualSpacing/>
              <w:rPr>
                <w:rFonts w:cs="Arial"/>
                <w:sz w:val="18"/>
                <w:szCs w:val="18"/>
              </w:rPr>
            </w:pPr>
            <w:r w:rsidRPr="00545EC0">
              <w:rPr>
                <w:rFonts w:cs="Arial"/>
                <w:sz w:val="18"/>
                <w:szCs w:val="18"/>
              </w:rPr>
              <w:t>0</w:t>
            </w:r>
          </w:p>
        </w:tc>
        <w:tc>
          <w:tcPr>
            <w:tcW w:w="401" w:type="dxa"/>
            <w:tcBorders>
              <w:top w:val="nil"/>
              <w:left w:val="nil"/>
              <w:bottom w:val="single" w:sz="4" w:space="0" w:color="auto"/>
              <w:right w:val="single" w:sz="4" w:space="0" w:color="auto"/>
            </w:tcBorders>
            <w:shd w:val="clear" w:color="auto" w:fill="auto"/>
            <w:noWrap/>
            <w:vAlign w:val="center"/>
            <w:hideMark/>
          </w:tcPr>
          <w:p w14:paraId="399B65F8" w14:textId="77777777" w:rsidR="00BA1338" w:rsidRPr="00545EC0" w:rsidRDefault="00BA1338" w:rsidP="004F2AF2">
            <w:pPr>
              <w:spacing w:line="60" w:lineRule="atLeast"/>
              <w:contextualSpacing/>
              <w:rPr>
                <w:rFonts w:cs="Arial"/>
                <w:sz w:val="18"/>
                <w:szCs w:val="18"/>
              </w:rPr>
            </w:pPr>
            <w:r w:rsidRPr="00545EC0">
              <w:rPr>
                <w:rFonts w:cs="Arial"/>
                <w:sz w:val="18"/>
                <w:szCs w:val="18"/>
              </w:rPr>
              <w:t>0</w:t>
            </w:r>
          </w:p>
        </w:tc>
      </w:tr>
      <w:tr w:rsidR="003122F4" w:rsidRPr="00545EC0" w14:paraId="70F12F9C" w14:textId="77777777" w:rsidTr="004F2AF2">
        <w:trPr>
          <w:trHeight w:val="227"/>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3A217252" w14:textId="77777777" w:rsidR="00BA1338" w:rsidRPr="00545EC0" w:rsidRDefault="00BA1338" w:rsidP="004F2AF2">
            <w:pPr>
              <w:spacing w:line="60" w:lineRule="atLeast"/>
              <w:contextualSpacing/>
              <w:rPr>
                <w:rFonts w:cs="Arial"/>
                <w:sz w:val="18"/>
                <w:szCs w:val="18"/>
              </w:rPr>
            </w:pPr>
            <w:r w:rsidRPr="00545EC0">
              <w:rPr>
                <w:rFonts w:cs="Arial"/>
                <w:sz w:val="18"/>
                <w:szCs w:val="18"/>
              </w:rPr>
              <w:t>SI3VT5172</w:t>
            </w:r>
          </w:p>
        </w:tc>
        <w:tc>
          <w:tcPr>
            <w:tcW w:w="3108" w:type="dxa"/>
            <w:tcBorders>
              <w:top w:val="nil"/>
              <w:left w:val="nil"/>
              <w:bottom w:val="single" w:sz="4" w:space="0" w:color="auto"/>
              <w:right w:val="single" w:sz="4" w:space="0" w:color="auto"/>
            </w:tcBorders>
            <w:shd w:val="clear" w:color="auto" w:fill="auto"/>
            <w:noWrap/>
            <w:vAlign w:val="center"/>
            <w:hideMark/>
          </w:tcPr>
          <w:p w14:paraId="302B9679" w14:textId="77777777" w:rsidR="00BA1338" w:rsidRPr="00545EC0" w:rsidRDefault="00BA1338" w:rsidP="004F2AF2">
            <w:pPr>
              <w:spacing w:line="60" w:lineRule="atLeast"/>
              <w:contextualSpacing/>
              <w:rPr>
                <w:rFonts w:cs="Arial"/>
                <w:sz w:val="18"/>
                <w:szCs w:val="18"/>
              </w:rPr>
            </w:pPr>
            <w:r w:rsidRPr="00545EC0">
              <w:rPr>
                <w:rFonts w:cs="Arial"/>
                <w:sz w:val="18"/>
                <w:szCs w:val="18"/>
              </w:rPr>
              <w:t>MPVT zadrževalnik Ptujsko jezero</w:t>
            </w:r>
          </w:p>
        </w:tc>
        <w:tc>
          <w:tcPr>
            <w:tcW w:w="992" w:type="dxa"/>
            <w:vMerge/>
            <w:tcBorders>
              <w:left w:val="nil"/>
              <w:right w:val="single" w:sz="4" w:space="0" w:color="auto"/>
            </w:tcBorders>
            <w:shd w:val="clear" w:color="auto" w:fill="auto"/>
            <w:noWrap/>
            <w:vAlign w:val="center"/>
          </w:tcPr>
          <w:p w14:paraId="13385BE7" w14:textId="77777777" w:rsidR="00BA1338" w:rsidRPr="00545EC0" w:rsidRDefault="00BA1338" w:rsidP="004F2AF2">
            <w:pPr>
              <w:spacing w:line="60" w:lineRule="atLeast"/>
              <w:contextualSpacing/>
              <w:rPr>
                <w:rFonts w:cs="Arial"/>
                <w:sz w:val="18"/>
                <w:szCs w:val="18"/>
              </w:rPr>
            </w:pPr>
          </w:p>
        </w:tc>
        <w:tc>
          <w:tcPr>
            <w:tcW w:w="284" w:type="dxa"/>
            <w:tcBorders>
              <w:top w:val="nil"/>
              <w:left w:val="nil"/>
              <w:bottom w:val="single" w:sz="4" w:space="0" w:color="auto"/>
              <w:right w:val="single" w:sz="4" w:space="0" w:color="auto"/>
            </w:tcBorders>
            <w:shd w:val="clear" w:color="auto" w:fill="auto"/>
            <w:noWrap/>
            <w:vAlign w:val="center"/>
            <w:hideMark/>
          </w:tcPr>
          <w:p w14:paraId="742A6C61" w14:textId="77777777" w:rsidR="00BA1338" w:rsidRPr="00545EC0" w:rsidRDefault="00BA1338" w:rsidP="004F2AF2">
            <w:pPr>
              <w:spacing w:line="60" w:lineRule="atLeast"/>
              <w:contextualSpacing/>
              <w:rPr>
                <w:rFonts w:cs="Arial"/>
                <w:sz w:val="18"/>
                <w:szCs w:val="18"/>
              </w:rPr>
            </w:pPr>
            <w:r w:rsidRPr="00545EC0">
              <w:rPr>
                <w:rFonts w:cs="Arial"/>
                <w:sz w:val="18"/>
                <w:szCs w:val="18"/>
              </w:rPr>
              <w:t>1</w:t>
            </w:r>
          </w:p>
        </w:tc>
        <w:tc>
          <w:tcPr>
            <w:tcW w:w="283" w:type="dxa"/>
            <w:tcBorders>
              <w:top w:val="nil"/>
              <w:left w:val="nil"/>
              <w:bottom w:val="single" w:sz="4" w:space="0" w:color="auto"/>
              <w:right w:val="single" w:sz="4" w:space="0" w:color="auto"/>
            </w:tcBorders>
            <w:shd w:val="clear" w:color="auto" w:fill="auto"/>
            <w:noWrap/>
            <w:vAlign w:val="center"/>
            <w:hideMark/>
          </w:tcPr>
          <w:p w14:paraId="1A8CBFAC" w14:textId="77777777" w:rsidR="00BA1338" w:rsidRPr="00545EC0" w:rsidRDefault="00BA1338" w:rsidP="004F2AF2">
            <w:pPr>
              <w:spacing w:line="60" w:lineRule="atLeast"/>
              <w:contextualSpacing/>
              <w:rPr>
                <w:rFonts w:cs="Arial"/>
                <w:sz w:val="18"/>
                <w:szCs w:val="18"/>
              </w:rPr>
            </w:pPr>
            <w:r w:rsidRPr="00545EC0">
              <w:rPr>
                <w:rFonts w:cs="Arial"/>
                <w:sz w:val="18"/>
                <w:szCs w:val="18"/>
              </w:rPr>
              <w:t>0</w:t>
            </w:r>
          </w:p>
        </w:tc>
        <w:tc>
          <w:tcPr>
            <w:tcW w:w="2515" w:type="dxa"/>
            <w:tcBorders>
              <w:top w:val="nil"/>
              <w:left w:val="nil"/>
              <w:bottom w:val="single" w:sz="4" w:space="0" w:color="auto"/>
              <w:right w:val="single" w:sz="4" w:space="0" w:color="auto"/>
            </w:tcBorders>
            <w:shd w:val="clear" w:color="auto" w:fill="auto"/>
            <w:noWrap/>
            <w:vAlign w:val="center"/>
            <w:hideMark/>
          </w:tcPr>
          <w:p w14:paraId="24A1FBAF" w14:textId="77777777" w:rsidR="00BA1338" w:rsidRPr="00545EC0" w:rsidRDefault="00BA1338" w:rsidP="004F2AF2">
            <w:pPr>
              <w:spacing w:line="60" w:lineRule="atLeast"/>
              <w:contextualSpacing/>
              <w:rPr>
                <w:rFonts w:cs="Arial"/>
                <w:sz w:val="18"/>
                <w:szCs w:val="18"/>
              </w:rPr>
            </w:pPr>
            <w:r w:rsidRPr="00545EC0">
              <w:rPr>
                <w:rFonts w:cs="Arial"/>
                <w:sz w:val="18"/>
                <w:szCs w:val="18"/>
              </w:rPr>
              <w:t>HE Zlatoličje (P), HE Formin (N)</w:t>
            </w:r>
          </w:p>
        </w:tc>
        <w:tc>
          <w:tcPr>
            <w:tcW w:w="401" w:type="dxa"/>
            <w:tcBorders>
              <w:top w:val="nil"/>
              <w:left w:val="nil"/>
              <w:bottom w:val="single" w:sz="4" w:space="0" w:color="auto"/>
              <w:right w:val="single" w:sz="4" w:space="0" w:color="auto"/>
            </w:tcBorders>
            <w:shd w:val="clear" w:color="auto" w:fill="auto"/>
            <w:noWrap/>
            <w:vAlign w:val="center"/>
            <w:hideMark/>
          </w:tcPr>
          <w:p w14:paraId="75412603" w14:textId="77777777" w:rsidR="00BA1338" w:rsidRPr="00545EC0" w:rsidRDefault="00BA1338" w:rsidP="004F2AF2">
            <w:pPr>
              <w:spacing w:line="60" w:lineRule="atLeast"/>
              <w:contextualSpacing/>
              <w:rPr>
                <w:rFonts w:cs="Arial"/>
                <w:sz w:val="18"/>
                <w:szCs w:val="18"/>
              </w:rPr>
            </w:pPr>
            <w:r w:rsidRPr="00545EC0">
              <w:rPr>
                <w:rFonts w:cs="Arial"/>
                <w:sz w:val="18"/>
                <w:szCs w:val="18"/>
              </w:rPr>
              <w:t>0</w:t>
            </w:r>
          </w:p>
        </w:tc>
        <w:tc>
          <w:tcPr>
            <w:tcW w:w="401" w:type="dxa"/>
            <w:tcBorders>
              <w:top w:val="nil"/>
              <w:left w:val="nil"/>
              <w:bottom w:val="single" w:sz="4" w:space="0" w:color="auto"/>
              <w:right w:val="single" w:sz="4" w:space="0" w:color="auto"/>
            </w:tcBorders>
            <w:shd w:val="clear" w:color="auto" w:fill="auto"/>
            <w:noWrap/>
            <w:vAlign w:val="center"/>
            <w:hideMark/>
          </w:tcPr>
          <w:p w14:paraId="5F5C3F31" w14:textId="77777777" w:rsidR="00BA1338" w:rsidRPr="00545EC0" w:rsidRDefault="00BA1338" w:rsidP="004F2AF2">
            <w:pPr>
              <w:spacing w:line="60" w:lineRule="atLeast"/>
              <w:contextualSpacing/>
              <w:rPr>
                <w:rFonts w:cs="Arial"/>
                <w:sz w:val="18"/>
                <w:szCs w:val="18"/>
              </w:rPr>
            </w:pPr>
            <w:r w:rsidRPr="00545EC0">
              <w:rPr>
                <w:rFonts w:cs="Arial"/>
                <w:sz w:val="18"/>
                <w:szCs w:val="18"/>
              </w:rPr>
              <w:t>0</w:t>
            </w:r>
          </w:p>
        </w:tc>
      </w:tr>
      <w:tr w:rsidR="003122F4" w:rsidRPr="00545EC0" w14:paraId="459B6442" w14:textId="77777777" w:rsidTr="004F2AF2">
        <w:trPr>
          <w:trHeight w:val="227"/>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6FBC7AB1" w14:textId="77777777" w:rsidR="00BA1338" w:rsidRPr="00545EC0" w:rsidRDefault="00BA1338" w:rsidP="004F2AF2">
            <w:pPr>
              <w:spacing w:line="60" w:lineRule="atLeast"/>
              <w:contextualSpacing/>
              <w:rPr>
                <w:rFonts w:cs="Arial"/>
                <w:sz w:val="18"/>
                <w:szCs w:val="18"/>
              </w:rPr>
            </w:pPr>
            <w:r w:rsidRPr="00545EC0">
              <w:rPr>
                <w:rFonts w:cs="Arial"/>
                <w:sz w:val="18"/>
                <w:szCs w:val="18"/>
              </w:rPr>
              <w:t>SI3VT930</w:t>
            </w:r>
          </w:p>
        </w:tc>
        <w:tc>
          <w:tcPr>
            <w:tcW w:w="3108" w:type="dxa"/>
            <w:tcBorders>
              <w:top w:val="nil"/>
              <w:left w:val="nil"/>
              <w:bottom w:val="single" w:sz="4" w:space="0" w:color="auto"/>
              <w:right w:val="single" w:sz="4" w:space="0" w:color="auto"/>
            </w:tcBorders>
            <w:shd w:val="clear" w:color="auto" w:fill="auto"/>
            <w:noWrap/>
            <w:vAlign w:val="center"/>
            <w:hideMark/>
          </w:tcPr>
          <w:p w14:paraId="2CBBBE48" w14:textId="77777777" w:rsidR="00BA1338" w:rsidRPr="00545EC0" w:rsidRDefault="00BA1338" w:rsidP="004F2AF2">
            <w:pPr>
              <w:spacing w:line="60" w:lineRule="atLeast"/>
              <w:contextualSpacing/>
              <w:rPr>
                <w:rFonts w:cs="Arial"/>
                <w:sz w:val="18"/>
                <w:szCs w:val="18"/>
              </w:rPr>
            </w:pPr>
            <w:r w:rsidRPr="00545EC0">
              <w:rPr>
                <w:rFonts w:cs="Arial"/>
                <w:sz w:val="18"/>
                <w:szCs w:val="18"/>
              </w:rPr>
              <w:t>VT Drava Ptuj – Ormož</w:t>
            </w:r>
          </w:p>
        </w:tc>
        <w:tc>
          <w:tcPr>
            <w:tcW w:w="992" w:type="dxa"/>
            <w:vMerge/>
            <w:tcBorders>
              <w:left w:val="nil"/>
              <w:right w:val="single" w:sz="4" w:space="0" w:color="auto"/>
            </w:tcBorders>
            <w:shd w:val="clear" w:color="auto" w:fill="auto"/>
            <w:noWrap/>
            <w:vAlign w:val="center"/>
          </w:tcPr>
          <w:p w14:paraId="397F8BE0" w14:textId="77777777" w:rsidR="00BA1338" w:rsidRPr="00545EC0" w:rsidRDefault="00BA1338" w:rsidP="004F2AF2">
            <w:pPr>
              <w:spacing w:line="60" w:lineRule="atLeast"/>
              <w:contextualSpacing/>
              <w:rPr>
                <w:rFonts w:cs="Arial"/>
                <w:sz w:val="18"/>
                <w:szCs w:val="18"/>
              </w:rPr>
            </w:pPr>
          </w:p>
        </w:tc>
        <w:tc>
          <w:tcPr>
            <w:tcW w:w="284" w:type="dxa"/>
            <w:tcBorders>
              <w:top w:val="nil"/>
              <w:left w:val="nil"/>
              <w:bottom w:val="single" w:sz="4" w:space="0" w:color="auto"/>
              <w:right w:val="single" w:sz="4" w:space="0" w:color="auto"/>
            </w:tcBorders>
            <w:shd w:val="clear" w:color="auto" w:fill="auto"/>
            <w:noWrap/>
            <w:vAlign w:val="center"/>
            <w:hideMark/>
          </w:tcPr>
          <w:p w14:paraId="6D25E14C" w14:textId="77777777" w:rsidR="00BA1338" w:rsidRPr="00545EC0" w:rsidRDefault="00BA1338" w:rsidP="004F2AF2">
            <w:pPr>
              <w:spacing w:line="60" w:lineRule="atLeast"/>
              <w:contextualSpacing/>
              <w:rPr>
                <w:rFonts w:cs="Arial"/>
                <w:sz w:val="18"/>
                <w:szCs w:val="18"/>
              </w:rPr>
            </w:pPr>
            <w:r w:rsidRPr="00545EC0">
              <w:rPr>
                <w:rFonts w:cs="Arial"/>
                <w:sz w:val="18"/>
                <w:szCs w:val="18"/>
              </w:rPr>
              <w:t>0</w:t>
            </w:r>
          </w:p>
        </w:tc>
        <w:tc>
          <w:tcPr>
            <w:tcW w:w="283" w:type="dxa"/>
            <w:tcBorders>
              <w:top w:val="nil"/>
              <w:left w:val="nil"/>
              <w:bottom w:val="single" w:sz="4" w:space="0" w:color="auto"/>
              <w:right w:val="single" w:sz="4" w:space="0" w:color="auto"/>
            </w:tcBorders>
            <w:shd w:val="clear" w:color="auto" w:fill="auto"/>
            <w:noWrap/>
            <w:vAlign w:val="center"/>
            <w:hideMark/>
          </w:tcPr>
          <w:p w14:paraId="6141010A" w14:textId="77777777" w:rsidR="00BA1338" w:rsidRPr="00545EC0" w:rsidRDefault="00BA1338" w:rsidP="004F2AF2">
            <w:pPr>
              <w:spacing w:line="60" w:lineRule="atLeast"/>
              <w:contextualSpacing/>
              <w:rPr>
                <w:rFonts w:cs="Arial"/>
                <w:sz w:val="18"/>
                <w:szCs w:val="18"/>
              </w:rPr>
            </w:pPr>
            <w:r w:rsidRPr="00545EC0">
              <w:rPr>
                <w:rFonts w:cs="Arial"/>
                <w:sz w:val="18"/>
                <w:szCs w:val="18"/>
              </w:rPr>
              <w:t>1</w:t>
            </w:r>
          </w:p>
        </w:tc>
        <w:tc>
          <w:tcPr>
            <w:tcW w:w="2515" w:type="dxa"/>
            <w:tcBorders>
              <w:top w:val="nil"/>
              <w:left w:val="nil"/>
              <w:bottom w:val="single" w:sz="4" w:space="0" w:color="auto"/>
              <w:right w:val="single" w:sz="4" w:space="0" w:color="auto"/>
            </w:tcBorders>
            <w:shd w:val="clear" w:color="auto" w:fill="auto"/>
            <w:noWrap/>
            <w:vAlign w:val="center"/>
            <w:hideMark/>
          </w:tcPr>
          <w:p w14:paraId="15D1D425" w14:textId="77777777" w:rsidR="00BA1338" w:rsidRPr="00545EC0" w:rsidRDefault="00BA1338" w:rsidP="004F2AF2">
            <w:pPr>
              <w:spacing w:line="60" w:lineRule="atLeast"/>
              <w:contextualSpacing/>
              <w:rPr>
                <w:rFonts w:cs="Arial"/>
                <w:sz w:val="18"/>
                <w:szCs w:val="18"/>
              </w:rPr>
            </w:pPr>
            <w:r w:rsidRPr="00545EC0">
              <w:rPr>
                <w:rFonts w:cs="Arial"/>
                <w:sz w:val="18"/>
                <w:szCs w:val="18"/>
              </w:rPr>
              <w:t>HE Formin (P)</w:t>
            </w:r>
          </w:p>
        </w:tc>
        <w:tc>
          <w:tcPr>
            <w:tcW w:w="401" w:type="dxa"/>
            <w:tcBorders>
              <w:top w:val="nil"/>
              <w:left w:val="nil"/>
              <w:bottom w:val="single" w:sz="4" w:space="0" w:color="auto"/>
              <w:right w:val="single" w:sz="4" w:space="0" w:color="auto"/>
            </w:tcBorders>
            <w:shd w:val="clear" w:color="auto" w:fill="auto"/>
            <w:noWrap/>
            <w:vAlign w:val="center"/>
            <w:hideMark/>
          </w:tcPr>
          <w:p w14:paraId="2DC45E6B" w14:textId="77777777" w:rsidR="00BA1338" w:rsidRPr="00545EC0" w:rsidRDefault="00BA1338" w:rsidP="004F2AF2">
            <w:pPr>
              <w:spacing w:line="60" w:lineRule="atLeast"/>
              <w:contextualSpacing/>
              <w:rPr>
                <w:rFonts w:cs="Arial"/>
                <w:sz w:val="18"/>
                <w:szCs w:val="18"/>
              </w:rPr>
            </w:pPr>
            <w:r w:rsidRPr="00545EC0">
              <w:rPr>
                <w:rFonts w:cs="Arial"/>
                <w:sz w:val="18"/>
                <w:szCs w:val="18"/>
              </w:rPr>
              <w:t>0</w:t>
            </w:r>
          </w:p>
        </w:tc>
        <w:tc>
          <w:tcPr>
            <w:tcW w:w="401" w:type="dxa"/>
            <w:tcBorders>
              <w:top w:val="nil"/>
              <w:left w:val="nil"/>
              <w:bottom w:val="single" w:sz="4" w:space="0" w:color="auto"/>
              <w:right w:val="single" w:sz="4" w:space="0" w:color="auto"/>
            </w:tcBorders>
            <w:shd w:val="clear" w:color="auto" w:fill="auto"/>
            <w:noWrap/>
            <w:vAlign w:val="center"/>
            <w:hideMark/>
          </w:tcPr>
          <w:p w14:paraId="6166F394" w14:textId="77777777" w:rsidR="00BA1338" w:rsidRPr="00545EC0" w:rsidRDefault="00BA1338" w:rsidP="004F2AF2">
            <w:pPr>
              <w:spacing w:line="60" w:lineRule="atLeast"/>
              <w:contextualSpacing/>
              <w:rPr>
                <w:rFonts w:cs="Arial"/>
                <w:sz w:val="18"/>
                <w:szCs w:val="18"/>
              </w:rPr>
            </w:pPr>
            <w:r w:rsidRPr="00545EC0">
              <w:rPr>
                <w:rFonts w:cs="Arial"/>
                <w:sz w:val="18"/>
                <w:szCs w:val="18"/>
              </w:rPr>
              <w:t>0</w:t>
            </w:r>
          </w:p>
        </w:tc>
      </w:tr>
      <w:tr w:rsidR="003122F4" w:rsidRPr="00545EC0" w14:paraId="34AD73A0" w14:textId="77777777" w:rsidTr="004F2AF2">
        <w:trPr>
          <w:trHeight w:val="227"/>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75621C9A" w14:textId="77777777" w:rsidR="00BA1338" w:rsidRPr="00545EC0" w:rsidRDefault="00BA1338" w:rsidP="004F2AF2">
            <w:pPr>
              <w:spacing w:line="60" w:lineRule="atLeast"/>
              <w:contextualSpacing/>
              <w:rPr>
                <w:rFonts w:cs="Arial"/>
                <w:sz w:val="18"/>
                <w:szCs w:val="18"/>
              </w:rPr>
            </w:pPr>
            <w:r w:rsidRPr="00545EC0">
              <w:rPr>
                <w:rFonts w:cs="Arial"/>
                <w:sz w:val="18"/>
                <w:szCs w:val="18"/>
              </w:rPr>
              <w:t>SI3VT950</w:t>
            </w:r>
          </w:p>
        </w:tc>
        <w:tc>
          <w:tcPr>
            <w:tcW w:w="3108" w:type="dxa"/>
            <w:tcBorders>
              <w:top w:val="nil"/>
              <w:left w:val="nil"/>
              <w:bottom w:val="single" w:sz="4" w:space="0" w:color="auto"/>
              <w:right w:val="single" w:sz="4" w:space="0" w:color="auto"/>
            </w:tcBorders>
            <w:shd w:val="clear" w:color="auto" w:fill="auto"/>
            <w:noWrap/>
            <w:vAlign w:val="center"/>
            <w:hideMark/>
          </w:tcPr>
          <w:p w14:paraId="4FF03DF9" w14:textId="77777777" w:rsidR="00BA1338" w:rsidRPr="00545EC0" w:rsidRDefault="00BA1338" w:rsidP="004F2AF2">
            <w:pPr>
              <w:spacing w:line="60" w:lineRule="atLeast"/>
              <w:contextualSpacing/>
              <w:rPr>
                <w:rFonts w:cs="Arial"/>
                <w:sz w:val="18"/>
                <w:szCs w:val="18"/>
              </w:rPr>
            </w:pPr>
            <w:r w:rsidRPr="00545EC0">
              <w:rPr>
                <w:rFonts w:cs="Arial"/>
                <w:sz w:val="18"/>
                <w:szCs w:val="18"/>
              </w:rPr>
              <w:t>MPVT zadrževalnik Ormoško jezero</w:t>
            </w:r>
          </w:p>
        </w:tc>
        <w:tc>
          <w:tcPr>
            <w:tcW w:w="992" w:type="dxa"/>
            <w:vMerge/>
            <w:tcBorders>
              <w:left w:val="nil"/>
              <w:bottom w:val="single" w:sz="4" w:space="0" w:color="auto"/>
              <w:right w:val="single" w:sz="4" w:space="0" w:color="auto"/>
            </w:tcBorders>
            <w:shd w:val="clear" w:color="auto" w:fill="auto"/>
            <w:noWrap/>
            <w:vAlign w:val="center"/>
          </w:tcPr>
          <w:p w14:paraId="4E86673A" w14:textId="77777777" w:rsidR="00BA1338" w:rsidRPr="00545EC0" w:rsidRDefault="00BA1338" w:rsidP="004F2AF2">
            <w:pPr>
              <w:spacing w:line="60" w:lineRule="atLeast"/>
              <w:contextualSpacing/>
              <w:rPr>
                <w:rFonts w:cs="Arial"/>
                <w:sz w:val="18"/>
                <w:szCs w:val="18"/>
              </w:rPr>
            </w:pPr>
          </w:p>
        </w:tc>
        <w:tc>
          <w:tcPr>
            <w:tcW w:w="284" w:type="dxa"/>
            <w:tcBorders>
              <w:top w:val="nil"/>
              <w:left w:val="nil"/>
              <w:bottom w:val="single" w:sz="4" w:space="0" w:color="auto"/>
              <w:right w:val="single" w:sz="4" w:space="0" w:color="auto"/>
            </w:tcBorders>
            <w:shd w:val="clear" w:color="auto" w:fill="auto"/>
            <w:noWrap/>
            <w:vAlign w:val="center"/>
            <w:hideMark/>
          </w:tcPr>
          <w:p w14:paraId="1532F9E2" w14:textId="77777777" w:rsidR="00BA1338" w:rsidRPr="00545EC0" w:rsidRDefault="00BA1338" w:rsidP="004F2AF2">
            <w:pPr>
              <w:spacing w:line="60" w:lineRule="atLeast"/>
              <w:contextualSpacing/>
              <w:rPr>
                <w:rFonts w:cs="Arial"/>
                <w:sz w:val="18"/>
                <w:szCs w:val="18"/>
              </w:rPr>
            </w:pPr>
            <w:r w:rsidRPr="00545EC0">
              <w:rPr>
                <w:rFonts w:cs="Arial"/>
                <w:sz w:val="18"/>
                <w:szCs w:val="18"/>
              </w:rPr>
              <w:t>1</w:t>
            </w:r>
          </w:p>
        </w:tc>
        <w:tc>
          <w:tcPr>
            <w:tcW w:w="283" w:type="dxa"/>
            <w:tcBorders>
              <w:top w:val="nil"/>
              <w:left w:val="nil"/>
              <w:bottom w:val="single" w:sz="4" w:space="0" w:color="auto"/>
              <w:right w:val="single" w:sz="4" w:space="0" w:color="auto"/>
            </w:tcBorders>
            <w:shd w:val="clear" w:color="auto" w:fill="auto"/>
            <w:noWrap/>
            <w:vAlign w:val="center"/>
            <w:hideMark/>
          </w:tcPr>
          <w:p w14:paraId="5FA91676" w14:textId="77777777" w:rsidR="00BA1338" w:rsidRPr="00545EC0" w:rsidRDefault="00BA1338" w:rsidP="004F2AF2">
            <w:pPr>
              <w:spacing w:line="60" w:lineRule="atLeast"/>
              <w:contextualSpacing/>
              <w:rPr>
                <w:rFonts w:cs="Arial"/>
                <w:sz w:val="18"/>
                <w:szCs w:val="18"/>
              </w:rPr>
            </w:pPr>
            <w:r w:rsidRPr="00545EC0">
              <w:rPr>
                <w:rFonts w:cs="Arial"/>
                <w:sz w:val="18"/>
                <w:szCs w:val="18"/>
              </w:rPr>
              <w:t>0</w:t>
            </w:r>
          </w:p>
        </w:tc>
        <w:tc>
          <w:tcPr>
            <w:tcW w:w="2515" w:type="dxa"/>
            <w:tcBorders>
              <w:top w:val="nil"/>
              <w:left w:val="nil"/>
              <w:bottom w:val="single" w:sz="4" w:space="0" w:color="auto"/>
              <w:right w:val="single" w:sz="4" w:space="0" w:color="auto"/>
            </w:tcBorders>
            <w:shd w:val="clear" w:color="auto" w:fill="auto"/>
            <w:noWrap/>
            <w:vAlign w:val="center"/>
            <w:hideMark/>
          </w:tcPr>
          <w:p w14:paraId="74CF9204" w14:textId="77777777" w:rsidR="00BA1338" w:rsidRPr="00545EC0" w:rsidRDefault="00BA1338" w:rsidP="004F2AF2">
            <w:pPr>
              <w:spacing w:line="60" w:lineRule="atLeast"/>
              <w:contextualSpacing/>
              <w:rPr>
                <w:rFonts w:cs="Arial"/>
                <w:sz w:val="18"/>
                <w:szCs w:val="18"/>
              </w:rPr>
            </w:pPr>
            <w:r w:rsidRPr="00545EC0">
              <w:rPr>
                <w:rFonts w:cs="Arial"/>
                <w:sz w:val="18"/>
                <w:szCs w:val="18"/>
              </w:rPr>
              <w:t>HE Formin (P), HE Varaždin (N)</w:t>
            </w:r>
          </w:p>
        </w:tc>
        <w:tc>
          <w:tcPr>
            <w:tcW w:w="401" w:type="dxa"/>
            <w:tcBorders>
              <w:top w:val="nil"/>
              <w:left w:val="nil"/>
              <w:bottom w:val="single" w:sz="4" w:space="0" w:color="auto"/>
              <w:right w:val="single" w:sz="4" w:space="0" w:color="auto"/>
            </w:tcBorders>
            <w:shd w:val="clear" w:color="auto" w:fill="auto"/>
            <w:noWrap/>
            <w:vAlign w:val="center"/>
            <w:hideMark/>
          </w:tcPr>
          <w:p w14:paraId="5A21ABE5" w14:textId="77777777" w:rsidR="00BA1338" w:rsidRPr="00545EC0" w:rsidRDefault="00BA1338" w:rsidP="004F2AF2">
            <w:pPr>
              <w:spacing w:line="60" w:lineRule="atLeast"/>
              <w:contextualSpacing/>
              <w:rPr>
                <w:rFonts w:cs="Arial"/>
                <w:sz w:val="18"/>
                <w:szCs w:val="18"/>
              </w:rPr>
            </w:pPr>
            <w:r w:rsidRPr="00545EC0">
              <w:rPr>
                <w:rFonts w:cs="Arial"/>
                <w:sz w:val="18"/>
                <w:szCs w:val="18"/>
              </w:rPr>
              <w:t>0</w:t>
            </w:r>
          </w:p>
        </w:tc>
        <w:tc>
          <w:tcPr>
            <w:tcW w:w="401" w:type="dxa"/>
            <w:tcBorders>
              <w:top w:val="nil"/>
              <w:left w:val="nil"/>
              <w:bottom w:val="single" w:sz="4" w:space="0" w:color="auto"/>
              <w:right w:val="single" w:sz="4" w:space="0" w:color="auto"/>
            </w:tcBorders>
            <w:shd w:val="clear" w:color="auto" w:fill="auto"/>
            <w:noWrap/>
            <w:vAlign w:val="center"/>
            <w:hideMark/>
          </w:tcPr>
          <w:p w14:paraId="58CC678D" w14:textId="77777777" w:rsidR="00BA1338" w:rsidRPr="00545EC0" w:rsidRDefault="00BA1338" w:rsidP="004F2AF2">
            <w:pPr>
              <w:spacing w:line="60" w:lineRule="atLeast"/>
              <w:contextualSpacing/>
              <w:rPr>
                <w:rFonts w:cs="Arial"/>
                <w:sz w:val="18"/>
                <w:szCs w:val="18"/>
              </w:rPr>
            </w:pPr>
            <w:r w:rsidRPr="00545EC0">
              <w:rPr>
                <w:rFonts w:cs="Arial"/>
                <w:sz w:val="18"/>
                <w:szCs w:val="18"/>
              </w:rPr>
              <w:t>0</w:t>
            </w:r>
          </w:p>
        </w:tc>
      </w:tr>
      <w:tr w:rsidR="003122F4" w:rsidRPr="00545EC0" w14:paraId="347D1C69" w14:textId="77777777" w:rsidTr="004F2AF2">
        <w:trPr>
          <w:trHeight w:val="227"/>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7D398E13" w14:textId="77777777" w:rsidR="00BA1338" w:rsidRPr="00545EC0" w:rsidRDefault="00BA1338" w:rsidP="004F2AF2">
            <w:pPr>
              <w:spacing w:line="60" w:lineRule="atLeast"/>
              <w:contextualSpacing/>
              <w:rPr>
                <w:rFonts w:cs="Arial"/>
                <w:sz w:val="18"/>
                <w:szCs w:val="18"/>
              </w:rPr>
            </w:pPr>
            <w:r w:rsidRPr="00545EC0">
              <w:rPr>
                <w:rFonts w:cs="Arial"/>
                <w:sz w:val="18"/>
                <w:szCs w:val="18"/>
              </w:rPr>
              <w:t>SI43VT10</w:t>
            </w:r>
          </w:p>
        </w:tc>
        <w:tc>
          <w:tcPr>
            <w:tcW w:w="3108" w:type="dxa"/>
            <w:tcBorders>
              <w:top w:val="nil"/>
              <w:left w:val="nil"/>
              <w:bottom w:val="single" w:sz="4" w:space="0" w:color="auto"/>
              <w:right w:val="single" w:sz="4" w:space="0" w:color="auto"/>
            </w:tcBorders>
            <w:shd w:val="clear" w:color="auto" w:fill="auto"/>
            <w:noWrap/>
            <w:vAlign w:val="center"/>
            <w:hideMark/>
          </w:tcPr>
          <w:p w14:paraId="240C5DA6" w14:textId="77777777" w:rsidR="00BA1338" w:rsidRPr="00545EC0" w:rsidRDefault="00BA1338" w:rsidP="004F2AF2">
            <w:pPr>
              <w:spacing w:line="60" w:lineRule="atLeast"/>
              <w:contextualSpacing/>
              <w:rPr>
                <w:rFonts w:cs="Arial"/>
                <w:sz w:val="18"/>
                <w:szCs w:val="18"/>
              </w:rPr>
            </w:pPr>
            <w:r w:rsidRPr="00545EC0">
              <w:rPr>
                <w:rFonts w:cs="Arial"/>
                <w:sz w:val="18"/>
                <w:szCs w:val="18"/>
              </w:rPr>
              <w:t>VT Mura Ceršak – Petanjci</w:t>
            </w:r>
          </w:p>
        </w:tc>
        <w:tc>
          <w:tcPr>
            <w:tcW w:w="992" w:type="dxa"/>
            <w:vMerge w:val="restart"/>
            <w:tcBorders>
              <w:top w:val="nil"/>
              <w:left w:val="nil"/>
              <w:right w:val="single" w:sz="4" w:space="0" w:color="auto"/>
            </w:tcBorders>
            <w:shd w:val="clear" w:color="auto" w:fill="auto"/>
            <w:noWrap/>
            <w:vAlign w:val="center"/>
            <w:hideMark/>
          </w:tcPr>
          <w:p w14:paraId="09716E9E" w14:textId="77777777" w:rsidR="00BA1338" w:rsidRPr="00545EC0" w:rsidRDefault="00BA1338" w:rsidP="004F2AF2">
            <w:pPr>
              <w:spacing w:line="60" w:lineRule="atLeast"/>
              <w:contextualSpacing/>
              <w:rPr>
                <w:rFonts w:cs="Arial"/>
                <w:sz w:val="18"/>
                <w:szCs w:val="18"/>
              </w:rPr>
            </w:pPr>
            <w:r w:rsidRPr="00545EC0">
              <w:rPr>
                <w:rFonts w:cs="Arial"/>
                <w:sz w:val="18"/>
                <w:szCs w:val="18"/>
              </w:rPr>
              <w:t>Mura</w:t>
            </w:r>
          </w:p>
        </w:tc>
        <w:tc>
          <w:tcPr>
            <w:tcW w:w="284" w:type="dxa"/>
            <w:tcBorders>
              <w:top w:val="nil"/>
              <w:left w:val="nil"/>
              <w:bottom w:val="single" w:sz="4" w:space="0" w:color="auto"/>
              <w:right w:val="single" w:sz="4" w:space="0" w:color="auto"/>
            </w:tcBorders>
            <w:shd w:val="clear" w:color="auto" w:fill="auto"/>
            <w:noWrap/>
            <w:vAlign w:val="center"/>
            <w:hideMark/>
          </w:tcPr>
          <w:p w14:paraId="5FAD578C" w14:textId="77777777" w:rsidR="00BA1338" w:rsidRPr="00545EC0" w:rsidRDefault="00BA1338" w:rsidP="004F2AF2">
            <w:pPr>
              <w:spacing w:line="60" w:lineRule="atLeast"/>
              <w:contextualSpacing/>
              <w:rPr>
                <w:rFonts w:cs="Arial"/>
                <w:sz w:val="18"/>
                <w:szCs w:val="18"/>
              </w:rPr>
            </w:pPr>
            <w:r w:rsidRPr="00545EC0">
              <w:rPr>
                <w:rFonts w:cs="Arial"/>
                <w:sz w:val="18"/>
                <w:szCs w:val="18"/>
              </w:rPr>
              <w:t>0</w:t>
            </w:r>
          </w:p>
        </w:tc>
        <w:tc>
          <w:tcPr>
            <w:tcW w:w="283" w:type="dxa"/>
            <w:tcBorders>
              <w:top w:val="nil"/>
              <w:left w:val="nil"/>
              <w:bottom w:val="single" w:sz="4" w:space="0" w:color="auto"/>
              <w:right w:val="single" w:sz="4" w:space="0" w:color="auto"/>
            </w:tcBorders>
            <w:shd w:val="clear" w:color="auto" w:fill="auto"/>
            <w:noWrap/>
            <w:vAlign w:val="center"/>
            <w:hideMark/>
          </w:tcPr>
          <w:p w14:paraId="18047FE3" w14:textId="77777777" w:rsidR="00BA1338" w:rsidRPr="00545EC0" w:rsidRDefault="00BA1338" w:rsidP="004F2AF2">
            <w:pPr>
              <w:spacing w:line="60" w:lineRule="atLeast"/>
              <w:contextualSpacing/>
              <w:rPr>
                <w:rFonts w:cs="Arial"/>
                <w:sz w:val="18"/>
                <w:szCs w:val="18"/>
              </w:rPr>
            </w:pPr>
            <w:r w:rsidRPr="00545EC0">
              <w:rPr>
                <w:rFonts w:cs="Arial"/>
                <w:sz w:val="18"/>
                <w:szCs w:val="18"/>
              </w:rPr>
              <w:t>1</w:t>
            </w:r>
          </w:p>
        </w:tc>
        <w:tc>
          <w:tcPr>
            <w:tcW w:w="2515" w:type="dxa"/>
            <w:tcBorders>
              <w:top w:val="nil"/>
              <w:left w:val="nil"/>
              <w:bottom w:val="single" w:sz="4" w:space="0" w:color="auto"/>
              <w:right w:val="single" w:sz="4" w:space="0" w:color="auto"/>
            </w:tcBorders>
            <w:shd w:val="clear" w:color="auto" w:fill="auto"/>
            <w:noWrap/>
            <w:vAlign w:val="center"/>
            <w:hideMark/>
          </w:tcPr>
          <w:p w14:paraId="7FAADBC3" w14:textId="77777777" w:rsidR="00BA1338" w:rsidRPr="00545EC0" w:rsidRDefault="00BA1338" w:rsidP="004F2AF2">
            <w:pPr>
              <w:spacing w:line="60" w:lineRule="atLeast"/>
              <w:contextualSpacing/>
              <w:rPr>
                <w:rFonts w:cs="Arial"/>
                <w:sz w:val="18"/>
                <w:szCs w:val="18"/>
              </w:rPr>
            </w:pPr>
            <w:r w:rsidRPr="00545EC0">
              <w:rPr>
                <w:rFonts w:cs="Arial"/>
                <w:sz w:val="18"/>
                <w:szCs w:val="18"/>
              </w:rPr>
              <w:t>AT HE na Muri (P)</w:t>
            </w:r>
          </w:p>
        </w:tc>
        <w:tc>
          <w:tcPr>
            <w:tcW w:w="401" w:type="dxa"/>
            <w:tcBorders>
              <w:top w:val="nil"/>
              <w:left w:val="nil"/>
              <w:bottom w:val="single" w:sz="4" w:space="0" w:color="auto"/>
              <w:right w:val="single" w:sz="4" w:space="0" w:color="auto"/>
            </w:tcBorders>
            <w:shd w:val="clear" w:color="auto" w:fill="auto"/>
            <w:noWrap/>
            <w:vAlign w:val="center"/>
            <w:hideMark/>
          </w:tcPr>
          <w:p w14:paraId="58BDBFCD" w14:textId="77777777" w:rsidR="00BA1338" w:rsidRPr="00545EC0" w:rsidRDefault="00BA1338" w:rsidP="004F2AF2">
            <w:pPr>
              <w:spacing w:line="60" w:lineRule="atLeast"/>
              <w:contextualSpacing/>
              <w:rPr>
                <w:rFonts w:cs="Arial"/>
                <w:sz w:val="18"/>
                <w:szCs w:val="18"/>
              </w:rPr>
            </w:pPr>
            <w:r w:rsidRPr="00545EC0">
              <w:rPr>
                <w:rFonts w:cs="Arial"/>
                <w:sz w:val="18"/>
                <w:szCs w:val="18"/>
              </w:rPr>
              <w:t>0</w:t>
            </w:r>
          </w:p>
        </w:tc>
        <w:tc>
          <w:tcPr>
            <w:tcW w:w="401" w:type="dxa"/>
            <w:tcBorders>
              <w:top w:val="nil"/>
              <w:left w:val="nil"/>
              <w:bottom w:val="single" w:sz="4" w:space="0" w:color="auto"/>
              <w:right w:val="single" w:sz="4" w:space="0" w:color="auto"/>
            </w:tcBorders>
            <w:shd w:val="clear" w:color="auto" w:fill="auto"/>
            <w:noWrap/>
            <w:vAlign w:val="center"/>
            <w:hideMark/>
          </w:tcPr>
          <w:p w14:paraId="0273EDF9" w14:textId="77777777" w:rsidR="00BA1338" w:rsidRPr="00545EC0" w:rsidRDefault="00BA1338" w:rsidP="004F2AF2">
            <w:pPr>
              <w:spacing w:line="60" w:lineRule="atLeast"/>
              <w:contextualSpacing/>
              <w:rPr>
                <w:rFonts w:cs="Arial"/>
                <w:sz w:val="18"/>
                <w:szCs w:val="18"/>
              </w:rPr>
            </w:pPr>
            <w:r w:rsidRPr="00545EC0">
              <w:rPr>
                <w:rFonts w:cs="Arial"/>
                <w:sz w:val="18"/>
                <w:szCs w:val="18"/>
              </w:rPr>
              <w:t>0</w:t>
            </w:r>
          </w:p>
        </w:tc>
      </w:tr>
      <w:tr w:rsidR="00552E05" w:rsidRPr="00545EC0" w14:paraId="49B22571" w14:textId="77777777" w:rsidTr="004F2AF2">
        <w:trPr>
          <w:trHeight w:val="227"/>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3EB7AF67" w14:textId="77777777" w:rsidR="00BA1338" w:rsidRPr="00545EC0" w:rsidRDefault="00BA1338" w:rsidP="004F2AF2">
            <w:pPr>
              <w:spacing w:line="60" w:lineRule="atLeast"/>
              <w:contextualSpacing/>
              <w:rPr>
                <w:rFonts w:cs="Arial"/>
                <w:sz w:val="18"/>
                <w:szCs w:val="18"/>
              </w:rPr>
            </w:pPr>
            <w:r w:rsidRPr="00545EC0">
              <w:rPr>
                <w:rFonts w:cs="Arial"/>
                <w:sz w:val="18"/>
                <w:szCs w:val="18"/>
              </w:rPr>
              <w:t>SI43VT30</w:t>
            </w:r>
          </w:p>
        </w:tc>
        <w:tc>
          <w:tcPr>
            <w:tcW w:w="3108" w:type="dxa"/>
            <w:tcBorders>
              <w:top w:val="nil"/>
              <w:left w:val="nil"/>
              <w:bottom w:val="single" w:sz="4" w:space="0" w:color="auto"/>
              <w:right w:val="single" w:sz="4" w:space="0" w:color="auto"/>
            </w:tcBorders>
            <w:shd w:val="clear" w:color="auto" w:fill="auto"/>
            <w:noWrap/>
            <w:vAlign w:val="center"/>
            <w:hideMark/>
          </w:tcPr>
          <w:p w14:paraId="27D0E94C" w14:textId="77777777" w:rsidR="00BA1338" w:rsidRPr="00545EC0" w:rsidRDefault="00BA1338" w:rsidP="004F2AF2">
            <w:pPr>
              <w:spacing w:line="60" w:lineRule="atLeast"/>
              <w:contextualSpacing/>
              <w:rPr>
                <w:rFonts w:cs="Arial"/>
                <w:sz w:val="18"/>
                <w:szCs w:val="18"/>
              </w:rPr>
            </w:pPr>
            <w:r w:rsidRPr="00545EC0">
              <w:rPr>
                <w:rFonts w:cs="Arial"/>
                <w:sz w:val="18"/>
                <w:szCs w:val="18"/>
              </w:rPr>
              <w:t>VT Kučnica Mura Petanjci – Gibina</w:t>
            </w:r>
          </w:p>
        </w:tc>
        <w:tc>
          <w:tcPr>
            <w:tcW w:w="992" w:type="dxa"/>
            <w:vMerge/>
            <w:tcBorders>
              <w:left w:val="nil"/>
              <w:bottom w:val="single" w:sz="4" w:space="0" w:color="auto"/>
              <w:right w:val="single" w:sz="4" w:space="0" w:color="auto"/>
            </w:tcBorders>
            <w:shd w:val="clear" w:color="auto" w:fill="auto"/>
            <w:noWrap/>
            <w:vAlign w:val="center"/>
            <w:hideMark/>
          </w:tcPr>
          <w:p w14:paraId="1492CB26" w14:textId="77777777" w:rsidR="00BA1338" w:rsidRPr="00545EC0" w:rsidRDefault="00BA1338" w:rsidP="004F2AF2">
            <w:pPr>
              <w:spacing w:line="60" w:lineRule="atLeast"/>
              <w:contextualSpacing/>
              <w:rPr>
                <w:rFonts w:cs="Arial"/>
                <w:sz w:val="18"/>
                <w:szCs w:val="18"/>
              </w:rPr>
            </w:pPr>
          </w:p>
        </w:tc>
        <w:tc>
          <w:tcPr>
            <w:tcW w:w="284" w:type="dxa"/>
            <w:tcBorders>
              <w:top w:val="nil"/>
              <w:left w:val="nil"/>
              <w:bottom w:val="single" w:sz="4" w:space="0" w:color="auto"/>
              <w:right w:val="single" w:sz="4" w:space="0" w:color="auto"/>
            </w:tcBorders>
            <w:shd w:val="clear" w:color="auto" w:fill="auto"/>
            <w:noWrap/>
            <w:vAlign w:val="center"/>
            <w:hideMark/>
          </w:tcPr>
          <w:p w14:paraId="5E882FAB" w14:textId="77777777" w:rsidR="00BA1338" w:rsidRPr="00545EC0" w:rsidRDefault="00BA1338" w:rsidP="004F2AF2">
            <w:pPr>
              <w:spacing w:line="60" w:lineRule="atLeast"/>
              <w:contextualSpacing/>
              <w:rPr>
                <w:rFonts w:cs="Arial"/>
                <w:sz w:val="18"/>
                <w:szCs w:val="18"/>
              </w:rPr>
            </w:pPr>
            <w:r w:rsidRPr="00545EC0">
              <w:rPr>
                <w:rFonts w:cs="Arial"/>
                <w:sz w:val="18"/>
                <w:szCs w:val="18"/>
              </w:rPr>
              <w:t>0</w:t>
            </w:r>
          </w:p>
        </w:tc>
        <w:tc>
          <w:tcPr>
            <w:tcW w:w="283" w:type="dxa"/>
            <w:tcBorders>
              <w:top w:val="nil"/>
              <w:left w:val="nil"/>
              <w:bottom w:val="single" w:sz="4" w:space="0" w:color="auto"/>
              <w:right w:val="single" w:sz="4" w:space="0" w:color="auto"/>
            </w:tcBorders>
            <w:shd w:val="clear" w:color="auto" w:fill="auto"/>
            <w:noWrap/>
            <w:vAlign w:val="center"/>
            <w:hideMark/>
          </w:tcPr>
          <w:p w14:paraId="29999C2C" w14:textId="77777777" w:rsidR="00BA1338" w:rsidRPr="00545EC0" w:rsidRDefault="00BA1338" w:rsidP="004F2AF2">
            <w:pPr>
              <w:spacing w:line="60" w:lineRule="atLeast"/>
              <w:contextualSpacing/>
              <w:rPr>
                <w:rFonts w:cs="Arial"/>
                <w:sz w:val="18"/>
                <w:szCs w:val="18"/>
              </w:rPr>
            </w:pPr>
            <w:r w:rsidRPr="00545EC0">
              <w:rPr>
                <w:rFonts w:cs="Arial"/>
                <w:sz w:val="18"/>
                <w:szCs w:val="18"/>
              </w:rPr>
              <w:t>1</w:t>
            </w:r>
          </w:p>
        </w:tc>
        <w:tc>
          <w:tcPr>
            <w:tcW w:w="2515" w:type="dxa"/>
            <w:tcBorders>
              <w:top w:val="nil"/>
              <w:left w:val="nil"/>
              <w:bottom w:val="single" w:sz="4" w:space="0" w:color="auto"/>
              <w:right w:val="single" w:sz="4" w:space="0" w:color="auto"/>
            </w:tcBorders>
            <w:shd w:val="clear" w:color="auto" w:fill="auto"/>
            <w:noWrap/>
            <w:vAlign w:val="center"/>
            <w:hideMark/>
          </w:tcPr>
          <w:p w14:paraId="050910CA" w14:textId="77777777" w:rsidR="00BA1338" w:rsidRPr="00545EC0" w:rsidRDefault="00BA1338" w:rsidP="004F2AF2">
            <w:pPr>
              <w:spacing w:line="60" w:lineRule="atLeast"/>
              <w:contextualSpacing/>
              <w:rPr>
                <w:rFonts w:cs="Arial"/>
                <w:sz w:val="18"/>
                <w:szCs w:val="18"/>
              </w:rPr>
            </w:pPr>
            <w:r w:rsidRPr="00545EC0">
              <w:rPr>
                <w:rFonts w:cs="Arial"/>
                <w:sz w:val="18"/>
                <w:szCs w:val="18"/>
              </w:rPr>
              <w:t>AT HE na Muri (P)</w:t>
            </w:r>
          </w:p>
        </w:tc>
        <w:tc>
          <w:tcPr>
            <w:tcW w:w="401" w:type="dxa"/>
            <w:tcBorders>
              <w:top w:val="nil"/>
              <w:left w:val="nil"/>
              <w:bottom w:val="single" w:sz="4" w:space="0" w:color="auto"/>
              <w:right w:val="single" w:sz="4" w:space="0" w:color="auto"/>
            </w:tcBorders>
            <w:shd w:val="clear" w:color="auto" w:fill="auto"/>
            <w:noWrap/>
            <w:vAlign w:val="center"/>
            <w:hideMark/>
          </w:tcPr>
          <w:p w14:paraId="47D5CFD4" w14:textId="77777777" w:rsidR="00BA1338" w:rsidRPr="00545EC0" w:rsidRDefault="00BA1338" w:rsidP="004F2AF2">
            <w:pPr>
              <w:spacing w:line="60" w:lineRule="atLeast"/>
              <w:contextualSpacing/>
              <w:rPr>
                <w:rFonts w:cs="Arial"/>
                <w:sz w:val="18"/>
                <w:szCs w:val="18"/>
              </w:rPr>
            </w:pPr>
            <w:r w:rsidRPr="00545EC0">
              <w:rPr>
                <w:rFonts w:cs="Arial"/>
                <w:sz w:val="18"/>
                <w:szCs w:val="18"/>
              </w:rPr>
              <w:t>0</w:t>
            </w:r>
          </w:p>
        </w:tc>
        <w:tc>
          <w:tcPr>
            <w:tcW w:w="401" w:type="dxa"/>
            <w:tcBorders>
              <w:top w:val="nil"/>
              <w:left w:val="nil"/>
              <w:bottom w:val="single" w:sz="4" w:space="0" w:color="auto"/>
              <w:right w:val="single" w:sz="4" w:space="0" w:color="auto"/>
            </w:tcBorders>
            <w:shd w:val="clear" w:color="auto" w:fill="auto"/>
            <w:noWrap/>
            <w:vAlign w:val="center"/>
            <w:hideMark/>
          </w:tcPr>
          <w:p w14:paraId="7092C590" w14:textId="77777777" w:rsidR="00BA1338" w:rsidRPr="00545EC0" w:rsidRDefault="00BA1338" w:rsidP="004F2AF2">
            <w:pPr>
              <w:spacing w:line="60" w:lineRule="atLeast"/>
              <w:contextualSpacing/>
              <w:rPr>
                <w:rFonts w:cs="Arial"/>
                <w:sz w:val="18"/>
                <w:szCs w:val="18"/>
              </w:rPr>
            </w:pPr>
            <w:r w:rsidRPr="00545EC0">
              <w:rPr>
                <w:rFonts w:cs="Arial"/>
                <w:sz w:val="18"/>
                <w:szCs w:val="18"/>
              </w:rPr>
              <w:t>0</w:t>
            </w:r>
          </w:p>
        </w:tc>
      </w:tr>
    </w:tbl>
    <w:p w14:paraId="5B9C0B9F" w14:textId="48281832" w:rsidR="00BA1338" w:rsidRPr="00545EC0" w:rsidRDefault="00A34D38" w:rsidP="00BA1338">
      <w:pPr>
        <w:spacing w:line="240" w:lineRule="auto"/>
        <w:rPr>
          <w:rFonts w:cs="Arial"/>
          <w:i/>
          <w:sz w:val="18"/>
          <w:szCs w:val="18"/>
        </w:rPr>
      </w:pPr>
      <w:r w:rsidRPr="00545EC0">
        <w:rPr>
          <w:rFonts w:cs="Arial"/>
          <w:i/>
          <w:sz w:val="18"/>
          <w:szCs w:val="18"/>
        </w:rPr>
        <w:t xml:space="preserve">Legenda: </w:t>
      </w:r>
      <w:r w:rsidR="00BA1338" w:rsidRPr="00545EC0">
        <w:rPr>
          <w:rFonts w:cs="Arial"/>
          <w:i/>
          <w:sz w:val="18"/>
          <w:szCs w:val="18"/>
        </w:rPr>
        <w:t>N – nihanje vodne gladine; P – pulzirajoč pretok; PO – pomembna obremenitev</w:t>
      </w:r>
    </w:p>
    <w:p w14:paraId="43BC3418"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lang w:eastAsia="ja-JP"/>
        </w:rPr>
      </w:pPr>
    </w:p>
    <w:p w14:paraId="26275D4E"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lang w:eastAsia="ja-JP"/>
        </w:rPr>
      </w:pPr>
      <w:r w:rsidRPr="00545EC0">
        <w:rPr>
          <w:rFonts w:cs="Arial"/>
          <w:lang w:eastAsia="ja-JP"/>
        </w:rPr>
        <w:t>Pomembne obremenitve zaradi nihanja vodne gladine in pulzirajočega pretoka so prepoznane na sledečih dVTPV-jih:</w:t>
      </w:r>
    </w:p>
    <w:p w14:paraId="4F3331FB" w14:textId="77777777" w:rsidR="00BA1338" w:rsidRPr="00545EC0" w:rsidRDefault="00BA1338" w:rsidP="00DD37C5">
      <w:pPr>
        <w:pStyle w:val="Odstavekseznama"/>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ind w:left="284" w:hanging="284"/>
        <w:contextualSpacing/>
        <w:textAlignment w:val="auto"/>
        <w:rPr>
          <w:rFonts w:cs="Arial"/>
          <w:lang w:eastAsia="ja-JP"/>
        </w:rPr>
      </w:pPr>
      <w:r w:rsidRPr="00545EC0">
        <w:rPr>
          <w:rFonts w:cs="Arial"/>
          <w:lang w:eastAsia="ja-JP"/>
        </w:rPr>
        <w:t>SI111VT7 MPVT zadrževalnik HE Moste (dMPVT Sava Dolinka zadrževalnik HE Moste),</w:t>
      </w:r>
    </w:p>
    <w:p w14:paraId="7A11504F" w14:textId="77777777" w:rsidR="00BA1338" w:rsidRPr="00545EC0" w:rsidRDefault="00BA1338" w:rsidP="00DD37C5">
      <w:pPr>
        <w:pStyle w:val="Odstavekseznama"/>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ind w:left="284" w:hanging="284"/>
        <w:contextualSpacing/>
        <w:textAlignment w:val="auto"/>
        <w:rPr>
          <w:rFonts w:cs="Arial"/>
          <w:lang w:eastAsia="ja-JP"/>
        </w:rPr>
      </w:pPr>
      <w:r w:rsidRPr="00545EC0">
        <w:rPr>
          <w:rFonts w:cs="Arial"/>
          <w:lang w:eastAsia="ja-JP"/>
        </w:rPr>
        <w:t>SI1VT137 VT Sava HE Moste – Podbrezje (dkMPVT Sava Dolinka iztok derivacijski kanal HE Moste - sotočje s Savo Bohinjko),</w:t>
      </w:r>
    </w:p>
    <w:p w14:paraId="0542D6A5" w14:textId="77777777" w:rsidR="00BA1338" w:rsidRPr="00545EC0" w:rsidRDefault="00BA1338" w:rsidP="00DD37C5">
      <w:pPr>
        <w:pStyle w:val="Odstavekseznama"/>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ind w:left="284" w:hanging="284"/>
        <w:contextualSpacing/>
        <w:textAlignment w:val="auto"/>
        <w:rPr>
          <w:rFonts w:cs="Arial"/>
          <w:lang w:eastAsia="ja-JP"/>
        </w:rPr>
      </w:pPr>
      <w:r w:rsidRPr="00545EC0">
        <w:rPr>
          <w:rFonts w:cs="Arial"/>
          <w:lang w:eastAsia="ja-JP"/>
        </w:rPr>
        <w:t>SI1VT170 MPVT Sava Mavčiče-Medvode (dMPVT Sava zadrževalnik HE Mavčiče - HE Medvode),</w:t>
      </w:r>
    </w:p>
    <w:p w14:paraId="703139A7" w14:textId="77777777" w:rsidR="00BA1338" w:rsidRPr="00545EC0" w:rsidRDefault="00BA1338" w:rsidP="00DD37C5">
      <w:pPr>
        <w:pStyle w:val="Odstavekseznama"/>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ind w:left="284" w:hanging="284"/>
        <w:contextualSpacing/>
        <w:textAlignment w:val="auto"/>
        <w:rPr>
          <w:rFonts w:cs="Arial"/>
          <w:lang w:eastAsia="ja-JP"/>
        </w:rPr>
      </w:pPr>
      <w:r w:rsidRPr="00545EC0">
        <w:rPr>
          <w:rFonts w:cs="Arial"/>
          <w:lang w:eastAsia="ja-JP"/>
        </w:rPr>
        <w:t>SI1VT310 VT Sava Medvode-Podgrad (dkMPVT Sava pregrada HE Medvode - sotočje s Soro, dVT Sava sotočje s Soro - sotočje z Ljubljanico),</w:t>
      </w:r>
    </w:p>
    <w:p w14:paraId="2B7DA0F9" w14:textId="77777777" w:rsidR="00BA1338" w:rsidRPr="00545EC0" w:rsidRDefault="00BA1338" w:rsidP="00DD37C5">
      <w:pPr>
        <w:pStyle w:val="Odstavekseznama"/>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ind w:left="284" w:hanging="284"/>
        <w:contextualSpacing/>
        <w:textAlignment w:val="auto"/>
        <w:rPr>
          <w:rFonts w:cs="Arial"/>
          <w:lang w:eastAsia="ja-JP"/>
        </w:rPr>
      </w:pPr>
      <w:r w:rsidRPr="00545EC0">
        <w:rPr>
          <w:rFonts w:cs="Arial"/>
          <w:lang w:eastAsia="ja-JP"/>
        </w:rPr>
        <w:t xml:space="preserve">SI1VT913 VT Sava Krško-Vrbina (dkMPVT Sava zadrževalnik HE Brežice 1, dkMPVT Sava zadrževalnik HE Brežice 2, dVT Sava pregrada HE Brežice - sotočje s Krko).  </w:t>
      </w:r>
    </w:p>
    <w:p w14:paraId="0D953A1D"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lang w:eastAsia="ja-JP"/>
        </w:rPr>
      </w:pPr>
    </w:p>
    <w:p w14:paraId="30E33338" w14:textId="6DCE0860"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545EC0">
        <w:rPr>
          <w:rFonts w:cs="Arial"/>
          <w:lang w:eastAsia="ja-JP"/>
        </w:rPr>
        <w:t xml:space="preserve">Deli vodnih teles površinskih voda, na katerih so prisotne pomembne obremenitve zaradi nihanja vodne gladine in pulzirajočih pretokov, so prikazani na publikacijski karti </w:t>
      </w:r>
      <w:r w:rsidRPr="00545EC0">
        <w:rPr>
          <w:rFonts w:cs="Arial"/>
        </w:rPr>
        <w:t>(</w:t>
      </w:r>
      <w:r w:rsidR="00615BE1" w:rsidRPr="00545EC0">
        <w:rPr>
          <w:rFonts w:cs="Arial"/>
          <w:i/>
        </w:rPr>
        <w:t>Publikacijska karta</w:t>
      </w:r>
      <w:r w:rsidRPr="00545EC0">
        <w:rPr>
          <w:rFonts w:cs="Arial"/>
          <w:i/>
        </w:rPr>
        <w:t xml:space="preserve"> </w:t>
      </w:r>
      <w:r w:rsidR="00615BE1" w:rsidRPr="00545EC0">
        <w:rPr>
          <w:rFonts w:cs="Arial"/>
          <w:i/>
        </w:rPr>
        <w:t>4.3: Nihanje vodne gladine v zajezitvah in pulzirajoci pretoki zaradi obratovanja hidroelektrarn ter pomembne obremenitve dVTPV).</w:t>
      </w:r>
    </w:p>
    <w:p w14:paraId="1730A62A"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p>
    <w:p w14:paraId="4063634A" w14:textId="5925457C"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545EC0">
        <w:rPr>
          <w:rFonts w:cs="Arial"/>
        </w:rPr>
        <w:t>Na VO Donave je največji delež dVTPV-jev s pomembno obremenitvijo zaradi nihanja vodne gladine in pulzirajočih pretokov ugotovljen na porečju Zgornje Save, sledita porečje Srednje in Spodnje Save. V vseh primerih je pomembna obremenitev prisotna na dVTPV-jih na glavnem toku (</w:t>
      </w:r>
      <w:r w:rsidR="0062695B" w:rsidRPr="00545EC0">
        <w:rPr>
          <w:rFonts w:cs="Arial"/>
        </w:rPr>
        <w:fldChar w:fldCharType="begin"/>
      </w:r>
      <w:r w:rsidR="0062695B" w:rsidRPr="00545EC0">
        <w:rPr>
          <w:rFonts w:cs="Arial"/>
        </w:rPr>
        <w:instrText xml:space="preserve"> REF _Ref84330624 \h </w:instrText>
      </w:r>
      <w:r w:rsidR="00F37A91" w:rsidRPr="00545EC0">
        <w:rPr>
          <w:rFonts w:cs="Arial"/>
        </w:rPr>
        <w:instrText xml:space="preserve"> \* MERGEFORMAT </w:instrText>
      </w:r>
      <w:r w:rsidR="0062695B" w:rsidRPr="00545EC0">
        <w:rPr>
          <w:rFonts w:cs="Arial"/>
        </w:rPr>
      </w:r>
      <w:r w:rsidR="0062695B" w:rsidRPr="00545EC0">
        <w:rPr>
          <w:rFonts w:cs="Arial"/>
        </w:rPr>
        <w:fldChar w:fldCharType="separate"/>
      </w:r>
      <w:r w:rsidR="002F3E43" w:rsidRPr="00545EC0">
        <w:t xml:space="preserve">Slika </w:t>
      </w:r>
      <w:r w:rsidR="002F3E43">
        <w:rPr>
          <w:noProof/>
        </w:rPr>
        <w:t>2</w:t>
      </w:r>
      <w:r w:rsidR="002F3E43" w:rsidRPr="00545EC0">
        <w:rPr>
          <w:noProof/>
        </w:rPr>
        <w:noBreakHyphen/>
      </w:r>
      <w:r w:rsidR="002F3E43">
        <w:rPr>
          <w:noProof/>
        </w:rPr>
        <w:t>13</w:t>
      </w:r>
      <w:r w:rsidR="0062695B" w:rsidRPr="00545EC0">
        <w:rPr>
          <w:rFonts w:cs="Arial"/>
        </w:rPr>
        <w:fldChar w:fldCharType="end"/>
      </w:r>
      <w:r w:rsidRPr="00545EC0">
        <w:rPr>
          <w:rFonts w:cs="Arial"/>
        </w:rPr>
        <w:t xml:space="preserve">). </w:t>
      </w:r>
    </w:p>
    <w:p w14:paraId="3FE4D30B"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p>
    <w:p w14:paraId="1BE19639" w14:textId="77777777" w:rsidR="0062695B" w:rsidRPr="00545EC0" w:rsidRDefault="00BA1338" w:rsidP="0062695B">
      <w:pPr>
        <w:keepNext/>
        <w:spacing w:before="240" w:after="240"/>
        <w:jc w:val="left"/>
      </w:pPr>
      <w:r w:rsidRPr="00545EC0">
        <w:rPr>
          <w:noProof/>
        </w:rPr>
        <w:lastRenderedPageBreak/>
        <w:drawing>
          <wp:inline distT="0" distB="0" distL="0" distR="0" wp14:anchorId="0598369B" wp14:editId="4D473E7C">
            <wp:extent cx="5213156" cy="3036498"/>
            <wp:effectExtent l="0" t="0" r="6985"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19764" cy="3040347"/>
                    </a:xfrm>
                    <a:prstGeom prst="rect">
                      <a:avLst/>
                    </a:prstGeom>
                    <a:noFill/>
                  </pic:spPr>
                </pic:pic>
              </a:graphicData>
            </a:graphic>
          </wp:inline>
        </w:drawing>
      </w:r>
    </w:p>
    <w:p w14:paraId="05E2D241" w14:textId="6A7A89D8" w:rsidR="00BA1338" w:rsidRPr="00545EC0" w:rsidRDefault="0062695B" w:rsidP="0062695B">
      <w:pPr>
        <w:pStyle w:val="Napis"/>
        <w:jc w:val="left"/>
      </w:pPr>
      <w:bookmarkStart w:id="194" w:name="_Ref84330624"/>
      <w:r w:rsidRPr="00545EC0">
        <w:t xml:space="preserve">Slika </w:t>
      </w:r>
      <w:fldSimple w:instr=" STYLEREF 1 \s ">
        <w:r w:rsidR="002F3E43">
          <w:rPr>
            <w:noProof/>
          </w:rPr>
          <w:t>2</w:t>
        </w:r>
      </w:fldSimple>
      <w:r w:rsidR="00396E1E" w:rsidRPr="00545EC0">
        <w:noBreakHyphen/>
      </w:r>
      <w:fldSimple w:instr=" SEQ Slika \* ARABIC \s 1 ">
        <w:r w:rsidR="002F3E43">
          <w:rPr>
            <w:noProof/>
          </w:rPr>
          <w:t>13</w:t>
        </w:r>
      </w:fldSimple>
      <w:bookmarkEnd w:id="194"/>
      <w:r w:rsidRPr="00545EC0">
        <w:t>: Delež števila dVTPV  s pomembno obremenitvijo zaradi nihanja vodne gladine in pulzirajočih pretokov na porečjih na VO Donave</w:t>
      </w:r>
    </w:p>
    <w:p w14:paraId="69A8B9E3" w14:textId="77777777" w:rsidR="00BA1338" w:rsidRPr="00545EC0" w:rsidRDefault="00BA1338" w:rsidP="00BA1338">
      <w:pPr>
        <w:spacing w:before="240" w:after="240"/>
        <w:rPr>
          <w:rFonts w:cs="Arial"/>
          <w:b/>
        </w:rPr>
      </w:pPr>
      <w:r w:rsidRPr="00545EC0">
        <w:rPr>
          <w:rFonts w:cs="Arial"/>
          <w:b/>
        </w:rPr>
        <w:t xml:space="preserve">Hidrološke obremenitve – zajezitve in zadrževalniki </w:t>
      </w:r>
    </w:p>
    <w:p w14:paraId="08F0351A" w14:textId="05E79120" w:rsidR="00BA1338" w:rsidRPr="00545EC0" w:rsidRDefault="00BA1338" w:rsidP="00BA1338">
      <w:pPr>
        <w:spacing w:before="240" w:after="240"/>
        <w:rPr>
          <w:rFonts w:cs="Arial"/>
        </w:rPr>
      </w:pPr>
      <w:r w:rsidRPr="00545EC0">
        <w:rPr>
          <w:rFonts w:cs="Arial"/>
        </w:rPr>
        <w:t>Analiza hidroloških obremenitev zaradi zajezitev in zadrževalnikov je izvedena na podlagi razpoložljivih podatkov o zajezitvah in zadrževalnikih v Sloveniji (DRSV, 2016). V analizo so privzeti tako zadrževalniki, ki so locirani na dVTPV-jih na glavnem toku, kot na njihovih pritokih (</w:t>
      </w:r>
      <w:r w:rsidR="00552E05" w:rsidRPr="00545EC0">
        <w:rPr>
          <w:rFonts w:cs="Arial"/>
        </w:rPr>
        <w:fldChar w:fldCharType="begin"/>
      </w:r>
      <w:r w:rsidR="00552E05" w:rsidRPr="00545EC0">
        <w:rPr>
          <w:rFonts w:cs="Arial"/>
        </w:rPr>
        <w:instrText xml:space="preserve"> REF _Ref84255344 \h </w:instrText>
      </w:r>
      <w:r w:rsidR="00F37A91" w:rsidRPr="00545EC0">
        <w:rPr>
          <w:rFonts w:cs="Arial"/>
        </w:rPr>
        <w:instrText xml:space="preserve"> \* MERGEFORMAT </w:instrText>
      </w:r>
      <w:r w:rsidR="00552E05" w:rsidRPr="00545EC0">
        <w:rPr>
          <w:rFonts w:cs="Arial"/>
        </w:rPr>
      </w:r>
      <w:r w:rsidR="00552E05" w:rsidRPr="00545EC0">
        <w:rPr>
          <w:rFonts w:cs="Arial"/>
        </w:rPr>
        <w:fldChar w:fldCharType="separate"/>
      </w:r>
      <w:r w:rsidR="002F3E43" w:rsidRPr="00545EC0">
        <w:t xml:space="preserve">Preglednica </w:t>
      </w:r>
      <w:r w:rsidR="002F3E43">
        <w:rPr>
          <w:noProof/>
        </w:rPr>
        <w:t>2</w:t>
      </w:r>
      <w:r w:rsidR="002F3E43" w:rsidRPr="00545EC0">
        <w:rPr>
          <w:noProof/>
        </w:rPr>
        <w:noBreakHyphen/>
      </w:r>
      <w:r w:rsidR="002F3E43">
        <w:rPr>
          <w:noProof/>
        </w:rPr>
        <w:t>25</w:t>
      </w:r>
      <w:r w:rsidR="002F3E43" w:rsidRPr="00545EC0">
        <w:t>: Zajezitve in zadrževalniki na VO Donave</w:t>
      </w:r>
      <w:r w:rsidR="00552E05" w:rsidRPr="00545EC0">
        <w:rPr>
          <w:rFonts w:cs="Arial"/>
        </w:rPr>
        <w:fldChar w:fldCharType="end"/>
      </w:r>
      <w:r w:rsidRPr="00545EC0">
        <w:rPr>
          <w:rFonts w:cs="Arial"/>
        </w:rPr>
        <w:t xml:space="preserve">). Največje število dVTPV-jev, ki so pod vplivom zajezitev,  je na porečju Drave, sledita porečji Mure in Savinje. Pomembna je tudi zajezitev Save, in sicer na delu Zgornje in Spodnje Save. </w:t>
      </w:r>
    </w:p>
    <w:p w14:paraId="2D6964D6" w14:textId="0D287609" w:rsidR="00552E05" w:rsidRPr="00545EC0" w:rsidRDefault="00552E05" w:rsidP="00552E05">
      <w:pPr>
        <w:pStyle w:val="Napis"/>
        <w:rPr>
          <w:sz w:val="18"/>
        </w:rPr>
      </w:pPr>
      <w:bookmarkStart w:id="195" w:name="_Ref84255344"/>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25</w:t>
        </w:r>
      </w:fldSimple>
      <w:r w:rsidRPr="00545EC0">
        <w:t>: Zajezitve in zadrževalniki na VO Donave</w:t>
      </w:r>
      <w:bookmarkEnd w:id="195"/>
    </w:p>
    <w:tbl>
      <w:tblPr>
        <w:tblW w:w="5000" w:type="pct"/>
        <w:tblLayout w:type="fixed"/>
        <w:tblCellMar>
          <w:left w:w="70" w:type="dxa"/>
          <w:right w:w="70" w:type="dxa"/>
        </w:tblCellMar>
        <w:tblLook w:val="04A0" w:firstRow="1" w:lastRow="0" w:firstColumn="1" w:lastColumn="0" w:noHBand="0" w:noVBand="1"/>
      </w:tblPr>
      <w:tblGrid>
        <w:gridCol w:w="1205"/>
        <w:gridCol w:w="3403"/>
        <w:gridCol w:w="978"/>
        <w:gridCol w:w="3625"/>
      </w:tblGrid>
      <w:tr w:rsidR="00A34D38" w:rsidRPr="00545EC0" w14:paraId="5E7CACD3" w14:textId="77777777" w:rsidTr="00A34D38">
        <w:trPr>
          <w:trHeight w:val="227"/>
          <w:tblHeader/>
        </w:trPr>
        <w:tc>
          <w:tcPr>
            <w:tcW w:w="65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BD2D7CE" w14:textId="77777777" w:rsidR="00BA1338" w:rsidRPr="00545EC0" w:rsidRDefault="00BA1338" w:rsidP="004F2AF2">
            <w:pPr>
              <w:spacing w:line="240" w:lineRule="auto"/>
              <w:rPr>
                <w:rFonts w:cs="Arial"/>
                <w:b/>
                <w:bCs/>
                <w:sz w:val="18"/>
                <w:szCs w:val="18"/>
              </w:rPr>
            </w:pPr>
            <w:r w:rsidRPr="00545EC0">
              <w:rPr>
                <w:rFonts w:cs="Arial"/>
                <w:b/>
                <w:bCs/>
                <w:sz w:val="18"/>
                <w:szCs w:val="18"/>
              </w:rPr>
              <w:t>Šifra VTPV</w:t>
            </w:r>
          </w:p>
        </w:tc>
        <w:tc>
          <w:tcPr>
            <w:tcW w:w="1847"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2ADD792" w14:textId="77777777" w:rsidR="00BA1338" w:rsidRPr="00545EC0" w:rsidRDefault="00BA1338" w:rsidP="004F2AF2">
            <w:pPr>
              <w:spacing w:line="240" w:lineRule="auto"/>
              <w:rPr>
                <w:rFonts w:cs="Arial"/>
                <w:b/>
                <w:bCs/>
                <w:sz w:val="18"/>
                <w:szCs w:val="18"/>
              </w:rPr>
            </w:pPr>
            <w:r w:rsidRPr="00545EC0">
              <w:rPr>
                <w:rFonts w:cs="Arial"/>
                <w:b/>
                <w:bCs/>
                <w:sz w:val="18"/>
                <w:szCs w:val="18"/>
              </w:rPr>
              <w:t>Ime VTPV</w:t>
            </w:r>
          </w:p>
        </w:tc>
        <w:tc>
          <w:tcPr>
            <w:tcW w:w="531"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233F5CD" w14:textId="77777777" w:rsidR="00BA1338" w:rsidRPr="00545EC0" w:rsidRDefault="00BA1338" w:rsidP="004F2AF2">
            <w:pPr>
              <w:spacing w:line="240" w:lineRule="auto"/>
              <w:rPr>
                <w:rFonts w:cs="Arial"/>
                <w:b/>
                <w:bCs/>
                <w:sz w:val="18"/>
                <w:szCs w:val="18"/>
              </w:rPr>
            </w:pPr>
            <w:r w:rsidRPr="00545EC0">
              <w:rPr>
                <w:rFonts w:cs="Arial"/>
                <w:b/>
                <w:bCs/>
                <w:sz w:val="18"/>
                <w:szCs w:val="18"/>
              </w:rPr>
              <w:t>Porečje</w:t>
            </w:r>
          </w:p>
        </w:tc>
        <w:tc>
          <w:tcPr>
            <w:tcW w:w="1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E697364" w14:textId="77777777" w:rsidR="00BA1338" w:rsidRPr="00545EC0" w:rsidRDefault="00BA1338" w:rsidP="004F2AF2">
            <w:pPr>
              <w:spacing w:line="240" w:lineRule="auto"/>
              <w:rPr>
                <w:rFonts w:cs="Arial"/>
                <w:b/>
                <w:bCs/>
                <w:sz w:val="18"/>
                <w:szCs w:val="18"/>
              </w:rPr>
            </w:pPr>
            <w:r w:rsidRPr="00545EC0">
              <w:rPr>
                <w:rFonts w:cs="Arial"/>
                <w:b/>
                <w:bCs/>
                <w:sz w:val="18"/>
                <w:szCs w:val="18"/>
              </w:rPr>
              <w:t>Ime zadrževalnika / zajezitve</w:t>
            </w:r>
          </w:p>
        </w:tc>
      </w:tr>
      <w:tr w:rsidR="00A34D38" w:rsidRPr="00545EC0" w14:paraId="33DBA943" w14:textId="77777777" w:rsidTr="00A34D38">
        <w:trPr>
          <w:trHeight w:val="227"/>
          <w:tblHeader/>
        </w:trPr>
        <w:tc>
          <w:tcPr>
            <w:tcW w:w="654" w:type="pct"/>
            <w:tcBorders>
              <w:top w:val="nil"/>
              <w:left w:val="single" w:sz="4" w:space="0" w:color="auto"/>
              <w:bottom w:val="single" w:sz="4" w:space="0" w:color="auto"/>
              <w:right w:val="single" w:sz="4" w:space="0" w:color="auto"/>
            </w:tcBorders>
            <w:shd w:val="clear" w:color="auto" w:fill="auto"/>
            <w:noWrap/>
            <w:vAlign w:val="bottom"/>
            <w:hideMark/>
          </w:tcPr>
          <w:p w14:paraId="6FFF1143" w14:textId="77777777" w:rsidR="00BA1338" w:rsidRPr="00545EC0" w:rsidRDefault="00BA1338" w:rsidP="004F2AF2">
            <w:pPr>
              <w:spacing w:line="240" w:lineRule="auto"/>
              <w:rPr>
                <w:rFonts w:cs="Arial"/>
                <w:sz w:val="18"/>
                <w:szCs w:val="18"/>
              </w:rPr>
            </w:pPr>
            <w:r w:rsidRPr="00545EC0">
              <w:rPr>
                <w:rFonts w:cs="Arial"/>
                <w:sz w:val="18"/>
                <w:szCs w:val="18"/>
              </w:rPr>
              <w:t>SI111VT7</w:t>
            </w:r>
          </w:p>
        </w:tc>
        <w:tc>
          <w:tcPr>
            <w:tcW w:w="1847" w:type="pct"/>
            <w:tcBorders>
              <w:top w:val="nil"/>
              <w:left w:val="nil"/>
              <w:bottom w:val="single" w:sz="4" w:space="0" w:color="auto"/>
              <w:right w:val="single" w:sz="4" w:space="0" w:color="auto"/>
            </w:tcBorders>
            <w:shd w:val="clear" w:color="auto" w:fill="auto"/>
            <w:noWrap/>
            <w:vAlign w:val="bottom"/>
            <w:hideMark/>
          </w:tcPr>
          <w:p w14:paraId="274625C9" w14:textId="77777777" w:rsidR="00BA1338" w:rsidRPr="00545EC0" w:rsidRDefault="00BA1338" w:rsidP="004F2AF2">
            <w:pPr>
              <w:spacing w:line="240" w:lineRule="auto"/>
              <w:rPr>
                <w:rFonts w:cs="Arial"/>
                <w:sz w:val="18"/>
                <w:szCs w:val="18"/>
              </w:rPr>
            </w:pPr>
            <w:r w:rsidRPr="00545EC0">
              <w:rPr>
                <w:rFonts w:cs="Arial"/>
                <w:sz w:val="18"/>
                <w:szCs w:val="18"/>
              </w:rPr>
              <w:t>MPVT zadrževalnik HE Moste</w:t>
            </w:r>
          </w:p>
        </w:tc>
        <w:tc>
          <w:tcPr>
            <w:tcW w:w="531" w:type="pct"/>
            <w:vMerge w:val="restart"/>
            <w:tcBorders>
              <w:top w:val="single" w:sz="4" w:space="0" w:color="auto"/>
              <w:left w:val="nil"/>
              <w:right w:val="single" w:sz="4" w:space="0" w:color="auto"/>
            </w:tcBorders>
            <w:vAlign w:val="center"/>
          </w:tcPr>
          <w:p w14:paraId="49245FD1" w14:textId="77777777" w:rsidR="00BA1338" w:rsidRPr="00545EC0" w:rsidRDefault="00BA1338" w:rsidP="004F2AF2">
            <w:pPr>
              <w:spacing w:line="240" w:lineRule="auto"/>
              <w:rPr>
                <w:rFonts w:cs="Arial"/>
                <w:sz w:val="18"/>
                <w:szCs w:val="18"/>
              </w:rPr>
            </w:pPr>
            <w:r w:rsidRPr="00545EC0">
              <w:rPr>
                <w:rFonts w:cs="Arial"/>
                <w:sz w:val="18"/>
                <w:szCs w:val="18"/>
              </w:rPr>
              <w:t>Zgornja Sava</w:t>
            </w:r>
          </w:p>
        </w:tc>
        <w:tc>
          <w:tcPr>
            <w:tcW w:w="1969" w:type="pct"/>
            <w:tcBorders>
              <w:top w:val="nil"/>
              <w:left w:val="single" w:sz="4" w:space="0" w:color="auto"/>
              <w:bottom w:val="single" w:sz="4" w:space="0" w:color="auto"/>
              <w:right w:val="single" w:sz="4" w:space="0" w:color="auto"/>
            </w:tcBorders>
            <w:shd w:val="clear" w:color="auto" w:fill="auto"/>
            <w:noWrap/>
            <w:vAlign w:val="bottom"/>
            <w:hideMark/>
          </w:tcPr>
          <w:p w14:paraId="137CBFED" w14:textId="77777777" w:rsidR="00BA1338" w:rsidRPr="00545EC0" w:rsidRDefault="00BA1338" w:rsidP="004F2AF2">
            <w:pPr>
              <w:spacing w:line="240" w:lineRule="auto"/>
              <w:rPr>
                <w:rFonts w:cs="Arial"/>
                <w:sz w:val="18"/>
                <w:szCs w:val="18"/>
              </w:rPr>
            </w:pPr>
            <w:r w:rsidRPr="00545EC0">
              <w:rPr>
                <w:rFonts w:cs="Arial"/>
                <w:sz w:val="18"/>
                <w:szCs w:val="18"/>
              </w:rPr>
              <w:t>Zadrževalnik HE Moste</w:t>
            </w:r>
          </w:p>
        </w:tc>
      </w:tr>
      <w:tr w:rsidR="00A34D38" w:rsidRPr="00545EC0" w14:paraId="76633CC1" w14:textId="77777777" w:rsidTr="00A34D38">
        <w:trPr>
          <w:trHeight w:val="227"/>
          <w:tblHeader/>
        </w:trPr>
        <w:tc>
          <w:tcPr>
            <w:tcW w:w="654" w:type="pct"/>
            <w:tcBorders>
              <w:top w:val="nil"/>
              <w:left w:val="single" w:sz="4" w:space="0" w:color="auto"/>
              <w:bottom w:val="single" w:sz="4" w:space="0" w:color="auto"/>
              <w:right w:val="single" w:sz="4" w:space="0" w:color="auto"/>
            </w:tcBorders>
            <w:shd w:val="clear" w:color="auto" w:fill="auto"/>
            <w:noWrap/>
            <w:vAlign w:val="bottom"/>
            <w:hideMark/>
          </w:tcPr>
          <w:p w14:paraId="0CF931BB" w14:textId="77777777" w:rsidR="00BA1338" w:rsidRPr="00545EC0" w:rsidRDefault="00BA1338" w:rsidP="004F2AF2">
            <w:pPr>
              <w:spacing w:line="240" w:lineRule="auto"/>
              <w:rPr>
                <w:rFonts w:cs="Arial"/>
                <w:sz w:val="18"/>
                <w:szCs w:val="18"/>
              </w:rPr>
            </w:pPr>
            <w:r w:rsidRPr="00545EC0">
              <w:rPr>
                <w:rFonts w:cs="Arial"/>
                <w:sz w:val="18"/>
                <w:szCs w:val="18"/>
              </w:rPr>
              <w:t>SI1VT137</w:t>
            </w:r>
          </w:p>
        </w:tc>
        <w:tc>
          <w:tcPr>
            <w:tcW w:w="1847" w:type="pct"/>
            <w:tcBorders>
              <w:top w:val="nil"/>
              <w:left w:val="nil"/>
              <w:bottom w:val="single" w:sz="4" w:space="0" w:color="auto"/>
              <w:right w:val="single" w:sz="4" w:space="0" w:color="auto"/>
            </w:tcBorders>
            <w:shd w:val="clear" w:color="auto" w:fill="auto"/>
            <w:noWrap/>
            <w:vAlign w:val="bottom"/>
            <w:hideMark/>
          </w:tcPr>
          <w:p w14:paraId="4EF583DC" w14:textId="77777777" w:rsidR="00BA1338" w:rsidRPr="00545EC0" w:rsidRDefault="00BA1338" w:rsidP="004F2AF2">
            <w:pPr>
              <w:spacing w:line="240" w:lineRule="auto"/>
              <w:rPr>
                <w:rFonts w:cs="Arial"/>
                <w:sz w:val="18"/>
                <w:szCs w:val="18"/>
              </w:rPr>
            </w:pPr>
            <w:r w:rsidRPr="00545EC0">
              <w:rPr>
                <w:rFonts w:cs="Arial"/>
                <w:sz w:val="18"/>
                <w:szCs w:val="18"/>
              </w:rPr>
              <w:t>VT Sava HE Moste - Podbrezje</w:t>
            </w:r>
          </w:p>
        </w:tc>
        <w:tc>
          <w:tcPr>
            <w:tcW w:w="531" w:type="pct"/>
            <w:vMerge/>
            <w:tcBorders>
              <w:left w:val="nil"/>
              <w:right w:val="single" w:sz="4" w:space="0" w:color="auto"/>
            </w:tcBorders>
            <w:vAlign w:val="center"/>
          </w:tcPr>
          <w:p w14:paraId="3BD08037" w14:textId="77777777" w:rsidR="00BA1338" w:rsidRPr="00545EC0" w:rsidRDefault="00BA1338" w:rsidP="004F2AF2">
            <w:pPr>
              <w:spacing w:line="240" w:lineRule="auto"/>
              <w:rPr>
                <w:rFonts w:cs="Arial"/>
                <w:sz w:val="18"/>
                <w:szCs w:val="18"/>
              </w:rPr>
            </w:pPr>
          </w:p>
        </w:tc>
        <w:tc>
          <w:tcPr>
            <w:tcW w:w="1969" w:type="pct"/>
            <w:tcBorders>
              <w:top w:val="nil"/>
              <w:left w:val="single" w:sz="4" w:space="0" w:color="auto"/>
              <w:bottom w:val="single" w:sz="4" w:space="0" w:color="auto"/>
              <w:right w:val="single" w:sz="4" w:space="0" w:color="auto"/>
            </w:tcBorders>
            <w:shd w:val="clear" w:color="auto" w:fill="auto"/>
            <w:noWrap/>
            <w:vAlign w:val="bottom"/>
            <w:hideMark/>
          </w:tcPr>
          <w:p w14:paraId="48D38A08" w14:textId="77777777" w:rsidR="00BA1338" w:rsidRPr="00545EC0" w:rsidRDefault="00BA1338" w:rsidP="004F2AF2">
            <w:pPr>
              <w:spacing w:line="240" w:lineRule="auto"/>
              <w:rPr>
                <w:rFonts w:cs="Arial"/>
                <w:sz w:val="18"/>
                <w:szCs w:val="18"/>
              </w:rPr>
            </w:pPr>
            <w:r w:rsidRPr="00545EC0">
              <w:rPr>
                <w:rFonts w:cs="Arial"/>
                <w:sz w:val="18"/>
                <w:szCs w:val="18"/>
              </w:rPr>
              <w:t>Zadrževalnik Završnica</w:t>
            </w:r>
          </w:p>
        </w:tc>
      </w:tr>
      <w:tr w:rsidR="00A34D38" w:rsidRPr="00545EC0" w14:paraId="7853AF88" w14:textId="77777777" w:rsidTr="00A34D38">
        <w:trPr>
          <w:trHeight w:val="227"/>
          <w:tblHeader/>
        </w:trPr>
        <w:tc>
          <w:tcPr>
            <w:tcW w:w="654" w:type="pct"/>
            <w:tcBorders>
              <w:top w:val="nil"/>
              <w:left w:val="single" w:sz="4" w:space="0" w:color="auto"/>
              <w:bottom w:val="single" w:sz="4" w:space="0" w:color="auto"/>
              <w:right w:val="single" w:sz="4" w:space="0" w:color="auto"/>
            </w:tcBorders>
            <w:shd w:val="clear" w:color="auto" w:fill="auto"/>
            <w:noWrap/>
            <w:vAlign w:val="bottom"/>
            <w:hideMark/>
          </w:tcPr>
          <w:p w14:paraId="581EAEE0" w14:textId="77777777" w:rsidR="00BA1338" w:rsidRPr="00545EC0" w:rsidRDefault="00BA1338" w:rsidP="004F2AF2">
            <w:pPr>
              <w:spacing w:line="240" w:lineRule="auto"/>
              <w:rPr>
                <w:rFonts w:cs="Arial"/>
                <w:sz w:val="18"/>
                <w:szCs w:val="18"/>
              </w:rPr>
            </w:pPr>
            <w:r w:rsidRPr="00545EC0">
              <w:rPr>
                <w:rFonts w:cs="Arial"/>
                <w:sz w:val="18"/>
                <w:szCs w:val="18"/>
              </w:rPr>
              <w:t>SI1VT170</w:t>
            </w:r>
          </w:p>
        </w:tc>
        <w:tc>
          <w:tcPr>
            <w:tcW w:w="1847" w:type="pct"/>
            <w:tcBorders>
              <w:top w:val="nil"/>
              <w:left w:val="nil"/>
              <w:bottom w:val="single" w:sz="4" w:space="0" w:color="auto"/>
              <w:right w:val="single" w:sz="4" w:space="0" w:color="auto"/>
            </w:tcBorders>
            <w:shd w:val="clear" w:color="auto" w:fill="auto"/>
            <w:noWrap/>
            <w:vAlign w:val="bottom"/>
            <w:hideMark/>
          </w:tcPr>
          <w:p w14:paraId="2C279D78" w14:textId="77777777" w:rsidR="00BA1338" w:rsidRPr="00545EC0" w:rsidRDefault="00BA1338" w:rsidP="004F2AF2">
            <w:pPr>
              <w:spacing w:line="240" w:lineRule="auto"/>
              <w:rPr>
                <w:rFonts w:cs="Arial"/>
                <w:sz w:val="18"/>
                <w:szCs w:val="18"/>
              </w:rPr>
            </w:pPr>
            <w:r w:rsidRPr="00545EC0">
              <w:rPr>
                <w:rFonts w:cs="Arial"/>
                <w:sz w:val="18"/>
                <w:szCs w:val="18"/>
              </w:rPr>
              <w:t>MPVT Sava Mavčiče - Medvode</w:t>
            </w:r>
          </w:p>
        </w:tc>
        <w:tc>
          <w:tcPr>
            <w:tcW w:w="531" w:type="pct"/>
            <w:vMerge/>
            <w:tcBorders>
              <w:left w:val="nil"/>
              <w:bottom w:val="single" w:sz="4" w:space="0" w:color="auto"/>
              <w:right w:val="single" w:sz="4" w:space="0" w:color="auto"/>
            </w:tcBorders>
            <w:vAlign w:val="center"/>
          </w:tcPr>
          <w:p w14:paraId="06D0D31F" w14:textId="77777777" w:rsidR="00BA1338" w:rsidRPr="00545EC0" w:rsidRDefault="00BA1338" w:rsidP="004F2AF2">
            <w:pPr>
              <w:spacing w:line="240" w:lineRule="auto"/>
              <w:rPr>
                <w:rFonts w:cs="Arial"/>
                <w:sz w:val="18"/>
                <w:szCs w:val="18"/>
              </w:rPr>
            </w:pPr>
          </w:p>
        </w:tc>
        <w:tc>
          <w:tcPr>
            <w:tcW w:w="1969" w:type="pct"/>
            <w:tcBorders>
              <w:top w:val="nil"/>
              <w:left w:val="single" w:sz="4" w:space="0" w:color="auto"/>
              <w:bottom w:val="single" w:sz="4" w:space="0" w:color="auto"/>
              <w:right w:val="single" w:sz="4" w:space="0" w:color="auto"/>
            </w:tcBorders>
            <w:shd w:val="clear" w:color="auto" w:fill="auto"/>
            <w:noWrap/>
            <w:vAlign w:val="bottom"/>
            <w:hideMark/>
          </w:tcPr>
          <w:p w14:paraId="14400D87" w14:textId="77777777" w:rsidR="00BA1338" w:rsidRPr="00545EC0" w:rsidRDefault="00BA1338" w:rsidP="004F2AF2">
            <w:pPr>
              <w:spacing w:line="240" w:lineRule="auto"/>
              <w:rPr>
                <w:rFonts w:cs="Arial"/>
                <w:sz w:val="18"/>
                <w:szCs w:val="18"/>
              </w:rPr>
            </w:pPr>
            <w:r w:rsidRPr="00545EC0">
              <w:rPr>
                <w:rFonts w:cs="Arial"/>
                <w:sz w:val="18"/>
                <w:szCs w:val="18"/>
              </w:rPr>
              <w:t>Zadrževalnik HE Mavčiče - HE Medvode</w:t>
            </w:r>
          </w:p>
        </w:tc>
      </w:tr>
      <w:tr w:rsidR="00A34D38" w:rsidRPr="00545EC0" w14:paraId="1943FE54" w14:textId="77777777" w:rsidTr="00A34D38">
        <w:trPr>
          <w:trHeight w:val="227"/>
          <w:tblHeader/>
        </w:trPr>
        <w:tc>
          <w:tcPr>
            <w:tcW w:w="654" w:type="pct"/>
            <w:tcBorders>
              <w:top w:val="nil"/>
              <w:left w:val="single" w:sz="4" w:space="0" w:color="auto"/>
              <w:bottom w:val="single" w:sz="4" w:space="0" w:color="auto"/>
              <w:right w:val="single" w:sz="4" w:space="0" w:color="auto"/>
            </w:tcBorders>
            <w:shd w:val="clear" w:color="auto" w:fill="auto"/>
            <w:noWrap/>
            <w:vAlign w:val="bottom"/>
            <w:hideMark/>
          </w:tcPr>
          <w:p w14:paraId="3D81FD27" w14:textId="77777777" w:rsidR="00BA1338" w:rsidRPr="00545EC0" w:rsidRDefault="00BA1338" w:rsidP="004F2AF2">
            <w:pPr>
              <w:spacing w:line="240" w:lineRule="auto"/>
              <w:rPr>
                <w:rFonts w:cs="Arial"/>
                <w:sz w:val="18"/>
                <w:szCs w:val="18"/>
              </w:rPr>
            </w:pPr>
            <w:r w:rsidRPr="00545EC0">
              <w:rPr>
                <w:rFonts w:cs="Arial"/>
                <w:sz w:val="18"/>
                <w:szCs w:val="18"/>
              </w:rPr>
              <w:t>SI1324VT</w:t>
            </w:r>
          </w:p>
        </w:tc>
        <w:tc>
          <w:tcPr>
            <w:tcW w:w="1847" w:type="pct"/>
            <w:tcBorders>
              <w:top w:val="nil"/>
              <w:left w:val="nil"/>
              <w:bottom w:val="single" w:sz="4" w:space="0" w:color="auto"/>
              <w:right w:val="single" w:sz="4" w:space="0" w:color="auto"/>
            </w:tcBorders>
            <w:shd w:val="clear" w:color="auto" w:fill="auto"/>
            <w:noWrap/>
            <w:vAlign w:val="bottom"/>
            <w:hideMark/>
          </w:tcPr>
          <w:p w14:paraId="3ED987AD" w14:textId="77777777" w:rsidR="00BA1338" w:rsidRPr="00545EC0" w:rsidRDefault="00BA1338" w:rsidP="004F2AF2">
            <w:pPr>
              <w:spacing w:line="240" w:lineRule="auto"/>
              <w:rPr>
                <w:rFonts w:cs="Arial"/>
                <w:sz w:val="18"/>
                <w:szCs w:val="18"/>
              </w:rPr>
            </w:pPr>
            <w:r w:rsidRPr="00545EC0">
              <w:rPr>
                <w:rFonts w:cs="Arial"/>
                <w:sz w:val="18"/>
                <w:szCs w:val="18"/>
              </w:rPr>
              <w:t>VT Rača z Radomljo</w:t>
            </w:r>
          </w:p>
        </w:tc>
        <w:tc>
          <w:tcPr>
            <w:tcW w:w="531" w:type="pct"/>
            <w:vMerge w:val="restart"/>
            <w:tcBorders>
              <w:top w:val="single" w:sz="4" w:space="0" w:color="auto"/>
              <w:left w:val="nil"/>
              <w:right w:val="single" w:sz="4" w:space="0" w:color="auto"/>
            </w:tcBorders>
            <w:vAlign w:val="center"/>
          </w:tcPr>
          <w:p w14:paraId="3A36CEC4" w14:textId="77777777" w:rsidR="00BA1338" w:rsidRPr="00545EC0" w:rsidRDefault="00BA1338" w:rsidP="004F2AF2">
            <w:pPr>
              <w:spacing w:line="240" w:lineRule="auto"/>
              <w:rPr>
                <w:rFonts w:cs="Arial"/>
                <w:sz w:val="18"/>
                <w:szCs w:val="18"/>
              </w:rPr>
            </w:pPr>
            <w:r w:rsidRPr="00545EC0">
              <w:rPr>
                <w:rFonts w:cs="Arial"/>
                <w:sz w:val="18"/>
                <w:szCs w:val="18"/>
              </w:rPr>
              <w:t>Srednja Sava</w:t>
            </w:r>
          </w:p>
        </w:tc>
        <w:tc>
          <w:tcPr>
            <w:tcW w:w="1969" w:type="pct"/>
            <w:tcBorders>
              <w:top w:val="nil"/>
              <w:left w:val="single" w:sz="4" w:space="0" w:color="auto"/>
              <w:bottom w:val="single" w:sz="4" w:space="0" w:color="auto"/>
              <w:right w:val="single" w:sz="4" w:space="0" w:color="auto"/>
            </w:tcBorders>
            <w:shd w:val="clear" w:color="auto" w:fill="auto"/>
            <w:noWrap/>
            <w:vAlign w:val="bottom"/>
            <w:hideMark/>
          </w:tcPr>
          <w:p w14:paraId="63A703A7" w14:textId="77777777" w:rsidR="00BA1338" w:rsidRPr="00545EC0" w:rsidRDefault="00BA1338" w:rsidP="004F2AF2">
            <w:pPr>
              <w:spacing w:line="240" w:lineRule="auto"/>
              <w:rPr>
                <w:rFonts w:cs="Arial"/>
                <w:sz w:val="18"/>
                <w:szCs w:val="18"/>
              </w:rPr>
            </w:pPr>
            <w:r w:rsidRPr="00545EC0">
              <w:rPr>
                <w:rFonts w:cs="Arial"/>
                <w:sz w:val="18"/>
                <w:szCs w:val="18"/>
              </w:rPr>
              <w:t>Zadrževalnik Drtijščica</w:t>
            </w:r>
          </w:p>
        </w:tc>
      </w:tr>
      <w:tr w:rsidR="00A34D38" w:rsidRPr="00545EC0" w14:paraId="23C158D8" w14:textId="77777777" w:rsidTr="00A34D38">
        <w:trPr>
          <w:trHeight w:val="227"/>
          <w:tblHeader/>
        </w:trPr>
        <w:tc>
          <w:tcPr>
            <w:tcW w:w="654" w:type="pct"/>
            <w:tcBorders>
              <w:top w:val="nil"/>
              <w:left w:val="single" w:sz="4" w:space="0" w:color="auto"/>
              <w:bottom w:val="single" w:sz="4" w:space="0" w:color="auto"/>
              <w:right w:val="single" w:sz="4" w:space="0" w:color="auto"/>
            </w:tcBorders>
            <w:shd w:val="clear" w:color="auto" w:fill="auto"/>
            <w:noWrap/>
            <w:vAlign w:val="bottom"/>
            <w:hideMark/>
          </w:tcPr>
          <w:p w14:paraId="60809C21" w14:textId="77777777" w:rsidR="00BA1338" w:rsidRPr="00545EC0" w:rsidRDefault="00BA1338" w:rsidP="004F2AF2">
            <w:pPr>
              <w:spacing w:line="240" w:lineRule="auto"/>
              <w:rPr>
                <w:rFonts w:cs="Arial"/>
                <w:sz w:val="18"/>
                <w:szCs w:val="18"/>
              </w:rPr>
            </w:pPr>
            <w:r w:rsidRPr="00545EC0">
              <w:rPr>
                <w:rFonts w:cs="Arial"/>
                <w:sz w:val="18"/>
                <w:szCs w:val="18"/>
              </w:rPr>
              <w:t>SI1VT557</w:t>
            </w:r>
          </w:p>
        </w:tc>
        <w:tc>
          <w:tcPr>
            <w:tcW w:w="1847" w:type="pct"/>
            <w:tcBorders>
              <w:top w:val="nil"/>
              <w:left w:val="nil"/>
              <w:bottom w:val="single" w:sz="4" w:space="0" w:color="auto"/>
              <w:right w:val="single" w:sz="4" w:space="0" w:color="auto"/>
            </w:tcBorders>
            <w:shd w:val="clear" w:color="auto" w:fill="auto"/>
            <w:noWrap/>
            <w:vAlign w:val="bottom"/>
            <w:hideMark/>
          </w:tcPr>
          <w:p w14:paraId="40F27FFF" w14:textId="77777777" w:rsidR="00BA1338" w:rsidRPr="00545EC0" w:rsidRDefault="00BA1338" w:rsidP="004F2AF2">
            <w:pPr>
              <w:spacing w:line="240" w:lineRule="auto"/>
              <w:rPr>
                <w:rFonts w:cs="Arial"/>
                <w:sz w:val="18"/>
                <w:szCs w:val="18"/>
              </w:rPr>
            </w:pPr>
            <w:r w:rsidRPr="00545EC0">
              <w:rPr>
                <w:rFonts w:cs="Arial"/>
                <w:sz w:val="18"/>
                <w:szCs w:val="18"/>
              </w:rPr>
              <w:t>VT  Sava Litija – Zidani Most</w:t>
            </w:r>
          </w:p>
        </w:tc>
        <w:tc>
          <w:tcPr>
            <w:tcW w:w="531" w:type="pct"/>
            <w:vMerge/>
            <w:tcBorders>
              <w:left w:val="nil"/>
              <w:bottom w:val="single" w:sz="4" w:space="0" w:color="auto"/>
              <w:right w:val="single" w:sz="4" w:space="0" w:color="auto"/>
            </w:tcBorders>
            <w:vAlign w:val="center"/>
          </w:tcPr>
          <w:p w14:paraId="32252398" w14:textId="77777777" w:rsidR="00BA1338" w:rsidRPr="00545EC0" w:rsidRDefault="00BA1338" w:rsidP="004F2AF2">
            <w:pPr>
              <w:spacing w:line="240" w:lineRule="auto"/>
              <w:rPr>
                <w:rFonts w:cs="Arial"/>
                <w:sz w:val="18"/>
                <w:szCs w:val="18"/>
              </w:rPr>
            </w:pPr>
          </w:p>
        </w:tc>
        <w:tc>
          <w:tcPr>
            <w:tcW w:w="1969" w:type="pct"/>
            <w:tcBorders>
              <w:top w:val="nil"/>
              <w:left w:val="single" w:sz="4" w:space="0" w:color="auto"/>
              <w:bottom w:val="single" w:sz="4" w:space="0" w:color="auto"/>
              <w:right w:val="single" w:sz="4" w:space="0" w:color="auto"/>
            </w:tcBorders>
            <w:shd w:val="clear" w:color="auto" w:fill="auto"/>
            <w:noWrap/>
            <w:vAlign w:val="bottom"/>
            <w:hideMark/>
          </w:tcPr>
          <w:p w14:paraId="55D33C69" w14:textId="77777777" w:rsidR="00BA1338" w:rsidRPr="00545EC0" w:rsidRDefault="00BA1338" w:rsidP="004F2AF2">
            <w:pPr>
              <w:spacing w:line="240" w:lineRule="auto"/>
              <w:rPr>
                <w:rFonts w:cs="Arial"/>
                <w:sz w:val="18"/>
                <w:szCs w:val="18"/>
              </w:rPr>
            </w:pPr>
            <w:r w:rsidRPr="00545EC0">
              <w:rPr>
                <w:rFonts w:cs="Arial"/>
                <w:sz w:val="18"/>
                <w:szCs w:val="18"/>
              </w:rPr>
              <w:t>zadrževalnik HE Vrhovo</w:t>
            </w:r>
          </w:p>
        </w:tc>
      </w:tr>
      <w:tr w:rsidR="00A34D38" w:rsidRPr="00545EC0" w14:paraId="0FE4D8B8" w14:textId="77777777" w:rsidTr="00A34D38">
        <w:trPr>
          <w:trHeight w:val="227"/>
          <w:tblHeader/>
        </w:trPr>
        <w:tc>
          <w:tcPr>
            <w:tcW w:w="654" w:type="pct"/>
            <w:tcBorders>
              <w:top w:val="nil"/>
              <w:left w:val="single" w:sz="4" w:space="0" w:color="auto"/>
              <w:bottom w:val="single" w:sz="4" w:space="0" w:color="auto"/>
              <w:right w:val="single" w:sz="4" w:space="0" w:color="auto"/>
            </w:tcBorders>
            <w:shd w:val="clear" w:color="auto" w:fill="auto"/>
            <w:noWrap/>
            <w:vAlign w:val="bottom"/>
            <w:hideMark/>
          </w:tcPr>
          <w:p w14:paraId="4B7A21FF" w14:textId="77777777" w:rsidR="00BA1338" w:rsidRPr="00545EC0" w:rsidRDefault="00BA1338" w:rsidP="004F2AF2">
            <w:pPr>
              <w:spacing w:line="240" w:lineRule="auto"/>
              <w:rPr>
                <w:rFonts w:cs="Arial"/>
                <w:sz w:val="18"/>
                <w:szCs w:val="18"/>
              </w:rPr>
            </w:pPr>
            <w:r w:rsidRPr="00545EC0">
              <w:rPr>
                <w:rFonts w:cs="Arial"/>
                <w:sz w:val="18"/>
                <w:szCs w:val="18"/>
              </w:rPr>
              <w:t>SI1VT713</w:t>
            </w:r>
          </w:p>
        </w:tc>
        <w:tc>
          <w:tcPr>
            <w:tcW w:w="1847" w:type="pct"/>
            <w:tcBorders>
              <w:top w:val="nil"/>
              <w:left w:val="nil"/>
              <w:bottom w:val="single" w:sz="4" w:space="0" w:color="auto"/>
              <w:right w:val="single" w:sz="4" w:space="0" w:color="auto"/>
            </w:tcBorders>
            <w:shd w:val="clear" w:color="auto" w:fill="auto"/>
            <w:noWrap/>
            <w:vAlign w:val="bottom"/>
            <w:hideMark/>
          </w:tcPr>
          <w:p w14:paraId="27771113" w14:textId="77777777" w:rsidR="00BA1338" w:rsidRPr="00545EC0" w:rsidRDefault="00BA1338" w:rsidP="004F2AF2">
            <w:pPr>
              <w:spacing w:line="240" w:lineRule="auto"/>
              <w:rPr>
                <w:rFonts w:cs="Arial"/>
                <w:sz w:val="18"/>
                <w:szCs w:val="18"/>
              </w:rPr>
            </w:pPr>
            <w:r w:rsidRPr="00545EC0">
              <w:rPr>
                <w:rFonts w:cs="Arial"/>
                <w:sz w:val="18"/>
                <w:szCs w:val="18"/>
              </w:rPr>
              <w:t>MPVT Sava Vrhovo – Boštanj</w:t>
            </w:r>
          </w:p>
        </w:tc>
        <w:tc>
          <w:tcPr>
            <w:tcW w:w="531" w:type="pct"/>
            <w:vMerge w:val="restart"/>
            <w:tcBorders>
              <w:top w:val="single" w:sz="4" w:space="0" w:color="auto"/>
              <w:left w:val="nil"/>
              <w:right w:val="single" w:sz="4" w:space="0" w:color="auto"/>
            </w:tcBorders>
            <w:vAlign w:val="center"/>
          </w:tcPr>
          <w:p w14:paraId="1DD6CCC9" w14:textId="77777777" w:rsidR="00BA1338" w:rsidRPr="00545EC0" w:rsidRDefault="00BA1338" w:rsidP="004F2AF2">
            <w:pPr>
              <w:spacing w:line="240" w:lineRule="auto"/>
              <w:rPr>
                <w:rFonts w:cs="Arial"/>
                <w:sz w:val="18"/>
                <w:szCs w:val="18"/>
              </w:rPr>
            </w:pPr>
            <w:r w:rsidRPr="00545EC0">
              <w:rPr>
                <w:rFonts w:cs="Arial"/>
                <w:sz w:val="18"/>
                <w:szCs w:val="18"/>
              </w:rPr>
              <w:t>Spodnja Sava</w:t>
            </w:r>
          </w:p>
        </w:tc>
        <w:tc>
          <w:tcPr>
            <w:tcW w:w="1969" w:type="pct"/>
            <w:tcBorders>
              <w:top w:val="nil"/>
              <w:left w:val="single" w:sz="4" w:space="0" w:color="auto"/>
              <w:bottom w:val="single" w:sz="4" w:space="0" w:color="auto"/>
              <w:right w:val="single" w:sz="4" w:space="0" w:color="auto"/>
            </w:tcBorders>
            <w:shd w:val="clear" w:color="auto" w:fill="auto"/>
            <w:noWrap/>
            <w:vAlign w:val="bottom"/>
            <w:hideMark/>
          </w:tcPr>
          <w:p w14:paraId="547B0E6A" w14:textId="77777777" w:rsidR="00BA1338" w:rsidRPr="00545EC0" w:rsidRDefault="00BA1338" w:rsidP="004F2AF2">
            <w:pPr>
              <w:spacing w:line="240" w:lineRule="auto"/>
              <w:rPr>
                <w:rFonts w:cs="Arial"/>
                <w:sz w:val="18"/>
                <w:szCs w:val="18"/>
              </w:rPr>
            </w:pPr>
            <w:r w:rsidRPr="00545EC0">
              <w:rPr>
                <w:rFonts w:cs="Arial"/>
                <w:sz w:val="18"/>
                <w:szCs w:val="18"/>
              </w:rPr>
              <w:t>Zadrževalnik HE Vrhovo - HE Boštanj</w:t>
            </w:r>
          </w:p>
        </w:tc>
      </w:tr>
      <w:tr w:rsidR="00A34D38" w:rsidRPr="00545EC0" w14:paraId="3A1E4473" w14:textId="77777777" w:rsidTr="00A34D38">
        <w:trPr>
          <w:trHeight w:val="227"/>
          <w:tblHeader/>
        </w:trPr>
        <w:tc>
          <w:tcPr>
            <w:tcW w:w="654" w:type="pct"/>
            <w:tcBorders>
              <w:top w:val="nil"/>
              <w:left w:val="single" w:sz="4" w:space="0" w:color="auto"/>
              <w:bottom w:val="single" w:sz="4" w:space="0" w:color="auto"/>
              <w:right w:val="single" w:sz="4" w:space="0" w:color="auto"/>
            </w:tcBorders>
            <w:shd w:val="clear" w:color="auto" w:fill="auto"/>
            <w:noWrap/>
            <w:vAlign w:val="bottom"/>
            <w:hideMark/>
          </w:tcPr>
          <w:p w14:paraId="595AC703" w14:textId="77777777" w:rsidR="00BA1338" w:rsidRPr="00545EC0" w:rsidRDefault="00BA1338" w:rsidP="004F2AF2">
            <w:pPr>
              <w:spacing w:line="240" w:lineRule="auto"/>
              <w:rPr>
                <w:rFonts w:cs="Arial"/>
                <w:sz w:val="18"/>
                <w:szCs w:val="18"/>
              </w:rPr>
            </w:pPr>
            <w:r w:rsidRPr="00545EC0">
              <w:rPr>
                <w:rFonts w:cs="Arial"/>
                <w:sz w:val="18"/>
                <w:szCs w:val="18"/>
              </w:rPr>
              <w:t>SI1VT739</w:t>
            </w:r>
          </w:p>
        </w:tc>
        <w:tc>
          <w:tcPr>
            <w:tcW w:w="1847" w:type="pct"/>
            <w:tcBorders>
              <w:top w:val="nil"/>
              <w:left w:val="nil"/>
              <w:bottom w:val="single" w:sz="4" w:space="0" w:color="auto"/>
              <w:right w:val="single" w:sz="4" w:space="0" w:color="auto"/>
            </w:tcBorders>
            <w:shd w:val="clear" w:color="auto" w:fill="auto"/>
            <w:noWrap/>
            <w:vAlign w:val="bottom"/>
            <w:hideMark/>
          </w:tcPr>
          <w:p w14:paraId="0A919276" w14:textId="77777777" w:rsidR="00BA1338" w:rsidRPr="00545EC0" w:rsidRDefault="00BA1338" w:rsidP="004F2AF2">
            <w:pPr>
              <w:spacing w:line="240" w:lineRule="auto"/>
              <w:rPr>
                <w:rFonts w:cs="Arial"/>
                <w:sz w:val="18"/>
                <w:szCs w:val="18"/>
              </w:rPr>
            </w:pPr>
            <w:r w:rsidRPr="00545EC0">
              <w:rPr>
                <w:rFonts w:cs="Arial"/>
                <w:sz w:val="18"/>
                <w:szCs w:val="18"/>
              </w:rPr>
              <w:t>VT Sava Boštanj – Krško</w:t>
            </w:r>
          </w:p>
        </w:tc>
        <w:tc>
          <w:tcPr>
            <w:tcW w:w="531" w:type="pct"/>
            <w:vMerge/>
            <w:tcBorders>
              <w:left w:val="nil"/>
              <w:right w:val="single" w:sz="4" w:space="0" w:color="auto"/>
            </w:tcBorders>
            <w:vAlign w:val="center"/>
          </w:tcPr>
          <w:p w14:paraId="0DAC8094" w14:textId="77777777" w:rsidR="00BA1338" w:rsidRPr="00545EC0" w:rsidRDefault="00BA1338" w:rsidP="004F2AF2">
            <w:pPr>
              <w:spacing w:line="240" w:lineRule="auto"/>
              <w:rPr>
                <w:rFonts w:cs="Arial"/>
                <w:sz w:val="18"/>
                <w:szCs w:val="18"/>
              </w:rPr>
            </w:pPr>
          </w:p>
        </w:tc>
        <w:tc>
          <w:tcPr>
            <w:tcW w:w="1969" w:type="pct"/>
            <w:tcBorders>
              <w:top w:val="nil"/>
              <w:left w:val="single" w:sz="4" w:space="0" w:color="auto"/>
              <w:bottom w:val="single" w:sz="4" w:space="0" w:color="auto"/>
              <w:right w:val="single" w:sz="4" w:space="0" w:color="auto"/>
            </w:tcBorders>
            <w:shd w:val="clear" w:color="auto" w:fill="auto"/>
            <w:noWrap/>
            <w:vAlign w:val="bottom"/>
            <w:hideMark/>
          </w:tcPr>
          <w:p w14:paraId="2DCD5AB9" w14:textId="76D7FDB1" w:rsidR="00BA1338" w:rsidRPr="00545EC0" w:rsidRDefault="00BA1338" w:rsidP="009910C7">
            <w:pPr>
              <w:spacing w:line="240" w:lineRule="auto"/>
              <w:rPr>
                <w:rFonts w:cs="Arial"/>
                <w:sz w:val="18"/>
                <w:szCs w:val="18"/>
              </w:rPr>
            </w:pPr>
            <w:r w:rsidRPr="00545EC0">
              <w:rPr>
                <w:rFonts w:cs="Arial"/>
                <w:sz w:val="18"/>
                <w:szCs w:val="18"/>
              </w:rPr>
              <w:t>Zadrževalnik HE Arto</w:t>
            </w:r>
            <w:r w:rsidR="009910C7">
              <w:rPr>
                <w:rFonts w:cs="Arial"/>
                <w:sz w:val="18"/>
                <w:szCs w:val="18"/>
              </w:rPr>
              <w:t>-</w:t>
            </w:r>
            <w:r w:rsidRPr="00545EC0">
              <w:rPr>
                <w:rFonts w:cs="Arial"/>
                <w:sz w:val="18"/>
                <w:szCs w:val="18"/>
              </w:rPr>
              <w:t>Blanca - HE Krško</w:t>
            </w:r>
          </w:p>
        </w:tc>
      </w:tr>
      <w:tr w:rsidR="00A34D38" w:rsidRPr="00545EC0" w14:paraId="1D0C99F1" w14:textId="77777777" w:rsidTr="00A34D38">
        <w:trPr>
          <w:trHeight w:val="227"/>
          <w:tblHeader/>
        </w:trPr>
        <w:tc>
          <w:tcPr>
            <w:tcW w:w="654" w:type="pct"/>
            <w:tcBorders>
              <w:top w:val="nil"/>
              <w:left w:val="single" w:sz="4" w:space="0" w:color="auto"/>
              <w:bottom w:val="single" w:sz="4" w:space="0" w:color="auto"/>
              <w:right w:val="single" w:sz="4" w:space="0" w:color="auto"/>
            </w:tcBorders>
            <w:shd w:val="clear" w:color="auto" w:fill="auto"/>
            <w:noWrap/>
            <w:vAlign w:val="bottom"/>
            <w:hideMark/>
          </w:tcPr>
          <w:p w14:paraId="3634B011" w14:textId="77777777" w:rsidR="00BA1338" w:rsidRPr="00545EC0" w:rsidRDefault="00BA1338" w:rsidP="004F2AF2">
            <w:pPr>
              <w:spacing w:line="240" w:lineRule="auto"/>
              <w:rPr>
                <w:rFonts w:cs="Arial"/>
                <w:sz w:val="18"/>
                <w:szCs w:val="18"/>
              </w:rPr>
            </w:pPr>
            <w:r w:rsidRPr="00545EC0">
              <w:rPr>
                <w:rFonts w:cs="Arial"/>
                <w:sz w:val="18"/>
                <w:szCs w:val="18"/>
              </w:rPr>
              <w:t>SI1VT913</w:t>
            </w:r>
          </w:p>
        </w:tc>
        <w:tc>
          <w:tcPr>
            <w:tcW w:w="1847" w:type="pct"/>
            <w:tcBorders>
              <w:top w:val="nil"/>
              <w:left w:val="nil"/>
              <w:bottom w:val="single" w:sz="4" w:space="0" w:color="auto"/>
              <w:right w:val="single" w:sz="4" w:space="0" w:color="auto"/>
            </w:tcBorders>
            <w:shd w:val="clear" w:color="auto" w:fill="auto"/>
            <w:noWrap/>
            <w:vAlign w:val="bottom"/>
            <w:hideMark/>
          </w:tcPr>
          <w:p w14:paraId="1E53502C" w14:textId="77777777" w:rsidR="00BA1338" w:rsidRPr="00545EC0" w:rsidRDefault="00BA1338" w:rsidP="004F2AF2">
            <w:pPr>
              <w:spacing w:line="240" w:lineRule="auto"/>
              <w:rPr>
                <w:rFonts w:cs="Arial"/>
                <w:sz w:val="18"/>
                <w:szCs w:val="18"/>
              </w:rPr>
            </w:pPr>
            <w:r w:rsidRPr="00545EC0">
              <w:rPr>
                <w:rFonts w:cs="Arial"/>
                <w:sz w:val="18"/>
                <w:szCs w:val="18"/>
              </w:rPr>
              <w:t>VT Sava Krško – Vrbina</w:t>
            </w:r>
          </w:p>
        </w:tc>
        <w:tc>
          <w:tcPr>
            <w:tcW w:w="531" w:type="pct"/>
            <w:vMerge/>
            <w:tcBorders>
              <w:left w:val="nil"/>
              <w:bottom w:val="single" w:sz="4" w:space="0" w:color="auto"/>
              <w:right w:val="single" w:sz="4" w:space="0" w:color="auto"/>
            </w:tcBorders>
            <w:vAlign w:val="center"/>
          </w:tcPr>
          <w:p w14:paraId="7D377335" w14:textId="77777777" w:rsidR="00BA1338" w:rsidRPr="00545EC0" w:rsidRDefault="00BA1338" w:rsidP="004F2AF2">
            <w:pPr>
              <w:spacing w:line="240" w:lineRule="auto"/>
              <w:rPr>
                <w:rFonts w:cs="Arial"/>
                <w:sz w:val="18"/>
                <w:szCs w:val="18"/>
              </w:rPr>
            </w:pPr>
          </w:p>
        </w:tc>
        <w:tc>
          <w:tcPr>
            <w:tcW w:w="1969" w:type="pct"/>
            <w:tcBorders>
              <w:top w:val="nil"/>
              <w:left w:val="single" w:sz="4" w:space="0" w:color="auto"/>
              <w:bottom w:val="single" w:sz="4" w:space="0" w:color="auto"/>
              <w:right w:val="single" w:sz="4" w:space="0" w:color="auto"/>
            </w:tcBorders>
            <w:shd w:val="clear" w:color="auto" w:fill="auto"/>
            <w:noWrap/>
            <w:vAlign w:val="bottom"/>
            <w:hideMark/>
          </w:tcPr>
          <w:p w14:paraId="534BC68B" w14:textId="77777777" w:rsidR="00BA1338" w:rsidRPr="00545EC0" w:rsidRDefault="00BA1338" w:rsidP="004F2AF2">
            <w:pPr>
              <w:spacing w:line="240" w:lineRule="auto"/>
              <w:rPr>
                <w:rFonts w:cs="Arial"/>
                <w:sz w:val="18"/>
                <w:szCs w:val="18"/>
              </w:rPr>
            </w:pPr>
            <w:r w:rsidRPr="00545EC0">
              <w:rPr>
                <w:rFonts w:cs="Arial"/>
                <w:sz w:val="18"/>
                <w:szCs w:val="18"/>
              </w:rPr>
              <w:t>Zadrževalnik HE Brežice</w:t>
            </w:r>
          </w:p>
        </w:tc>
      </w:tr>
      <w:tr w:rsidR="00A34D38" w:rsidRPr="00545EC0" w14:paraId="10837B9E" w14:textId="77777777" w:rsidTr="00A34D38">
        <w:trPr>
          <w:trHeight w:val="227"/>
          <w:tblHeader/>
        </w:trPr>
        <w:tc>
          <w:tcPr>
            <w:tcW w:w="65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77A650E" w14:textId="77777777" w:rsidR="00BA1338" w:rsidRPr="00545EC0" w:rsidRDefault="00BA1338" w:rsidP="004F2AF2">
            <w:pPr>
              <w:spacing w:line="240" w:lineRule="auto"/>
              <w:rPr>
                <w:rFonts w:cs="Arial"/>
                <w:sz w:val="18"/>
                <w:szCs w:val="18"/>
              </w:rPr>
            </w:pPr>
            <w:r w:rsidRPr="00545EC0">
              <w:rPr>
                <w:rFonts w:cs="Arial"/>
                <w:sz w:val="18"/>
                <w:szCs w:val="18"/>
              </w:rPr>
              <w:t>SI1624VT</w:t>
            </w:r>
          </w:p>
        </w:tc>
        <w:tc>
          <w:tcPr>
            <w:tcW w:w="1847" w:type="pct"/>
            <w:vMerge w:val="restart"/>
            <w:tcBorders>
              <w:top w:val="nil"/>
              <w:left w:val="single" w:sz="4" w:space="0" w:color="auto"/>
              <w:bottom w:val="single" w:sz="4" w:space="0" w:color="000000"/>
              <w:right w:val="single" w:sz="4" w:space="0" w:color="auto"/>
            </w:tcBorders>
            <w:shd w:val="clear" w:color="auto" w:fill="auto"/>
            <w:vAlign w:val="center"/>
            <w:hideMark/>
          </w:tcPr>
          <w:p w14:paraId="7D838DE5" w14:textId="77777777" w:rsidR="00BA1338" w:rsidRPr="00545EC0" w:rsidRDefault="00BA1338" w:rsidP="004F2AF2">
            <w:pPr>
              <w:spacing w:line="240" w:lineRule="auto"/>
              <w:rPr>
                <w:rFonts w:cs="Arial"/>
                <w:sz w:val="18"/>
                <w:szCs w:val="18"/>
              </w:rPr>
            </w:pPr>
            <w:r w:rsidRPr="00545EC0">
              <w:rPr>
                <w:rFonts w:cs="Arial"/>
                <w:sz w:val="18"/>
                <w:szCs w:val="18"/>
              </w:rPr>
              <w:t>UVT Velenjsko jezero</w:t>
            </w:r>
          </w:p>
        </w:tc>
        <w:tc>
          <w:tcPr>
            <w:tcW w:w="531" w:type="pct"/>
            <w:vMerge w:val="restart"/>
            <w:tcBorders>
              <w:top w:val="single" w:sz="4" w:space="0" w:color="auto"/>
              <w:left w:val="nil"/>
              <w:right w:val="single" w:sz="4" w:space="0" w:color="auto"/>
            </w:tcBorders>
            <w:vAlign w:val="center"/>
          </w:tcPr>
          <w:p w14:paraId="3AE772CB" w14:textId="77777777" w:rsidR="00BA1338" w:rsidRPr="00545EC0" w:rsidRDefault="00BA1338" w:rsidP="004F2AF2">
            <w:pPr>
              <w:spacing w:line="240" w:lineRule="auto"/>
              <w:rPr>
                <w:rFonts w:cs="Arial"/>
                <w:sz w:val="18"/>
                <w:szCs w:val="18"/>
              </w:rPr>
            </w:pPr>
            <w:r w:rsidRPr="00545EC0">
              <w:rPr>
                <w:rFonts w:cs="Arial"/>
                <w:sz w:val="18"/>
                <w:szCs w:val="18"/>
              </w:rPr>
              <w:t>Savinja</w:t>
            </w:r>
          </w:p>
        </w:tc>
        <w:tc>
          <w:tcPr>
            <w:tcW w:w="1969" w:type="pct"/>
            <w:tcBorders>
              <w:top w:val="nil"/>
              <w:left w:val="single" w:sz="4" w:space="0" w:color="auto"/>
              <w:bottom w:val="single" w:sz="4" w:space="0" w:color="auto"/>
              <w:right w:val="single" w:sz="4" w:space="0" w:color="auto"/>
            </w:tcBorders>
            <w:shd w:val="clear" w:color="auto" w:fill="auto"/>
            <w:noWrap/>
            <w:vAlign w:val="bottom"/>
            <w:hideMark/>
          </w:tcPr>
          <w:p w14:paraId="5C2B9F19" w14:textId="77777777" w:rsidR="00BA1338" w:rsidRPr="00545EC0" w:rsidRDefault="00BA1338" w:rsidP="004F2AF2">
            <w:pPr>
              <w:spacing w:line="240" w:lineRule="auto"/>
              <w:rPr>
                <w:rFonts w:cs="Arial"/>
                <w:sz w:val="18"/>
                <w:szCs w:val="18"/>
              </w:rPr>
            </w:pPr>
            <w:r w:rsidRPr="00545EC0">
              <w:rPr>
                <w:rFonts w:cs="Arial"/>
                <w:sz w:val="18"/>
                <w:szCs w:val="18"/>
              </w:rPr>
              <w:t>Velenjsko jezero*</w:t>
            </w:r>
          </w:p>
        </w:tc>
      </w:tr>
      <w:tr w:rsidR="00A34D38" w:rsidRPr="00545EC0" w14:paraId="25D9EBEA" w14:textId="77777777" w:rsidTr="00A34D38">
        <w:trPr>
          <w:trHeight w:val="227"/>
          <w:tblHeader/>
        </w:trPr>
        <w:tc>
          <w:tcPr>
            <w:tcW w:w="654" w:type="pct"/>
            <w:vMerge/>
            <w:tcBorders>
              <w:top w:val="nil"/>
              <w:left w:val="single" w:sz="4" w:space="0" w:color="auto"/>
              <w:bottom w:val="single" w:sz="4" w:space="0" w:color="000000"/>
              <w:right w:val="single" w:sz="4" w:space="0" w:color="auto"/>
            </w:tcBorders>
            <w:vAlign w:val="center"/>
            <w:hideMark/>
          </w:tcPr>
          <w:p w14:paraId="1F2A27B4" w14:textId="77777777" w:rsidR="00BA1338" w:rsidRPr="00545EC0" w:rsidRDefault="00BA1338" w:rsidP="004F2AF2">
            <w:pPr>
              <w:spacing w:line="240" w:lineRule="auto"/>
              <w:rPr>
                <w:rFonts w:cs="Arial"/>
                <w:sz w:val="18"/>
                <w:szCs w:val="18"/>
              </w:rPr>
            </w:pPr>
          </w:p>
        </w:tc>
        <w:tc>
          <w:tcPr>
            <w:tcW w:w="1847" w:type="pct"/>
            <w:vMerge/>
            <w:tcBorders>
              <w:top w:val="nil"/>
              <w:left w:val="single" w:sz="4" w:space="0" w:color="auto"/>
              <w:bottom w:val="single" w:sz="4" w:space="0" w:color="000000"/>
              <w:right w:val="single" w:sz="4" w:space="0" w:color="auto"/>
            </w:tcBorders>
            <w:vAlign w:val="center"/>
            <w:hideMark/>
          </w:tcPr>
          <w:p w14:paraId="2F41ECEC" w14:textId="77777777" w:rsidR="00BA1338" w:rsidRPr="00545EC0" w:rsidRDefault="00BA1338" w:rsidP="004F2AF2">
            <w:pPr>
              <w:spacing w:line="240" w:lineRule="auto"/>
              <w:rPr>
                <w:rFonts w:cs="Arial"/>
                <w:sz w:val="18"/>
                <w:szCs w:val="18"/>
              </w:rPr>
            </w:pPr>
          </w:p>
        </w:tc>
        <w:tc>
          <w:tcPr>
            <w:tcW w:w="531" w:type="pct"/>
            <w:vMerge/>
            <w:tcBorders>
              <w:left w:val="nil"/>
              <w:right w:val="single" w:sz="4" w:space="0" w:color="auto"/>
            </w:tcBorders>
            <w:vAlign w:val="center"/>
          </w:tcPr>
          <w:p w14:paraId="0F2AECFC" w14:textId="77777777" w:rsidR="00BA1338" w:rsidRPr="00545EC0" w:rsidRDefault="00BA1338" w:rsidP="004F2AF2">
            <w:pPr>
              <w:spacing w:line="240" w:lineRule="auto"/>
              <w:rPr>
                <w:rFonts w:cs="Arial"/>
                <w:sz w:val="18"/>
                <w:szCs w:val="18"/>
              </w:rPr>
            </w:pPr>
          </w:p>
        </w:tc>
        <w:tc>
          <w:tcPr>
            <w:tcW w:w="1969" w:type="pct"/>
            <w:tcBorders>
              <w:top w:val="nil"/>
              <w:left w:val="single" w:sz="4" w:space="0" w:color="auto"/>
              <w:bottom w:val="single" w:sz="4" w:space="0" w:color="auto"/>
              <w:right w:val="single" w:sz="4" w:space="0" w:color="auto"/>
            </w:tcBorders>
            <w:shd w:val="clear" w:color="auto" w:fill="auto"/>
            <w:noWrap/>
            <w:vAlign w:val="bottom"/>
            <w:hideMark/>
          </w:tcPr>
          <w:p w14:paraId="7CD22B74" w14:textId="77777777" w:rsidR="00BA1338" w:rsidRPr="00545EC0" w:rsidRDefault="00BA1338" w:rsidP="004F2AF2">
            <w:pPr>
              <w:spacing w:line="240" w:lineRule="auto"/>
              <w:rPr>
                <w:rFonts w:cs="Arial"/>
                <w:sz w:val="18"/>
                <w:szCs w:val="18"/>
              </w:rPr>
            </w:pPr>
            <w:r w:rsidRPr="00545EC0">
              <w:rPr>
                <w:rFonts w:cs="Arial"/>
                <w:sz w:val="18"/>
                <w:szCs w:val="18"/>
              </w:rPr>
              <w:t>Škalsko jezero*</w:t>
            </w:r>
          </w:p>
        </w:tc>
      </w:tr>
      <w:tr w:rsidR="00A34D38" w:rsidRPr="00545EC0" w14:paraId="675DEB99" w14:textId="77777777" w:rsidTr="00A34D38">
        <w:trPr>
          <w:trHeight w:val="227"/>
          <w:tblHeader/>
        </w:trPr>
        <w:tc>
          <w:tcPr>
            <w:tcW w:w="654" w:type="pct"/>
            <w:tcBorders>
              <w:top w:val="nil"/>
              <w:left w:val="single" w:sz="4" w:space="0" w:color="auto"/>
              <w:bottom w:val="single" w:sz="4" w:space="0" w:color="auto"/>
              <w:right w:val="single" w:sz="4" w:space="0" w:color="auto"/>
            </w:tcBorders>
            <w:shd w:val="clear" w:color="auto" w:fill="auto"/>
            <w:noWrap/>
            <w:vAlign w:val="bottom"/>
            <w:hideMark/>
          </w:tcPr>
          <w:p w14:paraId="343C43B4" w14:textId="77777777" w:rsidR="00BA1338" w:rsidRPr="00545EC0" w:rsidRDefault="00BA1338" w:rsidP="004F2AF2">
            <w:pPr>
              <w:spacing w:line="240" w:lineRule="auto"/>
              <w:rPr>
                <w:rFonts w:cs="Arial"/>
                <w:sz w:val="18"/>
                <w:szCs w:val="18"/>
              </w:rPr>
            </w:pPr>
            <w:r w:rsidRPr="00545EC0">
              <w:rPr>
                <w:rFonts w:cs="Arial"/>
                <w:sz w:val="18"/>
                <w:szCs w:val="18"/>
              </w:rPr>
              <w:t>SI162VT7</w:t>
            </w:r>
          </w:p>
        </w:tc>
        <w:tc>
          <w:tcPr>
            <w:tcW w:w="1847" w:type="pct"/>
            <w:tcBorders>
              <w:top w:val="nil"/>
              <w:left w:val="nil"/>
              <w:bottom w:val="single" w:sz="4" w:space="0" w:color="auto"/>
              <w:right w:val="single" w:sz="4" w:space="0" w:color="auto"/>
            </w:tcBorders>
            <w:shd w:val="clear" w:color="auto" w:fill="auto"/>
            <w:noWrap/>
            <w:vAlign w:val="bottom"/>
            <w:hideMark/>
          </w:tcPr>
          <w:p w14:paraId="06FE261D" w14:textId="77777777" w:rsidR="00BA1338" w:rsidRPr="00545EC0" w:rsidRDefault="00BA1338" w:rsidP="004F2AF2">
            <w:pPr>
              <w:spacing w:line="240" w:lineRule="auto"/>
              <w:rPr>
                <w:rFonts w:cs="Arial"/>
                <w:sz w:val="18"/>
                <w:szCs w:val="18"/>
              </w:rPr>
            </w:pPr>
            <w:r w:rsidRPr="00545EC0">
              <w:rPr>
                <w:rFonts w:cs="Arial"/>
                <w:sz w:val="18"/>
                <w:szCs w:val="18"/>
              </w:rPr>
              <w:t>VT Paka Velenje - Skorno</w:t>
            </w:r>
          </w:p>
        </w:tc>
        <w:tc>
          <w:tcPr>
            <w:tcW w:w="531" w:type="pct"/>
            <w:vMerge/>
            <w:tcBorders>
              <w:left w:val="nil"/>
              <w:right w:val="single" w:sz="4" w:space="0" w:color="auto"/>
            </w:tcBorders>
            <w:vAlign w:val="center"/>
          </w:tcPr>
          <w:p w14:paraId="5F08D237" w14:textId="77777777" w:rsidR="00BA1338" w:rsidRPr="00545EC0" w:rsidRDefault="00BA1338" w:rsidP="004F2AF2">
            <w:pPr>
              <w:spacing w:line="240" w:lineRule="auto"/>
              <w:rPr>
                <w:rFonts w:cs="Arial"/>
                <w:sz w:val="18"/>
                <w:szCs w:val="18"/>
              </w:rPr>
            </w:pPr>
          </w:p>
        </w:tc>
        <w:tc>
          <w:tcPr>
            <w:tcW w:w="1969" w:type="pct"/>
            <w:tcBorders>
              <w:top w:val="nil"/>
              <w:left w:val="single" w:sz="4" w:space="0" w:color="auto"/>
              <w:bottom w:val="single" w:sz="4" w:space="0" w:color="auto"/>
              <w:right w:val="single" w:sz="4" w:space="0" w:color="auto"/>
            </w:tcBorders>
            <w:shd w:val="clear" w:color="auto" w:fill="auto"/>
            <w:noWrap/>
            <w:vAlign w:val="bottom"/>
            <w:hideMark/>
          </w:tcPr>
          <w:p w14:paraId="70758435" w14:textId="77777777" w:rsidR="00BA1338" w:rsidRPr="00545EC0" w:rsidRDefault="00BA1338" w:rsidP="004F2AF2">
            <w:pPr>
              <w:spacing w:line="240" w:lineRule="auto"/>
              <w:rPr>
                <w:rFonts w:cs="Arial"/>
                <w:sz w:val="18"/>
                <w:szCs w:val="18"/>
              </w:rPr>
            </w:pPr>
            <w:r w:rsidRPr="00545EC0">
              <w:rPr>
                <w:rFonts w:cs="Arial"/>
                <w:sz w:val="18"/>
                <w:szCs w:val="18"/>
              </w:rPr>
              <w:t>Šoštanjsko jezero*</w:t>
            </w:r>
          </w:p>
        </w:tc>
      </w:tr>
      <w:tr w:rsidR="00A34D38" w:rsidRPr="00545EC0" w14:paraId="65B39404" w14:textId="77777777" w:rsidTr="00A34D38">
        <w:trPr>
          <w:trHeight w:val="227"/>
          <w:tblHeader/>
        </w:trPr>
        <w:tc>
          <w:tcPr>
            <w:tcW w:w="65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92440A6" w14:textId="77777777" w:rsidR="00BA1338" w:rsidRPr="00545EC0" w:rsidRDefault="00BA1338" w:rsidP="004F2AF2">
            <w:pPr>
              <w:spacing w:line="240" w:lineRule="auto"/>
              <w:rPr>
                <w:rFonts w:cs="Arial"/>
                <w:sz w:val="18"/>
                <w:szCs w:val="18"/>
              </w:rPr>
            </w:pPr>
            <w:r w:rsidRPr="00545EC0">
              <w:rPr>
                <w:rFonts w:cs="Arial"/>
                <w:sz w:val="18"/>
                <w:szCs w:val="18"/>
              </w:rPr>
              <w:t>SI164VT7</w:t>
            </w:r>
          </w:p>
        </w:tc>
        <w:tc>
          <w:tcPr>
            <w:tcW w:w="184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ED0E1A5" w14:textId="77777777" w:rsidR="00BA1338" w:rsidRPr="00545EC0" w:rsidRDefault="00BA1338" w:rsidP="004F2AF2">
            <w:pPr>
              <w:spacing w:line="240" w:lineRule="auto"/>
              <w:rPr>
                <w:rFonts w:cs="Arial"/>
                <w:sz w:val="18"/>
                <w:szCs w:val="18"/>
              </w:rPr>
            </w:pPr>
            <w:r w:rsidRPr="00545EC0">
              <w:rPr>
                <w:rFonts w:cs="Arial"/>
                <w:sz w:val="18"/>
                <w:szCs w:val="18"/>
              </w:rPr>
              <w:t>VT Bolska Kapla - Latkova vas</w:t>
            </w:r>
          </w:p>
        </w:tc>
        <w:tc>
          <w:tcPr>
            <w:tcW w:w="531" w:type="pct"/>
            <w:vMerge/>
            <w:tcBorders>
              <w:left w:val="nil"/>
              <w:right w:val="single" w:sz="4" w:space="0" w:color="auto"/>
            </w:tcBorders>
            <w:vAlign w:val="center"/>
          </w:tcPr>
          <w:p w14:paraId="4E6D3967" w14:textId="77777777" w:rsidR="00BA1338" w:rsidRPr="00545EC0" w:rsidRDefault="00BA1338" w:rsidP="004F2AF2">
            <w:pPr>
              <w:spacing w:line="240" w:lineRule="auto"/>
              <w:rPr>
                <w:rFonts w:cs="Arial"/>
                <w:sz w:val="18"/>
                <w:szCs w:val="18"/>
              </w:rPr>
            </w:pPr>
          </w:p>
        </w:tc>
        <w:tc>
          <w:tcPr>
            <w:tcW w:w="1969" w:type="pct"/>
            <w:tcBorders>
              <w:top w:val="nil"/>
              <w:left w:val="single" w:sz="4" w:space="0" w:color="auto"/>
              <w:bottom w:val="single" w:sz="4" w:space="0" w:color="auto"/>
              <w:right w:val="single" w:sz="4" w:space="0" w:color="auto"/>
            </w:tcBorders>
            <w:shd w:val="clear" w:color="auto" w:fill="auto"/>
            <w:noWrap/>
            <w:vAlign w:val="bottom"/>
            <w:hideMark/>
          </w:tcPr>
          <w:p w14:paraId="4F4002AD" w14:textId="77777777" w:rsidR="00BA1338" w:rsidRPr="00545EC0" w:rsidRDefault="00BA1338" w:rsidP="004F2AF2">
            <w:pPr>
              <w:spacing w:line="240" w:lineRule="auto"/>
              <w:rPr>
                <w:rFonts w:cs="Arial"/>
                <w:sz w:val="18"/>
                <w:szCs w:val="18"/>
              </w:rPr>
            </w:pPr>
            <w:r w:rsidRPr="00545EC0">
              <w:rPr>
                <w:rFonts w:cs="Arial"/>
                <w:sz w:val="18"/>
                <w:szCs w:val="18"/>
              </w:rPr>
              <w:t>Žovneško jezero</w:t>
            </w:r>
          </w:p>
        </w:tc>
      </w:tr>
      <w:tr w:rsidR="00A34D38" w:rsidRPr="00545EC0" w14:paraId="75BAC5CD" w14:textId="77777777" w:rsidTr="00A34D38">
        <w:trPr>
          <w:trHeight w:val="227"/>
          <w:tblHeader/>
        </w:trPr>
        <w:tc>
          <w:tcPr>
            <w:tcW w:w="654" w:type="pct"/>
            <w:vMerge/>
            <w:tcBorders>
              <w:top w:val="nil"/>
              <w:left w:val="single" w:sz="4" w:space="0" w:color="auto"/>
              <w:bottom w:val="single" w:sz="4" w:space="0" w:color="000000"/>
              <w:right w:val="single" w:sz="4" w:space="0" w:color="auto"/>
            </w:tcBorders>
            <w:vAlign w:val="center"/>
            <w:hideMark/>
          </w:tcPr>
          <w:p w14:paraId="3542503F" w14:textId="77777777" w:rsidR="00BA1338" w:rsidRPr="00545EC0" w:rsidRDefault="00BA1338" w:rsidP="004F2AF2">
            <w:pPr>
              <w:spacing w:line="240" w:lineRule="auto"/>
              <w:rPr>
                <w:rFonts w:cs="Arial"/>
                <w:sz w:val="18"/>
                <w:szCs w:val="18"/>
              </w:rPr>
            </w:pPr>
          </w:p>
        </w:tc>
        <w:tc>
          <w:tcPr>
            <w:tcW w:w="1847" w:type="pct"/>
            <w:vMerge/>
            <w:tcBorders>
              <w:top w:val="nil"/>
              <w:left w:val="single" w:sz="4" w:space="0" w:color="auto"/>
              <w:bottom w:val="single" w:sz="4" w:space="0" w:color="000000"/>
              <w:right w:val="single" w:sz="4" w:space="0" w:color="auto"/>
            </w:tcBorders>
            <w:vAlign w:val="center"/>
            <w:hideMark/>
          </w:tcPr>
          <w:p w14:paraId="4C0D3EDA" w14:textId="77777777" w:rsidR="00BA1338" w:rsidRPr="00545EC0" w:rsidRDefault="00BA1338" w:rsidP="004F2AF2">
            <w:pPr>
              <w:spacing w:line="240" w:lineRule="auto"/>
              <w:rPr>
                <w:rFonts w:cs="Arial"/>
                <w:sz w:val="18"/>
                <w:szCs w:val="18"/>
              </w:rPr>
            </w:pPr>
          </w:p>
        </w:tc>
        <w:tc>
          <w:tcPr>
            <w:tcW w:w="531" w:type="pct"/>
            <w:vMerge/>
            <w:tcBorders>
              <w:left w:val="nil"/>
              <w:right w:val="single" w:sz="4" w:space="0" w:color="auto"/>
            </w:tcBorders>
            <w:vAlign w:val="center"/>
          </w:tcPr>
          <w:p w14:paraId="3331135A" w14:textId="77777777" w:rsidR="00BA1338" w:rsidRPr="00545EC0" w:rsidRDefault="00BA1338" w:rsidP="004F2AF2">
            <w:pPr>
              <w:spacing w:line="240" w:lineRule="auto"/>
              <w:rPr>
                <w:rFonts w:cs="Arial"/>
                <w:sz w:val="18"/>
                <w:szCs w:val="18"/>
              </w:rPr>
            </w:pPr>
          </w:p>
        </w:tc>
        <w:tc>
          <w:tcPr>
            <w:tcW w:w="1969" w:type="pct"/>
            <w:tcBorders>
              <w:top w:val="nil"/>
              <w:left w:val="single" w:sz="4" w:space="0" w:color="auto"/>
              <w:bottom w:val="single" w:sz="4" w:space="0" w:color="auto"/>
              <w:right w:val="single" w:sz="4" w:space="0" w:color="auto"/>
            </w:tcBorders>
            <w:shd w:val="clear" w:color="auto" w:fill="auto"/>
            <w:noWrap/>
            <w:vAlign w:val="bottom"/>
            <w:hideMark/>
          </w:tcPr>
          <w:p w14:paraId="7CC03B95" w14:textId="77777777" w:rsidR="00BA1338" w:rsidRPr="00545EC0" w:rsidRDefault="00BA1338" w:rsidP="004F2AF2">
            <w:pPr>
              <w:spacing w:line="240" w:lineRule="auto"/>
              <w:rPr>
                <w:rFonts w:cs="Arial"/>
                <w:sz w:val="18"/>
                <w:szCs w:val="18"/>
              </w:rPr>
            </w:pPr>
            <w:r w:rsidRPr="00545EC0">
              <w:rPr>
                <w:rFonts w:cs="Arial"/>
                <w:sz w:val="18"/>
                <w:szCs w:val="18"/>
              </w:rPr>
              <w:t>Braslovško jezero</w:t>
            </w:r>
          </w:p>
        </w:tc>
      </w:tr>
      <w:tr w:rsidR="00A34D38" w:rsidRPr="00545EC0" w14:paraId="33F626E3" w14:textId="77777777" w:rsidTr="00A34D38">
        <w:trPr>
          <w:trHeight w:val="227"/>
          <w:tblHeader/>
        </w:trPr>
        <w:tc>
          <w:tcPr>
            <w:tcW w:w="654" w:type="pct"/>
            <w:tcBorders>
              <w:top w:val="nil"/>
              <w:left w:val="single" w:sz="4" w:space="0" w:color="auto"/>
              <w:bottom w:val="single" w:sz="4" w:space="0" w:color="auto"/>
              <w:right w:val="single" w:sz="4" w:space="0" w:color="auto"/>
            </w:tcBorders>
            <w:shd w:val="clear" w:color="auto" w:fill="auto"/>
            <w:noWrap/>
            <w:vAlign w:val="bottom"/>
            <w:hideMark/>
          </w:tcPr>
          <w:p w14:paraId="19434149" w14:textId="77777777" w:rsidR="00BA1338" w:rsidRPr="00545EC0" w:rsidRDefault="00BA1338" w:rsidP="004F2AF2">
            <w:pPr>
              <w:spacing w:line="240" w:lineRule="auto"/>
              <w:rPr>
                <w:rFonts w:cs="Arial"/>
                <w:sz w:val="18"/>
                <w:szCs w:val="18"/>
              </w:rPr>
            </w:pPr>
            <w:r w:rsidRPr="00545EC0">
              <w:rPr>
                <w:rFonts w:cs="Arial"/>
                <w:sz w:val="18"/>
                <w:szCs w:val="18"/>
              </w:rPr>
              <w:t>SI1668VT</w:t>
            </w:r>
          </w:p>
        </w:tc>
        <w:tc>
          <w:tcPr>
            <w:tcW w:w="1847" w:type="pct"/>
            <w:tcBorders>
              <w:top w:val="nil"/>
              <w:left w:val="nil"/>
              <w:bottom w:val="single" w:sz="4" w:space="0" w:color="auto"/>
              <w:right w:val="single" w:sz="4" w:space="0" w:color="auto"/>
            </w:tcBorders>
            <w:shd w:val="clear" w:color="auto" w:fill="auto"/>
            <w:noWrap/>
            <w:vAlign w:val="bottom"/>
            <w:hideMark/>
          </w:tcPr>
          <w:p w14:paraId="442C5214" w14:textId="77777777" w:rsidR="00BA1338" w:rsidRPr="00545EC0" w:rsidRDefault="00BA1338" w:rsidP="004F2AF2">
            <w:pPr>
              <w:spacing w:line="240" w:lineRule="auto"/>
              <w:rPr>
                <w:rFonts w:cs="Arial"/>
                <w:sz w:val="18"/>
                <w:szCs w:val="18"/>
              </w:rPr>
            </w:pPr>
            <w:r w:rsidRPr="00545EC0">
              <w:rPr>
                <w:rFonts w:cs="Arial"/>
                <w:sz w:val="18"/>
                <w:szCs w:val="18"/>
              </w:rPr>
              <w:t>MPVT zadrževalnik Šmartinsko jezero</w:t>
            </w:r>
          </w:p>
        </w:tc>
        <w:tc>
          <w:tcPr>
            <w:tcW w:w="531" w:type="pct"/>
            <w:vMerge/>
            <w:tcBorders>
              <w:left w:val="nil"/>
              <w:right w:val="single" w:sz="4" w:space="0" w:color="auto"/>
            </w:tcBorders>
            <w:vAlign w:val="center"/>
          </w:tcPr>
          <w:p w14:paraId="7355AAD2" w14:textId="77777777" w:rsidR="00BA1338" w:rsidRPr="00545EC0" w:rsidRDefault="00BA1338" w:rsidP="004F2AF2">
            <w:pPr>
              <w:spacing w:line="240" w:lineRule="auto"/>
              <w:rPr>
                <w:rFonts w:cs="Arial"/>
                <w:sz w:val="18"/>
                <w:szCs w:val="18"/>
              </w:rPr>
            </w:pPr>
          </w:p>
        </w:tc>
        <w:tc>
          <w:tcPr>
            <w:tcW w:w="1969" w:type="pct"/>
            <w:tcBorders>
              <w:top w:val="nil"/>
              <w:left w:val="single" w:sz="4" w:space="0" w:color="auto"/>
              <w:bottom w:val="single" w:sz="4" w:space="0" w:color="auto"/>
              <w:right w:val="single" w:sz="4" w:space="0" w:color="auto"/>
            </w:tcBorders>
            <w:shd w:val="clear" w:color="auto" w:fill="auto"/>
            <w:noWrap/>
            <w:vAlign w:val="bottom"/>
            <w:hideMark/>
          </w:tcPr>
          <w:p w14:paraId="38872729" w14:textId="77777777" w:rsidR="00BA1338" w:rsidRPr="00545EC0" w:rsidRDefault="00BA1338" w:rsidP="004F2AF2">
            <w:pPr>
              <w:spacing w:line="240" w:lineRule="auto"/>
              <w:rPr>
                <w:rFonts w:cs="Arial"/>
                <w:sz w:val="18"/>
                <w:szCs w:val="18"/>
              </w:rPr>
            </w:pPr>
            <w:r w:rsidRPr="00545EC0">
              <w:rPr>
                <w:rFonts w:cs="Arial"/>
                <w:sz w:val="18"/>
                <w:szCs w:val="18"/>
              </w:rPr>
              <w:t>Šmartinsko jezero</w:t>
            </w:r>
          </w:p>
        </w:tc>
      </w:tr>
      <w:tr w:rsidR="00A34D38" w:rsidRPr="00545EC0" w14:paraId="1980B99C" w14:textId="77777777" w:rsidTr="00A34D38">
        <w:trPr>
          <w:trHeight w:val="227"/>
          <w:tblHeader/>
        </w:trPr>
        <w:tc>
          <w:tcPr>
            <w:tcW w:w="654" w:type="pct"/>
            <w:tcBorders>
              <w:top w:val="nil"/>
              <w:left w:val="single" w:sz="4" w:space="0" w:color="auto"/>
              <w:bottom w:val="single" w:sz="4" w:space="0" w:color="auto"/>
              <w:right w:val="single" w:sz="4" w:space="0" w:color="auto"/>
            </w:tcBorders>
            <w:shd w:val="clear" w:color="auto" w:fill="auto"/>
            <w:noWrap/>
            <w:vAlign w:val="bottom"/>
            <w:hideMark/>
          </w:tcPr>
          <w:p w14:paraId="053EA7E3" w14:textId="77777777" w:rsidR="00BA1338" w:rsidRPr="00545EC0" w:rsidRDefault="00BA1338" w:rsidP="004F2AF2">
            <w:pPr>
              <w:spacing w:line="240" w:lineRule="auto"/>
              <w:rPr>
                <w:rFonts w:cs="Arial"/>
                <w:sz w:val="18"/>
                <w:szCs w:val="18"/>
              </w:rPr>
            </w:pPr>
            <w:r w:rsidRPr="00545EC0">
              <w:rPr>
                <w:rFonts w:cs="Arial"/>
                <w:sz w:val="18"/>
                <w:szCs w:val="18"/>
              </w:rPr>
              <w:t>SI168VT3</w:t>
            </w:r>
          </w:p>
        </w:tc>
        <w:tc>
          <w:tcPr>
            <w:tcW w:w="1847" w:type="pct"/>
            <w:tcBorders>
              <w:top w:val="nil"/>
              <w:left w:val="nil"/>
              <w:bottom w:val="single" w:sz="4" w:space="0" w:color="auto"/>
              <w:right w:val="single" w:sz="4" w:space="0" w:color="auto"/>
            </w:tcBorders>
            <w:shd w:val="clear" w:color="auto" w:fill="auto"/>
            <w:noWrap/>
            <w:vAlign w:val="bottom"/>
            <w:hideMark/>
          </w:tcPr>
          <w:p w14:paraId="4FBB65A3" w14:textId="77777777" w:rsidR="00BA1338" w:rsidRPr="00545EC0" w:rsidRDefault="00BA1338" w:rsidP="004F2AF2">
            <w:pPr>
              <w:spacing w:line="240" w:lineRule="auto"/>
              <w:rPr>
                <w:rFonts w:cs="Arial"/>
                <w:sz w:val="18"/>
                <w:szCs w:val="18"/>
              </w:rPr>
            </w:pPr>
            <w:r w:rsidRPr="00545EC0">
              <w:rPr>
                <w:rFonts w:cs="Arial"/>
                <w:sz w:val="18"/>
                <w:szCs w:val="18"/>
              </w:rPr>
              <w:t>MPVT zadrževalnik Slivniško jezero</w:t>
            </w:r>
          </w:p>
        </w:tc>
        <w:tc>
          <w:tcPr>
            <w:tcW w:w="531" w:type="pct"/>
            <w:vMerge/>
            <w:tcBorders>
              <w:left w:val="nil"/>
              <w:bottom w:val="single" w:sz="4" w:space="0" w:color="auto"/>
              <w:right w:val="single" w:sz="4" w:space="0" w:color="auto"/>
            </w:tcBorders>
            <w:vAlign w:val="center"/>
          </w:tcPr>
          <w:p w14:paraId="63370491" w14:textId="77777777" w:rsidR="00BA1338" w:rsidRPr="00545EC0" w:rsidRDefault="00BA1338" w:rsidP="004F2AF2">
            <w:pPr>
              <w:spacing w:line="240" w:lineRule="auto"/>
              <w:rPr>
                <w:rFonts w:cs="Arial"/>
                <w:sz w:val="18"/>
                <w:szCs w:val="18"/>
              </w:rPr>
            </w:pPr>
          </w:p>
        </w:tc>
        <w:tc>
          <w:tcPr>
            <w:tcW w:w="1969" w:type="pct"/>
            <w:tcBorders>
              <w:top w:val="nil"/>
              <w:left w:val="single" w:sz="4" w:space="0" w:color="auto"/>
              <w:bottom w:val="single" w:sz="4" w:space="0" w:color="auto"/>
              <w:right w:val="single" w:sz="4" w:space="0" w:color="auto"/>
            </w:tcBorders>
            <w:shd w:val="clear" w:color="auto" w:fill="auto"/>
            <w:noWrap/>
            <w:vAlign w:val="bottom"/>
            <w:hideMark/>
          </w:tcPr>
          <w:p w14:paraId="50B70D29" w14:textId="77777777" w:rsidR="00BA1338" w:rsidRPr="00545EC0" w:rsidRDefault="00BA1338" w:rsidP="004F2AF2">
            <w:pPr>
              <w:spacing w:line="240" w:lineRule="auto"/>
              <w:rPr>
                <w:rFonts w:cs="Arial"/>
                <w:sz w:val="18"/>
                <w:szCs w:val="18"/>
              </w:rPr>
            </w:pPr>
            <w:r w:rsidRPr="00545EC0">
              <w:rPr>
                <w:rFonts w:cs="Arial"/>
                <w:sz w:val="18"/>
                <w:szCs w:val="18"/>
              </w:rPr>
              <w:t>Slivniško jezero</w:t>
            </w:r>
          </w:p>
        </w:tc>
      </w:tr>
      <w:tr w:rsidR="00A34D38" w:rsidRPr="00545EC0" w14:paraId="3038A6B7" w14:textId="77777777" w:rsidTr="00A34D38">
        <w:trPr>
          <w:trHeight w:val="227"/>
          <w:tblHeader/>
        </w:trPr>
        <w:tc>
          <w:tcPr>
            <w:tcW w:w="654" w:type="pct"/>
            <w:tcBorders>
              <w:top w:val="nil"/>
              <w:left w:val="single" w:sz="4" w:space="0" w:color="auto"/>
              <w:bottom w:val="single" w:sz="4" w:space="0" w:color="auto"/>
              <w:right w:val="single" w:sz="4" w:space="0" w:color="auto"/>
            </w:tcBorders>
            <w:shd w:val="clear" w:color="auto" w:fill="auto"/>
            <w:noWrap/>
            <w:vAlign w:val="bottom"/>
            <w:hideMark/>
          </w:tcPr>
          <w:p w14:paraId="7A5D55BB" w14:textId="77777777" w:rsidR="00BA1338" w:rsidRPr="00545EC0" w:rsidRDefault="00BA1338" w:rsidP="004F2AF2">
            <w:pPr>
              <w:spacing w:line="240" w:lineRule="auto"/>
              <w:rPr>
                <w:rFonts w:cs="Arial"/>
                <w:sz w:val="18"/>
                <w:szCs w:val="18"/>
              </w:rPr>
            </w:pPr>
            <w:r w:rsidRPr="00545EC0">
              <w:rPr>
                <w:rFonts w:cs="Arial"/>
                <w:sz w:val="18"/>
                <w:szCs w:val="18"/>
              </w:rPr>
              <w:t>SI368VT9</w:t>
            </w:r>
          </w:p>
        </w:tc>
        <w:tc>
          <w:tcPr>
            <w:tcW w:w="184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9AEF2BF" w14:textId="77777777" w:rsidR="00BA1338" w:rsidRPr="00545EC0" w:rsidRDefault="00BA1338" w:rsidP="004F2AF2">
            <w:pPr>
              <w:spacing w:line="240" w:lineRule="auto"/>
              <w:rPr>
                <w:rFonts w:cs="Arial"/>
                <w:sz w:val="18"/>
                <w:szCs w:val="18"/>
              </w:rPr>
            </w:pPr>
            <w:r w:rsidRPr="00545EC0">
              <w:rPr>
                <w:rFonts w:cs="Arial"/>
                <w:sz w:val="18"/>
                <w:szCs w:val="18"/>
              </w:rPr>
              <w:t>VT Polskava Zgornja Polskava - Tržec</w:t>
            </w:r>
          </w:p>
        </w:tc>
        <w:tc>
          <w:tcPr>
            <w:tcW w:w="531" w:type="pct"/>
            <w:vMerge w:val="restart"/>
            <w:tcBorders>
              <w:top w:val="single" w:sz="4" w:space="0" w:color="auto"/>
              <w:left w:val="nil"/>
              <w:right w:val="single" w:sz="4" w:space="0" w:color="auto"/>
            </w:tcBorders>
            <w:vAlign w:val="center"/>
          </w:tcPr>
          <w:p w14:paraId="77A38757" w14:textId="77777777" w:rsidR="00BA1338" w:rsidRPr="00545EC0" w:rsidRDefault="00BA1338" w:rsidP="004F2AF2">
            <w:pPr>
              <w:spacing w:line="240" w:lineRule="auto"/>
              <w:rPr>
                <w:rFonts w:cs="Arial"/>
                <w:sz w:val="18"/>
                <w:szCs w:val="18"/>
              </w:rPr>
            </w:pPr>
            <w:r w:rsidRPr="00545EC0">
              <w:rPr>
                <w:rFonts w:cs="Arial"/>
                <w:sz w:val="18"/>
                <w:szCs w:val="18"/>
              </w:rPr>
              <w:t>Drava</w:t>
            </w:r>
          </w:p>
        </w:tc>
        <w:tc>
          <w:tcPr>
            <w:tcW w:w="1969" w:type="pct"/>
            <w:tcBorders>
              <w:top w:val="nil"/>
              <w:left w:val="single" w:sz="4" w:space="0" w:color="auto"/>
              <w:bottom w:val="single" w:sz="4" w:space="0" w:color="auto"/>
              <w:right w:val="single" w:sz="4" w:space="0" w:color="auto"/>
            </w:tcBorders>
            <w:shd w:val="clear" w:color="auto" w:fill="auto"/>
            <w:noWrap/>
            <w:vAlign w:val="bottom"/>
            <w:hideMark/>
          </w:tcPr>
          <w:p w14:paraId="578BFB68" w14:textId="77777777" w:rsidR="00BA1338" w:rsidRPr="00545EC0" w:rsidRDefault="00BA1338" w:rsidP="004F2AF2">
            <w:pPr>
              <w:spacing w:line="240" w:lineRule="auto"/>
              <w:rPr>
                <w:rFonts w:cs="Arial"/>
                <w:sz w:val="18"/>
                <w:szCs w:val="18"/>
              </w:rPr>
            </w:pPr>
            <w:r w:rsidRPr="00545EC0">
              <w:rPr>
                <w:rFonts w:cs="Arial"/>
                <w:sz w:val="18"/>
                <w:szCs w:val="18"/>
              </w:rPr>
              <w:t>Zadrževalnik Medvedce</w:t>
            </w:r>
          </w:p>
        </w:tc>
      </w:tr>
      <w:tr w:rsidR="00A34D38" w:rsidRPr="00545EC0" w14:paraId="5079CC19" w14:textId="77777777" w:rsidTr="00A34D38">
        <w:trPr>
          <w:trHeight w:val="227"/>
          <w:tblHeader/>
        </w:trPr>
        <w:tc>
          <w:tcPr>
            <w:tcW w:w="654" w:type="pct"/>
            <w:tcBorders>
              <w:top w:val="nil"/>
              <w:left w:val="single" w:sz="4" w:space="0" w:color="auto"/>
              <w:bottom w:val="single" w:sz="4" w:space="0" w:color="auto"/>
              <w:right w:val="single" w:sz="4" w:space="0" w:color="auto"/>
            </w:tcBorders>
            <w:shd w:val="clear" w:color="auto" w:fill="auto"/>
            <w:noWrap/>
            <w:vAlign w:val="bottom"/>
            <w:hideMark/>
          </w:tcPr>
          <w:p w14:paraId="08607D78" w14:textId="77777777" w:rsidR="00BA1338" w:rsidRPr="00545EC0" w:rsidRDefault="00BA1338" w:rsidP="004F2AF2">
            <w:pPr>
              <w:spacing w:line="240" w:lineRule="auto"/>
              <w:rPr>
                <w:rFonts w:cs="Arial"/>
                <w:sz w:val="18"/>
                <w:szCs w:val="18"/>
              </w:rPr>
            </w:pPr>
            <w:r w:rsidRPr="00545EC0">
              <w:rPr>
                <w:rFonts w:cs="Arial"/>
                <w:sz w:val="18"/>
                <w:szCs w:val="18"/>
              </w:rPr>
              <w:t>SI368VT9</w:t>
            </w:r>
          </w:p>
        </w:tc>
        <w:tc>
          <w:tcPr>
            <w:tcW w:w="1847" w:type="pct"/>
            <w:vMerge/>
            <w:tcBorders>
              <w:top w:val="nil"/>
              <w:left w:val="single" w:sz="4" w:space="0" w:color="auto"/>
              <w:bottom w:val="single" w:sz="4" w:space="0" w:color="000000"/>
              <w:right w:val="single" w:sz="4" w:space="0" w:color="auto"/>
            </w:tcBorders>
            <w:vAlign w:val="center"/>
            <w:hideMark/>
          </w:tcPr>
          <w:p w14:paraId="78BA26E7" w14:textId="77777777" w:rsidR="00BA1338" w:rsidRPr="00545EC0" w:rsidRDefault="00BA1338" w:rsidP="004F2AF2">
            <w:pPr>
              <w:spacing w:line="240" w:lineRule="auto"/>
              <w:rPr>
                <w:rFonts w:cs="Arial"/>
                <w:sz w:val="18"/>
                <w:szCs w:val="18"/>
              </w:rPr>
            </w:pPr>
          </w:p>
        </w:tc>
        <w:tc>
          <w:tcPr>
            <w:tcW w:w="531" w:type="pct"/>
            <w:vMerge/>
            <w:tcBorders>
              <w:left w:val="nil"/>
              <w:right w:val="single" w:sz="4" w:space="0" w:color="auto"/>
            </w:tcBorders>
            <w:vAlign w:val="center"/>
          </w:tcPr>
          <w:p w14:paraId="1873629B" w14:textId="77777777" w:rsidR="00BA1338" w:rsidRPr="00545EC0" w:rsidRDefault="00BA1338" w:rsidP="004F2AF2">
            <w:pPr>
              <w:spacing w:line="240" w:lineRule="auto"/>
              <w:rPr>
                <w:rFonts w:cs="Arial"/>
                <w:sz w:val="18"/>
                <w:szCs w:val="18"/>
              </w:rPr>
            </w:pPr>
          </w:p>
        </w:tc>
        <w:tc>
          <w:tcPr>
            <w:tcW w:w="1969" w:type="pct"/>
            <w:tcBorders>
              <w:top w:val="nil"/>
              <w:left w:val="single" w:sz="4" w:space="0" w:color="auto"/>
              <w:bottom w:val="single" w:sz="4" w:space="0" w:color="auto"/>
              <w:right w:val="single" w:sz="4" w:space="0" w:color="auto"/>
            </w:tcBorders>
            <w:shd w:val="clear" w:color="auto" w:fill="auto"/>
            <w:noWrap/>
            <w:vAlign w:val="bottom"/>
            <w:hideMark/>
          </w:tcPr>
          <w:p w14:paraId="1D9AA35C" w14:textId="77777777" w:rsidR="00BA1338" w:rsidRPr="00545EC0" w:rsidRDefault="00BA1338" w:rsidP="004F2AF2">
            <w:pPr>
              <w:spacing w:line="240" w:lineRule="auto"/>
              <w:rPr>
                <w:rFonts w:cs="Arial"/>
                <w:sz w:val="18"/>
                <w:szCs w:val="18"/>
              </w:rPr>
            </w:pPr>
            <w:r w:rsidRPr="00545EC0">
              <w:rPr>
                <w:rFonts w:cs="Arial"/>
                <w:sz w:val="18"/>
                <w:szCs w:val="18"/>
              </w:rPr>
              <w:t>Zadrževalnik Požeg</w:t>
            </w:r>
          </w:p>
        </w:tc>
      </w:tr>
      <w:tr w:rsidR="00A34D38" w:rsidRPr="00545EC0" w14:paraId="437ED3B7" w14:textId="77777777" w:rsidTr="00A34D38">
        <w:trPr>
          <w:trHeight w:val="227"/>
          <w:tblHeader/>
        </w:trPr>
        <w:tc>
          <w:tcPr>
            <w:tcW w:w="654" w:type="pct"/>
            <w:tcBorders>
              <w:top w:val="nil"/>
              <w:left w:val="single" w:sz="4" w:space="0" w:color="auto"/>
              <w:bottom w:val="single" w:sz="4" w:space="0" w:color="auto"/>
              <w:right w:val="single" w:sz="4" w:space="0" w:color="auto"/>
            </w:tcBorders>
            <w:shd w:val="clear" w:color="auto" w:fill="auto"/>
            <w:noWrap/>
            <w:vAlign w:val="bottom"/>
            <w:hideMark/>
          </w:tcPr>
          <w:p w14:paraId="6B97C674" w14:textId="77777777" w:rsidR="00BA1338" w:rsidRPr="00545EC0" w:rsidRDefault="00BA1338" w:rsidP="004F2AF2">
            <w:pPr>
              <w:spacing w:line="240" w:lineRule="auto"/>
              <w:rPr>
                <w:rFonts w:cs="Arial"/>
                <w:sz w:val="18"/>
                <w:szCs w:val="18"/>
              </w:rPr>
            </w:pPr>
            <w:r w:rsidRPr="00545EC0">
              <w:rPr>
                <w:rFonts w:cs="Arial"/>
                <w:sz w:val="18"/>
                <w:szCs w:val="18"/>
              </w:rPr>
              <w:t>SI36VT90</w:t>
            </w:r>
          </w:p>
        </w:tc>
        <w:tc>
          <w:tcPr>
            <w:tcW w:w="1847" w:type="pct"/>
            <w:tcBorders>
              <w:top w:val="nil"/>
              <w:left w:val="nil"/>
              <w:bottom w:val="single" w:sz="4" w:space="0" w:color="auto"/>
              <w:right w:val="single" w:sz="4" w:space="0" w:color="auto"/>
            </w:tcBorders>
            <w:shd w:val="clear" w:color="auto" w:fill="auto"/>
            <w:noWrap/>
            <w:vAlign w:val="bottom"/>
            <w:hideMark/>
          </w:tcPr>
          <w:p w14:paraId="38A53525" w14:textId="77777777" w:rsidR="00BA1338" w:rsidRPr="00545EC0" w:rsidRDefault="00BA1338" w:rsidP="004F2AF2">
            <w:pPr>
              <w:spacing w:line="240" w:lineRule="auto"/>
              <w:rPr>
                <w:rFonts w:cs="Arial"/>
                <w:sz w:val="18"/>
                <w:szCs w:val="18"/>
              </w:rPr>
            </w:pPr>
            <w:r w:rsidRPr="00545EC0">
              <w:rPr>
                <w:rFonts w:cs="Arial"/>
                <w:sz w:val="18"/>
                <w:szCs w:val="18"/>
              </w:rPr>
              <w:t>VT Dravinja Zreče - Videm</w:t>
            </w:r>
          </w:p>
        </w:tc>
        <w:tc>
          <w:tcPr>
            <w:tcW w:w="531" w:type="pct"/>
            <w:vMerge/>
            <w:tcBorders>
              <w:left w:val="nil"/>
              <w:right w:val="single" w:sz="4" w:space="0" w:color="auto"/>
            </w:tcBorders>
            <w:vAlign w:val="center"/>
          </w:tcPr>
          <w:p w14:paraId="34F4A096" w14:textId="77777777" w:rsidR="00BA1338" w:rsidRPr="00545EC0" w:rsidRDefault="00BA1338" w:rsidP="004F2AF2">
            <w:pPr>
              <w:spacing w:line="240" w:lineRule="auto"/>
              <w:rPr>
                <w:rFonts w:cs="Arial"/>
                <w:sz w:val="18"/>
                <w:szCs w:val="18"/>
              </w:rPr>
            </w:pPr>
          </w:p>
        </w:tc>
        <w:tc>
          <w:tcPr>
            <w:tcW w:w="1969" w:type="pct"/>
            <w:tcBorders>
              <w:top w:val="nil"/>
              <w:left w:val="single" w:sz="4" w:space="0" w:color="auto"/>
              <w:bottom w:val="single" w:sz="4" w:space="0" w:color="auto"/>
              <w:right w:val="single" w:sz="4" w:space="0" w:color="auto"/>
            </w:tcBorders>
            <w:shd w:val="clear" w:color="auto" w:fill="auto"/>
            <w:noWrap/>
            <w:vAlign w:val="bottom"/>
            <w:hideMark/>
          </w:tcPr>
          <w:p w14:paraId="27C173A9" w14:textId="77777777" w:rsidR="00BA1338" w:rsidRPr="00545EC0" w:rsidRDefault="00BA1338" w:rsidP="004F2AF2">
            <w:pPr>
              <w:spacing w:line="240" w:lineRule="auto"/>
              <w:rPr>
                <w:rFonts w:cs="Arial"/>
                <w:sz w:val="18"/>
                <w:szCs w:val="18"/>
              </w:rPr>
            </w:pPr>
            <w:r w:rsidRPr="00545EC0">
              <w:rPr>
                <w:rFonts w:cs="Arial"/>
                <w:sz w:val="18"/>
                <w:szCs w:val="18"/>
              </w:rPr>
              <w:t>Zadrževalnik Dežno</w:t>
            </w:r>
          </w:p>
        </w:tc>
      </w:tr>
      <w:tr w:rsidR="00A34D38" w:rsidRPr="00545EC0" w14:paraId="02F12B70" w14:textId="77777777" w:rsidTr="00A34D38">
        <w:trPr>
          <w:trHeight w:val="227"/>
          <w:tblHeader/>
        </w:trPr>
        <w:tc>
          <w:tcPr>
            <w:tcW w:w="654" w:type="pct"/>
            <w:tcBorders>
              <w:top w:val="nil"/>
              <w:left w:val="single" w:sz="4" w:space="0" w:color="auto"/>
              <w:bottom w:val="single" w:sz="4" w:space="0" w:color="auto"/>
              <w:right w:val="single" w:sz="4" w:space="0" w:color="auto"/>
            </w:tcBorders>
            <w:shd w:val="clear" w:color="auto" w:fill="auto"/>
            <w:noWrap/>
            <w:vAlign w:val="bottom"/>
            <w:hideMark/>
          </w:tcPr>
          <w:p w14:paraId="738CEB98" w14:textId="77777777" w:rsidR="00BA1338" w:rsidRPr="00545EC0" w:rsidRDefault="00BA1338" w:rsidP="004F2AF2">
            <w:pPr>
              <w:spacing w:line="240" w:lineRule="auto"/>
              <w:rPr>
                <w:rFonts w:cs="Arial"/>
                <w:sz w:val="18"/>
                <w:szCs w:val="18"/>
              </w:rPr>
            </w:pPr>
            <w:r w:rsidRPr="00545EC0">
              <w:rPr>
                <w:rFonts w:cs="Arial"/>
                <w:sz w:val="18"/>
                <w:szCs w:val="18"/>
              </w:rPr>
              <w:t>SI38VT34</w:t>
            </w:r>
          </w:p>
        </w:tc>
        <w:tc>
          <w:tcPr>
            <w:tcW w:w="184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0371771" w14:textId="77777777" w:rsidR="00BA1338" w:rsidRPr="00545EC0" w:rsidRDefault="00BA1338" w:rsidP="004F2AF2">
            <w:pPr>
              <w:spacing w:line="240" w:lineRule="auto"/>
              <w:rPr>
                <w:rFonts w:cs="Arial"/>
                <w:sz w:val="18"/>
                <w:szCs w:val="18"/>
              </w:rPr>
            </w:pPr>
            <w:r w:rsidRPr="00545EC0">
              <w:rPr>
                <w:rFonts w:cs="Arial"/>
                <w:sz w:val="18"/>
                <w:szCs w:val="18"/>
              </w:rPr>
              <w:t>MPVT zadrževalnik Perniško jezero</w:t>
            </w:r>
          </w:p>
        </w:tc>
        <w:tc>
          <w:tcPr>
            <w:tcW w:w="531" w:type="pct"/>
            <w:vMerge/>
            <w:tcBorders>
              <w:left w:val="nil"/>
              <w:right w:val="single" w:sz="4" w:space="0" w:color="auto"/>
            </w:tcBorders>
            <w:vAlign w:val="center"/>
          </w:tcPr>
          <w:p w14:paraId="5C8AE8D8" w14:textId="77777777" w:rsidR="00BA1338" w:rsidRPr="00545EC0" w:rsidRDefault="00BA1338" w:rsidP="004F2AF2">
            <w:pPr>
              <w:spacing w:line="240" w:lineRule="auto"/>
              <w:rPr>
                <w:rFonts w:cs="Arial"/>
                <w:sz w:val="18"/>
                <w:szCs w:val="18"/>
              </w:rPr>
            </w:pPr>
          </w:p>
        </w:tc>
        <w:tc>
          <w:tcPr>
            <w:tcW w:w="1969" w:type="pct"/>
            <w:tcBorders>
              <w:top w:val="nil"/>
              <w:left w:val="single" w:sz="4" w:space="0" w:color="auto"/>
              <w:bottom w:val="single" w:sz="4" w:space="0" w:color="auto"/>
              <w:right w:val="single" w:sz="4" w:space="0" w:color="auto"/>
            </w:tcBorders>
            <w:shd w:val="clear" w:color="auto" w:fill="auto"/>
            <w:noWrap/>
            <w:vAlign w:val="bottom"/>
            <w:hideMark/>
          </w:tcPr>
          <w:p w14:paraId="58139969" w14:textId="77777777" w:rsidR="00BA1338" w:rsidRPr="00545EC0" w:rsidRDefault="00BA1338" w:rsidP="004F2AF2">
            <w:pPr>
              <w:spacing w:line="240" w:lineRule="auto"/>
              <w:rPr>
                <w:rFonts w:cs="Arial"/>
                <w:sz w:val="18"/>
                <w:szCs w:val="18"/>
              </w:rPr>
            </w:pPr>
            <w:r w:rsidRPr="00545EC0">
              <w:rPr>
                <w:rFonts w:cs="Arial"/>
                <w:sz w:val="18"/>
                <w:szCs w:val="18"/>
              </w:rPr>
              <w:t>Perniško jezero 1</w:t>
            </w:r>
          </w:p>
        </w:tc>
      </w:tr>
      <w:tr w:rsidR="00A34D38" w:rsidRPr="00545EC0" w14:paraId="56505E2C" w14:textId="77777777" w:rsidTr="00A34D38">
        <w:trPr>
          <w:trHeight w:val="227"/>
          <w:tblHeader/>
        </w:trPr>
        <w:tc>
          <w:tcPr>
            <w:tcW w:w="654" w:type="pct"/>
            <w:tcBorders>
              <w:top w:val="nil"/>
              <w:left w:val="single" w:sz="4" w:space="0" w:color="auto"/>
              <w:bottom w:val="single" w:sz="4" w:space="0" w:color="auto"/>
              <w:right w:val="single" w:sz="4" w:space="0" w:color="auto"/>
            </w:tcBorders>
            <w:shd w:val="clear" w:color="auto" w:fill="auto"/>
            <w:noWrap/>
            <w:vAlign w:val="bottom"/>
            <w:hideMark/>
          </w:tcPr>
          <w:p w14:paraId="791C1671" w14:textId="77777777" w:rsidR="00BA1338" w:rsidRPr="00545EC0" w:rsidRDefault="00BA1338" w:rsidP="004F2AF2">
            <w:pPr>
              <w:spacing w:line="240" w:lineRule="auto"/>
              <w:rPr>
                <w:rFonts w:cs="Arial"/>
                <w:sz w:val="18"/>
                <w:szCs w:val="18"/>
              </w:rPr>
            </w:pPr>
            <w:r w:rsidRPr="00545EC0">
              <w:rPr>
                <w:rFonts w:cs="Arial"/>
                <w:sz w:val="18"/>
                <w:szCs w:val="18"/>
              </w:rPr>
              <w:t>SI38VT34</w:t>
            </w:r>
          </w:p>
        </w:tc>
        <w:tc>
          <w:tcPr>
            <w:tcW w:w="1847" w:type="pct"/>
            <w:vMerge/>
            <w:tcBorders>
              <w:top w:val="nil"/>
              <w:left w:val="single" w:sz="4" w:space="0" w:color="auto"/>
              <w:bottom w:val="single" w:sz="4" w:space="0" w:color="000000"/>
              <w:right w:val="single" w:sz="4" w:space="0" w:color="auto"/>
            </w:tcBorders>
            <w:vAlign w:val="center"/>
            <w:hideMark/>
          </w:tcPr>
          <w:p w14:paraId="4595D414" w14:textId="77777777" w:rsidR="00BA1338" w:rsidRPr="00545EC0" w:rsidRDefault="00BA1338" w:rsidP="004F2AF2">
            <w:pPr>
              <w:spacing w:line="240" w:lineRule="auto"/>
              <w:rPr>
                <w:rFonts w:cs="Arial"/>
                <w:sz w:val="18"/>
                <w:szCs w:val="18"/>
              </w:rPr>
            </w:pPr>
          </w:p>
        </w:tc>
        <w:tc>
          <w:tcPr>
            <w:tcW w:w="531" w:type="pct"/>
            <w:vMerge/>
            <w:tcBorders>
              <w:left w:val="nil"/>
              <w:right w:val="single" w:sz="4" w:space="0" w:color="auto"/>
            </w:tcBorders>
            <w:vAlign w:val="center"/>
          </w:tcPr>
          <w:p w14:paraId="1FF5EABE" w14:textId="77777777" w:rsidR="00BA1338" w:rsidRPr="00545EC0" w:rsidRDefault="00BA1338" w:rsidP="004F2AF2">
            <w:pPr>
              <w:spacing w:line="240" w:lineRule="auto"/>
              <w:rPr>
                <w:rFonts w:cs="Arial"/>
                <w:sz w:val="18"/>
                <w:szCs w:val="18"/>
              </w:rPr>
            </w:pPr>
          </w:p>
        </w:tc>
        <w:tc>
          <w:tcPr>
            <w:tcW w:w="1969" w:type="pct"/>
            <w:tcBorders>
              <w:top w:val="nil"/>
              <w:left w:val="single" w:sz="4" w:space="0" w:color="auto"/>
              <w:bottom w:val="single" w:sz="4" w:space="0" w:color="auto"/>
              <w:right w:val="single" w:sz="4" w:space="0" w:color="auto"/>
            </w:tcBorders>
            <w:shd w:val="clear" w:color="auto" w:fill="auto"/>
            <w:noWrap/>
            <w:vAlign w:val="bottom"/>
            <w:hideMark/>
          </w:tcPr>
          <w:p w14:paraId="383B4EF2" w14:textId="77777777" w:rsidR="00BA1338" w:rsidRPr="00545EC0" w:rsidRDefault="00BA1338" w:rsidP="004F2AF2">
            <w:pPr>
              <w:spacing w:line="240" w:lineRule="auto"/>
              <w:rPr>
                <w:rFonts w:cs="Arial"/>
                <w:sz w:val="18"/>
                <w:szCs w:val="18"/>
              </w:rPr>
            </w:pPr>
            <w:r w:rsidRPr="00545EC0">
              <w:rPr>
                <w:rFonts w:cs="Arial"/>
                <w:sz w:val="18"/>
                <w:szCs w:val="18"/>
              </w:rPr>
              <w:t>Perniško jezero 2</w:t>
            </w:r>
          </w:p>
        </w:tc>
      </w:tr>
      <w:tr w:rsidR="00A34D38" w:rsidRPr="00545EC0" w14:paraId="15FB95A1" w14:textId="77777777" w:rsidTr="00A34D38">
        <w:trPr>
          <w:trHeight w:val="227"/>
          <w:tblHeader/>
        </w:trPr>
        <w:tc>
          <w:tcPr>
            <w:tcW w:w="65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439AA07" w14:textId="77777777" w:rsidR="00BA1338" w:rsidRPr="00545EC0" w:rsidRDefault="00BA1338" w:rsidP="004F2AF2">
            <w:pPr>
              <w:spacing w:line="240" w:lineRule="auto"/>
              <w:rPr>
                <w:rFonts w:cs="Arial"/>
                <w:sz w:val="18"/>
                <w:szCs w:val="18"/>
              </w:rPr>
            </w:pPr>
            <w:r w:rsidRPr="00545EC0">
              <w:rPr>
                <w:rFonts w:cs="Arial"/>
                <w:sz w:val="18"/>
                <w:szCs w:val="18"/>
              </w:rPr>
              <w:t>SI38VT90</w:t>
            </w:r>
          </w:p>
        </w:tc>
        <w:tc>
          <w:tcPr>
            <w:tcW w:w="184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33CCBE7" w14:textId="77777777" w:rsidR="00BA1338" w:rsidRPr="00545EC0" w:rsidRDefault="00BA1338" w:rsidP="004F2AF2">
            <w:pPr>
              <w:spacing w:line="240" w:lineRule="auto"/>
              <w:rPr>
                <w:rFonts w:cs="Arial"/>
                <w:sz w:val="18"/>
                <w:szCs w:val="18"/>
              </w:rPr>
            </w:pPr>
            <w:r w:rsidRPr="00545EC0">
              <w:rPr>
                <w:rFonts w:cs="Arial"/>
                <w:sz w:val="18"/>
                <w:szCs w:val="18"/>
              </w:rPr>
              <w:t>VT Pesnica zadrževalnik Perniško jezero - Ormož</w:t>
            </w:r>
          </w:p>
        </w:tc>
        <w:tc>
          <w:tcPr>
            <w:tcW w:w="531" w:type="pct"/>
            <w:vMerge/>
            <w:tcBorders>
              <w:left w:val="nil"/>
              <w:right w:val="single" w:sz="4" w:space="0" w:color="auto"/>
            </w:tcBorders>
            <w:vAlign w:val="center"/>
          </w:tcPr>
          <w:p w14:paraId="1E670BFA" w14:textId="77777777" w:rsidR="00BA1338" w:rsidRPr="00545EC0" w:rsidRDefault="00BA1338" w:rsidP="004F2AF2">
            <w:pPr>
              <w:spacing w:line="240" w:lineRule="auto"/>
              <w:rPr>
                <w:rFonts w:cs="Arial"/>
                <w:sz w:val="18"/>
                <w:szCs w:val="18"/>
              </w:rPr>
            </w:pPr>
          </w:p>
        </w:tc>
        <w:tc>
          <w:tcPr>
            <w:tcW w:w="1969" w:type="pct"/>
            <w:tcBorders>
              <w:top w:val="nil"/>
              <w:left w:val="single" w:sz="4" w:space="0" w:color="auto"/>
              <w:bottom w:val="single" w:sz="4" w:space="0" w:color="auto"/>
              <w:right w:val="single" w:sz="4" w:space="0" w:color="auto"/>
            </w:tcBorders>
            <w:shd w:val="clear" w:color="auto" w:fill="auto"/>
            <w:noWrap/>
            <w:vAlign w:val="bottom"/>
            <w:hideMark/>
          </w:tcPr>
          <w:p w14:paraId="72432BFE" w14:textId="77777777" w:rsidR="00BA1338" w:rsidRPr="00545EC0" w:rsidRDefault="00BA1338" w:rsidP="004F2AF2">
            <w:pPr>
              <w:spacing w:line="240" w:lineRule="auto"/>
              <w:rPr>
                <w:rFonts w:cs="Arial"/>
                <w:sz w:val="18"/>
                <w:szCs w:val="18"/>
              </w:rPr>
            </w:pPr>
            <w:r w:rsidRPr="00545EC0">
              <w:rPr>
                <w:rFonts w:cs="Arial"/>
                <w:sz w:val="18"/>
                <w:szCs w:val="18"/>
              </w:rPr>
              <w:t>Zadrževalnik Pristava</w:t>
            </w:r>
          </w:p>
        </w:tc>
      </w:tr>
      <w:tr w:rsidR="00A34D38" w:rsidRPr="00545EC0" w14:paraId="3956D63B" w14:textId="77777777" w:rsidTr="00A34D38">
        <w:trPr>
          <w:trHeight w:val="227"/>
          <w:tblHeader/>
        </w:trPr>
        <w:tc>
          <w:tcPr>
            <w:tcW w:w="654" w:type="pct"/>
            <w:vMerge/>
            <w:tcBorders>
              <w:top w:val="nil"/>
              <w:left w:val="single" w:sz="4" w:space="0" w:color="auto"/>
              <w:bottom w:val="single" w:sz="4" w:space="0" w:color="000000"/>
              <w:right w:val="single" w:sz="4" w:space="0" w:color="auto"/>
            </w:tcBorders>
            <w:vAlign w:val="center"/>
            <w:hideMark/>
          </w:tcPr>
          <w:p w14:paraId="6FA7F99B" w14:textId="77777777" w:rsidR="00BA1338" w:rsidRPr="00545EC0" w:rsidRDefault="00BA1338" w:rsidP="004F2AF2">
            <w:pPr>
              <w:spacing w:line="240" w:lineRule="auto"/>
              <w:rPr>
                <w:rFonts w:cs="Arial"/>
                <w:sz w:val="18"/>
                <w:szCs w:val="18"/>
              </w:rPr>
            </w:pPr>
          </w:p>
        </w:tc>
        <w:tc>
          <w:tcPr>
            <w:tcW w:w="1847" w:type="pct"/>
            <w:vMerge/>
            <w:tcBorders>
              <w:top w:val="nil"/>
              <w:left w:val="single" w:sz="4" w:space="0" w:color="auto"/>
              <w:bottom w:val="single" w:sz="4" w:space="0" w:color="000000"/>
              <w:right w:val="single" w:sz="4" w:space="0" w:color="auto"/>
            </w:tcBorders>
            <w:vAlign w:val="center"/>
            <w:hideMark/>
          </w:tcPr>
          <w:p w14:paraId="1A1FB163" w14:textId="77777777" w:rsidR="00BA1338" w:rsidRPr="00545EC0" w:rsidRDefault="00BA1338" w:rsidP="004F2AF2">
            <w:pPr>
              <w:spacing w:line="240" w:lineRule="auto"/>
              <w:rPr>
                <w:rFonts w:cs="Arial"/>
                <w:sz w:val="18"/>
                <w:szCs w:val="18"/>
              </w:rPr>
            </w:pPr>
          </w:p>
        </w:tc>
        <w:tc>
          <w:tcPr>
            <w:tcW w:w="531" w:type="pct"/>
            <w:vMerge/>
            <w:tcBorders>
              <w:left w:val="nil"/>
              <w:right w:val="single" w:sz="4" w:space="0" w:color="auto"/>
            </w:tcBorders>
            <w:vAlign w:val="center"/>
          </w:tcPr>
          <w:p w14:paraId="4CE4E307" w14:textId="77777777" w:rsidR="00BA1338" w:rsidRPr="00545EC0" w:rsidRDefault="00BA1338" w:rsidP="004F2AF2">
            <w:pPr>
              <w:spacing w:line="240" w:lineRule="auto"/>
              <w:rPr>
                <w:rFonts w:cs="Arial"/>
                <w:sz w:val="18"/>
                <w:szCs w:val="18"/>
              </w:rPr>
            </w:pPr>
          </w:p>
        </w:tc>
        <w:tc>
          <w:tcPr>
            <w:tcW w:w="1969" w:type="pct"/>
            <w:tcBorders>
              <w:top w:val="nil"/>
              <w:left w:val="single" w:sz="4" w:space="0" w:color="auto"/>
              <w:bottom w:val="single" w:sz="4" w:space="0" w:color="auto"/>
              <w:right w:val="single" w:sz="4" w:space="0" w:color="auto"/>
            </w:tcBorders>
            <w:shd w:val="clear" w:color="auto" w:fill="auto"/>
            <w:noWrap/>
            <w:vAlign w:val="bottom"/>
            <w:hideMark/>
          </w:tcPr>
          <w:p w14:paraId="03E66900" w14:textId="77777777" w:rsidR="00BA1338" w:rsidRPr="00545EC0" w:rsidRDefault="00BA1338" w:rsidP="004F2AF2">
            <w:pPr>
              <w:spacing w:line="240" w:lineRule="auto"/>
              <w:rPr>
                <w:rFonts w:cs="Arial"/>
                <w:sz w:val="18"/>
                <w:szCs w:val="18"/>
              </w:rPr>
            </w:pPr>
            <w:r w:rsidRPr="00545EC0">
              <w:rPr>
                <w:rFonts w:cs="Arial"/>
                <w:sz w:val="18"/>
                <w:szCs w:val="18"/>
              </w:rPr>
              <w:t>Zadrževalnik Radehova</w:t>
            </w:r>
          </w:p>
        </w:tc>
      </w:tr>
      <w:tr w:rsidR="00A34D38" w:rsidRPr="00545EC0" w14:paraId="5AAC1EC1" w14:textId="77777777" w:rsidTr="00A34D38">
        <w:trPr>
          <w:trHeight w:val="227"/>
          <w:tblHeader/>
        </w:trPr>
        <w:tc>
          <w:tcPr>
            <w:tcW w:w="654" w:type="pct"/>
            <w:vMerge/>
            <w:tcBorders>
              <w:top w:val="nil"/>
              <w:left w:val="single" w:sz="4" w:space="0" w:color="auto"/>
              <w:bottom w:val="single" w:sz="4" w:space="0" w:color="000000"/>
              <w:right w:val="single" w:sz="4" w:space="0" w:color="auto"/>
            </w:tcBorders>
            <w:vAlign w:val="center"/>
            <w:hideMark/>
          </w:tcPr>
          <w:p w14:paraId="536555DF" w14:textId="77777777" w:rsidR="00BA1338" w:rsidRPr="00545EC0" w:rsidRDefault="00BA1338" w:rsidP="004F2AF2">
            <w:pPr>
              <w:spacing w:line="240" w:lineRule="auto"/>
              <w:rPr>
                <w:rFonts w:cs="Arial"/>
                <w:sz w:val="18"/>
                <w:szCs w:val="18"/>
              </w:rPr>
            </w:pPr>
          </w:p>
        </w:tc>
        <w:tc>
          <w:tcPr>
            <w:tcW w:w="1847" w:type="pct"/>
            <w:vMerge/>
            <w:tcBorders>
              <w:top w:val="nil"/>
              <w:left w:val="single" w:sz="4" w:space="0" w:color="auto"/>
              <w:bottom w:val="single" w:sz="4" w:space="0" w:color="000000"/>
              <w:right w:val="single" w:sz="4" w:space="0" w:color="auto"/>
            </w:tcBorders>
            <w:vAlign w:val="center"/>
            <w:hideMark/>
          </w:tcPr>
          <w:p w14:paraId="719C2DF1" w14:textId="77777777" w:rsidR="00BA1338" w:rsidRPr="00545EC0" w:rsidRDefault="00BA1338" w:rsidP="004F2AF2">
            <w:pPr>
              <w:spacing w:line="240" w:lineRule="auto"/>
              <w:rPr>
                <w:rFonts w:cs="Arial"/>
                <w:sz w:val="18"/>
                <w:szCs w:val="18"/>
              </w:rPr>
            </w:pPr>
          </w:p>
        </w:tc>
        <w:tc>
          <w:tcPr>
            <w:tcW w:w="531" w:type="pct"/>
            <w:vMerge/>
            <w:tcBorders>
              <w:left w:val="nil"/>
              <w:right w:val="single" w:sz="4" w:space="0" w:color="auto"/>
            </w:tcBorders>
            <w:vAlign w:val="center"/>
          </w:tcPr>
          <w:p w14:paraId="0F9B5FE7" w14:textId="77777777" w:rsidR="00BA1338" w:rsidRPr="00545EC0" w:rsidRDefault="00BA1338" w:rsidP="004F2AF2">
            <w:pPr>
              <w:spacing w:line="240" w:lineRule="auto"/>
              <w:rPr>
                <w:rFonts w:cs="Arial"/>
                <w:sz w:val="18"/>
                <w:szCs w:val="18"/>
              </w:rPr>
            </w:pPr>
          </w:p>
        </w:tc>
        <w:tc>
          <w:tcPr>
            <w:tcW w:w="1969" w:type="pct"/>
            <w:tcBorders>
              <w:top w:val="nil"/>
              <w:left w:val="single" w:sz="4" w:space="0" w:color="auto"/>
              <w:bottom w:val="single" w:sz="4" w:space="0" w:color="auto"/>
              <w:right w:val="single" w:sz="4" w:space="0" w:color="auto"/>
            </w:tcBorders>
            <w:shd w:val="clear" w:color="auto" w:fill="auto"/>
            <w:noWrap/>
            <w:vAlign w:val="bottom"/>
            <w:hideMark/>
          </w:tcPr>
          <w:p w14:paraId="56BAE33A" w14:textId="77777777" w:rsidR="00BA1338" w:rsidRPr="00545EC0" w:rsidRDefault="00BA1338" w:rsidP="004F2AF2">
            <w:pPr>
              <w:spacing w:line="240" w:lineRule="auto"/>
              <w:rPr>
                <w:rFonts w:cs="Arial"/>
                <w:sz w:val="18"/>
                <w:szCs w:val="18"/>
              </w:rPr>
            </w:pPr>
            <w:r w:rsidRPr="00545EC0">
              <w:rPr>
                <w:rFonts w:cs="Arial"/>
                <w:sz w:val="18"/>
                <w:szCs w:val="18"/>
              </w:rPr>
              <w:t>Zadrževalnik Savski ribnik</w:t>
            </w:r>
          </w:p>
        </w:tc>
      </w:tr>
      <w:tr w:rsidR="00A34D38" w:rsidRPr="00545EC0" w14:paraId="772974B0" w14:textId="77777777" w:rsidTr="00A34D38">
        <w:trPr>
          <w:trHeight w:val="227"/>
          <w:tblHeader/>
        </w:trPr>
        <w:tc>
          <w:tcPr>
            <w:tcW w:w="654" w:type="pct"/>
            <w:vMerge/>
            <w:tcBorders>
              <w:top w:val="nil"/>
              <w:left w:val="single" w:sz="4" w:space="0" w:color="auto"/>
              <w:bottom w:val="single" w:sz="4" w:space="0" w:color="000000"/>
              <w:right w:val="single" w:sz="4" w:space="0" w:color="auto"/>
            </w:tcBorders>
            <w:vAlign w:val="center"/>
            <w:hideMark/>
          </w:tcPr>
          <w:p w14:paraId="1824C787" w14:textId="77777777" w:rsidR="00BA1338" w:rsidRPr="00545EC0" w:rsidRDefault="00BA1338" w:rsidP="004F2AF2">
            <w:pPr>
              <w:spacing w:line="240" w:lineRule="auto"/>
              <w:rPr>
                <w:rFonts w:cs="Arial"/>
                <w:sz w:val="18"/>
                <w:szCs w:val="18"/>
              </w:rPr>
            </w:pPr>
          </w:p>
        </w:tc>
        <w:tc>
          <w:tcPr>
            <w:tcW w:w="1847" w:type="pct"/>
            <w:vMerge/>
            <w:tcBorders>
              <w:top w:val="nil"/>
              <w:left w:val="single" w:sz="4" w:space="0" w:color="auto"/>
              <w:bottom w:val="single" w:sz="4" w:space="0" w:color="000000"/>
              <w:right w:val="single" w:sz="4" w:space="0" w:color="auto"/>
            </w:tcBorders>
            <w:vAlign w:val="center"/>
            <w:hideMark/>
          </w:tcPr>
          <w:p w14:paraId="560751B8" w14:textId="77777777" w:rsidR="00BA1338" w:rsidRPr="00545EC0" w:rsidRDefault="00BA1338" w:rsidP="004F2AF2">
            <w:pPr>
              <w:spacing w:line="240" w:lineRule="auto"/>
              <w:rPr>
                <w:rFonts w:cs="Arial"/>
                <w:sz w:val="18"/>
                <w:szCs w:val="18"/>
              </w:rPr>
            </w:pPr>
          </w:p>
        </w:tc>
        <w:tc>
          <w:tcPr>
            <w:tcW w:w="531" w:type="pct"/>
            <w:vMerge/>
            <w:tcBorders>
              <w:left w:val="nil"/>
              <w:right w:val="single" w:sz="4" w:space="0" w:color="auto"/>
            </w:tcBorders>
            <w:vAlign w:val="center"/>
          </w:tcPr>
          <w:p w14:paraId="71D6EB37" w14:textId="77777777" w:rsidR="00BA1338" w:rsidRPr="00545EC0" w:rsidRDefault="00BA1338" w:rsidP="004F2AF2">
            <w:pPr>
              <w:spacing w:line="240" w:lineRule="auto"/>
              <w:rPr>
                <w:rFonts w:cs="Arial"/>
                <w:sz w:val="18"/>
                <w:szCs w:val="18"/>
              </w:rPr>
            </w:pPr>
          </w:p>
        </w:tc>
        <w:tc>
          <w:tcPr>
            <w:tcW w:w="1969" w:type="pct"/>
            <w:tcBorders>
              <w:top w:val="nil"/>
              <w:left w:val="single" w:sz="4" w:space="0" w:color="auto"/>
              <w:bottom w:val="single" w:sz="4" w:space="0" w:color="auto"/>
              <w:right w:val="single" w:sz="4" w:space="0" w:color="auto"/>
            </w:tcBorders>
            <w:shd w:val="clear" w:color="auto" w:fill="auto"/>
            <w:noWrap/>
            <w:vAlign w:val="bottom"/>
            <w:hideMark/>
          </w:tcPr>
          <w:p w14:paraId="5D0A81FB" w14:textId="77777777" w:rsidR="00BA1338" w:rsidRPr="00545EC0" w:rsidRDefault="00BA1338" w:rsidP="004F2AF2">
            <w:pPr>
              <w:spacing w:line="240" w:lineRule="auto"/>
              <w:rPr>
                <w:rFonts w:cs="Arial"/>
                <w:sz w:val="18"/>
                <w:szCs w:val="18"/>
              </w:rPr>
            </w:pPr>
            <w:r w:rsidRPr="00545EC0">
              <w:rPr>
                <w:rFonts w:cs="Arial"/>
                <w:sz w:val="18"/>
                <w:szCs w:val="18"/>
              </w:rPr>
              <w:t>Gradiško jezero</w:t>
            </w:r>
          </w:p>
        </w:tc>
      </w:tr>
      <w:tr w:rsidR="00A34D38" w:rsidRPr="00545EC0" w14:paraId="789119C4" w14:textId="77777777" w:rsidTr="00A34D38">
        <w:trPr>
          <w:trHeight w:val="227"/>
          <w:tblHeader/>
        </w:trPr>
        <w:tc>
          <w:tcPr>
            <w:tcW w:w="654" w:type="pct"/>
            <w:vMerge/>
            <w:tcBorders>
              <w:top w:val="nil"/>
              <w:left w:val="single" w:sz="4" w:space="0" w:color="auto"/>
              <w:bottom w:val="single" w:sz="4" w:space="0" w:color="000000"/>
              <w:right w:val="single" w:sz="4" w:space="0" w:color="auto"/>
            </w:tcBorders>
            <w:vAlign w:val="center"/>
            <w:hideMark/>
          </w:tcPr>
          <w:p w14:paraId="0C6E8378" w14:textId="77777777" w:rsidR="00BA1338" w:rsidRPr="00545EC0" w:rsidRDefault="00BA1338" w:rsidP="004F2AF2">
            <w:pPr>
              <w:spacing w:line="240" w:lineRule="auto"/>
              <w:rPr>
                <w:rFonts w:cs="Arial"/>
                <w:sz w:val="18"/>
                <w:szCs w:val="18"/>
              </w:rPr>
            </w:pPr>
          </w:p>
        </w:tc>
        <w:tc>
          <w:tcPr>
            <w:tcW w:w="1847" w:type="pct"/>
            <w:vMerge/>
            <w:tcBorders>
              <w:top w:val="nil"/>
              <w:left w:val="single" w:sz="4" w:space="0" w:color="auto"/>
              <w:bottom w:val="single" w:sz="4" w:space="0" w:color="000000"/>
              <w:right w:val="single" w:sz="4" w:space="0" w:color="auto"/>
            </w:tcBorders>
            <w:vAlign w:val="center"/>
            <w:hideMark/>
          </w:tcPr>
          <w:p w14:paraId="06B64BEB" w14:textId="77777777" w:rsidR="00BA1338" w:rsidRPr="00545EC0" w:rsidRDefault="00BA1338" w:rsidP="004F2AF2">
            <w:pPr>
              <w:spacing w:line="240" w:lineRule="auto"/>
              <w:rPr>
                <w:rFonts w:cs="Arial"/>
                <w:sz w:val="18"/>
                <w:szCs w:val="18"/>
              </w:rPr>
            </w:pPr>
          </w:p>
        </w:tc>
        <w:tc>
          <w:tcPr>
            <w:tcW w:w="531" w:type="pct"/>
            <w:vMerge/>
            <w:tcBorders>
              <w:left w:val="nil"/>
              <w:right w:val="single" w:sz="4" w:space="0" w:color="auto"/>
            </w:tcBorders>
            <w:vAlign w:val="center"/>
          </w:tcPr>
          <w:p w14:paraId="1A8B2820" w14:textId="77777777" w:rsidR="00BA1338" w:rsidRPr="00545EC0" w:rsidRDefault="00BA1338" w:rsidP="004F2AF2">
            <w:pPr>
              <w:spacing w:line="240" w:lineRule="auto"/>
              <w:rPr>
                <w:rFonts w:cs="Arial"/>
                <w:sz w:val="18"/>
                <w:szCs w:val="18"/>
              </w:rPr>
            </w:pPr>
          </w:p>
        </w:tc>
        <w:tc>
          <w:tcPr>
            <w:tcW w:w="1969" w:type="pct"/>
            <w:tcBorders>
              <w:top w:val="nil"/>
              <w:left w:val="single" w:sz="4" w:space="0" w:color="auto"/>
              <w:bottom w:val="single" w:sz="4" w:space="0" w:color="auto"/>
              <w:right w:val="single" w:sz="4" w:space="0" w:color="auto"/>
            </w:tcBorders>
            <w:shd w:val="clear" w:color="auto" w:fill="auto"/>
            <w:noWrap/>
            <w:vAlign w:val="bottom"/>
            <w:hideMark/>
          </w:tcPr>
          <w:p w14:paraId="678F1E7A" w14:textId="77777777" w:rsidR="00BA1338" w:rsidRPr="00545EC0" w:rsidRDefault="00BA1338" w:rsidP="004F2AF2">
            <w:pPr>
              <w:spacing w:line="240" w:lineRule="auto"/>
              <w:rPr>
                <w:rFonts w:cs="Arial"/>
                <w:sz w:val="18"/>
                <w:szCs w:val="18"/>
              </w:rPr>
            </w:pPr>
            <w:r w:rsidRPr="00545EC0">
              <w:rPr>
                <w:rFonts w:cs="Arial"/>
                <w:sz w:val="18"/>
                <w:szCs w:val="18"/>
              </w:rPr>
              <w:t>Zadrževalnik Komarnik</w:t>
            </w:r>
          </w:p>
        </w:tc>
      </w:tr>
      <w:tr w:rsidR="00A34D38" w:rsidRPr="00545EC0" w14:paraId="59EEC411" w14:textId="77777777" w:rsidTr="00A34D38">
        <w:trPr>
          <w:trHeight w:val="227"/>
          <w:tblHeader/>
        </w:trPr>
        <w:tc>
          <w:tcPr>
            <w:tcW w:w="654" w:type="pct"/>
            <w:tcBorders>
              <w:top w:val="nil"/>
              <w:left w:val="single" w:sz="4" w:space="0" w:color="auto"/>
              <w:bottom w:val="single" w:sz="4" w:space="0" w:color="auto"/>
              <w:right w:val="single" w:sz="4" w:space="0" w:color="auto"/>
            </w:tcBorders>
            <w:shd w:val="clear" w:color="auto" w:fill="auto"/>
            <w:noWrap/>
            <w:vAlign w:val="bottom"/>
            <w:hideMark/>
          </w:tcPr>
          <w:p w14:paraId="7196602C" w14:textId="77777777" w:rsidR="00BA1338" w:rsidRPr="00545EC0" w:rsidRDefault="00BA1338" w:rsidP="004F2AF2">
            <w:pPr>
              <w:spacing w:line="240" w:lineRule="auto"/>
              <w:rPr>
                <w:rFonts w:cs="Arial"/>
                <w:sz w:val="18"/>
                <w:szCs w:val="18"/>
              </w:rPr>
            </w:pPr>
            <w:r w:rsidRPr="00545EC0">
              <w:rPr>
                <w:rFonts w:cs="Arial"/>
                <w:sz w:val="18"/>
                <w:szCs w:val="18"/>
              </w:rPr>
              <w:t>SI3VT197</w:t>
            </w:r>
          </w:p>
        </w:tc>
        <w:tc>
          <w:tcPr>
            <w:tcW w:w="1847" w:type="pct"/>
            <w:tcBorders>
              <w:top w:val="nil"/>
              <w:left w:val="nil"/>
              <w:bottom w:val="single" w:sz="4" w:space="0" w:color="auto"/>
              <w:right w:val="single" w:sz="4" w:space="0" w:color="auto"/>
            </w:tcBorders>
            <w:shd w:val="clear" w:color="auto" w:fill="auto"/>
            <w:noWrap/>
            <w:vAlign w:val="bottom"/>
            <w:hideMark/>
          </w:tcPr>
          <w:p w14:paraId="30F46E72" w14:textId="77777777" w:rsidR="00BA1338" w:rsidRPr="00545EC0" w:rsidRDefault="00BA1338" w:rsidP="004F2AF2">
            <w:pPr>
              <w:spacing w:line="240" w:lineRule="auto"/>
              <w:rPr>
                <w:rFonts w:cs="Arial"/>
                <w:sz w:val="18"/>
                <w:szCs w:val="18"/>
              </w:rPr>
            </w:pPr>
            <w:r w:rsidRPr="00545EC0">
              <w:rPr>
                <w:rFonts w:cs="Arial"/>
                <w:sz w:val="18"/>
                <w:szCs w:val="18"/>
              </w:rPr>
              <w:t>MPVT Drava mejni odsek z Avstrijo</w:t>
            </w:r>
          </w:p>
        </w:tc>
        <w:tc>
          <w:tcPr>
            <w:tcW w:w="531" w:type="pct"/>
            <w:vMerge/>
            <w:tcBorders>
              <w:left w:val="nil"/>
              <w:right w:val="single" w:sz="4" w:space="0" w:color="auto"/>
            </w:tcBorders>
            <w:vAlign w:val="center"/>
          </w:tcPr>
          <w:p w14:paraId="2C3DEC00" w14:textId="77777777" w:rsidR="00BA1338" w:rsidRPr="00545EC0" w:rsidRDefault="00BA1338" w:rsidP="004F2AF2">
            <w:pPr>
              <w:spacing w:line="240" w:lineRule="auto"/>
              <w:rPr>
                <w:rFonts w:cs="Arial"/>
                <w:sz w:val="18"/>
                <w:szCs w:val="18"/>
              </w:rPr>
            </w:pPr>
          </w:p>
        </w:tc>
        <w:tc>
          <w:tcPr>
            <w:tcW w:w="1969" w:type="pct"/>
            <w:tcBorders>
              <w:top w:val="nil"/>
              <w:left w:val="single" w:sz="4" w:space="0" w:color="auto"/>
              <w:bottom w:val="single" w:sz="4" w:space="0" w:color="auto"/>
              <w:right w:val="single" w:sz="4" w:space="0" w:color="auto"/>
            </w:tcBorders>
            <w:shd w:val="clear" w:color="auto" w:fill="auto"/>
            <w:noWrap/>
            <w:vAlign w:val="bottom"/>
            <w:hideMark/>
          </w:tcPr>
          <w:p w14:paraId="5E9374A5" w14:textId="77777777" w:rsidR="00BA1338" w:rsidRPr="00545EC0" w:rsidRDefault="00BA1338" w:rsidP="004F2AF2">
            <w:pPr>
              <w:spacing w:line="240" w:lineRule="auto"/>
              <w:rPr>
                <w:rFonts w:cs="Arial"/>
                <w:sz w:val="18"/>
                <w:szCs w:val="18"/>
              </w:rPr>
            </w:pPr>
            <w:r w:rsidRPr="00545EC0">
              <w:rPr>
                <w:rFonts w:cs="Arial"/>
                <w:sz w:val="18"/>
                <w:szCs w:val="18"/>
              </w:rPr>
              <w:t>Zadrževalnik HE Dravograd</w:t>
            </w:r>
          </w:p>
        </w:tc>
      </w:tr>
      <w:tr w:rsidR="00A34D38" w:rsidRPr="00545EC0" w14:paraId="01C5D5D2" w14:textId="77777777" w:rsidTr="00A34D38">
        <w:trPr>
          <w:trHeight w:val="227"/>
          <w:tblHeader/>
        </w:trPr>
        <w:tc>
          <w:tcPr>
            <w:tcW w:w="654" w:type="pct"/>
            <w:tcBorders>
              <w:top w:val="nil"/>
              <w:left w:val="single" w:sz="4" w:space="0" w:color="auto"/>
              <w:bottom w:val="single" w:sz="4" w:space="0" w:color="auto"/>
              <w:right w:val="single" w:sz="4" w:space="0" w:color="auto"/>
            </w:tcBorders>
            <w:shd w:val="clear" w:color="auto" w:fill="auto"/>
            <w:noWrap/>
            <w:vAlign w:val="bottom"/>
            <w:hideMark/>
          </w:tcPr>
          <w:p w14:paraId="37E4B01F" w14:textId="77777777" w:rsidR="00BA1338" w:rsidRPr="00545EC0" w:rsidRDefault="00BA1338" w:rsidP="004F2AF2">
            <w:pPr>
              <w:spacing w:line="240" w:lineRule="auto"/>
              <w:rPr>
                <w:rFonts w:cs="Arial"/>
                <w:sz w:val="18"/>
                <w:szCs w:val="18"/>
              </w:rPr>
            </w:pPr>
            <w:r w:rsidRPr="00545EC0">
              <w:rPr>
                <w:rFonts w:cs="Arial"/>
                <w:sz w:val="18"/>
                <w:szCs w:val="18"/>
              </w:rPr>
              <w:t>SI3VT359</w:t>
            </w:r>
          </w:p>
        </w:tc>
        <w:tc>
          <w:tcPr>
            <w:tcW w:w="1847" w:type="pct"/>
            <w:tcBorders>
              <w:top w:val="nil"/>
              <w:left w:val="nil"/>
              <w:bottom w:val="single" w:sz="4" w:space="0" w:color="auto"/>
              <w:right w:val="single" w:sz="4" w:space="0" w:color="auto"/>
            </w:tcBorders>
            <w:shd w:val="clear" w:color="auto" w:fill="auto"/>
            <w:noWrap/>
            <w:vAlign w:val="bottom"/>
            <w:hideMark/>
          </w:tcPr>
          <w:p w14:paraId="5B4556F9" w14:textId="77777777" w:rsidR="00BA1338" w:rsidRPr="00545EC0" w:rsidRDefault="00BA1338" w:rsidP="004F2AF2">
            <w:pPr>
              <w:spacing w:line="240" w:lineRule="auto"/>
              <w:rPr>
                <w:rFonts w:cs="Arial"/>
                <w:sz w:val="18"/>
                <w:szCs w:val="18"/>
              </w:rPr>
            </w:pPr>
            <w:r w:rsidRPr="00545EC0">
              <w:rPr>
                <w:rFonts w:cs="Arial"/>
                <w:sz w:val="18"/>
                <w:szCs w:val="18"/>
              </w:rPr>
              <w:t>MPVT Drava Dravograd – Maribor</w:t>
            </w:r>
          </w:p>
        </w:tc>
        <w:tc>
          <w:tcPr>
            <w:tcW w:w="531" w:type="pct"/>
            <w:vMerge/>
            <w:tcBorders>
              <w:left w:val="nil"/>
              <w:right w:val="single" w:sz="4" w:space="0" w:color="auto"/>
            </w:tcBorders>
            <w:vAlign w:val="center"/>
          </w:tcPr>
          <w:p w14:paraId="0E2673C3" w14:textId="77777777" w:rsidR="00BA1338" w:rsidRPr="00545EC0" w:rsidRDefault="00BA1338" w:rsidP="004F2AF2">
            <w:pPr>
              <w:spacing w:line="240" w:lineRule="auto"/>
              <w:rPr>
                <w:rFonts w:cs="Arial"/>
                <w:sz w:val="18"/>
                <w:szCs w:val="18"/>
              </w:rPr>
            </w:pPr>
          </w:p>
        </w:tc>
        <w:tc>
          <w:tcPr>
            <w:tcW w:w="1969" w:type="pct"/>
            <w:tcBorders>
              <w:top w:val="nil"/>
              <w:left w:val="single" w:sz="4" w:space="0" w:color="auto"/>
              <w:bottom w:val="single" w:sz="4" w:space="0" w:color="auto"/>
              <w:right w:val="single" w:sz="4" w:space="0" w:color="auto"/>
            </w:tcBorders>
            <w:shd w:val="clear" w:color="auto" w:fill="auto"/>
            <w:noWrap/>
            <w:vAlign w:val="bottom"/>
            <w:hideMark/>
          </w:tcPr>
          <w:p w14:paraId="7433C97E" w14:textId="77777777" w:rsidR="00BA1338" w:rsidRPr="00545EC0" w:rsidRDefault="00BA1338" w:rsidP="00A34D38">
            <w:pPr>
              <w:spacing w:line="240" w:lineRule="auto"/>
              <w:jc w:val="left"/>
              <w:rPr>
                <w:rFonts w:cs="Arial"/>
                <w:sz w:val="18"/>
                <w:szCs w:val="18"/>
              </w:rPr>
            </w:pPr>
            <w:r w:rsidRPr="00545EC0">
              <w:rPr>
                <w:rFonts w:cs="Arial"/>
                <w:sz w:val="18"/>
                <w:szCs w:val="18"/>
              </w:rPr>
              <w:t>Zadrževalnik HE Dravograd - HE Mariborski otok</w:t>
            </w:r>
          </w:p>
        </w:tc>
      </w:tr>
      <w:tr w:rsidR="00A34D38" w:rsidRPr="00545EC0" w14:paraId="4A15854F" w14:textId="77777777" w:rsidTr="00A34D38">
        <w:trPr>
          <w:trHeight w:val="227"/>
          <w:tblHeader/>
        </w:trPr>
        <w:tc>
          <w:tcPr>
            <w:tcW w:w="654" w:type="pct"/>
            <w:tcBorders>
              <w:top w:val="nil"/>
              <w:left w:val="single" w:sz="4" w:space="0" w:color="auto"/>
              <w:bottom w:val="single" w:sz="4" w:space="0" w:color="auto"/>
              <w:right w:val="single" w:sz="4" w:space="0" w:color="auto"/>
            </w:tcBorders>
            <w:shd w:val="clear" w:color="auto" w:fill="auto"/>
            <w:noWrap/>
            <w:vAlign w:val="bottom"/>
            <w:hideMark/>
          </w:tcPr>
          <w:p w14:paraId="1DA8941C" w14:textId="77777777" w:rsidR="00BA1338" w:rsidRPr="00545EC0" w:rsidRDefault="00BA1338" w:rsidP="004F2AF2">
            <w:pPr>
              <w:spacing w:line="240" w:lineRule="auto"/>
              <w:rPr>
                <w:rFonts w:cs="Arial"/>
                <w:sz w:val="18"/>
                <w:szCs w:val="18"/>
              </w:rPr>
            </w:pPr>
            <w:r w:rsidRPr="00545EC0">
              <w:rPr>
                <w:rFonts w:cs="Arial"/>
                <w:sz w:val="18"/>
                <w:szCs w:val="18"/>
              </w:rPr>
              <w:t>SI3VT5171</w:t>
            </w:r>
          </w:p>
        </w:tc>
        <w:tc>
          <w:tcPr>
            <w:tcW w:w="1847" w:type="pct"/>
            <w:tcBorders>
              <w:top w:val="nil"/>
              <w:left w:val="nil"/>
              <w:bottom w:val="single" w:sz="4" w:space="0" w:color="auto"/>
              <w:right w:val="single" w:sz="4" w:space="0" w:color="auto"/>
            </w:tcBorders>
            <w:shd w:val="clear" w:color="auto" w:fill="auto"/>
            <w:noWrap/>
            <w:vAlign w:val="bottom"/>
            <w:hideMark/>
          </w:tcPr>
          <w:p w14:paraId="6746C034" w14:textId="77777777" w:rsidR="00BA1338" w:rsidRPr="00545EC0" w:rsidRDefault="00BA1338" w:rsidP="004F2AF2">
            <w:pPr>
              <w:spacing w:line="240" w:lineRule="auto"/>
              <w:rPr>
                <w:rFonts w:cs="Arial"/>
                <w:sz w:val="18"/>
                <w:szCs w:val="18"/>
              </w:rPr>
            </w:pPr>
            <w:r w:rsidRPr="00545EC0">
              <w:rPr>
                <w:rFonts w:cs="Arial"/>
                <w:sz w:val="18"/>
                <w:szCs w:val="18"/>
              </w:rPr>
              <w:t>VT Drava Maribor - Ptuj</w:t>
            </w:r>
          </w:p>
        </w:tc>
        <w:tc>
          <w:tcPr>
            <w:tcW w:w="531" w:type="pct"/>
            <w:vMerge/>
            <w:tcBorders>
              <w:left w:val="nil"/>
              <w:right w:val="single" w:sz="4" w:space="0" w:color="auto"/>
            </w:tcBorders>
            <w:vAlign w:val="center"/>
          </w:tcPr>
          <w:p w14:paraId="2048670E" w14:textId="77777777" w:rsidR="00BA1338" w:rsidRPr="00545EC0" w:rsidRDefault="00BA1338" w:rsidP="004F2AF2">
            <w:pPr>
              <w:spacing w:line="240" w:lineRule="auto"/>
              <w:rPr>
                <w:rFonts w:cs="Arial"/>
                <w:sz w:val="18"/>
                <w:szCs w:val="18"/>
              </w:rPr>
            </w:pPr>
          </w:p>
        </w:tc>
        <w:tc>
          <w:tcPr>
            <w:tcW w:w="1969" w:type="pct"/>
            <w:tcBorders>
              <w:top w:val="nil"/>
              <w:left w:val="single" w:sz="4" w:space="0" w:color="auto"/>
              <w:bottom w:val="single" w:sz="4" w:space="0" w:color="auto"/>
              <w:right w:val="single" w:sz="4" w:space="0" w:color="auto"/>
            </w:tcBorders>
            <w:shd w:val="clear" w:color="auto" w:fill="auto"/>
            <w:noWrap/>
            <w:vAlign w:val="bottom"/>
            <w:hideMark/>
          </w:tcPr>
          <w:p w14:paraId="14A64799" w14:textId="77777777" w:rsidR="00BA1338" w:rsidRPr="00545EC0" w:rsidRDefault="00BA1338" w:rsidP="004F2AF2">
            <w:pPr>
              <w:spacing w:line="240" w:lineRule="auto"/>
              <w:rPr>
                <w:rFonts w:cs="Arial"/>
                <w:sz w:val="18"/>
                <w:szCs w:val="18"/>
              </w:rPr>
            </w:pPr>
            <w:r w:rsidRPr="00545EC0">
              <w:rPr>
                <w:rFonts w:cs="Arial"/>
                <w:sz w:val="18"/>
                <w:szCs w:val="18"/>
              </w:rPr>
              <w:t>Zadrževalnik Melje</w:t>
            </w:r>
          </w:p>
        </w:tc>
      </w:tr>
      <w:tr w:rsidR="00A34D38" w:rsidRPr="00545EC0" w14:paraId="3E5C165D" w14:textId="77777777" w:rsidTr="00A34D38">
        <w:trPr>
          <w:trHeight w:val="227"/>
          <w:tblHeader/>
        </w:trPr>
        <w:tc>
          <w:tcPr>
            <w:tcW w:w="654" w:type="pct"/>
            <w:tcBorders>
              <w:top w:val="nil"/>
              <w:left w:val="single" w:sz="4" w:space="0" w:color="auto"/>
              <w:bottom w:val="single" w:sz="4" w:space="0" w:color="auto"/>
              <w:right w:val="single" w:sz="4" w:space="0" w:color="auto"/>
            </w:tcBorders>
            <w:shd w:val="clear" w:color="auto" w:fill="auto"/>
            <w:noWrap/>
            <w:vAlign w:val="bottom"/>
            <w:hideMark/>
          </w:tcPr>
          <w:p w14:paraId="36A8018A" w14:textId="77777777" w:rsidR="00BA1338" w:rsidRPr="00545EC0" w:rsidRDefault="00BA1338" w:rsidP="004F2AF2">
            <w:pPr>
              <w:spacing w:line="240" w:lineRule="auto"/>
              <w:rPr>
                <w:rFonts w:cs="Arial"/>
                <w:sz w:val="18"/>
                <w:szCs w:val="18"/>
              </w:rPr>
            </w:pPr>
            <w:r w:rsidRPr="00545EC0">
              <w:rPr>
                <w:rFonts w:cs="Arial"/>
                <w:sz w:val="18"/>
                <w:szCs w:val="18"/>
              </w:rPr>
              <w:t>SI3VT5172</w:t>
            </w:r>
          </w:p>
        </w:tc>
        <w:tc>
          <w:tcPr>
            <w:tcW w:w="1847" w:type="pct"/>
            <w:tcBorders>
              <w:top w:val="nil"/>
              <w:left w:val="nil"/>
              <w:bottom w:val="single" w:sz="4" w:space="0" w:color="auto"/>
              <w:right w:val="single" w:sz="4" w:space="0" w:color="auto"/>
            </w:tcBorders>
            <w:shd w:val="clear" w:color="auto" w:fill="auto"/>
            <w:noWrap/>
            <w:vAlign w:val="bottom"/>
            <w:hideMark/>
          </w:tcPr>
          <w:p w14:paraId="664FDCCD" w14:textId="77777777" w:rsidR="00BA1338" w:rsidRPr="00545EC0" w:rsidRDefault="00BA1338" w:rsidP="004F2AF2">
            <w:pPr>
              <w:spacing w:line="240" w:lineRule="auto"/>
              <w:rPr>
                <w:rFonts w:cs="Arial"/>
                <w:sz w:val="18"/>
                <w:szCs w:val="18"/>
              </w:rPr>
            </w:pPr>
            <w:r w:rsidRPr="00545EC0">
              <w:rPr>
                <w:rFonts w:cs="Arial"/>
                <w:sz w:val="18"/>
                <w:szCs w:val="18"/>
              </w:rPr>
              <w:t>MPVT zadrževalnik Ptujsko jezero</w:t>
            </w:r>
          </w:p>
        </w:tc>
        <w:tc>
          <w:tcPr>
            <w:tcW w:w="531" w:type="pct"/>
            <w:vMerge/>
            <w:tcBorders>
              <w:left w:val="nil"/>
              <w:right w:val="single" w:sz="4" w:space="0" w:color="auto"/>
            </w:tcBorders>
            <w:vAlign w:val="center"/>
          </w:tcPr>
          <w:p w14:paraId="20D6A43A" w14:textId="77777777" w:rsidR="00BA1338" w:rsidRPr="00545EC0" w:rsidRDefault="00BA1338" w:rsidP="004F2AF2">
            <w:pPr>
              <w:spacing w:line="240" w:lineRule="auto"/>
              <w:rPr>
                <w:rFonts w:cs="Arial"/>
                <w:sz w:val="18"/>
                <w:szCs w:val="18"/>
              </w:rPr>
            </w:pPr>
          </w:p>
        </w:tc>
        <w:tc>
          <w:tcPr>
            <w:tcW w:w="1969" w:type="pct"/>
            <w:tcBorders>
              <w:top w:val="nil"/>
              <w:left w:val="single" w:sz="4" w:space="0" w:color="auto"/>
              <w:bottom w:val="single" w:sz="4" w:space="0" w:color="auto"/>
              <w:right w:val="single" w:sz="4" w:space="0" w:color="auto"/>
            </w:tcBorders>
            <w:shd w:val="clear" w:color="auto" w:fill="auto"/>
            <w:noWrap/>
            <w:vAlign w:val="bottom"/>
            <w:hideMark/>
          </w:tcPr>
          <w:p w14:paraId="6567134B" w14:textId="77777777" w:rsidR="00BA1338" w:rsidRPr="00545EC0" w:rsidRDefault="00BA1338" w:rsidP="004F2AF2">
            <w:pPr>
              <w:spacing w:line="240" w:lineRule="auto"/>
              <w:rPr>
                <w:rFonts w:cs="Arial"/>
                <w:sz w:val="18"/>
                <w:szCs w:val="18"/>
              </w:rPr>
            </w:pPr>
            <w:r w:rsidRPr="00545EC0">
              <w:rPr>
                <w:rFonts w:cs="Arial"/>
                <w:sz w:val="18"/>
                <w:szCs w:val="18"/>
              </w:rPr>
              <w:t>Ptujsko jezero</w:t>
            </w:r>
          </w:p>
        </w:tc>
      </w:tr>
      <w:tr w:rsidR="00A34D38" w:rsidRPr="00545EC0" w14:paraId="7FC56EF2" w14:textId="77777777" w:rsidTr="00A34D38">
        <w:trPr>
          <w:trHeight w:val="227"/>
          <w:tblHeader/>
        </w:trPr>
        <w:tc>
          <w:tcPr>
            <w:tcW w:w="654" w:type="pct"/>
            <w:tcBorders>
              <w:top w:val="nil"/>
              <w:left w:val="single" w:sz="4" w:space="0" w:color="auto"/>
              <w:bottom w:val="single" w:sz="4" w:space="0" w:color="auto"/>
              <w:right w:val="single" w:sz="4" w:space="0" w:color="auto"/>
            </w:tcBorders>
            <w:shd w:val="clear" w:color="auto" w:fill="auto"/>
            <w:noWrap/>
            <w:vAlign w:val="bottom"/>
            <w:hideMark/>
          </w:tcPr>
          <w:p w14:paraId="6DD2B9C3" w14:textId="77777777" w:rsidR="00BA1338" w:rsidRPr="00545EC0" w:rsidRDefault="00BA1338" w:rsidP="004F2AF2">
            <w:pPr>
              <w:spacing w:line="240" w:lineRule="auto"/>
              <w:rPr>
                <w:rFonts w:cs="Arial"/>
                <w:sz w:val="18"/>
                <w:szCs w:val="18"/>
              </w:rPr>
            </w:pPr>
            <w:r w:rsidRPr="00545EC0">
              <w:rPr>
                <w:rFonts w:cs="Arial"/>
                <w:sz w:val="18"/>
                <w:szCs w:val="18"/>
              </w:rPr>
              <w:t>SI3VT950</w:t>
            </w:r>
          </w:p>
        </w:tc>
        <w:tc>
          <w:tcPr>
            <w:tcW w:w="1847" w:type="pct"/>
            <w:tcBorders>
              <w:top w:val="nil"/>
              <w:left w:val="nil"/>
              <w:bottom w:val="single" w:sz="4" w:space="0" w:color="auto"/>
              <w:right w:val="single" w:sz="4" w:space="0" w:color="auto"/>
            </w:tcBorders>
            <w:shd w:val="clear" w:color="auto" w:fill="auto"/>
            <w:noWrap/>
            <w:vAlign w:val="bottom"/>
            <w:hideMark/>
          </w:tcPr>
          <w:p w14:paraId="482D4EB9" w14:textId="77777777" w:rsidR="00BA1338" w:rsidRPr="00545EC0" w:rsidRDefault="00BA1338" w:rsidP="004F2AF2">
            <w:pPr>
              <w:spacing w:line="240" w:lineRule="auto"/>
              <w:rPr>
                <w:rFonts w:cs="Arial"/>
                <w:sz w:val="18"/>
                <w:szCs w:val="18"/>
              </w:rPr>
            </w:pPr>
            <w:r w:rsidRPr="00545EC0">
              <w:rPr>
                <w:rFonts w:cs="Arial"/>
                <w:sz w:val="18"/>
                <w:szCs w:val="18"/>
              </w:rPr>
              <w:t>MPVT zadrževalnik Ormoško jezero</w:t>
            </w:r>
          </w:p>
        </w:tc>
        <w:tc>
          <w:tcPr>
            <w:tcW w:w="531" w:type="pct"/>
            <w:vMerge/>
            <w:tcBorders>
              <w:left w:val="nil"/>
              <w:right w:val="single" w:sz="4" w:space="0" w:color="auto"/>
            </w:tcBorders>
            <w:vAlign w:val="center"/>
          </w:tcPr>
          <w:p w14:paraId="0D31E3CE" w14:textId="77777777" w:rsidR="00BA1338" w:rsidRPr="00545EC0" w:rsidRDefault="00BA1338" w:rsidP="004F2AF2">
            <w:pPr>
              <w:spacing w:line="240" w:lineRule="auto"/>
              <w:rPr>
                <w:rFonts w:cs="Arial"/>
                <w:sz w:val="18"/>
                <w:szCs w:val="18"/>
              </w:rPr>
            </w:pPr>
          </w:p>
        </w:tc>
        <w:tc>
          <w:tcPr>
            <w:tcW w:w="1969" w:type="pct"/>
            <w:tcBorders>
              <w:top w:val="nil"/>
              <w:left w:val="single" w:sz="4" w:space="0" w:color="auto"/>
              <w:bottom w:val="single" w:sz="4" w:space="0" w:color="auto"/>
              <w:right w:val="single" w:sz="4" w:space="0" w:color="auto"/>
            </w:tcBorders>
            <w:shd w:val="clear" w:color="auto" w:fill="auto"/>
            <w:noWrap/>
            <w:vAlign w:val="bottom"/>
            <w:hideMark/>
          </w:tcPr>
          <w:p w14:paraId="4DFD0C15" w14:textId="77777777" w:rsidR="00BA1338" w:rsidRPr="00545EC0" w:rsidRDefault="00BA1338" w:rsidP="004F2AF2">
            <w:pPr>
              <w:spacing w:line="240" w:lineRule="auto"/>
              <w:rPr>
                <w:rFonts w:cs="Arial"/>
                <w:sz w:val="18"/>
                <w:szCs w:val="18"/>
              </w:rPr>
            </w:pPr>
            <w:r w:rsidRPr="00545EC0">
              <w:rPr>
                <w:rFonts w:cs="Arial"/>
                <w:sz w:val="18"/>
                <w:szCs w:val="18"/>
              </w:rPr>
              <w:t>Ormoško jezero</w:t>
            </w:r>
          </w:p>
        </w:tc>
      </w:tr>
      <w:tr w:rsidR="00A34D38" w:rsidRPr="00545EC0" w14:paraId="41A9B6C6" w14:textId="77777777" w:rsidTr="00A34D38">
        <w:trPr>
          <w:trHeight w:val="227"/>
          <w:tblHeader/>
        </w:trPr>
        <w:tc>
          <w:tcPr>
            <w:tcW w:w="654" w:type="pct"/>
            <w:tcBorders>
              <w:top w:val="nil"/>
              <w:left w:val="single" w:sz="4" w:space="0" w:color="auto"/>
              <w:bottom w:val="single" w:sz="4" w:space="0" w:color="auto"/>
              <w:right w:val="single" w:sz="4" w:space="0" w:color="auto"/>
            </w:tcBorders>
            <w:shd w:val="clear" w:color="auto" w:fill="auto"/>
            <w:noWrap/>
            <w:vAlign w:val="bottom"/>
            <w:hideMark/>
          </w:tcPr>
          <w:p w14:paraId="543E3AA4" w14:textId="77777777" w:rsidR="00BA1338" w:rsidRPr="00545EC0" w:rsidRDefault="00BA1338" w:rsidP="004F2AF2">
            <w:pPr>
              <w:spacing w:line="240" w:lineRule="auto"/>
              <w:rPr>
                <w:rFonts w:cs="Arial"/>
                <w:sz w:val="18"/>
                <w:szCs w:val="18"/>
              </w:rPr>
            </w:pPr>
            <w:r w:rsidRPr="00545EC0">
              <w:rPr>
                <w:rFonts w:cs="Arial"/>
                <w:sz w:val="18"/>
                <w:szCs w:val="18"/>
              </w:rPr>
              <w:t>SI35172VT</w:t>
            </w:r>
          </w:p>
        </w:tc>
        <w:tc>
          <w:tcPr>
            <w:tcW w:w="1847" w:type="pct"/>
            <w:tcBorders>
              <w:top w:val="nil"/>
              <w:left w:val="nil"/>
              <w:bottom w:val="single" w:sz="4" w:space="0" w:color="auto"/>
              <w:right w:val="single" w:sz="4" w:space="0" w:color="auto"/>
            </w:tcBorders>
            <w:shd w:val="clear" w:color="auto" w:fill="auto"/>
            <w:noWrap/>
            <w:vAlign w:val="bottom"/>
            <w:hideMark/>
          </w:tcPr>
          <w:p w14:paraId="725C81AA" w14:textId="77777777" w:rsidR="00BA1338" w:rsidRPr="00545EC0" w:rsidRDefault="00BA1338" w:rsidP="004F2AF2">
            <w:pPr>
              <w:spacing w:line="240" w:lineRule="auto"/>
              <w:rPr>
                <w:rFonts w:cs="Arial"/>
                <w:sz w:val="18"/>
                <w:szCs w:val="18"/>
              </w:rPr>
            </w:pPr>
            <w:r w:rsidRPr="00545EC0">
              <w:rPr>
                <w:rFonts w:cs="Arial"/>
                <w:sz w:val="18"/>
                <w:szCs w:val="18"/>
              </w:rPr>
              <w:t>UVT Kanal HE Zlatoličje</w:t>
            </w:r>
          </w:p>
        </w:tc>
        <w:tc>
          <w:tcPr>
            <w:tcW w:w="531" w:type="pct"/>
            <w:vMerge/>
            <w:tcBorders>
              <w:left w:val="nil"/>
              <w:right w:val="single" w:sz="4" w:space="0" w:color="auto"/>
            </w:tcBorders>
            <w:vAlign w:val="center"/>
          </w:tcPr>
          <w:p w14:paraId="61E739A9" w14:textId="77777777" w:rsidR="00BA1338" w:rsidRPr="00545EC0" w:rsidRDefault="00BA1338" w:rsidP="004F2AF2">
            <w:pPr>
              <w:spacing w:line="240" w:lineRule="auto"/>
              <w:rPr>
                <w:rFonts w:cs="Arial"/>
                <w:sz w:val="18"/>
                <w:szCs w:val="18"/>
              </w:rPr>
            </w:pPr>
          </w:p>
        </w:tc>
        <w:tc>
          <w:tcPr>
            <w:tcW w:w="1969" w:type="pct"/>
            <w:tcBorders>
              <w:top w:val="nil"/>
              <w:left w:val="single" w:sz="4" w:space="0" w:color="auto"/>
              <w:bottom w:val="single" w:sz="4" w:space="0" w:color="auto"/>
              <w:right w:val="single" w:sz="4" w:space="0" w:color="auto"/>
            </w:tcBorders>
            <w:shd w:val="clear" w:color="auto" w:fill="auto"/>
            <w:noWrap/>
            <w:vAlign w:val="bottom"/>
            <w:hideMark/>
          </w:tcPr>
          <w:p w14:paraId="7E9BFF9A" w14:textId="77777777" w:rsidR="00BA1338" w:rsidRPr="00545EC0" w:rsidRDefault="00BA1338" w:rsidP="004F2AF2">
            <w:pPr>
              <w:spacing w:line="240" w:lineRule="auto"/>
              <w:rPr>
                <w:rFonts w:cs="Arial"/>
                <w:sz w:val="18"/>
                <w:szCs w:val="18"/>
              </w:rPr>
            </w:pPr>
            <w:r w:rsidRPr="00545EC0">
              <w:rPr>
                <w:rFonts w:cs="Arial"/>
                <w:sz w:val="18"/>
                <w:szCs w:val="18"/>
              </w:rPr>
              <w:t>Zajezitev HE Zlatoličje</w:t>
            </w:r>
          </w:p>
        </w:tc>
      </w:tr>
      <w:tr w:rsidR="00A34D38" w:rsidRPr="00545EC0" w14:paraId="01D1FC87" w14:textId="77777777" w:rsidTr="00A34D38">
        <w:trPr>
          <w:trHeight w:val="227"/>
          <w:tblHeader/>
        </w:trPr>
        <w:tc>
          <w:tcPr>
            <w:tcW w:w="654" w:type="pct"/>
            <w:tcBorders>
              <w:top w:val="nil"/>
              <w:left w:val="single" w:sz="4" w:space="0" w:color="auto"/>
              <w:bottom w:val="single" w:sz="4" w:space="0" w:color="auto"/>
              <w:right w:val="single" w:sz="4" w:space="0" w:color="auto"/>
            </w:tcBorders>
            <w:shd w:val="clear" w:color="auto" w:fill="auto"/>
            <w:noWrap/>
            <w:vAlign w:val="bottom"/>
            <w:hideMark/>
          </w:tcPr>
          <w:p w14:paraId="26D59F20" w14:textId="77777777" w:rsidR="00BA1338" w:rsidRPr="00545EC0" w:rsidRDefault="00BA1338" w:rsidP="004F2AF2">
            <w:pPr>
              <w:spacing w:line="240" w:lineRule="auto"/>
              <w:rPr>
                <w:rFonts w:cs="Arial"/>
                <w:sz w:val="18"/>
                <w:szCs w:val="18"/>
              </w:rPr>
            </w:pPr>
            <w:r w:rsidRPr="00545EC0">
              <w:rPr>
                <w:rFonts w:cs="Arial"/>
                <w:sz w:val="18"/>
                <w:szCs w:val="18"/>
              </w:rPr>
              <w:t>SI378VT</w:t>
            </w:r>
          </w:p>
        </w:tc>
        <w:tc>
          <w:tcPr>
            <w:tcW w:w="1847" w:type="pct"/>
            <w:tcBorders>
              <w:top w:val="nil"/>
              <w:left w:val="nil"/>
              <w:bottom w:val="single" w:sz="4" w:space="0" w:color="auto"/>
              <w:right w:val="single" w:sz="4" w:space="0" w:color="auto"/>
            </w:tcBorders>
            <w:shd w:val="clear" w:color="auto" w:fill="auto"/>
            <w:noWrap/>
            <w:vAlign w:val="bottom"/>
            <w:hideMark/>
          </w:tcPr>
          <w:p w14:paraId="6C465641" w14:textId="77777777" w:rsidR="00BA1338" w:rsidRPr="00545EC0" w:rsidRDefault="00BA1338" w:rsidP="004F2AF2">
            <w:pPr>
              <w:spacing w:line="240" w:lineRule="auto"/>
              <w:rPr>
                <w:rFonts w:cs="Arial"/>
                <w:sz w:val="18"/>
                <w:szCs w:val="18"/>
              </w:rPr>
            </w:pPr>
            <w:r w:rsidRPr="00545EC0">
              <w:rPr>
                <w:rFonts w:cs="Arial"/>
                <w:sz w:val="18"/>
                <w:szCs w:val="18"/>
              </w:rPr>
              <w:t>UVT Kanal HE Formin</w:t>
            </w:r>
          </w:p>
        </w:tc>
        <w:tc>
          <w:tcPr>
            <w:tcW w:w="531" w:type="pct"/>
            <w:vMerge/>
            <w:tcBorders>
              <w:left w:val="nil"/>
              <w:bottom w:val="single" w:sz="4" w:space="0" w:color="auto"/>
              <w:right w:val="single" w:sz="4" w:space="0" w:color="auto"/>
            </w:tcBorders>
            <w:vAlign w:val="center"/>
          </w:tcPr>
          <w:p w14:paraId="6167EE54" w14:textId="77777777" w:rsidR="00BA1338" w:rsidRPr="00545EC0" w:rsidRDefault="00BA1338" w:rsidP="004F2AF2">
            <w:pPr>
              <w:spacing w:line="240" w:lineRule="auto"/>
              <w:rPr>
                <w:rFonts w:cs="Arial"/>
                <w:sz w:val="18"/>
                <w:szCs w:val="18"/>
              </w:rPr>
            </w:pPr>
          </w:p>
        </w:tc>
        <w:tc>
          <w:tcPr>
            <w:tcW w:w="1969" w:type="pct"/>
            <w:tcBorders>
              <w:top w:val="nil"/>
              <w:left w:val="single" w:sz="4" w:space="0" w:color="auto"/>
              <w:bottom w:val="single" w:sz="4" w:space="0" w:color="auto"/>
              <w:right w:val="single" w:sz="4" w:space="0" w:color="auto"/>
            </w:tcBorders>
            <w:shd w:val="clear" w:color="auto" w:fill="auto"/>
            <w:noWrap/>
            <w:vAlign w:val="bottom"/>
            <w:hideMark/>
          </w:tcPr>
          <w:p w14:paraId="6B2EE9F3" w14:textId="77777777" w:rsidR="00BA1338" w:rsidRPr="00545EC0" w:rsidRDefault="00BA1338" w:rsidP="004F2AF2">
            <w:pPr>
              <w:spacing w:line="240" w:lineRule="auto"/>
              <w:rPr>
                <w:rFonts w:cs="Arial"/>
                <w:sz w:val="18"/>
                <w:szCs w:val="18"/>
              </w:rPr>
            </w:pPr>
            <w:r w:rsidRPr="00545EC0">
              <w:rPr>
                <w:rFonts w:cs="Arial"/>
                <w:sz w:val="18"/>
                <w:szCs w:val="18"/>
              </w:rPr>
              <w:t xml:space="preserve">Zajezitev HE Formin </w:t>
            </w:r>
          </w:p>
        </w:tc>
      </w:tr>
      <w:tr w:rsidR="00A34D38" w:rsidRPr="00545EC0" w14:paraId="53E71117" w14:textId="77777777" w:rsidTr="00A34D38">
        <w:trPr>
          <w:trHeight w:val="227"/>
          <w:tblHeader/>
        </w:trPr>
        <w:tc>
          <w:tcPr>
            <w:tcW w:w="65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FD17413" w14:textId="77777777" w:rsidR="00BA1338" w:rsidRPr="00545EC0" w:rsidRDefault="00BA1338" w:rsidP="004F2AF2">
            <w:pPr>
              <w:spacing w:line="240" w:lineRule="auto"/>
              <w:rPr>
                <w:rFonts w:cs="Arial"/>
                <w:sz w:val="18"/>
                <w:szCs w:val="18"/>
              </w:rPr>
            </w:pPr>
            <w:r w:rsidRPr="00545EC0">
              <w:rPr>
                <w:rFonts w:cs="Arial"/>
                <w:sz w:val="18"/>
                <w:szCs w:val="18"/>
              </w:rPr>
              <w:t>SI434VT51</w:t>
            </w:r>
          </w:p>
        </w:tc>
        <w:tc>
          <w:tcPr>
            <w:tcW w:w="184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15EDD1D" w14:textId="77777777" w:rsidR="00BA1338" w:rsidRPr="00545EC0" w:rsidRDefault="00BA1338" w:rsidP="00A34D38">
            <w:pPr>
              <w:spacing w:line="240" w:lineRule="auto"/>
              <w:jc w:val="left"/>
              <w:rPr>
                <w:rFonts w:cs="Arial"/>
                <w:sz w:val="18"/>
                <w:szCs w:val="18"/>
              </w:rPr>
            </w:pPr>
            <w:r w:rsidRPr="00545EC0">
              <w:rPr>
                <w:rFonts w:cs="Arial"/>
                <w:sz w:val="18"/>
                <w:szCs w:val="18"/>
              </w:rPr>
              <w:t>VT Ščavnica povirje - zadrževalnik Gajševsko jezero</w:t>
            </w:r>
          </w:p>
        </w:tc>
        <w:tc>
          <w:tcPr>
            <w:tcW w:w="531" w:type="pct"/>
            <w:vMerge w:val="restart"/>
            <w:tcBorders>
              <w:top w:val="single" w:sz="4" w:space="0" w:color="auto"/>
              <w:left w:val="nil"/>
              <w:right w:val="single" w:sz="4" w:space="0" w:color="auto"/>
            </w:tcBorders>
            <w:vAlign w:val="center"/>
          </w:tcPr>
          <w:p w14:paraId="3F5574A2" w14:textId="77777777" w:rsidR="00BA1338" w:rsidRPr="00545EC0" w:rsidRDefault="00BA1338" w:rsidP="004F2AF2">
            <w:pPr>
              <w:spacing w:line="240" w:lineRule="auto"/>
              <w:rPr>
                <w:rFonts w:cs="Arial"/>
                <w:sz w:val="18"/>
                <w:szCs w:val="18"/>
              </w:rPr>
            </w:pPr>
            <w:r w:rsidRPr="00545EC0">
              <w:rPr>
                <w:rFonts w:cs="Arial"/>
                <w:sz w:val="18"/>
                <w:szCs w:val="18"/>
              </w:rPr>
              <w:t>Mura</w:t>
            </w:r>
          </w:p>
        </w:tc>
        <w:tc>
          <w:tcPr>
            <w:tcW w:w="1969" w:type="pct"/>
            <w:tcBorders>
              <w:top w:val="nil"/>
              <w:left w:val="single" w:sz="4" w:space="0" w:color="auto"/>
              <w:bottom w:val="single" w:sz="4" w:space="0" w:color="auto"/>
              <w:right w:val="single" w:sz="4" w:space="0" w:color="auto"/>
            </w:tcBorders>
            <w:shd w:val="clear" w:color="auto" w:fill="auto"/>
            <w:noWrap/>
            <w:vAlign w:val="bottom"/>
            <w:hideMark/>
          </w:tcPr>
          <w:p w14:paraId="4C682F30" w14:textId="77777777" w:rsidR="00BA1338" w:rsidRPr="00545EC0" w:rsidRDefault="00BA1338" w:rsidP="004F2AF2">
            <w:pPr>
              <w:spacing w:line="240" w:lineRule="auto"/>
              <w:rPr>
                <w:rFonts w:cs="Arial"/>
                <w:sz w:val="18"/>
                <w:szCs w:val="18"/>
              </w:rPr>
            </w:pPr>
            <w:r w:rsidRPr="00545EC0">
              <w:rPr>
                <w:rFonts w:cs="Arial"/>
                <w:sz w:val="18"/>
                <w:szCs w:val="18"/>
              </w:rPr>
              <w:t>Blaguško jezero</w:t>
            </w:r>
          </w:p>
        </w:tc>
      </w:tr>
      <w:tr w:rsidR="00A34D38" w:rsidRPr="00545EC0" w14:paraId="19832CB5" w14:textId="77777777" w:rsidTr="00A34D38">
        <w:trPr>
          <w:trHeight w:val="227"/>
          <w:tblHeader/>
        </w:trPr>
        <w:tc>
          <w:tcPr>
            <w:tcW w:w="654" w:type="pct"/>
            <w:vMerge/>
            <w:tcBorders>
              <w:top w:val="nil"/>
              <w:left w:val="single" w:sz="4" w:space="0" w:color="auto"/>
              <w:bottom w:val="single" w:sz="4" w:space="0" w:color="000000"/>
              <w:right w:val="single" w:sz="4" w:space="0" w:color="auto"/>
            </w:tcBorders>
            <w:vAlign w:val="center"/>
            <w:hideMark/>
          </w:tcPr>
          <w:p w14:paraId="62877239" w14:textId="77777777" w:rsidR="00BA1338" w:rsidRPr="00545EC0" w:rsidRDefault="00BA1338" w:rsidP="004F2AF2">
            <w:pPr>
              <w:spacing w:line="240" w:lineRule="auto"/>
              <w:rPr>
                <w:rFonts w:cs="Arial"/>
                <w:sz w:val="18"/>
                <w:szCs w:val="18"/>
              </w:rPr>
            </w:pPr>
          </w:p>
        </w:tc>
        <w:tc>
          <w:tcPr>
            <w:tcW w:w="1847" w:type="pct"/>
            <w:vMerge/>
            <w:tcBorders>
              <w:top w:val="nil"/>
              <w:left w:val="single" w:sz="4" w:space="0" w:color="auto"/>
              <w:bottom w:val="single" w:sz="4" w:space="0" w:color="000000"/>
              <w:right w:val="single" w:sz="4" w:space="0" w:color="auto"/>
            </w:tcBorders>
            <w:vAlign w:val="center"/>
            <w:hideMark/>
          </w:tcPr>
          <w:p w14:paraId="0135F0DE" w14:textId="77777777" w:rsidR="00BA1338" w:rsidRPr="00545EC0" w:rsidRDefault="00BA1338" w:rsidP="004F2AF2">
            <w:pPr>
              <w:spacing w:line="240" w:lineRule="auto"/>
              <w:rPr>
                <w:rFonts w:cs="Arial"/>
                <w:sz w:val="18"/>
                <w:szCs w:val="18"/>
              </w:rPr>
            </w:pPr>
          </w:p>
        </w:tc>
        <w:tc>
          <w:tcPr>
            <w:tcW w:w="531" w:type="pct"/>
            <w:vMerge/>
            <w:tcBorders>
              <w:left w:val="nil"/>
              <w:right w:val="single" w:sz="4" w:space="0" w:color="auto"/>
            </w:tcBorders>
          </w:tcPr>
          <w:p w14:paraId="0D66274E" w14:textId="77777777" w:rsidR="00BA1338" w:rsidRPr="00545EC0" w:rsidRDefault="00BA1338" w:rsidP="004F2AF2">
            <w:pPr>
              <w:spacing w:line="240" w:lineRule="auto"/>
              <w:rPr>
                <w:rFonts w:cs="Arial"/>
                <w:sz w:val="18"/>
                <w:szCs w:val="18"/>
              </w:rPr>
            </w:pPr>
          </w:p>
        </w:tc>
        <w:tc>
          <w:tcPr>
            <w:tcW w:w="1969" w:type="pct"/>
            <w:tcBorders>
              <w:top w:val="nil"/>
              <w:left w:val="single" w:sz="4" w:space="0" w:color="auto"/>
              <w:bottom w:val="single" w:sz="4" w:space="0" w:color="auto"/>
              <w:right w:val="single" w:sz="4" w:space="0" w:color="auto"/>
            </w:tcBorders>
            <w:shd w:val="clear" w:color="auto" w:fill="auto"/>
            <w:noWrap/>
            <w:vAlign w:val="bottom"/>
            <w:hideMark/>
          </w:tcPr>
          <w:p w14:paraId="22FE86B9" w14:textId="77777777" w:rsidR="00BA1338" w:rsidRPr="00545EC0" w:rsidRDefault="00BA1338" w:rsidP="004F2AF2">
            <w:pPr>
              <w:spacing w:line="240" w:lineRule="auto"/>
              <w:rPr>
                <w:rFonts w:cs="Arial"/>
                <w:sz w:val="18"/>
                <w:szCs w:val="18"/>
              </w:rPr>
            </w:pPr>
            <w:r w:rsidRPr="00545EC0">
              <w:rPr>
                <w:rFonts w:cs="Arial"/>
                <w:sz w:val="18"/>
                <w:szCs w:val="18"/>
              </w:rPr>
              <w:t>Negovsko jezero</w:t>
            </w:r>
          </w:p>
        </w:tc>
      </w:tr>
      <w:tr w:rsidR="00A34D38" w:rsidRPr="00545EC0" w14:paraId="107B3CF7" w14:textId="77777777" w:rsidTr="00A34D38">
        <w:trPr>
          <w:trHeight w:val="227"/>
          <w:tblHeader/>
        </w:trPr>
        <w:tc>
          <w:tcPr>
            <w:tcW w:w="654" w:type="pct"/>
            <w:tcBorders>
              <w:top w:val="nil"/>
              <w:left w:val="single" w:sz="4" w:space="0" w:color="auto"/>
              <w:bottom w:val="single" w:sz="4" w:space="0" w:color="auto"/>
              <w:right w:val="single" w:sz="4" w:space="0" w:color="auto"/>
            </w:tcBorders>
            <w:shd w:val="clear" w:color="auto" w:fill="auto"/>
            <w:noWrap/>
            <w:vAlign w:val="bottom"/>
            <w:hideMark/>
          </w:tcPr>
          <w:p w14:paraId="5856CE24" w14:textId="77777777" w:rsidR="00BA1338" w:rsidRPr="00545EC0" w:rsidRDefault="00BA1338" w:rsidP="004F2AF2">
            <w:pPr>
              <w:spacing w:line="240" w:lineRule="auto"/>
              <w:rPr>
                <w:rFonts w:cs="Arial"/>
                <w:sz w:val="18"/>
                <w:szCs w:val="18"/>
              </w:rPr>
            </w:pPr>
            <w:r w:rsidRPr="00545EC0">
              <w:rPr>
                <w:rFonts w:cs="Arial"/>
                <w:sz w:val="18"/>
                <w:szCs w:val="18"/>
              </w:rPr>
              <w:t>SI434VT52</w:t>
            </w:r>
          </w:p>
        </w:tc>
        <w:tc>
          <w:tcPr>
            <w:tcW w:w="1847" w:type="pct"/>
            <w:tcBorders>
              <w:top w:val="nil"/>
              <w:left w:val="nil"/>
              <w:bottom w:val="single" w:sz="4" w:space="0" w:color="auto"/>
              <w:right w:val="single" w:sz="4" w:space="0" w:color="auto"/>
            </w:tcBorders>
            <w:shd w:val="clear" w:color="auto" w:fill="auto"/>
            <w:noWrap/>
            <w:vAlign w:val="bottom"/>
            <w:hideMark/>
          </w:tcPr>
          <w:p w14:paraId="152F2DFC" w14:textId="77777777" w:rsidR="00BA1338" w:rsidRPr="00545EC0" w:rsidRDefault="00BA1338" w:rsidP="004F2AF2">
            <w:pPr>
              <w:spacing w:line="240" w:lineRule="auto"/>
              <w:rPr>
                <w:rFonts w:cs="Arial"/>
                <w:sz w:val="18"/>
                <w:szCs w:val="18"/>
              </w:rPr>
            </w:pPr>
            <w:r w:rsidRPr="00545EC0">
              <w:rPr>
                <w:rFonts w:cs="Arial"/>
                <w:sz w:val="18"/>
                <w:szCs w:val="18"/>
              </w:rPr>
              <w:t>MPVT zadrževalnik Gajševsko jezero</w:t>
            </w:r>
          </w:p>
        </w:tc>
        <w:tc>
          <w:tcPr>
            <w:tcW w:w="531" w:type="pct"/>
            <w:vMerge/>
            <w:tcBorders>
              <w:left w:val="nil"/>
              <w:right w:val="single" w:sz="4" w:space="0" w:color="auto"/>
            </w:tcBorders>
          </w:tcPr>
          <w:p w14:paraId="4E03D1D2" w14:textId="77777777" w:rsidR="00BA1338" w:rsidRPr="00545EC0" w:rsidRDefault="00BA1338" w:rsidP="004F2AF2">
            <w:pPr>
              <w:spacing w:line="240" w:lineRule="auto"/>
              <w:rPr>
                <w:rFonts w:cs="Arial"/>
                <w:sz w:val="18"/>
                <w:szCs w:val="18"/>
              </w:rPr>
            </w:pPr>
          </w:p>
        </w:tc>
        <w:tc>
          <w:tcPr>
            <w:tcW w:w="1969" w:type="pct"/>
            <w:tcBorders>
              <w:top w:val="nil"/>
              <w:left w:val="single" w:sz="4" w:space="0" w:color="auto"/>
              <w:bottom w:val="single" w:sz="4" w:space="0" w:color="auto"/>
              <w:right w:val="single" w:sz="4" w:space="0" w:color="auto"/>
            </w:tcBorders>
            <w:shd w:val="clear" w:color="auto" w:fill="auto"/>
            <w:noWrap/>
            <w:vAlign w:val="bottom"/>
            <w:hideMark/>
          </w:tcPr>
          <w:p w14:paraId="039544C0" w14:textId="77777777" w:rsidR="00BA1338" w:rsidRPr="00545EC0" w:rsidRDefault="00BA1338" w:rsidP="004F2AF2">
            <w:pPr>
              <w:spacing w:line="240" w:lineRule="auto"/>
              <w:rPr>
                <w:rFonts w:cs="Arial"/>
                <w:sz w:val="18"/>
                <w:szCs w:val="18"/>
              </w:rPr>
            </w:pPr>
            <w:r w:rsidRPr="00545EC0">
              <w:rPr>
                <w:rFonts w:cs="Arial"/>
                <w:sz w:val="18"/>
                <w:szCs w:val="18"/>
              </w:rPr>
              <w:t>Gajševsko jezero</w:t>
            </w:r>
          </w:p>
        </w:tc>
      </w:tr>
      <w:tr w:rsidR="00A34D38" w:rsidRPr="00545EC0" w14:paraId="6FEA4E0D" w14:textId="77777777" w:rsidTr="00A34D38">
        <w:trPr>
          <w:trHeight w:val="227"/>
          <w:tblHeader/>
        </w:trPr>
        <w:tc>
          <w:tcPr>
            <w:tcW w:w="654" w:type="pct"/>
            <w:tcBorders>
              <w:top w:val="nil"/>
              <w:left w:val="single" w:sz="4" w:space="0" w:color="auto"/>
              <w:bottom w:val="single" w:sz="4" w:space="0" w:color="auto"/>
              <w:right w:val="single" w:sz="4" w:space="0" w:color="auto"/>
            </w:tcBorders>
            <w:shd w:val="clear" w:color="auto" w:fill="auto"/>
            <w:noWrap/>
            <w:vAlign w:val="bottom"/>
            <w:hideMark/>
          </w:tcPr>
          <w:p w14:paraId="62DE8095" w14:textId="77777777" w:rsidR="00BA1338" w:rsidRPr="00545EC0" w:rsidRDefault="00BA1338" w:rsidP="004F2AF2">
            <w:pPr>
              <w:spacing w:line="240" w:lineRule="auto"/>
              <w:rPr>
                <w:rFonts w:cs="Arial"/>
                <w:sz w:val="18"/>
                <w:szCs w:val="18"/>
              </w:rPr>
            </w:pPr>
            <w:r w:rsidRPr="00545EC0">
              <w:rPr>
                <w:rFonts w:cs="Arial"/>
                <w:sz w:val="18"/>
                <w:szCs w:val="18"/>
              </w:rPr>
              <w:t>SI441VT</w:t>
            </w:r>
          </w:p>
        </w:tc>
        <w:tc>
          <w:tcPr>
            <w:tcW w:w="1847" w:type="pct"/>
            <w:tcBorders>
              <w:top w:val="nil"/>
              <w:left w:val="nil"/>
              <w:bottom w:val="single" w:sz="4" w:space="0" w:color="auto"/>
              <w:right w:val="single" w:sz="4" w:space="0" w:color="auto"/>
            </w:tcBorders>
            <w:shd w:val="clear" w:color="auto" w:fill="auto"/>
            <w:noWrap/>
            <w:vAlign w:val="bottom"/>
            <w:hideMark/>
          </w:tcPr>
          <w:p w14:paraId="0CF7BE75" w14:textId="77777777" w:rsidR="00BA1338" w:rsidRPr="00545EC0" w:rsidRDefault="00BA1338" w:rsidP="004F2AF2">
            <w:pPr>
              <w:spacing w:line="240" w:lineRule="auto"/>
              <w:rPr>
                <w:rFonts w:cs="Arial"/>
                <w:sz w:val="18"/>
                <w:szCs w:val="18"/>
              </w:rPr>
            </w:pPr>
            <w:r w:rsidRPr="00545EC0">
              <w:rPr>
                <w:rFonts w:cs="Arial"/>
                <w:sz w:val="18"/>
                <w:szCs w:val="18"/>
              </w:rPr>
              <w:t>VT Velika Krka povirje - državna meja</w:t>
            </w:r>
          </w:p>
        </w:tc>
        <w:tc>
          <w:tcPr>
            <w:tcW w:w="531" w:type="pct"/>
            <w:vMerge/>
            <w:tcBorders>
              <w:left w:val="nil"/>
              <w:right w:val="single" w:sz="4" w:space="0" w:color="auto"/>
            </w:tcBorders>
          </w:tcPr>
          <w:p w14:paraId="17523851" w14:textId="77777777" w:rsidR="00BA1338" w:rsidRPr="00545EC0" w:rsidRDefault="00BA1338" w:rsidP="004F2AF2">
            <w:pPr>
              <w:spacing w:line="240" w:lineRule="auto"/>
              <w:rPr>
                <w:rFonts w:cs="Arial"/>
                <w:sz w:val="18"/>
                <w:szCs w:val="18"/>
              </w:rPr>
            </w:pPr>
          </w:p>
        </w:tc>
        <w:tc>
          <w:tcPr>
            <w:tcW w:w="1969" w:type="pct"/>
            <w:tcBorders>
              <w:top w:val="nil"/>
              <w:left w:val="single" w:sz="4" w:space="0" w:color="auto"/>
              <w:bottom w:val="single" w:sz="4" w:space="0" w:color="auto"/>
              <w:right w:val="single" w:sz="4" w:space="0" w:color="auto"/>
            </w:tcBorders>
            <w:shd w:val="clear" w:color="auto" w:fill="auto"/>
            <w:noWrap/>
            <w:vAlign w:val="bottom"/>
            <w:hideMark/>
          </w:tcPr>
          <w:p w14:paraId="48473C8A" w14:textId="77777777" w:rsidR="00BA1338" w:rsidRPr="00545EC0" w:rsidRDefault="00BA1338" w:rsidP="004F2AF2">
            <w:pPr>
              <w:spacing w:line="240" w:lineRule="auto"/>
              <w:rPr>
                <w:rFonts w:cs="Arial"/>
                <w:sz w:val="18"/>
                <w:szCs w:val="18"/>
              </w:rPr>
            </w:pPr>
            <w:r w:rsidRPr="00545EC0">
              <w:rPr>
                <w:rFonts w:cs="Arial"/>
                <w:sz w:val="18"/>
                <w:szCs w:val="18"/>
              </w:rPr>
              <w:t>Hodoško jezero</w:t>
            </w:r>
          </w:p>
        </w:tc>
      </w:tr>
      <w:tr w:rsidR="00A34D38" w:rsidRPr="00545EC0" w14:paraId="06F23932" w14:textId="77777777" w:rsidTr="00A34D38">
        <w:trPr>
          <w:trHeight w:val="227"/>
          <w:tblHeader/>
        </w:trPr>
        <w:tc>
          <w:tcPr>
            <w:tcW w:w="654" w:type="pct"/>
            <w:tcBorders>
              <w:top w:val="nil"/>
              <w:left w:val="single" w:sz="4" w:space="0" w:color="auto"/>
              <w:bottom w:val="single" w:sz="4" w:space="0" w:color="auto"/>
              <w:right w:val="single" w:sz="4" w:space="0" w:color="auto"/>
            </w:tcBorders>
            <w:shd w:val="clear" w:color="auto" w:fill="auto"/>
            <w:noWrap/>
            <w:vAlign w:val="bottom"/>
            <w:hideMark/>
          </w:tcPr>
          <w:p w14:paraId="0AC13359" w14:textId="77777777" w:rsidR="00BA1338" w:rsidRPr="00545EC0" w:rsidRDefault="00BA1338" w:rsidP="004F2AF2">
            <w:pPr>
              <w:spacing w:line="240" w:lineRule="auto"/>
              <w:rPr>
                <w:rFonts w:cs="Arial"/>
                <w:sz w:val="18"/>
                <w:szCs w:val="18"/>
              </w:rPr>
            </w:pPr>
            <w:r w:rsidRPr="00545EC0">
              <w:rPr>
                <w:rFonts w:cs="Arial"/>
                <w:sz w:val="18"/>
                <w:szCs w:val="18"/>
              </w:rPr>
              <w:t>SI4426VT2</w:t>
            </w:r>
          </w:p>
        </w:tc>
        <w:tc>
          <w:tcPr>
            <w:tcW w:w="1847" w:type="pct"/>
            <w:tcBorders>
              <w:top w:val="nil"/>
              <w:left w:val="nil"/>
              <w:bottom w:val="single" w:sz="4" w:space="0" w:color="auto"/>
              <w:right w:val="single" w:sz="4" w:space="0" w:color="auto"/>
            </w:tcBorders>
            <w:shd w:val="clear" w:color="auto" w:fill="auto"/>
            <w:noWrap/>
            <w:vAlign w:val="bottom"/>
            <w:hideMark/>
          </w:tcPr>
          <w:p w14:paraId="30DBA317" w14:textId="77777777" w:rsidR="00BA1338" w:rsidRPr="00545EC0" w:rsidRDefault="00BA1338" w:rsidP="004F2AF2">
            <w:pPr>
              <w:spacing w:line="240" w:lineRule="auto"/>
              <w:rPr>
                <w:rFonts w:cs="Arial"/>
                <w:sz w:val="18"/>
                <w:szCs w:val="18"/>
              </w:rPr>
            </w:pPr>
            <w:r w:rsidRPr="00545EC0">
              <w:rPr>
                <w:rFonts w:cs="Arial"/>
                <w:sz w:val="18"/>
                <w:szCs w:val="18"/>
              </w:rPr>
              <w:t>VT Kobiljski potok državna meja - Ledava</w:t>
            </w:r>
          </w:p>
        </w:tc>
        <w:tc>
          <w:tcPr>
            <w:tcW w:w="531" w:type="pct"/>
            <w:vMerge/>
            <w:tcBorders>
              <w:left w:val="nil"/>
              <w:right w:val="single" w:sz="4" w:space="0" w:color="auto"/>
            </w:tcBorders>
          </w:tcPr>
          <w:p w14:paraId="750C8750" w14:textId="77777777" w:rsidR="00BA1338" w:rsidRPr="00545EC0" w:rsidRDefault="00BA1338" w:rsidP="004F2AF2">
            <w:pPr>
              <w:spacing w:line="240" w:lineRule="auto"/>
              <w:rPr>
                <w:rFonts w:cs="Arial"/>
                <w:sz w:val="18"/>
                <w:szCs w:val="18"/>
              </w:rPr>
            </w:pPr>
          </w:p>
        </w:tc>
        <w:tc>
          <w:tcPr>
            <w:tcW w:w="1969" w:type="pct"/>
            <w:tcBorders>
              <w:top w:val="nil"/>
              <w:left w:val="single" w:sz="4" w:space="0" w:color="auto"/>
              <w:bottom w:val="single" w:sz="4" w:space="0" w:color="auto"/>
              <w:right w:val="single" w:sz="4" w:space="0" w:color="auto"/>
            </w:tcBorders>
            <w:shd w:val="clear" w:color="auto" w:fill="auto"/>
            <w:noWrap/>
            <w:vAlign w:val="center"/>
            <w:hideMark/>
          </w:tcPr>
          <w:p w14:paraId="7CAFFFB8" w14:textId="77777777" w:rsidR="00BA1338" w:rsidRPr="00545EC0" w:rsidRDefault="00BA1338" w:rsidP="004F2AF2">
            <w:pPr>
              <w:spacing w:line="240" w:lineRule="auto"/>
              <w:rPr>
                <w:rFonts w:cs="Arial"/>
                <w:sz w:val="18"/>
                <w:szCs w:val="18"/>
              </w:rPr>
            </w:pPr>
            <w:r w:rsidRPr="00545EC0">
              <w:rPr>
                <w:rFonts w:cs="Arial"/>
                <w:sz w:val="18"/>
                <w:szCs w:val="18"/>
              </w:rPr>
              <w:t>Bukovniško jezero</w:t>
            </w:r>
          </w:p>
        </w:tc>
      </w:tr>
      <w:tr w:rsidR="00A34D38" w:rsidRPr="00545EC0" w14:paraId="5AD89F8D" w14:textId="77777777" w:rsidTr="00A34D38">
        <w:trPr>
          <w:trHeight w:val="227"/>
          <w:tblHeader/>
        </w:trPr>
        <w:tc>
          <w:tcPr>
            <w:tcW w:w="654" w:type="pct"/>
            <w:tcBorders>
              <w:top w:val="nil"/>
              <w:left w:val="single" w:sz="4" w:space="0" w:color="auto"/>
              <w:bottom w:val="single" w:sz="4" w:space="0" w:color="auto"/>
              <w:right w:val="single" w:sz="4" w:space="0" w:color="auto"/>
            </w:tcBorders>
            <w:shd w:val="clear" w:color="auto" w:fill="auto"/>
            <w:noWrap/>
            <w:vAlign w:val="bottom"/>
            <w:hideMark/>
          </w:tcPr>
          <w:p w14:paraId="1588F6AD" w14:textId="77777777" w:rsidR="00BA1338" w:rsidRPr="00545EC0" w:rsidRDefault="00BA1338" w:rsidP="004F2AF2">
            <w:pPr>
              <w:spacing w:line="240" w:lineRule="auto"/>
              <w:rPr>
                <w:rFonts w:cs="Arial"/>
                <w:sz w:val="18"/>
                <w:szCs w:val="18"/>
              </w:rPr>
            </w:pPr>
            <w:r w:rsidRPr="00545EC0">
              <w:rPr>
                <w:rFonts w:cs="Arial"/>
                <w:sz w:val="18"/>
                <w:szCs w:val="18"/>
              </w:rPr>
              <w:t>SI442VT12</w:t>
            </w:r>
          </w:p>
        </w:tc>
        <w:tc>
          <w:tcPr>
            <w:tcW w:w="1847" w:type="pct"/>
            <w:tcBorders>
              <w:top w:val="nil"/>
              <w:left w:val="nil"/>
              <w:bottom w:val="single" w:sz="4" w:space="0" w:color="auto"/>
              <w:right w:val="single" w:sz="4" w:space="0" w:color="auto"/>
            </w:tcBorders>
            <w:shd w:val="clear" w:color="auto" w:fill="auto"/>
            <w:noWrap/>
            <w:vAlign w:val="bottom"/>
            <w:hideMark/>
          </w:tcPr>
          <w:p w14:paraId="426C1793" w14:textId="77777777" w:rsidR="00BA1338" w:rsidRPr="00545EC0" w:rsidRDefault="00BA1338" w:rsidP="004F2AF2">
            <w:pPr>
              <w:spacing w:line="240" w:lineRule="auto"/>
              <w:rPr>
                <w:rFonts w:cs="Arial"/>
                <w:sz w:val="18"/>
                <w:szCs w:val="18"/>
              </w:rPr>
            </w:pPr>
            <w:r w:rsidRPr="00545EC0">
              <w:rPr>
                <w:rFonts w:cs="Arial"/>
                <w:sz w:val="18"/>
                <w:szCs w:val="18"/>
              </w:rPr>
              <w:t>MPVT zadrževalnik Ledavsko jezero</w:t>
            </w:r>
          </w:p>
        </w:tc>
        <w:tc>
          <w:tcPr>
            <w:tcW w:w="531" w:type="pct"/>
            <w:vMerge/>
            <w:tcBorders>
              <w:left w:val="nil"/>
              <w:bottom w:val="single" w:sz="4" w:space="0" w:color="auto"/>
              <w:right w:val="single" w:sz="4" w:space="0" w:color="auto"/>
            </w:tcBorders>
          </w:tcPr>
          <w:p w14:paraId="47D13C3E" w14:textId="77777777" w:rsidR="00BA1338" w:rsidRPr="00545EC0" w:rsidRDefault="00BA1338" w:rsidP="004F2AF2">
            <w:pPr>
              <w:spacing w:line="240" w:lineRule="auto"/>
              <w:rPr>
                <w:rFonts w:cs="Arial"/>
                <w:sz w:val="18"/>
                <w:szCs w:val="18"/>
              </w:rPr>
            </w:pPr>
          </w:p>
        </w:tc>
        <w:tc>
          <w:tcPr>
            <w:tcW w:w="1969" w:type="pct"/>
            <w:tcBorders>
              <w:top w:val="nil"/>
              <w:left w:val="single" w:sz="4" w:space="0" w:color="auto"/>
              <w:bottom w:val="single" w:sz="4" w:space="0" w:color="auto"/>
              <w:right w:val="single" w:sz="4" w:space="0" w:color="auto"/>
            </w:tcBorders>
            <w:shd w:val="clear" w:color="auto" w:fill="auto"/>
            <w:noWrap/>
            <w:vAlign w:val="bottom"/>
            <w:hideMark/>
          </w:tcPr>
          <w:p w14:paraId="4100E832" w14:textId="77777777" w:rsidR="00BA1338" w:rsidRPr="00545EC0" w:rsidRDefault="00BA1338" w:rsidP="004F2AF2">
            <w:pPr>
              <w:spacing w:line="240" w:lineRule="auto"/>
              <w:rPr>
                <w:rFonts w:cs="Arial"/>
                <w:sz w:val="18"/>
                <w:szCs w:val="18"/>
              </w:rPr>
            </w:pPr>
            <w:r w:rsidRPr="00545EC0">
              <w:rPr>
                <w:rFonts w:cs="Arial"/>
                <w:sz w:val="18"/>
                <w:szCs w:val="18"/>
              </w:rPr>
              <w:t>Ledavsko jezero</w:t>
            </w:r>
          </w:p>
        </w:tc>
      </w:tr>
    </w:tbl>
    <w:p w14:paraId="436DD8D0" w14:textId="77777777" w:rsidR="00BA1338" w:rsidRPr="00545EC0" w:rsidRDefault="00BA1338" w:rsidP="00BA1338">
      <w:pPr>
        <w:spacing w:line="240" w:lineRule="auto"/>
        <w:rPr>
          <w:rFonts w:cs="Arial"/>
          <w:sz w:val="16"/>
        </w:rPr>
      </w:pPr>
    </w:p>
    <w:p w14:paraId="68236F50" w14:textId="501B9034" w:rsidR="00BA1338" w:rsidRPr="00545EC0" w:rsidRDefault="00BA1338" w:rsidP="00BA1338">
      <w:pPr>
        <w:spacing w:line="240" w:lineRule="auto"/>
        <w:rPr>
          <w:rFonts w:cs="Arial"/>
          <w:i/>
          <w:sz w:val="18"/>
          <w:szCs w:val="18"/>
        </w:rPr>
      </w:pPr>
      <w:r w:rsidRPr="00545EC0">
        <w:rPr>
          <w:rFonts w:cs="Arial"/>
          <w:i/>
          <w:sz w:val="18"/>
          <w:szCs w:val="18"/>
        </w:rPr>
        <w:t xml:space="preserve">*ugrezninska jezera, ki povzročajo zajezitev nekdanjih vodotokov </w:t>
      </w:r>
      <w:r w:rsidR="00F22933" w:rsidRPr="00545EC0">
        <w:rPr>
          <w:rFonts w:cs="Arial"/>
          <w:i/>
          <w:sz w:val="18"/>
          <w:szCs w:val="18"/>
        </w:rPr>
        <w:t>Sopote</w:t>
      </w:r>
      <w:r w:rsidRPr="00545EC0">
        <w:rPr>
          <w:rFonts w:cs="Arial"/>
          <w:i/>
          <w:sz w:val="18"/>
          <w:szCs w:val="18"/>
        </w:rPr>
        <w:t xml:space="preserve"> in Lepene</w:t>
      </w:r>
    </w:p>
    <w:p w14:paraId="32724267" w14:textId="77777777" w:rsidR="00BA1338" w:rsidRPr="00545EC0" w:rsidRDefault="00BA1338" w:rsidP="00BA1338">
      <w:pPr>
        <w:rPr>
          <w:rFonts w:cs="Arial"/>
        </w:rPr>
      </w:pPr>
    </w:p>
    <w:p w14:paraId="646A4A4C" w14:textId="3411BE04"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i/>
        </w:rPr>
      </w:pPr>
      <w:r w:rsidRPr="00545EC0">
        <w:rPr>
          <w:rFonts w:cs="Arial"/>
        </w:rPr>
        <w:t xml:space="preserve">Vse navedene zajezitve in zadrževalniki so obravnavane kot pomembne obremenitve. </w:t>
      </w:r>
      <w:r w:rsidRPr="00545EC0">
        <w:rPr>
          <w:rFonts w:cs="Arial"/>
          <w:lang w:eastAsia="ja-JP"/>
        </w:rPr>
        <w:t>Deli vodnih teles površinskih voda, na katerih so prisotne pomembne obremenitve, so prikazani na</w:t>
      </w:r>
      <w:r w:rsidR="002B19AC" w:rsidRPr="00545EC0">
        <w:rPr>
          <w:rFonts w:cs="Arial"/>
          <w:lang w:eastAsia="ja-JP"/>
        </w:rPr>
        <w:t xml:space="preserve"> publikacijski</w:t>
      </w:r>
      <w:r w:rsidRPr="00545EC0">
        <w:rPr>
          <w:rFonts w:cs="Arial"/>
          <w:lang w:eastAsia="ja-JP"/>
        </w:rPr>
        <w:t xml:space="preserve"> </w:t>
      </w:r>
      <w:r w:rsidR="003A3979" w:rsidRPr="00545EC0">
        <w:rPr>
          <w:rFonts w:cs="Arial"/>
          <w:lang w:eastAsia="ja-JP"/>
        </w:rPr>
        <w:t xml:space="preserve">karti </w:t>
      </w:r>
      <w:r w:rsidR="003A3979" w:rsidRPr="00545EC0">
        <w:rPr>
          <w:rFonts w:cs="Arial"/>
          <w:i/>
          <w:lang w:eastAsia="ja-JP"/>
        </w:rPr>
        <w:t>(Publikacijska karta 4.4: Zajezitve in zadrževalniki ter pomembne obremenitve dVTPV)</w:t>
      </w:r>
      <w:r w:rsidR="00F30D81" w:rsidRPr="00545EC0">
        <w:rPr>
          <w:rFonts w:cs="Arial"/>
          <w:i/>
          <w:lang w:eastAsia="ja-JP"/>
        </w:rPr>
        <w:t>.</w:t>
      </w:r>
    </w:p>
    <w:p w14:paraId="5CB1407E" w14:textId="2008D550" w:rsidR="00BA1338" w:rsidRPr="00545EC0" w:rsidRDefault="00BE42F5" w:rsidP="00BA1338">
      <w:pPr>
        <w:spacing w:before="240" w:after="240"/>
        <w:rPr>
          <w:rFonts w:cs="Arial"/>
          <w:b/>
        </w:rPr>
      </w:pPr>
      <w:r w:rsidRPr="00545EC0">
        <w:rPr>
          <w:rFonts w:cs="Arial"/>
          <w:szCs w:val="20"/>
          <w:lang w:eastAsia="ja-JP"/>
        </w:rPr>
        <w:t xml:space="preserve">Na VO Donave je največji delež dVTPV-jev s pomembno obremenitvijo zaradi zajezitev in zadrževalnikov ugotovljen na porečjih Drave, Spodnje Save, Mure in Savinje, pri čemer je obremenitev prisotna tako na glavnem toku kot pritokih. Pomembne obremenitve tako na glavnem toku kot pritokih so prisotne tudi na porečjih Zgornje in Srednje Save, medtem ko so porečju Spodnje Save pomembne obremenitve prisotne le na dVTPV-jih na glavnem toku </w:t>
      </w:r>
      <w:r w:rsidR="00BA1338" w:rsidRPr="00545EC0">
        <w:rPr>
          <w:rFonts w:cs="Arial"/>
        </w:rPr>
        <w:t>(</w:t>
      </w:r>
      <w:r w:rsidR="0062695B" w:rsidRPr="00545EC0">
        <w:rPr>
          <w:rFonts w:cs="Arial"/>
        </w:rPr>
        <w:fldChar w:fldCharType="begin"/>
      </w:r>
      <w:r w:rsidR="0062695B" w:rsidRPr="00545EC0">
        <w:rPr>
          <w:rFonts w:cs="Arial"/>
        </w:rPr>
        <w:instrText xml:space="preserve"> REF _Ref84330678 \h </w:instrText>
      </w:r>
      <w:r w:rsidR="00F37A91" w:rsidRPr="00545EC0">
        <w:rPr>
          <w:rFonts w:cs="Arial"/>
        </w:rPr>
        <w:instrText xml:space="preserve"> \* MERGEFORMAT </w:instrText>
      </w:r>
      <w:r w:rsidR="0062695B" w:rsidRPr="00545EC0">
        <w:rPr>
          <w:rFonts w:cs="Arial"/>
        </w:rPr>
      </w:r>
      <w:r w:rsidR="0062695B" w:rsidRPr="00545EC0">
        <w:rPr>
          <w:rFonts w:cs="Arial"/>
        </w:rPr>
        <w:fldChar w:fldCharType="separate"/>
      </w:r>
      <w:r w:rsidR="002F3E43" w:rsidRPr="00545EC0">
        <w:t xml:space="preserve">Slika </w:t>
      </w:r>
      <w:r w:rsidR="002F3E43">
        <w:rPr>
          <w:noProof/>
        </w:rPr>
        <w:t>2</w:t>
      </w:r>
      <w:r w:rsidR="002F3E43" w:rsidRPr="00545EC0">
        <w:rPr>
          <w:noProof/>
        </w:rPr>
        <w:noBreakHyphen/>
      </w:r>
      <w:r w:rsidR="002F3E43">
        <w:rPr>
          <w:noProof/>
        </w:rPr>
        <w:t>14</w:t>
      </w:r>
      <w:r w:rsidR="0062695B" w:rsidRPr="00545EC0">
        <w:rPr>
          <w:rFonts w:cs="Arial"/>
        </w:rPr>
        <w:fldChar w:fldCharType="end"/>
      </w:r>
      <w:r w:rsidR="00BA1338" w:rsidRPr="00545EC0">
        <w:rPr>
          <w:rFonts w:cs="Arial"/>
        </w:rPr>
        <w:t>)</w:t>
      </w:r>
      <w:r w:rsidR="00BA1338" w:rsidRPr="00545EC0">
        <w:rPr>
          <w:rFonts w:cs="Arial"/>
          <w:szCs w:val="20"/>
          <w:lang w:eastAsia="ja-JP"/>
        </w:rPr>
        <w:t xml:space="preserve">.  </w:t>
      </w:r>
    </w:p>
    <w:p w14:paraId="3147D88A" w14:textId="77777777" w:rsidR="0062695B" w:rsidRPr="00545EC0" w:rsidRDefault="00BA1338" w:rsidP="0062695B">
      <w:pPr>
        <w:keepNext/>
        <w:spacing w:before="240" w:after="240"/>
        <w:jc w:val="left"/>
      </w:pPr>
      <w:r w:rsidRPr="00545EC0">
        <w:rPr>
          <w:noProof/>
        </w:rPr>
        <w:drawing>
          <wp:inline distT="0" distB="0" distL="0" distR="0" wp14:anchorId="5A5C147A" wp14:editId="1A13EE05">
            <wp:extent cx="5518975" cy="3217653"/>
            <wp:effectExtent l="0" t="0" r="5715" b="190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34930" cy="3226955"/>
                    </a:xfrm>
                    <a:prstGeom prst="rect">
                      <a:avLst/>
                    </a:prstGeom>
                    <a:noFill/>
                  </pic:spPr>
                </pic:pic>
              </a:graphicData>
            </a:graphic>
          </wp:inline>
        </w:drawing>
      </w:r>
    </w:p>
    <w:p w14:paraId="0473DA45" w14:textId="6A820BE8" w:rsidR="00BA1338" w:rsidRPr="00545EC0" w:rsidRDefault="0062695B" w:rsidP="000B7BF8">
      <w:pPr>
        <w:pStyle w:val="Napis"/>
        <w:jc w:val="left"/>
        <w:rPr>
          <w:b/>
        </w:rPr>
      </w:pPr>
      <w:bookmarkStart w:id="196" w:name="_Ref84330678"/>
      <w:r w:rsidRPr="00545EC0">
        <w:t xml:space="preserve">Slika </w:t>
      </w:r>
      <w:fldSimple w:instr=" STYLEREF 1 \s ">
        <w:r w:rsidR="002F3E43">
          <w:rPr>
            <w:noProof/>
          </w:rPr>
          <w:t>2</w:t>
        </w:r>
      </w:fldSimple>
      <w:r w:rsidR="00396E1E" w:rsidRPr="00545EC0">
        <w:noBreakHyphen/>
      </w:r>
      <w:fldSimple w:instr=" SEQ Slika \* ARABIC \s 1 ">
        <w:r w:rsidR="002F3E43">
          <w:rPr>
            <w:noProof/>
          </w:rPr>
          <w:t>14</w:t>
        </w:r>
      </w:fldSimple>
      <w:bookmarkEnd w:id="196"/>
      <w:r w:rsidRPr="00545EC0">
        <w:t>: Delež števila dVTPV s pomembno obremenitvijo zaradi zajezitev na porečjih na VO Donave</w:t>
      </w:r>
    </w:p>
    <w:p w14:paraId="6B89424F" w14:textId="77777777" w:rsidR="00BA1338" w:rsidRPr="00545EC0" w:rsidRDefault="00BA1338" w:rsidP="00BA1338">
      <w:pPr>
        <w:tabs>
          <w:tab w:val="num" w:pos="360"/>
          <w:tab w:val="num" w:pos="567"/>
          <w:tab w:val="left" w:pos="9600"/>
        </w:tabs>
        <w:spacing w:before="120"/>
        <w:rPr>
          <w:rFonts w:cs="Arial"/>
          <w:b/>
        </w:rPr>
      </w:pPr>
      <w:r w:rsidRPr="00545EC0">
        <w:rPr>
          <w:rFonts w:cs="Arial"/>
          <w:b/>
        </w:rPr>
        <w:t>Hidrološke obremenitve – osuševanje zemljišč</w:t>
      </w:r>
    </w:p>
    <w:p w14:paraId="0BC1C837" w14:textId="77777777" w:rsidR="00BA1338" w:rsidRPr="00545EC0" w:rsidRDefault="00BA1338" w:rsidP="00BA1338">
      <w:pPr>
        <w:tabs>
          <w:tab w:val="num" w:pos="360"/>
          <w:tab w:val="num" w:pos="567"/>
          <w:tab w:val="left" w:pos="9600"/>
        </w:tabs>
        <w:spacing w:before="120"/>
        <w:rPr>
          <w:rFonts w:cs="Tahoma"/>
          <w:szCs w:val="20"/>
        </w:rPr>
      </w:pPr>
      <w:r w:rsidRPr="00545EC0">
        <w:rPr>
          <w:rFonts w:cs="Arial"/>
        </w:rPr>
        <w:lastRenderedPageBreak/>
        <w:t>Pri obravnavi osuševanja zemljišč so privzeti podatki o osuševalnih sistemih v Sloveniji iz Katastra melioracijskih sistemov in naprav (MKGP, 2021). Na podlagi podatkov o površini osuševalnih sistemov je za posamezen dVTPV izračunan delež površine osuševalnih sistemov glede na celotno prispevno površino dVTPV</w:t>
      </w:r>
      <w:r w:rsidRPr="00545EC0">
        <w:rPr>
          <w:rFonts w:cs="Tahoma"/>
          <w:szCs w:val="20"/>
        </w:rPr>
        <w:t>.</w:t>
      </w:r>
    </w:p>
    <w:p w14:paraId="242A8EAB" w14:textId="4EA2AFF5" w:rsidR="00BA1338" w:rsidRPr="00545EC0" w:rsidRDefault="00BA1338" w:rsidP="00BA1338">
      <w:pPr>
        <w:tabs>
          <w:tab w:val="num" w:pos="360"/>
          <w:tab w:val="num" w:pos="567"/>
          <w:tab w:val="left" w:pos="9600"/>
        </w:tabs>
        <w:spacing w:before="120"/>
        <w:rPr>
          <w:rFonts w:cs="Tahoma"/>
          <w:szCs w:val="20"/>
        </w:rPr>
      </w:pPr>
      <w:r w:rsidRPr="00545EC0">
        <w:rPr>
          <w:rFonts w:cs="Tahoma"/>
          <w:szCs w:val="20"/>
        </w:rPr>
        <w:t>Največji delež površine z osuševalnimi sistemi je na porečju Mure in Drave (</w:t>
      </w:r>
      <w:r w:rsidR="00596361" w:rsidRPr="00545EC0">
        <w:rPr>
          <w:rFonts w:cs="Tahoma"/>
          <w:szCs w:val="20"/>
        </w:rPr>
        <w:fldChar w:fldCharType="begin"/>
      </w:r>
      <w:r w:rsidR="00596361" w:rsidRPr="00545EC0">
        <w:rPr>
          <w:rFonts w:cs="Tahoma"/>
          <w:szCs w:val="20"/>
        </w:rPr>
        <w:instrText xml:space="preserve"> REF _Ref84338784 \h </w:instrText>
      </w:r>
      <w:r w:rsidR="00F37A91" w:rsidRPr="00545EC0">
        <w:rPr>
          <w:rFonts w:cs="Tahoma"/>
          <w:szCs w:val="20"/>
        </w:rPr>
        <w:instrText xml:space="preserve"> \* MERGEFORMAT </w:instrText>
      </w:r>
      <w:r w:rsidR="00596361" w:rsidRPr="00545EC0">
        <w:rPr>
          <w:rFonts w:cs="Tahoma"/>
          <w:szCs w:val="20"/>
        </w:rPr>
      </w:r>
      <w:r w:rsidR="00596361" w:rsidRPr="00545EC0">
        <w:rPr>
          <w:rFonts w:cs="Tahoma"/>
          <w:szCs w:val="20"/>
        </w:rPr>
        <w:fldChar w:fldCharType="separate"/>
      </w:r>
      <w:r w:rsidR="002F3E43" w:rsidRPr="00545EC0">
        <w:rPr>
          <w:szCs w:val="20"/>
        </w:rPr>
        <w:t xml:space="preserve">Slika </w:t>
      </w:r>
      <w:r w:rsidR="002F3E43">
        <w:rPr>
          <w:noProof/>
          <w:szCs w:val="20"/>
        </w:rPr>
        <w:t>2</w:t>
      </w:r>
      <w:r w:rsidR="002F3E43" w:rsidRPr="00545EC0">
        <w:rPr>
          <w:noProof/>
          <w:szCs w:val="20"/>
        </w:rPr>
        <w:noBreakHyphen/>
      </w:r>
      <w:r w:rsidR="002F3E43">
        <w:rPr>
          <w:noProof/>
          <w:szCs w:val="20"/>
        </w:rPr>
        <w:t>15</w:t>
      </w:r>
      <w:r w:rsidR="00596361" w:rsidRPr="00545EC0">
        <w:rPr>
          <w:rFonts w:cs="Tahoma"/>
          <w:szCs w:val="20"/>
        </w:rPr>
        <w:fldChar w:fldCharType="end"/>
      </w:r>
      <w:r w:rsidRPr="00545EC0">
        <w:rPr>
          <w:rFonts w:cs="Tahoma"/>
          <w:szCs w:val="20"/>
        </w:rPr>
        <w:t>).</w:t>
      </w:r>
    </w:p>
    <w:p w14:paraId="0FB001CD" w14:textId="77777777" w:rsidR="00BA1338" w:rsidRPr="00545EC0" w:rsidRDefault="00BA1338" w:rsidP="00BA1338">
      <w:pPr>
        <w:tabs>
          <w:tab w:val="num" w:pos="360"/>
          <w:tab w:val="num" w:pos="567"/>
          <w:tab w:val="left" w:pos="9600"/>
        </w:tabs>
        <w:rPr>
          <w:rFonts w:cs="Tahoma"/>
          <w:szCs w:val="20"/>
        </w:rPr>
      </w:pPr>
    </w:p>
    <w:p w14:paraId="6160319C" w14:textId="77777777" w:rsidR="00596361" w:rsidRPr="00545EC0" w:rsidRDefault="00BA1338" w:rsidP="00596361">
      <w:pPr>
        <w:keepNext/>
        <w:tabs>
          <w:tab w:val="num" w:pos="360"/>
          <w:tab w:val="num" w:pos="567"/>
          <w:tab w:val="left" w:pos="9600"/>
        </w:tabs>
        <w:spacing w:before="120"/>
        <w:jc w:val="left"/>
      </w:pPr>
      <w:r w:rsidRPr="00545EC0">
        <w:rPr>
          <w:rFonts w:cs="Tahoma"/>
          <w:noProof/>
          <w:szCs w:val="20"/>
        </w:rPr>
        <w:drawing>
          <wp:inline distT="0" distB="0" distL="0" distR="0" wp14:anchorId="6D476705" wp14:editId="087D4717">
            <wp:extent cx="5571973" cy="3379758"/>
            <wp:effectExtent l="19050" t="19050" r="10160" b="1143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84032" cy="3387073"/>
                    </a:xfrm>
                    <a:prstGeom prst="rect">
                      <a:avLst/>
                    </a:prstGeom>
                    <a:noFill/>
                    <a:ln>
                      <a:solidFill>
                        <a:schemeClr val="bg1">
                          <a:lumMod val="75000"/>
                        </a:schemeClr>
                      </a:solidFill>
                    </a:ln>
                  </pic:spPr>
                </pic:pic>
              </a:graphicData>
            </a:graphic>
          </wp:inline>
        </w:drawing>
      </w:r>
    </w:p>
    <w:p w14:paraId="6E41DA7B" w14:textId="5CE20FE1" w:rsidR="00BA1338" w:rsidRPr="00545EC0" w:rsidRDefault="00596361" w:rsidP="00596361">
      <w:pPr>
        <w:pStyle w:val="Napis"/>
        <w:jc w:val="left"/>
        <w:rPr>
          <w:rFonts w:cs="Tahoma"/>
          <w:szCs w:val="20"/>
        </w:rPr>
      </w:pPr>
      <w:bookmarkStart w:id="197" w:name="_Ref84338784"/>
      <w:r w:rsidRPr="00545EC0">
        <w:rPr>
          <w:szCs w:val="20"/>
        </w:rPr>
        <w:t xml:space="preserve">Slika </w:t>
      </w:r>
      <w:r w:rsidR="00396E1E" w:rsidRPr="00545EC0">
        <w:rPr>
          <w:szCs w:val="20"/>
        </w:rPr>
        <w:fldChar w:fldCharType="begin"/>
      </w:r>
      <w:r w:rsidR="00396E1E" w:rsidRPr="00545EC0">
        <w:rPr>
          <w:szCs w:val="20"/>
        </w:rPr>
        <w:instrText xml:space="preserve"> STYLEREF 1 \s </w:instrText>
      </w:r>
      <w:r w:rsidR="00396E1E" w:rsidRPr="00545EC0">
        <w:rPr>
          <w:szCs w:val="20"/>
        </w:rPr>
        <w:fldChar w:fldCharType="separate"/>
      </w:r>
      <w:r w:rsidR="002F3E43">
        <w:rPr>
          <w:noProof/>
          <w:szCs w:val="20"/>
        </w:rPr>
        <w:t>2</w:t>
      </w:r>
      <w:r w:rsidR="00396E1E" w:rsidRPr="00545EC0">
        <w:rPr>
          <w:szCs w:val="20"/>
        </w:rPr>
        <w:fldChar w:fldCharType="end"/>
      </w:r>
      <w:r w:rsidR="00396E1E" w:rsidRPr="00545EC0">
        <w:rPr>
          <w:szCs w:val="20"/>
        </w:rPr>
        <w:noBreakHyphen/>
      </w:r>
      <w:r w:rsidR="00396E1E" w:rsidRPr="00545EC0">
        <w:rPr>
          <w:szCs w:val="20"/>
        </w:rPr>
        <w:fldChar w:fldCharType="begin"/>
      </w:r>
      <w:r w:rsidR="00396E1E" w:rsidRPr="00545EC0">
        <w:rPr>
          <w:szCs w:val="20"/>
        </w:rPr>
        <w:instrText xml:space="preserve"> SEQ Slika \* ARABIC \s 1 </w:instrText>
      </w:r>
      <w:r w:rsidR="00396E1E" w:rsidRPr="00545EC0">
        <w:rPr>
          <w:szCs w:val="20"/>
        </w:rPr>
        <w:fldChar w:fldCharType="separate"/>
      </w:r>
      <w:r w:rsidR="002F3E43">
        <w:rPr>
          <w:noProof/>
          <w:szCs w:val="20"/>
        </w:rPr>
        <w:t>15</w:t>
      </w:r>
      <w:r w:rsidR="00396E1E" w:rsidRPr="00545EC0">
        <w:rPr>
          <w:szCs w:val="20"/>
        </w:rPr>
        <w:fldChar w:fldCharType="end"/>
      </w:r>
      <w:bookmarkEnd w:id="197"/>
      <w:r w:rsidRPr="00545EC0">
        <w:rPr>
          <w:szCs w:val="20"/>
        </w:rPr>
        <w:t>:</w:t>
      </w:r>
      <w:r w:rsidRPr="00545EC0">
        <w:rPr>
          <w:rFonts w:cs="Tahoma"/>
          <w:szCs w:val="20"/>
        </w:rPr>
        <w:t xml:space="preserve"> Delež površine porečja z osuševalnimi sistemi po porečjih na VO Donave</w:t>
      </w:r>
    </w:p>
    <w:p w14:paraId="71808514" w14:textId="4B05DA3E" w:rsidR="00BA1338" w:rsidRPr="00545EC0" w:rsidRDefault="00BA1338" w:rsidP="00BA1338">
      <w:pPr>
        <w:tabs>
          <w:tab w:val="num" w:pos="360"/>
          <w:tab w:val="num" w:pos="567"/>
          <w:tab w:val="left" w:pos="9600"/>
        </w:tabs>
        <w:rPr>
          <w:rFonts w:cs="Arial"/>
        </w:rPr>
      </w:pPr>
    </w:p>
    <w:p w14:paraId="57C15649" w14:textId="3A9FDA86" w:rsidR="00887665" w:rsidRPr="00545EC0" w:rsidRDefault="00BA1338" w:rsidP="000B7BF8">
      <w:r w:rsidRPr="00545EC0">
        <w:t xml:space="preserve">Osuševanje zemljišč je prepoznano kot pomembna obremenitev, če površina osuševalnih sistemov znaša več kot 14 % celotne prispevne površine dVTPV. </w:t>
      </w:r>
      <w:r w:rsidR="00303E4E" w:rsidRPr="00545EC0">
        <w:t>Navedeno merilo oz. mejna vrednost je določena</w:t>
      </w:r>
      <w:r w:rsidR="00F7031A" w:rsidRPr="00545EC0">
        <w:t xml:space="preserve"> v</w:t>
      </w:r>
      <w:r w:rsidR="00303E4E" w:rsidRPr="00545EC0">
        <w:t xml:space="preserve"> predhodnem načrtu upravljanja voda </w:t>
      </w:r>
      <w:r w:rsidR="00303E4E" w:rsidRPr="00545EC0">
        <w:rPr>
          <w:rFonts w:cs="Arial"/>
          <w:szCs w:val="20"/>
        </w:rPr>
        <w:t xml:space="preserve">na podlagi </w:t>
      </w:r>
      <w:r w:rsidR="00303E4E" w:rsidRPr="00545EC0">
        <w:rPr>
          <w:rFonts w:cs="Arial"/>
        </w:rPr>
        <w:t xml:space="preserve">povezanosti/soodvisnosti med izračuni obremenitev na vodnih telesih površinskih voda in rezultati državnega monitoringa stanja površinskih voda. </w:t>
      </w:r>
      <w:r w:rsidRPr="00545EC0">
        <w:t>Pomembna obremenitev zaradi osuševanja zemljišč je prepoznana na dVTPV, ki so navedeni v preglednici v nadaljevanju (</w:t>
      </w:r>
      <w:r w:rsidR="00E317F6" w:rsidRPr="00545EC0">
        <w:fldChar w:fldCharType="begin"/>
      </w:r>
      <w:r w:rsidR="00E317F6" w:rsidRPr="00545EC0">
        <w:instrText xml:space="preserve"> REF _Ref84496506 \h </w:instrText>
      </w:r>
      <w:r w:rsidR="003122F4" w:rsidRPr="00545EC0">
        <w:instrText xml:space="preserve"> \* MERGEFORMAT </w:instrText>
      </w:r>
      <w:r w:rsidR="00E317F6" w:rsidRPr="00545EC0">
        <w:fldChar w:fldCharType="separate"/>
      </w:r>
      <w:r w:rsidR="002F3E43" w:rsidRPr="00545EC0">
        <w:t xml:space="preserve">Preglednica </w:t>
      </w:r>
      <w:r w:rsidR="002F3E43">
        <w:rPr>
          <w:noProof/>
        </w:rPr>
        <w:t>2</w:t>
      </w:r>
      <w:r w:rsidR="002F3E43" w:rsidRPr="00545EC0">
        <w:rPr>
          <w:noProof/>
        </w:rPr>
        <w:noBreakHyphen/>
      </w:r>
      <w:r w:rsidR="002F3E43">
        <w:rPr>
          <w:noProof/>
        </w:rPr>
        <w:t>26</w:t>
      </w:r>
      <w:r w:rsidR="00E317F6" w:rsidRPr="00545EC0">
        <w:fldChar w:fldCharType="end"/>
      </w:r>
      <w:r w:rsidR="000B7BF8" w:rsidRPr="00545EC0">
        <w:t>).</w:t>
      </w:r>
      <w:r w:rsidR="00303E4E" w:rsidRPr="00545EC0">
        <w:t xml:space="preserve"> </w:t>
      </w:r>
    </w:p>
    <w:p w14:paraId="2D8688E9" w14:textId="77777777" w:rsidR="000B7BF8" w:rsidRPr="00545EC0" w:rsidRDefault="000B7BF8" w:rsidP="000B7BF8"/>
    <w:p w14:paraId="7E2E5F22" w14:textId="5E9DB1EF" w:rsidR="00887665" w:rsidRPr="00545EC0" w:rsidRDefault="00887665" w:rsidP="00887665">
      <w:pPr>
        <w:pStyle w:val="Napis"/>
        <w:keepNext/>
      </w:pPr>
      <w:bookmarkStart w:id="198" w:name="_Ref84496506"/>
      <w:bookmarkStart w:id="199" w:name="_Ref84255452"/>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26</w:t>
        </w:r>
      </w:fldSimple>
      <w:bookmarkEnd w:id="198"/>
      <w:r w:rsidRPr="00545EC0">
        <w:t>: Vodna telesa površinskih voda in njihovi deli s pomembno obremenitvijo zaradi osuševanja zemljišč</w:t>
      </w:r>
      <w:bookmarkEnd w:id="1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7"/>
        <w:gridCol w:w="3261"/>
        <w:gridCol w:w="2268"/>
        <w:gridCol w:w="991"/>
        <w:gridCol w:w="707"/>
        <w:gridCol w:w="777"/>
      </w:tblGrid>
      <w:tr w:rsidR="003122F4" w:rsidRPr="00545EC0" w14:paraId="05411E70" w14:textId="77777777" w:rsidTr="003122F4">
        <w:trPr>
          <w:trHeight w:val="227"/>
          <w:tblHeader/>
        </w:trPr>
        <w:tc>
          <w:tcPr>
            <w:tcW w:w="655" w:type="pct"/>
            <w:shd w:val="clear" w:color="auto" w:fill="F2F2F2" w:themeFill="background1" w:themeFillShade="F2"/>
            <w:noWrap/>
            <w:vAlign w:val="center"/>
          </w:tcPr>
          <w:p w14:paraId="23C1E3D7" w14:textId="77777777" w:rsidR="00BA1338" w:rsidRPr="00545EC0" w:rsidRDefault="00BA1338" w:rsidP="004F2AF2">
            <w:pPr>
              <w:spacing w:line="240" w:lineRule="auto"/>
              <w:rPr>
                <w:rFonts w:cs="Arial"/>
                <w:b/>
                <w:sz w:val="18"/>
                <w:szCs w:val="18"/>
              </w:rPr>
            </w:pPr>
            <w:r w:rsidRPr="00545EC0">
              <w:rPr>
                <w:rFonts w:cs="Arial"/>
                <w:b/>
                <w:bCs/>
                <w:sz w:val="18"/>
                <w:szCs w:val="18"/>
              </w:rPr>
              <w:t>Šifra VTPV</w:t>
            </w:r>
          </w:p>
        </w:tc>
        <w:tc>
          <w:tcPr>
            <w:tcW w:w="1770" w:type="pct"/>
            <w:shd w:val="clear" w:color="auto" w:fill="F2F2F2" w:themeFill="background1" w:themeFillShade="F2"/>
            <w:noWrap/>
            <w:vAlign w:val="center"/>
          </w:tcPr>
          <w:p w14:paraId="604E7636" w14:textId="77777777" w:rsidR="00BA1338" w:rsidRPr="00545EC0" w:rsidRDefault="00BA1338" w:rsidP="004F2AF2">
            <w:pPr>
              <w:spacing w:line="240" w:lineRule="auto"/>
              <w:rPr>
                <w:rFonts w:cs="Arial"/>
                <w:b/>
                <w:sz w:val="18"/>
                <w:szCs w:val="18"/>
              </w:rPr>
            </w:pPr>
            <w:r w:rsidRPr="00545EC0">
              <w:rPr>
                <w:rFonts w:cs="Arial"/>
                <w:b/>
                <w:bCs/>
                <w:sz w:val="18"/>
                <w:szCs w:val="18"/>
              </w:rPr>
              <w:t>Ime VTPV</w:t>
            </w:r>
          </w:p>
        </w:tc>
        <w:tc>
          <w:tcPr>
            <w:tcW w:w="1231" w:type="pct"/>
            <w:shd w:val="clear" w:color="auto" w:fill="F2F2F2" w:themeFill="background1" w:themeFillShade="F2"/>
            <w:vAlign w:val="center"/>
          </w:tcPr>
          <w:p w14:paraId="3D19DDEB" w14:textId="77777777" w:rsidR="00BA1338" w:rsidRPr="00545EC0" w:rsidRDefault="00BA1338" w:rsidP="004F2AF2">
            <w:pPr>
              <w:spacing w:line="240" w:lineRule="auto"/>
              <w:rPr>
                <w:rFonts w:cs="Arial"/>
                <w:b/>
                <w:sz w:val="18"/>
                <w:szCs w:val="18"/>
              </w:rPr>
            </w:pPr>
            <w:r w:rsidRPr="00545EC0">
              <w:rPr>
                <w:rFonts w:cs="Arial"/>
                <w:b/>
                <w:sz w:val="18"/>
                <w:szCs w:val="18"/>
              </w:rPr>
              <w:t>Ime vodotoka dVTPV</w:t>
            </w:r>
          </w:p>
        </w:tc>
        <w:tc>
          <w:tcPr>
            <w:tcW w:w="538" w:type="pct"/>
            <w:shd w:val="clear" w:color="auto" w:fill="F2F2F2" w:themeFill="background1" w:themeFillShade="F2"/>
            <w:vAlign w:val="center"/>
          </w:tcPr>
          <w:p w14:paraId="24635438" w14:textId="77777777" w:rsidR="00BA1338" w:rsidRPr="00545EC0" w:rsidRDefault="00BA1338" w:rsidP="004F2AF2">
            <w:pPr>
              <w:spacing w:line="240" w:lineRule="auto"/>
              <w:rPr>
                <w:rFonts w:cs="Arial"/>
                <w:b/>
                <w:sz w:val="18"/>
                <w:szCs w:val="18"/>
              </w:rPr>
            </w:pPr>
            <w:r w:rsidRPr="00545EC0">
              <w:rPr>
                <w:rFonts w:cs="Arial"/>
                <w:b/>
                <w:sz w:val="18"/>
                <w:szCs w:val="18"/>
              </w:rPr>
              <w:t>Porečje</w:t>
            </w:r>
          </w:p>
        </w:tc>
        <w:tc>
          <w:tcPr>
            <w:tcW w:w="384" w:type="pct"/>
            <w:shd w:val="clear" w:color="auto" w:fill="F2F2F2" w:themeFill="background1" w:themeFillShade="F2"/>
            <w:noWrap/>
            <w:vAlign w:val="center"/>
          </w:tcPr>
          <w:p w14:paraId="11A2A5A3" w14:textId="77777777" w:rsidR="00BA1338" w:rsidRPr="00545EC0" w:rsidRDefault="00BA1338" w:rsidP="003122F4">
            <w:pPr>
              <w:spacing w:line="240" w:lineRule="auto"/>
              <w:jc w:val="left"/>
              <w:rPr>
                <w:rFonts w:cs="Arial"/>
                <w:b/>
                <w:sz w:val="18"/>
                <w:szCs w:val="18"/>
              </w:rPr>
            </w:pPr>
            <w:r w:rsidRPr="00545EC0">
              <w:rPr>
                <w:rFonts w:cs="Arial"/>
                <w:b/>
                <w:sz w:val="18"/>
                <w:szCs w:val="18"/>
              </w:rPr>
              <w:t>PO - GT</w:t>
            </w:r>
          </w:p>
        </w:tc>
        <w:tc>
          <w:tcPr>
            <w:tcW w:w="422" w:type="pct"/>
            <w:shd w:val="clear" w:color="auto" w:fill="F2F2F2" w:themeFill="background1" w:themeFillShade="F2"/>
            <w:vAlign w:val="center"/>
          </w:tcPr>
          <w:p w14:paraId="27B92805" w14:textId="77777777" w:rsidR="00BA1338" w:rsidRPr="00545EC0" w:rsidRDefault="00BA1338" w:rsidP="003122F4">
            <w:pPr>
              <w:spacing w:line="240" w:lineRule="auto"/>
              <w:jc w:val="left"/>
              <w:rPr>
                <w:rFonts w:cs="Arial"/>
                <w:b/>
                <w:sz w:val="18"/>
                <w:szCs w:val="18"/>
              </w:rPr>
            </w:pPr>
            <w:r w:rsidRPr="00545EC0">
              <w:rPr>
                <w:rFonts w:cs="Arial"/>
                <w:b/>
                <w:sz w:val="18"/>
                <w:szCs w:val="18"/>
              </w:rPr>
              <w:t>PO - PR</w:t>
            </w:r>
          </w:p>
        </w:tc>
      </w:tr>
      <w:tr w:rsidR="003122F4" w:rsidRPr="00545EC0" w14:paraId="0208BC7F" w14:textId="77777777" w:rsidTr="003122F4">
        <w:trPr>
          <w:trHeight w:val="227"/>
        </w:trPr>
        <w:tc>
          <w:tcPr>
            <w:tcW w:w="655" w:type="pct"/>
            <w:shd w:val="clear" w:color="auto" w:fill="auto"/>
            <w:noWrap/>
            <w:vAlign w:val="center"/>
            <w:hideMark/>
          </w:tcPr>
          <w:p w14:paraId="2E396144" w14:textId="77777777" w:rsidR="00BA1338" w:rsidRPr="00545EC0" w:rsidRDefault="00BA1338" w:rsidP="004F2AF2">
            <w:pPr>
              <w:spacing w:line="240" w:lineRule="auto"/>
              <w:rPr>
                <w:rFonts w:cs="Arial"/>
                <w:sz w:val="18"/>
                <w:szCs w:val="18"/>
              </w:rPr>
            </w:pPr>
            <w:r w:rsidRPr="00545EC0">
              <w:rPr>
                <w:rFonts w:cs="Arial"/>
                <w:sz w:val="18"/>
                <w:szCs w:val="18"/>
              </w:rPr>
              <w:t>SI1326VT</w:t>
            </w:r>
          </w:p>
        </w:tc>
        <w:tc>
          <w:tcPr>
            <w:tcW w:w="1770" w:type="pct"/>
            <w:shd w:val="clear" w:color="auto" w:fill="auto"/>
            <w:noWrap/>
            <w:vAlign w:val="center"/>
            <w:hideMark/>
          </w:tcPr>
          <w:p w14:paraId="6A55387B" w14:textId="77777777" w:rsidR="00BA1338" w:rsidRPr="00545EC0" w:rsidRDefault="00BA1338" w:rsidP="004F2AF2">
            <w:pPr>
              <w:spacing w:line="240" w:lineRule="auto"/>
              <w:rPr>
                <w:rFonts w:cs="Arial"/>
                <w:sz w:val="18"/>
                <w:szCs w:val="18"/>
              </w:rPr>
            </w:pPr>
            <w:r w:rsidRPr="00545EC0">
              <w:rPr>
                <w:rFonts w:cs="Arial"/>
                <w:sz w:val="18"/>
                <w:szCs w:val="18"/>
              </w:rPr>
              <w:t>VT Pšata</w:t>
            </w:r>
          </w:p>
        </w:tc>
        <w:tc>
          <w:tcPr>
            <w:tcW w:w="1231" w:type="pct"/>
            <w:vAlign w:val="center"/>
          </w:tcPr>
          <w:p w14:paraId="6264AB29" w14:textId="77777777" w:rsidR="00BA1338" w:rsidRPr="00545EC0" w:rsidRDefault="00BA1338" w:rsidP="004F2AF2">
            <w:pPr>
              <w:spacing w:line="240" w:lineRule="auto"/>
              <w:rPr>
                <w:rFonts w:cs="Arial"/>
                <w:sz w:val="18"/>
                <w:szCs w:val="18"/>
              </w:rPr>
            </w:pPr>
            <w:r w:rsidRPr="00545EC0">
              <w:rPr>
                <w:rFonts w:cs="Arial"/>
                <w:sz w:val="18"/>
                <w:szCs w:val="18"/>
              </w:rPr>
              <w:t>Dobravščica</w:t>
            </w:r>
          </w:p>
        </w:tc>
        <w:tc>
          <w:tcPr>
            <w:tcW w:w="538" w:type="pct"/>
            <w:vAlign w:val="center"/>
          </w:tcPr>
          <w:p w14:paraId="4B0733FD" w14:textId="77777777" w:rsidR="00BA1338" w:rsidRPr="00545EC0" w:rsidRDefault="00BA1338" w:rsidP="004F2AF2">
            <w:pPr>
              <w:spacing w:line="240" w:lineRule="auto"/>
              <w:rPr>
                <w:rFonts w:cs="Arial"/>
                <w:sz w:val="18"/>
                <w:szCs w:val="18"/>
              </w:rPr>
            </w:pPr>
            <w:r w:rsidRPr="00545EC0">
              <w:rPr>
                <w:rFonts w:cs="Arial"/>
                <w:sz w:val="18"/>
                <w:szCs w:val="18"/>
              </w:rPr>
              <w:t>Srednja Sava</w:t>
            </w:r>
          </w:p>
        </w:tc>
        <w:tc>
          <w:tcPr>
            <w:tcW w:w="384" w:type="pct"/>
            <w:shd w:val="clear" w:color="auto" w:fill="FFFFFF" w:themeFill="background1"/>
            <w:noWrap/>
            <w:vAlign w:val="center"/>
            <w:hideMark/>
          </w:tcPr>
          <w:p w14:paraId="6E62408E"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422" w:type="pct"/>
            <w:shd w:val="clear" w:color="auto" w:fill="FFFFFF" w:themeFill="background1"/>
            <w:vAlign w:val="center"/>
          </w:tcPr>
          <w:p w14:paraId="4A538B03"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6028CA41" w14:textId="77777777" w:rsidTr="003122F4">
        <w:trPr>
          <w:trHeight w:val="227"/>
        </w:trPr>
        <w:tc>
          <w:tcPr>
            <w:tcW w:w="655" w:type="pct"/>
            <w:shd w:val="clear" w:color="auto" w:fill="auto"/>
            <w:noWrap/>
            <w:vAlign w:val="center"/>
            <w:hideMark/>
          </w:tcPr>
          <w:p w14:paraId="243415C7" w14:textId="77777777" w:rsidR="00BA1338" w:rsidRPr="00545EC0" w:rsidRDefault="00BA1338" w:rsidP="004F2AF2">
            <w:pPr>
              <w:spacing w:line="240" w:lineRule="auto"/>
              <w:rPr>
                <w:rFonts w:cs="Arial"/>
                <w:sz w:val="18"/>
                <w:szCs w:val="18"/>
              </w:rPr>
            </w:pPr>
            <w:r w:rsidRPr="00545EC0">
              <w:rPr>
                <w:rFonts w:cs="Arial"/>
                <w:sz w:val="18"/>
                <w:szCs w:val="18"/>
              </w:rPr>
              <w:t>SI172VT</w:t>
            </w:r>
          </w:p>
        </w:tc>
        <w:tc>
          <w:tcPr>
            <w:tcW w:w="1770" w:type="pct"/>
            <w:shd w:val="clear" w:color="auto" w:fill="auto"/>
            <w:noWrap/>
            <w:vAlign w:val="center"/>
            <w:hideMark/>
          </w:tcPr>
          <w:p w14:paraId="7D342B43" w14:textId="77777777" w:rsidR="00BA1338" w:rsidRPr="00545EC0" w:rsidRDefault="00BA1338" w:rsidP="004F2AF2">
            <w:pPr>
              <w:spacing w:line="240" w:lineRule="auto"/>
              <w:rPr>
                <w:rFonts w:cs="Arial"/>
                <w:sz w:val="18"/>
                <w:szCs w:val="18"/>
              </w:rPr>
            </w:pPr>
            <w:r w:rsidRPr="00545EC0">
              <w:rPr>
                <w:rFonts w:cs="Arial"/>
                <w:sz w:val="18"/>
                <w:szCs w:val="18"/>
              </w:rPr>
              <w:t>VT Mirna</w:t>
            </w:r>
          </w:p>
        </w:tc>
        <w:tc>
          <w:tcPr>
            <w:tcW w:w="1231" w:type="pct"/>
            <w:vAlign w:val="center"/>
          </w:tcPr>
          <w:p w14:paraId="556CB47B" w14:textId="77777777" w:rsidR="00BA1338" w:rsidRPr="00545EC0" w:rsidRDefault="00BA1338" w:rsidP="004F2AF2">
            <w:pPr>
              <w:spacing w:line="240" w:lineRule="auto"/>
              <w:rPr>
                <w:rFonts w:cs="Arial"/>
                <w:sz w:val="18"/>
                <w:szCs w:val="18"/>
              </w:rPr>
            </w:pPr>
            <w:r w:rsidRPr="00545EC0">
              <w:rPr>
                <w:rFonts w:cs="Arial"/>
                <w:sz w:val="18"/>
                <w:szCs w:val="18"/>
              </w:rPr>
              <w:t xml:space="preserve">Bistrica </w:t>
            </w:r>
          </w:p>
        </w:tc>
        <w:tc>
          <w:tcPr>
            <w:tcW w:w="538" w:type="pct"/>
            <w:vMerge w:val="restart"/>
            <w:vAlign w:val="center"/>
          </w:tcPr>
          <w:p w14:paraId="4654B85C" w14:textId="77777777" w:rsidR="00BA1338" w:rsidRPr="00545EC0" w:rsidRDefault="00BA1338" w:rsidP="004F2AF2">
            <w:pPr>
              <w:spacing w:line="240" w:lineRule="auto"/>
              <w:rPr>
                <w:rFonts w:cs="Arial"/>
                <w:sz w:val="18"/>
                <w:szCs w:val="18"/>
              </w:rPr>
            </w:pPr>
            <w:r w:rsidRPr="00545EC0">
              <w:rPr>
                <w:rFonts w:cs="Arial"/>
                <w:sz w:val="18"/>
                <w:szCs w:val="18"/>
              </w:rPr>
              <w:t>Spodnja Sava</w:t>
            </w:r>
          </w:p>
        </w:tc>
        <w:tc>
          <w:tcPr>
            <w:tcW w:w="384" w:type="pct"/>
            <w:shd w:val="clear" w:color="auto" w:fill="FFFFFF" w:themeFill="background1"/>
            <w:noWrap/>
            <w:vAlign w:val="center"/>
            <w:hideMark/>
          </w:tcPr>
          <w:p w14:paraId="3B318DEB" w14:textId="77777777" w:rsidR="00BA1338" w:rsidRPr="00545EC0" w:rsidRDefault="00BA1338" w:rsidP="004F2AF2">
            <w:pPr>
              <w:spacing w:line="240" w:lineRule="auto"/>
              <w:rPr>
                <w:rFonts w:cs="Arial"/>
                <w:sz w:val="18"/>
                <w:szCs w:val="18"/>
              </w:rPr>
            </w:pPr>
            <w:r w:rsidRPr="00545EC0">
              <w:rPr>
                <w:rFonts w:cs="Arial"/>
                <w:sz w:val="18"/>
                <w:szCs w:val="18"/>
              </w:rPr>
              <w:t>0</w:t>
            </w:r>
          </w:p>
        </w:tc>
        <w:tc>
          <w:tcPr>
            <w:tcW w:w="422" w:type="pct"/>
            <w:shd w:val="clear" w:color="auto" w:fill="FFFFFF" w:themeFill="background1"/>
            <w:vAlign w:val="center"/>
          </w:tcPr>
          <w:p w14:paraId="771E4ACE"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00622EC6" w14:textId="77777777" w:rsidTr="003122F4">
        <w:trPr>
          <w:trHeight w:val="227"/>
        </w:trPr>
        <w:tc>
          <w:tcPr>
            <w:tcW w:w="655" w:type="pct"/>
            <w:shd w:val="clear" w:color="auto" w:fill="auto"/>
            <w:noWrap/>
            <w:vAlign w:val="center"/>
            <w:hideMark/>
          </w:tcPr>
          <w:p w14:paraId="17E3FE66" w14:textId="77777777" w:rsidR="00BA1338" w:rsidRPr="00545EC0" w:rsidRDefault="00BA1338" w:rsidP="004F2AF2">
            <w:pPr>
              <w:spacing w:line="240" w:lineRule="auto"/>
              <w:rPr>
                <w:rFonts w:cs="Arial"/>
                <w:sz w:val="18"/>
                <w:szCs w:val="18"/>
              </w:rPr>
            </w:pPr>
            <w:r w:rsidRPr="00545EC0">
              <w:rPr>
                <w:rFonts w:cs="Arial"/>
                <w:sz w:val="18"/>
                <w:szCs w:val="18"/>
              </w:rPr>
              <w:t>SI18VT97</w:t>
            </w:r>
          </w:p>
        </w:tc>
        <w:tc>
          <w:tcPr>
            <w:tcW w:w="1770" w:type="pct"/>
            <w:shd w:val="clear" w:color="auto" w:fill="auto"/>
            <w:noWrap/>
            <w:vAlign w:val="center"/>
            <w:hideMark/>
          </w:tcPr>
          <w:p w14:paraId="20A36047" w14:textId="77777777" w:rsidR="00BA1338" w:rsidRPr="00545EC0" w:rsidRDefault="00BA1338" w:rsidP="004F2AF2">
            <w:pPr>
              <w:spacing w:line="240" w:lineRule="auto"/>
              <w:rPr>
                <w:rFonts w:cs="Arial"/>
                <w:sz w:val="18"/>
                <w:szCs w:val="18"/>
              </w:rPr>
            </w:pPr>
            <w:r w:rsidRPr="00545EC0">
              <w:rPr>
                <w:rFonts w:cs="Arial"/>
                <w:sz w:val="18"/>
                <w:szCs w:val="18"/>
              </w:rPr>
              <w:t>VT Krka Otočec - Brežice</w:t>
            </w:r>
          </w:p>
        </w:tc>
        <w:tc>
          <w:tcPr>
            <w:tcW w:w="1231" w:type="pct"/>
            <w:vAlign w:val="center"/>
          </w:tcPr>
          <w:p w14:paraId="36B159BD" w14:textId="77777777" w:rsidR="00BA1338" w:rsidRPr="00545EC0" w:rsidRDefault="00BA1338" w:rsidP="004F2AF2">
            <w:pPr>
              <w:spacing w:line="240" w:lineRule="auto"/>
              <w:rPr>
                <w:rFonts w:cs="Arial"/>
                <w:sz w:val="18"/>
                <w:szCs w:val="18"/>
              </w:rPr>
            </w:pPr>
            <w:r w:rsidRPr="00545EC0">
              <w:rPr>
                <w:rFonts w:cs="Arial"/>
                <w:sz w:val="18"/>
                <w:szCs w:val="18"/>
              </w:rPr>
              <w:t>Kobila</w:t>
            </w:r>
          </w:p>
        </w:tc>
        <w:tc>
          <w:tcPr>
            <w:tcW w:w="538" w:type="pct"/>
            <w:vMerge/>
            <w:vAlign w:val="center"/>
          </w:tcPr>
          <w:p w14:paraId="4CCC683F" w14:textId="77777777" w:rsidR="00BA1338" w:rsidRPr="00545EC0" w:rsidRDefault="00BA1338" w:rsidP="004F2AF2">
            <w:pPr>
              <w:spacing w:line="240" w:lineRule="auto"/>
              <w:rPr>
                <w:rFonts w:cs="Arial"/>
                <w:sz w:val="18"/>
                <w:szCs w:val="18"/>
              </w:rPr>
            </w:pPr>
          </w:p>
        </w:tc>
        <w:tc>
          <w:tcPr>
            <w:tcW w:w="384" w:type="pct"/>
            <w:shd w:val="clear" w:color="auto" w:fill="FFFFFF" w:themeFill="background1"/>
            <w:noWrap/>
            <w:vAlign w:val="center"/>
            <w:hideMark/>
          </w:tcPr>
          <w:p w14:paraId="58C828C1" w14:textId="77777777" w:rsidR="00BA1338" w:rsidRPr="00545EC0" w:rsidRDefault="00BA1338" w:rsidP="004F2AF2">
            <w:pPr>
              <w:spacing w:line="240" w:lineRule="auto"/>
              <w:rPr>
                <w:rFonts w:cs="Arial"/>
                <w:sz w:val="18"/>
                <w:szCs w:val="18"/>
              </w:rPr>
            </w:pPr>
            <w:r w:rsidRPr="00545EC0">
              <w:rPr>
                <w:rFonts w:cs="Arial"/>
                <w:sz w:val="18"/>
                <w:szCs w:val="18"/>
              </w:rPr>
              <w:t>0</w:t>
            </w:r>
          </w:p>
        </w:tc>
        <w:tc>
          <w:tcPr>
            <w:tcW w:w="422" w:type="pct"/>
            <w:shd w:val="clear" w:color="auto" w:fill="FFFFFF" w:themeFill="background1"/>
            <w:vAlign w:val="center"/>
          </w:tcPr>
          <w:p w14:paraId="11D05539"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3D7A4430" w14:textId="77777777" w:rsidTr="003122F4">
        <w:trPr>
          <w:trHeight w:val="227"/>
        </w:trPr>
        <w:tc>
          <w:tcPr>
            <w:tcW w:w="655" w:type="pct"/>
            <w:shd w:val="clear" w:color="auto" w:fill="auto"/>
            <w:noWrap/>
            <w:vAlign w:val="center"/>
            <w:hideMark/>
          </w:tcPr>
          <w:p w14:paraId="51A904D8" w14:textId="77777777" w:rsidR="00BA1338" w:rsidRPr="00545EC0" w:rsidRDefault="00BA1338" w:rsidP="004F2AF2">
            <w:pPr>
              <w:spacing w:line="240" w:lineRule="auto"/>
              <w:rPr>
                <w:rFonts w:cs="Arial"/>
                <w:sz w:val="18"/>
                <w:szCs w:val="18"/>
              </w:rPr>
            </w:pPr>
            <w:r w:rsidRPr="00545EC0">
              <w:rPr>
                <w:rFonts w:cs="Arial"/>
                <w:sz w:val="18"/>
                <w:szCs w:val="18"/>
              </w:rPr>
              <w:t>SI1922VT</w:t>
            </w:r>
          </w:p>
        </w:tc>
        <w:tc>
          <w:tcPr>
            <w:tcW w:w="1770" w:type="pct"/>
            <w:shd w:val="clear" w:color="auto" w:fill="auto"/>
            <w:noWrap/>
            <w:vAlign w:val="center"/>
            <w:hideMark/>
          </w:tcPr>
          <w:p w14:paraId="5C2BC509" w14:textId="77777777" w:rsidR="00BA1338" w:rsidRPr="00545EC0" w:rsidRDefault="00BA1338" w:rsidP="004F2AF2">
            <w:pPr>
              <w:spacing w:line="240" w:lineRule="auto"/>
              <w:rPr>
                <w:rFonts w:cs="Arial"/>
                <w:sz w:val="18"/>
                <w:szCs w:val="18"/>
              </w:rPr>
            </w:pPr>
            <w:r w:rsidRPr="00545EC0">
              <w:rPr>
                <w:rFonts w:cs="Arial"/>
                <w:sz w:val="18"/>
                <w:szCs w:val="18"/>
              </w:rPr>
              <w:t>VT Mestinjščica</w:t>
            </w:r>
          </w:p>
        </w:tc>
        <w:tc>
          <w:tcPr>
            <w:tcW w:w="1231" w:type="pct"/>
            <w:vAlign w:val="center"/>
          </w:tcPr>
          <w:p w14:paraId="1632C815" w14:textId="77777777" w:rsidR="00BA1338" w:rsidRPr="00545EC0" w:rsidRDefault="00BA1338" w:rsidP="004F2AF2">
            <w:pPr>
              <w:spacing w:line="240" w:lineRule="auto"/>
              <w:rPr>
                <w:rFonts w:cs="Arial"/>
                <w:sz w:val="18"/>
                <w:szCs w:val="18"/>
              </w:rPr>
            </w:pPr>
            <w:r w:rsidRPr="00545EC0">
              <w:rPr>
                <w:rFonts w:cs="Arial"/>
                <w:sz w:val="18"/>
                <w:szCs w:val="18"/>
              </w:rPr>
              <w:t xml:space="preserve">Mestinjščica </w:t>
            </w:r>
          </w:p>
        </w:tc>
        <w:tc>
          <w:tcPr>
            <w:tcW w:w="538" w:type="pct"/>
            <w:vMerge/>
            <w:vAlign w:val="center"/>
          </w:tcPr>
          <w:p w14:paraId="353290FE" w14:textId="77777777" w:rsidR="00BA1338" w:rsidRPr="00545EC0" w:rsidRDefault="00BA1338" w:rsidP="004F2AF2">
            <w:pPr>
              <w:spacing w:line="240" w:lineRule="auto"/>
              <w:rPr>
                <w:rFonts w:cs="Arial"/>
                <w:sz w:val="18"/>
                <w:szCs w:val="18"/>
              </w:rPr>
            </w:pPr>
          </w:p>
        </w:tc>
        <w:tc>
          <w:tcPr>
            <w:tcW w:w="384" w:type="pct"/>
            <w:shd w:val="clear" w:color="auto" w:fill="FFFFFF" w:themeFill="background1"/>
            <w:noWrap/>
            <w:vAlign w:val="center"/>
            <w:hideMark/>
          </w:tcPr>
          <w:p w14:paraId="6FF11F10"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422" w:type="pct"/>
            <w:shd w:val="clear" w:color="auto" w:fill="FFFFFF" w:themeFill="background1"/>
            <w:vAlign w:val="center"/>
          </w:tcPr>
          <w:p w14:paraId="10418AE6"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43CAAC07" w14:textId="77777777" w:rsidTr="003122F4">
        <w:trPr>
          <w:trHeight w:val="227"/>
        </w:trPr>
        <w:tc>
          <w:tcPr>
            <w:tcW w:w="655" w:type="pct"/>
            <w:shd w:val="clear" w:color="auto" w:fill="auto"/>
            <w:noWrap/>
            <w:vAlign w:val="center"/>
            <w:hideMark/>
          </w:tcPr>
          <w:p w14:paraId="1696CCD7" w14:textId="77777777" w:rsidR="00BA1338" w:rsidRPr="00545EC0" w:rsidRDefault="00BA1338" w:rsidP="004F2AF2">
            <w:pPr>
              <w:spacing w:line="240" w:lineRule="auto"/>
              <w:rPr>
                <w:rFonts w:cs="Arial"/>
                <w:sz w:val="18"/>
                <w:szCs w:val="18"/>
              </w:rPr>
            </w:pPr>
            <w:r w:rsidRPr="00545EC0">
              <w:rPr>
                <w:rFonts w:cs="Arial"/>
                <w:sz w:val="18"/>
                <w:szCs w:val="18"/>
              </w:rPr>
              <w:t>SI192VT5</w:t>
            </w:r>
          </w:p>
        </w:tc>
        <w:tc>
          <w:tcPr>
            <w:tcW w:w="1770" w:type="pct"/>
            <w:shd w:val="clear" w:color="auto" w:fill="auto"/>
            <w:noWrap/>
            <w:vAlign w:val="center"/>
            <w:hideMark/>
          </w:tcPr>
          <w:p w14:paraId="323D210F" w14:textId="77777777" w:rsidR="00BA1338" w:rsidRPr="00545EC0" w:rsidRDefault="00BA1338" w:rsidP="004F2AF2">
            <w:pPr>
              <w:spacing w:line="240" w:lineRule="auto"/>
              <w:rPr>
                <w:rFonts w:cs="Arial"/>
                <w:sz w:val="18"/>
                <w:szCs w:val="18"/>
              </w:rPr>
            </w:pPr>
            <w:r w:rsidRPr="00545EC0">
              <w:rPr>
                <w:rFonts w:cs="Arial"/>
                <w:sz w:val="18"/>
                <w:szCs w:val="18"/>
              </w:rPr>
              <w:t>VT Sotla Podčetrtek - Ključ</w:t>
            </w:r>
          </w:p>
        </w:tc>
        <w:tc>
          <w:tcPr>
            <w:tcW w:w="1231" w:type="pct"/>
            <w:vAlign w:val="center"/>
          </w:tcPr>
          <w:p w14:paraId="6E2A04D4" w14:textId="77777777" w:rsidR="00BA1338" w:rsidRPr="00545EC0" w:rsidRDefault="00BA1338" w:rsidP="004F2AF2">
            <w:pPr>
              <w:spacing w:line="240" w:lineRule="auto"/>
              <w:rPr>
                <w:rFonts w:cs="Arial"/>
                <w:sz w:val="18"/>
                <w:szCs w:val="18"/>
              </w:rPr>
            </w:pPr>
            <w:r w:rsidRPr="00545EC0">
              <w:rPr>
                <w:rFonts w:cs="Arial"/>
                <w:sz w:val="18"/>
                <w:szCs w:val="18"/>
              </w:rPr>
              <w:t xml:space="preserve">Sotla </w:t>
            </w:r>
          </w:p>
        </w:tc>
        <w:tc>
          <w:tcPr>
            <w:tcW w:w="538" w:type="pct"/>
            <w:vMerge/>
            <w:vAlign w:val="center"/>
          </w:tcPr>
          <w:p w14:paraId="5D0824B0" w14:textId="77777777" w:rsidR="00BA1338" w:rsidRPr="00545EC0" w:rsidRDefault="00BA1338" w:rsidP="004F2AF2">
            <w:pPr>
              <w:spacing w:line="240" w:lineRule="auto"/>
              <w:rPr>
                <w:rFonts w:cs="Arial"/>
                <w:sz w:val="18"/>
                <w:szCs w:val="18"/>
              </w:rPr>
            </w:pPr>
          </w:p>
        </w:tc>
        <w:tc>
          <w:tcPr>
            <w:tcW w:w="384" w:type="pct"/>
            <w:shd w:val="clear" w:color="auto" w:fill="FFFFFF" w:themeFill="background1"/>
            <w:noWrap/>
            <w:vAlign w:val="center"/>
            <w:hideMark/>
          </w:tcPr>
          <w:p w14:paraId="1C744E87"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422" w:type="pct"/>
            <w:shd w:val="clear" w:color="auto" w:fill="FFFFFF" w:themeFill="background1"/>
            <w:vAlign w:val="center"/>
          </w:tcPr>
          <w:p w14:paraId="34F55BAC"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0379739A" w14:textId="77777777" w:rsidTr="003122F4">
        <w:trPr>
          <w:trHeight w:val="227"/>
        </w:trPr>
        <w:tc>
          <w:tcPr>
            <w:tcW w:w="655" w:type="pct"/>
            <w:shd w:val="clear" w:color="auto" w:fill="auto"/>
            <w:noWrap/>
            <w:vAlign w:val="center"/>
            <w:hideMark/>
          </w:tcPr>
          <w:p w14:paraId="51365A84" w14:textId="77777777" w:rsidR="00BA1338" w:rsidRPr="00545EC0" w:rsidRDefault="00BA1338" w:rsidP="004F2AF2">
            <w:pPr>
              <w:spacing w:line="240" w:lineRule="auto"/>
              <w:rPr>
                <w:rFonts w:cs="Arial"/>
                <w:sz w:val="18"/>
                <w:szCs w:val="18"/>
              </w:rPr>
            </w:pPr>
            <w:r w:rsidRPr="00545EC0">
              <w:rPr>
                <w:rFonts w:cs="Arial"/>
                <w:sz w:val="18"/>
                <w:szCs w:val="18"/>
              </w:rPr>
              <w:t>SI1VT913</w:t>
            </w:r>
          </w:p>
        </w:tc>
        <w:tc>
          <w:tcPr>
            <w:tcW w:w="1770" w:type="pct"/>
            <w:shd w:val="clear" w:color="auto" w:fill="auto"/>
            <w:noWrap/>
            <w:vAlign w:val="center"/>
            <w:hideMark/>
          </w:tcPr>
          <w:p w14:paraId="2D3B48DB" w14:textId="77777777" w:rsidR="00BA1338" w:rsidRPr="00545EC0" w:rsidRDefault="00BA1338" w:rsidP="004F2AF2">
            <w:pPr>
              <w:spacing w:line="240" w:lineRule="auto"/>
              <w:rPr>
                <w:rFonts w:cs="Arial"/>
                <w:sz w:val="18"/>
                <w:szCs w:val="18"/>
              </w:rPr>
            </w:pPr>
            <w:r w:rsidRPr="00545EC0">
              <w:rPr>
                <w:rFonts w:cs="Arial"/>
                <w:sz w:val="18"/>
                <w:szCs w:val="18"/>
              </w:rPr>
              <w:t>VT Sava Krško - Vrbina</w:t>
            </w:r>
          </w:p>
        </w:tc>
        <w:tc>
          <w:tcPr>
            <w:tcW w:w="1231" w:type="pct"/>
            <w:vAlign w:val="center"/>
          </w:tcPr>
          <w:p w14:paraId="5666B74C" w14:textId="77777777" w:rsidR="00BA1338" w:rsidRPr="00545EC0" w:rsidRDefault="00BA1338" w:rsidP="004F2AF2">
            <w:pPr>
              <w:spacing w:line="240" w:lineRule="auto"/>
              <w:rPr>
                <w:rFonts w:cs="Arial"/>
                <w:sz w:val="18"/>
                <w:szCs w:val="18"/>
              </w:rPr>
            </w:pPr>
            <w:r w:rsidRPr="00545EC0">
              <w:rPr>
                <w:rFonts w:cs="Arial"/>
                <w:sz w:val="18"/>
                <w:szCs w:val="18"/>
              </w:rPr>
              <w:t>Gabrnica, Sromljica</w:t>
            </w:r>
          </w:p>
        </w:tc>
        <w:tc>
          <w:tcPr>
            <w:tcW w:w="538" w:type="pct"/>
            <w:vMerge/>
            <w:vAlign w:val="center"/>
          </w:tcPr>
          <w:p w14:paraId="3D92D239" w14:textId="77777777" w:rsidR="00BA1338" w:rsidRPr="00545EC0" w:rsidRDefault="00BA1338" w:rsidP="004F2AF2">
            <w:pPr>
              <w:spacing w:line="240" w:lineRule="auto"/>
              <w:rPr>
                <w:rFonts w:cs="Arial"/>
                <w:sz w:val="18"/>
                <w:szCs w:val="18"/>
              </w:rPr>
            </w:pPr>
          </w:p>
        </w:tc>
        <w:tc>
          <w:tcPr>
            <w:tcW w:w="384" w:type="pct"/>
            <w:shd w:val="clear" w:color="auto" w:fill="FFFFFF" w:themeFill="background1"/>
            <w:noWrap/>
            <w:vAlign w:val="center"/>
            <w:hideMark/>
          </w:tcPr>
          <w:p w14:paraId="4497B8F6" w14:textId="77777777" w:rsidR="00BA1338" w:rsidRPr="00545EC0" w:rsidRDefault="00BA1338" w:rsidP="004F2AF2">
            <w:pPr>
              <w:spacing w:line="240" w:lineRule="auto"/>
              <w:rPr>
                <w:rFonts w:cs="Arial"/>
                <w:sz w:val="18"/>
                <w:szCs w:val="18"/>
              </w:rPr>
            </w:pPr>
            <w:r w:rsidRPr="00545EC0">
              <w:rPr>
                <w:rFonts w:cs="Arial"/>
                <w:sz w:val="18"/>
                <w:szCs w:val="18"/>
              </w:rPr>
              <w:t>0</w:t>
            </w:r>
          </w:p>
        </w:tc>
        <w:tc>
          <w:tcPr>
            <w:tcW w:w="422" w:type="pct"/>
            <w:shd w:val="clear" w:color="auto" w:fill="FFFFFF" w:themeFill="background1"/>
            <w:vAlign w:val="center"/>
          </w:tcPr>
          <w:p w14:paraId="0B9F908F"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4C7A0552" w14:textId="77777777" w:rsidTr="003122F4">
        <w:trPr>
          <w:trHeight w:val="227"/>
        </w:trPr>
        <w:tc>
          <w:tcPr>
            <w:tcW w:w="655" w:type="pct"/>
            <w:shd w:val="clear" w:color="auto" w:fill="auto"/>
            <w:noWrap/>
            <w:vAlign w:val="center"/>
            <w:hideMark/>
          </w:tcPr>
          <w:p w14:paraId="65549084" w14:textId="77777777" w:rsidR="00BA1338" w:rsidRPr="00545EC0" w:rsidRDefault="00BA1338" w:rsidP="004F2AF2">
            <w:pPr>
              <w:spacing w:line="240" w:lineRule="auto"/>
              <w:rPr>
                <w:rFonts w:cs="Arial"/>
                <w:sz w:val="18"/>
                <w:szCs w:val="18"/>
              </w:rPr>
            </w:pPr>
            <w:r w:rsidRPr="00545EC0">
              <w:rPr>
                <w:rFonts w:cs="Arial"/>
                <w:sz w:val="18"/>
                <w:szCs w:val="18"/>
              </w:rPr>
              <w:t>SI16VT70</w:t>
            </w:r>
          </w:p>
        </w:tc>
        <w:tc>
          <w:tcPr>
            <w:tcW w:w="1770" w:type="pct"/>
            <w:shd w:val="clear" w:color="auto" w:fill="auto"/>
            <w:noWrap/>
            <w:vAlign w:val="center"/>
            <w:hideMark/>
          </w:tcPr>
          <w:p w14:paraId="78391348" w14:textId="77777777" w:rsidR="00BA1338" w:rsidRPr="00545EC0" w:rsidRDefault="00BA1338" w:rsidP="004F2AF2">
            <w:pPr>
              <w:spacing w:line="240" w:lineRule="auto"/>
              <w:rPr>
                <w:rFonts w:cs="Arial"/>
                <w:sz w:val="18"/>
                <w:szCs w:val="18"/>
              </w:rPr>
            </w:pPr>
            <w:r w:rsidRPr="00545EC0">
              <w:rPr>
                <w:rFonts w:cs="Arial"/>
                <w:sz w:val="18"/>
                <w:szCs w:val="18"/>
              </w:rPr>
              <w:t>VT Savinja Letuš - Celje</w:t>
            </w:r>
          </w:p>
        </w:tc>
        <w:tc>
          <w:tcPr>
            <w:tcW w:w="1231" w:type="pct"/>
            <w:vAlign w:val="center"/>
          </w:tcPr>
          <w:p w14:paraId="40A5B09C" w14:textId="77777777" w:rsidR="00BA1338" w:rsidRPr="00545EC0" w:rsidRDefault="00BA1338" w:rsidP="004F2AF2">
            <w:pPr>
              <w:spacing w:line="240" w:lineRule="auto"/>
              <w:rPr>
                <w:rFonts w:cs="Arial"/>
                <w:sz w:val="18"/>
                <w:szCs w:val="18"/>
              </w:rPr>
            </w:pPr>
            <w:r w:rsidRPr="00545EC0">
              <w:rPr>
                <w:rFonts w:cs="Arial"/>
                <w:sz w:val="18"/>
                <w:szCs w:val="18"/>
              </w:rPr>
              <w:t xml:space="preserve">Ložnica </w:t>
            </w:r>
          </w:p>
        </w:tc>
        <w:tc>
          <w:tcPr>
            <w:tcW w:w="538" w:type="pct"/>
            <w:vAlign w:val="center"/>
          </w:tcPr>
          <w:p w14:paraId="2F752977" w14:textId="77777777" w:rsidR="00BA1338" w:rsidRPr="00545EC0" w:rsidRDefault="00BA1338" w:rsidP="004F2AF2">
            <w:pPr>
              <w:spacing w:line="240" w:lineRule="auto"/>
              <w:rPr>
                <w:rFonts w:cs="Arial"/>
                <w:sz w:val="18"/>
                <w:szCs w:val="18"/>
              </w:rPr>
            </w:pPr>
            <w:r w:rsidRPr="00545EC0">
              <w:rPr>
                <w:rFonts w:cs="Arial"/>
                <w:sz w:val="18"/>
                <w:szCs w:val="18"/>
              </w:rPr>
              <w:t>Savinja</w:t>
            </w:r>
          </w:p>
        </w:tc>
        <w:tc>
          <w:tcPr>
            <w:tcW w:w="384" w:type="pct"/>
            <w:shd w:val="clear" w:color="auto" w:fill="FFFFFF" w:themeFill="background1"/>
            <w:noWrap/>
            <w:vAlign w:val="center"/>
            <w:hideMark/>
          </w:tcPr>
          <w:p w14:paraId="3CC47713" w14:textId="77777777" w:rsidR="00BA1338" w:rsidRPr="00545EC0" w:rsidRDefault="00BA1338" w:rsidP="004F2AF2">
            <w:pPr>
              <w:spacing w:line="240" w:lineRule="auto"/>
              <w:rPr>
                <w:rFonts w:cs="Arial"/>
                <w:sz w:val="18"/>
                <w:szCs w:val="18"/>
              </w:rPr>
            </w:pPr>
            <w:r w:rsidRPr="00545EC0">
              <w:rPr>
                <w:rFonts w:cs="Arial"/>
                <w:sz w:val="18"/>
                <w:szCs w:val="18"/>
              </w:rPr>
              <w:t>0</w:t>
            </w:r>
          </w:p>
        </w:tc>
        <w:tc>
          <w:tcPr>
            <w:tcW w:w="422" w:type="pct"/>
            <w:shd w:val="clear" w:color="auto" w:fill="FFFFFF" w:themeFill="background1"/>
            <w:vAlign w:val="center"/>
          </w:tcPr>
          <w:p w14:paraId="5818DA42"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487D6AAD" w14:textId="77777777" w:rsidTr="003122F4">
        <w:trPr>
          <w:trHeight w:val="227"/>
        </w:trPr>
        <w:tc>
          <w:tcPr>
            <w:tcW w:w="655" w:type="pct"/>
            <w:shd w:val="clear" w:color="auto" w:fill="auto"/>
            <w:noWrap/>
            <w:vAlign w:val="center"/>
            <w:hideMark/>
          </w:tcPr>
          <w:p w14:paraId="002AF17C" w14:textId="77777777" w:rsidR="00BA1338" w:rsidRPr="00545EC0" w:rsidRDefault="00BA1338" w:rsidP="004F2AF2">
            <w:pPr>
              <w:spacing w:line="240" w:lineRule="auto"/>
              <w:rPr>
                <w:rFonts w:cs="Arial"/>
                <w:sz w:val="18"/>
                <w:szCs w:val="18"/>
              </w:rPr>
            </w:pPr>
            <w:r w:rsidRPr="00545EC0">
              <w:rPr>
                <w:rFonts w:cs="Arial"/>
                <w:sz w:val="18"/>
                <w:szCs w:val="18"/>
              </w:rPr>
              <w:t>SI364VT7</w:t>
            </w:r>
          </w:p>
        </w:tc>
        <w:tc>
          <w:tcPr>
            <w:tcW w:w="1770" w:type="pct"/>
            <w:shd w:val="clear" w:color="auto" w:fill="auto"/>
            <w:noWrap/>
            <w:vAlign w:val="center"/>
            <w:hideMark/>
          </w:tcPr>
          <w:p w14:paraId="0A7EDB98" w14:textId="77777777" w:rsidR="00BA1338" w:rsidRPr="00545EC0" w:rsidRDefault="00BA1338" w:rsidP="004F2AF2">
            <w:pPr>
              <w:spacing w:line="240" w:lineRule="auto"/>
              <w:rPr>
                <w:rFonts w:cs="Arial"/>
                <w:sz w:val="18"/>
                <w:szCs w:val="18"/>
              </w:rPr>
            </w:pPr>
            <w:r w:rsidRPr="00545EC0">
              <w:rPr>
                <w:rFonts w:cs="Arial"/>
                <w:sz w:val="18"/>
                <w:szCs w:val="18"/>
              </w:rPr>
              <w:t>VT Ložnica Slovenska Bistrica - Pečke</w:t>
            </w:r>
          </w:p>
        </w:tc>
        <w:tc>
          <w:tcPr>
            <w:tcW w:w="1231" w:type="pct"/>
            <w:vAlign w:val="center"/>
          </w:tcPr>
          <w:p w14:paraId="3FBB1CE1" w14:textId="77777777" w:rsidR="00BA1338" w:rsidRPr="00545EC0" w:rsidRDefault="00BA1338" w:rsidP="004F2AF2">
            <w:pPr>
              <w:spacing w:line="240" w:lineRule="auto"/>
              <w:rPr>
                <w:rFonts w:cs="Arial"/>
                <w:sz w:val="18"/>
                <w:szCs w:val="18"/>
              </w:rPr>
            </w:pPr>
            <w:r w:rsidRPr="00545EC0">
              <w:rPr>
                <w:rFonts w:cs="Arial"/>
                <w:sz w:val="18"/>
                <w:szCs w:val="18"/>
              </w:rPr>
              <w:t xml:space="preserve">Ložnica </w:t>
            </w:r>
          </w:p>
        </w:tc>
        <w:tc>
          <w:tcPr>
            <w:tcW w:w="538" w:type="pct"/>
            <w:vMerge w:val="restart"/>
            <w:vAlign w:val="center"/>
          </w:tcPr>
          <w:p w14:paraId="084FB09C" w14:textId="77777777" w:rsidR="00BA1338" w:rsidRPr="00545EC0" w:rsidRDefault="00BA1338" w:rsidP="004F2AF2">
            <w:pPr>
              <w:spacing w:line="240" w:lineRule="auto"/>
              <w:rPr>
                <w:rFonts w:cs="Arial"/>
                <w:sz w:val="18"/>
                <w:szCs w:val="18"/>
              </w:rPr>
            </w:pPr>
            <w:r w:rsidRPr="00545EC0">
              <w:rPr>
                <w:rFonts w:cs="Arial"/>
                <w:sz w:val="18"/>
                <w:szCs w:val="18"/>
              </w:rPr>
              <w:t>Drava</w:t>
            </w:r>
          </w:p>
        </w:tc>
        <w:tc>
          <w:tcPr>
            <w:tcW w:w="384" w:type="pct"/>
            <w:shd w:val="clear" w:color="auto" w:fill="FFFFFF" w:themeFill="background1"/>
            <w:noWrap/>
            <w:vAlign w:val="center"/>
            <w:hideMark/>
          </w:tcPr>
          <w:p w14:paraId="743702CC"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422" w:type="pct"/>
            <w:shd w:val="clear" w:color="auto" w:fill="FFFFFF" w:themeFill="background1"/>
            <w:vAlign w:val="center"/>
          </w:tcPr>
          <w:p w14:paraId="7D7339CD"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4D344AD4" w14:textId="77777777" w:rsidTr="003122F4">
        <w:trPr>
          <w:trHeight w:val="227"/>
        </w:trPr>
        <w:tc>
          <w:tcPr>
            <w:tcW w:w="655" w:type="pct"/>
            <w:shd w:val="clear" w:color="auto" w:fill="auto"/>
            <w:noWrap/>
            <w:vAlign w:val="center"/>
            <w:hideMark/>
          </w:tcPr>
          <w:p w14:paraId="0E725CC5" w14:textId="77777777" w:rsidR="00BA1338" w:rsidRPr="00545EC0" w:rsidRDefault="00BA1338" w:rsidP="004F2AF2">
            <w:pPr>
              <w:spacing w:line="240" w:lineRule="auto"/>
              <w:rPr>
                <w:rFonts w:cs="Arial"/>
                <w:sz w:val="18"/>
                <w:szCs w:val="18"/>
              </w:rPr>
            </w:pPr>
            <w:r w:rsidRPr="00545EC0">
              <w:rPr>
                <w:rFonts w:cs="Arial"/>
                <w:sz w:val="18"/>
                <w:szCs w:val="18"/>
              </w:rPr>
              <w:t>SI368VT9</w:t>
            </w:r>
          </w:p>
        </w:tc>
        <w:tc>
          <w:tcPr>
            <w:tcW w:w="1770" w:type="pct"/>
            <w:shd w:val="clear" w:color="auto" w:fill="auto"/>
            <w:noWrap/>
            <w:vAlign w:val="center"/>
            <w:hideMark/>
          </w:tcPr>
          <w:p w14:paraId="545DB6F3" w14:textId="77777777" w:rsidR="00BA1338" w:rsidRPr="00545EC0" w:rsidRDefault="00BA1338" w:rsidP="004F2AF2">
            <w:pPr>
              <w:spacing w:line="240" w:lineRule="auto"/>
              <w:rPr>
                <w:rFonts w:cs="Arial"/>
                <w:sz w:val="18"/>
                <w:szCs w:val="18"/>
              </w:rPr>
            </w:pPr>
            <w:r w:rsidRPr="00545EC0">
              <w:rPr>
                <w:rFonts w:cs="Arial"/>
                <w:sz w:val="18"/>
                <w:szCs w:val="18"/>
              </w:rPr>
              <w:t>VT Polskava Zgornja Polskava - Tržec</w:t>
            </w:r>
          </w:p>
        </w:tc>
        <w:tc>
          <w:tcPr>
            <w:tcW w:w="1231" w:type="pct"/>
            <w:vAlign w:val="center"/>
          </w:tcPr>
          <w:p w14:paraId="2A4069C3" w14:textId="77777777" w:rsidR="00BA1338" w:rsidRPr="00545EC0" w:rsidRDefault="00BA1338" w:rsidP="004F2AF2">
            <w:pPr>
              <w:spacing w:line="240" w:lineRule="auto"/>
              <w:rPr>
                <w:rFonts w:cs="Arial"/>
                <w:sz w:val="18"/>
                <w:szCs w:val="18"/>
              </w:rPr>
            </w:pPr>
            <w:r w:rsidRPr="00545EC0">
              <w:rPr>
                <w:rFonts w:cs="Arial"/>
                <w:sz w:val="18"/>
                <w:szCs w:val="18"/>
              </w:rPr>
              <w:t xml:space="preserve">Polskava, Framski potok </w:t>
            </w:r>
          </w:p>
        </w:tc>
        <w:tc>
          <w:tcPr>
            <w:tcW w:w="538" w:type="pct"/>
            <w:vMerge/>
            <w:vAlign w:val="center"/>
          </w:tcPr>
          <w:p w14:paraId="04261D62" w14:textId="77777777" w:rsidR="00BA1338" w:rsidRPr="00545EC0" w:rsidRDefault="00BA1338" w:rsidP="004F2AF2">
            <w:pPr>
              <w:spacing w:line="240" w:lineRule="auto"/>
              <w:rPr>
                <w:rFonts w:cs="Arial"/>
                <w:sz w:val="18"/>
                <w:szCs w:val="18"/>
              </w:rPr>
            </w:pPr>
          </w:p>
        </w:tc>
        <w:tc>
          <w:tcPr>
            <w:tcW w:w="384" w:type="pct"/>
            <w:shd w:val="clear" w:color="auto" w:fill="FFFFFF" w:themeFill="background1"/>
            <w:noWrap/>
            <w:vAlign w:val="center"/>
            <w:hideMark/>
          </w:tcPr>
          <w:p w14:paraId="4541ED47"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422" w:type="pct"/>
            <w:shd w:val="clear" w:color="auto" w:fill="FFFFFF" w:themeFill="background1"/>
            <w:vAlign w:val="center"/>
          </w:tcPr>
          <w:p w14:paraId="0D388ADF"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7759ABF0" w14:textId="77777777" w:rsidTr="003122F4">
        <w:trPr>
          <w:trHeight w:val="227"/>
        </w:trPr>
        <w:tc>
          <w:tcPr>
            <w:tcW w:w="655" w:type="pct"/>
            <w:shd w:val="clear" w:color="auto" w:fill="auto"/>
            <w:noWrap/>
            <w:vAlign w:val="center"/>
            <w:hideMark/>
          </w:tcPr>
          <w:p w14:paraId="6A277B3C" w14:textId="77777777" w:rsidR="00BA1338" w:rsidRPr="00545EC0" w:rsidRDefault="00BA1338" w:rsidP="004F2AF2">
            <w:pPr>
              <w:spacing w:line="240" w:lineRule="auto"/>
              <w:rPr>
                <w:rFonts w:cs="Arial"/>
                <w:sz w:val="18"/>
                <w:szCs w:val="18"/>
              </w:rPr>
            </w:pPr>
            <w:r w:rsidRPr="00545EC0">
              <w:rPr>
                <w:rFonts w:cs="Arial"/>
                <w:sz w:val="18"/>
                <w:szCs w:val="18"/>
              </w:rPr>
              <w:t>SI36VT90</w:t>
            </w:r>
          </w:p>
        </w:tc>
        <w:tc>
          <w:tcPr>
            <w:tcW w:w="1770" w:type="pct"/>
            <w:shd w:val="clear" w:color="auto" w:fill="auto"/>
            <w:noWrap/>
            <w:vAlign w:val="center"/>
            <w:hideMark/>
          </w:tcPr>
          <w:p w14:paraId="07AF8CEF" w14:textId="77777777" w:rsidR="00BA1338" w:rsidRPr="00545EC0" w:rsidRDefault="00BA1338" w:rsidP="004F2AF2">
            <w:pPr>
              <w:spacing w:line="240" w:lineRule="auto"/>
              <w:rPr>
                <w:rFonts w:cs="Arial"/>
                <w:sz w:val="18"/>
                <w:szCs w:val="18"/>
              </w:rPr>
            </w:pPr>
            <w:r w:rsidRPr="00545EC0">
              <w:rPr>
                <w:rFonts w:cs="Arial"/>
                <w:sz w:val="18"/>
                <w:szCs w:val="18"/>
              </w:rPr>
              <w:t>VT Dravinja Zreče - Videm</w:t>
            </w:r>
          </w:p>
        </w:tc>
        <w:tc>
          <w:tcPr>
            <w:tcW w:w="1231" w:type="pct"/>
            <w:vAlign w:val="center"/>
          </w:tcPr>
          <w:p w14:paraId="74BE6205" w14:textId="77777777" w:rsidR="00BA1338" w:rsidRPr="00545EC0" w:rsidRDefault="00BA1338" w:rsidP="004F2AF2">
            <w:pPr>
              <w:spacing w:line="240" w:lineRule="auto"/>
              <w:rPr>
                <w:rFonts w:cs="Arial"/>
                <w:sz w:val="18"/>
                <w:szCs w:val="18"/>
              </w:rPr>
            </w:pPr>
            <w:r w:rsidRPr="00545EC0">
              <w:rPr>
                <w:rFonts w:cs="Arial"/>
                <w:sz w:val="18"/>
                <w:szCs w:val="18"/>
              </w:rPr>
              <w:t xml:space="preserve">Čadramski potok </w:t>
            </w:r>
          </w:p>
        </w:tc>
        <w:tc>
          <w:tcPr>
            <w:tcW w:w="538" w:type="pct"/>
            <w:vMerge/>
            <w:vAlign w:val="center"/>
          </w:tcPr>
          <w:p w14:paraId="46C358AB" w14:textId="77777777" w:rsidR="00BA1338" w:rsidRPr="00545EC0" w:rsidRDefault="00BA1338" w:rsidP="004F2AF2">
            <w:pPr>
              <w:spacing w:line="240" w:lineRule="auto"/>
              <w:rPr>
                <w:rFonts w:cs="Arial"/>
                <w:sz w:val="18"/>
                <w:szCs w:val="18"/>
              </w:rPr>
            </w:pPr>
          </w:p>
        </w:tc>
        <w:tc>
          <w:tcPr>
            <w:tcW w:w="384" w:type="pct"/>
            <w:shd w:val="clear" w:color="auto" w:fill="FFFFFF" w:themeFill="background1"/>
            <w:noWrap/>
            <w:vAlign w:val="center"/>
            <w:hideMark/>
          </w:tcPr>
          <w:p w14:paraId="4F2D85E4" w14:textId="77777777" w:rsidR="00BA1338" w:rsidRPr="00545EC0" w:rsidRDefault="00BA1338" w:rsidP="004F2AF2">
            <w:pPr>
              <w:spacing w:line="240" w:lineRule="auto"/>
              <w:rPr>
                <w:rFonts w:cs="Arial"/>
                <w:sz w:val="18"/>
                <w:szCs w:val="18"/>
              </w:rPr>
            </w:pPr>
            <w:r w:rsidRPr="00545EC0">
              <w:rPr>
                <w:rFonts w:cs="Arial"/>
                <w:sz w:val="18"/>
                <w:szCs w:val="18"/>
              </w:rPr>
              <w:t>0</w:t>
            </w:r>
          </w:p>
        </w:tc>
        <w:tc>
          <w:tcPr>
            <w:tcW w:w="422" w:type="pct"/>
            <w:shd w:val="clear" w:color="auto" w:fill="FFFFFF" w:themeFill="background1"/>
            <w:vAlign w:val="center"/>
          </w:tcPr>
          <w:p w14:paraId="207659A4"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396D8041" w14:textId="77777777" w:rsidTr="003122F4">
        <w:trPr>
          <w:trHeight w:val="227"/>
        </w:trPr>
        <w:tc>
          <w:tcPr>
            <w:tcW w:w="655" w:type="pct"/>
            <w:shd w:val="clear" w:color="auto" w:fill="auto"/>
            <w:noWrap/>
            <w:vAlign w:val="center"/>
            <w:hideMark/>
          </w:tcPr>
          <w:p w14:paraId="4625FB57" w14:textId="77777777" w:rsidR="00BA1338" w:rsidRPr="00545EC0" w:rsidRDefault="00BA1338" w:rsidP="004F2AF2">
            <w:pPr>
              <w:spacing w:line="240" w:lineRule="auto"/>
              <w:rPr>
                <w:rFonts w:cs="Arial"/>
                <w:sz w:val="18"/>
                <w:szCs w:val="18"/>
              </w:rPr>
            </w:pPr>
            <w:r w:rsidRPr="00545EC0">
              <w:rPr>
                <w:rFonts w:cs="Arial"/>
                <w:sz w:val="18"/>
                <w:szCs w:val="18"/>
              </w:rPr>
              <w:t>SI38VT33</w:t>
            </w:r>
          </w:p>
        </w:tc>
        <w:tc>
          <w:tcPr>
            <w:tcW w:w="1770" w:type="pct"/>
            <w:shd w:val="clear" w:color="auto" w:fill="auto"/>
            <w:noWrap/>
            <w:vAlign w:val="center"/>
            <w:hideMark/>
          </w:tcPr>
          <w:p w14:paraId="3A281AB0" w14:textId="77777777" w:rsidR="00BA1338" w:rsidRPr="00545EC0" w:rsidRDefault="00BA1338" w:rsidP="004F2AF2">
            <w:pPr>
              <w:spacing w:line="240" w:lineRule="auto"/>
              <w:rPr>
                <w:rFonts w:cs="Arial"/>
                <w:sz w:val="18"/>
                <w:szCs w:val="18"/>
              </w:rPr>
            </w:pPr>
            <w:r w:rsidRPr="00545EC0">
              <w:rPr>
                <w:rFonts w:cs="Arial"/>
                <w:sz w:val="18"/>
                <w:szCs w:val="18"/>
              </w:rPr>
              <w:t>VT Pesnica državna meja - zadrževalnik Perniško jezero</w:t>
            </w:r>
          </w:p>
        </w:tc>
        <w:tc>
          <w:tcPr>
            <w:tcW w:w="1231" w:type="pct"/>
            <w:vAlign w:val="center"/>
          </w:tcPr>
          <w:p w14:paraId="2F94A2DD" w14:textId="77777777" w:rsidR="00BA1338" w:rsidRPr="00545EC0" w:rsidRDefault="00BA1338" w:rsidP="004F2AF2">
            <w:pPr>
              <w:spacing w:line="240" w:lineRule="auto"/>
              <w:rPr>
                <w:rFonts w:cs="Arial"/>
                <w:sz w:val="18"/>
                <w:szCs w:val="18"/>
              </w:rPr>
            </w:pPr>
            <w:r w:rsidRPr="00545EC0">
              <w:rPr>
                <w:rFonts w:cs="Arial"/>
                <w:sz w:val="18"/>
                <w:szCs w:val="18"/>
              </w:rPr>
              <w:t xml:space="preserve">Pesnica </w:t>
            </w:r>
          </w:p>
        </w:tc>
        <w:tc>
          <w:tcPr>
            <w:tcW w:w="538" w:type="pct"/>
            <w:vMerge/>
            <w:vAlign w:val="center"/>
          </w:tcPr>
          <w:p w14:paraId="7438B25A" w14:textId="77777777" w:rsidR="00BA1338" w:rsidRPr="00545EC0" w:rsidRDefault="00BA1338" w:rsidP="004F2AF2">
            <w:pPr>
              <w:spacing w:line="240" w:lineRule="auto"/>
              <w:rPr>
                <w:rFonts w:cs="Arial"/>
                <w:sz w:val="18"/>
                <w:szCs w:val="18"/>
              </w:rPr>
            </w:pPr>
          </w:p>
        </w:tc>
        <w:tc>
          <w:tcPr>
            <w:tcW w:w="384" w:type="pct"/>
            <w:shd w:val="clear" w:color="auto" w:fill="FFFFFF" w:themeFill="background1"/>
            <w:noWrap/>
            <w:vAlign w:val="center"/>
            <w:hideMark/>
          </w:tcPr>
          <w:p w14:paraId="3E1F1E22"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422" w:type="pct"/>
            <w:shd w:val="clear" w:color="auto" w:fill="FFFFFF" w:themeFill="background1"/>
            <w:vAlign w:val="center"/>
          </w:tcPr>
          <w:p w14:paraId="4AD3C65B"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2F825687" w14:textId="77777777" w:rsidTr="003122F4">
        <w:trPr>
          <w:trHeight w:val="227"/>
        </w:trPr>
        <w:tc>
          <w:tcPr>
            <w:tcW w:w="655" w:type="pct"/>
            <w:shd w:val="clear" w:color="auto" w:fill="auto"/>
            <w:noWrap/>
            <w:vAlign w:val="center"/>
            <w:hideMark/>
          </w:tcPr>
          <w:p w14:paraId="38DE065F" w14:textId="77777777" w:rsidR="00BA1338" w:rsidRPr="00545EC0" w:rsidRDefault="00BA1338" w:rsidP="004F2AF2">
            <w:pPr>
              <w:spacing w:line="240" w:lineRule="auto"/>
              <w:rPr>
                <w:rFonts w:cs="Arial"/>
                <w:sz w:val="18"/>
                <w:szCs w:val="18"/>
              </w:rPr>
            </w:pPr>
            <w:r w:rsidRPr="00545EC0">
              <w:rPr>
                <w:rFonts w:cs="Arial"/>
                <w:sz w:val="18"/>
                <w:szCs w:val="18"/>
              </w:rPr>
              <w:lastRenderedPageBreak/>
              <w:t>SI38VT90</w:t>
            </w:r>
          </w:p>
        </w:tc>
        <w:tc>
          <w:tcPr>
            <w:tcW w:w="1770" w:type="pct"/>
            <w:shd w:val="clear" w:color="auto" w:fill="auto"/>
            <w:noWrap/>
            <w:vAlign w:val="center"/>
            <w:hideMark/>
          </w:tcPr>
          <w:p w14:paraId="38A72C4D" w14:textId="77777777" w:rsidR="00BA1338" w:rsidRPr="00545EC0" w:rsidRDefault="00BA1338" w:rsidP="004F2AF2">
            <w:pPr>
              <w:spacing w:line="240" w:lineRule="auto"/>
              <w:rPr>
                <w:rFonts w:cs="Arial"/>
                <w:sz w:val="18"/>
                <w:szCs w:val="18"/>
              </w:rPr>
            </w:pPr>
            <w:r w:rsidRPr="00545EC0">
              <w:rPr>
                <w:rFonts w:cs="Arial"/>
                <w:sz w:val="18"/>
                <w:szCs w:val="18"/>
              </w:rPr>
              <w:t>VT Pesnica zadrževalnik Perniško jezero - Ormož</w:t>
            </w:r>
          </w:p>
        </w:tc>
        <w:tc>
          <w:tcPr>
            <w:tcW w:w="1231" w:type="pct"/>
            <w:vAlign w:val="center"/>
          </w:tcPr>
          <w:p w14:paraId="005B4BE3" w14:textId="77777777" w:rsidR="00BA1338" w:rsidRPr="00545EC0" w:rsidRDefault="00BA1338" w:rsidP="004F2AF2">
            <w:pPr>
              <w:spacing w:line="240" w:lineRule="auto"/>
              <w:rPr>
                <w:rFonts w:cs="Arial"/>
                <w:sz w:val="18"/>
                <w:szCs w:val="18"/>
              </w:rPr>
            </w:pPr>
            <w:r w:rsidRPr="00545EC0">
              <w:rPr>
                <w:rFonts w:cs="Arial"/>
                <w:sz w:val="18"/>
                <w:szCs w:val="18"/>
              </w:rPr>
              <w:t xml:space="preserve">Pesnica, Partinjski potok, Velka, Spodnja Brnca, Sejanski potok </w:t>
            </w:r>
          </w:p>
        </w:tc>
        <w:tc>
          <w:tcPr>
            <w:tcW w:w="538" w:type="pct"/>
            <w:vMerge/>
            <w:vAlign w:val="center"/>
          </w:tcPr>
          <w:p w14:paraId="497AE2A3" w14:textId="77777777" w:rsidR="00BA1338" w:rsidRPr="00545EC0" w:rsidRDefault="00BA1338" w:rsidP="004F2AF2">
            <w:pPr>
              <w:spacing w:line="240" w:lineRule="auto"/>
              <w:rPr>
                <w:rFonts w:cs="Arial"/>
                <w:sz w:val="18"/>
                <w:szCs w:val="18"/>
              </w:rPr>
            </w:pPr>
          </w:p>
        </w:tc>
        <w:tc>
          <w:tcPr>
            <w:tcW w:w="384" w:type="pct"/>
            <w:shd w:val="clear" w:color="auto" w:fill="FFFFFF" w:themeFill="background1"/>
            <w:noWrap/>
            <w:vAlign w:val="center"/>
            <w:hideMark/>
          </w:tcPr>
          <w:p w14:paraId="0A555046"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422" w:type="pct"/>
            <w:shd w:val="clear" w:color="auto" w:fill="FFFFFF" w:themeFill="background1"/>
            <w:vAlign w:val="center"/>
          </w:tcPr>
          <w:p w14:paraId="05F5531E"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64E27747" w14:textId="77777777" w:rsidTr="003122F4">
        <w:trPr>
          <w:trHeight w:val="227"/>
        </w:trPr>
        <w:tc>
          <w:tcPr>
            <w:tcW w:w="655" w:type="pct"/>
            <w:shd w:val="clear" w:color="auto" w:fill="auto"/>
            <w:noWrap/>
            <w:vAlign w:val="center"/>
            <w:hideMark/>
          </w:tcPr>
          <w:p w14:paraId="363E4E76" w14:textId="77777777" w:rsidR="00BA1338" w:rsidRPr="00545EC0" w:rsidRDefault="00BA1338" w:rsidP="004F2AF2">
            <w:pPr>
              <w:spacing w:line="240" w:lineRule="auto"/>
              <w:rPr>
                <w:rFonts w:cs="Arial"/>
                <w:sz w:val="18"/>
                <w:szCs w:val="18"/>
              </w:rPr>
            </w:pPr>
            <w:r w:rsidRPr="00545EC0">
              <w:rPr>
                <w:rFonts w:cs="Arial"/>
                <w:sz w:val="18"/>
                <w:szCs w:val="18"/>
              </w:rPr>
              <w:t>SI3VT930</w:t>
            </w:r>
          </w:p>
        </w:tc>
        <w:tc>
          <w:tcPr>
            <w:tcW w:w="1770" w:type="pct"/>
            <w:shd w:val="clear" w:color="auto" w:fill="auto"/>
            <w:noWrap/>
            <w:vAlign w:val="center"/>
            <w:hideMark/>
          </w:tcPr>
          <w:p w14:paraId="0F54E168" w14:textId="77777777" w:rsidR="00BA1338" w:rsidRPr="00545EC0" w:rsidRDefault="00BA1338" w:rsidP="004F2AF2">
            <w:pPr>
              <w:spacing w:line="240" w:lineRule="auto"/>
              <w:rPr>
                <w:rFonts w:cs="Arial"/>
                <w:sz w:val="18"/>
                <w:szCs w:val="18"/>
              </w:rPr>
            </w:pPr>
            <w:r w:rsidRPr="00545EC0">
              <w:rPr>
                <w:rFonts w:cs="Arial"/>
                <w:sz w:val="18"/>
                <w:szCs w:val="18"/>
              </w:rPr>
              <w:t>VT Drava Ptuj - Ormož</w:t>
            </w:r>
          </w:p>
        </w:tc>
        <w:tc>
          <w:tcPr>
            <w:tcW w:w="1231" w:type="pct"/>
            <w:vAlign w:val="center"/>
          </w:tcPr>
          <w:p w14:paraId="465812C5" w14:textId="77777777" w:rsidR="00BA1338" w:rsidRPr="00545EC0" w:rsidRDefault="00BA1338" w:rsidP="004F2AF2">
            <w:pPr>
              <w:spacing w:line="240" w:lineRule="auto"/>
              <w:rPr>
                <w:rFonts w:cs="Arial"/>
                <w:sz w:val="18"/>
                <w:szCs w:val="18"/>
              </w:rPr>
            </w:pPr>
            <w:r w:rsidRPr="00545EC0">
              <w:rPr>
                <w:rFonts w:cs="Arial"/>
                <w:sz w:val="18"/>
                <w:szCs w:val="18"/>
              </w:rPr>
              <w:t xml:space="preserve">Lešnica </w:t>
            </w:r>
          </w:p>
        </w:tc>
        <w:tc>
          <w:tcPr>
            <w:tcW w:w="538" w:type="pct"/>
            <w:vMerge/>
            <w:vAlign w:val="center"/>
          </w:tcPr>
          <w:p w14:paraId="3BD4EE0D" w14:textId="77777777" w:rsidR="00BA1338" w:rsidRPr="00545EC0" w:rsidRDefault="00BA1338" w:rsidP="004F2AF2">
            <w:pPr>
              <w:spacing w:line="240" w:lineRule="auto"/>
              <w:rPr>
                <w:rFonts w:cs="Arial"/>
                <w:sz w:val="18"/>
                <w:szCs w:val="18"/>
              </w:rPr>
            </w:pPr>
          </w:p>
        </w:tc>
        <w:tc>
          <w:tcPr>
            <w:tcW w:w="384" w:type="pct"/>
            <w:shd w:val="clear" w:color="auto" w:fill="FFFFFF" w:themeFill="background1"/>
            <w:noWrap/>
            <w:vAlign w:val="center"/>
            <w:hideMark/>
          </w:tcPr>
          <w:p w14:paraId="72BD446F" w14:textId="77777777" w:rsidR="00BA1338" w:rsidRPr="00545EC0" w:rsidRDefault="00BA1338" w:rsidP="004F2AF2">
            <w:pPr>
              <w:spacing w:line="240" w:lineRule="auto"/>
              <w:rPr>
                <w:rFonts w:cs="Arial"/>
                <w:sz w:val="18"/>
                <w:szCs w:val="18"/>
              </w:rPr>
            </w:pPr>
            <w:r w:rsidRPr="00545EC0">
              <w:rPr>
                <w:rFonts w:cs="Arial"/>
                <w:sz w:val="18"/>
                <w:szCs w:val="18"/>
              </w:rPr>
              <w:t>0</w:t>
            </w:r>
          </w:p>
        </w:tc>
        <w:tc>
          <w:tcPr>
            <w:tcW w:w="422" w:type="pct"/>
            <w:shd w:val="clear" w:color="auto" w:fill="FFFFFF" w:themeFill="background1"/>
            <w:vAlign w:val="center"/>
          </w:tcPr>
          <w:p w14:paraId="61F73CC0"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260A63B0" w14:textId="77777777" w:rsidTr="003122F4">
        <w:trPr>
          <w:trHeight w:val="227"/>
        </w:trPr>
        <w:tc>
          <w:tcPr>
            <w:tcW w:w="655" w:type="pct"/>
            <w:shd w:val="clear" w:color="auto" w:fill="auto"/>
            <w:noWrap/>
            <w:vAlign w:val="center"/>
            <w:hideMark/>
          </w:tcPr>
          <w:p w14:paraId="5F06BD5A" w14:textId="77777777" w:rsidR="00BA1338" w:rsidRPr="00545EC0" w:rsidRDefault="00BA1338" w:rsidP="004F2AF2">
            <w:pPr>
              <w:spacing w:line="240" w:lineRule="auto"/>
              <w:rPr>
                <w:rFonts w:cs="Arial"/>
                <w:sz w:val="18"/>
                <w:szCs w:val="18"/>
              </w:rPr>
            </w:pPr>
            <w:r w:rsidRPr="00545EC0">
              <w:rPr>
                <w:rFonts w:cs="Arial"/>
                <w:sz w:val="18"/>
                <w:szCs w:val="18"/>
              </w:rPr>
              <w:t>SI432VT</w:t>
            </w:r>
          </w:p>
        </w:tc>
        <w:tc>
          <w:tcPr>
            <w:tcW w:w="1770" w:type="pct"/>
            <w:shd w:val="clear" w:color="auto" w:fill="auto"/>
            <w:noWrap/>
            <w:vAlign w:val="center"/>
            <w:hideMark/>
          </w:tcPr>
          <w:p w14:paraId="209B0861" w14:textId="77777777" w:rsidR="00BA1338" w:rsidRPr="00545EC0" w:rsidRDefault="00BA1338" w:rsidP="004F2AF2">
            <w:pPr>
              <w:spacing w:line="240" w:lineRule="auto"/>
              <w:rPr>
                <w:rFonts w:cs="Arial"/>
                <w:sz w:val="18"/>
                <w:szCs w:val="18"/>
              </w:rPr>
            </w:pPr>
            <w:r w:rsidRPr="00545EC0">
              <w:rPr>
                <w:rFonts w:cs="Arial"/>
                <w:sz w:val="18"/>
                <w:szCs w:val="18"/>
              </w:rPr>
              <w:t>VT Kučnica</w:t>
            </w:r>
          </w:p>
        </w:tc>
        <w:tc>
          <w:tcPr>
            <w:tcW w:w="1231" w:type="pct"/>
            <w:vAlign w:val="center"/>
          </w:tcPr>
          <w:p w14:paraId="769D2D2E" w14:textId="77777777" w:rsidR="00BA1338" w:rsidRPr="00545EC0" w:rsidRDefault="00BA1338" w:rsidP="004F2AF2">
            <w:pPr>
              <w:spacing w:line="240" w:lineRule="auto"/>
              <w:rPr>
                <w:rFonts w:cs="Arial"/>
                <w:sz w:val="18"/>
                <w:szCs w:val="18"/>
              </w:rPr>
            </w:pPr>
            <w:r w:rsidRPr="00545EC0">
              <w:rPr>
                <w:rFonts w:cs="Arial"/>
                <w:sz w:val="18"/>
                <w:szCs w:val="18"/>
              </w:rPr>
              <w:t xml:space="preserve">Kučnica </w:t>
            </w:r>
          </w:p>
        </w:tc>
        <w:tc>
          <w:tcPr>
            <w:tcW w:w="538" w:type="pct"/>
            <w:vMerge w:val="restart"/>
            <w:vAlign w:val="center"/>
          </w:tcPr>
          <w:p w14:paraId="06DB238B" w14:textId="77777777" w:rsidR="00BA1338" w:rsidRPr="00545EC0" w:rsidRDefault="00BA1338" w:rsidP="004F2AF2">
            <w:pPr>
              <w:spacing w:line="240" w:lineRule="auto"/>
              <w:rPr>
                <w:rFonts w:cs="Arial"/>
                <w:sz w:val="18"/>
                <w:szCs w:val="18"/>
              </w:rPr>
            </w:pPr>
            <w:r w:rsidRPr="00545EC0">
              <w:rPr>
                <w:rFonts w:cs="Arial"/>
                <w:sz w:val="18"/>
                <w:szCs w:val="18"/>
              </w:rPr>
              <w:t>Mura</w:t>
            </w:r>
          </w:p>
        </w:tc>
        <w:tc>
          <w:tcPr>
            <w:tcW w:w="384" w:type="pct"/>
            <w:shd w:val="clear" w:color="auto" w:fill="FFFFFF" w:themeFill="background1"/>
            <w:noWrap/>
            <w:vAlign w:val="center"/>
            <w:hideMark/>
          </w:tcPr>
          <w:p w14:paraId="1FEF3948"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422" w:type="pct"/>
            <w:shd w:val="clear" w:color="auto" w:fill="FFFFFF" w:themeFill="background1"/>
            <w:vAlign w:val="center"/>
          </w:tcPr>
          <w:p w14:paraId="377531F5"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15270F80" w14:textId="77777777" w:rsidTr="003122F4">
        <w:trPr>
          <w:trHeight w:val="227"/>
        </w:trPr>
        <w:tc>
          <w:tcPr>
            <w:tcW w:w="655" w:type="pct"/>
            <w:shd w:val="clear" w:color="auto" w:fill="auto"/>
            <w:noWrap/>
            <w:vAlign w:val="center"/>
            <w:hideMark/>
          </w:tcPr>
          <w:p w14:paraId="779F2F0D" w14:textId="77777777" w:rsidR="00BA1338" w:rsidRPr="00545EC0" w:rsidRDefault="00BA1338" w:rsidP="004F2AF2">
            <w:pPr>
              <w:spacing w:line="240" w:lineRule="auto"/>
              <w:rPr>
                <w:rFonts w:cs="Arial"/>
                <w:sz w:val="18"/>
                <w:szCs w:val="18"/>
              </w:rPr>
            </w:pPr>
            <w:r w:rsidRPr="00545EC0">
              <w:rPr>
                <w:rFonts w:cs="Arial"/>
                <w:sz w:val="18"/>
                <w:szCs w:val="18"/>
              </w:rPr>
              <w:t>SI434VT51</w:t>
            </w:r>
          </w:p>
        </w:tc>
        <w:tc>
          <w:tcPr>
            <w:tcW w:w="1770" w:type="pct"/>
            <w:shd w:val="clear" w:color="auto" w:fill="auto"/>
            <w:noWrap/>
            <w:vAlign w:val="center"/>
            <w:hideMark/>
          </w:tcPr>
          <w:p w14:paraId="30DCF6F1" w14:textId="77777777" w:rsidR="00BA1338" w:rsidRPr="00545EC0" w:rsidRDefault="00BA1338" w:rsidP="004F2AF2">
            <w:pPr>
              <w:spacing w:line="240" w:lineRule="auto"/>
              <w:rPr>
                <w:rFonts w:cs="Arial"/>
                <w:sz w:val="18"/>
                <w:szCs w:val="18"/>
              </w:rPr>
            </w:pPr>
            <w:r w:rsidRPr="00545EC0">
              <w:rPr>
                <w:rFonts w:cs="Arial"/>
                <w:sz w:val="18"/>
                <w:szCs w:val="18"/>
              </w:rPr>
              <w:t>VT Ščavnica povirje - zadrževalnik Gajševsko jezero</w:t>
            </w:r>
          </w:p>
        </w:tc>
        <w:tc>
          <w:tcPr>
            <w:tcW w:w="1231" w:type="pct"/>
            <w:vAlign w:val="center"/>
          </w:tcPr>
          <w:p w14:paraId="27FA40B6" w14:textId="77777777" w:rsidR="00BA1338" w:rsidRPr="00545EC0" w:rsidRDefault="00BA1338" w:rsidP="004F2AF2">
            <w:pPr>
              <w:spacing w:line="240" w:lineRule="auto"/>
              <w:rPr>
                <w:rFonts w:cs="Arial"/>
                <w:sz w:val="18"/>
                <w:szCs w:val="18"/>
              </w:rPr>
            </w:pPr>
            <w:r w:rsidRPr="00545EC0">
              <w:rPr>
                <w:rFonts w:cs="Arial"/>
                <w:sz w:val="18"/>
                <w:szCs w:val="18"/>
              </w:rPr>
              <w:t xml:space="preserve">Ščavnica, Blaguški potok, Lipnica </w:t>
            </w:r>
          </w:p>
        </w:tc>
        <w:tc>
          <w:tcPr>
            <w:tcW w:w="538" w:type="pct"/>
            <w:vMerge/>
            <w:vAlign w:val="center"/>
          </w:tcPr>
          <w:p w14:paraId="469152B2" w14:textId="77777777" w:rsidR="00BA1338" w:rsidRPr="00545EC0" w:rsidRDefault="00BA1338" w:rsidP="004F2AF2">
            <w:pPr>
              <w:spacing w:line="240" w:lineRule="auto"/>
              <w:rPr>
                <w:rFonts w:cs="Arial"/>
                <w:sz w:val="18"/>
                <w:szCs w:val="18"/>
              </w:rPr>
            </w:pPr>
          </w:p>
        </w:tc>
        <w:tc>
          <w:tcPr>
            <w:tcW w:w="384" w:type="pct"/>
            <w:shd w:val="clear" w:color="auto" w:fill="FFFFFF" w:themeFill="background1"/>
            <w:noWrap/>
            <w:vAlign w:val="center"/>
            <w:hideMark/>
          </w:tcPr>
          <w:p w14:paraId="501E4291"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422" w:type="pct"/>
            <w:shd w:val="clear" w:color="auto" w:fill="FFFFFF" w:themeFill="background1"/>
            <w:vAlign w:val="center"/>
          </w:tcPr>
          <w:p w14:paraId="33EC8E97"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4E50AB3D" w14:textId="77777777" w:rsidTr="003122F4">
        <w:trPr>
          <w:trHeight w:val="227"/>
        </w:trPr>
        <w:tc>
          <w:tcPr>
            <w:tcW w:w="655" w:type="pct"/>
            <w:shd w:val="clear" w:color="auto" w:fill="auto"/>
            <w:noWrap/>
            <w:vAlign w:val="center"/>
            <w:hideMark/>
          </w:tcPr>
          <w:p w14:paraId="168A5068" w14:textId="77777777" w:rsidR="00BA1338" w:rsidRPr="00545EC0" w:rsidRDefault="00BA1338" w:rsidP="004F2AF2">
            <w:pPr>
              <w:spacing w:line="240" w:lineRule="auto"/>
              <w:rPr>
                <w:rFonts w:cs="Arial"/>
                <w:sz w:val="18"/>
                <w:szCs w:val="18"/>
              </w:rPr>
            </w:pPr>
            <w:r w:rsidRPr="00545EC0">
              <w:rPr>
                <w:rFonts w:cs="Arial"/>
                <w:sz w:val="18"/>
                <w:szCs w:val="18"/>
              </w:rPr>
              <w:t>SI434VT9</w:t>
            </w:r>
          </w:p>
        </w:tc>
        <w:tc>
          <w:tcPr>
            <w:tcW w:w="1770" w:type="pct"/>
            <w:shd w:val="clear" w:color="auto" w:fill="auto"/>
            <w:noWrap/>
            <w:vAlign w:val="center"/>
            <w:hideMark/>
          </w:tcPr>
          <w:p w14:paraId="533B7461" w14:textId="77777777" w:rsidR="00BA1338" w:rsidRPr="00545EC0" w:rsidRDefault="00BA1338" w:rsidP="004F2AF2">
            <w:pPr>
              <w:spacing w:line="240" w:lineRule="auto"/>
              <w:rPr>
                <w:rFonts w:cs="Arial"/>
                <w:sz w:val="18"/>
                <w:szCs w:val="18"/>
              </w:rPr>
            </w:pPr>
            <w:r w:rsidRPr="00545EC0">
              <w:rPr>
                <w:rFonts w:cs="Arial"/>
                <w:sz w:val="18"/>
                <w:szCs w:val="18"/>
              </w:rPr>
              <w:t>VT Ščavnica zadrževalnik Gajševsko jezero - Gibina</w:t>
            </w:r>
          </w:p>
        </w:tc>
        <w:tc>
          <w:tcPr>
            <w:tcW w:w="1231" w:type="pct"/>
            <w:vAlign w:val="center"/>
          </w:tcPr>
          <w:p w14:paraId="2AEC9BD6" w14:textId="77777777" w:rsidR="00BA1338" w:rsidRPr="00545EC0" w:rsidRDefault="00BA1338" w:rsidP="004F2AF2">
            <w:pPr>
              <w:spacing w:line="240" w:lineRule="auto"/>
              <w:rPr>
                <w:rFonts w:cs="Arial"/>
                <w:sz w:val="18"/>
                <w:szCs w:val="18"/>
              </w:rPr>
            </w:pPr>
            <w:r w:rsidRPr="00545EC0">
              <w:rPr>
                <w:rFonts w:cs="Arial"/>
                <w:sz w:val="18"/>
                <w:szCs w:val="18"/>
              </w:rPr>
              <w:t>Globetka, Kozarica</w:t>
            </w:r>
          </w:p>
        </w:tc>
        <w:tc>
          <w:tcPr>
            <w:tcW w:w="538" w:type="pct"/>
            <w:vMerge/>
            <w:vAlign w:val="center"/>
          </w:tcPr>
          <w:p w14:paraId="5223181D" w14:textId="77777777" w:rsidR="00BA1338" w:rsidRPr="00545EC0" w:rsidRDefault="00BA1338" w:rsidP="004F2AF2">
            <w:pPr>
              <w:spacing w:line="240" w:lineRule="auto"/>
              <w:rPr>
                <w:rFonts w:cs="Arial"/>
                <w:sz w:val="18"/>
                <w:szCs w:val="18"/>
              </w:rPr>
            </w:pPr>
          </w:p>
        </w:tc>
        <w:tc>
          <w:tcPr>
            <w:tcW w:w="384" w:type="pct"/>
            <w:shd w:val="clear" w:color="auto" w:fill="FFFFFF" w:themeFill="background1"/>
            <w:noWrap/>
            <w:vAlign w:val="center"/>
            <w:hideMark/>
          </w:tcPr>
          <w:p w14:paraId="2760F34B" w14:textId="77777777" w:rsidR="00BA1338" w:rsidRPr="00545EC0" w:rsidRDefault="00BA1338" w:rsidP="004F2AF2">
            <w:pPr>
              <w:spacing w:line="240" w:lineRule="auto"/>
              <w:rPr>
                <w:rFonts w:cs="Arial"/>
                <w:sz w:val="18"/>
                <w:szCs w:val="18"/>
              </w:rPr>
            </w:pPr>
            <w:r w:rsidRPr="00545EC0">
              <w:rPr>
                <w:rFonts w:cs="Arial"/>
                <w:sz w:val="18"/>
                <w:szCs w:val="18"/>
              </w:rPr>
              <w:t>0</w:t>
            </w:r>
          </w:p>
        </w:tc>
        <w:tc>
          <w:tcPr>
            <w:tcW w:w="422" w:type="pct"/>
            <w:shd w:val="clear" w:color="auto" w:fill="FFFFFF" w:themeFill="background1"/>
            <w:vAlign w:val="center"/>
          </w:tcPr>
          <w:p w14:paraId="4D624728"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58E5D220" w14:textId="77777777" w:rsidTr="003122F4">
        <w:trPr>
          <w:trHeight w:val="227"/>
        </w:trPr>
        <w:tc>
          <w:tcPr>
            <w:tcW w:w="655" w:type="pct"/>
            <w:shd w:val="clear" w:color="auto" w:fill="auto"/>
            <w:noWrap/>
            <w:vAlign w:val="center"/>
            <w:hideMark/>
          </w:tcPr>
          <w:p w14:paraId="07C6179C" w14:textId="77777777" w:rsidR="00BA1338" w:rsidRPr="00545EC0" w:rsidRDefault="00BA1338" w:rsidP="004F2AF2">
            <w:pPr>
              <w:spacing w:line="240" w:lineRule="auto"/>
              <w:rPr>
                <w:rFonts w:cs="Arial"/>
                <w:sz w:val="18"/>
                <w:szCs w:val="18"/>
              </w:rPr>
            </w:pPr>
            <w:r w:rsidRPr="00545EC0">
              <w:rPr>
                <w:rFonts w:cs="Arial"/>
                <w:sz w:val="18"/>
                <w:szCs w:val="18"/>
              </w:rPr>
              <w:t>SI43VT10</w:t>
            </w:r>
          </w:p>
        </w:tc>
        <w:tc>
          <w:tcPr>
            <w:tcW w:w="1770" w:type="pct"/>
            <w:shd w:val="clear" w:color="auto" w:fill="auto"/>
            <w:noWrap/>
            <w:vAlign w:val="center"/>
            <w:hideMark/>
          </w:tcPr>
          <w:p w14:paraId="558463FB" w14:textId="77777777" w:rsidR="00BA1338" w:rsidRPr="00545EC0" w:rsidRDefault="00BA1338" w:rsidP="004F2AF2">
            <w:pPr>
              <w:spacing w:line="240" w:lineRule="auto"/>
              <w:rPr>
                <w:rFonts w:cs="Arial"/>
                <w:sz w:val="18"/>
                <w:szCs w:val="18"/>
              </w:rPr>
            </w:pPr>
            <w:r w:rsidRPr="00545EC0">
              <w:rPr>
                <w:rFonts w:cs="Arial"/>
                <w:sz w:val="18"/>
                <w:szCs w:val="18"/>
              </w:rPr>
              <w:t>VT Mura Ceršak - Petanjci</w:t>
            </w:r>
          </w:p>
        </w:tc>
        <w:tc>
          <w:tcPr>
            <w:tcW w:w="1231" w:type="pct"/>
            <w:vAlign w:val="center"/>
          </w:tcPr>
          <w:p w14:paraId="52FC89BF" w14:textId="77777777" w:rsidR="00BA1338" w:rsidRPr="00545EC0" w:rsidRDefault="00BA1338" w:rsidP="004F2AF2">
            <w:pPr>
              <w:spacing w:line="240" w:lineRule="auto"/>
              <w:rPr>
                <w:rFonts w:cs="Arial"/>
                <w:sz w:val="18"/>
                <w:szCs w:val="18"/>
              </w:rPr>
            </w:pPr>
            <w:r w:rsidRPr="00545EC0">
              <w:rPr>
                <w:rFonts w:cs="Arial"/>
                <w:sz w:val="18"/>
                <w:szCs w:val="18"/>
              </w:rPr>
              <w:t xml:space="preserve">Plitvica </w:t>
            </w:r>
          </w:p>
        </w:tc>
        <w:tc>
          <w:tcPr>
            <w:tcW w:w="538" w:type="pct"/>
            <w:vMerge/>
            <w:vAlign w:val="center"/>
          </w:tcPr>
          <w:p w14:paraId="3D3D3E00" w14:textId="77777777" w:rsidR="00BA1338" w:rsidRPr="00545EC0" w:rsidRDefault="00BA1338" w:rsidP="004F2AF2">
            <w:pPr>
              <w:spacing w:line="240" w:lineRule="auto"/>
              <w:rPr>
                <w:rFonts w:cs="Arial"/>
                <w:sz w:val="18"/>
                <w:szCs w:val="18"/>
              </w:rPr>
            </w:pPr>
          </w:p>
        </w:tc>
        <w:tc>
          <w:tcPr>
            <w:tcW w:w="384" w:type="pct"/>
            <w:shd w:val="clear" w:color="auto" w:fill="FFFFFF" w:themeFill="background1"/>
            <w:noWrap/>
            <w:vAlign w:val="center"/>
            <w:hideMark/>
          </w:tcPr>
          <w:p w14:paraId="71806921" w14:textId="77777777" w:rsidR="00BA1338" w:rsidRPr="00545EC0" w:rsidRDefault="00BA1338" w:rsidP="004F2AF2">
            <w:pPr>
              <w:spacing w:line="240" w:lineRule="auto"/>
              <w:rPr>
                <w:rFonts w:cs="Arial"/>
                <w:sz w:val="18"/>
                <w:szCs w:val="18"/>
              </w:rPr>
            </w:pPr>
            <w:r w:rsidRPr="00545EC0">
              <w:rPr>
                <w:rFonts w:cs="Arial"/>
                <w:sz w:val="18"/>
                <w:szCs w:val="18"/>
              </w:rPr>
              <w:t>0</w:t>
            </w:r>
          </w:p>
        </w:tc>
        <w:tc>
          <w:tcPr>
            <w:tcW w:w="422" w:type="pct"/>
            <w:shd w:val="clear" w:color="auto" w:fill="FFFFFF" w:themeFill="background1"/>
            <w:vAlign w:val="center"/>
          </w:tcPr>
          <w:p w14:paraId="664DFCBD"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0FA8D3AF" w14:textId="77777777" w:rsidTr="003122F4">
        <w:trPr>
          <w:trHeight w:val="227"/>
        </w:trPr>
        <w:tc>
          <w:tcPr>
            <w:tcW w:w="655" w:type="pct"/>
            <w:shd w:val="clear" w:color="auto" w:fill="auto"/>
            <w:noWrap/>
            <w:vAlign w:val="center"/>
            <w:hideMark/>
          </w:tcPr>
          <w:p w14:paraId="03BAEBF2" w14:textId="77777777" w:rsidR="00BA1338" w:rsidRPr="00545EC0" w:rsidRDefault="00BA1338" w:rsidP="004F2AF2">
            <w:pPr>
              <w:spacing w:line="240" w:lineRule="auto"/>
              <w:rPr>
                <w:rFonts w:cs="Arial"/>
                <w:sz w:val="18"/>
                <w:szCs w:val="18"/>
              </w:rPr>
            </w:pPr>
            <w:r w:rsidRPr="00545EC0">
              <w:rPr>
                <w:rFonts w:cs="Arial"/>
                <w:sz w:val="18"/>
                <w:szCs w:val="18"/>
              </w:rPr>
              <w:t>SI43VT30</w:t>
            </w:r>
          </w:p>
        </w:tc>
        <w:tc>
          <w:tcPr>
            <w:tcW w:w="1770" w:type="pct"/>
            <w:shd w:val="clear" w:color="auto" w:fill="auto"/>
            <w:noWrap/>
            <w:vAlign w:val="center"/>
            <w:hideMark/>
          </w:tcPr>
          <w:p w14:paraId="34FA5FFB" w14:textId="77777777" w:rsidR="00BA1338" w:rsidRPr="00545EC0" w:rsidRDefault="00BA1338" w:rsidP="004F2AF2">
            <w:pPr>
              <w:spacing w:line="240" w:lineRule="auto"/>
              <w:rPr>
                <w:rFonts w:cs="Arial"/>
                <w:sz w:val="18"/>
                <w:szCs w:val="18"/>
              </w:rPr>
            </w:pPr>
            <w:r w:rsidRPr="00545EC0">
              <w:rPr>
                <w:rFonts w:cs="Arial"/>
                <w:sz w:val="18"/>
                <w:szCs w:val="18"/>
              </w:rPr>
              <w:t>VT Kučnica Mura Petanjci - Gibina</w:t>
            </w:r>
          </w:p>
        </w:tc>
        <w:tc>
          <w:tcPr>
            <w:tcW w:w="1231" w:type="pct"/>
            <w:vAlign w:val="center"/>
          </w:tcPr>
          <w:p w14:paraId="0440FB73" w14:textId="77777777" w:rsidR="00BA1338" w:rsidRPr="00545EC0" w:rsidRDefault="00BA1338" w:rsidP="004F2AF2">
            <w:pPr>
              <w:spacing w:line="240" w:lineRule="auto"/>
              <w:rPr>
                <w:rFonts w:cs="Arial"/>
                <w:sz w:val="18"/>
                <w:szCs w:val="18"/>
              </w:rPr>
            </w:pPr>
            <w:r w:rsidRPr="00545EC0">
              <w:rPr>
                <w:rFonts w:cs="Arial"/>
                <w:sz w:val="18"/>
                <w:szCs w:val="18"/>
              </w:rPr>
              <w:t xml:space="preserve">Boračevski potok </w:t>
            </w:r>
          </w:p>
        </w:tc>
        <w:tc>
          <w:tcPr>
            <w:tcW w:w="538" w:type="pct"/>
            <w:vMerge/>
            <w:vAlign w:val="center"/>
          </w:tcPr>
          <w:p w14:paraId="4BFB2765" w14:textId="77777777" w:rsidR="00BA1338" w:rsidRPr="00545EC0" w:rsidRDefault="00BA1338" w:rsidP="004F2AF2">
            <w:pPr>
              <w:spacing w:line="240" w:lineRule="auto"/>
              <w:rPr>
                <w:rFonts w:cs="Arial"/>
                <w:sz w:val="18"/>
                <w:szCs w:val="18"/>
              </w:rPr>
            </w:pPr>
          </w:p>
        </w:tc>
        <w:tc>
          <w:tcPr>
            <w:tcW w:w="384" w:type="pct"/>
            <w:shd w:val="clear" w:color="auto" w:fill="FFFFFF" w:themeFill="background1"/>
            <w:noWrap/>
            <w:vAlign w:val="center"/>
            <w:hideMark/>
          </w:tcPr>
          <w:p w14:paraId="7D232581" w14:textId="77777777" w:rsidR="00BA1338" w:rsidRPr="00545EC0" w:rsidRDefault="00BA1338" w:rsidP="004F2AF2">
            <w:pPr>
              <w:spacing w:line="240" w:lineRule="auto"/>
              <w:rPr>
                <w:rFonts w:cs="Arial"/>
                <w:sz w:val="18"/>
                <w:szCs w:val="18"/>
              </w:rPr>
            </w:pPr>
            <w:r w:rsidRPr="00545EC0">
              <w:rPr>
                <w:rFonts w:cs="Arial"/>
                <w:sz w:val="18"/>
                <w:szCs w:val="18"/>
              </w:rPr>
              <w:t>0</w:t>
            </w:r>
          </w:p>
        </w:tc>
        <w:tc>
          <w:tcPr>
            <w:tcW w:w="422" w:type="pct"/>
            <w:shd w:val="clear" w:color="auto" w:fill="FFFFFF" w:themeFill="background1"/>
            <w:vAlign w:val="center"/>
          </w:tcPr>
          <w:p w14:paraId="4862C192"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4B7A7E2B" w14:textId="77777777" w:rsidTr="003122F4">
        <w:trPr>
          <w:trHeight w:val="227"/>
        </w:trPr>
        <w:tc>
          <w:tcPr>
            <w:tcW w:w="655" w:type="pct"/>
            <w:shd w:val="clear" w:color="auto" w:fill="auto"/>
            <w:noWrap/>
            <w:vAlign w:val="center"/>
            <w:hideMark/>
          </w:tcPr>
          <w:p w14:paraId="5ACDABA7" w14:textId="77777777" w:rsidR="00BA1338" w:rsidRPr="00545EC0" w:rsidRDefault="00BA1338" w:rsidP="004F2AF2">
            <w:pPr>
              <w:spacing w:line="240" w:lineRule="auto"/>
              <w:rPr>
                <w:rFonts w:cs="Arial"/>
                <w:sz w:val="18"/>
                <w:szCs w:val="18"/>
              </w:rPr>
            </w:pPr>
            <w:r w:rsidRPr="00545EC0">
              <w:rPr>
                <w:rFonts w:cs="Arial"/>
                <w:sz w:val="18"/>
                <w:szCs w:val="18"/>
              </w:rPr>
              <w:t>SI4426VT2</w:t>
            </w:r>
          </w:p>
        </w:tc>
        <w:tc>
          <w:tcPr>
            <w:tcW w:w="1770" w:type="pct"/>
            <w:shd w:val="clear" w:color="auto" w:fill="auto"/>
            <w:noWrap/>
            <w:vAlign w:val="center"/>
            <w:hideMark/>
          </w:tcPr>
          <w:p w14:paraId="1F3EFFA9" w14:textId="77777777" w:rsidR="00BA1338" w:rsidRPr="00545EC0" w:rsidRDefault="00BA1338" w:rsidP="004F2AF2">
            <w:pPr>
              <w:spacing w:line="240" w:lineRule="auto"/>
              <w:rPr>
                <w:rFonts w:cs="Arial"/>
                <w:sz w:val="18"/>
                <w:szCs w:val="18"/>
              </w:rPr>
            </w:pPr>
            <w:r w:rsidRPr="00545EC0">
              <w:rPr>
                <w:rFonts w:cs="Arial"/>
                <w:sz w:val="18"/>
                <w:szCs w:val="18"/>
              </w:rPr>
              <w:t>VT Kobiljski potok državna meja - Ledava</w:t>
            </w:r>
          </w:p>
        </w:tc>
        <w:tc>
          <w:tcPr>
            <w:tcW w:w="1231" w:type="pct"/>
            <w:vAlign w:val="center"/>
          </w:tcPr>
          <w:p w14:paraId="4EE2AFA4" w14:textId="77777777" w:rsidR="00BA1338" w:rsidRPr="00545EC0" w:rsidRDefault="00BA1338" w:rsidP="004F2AF2">
            <w:pPr>
              <w:spacing w:line="240" w:lineRule="auto"/>
              <w:rPr>
                <w:rFonts w:cs="Arial"/>
                <w:sz w:val="18"/>
                <w:szCs w:val="18"/>
              </w:rPr>
            </w:pPr>
            <w:r w:rsidRPr="00545EC0">
              <w:rPr>
                <w:rFonts w:cs="Arial"/>
                <w:sz w:val="18"/>
                <w:szCs w:val="18"/>
              </w:rPr>
              <w:t>Kobiljski potok, Jošavski potok, Radmožanski kanal</w:t>
            </w:r>
          </w:p>
        </w:tc>
        <w:tc>
          <w:tcPr>
            <w:tcW w:w="538" w:type="pct"/>
            <w:vMerge/>
            <w:vAlign w:val="center"/>
          </w:tcPr>
          <w:p w14:paraId="6978F7B9" w14:textId="77777777" w:rsidR="00BA1338" w:rsidRPr="00545EC0" w:rsidRDefault="00BA1338" w:rsidP="004F2AF2">
            <w:pPr>
              <w:spacing w:line="240" w:lineRule="auto"/>
              <w:rPr>
                <w:rFonts w:cs="Arial"/>
                <w:sz w:val="18"/>
                <w:szCs w:val="18"/>
              </w:rPr>
            </w:pPr>
          </w:p>
        </w:tc>
        <w:tc>
          <w:tcPr>
            <w:tcW w:w="384" w:type="pct"/>
            <w:shd w:val="clear" w:color="auto" w:fill="FFFFFF" w:themeFill="background1"/>
            <w:noWrap/>
            <w:vAlign w:val="center"/>
            <w:hideMark/>
          </w:tcPr>
          <w:p w14:paraId="60C4698B"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422" w:type="pct"/>
            <w:shd w:val="clear" w:color="auto" w:fill="FFFFFF" w:themeFill="background1"/>
            <w:vAlign w:val="center"/>
          </w:tcPr>
          <w:p w14:paraId="6A11E491"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00F94B17" w14:textId="77777777" w:rsidTr="003122F4">
        <w:trPr>
          <w:trHeight w:val="227"/>
        </w:trPr>
        <w:tc>
          <w:tcPr>
            <w:tcW w:w="655" w:type="pct"/>
            <w:shd w:val="clear" w:color="auto" w:fill="auto"/>
            <w:noWrap/>
            <w:vAlign w:val="center"/>
            <w:hideMark/>
          </w:tcPr>
          <w:p w14:paraId="35471C40" w14:textId="77777777" w:rsidR="00BA1338" w:rsidRPr="00545EC0" w:rsidRDefault="00BA1338" w:rsidP="004F2AF2">
            <w:pPr>
              <w:spacing w:line="240" w:lineRule="auto"/>
              <w:rPr>
                <w:rFonts w:cs="Arial"/>
                <w:sz w:val="18"/>
                <w:szCs w:val="18"/>
              </w:rPr>
            </w:pPr>
            <w:r w:rsidRPr="00545EC0">
              <w:rPr>
                <w:rFonts w:cs="Arial"/>
                <w:sz w:val="18"/>
                <w:szCs w:val="18"/>
              </w:rPr>
              <w:t>SI442VT11</w:t>
            </w:r>
          </w:p>
        </w:tc>
        <w:tc>
          <w:tcPr>
            <w:tcW w:w="1770" w:type="pct"/>
            <w:shd w:val="clear" w:color="auto" w:fill="auto"/>
            <w:noWrap/>
            <w:vAlign w:val="center"/>
            <w:hideMark/>
          </w:tcPr>
          <w:p w14:paraId="04139AEC" w14:textId="77777777" w:rsidR="00BA1338" w:rsidRPr="00545EC0" w:rsidRDefault="00BA1338" w:rsidP="004F2AF2">
            <w:pPr>
              <w:spacing w:line="240" w:lineRule="auto"/>
              <w:rPr>
                <w:rFonts w:cs="Arial"/>
                <w:sz w:val="18"/>
                <w:szCs w:val="18"/>
              </w:rPr>
            </w:pPr>
            <w:r w:rsidRPr="00545EC0">
              <w:rPr>
                <w:rFonts w:cs="Arial"/>
                <w:sz w:val="18"/>
                <w:szCs w:val="18"/>
              </w:rPr>
              <w:t>VT Ledava državna meja - zadrževalnik Ledavsko jezero</w:t>
            </w:r>
          </w:p>
        </w:tc>
        <w:tc>
          <w:tcPr>
            <w:tcW w:w="1231" w:type="pct"/>
            <w:vAlign w:val="center"/>
          </w:tcPr>
          <w:p w14:paraId="7F2AF0C6" w14:textId="77777777" w:rsidR="00BA1338" w:rsidRPr="00545EC0" w:rsidRDefault="00BA1338" w:rsidP="004F2AF2">
            <w:pPr>
              <w:spacing w:line="240" w:lineRule="auto"/>
              <w:rPr>
                <w:rFonts w:cs="Arial"/>
                <w:sz w:val="18"/>
                <w:szCs w:val="18"/>
              </w:rPr>
            </w:pPr>
            <w:r w:rsidRPr="00545EC0">
              <w:rPr>
                <w:rFonts w:cs="Arial"/>
                <w:sz w:val="18"/>
                <w:szCs w:val="18"/>
              </w:rPr>
              <w:t xml:space="preserve">Ledava </w:t>
            </w:r>
          </w:p>
          <w:p w14:paraId="2D63E01B" w14:textId="77777777" w:rsidR="00BA1338" w:rsidRPr="00545EC0" w:rsidRDefault="00BA1338" w:rsidP="004F2AF2">
            <w:pPr>
              <w:spacing w:line="240" w:lineRule="auto"/>
              <w:rPr>
                <w:rFonts w:cs="Arial"/>
                <w:sz w:val="18"/>
                <w:szCs w:val="18"/>
              </w:rPr>
            </w:pPr>
          </w:p>
        </w:tc>
        <w:tc>
          <w:tcPr>
            <w:tcW w:w="538" w:type="pct"/>
            <w:vMerge/>
            <w:vAlign w:val="center"/>
          </w:tcPr>
          <w:p w14:paraId="6B992F2B" w14:textId="77777777" w:rsidR="00BA1338" w:rsidRPr="00545EC0" w:rsidRDefault="00BA1338" w:rsidP="004F2AF2">
            <w:pPr>
              <w:spacing w:line="240" w:lineRule="auto"/>
              <w:rPr>
                <w:rFonts w:cs="Arial"/>
                <w:sz w:val="18"/>
                <w:szCs w:val="18"/>
              </w:rPr>
            </w:pPr>
          </w:p>
        </w:tc>
        <w:tc>
          <w:tcPr>
            <w:tcW w:w="384" w:type="pct"/>
            <w:shd w:val="clear" w:color="auto" w:fill="FFFFFF" w:themeFill="background1"/>
            <w:noWrap/>
            <w:vAlign w:val="center"/>
            <w:hideMark/>
          </w:tcPr>
          <w:p w14:paraId="6EB369C6"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422" w:type="pct"/>
            <w:shd w:val="clear" w:color="auto" w:fill="FFFFFF" w:themeFill="background1"/>
            <w:vAlign w:val="center"/>
          </w:tcPr>
          <w:p w14:paraId="73EDB302"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52E9FBDA" w14:textId="77777777" w:rsidTr="003122F4">
        <w:trPr>
          <w:trHeight w:val="227"/>
        </w:trPr>
        <w:tc>
          <w:tcPr>
            <w:tcW w:w="655" w:type="pct"/>
            <w:shd w:val="clear" w:color="auto" w:fill="auto"/>
            <w:noWrap/>
            <w:vAlign w:val="center"/>
            <w:hideMark/>
          </w:tcPr>
          <w:p w14:paraId="76C27277" w14:textId="77777777" w:rsidR="00BA1338" w:rsidRPr="00545EC0" w:rsidRDefault="00BA1338" w:rsidP="004F2AF2">
            <w:pPr>
              <w:spacing w:line="240" w:lineRule="auto"/>
              <w:rPr>
                <w:rFonts w:cs="Arial"/>
                <w:sz w:val="18"/>
                <w:szCs w:val="18"/>
              </w:rPr>
            </w:pPr>
            <w:r w:rsidRPr="00545EC0">
              <w:rPr>
                <w:rFonts w:cs="Arial"/>
                <w:sz w:val="18"/>
                <w:szCs w:val="18"/>
              </w:rPr>
              <w:t>SI442VT91</w:t>
            </w:r>
          </w:p>
        </w:tc>
        <w:tc>
          <w:tcPr>
            <w:tcW w:w="1770" w:type="pct"/>
            <w:shd w:val="clear" w:color="auto" w:fill="auto"/>
            <w:noWrap/>
            <w:vAlign w:val="center"/>
            <w:hideMark/>
          </w:tcPr>
          <w:p w14:paraId="1CAE3984" w14:textId="77777777" w:rsidR="00BA1338" w:rsidRPr="00545EC0" w:rsidRDefault="00BA1338" w:rsidP="004F2AF2">
            <w:pPr>
              <w:spacing w:line="240" w:lineRule="auto"/>
              <w:rPr>
                <w:rFonts w:cs="Arial"/>
                <w:sz w:val="18"/>
                <w:szCs w:val="18"/>
              </w:rPr>
            </w:pPr>
            <w:r w:rsidRPr="00545EC0">
              <w:rPr>
                <w:rFonts w:cs="Arial"/>
                <w:sz w:val="18"/>
                <w:szCs w:val="18"/>
              </w:rPr>
              <w:t>VT Ledava zadrževalnik Ledavsko jezero - sotočje z Veliko Krko</w:t>
            </w:r>
          </w:p>
        </w:tc>
        <w:tc>
          <w:tcPr>
            <w:tcW w:w="1231" w:type="pct"/>
            <w:vAlign w:val="center"/>
          </w:tcPr>
          <w:p w14:paraId="62E14CC0" w14:textId="77777777" w:rsidR="00BA1338" w:rsidRPr="00545EC0" w:rsidRDefault="00BA1338" w:rsidP="004F2AF2">
            <w:pPr>
              <w:spacing w:line="240" w:lineRule="auto"/>
              <w:rPr>
                <w:rFonts w:cs="Arial"/>
                <w:sz w:val="18"/>
                <w:szCs w:val="18"/>
              </w:rPr>
            </w:pPr>
            <w:r w:rsidRPr="00545EC0">
              <w:rPr>
                <w:rFonts w:cs="Arial"/>
                <w:sz w:val="18"/>
                <w:szCs w:val="18"/>
              </w:rPr>
              <w:t>Ledava, Predanovski potok, Puconski potok, Gruba, Lipnica, Črnec, Mali potok</w:t>
            </w:r>
          </w:p>
        </w:tc>
        <w:tc>
          <w:tcPr>
            <w:tcW w:w="538" w:type="pct"/>
            <w:vMerge/>
            <w:vAlign w:val="center"/>
          </w:tcPr>
          <w:p w14:paraId="784A4CBF" w14:textId="77777777" w:rsidR="00BA1338" w:rsidRPr="00545EC0" w:rsidRDefault="00BA1338" w:rsidP="004F2AF2">
            <w:pPr>
              <w:spacing w:line="240" w:lineRule="auto"/>
              <w:rPr>
                <w:rFonts w:cs="Arial"/>
                <w:sz w:val="18"/>
                <w:szCs w:val="18"/>
              </w:rPr>
            </w:pPr>
          </w:p>
        </w:tc>
        <w:tc>
          <w:tcPr>
            <w:tcW w:w="384" w:type="pct"/>
            <w:shd w:val="clear" w:color="auto" w:fill="FFFFFF" w:themeFill="background1"/>
            <w:noWrap/>
            <w:vAlign w:val="center"/>
            <w:hideMark/>
          </w:tcPr>
          <w:p w14:paraId="556F23E9"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422" w:type="pct"/>
            <w:shd w:val="clear" w:color="auto" w:fill="FFFFFF" w:themeFill="background1"/>
            <w:vAlign w:val="center"/>
          </w:tcPr>
          <w:p w14:paraId="23C18A79" w14:textId="77777777" w:rsidR="00BA1338" w:rsidRPr="00545EC0" w:rsidRDefault="00BA1338" w:rsidP="004F2AF2">
            <w:pPr>
              <w:spacing w:line="240" w:lineRule="auto"/>
              <w:rPr>
                <w:rFonts w:cs="Arial"/>
                <w:sz w:val="18"/>
                <w:szCs w:val="18"/>
              </w:rPr>
            </w:pPr>
            <w:r w:rsidRPr="00545EC0">
              <w:rPr>
                <w:rFonts w:cs="Arial"/>
                <w:sz w:val="18"/>
                <w:szCs w:val="18"/>
              </w:rPr>
              <w:t>1</w:t>
            </w:r>
          </w:p>
        </w:tc>
      </w:tr>
    </w:tbl>
    <w:p w14:paraId="756FC75D" w14:textId="49E04B97" w:rsidR="00BA1338" w:rsidRPr="00545EC0" w:rsidRDefault="00A34D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i/>
          <w:sz w:val="18"/>
          <w:szCs w:val="18"/>
        </w:rPr>
      </w:pPr>
      <w:r w:rsidRPr="00545EC0">
        <w:rPr>
          <w:rFonts w:cs="Arial"/>
          <w:i/>
          <w:sz w:val="18"/>
          <w:szCs w:val="18"/>
        </w:rPr>
        <w:t xml:space="preserve">Legenda: </w:t>
      </w:r>
      <w:r w:rsidR="00BA1338" w:rsidRPr="00545EC0">
        <w:rPr>
          <w:rFonts w:cs="Arial"/>
          <w:i/>
          <w:sz w:val="18"/>
          <w:szCs w:val="18"/>
        </w:rPr>
        <w:t>PO – GT – pomembna obremenitev na glavnem toku; PO – PR – pomembna obremenitev na pritoku</w:t>
      </w:r>
    </w:p>
    <w:p w14:paraId="5C402D93"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p>
    <w:p w14:paraId="252144BC" w14:textId="681B492C"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i/>
          <w:szCs w:val="24"/>
          <w:lang w:eastAsia="ja-JP"/>
        </w:rPr>
      </w:pPr>
      <w:r w:rsidRPr="00545EC0">
        <w:rPr>
          <w:rFonts w:cs="Arial"/>
        </w:rPr>
        <w:t>Deli vodnih teles površinskih voda, na katerih</w:t>
      </w:r>
      <w:r w:rsidRPr="00545EC0">
        <w:rPr>
          <w:rFonts w:cs="Arial"/>
          <w:lang w:eastAsia="ja-JP"/>
        </w:rPr>
        <w:t xml:space="preserve"> so prisotne pomembne obremenitve zaradi osuše</w:t>
      </w:r>
      <w:r w:rsidR="003A3979" w:rsidRPr="00545EC0">
        <w:rPr>
          <w:rFonts w:cs="Arial"/>
          <w:lang w:eastAsia="ja-JP"/>
        </w:rPr>
        <w:t>vanja zemljišč, so prikazani na</w:t>
      </w:r>
      <w:r w:rsidRPr="00545EC0">
        <w:rPr>
          <w:rFonts w:cs="Arial"/>
          <w:lang w:eastAsia="ja-JP"/>
        </w:rPr>
        <w:t xml:space="preserve"> </w:t>
      </w:r>
      <w:r w:rsidR="002B19AC" w:rsidRPr="00545EC0">
        <w:rPr>
          <w:rFonts w:cs="Arial"/>
          <w:lang w:eastAsia="ja-JP"/>
        </w:rPr>
        <w:t xml:space="preserve">publikacijski </w:t>
      </w:r>
      <w:r w:rsidRPr="00545EC0">
        <w:rPr>
          <w:rFonts w:cs="Arial"/>
          <w:lang w:eastAsia="ja-JP"/>
        </w:rPr>
        <w:t xml:space="preserve">karti </w:t>
      </w:r>
      <w:r w:rsidRPr="00545EC0">
        <w:rPr>
          <w:rFonts w:cs="Arial"/>
          <w:i/>
          <w:szCs w:val="24"/>
          <w:lang w:eastAsia="ja-JP"/>
        </w:rPr>
        <w:t>(</w:t>
      </w:r>
      <w:r w:rsidR="003A3979" w:rsidRPr="00545EC0">
        <w:rPr>
          <w:rFonts w:cs="Arial"/>
          <w:i/>
          <w:szCs w:val="24"/>
          <w:lang w:eastAsia="ja-JP"/>
        </w:rPr>
        <w:t>Publikacijska karta 4.5: Osuševalni sistemi in pomembne obremenitve dVTPV).</w:t>
      </w:r>
      <w:r w:rsidRPr="00545EC0">
        <w:rPr>
          <w:rFonts w:cs="Arial"/>
          <w:i/>
          <w:szCs w:val="24"/>
          <w:lang w:eastAsia="ja-JP"/>
        </w:rPr>
        <w:t xml:space="preserve"> </w:t>
      </w:r>
    </w:p>
    <w:p w14:paraId="08569C18" w14:textId="41298AE4" w:rsidR="00BA1338" w:rsidRPr="00545EC0" w:rsidRDefault="00BA1338" w:rsidP="00BA1338">
      <w:pPr>
        <w:spacing w:before="240" w:after="240"/>
        <w:rPr>
          <w:rFonts w:cs="Arial"/>
          <w:szCs w:val="20"/>
          <w:lang w:eastAsia="ja-JP"/>
        </w:rPr>
      </w:pPr>
      <w:r w:rsidRPr="00545EC0">
        <w:rPr>
          <w:rFonts w:cs="Arial"/>
          <w:szCs w:val="20"/>
          <w:lang w:eastAsia="ja-JP"/>
        </w:rPr>
        <w:t>Na VO Donave je največji delež dVTPV s pomembno obremenitvijo zaradi osuševanja zemljišč ugotovljen na porečjih Mure, Drave in Spodnje Save, pri čemer je obremenitev prisotna tako na dVTPV-jih na glavnem toku kot na pritokih. Pomembne obremenitve so prisotne tudi na porečjih Savinje in Srednje Save, in sicer le na dVTPV-jih na pritokih, medtem ko na porečju Zgornje Save osuševanje zemljišč ni prepoznano kot pomembna obremenitev (</w:t>
      </w:r>
      <w:r w:rsidR="00B86F48" w:rsidRPr="00545EC0">
        <w:rPr>
          <w:rFonts w:cs="Arial"/>
          <w:szCs w:val="20"/>
          <w:lang w:eastAsia="ja-JP"/>
        </w:rPr>
        <w:fldChar w:fldCharType="begin"/>
      </w:r>
      <w:r w:rsidR="00B86F48" w:rsidRPr="00545EC0">
        <w:rPr>
          <w:rFonts w:cs="Arial"/>
          <w:szCs w:val="20"/>
          <w:lang w:eastAsia="ja-JP"/>
        </w:rPr>
        <w:instrText xml:space="preserve"> REF _Ref84338838 \h </w:instrText>
      </w:r>
      <w:r w:rsidR="00F37A91" w:rsidRPr="00545EC0">
        <w:rPr>
          <w:rFonts w:cs="Arial"/>
          <w:szCs w:val="20"/>
          <w:lang w:eastAsia="ja-JP"/>
        </w:rPr>
        <w:instrText xml:space="preserve"> \* MERGEFORMAT </w:instrText>
      </w:r>
      <w:r w:rsidR="00B86F48" w:rsidRPr="00545EC0">
        <w:rPr>
          <w:rFonts w:cs="Arial"/>
          <w:szCs w:val="20"/>
          <w:lang w:eastAsia="ja-JP"/>
        </w:rPr>
      </w:r>
      <w:r w:rsidR="00B86F48" w:rsidRPr="00545EC0">
        <w:rPr>
          <w:rFonts w:cs="Arial"/>
          <w:szCs w:val="20"/>
          <w:lang w:eastAsia="ja-JP"/>
        </w:rPr>
        <w:fldChar w:fldCharType="separate"/>
      </w:r>
      <w:r w:rsidR="002F3E43" w:rsidRPr="00545EC0">
        <w:t xml:space="preserve">Slika </w:t>
      </w:r>
      <w:r w:rsidR="002F3E43">
        <w:rPr>
          <w:noProof/>
        </w:rPr>
        <w:t>2</w:t>
      </w:r>
      <w:r w:rsidR="002F3E43" w:rsidRPr="00545EC0">
        <w:rPr>
          <w:noProof/>
        </w:rPr>
        <w:noBreakHyphen/>
      </w:r>
      <w:r w:rsidR="002F3E43">
        <w:rPr>
          <w:noProof/>
        </w:rPr>
        <w:t>16</w:t>
      </w:r>
      <w:r w:rsidR="00B86F48" w:rsidRPr="00545EC0">
        <w:rPr>
          <w:rFonts w:cs="Arial"/>
          <w:szCs w:val="20"/>
          <w:lang w:eastAsia="ja-JP"/>
        </w:rPr>
        <w:fldChar w:fldCharType="end"/>
      </w:r>
      <w:r w:rsidRPr="00545EC0">
        <w:rPr>
          <w:rFonts w:cs="Arial"/>
          <w:szCs w:val="20"/>
          <w:lang w:eastAsia="ja-JP"/>
        </w:rPr>
        <w:t xml:space="preserve">). </w:t>
      </w:r>
    </w:p>
    <w:p w14:paraId="3CA5A848" w14:textId="77777777" w:rsidR="00B86F48" w:rsidRPr="00545EC0" w:rsidRDefault="00BA1338" w:rsidP="00B86F48">
      <w:pPr>
        <w:keepNext/>
        <w:spacing w:before="240" w:after="240"/>
        <w:jc w:val="left"/>
      </w:pPr>
      <w:r w:rsidRPr="00545EC0">
        <w:rPr>
          <w:noProof/>
        </w:rPr>
        <w:drawing>
          <wp:inline distT="0" distB="0" distL="0" distR="0" wp14:anchorId="56D24E8C" wp14:editId="2B171956">
            <wp:extent cx="5787662" cy="3371131"/>
            <wp:effectExtent l="19050" t="19050" r="22860" b="2032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02858" cy="3379982"/>
                    </a:xfrm>
                    <a:prstGeom prst="rect">
                      <a:avLst/>
                    </a:prstGeom>
                    <a:noFill/>
                    <a:ln>
                      <a:solidFill>
                        <a:schemeClr val="bg1">
                          <a:lumMod val="75000"/>
                        </a:schemeClr>
                      </a:solidFill>
                    </a:ln>
                  </pic:spPr>
                </pic:pic>
              </a:graphicData>
            </a:graphic>
          </wp:inline>
        </w:drawing>
      </w:r>
    </w:p>
    <w:p w14:paraId="259994FA" w14:textId="67BE77D7" w:rsidR="00BA1338" w:rsidRPr="00545EC0" w:rsidRDefault="00B86F48" w:rsidP="00B86F48">
      <w:pPr>
        <w:pStyle w:val="Napis"/>
        <w:jc w:val="left"/>
      </w:pPr>
      <w:bookmarkStart w:id="200" w:name="_Ref84338838"/>
      <w:r w:rsidRPr="00545EC0">
        <w:t xml:space="preserve">Slika </w:t>
      </w:r>
      <w:fldSimple w:instr=" STYLEREF 1 \s ">
        <w:r w:rsidR="002F3E43">
          <w:rPr>
            <w:noProof/>
          </w:rPr>
          <w:t>2</w:t>
        </w:r>
      </w:fldSimple>
      <w:r w:rsidR="00396E1E" w:rsidRPr="00545EC0">
        <w:noBreakHyphen/>
      </w:r>
      <w:fldSimple w:instr=" SEQ Slika \* ARABIC \s 1 ">
        <w:r w:rsidR="002F3E43">
          <w:rPr>
            <w:noProof/>
          </w:rPr>
          <w:t>16</w:t>
        </w:r>
      </w:fldSimple>
      <w:bookmarkEnd w:id="200"/>
      <w:r w:rsidRPr="00545EC0">
        <w:t>: Delež števila dVTPV s pomembno obremenitvijo zaradi osuševanja zemljišč na porečjih na VO Donave</w:t>
      </w:r>
    </w:p>
    <w:p w14:paraId="0FF4FF4F" w14:textId="6CEE89C2" w:rsidR="00BA1338" w:rsidRPr="00545EC0" w:rsidRDefault="00BA1338" w:rsidP="00A90F9B">
      <w:pPr>
        <w:pStyle w:val="Naslov4"/>
        <w:rPr>
          <w:color w:val="auto"/>
          <w:lang w:val="sl-SI"/>
        </w:rPr>
      </w:pPr>
      <w:r w:rsidRPr="00545EC0">
        <w:rPr>
          <w:color w:val="auto"/>
          <w:lang w:val="sl-SI"/>
        </w:rPr>
        <w:lastRenderedPageBreak/>
        <w:t xml:space="preserve">Prikaz obremenitev, vezanih na zveznost toka vodnih teles površinskih voda – vodotoki </w:t>
      </w:r>
    </w:p>
    <w:p w14:paraId="44F32DED" w14:textId="77777777" w:rsidR="00BA1338" w:rsidRPr="00545EC0" w:rsidRDefault="00BA1338" w:rsidP="006C37B4">
      <w:r w:rsidRPr="00545EC0">
        <w:t xml:space="preserve">V okviru obremenitev, vezanih na zveznost toka, so obravnavani prečni objekti in njihovi vplivi. Izvedeni sta dve ločeni analizi, in sicer analiza vezana na popis prečnih objektov na izbranih vodotokih in analiza vplivov prečnih objektov, ki je izvedena na podlagi ocene vpliva prečnih objektov, povzetih iz predhodnega načrta upravljanja voda. </w:t>
      </w:r>
    </w:p>
    <w:p w14:paraId="4035A7BA" w14:textId="0DEC2240" w:rsidR="00BA1338" w:rsidRPr="00545EC0" w:rsidRDefault="00BA1338" w:rsidP="00BA1338">
      <w:pPr>
        <w:spacing w:before="240" w:after="240"/>
        <w:rPr>
          <w:rFonts w:cs="Arial"/>
          <w:b/>
        </w:rPr>
      </w:pPr>
      <w:r w:rsidRPr="00545EC0">
        <w:rPr>
          <w:rFonts w:cs="Arial"/>
          <w:b/>
        </w:rPr>
        <w:t xml:space="preserve">Obremenitve zveznosti toka – </w:t>
      </w:r>
      <w:r w:rsidR="00BE42F5" w:rsidRPr="00545EC0">
        <w:rPr>
          <w:rFonts w:cs="Arial"/>
          <w:b/>
        </w:rPr>
        <w:t>Prehodnost prečnih objektov za ribe</w:t>
      </w:r>
    </w:p>
    <w:p w14:paraId="3EFFF7D9" w14:textId="4C628670" w:rsidR="00BE42F5" w:rsidRPr="00545EC0" w:rsidRDefault="00BE42F5" w:rsidP="008876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545EC0">
        <w:rPr>
          <w:rFonts w:cs="Arial"/>
        </w:rPr>
        <w:t>Glede na pomanjkljive podatke o prisotnosti in prehodnosti prečnih objektov v Katastru vodne infrastrukture je bil za potrebe ocene obremenitev izveden posodobljen popis prečnih objektov, in sicer na Savi, Ljubljanici, Savinji, Krki, Kolpi, Sotli, Dravi, Dravinji in Muri. Za posamezne prečne objekte je opredeljena prehodnost za ribe. V primerih, ko slednje ni bilo možno opredeliti na terenu, se je v nadaljnji analizi privzela predpostavka, da objekt ni prehoden, v kolikor je višji od 0,3 m. Neprehoden prečni objekt predstavlja tudi pomembno obremenitev na dVTPV. Pomembne obremenitve so prisotne na vseh obravnavnih vodotokih, pri čemer so posamezni odseki vodotokov brez neprehodnih prečnih objektov (npr. povirni del Ljubljanice, Mura od Ceršaka do državne meje). Pomembne obremenitve so prisotne na vodnih telesih površinskih voda, ki so navedeni v preglednici v nadaljevanju</w:t>
      </w:r>
      <w:r w:rsidR="000A63D5" w:rsidRPr="00545EC0">
        <w:rPr>
          <w:rFonts w:cs="Arial"/>
        </w:rPr>
        <w:t xml:space="preserve"> (</w:t>
      </w:r>
      <w:r w:rsidR="000A63D5" w:rsidRPr="00545EC0">
        <w:rPr>
          <w:rFonts w:cs="Arial"/>
        </w:rPr>
        <w:fldChar w:fldCharType="begin"/>
      </w:r>
      <w:r w:rsidR="000A63D5" w:rsidRPr="00545EC0">
        <w:rPr>
          <w:rFonts w:cs="Arial"/>
        </w:rPr>
        <w:instrText xml:space="preserve"> REF _Ref90020653 \h </w:instrText>
      </w:r>
      <w:r w:rsidR="00545EC0">
        <w:rPr>
          <w:rFonts w:cs="Arial"/>
        </w:rPr>
        <w:instrText xml:space="preserve"> \* MERGEFORMAT </w:instrText>
      </w:r>
      <w:r w:rsidR="000A63D5" w:rsidRPr="00545EC0">
        <w:rPr>
          <w:rFonts w:cs="Arial"/>
        </w:rPr>
      </w:r>
      <w:r w:rsidR="000A63D5" w:rsidRPr="00545EC0">
        <w:rPr>
          <w:rFonts w:cs="Arial"/>
        </w:rPr>
        <w:fldChar w:fldCharType="separate"/>
      </w:r>
      <w:r w:rsidR="002F3E43" w:rsidRPr="00545EC0">
        <w:t xml:space="preserve">Preglednica </w:t>
      </w:r>
      <w:r w:rsidR="002F3E43">
        <w:rPr>
          <w:noProof/>
        </w:rPr>
        <w:t>2</w:t>
      </w:r>
      <w:r w:rsidR="002F3E43" w:rsidRPr="00545EC0">
        <w:rPr>
          <w:noProof/>
        </w:rPr>
        <w:noBreakHyphen/>
      </w:r>
      <w:r w:rsidR="002F3E43">
        <w:rPr>
          <w:noProof/>
        </w:rPr>
        <w:t>27</w:t>
      </w:r>
      <w:r w:rsidR="000A63D5" w:rsidRPr="00545EC0">
        <w:rPr>
          <w:rFonts w:cs="Arial"/>
        </w:rPr>
        <w:fldChar w:fldCharType="end"/>
      </w:r>
      <w:r w:rsidR="00BA1338" w:rsidRPr="00545EC0">
        <w:rPr>
          <w:rFonts w:cs="Arial"/>
        </w:rPr>
        <w:t xml:space="preserve">). </w:t>
      </w:r>
      <w:bookmarkStart w:id="201" w:name="_Ref84320884"/>
      <w:bookmarkStart w:id="202" w:name="_Ref84255816"/>
      <w:r w:rsidRPr="00545EC0">
        <w:rPr>
          <w:rFonts w:cs="Arial"/>
        </w:rPr>
        <w:t xml:space="preserve">Prehodnost je ohranjena na Savi, in sicer od Medvod do Zidanega Mostu in dolvodno od Boštanja, na Ljubljanici od odcepa in ponovnega sotočja z Gruberjevim kanalom, na Savinji dolvodno od Letuša, na Dravi med Ptujem in Ormožem ter na Muri dolvodno od Petanjcev. Skupno je na predmetnih vodotokih evidentiranih 445 prečnih objektov, od katerih je 232 prehodnih, 178 neprehodnih, za 35 objektov pa prehodnosti ni možno opredeliti.     </w:t>
      </w:r>
    </w:p>
    <w:p w14:paraId="6FAD4FDF" w14:textId="77777777" w:rsidR="00BE42F5" w:rsidRPr="00545EC0" w:rsidRDefault="00BE42F5" w:rsidP="008876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p>
    <w:p w14:paraId="67360BD4" w14:textId="66D3CB36" w:rsidR="00887665" w:rsidRPr="00545EC0" w:rsidRDefault="000A63D5" w:rsidP="000A63D5">
      <w:pPr>
        <w:pStyle w:val="Napis"/>
        <w:rPr>
          <w:szCs w:val="20"/>
        </w:rPr>
      </w:pPr>
      <w:bookmarkStart w:id="203" w:name="_Ref90020653"/>
      <w:bookmarkEnd w:id="201"/>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27</w:t>
        </w:r>
      </w:fldSimple>
      <w:bookmarkEnd w:id="203"/>
      <w:r w:rsidRPr="00545EC0">
        <w:t xml:space="preserve">: </w:t>
      </w:r>
      <w:r w:rsidR="00887665" w:rsidRPr="00545EC0">
        <w:rPr>
          <w:szCs w:val="20"/>
        </w:rPr>
        <w:t xml:space="preserve">Vodna telesa površinskih voda </w:t>
      </w:r>
      <w:bookmarkEnd w:id="202"/>
      <w:r w:rsidR="00BE42F5" w:rsidRPr="00545EC0">
        <w:rPr>
          <w:szCs w:val="20"/>
        </w:rPr>
        <w:t>z opredeljenim številom prečnih objektov glede na prehodnost za ribe</w:t>
      </w:r>
    </w:p>
    <w:tbl>
      <w:tblPr>
        <w:tblW w:w="9072" w:type="dxa"/>
        <w:tblInd w:w="-5" w:type="dxa"/>
        <w:tblLayout w:type="fixed"/>
        <w:tblCellMar>
          <w:left w:w="70" w:type="dxa"/>
          <w:right w:w="70" w:type="dxa"/>
        </w:tblCellMar>
        <w:tblLook w:val="04A0" w:firstRow="1" w:lastRow="0" w:firstColumn="1" w:lastColumn="0" w:noHBand="0" w:noVBand="1"/>
      </w:tblPr>
      <w:tblGrid>
        <w:gridCol w:w="1041"/>
        <w:gridCol w:w="3280"/>
        <w:gridCol w:w="801"/>
        <w:gridCol w:w="1269"/>
        <w:gridCol w:w="1270"/>
        <w:gridCol w:w="1411"/>
      </w:tblGrid>
      <w:tr w:rsidR="003122F4" w:rsidRPr="00545EC0" w14:paraId="68D018A3" w14:textId="77777777" w:rsidTr="00BE42F5">
        <w:trPr>
          <w:trHeight w:val="227"/>
        </w:trPr>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EDB3A" w14:textId="77777777" w:rsidR="00BE42F5" w:rsidRPr="00545EC0" w:rsidRDefault="00BE42F5" w:rsidP="00BE42F5">
            <w:pPr>
              <w:spacing w:line="240" w:lineRule="auto"/>
              <w:jc w:val="left"/>
              <w:rPr>
                <w:rFonts w:cs="Arial"/>
                <w:b/>
                <w:sz w:val="18"/>
                <w:szCs w:val="18"/>
              </w:rPr>
            </w:pPr>
            <w:r w:rsidRPr="00545EC0">
              <w:rPr>
                <w:rFonts w:cs="Arial"/>
                <w:b/>
                <w:sz w:val="18"/>
                <w:szCs w:val="18"/>
              </w:rPr>
              <w:t>Šifra VTPV</w:t>
            </w:r>
          </w:p>
        </w:tc>
        <w:tc>
          <w:tcPr>
            <w:tcW w:w="3280" w:type="dxa"/>
            <w:tcBorders>
              <w:top w:val="single" w:sz="4" w:space="0" w:color="auto"/>
              <w:left w:val="nil"/>
              <w:bottom w:val="single" w:sz="4" w:space="0" w:color="auto"/>
              <w:right w:val="single" w:sz="4" w:space="0" w:color="auto"/>
            </w:tcBorders>
            <w:shd w:val="clear" w:color="auto" w:fill="auto"/>
            <w:noWrap/>
            <w:vAlign w:val="center"/>
            <w:hideMark/>
          </w:tcPr>
          <w:p w14:paraId="736D2DFD" w14:textId="77777777" w:rsidR="00BE42F5" w:rsidRPr="00545EC0" w:rsidRDefault="00BE42F5" w:rsidP="00BE42F5">
            <w:pPr>
              <w:spacing w:line="240" w:lineRule="auto"/>
              <w:jc w:val="left"/>
              <w:rPr>
                <w:rFonts w:cs="Arial"/>
                <w:b/>
                <w:sz w:val="18"/>
                <w:szCs w:val="18"/>
              </w:rPr>
            </w:pPr>
            <w:r w:rsidRPr="00545EC0">
              <w:rPr>
                <w:rFonts w:cs="Arial"/>
                <w:b/>
                <w:sz w:val="18"/>
                <w:szCs w:val="18"/>
              </w:rPr>
              <w:t>Ime VTPV</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14:paraId="3E8A2EA8" w14:textId="77777777" w:rsidR="00BE42F5" w:rsidRPr="00545EC0" w:rsidRDefault="00BE42F5" w:rsidP="00BE42F5">
            <w:pPr>
              <w:spacing w:line="240" w:lineRule="auto"/>
              <w:jc w:val="left"/>
              <w:rPr>
                <w:rFonts w:cs="Arial"/>
                <w:b/>
                <w:sz w:val="18"/>
                <w:szCs w:val="18"/>
              </w:rPr>
            </w:pPr>
            <w:r w:rsidRPr="00545EC0">
              <w:rPr>
                <w:rFonts w:cs="Arial"/>
                <w:b/>
                <w:sz w:val="18"/>
                <w:szCs w:val="18"/>
              </w:rPr>
              <w:t>Porečje</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562CC483" w14:textId="77777777" w:rsidR="00BE42F5" w:rsidRPr="00545EC0" w:rsidRDefault="00BE42F5" w:rsidP="00BE42F5">
            <w:pPr>
              <w:spacing w:line="240" w:lineRule="auto"/>
              <w:jc w:val="left"/>
              <w:rPr>
                <w:rFonts w:cs="Arial"/>
                <w:b/>
                <w:sz w:val="18"/>
                <w:szCs w:val="18"/>
              </w:rPr>
            </w:pPr>
            <w:r w:rsidRPr="00545EC0">
              <w:rPr>
                <w:rFonts w:cs="Arial"/>
                <w:b/>
                <w:sz w:val="18"/>
                <w:szCs w:val="18"/>
              </w:rPr>
              <w:t>Število prehodnih prečnih objektov</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0E7BBB7F" w14:textId="77777777" w:rsidR="00BE42F5" w:rsidRPr="00545EC0" w:rsidRDefault="00BE42F5" w:rsidP="00BE42F5">
            <w:pPr>
              <w:spacing w:line="240" w:lineRule="auto"/>
              <w:jc w:val="left"/>
              <w:rPr>
                <w:rFonts w:cs="Arial"/>
                <w:b/>
                <w:sz w:val="18"/>
                <w:szCs w:val="18"/>
              </w:rPr>
            </w:pPr>
            <w:r w:rsidRPr="00545EC0">
              <w:rPr>
                <w:rFonts w:cs="Arial"/>
                <w:b/>
                <w:sz w:val="18"/>
                <w:szCs w:val="18"/>
              </w:rPr>
              <w:t>Število neprehodnih prečnih objektov</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14:paraId="3BD4ABD0" w14:textId="77777777" w:rsidR="00BE42F5" w:rsidRPr="00545EC0" w:rsidRDefault="00BE42F5" w:rsidP="00BE42F5">
            <w:pPr>
              <w:spacing w:line="240" w:lineRule="auto"/>
              <w:jc w:val="left"/>
              <w:rPr>
                <w:rFonts w:cs="Arial"/>
                <w:b/>
                <w:sz w:val="18"/>
                <w:szCs w:val="18"/>
              </w:rPr>
            </w:pPr>
            <w:r w:rsidRPr="00545EC0">
              <w:rPr>
                <w:rFonts w:cs="Arial"/>
                <w:b/>
                <w:sz w:val="18"/>
                <w:szCs w:val="18"/>
              </w:rPr>
              <w:t>Število prečnih objektov brez podatka o prehodnosti</w:t>
            </w:r>
          </w:p>
        </w:tc>
      </w:tr>
      <w:tr w:rsidR="003122F4" w:rsidRPr="00545EC0" w14:paraId="5821E5ED" w14:textId="77777777" w:rsidTr="00BE42F5">
        <w:trPr>
          <w:trHeight w:val="227"/>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124E0966" w14:textId="77777777" w:rsidR="00BE42F5" w:rsidRPr="00545EC0" w:rsidRDefault="00BE42F5" w:rsidP="00BE42F5">
            <w:pPr>
              <w:spacing w:line="240" w:lineRule="auto"/>
              <w:rPr>
                <w:rFonts w:cs="Arial"/>
                <w:sz w:val="18"/>
                <w:szCs w:val="18"/>
              </w:rPr>
            </w:pPr>
            <w:r w:rsidRPr="00545EC0">
              <w:rPr>
                <w:rFonts w:cs="Arial"/>
                <w:sz w:val="18"/>
                <w:szCs w:val="18"/>
              </w:rPr>
              <w:t>SI111VT5</w:t>
            </w:r>
          </w:p>
        </w:tc>
        <w:tc>
          <w:tcPr>
            <w:tcW w:w="3280" w:type="dxa"/>
            <w:tcBorders>
              <w:top w:val="nil"/>
              <w:left w:val="nil"/>
              <w:bottom w:val="single" w:sz="4" w:space="0" w:color="auto"/>
              <w:right w:val="single" w:sz="4" w:space="0" w:color="auto"/>
            </w:tcBorders>
            <w:shd w:val="clear" w:color="auto" w:fill="auto"/>
            <w:noWrap/>
            <w:vAlign w:val="bottom"/>
            <w:hideMark/>
          </w:tcPr>
          <w:p w14:paraId="56CB3BE9" w14:textId="77777777" w:rsidR="00BE42F5" w:rsidRPr="00545EC0" w:rsidRDefault="00BE42F5" w:rsidP="00BE42F5">
            <w:pPr>
              <w:spacing w:line="240" w:lineRule="auto"/>
              <w:rPr>
                <w:rFonts w:cs="Arial"/>
                <w:sz w:val="18"/>
                <w:szCs w:val="18"/>
              </w:rPr>
            </w:pPr>
            <w:r w:rsidRPr="00545EC0">
              <w:rPr>
                <w:rFonts w:cs="Arial"/>
                <w:sz w:val="18"/>
                <w:szCs w:val="18"/>
              </w:rPr>
              <w:t>VT Sava izvir - Hrušica</w:t>
            </w:r>
          </w:p>
        </w:tc>
        <w:tc>
          <w:tcPr>
            <w:tcW w:w="80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DC639C7" w14:textId="77777777" w:rsidR="00BE42F5" w:rsidRPr="00545EC0" w:rsidRDefault="00BE42F5" w:rsidP="00BE42F5">
            <w:pPr>
              <w:spacing w:line="240" w:lineRule="auto"/>
              <w:jc w:val="center"/>
              <w:rPr>
                <w:rFonts w:cs="Arial"/>
                <w:sz w:val="18"/>
                <w:szCs w:val="18"/>
              </w:rPr>
            </w:pPr>
            <w:r w:rsidRPr="00545EC0">
              <w:rPr>
                <w:rFonts w:cs="Arial"/>
                <w:sz w:val="18"/>
                <w:szCs w:val="18"/>
              </w:rPr>
              <w:t>Zgornja Sava</w:t>
            </w:r>
          </w:p>
        </w:tc>
        <w:tc>
          <w:tcPr>
            <w:tcW w:w="1269" w:type="dxa"/>
            <w:tcBorders>
              <w:top w:val="nil"/>
              <w:left w:val="nil"/>
              <w:bottom w:val="single" w:sz="4" w:space="0" w:color="auto"/>
              <w:right w:val="single" w:sz="4" w:space="0" w:color="auto"/>
            </w:tcBorders>
            <w:shd w:val="clear" w:color="auto" w:fill="auto"/>
            <w:noWrap/>
            <w:vAlign w:val="bottom"/>
            <w:hideMark/>
          </w:tcPr>
          <w:p w14:paraId="48A362DB"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c>
          <w:tcPr>
            <w:tcW w:w="1270" w:type="dxa"/>
            <w:tcBorders>
              <w:top w:val="nil"/>
              <w:left w:val="nil"/>
              <w:bottom w:val="single" w:sz="4" w:space="0" w:color="auto"/>
              <w:right w:val="single" w:sz="4" w:space="0" w:color="auto"/>
            </w:tcBorders>
            <w:shd w:val="clear" w:color="auto" w:fill="auto"/>
            <w:noWrap/>
            <w:vAlign w:val="bottom"/>
            <w:hideMark/>
          </w:tcPr>
          <w:p w14:paraId="3F14440D" w14:textId="77777777" w:rsidR="00BE42F5" w:rsidRPr="00545EC0" w:rsidRDefault="00BE42F5" w:rsidP="00BE42F5">
            <w:pPr>
              <w:spacing w:line="240" w:lineRule="auto"/>
              <w:jc w:val="right"/>
              <w:rPr>
                <w:rFonts w:cs="Arial"/>
                <w:sz w:val="18"/>
                <w:szCs w:val="18"/>
              </w:rPr>
            </w:pPr>
            <w:r w:rsidRPr="00545EC0">
              <w:rPr>
                <w:rFonts w:cs="Arial"/>
                <w:sz w:val="18"/>
                <w:szCs w:val="18"/>
              </w:rPr>
              <w:t>6</w:t>
            </w:r>
          </w:p>
        </w:tc>
        <w:tc>
          <w:tcPr>
            <w:tcW w:w="1411" w:type="dxa"/>
            <w:tcBorders>
              <w:top w:val="nil"/>
              <w:left w:val="nil"/>
              <w:bottom w:val="single" w:sz="4" w:space="0" w:color="auto"/>
              <w:right w:val="single" w:sz="4" w:space="0" w:color="auto"/>
            </w:tcBorders>
            <w:shd w:val="clear" w:color="auto" w:fill="auto"/>
            <w:noWrap/>
            <w:vAlign w:val="bottom"/>
            <w:hideMark/>
          </w:tcPr>
          <w:p w14:paraId="07836E0F"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r>
      <w:tr w:rsidR="003122F4" w:rsidRPr="00545EC0" w14:paraId="3CA666EC" w14:textId="77777777" w:rsidTr="00BE42F5">
        <w:trPr>
          <w:trHeight w:val="227"/>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277EA2F2" w14:textId="77777777" w:rsidR="00BE42F5" w:rsidRPr="00545EC0" w:rsidRDefault="00BE42F5" w:rsidP="00BE42F5">
            <w:pPr>
              <w:spacing w:line="240" w:lineRule="auto"/>
              <w:rPr>
                <w:rFonts w:cs="Arial"/>
                <w:sz w:val="18"/>
                <w:szCs w:val="18"/>
              </w:rPr>
            </w:pPr>
            <w:r w:rsidRPr="00545EC0">
              <w:rPr>
                <w:rFonts w:cs="Arial"/>
                <w:sz w:val="18"/>
                <w:szCs w:val="18"/>
              </w:rPr>
              <w:t>SI111VT7</w:t>
            </w:r>
          </w:p>
        </w:tc>
        <w:tc>
          <w:tcPr>
            <w:tcW w:w="3280" w:type="dxa"/>
            <w:tcBorders>
              <w:top w:val="nil"/>
              <w:left w:val="nil"/>
              <w:bottom w:val="single" w:sz="4" w:space="0" w:color="auto"/>
              <w:right w:val="single" w:sz="4" w:space="0" w:color="auto"/>
            </w:tcBorders>
            <w:shd w:val="clear" w:color="auto" w:fill="auto"/>
            <w:noWrap/>
            <w:vAlign w:val="bottom"/>
            <w:hideMark/>
          </w:tcPr>
          <w:p w14:paraId="403DDC54" w14:textId="77777777" w:rsidR="00BE42F5" w:rsidRPr="00545EC0" w:rsidRDefault="00BE42F5" w:rsidP="00BE42F5">
            <w:pPr>
              <w:spacing w:line="240" w:lineRule="auto"/>
              <w:rPr>
                <w:rFonts w:cs="Arial"/>
                <w:sz w:val="18"/>
                <w:szCs w:val="18"/>
              </w:rPr>
            </w:pPr>
            <w:r w:rsidRPr="00545EC0">
              <w:rPr>
                <w:rFonts w:cs="Arial"/>
                <w:sz w:val="18"/>
                <w:szCs w:val="18"/>
              </w:rPr>
              <w:t>MPVT zadrževalnik HE Moste</w:t>
            </w:r>
          </w:p>
        </w:tc>
        <w:tc>
          <w:tcPr>
            <w:tcW w:w="801" w:type="dxa"/>
            <w:vMerge/>
            <w:tcBorders>
              <w:top w:val="nil"/>
              <w:left w:val="single" w:sz="4" w:space="0" w:color="auto"/>
              <w:bottom w:val="single" w:sz="4" w:space="0" w:color="000000"/>
              <w:right w:val="single" w:sz="4" w:space="0" w:color="auto"/>
            </w:tcBorders>
            <w:vAlign w:val="center"/>
            <w:hideMark/>
          </w:tcPr>
          <w:p w14:paraId="203A681F" w14:textId="77777777" w:rsidR="00BE42F5" w:rsidRPr="00545EC0" w:rsidRDefault="00BE42F5" w:rsidP="00BE42F5">
            <w:pPr>
              <w:spacing w:line="240" w:lineRule="auto"/>
              <w:rPr>
                <w:rFonts w:cs="Arial"/>
                <w:sz w:val="18"/>
                <w:szCs w:val="18"/>
              </w:rPr>
            </w:pPr>
          </w:p>
        </w:tc>
        <w:tc>
          <w:tcPr>
            <w:tcW w:w="1269" w:type="dxa"/>
            <w:tcBorders>
              <w:top w:val="nil"/>
              <w:left w:val="nil"/>
              <w:bottom w:val="single" w:sz="4" w:space="0" w:color="auto"/>
              <w:right w:val="single" w:sz="4" w:space="0" w:color="auto"/>
            </w:tcBorders>
            <w:shd w:val="clear" w:color="auto" w:fill="auto"/>
            <w:noWrap/>
            <w:vAlign w:val="bottom"/>
            <w:hideMark/>
          </w:tcPr>
          <w:p w14:paraId="7BB92C6C"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c>
          <w:tcPr>
            <w:tcW w:w="1270" w:type="dxa"/>
            <w:tcBorders>
              <w:top w:val="nil"/>
              <w:left w:val="nil"/>
              <w:bottom w:val="single" w:sz="4" w:space="0" w:color="auto"/>
              <w:right w:val="single" w:sz="4" w:space="0" w:color="auto"/>
            </w:tcBorders>
            <w:shd w:val="clear" w:color="auto" w:fill="auto"/>
            <w:noWrap/>
            <w:vAlign w:val="bottom"/>
            <w:hideMark/>
          </w:tcPr>
          <w:p w14:paraId="09EA3029" w14:textId="77777777" w:rsidR="00BE42F5" w:rsidRPr="00545EC0" w:rsidRDefault="00BE42F5" w:rsidP="00BE42F5">
            <w:pPr>
              <w:spacing w:line="240" w:lineRule="auto"/>
              <w:jc w:val="right"/>
              <w:rPr>
                <w:rFonts w:cs="Arial"/>
                <w:sz w:val="18"/>
                <w:szCs w:val="18"/>
              </w:rPr>
            </w:pPr>
            <w:r w:rsidRPr="00545EC0">
              <w:rPr>
                <w:rFonts w:cs="Arial"/>
                <w:sz w:val="18"/>
                <w:szCs w:val="18"/>
              </w:rPr>
              <w:t>6</w:t>
            </w:r>
          </w:p>
        </w:tc>
        <w:tc>
          <w:tcPr>
            <w:tcW w:w="1411" w:type="dxa"/>
            <w:tcBorders>
              <w:top w:val="nil"/>
              <w:left w:val="nil"/>
              <w:bottom w:val="single" w:sz="4" w:space="0" w:color="auto"/>
              <w:right w:val="single" w:sz="4" w:space="0" w:color="auto"/>
            </w:tcBorders>
            <w:shd w:val="clear" w:color="auto" w:fill="auto"/>
            <w:noWrap/>
            <w:vAlign w:val="bottom"/>
            <w:hideMark/>
          </w:tcPr>
          <w:p w14:paraId="78465135"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r>
      <w:tr w:rsidR="003122F4" w:rsidRPr="00545EC0" w14:paraId="44277351" w14:textId="77777777" w:rsidTr="00BE42F5">
        <w:trPr>
          <w:trHeight w:val="227"/>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56C75190" w14:textId="77777777" w:rsidR="00BE42F5" w:rsidRPr="00545EC0" w:rsidRDefault="00BE42F5" w:rsidP="00BE42F5">
            <w:pPr>
              <w:spacing w:line="240" w:lineRule="auto"/>
              <w:rPr>
                <w:rFonts w:cs="Arial"/>
                <w:sz w:val="18"/>
                <w:szCs w:val="18"/>
              </w:rPr>
            </w:pPr>
            <w:r w:rsidRPr="00545EC0">
              <w:rPr>
                <w:rFonts w:cs="Arial"/>
                <w:sz w:val="18"/>
                <w:szCs w:val="18"/>
              </w:rPr>
              <w:t>SI1VT137</w:t>
            </w:r>
          </w:p>
        </w:tc>
        <w:tc>
          <w:tcPr>
            <w:tcW w:w="3280" w:type="dxa"/>
            <w:tcBorders>
              <w:top w:val="nil"/>
              <w:left w:val="nil"/>
              <w:bottom w:val="single" w:sz="4" w:space="0" w:color="auto"/>
              <w:right w:val="single" w:sz="4" w:space="0" w:color="auto"/>
            </w:tcBorders>
            <w:shd w:val="clear" w:color="auto" w:fill="auto"/>
            <w:noWrap/>
            <w:vAlign w:val="bottom"/>
            <w:hideMark/>
          </w:tcPr>
          <w:p w14:paraId="3790D562" w14:textId="77777777" w:rsidR="00BE42F5" w:rsidRPr="00545EC0" w:rsidRDefault="00BE42F5" w:rsidP="00BE42F5">
            <w:pPr>
              <w:spacing w:line="240" w:lineRule="auto"/>
              <w:rPr>
                <w:rFonts w:cs="Arial"/>
                <w:sz w:val="18"/>
                <w:szCs w:val="18"/>
              </w:rPr>
            </w:pPr>
            <w:r w:rsidRPr="00545EC0">
              <w:rPr>
                <w:rFonts w:cs="Arial"/>
                <w:sz w:val="18"/>
                <w:szCs w:val="18"/>
              </w:rPr>
              <w:t>VT Sava HE Moste - Podbrezje</w:t>
            </w:r>
          </w:p>
        </w:tc>
        <w:tc>
          <w:tcPr>
            <w:tcW w:w="801" w:type="dxa"/>
            <w:vMerge/>
            <w:tcBorders>
              <w:top w:val="nil"/>
              <w:left w:val="single" w:sz="4" w:space="0" w:color="auto"/>
              <w:bottom w:val="single" w:sz="4" w:space="0" w:color="000000"/>
              <w:right w:val="single" w:sz="4" w:space="0" w:color="auto"/>
            </w:tcBorders>
            <w:vAlign w:val="center"/>
            <w:hideMark/>
          </w:tcPr>
          <w:p w14:paraId="4A56E2CC" w14:textId="77777777" w:rsidR="00BE42F5" w:rsidRPr="00545EC0" w:rsidRDefault="00BE42F5" w:rsidP="00BE42F5">
            <w:pPr>
              <w:spacing w:line="240" w:lineRule="auto"/>
              <w:rPr>
                <w:rFonts w:cs="Arial"/>
                <w:sz w:val="18"/>
                <w:szCs w:val="18"/>
              </w:rPr>
            </w:pPr>
          </w:p>
        </w:tc>
        <w:tc>
          <w:tcPr>
            <w:tcW w:w="1269" w:type="dxa"/>
            <w:tcBorders>
              <w:top w:val="nil"/>
              <w:left w:val="nil"/>
              <w:bottom w:val="single" w:sz="4" w:space="0" w:color="auto"/>
              <w:right w:val="single" w:sz="4" w:space="0" w:color="auto"/>
            </w:tcBorders>
            <w:shd w:val="clear" w:color="auto" w:fill="auto"/>
            <w:noWrap/>
            <w:vAlign w:val="bottom"/>
            <w:hideMark/>
          </w:tcPr>
          <w:p w14:paraId="02478FEB"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c>
          <w:tcPr>
            <w:tcW w:w="1270" w:type="dxa"/>
            <w:tcBorders>
              <w:top w:val="nil"/>
              <w:left w:val="nil"/>
              <w:bottom w:val="single" w:sz="4" w:space="0" w:color="auto"/>
              <w:right w:val="single" w:sz="4" w:space="0" w:color="auto"/>
            </w:tcBorders>
            <w:shd w:val="clear" w:color="auto" w:fill="auto"/>
            <w:noWrap/>
            <w:vAlign w:val="bottom"/>
            <w:hideMark/>
          </w:tcPr>
          <w:p w14:paraId="0E68DBC1" w14:textId="77777777" w:rsidR="00BE42F5" w:rsidRPr="00545EC0" w:rsidRDefault="00BE42F5" w:rsidP="00BE42F5">
            <w:pPr>
              <w:spacing w:line="240" w:lineRule="auto"/>
              <w:jc w:val="right"/>
              <w:rPr>
                <w:rFonts w:cs="Arial"/>
                <w:sz w:val="18"/>
                <w:szCs w:val="18"/>
              </w:rPr>
            </w:pPr>
            <w:r w:rsidRPr="00545EC0">
              <w:rPr>
                <w:rFonts w:cs="Arial"/>
                <w:sz w:val="18"/>
                <w:szCs w:val="18"/>
              </w:rPr>
              <w:t>6</w:t>
            </w:r>
          </w:p>
        </w:tc>
        <w:tc>
          <w:tcPr>
            <w:tcW w:w="1411" w:type="dxa"/>
            <w:tcBorders>
              <w:top w:val="nil"/>
              <w:left w:val="nil"/>
              <w:bottom w:val="single" w:sz="4" w:space="0" w:color="auto"/>
              <w:right w:val="single" w:sz="4" w:space="0" w:color="auto"/>
            </w:tcBorders>
            <w:shd w:val="clear" w:color="auto" w:fill="auto"/>
            <w:noWrap/>
            <w:vAlign w:val="bottom"/>
            <w:hideMark/>
          </w:tcPr>
          <w:p w14:paraId="67C32320"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r>
      <w:tr w:rsidR="003122F4" w:rsidRPr="00545EC0" w14:paraId="4EE36196" w14:textId="77777777" w:rsidTr="00BE42F5">
        <w:trPr>
          <w:trHeight w:val="227"/>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387FCB75" w14:textId="77777777" w:rsidR="00BE42F5" w:rsidRPr="00545EC0" w:rsidRDefault="00BE42F5" w:rsidP="00BE42F5">
            <w:pPr>
              <w:spacing w:line="240" w:lineRule="auto"/>
              <w:rPr>
                <w:rFonts w:cs="Arial"/>
                <w:sz w:val="18"/>
                <w:szCs w:val="18"/>
              </w:rPr>
            </w:pPr>
            <w:r w:rsidRPr="00545EC0">
              <w:rPr>
                <w:rFonts w:cs="Arial"/>
                <w:sz w:val="18"/>
                <w:szCs w:val="18"/>
              </w:rPr>
              <w:t>SI1VT150</w:t>
            </w:r>
          </w:p>
        </w:tc>
        <w:tc>
          <w:tcPr>
            <w:tcW w:w="3280" w:type="dxa"/>
            <w:tcBorders>
              <w:top w:val="nil"/>
              <w:left w:val="nil"/>
              <w:bottom w:val="single" w:sz="4" w:space="0" w:color="auto"/>
              <w:right w:val="single" w:sz="4" w:space="0" w:color="auto"/>
            </w:tcBorders>
            <w:shd w:val="clear" w:color="auto" w:fill="auto"/>
            <w:noWrap/>
            <w:vAlign w:val="bottom"/>
            <w:hideMark/>
          </w:tcPr>
          <w:p w14:paraId="19AD29F6" w14:textId="77777777" w:rsidR="00BE42F5" w:rsidRPr="00545EC0" w:rsidRDefault="00BE42F5" w:rsidP="00BE42F5">
            <w:pPr>
              <w:spacing w:line="240" w:lineRule="auto"/>
              <w:rPr>
                <w:rFonts w:cs="Arial"/>
                <w:sz w:val="18"/>
                <w:szCs w:val="18"/>
              </w:rPr>
            </w:pPr>
            <w:r w:rsidRPr="00545EC0">
              <w:rPr>
                <w:rFonts w:cs="Arial"/>
                <w:sz w:val="18"/>
                <w:szCs w:val="18"/>
              </w:rPr>
              <w:t>VT Sava Podbrezje - Kranj</w:t>
            </w:r>
          </w:p>
        </w:tc>
        <w:tc>
          <w:tcPr>
            <w:tcW w:w="801" w:type="dxa"/>
            <w:vMerge/>
            <w:tcBorders>
              <w:top w:val="nil"/>
              <w:left w:val="single" w:sz="4" w:space="0" w:color="auto"/>
              <w:bottom w:val="single" w:sz="4" w:space="0" w:color="000000"/>
              <w:right w:val="single" w:sz="4" w:space="0" w:color="auto"/>
            </w:tcBorders>
            <w:vAlign w:val="center"/>
            <w:hideMark/>
          </w:tcPr>
          <w:p w14:paraId="232F8FC5" w14:textId="77777777" w:rsidR="00BE42F5" w:rsidRPr="00545EC0" w:rsidRDefault="00BE42F5" w:rsidP="00BE42F5">
            <w:pPr>
              <w:spacing w:line="240" w:lineRule="auto"/>
              <w:rPr>
                <w:rFonts w:cs="Arial"/>
                <w:sz w:val="18"/>
                <w:szCs w:val="18"/>
              </w:rPr>
            </w:pPr>
          </w:p>
        </w:tc>
        <w:tc>
          <w:tcPr>
            <w:tcW w:w="1269" w:type="dxa"/>
            <w:tcBorders>
              <w:top w:val="nil"/>
              <w:left w:val="nil"/>
              <w:bottom w:val="single" w:sz="4" w:space="0" w:color="auto"/>
              <w:right w:val="single" w:sz="4" w:space="0" w:color="auto"/>
            </w:tcBorders>
            <w:shd w:val="clear" w:color="auto" w:fill="auto"/>
            <w:noWrap/>
            <w:vAlign w:val="bottom"/>
            <w:hideMark/>
          </w:tcPr>
          <w:p w14:paraId="72AB4464"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c>
          <w:tcPr>
            <w:tcW w:w="1270" w:type="dxa"/>
            <w:tcBorders>
              <w:top w:val="nil"/>
              <w:left w:val="nil"/>
              <w:bottom w:val="single" w:sz="4" w:space="0" w:color="auto"/>
              <w:right w:val="single" w:sz="4" w:space="0" w:color="auto"/>
            </w:tcBorders>
            <w:shd w:val="clear" w:color="auto" w:fill="auto"/>
            <w:noWrap/>
            <w:vAlign w:val="bottom"/>
            <w:hideMark/>
          </w:tcPr>
          <w:p w14:paraId="2F6BA9A3" w14:textId="77777777" w:rsidR="00BE42F5" w:rsidRPr="00545EC0" w:rsidRDefault="00BE42F5" w:rsidP="00BE42F5">
            <w:pPr>
              <w:spacing w:line="240" w:lineRule="auto"/>
              <w:jc w:val="right"/>
              <w:rPr>
                <w:rFonts w:cs="Arial"/>
                <w:sz w:val="18"/>
                <w:szCs w:val="18"/>
              </w:rPr>
            </w:pPr>
            <w:r w:rsidRPr="00545EC0">
              <w:rPr>
                <w:rFonts w:cs="Arial"/>
                <w:sz w:val="18"/>
                <w:szCs w:val="18"/>
              </w:rPr>
              <w:t>2</w:t>
            </w:r>
          </w:p>
        </w:tc>
        <w:tc>
          <w:tcPr>
            <w:tcW w:w="1411" w:type="dxa"/>
            <w:tcBorders>
              <w:top w:val="nil"/>
              <w:left w:val="nil"/>
              <w:bottom w:val="single" w:sz="4" w:space="0" w:color="auto"/>
              <w:right w:val="single" w:sz="4" w:space="0" w:color="auto"/>
            </w:tcBorders>
            <w:shd w:val="clear" w:color="auto" w:fill="auto"/>
            <w:noWrap/>
            <w:vAlign w:val="bottom"/>
            <w:hideMark/>
          </w:tcPr>
          <w:p w14:paraId="5057AF0D"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r>
      <w:tr w:rsidR="003122F4" w:rsidRPr="00545EC0" w14:paraId="3FBE9103" w14:textId="77777777" w:rsidTr="00BE42F5">
        <w:trPr>
          <w:trHeight w:val="227"/>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0423857F" w14:textId="77777777" w:rsidR="00BE42F5" w:rsidRPr="00545EC0" w:rsidRDefault="00BE42F5" w:rsidP="00BE42F5">
            <w:pPr>
              <w:spacing w:line="240" w:lineRule="auto"/>
              <w:rPr>
                <w:rFonts w:cs="Arial"/>
                <w:sz w:val="18"/>
                <w:szCs w:val="18"/>
              </w:rPr>
            </w:pPr>
            <w:r w:rsidRPr="00545EC0">
              <w:rPr>
                <w:rFonts w:cs="Arial"/>
                <w:sz w:val="18"/>
                <w:szCs w:val="18"/>
              </w:rPr>
              <w:t>SI1VT170</w:t>
            </w:r>
          </w:p>
        </w:tc>
        <w:tc>
          <w:tcPr>
            <w:tcW w:w="3280" w:type="dxa"/>
            <w:tcBorders>
              <w:top w:val="nil"/>
              <w:left w:val="nil"/>
              <w:bottom w:val="single" w:sz="4" w:space="0" w:color="auto"/>
              <w:right w:val="single" w:sz="4" w:space="0" w:color="auto"/>
            </w:tcBorders>
            <w:shd w:val="clear" w:color="auto" w:fill="auto"/>
            <w:noWrap/>
            <w:vAlign w:val="bottom"/>
            <w:hideMark/>
          </w:tcPr>
          <w:p w14:paraId="61C50FFC" w14:textId="77777777" w:rsidR="00BE42F5" w:rsidRPr="00545EC0" w:rsidRDefault="00BE42F5" w:rsidP="00BE42F5">
            <w:pPr>
              <w:spacing w:line="240" w:lineRule="auto"/>
              <w:rPr>
                <w:rFonts w:cs="Arial"/>
                <w:sz w:val="18"/>
                <w:szCs w:val="18"/>
              </w:rPr>
            </w:pPr>
            <w:r w:rsidRPr="00545EC0">
              <w:rPr>
                <w:rFonts w:cs="Arial"/>
                <w:sz w:val="18"/>
                <w:szCs w:val="18"/>
              </w:rPr>
              <w:t>MPVT Sava Mavčiče - Medvode</w:t>
            </w:r>
          </w:p>
        </w:tc>
        <w:tc>
          <w:tcPr>
            <w:tcW w:w="801" w:type="dxa"/>
            <w:vMerge/>
            <w:tcBorders>
              <w:top w:val="nil"/>
              <w:left w:val="single" w:sz="4" w:space="0" w:color="auto"/>
              <w:bottom w:val="single" w:sz="4" w:space="0" w:color="000000"/>
              <w:right w:val="single" w:sz="4" w:space="0" w:color="auto"/>
            </w:tcBorders>
            <w:vAlign w:val="center"/>
            <w:hideMark/>
          </w:tcPr>
          <w:p w14:paraId="60030EE3" w14:textId="77777777" w:rsidR="00BE42F5" w:rsidRPr="00545EC0" w:rsidRDefault="00BE42F5" w:rsidP="00BE42F5">
            <w:pPr>
              <w:spacing w:line="240" w:lineRule="auto"/>
              <w:rPr>
                <w:rFonts w:cs="Arial"/>
                <w:sz w:val="18"/>
                <w:szCs w:val="18"/>
              </w:rPr>
            </w:pPr>
          </w:p>
        </w:tc>
        <w:tc>
          <w:tcPr>
            <w:tcW w:w="1269" w:type="dxa"/>
            <w:tcBorders>
              <w:top w:val="nil"/>
              <w:left w:val="nil"/>
              <w:bottom w:val="single" w:sz="4" w:space="0" w:color="auto"/>
              <w:right w:val="single" w:sz="4" w:space="0" w:color="auto"/>
            </w:tcBorders>
            <w:shd w:val="clear" w:color="auto" w:fill="auto"/>
            <w:noWrap/>
            <w:vAlign w:val="bottom"/>
            <w:hideMark/>
          </w:tcPr>
          <w:p w14:paraId="705EFA38" w14:textId="77777777" w:rsidR="00BE42F5" w:rsidRPr="00545EC0" w:rsidRDefault="00BE42F5" w:rsidP="00BE42F5">
            <w:pPr>
              <w:spacing w:line="240" w:lineRule="auto"/>
              <w:jc w:val="right"/>
              <w:rPr>
                <w:rFonts w:cs="Arial"/>
                <w:sz w:val="18"/>
                <w:szCs w:val="18"/>
              </w:rPr>
            </w:pPr>
            <w:r w:rsidRPr="00545EC0">
              <w:rPr>
                <w:rFonts w:cs="Arial"/>
                <w:sz w:val="18"/>
                <w:szCs w:val="18"/>
              </w:rPr>
              <w:t>1</w:t>
            </w:r>
          </w:p>
        </w:tc>
        <w:tc>
          <w:tcPr>
            <w:tcW w:w="1270" w:type="dxa"/>
            <w:tcBorders>
              <w:top w:val="nil"/>
              <w:left w:val="nil"/>
              <w:bottom w:val="single" w:sz="4" w:space="0" w:color="auto"/>
              <w:right w:val="single" w:sz="4" w:space="0" w:color="auto"/>
            </w:tcBorders>
            <w:shd w:val="clear" w:color="auto" w:fill="auto"/>
            <w:noWrap/>
            <w:vAlign w:val="bottom"/>
            <w:hideMark/>
          </w:tcPr>
          <w:p w14:paraId="06B23BCB" w14:textId="77777777" w:rsidR="00BE42F5" w:rsidRPr="00545EC0" w:rsidRDefault="00BE42F5" w:rsidP="00BE42F5">
            <w:pPr>
              <w:spacing w:line="240" w:lineRule="auto"/>
              <w:jc w:val="right"/>
              <w:rPr>
                <w:rFonts w:cs="Arial"/>
                <w:sz w:val="18"/>
                <w:szCs w:val="18"/>
              </w:rPr>
            </w:pPr>
            <w:r w:rsidRPr="00545EC0">
              <w:rPr>
                <w:rFonts w:cs="Arial"/>
                <w:sz w:val="18"/>
                <w:szCs w:val="18"/>
              </w:rPr>
              <w:t>2</w:t>
            </w:r>
          </w:p>
        </w:tc>
        <w:tc>
          <w:tcPr>
            <w:tcW w:w="1411" w:type="dxa"/>
            <w:tcBorders>
              <w:top w:val="nil"/>
              <w:left w:val="nil"/>
              <w:bottom w:val="single" w:sz="4" w:space="0" w:color="auto"/>
              <w:right w:val="single" w:sz="4" w:space="0" w:color="auto"/>
            </w:tcBorders>
            <w:shd w:val="clear" w:color="auto" w:fill="auto"/>
            <w:noWrap/>
            <w:vAlign w:val="bottom"/>
            <w:hideMark/>
          </w:tcPr>
          <w:p w14:paraId="7EACA18D"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r>
      <w:tr w:rsidR="003122F4" w:rsidRPr="00545EC0" w14:paraId="1703C5FC" w14:textId="77777777" w:rsidTr="00BE42F5">
        <w:trPr>
          <w:trHeight w:val="227"/>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0CCE046C" w14:textId="77777777" w:rsidR="00BE42F5" w:rsidRPr="00545EC0" w:rsidRDefault="00BE42F5" w:rsidP="00BE42F5">
            <w:pPr>
              <w:spacing w:line="240" w:lineRule="auto"/>
              <w:rPr>
                <w:rFonts w:cs="Arial"/>
                <w:sz w:val="18"/>
                <w:szCs w:val="18"/>
              </w:rPr>
            </w:pPr>
            <w:r w:rsidRPr="00545EC0">
              <w:rPr>
                <w:rFonts w:cs="Arial"/>
                <w:sz w:val="18"/>
                <w:szCs w:val="18"/>
              </w:rPr>
              <w:t>SI1VT310</w:t>
            </w:r>
          </w:p>
        </w:tc>
        <w:tc>
          <w:tcPr>
            <w:tcW w:w="3280" w:type="dxa"/>
            <w:tcBorders>
              <w:top w:val="nil"/>
              <w:left w:val="nil"/>
              <w:bottom w:val="single" w:sz="4" w:space="0" w:color="auto"/>
              <w:right w:val="single" w:sz="4" w:space="0" w:color="auto"/>
            </w:tcBorders>
            <w:shd w:val="clear" w:color="auto" w:fill="auto"/>
            <w:noWrap/>
            <w:vAlign w:val="bottom"/>
            <w:hideMark/>
          </w:tcPr>
          <w:p w14:paraId="568C5F07" w14:textId="77777777" w:rsidR="00BE42F5" w:rsidRPr="00545EC0" w:rsidRDefault="00BE42F5" w:rsidP="00BE42F5">
            <w:pPr>
              <w:spacing w:line="240" w:lineRule="auto"/>
              <w:rPr>
                <w:rFonts w:cs="Arial"/>
                <w:sz w:val="18"/>
                <w:szCs w:val="18"/>
              </w:rPr>
            </w:pPr>
            <w:r w:rsidRPr="00545EC0">
              <w:rPr>
                <w:rFonts w:cs="Arial"/>
                <w:sz w:val="18"/>
                <w:szCs w:val="18"/>
              </w:rPr>
              <w:t>VT Sava Medvode - Podgrad</w:t>
            </w:r>
          </w:p>
        </w:tc>
        <w:tc>
          <w:tcPr>
            <w:tcW w:w="80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226676F" w14:textId="77777777" w:rsidR="00BE42F5" w:rsidRPr="00545EC0" w:rsidRDefault="00BE42F5" w:rsidP="00BE42F5">
            <w:pPr>
              <w:spacing w:line="240" w:lineRule="auto"/>
              <w:jc w:val="center"/>
              <w:rPr>
                <w:rFonts w:cs="Arial"/>
                <w:sz w:val="18"/>
                <w:szCs w:val="18"/>
              </w:rPr>
            </w:pPr>
            <w:r w:rsidRPr="00545EC0">
              <w:rPr>
                <w:rFonts w:cs="Arial"/>
                <w:sz w:val="18"/>
                <w:szCs w:val="18"/>
              </w:rPr>
              <w:t>Srednja Sava</w:t>
            </w:r>
          </w:p>
        </w:tc>
        <w:tc>
          <w:tcPr>
            <w:tcW w:w="1269" w:type="dxa"/>
            <w:tcBorders>
              <w:top w:val="nil"/>
              <w:left w:val="nil"/>
              <w:bottom w:val="single" w:sz="4" w:space="0" w:color="auto"/>
              <w:right w:val="single" w:sz="4" w:space="0" w:color="auto"/>
            </w:tcBorders>
            <w:shd w:val="clear" w:color="auto" w:fill="auto"/>
            <w:noWrap/>
            <w:vAlign w:val="bottom"/>
            <w:hideMark/>
          </w:tcPr>
          <w:p w14:paraId="765AE9A2" w14:textId="77777777" w:rsidR="00BE42F5" w:rsidRPr="00545EC0" w:rsidRDefault="00BE42F5" w:rsidP="00BE42F5">
            <w:pPr>
              <w:spacing w:line="240" w:lineRule="auto"/>
              <w:jc w:val="right"/>
              <w:rPr>
                <w:rFonts w:cs="Arial"/>
                <w:sz w:val="18"/>
                <w:szCs w:val="18"/>
              </w:rPr>
            </w:pPr>
            <w:r w:rsidRPr="00545EC0">
              <w:rPr>
                <w:rFonts w:cs="Arial"/>
                <w:sz w:val="18"/>
                <w:szCs w:val="18"/>
              </w:rPr>
              <w:t>10</w:t>
            </w:r>
          </w:p>
        </w:tc>
        <w:tc>
          <w:tcPr>
            <w:tcW w:w="1270" w:type="dxa"/>
            <w:tcBorders>
              <w:top w:val="nil"/>
              <w:left w:val="nil"/>
              <w:bottom w:val="single" w:sz="4" w:space="0" w:color="auto"/>
              <w:right w:val="single" w:sz="4" w:space="0" w:color="auto"/>
            </w:tcBorders>
            <w:shd w:val="clear" w:color="auto" w:fill="auto"/>
            <w:noWrap/>
            <w:vAlign w:val="bottom"/>
            <w:hideMark/>
          </w:tcPr>
          <w:p w14:paraId="18C1E3AA"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c>
          <w:tcPr>
            <w:tcW w:w="1411" w:type="dxa"/>
            <w:tcBorders>
              <w:top w:val="nil"/>
              <w:left w:val="nil"/>
              <w:bottom w:val="single" w:sz="4" w:space="0" w:color="auto"/>
              <w:right w:val="single" w:sz="4" w:space="0" w:color="auto"/>
            </w:tcBorders>
            <w:shd w:val="clear" w:color="auto" w:fill="auto"/>
            <w:noWrap/>
            <w:vAlign w:val="bottom"/>
            <w:hideMark/>
          </w:tcPr>
          <w:p w14:paraId="6147B551"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r>
      <w:tr w:rsidR="003122F4" w:rsidRPr="00545EC0" w14:paraId="1E445811" w14:textId="77777777" w:rsidTr="00BE42F5">
        <w:trPr>
          <w:trHeight w:val="227"/>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06CF1B0F" w14:textId="77777777" w:rsidR="00BE42F5" w:rsidRPr="00545EC0" w:rsidRDefault="00BE42F5" w:rsidP="00BE42F5">
            <w:pPr>
              <w:spacing w:line="240" w:lineRule="auto"/>
              <w:rPr>
                <w:rFonts w:cs="Arial"/>
                <w:sz w:val="18"/>
                <w:szCs w:val="18"/>
              </w:rPr>
            </w:pPr>
            <w:r w:rsidRPr="00545EC0">
              <w:rPr>
                <w:rFonts w:cs="Arial"/>
                <w:sz w:val="18"/>
                <w:szCs w:val="18"/>
              </w:rPr>
              <w:t>SI14VT93</w:t>
            </w:r>
          </w:p>
        </w:tc>
        <w:tc>
          <w:tcPr>
            <w:tcW w:w="3280" w:type="dxa"/>
            <w:tcBorders>
              <w:top w:val="nil"/>
              <w:left w:val="nil"/>
              <w:bottom w:val="single" w:sz="4" w:space="0" w:color="auto"/>
              <w:right w:val="single" w:sz="4" w:space="0" w:color="auto"/>
            </w:tcBorders>
            <w:shd w:val="clear" w:color="auto" w:fill="auto"/>
            <w:noWrap/>
            <w:vAlign w:val="bottom"/>
            <w:hideMark/>
          </w:tcPr>
          <w:p w14:paraId="524DBF01" w14:textId="77777777" w:rsidR="00BE42F5" w:rsidRPr="00545EC0" w:rsidRDefault="00BE42F5" w:rsidP="00BE42F5">
            <w:pPr>
              <w:spacing w:line="240" w:lineRule="auto"/>
              <w:rPr>
                <w:rFonts w:cs="Arial"/>
                <w:sz w:val="18"/>
                <w:szCs w:val="18"/>
              </w:rPr>
            </w:pPr>
            <w:r w:rsidRPr="00545EC0">
              <w:rPr>
                <w:rFonts w:cs="Arial"/>
                <w:sz w:val="18"/>
                <w:szCs w:val="18"/>
              </w:rPr>
              <w:t>MPVT Mestna Ljubljanica</w:t>
            </w:r>
          </w:p>
        </w:tc>
        <w:tc>
          <w:tcPr>
            <w:tcW w:w="801" w:type="dxa"/>
            <w:vMerge/>
            <w:tcBorders>
              <w:top w:val="nil"/>
              <w:left w:val="single" w:sz="4" w:space="0" w:color="auto"/>
              <w:bottom w:val="single" w:sz="4" w:space="0" w:color="000000"/>
              <w:right w:val="single" w:sz="4" w:space="0" w:color="auto"/>
            </w:tcBorders>
            <w:vAlign w:val="center"/>
            <w:hideMark/>
          </w:tcPr>
          <w:p w14:paraId="0BA557D1" w14:textId="77777777" w:rsidR="00BE42F5" w:rsidRPr="00545EC0" w:rsidRDefault="00BE42F5" w:rsidP="00BE42F5">
            <w:pPr>
              <w:spacing w:line="240" w:lineRule="auto"/>
              <w:rPr>
                <w:rFonts w:cs="Arial"/>
                <w:sz w:val="18"/>
                <w:szCs w:val="18"/>
              </w:rPr>
            </w:pPr>
          </w:p>
        </w:tc>
        <w:tc>
          <w:tcPr>
            <w:tcW w:w="1269" w:type="dxa"/>
            <w:tcBorders>
              <w:top w:val="nil"/>
              <w:left w:val="nil"/>
              <w:bottom w:val="single" w:sz="4" w:space="0" w:color="auto"/>
              <w:right w:val="single" w:sz="4" w:space="0" w:color="auto"/>
            </w:tcBorders>
            <w:shd w:val="clear" w:color="auto" w:fill="auto"/>
            <w:noWrap/>
            <w:vAlign w:val="bottom"/>
            <w:hideMark/>
          </w:tcPr>
          <w:p w14:paraId="6126A738" w14:textId="77777777" w:rsidR="00BE42F5" w:rsidRPr="00545EC0" w:rsidRDefault="00BE42F5" w:rsidP="00BE42F5">
            <w:pPr>
              <w:spacing w:line="240" w:lineRule="auto"/>
              <w:jc w:val="right"/>
              <w:rPr>
                <w:rFonts w:cs="Arial"/>
                <w:sz w:val="18"/>
                <w:szCs w:val="18"/>
              </w:rPr>
            </w:pPr>
            <w:r w:rsidRPr="00545EC0">
              <w:rPr>
                <w:rFonts w:cs="Arial"/>
                <w:sz w:val="18"/>
                <w:szCs w:val="18"/>
              </w:rPr>
              <w:t>1</w:t>
            </w:r>
          </w:p>
        </w:tc>
        <w:tc>
          <w:tcPr>
            <w:tcW w:w="1270" w:type="dxa"/>
            <w:tcBorders>
              <w:top w:val="nil"/>
              <w:left w:val="nil"/>
              <w:bottom w:val="single" w:sz="4" w:space="0" w:color="auto"/>
              <w:right w:val="single" w:sz="4" w:space="0" w:color="auto"/>
            </w:tcBorders>
            <w:shd w:val="clear" w:color="auto" w:fill="auto"/>
            <w:noWrap/>
            <w:vAlign w:val="bottom"/>
            <w:hideMark/>
          </w:tcPr>
          <w:p w14:paraId="22E9F553"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c>
          <w:tcPr>
            <w:tcW w:w="1411" w:type="dxa"/>
            <w:tcBorders>
              <w:top w:val="nil"/>
              <w:left w:val="nil"/>
              <w:bottom w:val="single" w:sz="4" w:space="0" w:color="auto"/>
              <w:right w:val="single" w:sz="4" w:space="0" w:color="auto"/>
            </w:tcBorders>
            <w:shd w:val="clear" w:color="auto" w:fill="auto"/>
            <w:noWrap/>
            <w:vAlign w:val="bottom"/>
            <w:hideMark/>
          </w:tcPr>
          <w:p w14:paraId="04752CCD"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r>
      <w:tr w:rsidR="003122F4" w:rsidRPr="00545EC0" w14:paraId="2D257DA5" w14:textId="77777777" w:rsidTr="00BE42F5">
        <w:trPr>
          <w:trHeight w:val="227"/>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3EF3425E" w14:textId="77777777" w:rsidR="00BE42F5" w:rsidRPr="00545EC0" w:rsidRDefault="00BE42F5" w:rsidP="00BE42F5">
            <w:pPr>
              <w:spacing w:line="240" w:lineRule="auto"/>
              <w:rPr>
                <w:rFonts w:cs="Arial"/>
                <w:sz w:val="18"/>
                <w:szCs w:val="18"/>
              </w:rPr>
            </w:pPr>
            <w:r w:rsidRPr="00545EC0">
              <w:rPr>
                <w:rFonts w:cs="Arial"/>
                <w:sz w:val="18"/>
                <w:szCs w:val="18"/>
              </w:rPr>
              <w:t>SI14VT97</w:t>
            </w:r>
          </w:p>
        </w:tc>
        <w:tc>
          <w:tcPr>
            <w:tcW w:w="3280" w:type="dxa"/>
            <w:tcBorders>
              <w:top w:val="nil"/>
              <w:left w:val="nil"/>
              <w:bottom w:val="single" w:sz="4" w:space="0" w:color="auto"/>
              <w:right w:val="single" w:sz="4" w:space="0" w:color="auto"/>
            </w:tcBorders>
            <w:shd w:val="clear" w:color="auto" w:fill="auto"/>
            <w:noWrap/>
            <w:vAlign w:val="bottom"/>
            <w:hideMark/>
          </w:tcPr>
          <w:p w14:paraId="1545E0D9" w14:textId="77777777" w:rsidR="00BE42F5" w:rsidRPr="00545EC0" w:rsidRDefault="00BE42F5" w:rsidP="00BE42F5">
            <w:pPr>
              <w:spacing w:line="240" w:lineRule="auto"/>
              <w:rPr>
                <w:rFonts w:cs="Arial"/>
                <w:sz w:val="18"/>
                <w:szCs w:val="18"/>
              </w:rPr>
            </w:pPr>
            <w:r w:rsidRPr="00545EC0">
              <w:rPr>
                <w:rFonts w:cs="Arial"/>
                <w:sz w:val="18"/>
                <w:szCs w:val="18"/>
              </w:rPr>
              <w:t>VT Ljubljanica Moste - Podgrad</w:t>
            </w:r>
          </w:p>
        </w:tc>
        <w:tc>
          <w:tcPr>
            <w:tcW w:w="801" w:type="dxa"/>
            <w:vMerge/>
            <w:tcBorders>
              <w:top w:val="nil"/>
              <w:left w:val="single" w:sz="4" w:space="0" w:color="auto"/>
              <w:bottom w:val="single" w:sz="4" w:space="0" w:color="000000"/>
              <w:right w:val="single" w:sz="4" w:space="0" w:color="auto"/>
            </w:tcBorders>
            <w:vAlign w:val="center"/>
            <w:hideMark/>
          </w:tcPr>
          <w:p w14:paraId="34CFB05C" w14:textId="77777777" w:rsidR="00BE42F5" w:rsidRPr="00545EC0" w:rsidRDefault="00BE42F5" w:rsidP="00BE42F5">
            <w:pPr>
              <w:spacing w:line="240" w:lineRule="auto"/>
              <w:rPr>
                <w:rFonts w:cs="Arial"/>
                <w:sz w:val="18"/>
                <w:szCs w:val="18"/>
              </w:rPr>
            </w:pPr>
          </w:p>
        </w:tc>
        <w:tc>
          <w:tcPr>
            <w:tcW w:w="1269" w:type="dxa"/>
            <w:tcBorders>
              <w:top w:val="nil"/>
              <w:left w:val="nil"/>
              <w:bottom w:val="single" w:sz="4" w:space="0" w:color="auto"/>
              <w:right w:val="single" w:sz="4" w:space="0" w:color="auto"/>
            </w:tcBorders>
            <w:shd w:val="clear" w:color="auto" w:fill="auto"/>
            <w:noWrap/>
            <w:vAlign w:val="bottom"/>
            <w:hideMark/>
          </w:tcPr>
          <w:p w14:paraId="1EAD96DC" w14:textId="77777777" w:rsidR="00BE42F5" w:rsidRPr="00545EC0" w:rsidRDefault="00BE42F5" w:rsidP="00BE42F5">
            <w:pPr>
              <w:spacing w:line="240" w:lineRule="auto"/>
              <w:jc w:val="right"/>
              <w:rPr>
                <w:rFonts w:cs="Arial"/>
                <w:sz w:val="18"/>
                <w:szCs w:val="18"/>
              </w:rPr>
            </w:pPr>
            <w:r w:rsidRPr="00545EC0">
              <w:rPr>
                <w:rFonts w:cs="Arial"/>
                <w:sz w:val="18"/>
                <w:szCs w:val="18"/>
              </w:rPr>
              <w:t>2</w:t>
            </w:r>
          </w:p>
        </w:tc>
        <w:tc>
          <w:tcPr>
            <w:tcW w:w="1270" w:type="dxa"/>
            <w:tcBorders>
              <w:top w:val="nil"/>
              <w:left w:val="nil"/>
              <w:bottom w:val="single" w:sz="4" w:space="0" w:color="auto"/>
              <w:right w:val="single" w:sz="4" w:space="0" w:color="auto"/>
            </w:tcBorders>
            <w:shd w:val="clear" w:color="auto" w:fill="auto"/>
            <w:noWrap/>
            <w:vAlign w:val="bottom"/>
            <w:hideMark/>
          </w:tcPr>
          <w:p w14:paraId="04813CCF" w14:textId="77777777" w:rsidR="00BE42F5" w:rsidRPr="00545EC0" w:rsidRDefault="00BE42F5" w:rsidP="00BE42F5">
            <w:pPr>
              <w:spacing w:line="240" w:lineRule="auto"/>
              <w:jc w:val="right"/>
              <w:rPr>
                <w:rFonts w:cs="Arial"/>
                <w:sz w:val="18"/>
                <w:szCs w:val="18"/>
              </w:rPr>
            </w:pPr>
            <w:r w:rsidRPr="00545EC0">
              <w:rPr>
                <w:rFonts w:cs="Arial"/>
                <w:sz w:val="18"/>
                <w:szCs w:val="18"/>
              </w:rPr>
              <w:t>1</w:t>
            </w:r>
          </w:p>
        </w:tc>
        <w:tc>
          <w:tcPr>
            <w:tcW w:w="1411" w:type="dxa"/>
            <w:tcBorders>
              <w:top w:val="nil"/>
              <w:left w:val="nil"/>
              <w:bottom w:val="single" w:sz="4" w:space="0" w:color="auto"/>
              <w:right w:val="single" w:sz="4" w:space="0" w:color="auto"/>
            </w:tcBorders>
            <w:shd w:val="clear" w:color="auto" w:fill="auto"/>
            <w:noWrap/>
            <w:vAlign w:val="bottom"/>
            <w:hideMark/>
          </w:tcPr>
          <w:p w14:paraId="6D067E3B"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r>
      <w:tr w:rsidR="003122F4" w:rsidRPr="00545EC0" w14:paraId="6305FA9C" w14:textId="77777777" w:rsidTr="00BE42F5">
        <w:trPr>
          <w:trHeight w:val="227"/>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1251DF1D" w14:textId="77777777" w:rsidR="00BE42F5" w:rsidRPr="00545EC0" w:rsidRDefault="00BE42F5" w:rsidP="00BE42F5">
            <w:pPr>
              <w:spacing w:line="240" w:lineRule="auto"/>
              <w:rPr>
                <w:rFonts w:cs="Arial"/>
                <w:sz w:val="18"/>
                <w:szCs w:val="18"/>
              </w:rPr>
            </w:pPr>
            <w:r w:rsidRPr="00545EC0">
              <w:rPr>
                <w:rFonts w:cs="Arial"/>
                <w:sz w:val="18"/>
                <w:szCs w:val="18"/>
              </w:rPr>
              <w:t>SI14912VT</w:t>
            </w:r>
          </w:p>
        </w:tc>
        <w:tc>
          <w:tcPr>
            <w:tcW w:w="3280" w:type="dxa"/>
            <w:tcBorders>
              <w:top w:val="nil"/>
              <w:left w:val="nil"/>
              <w:bottom w:val="single" w:sz="4" w:space="0" w:color="auto"/>
              <w:right w:val="single" w:sz="4" w:space="0" w:color="auto"/>
            </w:tcBorders>
            <w:shd w:val="clear" w:color="auto" w:fill="auto"/>
            <w:noWrap/>
            <w:vAlign w:val="bottom"/>
            <w:hideMark/>
          </w:tcPr>
          <w:p w14:paraId="69E9098A" w14:textId="77777777" w:rsidR="00BE42F5" w:rsidRPr="00545EC0" w:rsidRDefault="00BE42F5" w:rsidP="00BE42F5">
            <w:pPr>
              <w:spacing w:line="240" w:lineRule="auto"/>
              <w:rPr>
                <w:rFonts w:cs="Arial"/>
                <w:sz w:val="18"/>
                <w:szCs w:val="18"/>
              </w:rPr>
            </w:pPr>
            <w:r w:rsidRPr="00545EC0">
              <w:rPr>
                <w:rFonts w:cs="Arial"/>
                <w:sz w:val="18"/>
                <w:szCs w:val="18"/>
              </w:rPr>
              <w:t>UVT Gruberjev prekop</w:t>
            </w:r>
          </w:p>
        </w:tc>
        <w:tc>
          <w:tcPr>
            <w:tcW w:w="801" w:type="dxa"/>
            <w:vMerge/>
            <w:tcBorders>
              <w:top w:val="nil"/>
              <w:left w:val="single" w:sz="4" w:space="0" w:color="auto"/>
              <w:bottom w:val="single" w:sz="4" w:space="0" w:color="000000"/>
              <w:right w:val="single" w:sz="4" w:space="0" w:color="auto"/>
            </w:tcBorders>
            <w:vAlign w:val="center"/>
            <w:hideMark/>
          </w:tcPr>
          <w:p w14:paraId="2C1FE134" w14:textId="77777777" w:rsidR="00BE42F5" w:rsidRPr="00545EC0" w:rsidRDefault="00BE42F5" w:rsidP="00BE42F5">
            <w:pPr>
              <w:spacing w:line="240" w:lineRule="auto"/>
              <w:rPr>
                <w:rFonts w:cs="Arial"/>
                <w:sz w:val="18"/>
                <w:szCs w:val="18"/>
              </w:rPr>
            </w:pPr>
          </w:p>
        </w:tc>
        <w:tc>
          <w:tcPr>
            <w:tcW w:w="1269" w:type="dxa"/>
            <w:tcBorders>
              <w:top w:val="nil"/>
              <w:left w:val="nil"/>
              <w:bottom w:val="single" w:sz="4" w:space="0" w:color="auto"/>
              <w:right w:val="single" w:sz="4" w:space="0" w:color="auto"/>
            </w:tcBorders>
            <w:shd w:val="clear" w:color="auto" w:fill="auto"/>
            <w:noWrap/>
            <w:vAlign w:val="bottom"/>
            <w:hideMark/>
          </w:tcPr>
          <w:p w14:paraId="5E0F5B36"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c>
          <w:tcPr>
            <w:tcW w:w="1270" w:type="dxa"/>
            <w:tcBorders>
              <w:top w:val="nil"/>
              <w:left w:val="nil"/>
              <w:bottom w:val="single" w:sz="4" w:space="0" w:color="auto"/>
              <w:right w:val="single" w:sz="4" w:space="0" w:color="auto"/>
            </w:tcBorders>
            <w:shd w:val="clear" w:color="auto" w:fill="auto"/>
            <w:noWrap/>
            <w:vAlign w:val="bottom"/>
            <w:hideMark/>
          </w:tcPr>
          <w:p w14:paraId="0E2AFFDC" w14:textId="77777777" w:rsidR="00BE42F5" w:rsidRPr="00545EC0" w:rsidRDefault="00BE42F5" w:rsidP="00BE42F5">
            <w:pPr>
              <w:spacing w:line="240" w:lineRule="auto"/>
              <w:jc w:val="right"/>
              <w:rPr>
                <w:rFonts w:cs="Arial"/>
                <w:sz w:val="18"/>
                <w:szCs w:val="18"/>
              </w:rPr>
            </w:pPr>
            <w:r w:rsidRPr="00545EC0">
              <w:rPr>
                <w:rFonts w:cs="Arial"/>
                <w:sz w:val="18"/>
                <w:szCs w:val="18"/>
              </w:rPr>
              <w:t>1</w:t>
            </w:r>
          </w:p>
        </w:tc>
        <w:tc>
          <w:tcPr>
            <w:tcW w:w="1411" w:type="dxa"/>
            <w:tcBorders>
              <w:top w:val="nil"/>
              <w:left w:val="nil"/>
              <w:bottom w:val="single" w:sz="4" w:space="0" w:color="auto"/>
              <w:right w:val="single" w:sz="4" w:space="0" w:color="auto"/>
            </w:tcBorders>
            <w:shd w:val="clear" w:color="auto" w:fill="auto"/>
            <w:noWrap/>
            <w:vAlign w:val="bottom"/>
            <w:hideMark/>
          </w:tcPr>
          <w:p w14:paraId="22A65B36"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r>
      <w:tr w:rsidR="003122F4" w:rsidRPr="00545EC0" w14:paraId="72EC795E" w14:textId="77777777" w:rsidTr="00BE42F5">
        <w:trPr>
          <w:trHeight w:val="227"/>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776C2443" w14:textId="77777777" w:rsidR="00BE42F5" w:rsidRPr="00545EC0" w:rsidRDefault="00BE42F5" w:rsidP="00BE42F5">
            <w:pPr>
              <w:spacing w:line="240" w:lineRule="auto"/>
              <w:rPr>
                <w:rFonts w:cs="Arial"/>
                <w:sz w:val="18"/>
                <w:szCs w:val="18"/>
              </w:rPr>
            </w:pPr>
            <w:r w:rsidRPr="00545EC0">
              <w:rPr>
                <w:rFonts w:cs="Arial"/>
                <w:sz w:val="18"/>
                <w:szCs w:val="18"/>
              </w:rPr>
              <w:t>SI1VT519</w:t>
            </w:r>
          </w:p>
        </w:tc>
        <w:tc>
          <w:tcPr>
            <w:tcW w:w="3280" w:type="dxa"/>
            <w:tcBorders>
              <w:top w:val="nil"/>
              <w:left w:val="nil"/>
              <w:bottom w:val="single" w:sz="4" w:space="0" w:color="auto"/>
              <w:right w:val="single" w:sz="4" w:space="0" w:color="auto"/>
            </w:tcBorders>
            <w:shd w:val="clear" w:color="auto" w:fill="auto"/>
            <w:noWrap/>
            <w:vAlign w:val="bottom"/>
            <w:hideMark/>
          </w:tcPr>
          <w:p w14:paraId="0AB80645" w14:textId="77777777" w:rsidR="00BE42F5" w:rsidRPr="00545EC0" w:rsidRDefault="00BE42F5" w:rsidP="00BE42F5">
            <w:pPr>
              <w:spacing w:line="240" w:lineRule="auto"/>
              <w:rPr>
                <w:rFonts w:cs="Arial"/>
                <w:sz w:val="18"/>
                <w:szCs w:val="18"/>
              </w:rPr>
            </w:pPr>
            <w:r w:rsidRPr="00545EC0">
              <w:rPr>
                <w:rFonts w:cs="Arial"/>
                <w:sz w:val="18"/>
                <w:szCs w:val="18"/>
              </w:rPr>
              <w:t>VT Sava Podgrad - Litija</w:t>
            </w:r>
          </w:p>
        </w:tc>
        <w:tc>
          <w:tcPr>
            <w:tcW w:w="801" w:type="dxa"/>
            <w:vMerge/>
            <w:tcBorders>
              <w:top w:val="nil"/>
              <w:left w:val="single" w:sz="4" w:space="0" w:color="auto"/>
              <w:bottom w:val="single" w:sz="4" w:space="0" w:color="000000"/>
              <w:right w:val="single" w:sz="4" w:space="0" w:color="auto"/>
            </w:tcBorders>
            <w:vAlign w:val="center"/>
            <w:hideMark/>
          </w:tcPr>
          <w:p w14:paraId="50D53625" w14:textId="77777777" w:rsidR="00BE42F5" w:rsidRPr="00545EC0" w:rsidRDefault="00BE42F5" w:rsidP="00BE42F5">
            <w:pPr>
              <w:spacing w:line="240" w:lineRule="auto"/>
              <w:rPr>
                <w:rFonts w:cs="Arial"/>
                <w:sz w:val="18"/>
                <w:szCs w:val="18"/>
              </w:rPr>
            </w:pPr>
          </w:p>
        </w:tc>
        <w:tc>
          <w:tcPr>
            <w:tcW w:w="1269" w:type="dxa"/>
            <w:tcBorders>
              <w:top w:val="nil"/>
              <w:left w:val="nil"/>
              <w:bottom w:val="single" w:sz="4" w:space="0" w:color="auto"/>
              <w:right w:val="single" w:sz="4" w:space="0" w:color="auto"/>
            </w:tcBorders>
            <w:shd w:val="clear" w:color="auto" w:fill="auto"/>
            <w:noWrap/>
            <w:vAlign w:val="bottom"/>
            <w:hideMark/>
          </w:tcPr>
          <w:p w14:paraId="1E8B024F" w14:textId="77777777" w:rsidR="00BE42F5" w:rsidRPr="00545EC0" w:rsidRDefault="00BE42F5" w:rsidP="00BE42F5">
            <w:pPr>
              <w:spacing w:line="240" w:lineRule="auto"/>
              <w:jc w:val="right"/>
              <w:rPr>
                <w:rFonts w:cs="Arial"/>
                <w:sz w:val="18"/>
                <w:szCs w:val="18"/>
              </w:rPr>
            </w:pPr>
            <w:r w:rsidRPr="00545EC0">
              <w:rPr>
                <w:rFonts w:cs="Arial"/>
                <w:sz w:val="18"/>
                <w:szCs w:val="18"/>
              </w:rPr>
              <w:t>2</w:t>
            </w:r>
          </w:p>
        </w:tc>
        <w:tc>
          <w:tcPr>
            <w:tcW w:w="1270" w:type="dxa"/>
            <w:tcBorders>
              <w:top w:val="nil"/>
              <w:left w:val="nil"/>
              <w:bottom w:val="single" w:sz="4" w:space="0" w:color="auto"/>
              <w:right w:val="single" w:sz="4" w:space="0" w:color="auto"/>
            </w:tcBorders>
            <w:shd w:val="clear" w:color="auto" w:fill="auto"/>
            <w:noWrap/>
            <w:vAlign w:val="bottom"/>
            <w:hideMark/>
          </w:tcPr>
          <w:p w14:paraId="55E45482"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c>
          <w:tcPr>
            <w:tcW w:w="1411" w:type="dxa"/>
            <w:tcBorders>
              <w:top w:val="nil"/>
              <w:left w:val="nil"/>
              <w:bottom w:val="single" w:sz="4" w:space="0" w:color="auto"/>
              <w:right w:val="single" w:sz="4" w:space="0" w:color="auto"/>
            </w:tcBorders>
            <w:shd w:val="clear" w:color="auto" w:fill="auto"/>
            <w:noWrap/>
            <w:vAlign w:val="bottom"/>
            <w:hideMark/>
          </w:tcPr>
          <w:p w14:paraId="338AE7D4"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r>
      <w:tr w:rsidR="003122F4" w:rsidRPr="00545EC0" w14:paraId="4B8A4DA8" w14:textId="77777777" w:rsidTr="00BE42F5">
        <w:trPr>
          <w:trHeight w:val="227"/>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74F904AE" w14:textId="77777777" w:rsidR="00BE42F5" w:rsidRPr="00545EC0" w:rsidRDefault="00BE42F5" w:rsidP="00BE42F5">
            <w:pPr>
              <w:spacing w:line="240" w:lineRule="auto"/>
              <w:rPr>
                <w:rFonts w:cs="Arial"/>
                <w:sz w:val="18"/>
                <w:szCs w:val="18"/>
              </w:rPr>
            </w:pPr>
            <w:r w:rsidRPr="00545EC0">
              <w:rPr>
                <w:rFonts w:cs="Arial"/>
                <w:sz w:val="18"/>
                <w:szCs w:val="18"/>
              </w:rPr>
              <w:t>SI1VT557</w:t>
            </w:r>
          </w:p>
        </w:tc>
        <w:tc>
          <w:tcPr>
            <w:tcW w:w="3280" w:type="dxa"/>
            <w:tcBorders>
              <w:top w:val="nil"/>
              <w:left w:val="nil"/>
              <w:bottom w:val="single" w:sz="4" w:space="0" w:color="auto"/>
              <w:right w:val="single" w:sz="4" w:space="0" w:color="auto"/>
            </w:tcBorders>
            <w:shd w:val="clear" w:color="auto" w:fill="auto"/>
            <w:noWrap/>
            <w:vAlign w:val="bottom"/>
            <w:hideMark/>
          </w:tcPr>
          <w:p w14:paraId="103578E1" w14:textId="77777777" w:rsidR="00BE42F5" w:rsidRPr="00545EC0" w:rsidRDefault="00BE42F5" w:rsidP="00BE42F5">
            <w:pPr>
              <w:spacing w:line="240" w:lineRule="auto"/>
              <w:rPr>
                <w:rFonts w:cs="Arial"/>
                <w:sz w:val="18"/>
                <w:szCs w:val="18"/>
              </w:rPr>
            </w:pPr>
            <w:r w:rsidRPr="00545EC0">
              <w:rPr>
                <w:rFonts w:cs="Arial"/>
                <w:sz w:val="18"/>
                <w:szCs w:val="18"/>
              </w:rPr>
              <w:t>VT Sava Litija - Zidani Most</w:t>
            </w:r>
          </w:p>
        </w:tc>
        <w:tc>
          <w:tcPr>
            <w:tcW w:w="801" w:type="dxa"/>
            <w:vMerge/>
            <w:tcBorders>
              <w:top w:val="nil"/>
              <w:left w:val="single" w:sz="4" w:space="0" w:color="auto"/>
              <w:bottom w:val="single" w:sz="4" w:space="0" w:color="000000"/>
              <w:right w:val="single" w:sz="4" w:space="0" w:color="auto"/>
            </w:tcBorders>
            <w:vAlign w:val="center"/>
            <w:hideMark/>
          </w:tcPr>
          <w:p w14:paraId="6E6B1857" w14:textId="77777777" w:rsidR="00BE42F5" w:rsidRPr="00545EC0" w:rsidRDefault="00BE42F5" w:rsidP="00BE42F5">
            <w:pPr>
              <w:spacing w:line="240" w:lineRule="auto"/>
              <w:rPr>
                <w:rFonts w:cs="Arial"/>
                <w:sz w:val="18"/>
                <w:szCs w:val="18"/>
              </w:rPr>
            </w:pPr>
          </w:p>
        </w:tc>
        <w:tc>
          <w:tcPr>
            <w:tcW w:w="1269" w:type="dxa"/>
            <w:tcBorders>
              <w:top w:val="nil"/>
              <w:left w:val="nil"/>
              <w:bottom w:val="single" w:sz="4" w:space="0" w:color="auto"/>
              <w:right w:val="single" w:sz="4" w:space="0" w:color="auto"/>
            </w:tcBorders>
            <w:shd w:val="clear" w:color="auto" w:fill="auto"/>
            <w:noWrap/>
            <w:vAlign w:val="bottom"/>
            <w:hideMark/>
          </w:tcPr>
          <w:p w14:paraId="1D91C22F" w14:textId="77777777" w:rsidR="00BE42F5" w:rsidRPr="00545EC0" w:rsidRDefault="00BE42F5" w:rsidP="00BE42F5">
            <w:pPr>
              <w:spacing w:line="240" w:lineRule="auto"/>
              <w:jc w:val="right"/>
              <w:rPr>
                <w:rFonts w:cs="Arial"/>
                <w:sz w:val="18"/>
                <w:szCs w:val="18"/>
              </w:rPr>
            </w:pPr>
            <w:r w:rsidRPr="00545EC0">
              <w:rPr>
                <w:rFonts w:cs="Arial"/>
                <w:sz w:val="18"/>
                <w:szCs w:val="18"/>
              </w:rPr>
              <w:t>1</w:t>
            </w:r>
          </w:p>
        </w:tc>
        <w:tc>
          <w:tcPr>
            <w:tcW w:w="1270" w:type="dxa"/>
            <w:tcBorders>
              <w:top w:val="nil"/>
              <w:left w:val="nil"/>
              <w:bottom w:val="single" w:sz="4" w:space="0" w:color="auto"/>
              <w:right w:val="single" w:sz="4" w:space="0" w:color="auto"/>
            </w:tcBorders>
            <w:shd w:val="clear" w:color="auto" w:fill="auto"/>
            <w:noWrap/>
            <w:vAlign w:val="bottom"/>
            <w:hideMark/>
          </w:tcPr>
          <w:p w14:paraId="7BD35339"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c>
          <w:tcPr>
            <w:tcW w:w="1411" w:type="dxa"/>
            <w:tcBorders>
              <w:top w:val="nil"/>
              <w:left w:val="nil"/>
              <w:bottom w:val="single" w:sz="4" w:space="0" w:color="auto"/>
              <w:right w:val="single" w:sz="4" w:space="0" w:color="auto"/>
            </w:tcBorders>
            <w:shd w:val="clear" w:color="auto" w:fill="auto"/>
            <w:noWrap/>
            <w:vAlign w:val="bottom"/>
            <w:hideMark/>
          </w:tcPr>
          <w:p w14:paraId="752C9CDA"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r>
      <w:tr w:rsidR="003122F4" w:rsidRPr="00545EC0" w14:paraId="14F37D05" w14:textId="77777777" w:rsidTr="00BE42F5">
        <w:trPr>
          <w:trHeight w:val="227"/>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13D2069E" w14:textId="77777777" w:rsidR="00BE42F5" w:rsidRPr="00545EC0" w:rsidRDefault="00BE42F5" w:rsidP="00BE42F5">
            <w:pPr>
              <w:spacing w:line="240" w:lineRule="auto"/>
              <w:rPr>
                <w:rFonts w:cs="Arial"/>
                <w:sz w:val="18"/>
                <w:szCs w:val="18"/>
              </w:rPr>
            </w:pPr>
            <w:r w:rsidRPr="00545EC0">
              <w:rPr>
                <w:rFonts w:cs="Arial"/>
                <w:sz w:val="18"/>
                <w:szCs w:val="18"/>
              </w:rPr>
              <w:t>SI1VT713</w:t>
            </w:r>
          </w:p>
        </w:tc>
        <w:tc>
          <w:tcPr>
            <w:tcW w:w="3280" w:type="dxa"/>
            <w:tcBorders>
              <w:top w:val="nil"/>
              <w:left w:val="nil"/>
              <w:bottom w:val="single" w:sz="4" w:space="0" w:color="auto"/>
              <w:right w:val="single" w:sz="4" w:space="0" w:color="auto"/>
            </w:tcBorders>
            <w:shd w:val="clear" w:color="auto" w:fill="auto"/>
            <w:noWrap/>
            <w:vAlign w:val="bottom"/>
            <w:hideMark/>
          </w:tcPr>
          <w:p w14:paraId="7B54940A" w14:textId="77777777" w:rsidR="00BE42F5" w:rsidRPr="00545EC0" w:rsidRDefault="00BE42F5" w:rsidP="00BE42F5">
            <w:pPr>
              <w:spacing w:line="240" w:lineRule="auto"/>
              <w:rPr>
                <w:rFonts w:cs="Arial"/>
                <w:sz w:val="18"/>
                <w:szCs w:val="18"/>
              </w:rPr>
            </w:pPr>
            <w:r w:rsidRPr="00545EC0">
              <w:rPr>
                <w:rFonts w:cs="Arial"/>
                <w:sz w:val="18"/>
                <w:szCs w:val="18"/>
              </w:rPr>
              <w:t>MPVT Sava Vrhovo - Boštanj</w:t>
            </w:r>
          </w:p>
        </w:tc>
        <w:tc>
          <w:tcPr>
            <w:tcW w:w="80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6C0501F" w14:textId="77777777" w:rsidR="00BE42F5" w:rsidRPr="00545EC0" w:rsidRDefault="00BE42F5" w:rsidP="00BE42F5">
            <w:pPr>
              <w:spacing w:line="240" w:lineRule="auto"/>
              <w:jc w:val="center"/>
              <w:rPr>
                <w:rFonts w:cs="Arial"/>
                <w:sz w:val="18"/>
                <w:szCs w:val="18"/>
              </w:rPr>
            </w:pPr>
            <w:r w:rsidRPr="00545EC0">
              <w:rPr>
                <w:rFonts w:cs="Arial"/>
                <w:sz w:val="18"/>
                <w:szCs w:val="18"/>
              </w:rPr>
              <w:t>Spodnja Sava</w:t>
            </w:r>
          </w:p>
        </w:tc>
        <w:tc>
          <w:tcPr>
            <w:tcW w:w="1269" w:type="dxa"/>
            <w:tcBorders>
              <w:top w:val="nil"/>
              <w:left w:val="nil"/>
              <w:bottom w:val="single" w:sz="4" w:space="0" w:color="auto"/>
              <w:right w:val="single" w:sz="4" w:space="0" w:color="auto"/>
            </w:tcBorders>
            <w:shd w:val="clear" w:color="auto" w:fill="auto"/>
            <w:noWrap/>
            <w:vAlign w:val="bottom"/>
            <w:hideMark/>
          </w:tcPr>
          <w:p w14:paraId="4ACEA547"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c>
          <w:tcPr>
            <w:tcW w:w="1270" w:type="dxa"/>
            <w:tcBorders>
              <w:top w:val="nil"/>
              <w:left w:val="nil"/>
              <w:bottom w:val="single" w:sz="4" w:space="0" w:color="auto"/>
              <w:right w:val="single" w:sz="4" w:space="0" w:color="auto"/>
            </w:tcBorders>
            <w:shd w:val="clear" w:color="auto" w:fill="auto"/>
            <w:noWrap/>
            <w:vAlign w:val="bottom"/>
            <w:hideMark/>
          </w:tcPr>
          <w:p w14:paraId="74A783E9" w14:textId="77777777" w:rsidR="00BE42F5" w:rsidRPr="00545EC0" w:rsidRDefault="00BE42F5" w:rsidP="00BE42F5">
            <w:pPr>
              <w:spacing w:line="240" w:lineRule="auto"/>
              <w:jc w:val="right"/>
              <w:rPr>
                <w:rFonts w:cs="Arial"/>
                <w:sz w:val="18"/>
                <w:szCs w:val="18"/>
              </w:rPr>
            </w:pPr>
            <w:r w:rsidRPr="00545EC0">
              <w:rPr>
                <w:rFonts w:cs="Arial"/>
                <w:sz w:val="18"/>
                <w:szCs w:val="18"/>
              </w:rPr>
              <w:t>2</w:t>
            </w:r>
          </w:p>
        </w:tc>
        <w:tc>
          <w:tcPr>
            <w:tcW w:w="1411" w:type="dxa"/>
            <w:tcBorders>
              <w:top w:val="nil"/>
              <w:left w:val="nil"/>
              <w:bottom w:val="single" w:sz="4" w:space="0" w:color="auto"/>
              <w:right w:val="single" w:sz="4" w:space="0" w:color="auto"/>
            </w:tcBorders>
            <w:shd w:val="clear" w:color="auto" w:fill="auto"/>
            <w:noWrap/>
            <w:vAlign w:val="bottom"/>
            <w:hideMark/>
          </w:tcPr>
          <w:p w14:paraId="597C69CB"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r>
      <w:tr w:rsidR="003122F4" w:rsidRPr="00545EC0" w14:paraId="1022CAB0" w14:textId="77777777" w:rsidTr="00BE42F5">
        <w:trPr>
          <w:trHeight w:val="227"/>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5C0FEE59" w14:textId="77777777" w:rsidR="00BE42F5" w:rsidRPr="00545EC0" w:rsidRDefault="00BE42F5" w:rsidP="00BE42F5">
            <w:pPr>
              <w:spacing w:line="240" w:lineRule="auto"/>
              <w:rPr>
                <w:rFonts w:cs="Arial"/>
                <w:sz w:val="18"/>
                <w:szCs w:val="18"/>
              </w:rPr>
            </w:pPr>
            <w:r w:rsidRPr="00545EC0">
              <w:rPr>
                <w:rFonts w:cs="Arial"/>
                <w:sz w:val="18"/>
                <w:szCs w:val="18"/>
              </w:rPr>
              <w:t>SI1VT739</w:t>
            </w:r>
          </w:p>
        </w:tc>
        <w:tc>
          <w:tcPr>
            <w:tcW w:w="3280" w:type="dxa"/>
            <w:tcBorders>
              <w:top w:val="nil"/>
              <w:left w:val="nil"/>
              <w:bottom w:val="single" w:sz="4" w:space="0" w:color="auto"/>
              <w:right w:val="single" w:sz="4" w:space="0" w:color="auto"/>
            </w:tcBorders>
            <w:shd w:val="clear" w:color="auto" w:fill="auto"/>
            <w:noWrap/>
            <w:vAlign w:val="bottom"/>
            <w:hideMark/>
          </w:tcPr>
          <w:p w14:paraId="6A37BBC0" w14:textId="77777777" w:rsidR="00BE42F5" w:rsidRPr="00545EC0" w:rsidRDefault="00BE42F5" w:rsidP="00BE42F5">
            <w:pPr>
              <w:spacing w:line="240" w:lineRule="auto"/>
              <w:rPr>
                <w:rFonts w:cs="Arial"/>
                <w:sz w:val="18"/>
                <w:szCs w:val="18"/>
              </w:rPr>
            </w:pPr>
            <w:r w:rsidRPr="00545EC0">
              <w:rPr>
                <w:rFonts w:cs="Arial"/>
                <w:sz w:val="18"/>
                <w:szCs w:val="18"/>
              </w:rPr>
              <w:t>VT Sava Boštanj - Krško</w:t>
            </w:r>
          </w:p>
        </w:tc>
        <w:tc>
          <w:tcPr>
            <w:tcW w:w="801" w:type="dxa"/>
            <w:vMerge/>
            <w:tcBorders>
              <w:top w:val="nil"/>
              <w:left w:val="single" w:sz="4" w:space="0" w:color="auto"/>
              <w:bottom w:val="single" w:sz="4" w:space="0" w:color="000000"/>
              <w:right w:val="single" w:sz="4" w:space="0" w:color="auto"/>
            </w:tcBorders>
            <w:vAlign w:val="center"/>
            <w:hideMark/>
          </w:tcPr>
          <w:p w14:paraId="772A9268" w14:textId="77777777" w:rsidR="00BE42F5" w:rsidRPr="00545EC0" w:rsidRDefault="00BE42F5" w:rsidP="00BE42F5">
            <w:pPr>
              <w:spacing w:line="240" w:lineRule="auto"/>
              <w:rPr>
                <w:rFonts w:cs="Arial"/>
                <w:sz w:val="18"/>
                <w:szCs w:val="18"/>
              </w:rPr>
            </w:pPr>
          </w:p>
        </w:tc>
        <w:tc>
          <w:tcPr>
            <w:tcW w:w="1269" w:type="dxa"/>
            <w:tcBorders>
              <w:top w:val="nil"/>
              <w:left w:val="nil"/>
              <w:bottom w:val="single" w:sz="4" w:space="0" w:color="auto"/>
              <w:right w:val="single" w:sz="4" w:space="0" w:color="auto"/>
            </w:tcBorders>
            <w:shd w:val="clear" w:color="auto" w:fill="auto"/>
            <w:noWrap/>
            <w:vAlign w:val="bottom"/>
            <w:hideMark/>
          </w:tcPr>
          <w:p w14:paraId="373FA1EF" w14:textId="77777777" w:rsidR="00BE42F5" w:rsidRPr="00545EC0" w:rsidRDefault="00BE42F5" w:rsidP="00BE42F5">
            <w:pPr>
              <w:spacing w:line="240" w:lineRule="auto"/>
              <w:jc w:val="right"/>
              <w:rPr>
                <w:rFonts w:cs="Arial"/>
                <w:sz w:val="18"/>
                <w:szCs w:val="18"/>
              </w:rPr>
            </w:pPr>
            <w:r w:rsidRPr="00545EC0">
              <w:rPr>
                <w:rFonts w:cs="Arial"/>
                <w:sz w:val="18"/>
                <w:szCs w:val="18"/>
              </w:rPr>
              <w:t>2</w:t>
            </w:r>
          </w:p>
        </w:tc>
        <w:tc>
          <w:tcPr>
            <w:tcW w:w="1270" w:type="dxa"/>
            <w:tcBorders>
              <w:top w:val="nil"/>
              <w:left w:val="nil"/>
              <w:bottom w:val="single" w:sz="4" w:space="0" w:color="auto"/>
              <w:right w:val="single" w:sz="4" w:space="0" w:color="auto"/>
            </w:tcBorders>
            <w:shd w:val="clear" w:color="auto" w:fill="auto"/>
            <w:noWrap/>
            <w:vAlign w:val="bottom"/>
            <w:hideMark/>
          </w:tcPr>
          <w:p w14:paraId="1F3414EF"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c>
          <w:tcPr>
            <w:tcW w:w="1411" w:type="dxa"/>
            <w:tcBorders>
              <w:top w:val="nil"/>
              <w:left w:val="nil"/>
              <w:bottom w:val="single" w:sz="4" w:space="0" w:color="auto"/>
              <w:right w:val="single" w:sz="4" w:space="0" w:color="auto"/>
            </w:tcBorders>
            <w:shd w:val="clear" w:color="auto" w:fill="auto"/>
            <w:noWrap/>
            <w:vAlign w:val="bottom"/>
            <w:hideMark/>
          </w:tcPr>
          <w:p w14:paraId="2C13D6C3"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r>
      <w:tr w:rsidR="003122F4" w:rsidRPr="00545EC0" w14:paraId="19943D98" w14:textId="77777777" w:rsidTr="00BE42F5">
        <w:trPr>
          <w:trHeight w:val="227"/>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21C67F3B" w14:textId="77777777" w:rsidR="00BE42F5" w:rsidRPr="00545EC0" w:rsidRDefault="00BE42F5" w:rsidP="00BE42F5">
            <w:pPr>
              <w:spacing w:line="240" w:lineRule="auto"/>
              <w:rPr>
                <w:rFonts w:cs="Arial"/>
                <w:sz w:val="18"/>
                <w:szCs w:val="18"/>
              </w:rPr>
            </w:pPr>
            <w:r w:rsidRPr="00545EC0">
              <w:rPr>
                <w:rFonts w:cs="Arial"/>
                <w:sz w:val="18"/>
                <w:szCs w:val="18"/>
              </w:rPr>
              <w:t>SI1VT913</w:t>
            </w:r>
          </w:p>
        </w:tc>
        <w:tc>
          <w:tcPr>
            <w:tcW w:w="3280" w:type="dxa"/>
            <w:tcBorders>
              <w:top w:val="nil"/>
              <w:left w:val="nil"/>
              <w:bottom w:val="single" w:sz="4" w:space="0" w:color="auto"/>
              <w:right w:val="single" w:sz="4" w:space="0" w:color="auto"/>
            </w:tcBorders>
            <w:shd w:val="clear" w:color="auto" w:fill="auto"/>
            <w:noWrap/>
            <w:vAlign w:val="bottom"/>
            <w:hideMark/>
          </w:tcPr>
          <w:p w14:paraId="570BC43D" w14:textId="77777777" w:rsidR="00BE42F5" w:rsidRPr="00545EC0" w:rsidRDefault="00BE42F5" w:rsidP="00BE42F5">
            <w:pPr>
              <w:spacing w:line="240" w:lineRule="auto"/>
              <w:rPr>
                <w:rFonts w:cs="Arial"/>
                <w:sz w:val="18"/>
                <w:szCs w:val="18"/>
              </w:rPr>
            </w:pPr>
            <w:r w:rsidRPr="00545EC0">
              <w:rPr>
                <w:rFonts w:cs="Arial"/>
                <w:sz w:val="18"/>
                <w:szCs w:val="18"/>
              </w:rPr>
              <w:t>VT Sava Krško - Vrbina</w:t>
            </w:r>
          </w:p>
        </w:tc>
        <w:tc>
          <w:tcPr>
            <w:tcW w:w="801" w:type="dxa"/>
            <w:vMerge/>
            <w:tcBorders>
              <w:top w:val="nil"/>
              <w:left w:val="single" w:sz="4" w:space="0" w:color="auto"/>
              <w:bottom w:val="single" w:sz="4" w:space="0" w:color="000000"/>
              <w:right w:val="single" w:sz="4" w:space="0" w:color="auto"/>
            </w:tcBorders>
            <w:vAlign w:val="center"/>
            <w:hideMark/>
          </w:tcPr>
          <w:p w14:paraId="79742EC6" w14:textId="77777777" w:rsidR="00BE42F5" w:rsidRPr="00545EC0" w:rsidRDefault="00BE42F5" w:rsidP="00BE42F5">
            <w:pPr>
              <w:spacing w:line="240" w:lineRule="auto"/>
              <w:rPr>
                <w:rFonts w:cs="Arial"/>
                <w:sz w:val="18"/>
                <w:szCs w:val="18"/>
              </w:rPr>
            </w:pPr>
          </w:p>
        </w:tc>
        <w:tc>
          <w:tcPr>
            <w:tcW w:w="1269" w:type="dxa"/>
            <w:tcBorders>
              <w:top w:val="nil"/>
              <w:left w:val="nil"/>
              <w:bottom w:val="single" w:sz="4" w:space="0" w:color="auto"/>
              <w:right w:val="single" w:sz="4" w:space="0" w:color="auto"/>
            </w:tcBorders>
            <w:shd w:val="clear" w:color="auto" w:fill="auto"/>
            <w:noWrap/>
            <w:vAlign w:val="bottom"/>
            <w:hideMark/>
          </w:tcPr>
          <w:p w14:paraId="7933613B" w14:textId="77777777" w:rsidR="00BE42F5" w:rsidRPr="00545EC0" w:rsidRDefault="00BE42F5" w:rsidP="00BE42F5">
            <w:pPr>
              <w:spacing w:line="240" w:lineRule="auto"/>
              <w:jc w:val="right"/>
              <w:rPr>
                <w:rFonts w:cs="Arial"/>
                <w:sz w:val="18"/>
                <w:szCs w:val="18"/>
              </w:rPr>
            </w:pPr>
            <w:r w:rsidRPr="00545EC0">
              <w:rPr>
                <w:rFonts w:cs="Arial"/>
                <w:sz w:val="18"/>
                <w:szCs w:val="18"/>
              </w:rPr>
              <w:t>2</w:t>
            </w:r>
          </w:p>
        </w:tc>
        <w:tc>
          <w:tcPr>
            <w:tcW w:w="1270" w:type="dxa"/>
            <w:tcBorders>
              <w:top w:val="nil"/>
              <w:left w:val="nil"/>
              <w:bottom w:val="single" w:sz="4" w:space="0" w:color="auto"/>
              <w:right w:val="single" w:sz="4" w:space="0" w:color="auto"/>
            </w:tcBorders>
            <w:shd w:val="clear" w:color="auto" w:fill="auto"/>
            <w:noWrap/>
            <w:vAlign w:val="bottom"/>
            <w:hideMark/>
          </w:tcPr>
          <w:p w14:paraId="432605A6"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c>
          <w:tcPr>
            <w:tcW w:w="1411" w:type="dxa"/>
            <w:tcBorders>
              <w:top w:val="nil"/>
              <w:left w:val="nil"/>
              <w:bottom w:val="single" w:sz="4" w:space="0" w:color="auto"/>
              <w:right w:val="single" w:sz="4" w:space="0" w:color="auto"/>
            </w:tcBorders>
            <w:shd w:val="clear" w:color="auto" w:fill="auto"/>
            <w:noWrap/>
            <w:vAlign w:val="bottom"/>
            <w:hideMark/>
          </w:tcPr>
          <w:p w14:paraId="24B39CD4"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r>
      <w:tr w:rsidR="003122F4" w:rsidRPr="00545EC0" w14:paraId="50DD56FB" w14:textId="77777777" w:rsidTr="00BE42F5">
        <w:trPr>
          <w:trHeight w:val="227"/>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670BBC1E" w14:textId="77777777" w:rsidR="00BE42F5" w:rsidRPr="00545EC0" w:rsidRDefault="00BE42F5" w:rsidP="00BE42F5">
            <w:pPr>
              <w:spacing w:line="240" w:lineRule="auto"/>
              <w:rPr>
                <w:rFonts w:cs="Arial"/>
                <w:sz w:val="18"/>
                <w:szCs w:val="18"/>
              </w:rPr>
            </w:pPr>
            <w:r w:rsidRPr="00545EC0">
              <w:rPr>
                <w:rFonts w:cs="Arial"/>
                <w:sz w:val="18"/>
                <w:szCs w:val="18"/>
              </w:rPr>
              <w:t>SI18VT31</w:t>
            </w:r>
          </w:p>
        </w:tc>
        <w:tc>
          <w:tcPr>
            <w:tcW w:w="3280" w:type="dxa"/>
            <w:tcBorders>
              <w:top w:val="nil"/>
              <w:left w:val="nil"/>
              <w:bottom w:val="single" w:sz="4" w:space="0" w:color="auto"/>
              <w:right w:val="single" w:sz="4" w:space="0" w:color="auto"/>
            </w:tcBorders>
            <w:shd w:val="clear" w:color="auto" w:fill="auto"/>
            <w:noWrap/>
            <w:vAlign w:val="bottom"/>
            <w:hideMark/>
          </w:tcPr>
          <w:p w14:paraId="483CCB2D" w14:textId="77777777" w:rsidR="00BE42F5" w:rsidRPr="00545EC0" w:rsidRDefault="00BE42F5" w:rsidP="00BE42F5">
            <w:pPr>
              <w:spacing w:line="240" w:lineRule="auto"/>
              <w:rPr>
                <w:rFonts w:cs="Arial"/>
                <w:sz w:val="18"/>
                <w:szCs w:val="18"/>
              </w:rPr>
            </w:pPr>
            <w:r w:rsidRPr="00545EC0">
              <w:rPr>
                <w:rFonts w:cs="Arial"/>
                <w:sz w:val="18"/>
                <w:szCs w:val="18"/>
              </w:rPr>
              <w:t>VT Krka povirje - Soteska</w:t>
            </w:r>
          </w:p>
        </w:tc>
        <w:tc>
          <w:tcPr>
            <w:tcW w:w="801" w:type="dxa"/>
            <w:vMerge/>
            <w:tcBorders>
              <w:top w:val="nil"/>
              <w:left w:val="single" w:sz="4" w:space="0" w:color="auto"/>
              <w:bottom w:val="single" w:sz="4" w:space="0" w:color="000000"/>
              <w:right w:val="single" w:sz="4" w:space="0" w:color="auto"/>
            </w:tcBorders>
            <w:vAlign w:val="center"/>
            <w:hideMark/>
          </w:tcPr>
          <w:p w14:paraId="5F4B55FC" w14:textId="77777777" w:rsidR="00BE42F5" w:rsidRPr="00545EC0" w:rsidRDefault="00BE42F5" w:rsidP="00BE42F5">
            <w:pPr>
              <w:spacing w:line="240" w:lineRule="auto"/>
              <w:rPr>
                <w:rFonts w:cs="Arial"/>
                <w:sz w:val="18"/>
                <w:szCs w:val="18"/>
              </w:rPr>
            </w:pPr>
          </w:p>
        </w:tc>
        <w:tc>
          <w:tcPr>
            <w:tcW w:w="1269" w:type="dxa"/>
            <w:tcBorders>
              <w:top w:val="nil"/>
              <w:left w:val="nil"/>
              <w:bottom w:val="single" w:sz="4" w:space="0" w:color="auto"/>
              <w:right w:val="single" w:sz="4" w:space="0" w:color="auto"/>
            </w:tcBorders>
            <w:shd w:val="clear" w:color="auto" w:fill="auto"/>
            <w:noWrap/>
            <w:vAlign w:val="bottom"/>
            <w:hideMark/>
          </w:tcPr>
          <w:p w14:paraId="682EA02D" w14:textId="77777777" w:rsidR="00BE42F5" w:rsidRPr="00545EC0" w:rsidRDefault="00BE42F5" w:rsidP="00BE42F5">
            <w:pPr>
              <w:spacing w:line="240" w:lineRule="auto"/>
              <w:jc w:val="right"/>
              <w:rPr>
                <w:rFonts w:cs="Arial"/>
                <w:sz w:val="18"/>
                <w:szCs w:val="18"/>
              </w:rPr>
            </w:pPr>
            <w:r w:rsidRPr="00545EC0">
              <w:rPr>
                <w:rFonts w:cs="Arial"/>
                <w:sz w:val="18"/>
                <w:szCs w:val="18"/>
              </w:rPr>
              <w:t>1</w:t>
            </w:r>
          </w:p>
        </w:tc>
        <w:tc>
          <w:tcPr>
            <w:tcW w:w="1270" w:type="dxa"/>
            <w:tcBorders>
              <w:top w:val="nil"/>
              <w:left w:val="nil"/>
              <w:bottom w:val="single" w:sz="4" w:space="0" w:color="auto"/>
              <w:right w:val="single" w:sz="4" w:space="0" w:color="auto"/>
            </w:tcBorders>
            <w:shd w:val="clear" w:color="auto" w:fill="auto"/>
            <w:noWrap/>
            <w:vAlign w:val="bottom"/>
            <w:hideMark/>
          </w:tcPr>
          <w:p w14:paraId="5FC3D34F" w14:textId="77777777" w:rsidR="00BE42F5" w:rsidRPr="00545EC0" w:rsidRDefault="00BE42F5" w:rsidP="00BE42F5">
            <w:pPr>
              <w:spacing w:line="240" w:lineRule="auto"/>
              <w:jc w:val="right"/>
              <w:rPr>
                <w:rFonts w:cs="Arial"/>
                <w:sz w:val="18"/>
                <w:szCs w:val="18"/>
              </w:rPr>
            </w:pPr>
            <w:r w:rsidRPr="00545EC0">
              <w:rPr>
                <w:rFonts w:cs="Arial"/>
                <w:sz w:val="18"/>
                <w:szCs w:val="18"/>
              </w:rPr>
              <w:t>8</w:t>
            </w:r>
          </w:p>
        </w:tc>
        <w:tc>
          <w:tcPr>
            <w:tcW w:w="1411" w:type="dxa"/>
            <w:tcBorders>
              <w:top w:val="nil"/>
              <w:left w:val="nil"/>
              <w:bottom w:val="single" w:sz="4" w:space="0" w:color="auto"/>
              <w:right w:val="single" w:sz="4" w:space="0" w:color="auto"/>
            </w:tcBorders>
            <w:shd w:val="clear" w:color="auto" w:fill="auto"/>
            <w:noWrap/>
            <w:vAlign w:val="bottom"/>
            <w:hideMark/>
          </w:tcPr>
          <w:p w14:paraId="768E6C4A"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r>
      <w:tr w:rsidR="003122F4" w:rsidRPr="00545EC0" w14:paraId="13FFA85F" w14:textId="77777777" w:rsidTr="00BE42F5">
        <w:trPr>
          <w:trHeight w:val="227"/>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565EBE03" w14:textId="77777777" w:rsidR="00BE42F5" w:rsidRPr="00545EC0" w:rsidRDefault="00BE42F5" w:rsidP="00BE42F5">
            <w:pPr>
              <w:spacing w:line="240" w:lineRule="auto"/>
              <w:rPr>
                <w:rFonts w:cs="Arial"/>
                <w:sz w:val="18"/>
                <w:szCs w:val="18"/>
              </w:rPr>
            </w:pPr>
            <w:r w:rsidRPr="00545EC0">
              <w:rPr>
                <w:rFonts w:cs="Arial"/>
                <w:sz w:val="18"/>
                <w:szCs w:val="18"/>
              </w:rPr>
              <w:t>SI18VT77</w:t>
            </w:r>
          </w:p>
        </w:tc>
        <w:tc>
          <w:tcPr>
            <w:tcW w:w="3280" w:type="dxa"/>
            <w:tcBorders>
              <w:top w:val="nil"/>
              <w:left w:val="nil"/>
              <w:bottom w:val="single" w:sz="4" w:space="0" w:color="auto"/>
              <w:right w:val="single" w:sz="4" w:space="0" w:color="auto"/>
            </w:tcBorders>
            <w:shd w:val="clear" w:color="auto" w:fill="auto"/>
            <w:noWrap/>
            <w:vAlign w:val="bottom"/>
            <w:hideMark/>
          </w:tcPr>
          <w:p w14:paraId="0BAC6956" w14:textId="77777777" w:rsidR="00BE42F5" w:rsidRPr="00545EC0" w:rsidRDefault="00BE42F5" w:rsidP="00BE42F5">
            <w:pPr>
              <w:spacing w:line="240" w:lineRule="auto"/>
              <w:rPr>
                <w:rFonts w:cs="Arial"/>
                <w:sz w:val="18"/>
                <w:szCs w:val="18"/>
              </w:rPr>
            </w:pPr>
            <w:r w:rsidRPr="00545EC0">
              <w:rPr>
                <w:rFonts w:cs="Arial"/>
                <w:sz w:val="18"/>
                <w:szCs w:val="18"/>
              </w:rPr>
              <w:t>VT Krka Soteska - Otočec</w:t>
            </w:r>
          </w:p>
        </w:tc>
        <w:tc>
          <w:tcPr>
            <w:tcW w:w="801" w:type="dxa"/>
            <w:vMerge/>
            <w:tcBorders>
              <w:top w:val="nil"/>
              <w:left w:val="single" w:sz="4" w:space="0" w:color="auto"/>
              <w:bottom w:val="single" w:sz="4" w:space="0" w:color="000000"/>
              <w:right w:val="single" w:sz="4" w:space="0" w:color="auto"/>
            </w:tcBorders>
            <w:vAlign w:val="center"/>
            <w:hideMark/>
          </w:tcPr>
          <w:p w14:paraId="7051BF76" w14:textId="77777777" w:rsidR="00BE42F5" w:rsidRPr="00545EC0" w:rsidRDefault="00BE42F5" w:rsidP="00BE42F5">
            <w:pPr>
              <w:spacing w:line="240" w:lineRule="auto"/>
              <w:rPr>
                <w:rFonts w:cs="Arial"/>
                <w:sz w:val="18"/>
                <w:szCs w:val="18"/>
              </w:rPr>
            </w:pPr>
          </w:p>
        </w:tc>
        <w:tc>
          <w:tcPr>
            <w:tcW w:w="1269" w:type="dxa"/>
            <w:tcBorders>
              <w:top w:val="nil"/>
              <w:left w:val="nil"/>
              <w:bottom w:val="single" w:sz="4" w:space="0" w:color="auto"/>
              <w:right w:val="single" w:sz="4" w:space="0" w:color="auto"/>
            </w:tcBorders>
            <w:shd w:val="clear" w:color="auto" w:fill="auto"/>
            <w:noWrap/>
            <w:vAlign w:val="bottom"/>
            <w:hideMark/>
          </w:tcPr>
          <w:p w14:paraId="0B2B0D0E" w14:textId="77777777" w:rsidR="00BE42F5" w:rsidRPr="00545EC0" w:rsidRDefault="00BE42F5" w:rsidP="00BE42F5">
            <w:pPr>
              <w:spacing w:line="240" w:lineRule="auto"/>
              <w:jc w:val="right"/>
              <w:rPr>
                <w:rFonts w:cs="Arial"/>
                <w:sz w:val="18"/>
                <w:szCs w:val="18"/>
              </w:rPr>
            </w:pPr>
            <w:r w:rsidRPr="00545EC0">
              <w:rPr>
                <w:rFonts w:cs="Arial"/>
                <w:sz w:val="18"/>
                <w:szCs w:val="18"/>
              </w:rPr>
              <w:t>3</w:t>
            </w:r>
          </w:p>
        </w:tc>
        <w:tc>
          <w:tcPr>
            <w:tcW w:w="1270" w:type="dxa"/>
            <w:tcBorders>
              <w:top w:val="nil"/>
              <w:left w:val="nil"/>
              <w:bottom w:val="single" w:sz="4" w:space="0" w:color="auto"/>
              <w:right w:val="single" w:sz="4" w:space="0" w:color="auto"/>
            </w:tcBorders>
            <w:shd w:val="clear" w:color="auto" w:fill="auto"/>
            <w:noWrap/>
            <w:vAlign w:val="bottom"/>
            <w:hideMark/>
          </w:tcPr>
          <w:p w14:paraId="0DA076E1" w14:textId="77777777" w:rsidR="00BE42F5" w:rsidRPr="00545EC0" w:rsidRDefault="00BE42F5" w:rsidP="00BE42F5">
            <w:pPr>
              <w:spacing w:line="240" w:lineRule="auto"/>
              <w:jc w:val="right"/>
              <w:rPr>
                <w:rFonts w:cs="Arial"/>
                <w:sz w:val="18"/>
                <w:szCs w:val="18"/>
              </w:rPr>
            </w:pPr>
            <w:r w:rsidRPr="00545EC0">
              <w:rPr>
                <w:rFonts w:cs="Arial"/>
                <w:sz w:val="18"/>
                <w:szCs w:val="18"/>
              </w:rPr>
              <w:t>5</w:t>
            </w:r>
          </w:p>
        </w:tc>
        <w:tc>
          <w:tcPr>
            <w:tcW w:w="1411" w:type="dxa"/>
            <w:tcBorders>
              <w:top w:val="nil"/>
              <w:left w:val="nil"/>
              <w:bottom w:val="single" w:sz="4" w:space="0" w:color="auto"/>
              <w:right w:val="single" w:sz="4" w:space="0" w:color="auto"/>
            </w:tcBorders>
            <w:shd w:val="clear" w:color="auto" w:fill="auto"/>
            <w:noWrap/>
            <w:vAlign w:val="bottom"/>
            <w:hideMark/>
          </w:tcPr>
          <w:p w14:paraId="5FFD5055"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r>
      <w:tr w:rsidR="003122F4" w:rsidRPr="00545EC0" w14:paraId="29B47ECF" w14:textId="77777777" w:rsidTr="00BE42F5">
        <w:trPr>
          <w:trHeight w:val="227"/>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51EAEFAB" w14:textId="77777777" w:rsidR="00BE42F5" w:rsidRPr="00545EC0" w:rsidRDefault="00BE42F5" w:rsidP="00BE42F5">
            <w:pPr>
              <w:spacing w:line="240" w:lineRule="auto"/>
              <w:rPr>
                <w:rFonts w:cs="Arial"/>
                <w:sz w:val="18"/>
                <w:szCs w:val="18"/>
              </w:rPr>
            </w:pPr>
            <w:r w:rsidRPr="00545EC0">
              <w:rPr>
                <w:rFonts w:cs="Arial"/>
                <w:sz w:val="18"/>
                <w:szCs w:val="18"/>
              </w:rPr>
              <w:t>SI18VT97</w:t>
            </w:r>
          </w:p>
        </w:tc>
        <w:tc>
          <w:tcPr>
            <w:tcW w:w="3280" w:type="dxa"/>
            <w:tcBorders>
              <w:top w:val="nil"/>
              <w:left w:val="nil"/>
              <w:bottom w:val="single" w:sz="4" w:space="0" w:color="auto"/>
              <w:right w:val="single" w:sz="4" w:space="0" w:color="auto"/>
            </w:tcBorders>
            <w:shd w:val="clear" w:color="auto" w:fill="auto"/>
            <w:noWrap/>
            <w:vAlign w:val="bottom"/>
            <w:hideMark/>
          </w:tcPr>
          <w:p w14:paraId="3CF964F0" w14:textId="77777777" w:rsidR="00BE42F5" w:rsidRPr="00545EC0" w:rsidRDefault="00BE42F5" w:rsidP="00BE42F5">
            <w:pPr>
              <w:spacing w:line="240" w:lineRule="auto"/>
              <w:rPr>
                <w:rFonts w:cs="Arial"/>
                <w:sz w:val="18"/>
                <w:szCs w:val="18"/>
              </w:rPr>
            </w:pPr>
            <w:r w:rsidRPr="00545EC0">
              <w:rPr>
                <w:rFonts w:cs="Arial"/>
                <w:sz w:val="18"/>
                <w:szCs w:val="18"/>
              </w:rPr>
              <w:t>VT Krka Otočec - Brežice</w:t>
            </w:r>
          </w:p>
        </w:tc>
        <w:tc>
          <w:tcPr>
            <w:tcW w:w="801" w:type="dxa"/>
            <w:vMerge/>
            <w:tcBorders>
              <w:top w:val="nil"/>
              <w:left w:val="single" w:sz="4" w:space="0" w:color="auto"/>
              <w:bottom w:val="single" w:sz="4" w:space="0" w:color="000000"/>
              <w:right w:val="single" w:sz="4" w:space="0" w:color="auto"/>
            </w:tcBorders>
            <w:vAlign w:val="center"/>
            <w:hideMark/>
          </w:tcPr>
          <w:p w14:paraId="46A221A8" w14:textId="77777777" w:rsidR="00BE42F5" w:rsidRPr="00545EC0" w:rsidRDefault="00BE42F5" w:rsidP="00BE42F5">
            <w:pPr>
              <w:spacing w:line="240" w:lineRule="auto"/>
              <w:rPr>
                <w:rFonts w:cs="Arial"/>
                <w:sz w:val="18"/>
                <w:szCs w:val="18"/>
              </w:rPr>
            </w:pPr>
          </w:p>
        </w:tc>
        <w:tc>
          <w:tcPr>
            <w:tcW w:w="1269" w:type="dxa"/>
            <w:tcBorders>
              <w:top w:val="nil"/>
              <w:left w:val="nil"/>
              <w:bottom w:val="single" w:sz="4" w:space="0" w:color="auto"/>
              <w:right w:val="single" w:sz="4" w:space="0" w:color="auto"/>
            </w:tcBorders>
            <w:shd w:val="clear" w:color="auto" w:fill="auto"/>
            <w:noWrap/>
            <w:vAlign w:val="bottom"/>
            <w:hideMark/>
          </w:tcPr>
          <w:p w14:paraId="54F1F509"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c>
          <w:tcPr>
            <w:tcW w:w="1270" w:type="dxa"/>
            <w:tcBorders>
              <w:top w:val="nil"/>
              <w:left w:val="nil"/>
              <w:bottom w:val="single" w:sz="4" w:space="0" w:color="auto"/>
              <w:right w:val="single" w:sz="4" w:space="0" w:color="auto"/>
            </w:tcBorders>
            <w:shd w:val="clear" w:color="auto" w:fill="auto"/>
            <w:noWrap/>
            <w:vAlign w:val="bottom"/>
            <w:hideMark/>
          </w:tcPr>
          <w:p w14:paraId="61522D4A" w14:textId="77777777" w:rsidR="00BE42F5" w:rsidRPr="00545EC0" w:rsidRDefault="00BE42F5" w:rsidP="00BE42F5">
            <w:pPr>
              <w:spacing w:line="240" w:lineRule="auto"/>
              <w:jc w:val="right"/>
              <w:rPr>
                <w:rFonts w:cs="Arial"/>
                <w:sz w:val="18"/>
                <w:szCs w:val="18"/>
              </w:rPr>
            </w:pPr>
            <w:r w:rsidRPr="00545EC0">
              <w:rPr>
                <w:rFonts w:cs="Arial"/>
                <w:sz w:val="18"/>
                <w:szCs w:val="18"/>
              </w:rPr>
              <w:t>2</w:t>
            </w:r>
          </w:p>
        </w:tc>
        <w:tc>
          <w:tcPr>
            <w:tcW w:w="1411" w:type="dxa"/>
            <w:tcBorders>
              <w:top w:val="nil"/>
              <w:left w:val="nil"/>
              <w:bottom w:val="single" w:sz="4" w:space="0" w:color="auto"/>
              <w:right w:val="single" w:sz="4" w:space="0" w:color="auto"/>
            </w:tcBorders>
            <w:shd w:val="clear" w:color="auto" w:fill="auto"/>
            <w:noWrap/>
            <w:vAlign w:val="bottom"/>
            <w:hideMark/>
          </w:tcPr>
          <w:p w14:paraId="28A0539D"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r>
      <w:tr w:rsidR="003122F4" w:rsidRPr="00545EC0" w14:paraId="5491074A" w14:textId="77777777" w:rsidTr="00BE42F5">
        <w:trPr>
          <w:trHeight w:val="227"/>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0C719DB3" w14:textId="77777777" w:rsidR="00BE42F5" w:rsidRPr="00545EC0" w:rsidRDefault="00BE42F5" w:rsidP="00BE42F5">
            <w:pPr>
              <w:spacing w:line="240" w:lineRule="auto"/>
              <w:rPr>
                <w:rFonts w:cs="Arial"/>
                <w:sz w:val="18"/>
                <w:szCs w:val="18"/>
              </w:rPr>
            </w:pPr>
            <w:r w:rsidRPr="00545EC0">
              <w:rPr>
                <w:rFonts w:cs="Arial"/>
                <w:sz w:val="18"/>
                <w:szCs w:val="18"/>
              </w:rPr>
              <w:t>SI192VT1</w:t>
            </w:r>
          </w:p>
        </w:tc>
        <w:tc>
          <w:tcPr>
            <w:tcW w:w="3280" w:type="dxa"/>
            <w:tcBorders>
              <w:top w:val="nil"/>
              <w:left w:val="nil"/>
              <w:bottom w:val="single" w:sz="4" w:space="0" w:color="auto"/>
              <w:right w:val="single" w:sz="4" w:space="0" w:color="auto"/>
            </w:tcBorders>
            <w:shd w:val="clear" w:color="auto" w:fill="auto"/>
            <w:noWrap/>
            <w:vAlign w:val="bottom"/>
            <w:hideMark/>
          </w:tcPr>
          <w:p w14:paraId="7DBB8EFA" w14:textId="77777777" w:rsidR="00BE42F5" w:rsidRPr="00545EC0" w:rsidRDefault="00BE42F5" w:rsidP="00BE42F5">
            <w:pPr>
              <w:spacing w:line="240" w:lineRule="auto"/>
              <w:rPr>
                <w:rFonts w:cs="Arial"/>
                <w:sz w:val="18"/>
                <w:szCs w:val="18"/>
              </w:rPr>
            </w:pPr>
            <w:r w:rsidRPr="00545EC0">
              <w:rPr>
                <w:rFonts w:cs="Arial"/>
                <w:sz w:val="18"/>
                <w:szCs w:val="18"/>
              </w:rPr>
              <w:t>VT Sotla Dobovec - Podčetrtek</w:t>
            </w:r>
          </w:p>
        </w:tc>
        <w:tc>
          <w:tcPr>
            <w:tcW w:w="801" w:type="dxa"/>
            <w:vMerge/>
            <w:tcBorders>
              <w:top w:val="nil"/>
              <w:left w:val="single" w:sz="4" w:space="0" w:color="auto"/>
              <w:bottom w:val="single" w:sz="4" w:space="0" w:color="000000"/>
              <w:right w:val="single" w:sz="4" w:space="0" w:color="auto"/>
            </w:tcBorders>
            <w:vAlign w:val="center"/>
            <w:hideMark/>
          </w:tcPr>
          <w:p w14:paraId="1F68FA71" w14:textId="77777777" w:rsidR="00BE42F5" w:rsidRPr="00545EC0" w:rsidRDefault="00BE42F5" w:rsidP="00BE42F5">
            <w:pPr>
              <w:spacing w:line="240" w:lineRule="auto"/>
              <w:rPr>
                <w:rFonts w:cs="Arial"/>
                <w:sz w:val="18"/>
                <w:szCs w:val="18"/>
              </w:rPr>
            </w:pPr>
          </w:p>
        </w:tc>
        <w:tc>
          <w:tcPr>
            <w:tcW w:w="1269" w:type="dxa"/>
            <w:tcBorders>
              <w:top w:val="nil"/>
              <w:left w:val="nil"/>
              <w:bottom w:val="single" w:sz="4" w:space="0" w:color="auto"/>
              <w:right w:val="single" w:sz="4" w:space="0" w:color="auto"/>
            </w:tcBorders>
            <w:shd w:val="clear" w:color="auto" w:fill="auto"/>
            <w:noWrap/>
            <w:vAlign w:val="bottom"/>
            <w:hideMark/>
          </w:tcPr>
          <w:p w14:paraId="195C9101"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c>
          <w:tcPr>
            <w:tcW w:w="1270" w:type="dxa"/>
            <w:tcBorders>
              <w:top w:val="nil"/>
              <w:left w:val="nil"/>
              <w:bottom w:val="single" w:sz="4" w:space="0" w:color="auto"/>
              <w:right w:val="single" w:sz="4" w:space="0" w:color="auto"/>
            </w:tcBorders>
            <w:shd w:val="clear" w:color="auto" w:fill="auto"/>
            <w:noWrap/>
            <w:vAlign w:val="bottom"/>
            <w:hideMark/>
          </w:tcPr>
          <w:p w14:paraId="0F337F93" w14:textId="77777777" w:rsidR="00BE42F5" w:rsidRPr="00545EC0" w:rsidRDefault="00BE42F5" w:rsidP="00BE42F5">
            <w:pPr>
              <w:spacing w:line="240" w:lineRule="auto"/>
              <w:jc w:val="right"/>
              <w:rPr>
                <w:rFonts w:cs="Arial"/>
                <w:sz w:val="18"/>
                <w:szCs w:val="18"/>
              </w:rPr>
            </w:pPr>
            <w:r w:rsidRPr="00545EC0">
              <w:rPr>
                <w:rFonts w:cs="Arial"/>
                <w:sz w:val="18"/>
                <w:szCs w:val="18"/>
              </w:rPr>
              <w:t>2</w:t>
            </w:r>
          </w:p>
        </w:tc>
        <w:tc>
          <w:tcPr>
            <w:tcW w:w="1411" w:type="dxa"/>
            <w:tcBorders>
              <w:top w:val="nil"/>
              <w:left w:val="nil"/>
              <w:bottom w:val="single" w:sz="4" w:space="0" w:color="auto"/>
              <w:right w:val="single" w:sz="4" w:space="0" w:color="auto"/>
            </w:tcBorders>
            <w:shd w:val="clear" w:color="auto" w:fill="auto"/>
            <w:noWrap/>
            <w:vAlign w:val="bottom"/>
            <w:hideMark/>
          </w:tcPr>
          <w:p w14:paraId="45B1E452" w14:textId="77777777" w:rsidR="00BE42F5" w:rsidRPr="00545EC0" w:rsidRDefault="00BE42F5" w:rsidP="00BE42F5">
            <w:pPr>
              <w:spacing w:line="240" w:lineRule="auto"/>
              <w:jc w:val="right"/>
              <w:rPr>
                <w:rFonts w:cs="Arial"/>
                <w:sz w:val="18"/>
                <w:szCs w:val="18"/>
              </w:rPr>
            </w:pPr>
            <w:r w:rsidRPr="00545EC0">
              <w:rPr>
                <w:rFonts w:cs="Arial"/>
                <w:sz w:val="18"/>
                <w:szCs w:val="18"/>
              </w:rPr>
              <w:t>2</w:t>
            </w:r>
          </w:p>
        </w:tc>
      </w:tr>
      <w:tr w:rsidR="003122F4" w:rsidRPr="00545EC0" w14:paraId="678B598A" w14:textId="77777777" w:rsidTr="00BE42F5">
        <w:trPr>
          <w:trHeight w:val="227"/>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5AD17221" w14:textId="77777777" w:rsidR="00BE42F5" w:rsidRPr="00545EC0" w:rsidRDefault="00BE42F5" w:rsidP="00BE42F5">
            <w:pPr>
              <w:spacing w:line="240" w:lineRule="auto"/>
              <w:rPr>
                <w:rFonts w:cs="Arial"/>
                <w:sz w:val="18"/>
                <w:szCs w:val="18"/>
              </w:rPr>
            </w:pPr>
            <w:r w:rsidRPr="00545EC0">
              <w:rPr>
                <w:rFonts w:cs="Arial"/>
                <w:sz w:val="18"/>
                <w:szCs w:val="18"/>
              </w:rPr>
              <w:t>SI192VT5</w:t>
            </w:r>
          </w:p>
        </w:tc>
        <w:tc>
          <w:tcPr>
            <w:tcW w:w="3280" w:type="dxa"/>
            <w:tcBorders>
              <w:top w:val="nil"/>
              <w:left w:val="nil"/>
              <w:bottom w:val="single" w:sz="4" w:space="0" w:color="auto"/>
              <w:right w:val="single" w:sz="4" w:space="0" w:color="auto"/>
            </w:tcBorders>
            <w:shd w:val="clear" w:color="auto" w:fill="auto"/>
            <w:noWrap/>
            <w:vAlign w:val="bottom"/>
            <w:hideMark/>
          </w:tcPr>
          <w:p w14:paraId="30144A6F" w14:textId="77777777" w:rsidR="00BE42F5" w:rsidRPr="00545EC0" w:rsidRDefault="00BE42F5" w:rsidP="00BE42F5">
            <w:pPr>
              <w:spacing w:line="240" w:lineRule="auto"/>
              <w:rPr>
                <w:rFonts w:cs="Arial"/>
                <w:sz w:val="18"/>
                <w:szCs w:val="18"/>
              </w:rPr>
            </w:pPr>
            <w:r w:rsidRPr="00545EC0">
              <w:rPr>
                <w:rFonts w:cs="Arial"/>
                <w:sz w:val="18"/>
                <w:szCs w:val="18"/>
              </w:rPr>
              <w:t>VT Sotla Podčetrtek - Ključ</w:t>
            </w:r>
          </w:p>
        </w:tc>
        <w:tc>
          <w:tcPr>
            <w:tcW w:w="801" w:type="dxa"/>
            <w:vMerge/>
            <w:tcBorders>
              <w:top w:val="nil"/>
              <w:left w:val="single" w:sz="4" w:space="0" w:color="auto"/>
              <w:bottom w:val="single" w:sz="4" w:space="0" w:color="000000"/>
              <w:right w:val="single" w:sz="4" w:space="0" w:color="auto"/>
            </w:tcBorders>
            <w:vAlign w:val="center"/>
            <w:hideMark/>
          </w:tcPr>
          <w:p w14:paraId="15785420" w14:textId="77777777" w:rsidR="00BE42F5" w:rsidRPr="00545EC0" w:rsidRDefault="00BE42F5" w:rsidP="00BE42F5">
            <w:pPr>
              <w:spacing w:line="240" w:lineRule="auto"/>
              <w:rPr>
                <w:rFonts w:cs="Arial"/>
                <w:sz w:val="18"/>
                <w:szCs w:val="18"/>
              </w:rPr>
            </w:pPr>
          </w:p>
        </w:tc>
        <w:tc>
          <w:tcPr>
            <w:tcW w:w="1269" w:type="dxa"/>
            <w:tcBorders>
              <w:top w:val="nil"/>
              <w:left w:val="nil"/>
              <w:bottom w:val="single" w:sz="4" w:space="0" w:color="auto"/>
              <w:right w:val="single" w:sz="4" w:space="0" w:color="auto"/>
            </w:tcBorders>
            <w:shd w:val="clear" w:color="auto" w:fill="auto"/>
            <w:noWrap/>
            <w:vAlign w:val="bottom"/>
            <w:hideMark/>
          </w:tcPr>
          <w:p w14:paraId="44401442" w14:textId="77777777" w:rsidR="00BE42F5" w:rsidRPr="00545EC0" w:rsidRDefault="00BE42F5" w:rsidP="00BE42F5">
            <w:pPr>
              <w:spacing w:line="240" w:lineRule="auto"/>
              <w:jc w:val="right"/>
              <w:rPr>
                <w:rFonts w:cs="Arial"/>
                <w:sz w:val="18"/>
                <w:szCs w:val="18"/>
              </w:rPr>
            </w:pPr>
            <w:r w:rsidRPr="00545EC0">
              <w:rPr>
                <w:rFonts w:cs="Arial"/>
                <w:sz w:val="18"/>
                <w:szCs w:val="18"/>
              </w:rPr>
              <w:t>1</w:t>
            </w:r>
          </w:p>
        </w:tc>
        <w:tc>
          <w:tcPr>
            <w:tcW w:w="1270" w:type="dxa"/>
            <w:tcBorders>
              <w:top w:val="nil"/>
              <w:left w:val="nil"/>
              <w:bottom w:val="single" w:sz="4" w:space="0" w:color="auto"/>
              <w:right w:val="single" w:sz="4" w:space="0" w:color="auto"/>
            </w:tcBorders>
            <w:shd w:val="clear" w:color="auto" w:fill="auto"/>
            <w:noWrap/>
            <w:vAlign w:val="bottom"/>
            <w:hideMark/>
          </w:tcPr>
          <w:p w14:paraId="69561080" w14:textId="77777777" w:rsidR="00BE42F5" w:rsidRPr="00545EC0" w:rsidRDefault="00BE42F5" w:rsidP="00BE42F5">
            <w:pPr>
              <w:spacing w:line="240" w:lineRule="auto"/>
              <w:jc w:val="right"/>
              <w:rPr>
                <w:rFonts w:cs="Arial"/>
                <w:sz w:val="18"/>
                <w:szCs w:val="18"/>
              </w:rPr>
            </w:pPr>
            <w:r w:rsidRPr="00545EC0">
              <w:rPr>
                <w:rFonts w:cs="Arial"/>
                <w:sz w:val="18"/>
                <w:szCs w:val="18"/>
              </w:rPr>
              <w:t>23</w:t>
            </w:r>
          </w:p>
        </w:tc>
        <w:tc>
          <w:tcPr>
            <w:tcW w:w="1411" w:type="dxa"/>
            <w:tcBorders>
              <w:top w:val="nil"/>
              <w:left w:val="nil"/>
              <w:bottom w:val="single" w:sz="4" w:space="0" w:color="auto"/>
              <w:right w:val="single" w:sz="4" w:space="0" w:color="auto"/>
            </w:tcBorders>
            <w:shd w:val="clear" w:color="auto" w:fill="auto"/>
            <w:noWrap/>
            <w:vAlign w:val="bottom"/>
            <w:hideMark/>
          </w:tcPr>
          <w:p w14:paraId="25C3E740" w14:textId="77777777" w:rsidR="00BE42F5" w:rsidRPr="00545EC0" w:rsidRDefault="00BE42F5" w:rsidP="00BE42F5">
            <w:pPr>
              <w:spacing w:line="240" w:lineRule="auto"/>
              <w:jc w:val="right"/>
              <w:rPr>
                <w:rFonts w:cs="Arial"/>
                <w:sz w:val="18"/>
                <w:szCs w:val="18"/>
              </w:rPr>
            </w:pPr>
            <w:r w:rsidRPr="00545EC0">
              <w:rPr>
                <w:rFonts w:cs="Arial"/>
                <w:sz w:val="18"/>
                <w:szCs w:val="18"/>
              </w:rPr>
              <w:t>16</w:t>
            </w:r>
          </w:p>
        </w:tc>
      </w:tr>
      <w:tr w:rsidR="003122F4" w:rsidRPr="00545EC0" w14:paraId="1C34DCE9" w14:textId="77777777" w:rsidTr="00BE42F5">
        <w:trPr>
          <w:trHeight w:val="227"/>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67F6F46C" w14:textId="77777777" w:rsidR="00BE42F5" w:rsidRPr="00545EC0" w:rsidRDefault="00BE42F5" w:rsidP="00BE42F5">
            <w:pPr>
              <w:spacing w:line="240" w:lineRule="auto"/>
              <w:rPr>
                <w:rFonts w:cs="Arial"/>
                <w:sz w:val="18"/>
                <w:szCs w:val="18"/>
              </w:rPr>
            </w:pPr>
            <w:r w:rsidRPr="00545EC0">
              <w:rPr>
                <w:rFonts w:cs="Arial"/>
                <w:sz w:val="18"/>
                <w:szCs w:val="18"/>
              </w:rPr>
              <w:t>SI21VT13</w:t>
            </w:r>
          </w:p>
        </w:tc>
        <w:tc>
          <w:tcPr>
            <w:tcW w:w="3280" w:type="dxa"/>
            <w:tcBorders>
              <w:top w:val="nil"/>
              <w:left w:val="nil"/>
              <w:bottom w:val="single" w:sz="4" w:space="0" w:color="auto"/>
              <w:right w:val="single" w:sz="4" w:space="0" w:color="auto"/>
            </w:tcBorders>
            <w:shd w:val="clear" w:color="auto" w:fill="auto"/>
            <w:noWrap/>
            <w:vAlign w:val="bottom"/>
            <w:hideMark/>
          </w:tcPr>
          <w:p w14:paraId="080BC5A7" w14:textId="77777777" w:rsidR="00BE42F5" w:rsidRPr="00545EC0" w:rsidRDefault="00BE42F5" w:rsidP="00BE42F5">
            <w:pPr>
              <w:spacing w:line="240" w:lineRule="auto"/>
              <w:rPr>
                <w:rFonts w:cs="Arial"/>
                <w:sz w:val="18"/>
                <w:szCs w:val="18"/>
              </w:rPr>
            </w:pPr>
            <w:r w:rsidRPr="00545EC0">
              <w:rPr>
                <w:rFonts w:cs="Arial"/>
                <w:sz w:val="18"/>
                <w:szCs w:val="18"/>
              </w:rPr>
              <w:t>VT Kolpa Osilnica - Petrina</w:t>
            </w:r>
          </w:p>
        </w:tc>
        <w:tc>
          <w:tcPr>
            <w:tcW w:w="801" w:type="dxa"/>
            <w:vMerge/>
            <w:tcBorders>
              <w:top w:val="nil"/>
              <w:left w:val="single" w:sz="4" w:space="0" w:color="auto"/>
              <w:bottom w:val="single" w:sz="4" w:space="0" w:color="000000"/>
              <w:right w:val="single" w:sz="4" w:space="0" w:color="auto"/>
            </w:tcBorders>
            <w:vAlign w:val="center"/>
            <w:hideMark/>
          </w:tcPr>
          <w:p w14:paraId="46AA5928" w14:textId="77777777" w:rsidR="00BE42F5" w:rsidRPr="00545EC0" w:rsidRDefault="00BE42F5" w:rsidP="00BE42F5">
            <w:pPr>
              <w:spacing w:line="240" w:lineRule="auto"/>
              <w:rPr>
                <w:rFonts w:cs="Arial"/>
                <w:sz w:val="18"/>
                <w:szCs w:val="18"/>
              </w:rPr>
            </w:pPr>
          </w:p>
        </w:tc>
        <w:tc>
          <w:tcPr>
            <w:tcW w:w="1269" w:type="dxa"/>
            <w:tcBorders>
              <w:top w:val="nil"/>
              <w:left w:val="nil"/>
              <w:bottom w:val="single" w:sz="4" w:space="0" w:color="auto"/>
              <w:right w:val="single" w:sz="4" w:space="0" w:color="auto"/>
            </w:tcBorders>
            <w:shd w:val="clear" w:color="auto" w:fill="auto"/>
            <w:noWrap/>
            <w:vAlign w:val="bottom"/>
            <w:hideMark/>
          </w:tcPr>
          <w:p w14:paraId="102B23EF" w14:textId="77777777" w:rsidR="00BE42F5" w:rsidRPr="00545EC0" w:rsidRDefault="00BE42F5" w:rsidP="00BE42F5">
            <w:pPr>
              <w:spacing w:line="240" w:lineRule="auto"/>
              <w:jc w:val="right"/>
              <w:rPr>
                <w:rFonts w:cs="Arial"/>
                <w:sz w:val="18"/>
                <w:szCs w:val="18"/>
              </w:rPr>
            </w:pPr>
            <w:r w:rsidRPr="00545EC0">
              <w:rPr>
                <w:rFonts w:cs="Arial"/>
                <w:sz w:val="18"/>
                <w:szCs w:val="18"/>
              </w:rPr>
              <w:t>4</w:t>
            </w:r>
          </w:p>
        </w:tc>
        <w:tc>
          <w:tcPr>
            <w:tcW w:w="1270" w:type="dxa"/>
            <w:tcBorders>
              <w:top w:val="nil"/>
              <w:left w:val="nil"/>
              <w:bottom w:val="single" w:sz="4" w:space="0" w:color="auto"/>
              <w:right w:val="single" w:sz="4" w:space="0" w:color="auto"/>
            </w:tcBorders>
            <w:shd w:val="clear" w:color="auto" w:fill="auto"/>
            <w:noWrap/>
            <w:vAlign w:val="bottom"/>
            <w:hideMark/>
          </w:tcPr>
          <w:p w14:paraId="620E377A" w14:textId="77777777" w:rsidR="00BE42F5" w:rsidRPr="00545EC0" w:rsidRDefault="00BE42F5" w:rsidP="00BE42F5">
            <w:pPr>
              <w:spacing w:line="240" w:lineRule="auto"/>
              <w:jc w:val="right"/>
              <w:rPr>
                <w:rFonts w:cs="Arial"/>
                <w:sz w:val="18"/>
                <w:szCs w:val="18"/>
              </w:rPr>
            </w:pPr>
            <w:r w:rsidRPr="00545EC0">
              <w:rPr>
                <w:rFonts w:cs="Arial"/>
                <w:sz w:val="18"/>
                <w:szCs w:val="18"/>
              </w:rPr>
              <w:t>6</w:t>
            </w:r>
          </w:p>
        </w:tc>
        <w:tc>
          <w:tcPr>
            <w:tcW w:w="1411" w:type="dxa"/>
            <w:tcBorders>
              <w:top w:val="nil"/>
              <w:left w:val="nil"/>
              <w:bottom w:val="single" w:sz="4" w:space="0" w:color="auto"/>
              <w:right w:val="single" w:sz="4" w:space="0" w:color="auto"/>
            </w:tcBorders>
            <w:shd w:val="clear" w:color="auto" w:fill="auto"/>
            <w:noWrap/>
            <w:vAlign w:val="bottom"/>
            <w:hideMark/>
          </w:tcPr>
          <w:p w14:paraId="5673313D" w14:textId="77777777" w:rsidR="00BE42F5" w:rsidRPr="00545EC0" w:rsidRDefault="00BE42F5" w:rsidP="00BE42F5">
            <w:pPr>
              <w:spacing w:line="240" w:lineRule="auto"/>
              <w:jc w:val="right"/>
              <w:rPr>
                <w:rFonts w:cs="Arial"/>
                <w:sz w:val="18"/>
                <w:szCs w:val="18"/>
              </w:rPr>
            </w:pPr>
            <w:r w:rsidRPr="00545EC0">
              <w:rPr>
                <w:rFonts w:cs="Arial"/>
                <w:sz w:val="18"/>
                <w:szCs w:val="18"/>
              </w:rPr>
              <w:t>9</w:t>
            </w:r>
          </w:p>
        </w:tc>
      </w:tr>
      <w:tr w:rsidR="003122F4" w:rsidRPr="00545EC0" w14:paraId="088F24E7" w14:textId="77777777" w:rsidTr="00BE42F5">
        <w:trPr>
          <w:trHeight w:val="227"/>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330B91C4" w14:textId="77777777" w:rsidR="00BE42F5" w:rsidRPr="00545EC0" w:rsidRDefault="00BE42F5" w:rsidP="00BE42F5">
            <w:pPr>
              <w:spacing w:line="240" w:lineRule="auto"/>
              <w:rPr>
                <w:rFonts w:cs="Arial"/>
                <w:sz w:val="18"/>
                <w:szCs w:val="18"/>
              </w:rPr>
            </w:pPr>
            <w:r w:rsidRPr="00545EC0">
              <w:rPr>
                <w:rFonts w:cs="Arial"/>
                <w:sz w:val="18"/>
                <w:szCs w:val="18"/>
              </w:rPr>
              <w:t>SI21VT50</w:t>
            </w:r>
          </w:p>
        </w:tc>
        <w:tc>
          <w:tcPr>
            <w:tcW w:w="3280" w:type="dxa"/>
            <w:tcBorders>
              <w:top w:val="nil"/>
              <w:left w:val="nil"/>
              <w:bottom w:val="single" w:sz="4" w:space="0" w:color="auto"/>
              <w:right w:val="single" w:sz="4" w:space="0" w:color="auto"/>
            </w:tcBorders>
            <w:shd w:val="clear" w:color="auto" w:fill="auto"/>
            <w:noWrap/>
            <w:vAlign w:val="bottom"/>
            <w:hideMark/>
          </w:tcPr>
          <w:p w14:paraId="5DE3CBBE" w14:textId="77777777" w:rsidR="00BE42F5" w:rsidRPr="00545EC0" w:rsidRDefault="00BE42F5" w:rsidP="00BE42F5">
            <w:pPr>
              <w:spacing w:line="240" w:lineRule="auto"/>
              <w:rPr>
                <w:rFonts w:cs="Arial"/>
                <w:sz w:val="18"/>
                <w:szCs w:val="18"/>
              </w:rPr>
            </w:pPr>
            <w:r w:rsidRPr="00545EC0">
              <w:rPr>
                <w:rFonts w:cs="Arial"/>
                <w:sz w:val="18"/>
                <w:szCs w:val="18"/>
              </w:rPr>
              <w:t>VT Kolpa Petrina - Primostek</w:t>
            </w:r>
          </w:p>
        </w:tc>
        <w:tc>
          <w:tcPr>
            <w:tcW w:w="801" w:type="dxa"/>
            <w:vMerge/>
            <w:tcBorders>
              <w:top w:val="nil"/>
              <w:left w:val="single" w:sz="4" w:space="0" w:color="auto"/>
              <w:bottom w:val="single" w:sz="4" w:space="0" w:color="000000"/>
              <w:right w:val="single" w:sz="4" w:space="0" w:color="auto"/>
            </w:tcBorders>
            <w:vAlign w:val="center"/>
            <w:hideMark/>
          </w:tcPr>
          <w:p w14:paraId="070C1311" w14:textId="77777777" w:rsidR="00BE42F5" w:rsidRPr="00545EC0" w:rsidRDefault="00BE42F5" w:rsidP="00BE42F5">
            <w:pPr>
              <w:spacing w:line="240" w:lineRule="auto"/>
              <w:rPr>
                <w:rFonts w:cs="Arial"/>
                <w:sz w:val="18"/>
                <w:szCs w:val="18"/>
              </w:rPr>
            </w:pPr>
          </w:p>
        </w:tc>
        <w:tc>
          <w:tcPr>
            <w:tcW w:w="1269" w:type="dxa"/>
            <w:tcBorders>
              <w:top w:val="nil"/>
              <w:left w:val="nil"/>
              <w:bottom w:val="single" w:sz="4" w:space="0" w:color="auto"/>
              <w:right w:val="single" w:sz="4" w:space="0" w:color="auto"/>
            </w:tcBorders>
            <w:shd w:val="clear" w:color="auto" w:fill="auto"/>
            <w:noWrap/>
            <w:vAlign w:val="bottom"/>
            <w:hideMark/>
          </w:tcPr>
          <w:p w14:paraId="75441AE3" w14:textId="77777777" w:rsidR="00BE42F5" w:rsidRPr="00545EC0" w:rsidRDefault="00BE42F5" w:rsidP="00BE42F5">
            <w:pPr>
              <w:spacing w:line="240" w:lineRule="auto"/>
              <w:jc w:val="right"/>
              <w:rPr>
                <w:rFonts w:cs="Arial"/>
                <w:sz w:val="18"/>
                <w:szCs w:val="18"/>
              </w:rPr>
            </w:pPr>
            <w:r w:rsidRPr="00545EC0">
              <w:rPr>
                <w:rFonts w:cs="Arial"/>
                <w:sz w:val="18"/>
                <w:szCs w:val="18"/>
              </w:rPr>
              <w:t>35</w:t>
            </w:r>
          </w:p>
        </w:tc>
        <w:tc>
          <w:tcPr>
            <w:tcW w:w="1270" w:type="dxa"/>
            <w:tcBorders>
              <w:top w:val="nil"/>
              <w:left w:val="nil"/>
              <w:bottom w:val="single" w:sz="4" w:space="0" w:color="auto"/>
              <w:right w:val="single" w:sz="4" w:space="0" w:color="auto"/>
            </w:tcBorders>
            <w:shd w:val="clear" w:color="auto" w:fill="auto"/>
            <w:noWrap/>
            <w:vAlign w:val="bottom"/>
            <w:hideMark/>
          </w:tcPr>
          <w:p w14:paraId="50C85AA5" w14:textId="77777777" w:rsidR="00BE42F5" w:rsidRPr="00545EC0" w:rsidRDefault="00BE42F5" w:rsidP="00BE42F5">
            <w:pPr>
              <w:spacing w:line="240" w:lineRule="auto"/>
              <w:jc w:val="right"/>
              <w:rPr>
                <w:rFonts w:cs="Arial"/>
                <w:sz w:val="18"/>
                <w:szCs w:val="18"/>
              </w:rPr>
            </w:pPr>
            <w:r w:rsidRPr="00545EC0">
              <w:rPr>
                <w:rFonts w:cs="Arial"/>
                <w:sz w:val="18"/>
                <w:szCs w:val="18"/>
              </w:rPr>
              <w:t>26</w:t>
            </w:r>
          </w:p>
        </w:tc>
        <w:tc>
          <w:tcPr>
            <w:tcW w:w="1411" w:type="dxa"/>
            <w:tcBorders>
              <w:top w:val="nil"/>
              <w:left w:val="nil"/>
              <w:bottom w:val="single" w:sz="4" w:space="0" w:color="auto"/>
              <w:right w:val="single" w:sz="4" w:space="0" w:color="auto"/>
            </w:tcBorders>
            <w:shd w:val="clear" w:color="auto" w:fill="auto"/>
            <w:noWrap/>
            <w:vAlign w:val="bottom"/>
            <w:hideMark/>
          </w:tcPr>
          <w:p w14:paraId="314A403D" w14:textId="77777777" w:rsidR="00BE42F5" w:rsidRPr="00545EC0" w:rsidRDefault="00BE42F5" w:rsidP="00BE42F5">
            <w:pPr>
              <w:spacing w:line="240" w:lineRule="auto"/>
              <w:jc w:val="right"/>
              <w:rPr>
                <w:rFonts w:cs="Arial"/>
                <w:sz w:val="18"/>
                <w:szCs w:val="18"/>
              </w:rPr>
            </w:pPr>
            <w:r w:rsidRPr="00545EC0">
              <w:rPr>
                <w:rFonts w:cs="Arial"/>
                <w:sz w:val="18"/>
                <w:szCs w:val="18"/>
              </w:rPr>
              <w:t>5</w:t>
            </w:r>
          </w:p>
        </w:tc>
      </w:tr>
      <w:tr w:rsidR="003122F4" w:rsidRPr="00545EC0" w14:paraId="084EFA2C" w14:textId="77777777" w:rsidTr="00BE42F5">
        <w:trPr>
          <w:trHeight w:val="227"/>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768762FE" w14:textId="77777777" w:rsidR="00BE42F5" w:rsidRPr="00545EC0" w:rsidRDefault="00BE42F5" w:rsidP="00BE42F5">
            <w:pPr>
              <w:spacing w:line="240" w:lineRule="auto"/>
              <w:rPr>
                <w:rFonts w:cs="Arial"/>
                <w:sz w:val="18"/>
                <w:szCs w:val="18"/>
              </w:rPr>
            </w:pPr>
            <w:r w:rsidRPr="00545EC0">
              <w:rPr>
                <w:rFonts w:cs="Arial"/>
                <w:sz w:val="18"/>
                <w:szCs w:val="18"/>
              </w:rPr>
              <w:t>SI21VT70</w:t>
            </w:r>
          </w:p>
        </w:tc>
        <w:tc>
          <w:tcPr>
            <w:tcW w:w="3280" w:type="dxa"/>
            <w:tcBorders>
              <w:top w:val="nil"/>
              <w:left w:val="nil"/>
              <w:bottom w:val="single" w:sz="4" w:space="0" w:color="auto"/>
              <w:right w:val="single" w:sz="4" w:space="0" w:color="auto"/>
            </w:tcBorders>
            <w:shd w:val="clear" w:color="auto" w:fill="auto"/>
            <w:noWrap/>
            <w:vAlign w:val="bottom"/>
            <w:hideMark/>
          </w:tcPr>
          <w:p w14:paraId="42EDA980" w14:textId="77777777" w:rsidR="00BE42F5" w:rsidRPr="00545EC0" w:rsidRDefault="00BE42F5" w:rsidP="00BE42F5">
            <w:pPr>
              <w:spacing w:line="240" w:lineRule="auto"/>
              <w:rPr>
                <w:rFonts w:cs="Arial"/>
                <w:sz w:val="18"/>
                <w:szCs w:val="18"/>
              </w:rPr>
            </w:pPr>
            <w:r w:rsidRPr="00545EC0">
              <w:rPr>
                <w:rFonts w:cs="Arial"/>
                <w:sz w:val="18"/>
                <w:szCs w:val="18"/>
              </w:rPr>
              <w:t>VT Kolpa Primostek - Kamanje</w:t>
            </w:r>
          </w:p>
        </w:tc>
        <w:tc>
          <w:tcPr>
            <w:tcW w:w="801" w:type="dxa"/>
            <w:vMerge/>
            <w:tcBorders>
              <w:top w:val="nil"/>
              <w:left w:val="single" w:sz="4" w:space="0" w:color="auto"/>
              <w:bottom w:val="single" w:sz="4" w:space="0" w:color="000000"/>
              <w:right w:val="single" w:sz="4" w:space="0" w:color="auto"/>
            </w:tcBorders>
            <w:vAlign w:val="center"/>
            <w:hideMark/>
          </w:tcPr>
          <w:p w14:paraId="328C7DAD" w14:textId="77777777" w:rsidR="00BE42F5" w:rsidRPr="00545EC0" w:rsidRDefault="00BE42F5" w:rsidP="00BE42F5">
            <w:pPr>
              <w:spacing w:line="240" w:lineRule="auto"/>
              <w:rPr>
                <w:rFonts w:cs="Arial"/>
                <w:sz w:val="18"/>
                <w:szCs w:val="18"/>
              </w:rPr>
            </w:pPr>
          </w:p>
        </w:tc>
        <w:tc>
          <w:tcPr>
            <w:tcW w:w="1269" w:type="dxa"/>
            <w:tcBorders>
              <w:top w:val="nil"/>
              <w:left w:val="nil"/>
              <w:bottom w:val="single" w:sz="4" w:space="0" w:color="auto"/>
              <w:right w:val="single" w:sz="4" w:space="0" w:color="auto"/>
            </w:tcBorders>
            <w:shd w:val="clear" w:color="auto" w:fill="auto"/>
            <w:noWrap/>
            <w:vAlign w:val="bottom"/>
            <w:hideMark/>
          </w:tcPr>
          <w:p w14:paraId="52BE1815" w14:textId="77777777" w:rsidR="00BE42F5" w:rsidRPr="00545EC0" w:rsidRDefault="00BE42F5" w:rsidP="00BE42F5">
            <w:pPr>
              <w:spacing w:line="240" w:lineRule="auto"/>
              <w:jc w:val="right"/>
              <w:rPr>
                <w:rFonts w:cs="Arial"/>
                <w:sz w:val="18"/>
                <w:szCs w:val="18"/>
              </w:rPr>
            </w:pPr>
            <w:r w:rsidRPr="00545EC0">
              <w:rPr>
                <w:rFonts w:cs="Arial"/>
                <w:sz w:val="18"/>
                <w:szCs w:val="18"/>
              </w:rPr>
              <w:t>1</w:t>
            </w:r>
          </w:p>
        </w:tc>
        <w:tc>
          <w:tcPr>
            <w:tcW w:w="1270" w:type="dxa"/>
            <w:tcBorders>
              <w:top w:val="nil"/>
              <w:left w:val="nil"/>
              <w:bottom w:val="single" w:sz="4" w:space="0" w:color="auto"/>
              <w:right w:val="single" w:sz="4" w:space="0" w:color="auto"/>
            </w:tcBorders>
            <w:shd w:val="clear" w:color="auto" w:fill="auto"/>
            <w:noWrap/>
            <w:vAlign w:val="bottom"/>
            <w:hideMark/>
          </w:tcPr>
          <w:p w14:paraId="61AECD58" w14:textId="77777777" w:rsidR="00BE42F5" w:rsidRPr="00545EC0" w:rsidRDefault="00BE42F5" w:rsidP="00BE42F5">
            <w:pPr>
              <w:spacing w:line="240" w:lineRule="auto"/>
              <w:jc w:val="right"/>
              <w:rPr>
                <w:rFonts w:cs="Arial"/>
                <w:sz w:val="18"/>
                <w:szCs w:val="18"/>
              </w:rPr>
            </w:pPr>
            <w:r w:rsidRPr="00545EC0">
              <w:rPr>
                <w:rFonts w:cs="Arial"/>
                <w:sz w:val="18"/>
                <w:szCs w:val="18"/>
              </w:rPr>
              <w:t>4</w:t>
            </w:r>
          </w:p>
        </w:tc>
        <w:tc>
          <w:tcPr>
            <w:tcW w:w="1411" w:type="dxa"/>
            <w:tcBorders>
              <w:top w:val="nil"/>
              <w:left w:val="nil"/>
              <w:bottom w:val="single" w:sz="4" w:space="0" w:color="auto"/>
              <w:right w:val="single" w:sz="4" w:space="0" w:color="auto"/>
            </w:tcBorders>
            <w:shd w:val="clear" w:color="auto" w:fill="auto"/>
            <w:noWrap/>
            <w:vAlign w:val="bottom"/>
            <w:hideMark/>
          </w:tcPr>
          <w:p w14:paraId="0A08A282"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r>
      <w:tr w:rsidR="003122F4" w:rsidRPr="00545EC0" w14:paraId="383A6517" w14:textId="77777777" w:rsidTr="00BE42F5">
        <w:trPr>
          <w:trHeight w:val="227"/>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58E00C27" w14:textId="77777777" w:rsidR="00BE42F5" w:rsidRPr="00545EC0" w:rsidRDefault="00BE42F5" w:rsidP="00BE42F5">
            <w:pPr>
              <w:spacing w:line="240" w:lineRule="auto"/>
              <w:rPr>
                <w:rFonts w:cs="Arial"/>
                <w:sz w:val="18"/>
                <w:szCs w:val="18"/>
              </w:rPr>
            </w:pPr>
            <w:r w:rsidRPr="00545EC0">
              <w:rPr>
                <w:rFonts w:cs="Arial"/>
                <w:sz w:val="18"/>
                <w:szCs w:val="18"/>
              </w:rPr>
              <w:t>SI16VT17</w:t>
            </w:r>
          </w:p>
        </w:tc>
        <w:tc>
          <w:tcPr>
            <w:tcW w:w="3280" w:type="dxa"/>
            <w:tcBorders>
              <w:top w:val="nil"/>
              <w:left w:val="nil"/>
              <w:bottom w:val="single" w:sz="4" w:space="0" w:color="auto"/>
              <w:right w:val="single" w:sz="4" w:space="0" w:color="auto"/>
            </w:tcBorders>
            <w:shd w:val="clear" w:color="auto" w:fill="auto"/>
            <w:noWrap/>
            <w:vAlign w:val="bottom"/>
            <w:hideMark/>
          </w:tcPr>
          <w:p w14:paraId="263F076A" w14:textId="77777777" w:rsidR="00BE42F5" w:rsidRPr="00545EC0" w:rsidRDefault="00BE42F5" w:rsidP="00BE42F5">
            <w:pPr>
              <w:spacing w:line="240" w:lineRule="auto"/>
              <w:rPr>
                <w:rFonts w:cs="Arial"/>
                <w:sz w:val="18"/>
                <w:szCs w:val="18"/>
              </w:rPr>
            </w:pPr>
            <w:r w:rsidRPr="00545EC0">
              <w:rPr>
                <w:rFonts w:cs="Arial"/>
                <w:sz w:val="18"/>
                <w:szCs w:val="18"/>
              </w:rPr>
              <w:t>VT Savinja povirje - Letuš</w:t>
            </w:r>
          </w:p>
        </w:tc>
        <w:tc>
          <w:tcPr>
            <w:tcW w:w="80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B0C3FC7" w14:textId="77777777" w:rsidR="00BE42F5" w:rsidRPr="00545EC0" w:rsidRDefault="00BE42F5" w:rsidP="00BE42F5">
            <w:pPr>
              <w:spacing w:line="240" w:lineRule="auto"/>
              <w:jc w:val="center"/>
              <w:rPr>
                <w:rFonts w:cs="Arial"/>
                <w:sz w:val="18"/>
                <w:szCs w:val="18"/>
              </w:rPr>
            </w:pPr>
            <w:r w:rsidRPr="00545EC0">
              <w:rPr>
                <w:rFonts w:cs="Arial"/>
                <w:sz w:val="18"/>
                <w:szCs w:val="18"/>
              </w:rPr>
              <w:t>Savinja</w:t>
            </w:r>
          </w:p>
        </w:tc>
        <w:tc>
          <w:tcPr>
            <w:tcW w:w="1269" w:type="dxa"/>
            <w:tcBorders>
              <w:top w:val="nil"/>
              <w:left w:val="nil"/>
              <w:bottom w:val="single" w:sz="4" w:space="0" w:color="auto"/>
              <w:right w:val="single" w:sz="4" w:space="0" w:color="auto"/>
            </w:tcBorders>
            <w:shd w:val="clear" w:color="auto" w:fill="auto"/>
            <w:noWrap/>
            <w:vAlign w:val="bottom"/>
            <w:hideMark/>
          </w:tcPr>
          <w:p w14:paraId="7FF7A010" w14:textId="77777777" w:rsidR="00BE42F5" w:rsidRPr="00545EC0" w:rsidRDefault="00BE42F5" w:rsidP="00BE42F5">
            <w:pPr>
              <w:spacing w:line="240" w:lineRule="auto"/>
              <w:jc w:val="right"/>
              <w:rPr>
                <w:rFonts w:cs="Arial"/>
                <w:sz w:val="18"/>
                <w:szCs w:val="18"/>
              </w:rPr>
            </w:pPr>
            <w:r w:rsidRPr="00545EC0">
              <w:rPr>
                <w:rFonts w:cs="Arial"/>
                <w:sz w:val="18"/>
                <w:szCs w:val="18"/>
              </w:rPr>
              <w:t>125</w:t>
            </w:r>
          </w:p>
        </w:tc>
        <w:tc>
          <w:tcPr>
            <w:tcW w:w="1270" w:type="dxa"/>
            <w:tcBorders>
              <w:top w:val="nil"/>
              <w:left w:val="nil"/>
              <w:bottom w:val="single" w:sz="4" w:space="0" w:color="auto"/>
              <w:right w:val="single" w:sz="4" w:space="0" w:color="auto"/>
            </w:tcBorders>
            <w:shd w:val="clear" w:color="auto" w:fill="auto"/>
            <w:noWrap/>
            <w:vAlign w:val="bottom"/>
            <w:hideMark/>
          </w:tcPr>
          <w:p w14:paraId="59C47FCB" w14:textId="77777777" w:rsidR="00BE42F5" w:rsidRPr="00545EC0" w:rsidRDefault="00BE42F5" w:rsidP="00BE42F5">
            <w:pPr>
              <w:spacing w:line="240" w:lineRule="auto"/>
              <w:jc w:val="right"/>
              <w:rPr>
                <w:rFonts w:cs="Arial"/>
                <w:sz w:val="18"/>
                <w:szCs w:val="18"/>
              </w:rPr>
            </w:pPr>
            <w:r w:rsidRPr="00545EC0">
              <w:rPr>
                <w:rFonts w:cs="Arial"/>
                <w:sz w:val="18"/>
                <w:szCs w:val="18"/>
              </w:rPr>
              <w:t>58</w:t>
            </w:r>
          </w:p>
        </w:tc>
        <w:tc>
          <w:tcPr>
            <w:tcW w:w="1411" w:type="dxa"/>
            <w:tcBorders>
              <w:top w:val="nil"/>
              <w:left w:val="nil"/>
              <w:bottom w:val="single" w:sz="4" w:space="0" w:color="auto"/>
              <w:right w:val="single" w:sz="4" w:space="0" w:color="auto"/>
            </w:tcBorders>
            <w:shd w:val="clear" w:color="auto" w:fill="auto"/>
            <w:noWrap/>
            <w:vAlign w:val="bottom"/>
            <w:hideMark/>
          </w:tcPr>
          <w:p w14:paraId="626783DB" w14:textId="77777777" w:rsidR="00BE42F5" w:rsidRPr="00545EC0" w:rsidRDefault="00BE42F5" w:rsidP="00BE42F5">
            <w:pPr>
              <w:spacing w:line="240" w:lineRule="auto"/>
              <w:jc w:val="right"/>
              <w:rPr>
                <w:rFonts w:cs="Arial"/>
                <w:sz w:val="18"/>
                <w:szCs w:val="18"/>
              </w:rPr>
            </w:pPr>
            <w:r w:rsidRPr="00545EC0">
              <w:rPr>
                <w:rFonts w:cs="Arial"/>
                <w:sz w:val="18"/>
                <w:szCs w:val="18"/>
              </w:rPr>
              <w:t>3</w:t>
            </w:r>
          </w:p>
        </w:tc>
      </w:tr>
      <w:tr w:rsidR="003122F4" w:rsidRPr="00545EC0" w14:paraId="2D219344" w14:textId="77777777" w:rsidTr="00BE42F5">
        <w:trPr>
          <w:trHeight w:val="227"/>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3344F8DA" w14:textId="77777777" w:rsidR="00BE42F5" w:rsidRPr="00545EC0" w:rsidRDefault="00BE42F5" w:rsidP="00BE42F5">
            <w:pPr>
              <w:spacing w:line="240" w:lineRule="auto"/>
              <w:rPr>
                <w:rFonts w:cs="Arial"/>
                <w:sz w:val="18"/>
                <w:szCs w:val="18"/>
              </w:rPr>
            </w:pPr>
            <w:r w:rsidRPr="00545EC0">
              <w:rPr>
                <w:rFonts w:cs="Arial"/>
                <w:sz w:val="18"/>
                <w:szCs w:val="18"/>
              </w:rPr>
              <w:lastRenderedPageBreak/>
              <w:t>SI16VT70</w:t>
            </w:r>
          </w:p>
        </w:tc>
        <w:tc>
          <w:tcPr>
            <w:tcW w:w="3280" w:type="dxa"/>
            <w:tcBorders>
              <w:top w:val="nil"/>
              <w:left w:val="nil"/>
              <w:bottom w:val="single" w:sz="4" w:space="0" w:color="auto"/>
              <w:right w:val="single" w:sz="4" w:space="0" w:color="auto"/>
            </w:tcBorders>
            <w:shd w:val="clear" w:color="auto" w:fill="auto"/>
            <w:noWrap/>
            <w:vAlign w:val="bottom"/>
            <w:hideMark/>
          </w:tcPr>
          <w:p w14:paraId="780B8055" w14:textId="77777777" w:rsidR="00BE42F5" w:rsidRPr="00545EC0" w:rsidRDefault="00BE42F5" w:rsidP="00BE42F5">
            <w:pPr>
              <w:spacing w:line="240" w:lineRule="auto"/>
              <w:rPr>
                <w:rFonts w:cs="Arial"/>
                <w:sz w:val="18"/>
                <w:szCs w:val="18"/>
              </w:rPr>
            </w:pPr>
            <w:r w:rsidRPr="00545EC0">
              <w:rPr>
                <w:rFonts w:cs="Arial"/>
                <w:sz w:val="18"/>
                <w:szCs w:val="18"/>
              </w:rPr>
              <w:t>VT Savinja Letuš - Celje</w:t>
            </w:r>
          </w:p>
        </w:tc>
        <w:tc>
          <w:tcPr>
            <w:tcW w:w="801" w:type="dxa"/>
            <w:vMerge/>
            <w:tcBorders>
              <w:top w:val="nil"/>
              <w:left w:val="single" w:sz="4" w:space="0" w:color="auto"/>
              <w:bottom w:val="single" w:sz="4" w:space="0" w:color="000000"/>
              <w:right w:val="single" w:sz="4" w:space="0" w:color="auto"/>
            </w:tcBorders>
            <w:vAlign w:val="center"/>
            <w:hideMark/>
          </w:tcPr>
          <w:p w14:paraId="6C474579" w14:textId="77777777" w:rsidR="00BE42F5" w:rsidRPr="00545EC0" w:rsidRDefault="00BE42F5" w:rsidP="00BE42F5">
            <w:pPr>
              <w:spacing w:line="240" w:lineRule="auto"/>
              <w:rPr>
                <w:rFonts w:cs="Arial"/>
                <w:sz w:val="18"/>
                <w:szCs w:val="18"/>
              </w:rPr>
            </w:pPr>
          </w:p>
        </w:tc>
        <w:tc>
          <w:tcPr>
            <w:tcW w:w="1269" w:type="dxa"/>
            <w:tcBorders>
              <w:top w:val="nil"/>
              <w:left w:val="nil"/>
              <w:bottom w:val="single" w:sz="4" w:space="0" w:color="auto"/>
              <w:right w:val="single" w:sz="4" w:space="0" w:color="auto"/>
            </w:tcBorders>
            <w:shd w:val="clear" w:color="auto" w:fill="auto"/>
            <w:noWrap/>
            <w:vAlign w:val="bottom"/>
            <w:hideMark/>
          </w:tcPr>
          <w:p w14:paraId="054111E5" w14:textId="77777777" w:rsidR="00BE42F5" w:rsidRPr="00545EC0" w:rsidRDefault="00BE42F5" w:rsidP="00BE42F5">
            <w:pPr>
              <w:spacing w:line="240" w:lineRule="auto"/>
              <w:jc w:val="right"/>
              <w:rPr>
                <w:rFonts w:cs="Arial"/>
                <w:sz w:val="18"/>
                <w:szCs w:val="18"/>
              </w:rPr>
            </w:pPr>
            <w:r w:rsidRPr="00545EC0">
              <w:rPr>
                <w:rFonts w:cs="Arial"/>
                <w:sz w:val="18"/>
                <w:szCs w:val="18"/>
              </w:rPr>
              <w:t>13</w:t>
            </w:r>
          </w:p>
        </w:tc>
        <w:tc>
          <w:tcPr>
            <w:tcW w:w="1270" w:type="dxa"/>
            <w:tcBorders>
              <w:top w:val="nil"/>
              <w:left w:val="nil"/>
              <w:bottom w:val="single" w:sz="4" w:space="0" w:color="auto"/>
              <w:right w:val="single" w:sz="4" w:space="0" w:color="auto"/>
            </w:tcBorders>
            <w:shd w:val="clear" w:color="auto" w:fill="auto"/>
            <w:noWrap/>
            <w:vAlign w:val="bottom"/>
            <w:hideMark/>
          </w:tcPr>
          <w:p w14:paraId="2C583710"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c>
          <w:tcPr>
            <w:tcW w:w="1411" w:type="dxa"/>
            <w:tcBorders>
              <w:top w:val="nil"/>
              <w:left w:val="nil"/>
              <w:bottom w:val="single" w:sz="4" w:space="0" w:color="auto"/>
              <w:right w:val="single" w:sz="4" w:space="0" w:color="auto"/>
            </w:tcBorders>
            <w:shd w:val="clear" w:color="auto" w:fill="auto"/>
            <w:noWrap/>
            <w:vAlign w:val="bottom"/>
            <w:hideMark/>
          </w:tcPr>
          <w:p w14:paraId="4F45357B"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r>
      <w:tr w:rsidR="003122F4" w:rsidRPr="00545EC0" w14:paraId="44B776C5" w14:textId="77777777" w:rsidTr="00BE42F5">
        <w:trPr>
          <w:trHeight w:val="227"/>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7C1B5A89" w14:textId="77777777" w:rsidR="00BE42F5" w:rsidRPr="00545EC0" w:rsidRDefault="00BE42F5" w:rsidP="00BE42F5">
            <w:pPr>
              <w:spacing w:line="240" w:lineRule="auto"/>
              <w:rPr>
                <w:rFonts w:cs="Arial"/>
                <w:sz w:val="18"/>
                <w:szCs w:val="18"/>
              </w:rPr>
            </w:pPr>
            <w:r w:rsidRPr="00545EC0">
              <w:rPr>
                <w:rFonts w:cs="Arial"/>
                <w:sz w:val="18"/>
                <w:szCs w:val="18"/>
              </w:rPr>
              <w:t>SI16VT97</w:t>
            </w:r>
          </w:p>
        </w:tc>
        <w:tc>
          <w:tcPr>
            <w:tcW w:w="3280" w:type="dxa"/>
            <w:tcBorders>
              <w:top w:val="nil"/>
              <w:left w:val="nil"/>
              <w:bottom w:val="single" w:sz="4" w:space="0" w:color="auto"/>
              <w:right w:val="single" w:sz="4" w:space="0" w:color="auto"/>
            </w:tcBorders>
            <w:shd w:val="clear" w:color="auto" w:fill="auto"/>
            <w:noWrap/>
            <w:vAlign w:val="bottom"/>
            <w:hideMark/>
          </w:tcPr>
          <w:p w14:paraId="406D3ADF" w14:textId="77777777" w:rsidR="00BE42F5" w:rsidRPr="00545EC0" w:rsidRDefault="00BE42F5" w:rsidP="00BE42F5">
            <w:pPr>
              <w:spacing w:line="240" w:lineRule="auto"/>
              <w:rPr>
                <w:rFonts w:cs="Arial"/>
                <w:sz w:val="18"/>
                <w:szCs w:val="18"/>
              </w:rPr>
            </w:pPr>
            <w:r w:rsidRPr="00545EC0">
              <w:rPr>
                <w:rFonts w:cs="Arial"/>
                <w:sz w:val="18"/>
                <w:szCs w:val="18"/>
              </w:rPr>
              <w:t>VT Savinja Celje - Zidani Most</w:t>
            </w:r>
          </w:p>
        </w:tc>
        <w:tc>
          <w:tcPr>
            <w:tcW w:w="801" w:type="dxa"/>
            <w:vMerge/>
            <w:tcBorders>
              <w:top w:val="nil"/>
              <w:left w:val="single" w:sz="4" w:space="0" w:color="auto"/>
              <w:bottom w:val="single" w:sz="4" w:space="0" w:color="000000"/>
              <w:right w:val="single" w:sz="4" w:space="0" w:color="auto"/>
            </w:tcBorders>
            <w:vAlign w:val="center"/>
            <w:hideMark/>
          </w:tcPr>
          <w:p w14:paraId="397855A7" w14:textId="77777777" w:rsidR="00BE42F5" w:rsidRPr="00545EC0" w:rsidRDefault="00BE42F5" w:rsidP="00BE42F5">
            <w:pPr>
              <w:spacing w:line="240" w:lineRule="auto"/>
              <w:rPr>
                <w:rFonts w:cs="Arial"/>
                <w:sz w:val="18"/>
                <w:szCs w:val="18"/>
              </w:rPr>
            </w:pPr>
          </w:p>
        </w:tc>
        <w:tc>
          <w:tcPr>
            <w:tcW w:w="1269" w:type="dxa"/>
            <w:tcBorders>
              <w:top w:val="nil"/>
              <w:left w:val="nil"/>
              <w:bottom w:val="single" w:sz="4" w:space="0" w:color="auto"/>
              <w:right w:val="single" w:sz="4" w:space="0" w:color="auto"/>
            </w:tcBorders>
            <w:shd w:val="clear" w:color="auto" w:fill="auto"/>
            <w:noWrap/>
            <w:vAlign w:val="bottom"/>
            <w:hideMark/>
          </w:tcPr>
          <w:p w14:paraId="587ABCEF" w14:textId="77777777" w:rsidR="00BE42F5" w:rsidRPr="00545EC0" w:rsidRDefault="00BE42F5" w:rsidP="00BE42F5">
            <w:pPr>
              <w:spacing w:line="240" w:lineRule="auto"/>
              <w:jc w:val="right"/>
              <w:rPr>
                <w:rFonts w:cs="Arial"/>
                <w:sz w:val="18"/>
                <w:szCs w:val="18"/>
              </w:rPr>
            </w:pPr>
            <w:r w:rsidRPr="00545EC0">
              <w:rPr>
                <w:rFonts w:cs="Arial"/>
                <w:sz w:val="18"/>
                <w:szCs w:val="18"/>
              </w:rPr>
              <w:t>3</w:t>
            </w:r>
          </w:p>
        </w:tc>
        <w:tc>
          <w:tcPr>
            <w:tcW w:w="1270" w:type="dxa"/>
            <w:tcBorders>
              <w:top w:val="nil"/>
              <w:left w:val="nil"/>
              <w:bottom w:val="single" w:sz="4" w:space="0" w:color="auto"/>
              <w:right w:val="single" w:sz="4" w:space="0" w:color="auto"/>
            </w:tcBorders>
            <w:shd w:val="clear" w:color="auto" w:fill="auto"/>
            <w:noWrap/>
            <w:vAlign w:val="bottom"/>
            <w:hideMark/>
          </w:tcPr>
          <w:p w14:paraId="77AF11C9"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c>
          <w:tcPr>
            <w:tcW w:w="1411" w:type="dxa"/>
            <w:tcBorders>
              <w:top w:val="nil"/>
              <w:left w:val="nil"/>
              <w:bottom w:val="single" w:sz="4" w:space="0" w:color="auto"/>
              <w:right w:val="single" w:sz="4" w:space="0" w:color="auto"/>
            </w:tcBorders>
            <w:shd w:val="clear" w:color="auto" w:fill="auto"/>
            <w:noWrap/>
            <w:vAlign w:val="bottom"/>
            <w:hideMark/>
          </w:tcPr>
          <w:p w14:paraId="124A3A9E"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r>
      <w:tr w:rsidR="003122F4" w:rsidRPr="00545EC0" w14:paraId="289ED9C9" w14:textId="77777777" w:rsidTr="00BE42F5">
        <w:trPr>
          <w:trHeight w:val="227"/>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4D544652" w14:textId="77777777" w:rsidR="00BE42F5" w:rsidRPr="00545EC0" w:rsidRDefault="00BE42F5" w:rsidP="00BE42F5">
            <w:pPr>
              <w:spacing w:line="240" w:lineRule="auto"/>
              <w:rPr>
                <w:rFonts w:cs="Arial"/>
                <w:sz w:val="18"/>
                <w:szCs w:val="18"/>
              </w:rPr>
            </w:pPr>
            <w:r w:rsidRPr="00545EC0">
              <w:rPr>
                <w:rFonts w:cs="Arial"/>
                <w:sz w:val="18"/>
                <w:szCs w:val="18"/>
              </w:rPr>
              <w:t>SI3VT359</w:t>
            </w:r>
          </w:p>
        </w:tc>
        <w:tc>
          <w:tcPr>
            <w:tcW w:w="3280" w:type="dxa"/>
            <w:tcBorders>
              <w:top w:val="nil"/>
              <w:left w:val="nil"/>
              <w:bottom w:val="single" w:sz="4" w:space="0" w:color="auto"/>
              <w:right w:val="single" w:sz="4" w:space="0" w:color="auto"/>
            </w:tcBorders>
            <w:shd w:val="clear" w:color="auto" w:fill="auto"/>
            <w:noWrap/>
            <w:vAlign w:val="bottom"/>
            <w:hideMark/>
          </w:tcPr>
          <w:p w14:paraId="351AA110" w14:textId="77777777" w:rsidR="00BE42F5" w:rsidRPr="00545EC0" w:rsidRDefault="00BE42F5" w:rsidP="00BE42F5">
            <w:pPr>
              <w:spacing w:line="240" w:lineRule="auto"/>
              <w:rPr>
                <w:rFonts w:cs="Arial"/>
                <w:sz w:val="18"/>
                <w:szCs w:val="18"/>
              </w:rPr>
            </w:pPr>
            <w:r w:rsidRPr="00545EC0">
              <w:rPr>
                <w:rFonts w:cs="Arial"/>
                <w:sz w:val="18"/>
                <w:szCs w:val="18"/>
              </w:rPr>
              <w:t>MPVT Drava Dravograd - Maribor</w:t>
            </w:r>
          </w:p>
        </w:tc>
        <w:tc>
          <w:tcPr>
            <w:tcW w:w="80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9A1C485" w14:textId="77777777" w:rsidR="00BE42F5" w:rsidRPr="00545EC0" w:rsidRDefault="00BE42F5" w:rsidP="00BE42F5">
            <w:pPr>
              <w:spacing w:line="240" w:lineRule="auto"/>
              <w:jc w:val="center"/>
              <w:rPr>
                <w:rFonts w:cs="Arial"/>
                <w:sz w:val="18"/>
                <w:szCs w:val="18"/>
              </w:rPr>
            </w:pPr>
            <w:r w:rsidRPr="00545EC0">
              <w:rPr>
                <w:rFonts w:cs="Arial"/>
                <w:sz w:val="18"/>
                <w:szCs w:val="18"/>
              </w:rPr>
              <w:t>Drava</w:t>
            </w:r>
          </w:p>
        </w:tc>
        <w:tc>
          <w:tcPr>
            <w:tcW w:w="1269" w:type="dxa"/>
            <w:tcBorders>
              <w:top w:val="nil"/>
              <w:left w:val="nil"/>
              <w:bottom w:val="single" w:sz="4" w:space="0" w:color="auto"/>
              <w:right w:val="single" w:sz="4" w:space="0" w:color="auto"/>
            </w:tcBorders>
            <w:shd w:val="clear" w:color="auto" w:fill="auto"/>
            <w:noWrap/>
            <w:vAlign w:val="bottom"/>
            <w:hideMark/>
          </w:tcPr>
          <w:p w14:paraId="2DFCF6C3" w14:textId="77777777" w:rsidR="00BE42F5" w:rsidRPr="00545EC0" w:rsidRDefault="00BE42F5" w:rsidP="00BE42F5">
            <w:pPr>
              <w:spacing w:line="240" w:lineRule="auto"/>
              <w:jc w:val="right"/>
              <w:rPr>
                <w:rFonts w:cs="Arial"/>
                <w:sz w:val="18"/>
                <w:szCs w:val="18"/>
              </w:rPr>
            </w:pPr>
            <w:r w:rsidRPr="00545EC0">
              <w:rPr>
                <w:rFonts w:cs="Arial"/>
                <w:sz w:val="18"/>
                <w:szCs w:val="18"/>
              </w:rPr>
              <w:t>1</w:t>
            </w:r>
          </w:p>
        </w:tc>
        <w:tc>
          <w:tcPr>
            <w:tcW w:w="1270" w:type="dxa"/>
            <w:tcBorders>
              <w:top w:val="nil"/>
              <w:left w:val="nil"/>
              <w:bottom w:val="single" w:sz="4" w:space="0" w:color="auto"/>
              <w:right w:val="single" w:sz="4" w:space="0" w:color="auto"/>
            </w:tcBorders>
            <w:shd w:val="clear" w:color="auto" w:fill="auto"/>
            <w:noWrap/>
            <w:vAlign w:val="bottom"/>
            <w:hideMark/>
          </w:tcPr>
          <w:p w14:paraId="5C936583" w14:textId="77777777" w:rsidR="00BE42F5" w:rsidRPr="00545EC0" w:rsidRDefault="00BE42F5" w:rsidP="00BE42F5">
            <w:pPr>
              <w:spacing w:line="240" w:lineRule="auto"/>
              <w:jc w:val="right"/>
              <w:rPr>
                <w:rFonts w:cs="Arial"/>
                <w:sz w:val="18"/>
                <w:szCs w:val="18"/>
              </w:rPr>
            </w:pPr>
            <w:r w:rsidRPr="00545EC0">
              <w:rPr>
                <w:rFonts w:cs="Arial"/>
                <w:sz w:val="18"/>
                <w:szCs w:val="18"/>
              </w:rPr>
              <w:t>5</w:t>
            </w:r>
          </w:p>
        </w:tc>
        <w:tc>
          <w:tcPr>
            <w:tcW w:w="1411" w:type="dxa"/>
            <w:tcBorders>
              <w:top w:val="nil"/>
              <w:left w:val="nil"/>
              <w:bottom w:val="single" w:sz="4" w:space="0" w:color="auto"/>
              <w:right w:val="single" w:sz="4" w:space="0" w:color="auto"/>
            </w:tcBorders>
            <w:shd w:val="clear" w:color="auto" w:fill="auto"/>
            <w:noWrap/>
            <w:vAlign w:val="bottom"/>
            <w:hideMark/>
          </w:tcPr>
          <w:p w14:paraId="1DAA4828"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r>
      <w:tr w:rsidR="003122F4" w:rsidRPr="00545EC0" w14:paraId="260FA6CD" w14:textId="77777777" w:rsidTr="00BE42F5">
        <w:trPr>
          <w:trHeight w:val="227"/>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7115B0C9" w14:textId="77777777" w:rsidR="00BE42F5" w:rsidRPr="00545EC0" w:rsidRDefault="00BE42F5" w:rsidP="00BE42F5">
            <w:pPr>
              <w:spacing w:line="240" w:lineRule="auto"/>
              <w:rPr>
                <w:rFonts w:cs="Arial"/>
                <w:sz w:val="18"/>
                <w:szCs w:val="18"/>
              </w:rPr>
            </w:pPr>
            <w:r w:rsidRPr="00545EC0">
              <w:rPr>
                <w:rFonts w:cs="Arial"/>
                <w:sz w:val="18"/>
                <w:szCs w:val="18"/>
              </w:rPr>
              <w:t>SI3VT5171</w:t>
            </w:r>
          </w:p>
        </w:tc>
        <w:tc>
          <w:tcPr>
            <w:tcW w:w="3280" w:type="dxa"/>
            <w:tcBorders>
              <w:top w:val="nil"/>
              <w:left w:val="nil"/>
              <w:bottom w:val="single" w:sz="4" w:space="0" w:color="auto"/>
              <w:right w:val="single" w:sz="4" w:space="0" w:color="auto"/>
            </w:tcBorders>
            <w:shd w:val="clear" w:color="auto" w:fill="auto"/>
            <w:noWrap/>
            <w:vAlign w:val="bottom"/>
            <w:hideMark/>
          </w:tcPr>
          <w:p w14:paraId="682BF4C5" w14:textId="77777777" w:rsidR="00BE42F5" w:rsidRPr="00545EC0" w:rsidRDefault="00BE42F5" w:rsidP="00BE42F5">
            <w:pPr>
              <w:spacing w:line="240" w:lineRule="auto"/>
              <w:rPr>
                <w:rFonts w:cs="Arial"/>
                <w:sz w:val="18"/>
                <w:szCs w:val="18"/>
              </w:rPr>
            </w:pPr>
            <w:r w:rsidRPr="00545EC0">
              <w:rPr>
                <w:rFonts w:cs="Arial"/>
                <w:sz w:val="18"/>
                <w:szCs w:val="18"/>
              </w:rPr>
              <w:t>VT Drava Maribor - Ptuj</w:t>
            </w:r>
          </w:p>
        </w:tc>
        <w:tc>
          <w:tcPr>
            <w:tcW w:w="801" w:type="dxa"/>
            <w:vMerge/>
            <w:tcBorders>
              <w:top w:val="nil"/>
              <w:left w:val="single" w:sz="4" w:space="0" w:color="auto"/>
              <w:bottom w:val="single" w:sz="4" w:space="0" w:color="000000"/>
              <w:right w:val="single" w:sz="4" w:space="0" w:color="auto"/>
            </w:tcBorders>
            <w:vAlign w:val="center"/>
            <w:hideMark/>
          </w:tcPr>
          <w:p w14:paraId="795A1D07" w14:textId="77777777" w:rsidR="00BE42F5" w:rsidRPr="00545EC0" w:rsidRDefault="00BE42F5" w:rsidP="00BE42F5">
            <w:pPr>
              <w:spacing w:line="240" w:lineRule="auto"/>
              <w:rPr>
                <w:rFonts w:cs="Arial"/>
                <w:sz w:val="18"/>
                <w:szCs w:val="18"/>
              </w:rPr>
            </w:pPr>
          </w:p>
        </w:tc>
        <w:tc>
          <w:tcPr>
            <w:tcW w:w="1269" w:type="dxa"/>
            <w:tcBorders>
              <w:top w:val="nil"/>
              <w:left w:val="nil"/>
              <w:bottom w:val="single" w:sz="4" w:space="0" w:color="auto"/>
              <w:right w:val="single" w:sz="4" w:space="0" w:color="auto"/>
            </w:tcBorders>
            <w:shd w:val="clear" w:color="auto" w:fill="auto"/>
            <w:noWrap/>
            <w:vAlign w:val="bottom"/>
            <w:hideMark/>
          </w:tcPr>
          <w:p w14:paraId="1118923A"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c>
          <w:tcPr>
            <w:tcW w:w="1270" w:type="dxa"/>
            <w:tcBorders>
              <w:top w:val="nil"/>
              <w:left w:val="nil"/>
              <w:bottom w:val="single" w:sz="4" w:space="0" w:color="auto"/>
              <w:right w:val="single" w:sz="4" w:space="0" w:color="auto"/>
            </w:tcBorders>
            <w:shd w:val="clear" w:color="auto" w:fill="auto"/>
            <w:noWrap/>
            <w:vAlign w:val="bottom"/>
            <w:hideMark/>
          </w:tcPr>
          <w:p w14:paraId="76AE7822" w14:textId="77777777" w:rsidR="00BE42F5" w:rsidRPr="00545EC0" w:rsidRDefault="00BE42F5" w:rsidP="00BE42F5">
            <w:pPr>
              <w:spacing w:line="240" w:lineRule="auto"/>
              <w:jc w:val="right"/>
              <w:rPr>
                <w:rFonts w:cs="Arial"/>
                <w:sz w:val="18"/>
                <w:szCs w:val="18"/>
              </w:rPr>
            </w:pPr>
            <w:r w:rsidRPr="00545EC0">
              <w:rPr>
                <w:rFonts w:cs="Arial"/>
                <w:sz w:val="18"/>
                <w:szCs w:val="18"/>
              </w:rPr>
              <w:t>1</w:t>
            </w:r>
          </w:p>
        </w:tc>
        <w:tc>
          <w:tcPr>
            <w:tcW w:w="1411" w:type="dxa"/>
            <w:tcBorders>
              <w:top w:val="nil"/>
              <w:left w:val="nil"/>
              <w:bottom w:val="single" w:sz="4" w:space="0" w:color="auto"/>
              <w:right w:val="single" w:sz="4" w:space="0" w:color="auto"/>
            </w:tcBorders>
            <w:shd w:val="clear" w:color="auto" w:fill="auto"/>
            <w:noWrap/>
            <w:vAlign w:val="bottom"/>
            <w:hideMark/>
          </w:tcPr>
          <w:p w14:paraId="1E43B1FB"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r>
      <w:tr w:rsidR="003122F4" w:rsidRPr="00545EC0" w14:paraId="75D7ABE2" w14:textId="77777777" w:rsidTr="00BE42F5">
        <w:trPr>
          <w:trHeight w:val="227"/>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417EDE4A" w14:textId="77777777" w:rsidR="00BE42F5" w:rsidRPr="00545EC0" w:rsidRDefault="00BE42F5" w:rsidP="00BE42F5">
            <w:pPr>
              <w:spacing w:line="240" w:lineRule="auto"/>
              <w:rPr>
                <w:rFonts w:cs="Arial"/>
                <w:sz w:val="18"/>
                <w:szCs w:val="18"/>
              </w:rPr>
            </w:pPr>
            <w:r w:rsidRPr="00545EC0">
              <w:rPr>
                <w:rFonts w:cs="Arial"/>
                <w:sz w:val="18"/>
                <w:szCs w:val="18"/>
              </w:rPr>
              <w:t>SI35172VT</w:t>
            </w:r>
          </w:p>
        </w:tc>
        <w:tc>
          <w:tcPr>
            <w:tcW w:w="3280" w:type="dxa"/>
            <w:tcBorders>
              <w:top w:val="nil"/>
              <w:left w:val="nil"/>
              <w:bottom w:val="single" w:sz="4" w:space="0" w:color="auto"/>
              <w:right w:val="single" w:sz="4" w:space="0" w:color="auto"/>
            </w:tcBorders>
            <w:shd w:val="clear" w:color="auto" w:fill="auto"/>
            <w:noWrap/>
            <w:vAlign w:val="bottom"/>
            <w:hideMark/>
          </w:tcPr>
          <w:p w14:paraId="3B22923A" w14:textId="77777777" w:rsidR="00BE42F5" w:rsidRPr="00545EC0" w:rsidRDefault="00BE42F5" w:rsidP="00BE42F5">
            <w:pPr>
              <w:spacing w:line="240" w:lineRule="auto"/>
              <w:rPr>
                <w:rFonts w:cs="Arial"/>
                <w:sz w:val="18"/>
                <w:szCs w:val="18"/>
              </w:rPr>
            </w:pPr>
            <w:r w:rsidRPr="00545EC0">
              <w:rPr>
                <w:rFonts w:cs="Arial"/>
                <w:sz w:val="18"/>
                <w:szCs w:val="18"/>
              </w:rPr>
              <w:t>UVT Kanal HE Zlatoličje</w:t>
            </w:r>
          </w:p>
        </w:tc>
        <w:tc>
          <w:tcPr>
            <w:tcW w:w="801" w:type="dxa"/>
            <w:vMerge/>
            <w:tcBorders>
              <w:top w:val="nil"/>
              <w:left w:val="single" w:sz="4" w:space="0" w:color="auto"/>
              <w:bottom w:val="single" w:sz="4" w:space="0" w:color="000000"/>
              <w:right w:val="single" w:sz="4" w:space="0" w:color="auto"/>
            </w:tcBorders>
            <w:vAlign w:val="center"/>
            <w:hideMark/>
          </w:tcPr>
          <w:p w14:paraId="385090A4" w14:textId="77777777" w:rsidR="00BE42F5" w:rsidRPr="00545EC0" w:rsidRDefault="00BE42F5" w:rsidP="00BE42F5">
            <w:pPr>
              <w:spacing w:line="240" w:lineRule="auto"/>
              <w:rPr>
                <w:rFonts w:cs="Arial"/>
                <w:sz w:val="18"/>
                <w:szCs w:val="18"/>
              </w:rPr>
            </w:pPr>
          </w:p>
        </w:tc>
        <w:tc>
          <w:tcPr>
            <w:tcW w:w="1269" w:type="dxa"/>
            <w:tcBorders>
              <w:top w:val="nil"/>
              <w:left w:val="nil"/>
              <w:bottom w:val="single" w:sz="4" w:space="0" w:color="auto"/>
              <w:right w:val="single" w:sz="4" w:space="0" w:color="auto"/>
            </w:tcBorders>
            <w:shd w:val="clear" w:color="auto" w:fill="auto"/>
            <w:noWrap/>
            <w:vAlign w:val="bottom"/>
            <w:hideMark/>
          </w:tcPr>
          <w:p w14:paraId="05C9A7B1"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c>
          <w:tcPr>
            <w:tcW w:w="1270" w:type="dxa"/>
            <w:tcBorders>
              <w:top w:val="nil"/>
              <w:left w:val="nil"/>
              <w:bottom w:val="single" w:sz="4" w:space="0" w:color="auto"/>
              <w:right w:val="single" w:sz="4" w:space="0" w:color="auto"/>
            </w:tcBorders>
            <w:shd w:val="clear" w:color="auto" w:fill="auto"/>
            <w:noWrap/>
            <w:vAlign w:val="bottom"/>
            <w:hideMark/>
          </w:tcPr>
          <w:p w14:paraId="2432E90D" w14:textId="77777777" w:rsidR="00BE42F5" w:rsidRPr="00545EC0" w:rsidRDefault="00BE42F5" w:rsidP="00BE42F5">
            <w:pPr>
              <w:spacing w:line="240" w:lineRule="auto"/>
              <w:jc w:val="right"/>
              <w:rPr>
                <w:rFonts w:cs="Arial"/>
                <w:sz w:val="18"/>
                <w:szCs w:val="18"/>
              </w:rPr>
            </w:pPr>
            <w:r w:rsidRPr="00545EC0">
              <w:rPr>
                <w:rFonts w:cs="Arial"/>
                <w:sz w:val="18"/>
                <w:szCs w:val="18"/>
              </w:rPr>
              <w:t>1</w:t>
            </w:r>
          </w:p>
        </w:tc>
        <w:tc>
          <w:tcPr>
            <w:tcW w:w="1411" w:type="dxa"/>
            <w:tcBorders>
              <w:top w:val="nil"/>
              <w:left w:val="nil"/>
              <w:bottom w:val="single" w:sz="4" w:space="0" w:color="auto"/>
              <w:right w:val="single" w:sz="4" w:space="0" w:color="auto"/>
            </w:tcBorders>
            <w:shd w:val="clear" w:color="auto" w:fill="auto"/>
            <w:noWrap/>
            <w:vAlign w:val="bottom"/>
            <w:hideMark/>
          </w:tcPr>
          <w:p w14:paraId="50235098"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r>
      <w:tr w:rsidR="003122F4" w:rsidRPr="00545EC0" w14:paraId="1692D338" w14:textId="77777777" w:rsidTr="00BE42F5">
        <w:trPr>
          <w:trHeight w:val="227"/>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6DEA070B" w14:textId="77777777" w:rsidR="00BE42F5" w:rsidRPr="00545EC0" w:rsidRDefault="00BE42F5" w:rsidP="00BE42F5">
            <w:pPr>
              <w:spacing w:line="240" w:lineRule="auto"/>
              <w:rPr>
                <w:rFonts w:cs="Arial"/>
                <w:sz w:val="18"/>
                <w:szCs w:val="18"/>
              </w:rPr>
            </w:pPr>
            <w:r w:rsidRPr="00545EC0">
              <w:rPr>
                <w:rFonts w:cs="Arial"/>
                <w:sz w:val="18"/>
                <w:szCs w:val="18"/>
              </w:rPr>
              <w:t>SI3VT5172</w:t>
            </w:r>
          </w:p>
        </w:tc>
        <w:tc>
          <w:tcPr>
            <w:tcW w:w="3280" w:type="dxa"/>
            <w:tcBorders>
              <w:top w:val="nil"/>
              <w:left w:val="nil"/>
              <w:bottom w:val="single" w:sz="4" w:space="0" w:color="auto"/>
              <w:right w:val="single" w:sz="4" w:space="0" w:color="auto"/>
            </w:tcBorders>
            <w:shd w:val="clear" w:color="auto" w:fill="auto"/>
            <w:noWrap/>
            <w:vAlign w:val="bottom"/>
            <w:hideMark/>
          </w:tcPr>
          <w:p w14:paraId="461D1A45" w14:textId="77777777" w:rsidR="00BE42F5" w:rsidRPr="00545EC0" w:rsidRDefault="00BE42F5" w:rsidP="00BE42F5">
            <w:pPr>
              <w:spacing w:line="240" w:lineRule="auto"/>
              <w:rPr>
                <w:rFonts w:cs="Arial"/>
                <w:sz w:val="18"/>
                <w:szCs w:val="18"/>
              </w:rPr>
            </w:pPr>
            <w:r w:rsidRPr="00545EC0">
              <w:rPr>
                <w:rFonts w:cs="Arial"/>
                <w:sz w:val="18"/>
                <w:szCs w:val="18"/>
              </w:rPr>
              <w:t>MPVT zadrževalnik Ptujsko jezero</w:t>
            </w:r>
          </w:p>
        </w:tc>
        <w:tc>
          <w:tcPr>
            <w:tcW w:w="801" w:type="dxa"/>
            <w:vMerge/>
            <w:tcBorders>
              <w:top w:val="nil"/>
              <w:left w:val="single" w:sz="4" w:space="0" w:color="auto"/>
              <w:bottom w:val="single" w:sz="4" w:space="0" w:color="000000"/>
              <w:right w:val="single" w:sz="4" w:space="0" w:color="auto"/>
            </w:tcBorders>
            <w:vAlign w:val="center"/>
            <w:hideMark/>
          </w:tcPr>
          <w:p w14:paraId="6585AAD9" w14:textId="77777777" w:rsidR="00BE42F5" w:rsidRPr="00545EC0" w:rsidRDefault="00BE42F5" w:rsidP="00BE42F5">
            <w:pPr>
              <w:spacing w:line="240" w:lineRule="auto"/>
              <w:rPr>
                <w:rFonts w:cs="Arial"/>
                <w:sz w:val="18"/>
                <w:szCs w:val="18"/>
              </w:rPr>
            </w:pPr>
          </w:p>
        </w:tc>
        <w:tc>
          <w:tcPr>
            <w:tcW w:w="1269" w:type="dxa"/>
            <w:tcBorders>
              <w:top w:val="nil"/>
              <w:left w:val="nil"/>
              <w:bottom w:val="single" w:sz="4" w:space="0" w:color="auto"/>
              <w:right w:val="single" w:sz="4" w:space="0" w:color="auto"/>
            </w:tcBorders>
            <w:shd w:val="clear" w:color="auto" w:fill="auto"/>
            <w:noWrap/>
            <w:vAlign w:val="bottom"/>
            <w:hideMark/>
          </w:tcPr>
          <w:p w14:paraId="53F8223E"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c>
          <w:tcPr>
            <w:tcW w:w="1270" w:type="dxa"/>
            <w:tcBorders>
              <w:top w:val="nil"/>
              <w:left w:val="nil"/>
              <w:bottom w:val="single" w:sz="4" w:space="0" w:color="auto"/>
              <w:right w:val="single" w:sz="4" w:space="0" w:color="auto"/>
            </w:tcBorders>
            <w:shd w:val="clear" w:color="auto" w:fill="auto"/>
            <w:noWrap/>
            <w:vAlign w:val="bottom"/>
            <w:hideMark/>
          </w:tcPr>
          <w:p w14:paraId="71469570" w14:textId="77777777" w:rsidR="00BE42F5" w:rsidRPr="00545EC0" w:rsidRDefault="00BE42F5" w:rsidP="00BE42F5">
            <w:pPr>
              <w:spacing w:line="240" w:lineRule="auto"/>
              <w:jc w:val="right"/>
              <w:rPr>
                <w:rFonts w:cs="Arial"/>
                <w:sz w:val="18"/>
                <w:szCs w:val="18"/>
              </w:rPr>
            </w:pPr>
            <w:r w:rsidRPr="00545EC0">
              <w:rPr>
                <w:rFonts w:cs="Arial"/>
                <w:sz w:val="18"/>
                <w:szCs w:val="18"/>
              </w:rPr>
              <w:t>1</w:t>
            </w:r>
          </w:p>
        </w:tc>
        <w:tc>
          <w:tcPr>
            <w:tcW w:w="1411" w:type="dxa"/>
            <w:tcBorders>
              <w:top w:val="nil"/>
              <w:left w:val="nil"/>
              <w:bottom w:val="single" w:sz="4" w:space="0" w:color="auto"/>
              <w:right w:val="single" w:sz="4" w:space="0" w:color="auto"/>
            </w:tcBorders>
            <w:shd w:val="clear" w:color="auto" w:fill="auto"/>
            <w:noWrap/>
            <w:vAlign w:val="bottom"/>
            <w:hideMark/>
          </w:tcPr>
          <w:p w14:paraId="3BDFDFA0"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r>
      <w:tr w:rsidR="003122F4" w:rsidRPr="00545EC0" w14:paraId="65C24283" w14:textId="77777777" w:rsidTr="00BE42F5">
        <w:trPr>
          <w:trHeight w:val="227"/>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19BDD9DF" w14:textId="77777777" w:rsidR="00BE42F5" w:rsidRPr="00545EC0" w:rsidRDefault="00BE42F5" w:rsidP="00BE42F5">
            <w:pPr>
              <w:spacing w:line="240" w:lineRule="auto"/>
              <w:rPr>
                <w:rFonts w:cs="Arial"/>
                <w:sz w:val="18"/>
                <w:szCs w:val="18"/>
              </w:rPr>
            </w:pPr>
            <w:r w:rsidRPr="00545EC0">
              <w:rPr>
                <w:rFonts w:cs="Arial"/>
                <w:sz w:val="18"/>
                <w:szCs w:val="18"/>
              </w:rPr>
              <w:t>SI3VT930</w:t>
            </w:r>
          </w:p>
        </w:tc>
        <w:tc>
          <w:tcPr>
            <w:tcW w:w="3280" w:type="dxa"/>
            <w:tcBorders>
              <w:top w:val="nil"/>
              <w:left w:val="nil"/>
              <w:bottom w:val="single" w:sz="4" w:space="0" w:color="auto"/>
              <w:right w:val="single" w:sz="4" w:space="0" w:color="auto"/>
            </w:tcBorders>
            <w:shd w:val="clear" w:color="auto" w:fill="auto"/>
            <w:noWrap/>
            <w:vAlign w:val="bottom"/>
            <w:hideMark/>
          </w:tcPr>
          <w:p w14:paraId="235C0147" w14:textId="77777777" w:rsidR="00BE42F5" w:rsidRPr="00545EC0" w:rsidRDefault="00BE42F5" w:rsidP="00BE42F5">
            <w:pPr>
              <w:spacing w:line="240" w:lineRule="auto"/>
              <w:rPr>
                <w:rFonts w:cs="Arial"/>
                <w:sz w:val="18"/>
                <w:szCs w:val="18"/>
              </w:rPr>
            </w:pPr>
            <w:r w:rsidRPr="00545EC0">
              <w:rPr>
                <w:rFonts w:cs="Arial"/>
                <w:sz w:val="18"/>
                <w:szCs w:val="18"/>
              </w:rPr>
              <w:t>VT Drava Ptuj - Ormož</w:t>
            </w:r>
          </w:p>
        </w:tc>
        <w:tc>
          <w:tcPr>
            <w:tcW w:w="801" w:type="dxa"/>
            <w:vMerge/>
            <w:tcBorders>
              <w:top w:val="nil"/>
              <w:left w:val="single" w:sz="4" w:space="0" w:color="auto"/>
              <w:bottom w:val="single" w:sz="4" w:space="0" w:color="000000"/>
              <w:right w:val="single" w:sz="4" w:space="0" w:color="auto"/>
            </w:tcBorders>
            <w:vAlign w:val="center"/>
            <w:hideMark/>
          </w:tcPr>
          <w:p w14:paraId="1BA9BC4A" w14:textId="77777777" w:rsidR="00BE42F5" w:rsidRPr="00545EC0" w:rsidRDefault="00BE42F5" w:rsidP="00BE42F5">
            <w:pPr>
              <w:spacing w:line="240" w:lineRule="auto"/>
              <w:rPr>
                <w:rFonts w:cs="Arial"/>
                <w:sz w:val="18"/>
                <w:szCs w:val="18"/>
              </w:rPr>
            </w:pPr>
          </w:p>
        </w:tc>
        <w:tc>
          <w:tcPr>
            <w:tcW w:w="1269" w:type="dxa"/>
            <w:tcBorders>
              <w:top w:val="nil"/>
              <w:left w:val="nil"/>
              <w:bottom w:val="single" w:sz="4" w:space="0" w:color="auto"/>
              <w:right w:val="single" w:sz="4" w:space="0" w:color="auto"/>
            </w:tcBorders>
            <w:shd w:val="clear" w:color="auto" w:fill="auto"/>
            <w:noWrap/>
            <w:vAlign w:val="bottom"/>
            <w:hideMark/>
          </w:tcPr>
          <w:p w14:paraId="59A91EE6" w14:textId="77777777" w:rsidR="00BE42F5" w:rsidRPr="00545EC0" w:rsidRDefault="00BE42F5" w:rsidP="00BE42F5">
            <w:pPr>
              <w:spacing w:line="240" w:lineRule="auto"/>
              <w:jc w:val="right"/>
              <w:rPr>
                <w:rFonts w:cs="Arial"/>
                <w:sz w:val="18"/>
                <w:szCs w:val="18"/>
              </w:rPr>
            </w:pPr>
            <w:r w:rsidRPr="00545EC0">
              <w:rPr>
                <w:rFonts w:cs="Arial"/>
                <w:sz w:val="18"/>
                <w:szCs w:val="18"/>
              </w:rPr>
              <w:t>1</w:t>
            </w:r>
          </w:p>
        </w:tc>
        <w:tc>
          <w:tcPr>
            <w:tcW w:w="1270" w:type="dxa"/>
            <w:tcBorders>
              <w:top w:val="nil"/>
              <w:left w:val="nil"/>
              <w:bottom w:val="single" w:sz="4" w:space="0" w:color="auto"/>
              <w:right w:val="single" w:sz="4" w:space="0" w:color="auto"/>
            </w:tcBorders>
            <w:shd w:val="clear" w:color="auto" w:fill="auto"/>
            <w:noWrap/>
            <w:vAlign w:val="bottom"/>
            <w:hideMark/>
          </w:tcPr>
          <w:p w14:paraId="48134A5A"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c>
          <w:tcPr>
            <w:tcW w:w="1411" w:type="dxa"/>
            <w:tcBorders>
              <w:top w:val="nil"/>
              <w:left w:val="nil"/>
              <w:bottom w:val="single" w:sz="4" w:space="0" w:color="auto"/>
              <w:right w:val="single" w:sz="4" w:space="0" w:color="auto"/>
            </w:tcBorders>
            <w:shd w:val="clear" w:color="auto" w:fill="auto"/>
            <w:noWrap/>
            <w:vAlign w:val="bottom"/>
            <w:hideMark/>
          </w:tcPr>
          <w:p w14:paraId="27182EA5"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r>
      <w:tr w:rsidR="003122F4" w:rsidRPr="00545EC0" w14:paraId="22B46D46" w14:textId="77777777" w:rsidTr="00BE42F5">
        <w:trPr>
          <w:trHeight w:val="227"/>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687E7BDF" w14:textId="77777777" w:rsidR="00BE42F5" w:rsidRPr="00545EC0" w:rsidRDefault="00BE42F5" w:rsidP="00BE42F5">
            <w:pPr>
              <w:spacing w:line="240" w:lineRule="auto"/>
              <w:rPr>
                <w:rFonts w:cs="Arial"/>
                <w:sz w:val="18"/>
                <w:szCs w:val="18"/>
              </w:rPr>
            </w:pPr>
            <w:r w:rsidRPr="00545EC0">
              <w:rPr>
                <w:rFonts w:cs="Arial"/>
                <w:sz w:val="18"/>
                <w:szCs w:val="18"/>
              </w:rPr>
              <w:t>SI36VT90</w:t>
            </w:r>
          </w:p>
        </w:tc>
        <w:tc>
          <w:tcPr>
            <w:tcW w:w="3280" w:type="dxa"/>
            <w:tcBorders>
              <w:top w:val="nil"/>
              <w:left w:val="nil"/>
              <w:bottom w:val="single" w:sz="4" w:space="0" w:color="auto"/>
              <w:right w:val="single" w:sz="4" w:space="0" w:color="auto"/>
            </w:tcBorders>
            <w:shd w:val="clear" w:color="auto" w:fill="auto"/>
            <w:noWrap/>
            <w:vAlign w:val="bottom"/>
            <w:hideMark/>
          </w:tcPr>
          <w:p w14:paraId="57630382" w14:textId="77777777" w:rsidR="00BE42F5" w:rsidRPr="00545EC0" w:rsidRDefault="00BE42F5" w:rsidP="00BE42F5">
            <w:pPr>
              <w:spacing w:line="240" w:lineRule="auto"/>
              <w:rPr>
                <w:rFonts w:cs="Arial"/>
                <w:sz w:val="18"/>
                <w:szCs w:val="18"/>
              </w:rPr>
            </w:pPr>
            <w:r w:rsidRPr="00545EC0">
              <w:rPr>
                <w:rFonts w:cs="Arial"/>
                <w:sz w:val="18"/>
                <w:szCs w:val="18"/>
              </w:rPr>
              <w:t>VT Dravinja Zreče - Videm</w:t>
            </w:r>
          </w:p>
        </w:tc>
        <w:tc>
          <w:tcPr>
            <w:tcW w:w="801" w:type="dxa"/>
            <w:vMerge/>
            <w:tcBorders>
              <w:top w:val="nil"/>
              <w:left w:val="single" w:sz="4" w:space="0" w:color="auto"/>
              <w:bottom w:val="single" w:sz="4" w:space="0" w:color="000000"/>
              <w:right w:val="single" w:sz="4" w:space="0" w:color="auto"/>
            </w:tcBorders>
            <w:vAlign w:val="center"/>
            <w:hideMark/>
          </w:tcPr>
          <w:p w14:paraId="0C8A88D7" w14:textId="77777777" w:rsidR="00BE42F5" w:rsidRPr="00545EC0" w:rsidRDefault="00BE42F5" w:rsidP="00BE42F5">
            <w:pPr>
              <w:spacing w:line="240" w:lineRule="auto"/>
              <w:rPr>
                <w:rFonts w:cs="Arial"/>
                <w:sz w:val="18"/>
                <w:szCs w:val="18"/>
              </w:rPr>
            </w:pPr>
          </w:p>
        </w:tc>
        <w:tc>
          <w:tcPr>
            <w:tcW w:w="1269" w:type="dxa"/>
            <w:tcBorders>
              <w:top w:val="nil"/>
              <w:left w:val="nil"/>
              <w:bottom w:val="single" w:sz="4" w:space="0" w:color="auto"/>
              <w:right w:val="single" w:sz="4" w:space="0" w:color="auto"/>
            </w:tcBorders>
            <w:shd w:val="clear" w:color="auto" w:fill="auto"/>
            <w:noWrap/>
            <w:vAlign w:val="bottom"/>
            <w:hideMark/>
          </w:tcPr>
          <w:p w14:paraId="39B06830" w14:textId="77777777" w:rsidR="00BE42F5" w:rsidRPr="00545EC0" w:rsidRDefault="00BE42F5" w:rsidP="00BE42F5">
            <w:pPr>
              <w:spacing w:line="240" w:lineRule="auto"/>
              <w:jc w:val="right"/>
              <w:rPr>
                <w:rFonts w:cs="Arial"/>
                <w:sz w:val="18"/>
                <w:szCs w:val="18"/>
              </w:rPr>
            </w:pPr>
            <w:r w:rsidRPr="00545EC0">
              <w:rPr>
                <w:rFonts w:cs="Arial"/>
                <w:sz w:val="18"/>
                <w:szCs w:val="18"/>
              </w:rPr>
              <w:t>17</w:t>
            </w:r>
          </w:p>
        </w:tc>
        <w:tc>
          <w:tcPr>
            <w:tcW w:w="1270" w:type="dxa"/>
            <w:tcBorders>
              <w:top w:val="nil"/>
              <w:left w:val="nil"/>
              <w:bottom w:val="single" w:sz="4" w:space="0" w:color="auto"/>
              <w:right w:val="single" w:sz="4" w:space="0" w:color="auto"/>
            </w:tcBorders>
            <w:shd w:val="clear" w:color="auto" w:fill="auto"/>
            <w:noWrap/>
            <w:vAlign w:val="bottom"/>
            <w:hideMark/>
          </w:tcPr>
          <w:p w14:paraId="3F99C93D" w14:textId="77777777" w:rsidR="00BE42F5" w:rsidRPr="00545EC0" w:rsidRDefault="00BE42F5" w:rsidP="00BE42F5">
            <w:pPr>
              <w:spacing w:line="240" w:lineRule="auto"/>
              <w:jc w:val="right"/>
              <w:rPr>
                <w:rFonts w:cs="Arial"/>
                <w:sz w:val="18"/>
                <w:szCs w:val="18"/>
              </w:rPr>
            </w:pPr>
            <w:r w:rsidRPr="00545EC0">
              <w:rPr>
                <w:rFonts w:cs="Arial"/>
                <w:sz w:val="18"/>
                <w:szCs w:val="18"/>
              </w:rPr>
              <w:t>8</w:t>
            </w:r>
          </w:p>
        </w:tc>
        <w:tc>
          <w:tcPr>
            <w:tcW w:w="1411" w:type="dxa"/>
            <w:tcBorders>
              <w:top w:val="nil"/>
              <w:left w:val="nil"/>
              <w:bottom w:val="single" w:sz="4" w:space="0" w:color="auto"/>
              <w:right w:val="single" w:sz="4" w:space="0" w:color="auto"/>
            </w:tcBorders>
            <w:shd w:val="clear" w:color="auto" w:fill="auto"/>
            <w:noWrap/>
            <w:vAlign w:val="bottom"/>
            <w:hideMark/>
          </w:tcPr>
          <w:p w14:paraId="09C9EDCC"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r>
      <w:tr w:rsidR="003122F4" w:rsidRPr="00545EC0" w14:paraId="2B8D7602" w14:textId="77777777" w:rsidTr="00BE42F5">
        <w:trPr>
          <w:trHeight w:val="227"/>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7ED0D8D0" w14:textId="77777777" w:rsidR="00BE42F5" w:rsidRPr="00545EC0" w:rsidRDefault="00BE42F5" w:rsidP="00BE42F5">
            <w:pPr>
              <w:spacing w:line="240" w:lineRule="auto"/>
              <w:rPr>
                <w:rFonts w:cs="Arial"/>
                <w:sz w:val="18"/>
                <w:szCs w:val="18"/>
              </w:rPr>
            </w:pPr>
            <w:r w:rsidRPr="00545EC0">
              <w:rPr>
                <w:rFonts w:cs="Arial"/>
                <w:sz w:val="18"/>
                <w:szCs w:val="18"/>
              </w:rPr>
              <w:t>SI378VT</w:t>
            </w:r>
          </w:p>
        </w:tc>
        <w:tc>
          <w:tcPr>
            <w:tcW w:w="3280" w:type="dxa"/>
            <w:tcBorders>
              <w:top w:val="nil"/>
              <w:left w:val="nil"/>
              <w:bottom w:val="single" w:sz="4" w:space="0" w:color="auto"/>
              <w:right w:val="single" w:sz="4" w:space="0" w:color="auto"/>
            </w:tcBorders>
            <w:shd w:val="clear" w:color="auto" w:fill="auto"/>
            <w:noWrap/>
            <w:vAlign w:val="bottom"/>
            <w:hideMark/>
          </w:tcPr>
          <w:p w14:paraId="2D1AA138" w14:textId="77777777" w:rsidR="00BE42F5" w:rsidRPr="00545EC0" w:rsidRDefault="00BE42F5" w:rsidP="00BE42F5">
            <w:pPr>
              <w:spacing w:line="240" w:lineRule="auto"/>
              <w:rPr>
                <w:rFonts w:cs="Arial"/>
                <w:sz w:val="18"/>
                <w:szCs w:val="18"/>
              </w:rPr>
            </w:pPr>
            <w:r w:rsidRPr="00545EC0">
              <w:rPr>
                <w:rFonts w:cs="Arial"/>
                <w:sz w:val="18"/>
                <w:szCs w:val="18"/>
              </w:rPr>
              <w:t>UVT Kanal HE Formin</w:t>
            </w:r>
          </w:p>
        </w:tc>
        <w:tc>
          <w:tcPr>
            <w:tcW w:w="801" w:type="dxa"/>
            <w:vMerge/>
            <w:tcBorders>
              <w:top w:val="nil"/>
              <w:left w:val="single" w:sz="4" w:space="0" w:color="auto"/>
              <w:bottom w:val="single" w:sz="4" w:space="0" w:color="000000"/>
              <w:right w:val="single" w:sz="4" w:space="0" w:color="auto"/>
            </w:tcBorders>
            <w:vAlign w:val="center"/>
            <w:hideMark/>
          </w:tcPr>
          <w:p w14:paraId="71A7AC58" w14:textId="77777777" w:rsidR="00BE42F5" w:rsidRPr="00545EC0" w:rsidRDefault="00BE42F5" w:rsidP="00BE42F5">
            <w:pPr>
              <w:spacing w:line="240" w:lineRule="auto"/>
              <w:rPr>
                <w:rFonts w:cs="Arial"/>
                <w:sz w:val="18"/>
                <w:szCs w:val="18"/>
              </w:rPr>
            </w:pPr>
          </w:p>
        </w:tc>
        <w:tc>
          <w:tcPr>
            <w:tcW w:w="1269" w:type="dxa"/>
            <w:tcBorders>
              <w:top w:val="nil"/>
              <w:left w:val="nil"/>
              <w:bottom w:val="single" w:sz="4" w:space="0" w:color="auto"/>
              <w:right w:val="single" w:sz="4" w:space="0" w:color="auto"/>
            </w:tcBorders>
            <w:shd w:val="clear" w:color="auto" w:fill="auto"/>
            <w:noWrap/>
            <w:vAlign w:val="bottom"/>
            <w:hideMark/>
          </w:tcPr>
          <w:p w14:paraId="488BA55A"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c>
          <w:tcPr>
            <w:tcW w:w="1270" w:type="dxa"/>
            <w:tcBorders>
              <w:top w:val="nil"/>
              <w:left w:val="nil"/>
              <w:bottom w:val="single" w:sz="4" w:space="0" w:color="auto"/>
              <w:right w:val="single" w:sz="4" w:space="0" w:color="auto"/>
            </w:tcBorders>
            <w:shd w:val="clear" w:color="auto" w:fill="auto"/>
            <w:noWrap/>
            <w:vAlign w:val="bottom"/>
            <w:hideMark/>
          </w:tcPr>
          <w:p w14:paraId="3053516D" w14:textId="77777777" w:rsidR="00BE42F5" w:rsidRPr="00545EC0" w:rsidRDefault="00BE42F5" w:rsidP="00BE42F5">
            <w:pPr>
              <w:spacing w:line="240" w:lineRule="auto"/>
              <w:jc w:val="right"/>
              <w:rPr>
                <w:rFonts w:cs="Arial"/>
                <w:sz w:val="18"/>
                <w:szCs w:val="18"/>
              </w:rPr>
            </w:pPr>
            <w:r w:rsidRPr="00545EC0">
              <w:rPr>
                <w:rFonts w:cs="Arial"/>
                <w:sz w:val="18"/>
                <w:szCs w:val="18"/>
              </w:rPr>
              <w:t>1</w:t>
            </w:r>
          </w:p>
        </w:tc>
        <w:tc>
          <w:tcPr>
            <w:tcW w:w="1411" w:type="dxa"/>
            <w:tcBorders>
              <w:top w:val="nil"/>
              <w:left w:val="nil"/>
              <w:bottom w:val="single" w:sz="4" w:space="0" w:color="auto"/>
              <w:right w:val="single" w:sz="4" w:space="0" w:color="auto"/>
            </w:tcBorders>
            <w:shd w:val="clear" w:color="auto" w:fill="auto"/>
            <w:noWrap/>
            <w:vAlign w:val="bottom"/>
            <w:hideMark/>
          </w:tcPr>
          <w:p w14:paraId="07679360"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r>
      <w:tr w:rsidR="003122F4" w:rsidRPr="00545EC0" w14:paraId="77DAE0B1" w14:textId="77777777" w:rsidTr="00BE42F5">
        <w:trPr>
          <w:trHeight w:val="227"/>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6CF5040A" w14:textId="77777777" w:rsidR="00BE42F5" w:rsidRPr="00545EC0" w:rsidRDefault="00BE42F5" w:rsidP="00BE42F5">
            <w:pPr>
              <w:spacing w:line="240" w:lineRule="auto"/>
              <w:rPr>
                <w:rFonts w:cs="Arial"/>
                <w:sz w:val="18"/>
                <w:szCs w:val="18"/>
              </w:rPr>
            </w:pPr>
            <w:r w:rsidRPr="00545EC0">
              <w:rPr>
                <w:rFonts w:cs="Arial"/>
                <w:sz w:val="18"/>
                <w:szCs w:val="18"/>
              </w:rPr>
              <w:t>SI43VT10</w:t>
            </w:r>
          </w:p>
        </w:tc>
        <w:tc>
          <w:tcPr>
            <w:tcW w:w="3280" w:type="dxa"/>
            <w:tcBorders>
              <w:top w:val="nil"/>
              <w:left w:val="nil"/>
              <w:bottom w:val="single" w:sz="4" w:space="0" w:color="auto"/>
              <w:right w:val="single" w:sz="4" w:space="0" w:color="auto"/>
            </w:tcBorders>
            <w:shd w:val="clear" w:color="auto" w:fill="auto"/>
            <w:noWrap/>
            <w:vAlign w:val="bottom"/>
            <w:hideMark/>
          </w:tcPr>
          <w:p w14:paraId="0EA8E142" w14:textId="77777777" w:rsidR="00BE42F5" w:rsidRPr="00545EC0" w:rsidRDefault="00BE42F5" w:rsidP="00BE42F5">
            <w:pPr>
              <w:spacing w:line="240" w:lineRule="auto"/>
              <w:rPr>
                <w:rFonts w:cs="Arial"/>
                <w:sz w:val="18"/>
                <w:szCs w:val="18"/>
              </w:rPr>
            </w:pPr>
            <w:r w:rsidRPr="00545EC0">
              <w:rPr>
                <w:rFonts w:cs="Arial"/>
                <w:sz w:val="18"/>
                <w:szCs w:val="18"/>
              </w:rPr>
              <w:t>VT Mura Ceršak - Petanjci</w:t>
            </w:r>
          </w:p>
        </w:tc>
        <w:tc>
          <w:tcPr>
            <w:tcW w:w="80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FD64A8F" w14:textId="77777777" w:rsidR="00BE42F5" w:rsidRPr="00545EC0" w:rsidRDefault="00BE42F5" w:rsidP="00BE42F5">
            <w:pPr>
              <w:spacing w:line="240" w:lineRule="auto"/>
              <w:jc w:val="center"/>
              <w:rPr>
                <w:rFonts w:cs="Arial"/>
                <w:sz w:val="18"/>
                <w:szCs w:val="18"/>
              </w:rPr>
            </w:pPr>
            <w:r w:rsidRPr="00545EC0">
              <w:rPr>
                <w:rFonts w:cs="Arial"/>
                <w:sz w:val="18"/>
                <w:szCs w:val="18"/>
              </w:rPr>
              <w:t>Mura</w:t>
            </w:r>
          </w:p>
        </w:tc>
        <w:tc>
          <w:tcPr>
            <w:tcW w:w="1269" w:type="dxa"/>
            <w:tcBorders>
              <w:top w:val="nil"/>
              <w:left w:val="nil"/>
              <w:bottom w:val="single" w:sz="4" w:space="0" w:color="auto"/>
              <w:right w:val="single" w:sz="4" w:space="0" w:color="auto"/>
            </w:tcBorders>
            <w:shd w:val="clear" w:color="auto" w:fill="auto"/>
            <w:noWrap/>
            <w:vAlign w:val="bottom"/>
            <w:hideMark/>
          </w:tcPr>
          <w:p w14:paraId="5AF748E2" w14:textId="77777777" w:rsidR="00BE42F5" w:rsidRPr="00545EC0" w:rsidRDefault="00BE42F5" w:rsidP="00BE42F5">
            <w:pPr>
              <w:spacing w:line="240" w:lineRule="auto"/>
              <w:jc w:val="right"/>
              <w:rPr>
                <w:rFonts w:cs="Arial"/>
                <w:sz w:val="18"/>
                <w:szCs w:val="18"/>
              </w:rPr>
            </w:pPr>
            <w:r w:rsidRPr="00545EC0">
              <w:rPr>
                <w:rFonts w:cs="Arial"/>
                <w:sz w:val="18"/>
                <w:szCs w:val="18"/>
              </w:rPr>
              <w:t>4</w:t>
            </w:r>
          </w:p>
        </w:tc>
        <w:tc>
          <w:tcPr>
            <w:tcW w:w="1270" w:type="dxa"/>
            <w:tcBorders>
              <w:top w:val="nil"/>
              <w:left w:val="nil"/>
              <w:bottom w:val="single" w:sz="4" w:space="0" w:color="auto"/>
              <w:right w:val="single" w:sz="4" w:space="0" w:color="auto"/>
            </w:tcBorders>
            <w:shd w:val="clear" w:color="auto" w:fill="auto"/>
            <w:noWrap/>
            <w:vAlign w:val="bottom"/>
            <w:hideMark/>
          </w:tcPr>
          <w:p w14:paraId="5BB3E662" w14:textId="77777777" w:rsidR="00BE42F5" w:rsidRPr="00545EC0" w:rsidRDefault="00BE42F5" w:rsidP="00BE42F5">
            <w:pPr>
              <w:spacing w:line="240" w:lineRule="auto"/>
              <w:jc w:val="right"/>
              <w:rPr>
                <w:rFonts w:cs="Arial"/>
                <w:sz w:val="18"/>
                <w:szCs w:val="18"/>
              </w:rPr>
            </w:pPr>
            <w:r w:rsidRPr="00545EC0">
              <w:rPr>
                <w:rFonts w:cs="Arial"/>
                <w:sz w:val="18"/>
                <w:szCs w:val="18"/>
              </w:rPr>
              <w:t>1</w:t>
            </w:r>
          </w:p>
        </w:tc>
        <w:tc>
          <w:tcPr>
            <w:tcW w:w="1411" w:type="dxa"/>
            <w:tcBorders>
              <w:top w:val="nil"/>
              <w:left w:val="nil"/>
              <w:bottom w:val="single" w:sz="4" w:space="0" w:color="auto"/>
              <w:right w:val="single" w:sz="4" w:space="0" w:color="auto"/>
            </w:tcBorders>
            <w:shd w:val="clear" w:color="auto" w:fill="auto"/>
            <w:noWrap/>
            <w:vAlign w:val="bottom"/>
            <w:hideMark/>
          </w:tcPr>
          <w:p w14:paraId="1F9A271A"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r>
      <w:tr w:rsidR="003122F4" w:rsidRPr="00545EC0" w14:paraId="0ADB763E" w14:textId="77777777" w:rsidTr="00BE42F5">
        <w:trPr>
          <w:trHeight w:val="227"/>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22EAD4BF" w14:textId="77777777" w:rsidR="00BE42F5" w:rsidRPr="00545EC0" w:rsidRDefault="00BE42F5" w:rsidP="00BE42F5">
            <w:pPr>
              <w:spacing w:line="240" w:lineRule="auto"/>
              <w:rPr>
                <w:rFonts w:cs="Arial"/>
                <w:sz w:val="18"/>
                <w:szCs w:val="18"/>
              </w:rPr>
            </w:pPr>
            <w:r w:rsidRPr="00545EC0">
              <w:rPr>
                <w:rFonts w:cs="Arial"/>
                <w:sz w:val="18"/>
                <w:szCs w:val="18"/>
              </w:rPr>
              <w:t>SI43VT30</w:t>
            </w:r>
          </w:p>
        </w:tc>
        <w:tc>
          <w:tcPr>
            <w:tcW w:w="3280" w:type="dxa"/>
            <w:tcBorders>
              <w:top w:val="nil"/>
              <w:left w:val="nil"/>
              <w:bottom w:val="single" w:sz="4" w:space="0" w:color="auto"/>
              <w:right w:val="single" w:sz="4" w:space="0" w:color="auto"/>
            </w:tcBorders>
            <w:shd w:val="clear" w:color="auto" w:fill="auto"/>
            <w:noWrap/>
            <w:vAlign w:val="bottom"/>
            <w:hideMark/>
          </w:tcPr>
          <w:p w14:paraId="25F07330" w14:textId="77777777" w:rsidR="00BE42F5" w:rsidRPr="00545EC0" w:rsidRDefault="00BE42F5" w:rsidP="00BE42F5">
            <w:pPr>
              <w:spacing w:line="240" w:lineRule="auto"/>
              <w:rPr>
                <w:rFonts w:cs="Arial"/>
                <w:sz w:val="18"/>
                <w:szCs w:val="18"/>
              </w:rPr>
            </w:pPr>
            <w:r w:rsidRPr="00545EC0">
              <w:rPr>
                <w:rFonts w:cs="Arial"/>
                <w:sz w:val="18"/>
                <w:szCs w:val="18"/>
              </w:rPr>
              <w:t>VT Kučnica Mura Petanjci - Gibina</w:t>
            </w:r>
          </w:p>
        </w:tc>
        <w:tc>
          <w:tcPr>
            <w:tcW w:w="801" w:type="dxa"/>
            <w:vMerge/>
            <w:tcBorders>
              <w:top w:val="nil"/>
              <w:left w:val="single" w:sz="4" w:space="0" w:color="auto"/>
              <w:bottom w:val="single" w:sz="4" w:space="0" w:color="auto"/>
              <w:right w:val="single" w:sz="4" w:space="0" w:color="auto"/>
            </w:tcBorders>
            <w:vAlign w:val="center"/>
            <w:hideMark/>
          </w:tcPr>
          <w:p w14:paraId="147FBD13" w14:textId="77777777" w:rsidR="00BE42F5" w:rsidRPr="00545EC0" w:rsidRDefault="00BE42F5" w:rsidP="00BE42F5">
            <w:pPr>
              <w:spacing w:line="240" w:lineRule="auto"/>
              <w:rPr>
                <w:rFonts w:cs="Arial"/>
                <w:sz w:val="18"/>
                <w:szCs w:val="18"/>
              </w:rPr>
            </w:pPr>
          </w:p>
        </w:tc>
        <w:tc>
          <w:tcPr>
            <w:tcW w:w="1269" w:type="dxa"/>
            <w:tcBorders>
              <w:top w:val="nil"/>
              <w:left w:val="nil"/>
              <w:bottom w:val="single" w:sz="4" w:space="0" w:color="auto"/>
              <w:right w:val="single" w:sz="4" w:space="0" w:color="auto"/>
            </w:tcBorders>
            <w:shd w:val="clear" w:color="auto" w:fill="auto"/>
            <w:noWrap/>
            <w:vAlign w:val="bottom"/>
            <w:hideMark/>
          </w:tcPr>
          <w:p w14:paraId="03854411" w14:textId="77777777" w:rsidR="00BE42F5" w:rsidRPr="00545EC0" w:rsidRDefault="00BE42F5" w:rsidP="00BE42F5">
            <w:pPr>
              <w:spacing w:line="240" w:lineRule="auto"/>
              <w:jc w:val="right"/>
              <w:rPr>
                <w:rFonts w:cs="Arial"/>
                <w:sz w:val="18"/>
                <w:szCs w:val="18"/>
              </w:rPr>
            </w:pPr>
            <w:r w:rsidRPr="00545EC0">
              <w:rPr>
                <w:rFonts w:cs="Arial"/>
                <w:sz w:val="18"/>
                <w:szCs w:val="18"/>
              </w:rPr>
              <w:t>2</w:t>
            </w:r>
          </w:p>
        </w:tc>
        <w:tc>
          <w:tcPr>
            <w:tcW w:w="1270" w:type="dxa"/>
            <w:tcBorders>
              <w:top w:val="nil"/>
              <w:left w:val="nil"/>
              <w:bottom w:val="single" w:sz="4" w:space="0" w:color="auto"/>
              <w:right w:val="single" w:sz="4" w:space="0" w:color="auto"/>
            </w:tcBorders>
            <w:shd w:val="clear" w:color="auto" w:fill="auto"/>
            <w:noWrap/>
            <w:vAlign w:val="bottom"/>
            <w:hideMark/>
          </w:tcPr>
          <w:p w14:paraId="2A910290"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c>
          <w:tcPr>
            <w:tcW w:w="1411" w:type="dxa"/>
            <w:tcBorders>
              <w:top w:val="nil"/>
              <w:left w:val="nil"/>
              <w:bottom w:val="single" w:sz="4" w:space="0" w:color="auto"/>
              <w:right w:val="single" w:sz="4" w:space="0" w:color="auto"/>
            </w:tcBorders>
            <w:shd w:val="clear" w:color="auto" w:fill="auto"/>
            <w:noWrap/>
            <w:vAlign w:val="bottom"/>
            <w:hideMark/>
          </w:tcPr>
          <w:p w14:paraId="181C259B" w14:textId="77777777" w:rsidR="00BE42F5" w:rsidRPr="00545EC0" w:rsidRDefault="00BE42F5" w:rsidP="00BE42F5">
            <w:pPr>
              <w:spacing w:line="240" w:lineRule="auto"/>
              <w:jc w:val="right"/>
              <w:rPr>
                <w:rFonts w:cs="Arial"/>
                <w:sz w:val="18"/>
                <w:szCs w:val="18"/>
              </w:rPr>
            </w:pPr>
            <w:r w:rsidRPr="00545EC0">
              <w:rPr>
                <w:rFonts w:cs="Arial"/>
                <w:sz w:val="18"/>
                <w:szCs w:val="18"/>
              </w:rPr>
              <w:t>0</w:t>
            </w:r>
          </w:p>
        </w:tc>
      </w:tr>
      <w:tr w:rsidR="003122F4" w:rsidRPr="00545EC0" w14:paraId="5F0EA139" w14:textId="77777777" w:rsidTr="00BE42F5">
        <w:trPr>
          <w:trHeight w:val="227"/>
        </w:trPr>
        <w:tc>
          <w:tcPr>
            <w:tcW w:w="51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053CE37" w14:textId="77777777" w:rsidR="00BE42F5" w:rsidRPr="00545EC0" w:rsidRDefault="00BE42F5" w:rsidP="00BE42F5">
            <w:pPr>
              <w:spacing w:line="240" w:lineRule="auto"/>
              <w:jc w:val="right"/>
              <w:rPr>
                <w:rFonts w:cs="Arial"/>
                <w:b/>
                <w:sz w:val="18"/>
                <w:szCs w:val="18"/>
              </w:rPr>
            </w:pPr>
          </w:p>
          <w:p w14:paraId="4A1AD578" w14:textId="77777777" w:rsidR="00BE42F5" w:rsidRPr="00545EC0" w:rsidRDefault="00BE42F5" w:rsidP="00BE42F5">
            <w:pPr>
              <w:spacing w:line="240" w:lineRule="auto"/>
              <w:jc w:val="right"/>
              <w:rPr>
                <w:rFonts w:cs="Arial"/>
                <w:b/>
                <w:sz w:val="18"/>
                <w:szCs w:val="18"/>
              </w:rPr>
            </w:pPr>
            <w:r w:rsidRPr="00545EC0">
              <w:rPr>
                <w:rFonts w:cs="Arial"/>
                <w:b/>
                <w:sz w:val="18"/>
                <w:szCs w:val="18"/>
              </w:rPr>
              <w:t>Skupaj:</w:t>
            </w:r>
          </w:p>
        </w:tc>
        <w:tc>
          <w:tcPr>
            <w:tcW w:w="1269" w:type="dxa"/>
            <w:tcBorders>
              <w:top w:val="single" w:sz="4" w:space="0" w:color="auto"/>
              <w:left w:val="nil"/>
              <w:bottom w:val="single" w:sz="4" w:space="0" w:color="auto"/>
              <w:right w:val="single" w:sz="4" w:space="0" w:color="auto"/>
            </w:tcBorders>
            <w:shd w:val="clear" w:color="auto" w:fill="auto"/>
            <w:noWrap/>
            <w:vAlign w:val="bottom"/>
          </w:tcPr>
          <w:p w14:paraId="027C2CFF" w14:textId="77777777" w:rsidR="00BE42F5" w:rsidRPr="00545EC0" w:rsidRDefault="00BE42F5" w:rsidP="00BE42F5">
            <w:pPr>
              <w:spacing w:line="240" w:lineRule="auto"/>
              <w:jc w:val="right"/>
              <w:rPr>
                <w:rFonts w:cs="Arial"/>
                <w:b/>
                <w:sz w:val="18"/>
                <w:szCs w:val="18"/>
              </w:rPr>
            </w:pPr>
            <w:r w:rsidRPr="00545EC0">
              <w:rPr>
                <w:rFonts w:cs="Arial"/>
                <w:b/>
                <w:sz w:val="18"/>
                <w:szCs w:val="18"/>
              </w:rPr>
              <w:t>232</w:t>
            </w:r>
          </w:p>
        </w:tc>
        <w:tc>
          <w:tcPr>
            <w:tcW w:w="1270" w:type="dxa"/>
            <w:tcBorders>
              <w:top w:val="single" w:sz="4" w:space="0" w:color="auto"/>
              <w:left w:val="nil"/>
              <w:bottom w:val="single" w:sz="4" w:space="0" w:color="auto"/>
              <w:right w:val="single" w:sz="4" w:space="0" w:color="auto"/>
            </w:tcBorders>
            <w:shd w:val="clear" w:color="auto" w:fill="auto"/>
            <w:noWrap/>
            <w:vAlign w:val="bottom"/>
          </w:tcPr>
          <w:p w14:paraId="70D6E24A" w14:textId="77777777" w:rsidR="00BE42F5" w:rsidRPr="00545EC0" w:rsidRDefault="00BE42F5" w:rsidP="00BE42F5">
            <w:pPr>
              <w:spacing w:line="240" w:lineRule="auto"/>
              <w:jc w:val="right"/>
              <w:rPr>
                <w:rFonts w:cs="Arial"/>
                <w:b/>
                <w:sz w:val="18"/>
                <w:szCs w:val="18"/>
              </w:rPr>
            </w:pPr>
            <w:r w:rsidRPr="00545EC0">
              <w:rPr>
                <w:rFonts w:cs="Arial"/>
                <w:b/>
                <w:sz w:val="18"/>
                <w:szCs w:val="18"/>
              </w:rPr>
              <w:t>178</w:t>
            </w:r>
          </w:p>
        </w:tc>
        <w:tc>
          <w:tcPr>
            <w:tcW w:w="1411" w:type="dxa"/>
            <w:tcBorders>
              <w:top w:val="single" w:sz="4" w:space="0" w:color="auto"/>
              <w:left w:val="nil"/>
              <w:bottom w:val="single" w:sz="4" w:space="0" w:color="auto"/>
              <w:right w:val="single" w:sz="4" w:space="0" w:color="auto"/>
            </w:tcBorders>
            <w:shd w:val="clear" w:color="auto" w:fill="auto"/>
            <w:noWrap/>
            <w:vAlign w:val="bottom"/>
          </w:tcPr>
          <w:p w14:paraId="7EB41ECD" w14:textId="77777777" w:rsidR="00BE42F5" w:rsidRPr="00545EC0" w:rsidRDefault="00BE42F5" w:rsidP="00BE42F5">
            <w:pPr>
              <w:spacing w:line="240" w:lineRule="auto"/>
              <w:jc w:val="right"/>
              <w:rPr>
                <w:rFonts w:cs="Arial"/>
                <w:b/>
                <w:sz w:val="18"/>
                <w:szCs w:val="18"/>
              </w:rPr>
            </w:pPr>
            <w:r w:rsidRPr="00545EC0">
              <w:rPr>
                <w:rFonts w:cs="Arial"/>
                <w:b/>
                <w:sz w:val="18"/>
                <w:szCs w:val="18"/>
              </w:rPr>
              <w:t>35</w:t>
            </w:r>
          </w:p>
        </w:tc>
      </w:tr>
    </w:tbl>
    <w:p w14:paraId="14032747" w14:textId="77777777" w:rsidR="00BE42F5" w:rsidRPr="00545EC0" w:rsidRDefault="00BE42F5" w:rsidP="008876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0"/>
        </w:rPr>
      </w:pPr>
    </w:p>
    <w:p w14:paraId="58069CCB" w14:textId="77777777" w:rsidR="00BE42F5" w:rsidRPr="00545EC0" w:rsidRDefault="00BE42F5" w:rsidP="008876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0"/>
        </w:rPr>
      </w:pPr>
    </w:p>
    <w:p w14:paraId="10B9F4F6" w14:textId="77777777" w:rsidR="00BE42F5" w:rsidRPr="00545EC0" w:rsidRDefault="00BE42F5" w:rsidP="008876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0"/>
        </w:rPr>
      </w:pPr>
    </w:p>
    <w:p w14:paraId="61946A98" w14:textId="79D30F19"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0" w:before="48" w:afterLines="20" w:after="48"/>
        <w:rPr>
          <w:rFonts w:cs="Arial"/>
          <w:i/>
          <w:szCs w:val="24"/>
          <w:lang w:eastAsia="ja-JP"/>
        </w:rPr>
      </w:pPr>
      <w:r w:rsidRPr="00545EC0">
        <w:rPr>
          <w:rFonts w:cs="Arial"/>
          <w:szCs w:val="20"/>
          <w:lang w:eastAsia="ja-JP"/>
        </w:rPr>
        <w:t xml:space="preserve">Deli vodnih teles površinskih voda, na katerih so prisotne pomembne obremenitve zaradi prečnih objektov, so prikazani na </w:t>
      </w:r>
      <w:r w:rsidR="002B19AC" w:rsidRPr="00545EC0">
        <w:rPr>
          <w:rFonts w:cs="Arial"/>
          <w:szCs w:val="20"/>
          <w:lang w:eastAsia="ja-JP"/>
        </w:rPr>
        <w:t xml:space="preserve">publikacijski </w:t>
      </w:r>
      <w:r w:rsidR="003A3979" w:rsidRPr="00545EC0">
        <w:rPr>
          <w:rFonts w:cs="Arial"/>
          <w:szCs w:val="20"/>
          <w:lang w:eastAsia="ja-JP"/>
        </w:rPr>
        <w:t xml:space="preserve">karti </w:t>
      </w:r>
      <w:r w:rsidR="003A3979" w:rsidRPr="00545EC0">
        <w:rPr>
          <w:rFonts w:cs="Arial"/>
          <w:i/>
          <w:szCs w:val="20"/>
          <w:lang w:eastAsia="ja-JP"/>
        </w:rPr>
        <w:t>(Publikacijska karta 4.6: Prečni objekti in pomembne obremenitve dVTPV).</w:t>
      </w:r>
    </w:p>
    <w:p w14:paraId="15CA46BA" w14:textId="77777777" w:rsidR="00BA1338" w:rsidRPr="00545EC0" w:rsidRDefault="00BA1338" w:rsidP="00BA1338">
      <w:pPr>
        <w:tabs>
          <w:tab w:val="center" w:pos="426"/>
        </w:tabs>
        <w:rPr>
          <w:rFonts w:cs="Arial"/>
          <w:szCs w:val="20"/>
          <w:lang w:eastAsia="ja-JP"/>
        </w:rPr>
      </w:pPr>
    </w:p>
    <w:p w14:paraId="0C080A91" w14:textId="40EA98F0" w:rsidR="00BA1338" w:rsidRPr="00545EC0" w:rsidRDefault="00BA1338" w:rsidP="00BA1338">
      <w:pPr>
        <w:tabs>
          <w:tab w:val="center" w:pos="426"/>
        </w:tabs>
        <w:rPr>
          <w:rFonts w:cs="Arial"/>
        </w:rPr>
      </w:pPr>
      <w:r w:rsidRPr="00545EC0">
        <w:rPr>
          <w:rFonts w:cs="Arial"/>
          <w:szCs w:val="20"/>
          <w:lang w:eastAsia="ja-JP"/>
        </w:rPr>
        <w:t>Na VO Donave je največji dVTPV s pomembno obremenitvijo zaradi prečnih objektov prisoten na porečjih Zgornje Save, Spodnje Save in Drave (</w:t>
      </w:r>
      <w:r w:rsidR="005C5A1E" w:rsidRPr="00545EC0">
        <w:rPr>
          <w:rFonts w:cs="Arial"/>
          <w:szCs w:val="20"/>
          <w:lang w:eastAsia="ja-JP"/>
        </w:rPr>
        <w:fldChar w:fldCharType="begin"/>
      </w:r>
      <w:r w:rsidR="005C5A1E" w:rsidRPr="00545EC0">
        <w:rPr>
          <w:rFonts w:cs="Arial"/>
          <w:szCs w:val="20"/>
          <w:lang w:eastAsia="ja-JP"/>
        </w:rPr>
        <w:instrText xml:space="preserve"> REF _Ref84338899 \h </w:instrText>
      </w:r>
      <w:r w:rsidR="00F37A91" w:rsidRPr="00545EC0">
        <w:rPr>
          <w:rFonts w:cs="Arial"/>
          <w:szCs w:val="20"/>
          <w:lang w:eastAsia="ja-JP"/>
        </w:rPr>
        <w:instrText xml:space="preserve"> \* MERGEFORMAT </w:instrText>
      </w:r>
      <w:r w:rsidR="005C5A1E" w:rsidRPr="00545EC0">
        <w:rPr>
          <w:rFonts w:cs="Arial"/>
          <w:szCs w:val="20"/>
          <w:lang w:eastAsia="ja-JP"/>
        </w:rPr>
      </w:r>
      <w:r w:rsidR="005C5A1E" w:rsidRPr="00545EC0">
        <w:rPr>
          <w:rFonts w:cs="Arial"/>
          <w:szCs w:val="20"/>
          <w:lang w:eastAsia="ja-JP"/>
        </w:rPr>
        <w:fldChar w:fldCharType="separate"/>
      </w:r>
      <w:r w:rsidR="002F3E43" w:rsidRPr="00545EC0">
        <w:t xml:space="preserve">Slika </w:t>
      </w:r>
      <w:r w:rsidR="002F3E43">
        <w:rPr>
          <w:noProof/>
        </w:rPr>
        <w:t>2</w:t>
      </w:r>
      <w:r w:rsidR="002F3E43" w:rsidRPr="00545EC0">
        <w:rPr>
          <w:noProof/>
        </w:rPr>
        <w:noBreakHyphen/>
      </w:r>
      <w:r w:rsidR="002F3E43">
        <w:rPr>
          <w:noProof/>
        </w:rPr>
        <w:t>17</w:t>
      </w:r>
      <w:r w:rsidR="005C5A1E" w:rsidRPr="00545EC0">
        <w:rPr>
          <w:rFonts w:cs="Arial"/>
          <w:szCs w:val="20"/>
          <w:lang w:eastAsia="ja-JP"/>
        </w:rPr>
        <w:fldChar w:fldCharType="end"/>
      </w:r>
      <w:r w:rsidRPr="00545EC0">
        <w:rPr>
          <w:rFonts w:cs="Arial"/>
          <w:szCs w:val="20"/>
          <w:lang w:eastAsia="ja-JP"/>
        </w:rPr>
        <w:t xml:space="preserve">).  </w:t>
      </w:r>
    </w:p>
    <w:p w14:paraId="2B8A0A9C" w14:textId="77777777" w:rsidR="00BA1338" w:rsidRPr="00545EC0" w:rsidRDefault="00BA1338" w:rsidP="00BA1338">
      <w:pPr>
        <w:tabs>
          <w:tab w:val="center" w:pos="426"/>
        </w:tabs>
        <w:rPr>
          <w:rFonts w:cs="Arial"/>
        </w:rPr>
      </w:pPr>
    </w:p>
    <w:p w14:paraId="3913E288" w14:textId="05A90FD1" w:rsidR="005C5A1E" w:rsidRPr="00545EC0" w:rsidRDefault="00BE42F5" w:rsidP="005C5A1E">
      <w:pPr>
        <w:keepNext/>
        <w:spacing w:before="240" w:after="240"/>
        <w:jc w:val="left"/>
      </w:pPr>
      <w:r w:rsidRPr="00545EC0">
        <w:rPr>
          <w:noProof/>
        </w:rPr>
        <w:drawing>
          <wp:inline distT="0" distB="0" distL="0" distR="0" wp14:anchorId="41D073C2" wp14:editId="74F5AC9B">
            <wp:extent cx="5400000" cy="3404723"/>
            <wp:effectExtent l="0" t="0" r="0" b="571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0" cy="3404723"/>
                    </a:xfrm>
                    <a:prstGeom prst="rect">
                      <a:avLst/>
                    </a:prstGeom>
                    <a:noFill/>
                  </pic:spPr>
                </pic:pic>
              </a:graphicData>
            </a:graphic>
          </wp:inline>
        </w:drawing>
      </w:r>
    </w:p>
    <w:p w14:paraId="69C5C368" w14:textId="4758BD10" w:rsidR="00BA1338" w:rsidRPr="00545EC0" w:rsidRDefault="005C5A1E" w:rsidP="005C5A1E">
      <w:pPr>
        <w:pStyle w:val="Napis"/>
        <w:jc w:val="left"/>
      </w:pPr>
      <w:bookmarkStart w:id="204" w:name="_Ref84338899"/>
      <w:r w:rsidRPr="00545EC0">
        <w:t xml:space="preserve">Slika </w:t>
      </w:r>
      <w:fldSimple w:instr=" STYLEREF 1 \s ">
        <w:r w:rsidR="002F3E43">
          <w:rPr>
            <w:noProof/>
          </w:rPr>
          <w:t>2</w:t>
        </w:r>
      </w:fldSimple>
      <w:r w:rsidR="00396E1E" w:rsidRPr="00545EC0">
        <w:noBreakHyphen/>
      </w:r>
      <w:fldSimple w:instr=" SEQ Slika \* ARABIC \s 1 ">
        <w:r w:rsidR="002F3E43">
          <w:rPr>
            <w:noProof/>
          </w:rPr>
          <w:t>17</w:t>
        </w:r>
      </w:fldSimple>
      <w:bookmarkEnd w:id="204"/>
      <w:r w:rsidRPr="00545EC0">
        <w:t>: Delež dVTPV s pomembno obremenitvijo zaradi prečnih objektov po porečjih na VO Donave</w:t>
      </w:r>
      <w:r w:rsidR="00BE42F5" w:rsidRPr="00545EC0">
        <w:t xml:space="preserve"> (* podatki le za izbrane vodotoke, na katerih je bil izveden popis)</w:t>
      </w:r>
    </w:p>
    <w:p w14:paraId="3C93D55C" w14:textId="77777777" w:rsidR="00BA1338" w:rsidRPr="00545EC0" w:rsidRDefault="00BA1338" w:rsidP="00BA1338">
      <w:pPr>
        <w:spacing w:before="240" w:after="240"/>
        <w:rPr>
          <w:rFonts w:cs="Arial"/>
          <w:b/>
        </w:rPr>
      </w:pPr>
      <w:r w:rsidRPr="00545EC0">
        <w:rPr>
          <w:rFonts w:cs="Arial"/>
          <w:b/>
        </w:rPr>
        <w:t xml:space="preserve">Obremenitve zveznosti toka – vpliv prečnih objektov </w:t>
      </w:r>
    </w:p>
    <w:p w14:paraId="0E6CEE3C"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0" w:before="48" w:afterLines="20" w:after="48"/>
        <w:rPr>
          <w:rFonts w:cs="Arial"/>
        </w:rPr>
      </w:pPr>
      <w:r w:rsidRPr="00545EC0">
        <w:rPr>
          <w:rFonts w:cs="Arial"/>
          <w:szCs w:val="24"/>
          <w:lang w:eastAsia="ja-JP"/>
        </w:rPr>
        <w:t xml:space="preserve">Vpliv prečnih objektov je analiziran na podlagi vrednosti </w:t>
      </w:r>
      <w:r w:rsidRPr="00545EC0">
        <w:rPr>
          <w:rFonts w:cs="Arial"/>
        </w:rPr>
        <w:t xml:space="preserve">indeksa hidromorfološke spremenjenosti (HLM indeks, IzVRS, 2018), ki je določen na podlagi sledečih parametrov: </w:t>
      </w:r>
    </w:p>
    <w:p w14:paraId="03FC360A" w14:textId="77777777" w:rsidR="00BA1338" w:rsidRPr="00545EC0" w:rsidRDefault="00BA1338" w:rsidP="00DD37C5">
      <w:pPr>
        <w:pStyle w:val="Odstavekseznama"/>
        <w:numPr>
          <w:ilvl w:val="0"/>
          <w:numId w:val="42"/>
        </w:numPr>
        <w:ind w:left="284" w:hanging="284"/>
        <w:contextualSpacing/>
        <w:rPr>
          <w:rFonts w:cs="Arial"/>
          <w:lang w:eastAsia="sl-SI"/>
        </w:rPr>
      </w:pPr>
      <w:r w:rsidRPr="00545EC0">
        <w:rPr>
          <w:rFonts w:cs="Arial"/>
          <w:lang w:eastAsia="sl-SI"/>
        </w:rPr>
        <w:lastRenderedPageBreak/>
        <w:t xml:space="preserve">dolžina zajezitve, ki jo objekt povzroča, pri čemer se upošteva  velikostni razred prispevne površine vodnega telesa površinske vode, </w:t>
      </w:r>
    </w:p>
    <w:p w14:paraId="7DB1C09F" w14:textId="77777777" w:rsidR="00BA1338" w:rsidRPr="00545EC0" w:rsidRDefault="00BA1338" w:rsidP="00DD37C5">
      <w:pPr>
        <w:pStyle w:val="Odstavekseznama"/>
        <w:numPr>
          <w:ilvl w:val="0"/>
          <w:numId w:val="42"/>
        </w:numPr>
        <w:ind w:left="284" w:hanging="284"/>
        <w:contextualSpacing/>
        <w:rPr>
          <w:rFonts w:cs="Arial"/>
          <w:lang w:eastAsia="sl-SI"/>
        </w:rPr>
      </w:pPr>
      <w:r w:rsidRPr="00545EC0">
        <w:rPr>
          <w:rFonts w:cs="Arial"/>
          <w:lang w:eastAsia="sl-SI"/>
        </w:rPr>
        <w:t xml:space="preserve">oddaljenost prečnega objekta od naslednjega dolvodnega prečnega objekta, </w:t>
      </w:r>
    </w:p>
    <w:p w14:paraId="27378D4C" w14:textId="77777777" w:rsidR="00BA1338" w:rsidRPr="00545EC0" w:rsidRDefault="00BA1338" w:rsidP="00DD37C5">
      <w:pPr>
        <w:pStyle w:val="Odstavekseznama"/>
        <w:numPr>
          <w:ilvl w:val="0"/>
          <w:numId w:val="42"/>
        </w:numPr>
        <w:ind w:left="284" w:hanging="284"/>
        <w:contextualSpacing/>
        <w:rPr>
          <w:rFonts w:cs="Arial"/>
          <w:lang w:eastAsia="sl-SI"/>
        </w:rPr>
      </w:pPr>
      <w:r w:rsidRPr="00545EC0">
        <w:rPr>
          <w:rFonts w:cs="Arial"/>
          <w:lang w:eastAsia="sl-SI"/>
        </w:rPr>
        <w:t xml:space="preserve">oddaljenost prečnega objekta od naslednjega gorvodnega prečnega objekta, </w:t>
      </w:r>
    </w:p>
    <w:p w14:paraId="4E4474D8" w14:textId="646D71D7" w:rsidR="00453682" w:rsidRPr="00545EC0" w:rsidRDefault="00BA1338" w:rsidP="003122F4">
      <w:pPr>
        <w:contextualSpacing/>
        <w:rPr>
          <w:rFonts w:cs="Arial"/>
        </w:rPr>
      </w:pPr>
      <w:r w:rsidRPr="00545EC0">
        <w:rPr>
          <w:rFonts w:cs="Arial"/>
        </w:rPr>
        <w:t>prisotnost pritokov.</w:t>
      </w:r>
    </w:p>
    <w:p w14:paraId="3AE5BD24" w14:textId="77777777" w:rsidR="00453682" w:rsidRPr="00545EC0" w:rsidRDefault="00453682" w:rsidP="003122F4">
      <w:pPr>
        <w:contextualSpacing/>
        <w:rPr>
          <w:rFonts w:cs="Arial"/>
        </w:rPr>
      </w:pPr>
    </w:p>
    <w:p w14:paraId="0A83448B" w14:textId="09A8EDF6" w:rsidR="00BA1338" w:rsidRPr="00545EC0" w:rsidRDefault="00BA1338" w:rsidP="003122F4">
      <w:pPr>
        <w:contextualSpacing/>
      </w:pPr>
      <w:r w:rsidRPr="00545EC0">
        <w:t>Vpliv posameznega prečnega objekta se glede na navedena merila razvrsti v enega izmed 6 razredov vpliva. Prečni objekti z velikim vplivom so na dVTPV-jih v največjem deležu prisotni na porečjih Srednje Save, Spodnje Save in Drave (</w:t>
      </w:r>
      <w:r w:rsidR="00805B59" w:rsidRPr="00545EC0">
        <w:fldChar w:fldCharType="begin"/>
      </w:r>
      <w:r w:rsidR="00805B59" w:rsidRPr="00545EC0">
        <w:instrText xml:space="preserve"> REF _Ref85093273 \h </w:instrText>
      </w:r>
      <w:r w:rsidR="003122F4" w:rsidRPr="00545EC0">
        <w:instrText xml:space="preserve"> \* MERGEFORMAT </w:instrText>
      </w:r>
      <w:r w:rsidR="00805B59" w:rsidRPr="00545EC0">
        <w:fldChar w:fldCharType="separate"/>
      </w:r>
      <w:r w:rsidR="002F3E43" w:rsidRPr="00545EC0">
        <w:rPr>
          <w:szCs w:val="20"/>
        </w:rPr>
        <w:t xml:space="preserve">Slika </w:t>
      </w:r>
      <w:r w:rsidR="002F3E43">
        <w:rPr>
          <w:noProof/>
          <w:szCs w:val="20"/>
        </w:rPr>
        <w:t>2</w:t>
      </w:r>
      <w:r w:rsidR="002F3E43" w:rsidRPr="00545EC0">
        <w:rPr>
          <w:noProof/>
          <w:szCs w:val="20"/>
        </w:rPr>
        <w:noBreakHyphen/>
      </w:r>
      <w:r w:rsidR="002F3E43">
        <w:rPr>
          <w:noProof/>
          <w:szCs w:val="20"/>
        </w:rPr>
        <w:t>18</w:t>
      </w:r>
      <w:r w:rsidR="00805B59" w:rsidRPr="00545EC0">
        <w:fldChar w:fldCharType="end"/>
      </w:r>
      <w:r w:rsidRPr="00545EC0">
        <w:t>). Za vsak dVTPV je na podlagi vrednosti posameznih vplivov izračunan skupni vpliv prečnih objektov, ki je določen kot utežno povprečje posameznih vplivov prečnih objektov. Glede na slednje se skupni vpliv prečnih objektov na dVTPV-jih razvrsti v enega izmed 5 razredov, pri čemer razred 1 pomeni, da na dVTPV-ju ni vpliva prečnih objektov, razred 5 pa, da je vpliv zelo velik. Pomembna obremenitev na dVTPV-ju je ugotovljena, če je razred vpliva enak ali več</w:t>
      </w:r>
      <w:r w:rsidR="00786958" w:rsidRPr="00545EC0">
        <w:t>ji od razreda 3 (zmeren vpliv) (</w:t>
      </w:r>
      <w:r w:rsidR="00E317F6" w:rsidRPr="00545EC0">
        <w:fldChar w:fldCharType="begin"/>
      </w:r>
      <w:r w:rsidR="00E317F6" w:rsidRPr="00545EC0">
        <w:instrText xml:space="preserve"> REF _Ref84496541 \h </w:instrText>
      </w:r>
      <w:r w:rsidR="003122F4" w:rsidRPr="00545EC0">
        <w:instrText xml:space="preserve"> \* MERGEFORMAT </w:instrText>
      </w:r>
      <w:r w:rsidR="00E317F6" w:rsidRPr="00545EC0">
        <w:fldChar w:fldCharType="separate"/>
      </w:r>
      <w:r w:rsidR="002F3E43" w:rsidRPr="00545EC0">
        <w:t xml:space="preserve">Preglednica </w:t>
      </w:r>
      <w:r w:rsidR="002F3E43">
        <w:rPr>
          <w:noProof/>
        </w:rPr>
        <w:t>2</w:t>
      </w:r>
      <w:r w:rsidR="002F3E43" w:rsidRPr="00545EC0">
        <w:rPr>
          <w:noProof/>
        </w:rPr>
        <w:noBreakHyphen/>
      </w:r>
      <w:r w:rsidR="002F3E43">
        <w:rPr>
          <w:noProof/>
        </w:rPr>
        <w:t>28</w:t>
      </w:r>
      <w:r w:rsidR="00E317F6" w:rsidRPr="00545EC0">
        <w:fldChar w:fldCharType="end"/>
      </w:r>
      <w:r w:rsidR="00786958" w:rsidRPr="00545EC0">
        <w:t>)</w:t>
      </w:r>
      <w:r w:rsidR="00E317F6" w:rsidRPr="00545EC0">
        <w:t>.</w:t>
      </w:r>
    </w:p>
    <w:p w14:paraId="686784D7" w14:textId="77777777" w:rsidR="006C37B4" w:rsidRPr="00545EC0" w:rsidRDefault="00BA1338" w:rsidP="006C37B4">
      <w:pPr>
        <w:keepNext/>
        <w:spacing w:before="240" w:after="240"/>
        <w:jc w:val="left"/>
      </w:pPr>
      <w:r w:rsidRPr="00545EC0">
        <w:rPr>
          <w:rFonts w:cs="Arial"/>
          <w:noProof/>
        </w:rPr>
        <w:drawing>
          <wp:inline distT="0" distB="0" distL="0" distR="0" wp14:anchorId="3B27603B" wp14:editId="679A9213">
            <wp:extent cx="5610723" cy="3828331"/>
            <wp:effectExtent l="19050" t="19050" r="9525" b="2032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23225" cy="3836861"/>
                    </a:xfrm>
                    <a:prstGeom prst="rect">
                      <a:avLst/>
                    </a:prstGeom>
                    <a:noFill/>
                    <a:ln>
                      <a:solidFill>
                        <a:schemeClr val="bg1">
                          <a:lumMod val="85000"/>
                        </a:schemeClr>
                      </a:solidFill>
                    </a:ln>
                  </pic:spPr>
                </pic:pic>
              </a:graphicData>
            </a:graphic>
          </wp:inline>
        </w:drawing>
      </w:r>
    </w:p>
    <w:p w14:paraId="68E93560" w14:textId="34A7128F" w:rsidR="00BA1338" w:rsidRPr="00545EC0" w:rsidRDefault="006C37B4" w:rsidP="006C37B4">
      <w:pPr>
        <w:pStyle w:val="Napis"/>
        <w:jc w:val="left"/>
        <w:rPr>
          <w:szCs w:val="20"/>
        </w:rPr>
      </w:pPr>
      <w:bookmarkStart w:id="205" w:name="_Ref85093273"/>
      <w:r w:rsidRPr="00545EC0">
        <w:rPr>
          <w:szCs w:val="20"/>
        </w:rPr>
        <w:t xml:space="preserve">Slika </w:t>
      </w:r>
      <w:r w:rsidR="00396E1E" w:rsidRPr="00545EC0">
        <w:rPr>
          <w:szCs w:val="20"/>
        </w:rPr>
        <w:fldChar w:fldCharType="begin"/>
      </w:r>
      <w:r w:rsidR="00396E1E" w:rsidRPr="00545EC0">
        <w:rPr>
          <w:szCs w:val="20"/>
        </w:rPr>
        <w:instrText xml:space="preserve"> STYLEREF 1 \s </w:instrText>
      </w:r>
      <w:r w:rsidR="00396E1E" w:rsidRPr="00545EC0">
        <w:rPr>
          <w:szCs w:val="20"/>
        </w:rPr>
        <w:fldChar w:fldCharType="separate"/>
      </w:r>
      <w:r w:rsidR="002F3E43">
        <w:rPr>
          <w:noProof/>
          <w:szCs w:val="20"/>
        </w:rPr>
        <w:t>2</w:t>
      </w:r>
      <w:r w:rsidR="00396E1E" w:rsidRPr="00545EC0">
        <w:rPr>
          <w:szCs w:val="20"/>
        </w:rPr>
        <w:fldChar w:fldCharType="end"/>
      </w:r>
      <w:r w:rsidR="00396E1E" w:rsidRPr="00545EC0">
        <w:rPr>
          <w:szCs w:val="20"/>
        </w:rPr>
        <w:noBreakHyphen/>
      </w:r>
      <w:r w:rsidR="00396E1E" w:rsidRPr="00545EC0">
        <w:rPr>
          <w:szCs w:val="20"/>
        </w:rPr>
        <w:fldChar w:fldCharType="begin"/>
      </w:r>
      <w:r w:rsidR="00396E1E" w:rsidRPr="00545EC0">
        <w:rPr>
          <w:szCs w:val="20"/>
        </w:rPr>
        <w:instrText xml:space="preserve"> SEQ Slika \* ARABIC \s 1 </w:instrText>
      </w:r>
      <w:r w:rsidR="00396E1E" w:rsidRPr="00545EC0">
        <w:rPr>
          <w:szCs w:val="20"/>
        </w:rPr>
        <w:fldChar w:fldCharType="separate"/>
      </w:r>
      <w:r w:rsidR="002F3E43">
        <w:rPr>
          <w:noProof/>
          <w:szCs w:val="20"/>
        </w:rPr>
        <w:t>18</w:t>
      </w:r>
      <w:r w:rsidR="00396E1E" w:rsidRPr="00545EC0">
        <w:rPr>
          <w:szCs w:val="20"/>
        </w:rPr>
        <w:fldChar w:fldCharType="end"/>
      </w:r>
      <w:bookmarkEnd w:id="205"/>
      <w:r w:rsidRPr="00545EC0">
        <w:rPr>
          <w:szCs w:val="20"/>
        </w:rPr>
        <w:t xml:space="preserve">: </w:t>
      </w:r>
      <w:r w:rsidRPr="00545EC0">
        <w:rPr>
          <w:noProof/>
          <w:szCs w:val="20"/>
        </w:rPr>
        <w:t>Deleži posameznih razredov vpliva prečnih objektov po porečjih na VO Donave</w:t>
      </w:r>
    </w:p>
    <w:p w14:paraId="6F110A21" w14:textId="77777777" w:rsidR="00E317F6" w:rsidRPr="00545EC0" w:rsidRDefault="00E317F6" w:rsidP="00887665">
      <w:pPr>
        <w:pStyle w:val="Napis"/>
        <w:keepNext/>
      </w:pPr>
      <w:bookmarkStart w:id="206" w:name="_Ref84255934"/>
    </w:p>
    <w:p w14:paraId="05584FB9" w14:textId="4F860D51" w:rsidR="00887665" w:rsidRPr="00545EC0" w:rsidRDefault="00E317F6" w:rsidP="00E317F6">
      <w:pPr>
        <w:pStyle w:val="Napis"/>
      </w:pPr>
      <w:bookmarkStart w:id="207" w:name="_Ref84496541"/>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28</w:t>
        </w:r>
      </w:fldSimple>
      <w:bookmarkEnd w:id="207"/>
      <w:r w:rsidRPr="00545EC0">
        <w:t xml:space="preserve">: </w:t>
      </w:r>
      <w:r w:rsidR="00887665" w:rsidRPr="00545EC0">
        <w:t>Vodna telesa površinskih voda in njihovi deli s pomembno obremenitvijo zaradi vpliva prečnih objektov</w:t>
      </w:r>
      <w:bookmarkEnd w:id="206"/>
    </w:p>
    <w:tbl>
      <w:tblPr>
        <w:tblW w:w="5000" w:type="pct"/>
        <w:shd w:val="clear" w:color="auto" w:fill="FFFFFF" w:themeFill="background1"/>
        <w:tblLayout w:type="fixed"/>
        <w:tblCellMar>
          <w:left w:w="70" w:type="dxa"/>
          <w:right w:w="70" w:type="dxa"/>
        </w:tblCellMar>
        <w:tblLook w:val="04A0" w:firstRow="1" w:lastRow="0" w:firstColumn="1" w:lastColumn="0" w:noHBand="0" w:noVBand="1"/>
      </w:tblPr>
      <w:tblGrid>
        <w:gridCol w:w="1063"/>
        <w:gridCol w:w="3541"/>
        <w:gridCol w:w="2410"/>
        <w:gridCol w:w="1277"/>
        <w:gridCol w:w="426"/>
        <w:gridCol w:w="494"/>
      </w:tblGrid>
      <w:tr w:rsidR="003122F4" w:rsidRPr="00545EC0" w14:paraId="0F812B80" w14:textId="77777777" w:rsidTr="00BE42F5">
        <w:trPr>
          <w:trHeight w:val="227"/>
          <w:tblHeader/>
        </w:trPr>
        <w:tc>
          <w:tcPr>
            <w:tcW w:w="57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1955DA0" w14:textId="77777777" w:rsidR="00BA1338" w:rsidRPr="00545EC0" w:rsidRDefault="00BA1338" w:rsidP="004F2AF2">
            <w:pPr>
              <w:spacing w:line="240" w:lineRule="auto"/>
              <w:rPr>
                <w:rFonts w:cs="Arial"/>
                <w:b/>
                <w:sz w:val="18"/>
                <w:szCs w:val="18"/>
              </w:rPr>
            </w:pPr>
            <w:r w:rsidRPr="00545EC0">
              <w:rPr>
                <w:rFonts w:cs="Arial"/>
                <w:b/>
                <w:sz w:val="18"/>
                <w:szCs w:val="18"/>
              </w:rPr>
              <w:t>Šifra VTPV</w:t>
            </w:r>
          </w:p>
        </w:tc>
        <w:tc>
          <w:tcPr>
            <w:tcW w:w="1922"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A356B83" w14:textId="77777777" w:rsidR="00BA1338" w:rsidRPr="00545EC0" w:rsidRDefault="00BA1338" w:rsidP="004F2AF2">
            <w:pPr>
              <w:spacing w:line="240" w:lineRule="auto"/>
              <w:rPr>
                <w:rFonts w:cs="Arial"/>
                <w:b/>
                <w:sz w:val="18"/>
                <w:szCs w:val="18"/>
              </w:rPr>
            </w:pPr>
            <w:r w:rsidRPr="00545EC0">
              <w:rPr>
                <w:rFonts w:cs="Arial"/>
                <w:b/>
                <w:sz w:val="18"/>
                <w:szCs w:val="18"/>
              </w:rPr>
              <w:t>Ime VTPV</w:t>
            </w:r>
          </w:p>
        </w:tc>
        <w:tc>
          <w:tcPr>
            <w:tcW w:w="1308"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E6A56C1" w14:textId="77777777" w:rsidR="00BA1338" w:rsidRPr="00545EC0" w:rsidRDefault="00BA1338" w:rsidP="004F2AF2">
            <w:pPr>
              <w:spacing w:line="240" w:lineRule="auto"/>
              <w:rPr>
                <w:rFonts w:cs="Arial"/>
                <w:b/>
                <w:sz w:val="18"/>
                <w:szCs w:val="18"/>
              </w:rPr>
            </w:pPr>
            <w:r w:rsidRPr="00545EC0">
              <w:rPr>
                <w:rFonts w:cs="Arial"/>
                <w:b/>
                <w:sz w:val="18"/>
                <w:szCs w:val="18"/>
              </w:rPr>
              <w:t>Ime vodotoka dVTPV</w:t>
            </w:r>
          </w:p>
        </w:tc>
        <w:tc>
          <w:tcPr>
            <w:tcW w:w="69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8F25F9" w14:textId="77777777" w:rsidR="00BA1338" w:rsidRPr="00545EC0" w:rsidRDefault="00BA1338" w:rsidP="004F2AF2">
            <w:pPr>
              <w:spacing w:line="240" w:lineRule="auto"/>
              <w:rPr>
                <w:rFonts w:cs="Arial"/>
                <w:b/>
                <w:sz w:val="18"/>
                <w:szCs w:val="18"/>
              </w:rPr>
            </w:pPr>
            <w:r w:rsidRPr="00545EC0">
              <w:rPr>
                <w:rFonts w:cs="Arial"/>
                <w:b/>
                <w:sz w:val="18"/>
                <w:szCs w:val="18"/>
              </w:rPr>
              <w:t>Porečje</w:t>
            </w:r>
          </w:p>
        </w:tc>
        <w:tc>
          <w:tcPr>
            <w:tcW w:w="23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B07E98" w14:textId="77777777" w:rsidR="00BA1338" w:rsidRPr="00545EC0" w:rsidRDefault="00BA1338" w:rsidP="004F2AF2">
            <w:pPr>
              <w:spacing w:line="240" w:lineRule="auto"/>
              <w:rPr>
                <w:rFonts w:cs="Arial"/>
                <w:b/>
                <w:sz w:val="18"/>
                <w:szCs w:val="18"/>
              </w:rPr>
            </w:pPr>
            <w:r w:rsidRPr="00545EC0">
              <w:rPr>
                <w:rFonts w:cs="Arial"/>
                <w:b/>
                <w:sz w:val="18"/>
                <w:szCs w:val="18"/>
              </w:rPr>
              <w:t>PO - GT</w:t>
            </w:r>
          </w:p>
        </w:tc>
        <w:tc>
          <w:tcPr>
            <w:tcW w:w="26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F595D0" w14:textId="77777777" w:rsidR="00BA1338" w:rsidRPr="00545EC0" w:rsidRDefault="00BA1338" w:rsidP="004F2AF2">
            <w:pPr>
              <w:spacing w:line="240" w:lineRule="auto"/>
              <w:rPr>
                <w:rFonts w:cs="Arial"/>
                <w:b/>
                <w:sz w:val="18"/>
                <w:szCs w:val="18"/>
              </w:rPr>
            </w:pPr>
            <w:r w:rsidRPr="00545EC0">
              <w:rPr>
                <w:rFonts w:cs="Arial"/>
                <w:b/>
                <w:sz w:val="18"/>
                <w:szCs w:val="18"/>
              </w:rPr>
              <w:t>PO - PR</w:t>
            </w:r>
          </w:p>
        </w:tc>
      </w:tr>
      <w:tr w:rsidR="003122F4" w:rsidRPr="00545EC0" w14:paraId="1D0C0BA1" w14:textId="77777777" w:rsidTr="00BE42F5">
        <w:trPr>
          <w:trHeight w:val="227"/>
        </w:trPr>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6E864B" w14:textId="77777777" w:rsidR="00BA1338" w:rsidRPr="00545EC0" w:rsidRDefault="00BA1338" w:rsidP="004F2AF2">
            <w:pPr>
              <w:spacing w:line="240" w:lineRule="auto"/>
              <w:rPr>
                <w:rFonts w:cs="Arial"/>
                <w:sz w:val="18"/>
                <w:szCs w:val="18"/>
              </w:rPr>
            </w:pPr>
            <w:r w:rsidRPr="00545EC0">
              <w:rPr>
                <w:rFonts w:cs="Arial"/>
                <w:sz w:val="18"/>
                <w:szCs w:val="18"/>
              </w:rPr>
              <w:t>SI111VT7</w:t>
            </w:r>
          </w:p>
        </w:tc>
        <w:tc>
          <w:tcPr>
            <w:tcW w:w="1922"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5022DF4F" w14:textId="77777777" w:rsidR="00BA1338" w:rsidRPr="00545EC0" w:rsidRDefault="00BA1338" w:rsidP="004F2AF2">
            <w:pPr>
              <w:spacing w:line="240" w:lineRule="auto"/>
              <w:rPr>
                <w:rFonts w:cs="Arial"/>
                <w:sz w:val="18"/>
                <w:szCs w:val="18"/>
              </w:rPr>
            </w:pPr>
            <w:r w:rsidRPr="00545EC0">
              <w:rPr>
                <w:rFonts w:cs="Arial"/>
                <w:sz w:val="18"/>
                <w:szCs w:val="18"/>
              </w:rPr>
              <w:t>MPVT zadrževalnik HE Moste</w:t>
            </w:r>
          </w:p>
        </w:tc>
        <w:tc>
          <w:tcPr>
            <w:tcW w:w="1308"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64DDC166" w14:textId="77777777" w:rsidR="00BA1338" w:rsidRPr="00545EC0" w:rsidRDefault="00BA1338" w:rsidP="004F2AF2">
            <w:pPr>
              <w:spacing w:line="240" w:lineRule="auto"/>
              <w:rPr>
                <w:rFonts w:cs="Arial"/>
                <w:sz w:val="18"/>
                <w:szCs w:val="18"/>
              </w:rPr>
            </w:pPr>
            <w:r w:rsidRPr="00545EC0">
              <w:rPr>
                <w:rFonts w:cs="Arial"/>
                <w:sz w:val="18"/>
                <w:szCs w:val="18"/>
              </w:rPr>
              <w:t xml:space="preserve">Sava Dolinka </w:t>
            </w:r>
          </w:p>
        </w:tc>
        <w:tc>
          <w:tcPr>
            <w:tcW w:w="693" w:type="pct"/>
            <w:vMerge w:val="restart"/>
            <w:tcBorders>
              <w:top w:val="single" w:sz="4" w:space="0" w:color="auto"/>
              <w:left w:val="single" w:sz="4" w:space="0" w:color="auto"/>
              <w:right w:val="single" w:sz="4" w:space="0" w:color="auto"/>
            </w:tcBorders>
            <w:shd w:val="clear" w:color="auto" w:fill="FFFFFF" w:themeFill="background1"/>
            <w:vAlign w:val="center"/>
          </w:tcPr>
          <w:p w14:paraId="2A514EE2" w14:textId="77777777" w:rsidR="00BA1338" w:rsidRPr="00545EC0" w:rsidRDefault="00BA1338" w:rsidP="004F2AF2">
            <w:pPr>
              <w:spacing w:line="240" w:lineRule="auto"/>
              <w:rPr>
                <w:rFonts w:cs="Arial"/>
                <w:sz w:val="18"/>
                <w:szCs w:val="18"/>
              </w:rPr>
            </w:pPr>
            <w:r w:rsidRPr="00545EC0">
              <w:rPr>
                <w:rFonts w:cs="Arial"/>
                <w:sz w:val="18"/>
                <w:szCs w:val="18"/>
              </w:rPr>
              <w:t>Zgornja Sava</w:t>
            </w:r>
          </w:p>
        </w:tc>
        <w:tc>
          <w:tcPr>
            <w:tcW w:w="2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4BEC00"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2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A982CE"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1AB267FE" w14:textId="77777777" w:rsidTr="00BE42F5">
        <w:trPr>
          <w:trHeight w:val="227"/>
        </w:trPr>
        <w:tc>
          <w:tcPr>
            <w:tcW w:w="5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226DD74" w14:textId="77777777" w:rsidR="00BA1338" w:rsidRPr="00545EC0" w:rsidRDefault="00BA1338" w:rsidP="004F2AF2">
            <w:pPr>
              <w:spacing w:line="240" w:lineRule="auto"/>
              <w:rPr>
                <w:rFonts w:cs="Arial"/>
                <w:sz w:val="18"/>
                <w:szCs w:val="18"/>
              </w:rPr>
            </w:pPr>
            <w:r w:rsidRPr="00545EC0">
              <w:rPr>
                <w:rFonts w:cs="Arial"/>
                <w:sz w:val="18"/>
                <w:szCs w:val="18"/>
              </w:rPr>
              <w:t>SI1VT137</w:t>
            </w:r>
          </w:p>
        </w:tc>
        <w:tc>
          <w:tcPr>
            <w:tcW w:w="1922" w:type="pct"/>
            <w:tcBorders>
              <w:top w:val="nil"/>
              <w:left w:val="nil"/>
              <w:bottom w:val="single" w:sz="4" w:space="0" w:color="auto"/>
              <w:right w:val="single" w:sz="4" w:space="0" w:color="auto"/>
            </w:tcBorders>
            <w:shd w:val="clear" w:color="auto" w:fill="FFFFFF" w:themeFill="background1"/>
            <w:noWrap/>
            <w:vAlign w:val="center"/>
            <w:hideMark/>
          </w:tcPr>
          <w:p w14:paraId="580A8D4C" w14:textId="77777777" w:rsidR="00BA1338" w:rsidRPr="00545EC0" w:rsidRDefault="00BA1338" w:rsidP="004F2AF2">
            <w:pPr>
              <w:spacing w:line="240" w:lineRule="auto"/>
              <w:rPr>
                <w:rFonts w:cs="Arial"/>
                <w:sz w:val="18"/>
                <w:szCs w:val="18"/>
              </w:rPr>
            </w:pPr>
            <w:r w:rsidRPr="00545EC0">
              <w:rPr>
                <w:rFonts w:cs="Arial"/>
                <w:sz w:val="18"/>
                <w:szCs w:val="18"/>
              </w:rPr>
              <w:t>VT Sava HE Moste - Podbrezje</w:t>
            </w:r>
          </w:p>
        </w:tc>
        <w:tc>
          <w:tcPr>
            <w:tcW w:w="1308" w:type="pct"/>
            <w:tcBorders>
              <w:top w:val="nil"/>
              <w:left w:val="nil"/>
              <w:bottom w:val="single" w:sz="4" w:space="0" w:color="auto"/>
              <w:right w:val="single" w:sz="4" w:space="0" w:color="auto"/>
            </w:tcBorders>
            <w:shd w:val="clear" w:color="auto" w:fill="FFFFFF" w:themeFill="background1"/>
            <w:noWrap/>
            <w:vAlign w:val="center"/>
            <w:hideMark/>
          </w:tcPr>
          <w:p w14:paraId="27DB7481" w14:textId="77777777" w:rsidR="00BA1338" w:rsidRPr="00545EC0" w:rsidRDefault="00BA1338" w:rsidP="004F2AF2">
            <w:pPr>
              <w:spacing w:line="240" w:lineRule="auto"/>
              <w:rPr>
                <w:rFonts w:cs="Arial"/>
                <w:sz w:val="18"/>
                <w:szCs w:val="18"/>
              </w:rPr>
            </w:pPr>
            <w:r w:rsidRPr="00545EC0">
              <w:rPr>
                <w:rFonts w:cs="Arial"/>
                <w:sz w:val="18"/>
                <w:szCs w:val="18"/>
              </w:rPr>
              <w:t>Sava Dolinka, Završnica</w:t>
            </w:r>
          </w:p>
        </w:tc>
        <w:tc>
          <w:tcPr>
            <w:tcW w:w="693" w:type="pct"/>
            <w:vMerge/>
            <w:tcBorders>
              <w:left w:val="single" w:sz="4" w:space="0" w:color="auto"/>
              <w:right w:val="single" w:sz="4" w:space="0" w:color="auto"/>
            </w:tcBorders>
            <w:shd w:val="clear" w:color="auto" w:fill="FFFFFF" w:themeFill="background1"/>
            <w:vAlign w:val="center"/>
          </w:tcPr>
          <w:p w14:paraId="29112ED0" w14:textId="77777777" w:rsidR="00BA1338" w:rsidRPr="00545EC0" w:rsidRDefault="00BA1338" w:rsidP="004F2AF2">
            <w:pPr>
              <w:spacing w:line="240" w:lineRule="auto"/>
              <w:rPr>
                <w:rFonts w:cs="Arial"/>
                <w:sz w:val="18"/>
                <w:szCs w:val="18"/>
              </w:rPr>
            </w:pPr>
          </w:p>
        </w:tc>
        <w:tc>
          <w:tcPr>
            <w:tcW w:w="231" w:type="pct"/>
            <w:tcBorders>
              <w:top w:val="nil"/>
              <w:left w:val="single" w:sz="4" w:space="0" w:color="auto"/>
              <w:bottom w:val="single" w:sz="4" w:space="0" w:color="auto"/>
              <w:right w:val="single" w:sz="4" w:space="0" w:color="auto"/>
            </w:tcBorders>
            <w:shd w:val="clear" w:color="auto" w:fill="FFFFFF" w:themeFill="background1"/>
            <w:vAlign w:val="center"/>
          </w:tcPr>
          <w:p w14:paraId="133DB303"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268" w:type="pct"/>
            <w:tcBorders>
              <w:top w:val="nil"/>
              <w:left w:val="single" w:sz="4" w:space="0" w:color="auto"/>
              <w:bottom w:val="single" w:sz="4" w:space="0" w:color="auto"/>
              <w:right w:val="single" w:sz="4" w:space="0" w:color="auto"/>
            </w:tcBorders>
            <w:shd w:val="clear" w:color="auto" w:fill="FFFFFF" w:themeFill="background1"/>
            <w:vAlign w:val="center"/>
          </w:tcPr>
          <w:p w14:paraId="41093E93"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140B88BA" w14:textId="77777777" w:rsidTr="00BE42F5">
        <w:trPr>
          <w:trHeight w:val="227"/>
        </w:trPr>
        <w:tc>
          <w:tcPr>
            <w:tcW w:w="5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94C45E7" w14:textId="77777777" w:rsidR="00BA1338" w:rsidRPr="00545EC0" w:rsidRDefault="00BA1338" w:rsidP="004F2AF2">
            <w:pPr>
              <w:spacing w:line="240" w:lineRule="auto"/>
              <w:rPr>
                <w:rFonts w:cs="Arial"/>
                <w:sz w:val="18"/>
                <w:szCs w:val="18"/>
              </w:rPr>
            </w:pPr>
            <w:r w:rsidRPr="00545EC0">
              <w:rPr>
                <w:rFonts w:cs="Arial"/>
                <w:sz w:val="18"/>
                <w:szCs w:val="18"/>
              </w:rPr>
              <w:t>SI1VT170</w:t>
            </w:r>
          </w:p>
        </w:tc>
        <w:tc>
          <w:tcPr>
            <w:tcW w:w="1922" w:type="pct"/>
            <w:tcBorders>
              <w:top w:val="nil"/>
              <w:left w:val="nil"/>
              <w:bottom w:val="single" w:sz="4" w:space="0" w:color="auto"/>
              <w:right w:val="single" w:sz="4" w:space="0" w:color="auto"/>
            </w:tcBorders>
            <w:shd w:val="clear" w:color="auto" w:fill="FFFFFF" w:themeFill="background1"/>
            <w:noWrap/>
            <w:vAlign w:val="center"/>
            <w:hideMark/>
          </w:tcPr>
          <w:p w14:paraId="0E228577" w14:textId="77777777" w:rsidR="00BA1338" w:rsidRPr="00545EC0" w:rsidRDefault="00BA1338" w:rsidP="004F2AF2">
            <w:pPr>
              <w:spacing w:line="240" w:lineRule="auto"/>
              <w:rPr>
                <w:rFonts w:cs="Arial"/>
                <w:sz w:val="18"/>
                <w:szCs w:val="18"/>
              </w:rPr>
            </w:pPr>
            <w:r w:rsidRPr="00545EC0">
              <w:rPr>
                <w:rFonts w:cs="Arial"/>
                <w:sz w:val="18"/>
                <w:szCs w:val="18"/>
              </w:rPr>
              <w:t>MPVT Sava Mavčiče - Medvode</w:t>
            </w:r>
          </w:p>
        </w:tc>
        <w:tc>
          <w:tcPr>
            <w:tcW w:w="1308" w:type="pct"/>
            <w:tcBorders>
              <w:top w:val="nil"/>
              <w:left w:val="nil"/>
              <w:bottom w:val="single" w:sz="4" w:space="0" w:color="auto"/>
              <w:right w:val="single" w:sz="4" w:space="0" w:color="auto"/>
            </w:tcBorders>
            <w:shd w:val="clear" w:color="auto" w:fill="FFFFFF" w:themeFill="background1"/>
            <w:noWrap/>
            <w:vAlign w:val="center"/>
            <w:hideMark/>
          </w:tcPr>
          <w:p w14:paraId="5D66D1D6" w14:textId="77777777" w:rsidR="00BA1338" w:rsidRPr="00545EC0" w:rsidRDefault="00BA1338" w:rsidP="004F2AF2">
            <w:pPr>
              <w:spacing w:line="240" w:lineRule="auto"/>
              <w:rPr>
                <w:rFonts w:cs="Arial"/>
                <w:sz w:val="18"/>
                <w:szCs w:val="18"/>
              </w:rPr>
            </w:pPr>
            <w:r w:rsidRPr="00545EC0">
              <w:rPr>
                <w:rFonts w:cs="Arial"/>
                <w:sz w:val="18"/>
                <w:szCs w:val="18"/>
              </w:rPr>
              <w:t xml:space="preserve">Sava </w:t>
            </w:r>
          </w:p>
        </w:tc>
        <w:tc>
          <w:tcPr>
            <w:tcW w:w="693" w:type="pct"/>
            <w:vMerge/>
            <w:tcBorders>
              <w:left w:val="single" w:sz="4" w:space="0" w:color="auto"/>
              <w:bottom w:val="single" w:sz="4" w:space="0" w:color="auto"/>
              <w:right w:val="single" w:sz="4" w:space="0" w:color="auto"/>
            </w:tcBorders>
            <w:shd w:val="clear" w:color="auto" w:fill="FFFFFF" w:themeFill="background1"/>
            <w:vAlign w:val="center"/>
          </w:tcPr>
          <w:p w14:paraId="4C8CF401" w14:textId="77777777" w:rsidR="00BA1338" w:rsidRPr="00545EC0" w:rsidRDefault="00BA1338" w:rsidP="004F2AF2">
            <w:pPr>
              <w:spacing w:line="240" w:lineRule="auto"/>
              <w:rPr>
                <w:rFonts w:cs="Arial"/>
                <w:sz w:val="18"/>
                <w:szCs w:val="18"/>
              </w:rPr>
            </w:pPr>
          </w:p>
        </w:tc>
        <w:tc>
          <w:tcPr>
            <w:tcW w:w="231" w:type="pct"/>
            <w:tcBorders>
              <w:top w:val="nil"/>
              <w:left w:val="single" w:sz="4" w:space="0" w:color="auto"/>
              <w:bottom w:val="single" w:sz="4" w:space="0" w:color="auto"/>
              <w:right w:val="single" w:sz="4" w:space="0" w:color="auto"/>
            </w:tcBorders>
            <w:shd w:val="clear" w:color="auto" w:fill="FFFFFF" w:themeFill="background1"/>
            <w:vAlign w:val="center"/>
          </w:tcPr>
          <w:p w14:paraId="5679AE77"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268" w:type="pct"/>
            <w:tcBorders>
              <w:top w:val="nil"/>
              <w:left w:val="single" w:sz="4" w:space="0" w:color="auto"/>
              <w:bottom w:val="single" w:sz="4" w:space="0" w:color="auto"/>
              <w:right w:val="single" w:sz="4" w:space="0" w:color="auto"/>
            </w:tcBorders>
            <w:shd w:val="clear" w:color="auto" w:fill="FFFFFF" w:themeFill="background1"/>
            <w:vAlign w:val="center"/>
          </w:tcPr>
          <w:p w14:paraId="1526FED9"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1ADECF33" w14:textId="77777777" w:rsidTr="00BE42F5">
        <w:trPr>
          <w:trHeight w:val="227"/>
        </w:trPr>
        <w:tc>
          <w:tcPr>
            <w:tcW w:w="5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988FC66" w14:textId="77777777" w:rsidR="00BA1338" w:rsidRPr="00545EC0" w:rsidRDefault="00BA1338" w:rsidP="004F2AF2">
            <w:pPr>
              <w:spacing w:line="240" w:lineRule="auto"/>
              <w:rPr>
                <w:rFonts w:cs="Arial"/>
                <w:sz w:val="18"/>
                <w:szCs w:val="18"/>
              </w:rPr>
            </w:pPr>
            <w:r w:rsidRPr="00545EC0">
              <w:rPr>
                <w:rFonts w:cs="Arial"/>
                <w:sz w:val="18"/>
                <w:szCs w:val="18"/>
              </w:rPr>
              <w:t>SI1324VT</w:t>
            </w:r>
          </w:p>
        </w:tc>
        <w:tc>
          <w:tcPr>
            <w:tcW w:w="1922" w:type="pct"/>
            <w:tcBorders>
              <w:top w:val="nil"/>
              <w:left w:val="nil"/>
              <w:bottom w:val="single" w:sz="4" w:space="0" w:color="auto"/>
              <w:right w:val="single" w:sz="4" w:space="0" w:color="auto"/>
            </w:tcBorders>
            <w:shd w:val="clear" w:color="auto" w:fill="FFFFFF" w:themeFill="background1"/>
            <w:noWrap/>
            <w:vAlign w:val="center"/>
            <w:hideMark/>
          </w:tcPr>
          <w:p w14:paraId="37478AB4" w14:textId="77777777" w:rsidR="00BA1338" w:rsidRPr="00545EC0" w:rsidRDefault="00BA1338" w:rsidP="004F2AF2">
            <w:pPr>
              <w:spacing w:line="240" w:lineRule="auto"/>
              <w:rPr>
                <w:rFonts w:cs="Arial"/>
                <w:sz w:val="18"/>
                <w:szCs w:val="18"/>
              </w:rPr>
            </w:pPr>
            <w:r w:rsidRPr="00545EC0">
              <w:rPr>
                <w:rFonts w:cs="Arial"/>
                <w:sz w:val="18"/>
                <w:szCs w:val="18"/>
              </w:rPr>
              <w:t>VT Rača z Radomljo</w:t>
            </w:r>
          </w:p>
        </w:tc>
        <w:tc>
          <w:tcPr>
            <w:tcW w:w="1308" w:type="pct"/>
            <w:tcBorders>
              <w:top w:val="nil"/>
              <w:left w:val="nil"/>
              <w:bottom w:val="single" w:sz="4" w:space="0" w:color="auto"/>
              <w:right w:val="single" w:sz="4" w:space="0" w:color="auto"/>
            </w:tcBorders>
            <w:shd w:val="clear" w:color="auto" w:fill="FFFFFF" w:themeFill="background1"/>
            <w:noWrap/>
            <w:vAlign w:val="center"/>
            <w:hideMark/>
          </w:tcPr>
          <w:p w14:paraId="4EA0F754" w14:textId="77777777" w:rsidR="00BA1338" w:rsidRPr="00545EC0" w:rsidRDefault="00BA1338" w:rsidP="004F2AF2">
            <w:pPr>
              <w:spacing w:line="240" w:lineRule="auto"/>
              <w:rPr>
                <w:rFonts w:cs="Arial"/>
                <w:sz w:val="18"/>
                <w:szCs w:val="18"/>
              </w:rPr>
            </w:pPr>
            <w:r w:rsidRPr="00545EC0">
              <w:rPr>
                <w:rFonts w:cs="Arial"/>
                <w:sz w:val="18"/>
                <w:szCs w:val="18"/>
              </w:rPr>
              <w:t xml:space="preserve">Drtijščica </w:t>
            </w:r>
          </w:p>
        </w:tc>
        <w:tc>
          <w:tcPr>
            <w:tcW w:w="693" w:type="pct"/>
            <w:vMerge w:val="restart"/>
            <w:tcBorders>
              <w:top w:val="nil"/>
              <w:left w:val="single" w:sz="4" w:space="0" w:color="auto"/>
              <w:right w:val="single" w:sz="4" w:space="0" w:color="auto"/>
            </w:tcBorders>
            <w:shd w:val="clear" w:color="auto" w:fill="FFFFFF" w:themeFill="background1"/>
            <w:vAlign w:val="center"/>
          </w:tcPr>
          <w:p w14:paraId="103D267D" w14:textId="77777777" w:rsidR="00BA1338" w:rsidRPr="00545EC0" w:rsidRDefault="00BA1338" w:rsidP="004F2AF2">
            <w:pPr>
              <w:spacing w:line="240" w:lineRule="auto"/>
              <w:rPr>
                <w:rFonts w:cs="Arial"/>
                <w:sz w:val="18"/>
                <w:szCs w:val="18"/>
              </w:rPr>
            </w:pPr>
            <w:r w:rsidRPr="00545EC0">
              <w:rPr>
                <w:rFonts w:cs="Arial"/>
                <w:sz w:val="18"/>
                <w:szCs w:val="18"/>
              </w:rPr>
              <w:t>Srednja Sava</w:t>
            </w:r>
          </w:p>
        </w:tc>
        <w:tc>
          <w:tcPr>
            <w:tcW w:w="231" w:type="pct"/>
            <w:tcBorders>
              <w:top w:val="nil"/>
              <w:left w:val="single" w:sz="4" w:space="0" w:color="auto"/>
              <w:bottom w:val="single" w:sz="4" w:space="0" w:color="auto"/>
              <w:right w:val="single" w:sz="4" w:space="0" w:color="auto"/>
            </w:tcBorders>
            <w:shd w:val="clear" w:color="auto" w:fill="FFFFFF" w:themeFill="background1"/>
            <w:vAlign w:val="center"/>
          </w:tcPr>
          <w:p w14:paraId="14FA3C24" w14:textId="77777777" w:rsidR="00BA1338" w:rsidRPr="00545EC0" w:rsidRDefault="00BA1338" w:rsidP="004F2AF2">
            <w:pPr>
              <w:spacing w:line="240" w:lineRule="auto"/>
              <w:rPr>
                <w:rFonts w:cs="Arial"/>
                <w:sz w:val="18"/>
                <w:szCs w:val="18"/>
              </w:rPr>
            </w:pPr>
            <w:r w:rsidRPr="00545EC0">
              <w:rPr>
                <w:rFonts w:cs="Arial"/>
                <w:sz w:val="18"/>
                <w:szCs w:val="18"/>
              </w:rPr>
              <w:t>0</w:t>
            </w:r>
          </w:p>
        </w:tc>
        <w:tc>
          <w:tcPr>
            <w:tcW w:w="268" w:type="pct"/>
            <w:tcBorders>
              <w:top w:val="nil"/>
              <w:left w:val="single" w:sz="4" w:space="0" w:color="auto"/>
              <w:bottom w:val="single" w:sz="4" w:space="0" w:color="auto"/>
              <w:right w:val="single" w:sz="4" w:space="0" w:color="auto"/>
            </w:tcBorders>
            <w:shd w:val="clear" w:color="auto" w:fill="FFFFFF" w:themeFill="background1"/>
            <w:vAlign w:val="center"/>
          </w:tcPr>
          <w:p w14:paraId="5EE1E36E"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31F1AE91" w14:textId="77777777" w:rsidTr="00BE42F5">
        <w:trPr>
          <w:trHeight w:val="227"/>
        </w:trPr>
        <w:tc>
          <w:tcPr>
            <w:tcW w:w="5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0BFA201" w14:textId="77777777" w:rsidR="00BA1338" w:rsidRPr="00545EC0" w:rsidRDefault="00BA1338" w:rsidP="004F2AF2">
            <w:pPr>
              <w:spacing w:line="240" w:lineRule="auto"/>
              <w:rPr>
                <w:rFonts w:cs="Arial"/>
                <w:sz w:val="18"/>
                <w:szCs w:val="18"/>
              </w:rPr>
            </w:pPr>
            <w:r w:rsidRPr="00545EC0">
              <w:rPr>
                <w:rFonts w:cs="Arial"/>
                <w:sz w:val="18"/>
                <w:szCs w:val="18"/>
              </w:rPr>
              <w:t>SI148VT5</w:t>
            </w:r>
          </w:p>
        </w:tc>
        <w:tc>
          <w:tcPr>
            <w:tcW w:w="1922" w:type="pct"/>
            <w:tcBorders>
              <w:top w:val="nil"/>
              <w:left w:val="nil"/>
              <w:bottom w:val="single" w:sz="4" w:space="0" w:color="auto"/>
              <w:right w:val="single" w:sz="4" w:space="0" w:color="auto"/>
            </w:tcBorders>
            <w:shd w:val="clear" w:color="auto" w:fill="FFFFFF" w:themeFill="background1"/>
            <w:noWrap/>
            <w:vAlign w:val="center"/>
            <w:hideMark/>
          </w:tcPr>
          <w:p w14:paraId="02B6EF56" w14:textId="77777777" w:rsidR="00BA1338" w:rsidRPr="00545EC0" w:rsidRDefault="00BA1338" w:rsidP="004F2AF2">
            <w:pPr>
              <w:spacing w:line="240" w:lineRule="auto"/>
              <w:rPr>
                <w:rFonts w:cs="Arial"/>
                <w:sz w:val="18"/>
                <w:szCs w:val="18"/>
              </w:rPr>
            </w:pPr>
            <w:r w:rsidRPr="00545EC0">
              <w:rPr>
                <w:rFonts w:cs="Arial"/>
                <w:sz w:val="18"/>
                <w:szCs w:val="18"/>
              </w:rPr>
              <w:t>VT Mali Graben z Gradaščico</w:t>
            </w:r>
          </w:p>
        </w:tc>
        <w:tc>
          <w:tcPr>
            <w:tcW w:w="1308" w:type="pct"/>
            <w:tcBorders>
              <w:top w:val="nil"/>
              <w:left w:val="nil"/>
              <w:bottom w:val="single" w:sz="4" w:space="0" w:color="auto"/>
              <w:right w:val="single" w:sz="4" w:space="0" w:color="auto"/>
            </w:tcBorders>
            <w:shd w:val="clear" w:color="auto" w:fill="FFFFFF" w:themeFill="background1"/>
            <w:noWrap/>
            <w:vAlign w:val="center"/>
            <w:hideMark/>
          </w:tcPr>
          <w:p w14:paraId="3F086A2B" w14:textId="77777777" w:rsidR="00BA1338" w:rsidRPr="00545EC0" w:rsidRDefault="00BA1338" w:rsidP="004F2AF2">
            <w:pPr>
              <w:spacing w:line="240" w:lineRule="auto"/>
              <w:rPr>
                <w:rFonts w:cs="Arial"/>
                <w:sz w:val="18"/>
                <w:szCs w:val="18"/>
              </w:rPr>
            </w:pPr>
            <w:r w:rsidRPr="00545EC0">
              <w:rPr>
                <w:rFonts w:cs="Arial"/>
                <w:sz w:val="18"/>
                <w:szCs w:val="18"/>
              </w:rPr>
              <w:t xml:space="preserve">Gradaščica </w:t>
            </w:r>
          </w:p>
        </w:tc>
        <w:tc>
          <w:tcPr>
            <w:tcW w:w="693" w:type="pct"/>
            <w:vMerge/>
            <w:tcBorders>
              <w:left w:val="single" w:sz="4" w:space="0" w:color="auto"/>
              <w:right w:val="single" w:sz="4" w:space="0" w:color="auto"/>
            </w:tcBorders>
            <w:shd w:val="clear" w:color="auto" w:fill="FFFFFF" w:themeFill="background1"/>
            <w:vAlign w:val="center"/>
          </w:tcPr>
          <w:p w14:paraId="40DDC8BE" w14:textId="77777777" w:rsidR="00BA1338" w:rsidRPr="00545EC0" w:rsidRDefault="00BA1338" w:rsidP="004F2AF2">
            <w:pPr>
              <w:spacing w:line="240" w:lineRule="auto"/>
              <w:rPr>
                <w:rFonts w:cs="Arial"/>
                <w:sz w:val="18"/>
                <w:szCs w:val="18"/>
              </w:rPr>
            </w:pPr>
          </w:p>
        </w:tc>
        <w:tc>
          <w:tcPr>
            <w:tcW w:w="231" w:type="pct"/>
            <w:tcBorders>
              <w:top w:val="nil"/>
              <w:left w:val="single" w:sz="4" w:space="0" w:color="auto"/>
              <w:bottom w:val="single" w:sz="4" w:space="0" w:color="auto"/>
              <w:right w:val="single" w:sz="4" w:space="0" w:color="auto"/>
            </w:tcBorders>
            <w:shd w:val="clear" w:color="auto" w:fill="FFFFFF" w:themeFill="background1"/>
            <w:vAlign w:val="center"/>
          </w:tcPr>
          <w:p w14:paraId="176AF8B1"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268" w:type="pct"/>
            <w:tcBorders>
              <w:top w:val="nil"/>
              <w:left w:val="single" w:sz="4" w:space="0" w:color="auto"/>
              <w:bottom w:val="single" w:sz="4" w:space="0" w:color="auto"/>
              <w:right w:val="single" w:sz="4" w:space="0" w:color="auto"/>
            </w:tcBorders>
            <w:shd w:val="clear" w:color="auto" w:fill="FFFFFF" w:themeFill="background1"/>
            <w:vAlign w:val="center"/>
          </w:tcPr>
          <w:p w14:paraId="7DD365B4"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34A6E0CD" w14:textId="77777777" w:rsidTr="00BE42F5">
        <w:trPr>
          <w:trHeight w:val="227"/>
        </w:trPr>
        <w:tc>
          <w:tcPr>
            <w:tcW w:w="5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FC2B40A" w14:textId="77777777" w:rsidR="00BA1338" w:rsidRPr="00545EC0" w:rsidRDefault="00BA1338" w:rsidP="004F2AF2">
            <w:pPr>
              <w:spacing w:line="240" w:lineRule="auto"/>
              <w:rPr>
                <w:rFonts w:cs="Arial"/>
                <w:sz w:val="18"/>
                <w:szCs w:val="18"/>
              </w:rPr>
            </w:pPr>
            <w:r w:rsidRPr="00545EC0">
              <w:rPr>
                <w:rFonts w:cs="Arial"/>
                <w:sz w:val="18"/>
                <w:szCs w:val="18"/>
              </w:rPr>
              <w:t>SI14912VT</w:t>
            </w:r>
          </w:p>
        </w:tc>
        <w:tc>
          <w:tcPr>
            <w:tcW w:w="1922" w:type="pct"/>
            <w:tcBorders>
              <w:top w:val="nil"/>
              <w:left w:val="nil"/>
              <w:bottom w:val="single" w:sz="4" w:space="0" w:color="auto"/>
              <w:right w:val="single" w:sz="4" w:space="0" w:color="auto"/>
            </w:tcBorders>
            <w:shd w:val="clear" w:color="auto" w:fill="FFFFFF" w:themeFill="background1"/>
            <w:noWrap/>
            <w:vAlign w:val="center"/>
            <w:hideMark/>
          </w:tcPr>
          <w:p w14:paraId="0B81A26D" w14:textId="77777777" w:rsidR="00BA1338" w:rsidRPr="00545EC0" w:rsidRDefault="00BA1338" w:rsidP="004F2AF2">
            <w:pPr>
              <w:spacing w:line="240" w:lineRule="auto"/>
              <w:rPr>
                <w:rFonts w:cs="Arial"/>
                <w:sz w:val="18"/>
                <w:szCs w:val="18"/>
              </w:rPr>
            </w:pPr>
            <w:r w:rsidRPr="00545EC0">
              <w:rPr>
                <w:rFonts w:cs="Arial"/>
                <w:sz w:val="18"/>
                <w:szCs w:val="18"/>
              </w:rPr>
              <w:t>UVT Gruberjev prekop</w:t>
            </w:r>
          </w:p>
        </w:tc>
        <w:tc>
          <w:tcPr>
            <w:tcW w:w="1308" w:type="pct"/>
            <w:tcBorders>
              <w:top w:val="nil"/>
              <w:left w:val="nil"/>
              <w:bottom w:val="single" w:sz="4" w:space="0" w:color="auto"/>
              <w:right w:val="single" w:sz="4" w:space="0" w:color="auto"/>
            </w:tcBorders>
            <w:shd w:val="clear" w:color="auto" w:fill="FFFFFF" w:themeFill="background1"/>
            <w:noWrap/>
            <w:vAlign w:val="center"/>
            <w:hideMark/>
          </w:tcPr>
          <w:p w14:paraId="0740EB52" w14:textId="77777777" w:rsidR="00BA1338" w:rsidRPr="00545EC0" w:rsidRDefault="00BA1338" w:rsidP="004F2AF2">
            <w:pPr>
              <w:spacing w:line="240" w:lineRule="auto"/>
              <w:rPr>
                <w:rFonts w:cs="Arial"/>
                <w:sz w:val="18"/>
                <w:szCs w:val="18"/>
              </w:rPr>
            </w:pPr>
            <w:r w:rsidRPr="00545EC0">
              <w:rPr>
                <w:rFonts w:cs="Arial"/>
                <w:sz w:val="18"/>
                <w:szCs w:val="18"/>
              </w:rPr>
              <w:t>dUVT Gruberjev prekop</w:t>
            </w:r>
          </w:p>
        </w:tc>
        <w:tc>
          <w:tcPr>
            <w:tcW w:w="693" w:type="pct"/>
            <w:vMerge/>
            <w:tcBorders>
              <w:left w:val="single" w:sz="4" w:space="0" w:color="auto"/>
              <w:right w:val="single" w:sz="4" w:space="0" w:color="auto"/>
            </w:tcBorders>
            <w:shd w:val="clear" w:color="auto" w:fill="FFFFFF" w:themeFill="background1"/>
            <w:vAlign w:val="center"/>
          </w:tcPr>
          <w:p w14:paraId="60905359" w14:textId="77777777" w:rsidR="00BA1338" w:rsidRPr="00545EC0" w:rsidRDefault="00BA1338" w:rsidP="004F2AF2">
            <w:pPr>
              <w:spacing w:line="240" w:lineRule="auto"/>
              <w:rPr>
                <w:rFonts w:cs="Arial"/>
                <w:sz w:val="18"/>
                <w:szCs w:val="18"/>
              </w:rPr>
            </w:pPr>
          </w:p>
        </w:tc>
        <w:tc>
          <w:tcPr>
            <w:tcW w:w="231" w:type="pct"/>
            <w:tcBorders>
              <w:top w:val="nil"/>
              <w:left w:val="single" w:sz="4" w:space="0" w:color="auto"/>
              <w:bottom w:val="single" w:sz="4" w:space="0" w:color="auto"/>
              <w:right w:val="single" w:sz="4" w:space="0" w:color="auto"/>
            </w:tcBorders>
            <w:shd w:val="clear" w:color="auto" w:fill="FFFFFF" w:themeFill="background1"/>
            <w:vAlign w:val="center"/>
          </w:tcPr>
          <w:p w14:paraId="1BDA5DC4"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268" w:type="pct"/>
            <w:tcBorders>
              <w:top w:val="nil"/>
              <w:left w:val="single" w:sz="4" w:space="0" w:color="auto"/>
              <w:bottom w:val="single" w:sz="4" w:space="0" w:color="auto"/>
              <w:right w:val="single" w:sz="4" w:space="0" w:color="auto"/>
            </w:tcBorders>
            <w:shd w:val="clear" w:color="auto" w:fill="FFFFFF" w:themeFill="background1"/>
            <w:vAlign w:val="center"/>
          </w:tcPr>
          <w:p w14:paraId="234BF947"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1C549B25" w14:textId="77777777" w:rsidTr="00BE42F5">
        <w:trPr>
          <w:trHeight w:val="227"/>
        </w:trPr>
        <w:tc>
          <w:tcPr>
            <w:tcW w:w="5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10AE14F" w14:textId="77777777" w:rsidR="00BA1338" w:rsidRPr="00545EC0" w:rsidRDefault="00BA1338" w:rsidP="004F2AF2">
            <w:pPr>
              <w:spacing w:line="240" w:lineRule="auto"/>
              <w:rPr>
                <w:rFonts w:cs="Arial"/>
                <w:sz w:val="18"/>
                <w:szCs w:val="18"/>
              </w:rPr>
            </w:pPr>
            <w:r w:rsidRPr="00545EC0">
              <w:rPr>
                <w:rFonts w:cs="Arial"/>
                <w:sz w:val="18"/>
                <w:szCs w:val="18"/>
              </w:rPr>
              <w:t>SI14VT77</w:t>
            </w:r>
          </w:p>
        </w:tc>
        <w:tc>
          <w:tcPr>
            <w:tcW w:w="1922" w:type="pct"/>
            <w:tcBorders>
              <w:top w:val="nil"/>
              <w:left w:val="nil"/>
              <w:bottom w:val="single" w:sz="4" w:space="0" w:color="auto"/>
              <w:right w:val="single" w:sz="4" w:space="0" w:color="auto"/>
            </w:tcBorders>
            <w:shd w:val="clear" w:color="auto" w:fill="FFFFFF" w:themeFill="background1"/>
            <w:noWrap/>
            <w:vAlign w:val="center"/>
            <w:hideMark/>
          </w:tcPr>
          <w:p w14:paraId="19723618" w14:textId="77777777" w:rsidR="00BA1338" w:rsidRPr="00545EC0" w:rsidRDefault="00BA1338" w:rsidP="004F2AF2">
            <w:pPr>
              <w:spacing w:line="240" w:lineRule="auto"/>
              <w:rPr>
                <w:rFonts w:cs="Arial"/>
                <w:sz w:val="18"/>
                <w:szCs w:val="18"/>
              </w:rPr>
            </w:pPr>
            <w:r w:rsidRPr="00545EC0">
              <w:rPr>
                <w:rFonts w:cs="Arial"/>
                <w:sz w:val="18"/>
                <w:szCs w:val="18"/>
              </w:rPr>
              <w:t>VT Ljubljanica povirje - Ljubljana</w:t>
            </w:r>
          </w:p>
        </w:tc>
        <w:tc>
          <w:tcPr>
            <w:tcW w:w="1308" w:type="pct"/>
            <w:tcBorders>
              <w:top w:val="nil"/>
              <w:left w:val="nil"/>
              <w:bottom w:val="single" w:sz="4" w:space="0" w:color="auto"/>
              <w:right w:val="single" w:sz="4" w:space="0" w:color="auto"/>
            </w:tcBorders>
            <w:shd w:val="clear" w:color="auto" w:fill="FFFFFF" w:themeFill="background1"/>
            <w:noWrap/>
            <w:vAlign w:val="center"/>
            <w:hideMark/>
          </w:tcPr>
          <w:p w14:paraId="4D91F882" w14:textId="77777777" w:rsidR="00BA1338" w:rsidRPr="00545EC0" w:rsidRDefault="00BA1338" w:rsidP="004F2AF2">
            <w:pPr>
              <w:spacing w:line="240" w:lineRule="auto"/>
              <w:rPr>
                <w:rFonts w:cs="Arial"/>
                <w:sz w:val="18"/>
                <w:szCs w:val="18"/>
              </w:rPr>
            </w:pPr>
            <w:r w:rsidRPr="00545EC0">
              <w:rPr>
                <w:rFonts w:cs="Arial"/>
                <w:sz w:val="18"/>
                <w:szCs w:val="18"/>
              </w:rPr>
              <w:t xml:space="preserve">Ljubljanica </w:t>
            </w:r>
          </w:p>
        </w:tc>
        <w:tc>
          <w:tcPr>
            <w:tcW w:w="693" w:type="pct"/>
            <w:vMerge/>
            <w:tcBorders>
              <w:left w:val="single" w:sz="4" w:space="0" w:color="auto"/>
              <w:right w:val="single" w:sz="4" w:space="0" w:color="auto"/>
            </w:tcBorders>
            <w:shd w:val="clear" w:color="auto" w:fill="FFFFFF" w:themeFill="background1"/>
            <w:vAlign w:val="center"/>
          </w:tcPr>
          <w:p w14:paraId="73F764A2" w14:textId="77777777" w:rsidR="00BA1338" w:rsidRPr="00545EC0" w:rsidRDefault="00BA1338" w:rsidP="004F2AF2">
            <w:pPr>
              <w:spacing w:line="240" w:lineRule="auto"/>
              <w:rPr>
                <w:rFonts w:cs="Arial"/>
                <w:sz w:val="18"/>
                <w:szCs w:val="18"/>
              </w:rPr>
            </w:pPr>
          </w:p>
        </w:tc>
        <w:tc>
          <w:tcPr>
            <w:tcW w:w="231" w:type="pct"/>
            <w:tcBorders>
              <w:top w:val="nil"/>
              <w:left w:val="single" w:sz="4" w:space="0" w:color="auto"/>
              <w:bottom w:val="single" w:sz="4" w:space="0" w:color="auto"/>
              <w:right w:val="single" w:sz="4" w:space="0" w:color="auto"/>
            </w:tcBorders>
            <w:shd w:val="clear" w:color="auto" w:fill="FFFFFF" w:themeFill="background1"/>
            <w:vAlign w:val="center"/>
          </w:tcPr>
          <w:p w14:paraId="74DC956E"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268" w:type="pct"/>
            <w:tcBorders>
              <w:top w:val="nil"/>
              <w:left w:val="single" w:sz="4" w:space="0" w:color="auto"/>
              <w:bottom w:val="single" w:sz="4" w:space="0" w:color="auto"/>
              <w:right w:val="single" w:sz="4" w:space="0" w:color="auto"/>
            </w:tcBorders>
            <w:shd w:val="clear" w:color="auto" w:fill="FFFFFF" w:themeFill="background1"/>
            <w:vAlign w:val="center"/>
          </w:tcPr>
          <w:p w14:paraId="4D5DA375"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04614BEC" w14:textId="77777777" w:rsidTr="00BE42F5">
        <w:trPr>
          <w:trHeight w:val="227"/>
        </w:trPr>
        <w:tc>
          <w:tcPr>
            <w:tcW w:w="5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4D09389" w14:textId="77777777" w:rsidR="00BA1338" w:rsidRPr="00545EC0" w:rsidRDefault="00BA1338" w:rsidP="004F2AF2">
            <w:pPr>
              <w:spacing w:line="240" w:lineRule="auto"/>
              <w:rPr>
                <w:rFonts w:cs="Arial"/>
                <w:sz w:val="18"/>
                <w:szCs w:val="18"/>
              </w:rPr>
            </w:pPr>
            <w:r w:rsidRPr="00545EC0">
              <w:rPr>
                <w:rFonts w:cs="Arial"/>
                <w:sz w:val="18"/>
                <w:szCs w:val="18"/>
              </w:rPr>
              <w:lastRenderedPageBreak/>
              <w:t>SI14VT93</w:t>
            </w:r>
          </w:p>
        </w:tc>
        <w:tc>
          <w:tcPr>
            <w:tcW w:w="1922" w:type="pct"/>
            <w:tcBorders>
              <w:top w:val="nil"/>
              <w:left w:val="nil"/>
              <w:bottom w:val="single" w:sz="4" w:space="0" w:color="auto"/>
              <w:right w:val="single" w:sz="4" w:space="0" w:color="auto"/>
            </w:tcBorders>
            <w:shd w:val="clear" w:color="auto" w:fill="FFFFFF" w:themeFill="background1"/>
            <w:noWrap/>
            <w:vAlign w:val="center"/>
            <w:hideMark/>
          </w:tcPr>
          <w:p w14:paraId="00B8D859" w14:textId="77777777" w:rsidR="00BA1338" w:rsidRPr="00545EC0" w:rsidRDefault="00BA1338" w:rsidP="004F2AF2">
            <w:pPr>
              <w:spacing w:line="240" w:lineRule="auto"/>
              <w:rPr>
                <w:rFonts w:cs="Arial"/>
                <w:sz w:val="18"/>
                <w:szCs w:val="18"/>
              </w:rPr>
            </w:pPr>
            <w:r w:rsidRPr="00545EC0">
              <w:rPr>
                <w:rFonts w:cs="Arial"/>
                <w:sz w:val="18"/>
                <w:szCs w:val="18"/>
              </w:rPr>
              <w:t>MPVT Mestna Ljubljanica</w:t>
            </w:r>
          </w:p>
        </w:tc>
        <w:tc>
          <w:tcPr>
            <w:tcW w:w="1308" w:type="pct"/>
            <w:tcBorders>
              <w:top w:val="nil"/>
              <w:left w:val="nil"/>
              <w:bottom w:val="single" w:sz="4" w:space="0" w:color="auto"/>
              <w:right w:val="single" w:sz="4" w:space="0" w:color="auto"/>
            </w:tcBorders>
            <w:shd w:val="clear" w:color="auto" w:fill="FFFFFF" w:themeFill="background1"/>
            <w:noWrap/>
            <w:vAlign w:val="center"/>
            <w:hideMark/>
          </w:tcPr>
          <w:p w14:paraId="4E507F42" w14:textId="77777777" w:rsidR="00BA1338" w:rsidRPr="00545EC0" w:rsidRDefault="00BA1338" w:rsidP="004F2AF2">
            <w:pPr>
              <w:spacing w:line="240" w:lineRule="auto"/>
              <w:rPr>
                <w:rFonts w:cs="Arial"/>
                <w:sz w:val="18"/>
                <w:szCs w:val="18"/>
              </w:rPr>
            </w:pPr>
            <w:r w:rsidRPr="00545EC0">
              <w:rPr>
                <w:rFonts w:cs="Arial"/>
                <w:sz w:val="18"/>
                <w:szCs w:val="18"/>
              </w:rPr>
              <w:t xml:space="preserve">Ljubljanica </w:t>
            </w:r>
          </w:p>
        </w:tc>
        <w:tc>
          <w:tcPr>
            <w:tcW w:w="693" w:type="pct"/>
            <w:vMerge/>
            <w:tcBorders>
              <w:left w:val="single" w:sz="4" w:space="0" w:color="auto"/>
              <w:right w:val="single" w:sz="4" w:space="0" w:color="auto"/>
            </w:tcBorders>
            <w:shd w:val="clear" w:color="auto" w:fill="FFFFFF" w:themeFill="background1"/>
            <w:vAlign w:val="center"/>
          </w:tcPr>
          <w:p w14:paraId="012EF846" w14:textId="77777777" w:rsidR="00BA1338" w:rsidRPr="00545EC0" w:rsidRDefault="00BA1338" w:rsidP="004F2AF2">
            <w:pPr>
              <w:spacing w:line="240" w:lineRule="auto"/>
              <w:rPr>
                <w:rFonts w:cs="Arial"/>
                <w:sz w:val="18"/>
                <w:szCs w:val="18"/>
              </w:rPr>
            </w:pPr>
          </w:p>
        </w:tc>
        <w:tc>
          <w:tcPr>
            <w:tcW w:w="231" w:type="pct"/>
            <w:tcBorders>
              <w:top w:val="nil"/>
              <w:left w:val="single" w:sz="4" w:space="0" w:color="auto"/>
              <w:bottom w:val="single" w:sz="4" w:space="0" w:color="auto"/>
              <w:right w:val="single" w:sz="4" w:space="0" w:color="auto"/>
            </w:tcBorders>
            <w:shd w:val="clear" w:color="auto" w:fill="FFFFFF" w:themeFill="background1"/>
            <w:vAlign w:val="center"/>
          </w:tcPr>
          <w:p w14:paraId="01F74696"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268" w:type="pct"/>
            <w:tcBorders>
              <w:top w:val="nil"/>
              <w:left w:val="single" w:sz="4" w:space="0" w:color="auto"/>
              <w:bottom w:val="single" w:sz="4" w:space="0" w:color="auto"/>
              <w:right w:val="single" w:sz="4" w:space="0" w:color="auto"/>
            </w:tcBorders>
            <w:shd w:val="clear" w:color="auto" w:fill="FFFFFF" w:themeFill="background1"/>
            <w:vAlign w:val="center"/>
          </w:tcPr>
          <w:p w14:paraId="065BA1F8"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6FBC3091" w14:textId="77777777" w:rsidTr="00BE42F5">
        <w:trPr>
          <w:trHeight w:val="227"/>
        </w:trPr>
        <w:tc>
          <w:tcPr>
            <w:tcW w:w="5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3AA5701" w14:textId="77777777" w:rsidR="00BA1338" w:rsidRPr="00545EC0" w:rsidRDefault="00BA1338" w:rsidP="004F2AF2">
            <w:pPr>
              <w:spacing w:line="240" w:lineRule="auto"/>
              <w:rPr>
                <w:rFonts w:cs="Arial"/>
                <w:sz w:val="18"/>
                <w:szCs w:val="18"/>
              </w:rPr>
            </w:pPr>
            <w:r w:rsidRPr="00545EC0">
              <w:rPr>
                <w:rFonts w:cs="Arial"/>
                <w:sz w:val="18"/>
                <w:szCs w:val="18"/>
              </w:rPr>
              <w:t>SI1VT310</w:t>
            </w:r>
          </w:p>
        </w:tc>
        <w:tc>
          <w:tcPr>
            <w:tcW w:w="1922" w:type="pct"/>
            <w:tcBorders>
              <w:top w:val="nil"/>
              <w:left w:val="nil"/>
              <w:bottom w:val="single" w:sz="4" w:space="0" w:color="auto"/>
              <w:right w:val="single" w:sz="4" w:space="0" w:color="auto"/>
            </w:tcBorders>
            <w:shd w:val="clear" w:color="auto" w:fill="FFFFFF" w:themeFill="background1"/>
            <w:noWrap/>
            <w:vAlign w:val="center"/>
            <w:hideMark/>
          </w:tcPr>
          <w:p w14:paraId="58D87991" w14:textId="77777777" w:rsidR="00BA1338" w:rsidRPr="00545EC0" w:rsidRDefault="00BA1338" w:rsidP="004F2AF2">
            <w:pPr>
              <w:spacing w:line="240" w:lineRule="auto"/>
              <w:rPr>
                <w:rFonts w:cs="Arial"/>
                <w:sz w:val="18"/>
                <w:szCs w:val="18"/>
              </w:rPr>
            </w:pPr>
            <w:r w:rsidRPr="00545EC0">
              <w:rPr>
                <w:rFonts w:cs="Arial"/>
                <w:sz w:val="18"/>
                <w:szCs w:val="18"/>
              </w:rPr>
              <w:t>VT Sava Medvode - Podgrad</w:t>
            </w:r>
          </w:p>
        </w:tc>
        <w:tc>
          <w:tcPr>
            <w:tcW w:w="1308" w:type="pct"/>
            <w:tcBorders>
              <w:top w:val="nil"/>
              <w:left w:val="nil"/>
              <w:bottom w:val="single" w:sz="4" w:space="0" w:color="auto"/>
              <w:right w:val="single" w:sz="4" w:space="0" w:color="auto"/>
            </w:tcBorders>
            <w:shd w:val="clear" w:color="auto" w:fill="FFFFFF" w:themeFill="background1"/>
            <w:noWrap/>
            <w:vAlign w:val="center"/>
            <w:hideMark/>
          </w:tcPr>
          <w:p w14:paraId="03BCA19C" w14:textId="77777777" w:rsidR="00BA1338" w:rsidRPr="00545EC0" w:rsidRDefault="00BA1338" w:rsidP="004F2AF2">
            <w:pPr>
              <w:spacing w:line="240" w:lineRule="auto"/>
              <w:rPr>
                <w:rFonts w:cs="Arial"/>
                <w:sz w:val="18"/>
                <w:szCs w:val="18"/>
              </w:rPr>
            </w:pPr>
            <w:r w:rsidRPr="00545EC0">
              <w:rPr>
                <w:rFonts w:cs="Arial"/>
                <w:sz w:val="18"/>
                <w:szCs w:val="18"/>
              </w:rPr>
              <w:t xml:space="preserve">Sava </w:t>
            </w:r>
          </w:p>
        </w:tc>
        <w:tc>
          <w:tcPr>
            <w:tcW w:w="693" w:type="pct"/>
            <w:vMerge/>
            <w:tcBorders>
              <w:left w:val="single" w:sz="4" w:space="0" w:color="auto"/>
              <w:bottom w:val="single" w:sz="4" w:space="0" w:color="auto"/>
              <w:right w:val="single" w:sz="4" w:space="0" w:color="auto"/>
            </w:tcBorders>
            <w:shd w:val="clear" w:color="auto" w:fill="FFFFFF" w:themeFill="background1"/>
            <w:vAlign w:val="center"/>
          </w:tcPr>
          <w:p w14:paraId="76908515" w14:textId="77777777" w:rsidR="00BA1338" w:rsidRPr="00545EC0" w:rsidRDefault="00BA1338" w:rsidP="004F2AF2">
            <w:pPr>
              <w:spacing w:line="240" w:lineRule="auto"/>
              <w:rPr>
                <w:rFonts w:cs="Arial"/>
                <w:sz w:val="18"/>
                <w:szCs w:val="18"/>
              </w:rPr>
            </w:pPr>
          </w:p>
        </w:tc>
        <w:tc>
          <w:tcPr>
            <w:tcW w:w="231" w:type="pct"/>
            <w:tcBorders>
              <w:top w:val="nil"/>
              <w:left w:val="single" w:sz="4" w:space="0" w:color="auto"/>
              <w:bottom w:val="single" w:sz="4" w:space="0" w:color="auto"/>
              <w:right w:val="single" w:sz="4" w:space="0" w:color="auto"/>
            </w:tcBorders>
            <w:shd w:val="clear" w:color="auto" w:fill="FFFFFF" w:themeFill="background1"/>
            <w:vAlign w:val="center"/>
          </w:tcPr>
          <w:p w14:paraId="214E654D"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268" w:type="pct"/>
            <w:tcBorders>
              <w:top w:val="nil"/>
              <w:left w:val="single" w:sz="4" w:space="0" w:color="auto"/>
              <w:bottom w:val="single" w:sz="4" w:space="0" w:color="auto"/>
              <w:right w:val="single" w:sz="4" w:space="0" w:color="auto"/>
            </w:tcBorders>
            <w:shd w:val="clear" w:color="auto" w:fill="FFFFFF" w:themeFill="background1"/>
            <w:vAlign w:val="center"/>
          </w:tcPr>
          <w:p w14:paraId="5790F963"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49BE1423" w14:textId="77777777" w:rsidTr="00BE42F5">
        <w:trPr>
          <w:trHeight w:val="227"/>
        </w:trPr>
        <w:tc>
          <w:tcPr>
            <w:tcW w:w="5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1A01035" w14:textId="77777777" w:rsidR="00BA1338" w:rsidRPr="00545EC0" w:rsidRDefault="00BA1338" w:rsidP="004F2AF2">
            <w:pPr>
              <w:spacing w:line="240" w:lineRule="auto"/>
              <w:rPr>
                <w:rFonts w:cs="Arial"/>
                <w:sz w:val="18"/>
                <w:szCs w:val="18"/>
              </w:rPr>
            </w:pPr>
            <w:r w:rsidRPr="00545EC0">
              <w:rPr>
                <w:rFonts w:cs="Arial"/>
                <w:sz w:val="18"/>
                <w:szCs w:val="18"/>
              </w:rPr>
              <w:t>SI18VT31</w:t>
            </w:r>
          </w:p>
        </w:tc>
        <w:tc>
          <w:tcPr>
            <w:tcW w:w="1922" w:type="pct"/>
            <w:tcBorders>
              <w:top w:val="nil"/>
              <w:left w:val="nil"/>
              <w:bottom w:val="single" w:sz="4" w:space="0" w:color="auto"/>
              <w:right w:val="single" w:sz="4" w:space="0" w:color="auto"/>
            </w:tcBorders>
            <w:shd w:val="clear" w:color="auto" w:fill="FFFFFF" w:themeFill="background1"/>
            <w:noWrap/>
            <w:vAlign w:val="center"/>
            <w:hideMark/>
          </w:tcPr>
          <w:p w14:paraId="149A7987" w14:textId="77777777" w:rsidR="00BA1338" w:rsidRPr="00545EC0" w:rsidRDefault="00BA1338" w:rsidP="004F2AF2">
            <w:pPr>
              <w:spacing w:line="240" w:lineRule="auto"/>
              <w:rPr>
                <w:rFonts w:cs="Arial"/>
                <w:sz w:val="18"/>
                <w:szCs w:val="18"/>
              </w:rPr>
            </w:pPr>
            <w:r w:rsidRPr="00545EC0">
              <w:rPr>
                <w:rFonts w:cs="Arial"/>
                <w:sz w:val="18"/>
                <w:szCs w:val="18"/>
              </w:rPr>
              <w:t>VT Krka povirje - Soteska</w:t>
            </w:r>
          </w:p>
        </w:tc>
        <w:tc>
          <w:tcPr>
            <w:tcW w:w="1308" w:type="pct"/>
            <w:tcBorders>
              <w:top w:val="nil"/>
              <w:left w:val="nil"/>
              <w:bottom w:val="single" w:sz="4" w:space="0" w:color="auto"/>
              <w:right w:val="single" w:sz="4" w:space="0" w:color="auto"/>
            </w:tcBorders>
            <w:shd w:val="clear" w:color="auto" w:fill="FFFFFF" w:themeFill="background1"/>
            <w:noWrap/>
            <w:vAlign w:val="center"/>
            <w:hideMark/>
          </w:tcPr>
          <w:p w14:paraId="0534F355" w14:textId="77777777" w:rsidR="00BA1338" w:rsidRPr="00545EC0" w:rsidRDefault="00BA1338" w:rsidP="004F2AF2">
            <w:pPr>
              <w:spacing w:line="240" w:lineRule="auto"/>
              <w:rPr>
                <w:rFonts w:cs="Arial"/>
                <w:sz w:val="18"/>
                <w:szCs w:val="18"/>
              </w:rPr>
            </w:pPr>
            <w:r w:rsidRPr="00545EC0">
              <w:rPr>
                <w:rFonts w:cs="Arial"/>
                <w:sz w:val="18"/>
                <w:szCs w:val="18"/>
              </w:rPr>
              <w:t xml:space="preserve">Krka </w:t>
            </w:r>
          </w:p>
        </w:tc>
        <w:tc>
          <w:tcPr>
            <w:tcW w:w="693" w:type="pct"/>
            <w:vMerge w:val="restart"/>
            <w:tcBorders>
              <w:top w:val="nil"/>
              <w:left w:val="single" w:sz="4" w:space="0" w:color="auto"/>
              <w:right w:val="single" w:sz="4" w:space="0" w:color="auto"/>
            </w:tcBorders>
            <w:shd w:val="clear" w:color="auto" w:fill="FFFFFF" w:themeFill="background1"/>
            <w:vAlign w:val="center"/>
          </w:tcPr>
          <w:p w14:paraId="5B67BBB3" w14:textId="77777777" w:rsidR="00BA1338" w:rsidRPr="00545EC0" w:rsidRDefault="00BA1338" w:rsidP="004F2AF2">
            <w:pPr>
              <w:spacing w:line="240" w:lineRule="auto"/>
              <w:rPr>
                <w:rFonts w:cs="Arial"/>
                <w:sz w:val="18"/>
                <w:szCs w:val="18"/>
              </w:rPr>
            </w:pPr>
            <w:r w:rsidRPr="00545EC0">
              <w:rPr>
                <w:rFonts w:cs="Arial"/>
                <w:sz w:val="18"/>
                <w:szCs w:val="18"/>
              </w:rPr>
              <w:t>Savinja</w:t>
            </w:r>
          </w:p>
        </w:tc>
        <w:tc>
          <w:tcPr>
            <w:tcW w:w="231" w:type="pct"/>
            <w:tcBorders>
              <w:top w:val="nil"/>
              <w:left w:val="single" w:sz="4" w:space="0" w:color="auto"/>
              <w:bottom w:val="single" w:sz="4" w:space="0" w:color="auto"/>
              <w:right w:val="single" w:sz="4" w:space="0" w:color="auto"/>
            </w:tcBorders>
            <w:shd w:val="clear" w:color="auto" w:fill="FFFFFF" w:themeFill="background1"/>
            <w:vAlign w:val="center"/>
          </w:tcPr>
          <w:p w14:paraId="3598A83B"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268" w:type="pct"/>
            <w:tcBorders>
              <w:top w:val="nil"/>
              <w:left w:val="single" w:sz="4" w:space="0" w:color="auto"/>
              <w:bottom w:val="single" w:sz="4" w:space="0" w:color="auto"/>
              <w:right w:val="single" w:sz="4" w:space="0" w:color="auto"/>
            </w:tcBorders>
            <w:shd w:val="clear" w:color="auto" w:fill="FFFFFF" w:themeFill="background1"/>
            <w:vAlign w:val="center"/>
          </w:tcPr>
          <w:p w14:paraId="3C7AAFFB"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19E30A85" w14:textId="77777777" w:rsidTr="00BE42F5">
        <w:trPr>
          <w:trHeight w:val="227"/>
        </w:trPr>
        <w:tc>
          <w:tcPr>
            <w:tcW w:w="5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C176865" w14:textId="77777777" w:rsidR="00BA1338" w:rsidRPr="00545EC0" w:rsidRDefault="00BA1338" w:rsidP="004F2AF2">
            <w:pPr>
              <w:spacing w:line="240" w:lineRule="auto"/>
              <w:rPr>
                <w:rFonts w:cs="Arial"/>
                <w:sz w:val="18"/>
                <w:szCs w:val="18"/>
              </w:rPr>
            </w:pPr>
            <w:r w:rsidRPr="00545EC0">
              <w:rPr>
                <w:rFonts w:cs="Arial"/>
                <w:sz w:val="18"/>
                <w:szCs w:val="18"/>
              </w:rPr>
              <w:t>SI18VT77</w:t>
            </w:r>
          </w:p>
        </w:tc>
        <w:tc>
          <w:tcPr>
            <w:tcW w:w="1922" w:type="pct"/>
            <w:tcBorders>
              <w:top w:val="nil"/>
              <w:left w:val="nil"/>
              <w:bottom w:val="single" w:sz="4" w:space="0" w:color="auto"/>
              <w:right w:val="single" w:sz="4" w:space="0" w:color="auto"/>
            </w:tcBorders>
            <w:shd w:val="clear" w:color="auto" w:fill="FFFFFF" w:themeFill="background1"/>
            <w:noWrap/>
            <w:vAlign w:val="center"/>
            <w:hideMark/>
          </w:tcPr>
          <w:p w14:paraId="490CB0D3" w14:textId="77777777" w:rsidR="00BA1338" w:rsidRPr="00545EC0" w:rsidRDefault="00BA1338" w:rsidP="004F2AF2">
            <w:pPr>
              <w:spacing w:line="240" w:lineRule="auto"/>
              <w:rPr>
                <w:rFonts w:cs="Arial"/>
                <w:sz w:val="18"/>
                <w:szCs w:val="18"/>
              </w:rPr>
            </w:pPr>
            <w:r w:rsidRPr="00545EC0">
              <w:rPr>
                <w:rFonts w:cs="Arial"/>
                <w:sz w:val="18"/>
                <w:szCs w:val="18"/>
              </w:rPr>
              <w:t>VT Krka Soteska - Otočec</w:t>
            </w:r>
          </w:p>
        </w:tc>
        <w:tc>
          <w:tcPr>
            <w:tcW w:w="1308" w:type="pct"/>
            <w:tcBorders>
              <w:top w:val="nil"/>
              <w:left w:val="nil"/>
              <w:bottom w:val="single" w:sz="4" w:space="0" w:color="auto"/>
              <w:right w:val="single" w:sz="4" w:space="0" w:color="auto"/>
            </w:tcBorders>
            <w:shd w:val="clear" w:color="auto" w:fill="FFFFFF" w:themeFill="background1"/>
            <w:noWrap/>
            <w:vAlign w:val="center"/>
            <w:hideMark/>
          </w:tcPr>
          <w:p w14:paraId="06E86918" w14:textId="77777777" w:rsidR="00BA1338" w:rsidRPr="00545EC0" w:rsidRDefault="00BA1338" w:rsidP="004F2AF2">
            <w:pPr>
              <w:spacing w:line="240" w:lineRule="auto"/>
              <w:rPr>
                <w:rFonts w:cs="Arial"/>
                <w:sz w:val="18"/>
                <w:szCs w:val="18"/>
              </w:rPr>
            </w:pPr>
            <w:r w:rsidRPr="00545EC0">
              <w:rPr>
                <w:rFonts w:cs="Arial"/>
                <w:sz w:val="18"/>
                <w:szCs w:val="18"/>
              </w:rPr>
              <w:t xml:space="preserve">Krka </w:t>
            </w:r>
          </w:p>
        </w:tc>
        <w:tc>
          <w:tcPr>
            <w:tcW w:w="693" w:type="pct"/>
            <w:vMerge/>
            <w:tcBorders>
              <w:left w:val="single" w:sz="4" w:space="0" w:color="auto"/>
              <w:right w:val="single" w:sz="4" w:space="0" w:color="auto"/>
            </w:tcBorders>
            <w:shd w:val="clear" w:color="auto" w:fill="FFFFFF" w:themeFill="background1"/>
            <w:vAlign w:val="center"/>
          </w:tcPr>
          <w:p w14:paraId="1D147A6A" w14:textId="77777777" w:rsidR="00BA1338" w:rsidRPr="00545EC0" w:rsidRDefault="00BA1338" w:rsidP="004F2AF2">
            <w:pPr>
              <w:spacing w:line="240" w:lineRule="auto"/>
              <w:rPr>
                <w:rFonts w:cs="Arial"/>
                <w:sz w:val="18"/>
                <w:szCs w:val="18"/>
              </w:rPr>
            </w:pPr>
          </w:p>
        </w:tc>
        <w:tc>
          <w:tcPr>
            <w:tcW w:w="231" w:type="pct"/>
            <w:tcBorders>
              <w:top w:val="nil"/>
              <w:left w:val="single" w:sz="4" w:space="0" w:color="auto"/>
              <w:bottom w:val="single" w:sz="4" w:space="0" w:color="auto"/>
              <w:right w:val="single" w:sz="4" w:space="0" w:color="auto"/>
            </w:tcBorders>
            <w:shd w:val="clear" w:color="auto" w:fill="FFFFFF" w:themeFill="background1"/>
            <w:vAlign w:val="center"/>
          </w:tcPr>
          <w:p w14:paraId="35A8ECEE"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268" w:type="pct"/>
            <w:tcBorders>
              <w:top w:val="nil"/>
              <w:left w:val="single" w:sz="4" w:space="0" w:color="auto"/>
              <w:bottom w:val="single" w:sz="4" w:space="0" w:color="auto"/>
              <w:right w:val="single" w:sz="4" w:space="0" w:color="auto"/>
            </w:tcBorders>
            <w:shd w:val="clear" w:color="auto" w:fill="FFFFFF" w:themeFill="background1"/>
            <w:vAlign w:val="center"/>
          </w:tcPr>
          <w:p w14:paraId="2C9637AF"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7AD3F219" w14:textId="77777777" w:rsidTr="00BE42F5">
        <w:trPr>
          <w:trHeight w:val="227"/>
        </w:trPr>
        <w:tc>
          <w:tcPr>
            <w:tcW w:w="5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61750E8" w14:textId="77777777" w:rsidR="00BA1338" w:rsidRPr="00545EC0" w:rsidRDefault="00BA1338" w:rsidP="004F2AF2">
            <w:pPr>
              <w:spacing w:line="240" w:lineRule="auto"/>
              <w:rPr>
                <w:rFonts w:cs="Arial"/>
                <w:sz w:val="18"/>
                <w:szCs w:val="18"/>
              </w:rPr>
            </w:pPr>
            <w:r w:rsidRPr="00545EC0">
              <w:rPr>
                <w:rFonts w:cs="Arial"/>
                <w:sz w:val="18"/>
                <w:szCs w:val="18"/>
              </w:rPr>
              <w:t>SI192VT1</w:t>
            </w:r>
          </w:p>
        </w:tc>
        <w:tc>
          <w:tcPr>
            <w:tcW w:w="1922" w:type="pct"/>
            <w:tcBorders>
              <w:top w:val="nil"/>
              <w:left w:val="nil"/>
              <w:bottom w:val="single" w:sz="4" w:space="0" w:color="auto"/>
              <w:right w:val="single" w:sz="4" w:space="0" w:color="auto"/>
            </w:tcBorders>
            <w:shd w:val="clear" w:color="auto" w:fill="FFFFFF" w:themeFill="background1"/>
            <w:noWrap/>
            <w:vAlign w:val="center"/>
            <w:hideMark/>
          </w:tcPr>
          <w:p w14:paraId="37879DC9" w14:textId="77777777" w:rsidR="00BA1338" w:rsidRPr="00545EC0" w:rsidRDefault="00BA1338" w:rsidP="004F2AF2">
            <w:pPr>
              <w:spacing w:line="240" w:lineRule="auto"/>
              <w:rPr>
                <w:rFonts w:cs="Arial"/>
                <w:sz w:val="18"/>
                <w:szCs w:val="18"/>
              </w:rPr>
            </w:pPr>
            <w:r w:rsidRPr="00545EC0">
              <w:rPr>
                <w:rFonts w:cs="Arial"/>
                <w:sz w:val="18"/>
                <w:szCs w:val="18"/>
              </w:rPr>
              <w:t>VT Sotla Dobovec - Podčetrtek</w:t>
            </w:r>
          </w:p>
        </w:tc>
        <w:tc>
          <w:tcPr>
            <w:tcW w:w="1308" w:type="pct"/>
            <w:tcBorders>
              <w:top w:val="nil"/>
              <w:left w:val="nil"/>
              <w:bottom w:val="single" w:sz="4" w:space="0" w:color="auto"/>
              <w:right w:val="single" w:sz="4" w:space="0" w:color="auto"/>
            </w:tcBorders>
            <w:shd w:val="clear" w:color="auto" w:fill="FFFFFF" w:themeFill="background1"/>
            <w:noWrap/>
            <w:vAlign w:val="center"/>
            <w:hideMark/>
          </w:tcPr>
          <w:p w14:paraId="68BD0920" w14:textId="77777777" w:rsidR="00BA1338" w:rsidRPr="00545EC0" w:rsidRDefault="00BA1338" w:rsidP="004F2AF2">
            <w:pPr>
              <w:spacing w:line="240" w:lineRule="auto"/>
              <w:rPr>
                <w:rFonts w:cs="Arial"/>
                <w:sz w:val="18"/>
                <w:szCs w:val="18"/>
              </w:rPr>
            </w:pPr>
            <w:r w:rsidRPr="00545EC0">
              <w:rPr>
                <w:rFonts w:cs="Arial"/>
                <w:sz w:val="18"/>
                <w:szCs w:val="18"/>
              </w:rPr>
              <w:t xml:space="preserve">Odenca </w:t>
            </w:r>
          </w:p>
        </w:tc>
        <w:tc>
          <w:tcPr>
            <w:tcW w:w="693" w:type="pct"/>
            <w:vMerge/>
            <w:tcBorders>
              <w:left w:val="single" w:sz="4" w:space="0" w:color="auto"/>
              <w:right w:val="single" w:sz="4" w:space="0" w:color="auto"/>
            </w:tcBorders>
            <w:shd w:val="clear" w:color="auto" w:fill="FFFFFF" w:themeFill="background1"/>
            <w:vAlign w:val="center"/>
          </w:tcPr>
          <w:p w14:paraId="3713FA0D" w14:textId="77777777" w:rsidR="00BA1338" w:rsidRPr="00545EC0" w:rsidRDefault="00BA1338" w:rsidP="004F2AF2">
            <w:pPr>
              <w:spacing w:line="240" w:lineRule="auto"/>
              <w:rPr>
                <w:rFonts w:cs="Arial"/>
                <w:sz w:val="18"/>
                <w:szCs w:val="18"/>
              </w:rPr>
            </w:pPr>
          </w:p>
        </w:tc>
        <w:tc>
          <w:tcPr>
            <w:tcW w:w="231" w:type="pct"/>
            <w:tcBorders>
              <w:top w:val="nil"/>
              <w:left w:val="single" w:sz="4" w:space="0" w:color="auto"/>
              <w:bottom w:val="single" w:sz="4" w:space="0" w:color="auto"/>
              <w:right w:val="single" w:sz="4" w:space="0" w:color="auto"/>
            </w:tcBorders>
            <w:shd w:val="clear" w:color="auto" w:fill="FFFFFF" w:themeFill="background1"/>
            <w:vAlign w:val="center"/>
          </w:tcPr>
          <w:p w14:paraId="146C8E01" w14:textId="77777777" w:rsidR="00BA1338" w:rsidRPr="00545EC0" w:rsidRDefault="00BA1338" w:rsidP="004F2AF2">
            <w:pPr>
              <w:spacing w:line="240" w:lineRule="auto"/>
              <w:rPr>
                <w:rFonts w:cs="Arial"/>
                <w:sz w:val="18"/>
                <w:szCs w:val="18"/>
              </w:rPr>
            </w:pPr>
            <w:r w:rsidRPr="00545EC0">
              <w:rPr>
                <w:rFonts w:cs="Arial"/>
                <w:sz w:val="18"/>
                <w:szCs w:val="18"/>
              </w:rPr>
              <w:t>0</w:t>
            </w:r>
          </w:p>
        </w:tc>
        <w:tc>
          <w:tcPr>
            <w:tcW w:w="268" w:type="pct"/>
            <w:tcBorders>
              <w:top w:val="nil"/>
              <w:left w:val="single" w:sz="4" w:space="0" w:color="auto"/>
              <w:bottom w:val="single" w:sz="4" w:space="0" w:color="auto"/>
              <w:right w:val="single" w:sz="4" w:space="0" w:color="auto"/>
            </w:tcBorders>
            <w:shd w:val="clear" w:color="auto" w:fill="FFFFFF" w:themeFill="background1"/>
            <w:vAlign w:val="center"/>
          </w:tcPr>
          <w:p w14:paraId="23908891"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4523FED4" w14:textId="77777777" w:rsidTr="00BE42F5">
        <w:trPr>
          <w:trHeight w:val="227"/>
        </w:trPr>
        <w:tc>
          <w:tcPr>
            <w:tcW w:w="5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FFB979A" w14:textId="77777777" w:rsidR="00BA1338" w:rsidRPr="00545EC0" w:rsidRDefault="00BA1338" w:rsidP="004F2AF2">
            <w:pPr>
              <w:spacing w:line="240" w:lineRule="auto"/>
              <w:rPr>
                <w:rFonts w:cs="Arial"/>
                <w:sz w:val="18"/>
                <w:szCs w:val="18"/>
              </w:rPr>
            </w:pPr>
            <w:r w:rsidRPr="00545EC0">
              <w:rPr>
                <w:rFonts w:cs="Arial"/>
                <w:sz w:val="18"/>
                <w:szCs w:val="18"/>
              </w:rPr>
              <w:t>SI1VT713</w:t>
            </w:r>
          </w:p>
        </w:tc>
        <w:tc>
          <w:tcPr>
            <w:tcW w:w="1922" w:type="pct"/>
            <w:tcBorders>
              <w:top w:val="nil"/>
              <w:left w:val="nil"/>
              <w:bottom w:val="single" w:sz="4" w:space="0" w:color="auto"/>
              <w:right w:val="single" w:sz="4" w:space="0" w:color="auto"/>
            </w:tcBorders>
            <w:shd w:val="clear" w:color="auto" w:fill="FFFFFF" w:themeFill="background1"/>
            <w:noWrap/>
            <w:vAlign w:val="center"/>
            <w:hideMark/>
          </w:tcPr>
          <w:p w14:paraId="61F3C5C9" w14:textId="77777777" w:rsidR="00BA1338" w:rsidRPr="00545EC0" w:rsidRDefault="00BA1338" w:rsidP="004F2AF2">
            <w:pPr>
              <w:spacing w:line="240" w:lineRule="auto"/>
              <w:rPr>
                <w:rFonts w:cs="Arial"/>
                <w:sz w:val="18"/>
                <w:szCs w:val="18"/>
              </w:rPr>
            </w:pPr>
            <w:r w:rsidRPr="00545EC0">
              <w:rPr>
                <w:rFonts w:cs="Arial"/>
                <w:sz w:val="18"/>
                <w:szCs w:val="18"/>
              </w:rPr>
              <w:t>MPVT Sava Vrhovo - Boštanj</w:t>
            </w:r>
          </w:p>
        </w:tc>
        <w:tc>
          <w:tcPr>
            <w:tcW w:w="1308" w:type="pct"/>
            <w:tcBorders>
              <w:top w:val="nil"/>
              <w:left w:val="nil"/>
              <w:bottom w:val="single" w:sz="4" w:space="0" w:color="auto"/>
              <w:right w:val="single" w:sz="4" w:space="0" w:color="auto"/>
            </w:tcBorders>
            <w:shd w:val="clear" w:color="auto" w:fill="FFFFFF" w:themeFill="background1"/>
            <w:noWrap/>
            <w:vAlign w:val="center"/>
            <w:hideMark/>
          </w:tcPr>
          <w:p w14:paraId="5FF79DDD" w14:textId="77777777" w:rsidR="00BA1338" w:rsidRPr="00545EC0" w:rsidRDefault="00BA1338" w:rsidP="004F2AF2">
            <w:pPr>
              <w:spacing w:line="240" w:lineRule="auto"/>
              <w:rPr>
                <w:rFonts w:cs="Arial"/>
                <w:sz w:val="18"/>
                <w:szCs w:val="18"/>
              </w:rPr>
            </w:pPr>
            <w:r w:rsidRPr="00545EC0">
              <w:rPr>
                <w:rFonts w:cs="Arial"/>
                <w:sz w:val="18"/>
                <w:szCs w:val="18"/>
              </w:rPr>
              <w:t xml:space="preserve">Sava </w:t>
            </w:r>
          </w:p>
        </w:tc>
        <w:tc>
          <w:tcPr>
            <w:tcW w:w="693" w:type="pct"/>
            <w:vMerge/>
            <w:tcBorders>
              <w:left w:val="single" w:sz="4" w:space="0" w:color="auto"/>
              <w:right w:val="single" w:sz="4" w:space="0" w:color="auto"/>
            </w:tcBorders>
            <w:shd w:val="clear" w:color="auto" w:fill="FFFFFF" w:themeFill="background1"/>
            <w:vAlign w:val="center"/>
          </w:tcPr>
          <w:p w14:paraId="39700C10" w14:textId="77777777" w:rsidR="00BA1338" w:rsidRPr="00545EC0" w:rsidRDefault="00BA1338" w:rsidP="004F2AF2">
            <w:pPr>
              <w:spacing w:line="240" w:lineRule="auto"/>
              <w:rPr>
                <w:rFonts w:cs="Arial"/>
                <w:sz w:val="18"/>
                <w:szCs w:val="18"/>
              </w:rPr>
            </w:pPr>
          </w:p>
        </w:tc>
        <w:tc>
          <w:tcPr>
            <w:tcW w:w="231" w:type="pct"/>
            <w:tcBorders>
              <w:top w:val="nil"/>
              <w:left w:val="single" w:sz="4" w:space="0" w:color="auto"/>
              <w:bottom w:val="single" w:sz="4" w:space="0" w:color="auto"/>
              <w:right w:val="single" w:sz="4" w:space="0" w:color="auto"/>
            </w:tcBorders>
            <w:shd w:val="clear" w:color="auto" w:fill="FFFFFF" w:themeFill="background1"/>
            <w:vAlign w:val="center"/>
          </w:tcPr>
          <w:p w14:paraId="1A8BA76B"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268" w:type="pct"/>
            <w:tcBorders>
              <w:top w:val="nil"/>
              <w:left w:val="single" w:sz="4" w:space="0" w:color="auto"/>
              <w:bottom w:val="single" w:sz="4" w:space="0" w:color="auto"/>
              <w:right w:val="single" w:sz="4" w:space="0" w:color="auto"/>
            </w:tcBorders>
            <w:shd w:val="clear" w:color="auto" w:fill="FFFFFF" w:themeFill="background1"/>
            <w:vAlign w:val="center"/>
          </w:tcPr>
          <w:p w14:paraId="7AA27308"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263A3410" w14:textId="77777777" w:rsidTr="00BE42F5">
        <w:trPr>
          <w:trHeight w:val="227"/>
        </w:trPr>
        <w:tc>
          <w:tcPr>
            <w:tcW w:w="5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0F3EDB3" w14:textId="77777777" w:rsidR="00BA1338" w:rsidRPr="00545EC0" w:rsidRDefault="00BA1338" w:rsidP="004F2AF2">
            <w:pPr>
              <w:spacing w:line="240" w:lineRule="auto"/>
              <w:rPr>
                <w:rFonts w:cs="Arial"/>
                <w:sz w:val="18"/>
                <w:szCs w:val="18"/>
              </w:rPr>
            </w:pPr>
            <w:r w:rsidRPr="00545EC0">
              <w:rPr>
                <w:rFonts w:cs="Arial"/>
                <w:sz w:val="18"/>
                <w:szCs w:val="18"/>
              </w:rPr>
              <w:t>SI1VT739</w:t>
            </w:r>
          </w:p>
        </w:tc>
        <w:tc>
          <w:tcPr>
            <w:tcW w:w="1922" w:type="pct"/>
            <w:tcBorders>
              <w:top w:val="nil"/>
              <w:left w:val="nil"/>
              <w:bottom w:val="single" w:sz="4" w:space="0" w:color="auto"/>
              <w:right w:val="single" w:sz="4" w:space="0" w:color="auto"/>
            </w:tcBorders>
            <w:shd w:val="clear" w:color="auto" w:fill="FFFFFF" w:themeFill="background1"/>
            <w:noWrap/>
            <w:vAlign w:val="center"/>
            <w:hideMark/>
          </w:tcPr>
          <w:p w14:paraId="78F2A7F8" w14:textId="77777777" w:rsidR="00BA1338" w:rsidRPr="00545EC0" w:rsidRDefault="00BA1338" w:rsidP="004F2AF2">
            <w:pPr>
              <w:spacing w:line="240" w:lineRule="auto"/>
              <w:rPr>
                <w:rFonts w:cs="Arial"/>
                <w:sz w:val="18"/>
                <w:szCs w:val="18"/>
              </w:rPr>
            </w:pPr>
            <w:r w:rsidRPr="00545EC0">
              <w:rPr>
                <w:rFonts w:cs="Arial"/>
                <w:sz w:val="18"/>
                <w:szCs w:val="18"/>
              </w:rPr>
              <w:t>VT Sava Boštanj - Krško</w:t>
            </w:r>
          </w:p>
        </w:tc>
        <w:tc>
          <w:tcPr>
            <w:tcW w:w="1308" w:type="pct"/>
            <w:tcBorders>
              <w:top w:val="nil"/>
              <w:left w:val="nil"/>
              <w:bottom w:val="single" w:sz="4" w:space="0" w:color="auto"/>
              <w:right w:val="single" w:sz="4" w:space="0" w:color="auto"/>
            </w:tcBorders>
            <w:shd w:val="clear" w:color="auto" w:fill="FFFFFF" w:themeFill="background1"/>
            <w:noWrap/>
            <w:vAlign w:val="center"/>
            <w:hideMark/>
          </w:tcPr>
          <w:p w14:paraId="1022BAED" w14:textId="77777777" w:rsidR="00BA1338" w:rsidRPr="00545EC0" w:rsidRDefault="00BA1338" w:rsidP="004F2AF2">
            <w:pPr>
              <w:spacing w:line="240" w:lineRule="auto"/>
              <w:rPr>
                <w:rFonts w:cs="Arial"/>
                <w:sz w:val="18"/>
                <w:szCs w:val="18"/>
              </w:rPr>
            </w:pPr>
            <w:r w:rsidRPr="00545EC0">
              <w:rPr>
                <w:rFonts w:cs="Arial"/>
                <w:sz w:val="18"/>
                <w:szCs w:val="18"/>
              </w:rPr>
              <w:t xml:space="preserve">Sava </w:t>
            </w:r>
          </w:p>
        </w:tc>
        <w:tc>
          <w:tcPr>
            <w:tcW w:w="693" w:type="pct"/>
            <w:vMerge/>
            <w:tcBorders>
              <w:left w:val="single" w:sz="4" w:space="0" w:color="auto"/>
              <w:right w:val="single" w:sz="4" w:space="0" w:color="auto"/>
            </w:tcBorders>
            <w:shd w:val="clear" w:color="auto" w:fill="FFFFFF" w:themeFill="background1"/>
            <w:vAlign w:val="center"/>
          </w:tcPr>
          <w:p w14:paraId="1F69C3E2" w14:textId="77777777" w:rsidR="00BA1338" w:rsidRPr="00545EC0" w:rsidRDefault="00BA1338" w:rsidP="004F2AF2">
            <w:pPr>
              <w:spacing w:line="240" w:lineRule="auto"/>
              <w:rPr>
                <w:rFonts w:cs="Arial"/>
                <w:sz w:val="18"/>
                <w:szCs w:val="18"/>
              </w:rPr>
            </w:pPr>
          </w:p>
        </w:tc>
        <w:tc>
          <w:tcPr>
            <w:tcW w:w="231" w:type="pct"/>
            <w:tcBorders>
              <w:top w:val="nil"/>
              <w:left w:val="single" w:sz="4" w:space="0" w:color="auto"/>
              <w:bottom w:val="single" w:sz="4" w:space="0" w:color="auto"/>
              <w:right w:val="single" w:sz="4" w:space="0" w:color="auto"/>
            </w:tcBorders>
            <w:shd w:val="clear" w:color="auto" w:fill="FFFFFF" w:themeFill="background1"/>
            <w:vAlign w:val="center"/>
          </w:tcPr>
          <w:p w14:paraId="378C67E7"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268" w:type="pct"/>
            <w:tcBorders>
              <w:top w:val="nil"/>
              <w:left w:val="single" w:sz="4" w:space="0" w:color="auto"/>
              <w:bottom w:val="single" w:sz="4" w:space="0" w:color="auto"/>
              <w:right w:val="single" w:sz="4" w:space="0" w:color="auto"/>
            </w:tcBorders>
            <w:shd w:val="clear" w:color="auto" w:fill="FFFFFF" w:themeFill="background1"/>
            <w:vAlign w:val="center"/>
          </w:tcPr>
          <w:p w14:paraId="207AE89B"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4DB364DD" w14:textId="77777777" w:rsidTr="00BE42F5">
        <w:trPr>
          <w:trHeight w:val="227"/>
        </w:trPr>
        <w:tc>
          <w:tcPr>
            <w:tcW w:w="5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1EC14AB" w14:textId="77777777" w:rsidR="00BA1338" w:rsidRPr="00545EC0" w:rsidRDefault="00BA1338" w:rsidP="004F2AF2">
            <w:pPr>
              <w:spacing w:line="240" w:lineRule="auto"/>
              <w:rPr>
                <w:rFonts w:cs="Arial"/>
                <w:sz w:val="18"/>
                <w:szCs w:val="18"/>
              </w:rPr>
            </w:pPr>
            <w:r w:rsidRPr="00545EC0">
              <w:rPr>
                <w:rFonts w:cs="Arial"/>
                <w:sz w:val="18"/>
                <w:szCs w:val="18"/>
              </w:rPr>
              <w:t>SI1VT913</w:t>
            </w:r>
          </w:p>
        </w:tc>
        <w:tc>
          <w:tcPr>
            <w:tcW w:w="1922" w:type="pct"/>
            <w:tcBorders>
              <w:top w:val="nil"/>
              <w:left w:val="nil"/>
              <w:bottom w:val="single" w:sz="4" w:space="0" w:color="auto"/>
              <w:right w:val="single" w:sz="4" w:space="0" w:color="auto"/>
            </w:tcBorders>
            <w:shd w:val="clear" w:color="auto" w:fill="FFFFFF" w:themeFill="background1"/>
            <w:noWrap/>
            <w:vAlign w:val="center"/>
            <w:hideMark/>
          </w:tcPr>
          <w:p w14:paraId="78E1A934" w14:textId="77777777" w:rsidR="00BA1338" w:rsidRPr="00545EC0" w:rsidRDefault="00BA1338" w:rsidP="004F2AF2">
            <w:pPr>
              <w:spacing w:line="240" w:lineRule="auto"/>
              <w:rPr>
                <w:rFonts w:cs="Arial"/>
                <w:sz w:val="18"/>
                <w:szCs w:val="18"/>
              </w:rPr>
            </w:pPr>
            <w:r w:rsidRPr="00545EC0">
              <w:rPr>
                <w:rFonts w:cs="Arial"/>
                <w:sz w:val="18"/>
                <w:szCs w:val="18"/>
              </w:rPr>
              <w:t>VT Sava Krško - Vrbina</w:t>
            </w:r>
          </w:p>
        </w:tc>
        <w:tc>
          <w:tcPr>
            <w:tcW w:w="1308" w:type="pct"/>
            <w:tcBorders>
              <w:top w:val="nil"/>
              <w:left w:val="nil"/>
              <w:bottom w:val="single" w:sz="4" w:space="0" w:color="auto"/>
              <w:right w:val="single" w:sz="4" w:space="0" w:color="auto"/>
            </w:tcBorders>
            <w:shd w:val="clear" w:color="auto" w:fill="FFFFFF" w:themeFill="background1"/>
            <w:noWrap/>
            <w:vAlign w:val="center"/>
            <w:hideMark/>
          </w:tcPr>
          <w:p w14:paraId="04251BDE" w14:textId="77777777" w:rsidR="00BA1338" w:rsidRPr="00545EC0" w:rsidRDefault="00BA1338" w:rsidP="004F2AF2">
            <w:pPr>
              <w:spacing w:line="240" w:lineRule="auto"/>
              <w:rPr>
                <w:rFonts w:cs="Arial"/>
                <w:sz w:val="18"/>
                <w:szCs w:val="18"/>
              </w:rPr>
            </w:pPr>
            <w:r w:rsidRPr="00545EC0">
              <w:rPr>
                <w:rFonts w:cs="Arial"/>
                <w:sz w:val="18"/>
                <w:szCs w:val="18"/>
              </w:rPr>
              <w:t xml:space="preserve">Sava </w:t>
            </w:r>
          </w:p>
        </w:tc>
        <w:tc>
          <w:tcPr>
            <w:tcW w:w="693" w:type="pct"/>
            <w:vMerge/>
            <w:tcBorders>
              <w:left w:val="single" w:sz="4" w:space="0" w:color="auto"/>
              <w:right w:val="single" w:sz="4" w:space="0" w:color="auto"/>
            </w:tcBorders>
            <w:shd w:val="clear" w:color="auto" w:fill="FFFFFF" w:themeFill="background1"/>
            <w:vAlign w:val="center"/>
          </w:tcPr>
          <w:p w14:paraId="1EAABD63" w14:textId="77777777" w:rsidR="00BA1338" w:rsidRPr="00545EC0" w:rsidRDefault="00BA1338" w:rsidP="004F2AF2">
            <w:pPr>
              <w:spacing w:line="240" w:lineRule="auto"/>
              <w:rPr>
                <w:rFonts w:cs="Arial"/>
                <w:sz w:val="18"/>
                <w:szCs w:val="18"/>
              </w:rPr>
            </w:pPr>
          </w:p>
        </w:tc>
        <w:tc>
          <w:tcPr>
            <w:tcW w:w="231" w:type="pct"/>
            <w:tcBorders>
              <w:top w:val="nil"/>
              <w:left w:val="single" w:sz="4" w:space="0" w:color="auto"/>
              <w:bottom w:val="single" w:sz="4" w:space="0" w:color="auto"/>
              <w:right w:val="single" w:sz="4" w:space="0" w:color="auto"/>
            </w:tcBorders>
            <w:shd w:val="clear" w:color="auto" w:fill="FFFFFF" w:themeFill="background1"/>
            <w:vAlign w:val="center"/>
          </w:tcPr>
          <w:p w14:paraId="1730391D"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268" w:type="pct"/>
            <w:tcBorders>
              <w:top w:val="nil"/>
              <w:left w:val="single" w:sz="4" w:space="0" w:color="auto"/>
              <w:bottom w:val="single" w:sz="4" w:space="0" w:color="auto"/>
              <w:right w:val="single" w:sz="4" w:space="0" w:color="auto"/>
            </w:tcBorders>
            <w:shd w:val="clear" w:color="auto" w:fill="FFFFFF" w:themeFill="background1"/>
            <w:vAlign w:val="center"/>
          </w:tcPr>
          <w:p w14:paraId="300BBF37"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3E9F242A" w14:textId="77777777" w:rsidTr="00BE42F5">
        <w:trPr>
          <w:trHeight w:val="227"/>
        </w:trPr>
        <w:tc>
          <w:tcPr>
            <w:tcW w:w="5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63161DA" w14:textId="77777777" w:rsidR="00BA1338" w:rsidRPr="00545EC0" w:rsidRDefault="00BA1338" w:rsidP="004F2AF2">
            <w:pPr>
              <w:spacing w:line="240" w:lineRule="auto"/>
              <w:rPr>
                <w:rFonts w:cs="Arial"/>
                <w:sz w:val="18"/>
                <w:szCs w:val="18"/>
              </w:rPr>
            </w:pPr>
            <w:r w:rsidRPr="00545EC0">
              <w:rPr>
                <w:rFonts w:cs="Arial"/>
                <w:sz w:val="18"/>
                <w:szCs w:val="18"/>
              </w:rPr>
              <w:t>SI21332VT</w:t>
            </w:r>
          </w:p>
        </w:tc>
        <w:tc>
          <w:tcPr>
            <w:tcW w:w="1922" w:type="pct"/>
            <w:tcBorders>
              <w:top w:val="nil"/>
              <w:left w:val="nil"/>
              <w:bottom w:val="single" w:sz="4" w:space="0" w:color="auto"/>
              <w:right w:val="single" w:sz="4" w:space="0" w:color="auto"/>
            </w:tcBorders>
            <w:shd w:val="clear" w:color="auto" w:fill="FFFFFF" w:themeFill="background1"/>
            <w:noWrap/>
            <w:vAlign w:val="center"/>
            <w:hideMark/>
          </w:tcPr>
          <w:p w14:paraId="5F83D3CA" w14:textId="77777777" w:rsidR="00BA1338" w:rsidRPr="00545EC0" w:rsidRDefault="00BA1338" w:rsidP="004F2AF2">
            <w:pPr>
              <w:spacing w:line="240" w:lineRule="auto"/>
              <w:rPr>
                <w:rFonts w:cs="Arial"/>
                <w:sz w:val="18"/>
                <w:szCs w:val="18"/>
              </w:rPr>
            </w:pPr>
            <w:r w:rsidRPr="00545EC0">
              <w:rPr>
                <w:rFonts w:cs="Arial"/>
                <w:sz w:val="18"/>
                <w:szCs w:val="18"/>
              </w:rPr>
              <w:t>VT Rinža</w:t>
            </w:r>
          </w:p>
        </w:tc>
        <w:tc>
          <w:tcPr>
            <w:tcW w:w="1308" w:type="pct"/>
            <w:tcBorders>
              <w:top w:val="nil"/>
              <w:left w:val="nil"/>
              <w:bottom w:val="single" w:sz="4" w:space="0" w:color="auto"/>
              <w:right w:val="single" w:sz="4" w:space="0" w:color="auto"/>
            </w:tcBorders>
            <w:shd w:val="clear" w:color="auto" w:fill="FFFFFF" w:themeFill="background1"/>
            <w:noWrap/>
            <w:vAlign w:val="center"/>
            <w:hideMark/>
          </w:tcPr>
          <w:p w14:paraId="5F60E64A" w14:textId="77777777" w:rsidR="00BA1338" w:rsidRPr="00545EC0" w:rsidRDefault="00BA1338" w:rsidP="004F2AF2">
            <w:pPr>
              <w:spacing w:line="240" w:lineRule="auto"/>
              <w:rPr>
                <w:rFonts w:cs="Arial"/>
                <w:sz w:val="18"/>
                <w:szCs w:val="18"/>
              </w:rPr>
            </w:pPr>
            <w:r w:rsidRPr="00545EC0">
              <w:rPr>
                <w:rFonts w:cs="Arial"/>
                <w:sz w:val="18"/>
                <w:szCs w:val="18"/>
              </w:rPr>
              <w:t xml:space="preserve">Rinža </w:t>
            </w:r>
          </w:p>
        </w:tc>
        <w:tc>
          <w:tcPr>
            <w:tcW w:w="693" w:type="pct"/>
            <w:vMerge/>
            <w:tcBorders>
              <w:left w:val="single" w:sz="4" w:space="0" w:color="auto"/>
              <w:right w:val="single" w:sz="4" w:space="0" w:color="auto"/>
            </w:tcBorders>
            <w:shd w:val="clear" w:color="auto" w:fill="FFFFFF" w:themeFill="background1"/>
            <w:vAlign w:val="center"/>
          </w:tcPr>
          <w:p w14:paraId="236F9308" w14:textId="77777777" w:rsidR="00BA1338" w:rsidRPr="00545EC0" w:rsidRDefault="00BA1338" w:rsidP="004F2AF2">
            <w:pPr>
              <w:spacing w:line="240" w:lineRule="auto"/>
              <w:rPr>
                <w:rFonts w:cs="Arial"/>
                <w:sz w:val="18"/>
                <w:szCs w:val="18"/>
              </w:rPr>
            </w:pPr>
          </w:p>
        </w:tc>
        <w:tc>
          <w:tcPr>
            <w:tcW w:w="231" w:type="pct"/>
            <w:tcBorders>
              <w:top w:val="nil"/>
              <w:left w:val="single" w:sz="4" w:space="0" w:color="auto"/>
              <w:bottom w:val="single" w:sz="4" w:space="0" w:color="auto"/>
              <w:right w:val="single" w:sz="4" w:space="0" w:color="auto"/>
            </w:tcBorders>
            <w:shd w:val="clear" w:color="auto" w:fill="FFFFFF" w:themeFill="background1"/>
            <w:vAlign w:val="center"/>
          </w:tcPr>
          <w:p w14:paraId="0A684DD6"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268" w:type="pct"/>
            <w:tcBorders>
              <w:top w:val="nil"/>
              <w:left w:val="single" w:sz="4" w:space="0" w:color="auto"/>
              <w:bottom w:val="single" w:sz="4" w:space="0" w:color="auto"/>
              <w:right w:val="single" w:sz="4" w:space="0" w:color="auto"/>
            </w:tcBorders>
            <w:shd w:val="clear" w:color="auto" w:fill="FFFFFF" w:themeFill="background1"/>
            <w:vAlign w:val="center"/>
          </w:tcPr>
          <w:p w14:paraId="5E7EB97F"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3D7BEFC0" w14:textId="77777777" w:rsidTr="00BE42F5">
        <w:trPr>
          <w:trHeight w:val="227"/>
        </w:trPr>
        <w:tc>
          <w:tcPr>
            <w:tcW w:w="5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A3B2FBA" w14:textId="77777777" w:rsidR="00BA1338" w:rsidRPr="00545EC0" w:rsidRDefault="00BA1338" w:rsidP="004F2AF2">
            <w:pPr>
              <w:spacing w:line="240" w:lineRule="auto"/>
              <w:rPr>
                <w:rFonts w:cs="Arial"/>
                <w:sz w:val="18"/>
                <w:szCs w:val="18"/>
              </w:rPr>
            </w:pPr>
            <w:r w:rsidRPr="00545EC0">
              <w:rPr>
                <w:rFonts w:cs="Arial"/>
                <w:sz w:val="18"/>
                <w:szCs w:val="18"/>
              </w:rPr>
              <w:t>SI21602VT</w:t>
            </w:r>
          </w:p>
        </w:tc>
        <w:tc>
          <w:tcPr>
            <w:tcW w:w="1922" w:type="pct"/>
            <w:tcBorders>
              <w:top w:val="nil"/>
              <w:left w:val="nil"/>
              <w:bottom w:val="single" w:sz="4" w:space="0" w:color="auto"/>
              <w:right w:val="single" w:sz="4" w:space="0" w:color="auto"/>
            </w:tcBorders>
            <w:shd w:val="clear" w:color="auto" w:fill="FFFFFF" w:themeFill="background1"/>
            <w:noWrap/>
            <w:vAlign w:val="center"/>
            <w:hideMark/>
          </w:tcPr>
          <w:p w14:paraId="4BA2F5EB" w14:textId="77777777" w:rsidR="00BA1338" w:rsidRPr="00545EC0" w:rsidRDefault="00BA1338" w:rsidP="004F2AF2">
            <w:pPr>
              <w:spacing w:line="240" w:lineRule="auto"/>
              <w:rPr>
                <w:rFonts w:cs="Arial"/>
                <w:sz w:val="18"/>
                <w:szCs w:val="18"/>
              </w:rPr>
            </w:pPr>
            <w:r w:rsidRPr="00545EC0">
              <w:rPr>
                <w:rFonts w:cs="Arial"/>
                <w:sz w:val="18"/>
                <w:szCs w:val="18"/>
              </w:rPr>
              <w:t>VT Krupa</w:t>
            </w:r>
          </w:p>
        </w:tc>
        <w:tc>
          <w:tcPr>
            <w:tcW w:w="1308" w:type="pct"/>
            <w:tcBorders>
              <w:top w:val="nil"/>
              <w:left w:val="nil"/>
              <w:bottom w:val="single" w:sz="4" w:space="0" w:color="auto"/>
              <w:right w:val="single" w:sz="4" w:space="0" w:color="auto"/>
            </w:tcBorders>
            <w:shd w:val="clear" w:color="auto" w:fill="FFFFFF" w:themeFill="background1"/>
            <w:noWrap/>
            <w:vAlign w:val="center"/>
            <w:hideMark/>
          </w:tcPr>
          <w:p w14:paraId="45C1223F" w14:textId="77777777" w:rsidR="00BA1338" w:rsidRPr="00545EC0" w:rsidRDefault="00BA1338" w:rsidP="004F2AF2">
            <w:pPr>
              <w:spacing w:line="240" w:lineRule="auto"/>
              <w:rPr>
                <w:rFonts w:cs="Arial"/>
                <w:sz w:val="18"/>
                <w:szCs w:val="18"/>
              </w:rPr>
            </w:pPr>
            <w:r w:rsidRPr="00545EC0">
              <w:rPr>
                <w:rFonts w:cs="Arial"/>
                <w:sz w:val="18"/>
                <w:szCs w:val="18"/>
              </w:rPr>
              <w:t xml:space="preserve">Krupa </w:t>
            </w:r>
          </w:p>
        </w:tc>
        <w:tc>
          <w:tcPr>
            <w:tcW w:w="693" w:type="pct"/>
            <w:vMerge/>
            <w:tcBorders>
              <w:left w:val="single" w:sz="4" w:space="0" w:color="auto"/>
              <w:right w:val="single" w:sz="4" w:space="0" w:color="auto"/>
            </w:tcBorders>
            <w:shd w:val="clear" w:color="auto" w:fill="FFFFFF" w:themeFill="background1"/>
            <w:vAlign w:val="center"/>
          </w:tcPr>
          <w:p w14:paraId="1D4B979E" w14:textId="77777777" w:rsidR="00BA1338" w:rsidRPr="00545EC0" w:rsidRDefault="00BA1338" w:rsidP="004F2AF2">
            <w:pPr>
              <w:spacing w:line="240" w:lineRule="auto"/>
              <w:rPr>
                <w:rFonts w:cs="Arial"/>
                <w:sz w:val="18"/>
                <w:szCs w:val="18"/>
              </w:rPr>
            </w:pPr>
          </w:p>
        </w:tc>
        <w:tc>
          <w:tcPr>
            <w:tcW w:w="231" w:type="pct"/>
            <w:tcBorders>
              <w:top w:val="nil"/>
              <w:left w:val="single" w:sz="4" w:space="0" w:color="auto"/>
              <w:bottom w:val="single" w:sz="4" w:space="0" w:color="auto"/>
              <w:right w:val="single" w:sz="4" w:space="0" w:color="auto"/>
            </w:tcBorders>
            <w:shd w:val="clear" w:color="auto" w:fill="FFFFFF" w:themeFill="background1"/>
            <w:vAlign w:val="center"/>
          </w:tcPr>
          <w:p w14:paraId="78043BDF"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268" w:type="pct"/>
            <w:tcBorders>
              <w:top w:val="nil"/>
              <w:left w:val="single" w:sz="4" w:space="0" w:color="auto"/>
              <w:bottom w:val="single" w:sz="4" w:space="0" w:color="auto"/>
              <w:right w:val="single" w:sz="4" w:space="0" w:color="auto"/>
            </w:tcBorders>
            <w:shd w:val="clear" w:color="auto" w:fill="FFFFFF" w:themeFill="background1"/>
            <w:vAlign w:val="center"/>
          </w:tcPr>
          <w:p w14:paraId="5579D20C"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265C910D" w14:textId="77777777" w:rsidTr="00BE42F5">
        <w:trPr>
          <w:trHeight w:val="227"/>
        </w:trPr>
        <w:tc>
          <w:tcPr>
            <w:tcW w:w="5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6A966F9" w14:textId="77777777" w:rsidR="00BA1338" w:rsidRPr="00545EC0" w:rsidRDefault="00BA1338" w:rsidP="004F2AF2">
            <w:pPr>
              <w:spacing w:line="240" w:lineRule="auto"/>
              <w:rPr>
                <w:rFonts w:cs="Arial"/>
                <w:sz w:val="18"/>
                <w:szCs w:val="18"/>
              </w:rPr>
            </w:pPr>
            <w:r w:rsidRPr="00545EC0">
              <w:rPr>
                <w:rFonts w:cs="Arial"/>
                <w:sz w:val="18"/>
                <w:szCs w:val="18"/>
              </w:rPr>
              <w:t>SI21VT50</w:t>
            </w:r>
          </w:p>
        </w:tc>
        <w:tc>
          <w:tcPr>
            <w:tcW w:w="1922" w:type="pct"/>
            <w:tcBorders>
              <w:top w:val="nil"/>
              <w:left w:val="nil"/>
              <w:bottom w:val="single" w:sz="4" w:space="0" w:color="auto"/>
              <w:right w:val="single" w:sz="4" w:space="0" w:color="auto"/>
            </w:tcBorders>
            <w:shd w:val="clear" w:color="auto" w:fill="FFFFFF" w:themeFill="background1"/>
            <w:noWrap/>
            <w:vAlign w:val="center"/>
            <w:hideMark/>
          </w:tcPr>
          <w:p w14:paraId="3BE05093" w14:textId="77777777" w:rsidR="00BA1338" w:rsidRPr="00545EC0" w:rsidRDefault="00BA1338" w:rsidP="004F2AF2">
            <w:pPr>
              <w:spacing w:line="240" w:lineRule="auto"/>
              <w:rPr>
                <w:rFonts w:cs="Arial"/>
                <w:sz w:val="18"/>
                <w:szCs w:val="18"/>
              </w:rPr>
            </w:pPr>
            <w:r w:rsidRPr="00545EC0">
              <w:rPr>
                <w:rFonts w:cs="Arial"/>
                <w:sz w:val="18"/>
                <w:szCs w:val="18"/>
              </w:rPr>
              <w:t>VT Kolpa Petrina - Primostek</w:t>
            </w:r>
          </w:p>
        </w:tc>
        <w:tc>
          <w:tcPr>
            <w:tcW w:w="1308" w:type="pct"/>
            <w:tcBorders>
              <w:top w:val="nil"/>
              <w:left w:val="nil"/>
              <w:bottom w:val="single" w:sz="4" w:space="0" w:color="auto"/>
              <w:right w:val="single" w:sz="4" w:space="0" w:color="auto"/>
            </w:tcBorders>
            <w:shd w:val="clear" w:color="auto" w:fill="FFFFFF" w:themeFill="background1"/>
            <w:noWrap/>
            <w:vAlign w:val="center"/>
            <w:hideMark/>
          </w:tcPr>
          <w:p w14:paraId="277FE362" w14:textId="77777777" w:rsidR="00BA1338" w:rsidRPr="00545EC0" w:rsidRDefault="00BA1338" w:rsidP="004F2AF2">
            <w:pPr>
              <w:spacing w:line="240" w:lineRule="auto"/>
              <w:rPr>
                <w:rFonts w:cs="Arial"/>
                <w:sz w:val="18"/>
                <w:szCs w:val="18"/>
              </w:rPr>
            </w:pPr>
            <w:r w:rsidRPr="00545EC0">
              <w:rPr>
                <w:rFonts w:cs="Arial"/>
                <w:sz w:val="18"/>
                <w:szCs w:val="18"/>
              </w:rPr>
              <w:t xml:space="preserve">Reški potok </w:t>
            </w:r>
          </w:p>
        </w:tc>
        <w:tc>
          <w:tcPr>
            <w:tcW w:w="693" w:type="pct"/>
            <w:vMerge/>
            <w:tcBorders>
              <w:left w:val="single" w:sz="4" w:space="0" w:color="auto"/>
              <w:right w:val="single" w:sz="4" w:space="0" w:color="auto"/>
            </w:tcBorders>
            <w:shd w:val="clear" w:color="auto" w:fill="FFFFFF" w:themeFill="background1"/>
            <w:vAlign w:val="center"/>
          </w:tcPr>
          <w:p w14:paraId="7042E11E" w14:textId="77777777" w:rsidR="00BA1338" w:rsidRPr="00545EC0" w:rsidRDefault="00BA1338" w:rsidP="004F2AF2">
            <w:pPr>
              <w:spacing w:line="240" w:lineRule="auto"/>
              <w:rPr>
                <w:rFonts w:cs="Arial"/>
                <w:sz w:val="18"/>
                <w:szCs w:val="18"/>
              </w:rPr>
            </w:pPr>
          </w:p>
        </w:tc>
        <w:tc>
          <w:tcPr>
            <w:tcW w:w="231" w:type="pct"/>
            <w:tcBorders>
              <w:top w:val="nil"/>
              <w:left w:val="single" w:sz="4" w:space="0" w:color="auto"/>
              <w:bottom w:val="single" w:sz="4" w:space="0" w:color="auto"/>
              <w:right w:val="single" w:sz="4" w:space="0" w:color="auto"/>
            </w:tcBorders>
            <w:shd w:val="clear" w:color="auto" w:fill="FFFFFF" w:themeFill="background1"/>
            <w:vAlign w:val="center"/>
          </w:tcPr>
          <w:p w14:paraId="50C336C8" w14:textId="77777777" w:rsidR="00BA1338" w:rsidRPr="00545EC0" w:rsidRDefault="00BA1338" w:rsidP="004F2AF2">
            <w:pPr>
              <w:spacing w:line="240" w:lineRule="auto"/>
              <w:rPr>
                <w:rFonts w:cs="Arial"/>
                <w:sz w:val="18"/>
                <w:szCs w:val="18"/>
              </w:rPr>
            </w:pPr>
            <w:r w:rsidRPr="00545EC0">
              <w:rPr>
                <w:rFonts w:cs="Arial"/>
                <w:sz w:val="18"/>
                <w:szCs w:val="18"/>
              </w:rPr>
              <w:t>0</w:t>
            </w:r>
          </w:p>
        </w:tc>
        <w:tc>
          <w:tcPr>
            <w:tcW w:w="268" w:type="pct"/>
            <w:tcBorders>
              <w:top w:val="nil"/>
              <w:left w:val="single" w:sz="4" w:space="0" w:color="auto"/>
              <w:bottom w:val="single" w:sz="4" w:space="0" w:color="auto"/>
              <w:right w:val="single" w:sz="4" w:space="0" w:color="auto"/>
            </w:tcBorders>
            <w:shd w:val="clear" w:color="auto" w:fill="FFFFFF" w:themeFill="background1"/>
            <w:vAlign w:val="center"/>
          </w:tcPr>
          <w:p w14:paraId="6C196C4C"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09CD477E" w14:textId="77777777" w:rsidTr="00BE42F5">
        <w:trPr>
          <w:trHeight w:val="227"/>
        </w:trPr>
        <w:tc>
          <w:tcPr>
            <w:tcW w:w="5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83579B6" w14:textId="77777777" w:rsidR="00BA1338" w:rsidRPr="00545EC0" w:rsidRDefault="00BA1338" w:rsidP="004F2AF2">
            <w:pPr>
              <w:spacing w:line="240" w:lineRule="auto"/>
              <w:rPr>
                <w:rFonts w:cs="Arial"/>
                <w:sz w:val="18"/>
                <w:szCs w:val="18"/>
              </w:rPr>
            </w:pPr>
            <w:r w:rsidRPr="00545EC0">
              <w:rPr>
                <w:rFonts w:cs="Arial"/>
                <w:sz w:val="18"/>
                <w:szCs w:val="18"/>
              </w:rPr>
              <w:t>SI162VT7</w:t>
            </w:r>
          </w:p>
        </w:tc>
        <w:tc>
          <w:tcPr>
            <w:tcW w:w="1922" w:type="pct"/>
            <w:tcBorders>
              <w:top w:val="nil"/>
              <w:left w:val="nil"/>
              <w:bottom w:val="single" w:sz="4" w:space="0" w:color="auto"/>
              <w:right w:val="single" w:sz="4" w:space="0" w:color="auto"/>
            </w:tcBorders>
            <w:shd w:val="clear" w:color="auto" w:fill="FFFFFF" w:themeFill="background1"/>
            <w:noWrap/>
            <w:vAlign w:val="center"/>
            <w:hideMark/>
          </w:tcPr>
          <w:p w14:paraId="468B1ABA" w14:textId="77777777" w:rsidR="00BA1338" w:rsidRPr="00545EC0" w:rsidRDefault="00BA1338" w:rsidP="004F2AF2">
            <w:pPr>
              <w:spacing w:line="240" w:lineRule="auto"/>
              <w:rPr>
                <w:rFonts w:cs="Arial"/>
                <w:sz w:val="18"/>
                <w:szCs w:val="18"/>
              </w:rPr>
            </w:pPr>
            <w:r w:rsidRPr="00545EC0">
              <w:rPr>
                <w:rFonts w:cs="Arial"/>
                <w:sz w:val="18"/>
                <w:szCs w:val="18"/>
              </w:rPr>
              <w:t>VT Paka Velenje - Skorno</w:t>
            </w:r>
          </w:p>
        </w:tc>
        <w:tc>
          <w:tcPr>
            <w:tcW w:w="1308" w:type="pct"/>
            <w:tcBorders>
              <w:top w:val="nil"/>
              <w:left w:val="nil"/>
              <w:bottom w:val="single" w:sz="4" w:space="0" w:color="auto"/>
              <w:right w:val="single" w:sz="4" w:space="0" w:color="auto"/>
            </w:tcBorders>
            <w:shd w:val="clear" w:color="auto" w:fill="FFFFFF" w:themeFill="background1"/>
            <w:noWrap/>
            <w:vAlign w:val="center"/>
            <w:hideMark/>
          </w:tcPr>
          <w:p w14:paraId="618D22B7" w14:textId="77777777" w:rsidR="00BA1338" w:rsidRPr="00545EC0" w:rsidRDefault="00BA1338" w:rsidP="004F2AF2">
            <w:pPr>
              <w:spacing w:line="240" w:lineRule="auto"/>
              <w:rPr>
                <w:rFonts w:cs="Arial"/>
                <w:sz w:val="18"/>
                <w:szCs w:val="18"/>
              </w:rPr>
            </w:pPr>
            <w:r w:rsidRPr="00545EC0">
              <w:rPr>
                <w:rFonts w:cs="Arial"/>
                <w:sz w:val="18"/>
                <w:szCs w:val="18"/>
              </w:rPr>
              <w:t xml:space="preserve">Velunja </w:t>
            </w:r>
          </w:p>
        </w:tc>
        <w:tc>
          <w:tcPr>
            <w:tcW w:w="693" w:type="pct"/>
            <w:vMerge/>
            <w:tcBorders>
              <w:left w:val="single" w:sz="4" w:space="0" w:color="auto"/>
              <w:right w:val="single" w:sz="4" w:space="0" w:color="auto"/>
            </w:tcBorders>
            <w:shd w:val="clear" w:color="auto" w:fill="FFFFFF" w:themeFill="background1"/>
            <w:vAlign w:val="center"/>
          </w:tcPr>
          <w:p w14:paraId="7E79BBD1" w14:textId="77777777" w:rsidR="00BA1338" w:rsidRPr="00545EC0" w:rsidRDefault="00BA1338" w:rsidP="004F2AF2">
            <w:pPr>
              <w:spacing w:line="240" w:lineRule="auto"/>
              <w:rPr>
                <w:rFonts w:cs="Arial"/>
                <w:sz w:val="18"/>
                <w:szCs w:val="18"/>
              </w:rPr>
            </w:pPr>
          </w:p>
        </w:tc>
        <w:tc>
          <w:tcPr>
            <w:tcW w:w="231" w:type="pct"/>
            <w:tcBorders>
              <w:top w:val="nil"/>
              <w:left w:val="single" w:sz="4" w:space="0" w:color="auto"/>
              <w:bottom w:val="single" w:sz="4" w:space="0" w:color="auto"/>
              <w:right w:val="single" w:sz="4" w:space="0" w:color="auto"/>
            </w:tcBorders>
            <w:shd w:val="clear" w:color="auto" w:fill="FFFFFF" w:themeFill="background1"/>
            <w:vAlign w:val="center"/>
          </w:tcPr>
          <w:p w14:paraId="1F272C00" w14:textId="77777777" w:rsidR="00BA1338" w:rsidRPr="00545EC0" w:rsidRDefault="00BA1338" w:rsidP="004F2AF2">
            <w:pPr>
              <w:spacing w:line="240" w:lineRule="auto"/>
              <w:rPr>
                <w:rFonts w:cs="Arial"/>
                <w:sz w:val="18"/>
                <w:szCs w:val="18"/>
              </w:rPr>
            </w:pPr>
            <w:r w:rsidRPr="00545EC0">
              <w:rPr>
                <w:rFonts w:cs="Arial"/>
                <w:sz w:val="18"/>
                <w:szCs w:val="18"/>
              </w:rPr>
              <w:t>0</w:t>
            </w:r>
          </w:p>
        </w:tc>
        <w:tc>
          <w:tcPr>
            <w:tcW w:w="268" w:type="pct"/>
            <w:tcBorders>
              <w:top w:val="nil"/>
              <w:left w:val="single" w:sz="4" w:space="0" w:color="auto"/>
              <w:bottom w:val="single" w:sz="4" w:space="0" w:color="auto"/>
              <w:right w:val="single" w:sz="4" w:space="0" w:color="auto"/>
            </w:tcBorders>
            <w:shd w:val="clear" w:color="auto" w:fill="FFFFFF" w:themeFill="background1"/>
            <w:vAlign w:val="center"/>
          </w:tcPr>
          <w:p w14:paraId="3CCFC535"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49604164" w14:textId="77777777" w:rsidTr="00BE42F5">
        <w:trPr>
          <w:trHeight w:val="227"/>
        </w:trPr>
        <w:tc>
          <w:tcPr>
            <w:tcW w:w="5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33C59F5" w14:textId="77777777" w:rsidR="00BA1338" w:rsidRPr="00545EC0" w:rsidRDefault="00BA1338" w:rsidP="004F2AF2">
            <w:pPr>
              <w:spacing w:line="240" w:lineRule="auto"/>
              <w:rPr>
                <w:rFonts w:cs="Arial"/>
                <w:sz w:val="18"/>
                <w:szCs w:val="18"/>
              </w:rPr>
            </w:pPr>
            <w:r w:rsidRPr="00545EC0">
              <w:rPr>
                <w:rFonts w:cs="Arial"/>
                <w:sz w:val="18"/>
                <w:szCs w:val="18"/>
              </w:rPr>
              <w:t>SI164VT7</w:t>
            </w:r>
          </w:p>
        </w:tc>
        <w:tc>
          <w:tcPr>
            <w:tcW w:w="1922" w:type="pct"/>
            <w:tcBorders>
              <w:top w:val="nil"/>
              <w:left w:val="nil"/>
              <w:bottom w:val="single" w:sz="4" w:space="0" w:color="auto"/>
              <w:right w:val="single" w:sz="4" w:space="0" w:color="auto"/>
            </w:tcBorders>
            <w:shd w:val="clear" w:color="auto" w:fill="FFFFFF" w:themeFill="background1"/>
            <w:noWrap/>
            <w:vAlign w:val="center"/>
            <w:hideMark/>
          </w:tcPr>
          <w:p w14:paraId="5D53D3C9" w14:textId="77777777" w:rsidR="00BA1338" w:rsidRPr="00545EC0" w:rsidRDefault="00BA1338" w:rsidP="004F2AF2">
            <w:pPr>
              <w:spacing w:line="240" w:lineRule="auto"/>
              <w:rPr>
                <w:rFonts w:cs="Arial"/>
                <w:sz w:val="18"/>
                <w:szCs w:val="18"/>
              </w:rPr>
            </w:pPr>
            <w:r w:rsidRPr="00545EC0">
              <w:rPr>
                <w:rFonts w:cs="Arial"/>
                <w:sz w:val="18"/>
                <w:szCs w:val="18"/>
              </w:rPr>
              <w:t>VT Bolska Kapla - Latkova vas</w:t>
            </w:r>
          </w:p>
        </w:tc>
        <w:tc>
          <w:tcPr>
            <w:tcW w:w="1308" w:type="pct"/>
            <w:tcBorders>
              <w:top w:val="nil"/>
              <w:left w:val="nil"/>
              <w:bottom w:val="single" w:sz="4" w:space="0" w:color="auto"/>
              <w:right w:val="single" w:sz="4" w:space="0" w:color="auto"/>
            </w:tcBorders>
            <w:shd w:val="clear" w:color="auto" w:fill="FFFFFF" w:themeFill="background1"/>
            <w:noWrap/>
            <w:vAlign w:val="center"/>
            <w:hideMark/>
          </w:tcPr>
          <w:p w14:paraId="73F0A04E" w14:textId="77777777" w:rsidR="00BA1338" w:rsidRPr="00545EC0" w:rsidRDefault="00BA1338" w:rsidP="004F2AF2">
            <w:pPr>
              <w:spacing w:line="240" w:lineRule="auto"/>
              <w:rPr>
                <w:rFonts w:cs="Arial"/>
                <w:sz w:val="18"/>
                <w:szCs w:val="18"/>
              </w:rPr>
            </w:pPr>
            <w:r w:rsidRPr="00545EC0">
              <w:rPr>
                <w:rFonts w:cs="Arial"/>
                <w:sz w:val="18"/>
                <w:szCs w:val="18"/>
              </w:rPr>
              <w:t xml:space="preserve">Trnavica, Trebnik </w:t>
            </w:r>
          </w:p>
        </w:tc>
        <w:tc>
          <w:tcPr>
            <w:tcW w:w="693" w:type="pct"/>
            <w:vMerge/>
            <w:tcBorders>
              <w:left w:val="single" w:sz="4" w:space="0" w:color="auto"/>
              <w:bottom w:val="single" w:sz="4" w:space="0" w:color="auto"/>
              <w:right w:val="single" w:sz="4" w:space="0" w:color="auto"/>
            </w:tcBorders>
            <w:shd w:val="clear" w:color="auto" w:fill="FFFFFF" w:themeFill="background1"/>
            <w:vAlign w:val="center"/>
          </w:tcPr>
          <w:p w14:paraId="7142CBD1" w14:textId="77777777" w:rsidR="00BA1338" w:rsidRPr="00545EC0" w:rsidRDefault="00BA1338" w:rsidP="004F2AF2">
            <w:pPr>
              <w:spacing w:line="240" w:lineRule="auto"/>
              <w:rPr>
                <w:rFonts w:cs="Arial"/>
                <w:sz w:val="18"/>
                <w:szCs w:val="18"/>
              </w:rPr>
            </w:pPr>
          </w:p>
        </w:tc>
        <w:tc>
          <w:tcPr>
            <w:tcW w:w="231" w:type="pct"/>
            <w:tcBorders>
              <w:top w:val="nil"/>
              <w:left w:val="single" w:sz="4" w:space="0" w:color="auto"/>
              <w:bottom w:val="single" w:sz="4" w:space="0" w:color="auto"/>
              <w:right w:val="single" w:sz="4" w:space="0" w:color="auto"/>
            </w:tcBorders>
            <w:shd w:val="clear" w:color="auto" w:fill="FFFFFF" w:themeFill="background1"/>
            <w:vAlign w:val="center"/>
          </w:tcPr>
          <w:p w14:paraId="2A91F7F4" w14:textId="77777777" w:rsidR="00BA1338" w:rsidRPr="00545EC0" w:rsidRDefault="00BA1338" w:rsidP="004F2AF2">
            <w:pPr>
              <w:spacing w:line="240" w:lineRule="auto"/>
              <w:rPr>
                <w:rFonts w:cs="Arial"/>
                <w:sz w:val="18"/>
                <w:szCs w:val="18"/>
              </w:rPr>
            </w:pPr>
            <w:r w:rsidRPr="00545EC0">
              <w:rPr>
                <w:rFonts w:cs="Arial"/>
                <w:sz w:val="18"/>
                <w:szCs w:val="18"/>
              </w:rPr>
              <w:t>0</w:t>
            </w:r>
          </w:p>
        </w:tc>
        <w:tc>
          <w:tcPr>
            <w:tcW w:w="268" w:type="pct"/>
            <w:tcBorders>
              <w:top w:val="nil"/>
              <w:left w:val="single" w:sz="4" w:space="0" w:color="auto"/>
              <w:bottom w:val="single" w:sz="4" w:space="0" w:color="auto"/>
              <w:right w:val="single" w:sz="4" w:space="0" w:color="auto"/>
            </w:tcBorders>
            <w:shd w:val="clear" w:color="auto" w:fill="FFFFFF" w:themeFill="background1"/>
            <w:vAlign w:val="center"/>
          </w:tcPr>
          <w:p w14:paraId="3CE21C30"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27AAAFB9" w14:textId="77777777" w:rsidTr="00BE42F5">
        <w:trPr>
          <w:trHeight w:val="227"/>
        </w:trPr>
        <w:tc>
          <w:tcPr>
            <w:tcW w:w="5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CB97F02" w14:textId="77777777" w:rsidR="00BA1338" w:rsidRPr="00545EC0" w:rsidRDefault="00BA1338" w:rsidP="004F2AF2">
            <w:pPr>
              <w:spacing w:line="240" w:lineRule="auto"/>
              <w:rPr>
                <w:rFonts w:cs="Arial"/>
                <w:sz w:val="18"/>
                <w:szCs w:val="18"/>
              </w:rPr>
            </w:pPr>
            <w:r w:rsidRPr="00545EC0">
              <w:rPr>
                <w:rFonts w:cs="Arial"/>
                <w:sz w:val="18"/>
                <w:szCs w:val="18"/>
              </w:rPr>
              <w:t>SI1688VT2</w:t>
            </w:r>
          </w:p>
        </w:tc>
        <w:tc>
          <w:tcPr>
            <w:tcW w:w="1922" w:type="pct"/>
            <w:tcBorders>
              <w:top w:val="nil"/>
              <w:left w:val="nil"/>
              <w:bottom w:val="single" w:sz="4" w:space="0" w:color="auto"/>
              <w:right w:val="single" w:sz="4" w:space="0" w:color="auto"/>
            </w:tcBorders>
            <w:shd w:val="clear" w:color="auto" w:fill="FFFFFF" w:themeFill="background1"/>
            <w:noWrap/>
            <w:vAlign w:val="center"/>
            <w:hideMark/>
          </w:tcPr>
          <w:p w14:paraId="434A35DC" w14:textId="77777777" w:rsidR="00BA1338" w:rsidRPr="00545EC0" w:rsidRDefault="00BA1338" w:rsidP="004F2AF2">
            <w:pPr>
              <w:spacing w:line="240" w:lineRule="auto"/>
              <w:rPr>
                <w:rFonts w:cs="Arial"/>
                <w:sz w:val="18"/>
                <w:szCs w:val="18"/>
              </w:rPr>
            </w:pPr>
            <w:r w:rsidRPr="00545EC0">
              <w:rPr>
                <w:rFonts w:cs="Arial"/>
                <w:sz w:val="18"/>
                <w:szCs w:val="18"/>
              </w:rPr>
              <w:t>VT Hudinja Nova Cerkev - sotočje z Voglajno</w:t>
            </w:r>
          </w:p>
        </w:tc>
        <w:tc>
          <w:tcPr>
            <w:tcW w:w="1308" w:type="pct"/>
            <w:tcBorders>
              <w:top w:val="nil"/>
              <w:left w:val="nil"/>
              <w:bottom w:val="single" w:sz="4" w:space="0" w:color="auto"/>
              <w:right w:val="single" w:sz="4" w:space="0" w:color="auto"/>
            </w:tcBorders>
            <w:shd w:val="clear" w:color="auto" w:fill="FFFFFF" w:themeFill="background1"/>
            <w:noWrap/>
            <w:vAlign w:val="center"/>
            <w:hideMark/>
          </w:tcPr>
          <w:p w14:paraId="1101135D" w14:textId="77777777" w:rsidR="00BA1338" w:rsidRPr="00545EC0" w:rsidRDefault="00BA1338" w:rsidP="004F2AF2">
            <w:pPr>
              <w:spacing w:line="240" w:lineRule="auto"/>
              <w:rPr>
                <w:rFonts w:cs="Arial"/>
                <w:sz w:val="18"/>
                <w:szCs w:val="18"/>
              </w:rPr>
            </w:pPr>
            <w:r w:rsidRPr="00545EC0">
              <w:rPr>
                <w:rFonts w:cs="Arial"/>
                <w:sz w:val="18"/>
                <w:szCs w:val="18"/>
              </w:rPr>
              <w:t>Dobje</w:t>
            </w:r>
          </w:p>
        </w:tc>
        <w:tc>
          <w:tcPr>
            <w:tcW w:w="693" w:type="pct"/>
            <w:vMerge w:val="restart"/>
            <w:tcBorders>
              <w:top w:val="nil"/>
              <w:left w:val="single" w:sz="4" w:space="0" w:color="auto"/>
              <w:right w:val="single" w:sz="4" w:space="0" w:color="auto"/>
            </w:tcBorders>
            <w:shd w:val="clear" w:color="auto" w:fill="FFFFFF" w:themeFill="background1"/>
            <w:vAlign w:val="center"/>
          </w:tcPr>
          <w:p w14:paraId="71509379" w14:textId="77777777" w:rsidR="00BA1338" w:rsidRPr="00545EC0" w:rsidRDefault="00BA1338" w:rsidP="004F2AF2">
            <w:pPr>
              <w:spacing w:line="240" w:lineRule="auto"/>
              <w:rPr>
                <w:rFonts w:cs="Arial"/>
                <w:sz w:val="18"/>
                <w:szCs w:val="18"/>
              </w:rPr>
            </w:pPr>
            <w:r w:rsidRPr="00545EC0">
              <w:rPr>
                <w:rFonts w:cs="Arial"/>
                <w:sz w:val="18"/>
                <w:szCs w:val="18"/>
              </w:rPr>
              <w:t>Savinja</w:t>
            </w:r>
          </w:p>
        </w:tc>
        <w:tc>
          <w:tcPr>
            <w:tcW w:w="231" w:type="pct"/>
            <w:tcBorders>
              <w:top w:val="nil"/>
              <w:left w:val="single" w:sz="4" w:space="0" w:color="auto"/>
              <w:bottom w:val="single" w:sz="4" w:space="0" w:color="auto"/>
              <w:right w:val="single" w:sz="4" w:space="0" w:color="auto"/>
            </w:tcBorders>
            <w:shd w:val="clear" w:color="auto" w:fill="FFFFFF" w:themeFill="background1"/>
            <w:vAlign w:val="center"/>
          </w:tcPr>
          <w:p w14:paraId="3B368E1B" w14:textId="77777777" w:rsidR="00BA1338" w:rsidRPr="00545EC0" w:rsidRDefault="00BA1338" w:rsidP="004F2AF2">
            <w:pPr>
              <w:spacing w:line="240" w:lineRule="auto"/>
              <w:rPr>
                <w:rFonts w:cs="Arial"/>
                <w:sz w:val="18"/>
                <w:szCs w:val="18"/>
              </w:rPr>
            </w:pPr>
            <w:r w:rsidRPr="00545EC0">
              <w:rPr>
                <w:rFonts w:cs="Arial"/>
                <w:sz w:val="18"/>
                <w:szCs w:val="18"/>
              </w:rPr>
              <w:t>0</w:t>
            </w:r>
          </w:p>
        </w:tc>
        <w:tc>
          <w:tcPr>
            <w:tcW w:w="268" w:type="pct"/>
            <w:tcBorders>
              <w:top w:val="nil"/>
              <w:left w:val="single" w:sz="4" w:space="0" w:color="auto"/>
              <w:bottom w:val="single" w:sz="4" w:space="0" w:color="auto"/>
              <w:right w:val="single" w:sz="4" w:space="0" w:color="auto"/>
            </w:tcBorders>
            <w:shd w:val="clear" w:color="auto" w:fill="FFFFFF" w:themeFill="background1"/>
            <w:vAlign w:val="center"/>
          </w:tcPr>
          <w:p w14:paraId="36F6731B"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34BA42DF" w14:textId="77777777" w:rsidTr="00BE42F5">
        <w:trPr>
          <w:trHeight w:val="227"/>
        </w:trPr>
        <w:tc>
          <w:tcPr>
            <w:tcW w:w="5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A2408AC" w14:textId="77777777" w:rsidR="00BA1338" w:rsidRPr="00545EC0" w:rsidRDefault="00BA1338" w:rsidP="004F2AF2">
            <w:pPr>
              <w:spacing w:line="240" w:lineRule="auto"/>
              <w:rPr>
                <w:rFonts w:cs="Arial"/>
                <w:sz w:val="18"/>
                <w:szCs w:val="18"/>
              </w:rPr>
            </w:pPr>
            <w:r w:rsidRPr="00545EC0">
              <w:rPr>
                <w:rFonts w:cs="Arial"/>
                <w:sz w:val="18"/>
                <w:szCs w:val="18"/>
              </w:rPr>
              <w:t>SI16VT70</w:t>
            </w:r>
          </w:p>
        </w:tc>
        <w:tc>
          <w:tcPr>
            <w:tcW w:w="1922" w:type="pct"/>
            <w:tcBorders>
              <w:top w:val="nil"/>
              <w:left w:val="nil"/>
              <w:bottom w:val="single" w:sz="4" w:space="0" w:color="auto"/>
              <w:right w:val="single" w:sz="4" w:space="0" w:color="auto"/>
            </w:tcBorders>
            <w:shd w:val="clear" w:color="auto" w:fill="FFFFFF" w:themeFill="background1"/>
            <w:noWrap/>
            <w:vAlign w:val="center"/>
            <w:hideMark/>
          </w:tcPr>
          <w:p w14:paraId="336D9EBA" w14:textId="77777777" w:rsidR="00BA1338" w:rsidRPr="00545EC0" w:rsidRDefault="00BA1338" w:rsidP="004F2AF2">
            <w:pPr>
              <w:spacing w:line="240" w:lineRule="auto"/>
              <w:rPr>
                <w:rFonts w:cs="Arial"/>
                <w:sz w:val="18"/>
                <w:szCs w:val="18"/>
              </w:rPr>
            </w:pPr>
            <w:r w:rsidRPr="00545EC0">
              <w:rPr>
                <w:rFonts w:cs="Arial"/>
                <w:sz w:val="18"/>
                <w:szCs w:val="18"/>
              </w:rPr>
              <w:t>VT Savinja Letuš - Celje</w:t>
            </w:r>
          </w:p>
        </w:tc>
        <w:tc>
          <w:tcPr>
            <w:tcW w:w="1308" w:type="pct"/>
            <w:tcBorders>
              <w:top w:val="nil"/>
              <w:left w:val="nil"/>
              <w:bottom w:val="single" w:sz="4" w:space="0" w:color="auto"/>
              <w:right w:val="single" w:sz="4" w:space="0" w:color="auto"/>
            </w:tcBorders>
            <w:shd w:val="clear" w:color="auto" w:fill="FFFFFF" w:themeFill="background1"/>
            <w:noWrap/>
            <w:vAlign w:val="center"/>
            <w:hideMark/>
          </w:tcPr>
          <w:p w14:paraId="0F6F2329" w14:textId="77777777" w:rsidR="00BA1338" w:rsidRPr="00545EC0" w:rsidRDefault="00BA1338" w:rsidP="004F2AF2">
            <w:pPr>
              <w:spacing w:line="240" w:lineRule="auto"/>
              <w:rPr>
                <w:rFonts w:cs="Arial"/>
                <w:sz w:val="18"/>
                <w:szCs w:val="18"/>
              </w:rPr>
            </w:pPr>
            <w:r w:rsidRPr="00545EC0">
              <w:rPr>
                <w:rFonts w:cs="Arial"/>
                <w:sz w:val="18"/>
                <w:szCs w:val="18"/>
              </w:rPr>
              <w:t xml:space="preserve">Koprivnica </w:t>
            </w:r>
          </w:p>
        </w:tc>
        <w:tc>
          <w:tcPr>
            <w:tcW w:w="693" w:type="pct"/>
            <w:vMerge/>
            <w:tcBorders>
              <w:left w:val="single" w:sz="4" w:space="0" w:color="auto"/>
              <w:bottom w:val="single" w:sz="4" w:space="0" w:color="auto"/>
              <w:right w:val="single" w:sz="4" w:space="0" w:color="auto"/>
            </w:tcBorders>
            <w:shd w:val="clear" w:color="auto" w:fill="FFFFFF" w:themeFill="background1"/>
            <w:vAlign w:val="center"/>
          </w:tcPr>
          <w:p w14:paraId="35A48A5A" w14:textId="77777777" w:rsidR="00BA1338" w:rsidRPr="00545EC0" w:rsidRDefault="00BA1338" w:rsidP="004F2AF2">
            <w:pPr>
              <w:spacing w:line="240" w:lineRule="auto"/>
              <w:rPr>
                <w:rFonts w:cs="Arial"/>
                <w:sz w:val="18"/>
                <w:szCs w:val="18"/>
              </w:rPr>
            </w:pPr>
          </w:p>
        </w:tc>
        <w:tc>
          <w:tcPr>
            <w:tcW w:w="231" w:type="pct"/>
            <w:tcBorders>
              <w:top w:val="nil"/>
              <w:left w:val="single" w:sz="4" w:space="0" w:color="auto"/>
              <w:bottom w:val="single" w:sz="4" w:space="0" w:color="auto"/>
              <w:right w:val="single" w:sz="4" w:space="0" w:color="auto"/>
            </w:tcBorders>
            <w:shd w:val="clear" w:color="auto" w:fill="FFFFFF" w:themeFill="background1"/>
            <w:vAlign w:val="center"/>
          </w:tcPr>
          <w:p w14:paraId="045C69DA" w14:textId="77777777" w:rsidR="00BA1338" w:rsidRPr="00545EC0" w:rsidRDefault="00BA1338" w:rsidP="004F2AF2">
            <w:pPr>
              <w:spacing w:line="240" w:lineRule="auto"/>
              <w:rPr>
                <w:rFonts w:cs="Arial"/>
                <w:sz w:val="18"/>
                <w:szCs w:val="18"/>
              </w:rPr>
            </w:pPr>
            <w:r w:rsidRPr="00545EC0">
              <w:rPr>
                <w:rFonts w:cs="Arial"/>
                <w:sz w:val="18"/>
                <w:szCs w:val="18"/>
              </w:rPr>
              <w:t>0</w:t>
            </w:r>
          </w:p>
        </w:tc>
        <w:tc>
          <w:tcPr>
            <w:tcW w:w="268" w:type="pct"/>
            <w:tcBorders>
              <w:top w:val="nil"/>
              <w:left w:val="single" w:sz="4" w:space="0" w:color="auto"/>
              <w:bottom w:val="single" w:sz="4" w:space="0" w:color="auto"/>
              <w:right w:val="single" w:sz="4" w:space="0" w:color="auto"/>
            </w:tcBorders>
            <w:shd w:val="clear" w:color="auto" w:fill="FFFFFF" w:themeFill="background1"/>
            <w:vAlign w:val="center"/>
          </w:tcPr>
          <w:p w14:paraId="68558AC9"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5830FA77" w14:textId="77777777" w:rsidTr="00BE42F5">
        <w:trPr>
          <w:trHeight w:val="227"/>
        </w:trPr>
        <w:tc>
          <w:tcPr>
            <w:tcW w:w="5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8A43688" w14:textId="77777777" w:rsidR="00BA1338" w:rsidRPr="00545EC0" w:rsidRDefault="00BA1338" w:rsidP="004F2AF2">
            <w:pPr>
              <w:spacing w:line="240" w:lineRule="auto"/>
              <w:rPr>
                <w:rFonts w:cs="Arial"/>
                <w:sz w:val="18"/>
                <w:szCs w:val="18"/>
              </w:rPr>
            </w:pPr>
            <w:r w:rsidRPr="00545EC0">
              <w:rPr>
                <w:rFonts w:cs="Arial"/>
                <w:sz w:val="18"/>
                <w:szCs w:val="18"/>
              </w:rPr>
              <w:t>SI35172VT</w:t>
            </w:r>
          </w:p>
        </w:tc>
        <w:tc>
          <w:tcPr>
            <w:tcW w:w="1922" w:type="pct"/>
            <w:tcBorders>
              <w:top w:val="nil"/>
              <w:left w:val="nil"/>
              <w:bottom w:val="single" w:sz="4" w:space="0" w:color="auto"/>
              <w:right w:val="single" w:sz="4" w:space="0" w:color="auto"/>
            </w:tcBorders>
            <w:shd w:val="clear" w:color="auto" w:fill="FFFFFF" w:themeFill="background1"/>
            <w:noWrap/>
            <w:vAlign w:val="center"/>
            <w:hideMark/>
          </w:tcPr>
          <w:p w14:paraId="7ECCF138" w14:textId="77777777" w:rsidR="00BA1338" w:rsidRPr="00545EC0" w:rsidRDefault="00BA1338" w:rsidP="004F2AF2">
            <w:pPr>
              <w:spacing w:line="240" w:lineRule="auto"/>
              <w:rPr>
                <w:rFonts w:cs="Arial"/>
                <w:sz w:val="18"/>
                <w:szCs w:val="18"/>
              </w:rPr>
            </w:pPr>
            <w:r w:rsidRPr="00545EC0">
              <w:rPr>
                <w:rFonts w:cs="Arial"/>
                <w:sz w:val="18"/>
                <w:szCs w:val="18"/>
              </w:rPr>
              <w:t>UVT Kanal HE Zlatoličje</w:t>
            </w:r>
          </w:p>
        </w:tc>
        <w:tc>
          <w:tcPr>
            <w:tcW w:w="1308" w:type="pct"/>
            <w:tcBorders>
              <w:top w:val="nil"/>
              <w:left w:val="nil"/>
              <w:bottom w:val="single" w:sz="4" w:space="0" w:color="auto"/>
              <w:right w:val="single" w:sz="4" w:space="0" w:color="auto"/>
            </w:tcBorders>
            <w:shd w:val="clear" w:color="auto" w:fill="FFFFFF" w:themeFill="background1"/>
            <w:noWrap/>
            <w:vAlign w:val="center"/>
            <w:hideMark/>
          </w:tcPr>
          <w:p w14:paraId="174EEE2D" w14:textId="77777777" w:rsidR="00BA1338" w:rsidRPr="00545EC0" w:rsidRDefault="00BA1338" w:rsidP="004F2AF2">
            <w:pPr>
              <w:spacing w:line="240" w:lineRule="auto"/>
              <w:rPr>
                <w:rFonts w:cs="Arial"/>
                <w:sz w:val="18"/>
                <w:szCs w:val="18"/>
              </w:rPr>
            </w:pPr>
            <w:r w:rsidRPr="00545EC0">
              <w:rPr>
                <w:rFonts w:cs="Arial"/>
                <w:sz w:val="18"/>
                <w:szCs w:val="18"/>
              </w:rPr>
              <w:t>Kanal HE Zlatoličje</w:t>
            </w:r>
          </w:p>
        </w:tc>
        <w:tc>
          <w:tcPr>
            <w:tcW w:w="693" w:type="pct"/>
            <w:vMerge w:val="restart"/>
            <w:tcBorders>
              <w:top w:val="nil"/>
              <w:left w:val="single" w:sz="4" w:space="0" w:color="auto"/>
              <w:right w:val="single" w:sz="4" w:space="0" w:color="auto"/>
            </w:tcBorders>
            <w:shd w:val="clear" w:color="auto" w:fill="FFFFFF" w:themeFill="background1"/>
            <w:vAlign w:val="center"/>
          </w:tcPr>
          <w:p w14:paraId="4A13FF5A" w14:textId="77777777" w:rsidR="00BA1338" w:rsidRPr="00545EC0" w:rsidRDefault="00BA1338" w:rsidP="004F2AF2">
            <w:pPr>
              <w:spacing w:line="240" w:lineRule="auto"/>
              <w:rPr>
                <w:rFonts w:cs="Arial"/>
                <w:sz w:val="18"/>
                <w:szCs w:val="18"/>
              </w:rPr>
            </w:pPr>
            <w:r w:rsidRPr="00545EC0">
              <w:rPr>
                <w:rFonts w:cs="Arial"/>
                <w:sz w:val="18"/>
                <w:szCs w:val="18"/>
              </w:rPr>
              <w:t>Drava</w:t>
            </w:r>
          </w:p>
        </w:tc>
        <w:tc>
          <w:tcPr>
            <w:tcW w:w="231" w:type="pct"/>
            <w:tcBorders>
              <w:top w:val="nil"/>
              <w:left w:val="single" w:sz="4" w:space="0" w:color="auto"/>
              <w:bottom w:val="single" w:sz="4" w:space="0" w:color="auto"/>
              <w:right w:val="single" w:sz="4" w:space="0" w:color="auto"/>
            </w:tcBorders>
            <w:shd w:val="clear" w:color="auto" w:fill="FFFFFF" w:themeFill="background1"/>
            <w:vAlign w:val="center"/>
          </w:tcPr>
          <w:p w14:paraId="7C37F2B6"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268" w:type="pct"/>
            <w:tcBorders>
              <w:top w:val="nil"/>
              <w:left w:val="single" w:sz="4" w:space="0" w:color="auto"/>
              <w:bottom w:val="single" w:sz="4" w:space="0" w:color="auto"/>
              <w:right w:val="single" w:sz="4" w:space="0" w:color="auto"/>
            </w:tcBorders>
            <w:shd w:val="clear" w:color="auto" w:fill="FFFFFF" w:themeFill="background1"/>
            <w:vAlign w:val="center"/>
          </w:tcPr>
          <w:p w14:paraId="09673A37"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7E2D823A" w14:textId="77777777" w:rsidTr="00BE42F5">
        <w:trPr>
          <w:trHeight w:val="227"/>
        </w:trPr>
        <w:tc>
          <w:tcPr>
            <w:tcW w:w="5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A0580B1" w14:textId="77777777" w:rsidR="00BA1338" w:rsidRPr="00545EC0" w:rsidRDefault="00BA1338" w:rsidP="004F2AF2">
            <w:pPr>
              <w:spacing w:line="240" w:lineRule="auto"/>
              <w:rPr>
                <w:rFonts w:cs="Arial"/>
                <w:sz w:val="18"/>
                <w:szCs w:val="18"/>
              </w:rPr>
            </w:pPr>
            <w:r w:rsidRPr="00545EC0">
              <w:rPr>
                <w:rFonts w:cs="Arial"/>
                <w:sz w:val="18"/>
                <w:szCs w:val="18"/>
              </w:rPr>
              <w:t>SI368VT9</w:t>
            </w:r>
          </w:p>
        </w:tc>
        <w:tc>
          <w:tcPr>
            <w:tcW w:w="1922" w:type="pct"/>
            <w:tcBorders>
              <w:top w:val="nil"/>
              <w:left w:val="nil"/>
              <w:bottom w:val="single" w:sz="4" w:space="0" w:color="auto"/>
              <w:right w:val="single" w:sz="4" w:space="0" w:color="auto"/>
            </w:tcBorders>
            <w:shd w:val="clear" w:color="auto" w:fill="FFFFFF" w:themeFill="background1"/>
            <w:noWrap/>
            <w:vAlign w:val="center"/>
            <w:hideMark/>
          </w:tcPr>
          <w:p w14:paraId="702701DB" w14:textId="77777777" w:rsidR="00BA1338" w:rsidRPr="00545EC0" w:rsidRDefault="00BA1338" w:rsidP="004F2AF2">
            <w:pPr>
              <w:spacing w:line="240" w:lineRule="auto"/>
              <w:rPr>
                <w:rFonts w:cs="Arial"/>
                <w:sz w:val="18"/>
                <w:szCs w:val="18"/>
              </w:rPr>
            </w:pPr>
            <w:r w:rsidRPr="00545EC0">
              <w:rPr>
                <w:rFonts w:cs="Arial"/>
                <w:sz w:val="18"/>
                <w:szCs w:val="18"/>
              </w:rPr>
              <w:t>VT Polskava Zgornja Polskava - Tržec</w:t>
            </w:r>
          </w:p>
        </w:tc>
        <w:tc>
          <w:tcPr>
            <w:tcW w:w="1308" w:type="pct"/>
            <w:tcBorders>
              <w:top w:val="nil"/>
              <w:left w:val="nil"/>
              <w:bottom w:val="single" w:sz="4" w:space="0" w:color="auto"/>
              <w:right w:val="single" w:sz="4" w:space="0" w:color="auto"/>
            </w:tcBorders>
            <w:shd w:val="clear" w:color="auto" w:fill="FFFFFF" w:themeFill="background1"/>
            <w:noWrap/>
            <w:vAlign w:val="center"/>
            <w:hideMark/>
          </w:tcPr>
          <w:p w14:paraId="237F1C8E" w14:textId="77777777" w:rsidR="00BA1338" w:rsidRPr="00545EC0" w:rsidRDefault="00BA1338" w:rsidP="004F2AF2">
            <w:pPr>
              <w:spacing w:line="240" w:lineRule="auto"/>
              <w:rPr>
                <w:rFonts w:cs="Arial"/>
                <w:sz w:val="18"/>
                <w:szCs w:val="18"/>
              </w:rPr>
            </w:pPr>
            <w:r w:rsidRPr="00545EC0">
              <w:rPr>
                <w:rFonts w:cs="Arial"/>
                <w:sz w:val="18"/>
                <w:szCs w:val="18"/>
              </w:rPr>
              <w:t xml:space="preserve">Framski potok </w:t>
            </w:r>
          </w:p>
        </w:tc>
        <w:tc>
          <w:tcPr>
            <w:tcW w:w="693" w:type="pct"/>
            <w:vMerge/>
            <w:tcBorders>
              <w:left w:val="single" w:sz="4" w:space="0" w:color="auto"/>
              <w:right w:val="single" w:sz="4" w:space="0" w:color="auto"/>
            </w:tcBorders>
            <w:shd w:val="clear" w:color="auto" w:fill="FFFFFF" w:themeFill="background1"/>
            <w:vAlign w:val="center"/>
          </w:tcPr>
          <w:p w14:paraId="5E773FF0" w14:textId="77777777" w:rsidR="00BA1338" w:rsidRPr="00545EC0" w:rsidRDefault="00BA1338" w:rsidP="004F2AF2">
            <w:pPr>
              <w:spacing w:line="240" w:lineRule="auto"/>
              <w:rPr>
                <w:rFonts w:cs="Arial"/>
                <w:sz w:val="18"/>
                <w:szCs w:val="18"/>
              </w:rPr>
            </w:pPr>
          </w:p>
        </w:tc>
        <w:tc>
          <w:tcPr>
            <w:tcW w:w="231" w:type="pct"/>
            <w:tcBorders>
              <w:top w:val="nil"/>
              <w:left w:val="single" w:sz="4" w:space="0" w:color="auto"/>
              <w:bottom w:val="single" w:sz="4" w:space="0" w:color="auto"/>
              <w:right w:val="single" w:sz="4" w:space="0" w:color="auto"/>
            </w:tcBorders>
            <w:shd w:val="clear" w:color="auto" w:fill="FFFFFF" w:themeFill="background1"/>
            <w:vAlign w:val="center"/>
          </w:tcPr>
          <w:p w14:paraId="1FDCB78D" w14:textId="77777777" w:rsidR="00BA1338" w:rsidRPr="00545EC0" w:rsidRDefault="00BA1338" w:rsidP="004F2AF2">
            <w:pPr>
              <w:spacing w:line="240" w:lineRule="auto"/>
              <w:rPr>
                <w:rFonts w:cs="Arial"/>
                <w:sz w:val="18"/>
                <w:szCs w:val="18"/>
              </w:rPr>
            </w:pPr>
            <w:r w:rsidRPr="00545EC0">
              <w:rPr>
                <w:rFonts w:cs="Arial"/>
                <w:sz w:val="18"/>
                <w:szCs w:val="18"/>
              </w:rPr>
              <w:t>0</w:t>
            </w:r>
          </w:p>
        </w:tc>
        <w:tc>
          <w:tcPr>
            <w:tcW w:w="268" w:type="pct"/>
            <w:tcBorders>
              <w:top w:val="nil"/>
              <w:left w:val="single" w:sz="4" w:space="0" w:color="auto"/>
              <w:bottom w:val="single" w:sz="4" w:space="0" w:color="auto"/>
              <w:right w:val="single" w:sz="4" w:space="0" w:color="auto"/>
            </w:tcBorders>
            <w:shd w:val="clear" w:color="auto" w:fill="FFFFFF" w:themeFill="background1"/>
            <w:vAlign w:val="center"/>
          </w:tcPr>
          <w:p w14:paraId="717A5C22"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76143158" w14:textId="77777777" w:rsidTr="00BE42F5">
        <w:trPr>
          <w:trHeight w:val="227"/>
        </w:trPr>
        <w:tc>
          <w:tcPr>
            <w:tcW w:w="5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2E9F145" w14:textId="77777777" w:rsidR="00BA1338" w:rsidRPr="00545EC0" w:rsidRDefault="00BA1338" w:rsidP="004F2AF2">
            <w:pPr>
              <w:spacing w:line="240" w:lineRule="auto"/>
              <w:rPr>
                <w:rFonts w:cs="Arial"/>
                <w:sz w:val="18"/>
                <w:szCs w:val="18"/>
              </w:rPr>
            </w:pPr>
            <w:r w:rsidRPr="00545EC0">
              <w:rPr>
                <w:rFonts w:cs="Arial"/>
                <w:sz w:val="18"/>
                <w:szCs w:val="18"/>
              </w:rPr>
              <w:t>SI36VT90</w:t>
            </w:r>
          </w:p>
        </w:tc>
        <w:tc>
          <w:tcPr>
            <w:tcW w:w="1922" w:type="pct"/>
            <w:tcBorders>
              <w:top w:val="nil"/>
              <w:left w:val="nil"/>
              <w:bottom w:val="single" w:sz="4" w:space="0" w:color="auto"/>
              <w:right w:val="single" w:sz="4" w:space="0" w:color="auto"/>
            </w:tcBorders>
            <w:shd w:val="clear" w:color="auto" w:fill="FFFFFF" w:themeFill="background1"/>
            <w:noWrap/>
            <w:vAlign w:val="center"/>
            <w:hideMark/>
          </w:tcPr>
          <w:p w14:paraId="53D9A3D4" w14:textId="77777777" w:rsidR="00BA1338" w:rsidRPr="00545EC0" w:rsidRDefault="00BA1338" w:rsidP="004F2AF2">
            <w:pPr>
              <w:spacing w:line="240" w:lineRule="auto"/>
              <w:rPr>
                <w:rFonts w:cs="Arial"/>
                <w:sz w:val="18"/>
                <w:szCs w:val="18"/>
              </w:rPr>
            </w:pPr>
            <w:r w:rsidRPr="00545EC0">
              <w:rPr>
                <w:rFonts w:cs="Arial"/>
                <w:sz w:val="18"/>
                <w:szCs w:val="18"/>
              </w:rPr>
              <w:t>VT Dravinja Zreče - Videm</w:t>
            </w:r>
          </w:p>
        </w:tc>
        <w:tc>
          <w:tcPr>
            <w:tcW w:w="1308" w:type="pct"/>
            <w:tcBorders>
              <w:top w:val="nil"/>
              <w:left w:val="nil"/>
              <w:bottom w:val="single" w:sz="4" w:space="0" w:color="auto"/>
              <w:right w:val="single" w:sz="4" w:space="0" w:color="auto"/>
            </w:tcBorders>
            <w:shd w:val="clear" w:color="auto" w:fill="FFFFFF" w:themeFill="background1"/>
            <w:noWrap/>
            <w:vAlign w:val="center"/>
            <w:hideMark/>
          </w:tcPr>
          <w:p w14:paraId="5F6EEBF5" w14:textId="77777777" w:rsidR="00BA1338" w:rsidRPr="00545EC0" w:rsidRDefault="00BA1338" w:rsidP="004F2AF2">
            <w:pPr>
              <w:spacing w:line="240" w:lineRule="auto"/>
              <w:rPr>
                <w:rFonts w:cs="Arial"/>
                <w:sz w:val="18"/>
                <w:szCs w:val="18"/>
              </w:rPr>
            </w:pPr>
            <w:r w:rsidRPr="00545EC0">
              <w:rPr>
                <w:rFonts w:cs="Arial"/>
                <w:sz w:val="18"/>
                <w:szCs w:val="18"/>
              </w:rPr>
              <w:t>Brežnica, Dežnica</w:t>
            </w:r>
          </w:p>
        </w:tc>
        <w:tc>
          <w:tcPr>
            <w:tcW w:w="693" w:type="pct"/>
            <w:vMerge/>
            <w:tcBorders>
              <w:left w:val="single" w:sz="4" w:space="0" w:color="auto"/>
              <w:right w:val="single" w:sz="4" w:space="0" w:color="auto"/>
            </w:tcBorders>
            <w:shd w:val="clear" w:color="auto" w:fill="FFFFFF" w:themeFill="background1"/>
            <w:vAlign w:val="center"/>
          </w:tcPr>
          <w:p w14:paraId="3D5EFE14" w14:textId="77777777" w:rsidR="00BA1338" w:rsidRPr="00545EC0" w:rsidRDefault="00BA1338" w:rsidP="004F2AF2">
            <w:pPr>
              <w:spacing w:line="240" w:lineRule="auto"/>
              <w:rPr>
                <w:rFonts w:cs="Arial"/>
                <w:sz w:val="18"/>
                <w:szCs w:val="18"/>
              </w:rPr>
            </w:pPr>
          </w:p>
        </w:tc>
        <w:tc>
          <w:tcPr>
            <w:tcW w:w="231" w:type="pct"/>
            <w:tcBorders>
              <w:top w:val="nil"/>
              <w:left w:val="single" w:sz="4" w:space="0" w:color="auto"/>
              <w:bottom w:val="single" w:sz="4" w:space="0" w:color="auto"/>
              <w:right w:val="single" w:sz="4" w:space="0" w:color="auto"/>
            </w:tcBorders>
            <w:shd w:val="clear" w:color="auto" w:fill="FFFFFF" w:themeFill="background1"/>
            <w:vAlign w:val="center"/>
          </w:tcPr>
          <w:p w14:paraId="00462A93" w14:textId="77777777" w:rsidR="00BA1338" w:rsidRPr="00545EC0" w:rsidRDefault="00BA1338" w:rsidP="004F2AF2">
            <w:pPr>
              <w:spacing w:line="240" w:lineRule="auto"/>
              <w:rPr>
                <w:rFonts w:cs="Arial"/>
                <w:sz w:val="18"/>
                <w:szCs w:val="18"/>
              </w:rPr>
            </w:pPr>
            <w:r w:rsidRPr="00545EC0">
              <w:rPr>
                <w:rFonts w:cs="Arial"/>
                <w:sz w:val="18"/>
                <w:szCs w:val="18"/>
              </w:rPr>
              <w:t>0</w:t>
            </w:r>
          </w:p>
        </w:tc>
        <w:tc>
          <w:tcPr>
            <w:tcW w:w="268" w:type="pct"/>
            <w:tcBorders>
              <w:top w:val="nil"/>
              <w:left w:val="single" w:sz="4" w:space="0" w:color="auto"/>
              <w:bottom w:val="single" w:sz="4" w:space="0" w:color="auto"/>
              <w:right w:val="single" w:sz="4" w:space="0" w:color="auto"/>
            </w:tcBorders>
            <w:shd w:val="clear" w:color="auto" w:fill="FFFFFF" w:themeFill="background1"/>
            <w:vAlign w:val="center"/>
          </w:tcPr>
          <w:p w14:paraId="1EDBECB2"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4C6AE7AE" w14:textId="77777777" w:rsidTr="00BE42F5">
        <w:trPr>
          <w:trHeight w:val="227"/>
        </w:trPr>
        <w:tc>
          <w:tcPr>
            <w:tcW w:w="5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FB5EC89" w14:textId="77777777" w:rsidR="00BA1338" w:rsidRPr="00545EC0" w:rsidRDefault="00BA1338" w:rsidP="004F2AF2">
            <w:pPr>
              <w:spacing w:line="240" w:lineRule="auto"/>
              <w:rPr>
                <w:rFonts w:cs="Arial"/>
                <w:sz w:val="18"/>
                <w:szCs w:val="18"/>
              </w:rPr>
            </w:pPr>
            <w:r w:rsidRPr="00545EC0">
              <w:rPr>
                <w:rFonts w:cs="Arial"/>
                <w:sz w:val="18"/>
                <w:szCs w:val="18"/>
              </w:rPr>
              <w:t>SI38VT90</w:t>
            </w:r>
          </w:p>
        </w:tc>
        <w:tc>
          <w:tcPr>
            <w:tcW w:w="1922" w:type="pct"/>
            <w:tcBorders>
              <w:top w:val="nil"/>
              <w:left w:val="nil"/>
              <w:bottom w:val="single" w:sz="4" w:space="0" w:color="auto"/>
              <w:right w:val="single" w:sz="4" w:space="0" w:color="auto"/>
            </w:tcBorders>
            <w:shd w:val="clear" w:color="auto" w:fill="FFFFFF" w:themeFill="background1"/>
            <w:noWrap/>
            <w:vAlign w:val="center"/>
            <w:hideMark/>
          </w:tcPr>
          <w:p w14:paraId="01402F72" w14:textId="77777777" w:rsidR="00BA1338" w:rsidRPr="00545EC0" w:rsidRDefault="00BA1338" w:rsidP="004F2AF2">
            <w:pPr>
              <w:spacing w:line="240" w:lineRule="auto"/>
              <w:rPr>
                <w:rFonts w:cs="Arial"/>
                <w:sz w:val="18"/>
                <w:szCs w:val="18"/>
              </w:rPr>
            </w:pPr>
            <w:r w:rsidRPr="00545EC0">
              <w:rPr>
                <w:rFonts w:cs="Arial"/>
                <w:sz w:val="18"/>
                <w:szCs w:val="18"/>
              </w:rPr>
              <w:t>VT Pesnica zadrževalnik Perniško jezero - Ormož</w:t>
            </w:r>
          </w:p>
        </w:tc>
        <w:tc>
          <w:tcPr>
            <w:tcW w:w="1308" w:type="pct"/>
            <w:tcBorders>
              <w:top w:val="nil"/>
              <w:left w:val="nil"/>
              <w:bottom w:val="single" w:sz="4" w:space="0" w:color="auto"/>
              <w:right w:val="single" w:sz="4" w:space="0" w:color="auto"/>
            </w:tcBorders>
            <w:shd w:val="clear" w:color="auto" w:fill="FFFFFF" w:themeFill="background1"/>
            <w:noWrap/>
            <w:vAlign w:val="center"/>
            <w:hideMark/>
          </w:tcPr>
          <w:p w14:paraId="1668DCA4" w14:textId="77777777" w:rsidR="00BA1338" w:rsidRPr="00545EC0" w:rsidRDefault="00BA1338" w:rsidP="004F2AF2">
            <w:pPr>
              <w:spacing w:line="240" w:lineRule="auto"/>
              <w:rPr>
                <w:rFonts w:cs="Arial"/>
                <w:sz w:val="18"/>
                <w:szCs w:val="18"/>
              </w:rPr>
            </w:pPr>
            <w:r w:rsidRPr="00545EC0">
              <w:rPr>
                <w:rFonts w:cs="Arial"/>
                <w:sz w:val="18"/>
                <w:szCs w:val="18"/>
              </w:rPr>
              <w:t>Pesnica, Partinjski potok, Globovnica, Velka</w:t>
            </w:r>
          </w:p>
        </w:tc>
        <w:tc>
          <w:tcPr>
            <w:tcW w:w="693" w:type="pct"/>
            <w:vMerge/>
            <w:tcBorders>
              <w:left w:val="single" w:sz="4" w:space="0" w:color="auto"/>
              <w:right w:val="single" w:sz="4" w:space="0" w:color="auto"/>
            </w:tcBorders>
            <w:shd w:val="clear" w:color="auto" w:fill="FFFFFF" w:themeFill="background1"/>
            <w:vAlign w:val="center"/>
          </w:tcPr>
          <w:p w14:paraId="4FE54A35" w14:textId="77777777" w:rsidR="00BA1338" w:rsidRPr="00545EC0" w:rsidRDefault="00BA1338" w:rsidP="004F2AF2">
            <w:pPr>
              <w:spacing w:line="240" w:lineRule="auto"/>
              <w:rPr>
                <w:rFonts w:cs="Arial"/>
                <w:sz w:val="18"/>
                <w:szCs w:val="18"/>
              </w:rPr>
            </w:pPr>
          </w:p>
        </w:tc>
        <w:tc>
          <w:tcPr>
            <w:tcW w:w="231" w:type="pct"/>
            <w:tcBorders>
              <w:top w:val="nil"/>
              <w:left w:val="single" w:sz="4" w:space="0" w:color="auto"/>
              <w:bottom w:val="single" w:sz="4" w:space="0" w:color="auto"/>
              <w:right w:val="single" w:sz="4" w:space="0" w:color="auto"/>
            </w:tcBorders>
            <w:shd w:val="clear" w:color="auto" w:fill="FFFFFF" w:themeFill="background1"/>
            <w:vAlign w:val="center"/>
          </w:tcPr>
          <w:p w14:paraId="2A5CB54D"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268" w:type="pct"/>
            <w:tcBorders>
              <w:top w:val="nil"/>
              <w:left w:val="single" w:sz="4" w:space="0" w:color="auto"/>
              <w:bottom w:val="single" w:sz="4" w:space="0" w:color="auto"/>
              <w:right w:val="single" w:sz="4" w:space="0" w:color="auto"/>
            </w:tcBorders>
            <w:shd w:val="clear" w:color="auto" w:fill="FFFFFF" w:themeFill="background1"/>
            <w:vAlign w:val="center"/>
          </w:tcPr>
          <w:p w14:paraId="41A40544"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39988A17" w14:textId="77777777" w:rsidTr="00BE42F5">
        <w:trPr>
          <w:trHeight w:val="227"/>
        </w:trPr>
        <w:tc>
          <w:tcPr>
            <w:tcW w:w="5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C46E038" w14:textId="77777777" w:rsidR="00BA1338" w:rsidRPr="00545EC0" w:rsidRDefault="00BA1338" w:rsidP="004F2AF2">
            <w:pPr>
              <w:spacing w:line="240" w:lineRule="auto"/>
              <w:rPr>
                <w:rFonts w:cs="Arial"/>
                <w:sz w:val="18"/>
                <w:szCs w:val="18"/>
              </w:rPr>
            </w:pPr>
            <w:r w:rsidRPr="00545EC0">
              <w:rPr>
                <w:rFonts w:cs="Arial"/>
                <w:sz w:val="18"/>
                <w:szCs w:val="18"/>
              </w:rPr>
              <w:t>SI3VT197</w:t>
            </w:r>
          </w:p>
        </w:tc>
        <w:tc>
          <w:tcPr>
            <w:tcW w:w="1922" w:type="pct"/>
            <w:tcBorders>
              <w:top w:val="nil"/>
              <w:left w:val="nil"/>
              <w:bottom w:val="single" w:sz="4" w:space="0" w:color="auto"/>
              <w:right w:val="single" w:sz="4" w:space="0" w:color="auto"/>
            </w:tcBorders>
            <w:shd w:val="clear" w:color="auto" w:fill="FFFFFF" w:themeFill="background1"/>
            <w:noWrap/>
            <w:vAlign w:val="center"/>
            <w:hideMark/>
          </w:tcPr>
          <w:p w14:paraId="06148E4D" w14:textId="77777777" w:rsidR="00BA1338" w:rsidRPr="00545EC0" w:rsidRDefault="00BA1338" w:rsidP="004F2AF2">
            <w:pPr>
              <w:spacing w:line="240" w:lineRule="auto"/>
              <w:rPr>
                <w:rFonts w:cs="Arial"/>
                <w:sz w:val="18"/>
                <w:szCs w:val="18"/>
              </w:rPr>
            </w:pPr>
            <w:r w:rsidRPr="00545EC0">
              <w:rPr>
                <w:rFonts w:cs="Arial"/>
                <w:sz w:val="18"/>
                <w:szCs w:val="18"/>
              </w:rPr>
              <w:t>MPVT Drava mejni odsek z Avstrijo</w:t>
            </w:r>
          </w:p>
        </w:tc>
        <w:tc>
          <w:tcPr>
            <w:tcW w:w="1308" w:type="pct"/>
            <w:tcBorders>
              <w:top w:val="nil"/>
              <w:left w:val="nil"/>
              <w:bottom w:val="single" w:sz="4" w:space="0" w:color="auto"/>
              <w:right w:val="single" w:sz="4" w:space="0" w:color="auto"/>
            </w:tcBorders>
            <w:shd w:val="clear" w:color="auto" w:fill="FFFFFF" w:themeFill="background1"/>
            <w:noWrap/>
            <w:vAlign w:val="center"/>
            <w:hideMark/>
          </w:tcPr>
          <w:p w14:paraId="5DA3DE29" w14:textId="77777777" w:rsidR="00BA1338" w:rsidRPr="00545EC0" w:rsidRDefault="00BA1338" w:rsidP="004F2AF2">
            <w:pPr>
              <w:spacing w:line="240" w:lineRule="auto"/>
              <w:rPr>
                <w:rFonts w:cs="Arial"/>
                <w:sz w:val="18"/>
                <w:szCs w:val="18"/>
              </w:rPr>
            </w:pPr>
          </w:p>
          <w:p w14:paraId="728EC1F4" w14:textId="77777777" w:rsidR="00BA1338" w:rsidRPr="00545EC0" w:rsidRDefault="00BA1338" w:rsidP="004F2AF2">
            <w:pPr>
              <w:spacing w:line="240" w:lineRule="auto"/>
              <w:rPr>
                <w:rFonts w:cs="Arial"/>
                <w:sz w:val="18"/>
                <w:szCs w:val="18"/>
              </w:rPr>
            </w:pPr>
            <w:r w:rsidRPr="00545EC0">
              <w:rPr>
                <w:rFonts w:cs="Arial"/>
                <w:sz w:val="18"/>
                <w:szCs w:val="18"/>
              </w:rPr>
              <w:t>Drava</w:t>
            </w:r>
          </w:p>
        </w:tc>
        <w:tc>
          <w:tcPr>
            <w:tcW w:w="693" w:type="pct"/>
            <w:vMerge/>
            <w:tcBorders>
              <w:left w:val="single" w:sz="4" w:space="0" w:color="auto"/>
              <w:right w:val="single" w:sz="4" w:space="0" w:color="auto"/>
            </w:tcBorders>
            <w:shd w:val="clear" w:color="auto" w:fill="FFFFFF" w:themeFill="background1"/>
            <w:vAlign w:val="center"/>
          </w:tcPr>
          <w:p w14:paraId="69B39F88" w14:textId="77777777" w:rsidR="00BA1338" w:rsidRPr="00545EC0" w:rsidRDefault="00BA1338" w:rsidP="004F2AF2">
            <w:pPr>
              <w:spacing w:line="240" w:lineRule="auto"/>
              <w:rPr>
                <w:rFonts w:cs="Arial"/>
                <w:sz w:val="18"/>
                <w:szCs w:val="18"/>
              </w:rPr>
            </w:pPr>
          </w:p>
        </w:tc>
        <w:tc>
          <w:tcPr>
            <w:tcW w:w="231" w:type="pct"/>
            <w:tcBorders>
              <w:top w:val="nil"/>
              <w:left w:val="single" w:sz="4" w:space="0" w:color="auto"/>
              <w:bottom w:val="single" w:sz="4" w:space="0" w:color="auto"/>
              <w:right w:val="single" w:sz="4" w:space="0" w:color="auto"/>
            </w:tcBorders>
            <w:shd w:val="clear" w:color="auto" w:fill="FFFFFF" w:themeFill="background1"/>
            <w:vAlign w:val="center"/>
          </w:tcPr>
          <w:p w14:paraId="2AFC01D8"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268" w:type="pct"/>
            <w:tcBorders>
              <w:top w:val="nil"/>
              <w:left w:val="single" w:sz="4" w:space="0" w:color="auto"/>
              <w:bottom w:val="single" w:sz="4" w:space="0" w:color="auto"/>
              <w:right w:val="single" w:sz="4" w:space="0" w:color="auto"/>
            </w:tcBorders>
            <w:shd w:val="clear" w:color="auto" w:fill="FFFFFF" w:themeFill="background1"/>
            <w:vAlign w:val="center"/>
          </w:tcPr>
          <w:p w14:paraId="20DF825A"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264A3856" w14:textId="77777777" w:rsidTr="00BE42F5">
        <w:trPr>
          <w:trHeight w:val="227"/>
        </w:trPr>
        <w:tc>
          <w:tcPr>
            <w:tcW w:w="5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BF67491" w14:textId="77777777" w:rsidR="00BA1338" w:rsidRPr="00545EC0" w:rsidRDefault="00BA1338" w:rsidP="004F2AF2">
            <w:pPr>
              <w:spacing w:line="240" w:lineRule="auto"/>
              <w:rPr>
                <w:rFonts w:cs="Arial"/>
                <w:sz w:val="18"/>
                <w:szCs w:val="18"/>
              </w:rPr>
            </w:pPr>
            <w:r w:rsidRPr="00545EC0">
              <w:rPr>
                <w:rFonts w:cs="Arial"/>
                <w:sz w:val="18"/>
                <w:szCs w:val="18"/>
              </w:rPr>
              <w:t>SI3VT5171</w:t>
            </w:r>
          </w:p>
        </w:tc>
        <w:tc>
          <w:tcPr>
            <w:tcW w:w="1922" w:type="pct"/>
            <w:tcBorders>
              <w:top w:val="nil"/>
              <w:left w:val="nil"/>
              <w:bottom w:val="single" w:sz="4" w:space="0" w:color="auto"/>
              <w:right w:val="single" w:sz="4" w:space="0" w:color="auto"/>
            </w:tcBorders>
            <w:shd w:val="clear" w:color="auto" w:fill="FFFFFF" w:themeFill="background1"/>
            <w:noWrap/>
            <w:vAlign w:val="center"/>
            <w:hideMark/>
          </w:tcPr>
          <w:p w14:paraId="28E29AD8" w14:textId="77777777" w:rsidR="00BA1338" w:rsidRPr="00545EC0" w:rsidRDefault="00BA1338" w:rsidP="004F2AF2">
            <w:pPr>
              <w:spacing w:line="240" w:lineRule="auto"/>
              <w:rPr>
                <w:rFonts w:cs="Arial"/>
                <w:sz w:val="18"/>
                <w:szCs w:val="18"/>
              </w:rPr>
            </w:pPr>
            <w:r w:rsidRPr="00545EC0">
              <w:rPr>
                <w:rFonts w:cs="Arial"/>
                <w:sz w:val="18"/>
                <w:szCs w:val="18"/>
              </w:rPr>
              <w:t>VT Drava Maribor - Ptuj</w:t>
            </w:r>
          </w:p>
        </w:tc>
        <w:tc>
          <w:tcPr>
            <w:tcW w:w="1308" w:type="pct"/>
            <w:tcBorders>
              <w:top w:val="nil"/>
              <w:left w:val="nil"/>
              <w:bottom w:val="single" w:sz="4" w:space="0" w:color="auto"/>
              <w:right w:val="single" w:sz="4" w:space="0" w:color="auto"/>
            </w:tcBorders>
            <w:shd w:val="clear" w:color="auto" w:fill="FFFFFF" w:themeFill="background1"/>
            <w:noWrap/>
            <w:vAlign w:val="center"/>
            <w:hideMark/>
          </w:tcPr>
          <w:p w14:paraId="185B24D7" w14:textId="77777777" w:rsidR="00BA1338" w:rsidRPr="00545EC0" w:rsidRDefault="00BA1338" w:rsidP="004F2AF2">
            <w:pPr>
              <w:spacing w:line="240" w:lineRule="auto"/>
              <w:rPr>
                <w:rFonts w:cs="Arial"/>
                <w:sz w:val="18"/>
                <w:szCs w:val="18"/>
              </w:rPr>
            </w:pPr>
            <w:r w:rsidRPr="00545EC0">
              <w:rPr>
                <w:rFonts w:cs="Arial"/>
                <w:sz w:val="18"/>
                <w:szCs w:val="18"/>
              </w:rPr>
              <w:t xml:space="preserve">Drava </w:t>
            </w:r>
          </w:p>
        </w:tc>
        <w:tc>
          <w:tcPr>
            <w:tcW w:w="693" w:type="pct"/>
            <w:vMerge/>
            <w:tcBorders>
              <w:left w:val="single" w:sz="4" w:space="0" w:color="auto"/>
              <w:right w:val="single" w:sz="4" w:space="0" w:color="auto"/>
            </w:tcBorders>
            <w:shd w:val="clear" w:color="auto" w:fill="FFFFFF" w:themeFill="background1"/>
            <w:vAlign w:val="center"/>
          </w:tcPr>
          <w:p w14:paraId="7BA113CF" w14:textId="77777777" w:rsidR="00BA1338" w:rsidRPr="00545EC0" w:rsidRDefault="00BA1338" w:rsidP="004F2AF2">
            <w:pPr>
              <w:spacing w:line="240" w:lineRule="auto"/>
              <w:rPr>
                <w:rFonts w:cs="Arial"/>
                <w:sz w:val="18"/>
                <w:szCs w:val="18"/>
              </w:rPr>
            </w:pPr>
          </w:p>
        </w:tc>
        <w:tc>
          <w:tcPr>
            <w:tcW w:w="231" w:type="pct"/>
            <w:tcBorders>
              <w:top w:val="nil"/>
              <w:left w:val="single" w:sz="4" w:space="0" w:color="auto"/>
              <w:bottom w:val="single" w:sz="4" w:space="0" w:color="auto"/>
              <w:right w:val="single" w:sz="4" w:space="0" w:color="auto"/>
            </w:tcBorders>
            <w:shd w:val="clear" w:color="auto" w:fill="FFFFFF" w:themeFill="background1"/>
            <w:vAlign w:val="center"/>
          </w:tcPr>
          <w:p w14:paraId="6D81E5E1"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268" w:type="pct"/>
            <w:tcBorders>
              <w:top w:val="nil"/>
              <w:left w:val="single" w:sz="4" w:space="0" w:color="auto"/>
              <w:bottom w:val="single" w:sz="4" w:space="0" w:color="auto"/>
              <w:right w:val="single" w:sz="4" w:space="0" w:color="auto"/>
            </w:tcBorders>
            <w:shd w:val="clear" w:color="auto" w:fill="FFFFFF" w:themeFill="background1"/>
            <w:vAlign w:val="center"/>
          </w:tcPr>
          <w:p w14:paraId="2B5CE858"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4AF61A88" w14:textId="77777777" w:rsidTr="00BE42F5">
        <w:trPr>
          <w:trHeight w:val="227"/>
        </w:trPr>
        <w:tc>
          <w:tcPr>
            <w:tcW w:w="5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85FEFD8" w14:textId="77777777" w:rsidR="00BA1338" w:rsidRPr="00545EC0" w:rsidRDefault="00BA1338" w:rsidP="004F2AF2">
            <w:pPr>
              <w:spacing w:line="240" w:lineRule="auto"/>
              <w:rPr>
                <w:rFonts w:cs="Arial"/>
                <w:sz w:val="18"/>
                <w:szCs w:val="18"/>
              </w:rPr>
            </w:pPr>
            <w:r w:rsidRPr="00545EC0">
              <w:rPr>
                <w:rFonts w:cs="Arial"/>
                <w:sz w:val="18"/>
                <w:szCs w:val="18"/>
              </w:rPr>
              <w:t>SI3VT5172</w:t>
            </w:r>
          </w:p>
        </w:tc>
        <w:tc>
          <w:tcPr>
            <w:tcW w:w="1922" w:type="pct"/>
            <w:tcBorders>
              <w:top w:val="nil"/>
              <w:left w:val="nil"/>
              <w:bottom w:val="single" w:sz="4" w:space="0" w:color="auto"/>
              <w:right w:val="single" w:sz="4" w:space="0" w:color="auto"/>
            </w:tcBorders>
            <w:shd w:val="clear" w:color="auto" w:fill="FFFFFF" w:themeFill="background1"/>
            <w:noWrap/>
            <w:vAlign w:val="center"/>
            <w:hideMark/>
          </w:tcPr>
          <w:p w14:paraId="6380F893" w14:textId="77777777" w:rsidR="00BA1338" w:rsidRPr="00545EC0" w:rsidRDefault="00BA1338" w:rsidP="004F2AF2">
            <w:pPr>
              <w:spacing w:line="240" w:lineRule="auto"/>
              <w:rPr>
                <w:rFonts w:cs="Arial"/>
                <w:sz w:val="18"/>
                <w:szCs w:val="18"/>
              </w:rPr>
            </w:pPr>
            <w:r w:rsidRPr="00545EC0">
              <w:rPr>
                <w:rFonts w:cs="Arial"/>
                <w:sz w:val="18"/>
                <w:szCs w:val="18"/>
              </w:rPr>
              <w:t>MPVT zadrževalnik Ptujsko jezero</w:t>
            </w:r>
          </w:p>
        </w:tc>
        <w:tc>
          <w:tcPr>
            <w:tcW w:w="1308" w:type="pct"/>
            <w:tcBorders>
              <w:top w:val="nil"/>
              <w:left w:val="nil"/>
              <w:bottom w:val="single" w:sz="4" w:space="0" w:color="auto"/>
              <w:right w:val="single" w:sz="4" w:space="0" w:color="auto"/>
            </w:tcBorders>
            <w:shd w:val="clear" w:color="auto" w:fill="FFFFFF" w:themeFill="background1"/>
            <w:noWrap/>
            <w:vAlign w:val="center"/>
            <w:hideMark/>
          </w:tcPr>
          <w:p w14:paraId="65CD07B3" w14:textId="77777777" w:rsidR="00BA1338" w:rsidRPr="00545EC0" w:rsidRDefault="00BA1338" w:rsidP="004F2AF2">
            <w:pPr>
              <w:spacing w:line="240" w:lineRule="auto"/>
              <w:rPr>
                <w:rFonts w:cs="Arial"/>
                <w:sz w:val="18"/>
                <w:szCs w:val="18"/>
              </w:rPr>
            </w:pPr>
            <w:r w:rsidRPr="00545EC0">
              <w:rPr>
                <w:rFonts w:cs="Arial"/>
                <w:sz w:val="18"/>
                <w:szCs w:val="18"/>
              </w:rPr>
              <w:t xml:space="preserve">Drava </w:t>
            </w:r>
          </w:p>
        </w:tc>
        <w:tc>
          <w:tcPr>
            <w:tcW w:w="693" w:type="pct"/>
            <w:vMerge/>
            <w:tcBorders>
              <w:left w:val="single" w:sz="4" w:space="0" w:color="auto"/>
              <w:right w:val="single" w:sz="4" w:space="0" w:color="auto"/>
            </w:tcBorders>
            <w:shd w:val="clear" w:color="auto" w:fill="FFFFFF" w:themeFill="background1"/>
            <w:vAlign w:val="center"/>
          </w:tcPr>
          <w:p w14:paraId="05AD583D" w14:textId="77777777" w:rsidR="00BA1338" w:rsidRPr="00545EC0" w:rsidRDefault="00BA1338" w:rsidP="004F2AF2">
            <w:pPr>
              <w:spacing w:line="240" w:lineRule="auto"/>
              <w:rPr>
                <w:rFonts w:cs="Arial"/>
                <w:sz w:val="18"/>
                <w:szCs w:val="18"/>
              </w:rPr>
            </w:pPr>
          </w:p>
        </w:tc>
        <w:tc>
          <w:tcPr>
            <w:tcW w:w="231" w:type="pct"/>
            <w:tcBorders>
              <w:top w:val="nil"/>
              <w:left w:val="single" w:sz="4" w:space="0" w:color="auto"/>
              <w:bottom w:val="single" w:sz="4" w:space="0" w:color="auto"/>
              <w:right w:val="single" w:sz="4" w:space="0" w:color="auto"/>
            </w:tcBorders>
            <w:shd w:val="clear" w:color="auto" w:fill="FFFFFF" w:themeFill="background1"/>
            <w:vAlign w:val="center"/>
          </w:tcPr>
          <w:p w14:paraId="661ED973"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268" w:type="pct"/>
            <w:tcBorders>
              <w:top w:val="nil"/>
              <w:left w:val="single" w:sz="4" w:space="0" w:color="auto"/>
              <w:bottom w:val="single" w:sz="4" w:space="0" w:color="auto"/>
              <w:right w:val="single" w:sz="4" w:space="0" w:color="auto"/>
            </w:tcBorders>
            <w:shd w:val="clear" w:color="auto" w:fill="FFFFFF" w:themeFill="background1"/>
            <w:vAlign w:val="center"/>
          </w:tcPr>
          <w:p w14:paraId="488900F2"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2130016B" w14:textId="77777777" w:rsidTr="00BE42F5">
        <w:trPr>
          <w:trHeight w:val="227"/>
        </w:trPr>
        <w:tc>
          <w:tcPr>
            <w:tcW w:w="5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E64AC58" w14:textId="77777777" w:rsidR="00BA1338" w:rsidRPr="00545EC0" w:rsidRDefault="00BA1338" w:rsidP="004F2AF2">
            <w:pPr>
              <w:spacing w:line="240" w:lineRule="auto"/>
              <w:rPr>
                <w:rFonts w:cs="Arial"/>
                <w:sz w:val="18"/>
                <w:szCs w:val="18"/>
              </w:rPr>
            </w:pPr>
            <w:r w:rsidRPr="00545EC0">
              <w:rPr>
                <w:rFonts w:cs="Arial"/>
                <w:sz w:val="18"/>
                <w:szCs w:val="18"/>
              </w:rPr>
              <w:t>SI3VT930</w:t>
            </w:r>
          </w:p>
        </w:tc>
        <w:tc>
          <w:tcPr>
            <w:tcW w:w="1922" w:type="pct"/>
            <w:tcBorders>
              <w:top w:val="nil"/>
              <w:left w:val="nil"/>
              <w:bottom w:val="single" w:sz="4" w:space="0" w:color="auto"/>
              <w:right w:val="single" w:sz="4" w:space="0" w:color="auto"/>
            </w:tcBorders>
            <w:shd w:val="clear" w:color="auto" w:fill="FFFFFF" w:themeFill="background1"/>
            <w:noWrap/>
            <w:vAlign w:val="center"/>
            <w:hideMark/>
          </w:tcPr>
          <w:p w14:paraId="57349D1C" w14:textId="77777777" w:rsidR="00BA1338" w:rsidRPr="00545EC0" w:rsidRDefault="00BA1338" w:rsidP="004F2AF2">
            <w:pPr>
              <w:spacing w:line="240" w:lineRule="auto"/>
              <w:rPr>
                <w:rFonts w:cs="Arial"/>
                <w:sz w:val="18"/>
                <w:szCs w:val="18"/>
              </w:rPr>
            </w:pPr>
            <w:r w:rsidRPr="00545EC0">
              <w:rPr>
                <w:rFonts w:cs="Arial"/>
                <w:sz w:val="18"/>
                <w:szCs w:val="18"/>
              </w:rPr>
              <w:t>VT Drava Ptuj - Ormož</w:t>
            </w:r>
          </w:p>
        </w:tc>
        <w:tc>
          <w:tcPr>
            <w:tcW w:w="1308" w:type="pct"/>
            <w:tcBorders>
              <w:top w:val="nil"/>
              <w:left w:val="nil"/>
              <w:bottom w:val="single" w:sz="4" w:space="0" w:color="auto"/>
              <w:right w:val="single" w:sz="4" w:space="0" w:color="auto"/>
            </w:tcBorders>
            <w:shd w:val="clear" w:color="auto" w:fill="FFFFFF" w:themeFill="background1"/>
            <w:noWrap/>
            <w:vAlign w:val="center"/>
            <w:hideMark/>
          </w:tcPr>
          <w:p w14:paraId="187C1FA7" w14:textId="77777777" w:rsidR="00BA1338" w:rsidRPr="00545EC0" w:rsidRDefault="00BA1338" w:rsidP="004F2AF2">
            <w:pPr>
              <w:spacing w:line="240" w:lineRule="auto"/>
              <w:rPr>
                <w:rFonts w:cs="Arial"/>
                <w:sz w:val="18"/>
                <w:szCs w:val="18"/>
              </w:rPr>
            </w:pPr>
            <w:r w:rsidRPr="00545EC0">
              <w:rPr>
                <w:rFonts w:cs="Arial"/>
                <w:sz w:val="18"/>
                <w:szCs w:val="18"/>
              </w:rPr>
              <w:t xml:space="preserve">Drava </w:t>
            </w:r>
          </w:p>
        </w:tc>
        <w:tc>
          <w:tcPr>
            <w:tcW w:w="693" w:type="pct"/>
            <w:vMerge/>
            <w:tcBorders>
              <w:left w:val="single" w:sz="4" w:space="0" w:color="auto"/>
              <w:right w:val="single" w:sz="4" w:space="0" w:color="auto"/>
            </w:tcBorders>
            <w:shd w:val="clear" w:color="auto" w:fill="FFFFFF" w:themeFill="background1"/>
            <w:vAlign w:val="center"/>
          </w:tcPr>
          <w:p w14:paraId="6CD71365" w14:textId="77777777" w:rsidR="00BA1338" w:rsidRPr="00545EC0" w:rsidRDefault="00BA1338" w:rsidP="004F2AF2">
            <w:pPr>
              <w:spacing w:line="240" w:lineRule="auto"/>
              <w:rPr>
                <w:rFonts w:cs="Arial"/>
                <w:sz w:val="18"/>
                <w:szCs w:val="18"/>
              </w:rPr>
            </w:pPr>
          </w:p>
        </w:tc>
        <w:tc>
          <w:tcPr>
            <w:tcW w:w="231" w:type="pct"/>
            <w:tcBorders>
              <w:top w:val="nil"/>
              <w:left w:val="single" w:sz="4" w:space="0" w:color="auto"/>
              <w:bottom w:val="single" w:sz="4" w:space="0" w:color="auto"/>
              <w:right w:val="single" w:sz="4" w:space="0" w:color="auto"/>
            </w:tcBorders>
            <w:shd w:val="clear" w:color="auto" w:fill="FFFFFF" w:themeFill="background1"/>
            <w:vAlign w:val="center"/>
          </w:tcPr>
          <w:p w14:paraId="120FFFB5"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268" w:type="pct"/>
            <w:tcBorders>
              <w:top w:val="nil"/>
              <w:left w:val="single" w:sz="4" w:space="0" w:color="auto"/>
              <w:bottom w:val="single" w:sz="4" w:space="0" w:color="auto"/>
              <w:right w:val="single" w:sz="4" w:space="0" w:color="auto"/>
            </w:tcBorders>
            <w:shd w:val="clear" w:color="auto" w:fill="FFFFFF" w:themeFill="background1"/>
            <w:vAlign w:val="center"/>
          </w:tcPr>
          <w:p w14:paraId="0AD17988"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6A4EB6D6" w14:textId="77777777" w:rsidTr="00BE42F5">
        <w:trPr>
          <w:trHeight w:val="227"/>
        </w:trPr>
        <w:tc>
          <w:tcPr>
            <w:tcW w:w="5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9B32363" w14:textId="77777777" w:rsidR="00BA1338" w:rsidRPr="00545EC0" w:rsidRDefault="00BA1338" w:rsidP="004F2AF2">
            <w:pPr>
              <w:spacing w:line="240" w:lineRule="auto"/>
              <w:rPr>
                <w:rFonts w:cs="Arial"/>
                <w:sz w:val="18"/>
                <w:szCs w:val="18"/>
              </w:rPr>
            </w:pPr>
            <w:r w:rsidRPr="00545EC0">
              <w:rPr>
                <w:rFonts w:cs="Arial"/>
                <w:sz w:val="18"/>
                <w:szCs w:val="18"/>
              </w:rPr>
              <w:t>SI3VT950</w:t>
            </w:r>
          </w:p>
        </w:tc>
        <w:tc>
          <w:tcPr>
            <w:tcW w:w="1922" w:type="pct"/>
            <w:tcBorders>
              <w:top w:val="nil"/>
              <w:left w:val="nil"/>
              <w:bottom w:val="single" w:sz="4" w:space="0" w:color="auto"/>
              <w:right w:val="single" w:sz="4" w:space="0" w:color="auto"/>
            </w:tcBorders>
            <w:shd w:val="clear" w:color="auto" w:fill="FFFFFF" w:themeFill="background1"/>
            <w:noWrap/>
            <w:vAlign w:val="center"/>
            <w:hideMark/>
          </w:tcPr>
          <w:p w14:paraId="78616BAC" w14:textId="77777777" w:rsidR="00BA1338" w:rsidRPr="00545EC0" w:rsidRDefault="00BA1338" w:rsidP="004F2AF2">
            <w:pPr>
              <w:spacing w:line="240" w:lineRule="auto"/>
              <w:rPr>
                <w:rFonts w:cs="Arial"/>
                <w:sz w:val="18"/>
                <w:szCs w:val="18"/>
              </w:rPr>
            </w:pPr>
            <w:r w:rsidRPr="00545EC0">
              <w:rPr>
                <w:rFonts w:cs="Arial"/>
                <w:sz w:val="18"/>
                <w:szCs w:val="18"/>
              </w:rPr>
              <w:t>MPVT zadrževalnik Ormoško jezero</w:t>
            </w:r>
          </w:p>
        </w:tc>
        <w:tc>
          <w:tcPr>
            <w:tcW w:w="1308" w:type="pct"/>
            <w:tcBorders>
              <w:top w:val="nil"/>
              <w:left w:val="nil"/>
              <w:bottom w:val="single" w:sz="4" w:space="0" w:color="auto"/>
              <w:right w:val="single" w:sz="4" w:space="0" w:color="auto"/>
            </w:tcBorders>
            <w:shd w:val="clear" w:color="auto" w:fill="FFFFFF" w:themeFill="background1"/>
            <w:noWrap/>
            <w:vAlign w:val="center"/>
            <w:hideMark/>
          </w:tcPr>
          <w:p w14:paraId="4C6C961A" w14:textId="77777777" w:rsidR="00BA1338" w:rsidRPr="00545EC0" w:rsidRDefault="00BA1338" w:rsidP="004F2AF2">
            <w:pPr>
              <w:spacing w:line="240" w:lineRule="auto"/>
              <w:rPr>
                <w:rFonts w:cs="Arial"/>
                <w:sz w:val="18"/>
                <w:szCs w:val="18"/>
              </w:rPr>
            </w:pPr>
            <w:r w:rsidRPr="00545EC0">
              <w:rPr>
                <w:rFonts w:cs="Arial"/>
                <w:sz w:val="18"/>
                <w:szCs w:val="18"/>
              </w:rPr>
              <w:t xml:space="preserve">Drava </w:t>
            </w:r>
          </w:p>
        </w:tc>
        <w:tc>
          <w:tcPr>
            <w:tcW w:w="693" w:type="pct"/>
            <w:vMerge/>
            <w:tcBorders>
              <w:left w:val="single" w:sz="4" w:space="0" w:color="auto"/>
              <w:right w:val="single" w:sz="4" w:space="0" w:color="auto"/>
            </w:tcBorders>
            <w:shd w:val="clear" w:color="auto" w:fill="FFFFFF" w:themeFill="background1"/>
            <w:vAlign w:val="center"/>
          </w:tcPr>
          <w:p w14:paraId="7CC73D95" w14:textId="77777777" w:rsidR="00BA1338" w:rsidRPr="00545EC0" w:rsidRDefault="00BA1338" w:rsidP="004F2AF2">
            <w:pPr>
              <w:spacing w:line="240" w:lineRule="auto"/>
              <w:rPr>
                <w:rFonts w:cs="Arial"/>
                <w:sz w:val="18"/>
                <w:szCs w:val="18"/>
              </w:rPr>
            </w:pPr>
          </w:p>
        </w:tc>
        <w:tc>
          <w:tcPr>
            <w:tcW w:w="231" w:type="pct"/>
            <w:tcBorders>
              <w:top w:val="nil"/>
              <w:left w:val="single" w:sz="4" w:space="0" w:color="auto"/>
              <w:bottom w:val="single" w:sz="4" w:space="0" w:color="auto"/>
              <w:right w:val="single" w:sz="4" w:space="0" w:color="auto"/>
            </w:tcBorders>
            <w:shd w:val="clear" w:color="auto" w:fill="FFFFFF" w:themeFill="background1"/>
            <w:vAlign w:val="center"/>
          </w:tcPr>
          <w:p w14:paraId="02926AAE"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268" w:type="pct"/>
            <w:tcBorders>
              <w:top w:val="nil"/>
              <w:left w:val="single" w:sz="4" w:space="0" w:color="auto"/>
              <w:bottom w:val="single" w:sz="4" w:space="0" w:color="auto"/>
              <w:right w:val="single" w:sz="4" w:space="0" w:color="auto"/>
            </w:tcBorders>
            <w:shd w:val="clear" w:color="auto" w:fill="FFFFFF" w:themeFill="background1"/>
            <w:vAlign w:val="center"/>
          </w:tcPr>
          <w:p w14:paraId="461337C1"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60D5F61C" w14:textId="77777777" w:rsidTr="00BE42F5">
        <w:trPr>
          <w:trHeight w:val="227"/>
        </w:trPr>
        <w:tc>
          <w:tcPr>
            <w:tcW w:w="5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8C92AC6" w14:textId="77777777" w:rsidR="00BA1338" w:rsidRPr="00545EC0" w:rsidRDefault="00BA1338" w:rsidP="004F2AF2">
            <w:pPr>
              <w:spacing w:line="240" w:lineRule="auto"/>
              <w:rPr>
                <w:rFonts w:cs="Arial"/>
                <w:sz w:val="18"/>
                <w:szCs w:val="18"/>
              </w:rPr>
            </w:pPr>
            <w:r w:rsidRPr="00545EC0">
              <w:rPr>
                <w:rFonts w:cs="Arial"/>
                <w:sz w:val="18"/>
                <w:szCs w:val="18"/>
              </w:rPr>
              <w:t>SI3VT970</w:t>
            </w:r>
          </w:p>
        </w:tc>
        <w:tc>
          <w:tcPr>
            <w:tcW w:w="1922" w:type="pct"/>
            <w:tcBorders>
              <w:top w:val="nil"/>
              <w:left w:val="nil"/>
              <w:bottom w:val="single" w:sz="4" w:space="0" w:color="auto"/>
              <w:right w:val="single" w:sz="4" w:space="0" w:color="auto"/>
            </w:tcBorders>
            <w:shd w:val="clear" w:color="auto" w:fill="FFFFFF" w:themeFill="background1"/>
            <w:noWrap/>
            <w:vAlign w:val="center"/>
            <w:hideMark/>
          </w:tcPr>
          <w:p w14:paraId="087AD183" w14:textId="77777777" w:rsidR="00BA1338" w:rsidRPr="00545EC0" w:rsidRDefault="00BA1338" w:rsidP="004F2AF2">
            <w:pPr>
              <w:spacing w:line="240" w:lineRule="auto"/>
              <w:rPr>
                <w:rFonts w:cs="Arial"/>
                <w:sz w:val="18"/>
                <w:szCs w:val="18"/>
              </w:rPr>
            </w:pPr>
            <w:r w:rsidRPr="00545EC0">
              <w:rPr>
                <w:rFonts w:cs="Arial"/>
                <w:sz w:val="18"/>
                <w:szCs w:val="18"/>
              </w:rPr>
              <w:t>VT Drava zadrževalnik Ormoško jezero - Središče ob Dravi</w:t>
            </w:r>
          </w:p>
        </w:tc>
        <w:tc>
          <w:tcPr>
            <w:tcW w:w="1308" w:type="pct"/>
            <w:tcBorders>
              <w:top w:val="nil"/>
              <w:left w:val="nil"/>
              <w:bottom w:val="single" w:sz="4" w:space="0" w:color="auto"/>
              <w:right w:val="single" w:sz="4" w:space="0" w:color="auto"/>
            </w:tcBorders>
            <w:shd w:val="clear" w:color="auto" w:fill="FFFFFF" w:themeFill="background1"/>
            <w:noWrap/>
            <w:vAlign w:val="center"/>
            <w:hideMark/>
          </w:tcPr>
          <w:p w14:paraId="6AC4516C" w14:textId="77777777" w:rsidR="00BA1338" w:rsidRPr="00545EC0" w:rsidRDefault="00BA1338" w:rsidP="004F2AF2">
            <w:pPr>
              <w:spacing w:line="240" w:lineRule="auto"/>
              <w:rPr>
                <w:rFonts w:cs="Arial"/>
                <w:sz w:val="18"/>
                <w:szCs w:val="18"/>
              </w:rPr>
            </w:pPr>
            <w:r w:rsidRPr="00545EC0">
              <w:rPr>
                <w:rFonts w:cs="Arial"/>
                <w:sz w:val="18"/>
                <w:szCs w:val="18"/>
              </w:rPr>
              <w:t xml:space="preserve">Drava </w:t>
            </w:r>
          </w:p>
        </w:tc>
        <w:tc>
          <w:tcPr>
            <w:tcW w:w="693" w:type="pct"/>
            <w:vMerge/>
            <w:tcBorders>
              <w:left w:val="single" w:sz="4" w:space="0" w:color="auto"/>
              <w:bottom w:val="single" w:sz="4" w:space="0" w:color="auto"/>
              <w:right w:val="single" w:sz="4" w:space="0" w:color="auto"/>
            </w:tcBorders>
            <w:shd w:val="clear" w:color="auto" w:fill="FFFFFF" w:themeFill="background1"/>
            <w:vAlign w:val="center"/>
          </w:tcPr>
          <w:p w14:paraId="08749D57" w14:textId="77777777" w:rsidR="00BA1338" w:rsidRPr="00545EC0" w:rsidRDefault="00BA1338" w:rsidP="004F2AF2">
            <w:pPr>
              <w:spacing w:line="240" w:lineRule="auto"/>
              <w:rPr>
                <w:rFonts w:cs="Arial"/>
                <w:sz w:val="18"/>
                <w:szCs w:val="18"/>
              </w:rPr>
            </w:pPr>
          </w:p>
        </w:tc>
        <w:tc>
          <w:tcPr>
            <w:tcW w:w="231" w:type="pct"/>
            <w:tcBorders>
              <w:top w:val="nil"/>
              <w:left w:val="single" w:sz="4" w:space="0" w:color="auto"/>
              <w:bottom w:val="single" w:sz="4" w:space="0" w:color="auto"/>
              <w:right w:val="single" w:sz="4" w:space="0" w:color="auto"/>
            </w:tcBorders>
            <w:shd w:val="clear" w:color="auto" w:fill="FFFFFF" w:themeFill="background1"/>
            <w:vAlign w:val="center"/>
          </w:tcPr>
          <w:p w14:paraId="7CC4C4E1"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268" w:type="pct"/>
            <w:tcBorders>
              <w:top w:val="nil"/>
              <w:left w:val="single" w:sz="4" w:space="0" w:color="auto"/>
              <w:bottom w:val="single" w:sz="4" w:space="0" w:color="auto"/>
              <w:right w:val="single" w:sz="4" w:space="0" w:color="auto"/>
            </w:tcBorders>
            <w:shd w:val="clear" w:color="auto" w:fill="FFFFFF" w:themeFill="background1"/>
            <w:vAlign w:val="center"/>
          </w:tcPr>
          <w:p w14:paraId="23C1E75F"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71B9BD52" w14:textId="77777777" w:rsidTr="00BE42F5">
        <w:trPr>
          <w:trHeight w:val="227"/>
        </w:trPr>
        <w:tc>
          <w:tcPr>
            <w:tcW w:w="5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B4F7EC5" w14:textId="77777777" w:rsidR="00BA1338" w:rsidRPr="00545EC0" w:rsidRDefault="00BA1338" w:rsidP="004F2AF2">
            <w:pPr>
              <w:spacing w:line="240" w:lineRule="auto"/>
              <w:rPr>
                <w:rFonts w:cs="Arial"/>
                <w:sz w:val="18"/>
                <w:szCs w:val="18"/>
              </w:rPr>
            </w:pPr>
            <w:r w:rsidRPr="00545EC0">
              <w:rPr>
                <w:rFonts w:cs="Arial"/>
                <w:sz w:val="18"/>
                <w:szCs w:val="18"/>
              </w:rPr>
              <w:t>SI434VT51</w:t>
            </w:r>
          </w:p>
        </w:tc>
        <w:tc>
          <w:tcPr>
            <w:tcW w:w="1922" w:type="pct"/>
            <w:tcBorders>
              <w:top w:val="nil"/>
              <w:left w:val="nil"/>
              <w:bottom w:val="single" w:sz="4" w:space="0" w:color="auto"/>
              <w:right w:val="single" w:sz="4" w:space="0" w:color="auto"/>
            </w:tcBorders>
            <w:shd w:val="clear" w:color="auto" w:fill="FFFFFF" w:themeFill="background1"/>
            <w:noWrap/>
            <w:vAlign w:val="center"/>
            <w:hideMark/>
          </w:tcPr>
          <w:p w14:paraId="03BF02F1" w14:textId="77777777" w:rsidR="00BA1338" w:rsidRPr="00545EC0" w:rsidRDefault="00BA1338" w:rsidP="004F2AF2">
            <w:pPr>
              <w:spacing w:line="240" w:lineRule="auto"/>
              <w:rPr>
                <w:rFonts w:cs="Arial"/>
                <w:sz w:val="18"/>
                <w:szCs w:val="18"/>
              </w:rPr>
            </w:pPr>
            <w:r w:rsidRPr="00545EC0">
              <w:rPr>
                <w:rFonts w:cs="Arial"/>
                <w:sz w:val="18"/>
                <w:szCs w:val="18"/>
              </w:rPr>
              <w:t>VT Ščavnica povirje - zadrževalnik Gajševsko jezero</w:t>
            </w:r>
          </w:p>
        </w:tc>
        <w:tc>
          <w:tcPr>
            <w:tcW w:w="1308" w:type="pct"/>
            <w:tcBorders>
              <w:top w:val="nil"/>
              <w:left w:val="nil"/>
              <w:bottom w:val="single" w:sz="4" w:space="0" w:color="auto"/>
              <w:right w:val="single" w:sz="4" w:space="0" w:color="auto"/>
            </w:tcBorders>
            <w:shd w:val="clear" w:color="auto" w:fill="FFFFFF" w:themeFill="background1"/>
            <w:noWrap/>
            <w:vAlign w:val="center"/>
            <w:hideMark/>
          </w:tcPr>
          <w:p w14:paraId="51E093F1" w14:textId="77777777" w:rsidR="00BA1338" w:rsidRPr="00545EC0" w:rsidRDefault="00BA1338" w:rsidP="004F2AF2">
            <w:pPr>
              <w:spacing w:line="240" w:lineRule="auto"/>
              <w:rPr>
                <w:rFonts w:cs="Arial"/>
                <w:sz w:val="18"/>
                <w:szCs w:val="18"/>
              </w:rPr>
            </w:pPr>
            <w:r w:rsidRPr="00545EC0">
              <w:rPr>
                <w:rFonts w:cs="Arial"/>
                <w:sz w:val="18"/>
                <w:szCs w:val="18"/>
              </w:rPr>
              <w:t>Kunovski potok, Blaguški potok</w:t>
            </w:r>
          </w:p>
        </w:tc>
        <w:tc>
          <w:tcPr>
            <w:tcW w:w="693" w:type="pct"/>
            <w:vMerge w:val="restart"/>
            <w:tcBorders>
              <w:top w:val="nil"/>
              <w:left w:val="single" w:sz="4" w:space="0" w:color="auto"/>
              <w:right w:val="single" w:sz="4" w:space="0" w:color="auto"/>
            </w:tcBorders>
            <w:shd w:val="clear" w:color="auto" w:fill="FFFFFF" w:themeFill="background1"/>
            <w:vAlign w:val="center"/>
          </w:tcPr>
          <w:p w14:paraId="2F986DD4" w14:textId="77777777" w:rsidR="00BA1338" w:rsidRPr="00545EC0" w:rsidRDefault="00BA1338" w:rsidP="004F2AF2">
            <w:pPr>
              <w:spacing w:line="240" w:lineRule="auto"/>
              <w:rPr>
                <w:rFonts w:cs="Arial"/>
                <w:sz w:val="18"/>
                <w:szCs w:val="18"/>
              </w:rPr>
            </w:pPr>
            <w:r w:rsidRPr="00545EC0">
              <w:rPr>
                <w:rFonts w:cs="Arial"/>
                <w:sz w:val="18"/>
                <w:szCs w:val="18"/>
              </w:rPr>
              <w:t>Mura</w:t>
            </w:r>
          </w:p>
        </w:tc>
        <w:tc>
          <w:tcPr>
            <w:tcW w:w="231" w:type="pct"/>
            <w:tcBorders>
              <w:top w:val="nil"/>
              <w:left w:val="single" w:sz="4" w:space="0" w:color="auto"/>
              <w:bottom w:val="single" w:sz="4" w:space="0" w:color="auto"/>
              <w:right w:val="single" w:sz="4" w:space="0" w:color="auto"/>
            </w:tcBorders>
            <w:shd w:val="clear" w:color="auto" w:fill="FFFFFF" w:themeFill="background1"/>
            <w:vAlign w:val="center"/>
          </w:tcPr>
          <w:p w14:paraId="05BA195D" w14:textId="77777777" w:rsidR="00BA1338" w:rsidRPr="00545EC0" w:rsidRDefault="00BA1338" w:rsidP="004F2AF2">
            <w:pPr>
              <w:spacing w:line="240" w:lineRule="auto"/>
              <w:rPr>
                <w:rFonts w:cs="Arial"/>
                <w:sz w:val="18"/>
                <w:szCs w:val="18"/>
              </w:rPr>
            </w:pPr>
            <w:r w:rsidRPr="00545EC0">
              <w:rPr>
                <w:rFonts w:cs="Arial"/>
                <w:sz w:val="18"/>
                <w:szCs w:val="18"/>
              </w:rPr>
              <w:t>0</w:t>
            </w:r>
          </w:p>
        </w:tc>
        <w:tc>
          <w:tcPr>
            <w:tcW w:w="268" w:type="pct"/>
            <w:tcBorders>
              <w:top w:val="nil"/>
              <w:left w:val="single" w:sz="4" w:space="0" w:color="auto"/>
              <w:bottom w:val="single" w:sz="4" w:space="0" w:color="auto"/>
              <w:right w:val="single" w:sz="4" w:space="0" w:color="auto"/>
            </w:tcBorders>
            <w:shd w:val="clear" w:color="auto" w:fill="FFFFFF" w:themeFill="background1"/>
            <w:vAlign w:val="center"/>
          </w:tcPr>
          <w:p w14:paraId="4F6BB2DE"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6573A764" w14:textId="77777777" w:rsidTr="00BE42F5">
        <w:trPr>
          <w:trHeight w:val="227"/>
        </w:trPr>
        <w:tc>
          <w:tcPr>
            <w:tcW w:w="5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DA0E859" w14:textId="77777777" w:rsidR="00BA1338" w:rsidRPr="00545EC0" w:rsidRDefault="00BA1338" w:rsidP="004F2AF2">
            <w:pPr>
              <w:spacing w:line="240" w:lineRule="auto"/>
              <w:rPr>
                <w:rFonts w:cs="Arial"/>
                <w:sz w:val="18"/>
                <w:szCs w:val="18"/>
              </w:rPr>
            </w:pPr>
            <w:r w:rsidRPr="00545EC0">
              <w:rPr>
                <w:rFonts w:cs="Arial"/>
                <w:sz w:val="18"/>
                <w:szCs w:val="18"/>
              </w:rPr>
              <w:t>SI441VT</w:t>
            </w:r>
          </w:p>
        </w:tc>
        <w:tc>
          <w:tcPr>
            <w:tcW w:w="1922" w:type="pct"/>
            <w:tcBorders>
              <w:top w:val="nil"/>
              <w:left w:val="nil"/>
              <w:bottom w:val="single" w:sz="4" w:space="0" w:color="auto"/>
              <w:right w:val="single" w:sz="4" w:space="0" w:color="auto"/>
            </w:tcBorders>
            <w:shd w:val="clear" w:color="auto" w:fill="FFFFFF" w:themeFill="background1"/>
            <w:noWrap/>
            <w:vAlign w:val="center"/>
            <w:hideMark/>
          </w:tcPr>
          <w:p w14:paraId="20FE9E63" w14:textId="77777777" w:rsidR="00BA1338" w:rsidRPr="00545EC0" w:rsidRDefault="00BA1338" w:rsidP="004F2AF2">
            <w:pPr>
              <w:spacing w:line="240" w:lineRule="auto"/>
              <w:rPr>
                <w:rFonts w:cs="Arial"/>
                <w:sz w:val="18"/>
                <w:szCs w:val="18"/>
              </w:rPr>
            </w:pPr>
            <w:r w:rsidRPr="00545EC0">
              <w:rPr>
                <w:rFonts w:cs="Arial"/>
                <w:sz w:val="18"/>
                <w:szCs w:val="18"/>
              </w:rPr>
              <w:t>VT Velika Krka povirje - državna meja</w:t>
            </w:r>
          </w:p>
        </w:tc>
        <w:tc>
          <w:tcPr>
            <w:tcW w:w="1308" w:type="pct"/>
            <w:tcBorders>
              <w:top w:val="nil"/>
              <w:left w:val="nil"/>
              <w:bottom w:val="single" w:sz="4" w:space="0" w:color="auto"/>
              <w:right w:val="single" w:sz="4" w:space="0" w:color="auto"/>
            </w:tcBorders>
            <w:shd w:val="clear" w:color="auto" w:fill="FFFFFF" w:themeFill="background1"/>
            <w:noWrap/>
            <w:vAlign w:val="center"/>
            <w:hideMark/>
          </w:tcPr>
          <w:p w14:paraId="630EFFC6" w14:textId="77777777" w:rsidR="00BA1338" w:rsidRPr="00545EC0" w:rsidRDefault="00BA1338" w:rsidP="004F2AF2">
            <w:pPr>
              <w:spacing w:line="240" w:lineRule="auto"/>
              <w:rPr>
                <w:rFonts w:cs="Arial"/>
                <w:sz w:val="18"/>
                <w:szCs w:val="18"/>
              </w:rPr>
            </w:pPr>
            <w:r w:rsidRPr="00545EC0">
              <w:rPr>
                <w:rFonts w:cs="Arial"/>
                <w:sz w:val="18"/>
                <w:szCs w:val="18"/>
              </w:rPr>
              <w:t xml:space="preserve">Dolenski potok </w:t>
            </w:r>
          </w:p>
        </w:tc>
        <w:tc>
          <w:tcPr>
            <w:tcW w:w="693" w:type="pct"/>
            <w:vMerge/>
            <w:tcBorders>
              <w:left w:val="single" w:sz="4" w:space="0" w:color="auto"/>
              <w:right w:val="single" w:sz="4" w:space="0" w:color="auto"/>
            </w:tcBorders>
            <w:shd w:val="clear" w:color="auto" w:fill="FFFFFF" w:themeFill="background1"/>
          </w:tcPr>
          <w:p w14:paraId="51773787" w14:textId="77777777" w:rsidR="00BA1338" w:rsidRPr="00545EC0" w:rsidRDefault="00BA1338" w:rsidP="004F2AF2">
            <w:pPr>
              <w:spacing w:line="240" w:lineRule="auto"/>
              <w:rPr>
                <w:rFonts w:cs="Arial"/>
                <w:sz w:val="18"/>
                <w:szCs w:val="18"/>
              </w:rPr>
            </w:pPr>
          </w:p>
        </w:tc>
        <w:tc>
          <w:tcPr>
            <w:tcW w:w="231" w:type="pct"/>
            <w:tcBorders>
              <w:top w:val="nil"/>
              <w:left w:val="single" w:sz="4" w:space="0" w:color="auto"/>
              <w:bottom w:val="single" w:sz="4" w:space="0" w:color="auto"/>
              <w:right w:val="single" w:sz="4" w:space="0" w:color="auto"/>
            </w:tcBorders>
            <w:shd w:val="clear" w:color="auto" w:fill="FFFFFF" w:themeFill="background1"/>
            <w:vAlign w:val="center"/>
          </w:tcPr>
          <w:p w14:paraId="659A25C2" w14:textId="77777777" w:rsidR="00BA1338" w:rsidRPr="00545EC0" w:rsidRDefault="00BA1338" w:rsidP="004F2AF2">
            <w:pPr>
              <w:spacing w:line="240" w:lineRule="auto"/>
              <w:rPr>
                <w:rFonts w:cs="Arial"/>
                <w:sz w:val="18"/>
                <w:szCs w:val="18"/>
              </w:rPr>
            </w:pPr>
            <w:r w:rsidRPr="00545EC0">
              <w:rPr>
                <w:rFonts w:cs="Arial"/>
                <w:sz w:val="18"/>
                <w:szCs w:val="18"/>
              </w:rPr>
              <w:t>0</w:t>
            </w:r>
          </w:p>
        </w:tc>
        <w:tc>
          <w:tcPr>
            <w:tcW w:w="268" w:type="pct"/>
            <w:tcBorders>
              <w:top w:val="nil"/>
              <w:left w:val="single" w:sz="4" w:space="0" w:color="auto"/>
              <w:bottom w:val="single" w:sz="4" w:space="0" w:color="auto"/>
              <w:right w:val="single" w:sz="4" w:space="0" w:color="auto"/>
            </w:tcBorders>
            <w:shd w:val="clear" w:color="auto" w:fill="FFFFFF" w:themeFill="background1"/>
            <w:vAlign w:val="center"/>
          </w:tcPr>
          <w:p w14:paraId="65A77D02"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14B18C50" w14:textId="77777777" w:rsidTr="00BE42F5">
        <w:trPr>
          <w:trHeight w:val="227"/>
        </w:trPr>
        <w:tc>
          <w:tcPr>
            <w:tcW w:w="5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0E99639" w14:textId="77777777" w:rsidR="00BA1338" w:rsidRPr="00545EC0" w:rsidRDefault="00BA1338" w:rsidP="004F2AF2">
            <w:pPr>
              <w:spacing w:line="240" w:lineRule="auto"/>
              <w:rPr>
                <w:rFonts w:cs="Arial"/>
                <w:sz w:val="18"/>
                <w:szCs w:val="18"/>
              </w:rPr>
            </w:pPr>
            <w:r w:rsidRPr="00545EC0">
              <w:rPr>
                <w:rFonts w:cs="Arial"/>
                <w:sz w:val="18"/>
                <w:szCs w:val="18"/>
              </w:rPr>
              <w:t>SI4426VT2</w:t>
            </w:r>
          </w:p>
        </w:tc>
        <w:tc>
          <w:tcPr>
            <w:tcW w:w="1922" w:type="pct"/>
            <w:tcBorders>
              <w:top w:val="nil"/>
              <w:left w:val="nil"/>
              <w:bottom w:val="single" w:sz="4" w:space="0" w:color="auto"/>
              <w:right w:val="single" w:sz="4" w:space="0" w:color="auto"/>
            </w:tcBorders>
            <w:shd w:val="clear" w:color="auto" w:fill="FFFFFF" w:themeFill="background1"/>
            <w:noWrap/>
            <w:vAlign w:val="center"/>
            <w:hideMark/>
          </w:tcPr>
          <w:p w14:paraId="3C34DBF4" w14:textId="77777777" w:rsidR="00BA1338" w:rsidRPr="00545EC0" w:rsidRDefault="00BA1338" w:rsidP="004F2AF2">
            <w:pPr>
              <w:spacing w:line="240" w:lineRule="auto"/>
              <w:rPr>
                <w:rFonts w:cs="Arial"/>
                <w:sz w:val="18"/>
                <w:szCs w:val="18"/>
              </w:rPr>
            </w:pPr>
            <w:r w:rsidRPr="00545EC0">
              <w:rPr>
                <w:rFonts w:cs="Arial"/>
                <w:sz w:val="18"/>
                <w:szCs w:val="18"/>
              </w:rPr>
              <w:t>VT Kobiljski potok državna meja - Ledava</w:t>
            </w:r>
          </w:p>
        </w:tc>
        <w:tc>
          <w:tcPr>
            <w:tcW w:w="1308" w:type="pct"/>
            <w:tcBorders>
              <w:top w:val="nil"/>
              <w:left w:val="nil"/>
              <w:bottom w:val="single" w:sz="4" w:space="0" w:color="auto"/>
              <w:right w:val="single" w:sz="4" w:space="0" w:color="auto"/>
            </w:tcBorders>
            <w:shd w:val="clear" w:color="auto" w:fill="FFFFFF" w:themeFill="background1"/>
            <w:noWrap/>
            <w:vAlign w:val="center"/>
            <w:hideMark/>
          </w:tcPr>
          <w:p w14:paraId="52E6F1E9" w14:textId="77777777" w:rsidR="00BA1338" w:rsidRPr="00545EC0" w:rsidRDefault="00BA1338" w:rsidP="004F2AF2">
            <w:pPr>
              <w:spacing w:line="240" w:lineRule="auto"/>
              <w:rPr>
                <w:rFonts w:cs="Arial"/>
                <w:sz w:val="18"/>
                <w:szCs w:val="18"/>
              </w:rPr>
            </w:pPr>
            <w:r w:rsidRPr="00545EC0">
              <w:rPr>
                <w:rFonts w:cs="Arial"/>
                <w:sz w:val="18"/>
                <w:szCs w:val="18"/>
              </w:rPr>
              <w:t xml:space="preserve">Bukovnica </w:t>
            </w:r>
          </w:p>
        </w:tc>
        <w:tc>
          <w:tcPr>
            <w:tcW w:w="693" w:type="pct"/>
            <w:vMerge/>
            <w:tcBorders>
              <w:left w:val="single" w:sz="4" w:space="0" w:color="auto"/>
              <w:right w:val="single" w:sz="4" w:space="0" w:color="auto"/>
            </w:tcBorders>
            <w:shd w:val="clear" w:color="auto" w:fill="FFFFFF" w:themeFill="background1"/>
          </w:tcPr>
          <w:p w14:paraId="00DB626C" w14:textId="77777777" w:rsidR="00BA1338" w:rsidRPr="00545EC0" w:rsidRDefault="00BA1338" w:rsidP="004F2AF2">
            <w:pPr>
              <w:spacing w:line="240" w:lineRule="auto"/>
              <w:rPr>
                <w:rFonts w:cs="Arial"/>
                <w:sz w:val="18"/>
                <w:szCs w:val="18"/>
              </w:rPr>
            </w:pPr>
          </w:p>
        </w:tc>
        <w:tc>
          <w:tcPr>
            <w:tcW w:w="231" w:type="pct"/>
            <w:tcBorders>
              <w:top w:val="nil"/>
              <w:left w:val="single" w:sz="4" w:space="0" w:color="auto"/>
              <w:bottom w:val="single" w:sz="4" w:space="0" w:color="auto"/>
              <w:right w:val="single" w:sz="4" w:space="0" w:color="auto"/>
            </w:tcBorders>
            <w:shd w:val="clear" w:color="auto" w:fill="FFFFFF" w:themeFill="background1"/>
            <w:vAlign w:val="center"/>
          </w:tcPr>
          <w:p w14:paraId="7B5B767D" w14:textId="77777777" w:rsidR="00BA1338" w:rsidRPr="00545EC0" w:rsidRDefault="00BA1338" w:rsidP="004F2AF2">
            <w:pPr>
              <w:spacing w:line="240" w:lineRule="auto"/>
              <w:rPr>
                <w:rFonts w:cs="Arial"/>
                <w:sz w:val="18"/>
                <w:szCs w:val="18"/>
              </w:rPr>
            </w:pPr>
            <w:r w:rsidRPr="00545EC0">
              <w:rPr>
                <w:rFonts w:cs="Arial"/>
                <w:sz w:val="18"/>
                <w:szCs w:val="18"/>
              </w:rPr>
              <w:t>0</w:t>
            </w:r>
          </w:p>
        </w:tc>
        <w:tc>
          <w:tcPr>
            <w:tcW w:w="268" w:type="pct"/>
            <w:tcBorders>
              <w:top w:val="nil"/>
              <w:left w:val="single" w:sz="4" w:space="0" w:color="auto"/>
              <w:bottom w:val="single" w:sz="4" w:space="0" w:color="auto"/>
              <w:right w:val="single" w:sz="4" w:space="0" w:color="auto"/>
            </w:tcBorders>
            <w:shd w:val="clear" w:color="auto" w:fill="FFFFFF" w:themeFill="background1"/>
            <w:vAlign w:val="center"/>
          </w:tcPr>
          <w:p w14:paraId="7EDD8E85"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5D5AF758" w14:textId="77777777" w:rsidTr="00BE42F5">
        <w:trPr>
          <w:trHeight w:val="227"/>
        </w:trPr>
        <w:tc>
          <w:tcPr>
            <w:tcW w:w="5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A60A69C" w14:textId="77777777" w:rsidR="00BA1338" w:rsidRPr="00545EC0" w:rsidRDefault="00BA1338" w:rsidP="004F2AF2">
            <w:pPr>
              <w:spacing w:line="240" w:lineRule="auto"/>
              <w:rPr>
                <w:rFonts w:cs="Arial"/>
                <w:sz w:val="18"/>
                <w:szCs w:val="18"/>
              </w:rPr>
            </w:pPr>
            <w:r w:rsidRPr="00545EC0">
              <w:rPr>
                <w:rFonts w:cs="Arial"/>
                <w:sz w:val="18"/>
                <w:szCs w:val="18"/>
              </w:rPr>
              <w:t>SI442VT91</w:t>
            </w:r>
          </w:p>
        </w:tc>
        <w:tc>
          <w:tcPr>
            <w:tcW w:w="1922" w:type="pct"/>
            <w:tcBorders>
              <w:top w:val="nil"/>
              <w:left w:val="nil"/>
              <w:bottom w:val="single" w:sz="4" w:space="0" w:color="auto"/>
              <w:right w:val="single" w:sz="4" w:space="0" w:color="auto"/>
            </w:tcBorders>
            <w:shd w:val="clear" w:color="auto" w:fill="FFFFFF" w:themeFill="background1"/>
            <w:noWrap/>
            <w:vAlign w:val="center"/>
            <w:hideMark/>
          </w:tcPr>
          <w:p w14:paraId="68E4AECC" w14:textId="77777777" w:rsidR="00BA1338" w:rsidRPr="00545EC0" w:rsidRDefault="00BA1338" w:rsidP="004F2AF2">
            <w:pPr>
              <w:spacing w:line="240" w:lineRule="auto"/>
              <w:rPr>
                <w:rFonts w:cs="Arial"/>
                <w:sz w:val="18"/>
                <w:szCs w:val="18"/>
              </w:rPr>
            </w:pPr>
            <w:r w:rsidRPr="00545EC0">
              <w:rPr>
                <w:rFonts w:cs="Arial"/>
                <w:sz w:val="18"/>
                <w:szCs w:val="18"/>
              </w:rPr>
              <w:t>VT Ledava zadrževalnik Ledavsko jezero - sotočje z Veliko Krko</w:t>
            </w:r>
          </w:p>
        </w:tc>
        <w:tc>
          <w:tcPr>
            <w:tcW w:w="1308" w:type="pct"/>
            <w:tcBorders>
              <w:top w:val="nil"/>
              <w:left w:val="nil"/>
              <w:bottom w:val="single" w:sz="4" w:space="0" w:color="auto"/>
              <w:right w:val="single" w:sz="4" w:space="0" w:color="auto"/>
            </w:tcBorders>
            <w:shd w:val="clear" w:color="auto" w:fill="FFFFFF" w:themeFill="background1"/>
            <w:noWrap/>
            <w:vAlign w:val="center"/>
            <w:hideMark/>
          </w:tcPr>
          <w:p w14:paraId="2812B92E" w14:textId="77777777" w:rsidR="00BA1338" w:rsidRPr="00545EC0" w:rsidRDefault="00BA1338" w:rsidP="004F2AF2">
            <w:pPr>
              <w:spacing w:line="240" w:lineRule="auto"/>
              <w:rPr>
                <w:rFonts w:cs="Arial"/>
                <w:sz w:val="18"/>
                <w:szCs w:val="18"/>
              </w:rPr>
            </w:pPr>
            <w:r w:rsidRPr="00545EC0">
              <w:rPr>
                <w:rFonts w:cs="Arial"/>
                <w:sz w:val="18"/>
                <w:szCs w:val="18"/>
              </w:rPr>
              <w:t xml:space="preserve">Ledava </w:t>
            </w:r>
          </w:p>
        </w:tc>
        <w:tc>
          <w:tcPr>
            <w:tcW w:w="693" w:type="pct"/>
            <w:vMerge/>
            <w:tcBorders>
              <w:left w:val="single" w:sz="4" w:space="0" w:color="auto"/>
              <w:bottom w:val="single" w:sz="4" w:space="0" w:color="auto"/>
              <w:right w:val="single" w:sz="4" w:space="0" w:color="auto"/>
            </w:tcBorders>
            <w:shd w:val="clear" w:color="auto" w:fill="FFFFFF" w:themeFill="background1"/>
          </w:tcPr>
          <w:p w14:paraId="7156D0DB" w14:textId="77777777" w:rsidR="00BA1338" w:rsidRPr="00545EC0" w:rsidRDefault="00BA1338" w:rsidP="004F2AF2">
            <w:pPr>
              <w:spacing w:line="240" w:lineRule="auto"/>
              <w:rPr>
                <w:rFonts w:cs="Arial"/>
                <w:sz w:val="18"/>
                <w:szCs w:val="18"/>
              </w:rPr>
            </w:pPr>
          </w:p>
        </w:tc>
        <w:tc>
          <w:tcPr>
            <w:tcW w:w="231" w:type="pct"/>
            <w:tcBorders>
              <w:top w:val="nil"/>
              <w:left w:val="single" w:sz="4" w:space="0" w:color="auto"/>
              <w:bottom w:val="single" w:sz="4" w:space="0" w:color="auto"/>
              <w:right w:val="single" w:sz="4" w:space="0" w:color="auto"/>
            </w:tcBorders>
            <w:shd w:val="clear" w:color="auto" w:fill="FFFFFF" w:themeFill="background1"/>
            <w:vAlign w:val="center"/>
          </w:tcPr>
          <w:p w14:paraId="2A9755C6"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268" w:type="pct"/>
            <w:tcBorders>
              <w:top w:val="nil"/>
              <w:left w:val="single" w:sz="4" w:space="0" w:color="auto"/>
              <w:bottom w:val="single" w:sz="4" w:space="0" w:color="auto"/>
              <w:right w:val="single" w:sz="4" w:space="0" w:color="auto"/>
            </w:tcBorders>
            <w:shd w:val="clear" w:color="auto" w:fill="FFFFFF" w:themeFill="background1"/>
            <w:vAlign w:val="center"/>
          </w:tcPr>
          <w:p w14:paraId="0AC25C48" w14:textId="77777777" w:rsidR="00BA1338" w:rsidRPr="00545EC0" w:rsidRDefault="00BA1338" w:rsidP="004F2AF2">
            <w:pPr>
              <w:spacing w:line="240" w:lineRule="auto"/>
              <w:rPr>
                <w:rFonts w:cs="Arial"/>
                <w:sz w:val="18"/>
                <w:szCs w:val="18"/>
              </w:rPr>
            </w:pPr>
            <w:r w:rsidRPr="00545EC0">
              <w:rPr>
                <w:rFonts w:cs="Arial"/>
                <w:sz w:val="18"/>
                <w:szCs w:val="18"/>
              </w:rPr>
              <w:t>0</w:t>
            </w:r>
          </w:p>
        </w:tc>
      </w:tr>
    </w:tbl>
    <w:p w14:paraId="05CFC5DC"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0" w:before="48" w:afterLines="20" w:after="48"/>
        <w:rPr>
          <w:rFonts w:cs="Arial"/>
          <w:szCs w:val="24"/>
          <w:lang w:eastAsia="ja-JP"/>
        </w:rPr>
      </w:pPr>
    </w:p>
    <w:p w14:paraId="1DEB3136" w14:textId="30F7246D" w:rsidR="0078119E" w:rsidRPr="00545EC0" w:rsidRDefault="00BA1338" w:rsidP="00781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0" w:before="48" w:afterLines="20" w:after="48"/>
        <w:rPr>
          <w:rFonts w:cs="Arial"/>
          <w:i/>
          <w:szCs w:val="20"/>
          <w:lang w:eastAsia="ja-JP"/>
        </w:rPr>
      </w:pPr>
      <w:r w:rsidRPr="00545EC0">
        <w:rPr>
          <w:rFonts w:cs="Arial"/>
          <w:szCs w:val="24"/>
          <w:lang w:eastAsia="ja-JP"/>
        </w:rPr>
        <w:t xml:space="preserve">Deli vodnih teles površinskih voda, na katerih je prisotna pomembna obremenitev, so prikazani na </w:t>
      </w:r>
      <w:r w:rsidR="002B19AC" w:rsidRPr="00545EC0">
        <w:rPr>
          <w:rFonts w:cs="Arial"/>
          <w:szCs w:val="24"/>
          <w:lang w:eastAsia="ja-JP"/>
        </w:rPr>
        <w:t>publikacijski</w:t>
      </w:r>
      <w:r w:rsidRPr="00545EC0">
        <w:rPr>
          <w:rFonts w:cs="Arial"/>
          <w:szCs w:val="24"/>
          <w:lang w:eastAsia="ja-JP"/>
        </w:rPr>
        <w:t xml:space="preserve"> karti</w:t>
      </w:r>
      <w:r w:rsidRPr="00545EC0">
        <w:rPr>
          <w:rFonts w:cs="Arial"/>
          <w:i/>
          <w:szCs w:val="24"/>
          <w:lang w:eastAsia="ja-JP"/>
        </w:rPr>
        <w:t xml:space="preserve"> </w:t>
      </w:r>
      <w:r w:rsidR="0078119E" w:rsidRPr="00545EC0">
        <w:rPr>
          <w:rFonts w:cs="Arial"/>
          <w:i/>
          <w:szCs w:val="20"/>
          <w:lang w:eastAsia="ja-JP"/>
        </w:rPr>
        <w:t>(Publikacijska karta 4.7: Vpliv precnih objektov in pomembne obremenitve dVTPV).</w:t>
      </w:r>
    </w:p>
    <w:p w14:paraId="62CBA85A" w14:textId="77777777" w:rsidR="0078119E" w:rsidRPr="00545EC0" w:rsidRDefault="0078119E" w:rsidP="00781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0" w:before="48" w:afterLines="20" w:after="48"/>
        <w:rPr>
          <w:rFonts w:cs="Arial"/>
          <w:i/>
          <w:szCs w:val="24"/>
          <w:lang w:eastAsia="ja-JP"/>
        </w:rPr>
      </w:pPr>
    </w:p>
    <w:p w14:paraId="5DC72E7B" w14:textId="3B3C9349" w:rsidR="00BA1338" w:rsidRPr="00545EC0" w:rsidRDefault="00BA1338" w:rsidP="00781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0" w:before="48" w:afterLines="20" w:after="48"/>
        <w:rPr>
          <w:rFonts w:cs="Arial"/>
          <w:szCs w:val="20"/>
          <w:lang w:eastAsia="ja-JP"/>
        </w:rPr>
      </w:pPr>
      <w:r w:rsidRPr="00545EC0">
        <w:rPr>
          <w:rFonts w:cs="Arial"/>
          <w:szCs w:val="20"/>
          <w:lang w:eastAsia="ja-JP"/>
        </w:rPr>
        <w:t>Na VO Donave so pomembne obremenitve zaradi vpliva prečnih objektov prisotne na vseh porečjih (</w:t>
      </w:r>
      <w:r w:rsidR="006C37B4" w:rsidRPr="00545EC0">
        <w:rPr>
          <w:rFonts w:cs="Arial"/>
          <w:szCs w:val="20"/>
          <w:lang w:eastAsia="ja-JP"/>
        </w:rPr>
        <w:fldChar w:fldCharType="begin"/>
      </w:r>
      <w:r w:rsidR="006C37B4" w:rsidRPr="00545EC0">
        <w:rPr>
          <w:rFonts w:cs="Arial"/>
          <w:szCs w:val="20"/>
          <w:lang w:eastAsia="ja-JP"/>
        </w:rPr>
        <w:instrText xml:space="preserve"> REF _Ref84339057 \h </w:instrText>
      </w:r>
      <w:r w:rsidR="00F37A91" w:rsidRPr="00545EC0">
        <w:rPr>
          <w:rFonts w:cs="Arial"/>
          <w:szCs w:val="20"/>
          <w:lang w:eastAsia="ja-JP"/>
        </w:rPr>
        <w:instrText xml:space="preserve"> \* MERGEFORMAT </w:instrText>
      </w:r>
      <w:r w:rsidR="006C37B4" w:rsidRPr="00545EC0">
        <w:rPr>
          <w:rFonts w:cs="Arial"/>
          <w:szCs w:val="20"/>
          <w:lang w:eastAsia="ja-JP"/>
        </w:rPr>
      </w:r>
      <w:r w:rsidR="006C37B4" w:rsidRPr="00545EC0">
        <w:rPr>
          <w:rFonts w:cs="Arial"/>
          <w:szCs w:val="20"/>
          <w:lang w:eastAsia="ja-JP"/>
        </w:rPr>
        <w:fldChar w:fldCharType="separate"/>
      </w:r>
      <w:r w:rsidR="002F3E43" w:rsidRPr="00545EC0">
        <w:t xml:space="preserve">Slika </w:t>
      </w:r>
      <w:r w:rsidR="002F3E43">
        <w:rPr>
          <w:noProof/>
        </w:rPr>
        <w:t>2</w:t>
      </w:r>
      <w:r w:rsidR="002F3E43" w:rsidRPr="00545EC0">
        <w:rPr>
          <w:noProof/>
        </w:rPr>
        <w:noBreakHyphen/>
      </w:r>
      <w:r w:rsidR="002F3E43">
        <w:rPr>
          <w:noProof/>
        </w:rPr>
        <w:t>19</w:t>
      </w:r>
      <w:r w:rsidR="006C37B4" w:rsidRPr="00545EC0">
        <w:rPr>
          <w:rFonts w:cs="Arial"/>
          <w:szCs w:val="20"/>
          <w:lang w:eastAsia="ja-JP"/>
        </w:rPr>
        <w:fldChar w:fldCharType="end"/>
      </w:r>
      <w:r w:rsidRPr="00545EC0">
        <w:rPr>
          <w:rFonts w:cs="Arial"/>
          <w:szCs w:val="20"/>
          <w:lang w:eastAsia="ja-JP"/>
        </w:rPr>
        <w:t xml:space="preserve">). </w:t>
      </w:r>
      <w:r w:rsidR="00BE42F5" w:rsidRPr="00545EC0">
        <w:rPr>
          <w:rFonts w:cs="Arial"/>
          <w:szCs w:val="20"/>
          <w:lang w:eastAsia="ja-JP"/>
        </w:rPr>
        <w:t xml:space="preserve">Največji delež </w:t>
      </w:r>
      <w:r w:rsidR="00BE42F5" w:rsidRPr="00545EC0">
        <w:rPr>
          <w:rFonts w:cs="Arial"/>
        </w:rPr>
        <w:t xml:space="preserve">dVTPV na glavnem toku s </w:t>
      </w:r>
      <w:r w:rsidR="00BE42F5" w:rsidRPr="00545EC0">
        <w:rPr>
          <w:rFonts w:cs="Arial"/>
          <w:szCs w:val="20"/>
          <w:lang w:eastAsia="ja-JP"/>
        </w:rPr>
        <w:t xml:space="preserve">pomembno obremenitvijo je ugotovljen na porečjih Drave, Spodnje Save in Srednje Save, največji delež na dVTPV-jih na pritokih pa na porečjih Savinje, Mure in Drave. </w:t>
      </w:r>
      <w:r w:rsidR="000B7BF8" w:rsidRPr="00545EC0">
        <w:rPr>
          <w:rFonts w:cs="Arial"/>
          <w:szCs w:val="20"/>
          <w:lang w:eastAsia="ja-JP"/>
        </w:rPr>
        <w:t xml:space="preserve"> </w:t>
      </w:r>
    </w:p>
    <w:p w14:paraId="5915B0B6" w14:textId="0890B6C3" w:rsidR="006C37B4" w:rsidRPr="00545EC0" w:rsidRDefault="00BE42F5" w:rsidP="006C37B4">
      <w:pPr>
        <w:keepNext/>
        <w:spacing w:before="240" w:after="240"/>
        <w:jc w:val="left"/>
      </w:pPr>
      <w:r w:rsidRPr="00545EC0">
        <w:rPr>
          <w:noProof/>
        </w:rPr>
        <w:lastRenderedPageBreak/>
        <w:drawing>
          <wp:inline distT="0" distB="0" distL="0" distR="0" wp14:anchorId="32C01CE6" wp14:editId="0F217707">
            <wp:extent cx="5400000" cy="3419458"/>
            <wp:effectExtent l="0" t="0" r="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000" cy="3419458"/>
                    </a:xfrm>
                    <a:prstGeom prst="rect">
                      <a:avLst/>
                    </a:prstGeom>
                    <a:noFill/>
                  </pic:spPr>
                </pic:pic>
              </a:graphicData>
            </a:graphic>
          </wp:inline>
        </w:drawing>
      </w:r>
    </w:p>
    <w:p w14:paraId="7BB2F29F" w14:textId="31B147B6" w:rsidR="00BA1338" w:rsidRPr="00545EC0" w:rsidRDefault="006C37B4" w:rsidP="000B7BF8">
      <w:pPr>
        <w:pStyle w:val="Napis"/>
        <w:jc w:val="left"/>
        <w:rPr>
          <w:szCs w:val="20"/>
        </w:rPr>
      </w:pPr>
      <w:bookmarkStart w:id="208" w:name="_Ref84339057"/>
      <w:r w:rsidRPr="00545EC0">
        <w:t xml:space="preserve">Slika </w:t>
      </w:r>
      <w:fldSimple w:instr=" STYLEREF 1 \s ">
        <w:r w:rsidR="002F3E43">
          <w:rPr>
            <w:noProof/>
          </w:rPr>
          <w:t>2</w:t>
        </w:r>
      </w:fldSimple>
      <w:r w:rsidR="00396E1E" w:rsidRPr="00545EC0">
        <w:noBreakHyphen/>
      </w:r>
      <w:fldSimple w:instr=" SEQ Slika \* ARABIC \s 1 ">
        <w:r w:rsidR="002F3E43">
          <w:rPr>
            <w:noProof/>
          </w:rPr>
          <w:t>19</w:t>
        </w:r>
      </w:fldSimple>
      <w:bookmarkEnd w:id="208"/>
      <w:r w:rsidRPr="00545EC0">
        <w:t>:</w:t>
      </w:r>
      <w:r w:rsidRPr="00545EC0">
        <w:rPr>
          <w:szCs w:val="20"/>
        </w:rPr>
        <w:t xml:space="preserve"> Delež števila dVTPV s pomembno obremenitvijo zaradi vpliva prečnih objektov na porečjih VO Donave</w:t>
      </w:r>
    </w:p>
    <w:p w14:paraId="654871E7" w14:textId="77777777" w:rsidR="008A4AC7" w:rsidRPr="00545EC0" w:rsidRDefault="008A4AC7" w:rsidP="00693578"/>
    <w:p w14:paraId="1B12A850" w14:textId="7B06B203" w:rsidR="00BA1338" w:rsidRPr="00545EC0" w:rsidRDefault="00BA1338" w:rsidP="00A90F9B">
      <w:pPr>
        <w:pStyle w:val="Naslov4"/>
        <w:rPr>
          <w:color w:val="auto"/>
          <w:lang w:val="sl-SI"/>
        </w:rPr>
      </w:pPr>
      <w:r w:rsidRPr="00545EC0">
        <w:rPr>
          <w:color w:val="auto"/>
          <w:lang w:val="sl-SI"/>
        </w:rPr>
        <w:t xml:space="preserve">Prikaz morfoloških obremenitev vodnih teles površinskih voda – vodotoki </w:t>
      </w:r>
    </w:p>
    <w:p w14:paraId="314D0156" w14:textId="34F02BFE" w:rsidR="00E317F6"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0"/>
          <w:lang w:eastAsia="ja-JP"/>
        </w:rPr>
      </w:pPr>
      <w:r w:rsidRPr="00545EC0">
        <w:rPr>
          <w:rFonts w:cs="Arial"/>
          <w:szCs w:val="20"/>
          <w:lang w:eastAsia="ja-JP"/>
        </w:rPr>
        <w:t>V okviru morfoloških obremenitev so obravnavani odvzemi naplavin, regulacije in druge ureditve vodotokov (v nadaljnjem besedilu: hidromorfološka spremenjenost vodotokov), raba obrežnega pasu in plovba. Z izjemo plovbe, ki je obravnavana le na dVTPV-jih na glavnem toku, so obremenitve analizirane na vseh dVTPV-jih, tako</w:t>
      </w:r>
      <w:r w:rsidR="000B7BF8" w:rsidRPr="00545EC0">
        <w:rPr>
          <w:rFonts w:cs="Arial"/>
          <w:szCs w:val="20"/>
          <w:lang w:eastAsia="ja-JP"/>
        </w:rPr>
        <w:t xml:space="preserve"> na glavnem toku kot </w:t>
      </w:r>
      <w:r w:rsidR="000A63D5" w:rsidRPr="00545EC0">
        <w:rPr>
          <w:rFonts w:cs="Arial"/>
          <w:szCs w:val="20"/>
          <w:lang w:eastAsia="ja-JP"/>
        </w:rPr>
        <w:t xml:space="preserve">na </w:t>
      </w:r>
      <w:r w:rsidR="000B7BF8" w:rsidRPr="00545EC0">
        <w:rPr>
          <w:rFonts w:cs="Arial"/>
          <w:szCs w:val="20"/>
          <w:lang w:eastAsia="ja-JP"/>
        </w:rPr>
        <w:t xml:space="preserve">pritokih. </w:t>
      </w:r>
    </w:p>
    <w:p w14:paraId="72390F24" w14:textId="77777777" w:rsidR="00E317F6" w:rsidRPr="00545EC0" w:rsidRDefault="00E317F6"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rPr>
      </w:pPr>
    </w:p>
    <w:p w14:paraId="2BDCA4C9"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rPr>
      </w:pPr>
      <w:r w:rsidRPr="00545EC0">
        <w:rPr>
          <w:rFonts w:cs="Arial"/>
          <w:b/>
        </w:rPr>
        <w:t>Morfološke obremenitve - odvzemi naplavin</w:t>
      </w:r>
    </w:p>
    <w:p w14:paraId="4AAA8EA8"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rPr>
      </w:pPr>
    </w:p>
    <w:p w14:paraId="610729CE" w14:textId="30BD9A1C" w:rsidR="000B7BF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545EC0">
        <w:rPr>
          <w:rFonts w:cs="Arial"/>
        </w:rPr>
        <w:t>Odvzemi naplavin so obravnavani na podlagi podatkov o odvzemih naplavin iz predpisov, ki urejajo koncesije za odvzem naplavin. Ker se vsi odvzemi naplavin nahajajo na vodotokih s prispevno površino večjo od 10 km</w:t>
      </w:r>
      <w:r w:rsidRPr="00545EC0">
        <w:rPr>
          <w:rFonts w:cs="Arial"/>
          <w:vertAlign w:val="superscript"/>
        </w:rPr>
        <w:t>2</w:t>
      </w:r>
      <w:r w:rsidRPr="00545EC0">
        <w:rPr>
          <w:rFonts w:cs="Arial"/>
        </w:rPr>
        <w:t>, so obravnavane vse aktivne lokacije odvzemov (</w:t>
      </w:r>
      <w:r w:rsidR="00805B59" w:rsidRPr="00545EC0">
        <w:rPr>
          <w:rFonts w:cs="Arial"/>
        </w:rPr>
        <w:fldChar w:fldCharType="begin"/>
      </w:r>
      <w:r w:rsidR="00805B59" w:rsidRPr="00545EC0">
        <w:rPr>
          <w:rFonts w:cs="Arial"/>
        </w:rPr>
        <w:instrText xml:space="preserve"> REF _Ref85093210 \h </w:instrText>
      </w:r>
      <w:r w:rsidR="003122F4" w:rsidRPr="00545EC0">
        <w:rPr>
          <w:rFonts w:cs="Arial"/>
        </w:rPr>
        <w:instrText xml:space="preserve"> \* MERGEFORMAT </w:instrText>
      </w:r>
      <w:r w:rsidR="00805B59" w:rsidRPr="00545EC0">
        <w:rPr>
          <w:rFonts w:cs="Arial"/>
        </w:rPr>
      </w:r>
      <w:r w:rsidR="00805B59" w:rsidRPr="00545EC0">
        <w:rPr>
          <w:rFonts w:cs="Arial"/>
        </w:rPr>
        <w:fldChar w:fldCharType="separate"/>
      </w:r>
      <w:r w:rsidR="002F3E43" w:rsidRPr="00545EC0">
        <w:t xml:space="preserve">Preglednica </w:t>
      </w:r>
      <w:r w:rsidR="002F3E43">
        <w:rPr>
          <w:noProof/>
        </w:rPr>
        <w:t>2</w:t>
      </w:r>
      <w:r w:rsidR="002F3E43" w:rsidRPr="00545EC0">
        <w:rPr>
          <w:noProof/>
        </w:rPr>
        <w:noBreakHyphen/>
      </w:r>
      <w:r w:rsidR="002F3E43">
        <w:rPr>
          <w:noProof/>
        </w:rPr>
        <w:t>29</w:t>
      </w:r>
      <w:r w:rsidR="00805B59" w:rsidRPr="00545EC0">
        <w:rPr>
          <w:rFonts w:cs="Arial"/>
        </w:rPr>
        <w:fldChar w:fldCharType="end"/>
      </w:r>
      <w:r w:rsidRPr="00545EC0">
        <w:rPr>
          <w:rFonts w:cs="Arial"/>
        </w:rPr>
        <w:t xml:space="preserve">). Za vsak dVTPV je izračunan dolžinski delež struge, ki je pod vplivom odvzema naplavin. </w:t>
      </w:r>
    </w:p>
    <w:p w14:paraId="3FCE7037" w14:textId="77777777" w:rsidR="000B7BF8" w:rsidRPr="00545EC0" w:rsidRDefault="000B7BF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p>
    <w:p w14:paraId="09C9C9DD" w14:textId="6CF54DAB" w:rsidR="00887665" w:rsidRPr="00545EC0" w:rsidRDefault="00887665" w:rsidP="00887665">
      <w:pPr>
        <w:pStyle w:val="Napis"/>
        <w:keepNext/>
      </w:pPr>
      <w:bookmarkStart w:id="209" w:name="_Ref85093210"/>
      <w:bookmarkStart w:id="210" w:name="_Ref84256121"/>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29</w:t>
        </w:r>
      </w:fldSimple>
      <w:bookmarkEnd w:id="209"/>
      <w:r w:rsidR="002F2E4E" w:rsidRPr="00545EC0">
        <w:t>: Vodna telesa površinskih voda na katerih je prisoten vpliv odvzema naplavin</w:t>
      </w:r>
      <w:bookmarkEnd w:id="210"/>
    </w:p>
    <w:tbl>
      <w:tblPr>
        <w:tblStyle w:val="Tabelamrea"/>
        <w:tblW w:w="5000" w:type="pct"/>
        <w:shd w:val="clear" w:color="auto" w:fill="FFFFFF" w:themeFill="background1"/>
        <w:tblLook w:val="04A0" w:firstRow="1" w:lastRow="0" w:firstColumn="1" w:lastColumn="0" w:noHBand="0" w:noVBand="1"/>
      </w:tblPr>
      <w:tblGrid>
        <w:gridCol w:w="1042"/>
        <w:gridCol w:w="1698"/>
        <w:gridCol w:w="1042"/>
        <w:gridCol w:w="1014"/>
        <w:gridCol w:w="4003"/>
        <w:gridCol w:w="488"/>
      </w:tblGrid>
      <w:tr w:rsidR="003122F4" w:rsidRPr="00545EC0" w14:paraId="73BC3D37" w14:textId="77777777" w:rsidTr="002F2E4E">
        <w:trPr>
          <w:tblHeader/>
        </w:trPr>
        <w:tc>
          <w:tcPr>
            <w:tcW w:w="561" w:type="pct"/>
            <w:shd w:val="clear" w:color="auto" w:fill="F2F2F2" w:themeFill="background1" w:themeFillShade="F2"/>
            <w:vAlign w:val="center"/>
          </w:tcPr>
          <w:p w14:paraId="7CD20329" w14:textId="77777777" w:rsidR="00BA1338" w:rsidRPr="00545EC0" w:rsidRDefault="00BA1338" w:rsidP="004F2AF2">
            <w:pPr>
              <w:rPr>
                <w:rFonts w:cs="Arial"/>
                <w:b/>
                <w:sz w:val="18"/>
                <w:szCs w:val="18"/>
              </w:rPr>
            </w:pPr>
            <w:r w:rsidRPr="00545EC0">
              <w:rPr>
                <w:rFonts w:cs="Arial"/>
                <w:b/>
                <w:sz w:val="18"/>
                <w:szCs w:val="18"/>
              </w:rPr>
              <w:t>Šifra VTPV</w:t>
            </w:r>
          </w:p>
        </w:tc>
        <w:tc>
          <w:tcPr>
            <w:tcW w:w="914" w:type="pct"/>
            <w:shd w:val="clear" w:color="auto" w:fill="F2F2F2" w:themeFill="background1" w:themeFillShade="F2"/>
            <w:vAlign w:val="center"/>
          </w:tcPr>
          <w:p w14:paraId="1FD0326F" w14:textId="77777777" w:rsidR="00BA1338" w:rsidRPr="00545EC0" w:rsidRDefault="00BA1338" w:rsidP="004F2AF2">
            <w:pPr>
              <w:rPr>
                <w:rFonts w:cs="Arial"/>
                <w:b/>
                <w:sz w:val="18"/>
                <w:szCs w:val="18"/>
              </w:rPr>
            </w:pPr>
            <w:r w:rsidRPr="00545EC0">
              <w:rPr>
                <w:rFonts w:cs="Arial"/>
                <w:b/>
                <w:sz w:val="18"/>
                <w:szCs w:val="18"/>
              </w:rPr>
              <w:t>Ime VTPV</w:t>
            </w:r>
          </w:p>
        </w:tc>
        <w:tc>
          <w:tcPr>
            <w:tcW w:w="561" w:type="pct"/>
            <w:shd w:val="clear" w:color="auto" w:fill="F2F2F2" w:themeFill="background1" w:themeFillShade="F2"/>
          </w:tcPr>
          <w:p w14:paraId="112B8D71" w14:textId="77777777" w:rsidR="00BA1338" w:rsidRPr="00545EC0" w:rsidRDefault="00BA1338" w:rsidP="004F2AF2">
            <w:pPr>
              <w:rPr>
                <w:rFonts w:cs="Arial"/>
                <w:b/>
                <w:sz w:val="18"/>
                <w:szCs w:val="18"/>
              </w:rPr>
            </w:pPr>
            <w:r w:rsidRPr="00545EC0">
              <w:rPr>
                <w:rFonts w:cs="Arial"/>
                <w:b/>
                <w:sz w:val="18"/>
                <w:szCs w:val="18"/>
              </w:rPr>
              <w:t>Ime vodotoka dVTPV</w:t>
            </w:r>
          </w:p>
        </w:tc>
        <w:tc>
          <w:tcPr>
            <w:tcW w:w="546" w:type="pct"/>
            <w:shd w:val="clear" w:color="auto" w:fill="F2F2F2" w:themeFill="background1" w:themeFillShade="F2"/>
            <w:vAlign w:val="center"/>
          </w:tcPr>
          <w:p w14:paraId="4EDDD59B" w14:textId="77777777" w:rsidR="00BA1338" w:rsidRPr="00545EC0" w:rsidRDefault="00BA1338" w:rsidP="004F2AF2">
            <w:pPr>
              <w:rPr>
                <w:rFonts w:cs="Arial"/>
                <w:b/>
                <w:sz w:val="18"/>
                <w:szCs w:val="18"/>
              </w:rPr>
            </w:pPr>
            <w:r w:rsidRPr="00545EC0">
              <w:rPr>
                <w:rFonts w:cs="Arial"/>
                <w:b/>
                <w:sz w:val="18"/>
                <w:szCs w:val="18"/>
              </w:rPr>
              <w:t>Porečje / povodje</w:t>
            </w:r>
          </w:p>
        </w:tc>
        <w:tc>
          <w:tcPr>
            <w:tcW w:w="2155" w:type="pct"/>
            <w:shd w:val="clear" w:color="auto" w:fill="F2F2F2" w:themeFill="background1" w:themeFillShade="F2"/>
            <w:vAlign w:val="center"/>
          </w:tcPr>
          <w:p w14:paraId="2F5885EF" w14:textId="77777777" w:rsidR="00BA1338" w:rsidRPr="00545EC0" w:rsidRDefault="00BA1338" w:rsidP="004F2AF2">
            <w:pPr>
              <w:rPr>
                <w:rFonts w:cs="Arial"/>
                <w:b/>
                <w:sz w:val="18"/>
                <w:szCs w:val="18"/>
              </w:rPr>
            </w:pPr>
            <w:r w:rsidRPr="00545EC0">
              <w:rPr>
                <w:rFonts w:cs="Arial"/>
                <w:b/>
                <w:sz w:val="18"/>
                <w:szCs w:val="18"/>
              </w:rPr>
              <w:t xml:space="preserve">Ime odvzema </w:t>
            </w:r>
          </w:p>
        </w:tc>
        <w:tc>
          <w:tcPr>
            <w:tcW w:w="263" w:type="pct"/>
            <w:shd w:val="clear" w:color="auto" w:fill="F2F2F2" w:themeFill="background1" w:themeFillShade="F2"/>
            <w:vAlign w:val="center"/>
          </w:tcPr>
          <w:p w14:paraId="7216E781" w14:textId="77777777" w:rsidR="00BA1338" w:rsidRPr="00545EC0" w:rsidRDefault="00BA1338" w:rsidP="004F2AF2">
            <w:pPr>
              <w:rPr>
                <w:rFonts w:cs="Arial"/>
                <w:b/>
                <w:sz w:val="18"/>
                <w:szCs w:val="18"/>
              </w:rPr>
            </w:pPr>
            <w:r w:rsidRPr="00545EC0">
              <w:rPr>
                <w:rFonts w:cs="Arial"/>
                <w:b/>
                <w:sz w:val="18"/>
                <w:szCs w:val="18"/>
              </w:rPr>
              <w:t>PO</w:t>
            </w:r>
          </w:p>
        </w:tc>
      </w:tr>
      <w:tr w:rsidR="003122F4" w:rsidRPr="00545EC0" w14:paraId="50CE05C8" w14:textId="77777777" w:rsidTr="002F2E4E">
        <w:tc>
          <w:tcPr>
            <w:tcW w:w="561" w:type="pct"/>
            <w:shd w:val="clear" w:color="auto" w:fill="FFFFFF" w:themeFill="background1"/>
            <w:vAlign w:val="center"/>
          </w:tcPr>
          <w:p w14:paraId="178562D7" w14:textId="77777777" w:rsidR="00BA1338" w:rsidRPr="00545EC0" w:rsidRDefault="00BA1338" w:rsidP="004F2AF2">
            <w:pPr>
              <w:rPr>
                <w:rFonts w:cs="Arial"/>
                <w:sz w:val="18"/>
                <w:szCs w:val="18"/>
              </w:rPr>
            </w:pPr>
            <w:r w:rsidRPr="00545EC0">
              <w:rPr>
                <w:rFonts w:cs="Arial"/>
                <w:sz w:val="18"/>
                <w:szCs w:val="18"/>
              </w:rPr>
              <w:t>SI1VT150</w:t>
            </w:r>
          </w:p>
        </w:tc>
        <w:tc>
          <w:tcPr>
            <w:tcW w:w="914" w:type="pct"/>
            <w:shd w:val="clear" w:color="auto" w:fill="FFFFFF" w:themeFill="background1"/>
            <w:vAlign w:val="center"/>
          </w:tcPr>
          <w:p w14:paraId="732D8F52" w14:textId="77777777" w:rsidR="00BA1338" w:rsidRPr="00545EC0" w:rsidRDefault="00BA1338" w:rsidP="004F2AF2">
            <w:pPr>
              <w:rPr>
                <w:rFonts w:cs="Arial"/>
                <w:sz w:val="18"/>
                <w:szCs w:val="18"/>
              </w:rPr>
            </w:pPr>
            <w:r w:rsidRPr="00545EC0">
              <w:rPr>
                <w:rFonts w:cs="Arial"/>
                <w:sz w:val="18"/>
                <w:szCs w:val="18"/>
              </w:rPr>
              <w:t>VT Sava Podbrezje – Kranj</w:t>
            </w:r>
          </w:p>
        </w:tc>
        <w:tc>
          <w:tcPr>
            <w:tcW w:w="561" w:type="pct"/>
            <w:shd w:val="clear" w:color="auto" w:fill="FFFFFF" w:themeFill="background1"/>
          </w:tcPr>
          <w:p w14:paraId="35E025FD" w14:textId="77777777" w:rsidR="00BA1338" w:rsidRPr="00545EC0" w:rsidRDefault="00BA1338" w:rsidP="004F2AF2">
            <w:pPr>
              <w:rPr>
                <w:rFonts w:eastAsiaTheme="majorEastAsia" w:cs="Arial"/>
                <w:iCs/>
                <w:sz w:val="18"/>
                <w:szCs w:val="18"/>
              </w:rPr>
            </w:pPr>
            <w:r w:rsidRPr="00545EC0">
              <w:rPr>
                <w:rFonts w:eastAsiaTheme="majorEastAsia" w:cs="Arial"/>
                <w:iCs/>
                <w:sz w:val="18"/>
                <w:szCs w:val="18"/>
              </w:rPr>
              <w:t>Sava</w:t>
            </w:r>
          </w:p>
        </w:tc>
        <w:tc>
          <w:tcPr>
            <w:tcW w:w="546" w:type="pct"/>
            <w:shd w:val="clear" w:color="auto" w:fill="FFFFFF" w:themeFill="background1"/>
            <w:vAlign w:val="center"/>
          </w:tcPr>
          <w:p w14:paraId="731E35A5" w14:textId="77777777" w:rsidR="00BA1338" w:rsidRPr="00545EC0" w:rsidRDefault="00BA1338" w:rsidP="004F2AF2">
            <w:pPr>
              <w:rPr>
                <w:rFonts w:eastAsiaTheme="majorEastAsia" w:cs="Arial"/>
                <w:iCs/>
                <w:sz w:val="18"/>
                <w:szCs w:val="18"/>
              </w:rPr>
            </w:pPr>
            <w:r w:rsidRPr="00545EC0">
              <w:rPr>
                <w:rFonts w:eastAsiaTheme="majorEastAsia" w:cs="Arial"/>
                <w:iCs/>
                <w:sz w:val="18"/>
                <w:szCs w:val="18"/>
              </w:rPr>
              <w:t>Zgornja  Sava</w:t>
            </w:r>
          </w:p>
        </w:tc>
        <w:tc>
          <w:tcPr>
            <w:tcW w:w="2155" w:type="pct"/>
            <w:shd w:val="clear" w:color="auto" w:fill="FFFFFF" w:themeFill="background1"/>
            <w:vAlign w:val="center"/>
          </w:tcPr>
          <w:p w14:paraId="68FCF9DE" w14:textId="77777777" w:rsidR="00BA1338" w:rsidRPr="00545EC0" w:rsidRDefault="00BA1338" w:rsidP="004F2AF2">
            <w:pPr>
              <w:rPr>
                <w:rFonts w:cs="Arial"/>
                <w:sz w:val="18"/>
                <w:szCs w:val="18"/>
              </w:rPr>
            </w:pPr>
            <w:r w:rsidRPr="00545EC0">
              <w:rPr>
                <w:rFonts w:eastAsiaTheme="majorEastAsia" w:cs="Arial"/>
                <w:iCs/>
                <w:sz w:val="18"/>
                <w:szCs w:val="18"/>
              </w:rPr>
              <w:t>Prodni zadrževalnik Majdičev Log</w:t>
            </w:r>
          </w:p>
        </w:tc>
        <w:tc>
          <w:tcPr>
            <w:tcW w:w="263" w:type="pct"/>
            <w:shd w:val="clear" w:color="auto" w:fill="FFFFFF" w:themeFill="background1"/>
          </w:tcPr>
          <w:p w14:paraId="4C0AAE50" w14:textId="77777777" w:rsidR="00BA1338" w:rsidRPr="00545EC0" w:rsidRDefault="00BA1338" w:rsidP="004F2AF2">
            <w:pPr>
              <w:rPr>
                <w:rFonts w:eastAsiaTheme="majorEastAsia" w:cs="Arial"/>
                <w:iCs/>
                <w:sz w:val="18"/>
                <w:szCs w:val="18"/>
              </w:rPr>
            </w:pPr>
          </w:p>
        </w:tc>
      </w:tr>
      <w:tr w:rsidR="003122F4" w:rsidRPr="00545EC0" w14:paraId="288159A9" w14:textId="77777777" w:rsidTr="002F2E4E">
        <w:tc>
          <w:tcPr>
            <w:tcW w:w="561" w:type="pct"/>
            <w:vMerge w:val="restart"/>
            <w:shd w:val="clear" w:color="auto" w:fill="FFFFFF" w:themeFill="background1"/>
            <w:vAlign w:val="center"/>
          </w:tcPr>
          <w:p w14:paraId="0AC0B7E1" w14:textId="77777777" w:rsidR="00BA1338" w:rsidRPr="00545EC0" w:rsidRDefault="00BA1338" w:rsidP="004F2AF2">
            <w:pPr>
              <w:rPr>
                <w:rFonts w:cs="Arial"/>
                <w:sz w:val="18"/>
                <w:szCs w:val="18"/>
              </w:rPr>
            </w:pPr>
            <w:r w:rsidRPr="00545EC0">
              <w:rPr>
                <w:rFonts w:cs="Arial"/>
                <w:sz w:val="18"/>
                <w:szCs w:val="18"/>
              </w:rPr>
              <w:t>SI1VT519</w:t>
            </w:r>
          </w:p>
        </w:tc>
        <w:tc>
          <w:tcPr>
            <w:tcW w:w="914" w:type="pct"/>
            <w:vMerge w:val="restart"/>
            <w:shd w:val="clear" w:color="auto" w:fill="FFFFFF" w:themeFill="background1"/>
            <w:vAlign w:val="center"/>
          </w:tcPr>
          <w:p w14:paraId="1E5AEDA2" w14:textId="77777777" w:rsidR="00BA1338" w:rsidRPr="00545EC0" w:rsidRDefault="00BA1338" w:rsidP="004F2AF2">
            <w:pPr>
              <w:rPr>
                <w:rFonts w:cs="Arial"/>
                <w:sz w:val="18"/>
                <w:szCs w:val="18"/>
              </w:rPr>
            </w:pPr>
            <w:r w:rsidRPr="00545EC0">
              <w:rPr>
                <w:rFonts w:cs="Arial"/>
                <w:sz w:val="18"/>
                <w:szCs w:val="18"/>
              </w:rPr>
              <w:t>VT Sava Podgrad – Litija</w:t>
            </w:r>
          </w:p>
        </w:tc>
        <w:tc>
          <w:tcPr>
            <w:tcW w:w="561" w:type="pct"/>
            <w:vMerge w:val="restart"/>
            <w:shd w:val="clear" w:color="auto" w:fill="FFFFFF" w:themeFill="background1"/>
          </w:tcPr>
          <w:p w14:paraId="215B30DA" w14:textId="77777777" w:rsidR="00BA1338" w:rsidRPr="00545EC0" w:rsidRDefault="00BA1338" w:rsidP="004F2AF2">
            <w:pPr>
              <w:rPr>
                <w:rFonts w:eastAsiaTheme="majorEastAsia" w:cs="Arial"/>
                <w:iCs/>
                <w:sz w:val="18"/>
                <w:szCs w:val="18"/>
              </w:rPr>
            </w:pPr>
            <w:r w:rsidRPr="00545EC0">
              <w:rPr>
                <w:rFonts w:eastAsiaTheme="majorEastAsia" w:cs="Arial"/>
                <w:iCs/>
                <w:sz w:val="18"/>
                <w:szCs w:val="18"/>
              </w:rPr>
              <w:t>Sava</w:t>
            </w:r>
          </w:p>
        </w:tc>
        <w:tc>
          <w:tcPr>
            <w:tcW w:w="546" w:type="pct"/>
            <w:vMerge w:val="restart"/>
            <w:shd w:val="clear" w:color="auto" w:fill="FFFFFF" w:themeFill="background1"/>
            <w:vAlign w:val="center"/>
          </w:tcPr>
          <w:p w14:paraId="426DDC3C" w14:textId="77777777" w:rsidR="00BA1338" w:rsidRPr="00545EC0" w:rsidRDefault="00BA1338" w:rsidP="004F2AF2">
            <w:pPr>
              <w:rPr>
                <w:rFonts w:eastAsiaTheme="majorEastAsia" w:cs="Arial"/>
                <w:iCs/>
                <w:sz w:val="18"/>
                <w:szCs w:val="18"/>
              </w:rPr>
            </w:pPr>
            <w:r w:rsidRPr="00545EC0">
              <w:rPr>
                <w:rFonts w:eastAsiaTheme="majorEastAsia" w:cs="Arial"/>
                <w:iCs/>
                <w:sz w:val="18"/>
                <w:szCs w:val="18"/>
              </w:rPr>
              <w:t>Srednja Sava</w:t>
            </w:r>
          </w:p>
        </w:tc>
        <w:tc>
          <w:tcPr>
            <w:tcW w:w="2155" w:type="pct"/>
            <w:shd w:val="clear" w:color="auto" w:fill="FFFFFF" w:themeFill="background1"/>
            <w:vAlign w:val="center"/>
          </w:tcPr>
          <w:p w14:paraId="0BA6B6C0" w14:textId="77777777" w:rsidR="00BA1338" w:rsidRPr="00545EC0" w:rsidRDefault="00BA1338" w:rsidP="004F2AF2">
            <w:pPr>
              <w:rPr>
                <w:rFonts w:cs="Arial"/>
                <w:sz w:val="18"/>
                <w:szCs w:val="18"/>
              </w:rPr>
            </w:pPr>
            <w:r w:rsidRPr="00545EC0">
              <w:rPr>
                <w:rFonts w:eastAsiaTheme="majorEastAsia" w:cs="Arial"/>
                <w:iCs/>
                <w:sz w:val="18"/>
                <w:szCs w:val="18"/>
              </w:rPr>
              <w:t>Območje Hotiča - I. odsek - Sava od vtoka Slapnice do Kresnic</w:t>
            </w:r>
          </w:p>
        </w:tc>
        <w:tc>
          <w:tcPr>
            <w:tcW w:w="263" w:type="pct"/>
            <w:vMerge w:val="restart"/>
            <w:shd w:val="clear" w:color="auto" w:fill="FFFFFF" w:themeFill="background1"/>
            <w:vAlign w:val="center"/>
          </w:tcPr>
          <w:p w14:paraId="15BDAC22" w14:textId="77777777" w:rsidR="00BA1338" w:rsidRPr="00545EC0" w:rsidRDefault="00BA1338" w:rsidP="004F2AF2">
            <w:pPr>
              <w:jc w:val="center"/>
              <w:rPr>
                <w:rFonts w:eastAsiaTheme="majorEastAsia" w:cs="Arial"/>
                <w:iCs/>
                <w:sz w:val="18"/>
                <w:szCs w:val="18"/>
              </w:rPr>
            </w:pPr>
            <w:r w:rsidRPr="00545EC0">
              <w:rPr>
                <w:rFonts w:eastAsiaTheme="majorEastAsia" w:cs="Arial"/>
                <w:iCs/>
                <w:sz w:val="18"/>
                <w:szCs w:val="18"/>
              </w:rPr>
              <w:t>1</w:t>
            </w:r>
          </w:p>
        </w:tc>
      </w:tr>
      <w:tr w:rsidR="003122F4" w:rsidRPr="00545EC0" w14:paraId="3848417F" w14:textId="77777777" w:rsidTr="002F2E4E">
        <w:tc>
          <w:tcPr>
            <w:tcW w:w="561" w:type="pct"/>
            <w:vMerge/>
            <w:shd w:val="clear" w:color="auto" w:fill="FFFFFF" w:themeFill="background1"/>
            <w:vAlign w:val="center"/>
          </w:tcPr>
          <w:p w14:paraId="055982E9" w14:textId="77777777" w:rsidR="00BA1338" w:rsidRPr="00545EC0" w:rsidRDefault="00BA1338" w:rsidP="004F2AF2">
            <w:pPr>
              <w:rPr>
                <w:rFonts w:cs="Arial"/>
                <w:sz w:val="18"/>
                <w:szCs w:val="18"/>
              </w:rPr>
            </w:pPr>
          </w:p>
        </w:tc>
        <w:tc>
          <w:tcPr>
            <w:tcW w:w="914" w:type="pct"/>
            <w:vMerge/>
            <w:shd w:val="clear" w:color="auto" w:fill="FFFFFF" w:themeFill="background1"/>
            <w:vAlign w:val="center"/>
          </w:tcPr>
          <w:p w14:paraId="55FFE84E" w14:textId="77777777" w:rsidR="00BA1338" w:rsidRPr="00545EC0" w:rsidRDefault="00BA1338" w:rsidP="004F2AF2">
            <w:pPr>
              <w:rPr>
                <w:rFonts w:cs="Arial"/>
                <w:sz w:val="18"/>
                <w:szCs w:val="18"/>
              </w:rPr>
            </w:pPr>
          </w:p>
        </w:tc>
        <w:tc>
          <w:tcPr>
            <w:tcW w:w="561" w:type="pct"/>
            <w:vMerge/>
            <w:shd w:val="clear" w:color="auto" w:fill="FFFFFF" w:themeFill="background1"/>
          </w:tcPr>
          <w:p w14:paraId="557FD300" w14:textId="77777777" w:rsidR="00BA1338" w:rsidRPr="00545EC0" w:rsidRDefault="00BA1338" w:rsidP="004F2AF2">
            <w:pPr>
              <w:rPr>
                <w:rFonts w:eastAsiaTheme="majorEastAsia" w:cs="Arial"/>
                <w:iCs/>
                <w:sz w:val="18"/>
                <w:szCs w:val="18"/>
              </w:rPr>
            </w:pPr>
          </w:p>
        </w:tc>
        <w:tc>
          <w:tcPr>
            <w:tcW w:w="546" w:type="pct"/>
            <w:vMerge/>
            <w:shd w:val="clear" w:color="auto" w:fill="FFFFFF" w:themeFill="background1"/>
            <w:vAlign w:val="center"/>
          </w:tcPr>
          <w:p w14:paraId="23CE7899" w14:textId="77777777" w:rsidR="00BA1338" w:rsidRPr="00545EC0" w:rsidRDefault="00BA1338" w:rsidP="004F2AF2">
            <w:pPr>
              <w:rPr>
                <w:rFonts w:eastAsiaTheme="majorEastAsia" w:cs="Arial"/>
                <w:iCs/>
                <w:sz w:val="18"/>
                <w:szCs w:val="18"/>
              </w:rPr>
            </w:pPr>
          </w:p>
        </w:tc>
        <w:tc>
          <w:tcPr>
            <w:tcW w:w="2155" w:type="pct"/>
            <w:shd w:val="clear" w:color="auto" w:fill="FFFFFF" w:themeFill="background1"/>
            <w:vAlign w:val="center"/>
          </w:tcPr>
          <w:p w14:paraId="42F55801" w14:textId="6883A5DA" w:rsidR="00BA1338" w:rsidRPr="00545EC0" w:rsidRDefault="00BA1338" w:rsidP="004F2AF2">
            <w:pPr>
              <w:rPr>
                <w:rFonts w:cs="Arial"/>
                <w:sz w:val="18"/>
                <w:szCs w:val="18"/>
              </w:rPr>
            </w:pPr>
            <w:r w:rsidRPr="00545EC0">
              <w:rPr>
                <w:rFonts w:eastAsiaTheme="majorEastAsia" w:cs="Arial"/>
                <w:iCs/>
                <w:sz w:val="18"/>
                <w:szCs w:val="18"/>
              </w:rPr>
              <w:t xml:space="preserve">Območje Hotiča - II. </w:t>
            </w:r>
            <w:r w:rsidR="00C12042" w:rsidRPr="00545EC0">
              <w:rPr>
                <w:rFonts w:eastAsiaTheme="majorEastAsia" w:cs="Arial"/>
                <w:iCs/>
                <w:sz w:val="18"/>
                <w:szCs w:val="18"/>
              </w:rPr>
              <w:t>Odsek - Sava od Kresnic do želez</w:t>
            </w:r>
            <w:r w:rsidRPr="00545EC0">
              <w:rPr>
                <w:rFonts w:eastAsiaTheme="majorEastAsia" w:cs="Arial"/>
                <w:iCs/>
                <w:sz w:val="18"/>
                <w:szCs w:val="18"/>
              </w:rPr>
              <w:t>niškega mostu v Podgradu</w:t>
            </w:r>
          </w:p>
        </w:tc>
        <w:tc>
          <w:tcPr>
            <w:tcW w:w="263" w:type="pct"/>
            <w:vMerge/>
            <w:shd w:val="clear" w:color="auto" w:fill="FFFFFF" w:themeFill="background1"/>
            <w:vAlign w:val="center"/>
          </w:tcPr>
          <w:p w14:paraId="593DF0B5" w14:textId="77777777" w:rsidR="00BA1338" w:rsidRPr="00545EC0" w:rsidRDefault="00BA1338" w:rsidP="004F2AF2">
            <w:pPr>
              <w:jc w:val="center"/>
              <w:rPr>
                <w:rFonts w:eastAsiaTheme="majorEastAsia" w:cs="Arial"/>
                <w:iCs/>
                <w:sz w:val="18"/>
                <w:szCs w:val="18"/>
              </w:rPr>
            </w:pPr>
          </w:p>
        </w:tc>
      </w:tr>
      <w:tr w:rsidR="003122F4" w:rsidRPr="00545EC0" w14:paraId="6939F958" w14:textId="77777777" w:rsidTr="002F2E4E">
        <w:tc>
          <w:tcPr>
            <w:tcW w:w="561" w:type="pct"/>
            <w:vMerge/>
            <w:shd w:val="clear" w:color="auto" w:fill="FFFFFF" w:themeFill="background1"/>
            <w:vAlign w:val="center"/>
          </w:tcPr>
          <w:p w14:paraId="470574A3" w14:textId="77777777" w:rsidR="00BA1338" w:rsidRPr="00545EC0" w:rsidRDefault="00BA1338" w:rsidP="004F2AF2">
            <w:pPr>
              <w:rPr>
                <w:rFonts w:cs="Arial"/>
                <w:sz w:val="18"/>
                <w:szCs w:val="18"/>
              </w:rPr>
            </w:pPr>
          </w:p>
        </w:tc>
        <w:tc>
          <w:tcPr>
            <w:tcW w:w="914" w:type="pct"/>
            <w:vMerge/>
            <w:shd w:val="clear" w:color="auto" w:fill="FFFFFF" w:themeFill="background1"/>
            <w:vAlign w:val="center"/>
          </w:tcPr>
          <w:p w14:paraId="37586057" w14:textId="77777777" w:rsidR="00BA1338" w:rsidRPr="00545EC0" w:rsidRDefault="00BA1338" w:rsidP="004F2AF2">
            <w:pPr>
              <w:rPr>
                <w:rFonts w:cs="Arial"/>
                <w:sz w:val="18"/>
                <w:szCs w:val="18"/>
              </w:rPr>
            </w:pPr>
          </w:p>
        </w:tc>
        <w:tc>
          <w:tcPr>
            <w:tcW w:w="561" w:type="pct"/>
            <w:vMerge/>
            <w:shd w:val="clear" w:color="auto" w:fill="FFFFFF" w:themeFill="background1"/>
          </w:tcPr>
          <w:p w14:paraId="5474BC40" w14:textId="77777777" w:rsidR="00BA1338" w:rsidRPr="00545EC0" w:rsidRDefault="00BA1338" w:rsidP="004F2AF2">
            <w:pPr>
              <w:rPr>
                <w:rFonts w:eastAsiaTheme="majorEastAsia" w:cs="Arial"/>
                <w:iCs/>
                <w:sz w:val="18"/>
                <w:szCs w:val="18"/>
              </w:rPr>
            </w:pPr>
          </w:p>
        </w:tc>
        <w:tc>
          <w:tcPr>
            <w:tcW w:w="546" w:type="pct"/>
            <w:vMerge/>
            <w:shd w:val="clear" w:color="auto" w:fill="FFFFFF" w:themeFill="background1"/>
            <w:vAlign w:val="center"/>
          </w:tcPr>
          <w:p w14:paraId="1D66CA81" w14:textId="77777777" w:rsidR="00BA1338" w:rsidRPr="00545EC0" w:rsidRDefault="00BA1338" w:rsidP="004F2AF2">
            <w:pPr>
              <w:rPr>
                <w:rFonts w:eastAsiaTheme="majorEastAsia" w:cs="Arial"/>
                <w:iCs/>
                <w:sz w:val="18"/>
                <w:szCs w:val="18"/>
              </w:rPr>
            </w:pPr>
          </w:p>
        </w:tc>
        <w:tc>
          <w:tcPr>
            <w:tcW w:w="2155" w:type="pct"/>
            <w:shd w:val="clear" w:color="auto" w:fill="FFFFFF" w:themeFill="background1"/>
            <w:vAlign w:val="center"/>
          </w:tcPr>
          <w:p w14:paraId="0B7375E2" w14:textId="77777777" w:rsidR="00BA1338" w:rsidRPr="00545EC0" w:rsidRDefault="00BA1338" w:rsidP="004F2AF2">
            <w:pPr>
              <w:rPr>
                <w:rFonts w:eastAsiaTheme="majorEastAsia" w:cs="Arial"/>
                <w:iCs/>
                <w:sz w:val="18"/>
                <w:szCs w:val="18"/>
              </w:rPr>
            </w:pPr>
            <w:r w:rsidRPr="00545EC0">
              <w:rPr>
                <w:rFonts w:eastAsiaTheme="majorEastAsia" w:cs="Arial"/>
                <w:iCs/>
                <w:sz w:val="18"/>
                <w:szCs w:val="18"/>
              </w:rPr>
              <w:t xml:space="preserve">Območje Hotiča - III. Odsek - Sava od Litije do </w:t>
            </w:r>
            <w:r w:rsidRPr="00545EC0">
              <w:rPr>
                <w:rFonts w:eastAsiaTheme="majorEastAsia" w:cs="Arial"/>
                <w:iCs/>
                <w:sz w:val="18"/>
                <w:szCs w:val="18"/>
              </w:rPr>
              <w:lastRenderedPageBreak/>
              <w:t>Renk</w:t>
            </w:r>
          </w:p>
        </w:tc>
        <w:tc>
          <w:tcPr>
            <w:tcW w:w="263" w:type="pct"/>
            <w:vMerge/>
            <w:shd w:val="clear" w:color="auto" w:fill="FFFFFF" w:themeFill="background1"/>
            <w:vAlign w:val="center"/>
          </w:tcPr>
          <w:p w14:paraId="677E095C" w14:textId="77777777" w:rsidR="00BA1338" w:rsidRPr="00545EC0" w:rsidRDefault="00BA1338" w:rsidP="004F2AF2">
            <w:pPr>
              <w:jc w:val="center"/>
              <w:rPr>
                <w:rFonts w:eastAsiaTheme="majorEastAsia" w:cs="Arial"/>
                <w:iCs/>
                <w:sz w:val="18"/>
                <w:szCs w:val="18"/>
              </w:rPr>
            </w:pPr>
          </w:p>
        </w:tc>
      </w:tr>
      <w:tr w:rsidR="003122F4" w:rsidRPr="00545EC0" w14:paraId="1773C1BE" w14:textId="77777777" w:rsidTr="002F2E4E">
        <w:tc>
          <w:tcPr>
            <w:tcW w:w="561" w:type="pct"/>
            <w:shd w:val="clear" w:color="auto" w:fill="FFFFFF" w:themeFill="background1"/>
            <w:vAlign w:val="center"/>
          </w:tcPr>
          <w:p w14:paraId="701F8686" w14:textId="77777777" w:rsidR="00BA1338" w:rsidRPr="00545EC0" w:rsidRDefault="00BA1338" w:rsidP="004F2AF2">
            <w:pPr>
              <w:rPr>
                <w:rFonts w:cs="Arial"/>
                <w:sz w:val="18"/>
                <w:szCs w:val="18"/>
              </w:rPr>
            </w:pPr>
            <w:r w:rsidRPr="00545EC0">
              <w:rPr>
                <w:rFonts w:cs="Arial"/>
                <w:sz w:val="18"/>
                <w:szCs w:val="18"/>
              </w:rPr>
              <w:lastRenderedPageBreak/>
              <w:t>SI1VT557</w:t>
            </w:r>
          </w:p>
        </w:tc>
        <w:tc>
          <w:tcPr>
            <w:tcW w:w="914" w:type="pct"/>
            <w:shd w:val="clear" w:color="auto" w:fill="FFFFFF" w:themeFill="background1"/>
            <w:vAlign w:val="center"/>
          </w:tcPr>
          <w:p w14:paraId="0478AF8E" w14:textId="77777777" w:rsidR="00BA1338" w:rsidRPr="00545EC0" w:rsidRDefault="00BA1338" w:rsidP="004F2AF2">
            <w:pPr>
              <w:rPr>
                <w:rFonts w:cs="Arial"/>
                <w:sz w:val="18"/>
                <w:szCs w:val="18"/>
              </w:rPr>
            </w:pPr>
            <w:r w:rsidRPr="00545EC0">
              <w:rPr>
                <w:rFonts w:cs="Arial"/>
                <w:sz w:val="18"/>
                <w:szCs w:val="18"/>
              </w:rPr>
              <w:t>VT  Sava Litija – Zidani Most</w:t>
            </w:r>
          </w:p>
        </w:tc>
        <w:tc>
          <w:tcPr>
            <w:tcW w:w="561" w:type="pct"/>
            <w:shd w:val="clear" w:color="auto" w:fill="FFFFFF" w:themeFill="background1"/>
          </w:tcPr>
          <w:p w14:paraId="24F38B37" w14:textId="77777777" w:rsidR="00BA1338" w:rsidRPr="00545EC0" w:rsidRDefault="00BA1338" w:rsidP="004F2AF2">
            <w:pPr>
              <w:rPr>
                <w:rFonts w:eastAsiaTheme="majorEastAsia" w:cs="Arial"/>
                <w:iCs/>
                <w:sz w:val="18"/>
                <w:szCs w:val="18"/>
              </w:rPr>
            </w:pPr>
            <w:r w:rsidRPr="00545EC0">
              <w:rPr>
                <w:rFonts w:eastAsiaTheme="majorEastAsia" w:cs="Arial"/>
                <w:iCs/>
                <w:sz w:val="18"/>
                <w:szCs w:val="18"/>
              </w:rPr>
              <w:t>Sava</w:t>
            </w:r>
          </w:p>
        </w:tc>
        <w:tc>
          <w:tcPr>
            <w:tcW w:w="546" w:type="pct"/>
            <w:vMerge/>
            <w:shd w:val="clear" w:color="auto" w:fill="FFFFFF" w:themeFill="background1"/>
            <w:vAlign w:val="center"/>
          </w:tcPr>
          <w:p w14:paraId="2E309266" w14:textId="77777777" w:rsidR="00BA1338" w:rsidRPr="00545EC0" w:rsidRDefault="00BA1338" w:rsidP="004F2AF2">
            <w:pPr>
              <w:rPr>
                <w:rFonts w:eastAsiaTheme="majorEastAsia" w:cs="Arial"/>
                <w:iCs/>
                <w:sz w:val="18"/>
                <w:szCs w:val="18"/>
              </w:rPr>
            </w:pPr>
          </w:p>
        </w:tc>
        <w:tc>
          <w:tcPr>
            <w:tcW w:w="2155" w:type="pct"/>
            <w:shd w:val="clear" w:color="auto" w:fill="FFFFFF" w:themeFill="background1"/>
            <w:vAlign w:val="center"/>
          </w:tcPr>
          <w:p w14:paraId="186D2F98" w14:textId="77777777" w:rsidR="00BA1338" w:rsidRPr="00545EC0" w:rsidRDefault="00BA1338" w:rsidP="004F2AF2">
            <w:pPr>
              <w:rPr>
                <w:rFonts w:cs="Arial"/>
                <w:sz w:val="18"/>
                <w:szCs w:val="18"/>
              </w:rPr>
            </w:pPr>
            <w:r w:rsidRPr="00545EC0">
              <w:rPr>
                <w:rFonts w:eastAsiaTheme="majorEastAsia" w:cs="Arial"/>
                <w:iCs/>
                <w:sz w:val="18"/>
                <w:szCs w:val="18"/>
              </w:rPr>
              <w:t>Območje Hotiča - III. Odsek - Sava od Litije do Renk</w:t>
            </w:r>
          </w:p>
        </w:tc>
        <w:tc>
          <w:tcPr>
            <w:tcW w:w="263" w:type="pct"/>
            <w:shd w:val="clear" w:color="auto" w:fill="FFFFFF" w:themeFill="background1"/>
            <w:vAlign w:val="center"/>
          </w:tcPr>
          <w:p w14:paraId="2FC79A35" w14:textId="77777777" w:rsidR="00BA1338" w:rsidRPr="00545EC0" w:rsidRDefault="00BA1338" w:rsidP="004F2AF2">
            <w:pPr>
              <w:jc w:val="center"/>
              <w:rPr>
                <w:rFonts w:eastAsiaTheme="majorEastAsia" w:cs="Arial"/>
                <w:iCs/>
                <w:sz w:val="18"/>
                <w:szCs w:val="18"/>
              </w:rPr>
            </w:pPr>
            <w:r w:rsidRPr="00545EC0">
              <w:rPr>
                <w:rFonts w:eastAsiaTheme="majorEastAsia" w:cs="Arial"/>
                <w:iCs/>
                <w:sz w:val="18"/>
                <w:szCs w:val="18"/>
              </w:rPr>
              <w:t>1</w:t>
            </w:r>
          </w:p>
        </w:tc>
      </w:tr>
    </w:tbl>
    <w:p w14:paraId="4EDC4B5F" w14:textId="77777777" w:rsidR="00BA1338" w:rsidRPr="00545EC0" w:rsidRDefault="00BA1338" w:rsidP="00BA1338">
      <w:pPr>
        <w:rPr>
          <w:rFonts w:cs="Arial"/>
          <w:i/>
          <w:sz w:val="18"/>
          <w:szCs w:val="18"/>
        </w:rPr>
      </w:pPr>
      <w:r w:rsidRPr="00545EC0">
        <w:rPr>
          <w:rFonts w:cs="Arial"/>
          <w:i/>
          <w:sz w:val="18"/>
          <w:szCs w:val="18"/>
        </w:rPr>
        <w:t>ODN – odvzem naplavin, PO – pomembna obremenitev</w:t>
      </w:r>
    </w:p>
    <w:p w14:paraId="36A2E807" w14:textId="77777777" w:rsidR="002F2E4E" w:rsidRPr="00545EC0" w:rsidRDefault="002F2E4E" w:rsidP="00BA1338">
      <w:pPr>
        <w:rPr>
          <w:rFonts w:cs="Arial"/>
          <w:sz w:val="18"/>
          <w:szCs w:val="18"/>
        </w:rPr>
      </w:pPr>
    </w:p>
    <w:p w14:paraId="744461F0"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4"/>
          <w:lang w:eastAsia="ja-JP"/>
        </w:rPr>
      </w:pPr>
      <w:r w:rsidRPr="00545EC0">
        <w:rPr>
          <w:rFonts w:cs="Arial"/>
        </w:rPr>
        <w:t xml:space="preserve">Pomembne obremenitve zaradi odvzema naplavin so prisotne, če je delež dolžine dVTPV, ki je pod vplivom odvzema naplavin, večji od 30%. </w:t>
      </w:r>
      <w:r w:rsidRPr="00545EC0">
        <w:rPr>
          <w:rFonts w:cs="Arial"/>
          <w:szCs w:val="24"/>
          <w:lang w:eastAsia="ja-JP"/>
        </w:rPr>
        <w:t xml:space="preserve">Na VO Donave se na porečju Srednje Save nahajata dva odvzema naplavin, ki predstavljata pomembno obremenitev VTPV. </w:t>
      </w:r>
    </w:p>
    <w:p w14:paraId="7E6E19A3"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p>
    <w:p w14:paraId="3973D880" w14:textId="143D241F"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4"/>
          <w:lang w:eastAsia="ja-JP"/>
        </w:rPr>
      </w:pPr>
      <w:r w:rsidRPr="00545EC0">
        <w:rPr>
          <w:rFonts w:cs="Arial"/>
          <w:szCs w:val="20"/>
        </w:rPr>
        <w:t xml:space="preserve">Deli vodnih teles površinskih voda, na katerih so prisotne pomembne obremenitve zaradi odvzemov naplavin, </w:t>
      </w:r>
      <w:r w:rsidRPr="00545EC0">
        <w:rPr>
          <w:rFonts w:cs="Arial"/>
          <w:szCs w:val="24"/>
          <w:lang w:eastAsia="ja-JP"/>
        </w:rPr>
        <w:t xml:space="preserve">so prikazani na </w:t>
      </w:r>
      <w:r w:rsidR="002B19AC" w:rsidRPr="00545EC0">
        <w:rPr>
          <w:rFonts w:cs="Arial"/>
          <w:szCs w:val="24"/>
          <w:lang w:eastAsia="ja-JP"/>
        </w:rPr>
        <w:t xml:space="preserve">publikacijski </w:t>
      </w:r>
      <w:r w:rsidRPr="00545EC0">
        <w:rPr>
          <w:rFonts w:cs="Arial"/>
          <w:szCs w:val="24"/>
          <w:lang w:eastAsia="ja-JP"/>
        </w:rPr>
        <w:t>karti (</w:t>
      </w:r>
      <w:r w:rsidRPr="00545EC0">
        <w:rPr>
          <w:rFonts w:cs="Arial"/>
          <w:i/>
          <w:szCs w:val="24"/>
          <w:lang w:eastAsia="ja-JP"/>
        </w:rPr>
        <w:t>Publikacijska karta</w:t>
      </w:r>
      <w:r w:rsidR="0078119E" w:rsidRPr="00545EC0">
        <w:rPr>
          <w:rFonts w:cs="Arial"/>
          <w:i/>
          <w:szCs w:val="24"/>
          <w:lang w:eastAsia="ja-JP"/>
        </w:rPr>
        <w:t xml:space="preserve"> 4.8</w:t>
      </w:r>
      <w:r w:rsidRPr="00545EC0">
        <w:rPr>
          <w:rFonts w:cs="Arial"/>
          <w:i/>
          <w:szCs w:val="24"/>
          <w:lang w:eastAsia="ja-JP"/>
        </w:rPr>
        <w:t xml:space="preserve">: </w:t>
      </w:r>
      <w:r w:rsidR="0078119E" w:rsidRPr="00545EC0">
        <w:rPr>
          <w:rFonts w:cs="Arial"/>
          <w:i/>
          <w:szCs w:val="24"/>
          <w:lang w:eastAsia="ja-JP"/>
        </w:rPr>
        <w:t>Odvzemi naplavin in pomembne obremenitve dVTPV).</w:t>
      </w:r>
      <w:r w:rsidR="002F2E4E" w:rsidRPr="00545EC0">
        <w:rPr>
          <w:rFonts w:cs="Arial"/>
          <w:szCs w:val="24"/>
          <w:lang w:eastAsia="ja-JP"/>
        </w:rPr>
        <w:t xml:space="preserve"> </w:t>
      </w:r>
    </w:p>
    <w:p w14:paraId="2C45690A" w14:textId="77777777" w:rsidR="00BA1338" w:rsidRPr="00545EC0" w:rsidRDefault="00BA1338" w:rsidP="00BA1338">
      <w:pPr>
        <w:spacing w:before="240" w:after="240"/>
        <w:rPr>
          <w:rFonts w:cs="Arial"/>
          <w:b/>
        </w:rPr>
      </w:pPr>
      <w:r w:rsidRPr="00545EC0">
        <w:rPr>
          <w:rFonts w:cs="Arial"/>
          <w:b/>
        </w:rPr>
        <w:t>Morfološke obremenitve – hidromorfološka spremenjenost vodotokov (regulacije in ureditve)</w:t>
      </w:r>
    </w:p>
    <w:p w14:paraId="7DDB637F" w14:textId="7631968F"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545EC0">
        <w:rPr>
          <w:rFonts w:cs="Arial"/>
        </w:rPr>
        <w:t>Za obravnavo regulacij in drugih ureditev strug vodotokov so privzeti podatki iz Kategorizacije urejanja vodotokov (DRSV, 2021), kjer so posamezni odseki vodotokov glede na stopnjo antropogene spremenjenosti razvrščeni v enega izmed 5 razredov hidromorfološke spremenjenosti vodotokov (HSV). V posodobitev podatkov o Kategorizaciji so vključeni vsi razpoložljivi podatki o ocenah hidromorfološke spremenjenosti, ki so bili pridobljeni iz različnih študij (ocene po sistemu SIHM, presoje vplivov na stanje voda ipd.). Največji delež zelo močno spremenjenih vodotokov je na porečju Srednje Save, največji delež naravnih oziroma zelo malo spremenjenih vodotokov pa na porečju Zgornje Save (</w:t>
      </w:r>
      <w:r w:rsidR="006C37B4" w:rsidRPr="00545EC0">
        <w:rPr>
          <w:rFonts w:cs="Arial"/>
        </w:rPr>
        <w:fldChar w:fldCharType="begin"/>
      </w:r>
      <w:r w:rsidR="006C37B4" w:rsidRPr="00545EC0">
        <w:rPr>
          <w:rFonts w:cs="Arial"/>
        </w:rPr>
        <w:instrText xml:space="preserve"> REF _Ref84339099 \h </w:instrText>
      </w:r>
      <w:r w:rsidR="00F37A91" w:rsidRPr="00545EC0">
        <w:rPr>
          <w:rFonts w:cs="Arial"/>
        </w:rPr>
        <w:instrText xml:space="preserve"> \* MERGEFORMAT </w:instrText>
      </w:r>
      <w:r w:rsidR="006C37B4" w:rsidRPr="00545EC0">
        <w:rPr>
          <w:rFonts w:cs="Arial"/>
        </w:rPr>
      </w:r>
      <w:r w:rsidR="006C37B4" w:rsidRPr="00545EC0">
        <w:rPr>
          <w:rFonts w:cs="Arial"/>
        </w:rPr>
        <w:fldChar w:fldCharType="separate"/>
      </w:r>
      <w:r w:rsidR="002F3E43" w:rsidRPr="00545EC0">
        <w:rPr>
          <w:szCs w:val="20"/>
        </w:rPr>
        <w:t xml:space="preserve">Slika </w:t>
      </w:r>
      <w:r w:rsidR="002F3E43">
        <w:rPr>
          <w:noProof/>
          <w:szCs w:val="20"/>
        </w:rPr>
        <w:t>2</w:t>
      </w:r>
      <w:r w:rsidR="002F3E43" w:rsidRPr="00545EC0">
        <w:rPr>
          <w:noProof/>
          <w:szCs w:val="20"/>
        </w:rPr>
        <w:noBreakHyphen/>
      </w:r>
      <w:r w:rsidR="002F3E43">
        <w:rPr>
          <w:noProof/>
          <w:szCs w:val="20"/>
        </w:rPr>
        <w:t>20</w:t>
      </w:r>
      <w:r w:rsidR="006C37B4" w:rsidRPr="00545EC0">
        <w:rPr>
          <w:rFonts w:cs="Arial"/>
        </w:rPr>
        <w:fldChar w:fldCharType="end"/>
      </w:r>
      <w:r w:rsidRPr="00545EC0">
        <w:rPr>
          <w:rFonts w:cs="Arial"/>
        </w:rPr>
        <w:t>).</w:t>
      </w:r>
    </w:p>
    <w:p w14:paraId="6484E82F"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p>
    <w:p w14:paraId="51B8706F" w14:textId="77777777" w:rsidR="006C37B4" w:rsidRPr="00545EC0" w:rsidRDefault="00BA1338" w:rsidP="006C37B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 w:rsidRPr="00545EC0">
        <w:rPr>
          <w:rFonts w:cs="Arial"/>
          <w:noProof/>
        </w:rPr>
        <w:drawing>
          <wp:inline distT="0" distB="0" distL="0" distR="0" wp14:anchorId="49C1291E" wp14:editId="44A6DB8C">
            <wp:extent cx="5514654" cy="3785199"/>
            <wp:effectExtent l="19050" t="19050" r="10160" b="2540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26014" cy="3792996"/>
                    </a:xfrm>
                    <a:prstGeom prst="rect">
                      <a:avLst/>
                    </a:prstGeom>
                    <a:noFill/>
                    <a:ln>
                      <a:solidFill>
                        <a:schemeClr val="bg1">
                          <a:lumMod val="75000"/>
                        </a:schemeClr>
                      </a:solidFill>
                    </a:ln>
                  </pic:spPr>
                </pic:pic>
              </a:graphicData>
            </a:graphic>
          </wp:inline>
        </w:drawing>
      </w:r>
    </w:p>
    <w:p w14:paraId="59CC463D" w14:textId="490A673A" w:rsidR="00BA1338" w:rsidRPr="00545EC0" w:rsidRDefault="006C37B4" w:rsidP="006C37B4">
      <w:pPr>
        <w:pStyle w:val="Napis"/>
        <w:jc w:val="left"/>
        <w:rPr>
          <w:szCs w:val="20"/>
        </w:rPr>
      </w:pPr>
      <w:bookmarkStart w:id="211" w:name="_Ref84339099"/>
      <w:r w:rsidRPr="00545EC0">
        <w:rPr>
          <w:szCs w:val="20"/>
        </w:rPr>
        <w:t xml:space="preserve">Slika </w:t>
      </w:r>
      <w:r w:rsidR="00396E1E" w:rsidRPr="00545EC0">
        <w:rPr>
          <w:szCs w:val="20"/>
        </w:rPr>
        <w:fldChar w:fldCharType="begin"/>
      </w:r>
      <w:r w:rsidR="00396E1E" w:rsidRPr="00545EC0">
        <w:rPr>
          <w:szCs w:val="20"/>
        </w:rPr>
        <w:instrText xml:space="preserve"> STYLEREF 1 \s </w:instrText>
      </w:r>
      <w:r w:rsidR="00396E1E" w:rsidRPr="00545EC0">
        <w:rPr>
          <w:szCs w:val="20"/>
        </w:rPr>
        <w:fldChar w:fldCharType="separate"/>
      </w:r>
      <w:r w:rsidR="002F3E43">
        <w:rPr>
          <w:noProof/>
          <w:szCs w:val="20"/>
        </w:rPr>
        <w:t>2</w:t>
      </w:r>
      <w:r w:rsidR="00396E1E" w:rsidRPr="00545EC0">
        <w:rPr>
          <w:szCs w:val="20"/>
        </w:rPr>
        <w:fldChar w:fldCharType="end"/>
      </w:r>
      <w:r w:rsidR="00396E1E" w:rsidRPr="00545EC0">
        <w:rPr>
          <w:szCs w:val="20"/>
        </w:rPr>
        <w:noBreakHyphen/>
      </w:r>
      <w:r w:rsidR="00396E1E" w:rsidRPr="00545EC0">
        <w:rPr>
          <w:szCs w:val="20"/>
        </w:rPr>
        <w:fldChar w:fldCharType="begin"/>
      </w:r>
      <w:r w:rsidR="00396E1E" w:rsidRPr="00545EC0">
        <w:rPr>
          <w:szCs w:val="20"/>
        </w:rPr>
        <w:instrText xml:space="preserve"> SEQ Slika \* ARABIC \s 1 </w:instrText>
      </w:r>
      <w:r w:rsidR="00396E1E" w:rsidRPr="00545EC0">
        <w:rPr>
          <w:szCs w:val="20"/>
        </w:rPr>
        <w:fldChar w:fldCharType="separate"/>
      </w:r>
      <w:r w:rsidR="002F3E43">
        <w:rPr>
          <w:noProof/>
          <w:szCs w:val="20"/>
        </w:rPr>
        <w:t>20</w:t>
      </w:r>
      <w:r w:rsidR="00396E1E" w:rsidRPr="00545EC0">
        <w:rPr>
          <w:szCs w:val="20"/>
        </w:rPr>
        <w:fldChar w:fldCharType="end"/>
      </w:r>
      <w:bookmarkEnd w:id="211"/>
      <w:r w:rsidRPr="00545EC0">
        <w:rPr>
          <w:szCs w:val="20"/>
        </w:rPr>
        <w:t>: Delež posameznih razredov hidromorfološke spremenjenosti po porečjih na VO Donave</w:t>
      </w:r>
    </w:p>
    <w:p w14:paraId="0CAF72F9"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p>
    <w:p w14:paraId="71E0D0B4"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p>
    <w:p w14:paraId="58B37A75" w14:textId="6769D6CB"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0"/>
        </w:rPr>
      </w:pPr>
      <w:r w:rsidRPr="00545EC0">
        <w:rPr>
          <w:rFonts w:cs="Arial"/>
        </w:rPr>
        <w:t xml:space="preserve">Za dVTPV-je je določeno utežno povprečje dolžinskih deležev posameznih razredov, ki določa skupno oceno hidromorfološke spremenjenosti na dVTPV. Spremenjenost vodotokov zaradi regulacij in drugih ureditev vodotokov je prepoznana kot pomembna obremenitev, če je razred spremenjenosti (KUV) enak ali slabši od razreda 3 ali če je je </w:t>
      </w:r>
      <w:r w:rsidRPr="00545EC0">
        <w:rPr>
          <w:rFonts w:cs="Arial"/>
          <w:szCs w:val="20"/>
        </w:rPr>
        <w:t>delež togo regulirane struge (razredi KUV 3, 4 in 5) večji kot 30 % dolžine struge dVTPV (</w:t>
      </w:r>
      <w:r w:rsidR="00304879" w:rsidRPr="00545EC0">
        <w:rPr>
          <w:rFonts w:cs="Arial"/>
          <w:szCs w:val="20"/>
        </w:rPr>
        <w:fldChar w:fldCharType="begin"/>
      </w:r>
      <w:r w:rsidR="00304879" w:rsidRPr="00545EC0">
        <w:rPr>
          <w:rFonts w:cs="Arial"/>
          <w:szCs w:val="20"/>
        </w:rPr>
        <w:instrText xml:space="preserve"> REF _Ref84320955 \h </w:instrText>
      </w:r>
      <w:r w:rsidR="00F37A91" w:rsidRPr="00545EC0">
        <w:rPr>
          <w:rFonts w:cs="Arial"/>
          <w:szCs w:val="20"/>
        </w:rPr>
        <w:instrText xml:space="preserve"> \* MERGEFORMAT </w:instrText>
      </w:r>
      <w:r w:rsidR="00304879" w:rsidRPr="00545EC0">
        <w:rPr>
          <w:rFonts w:cs="Arial"/>
          <w:szCs w:val="20"/>
        </w:rPr>
      </w:r>
      <w:r w:rsidR="00304879" w:rsidRPr="00545EC0">
        <w:rPr>
          <w:rFonts w:cs="Arial"/>
          <w:szCs w:val="20"/>
        </w:rPr>
        <w:fldChar w:fldCharType="separate"/>
      </w:r>
      <w:r w:rsidR="002F3E43" w:rsidRPr="00545EC0">
        <w:t xml:space="preserve">Preglednica </w:t>
      </w:r>
      <w:r w:rsidR="002F3E43">
        <w:rPr>
          <w:noProof/>
        </w:rPr>
        <w:t>2</w:t>
      </w:r>
      <w:r w:rsidR="002F3E43" w:rsidRPr="00545EC0">
        <w:rPr>
          <w:noProof/>
        </w:rPr>
        <w:noBreakHyphen/>
      </w:r>
      <w:r w:rsidR="002F3E43">
        <w:rPr>
          <w:noProof/>
        </w:rPr>
        <w:t>30</w:t>
      </w:r>
      <w:r w:rsidR="00304879" w:rsidRPr="00545EC0">
        <w:rPr>
          <w:rFonts w:cs="Arial"/>
          <w:szCs w:val="20"/>
        </w:rPr>
        <w:fldChar w:fldCharType="end"/>
      </w:r>
      <w:r w:rsidR="00304879" w:rsidRPr="00545EC0">
        <w:rPr>
          <w:rFonts w:cs="Arial"/>
          <w:szCs w:val="20"/>
        </w:rPr>
        <w:t>)</w:t>
      </w:r>
      <w:r w:rsidRPr="00545EC0">
        <w:rPr>
          <w:rFonts w:cs="Arial"/>
          <w:szCs w:val="20"/>
        </w:rPr>
        <w:t xml:space="preserve">. </w:t>
      </w:r>
    </w:p>
    <w:p w14:paraId="786DB816"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0"/>
        </w:rPr>
      </w:pPr>
    </w:p>
    <w:p w14:paraId="531C3E52" w14:textId="6ADC33D0" w:rsidR="00887665" w:rsidRPr="00545EC0" w:rsidRDefault="00887665" w:rsidP="00887665">
      <w:pPr>
        <w:pStyle w:val="Napis"/>
        <w:keepNext/>
      </w:pPr>
      <w:bookmarkStart w:id="212" w:name="_Ref84320955"/>
      <w:bookmarkStart w:id="213" w:name="_Ref84256320"/>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30</w:t>
        </w:r>
      </w:fldSimple>
      <w:bookmarkEnd w:id="212"/>
      <w:r w:rsidR="001C0908" w:rsidRPr="00545EC0">
        <w:t>: Vodna telesa površinskih voda in njihovi deli s pomembno obremenitvijo zaradi ureditev in regulacij</w:t>
      </w:r>
      <w:bookmarkEnd w:id="213"/>
    </w:p>
    <w:tbl>
      <w:tblPr>
        <w:tblW w:w="5000" w:type="pct"/>
        <w:shd w:val="clear" w:color="auto" w:fill="FFFFFF" w:themeFill="background1"/>
        <w:tblLayout w:type="fixed"/>
        <w:tblCellMar>
          <w:left w:w="70" w:type="dxa"/>
          <w:right w:w="70" w:type="dxa"/>
        </w:tblCellMar>
        <w:tblLook w:val="04A0" w:firstRow="1" w:lastRow="0" w:firstColumn="1" w:lastColumn="0" w:noHBand="0" w:noVBand="1"/>
      </w:tblPr>
      <w:tblGrid>
        <w:gridCol w:w="1346"/>
        <w:gridCol w:w="2299"/>
        <w:gridCol w:w="2946"/>
        <w:gridCol w:w="1277"/>
        <w:gridCol w:w="707"/>
        <w:gridCol w:w="636"/>
      </w:tblGrid>
      <w:tr w:rsidR="003122F4" w:rsidRPr="00545EC0" w14:paraId="57F3319B" w14:textId="77777777" w:rsidTr="00BE42F5">
        <w:trPr>
          <w:trHeight w:val="227"/>
          <w:tblHeader/>
        </w:trPr>
        <w:tc>
          <w:tcPr>
            <w:tcW w:w="73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184CC80" w14:textId="77777777" w:rsidR="00BA1338" w:rsidRPr="00545EC0" w:rsidRDefault="00BA1338" w:rsidP="004F2AF2">
            <w:pPr>
              <w:spacing w:line="240" w:lineRule="auto"/>
              <w:rPr>
                <w:rFonts w:cs="Arial"/>
                <w:b/>
                <w:sz w:val="18"/>
                <w:szCs w:val="18"/>
              </w:rPr>
            </w:pPr>
            <w:r w:rsidRPr="00545EC0">
              <w:rPr>
                <w:rFonts w:cs="Arial"/>
                <w:b/>
                <w:sz w:val="18"/>
                <w:szCs w:val="18"/>
              </w:rPr>
              <w:t>Šifra VTPV</w:t>
            </w:r>
          </w:p>
        </w:tc>
        <w:tc>
          <w:tcPr>
            <w:tcW w:w="1248"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EA62B75" w14:textId="77777777" w:rsidR="00BA1338" w:rsidRPr="00545EC0" w:rsidRDefault="00BA1338" w:rsidP="00BE42F5">
            <w:pPr>
              <w:spacing w:line="240" w:lineRule="auto"/>
              <w:jc w:val="left"/>
              <w:rPr>
                <w:rFonts w:cs="Arial"/>
                <w:b/>
                <w:sz w:val="18"/>
                <w:szCs w:val="18"/>
              </w:rPr>
            </w:pPr>
            <w:r w:rsidRPr="00545EC0">
              <w:rPr>
                <w:rFonts w:cs="Arial"/>
                <w:b/>
                <w:sz w:val="18"/>
                <w:szCs w:val="18"/>
              </w:rPr>
              <w:t>Ime VTPV</w:t>
            </w:r>
          </w:p>
        </w:tc>
        <w:tc>
          <w:tcPr>
            <w:tcW w:w="1599" w:type="pct"/>
            <w:tcBorders>
              <w:top w:val="single" w:sz="4" w:space="0" w:color="auto"/>
              <w:left w:val="nil"/>
              <w:bottom w:val="single" w:sz="4" w:space="0" w:color="auto"/>
              <w:right w:val="nil"/>
            </w:tcBorders>
            <w:shd w:val="clear" w:color="auto" w:fill="F2F2F2" w:themeFill="background1" w:themeFillShade="F2"/>
            <w:noWrap/>
            <w:vAlign w:val="center"/>
          </w:tcPr>
          <w:p w14:paraId="57DE02FD" w14:textId="77777777" w:rsidR="00BA1338" w:rsidRPr="00545EC0" w:rsidRDefault="00BA1338" w:rsidP="00BE42F5">
            <w:pPr>
              <w:spacing w:line="240" w:lineRule="auto"/>
              <w:jc w:val="left"/>
              <w:rPr>
                <w:rFonts w:cs="Arial"/>
                <w:b/>
                <w:sz w:val="18"/>
                <w:szCs w:val="18"/>
              </w:rPr>
            </w:pPr>
            <w:r w:rsidRPr="00545EC0">
              <w:rPr>
                <w:rFonts w:cs="Arial"/>
                <w:b/>
                <w:sz w:val="18"/>
                <w:szCs w:val="18"/>
              </w:rPr>
              <w:t>Ime vodotoka dVTPV</w:t>
            </w:r>
          </w:p>
        </w:tc>
        <w:tc>
          <w:tcPr>
            <w:tcW w:w="6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259BCB" w14:textId="77777777" w:rsidR="00BA1338" w:rsidRPr="00545EC0" w:rsidRDefault="00BA1338" w:rsidP="004F2AF2">
            <w:pPr>
              <w:spacing w:line="240" w:lineRule="auto"/>
              <w:rPr>
                <w:rFonts w:cs="Arial"/>
                <w:b/>
                <w:sz w:val="18"/>
                <w:szCs w:val="18"/>
              </w:rPr>
            </w:pPr>
            <w:r w:rsidRPr="00545EC0">
              <w:rPr>
                <w:rFonts w:cs="Arial"/>
                <w:b/>
                <w:sz w:val="18"/>
                <w:szCs w:val="18"/>
              </w:rPr>
              <w:t>Porečje</w:t>
            </w:r>
          </w:p>
        </w:tc>
        <w:tc>
          <w:tcPr>
            <w:tcW w:w="3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CD6AC8F" w14:textId="77777777" w:rsidR="00BA1338" w:rsidRPr="00545EC0" w:rsidRDefault="00BA1338" w:rsidP="004F2AF2">
            <w:pPr>
              <w:spacing w:line="240" w:lineRule="auto"/>
              <w:rPr>
                <w:rFonts w:cs="Arial"/>
                <w:b/>
                <w:sz w:val="18"/>
                <w:szCs w:val="18"/>
              </w:rPr>
            </w:pPr>
            <w:r w:rsidRPr="00545EC0">
              <w:rPr>
                <w:rFonts w:cs="Arial"/>
                <w:b/>
                <w:sz w:val="18"/>
                <w:szCs w:val="18"/>
              </w:rPr>
              <w:t>PO - GT</w:t>
            </w:r>
          </w:p>
        </w:tc>
        <w:tc>
          <w:tcPr>
            <w:tcW w:w="34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2A6E6DC" w14:textId="77777777" w:rsidR="00BA1338" w:rsidRPr="00545EC0" w:rsidRDefault="00BA1338" w:rsidP="004F2AF2">
            <w:pPr>
              <w:spacing w:line="240" w:lineRule="auto"/>
              <w:rPr>
                <w:rFonts w:cs="Arial"/>
                <w:b/>
                <w:sz w:val="18"/>
                <w:szCs w:val="18"/>
              </w:rPr>
            </w:pPr>
            <w:r w:rsidRPr="00545EC0">
              <w:rPr>
                <w:rFonts w:cs="Arial"/>
                <w:b/>
                <w:sz w:val="18"/>
                <w:szCs w:val="18"/>
              </w:rPr>
              <w:t>PO - PR</w:t>
            </w:r>
          </w:p>
        </w:tc>
      </w:tr>
      <w:tr w:rsidR="003122F4" w:rsidRPr="00545EC0" w14:paraId="002AA941" w14:textId="77777777" w:rsidTr="00BE42F5">
        <w:trPr>
          <w:trHeight w:val="227"/>
        </w:trPr>
        <w:tc>
          <w:tcPr>
            <w:tcW w:w="7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C2DD2E" w14:textId="77777777" w:rsidR="00BA1338" w:rsidRPr="00545EC0" w:rsidRDefault="00BA1338" w:rsidP="004F2AF2">
            <w:pPr>
              <w:spacing w:line="240" w:lineRule="auto"/>
              <w:rPr>
                <w:rFonts w:cs="Arial"/>
                <w:sz w:val="18"/>
                <w:szCs w:val="18"/>
              </w:rPr>
            </w:pPr>
            <w:r w:rsidRPr="00545EC0">
              <w:rPr>
                <w:rFonts w:cs="Arial"/>
                <w:sz w:val="18"/>
                <w:szCs w:val="18"/>
              </w:rPr>
              <w:t>SI111VT5</w:t>
            </w:r>
          </w:p>
        </w:tc>
        <w:tc>
          <w:tcPr>
            <w:tcW w:w="1248"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79ABFE55" w14:textId="77777777" w:rsidR="00BA1338" w:rsidRPr="00545EC0" w:rsidRDefault="00BA1338" w:rsidP="00BE42F5">
            <w:pPr>
              <w:spacing w:line="240" w:lineRule="auto"/>
              <w:jc w:val="left"/>
              <w:rPr>
                <w:rFonts w:cs="Arial"/>
                <w:sz w:val="18"/>
                <w:szCs w:val="18"/>
              </w:rPr>
            </w:pPr>
            <w:r w:rsidRPr="00545EC0">
              <w:rPr>
                <w:rFonts w:cs="Arial"/>
                <w:sz w:val="18"/>
                <w:szCs w:val="18"/>
              </w:rPr>
              <w:t>VT Sava izvir - Hrušica</w:t>
            </w:r>
          </w:p>
        </w:tc>
        <w:tc>
          <w:tcPr>
            <w:tcW w:w="1599" w:type="pct"/>
            <w:tcBorders>
              <w:top w:val="single" w:sz="4" w:space="0" w:color="auto"/>
              <w:left w:val="nil"/>
              <w:bottom w:val="single" w:sz="4" w:space="0" w:color="auto"/>
              <w:right w:val="nil"/>
            </w:tcBorders>
            <w:shd w:val="clear" w:color="auto" w:fill="FFFFFF" w:themeFill="background1"/>
            <w:noWrap/>
            <w:vAlign w:val="center"/>
            <w:hideMark/>
          </w:tcPr>
          <w:p w14:paraId="5648EDCD" w14:textId="77777777" w:rsidR="00BA1338" w:rsidRPr="00545EC0" w:rsidRDefault="00BA1338" w:rsidP="00BE42F5">
            <w:pPr>
              <w:spacing w:line="240" w:lineRule="auto"/>
              <w:jc w:val="left"/>
              <w:rPr>
                <w:rFonts w:cs="Arial"/>
                <w:sz w:val="18"/>
                <w:szCs w:val="18"/>
              </w:rPr>
            </w:pPr>
            <w:r w:rsidRPr="00545EC0">
              <w:rPr>
                <w:rFonts w:cs="Arial"/>
                <w:sz w:val="18"/>
                <w:szCs w:val="18"/>
              </w:rPr>
              <w:t>Sava Dolinka</w:t>
            </w:r>
          </w:p>
        </w:tc>
        <w:tc>
          <w:tcPr>
            <w:tcW w:w="693" w:type="pct"/>
            <w:vMerge w:val="restart"/>
            <w:tcBorders>
              <w:top w:val="single" w:sz="4" w:space="0" w:color="auto"/>
              <w:left w:val="single" w:sz="4" w:space="0" w:color="auto"/>
              <w:right w:val="single" w:sz="4" w:space="0" w:color="auto"/>
            </w:tcBorders>
            <w:shd w:val="clear" w:color="auto" w:fill="FFFFFF" w:themeFill="background1"/>
            <w:vAlign w:val="center"/>
          </w:tcPr>
          <w:p w14:paraId="46D7B31B" w14:textId="77777777" w:rsidR="00BA1338" w:rsidRPr="00545EC0" w:rsidRDefault="00BA1338" w:rsidP="004F2AF2">
            <w:pPr>
              <w:spacing w:line="240" w:lineRule="auto"/>
              <w:rPr>
                <w:rFonts w:cs="Arial"/>
                <w:sz w:val="18"/>
                <w:szCs w:val="18"/>
              </w:rPr>
            </w:pPr>
            <w:r w:rsidRPr="00545EC0">
              <w:rPr>
                <w:rFonts w:cs="Arial"/>
                <w:sz w:val="18"/>
                <w:szCs w:val="18"/>
              </w:rPr>
              <w:t>Zgornja Sava</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FEE048"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EF2350"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72FF7E56"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FABD962" w14:textId="77777777" w:rsidR="00BA1338" w:rsidRPr="00545EC0" w:rsidRDefault="00BA1338" w:rsidP="004F2AF2">
            <w:pPr>
              <w:spacing w:line="240" w:lineRule="auto"/>
              <w:rPr>
                <w:rFonts w:cs="Arial"/>
                <w:sz w:val="18"/>
                <w:szCs w:val="18"/>
              </w:rPr>
            </w:pPr>
            <w:r w:rsidRPr="00545EC0">
              <w:rPr>
                <w:rFonts w:cs="Arial"/>
                <w:sz w:val="18"/>
                <w:szCs w:val="18"/>
              </w:rPr>
              <w:t>SI111VT7</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7EBF7C56" w14:textId="77777777" w:rsidR="00BA1338" w:rsidRPr="00545EC0" w:rsidRDefault="00BA1338" w:rsidP="00BE42F5">
            <w:pPr>
              <w:spacing w:line="240" w:lineRule="auto"/>
              <w:jc w:val="left"/>
              <w:rPr>
                <w:rFonts w:cs="Arial"/>
                <w:sz w:val="18"/>
                <w:szCs w:val="18"/>
              </w:rPr>
            </w:pPr>
            <w:r w:rsidRPr="00545EC0">
              <w:rPr>
                <w:rFonts w:cs="Arial"/>
                <w:sz w:val="18"/>
                <w:szCs w:val="18"/>
              </w:rPr>
              <w:t>MPVT zadrževalnik HE Moste</w:t>
            </w:r>
          </w:p>
        </w:tc>
        <w:tc>
          <w:tcPr>
            <w:tcW w:w="1599" w:type="pct"/>
            <w:tcBorders>
              <w:top w:val="nil"/>
              <w:left w:val="nil"/>
              <w:bottom w:val="single" w:sz="4" w:space="0" w:color="auto"/>
              <w:right w:val="nil"/>
            </w:tcBorders>
            <w:shd w:val="clear" w:color="auto" w:fill="FFFFFF" w:themeFill="background1"/>
            <w:noWrap/>
            <w:vAlign w:val="center"/>
            <w:hideMark/>
          </w:tcPr>
          <w:p w14:paraId="1311E183" w14:textId="77777777" w:rsidR="00BA1338" w:rsidRPr="00545EC0" w:rsidRDefault="00BA1338" w:rsidP="00BE42F5">
            <w:pPr>
              <w:spacing w:line="240" w:lineRule="auto"/>
              <w:jc w:val="left"/>
              <w:rPr>
                <w:rFonts w:cs="Arial"/>
                <w:sz w:val="18"/>
                <w:szCs w:val="18"/>
              </w:rPr>
            </w:pPr>
            <w:r w:rsidRPr="00545EC0">
              <w:rPr>
                <w:rFonts w:cs="Arial"/>
                <w:sz w:val="18"/>
                <w:szCs w:val="18"/>
              </w:rPr>
              <w:t>Sava Dolinka, Javornik</w:t>
            </w:r>
          </w:p>
        </w:tc>
        <w:tc>
          <w:tcPr>
            <w:tcW w:w="693" w:type="pct"/>
            <w:vMerge/>
            <w:tcBorders>
              <w:left w:val="single" w:sz="4" w:space="0" w:color="auto"/>
              <w:right w:val="single" w:sz="4" w:space="0" w:color="auto"/>
            </w:tcBorders>
            <w:shd w:val="clear" w:color="auto" w:fill="FFFFFF" w:themeFill="background1"/>
            <w:vAlign w:val="center"/>
          </w:tcPr>
          <w:p w14:paraId="30051237"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98A797"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621D00"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56C2CBCD"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E9E9450" w14:textId="77777777" w:rsidR="00BA1338" w:rsidRPr="00545EC0" w:rsidRDefault="00BA1338" w:rsidP="004F2AF2">
            <w:pPr>
              <w:spacing w:line="240" w:lineRule="auto"/>
              <w:rPr>
                <w:rFonts w:cs="Arial"/>
                <w:sz w:val="18"/>
                <w:szCs w:val="18"/>
              </w:rPr>
            </w:pPr>
            <w:r w:rsidRPr="00545EC0">
              <w:rPr>
                <w:rFonts w:cs="Arial"/>
                <w:sz w:val="18"/>
                <w:szCs w:val="18"/>
              </w:rPr>
              <w:t>SI112VT7</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34ACB0A2" w14:textId="77777777" w:rsidR="00BA1338" w:rsidRPr="00545EC0" w:rsidRDefault="00BA1338" w:rsidP="00BE42F5">
            <w:pPr>
              <w:spacing w:line="240" w:lineRule="auto"/>
              <w:jc w:val="left"/>
              <w:rPr>
                <w:rFonts w:cs="Arial"/>
                <w:sz w:val="18"/>
                <w:szCs w:val="18"/>
              </w:rPr>
            </w:pPr>
            <w:r w:rsidRPr="00545EC0">
              <w:rPr>
                <w:rFonts w:cs="Arial"/>
                <w:sz w:val="18"/>
                <w:szCs w:val="18"/>
              </w:rPr>
              <w:t>VT Sava Sveti Janez - Jezernica</w:t>
            </w:r>
          </w:p>
        </w:tc>
        <w:tc>
          <w:tcPr>
            <w:tcW w:w="1599" w:type="pct"/>
            <w:tcBorders>
              <w:top w:val="nil"/>
              <w:left w:val="nil"/>
              <w:bottom w:val="single" w:sz="4" w:space="0" w:color="auto"/>
              <w:right w:val="nil"/>
            </w:tcBorders>
            <w:shd w:val="clear" w:color="auto" w:fill="FFFFFF" w:themeFill="background1"/>
            <w:noWrap/>
            <w:vAlign w:val="center"/>
            <w:hideMark/>
          </w:tcPr>
          <w:p w14:paraId="6000FC15" w14:textId="77777777" w:rsidR="00BA1338" w:rsidRPr="00545EC0" w:rsidRDefault="00BA1338" w:rsidP="00BE42F5">
            <w:pPr>
              <w:spacing w:line="240" w:lineRule="auto"/>
              <w:jc w:val="left"/>
              <w:rPr>
                <w:rFonts w:cs="Arial"/>
                <w:sz w:val="18"/>
                <w:szCs w:val="18"/>
              </w:rPr>
            </w:pPr>
            <w:r w:rsidRPr="00545EC0">
              <w:rPr>
                <w:rFonts w:cs="Arial"/>
                <w:sz w:val="18"/>
                <w:szCs w:val="18"/>
              </w:rPr>
              <w:t>Ribnica</w:t>
            </w:r>
          </w:p>
        </w:tc>
        <w:tc>
          <w:tcPr>
            <w:tcW w:w="693" w:type="pct"/>
            <w:vMerge/>
            <w:tcBorders>
              <w:left w:val="single" w:sz="4" w:space="0" w:color="auto"/>
              <w:right w:val="single" w:sz="4" w:space="0" w:color="auto"/>
            </w:tcBorders>
            <w:shd w:val="clear" w:color="auto" w:fill="FFFFFF" w:themeFill="background1"/>
            <w:vAlign w:val="center"/>
          </w:tcPr>
          <w:p w14:paraId="20D3AB8A"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6894E9" w14:textId="77777777" w:rsidR="00BA1338" w:rsidRPr="00545EC0" w:rsidRDefault="00BA1338" w:rsidP="004F2AF2">
            <w:pPr>
              <w:spacing w:line="240" w:lineRule="auto"/>
              <w:rPr>
                <w:rFonts w:cs="Arial"/>
                <w:sz w:val="18"/>
                <w:szCs w:val="18"/>
              </w:rPr>
            </w:pPr>
            <w:r w:rsidRPr="00545EC0">
              <w:rPr>
                <w:rFonts w:cs="Arial"/>
                <w:sz w:val="18"/>
                <w:szCs w:val="18"/>
              </w:rPr>
              <w:t>0</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25AF4D"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0CF2E29C"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A116579" w14:textId="77777777" w:rsidR="00BA1338" w:rsidRPr="00545EC0" w:rsidRDefault="00BA1338" w:rsidP="004F2AF2">
            <w:pPr>
              <w:spacing w:line="240" w:lineRule="auto"/>
              <w:rPr>
                <w:rFonts w:cs="Arial"/>
                <w:sz w:val="18"/>
                <w:szCs w:val="18"/>
              </w:rPr>
            </w:pPr>
            <w:r w:rsidRPr="00545EC0">
              <w:rPr>
                <w:rFonts w:cs="Arial"/>
                <w:sz w:val="18"/>
                <w:szCs w:val="18"/>
              </w:rPr>
              <w:t>SI114VT9</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586E78F2" w14:textId="77777777" w:rsidR="00BA1338" w:rsidRPr="00545EC0" w:rsidRDefault="00BA1338" w:rsidP="00BE42F5">
            <w:pPr>
              <w:spacing w:line="240" w:lineRule="auto"/>
              <w:jc w:val="left"/>
              <w:rPr>
                <w:rFonts w:cs="Arial"/>
                <w:sz w:val="18"/>
                <w:szCs w:val="18"/>
              </w:rPr>
            </w:pPr>
            <w:r w:rsidRPr="00545EC0">
              <w:rPr>
                <w:rFonts w:cs="Arial"/>
                <w:sz w:val="18"/>
                <w:szCs w:val="18"/>
              </w:rPr>
              <w:t>VT Tržiška Bistrica sotočje z Lomščico - Podbrezje</w:t>
            </w:r>
          </w:p>
        </w:tc>
        <w:tc>
          <w:tcPr>
            <w:tcW w:w="1599" w:type="pct"/>
            <w:tcBorders>
              <w:top w:val="nil"/>
              <w:left w:val="nil"/>
              <w:bottom w:val="single" w:sz="4" w:space="0" w:color="auto"/>
              <w:right w:val="nil"/>
            </w:tcBorders>
            <w:shd w:val="clear" w:color="auto" w:fill="FFFFFF" w:themeFill="background1"/>
            <w:noWrap/>
            <w:vAlign w:val="center"/>
            <w:hideMark/>
          </w:tcPr>
          <w:p w14:paraId="2122B947" w14:textId="77777777" w:rsidR="00BA1338" w:rsidRPr="00545EC0" w:rsidRDefault="00BA1338" w:rsidP="00BE42F5">
            <w:pPr>
              <w:spacing w:line="240" w:lineRule="auto"/>
              <w:jc w:val="left"/>
              <w:rPr>
                <w:rFonts w:cs="Arial"/>
                <w:sz w:val="18"/>
                <w:szCs w:val="18"/>
              </w:rPr>
            </w:pPr>
            <w:r w:rsidRPr="00545EC0">
              <w:rPr>
                <w:rFonts w:cs="Arial"/>
                <w:sz w:val="18"/>
                <w:szCs w:val="18"/>
              </w:rPr>
              <w:t>Tržiška Bistrica</w:t>
            </w:r>
          </w:p>
        </w:tc>
        <w:tc>
          <w:tcPr>
            <w:tcW w:w="693" w:type="pct"/>
            <w:vMerge/>
            <w:tcBorders>
              <w:left w:val="single" w:sz="4" w:space="0" w:color="auto"/>
              <w:right w:val="single" w:sz="4" w:space="0" w:color="auto"/>
            </w:tcBorders>
            <w:shd w:val="clear" w:color="auto" w:fill="FFFFFF" w:themeFill="background1"/>
            <w:vAlign w:val="center"/>
          </w:tcPr>
          <w:p w14:paraId="4C2A98B5"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312F46"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EF49E7"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07CC595D"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CEC3D48" w14:textId="77777777" w:rsidR="00BA1338" w:rsidRPr="00545EC0" w:rsidRDefault="00BA1338" w:rsidP="004F2AF2">
            <w:pPr>
              <w:spacing w:line="240" w:lineRule="auto"/>
              <w:rPr>
                <w:rFonts w:cs="Arial"/>
                <w:sz w:val="18"/>
                <w:szCs w:val="18"/>
              </w:rPr>
            </w:pPr>
            <w:r w:rsidRPr="00545EC0">
              <w:rPr>
                <w:rFonts w:cs="Arial"/>
                <w:sz w:val="18"/>
                <w:szCs w:val="18"/>
              </w:rPr>
              <w:t>SI116VT5</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6DF7DF5A" w14:textId="77777777" w:rsidR="00BA1338" w:rsidRPr="00545EC0" w:rsidRDefault="00BA1338" w:rsidP="00BE42F5">
            <w:pPr>
              <w:spacing w:line="240" w:lineRule="auto"/>
              <w:jc w:val="left"/>
              <w:rPr>
                <w:rFonts w:cs="Arial"/>
                <w:sz w:val="18"/>
                <w:szCs w:val="18"/>
              </w:rPr>
            </w:pPr>
            <w:r w:rsidRPr="00545EC0">
              <w:rPr>
                <w:rFonts w:cs="Arial"/>
                <w:sz w:val="18"/>
                <w:szCs w:val="18"/>
              </w:rPr>
              <w:t>VT Kokra Jezersko - Preddvor</w:t>
            </w:r>
          </w:p>
        </w:tc>
        <w:tc>
          <w:tcPr>
            <w:tcW w:w="1599" w:type="pct"/>
            <w:tcBorders>
              <w:top w:val="nil"/>
              <w:left w:val="nil"/>
              <w:bottom w:val="single" w:sz="4" w:space="0" w:color="auto"/>
              <w:right w:val="nil"/>
            </w:tcBorders>
            <w:shd w:val="clear" w:color="auto" w:fill="FFFFFF" w:themeFill="background1"/>
            <w:noWrap/>
            <w:vAlign w:val="center"/>
            <w:hideMark/>
          </w:tcPr>
          <w:p w14:paraId="5940649F" w14:textId="77777777" w:rsidR="00BA1338" w:rsidRPr="00545EC0" w:rsidRDefault="00BA1338" w:rsidP="00BE42F5">
            <w:pPr>
              <w:spacing w:line="240" w:lineRule="auto"/>
              <w:jc w:val="left"/>
              <w:rPr>
                <w:rFonts w:cs="Arial"/>
                <w:sz w:val="18"/>
                <w:szCs w:val="18"/>
              </w:rPr>
            </w:pPr>
            <w:r w:rsidRPr="00545EC0">
              <w:rPr>
                <w:rFonts w:cs="Arial"/>
                <w:sz w:val="18"/>
                <w:szCs w:val="18"/>
              </w:rPr>
              <w:t>Jezernica</w:t>
            </w:r>
          </w:p>
        </w:tc>
        <w:tc>
          <w:tcPr>
            <w:tcW w:w="693" w:type="pct"/>
            <w:vMerge/>
            <w:tcBorders>
              <w:left w:val="single" w:sz="4" w:space="0" w:color="auto"/>
              <w:right w:val="single" w:sz="4" w:space="0" w:color="auto"/>
            </w:tcBorders>
            <w:shd w:val="clear" w:color="auto" w:fill="FFFFFF" w:themeFill="background1"/>
            <w:vAlign w:val="center"/>
          </w:tcPr>
          <w:p w14:paraId="16611B61"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641622" w14:textId="77777777" w:rsidR="00BA1338" w:rsidRPr="00545EC0" w:rsidRDefault="00BA1338" w:rsidP="004F2AF2">
            <w:pPr>
              <w:spacing w:line="240" w:lineRule="auto"/>
              <w:rPr>
                <w:rFonts w:cs="Arial"/>
                <w:sz w:val="18"/>
                <w:szCs w:val="18"/>
              </w:rPr>
            </w:pPr>
            <w:r w:rsidRPr="00545EC0">
              <w:rPr>
                <w:rFonts w:cs="Arial"/>
                <w:sz w:val="18"/>
                <w:szCs w:val="18"/>
              </w:rPr>
              <w:t>0</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B1CB2D"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55649AFC"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58CFA5C" w14:textId="77777777" w:rsidR="00BA1338" w:rsidRPr="00545EC0" w:rsidRDefault="00BA1338" w:rsidP="004F2AF2">
            <w:pPr>
              <w:spacing w:line="240" w:lineRule="auto"/>
              <w:rPr>
                <w:rFonts w:cs="Arial"/>
                <w:sz w:val="18"/>
                <w:szCs w:val="18"/>
              </w:rPr>
            </w:pPr>
            <w:r w:rsidRPr="00545EC0">
              <w:rPr>
                <w:rFonts w:cs="Arial"/>
                <w:sz w:val="18"/>
                <w:szCs w:val="18"/>
              </w:rPr>
              <w:t>SI122VT</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4C6D7064" w14:textId="77777777" w:rsidR="00BA1338" w:rsidRPr="00545EC0" w:rsidRDefault="00BA1338" w:rsidP="00BE42F5">
            <w:pPr>
              <w:spacing w:line="240" w:lineRule="auto"/>
              <w:jc w:val="left"/>
              <w:rPr>
                <w:rFonts w:cs="Arial"/>
                <w:sz w:val="18"/>
                <w:szCs w:val="18"/>
              </w:rPr>
            </w:pPr>
            <w:r w:rsidRPr="00545EC0">
              <w:rPr>
                <w:rFonts w:cs="Arial"/>
                <w:sz w:val="18"/>
                <w:szCs w:val="18"/>
              </w:rPr>
              <w:t>VT Selška Sora</w:t>
            </w:r>
          </w:p>
        </w:tc>
        <w:tc>
          <w:tcPr>
            <w:tcW w:w="1599" w:type="pct"/>
            <w:tcBorders>
              <w:top w:val="nil"/>
              <w:left w:val="nil"/>
              <w:bottom w:val="single" w:sz="4" w:space="0" w:color="auto"/>
              <w:right w:val="nil"/>
            </w:tcBorders>
            <w:shd w:val="clear" w:color="auto" w:fill="FFFFFF" w:themeFill="background1"/>
            <w:noWrap/>
            <w:vAlign w:val="center"/>
            <w:hideMark/>
          </w:tcPr>
          <w:p w14:paraId="1D7D856C" w14:textId="77777777" w:rsidR="00BA1338" w:rsidRPr="00545EC0" w:rsidRDefault="00BA1338" w:rsidP="00BE42F5">
            <w:pPr>
              <w:spacing w:line="240" w:lineRule="auto"/>
              <w:jc w:val="left"/>
              <w:rPr>
                <w:rFonts w:cs="Arial"/>
                <w:sz w:val="18"/>
                <w:szCs w:val="18"/>
              </w:rPr>
            </w:pPr>
            <w:r w:rsidRPr="00545EC0">
              <w:rPr>
                <w:rFonts w:cs="Arial"/>
                <w:sz w:val="18"/>
                <w:szCs w:val="18"/>
              </w:rPr>
              <w:t>Selška Sora</w:t>
            </w:r>
          </w:p>
        </w:tc>
        <w:tc>
          <w:tcPr>
            <w:tcW w:w="693" w:type="pct"/>
            <w:vMerge/>
            <w:tcBorders>
              <w:left w:val="single" w:sz="4" w:space="0" w:color="auto"/>
              <w:right w:val="single" w:sz="4" w:space="0" w:color="auto"/>
            </w:tcBorders>
            <w:shd w:val="clear" w:color="auto" w:fill="FFFFFF" w:themeFill="background1"/>
            <w:vAlign w:val="center"/>
          </w:tcPr>
          <w:p w14:paraId="73743295"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C580BB"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E8507C"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1ECCF131"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F9A8BA5" w14:textId="77777777" w:rsidR="00BA1338" w:rsidRPr="00545EC0" w:rsidRDefault="00BA1338" w:rsidP="004F2AF2">
            <w:pPr>
              <w:spacing w:line="240" w:lineRule="auto"/>
              <w:rPr>
                <w:rFonts w:cs="Arial"/>
                <w:sz w:val="18"/>
                <w:szCs w:val="18"/>
              </w:rPr>
            </w:pPr>
            <w:r w:rsidRPr="00545EC0">
              <w:rPr>
                <w:rFonts w:cs="Arial"/>
                <w:sz w:val="18"/>
                <w:szCs w:val="18"/>
              </w:rPr>
              <w:t>SI1VT137</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36EBE11B" w14:textId="77777777" w:rsidR="00BA1338" w:rsidRPr="00545EC0" w:rsidRDefault="00BA1338" w:rsidP="00BE42F5">
            <w:pPr>
              <w:spacing w:line="240" w:lineRule="auto"/>
              <w:jc w:val="left"/>
              <w:rPr>
                <w:rFonts w:cs="Arial"/>
                <w:sz w:val="18"/>
                <w:szCs w:val="18"/>
              </w:rPr>
            </w:pPr>
            <w:r w:rsidRPr="00545EC0">
              <w:rPr>
                <w:rFonts w:cs="Arial"/>
                <w:sz w:val="18"/>
                <w:szCs w:val="18"/>
              </w:rPr>
              <w:t>VT Sava HE Moste - Podbrezje</w:t>
            </w:r>
          </w:p>
        </w:tc>
        <w:tc>
          <w:tcPr>
            <w:tcW w:w="1599" w:type="pct"/>
            <w:tcBorders>
              <w:top w:val="nil"/>
              <w:left w:val="nil"/>
              <w:bottom w:val="single" w:sz="4" w:space="0" w:color="auto"/>
              <w:right w:val="nil"/>
            </w:tcBorders>
            <w:shd w:val="clear" w:color="auto" w:fill="FFFFFF" w:themeFill="background1"/>
            <w:noWrap/>
            <w:vAlign w:val="center"/>
            <w:hideMark/>
          </w:tcPr>
          <w:p w14:paraId="12278A13" w14:textId="77777777" w:rsidR="00BA1338" w:rsidRPr="00545EC0" w:rsidRDefault="00BA1338" w:rsidP="00BE42F5">
            <w:pPr>
              <w:spacing w:line="240" w:lineRule="auto"/>
              <w:jc w:val="left"/>
              <w:rPr>
                <w:rFonts w:cs="Arial"/>
                <w:sz w:val="18"/>
                <w:szCs w:val="18"/>
              </w:rPr>
            </w:pPr>
            <w:r w:rsidRPr="00545EC0">
              <w:rPr>
                <w:rFonts w:cs="Arial"/>
                <w:sz w:val="18"/>
                <w:szCs w:val="18"/>
              </w:rPr>
              <w:t>Završnica</w:t>
            </w:r>
          </w:p>
        </w:tc>
        <w:tc>
          <w:tcPr>
            <w:tcW w:w="693" w:type="pct"/>
            <w:vMerge/>
            <w:tcBorders>
              <w:left w:val="single" w:sz="4" w:space="0" w:color="auto"/>
              <w:right w:val="single" w:sz="4" w:space="0" w:color="auto"/>
            </w:tcBorders>
            <w:shd w:val="clear" w:color="auto" w:fill="FFFFFF" w:themeFill="background1"/>
            <w:vAlign w:val="center"/>
          </w:tcPr>
          <w:p w14:paraId="11E8B666"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AA2313" w14:textId="77777777" w:rsidR="00BA1338" w:rsidRPr="00545EC0" w:rsidRDefault="00BA1338" w:rsidP="004F2AF2">
            <w:pPr>
              <w:spacing w:line="240" w:lineRule="auto"/>
              <w:rPr>
                <w:rFonts w:cs="Arial"/>
                <w:sz w:val="18"/>
                <w:szCs w:val="18"/>
              </w:rPr>
            </w:pPr>
            <w:r w:rsidRPr="00545EC0">
              <w:rPr>
                <w:rFonts w:cs="Arial"/>
                <w:sz w:val="18"/>
                <w:szCs w:val="18"/>
              </w:rPr>
              <w:t>0</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105656"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55A71747"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74DB75F" w14:textId="77777777" w:rsidR="00BA1338" w:rsidRPr="00545EC0" w:rsidRDefault="00BA1338" w:rsidP="004F2AF2">
            <w:pPr>
              <w:spacing w:line="240" w:lineRule="auto"/>
              <w:rPr>
                <w:rFonts w:cs="Arial"/>
                <w:sz w:val="18"/>
                <w:szCs w:val="18"/>
              </w:rPr>
            </w:pPr>
            <w:r w:rsidRPr="00545EC0">
              <w:rPr>
                <w:rFonts w:cs="Arial"/>
                <w:sz w:val="18"/>
                <w:szCs w:val="18"/>
              </w:rPr>
              <w:t>SI1VT170</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3B8097CC" w14:textId="77777777" w:rsidR="00BA1338" w:rsidRPr="00545EC0" w:rsidRDefault="00BA1338" w:rsidP="00BE42F5">
            <w:pPr>
              <w:spacing w:line="240" w:lineRule="auto"/>
              <w:jc w:val="left"/>
              <w:rPr>
                <w:rFonts w:cs="Arial"/>
                <w:sz w:val="18"/>
                <w:szCs w:val="18"/>
              </w:rPr>
            </w:pPr>
            <w:r w:rsidRPr="00545EC0">
              <w:rPr>
                <w:rFonts w:cs="Arial"/>
                <w:sz w:val="18"/>
                <w:szCs w:val="18"/>
              </w:rPr>
              <w:t>MPVT Sava Mavčiče - Medvode</w:t>
            </w:r>
          </w:p>
        </w:tc>
        <w:tc>
          <w:tcPr>
            <w:tcW w:w="1599" w:type="pct"/>
            <w:tcBorders>
              <w:top w:val="nil"/>
              <w:left w:val="nil"/>
              <w:bottom w:val="single" w:sz="4" w:space="0" w:color="auto"/>
              <w:right w:val="nil"/>
            </w:tcBorders>
            <w:shd w:val="clear" w:color="auto" w:fill="FFFFFF" w:themeFill="background1"/>
            <w:noWrap/>
            <w:vAlign w:val="center"/>
            <w:hideMark/>
          </w:tcPr>
          <w:p w14:paraId="4F4C303F" w14:textId="77777777" w:rsidR="00BA1338" w:rsidRPr="00545EC0" w:rsidRDefault="00BA1338" w:rsidP="00BE42F5">
            <w:pPr>
              <w:spacing w:line="240" w:lineRule="auto"/>
              <w:jc w:val="left"/>
              <w:rPr>
                <w:rFonts w:cs="Arial"/>
                <w:sz w:val="18"/>
                <w:szCs w:val="18"/>
              </w:rPr>
            </w:pPr>
            <w:r w:rsidRPr="00545EC0">
              <w:rPr>
                <w:rFonts w:cs="Arial"/>
                <w:sz w:val="18"/>
                <w:szCs w:val="18"/>
              </w:rPr>
              <w:t>Sava</w:t>
            </w:r>
          </w:p>
        </w:tc>
        <w:tc>
          <w:tcPr>
            <w:tcW w:w="693" w:type="pct"/>
            <w:vMerge/>
            <w:tcBorders>
              <w:left w:val="single" w:sz="4" w:space="0" w:color="auto"/>
              <w:bottom w:val="single" w:sz="4" w:space="0" w:color="auto"/>
              <w:right w:val="single" w:sz="4" w:space="0" w:color="auto"/>
            </w:tcBorders>
            <w:shd w:val="clear" w:color="auto" w:fill="FFFFFF" w:themeFill="background1"/>
            <w:vAlign w:val="center"/>
          </w:tcPr>
          <w:p w14:paraId="38E3B123"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0F53CD"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0E88E8"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170CEE58"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634E752" w14:textId="77777777" w:rsidR="00BA1338" w:rsidRPr="00545EC0" w:rsidRDefault="00BA1338" w:rsidP="004F2AF2">
            <w:pPr>
              <w:spacing w:line="240" w:lineRule="auto"/>
              <w:rPr>
                <w:rFonts w:cs="Arial"/>
                <w:sz w:val="18"/>
                <w:szCs w:val="18"/>
              </w:rPr>
            </w:pPr>
            <w:r w:rsidRPr="00545EC0">
              <w:rPr>
                <w:rFonts w:cs="Arial"/>
                <w:sz w:val="18"/>
                <w:szCs w:val="18"/>
              </w:rPr>
              <w:t>SI1324VT</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369AF72D" w14:textId="77777777" w:rsidR="00BA1338" w:rsidRPr="00545EC0" w:rsidRDefault="00BA1338" w:rsidP="00BE42F5">
            <w:pPr>
              <w:spacing w:line="240" w:lineRule="auto"/>
              <w:jc w:val="left"/>
              <w:rPr>
                <w:rFonts w:cs="Arial"/>
                <w:sz w:val="18"/>
                <w:szCs w:val="18"/>
              </w:rPr>
            </w:pPr>
            <w:r w:rsidRPr="00545EC0">
              <w:rPr>
                <w:rFonts w:cs="Arial"/>
                <w:sz w:val="18"/>
                <w:szCs w:val="18"/>
              </w:rPr>
              <w:t>VT Rača z Radomljo</w:t>
            </w:r>
          </w:p>
        </w:tc>
        <w:tc>
          <w:tcPr>
            <w:tcW w:w="1599" w:type="pct"/>
            <w:tcBorders>
              <w:top w:val="nil"/>
              <w:left w:val="nil"/>
              <w:bottom w:val="single" w:sz="4" w:space="0" w:color="auto"/>
              <w:right w:val="nil"/>
            </w:tcBorders>
            <w:shd w:val="clear" w:color="auto" w:fill="FFFFFF" w:themeFill="background1"/>
            <w:noWrap/>
            <w:vAlign w:val="center"/>
            <w:hideMark/>
          </w:tcPr>
          <w:p w14:paraId="720950A3" w14:textId="77777777" w:rsidR="00BA1338" w:rsidRPr="00545EC0" w:rsidRDefault="00BA1338" w:rsidP="00BE42F5">
            <w:pPr>
              <w:spacing w:line="240" w:lineRule="auto"/>
              <w:jc w:val="left"/>
              <w:rPr>
                <w:rFonts w:cs="Arial"/>
                <w:sz w:val="18"/>
                <w:szCs w:val="18"/>
              </w:rPr>
            </w:pPr>
            <w:r w:rsidRPr="00545EC0">
              <w:rPr>
                <w:rFonts w:cs="Arial"/>
                <w:sz w:val="18"/>
                <w:szCs w:val="18"/>
              </w:rPr>
              <w:t>Radomlja, Rača, Drtijščica</w:t>
            </w:r>
          </w:p>
        </w:tc>
        <w:tc>
          <w:tcPr>
            <w:tcW w:w="693" w:type="pct"/>
            <w:vMerge w:val="restart"/>
            <w:tcBorders>
              <w:top w:val="single" w:sz="4" w:space="0" w:color="auto"/>
              <w:left w:val="single" w:sz="4" w:space="0" w:color="auto"/>
              <w:right w:val="single" w:sz="4" w:space="0" w:color="auto"/>
            </w:tcBorders>
            <w:shd w:val="clear" w:color="auto" w:fill="FFFFFF" w:themeFill="background1"/>
            <w:vAlign w:val="center"/>
          </w:tcPr>
          <w:p w14:paraId="6A676E81" w14:textId="77777777" w:rsidR="00BA1338" w:rsidRPr="00545EC0" w:rsidRDefault="00BA1338" w:rsidP="004F2AF2">
            <w:pPr>
              <w:spacing w:line="240" w:lineRule="auto"/>
              <w:rPr>
                <w:rFonts w:cs="Arial"/>
                <w:sz w:val="18"/>
                <w:szCs w:val="18"/>
              </w:rPr>
            </w:pPr>
            <w:r w:rsidRPr="00545EC0">
              <w:rPr>
                <w:rFonts w:cs="Arial"/>
                <w:sz w:val="18"/>
                <w:szCs w:val="18"/>
              </w:rPr>
              <w:t>Srednja Sava</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073D48"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C6B4A5"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20D565C6"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620559F" w14:textId="77777777" w:rsidR="00BA1338" w:rsidRPr="00545EC0" w:rsidRDefault="00BA1338" w:rsidP="004F2AF2">
            <w:pPr>
              <w:spacing w:line="240" w:lineRule="auto"/>
              <w:rPr>
                <w:rFonts w:cs="Arial"/>
                <w:sz w:val="18"/>
                <w:szCs w:val="18"/>
              </w:rPr>
            </w:pPr>
            <w:r w:rsidRPr="00545EC0">
              <w:rPr>
                <w:rFonts w:cs="Arial"/>
                <w:sz w:val="18"/>
                <w:szCs w:val="18"/>
              </w:rPr>
              <w:t>SI1326VT</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0181A2B0" w14:textId="77777777" w:rsidR="00BA1338" w:rsidRPr="00545EC0" w:rsidRDefault="00BA1338" w:rsidP="00BE42F5">
            <w:pPr>
              <w:spacing w:line="240" w:lineRule="auto"/>
              <w:jc w:val="left"/>
              <w:rPr>
                <w:rFonts w:cs="Arial"/>
                <w:sz w:val="18"/>
                <w:szCs w:val="18"/>
              </w:rPr>
            </w:pPr>
            <w:r w:rsidRPr="00545EC0">
              <w:rPr>
                <w:rFonts w:cs="Arial"/>
                <w:sz w:val="18"/>
                <w:szCs w:val="18"/>
              </w:rPr>
              <w:t>VT Pšata</w:t>
            </w:r>
          </w:p>
        </w:tc>
        <w:tc>
          <w:tcPr>
            <w:tcW w:w="1599" w:type="pct"/>
            <w:tcBorders>
              <w:top w:val="nil"/>
              <w:left w:val="nil"/>
              <w:bottom w:val="single" w:sz="4" w:space="0" w:color="auto"/>
              <w:right w:val="nil"/>
            </w:tcBorders>
            <w:shd w:val="clear" w:color="auto" w:fill="FFFFFF" w:themeFill="background1"/>
            <w:noWrap/>
            <w:vAlign w:val="center"/>
            <w:hideMark/>
          </w:tcPr>
          <w:p w14:paraId="654AD8F5" w14:textId="77777777" w:rsidR="00BA1338" w:rsidRPr="00545EC0" w:rsidRDefault="00BA1338" w:rsidP="00BE42F5">
            <w:pPr>
              <w:spacing w:line="240" w:lineRule="auto"/>
              <w:jc w:val="left"/>
              <w:rPr>
                <w:rFonts w:cs="Arial"/>
                <w:sz w:val="18"/>
                <w:szCs w:val="18"/>
              </w:rPr>
            </w:pPr>
            <w:r w:rsidRPr="00545EC0">
              <w:rPr>
                <w:rFonts w:cs="Arial"/>
                <w:sz w:val="18"/>
                <w:szCs w:val="18"/>
              </w:rPr>
              <w:t>Pšata, Reka</w:t>
            </w:r>
          </w:p>
        </w:tc>
        <w:tc>
          <w:tcPr>
            <w:tcW w:w="693" w:type="pct"/>
            <w:vMerge/>
            <w:tcBorders>
              <w:left w:val="single" w:sz="4" w:space="0" w:color="auto"/>
              <w:right w:val="single" w:sz="4" w:space="0" w:color="auto"/>
            </w:tcBorders>
            <w:shd w:val="clear" w:color="auto" w:fill="FFFFFF" w:themeFill="background1"/>
            <w:vAlign w:val="center"/>
          </w:tcPr>
          <w:p w14:paraId="0372107E"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EF566A"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D2F386"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3841AF27"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5AE2DC7" w14:textId="77777777" w:rsidR="00BA1338" w:rsidRPr="00545EC0" w:rsidRDefault="00BA1338" w:rsidP="004F2AF2">
            <w:pPr>
              <w:spacing w:line="240" w:lineRule="auto"/>
              <w:rPr>
                <w:rFonts w:cs="Arial"/>
                <w:sz w:val="18"/>
                <w:szCs w:val="18"/>
              </w:rPr>
            </w:pPr>
            <w:r w:rsidRPr="00545EC0">
              <w:rPr>
                <w:rFonts w:cs="Arial"/>
                <w:sz w:val="18"/>
                <w:szCs w:val="18"/>
              </w:rPr>
              <w:t>SI132VT1</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761F04C1" w14:textId="77777777" w:rsidR="00BA1338" w:rsidRPr="00545EC0" w:rsidRDefault="00BA1338" w:rsidP="00BE42F5">
            <w:pPr>
              <w:spacing w:line="240" w:lineRule="auto"/>
              <w:jc w:val="left"/>
              <w:rPr>
                <w:rFonts w:cs="Arial"/>
                <w:sz w:val="18"/>
                <w:szCs w:val="18"/>
              </w:rPr>
            </w:pPr>
            <w:r w:rsidRPr="00545EC0">
              <w:rPr>
                <w:rFonts w:cs="Arial"/>
                <w:sz w:val="18"/>
                <w:szCs w:val="18"/>
              </w:rPr>
              <w:t>VT Kamniška Bistrica povirje - Stahovica</w:t>
            </w:r>
          </w:p>
        </w:tc>
        <w:tc>
          <w:tcPr>
            <w:tcW w:w="1599" w:type="pct"/>
            <w:tcBorders>
              <w:top w:val="nil"/>
              <w:left w:val="nil"/>
              <w:bottom w:val="single" w:sz="4" w:space="0" w:color="auto"/>
              <w:right w:val="nil"/>
            </w:tcBorders>
            <w:shd w:val="clear" w:color="auto" w:fill="FFFFFF" w:themeFill="background1"/>
            <w:noWrap/>
            <w:vAlign w:val="center"/>
            <w:hideMark/>
          </w:tcPr>
          <w:p w14:paraId="1F065BAC" w14:textId="77777777" w:rsidR="00BA1338" w:rsidRPr="00545EC0" w:rsidRDefault="00BA1338" w:rsidP="00BE42F5">
            <w:pPr>
              <w:spacing w:line="240" w:lineRule="auto"/>
              <w:jc w:val="left"/>
              <w:rPr>
                <w:rFonts w:cs="Arial"/>
                <w:sz w:val="18"/>
                <w:szCs w:val="18"/>
              </w:rPr>
            </w:pPr>
            <w:r w:rsidRPr="00545EC0">
              <w:rPr>
                <w:rFonts w:cs="Arial"/>
                <w:sz w:val="18"/>
                <w:szCs w:val="18"/>
              </w:rPr>
              <w:t>Kamniška Bistrica</w:t>
            </w:r>
          </w:p>
        </w:tc>
        <w:tc>
          <w:tcPr>
            <w:tcW w:w="693" w:type="pct"/>
            <w:vMerge/>
            <w:tcBorders>
              <w:left w:val="single" w:sz="4" w:space="0" w:color="auto"/>
              <w:right w:val="single" w:sz="4" w:space="0" w:color="auto"/>
            </w:tcBorders>
            <w:shd w:val="clear" w:color="auto" w:fill="FFFFFF" w:themeFill="background1"/>
            <w:vAlign w:val="center"/>
          </w:tcPr>
          <w:p w14:paraId="51F79D31"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563420"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1A6280" w14:textId="77777777" w:rsidR="00BA1338" w:rsidRPr="00545EC0" w:rsidRDefault="00BA1338" w:rsidP="004F2AF2">
            <w:pPr>
              <w:spacing w:line="240" w:lineRule="auto"/>
              <w:rPr>
                <w:rFonts w:cs="Arial"/>
                <w:sz w:val="18"/>
                <w:szCs w:val="18"/>
              </w:rPr>
            </w:pPr>
          </w:p>
        </w:tc>
      </w:tr>
      <w:tr w:rsidR="003122F4" w:rsidRPr="00545EC0" w14:paraId="79B04099"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AE93F2A" w14:textId="77777777" w:rsidR="00BA1338" w:rsidRPr="00545EC0" w:rsidRDefault="00BA1338" w:rsidP="004F2AF2">
            <w:pPr>
              <w:spacing w:line="240" w:lineRule="auto"/>
              <w:rPr>
                <w:rFonts w:cs="Arial"/>
                <w:sz w:val="18"/>
                <w:szCs w:val="18"/>
              </w:rPr>
            </w:pPr>
            <w:r w:rsidRPr="00545EC0">
              <w:rPr>
                <w:rFonts w:cs="Arial"/>
                <w:sz w:val="18"/>
                <w:szCs w:val="18"/>
              </w:rPr>
              <w:t>SI132VT5</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7128F97C" w14:textId="77777777" w:rsidR="00BA1338" w:rsidRPr="00545EC0" w:rsidRDefault="00BA1338" w:rsidP="00BE42F5">
            <w:pPr>
              <w:spacing w:line="240" w:lineRule="auto"/>
              <w:jc w:val="left"/>
              <w:rPr>
                <w:rFonts w:cs="Arial"/>
                <w:sz w:val="18"/>
                <w:szCs w:val="18"/>
              </w:rPr>
            </w:pPr>
            <w:r w:rsidRPr="00545EC0">
              <w:rPr>
                <w:rFonts w:cs="Arial"/>
                <w:sz w:val="18"/>
                <w:szCs w:val="18"/>
              </w:rPr>
              <w:t>VT Kamniška Bistrica Stahovica - Študa</w:t>
            </w:r>
          </w:p>
        </w:tc>
        <w:tc>
          <w:tcPr>
            <w:tcW w:w="1599" w:type="pct"/>
            <w:tcBorders>
              <w:top w:val="nil"/>
              <w:left w:val="nil"/>
              <w:bottom w:val="single" w:sz="4" w:space="0" w:color="auto"/>
              <w:right w:val="nil"/>
            </w:tcBorders>
            <w:shd w:val="clear" w:color="auto" w:fill="FFFFFF" w:themeFill="background1"/>
            <w:noWrap/>
            <w:vAlign w:val="center"/>
            <w:hideMark/>
          </w:tcPr>
          <w:p w14:paraId="4BF7F1F9" w14:textId="77777777" w:rsidR="00BA1338" w:rsidRPr="00545EC0" w:rsidRDefault="00BA1338" w:rsidP="00BE42F5">
            <w:pPr>
              <w:spacing w:line="240" w:lineRule="auto"/>
              <w:jc w:val="left"/>
              <w:rPr>
                <w:rFonts w:cs="Arial"/>
                <w:sz w:val="18"/>
                <w:szCs w:val="18"/>
              </w:rPr>
            </w:pPr>
            <w:r w:rsidRPr="00545EC0">
              <w:rPr>
                <w:rFonts w:cs="Arial"/>
                <w:sz w:val="18"/>
                <w:szCs w:val="18"/>
              </w:rPr>
              <w:t>Kamniška Bistrica</w:t>
            </w:r>
          </w:p>
        </w:tc>
        <w:tc>
          <w:tcPr>
            <w:tcW w:w="693" w:type="pct"/>
            <w:vMerge/>
            <w:tcBorders>
              <w:left w:val="single" w:sz="4" w:space="0" w:color="auto"/>
              <w:right w:val="single" w:sz="4" w:space="0" w:color="auto"/>
            </w:tcBorders>
            <w:shd w:val="clear" w:color="auto" w:fill="FFFFFF" w:themeFill="background1"/>
            <w:vAlign w:val="center"/>
          </w:tcPr>
          <w:p w14:paraId="020AB4E7"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CAB46B"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78570C"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2C27B393"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9AB143B" w14:textId="77777777" w:rsidR="00BA1338" w:rsidRPr="00545EC0" w:rsidRDefault="00BA1338" w:rsidP="004F2AF2">
            <w:pPr>
              <w:spacing w:line="240" w:lineRule="auto"/>
              <w:rPr>
                <w:rFonts w:cs="Arial"/>
                <w:sz w:val="18"/>
                <w:szCs w:val="18"/>
              </w:rPr>
            </w:pPr>
            <w:r w:rsidRPr="00545EC0">
              <w:rPr>
                <w:rFonts w:cs="Arial"/>
                <w:sz w:val="18"/>
                <w:szCs w:val="18"/>
              </w:rPr>
              <w:t>SI132VT7</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333415CB" w14:textId="77777777" w:rsidR="00BA1338" w:rsidRPr="00545EC0" w:rsidRDefault="00BA1338" w:rsidP="00BE42F5">
            <w:pPr>
              <w:spacing w:line="240" w:lineRule="auto"/>
              <w:jc w:val="left"/>
              <w:rPr>
                <w:rFonts w:cs="Arial"/>
                <w:sz w:val="18"/>
                <w:szCs w:val="18"/>
              </w:rPr>
            </w:pPr>
            <w:r w:rsidRPr="00545EC0">
              <w:rPr>
                <w:rFonts w:cs="Arial"/>
                <w:sz w:val="18"/>
                <w:szCs w:val="18"/>
              </w:rPr>
              <w:t>VT Kamniška Bistrica Študa - Dol</w:t>
            </w:r>
          </w:p>
        </w:tc>
        <w:tc>
          <w:tcPr>
            <w:tcW w:w="1599" w:type="pct"/>
            <w:tcBorders>
              <w:top w:val="nil"/>
              <w:left w:val="nil"/>
              <w:bottom w:val="single" w:sz="4" w:space="0" w:color="auto"/>
              <w:right w:val="nil"/>
            </w:tcBorders>
            <w:shd w:val="clear" w:color="auto" w:fill="FFFFFF" w:themeFill="background1"/>
            <w:noWrap/>
            <w:vAlign w:val="center"/>
            <w:hideMark/>
          </w:tcPr>
          <w:p w14:paraId="7034D80C" w14:textId="77777777" w:rsidR="00BA1338" w:rsidRPr="00545EC0" w:rsidRDefault="00BA1338" w:rsidP="00BE42F5">
            <w:pPr>
              <w:spacing w:line="240" w:lineRule="auto"/>
              <w:jc w:val="left"/>
              <w:rPr>
                <w:rFonts w:cs="Arial"/>
                <w:sz w:val="18"/>
                <w:szCs w:val="18"/>
              </w:rPr>
            </w:pPr>
            <w:r w:rsidRPr="00545EC0">
              <w:rPr>
                <w:rFonts w:cs="Arial"/>
                <w:sz w:val="18"/>
                <w:szCs w:val="18"/>
              </w:rPr>
              <w:t>Kamniška Bistrica</w:t>
            </w:r>
          </w:p>
        </w:tc>
        <w:tc>
          <w:tcPr>
            <w:tcW w:w="693" w:type="pct"/>
            <w:vMerge/>
            <w:tcBorders>
              <w:left w:val="single" w:sz="4" w:space="0" w:color="auto"/>
              <w:right w:val="single" w:sz="4" w:space="0" w:color="auto"/>
            </w:tcBorders>
            <w:shd w:val="clear" w:color="auto" w:fill="FFFFFF" w:themeFill="background1"/>
            <w:vAlign w:val="center"/>
          </w:tcPr>
          <w:p w14:paraId="36513341"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2817DB"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282531"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094CA091"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A20E21A" w14:textId="77777777" w:rsidR="00BA1338" w:rsidRPr="00545EC0" w:rsidRDefault="00BA1338" w:rsidP="004F2AF2">
            <w:pPr>
              <w:spacing w:line="240" w:lineRule="auto"/>
              <w:rPr>
                <w:rFonts w:cs="Arial"/>
                <w:sz w:val="18"/>
                <w:szCs w:val="18"/>
              </w:rPr>
            </w:pPr>
            <w:r w:rsidRPr="00545EC0">
              <w:rPr>
                <w:rFonts w:cs="Arial"/>
                <w:sz w:val="18"/>
                <w:szCs w:val="18"/>
              </w:rPr>
              <w:t>SI14102VT</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2A8EAECD" w14:textId="77777777" w:rsidR="00BA1338" w:rsidRPr="00545EC0" w:rsidRDefault="00BA1338" w:rsidP="00BE42F5">
            <w:pPr>
              <w:spacing w:line="240" w:lineRule="auto"/>
              <w:jc w:val="left"/>
              <w:rPr>
                <w:rFonts w:cs="Arial"/>
                <w:sz w:val="18"/>
                <w:szCs w:val="18"/>
              </w:rPr>
            </w:pPr>
            <w:r w:rsidRPr="00545EC0">
              <w:rPr>
                <w:rFonts w:cs="Arial"/>
                <w:sz w:val="18"/>
                <w:szCs w:val="18"/>
              </w:rPr>
              <w:t>VT Cerkniščica</w:t>
            </w:r>
          </w:p>
        </w:tc>
        <w:tc>
          <w:tcPr>
            <w:tcW w:w="1599" w:type="pct"/>
            <w:tcBorders>
              <w:top w:val="nil"/>
              <w:left w:val="nil"/>
              <w:bottom w:val="single" w:sz="4" w:space="0" w:color="auto"/>
              <w:right w:val="nil"/>
            </w:tcBorders>
            <w:shd w:val="clear" w:color="auto" w:fill="FFFFFF" w:themeFill="background1"/>
            <w:noWrap/>
            <w:vAlign w:val="center"/>
            <w:hideMark/>
          </w:tcPr>
          <w:p w14:paraId="3ED4C085" w14:textId="77777777" w:rsidR="00BA1338" w:rsidRPr="00545EC0" w:rsidRDefault="00BA1338" w:rsidP="00BE42F5">
            <w:pPr>
              <w:spacing w:line="240" w:lineRule="auto"/>
              <w:jc w:val="left"/>
              <w:rPr>
                <w:rFonts w:cs="Arial"/>
                <w:sz w:val="18"/>
                <w:szCs w:val="18"/>
              </w:rPr>
            </w:pPr>
            <w:r w:rsidRPr="00545EC0">
              <w:rPr>
                <w:rFonts w:cs="Arial"/>
                <w:sz w:val="18"/>
                <w:szCs w:val="18"/>
              </w:rPr>
              <w:t>Cerkniščica</w:t>
            </w:r>
          </w:p>
        </w:tc>
        <w:tc>
          <w:tcPr>
            <w:tcW w:w="693" w:type="pct"/>
            <w:vMerge/>
            <w:tcBorders>
              <w:left w:val="single" w:sz="4" w:space="0" w:color="auto"/>
              <w:right w:val="single" w:sz="4" w:space="0" w:color="auto"/>
            </w:tcBorders>
            <w:shd w:val="clear" w:color="auto" w:fill="FFFFFF" w:themeFill="background1"/>
            <w:vAlign w:val="center"/>
          </w:tcPr>
          <w:p w14:paraId="02EA8430"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DDDF0E"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FC31014"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38EE6063"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BB89139" w14:textId="77777777" w:rsidR="00BA1338" w:rsidRPr="00545EC0" w:rsidRDefault="00BA1338" w:rsidP="004F2AF2">
            <w:pPr>
              <w:spacing w:line="240" w:lineRule="auto"/>
              <w:rPr>
                <w:rFonts w:cs="Arial"/>
                <w:sz w:val="18"/>
                <w:szCs w:val="18"/>
              </w:rPr>
            </w:pPr>
            <w:r w:rsidRPr="00545EC0">
              <w:rPr>
                <w:rFonts w:cs="Arial"/>
                <w:sz w:val="18"/>
                <w:szCs w:val="18"/>
              </w:rPr>
              <w:t>SI146VT</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52A81A89" w14:textId="77777777" w:rsidR="00BA1338" w:rsidRPr="00545EC0" w:rsidRDefault="00BA1338" w:rsidP="00BE42F5">
            <w:pPr>
              <w:spacing w:line="240" w:lineRule="auto"/>
              <w:jc w:val="left"/>
              <w:rPr>
                <w:rFonts w:cs="Arial"/>
                <w:sz w:val="18"/>
                <w:szCs w:val="18"/>
              </w:rPr>
            </w:pPr>
            <w:r w:rsidRPr="00545EC0">
              <w:rPr>
                <w:rFonts w:cs="Arial"/>
                <w:sz w:val="18"/>
                <w:szCs w:val="18"/>
              </w:rPr>
              <w:t>VT Logaščica</w:t>
            </w:r>
          </w:p>
        </w:tc>
        <w:tc>
          <w:tcPr>
            <w:tcW w:w="1599" w:type="pct"/>
            <w:tcBorders>
              <w:top w:val="nil"/>
              <w:left w:val="nil"/>
              <w:bottom w:val="single" w:sz="4" w:space="0" w:color="auto"/>
              <w:right w:val="nil"/>
            </w:tcBorders>
            <w:shd w:val="clear" w:color="auto" w:fill="FFFFFF" w:themeFill="background1"/>
            <w:noWrap/>
            <w:vAlign w:val="center"/>
            <w:hideMark/>
          </w:tcPr>
          <w:p w14:paraId="160EEA04" w14:textId="77777777" w:rsidR="00BA1338" w:rsidRPr="00545EC0" w:rsidRDefault="00BA1338" w:rsidP="00BE42F5">
            <w:pPr>
              <w:spacing w:line="240" w:lineRule="auto"/>
              <w:jc w:val="left"/>
              <w:rPr>
                <w:rFonts w:cs="Arial"/>
                <w:sz w:val="18"/>
                <w:szCs w:val="18"/>
              </w:rPr>
            </w:pPr>
            <w:r w:rsidRPr="00545EC0">
              <w:rPr>
                <w:rFonts w:cs="Arial"/>
                <w:sz w:val="18"/>
                <w:szCs w:val="18"/>
              </w:rPr>
              <w:t>Logaščica</w:t>
            </w:r>
          </w:p>
        </w:tc>
        <w:tc>
          <w:tcPr>
            <w:tcW w:w="693" w:type="pct"/>
            <w:vMerge/>
            <w:tcBorders>
              <w:left w:val="single" w:sz="4" w:space="0" w:color="auto"/>
              <w:right w:val="single" w:sz="4" w:space="0" w:color="auto"/>
            </w:tcBorders>
            <w:shd w:val="clear" w:color="auto" w:fill="FFFFFF" w:themeFill="background1"/>
            <w:vAlign w:val="center"/>
          </w:tcPr>
          <w:p w14:paraId="553452AD"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548BAA"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D7EEA46"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1D5AF6C3"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BF49174" w14:textId="77777777" w:rsidR="00BA1338" w:rsidRPr="00545EC0" w:rsidRDefault="00BA1338" w:rsidP="004F2AF2">
            <w:pPr>
              <w:spacing w:line="240" w:lineRule="auto"/>
              <w:rPr>
                <w:rFonts w:cs="Arial"/>
                <w:sz w:val="18"/>
                <w:szCs w:val="18"/>
              </w:rPr>
            </w:pPr>
            <w:r w:rsidRPr="00545EC0">
              <w:rPr>
                <w:rFonts w:cs="Arial"/>
                <w:sz w:val="18"/>
                <w:szCs w:val="18"/>
              </w:rPr>
              <w:t>SI1476VT</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607CE0A9" w14:textId="77777777" w:rsidR="00BA1338" w:rsidRPr="00545EC0" w:rsidRDefault="00BA1338" w:rsidP="00BE42F5">
            <w:pPr>
              <w:spacing w:line="240" w:lineRule="auto"/>
              <w:jc w:val="left"/>
              <w:rPr>
                <w:rFonts w:cs="Arial"/>
                <w:sz w:val="18"/>
                <w:szCs w:val="18"/>
              </w:rPr>
            </w:pPr>
            <w:r w:rsidRPr="00545EC0">
              <w:rPr>
                <w:rFonts w:cs="Arial"/>
                <w:sz w:val="18"/>
                <w:szCs w:val="18"/>
              </w:rPr>
              <w:t>VT Iščica</w:t>
            </w:r>
          </w:p>
        </w:tc>
        <w:tc>
          <w:tcPr>
            <w:tcW w:w="1599" w:type="pct"/>
            <w:tcBorders>
              <w:top w:val="nil"/>
              <w:left w:val="nil"/>
              <w:bottom w:val="single" w:sz="4" w:space="0" w:color="auto"/>
              <w:right w:val="nil"/>
            </w:tcBorders>
            <w:shd w:val="clear" w:color="auto" w:fill="FFFFFF" w:themeFill="background1"/>
            <w:noWrap/>
            <w:vAlign w:val="center"/>
            <w:hideMark/>
          </w:tcPr>
          <w:p w14:paraId="31C3A536" w14:textId="77777777" w:rsidR="00BA1338" w:rsidRPr="00545EC0" w:rsidRDefault="00BA1338" w:rsidP="00BE42F5">
            <w:pPr>
              <w:spacing w:line="240" w:lineRule="auto"/>
              <w:jc w:val="left"/>
              <w:rPr>
                <w:rFonts w:cs="Arial"/>
                <w:sz w:val="18"/>
                <w:szCs w:val="18"/>
              </w:rPr>
            </w:pPr>
            <w:r w:rsidRPr="00545EC0">
              <w:rPr>
                <w:rFonts w:cs="Arial"/>
                <w:sz w:val="18"/>
                <w:szCs w:val="18"/>
              </w:rPr>
              <w:t>Želimeljščica</w:t>
            </w:r>
          </w:p>
        </w:tc>
        <w:tc>
          <w:tcPr>
            <w:tcW w:w="693" w:type="pct"/>
            <w:vMerge/>
            <w:tcBorders>
              <w:left w:val="single" w:sz="4" w:space="0" w:color="auto"/>
              <w:right w:val="single" w:sz="4" w:space="0" w:color="auto"/>
            </w:tcBorders>
            <w:shd w:val="clear" w:color="auto" w:fill="FFFFFF" w:themeFill="background1"/>
            <w:vAlign w:val="center"/>
          </w:tcPr>
          <w:p w14:paraId="39A5DF16"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6C19FF" w14:textId="77777777" w:rsidR="00BA1338" w:rsidRPr="00545EC0" w:rsidRDefault="00BA1338" w:rsidP="004F2AF2">
            <w:pPr>
              <w:spacing w:line="240" w:lineRule="auto"/>
              <w:rPr>
                <w:rFonts w:cs="Arial"/>
                <w:sz w:val="18"/>
                <w:szCs w:val="18"/>
              </w:rPr>
            </w:pPr>
            <w:r w:rsidRPr="00545EC0">
              <w:rPr>
                <w:rFonts w:cs="Arial"/>
                <w:sz w:val="18"/>
                <w:szCs w:val="18"/>
              </w:rPr>
              <w:t>0</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2E1EA8"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2A74A6E8"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5B967B0" w14:textId="77777777" w:rsidR="00BA1338" w:rsidRPr="00545EC0" w:rsidRDefault="00BA1338" w:rsidP="004F2AF2">
            <w:pPr>
              <w:spacing w:line="240" w:lineRule="auto"/>
              <w:rPr>
                <w:rFonts w:cs="Arial"/>
                <w:sz w:val="18"/>
                <w:szCs w:val="18"/>
              </w:rPr>
            </w:pPr>
            <w:r w:rsidRPr="00545EC0">
              <w:rPr>
                <w:rFonts w:cs="Arial"/>
                <w:sz w:val="18"/>
                <w:szCs w:val="18"/>
              </w:rPr>
              <w:t>SI148VT3</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74CBA466" w14:textId="77777777" w:rsidR="00BA1338" w:rsidRPr="00545EC0" w:rsidRDefault="00BA1338" w:rsidP="00BE42F5">
            <w:pPr>
              <w:spacing w:line="240" w:lineRule="auto"/>
              <w:jc w:val="left"/>
              <w:rPr>
                <w:rFonts w:cs="Arial"/>
                <w:sz w:val="18"/>
                <w:szCs w:val="18"/>
              </w:rPr>
            </w:pPr>
            <w:r w:rsidRPr="00545EC0">
              <w:rPr>
                <w:rFonts w:cs="Arial"/>
                <w:sz w:val="18"/>
                <w:szCs w:val="18"/>
              </w:rPr>
              <w:t>VT Gradaščica z Veliko Božno</w:t>
            </w:r>
          </w:p>
        </w:tc>
        <w:tc>
          <w:tcPr>
            <w:tcW w:w="1599" w:type="pct"/>
            <w:tcBorders>
              <w:top w:val="nil"/>
              <w:left w:val="nil"/>
              <w:bottom w:val="single" w:sz="4" w:space="0" w:color="auto"/>
              <w:right w:val="nil"/>
            </w:tcBorders>
            <w:shd w:val="clear" w:color="auto" w:fill="FFFFFF" w:themeFill="background1"/>
            <w:noWrap/>
            <w:vAlign w:val="center"/>
            <w:hideMark/>
          </w:tcPr>
          <w:p w14:paraId="436ED89D" w14:textId="77777777" w:rsidR="00BA1338" w:rsidRPr="00545EC0" w:rsidRDefault="00BA1338" w:rsidP="00BE42F5">
            <w:pPr>
              <w:spacing w:line="240" w:lineRule="auto"/>
              <w:jc w:val="left"/>
              <w:rPr>
                <w:rFonts w:cs="Arial"/>
                <w:sz w:val="18"/>
                <w:szCs w:val="18"/>
              </w:rPr>
            </w:pPr>
            <w:r w:rsidRPr="00545EC0">
              <w:rPr>
                <w:rFonts w:cs="Arial"/>
                <w:sz w:val="18"/>
                <w:szCs w:val="18"/>
              </w:rPr>
              <w:t>Velika Božna</w:t>
            </w:r>
          </w:p>
        </w:tc>
        <w:tc>
          <w:tcPr>
            <w:tcW w:w="693" w:type="pct"/>
            <w:vMerge/>
            <w:tcBorders>
              <w:left w:val="single" w:sz="4" w:space="0" w:color="auto"/>
              <w:right w:val="single" w:sz="4" w:space="0" w:color="auto"/>
            </w:tcBorders>
            <w:shd w:val="clear" w:color="auto" w:fill="FFFFFF" w:themeFill="background1"/>
            <w:vAlign w:val="center"/>
          </w:tcPr>
          <w:p w14:paraId="0E78C6BF"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6D3A58"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641B35"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5886BB39"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833E646" w14:textId="77777777" w:rsidR="00BA1338" w:rsidRPr="00545EC0" w:rsidRDefault="00BA1338" w:rsidP="004F2AF2">
            <w:pPr>
              <w:spacing w:line="240" w:lineRule="auto"/>
              <w:rPr>
                <w:rFonts w:cs="Arial"/>
                <w:sz w:val="18"/>
                <w:szCs w:val="18"/>
              </w:rPr>
            </w:pPr>
            <w:r w:rsidRPr="00545EC0">
              <w:rPr>
                <w:rFonts w:cs="Arial"/>
                <w:sz w:val="18"/>
                <w:szCs w:val="18"/>
              </w:rPr>
              <w:t>SI148VT5</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5A15FD05" w14:textId="77777777" w:rsidR="00BA1338" w:rsidRPr="00545EC0" w:rsidRDefault="00BA1338" w:rsidP="00BE42F5">
            <w:pPr>
              <w:spacing w:line="240" w:lineRule="auto"/>
              <w:jc w:val="left"/>
              <w:rPr>
                <w:rFonts w:cs="Arial"/>
                <w:sz w:val="18"/>
                <w:szCs w:val="18"/>
              </w:rPr>
            </w:pPr>
            <w:r w:rsidRPr="00545EC0">
              <w:rPr>
                <w:rFonts w:cs="Arial"/>
                <w:sz w:val="18"/>
                <w:szCs w:val="18"/>
              </w:rPr>
              <w:t>VT Mali Graben z Gradaščico</w:t>
            </w:r>
          </w:p>
        </w:tc>
        <w:tc>
          <w:tcPr>
            <w:tcW w:w="1599" w:type="pct"/>
            <w:tcBorders>
              <w:top w:val="nil"/>
              <w:left w:val="nil"/>
              <w:bottom w:val="single" w:sz="4" w:space="0" w:color="auto"/>
              <w:right w:val="nil"/>
            </w:tcBorders>
            <w:shd w:val="clear" w:color="auto" w:fill="FFFFFF" w:themeFill="background1"/>
            <w:noWrap/>
            <w:vAlign w:val="center"/>
            <w:hideMark/>
          </w:tcPr>
          <w:p w14:paraId="189890BF" w14:textId="77777777" w:rsidR="00BA1338" w:rsidRPr="00545EC0" w:rsidRDefault="00BA1338" w:rsidP="00BE42F5">
            <w:pPr>
              <w:spacing w:line="240" w:lineRule="auto"/>
              <w:jc w:val="left"/>
              <w:rPr>
                <w:rFonts w:cs="Arial"/>
                <w:sz w:val="18"/>
                <w:szCs w:val="18"/>
              </w:rPr>
            </w:pPr>
            <w:r w:rsidRPr="00545EC0">
              <w:rPr>
                <w:rFonts w:cs="Arial"/>
                <w:sz w:val="18"/>
                <w:szCs w:val="18"/>
              </w:rPr>
              <w:t>Mali graben</w:t>
            </w:r>
          </w:p>
        </w:tc>
        <w:tc>
          <w:tcPr>
            <w:tcW w:w="693" w:type="pct"/>
            <w:vMerge/>
            <w:tcBorders>
              <w:left w:val="single" w:sz="4" w:space="0" w:color="auto"/>
              <w:right w:val="single" w:sz="4" w:space="0" w:color="auto"/>
            </w:tcBorders>
            <w:shd w:val="clear" w:color="auto" w:fill="FFFFFF" w:themeFill="background1"/>
            <w:vAlign w:val="center"/>
          </w:tcPr>
          <w:p w14:paraId="2FF5A064"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16EE39"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BDEF00"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4DA9256F"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3C96D06" w14:textId="77777777" w:rsidR="00BA1338" w:rsidRPr="00545EC0" w:rsidRDefault="00BA1338" w:rsidP="004F2AF2">
            <w:pPr>
              <w:spacing w:line="240" w:lineRule="auto"/>
              <w:rPr>
                <w:rFonts w:cs="Arial"/>
                <w:sz w:val="18"/>
                <w:szCs w:val="18"/>
              </w:rPr>
            </w:pPr>
            <w:r w:rsidRPr="00545EC0">
              <w:rPr>
                <w:rFonts w:cs="Arial"/>
                <w:sz w:val="18"/>
                <w:szCs w:val="18"/>
              </w:rPr>
              <w:t>SI14VT93</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21684790" w14:textId="77777777" w:rsidR="00BA1338" w:rsidRPr="00545EC0" w:rsidRDefault="00BA1338" w:rsidP="00BE42F5">
            <w:pPr>
              <w:spacing w:line="240" w:lineRule="auto"/>
              <w:jc w:val="left"/>
              <w:rPr>
                <w:rFonts w:cs="Arial"/>
                <w:sz w:val="18"/>
                <w:szCs w:val="18"/>
              </w:rPr>
            </w:pPr>
            <w:r w:rsidRPr="00545EC0">
              <w:rPr>
                <w:rFonts w:cs="Arial"/>
                <w:sz w:val="18"/>
                <w:szCs w:val="18"/>
              </w:rPr>
              <w:t>MPVT Mestna Ljubljanica</w:t>
            </w:r>
          </w:p>
        </w:tc>
        <w:tc>
          <w:tcPr>
            <w:tcW w:w="1599" w:type="pct"/>
            <w:tcBorders>
              <w:top w:val="nil"/>
              <w:left w:val="nil"/>
              <w:bottom w:val="single" w:sz="4" w:space="0" w:color="auto"/>
              <w:right w:val="nil"/>
            </w:tcBorders>
            <w:shd w:val="clear" w:color="auto" w:fill="FFFFFF" w:themeFill="background1"/>
            <w:noWrap/>
            <w:vAlign w:val="center"/>
            <w:hideMark/>
          </w:tcPr>
          <w:p w14:paraId="388E249F" w14:textId="77777777" w:rsidR="00BA1338" w:rsidRPr="00545EC0" w:rsidRDefault="00BA1338" w:rsidP="00BE42F5">
            <w:pPr>
              <w:spacing w:line="240" w:lineRule="auto"/>
              <w:jc w:val="left"/>
              <w:rPr>
                <w:rFonts w:cs="Arial"/>
                <w:sz w:val="18"/>
                <w:szCs w:val="18"/>
              </w:rPr>
            </w:pPr>
            <w:r w:rsidRPr="00545EC0">
              <w:rPr>
                <w:rFonts w:cs="Arial"/>
                <w:sz w:val="18"/>
                <w:szCs w:val="18"/>
              </w:rPr>
              <w:t>Gradaščica</w:t>
            </w:r>
          </w:p>
        </w:tc>
        <w:tc>
          <w:tcPr>
            <w:tcW w:w="693" w:type="pct"/>
            <w:vMerge/>
            <w:tcBorders>
              <w:left w:val="single" w:sz="4" w:space="0" w:color="auto"/>
              <w:right w:val="single" w:sz="4" w:space="0" w:color="auto"/>
            </w:tcBorders>
            <w:shd w:val="clear" w:color="auto" w:fill="FFFFFF" w:themeFill="background1"/>
            <w:vAlign w:val="center"/>
          </w:tcPr>
          <w:p w14:paraId="401FC247"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6CE175"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11F9CD"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33C1C236"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D0DE5D1" w14:textId="77777777" w:rsidR="00BA1338" w:rsidRPr="00545EC0" w:rsidRDefault="00BA1338" w:rsidP="004F2AF2">
            <w:pPr>
              <w:spacing w:line="240" w:lineRule="auto"/>
              <w:rPr>
                <w:rFonts w:cs="Arial"/>
                <w:sz w:val="18"/>
                <w:szCs w:val="18"/>
              </w:rPr>
            </w:pPr>
            <w:r w:rsidRPr="00545EC0">
              <w:rPr>
                <w:rFonts w:cs="Arial"/>
                <w:sz w:val="18"/>
                <w:szCs w:val="18"/>
              </w:rPr>
              <w:t>SI14VT93</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4936829A" w14:textId="77777777" w:rsidR="00BA1338" w:rsidRPr="00545EC0" w:rsidRDefault="00BA1338" w:rsidP="00BE42F5">
            <w:pPr>
              <w:spacing w:line="240" w:lineRule="auto"/>
              <w:jc w:val="left"/>
              <w:rPr>
                <w:rFonts w:cs="Arial"/>
                <w:sz w:val="18"/>
                <w:szCs w:val="18"/>
              </w:rPr>
            </w:pPr>
            <w:r w:rsidRPr="00545EC0">
              <w:rPr>
                <w:rFonts w:cs="Arial"/>
                <w:sz w:val="18"/>
                <w:szCs w:val="18"/>
              </w:rPr>
              <w:t>MPVT Mestna Ljubljanica</w:t>
            </w:r>
          </w:p>
        </w:tc>
        <w:tc>
          <w:tcPr>
            <w:tcW w:w="1599" w:type="pct"/>
            <w:tcBorders>
              <w:top w:val="nil"/>
              <w:left w:val="nil"/>
              <w:bottom w:val="single" w:sz="4" w:space="0" w:color="auto"/>
              <w:right w:val="nil"/>
            </w:tcBorders>
            <w:shd w:val="clear" w:color="auto" w:fill="FFFFFF" w:themeFill="background1"/>
            <w:noWrap/>
            <w:vAlign w:val="center"/>
            <w:hideMark/>
          </w:tcPr>
          <w:p w14:paraId="4B3D3B91" w14:textId="77777777" w:rsidR="00BA1338" w:rsidRPr="00545EC0" w:rsidRDefault="00BA1338" w:rsidP="00BE42F5">
            <w:pPr>
              <w:spacing w:line="240" w:lineRule="auto"/>
              <w:jc w:val="left"/>
              <w:rPr>
                <w:rFonts w:cs="Arial"/>
                <w:sz w:val="18"/>
                <w:szCs w:val="18"/>
              </w:rPr>
            </w:pPr>
            <w:r w:rsidRPr="00545EC0">
              <w:rPr>
                <w:rFonts w:cs="Arial"/>
                <w:sz w:val="18"/>
                <w:szCs w:val="18"/>
              </w:rPr>
              <w:t>Ljubljanica</w:t>
            </w:r>
          </w:p>
        </w:tc>
        <w:tc>
          <w:tcPr>
            <w:tcW w:w="693" w:type="pct"/>
            <w:vMerge/>
            <w:tcBorders>
              <w:left w:val="single" w:sz="4" w:space="0" w:color="auto"/>
              <w:right w:val="single" w:sz="4" w:space="0" w:color="auto"/>
            </w:tcBorders>
            <w:shd w:val="clear" w:color="auto" w:fill="FFFFFF" w:themeFill="background1"/>
            <w:vAlign w:val="center"/>
          </w:tcPr>
          <w:p w14:paraId="0722F98E"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CC61D3"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D1C00F"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1B08CA2A"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B446563" w14:textId="77777777" w:rsidR="00BA1338" w:rsidRPr="00545EC0" w:rsidRDefault="00BA1338" w:rsidP="004F2AF2">
            <w:pPr>
              <w:spacing w:line="240" w:lineRule="auto"/>
              <w:rPr>
                <w:rFonts w:cs="Arial"/>
                <w:sz w:val="18"/>
                <w:szCs w:val="18"/>
              </w:rPr>
            </w:pPr>
            <w:r w:rsidRPr="00545EC0">
              <w:rPr>
                <w:rFonts w:cs="Arial"/>
                <w:sz w:val="18"/>
                <w:szCs w:val="18"/>
              </w:rPr>
              <w:t>SI14VT97</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79F263A6" w14:textId="77777777" w:rsidR="00BA1338" w:rsidRPr="00545EC0" w:rsidRDefault="00BA1338" w:rsidP="00BE42F5">
            <w:pPr>
              <w:spacing w:line="240" w:lineRule="auto"/>
              <w:jc w:val="left"/>
              <w:rPr>
                <w:rFonts w:cs="Arial"/>
                <w:sz w:val="18"/>
                <w:szCs w:val="18"/>
              </w:rPr>
            </w:pPr>
            <w:r w:rsidRPr="00545EC0">
              <w:rPr>
                <w:rFonts w:cs="Arial"/>
                <w:sz w:val="18"/>
                <w:szCs w:val="18"/>
              </w:rPr>
              <w:t>VT Ljubljanica Moste - Podgrad</w:t>
            </w:r>
          </w:p>
        </w:tc>
        <w:tc>
          <w:tcPr>
            <w:tcW w:w="1599" w:type="pct"/>
            <w:tcBorders>
              <w:top w:val="nil"/>
              <w:left w:val="nil"/>
              <w:bottom w:val="single" w:sz="4" w:space="0" w:color="auto"/>
              <w:right w:val="nil"/>
            </w:tcBorders>
            <w:shd w:val="clear" w:color="auto" w:fill="FFFFFF" w:themeFill="background1"/>
            <w:noWrap/>
            <w:vAlign w:val="center"/>
            <w:hideMark/>
          </w:tcPr>
          <w:p w14:paraId="62E5CB97" w14:textId="77777777" w:rsidR="00BA1338" w:rsidRPr="00545EC0" w:rsidRDefault="00BA1338" w:rsidP="00BE42F5">
            <w:pPr>
              <w:spacing w:line="240" w:lineRule="auto"/>
              <w:jc w:val="left"/>
              <w:rPr>
                <w:rFonts w:cs="Arial"/>
                <w:sz w:val="18"/>
                <w:szCs w:val="18"/>
              </w:rPr>
            </w:pPr>
            <w:r w:rsidRPr="00545EC0">
              <w:rPr>
                <w:rFonts w:cs="Arial"/>
                <w:sz w:val="18"/>
                <w:szCs w:val="18"/>
              </w:rPr>
              <w:t>Ljubljanica</w:t>
            </w:r>
          </w:p>
        </w:tc>
        <w:tc>
          <w:tcPr>
            <w:tcW w:w="693" w:type="pct"/>
            <w:vMerge/>
            <w:tcBorders>
              <w:left w:val="single" w:sz="4" w:space="0" w:color="auto"/>
              <w:right w:val="single" w:sz="4" w:space="0" w:color="auto"/>
            </w:tcBorders>
            <w:shd w:val="clear" w:color="auto" w:fill="FFFFFF" w:themeFill="background1"/>
            <w:vAlign w:val="center"/>
          </w:tcPr>
          <w:p w14:paraId="24C05C77"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A7F755"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C830E7"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228037E0"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B40793B" w14:textId="77777777" w:rsidR="00BA1338" w:rsidRPr="00545EC0" w:rsidRDefault="00BA1338" w:rsidP="004F2AF2">
            <w:pPr>
              <w:spacing w:line="240" w:lineRule="auto"/>
              <w:rPr>
                <w:rFonts w:cs="Arial"/>
                <w:sz w:val="18"/>
                <w:szCs w:val="18"/>
              </w:rPr>
            </w:pPr>
            <w:r w:rsidRPr="00545EC0">
              <w:rPr>
                <w:rFonts w:cs="Arial"/>
                <w:sz w:val="18"/>
                <w:szCs w:val="18"/>
              </w:rPr>
              <w:t>SI1VT310</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33779A36" w14:textId="77777777" w:rsidR="00BA1338" w:rsidRPr="00545EC0" w:rsidRDefault="00BA1338" w:rsidP="00BE42F5">
            <w:pPr>
              <w:spacing w:line="240" w:lineRule="auto"/>
              <w:jc w:val="left"/>
              <w:rPr>
                <w:rFonts w:cs="Arial"/>
                <w:sz w:val="18"/>
                <w:szCs w:val="18"/>
              </w:rPr>
            </w:pPr>
            <w:r w:rsidRPr="00545EC0">
              <w:rPr>
                <w:rFonts w:cs="Arial"/>
                <w:sz w:val="18"/>
                <w:szCs w:val="18"/>
              </w:rPr>
              <w:t>VT Sava Medvode - Podgrad</w:t>
            </w:r>
          </w:p>
        </w:tc>
        <w:tc>
          <w:tcPr>
            <w:tcW w:w="1599" w:type="pct"/>
            <w:tcBorders>
              <w:top w:val="nil"/>
              <w:left w:val="nil"/>
              <w:bottom w:val="single" w:sz="4" w:space="0" w:color="auto"/>
              <w:right w:val="nil"/>
            </w:tcBorders>
            <w:shd w:val="clear" w:color="auto" w:fill="FFFFFF" w:themeFill="background1"/>
            <w:noWrap/>
            <w:vAlign w:val="center"/>
            <w:hideMark/>
          </w:tcPr>
          <w:p w14:paraId="0E63D1ED" w14:textId="77777777" w:rsidR="00BA1338" w:rsidRPr="00545EC0" w:rsidRDefault="00BA1338" w:rsidP="00BE42F5">
            <w:pPr>
              <w:spacing w:line="240" w:lineRule="auto"/>
              <w:jc w:val="left"/>
              <w:rPr>
                <w:rFonts w:cs="Arial"/>
                <w:sz w:val="18"/>
                <w:szCs w:val="18"/>
              </w:rPr>
            </w:pPr>
            <w:r w:rsidRPr="00545EC0">
              <w:rPr>
                <w:rFonts w:cs="Arial"/>
                <w:sz w:val="18"/>
                <w:szCs w:val="18"/>
              </w:rPr>
              <w:t>Sava</w:t>
            </w:r>
          </w:p>
        </w:tc>
        <w:tc>
          <w:tcPr>
            <w:tcW w:w="693" w:type="pct"/>
            <w:vMerge/>
            <w:tcBorders>
              <w:left w:val="single" w:sz="4" w:space="0" w:color="auto"/>
              <w:right w:val="single" w:sz="4" w:space="0" w:color="auto"/>
            </w:tcBorders>
            <w:shd w:val="clear" w:color="auto" w:fill="FFFFFF" w:themeFill="background1"/>
            <w:vAlign w:val="center"/>
          </w:tcPr>
          <w:p w14:paraId="26792F71"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1DBA53"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81C571"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22683E06"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BEC4C37" w14:textId="77777777" w:rsidR="00BA1338" w:rsidRPr="00545EC0" w:rsidRDefault="00BA1338" w:rsidP="004F2AF2">
            <w:pPr>
              <w:spacing w:line="240" w:lineRule="auto"/>
              <w:rPr>
                <w:rFonts w:cs="Arial"/>
                <w:sz w:val="18"/>
                <w:szCs w:val="18"/>
              </w:rPr>
            </w:pPr>
            <w:r w:rsidRPr="00545EC0">
              <w:rPr>
                <w:rFonts w:cs="Arial"/>
                <w:sz w:val="18"/>
                <w:szCs w:val="18"/>
              </w:rPr>
              <w:t>SI1VT557</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2334AA88" w14:textId="77777777" w:rsidR="00BA1338" w:rsidRPr="00545EC0" w:rsidRDefault="00BA1338" w:rsidP="00BE42F5">
            <w:pPr>
              <w:spacing w:line="240" w:lineRule="auto"/>
              <w:jc w:val="left"/>
              <w:rPr>
                <w:rFonts w:cs="Arial"/>
                <w:sz w:val="18"/>
                <w:szCs w:val="18"/>
              </w:rPr>
            </w:pPr>
            <w:r w:rsidRPr="00545EC0">
              <w:rPr>
                <w:rFonts w:cs="Arial"/>
                <w:sz w:val="18"/>
                <w:szCs w:val="18"/>
              </w:rPr>
              <w:t>VT Sava Litija - Zidani Most</w:t>
            </w:r>
          </w:p>
        </w:tc>
        <w:tc>
          <w:tcPr>
            <w:tcW w:w="1599" w:type="pct"/>
            <w:tcBorders>
              <w:top w:val="nil"/>
              <w:left w:val="nil"/>
              <w:bottom w:val="single" w:sz="4" w:space="0" w:color="auto"/>
              <w:right w:val="nil"/>
            </w:tcBorders>
            <w:shd w:val="clear" w:color="auto" w:fill="FFFFFF" w:themeFill="background1"/>
            <w:noWrap/>
            <w:vAlign w:val="center"/>
            <w:hideMark/>
          </w:tcPr>
          <w:p w14:paraId="367EE100" w14:textId="77777777" w:rsidR="00BA1338" w:rsidRPr="00545EC0" w:rsidRDefault="00BA1338" w:rsidP="00BE42F5">
            <w:pPr>
              <w:spacing w:line="240" w:lineRule="auto"/>
              <w:jc w:val="left"/>
              <w:rPr>
                <w:rFonts w:cs="Arial"/>
                <w:sz w:val="18"/>
                <w:szCs w:val="18"/>
              </w:rPr>
            </w:pPr>
            <w:r w:rsidRPr="00545EC0">
              <w:rPr>
                <w:rFonts w:cs="Arial"/>
                <w:sz w:val="18"/>
                <w:szCs w:val="18"/>
              </w:rPr>
              <w:t>Sava, Medija, Kotredeščica,  Trboveljščica, Boben, Brnica</w:t>
            </w:r>
          </w:p>
        </w:tc>
        <w:tc>
          <w:tcPr>
            <w:tcW w:w="693" w:type="pct"/>
            <w:vMerge/>
            <w:tcBorders>
              <w:left w:val="single" w:sz="4" w:space="0" w:color="auto"/>
              <w:bottom w:val="single" w:sz="4" w:space="0" w:color="auto"/>
              <w:right w:val="single" w:sz="4" w:space="0" w:color="auto"/>
            </w:tcBorders>
            <w:shd w:val="clear" w:color="auto" w:fill="FFFFFF" w:themeFill="background1"/>
            <w:vAlign w:val="center"/>
          </w:tcPr>
          <w:p w14:paraId="3C8A7C51"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CFF58F"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0C4963"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4A5029D8"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420249B" w14:textId="77777777" w:rsidR="00BA1338" w:rsidRPr="00545EC0" w:rsidRDefault="00BA1338" w:rsidP="004F2AF2">
            <w:pPr>
              <w:spacing w:line="240" w:lineRule="auto"/>
              <w:rPr>
                <w:rFonts w:cs="Arial"/>
                <w:sz w:val="18"/>
                <w:szCs w:val="18"/>
              </w:rPr>
            </w:pPr>
            <w:r w:rsidRPr="00545EC0">
              <w:rPr>
                <w:rFonts w:cs="Arial"/>
                <w:sz w:val="18"/>
                <w:szCs w:val="18"/>
              </w:rPr>
              <w:t>SI172VT</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3028F92B" w14:textId="77777777" w:rsidR="00BA1338" w:rsidRPr="00545EC0" w:rsidRDefault="00BA1338" w:rsidP="00BE42F5">
            <w:pPr>
              <w:spacing w:line="240" w:lineRule="auto"/>
              <w:jc w:val="left"/>
              <w:rPr>
                <w:rFonts w:cs="Arial"/>
                <w:sz w:val="18"/>
                <w:szCs w:val="18"/>
              </w:rPr>
            </w:pPr>
            <w:r w:rsidRPr="00545EC0">
              <w:rPr>
                <w:rFonts w:cs="Arial"/>
                <w:sz w:val="18"/>
                <w:szCs w:val="18"/>
              </w:rPr>
              <w:t>VT Mirna</w:t>
            </w:r>
          </w:p>
        </w:tc>
        <w:tc>
          <w:tcPr>
            <w:tcW w:w="1599" w:type="pct"/>
            <w:tcBorders>
              <w:top w:val="nil"/>
              <w:left w:val="nil"/>
              <w:bottom w:val="single" w:sz="4" w:space="0" w:color="auto"/>
              <w:right w:val="nil"/>
            </w:tcBorders>
            <w:shd w:val="clear" w:color="auto" w:fill="FFFFFF" w:themeFill="background1"/>
            <w:noWrap/>
            <w:vAlign w:val="center"/>
            <w:hideMark/>
          </w:tcPr>
          <w:p w14:paraId="2EEBBC91" w14:textId="77777777" w:rsidR="00BA1338" w:rsidRPr="00545EC0" w:rsidRDefault="00BA1338" w:rsidP="00BE42F5">
            <w:pPr>
              <w:spacing w:line="240" w:lineRule="auto"/>
              <w:jc w:val="left"/>
              <w:rPr>
                <w:rFonts w:cs="Arial"/>
                <w:sz w:val="18"/>
                <w:szCs w:val="18"/>
              </w:rPr>
            </w:pPr>
            <w:r w:rsidRPr="00545EC0">
              <w:rPr>
                <w:rFonts w:cs="Arial"/>
                <w:sz w:val="18"/>
                <w:szCs w:val="18"/>
              </w:rPr>
              <w:t>Mirna</w:t>
            </w:r>
          </w:p>
        </w:tc>
        <w:tc>
          <w:tcPr>
            <w:tcW w:w="693" w:type="pct"/>
            <w:vMerge w:val="restart"/>
            <w:tcBorders>
              <w:top w:val="single" w:sz="4" w:space="0" w:color="auto"/>
              <w:left w:val="single" w:sz="4" w:space="0" w:color="auto"/>
              <w:right w:val="single" w:sz="4" w:space="0" w:color="auto"/>
            </w:tcBorders>
            <w:shd w:val="clear" w:color="auto" w:fill="FFFFFF" w:themeFill="background1"/>
            <w:vAlign w:val="center"/>
          </w:tcPr>
          <w:p w14:paraId="24ADC744" w14:textId="77777777" w:rsidR="00BA1338" w:rsidRPr="00545EC0" w:rsidRDefault="00BA1338" w:rsidP="004F2AF2">
            <w:pPr>
              <w:spacing w:line="240" w:lineRule="auto"/>
              <w:rPr>
                <w:rFonts w:cs="Arial"/>
                <w:sz w:val="18"/>
                <w:szCs w:val="18"/>
              </w:rPr>
            </w:pPr>
            <w:r w:rsidRPr="00545EC0">
              <w:rPr>
                <w:rFonts w:cs="Arial"/>
                <w:sz w:val="18"/>
                <w:szCs w:val="18"/>
              </w:rPr>
              <w:t>Spodnja Sava</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C24535"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E5E35C"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782A68FD"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0623331" w14:textId="77777777" w:rsidR="00BA1338" w:rsidRPr="00545EC0" w:rsidRDefault="00BA1338" w:rsidP="004F2AF2">
            <w:pPr>
              <w:spacing w:line="240" w:lineRule="auto"/>
              <w:rPr>
                <w:rFonts w:cs="Arial"/>
                <w:sz w:val="18"/>
                <w:szCs w:val="18"/>
              </w:rPr>
            </w:pPr>
            <w:r w:rsidRPr="00545EC0">
              <w:rPr>
                <w:rFonts w:cs="Arial"/>
                <w:sz w:val="18"/>
                <w:szCs w:val="18"/>
              </w:rPr>
              <w:t>SI18VT31</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52528B9B" w14:textId="77777777" w:rsidR="00BA1338" w:rsidRPr="00545EC0" w:rsidRDefault="00BA1338" w:rsidP="00BE42F5">
            <w:pPr>
              <w:spacing w:line="240" w:lineRule="auto"/>
              <w:jc w:val="left"/>
              <w:rPr>
                <w:rFonts w:cs="Arial"/>
                <w:sz w:val="18"/>
                <w:szCs w:val="18"/>
              </w:rPr>
            </w:pPr>
            <w:r w:rsidRPr="00545EC0">
              <w:rPr>
                <w:rFonts w:cs="Arial"/>
                <w:sz w:val="18"/>
                <w:szCs w:val="18"/>
              </w:rPr>
              <w:t>VT Krka povirje - Soteska</w:t>
            </w:r>
          </w:p>
        </w:tc>
        <w:tc>
          <w:tcPr>
            <w:tcW w:w="1599" w:type="pct"/>
            <w:tcBorders>
              <w:top w:val="nil"/>
              <w:left w:val="nil"/>
              <w:bottom w:val="single" w:sz="4" w:space="0" w:color="auto"/>
              <w:right w:val="nil"/>
            </w:tcBorders>
            <w:shd w:val="clear" w:color="auto" w:fill="FFFFFF" w:themeFill="background1"/>
            <w:noWrap/>
            <w:vAlign w:val="center"/>
            <w:hideMark/>
          </w:tcPr>
          <w:p w14:paraId="43C2AAFA" w14:textId="77777777" w:rsidR="00BA1338" w:rsidRPr="00545EC0" w:rsidRDefault="00BA1338" w:rsidP="00BE42F5">
            <w:pPr>
              <w:spacing w:line="240" w:lineRule="auto"/>
              <w:jc w:val="left"/>
              <w:rPr>
                <w:rFonts w:cs="Arial"/>
                <w:sz w:val="18"/>
                <w:szCs w:val="18"/>
              </w:rPr>
            </w:pPr>
            <w:r w:rsidRPr="00545EC0">
              <w:rPr>
                <w:rFonts w:cs="Arial"/>
                <w:sz w:val="18"/>
                <w:szCs w:val="18"/>
              </w:rPr>
              <w:t>Sodraška Bistrica, Ribnica</w:t>
            </w:r>
          </w:p>
        </w:tc>
        <w:tc>
          <w:tcPr>
            <w:tcW w:w="693" w:type="pct"/>
            <w:vMerge/>
            <w:tcBorders>
              <w:left w:val="single" w:sz="4" w:space="0" w:color="auto"/>
              <w:right w:val="single" w:sz="4" w:space="0" w:color="auto"/>
            </w:tcBorders>
            <w:shd w:val="clear" w:color="auto" w:fill="FFFFFF" w:themeFill="background1"/>
            <w:vAlign w:val="center"/>
          </w:tcPr>
          <w:p w14:paraId="1E260FBD"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36941C" w14:textId="77777777" w:rsidR="00BA1338" w:rsidRPr="00545EC0" w:rsidRDefault="00BA1338" w:rsidP="004F2AF2">
            <w:pPr>
              <w:spacing w:line="240" w:lineRule="auto"/>
              <w:rPr>
                <w:rFonts w:cs="Arial"/>
                <w:sz w:val="18"/>
                <w:szCs w:val="18"/>
              </w:rPr>
            </w:pPr>
            <w:r w:rsidRPr="00545EC0">
              <w:rPr>
                <w:rFonts w:cs="Arial"/>
                <w:sz w:val="18"/>
                <w:szCs w:val="18"/>
              </w:rPr>
              <w:t>0</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DCD6D5"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487CCDEA"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E0ABA48" w14:textId="77777777" w:rsidR="00BA1338" w:rsidRPr="00545EC0" w:rsidRDefault="00BA1338" w:rsidP="004F2AF2">
            <w:pPr>
              <w:spacing w:line="240" w:lineRule="auto"/>
              <w:rPr>
                <w:rFonts w:cs="Arial"/>
                <w:sz w:val="18"/>
                <w:szCs w:val="18"/>
              </w:rPr>
            </w:pPr>
            <w:r w:rsidRPr="00545EC0">
              <w:rPr>
                <w:rFonts w:cs="Arial"/>
                <w:sz w:val="18"/>
                <w:szCs w:val="18"/>
              </w:rPr>
              <w:t>SI192VT1</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4C99261C" w14:textId="77777777" w:rsidR="00BA1338" w:rsidRPr="00545EC0" w:rsidRDefault="00BA1338" w:rsidP="00BE42F5">
            <w:pPr>
              <w:spacing w:line="240" w:lineRule="auto"/>
              <w:jc w:val="left"/>
              <w:rPr>
                <w:rFonts w:cs="Arial"/>
                <w:sz w:val="18"/>
                <w:szCs w:val="18"/>
              </w:rPr>
            </w:pPr>
            <w:r w:rsidRPr="00545EC0">
              <w:rPr>
                <w:rFonts w:cs="Arial"/>
                <w:sz w:val="18"/>
                <w:szCs w:val="18"/>
              </w:rPr>
              <w:t>VT Sotla Dobovec - Podčetrtek</w:t>
            </w:r>
          </w:p>
        </w:tc>
        <w:tc>
          <w:tcPr>
            <w:tcW w:w="1599" w:type="pct"/>
            <w:tcBorders>
              <w:top w:val="nil"/>
              <w:left w:val="nil"/>
              <w:bottom w:val="single" w:sz="4" w:space="0" w:color="auto"/>
              <w:right w:val="nil"/>
            </w:tcBorders>
            <w:shd w:val="clear" w:color="auto" w:fill="FFFFFF" w:themeFill="background1"/>
            <w:noWrap/>
            <w:vAlign w:val="center"/>
            <w:hideMark/>
          </w:tcPr>
          <w:p w14:paraId="2A57E4BA" w14:textId="77777777" w:rsidR="00BA1338" w:rsidRPr="00545EC0" w:rsidRDefault="00BA1338" w:rsidP="00BE42F5">
            <w:pPr>
              <w:spacing w:line="240" w:lineRule="auto"/>
              <w:jc w:val="left"/>
              <w:rPr>
                <w:rFonts w:cs="Arial"/>
                <w:sz w:val="18"/>
                <w:szCs w:val="18"/>
              </w:rPr>
            </w:pPr>
            <w:r w:rsidRPr="00545EC0">
              <w:rPr>
                <w:rFonts w:cs="Arial"/>
                <w:sz w:val="18"/>
                <w:szCs w:val="18"/>
              </w:rPr>
              <w:t>Sotla</w:t>
            </w:r>
          </w:p>
        </w:tc>
        <w:tc>
          <w:tcPr>
            <w:tcW w:w="693" w:type="pct"/>
            <w:vMerge/>
            <w:tcBorders>
              <w:left w:val="single" w:sz="4" w:space="0" w:color="auto"/>
              <w:right w:val="single" w:sz="4" w:space="0" w:color="auto"/>
            </w:tcBorders>
            <w:shd w:val="clear" w:color="auto" w:fill="FFFFFF" w:themeFill="background1"/>
            <w:vAlign w:val="center"/>
          </w:tcPr>
          <w:p w14:paraId="08EE8446"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551698"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50A2A7"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4D986B06"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6F45D66" w14:textId="77777777" w:rsidR="00BA1338" w:rsidRPr="00545EC0" w:rsidRDefault="00BA1338" w:rsidP="004F2AF2">
            <w:pPr>
              <w:spacing w:line="240" w:lineRule="auto"/>
              <w:rPr>
                <w:rFonts w:cs="Arial"/>
                <w:sz w:val="18"/>
                <w:szCs w:val="18"/>
              </w:rPr>
            </w:pPr>
            <w:r w:rsidRPr="00545EC0">
              <w:rPr>
                <w:rFonts w:cs="Arial"/>
                <w:sz w:val="18"/>
                <w:szCs w:val="18"/>
              </w:rPr>
              <w:t>SI1VT713</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17B018A1" w14:textId="77777777" w:rsidR="00BA1338" w:rsidRPr="00545EC0" w:rsidRDefault="00BA1338" w:rsidP="00BE42F5">
            <w:pPr>
              <w:spacing w:line="240" w:lineRule="auto"/>
              <w:jc w:val="left"/>
              <w:rPr>
                <w:rFonts w:cs="Arial"/>
                <w:sz w:val="18"/>
                <w:szCs w:val="18"/>
              </w:rPr>
            </w:pPr>
            <w:r w:rsidRPr="00545EC0">
              <w:rPr>
                <w:rFonts w:cs="Arial"/>
                <w:sz w:val="18"/>
                <w:szCs w:val="18"/>
              </w:rPr>
              <w:t>MPVT Sava Vrhovo - Boštanj</w:t>
            </w:r>
          </w:p>
        </w:tc>
        <w:tc>
          <w:tcPr>
            <w:tcW w:w="1599" w:type="pct"/>
            <w:tcBorders>
              <w:top w:val="nil"/>
              <w:left w:val="nil"/>
              <w:bottom w:val="single" w:sz="4" w:space="0" w:color="auto"/>
              <w:right w:val="nil"/>
            </w:tcBorders>
            <w:shd w:val="clear" w:color="auto" w:fill="FFFFFF" w:themeFill="background1"/>
            <w:noWrap/>
            <w:vAlign w:val="center"/>
            <w:hideMark/>
          </w:tcPr>
          <w:p w14:paraId="59AD94A8" w14:textId="77777777" w:rsidR="00BA1338" w:rsidRPr="00545EC0" w:rsidRDefault="00BA1338" w:rsidP="00BE42F5">
            <w:pPr>
              <w:spacing w:line="240" w:lineRule="auto"/>
              <w:jc w:val="left"/>
              <w:rPr>
                <w:rFonts w:cs="Arial"/>
                <w:sz w:val="18"/>
                <w:szCs w:val="18"/>
              </w:rPr>
            </w:pPr>
            <w:r w:rsidRPr="00545EC0">
              <w:rPr>
                <w:rFonts w:cs="Arial"/>
                <w:sz w:val="18"/>
                <w:szCs w:val="18"/>
              </w:rPr>
              <w:t>Sava, Sopota</w:t>
            </w:r>
          </w:p>
        </w:tc>
        <w:tc>
          <w:tcPr>
            <w:tcW w:w="693" w:type="pct"/>
            <w:vMerge/>
            <w:tcBorders>
              <w:left w:val="single" w:sz="4" w:space="0" w:color="auto"/>
              <w:right w:val="single" w:sz="4" w:space="0" w:color="auto"/>
            </w:tcBorders>
            <w:shd w:val="clear" w:color="auto" w:fill="FFFFFF" w:themeFill="background1"/>
            <w:vAlign w:val="center"/>
          </w:tcPr>
          <w:p w14:paraId="732CC566"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9DC821"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134706"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66B4B1A6"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B4EA7B5" w14:textId="77777777" w:rsidR="00BA1338" w:rsidRPr="00545EC0" w:rsidRDefault="00BA1338" w:rsidP="004F2AF2">
            <w:pPr>
              <w:spacing w:line="240" w:lineRule="auto"/>
              <w:rPr>
                <w:rFonts w:cs="Arial"/>
                <w:sz w:val="18"/>
                <w:szCs w:val="18"/>
              </w:rPr>
            </w:pPr>
            <w:r w:rsidRPr="00545EC0">
              <w:rPr>
                <w:rFonts w:cs="Arial"/>
                <w:sz w:val="18"/>
                <w:szCs w:val="18"/>
              </w:rPr>
              <w:t>SI1VT739</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4384C57D" w14:textId="77777777" w:rsidR="00BA1338" w:rsidRPr="00545EC0" w:rsidRDefault="00BA1338" w:rsidP="00BE42F5">
            <w:pPr>
              <w:spacing w:line="240" w:lineRule="auto"/>
              <w:jc w:val="left"/>
              <w:rPr>
                <w:rFonts w:cs="Arial"/>
                <w:sz w:val="18"/>
                <w:szCs w:val="18"/>
              </w:rPr>
            </w:pPr>
            <w:r w:rsidRPr="00545EC0">
              <w:rPr>
                <w:rFonts w:cs="Arial"/>
                <w:sz w:val="18"/>
                <w:szCs w:val="18"/>
              </w:rPr>
              <w:t>VT Sava Boštanj - Krško</w:t>
            </w:r>
          </w:p>
        </w:tc>
        <w:tc>
          <w:tcPr>
            <w:tcW w:w="1599" w:type="pct"/>
            <w:tcBorders>
              <w:top w:val="nil"/>
              <w:left w:val="nil"/>
              <w:bottom w:val="single" w:sz="4" w:space="0" w:color="auto"/>
              <w:right w:val="nil"/>
            </w:tcBorders>
            <w:shd w:val="clear" w:color="auto" w:fill="FFFFFF" w:themeFill="background1"/>
            <w:noWrap/>
            <w:vAlign w:val="center"/>
            <w:hideMark/>
          </w:tcPr>
          <w:p w14:paraId="5799141E" w14:textId="572C7832" w:rsidR="00BA1338" w:rsidRPr="00545EC0" w:rsidRDefault="00BA1338" w:rsidP="00BE42F5">
            <w:pPr>
              <w:spacing w:line="240" w:lineRule="auto"/>
              <w:jc w:val="left"/>
              <w:rPr>
                <w:rFonts w:cs="Arial"/>
                <w:sz w:val="18"/>
                <w:szCs w:val="18"/>
              </w:rPr>
            </w:pPr>
            <w:r w:rsidRPr="00545EC0">
              <w:rPr>
                <w:rFonts w:cs="Arial"/>
                <w:sz w:val="18"/>
                <w:szCs w:val="18"/>
              </w:rPr>
              <w:t>Sava, Sevnična</w:t>
            </w:r>
            <w:r w:rsidR="009910C7">
              <w:rPr>
                <w:rFonts w:cs="Arial"/>
                <w:sz w:val="18"/>
                <w:szCs w:val="18"/>
              </w:rPr>
              <w:t>,</w:t>
            </w:r>
            <w:r w:rsidRPr="00545EC0">
              <w:rPr>
                <w:rFonts w:cs="Arial"/>
                <w:sz w:val="18"/>
                <w:szCs w:val="18"/>
              </w:rPr>
              <w:t xml:space="preserve"> Brestanica, Dovški potok</w:t>
            </w:r>
          </w:p>
        </w:tc>
        <w:tc>
          <w:tcPr>
            <w:tcW w:w="693" w:type="pct"/>
            <w:vMerge/>
            <w:tcBorders>
              <w:left w:val="single" w:sz="4" w:space="0" w:color="auto"/>
              <w:right w:val="single" w:sz="4" w:space="0" w:color="auto"/>
            </w:tcBorders>
            <w:shd w:val="clear" w:color="auto" w:fill="FFFFFF" w:themeFill="background1"/>
            <w:vAlign w:val="center"/>
          </w:tcPr>
          <w:p w14:paraId="26A59638"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80BB96"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A929C9"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431CBBD2"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D101EE5" w14:textId="77777777" w:rsidR="00BA1338" w:rsidRPr="00545EC0" w:rsidRDefault="00BA1338" w:rsidP="004F2AF2">
            <w:pPr>
              <w:spacing w:line="240" w:lineRule="auto"/>
              <w:rPr>
                <w:rFonts w:cs="Arial"/>
                <w:sz w:val="18"/>
                <w:szCs w:val="18"/>
              </w:rPr>
            </w:pPr>
            <w:r w:rsidRPr="00545EC0">
              <w:rPr>
                <w:rFonts w:cs="Arial"/>
                <w:sz w:val="18"/>
                <w:szCs w:val="18"/>
              </w:rPr>
              <w:t>SI1VT913</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2E7E1F1E" w14:textId="77777777" w:rsidR="00BA1338" w:rsidRPr="00545EC0" w:rsidRDefault="00BA1338" w:rsidP="00BE42F5">
            <w:pPr>
              <w:spacing w:line="240" w:lineRule="auto"/>
              <w:jc w:val="left"/>
              <w:rPr>
                <w:rFonts w:cs="Arial"/>
                <w:sz w:val="18"/>
                <w:szCs w:val="18"/>
              </w:rPr>
            </w:pPr>
            <w:r w:rsidRPr="00545EC0">
              <w:rPr>
                <w:rFonts w:cs="Arial"/>
                <w:sz w:val="18"/>
                <w:szCs w:val="18"/>
              </w:rPr>
              <w:t>VT Sava Krško - Vrbina</w:t>
            </w:r>
          </w:p>
        </w:tc>
        <w:tc>
          <w:tcPr>
            <w:tcW w:w="1599" w:type="pct"/>
            <w:tcBorders>
              <w:top w:val="nil"/>
              <w:left w:val="nil"/>
              <w:bottom w:val="single" w:sz="4" w:space="0" w:color="auto"/>
              <w:right w:val="nil"/>
            </w:tcBorders>
            <w:shd w:val="clear" w:color="auto" w:fill="FFFFFF" w:themeFill="background1"/>
            <w:noWrap/>
            <w:vAlign w:val="center"/>
          </w:tcPr>
          <w:p w14:paraId="377C9944" w14:textId="77777777" w:rsidR="00BA1338" w:rsidRPr="00545EC0" w:rsidRDefault="00BA1338" w:rsidP="00BE42F5">
            <w:pPr>
              <w:spacing w:line="240" w:lineRule="auto"/>
              <w:jc w:val="left"/>
              <w:rPr>
                <w:rFonts w:cs="Arial"/>
                <w:sz w:val="18"/>
                <w:szCs w:val="18"/>
              </w:rPr>
            </w:pPr>
            <w:r w:rsidRPr="00545EC0">
              <w:rPr>
                <w:rFonts w:cs="Arial"/>
                <w:sz w:val="18"/>
                <w:szCs w:val="18"/>
              </w:rPr>
              <w:t>Sava</w:t>
            </w:r>
          </w:p>
        </w:tc>
        <w:tc>
          <w:tcPr>
            <w:tcW w:w="693" w:type="pct"/>
            <w:vMerge/>
            <w:tcBorders>
              <w:left w:val="single" w:sz="4" w:space="0" w:color="auto"/>
              <w:right w:val="single" w:sz="4" w:space="0" w:color="auto"/>
            </w:tcBorders>
            <w:shd w:val="clear" w:color="auto" w:fill="FFFFFF" w:themeFill="background1"/>
            <w:vAlign w:val="center"/>
          </w:tcPr>
          <w:p w14:paraId="4210979A"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94B6E1"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38979A"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1C772167"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05E4F11" w14:textId="77777777" w:rsidR="00BA1338" w:rsidRPr="00545EC0" w:rsidRDefault="00BA1338" w:rsidP="004F2AF2">
            <w:pPr>
              <w:spacing w:line="240" w:lineRule="auto"/>
              <w:rPr>
                <w:rFonts w:cs="Arial"/>
                <w:sz w:val="18"/>
                <w:szCs w:val="18"/>
              </w:rPr>
            </w:pPr>
            <w:r w:rsidRPr="00545EC0">
              <w:rPr>
                <w:rFonts w:cs="Arial"/>
                <w:sz w:val="18"/>
                <w:szCs w:val="18"/>
              </w:rPr>
              <w:t>SI1VT930</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7D0C089A" w14:textId="77777777" w:rsidR="00BA1338" w:rsidRPr="00545EC0" w:rsidRDefault="00BA1338" w:rsidP="00BE42F5">
            <w:pPr>
              <w:spacing w:line="240" w:lineRule="auto"/>
              <w:jc w:val="left"/>
              <w:rPr>
                <w:rFonts w:cs="Arial"/>
                <w:sz w:val="18"/>
                <w:szCs w:val="18"/>
              </w:rPr>
            </w:pPr>
            <w:r w:rsidRPr="00545EC0">
              <w:rPr>
                <w:rFonts w:cs="Arial"/>
                <w:sz w:val="18"/>
                <w:szCs w:val="18"/>
              </w:rPr>
              <w:t>VT Sava mejni odsek</w:t>
            </w:r>
          </w:p>
        </w:tc>
        <w:tc>
          <w:tcPr>
            <w:tcW w:w="1599" w:type="pct"/>
            <w:tcBorders>
              <w:top w:val="nil"/>
              <w:left w:val="nil"/>
              <w:bottom w:val="single" w:sz="4" w:space="0" w:color="auto"/>
              <w:right w:val="nil"/>
            </w:tcBorders>
            <w:shd w:val="clear" w:color="auto" w:fill="FFFFFF" w:themeFill="background1"/>
            <w:noWrap/>
            <w:vAlign w:val="center"/>
            <w:hideMark/>
          </w:tcPr>
          <w:p w14:paraId="51B2FC72" w14:textId="77777777" w:rsidR="00BA1338" w:rsidRPr="00545EC0" w:rsidRDefault="00BA1338" w:rsidP="00BE42F5">
            <w:pPr>
              <w:spacing w:line="240" w:lineRule="auto"/>
              <w:jc w:val="left"/>
              <w:rPr>
                <w:rFonts w:cs="Arial"/>
                <w:sz w:val="18"/>
                <w:szCs w:val="18"/>
              </w:rPr>
            </w:pPr>
            <w:r w:rsidRPr="00545EC0">
              <w:rPr>
                <w:rFonts w:cs="Arial"/>
                <w:sz w:val="18"/>
                <w:szCs w:val="18"/>
              </w:rPr>
              <w:t>Bregana</w:t>
            </w:r>
          </w:p>
        </w:tc>
        <w:tc>
          <w:tcPr>
            <w:tcW w:w="693" w:type="pct"/>
            <w:vMerge/>
            <w:tcBorders>
              <w:left w:val="single" w:sz="4" w:space="0" w:color="auto"/>
              <w:bottom w:val="single" w:sz="4" w:space="0" w:color="auto"/>
              <w:right w:val="single" w:sz="4" w:space="0" w:color="auto"/>
            </w:tcBorders>
            <w:shd w:val="clear" w:color="auto" w:fill="FFFFFF" w:themeFill="background1"/>
            <w:vAlign w:val="center"/>
          </w:tcPr>
          <w:p w14:paraId="5A8B8F08"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FB1C25" w14:textId="77777777" w:rsidR="00BA1338" w:rsidRPr="00545EC0" w:rsidRDefault="00BA1338" w:rsidP="004F2AF2">
            <w:pPr>
              <w:spacing w:line="240" w:lineRule="auto"/>
              <w:rPr>
                <w:rFonts w:cs="Arial"/>
                <w:sz w:val="18"/>
                <w:szCs w:val="18"/>
              </w:rPr>
            </w:pPr>
            <w:r w:rsidRPr="00545EC0">
              <w:rPr>
                <w:rFonts w:cs="Arial"/>
                <w:sz w:val="18"/>
                <w:szCs w:val="18"/>
              </w:rPr>
              <w:t>0</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73830B"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7863551D"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1492F2E" w14:textId="77777777" w:rsidR="00BA1338" w:rsidRPr="00545EC0" w:rsidRDefault="00BA1338" w:rsidP="004F2AF2">
            <w:pPr>
              <w:spacing w:line="240" w:lineRule="auto"/>
              <w:rPr>
                <w:rFonts w:cs="Arial"/>
                <w:sz w:val="18"/>
                <w:szCs w:val="18"/>
              </w:rPr>
            </w:pPr>
            <w:r w:rsidRPr="00545EC0">
              <w:rPr>
                <w:rFonts w:cs="Arial"/>
                <w:sz w:val="18"/>
                <w:szCs w:val="18"/>
              </w:rPr>
              <w:t>SI162VT7</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0FA3CB7C" w14:textId="77777777" w:rsidR="00BA1338" w:rsidRPr="00545EC0" w:rsidRDefault="00BA1338" w:rsidP="00BE42F5">
            <w:pPr>
              <w:spacing w:line="240" w:lineRule="auto"/>
              <w:jc w:val="left"/>
              <w:rPr>
                <w:rFonts w:cs="Arial"/>
                <w:sz w:val="18"/>
                <w:szCs w:val="18"/>
              </w:rPr>
            </w:pPr>
            <w:r w:rsidRPr="00545EC0">
              <w:rPr>
                <w:rFonts w:cs="Arial"/>
                <w:sz w:val="18"/>
                <w:szCs w:val="18"/>
              </w:rPr>
              <w:t>VT Paka Velenje - Skorno</w:t>
            </w:r>
          </w:p>
        </w:tc>
        <w:tc>
          <w:tcPr>
            <w:tcW w:w="1599" w:type="pct"/>
            <w:tcBorders>
              <w:top w:val="nil"/>
              <w:left w:val="nil"/>
              <w:bottom w:val="single" w:sz="4" w:space="0" w:color="auto"/>
              <w:right w:val="nil"/>
            </w:tcBorders>
            <w:shd w:val="clear" w:color="auto" w:fill="FFFFFF" w:themeFill="background1"/>
            <w:noWrap/>
            <w:vAlign w:val="center"/>
            <w:hideMark/>
          </w:tcPr>
          <w:p w14:paraId="19C20A5F" w14:textId="77777777" w:rsidR="00BA1338" w:rsidRPr="00545EC0" w:rsidRDefault="00BA1338" w:rsidP="00BE42F5">
            <w:pPr>
              <w:spacing w:line="240" w:lineRule="auto"/>
              <w:jc w:val="left"/>
              <w:rPr>
                <w:rFonts w:cs="Arial"/>
                <w:sz w:val="18"/>
                <w:szCs w:val="18"/>
              </w:rPr>
            </w:pPr>
            <w:r w:rsidRPr="00545EC0">
              <w:rPr>
                <w:rFonts w:cs="Arial"/>
                <w:sz w:val="18"/>
                <w:szCs w:val="18"/>
              </w:rPr>
              <w:t>Paka, Velunja</w:t>
            </w:r>
          </w:p>
        </w:tc>
        <w:tc>
          <w:tcPr>
            <w:tcW w:w="693" w:type="pct"/>
            <w:vMerge w:val="restart"/>
            <w:tcBorders>
              <w:top w:val="single" w:sz="4" w:space="0" w:color="auto"/>
              <w:left w:val="single" w:sz="4" w:space="0" w:color="auto"/>
              <w:right w:val="single" w:sz="4" w:space="0" w:color="auto"/>
            </w:tcBorders>
            <w:shd w:val="clear" w:color="auto" w:fill="FFFFFF" w:themeFill="background1"/>
            <w:vAlign w:val="center"/>
          </w:tcPr>
          <w:p w14:paraId="4414AC70" w14:textId="77777777" w:rsidR="00BA1338" w:rsidRPr="00545EC0" w:rsidRDefault="00BA1338" w:rsidP="004F2AF2">
            <w:pPr>
              <w:spacing w:line="240" w:lineRule="auto"/>
              <w:rPr>
                <w:rFonts w:cs="Arial"/>
                <w:sz w:val="18"/>
                <w:szCs w:val="18"/>
              </w:rPr>
            </w:pPr>
            <w:r w:rsidRPr="00545EC0">
              <w:rPr>
                <w:rFonts w:cs="Arial"/>
                <w:sz w:val="18"/>
                <w:szCs w:val="18"/>
              </w:rPr>
              <w:t>Savinja</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281AEE"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9DF8EC"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66AC0DC6"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5C54282" w14:textId="77777777" w:rsidR="00BA1338" w:rsidRPr="00545EC0" w:rsidRDefault="00BA1338" w:rsidP="004F2AF2">
            <w:pPr>
              <w:spacing w:line="240" w:lineRule="auto"/>
              <w:rPr>
                <w:rFonts w:cs="Arial"/>
                <w:sz w:val="18"/>
                <w:szCs w:val="18"/>
              </w:rPr>
            </w:pPr>
            <w:r w:rsidRPr="00545EC0">
              <w:rPr>
                <w:rFonts w:cs="Arial"/>
                <w:sz w:val="18"/>
                <w:szCs w:val="18"/>
              </w:rPr>
              <w:t>SI162VT9</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4B952A33" w14:textId="77777777" w:rsidR="00BA1338" w:rsidRPr="00545EC0" w:rsidRDefault="00BA1338" w:rsidP="00BE42F5">
            <w:pPr>
              <w:spacing w:line="240" w:lineRule="auto"/>
              <w:jc w:val="left"/>
              <w:rPr>
                <w:rFonts w:cs="Arial"/>
                <w:sz w:val="18"/>
                <w:szCs w:val="18"/>
              </w:rPr>
            </w:pPr>
            <w:r w:rsidRPr="00545EC0">
              <w:rPr>
                <w:rFonts w:cs="Arial"/>
                <w:sz w:val="18"/>
                <w:szCs w:val="18"/>
              </w:rPr>
              <w:t>VT Paka Skorno - Šmartno</w:t>
            </w:r>
          </w:p>
        </w:tc>
        <w:tc>
          <w:tcPr>
            <w:tcW w:w="1599" w:type="pct"/>
            <w:tcBorders>
              <w:top w:val="nil"/>
              <w:left w:val="nil"/>
              <w:bottom w:val="single" w:sz="4" w:space="0" w:color="auto"/>
              <w:right w:val="nil"/>
            </w:tcBorders>
            <w:shd w:val="clear" w:color="auto" w:fill="FFFFFF" w:themeFill="background1"/>
            <w:noWrap/>
            <w:vAlign w:val="center"/>
            <w:hideMark/>
          </w:tcPr>
          <w:p w14:paraId="3480D07A" w14:textId="77777777" w:rsidR="00BA1338" w:rsidRPr="00545EC0" w:rsidRDefault="00BA1338" w:rsidP="00BE42F5">
            <w:pPr>
              <w:spacing w:line="240" w:lineRule="auto"/>
              <w:jc w:val="left"/>
              <w:rPr>
                <w:rFonts w:cs="Arial"/>
                <w:sz w:val="18"/>
                <w:szCs w:val="18"/>
              </w:rPr>
            </w:pPr>
            <w:r w:rsidRPr="00545EC0">
              <w:rPr>
                <w:rFonts w:cs="Arial"/>
                <w:sz w:val="18"/>
                <w:szCs w:val="18"/>
              </w:rPr>
              <w:t>Paka</w:t>
            </w:r>
          </w:p>
        </w:tc>
        <w:tc>
          <w:tcPr>
            <w:tcW w:w="693" w:type="pct"/>
            <w:vMerge/>
            <w:tcBorders>
              <w:left w:val="single" w:sz="4" w:space="0" w:color="auto"/>
              <w:right w:val="single" w:sz="4" w:space="0" w:color="auto"/>
            </w:tcBorders>
            <w:shd w:val="clear" w:color="auto" w:fill="FFFFFF" w:themeFill="background1"/>
            <w:vAlign w:val="center"/>
          </w:tcPr>
          <w:p w14:paraId="4CCAAC04"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35EB2D" w14:textId="77777777" w:rsidR="00BA1338" w:rsidRPr="00545EC0" w:rsidRDefault="00BA1338" w:rsidP="004F2AF2">
            <w:pPr>
              <w:spacing w:line="240" w:lineRule="auto"/>
              <w:rPr>
                <w:rFonts w:cs="Arial"/>
                <w:sz w:val="18"/>
                <w:szCs w:val="18"/>
              </w:rPr>
            </w:pPr>
            <w:r w:rsidRPr="00545EC0">
              <w:rPr>
                <w:rFonts w:cs="Arial"/>
                <w:sz w:val="18"/>
                <w:szCs w:val="18"/>
              </w:rPr>
              <w:t>0</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8BC908"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4BC8C626"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19944E9" w14:textId="77777777" w:rsidR="00BA1338" w:rsidRPr="00545EC0" w:rsidRDefault="00BA1338" w:rsidP="004F2AF2">
            <w:pPr>
              <w:spacing w:line="240" w:lineRule="auto"/>
              <w:rPr>
                <w:rFonts w:cs="Arial"/>
                <w:sz w:val="18"/>
                <w:szCs w:val="18"/>
              </w:rPr>
            </w:pPr>
            <w:r w:rsidRPr="00545EC0">
              <w:rPr>
                <w:rFonts w:cs="Arial"/>
                <w:sz w:val="18"/>
                <w:szCs w:val="18"/>
              </w:rPr>
              <w:lastRenderedPageBreak/>
              <w:t>SI164VT7</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1FF592A3" w14:textId="77777777" w:rsidR="00BA1338" w:rsidRPr="00545EC0" w:rsidRDefault="00BA1338" w:rsidP="00BE42F5">
            <w:pPr>
              <w:spacing w:line="240" w:lineRule="auto"/>
              <w:jc w:val="left"/>
              <w:rPr>
                <w:rFonts w:cs="Arial"/>
                <w:sz w:val="18"/>
                <w:szCs w:val="18"/>
              </w:rPr>
            </w:pPr>
            <w:r w:rsidRPr="00545EC0">
              <w:rPr>
                <w:rFonts w:cs="Arial"/>
                <w:sz w:val="18"/>
                <w:szCs w:val="18"/>
              </w:rPr>
              <w:t>VT Bolska Kapla - Latkova vas</w:t>
            </w:r>
          </w:p>
        </w:tc>
        <w:tc>
          <w:tcPr>
            <w:tcW w:w="1599" w:type="pct"/>
            <w:tcBorders>
              <w:top w:val="nil"/>
              <w:left w:val="nil"/>
              <w:bottom w:val="single" w:sz="4" w:space="0" w:color="auto"/>
              <w:right w:val="nil"/>
            </w:tcBorders>
            <w:shd w:val="clear" w:color="auto" w:fill="FFFFFF" w:themeFill="background1"/>
            <w:noWrap/>
            <w:vAlign w:val="center"/>
            <w:hideMark/>
          </w:tcPr>
          <w:p w14:paraId="2B073196" w14:textId="77777777" w:rsidR="00BA1338" w:rsidRPr="00545EC0" w:rsidRDefault="00BA1338" w:rsidP="00BE42F5">
            <w:pPr>
              <w:spacing w:line="240" w:lineRule="auto"/>
              <w:jc w:val="left"/>
              <w:rPr>
                <w:rFonts w:cs="Arial"/>
                <w:sz w:val="18"/>
                <w:szCs w:val="18"/>
              </w:rPr>
            </w:pPr>
            <w:r w:rsidRPr="00545EC0">
              <w:rPr>
                <w:rFonts w:cs="Arial"/>
                <w:sz w:val="18"/>
                <w:szCs w:val="18"/>
              </w:rPr>
              <w:t>Bolska, Konjščica, Trnavica</w:t>
            </w:r>
          </w:p>
        </w:tc>
        <w:tc>
          <w:tcPr>
            <w:tcW w:w="693" w:type="pct"/>
            <w:vMerge/>
            <w:tcBorders>
              <w:left w:val="single" w:sz="4" w:space="0" w:color="auto"/>
              <w:right w:val="single" w:sz="4" w:space="0" w:color="auto"/>
            </w:tcBorders>
            <w:shd w:val="clear" w:color="auto" w:fill="FFFFFF" w:themeFill="background1"/>
            <w:vAlign w:val="center"/>
          </w:tcPr>
          <w:p w14:paraId="4E060E13"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56CCC9"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FB2BB5"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5CCB0B46"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0668255" w14:textId="77777777" w:rsidR="00BA1338" w:rsidRPr="00545EC0" w:rsidRDefault="00BA1338" w:rsidP="004F2AF2">
            <w:pPr>
              <w:spacing w:line="240" w:lineRule="auto"/>
              <w:rPr>
                <w:rFonts w:cs="Arial"/>
                <w:sz w:val="18"/>
                <w:szCs w:val="18"/>
              </w:rPr>
            </w:pPr>
            <w:r w:rsidRPr="00545EC0">
              <w:rPr>
                <w:rFonts w:cs="Arial"/>
                <w:sz w:val="18"/>
                <w:szCs w:val="18"/>
              </w:rPr>
              <w:t>SI1688VT2</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27A2F19D" w14:textId="77777777" w:rsidR="00BA1338" w:rsidRPr="00545EC0" w:rsidRDefault="00BA1338" w:rsidP="00BE42F5">
            <w:pPr>
              <w:spacing w:line="240" w:lineRule="auto"/>
              <w:jc w:val="left"/>
              <w:rPr>
                <w:rFonts w:cs="Arial"/>
                <w:sz w:val="18"/>
                <w:szCs w:val="18"/>
              </w:rPr>
            </w:pPr>
            <w:r w:rsidRPr="00545EC0">
              <w:rPr>
                <w:rFonts w:cs="Arial"/>
                <w:sz w:val="18"/>
                <w:szCs w:val="18"/>
              </w:rPr>
              <w:t>VT Hudinja Nova Cerkev - sotočje z Voglajno</w:t>
            </w:r>
          </w:p>
        </w:tc>
        <w:tc>
          <w:tcPr>
            <w:tcW w:w="1599" w:type="pct"/>
            <w:tcBorders>
              <w:top w:val="nil"/>
              <w:left w:val="nil"/>
              <w:bottom w:val="single" w:sz="4" w:space="0" w:color="auto"/>
              <w:right w:val="nil"/>
            </w:tcBorders>
            <w:shd w:val="clear" w:color="auto" w:fill="FFFFFF" w:themeFill="background1"/>
            <w:noWrap/>
            <w:vAlign w:val="center"/>
            <w:hideMark/>
          </w:tcPr>
          <w:p w14:paraId="311BDBBE" w14:textId="77777777" w:rsidR="00BA1338" w:rsidRPr="00545EC0" w:rsidRDefault="00BA1338" w:rsidP="00BE42F5">
            <w:pPr>
              <w:spacing w:line="240" w:lineRule="auto"/>
              <w:jc w:val="left"/>
              <w:rPr>
                <w:rFonts w:cs="Arial"/>
                <w:sz w:val="18"/>
                <w:szCs w:val="18"/>
              </w:rPr>
            </w:pPr>
            <w:r w:rsidRPr="00545EC0">
              <w:rPr>
                <w:rFonts w:cs="Arial"/>
                <w:sz w:val="18"/>
                <w:szCs w:val="18"/>
              </w:rPr>
              <w:t>Hudinja</w:t>
            </w:r>
          </w:p>
        </w:tc>
        <w:tc>
          <w:tcPr>
            <w:tcW w:w="693" w:type="pct"/>
            <w:vMerge/>
            <w:tcBorders>
              <w:left w:val="single" w:sz="4" w:space="0" w:color="auto"/>
              <w:right w:val="single" w:sz="4" w:space="0" w:color="auto"/>
            </w:tcBorders>
            <w:shd w:val="clear" w:color="auto" w:fill="FFFFFF" w:themeFill="background1"/>
            <w:vAlign w:val="center"/>
          </w:tcPr>
          <w:p w14:paraId="14C9DB59"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F09836"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0C0FE9"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4F3B4D51"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47C6E05" w14:textId="77777777" w:rsidR="00BA1338" w:rsidRPr="00545EC0" w:rsidRDefault="00BA1338" w:rsidP="004F2AF2">
            <w:pPr>
              <w:spacing w:line="240" w:lineRule="auto"/>
              <w:rPr>
                <w:rFonts w:cs="Arial"/>
                <w:sz w:val="18"/>
                <w:szCs w:val="18"/>
              </w:rPr>
            </w:pPr>
            <w:r w:rsidRPr="00545EC0">
              <w:rPr>
                <w:rFonts w:cs="Arial"/>
                <w:sz w:val="18"/>
                <w:szCs w:val="18"/>
              </w:rPr>
              <w:t>SI168VT9</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64959DBD" w14:textId="77777777" w:rsidR="00BA1338" w:rsidRPr="00545EC0" w:rsidRDefault="00BA1338" w:rsidP="00BE42F5">
            <w:pPr>
              <w:spacing w:line="240" w:lineRule="auto"/>
              <w:jc w:val="left"/>
              <w:rPr>
                <w:rFonts w:cs="Arial"/>
                <w:sz w:val="18"/>
                <w:szCs w:val="18"/>
              </w:rPr>
            </w:pPr>
            <w:r w:rsidRPr="00545EC0">
              <w:rPr>
                <w:rFonts w:cs="Arial"/>
                <w:sz w:val="18"/>
                <w:szCs w:val="18"/>
              </w:rPr>
              <w:t>VT Voglajna zadrževalnik Slivniško jezero - Celje</w:t>
            </w:r>
          </w:p>
        </w:tc>
        <w:tc>
          <w:tcPr>
            <w:tcW w:w="1599" w:type="pct"/>
            <w:tcBorders>
              <w:top w:val="nil"/>
              <w:left w:val="nil"/>
              <w:bottom w:val="single" w:sz="4" w:space="0" w:color="auto"/>
              <w:right w:val="nil"/>
            </w:tcBorders>
            <w:shd w:val="clear" w:color="auto" w:fill="FFFFFF" w:themeFill="background1"/>
            <w:noWrap/>
            <w:vAlign w:val="center"/>
            <w:hideMark/>
          </w:tcPr>
          <w:p w14:paraId="5AD15977" w14:textId="77777777" w:rsidR="00BA1338" w:rsidRPr="00545EC0" w:rsidRDefault="00BA1338" w:rsidP="00BE42F5">
            <w:pPr>
              <w:spacing w:line="240" w:lineRule="auto"/>
              <w:jc w:val="left"/>
              <w:rPr>
                <w:rFonts w:cs="Arial"/>
                <w:sz w:val="18"/>
                <w:szCs w:val="18"/>
              </w:rPr>
            </w:pPr>
            <w:r w:rsidRPr="00545EC0">
              <w:rPr>
                <w:rFonts w:cs="Arial"/>
                <w:sz w:val="18"/>
                <w:szCs w:val="18"/>
              </w:rPr>
              <w:t>Voglajna Kozarica Pešnica</w:t>
            </w:r>
          </w:p>
        </w:tc>
        <w:tc>
          <w:tcPr>
            <w:tcW w:w="693" w:type="pct"/>
            <w:vMerge/>
            <w:tcBorders>
              <w:left w:val="single" w:sz="4" w:space="0" w:color="auto"/>
              <w:right w:val="single" w:sz="4" w:space="0" w:color="auto"/>
            </w:tcBorders>
            <w:shd w:val="clear" w:color="auto" w:fill="FFFFFF" w:themeFill="background1"/>
            <w:vAlign w:val="center"/>
          </w:tcPr>
          <w:p w14:paraId="2C620319"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1D99E4"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A5A86D"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65C88723"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111EF99" w14:textId="77777777" w:rsidR="00BA1338" w:rsidRPr="00545EC0" w:rsidRDefault="00BA1338" w:rsidP="004F2AF2">
            <w:pPr>
              <w:spacing w:line="240" w:lineRule="auto"/>
              <w:rPr>
                <w:rFonts w:cs="Arial"/>
                <w:sz w:val="18"/>
                <w:szCs w:val="18"/>
              </w:rPr>
            </w:pPr>
            <w:r w:rsidRPr="00545EC0">
              <w:rPr>
                <w:rFonts w:cs="Arial"/>
                <w:sz w:val="18"/>
                <w:szCs w:val="18"/>
              </w:rPr>
              <w:t>SI16VT17</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18218BE3" w14:textId="77777777" w:rsidR="00BA1338" w:rsidRPr="00545EC0" w:rsidRDefault="00BA1338" w:rsidP="00BE42F5">
            <w:pPr>
              <w:spacing w:line="240" w:lineRule="auto"/>
              <w:jc w:val="left"/>
              <w:rPr>
                <w:rFonts w:cs="Arial"/>
                <w:sz w:val="18"/>
                <w:szCs w:val="18"/>
              </w:rPr>
            </w:pPr>
            <w:r w:rsidRPr="00545EC0">
              <w:rPr>
                <w:rFonts w:cs="Arial"/>
                <w:sz w:val="18"/>
                <w:szCs w:val="18"/>
              </w:rPr>
              <w:t>VT Savinja povirje - Letuš</w:t>
            </w:r>
          </w:p>
        </w:tc>
        <w:tc>
          <w:tcPr>
            <w:tcW w:w="1599" w:type="pct"/>
            <w:tcBorders>
              <w:top w:val="nil"/>
              <w:left w:val="nil"/>
              <w:bottom w:val="single" w:sz="4" w:space="0" w:color="auto"/>
              <w:right w:val="nil"/>
            </w:tcBorders>
            <w:shd w:val="clear" w:color="auto" w:fill="FFFFFF" w:themeFill="background1"/>
            <w:noWrap/>
            <w:vAlign w:val="center"/>
            <w:hideMark/>
          </w:tcPr>
          <w:p w14:paraId="5A004BFF" w14:textId="77777777" w:rsidR="00BA1338" w:rsidRPr="00545EC0" w:rsidRDefault="00BA1338" w:rsidP="00BE42F5">
            <w:pPr>
              <w:spacing w:line="240" w:lineRule="auto"/>
              <w:jc w:val="left"/>
              <w:rPr>
                <w:rFonts w:cs="Arial"/>
                <w:sz w:val="18"/>
                <w:szCs w:val="18"/>
              </w:rPr>
            </w:pPr>
            <w:r w:rsidRPr="00545EC0">
              <w:rPr>
                <w:rFonts w:cs="Arial"/>
                <w:sz w:val="18"/>
                <w:szCs w:val="18"/>
              </w:rPr>
              <w:t>Savinja, Lučnica</w:t>
            </w:r>
          </w:p>
        </w:tc>
        <w:tc>
          <w:tcPr>
            <w:tcW w:w="693" w:type="pct"/>
            <w:vMerge/>
            <w:tcBorders>
              <w:left w:val="single" w:sz="4" w:space="0" w:color="auto"/>
              <w:right w:val="single" w:sz="4" w:space="0" w:color="auto"/>
            </w:tcBorders>
            <w:shd w:val="clear" w:color="auto" w:fill="FFFFFF" w:themeFill="background1"/>
            <w:vAlign w:val="center"/>
          </w:tcPr>
          <w:p w14:paraId="587048E2"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A8D85F"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819F48"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2AEE1956"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8F53ED4" w14:textId="77777777" w:rsidR="00BA1338" w:rsidRPr="00545EC0" w:rsidRDefault="00BA1338" w:rsidP="004F2AF2">
            <w:pPr>
              <w:spacing w:line="240" w:lineRule="auto"/>
              <w:rPr>
                <w:rFonts w:cs="Arial"/>
                <w:sz w:val="18"/>
                <w:szCs w:val="18"/>
              </w:rPr>
            </w:pPr>
            <w:r w:rsidRPr="00545EC0">
              <w:rPr>
                <w:rFonts w:cs="Arial"/>
                <w:sz w:val="18"/>
                <w:szCs w:val="18"/>
              </w:rPr>
              <w:t>SI16VT70</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5378212F" w14:textId="77777777" w:rsidR="00BA1338" w:rsidRPr="00545EC0" w:rsidRDefault="00BA1338" w:rsidP="00BE42F5">
            <w:pPr>
              <w:spacing w:line="240" w:lineRule="auto"/>
              <w:jc w:val="left"/>
              <w:rPr>
                <w:rFonts w:cs="Arial"/>
                <w:sz w:val="18"/>
                <w:szCs w:val="18"/>
              </w:rPr>
            </w:pPr>
            <w:r w:rsidRPr="00545EC0">
              <w:rPr>
                <w:rFonts w:cs="Arial"/>
                <w:sz w:val="18"/>
                <w:szCs w:val="18"/>
              </w:rPr>
              <w:t>VT Savinja Letuš - Celje</w:t>
            </w:r>
          </w:p>
        </w:tc>
        <w:tc>
          <w:tcPr>
            <w:tcW w:w="1599" w:type="pct"/>
            <w:tcBorders>
              <w:top w:val="nil"/>
              <w:left w:val="nil"/>
              <w:bottom w:val="single" w:sz="4" w:space="0" w:color="auto"/>
              <w:right w:val="nil"/>
            </w:tcBorders>
            <w:shd w:val="clear" w:color="auto" w:fill="FFFFFF" w:themeFill="background1"/>
            <w:noWrap/>
            <w:vAlign w:val="center"/>
            <w:hideMark/>
          </w:tcPr>
          <w:p w14:paraId="429DDD91" w14:textId="77777777" w:rsidR="00BA1338" w:rsidRPr="00545EC0" w:rsidRDefault="00BA1338" w:rsidP="00BE42F5">
            <w:pPr>
              <w:spacing w:line="240" w:lineRule="auto"/>
              <w:jc w:val="left"/>
              <w:rPr>
                <w:rFonts w:cs="Arial"/>
                <w:sz w:val="18"/>
                <w:szCs w:val="18"/>
              </w:rPr>
            </w:pPr>
            <w:r w:rsidRPr="00545EC0">
              <w:rPr>
                <w:rFonts w:cs="Arial"/>
                <w:sz w:val="18"/>
                <w:szCs w:val="18"/>
              </w:rPr>
              <w:t xml:space="preserve">Savinja, Ložnica Pirešica, Ložnica (Zalog), Koprivnica </w:t>
            </w:r>
          </w:p>
        </w:tc>
        <w:tc>
          <w:tcPr>
            <w:tcW w:w="693" w:type="pct"/>
            <w:vMerge/>
            <w:tcBorders>
              <w:left w:val="single" w:sz="4" w:space="0" w:color="auto"/>
              <w:right w:val="single" w:sz="4" w:space="0" w:color="auto"/>
            </w:tcBorders>
            <w:shd w:val="clear" w:color="auto" w:fill="FFFFFF" w:themeFill="background1"/>
            <w:vAlign w:val="center"/>
          </w:tcPr>
          <w:p w14:paraId="3D49E72E"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36B1F1"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554968"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2EB9B5A9"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B4ECA11" w14:textId="77777777" w:rsidR="00BA1338" w:rsidRPr="00545EC0" w:rsidRDefault="00BA1338" w:rsidP="004F2AF2">
            <w:pPr>
              <w:spacing w:line="240" w:lineRule="auto"/>
              <w:rPr>
                <w:rFonts w:cs="Arial"/>
                <w:sz w:val="18"/>
                <w:szCs w:val="18"/>
              </w:rPr>
            </w:pPr>
            <w:r w:rsidRPr="00545EC0">
              <w:rPr>
                <w:rFonts w:cs="Arial"/>
                <w:sz w:val="18"/>
                <w:szCs w:val="18"/>
              </w:rPr>
              <w:t>SI16VT97</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68AAAF23" w14:textId="77777777" w:rsidR="00BA1338" w:rsidRPr="00545EC0" w:rsidRDefault="00BA1338" w:rsidP="00BE42F5">
            <w:pPr>
              <w:spacing w:line="240" w:lineRule="auto"/>
              <w:jc w:val="left"/>
              <w:rPr>
                <w:rFonts w:cs="Arial"/>
                <w:sz w:val="18"/>
                <w:szCs w:val="18"/>
              </w:rPr>
            </w:pPr>
            <w:r w:rsidRPr="00545EC0">
              <w:rPr>
                <w:rFonts w:cs="Arial"/>
                <w:sz w:val="18"/>
                <w:szCs w:val="18"/>
              </w:rPr>
              <w:t>VT Savinja Celje - Zidani Most</w:t>
            </w:r>
          </w:p>
        </w:tc>
        <w:tc>
          <w:tcPr>
            <w:tcW w:w="1599" w:type="pct"/>
            <w:tcBorders>
              <w:top w:val="nil"/>
              <w:left w:val="nil"/>
              <w:bottom w:val="single" w:sz="4" w:space="0" w:color="auto"/>
              <w:right w:val="nil"/>
            </w:tcBorders>
            <w:shd w:val="clear" w:color="auto" w:fill="FFFFFF" w:themeFill="background1"/>
            <w:noWrap/>
            <w:vAlign w:val="center"/>
            <w:hideMark/>
          </w:tcPr>
          <w:p w14:paraId="770DBE0F" w14:textId="77777777" w:rsidR="00BA1338" w:rsidRPr="00545EC0" w:rsidRDefault="00BA1338" w:rsidP="00BE42F5">
            <w:pPr>
              <w:spacing w:line="240" w:lineRule="auto"/>
              <w:jc w:val="left"/>
              <w:rPr>
                <w:rFonts w:cs="Arial"/>
                <w:sz w:val="18"/>
                <w:szCs w:val="18"/>
              </w:rPr>
            </w:pPr>
            <w:r w:rsidRPr="00545EC0">
              <w:rPr>
                <w:rFonts w:cs="Arial"/>
                <w:sz w:val="18"/>
                <w:szCs w:val="18"/>
              </w:rPr>
              <w:t>Lahomnica</w:t>
            </w:r>
          </w:p>
        </w:tc>
        <w:tc>
          <w:tcPr>
            <w:tcW w:w="693" w:type="pct"/>
            <w:vMerge/>
            <w:tcBorders>
              <w:left w:val="single" w:sz="4" w:space="0" w:color="auto"/>
              <w:bottom w:val="single" w:sz="4" w:space="0" w:color="auto"/>
              <w:right w:val="single" w:sz="4" w:space="0" w:color="auto"/>
            </w:tcBorders>
            <w:shd w:val="clear" w:color="auto" w:fill="FFFFFF" w:themeFill="background1"/>
            <w:vAlign w:val="center"/>
          </w:tcPr>
          <w:p w14:paraId="65413850"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1A4070" w14:textId="77777777" w:rsidR="00BA1338" w:rsidRPr="00545EC0" w:rsidRDefault="00BA1338" w:rsidP="004F2AF2">
            <w:pPr>
              <w:spacing w:line="240" w:lineRule="auto"/>
              <w:rPr>
                <w:rFonts w:cs="Arial"/>
                <w:sz w:val="18"/>
                <w:szCs w:val="18"/>
              </w:rPr>
            </w:pPr>
            <w:r w:rsidRPr="00545EC0">
              <w:rPr>
                <w:rFonts w:cs="Arial"/>
                <w:sz w:val="18"/>
                <w:szCs w:val="18"/>
              </w:rPr>
              <w:t>0</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26C755"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77D64AC9"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57AED90" w14:textId="77777777" w:rsidR="00BA1338" w:rsidRPr="00545EC0" w:rsidRDefault="00BA1338" w:rsidP="004F2AF2">
            <w:pPr>
              <w:spacing w:line="240" w:lineRule="auto"/>
              <w:rPr>
                <w:rFonts w:cs="Arial"/>
                <w:sz w:val="18"/>
                <w:szCs w:val="18"/>
              </w:rPr>
            </w:pPr>
            <w:r w:rsidRPr="00545EC0">
              <w:rPr>
                <w:rFonts w:cs="Arial"/>
                <w:sz w:val="18"/>
                <w:szCs w:val="18"/>
              </w:rPr>
              <w:t>SI322VT3</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77F866A1" w14:textId="77777777" w:rsidR="00BA1338" w:rsidRPr="00545EC0" w:rsidRDefault="00BA1338" w:rsidP="00BE42F5">
            <w:pPr>
              <w:spacing w:line="240" w:lineRule="auto"/>
              <w:jc w:val="left"/>
              <w:rPr>
                <w:rFonts w:cs="Arial"/>
                <w:sz w:val="18"/>
                <w:szCs w:val="18"/>
              </w:rPr>
            </w:pPr>
            <w:r w:rsidRPr="00545EC0">
              <w:rPr>
                <w:rFonts w:cs="Arial"/>
                <w:sz w:val="18"/>
                <w:szCs w:val="18"/>
              </w:rPr>
              <w:t>VT Mislinja povirje - Slovenj Gradec</w:t>
            </w:r>
          </w:p>
        </w:tc>
        <w:tc>
          <w:tcPr>
            <w:tcW w:w="1599" w:type="pct"/>
            <w:tcBorders>
              <w:top w:val="nil"/>
              <w:left w:val="nil"/>
              <w:bottom w:val="single" w:sz="4" w:space="0" w:color="auto"/>
              <w:right w:val="nil"/>
            </w:tcBorders>
            <w:shd w:val="clear" w:color="auto" w:fill="FFFFFF" w:themeFill="background1"/>
            <w:noWrap/>
            <w:vAlign w:val="center"/>
            <w:hideMark/>
          </w:tcPr>
          <w:p w14:paraId="0F862CF8" w14:textId="77777777" w:rsidR="00BA1338" w:rsidRPr="00545EC0" w:rsidRDefault="00BA1338" w:rsidP="00BE42F5">
            <w:pPr>
              <w:spacing w:line="240" w:lineRule="auto"/>
              <w:jc w:val="left"/>
              <w:rPr>
                <w:rFonts w:cs="Arial"/>
                <w:sz w:val="18"/>
                <w:szCs w:val="18"/>
              </w:rPr>
            </w:pPr>
            <w:r w:rsidRPr="00545EC0">
              <w:rPr>
                <w:rFonts w:cs="Arial"/>
                <w:sz w:val="18"/>
                <w:szCs w:val="18"/>
              </w:rPr>
              <w:t>Mislinja</w:t>
            </w:r>
          </w:p>
        </w:tc>
        <w:tc>
          <w:tcPr>
            <w:tcW w:w="693" w:type="pct"/>
            <w:vMerge w:val="restart"/>
            <w:tcBorders>
              <w:top w:val="single" w:sz="4" w:space="0" w:color="auto"/>
              <w:left w:val="single" w:sz="4" w:space="0" w:color="auto"/>
              <w:right w:val="single" w:sz="4" w:space="0" w:color="auto"/>
            </w:tcBorders>
            <w:shd w:val="clear" w:color="auto" w:fill="FFFFFF" w:themeFill="background1"/>
            <w:vAlign w:val="center"/>
          </w:tcPr>
          <w:p w14:paraId="2977F0F3" w14:textId="77777777" w:rsidR="00BA1338" w:rsidRPr="00545EC0" w:rsidRDefault="00BA1338" w:rsidP="004F2AF2">
            <w:pPr>
              <w:spacing w:line="240" w:lineRule="auto"/>
              <w:rPr>
                <w:rFonts w:cs="Arial"/>
                <w:sz w:val="18"/>
                <w:szCs w:val="18"/>
              </w:rPr>
            </w:pPr>
            <w:r w:rsidRPr="00545EC0">
              <w:rPr>
                <w:rFonts w:cs="Arial"/>
                <w:sz w:val="18"/>
                <w:szCs w:val="18"/>
              </w:rPr>
              <w:t>Drava</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635F5C"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4E3864"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0AC11EFE"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30007F6" w14:textId="77777777" w:rsidR="00BA1338" w:rsidRPr="00545EC0" w:rsidRDefault="00BA1338" w:rsidP="004F2AF2">
            <w:pPr>
              <w:spacing w:line="240" w:lineRule="auto"/>
              <w:rPr>
                <w:rFonts w:cs="Arial"/>
                <w:sz w:val="18"/>
                <w:szCs w:val="18"/>
              </w:rPr>
            </w:pPr>
            <w:r w:rsidRPr="00545EC0">
              <w:rPr>
                <w:rFonts w:cs="Arial"/>
                <w:sz w:val="18"/>
                <w:szCs w:val="18"/>
              </w:rPr>
              <w:t>SI322VT7</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633E6DD0" w14:textId="77777777" w:rsidR="00BA1338" w:rsidRPr="00545EC0" w:rsidRDefault="00BA1338" w:rsidP="00BE42F5">
            <w:pPr>
              <w:spacing w:line="240" w:lineRule="auto"/>
              <w:jc w:val="left"/>
              <w:rPr>
                <w:rFonts w:cs="Arial"/>
                <w:sz w:val="18"/>
                <w:szCs w:val="18"/>
              </w:rPr>
            </w:pPr>
            <w:r w:rsidRPr="00545EC0">
              <w:rPr>
                <w:rFonts w:cs="Arial"/>
                <w:sz w:val="18"/>
                <w:szCs w:val="18"/>
              </w:rPr>
              <w:t>VT Mislinja Slovenj Gradec - Otiški vrh</w:t>
            </w:r>
          </w:p>
        </w:tc>
        <w:tc>
          <w:tcPr>
            <w:tcW w:w="1599" w:type="pct"/>
            <w:tcBorders>
              <w:top w:val="nil"/>
              <w:left w:val="nil"/>
              <w:bottom w:val="single" w:sz="4" w:space="0" w:color="auto"/>
              <w:right w:val="nil"/>
            </w:tcBorders>
            <w:shd w:val="clear" w:color="auto" w:fill="FFFFFF" w:themeFill="background1"/>
            <w:noWrap/>
            <w:vAlign w:val="center"/>
            <w:hideMark/>
          </w:tcPr>
          <w:p w14:paraId="6D07B1BB" w14:textId="77777777" w:rsidR="00BA1338" w:rsidRPr="00545EC0" w:rsidRDefault="00BA1338" w:rsidP="00BE42F5">
            <w:pPr>
              <w:spacing w:line="240" w:lineRule="auto"/>
              <w:jc w:val="left"/>
              <w:rPr>
                <w:rFonts w:cs="Arial"/>
                <w:sz w:val="18"/>
                <w:szCs w:val="18"/>
              </w:rPr>
            </w:pPr>
            <w:r w:rsidRPr="00545EC0">
              <w:rPr>
                <w:rFonts w:cs="Arial"/>
                <w:sz w:val="18"/>
                <w:szCs w:val="18"/>
              </w:rPr>
              <w:t>Mislinja, Suhodolnica</w:t>
            </w:r>
          </w:p>
        </w:tc>
        <w:tc>
          <w:tcPr>
            <w:tcW w:w="693" w:type="pct"/>
            <w:vMerge/>
            <w:tcBorders>
              <w:left w:val="single" w:sz="4" w:space="0" w:color="auto"/>
              <w:right w:val="single" w:sz="4" w:space="0" w:color="auto"/>
            </w:tcBorders>
            <w:shd w:val="clear" w:color="auto" w:fill="FFFFFF" w:themeFill="background1"/>
            <w:vAlign w:val="center"/>
          </w:tcPr>
          <w:p w14:paraId="5B3A45B9"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91AE89"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E19FEE"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0BA0CAFD"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DCEAC39" w14:textId="77777777" w:rsidR="00BA1338" w:rsidRPr="00545EC0" w:rsidRDefault="00BA1338" w:rsidP="004F2AF2">
            <w:pPr>
              <w:spacing w:line="240" w:lineRule="auto"/>
              <w:rPr>
                <w:rFonts w:cs="Arial"/>
                <w:sz w:val="18"/>
                <w:szCs w:val="18"/>
              </w:rPr>
            </w:pPr>
            <w:r w:rsidRPr="00545EC0">
              <w:rPr>
                <w:rFonts w:cs="Arial"/>
                <w:sz w:val="18"/>
                <w:szCs w:val="18"/>
              </w:rPr>
              <w:t>SI32VT11</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6CB1D827" w14:textId="77777777" w:rsidR="00BA1338" w:rsidRPr="00545EC0" w:rsidRDefault="00BA1338" w:rsidP="00BE42F5">
            <w:pPr>
              <w:spacing w:line="240" w:lineRule="auto"/>
              <w:jc w:val="left"/>
              <w:rPr>
                <w:rFonts w:cs="Arial"/>
                <w:sz w:val="18"/>
                <w:szCs w:val="18"/>
              </w:rPr>
            </w:pPr>
            <w:r w:rsidRPr="00545EC0">
              <w:rPr>
                <w:rFonts w:cs="Arial"/>
                <w:sz w:val="18"/>
                <w:szCs w:val="18"/>
              </w:rPr>
              <w:t>VT Meža povirje - Črna na Koroškem</w:t>
            </w:r>
          </w:p>
        </w:tc>
        <w:tc>
          <w:tcPr>
            <w:tcW w:w="1599" w:type="pct"/>
            <w:tcBorders>
              <w:top w:val="nil"/>
              <w:left w:val="nil"/>
              <w:bottom w:val="single" w:sz="4" w:space="0" w:color="auto"/>
              <w:right w:val="nil"/>
            </w:tcBorders>
            <w:shd w:val="clear" w:color="auto" w:fill="FFFFFF" w:themeFill="background1"/>
            <w:noWrap/>
            <w:vAlign w:val="center"/>
            <w:hideMark/>
          </w:tcPr>
          <w:p w14:paraId="7DBE3B03" w14:textId="77777777" w:rsidR="00BA1338" w:rsidRPr="00545EC0" w:rsidRDefault="00BA1338" w:rsidP="00BE42F5">
            <w:pPr>
              <w:spacing w:line="240" w:lineRule="auto"/>
              <w:jc w:val="left"/>
              <w:rPr>
                <w:rFonts w:cs="Arial"/>
                <w:sz w:val="18"/>
                <w:szCs w:val="18"/>
              </w:rPr>
            </w:pPr>
            <w:r w:rsidRPr="00545EC0">
              <w:rPr>
                <w:rFonts w:cs="Arial"/>
                <w:sz w:val="18"/>
                <w:szCs w:val="18"/>
              </w:rPr>
              <w:t>Meža</w:t>
            </w:r>
          </w:p>
        </w:tc>
        <w:tc>
          <w:tcPr>
            <w:tcW w:w="693" w:type="pct"/>
            <w:vMerge/>
            <w:tcBorders>
              <w:left w:val="single" w:sz="4" w:space="0" w:color="auto"/>
              <w:right w:val="single" w:sz="4" w:space="0" w:color="auto"/>
            </w:tcBorders>
            <w:shd w:val="clear" w:color="auto" w:fill="FFFFFF" w:themeFill="background1"/>
            <w:vAlign w:val="center"/>
          </w:tcPr>
          <w:p w14:paraId="05EAE30C"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14E7B4"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099B8B"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70A35A9C"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297F4D3" w14:textId="77777777" w:rsidR="00BA1338" w:rsidRPr="00545EC0" w:rsidRDefault="00BA1338" w:rsidP="004F2AF2">
            <w:pPr>
              <w:spacing w:line="240" w:lineRule="auto"/>
              <w:rPr>
                <w:rFonts w:cs="Arial"/>
                <w:sz w:val="18"/>
                <w:szCs w:val="18"/>
              </w:rPr>
            </w:pPr>
            <w:r w:rsidRPr="00545EC0">
              <w:rPr>
                <w:rFonts w:cs="Arial"/>
                <w:sz w:val="18"/>
                <w:szCs w:val="18"/>
              </w:rPr>
              <w:t>SI32VT30</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0A980A88" w14:textId="77777777" w:rsidR="00BA1338" w:rsidRPr="00545EC0" w:rsidRDefault="00BA1338" w:rsidP="00BE42F5">
            <w:pPr>
              <w:spacing w:line="240" w:lineRule="auto"/>
              <w:jc w:val="left"/>
              <w:rPr>
                <w:rFonts w:cs="Arial"/>
                <w:sz w:val="18"/>
                <w:szCs w:val="18"/>
              </w:rPr>
            </w:pPr>
            <w:r w:rsidRPr="00545EC0">
              <w:rPr>
                <w:rFonts w:cs="Arial"/>
                <w:sz w:val="18"/>
                <w:szCs w:val="18"/>
              </w:rPr>
              <w:t>VT Meža Črna na Koroškem - Dravograd</w:t>
            </w:r>
          </w:p>
        </w:tc>
        <w:tc>
          <w:tcPr>
            <w:tcW w:w="1599" w:type="pct"/>
            <w:tcBorders>
              <w:top w:val="nil"/>
              <w:left w:val="nil"/>
              <w:bottom w:val="single" w:sz="4" w:space="0" w:color="auto"/>
              <w:right w:val="nil"/>
            </w:tcBorders>
            <w:shd w:val="clear" w:color="auto" w:fill="FFFFFF" w:themeFill="background1"/>
            <w:noWrap/>
            <w:vAlign w:val="center"/>
            <w:hideMark/>
          </w:tcPr>
          <w:p w14:paraId="05D8B679" w14:textId="77777777" w:rsidR="00BA1338" w:rsidRPr="00545EC0" w:rsidRDefault="00BA1338" w:rsidP="00BE42F5">
            <w:pPr>
              <w:spacing w:line="240" w:lineRule="auto"/>
              <w:jc w:val="left"/>
              <w:rPr>
                <w:rFonts w:cs="Arial"/>
                <w:sz w:val="18"/>
                <w:szCs w:val="18"/>
              </w:rPr>
            </w:pPr>
            <w:r w:rsidRPr="00545EC0">
              <w:rPr>
                <w:rFonts w:cs="Arial"/>
                <w:sz w:val="18"/>
                <w:szCs w:val="18"/>
              </w:rPr>
              <w:t>Meža, Javorski potok, Hotuljka</w:t>
            </w:r>
          </w:p>
        </w:tc>
        <w:tc>
          <w:tcPr>
            <w:tcW w:w="693" w:type="pct"/>
            <w:vMerge/>
            <w:tcBorders>
              <w:left w:val="single" w:sz="4" w:space="0" w:color="auto"/>
              <w:right w:val="single" w:sz="4" w:space="0" w:color="auto"/>
            </w:tcBorders>
            <w:shd w:val="clear" w:color="auto" w:fill="FFFFFF" w:themeFill="background1"/>
            <w:vAlign w:val="center"/>
          </w:tcPr>
          <w:p w14:paraId="65DCFE7C"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1BB7EB"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6BA4F0"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1B314857"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5D80131" w14:textId="77777777" w:rsidR="00BA1338" w:rsidRPr="00545EC0" w:rsidRDefault="00BA1338" w:rsidP="004F2AF2">
            <w:pPr>
              <w:spacing w:line="240" w:lineRule="auto"/>
              <w:rPr>
                <w:rFonts w:cs="Arial"/>
                <w:sz w:val="18"/>
                <w:szCs w:val="18"/>
              </w:rPr>
            </w:pPr>
            <w:r w:rsidRPr="00545EC0">
              <w:rPr>
                <w:rFonts w:cs="Arial"/>
                <w:sz w:val="18"/>
                <w:szCs w:val="18"/>
              </w:rPr>
              <w:t>SI35172VT</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0AB28BA5" w14:textId="77777777" w:rsidR="00BA1338" w:rsidRPr="00545EC0" w:rsidRDefault="00BA1338" w:rsidP="00BE42F5">
            <w:pPr>
              <w:spacing w:line="240" w:lineRule="auto"/>
              <w:jc w:val="left"/>
              <w:rPr>
                <w:rFonts w:cs="Arial"/>
                <w:sz w:val="18"/>
                <w:szCs w:val="18"/>
              </w:rPr>
            </w:pPr>
            <w:r w:rsidRPr="00545EC0">
              <w:rPr>
                <w:rFonts w:cs="Arial"/>
                <w:sz w:val="18"/>
                <w:szCs w:val="18"/>
              </w:rPr>
              <w:t>UVT Kanal HE Zlatoličje</w:t>
            </w:r>
          </w:p>
        </w:tc>
        <w:tc>
          <w:tcPr>
            <w:tcW w:w="1599" w:type="pct"/>
            <w:tcBorders>
              <w:top w:val="nil"/>
              <w:left w:val="nil"/>
              <w:bottom w:val="single" w:sz="4" w:space="0" w:color="auto"/>
              <w:right w:val="nil"/>
            </w:tcBorders>
            <w:shd w:val="clear" w:color="auto" w:fill="FFFFFF" w:themeFill="background1"/>
            <w:noWrap/>
            <w:vAlign w:val="center"/>
            <w:hideMark/>
          </w:tcPr>
          <w:p w14:paraId="7EA4006B" w14:textId="77777777" w:rsidR="00BA1338" w:rsidRPr="00545EC0" w:rsidRDefault="00BA1338" w:rsidP="00BE42F5">
            <w:pPr>
              <w:spacing w:line="240" w:lineRule="auto"/>
              <w:jc w:val="left"/>
              <w:rPr>
                <w:rFonts w:cs="Arial"/>
                <w:sz w:val="18"/>
                <w:szCs w:val="18"/>
              </w:rPr>
            </w:pPr>
            <w:r w:rsidRPr="00545EC0">
              <w:rPr>
                <w:rFonts w:cs="Arial"/>
                <w:sz w:val="18"/>
                <w:szCs w:val="18"/>
              </w:rPr>
              <w:t>Kanal HE Zlatoličje</w:t>
            </w:r>
          </w:p>
        </w:tc>
        <w:tc>
          <w:tcPr>
            <w:tcW w:w="693" w:type="pct"/>
            <w:vMerge/>
            <w:tcBorders>
              <w:left w:val="single" w:sz="4" w:space="0" w:color="auto"/>
              <w:right w:val="single" w:sz="4" w:space="0" w:color="auto"/>
            </w:tcBorders>
            <w:shd w:val="clear" w:color="auto" w:fill="FFFFFF" w:themeFill="background1"/>
            <w:vAlign w:val="center"/>
          </w:tcPr>
          <w:p w14:paraId="74B11403"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599CC4"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DFF7C7"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54A681CC"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CB0EA2D" w14:textId="77777777" w:rsidR="00BA1338" w:rsidRPr="00545EC0" w:rsidRDefault="00BA1338" w:rsidP="004F2AF2">
            <w:pPr>
              <w:spacing w:line="240" w:lineRule="auto"/>
              <w:rPr>
                <w:rFonts w:cs="Arial"/>
                <w:sz w:val="18"/>
                <w:szCs w:val="18"/>
              </w:rPr>
            </w:pPr>
            <w:r w:rsidRPr="00545EC0">
              <w:rPr>
                <w:rFonts w:cs="Arial"/>
                <w:sz w:val="18"/>
                <w:szCs w:val="18"/>
              </w:rPr>
              <w:t>SI364VT7</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3A149F82" w14:textId="77777777" w:rsidR="00BA1338" w:rsidRPr="00545EC0" w:rsidRDefault="00BA1338" w:rsidP="00BE42F5">
            <w:pPr>
              <w:spacing w:line="240" w:lineRule="auto"/>
              <w:jc w:val="left"/>
              <w:rPr>
                <w:rFonts w:cs="Arial"/>
                <w:sz w:val="18"/>
                <w:szCs w:val="18"/>
              </w:rPr>
            </w:pPr>
            <w:r w:rsidRPr="00545EC0">
              <w:rPr>
                <w:rFonts w:cs="Arial"/>
                <w:sz w:val="18"/>
                <w:szCs w:val="18"/>
              </w:rPr>
              <w:t>VT Ložnica Slovenska Bistrica - Pečke</w:t>
            </w:r>
          </w:p>
        </w:tc>
        <w:tc>
          <w:tcPr>
            <w:tcW w:w="1599" w:type="pct"/>
            <w:tcBorders>
              <w:top w:val="nil"/>
              <w:left w:val="nil"/>
              <w:bottom w:val="single" w:sz="4" w:space="0" w:color="auto"/>
              <w:right w:val="nil"/>
            </w:tcBorders>
            <w:shd w:val="clear" w:color="auto" w:fill="FFFFFF" w:themeFill="background1"/>
            <w:noWrap/>
            <w:vAlign w:val="center"/>
            <w:hideMark/>
          </w:tcPr>
          <w:p w14:paraId="44380BED" w14:textId="77777777" w:rsidR="00BA1338" w:rsidRPr="00545EC0" w:rsidRDefault="00BA1338" w:rsidP="00BE42F5">
            <w:pPr>
              <w:spacing w:line="240" w:lineRule="auto"/>
              <w:jc w:val="left"/>
              <w:rPr>
                <w:rFonts w:cs="Arial"/>
                <w:sz w:val="18"/>
                <w:szCs w:val="18"/>
              </w:rPr>
            </w:pPr>
            <w:r w:rsidRPr="00545EC0">
              <w:rPr>
                <w:rFonts w:cs="Arial"/>
                <w:sz w:val="18"/>
                <w:szCs w:val="18"/>
              </w:rPr>
              <w:t>Ložnica, Bistrica</w:t>
            </w:r>
          </w:p>
        </w:tc>
        <w:tc>
          <w:tcPr>
            <w:tcW w:w="693" w:type="pct"/>
            <w:vMerge/>
            <w:tcBorders>
              <w:left w:val="single" w:sz="4" w:space="0" w:color="auto"/>
              <w:right w:val="single" w:sz="4" w:space="0" w:color="auto"/>
            </w:tcBorders>
            <w:shd w:val="clear" w:color="auto" w:fill="FFFFFF" w:themeFill="background1"/>
            <w:vAlign w:val="center"/>
          </w:tcPr>
          <w:p w14:paraId="352E6ACD"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C3FCEF"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CB3B16"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417A8B7C"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2CE61E7" w14:textId="77777777" w:rsidR="00BA1338" w:rsidRPr="00545EC0" w:rsidRDefault="00BA1338" w:rsidP="004F2AF2">
            <w:pPr>
              <w:spacing w:line="240" w:lineRule="auto"/>
              <w:rPr>
                <w:rFonts w:cs="Arial"/>
                <w:sz w:val="18"/>
                <w:szCs w:val="18"/>
              </w:rPr>
            </w:pPr>
            <w:r w:rsidRPr="00545EC0">
              <w:rPr>
                <w:rFonts w:cs="Arial"/>
                <w:sz w:val="18"/>
                <w:szCs w:val="18"/>
              </w:rPr>
              <w:t>SI368VT9</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128E98E3" w14:textId="77777777" w:rsidR="00BA1338" w:rsidRPr="00545EC0" w:rsidRDefault="00BA1338" w:rsidP="00BE42F5">
            <w:pPr>
              <w:spacing w:line="240" w:lineRule="auto"/>
              <w:jc w:val="left"/>
              <w:rPr>
                <w:rFonts w:cs="Arial"/>
                <w:sz w:val="18"/>
                <w:szCs w:val="18"/>
              </w:rPr>
            </w:pPr>
            <w:r w:rsidRPr="00545EC0">
              <w:rPr>
                <w:rFonts w:cs="Arial"/>
                <w:sz w:val="18"/>
                <w:szCs w:val="18"/>
              </w:rPr>
              <w:t>VT Polskava Zgornja Polskava - Tržec</w:t>
            </w:r>
          </w:p>
        </w:tc>
        <w:tc>
          <w:tcPr>
            <w:tcW w:w="1599" w:type="pct"/>
            <w:tcBorders>
              <w:top w:val="nil"/>
              <w:left w:val="nil"/>
              <w:bottom w:val="single" w:sz="4" w:space="0" w:color="auto"/>
              <w:right w:val="nil"/>
            </w:tcBorders>
            <w:shd w:val="clear" w:color="auto" w:fill="FFFFFF" w:themeFill="background1"/>
            <w:noWrap/>
            <w:vAlign w:val="center"/>
            <w:hideMark/>
          </w:tcPr>
          <w:p w14:paraId="038BF843" w14:textId="77777777" w:rsidR="00BA1338" w:rsidRPr="00545EC0" w:rsidRDefault="00BA1338" w:rsidP="00BE42F5">
            <w:pPr>
              <w:spacing w:line="240" w:lineRule="auto"/>
              <w:jc w:val="left"/>
              <w:rPr>
                <w:rFonts w:cs="Arial"/>
                <w:sz w:val="18"/>
                <w:szCs w:val="18"/>
              </w:rPr>
            </w:pPr>
            <w:r w:rsidRPr="00545EC0">
              <w:rPr>
                <w:rFonts w:cs="Arial"/>
                <w:sz w:val="18"/>
                <w:szCs w:val="18"/>
              </w:rPr>
              <w:t>Polskava, Devinski potok, Framski potok</w:t>
            </w:r>
          </w:p>
        </w:tc>
        <w:tc>
          <w:tcPr>
            <w:tcW w:w="693" w:type="pct"/>
            <w:vMerge/>
            <w:tcBorders>
              <w:left w:val="single" w:sz="4" w:space="0" w:color="auto"/>
              <w:right w:val="single" w:sz="4" w:space="0" w:color="auto"/>
            </w:tcBorders>
            <w:shd w:val="clear" w:color="auto" w:fill="FFFFFF" w:themeFill="background1"/>
            <w:vAlign w:val="center"/>
          </w:tcPr>
          <w:p w14:paraId="2BBFD3DE"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2FC7F5"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16F9D1"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7F814D15"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545F59B" w14:textId="77777777" w:rsidR="00BA1338" w:rsidRPr="00545EC0" w:rsidRDefault="00BA1338" w:rsidP="004F2AF2">
            <w:pPr>
              <w:spacing w:line="240" w:lineRule="auto"/>
              <w:rPr>
                <w:rFonts w:cs="Arial"/>
                <w:sz w:val="18"/>
                <w:szCs w:val="18"/>
              </w:rPr>
            </w:pPr>
            <w:r w:rsidRPr="00545EC0">
              <w:rPr>
                <w:rFonts w:cs="Arial"/>
                <w:sz w:val="18"/>
                <w:szCs w:val="18"/>
              </w:rPr>
              <w:t>SI36VT90</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37EC01D1" w14:textId="77777777" w:rsidR="00BA1338" w:rsidRPr="00545EC0" w:rsidRDefault="00BA1338" w:rsidP="00BE42F5">
            <w:pPr>
              <w:spacing w:line="240" w:lineRule="auto"/>
              <w:jc w:val="left"/>
              <w:rPr>
                <w:rFonts w:cs="Arial"/>
                <w:sz w:val="18"/>
                <w:szCs w:val="18"/>
              </w:rPr>
            </w:pPr>
            <w:r w:rsidRPr="00545EC0">
              <w:rPr>
                <w:rFonts w:cs="Arial"/>
                <w:sz w:val="18"/>
                <w:szCs w:val="18"/>
              </w:rPr>
              <w:t>VT Dravinja Zreče - Videm</w:t>
            </w:r>
          </w:p>
        </w:tc>
        <w:tc>
          <w:tcPr>
            <w:tcW w:w="1599" w:type="pct"/>
            <w:tcBorders>
              <w:top w:val="nil"/>
              <w:left w:val="nil"/>
              <w:bottom w:val="single" w:sz="4" w:space="0" w:color="auto"/>
              <w:right w:val="nil"/>
            </w:tcBorders>
            <w:shd w:val="clear" w:color="auto" w:fill="FFFFFF" w:themeFill="background1"/>
            <w:noWrap/>
            <w:vAlign w:val="center"/>
            <w:hideMark/>
          </w:tcPr>
          <w:p w14:paraId="740E85D7" w14:textId="77777777" w:rsidR="00BA1338" w:rsidRPr="00545EC0" w:rsidRDefault="00BA1338" w:rsidP="00BE42F5">
            <w:pPr>
              <w:spacing w:line="240" w:lineRule="auto"/>
              <w:jc w:val="left"/>
              <w:rPr>
                <w:rFonts w:cs="Arial"/>
                <w:sz w:val="18"/>
                <w:szCs w:val="18"/>
              </w:rPr>
            </w:pPr>
            <w:r w:rsidRPr="00545EC0">
              <w:rPr>
                <w:rFonts w:cs="Arial"/>
                <w:sz w:val="18"/>
                <w:szCs w:val="18"/>
              </w:rPr>
              <w:t>Dravinja</w:t>
            </w:r>
          </w:p>
        </w:tc>
        <w:tc>
          <w:tcPr>
            <w:tcW w:w="693" w:type="pct"/>
            <w:vMerge/>
            <w:tcBorders>
              <w:left w:val="single" w:sz="4" w:space="0" w:color="auto"/>
              <w:right w:val="single" w:sz="4" w:space="0" w:color="auto"/>
            </w:tcBorders>
            <w:shd w:val="clear" w:color="auto" w:fill="FFFFFF" w:themeFill="background1"/>
            <w:vAlign w:val="center"/>
          </w:tcPr>
          <w:p w14:paraId="6C317DEB"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B8811B"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3DAF77"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020F6193"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E770B34" w14:textId="77777777" w:rsidR="00BA1338" w:rsidRPr="00545EC0" w:rsidRDefault="00BA1338" w:rsidP="004F2AF2">
            <w:pPr>
              <w:spacing w:line="240" w:lineRule="auto"/>
              <w:rPr>
                <w:rFonts w:cs="Arial"/>
                <w:sz w:val="18"/>
                <w:szCs w:val="18"/>
              </w:rPr>
            </w:pPr>
            <w:r w:rsidRPr="00545EC0">
              <w:rPr>
                <w:rFonts w:cs="Arial"/>
                <w:sz w:val="18"/>
                <w:szCs w:val="18"/>
              </w:rPr>
              <w:t>SI378VT</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57F58502" w14:textId="77777777" w:rsidR="00BA1338" w:rsidRPr="00545EC0" w:rsidRDefault="00BA1338" w:rsidP="00BE42F5">
            <w:pPr>
              <w:spacing w:line="240" w:lineRule="auto"/>
              <w:jc w:val="left"/>
              <w:rPr>
                <w:rFonts w:cs="Arial"/>
                <w:sz w:val="18"/>
                <w:szCs w:val="18"/>
              </w:rPr>
            </w:pPr>
            <w:r w:rsidRPr="00545EC0">
              <w:rPr>
                <w:rFonts w:cs="Arial"/>
                <w:sz w:val="18"/>
                <w:szCs w:val="18"/>
              </w:rPr>
              <w:t>UVT Kanal HE Formin</w:t>
            </w:r>
          </w:p>
        </w:tc>
        <w:tc>
          <w:tcPr>
            <w:tcW w:w="1599" w:type="pct"/>
            <w:tcBorders>
              <w:top w:val="nil"/>
              <w:left w:val="nil"/>
              <w:bottom w:val="single" w:sz="4" w:space="0" w:color="auto"/>
              <w:right w:val="nil"/>
            </w:tcBorders>
            <w:shd w:val="clear" w:color="auto" w:fill="FFFFFF" w:themeFill="background1"/>
            <w:noWrap/>
            <w:vAlign w:val="center"/>
            <w:hideMark/>
          </w:tcPr>
          <w:p w14:paraId="00FC83A2" w14:textId="77777777" w:rsidR="00BA1338" w:rsidRPr="00545EC0" w:rsidRDefault="00BA1338" w:rsidP="00BE42F5">
            <w:pPr>
              <w:spacing w:line="240" w:lineRule="auto"/>
              <w:jc w:val="left"/>
              <w:rPr>
                <w:rFonts w:cs="Arial"/>
                <w:sz w:val="18"/>
                <w:szCs w:val="18"/>
              </w:rPr>
            </w:pPr>
            <w:r w:rsidRPr="00545EC0">
              <w:rPr>
                <w:rFonts w:cs="Arial"/>
                <w:sz w:val="18"/>
                <w:szCs w:val="18"/>
              </w:rPr>
              <w:t>Kanal HE Formin</w:t>
            </w:r>
          </w:p>
        </w:tc>
        <w:tc>
          <w:tcPr>
            <w:tcW w:w="693" w:type="pct"/>
            <w:vMerge/>
            <w:tcBorders>
              <w:left w:val="single" w:sz="4" w:space="0" w:color="auto"/>
              <w:right w:val="single" w:sz="4" w:space="0" w:color="auto"/>
            </w:tcBorders>
            <w:shd w:val="clear" w:color="auto" w:fill="FFFFFF" w:themeFill="background1"/>
            <w:vAlign w:val="center"/>
          </w:tcPr>
          <w:p w14:paraId="72529286"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CC131E"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06559F"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044DB59D"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31EE958" w14:textId="77777777" w:rsidR="00BA1338" w:rsidRPr="00545EC0" w:rsidRDefault="00BA1338" w:rsidP="004F2AF2">
            <w:pPr>
              <w:spacing w:line="240" w:lineRule="auto"/>
              <w:rPr>
                <w:rFonts w:cs="Arial"/>
                <w:sz w:val="18"/>
                <w:szCs w:val="18"/>
              </w:rPr>
            </w:pPr>
            <w:r w:rsidRPr="00545EC0">
              <w:rPr>
                <w:rFonts w:cs="Arial"/>
                <w:sz w:val="18"/>
                <w:szCs w:val="18"/>
              </w:rPr>
              <w:t>SI38VT33</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73EA9D80" w14:textId="77777777" w:rsidR="00BA1338" w:rsidRPr="00545EC0" w:rsidRDefault="00BA1338" w:rsidP="00BE42F5">
            <w:pPr>
              <w:spacing w:line="240" w:lineRule="auto"/>
              <w:jc w:val="left"/>
              <w:rPr>
                <w:rFonts w:cs="Arial"/>
                <w:sz w:val="18"/>
                <w:szCs w:val="18"/>
              </w:rPr>
            </w:pPr>
            <w:r w:rsidRPr="00545EC0">
              <w:rPr>
                <w:rFonts w:cs="Arial"/>
                <w:sz w:val="18"/>
                <w:szCs w:val="18"/>
              </w:rPr>
              <w:t>VT Pesnica državna meja - zadrževalnik Perniško jezero</w:t>
            </w:r>
          </w:p>
        </w:tc>
        <w:tc>
          <w:tcPr>
            <w:tcW w:w="1599" w:type="pct"/>
            <w:tcBorders>
              <w:top w:val="nil"/>
              <w:left w:val="nil"/>
              <w:bottom w:val="single" w:sz="4" w:space="0" w:color="auto"/>
              <w:right w:val="nil"/>
            </w:tcBorders>
            <w:shd w:val="clear" w:color="auto" w:fill="FFFFFF" w:themeFill="background1"/>
            <w:noWrap/>
            <w:vAlign w:val="center"/>
            <w:hideMark/>
          </w:tcPr>
          <w:p w14:paraId="0AA921C0" w14:textId="77777777" w:rsidR="00BA1338" w:rsidRPr="00545EC0" w:rsidRDefault="00BA1338" w:rsidP="00BE42F5">
            <w:pPr>
              <w:spacing w:line="240" w:lineRule="auto"/>
              <w:jc w:val="left"/>
              <w:rPr>
                <w:rFonts w:cs="Arial"/>
                <w:sz w:val="18"/>
                <w:szCs w:val="18"/>
              </w:rPr>
            </w:pPr>
            <w:r w:rsidRPr="00545EC0">
              <w:rPr>
                <w:rFonts w:cs="Arial"/>
                <w:sz w:val="18"/>
                <w:szCs w:val="18"/>
              </w:rPr>
              <w:t>Pesnica, Cirknica</w:t>
            </w:r>
          </w:p>
        </w:tc>
        <w:tc>
          <w:tcPr>
            <w:tcW w:w="693" w:type="pct"/>
            <w:vMerge/>
            <w:tcBorders>
              <w:left w:val="single" w:sz="4" w:space="0" w:color="auto"/>
              <w:right w:val="single" w:sz="4" w:space="0" w:color="auto"/>
            </w:tcBorders>
            <w:shd w:val="clear" w:color="auto" w:fill="FFFFFF" w:themeFill="background1"/>
            <w:vAlign w:val="center"/>
          </w:tcPr>
          <w:p w14:paraId="15808BF5"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85FB3C"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0426B4"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7A375754"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43D02EE" w14:textId="77777777" w:rsidR="00BA1338" w:rsidRPr="00545EC0" w:rsidRDefault="00BA1338" w:rsidP="004F2AF2">
            <w:pPr>
              <w:spacing w:line="240" w:lineRule="auto"/>
              <w:rPr>
                <w:rFonts w:cs="Arial"/>
                <w:sz w:val="18"/>
                <w:szCs w:val="18"/>
              </w:rPr>
            </w:pPr>
            <w:r w:rsidRPr="00545EC0">
              <w:rPr>
                <w:rFonts w:cs="Arial"/>
                <w:sz w:val="18"/>
                <w:szCs w:val="18"/>
              </w:rPr>
              <w:t>SI38VT90</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23A63576" w14:textId="77777777" w:rsidR="00BA1338" w:rsidRPr="00545EC0" w:rsidRDefault="00BA1338" w:rsidP="00BE42F5">
            <w:pPr>
              <w:spacing w:line="240" w:lineRule="auto"/>
              <w:jc w:val="left"/>
              <w:rPr>
                <w:rFonts w:cs="Arial"/>
                <w:sz w:val="18"/>
                <w:szCs w:val="18"/>
              </w:rPr>
            </w:pPr>
            <w:r w:rsidRPr="00545EC0">
              <w:rPr>
                <w:rFonts w:cs="Arial"/>
                <w:sz w:val="18"/>
                <w:szCs w:val="18"/>
              </w:rPr>
              <w:t>VT Pesnica zadrževalnik Perniško jezero - Ormož</w:t>
            </w:r>
          </w:p>
        </w:tc>
        <w:tc>
          <w:tcPr>
            <w:tcW w:w="1599" w:type="pct"/>
            <w:tcBorders>
              <w:top w:val="nil"/>
              <w:left w:val="nil"/>
              <w:bottom w:val="single" w:sz="4" w:space="0" w:color="auto"/>
              <w:right w:val="nil"/>
            </w:tcBorders>
            <w:shd w:val="clear" w:color="auto" w:fill="FFFFFF" w:themeFill="background1"/>
            <w:noWrap/>
            <w:vAlign w:val="center"/>
            <w:hideMark/>
          </w:tcPr>
          <w:p w14:paraId="3A5DB0E8" w14:textId="77777777" w:rsidR="00BA1338" w:rsidRPr="00545EC0" w:rsidRDefault="00BA1338" w:rsidP="00BE42F5">
            <w:pPr>
              <w:spacing w:line="240" w:lineRule="auto"/>
              <w:jc w:val="left"/>
              <w:rPr>
                <w:rFonts w:cs="Arial"/>
                <w:sz w:val="18"/>
                <w:szCs w:val="18"/>
              </w:rPr>
            </w:pPr>
            <w:r w:rsidRPr="00545EC0">
              <w:rPr>
                <w:rFonts w:cs="Arial"/>
                <w:sz w:val="18"/>
                <w:szCs w:val="18"/>
              </w:rPr>
              <w:t>Pesnica, Jakobski potok, Drvanja, Brnca, Bresniški potok, Sejanski potok, Globovnica</w:t>
            </w:r>
          </w:p>
        </w:tc>
        <w:tc>
          <w:tcPr>
            <w:tcW w:w="693" w:type="pct"/>
            <w:vMerge/>
            <w:tcBorders>
              <w:left w:val="single" w:sz="4" w:space="0" w:color="auto"/>
              <w:right w:val="single" w:sz="4" w:space="0" w:color="auto"/>
            </w:tcBorders>
            <w:shd w:val="clear" w:color="auto" w:fill="FFFFFF" w:themeFill="background1"/>
            <w:vAlign w:val="center"/>
          </w:tcPr>
          <w:p w14:paraId="3758813C"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62A32D"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1AE105"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1C2B7867"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81E1B8A" w14:textId="77777777" w:rsidR="00BA1338" w:rsidRPr="00545EC0" w:rsidRDefault="00BA1338" w:rsidP="004F2AF2">
            <w:pPr>
              <w:spacing w:line="240" w:lineRule="auto"/>
              <w:rPr>
                <w:rFonts w:cs="Arial"/>
                <w:sz w:val="18"/>
                <w:szCs w:val="18"/>
              </w:rPr>
            </w:pPr>
            <w:r w:rsidRPr="00545EC0">
              <w:rPr>
                <w:rFonts w:cs="Arial"/>
                <w:sz w:val="18"/>
                <w:szCs w:val="18"/>
              </w:rPr>
              <w:t>SI3VT197</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761357DE" w14:textId="77777777" w:rsidR="00BA1338" w:rsidRPr="00545EC0" w:rsidRDefault="00BA1338" w:rsidP="00BE42F5">
            <w:pPr>
              <w:spacing w:line="240" w:lineRule="auto"/>
              <w:jc w:val="left"/>
              <w:rPr>
                <w:rFonts w:cs="Arial"/>
                <w:sz w:val="18"/>
                <w:szCs w:val="18"/>
              </w:rPr>
            </w:pPr>
            <w:r w:rsidRPr="00545EC0">
              <w:rPr>
                <w:rFonts w:cs="Arial"/>
                <w:sz w:val="18"/>
                <w:szCs w:val="18"/>
              </w:rPr>
              <w:t>MPVT Drava mejni odsek z Avstrijo</w:t>
            </w:r>
          </w:p>
        </w:tc>
        <w:tc>
          <w:tcPr>
            <w:tcW w:w="1599" w:type="pct"/>
            <w:tcBorders>
              <w:top w:val="nil"/>
              <w:left w:val="nil"/>
              <w:bottom w:val="single" w:sz="4" w:space="0" w:color="auto"/>
              <w:right w:val="nil"/>
            </w:tcBorders>
            <w:shd w:val="clear" w:color="auto" w:fill="FFFFFF" w:themeFill="background1"/>
            <w:noWrap/>
            <w:vAlign w:val="center"/>
            <w:hideMark/>
          </w:tcPr>
          <w:p w14:paraId="5F1EDE93" w14:textId="77777777" w:rsidR="00BA1338" w:rsidRPr="00545EC0" w:rsidRDefault="00BA1338" w:rsidP="00BE42F5">
            <w:pPr>
              <w:spacing w:line="240" w:lineRule="auto"/>
              <w:jc w:val="left"/>
              <w:rPr>
                <w:rFonts w:cs="Arial"/>
                <w:sz w:val="18"/>
                <w:szCs w:val="18"/>
              </w:rPr>
            </w:pPr>
            <w:r w:rsidRPr="00545EC0">
              <w:rPr>
                <w:rFonts w:cs="Arial"/>
                <w:sz w:val="18"/>
                <w:szCs w:val="18"/>
              </w:rPr>
              <w:t>Drava</w:t>
            </w:r>
          </w:p>
        </w:tc>
        <w:tc>
          <w:tcPr>
            <w:tcW w:w="693" w:type="pct"/>
            <w:vMerge/>
            <w:tcBorders>
              <w:left w:val="single" w:sz="4" w:space="0" w:color="auto"/>
              <w:right w:val="single" w:sz="4" w:space="0" w:color="auto"/>
            </w:tcBorders>
            <w:shd w:val="clear" w:color="auto" w:fill="FFFFFF" w:themeFill="background1"/>
            <w:vAlign w:val="center"/>
          </w:tcPr>
          <w:p w14:paraId="3E4DA211"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4F38E6"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469769"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726E1576"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AB6D86A" w14:textId="77777777" w:rsidR="00BA1338" w:rsidRPr="00545EC0" w:rsidRDefault="00BA1338" w:rsidP="004F2AF2">
            <w:pPr>
              <w:spacing w:line="240" w:lineRule="auto"/>
              <w:rPr>
                <w:rFonts w:cs="Arial"/>
                <w:sz w:val="18"/>
                <w:szCs w:val="18"/>
              </w:rPr>
            </w:pPr>
            <w:r w:rsidRPr="00545EC0">
              <w:rPr>
                <w:rFonts w:cs="Arial"/>
                <w:sz w:val="18"/>
                <w:szCs w:val="18"/>
              </w:rPr>
              <w:t>SI3VT359</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639941E8" w14:textId="77777777" w:rsidR="00BA1338" w:rsidRPr="00545EC0" w:rsidRDefault="00BA1338" w:rsidP="00BE42F5">
            <w:pPr>
              <w:spacing w:line="240" w:lineRule="auto"/>
              <w:jc w:val="left"/>
              <w:rPr>
                <w:rFonts w:cs="Arial"/>
                <w:sz w:val="18"/>
                <w:szCs w:val="18"/>
              </w:rPr>
            </w:pPr>
            <w:r w:rsidRPr="00545EC0">
              <w:rPr>
                <w:rFonts w:cs="Arial"/>
                <w:sz w:val="18"/>
                <w:szCs w:val="18"/>
              </w:rPr>
              <w:t>MPVT Drava Dravograd - Maribor</w:t>
            </w:r>
          </w:p>
        </w:tc>
        <w:tc>
          <w:tcPr>
            <w:tcW w:w="1599" w:type="pct"/>
            <w:tcBorders>
              <w:top w:val="nil"/>
              <w:left w:val="nil"/>
              <w:bottom w:val="single" w:sz="4" w:space="0" w:color="auto"/>
              <w:right w:val="nil"/>
            </w:tcBorders>
            <w:shd w:val="clear" w:color="auto" w:fill="FFFFFF" w:themeFill="background1"/>
            <w:noWrap/>
            <w:vAlign w:val="center"/>
            <w:hideMark/>
          </w:tcPr>
          <w:p w14:paraId="09825499" w14:textId="77777777" w:rsidR="00BA1338" w:rsidRPr="00545EC0" w:rsidRDefault="00BA1338" w:rsidP="00BE42F5">
            <w:pPr>
              <w:spacing w:line="240" w:lineRule="auto"/>
              <w:jc w:val="left"/>
              <w:rPr>
                <w:rFonts w:cs="Arial"/>
                <w:sz w:val="18"/>
                <w:szCs w:val="18"/>
              </w:rPr>
            </w:pPr>
            <w:r w:rsidRPr="00545EC0">
              <w:rPr>
                <w:rFonts w:cs="Arial"/>
                <w:sz w:val="18"/>
                <w:szCs w:val="18"/>
              </w:rPr>
              <w:t>Drava</w:t>
            </w:r>
          </w:p>
        </w:tc>
        <w:tc>
          <w:tcPr>
            <w:tcW w:w="693" w:type="pct"/>
            <w:vMerge/>
            <w:tcBorders>
              <w:left w:val="single" w:sz="4" w:space="0" w:color="auto"/>
              <w:right w:val="single" w:sz="4" w:space="0" w:color="auto"/>
            </w:tcBorders>
            <w:shd w:val="clear" w:color="auto" w:fill="FFFFFF" w:themeFill="background1"/>
            <w:vAlign w:val="center"/>
          </w:tcPr>
          <w:p w14:paraId="67F439F6"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607E0B"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3D02025"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31D1BBB4"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43A50E6" w14:textId="77777777" w:rsidR="00BA1338" w:rsidRPr="00545EC0" w:rsidRDefault="00BA1338" w:rsidP="004F2AF2">
            <w:pPr>
              <w:spacing w:line="240" w:lineRule="auto"/>
              <w:rPr>
                <w:rFonts w:cs="Arial"/>
                <w:sz w:val="18"/>
                <w:szCs w:val="18"/>
              </w:rPr>
            </w:pPr>
            <w:r w:rsidRPr="00545EC0">
              <w:rPr>
                <w:rFonts w:cs="Arial"/>
                <w:sz w:val="18"/>
                <w:szCs w:val="18"/>
              </w:rPr>
              <w:t>SI3VT5171</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4C3E32CA" w14:textId="77777777" w:rsidR="00BA1338" w:rsidRPr="00545EC0" w:rsidRDefault="00BA1338" w:rsidP="00BE42F5">
            <w:pPr>
              <w:spacing w:line="240" w:lineRule="auto"/>
              <w:jc w:val="left"/>
              <w:rPr>
                <w:rFonts w:cs="Arial"/>
                <w:sz w:val="18"/>
                <w:szCs w:val="18"/>
              </w:rPr>
            </w:pPr>
            <w:r w:rsidRPr="00545EC0">
              <w:rPr>
                <w:rFonts w:cs="Arial"/>
                <w:sz w:val="18"/>
                <w:szCs w:val="18"/>
              </w:rPr>
              <w:t>VT Drava Maribor - Ptuj</w:t>
            </w:r>
          </w:p>
        </w:tc>
        <w:tc>
          <w:tcPr>
            <w:tcW w:w="1599" w:type="pct"/>
            <w:tcBorders>
              <w:top w:val="nil"/>
              <w:left w:val="nil"/>
              <w:bottom w:val="single" w:sz="4" w:space="0" w:color="auto"/>
              <w:right w:val="nil"/>
            </w:tcBorders>
            <w:shd w:val="clear" w:color="auto" w:fill="FFFFFF" w:themeFill="background1"/>
            <w:noWrap/>
            <w:vAlign w:val="center"/>
            <w:hideMark/>
          </w:tcPr>
          <w:p w14:paraId="092F41CF" w14:textId="77777777" w:rsidR="00BA1338" w:rsidRPr="00545EC0" w:rsidRDefault="00BA1338" w:rsidP="00BE42F5">
            <w:pPr>
              <w:spacing w:line="240" w:lineRule="auto"/>
              <w:jc w:val="left"/>
              <w:rPr>
                <w:rFonts w:cs="Arial"/>
                <w:sz w:val="18"/>
                <w:szCs w:val="18"/>
              </w:rPr>
            </w:pPr>
            <w:r w:rsidRPr="00545EC0">
              <w:rPr>
                <w:rFonts w:cs="Arial"/>
                <w:sz w:val="18"/>
                <w:szCs w:val="18"/>
              </w:rPr>
              <w:t>Drava, Mlinški potok</w:t>
            </w:r>
          </w:p>
        </w:tc>
        <w:tc>
          <w:tcPr>
            <w:tcW w:w="693" w:type="pct"/>
            <w:vMerge/>
            <w:tcBorders>
              <w:left w:val="single" w:sz="4" w:space="0" w:color="auto"/>
              <w:right w:val="single" w:sz="4" w:space="0" w:color="auto"/>
            </w:tcBorders>
            <w:shd w:val="clear" w:color="auto" w:fill="FFFFFF" w:themeFill="background1"/>
            <w:vAlign w:val="center"/>
          </w:tcPr>
          <w:p w14:paraId="74FC4E2E"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502C75"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C62DA4"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171EE12F"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61ABB09" w14:textId="77777777" w:rsidR="00BA1338" w:rsidRPr="00545EC0" w:rsidRDefault="00BA1338" w:rsidP="004F2AF2">
            <w:pPr>
              <w:spacing w:line="240" w:lineRule="auto"/>
              <w:rPr>
                <w:rFonts w:cs="Arial"/>
                <w:sz w:val="18"/>
                <w:szCs w:val="18"/>
              </w:rPr>
            </w:pPr>
            <w:r w:rsidRPr="00545EC0">
              <w:rPr>
                <w:rFonts w:cs="Arial"/>
                <w:sz w:val="18"/>
                <w:szCs w:val="18"/>
              </w:rPr>
              <w:t>SI3VT5172</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5A862F85" w14:textId="77777777" w:rsidR="00BA1338" w:rsidRPr="00545EC0" w:rsidRDefault="00BA1338" w:rsidP="00BE42F5">
            <w:pPr>
              <w:spacing w:line="240" w:lineRule="auto"/>
              <w:jc w:val="left"/>
              <w:rPr>
                <w:rFonts w:cs="Arial"/>
                <w:sz w:val="18"/>
                <w:szCs w:val="18"/>
              </w:rPr>
            </w:pPr>
            <w:r w:rsidRPr="00545EC0">
              <w:rPr>
                <w:rFonts w:cs="Arial"/>
                <w:sz w:val="18"/>
                <w:szCs w:val="18"/>
              </w:rPr>
              <w:t>MPVT zadrževalnik Ptujsko jezero</w:t>
            </w:r>
          </w:p>
        </w:tc>
        <w:tc>
          <w:tcPr>
            <w:tcW w:w="1599" w:type="pct"/>
            <w:tcBorders>
              <w:top w:val="nil"/>
              <w:left w:val="nil"/>
              <w:bottom w:val="single" w:sz="4" w:space="0" w:color="auto"/>
              <w:right w:val="nil"/>
            </w:tcBorders>
            <w:shd w:val="clear" w:color="auto" w:fill="FFFFFF" w:themeFill="background1"/>
            <w:noWrap/>
            <w:vAlign w:val="center"/>
            <w:hideMark/>
          </w:tcPr>
          <w:p w14:paraId="68D9E6B1" w14:textId="77777777" w:rsidR="00BA1338" w:rsidRPr="00545EC0" w:rsidRDefault="00BA1338" w:rsidP="00BE42F5">
            <w:pPr>
              <w:spacing w:line="240" w:lineRule="auto"/>
              <w:jc w:val="left"/>
              <w:rPr>
                <w:rFonts w:cs="Arial"/>
                <w:sz w:val="18"/>
                <w:szCs w:val="18"/>
              </w:rPr>
            </w:pPr>
            <w:r w:rsidRPr="00545EC0">
              <w:rPr>
                <w:rFonts w:cs="Arial"/>
                <w:sz w:val="18"/>
                <w:szCs w:val="18"/>
              </w:rPr>
              <w:t>Drava, Rogoznica, Grajena</w:t>
            </w:r>
          </w:p>
        </w:tc>
        <w:tc>
          <w:tcPr>
            <w:tcW w:w="693" w:type="pct"/>
            <w:vMerge/>
            <w:tcBorders>
              <w:left w:val="single" w:sz="4" w:space="0" w:color="auto"/>
              <w:right w:val="single" w:sz="4" w:space="0" w:color="auto"/>
            </w:tcBorders>
            <w:shd w:val="clear" w:color="auto" w:fill="FFFFFF" w:themeFill="background1"/>
            <w:vAlign w:val="center"/>
          </w:tcPr>
          <w:p w14:paraId="0A740B4A"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E1DA72"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86029C"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63A26310"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6B178A1" w14:textId="77777777" w:rsidR="00BA1338" w:rsidRPr="00545EC0" w:rsidRDefault="00BA1338" w:rsidP="004F2AF2">
            <w:pPr>
              <w:spacing w:line="240" w:lineRule="auto"/>
              <w:rPr>
                <w:rFonts w:cs="Arial"/>
                <w:sz w:val="18"/>
                <w:szCs w:val="18"/>
              </w:rPr>
            </w:pPr>
            <w:r w:rsidRPr="00545EC0">
              <w:rPr>
                <w:rFonts w:cs="Arial"/>
                <w:sz w:val="18"/>
                <w:szCs w:val="18"/>
              </w:rPr>
              <w:t>SI3VT930</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316D86F0" w14:textId="77777777" w:rsidR="00BA1338" w:rsidRPr="00545EC0" w:rsidRDefault="00BA1338" w:rsidP="00BE42F5">
            <w:pPr>
              <w:spacing w:line="240" w:lineRule="auto"/>
              <w:jc w:val="left"/>
              <w:rPr>
                <w:rFonts w:cs="Arial"/>
                <w:sz w:val="18"/>
                <w:szCs w:val="18"/>
              </w:rPr>
            </w:pPr>
            <w:r w:rsidRPr="00545EC0">
              <w:rPr>
                <w:rFonts w:cs="Arial"/>
                <w:sz w:val="18"/>
                <w:szCs w:val="18"/>
              </w:rPr>
              <w:t>VT Drava Ptuj - Ormož</w:t>
            </w:r>
          </w:p>
        </w:tc>
        <w:tc>
          <w:tcPr>
            <w:tcW w:w="1599" w:type="pct"/>
            <w:tcBorders>
              <w:top w:val="nil"/>
              <w:left w:val="nil"/>
              <w:bottom w:val="single" w:sz="4" w:space="0" w:color="auto"/>
              <w:right w:val="nil"/>
            </w:tcBorders>
            <w:shd w:val="clear" w:color="auto" w:fill="FFFFFF" w:themeFill="background1"/>
            <w:noWrap/>
            <w:vAlign w:val="center"/>
            <w:hideMark/>
          </w:tcPr>
          <w:p w14:paraId="51DE85D8" w14:textId="77777777" w:rsidR="00BA1338" w:rsidRPr="00545EC0" w:rsidRDefault="00BA1338" w:rsidP="00BE42F5">
            <w:pPr>
              <w:spacing w:line="240" w:lineRule="auto"/>
              <w:jc w:val="left"/>
              <w:rPr>
                <w:rFonts w:cs="Arial"/>
                <w:sz w:val="18"/>
                <w:szCs w:val="18"/>
              </w:rPr>
            </w:pPr>
            <w:r w:rsidRPr="00545EC0">
              <w:rPr>
                <w:rFonts w:cs="Arial"/>
                <w:sz w:val="18"/>
                <w:szCs w:val="18"/>
              </w:rPr>
              <w:t>Drava</w:t>
            </w:r>
          </w:p>
        </w:tc>
        <w:tc>
          <w:tcPr>
            <w:tcW w:w="693" w:type="pct"/>
            <w:vMerge/>
            <w:tcBorders>
              <w:left w:val="single" w:sz="4" w:space="0" w:color="auto"/>
              <w:right w:val="single" w:sz="4" w:space="0" w:color="auto"/>
            </w:tcBorders>
            <w:shd w:val="clear" w:color="auto" w:fill="FFFFFF" w:themeFill="background1"/>
            <w:vAlign w:val="center"/>
          </w:tcPr>
          <w:p w14:paraId="60C19572"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8F186B"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A8B130"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55E5594F"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7BF5AEA" w14:textId="77777777" w:rsidR="00BA1338" w:rsidRPr="00545EC0" w:rsidRDefault="00BA1338" w:rsidP="004F2AF2">
            <w:pPr>
              <w:spacing w:line="240" w:lineRule="auto"/>
              <w:rPr>
                <w:rFonts w:cs="Arial"/>
                <w:sz w:val="18"/>
                <w:szCs w:val="18"/>
              </w:rPr>
            </w:pPr>
            <w:r w:rsidRPr="00545EC0">
              <w:rPr>
                <w:rFonts w:cs="Arial"/>
                <w:sz w:val="18"/>
                <w:szCs w:val="18"/>
              </w:rPr>
              <w:t>SI3VT950</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330FB7BF" w14:textId="77777777" w:rsidR="00BA1338" w:rsidRPr="00545EC0" w:rsidRDefault="00BA1338" w:rsidP="00BE42F5">
            <w:pPr>
              <w:spacing w:line="240" w:lineRule="auto"/>
              <w:jc w:val="left"/>
              <w:rPr>
                <w:rFonts w:cs="Arial"/>
                <w:sz w:val="18"/>
                <w:szCs w:val="18"/>
              </w:rPr>
            </w:pPr>
            <w:r w:rsidRPr="00545EC0">
              <w:rPr>
                <w:rFonts w:cs="Arial"/>
                <w:sz w:val="18"/>
                <w:szCs w:val="18"/>
              </w:rPr>
              <w:t>MPVT zadrževalnik Ormoško jezero</w:t>
            </w:r>
          </w:p>
        </w:tc>
        <w:tc>
          <w:tcPr>
            <w:tcW w:w="1599" w:type="pct"/>
            <w:tcBorders>
              <w:top w:val="nil"/>
              <w:left w:val="nil"/>
              <w:bottom w:val="single" w:sz="4" w:space="0" w:color="auto"/>
              <w:right w:val="nil"/>
            </w:tcBorders>
            <w:shd w:val="clear" w:color="auto" w:fill="FFFFFF" w:themeFill="background1"/>
            <w:noWrap/>
            <w:vAlign w:val="center"/>
            <w:hideMark/>
          </w:tcPr>
          <w:p w14:paraId="7D08F413" w14:textId="77777777" w:rsidR="00BA1338" w:rsidRPr="00545EC0" w:rsidRDefault="00BA1338" w:rsidP="00BE42F5">
            <w:pPr>
              <w:spacing w:line="240" w:lineRule="auto"/>
              <w:jc w:val="left"/>
              <w:rPr>
                <w:rFonts w:cs="Arial"/>
                <w:sz w:val="18"/>
                <w:szCs w:val="18"/>
              </w:rPr>
            </w:pPr>
            <w:r w:rsidRPr="00545EC0">
              <w:rPr>
                <w:rFonts w:cs="Arial"/>
                <w:sz w:val="18"/>
                <w:szCs w:val="18"/>
              </w:rPr>
              <w:t>Drava</w:t>
            </w:r>
          </w:p>
        </w:tc>
        <w:tc>
          <w:tcPr>
            <w:tcW w:w="693" w:type="pct"/>
            <w:vMerge/>
            <w:tcBorders>
              <w:left w:val="single" w:sz="4" w:space="0" w:color="auto"/>
              <w:right w:val="single" w:sz="4" w:space="0" w:color="auto"/>
            </w:tcBorders>
            <w:shd w:val="clear" w:color="auto" w:fill="FFFFFF" w:themeFill="background1"/>
            <w:vAlign w:val="center"/>
          </w:tcPr>
          <w:p w14:paraId="5B886700"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E44CA2"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5CB054"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5F3BAB19"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AA020E3" w14:textId="77777777" w:rsidR="00BA1338" w:rsidRPr="00545EC0" w:rsidRDefault="00BA1338" w:rsidP="004F2AF2">
            <w:pPr>
              <w:spacing w:line="240" w:lineRule="auto"/>
              <w:rPr>
                <w:rFonts w:cs="Arial"/>
                <w:sz w:val="18"/>
                <w:szCs w:val="18"/>
              </w:rPr>
            </w:pPr>
            <w:r w:rsidRPr="00545EC0">
              <w:rPr>
                <w:rFonts w:cs="Arial"/>
                <w:sz w:val="18"/>
                <w:szCs w:val="18"/>
              </w:rPr>
              <w:t>SI3VT970</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4C1A819A" w14:textId="77777777" w:rsidR="00BA1338" w:rsidRPr="00545EC0" w:rsidRDefault="00BA1338" w:rsidP="00BE42F5">
            <w:pPr>
              <w:spacing w:line="240" w:lineRule="auto"/>
              <w:jc w:val="left"/>
              <w:rPr>
                <w:rFonts w:cs="Arial"/>
                <w:sz w:val="18"/>
                <w:szCs w:val="18"/>
              </w:rPr>
            </w:pPr>
            <w:r w:rsidRPr="00545EC0">
              <w:rPr>
                <w:rFonts w:cs="Arial"/>
                <w:sz w:val="18"/>
                <w:szCs w:val="18"/>
              </w:rPr>
              <w:t>VT Drava zadrževalnik Ormoško jezero - Središče ob Dravi</w:t>
            </w:r>
          </w:p>
        </w:tc>
        <w:tc>
          <w:tcPr>
            <w:tcW w:w="1599" w:type="pct"/>
            <w:tcBorders>
              <w:top w:val="nil"/>
              <w:left w:val="nil"/>
              <w:bottom w:val="single" w:sz="4" w:space="0" w:color="auto"/>
              <w:right w:val="nil"/>
            </w:tcBorders>
            <w:shd w:val="clear" w:color="auto" w:fill="FFFFFF" w:themeFill="background1"/>
            <w:noWrap/>
            <w:vAlign w:val="center"/>
            <w:hideMark/>
          </w:tcPr>
          <w:p w14:paraId="2FEAC252" w14:textId="77777777" w:rsidR="00BA1338" w:rsidRPr="00545EC0" w:rsidRDefault="00BA1338" w:rsidP="00BE42F5">
            <w:pPr>
              <w:spacing w:line="240" w:lineRule="auto"/>
              <w:jc w:val="left"/>
              <w:rPr>
                <w:rFonts w:cs="Arial"/>
                <w:sz w:val="18"/>
                <w:szCs w:val="18"/>
              </w:rPr>
            </w:pPr>
            <w:r w:rsidRPr="00545EC0">
              <w:rPr>
                <w:rFonts w:cs="Arial"/>
                <w:sz w:val="18"/>
                <w:szCs w:val="18"/>
              </w:rPr>
              <w:t>Drava, Libanja</w:t>
            </w:r>
          </w:p>
        </w:tc>
        <w:tc>
          <w:tcPr>
            <w:tcW w:w="693" w:type="pct"/>
            <w:vMerge/>
            <w:tcBorders>
              <w:left w:val="single" w:sz="4" w:space="0" w:color="auto"/>
              <w:bottom w:val="single" w:sz="4" w:space="0" w:color="auto"/>
              <w:right w:val="single" w:sz="4" w:space="0" w:color="auto"/>
            </w:tcBorders>
            <w:shd w:val="clear" w:color="auto" w:fill="FFFFFF" w:themeFill="background1"/>
            <w:vAlign w:val="center"/>
          </w:tcPr>
          <w:p w14:paraId="5C2D814E"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C66C0B"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2BD29D"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44BF588D"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F1FC4AA" w14:textId="77777777" w:rsidR="00BA1338" w:rsidRPr="00545EC0" w:rsidRDefault="00BA1338" w:rsidP="004F2AF2">
            <w:pPr>
              <w:spacing w:line="240" w:lineRule="auto"/>
              <w:rPr>
                <w:rFonts w:cs="Arial"/>
                <w:sz w:val="18"/>
                <w:szCs w:val="18"/>
              </w:rPr>
            </w:pPr>
            <w:r w:rsidRPr="00545EC0">
              <w:rPr>
                <w:rFonts w:cs="Arial"/>
                <w:sz w:val="18"/>
                <w:szCs w:val="18"/>
              </w:rPr>
              <w:t>SI432VT</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50C8546C" w14:textId="77777777" w:rsidR="00BA1338" w:rsidRPr="00545EC0" w:rsidRDefault="00BA1338" w:rsidP="00BE42F5">
            <w:pPr>
              <w:spacing w:line="240" w:lineRule="auto"/>
              <w:jc w:val="left"/>
              <w:rPr>
                <w:rFonts w:cs="Arial"/>
                <w:sz w:val="18"/>
                <w:szCs w:val="18"/>
              </w:rPr>
            </w:pPr>
            <w:r w:rsidRPr="00545EC0">
              <w:rPr>
                <w:rFonts w:cs="Arial"/>
                <w:sz w:val="18"/>
                <w:szCs w:val="18"/>
              </w:rPr>
              <w:t>VT Kučnica</w:t>
            </w:r>
          </w:p>
        </w:tc>
        <w:tc>
          <w:tcPr>
            <w:tcW w:w="1599" w:type="pct"/>
            <w:tcBorders>
              <w:top w:val="nil"/>
              <w:left w:val="nil"/>
              <w:bottom w:val="single" w:sz="4" w:space="0" w:color="auto"/>
              <w:right w:val="nil"/>
            </w:tcBorders>
            <w:shd w:val="clear" w:color="auto" w:fill="FFFFFF" w:themeFill="background1"/>
            <w:noWrap/>
            <w:vAlign w:val="center"/>
            <w:hideMark/>
          </w:tcPr>
          <w:p w14:paraId="305B8296" w14:textId="77777777" w:rsidR="00BA1338" w:rsidRPr="00545EC0" w:rsidRDefault="00BA1338" w:rsidP="00BE42F5">
            <w:pPr>
              <w:spacing w:line="240" w:lineRule="auto"/>
              <w:jc w:val="left"/>
              <w:rPr>
                <w:rFonts w:cs="Arial"/>
                <w:sz w:val="18"/>
                <w:szCs w:val="18"/>
              </w:rPr>
            </w:pPr>
            <w:r w:rsidRPr="00545EC0">
              <w:rPr>
                <w:rFonts w:cs="Arial"/>
                <w:sz w:val="18"/>
                <w:szCs w:val="18"/>
              </w:rPr>
              <w:t>Kučnica</w:t>
            </w:r>
          </w:p>
        </w:tc>
        <w:tc>
          <w:tcPr>
            <w:tcW w:w="693" w:type="pct"/>
            <w:vMerge w:val="restart"/>
            <w:tcBorders>
              <w:top w:val="single" w:sz="4" w:space="0" w:color="auto"/>
              <w:left w:val="single" w:sz="4" w:space="0" w:color="auto"/>
              <w:right w:val="single" w:sz="4" w:space="0" w:color="auto"/>
            </w:tcBorders>
            <w:shd w:val="clear" w:color="auto" w:fill="FFFFFF" w:themeFill="background1"/>
            <w:vAlign w:val="center"/>
          </w:tcPr>
          <w:p w14:paraId="41AD75AE" w14:textId="77777777" w:rsidR="00BA1338" w:rsidRPr="00545EC0" w:rsidRDefault="00BA1338" w:rsidP="004F2AF2">
            <w:pPr>
              <w:spacing w:line="240" w:lineRule="auto"/>
              <w:rPr>
                <w:rFonts w:cs="Arial"/>
                <w:sz w:val="18"/>
                <w:szCs w:val="18"/>
              </w:rPr>
            </w:pPr>
            <w:r w:rsidRPr="00545EC0">
              <w:rPr>
                <w:rFonts w:cs="Arial"/>
                <w:sz w:val="18"/>
                <w:szCs w:val="18"/>
              </w:rPr>
              <w:t>Mura</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886F1A"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1AF896"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7608CF0C"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BB4ECB1" w14:textId="77777777" w:rsidR="00BA1338" w:rsidRPr="00545EC0" w:rsidRDefault="00BA1338" w:rsidP="004F2AF2">
            <w:pPr>
              <w:spacing w:line="240" w:lineRule="auto"/>
              <w:rPr>
                <w:rFonts w:cs="Arial"/>
                <w:sz w:val="18"/>
                <w:szCs w:val="18"/>
              </w:rPr>
            </w:pPr>
            <w:r w:rsidRPr="00545EC0">
              <w:rPr>
                <w:rFonts w:cs="Arial"/>
                <w:sz w:val="18"/>
                <w:szCs w:val="18"/>
              </w:rPr>
              <w:t>SI434VT51</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66E9297A" w14:textId="77777777" w:rsidR="00BA1338" w:rsidRPr="00545EC0" w:rsidRDefault="00BA1338" w:rsidP="00BE42F5">
            <w:pPr>
              <w:spacing w:line="240" w:lineRule="auto"/>
              <w:jc w:val="left"/>
              <w:rPr>
                <w:rFonts w:cs="Arial"/>
                <w:sz w:val="18"/>
                <w:szCs w:val="18"/>
              </w:rPr>
            </w:pPr>
            <w:r w:rsidRPr="00545EC0">
              <w:rPr>
                <w:rFonts w:cs="Arial"/>
                <w:sz w:val="18"/>
                <w:szCs w:val="18"/>
              </w:rPr>
              <w:t>VT Ščavnica povirje - zadrževalnik Gajševsko jezero</w:t>
            </w:r>
          </w:p>
        </w:tc>
        <w:tc>
          <w:tcPr>
            <w:tcW w:w="1599" w:type="pct"/>
            <w:tcBorders>
              <w:top w:val="nil"/>
              <w:left w:val="nil"/>
              <w:bottom w:val="single" w:sz="4" w:space="0" w:color="auto"/>
              <w:right w:val="nil"/>
            </w:tcBorders>
            <w:shd w:val="clear" w:color="auto" w:fill="FFFFFF" w:themeFill="background1"/>
            <w:noWrap/>
            <w:vAlign w:val="center"/>
            <w:hideMark/>
          </w:tcPr>
          <w:p w14:paraId="19E90BCF" w14:textId="77777777" w:rsidR="00BA1338" w:rsidRPr="00545EC0" w:rsidRDefault="00BA1338" w:rsidP="00BE42F5">
            <w:pPr>
              <w:spacing w:line="240" w:lineRule="auto"/>
              <w:jc w:val="left"/>
              <w:rPr>
                <w:rFonts w:cs="Arial"/>
                <w:sz w:val="18"/>
                <w:szCs w:val="18"/>
              </w:rPr>
            </w:pPr>
            <w:r w:rsidRPr="00545EC0">
              <w:rPr>
                <w:rFonts w:cs="Arial"/>
                <w:sz w:val="18"/>
                <w:szCs w:val="18"/>
              </w:rPr>
              <w:t>Ščavnica, Lipnica</w:t>
            </w:r>
          </w:p>
        </w:tc>
        <w:tc>
          <w:tcPr>
            <w:tcW w:w="693" w:type="pct"/>
            <w:vMerge/>
            <w:tcBorders>
              <w:left w:val="single" w:sz="4" w:space="0" w:color="auto"/>
              <w:right w:val="single" w:sz="4" w:space="0" w:color="auto"/>
            </w:tcBorders>
            <w:shd w:val="clear" w:color="auto" w:fill="FFFFFF" w:themeFill="background1"/>
            <w:vAlign w:val="center"/>
          </w:tcPr>
          <w:p w14:paraId="1C76B98D"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B9164A"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98D3FA"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476988F2"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AFBE629" w14:textId="77777777" w:rsidR="00BA1338" w:rsidRPr="00545EC0" w:rsidRDefault="00BA1338" w:rsidP="004F2AF2">
            <w:pPr>
              <w:spacing w:line="240" w:lineRule="auto"/>
              <w:rPr>
                <w:rFonts w:cs="Arial"/>
                <w:sz w:val="18"/>
                <w:szCs w:val="18"/>
              </w:rPr>
            </w:pPr>
            <w:r w:rsidRPr="00545EC0">
              <w:rPr>
                <w:rFonts w:cs="Arial"/>
                <w:sz w:val="18"/>
                <w:szCs w:val="18"/>
              </w:rPr>
              <w:t>SI434VT9</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3CB994D4" w14:textId="77777777" w:rsidR="00BA1338" w:rsidRPr="00545EC0" w:rsidRDefault="00BA1338" w:rsidP="00BE42F5">
            <w:pPr>
              <w:spacing w:line="240" w:lineRule="auto"/>
              <w:jc w:val="left"/>
              <w:rPr>
                <w:rFonts w:cs="Arial"/>
                <w:sz w:val="18"/>
                <w:szCs w:val="18"/>
              </w:rPr>
            </w:pPr>
            <w:r w:rsidRPr="00545EC0">
              <w:rPr>
                <w:rFonts w:cs="Arial"/>
                <w:sz w:val="18"/>
                <w:szCs w:val="18"/>
              </w:rPr>
              <w:t>VT Ščavnica zadrževalnik Gajševsko jezero - Gibina</w:t>
            </w:r>
          </w:p>
        </w:tc>
        <w:tc>
          <w:tcPr>
            <w:tcW w:w="1599" w:type="pct"/>
            <w:tcBorders>
              <w:top w:val="nil"/>
              <w:left w:val="nil"/>
              <w:bottom w:val="single" w:sz="4" w:space="0" w:color="auto"/>
              <w:right w:val="nil"/>
            </w:tcBorders>
            <w:shd w:val="clear" w:color="auto" w:fill="FFFFFF" w:themeFill="background1"/>
            <w:noWrap/>
            <w:vAlign w:val="center"/>
            <w:hideMark/>
          </w:tcPr>
          <w:p w14:paraId="368F4C01" w14:textId="77777777" w:rsidR="00BA1338" w:rsidRPr="00545EC0" w:rsidRDefault="00BA1338" w:rsidP="00BE42F5">
            <w:pPr>
              <w:spacing w:line="240" w:lineRule="auto"/>
              <w:jc w:val="left"/>
              <w:rPr>
                <w:rFonts w:cs="Arial"/>
                <w:sz w:val="18"/>
                <w:szCs w:val="18"/>
              </w:rPr>
            </w:pPr>
            <w:r w:rsidRPr="00545EC0">
              <w:rPr>
                <w:rFonts w:cs="Arial"/>
                <w:sz w:val="18"/>
                <w:szCs w:val="18"/>
              </w:rPr>
              <w:t>Ščavnica</w:t>
            </w:r>
          </w:p>
        </w:tc>
        <w:tc>
          <w:tcPr>
            <w:tcW w:w="693" w:type="pct"/>
            <w:vMerge/>
            <w:tcBorders>
              <w:left w:val="single" w:sz="4" w:space="0" w:color="auto"/>
              <w:right w:val="single" w:sz="4" w:space="0" w:color="auto"/>
            </w:tcBorders>
            <w:shd w:val="clear" w:color="auto" w:fill="FFFFFF" w:themeFill="background1"/>
            <w:vAlign w:val="center"/>
          </w:tcPr>
          <w:p w14:paraId="326384AD"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E5B12C"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CAB409"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6AA88C3C"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6B7974A" w14:textId="77777777" w:rsidR="00BA1338" w:rsidRPr="00545EC0" w:rsidRDefault="00BA1338" w:rsidP="004F2AF2">
            <w:pPr>
              <w:spacing w:line="240" w:lineRule="auto"/>
              <w:rPr>
                <w:rFonts w:cs="Arial"/>
                <w:sz w:val="18"/>
                <w:szCs w:val="18"/>
              </w:rPr>
            </w:pPr>
            <w:r w:rsidRPr="00545EC0">
              <w:rPr>
                <w:rFonts w:cs="Arial"/>
                <w:sz w:val="18"/>
                <w:szCs w:val="18"/>
              </w:rPr>
              <w:t>SI43VT10</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3C33B086" w14:textId="77777777" w:rsidR="00BA1338" w:rsidRPr="00545EC0" w:rsidRDefault="00BA1338" w:rsidP="00BE42F5">
            <w:pPr>
              <w:spacing w:line="240" w:lineRule="auto"/>
              <w:jc w:val="left"/>
              <w:rPr>
                <w:rFonts w:cs="Arial"/>
                <w:sz w:val="18"/>
                <w:szCs w:val="18"/>
              </w:rPr>
            </w:pPr>
            <w:r w:rsidRPr="00545EC0">
              <w:rPr>
                <w:rFonts w:cs="Arial"/>
                <w:sz w:val="18"/>
                <w:szCs w:val="18"/>
              </w:rPr>
              <w:t>VT Mura Ceršak - Petanjci</w:t>
            </w:r>
          </w:p>
        </w:tc>
        <w:tc>
          <w:tcPr>
            <w:tcW w:w="1599" w:type="pct"/>
            <w:tcBorders>
              <w:top w:val="nil"/>
              <w:left w:val="nil"/>
              <w:bottom w:val="single" w:sz="4" w:space="0" w:color="auto"/>
              <w:right w:val="nil"/>
            </w:tcBorders>
            <w:shd w:val="clear" w:color="auto" w:fill="FFFFFF" w:themeFill="background1"/>
            <w:noWrap/>
            <w:vAlign w:val="center"/>
            <w:hideMark/>
          </w:tcPr>
          <w:p w14:paraId="2607D8D3" w14:textId="77777777" w:rsidR="00BA1338" w:rsidRPr="00545EC0" w:rsidRDefault="00BA1338" w:rsidP="00BE42F5">
            <w:pPr>
              <w:spacing w:line="240" w:lineRule="auto"/>
              <w:jc w:val="left"/>
              <w:rPr>
                <w:rFonts w:cs="Arial"/>
                <w:sz w:val="18"/>
                <w:szCs w:val="18"/>
              </w:rPr>
            </w:pPr>
            <w:r w:rsidRPr="00545EC0">
              <w:rPr>
                <w:rFonts w:cs="Arial"/>
                <w:sz w:val="18"/>
                <w:szCs w:val="18"/>
              </w:rPr>
              <w:t>Mura</w:t>
            </w:r>
          </w:p>
        </w:tc>
        <w:tc>
          <w:tcPr>
            <w:tcW w:w="693" w:type="pct"/>
            <w:vMerge/>
            <w:tcBorders>
              <w:left w:val="single" w:sz="4" w:space="0" w:color="auto"/>
              <w:right w:val="single" w:sz="4" w:space="0" w:color="auto"/>
            </w:tcBorders>
            <w:shd w:val="clear" w:color="auto" w:fill="FFFFFF" w:themeFill="background1"/>
            <w:vAlign w:val="center"/>
          </w:tcPr>
          <w:p w14:paraId="1615EFD2"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9E049C"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23ACC9"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3AEC6776"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F18C53E" w14:textId="77777777" w:rsidR="00BA1338" w:rsidRPr="00545EC0" w:rsidRDefault="00BA1338" w:rsidP="004F2AF2">
            <w:pPr>
              <w:spacing w:line="240" w:lineRule="auto"/>
              <w:rPr>
                <w:rFonts w:cs="Arial"/>
                <w:sz w:val="18"/>
                <w:szCs w:val="18"/>
              </w:rPr>
            </w:pPr>
            <w:r w:rsidRPr="00545EC0">
              <w:rPr>
                <w:rFonts w:cs="Arial"/>
                <w:sz w:val="18"/>
                <w:szCs w:val="18"/>
              </w:rPr>
              <w:t>SI43VT30</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5453C77F" w14:textId="77777777" w:rsidR="00BA1338" w:rsidRPr="00545EC0" w:rsidRDefault="00BA1338" w:rsidP="00BE42F5">
            <w:pPr>
              <w:spacing w:line="240" w:lineRule="auto"/>
              <w:jc w:val="left"/>
              <w:rPr>
                <w:rFonts w:cs="Arial"/>
                <w:sz w:val="18"/>
                <w:szCs w:val="18"/>
              </w:rPr>
            </w:pPr>
            <w:r w:rsidRPr="00545EC0">
              <w:rPr>
                <w:rFonts w:cs="Arial"/>
                <w:sz w:val="18"/>
                <w:szCs w:val="18"/>
              </w:rPr>
              <w:t>VT Kučnica Mura Petanjci - Gibina</w:t>
            </w:r>
          </w:p>
        </w:tc>
        <w:tc>
          <w:tcPr>
            <w:tcW w:w="1599" w:type="pct"/>
            <w:tcBorders>
              <w:top w:val="nil"/>
              <w:left w:val="nil"/>
              <w:bottom w:val="single" w:sz="4" w:space="0" w:color="auto"/>
              <w:right w:val="nil"/>
            </w:tcBorders>
            <w:shd w:val="clear" w:color="auto" w:fill="FFFFFF" w:themeFill="background1"/>
            <w:noWrap/>
            <w:vAlign w:val="center"/>
            <w:hideMark/>
          </w:tcPr>
          <w:p w14:paraId="2D192329" w14:textId="77777777" w:rsidR="00BA1338" w:rsidRPr="00545EC0" w:rsidRDefault="00BA1338" w:rsidP="00BE42F5">
            <w:pPr>
              <w:spacing w:line="240" w:lineRule="auto"/>
              <w:jc w:val="left"/>
              <w:rPr>
                <w:rFonts w:cs="Arial"/>
                <w:sz w:val="18"/>
                <w:szCs w:val="18"/>
              </w:rPr>
            </w:pPr>
            <w:r w:rsidRPr="00545EC0">
              <w:rPr>
                <w:rFonts w:cs="Arial"/>
                <w:sz w:val="18"/>
                <w:szCs w:val="18"/>
              </w:rPr>
              <w:t>Mura</w:t>
            </w:r>
          </w:p>
        </w:tc>
        <w:tc>
          <w:tcPr>
            <w:tcW w:w="693" w:type="pct"/>
            <w:vMerge/>
            <w:tcBorders>
              <w:left w:val="single" w:sz="4" w:space="0" w:color="auto"/>
              <w:right w:val="single" w:sz="4" w:space="0" w:color="auto"/>
            </w:tcBorders>
            <w:shd w:val="clear" w:color="auto" w:fill="FFFFFF" w:themeFill="background1"/>
            <w:vAlign w:val="center"/>
          </w:tcPr>
          <w:p w14:paraId="3866B56F"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4B3F7C"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CF61EB"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2C1AC4CB"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A49F3B5" w14:textId="77777777" w:rsidR="00BA1338" w:rsidRPr="00545EC0" w:rsidRDefault="00BA1338" w:rsidP="004F2AF2">
            <w:pPr>
              <w:spacing w:line="240" w:lineRule="auto"/>
              <w:rPr>
                <w:rFonts w:cs="Arial"/>
                <w:sz w:val="18"/>
                <w:szCs w:val="18"/>
              </w:rPr>
            </w:pPr>
            <w:r w:rsidRPr="00545EC0">
              <w:rPr>
                <w:rFonts w:cs="Arial"/>
                <w:sz w:val="18"/>
                <w:szCs w:val="18"/>
              </w:rPr>
              <w:t>SI441VT</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2217386E" w14:textId="77777777" w:rsidR="00BA1338" w:rsidRPr="00545EC0" w:rsidRDefault="00BA1338" w:rsidP="00BE42F5">
            <w:pPr>
              <w:spacing w:line="240" w:lineRule="auto"/>
              <w:jc w:val="left"/>
              <w:rPr>
                <w:rFonts w:cs="Arial"/>
                <w:sz w:val="18"/>
                <w:szCs w:val="18"/>
              </w:rPr>
            </w:pPr>
            <w:r w:rsidRPr="00545EC0">
              <w:rPr>
                <w:rFonts w:cs="Arial"/>
                <w:sz w:val="18"/>
                <w:szCs w:val="18"/>
              </w:rPr>
              <w:t>VT Velika Krka povirje - državna meja</w:t>
            </w:r>
          </w:p>
        </w:tc>
        <w:tc>
          <w:tcPr>
            <w:tcW w:w="1599" w:type="pct"/>
            <w:tcBorders>
              <w:top w:val="nil"/>
              <w:left w:val="nil"/>
              <w:bottom w:val="single" w:sz="4" w:space="0" w:color="auto"/>
              <w:right w:val="nil"/>
            </w:tcBorders>
            <w:shd w:val="clear" w:color="auto" w:fill="FFFFFF" w:themeFill="background1"/>
            <w:noWrap/>
            <w:vAlign w:val="center"/>
            <w:hideMark/>
          </w:tcPr>
          <w:p w14:paraId="6FDC86FC" w14:textId="77777777" w:rsidR="00BA1338" w:rsidRPr="00545EC0" w:rsidRDefault="00BA1338" w:rsidP="00BE42F5">
            <w:pPr>
              <w:spacing w:line="240" w:lineRule="auto"/>
              <w:jc w:val="left"/>
              <w:rPr>
                <w:rFonts w:cs="Arial"/>
                <w:sz w:val="18"/>
                <w:szCs w:val="18"/>
              </w:rPr>
            </w:pPr>
            <w:r w:rsidRPr="00545EC0">
              <w:rPr>
                <w:rFonts w:cs="Arial"/>
                <w:sz w:val="18"/>
                <w:szCs w:val="18"/>
              </w:rPr>
              <w:t>Velika Krka Dolenski potok</w:t>
            </w:r>
          </w:p>
        </w:tc>
        <w:tc>
          <w:tcPr>
            <w:tcW w:w="693" w:type="pct"/>
            <w:vMerge/>
            <w:tcBorders>
              <w:left w:val="single" w:sz="4" w:space="0" w:color="auto"/>
              <w:right w:val="single" w:sz="4" w:space="0" w:color="auto"/>
            </w:tcBorders>
            <w:shd w:val="clear" w:color="auto" w:fill="FFFFFF" w:themeFill="background1"/>
            <w:vAlign w:val="center"/>
          </w:tcPr>
          <w:p w14:paraId="7A336622"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E21878"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D17FA6"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78B400A4"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9FC7026" w14:textId="77777777" w:rsidR="00BA1338" w:rsidRPr="00545EC0" w:rsidRDefault="00BA1338" w:rsidP="004F2AF2">
            <w:pPr>
              <w:spacing w:line="240" w:lineRule="auto"/>
              <w:rPr>
                <w:rFonts w:cs="Arial"/>
                <w:sz w:val="18"/>
                <w:szCs w:val="18"/>
              </w:rPr>
            </w:pPr>
            <w:r w:rsidRPr="00545EC0">
              <w:rPr>
                <w:rFonts w:cs="Arial"/>
                <w:sz w:val="18"/>
                <w:szCs w:val="18"/>
              </w:rPr>
              <w:t>SI4426VT2</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04671177" w14:textId="77777777" w:rsidR="00BA1338" w:rsidRPr="00545EC0" w:rsidRDefault="00BA1338" w:rsidP="00BE42F5">
            <w:pPr>
              <w:spacing w:line="240" w:lineRule="auto"/>
              <w:jc w:val="left"/>
              <w:rPr>
                <w:rFonts w:cs="Arial"/>
                <w:sz w:val="18"/>
                <w:szCs w:val="18"/>
              </w:rPr>
            </w:pPr>
            <w:r w:rsidRPr="00545EC0">
              <w:rPr>
                <w:rFonts w:cs="Arial"/>
                <w:sz w:val="18"/>
                <w:szCs w:val="18"/>
              </w:rPr>
              <w:t>VT Kobiljski potok državna meja - Ledava</w:t>
            </w:r>
          </w:p>
        </w:tc>
        <w:tc>
          <w:tcPr>
            <w:tcW w:w="1599" w:type="pct"/>
            <w:tcBorders>
              <w:top w:val="nil"/>
              <w:left w:val="nil"/>
              <w:bottom w:val="single" w:sz="4" w:space="0" w:color="auto"/>
              <w:right w:val="nil"/>
            </w:tcBorders>
            <w:shd w:val="clear" w:color="auto" w:fill="FFFFFF" w:themeFill="background1"/>
            <w:noWrap/>
            <w:vAlign w:val="center"/>
            <w:hideMark/>
          </w:tcPr>
          <w:p w14:paraId="0115A36E" w14:textId="77777777" w:rsidR="00BA1338" w:rsidRPr="00545EC0" w:rsidRDefault="00BA1338" w:rsidP="00BE42F5">
            <w:pPr>
              <w:spacing w:line="240" w:lineRule="auto"/>
              <w:jc w:val="left"/>
              <w:rPr>
                <w:rFonts w:cs="Arial"/>
                <w:sz w:val="18"/>
                <w:szCs w:val="18"/>
              </w:rPr>
            </w:pPr>
            <w:r w:rsidRPr="00545EC0">
              <w:rPr>
                <w:rFonts w:cs="Arial"/>
                <w:sz w:val="18"/>
                <w:szCs w:val="18"/>
              </w:rPr>
              <w:t>Kobiljski potok</w:t>
            </w:r>
          </w:p>
        </w:tc>
        <w:tc>
          <w:tcPr>
            <w:tcW w:w="693" w:type="pct"/>
            <w:vMerge/>
            <w:tcBorders>
              <w:left w:val="single" w:sz="4" w:space="0" w:color="auto"/>
              <w:right w:val="single" w:sz="4" w:space="0" w:color="auto"/>
            </w:tcBorders>
            <w:shd w:val="clear" w:color="auto" w:fill="FFFFFF" w:themeFill="background1"/>
            <w:vAlign w:val="center"/>
          </w:tcPr>
          <w:p w14:paraId="362B51FB"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F4EBAB"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01CA1F"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33564E13"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C899DAC" w14:textId="77777777" w:rsidR="00BA1338" w:rsidRPr="00545EC0" w:rsidRDefault="00BA1338" w:rsidP="004F2AF2">
            <w:pPr>
              <w:spacing w:line="240" w:lineRule="auto"/>
              <w:rPr>
                <w:rFonts w:cs="Arial"/>
                <w:sz w:val="18"/>
                <w:szCs w:val="18"/>
              </w:rPr>
            </w:pPr>
            <w:r w:rsidRPr="00545EC0">
              <w:rPr>
                <w:rFonts w:cs="Arial"/>
                <w:sz w:val="18"/>
                <w:szCs w:val="18"/>
              </w:rPr>
              <w:t>SI442VT11</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3672A055" w14:textId="77777777" w:rsidR="00BA1338" w:rsidRPr="00545EC0" w:rsidRDefault="00BA1338" w:rsidP="00BE42F5">
            <w:pPr>
              <w:spacing w:line="240" w:lineRule="auto"/>
              <w:jc w:val="left"/>
              <w:rPr>
                <w:rFonts w:cs="Arial"/>
                <w:sz w:val="18"/>
                <w:szCs w:val="18"/>
              </w:rPr>
            </w:pPr>
            <w:r w:rsidRPr="00545EC0">
              <w:rPr>
                <w:rFonts w:cs="Arial"/>
                <w:sz w:val="18"/>
                <w:szCs w:val="18"/>
              </w:rPr>
              <w:t>VT Ledava državna meja - zadrževalnik Ledavsko jezero</w:t>
            </w:r>
          </w:p>
        </w:tc>
        <w:tc>
          <w:tcPr>
            <w:tcW w:w="1599" w:type="pct"/>
            <w:tcBorders>
              <w:top w:val="nil"/>
              <w:left w:val="nil"/>
              <w:bottom w:val="single" w:sz="4" w:space="0" w:color="auto"/>
              <w:right w:val="nil"/>
            </w:tcBorders>
            <w:shd w:val="clear" w:color="auto" w:fill="FFFFFF" w:themeFill="background1"/>
            <w:noWrap/>
            <w:vAlign w:val="center"/>
            <w:hideMark/>
          </w:tcPr>
          <w:p w14:paraId="667DB657" w14:textId="77777777" w:rsidR="00BA1338" w:rsidRPr="00545EC0" w:rsidRDefault="00BA1338" w:rsidP="00BE42F5">
            <w:pPr>
              <w:spacing w:line="240" w:lineRule="auto"/>
              <w:jc w:val="left"/>
              <w:rPr>
                <w:rFonts w:cs="Arial"/>
                <w:sz w:val="18"/>
                <w:szCs w:val="18"/>
              </w:rPr>
            </w:pPr>
            <w:r w:rsidRPr="00545EC0">
              <w:rPr>
                <w:rFonts w:cs="Arial"/>
                <w:sz w:val="18"/>
                <w:szCs w:val="18"/>
              </w:rPr>
              <w:t>Ledava</w:t>
            </w:r>
          </w:p>
        </w:tc>
        <w:tc>
          <w:tcPr>
            <w:tcW w:w="693" w:type="pct"/>
            <w:vMerge/>
            <w:tcBorders>
              <w:left w:val="single" w:sz="4" w:space="0" w:color="auto"/>
              <w:right w:val="single" w:sz="4" w:space="0" w:color="auto"/>
            </w:tcBorders>
            <w:shd w:val="clear" w:color="auto" w:fill="FFFFFF" w:themeFill="background1"/>
            <w:vAlign w:val="center"/>
          </w:tcPr>
          <w:p w14:paraId="7FC92329"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56C9E3"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8BFC2E" w14:textId="77777777" w:rsidR="00BA1338" w:rsidRPr="00545EC0" w:rsidRDefault="00BA1338" w:rsidP="004F2AF2">
            <w:pPr>
              <w:spacing w:line="240" w:lineRule="auto"/>
              <w:rPr>
                <w:rFonts w:cs="Arial"/>
                <w:sz w:val="18"/>
                <w:szCs w:val="18"/>
              </w:rPr>
            </w:pPr>
            <w:r w:rsidRPr="00545EC0">
              <w:rPr>
                <w:rFonts w:cs="Arial"/>
                <w:sz w:val="18"/>
                <w:szCs w:val="18"/>
              </w:rPr>
              <w:t>0</w:t>
            </w:r>
          </w:p>
        </w:tc>
      </w:tr>
      <w:tr w:rsidR="003122F4" w:rsidRPr="00545EC0" w14:paraId="57B2DD8F"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0FDEED2" w14:textId="77777777" w:rsidR="00BA1338" w:rsidRPr="00545EC0" w:rsidRDefault="00BA1338" w:rsidP="004F2AF2">
            <w:pPr>
              <w:spacing w:line="240" w:lineRule="auto"/>
              <w:rPr>
                <w:rFonts w:cs="Arial"/>
                <w:sz w:val="18"/>
                <w:szCs w:val="18"/>
              </w:rPr>
            </w:pPr>
            <w:r w:rsidRPr="00545EC0">
              <w:rPr>
                <w:rFonts w:cs="Arial"/>
                <w:sz w:val="18"/>
                <w:szCs w:val="18"/>
              </w:rPr>
              <w:t>SI442VT91</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78BF9F70" w14:textId="77777777" w:rsidR="00BA1338" w:rsidRPr="00545EC0" w:rsidRDefault="00BA1338" w:rsidP="00BE42F5">
            <w:pPr>
              <w:spacing w:line="240" w:lineRule="auto"/>
              <w:jc w:val="left"/>
              <w:rPr>
                <w:rFonts w:cs="Arial"/>
                <w:sz w:val="18"/>
                <w:szCs w:val="18"/>
              </w:rPr>
            </w:pPr>
            <w:r w:rsidRPr="00545EC0">
              <w:rPr>
                <w:rFonts w:cs="Arial"/>
                <w:sz w:val="18"/>
                <w:szCs w:val="18"/>
              </w:rPr>
              <w:t xml:space="preserve">VT Ledava zadrževalnik Ledavsko jezero - sotočje </w:t>
            </w:r>
            <w:r w:rsidRPr="00545EC0">
              <w:rPr>
                <w:rFonts w:cs="Arial"/>
                <w:sz w:val="18"/>
                <w:szCs w:val="18"/>
              </w:rPr>
              <w:lastRenderedPageBreak/>
              <w:t>z Veliko Krko</w:t>
            </w:r>
          </w:p>
        </w:tc>
        <w:tc>
          <w:tcPr>
            <w:tcW w:w="1599" w:type="pct"/>
            <w:tcBorders>
              <w:top w:val="nil"/>
              <w:left w:val="nil"/>
              <w:bottom w:val="single" w:sz="4" w:space="0" w:color="auto"/>
              <w:right w:val="nil"/>
            </w:tcBorders>
            <w:shd w:val="clear" w:color="auto" w:fill="FFFFFF" w:themeFill="background1"/>
            <w:noWrap/>
            <w:vAlign w:val="center"/>
            <w:hideMark/>
          </w:tcPr>
          <w:p w14:paraId="6A5491E2" w14:textId="77777777" w:rsidR="00BA1338" w:rsidRPr="00545EC0" w:rsidRDefault="00BA1338" w:rsidP="00BE42F5">
            <w:pPr>
              <w:spacing w:line="240" w:lineRule="auto"/>
              <w:jc w:val="left"/>
              <w:rPr>
                <w:rFonts w:cs="Arial"/>
                <w:sz w:val="18"/>
                <w:szCs w:val="18"/>
              </w:rPr>
            </w:pPr>
            <w:r w:rsidRPr="00545EC0">
              <w:rPr>
                <w:rFonts w:cs="Arial"/>
                <w:sz w:val="18"/>
                <w:szCs w:val="18"/>
              </w:rPr>
              <w:lastRenderedPageBreak/>
              <w:t>Ledava, Martjanski potok, Črni potok, Puconski potok, Črnec</w:t>
            </w:r>
          </w:p>
        </w:tc>
        <w:tc>
          <w:tcPr>
            <w:tcW w:w="693" w:type="pct"/>
            <w:vMerge/>
            <w:tcBorders>
              <w:left w:val="single" w:sz="4" w:space="0" w:color="auto"/>
              <w:right w:val="single" w:sz="4" w:space="0" w:color="auto"/>
            </w:tcBorders>
            <w:shd w:val="clear" w:color="auto" w:fill="FFFFFF" w:themeFill="background1"/>
            <w:vAlign w:val="center"/>
          </w:tcPr>
          <w:p w14:paraId="496D713B"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9DAE04"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29912A" w14:textId="77777777" w:rsidR="00BA1338" w:rsidRPr="00545EC0" w:rsidRDefault="00BA1338" w:rsidP="004F2AF2">
            <w:pPr>
              <w:spacing w:line="240" w:lineRule="auto"/>
              <w:rPr>
                <w:rFonts w:cs="Arial"/>
                <w:sz w:val="18"/>
                <w:szCs w:val="18"/>
              </w:rPr>
            </w:pPr>
            <w:r w:rsidRPr="00545EC0">
              <w:rPr>
                <w:rFonts w:cs="Arial"/>
                <w:sz w:val="18"/>
                <w:szCs w:val="18"/>
              </w:rPr>
              <w:t>1</w:t>
            </w:r>
          </w:p>
        </w:tc>
      </w:tr>
      <w:tr w:rsidR="003122F4" w:rsidRPr="00545EC0" w14:paraId="244F79B2" w14:textId="77777777" w:rsidTr="00BE42F5">
        <w:trPr>
          <w:trHeight w:val="227"/>
        </w:trPr>
        <w:tc>
          <w:tcPr>
            <w:tcW w:w="7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3EAA6F9" w14:textId="77777777" w:rsidR="00BA1338" w:rsidRPr="00545EC0" w:rsidRDefault="00BA1338" w:rsidP="004F2AF2">
            <w:pPr>
              <w:spacing w:line="240" w:lineRule="auto"/>
              <w:rPr>
                <w:rFonts w:cs="Arial"/>
                <w:sz w:val="18"/>
                <w:szCs w:val="18"/>
              </w:rPr>
            </w:pPr>
            <w:r w:rsidRPr="00545EC0">
              <w:rPr>
                <w:rFonts w:cs="Arial"/>
                <w:sz w:val="18"/>
                <w:szCs w:val="18"/>
              </w:rPr>
              <w:lastRenderedPageBreak/>
              <w:t>SI442VT92</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5C1440C6" w14:textId="77777777" w:rsidR="00BA1338" w:rsidRPr="00545EC0" w:rsidRDefault="00BA1338" w:rsidP="00BE42F5">
            <w:pPr>
              <w:spacing w:line="240" w:lineRule="auto"/>
              <w:jc w:val="left"/>
              <w:rPr>
                <w:rFonts w:cs="Arial"/>
                <w:sz w:val="18"/>
                <w:szCs w:val="18"/>
              </w:rPr>
            </w:pPr>
            <w:r w:rsidRPr="00545EC0">
              <w:rPr>
                <w:rFonts w:cs="Arial"/>
                <w:sz w:val="18"/>
                <w:szCs w:val="18"/>
              </w:rPr>
              <w:t>VT Ledava mejni odsek</w:t>
            </w:r>
          </w:p>
        </w:tc>
        <w:tc>
          <w:tcPr>
            <w:tcW w:w="1599" w:type="pct"/>
            <w:tcBorders>
              <w:top w:val="nil"/>
              <w:left w:val="nil"/>
              <w:bottom w:val="single" w:sz="4" w:space="0" w:color="auto"/>
              <w:right w:val="nil"/>
            </w:tcBorders>
            <w:shd w:val="clear" w:color="auto" w:fill="FFFFFF" w:themeFill="background1"/>
            <w:noWrap/>
            <w:vAlign w:val="center"/>
            <w:hideMark/>
          </w:tcPr>
          <w:p w14:paraId="1005CD1D" w14:textId="77777777" w:rsidR="00BA1338" w:rsidRPr="00545EC0" w:rsidRDefault="00BA1338" w:rsidP="00BE42F5">
            <w:pPr>
              <w:spacing w:line="240" w:lineRule="auto"/>
              <w:jc w:val="left"/>
              <w:rPr>
                <w:rFonts w:cs="Arial"/>
                <w:sz w:val="18"/>
                <w:szCs w:val="18"/>
              </w:rPr>
            </w:pPr>
            <w:r w:rsidRPr="00545EC0">
              <w:rPr>
                <w:rFonts w:cs="Arial"/>
                <w:sz w:val="18"/>
                <w:szCs w:val="18"/>
              </w:rPr>
              <w:t>Ledava</w:t>
            </w:r>
          </w:p>
        </w:tc>
        <w:tc>
          <w:tcPr>
            <w:tcW w:w="693" w:type="pct"/>
            <w:vMerge/>
            <w:tcBorders>
              <w:left w:val="single" w:sz="4" w:space="0" w:color="auto"/>
              <w:bottom w:val="single" w:sz="4" w:space="0" w:color="auto"/>
              <w:right w:val="single" w:sz="4" w:space="0" w:color="auto"/>
            </w:tcBorders>
            <w:shd w:val="clear" w:color="auto" w:fill="FFFFFF" w:themeFill="background1"/>
            <w:vAlign w:val="center"/>
          </w:tcPr>
          <w:p w14:paraId="499A9B90" w14:textId="77777777" w:rsidR="00BA1338" w:rsidRPr="00545EC0" w:rsidRDefault="00BA1338" w:rsidP="004F2AF2">
            <w:pPr>
              <w:spacing w:line="240" w:lineRule="auto"/>
              <w:rPr>
                <w:rFonts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4ECED6" w14:textId="77777777" w:rsidR="00BA1338" w:rsidRPr="00545EC0" w:rsidRDefault="00BA1338" w:rsidP="004F2AF2">
            <w:pPr>
              <w:spacing w:line="240" w:lineRule="auto"/>
              <w:rPr>
                <w:rFonts w:cs="Arial"/>
                <w:sz w:val="18"/>
                <w:szCs w:val="18"/>
              </w:rPr>
            </w:pPr>
            <w:r w:rsidRPr="00545EC0">
              <w:rPr>
                <w:rFonts w:cs="Arial"/>
                <w:sz w:val="18"/>
                <w:szCs w:val="18"/>
              </w:rPr>
              <w:t>1</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61B452" w14:textId="77777777" w:rsidR="00BA1338" w:rsidRPr="00545EC0" w:rsidRDefault="00BA1338" w:rsidP="004F2AF2">
            <w:pPr>
              <w:spacing w:line="240" w:lineRule="auto"/>
              <w:rPr>
                <w:rFonts w:cs="Arial"/>
                <w:sz w:val="18"/>
                <w:szCs w:val="18"/>
              </w:rPr>
            </w:pPr>
            <w:r w:rsidRPr="00545EC0">
              <w:rPr>
                <w:rFonts w:cs="Arial"/>
                <w:sz w:val="18"/>
                <w:szCs w:val="18"/>
              </w:rPr>
              <w:t>0</w:t>
            </w:r>
          </w:p>
        </w:tc>
      </w:tr>
    </w:tbl>
    <w:p w14:paraId="607106F1"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0"/>
        </w:rPr>
      </w:pPr>
    </w:p>
    <w:p w14:paraId="6B243067" w14:textId="089F676C"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i/>
          <w:szCs w:val="24"/>
          <w:lang w:eastAsia="ja-JP"/>
        </w:rPr>
      </w:pPr>
      <w:r w:rsidRPr="00545EC0">
        <w:rPr>
          <w:szCs w:val="20"/>
        </w:rPr>
        <w:t>Deli vodnih teles površinskih voda, na katerih je prisotna pomembna obremenitev zaradi antropogene spremenjenosti vodotoko</w:t>
      </w:r>
      <w:r w:rsidR="0078119E" w:rsidRPr="00545EC0">
        <w:rPr>
          <w:szCs w:val="20"/>
        </w:rPr>
        <w:t>v, so prikazani na</w:t>
      </w:r>
      <w:r w:rsidRPr="00545EC0">
        <w:rPr>
          <w:szCs w:val="20"/>
        </w:rPr>
        <w:t xml:space="preserve"> </w:t>
      </w:r>
      <w:r w:rsidR="002B19AC" w:rsidRPr="00545EC0">
        <w:rPr>
          <w:szCs w:val="20"/>
        </w:rPr>
        <w:t xml:space="preserve">publikacijski </w:t>
      </w:r>
      <w:r w:rsidRPr="00545EC0">
        <w:rPr>
          <w:szCs w:val="20"/>
        </w:rPr>
        <w:t xml:space="preserve">karti </w:t>
      </w:r>
      <w:r w:rsidRPr="00545EC0">
        <w:rPr>
          <w:rFonts w:cs="Arial"/>
          <w:i/>
          <w:szCs w:val="24"/>
          <w:lang w:eastAsia="ja-JP"/>
        </w:rPr>
        <w:t>(</w:t>
      </w:r>
      <w:r w:rsidR="0078119E" w:rsidRPr="00545EC0">
        <w:rPr>
          <w:rFonts w:cs="Arial"/>
          <w:i/>
          <w:szCs w:val="24"/>
          <w:lang w:eastAsia="ja-JP"/>
        </w:rPr>
        <w:t>Publikacijska karta 4.9: Hidromorfološka spremenljivost vodotokov in pomembne obremenitve dVTPV).</w:t>
      </w:r>
      <w:r w:rsidRPr="00545EC0">
        <w:rPr>
          <w:rFonts w:cs="Arial"/>
          <w:i/>
          <w:szCs w:val="24"/>
          <w:lang w:eastAsia="ja-JP"/>
        </w:rPr>
        <w:t xml:space="preserve"> </w:t>
      </w:r>
    </w:p>
    <w:p w14:paraId="6661CBFD"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i/>
          <w:szCs w:val="24"/>
          <w:lang w:eastAsia="ja-JP"/>
        </w:rPr>
      </w:pPr>
    </w:p>
    <w:p w14:paraId="6AF44A48" w14:textId="76077076" w:rsidR="00AC702B" w:rsidRPr="00545EC0" w:rsidRDefault="00BA1338" w:rsidP="00AC7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i/>
          <w:szCs w:val="24"/>
          <w:lang w:eastAsia="ja-JP"/>
        </w:rPr>
      </w:pPr>
      <w:r w:rsidRPr="00545EC0">
        <w:rPr>
          <w:rFonts w:cs="Arial"/>
          <w:szCs w:val="20"/>
          <w:lang w:eastAsia="ja-JP"/>
        </w:rPr>
        <w:t>Na VO Donave so pomembne obremenitve zaradi hidromorfološke spremenjenosti vodotokov prisotne na vseh porečjih (</w:t>
      </w:r>
      <w:r w:rsidR="006C37B4" w:rsidRPr="00545EC0">
        <w:rPr>
          <w:rFonts w:cs="Arial"/>
          <w:szCs w:val="20"/>
          <w:lang w:eastAsia="ja-JP"/>
        </w:rPr>
        <w:fldChar w:fldCharType="begin"/>
      </w:r>
      <w:r w:rsidR="006C37B4" w:rsidRPr="00545EC0">
        <w:rPr>
          <w:rFonts w:cs="Arial"/>
          <w:szCs w:val="20"/>
          <w:lang w:eastAsia="ja-JP"/>
        </w:rPr>
        <w:instrText xml:space="preserve"> REF _Ref84339154 \h </w:instrText>
      </w:r>
      <w:r w:rsidR="00F37A91" w:rsidRPr="00545EC0">
        <w:rPr>
          <w:rFonts w:cs="Arial"/>
          <w:szCs w:val="20"/>
          <w:lang w:eastAsia="ja-JP"/>
        </w:rPr>
        <w:instrText xml:space="preserve"> \* MERGEFORMAT </w:instrText>
      </w:r>
      <w:r w:rsidR="006C37B4" w:rsidRPr="00545EC0">
        <w:rPr>
          <w:rFonts w:cs="Arial"/>
          <w:szCs w:val="20"/>
          <w:lang w:eastAsia="ja-JP"/>
        </w:rPr>
      </w:r>
      <w:r w:rsidR="006C37B4" w:rsidRPr="00545EC0">
        <w:rPr>
          <w:rFonts w:cs="Arial"/>
          <w:szCs w:val="20"/>
          <w:lang w:eastAsia="ja-JP"/>
        </w:rPr>
        <w:fldChar w:fldCharType="separate"/>
      </w:r>
      <w:r w:rsidR="002F3E43" w:rsidRPr="00545EC0">
        <w:t xml:space="preserve">Slika </w:t>
      </w:r>
      <w:r w:rsidR="002F3E43">
        <w:rPr>
          <w:noProof/>
        </w:rPr>
        <w:t>2</w:t>
      </w:r>
      <w:r w:rsidR="002F3E43" w:rsidRPr="00545EC0">
        <w:rPr>
          <w:noProof/>
        </w:rPr>
        <w:noBreakHyphen/>
      </w:r>
      <w:r w:rsidR="002F3E43">
        <w:rPr>
          <w:noProof/>
        </w:rPr>
        <w:t>21</w:t>
      </w:r>
      <w:r w:rsidR="006C37B4" w:rsidRPr="00545EC0">
        <w:rPr>
          <w:rFonts w:cs="Arial"/>
          <w:szCs w:val="20"/>
          <w:lang w:eastAsia="ja-JP"/>
        </w:rPr>
        <w:fldChar w:fldCharType="end"/>
      </w:r>
      <w:r w:rsidRPr="00545EC0">
        <w:rPr>
          <w:rFonts w:cs="Arial"/>
          <w:szCs w:val="20"/>
          <w:lang w:eastAsia="ja-JP"/>
        </w:rPr>
        <w:t xml:space="preserve">). </w:t>
      </w:r>
      <w:r w:rsidR="00AC702B" w:rsidRPr="00545EC0">
        <w:rPr>
          <w:rFonts w:cs="Arial"/>
          <w:szCs w:val="20"/>
          <w:lang w:eastAsia="ja-JP"/>
        </w:rPr>
        <w:t xml:space="preserve">Največji delež </w:t>
      </w:r>
      <w:r w:rsidR="00AC702B" w:rsidRPr="00545EC0">
        <w:rPr>
          <w:rFonts w:cs="Arial"/>
        </w:rPr>
        <w:t>dVTPV-jev</w:t>
      </w:r>
      <w:r w:rsidR="00AC702B" w:rsidRPr="00545EC0">
        <w:rPr>
          <w:rFonts w:cs="Arial"/>
          <w:szCs w:val="20"/>
          <w:lang w:eastAsia="ja-JP"/>
        </w:rPr>
        <w:t xml:space="preserve"> s pomembno obremenitvijo zaradi hidromorfološke spremenjenosti vodotokov na glavnem toku </w:t>
      </w:r>
      <w:r w:rsidR="00AC702B" w:rsidRPr="00545EC0">
        <w:rPr>
          <w:rFonts w:cs="Arial"/>
        </w:rPr>
        <w:t>je</w:t>
      </w:r>
      <w:r w:rsidR="00AC702B" w:rsidRPr="00545EC0">
        <w:rPr>
          <w:rFonts w:cs="Arial"/>
          <w:szCs w:val="20"/>
          <w:lang w:eastAsia="ja-JP"/>
        </w:rPr>
        <w:t xml:space="preserve"> prisoten na porečjih Mure, Drave in Srednje Save, na dVTPV-jih na pritokih pa na porečjih Drave, Savinje in Srednje Save. </w:t>
      </w:r>
    </w:p>
    <w:p w14:paraId="50DB8A64" w14:textId="010654EA"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i/>
          <w:szCs w:val="24"/>
          <w:lang w:eastAsia="ja-JP"/>
        </w:rPr>
      </w:pPr>
      <w:r w:rsidRPr="00545EC0">
        <w:rPr>
          <w:rFonts w:cs="Arial"/>
          <w:szCs w:val="20"/>
          <w:lang w:eastAsia="ja-JP"/>
        </w:rPr>
        <w:t xml:space="preserve"> </w:t>
      </w:r>
    </w:p>
    <w:p w14:paraId="1159043C"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p>
    <w:p w14:paraId="6BED2307" w14:textId="5176FF1D" w:rsidR="006C37B4" w:rsidRPr="00545EC0" w:rsidRDefault="00AC702B" w:rsidP="006C37B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 w:rsidRPr="00545EC0">
        <w:rPr>
          <w:noProof/>
        </w:rPr>
        <w:drawing>
          <wp:inline distT="0" distB="0" distL="0" distR="0" wp14:anchorId="5D25CF87" wp14:editId="0E975FA3">
            <wp:extent cx="5400000" cy="3424539"/>
            <wp:effectExtent l="0" t="0" r="0" b="508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000" cy="3424539"/>
                    </a:xfrm>
                    <a:prstGeom prst="rect">
                      <a:avLst/>
                    </a:prstGeom>
                    <a:noFill/>
                  </pic:spPr>
                </pic:pic>
              </a:graphicData>
            </a:graphic>
          </wp:inline>
        </w:drawing>
      </w:r>
    </w:p>
    <w:p w14:paraId="7D44BE07" w14:textId="7EF00262" w:rsidR="00BA1338" w:rsidRPr="00545EC0" w:rsidRDefault="006C37B4" w:rsidP="006C37B4">
      <w:pPr>
        <w:pStyle w:val="Napis"/>
      </w:pPr>
      <w:bookmarkStart w:id="214" w:name="_Ref84339154"/>
      <w:r w:rsidRPr="00545EC0">
        <w:t xml:space="preserve">Slika </w:t>
      </w:r>
      <w:fldSimple w:instr=" STYLEREF 1 \s ">
        <w:r w:rsidR="002F3E43">
          <w:rPr>
            <w:noProof/>
          </w:rPr>
          <w:t>2</w:t>
        </w:r>
      </w:fldSimple>
      <w:r w:rsidR="00396E1E" w:rsidRPr="00545EC0">
        <w:noBreakHyphen/>
      </w:r>
      <w:fldSimple w:instr=" SEQ Slika \* ARABIC \s 1 ">
        <w:r w:rsidR="002F3E43">
          <w:rPr>
            <w:noProof/>
          </w:rPr>
          <w:t>21</w:t>
        </w:r>
      </w:fldSimple>
      <w:bookmarkEnd w:id="214"/>
      <w:r w:rsidRPr="00545EC0">
        <w:t>: Delež števila dVTPV s pomembno obremenitvijo zaradi hidromorfološke spremenjenosti vodotokov na porečjih VO Donave</w:t>
      </w:r>
    </w:p>
    <w:p w14:paraId="63863C9E" w14:textId="77777777" w:rsidR="00BA1338" w:rsidRPr="00545EC0" w:rsidRDefault="00BA1338" w:rsidP="00BA1338">
      <w:pPr>
        <w:spacing w:before="240" w:after="240"/>
        <w:rPr>
          <w:rFonts w:cs="Arial"/>
          <w:b/>
        </w:rPr>
      </w:pPr>
      <w:r w:rsidRPr="00545EC0">
        <w:rPr>
          <w:rFonts w:cs="Arial"/>
          <w:b/>
        </w:rPr>
        <w:t>Morfološke obremenitve – raba zemljišč na obrežnem pasu</w:t>
      </w:r>
    </w:p>
    <w:p w14:paraId="2FD07734" w14:textId="6B0CDFA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545EC0">
        <w:rPr>
          <w:rFonts w:cs="Arial"/>
        </w:rPr>
        <w:t>Pri obravnavi rabe zemljišč na obrežnem pasu so upoštevani podatki o dejanski rabi kmetijskih in gozdnih zemljišč iz Evidence dejanske rabe kmetijskih in gozdnih zemljišč (MKGP, 2020). Za vse dVTPV-je je določen obrežni pas, in sicer za dVTPV-je na glavnem toku v širini 15 m od roba struge oziroma obale ter v širini 5 m za dVTPV-je na pritokih. Za vsak dVTPV je izračunano utežno povprečje deležev posamezne rabe in določen razred spremenjenosti obrežnega pasu (od naravnega ali zelo malo spremenjenega obrežnega pasu do zelo močno spremenjenega obrežnega pasu). Največji delež dVTP-jev z naravnim ali zelo malo spremenjenih obrežnim pasom je na porečju Zgornje Save, največji delež z zelo močno spremenjenim obrežnim pasom pa na porečju Srednje Save (</w:t>
      </w:r>
      <w:r w:rsidR="006C37B4" w:rsidRPr="00545EC0">
        <w:rPr>
          <w:rFonts w:cs="Arial"/>
        </w:rPr>
        <w:fldChar w:fldCharType="begin"/>
      </w:r>
      <w:r w:rsidR="006C37B4" w:rsidRPr="00545EC0">
        <w:rPr>
          <w:rFonts w:cs="Arial"/>
        </w:rPr>
        <w:instrText xml:space="preserve"> REF _Ref84339204 \h </w:instrText>
      </w:r>
      <w:r w:rsidR="00F37A91" w:rsidRPr="00545EC0">
        <w:rPr>
          <w:rFonts w:cs="Arial"/>
        </w:rPr>
        <w:instrText xml:space="preserve"> \* MERGEFORMAT </w:instrText>
      </w:r>
      <w:r w:rsidR="006C37B4" w:rsidRPr="00545EC0">
        <w:rPr>
          <w:rFonts w:cs="Arial"/>
        </w:rPr>
      </w:r>
      <w:r w:rsidR="006C37B4" w:rsidRPr="00545EC0">
        <w:rPr>
          <w:rFonts w:cs="Arial"/>
        </w:rPr>
        <w:fldChar w:fldCharType="separate"/>
      </w:r>
      <w:r w:rsidR="002F3E43" w:rsidRPr="00545EC0">
        <w:rPr>
          <w:szCs w:val="20"/>
        </w:rPr>
        <w:t xml:space="preserve">Slika </w:t>
      </w:r>
      <w:r w:rsidR="002F3E43">
        <w:rPr>
          <w:noProof/>
          <w:szCs w:val="20"/>
        </w:rPr>
        <w:t>2</w:t>
      </w:r>
      <w:r w:rsidR="002F3E43" w:rsidRPr="00545EC0">
        <w:rPr>
          <w:noProof/>
          <w:szCs w:val="20"/>
        </w:rPr>
        <w:noBreakHyphen/>
      </w:r>
      <w:r w:rsidR="002F3E43">
        <w:rPr>
          <w:noProof/>
          <w:szCs w:val="20"/>
        </w:rPr>
        <w:t>22</w:t>
      </w:r>
      <w:r w:rsidR="006C37B4" w:rsidRPr="00545EC0">
        <w:rPr>
          <w:rFonts w:cs="Arial"/>
        </w:rPr>
        <w:fldChar w:fldCharType="end"/>
      </w:r>
      <w:r w:rsidRPr="00545EC0">
        <w:rPr>
          <w:rFonts w:cs="Arial"/>
        </w:rPr>
        <w:t xml:space="preserve">). </w:t>
      </w:r>
    </w:p>
    <w:p w14:paraId="6B79DEC1"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p>
    <w:p w14:paraId="6A2B5957" w14:textId="77777777" w:rsidR="006C37B4" w:rsidRPr="00545EC0" w:rsidRDefault="00BA1338" w:rsidP="006C37B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 w:rsidRPr="00545EC0">
        <w:rPr>
          <w:rFonts w:cs="Arial"/>
          <w:noProof/>
        </w:rPr>
        <w:lastRenderedPageBreak/>
        <w:drawing>
          <wp:inline distT="0" distB="0" distL="0" distR="0" wp14:anchorId="16F3E95D" wp14:editId="36D76891">
            <wp:extent cx="5614177" cy="4380422"/>
            <wp:effectExtent l="19050" t="19050" r="24765" b="2032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24677" cy="4388614"/>
                    </a:xfrm>
                    <a:prstGeom prst="rect">
                      <a:avLst/>
                    </a:prstGeom>
                    <a:noFill/>
                    <a:ln>
                      <a:solidFill>
                        <a:schemeClr val="bg1">
                          <a:lumMod val="85000"/>
                        </a:schemeClr>
                      </a:solidFill>
                    </a:ln>
                  </pic:spPr>
                </pic:pic>
              </a:graphicData>
            </a:graphic>
          </wp:inline>
        </w:drawing>
      </w:r>
    </w:p>
    <w:p w14:paraId="74B63DC4" w14:textId="631C5E1C" w:rsidR="006C37B4" w:rsidRPr="00545EC0" w:rsidRDefault="006C37B4" w:rsidP="006C3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left"/>
        <w:rPr>
          <w:rFonts w:cs="Arial"/>
          <w:szCs w:val="20"/>
        </w:rPr>
      </w:pPr>
      <w:bookmarkStart w:id="215" w:name="_Ref84339204"/>
      <w:r w:rsidRPr="00545EC0">
        <w:rPr>
          <w:szCs w:val="20"/>
        </w:rPr>
        <w:t xml:space="preserve">Slika </w:t>
      </w:r>
      <w:r w:rsidR="00396E1E" w:rsidRPr="00545EC0">
        <w:rPr>
          <w:szCs w:val="20"/>
        </w:rPr>
        <w:fldChar w:fldCharType="begin"/>
      </w:r>
      <w:r w:rsidR="00396E1E" w:rsidRPr="00545EC0">
        <w:rPr>
          <w:szCs w:val="20"/>
        </w:rPr>
        <w:instrText xml:space="preserve"> STYLEREF 1 \s </w:instrText>
      </w:r>
      <w:r w:rsidR="00396E1E" w:rsidRPr="00545EC0">
        <w:rPr>
          <w:szCs w:val="20"/>
        </w:rPr>
        <w:fldChar w:fldCharType="separate"/>
      </w:r>
      <w:r w:rsidR="002F3E43">
        <w:rPr>
          <w:noProof/>
          <w:szCs w:val="20"/>
        </w:rPr>
        <w:t>2</w:t>
      </w:r>
      <w:r w:rsidR="00396E1E" w:rsidRPr="00545EC0">
        <w:rPr>
          <w:szCs w:val="20"/>
        </w:rPr>
        <w:fldChar w:fldCharType="end"/>
      </w:r>
      <w:r w:rsidR="00396E1E" w:rsidRPr="00545EC0">
        <w:rPr>
          <w:szCs w:val="20"/>
        </w:rPr>
        <w:noBreakHyphen/>
      </w:r>
      <w:r w:rsidR="00396E1E" w:rsidRPr="00545EC0">
        <w:rPr>
          <w:szCs w:val="20"/>
        </w:rPr>
        <w:fldChar w:fldCharType="begin"/>
      </w:r>
      <w:r w:rsidR="00396E1E" w:rsidRPr="00545EC0">
        <w:rPr>
          <w:szCs w:val="20"/>
        </w:rPr>
        <w:instrText xml:space="preserve"> SEQ Slika \* ARABIC \s 1 </w:instrText>
      </w:r>
      <w:r w:rsidR="00396E1E" w:rsidRPr="00545EC0">
        <w:rPr>
          <w:szCs w:val="20"/>
        </w:rPr>
        <w:fldChar w:fldCharType="separate"/>
      </w:r>
      <w:r w:rsidR="002F3E43">
        <w:rPr>
          <w:noProof/>
          <w:szCs w:val="20"/>
        </w:rPr>
        <w:t>22</w:t>
      </w:r>
      <w:r w:rsidR="00396E1E" w:rsidRPr="00545EC0">
        <w:rPr>
          <w:szCs w:val="20"/>
        </w:rPr>
        <w:fldChar w:fldCharType="end"/>
      </w:r>
      <w:bookmarkEnd w:id="215"/>
      <w:r w:rsidRPr="00545EC0">
        <w:rPr>
          <w:szCs w:val="20"/>
        </w:rPr>
        <w:t>:</w:t>
      </w:r>
      <w:r w:rsidRPr="00545EC0">
        <w:rPr>
          <w:rFonts w:cs="Arial"/>
          <w:szCs w:val="20"/>
        </w:rPr>
        <w:t xml:space="preserve"> Delež posameznih razredov spremenjenosti obrežnega pasu po porečjih na VO Donave</w:t>
      </w:r>
    </w:p>
    <w:p w14:paraId="269C7F7D"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p>
    <w:p w14:paraId="38B0837B" w14:textId="77777777" w:rsidR="00AC702B" w:rsidRPr="00545EC0" w:rsidRDefault="00AC702B" w:rsidP="00AC7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545EC0">
        <w:rPr>
          <w:rFonts w:cs="Arial"/>
        </w:rPr>
        <w:t xml:space="preserve">Pomembna obremenitev zaradi spremenjenosti obrežnega pasu je določena na dVTPV-jih, na katerih je: </w:t>
      </w:r>
    </w:p>
    <w:p w14:paraId="148A7FCC" w14:textId="6BB884B3" w:rsidR="00AC702B" w:rsidRPr="00545EC0" w:rsidRDefault="00AC702B" w:rsidP="00DD37C5">
      <w:pPr>
        <w:numPr>
          <w:ilvl w:val="0"/>
          <w:numId w:val="42"/>
        </w:numPr>
        <w:tabs>
          <w:tab w:val="center" w:pos="426"/>
        </w:tabs>
        <w:ind w:left="426" w:hanging="426"/>
        <w:rPr>
          <w:rFonts w:cs="Arial"/>
        </w:rPr>
      </w:pPr>
      <w:r w:rsidRPr="00545EC0">
        <w:rPr>
          <w:rFonts w:cs="Arial"/>
        </w:rPr>
        <w:t xml:space="preserve">delež umetnih površin znotraj obrežnega pasu dVTPV večji od 10 % in delež naravnih površin znotraj obrežnega pasu na dVTPV manjši od 60%, </w:t>
      </w:r>
    </w:p>
    <w:p w14:paraId="1014B7A8" w14:textId="20557B65" w:rsidR="00BA1338" w:rsidRPr="00545EC0" w:rsidRDefault="00AC702B" w:rsidP="00DD37C5">
      <w:pPr>
        <w:numPr>
          <w:ilvl w:val="0"/>
          <w:numId w:val="42"/>
        </w:numPr>
        <w:tabs>
          <w:tab w:val="center" w:pos="426"/>
        </w:tabs>
        <w:ind w:left="426" w:hanging="426"/>
        <w:rPr>
          <w:rFonts w:cs="Arial"/>
        </w:rPr>
      </w:pPr>
      <w:r w:rsidRPr="00545EC0">
        <w:rPr>
          <w:rFonts w:cs="Arial"/>
        </w:rPr>
        <w:t xml:space="preserve">razred spremenjenosti obrežnega pasu (SOP) večji ali enak 3 </w:t>
      </w:r>
      <w:r w:rsidR="00304879" w:rsidRPr="00545EC0">
        <w:rPr>
          <w:rFonts w:cs="Arial"/>
        </w:rPr>
        <w:t>(</w:t>
      </w:r>
      <w:r w:rsidR="00304879" w:rsidRPr="00545EC0">
        <w:rPr>
          <w:rFonts w:cs="Arial"/>
        </w:rPr>
        <w:fldChar w:fldCharType="begin"/>
      </w:r>
      <w:r w:rsidR="00304879" w:rsidRPr="00545EC0">
        <w:rPr>
          <w:rFonts w:cs="Arial"/>
        </w:rPr>
        <w:instrText xml:space="preserve"> REF _Ref84321000 \h </w:instrText>
      </w:r>
      <w:r w:rsidR="00F37A91" w:rsidRPr="00545EC0">
        <w:rPr>
          <w:rFonts w:cs="Arial"/>
        </w:rPr>
        <w:instrText xml:space="preserve"> \* MERGEFORMAT </w:instrText>
      </w:r>
      <w:r w:rsidR="00304879" w:rsidRPr="00545EC0">
        <w:rPr>
          <w:rFonts w:cs="Arial"/>
        </w:rPr>
      </w:r>
      <w:r w:rsidR="00304879" w:rsidRPr="00545EC0">
        <w:rPr>
          <w:rFonts w:cs="Arial"/>
        </w:rPr>
        <w:fldChar w:fldCharType="separate"/>
      </w:r>
      <w:r w:rsidR="002F3E43" w:rsidRPr="00545EC0">
        <w:t xml:space="preserve">Preglednica </w:t>
      </w:r>
      <w:r w:rsidR="002F3E43">
        <w:rPr>
          <w:noProof/>
        </w:rPr>
        <w:t>2</w:t>
      </w:r>
      <w:r w:rsidR="002F3E43" w:rsidRPr="00545EC0">
        <w:rPr>
          <w:noProof/>
        </w:rPr>
        <w:noBreakHyphen/>
      </w:r>
      <w:r w:rsidR="002F3E43">
        <w:rPr>
          <w:noProof/>
        </w:rPr>
        <w:t>31</w:t>
      </w:r>
      <w:r w:rsidR="00304879" w:rsidRPr="00545EC0">
        <w:rPr>
          <w:rFonts w:cs="Arial"/>
        </w:rPr>
        <w:fldChar w:fldCharType="end"/>
      </w:r>
      <w:r w:rsidR="00304879" w:rsidRPr="00545EC0">
        <w:rPr>
          <w:rFonts w:cs="Arial"/>
        </w:rPr>
        <w:t>).</w:t>
      </w:r>
      <w:r w:rsidR="00BA1338" w:rsidRPr="00545EC0">
        <w:rPr>
          <w:rFonts w:cs="Arial"/>
        </w:rPr>
        <w:t xml:space="preserve"> </w:t>
      </w:r>
    </w:p>
    <w:p w14:paraId="05D655D1"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4"/>
          <w:lang w:eastAsia="ja-JP"/>
        </w:rPr>
      </w:pPr>
    </w:p>
    <w:p w14:paraId="41BC371F" w14:textId="28F28039" w:rsidR="00887665" w:rsidRPr="00545EC0" w:rsidRDefault="00887665" w:rsidP="00887665">
      <w:pPr>
        <w:pStyle w:val="Napis"/>
        <w:keepNext/>
      </w:pPr>
      <w:bookmarkStart w:id="216" w:name="_Ref84321000"/>
      <w:bookmarkStart w:id="217" w:name="_Ref84256487"/>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31</w:t>
        </w:r>
      </w:fldSimple>
      <w:bookmarkEnd w:id="216"/>
      <w:r w:rsidR="001C0908" w:rsidRPr="00545EC0">
        <w:t>: Vodna telesa površinskih voda in njihovi deli s pomembno obremenitvijo zaradi spremenjenega obrežnega pasu</w:t>
      </w:r>
      <w:bookmarkEnd w:id="217"/>
    </w:p>
    <w:tbl>
      <w:tblPr>
        <w:tblW w:w="9072" w:type="dxa"/>
        <w:tblInd w:w="-5" w:type="dxa"/>
        <w:tblCellMar>
          <w:left w:w="70" w:type="dxa"/>
          <w:right w:w="70" w:type="dxa"/>
        </w:tblCellMar>
        <w:tblLook w:val="04A0" w:firstRow="1" w:lastRow="0" w:firstColumn="1" w:lastColumn="0" w:noHBand="0" w:noVBand="1"/>
      </w:tblPr>
      <w:tblGrid>
        <w:gridCol w:w="1087"/>
        <w:gridCol w:w="3875"/>
        <w:gridCol w:w="2409"/>
        <w:gridCol w:w="862"/>
        <w:gridCol w:w="414"/>
        <w:gridCol w:w="425"/>
      </w:tblGrid>
      <w:tr w:rsidR="003122F4" w:rsidRPr="00545EC0" w14:paraId="28042B20" w14:textId="77777777" w:rsidTr="000E3F85">
        <w:trPr>
          <w:trHeight w:val="227"/>
        </w:trPr>
        <w:tc>
          <w:tcPr>
            <w:tcW w:w="108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9FCD3F9" w14:textId="77777777" w:rsidR="00AC702B" w:rsidRPr="00545EC0" w:rsidRDefault="00AC702B" w:rsidP="000E3F85">
            <w:pPr>
              <w:overflowPunct/>
              <w:autoSpaceDE/>
              <w:autoSpaceDN/>
              <w:adjustRightInd/>
              <w:spacing w:line="240" w:lineRule="auto"/>
              <w:jc w:val="left"/>
              <w:textAlignment w:val="auto"/>
              <w:rPr>
                <w:rFonts w:cs="Arial"/>
                <w:b/>
                <w:bCs/>
                <w:sz w:val="18"/>
                <w:szCs w:val="18"/>
              </w:rPr>
            </w:pPr>
            <w:r w:rsidRPr="00545EC0">
              <w:rPr>
                <w:rFonts w:cs="Arial"/>
                <w:b/>
                <w:bCs/>
                <w:sz w:val="18"/>
                <w:szCs w:val="18"/>
              </w:rPr>
              <w:t>Šifra VTPV</w:t>
            </w:r>
          </w:p>
        </w:tc>
        <w:tc>
          <w:tcPr>
            <w:tcW w:w="3875" w:type="dxa"/>
            <w:tcBorders>
              <w:top w:val="single" w:sz="4" w:space="0" w:color="auto"/>
              <w:left w:val="nil"/>
              <w:bottom w:val="single" w:sz="4" w:space="0" w:color="auto"/>
              <w:right w:val="single" w:sz="4" w:space="0" w:color="auto"/>
            </w:tcBorders>
            <w:shd w:val="clear" w:color="000000" w:fill="F2F2F2"/>
            <w:noWrap/>
            <w:vAlign w:val="center"/>
            <w:hideMark/>
          </w:tcPr>
          <w:p w14:paraId="235CD57E" w14:textId="77777777" w:rsidR="00AC702B" w:rsidRPr="00545EC0" w:rsidRDefault="00AC702B" w:rsidP="000E3F85">
            <w:pPr>
              <w:overflowPunct/>
              <w:autoSpaceDE/>
              <w:autoSpaceDN/>
              <w:adjustRightInd/>
              <w:spacing w:line="240" w:lineRule="auto"/>
              <w:jc w:val="left"/>
              <w:textAlignment w:val="auto"/>
              <w:rPr>
                <w:rFonts w:cs="Arial"/>
                <w:b/>
                <w:bCs/>
                <w:sz w:val="18"/>
                <w:szCs w:val="18"/>
              </w:rPr>
            </w:pPr>
            <w:r w:rsidRPr="00545EC0">
              <w:rPr>
                <w:rFonts w:cs="Arial"/>
                <w:b/>
                <w:bCs/>
                <w:sz w:val="18"/>
                <w:szCs w:val="18"/>
              </w:rPr>
              <w:t>Ime VTPV</w:t>
            </w:r>
          </w:p>
        </w:tc>
        <w:tc>
          <w:tcPr>
            <w:tcW w:w="2409" w:type="dxa"/>
            <w:tcBorders>
              <w:top w:val="single" w:sz="4" w:space="0" w:color="auto"/>
              <w:left w:val="nil"/>
              <w:bottom w:val="single" w:sz="4" w:space="0" w:color="auto"/>
              <w:right w:val="single" w:sz="4" w:space="0" w:color="auto"/>
            </w:tcBorders>
            <w:shd w:val="clear" w:color="000000" w:fill="F2F2F2"/>
            <w:noWrap/>
            <w:vAlign w:val="center"/>
            <w:hideMark/>
          </w:tcPr>
          <w:p w14:paraId="3B771B0A" w14:textId="77777777" w:rsidR="00AC702B" w:rsidRPr="00545EC0" w:rsidRDefault="00AC702B" w:rsidP="000E3F85">
            <w:pPr>
              <w:overflowPunct/>
              <w:autoSpaceDE/>
              <w:autoSpaceDN/>
              <w:adjustRightInd/>
              <w:spacing w:line="240" w:lineRule="auto"/>
              <w:jc w:val="left"/>
              <w:textAlignment w:val="auto"/>
              <w:rPr>
                <w:rFonts w:cs="Arial"/>
                <w:b/>
                <w:bCs/>
                <w:sz w:val="18"/>
                <w:szCs w:val="18"/>
              </w:rPr>
            </w:pPr>
            <w:r w:rsidRPr="00545EC0">
              <w:rPr>
                <w:rFonts w:cs="Arial"/>
                <w:b/>
                <w:bCs/>
                <w:sz w:val="18"/>
                <w:szCs w:val="18"/>
              </w:rPr>
              <w:t>Ime površinske vode dVTPV</w:t>
            </w:r>
          </w:p>
        </w:tc>
        <w:tc>
          <w:tcPr>
            <w:tcW w:w="862" w:type="dxa"/>
            <w:tcBorders>
              <w:top w:val="single" w:sz="4" w:space="0" w:color="auto"/>
              <w:left w:val="nil"/>
              <w:bottom w:val="single" w:sz="4" w:space="0" w:color="auto"/>
              <w:right w:val="single" w:sz="4" w:space="0" w:color="auto"/>
            </w:tcBorders>
            <w:shd w:val="clear" w:color="000000" w:fill="F2F2F2"/>
            <w:vAlign w:val="center"/>
            <w:hideMark/>
          </w:tcPr>
          <w:p w14:paraId="6355276C" w14:textId="77777777" w:rsidR="00AC702B" w:rsidRPr="00545EC0" w:rsidRDefault="00AC702B" w:rsidP="000E3F85">
            <w:pPr>
              <w:overflowPunct/>
              <w:autoSpaceDE/>
              <w:autoSpaceDN/>
              <w:adjustRightInd/>
              <w:spacing w:line="240" w:lineRule="auto"/>
              <w:jc w:val="left"/>
              <w:textAlignment w:val="auto"/>
              <w:rPr>
                <w:rFonts w:cs="Arial"/>
                <w:b/>
                <w:bCs/>
                <w:sz w:val="18"/>
                <w:szCs w:val="18"/>
              </w:rPr>
            </w:pPr>
            <w:r w:rsidRPr="00545EC0">
              <w:rPr>
                <w:rFonts w:cs="Arial"/>
                <w:b/>
                <w:bCs/>
                <w:sz w:val="18"/>
                <w:szCs w:val="18"/>
              </w:rPr>
              <w:t>Porečje</w:t>
            </w:r>
          </w:p>
        </w:tc>
        <w:tc>
          <w:tcPr>
            <w:tcW w:w="414" w:type="dxa"/>
            <w:tcBorders>
              <w:top w:val="single" w:sz="4" w:space="0" w:color="auto"/>
              <w:left w:val="nil"/>
              <w:bottom w:val="single" w:sz="4" w:space="0" w:color="auto"/>
              <w:right w:val="single" w:sz="4" w:space="0" w:color="auto"/>
            </w:tcBorders>
            <w:shd w:val="clear" w:color="000000" w:fill="F2F2F2"/>
            <w:vAlign w:val="center"/>
            <w:hideMark/>
          </w:tcPr>
          <w:p w14:paraId="54D63D70" w14:textId="77777777" w:rsidR="00AC702B" w:rsidRPr="00545EC0" w:rsidRDefault="00AC702B" w:rsidP="000E3F85">
            <w:pPr>
              <w:overflowPunct/>
              <w:autoSpaceDE/>
              <w:autoSpaceDN/>
              <w:adjustRightInd/>
              <w:spacing w:line="240" w:lineRule="auto"/>
              <w:jc w:val="left"/>
              <w:textAlignment w:val="auto"/>
              <w:rPr>
                <w:rFonts w:cs="Arial"/>
                <w:b/>
                <w:bCs/>
                <w:sz w:val="18"/>
                <w:szCs w:val="18"/>
              </w:rPr>
            </w:pPr>
            <w:r w:rsidRPr="00545EC0">
              <w:rPr>
                <w:rFonts w:cs="Arial"/>
                <w:b/>
                <w:bCs/>
                <w:sz w:val="18"/>
                <w:szCs w:val="18"/>
              </w:rPr>
              <w:t>PO - GT</w:t>
            </w:r>
          </w:p>
        </w:tc>
        <w:tc>
          <w:tcPr>
            <w:tcW w:w="425" w:type="dxa"/>
            <w:tcBorders>
              <w:top w:val="single" w:sz="4" w:space="0" w:color="auto"/>
              <w:left w:val="nil"/>
              <w:bottom w:val="single" w:sz="4" w:space="0" w:color="auto"/>
              <w:right w:val="single" w:sz="4" w:space="0" w:color="auto"/>
            </w:tcBorders>
            <w:shd w:val="clear" w:color="000000" w:fill="F2F2F2"/>
            <w:vAlign w:val="center"/>
            <w:hideMark/>
          </w:tcPr>
          <w:p w14:paraId="39FFDE69" w14:textId="77777777" w:rsidR="00AC702B" w:rsidRPr="00545EC0" w:rsidRDefault="00AC702B" w:rsidP="000E3F85">
            <w:pPr>
              <w:overflowPunct/>
              <w:autoSpaceDE/>
              <w:autoSpaceDN/>
              <w:adjustRightInd/>
              <w:spacing w:line="240" w:lineRule="auto"/>
              <w:jc w:val="left"/>
              <w:textAlignment w:val="auto"/>
              <w:rPr>
                <w:rFonts w:cs="Arial"/>
                <w:b/>
                <w:bCs/>
                <w:sz w:val="18"/>
                <w:szCs w:val="18"/>
              </w:rPr>
            </w:pPr>
            <w:r w:rsidRPr="00545EC0">
              <w:rPr>
                <w:rFonts w:cs="Arial"/>
                <w:b/>
                <w:bCs/>
                <w:sz w:val="18"/>
                <w:szCs w:val="18"/>
              </w:rPr>
              <w:t>PO - PR</w:t>
            </w:r>
          </w:p>
        </w:tc>
      </w:tr>
      <w:tr w:rsidR="003122F4" w:rsidRPr="00545EC0" w14:paraId="5204E161"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42F74151"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SI111VT7</w:t>
            </w:r>
          </w:p>
        </w:tc>
        <w:tc>
          <w:tcPr>
            <w:tcW w:w="3875" w:type="dxa"/>
            <w:tcBorders>
              <w:top w:val="nil"/>
              <w:left w:val="nil"/>
              <w:bottom w:val="single" w:sz="4" w:space="0" w:color="auto"/>
              <w:right w:val="single" w:sz="4" w:space="0" w:color="auto"/>
            </w:tcBorders>
            <w:shd w:val="clear" w:color="auto" w:fill="auto"/>
            <w:noWrap/>
            <w:vAlign w:val="center"/>
            <w:hideMark/>
          </w:tcPr>
          <w:p w14:paraId="2291A056"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MPVT zadrževalnik HE Moste</w:t>
            </w:r>
          </w:p>
        </w:tc>
        <w:tc>
          <w:tcPr>
            <w:tcW w:w="2409" w:type="dxa"/>
            <w:tcBorders>
              <w:top w:val="nil"/>
              <w:left w:val="nil"/>
              <w:bottom w:val="single" w:sz="4" w:space="0" w:color="auto"/>
              <w:right w:val="single" w:sz="4" w:space="0" w:color="auto"/>
            </w:tcBorders>
            <w:shd w:val="clear" w:color="auto" w:fill="auto"/>
            <w:noWrap/>
            <w:vAlign w:val="center"/>
            <w:hideMark/>
          </w:tcPr>
          <w:p w14:paraId="47C0C9E6"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Sava Dolinka</w:t>
            </w:r>
          </w:p>
        </w:tc>
        <w:tc>
          <w:tcPr>
            <w:tcW w:w="862" w:type="dxa"/>
            <w:vMerge w:val="restart"/>
            <w:tcBorders>
              <w:top w:val="nil"/>
              <w:left w:val="single" w:sz="4" w:space="0" w:color="auto"/>
              <w:bottom w:val="single" w:sz="4" w:space="0" w:color="auto"/>
              <w:right w:val="single" w:sz="4" w:space="0" w:color="auto"/>
            </w:tcBorders>
            <w:shd w:val="clear" w:color="auto" w:fill="auto"/>
            <w:vAlign w:val="center"/>
            <w:hideMark/>
          </w:tcPr>
          <w:p w14:paraId="4A0E6168"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Zgornja Sava</w:t>
            </w:r>
          </w:p>
        </w:tc>
        <w:tc>
          <w:tcPr>
            <w:tcW w:w="414" w:type="dxa"/>
            <w:tcBorders>
              <w:top w:val="nil"/>
              <w:left w:val="nil"/>
              <w:bottom w:val="single" w:sz="4" w:space="0" w:color="auto"/>
              <w:right w:val="single" w:sz="4" w:space="0" w:color="auto"/>
            </w:tcBorders>
            <w:shd w:val="clear" w:color="auto" w:fill="auto"/>
            <w:noWrap/>
            <w:vAlign w:val="center"/>
            <w:hideMark/>
          </w:tcPr>
          <w:p w14:paraId="24BBBF5B"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51A8C11A"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0</w:t>
            </w:r>
          </w:p>
        </w:tc>
      </w:tr>
      <w:tr w:rsidR="003122F4" w:rsidRPr="00545EC0" w14:paraId="59FAB52A"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20472566"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SI1128VT</w:t>
            </w:r>
          </w:p>
        </w:tc>
        <w:tc>
          <w:tcPr>
            <w:tcW w:w="3875" w:type="dxa"/>
            <w:tcBorders>
              <w:top w:val="nil"/>
              <w:left w:val="nil"/>
              <w:bottom w:val="single" w:sz="4" w:space="0" w:color="auto"/>
              <w:right w:val="single" w:sz="4" w:space="0" w:color="auto"/>
            </w:tcBorders>
            <w:shd w:val="clear" w:color="auto" w:fill="auto"/>
            <w:noWrap/>
            <w:vAlign w:val="center"/>
            <w:hideMark/>
          </w:tcPr>
          <w:p w14:paraId="647287C1"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VTJ Blejsko jezero</w:t>
            </w:r>
          </w:p>
        </w:tc>
        <w:tc>
          <w:tcPr>
            <w:tcW w:w="2409" w:type="dxa"/>
            <w:tcBorders>
              <w:top w:val="nil"/>
              <w:left w:val="nil"/>
              <w:bottom w:val="single" w:sz="4" w:space="0" w:color="auto"/>
              <w:right w:val="single" w:sz="4" w:space="0" w:color="auto"/>
            </w:tcBorders>
            <w:shd w:val="clear" w:color="auto" w:fill="auto"/>
            <w:noWrap/>
            <w:vAlign w:val="center"/>
            <w:hideMark/>
          </w:tcPr>
          <w:p w14:paraId="18CEDED1"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Blejsko jezero</w:t>
            </w:r>
          </w:p>
        </w:tc>
        <w:tc>
          <w:tcPr>
            <w:tcW w:w="862" w:type="dxa"/>
            <w:vMerge/>
            <w:tcBorders>
              <w:top w:val="nil"/>
              <w:left w:val="single" w:sz="4" w:space="0" w:color="auto"/>
              <w:bottom w:val="single" w:sz="4" w:space="0" w:color="auto"/>
              <w:right w:val="single" w:sz="4" w:space="0" w:color="auto"/>
            </w:tcBorders>
            <w:vAlign w:val="center"/>
            <w:hideMark/>
          </w:tcPr>
          <w:p w14:paraId="5346BA63"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5B694639"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70B7E5E0"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0</w:t>
            </w:r>
          </w:p>
        </w:tc>
      </w:tr>
      <w:tr w:rsidR="003122F4" w:rsidRPr="00545EC0" w14:paraId="178E8CDC"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0204F097"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SI112VT9</w:t>
            </w:r>
          </w:p>
        </w:tc>
        <w:tc>
          <w:tcPr>
            <w:tcW w:w="3875" w:type="dxa"/>
            <w:tcBorders>
              <w:top w:val="nil"/>
              <w:left w:val="nil"/>
              <w:bottom w:val="single" w:sz="4" w:space="0" w:color="auto"/>
              <w:right w:val="single" w:sz="4" w:space="0" w:color="auto"/>
            </w:tcBorders>
            <w:shd w:val="clear" w:color="auto" w:fill="auto"/>
            <w:noWrap/>
            <w:vAlign w:val="center"/>
            <w:hideMark/>
          </w:tcPr>
          <w:p w14:paraId="128E8CA7"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Sava Jezernica - sotočje s Savo Dolinko</w:t>
            </w:r>
          </w:p>
        </w:tc>
        <w:tc>
          <w:tcPr>
            <w:tcW w:w="2409" w:type="dxa"/>
            <w:tcBorders>
              <w:top w:val="nil"/>
              <w:left w:val="nil"/>
              <w:bottom w:val="single" w:sz="4" w:space="0" w:color="auto"/>
              <w:right w:val="single" w:sz="4" w:space="0" w:color="auto"/>
            </w:tcBorders>
            <w:shd w:val="clear" w:color="auto" w:fill="auto"/>
            <w:noWrap/>
            <w:vAlign w:val="center"/>
            <w:hideMark/>
          </w:tcPr>
          <w:p w14:paraId="01B69434"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Jezernica</w:t>
            </w:r>
          </w:p>
        </w:tc>
        <w:tc>
          <w:tcPr>
            <w:tcW w:w="862" w:type="dxa"/>
            <w:vMerge/>
            <w:tcBorders>
              <w:top w:val="nil"/>
              <w:left w:val="single" w:sz="4" w:space="0" w:color="auto"/>
              <w:bottom w:val="single" w:sz="4" w:space="0" w:color="auto"/>
              <w:right w:val="single" w:sz="4" w:space="0" w:color="auto"/>
            </w:tcBorders>
            <w:vAlign w:val="center"/>
            <w:hideMark/>
          </w:tcPr>
          <w:p w14:paraId="5460357A"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09F07812"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693B007C"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0</w:t>
            </w:r>
          </w:p>
        </w:tc>
      </w:tr>
      <w:tr w:rsidR="003122F4" w:rsidRPr="00545EC0" w14:paraId="51D58444"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52BE9868"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SI114VT9</w:t>
            </w:r>
          </w:p>
        </w:tc>
        <w:tc>
          <w:tcPr>
            <w:tcW w:w="3875" w:type="dxa"/>
            <w:tcBorders>
              <w:top w:val="nil"/>
              <w:left w:val="nil"/>
              <w:bottom w:val="single" w:sz="4" w:space="0" w:color="auto"/>
              <w:right w:val="single" w:sz="4" w:space="0" w:color="auto"/>
            </w:tcBorders>
            <w:shd w:val="clear" w:color="auto" w:fill="auto"/>
            <w:noWrap/>
            <w:vAlign w:val="center"/>
            <w:hideMark/>
          </w:tcPr>
          <w:p w14:paraId="74E9A85E"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Tržiška Bistrica sotočje z Lomščico - Podbrezje</w:t>
            </w:r>
          </w:p>
        </w:tc>
        <w:tc>
          <w:tcPr>
            <w:tcW w:w="2409" w:type="dxa"/>
            <w:tcBorders>
              <w:top w:val="nil"/>
              <w:left w:val="nil"/>
              <w:bottom w:val="single" w:sz="4" w:space="0" w:color="auto"/>
              <w:right w:val="single" w:sz="4" w:space="0" w:color="auto"/>
            </w:tcBorders>
            <w:shd w:val="clear" w:color="auto" w:fill="auto"/>
            <w:noWrap/>
            <w:vAlign w:val="center"/>
            <w:hideMark/>
          </w:tcPr>
          <w:p w14:paraId="42ED0F24"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Tržiška Bistrica</w:t>
            </w:r>
          </w:p>
        </w:tc>
        <w:tc>
          <w:tcPr>
            <w:tcW w:w="862" w:type="dxa"/>
            <w:vMerge/>
            <w:tcBorders>
              <w:top w:val="nil"/>
              <w:left w:val="single" w:sz="4" w:space="0" w:color="auto"/>
              <w:bottom w:val="single" w:sz="4" w:space="0" w:color="auto"/>
              <w:right w:val="single" w:sz="4" w:space="0" w:color="auto"/>
            </w:tcBorders>
            <w:vAlign w:val="center"/>
            <w:hideMark/>
          </w:tcPr>
          <w:p w14:paraId="1B6AAE9F"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66B9DBBB"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032F8A33"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0</w:t>
            </w:r>
          </w:p>
        </w:tc>
      </w:tr>
      <w:tr w:rsidR="003122F4" w:rsidRPr="00545EC0" w14:paraId="189F453C"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07401853"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SI1VT137</w:t>
            </w:r>
          </w:p>
        </w:tc>
        <w:tc>
          <w:tcPr>
            <w:tcW w:w="3875" w:type="dxa"/>
            <w:tcBorders>
              <w:top w:val="nil"/>
              <w:left w:val="nil"/>
              <w:bottom w:val="single" w:sz="4" w:space="0" w:color="auto"/>
              <w:right w:val="single" w:sz="4" w:space="0" w:color="auto"/>
            </w:tcBorders>
            <w:shd w:val="clear" w:color="auto" w:fill="auto"/>
            <w:noWrap/>
            <w:vAlign w:val="center"/>
            <w:hideMark/>
          </w:tcPr>
          <w:p w14:paraId="40F1D6AF"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Sava HE Moste - Podbrezje</w:t>
            </w:r>
          </w:p>
        </w:tc>
        <w:tc>
          <w:tcPr>
            <w:tcW w:w="2409" w:type="dxa"/>
            <w:tcBorders>
              <w:top w:val="nil"/>
              <w:left w:val="nil"/>
              <w:bottom w:val="single" w:sz="4" w:space="0" w:color="auto"/>
              <w:right w:val="single" w:sz="4" w:space="0" w:color="auto"/>
            </w:tcBorders>
            <w:shd w:val="clear" w:color="auto" w:fill="auto"/>
            <w:noWrap/>
            <w:vAlign w:val="center"/>
            <w:hideMark/>
          </w:tcPr>
          <w:p w14:paraId="18C5C9B3"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Završnica, Blatnica</w:t>
            </w:r>
          </w:p>
        </w:tc>
        <w:tc>
          <w:tcPr>
            <w:tcW w:w="862" w:type="dxa"/>
            <w:vMerge/>
            <w:tcBorders>
              <w:top w:val="nil"/>
              <w:left w:val="single" w:sz="4" w:space="0" w:color="auto"/>
              <w:bottom w:val="single" w:sz="4" w:space="0" w:color="auto"/>
              <w:right w:val="single" w:sz="4" w:space="0" w:color="auto"/>
            </w:tcBorders>
            <w:vAlign w:val="center"/>
            <w:hideMark/>
          </w:tcPr>
          <w:p w14:paraId="76D78E7F"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4682A05D"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0</w:t>
            </w:r>
          </w:p>
        </w:tc>
        <w:tc>
          <w:tcPr>
            <w:tcW w:w="425" w:type="dxa"/>
            <w:tcBorders>
              <w:top w:val="nil"/>
              <w:left w:val="nil"/>
              <w:bottom w:val="single" w:sz="4" w:space="0" w:color="auto"/>
              <w:right w:val="single" w:sz="4" w:space="0" w:color="auto"/>
            </w:tcBorders>
            <w:shd w:val="clear" w:color="auto" w:fill="auto"/>
            <w:noWrap/>
            <w:vAlign w:val="center"/>
            <w:hideMark/>
          </w:tcPr>
          <w:p w14:paraId="1C4EDDCA"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r>
      <w:tr w:rsidR="003122F4" w:rsidRPr="00545EC0" w14:paraId="6014DDFE"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312FC0C6"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SI1VT150</w:t>
            </w:r>
          </w:p>
        </w:tc>
        <w:tc>
          <w:tcPr>
            <w:tcW w:w="3875" w:type="dxa"/>
            <w:tcBorders>
              <w:top w:val="nil"/>
              <w:left w:val="nil"/>
              <w:bottom w:val="single" w:sz="4" w:space="0" w:color="auto"/>
              <w:right w:val="single" w:sz="4" w:space="0" w:color="auto"/>
            </w:tcBorders>
            <w:shd w:val="clear" w:color="auto" w:fill="auto"/>
            <w:noWrap/>
            <w:vAlign w:val="center"/>
            <w:hideMark/>
          </w:tcPr>
          <w:p w14:paraId="10034BB1"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Sava Podbrezje - Kranj</w:t>
            </w:r>
          </w:p>
        </w:tc>
        <w:tc>
          <w:tcPr>
            <w:tcW w:w="2409" w:type="dxa"/>
            <w:tcBorders>
              <w:top w:val="nil"/>
              <w:left w:val="nil"/>
              <w:bottom w:val="single" w:sz="4" w:space="0" w:color="auto"/>
              <w:right w:val="single" w:sz="4" w:space="0" w:color="auto"/>
            </w:tcBorders>
            <w:shd w:val="clear" w:color="auto" w:fill="auto"/>
            <w:noWrap/>
            <w:vAlign w:val="center"/>
            <w:hideMark/>
          </w:tcPr>
          <w:p w14:paraId="697B7E05"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Dupeljščica</w:t>
            </w:r>
          </w:p>
        </w:tc>
        <w:tc>
          <w:tcPr>
            <w:tcW w:w="862" w:type="dxa"/>
            <w:vMerge/>
            <w:tcBorders>
              <w:top w:val="nil"/>
              <w:left w:val="single" w:sz="4" w:space="0" w:color="auto"/>
              <w:bottom w:val="single" w:sz="4" w:space="0" w:color="auto"/>
              <w:right w:val="single" w:sz="4" w:space="0" w:color="auto"/>
            </w:tcBorders>
            <w:vAlign w:val="center"/>
            <w:hideMark/>
          </w:tcPr>
          <w:p w14:paraId="419E72EA"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76AB4077"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0</w:t>
            </w:r>
          </w:p>
        </w:tc>
        <w:tc>
          <w:tcPr>
            <w:tcW w:w="425" w:type="dxa"/>
            <w:tcBorders>
              <w:top w:val="nil"/>
              <w:left w:val="nil"/>
              <w:bottom w:val="single" w:sz="4" w:space="0" w:color="auto"/>
              <w:right w:val="single" w:sz="4" w:space="0" w:color="auto"/>
            </w:tcBorders>
            <w:shd w:val="clear" w:color="auto" w:fill="auto"/>
            <w:noWrap/>
            <w:vAlign w:val="center"/>
            <w:hideMark/>
          </w:tcPr>
          <w:p w14:paraId="22D4FDAF"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r>
      <w:tr w:rsidR="003122F4" w:rsidRPr="00545EC0" w14:paraId="59B15952"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1B9534B0"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SI116VT5</w:t>
            </w:r>
          </w:p>
        </w:tc>
        <w:tc>
          <w:tcPr>
            <w:tcW w:w="3875" w:type="dxa"/>
            <w:tcBorders>
              <w:top w:val="nil"/>
              <w:left w:val="nil"/>
              <w:bottom w:val="single" w:sz="4" w:space="0" w:color="auto"/>
              <w:right w:val="single" w:sz="4" w:space="0" w:color="auto"/>
            </w:tcBorders>
            <w:shd w:val="clear" w:color="auto" w:fill="auto"/>
            <w:noWrap/>
            <w:vAlign w:val="center"/>
            <w:hideMark/>
          </w:tcPr>
          <w:p w14:paraId="46130E7E"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Kokra Jezersko - Preddvor</w:t>
            </w:r>
          </w:p>
        </w:tc>
        <w:tc>
          <w:tcPr>
            <w:tcW w:w="2409" w:type="dxa"/>
            <w:tcBorders>
              <w:top w:val="nil"/>
              <w:left w:val="nil"/>
              <w:bottom w:val="single" w:sz="4" w:space="0" w:color="auto"/>
              <w:right w:val="single" w:sz="4" w:space="0" w:color="auto"/>
            </w:tcBorders>
            <w:shd w:val="clear" w:color="auto" w:fill="auto"/>
            <w:noWrap/>
            <w:vAlign w:val="center"/>
            <w:hideMark/>
          </w:tcPr>
          <w:p w14:paraId="641FC758"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Kokra, Jezernica</w:t>
            </w:r>
          </w:p>
        </w:tc>
        <w:tc>
          <w:tcPr>
            <w:tcW w:w="862" w:type="dxa"/>
            <w:vMerge/>
            <w:tcBorders>
              <w:top w:val="nil"/>
              <w:left w:val="single" w:sz="4" w:space="0" w:color="auto"/>
              <w:bottom w:val="single" w:sz="4" w:space="0" w:color="auto"/>
              <w:right w:val="single" w:sz="4" w:space="0" w:color="auto"/>
            </w:tcBorders>
            <w:vAlign w:val="center"/>
            <w:hideMark/>
          </w:tcPr>
          <w:p w14:paraId="322F776D"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62055F1F"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031F0FE4"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r>
      <w:tr w:rsidR="003122F4" w:rsidRPr="00545EC0" w14:paraId="44C26DDB"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03BC812D"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SI121VT</w:t>
            </w:r>
          </w:p>
        </w:tc>
        <w:tc>
          <w:tcPr>
            <w:tcW w:w="3875" w:type="dxa"/>
            <w:tcBorders>
              <w:top w:val="nil"/>
              <w:left w:val="nil"/>
              <w:bottom w:val="single" w:sz="4" w:space="0" w:color="auto"/>
              <w:right w:val="single" w:sz="4" w:space="0" w:color="auto"/>
            </w:tcBorders>
            <w:shd w:val="clear" w:color="auto" w:fill="auto"/>
            <w:noWrap/>
            <w:vAlign w:val="center"/>
            <w:hideMark/>
          </w:tcPr>
          <w:p w14:paraId="71B4526B"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Poljanska Sora</w:t>
            </w:r>
          </w:p>
        </w:tc>
        <w:tc>
          <w:tcPr>
            <w:tcW w:w="2409" w:type="dxa"/>
            <w:tcBorders>
              <w:top w:val="nil"/>
              <w:left w:val="nil"/>
              <w:bottom w:val="single" w:sz="4" w:space="0" w:color="auto"/>
              <w:right w:val="single" w:sz="4" w:space="0" w:color="auto"/>
            </w:tcBorders>
            <w:shd w:val="clear" w:color="auto" w:fill="auto"/>
            <w:noWrap/>
            <w:vAlign w:val="center"/>
            <w:hideMark/>
          </w:tcPr>
          <w:p w14:paraId="2DCAC01E"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Poljanska Sora, Brebovščica, Ločivnica</w:t>
            </w:r>
          </w:p>
        </w:tc>
        <w:tc>
          <w:tcPr>
            <w:tcW w:w="862" w:type="dxa"/>
            <w:vMerge/>
            <w:tcBorders>
              <w:top w:val="nil"/>
              <w:left w:val="single" w:sz="4" w:space="0" w:color="auto"/>
              <w:bottom w:val="single" w:sz="4" w:space="0" w:color="auto"/>
              <w:right w:val="single" w:sz="4" w:space="0" w:color="auto"/>
            </w:tcBorders>
            <w:vAlign w:val="center"/>
            <w:hideMark/>
          </w:tcPr>
          <w:p w14:paraId="5639124B"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667FA774"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4A47EFAC"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r>
      <w:tr w:rsidR="003122F4" w:rsidRPr="00545EC0" w14:paraId="0C84D0B4"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71FD3243"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SI122VT</w:t>
            </w:r>
          </w:p>
        </w:tc>
        <w:tc>
          <w:tcPr>
            <w:tcW w:w="3875" w:type="dxa"/>
            <w:tcBorders>
              <w:top w:val="nil"/>
              <w:left w:val="nil"/>
              <w:bottom w:val="single" w:sz="4" w:space="0" w:color="auto"/>
              <w:right w:val="single" w:sz="4" w:space="0" w:color="auto"/>
            </w:tcBorders>
            <w:shd w:val="clear" w:color="auto" w:fill="auto"/>
            <w:noWrap/>
            <w:vAlign w:val="center"/>
            <w:hideMark/>
          </w:tcPr>
          <w:p w14:paraId="197E2E07"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Selška Sora</w:t>
            </w:r>
          </w:p>
        </w:tc>
        <w:tc>
          <w:tcPr>
            <w:tcW w:w="2409" w:type="dxa"/>
            <w:tcBorders>
              <w:top w:val="nil"/>
              <w:left w:val="nil"/>
              <w:bottom w:val="single" w:sz="4" w:space="0" w:color="auto"/>
              <w:right w:val="single" w:sz="4" w:space="0" w:color="auto"/>
            </w:tcBorders>
            <w:shd w:val="clear" w:color="auto" w:fill="auto"/>
            <w:noWrap/>
            <w:vAlign w:val="center"/>
            <w:hideMark/>
          </w:tcPr>
          <w:p w14:paraId="18B8756C"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Selška Sora, Bukovščica</w:t>
            </w:r>
          </w:p>
        </w:tc>
        <w:tc>
          <w:tcPr>
            <w:tcW w:w="862" w:type="dxa"/>
            <w:vMerge/>
            <w:tcBorders>
              <w:top w:val="nil"/>
              <w:left w:val="single" w:sz="4" w:space="0" w:color="auto"/>
              <w:bottom w:val="single" w:sz="4" w:space="0" w:color="auto"/>
              <w:right w:val="single" w:sz="4" w:space="0" w:color="auto"/>
            </w:tcBorders>
            <w:vAlign w:val="center"/>
            <w:hideMark/>
          </w:tcPr>
          <w:p w14:paraId="777D7085"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225298AD"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55B7F026"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r>
      <w:tr w:rsidR="003122F4" w:rsidRPr="00545EC0" w14:paraId="7DBC9C88"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5E473645"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SI1324VT</w:t>
            </w:r>
          </w:p>
        </w:tc>
        <w:tc>
          <w:tcPr>
            <w:tcW w:w="3875" w:type="dxa"/>
            <w:tcBorders>
              <w:top w:val="nil"/>
              <w:left w:val="nil"/>
              <w:bottom w:val="single" w:sz="4" w:space="0" w:color="auto"/>
              <w:right w:val="single" w:sz="4" w:space="0" w:color="auto"/>
            </w:tcBorders>
            <w:shd w:val="clear" w:color="auto" w:fill="auto"/>
            <w:noWrap/>
            <w:vAlign w:val="center"/>
            <w:hideMark/>
          </w:tcPr>
          <w:p w14:paraId="6CF9EDB3"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Rača z Radomljo</w:t>
            </w:r>
          </w:p>
        </w:tc>
        <w:tc>
          <w:tcPr>
            <w:tcW w:w="2409" w:type="dxa"/>
            <w:tcBorders>
              <w:top w:val="nil"/>
              <w:left w:val="nil"/>
              <w:bottom w:val="single" w:sz="4" w:space="0" w:color="auto"/>
              <w:right w:val="nil"/>
            </w:tcBorders>
            <w:shd w:val="clear" w:color="auto" w:fill="auto"/>
            <w:noWrap/>
            <w:vAlign w:val="center"/>
            <w:hideMark/>
          </w:tcPr>
          <w:p w14:paraId="4B20D6CD"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Radomlja</w:t>
            </w:r>
          </w:p>
        </w:tc>
        <w:tc>
          <w:tcPr>
            <w:tcW w:w="862" w:type="dxa"/>
            <w:vMerge w:val="restart"/>
            <w:tcBorders>
              <w:top w:val="nil"/>
              <w:left w:val="single" w:sz="4" w:space="0" w:color="auto"/>
              <w:bottom w:val="single" w:sz="4" w:space="0" w:color="000000"/>
              <w:right w:val="single" w:sz="4" w:space="0" w:color="auto"/>
            </w:tcBorders>
            <w:shd w:val="clear" w:color="auto" w:fill="auto"/>
            <w:vAlign w:val="center"/>
            <w:hideMark/>
          </w:tcPr>
          <w:p w14:paraId="45DD4A2B"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Srednja Sava</w:t>
            </w:r>
          </w:p>
        </w:tc>
        <w:tc>
          <w:tcPr>
            <w:tcW w:w="414" w:type="dxa"/>
            <w:tcBorders>
              <w:top w:val="nil"/>
              <w:left w:val="nil"/>
              <w:bottom w:val="single" w:sz="4" w:space="0" w:color="auto"/>
              <w:right w:val="single" w:sz="4" w:space="0" w:color="auto"/>
            </w:tcBorders>
            <w:shd w:val="clear" w:color="auto" w:fill="auto"/>
            <w:noWrap/>
            <w:vAlign w:val="center"/>
            <w:hideMark/>
          </w:tcPr>
          <w:p w14:paraId="55732957"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3E05C0A7"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0</w:t>
            </w:r>
          </w:p>
        </w:tc>
      </w:tr>
      <w:tr w:rsidR="003122F4" w:rsidRPr="00545EC0" w14:paraId="3118EC21"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47CE13C1"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SI1326VT</w:t>
            </w:r>
          </w:p>
        </w:tc>
        <w:tc>
          <w:tcPr>
            <w:tcW w:w="3875" w:type="dxa"/>
            <w:tcBorders>
              <w:top w:val="nil"/>
              <w:left w:val="nil"/>
              <w:bottom w:val="single" w:sz="4" w:space="0" w:color="auto"/>
              <w:right w:val="single" w:sz="4" w:space="0" w:color="auto"/>
            </w:tcBorders>
            <w:shd w:val="clear" w:color="auto" w:fill="auto"/>
            <w:noWrap/>
            <w:vAlign w:val="center"/>
            <w:hideMark/>
          </w:tcPr>
          <w:p w14:paraId="47D8A0D0"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Pšata</w:t>
            </w:r>
          </w:p>
        </w:tc>
        <w:tc>
          <w:tcPr>
            <w:tcW w:w="2409" w:type="dxa"/>
            <w:tcBorders>
              <w:top w:val="nil"/>
              <w:left w:val="nil"/>
              <w:bottom w:val="single" w:sz="4" w:space="0" w:color="auto"/>
              <w:right w:val="nil"/>
            </w:tcBorders>
            <w:shd w:val="clear" w:color="auto" w:fill="auto"/>
            <w:noWrap/>
            <w:vAlign w:val="center"/>
            <w:hideMark/>
          </w:tcPr>
          <w:p w14:paraId="5C9E3343"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Pšata, Reka</w:t>
            </w:r>
          </w:p>
        </w:tc>
        <w:tc>
          <w:tcPr>
            <w:tcW w:w="862" w:type="dxa"/>
            <w:vMerge/>
            <w:tcBorders>
              <w:top w:val="nil"/>
              <w:left w:val="single" w:sz="4" w:space="0" w:color="auto"/>
              <w:bottom w:val="single" w:sz="4" w:space="0" w:color="000000"/>
              <w:right w:val="single" w:sz="4" w:space="0" w:color="auto"/>
            </w:tcBorders>
            <w:vAlign w:val="center"/>
            <w:hideMark/>
          </w:tcPr>
          <w:p w14:paraId="3C217A2A"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6B587B84"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3C876420"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r>
      <w:tr w:rsidR="003122F4" w:rsidRPr="00545EC0" w14:paraId="2F9220DB"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242772ED"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SI132VT1</w:t>
            </w:r>
          </w:p>
        </w:tc>
        <w:tc>
          <w:tcPr>
            <w:tcW w:w="3875" w:type="dxa"/>
            <w:tcBorders>
              <w:top w:val="nil"/>
              <w:left w:val="nil"/>
              <w:bottom w:val="single" w:sz="4" w:space="0" w:color="auto"/>
              <w:right w:val="single" w:sz="4" w:space="0" w:color="auto"/>
            </w:tcBorders>
            <w:shd w:val="clear" w:color="auto" w:fill="auto"/>
            <w:noWrap/>
            <w:vAlign w:val="center"/>
            <w:hideMark/>
          </w:tcPr>
          <w:p w14:paraId="1870A5C6"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Kamniška Bistrica povirje - Stahovica</w:t>
            </w:r>
          </w:p>
        </w:tc>
        <w:tc>
          <w:tcPr>
            <w:tcW w:w="2409" w:type="dxa"/>
            <w:tcBorders>
              <w:top w:val="nil"/>
              <w:left w:val="nil"/>
              <w:bottom w:val="single" w:sz="4" w:space="0" w:color="auto"/>
              <w:right w:val="nil"/>
            </w:tcBorders>
            <w:shd w:val="clear" w:color="auto" w:fill="auto"/>
            <w:noWrap/>
            <w:vAlign w:val="center"/>
            <w:hideMark/>
          </w:tcPr>
          <w:p w14:paraId="34944ED5"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Kamniška Bistrica</w:t>
            </w:r>
          </w:p>
        </w:tc>
        <w:tc>
          <w:tcPr>
            <w:tcW w:w="862" w:type="dxa"/>
            <w:vMerge/>
            <w:tcBorders>
              <w:top w:val="nil"/>
              <w:left w:val="single" w:sz="4" w:space="0" w:color="auto"/>
              <w:bottom w:val="single" w:sz="4" w:space="0" w:color="000000"/>
              <w:right w:val="single" w:sz="4" w:space="0" w:color="auto"/>
            </w:tcBorders>
            <w:vAlign w:val="center"/>
            <w:hideMark/>
          </w:tcPr>
          <w:p w14:paraId="38A11A2B"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1775C6D4"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1C597960"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0</w:t>
            </w:r>
          </w:p>
        </w:tc>
      </w:tr>
      <w:tr w:rsidR="003122F4" w:rsidRPr="00545EC0" w14:paraId="0FFEBEB9"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14034841"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lastRenderedPageBreak/>
              <w:t>SI132VT5</w:t>
            </w:r>
          </w:p>
        </w:tc>
        <w:tc>
          <w:tcPr>
            <w:tcW w:w="3875" w:type="dxa"/>
            <w:tcBorders>
              <w:top w:val="nil"/>
              <w:left w:val="nil"/>
              <w:bottom w:val="single" w:sz="4" w:space="0" w:color="auto"/>
              <w:right w:val="single" w:sz="4" w:space="0" w:color="auto"/>
            </w:tcBorders>
            <w:shd w:val="clear" w:color="auto" w:fill="auto"/>
            <w:noWrap/>
            <w:vAlign w:val="center"/>
            <w:hideMark/>
          </w:tcPr>
          <w:p w14:paraId="5CF79F28"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Kamniška Bistrica Stahovica - Študa</w:t>
            </w:r>
          </w:p>
        </w:tc>
        <w:tc>
          <w:tcPr>
            <w:tcW w:w="2409" w:type="dxa"/>
            <w:tcBorders>
              <w:top w:val="nil"/>
              <w:left w:val="nil"/>
              <w:bottom w:val="single" w:sz="4" w:space="0" w:color="auto"/>
              <w:right w:val="nil"/>
            </w:tcBorders>
            <w:shd w:val="clear" w:color="auto" w:fill="auto"/>
            <w:noWrap/>
            <w:vAlign w:val="center"/>
            <w:hideMark/>
          </w:tcPr>
          <w:p w14:paraId="22A1AE8E"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Kamniška Bistrica</w:t>
            </w:r>
          </w:p>
        </w:tc>
        <w:tc>
          <w:tcPr>
            <w:tcW w:w="862" w:type="dxa"/>
            <w:vMerge/>
            <w:tcBorders>
              <w:top w:val="nil"/>
              <w:left w:val="single" w:sz="4" w:space="0" w:color="auto"/>
              <w:bottom w:val="single" w:sz="4" w:space="0" w:color="000000"/>
              <w:right w:val="single" w:sz="4" w:space="0" w:color="auto"/>
            </w:tcBorders>
            <w:vAlign w:val="center"/>
            <w:hideMark/>
          </w:tcPr>
          <w:p w14:paraId="2FB23C14"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63B79179"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1454B05E"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0</w:t>
            </w:r>
          </w:p>
        </w:tc>
      </w:tr>
      <w:tr w:rsidR="003122F4" w:rsidRPr="00545EC0" w14:paraId="2547B64E"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3AE77801"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SI14102VT</w:t>
            </w:r>
          </w:p>
        </w:tc>
        <w:tc>
          <w:tcPr>
            <w:tcW w:w="3875" w:type="dxa"/>
            <w:tcBorders>
              <w:top w:val="nil"/>
              <w:left w:val="nil"/>
              <w:bottom w:val="single" w:sz="4" w:space="0" w:color="auto"/>
              <w:right w:val="single" w:sz="4" w:space="0" w:color="auto"/>
            </w:tcBorders>
            <w:shd w:val="clear" w:color="auto" w:fill="auto"/>
            <w:noWrap/>
            <w:vAlign w:val="center"/>
            <w:hideMark/>
          </w:tcPr>
          <w:p w14:paraId="5CF38C10"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Cerkniščica</w:t>
            </w:r>
          </w:p>
        </w:tc>
        <w:tc>
          <w:tcPr>
            <w:tcW w:w="2409" w:type="dxa"/>
            <w:tcBorders>
              <w:top w:val="nil"/>
              <w:left w:val="nil"/>
              <w:bottom w:val="single" w:sz="4" w:space="0" w:color="auto"/>
              <w:right w:val="nil"/>
            </w:tcBorders>
            <w:shd w:val="clear" w:color="auto" w:fill="auto"/>
            <w:noWrap/>
            <w:vAlign w:val="center"/>
            <w:hideMark/>
          </w:tcPr>
          <w:p w14:paraId="06512984"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Cerkniščica</w:t>
            </w:r>
          </w:p>
        </w:tc>
        <w:tc>
          <w:tcPr>
            <w:tcW w:w="862" w:type="dxa"/>
            <w:vMerge/>
            <w:tcBorders>
              <w:top w:val="nil"/>
              <w:left w:val="single" w:sz="4" w:space="0" w:color="auto"/>
              <w:bottom w:val="single" w:sz="4" w:space="0" w:color="000000"/>
              <w:right w:val="single" w:sz="4" w:space="0" w:color="auto"/>
            </w:tcBorders>
            <w:vAlign w:val="center"/>
            <w:hideMark/>
          </w:tcPr>
          <w:p w14:paraId="72B26F69"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426913C5"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5428335F"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0</w:t>
            </w:r>
          </w:p>
        </w:tc>
      </w:tr>
      <w:tr w:rsidR="003122F4" w:rsidRPr="00545EC0" w14:paraId="3CC2CB2F"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4B298C4D"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SI146VT</w:t>
            </w:r>
          </w:p>
        </w:tc>
        <w:tc>
          <w:tcPr>
            <w:tcW w:w="3875" w:type="dxa"/>
            <w:tcBorders>
              <w:top w:val="nil"/>
              <w:left w:val="nil"/>
              <w:bottom w:val="single" w:sz="4" w:space="0" w:color="auto"/>
              <w:right w:val="single" w:sz="4" w:space="0" w:color="auto"/>
            </w:tcBorders>
            <w:shd w:val="clear" w:color="auto" w:fill="auto"/>
            <w:noWrap/>
            <w:vAlign w:val="center"/>
            <w:hideMark/>
          </w:tcPr>
          <w:p w14:paraId="13F84822"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Logaščica</w:t>
            </w:r>
          </w:p>
        </w:tc>
        <w:tc>
          <w:tcPr>
            <w:tcW w:w="2409" w:type="dxa"/>
            <w:tcBorders>
              <w:top w:val="nil"/>
              <w:left w:val="nil"/>
              <w:bottom w:val="single" w:sz="4" w:space="0" w:color="auto"/>
              <w:right w:val="nil"/>
            </w:tcBorders>
            <w:shd w:val="clear" w:color="auto" w:fill="auto"/>
            <w:noWrap/>
            <w:vAlign w:val="center"/>
            <w:hideMark/>
          </w:tcPr>
          <w:p w14:paraId="36F3F1E1"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Logaščica</w:t>
            </w:r>
          </w:p>
        </w:tc>
        <w:tc>
          <w:tcPr>
            <w:tcW w:w="862" w:type="dxa"/>
            <w:vMerge/>
            <w:tcBorders>
              <w:top w:val="nil"/>
              <w:left w:val="single" w:sz="4" w:space="0" w:color="auto"/>
              <w:bottom w:val="single" w:sz="4" w:space="0" w:color="000000"/>
              <w:right w:val="single" w:sz="4" w:space="0" w:color="auto"/>
            </w:tcBorders>
            <w:vAlign w:val="center"/>
            <w:hideMark/>
          </w:tcPr>
          <w:p w14:paraId="4793210D"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7267C12B"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116A7979"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0</w:t>
            </w:r>
          </w:p>
        </w:tc>
      </w:tr>
      <w:tr w:rsidR="003122F4" w:rsidRPr="00545EC0" w14:paraId="5F7FCABE"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17F994B5"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SI1476VT</w:t>
            </w:r>
          </w:p>
        </w:tc>
        <w:tc>
          <w:tcPr>
            <w:tcW w:w="3875" w:type="dxa"/>
            <w:tcBorders>
              <w:top w:val="nil"/>
              <w:left w:val="nil"/>
              <w:bottom w:val="single" w:sz="4" w:space="0" w:color="auto"/>
              <w:right w:val="single" w:sz="4" w:space="0" w:color="auto"/>
            </w:tcBorders>
            <w:shd w:val="clear" w:color="auto" w:fill="auto"/>
            <w:noWrap/>
            <w:vAlign w:val="center"/>
            <w:hideMark/>
          </w:tcPr>
          <w:p w14:paraId="5CCA93EE"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Iščica</w:t>
            </w:r>
          </w:p>
        </w:tc>
        <w:tc>
          <w:tcPr>
            <w:tcW w:w="2409" w:type="dxa"/>
            <w:tcBorders>
              <w:top w:val="nil"/>
              <w:left w:val="nil"/>
              <w:bottom w:val="single" w:sz="4" w:space="0" w:color="auto"/>
              <w:right w:val="nil"/>
            </w:tcBorders>
            <w:shd w:val="clear" w:color="auto" w:fill="auto"/>
            <w:noWrap/>
            <w:vAlign w:val="center"/>
            <w:hideMark/>
          </w:tcPr>
          <w:p w14:paraId="629A09CB"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Iščica, Škofeljščica</w:t>
            </w:r>
          </w:p>
        </w:tc>
        <w:tc>
          <w:tcPr>
            <w:tcW w:w="862" w:type="dxa"/>
            <w:vMerge/>
            <w:tcBorders>
              <w:top w:val="nil"/>
              <w:left w:val="single" w:sz="4" w:space="0" w:color="auto"/>
              <w:bottom w:val="single" w:sz="4" w:space="0" w:color="000000"/>
              <w:right w:val="single" w:sz="4" w:space="0" w:color="auto"/>
            </w:tcBorders>
            <w:vAlign w:val="center"/>
            <w:hideMark/>
          </w:tcPr>
          <w:p w14:paraId="4A76A602"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44CB7ED5"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4DCD7EA1"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r>
      <w:tr w:rsidR="003122F4" w:rsidRPr="00545EC0" w14:paraId="7B47C49B"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4491B636"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SI148VT5</w:t>
            </w:r>
          </w:p>
        </w:tc>
        <w:tc>
          <w:tcPr>
            <w:tcW w:w="3875" w:type="dxa"/>
            <w:tcBorders>
              <w:top w:val="nil"/>
              <w:left w:val="nil"/>
              <w:bottom w:val="single" w:sz="4" w:space="0" w:color="auto"/>
              <w:right w:val="single" w:sz="4" w:space="0" w:color="auto"/>
            </w:tcBorders>
            <w:shd w:val="clear" w:color="auto" w:fill="auto"/>
            <w:noWrap/>
            <w:vAlign w:val="center"/>
            <w:hideMark/>
          </w:tcPr>
          <w:p w14:paraId="250811A2"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Mali Graben z Gradaščico</w:t>
            </w:r>
          </w:p>
        </w:tc>
        <w:tc>
          <w:tcPr>
            <w:tcW w:w="2409" w:type="dxa"/>
            <w:tcBorders>
              <w:top w:val="nil"/>
              <w:left w:val="nil"/>
              <w:bottom w:val="single" w:sz="4" w:space="0" w:color="auto"/>
              <w:right w:val="nil"/>
            </w:tcBorders>
            <w:shd w:val="clear" w:color="auto" w:fill="auto"/>
            <w:noWrap/>
            <w:vAlign w:val="center"/>
            <w:hideMark/>
          </w:tcPr>
          <w:p w14:paraId="4199296D"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Mali graben</w:t>
            </w:r>
          </w:p>
        </w:tc>
        <w:tc>
          <w:tcPr>
            <w:tcW w:w="862" w:type="dxa"/>
            <w:vMerge/>
            <w:tcBorders>
              <w:top w:val="nil"/>
              <w:left w:val="single" w:sz="4" w:space="0" w:color="auto"/>
              <w:bottom w:val="single" w:sz="4" w:space="0" w:color="000000"/>
              <w:right w:val="single" w:sz="4" w:space="0" w:color="auto"/>
            </w:tcBorders>
            <w:vAlign w:val="center"/>
            <w:hideMark/>
          </w:tcPr>
          <w:p w14:paraId="2BD70F91"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747D06C3"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7B7965EA"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0</w:t>
            </w:r>
          </w:p>
        </w:tc>
      </w:tr>
      <w:tr w:rsidR="003122F4" w:rsidRPr="00545EC0" w14:paraId="02326684"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0B4E5F3B"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SI14912VT</w:t>
            </w:r>
          </w:p>
        </w:tc>
        <w:tc>
          <w:tcPr>
            <w:tcW w:w="3875" w:type="dxa"/>
            <w:tcBorders>
              <w:top w:val="nil"/>
              <w:left w:val="nil"/>
              <w:bottom w:val="single" w:sz="4" w:space="0" w:color="auto"/>
              <w:right w:val="single" w:sz="4" w:space="0" w:color="auto"/>
            </w:tcBorders>
            <w:shd w:val="clear" w:color="auto" w:fill="auto"/>
            <w:noWrap/>
            <w:vAlign w:val="center"/>
            <w:hideMark/>
          </w:tcPr>
          <w:p w14:paraId="58A803B8"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UVT Gruberjev prekop</w:t>
            </w:r>
          </w:p>
        </w:tc>
        <w:tc>
          <w:tcPr>
            <w:tcW w:w="2409" w:type="dxa"/>
            <w:tcBorders>
              <w:top w:val="nil"/>
              <w:left w:val="nil"/>
              <w:bottom w:val="single" w:sz="4" w:space="0" w:color="auto"/>
              <w:right w:val="nil"/>
            </w:tcBorders>
            <w:shd w:val="clear" w:color="auto" w:fill="auto"/>
            <w:noWrap/>
            <w:vAlign w:val="center"/>
            <w:hideMark/>
          </w:tcPr>
          <w:p w14:paraId="40A386E8"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Gruberjev prekop</w:t>
            </w:r>
          </w:p>
        </w:tc>
        <w:tc>
          <w:tcPr>
            <w:tcW w:w="862" w:type="dxa"/>
            <w:vMerge/>
            <w:tcBorders>
              <w:top w:val="nil"/>
              <w:left w:val="single" w:sz="4" w:space="0" w:color="auto"/>
              <w:bottom w:val="single" w:sz="4" w:space="0" w:color="000000"/>
              <w:right w:val="single" w:sz="4" w:space="0" w:color="auto"/>
            </w:tcBorders>
            <w:vAlign w:val="center"/>
            <w:hideMark/>
          </w:tcPr>
          <w:p w14:paraId="5C7B3CAF"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7ED3ED92"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234DFEBD"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0</w:t>
            </w:r>
          </w:p>
        </w:tc>
      </w:tr>
      <w:tr w:rsidR="003122F4" w:rsidRPr="00545EC0" w14:paraId="627F447D"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62937EDD"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SI14VT77</w:t>
            </w:r>
          </w:p>
        </w:tc>
        <w:tc>
          <w:tcPr>
            <w:tcW w:w="3875" w:type="dxa"/>
            <w:tcBorders>
              <w:top w:val="nil"/>
              <w:left w:val="nil"/>
              <w:bottom w:val="single" w:sz="4" w:space="0" w:color="auto"/>
              <w:right w:val="single" w:sz="4" w:space="0" w:color="auto"/>
            </w:tcBorders>
            <w:shd w:val="clear" w:color="auto" w:fill="auto"/>
            <w:noWrap/>
            <w:vAlign w:val="center"/>
            <w:hideMark/>
          </w:tcPr>
          <w:p w14:paraId="4F76C4DF"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Ljubljanica povirje - Ljubljana</w:t>
            </w:r>
          </w:p>
        </w:tc>
        <w:tc>
          <w:tcPr>
            <w:tcW w:w="2409" w:type="dxa"/>
            <w:tcBorders>
              <w:top w:val="nil"/>
              <w:left w:val="nil"/>
              <w:bottom w:val="single" w:sz="4" w:space="0" w:color="auto"/>
              <w:right w:val="nil"/>
            </w:tcBorders>
            <w:shd w:val="clear" w:color="auto" w:fill="auto"/>
            <w:noWrap/>
            <w:vAlign w:val="center"/>
            <w:hideMark/>
          </w:tcPr>
          <w:p w14:paraId="1A6B6EAA"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Ljubljanica</w:t>
            </w:r>
          </w:p>
        </w:tc>
        <w:tc>
          <w:tcPr>
            <w:tcW w:w="862" w:type="dxa"/>
            <w:vMerge/>
            <w:tcBorders>
              <w:top w:val="nil"/>
              <w:left w:val="single" w:sz="4" w:space="0" w:color="auto"/>
              <w:bottom w:val="single" w:sz="4" w:space="0" w:color="000000"/>
              <w:right w:val="single" w:sz="4" w:space="0" w:color="auto"/>
            </w:tcBorders>
            <w:vAlign w:val="center"/>
            <w:hideMark/>
          </w:tcPr>
          <w:p w14:paraId="26812675"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43AD20E8"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63D44C48"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0</w:t>
            </w:r>
          </w:p>
        </w:tc>
      </w:tr>
      <w:tr w:rsidR="003122F4" w:rsidRPr="00545EC0" w14:paraId="214CA5B6"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4773638D"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SI14VT93</w:t>
            </w:r>
          </w:p>
        </w:tc>
        <w:tc>
          <w:tcPr>
            <w:tcW w:w="3875" w:type="dxa"/>
            <w:tcBorders>
              <w:top w:val="nil"/>
              <w:left w:val="nil"/>
              <w:bottom w:val="single" w:sz="4" w:space="0" w:color="auto"/>
              <w:right w:val="single" w:sz="4" w:space="0" w:color="auto"/>
            </w:tcBorders>
            <w:shd w:val="clear" w:color="auto" w:fill="auto"/>
            <w:noWrap/>
            <w:vAlign w:val="center"/>
            <w:hideMark/>
          </w:tcPr>
          <w:p w14:paraId="30BEE088"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MPVT Mestna Ljubljanica</w:t>
            </w:r>
          </w:p>
        </w:tc>
        <w:tc>
          <w:tcPr>
            <w:tcW w:w="2409" w:type="dxa"/>
            <w:tcBorders>
              <w:top w:val="nil"/>
              <w:left w:val="nil"/>
              <w:bottom w:val="single" w:sz="4" w:space="0" w:color="auto"/>
              <w:right w:val="nil"/>
            </w:tcBorders>
            <w:shd w:val="clear" w:color="auto" w:fill="auto"/>
            <w:noWrap/>
            <w:vAlign w:val="center"/>
            <w:hideMark/>
          </w:tcPr>
          <w:p w14:paraId="25B87FC0"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Ljubljanica, Gradaščica, Glinščica</w:t>
            </w:r>
          </w:p>
        </w:tc>
        <w:tc>
          <w:tcPr>
            <w:tcW w:w="862" w:type="dxa"/>
            <w:vMerge/>
            <w:tcBorders>
              <w:top w:val="nil"/>
              <w:left w:val="single" w:sz="4" w:space="0" w:color="auto"/>
              <w:bottom w:val="single" w:sz="4" w:space="0" w:color="000000"/>
              <w:right w:val="single" w:sz="4" w:space="0" w:color="auto"/>
            </w:tcBorders>
            <w:vAlign w:val="center"/>
            <w:hideMark/>
          </w:tcPr>
          <w:p w14:paraId="3209A106"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36732677"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7A978169"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r>
      <w:tr w:rsidR="003122F4" w:rsidRPr="00545EC0" w14:paraId="0725AD06"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147E07AB"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SI14VT97</w:t>
            </w:r>
          </w:p>
        </w:tc>
        <w:tc>
          <w:tcPr>
            <w:tcW w:w="3875" w:type="dxa"/>
            <w:tcBorders>
              <w:top w:val="nil"/>
              <w:left w:val="nil"/>
              <w:bottom w:val="single" w:sz="4" w:space="0" w:color="auto"/>
              <w:right w:val="single" w:sz="4" w:space="0" w:color="auto"/>
            </w:tcBorders>
            <w:shd w:val="clear" w:color="auto" w:fill="auto"/>
            <w:noWrap/>
            <w:vAlign w:val="center"/>
            <w:hideMark/>
          </w:tcPr>
          <w:p w14:paraId="41F8E8B6"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Ljubljanica Moste - Podgrad</w:t>
            </w:r>
          </w:p>
        </w:tc>
        <w:tc>
          <w:tcPr>
            <w:tcW w:w="2409" w:type="dxa"/>
            <w:tcBorders>
              <w:top w:val="nil"/>
              <w:left w:val="nil"/>
              <w:bottom w:val="single" w:sz="4" w:space="0" w:color="auto"/>
              <w:right w:val="nil"/>
            </w:tcBorders>
            <w:shd w:val="clear" w:color="auto" w:fill="auto"/>
            <w:noWrap/>
            <w:vAlign w:val="center"/>
            <w:hideMark/>
          </w:tcPr>
          <w:p w14:paraId="050473CC"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Ljubljanica, Dobrunjščica</w:t>
            </w:r>
          </w:p>
        </w:tc>
        <w:tc>
          <w:tcPr>
            <w:tcW w:w="862" w:type="dxa"/>
            <w:vMerge/>
            <w:tcBorders>
              <w:top w:val="nil"/>
              <w:left w:val="single" w:sz="4" w:space="0" w:color="auto"/>
              <w:bottom w:val="single" w:sz="4" w:space="0" w:color="000000"/>
              <w:right w:val="single" w:sz="4" w:space="0" w:color="auto"/>
            </w:tcBorders>
            <w:vAlign w:val="center"/>
            <w:hideMark/>
          </w:tcPr>
          <w:p w14:paraId="16DB1F3F"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6F4A67F6"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14832B6D"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r>
      <w:tr w:rsidR="003122F4" w:rsidRPr="00545EC0" w14:paraId="7D6F68E3"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4B6B6A0A"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SI1VT310</w:t>
            </w:r>
          </w:p>
        </w:tc>
        <w:tc>
          <w:tcPr>
            <w:tcW w:w="3875" w:type="dxa"/>
            <w:tcBorders>
              <w:top w:val="nil"/>
              <w:left w:val="nil"/>
              <w:bottom w:val="single" w:sz="4" w:space="0" w:color="auto"/>
              <w:right w:val="single" w:sz="4" w:space="0" w:color="auto"/>
            </w:tcBorders>
            <w:shd w:val="clear" w:color="auto" w:fill="auto"/>
            <w:noWrap/>
            <w:vAlign w:val="center"/>
            <w:hideMark/>
          </w:tcPr>
          <w:p w14:paraId="72CFD793"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Sava Medvode - Podgrad</w:t>
            </w:r>
          </w:p>
        </w:tc>
        <w:tc>
          <w:tcPr>
            <w:tcW w:w="2409" w:type="dxa"/>
            <w:tcBorders>
              <w:top w:val="nil"/>
              <w:left w:val="nil"/>
              <w:bottom w:val="single" w:sz="4" w:space="0" w:color="auto"/>
              <w:right w:val="nil"/>
            </w:tcBorders>
            <w:shd w:val="clear" w:color="auto" w:fill="auto"/>
            <w:noWrap/>
            <w:vAlign w:val="center"/>
            <w:hideMark/>
          </w:tcPr>
          <w:p w14:paraId="2A8E095B"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Sava, Gameljščica</w:t>
            </w:r>
          </w:p>
        </w:tc>
        <w:tc>
          <w:tcPr>
            <w:tcW w:w="862" w:type="dxa"/>
            <w:vMerge/>
            <w:tcBorders>
              <w:top w:val="nil"/>
              <w:left w:val="single" w:sz="4" w:space="0" w:color="auto"/>
              <w:bottom w:val="single" w:sz="4" w:space="0" w:color="000000"/>
              <w:right w:val="single" w:sz="4" w:space="0" w:color="auto"/>
            </w:tcBorders>
            <w:vAlign w:val="center"/>
            <w:hideMark/>
          </w:tcPr>
          <w:p w14:paraId="2609B191"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5CEDC26B"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28486C4C"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r>
      <w:tr w:rsidR="003122F4" w:rsidRPr="00545EC0" w14:paraId="2AED9BBE"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3617BF08"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SI1VT557</w:t>
            </w:r>
          </w:p>
        </w:tc>
        <w:tc>
          <w:tcPr>
            <w:tcW w:w="3875" w:type="dxa"/>
            <w:tcBorders>
              <w:top w:val="nil"/>
              <w:left w:val="nil"/>
              <w:bottom w:val="single" w:sz="4" w:space="0" w:color="auto"/>
              <w:right w:val="single" w:sz="4" w:space="0" w:color="auto"/>
            </w:tcBorders>
            <w:shd w:val="clear" w:color="auto" w:fill="auto"/>
            <w:noWrap/>
            <w:vAlign w:val="center"/>
            <w:hideMark/>
          </w:tcPr>
          <w:p w14:paraId="48086568"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Sava Litija - Zidani Most</w:t>
            </w:r>
          </w:p>
        </w:tc>
        <w:tc>
          <w:tcPr>
            <w:tcW w:w="2409" w:type="dxa"/>
            <w:tcBorders>
              <w:top w:val="nil"/>
              <w:left w:val="nil"/>
              <w:bottom w:val="single" w:sz="4" w:space="0" w:color="auto"/>
              <w:right w:val="nil"/>
            </w:tcBorders>
            <w:shd w:val="clear" w:color="auto" w:fill="auto"/>
            <w:noWrap/>
            <w:vAlign w:val="center"/>
            <w:hideMark/>
          </w:tcPr>
          <w:p w14:paraId="052715E9"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Črni potok, Kostrevniški potok, Medija, Kandrščica, Orehovica, Kotredeščica, Šklendrovec, Trboveljščica, Boben, Brnica</w:t>
            </w:r>
          </w:p>
        </w:tc>
        <w:tc>
          <w:tcPr>
            <w:tcW w:w="862" w:type="dxa"/>
            <w:vMerge/>
            <w:tcBorders>
              <w:top w:val="nil"/>
              <w:left w:val="single" w:sz="4" w:space="0" w:color="auto"/>
              <w:bottom w:val="single" w:sz="4" w:space="0" w:color="000000"/>
              <w:right w:val="single" w:sz="4" w:space="0" w:color="auto"/>
            </w:tcBorders>
            <w:vAlign w:val="center"/>
            <w:hideMark/>
          </w:tcPr>
          <w:p w14:paraId="478037ED"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1CEE665A"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0</w:t>
            </w:r>
          </w:p>
        </w:tc>
        <w:tc>
          <w:tcPr>
            <w:tcW w:w="425" w:type="dxa"/>
            <w:tcBorders>
              <w:top w:val="nil"/>
              <w:left w:val="nil"/>
              <w:bottom w:val="single" w:sz="4" w:space="0" w:color="auto"/>
              <w:right w:val="single" w:sz="4" w:space="0" w:color="auto"/>
            </w:tcBorders>
            <w:shd w:val="clear" w:color="auto" w:fill="auto"/>
            <w:noWrap/>
            <w:vAlign w:val="center"/>
            <w:hideMark/>
          </w:tcPr>
          <w:p w14:paraId="00D949B7"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r>
      <w:tr w:rsidR="003122F4" w:rsidRPr="00545EC0" w14:paraId="48EFC4C9"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787C8C95"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SI172VT</w:t>
            </w:r>
          </w:p>
        </w:tc>
        <w:tc>
          <w:tcPr>
            <w:tcW w:w="3875" w:type="dxa"/>
            <w:tcBorders>
              <w:top w:val="nil"/>
              <w:left w:val="nil"/>
              <w:bottom w:val="single" w:sz="4" w:space="0" w:color="auto"/>
              <w:right w:val="single" w:sz="4" w:space="0" w:color="auto"/>
            </w:tcBorders>
            <w:shd w:val="clear" w:color="auto" w:fill="auto"/>
            <w:noWrap/>
            <w:vAlign w:val="center"/>
            <w:hideMark/>
          </w:tcPr>
          <w:p w14:paraId="5D2A1D30"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Mirna</w:t>
            </w:r>
          </w:p>
        </w:tc>
        <w:tc>
          <w:tcPr>
            <w:tcW w:w="2409" w:type="dxa"/>
            <w:tcBorders>
              <w:top w:val="nil"/>
              <w:left w:val="nil"/>
              <w:bottom w:val="single" w:sz="4" w:space="0" w:color="auto"/>
              <w:right w:val="nil"/>
            </w:tcBorders>
            <w:shd w:val="clear" w:color="auto" w:fill="auto"/>
            <w:noWrap/>
            <w:vAlign w:val="center"/>
            <w:hideMark/>
          </w:tcPr>
          <w:p w14:paraId="33AE8FA2"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Mirna</w:t>
            </w:r>
          </w:p>
        </w:tc>
        <w:tc>
          <w:tcPr>
            <w:tcW w:w="862" w:type="dxa"/>
            <w:vMerge w:val="restart"/>
            <w:tcBorders>
              <w:top w:val="nil"/>
              <w:left w:val="single" w:sz="4" w:space="0" w:color="auto"/>
              <w:bottom w:val="single" w:sz="4" w:space="0" w:color="000000"/>
              <w:right w:val="single" w:sz="4" w:space="0" w:color="auto"/>
            </w:tcBorders>
            <w:shd w:val="clear" w:color="auto" w:fill="auto"/>
            <w:vAlign w:val="center"/>
            <w:hideMark/>
          </w:tcPr>
          <w:p w14:paraId="4AC9017C"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Spodnja Sava</w:t>
            </w:r>
          </w:p>
        </w:tc>
        <w:tc>
          <w:tcPr>
            <w:tcW w:w="414" w:type="dxa"/>
            <w:tcBorders>
              <w:top w:val="nil"/>
              <w:left w:val="nil"/>
              <w:bottom w:val="single" w:sz="4" w:space="0" w:color="auto"/>
              <w:right w:val="single" w:sz="4" w:space="0" w:color="auto"/>
            </w:tcBorders>
            <w:shd w:val="clear" w:color="auto" w:fill="auto"/>
            <w:noWrap/>
            <w:vAlign w:val="center"/>
            <w:hideMark/>
          </w:tcPr>
          <w:p w14:paraId="1C4ABE67"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7A772C69"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0</w:t>
            </w:r>
          </w:p>
        </w:tc>
      </w:tr>
      <w:tr w:rsidR="003122F4" w:rsidRPr="00545EC0" w14:paraId="643F84F7"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315D2A9D"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SI18VT31</w:t>
            </w:r>
          </w:p>
        </w:tc>
        <w:tc>
          <w:tcPr>
            <w:tcW w:w="3875" w:type="dxa"/>
            <w:tcBorders>
              <w:top w:val="nil"/>
              <w:left w:val="nil"/>
              <w:bottom w:val="single" w:sz="4" w:space="0" w:color="auto"/>
              <w:right w:val="single" w:sz="4" w:space="0" w:color="auto"/>
            </w:tcBorders>
            <w:shd w:val="clear" w:color="auto" w:fill="auto"/>
            <w:noWrap/>
            <w:vAlign w:val="center"/>
            <w:hideMark/>
          </w:tcPr>
          <w:p w14:paraId="5E388979"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Krka povirje - Soteska</w:t>
            </w:r>
          </w:p>
        </w:tc>
        <w:tc>
          <w:tcPr>
            <w:tcW w:w="2409" w:type="dxa"/>
            <w:tcBorders>
              <w:top w:val="nil"/>
              <w:left w:val="nil"/>
              <w:bottom w:val="single" w:sz="4" w:space="0" w:color="auto"/>
              <w:right w:val="nil"/>
            </w:tcBorders>
            <w:shd w:val="clear" w:color="auto" w:fill="auto"/>
            <w:noWrap/>
            <w:vAlign w:val="center"/>
            <w:hideMark/>
          </w:tcPr>
          <w:p w14:paraId="39FEC8E4"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Stiški potok, Grosupeljščica, Sodraška Bistrica</w:t>
            </w:r>
          </w:p>
        </w:tc>
        <w:tc>
          <w:tcPr>
            <w:tcW w:w="862" w:type="dxa"/>
            <w:vMerge/>
            <w:tcBorders>
              <w:top w:val="nil"/>
              <w:left w:val="single" w:sz="4" w:space="0" w:color="auto"/>
              <w:bottom w:val="single" w:sz="4" w:space="0" w:color="000000"/>
              <w:right w:val="single" w:sz="4" w:space="0" w:color="auto"/>
            </w:tcBorders>
            <w:vAlign w:val="center"/>
            <w:hideMark/>
          </w:tcPr>
          <w:p w14:paraId="7E6D95CF"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4D19353D"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0</w:t>
            </w:r>
          </w:p>
        </w:tc>
        <w:tc>
          <w:tcPr>
            <w:tcW w:w="425" w:type="dxa"/>
            <w:tcBorders>
              <w:top w:val="nil"/>
              <w:left w:val="nil"/>
              <w:bottom w:val="single" w:sz="4" w:space="0" w:color="auto"/>
              <w:right w:val="single" w:sz="4" w:space="0" w:color="auto"/>
            </w:tcBorders>
            <w:shd w:val="clear" w:color="auto" w:fill="auto"/>
            <w:noWrap/>
            <w:vAlign w:val="center"/>
            <w:hideMark/>
          </w:tcPr>
          <w:p w14:paraId="5B1C358F"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r>
      <w:tr w:rsidR="003122F4" w:rsidRPr="00545EC0" w14:paraId="6AD002FD"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73DCE5A6"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SI18VT77</w:t>
            </w:r>
          </w:p>
        </w:tc>
        <w:tc>
          <w:tcPr>
            <w:tcW w:w="3875" w:type="dxa"/>
            <w:tcBorders>
              <w:top w:val="nil"/>
              <w:left w:val="nil"/>
              <w:bottom w:val="single" w:sz="4" w:space="0" w:color="auto"/>
              <w:right w:val="single" w:sz="4" w:space="0" w:color="auto"/>
            </w:tcBorders>
            <w:shd w:val="clear" w:color="auto" w:fill="auto"/>
            <w:noWrap/>
            <w:vAlign w:val="center"/>
            <w:hideMark/>
          </w:tcPr>
          <w:p w14:paraId="7C62FD0C"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Krka Soteska - Otočec</w:t>
            </w:r>
          </w:p>
        </w:tc>
        <w:tc>
          <w:tcPr>
            <w:tcW w:w="2409" w:type="dxa"/>
            <w:tcBorders>
              <w:top w:val="nil"/>
              <w:left w:val="nil"/>
              <w:bottom w:val="single" w:sz="4" w:space="0" w:color="auto"/>
              <w:right w:val="nil"/>
            </w:tcBorders>
            <w:shd w:val="clear" w:color="auto" w:fill="auto"/>
            <w:noWrap/>
            <w:vAlign w:val="center"/>
            <w:hideMark/>
          </w:tcPr>
          <w:p w14:paraId="7C92BD33"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Krka, Sušica</w:t>
            </w:r>
          </w:p>
        </w:tc>
        <w:tc>
          <w:tcPr>
            <w:tcW w:w="862" w:type="dxa"/>
            <w:vMerge/>
            <w:tcBorders>
              <w:top w:val="nil"/>
              <w:left w:val="single" w:sz="4" w:space="0" w:color="auto"/>
              <w:bottom w:val="single" w:sz="4" w:space="0" w:color="000000"/>
              <w:right w:val="single" w:sz="4" w:space="0" w:color="auto"/>
            </w:tcBorders>
            <w:vAlign w:val="center"/>
            <w:hideMark/>
          </w:tcPr>
          <w:p w14:paraId="247159DF"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2B917BBB"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074485DC"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r>
      <w:tr w:rsidR="003122F4" w:rsidRPr="00545EC0" w14:paraId="2246CD02"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490F9B58"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SI18VT97</w:t>
            </w:r>
          </w:p>
        </w:tc>
        <w:tc>
          <w:tcPr>
            <w:tcW w:w="3875" w:type="dxa"/>
            <w:tcBorders>
              <w:top w:val="nil"/>
              <w:left w:val="nil"/>
              <w:bottom w:val="single" w:sz="4" w:space="0" w:color="auto"/>
              <w:right w:val="single" w:sz="4" w:space="0" w:color="auto"/>
            </w:tcBorders>
            <w:shd w:val="clear" w:color="auto" w:fill="auto"/>
            <w:noWrap/>
            <w:vAlign w:val="center"/>
            <w:hideMark/>
          </w:tcPr>
          <w:p w14:paraId="76C76D56"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Krka Otočec - Brežice</w:t>
            </w:r>
          </w:p>
        </w:tc>
        <w:tc>
          <w:tcPr>
            <w:tcW w:w="2409" w:type="dxa"/>
            <w:tcBorders>
              <w:top w:val="nil"/>
              <w:left w:val="nil"/>
              <w:bottom w:val="single" w:sz="4" w:space="0" w:color="auto"/>
              <w:right w:val="nil"/>
            </w:tcBorders>
            <w:shd w:val="clear" w:color="auto" w:fill="auto"/>
            <w:noWrap/>
            <w:vAlign w:val="center"/>
            <w:hideMark/>
          </w:tcPr>
          <w:p w14:paraId="5BBA6B6F"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Krka, Toplica, Kobila, Lačni potok</w:t>
            </w:r>
          </w:p>
        </w:tc>
        <w:tc>
          <w:tcPr>
            <w:tcW w:w="862" w:type="dxa"/>
            <w:vMerge/>
            <w:tcBorders>
              <w:top w:val="nil"/>
              <w:left w:val="single" w:sz="4" w:space="0" w:color="auto"/>
              <w:bottom w:val="single" w:sz="4" w:space="0" w:color="000000"/>
              <w:right w:val="single" w:sz="4" w:space="0" w:color="auto"/>
            </w:tcBorders>
            <w:vAlign w:val="center"/>
            <w:hideMark/>
          </w:tcPr>
          <w:p w14:paraId="19B87072"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53BE8733"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4F559BCC"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r>
      <w:tr w:rsidR="003122F4" w:rsidRPr="00545EC0" w14:paraId="4A214751"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11338EC9"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SI1922VT</w:t>
            </w:r>
          </w:p>
        </w:tc>
        <w:tc>
          <w:tcPr>
            <w:tcW w:w="3875" w:type="dxa"/>
            <w:tcBorders>
              <w:top w:val="nil"/>
              <w:left w:val="nil"/>
              <w:bottom w:val="single" w:sz="4" w:space="0" w:color="auto"/>
              <w:right w:val="single" w:sz="4" w:space="0" w:color="auto"/>
            </w:tcBorders>
            <w:shd w:val="clear" w:color="auto" w:fill="auto"/>
            <w:noWrap/>
            <w:vAlign w:val="center"/>
            <w:hideMark/>
          </w:tcPr>
          <w:p w14:paraId="01F96C52"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Mestinjščica</w:t>
            </w:r>
          </w:p>
        </w:tc>
        <w:tc>
          <w:tcPr>
            <w:tcW w:w="2409" w:type="dxa"/>
            <w:tcBorders>
              <w:top w:val="nil"/>
              <w:left w:val="nil"/>
              <w:bottom w:val="single" w:sz="4" w:space="0" w:color="auto"/>
              <w:right w:val="nil"/>
            </w:tcBorders>
            <w:shd w:val="clear" w:color="auto" w:fill="auto"/>
            <w:noWrap/>
            <w:vAlign w:val="center"/>
            <w:hideMark/>
          </w:tcPr>
          <w:p w14:paraId="58BD3B36"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Šmarski potok</w:t>
            </w:r>
          </w:p>
        </w:tc>
        <w:tc>
          <w:tcPr>
            <w:tcW w:w="862" w:type="dxa"/>
            <w:vMerge/>
            <w:tcBorders>
              <w:top w:val="nil"/>
              <w:left w:val="single" w:sz="4" w:space="0" w:color="auto"/>
              <w:bottom w:val="single" w:sz="4" w:space="0" w:color="000000"/>
              <w:right w:val="single" w:sz="4" w:space="0" w:color="auto"/>
            </w:tcBorders>
            <w:vAlign w:val="center"/>
            <w:hideMark/>
          </w:tcPr>
          <w:p w14:paraId="6E957403"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76908F6C"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0</w:t>
            </w:r>
          </w:p>
        </w:tc>
        <w:tc>
          <w:tcPr>
            <w:tcW w:w="425" w:type="dxa"/>
            <w:tcBorders>
              <w:top w:val="nil"/>
              <w:left w:val="nil"/>
              <w:bottom w:val="single" w:sz="4" w:space="0" w:color="auto"/>
              <w:right w:val="single" w:sz="4" w:space="0" w:color="auto"/>
            </w:tcBorders>
            <w:shd w:val="clear" w:color="auto" w:fill="auto"/>
            <w:noWrap/>
            <w:vAlign w:val="center"/>
            <w:hideMark/>
          </w:tcPr>
          <w:p w14:paraId="22DB1780"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r>
      <w:tr w:rsidR="003122F4" w:rsidRPr="00545EC0" w14:paraId="36489EDC"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79B9C2A4"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SI192VT1</w:t>
            </w:r>
          </w:p>
        </w:tc>
        <w:tc>
          <w:tcPr>
            <w:tcW w:w="3875" w:type="dxa"/>
            <w:tcBorders>
              <w:top w:val="nil"/>
              <w:left w:val="nil"/>
              <w:bottom w:val="single" w:sz="4" w:space="0" w:color="auto"/>
              <w:right w:val="single" w:sz="4" w:space="0" w:color="auto"/>
            </w:tcBorders>
            <w:shd w:val="clear" w:color="auto" w:fill="auto"/>
            <w:noWrap/>
            <w:vAlign w:val="center"/>
            <w:hideMark/>
          </w:tcPr>
          <w:p w14:paraId="666D1413"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Sotla Dobovec - Podčetrtek</w:t>
            </w:r>
          </w:p>
        </w:tc>
        <w:tc>
          <w:tcPr>
            <w:tcW w:w="2409" w:type="dxa"/>
            <w:tcBorders>
              <w:top w:val="nil"/>
              <w:left w:val="nil"/>
              <w:bottom w:val="single" w:sz="4" w:space="0" w:color="auto"/>
              <w:right w:val="nil"/>
            </w:tcBorders>
            <w:shd w:val="clear" w:color="auto" w:fill="auto"/>
            <w:noWrap/>
            <w:vAlign w:val="center"/>
            <w:hideMark/>
          </w:tcPr>
          <w:p w14:paraId="01A7F88B"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Sotla, Ločica</w:t>
            </w:r>
          </w:p>
        </w:tc>
        <w:tc>
          <w:tcPr>
            <w:tcW w:w="862" w:type="dxa"/>
            <w:vMerge/>
            <w:tcBorders>
              <w:top w:val="nil"/>
              <w:left w:val="single" w:sz="4" w:space="0" w:color="auto"/>
              <w:bottom w:val="single" w:sz="4" w:space="0" w:color="000000"/>
              <w:right w:val="single" w:sz="4" w:space="0" w:color="auto"/>
            </w:tcBorders>
            <w:vAlign w:val="center"/>
            <w:hideMark/>
          </w:tcPr>
          <w:p w14:paraId="23F6A598"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483B7B6E"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2CFB0DAE"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r>
      <w:tr w:rsidR="003122F4" w:rsidRPr="00545EC0" w14:paraId="2EC2F6EE"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1B031ED0"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SI192VT5</w:t>
            </w:r>
          </w:p>
        </w:tc>
        <w:tc>
          <w:tcPr>
            <w:tcW w:w="3875" w:type="dxa"/>
            <w:tcBorders>
              <w:top w:val="nil"/>
              <w:left w:val="nil"/>
              <w:bottom w:val="single" w:sz="4" w:space="0" w:color="auto"/>
              <w:right w:val="single" w:sz="4" w:space="0" w:color="auto"/>
            </w:tcBorders>
            <w:shd w:val="clear" w:color="auto" w:fill="auto"/>
            <w:noWrap/>
            <w:vAlign w:val="center"/>
            <w:hideMark/>
          </w:tcPr>
          <w:p w14:paraId="61C1D093"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Sotla Podčetrtek - Ključ</w:t>
            </w:r>
          </w:p>
        </w:tc>
        <w:tc>
          <w:tcPr>
            <w:tcW w:w="2409" w:type="dxa"/>
            <w:tcBorders>
              <w:top w:val="nil"/>
              <w:left w:val="nil"/>
              <w:bottom w:val="single" w:sz="4" w:space="0" w:color="auto"/>
              <w:right w:val="nil"/>
            </w:tcBorders>
            <w:shd w:val="clear" w:color="auto" w:fill="auto"/>
            <w:noWrap/>
            <w:vAlign w:val="center"/>
            <w:hideMark/>
          </w:tcPr>
          <w:p w14:paraId="636B8E63"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Olimski potok, Bizeljski potok</w:t>
            </w:r>
          </w:p>
        </w:tc>
        <w:tc>
          <w:tcPr>
            <w:tcW w:w="862" w:type="dxa"/>
            <w:vMerge/>
            <w:tcBorders>
              <w:top w:val="nil"/>
              <w:left w:val="single" w:sz="4" w:space="0" w:color="auto"/>
              <w:bottom w:val="single" w:sz="4" w:space="0" w:color="000000"/>
              <w:right w:val="single" w:sz="4" w:space="0" w:color="auto"/>
            </w:tcBorders>
            <w:vAlign w:val="center"/>
            <w:hideMark/>
          </w:tcPr>
          <w:p w14:paraId="304256E4"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7C0C2405"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0</w:t>
            </w:r>
          </w:p>
        </w:tc>
        <w:tc>
          <w:tcPr>
            <w:tcW w:w="425" w:type="dxa"/>
            <w:tcBorders>
              <w:top w:val="nil"/>
              <w:left w:val="nil"/>
              <w:bottom w:val="single" w:sz="4" w:space="0" w:color="auto"/>
              <w:right w:val="single" w:sz="4" w:space="0" w:color="auto"/>
            </w:tcBorders>
            <w:shd w:val="clear" w:color="auto" w:fill="auto"/>
            <w:noWrap/>
            <w:vAlign w:val="center"/>
            <w:hideMark/>
          </w:tcPr>
          <w:p w14:paraId="78CEC0AF"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r>
      <w:tr w:rsidR="003122F4" w:rsidRPr="00545EC0" w14:paraId="744428CE"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0887DDF5"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SI1VT713</w:t>
            </w:r>
          </w:p>
        </w:tc>
        <w:tc>
          <w:tcPr>
            <w:tcW w:w="3875" w:type="dxa"/>
            <w:tcBorders>
              <w:top w:val="nil"/>
              <w:left w:val="nil"/>
              <w:bottom w:val="single" w:sz="4" w:space="0" w:color="auto"/>
              <w:right w:val="single" w:sz="4" w:space="0" w:color="auto"/>
            </w:tcBorders>
            <w:shd w:val="clear" w:color="auto" w:fill="auto"/>
            <w:noWrap/>
            <w:vAlign w:val="center"/>
            <w:hideMark/>
          </w:tcPr>
          <w:p w14:paraId="5F5ABD25"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MPVT Sava Vrhovo - Boštanj</w:t>
            </w:r>
          </w:p>
        </w:tc>
        <w:tc>
          <w:tcPr>
            <w:tcW w:w="2409" w:type="dxa"/>
            <w:tcBorders>
              <w:top w:val="nil"/>
              <w:left w:val="nil"/>
              <w:bottom w:val="single" w:sz="4" w:space="0" w:color="auto"/>
              <w:right w:val="nil"/>
            </w:tcBorders>
            <w:shd w:val="clear" w:color="auto" w:fill="auto"/>
            <w:noWrap/>
            <w:vAlign w:val="center"/>
            <w:hideMark/>
          </w:tcPr>
          <w:p w14:paraId="371716AC"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Sava, Sopota</w:t>
            </w:r>
          </w:p>
        </w:tc>
        <w:tc>
          <w:tcPr>
            <w:tcW w:w="862" w:type="dxa"/>
            <w:vMerge/>
            <w:tcBorders>
              <w:top w:val="nil"/>
              <w:left w:val="single" w:sz="4" w:space="0" w:color="auto"/>
              <w:bottom w:val="single" w:sz="4" w:space="0" w:color="000000"/>
              <w:right w:val="single" w:sz="4" w:space="0" w:color="auto"/>
            </w:tcBorders>
            <w:vAlign w:val="center"/>
            <w:hideMark/>
          </w:tcPr>
          <w:p w14:paraId="0BCDA359"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6B003F28"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0383D9B8"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r>
      <w:tr w:rsidR="003122F4" w:rsidRPr="00545EC0" w14:paraId="722DE0C0"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75DE532E"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SI1VT739</w:t>
            </w:r>
          </w:p>
        </w:tc>
        <w:tc>
          <w:tcPr>
            <w:tcW w:w="3875" w:type="dxa"/>
            <w:tcBorders>
              <w:top w:val="nil"/>
              <w:left w:val="nil"/>
              <w:bottom w:val="single" w:sz="4" w:space="0" w:color="auto"/>
              <w:right w:val="single" w:sz="4" w:space="0" w:color="auto"/>
            </w:tcBorders>
            <w:shd w:val="clear" w:color="auto" w:fill="auto"/>
            <w:noWrap/>
            <w:vAlign w:val="center"/>
            <w:hideMark/>
          </w:tcPr>
          <w:p w14:paraId="6D29FE93"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Sava Boštanj - Krško</w:t>
            </w:r>
          </w:p>
        </w:tc>
        <w:tc>
          <w:tcPr>
            <w:tcW w:w="2409" w:type="dxa"/>
            <w:tcBorders>
              <w:top w:val="nil"/>
              <w:left w:val="nil"/>
              <w:bottom w:val="single" w:sz="4" w:space="0" w:color="auto"/>
              <w:right w:val="nil"/>
            </w:tcBorders>
            <w:shd w:val="clear" w:color="auto" w:fill="auto"/>
            <w:noWrap/>
            <w:vAlign w:val="center"/>
            <w:hideMark/>
          </w:tcPr>
          <w:p w14:paraId="7F1838C5"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Sava, Sevnična, Blanščica, Brestanica, Dovški potok</w:t>
            </w:r>
          </w:p>
        </w:tc>
        <w:tc>
          <w:tcPr>
            <w:tcW w:w="862" w:type="dxa"/>
            <w:vMerge/>
            <w:tcBorders>
              <w:top w:val="nil"/>
              <w:left w:val="single" w:sz="4" w:space="0" w:color="auto"/>
              <w:bottom w:val="single" w:sz="4" w:space="0" w:color="000000"/>
              <w:right w:val="single" w:sz="4" w:space="0" w:color="auto"/>
            </w:tcBorders>
            <w:vAlign w:val="center"/>
            <w:hideMark/>
          </w:tcPr>
          <w:p w14:paraId="5F46E902"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3E65CCEA"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62730905"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r>
      <w:tr w:rsidR="003122F4" w:rsidRPr="00545EC0" w14:paraId="51203309"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65142114"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SI1VT913</w:t>
            </w:r>
          </w:p>
        </w:tc>
        <w:tc>
          <w:tcPr>
            <w:tcW w:w="3875" w:type="dxa"/>
            <w:tcBorders>
              <w:top w:val="nil"/>
              <w:left w:val="nil"/>
              <w:bottom w:val="single" w:sz="4" w:space="0" w:color="auto"/>
              <w:right w:val="single" w:sz="4" w:space="0" w:color="auto"/>
            </w:tcBorders>
            <w:shd w:val="clear" w:color="auto" w:fill="auto"/>
            <w:noWrap/>
            <w:vAlign w:val="center"/>
            <w:hideMark/>
          </w:tcPr>
          <w:p w14:paraId="5045FBB8"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Sava Krško - Vrbina</w:t>
            </w:r>
          </w:p>
        </w:tc>
        <w:tc>
          <w:tcPr>
            <w:tcW w:w="2409" w:type="dxa"/>
            <w:tcBorders>
              <w:top w:val="nil"/>
              <w:left w:val="nil"/>
              <w:bottom w:val="single" w:sz="4" w:space="0" w:color="auto"/>
              <w:right w:val="nil"/>
            </w:tcBorders>
            <w:shd w:val="clear" w:color="auto" w:fill="auto"/>
            <w:noWrap/>
            <w:vAlign w:val="center"/>
            <w:hideMark/>
          </w:tcPr>
          <w:p w14:paraId="27D69A90"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Sava</w:t>
            </w:r>
          </w:p>
        </w:tc>
        <w:tc>
          <w:tcPr>
            <w:tcW w:w="862" w:type="dxa"/>
            <w:vMerge/>
            <w:tcBorders>
              <w:top w:val="nil"/>
              <w:left w:val="single" w:sz="4" w:space="0" w:color="auto"/>
              <w:bottom w:val="single" w:sz="4" w:space="0" w:color="000000"/>
              <w:right w:val="single" w:sz="4" w:space="0" w:color="auto"/>
            </w:tcBorders>
            <w:vAlign w:val="center"/>
            <w:hideMark/>
          </w:tcPr>
          <w:p w14:paraId="6EF43C2F"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2AB5C7EB"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1AC34AFB"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0</w:t>
            </w:r>
          </w:p>
        </w:tc>
      </w:tr>
      <w:tr w:rsidR="003122F4" w:rsidRPr="00545EC0" w14:paraId="4E07BCC1"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5B52AE6B"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SI21332VT</w:t>
            </w:r>
          </w:p>
        </w:tc>
        <w:tc>
          <w:tcPr>
            <w:tcW w:w="3875" w:type="dxa"/>
            <w:tcBorders>
              <w:top w:val="nil"/>
              <w:left w:val="nil"/>
              <w:bottom w:val="single" w:sz="4" w:space="0" w:color="auto"/>
              <w:right w:val="single" w:sz="4" w:space="0" w:color="auto"/>
            </w:tcBorders>
            <w:shd w:val="clear" w:color="auto" w:fill="auto"/>
            <w:noWrap/>
            <w:vAlign w:val="center"/>
            <w:hideMark/>
          </w:tcPr>
          <w:p w14:paraId="0DFA2A06"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Rinža</w:t>
            </w:r>
          </w:p>
        </w:tc>
        <w:tc>
          <w:tcPr>
            <w:tcW w:w="2409" w:type="dxa"/>
            <w:tcBorders>
              <w:top w:val="nil"/>
              <w:left w:val="nil"/>
              <w:bottom w:val="single" w:sz="4" w:space="0" w:color="auto"/>
              <w:right w:val="nil"/>
            </w:tcBorders>
            <w:shd w:val="clear" w:color="auto" w:fill="auto"/>
            <w:noWrap/>
            <w:vAlign w:val="center"/>
            <w:hideMark/>
          </w:tcPr>
          <w:p w14:paraId="512AD1EA"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Rinža</w:t>
            </w:r>
          </w:p>
        </w:tc>
        <w:tc>
          <w:tcPr>
            <w:tcW w:w="862" w:type="dxa"/>
            <w:vMerge/>
            <w:tcBorders>
              <w:top w:val="nil"/>
              <w:left w:val="single" w:sz="4" w:space="0" w:color="auto"/>
              <w:bottom w:val="single" w:sz="4" w:space="0" w:color="000000"/>
              <w:right w:val="single" w:sz="4" w:space="0" w:color="auto"/>
            </w:tcBorders>
            <w:vAlign w:val="center"/>
            <w:hideMark/>
          </w:tcPr>
          <w:p w14:paraId="72C3DE83"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5F3C45FE"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26560B99"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0</w:t>
            </w:r>
          </w:p>
        </w:tc>
      </w:tr>
      <w:tr w:rsidR="003122F4" w:rsidRPr="00545EC0" w14:paraId="5934F563"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19E11F98"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SI1624VT</w:t>
            </w:r>
          </w:p>
        </w:tc>
        <w:tc>
          <w:tcPr>
            <w:tcW w:w="3875" w:type="dxa"/>
            <w:tcBorders>
              <w:top w:val="nil"/>
              <w:left w:val="nil"/>
              <w:bottom w:val="single" w:sz="4" w:space="0" w:color="auto"/>
              <w:right w:val="single" w:sz="4" w:space="0" w:color="auto"/>
            </w:tcBorders>
            <w:shd w:val="clear" w:color="auto" w:fill="auto"/>
            <w:noWrap/>
            <w:vAlign w:val="center"/>
            <w:hideMark/>
          </w:tcPr>
          <w:p w14:paraId="6C85B7C6"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UVT Velenjsko jezero</w:t>
            </w:r>
          </w:p>
        </w:tc>
        <w:tc>
          <w:tcPr>
            <w:tcW w:w="2409" w:type="dxa"/>
            <w:tcBorders>
              <w:top w:val="nil"/>
              <w:left w:val="nil"/>
              <w:bottom w:val="single" w:sz="4" w:space="0" w:color="auto"/>
              <w:right w:val="nil"/>
            </w:tcBorders>
            <w:shd w:val="clear" w:color="auto" w:fill="auto"/>
            <w:noWrap/>
            <w:vAlign w:val="center"/>
            <w:hideMark/>
          </w:tcPr>
          <w:p w14:paraId="60E8118D"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 xml:space="preserve">Lepena </w:t>
            </w:r>
          </w:p>
        </w:tc>
        <w:tc>
          <w:tcPr>
            <w:tcW w:w="8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F63A58"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Savinja</w:t>
            </w:r>
          </w:p>
        </w:tc>
        <w:tc>
          <w:tcPr>
            <w:tcW w:w="414" w:type="dxa"/>
            <w:tcBorders>
              <w:top w:val="nil"/>
              <w:left w:val="nil"/>
              <w:bottom w:val="single" w:sz="4" w:space="0" w:color="auto"/>
              <w:right w:val="single" w:sz="4" w:space="0" w:color="auto"/>
            </w:tcBorders>
            <w:shd w:val="clear" w:color="auto" w:fill="auto"/>
            <w:noWrap/>
            <w:vAlign w:val="center"/>
            <w:hideMark/>
          </w:tcPr>
          <w:p w14:paraId="1E291FEE"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2ABABEC2"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0</w:t>
            </w:r>
          </w:p>
        </w:tc>
      </w:tr>
      <w:tr w:rsidR="003122F4" w:rsidRPr="00545EC0" w14:paraId="6BADDAC7"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5FB6B9CB"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SI162VT3</w:t>
            </w:r>
          </w:p>
        </w:tc>
        <w:tc>
          <w:tcPr>
            <w:tcW w:w="3875" w:type="dxa"/>
            <w:tcBorders>
              <w:top w:val="nil"/>
              <w:left w:val="nil"/>
              <w:bottom w:val="single" w:sz="4" w:space="0" w:color="auto"/>
              <w:right w:val="single" w:sz="4" w:space="0" w:color="auto"/>
            </w:tcBorders>
            <w:shd w:val="clear" w:color="auto" w:fill="auto"/>
            <w:noWrap/>
            <w:vAlign w:val="center"/>
            <w:hideMark/>
          </w:tcPr>
          <w:p w14:paraId="000290FE"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Paka povirje - Velenje</w:t>
            </w:r>
          </w:p>
        </w:tc>
        <w:tc>
          <w:tcPr>
            <w:tcW w:w="2409" w:type="dxa"/>
            <w:tcBorders>
              <w:top w:val="nil"/>
              <w:left w:val="nil"/>
              <w:bottom w:val="single" w:sz="4" w:space="0" w:color="auto"/>
              <w:right w:val="nil"/>
            </w:tcBorders>
            <w:shd w:val="clear" w:color="auto" w:fill="auto"/>
            <w:noWrap/>
            <w:vAlign w:val="center"/>
            <w:hideMark/>
          </w:tcPr>
          <w:p w14:paraId="7D81177E"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Paka</w:t>
            </w:r>
          </w:p>
        </w:tc>
        <w:tc>
          <w:tcPr>
            <w:tcW w:w="862" w:type="dxa"/>
            <w:vMerge/>
            <w:tcBorders>
              <w:top w:val="nil"/>
              <w:left w:val="single" w:sz="4" w:space="0" w:color="auto"/>
              <w:bottom w:val="single" w:sz="4" w:space="0" w:color="000000"/>
              <w:right w:val="single" w:sz="4" w:space="0" w:color="auto"/>
            </w:tcBorders>
            <w:vAlign w:val="center"/>
            <w:hideMark/>
          </w:tcPr>
          <w:p w14:paraId="5C6F37F5"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31C28AF2"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0F5930B2"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0</w:t>
            </w:r>
          </w:p>
        </w:tc>
      </w:tr>
      <w:tr w:rsidR="003122F4" w:rsidRPr="00545EC0" w14:paraId="4B1F4784"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07AEF464"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SI162VT7</w:t>
            </w:r>
          </w:p>
        </w:tc>
        <w:tc>
          <w:tcPr>
            <w:tcW w:w="3875" w:type="dxa"/>
            <w:tcBorders>
              <w:top w:val="nil"/>
              <w:left w:val="nil"/>
              <w:bottom w:val="single" w:sz="4" w:space="0" w:color="auto"/>
              <w:right w:val="single" w:sz="4" w:space="0" w:color="auto"/>
            </w:tcBorders>
            <w:shd w:val="clear" w:color="auto" w:fill="auto"/>
            <w:noWrap/>
            <w:vAlign w:val="center"/>
            <w:hideMark/>
          </w:tcPr>
          <w:p w14:paraId="5DE2499D"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Paka Velenje - Skorno</w:t>
            </w:r>
          </w:p>
        </w:tc>
        <w:tc>
          <w:tcPr>
            <w:tcW w:w="2409" w:type="dxa"/>
            <w:tcBorders>
              <w:top w:val="nil"/>
              <w:left w:val="nil"/>
              <w:bottom w:val="single" w:sz="4" w:space="0" w:color="auto"/>
              <w:right w:val="nil"/>
            </w:tcBorders>
            <w:shd w:val="clear" w:color="auto" w:fill="auto"/>
            <w:noWrap/>
            <w:vAlign w:val="center"/>
            <w:hideMark/>
          </w:tcPr>
          <w:p w14:paraId="4D2EE918"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Paka, Velunja</w:t>
            </w:r>
          </w:p>
        </w:tc>
        <w:tc>
          <w:tcPr>
            <w:tcW w:w="862" w:type="dxa"/>
            <w:vMerge/>
            <w:tcBorders>
              <w:top w:val="nil"/>
              <w:left w:val="single" w:sz="4" w:space="0" w:color="auto"/>
              <w:bottom w:val="single" w:sz="4" w:space="0" w:color="000000"/>
              <w:right w:val="single" w:sz="4" w:space="0" w:color="auto"/>
            </w:tcBorders>
            <w:vAlign w:val="center"/>
            <w:hideMark/>
          </w:tcPr>
          <w:p w14:paraId="1BB12E7D"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7751330B"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012031B3"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r>
      <w:tr w:rsidR="003122F4" w:rsidRPr="00545EC0" w14:paraId="7318BEF9"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0A07623B"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SI162VT9</w:t>
            </w:r>
          </w:p>
        </w:tc>
        <w:tc>
          <w:tcPr>
            <w:tcW w:w="3875" w:type="dxa"/>
            <w:tcBorders>
              <w:top w:val="nil"/>
              <w:left w:val="nil"/>
              <w:bottom w:val="single" w:sz="4" w:space="0" w:color="auto"/>
              <w:right w:val="single" w:sz="4" w:space="0" w:color="auto"/>
            </w:tcBorders>
            <w:shd w:val="clear" w:color="auto" w:fill="auto"/>
            <w:noWrap/>
            <w:vAlign w:val="center"/>
            <w:hideMark/>
          </w:tcPr>
          <w:p w14:paraId="5850371E"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Paka Skorno - Šmartno</w:t>
            </w:r>
          </w:p>
        </w:tc>
        <w:tc>
          <w:tcPr>
            <w:tcW w:w="2409" w:type="dxa"/>
            <w:tcBorders>
              <w:top w:val="nil"/>
              <w:left w:val="nil"/>
              <w:bottom w:val="single" w:sz="4" w:space="0" w:color="auto"/>
              <w:right w:val="nil"/>
            </w:tcBorders>
            <w:shd w:val="clear" w:color="auto" w:fill="auto"/>
            <w:noWrap/>
            <w:vAlign w:val="center"/>
            <w:hideMark/>
          </w:tcPr>
          <w:p w14:paraId="185F50E5"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Paka</w:t>
            </w:r>
          </w:p>
        </w:tc>
        <w:tc>
          <w:tcPr>
            <w:tcW w:w="862" w:type="dxa"/>
            <w:vMerge/>
            <w:tcBorders>
              <w:top w:val="nil"/>
              <w:left w:val="single" w:sz="4" w:space="0" w:color="auto"/>
              <w:bottom w:val="single" w:sz="4" w:space="0" w:color="000000"/>
              <w:right w:val="single" w:sz="4" w:space="0" w:color="auto"/>
            </w:tcBorders>
            <w:vAlign w:val="center"/>
            <w:hideMark/>
          </w:tcPr>
          <w:p w14:paraId="1BAF1040"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260F1D6D"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2CE89E97"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0</w:t>
            </w:r>
          </w:p>
        </w:tc>
      </w:tr>
      <w:tr w:rsidR="003122F4" w:rsidRPr="00545EC0" w14:paraId="61C3929C"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17635889"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SI164VT3</w:t>
            </w:r>
          </w:p>
        </w:tc>
        <w:tc>
          <w:tcPr>
            <w:tcW w:w="3875" w:type="dxa"/>
            <w:tcBorders>
              <w:top w:val="nil"/>
              <w:left w:val="nil"/>
              <w:bottom w:val="single" w:sz="4" w:space="0" w:color="auto"/>
              <w:right w:val="single" w:sz="4" w:space="0" w:color="auto"/>
            </w:tcBorders>
            <w:shd w:val="clear" w:color="auto" w:fill="auto"/>
            <w:noWrap/>
            <w:vAlign w:val="center"/>
            <w:hideMark/>
          </w:tcPr>
          <w:p w14:paraId="59483FD5"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Bolska Trojane - Kapla</w:t>
            </w:r>
          </w:p>
        </w:tc>
        <w:tc>
          <w:tcPr>
            <w:tcW w:w="2409" w:type="dxa"/>
            <w:tcBorders>
              <w:top w:val="nil"/>
              <w:left w:val="nil"/>
              <w:bottom w:val="single" w:sz="4" w:space="0" w:color="auto"/>
              <w:right w:val="nil"/>
            </w:tcBorders>
            <w:shd w:val="clear" w:color="auto" w:fill="auto"/>
            <w:noWrap/>
            <w:vAlign w:val="center"/>
            <w:hideMark/>
          </w:tcPr>
          <w:p w14:paraId="43C5B3D5"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Merinščica</w:t>
            </w:r>
          </w:p>
        </w:tc>
        <w:tc>
          <w:tcPr>
            <w:tcW w:w="862" w:type="dxa"/>
            <w:vMerge/>
            <w:tcBorders>
              <w:top w:val="nil"/>
              <w:left w:val="single" w:sz="4" w:space="0" w:color="auto"/>
              <w:bottom w:val="single" w:sz="4" w:space="0" w:color="000000"/>
              <w:right w:val="single" w:sz="4" w:space="0" w:color="auto"/>
            </w:tcBorders>
            <w:vAlign w:val="center"/>
            <w:hideMark/>
          </w:tcPr>
          <w:p w14:paraId="1290C9F9"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57A115E5"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0</w:t>
            </w:r>
          </w:p>
        </w:tc>
        <w:tc>
          <w:tcPr>
            <w:tcW w:w="425" w:type="dxa"/>
            <w:tcBorders>
              <w:top w:val="nil"/>
              <w:left w:val="nil"/>
              <w:bottom w:val="single" w:sz="4" w:space="0" w:color="auto"/>
              <w:right w:val="single" w:sz="4" w:space="0" w:color="auto"/>
            </w:tcBorders>
            <w:shd w:val="clear" w:color="auto" w:fill="auto"/>
            <w:noWrap/>
            <w:vAlign w:val="center"/>
            <w:hideMark/>
          </w:tcPr>
          <w:p w14:paraId="59D1D41F"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r>
      <w:tr w:rsidR="003122F4" w:rsidRPr="00545EC0" w14:paraId="0EAE81B8"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26DC5359"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SI164VT7</w:t>
            </w:r>
          </w:p>
        </w:tc>
        <w:tc>
          <w:tcPr>
            <w:tcW w:w="3875" w:type="dxa"/>
            <w:tcBorders>
              <w:top w:val="nil"/>
              <w:left w:val="nil"/>
              <w:bottom w:val="single" w:sz="4" w:space="0" w:color="auto"/>
              <w:right w:val="single" w:sz="4" w:space="0" w:color="auto"/>
            </w:tcBorders>
            <w:shd w:val="clear" w:color="auto" w:fill="auto"/>
            <w:noWrap/>
            <w:vAlign w:val="center"/>
            <w:hideMark/>
          </w:tcPr>
          <w:p w14:paraId="6D764DA7"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Bolska Kapla - Latkova vas</w:t>
            </w:r>
          </w:p>
        </w:tc>
        <w:tc>
          <w:tcPr>
            <w:tcW w:w="2409" w:type="dxa"/>
            <w:tcBorders>
              <w:top w:val="nil"/>
              <w:left w:val="nil"/>
              <w:bottom w:val="single" w:sz="4" w:space="0" w:color="auto"/>
              <w:right w:val="nil"/>
            </w:tcBorders>
            <w:shd w:val="clear" w:color="auto" w:fill="auto"/>
            <w:noWrap/>
            <w:vAlign w:val="center"/>
            <w:hideMark/>
          </w:tcPr>
          <w:p w14:paraId="6E8DF514"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Trebnik, Reka</w:t>
            </w:r>
          </w:p>
        </w:tc>
        <w:tc>
          <w:tcPr>
            <w:tcW w:w="862" w:type="dxa"/>
            <w:vMerge/>
            <w:tcBorders>
              <w:top w:val="nil"/>
              <w:left w:val="single" w:sz="4" w:space="0" w:color="auto"/>
              <w:bottom w:val="single" w:sz="4" w:space="0" w:color="000000"/>
              <w:right w:val="single" w:sz="4" w:space="0" w:color="auto"/>
            </w:tcBorders>
            <w:vAlign w:val="center"/>
            <w:hideMark/>
          </w:tcPr>
          <w:p w14:paraId="56FFF261"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340265A8"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0</w:t>
            </w:r>
          </w:p>
        </w:tc>
        <w:tc>
          <w:tcPr>
            <w:tcW w:w="425" w:type="dxa"/>
            <w:tcBorders>
              <w:top w:val="nil"/>
              <w:left w:val="nil"/>
              <w:bottom w:val="single" w:sz="4" w:space="0" w:color="auto"/>
              <w:right w:val="single" w:sz="4" w:space="0" w:color="auto"/>
            </w:tcBorders>
            <w:shd w:val="clear" w:color="auto" w:fill="auto"/>
            <w:noWrap/>
            <w:vAlign w:val="center"/>
            <w:hideMark/>
          </w:tcPr>
          <w:p w14:paraId="5B029F84"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r>
      <w:tr w:rsidR="003122F4" w:rsidRPr="00545EC0" w14:paraId="63C23D44"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57B31F7F"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SI1688VT1</w:t>
            </w:r>
          </w:p>
        </w:tc>
        <w:tc>
          <w:tcPr>
            <w:tcW w:w="3875" w:type="dxa"/>
            <w:tcBorders>
              <w:top w:val="nil"/>
              <w:left w:val="nil"/>
              <w:bottom w:val="single" w:sz="4" w:space="0" w:color="auto"/>
              <w:right w:val="single" w:sz="4" w:space="0" w:color="auto"/>
            </w:tcBorders>
            <w:shd w:val="clear" w:color="auto" w:fill="auto"/>
            <w:noWrap/>
            <w:vAlign w:val="center"/>
            <w:hideMark/>
          </w:tcPr>
          <w:p w14:paraId="0DCC390F"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Hudinja povirje - Nova Cerkev</w:t>
            </w:r>
          </w:p>
        </w:tc>
        <w:tc>
          <w:tcPr>
            <w:tcW w:w="2409" w:type="dxa"/>
            <w:tcBorders>
              <w:top w:val="nil"/>
              <w:left w:val="nil"/>
              <w:bottom w:val="single" w:sz="4" w:space="0" w:color="auto"/>
              <w:right w:val="nil"/>
            </w:tcBorders>
            <w:shd w:val="clear" w:color="auto" w:fill="auto"/>
            <w:noWrap/>
            <w:vAlign w:val="center"/>
            <w:hideMark/>
          </w:tcPr>
          <w:p w14:paraId="6EB5B9D5"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Hudinja</w:t>
            </w:r>
          </w:p>
        </w:tc>
        <w:tc>
          <w:tcPr>
            <w:tcW w:w="862" w:type="dxa"/>
            <w:vMerge/>
            <w:tcBorders>
              <w:top w:val="nil"/>
              <w:left w:val="single" w:sz="4" w:space="0" w:color="auto"/>
              <w:bottom w:val="single" w:sz="4" w:space="0" w:color="000000"/>
              <w:right w:val="single" w:sz="4" w:space="0" w:color="auto"/>
            </w:tcBorders>
            <w:vAlign w:val="center"/>
            <w:hideMark/>
          </w:tcPr>
          <w:p w14:paraId="4CA701DC"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3DFF3AE6"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03836B91"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0</w:t>
            </w:r>
          </w:p>
        </w:tc>
      </w:tr>
      <w:tr w:rsidR="003122F4" w:rsidRPr="00545EC0" w14:paraId="283456E9"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2DB53E42"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SI1688VT2</w:t>
            </w:r>
          </w:p>
        </w:tc>
        <w:tc>
          <w:tcPr>
            <w:tcW w:w="3875" w:type="dxa"/>
            <w:tcBorders>
              <w:top w:val="nil"/>
              <w:left w:val="nil"/>
              <w:bottom w:val="single" w:sz="4" w:space="0" w:color="auto"/>
              <w:right w:val="single" w:sz="4" w:space="0" w:color="auto"/>
            </w:tcBorders>
            <w:shd w:val="clear" w:color="auto" w:fill="auto"/>
            <w:noWrap/>
            <w:vAlign w:val="center"/>
            <w:hideMark/>
          </w:tcPr>
          <w:p w14:paraId="1D223AAD"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Hudinja Nova Cerkev - sotočje z Voglajno</w:t>
            </w:r>
          </w:p>
        </w:tc>
        <w:tc>
          <w:tcPr>
            <w:tcW w:w="2409" w:type="dxa"/>
            <w:tcBorders>
              <w:top w:val="nil"/>
              <w:left w:val="nil"/>
              <w:bottom w:val="single" w:sz="4" w:space="0" w:color="auto"/>
              <w:right w:val="nil"/>
            </w:tcBorders>
            <w:shd w:val="clear" w:color="auto" w:fill="auto"/>
            <w:noWrap/>
            <w:vAlign w:val="center"/>
            <w:hideMark/>
          </w:tcPr>
          <w:p w14:paraId="4531CA60"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Tesnica</w:t>
            </w:r>
          </w:p>
        </w:tc>
        <w:tc>
          <w:tcPr>
            <w:tcW w:w="862" w:type="dxa"/>
            <w:vMerge/>
            <w:tcBorders>
              <w:top w:val="nil"/>
              <w:left w:val="single" w:sz="4" w:space="0" w:color="auto"/>
              <w:bottom w:val="single" w:sz="4" w:space="0" w:color="000000"/>
              <w:right w:val="single" w:sz="4" w:space="0" w:color="auto"/>
            </w:tcBorders>
            <w:vAlign w:val="center"/>
            <w:hideMark/>
          </w:tcPr>
          <w:p w14:paraId="222DA250"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4BB89DF2"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0</w:t>
            </w:r>
          </w:p>
        </w:tc>
        <w:tc>
          <w:tcPr>
            <w:tcW w:w="425" w:type="dxa"/>
            <w:tcBorders>
              <w:top w:val="nil"/>
              <w:left w:val="nil"/>
              <w:bottom w:val="single" w:sz="4" w:space="0" w:color="auto"/>
              <w:right w:val="single" w:sz="4" w:space="0" w:color="auto"/>
            </w:tcBorders>
            <w:shd w:val="clear" w:color="auto" w:fill="auto"/>
            <w:noWrap/>
            <w:vAlign w:val="center"/>
            <w:hideMark/>
          </w:tcPr>
          <w:p w14:paraId="04902050"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r>
      <w:tr w:rsidR="003122F4" w:rsidRPr="00545EC0" w14:paraId="07DF6328"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7AF6E4CF"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SI168VT9</w:t>
            </w:r>
          </w:p>
        </w:tc>
        <w:tc>
          <w:tcPr>
            <w:tcW w:w="3875" w:type="dxa"/>
            <w:tcBorders>
              <w:top w:val="nil"/>
              <w:left w:val="nil"/>
              <w:bottom w:val="single" w:sz="4" w:space="0" w:color="auto"/>
              <w:right w:val="single" w:sz="4" w:space="0" w:color="auto"/>
            </w:tcBorders>
            <w:shd w:val="clear" w:color="auto" w:fill="auto"/>
            <w:noWrap/>
            <w:vAlign w:val="center"/>
            <w:hideMark/>
          </w:tcPr>
          <w:p w14:paraId="6CB4D3EE"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Voglajna zadrževalnik Slivniško jezero - Celje</w:t>
            </w:r>
          </w:p>
        </w:tc>
        <w:tc>
          <w:tcPr>
            <w:tcW w:w="2409" w:type="dxa"/>
            <w:tcBorders>
              <w:top w:val="nil"/>
              <w:left w:val="nil"/>
              <w:bottom w:val="single" w:sz="4" w:space="0" w:color="auto"/>
              <w:right w:val="nil"/>
            </w:tcBorders>
            <w:shd w:val="clear" w:color="auto" w:fill="auto"/>
            <w:noWrap/>
            <w:vAlign w:val="center"/>
            <w:hideMark/>
          </w:tcPr>
          <w:p w14:paraId="70333F87"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Voglajna, Šentviški potok</w:t>
            </w:r>
          </w:p>
        </w:tc>
        <w:tc>
          <w:tcPr>
            <w:tcW w:w="862" w:type="dxa"/>
            <w:vMerge/>
            <w:tcBorders>
              <w:top w:val="nil"/>
              <w:left w:val="single" w:sz="4" w:space="0" w:color="auto"/>
              <w:bottom w:val="single" w:sz="4" w:space="0" w:color="000000"/>
              <w:right w:val="single" w:sz="4" w:space="0" w:color="auto"/>
            </w:tcBorders>
            <w:vAlign w:val="center"/>
            <w:hideMark/>
          </w:tcPr>
          <w:p w14:paraId="791917CC"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52B2F3C1"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363E1CB0"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r>
      <w:tr w:rsidR="003122F4" w:rsidRPr="00545EC0" w14:paraId="6F074B6B"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1FEBB97E"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SI16VT17</w:t>
            </w:r>
          </w:p>
        </w:tc>
        <w:tc>
          <w:tcPr>
            <w:tcW w:w="3875" w:type="dxa"/>
            <w:tcBorders>
              <w:top w:val="nil"/>
              <w:left w:val="nil"/>
              <w:bottom w:val="single" w:sz="4" w:space="0" w:color="auto"/>
              <w:right w:val="single" w:sz="4" w:space="0" w:color="auto"/>
            </w:tcBorders>
            <w:shd w:val="clear" w:color="auto" w:fill="auto"/>
            <w:noWrap/>
            <w:vAlign w:val="center"/>
            <w:hideMark/>
          </w:tcPr>
          <w:p w14:paraId="3137E6F3"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Savinja povirje - Letuš</w:t>
            </w:r>
          </w:p>
        </w:tc>
        <w:tc>
          <w:tcPr>
            <w:tcW w:w="2409" w:type="dxa"/>
            <w:tcBorders>
              <w:top w:val="nil"/>
              <w:left w:val="nil"/>
              <w:bottom w:val="single" w:sz="4" w:space="0" w:color="auto"/>
              <w:right w:val="nil"/>
            </w:tcBorders>
            <w:shd w:val="clear" w:color="auto" w:fill="auto"/>
            <w:noWrap/>
            <w:vAlign w:val="center"/>
            <w:hideMark/>
          </w:tcPr>
          <w:p w14:paraId="48A3B964"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Savinja</w:t>
            </w:r>
          </w:p>
        </w:tc>
        <w:tc>
          <w:tcPr>
            <w:tcW w:w="862" w:type="dxa"/>
            <w:vMerge/>
            <w:tcBorders>
              <w:top w:val="nil"/>
              <w:left w:val="single" w:sz="4" w:space="0" w:color="auto"/>
              <w:bottom w:val="single" w:sz="4" w:space="0" w:color="000000"/>
              <w:right w:val="single" w:sz="4" w:space="0" w:color="auto"/>
            </w:tcBorders>
            <w:vAlign w:val="center"/>
            <w:hideMark/>
          </w:tcPr>
          <w:p w14:paraId="4C0C053F"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04322C83"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13E26347"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0</w:t>
            </w:r>
          </w:p>
        </w:tc>
      </w:tr>
      <w:tr w:rsidR="003122F4" w:rsidRPr="00545EC0" w14:paraId="3023A2E1"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05E543A8"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SI16VT70</w:t>
            </w:r>
          </w:p>
        </w:tc>
        <w:tc>
          <w:tcPr>
            <w:tcW w:w="3875" w:type="dxa"/>
            <w:tcBorders>
              <w:top w:val="nil"/>
              <w:left w:val="nil"/>
              <w:bottom w:val="single" w:sz="4" w:space="0" w:color="auto"/>
              <w:right w:val="single" w:sz="4" w:space="0" w:color="auto"/>
            </w:tcBorders>
            <w:shd w:val="clear" w:color="auto" w:fill="auto"/>
            <w:noWrap/>
            <w:vAlign w:val="center"/>
            <w:hideMark/>
          </w:tcPr>
          <w:p w14:paraId="47613A34"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Savinja Letuš - Celje</w:t>
            </w:r>
          </w:p>
        </w:tc>
        <w:tc>
          <w:tcPr>
            <w:tcW w:w="2409" w:type="dxa"/>
            <w:tcBorders>
              <w:top w:val="nil"/>
              <w:left w:val="nil"/>
              <w:bottom w:val="single" w:sz="4" w:space="0" w:color="auto"/>
              <w:right w:val="nil"/>
            </w:tcBorders>
            <w:shd w:val="clear" w:color="auto" w:fill="auto"/>
            <w:noWrap/>
            <w:vAlign w:val="center"/>
            <w:hideMark/>
          </w:tcPr>
          <w:p w14:paraId="7802C33D"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Savinja, Artišnica, Ložnica</w:t>
            </w:r>
          </w:p>
        </w:tc>
        <w:tc>
          <w:tcPr>
            <w:tcW w:w="862" w:type="dxa"/>
            <w:vMerge/>
            <w:tcBorders>
              <w:top w:val="nil"/>
              <w:left w:val="single" w:sz="4" w:space="0" w:color="auto"/>
              <w:bottom w:val="single" w:sz="4" w:space="0" w:color="000000"/>
              <w:right w:val="single" w:sz="4" w:space="0" w:color="auto"/>
            </w:tcBorders>
            <w:vAlign w:val="center"/>
            <w:hideMark/>
          </w:tcPr>
          <w:p w14:paraId="1D090003"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7D522883"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53E916FC"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r>
      <w:tr w:rsidR="003122F4" w:rsidRPr="00545EC0" w14:paraId="286F05D7"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622C69B4"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SI16VT97</w:t>
            </w:r>
          </w:p>
        </w:tc>
        <w:tc>
          <w:tcPr>
            <w:tcW w:w="3875" w:type="dxa"/>
            <w:tcBorders>
              <w:top w:val="nil"/>
              <w:left w:val="nil"/>
              <w:bottom w:val="single" w:sz="4" w:space="0" w:color="auto"/>
              <w:right w:val="single" w:sz="4" w:space="0" w:color="auto"/>
            </w:tcBorders>
            <w:shd w:val="clear" w:color="auto" w:fill="auto"/>
            <w:noWrap/>
            <w:vAlign w:val="center"/>
            <w:hideMark/>
          </w:tcPr>
          <w:p w14:paraId="5CE001AB"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Savinja Celje - Zidani Most</w:t>
            </w:r>
          </w:p>
        </w:tc>
        <w:tc>
          <w:tcPr>
            <w:tcW w:w="2409" w:type="dxa"/>
            <w:tcBorders>
              <w:top w:val="nil"/>
              <w:left w:val="nil"/>
              <w:bottom w:val="single" w:sz="4" w:space="0" w:color="auto"/>
              <w:right w:val="nil"/>
            </w:tcBorders>
            <w:shd w:val="clear" w:color="auto" w:fill="auto"/>
            <w:noWrap/>
            <w:vAlign w:val="center"/>
            <w:hideMark/>
          </w:tcPr>
          <w:p w14:paraId="18ACF0D0"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Savinja, Lahomnica, Ična</w:t>
            </w:r>
          </w:p>
        </w:tc>
        <w:tc>
          <w:tcPr>
            <w:tcW w:w="862" w:type="dxa"/>
            <w:vMerge/>
            <w:tcBorders>
              <w:top w:val="nil"/>
              <w:left w:val="single" w:sz="4" w:space="0" w:color="auto"/>
              <w:bottom w:val="single" w:sz="4" w:space="0" w:color="000000"/>
              <w:right w:val="single" w:sz="4" w:space="0" w:color="auto"/>
            </w:tcBorders>
            <w:vAlign w:val="center"/>
            <w:hideMark/>
          </w:tcPr>
          <w:p w14:paraId="3D9F206C"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1CABA64E"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0017B45D"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r>
      <w:tr w:rsidR="003122F4" w:rsidRPr="00545EC0" w14:paraId="31532E56"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463FC978"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SI322VT3</w:t>
            </w:r>
          </w:p>
        </w:tc>
        <w:tc>
          <w:tcPr>
            <w:tcW w:w="3875" w:type="dxa"/>
            <w:tcBorders>
              <w:top w:val="nil"/>
              <w:left w:val="nil"/>
              <w:bottom w:val="single" w:sz="4" w:space="0" w:color="auto"/>
              <w:right w:val="single" w:sz="4" w:space="0" w:color="auto"/>
            </w:tcBorders>
            <w:shd w:val="clear" w:color="auto" w:fill="auto"/>
            <w:noWrap/>
            <w:vAlign w:val="center"/>
            <w:hideMark/>
          </w:tcPr>
          <w:p w14:paraId="1820E932"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Mislinja povirje - Slovenj Gradec</w:t>
            </w:r>
          </w:p>
        </w:tc>
        <w:tc>
          <w:tcPr>
            <w:tcW w:w="2409" w:type="dxa"/>
            <w:tcBorders>
              <w:top w:val="nil"/>
              <w:left w:val="nil"/>
              <w:bottom w:val="single" w:sz="4" w:space="0" w:color="auto"/>
              <w:right w:val="nil"/>
            </w:tcBorders>
            <w:shd w:val="clear" w:color="auto" w:fill="auto"/>
            <w:noWrap/>
            <w:vAlign w:val="center"/>
            <w:hideMark/>
          </w:tcPr>
          <w:p w14:paraId="419EEC85"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Mislinja</w:t>
            </w:r>
          </w:p>
        </w:tc>
        <w:tc>
          <w:tcPr>
            <w:tcW w:w="8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8E47D7E"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Drava</w:t>
            </w:r>
          </w:p>
        </w:tc>
        <w:tc>
          <w:tcPr>
            <w:tcW w:w="414" w:type="dxa"/>
            <w:tcBorders>
              <w:top w:val="nil"/>
              <w:left w:val="nil"/>
              <w:bottom w:val="single" w:sz="4" w:space="0" w:color="auto"/>
              <w:right w:val="single" w:sz="4" w:space="0" w:color="auto"/>
            </w:tcBorders>
            <w:shd w:val="clear" w:color="auto" w:fill="auto"/>
            <w:noWrap/>
            <w:vAlign w:val="center"/>
            <w:hideMark/>
          </w:tcPr>
          <w:p w14:paraId="40AEEFB7"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122F0804"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0</w:t>
            </w:r>
          </w:p>
        </w:tc>
      </w:tr>
      <w:tr w:rsidR="003122F4" w:rsidRPr="00545EC0" w14:paraId="48FECF75"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5F256B83"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SI322VT7</w:t>
            </w:r>
          </w:p>
        </w:tc>
        <w:tc>
          <w:tcPr>
            <w:tcW w:w="3875" w:type="dxa"/>
            <w:tcBorders>
              <w:top w:val="nil"/>
              <w:left w:val="nil"/>
              <w:bottom w:val="single" w:sz="4" w:space="0" w:color="auto"/>
              <w:right w:val="single" w:sz="4" w:space="0" w:color="auto"/>
            </w:tcBorders>
            <w:shd w:val="clear" w:color="auto" w:fill="auto"/>
            <w:noWrap/>
            <w:vAlign w:val="center"/>
            <w:hideMark/>
          </w:tcPr>
          <w:p w14:paraId="399A6B5D"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Mislinja Slovenj Gradec - Otiški vrh</w:t>
            </w:r>
          </w:p>
        </w:tc>
        <w:tc>
          <w:tcPr>
            <w:tcW w:w="2409" w:type="dxa"/>
            <w:tcBorders>
              <w:top w:val="nil"/>
              <w:left w:val="nil"/>
              <w:bottom w:val="single" w:sz="4" w:space="0" w:color="auto"/>
              <w:right w:val="nil"/>
            </w:tcBorders>
            <w:shd w:val="clear" w:color="auto" w:fill="auto"/>
            <w:noWrap/>
            <w:vAlign w:val="center"/>
            <w:hideMark/>
          </w:tcPr>
          <w:p w14:paraId="7415A267"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Mislinja, Suhodolnica</w:t>
            </w:r>
          </w:p>
        </w:tc>
        <w:tc>
          <w:tcPr>
            <w:tcW w:w="862" w:type="dxa"/>
            <w:vMerge/>
            <w:tcBorders>
              <w:top w:val="nil"/>
              <w:left w:val="single" w:sz="4" w:space="0" w:color="auto"/>
              <w:bottom w:val="single" w:sz="4" w:space="0" w:color="000000"/>
              <w:right w:val="single" w:sz="4" w:space="0" w:color="auto"/>
            </w:tcBorders>
            <w:vAlign w:val="center"/>
            <w:hideMark/>
          </w:tcPr>
          <w:p w14:paraId="7D043E87"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26DFBDA7"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707B65D7"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r>
      <w:tr w:rsidR="003122F4" w:rsidRPr="00545EC0" w14:paraId="2738A76B"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726999FC"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SI32VT11</w:t>
            </w:r>
          </w:p>
        </w:tc>
        <w:tc>
          <w:tcPr>
            <w:tcW w:w="3875" w:type="dxa"/>
            <w:tcBorders>
              <w:top w:val="nil"/>
              <w:left w:val="nil"/>
              <w:bottom w:val="single" w:sz="4" w:space="0" w:color="auto"/>
              <w:right w:val="single" w:sz="4" w:space="0" w:color="auto"/>
            </w:tcBorders>
            <w:shd w:val="clear" w:color="auto" w:fill="auto"/>
            <w:noWrap/>
            <w:vAlign w:val="center"/>
            <w:hideMark/>
          </w:tcPr>
          <w:p w14:paraId="58455A9F"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Meža povirje - Črna na Koroškem</w:t>
            </w:r>
          </w:p>
        </w:tc>
        <w:tc>
          <w:tcPr>
            <w:tcW w:w="2409" w:type="dxa"/>
            <w:tcBorders>
              <w:top w:val="nil"/>
              <w:left w:val="nil"/>
              <w:bottom w:val="single" w:sz="4" w:space="0" w:color="auto"/>
              <w:right w:val="nil"/>
            </w:tcBorders>
            <w:shd w:val="clear" w:color="auto" w:fill="auto"/>
            <w:noWrap/>
            <w:vAlign w:val="center"/>
            <w:hideMark/>
          </w:tcPr>
          <w:p w14:paraId="77B26C30"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Meža</w:t>
            </w:r>
          </w:p>
        </w:tc>
        <w:tc>
          <w:tcPr>
            <w:tcW w:w="862" w:type="dxa"/>
            <w:vMerge/>
            <w:tcBorders>
              <w:top w:val="nil"/>
              <w:left w:val="single" w:sz="4" w:space="0" w:color="auto"/>
              <w:bottom w:val="single" w:sz="4" w:space="0" w:color="000000"/>
              <w:right w:val="single" w:sz="4" w:space="0" w:color="auto"/>
            </w:tcBorders>
            <w:vAlign w:val="center"/>
            <w:hideMark/>
          </w:tcPr>
          <w:p w14:paraId="12ED52E5"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3591CC6C"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355C0BAC"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0</w:t>
            </w:r>
          </w:p>
        </w:tc>
      </w:tr>
      <w:tr w:rsidR="003122F4" w:rsidRPr="00545EC0" w14:paraId="182339CE"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437B76DB"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SI32VT30</w:t>
            </w:r>
          </w:p>
        </w:tc>
        <w:tc>
          <w:tcPr>
            <w:tcW w:w="3875" w:type="dxa"/>
            <w:tcBorders>
              <w:top w:val="nil"/>
              <w:left w:val="nil"/>
              <w:bottom w:val="single" w:sz="4" w:space="0" w:color="auto"/>
              <w:right w:val="single" w:sz="4" w:space="0" w:color="auto"/>
            </w:tcBorders>
            <w:shd w:val="clear" w:color="auto" w:fill="auto"/>
            <w:noWrap/>
            <w:vAlign w:val="center"/>
            <w:hideMark/>
          </w:tcPr>
          <w:p w14:paraId="728B983B"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Meža Črna na Koroškem - Dravograd</w:t>
            </w:r>
          </w:p>
        </w:tc>
        <w:tc>
          <w:tcPr>
            <w:tcW w:w="2409" w:type="dxa"/>
            <w:tcBorders>
              <w:top w:val="nil"/>
              <w:left w:val="nil"/>
              <w:bottom w:val="single" w:sz="4" w:space="0" w:color="auto"/>
              <w:right w:val="nil"/>
            </w:tcBorders>
            <w:shd w:val="clear" w:color="auto" w:fill="auto"/>
            <w:noWrap/>
            <w:vAlign w:val="center"/>
            <w:hideMark/>
          </w:tcPr>
          <w:p w14:paraId="705C061E"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Meža, Javorski potok, Zelenbreški jarek, Hotuljka</w:t>
            </w:r>
          </w:p>
        </w:tc>
        <w:tc>
          <w:tcPr>
            <w:tcW w:w="862" w:type="dxa"/>
            <w:vMerge/>
            <w:tcBorders>
              <w:top w:val="nil"/>
              <w:left w:val="single" w:sz="4" w:space="0" w:color="auto"/>
              <w:bottom w:val="single" w:sz="4" w:space="0" w:color="000000"/>
              <w:right w:val="single" w:sz="4" w:space="0" w:color="auto"/>
            </w:tcBorders>
            <w:vAlign w:val="center"/>
            <w:hideMark/>
          </w:tcPr>
          <w:p w14:paraId="1563A250"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2A56A2D1"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58B0F7E7"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r>
      <w:tr w:rsidR="003122F4" w:rsidRPr="00545EC0" w14:paraId="22851DFC"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1A6D41FF"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SI35172VT</w:t>
            </w:r>
          </w:p>
        </w:tc>
        <w:tc>
          <w:tcPr>
            <w:tcW w:w="3875" w:type="dxa"/>
            <w:tcBorders>
              <w:top w:val="nil"/>
              <w:left w:val="nil"/>
              <w:bottom w:val="single" w:sz="4" w:space="0" w:color="auto"/>
              <w:right w:val="single" w:sz="4" w:space="0" w:color="auto"/>
            </w:tcBorders>
            <w:shd w:val="clear" w:color="auto" w:fill="auto"/>
            <w:noWrap/>
            <w:vAlign w:val="center"/>
            <w:hideMark/>
          </w:tcPr>
          <w:p w14:paraId="6C8982EA"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UVT Kanal HE Zlatoličje</w:t>
            </w:r>
          </w:p>
        </w:tc>
        <w:tc>
          <w:tcPr>
            <w:tcW w:w="2409" w:type="dxa"/>
            <w:tcBorders>
              <w:top w:val="nil"/>
              <w:left w:val="nil"/>
              <w:bottom w:val="single" w:sz="4" w:space="0" w:color="auto"/>
              <w:right w:val="nil"/>
            </w:tcBorders>
            <w:shd w:val="clear" w:color="auto" w:fill="auto"/>
            <w:noWrap/>
            <w:vAlign w:val="center"/>
            <w:hideMark/>
          </w:tcPr>
          <w:p w14:paraId="72703C72"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Kanal HE Zlatoličje, Hočki potok, Radvanjski potok</w:t>
            </w:r>
          </w:p>
        </w:tc>
        <w:tc>
          <w:tcPr>
            <w:tcW w:w="862" w:type="dxa"/>
            <w:vMerge/>
            <w:tcBorders>
              <w:top w:val="nil"/>
              <w:left w:val="single" w:sz="4" w:space="0" w:color="auto"/>
              <w:bottom w:val="single" w:sz="4" w:space="0" w:color="000000"/>
              <w:right w:val="single" w:sz="4" w:space="0" w:color="auto"/>
            </w:tcBorders>
            <w:vAlign w:val="center"/>
            <w:hideMark/>
          </w:tcPr>
          <w:p w14:paraId="56CBE1C4"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66A0FBE2"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48EC0B95"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r>
      <w:tr w:rsidR="003122F4" w:rsidRPr="00545EC0" w14:paraId="76B6CB58"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67DC11A1"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SI364VT7</w:t>
            </w:r>
          </w:p>
        </w:tc>
        <w:tc>
          <w:tcPr>
            <w:tcW w:w="3875" w:type="dxa"/>
            <w:tcBorders>
              <w:top w:val="nil"/>
              <w:left w:val="nil"/>
              <w:bottom w:val="single" w:sz="4" w:space="0" w:color="auto"/>
              <w:right w:val="single" w:sz="4" w:space="0" w:color="auto"/>
            </w:tcBorders>
            <w:shd w:val="clear" w:color="auto" w:fill="auto"/>
            <w:noWrap/>
            <w:vAlign w:val="center"/>
            <w:hideMark/>
          </w:tcPr>
          <w:p w14:paraId="009D3977"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Ložnica Slovenska Bistrica - Pečke</w:t>
            </w:r>
          </w:p>
        </w:tc>
        <w:tc>
          <w:tcPr>
            <w:tcW w:w="2409" w:type="dxa"/>
            <w:tcBorders>
              <w:top w:val="nil"/>
              <w:left w:val="nil"/>
              <w:bottom w:val="single" w:sz="4" w:space="0" w:color="auto"/>
              <w:right w:val="nil"/>
            </w:tcBorders>
            <w:shd w:val="clear" w:color="auto" w:fill="auto"/>
            <w:noWrap/>
            <w:vAlign w:val="center"/>
            <w:hideMark/>
          </w:tcPr>
          <w:p w14:paraId="2AB233E4"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Ložnica, Bistrica</w:t>
            </w:r>
          </w:p>
        </w:tc>
        <w:tc>
          <w:tcPr>
            <w:tcW w:w="862" w:type="dxa"/>
            <w:vMerge/>
            <w:tcBorders>
              <w:top w:val="nil"/>
              <w:left w:val="single" w:sz="4" w:space="0" w:color="auto"/>
              <w:bottom w:val="single" w:sz="4" w:space="0" w:color="000000"/>
              <w:right w:val="single" w:sz="4" w:space="0" w:color="auto"/>
            </w:tcBorders>
            <w:vAlign w:val="center"/>
            <w:hideMark/>
          </w:tcPr>
          <w:p w14:paraId="117D8B5F"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18587CD1"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15B909B9"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r>
      <w:tr w:rsidR="003122F4" w:rsidRPr="00545EC0" w14:paraId="5E877A78"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5DA3DBF3"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SI368VT9</w:t>
            </w:r>
          </w:p>
        </w:tc>
        <w:tc>
          <w:tcPr>
            <w:tcW w:w="3875" w:type="dxa"/>
            <w:tcBorders>
              <w:top w:val="nil"/>
              <w:left w:val="nil"/>
              <w:bottom w:val="single" w:sz="4" w:space="0" w:color="auto"/>
              <w:right w:val="single" w:sz="4" w:space="0" w:color="auto"/>
            </w:tcBorders>
            <w:shd w:val="clear" w:color="auto" w:fill="auto"/>
            <w:noWrap/>
            <w:vAlign w:val="center"/>
            <w:hideMark/>
          </w:tcPr>
          <w:p w14:paraId="7239EDCA"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Polskava Zgornja Polskava - Tržec</w:t>
            </w:r>
          </w:p>
        </w:tc>
        <w:tc>
          <w:tcPr>
            <w:tcW w:w="2409" w:type="dxa"/>
            <w:tcBorders>
              <w:top w:val="nil"/>
              <w:left w:val="nil"/>
              <w:bottom w:val="single" w:sz="4" w:space="0" w:color="auto"/>
              <w:right w:val="nil"/>
            </w:tcBorders>
            <w:shd w:val="clear" w:color="auto" w:fill="auto"/>
            <w:noWrap/>
            <w:vAlign w:val="center"/>
            <w:hideMark/>
          </w:tcPr>
          <w:p w14:paraId="33644988"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Polskava, Devinski potok, Framski potok, Rakitovec</w:t>
            </w:r>
          </w:p>
        </w:tc>
        <w:tc>
          <w:tcPr>
            <w:tcW w:w="862" w:type="dxa"/>
            <w:vMerge/>
            <w:tcBorders>
              <w:top w:val="nil"/>
              <w:left w:val="single" w:sz="4" w:space="0" w:color="auto"/>
              <w:bottom w:val="single" w:sz="4" w:space="0" w:color="000000"/>
              <w:right w:val="single" w:sz="4" w:space="0" w:color="auto"/>
            </w:tcBorders>
            <w:vAlign w:val="center"/>
            <w:hideMark/>
          </w:tcPr>
          <w:p w14:paraId="2965B682"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3E17535F"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1FE63B8E"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r>
      <w:tr w:rsidR="003122F4" w:rsidRPr="00545EC0" w14:paraId="332FBEE1"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0E723D2A"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SI36VT15</w:t>
            </w:r>
          </w:p>
        </w:tc>
        <w:tc>
          <w:tcPr>
            <w:tcW w:w="3875" w:type="dxa"/>
            <w:tcBorders>
              <w:top w:val="nil"/>
              <w:left w:val="nil"/>
              <w:bottom w:val="single" w:sz="4" w:space="0" w:color="auto"/>
              <w:right w:val="single" w:sz="4" w:space="0" w:color="auto"/>
            </w:tcBorders>
            <w:shd w:val="clear" w:color="auto" w:fill="auto"/>
            <w:noWrap/>
            <w:vAlign w:val="center"/>
            <w:hideMark/>
          </w:tcPr>
          <w:p w14:paraId="4FA1397E"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Dravinja povirje - Zreče</w:t>
            </w:r>
          </w:p>
        </w:tc>
        <w:tc>
          <w:tcPr>
            <w:tcW w:w="2409" w:type="dxa"/>
            <w:tcBorders>
              <w:top w:val="nil"/>
              <w:left w:val="nil"/>
              <w:bottom w:val="single" w:sz="4" w:space="0" w:color="auto"/>
              <w:right w:val="nil"/>
            </w:tcBorders>
            <w:shd w:val="clear" w:color="auto" w:fill="auto"/>
            <w:noWrap/>
            <w:vAlign w:val="center"/>
            <w:hideMark/>
          </w:tcPr>
          <w:p w14:paraId="77276A51"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Dravinja</w:t>
            </w:r>
          </w:p>
        </w:tc>
        <w:tc>
          <w:tcPr>
            <w:tcW w:w="862" w:type="dxa"/>
            <w:vMerge/>
            <w:tcBorders>
              <w:top w:val="nil"/>
              <w:left w:val="single" w:sz="4" w:space="0" w:color="auto"/>
              <w:bottom w:val="single" w:sz="4" w:space="0" w:color="000000"/>
              <w:right w:val="single" w:sz="4" w:space="0" w:color="auto"/>
            </w:tcBorders>
            <w:vAlign w:val="center"/>
            <w:hideMark/>
          </w:tcPr>
          <w:p w14:paraId="3E269392"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68F82253"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1249C5A3"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0</w:t>
            </w:r>
          </w:p>
        </w:tc>
      </w:tr>
      <w:tr w:rsidR="003122F4" w:rsidRPr="00545EC0" w14:paraId="10F64265"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49BA8E36"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SI36VT90</w:t>
            </w:r>
          </w:p>
        </w:tc>
        <w:tc>
          <w:tcPr>
            <w:tcW w:w="3875" w:type="dxa"/>
            <w:tcBorders>
              <w:top w:val="nil"/>
              <w:left w:val="nil"/>
              <w:bottom w:val="single" w:sz="4" w:space="0" w:color="auto"/>
              <w:right w:val="single" w:sz="4" w:space="0" w:color="auto"/>
            </w:tcBorders>
            <w:shd w:val="clear" w:color="auto" w:fill="auto"/>
            <w:noWrap/>
            <w:vAlign w:val="center"/>
            <w:hideMark/>
          </w:tcPr>
          <w:p w14:paraId="14EE8A9B"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Dravinja Zreče - Videm</w:t>
            </w:r>
          </w:p>
        </w:tc>
        <w:tc>
          <w:tcPr>
            <w:tcW w:w="2409" w:type="dxa"/>
            <w:tcBorders>
              <w:top w:val="nil"/>
              <w:left w:val="nil"/>
              <w:bottom w:val="single" w:sz="4" w:space="0" w:color="auto"/>
              <w:right w:val="nil"/>
            </w:tcBorders>
            <w:shd w:val="clear" w:color="auto" w:fill="auto"/>
            <w:noWrap/>
            <w:vAlign w:val="center"/>
            <w:hideMark/>
          </w:tcPr>
          <w:p w14:paraId="1E481FBF"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Dravinja, Brežnica, Maceljčica, Dežnica</w:t>
            </w:r>
          </w:p>
        </w:tc>
        <w:tc>
          <w:tcPr>
            <w:tcW w:w="862" w:type="dxa"/>
            <w:vMerge/>
            <w:tcBorders>
              <w:top w:val="nil"/>
              <w:left w:val="single" w:sz="4" w:space="0" w:color="auto"/>
              <w:bottom w:val="single" w:sz="4" w:space="0" w:color="000000"/>
              <w:right w:val="single" w:sz="4" w:space="0" w:color="auto"/>
            </w:tcBorders>
            <w:vAlign w:val="center"/>
            <w:hideMark/>
          </w:tcPr>
          <w:p w14:paraId="4FF6A825"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449D7167"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67144DB7"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r>
      <w:tr w:rsidR="003122F4" w:rsidRPr="00545EC0" w14:paraId="0F7CAF30"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525DD928"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SI378VT</w:t>
            </w:r>
          </w:p>
        </w:tc>
        <w:tc>
          <w:tcPr>
            <w:tcW w:w="3875" w:type="dxa"/>
            <w:tcBorders>
              <w:top w:val="nil"/>
              <w:left w:val="nil"/>
              <w:bottom w:val="single" w:sz="4" w:space="0" w:color="auto"/>
              <w:right w:val="single" w:sz="4" w:space="0" w:color="auto"/>
            </w:tcBorders>
            <w:shd w:val="clear" w:color="auto" w:fill="auto"/>
            <w:noWrap/>
            <w:vAlign w:val="center"/>
            <w:hideMark/>
          </w:tcPr>
          <w:p w14:paraId="7560C3C5"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UVT Kanal HE Formin</w:t>
            </w:r>
          </w:p>
        </w:tc>
        <w:tc>
          <w:tcPr>
            <w:tcW w:w="2409" w:type="dxa"/>
            <w:tcBorders>
              <w:top w:val="nil"/>
              <w:left w:val="nil"/>
              <w:bottom w:val="single" w:sz="4" w:space="0" w:color="auto"/>
              <w:right w:val="nil"/>
            </w:tcBorders>
            <w:shd w:val="clear" w:color="auto" w:fill="auto"/>
            <w:noWrap/>
            <w:vAlign w:val="center"/>
            <w:hideMark/>
          </w:tcPr>
          <w:p w14:paraId="1C436085"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Kanal HE Formin</w:t>
            </w:r>
          </w:p>
        </w:tc>
        <w:tc>
          <w:tcPr>
            <w:tcW w:w="862" w:type="dxa"/>
            <w:vMerge/>
            <w:tcBorders>
              <w:top w:val="nil"/>
              <w:left w:val="single" w:sz="4" w:space="0" w:color="auto"/>
              <w:bottom w:val="single" w:sz="4" w:space="0" w:color="000000"/>
              <w:right w:val="single" w:sz="4" w:space="0" w:color="auto"/>
            </w:tcBorders>
            <w:vAlign w:val="center"/>
            <w:hideMark/>
          </w:tcPr>
          <w:p w14:paraId="5FDA7CD8"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5BF462F4"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4985077A"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0</w:t>
            </w:r>
          </w:p>
        </w:tc>
      </w:tr>
      <w:tr w:rsidR="003122F4" w:rsidRPr="00545EC0" w14:paraId="28C145B2"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3D596C13"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SI38VT33</w:t>
            </w:r>
          </w:p>
        </w:tc>
        <w:tc>
          <w:tcPr>
            <w:tcW w:w="3875" w:type="dxa"/>
            <w:tcBorders>
              <w:top w:val="nil"/>
              <w:left w:val="nil"/>
              <w:bottom w:val="single" w:sz="4" w:space="0" w:color="auto"/>
              <w:right w:val="single" w:sz="4" w:space="0" w:color="auto"/>
            </w:tcBorders>
            <w:shd w:val="clear" w:color="auto" w:fill="auto"/>
            <w:noWrap/>
            <w:vAlign w:val="center"/>
            <w:hideMark/>
          </w:tcPr>
          <w:p w14:paraId="2A93F21D"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Pesnica državna meja - zadrževalnik Perniško jezero</w:t>
            </w:r>
          </w:p>
        </w:tc>
        <w:tc>
          <w:tcPr>
            <w:tcW w:w="2409" w:type="dxa"/>
            <w:tcBorders>
              <w:top w:val="nil"/>
              <w:left w:val="nil"/>
              <w:bottom w:val="single" w:sz="4" w:space="0" w:color="auto"/>
              <w:right w:val="nil"/>
            </w:tcBorders>
            <w:shd w:val="clear" w:color="auto" w:fill="auto"/>
            <w:noWrap/>
            <w:vAlign w:val="center"/>
            <w:hideMark/>
          </w:tcPr>
          <w:p w14:paraId="08BC1AE1"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Pesnica</w:t>
            </w:r>
          </w:p>
        </w:tc>
        <w:tc>
          <w:tcPr>
            <w:tcW w:w="862" w:type="dxa"/>
            <w:vMerge/>
            <w:tcBorders>
              <w:top w:val="nil"/>
              <w:left w:val="single" w:sz="4" w:space="0" w:color="auto"/>
              <w:bottom w:val="single" w:sz="4" w:space="0" w:color="000000"/>
              <w:right w:val="single" w:sz="4" w:space="0" w:color="auto"/>
            </w:tcBorders>
            <w:vAlign w:val="center"/>
            <w:hideMark/>
          </w:tcPr>
          <w:p w14:paraId="335FE322"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00996E71"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192E856C"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0</w:t>
            </w:r>
          </w:p>
        </w:tc>
      </w:tr>
      <w:tr w:rsidR="003122F4" w:rsidRPr="00545EC0" w14:paraId="2D515C74"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199B8B41"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SI38VT34</w:t>
            </w:r>
          </w:p>
        </w:tc>
        <w:tc>
          <w:tcPr>
            <w:tcW w:w="3875" w:type="dxa"/>
            <w:tcBorders>
              <w:top w:val="nil"/>
              <w:left w:val="nil"/>
              <w:bottom w:val="single" w:sz="4" w:space="0" w:color="auto"/>
              <w:right w:val="single" w:sz="4" w:space="0" w:color="auto"/>
            </w:tcBorders>
            <w:shd w:val="clear" w:color="auto" w:fill="auto"/>
            <w:noWrap/>
            <w:vAlign w:val="center"/>
            <w:hideMark/>
          </w:tcPr>
          <w:p w14:paraId="7F3A06AD"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MPVT zadrževalnik Perniško jezero</w:t>
            </w:r>
          </w:p>
        </w:tc>
        <w:tc>
          <w:tcPr>
            <w:tcW w:w="2409" w:type="dxa"/>
            <w:tcBorders>
              <w:top w:val="nil"/>
              <w:left w:val="nil"/>
              <w:bottom w:val="single" w:sz="4" w:space="0" w:color="auto"/>
              <w:right w:val="nil"/>
            </w:tcBorders>
            <w:shd w:val="clear" w:color="auto" w:fill="auto"/>
            <w:noWrap/>
            <w:vAlign w:val="center"/>
            <w:hideMark/>
          </w:tcPr>
          <w:p w14:paraId="701F1D08"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Perniško jezero</w:t>
            </w:r>
          </w:p>
        </w:tc>
        <w:tc>
          <w:tcPr>
            <w:tcW w:w="862" w:type="dxa"/>
            <w:vMerge/>
            <w:tcBorders>
              <w:top w:val="nil"/>
              <w:left w:val="single" w:sz="4" w:space="0" w:color="auto"/>
              <w:bottom w:val="single" w:sz="4" w:space="0" w:color="000000"/>
              <w:right w:val="single" w:sz="4" w:space="0" w:color="auto"/>
            </w:tcBorders>
            <w:vAlign w:val="center"/>
            <w:hideMark/>
          </w:tcPr>
          <w:p w14:paraId="74A9C000"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2F37C932"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0A2E4D1F"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0</w:t>
            </w:r>
          </w:p>
        </w:tc>
      </w:tr>
      <w:tr w:rsidR="003122F4" w:rsidRPr="00545EC0" w14:paraId="3B16CCEA"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25549ED7"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SI38VT90</w:t>
            </w:r>
          </w:p>
        </w:tc>
        <w:tc>
          <w:tcPr>
            <w:tcW w:w="3875" w:type="dxa"/>
            <w:tcBorders>
              <w:top w:val="nil"/>
              <w:left w:val="nil"/>
              <w:bottom w:val="single" w:sz="4" w:space="0" w:color="auto"/>
              <w:right w:val="single" w:sz="4" w:space="0" w:color="auto"/>
            </w:tcBorders>
            <w:shd w:val="clear" w:color="auto" w:fill="auto"/>
            <w:noWrap/>
            <w:vAlign w:val="center"/>
            <w:hideMark/>
          </w:tcPr>
          <w:p w14:paraId="3A5E69A2"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 xml:space="preserve">VT Pesnica zadrževalnik Perniško jezero - </w:t>
            </w:r>
            <w:r w:rsidRPr="00545EC0">
              <w:rPr>
                <w:rFonts w:cs="Arial"/>
                <w:sz w:val="18"/>
                <w:szCs w:val="18"/>
              </w:rPr>
              <w:lastRenderedPageBreak/>
              <w:t>Ormož</w:t>
            </w:r>
          </w:p>
        </w:tc>
        <w:tc>
          <w:tcPr>
            <w:tcW w:w="2409" w:type="dxa"/>
            <w:tcBorders>
              <w:top w:val="nil"/>
              <w:left w:val="nil"/>
              <w:bottom w:val="single" w:sz="4" w:space="0" w:color="auto"/>
              <w:right w:val="nil"/>
            </w:tcBorders>
            <w:shd w:val="clear" w:color="auto" w:fill="auto"/>
            <w:noWrap/>
            <w:vAlign w:val="center"/>
            <w:hideMark/>
          </w:tcPr>
          <w:p w14:paraId="53074949"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lastRenderedPageBreak/>
              <w:t xml:space="preserve">Pesnica, Drvanja, Velka, </w:t>
            </w:r>
            <w:r w:rsidRPr="00545EC0">
              <w:rPr>
                <w:rFonts w:cs="Arial"/>
                <w:sz w:val="18"/>
                <w:szCs w:val="18"/>
              </w:rPr>
              <w:lastRenderedPageBreak/>
              <w:t>Krka, Spodnja Brnca</w:t>
            </w:r>
          </w:p>
        </w:tc>
        <w:tc>
          <w:tcPr>
            <w:tcW w:w="862" w:type="dxa"/>
            <w:vMerge/>
            <w:tcBorders>
              <w:top w:val="nil"/>
              <w:left w:val="single" w:sz="4" w:space="0" w:color="auto"/>
              <w:bottom w:val="single" w:sz="4" w:space="0" w:color="000000"/>
              <w:right w:val="single" w:sz="4" w:space="0" w:color="auto"/>
            </w:tcBorders>
            <w:vAlign w:val="center"/>
            <w:hideMark/>
          </w:tcPr>
          <w:p w14:paraId="599362C4"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0640CC9A"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7EF5E9C9"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r>
      <w:tr w:rsidR="003122F4" w:rsidRPr="00545EC0" w14:paraId="750AF850"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74C00173"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lastRenderedPageBreak/>
              <w:t>SI3VT5171</w:t>
            </w:r>
          </w:p>
        </w:tc>
        <w:tc>
          <w:tcPr>
            <w:tcW w:w="3875" w:type="dxa"/>
            <w:tcBorders>
              <w:top w:val="nil"/>
              <w:left w:val="nil"/>
              <w:bottom w:val="single" w:sz="4" w:space="0" w:color="auto"/>
              <w:right w:val="single" w:sz="4" w:space="0" w:color="auto"/>
            </w:tcBorders>
            <w:shd w:val="clear" w:color="auto" w:fill="auto"/>
            <w:noWrap/>
            <w:vAlign w:val="center"/>
            <w:hideMark/>
          </w:tcPr>
          <w:p w14:paraId="05048DD2"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Drava Maribor - Ptuj</w:t>
            </w:r>
          </w:p>
        </w:tc>
        <w:tc>
          <w:tcPr>
            <w:tcW w:w="2409" w:type="dxa"/>
            <w:tcBorders>
              <w:top w:val="nil"/>
              <w:left w:val="nil"/>
              <w:bottom w:val="single" w:sz="4" w:space="0" w:color="auto"/>
              <w:right w:val="nil"/>
            </w:tcBorders>
            <w:shd w:val="clear" w:color="auto" w:fill="auto"/>
            <w:noWrap/>
            <w:vAlign w:val="center"/>
            <w:hideMark/>
          </w:tcPr>
          <w:p w14:paraId="1AC15A21"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Drava</w:t>
            </w:r>
          </w:p>
        </w:tc>
        <w:tc>
          <w:tcPr>
            <w:tcW w:w="862" w:type="dxa"/>
            <w:vMerge/>
            <w:tcBorders>
              <w:top w:val="nil"/>
              <w:left w:val="single" w:sz="4" w:space="0" w:color="auto"/>
              <w:bottom w:val="single" w:sz="4" w:space="0" w:color="000000"/>
              <w:right w:val="single" w:sz="4" w:space="0" w:color="auto"/>
            </w:tcBorders>
            <w:vAlign w:val="center"/>
            <w:hideMark/>
          </w:tcPr>
          <w:p w14:paraId="06AB573E"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763EA24A"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5BE4D6A2"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0</w:t>
            </w:r>
          </w:p>
        </w:tc>
      </w:tr>
      <w:tr w:rsidR="003122F4" w:rsidRPr="00545EC0" w14:paraId="46FE14A0"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40E511BE"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SI3VT5172</w:t>
            </w:r>
          </w:p>
        </w:tc>
        <w:tc>
          <w:tcPr>
            <w:tcW w:w="3875" w:type="dxa"/>
            <w:tcBorders>
              <w:top w:val="nil"/>
              <w:left w:val="nil"/>
              <w:bottom w:val="single" w:sz="4" w:space="0" w:color="auto"/>
              <w:right w:val="single" w:sz="4" w:space="0" w:color="auto"/>
            </w:tcBorders>
            <w:shd w:val="clear" w:color="auto" w:fill="auto"/>
            <w:noWrap/>
            <w:vAlign w:val="center"/>
            <w:hideMark/>
          </w:tcPr>
          <w:p w14:paraId="2EE68974"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MPVT zadrževalnik Ptujsko jezero</w:t>
            </w:r>
          </w:p>
        </w:tc>
        <w:tc>
          <w:tcPr>
            <w:tcW w:w="2409" w:type="dxa"/>
            <w:tcBorders>
              <w:top w:val="nil"/>
              <w:left w:val="nil"/>
              <w:bottom w:val="single" w:sz="4" w:space="0" w:color="auto"/>
              <w:right w:val="nil"/>
            </w:tcBorders>
            <w:shd w:val="clear" w:color="auto" w:fill="auto"/>
            <w:noWrap/>
            <w:vAlign w:val="center"/>
            <w:hideMark/>
          </w:tcPr>
          <w:p w14:paraId="5D340267"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Drava, Rogoznica, Grajena</w:t>
            </w:r>
          </w:p>
        </w:tc>
        <w:tc>
          <w:tcPr>
            <w:tcW w:w="862" w:type="dxa"/>
            <w:vMerge/>
            <w:tcBorders>
              <w:top w:val="nil"/>
              <w:left w:val="single" w:sz="4" w:space="0" w:color="auto"/>
              <w:bottom w:val="single" w:sz="4" w:space="0" w:color="000000"/>
              <w:right w:val="single" w:sz="4" w:space="0" w:color="auto"/>
            </w:tcBorders>
            <w:vAlign w:val="center"/>
            <w:hideMark/>
          </w:tcPr>
          <w:p w14:paraId="2F4D0C66"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39E17CDF"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1A804C5C"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r>
      <w:tr w:rsidR="003122F4" w:rsidRPr="00545EC0" w14:paraId="28FC9187"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1C6A289A"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SI3VT930</w:t>
            </w:r>
          </w:p>
        </w:tc>
        <w:tc>
          <w:tcPr>
            <w:tcW w:w="3875" w:type="dxa"/>
            <w:tcBorders>
              <w:top w:val="nil"/>
              <w:left w:val="nil"/>
              <w:bottom w:val="single" w:sz="4" w:space="0" w:color="auto"/>
              <w:right w:val="single" w:sz="4" w:space="0" w:color="auto"/>
            </w:tcBorders>
            <w:shd w:val="clear" w:color="auto" w:fill="auto"/>
            <w:noWrap/>
            <w:vAlign w:val="center"/>
            <w:hideMark/>
          </w:tcPr>
          <w:p w14:paraId="2FA453B1"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Drava Ptuj - Ormož</w:t>
            </w:r>
          </w:p>
        </w:tc>
        <w:tc>
          <w:tcPr>
            <w:tcW w:w="2409" w:type="dxa"/>
            <w:tcBorders>
              <w:top w:val="nil"/>
              <w:left w:val="nil"/>
              <w:bottom w:val="single" w:sz="4" w:space="0" w:color="auto"/>
              <w:right w:val="nil"/>
            </w:tcBorders>
            <w:shd w:val="clear" w:color="auto" w:fill="auto"/>
            <w:noWrap/>
            <w:vAlign w:val="center"/>
            <w:hideMark/>
          </w:tcPr>
          <w:p w14:paraId="4E2B8C89"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Drava, Kojuhovski potok</w:t>
            </w:r>
          </w:p>
        </w:tc>
        <w:tc>
          <w:tcPr>
            <w:tcW w:w="862" w:type="dxa"/>
            <w:vMerge/>
            <w:tcBorders>
              <w:top w:val="nil"/>
              <w:left w:val="single" w:sz="4" w:space="0" w:color="auto"/>
              <w:bottom w:val="single" w:sz="4" w:space="0" w:color="000000"/>
              <w:right w:val="single" w:sz="4" w:space="0" w:color="auto"/>
            </w:tcBorders>
            <w:vAlign w:val="center"/>
            <w:hideMark/>
          </w:tcPr>
          <w:p w14:paraId="77BB386F"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64710444"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5EBD8DFA"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r>
      <w:tr w:rsidR="003122F4" w:rsidRPr="00545EC0" w14:paraId="54108C32"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7C67BC7C"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SI3VT950</w:t>
            </w:r>
          </w:p>
        </w:tc>
        <w:tc>
          <w:tcPr>
            <w:tcW w:w="3875" w:type="dxa"/>
            <w:tcBorders>
              <w:top w:val="nil"/>
              <w:left w:val="nil"/>
              <w:bottom w:val="single" w:sz="4" w:space="0" w:color="auto"/>
              <w:right w:val="single" w:sz="4" w:space="0" w:color="auto"/>
            </w:tcBorders>
            <w:shd w:val="clear" w:color="auto" w:fill="auto"/>
            <w:noWrap/>
            <w:vAlign w:val="center"/>
            <w:hideMark/>
          </w:tcPr>
          <w:p w14:paraId="32B6D616"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MPVT zadrževalnik Ormoško jezero</w:t>
            </w:r>
          </w:p>
        </w:tc>
        <w:tc>
          <w:tcPr>
            <w:tcW w:w="2409" w:type="dxa"/>
            <w:tcBorders>
              <w:top w:val="nil"/>
              <w:left w:val="nil"/>
              <w:bottom w:val="single" w:sz="4" w:space="0" w:color="auto"/>
              <w:right w:val="nil"/>
            </w:tcBorders>
            <w:shd w:val="clear" w:color="auto" w:fill="auto"/>
            <w:noWrap/>
            <w:vAlign w:val="center"/>
            <w:hideMark/>
          </w:tcPr>
          <w:p w14:paraId="2B3FD931"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Drava</w:t>
            </w:r>
          </w:p>
        </w:tc>
        <w:tc>
          <w:tcPr>
            <w:tcW w:w="862" w:type="dxa"/>
            <w:vMerge/>
            <w:tcBorders>
              <w:top w:val="nil"/>
              <w:left w:val="single" w:sz="4" w:space="0" w:color="auto"/>
              <w:bottom w:val="single" w:sz="4" w:space="0" w:color="000000"/>
              <w:right w:val="single" w:sz="4" w:space="0" w:color="auto"/>
            </w:tcBorders>
            <w:vAlign w:val="center"/>
            <w:hideMark/>
          </w:tcPr>
          <w:p w14:paraId="4B7C066A"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700EF3A3"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08A599F9"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0</w:t>
            </w:r>
          </w:p>
        </w:tc>
      </w:tr>
      <w:tr w:rsidR="003122F4" w:rsidRPr="00545EC0" w14:paraId="4807EF60"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19DF307C"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w:t>
            </w:r>
          </w:p>
        </w:tc>
        <w:tc>
          <w:tcPr>
            <w:tcW w:w="3875" w:type="dxa"/>
            <w:tcBorders>
              <w:top w:val="nil"/>
              <w:left w:val="nil"/>
              <w:bottom w:val="single" w:sz="4" w:space="0" w:color="auto"/>
              <w:right w:val="single" w:sz="4" w:space="0" w:color="auto"/>
            </w:tcBorders>
            <w:shd w:val="clear" w:color="auto" w:fill="auto"/>
            <w:noWrap/>
            <w:vAlign w:val="center"/>
            <w:hideMark/>
          </w:tcPr>
          <w:p w14:paraId="2253C21E"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w:t>
            </w:r>
          </w:p>
        </w:tc>
        <w:tc>
          <w:tcPr>
            <w:tcW w:w="2409" w:type="dxa"/>
            <w:tcBorders>
              <w:top w:val="nil"/>
              <w:left w:val="nil"/>
              <w:bottom w:val="single" w:sz="4" w:space="0" w:color="auto"/>
              <w:right w:val="nil"/>
            </w:tcBorders>
            <w:shd w:val="clear" w:color="auto" w:fill="auto"/>
            <w:noWrap/>
            <w:vAlign w:val="center"/>
            <w:hideMark/>
          </w:tcPr>
          <w:p w14:paraId="024AADCD"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Trnava</w:t>
            </w:r>
          </w:p>
        </w:tc>
        <w:tc>
          <w:tcPr>
            <w:tcW w:w="862" w:type="dxa"/>
            <w:vMerge/>
            <w:tcBorders>
              <w:top w:val="nil"/>
              <w:left w:val="single" w:sz="4" w:space="0" w:color="auto"/>
              <w:bottom w:val="single" w:sz="4" w:space="0" w:color="000000"/>
              <w:right w:val="single" w:sz="4" w:space="0" w:color="auto"/>
            </w:tcBorders>
            <w:vAlign w:val="center"/>
            <w:hideMark/>
          </w:tcPr>
          <w:p w14:paraId="05FA4E18"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6E92A02C"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0</w:t>
            </w:r>
          </w:p>
        </w:tc>
        <w:tc>
          <w:tcPr>
            <w:tcW w:w="425" w:type="dxa"/>
            <w:tcBorders>
              <w:top w:val="nil"/>
              <w:left w:val="nil"/>
              <w:bottom w:val="single" w:sz="4" w:space="0" w:color="auto"/>
              <w:right w:val="single" w:sz="4" w:space="0" w:color="auto"/>
            </w:tcBorders>
            <w:shd w:val="clear" w:color="auto" w:fill="auto"/>
            <w:noWrap/>
            <w:vAlign w:val="center"/>
            <w:hideMark/>
          </w:tcPr>
          <w:p w14:paraId="0A17A454"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r>
      <w:tr w:rsidR="003122F4" w:rsidRPr="00545EC0" w14:paraId="69EC52C5"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73770CF0"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SI434VT51</w:t>
            </w:r>
          </w:p>
        </w:tc>
        <w:tc>
          <w:tcPr>
            <w:tcW w:w="3875" w:type="dxa"/>
            <w:tcBorders>
              <w:top w:val="nil"/>
              <w:left w:val="nil"/>
              <w:bottom w:val="single" w:sz="4" w:space="0" w:color="auto"/>
              <w:right w:val="single" w:sz="4" w:space="0" w:color="auto"/>
            </w:tcBorders>
            <w:shd w:val="clear" w:color="auto" w:fill="auto"/>
            <w:noWrap/>
            <w:vAlign w:val="center"/>
            <w:hideMark/>
          </w:tcPr>
          <w:p w14:paraId="393855F0"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Ščavnica povirje - zadrževalnik Gajševsko jezero</w:t>
            </w:r>
          </w:p>
        </w:tc>
        <w:tc>
          <w:tcPr>
            <w:tcW w:w="2409" w:type="dxa"/>
            <w:tcBorders>
              <w:top w:val="nil"/>
              <w:left w:val="nil"/>
              <w:bottom w:val="single" w:sz="4" w:space="0" w:color="auto"/>
              <w:right w:val="nil"/>
            </w:tcBorders>
            <w:shd w:val="clear" w:color="auto" w:fill="auto"/>
            <w:noWrap/>
            <w:vAlign w:val="center"/>
            <w:hideMark/>
          </w:tcPr>
          <w:p w14:paraId="4145B0AE"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Ščavnica, Lipnica</w:t>
            </w:r>
          </w:p>
        </w:tc>
        <w:tc>
          <w:tcPr>
            <w:tcW w:w="8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97CA8B"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Mura</w:t>
            </w:r>
          </w:p>
        </w:tc>
        <w:tc>
          <w:tcPr>
            <w:tcW w:w="414" w:type="dxa"/>
            <w:tcBorders>
              <w:top w:val="nil"/>
              <w:left w:val="nil"/>
              <w:bottom w:val="single" w:sz="4" w:space="0" w:color="auto"/>
              <w:right w:val="single" w:sz="4" w:space="0" w:color="auto"/>
            </w:tcBorders>
            <w:shd w:val="clear" w:color="auto" w:fill="auto"/>
            <w:noWrap/>
            <w:vAlign w:val="center"/>
            <w:hideMark/>
          </w:tcPr>
          <w:p w14:paraId="3F420D57"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64068A16"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r>
      <w:tr w:rsidR="003122F4" w:rsidRPr="00545EC0" w14:paraId="4AED6BA7"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2A30352C"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SI434VT52</w:t>
            </w:r>
          </w:p>
        </w:tc>
        <w:tc>
          <w:tcPr>
            <w:tcW w:w="3875" w:type="dxa"/>
            <w:tcBorders>
              <w:top w:val="nil"/>
              <w:left w:val="nil"/>
              <w:bottom w:val="single" w:sz="4" w:space="0" w:color="auto"/>
              <w:right w:val="single" w:sz="4" w:space="0" w:color="auto"/>
            </w:tcBorders>
            <w:shd w:val="clear" w:color="auto" w:fill="auto"/>
            <w:noWrap/>
            <w:vAlign w:val="center"/>
            <w:hideMark/>
          </w:tcPr>
          <w:p w14:paraId="16749827"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MPVT zadrževalnik Gajševsko jezero</w:t>
            </w:r>
          </w:p>
        </w:tc>
        <w:tc>
          <w:tcPr>
            <w:tcW w:w="2409" w:type="dxa"/>
            <w:tcBorders>
              <w:top w:val="nil"/>
              <w:left w:val="nil"/>
              <w:bottom w:val="single" w:sz="4" w:space="0" w:color="auto"/>
              <w:right w:val="nil"/>
            </w:tcBorders>
            <w:shd w:val="clear" w:color="auto" w:fill="auto"/>
            <w:noWrap/>
            <w:vAlign w:val="center"/>
            <w:hideMark/>
          </w:tcPr>
          <w:p w14:paraId="11FDC85E"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Ščavnica</w:t>
            </w:r>
          </w:p>
        </w:tc>
        <w:tc>
          <w:tcPr>
            <w:tcW w:w="862" w:type="dxa"/>
            <w:vMerge/>
            <w:tcBorders>
              <w:top w:val="nil"/>
              <w:left w:val="single" w:sz="4" w:space="0" w:color="auto"/>
              <w:bottom w:val="single" w:sz="4" w:space="0" w:color="000000"/>
              <w:right w:val="single" w:sz="4" w:space="0" w:color="auto"/>
            </w:tcBorders>
            <w:vAlign w:val="center"/>
            <w:hideMark/>
          </w:tcPr>
          <w:p w14:paraId="4FFC7A77"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23F3098A"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3DC1B299"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0</w:t>
            </w:r>
          </w:p>
        </w:tc>
      </w:tr>
      <w:tr w:rsidR="003122F4" w:rsidRPr="00545EC0" w14:paraId="33B3CC30"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1147B7DE"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SI434VT9</w:t>
            </w:r>
          </w:p>
        </w:tc>
        <w:tc>
          <w:tcPr>
            <w:tcW w:w="3875" w:type="dxa"/>
            <w:tcBorders>
              <w:top w:val="nil"/>
              <w:left w:val="nil"/>
              <w:bottom w:val="single" w:sz="4" w:space="0" w:color="auto"/>
              <w:right w:val="single" w:sz="4" w:space="0" w:color="auto"/>
            </w:tcBorders>
            <w:shd w:val="clear" w:color="auto" w:fill="auto"/>
            <w:noWrap/>
            <w:vAlign w:val="center"/>
            <w:hideMark/>
          </w:tcPr>
          <w:p w14:paraId="07657D18"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Ščavnica zadrževalnik Gajševsko jezero - Gibina</w:t>
            </w:r>
          </w:p>
        </w:tc>
        <w:tc>
          <w:tcPr>
            <w:tcW w:w="2409" w:type="dxa"/>
            <w:tcBorders>
              <w:top w:val="nil"/>
              <w:left w:val="nil"/>
              <w:bottom w:val="single" w:sz="4" w:space="0" w:color="auto"/>
              <w:right w:val="nil"/>
            </w:tcBorders>
            <w:shd w:val="clear" w:color="auto" w:fill="auto"/>
            <w:noWrap/>
            <w:vAlign w:val="center"/>
            <w:hideMark/>
          </w:tcPr>
          <w:p w14:paraId="5B7CB318"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Ščavnica</w:t>
            </w:r>
          </w:p>
        </w:tc>
        <w:tc>
          <w:tcPr>
            <w:tcW w:w="862" w:type="dxa"/>
            <w:vMerge/>
            <w:tcBorders>
              <w:top w:val="nil"/>
              <w:left w:val="single" w:sz="4" w:space="0" w:color="auto"/>
              <w:bottom w:val="single" w:sz="4" w:space="0" w:color="000000"/>
              <w:right w:val="single" w:sz="4" w:space="0" w:color="auto"/>
            </w:tcBorders>
            <w:vAlign w:val="center"/>
            <w:hideMark/>
          </w:tcPr>
          <w:p w14:paraId="59EF9475"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571F2631"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61090FE6"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0</w:t>
            </w:r>
          </w:p>
        </w:tc>
      </w:tr>
      <w:tr w:rsidR="003122F4" w:rsidRPr="00545EC0" w14:paraId="6F28B4B1"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13AD1AEB"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SI43VT30</w:t>
            </w:r>
          </w:p>
        </w:tc>
        <w:tc>
          <w:tcPr>
            <w:tcW w:w="3875" w:type="dxa"/>
            <w:tcBorders>
              <w:top w:val="nil"/>
              <w:left w:val="nil"/>
              <w:bottom w:val="single" w:sz="4" w:space="0" w:color="auto"/>
              <w:right w:val="single" w:sz="4" w:space="0" w:color="auto"/>
            </w:tcBorders>
            <w:shd w:val="clear" w:color="auto" w:fill="auto"/>
            <w:noWrap/>
            <w:vAlign w:val="center"/>
            <w:hideMark/>
          </w:tcPr>
          <w:p w14:paraId="72EE55CD"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Kučnica Mura Petanjci - Gibina</w:t>
            </w:r>
          </w:p>
        </w:tc>
        <w:tc>
          <w:tcPr>
            <w:tcW w:w="2409" w:type="dxa"/>
            <w:tcBorders>
              <w:top w:val="nil"/>
              <w:left w:val="nil"/>
              <w:bottom w:val="single" w:sz="4" w:space="0" w:color="auto"/>
              <w:right w:val="nil"/>
            </w:tcBorders>
            <w:shd w:val="clear" w:color="auto" w:fill="auto"/>
            <w:noWrap/>
            <w:vAlign w:val="center"/>
            <w:hideMark/>
          </w:tcPr>
          <w:p w14:paraId="3C5E8EA9"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Boračevski potok, Mokoš</w:t>
            </w:r>
          </w:p>
        </w:tc>
        <w:tc>
          <w:tcPr>
            <w:tcW w:w="862" w:type="dxa"/>
            <w:vMerge/>
            <w:tcBorders>
              <w:top w:val="nil"/>
              <w:left w:val="single" w:sz="4" w:space="0" w:color="auto"/>
              <w:bottom w:val="single" w:sz="4" w:space="0" w:color="000000"/>
              <w:right w:val="single" w:sz="4" w:space="0" w:color="auto"/>
            </w:tcBorders>
            <w:vAlign w:val="center"/>
            <w:hideMark/>
          </w:tcPr>
          <w:p w14:paraId="1293C689"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4A3420C7"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0</w:t>
            </w:r>
          </w:p>
        </w:tc>
        <w:tc>
          <w:tcPr>
            <w:tcW w:w="425" w:type="dxa"/>
            <w:tcBorders>
              <w:top w:val="nil"/>
              <w:left w:val="nil"/>
              <w:bottom w:val="single" w:sz="4" w:space="0" w:color="auto"/>
              <w:right w:val="single" w:sz="4" w:space="0" w:color="auto"/>
            </w:tcBorders>
            <w:shd w:val="clear" w:color="auto" w:fill="auto"/>
            <w:noWrap/>
            <w:vAlign w:val="center"/>
            <w:hideMark/>
          </w:tcPr>
          <w:p w14:paraId="4CDA562C"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r>
      <w:tr w:rsidR="003122F4" w:rsidRPr="00545EC0" w14:paraId="00B04B84"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07A8DAEC"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SI441VT</w:t>
            </w:r>
          </w:p>
        </w:tc>
        <w:tc>
          <w:tcPr>
            <w:tcW w:w="3875" w:type="dxa"/>
            <w:tcBorders>
              <w:top w:val="nil"/>
              <w:left w:val="nil"/>
              <w:bottom w:val="single" w:sz="4" w:space="0" w:color="auto"/>
              <w:right w:val="single" w:sz="4" w:space="0" w:color="auto"/>
            </w:tcBorders>
            <w:shd w:val="clear" w:color="auto" w:fill="auto"/>
            <w:noWrap/>
            <w:vAlign w:val="center"/>
            <w:hideMark/>
          </w:tcPr>
          <w:p w14:paraId="73E34382"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Velika Krka povirje - državna meja</w:t>
            </w:r>
          </w:p>
        </w:tc>
        <w:tc>
          <w:tcPr>
            <w:tcW w:w="2409" w:type="dxa"/>
            <w:tcBorders>
              <w:top w:val="nil"/>
              <w:left w:val="nil"/>
              <w:bottom w:val="single" w:sz="4" w:space="0" w:color="auto"/>
              <w:right w:val="nil"/>
            </w:tcBorders>
            <w:shd w:val="clear" w:color="auto" w:fill="auto"/>
            <w:noWrap/>
            <w:vAlign w:val="center"/>
            <w:hideMark/>
          </w:tcPr>
          <w:p w14:paraId="70A1BFC5"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Dolenski potok</w:t>
            </w:r>
          </w:p>
        </w:tc>
        <w:tc>
          <w:tcPr>
            <w:tcW w:w="862" w:type="dxa"/>
            <w:vMerge/>
            <w:tcBorders>
              <w:top w:val="nil"/>
              <w:left w:val="single" w:sz="4" w:space="0" w:color="auto"/>
              <w:bottom w:val="single" w:sz="4" w:space="0" w:color="000000"/>
              <w:right w:val="single" w:sz="4" w:space="0" w:color="auto"/>
            </w:tcBorders>
            <w:vAlign w:val="center"/>
            <w:hideMark/>
          </w:tcPr>
          <w:p w14:paraId="0846D7D7"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20D2FC8B"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0</w:t>
            </w:r>
          </w:p>
        </w:tc>
        <w:tc>
          <w:tcPr>
            <w:tcW w:w="425" w:type="dxa"/>
            <w:tcBorders>
              <w:top w:val="nil"/>
              <w:left w:val="nil"/>
              <w:bottom w:val="single" w:sz="4" w:space="0" w:color="auto"/>
              <w:right w:val="single" w:sz="4" w:space="0" w:color="auto"/>
            </w:tcBorders>
            <w:shd w:val="clear" w:color="auto" w:fill="auto"/>
            <w:noWrap/>
            <w:vAlign w:val="center"/>
            <w:hideMark/>
          </w:tcPr>
          <w:p w14:paraId="592F2521"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r>
      <w:tr w:rsidR="003122F4" w:rsidRPr="00545EC0" w14:paraId="5C4246F7"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064DC958"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SI4426VT2</w:t>
            </w:r>
          </w:p>
        </w:tc>
        <w:tc>
          <w:tcPr>
            <w:tcW w:w="3875" w:type="dxa"/>
            <w:tcBorders>
              <w:top w:val="nil"/>
              <w:left w:val="nil"/>
              <w:bottom w:val="single" w:sz="4" w:space="0" w:color="auto"/>
              <w:right w:val="single" w:sz="4" w:space="0" w:color="auto"/>
            </w:tcBorders>
            <w:shd w:val="clear" w:color="auto" w:fill="auto"/>
            <w:noWrap/>
            <w:vAlign w:val="center"/>
            <w:hideMark/>
          </w:tcPr>
          <w:p w14:paraId="7131E5E5"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Kobiljski potok državna meja - Ledava</w:t>
            </w:r>
          </w:p>
        </w:tc>
        <w:tc>
          <w:tcPr>
            <w:tcW w:w="2409" w:type="dxa"/>
            <w:tcBorders>
              <w:top w:val="nil"/>
              <w:left w:val="nil"/>
              <w:bottom w:val="single" w:sz="4" w:space="0" w:color="auto"/>
              <w:right w:val="nil"/>
            </w:tcBorders>
            <w:shd w:val="clear" w:color="auto" w:fill="auto"/>
            <w:noWrap/>
            <w:vAlign w:val="center"/>
            <w:hideMark/>
          </w:tcPr>
          <w:p w14:paraId="224D7EFD"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Kobiljski potok, Jošavski potok</w:t>
            </w:r>
          </w:p>
        </w:tc>
        <w:tc>
          <w:tcPr>
            <w:tcW w:w="862" w:type="dxa"/>
            <w:vMerge/>
            <w:tcBorders>
              <w:top w:val="nil"/>
              <w:left w:val="single" w:sz="4" w:space="0" w:color="auto"/>
              <w:bottom w:val="single" w:sz="4" w:space="0" w:color="000000"/>
              <w:right w:val="single" w:sz="4" w:space="0" w:color="auto"/>
            </w:tcBorders>
            <w:vAlign w:val="center"/>
            <w:hideMark/>
          </w:tcPr>
          <w:p w14:paraId="120D644A"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26CD1D16"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25E1A34B"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r>
      <w:tr w:rsidR="003122F4" w:rsidRPr="00545EC0" w14:paraId="1AF483B9"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75A95FF2"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SI442VT11</w:t>
            </w:r>
          </w:p>
        </w:tc>
        <w:tc>
          <w:tcPr>
            <w:tcW w:w="3875" w:type="dxa"/>
            <w:tcBorders>
              <w:top w:val="nil"/>
              <w:left w:val="nil"/>
              <w:bottom w:val="single" w:sz="4" w:space="0" w:color="auto"/>
              <w:right w:val="single" w:sz="4" w:space="0" w:color="auto"/>
            </w:tcBorders>
            <w:shd w:val="clear" w:color="auto" w:fill="auto"/>
            <w:noWrap/>
            <w:vAlign w:val="center"/>
            <w:hideMark/>
          </w:tcPr>
          <w:p w14:paraId="7DD2CE88"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Ledava državna meja - zadrževalnik Ledavsko jezero</w:t>
            </w:r>
          </w:p>
        </w:tc>
        <w:tc>
          <w:tcPr>
            <w:tcW w:w="2409" w:type="dxa"/>
            <w:tcBorders>
              <w:top w:val="nil"/>
              <w:left w:val="nil"/>
              <w:bottom w:val="single" w:sz="4" w:space="0" w:color="auto"/>
              <w:right w:val="nil"/>
            </w:tcBorders>
            <w:shd w:val="clear" w:color="auto" w:fill="auto"/>
            <w:noWrap/>
            <w:vAlign w:val="center"/>
            <w:hideMark/>
          </w:tcPr>
          <w:p w14:paraId="1B4A2EC5"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Ledava, Lukaj</w:t>
            </w:r>
          </w:p>
        </w:tc>
        <w:tc>
          <w:tcPr>
            <w:tcW w:w="862" w:type="dxa"/>
            <w:vMerge/>
            <w:tcBorders>
              <w:top w:val="nil"/>
              <w:left w:val="single" w:sz="4" w:space="0" w:color="auto"/>
              <w:bottom w:val="single" w:sz="4" w:space="0" w:color="000000"/>
              <w:right w:val="single" w:sz="4" w:space="0" w:color="auto"/>
            </w:tcBorders>
            <w:vAlign w:val="center"/>
            <w:hideMark/>
          </w:tcPr>
          <w:p w14:paraId="07F0FCAF"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431A7321"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68BFA39C"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r>
      <w:tr w:rsidR="003122F4" w:rsidRPr="00545EC0" w14:paraId="7B661CD9" w14:textId="77777777" w:rsidTr="000E3F85">
        <w:trPr>
          <w:trHeight w:val="227"/>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316E00D6"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SI442VT91</w:t>
            </w:r>
          </w:p>
        </w:tc>
        <w:tc>
          <w:tcPr>
            <w:tcW w:w="3875" w:type="dxa"/>
            <w:tcBorders>
              <w:top w:val="nil"/>
              <w:left w:val="nil"/>
              <w:bottom w:val="single" w:sz="4" w:space="0" w:color="auto"/>
              <w:right w:val="single" w:sz="4" w:space="0" w:color="auto"/>
            </w:tcBorders>
            <w:shd w:val="clear" w:color="auto" w:fill="auto"/>
            <w:noWrap/>
            <w:vAlign w:val="center"/>
            <w:hideMark/>
          </w:tcPr>
          <w:p w14:paraId="6422E729"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VT Ledava zadrževalnik Ledavsko jezero - sotočje z Veliko Krko</w:t>
            </w:r>
          </w:p>
        </w:tc>
        <w:tc>
          <w:tcPr>
            <w:tcW w:w="2409" w:type="dxa"/>
            <w:tcBorders>
              <w:top w:val="nil"/>
              <w:left w:val="nil"/>
              <w:bottom w:val="single" w:sz="4" w:space="0" w:color="auto"/>
              <w:right w:val="nil"/>
            </w:tcBorders>
            <w:shd w:val="clear" w:color="auto" w:fill="auto"/>
            <w:noWrap/>
            <w:vAlign w:val="center"/>
            <w:hideMark/>
          </w:tcPr>
          <w:p w14:paraId="2A0AEC6F"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Ledava, Lipnica, Črni potok, Mali potok</w:t>
            </w:r>
          </w:p>
        </w:tc>
        <w:tc>
          <w:tcPr>
            <w:tcW w:w="862" w:type="dxa"/>
            <w:vMerge/>
            <w:tcBorders>
              <w:top w:val="nil"/>
              <w:left w:val="single" w:sz="4" w:space="0" w:color="auto"/>
              <w:bottom w:val="single" w:sz="4" w:space="0" w:color="000000"/>
              <w:right w:val="single" w:sz="4" w:space="0" w:color="auto"/>
            </w:tcBorders>
            <w:vAlign w:val="center"/>
            <w:hideMark/>
          </w:tcPr>
          <w:p w14:paraId="001D1E51" w14:textId="77777777" w:rsidR="00AC702B" w:rsidRPr="00545EC0" w:rsidRDefault="00AC702B" w:rsidP="000E3F85">
            <w:pPr>
              <w:overflowPunct/>
              <w:autoSpaceDE/>
              <w:autoSpaceDN/>
              <w:adjustRightInd/>
              <w:spacing w:line="240" w:lineRule="auto"/>
              <w:jc w:val="left"/>
              <w:textAlignment w:val="auto"/>
              <w:rPr>
                <w:rFonts w:cs="Arial"/>
                <w:sz w:val="18"/>
                <w:szCs w:val="18"/>
              </w:rPr>
            </w:pPr>
          </w:p>
        </w:tc>
        <w:tc>
          <w:tcPr>
            <w:tcW w:w="414" w:type="dxa"/>
            <w:tcBorders>
              <w:top w:val="nil"/>
              <w:left w:val="nil"/>
              <w:bottom w:val="single" w:sz="4" w:space="0" w:color="auto"/>
              <w:right w:val="single" w:sz="4" w:space="0" w:color="auto"/>
            </w:tcBorders>
            <w:shd w:val="clear" w:color="auto" w:fill="auto"/>
            <w:noWrap/>
            <w:vAlign w:val="center"/>
            <w:hideMark/>
          </w:tcPr>
          <w:p w14:paraId="7820C18B"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14:paraId="1BADF393" w14:textId="77777777" w:rsidR="00AC702B" w:rsidRPr="00545EC0" w:rsidRDefault="00AC702B" w:rsidP="000E3F85">
            <w:pPr>
              <w:overflowPunct/>
              <w:autoSpaceDE/>
              <w:autoSpaceDN/>
              <w:adjustRightInd/>
              <w:spacing w:line="240" w:lineRule="auto"/>
              <w:jc w:val="left"/>
              <w:textAlignment w:val="auto"/>
              <w:rPr>
                <w:rFonts w:cs="Arial"/>
                <w:sz w:val="18"/>
                <w:szCs w:val="18"/>
              </w:rPr>
            </w:pPr>
            <w:r w:rsidRPr="00545EC0">
              <w:rPr>
                <w:rFonts w:cs="Arial"/>
                <w:sz w:val="18"/>
                <w:szCs w:val="18"/>
              </w:rPr>
              <w:t>1</w:t>
            </w:r>
          </w:p>
        </w:tc>
      </w:tr>
    </w:tbl>
    <w:p w14:paraId="68894320"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4"/>
          <w:lang w:eastAsia="ja-JP"/>
        </w:rPr>
      </w:pPr>
    </w:p>
    <w:p w14:paraId="2C66D5FE" w14:textId="664F4983" w:rsidR="00AC702B" w:rsidRPr="00545EC0" w:rsidRDefault="00AC702B" w:rsidP="00AC7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4"/>
          <w:lang w:eastAsia="ja-JP"/>
        </w:rPr>
      </w:pPr>
      <w:r w:rsidRPr="00545EC0">
        <w:rPr>
          <w:rFonts w:cs="Arial"/>
          <w:szCs w:val="24"/>
          <w:lang w:eastAsia="ja-JP"/>
        </w:rPr>
        <w:t xml:space="preserve">Deli vodnih teles površinskih voda, na katerih so prisotne pomembne obremenitve zaradi spremenjenega obrežnega pasu, so prikazani na </w:t>
      </w:r>
      <w:r w:rsidR="002B19AC" w:rsidRPr="00545EC0">
        <w:rPr>
          <w:rFonts w:cs="Arial"/>
          <w:szCs w:val="24"/>
          <w:lang w:eastAsia="ja-JP"/>
        </w:rPr>
        <w:t xml:space="preserve">publikacijski </w:t>
      </w:r>
      <w:r w:rsidRPr="00545EC0">
        <w:rPr>
          <w:rFonts w:cs="Arial"/>
          <w:szCs w:val="24"/>
          <w:lang w:eastAsia="ja-JP"/>
        </w:rPr>
        <w:t>karti (</w:t>
      </w:r>
      <w:r w:rsidRPr="00545EC0">
        <w:rPr>
          <w:rFonts w:cs="Arial"/>
          <w:i/>
          <w:szCs w:val="24"/>
          <w:lang w:eastAsia="ja-JP"/>
        </w:rPr>
        <w:t>Publikacijska karta</w:t>
      </w:r>
      <w:r w:rsidR="0078119E" w:rsidRPr="00545EC0">
        <w:rPr>
          <w:rFonts w:cs="Arial"/>
          <w:i/>
          <w:szCs w:val="24"/>
          <w:lang w:eastAsia="ja-JP"/>
        </w:rPr>
        <w:t xml:space="preserve"> 4.12</w:t>
      </w:r>
      <w:r w:rsidRPr="00545EC0">
        <w:rPr>
          <w:rFonts w:cs="Arial"/>
          <w:i/>
          <w:szCs w:val="24"/>
          <w:lang w:eastAsia="ja-JP"/>
        </w:rPr>
        <w:t>:</w:t>
      </w:r>
      <w:r w:rsidR="0078119E" w:rsidRPr="00545EC0">
        <w:rPr>
          <w:rFonts w:cs="Arial"/>
          <w:i/>
          <w:szCs w:val="24"/>
          <w:lang w:eastAsia="ja-JP"/>
        </w:rPr>
        <w:t xml:space="preserve"> Spremenjenost obrežnega pasu in pomembne obremenitve dVTPV).</w:t>
      </w:r>
      <w:r w:rsidRPr="00545EC0">
        <w:rPr>
          <w:rFonts w:cs="Arial"/>
          <w:i/>
          <w:szCs w:val="24"/>
          <w:lang w:eastAsia="ja-JP"/>
        </w:rPr>
        <w:t xml:space="preserve"> </w:t>
      </w:r>
    </w:p>
    <w:p w14:paraId="76F18B03"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p>
    <w:p w14:paraId="75633ED2" w14:textId="7CD4746E" w:rsidR="00AC702B" w:rsidRPr="00545EC0" w:rsidRDefault="00BA1338" w:rsidP="00AC7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545EC0">
        <w:rPr>
          <w:rFonts w:cs="Arial"/>
        </w:rPr>
        <w:t xml:space="preserve">Na VO Donave </w:t>
      </w:r>
      <w:r w:rsidRPr="00545EC0">
        <w:rPr>
          <w:rFonts w:cs="Arial"/>
          <w:szCs w:val="20"/>
          <w:lang w:eastAsia="ja-JP"/>
        </w:rPr>
        <w:t xml:space="preserve">so pomembne obremenitve zaradi </w:t>
      </w:r>
      <w:r w:rsidRPr="00545EC0">
        <w:rPr>
          <w:rFonts w:cs="Arial"/>
        </w:rPr>
        <w:t xml:space="preserve">spremenjenega obrežnega pasu </w:t>
      </w:r>
      <w:r w:rsidRPr="00545EC0">
        <w:rPr>
          <w:rFonts w:cs="Arial"/>
          <w:szCs w:val="20"/>
          <w:lang w:eastAsia="ja-JP"/>
        </w:rPr>
        <w:t xml:space="preserve">prisotne na vseh porečjih na VO Donave </w:t>
      </w:r>
      <w:r w:rsidRPr="00545EC0">
        <w:rPr>
          <w:rFonts w:cs="Arial"/>
        </w:rPr>
        <w:t>(</w:t>
      </w:r>
      <w:r w:rsidR="00BD7FD6" w:rsidRPr="00545EC0">
        <w:rPr>
          <w:rFonts w:cs="Arial"/>
        </w:rPr>
        <w:fldChar w:fldCharType="begin"/>
      </w:r>
      <w:r w:rsidR="00BD7FD6" w:rsidRPr="00545EC0">
        <w:rPr>
          <w:rFonts w:cs="Arial"/>
        </w:rPr>
        <w:instrText xml:space="preserve"> REF _Ref84339255 \h </w:instrText>
      </w:r>
      <w:r w:rsidR="00F37A91" w:rsidRPr="00545EC0">
        <w:rPr>
          <w:rFonts w:cs="Arial"/>
        </w:rPr>
        <w:instrText xml:space="preserve"> \* MERGEFORMAT </w:instrText>
      </w:r>
      <w:r w:rsidR="00BD7FD6" w:rsidRPr="00545EC0">
        <w:rPr>
          <w:rFonts w:cs="Arial"/>
        </w:rPr>
      </w:r>
      <w:r w:rsidR="00BD7FD6" w:rsidRPr="00545EC0">
        <w:rPr>
          <w:rFonts w:cs="Arial"/>
        </w:rPr>
        <w:fldChar w:fldCharType="separate"/>
      </w:r>
      <w:r w:rsidR="002F3E43" w:rsidRPr="00545EC0">
        <w:rPr>
          <w:szCs w:val="20"/>
        </w:rPr>
        <w:t xml:space="preserve">Slika </w:t>
      </w:r>
      <w:r w:rsidR="002F3E43">
        <w:rPr>
          <w:noProof/>
          <w:szCs w:val="20"/>
        </w:rPr>
        <w:t>2</w:t>
      </w:r>
      <w:r w:rsidR="002F3E43" w:rsidRPr="00545EC0">
        <w:rPr>
          <w:noProof/>
          <w:szCs w:val="20"/>
        </w:rPr>
        <w:noBreakHyphen/>
      </w:r>
      <w:r w:rsidR="002F3E43">
        <w:rPr>
          <w:noProof/>
          <w:szCs w:val="20"/>
        </w:rPr>
        <w:t>23</w:t>
      </w:r>
      <w:r w:rsidR="00BD7FD6" w:rsidRPr="00545EC0">
        <w:rPr>
          <w:rFonts w:cs="Arial"/>
        </w:rPr>
        <w:fldChar w:fldCharType="end"/>
      </w:r>
      <w:r w:rsidRPr="00545EC0">
        <w:rPr>
          <w:rFonts w:cs="Arial"/>
        </w:rPr>
        <w:t>)</w:t>
      </w:r>
      <w:r w:rsidRPr="00545EC0">
        <w:rPr>
          <w:rFonts w:cs="Arial"/>
          <w:szCs w:val="20"/>
          <w:lang w:eastAsia="ja-JP"/>
        </w:rPr>
        <w:t>.</w:t>
      </w:r>
      <w:r w:rsidRPr="00545EC0">
        <w:rPr>
          <w:rFonts w:cs="Arial"/>
        </w:rPr>
        <w:t xml:space="preserve"> </w:t>
      </w:r>
      <w:r w:rsidR="00AC702B" w:rsidRPr="00545EC0">
        <w:rPr>
          <w:rFonts w:cs="Arial"/>
        </w:rPr>
        <w:t>Največji delež dVTPV-jev s pomembno obremenitvijo zaradi spremenjenega obrežnega pasu na glavnem toku je ocenjen na poreč</w:t>
      </w:r>
      <w:r w:rsidR="0078119E" w:rsidRPr="00545EC0">
        <w:rPr>
          <w:rFonts w:cs="Arial"/>
        </w:rPr>
        <w:t>jih Mure, Drave in Srednje Save</w:t>
      </w:r>
      <w:r w:rsidR="00AC702B" w:rsidRPr="00545EC0">
        <w:rPr>
          <w:rFonts w:cs="Arial"/>
        </w:rPr>
        <w:t xml:space="preserve">, medtem ko je največji delež dVTPV-jev na pritokih ocenjen na porečjih Srednje Save, Drave in Mure. </w:t>
      </w:r>
    </w:p>
    <w:p w14:paraId="57161E3D" w14:textId="3BE904A0"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p>
    <w:p w14:paraId="6F5C9382" w14:textId="21CA3A35" w:rsidR="00BD7FD6" w:rsidRPr="00545EC0" w:rsidRDefault="00AC702B" w:rsidP="00BD7FD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 w:rsidRPr="00545EC0">
        <w:rPr>
          <w:noProof/>
          <w:szCs w:val="20"/>
        </w:rPr>
        <w:drawing>
          <wp:inline distT="0" distB="0" distL="0" distR="0" wp14:anchorId="6627C005" wp14:editId="1DFE6592">
            <wp:extent cx="5400000" cy="3433136"/>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0000" cy="3433136"/>
                    </a:xfrm>
                    <a:prstGeom prst="rect">
                      <a:avLst/>
                    </a:prstGeom>
                    <a:noFill/>
                  </pic:spPr>
                </pic:pic>
              </a:graphicData>
            </a:graphic>
          </wp:inline>
        </w:drawing>
      </w:r>
    </w:p>
    <w:p w14:paraId="2EA9DA59" w14:textId="25FBE88F" w:rsidR="00BD7FD6" w:rsidRPr="00545EC0" w:rsidRDefault="00BD7FD6" w:rsidP="00BD7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left"/>
        <w:rPr>
          <w:rFonts w:cs="Arial"/>
          <w:b/>
          <w:bCs/>
          <w:szCs w:val="20"/>
          <w:lang w:eastAsia="ja-JP"/>
        </w:rPr>
      </w:pPr>
      <w:bookmarkStart w:id="218" w:name="_Ref84339255"/>
      <w:r w:rsidRPr="00545EC0">
        <w:rPr>
          <w:szCs w:val="20"/>
        </w:rPr>
        <w:t xml:space="preserve">Slika </w:t>
      </w:r>
      <w:r w:rsidR="00396E1E" w:rsidRPr="00545EC0">
        <w:rPr>
          <w:szCs w:val="20"/>
        </w:rPr>
        <w:fldChar w:fldCharType="begin"/>
      </w:r>
      <w:r w:rsidR="00396E1E" w:rsidRPr="00545EC0">
        <w:rPr>
          <w:szCs w:val="20"/>
        </w:rPr>
        <w:instrText xml:space="preserve"> STYLEREF 1 \s </w:instrText>
      </w:r>
      <w:r w:rsidR="00396E1E" w:rsidRPr="00545EC0">
        <w:rPr>
          <w:szCs w:val="20"/>
        </w:rPr>
        <w:fldChar w:fldCharType="separate"/>
      </w:r>
      <w:r w:rsidR="002F3E43">
        <w:rPr>
          <w:noProof/>
          <w:szCs w:val="20"/>
        </w:rPr>
        <w:t>2</w:t>
      </w:r>
      <w:r w:rsidR="00396E1E" w:rsidRPr="00545EC0">
        <w:rPr>
          <w:szCs w:val="20"/>
        </w:rPr>
        <w:fldChar w:fldCharType="end"/>
      </w:r>
      <w:r w:rsidR="00396E1E" w:rsidRPr="00545EC0">
        <w:rPr>
          <w:szCs w:val="20"/>
        </w:rPr>
        <w:noBreakHyphen/>
      </w:r>
      <w:r w:rsidR="00396E1E" w:rsidRPr="00545EC0">
        <w:rPr>
          <w:szCs w:val="20"/>
        </w:rPr>
        <w:fldChar w:fldCharType="begin"/>
      </w:r>
      <w:r w:rsidR="00396E1E" w:rsidRPr="00545EC0">
        <w:rPr>
          <w:szCs w:val="20"/>
        </w:rPr>
        <w:instrText xml:space="preserve"> SEQ Slika \* ARABIC \s 1 </w:instrText>
      </w:r>
      <w:r w:rsidR="00396E1E" w:rsidRPr="00545EC0">
        <w:rPr>
          <w:szCs w:val="20"/>
        </w:rPr>
        <w:fldChar w:fldCharType="separate"/>
      </w:r>
      <w:r w:rsidR="002F3E43">
        <w:rPr>
          <w:noProof/>
          <w:szCs w:val="20"/>
        </w:rPr>
        <w:t>23</w:t>
      </w:r>
      <w:r w:rsidR="00396E1E" w:rsidRPr="00545EC0">
        <w:rPr>
          <w:szCs w:val="20"/>
        </w:rPr>
        <w:fldChar w:fldCharType="end"/>
      </w:r>
      <w:bookmarkEnd w:id="218"/>
      <w:r w:rsidRPr="00545EC0">
        <w:rPr>
          <w:szCs w:val="20"/>
        </w:rPr>
        <w:t xml:space="preserve">: </w:t>
      </w:r>
      <w:r w:rsidRPr="00545EC0">
        <w:rPr>
          <w:rFonts w:cs="Arial"/>
          <w:szCs w:val="20"/>
        </w:rPr>
        <w:t>Delež števila dVTPV s pomembno obremenitvijo zaradi spremenjenega obrežnega pasu na porečjih VO Donave</w:t>
      </w:r>
    </w:p>
    <w:p w14:paraId="3E9E50DC"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p>
    <w:p w14:paraId="5A90EAC0" w14:textId="77777777" w:rsidR="00BA1338" w:rsidRPr="00545EC0" w:rsidRDefault="00BA1338" w:rsidP="006C37B4">
      <w:pPr>
        <w:rPr>
          <w:b/>
        </w:rPr>
      </w:pPr>
      <w:r w:rsidRPr="00545EC0">
        <w:rPr>
          <w:b/>
        </w:rPr>
        <w:lastRenderedPageBreak/>
        <w:t xml:space="preserve">Morfološke obremenitve – plovba </w:t>
      </w:r>
    </w:p>
    <w:p w14:paraId="499A0466" w14:textId="77777777" w:rsidR="00BD7FD6" w:rsidRPr="00545EC0" w:rsidRDefault="00BD7FD6" w:rsidP="006C37B4">
      <w:pPr>
        <w:rPr>
          <w:b/>
        </w:rPr>
      </w:pPr>
    </w:p>
    <w:p w14:paraId="17A3B47C" w14:textId="7E4FC399" w:rsidR="0077011A" w:rsidRPr="00545EC0" w:rsidRDefault="00BA1338" w:rsidP="006C37B4">
      <w:r w:rsidRPr="00545EC0">
        <w:t xml:space="preserve">V okviru analize plovbe so analizirani podatki o plovbi na nemotorni pogon na podlagi odlokov o plovbi in podatki o plovbi na motorni pogon na podlagi uredb (DRSV, 2021). Za vsak dVTPV je bila opredeljena prisotnost plovbe. Plovba je prisotna na več dVTPV-jih, v največjem obsegu pa na Savi Bohinjki, Savi, Ljubljanici, Krki, Kolpi, Savinji, Sotli, Dravi in Muri.  </w:t>
      </w:r>
    </w:p>
    <w:p w14:paraId="1206BC2F" w14:textId="77777777" w:rsidR="00E317F6" w:rsidRPr="00545EC0" w:rsidRDefault="00E317F6" w:rsidP="006C37B4"/>
    <w:p w14:paraId="58B7082D" w14:textId="7298F7E1" w:rsidR="00BA1338" w:rsidRPr="00545EC0" w:rsidRDefault="00BA1338" w:rsidP="006C37B4">
      <w:r w:rsidRPr="00545EC0">
        <w:t xml:space="preserve">Na podlagi razpoložljivih podatkov o prisotnosti plovbe ter ekspertni oceni intenzivnosti plovbe, so bile določene pomembne obremenitve zaradi plovbe. Privzet je ekspertno določen kriterij, da je pomembna obremenitev zaradi plovbe prisotna na tistih dVTPV-jih, kjer je prepoznana intenzivna plovba na motorni pogon za gospodarske namene. Na VO Donave ni tovrstnih pomembnih obremenitev. </w:t>
      </w:r>
    </w:p>
    <w:p w14:paraId="0A4767BE" w14:textId="77777777" w:rsidR="004507A4" w:rsidRPr="00545EC0" w:rsidRDefault="004507A4" w:rsidP="006C37B4"/>
    <w:p w14:paraId="2E4A6E21" w14:textId="296E9181" w:rsidR="00BA1338" w:rsidRPr="00545EC0" w:rsidRDefault="00BA1338" w:rsidP="0078119E">
      <w:pPr>
        <w:rPr>
          <w:i/>
        </w:rPr>
      </w:pPr>
      <w:r w:rsidRPr="00545EC0">
        <w:t xml:space="preserve">Deli vodnih teles, na katerih je prisotna plovba, so prikazani na </w:t>
      </w:r>
      <w:r w:rsidR="00F30D81" w:rsidRPr="00545EC0">
        <w:t>publikacijski karti</w:t>
      </w:r>
      <w:r w:rsidR="0078119E" w:rsidRPr="00545EC0">
        <w:t xml:space="preserve"> </w:t>
      </w:r>
      <w:r w:rsidRPr="00545EC0">
        <w:rPr>
          <w:i/>
        </w:rPr>
        <w:t>(Publikacijska karta</w:t>
      </w:r>
      <w:r w:rsidR="0078119E" w:rsidRPr="00545EC0">
        <w:rPr>
          <w:i/>
        </w:rPr>
        <w:t xml:space="preserve"> 4.13</w:t>
      </w:r>
      <w:r w:rsidRPr="00545EC0">
        <w:rPr>
          <w:i/>
        </w:rPr>
        <w:t>:</w:t>
      </w:r>
      <w:r w:rsidR="0078119E" w:rsidRPr="00545EC0">
        <w:rPr>
          <w:i/>
        </w:rPr>
        <w:t xml:space="preserve"> Prisotnost plovbe na motorni in nemotorni pogon in pomembne obremenitve dVTPV</w:t>
      </w:r>
      <w:r w:rsidR="00F30D81" w:rsidRPr="00545EC0">
        <w:rPr>
          <w:i/>
        </w:rPr>
        <w:t>).</w:t>
      </w:r>
    </w:p>
    <w:p w14:paraId="2473F0D4" w14:textId="77777777" w:rsidR="004507A4" w:rsidRPr="00545EC0" w:rsidRDefault="004507A4" w:rsidP="00BA1338">
      <w:pPr>
        <w:spacing w:before="240" w:after="240"/>
        <w:rPr>
          <w:rFonts w:cs="Arial"/>
        </w:rPr>
      </w:pPr>
    </w:p>
    <w:p w14:paraId="5EC4139D" w14:textId="23314421" w:rsidR="004507A4" w:rsidRPr="00545EC0" w:rsidRDefault="004507A4" w:rsidP="004507A4">
      <w:pPr>
        <w:pStyle w:val="Naslov4"/>
        <w:rPr>
          <w:color w:val="auto"/>
          <w:lang w:val="sl-SI"/>
        </w:rPr>
      </w:pPr>
      <w:r w:rsidRPr="00545EC0">
        <w:rPr>
          <w:color w:val="auto"/>
          <w:lang w:val="sl-SI"/>
        </w:rPr>
        <w:t xml:space="preserve">Prikaz hidromorfoloških obremenitev vodnih teles površinskih voda – jezera in zadrževalniki   </w:t>
      </w:r>
    </w:p>
    <w:p w14:paraId="786FA3B4" w14:textId="77777777" w:rsidR="00BA1338" w:rsidRPr="00545EC0" w:rsidRDefault="00BA1338" w:rsidP="00BA1338">
      <w:pPr>
        <w:spacing w:before="240" w:after="240"/>
        <w:rPr>
          <w:rFonts w:cs="Arial"/>
        </w:rPr>
      </w:pPr>
      <w:r w:rsidRPr="00545EC0">
        <w:rPr>
          <w:rFonts w:cs="Arial"/>
        </w:rPr>
        <w:t xml:space="preserve">Na jezerih in zadrževalnikih so obravnavne enake hidromorfološke obremenitve kot na vodotokih. Uporabljeni so tudi enaki metodološki pristopi za analizo obremenitev in analizo pomembnih obremenitev. Na VO Donave sta obravnavani dve jezeri (Blejsko in Bohinjsko jezero) in 29 zadrževalnikov. </w:t>
      </w:r>
    </w:p>
    <w:p w14:paraId="6DE827AD" w14:textId="77777777" w:rsidR="00BA1338" w:rsidRPr="00545EC0" w:rsidRDefault="00BA1338" w:rsidP="00BA1338">
      <w:pPr>
        <w:spacing w:before="240" w:after="240"/>
        <w:rPr>
          <w:rFonts w:cs="Arial"/>
        </w:rPr>
      </w:pPr>
      <w:r w:rsidRPr="00545EC0">
        <w:rPr>
          <w:rFonts w:cs="Arial"/>
        </w:rPr>
        <w:t xml:space="preserve">Medtem ko je pri vodotokih ocena hidromorfološke spremenjenosti zaradi regulacij in ureditev povzeta po podatkih o Kategorizaciji urejanja vodotokov, so podatki o hidromorfološki spremenjenosti jezer in zadrževalnikov povzeti po metodologiji MISO-J (IzVRS, 2018), ki posamezne odseke jezer in zadrževalnikov razvršča v 5 razredov (od razreda 1, ki predstavlja naravno območje do razreda 5, ki predstavlja zelo močno spremenjeno območje). Glede na delež posameznega razreda je za posamezno jezero in zadrževalnik določeno utežno povprečje razredov, ki nato določa skupni razred hidromorfološke spremenjenosti dVTPV. Opredeljeno je, da je pomembna obremenitev zaradi hidromorfološke spremenjenosti prisotna, če je razred spremenjenosti večji ali enak 3. Glede na naveden kriterij je pomembna obremenitev na VO Donave prisotna na Blejskem, Velenjskem, Ptujskem in Ormoškem jezeru. </w:t>
      </w:r>
    </w:p>
    <w:p w14:paraId="0FD501DD" w14:textId="11D0C66D" w:rsidR="0078119E" w:rsidRPr="00545EC0" w:rsidRDefault="00BA1338" w:rsidP="0078119E">
      <w:pPr>
        <w:rPr>
          <w:i/>
        </w:rPr>
      </w:pPr>
      <w:r w:rsidRPr="00545EC0">
        <w:rPr>
          <w:rFonts w:cs="Arial"/>
          <w:szCs w:val="24"/>
          <w:lang w:eastAsia="ja-JP"/>
        </w:rPr>
        <w:t>Deli vodnih teles površinskih voda, na katerih so prisotne pomembne obremenitve zaradi hidromorfološke spremenjenosti jezer in zadrževalnikov, so prikazani na karti</w:t>
      </w:r>
      <w:r w:rsidR="0078119E" w:rsidRPr="00545EC0">
        <w:rPr>
          <w:rFonts w:cs="Arial"/>
          <w:szCs w:val="24"/>
          <w:lang w:eastAsia="ja-JP"/>
        </w:rPr>
        <w:t xml:space="preserve"> (</w:t>
      </w:r>
      <w:r w:rsidR="0078119E" w:rsidRPr="00545EC0">
        <w:rPr>
          <w:i/>
        </w:rPr>
        <w:t>Publikacijska karta 4.10: Hidromorfološka spremenjenost jezer in zadrževalnikov in pomembne obremenitve dVTPV).</w:t>
      </w:r>
    </w:p>
    <w:p w14:paraId="79B52E88" w14:textId="77777777" w:rsidR="0078119E" w:rsidRPr="00545EC0" w:rsidRDefault="0078119E" w:rsidP="0078119E">
      <w:pPr>
        <w:rPr>
          <w:i/>
        </w:rPr>
      </w:pPr>
    </w:p>
    <w:p w14:paraId="7E46F847" w14:textId="0A4E2BDC" w:rsidR="00BA1338" w:rsidRPr="00545EC0" w:rsidRDefault="0078119E"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4"/>
          <w:lang w:eastAsia="ja-JP"/>
        </w:rPr>
      </w:pPr>
      <w:r w:rsidRPr="00545EC0">
        <w:rPr>
          <w:rFonts w:cs="Arial"/>
          <w:szCs w:val="24"/>
          <w:lang w:eastAsia="ja-JP"/>
        </w:rPr>
        <w:t xml:space="preserve">Ostale </w:t>
      </w:r>
      <w:r w:rsidR="00BA1338" w:rsidRPr="00545EC0">
        <w:rPr>
          <w:rFonts w:cs="Arial"/>
          <w:szCs w:val="24"/>
          <w:lang w:eastAsia="ja-JP"/>
        </w:rPr>
        <w:t xml:space="preserve">hidromorfološke obremenitve (npr. spremenjenost obrežnega pasu) so prikazane na publikacijskih kartah, ki so navedene v okviru analize obremenitev na vodotokih. </w:t>
      </w:r>
    </w:p>
    <w:p w14:paraId="03AFB34F"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4"/>
          <w:lang w:eastAsia="ja-JP"/>
        </w:rPr>
      </w:pPr>
    </w:p>
    <w:p w14:paraId="067E8664" w14:textId="33849CA5"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4"/>
          <w:lang w:eastAsia="ja-JP"/>
        </w:rPr>
      </w:pPr>
      <w:r w:rsidRPr="00545EC0">
        <w:rPr>
          <w:rFonts w:cs="Arial"/>
          <w:szCs w:val="24"/>
          <w:lang w:eastAsia="ja-JP"/>
        </w:rPr>
        <w:t>Na jezerih in zadrževalnikih so prisotne pomembne obremenitve, ki so navedene v nadaljevanju (</w:t>
      </w:r>
      <w:r w:rsidR="00304879" w:rsidRPr="00545EC0">
        <w:rPr>
          <w:rFonts w:cs="Arial"/>
          <w:szCs w:val="24"/>
          <w:lang w:eastAsia="ja-JP"/>
        </w:rPr>
        <w:fldChar w:fldCharType="begin"/>
      </w:r>
      <w:r w:rsidR="00304879" w:rsidRPr="00545EC0">
        <w:rPr>
          <w:rFonts w:cs="Arial"/>
          <w:szCs w:val="24"/>
          <w:lang w:eastAsia="ja-JP"/>
        </w:rPr>
        <w:instrText xml:space="preserve"> REF _Ref84321051 \h </w:instrText>
      </w:r>
      <w:r w:rsidR="00F37A91" w:rsidRPr="00545EC0">
        <w:rPr>
          <w:rFonts w:cs="Arial"/>
          <w:szCs w:val="24"/>
          <w:lang w:eastAsia="ja-JP"/>
        </w:rPr>
        <w:instrText xml:space="preserve"> \* MERGEFORMAT </w:instrText>
      </w:r>
      <w:r w:rsidR="00304879" w:rsidRPr="00545EC0">
        <w:rPr>
          <w:rFonts w:cs="Arial"/>
          <w:szCs w:val="24"/>
          <w:lang w:eastAsia="ja-JP"/>
        </w:rPr>
      </w:r>
      <w:r w:rsidR="00304879" w:rsidRPr="00545EC0">
        <w:rPr>
          <w:rFonts w:cs="Arial"/>
          <w:szCs w:val="24"/>
          <w:lang w:eastAsia="ja-JP"/>
        </w:rPr>
        <w:fldChar w:fldCharType="separate"/>
      </w:r>
      <w:r w:rsidR="002F3E43" w:rsidRPr="00545EC0">
        <w:t xml:space="preserve">Preglednica </w:t>
      </w:r>
      <w:r w:rsidR="002F3E43">
        <w:rPr>
          <w:noProof/>
        </w:rPr>
        <w:t>2</w:t>
      </w:r>
      <w:r w:rsidR="002F3E43" w:rsidRPr="00545EC0">
        <w:rPr>
          <w:noProof/>
        </w:rPr>
        <w:noBreakHyphen/>
      </w:r>
      <w:r w:rsidR="002F3E43">
        <w:rPr>
          <w:noProof/>
        </w:rPr>
        <w:t>32</w:t>
      </w:r>
      <w:r w:rsidR="00304879" w:rsidRPr="00545EC0">
        <w:rPr>
          <w:rFonts w:cs="Arial"/>
          <w:szCs w:val="24"/>
          <w:lang w:eastAsia="ja-JP"/>
        </w:rPr>
        <w:fldChar w:fldCharType="end"/>
      </w:r>
      <w:r w:rsidRPr="00545EC0">
        <w:rPr>
          <w:rFonts w:cs="Arial"/>
          <w:szCs w:val="24"/>
          <w:lang w:eastAsia="ja-JP"/>
        </w:rPr>
        <w:t xml:space="preserve">). Na večini zadrževalnikov je poleg zajezitve, ki predstavlja glavno hidromorfološko obremenitev, pomembna obremenitev tudi spremenjenost obrežnega pasu. </w:t>
      </w:r>
    </w:p>
    <w:p w14:paraId="3EF64FA5"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4"/>
          <w:lang w:eastAsia="ja-JP"/>
        </w:rPr>
      </w:pPr>
    </w:p>
    <w:p w14:paraId="20C7BD57" w14:textId="77777777" w:rsidR="004507A4" w:rsidRPr="00545EC0" w:rsidRDefault="004507A4"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4"/>
          <w:lang w:eastAsia="ja-JP"/>
        </w:rPr>
      </w:pPr>
    </w:p>
    <w:p w14:paraId="29B78541" w14:textId="77777777" w:rsidR="004507A4" w:rsidRPr="00545EC0" w:rsidRDefault="004507A4"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4"/>
          <w:lang w:eastAsia="ja-JP"/>
        </w:rPr>
      </w:pPr>
    </w:p>
    <w:p w14:paraId="146805E9" w14:textId="2B2C0F6B" w:rsidR="00887665" w:rsidRPr="00545EC0" w:rsidRDefault="00887665" w:rsidP="00887665">
      <w:pPr>
        <w:pStyle w:val="Napis"/>
        <w:keepNext/>
      </w:pPr>
      <w:bookmarkStart w:id="219" w:name="_Ref84321051"/>
      <w:bookmarkStart w:id="220" w:name="_Ref84256667"/>
      <w:r w:rsidRPr="00545EC0">
        <w:lastRenderedPageBreak/>
        <w:t xml:space="preserve">Preglednica </w:t>
      </w:r>
      <w:fldSimple w:instr=" STYLEREF 1 \s ">
        <w:r w:rsidR="002F3E43">
          <w:rPr>
            <w:noProof/>
          </w:rPr>
          <w:t>2</w:t>
        </w:r>
      </w:fldSimple>
      <w:r w:rsidR="001A7511" w:rsidRPr="00545EC0">
        <w:noBreakHyphen/>
      </w:r>
      <w:fldSimple w:instr=" SEQ Preglednica \* ARABIC \s 1 ">
        <w:r w:rsidR="002F3E43">
          <w:rPr>
            <w:noProof/>
          </w:rPr>
          <w:t>32</w:t>
        </w:r>
      </w:fldSimple>
      <w:bookmarkEnd w:id="219"/>
      <w:r w:rsidR="001C0908" w:rsidRPr="00545EC0">
        <w:t>: Pomembne obremenitve na jezerih in zadrževalnikih</w:t>
      </w:r>
      <w:bookmarkEnd w:id="220"/>
    </w:p>
    <w:tbl>
      <w:tblPr>
        <w:tblW w:w="9142" w:type="dxa"/>
        <w:shd w:val="clear" w:color="auto" w:fill="FFFFFF" w:themeFill="background1"/>
        <w:tblLayout w:type="fixed"/>
        <w:tblCellMar>
          <w:left w:w="70" w:type="dxa"/>
          <w:right w:w="70" w:type="dxa"/>
        </w:tblCellMar>
        <w:tblLook w:val="04A0" w:firstRow="1" w:lastRow="0" w:firstColumn="1" w:lastColumn="0" w:noHBand="0" w:noVBand="1"/>
      </w:tblPr>
      <w:tblGrid>
        <w:gridCol w:w="1041"/>
        <w:gridCol w:w="2215"/>
        <w:gridCol w:w="2268"/>
        <w:gridCol w:w="357"/>
        <w:gridCol w:w="426"/>
        <w:gridCol w:w="290"/>
        <w:gridCol w:w="358"/>
        <w:gridCol w:w="358"/>
        <w:gridCol w:w="358"/>
        <w:gridCol w:w="358"/>
        <w:gridCol w:w="358"/>
        <w:gridCol w:w="472"/>
        <w:gridCol w:w="283"/>
      </w:tblGrid>
      <w:tr w:rsidR="003122F4" w:rsidRPr="00545EC0" w14:paraId="03CDB42D" w14:textId="77777777" w:rsidTr="00627979">
        <w:trPr>
          <w:trHeight w:val="354"/>
          <w:tblHeader/>
        </w:trPr>
        <w:tc>
          <w:tcPr>
            <w:tcW w:w="1041" w:type="dxa"/>
            <w:vMerge w:val="restart"/>
            <w:tcBorders>
              <w:top w:val="single" w:sz="4" w:space="0" w:color="auto"/>
              <w:left w:val="single" w:sz="4" w:space="0" w:color="auto"/>
              <w:right w:val="single" w:sz="4" w:space="0" w:color="auto"/>
            </w:tcBorders>
            <w:shd w:val="clear" w:color="auto" w:fill="F2F2F2" w:themeFill="background1" w:themeFillShade="F2"/>
            <w:noWrap/>
            <w:vAlign w:val="bottom"/>
          </w:tcPr>
          <w:p w14:paraId="413B1C48" w14:textId="77777777" w:rsidR="00BA1338" w:rsidRPr="00545EC0" w:rsidRDefault="00BA1338" w:rsidP="004F2AF2">
            <w:pPr>
              <w:spacing w:line="240" w:lineRule="auto"/>
              <w:rPr>
                <w:rFonts w:cs="Arial"/>
                <w:b/>
                <w:bCs/>
                <w:sz w:val="18"/>
                <w:szCs w:val="18"/>
              </w:rPr>
            </w:pPr>
            <w:r w:rsidRPr="00545EC0">
              <w:rPr>
                <w:rFonts w:cs="Arial"/>
                <w:b/>
                <w:bCs/>
                <w:sz w:val="18"/>
                <w:szCs w:val="18"/>
              </w:rPr>
              <w:t>Šifra VTPV</w:t>
            </w:r>
          </w:p>
        </w:tc>
        <w:tc>
          <w:tcPr>
            <w:tcW w:w="2215" w:type="dxa"/>
            <w:vMerge w:val="restart"/>
            <w:tcBorders>
              <w:top w:val="single" w:sz="4" w:space="0" w:color="auto"/>
              <w:left w:val="nil"/>
              <w:right w:val="single" w:sz="4" w:space="0" w:color="auto"/>
            </w:tcBorders>
            <w:shd w:val="clear" w:color="auto" w:fill="F2F2F2" w:themeFill="background1" w:themeFillShade="F2"/>
            <w:noWrap/>
            <w:vAlign w:val="bottom"/>
          </w:tcPr>
          <w:p w14:paraId="13B8CA4E" w14:textId="77777777" w:rsidR="00BA1338" w:rsidRPr="00545EC0" w:rsidRDefault="00BA1338" w:rsidP="004F2AF2">
            <w:pPr>
              <w:spacing w:line="240" w:lineRule="auto"/>
              <w:rPr>
                <w:rFonts w:cs="Arial"/>
                <w:b/>
                <w:bCs/>
                <w:sz w:val="18"/>
                <w:szCs w:val="18"/>
              </w:rPr>
            </w:pPr>
            <w:r w:rsidRPr="00545EC0">
              <w:rPr>
                <w:rFonts w:cs="Arial"/>
                <w:b/>
                <w:bCs/>
                <w:sz w:val="18"/>
                <w:szCs w:val="18"/>
              </w:rPr>
              <w:t>Ime VTPV</w:t>
            </w:r>
          </w:p>
        </w:tc>
        <w:tc>
          <w:tcPr>
            <w:tcW w:w="2268" w:type="dxa"/>
            <w:vMerge w:val="restart"/>
            <w:tcBorders>
              <w:top w:val="single" w:sz="4" w:space="0" w:color="auto"/>
              <w:left w:val="nil"/>
              <w:right w:val="single" w:sz="4" w:space="0" w:color="auto"/>
            </w:tcBorders>
            <w:shd w:val="clear" w:color="auto" w:fill="F2F2F2" w:themeFill="background1" w:themeFillShade="F2"/>
            <w:noWrap/>
            <w:vAlign w:val="bottom"/>
          </w:tcPr>
          <w:p w14:paraId="3335C523" w14:textId="77777777" w:rsidR="00BA1338" w:rsidRPr="00545EC0" w:rsidRDefault="00BA1338" w:rsidP="004F2AF2">
            <w:pPr>
              <w:spacing w:line="240" w:lineRule="auto"/>
              <w:rPr>
                <w:rFonts w:cs="Arial"/>
                <w:b/>
                <w:bCs/>
                <w:sz w:val="18"/>
                <w:szCs w:val="18"/>
              </w:rPr>
            </w:pPr>
            <w:r w:rsidRPr="00545EC0">
              <w:rPr>
                <w:rFonts w:cs="Arial"/>
                <w:b/>
                <w:bCs/>
                <w:sz w:val="18"/>
                <w:szCs w:val="18"/>
              </w:rPr>
              <w:t>Ime dVTPV</w:t>
            </w:r>
          </w:p>
        </w:tc>
        <w:tc>
          <w:tcPr>
            <w:tcW w:w="3618" w:type="dxa"/>
            <w:gridSpan w:val="10"/>
            <w:tcBorders>
              <w:top w:val="single" w:sz="4" w:space="0" w:color="auto"/>
              <w:left w:val="nil"/>
              <w:bottom w:val="single" w:sz="4" w:space="0" w:color="auto"/>
              <w:right w:val="single" w:sz="4" w:space="0" w:color="auto"/>
            </w:tcBorders>
            <w:shd w:val="clear" w:color="auto" w:fill="F2F2F2" w:themeFill="background1" w:themeFillShade="F2"/>
            <w:vAlign w:val="center"/>
          </w:tcPr>
          <w:p w14:paraId="30D8AF66" w14:textId="77777777" w:rsidR="00BA1338" w:rsidRPr="00545EC0" w:rsidRDefault="00BA1338" w:rsidP="004F2AF2">
            <w:pPr>
              <w:spacing w:line="240" w:lineRule="auto"/>
              <w:jc w:val="center"/>
              <w:rPr>
                <w:rFonts w:cs="Arial"/>
                <w:b/>
                <w:bCs/>
                <w:sz w:val="18"/>
                <w:szCs w:val="18"/>
              </w:rPr>
            </w:pPr>
            <w:r w:rsidRPr="00545EC0">
              <w:rPr>
                <w:rFonts w:cs="Arial"/>
                <w:b/>
                <w:bCs/>
                <w:sz w:val="18"/>
                <w:szCs w:val="18"/>
              </w:rPr>
              <w:t>Pomembne hidromorfološke obremenitve</w:t>
            </w:r>
          </w:p>
        </w:tc>
      </w:tr>
      <w:tr w:rsidR="003122F4" w:rsidRPr="00545EC0" w14:paraId="229988F3" w14:textId="77777777" w:rsidTr="00627979">
        <w:trPr>
          <w:trHeight w:val="2542"/>
          <w:tblHeader/>
        </w:trPr>
        <w:tc>
          <w:tcPr>
            <w:tcW w:w="1041" w:type="dxa"/>
            <w:vMerge/>
            <w:tcBorders>
              <w:left w:val="single" w:sz="4" w:space="0" w:color="auto"/>
              <w:bottom w:val="single" w:sz="4" w:space="0" w:color="auto"/>
              <w:right w:val="single" w:sz="4" w:space="0" w:color="auto"/>
            </w:tcBorders>
            <w:shd w:val="clear" w:color="auto" w:fill="FFFFFF" w:themeFill="background1"/>
            <w:noWrap/>
            <w:vAlign w:val="bottom"/>
            <w:hideMark/>
          </w:tcPr>
          <w:p w14:paraId="0585C6D7" w14:textId="77777777" w:rsidR="00BA1338" w:rsidRPr="00545EC0" w:rsidRDefault="00BA1338" w:rsidP="004F2AF2">
            <w:pPr>
              <w:spacing w:line="240" w:lineRule="auto"/>
              <w:rPr>
                <w:rFonts w:cs="Arial"/>
                <w:b/>
                <w:bCs/>
                <w:sz w:val="18"/>
                <w:szCs w:val="18"/>
              </w:rPr>
            </w:pPr>
          </w:p>
        </w:tc>
        <w:tc>
          <w:tcPr>
            <w:tcW w:w="2215" w:type="dxa"/>
            <w:vMerge/>
            <w:tcBorders>
              <w:left w:val="nil"/>
              <w:bottom w:val="single" w:sz="4" w:space="0" w:color="auto"/>
              <w:right w:val="single" w:sz="4" w:space="0" w:color="auto"/>
            </w:tcBorders>
            <w:shd w:val="clear" w:color="auto" w:fill="FFFFFF" w:themeFill="background1"/>
            <w:noWrap/>
            <w:vAlign w:val="bottom"/>
            <w:hideMark/>
          </w:tcPr>
          <w:p w14:paraId="7829EB30" w14:textId="77777777" w:rsidR="00BA1338" w:rsidRPr="00545EC0" w:rsidRDefault="00BA1338" w:rsidP="004F2AF2">
            <w:pPr>
              <w:spacing w:line="240" w:lineRule="auto"/>
              <w:rPr>
                <w:rFonts w:cs="Arial"/>
                <w:b/>
                <w:bCs/>
                <w:sz w:val="18"/>
                <w:szCs w:val="18"/>
              </w:rPr>
            </w:pPr>
          </w:p>
        </w:tc>
        <w:tc>
          <w:tcPr>
            <w:tcW w:w="2268" w:type="dxa"/>
            <w:vMerge/>
            <w:tcBorders>
              <w:left w:val="nil"/>
              <w:bottom w:val="single" w:sz="4" w:space="0" w:color="auto"/>
              <w:right w:val="single" w:sz="4" w:space="0" w:color="auto"/>
            </w:tcBorders>
            <w:shd w:val="clear" w:color="auto" w:fill="FFFFFF" w:themeFill="background1"/>
            <w:noWrap/>
            <w:vAlign w:val="bottom"/>
            <w:hideMark/>
          </w:tcPr>
          <w:p w14:paraId="7B307C68" w14:textId="77777777" w:rsidR="00BA1338" w:rsidRPr="00545EC0" w:rsidRDefault="00BA1338" w:rsidP="004F2AF2">
            <w:pPr>
              <w:spacing w:line="240" w:lineRule="auto"/>
              <w:rPr>
                <w:rFonts w:cs="Arial"/>
                <w:b/>
                <w:bCs/>
                <w:sz w:val="18"/>
                <w:szCs w:val="18"/>
              </w:rPr>
            </w:pPr>
          </w:p>
        </w:tc>
        <w:tc>
          <w:tcPr>
            <w:tcW w:w="357" w:type="dxa"/>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0E21983F" w14:textId="77777777" w:rsidR="00BA1338" w:rsidRPr="00545EC0" w:rsidRDefault="00BA1338" w:rsidP="004F2AF2">
            <w:pPr>
              <w:spacing w:line="240" w:lineRule="auto"/>
              <w:rPr>
                <w:rFonts w:cs="Arial"/>
                <w:b/>
                <w:bCs/>
                <w:sz w:val="18"/>
                <w:szCs w:val="18"/>
              </w:rPr>
            </w:pPr>
            <w:r w:rsidRPr="00545EC0">
              <w:rPr>
                <w:rFonts w:cs="Arial"/>
                <w:b/>
                <w:bCs/>
                <w:sz w:val="18"/>
                <w:szCs w:val="18"/>
              </w:rPr>
              <w:t>Odvzem vode</w:t>
            </w:r>
          </w:p>
        </w:tc>
        <w:tc>
          <w:tcPr>
            <w:tcW w:w="426" w:type="dxa"/>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39DA631B" w14:textId="77777777" w:rsidR="00BA1338" w:rsidRPr="00545EC0" w:rsidRDefault="00BA1338" w:rsidP="004F2AF2">
            <w:pPr>
              <w:spacing w:line="240" w:lineRule="auto"/>
              <w:rPr>
                <w:rFonts w:cs="Arial"/>
                <w:b/>
                <w:bCs/>
                <w:sz w:val="18"/>
                <w:szCs w:val="18"/>
              </w:rPr>
            </w:pPr>
            <w:r w:rsidRPr="00545EC0">
              <w:rPr>
                <w:rFonts w:cs="Arial"/>
                <w:b/>
                <w:bCs/>
                <w:sz w:val="18"/>
                <w:szCs w:val="18"/>
              </w:rPr>
              <w:t>Nihanje v. gladine in pul. pretok</w:t>
            </w:r>
          </w:p>
        </w:tc>
        <w:tc>
          <w:tcPr>
            <w:tcW w:w="290" w:type="dxa"/>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0A18E1D2" w14:textId="77777777" w:rsidR="00BA1338" w:rsidRPr="00545EC0" w:rsidRDefault="00BA1338" w:rsidP="004F2AF2">
            <w:pPr>
              <w:spacing w:line="240" w:lineRule="auto"/>
              <w:rPr>
                <w:rFonts w:cs="Arial"/>
                <w:b/>
                <w:bCs/>
                <w:sz w:val="18"/>
                <w:szCs w:val="18"/>
              </w:rPr>
            </w:pPr>
            <w:r w:rsidRPr="00545EC0">
              <w:rPr>
                <w:rFonts w:cs="Arial"/>
                <w:b/>
                <w:bCs/>
                <w:sz w:val="18"/>
                <w:szCs w:val="18"/>
              </w:rPr>
              <w:t>Zajezitev</w:t>
            </w:r>
          </w:p>
        </w:tc>
        <w:tc>
          <w:tcPr>
            <w:tcW w:w="358" w:type="dxa"/>
            <w:tcBorders>
              <w:top w:val="single" w:sz="4" w:space="0" w:color="auto"/>
              <w:left w:val="nil"/>
              <w:bottom w:val="nil"/>
              <w:right w:val="single" w:sz="4" w:space="0" w:color="auto"/>
            </w:tcBorders>
            <w:shd w:val="clear" w:color="auto" w:fill="F2F2F2" w:themeFill="background1" w:themeFillShade="F2"/>
            <w:textDirection w:val="btLr"/>
            <w:vAlign w:val="center"/>
            <w:hideMark/>
          </w:tcPr>
          <w:p w14:paraId="779BF50D" w14:textId="77777777" w:rsidR="00BA1338" w:rsidRPr="00545EC0" w:rsidRDefault="00BA1338" w:rsidP="004F2AF2">
            <w:pPr>
              <w:spacing w:line="240" w:lineRule="auto"/>
              <w:rPr>
                <w:rFonts w:cs="Arial"/>
                <w:b/>
                <w:bCs/>
                <w:sz w:val="18"/>
                <w:szCs w:val="18"/>
              </w:rPr>
            </w:pPr>
            <w:r w:rsidRPr="00545EC0">
              <w:rPr>
                <w:rFonts w:cs="Arial"/>
                <w:b/>
                <w:bCs/>
                <w:sz w:val="18"/>
                <w:szCs w:val="18"/>
              </w:rPr>
              <w:t>Osuševanje zemljišč</w:t>
            </w:r>
          </w:p>
        </w:tc>
        <w:tc>
          <w:tcPr>
            <w:tcW w:w="358" w:type="dxa"/>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3514E3AB" w14:textId="77777777" w:rsidR="00BA1338" w:rsidRPr="00545EC0" w:rsidRDefault="00BA1338" w:rsidP="004F2AF2">
            <w:pPr>
              <w:spacing w:line="240" w:lineRule="auto"/>
              <w:rPr>
                <w:rFonts w:cs="Arial"/>
                <w:b/>
                <w:bCs/>
                <w:sz w:val="18"/>
                <w:szCs w:val="18"/>
              </w:rPr>
            </w:pPr>
            <w:r w:rsidRPr="00545EC0">
              <w:rPr>
                <w:rFonts w:cs="Arial"/>
                <w:b/>
                <w:bCs/>
                <w:sz w:val="18"/>
                <w:szCs w:val="18"/>
              </w:rPr>
              <w:t xml:space="preserve">Prečni objekt </w:t>
            </w:r>
          </w:p>
        </w:tc>
        <w:tc>
          <w:tcPr>
            <w:tcW w:w="358" w:type="dxa"/>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7D6ED8D4" w14:textId="77777777" w:rsidR="00BA1338" w:rsidRPr="00545EC0" w:rsidRDefault="00BA1338" w:rsidP="004F2AF2">
            <w:pPr>
              <w:spacing w:line="240" w:lineRule="auto"/>
              <w:rPr>
                <w:rFonts w:cs="Arial"/>
                <w:b/>
                <w:bCs/>
                <w:sz w:val="18"/>
                <w:szCs w:val="18"/>
              </w:rPr>
            </w:pPr>
            <w:r w:rsidRPr="00545EC0">
              <w:rPr>
                <w:rFonts w:cs="Arial"/>
                <w:b/>
                <w:bCs/>
                <w:sz w:val="18"/>
                <w:szCs w:val="18"/>
              </w:rPr>
              <w:t xml:space="preserve">Vpliv prečnih objektov </w:t>
            </w:r>
          </w:p>
        </w:tc>
        <w:tc>
          <w:tcPr>
            <w:tcW w:w="358" w:type="dxa"/>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208148AF" w14:textId="77777777" w:rsidR="00BA1338" w:rsidRPr="00545EC0" w:rsidRDefault="00BA1338" w:rsidP="004F2AF2">
            <w:pPr>
              <w:spacing w:line="240" w:lineRule="auto"/>
              <w:rPr>
                <w:rFonts w:cs="Arial"/>
                <w:b/>
                <w:bCs/>
                <w:sz w:val="18"/>
                <w:szCs w:val="18"/>
              </w:rPr>
            </w:pPr>
            <w:r w:rsidRPr="00545EC0">
              <w:rPr>
                <w:rFonts w:cs="Arial"/>
                <w:b/>
                <w:bCs/>
                <w:sz w:val="18"/>
                <w:szCs w:val="18"/>
              </w:rPr>
              <w:t>Odvzem naplavin</w:t>
            </w:r>
          </w:p>
        </w:tc>
        <w:tc>
          <w:tcPr>
            <w:tcW w:w="358" w:type="dxa"/>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1ACE2B3B" w14:textId="77777777" w:rsidR="00BA1338" w:rsidRPr="00545EC0" w:rsidRDefault="00BA1338" w:rsidP="004F2AF2">
            <w:pPr>
              <w:spacing w:line="240" w:lineRule="auto"/>
              <w:rPr>
                <w:rFonts w:cs="Arial"/>
                <w:b/>
                <w:bCs/>
                <w:sz w:val="18"/>
                <w:szCs w:val="18"/>
              </w:rPr>
            </w:pPr>
            <w:r w:rsidRPr="00545EC0">
              <w:rPr>
                <w:rFonts w:cs="Arial"/>
                <w:b/>
                <w:bCs/>
                <w:sz w:val="18"/>
                <w:szCs w:val="18"/>
              </w:rPr>
              <w:t>HM spremenjenost jezera</w:t>
            </w:r>
          </w:p>
        </w:tc>
        <w:tc>
          <w:tcPr>
            <w:tcW w:w="472" w:type="dxa"/>
            <w:tcBorders>
              <w:top w:val="single" w:sz="4" w:space="0" w:color="auto"/>
              <w:left w:val="nil"/>
              <w:bottom w:val="single" w:sz="4" w:space="0" w:color="auto"/>
              <w:right w:val="single" w:sz="4" w:space="0" w:color="auto"/>
            </w:tcBorders>
            <w:shd w:val="clear" w:color="auto" w:fill="F2F2F2" w:themeFill="background1" w:themeFillShade="F2"/>
            <w:textDirection w:val="btLr"/>
            <w:vAlign w:val="bottom"/>
            <w:hideMark/>
          </w:tcPr>
          <w:p w14:paraId="725D3F1C" w14:textId="77777777" w:rsidR="00BA1338" w:rsidRPr="00545EC0" w:rsidRDefault="00BA1338" w:rsidP="004F2AF2">
            <w:pPr>
              <w:spacing w:line="240" w:lineRule="auto"/>
              <w:rPr>
                <w:rFonts w:cs="Arial"/>
                <w:b/>
                <w:bCs/>
                <w:sz w:val="18"/>
                <w:szCs w:val="18"/>
              </w:rPr>
            </w:pPr>
            <w:r w:rsidRPr="00545EC0">
              <w:rPr>
                <w:rFonts w:cs="Arial"/>
                <w:b/>
                <w:bCs/>
                <w:sz w:val="18"/>
                <w:szCs w:val="18"/>
              </w:rPr>
              <w:t xml:space="preserve">Spremenjenost obrežnega pasu </w:t>
            </w:r>
          </w:p>
        </w:tc>
        <w:tc>
          <w:tcPr>
            <w:tcW w:w="283" w:type="dxa"/>
            <w:tcBorders>
              <w:top w:val="single" w:sz="4" w:space="0" w:color="auto"/>
              <w:left w:val="nil"/>
              <w:bottom w:val="single" w:sz="4" w:space="0" w:color="auto"/>
              <w:right w:val="single" w:sz="4" w:space="0" w:color="auto"/>
            </w:tcBorders>
            <w:shd w:val="clear" w:color="auto" w:fill="F2F2F2" w:themeFill="background1" w:themeFillShade="F2"/>
            <w:textDirection w:val="btLr"/>
            <w:vAlign w:val="bottom"/>
            <w:hideMark/>
          </w:tcPr>
          <w:p w14:paraId="7E4B1CB7" w14:textId="77777777" w:rsidR="00BA1338" w:rsidRPr="00545EC0" w:rsidRDefault="00BA1338" w:rsidP="004F2AF2">
            <w:pPr>
              <w:spacing w:line="240" w:lineRule="auto"/>
              <w:rPr>
                <w:rFonts w:cs="Arial"/>
                <w:b/>
                <w:bCs/>
                <w:sz w:val="18"/>
                <w:szCs w:val="18"/>
              </w:rPr>
            </w:pPr>
            <w:r w:rsidRPr="00545EC0">
              <w:rPr>
                <w:rFonts w:cs="Arial"/>
                <w:b/>
                <w:bCs/>
                <w:sz w:val="18"/>
                <w:szCs w:val="18"/>
              </w:rPr>
              <w:t>Plovba</w:t>
            </w:r>
          </w:p>
        </w:tc>
      </w:tr>
      <w:tr w:rsidR="003122F4" w:rsidRPr="00545EC0" w14:paraId="6A621644" w14:textId="77777777" w:rsidTr="00627979">
        <w:trPr>
          <w:trHeight w:val="227"/>
        </w:trPr>
        <w:tc>
          <w:tcPr>
            <w:tcW w:w="10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7279E7A" w14:textId="77777777" w:rsidR="00AC702B" w:rsidRPr="00545EC0" w:rsidRDefault="00AC702B" w:rsidP="004F2AF2">
            <w:pPr>
              <w:spacing w:line="240" w:lineRule="auto"/>
              <w:rPr>
                <w:rFonts w:cs="Arial"/>
                <w:sz w:val="18"/>
                <w:szCs w:val="18"/>
              </w:rPr>
            </w:pPr>
            <w:r w:rsidRPr="00545EC0">
              <w:rPr>
                <w:rFonts w:cs="Arial"/>
                <w:sz w:val="18"/>
                <w:szCs w:val="18"/>
              </w:rPr>
              <w:t>SI1128VT</w:t>
            </w:r>
          </w:p>
        </w:tc>
        <w:tc>
          <w:tcPr>
            <w:tcW w:w="2215" w:type="dxa"/>
            <w:tcBorders>
              <w:top w:val="nil"/>
              <w:left w:val="nil"/>
              <w:bottom w:val="single" w:sz="4" w:space="0" w:color="auto"/>
              <w:right w:val="single" w:sz="4" w:space="0" w:color="auto"/>
            </w:tcBorders>
            <w:shd w:val="clear" w:color="auto" w:fill="FFFFFF" w:themeFill="background1"/>
            <w:noWrap/>
            <w:vAlign w:val="center"/>
            <w:hideMark/>
          </w:tcPr>
          <w:p w14:paraId="45F7A41C" w14:textId="77777777" w:rsidR="00AC702B" w:rsidRPr="00545EC0" w:rsidRDefault="00AC702B" w:rsidP="004F2AF2">
            <w:pPr>
              <w:spacing w:line="240" w:lineRule="auto"/>
              <w:rPr>
                <w:rFonts w:cs="Arial"/>
                <w:sz w:val="18"/>
                <w:szCs w:val="18"/>
              </w:rPr>
            </w:pPr>
            <w:r w:rsidRPr="00545EC0">
              <w:rPr>
                <w:rFonts w:cs="Arial"/>
                <w:sz w:val="18"/>
                <w:szCs w:val="18"/>
              </w:rPr>
              <w:t>VTJ Blejsko jezero</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485F8E54" w14:textId="77777777" w:rsidR="00AC702B" w:rsidRPr="00545EC0" w:rsidRDefault="00AC702B" w:rsidP="004F2AF2">
            <w:pPr>
              <w:spacing w:line="240" w:lineRule="auto"/>
              <w:rPr>
                <w:rFonts w:cs="Arial"/>
                <w:sz w:val="18"/>
                <w:szCs w:val="18"/>
              </w:rPr>
            </w:pPr>
            <w:r w:rsidRPr="00545EC0">
              <w:rPr>
                <w:rFonts w:cs="Arial"/>
                <w:sz w:val="18"/>
                <w:szCs w:val="18"/>
              </w:rPr>
              <w:t>Blejsko jezero</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E40349"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5EC809"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290"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712CC3CE"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609B10"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E299DEF"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9CD3F4"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7C3AB2"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E4664D"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35752F" w14:textId="0674B7A0" w:rsidR="00AC702B" w:rsidRPr="00545EC0" w:rsidRDefault="00AC702B" w:rsidP="004F2AF2">
            <w:pPr>
              <w:spacing w:line="240" w:lineRule="auto"/>
              <w:rPr>
                <w:rFonts w:cs="Arial"/>
                <w:sz w:val="18"/>
                <w:szCs w:val="18"/>
              </w:rPr>
            </w:pPr>
            <w:r w:rsidRPr="00545EC0">
              <w:rPr>
                <w:rFonts w:cs="Arial"/>
                <w:sz w:val="18"/>
                <w:szCs w:val="18"/>
              </w:rPr>
              <w:t>1</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DD646B" w14:textId="77777777" w:rsidR="00AC702B" w:rsidRPr="00545EC0" w:rsidRDefault="00AC702B" w:rsidP="004F2AF2">
            <w:pPr>
              <w:spacing w:line="240" w:lineRule="auto"/>
              <w:rPr>
                <w:rFonts w:cs="Arial"/>
                <w:sz w:val="18"/>
                <w:szCs w:val="18"/>
              </w:rPr>
            </w:pPr>
            <w:r w:rsidRPr="00545EC0">
              <w:rPr>
                <w:rFonts w:cs="Arial"/>
                <w:sz w:val="18"/>
                <w:szCs w:val="18"/>
              </w:rPr>
              <w:t>0</w:t>
            </w:r>
          </w:p>
        </w:tc>
      </w:tr>
      <w:tr w:rsidR="003122F4" w:rsidRPr="00545EC0" w14:paraId="0466918F" w14:textId="77777777" w:rsidTr="00627979">
        <w:trPr>
          <w:trHeight w:val="227"/>
        </w:trPr>
        <w:tc>
          <w:tcPr>
            <w:tcW w:w="10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FFD0DC9" w14:textId="77777777" w:rsidR="00AC702B" w:rsidRPr="00545EC0" w:rsidRDefault="00AC702B" w:rsidP="004F2AF2">
            <w:pPr>
              <w:spacing w:line="240" w:lineRule="auto"/>
              <w:rPr>
                <w:rFonts w:cs="Arial"/>
                <w:sz w:val="18"/>
                <w:szCs w:val="18"/>
              </w:rPr>
            </w:pPr>
            <w:r w:rsidRPr="00545EC0">
              <w:rPr>
                <w:rFonts w:cs="Arial"/>
                <w:sz w:val="18"/>
                <w:szCs w:val="18"/>
              </w:rPr>
              <w:t>SI112VT3</w:t>
            </w:r>
          </w:p>
        </w:tc>
        <w:tc>
          <w:tcPr>
            <w:tcW w:w="2215" w:type="dxa"/>
            <w:tcBorders>
              <w:top w:val="nil"/>
              <w:left w:val="nil"/>
              <w:bottom w:val="single" w:sz="4" w:space="0" w:color="auto"/>
              <w:right w:val="single" w:sz="4" w:space="0" w:color="auto"/>
            </w:tcBorders>
            <w:shd w:val="clear" w:color="auto" w:fill="FFFFFF" w:themeFill="background1"/>
            <w:noWrap/>
            <w:vAlign w:val="center"/>
            <w:hideMark/>
          </w:tcPr>
          <w:p w14:paraId="3A06C51E" w14:textId="77777777" w:rsidR="00AC702B" w:rsidRPr="00545EC0" w:rsidRDefault="00AC702B" w:rsidP="004F2AF2">
            <w:pPr>
              <w:spacing w:line="240" w:lineRule="auto"/>
              <w:rPr>
                <w:rFonts w:cs="Arial"/>
                <w:sz w:val="18"/>
                <w:szCs w:val="18"/>
              </w:rPr>
            </w:pPr>
            <w:r w:rsidRPr="00545EC0">
              <w:rPr>
                <w:rFonts w:cs="Arial"/>
                <w:sz w:val="18"/>
                <w:szCs w:val="18"/>
              </w:rPr>
              <w:t>VTJ Bohinjsko jezero</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30C4D55C" w14:textId="77777777" w:rsidR="00AC702B" w:rsidRPr="00545EC0" w:rsidRDefault="00AC702B" w:rsidP="004F2AF2">
            <w:pPr>
              <w:spacing w:line="240" w:lineRule="auto"/>
              <w:rPr>
                <w:rFonts w:cs="Arial"/>
                <w:sz w:val="18"/>
                <w:szCs w:val="18"/>
              </w:rPr>
            </w:pPr>
            <w:r w:rsidRPr="00545EC0">
              <w:rPr>
                <w:rFonts w:cs="Arial"/>
                <w:sz w:val="18"/>
                <w:szCs w:val="18"/>
              </w:rPr>
              <w:t>Bohinjsko jezero</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39EC83"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331901"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290"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22533D24"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5D58A1"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E1E0E6E"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1C41B1"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10F1D4"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1A1348"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626CA7" w14:textId="2E763288" w:rsidR="00AC702B" w:rsidRPr="00545EC0" w:rsidRDefault="00AC702B" w:rsidP="004F2AF2">
            <w:pPr>
              <w:spacing w:line="240" w:lineRule="auto"/>
              <w:rPr>
                <w:rFonts w:cs="Arial"/>
                <w:sz w:val="18"/>
                <w:szCs w:val="18"/>
              </w:rPr>
            </w:pPr>
            <w:r w:rsidRPr="00545EC0">
              <w:rPr>
                <w:rFonts w:cs="Arial"/>
                <w:sz w:val="18"/>
                <w:szCs w:val="18"/>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EF0A30" w14:textId="77777777" w:rsidR="00AC702B" w:rsidRPr="00545EC0" w:rsidRDefault="00AC702B" w:rsidP="004F2AF2">
            <w:pPr>
              <w:spacing w:line="240" w:lineRule="auto"/>
              <w:rPr>
                <w:rFonts w:cs="Arial"/>
                <w:sz w:val="18"/>
                <w:szCs w:val="18"/>
              </w:rPr>
            </w:pPr>
            <w:r w:rsidRPr="00545EC0">
              <w:rPr>
                <w:rFonts w:cs="Arial"/>
                <w:sz w:val="18"/>
                <w:szCs w:val="18"/>
              </w:rPr>
              <w:t>0</w:t>
            </w:r>
          </w:p>
        </w:tc>
      </w:tr>
      <w:tr w:rsidR="003122F4" w:rsidRPr="00545EC0" w14:paraId="51EBC5C5" w14:textId="77777777" w:rsidTr="00627979">
        <w:trPr>
          <w:trHeight w:val="227"/>
        </w:trPr>
        <w:tc>
          <w:tcPr>
            <w:tcW w:w="10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DEABE50" w14:textId="77777777" w:rsidR="00AC702B" w:rsidRPr="00545EC0" w:rsidRDefault="00AC702B" w:rsidP="004F2AF2">
            <w:pPr>
              <w:spacing w:line="240" w:lineRule="auto"/>
              <w:rPr>
                <w:rFonts w:cs="Arial"/>
                <w:sz w:val="18"/>
                <w:szCs w:val="18"/>
              </w:rPr>
            </w:pPr>
            <w:r w:rsidRPr="00545EC0">
              <w:rPr>
                <w:rFonts w:cs="Arial"/>
                <w:sz w:val="18"/>
                <w:szCs w:val="18"/>
              </w:rPr>
              <w:t>SI1VT137</w:t>
            </w:r>
          </w:p>
        </w:tc>
        <w:tc>
          <w:tcPr>
            <w:tcW w:w="2215" w:type="dxa"/>
            <w:tcBorders>
              <w:top w:val="nil"/>
              <w:left w:val="nil"/>
              <w:bottom w:val="single" w:sz="4" w:space="0" w:color="auto"/>
              <w:right w:val="single" w:sz="4" w:space="0" w:color="auto"/>
            </w:tcBorders>
            <w:shd w:val="clear" w:color="auto" w:fill="FFFFFF" w:themeFill="background1"/>
            <w:noWrap/>
            <w:vAlign w:val="center"/>
            <w:hideMark/>
          </w:tcPr>
          <w:p w14:paraId="6193F913" w14:textId="77777777" w:rsidR="00AC702B" w:rsidRPr="00545EC0" w:rsidRDefault="00AC702B" w:rsidP="004F2AF2">
            <w:pPr>
              <w:spacing w:line="240" w:lineRule="auto"/>
              <w:rPr>
                <w:rFonts w:cs="Arial"/>
                <w:sz w:val="18"/>
                <w:szCs w:val="18"/>
              </w:rPr>
            </w:pPr>
            <w:r w:rsidRPr="00545EC0">
              <w:rPr>
                <w:rFonts w:cs="Arial"/>
                <w:sz w:val="18"/>
                <w:szCs w:val="18"/>
              </w:rPr>
              <w:t>VT Sava HE Moste - Podbrezje</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04C72B0B" w14:textId="77777777" w:rsidR="00AC702B" w:rsidRPr="00545EC0" w:rsidRDefault="00AC702B" w:rsidP="004F2AF2">
            <w:pPr>
              <w:spacing w:line="240" w:lineRule="auto"/>
              <w:rPr>
                <w:rFonts w:cs="Arial"/>
                <w:sz w:val="18"/>
                <w:szCs w:val="18"/>
              </w:rPr>
            </w:pPr>
            <w:r w:rsidRPr="00545EC0">
              <w:rPr>
                <w:rFonts w:cs="Arial"/>
                <w:sz w:val="18"/>
                <w:szCs w:val="18"/>
              </w:rPr>
              <w:t>zadrževalnik HE Završnica</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CAF001"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663A3D"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290"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3FD53B3C"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4E370C"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DA2C7C9"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D75099"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3BCA9B"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D89205"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66B15E" w14:textId="71096EE6" w:rsidR="00AC702B" w:rsidRPr="00545EC0" w:rsidRDefault="00AC702B" w:rsidP="004F2AF2">
            <w:pPr>
              <w:spacing w:line="240" w:lineRule="auto"/>
              <w:rPr>
                <w:rFonts w:cs="Arial"/>
                <w:sz w:val="18"/>
                <w:szCs w:val="18"/>
              </w:rPr>
            </w:pPr>
            <w:r w:rsidRPr="00545EC0">
              <w:rPr>
                <w:rFonts w:cs="Arial"/>
                <w:sz w:val="18"/>
                <w:szCs w:val="18"/>
              </w:rPr>
              <w:t>1</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AF3E0A" w14:textId="77777777" w:rsidR="00AC702B" w:rsidRPr="00545EC0" w:rsidRDefault="00AC702B" w:rsidP="004F2AF2">
            <w:pPr>
              <w:spacing w:line="240" w:lineRule="auto"/>
              <w:rPr>
                <w:rFonts w:cs="Arial"/>
                <w:sz w:val="18"/>
                <w:szCs w:val="18"/>
              </w:rPr>
            </w:pPr>
            <w:r w:rsidRPr="00545EC0">
              <w:rPr>
                <w:rFonts w:cs="Arial"/>
                <w:sz w:val="18"/>
                <w:szCs w:val="18"/>
              </w:rPr>
              <w:t>0</w:t>
            </w:r>
          </w:p>
        </w:tc>
      </w:tr>
      <w:tr w:rsidR="003122F4" w:rsidRPr="00545EC0" w14:paraId="40F9B2DF" w14:textId="77777777" w:rsidTr="00627979">
        <w:trPr>
          <w:trHeight w:val="227"/>
        </w:trPr>
        <w:tc>
          <w:tcPr>
            <w:tcW w:w="10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D0F02FC" w14:textId="77777777" w:rsidR="00AC702B" w:rsidRPr="00545EC0" w:rsidRDefault="00AC702B" w:rsidP="004F2AF2">
            <w:pPr>
              <w:spacing w:line="240" w:lineRule="auto"/>
              <w:rPr>
                <w:rFonts w:cs="Arial"/>
                <w:sz w:val="18"/>
                <w:szCs w:val="18"/>
              </w:rPr>
            </w:pPr>
            <w:r w:rsidRPr="00545EC0">
              <w:rPr>
                <w:rFonts w:cs="Arial"/>
                <w:sz w:val="18"/>
                <w:szCs w:val="18"/>
              </w:rPr>
              <w:t>SI1324VT</w:t>
            </w:r>
          </w:p>
        </w:tc>
        <w:tc>
          <w:tcPr>
            <w:tcW w:w="2215" w:type="dxa"/>
            <w:tcBorders>
              <w:top w:val="nil"/>
              <w:left w:val="nil"/>
              <w:bottom w:val="single" w:sz="4" w:space="0" w:color="auto"/>
              <w:right w:val="single" w:sz="4" w:space="0" w:color="auto"/>
            </w:tcBorders>
            <w:shd w:val="clear" w:color="auto" w:fill="FFFFFF" w:themeFill="background1"/>
            <w:noWrap/>
            <w:vAlign w:val="center"/>
            <w:hideMark/>
          </w:tcPr>
          <w:p w14:paraId="23F27762" w14:textId="77777777" w:rsidR="00AC702B" w:rsidRPr="00545EC0" w:rsidRDefault="00AC702B" w:rsidP="004F2AF2">
            <w:pPr>
              <w:spacing w:line="240" w:lineRule="auto"/>
              <w:rPr>
                <w:rFonts w:cs="Arial"/>
                <w:sz w:val="18"/>
                <w:szCs w:val="18"/>
              </w:rPr>
            </w:pPr>
            <w:r w:rsidRPr="00545EC0">
              <w:rPr>
                <w:rFonts w:cs="Arial"/>
                <w:sz w:val="18"/>
                <w:szCs w:val="18"/>
              </w:rPr>
              <w:t>VT Rača z Radomljo</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27DAAB6B" w14:textId="77777777" w:rsidR="00AC702B" w:rsidRPr="00545EC0" w:rsidRDefault="00AC702B" w:rsidP="004F2AF2">
            <w:pPr>
              <w:spacing w:line="240" w:lineRule="auto"/>
              <w:rPr>
                <w:rFonts w:cs="Arial"/>
                <w:sz w:val="18"/>
                <w:szCs w:val="18"/>
              </w:rPr>
            </w:pPr>
            <w:r w:rsidRPr="00545EC0">
              <w:rPr>
                <w:rFonts w:cs="Arial"/>
                <w:sz w:val="18"/>
                <w:szCs w:val="18"/>
              </w:rPr>
              <w:t>zadrževalnik Drtijščica</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EEDFEC"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110F1E"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290"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6E7DB615"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BF28B5"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B8982F1"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713390"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D3F73F"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C12738"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0A686F" w14:textId="5061B534" w:rsidR="00AC702B" w:rsidRPr="00545EC0" w:rsidRDefault="00AC702B" w:rsidP="004F2AF2">
            <w:pPr>
              <w:spacing w:line="240" w:lineRule="auto"/>
              <w:rPr>
                <w:rFonts w:cs="Arial"/>
                <w:sz w:val="18"/>
                <w:szCs w:val="18"/>
              </w:rPr>
            </w:pPr>
            <w:r w:rsidRPr="00545EC0">
              <w:rPr>
                <w:rFonts w:cs="Arial"/>
                <w:sz w:val="18"/>
                <w:szCs w:val="18"/>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554309" w14:textId="77777777" w:rsidR="00AC702B" w:rsidRPr="00545EC0" w:rsidRDefault="00AC702B" w:rsidP="004F2AF2">
            <w:pPr>
              <w:spacing w:line="240" w:lineRule="auto"/>
              <w:rPr>
                <w:rFonts w:cs="Arial"/>
                <w:sz w:val="18"/>
                <w:szCs w:val="18"/>
              </w:rPr>
            </w:pPr>
            <w:r w:rsidRPr="00545EC0">
              <w:rPr>
                <w:rFonts w:cs="Arial"/>
                <w:sz w:val="18"/>
                <w:szCs w:val="18"/>
              </w:rPr>
              <w:t>0</w:t>
            </w:r>
          </w:p>
        </w:tc>
      </w:tr>
      <w:tr w:rsidR="003122F4" w:rsidRPr="00545EC0" w14:paraId="5AFA9F3C" w14:textId="77777777" w:rsidTr="00627979">
        <w:trPr>
          <w:trHeight w:val="227"/>
        </w:trPr>
        <w:tc>
          <w:tcPr>
            <w:tcW w:w="10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64FDF91" w14:textId="77777777" w:rsidR="00AC702B" w:rsidRPr="00545EC0" w:rsidRDefault="00AC702B" w:rsidP="004F2AF2">
            <w:pPr>
              <w:spacing w:line="240" w:lineRule="auto"/>
              <w:rPr>
                <w:rFonts w:cs="Arial"/>
                <w:sz w:val="18"/>
                <w:szCs w:val="18"/>
              </w:rPr>
            </w:pPr>
            <w:r w:rsidRPr="00545EC0">
              <w:rPr>
                <w:rFonts w:cs="Arial"/>
                <w:sz w:val="18"/>
                <w:szCs w:val="18"/>
              </w:rPr>
              <w:t>SI192VT1</w:t>
            </w:r>
          </w:p>
        </w:tc>
        <w:tc>
          <w:tcPr>
            <w:tcW w:w="2215" w:type="dxa"/>
            <w:tcBorders>
              <w:top w:val="nil"/>
              <w:left w:val="nil"/>
              <w:bottom w:val="single" w:sz="4" w:space="0" w:color="auto"/>
              <w:right w:val="single" w:sz="4" w:space="0" w:color="auto"/>
            </w:tcBorders>
            <w:shd w:val="clear" w:color="auto" w:fill="FFFFFF" w:themeFill="background1"/>
            <w:noWrap/>
            <w:vAlign w:val="center"/>
            <w:hideMark/>
          </w:tcPr>
          <w:p w14:paraId="01408D41" w14:textId="77777777" w:rsidR="00AC702B" w:rsidRPr="00545EC0" w:rsidRDefault="00AC702B" w:rsidP="004F2AF2">
            <w:pPr>
              <w:spacing w:line="240" w:lineRule="auto"/>
              <w:rPr>
                <w:rFonts w:cs="Arial"/>
                <w:sz w:val="18"/>
                <w:szCs w:val="18"/>
              </w:rPr>
            </w:pPr>
            <w:r w:rsidRPr="00545EC0">
              <w:rPr>
                <w:rFonts w:cs="Arial"/>
                <w:sz w:val="18"/>
                <w:szCs w:val="18"/>
              </w:rPr>
              <w:t>VT Sotla Dobovec - Podčetrtek</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2477A658" w14:textId="77777777" w:rsidR="00AC702B" w:rsidRPr="00545EC0" w:rsidRDefault="00AC702B" w:rsidP="004F2AF2">
            <w:pPr>
              <w:spacing w:line="240" w:lineRule="auto"/>
              <w:rPr>
                <w:rFonts w:cs="Arial"/>
                <w:sz w:val="18"/>
                <w:szCs w:val="18"/>
              </w:rPr>
            </w:pPr>
            <w:r w:rsidRPr="00545EC0">
              <w:rPr>
                <w:rFonts w:cs="Arial"/>
                <w:sz w:val="18"/>
                <w:szCs w:val="18"/>
              </w:rPr>
              <w:t>zadrževalnik Prišlin</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354C7F"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C470E7"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290"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2B2C1810"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A3DA3E"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9F8561B"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0BEFF3"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010236"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BEAFA8"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6571F0" w14:textId="4A48637C" w:rsidR="00AC702B" w:rsidRPr="00545EC0" w:rsidRDefault="00AC702B" w:rsidP="004F2AF2">
            <w:pPr>
              <w:spacing w:line="240" w:lineRule="auto"/>
              <w:rPr>
                <w:rFonts w:cs="Arial"/>
                <w:sz w:val="18"/>
                <w:szCs w:val="18"/>
              </w:rPr>
            </w:pPr>
            <w:r w:rsidRPr="00545EC0">
              <w:rPr>
                <w:rFonts w:cs="Arial"/>
                <w:sz w:val="18"/>
                <w:szCs w:val="18"/>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D0B69E" w14:textId="77777777" w:rsidR="00AC702B" w:rsidRPr="00545EC0" w:rsidRDefault="00AC702B" w:rsidP="004F2AF2">
            <w:pPr>
              <w:spacing w:line="240" w:lineRule="auto"/>
              <w:rPr>
                <w:rFonts w:cs="Arial"/>
                <w:sz w:val="18"/>
                <w:szCs w:val="18"/>
              </w:rPr>
            </w:pPr>
            <w:r w:rsidRPr="00545EC0">
              <w:rPr>
                <w:rFonts w:cs="Arial"/>
                <w:sz w:val="18"/>
                <w:szCs w:val="18"/>
              </w:rPr>
              <w:t>0</w:t>
            </w:r>
          </w:p>
        </w:tc>
      </w:tr>
      <w:tr w:rsidR="003122F4" w:rsidRPr="00545EC0" w14:paraId="51604560" w14:textId="77777777" w:rsidTr="00627979">
        <w:trPr>
          <w:trHeight w:val="227"/>
        </w:trPr>
        <w:tc>
          <w:tcPr>
            <w:tcW w:w="10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BBB952A" w14:textId="77777777" w:rsidR="00AC702B" w:rsidRPr="00545EC0" w:rsidRDefault="00AC702B" w:rsidP="004F2AF2">
            <w:pPr>
              <w:spacing w:line="240" w:lineRule="auto"/>
              <w:rPr>
                <w:rFonts w:cs="Arial"/>
                <w:sz w:val="18"/>
                <w:szCs w:val="18"/>
              </w:rPr>
            </w:pPr>
            <w:r w:rsidRPr="00545EC0">
              <w:rPr>
                <w:rFonts w:cs="Arial"/>
                <w:sz w:val="18"/>
                <w:szCs w:val="18"/>
              </w:rPr>
              <w:t>SI192VT1</w:t>
            </w:r>
          </w:p>
        </w:tc>
        <w:tc>
          <w:tcPr>
            <w:tcW w:w="2215" w:type="dxa"/>
            <w:tcBorders>
              <w:top w:val="nil"/>
              <w:left w:val="nil"/>
              <w:bottom w:val="single" w:sz="4" w:space="0" w:color="auto"/>
              <w:right w:val="single" w:sz="4" w:space="0" w:color="auto"/>
            </w:tcBorders>
            <w:shd w:val="clear" w:color="auto" w:fill="FFFFFF" w:themeFill="background1"/>
            <w:noWrap/>
            <w:vAlign w:val="center"/>
            <w:hideMark/>
          </w:tcPr>
          <w:p w14:paraId="46565A54" w14:textId="77777777" w:rsidR="00AC702B" w:rsidRPr="00545EC0" w:rsidRDefault="00AC702B" w:rsidP="004F2AF2">
            <w:pPr>
              <w:spacing w:line="240" w:lineRule="auto"/>
              <w:rPr>
                <w:rFonts w:cs="Arial"/>
                <w:sz w:val="18"/>
                <w:szCs w:val="18"/>
              </w:rPr>
            </w:pPr>
            <w:r w:rsidRPr="00545EC0">
              <w:rPr>
                <w:rFonts w:cs="Arial"/>
                <w:sz w:val="18"/>
                <w:szCs w:val="18"/>
              </w:rPr>
              <w:t>VT Sotla Dobovec - Podčetrtek</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79D41BD5" w14:textId="77777777" w:rsidR="00AC702B" w:rsidRPr="00545EC0" w:rsidRDefault="00AC702B" w:rsidP="004F2AF2">
            <w:pPr>
              <w:spacing w:line="240" w:lineRule="auto"/>
              <w:rPr>
                <w:rFonts w:cs="Arial"/>
                <w:sz w:val="18"/>
                <w:szCs w:val="18"/>
              </w:rPr>
            </w:pPr>
            <w:r w:rsidRPr="00545EC0">
              <w:rPr>
                <w:rFonts w:cs="Arial"/>
                <w:sz w:val="18"/>
                <w:szCs w:val="18"/>
              </w:rPr>
              <w:t>zadrževalnik Vonarje</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3CB9FB"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B7B8EA"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290"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683D9D9B"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D430C8"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D602A98"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4EDD0F"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839277"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96CF66"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9F52AC" w14:textId="561D643D" w:rsidR="00AC702B" w:rsidRPr="00545EC0" w:rsidRDefault="00AC702B" w:rsidP="004F2AF2">
            <w:pPr>
              <w:spacing w:line="240" w:lineRule="auto"/>
              <w:rPr>
                <w:rFonts w:cs="Arial"/>
                <w:sz w:val="18"/>
                <w:szCs w:val="18"/>
              </w:rPr>
            </w:pPr>
            <w:r w:rsidRPr="00545EC0">
              <w:rPr>
                <w:rFonts w:cs="Arial"/>
                <w:sz w:val="18"/>
                <w:szCs w:val="18"/>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33696C" w14:textId="77777777" w:rsidR="00AC702B" w:rsidRPr="00545EC0" w:rsidRDefault="00AC702B" w:rsidP="004F2AF2">
            <w:pPr>
              <w:spacing w:line="240" w:lineRule="auto"/>
              <w:rPr>
                <w:rFonts w:cs="Arial"/>
                <w:sz w:val="18"/>
                <w:szCs w:val="18"/>
              </w:rPr>
            </w:pPr>
            <w:r w:rsidRPr="00545EC0">
              <w:rPr>
                <w:rFonts w:cs="Arial"/>
                <w:sz w:val="18"/>
                <w:szCs w:val="18"/>
              </w:rPr>
              <w:t>0</w:t>
            </w:r>
          </w:p>
        </w:tc>
      </w:tr>
      <w:tr w:rsidR="003122F4" w:rsidRPr="00545EC0" w14:paraId="4A5817EC" w14:textId="77777777" w:rsidTr="00627979">
        <w:trPr>
          <w:trHeight w:val="227"/>
        </w:trPr>
        <w:tc>
          <w:tcPr>
            <w:tcW w:w="10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552585A" w14:textId="77777777" w:rsidR="00AC702B" w:rsidRPr="00545EC0" w:rsidRDefault="00AC702B" w:rsidP="004F2AF2">
            <w:pPr>
              <w:spacing w:line="240" w:lineRule="auto"/>
              <w:rPr>
                <w:rFonts w:cs="Arial"/>
                <w:sz w:val="18"/>
                <w:szCs w:val="18"/>
              </w:rPr>
            </w:pPr>
            <w:r w:rsidRPr="00545EC0">
              <w:rPr>
                <w:rFonts w:cs="Arial"/>
                <w:sz w:val="18"/>
                <w:szCs w:val="18"/>
              </w:rPr>
              <w:t>SI162VT7</w:t>
            </w:r>
          </w:p>
        </w:tc>
        <w:tc>
          <w:tcPr>
            <w:tcW w:w="2215" w:type="dxa"/>
            <w:tcBorders>
              <w:top w:val="nil"/>
              <w:left w:val="nil"/>
              <w:bottom w:val="single" w:sz="4" w:space="0" w:color="auto"/>
              <w:right w:val="single" w:sz="4" w:space="0" w:color="auto"/>
            </w:tcBorders>
            <w:shd w:val="clear" w:color="auto" w:fill="FFFFFF" w:themeFill="background1"/>
            <w:noWrap/>
            <w:vAlign w:val="center"/>
            <w:hideMark/>
          </w:tcPr>
          <w:p w14:paraId="731464C9" w14:textId="77777777" w:rsidR="00AC702B" w:rsidRPr="00545EC0" w:rsidRDefault="00AC702B" w:rsidP="004F2AF2">
            <w:pPr>
              <w:spacing w:line="240" w:lineRule="auto"/>
              <w:rPr>
                <w:rFonts w:cs="Arial"/>
                <w:sz w:val="18"/>
                <w:szCs w:val="18"/>
              </w:rPr>
            </w:pPr>
            <w:r w:rsidRPr="00545EC0">
              <w:rPr>
                <w:rFonts w:cs="Arial"/>
                <w:sz w:val="18"/>
                <w:szCs w:val="18"/>
              </w:rPr>
              <w:t>VT Paka Velenje - Skorno</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706B6907" w14:textId="77777777" w:rsidR="00AC702B" w:rsidRPr="00545EC0" w:rsidRDefault="00AC702B" w:rsidP="004F2AF2">
            <w:pPr>
              <w:spacing w:line="240" w:lineRule="auto"/>
              <w:rPr>
                <w:rFonts w:cs="Arial"/>
                <w:sz w:val="18"/>
                <w:szCs w:val="18"/>
              </w:rPr>
            </w:pPr>
            <w:r w:rsidRPr="00545EC0">
              <w:rPr>
                <w:rFonts w:cs="Arial"/>
                <w:sz w:val="18"/>
                <w:szCs w:val="18"/>
              </w:rPr>
              <w:t>Šoštanjsko jezero</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A9350A"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64B871"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290"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4C04B1E6"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299F24"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6CB1912"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8D9E15"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F65D99"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71ABD9"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DA6193" w14:textId="409B49FB" w:rsidR="00AC702B" w:rsidRPr="00545EC0" w:rsidRDefault="00AC702B" w:rsidP="004F2AF2">
            <w:pPr>
              <w:spacing w:line="240" w:lineRule="auto"/>
              <w:rPr>
                <w:rFonts w:cs="Arial"/>
                <w:sz w:val="18"/>
                <w:szCs w:val="18"/>
              </w:rPr>
            </w:pPr>
            <w:r w:rsidRPr="00545EC0">
              <w:rPr>
                <w:rFonts w:cs="Arial"/>
                <w:sz w:val="18"/>
                <w:szCs w:val="18"/>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DE11A8" w14:textId="77777777" w:rsidR="00AC702B" w:rsidRPr="00545EC0" w:rsidRDefault="00AC702B" w:rsidP="004F2AF2">
            <w:pPr>
              <w:spacing w:line="240" w:lineRule="auto"/>
              <w:rPr>
                <w:rFonts w:cs="Arial"/>
                <w:sz w:val="18"/>
                <w:szCs w:val="18"/>
              </w:rPr>
            </w:pPr>
            <w:r w:rsidRPr="00545EC0">
              <w:rPr>
                <w:rFonts w:cs="Arial"/>
                <w:sz w:val="18"/>
                <w:szCs w:val="18"/>
              </w:rPr>
              <w:t>0</w:t>
            </w:r>
          </w:p>
        </w:tc>
      </w:tr>
      <w:tr w:rsidR="003122F4" w:rsidRPr="00545EC0" w14:paraId="66D7B452" w14:textId="77777777" w:rsidTr="00627979">
        <w:trPr>
          <w:trHeight w:val="227"/>
        </w:trPr>
        <w:tc>
          <w:tcPr>
            <w:tcW w:w="10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09A93EC" w14:textId="77777777" w:rsidR="00AC702B" w:rsidRPr="00545EC0" w:rsidRDefault="00AC702B" w:rsidP="004F2AF2">
            <w:pPr>
              <w:spacing w:line="240" w:lineRule="auto"/>
              <w:rPr>
                <w:rFonts w:cs="Arial"/>
                <w:sz w:val="18"/>
                <w:szCs w:val="18"/>
              </w:rPr>
            </w:pPr>
            <w:r w:rsidRPr="00545EC0">
              <w:rPr>
                <w:rFonts w:cs="Arial"/>
                <w:sz w:val="18"/>
                <w:szCs w:val="18"/>
              </w:rPr>
              <w:t>SI1624VT</w:t>
            </w:r>
          </w:p>
        </w:tc>
        <w:tc>
          <w:tcPr>
            <w:tcW w:w="2215" w:type="dxa"/>
            <w:tcBorders>
              <w:top w:val="nil"/>
              <w:left w:val="nil"/>
              <w:bottom w:val="single" w:sz="4" w:space="0" w:color="auto"/>
              <w:right w:val="single" w:sz="4" w:space="0" w:color="auto"/>
            </w:tcBorders>
            <w:shd w:val="clear" w:color="auto" w:fill="FFFFFF" w:themeFill="background1"/>
            <w:noWrap/>
            <w:vAlign w:val="center"/>
            <w:hideMark/>
          </w:tcPr>
          <w:p w14:paraId="3529A0BF" w14:textId="77777777" w:rsidR="00AC702B" w:rsidRPr="00545EC0" w:rsidRDefault="00AC702B" w:rsidP="004F2AF2">
            <w:pPr>
              <w:spacing w:line="240" w:lineRule="auto"/>
              <w:rPr>
                <w:rFonts w:cs="Arial"/>
                <w:sz w:val="18"/>
                <w:szCs w:val="18"/>
              </w:rPr>
            </w:pPr>
            <w:r w:rsidRPr="00545EC0">
              <w:rPr>
                <w:rFonts w:cs="Arial"/>
                <w:sz w:val="18"/>
                <w:szCs w:val="18"/>
              </w:rPr>
              <w:t>UVT Velenjsko jezero</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19089B54" w14:textId="77777777" w:rsidR="00AC702B" w:rsidRPr="00545EC0" w:rsidRDefault="00AC702B" w:rsidP="004F2AF2">
            <w:pPr>
              <w:spacing w:line="240" w:lineRule="auto"/>
              <w:rPr>
                <w:rFonts w:cs="Arial"/>
                <w:sz w:val="18"/>
                <w:szCs w:val="18"/>
              </w:rPr>
            </w:pPr>
            <w:r w:rsidRPr="00545EC0">
              <w:rPr>
                <w:rFonts w:cs="Arial"/>
                <w:sz w:val="18"/>
                <w:szCs w:val="18"/>
              </w:rPr>
              <w:t>Škalsko jezero</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3B941E"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AE425A"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290"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6A344F7C"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DA2B40"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3BA22F9"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DC7383"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484640"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BBE10A"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B503AA" w14:textId="20720983" w:rsidR="00AC702B" w:rsidRPr="00545EC0" w:rsidRDefault="00AC702B" w:rsidP="004F2AF2">
            <w:pPr>
              <w:spacing w:line="240" w:lineRule="auto"/>
              <w:rPr>
                <w:rFonts w:cs="Arial"/>
                <w:sz w:val="18"/>
                <w:szCs w:val="18"/>
              </w:rPr>
            </w:pPr>
            <w:r w:rsidRPr="00545EC0">
              <w:rPr>
                <w:rFonts w:cs="Arial"/>
                <w:sz w:val="18"/>
                <w:szCs w:val="18"/>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5A7217" w14:textId="77777777" w:rsidR="00AC702B" w:rsidRPr="00545EC0" w:rsidRDefault="00AC702B" w:rsidP="004F2AF2">
            <w:pPr>
              <w:spacing w:line="240" w:lineRule="auto"/>
              <w:rPr>
                <w:rFonts w:cs="Arial"/>
                <w:sz w:val="18"/>
                <w:szCs w:val="18"/>
              </w:rPr>
            </w:pPr>
            <w:r w:rsidRPr="00545EC0">
              <w:rPr>
                <w:rFonts w:cs="Arial"/>
                <w:sz w:val="18"/>
                <w:szCs w:val="18"/>
              </w:rPr>
              <w:t>0</w:t>
            </w:r>
          </w:p>
        </w:tc>
      </w:tr>
      <w:tr w:rsidR="003122F4" w:rsidRPr="00545EC0" w14:paraId="4CB53383" w14:textId="77777777" w:rsidTr="00627979">
        <w:trPr>
          <w:trHeight w:val="227"/>
        </w:trPr>
        <w:tc>
          <w:tcPr>
            <w:tcW w:w="10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C2D9111" w14:textId="77777777" w:rsidR="00AC702B" w:rsidRPr="00545EC0" w:rsidRDefault="00AC702B" w:rsidP="004F2AF2">
            <w:pPr>
              <w:spacing w:line="240" w:lineRule="auto"/>
              <w:rPr>
                <w:rFonts w:cs="Arial"/>
                <w:sz w:val="18"/>
                <w:szCs w:val="18"/>
              </w:rPr>
            </w:pPr>
            <w:r w:rsidRPr="00545EC0">
              <w:rPr>
                <w:rFonts w:cs="Arial"/>
                <w:sz w:val="18"/>
                <w:szCs w:val="18"/>
              </w:rPr>
              <w:t>SI1624VT</w:t>
            </w:r>
          </w:p>
        </w:tc>
        <w:tc>
          <w:tcPr>
            <w:tcW w:w="2215" w:type="dxa"/>
            <w:tcBorders>
              <w:top w:val="nil"/>
              <w:left w:val="nil"/>
              <w:bottom w:val="single" w:sz="4" w:space="0" w:color="auto"/>
              <w:right w:val="single" w:sz="4" w:space="0" w:color="auto"/>
            </w:tcBorders>
            <w:shd w:val="clear" w:color="auto" w:fill="FFFFFF" w:themeFill="background1"/>
            <w:noWrap/>
            <w:vAlign w:val="center"/>
            <w:hideMark/>
          </w:tcPr>
          <w:p w14:paraId="7B232CDD" w14:textId="77777777" w:rsidR="00AC702B" w:rsidRPr="00545EC0" w:rsidRDefault="00AC702B" w:rsidP="004F2AF2">
            <w:pPr>
              <w:spacing w:line="240" w:lineRule="auto"/>
              <w:rPr>
                <w:rFonts w:cs="Arial"/>
                <w:sz w:val="18"/>
                <w:szCs w:val="18"/>
              </w:rPr>
            </w:pPr>
            <w:r w:rsidRPr="00545EC0">
              <w:rPr>
                <w:rFonts w:cs="Arial"/>
                <w:sz w:val="18"/>
                <w:szCs w:val="18"/>
              </w:rPr>
              <w:t>UVT Velenjsko jezero</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0F7D0583" w14:textId="77777777" w:rsidR="00AC702B" w:rsidRPr="00545EC0" w:rsidRDefault="00AC702B" w:rsidP="004F2AF2">
            <w:pPr>
              <w:spacing w:line="240" w:lineRule="auto"/>
              <w:rPr>
                <w:rFonts w:cs="Arial"/>
                <w:sz w:val="18"/>
                <w:szCs w:val="18"/>
              </w:rPr>
            </w:pPr>
            <w:r w:rsidRPr="00545EC0">
              <w:rPr>
                <w:rFonts w:cs="Arial"/>
                <w:sz w:val="18"/>
                <w:szCs w:val="18"/>
              </w:rPr>
              <w:t>Velenjsko jezero</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49235E"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DEB080"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290"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64261928"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9FFAB6"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861D02A"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7BB000"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1BDA8C"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9C11F0"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68FF4E" w14:textId="51E3AC92" w:rsidR="00AC702B" w:rsidRPr="00545EC0" w:rsidRDefault="00AC702B" w:rsidP="004F2AF2">
            <w:pPr>
              <w:spacing w:line="240" w:lineRule="auto"/>
              <w:rPr>
                <w:rFonts w:cs="Arial"/>
                <w:sz w:val="18"/>
                <w:szCs w:val="18"/>
              </w:rPr>
            </w:pPr>
            <w:r w:rsidRPr="00545EC0">
              <w:rPr>
                <w:rFonts w:cs="Arial"/>
                <w:sz w:val="18"/>
                <w:szCs w:val="18"/>
              </w:rPr>
              <w:t>1</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170204" w14:textId="77777777" w:rsidR="00AC702B" w:rsidRPr="00545EC0" w:rsidRDefault="00AC702B" w:rsidP="004F2AF2">
            <w:pPr>
              <w:spacing w:line="240" w:lineRule="auto"/>
              <w:rPr>
                <w:rFonts w:cs="Arial"/>
                <w:sz w:val="18"/>
                <w:szCs w:val="18"/>
              </w:rPr>
            </w:pPr>
            <w:r w:rsidRPr="00545EC0">
              <w:rPr>
                <w:rFonts w:cs="Arial"/>
                <w:sz w:val="18"/>
                <w:szCs w:val="18"/>
              </w:rPr>
              <w:t>0</w:t>
            </w:r>
          </w:p>
        </w:tc>
      </w:tr>
      <w:tr w:rsidR="003122F4" w:rsidRPr="00545EC0" w14:paraId="1580462A" w14:textId="77777777" w:rsidTr="00627979">
        <w:trPr>
          <w:trHeight w:val="227"/>
        </w:trPr>
        <w:tc>
          <w:tcPr>
            <w:tcW w:w="10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E85FD2F" w14:textId="77777777" w:rsidR="00AC702B" w:rsidRPr="00545EC0" w:rsidRDefault="00AC702B" w:rsidP="004F2AF2">
            <w:pPr>
              <w:spacing w:line="240" w:lineRule="auto"/>
              <w:rPr>
                <w:rFonts w:cs="Arial"/>
                <w:sz w:val="18"/>
                <w:szCs w:val="18"/>
              </w:rPr>
            </w:pPr>
            <w:r w:rsidRPr="00545EC0">
              <w:rPr>
                <w:rFonts w:cs="Arial"/>
                <w:sz w:val="18"/>
                <w:szCs w:val="18"/>
              </w:rPr>
              <w:t>SI164VT7</w:t>
            </w:r>
          </w:p>
        </w:tc>
        <w:tc>
          <w:tcPr>
            <w:tcW w:w="2215" w:type="dxa"/>
            <w:tcBorders>
              <w:top w:val="nil"/>
              <w:left w:val="nil"/>
              <w:bottom w:val="single" w:sz="4" w:space="0" w:color="auto"/>
              <w:right w:val="single" w:sz="4" w:space="0" w:color="auto"/>
            </w:tcBorders>
            <w:shd w:val="clear" w:color="auto" w:fill="FFFFFF" w:themeFill="background1"/>
            <w:noWrap/>
            <w:vAlign w:val="center"/>
            <w:hideMark/>
          </w:tcPr>
          <w:p w14:paraId="554ED0AF" w14:textId="77777777" w:rsidR="00AC702B" w:rsidRPr="00545EC0" w:rsidRDefault="00AC702B" w:rsidP="004F2AF2">
            <w:pPr>
              <w:spacing w:line="240" w:lineRule="auto"/>
              <w:rPr>
                <w:rFonts w:cs="Arial"/>
                <w:sz w:val="18"/>
                <w:szCs w:val="18"/>
              </w:rPr>
            </w:pPr>
            <w:r w:rsidRPr="00545EC0">
              <w:rPr>
                <w:rFonts w:cs="Arial"/>
                <w:sz w:val="18"/>
                <w:szCs w:val="18"/>
              </w:rPr>
              <w:t>VT Bolska Kapla - Latkova vas</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4BA8B6E5" w14:textId="77777777" w:rsidR="00AC702B" w:rsidRPr="00545EC0" w:rsidRDefault="00AC702B" w:rsidP="004F2AF2">
            <w:pPr>
              <w:spacing w:line="240" w:lineRule="auto"/>
              <w:rPr>
                <w:rFonts w:cs="Arial"/>
                <w:sz w:val="18"/>
                <w:szCs w:val="18"/>
              </w:rPr>
            </w:pPr>
            <w:r w:rsidRPr="00545EC0">
              <w:rPr>
                <w:rFonts w:cs="Arial"/>
                <w:sz w:val="18"/>
                <w:szCs w:val="18"/>
              </w:rPr>
              <w:t>zadrževalnik Braslovško jezero</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7D498F"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7BA8AC"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290"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1202B165"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5C1A2E"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B2B2B2"/>
              <w:left w:val="single" w:sz="4" w:space="0" w:color="B2B2B2"/>
              <w:bottom w:val="single" w:sz="4" w:space="0" w:color="B2B2B2"/>
              <w:right w:val="single" w:sz="4" w:space="0" w:color="B2B2B2"/>
            </w:tcBorders>
            <w:shd w:val="clear" w:color="auto" w:fill="FFFFFF" w:themeFill="background1"/>
            <w:noWrap/>
            <w:vAlign w:val="center"/>
            <w:hideMark/>
          </w:tcPr>
          <w:p w14:paraId="446509D0"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3645C1"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1EEB1D"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2E5D86"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C6BB0A" w14:textId="03612318" w:rsidR="00AC702B" w:rsidRPr="00545EC0" w:rsidRDefault="00AC702B" w:rsidP="004F2AF2">
            <w:pPr>
              <w:spacing w:line="240" w:lineRule="auto"/>
              <w:rPr>
                <w:rFonts w:cs="Arial"/>
                <w:sz w:val="18"/>
                <w:szCs w:val="18"/>
              </w:rPr>
            </w:pPr>
            <w:r w:rsidRPr="00545EC0">
              <w:rPr>
                <w:rFonts w:cs="Arial"/>
                <w:sz w:val="18"/>
                <w:szCs w:val="18"/>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0254EA" w14:textId="77777777" w:rsidR="00AC702B" w:rsidRPr="00545EC0" w:rsidRDefault="00AC702B" w:rsidP="004F2AF2">
            <w:pPr>
              <w:spacing w:line="240" w:lineRule="auto"/>
              <w:rPr>
                <w:rFonts w:cs="Arial"/>
                <w:sz w:val="18"/>
                <w:szCs w:val="18"/>
              </w:rPr>
            </w:pPr>
            <w:r w:rsidRPr="00545EC0">
              <w:rPr>
                <w:rFonts w:cs="Arial"/>
                <w:sz w:val="18"/>
                <w:szCs w:val="18"/>
              </w:rPr>
              <w:t>0</w:t>
            </w:r>
          </w:p>
        </w:tc>
      </w:tr>
      <w:tr w:rsidR="003122F4" w:rsidRPr="00545EC0" w14:paraId="246FFE2E" w14:textId="77777777" w:rsidTr="00627979">
        <w:trPr>
          <w:trHeight w:val="227"/>
        </w:trPr>
        <w:tc>
          <w:tcPr>
            <w:tcW w:w="10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51072BA" w14:textId="77777777" w:rsidR="00AC702B" w:rsidRPr="00545EC0" w:rsidRDefault="00AC702B" w:rsidP="004F2AF2">
            <w:pPr>
              <w:spacing w:line="240" w:lineRule="auto"/>
              <w:rPr>
                <w:rFonts w:cs="Arial"/>
                <w:sz w:val="18"/>
                <w:szCs w:val="18"/>
              </w:rPr>
            </w:pPr>
            <w:r w:rsidRPr="00545EC0">
              <w:rPr>
                <w:rFonts w:cs="Arial"/>
                <w:sz w:val="18"/>
                <w:szCs w:val="18"/>
              </w:rPr>
              <w:t>SI164VT7</w:t>
            </w:r>
          </w:p>
        </w:tc>
        <w:tc>
          <w:tcPr>
            <w:tcW w:w="2215" w:type="dxa"/>
            <w:tcBorders>
              <w:top w:val="nil"/>
              <w:left w:val="nil"/>
              <w:bottom w:val="single" w:sz="4" w:space="0" w:color="auto"/>
              <w:right w:val="single" w:sz="4" w:space="0" w:color="auto"/>
            </w:tcBorders>
            <w:shd w:val="clear" w:color="auto" w:fill="FFFFFF" w:themeFill="background1"/>
            <w:noWrap/>
            <w:vAlign w:val="center"/>
            <w:hideMark/>
          </w:tcPr>
          <w:p w14:paraId="130E2FA0" w14:textId="77777777" w:rsidR="00AC702B" w:rsidRPr="00545EC0" w:rsidRDefault="00AC702B" w:rsidP="004F2AF2">
            <w:pPr>
              <w:spacing w:line="240" w:lineRule="auto"/>
              <w:rPr>
                <w:rFonts w:cs="Arial"/>
                <w:sz w:val="18"/>
                <w:szCs w:val="18"/>
              </w:rPr>
            </w:pPr>
            <w:r w:rsidRPr="00545EC0">
              <w:rPr>
                <w:rFonts w:cs="Arial"/>
                <w:sz w:val="18"/>
                <w:szCs w:val="18"/>
              </w:rPr>
              <w:t>VT Bolska Kapla - Latkova vas</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2245CFBD" w14:textId="77777777" w:rsidR="00AC702B" w:rsidRPr="00545EC0" w:rsidRDefault="00AC702B" w:rsidP="004F2AF2">
            <w:pPr>
              <w:spacing w:line="240" w:lineRule="auto"/>
              <w:rPr>
                <w:rFonts w:cs="Arial"/>
                <w:sz w:val="18"/>
                <w:szCs w:val="18"/>
              </w:rPr>
            </w:pPr>
            <w:r w:rsidRPr="00545EC0">
              <w:rPr>
                <w:rFonts w:cs="Arial"/>
                <w:sz w:val="18"/>
                <w:szCs w:val="18"/>
              </w:rPr>
              <w:t>zadrževalnik Žovneško jezero</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3F4B7E"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4005B3"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290"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112797A5"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F152E8"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306706F"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145095"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641A13"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4942B6"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912B0A" w14:textId="26604FE8" w:rsidR="00AC702B" w:rsidRPr="00545EC0" w:rsidRDefault="00AC702B" w:rsidP="004F2AF2">
            <w:pPr>
              <w:spacing w:line="240" w:lineRule="auto"/>
              <w:rPr>
                <w:rFonts w:cs="Arial"/>
                <w:sz w:val="18"/>
                <w:szCs w:val="18"/>
              </w:rPr>
            </w:pPr>
            <w:r w:rsidRPr="00545EC0">
              <w:rPr>
                <w:rFonts w:cs="Arial"/>
                <w:sz w:val="18"/>
                <w:szCs w:val="18"/>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2D0044" w14:textId="77777777" w:rsidR="00AC702B" w:rsidRPr="00545EC0" w:rsidRDefault="00AC702B" w:rsidP="004F2AF2">
            <w:pPr>
              <w:spacing w:line="240" w:lineRule="auto"/>
              <w:rPr>
                <w:rFonts w:cs="Arial"/>
                <w:sz w:val="18"/>
                <w:szCs w:val="18"/>
              </w:rPr>
            </w:pPr>
            <w:r w:rsidRPr="00545EC0">
              <w:rPr>
                <w:rFonts w:cs="Arial"/>
                <w:sz w:val="18"/>
                <w:szCs w:val="18"/>
              </w:rPr>
              <w:t>0</w:t>
            </w:r>
          </w:p>
        </w:tc>
      </w:tr>
      <w:tr w:rsidR="003122F4" w:rsidRPr="00545EC0" w14:paraId="4DFD911F" w14:textId="77777777" w:rsidTr="00627979">
        <w:trPr>
          <w:trHeight w:val="227"/>
        </w:trPr>
        <w:tc>
          <w:tcPr>
            <w:tcW w:w="10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776FD81" w14:textId="77777777" w:rsidR="00AC702B" w:rsidRPr="00545EC0" w:rsidRDefault="00AC702B" w:rsidP="004F2AF2">
            <w:pPr>
              <w:spacing w:line="240" w:lineRule="auto"/>
              <w:rPr>
                <w:rFonts w:cs="Arial"/>
                <w:sz w:val="18"/>
                <w:szCs w:val="18"/>
              </w:rPr>
            </w:pPr>
            <w:r w:rsidRPr="00545EC0">
              <w:rPr>
                <w:rFonts w:cs="Arial"/>
                <w:sz w:val="18"/>
                <w:szCs w:val="18"/>
              </w:rPr>
              <w:t>SI1668VT</w:t>
            </w:r>
          </w:p>
        </w:tc>
        <w:tc>
          <w:tcPr>
            <w:tcW w:w="2215" w:type="dxa"/>
            <w:tcBorders>
              <w:top w:val="nil"/>
              <w:left w:val="nil"/>
              <w:bottom w:val="single" w:sz="4" w:space="0" w:color="auto"/>
              <w:right w:val="single" w:sz="4" w:space="0" w:color="auto"/>
            </w:tcBorders>
            <w:shd w:val="clear" w:color="auto" w:fill="FFFFFF" w:themeFill="background1"/>
            <w:noWrap/>
            <w:vAlign w:val="center"/>
            <w:hideMark/>
          </w:tcPr>
          <w:p w14:paraId="2AE8330E" w14:textId="77777777" w:rsidR="00AC702B" w:rsidRPr="00545EC0" w:rsidRDefault="00AC702B" w:rsidP="004F2AF2">
            <w:pPr>
              <w:spacing w:line="240" w:lineRule="auto"/>
              <w:rPr>
                <w:rFonts w:cs="Arial"/>
                <w:sz w:val="18"/>
                <w:szCs w:val="18"/>
              </w:rPr>
            </w:pPr>
            <w:r w:rsidRPr="00545EC0">
              <w:rPr>
                <w:rFonts w:cs="Arial"/>
                <w:sz w:val="18"/>
                <w:szCs w:val="18"/>
              </w:rPr>
              <w:t>MPVT zadrževalnik Šmartinsko jezero</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28FB56DC" w14:textId="77777777" w:rsidR="00AC702B" w:rsidRPr="00545EC0" w:rsidRDefault="00AC702B" w:rsidP="004F2AF2">
            <w:pPr>
              <w:spacing w:line="240" w:lineRule="auto"/>
              <w:rPr>
                <w:rFonts w:cs="Arial"/>
                <w:sz w:val="18"/>
                <w:szCs w:val="18"/>
              </w:rPr>
            </w:pPr>
            <w:r w:rsidRPr="00545EC0">
              <w:rPr>
                <w:rFonts w:cs="Arial"/>
                <w:sz w:val="18"/>
                <w:szCs w:val="18"/>
              </w:rPr>
              <w:t>zadrževalnik Šmartinsko jezero</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40074B"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64AC21"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290"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2D2C2656"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C77B80"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CD99134"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A4381B"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0930D7"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A35117"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6AC6E7" w14:textId="449AA7C8" w:rsidR="00AC702B" w:rsidRPr="00545EC0" w:rsidRDefault="00AC702B" w:rsidP="004F2AF2">
            <w:pPr>
              <w:spacing w:line="240" w:lineRule="auto"/>
              <w:rPr>
                <w:rFonts w:cs="Arial"/>
                <w:sz w:val="18"/>
                <w:szCs w:val="18"/>
              </w:rPr>
            </w:pPr>
            <w:r w:rsidRPr="00545EC0">
              <w:rPr>
                <w:rFonts w:cs="Arial"/>
                <w:sz w:val="18"/>
                <w:szCs w:val="18"/>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5D8D2C" w14:textId="77777777" w:rsidR="00AC702B" w:rsidRPr="00545EC0" w:rsidRDefault="00AC702B" w:rsidP="004F2AF2">
            <w:pPr>
              <w:spacing w:line="240" w:lineRule="auto"/>
              <w:rPr>
                <w:rFonts w:cs="Arial"/>
                <w:sz w:val="18"/>
                <w:szCs w:val="18"/>
              </w:rPr>
            </w:pPr>
            <w:r w:rsidRPr="00545EC0">
              <w:rPr>
                <w:rFonts w:cs="Arial"/>
                <w:sz w:val="18"/>
                <w:szCs w:val="18"/>
              </w:rPr>
              <w:t>0</w:t>
            </w:r>
          </w:p>
        </w:tc>
      </w:tr>
      <w:tr w:rsidR="003122F4" w:rsidRPr="00545EC0" w14:paraId="6546BCD4" w14:textId="77777777" w:rsidTr="00627979">
        <w:trPr>
          <w:trHeight w:val="227"/>
        </w:trPr>
        <w:tc>
          <w:tcPr>
            <w:tcW w:w="10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3B53EB0" w14:textId="77777777" w:rsidR="00AC702B" w:rsidRPr="00545EC0" w:rsidRDefault="00AC702B" w:rsidP="004F2AF2">
            <w:pPr>
              <w:spacing w:line="240" w:lineRule="auto"/>
              <w:rPr>
                <w:rFonts w:cs="Arial"/>
                <w:sz w:val="18"/>
                <w:szCs w:val="18"/>
              </w:rPr>
            </w:pPr>
            <w:r w:rsidRPr="00545EC0">
              <w:rPr>
                <w:rFonts w:cs="Arial"/>
                <w:sz w:val="18"/>
                <w:szCs w:val="18"/>
              </w:rPr>
              <w:t>SI168VT3</w:t>
            </w:r>
          </w:p>
        </w:tc>
        <w:tc>
          <w:tcPr>
            <w:tcW w:w="2215" w:type="dxa"/>
            <w:tcBorders>
              <w:top w:val="nil"/>
              <w:left w:val="nil"/>
              <w:bottom w:val="single" w:sz="4" w:space="0" w:color="auto"/>
              <w:right w:val="single" w:sz="4" w:space="0" w:color="auto"/>
            </w:tcBorders>
            <w:shd w:val="clear" w:color="auto" w:fill="FFFFFF" w:themeFill="background1"/>
            <w:noWrap/>
            <w:vAlign w:val="center"/>
            <w:hideMark/>
          </w:tcPr>
          <w:p w14:paraId="2B32930C" w14:textId="77777777" w:rsidR="00AC702B" w:rsidRPr="00545EC0" w:rsidRDefault="00AC702B" w:rsidP="004F2AF2">
            <w:pPr>
              <w:spacing w:line="240" w:lineRule="auto"/>
              <w:rPr>
                <w:rFonts w:cs="Arial"/>
                <w:sz w:val="18"/>
                <w:szCs w:val="18"/>
              </w:rPr>
            </w:pPr>
            <w:r w:rsidRPr="00545EC0">
              <w:rPr>
                <w:rFonts w:cs="Arial"/>
                <w:sz w:val="18"/>
                <w:szCs w:val="18"/>
              </w:rPr>
              <w:t>MPVT zadrževalnik Slivniško jezero</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4E3FF42C" w14:textId="77777777" w:rsidR="00AC702B" w:rsidRPr="00545EC0" w:rsidRDefault="00AC702B" w:rsidP="004F2AF2">
            <w:pPr>
              <w:spacing w:line="240" w:lineRule="auto"/>
              <w:rPr>
                <w:rFonts w:cs="Arial"/>
                <w:sz w:val="18"/>
                <w:szCs w:val="18"/>
              </w:rPr>
            </w:pPr>
            <w:r w:rsidRPr="00545EC0">
              <w:rPr>
                <w:rFonts w:cs="Arial"/>
                <w:sz w:val="18"/>
                <w:szCs w:val="18"/>
              </w:rPr>
              <w:t>zadrževalnik Slivniško jezero</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871A66"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0C6970"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290"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5F35B1DF"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F59D17"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E985678"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3A0EA3"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506345"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FD4907"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E747CA" w14:textId="76649BE5" w:rsidR="00AC702B" w:rsidRPr="00545EC0" w:rsidRDefault="00AC702B" w:rsidP="004F2AF2">
            <w:pPr>
              <w:spacing w:line="240" w:lineRule="auto"/>
              <w:rPr>
                <w:rFonts w:cs="Arial"/>
                <w:sz w:val="18"/>
                <w:szCs w:val="18"/>
              </w:rPr>
            </w:pPr>
            <w:r w:rsidRPr="00545EC0">
              <w:rPr>
                <w:rFonts w:cs="Arial"/>
                <w:sz w:val="18"/>
                <w:szCs w:val="18"/>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B9FDB3" w14:textId="77777777" w:rsidR="00AC702B" w:rsidRPr="00545EC0" w:rsidRDefault="00AC702B" w:rsidP="004F2AF2">
            <w:pPr>
              <w:spacing w:line="240" w:lineRule="auto"/>
              <w:rPr>
                <w:rFonts w:cs="Arial"/>
                <w:sz w:val="18"/>
                <w:szCs w:val="18"/>
              </w:rPr>
            </w:pPr>
            <w:r w:rsidRPr="00545EC0">
              <w:rPr>
                <w:rFonts w:cs="Arial"/>
                <w:sz w:val="18"/>
                <w:szCs w:val="18"/>
              </w:rPr>
              <w:t>0</w:t>
            </w:r>
          </w:p>
        </w:tc>
      </w:tr>
      <w:tr w:rsidR="003122F4" w:rsidRPr="00545EC0" w14:paraId="47639C93" w14:textId="77777777" w:rsidTr="00627979">
        <w:trPr>
          <w:trHeight w:val="227"/>
        </w:trPr>
        <w:tc>
          <w:tcPr>
            <w:tcW w:w="10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5C6F412" w14:textId="77777777" w:rsidR="00AC702B" w:rsidRPr="00545EC0" w:rsidRDefault="00AC702B" w:rsidP="004F2AF2">
            <w:pPr>
              <w:spacing w:line="240" w:lineRule="auto"/>
              <w:rPr>
                <w:rFonts w:cs="Arial"/>
                <w:sz w:val="18"/>
                <w:szCs w:val="18"/>
              </w:rPr>
            </w:pPr>
            <w:r w:rsidRPr="00545EC0">
              <w:rPr>
                <w:rFonts w:cs="Arial"/>
                <w:sz w:val="18"/>
                <w:szCs w:val="18"/>
              </w:rPr>
              <w:t>SI368VT9</w:t>
            </w:r>
          </w:p>
        </w:tc>
        <w:tc>
          <w:tcPr>
            <w:tcW w:w="2215" w:type="dxa"/>
            <w:tcBorders>
              <w:top w:val="nil"/>
              <w:left w:val="nil"/>
              <w:bottom w:val="single" w:sz="4" w:space="0" w:color="auto"/>
              <w:right w:val="single" w:sz="4" w:space="0" w:color="auto"/>
            </w:tcBorders>
            <w:shd w:val="clear" w:color="auto" w:fill="FFFFFF" w:themeFill="background1"/>
            <w:noWrap/>
            <w:vAlign w:val="center"/>
            <w:hideMark/>
          </w:tcPr>
          <w:p w14:paraId="1C8E3553" w14:textId="77777777" w:rsidR="00AC702B" w:rsidRPr="00545EC0" w:rsidRDefault="00AC702B" w:rsidP="004F2AF2">
            <w:pPr>
              <w:spacing w:line="240" w:lineRule="auto"/>
              <w:rPr>
                <w:rFonts w:cs="Arial"/>
                <w:sz w:val="18"/>
                <w:szCs w:val="18"/>
              </w:rPr>
            </w:pPr>
            <w:r w:rsidRPr="00545EC0">
              <w:rPr>
                <w:rFonts w:cs="Arial"/>
                <w:sz w:val="18"/>
                <w:szCs w:val="18"/>
              </w:rPr>
              <w:t>VT Polskava Zgornja Polskava - Tržec</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16A08261" w14:textId="77777777" w:rsidR="00AC702B" w:rsidRPr="00545EC0" w:rsidRDefault="00AC702B" w:rsidP="004F2AF2">
            <w:pPr>
              <w:spacing w:line="240" w:lineRule="auto"/>
              <w:rPr>
                <w:rFonts w:cs="Arial"/>
                <w:sz w:val="18"/>
                <w:szCs w:val="18"/>
              </w:rPr>
            </w:pPr>
            <w:r w:rsidRPr="00545EC0">
              <w:rPr>
                <w:rFonts w:cs="Arial"/>
                <w:sz w:val="18"/>
                <w:szCs w:val="18"/>
              </w:rPr>
              <w:t>zadrževalnik Medvedce</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B672D2"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5FA2E1"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290"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2FF85B3F"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D13AA1"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6C31BEA"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12A94A"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F54816"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DB436B"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B62807" w14:textId="57E63C37" w:rsidR="00AC702B" w:rsidRPr="00545EC0" w:rsidRDefault="00AC702B" w:rsidP="004F2AF2">
            <w:pPr>
              <w:spacing w:line="240" w:lineRule="auto"/>
              <w:rPr>
                <w:rFonts w:cs="Arial"/>
                <w:sz w:val="18"/>
                <w:szCs w:val="18"/>
              </w:rPr>
            </w:pPr>
            <w:r w:rsidRPr="00545EC0">
              <w:rPr>
                <w:rFonts w:cs="Arial"/>
                <w:sz w:val="18"/>
                <w:szCs w:val="18"/>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2A6B50" w14:textId="77777777" w:rsidR="00AC702B" w:rsidRPr="00545EC0" w:rsidRDefault="00AC702B" w:rsidP="004F2AF2">
            <w:pPr>
              <w:spacing w:line="240" w:lineRule="auto"/>
              <w:rPr>
                <w:rFonts w:cs="Arial"/>
                <w:sz w:val="18"/>
                <w:szCs w:val="18"/>
              </w:rPr>
            </w:pPr>
            <w:r w:rsidRPr="00545EC0">
              <w:rPr>
                <w:rFonts w:cs="Arial"/>
                <w:sz w:val="18"/>
                <w:szCs w:val="18"/>
              </w:rPr>
              <w:t>0</w:t>
            </w:r>
          </w:p>
        </w:tc>
      </w:tr>
      <w:tr w:rsidR="003122F4" w:rsidRPr="00545EC0" w14:paraId="5DFADE67" w14:textId="77777777" w:rsidTr="00627979">
        <w:trPr>
          <w:trHeight w:val="227"/>
        </w:trPr>
        <w:tc>
          <w:tcPr>
            <w:tcW w:w="10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37A9C4D" w14:textId="77777777" w:rsidR="00AC702B" w:rsidRPr="00545EC0" w:rsidRDefault="00AC702B" w:rsidP="004F2AF2">
            <w:pPr>
              <w:spacing w:line="240" w:lineRule="auto"/>
              <w:rPr>
                <w:rFonts w:cs="Arial"/>
                <w:sz w:val="18"/>
                <w:szCs w:val="18"/>
              </w:rPr>
            </w:pPr>
            <w:r w:rsidRPr="00545EC0">
              <w:rPr>
                <w:rFonts w:cs="Arial"/>
                <w:sz w:val="18"/>
                <w:szCs w:val="18"/>
              </w:rPr>
              <w:t>SI368VT9</w:t>
            </w:r>
          </w:p>
        </w:tc>
        <w:tc>
          <w:tcPr>
            <w:tcW w:w="2215" w:type="dxa"/>
            <w:tcBorders>
              <w:top w:val="nil"/>
              <w:left w:val="nil"/>
              <w:bottom w:val="single" w:sz="4" w:space="0" w:color="auto"/>
              <w:right w:val="single" w:sz="4" w:space="0" w:color="auto"/>
            </w:tcBorders>
            <w:shd w:val="clear" w:color="auto" w:fill="FFFFFF" w:themeFill="background1"/>
            <w:noWrap/>
            <w:vAlign w:val="center"/>
            <w:hideMark/>
          </w:tcPr>
          <w:p w14:paraId="21CB1B34" w14:textId="77777777" w:rsidR="00AC702B" w:rsidRPr="00545EC0" w:rsidRDefault="00AC702B" w:rsidP="004F2AF2">
            <w:pPr>
              <w:spacing w:line="240" w:lineRule="auto"/>
              <w:rPr>
                <w:rFonts w:cs="Arial"/>
                <w:sz w:val="18"/>
                <w:szCs w:val="18"/>
              </w:rPr>
            </w:pPr>
            <w:r w:rsidRPr="00545EC0">
              <w:rPr>
                <w:rFonts w:cs="Arial"/>
                <w:sz w:val="18"/>
                <w:szCs w:val="18"/>
              </w:rPr>
              <w:t>VT Polskava Zgornja Polskava - Tržec</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07DF5C95" w14:textId="77777777" w:rsidR="00AC702B" w:rsidRPr="00545EC0" w:rsidRDefault="00AC702B" w:rsidP="004F2AF2">
            <w:pPr>
              <w:spacing w:line="240" w:lineRule="auto"/>
              <w:rPr>
                <w:rFonts w:cs="Arial"/>
                <w:sz w:val="18"/>
                <w:szCs w:val="18"/>
              </w:rPr>
            </w:pPr>
            <w:r w:rsidRPr="00545EC0">
              <w:rPr>
                <w:rFonts w:cs="Arial"/>
                <w:sz w:val="18"/>
                <w:szCs w:val="18"/>
              </w:rPr>
              <w:t>zadrževalnik Požeg</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EF6692"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3EA97B"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290"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3BF8C799"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0E1258"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0E2AB0A"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C855C8"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8FA782"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1A0100"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A54C3B" w14:textId="36A0E804" w:rsidR="00AC702B" w:rsidRPr="00545EC0" w:rsidRDefault="00AC702B" w:rsidP="004F2AF2">
            <w:pPr>
              <w:spacing w:line="240" w:lineRule="auto"/>
              <w:rPr>
                <w:rFonts w:cs="Arial"/>
                <w:sz w:val="18"/>
                <w:szCs w:val="18"/>
              </w:rPr>
            </w:pPr>
            <w:r w:rsidRPr="00545EC0">
              <w:rPr>
                <w:rFonts w:cs="Arial"/>
                <w:sz w:val="18"/>
                <w:szCs w:val="18"/>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6A52E4" w14:textId="77777777" w:rsidR="00AC702B" w:rsidRPr="00545EC0" w:rsidRDefault="00AC702B" w:rsidP="004F2AF2">
            <w:pPr>
              <w:spacing w:line="240" w:lineRule="auto"/>
              <w:rPr>
                <w:rFonts w:cs="Arial"/>
                <w:sz w:val="18"/>
                <w:szCs w:val="18"/>
              </w:rPr>
            </w:pPr>
            <w:r w:rsidRPr="00545EC0">
              <w:rPr>
                <w:rFonts w:cs="Arial"/>
                <w:sz w:val="18"/>
                <w:szCs w:val="18"/>
              </w:rPr>
              <w:t>0</w:t>
            </w:r>
          </w:p>
        </w:tc>
      </w:tr>
      <w:tr w:rsidR="003122F4" w:rsidRPr="00545EC0" w14:paraId="299F2E0C" w14:textId="77777777" w:rsidTr="00627979">
        <w:trPr>
          <w:trHeight w:val="227"/>
        </w:trPr>
        <w:tc>
          <w:tcPr>
            <w:tcW w:w="10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C32ECA2" w14:textId="77777777" w:rsidR="00AC702B" w:rsidRPr="00545EC0" w:rsidRDefault="00AC702B" w:rsidP="004F2AF2">
            <w:pPr>
              <w:spacing w:line="240" w:lineRule="auto"/>
              <w:rPr>
                <w:rFonts w:cs="Arial"/>
                <w:sz w:val="18"/>
                <w:szCs w:val="18"/>
              </w:rPr>
            </w:pPr>
            <w:r w:rsidRPr="00545EC0">
              <w:rPr>
                <w:rFonts w:cs="Arial"/>
                <w:sz w:val="18"/>
                <w:szCs w:val="18"/>
              </w:rPr>
              <w:t>SI36VT90</w:t>
            </w:r>
          </w:p>
        </w:tc>
        <w:tc>
          <w:tcPr>
            <w:tcW w:w="2215" w:type="dxa"/>
            <w:tcBorders>
              <w:top w:val="nil"/>
              <w:left w:val="nil"/>
              <w:bottom w:val="single" w:sz="4" w:space="0" w:color="auto"/>
              <w:right w:val="single" w:sz="4" w:space="0" w:color="auto"/>
            </w:tcBorders>
            <w:shd w:val="clear" w:color="auto" w:fill="FFFFFF" w:themeFill="background1"/>
            <w:noWrap/>
            <w:vAlign w:val="center"/>
            <w:hideMark/>
          </w:tcPr>
          <w:p w14:paraId="48ACED2D" w14:textId="77777777" w:rsidR="00AC702B" w:rsidRPr="00545EC0" w:rsidRDefault="00AC702B" w:rsidP="004F2AF2">
            <w:pPr>
              <w:spacing w:line="240" w:lineRule="auto"/>
              <w:rPr>
                <w:rFonts w:cs="Arial"/>
                <w:sz w:val="18"/>
                <w:szCs w:val="18"/>
              </w:rPr>
            </w:pPr>
            <w:r w:rsidRPr="00545EC0">
              <w:rPr>
                <w:rFonts w:cs="Arial"/>
                <w:sz w:val="18"/>
                <w:szCs w:val="18"/>
              </w:rPr>
              <w:t>VT Dravinja Zreče - Videm</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2D13A799" w14:textId="77777777" w:rsidR="00AC702B" w:rsidRPr="00545EC0" w:rsidRDefault="00AC702B" w:rsidP="004F2AF2">
            <w:pPr>
              <w:spacing w:line="240" w:lineRule="auto"/>
              <w:rPr>
                <w:rFonts w:cs="Arial"/>
                <w:sz w:val="18"/>
                <w:szCs w:val="18"/>
              </w:rPr>
            </w:pPr>
            <w:r w:rsidRPr="00545EC0">
              <w:rPr>
                <w:rFonts w:cs="Arial"/>
                <w:sz w:val="18"/>
                <w:szCs w:val="18"/>
              </w:rPr>
              <w:t>zadrževalnik Dežno</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1160A9"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B6298E"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290"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3E651795"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4697A7"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A34CA6A"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464229"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651042"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2DAD5D"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608628" w14:textId="37D3761D" w:rsidR="00AC702B" w:rsidRPr="00545EC0" w:rsidRDefault="00AC702B" w:rsidP="004F2AF2">
            <w:pPr>
              <w:spacing w:line="240" w:lineRule="auto"/>
              <w:rPr>
                <w:rFonts w:cs="Arial"/>
                <w:sz w:val="18"/>
                <w:szCs w:val="18"/>
              </w:rPr>
            </w:pPr>
            <w:r w:rsidRPr="00545EC0">
              <w:rPr>
                <w:rFonts w:cs="Arial"/>
                <w:sz w:val="18"/>
                <w:szCs w:val="18"/>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0756F0" w14:textId="77777777" w:rsidR="00AC702B" w:rsidRPr="00545EC0" w:rsidRDefault="00AC702B" w:rsidP="004F2AF2">
            <w:pPr>
              <w:spacing w:line="240" w:lineRule="auto"/>
              <w:rPr>
                <w:rFonts w:cs="Arial"/>
                <w:sz w:val="18"/>
                <w:szCs w:val="18"/>
              </w:rPr>
            </w:pPr>
            <w:r w:rsidRPr="00545EC0">
              <w:rPr>
                <w:rFonts w:cs="Arial"/>
                <w:sz w:val="18"/>
                <w:szCs w:val="18"/>
              </w:rPr>
              <w:t>0</w:t>
            </w:r>
          </w:p>
        </w:tc>
      </w:tr>
      <w:tr w:rsidR="003122F4" w:rsidRPr="00545EC0" w14:paraId="2BAB6A59" w14:textId="77777777" w:rsidTr="00627979">
        <w:trPr>
          <w:trHeight w:val="227"/>
        </w:trPr>
        <w:tc>
          <w:tcPr>
            <w:tcW w:w="10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AB65BBF" w14:textId="77777777" w:rsidR="00AC702B" w:rsidRPr="00545EC0" w:rsidRDefault="00AC702B" w:rsidP="004F2AF2">
            <w:pPr>
              <w:spacing w:line="240" w:lineRule="auto"/>
              <w:rPr>
                <w:rFonts w:cs="Arial"/>
                <w:sz w:val="18"/>
                <w:szCs w:val="18"/>
              </w:rPr>
            </w:pPr>
            <w:r w:rsidRPr="00545EC0">
              <w:rPr>
                <w:rFonts w:cs="Arial"/>
                <w:sz w:val="18"/>
                <w:szCs w:val="18"/>
              </w:rPr>
              <w:t>SI38VT90</w:t>
            </w:r>
          </w:p>
        </w:tc>
        <w:tc>
          <w:tcPr>
            <w:tcW w:w="2215" w:type="dxa"/>
            <w:tcBorders>
              <w:top w:val="nil"/>
              <w:left w:val="nil"/>
              <w:bottom w:val="single" w:sz="4" w:space="0" w:color="auto"/>
              <w:right w:val="single" w:sz="4" w:space="0" w:color="auto"/>
            </w:tcBorders>
            <w:shd w:val="clear" w:color="auto" w:fill="FFFFFF" w:themeFill="background1"/>
            <w:noWrap/>
            <w:vAlign w:val="center"/>
            <w:hideMark/>
          </w:tcPr>
          <w:p w14:paraId="20EAA2FA" w14:textId="77777777" w:rsidR="00AC702B" w:rsidRPr="00545EC0" w:rsidRDefault="00AC702B" w:rsidP="004F2AF2">
            <w:pPr>
              <w:spacing w:line="240" w:lineRule="auto"/>
              <w:rPr>
                <w:rFonts w:cs="Arial"/>
                <w:sz w:val="18"/>
                <w:szCs w:val="18"/>
              </w:rPr>
            </w:pPr>
            <w:r w:rsidRPr="00545EC0">
              <w:rPr>
                <w:rFonts w:cs="Arial"/>
                <w:sz w:val="18"/>
                <w:szCs w:val="18"/>
              </w:rPr>
              <w:t>VT Pesnica zadrževalnik Perniško jezero - Ormož</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647B1C92" w14:textId="77777777" w:rsidR="00AC702B" w:rsidRPr="00545EC0" w:rsidRDefault="00AC702B" w:rsidP="004F2AF2">
            <w:pPr>
              <w:spacing w:line="240" w:lineRule="auto"/>
              <w:rPr>
                <w:rFonts w:cs="Arial"/>
                <w:sz w:val="18"/>
                <w:szCs w:val="18"/>
              </w:rPr>
            </w:pPr>
            <w:r w:rsidRPr="00545EC0">
              <w:rPr>
                <w:rFonts w:cs="Arial"/>
                <w:sz w:val="18"/>
                <w:szCs w:val="18"/>
              </w:rPr>
              <w:t>zadrževalnik Komarnik</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03FF61"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690D1F"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290"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2F2932C8"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8DF84C"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37B6D0E"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1365B7"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31D6B9"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076EB7"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2F6347" w14:textId="772ECF9C" w:rsidR="00AC702B" w:rsidRPr="00545EC0" w:rsidRDefault="00AC702B" w:rsidP="004F2AF2">
            <w:pPr>
              <w:spacing w:line="240" w:lineRule="auto"/>
              <w:rPr>
                <w:rFonts w:cs="Arial"/>
                <w:sz w:val="18"/>
                <w:szCs w:val="18"/>
              </w:rPr>
            </w:pPr>
            <w:r w:rsidRPr="00545EC0">
              <w:rPr>
                <w:rFonts w:cs="Arial"/>
                <w:sz w:val="18"/>
                <w:szCs w:val="18"/>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00A449" w14:textId="77777777" w:rsidR="00AC702B" w:rsidRPr="00545EC0" w:rsidRDefault="00AC702B" w:rsidP="004F2AF2">
            <w:pPr>
              <w:spacing w:line="240" w:lineRule="auto"/>
              <w:rPr>
                <w:rFonts w:cs="Arial"/>
                <w:sz w:val="18"/>
                <w:szCs w:val="18"/>
              </w:rPr>
            </w:pPr>
            <w:r w:rsidRPr="00545EC0">
              <w:rPr>
                <w:rFonts w:cs="Arial"/>
                <w:sz w:val="18"/>
                <w:szCs w:val="18"/>
              </w:rPr>
              <w:t>0</w:t>
            </w:r>
          </w:p>
        </w:tc>
      </w:tr>
      <w:tr w:rsidR="003122F4" w:rsidRPr="00545EC0" w14:paraId="3B16B020" w14:textId="77777777" w:rsidTr="00627979">
        <w:trPr>
          <w:trHeight w:val="227"/>
        </w:trPr>
        <w:tc>
          <w:tcPr>
            <w:tcW w:w="10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A1BAC66" w14:textId="77777777" w:rsidR="00AC702B" w:rsidRPr="00545EC0" w:rsidRDefault="00AC702B" w:rsidP="004F2AF2">
            <w:pPr>
              <w:spacing w:line="240" w:lineRule="auto"/>
              <w:rPr>
                <w:rFonts w:cs="Arial"/>
                <w:sz w:val="18"/>
                <w:szCs w:val="18"/>
              </w:rPr>
            </w:pPr>
            <w:r w:rsidRPr="00545EC0">
              <w:rPr>
                <w:rFonts w:cs="Arial"/>
                <w:sz w:val="18"/>
                <w:szCs w:val="18"/>
              </w:rPr>
              <w:t>SI38VT90</w:t>
            </w:r>
          </w:p>
        </w:tc>
        <w:tc>
          <w:tcPr>
            <w:tcW w:w="2215" w:type="dxa"/>
            <w:tcBorders>
              <w:top w:val="nil"/>
              <w:left w:val="nil"/>
              <w:bottom w:val="single" w:sz="4" w:space="0" w:color="auto"/>
              <w:right w:val="single" w:sz="4" w:space="0" w:color="auto"/>
            </w:tcBorders>
            <w:shd w:val="clear" w:color="auto" w:fill="FFFFFF" w:themeFill="background1"/>
            <w:noWrap/>
            <w:vAlign w:val="center"/>
            <w:hideMark/>
          </w:tcPr>
          <w:p w14:paraId="42B1BD9D" w14:textId="77777777" w:rsidR="00AC702B" w:rsidRPr="00545EC0" w:rsidRDefault="00AC702B" w:rsidP="004F2AF2">
            <w:pPr>
              <w:spacing w:line="240" w:lineRule="auto"/>
              <w:rPr>
                <w:rFonts w:cs="Arial"/>
                <w:sz w:val="18"/>
                <w:szCs w:val="18"/>
              </w:rPr>
            </w:pPr>
            <w:r w:rsidRPr="00545EC0">
              <w:rPr>
                <w:rFonts w:cs="Arial"/>
                <w:sz w:val="18"/>
                <w:szCs w:val="18"/>
              </w:rPr>
              <w:t>VT Pesnica zadrževalnik Perniško jezero - Ormož</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37C413D7" w14:textId="77777777" w:rsidR="00AC702B" w:rsidRPr="00545EC0" w:rsidRDefault="00AC702B" w:rsidP="004F2AF2">
            <w:pPr>
              <w:spacing w:line="240" w:lineRule="auto"/>
              <w:rPr>
                <w:rFonts w:cs="Arial"/>
                <w:sz w:val="18"/>
                <w:szCs w:val="18"/>
              </w:rPr>
            </w:pPr>
            <w:r w:rsidRPr="00545EC0">
              <w:rPr>
                <w:rFonts w:cs="Arial"/>
                <w:sz w:val="18"/>
                <w:szCs w:val="18"/>
              </w:rPr>
              <w:t>zadrževalnik Radehova</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39F6D8"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BFB135"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290"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6EFE17F1"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E962A7"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87A5BF0"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25D3A9"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35F38E"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CD5D7D"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884227" w14:textId="55F1B9B8" w:rsidR="00AC702B" w:rsidRPr="00545EC0" w:rsidRDefault="00AC702B" w:rsidP="004F2AF2">
            <w:pPr>
              <w:spacing w:line="240" w:lineRule="auto"/>
              <w:rPr>
                <w:rFonts w:cs="Arial"/>
                <w:sz w:val="18"/>
                <w:szCs w:val="18"/>
              </w:rPr>
            </w:pPr>
            <w:r w:rsidRPr="00545EC0">
              <w:rPr>
                <w:rFonts w:cs="Arial"/>
                <w:sz w:val="18"/>
                <w:szCs w:val="18"/>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5E9F6C" w14:textId="77777777" w:rsidR="00AC702B" w:rsidRPr="00545EC0" w:rsidRDefault="00AC702B" w:rsidP="004F2AF2">
            <w:pPr>
              <w:spacing w:line="240" w:lineRule="auto"/>
              <w:rPr>
                <w:rFonts w:cs="Arial"/>
                <w:sz w:val="18"/>
                <w:szCs w:val="18"/>
              </w:rPr>
            </w:pPr>
            <w:r w:rsidRPr="00545EC0">
              <w:rPr>
                <w:rFonts w:cs="Arial"/>
                <w:sz w:val="18"/>
                <w:szCs w:val="18"/>
              </w:rPr>
              <w:t>0</w:t>
            </w:r>
          </w:p>
        </w:tc>
      </w:tr>
      <w:tr w:rsidR="003122F4" w:rsidRPr="00545EC0" w14:paraId="1ECEB546" w14:textId="77777777" w:rsidTr="00627979">
        <w:trPr>
          <w:trHeight w:val="227"/>
        </w:trPr>
        <w:tc>
          <w:tcPr>
            <w:tcW w:w="10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06F96CF" w14:textId="77777777" w:rsidR="00AC702B" w:rsidRPr="00545EC0" w:rsidRDefault="00AC702B" w:rsidP="004F2AF2">
            <w:pPr>
              <w:spacing w:line="240" w:lineRule="auto"/>
              <w:rPr>
                <w:rFonts w:cs="Arial"/>
                <w:sz w:val="18"/>
                <w:szCs w:val="18"/>
              </w:rPr>
            </w:pPr>
            <w:r w:rsidRPr="00545EC0">
              <w:rPr>
                <w:rFonts w:cs="Arial"/>
                <w:sz w:val="18"/>
                <w:szCs w:val="18"/>
              </w:rPr>
              <w:t>SI38VT90</w:t>
            </w:r>
          </w:p>
        </w:tc>
        <w:tc>
          <w:tcPr>
            <w:tcW w:w="2215" w:type="dxa"/>
            <w:tcBorders>
              <w:top w:val="nil"/>
              <w:left w:val="nil"/>
              <w:bottom w:val="single" w:sz="4" w:space="0" w:color="auto"/>
              <w:right w:val="single" w:sz="4" w:space="0" w:color="auto"/>
            </w:tcBorders>
            <w:shd w:val="clear" w:color="auto" w:fill="FFFFFF" w:themeFill="background1"/>
            <w:noWrap/>
            <w:vAlign w:val="center"/>
            <w:hideMark/>
          </w:tcPr>
          <w:p w14:paraId="03F98594" w14:textId="77777777" w:rsidR="00AC702B" w:rsidRPr="00545EC0" w:rsidRDefault="00AC702B" w:rsidP="004F2AF2">
            <w:pPr>
              <w:spacing w:line="240" w:lineRule="auto"/>
              <w:rPr>
                <w:rFonts w:cs="Arial"/>
                <w:sz w:val="18"/>
                <w:szCs w:val="18"/>
              </w:rPr>
            </w:pPr>
            <w:r w:rsidRPr="00545EC0">
              <w:rPr>
                <w:rFonts w:cs="Arial"/>
                <w:sz w:val="18"/>
                <w:szCs w:val="18"/>
              </w:rPr>
              <w:t>VT Pesnica zadrževalnik Perniško jezero - Ormož</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16863458" w14:textId="77777777" w:rsidR="00AC702B" w:rsidRPr="00545EC0" w:rsidRDefault="00AC702B" w:rsidP="004F2AF2">
            <w:pPr>
              <w:spacing w:line="240" w:lineRule="auto"/>
              <w:rPr>
                <w:rFonts w:cs="Arial"/>
                <w:sz w:val="18"/>
                <w:szCs w:val="18"/>
              </w:rPr>
            </w:pPr>
            <w:r w:rsidRPr="00545EC0">
              <w:rPr>
                <w:rFonts w:cs="Arial"/>
                <w:sz w:val="18"/>
                <w:szCs w:val="18"/>
              </w:rPr>
              <w:t>zadrževalnik Pristava</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92C293"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3F5A7E"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290"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4B7F6C7D"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71D3A5"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3D151C9"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3B54A0"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2A5856"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8BCFC1"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AE0A42" w14:textId="356EA0A2" w:rsidR="00AC702B" w:rsidRPr="00545EC0" w:rsidRDefault="00AC702B" w:rsidP="004F2AF2">
            <w:pPr>
              <w:spacing w:line="240" w:lineRule="auto"/>
              <w:rPr>
                <w:rFonts w:cs="Arial"/>
                <w:sz w:val="18"/>
                <w:szCs w:val="18"/>
              </w:rPr>
            </w:pPr>
            <w:r w:rsidRPr="00545EC0">
              <w:rPr>
                <w:rFonts w:cs="Arial"/>
                <w:sz w:val="18"/>
                <w:szCs w:val="18"/>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CC7C70" w14:textId="77777777" w:rsidR="00AC702B" w:rsidRPr="00545EC0" w:rsidRDefault="00AC702B" w:rsidP="004F2AF2">
            <w:pPr>
              <w:spacing w:line="240" w:lineRule="auto"/>
              <w:rPr>
                <w:rFonts w:cs="Arial"/>
                <w:sz w:val="18"/>
                <w:szCs w:val="18"/>
              </w:rPr>
            </w:pPr>
            <w:r w:rsidRPr="00545EC0">
              <w:rPr>
                <w:rFonts w:cs="Arial"/>
                <w:sz w:val="18"/>
                <w:szCs w:val="18"/>
              </w:rPr>
              <w:t>0</w:t>
            </w:r>
          </w:p>
        </w:tc>
      </w:tr>
      <w:tr w:rsidR="003122F4" w:rsidRPr="00545EC0" w14:paraId="4D034B2B" w14:textId="77777777" w:rsidTr="00627979">
        <w:trPr>
          <w:trHeight w:val="227"/>
        </w:trPr>
        <w:tc>
          <w:tcPr>
            <w:tcW w:w="10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B0CF726" w14:textId="77777777" w:rsidR="00AC702B" w:rsidRPr="00545EC0" w:rsidRDefault="00AC702B" w:rsidP="004F2AF2">
            <w:pPr>
              <w:spacing w:line="240" w:lineRule="auto"/>
              <w:rPr>
                <w:rFonts w:cs="Arial"/>
                <w:sz w:val="18"/>
                <w:szCs w:val="18"/>
              </w:rPr>
            </w:pPr>
            <w:r w:rsidRPr="00545EC0">
              <w:rPr>
                <w:rFonts w:cs="Arial"/>
                <w:sz w:val="18"/>
                <w:szCs w:val="18"/>
              </w:rPr>
              <w:t>SI38VT90</w:t>
            </w:r>
          </w:p>
        </w:tc>
        <w:tc>
          <w:tcPr>
            <w:tcW w:w="2215" w:type="dxa"/>
            <w:tcBorders>
              <w:top w:val="nil"/>
              <w:left w:val="nil"/>
              <w:bottom w:val="single" w:sz="4" w:space="0" w:color="auto"/>
              <w:right w:val="single" w:sz="4" w:space="0" w:color="auto"/>
            </w:tcBorders>
            <w:shd w:val="clear" w:color="auto" w:fill="FFFFFF" w:themeFill="background1"/>
            <w:noWrap/>
            <w:vAlign w:val="center"/>
            <w:hideMark/>
          </w:tcPr>
          <w:p w14:paraId="3B7259E7" w14:textId="77777777" w:rsidR="00AC702B" w:rsidRPr="00545EC0" w:rsidRDefault="00AC702B" w:rsidP="004F2AF2">
            <w:pPr>
              <w:spacing w:line="240" w:lineRule="auto"/>
              <w:rPr>
                <w:rFonts w:cs="Arial"/>
                <w:sz w:val="18"/>
                <w:szCs w:val="18"/>
              </w:rPr>
            </w:pPr>
            <w:r w:rsidRPr="00545EC0">
              <w:rPr>
                <w:rFonts w:cs="Arial"/>
                <w:sz w:val="18"/>
                <w:szCs w:val="18"/>
              </w:rPr>
              <w:t>VT Pesnica zadrževalnik Perniško jezero - Ormož</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2CEFB861" w14:textId="77777777" w:rsidR="00AC702B" w:rsidRPr="00545EC0" w:rsidRDefault="00AC702B" w:rsidP="004F2AF2">
            <w:pPr>
              <w:spacing w:line="240" w:lineRule="auto"/>
              <w:rPr>
                <w:rFonts w:cs="Arial"/>
                <w:sz w:val="18"/>
                <w:szCs w:val="18"/>
              </w:rPr>
            </w:pPr>
            <w:r w:rsidRPr="00545EC0">
              <w:rPr>
                <w:rFonts w:cs="Arial"/>
                <w:sz w:val="18"/>
                <w:szCs w:val="18"/>
              </w:rPr>
              <w:t>zadrževalnik Savski ribnik</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812354"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3508F0"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290"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69A4943C"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D7B2B6"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2EFE60F"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597D2E"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241C3D"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5C116C"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153E16" w14:textId="70154A0E" w:rsidR="00AC702B" w:rsidRPr="00545EC0" w:rsidRDefault="00AC702B" w:rsidP="004F2AF2">
            <w:pPr>
              <w:spacing w:line="240" w:lineRule="auto"/>
              <w:rPr>
                <w:rFonts w:cs="Arial"/>
                <w:sz w:val="18"/>
                <w:szCs w:val="18"/>
              </w:rPr>
            </w:pPr>
            <w:r w:rsidRPr="00545EC0">
              <w:rPr>
                <w:rFonts w:cs="Arial"/>
                <w:sz w:val="18"/>
                <w:szCs w:val="18"/>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FBDABE" w14:textId="77777777" w:rsidR="00AC702B" w:rsidRPr="00545EC0" w:rsidRDefault="00AC702B" w:rsidP="004F2AF2">
            <w:pPr>
              <w:spacing w:line="240" w:lineRule="auto"/>
              <w:rPr>
                <w:rFonts w:cs="Arial"/>
                <w:sz w:val="18"/>
                <w:szCs w:val="18"/>
              </w:rPr>
            </w:pPr>
            <w:r w:rsidRPr="00545EC0">
              <w:rPr>
                <w:rFonts w:cs="Arial"/>
                <w:sz w:val="18"/>
                <w:szCs w:val="18"/>
              </w:rPr>
              <w:t>0</w:t>
            </w:r>
          </w:p>
        </w:tc>
      </w:tr>
      <w:tr w:rsidR="003122F4" w:rsidRPr="00545EC0" w14:paraId="4451CD51" w14:textId="77777777" w:rsidTr="00627979">
        <w:trPr>
          <w:trHeight w:val="227"/>
        </w:trPr>
        <w:tc>
          <w:tcPr>
            <w:tcW w:w="10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267878B" w14:textId="77777777" w:rsidR="00AC702B" w:rsidRPr="00545EC0" w:rsidRDefault="00AC702B" w:rsidP="004F2AF2">
            <w:pPr>
              <w:spacing w:line="240" w:lineRule="auto"/>
              <w:rPr>
                <w:rFonts w:cs="Arial"/>
                <w:sz w:val="18"/>
                <w:szCs w:val="18"/>
              </w:rPr>
            </w:pPr>
            <w:r w:rsidRPr="00545EC0">
              <w:rPr>
                <w:rFonts w:cs="Arial"/>
                <w:sz w:val="18"/>
                <w:szCs w:val="18"/>
              </w:rPr>
              <w:t>SI38VT90</w:t>
            </w:r>
          </w:p>
        </w:tc>
        <w:tc>
          <w:tcPr>
            <w:tcW w:w="2215" w:type="dxa"/>
            <w:tcBorders>
              <w:top w:val="nil"/>
              <w:left w:val="nil"/>
              <w:bottom w:val="single" w:sz="4" w:space="0" w:color="auto"/>
              <w:right w:val="single" w:sz="4" w:space="0" w:color="auto"/>
            </w:tcBorders>
            <w:shd w:val="clear" w:color="auto" w:fill="FFFFFF" w:themeFill="background1"/>
            <w:noWrap/>
            <w:vAlign w:val="center"/>
            <w:hideMark/>
          </w:tcPr>
          <w:p w14:paraId="28C78796" w14:textId="77777777" w:rsidR="00AC702B" w:rsidRPr="00545EC0" w:rsidRDefault="00AC702B" w:rsidP="004F2AF2">
            <w:pPr>
              <w:spacing w:line="240" w:lineRule="auto"/>
              <w:rPr>
                <w:rFonts w:cs="Arial"/>
                <w:sz w:val="18"/>
                <w:szCs w:val="18"/>
              </w:rPr>
            </w:pPr>
            <w:r w:rsidRPr="00545EC0">
              <w:rPr>
                <w:rFonts w:cs="Arial"/>
                <w:sz w:val="18"/>
                <w:szCs w:val="18"/>
              </w:rPr>
              <w:t>VT Pesnica zadrževalnik Perniško jezero - Ormož</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09A93FCA" w14:textId="77777777" w:rsidR="00AC702B" w:rsidRPr="00545EC0" w:rsidRDefault="00AC702B" w:rsidP="004F2AF2">
            <w:pPr>
              <w:spacing w:line="240" w:lineRule="auto"/>
              <w:rPr>
                <w:rFonts w:cs="Arial"/>
                <w:sz w:val="18"/>
                <w:szCs w:val="18"/>
              </w:rPr>
            </w:pPr>
            <w:r w:rsidRPr="00545EC0">
              <w:rPr>
                <w:rFonts w:cs="Arial"/>
                <w:sz w:val="18"/>
                <w:szCs w:val="18"/>
              </w:rPr>
              <w:t>zadrževalnik Gradiško jezero</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00E7FF"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D103A4"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290"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7B859AE4"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9427BF"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1C59B17"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DB6686"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F8D9C1"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C69F00"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CE8D55" w14:textId="7BC6E7CE" w:rsidR="00AC702B" w:rsidRPr="00545EC0" w:rsidRDefault="00AC702B" w:rsidP="004F2AF2">
            <w:pPr>
              <w:spacing w:line="240" w:lineRule="auto"/>
              <w:rPr>
                <w:rFonts w:cs="Arial"/>
                <w:sz w:val="18"/>
                <w:szCs w:val="18"/>
              </w:rPr>
            </w:pPr>
            <w:r w:rsidRPr="00545EC0">
              <w:rPr>
                <w:rFonts w:cs="Arial"/>
                <w:sz w:val="18"/>
                <w:szCs w:val="18"/>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10B08C" w14:textId="77777777" w:rsidR="00AC702B" w:rsidRPr="00545EC0" w:rsidRDefault="00AC702B" w:rsidP="004F2AF2">
            <w:pPr>
              <w:spacing w:line="240" w:lineRule="auto"/>
              <w:rPr>
                <w:rFonts w:cs="Arial"/>
                <w:sz w:val="18"/>
                <w:szCs w:val="18"/>
              </w:rPr>
            </w:pPr>
            <w:r w:rsidRPr="00545EC0">
              <w:rPr>
                <w:rFonts w:cs="Arial"/>
                <w:sz w:val="18"/>
                <w:szCs w:val="18"/>
              </w:rPr>
              <w:t>0</w:t>
            </w:r>
          </w:p>
        </w:tc>
      </w:tr>
      <w:tr w:rsidR="003122F4" w:rsidRPr="00545EC0" w14:paraId="6225B848" w14:textId="77777777" w:rsidTr="00627979">
        <w:trPr>
          <w:trHeight w:val="227"/>
        </w:trPr>
        <w:tc>
          <w:tcPr>
            <w:tcW w:w="10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13E69D4" w14:textId="77777777" w:rsidR="00AC702B" w:rsidRPr="00545EC0" w:rsidRDefault="00AC702B" w:rsidP="004F2AF2">
            <w:pPr>
              <w:spacing w:line="240" w:lineRule="auto"/>
              <w:rPr>
                <w:rFonts w:cs="Arial"/>
                <w:sz w:val="18"/>
                <w:szCs w:val="18"/>
              </w:rPr>
            </w:pPr>
            <w:r w:rsidRPr="00545EC0">
              <w:rPr>
                <w:rFonts w:cs="Arial"/>
                <w:sz w:val="18"/>
                <w:szCs w:val="18"/>
              </w:rPr>
              <w:t>SI38VT34</w:t>
            </w:r>
          </w:p>
        </w:tc>
        <w:tc>
          <w:tcPr>
            <w:tcW w:w="2215" w:type="dxa"/>
            <w:tcBorders>
              <w:top w:val="nil"/>
              <w:left w:val="nil"/>
              <w:bottom w:val="single" w:sz="4" w:space="0" w:color="auto"/>
              <w:right w:val="single" w:sz="4" w:space="0" w:color="auto"/>
            </w:tcBorders>
            <w:shd w:val="clear" w:color="auto" w:fill="FFFFFF" w:themeFill="background1"/>
            <w:noWrap/>
            <w:vAlign w:val="center"/>
            <w:hideMark/>
          </w:tcPr>
          <w:p w14:paraId="226EB5D8" w14:textId="77777777" w:rsidR="00AC702B" w:rsidRPr="00545EC0" w:rsidRDefault="00AC702B" w:rsidP="004F2AF2">
            <w:pPr>
              <w:spacing w:line="240" w:lineRule="auto"/>
              <w:rPr>
                <w:rFonts w:cs="Arial"/>
                <w:sz w:val="18"/>
                <w:szCs w:val="18"/>
              </w:rPr>
            </w:pPr>
            <w:r w:rsidRPr="00545EC0">
              <w:rPr>
                <w:rFonts w:cs="Arial"/>
                <w:sz w:val="18"/>
                <w:szCs w:val="18"/>
              </w:rPr>
              <w:t>MPVT zadrževalnik Perniško jezero</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0C42F26B" w14:textId="77777777" w:rsidR="00AC702B" w:rsidRPr="00545EC0" w:rsidRDefault="00AC702B" w:rsidP="004F2AF2">
            <w:pPr>
              <w:spacing w:line="240" w:lineRule="auto"/>
              <w:rPr>
                <w:rFonts w:cs="Arial"/>
                <w:sz w:val="18"/>
                <w:szCs w:val="18"/>
              </w:rPr>
            </w:pPr>
            <w:r w:rsidRPr="00545EC0">
              <w:rPr>
                <w:rFonts w:cs="Arial"/>
                <w:sz w:val="18"/>
                <w:szCs w:val="18"/>
              </w:rPr>
              <w:t>zadrževalnik Perniško jezero 2</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5AA944"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1C90F6"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290"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66F1FF90"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E61B1D"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2AB25A3"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CFD308"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DF9433"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454E81"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E18CDE" w14:textId="18B7B942" w:rsidR="00AC702B" w:rsidRPr="00545EC0" w:rsidRDefault="00AC702B" w:rsidP="004F2AF2">
            <w:pPr>
              <w:spacing w:line="240" w:lineRule="auto"/>
              <w:rPr>
                <w:rFonts w:cs="Arial"/>
                <w:sz w:val="18"/>
                <w:szCs w:val="18"/>
              </w:rPr>
            </w:pPr>
            <w:r w:rsidRPr="00545EC0">
              <w:rPr>
                <w:rFonts w:cs="Arial"/>
                <w:sz w:val="18"/>
                <w:szCs w:val="18"/>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E610F8" w14:textId="77777777" w:rsidR="00AC702B" w:rsidRPr="00545EC0" w:rsidRDefault="00AC702B" w:rsidP="004F2AF2">
            <w:pPr>
              <w:spacing w:line="240" w:lineRule="auto"/>
              <w:rPr>
                <w:rFonts w:cs="Arial"/>
                <w:sz w:val="18"/>
                <w:szCs w:val="18"/>
              </w:rPr>
            </w:pPr>
            <w:r w:rsidRPr="00545EC0">
              <w:rPr>
                <w:rFonts w:cs="Arial"/>
                <w:sz w:val="18"/>
                <w:szCs w:val="18"/>
              </w:rPr>
              <w:t>0</w:t>
            </w:r>
          </w:p>
        </w:tc>
      </w:tr>
      <w:tr w:rsidR="003122F4" w:rsidRPr="00545EC0" w14:paraId="58B81829" w14:textId="77777777" w:rsidTr="00627979">
        <w:trPr>
          <w:trHeight w:val="227"/>
        </w:trPr>
        <w:tc>
          <w:tcPr>
            <w:tcW w:w="10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C1B9937" w14:textId="77777777" w:rsidR="00AC702B" w:rsidRPr="00545EC0" w:rsidRDefault="00AC702B" w:rsidP="004F2AF2">
            <w:pPr>
              <w:spacing w:line="240" w:lineRule="auto"/>
              <w:rPr>
                <w:rFonts w:cs="Arial"/>
                <w:sz w:val="18"/>
                <w:szCs w:val="18"/>
              </w:rPr>
            </w:pPr>
            <w:r w:rsidRPr="00545EC0">
              <w:rPr>
                <w:rFonts w:cs="Arial"/>
                <w:sz w:val="18"/>
                <w:szCs w:val="18"/>
              </w:rPr>
              <w:t>SI38VT34</w:t>
            </w:r>
          </w:p>
        </w:tc>
        <w:tc>
          <w:tcPr>
            <w:tcW w:w="2215" w:type="dxa"/>
            <w:tcBorders>
              <w:top w:val="nil"/>
              <w:left w:val="nil"/>
              <w:bottom w:val="single" w:sz="4" w:space="0" w:color="auto"/>
              <w:right w:val="single" w:sz="4" w:space="0" w:color="auto"/>
            </w:tcBorders>
            <w:shd w:val="clear" w:color="auto" w:fill="FFFFFF" w:themeFill="background1"/>
            <w:noWrap/>
            <w:vAlign w:val="center"/>
            <w:hideMark/>
          </w:tcPr>
          <w:p w14:paraId="29D1C4E0" w14:textId="77777777" w:rsidR="00AC702B" w:rsidRPr="00545EC0" w:rsidRDefault="00AC702B" w:rsidP="004F2AF2">
            <w:pPr>
              <w:spacing w:line="240" w:lineRule="auto"/>
              <w:rPr>
                <w:rFonts w:cs="Arial"/>
                <w:sz w:val="18"/>
                <w:szCs w:val="18"/>
              </w:rPr>
            </w:pPr>
            <w:r w:rsidRPr="00545EC0">
              <w:rPr>
                <w:rFonts w:cs="Arial"/>
                <w:sz w:val="18"/>
                <w:szCs w:val="18"/>
              </w:rPr>
              <w:t>MPVT zadrževalnik Perniško jezero</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6F7A7C72" w14:textId="77777777" w:rsidR="00AC702B" w:rsidRPr="00545EC0" w:rsidRDefault="00AC702B" w:rsidP="004F2AF2">
            <w:pPr>
              <w:spacing w:line="240" w:lineRule="auto"/>
              <w:rPr>
                <w:rFonts w:cs="Arial"/>
                <w:sz w:val="18"/>
                <w:szCs w:val="18"/>
              </w:rPr>
            </w:pPr>
            <w:r w:rsidRPr="00545EC0">
              <w:rPr>
                <w:rFonts w:cs="Arial"/>
                <w:sz w:val="18"/>
                <w:szCs w:val="18"/>
              </w:rPr>
              <w:t>zadrževalnik Perniško jezero 1</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050EA9"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103CCA"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290"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23F8F198"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591063"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3D67A56"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1FFCF3"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37C999"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3DCBD2"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C11DF0" w14:textId="0ED4E093" w:rsidR="00AC702B" w:rsidRPr="00545EC0" w:rsidRDefault="00AC702B" w:rsidP="004F2AF2">
            <w:pPr>
              <w:spacing w:line="240" w:lineRule="auto"/>
              <w:rPr>
                <w:rFonts w:cs="Arial"/>
                <w:sz w:val="18"/>
                <w:szCs w:val="18"/>
              </w:rPr>
            </w:pPr>
            <w:r w:rsidRPr="00545EC0">
              <w:rPr>
                <w:rFonts w:cs="Arial"/>
                <w:sz w:val="18"/>
                <w:szCs w:val="18"/>
              </w:rPr>
              <w:t>1</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A67A8C" w14:textId="77777777" w:rsidR="00AC702B" w:rsidRPr="00545EC0" w:rsidRDefault="00AC702B" w:rsidP="004F2AF2">
            <w:pPr>
              <w:spacing w:line="240" w:lineRule="auto"/>
              <w:rPr>
                <w:rFonts w:cs="Arial"/>
                <w:sz w:val="18"/>
                <w:szCs w:val="18"/>
              </w:rPr>
            </w:pPr>
            <w:r w:rsidRPr="00545EC0">
              <w:rPr>
                <w:rFonts w:cs="Arial"/>
                <w:sz w:val="18"/>
                <w:szCs w:val="18"/>
              </w:rPr>
              <w:t>0</w:t>
            </w:r>
          </w:p>
        </w:tc>
      </w:tr>
      <w:tr w:rsidR="003122F4" w:rsidRPr="00545EC0" w14:paraId="22098F73" w14:textId="77777777" w:rsidTr="00627979">
        <w:trPr>
          <w:trHeight w:val="227"/>
        </w:trPr>
        <w:tc>
          <w:tcPr>
            <w:tcW w:w="10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983CBCA" w14:textId="77777777" w:rsidR="00AC702B" w:rsidRPr="00545EC0" w:rsidRDefault="00AC702B" w:rsidP="004F2AF2">
            <w:pPr>
              <w:spacing w:line="240" w:lineRule="auto"/>
              <w:rPr>
                <w:rFonts w:cs="Arial"/>
                <w:sz w:val="18"/>
                <w:szCs w:val="18"/>
              </w:rPr>
            </w:pPr>
            <w:r w:rsidRPr="00545EC0">
              <w:rPr>
                <w:rFonts w:cs="Arial"/>
                <w:sz w:val="18"/>
                <w:szCs w:val="18"/>
              </w:rPr>
              <w:t>SI3VT5172</w:t>
            </w:r>
          </w:p>
        </w:tc>
        <w:tc>
          <w:tcPr>
            <w:tcW w:w="2215" w:type="dxa"/>
            <w:tcBorders>
              <w:top w:val="nil"/>
              <w:left w:val="nil"/>
              <w:bottom w:val="single" w:sz="4" w:space="0" w:color="auto"/>
              <w:right w:val="single" w:sz="4" w:space="0" w:color="auto"/>
            </w:tcBorders>
            <w:shd w:val="clear" w:color="auto" w:fill="FFFFFF" w:themeFill="background1"/>
            <w:noWrap/>
            <w:vAlign w:val="center"/>
            <w:hideMark/>
          </w:tcPr>
          <w:p w14:paraId="402DD7A1" w14:textId="77777777" w:rsidR="00AC702B" w:rsidRPr="00545EC0" w:rsidRDefault="00AC702B" w:rsidP="004F2AF2">
            <w:pPr>
              <w:spacing w:line="240" w:lineRule="auto"/>
              <w:rPr>
                <w:rFonts w:cs="Arial"/>
                <w:sz w:val="18"/>
                <w:szCs w:val="18"/>
              </w:rPr>
            </w:pPr>
            <w:r w:rsidRPr="00545EC0">
              <w:rPr>
                <w:rFonts w:cs="Arial"/>
                <w:sz w:val="18"/>
                <w:szCs w:val="18"/>
              </w:rPr>
              <w:t>MPVT zadrževalnik Ptujsko jezero</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39B60DC3" w14:textId="77777777" w:rsidR="00AC702B" w:rsidRPr="00545EC0" w:rsidRDefault="00AC702B" w:rsidP="004F2AF2">
            <w:pPr>
              <w:spacing w:line="240" w:lineRule="auto"/>
              <w:rPr>
                <w:rFonts w:cs="Arial"/>
                <w:sz w:val="18"/>
                <w:szCs w:val="18"/>
              </w:rPr>
            </w:pPr>
            <w:r w:rsidRPr="00545EC0">
              <w:rPr>
                <w:rFonts w:cs="Arial"/>
                <w:sz w:val="18"/>
                <w:szCs w:val="18"/>
              </w:rPr>
              <w:t>Ptujsko jezero</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3AB641"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6E88DF"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290"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6E85A1C2"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9B8C03"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556FE38"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638DD9"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45A010"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1A64AC"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94F2AC" w14:textId="0FE89903" w:rsidR="00AC702B" w:rsidRPr="00545EC0" w:rsidRDefault="00AC702B" w:rsidP="004F2AF2">
            <w:pPr>
              <w:spacing w:line="240" w:lineRule="auto"/>
              <w:rPr>
                <w:rFonts w:cs="Arial"/>
                <w:sz w:val="18"/>
                <w:szCs w:val="18"/>
              </w:rPr>
            </w:pPr>
            <w:r w:rsidRPr="00545EC0">
              <w:rPr>
                <w:rFonts w:cs="Arial"/>
                <w:sz w:val="18"/>
                <w:szCs w:val="18"/>
              </w:rPr>
              <w:t>1</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2EA8AC" w14:textId="77777777" w:rsidR="00AC702B" w:rsidRPr="00545EC0" w:rsidRDefault="00AC702B" w:rsidP="004F2AF2">
            <w:pPr>
              <w:spacing w:line="240" w:lineRule="auto"/>
              <w:rPr>
                <w:rFonts w:cs="Arial"/>
                <w:sz w:val="18"/>
                <w:szCs w:val="18"/>
              </w:rPr>
            </w:pPr>
            <w:r w:rsidRPr="00545EC0">
              <w:rPr>
                <w:rFonts w:cs="Arial"/>
                <w:sz w:val="18"/>
                <w:szCs w:val="18"/>
              </w:rPr>
              <w:t>0</w:t>
            </w:r>
          </w:p>
        </w:tc>
      </w:tr>
      <w:tr w:rsidR="003122F4" w:rsidRPr="00545EC0" w14:paraId="54499ED8" w14:textId="77777777" w:rsidTr="00627979">
        <w:trPr>
          <w:trHeight w:val="227"/>
        </w:trPr>
        <w:tc>
          <w:tcPr>
            <w:tcW w:w="10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3D0F4C2" w14:textId="77777777" w:rsidR="00AC702B" w:rsidRPr="00545EC0" w:rsidRDefault="00AC702B" w:rsidP="004F2AF2">
            <w:pPr>
              <w:spacing w:line="240" w:lineRule="auto"/>
              <w:rPr>
                <w:rFonts w:cs="Arial"/>
                <w:sz w:val="18"/>
                <w:szCs w:val="18"/>
              </w:rPr>
            </w:pPr>
            <w:r w:rsidRPr="00545EC0">
              <w:rPr>
                <w:rFonts w:cs="Arial"/>
                <w:sz w:val="18"/>
                <w:szCs w:val="18"/>
              </w:rPr>
              <w:t>SI3VT950</w:t>
            </w:r>
          </w:p>
        </w:tc>
        <w:tc>
          <w:tcPr>
            <w:tcW w:w="2215" w:type="dxa"/>
            <w:tcBorders>
              <w:top w:val="nil"/>
              <w:left w:val="nil"/>
              <w:bottom w:val="single" w:sz="4" w:space="0" w:color="auto"/>
              <w:right w:val="single" w:sz="4" w:space="0" w:color="auto"/>
            </w:tcBorders>
            <w:shd w:val="clear" w:color="auto" w:fill="FFFFFF" w:themeFill="background1"/>
            <w:noWrap/>
            <w:vAlign w:val="center"/>
            <w:hideMark/>
          </w:tcPr>
          <w:p w14:paraId="624AA957" w14:textId="77777777" w:rsidR="00AC702B" w:rsidRPr="00545EC0" w:rsidRDefault="00AC702B" w:rsidP="004F2AF2">
            <w:pPr>
              <w:spacing w:line="240" w:lineRule="auto"/>
              <w:rPr>
                <w:rFonts w:cs="Arial"/>
                <w:sz w:val="18"/>
                <w:szCs w:val="18"/>
              </w:rPr>
            </w:pPr>
            <w:r w:rsidRPr="00545EC0">
              <w:rPr>
                <w:rFonts w:cs="Arial"/>
                <w:sz w:val="18"/>
                <w:szCs w:val="18"/>
              </w:rPr>
              <w:t>MPVT zadrževalnik Ormoško jezero</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654F59E7" w14:textId="77777777" w:rsidR="00AC702B" w:rsidRPr="00545EC0" w:rsidRDefault="00AC702B" w:rsidP="004F2AF2">
            <w:pPr>
              <w:spacing w:line="240" w:lineRule="auto"/>
              <w:rPr>
                <w:rFonts w:cs="Arial"/>
                <w:sz w:val="18"/>
                <w:szCs w:val="18"/>
              </w:rPr>
            </w:pPr>
            <w:r w:rsidRPr="00545EC0">
              <w:rPr>
                <w:rFonts w:cs="Arial"/>
                <w:sz w:val="18"/>
                <w:szCs w:val="18"/>
              </w:rPr>
              <w:t>Ormoško jezero</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38D0F4"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B4F8E9"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290"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4FBDB512"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D856BF"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584A3BE"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8A9F5D"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10AFD7"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36AB17"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4E5F0F" w14:textId="4283DFEE" w:rsidR="00AC702B" w:rsidRPr="00545EC0" w:rsidRDefault="00AC702B" w:rsidP="004F2AF2">
            <w:pPr>
              <w:spacing w:line="240" w:lineRule="auto"/>
              <w:rPr>
                <w:rFonts w:cs="Arial"/>
                <w:sz w:val="18"/>
                <w:szCs w:val="18"/>
              </w:rPr>
            </w:pPr>
            <w:r w:rsidRPr="00545EC0">
              <w:rPr>
                <w:rFonts w:cs="Arial"/>
                <w:sz w:val="18"/>
                <w:szCs w:val="18"/>
              </w:rPr>
              <w:t>1</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A183C9" w14:textId="77777777" w:rsidR="00AC702B" w:rsidRPr="00545EC0" w:rsidRDefault="00AC702B" w:rsidP="004F2AF2">
            <w:pPr>
              <w:spacing w:line="240" w:lineRule="auto"/>
              <w:rPr>
                <w:rFonts w:cs="Arial"/>
                <w:sz w:val="18"/>
                <w:szCs w:val="18"/>
              </w:rPr>
            </w:pPr>
            <w:r w:rsidRPr="00545EC0">
              <w:rPr>
                <w:rFonts w:cs="Arial"/>
                <w:sz w:val="18"/>
                <w:szCs w:val="18"/>
              </w:rPr>
              <w:t>0</w:t>
            </w:r>
          </w:p>
        </w:tc>
      </w:tr>
      <w:tr w:rsidR="003122F4" w:rsidRPr="00545EC0" w14:paraId="23510E81" w14:textId="77777777" w:rsidTr="00627979">
        <w:trPr>
          <w:trHeight w:val="227"/>
        </w:trPr>
        <w:tc>
          <w:tcPr>
            <w:tcW w:w="10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75FA2BB" w14:textId="77777777" w:rsidR="00AC702B" w:rsidRPr="00545EC0" w:rsidRDefault="00AC702B" w:rsidP="004F2AF2">
            <w:pPr>
              <w:spacing w:line="240" w:lineRule="auto"/>
              <w:rPr>
                <w:rFonts w:cs="Arial"/>
                <w:sz w:val="18"/>
                <w:szCs w:val="18"/>
              </w:rPr>
            </w:pPr>
            <w:r w:rsidRPr="00545EC0">
              <w:rPr>
                <w:rFonts w:cs="Arial"/>
                <w:sz w:val="18"/>
                <w:szCs w:val="18"/>
              </w:rPr>
              <w:t>SI434VT51</w:t>
            </w:r>
          </w:p>
        </w:tc>
        <w:tc>
          <w:tcPr>
            <w:tcW w:w="2215" w:type="dxa"/>
            <w:tcBorders>
              <w:top w:val="nil"/>
              <w:left w:val="nil"/>
              <w:bottom w:val="single" w:sz="4" w:space="0" w:color="auto"/>
              <w:right w:val="single" w:sz="4" w:space="0" w:color="auto"/>
            </w:tcBorders>
            <w:shd w:val="clear" w:color="auto" w:fill="FFFFFF" w:themeFill="background1"/>
            <w:noWrap/>
            <w:vAlign w:val="center"/>
            <w:hideMark/>
          </w:tcPr>
          <w:p w14:paraId="1AF2A6BE" w14:textId="77777777" w:rsidR="00AC702B" w:rsidRPr="00545EC0" w:rsidRDefault="00AC702B" w:rsidP="004F2AF2">
            <w:pPr>
              <w:spacing w:line="240" w:lineRule="auto"/>
              <w:rPr>
                <w:rFonts w:cs="Arial"/>
                <w:sz w:val="18"/>
                <w:szCs w:val="18"/>
              </w:rPr>
            </w:pPr>
            <w:r w:rsidRPr="00545EC0">
              <w:rPr>
                <w:rFonts w:cs="Arial"/>
                <w:sz w:val="18"/>
                <w:szCs w:val="18"/>
              </w:rPr>
              <w:t>VT Ščavnica povirje - zadrževalnik Gajševsko jezero</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69F39373" w14:textId="77777777" w:rsidR="00AC702B" w:rsidRPr="00545EC0" w:rsidRDefault="00AC702B" w:rsidP="004F2AF2">
            <w:pPr>
              <w:spacing w:line="240" w:lineRule="auto"/>
              <w:rPr>
                <w:rFonts w:cs="Arial"/>
                <w:sz w:val="18"/>
                <w:szCs w:val="18"/>
              </w:rPr>
            </w:pPr>
            <w:r w:rsidRPr="00545EC0">
              <w:rPr>
                <w:rFonts w:cs="Arial"/>
                <w:sz w:val="18"/>
                <w:szCs w:val="18"/>
              </w:rPr>
              <w:t>zadrževalnik Negovsko jezero</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6C871B"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87F8F8"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290"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6166F39F"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9CF713"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1BF655A"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9FF22F"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1AA94D"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DDB99A"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261F7D" w14:textId="26B9986C" w:rsidR="00AC702B" w:rsidRPr="00545EC0" w:rsidRDefault="00AC702B" w:rsidP="004F2AF2">
            <w:pPr>
              <w:spacing w:line="240" w:lineRule="auto"/>
              <w:rPr>
                <w:rFonts w:cs="Arial"/>
                <w:sz w:val="18"/>
                <w:szCs w:val="18"/>
              </w:rPr>
            </w:pPr>
            <w:r w:rsidRPr="00545EC0">
              <w:rPr>
                <w:rFonts w:cs="Arial"/>
                <w:sz w:val="18"/>
                <w:szCs w:val="18"/>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92D062" w14:textId="77777777" w:rsidR="00AC702B" w:rsidRPr="00545EC0" w:rsidRDefault="00AC702B" w:rsidP="004F2AF2">
            <w:pPr>
              <w:spacing w:line="240" w:lineRule="auto"/>
              <w:rPr>
                <w:rFonts w:cs="Arial"/>
                <w:sz w:val="18"/>
                <w:szCs w:val="18"/>
              </w:rPr>
            </w:pPr>
            <w:r w:rsidRPr="00545EC0">
              <w:rPr>
                <w:rFonts w:cs="Arial"/>
                <w:sz w:val="18"/>
                <w:szCs w:val="18"/>
              </w:rPr>
              <w:t>0</w:t>
            </w:r>
          </w:p>
        </w:tc>
      </w:tr>
      <w:tr w:rsidR="003122F4" w:rsidRPr="00545EC0" w14:paraId="72005088" w14:textId="77777777" w:rsidTr="00627979">
        <w:trPr>
          <w:trHeight w:val="227"/>
        </w:trPr>
        <w:tc>
          <w:tcPr>
            <w:tcW w:w="10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7A6289A" w14:textId="77777777" w:rsidR="00AC702B" w:rsidRPr="00545EC0" w:rsidRDefault="00AC702B" w:rsidP="004F2AF2">
            <w:pPr>
              <w:spacing w:line="240" w:lineRule="auto"/>
              <w:rPr>
                <w:rFonts w:cs="Arial"/>
                <w:sz w:val="18"/>
                <w:szCs w:val="18"/>
              </w:rPr>
            </w:pPr>
            <w:r w:rsidRPr="00545EC0">
              <w:rPr>
                <w:rFonts w:cs="Arial"/>
                <w:sz w:val="18"/>
                <w:szCs w:val="18"/>
              </w:rPr>
              <w:t>SI434VT51</w:t>
            </w:r>
          </w:p>
        </w:tc>
        <w:tc>
          <w:tcPr>
            <w:tcW w:w="2215" w:type="dxa"/>
            <w:tcBorders>
              <w:top w:val="nil"/>
              <w:left w:val="nil"/>
              <w:bottom w:val="single" w:sz="4" w:space="0" w:color="auto"/>
              <w:right w:val="single" w:sz="4" w:space="0" w:color="auto"/>
            </w:tcBorders>
            <w:shd w:val="clear" w:color="auto" w:fill="FFFFFF" w:themeFill="background1"/>
            <w:noWrap/>
            <w:vAlign w:val="center"/>
            <w:hideMark/>
          </w:tcPr>
          <w:p w14:paraId="3C708F8F" w14:textId="77777777" w:rsidR="00AC702B" w:rsidRPr="00545EC0" w:rsidRDefault="00AC702B" w:rsidP="004F2AF2">
            <w:pPr>
              <w:spacing w:line="240" w:lineRule="auto"/>
              <w:rPr>
                <w:rFonts w:cs="Arial"/>
                <w:sz w:val="18"/>
                <w:szCs w:val="18"/>
              </w:rPr>
            </w:pPr>
            <w:r w:rsidRPr="00545EC0">
              <w:rPr>
                <w:rFonts w:cs="Arial"/>
                <w:sz w:val="18"/>
                <w:szCs w:val="18"/>
              </w:rPr>
              <w:t xml:space="preserve">VT Ščavnica povirje - zadrževalnik Gajševsko </w:t>
            </w:r>
            <w:r w:rsidRPr="00545EC0">
              <w:rPr>
                <w:rFonts w:cs="Arial"/>
                <w:sz w:val="18"/>
                <w:szCs w:val="18"/>
              </w:rPr>
              <w:lastRenderedPageBreak/>
              <w:t>jezero</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45404547" w14:textId="77777777" w:rsidR="00AC702B" w:rsidRPr="00545EC0" w:rsidRDefault="00AC702B" w:rsidP="004F2AF2">
            <w:pPr>
              <w:spacing w:line="240" w:lineRule="auto"/>
              <w:rPr>
                <w:rFonts w:cs="Arial"/>
                <w:sz w:val="18"/>
                <w:szCs w:val="18"/>
              </w:rPr>
            </w:pPr>
            <w:r w:rsidRPr="00545EC0">
              <w:rPr>
                <w:rFonts w:cs="Arial"/>
                <w:sz w:val="18"/>
                <w:szCs w:val="18"/>
              </w:rPr>
              <w:lastRenderedPageBreak/>
              <w:t>zadrževalnik Blaguško jezero</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AE96F3"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E1C02B"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290"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18960DEF"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A15B45"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C3750E9"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3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127FB98"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EBE74A"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14B91A"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0E15A1" w14:textId="5B4AD059" w:rsidR="00AC702B" w:rsidRPr="00545EC0" w:rsidRDefault="00AC702B" w:rsidP="004F2AF2">
            <w:pPr>
              <w:spacing w:line="240" w:lineRule="auto"/>
              <w:rPr>
                <w:rFonts w:cs="Arial"/>
                <w:sz w:val="18"/>
                <w:szCs w:val="18"/>
              </w:rPr>
            </w:pPr>
            <w:r w:rsidRPr="00545EC0">
              <w:rPr>
                <w:rFonts w:cs="Arial"/>
                <w:sz w:val="18"/>
                <w:szCs w:val="18"/>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608CA4" w14:textId="77777777" w:rsidR="00AC702B" w:rsidRPr="00545EC0" w:rsidRDefault="00AC702B" w:rsidP="004F2AF2">
            <w:pPr>
              <w:spacing w:line="240" w:lineRule="auto"/>
              <w:rPr>
                <w:rFonts w:cs="Arial"/>
                <w:sz w:val="18"/>
                <w:szCs w:val="18"/>
              </w:rPr>
            </w:pPr>
            <w:r w:rsidRPr="00545EC0">
              <w:rPr>
                <w:rFonts w:cs="Arial"/>
                <w:sz w:val="18"/>
                <w:szCs w:val="18"/>
              </w:rPr>
              <w:t>0</w:t>
            </w:r>
          </w:p>
        </w:tc>
      </w:tr>
      <w:tr w:rsidR="003122F4" w:rsidRPr="00545EC0" w14:paraId="62FCA4E6" w14:textId="77777777" w:rsidTr="00627979">
        <w:trPr>
          <w:trHeight w:val="227"/>
        </w:trPr>
        <w:tc>
          <w:tcPr>
            <w:tcW w:w="10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11E7343" w14:textId="77777777" w:rsidR="00AC702B" w:rsidRPr="00545EC0" w:rsidRDefault="00AC702B" w:rsidP="004F2AF2">
            <w:pPr>
              <w:spacing w:line="240" w:lineRule="auto"/>
              <w:rPr>
                <w:rFonts w:cs="Arial"/>
                <w:sz w:val="18"/>
                <w:szCs w:val="18"/>
              </w:rPr>
            </w:pPr>
            <w:r w:rsidRPr="00545EC0">
              <w:rPr>
                <w:rFonts w:cs="Arial"/>
                <w:sz w:val="18"/>
                <w:szCs w:val="18"/>
              </w:rPr>
              <w:lastRenderedPageBreak/>
              <w:t>SI441VT</w:t>
            </w:r>
          </w:p>
        </w:tc>
        <w:tc>
          <w:tcPr>
            <w:tcW w:w="2215" w:type="dxa"/>
            <w:tcBorders>
              <w:top w:val="nil"/>
              <w:left w:val="nil"/>
              <w:bottom w:val="single" w:sz="4" w:space="0" w:color="auto"/>
              <w:right w:val="single" w:sz="4" w:space="0" w:color="auto"/>
            </w:tcBorders>
            <w:shd w:val="clear" w:color="auto" w:fill="FFFFFF" w:themeFill="background1"/>
            <w:noWrap/>
            <w:vAlign w:val="center"/>
            <w:hideMark/>
          </w:tcPr>
          <w:p w14:paraId="58387C93" w14:textId="77777777" w:rsidR="00AC702B" w:rsidRPr="00545EC0" w:rsidRDefault="00AC702B" w:rsidP="004F2AF2">
            <w:pPr>
              <w:spacing w:line="240" w:lineRule="auto"/>
              <w:rPr>
                <w:rFonts w:cs="Arial"/>
                <w:sz w:val="18"/>
                <w:szCs w:val="18"/>
              </w:rPr>
            </w:pPr>
            <w:r w:rsidRPr="00545EC0">
              <w:rPr>
                <w:rFonts w:cs="Arial"/>
                <w:sz w:val="18"/>
                <w:szCs w:val="18"/>
              </w:rPr>
              <w:t>VT Velika Krka povirje - državna meja</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0A0FE5D4" w14:textId="77777777" w:rsidR="00AC702B" w:rsidRPr="00545EC0" w:rsidRDefault="00AC702B" w:rsidP="004F2AF2">
            <w:pPr>
              <w:spacing w:line="240" w:lineRule="auto"/>
              <w:rPr>
                <w:rFonts w:cs="Arial"/>
                <w:sz w:val="18"/>
                <w:szCs w:val="18"/>
              </w:rPr>
            </w:pPr>
            <w:r w:rsidRPr="00545EC0">
              <w:rPr>
                <w:rFonts w:cs="Arial"/>
                <w:sz w:val="18"/>
                <w:szCs w:val="18"/>
              </w:rPr>
              <w:t>zadrževalnik Hodoško jezero</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F0A200"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83A562"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290"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256C49BD"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55A6C9"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EEC3FAA"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534403"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64E61B"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DC6A6E"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EBE8E3" w14:textId="6027C916" w:rsidR="00AC702B" w:rsidRPr="00545EC0" w:rsidRDefault="00AC702B" w:rsidP="004F2AF2">
            <w:pPr>
              <w:spacing w:line="240" w:lineRule="auto"/>
              <w:rPr>
                <w:rFonts w:cs="Arial"/>
                <w:sz w:val="18"/>
                <w:szCs w:val="18"/>
              </w:rPr>
            </w:pPr>
            <w:r w:rsidRPr="00545EC0">
              <w:rPr>
                <w:rFonts w:cs="Arial"/>
                <w:sz w:val="18"/>
                <w:szCs w:val="18"/>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5207A9" w14:textId="77777777" w:rsidR="00AC702B" w:rsidRPr="00545EC0" w:rsidRDefault="00AC702B" w:rsidP="004F2AF2">
            <w:pPr>
              <w:spacing w:line="240" w:lineRule="auto"/>
              <w:rPr>
                <w:rFonts w:cs="Arial"/>
                <w:sz w:val="18"/>
                <w:szCs w:val="18"/>
              </w:rPr>
            </w:pPr>
            <w:r w:rsidRPr="00545EC0">
              <w:rPr>
                <w:rFonts w:cs="Arial"/>
                <w:sz w:val="18"/>
                <w:szCs w:val="18"/>
              </w:rPr>
              <w:t>0</w:t>
            </w:r>
          </w:p>
        </w:tc>
      </w:tr>
      <w:tr w:rsidR="003122F4" w:rsidRPr="00545EC0" w14:paraId="1F9FDBED" w14:textId="77777777" w:rsidTr="00627979">
        <w:trPr>
          <w:trHeight w:val="227"/>
        </w:trPr>
        <w:tc>
          <w:tcPr>
            <w:tcW w:w="10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14F08D7" w14:textId="77777777" w:rsidR="00AC702B" w:rsidRPr="00545EC0" w:rsidRDefault="00AC702B" w:rsidP="004F2AF2">
            <w:pPr>
              <w:spacing w:line="240" w:lineRule="auto"/>
              <w:rPr>
                <w:rFonts w:cs="Arial"/>
                <w:sz w:val="18"/>
                <w:szCs w:val="18"/>
              </w:rPr>
            </w:pPr>
            <w:r w:rsidRPr="00545EC0">
              <w:rPr>
                <w:rFonts w:cs="Arial"/>
                <w:sz w:val="18"/>
                <w:szCs w:val="18"/>
              </w:rPr>
              <w:t>SI434VT52</w:t>
            </w:r>
          </w:p>
        </w:tc>
        <w:tc>
          <w:tcPr>
            <w:tcW w:w="2215" w:type="dxa"/>
            <w:tcBorders>
              <w:top w:val="nil"/>
              <w:left w:val="nil"/>
              <w:bottom w:val="single" w:sz="4" w:space="0" w:color="auto"/>
              <w:right w:val="single" w:sz="4" w:space="0" w:color="auto"/>
            </w:tcBorders>
            <w:shd w:val="clear" w:color="auto" w:fill="FFFFFF" w:themeFill="background1"/>
            <w:noWrap/>
            <w:vAlign w:val="center"/>
            <w:hideMark/>
          </w:tcPr>
          <w:p w14:paraId="2012C832" w14:textId="77777777" w:rsidR="00AC702B" w:rsidRPr="00545EC0" w:rsidRDefault="00AC702B" w:rsidP="004F2AF2">
            <w:pPr>
              <w:spacing w:line="240" w:lineRule="auto"/>
              <w:rPr>
                <w:rFonts w:cs="Arial"/>
                <w:sz w:val="18"/>
                <w:szCs w:val="18"/>
              </w:rPr>
            </w:pPr>
            <w:r w:rsidRPr="00545EC0">
              <w:rPr>
                <w:rFonts w:cs="Arial"/>
                <w:sz w:val="18"/>
                <w:szCs w:val="18"/>
              </w:rPr>
              <w:t>MPVT zadrževalnik Gajševsko jezero</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0B96E076" w14:textId="77777777" w:rsidR="00AC702B" w:rsidRPr="00545EC0" w:rsidRDefault="00AC702B" w:rsidP="004F2AF2">
            <w:pPr>
              <w:spacing w:line="240" w:lineRule="auto"/>
              <w:rPr>
                <w:rFonts w:cs="Arial"/>
                <w:sz w:val="18"/>
                <w:szCs w:val="18"/>
              </w:rPr>
            </w:pPr>
            <w:r w:rsidRPr="00545EC0">
              <w:rPr>
                <w:rFonts w:cs="Arial"/>
                <w:sz w:val="18"/>
                <w:szCs w:val="18"/>
              </w:rPr>
              <w:t>zadrževalnik Gajševsko jezero</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2DCE7B"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5726B1"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290"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28741E42"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B9882C"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DA9AA52"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F7D751"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0C1BDD"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95B42B"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2DA904" w14:textId="6A125743" w:rsidR="00AC702B" w:rsidRPr="00545EC0" w:rsidRDefault="00AC702B" w:rsidP="004F2AF2">
            <w:pPr>
              <w:spacing w:line="240" w:lineRule="auto"/>
              <w:rPr>
                <w:rFonts w:cs="Arial"/>
                <w:sz w:val="18"/>
                <w:szCs w:val="18"/>
              </w:rPr>
            </w:pPr>
            <w:r w:rsidRPr="00545EC0">
              <w:rPr>
                <w:rFonts w:cs="Arial"/>
                <w:sz w:val="18"/>
                <w:szCs w:val="18"/>
              </w:rPr>
              <w:t>1</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B9DEAA" w14:textId="77777777" w:rsidR="00AC702B" w:rsidRPr="00545EC0" w:rsidRDefault="00AC702B" w:rsidP="004F2AF2">
            <w:pPr>
              <w:spacing w:line="240" w:lineRule="auto"/>
              <w:rPr>
                <w:rFonts w:cs="Arial"/>
                <w:sz w:val="18"/>
                <w:szCs w:val="18"/>
              </w:rPr>
            </w:pPr>
            <w:r w:rsidRPr="00545EC0">
              <w:rPr>
                <w:rFonts w:cs="Arial"/>
                <w:sz w:val="18"/>
                <w:szCs w:val="18"/>
              </w:rPr>
              <w:t>0</w:t>
            </w:r>
          </w:p>
        </w:tc>
      </w:tr>
      <w:tr w:rsidR="003122F4" w:rsidRPr="00545EC0" w14:paraId="3AF9D345" w14:textId="77777777" w:rsidTr="00627979">
        <w:trPr>
          <w:trHeight w:val="227"/>
        </w:trPr>
        <w:tc>
          <w:tcPr>
            <w:tcW w:w="10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2C4E777" w14:textId="77777777" w:rsidR="00AC702B" w:rsidRPr="00545EC0" w:rsidRDefault="00AC702B" w:rsidP="004F2AF2">
            <w:pPr>
              <w:spacing w:line="240" w:lineRule="auto"/>
              <w:rPr>
                <w:rFonts w:cs="Arial"/>
                <w:sz w:val="18"/>
                <w:szCs w:val="18"/>
              </w:rPr>
            </w:pPr>
            <w:r w:rsidRPr="00545EC0">
              <w:rPr>
                <w:rFonts w:cs="Arial"/>
                <w:sz w:val="18"/>
                <w:szCs w:val="18"/>
              </w:rPr>
              <w:t>SI442VT12</w:t>
            </w:r>
          </w:p>
        </w:tc>
        <w:tc>
          <w:tcPr>
            <w:tcW w:w="2215" w:type="dxa"/>
            <w:tcBorders>
              <w:top w:val="nil"/>
              <w:left w:val="nil"/>
              <w:bottom w:val="single" w:sz="4" w:space="0" w:color="auto"/>
              <w:right w:val="single" w:sz="4" w:space="0" w:color="auto"/>
            </w:tcBorders>
            <w:shd w:val="clear" w:color="auto" w:fill="FFFFFF" w:themeFill="background1"/>
            <w:noWrap/>
            <w:vAlign w:val="center"/>
            <w:hideMark/>
          </w:tcPr>
          <w:p w14:paraId="66F0AE4C" w14:textId="77777777" w:rsidR="00AC702B" w:rsidRPr="00545EC0" w:rsidRDefault="00AC702B" w:rsidP="004F2AF2">
            <w:pPr>
              <w:spacing w:line="240" w:lineRule="auto"/>
              <w:rPr>
                <w:rFonts w:cs="Arial"/>
                <w:sz w:val="18"/>
                <w:szCs w:val="18"/>
              </w:rPr>
            </w:pPr>
            <w:r w:rsidRPr="00545EC0">
              <w:rPr>
                <w:rFonts w:cs="Arial"/>
                <w:sz w:val="18"/>
                <w:szCs w:val="18"/>
              </w:rPr>
              <w:t>MPVT zadrževalnik Ledavsko jezero</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3A5B934B" w14:textId="77777777" w:rsidR="00AC702B" w:rsidRPr="00545EC0" w:rsidRDefault="00AC702B" w:rsidP="004F2AF2">
            <w:pPr>
              <w:spacing w:line="240" w:lineRule="auto"/>
              <w:rPr>
                <w:rFonts w:cs="Arial"/>
                <w:sz w:val="18"/>
                <w:szCs w:val="18"/>
              </w:rPr>
            </w:pPr>
            <w:r w:rsidRPr="00545EC0">
              <w:rPr>
                <w:rFonts w:cs="Arial"/>
                <w:sz w:val="18"/>
                <w:szCs w:val="18"/>
              </w:rPr>
              <w:t>zadrževalnik Ledavsko jezero</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2E7D7C"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90E4B3"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290"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71A27B05"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566069"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9BD5DB4"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C0C020"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9742A0"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E3B40A"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7EBB27" w14:textId="16A0F992" w:rsidR="00AC702B" w:rsidRPr="00545EC0" w:rsidRDefault="00AC702B" w:rsidP="004F2AF2">
            <w:pPr>
              <w:spacing w:line="240" w:lineRule="auto"/>
              <w:rPr>
                <w:rFonts w:cs="Arial"/>
                <w:sz w:val="18"/>
                <w:szCs w:val="18"/>
              </w:rPr>
            </w:pPr>
            <w:r w:rsidRPr="00545EC0">
              <w:rPr>
                <w:rFonts w:cs="Arial"/>
                <w:sz w:val="18"/>
                <w:szCs w:val="18"/>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DE80A3" w14:textId="77777777" w:rsidR="00AC702B" w:rsidRPr="00545EC0" w:rsidRDefault="00AC702B" w:rsidP="004F2AF2">
            <w:pPr>
              <w:spacing w:line="240" w:lineRule="auto"/>
              <w:rPr>
                <w:rFonts w:cs="Arial"/>
                <w:sz w:val="18"/>
                <w:szCs w:val="18"/>
              </w:rPr>
            </w:pPr>
            <w:r w:rsidRPr="00545EC0">
              <w:rPr>
                <w:rFonts w:cs="Arial"/>
                <w:sz w:val="18"/>
                <w:szCs w:val="18"/>
              </w:rPr>
              <w:t>0</w:t>
            </w:r>
          </w:p>
        </w:tc>
      </w:tr>
      <w:tr w:rsidR="003122F4" w:rsidRPr="00545EC0" w14:paraId="1A5A5B3D" w14:textId="77777777" w:rsidTr="00627979">
        <w:trPr>
          <w:trHeight w:val="227"/>
        </w:trPr>
        <w:tc>
          <w:tcPr>
            <w:tcW w:w="10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D2AC0AE" w14:textId="77777777" w:rsidR="00AC702B" w:rsidRPr="00545EC0" w:rsidRDefault="00AC702B" w:rsidP="004F2AF2">
            <w:pPr>
              <w:spacing w:line="240" w:lineRule="auto"/>
              <w:rPr>
                <w:rFonts w:cs="Arial"/>
                <w:sz w:val="18"/>
                <w:szCs w:val="18"/>
              </w:rPr>
            </w:pPr>
            <w:r w:rsidRPr="00545EC0">
              <w:rPr>
                <w:rFonts w:cs="Arial"/>
                <w:sz w:val="18"/>
                <w:szCs w:val="18"/>
              </w:rPr>
              <w:t>SI4426VT2</w:t>
            </w:r>
          </w:p>
        </w:tc>
        <w:tc>
          <w:tcPr>
            <w:tcW w:w="2215" w:type="dxa"/>
            <w:tcBorders>
              <w:top w:val="nil"/>
              <w:left w:val="nil"/>
              <w:bottom w:val="single" w:sz="4" w:space="0" w:color="auto"/>
              <w:right w:val="single" w:sz="4" w:space="0" w:color="auto"/>
            </w:tcBorders>
            <w:shd w:val="clear" w:color="auto" w:fill="FFFFFF" w:themeFill="background1"/>
            <w:noWrap/>
            <w:vAlign w:val="center"/>
            <w:hideMark/>
          </w:tcPr>
          <w:p w14:paraId="0C2E990C" w14:textId="77777777" w:rsidR="00AC702B" w:rsidRPr="00545EC0" w:rsidRDefault="00AC702B" w:rsidP="004F2AF2">
            <w:pPr>
              <w:spacing w:line="240" w:lineRule="auto"/>
              <w:rPr>
                <w:rFonts w:cs="Arial"/>
                <w:sz w:val="18"/>
                <w:szCs w:val="18"/>
              </w:rPr>
            </w:pPr>
            <w:r w:rsidRPr="00545EC0">
              <w:rPr>
                <w:rFonts w:cs="Arial"/>
                <w:sz w:val="18"/>
                <w:szCs w:val="18"/>
              </w:rPr>
              <w:t>VT Kobiljski potok državna meja - Ledava</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72B21FEC" w14:textId="77777777" w:rsidR="00AC702B" w:rsidRPr="00545EC0" w:rsidRDefault="00AC702B" w:rsidP="004F2AF2">
            <w:pPr>
              <w:spacing w:line="240" w:lineRule="auto"/>
              <w:rPr>
                <w:rFonts w:cs="Arial"/>
                <w:sz w:val="18"/>
                <w:szCs w:val="18"/>
              </w:rPr>
            </w:pPr>
            <w:r w:rsidRPr="00545EC0">
              <w:rPr>
                <w:rFonts w:cs="Arial"/>
                <w:sz w:val="18"/>
                <w:szCs w:val="18"/>
              </w:rPr>
              <w:t>zadrževalnik Bukovniško jezero</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7F9446"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681EB7"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290"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506F31CA"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D5EE05"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E191547"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520802" w14:textId="77777777" w:rsidR="00AC702B" w:rsidRPr="00545EC0" w:rsidRDefault="00AC702B" w:rsidP="004F2AF2">
            <w:pPr>
              <w:spacing w:line="240" w:lineRule="auto"/>
              <w:rPr>
                <w:rFonts w:cs="Arial"/>
                <w:sz w:val="18"/>
                <w:szCs w:val="18"/>
              </w:rPr>
            </w:pPr>
            <w:r w:rsidRPr="00545EC0">
              <w:rPr>
                <w:rFonts w:cs="Arial"/>
                <w:sz w:val="18"/>
                <w:szCs w:val="18"/>
              </w:rPr>
              <w:t>1</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09E594" w14:textId="77777777" w:rsidR="00AC702B" w:rsidRPr="00545EC0" w:rsidRDefault="00AC702B" w:rsidP="004F2AF2">
            <w:pPr>
              <w:spacing w:line="240" w:lineRule="auto"/>
              <w:rPr>
                <w:rFonts w:cs="Arial"/>
                <w:sz w:val="18"/>
                <w:szCs w:val="18"/>
              </w:rPr>
            </w:pPr>
            <w:r w:rsidRPr="00545EC0">
              <w:rPr>
                <w:rFonts w:cs="Arial"/>
                <w:sz w:val="18"/>
                <w:szCs w:val="18"/>
              </w:rPr>
              <w:t>0</w:t>
            </w:r>
          </w:p>
        </w:tc>
        <w:tc>
          <w:tcPr>
            <w:tcW w:w="3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B94918" w14:textId="77777777" w:rsidR="00AC702B" w:rsidRPr="00545EC0" w:rsidRDefault="00AC702B" w:rsidP="004F2AF2">
            <w:pPr>
              <w:spacing w:line="240" w:lineRule="auto"/>
              <w:rPr>
                <w:rFonts w:cs="Arial"/>
                <w:sz w:val="18"/>
                <w:szCs w:val="18"/>
              </w:rPr>
            </w:pPr>
            <w:r w:rsidRPr="00545EC0">
              <w:rPr>
                <w:rFonts w:cs="Arial"/>
                <w:sz w:val="18"/>
                <w:szCs w:val="18"/>
              </w:rPr>
              <w:t>/</w:t>
            </w: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35C787" w14:textId="7F1CB960" w:rsidR="00AC702B" w:rsidRPr="00545EC0" w:rsidRDefault="00AC702B" w:rsidP="004F2AF2">
            <w:pPr>
              <w:spacing w:line="240" w:lineRule="auto"/>
              <w:rPr>
                <w:rFonts w:cs="Arial"/>
                <w:sz w:val="18"/>
                <w:szCs w:val="18"/>
              </w:rPr>
            </w:pPr>
            <w:r w:rsidRPr="00545EC0">
              <w:rPr>
                <w:rFonts w:cs="Arial"/>
                <w:sz w:val="18"/>
                <w:szCs w:val="18"/>
              </w:rPr>
              <w:t>0</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346D84" w14:textId="77777777" w:rsidR="00AC702B" w:rsidRPr="00545EC0" w:rsidRDefault="00AC702B" w:rsidP="004F2AF2">
            <w:pPr>
              <w:spacing w:line="240" w:lineRule="auto"/>
              <w:rPr>
                <w:rFonts w:cs="Arial"/>
                <w:sz w:val="18"/>
                <w:szCs w:val="18"/>
              </w:rPr>
            </w:pPr>
            <w:r w:rsidRPr="00545EC0">
              <w:rPr>
                <w:rFonts w:cs="Arial"/>
                <w:sz w:val="18"/>
                <w:szCs w:val="18"/>
              </w:rPr>
              <w:t>0</w:t>
            </w:r>
          </w:p>
        </w:tc>
      </w:tr>
    </w:tbl>
    <w:p w14:paraId="6543A15C"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18"/>
          <w:szCs w:val="18"/>
          <w:lang w:eastAsia="ja-JP"/>
        </w:rPr>
      </w:pPr>
    </w:p>
    <w:p w14:paraId="6E924247" w14:textId="734DA285" w:rsidR="00BA1338" w:rsidRPr="00545EC0" w:rsidRDefault="00A90F9B" w:rsidP="00A90F9B">
      <w:pPr>
        <w:pStyle w:val="Naslov4"/>
        <w:rPr>
          <w:color w:val="auto"/>
          <w:lang w:val="sl-SI"/>
        </w:rPr>
      </w:pPr>
      <w:r w:rsidRPr="00545EC0">
        <w:rPr>
          <w:color w:val="auto"/>
          <w:lang w:val="sl-SI"/>
        </w:rPr>
        <w:t xml:space="preserve">Prikaz </w:t>
      </w:r>
      <w:r w:rsidR="00BA1338" w:rsidRPr="00545EC0">
        <w:rPr>
          <w:color w:val="auto"/>
          <w:lang w:val="sl-SI"/>
        </w:rPr>
        <w:t>hidromorfoloških obremenitev na močno preoblikovanih in umetnih vodnih telesih</w:t>
      </w:r>
    </w:p>
    <w:p w14:paraId="7C05814B"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545EC0">
        <w:rPr>
          <w:rFonts w:cs="Arial"/>
        </w:rPr>
        <w:t>V skladu s predpisom, ki ureja določitev in razvrstitev vodnih teles površinskih voda imamo v Sloveniji 19 vodnih teles, ki so uvrščeni med močno preoblikovana vodna telesa (MPVT) ter 4 umetna vodna telesa (UVT). Močno preoblikovana vodna telesa (MPVT) so telesa površinskih voda, ki imajo zaradi fizičnih sprememb, povzročenih s človekovo dejavnostjo, znatno spremenjene značilnosti. Umetna vodna telesa (UVT) pa so telesa površinskih voda, ki jih je ustvaril človek.</w:t>
      </w:r>
    </w:p>
    <w:p w14:paraId="7A3E22D6"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p>
    <w:p w14:paraId="3CCB710A" w14:textId="7EF4539E"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545EC0">
        <w:rPr>
          <w:rFonts w:cs="Arial"/>
        </w:rPr>
        <w:t>Močno preoblikovana vodna telesa površinskih voda se razvrščajo v dve kategoriji (</w:t>
      </w:r>
      <w:r w:rsidR="00304879" w:rsidRPr="00545EC0">
        <w:rPr>
          <w:rFonts w:cs="Arial"/>
        </w:rPr>
        <w:fldChar w:fldCharType="begin"/>
      </w:r>
      <w:r w:rsidR="00304879" w:rsidRPr="00545EC0">
        <w:rPr>
          <w:rFonts w:cs="Arial"/>
        </w:rPr>
        <w:instrText xml:space="preserve"> REF _Ref84321085 \h </w:instrText>
      </w:r>
      <w:r w:rsidR="00F37A91" w:rsidRPr="00545EC0">
        <w:rPr>
          <w:rFonts w:cs="Arial"/>
        </w:rPr>
        <w:instrText xml:space="preserve"> \* MERGEFORMAT </w:instrText>
      </w:r>
      <w:r w:rsidR="00304879" w:rsidRPr="00545EC0">
        <w:rPr>
          <w:rFonts w:cs="Arial"/>
        </w:rPr>
      </w:r>
      <w:r w:rsidR="00304879" w:rsidRPr="00545EC0">
        <w:rPr>
          <w:rFonts w:cs="Arial"/>
        </w:rPr>
        <w:fldChar w:fldCharType="separate"/>
      </w:r>
      <w:r w:rsidR="002F3E43" w:rsidRPr="00545EC0">
        <w:t xml:space="preserve">Preglednica </w:t>
      </w:r>
      <w:r w:rsidR="002F3E43">
        <w:rPr>
          <w:noProof/>
        </w:rPr>
        <w:t>2</w:t>
      </w:r>
      <w:r w:rsidR="002F3E43" w:rsidRPr="00545EC0">
        <w:rPr>
          <w:noProof/>
        </w:rPr>
        <w:noBreakHyphen/>
      </w:r>
      <w:r w:rsidR="002F3E43">
        <w:rPr>
          <w:noProof/>
        </w:rPr>
        <w:t>33</w:t>
      </w:r>
      <w:r w:rsidR="00304879" w:rsidRPr="00545EC0">
        <w:rPr>
          <w:rFonts w:cs="Arial"/>
        </w:rPr>
        <w:fldChar w:fldCharType="end"/>
      </w:r>
      <w:r w:rsidRPr="00545EC0">
        <w:rPr>
          <w:rFonts w:cs="Arial"/>
        </w:rPr>
        <w:t>), in sicer v močno preoblikovana vodna telesa površinskih voda, ki imajo značilnosti vodotokov, in v močno preoblikovana vodna telesa površinskih voda, ki imajo značilnosti jezer.</w:t>
      </w:r>
    </w:p>
    <w:p w14:paraId="63BC6BDD" w14:textId="77777777" w:rsidR="00BA1338" w:rsidRPr="00545EC0" w:rsidRDefault="00BA1338" w:rsidP="00BA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p>
    <w:p w14:paraId="2F3FB020" w14:textId="7F0D963F" w:rsidR="00887665" w:rsidRPr="00545EC0" w:rsidRDefault="00887665" w:rsidP="00887665">
      <w:pPr>
        <w:pStyle w:val="Napis"/>
        <w:keepNext/>
      </w:pPr>
      <w:bookmarkStart w:id="221" w:name="_Ref84321085"/>
      <w:bookmarkStart w:id="222" w:name="_Ref84256905"/>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33</w:t>
        </w:r>
      </w:fldSimple>
      <w:bookmarkEnd w:id="221"/>
      <w:r w:rsidR="00627979" w:rsidRPr="00545EC0">
        <w:t>: MPVT in UVT</w:t>
      </w:r>
      <w:bookmarkEnd w:id="222"/>
    </w:p>
    <w:tbl>
      <w:tblPr>
        <w:tblW w:w="5000" w:type="pct"/>
        <w:tblCellMar>
          <w:left w:w="70" w:type="dxa"/>
          <w:right w:w="70" w:type="dxa"/>
        </w:tblCellMar>
        <w:tblLook w:val="04A0" w:firstRow="1" w:lastRow="0" w:firstColumn="1" w:lastColumn="0" w:noHBand="0" w:noVBand="1"/>
      </w:tblPr>
      <w:tblGrid>
        <w:gridCol w:w="1303"/>
        <w:gridCol w:w="4339"/>
        <w:gridCol w:w="928"/>
        <w:gridCol w:w="928"/>
        <w:gridCol w:w="1713"/>
      </w:tblGrid>
      <w:tr w:rsidR="004507A4" w:rsidRPr="00545EC0" w14:paraId="65EC8ECB" w14:textId="77777777" w:rsidTr="004507A4">
        <w:trPr>
          <w:cantSplit/>
          <w:trHeight w:val="227"/>
          <w:tblHeader/>
        </w:trPr>
        <w:tc>
          <w:tcPr>
            <w:tcW w:w="707" w:type="pct"/>
            <w:tcBorders>
              <w:top w:val="single" w:sz="4" w:space="0" w:color="231F20"/>
              <w:left w:val="single" w:sz="4" w:space="0" w:color="231F20"/>
              <w:bottom w:val="single" w:sz="4" w:space="0" w:color="231F20"/>
              <w:right w:val="single" w:sz="4" w:space="0" w:color="231F20"/>
            </w:tcBorders>
            <w:shd w:val="clear" w:color="auto" w:fill="F2F2F2" w:themeFill="background1" w:themeFillShade="F2"/>
            <w:vAlign w:val="center"/>
            <w:hideMark/>
          </w:tcPr>
          <w:p w14:paraId="117D1F02" w14:textId="77777777" w:rsidR="00BA1338" w:rsidRPr="00545EC0" w:rsidRDefault="00BA1338" w:rsidP="004F2AF2">
            <w:pPr>
              <w:rPr>
                <w:rFonts w:cs="Arial"/>
                <w:sz w:val="18"/>
                <w:szCs w:val="18"/>
                <w:lang w:eastAsia="zh-CN"/>
              </w:rPr>
            </w:pPr>
            <w:r w:rsidRPr="00545EC0">
              <w:rPr>
                <w:rFonts w:eastAsia="SimSun" w:cs="Arial"/>
                <w:b/>
                <w:bCs/>
                <w:sz w:val="18"/>
                <w:szCs w:val="18"/>
                <w:lang w:eastAsia="zh-CN"/>
              </w:rPr>
              <w:t>Šifra VTPV</w:t>
            </w:r>
          </w:p>
        </w:tc>
        <w:tc>
          <w:tcPr>
            <w:tcW w:w="2355" w:type="pct"/>
            <w:tcBorders>
              <w:top w:val="single" w:sz="4" w:space="0" w:color="231F20"/>
              <w:left w:val="nil"/>
              <w:bottom w:val="single" w:sz="4" w:space="0" w:color="231F20"/>
              <w:right w:val="single" w:sz="4" w:space="0" w:color="auto"/>
            </w:tcBorders>
            <w:shd w:val="clear" w:color="auto" w:fill="F2F2F2" w:themeFill="background1" w:themeFillShade="F2"/>
            <w:hideMark/>
          </w:tcPr>
          <w:p w14:paraId="081B5291" w14:textId="77777777" w:rsidR="00BA1338" w:rsidRPr="00545EC0" w:rsidRDefault="00BA1338" w:rsidP="004F2AF2">
            <w:pPr>
              <w:rPr>
                <w:rFonts w:cs="Arial"/>
                <w:sz w:val="18"/>
                <w:szCs w:val="18"/>
                <w:lang w:eastAsia="zh-CN"/>
              </w:rPr>
            </w:pPr>
            <w:r w:rsidRPr="00545EC0">
              <w:rPr>
                <w:rFonts w:eastAsia="SimSun" w:cs="Arial"/>
                <w:b/>
                <w:bCs/>
                <w:sz w:val="18"/>
                <w:szCs w:val="18"/>
                <w:lang w:eastAsia="zh-CN"/>
              </w:rPr>
              <w:t>Ime MPVT/UVT</w:t>
            </w:r>
          </w:p>
        </w:tc>
        <w:tc>
          <w:tcPr>
            <w:tcW w:w="50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3B390E" w14:textId="77777777" w:rsidR="00BA1338" w:rsidRPr="00545EC0" w:rsidRDefault="00BA1338" w:rsidP="004F2AF2">
            <w:pPr>
              <w:rPr>
                <w:rFonts w:eastAsia="SimSun" w:cs="Arial"/>
                <w:b/>
                <w:bCs/>
                <w:sz w:val="18"/>
                <w:szCs w:val="18"/>
                <w:lang w:eastAsia="zh-CN"/>
              </w:rPr>
            </w:pPr>
            <w:r w:rsidRPr="00545EC0">
              <w:rPr>
                <w:rFonts w:eastAsia="SimSun" w:cs="Arial"/>
                <w:b/>
                <w:bCs/>
                <w:sz w:val="18"/>
                <w:szCs w:val="18"/>
                <w:lang w:eastAsia="zh-CN"/>
              </w:rPr>
              <w:t>Porečje</w:t>
            </w:r>
          </w:p>
        </w:tc>
        <w:tc>
          <w:tcPr>
            <w:tcW w:w="504" w:type="pct"/>
            <w:tcBorders>
              <w:top w:val="single" w:sz="4" w:space="0" w:color="231F20"/>
              <w:left w:val="single" w:sz="4" w:space="0" w:color="auto"/>
              <w:bottom w:val="single" w:sz="4" w:space="0" w:color="231F20"/>
              <w:right w:val="single" w:sz="4" w:space="0" w:color="231F20"/>
            </w:tcBorders>
            <w:shd w:val="clear" w:color="auto" w:fill="F2F2F2" w:themeFill="background1" w:themeFillShade="F2"/>
            <w:vAlign w:val="center"/>
            <w:hideMark/>
          </w:tcPr>
          <w:p w14:paraId="4A08804A" w14:textId="77777777" w:rsidR="00BA1338" w:rsidRPr="00545EC0" w:rsidRDefault="00BA1338" w:rsidP="004F2AF2">
            <w:pPr>
              <w:rPr>
                <w:rFonts w:cs="Arial"/>
                <w:sz w:val="18"/>
                <w:szCs w:val="18"/>
                <w:lang w:eastAsia="zh-CN"/>
              </w:rPr>
            </w:pPr>
            <w:r w:rsidRPr="00545EC0">
              <w:rPr>
                <w:rFonts w:eastAsia="SimSun" w:cs="Arial"/>
                <w:b/>
                <w:bCs/>
                <w:sz w:val="18"/>
                <w:szCs w:val="18"/>
                <w:lang w:eastAsia="zh-CN"/>
              </w:rPr>
              <w:t>Vrsta</w:t>
            </w:r>
          </w:p>
        </w:tc>
        <w:tc>
          <w:tcPr>
            <w:tcW w:w="930" w:type="pct"/>
            <w:tcBorders>
              <w:top w:val="single" w:sz="4" w:space="0" w:color="231F20"/>
              <w:left w:val="nil"/>
              <w:bottom w:val="single" w:sz="4" w:space="0" w:color="231F20"/>
              <w:right w:val="single" w:sz="4" w:space="0" w:color="231F20"/>
            </w:tcBorders>
            <w:shd w:val="clear" w:color="auto" w:fill="F2F2F2" w:themeFill="background1" w:themeFillShade="F2"/>
          </w:tcPr>
          <w:p w14:paraId="432E652F" w14:textId="77777777" w:rsidR="00BA1338" w:rsidRPr="00545EC0" w:rsidRDefault="00BA1338" w:rsidP="004F2AF2">
            <w:pPr>
              <w:rPr>
                <w:rFonts w:eastAsia="SimSun" w:cs="Arial"/>
                <w:b/>
                <w:bCs/>
                <w:sz w:val="18"/>
                <w:szCs w:val="18"/>
                <w:lang w:eastAsia="zh-CN"/>
              </w:rPr>
            </w:pPr>
            <w:r w:rsidRPr="00545EC0">
              <w:rPr>
                <w:rFonts w:eastAsia="SimSun" w:cs="Arial"/>
                <w:b/>
                <w:bCs/>
                <w:sz w:val="18"/>
                <w:szCs w:val="18"/>
                <w:lang w:eastAsia="zh-CN"/>
              </w:rPr>
              <w:t>Kategorija</w:t>
            </w:r>
          </w:p>
        </w:tc>
      </w:tr>
      <w:tr w:rsidR="004507A4" w:rsidRPr="00545EC0" w14:paraId="079A7D6D" w14:textId="77777777" w:rsidTr="004507A4">
        <w:trPr>
          <w:cantSplit/>
          <w:trHeight w:val="227"/>
        </w:trPr>
        <w:tc>
          <w:tcPr>
            <w:tcW w:w="707" w:type="pct"/>
            <w:tcBorders>
              <w:top w:val="single" w:sz="4" w:space="0" w:color="231F20"/>
              <w:left w:val="single" w:sz="4" w:space="0" w:color="231F20"/>
              <w:bottom w:val="single" w:sz="4" w:space="0" w:color="231F20"/>
              <w:right w:val="single" w:sz="4" w:space="0" w:color="231F20"/>
            </w:tcBorders>
            <w:shd w:val="clear" w:color="auto" w:fill="FFFFFF"/>
            <w:vAlign w:val="center"/>
            <w:hideMark/>
          </w:tcPr>
          <w:p w14:paraId="3F2EEFF7"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SI111VT7</w:t>
            </w:r>
          </w:p>
        </w:tc>
        <w:tc>
          <w:tcPr>
            <w:tcW w:w="2355" w:type="pct"/>
            <w:tcBorders>
              <w:top w:val="single" w:sz="4" w:space="0" w:color="231F20"/>
              <w:left w:val="nil"/>
              <w:bottom w:val="single" w:sz="4" w:space="0" w:color="231F20"/>
              <w:right w:val="single" w:sz="4" w:space="0" w:color="auto"/>
            </w:tcBorders>
            <w:shd w:val="clear" w:color="auto" w:fill="FFFFFF"/>
            <w:vAlign w:val="center"/>
            <w:hideMark/>
          </w:tcPr>
          <w:p w14:paraId="06B8B7FE"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MPVT zadrževalnik HE Moste</w:t>
            </w:r>
          </w:p>
        </w:tc>
        <w:tc>
          <w:tcPr>
            <w:tcW w:w="504" w:type="pct"/>
            <w:vMerge w:val="restart"/>
            <w:tcBorders>
              <w:top w:val="single" w:sz="4" w:space="0" w:color="auto"/>
              <w:left w:val="single" w:sz="4" w:space="0" w:color="auto"/>
              <w:right w:val="single" w:sz="4" w:space="0" w:color="auto"/>
            </w:tcBorders>
            <w:shd w:val="clear" w:color="auto" w:fill="FFFFFF"/>
            <w:vAlign w:val="center"/>
          </w:tcPr>
          <w:p w14:paraId="777735E8"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Zgornja Sava</w:t>
            </w:r>
          </w:p>
        </w:tc>
        <w:tc>
          <w:tcPr>
            <w:tcW w:w="504" w:type="pct"/>
            <w:tcBorders>
              <w:top w:val="single" w:sz="4" w:space="0" w:color="231F20"/>
              <w:left w:val="single" w:sz="4" w:space="0" w:color="auto"/>
              <w:bottom w:val="single" w:sz="4" w:space="0" w:color="231F20"/>
              <w:right w:val="single" w:sz="4" w:space="0" w:color="231F20"/>
            </w:tcBorders>
            <w:shd w:val="clear" w:color="auto" w:fill="FFFFFF"/>
            <w:vAlign w:val="center"/>
            <w:hideMark/>
          </w:tcPr>
          <w:p w14:paraId="335BECAF"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MPVT</w:t>
            </w:r>
          </w:p>
        </w:tc>
        <w:tc>
          <w:tcPr>
            <w:tcW w:w="930" w:type="pct"/>
            <w:tcBorders>
              <w:top w:val="single" w:sz="4" w:space="0" w:color="231F20"/>
              <w:left w:val="nil"/>
              <w:bottom w:val="single" w:sz="4" w:space="0" w:color="231F20"/>
              <w:right w:val="single" w:sz="4" w:space="0" w:color="231F20"/>
            </w:tcBorders>
            <w:shd w:val="clear" w:color="auto" w:fill="FFFFFF"/>
            <w:vAlign w:val="center"/>
          </w:tcPr>
          <w:p w14:paraId="6893C286"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vodotok</w:t>
            </w:r>
          </w:p>
        </w:tc>
      </w:tr>
      <w:tr w:rsidR="004507A4" w:rsidRPr="00545EC0" w14:paraId="4B89B867" w14:textId="77777777" w:rsidTr="004507A4">
        <w:trPr>
          <w:cantSplit/>
          <w:trHeight w:val="227"/>
        </w:trPr>
        <w:tc>
          <w:tcPr>
            <w:tcW w:w="707" w:type="pct"/>
            <w:tcBorders>
              <w:top w:val="single" w:sz="4" w:space="0" w:color="231F20"/>
              <w:left w:val="single" w:sz="4" w:space="0" w:color="231F20"/>
              <w:bottom w:val="single" w:sz="4" w:space="0" w:color="231F20"/>
              <w:right w:val="single" w:sz="4" w:space="0" w:color="231F20"/>
            </w:tcBorders>
            <w:shd w:val="clear" w:color="auto" w:fill="FFFFFF"/>
            <w:vAlign w:val="center"/>
            <w:hideMark/>
          </w:tcPr>
          <w:p w14:paraId="4CCA83E8"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SI1VT170</w:t>
            </w:r>
          </w:p>
        </w:tc>
        <w:tc>
          <w:tcPr>
            <w:tcW w:w="2355" w:type="pct"/>
            <w:tcBorders>
              <w:top w:val="single" w:sz="4" w:space="0" w:color="231F20"/>
              <w:left w:val="nil"/>
              <w:bottom w:val="single" w:sz="4" w:space="0" w:color="231F20"/>
              <w:right w:val="single" w:sz="4" w:space="0" w:color="auto"/>
            </w:tcBorders>
            <w:shd w:val="clear" w:color="auto" w:fill="FFFFFF"/>
            <w:vAlign w:val="center"/>
            <w:hideMark/>
          </w:tcPr>
          <w:p w14:paraId="103335CC"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MPVT Sava Mavčiče – Medvode</w:t>
            </w:r>
          </w:p>
        </w:tc>
        <w:tc>
          <w:tcPr>
            <w:tcW w:w="504" w:type="pct"/>
            <w:vMerge/>
            <w:tcBorders>
              <w:left w:val="single" w:sz="4" w:space="0" w:color="auto"/>
              <w:bottom w:val="single" w:sz="4" w:space="0" w:color="auto"/>
              <w:right w:val="single" w:sz="4" w:space="0" w:color="auto"/>
            </w:tcBorders>
            <w:shd w:val="clear" w:color="auto" w:fill="FFFFFF"/>
            <w:vAlign w:val="center"/>
          </w:tcPr>
          <w:p w14:paraId="17A396C6" w14:textId="77777777" w:rsidR="00BA1338" w:rsidRPr="00545EC0" w:rsidRDefault="00BA1338" w:rsidP="004F2AF2">
            <w:pPr>
              <w:rPr>
                <w:rFonts w:eastAsia="SimSun" w:cs="Arial"/>
                <w:sz w:val="18"/>
                <w:szCs w:val="18"/>
                <w:lang w:eastAsia="zh-CN"/>
              </w:rPr>
            </w:pPr>
          </w:p>
        </w:tc>
        <w:tc>
          <w:tcPr>
            <w:tcW w:w="504" w:type="pct"/>
            <w:tcBorders>
              <w:top w:val="single" w:sz="4" w:space="0" w:color="231F20"/>
              <w:left w:val="single" w:sz="4" w:space="0" w:color="auto"/>
              <w:bottom w:val="single" w:sz="4" w:space="0" w:color="231F20"/>
              <w:right w:val="single" w:sz="4" w:space="0" w:color="231F20"/>
            </w:tcBorders>
            <w:shd w:val="clear" w:color="auto" w:fill="FFFFFF"/>
            <w:vAlign w:val="center"/>
            <w:hideMark/>
          </w:tcPr>
          <w:p w14:paraId="79DBDE3A"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MPVT</w:t>
            </w:r>
          </w:p>
        </w:tc>
        <w:tc>
          <w:tcPr>
            <w:tcW w:w="930" w:type="pct"/>
            <w:tcBorders>
              <w:top w:val="single" w:sz="4" w:space="0" w:color="231F20"/>
              <w:left w:val="nil"/>
              <w:bottom w:val="single" w:sz="4" w:space="0" w:color="231F20"/>
              <w:right w:val="single" w:sz="4" w:space="0" w:color="231F20"/>
            </w:tcBorders>
            <w:shd w:val="clear" w:color="auto" w:fill="FFFFFF"/>
            <w:vAlign w:val="center"/>
          </w:tcPr>
          <w:p w14:paraId="02E94F09"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vodotok</w:t>
            </w:r>
          </w:p>
        </w:tc>
      </w:tr>
      <w:tr w:rsidR="004507A4" w:rsidRPr="00545EC0" w14:paraId="0D8412F0" w14:textId="77777777" w:rsidTr="004507A4">
        <w:trPr>
          <w:cantSplit/>
          <w:trHeight w:val="227"/>
        </w:trPr>
        <w:tc>
          <w:tcPr>
            <w:tcW w:w="707" w:type="pct"/>
            <w:tcBorders>
              <w:top w:val="single" w:sz="4" w:space="0" w:color="231F20"/>
              <w:left w:val="single" w:sz="4" w:space="0" w:color="231F20"/>
              <w:bottom w:val="single" w:sz="4" w:space="0" w:color="231F20"/>
              <w:right w:val="single" w:sz="4" w:space="0" w:color="231F20"/>
            </w:tcBorders>
            <w:shd w:val="clear" w:color="auto" w:fill="FFFFFF"/>
            <w:vAlign w:val="center"/>
            <w:hideMark/>
          </w:tcPr>
          <w:p w14:paraId="7D7420BB"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SI14912VT</w:t>
            </w:r>
          </w:p>
        </w:tc>
        <w:tc>
          <w:tcPr>
            <w:tcW w:w="2355" w:type="pct"/>
            <w:tcBorders>
              <w:top w:val="single" w:sz="4" w:space="0" w:color="231F20"/>
              <w:left w:val="nil"/>
              <w:bottom w:val="single" w:sz="4" w:space="0" w:color="231F20"/>
              <w:right w:val="single" w:sz="4" w:space="0" w:color="auto"/>
            </w:tcBorders>
            <w:shd w:val="clear" w:color="auto" w:fill="FFFFFF"/>
            <w:vAlign w:val="center"/>
            <w:hideMark/>
          </w:tcPr>
          <w:p w14:paraId="6B18AA8E"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UVT Gruberjev prekop</w:t>
            </w:r>
          </w:p>
        </w:tc>
        <w:tc>
          <w:tcPr>
            <w:tcW w:w="504" w:type="pct"/>
            <w:vMerge w:val="restart"/>
            <w:tcBorders>
              <w:top w:val="single" w:sz="4" w:space="0" w:color="auto"/>
              <w:left w:val="single" w:sz="4" w:space="0" w:color="auto"/>
              <w:right w:val="single" w:sz="4" w:space="0" w:color="auto"/>
            </w:tcBorders>
            <w:shd w:val="clear" w:color="auto" w:fill="FFFFFF"/>
            <w:vAlign w:val="center"/>
          </w:tcPr>
          <w:p w14:paraId="2C53F6C2"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Srednja Sava</w:t>
            </w:r>
          </w:p>
        </w:tc>
        <w:tc>
          <w:tcPr>
            <w:tcW w:w="504" w:type="pct"/>
            <w:tcBorders>
              <w:top w:val="single" w:sz="4" w:space="0" w:color="231F20"/>
              <w:left w:val="single" w:sz="4" w:space="0" w:color="auto"/>
              <w:bottom w:val="single" w:sz="4" w:space="0" w:color="231F20"/>
              <w:right w:val="single" w:sz="4" w:space="0" w:color="231F20"/>
            </w:tcBorders>
            <w:shd w:val="clear" w:color="auto" w:fill="FFFFFF"/>
            <w:vAlign w:val="center"/>
            <w:hideMark/>
          </w:tcPr>
          <w:p w14:paraId="2C2E3CFB"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UVT</w:t>
            </w:r>
          </w:p>
        </w:tc>
        <w:tc>
          <w:tcPr>
            <w:tcW w:w="930" w:type="pct"/>
            <w:tcBorders>
              <w:top w:val="single" w:sz="4" w:space="0" w:color="231F20"/>
              <w:left w:val="nil"/>
              <w:bottom w:val="single" w:sz="4" w:space="0" w:color="231F20"/>
              <w:right w:val="single" w:sz="4" w:space="0" w:color="231F20"/>
            </w:tcBorders>
            <w:shd w:val="clear" w:color="auto" w:fill="FFFFFF"/>
            <w:vAlign w:val="center"/>
          </w:tcPr>
          <w:p w14:paraId="04E62E1F"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vodotok</w:t>
            </w:r>
          </w:p>
        </w:tc>
      </w:tr>
      <w:tr w:rsidR="004507A4" w:rsidRPr="00545EC0" w14:paraId="7A6FF138" w14:textId="77777777" w:rsidTr="004507A4">
        <w:trPr>
          <w:cantSplit/>
          <w:trHeight w:val="227"/>
        </w:trPr>
        <w:tc>
          <w:tcPr>
            <w:tcW w:w="707" w:type="pct"/>
            <w:tcBorders>
              <w:top w:val="single" w:sz="4" w:space="0" w:color="231F20"/>
              <w:left w:val="single" w:sz="4" w:space="0" w:color="231F20"/>
              <w:bottom w:val="single" w:sz="4" w:space="0" w:color="231F20"/>
              <w:right w:val="single" w:sz="4" w:space="0" w:color="231F20"/>
            </w:tcBorders>
            <w:shd w:val="clear" w:color="auto" w:fill="FFFFFF"/>
            <w:vAlign w:val="center"/>
            <w:hideMark/>
          </w:tcPr>
          <w:p w14:paraId="1ED73318"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SI14VT93</w:t>
            </w:r>
          </w:p>
        </w:tc>
        <w:tc>
          <w:tcPr>
            <w:tcW w:w="2355" w:type="pct"/>
            <w:tcBorders>
              <w:top w:val="single" w:sz="4" w:space="0" w:color="231F20"/>
              <w:left w:val="nil"/>
              <w:bottom w:val="single" w:sz="4" w:space="0" w:color="231F20"/>
              <w:right w:val="single" w:sz="4" w:space="0" w:color="auto"/>
            </w:tcBorders>
            <w:shd w:val="clear" w:color="auto" w:fill="FFFFFF"/>
            <w:vAlign w:val="center"/>
            <w:hideMark/>
          </w:tcPr>
          <w:p w14:paraId="40CFD225"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MPVT Mestna Ljubljanica</w:t>
            </w:r>
          </w:p>
        </w:tc>
        <w:tc>
          <w:tcPr>
            <w:tcW w:w="504" w:type="pct"/>
            <w:vMerge/>
            <w:tcBorders>
              <w:left w:val="single" w:sz="4" w:space="0" w:color="auto"/>
              <w:bottom w:val="single" w:sz="4" w:space="0" w:color="auto"/>
              <w:right w:val="single" w:sz="4" w:space="0" w:color="auto"/>
            </w:tcBorders>
            <w:shd w:val="clear" w:color="auto" w:fill="FFFFFF"/>
            <w:vAlign w:val="center"/>
          </w:tcPr>
          <w:p w14:paraId="7FBDB8A5" w14:textId="77777777" w:rsidR="00BA1338" w:rsidRPr="00545EC0" w:rsidRDefault="00BA1338" w:rsidP="004F2AF2">
            <w:pPr>
              <w:rPr>
                <w:rFonts w:eastAsia="SimSun" w:cs="Arial"/>
                <w:sz w:val="18"/>
                <w:szCs w:val="18"/>
                <w:lang w:eastAsia="zh-CN"/>
              </w:rPr>
            </w:pPr>
          </w:p>
        </w:tc>
        <w:tc>
          <w:tcPr>
            <w:tcW w:w="504" w:type="pct"/>
            <w:tcBorders>
              <w:top w:val="single" w:sz="4" w:space="0" w:color="231F20"/>
              <w:left w:val="single" w:sz="4" w:space="0" w:color="auto"/>
              <w:bottom w:val="single" w:sz="4" w:space="0" w:color="231F20"/>
              <w:right w:val="single" w:sz="4" w:space="0" w:color="231F20"/>
            </w:tcBorders>
            <w:shd w:val="clear" w:color="auto" w:fill="FFFFFF"/>
            <w:vAlign w:val="center"/>
            <w:hideMark/>
          </w:tcPr>
          <w:p w14:paraId="2C617EAA"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MPVT</w:t>
            </w:r>
          </w:p>
        </w:tc>
        <w:tc>
          <w:tcPr>
            <w:tcW w:w="930" w:type="pct"/>
            <w:tcBorders>
              <w:top w:val="single" w:sz="4" w:space="0" w:color="231F20"/>
              <w:left w:val="nil"/>
              <w:bottom w:val="single" w:sz="4" w:space="0" w:color="231F20"/>
              <w:right w:val="single" w:sz="4" w:space="0" w:color="231F20"/>
            </w:tcBorders>
            <w:shd w:val="clear" w:color="auto" w:fill="FFFFFF"/>
            <w:vAlign w:val="center"/>
          </w:tcPr>
          <w:p w14:paraId="334508D0"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vodotok</w:t>
            </w:r>
          </w:p>
        </w:tc>
      </w:tr>
      <w:tr w:rsidR="004507A4" w:rsidRPr="00545EC0" w14:paraId="07EB068E" w14:textId="77777777" w:rsidTr="004507A4">
        <w:trPr>
          <w:cantSplit/>
          <w:trHeight w:val="227"/>
        </w:trPr>
        <w:tc>
          <w:tcPr>
            <w:tcW w:w="707" w:type="pct"/>
            <w:tcBorders>
              <w:top w:val="single" w:sz="4" w:space="0" w:color="231F20"/>
              <w:left w:val="single" w:sz="4" w:space="0" w:color="231F20"/>
              <w:bottom w:val="single" w:sz="4" w:space="0" w:color="231F20"/>
              <w:right w:val="single" w:sz="4" w:space="0" w:color="231F20"/>
            </w:tcBorders>
            <w:shd w:val="clear" w:color="auto" w:fill="FFFFFF"/>
            <w:vAlign w:val="center"/>
            <w:hideMark/>
          </w:tcPr>
          <w:p w14:paraId="3385F37F"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SI1624VT</w:t>
            </w:r>
          </w:p>
        </w:tc>
        <w:tc>
          <w:tcPr>
            <w:tcW w:w="2355" w:type="pct"/>
            <w:tcBorders>
              <w:top w:val="single" w:sz="4" w:space="0" w:color="231F20"/>
              <w:left w:val="nil"/>
              <w:bottom w:val="single" w:sz="4" w:space="0" w:color="231F20"/>
              <w:right w:val="single" w:sz="4" w:space="0" w:color="auto"/>
            </w:tcBorders>
            <w:shd w:val="clear" w:color="auto" w:fill="FFFFFF"/>
            <w:vAlign w:val="center"/>
            <w:hideMark/>
          </w:tcPr>
          <w:p w14:paraId="34DB163F"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UVT Velenjsko jezero</w:t>
            </w:r>
          </w:p>
        </w:tc>
        <w:tc>
          <w:tcPr>
            <w:tcW w:w="504" w:type="pct"/>
            <w:vMerge w:val="restart"/>
            <w:tcBorders>
              <w:top w:val="single" w:sz="4" w:space="0" w:color="auto"/>
              <w:left w:val="single" w:sz="4" w:space="0" w:color="auto"/>
              <w:right w:val="single" w:sz="4" w:space="0" w:color="auto"/>
            </w:tcBorders>
            <w:shd w:val="clear" w:color="auto" w:fill="FFFFFF"/>
            <w:vAlign w:val="center"/>
          </w:tcPr>
          <w:p w14:paraId="53F130D3"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Savinja</w:t>
            </w:r>
          </w:p>
        </w:tc>
        <w:tc>
          <w:tcPr>
            <w:tcW w:w="504" w:type="pct"/>
            <w:tcBorders>
              <w:top w:val="single" w:sz="4" w:space="0" w:color="231F20"/>
              <w:left w:val="single" w:sz="4" w:space="0" w:color="auto"/>
              <w:bottom w:val="single" w:sz="4" w:space="0" w:color="231F20"/>
              <w:right w:val="single" w:sz="4" w:space="0" w:color="231F20"/>
            </w:tcBorders>
            <w:shd w:val="clear" w:color="auto" w:fill="FFFFFF"/>
            <w:vAlign w:val="center"/>
            <w:hideMark/>
          </w:tcPr>
          <w:p w14:paraId="66EAE27F"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UVT</w:t>
            </w:r>
          </w:p>
        </w:tc>
        <w:tc>
          <w:tcPr>
            <w:tcW w:w="930" w:type="pct"/>
            <w:tcBorders>
              <w:top w:val="single" w:sz="4" w:space="0" w:color="231F20"/>
              <w:left w:val="nil"/>
              <w:bottom w:val="single" w:sz="4" w:space="0" w:color="231F20"/>
              <w:right w:val="single" w:sz="4" w:space="0" w:color="231F20"/>
            </w:tcBorders>
            <w:shd w:val="clear" w:color="auto" w:fill="FFFFFF"/>
            <w:vAlign w:val="center"/>
          </w:tcPr>
          <w:p w14:paraId="5C0005CA"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jezero</w:t>
            </w:r>
          </w:p>
        </w:tc>
      </w:tr>
      <w:tr w:rsidR="004507A4" w:rsidRPr="00545EC0" w14:paraId="54B77BD7" w14:textId="77777777" w:rsidTr="004507A4">
        <w:trPr>
          <w:cantSplit/>
          <w:trHeight w:val="227"/>
        </w:trPr>
        <w:tc>
          <w:tcPr>
            <w:tcW w:w="707" w:type="pct"/>
            <w:tcBorders>
              <w:top w:val="single" w:sz="4" w:space="0" w:color="231F20"/>
              <w:left w:val="single" w:sz="4" w:space="0" w:color="231F20"/>
              <w:bottom w:val="single" w:sz="4" w:space="0" w:color="231F20"/>
              <w:right w:val="single" w:sz="4" w:space="0" w:color="231F20"/>
            </w:tcBorders>
            <w:shd w:val="clear" w:color="auto" w:fill="FFFFFF"/>
            <w:vAlign w:val="center"/>
            <w:hideMark/>
          </w:tcPr>
          <w:p w14:paraId="5E6725D7"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SI1668VT</w:t>
            </w:r>
          </w:p>
        </w:tc>
        <w:tc>
          <w:tcPr>
            <w:tcW w:w="2355" w:type="pct"/>
            <w:tcBorders>
              <w:top w:val="single" w:sz="4" w:space="0" w:color="231F20"/>
              <w:left w:val="nil"/>
              <w:bottom w:val="single" w:sz="4" w:space="0" w:color="231F20"/>
              <w:right w:val="single" w:sz="4" w:space="0" w:color="auto"/>
            </w:tcBorders>
            <w:shd w:val="clear" w:color="auto" w:fill="FFFFFF"/>
            <w:vAlign w:val="center"/>
            <w:hideMark/>
          </w:tcPr>
          <w:p w14:paraId="3623820C"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MPVT zadrževalnik Šmartinsko jezero</w:t>
            </w:r>
          </w:p>
        </w:tc>
        <w:tc>
          <w:tcPr>
            <w:tcW w:w="504" w:type="pct"/>
            <w:vMerge/>
            <w:tcBorders>
              <w:left w:val="single" w:sz="4" w:space="0" w:color="auto"/>
              <w:right w:val="single" w:sz="4" w:space="0" w:color="auto"/>
            </w:tcBorders>
            <w:shd w:val="clear" w:color="auto" w:fill="FFFFFF"/>
            <w:vAlign w:val="center"/>
          </w:tcPr>
          <w:p w14:paraId="0B40D124" w14:textId="77777777" w:rsidR="00BA1338" w:rsidRPr="00545EC0" w:rsidRDefault="00BA1338" w:rsidP="004F2AF2">
            <w:pPr>
              <w:rPr>
                <w:rFonts w:eastAsia="SimSun" w:cs="Arial"/>
                <w:sz w:val="18"/>
                <w:szCs w:val="18"/>
                <w:lang w:eastAsia="zh-CN"/>
              </w:rPr>
            </w:pPr>
          </w:p>
        </w:tc>
        <w:tc>
          <w:tcPr>
            <w:tcW w:w="504" w:type="pct"/>
            <w:tcBorders>
              <w:top w:val="single" w:sz="4" w:space="0" w:color="231F20"/>
              <w:left w:val="single" w:sz="4" w:space="0" w:color="auto"/>
              <w:bottom w:val="single" w:sz="4" w:space="0" w:color="231F20"/>
              <w:right w:val="single" w:sz="4" w:space="0" w:color="231F20"/>
            </w:tcBorders>
            <w:shd w:val="clear" w:color="auto" w:fill="FFFFFF"/>
            <w:vAlign w:val="center"/>
            <w:hideMark/>
          </w:tcPr>
          <w:p w14:paraId="50A41031"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MPVT</w:t>
            </w:r>
          </w:p>
        </w:tc>
        <w:tc>
          <w:tcPr>
            <w:tcW w:w="930" w:type="pct"/>
            <w:tcBorders>
              <w:top w:val="single" w:sz="4" w:space="0" w:color="231F20"/>
              <w:left w:val="nil"/>
              <w:bottom w:val="single" w:sz="4" w:space="0" w:color="231F20"/>
              <w:right w:val="single" w:sz="4" w:space="0" w:color="231F20"/>
            </w:tcBorders>
            <w:shd w:val="clear" w:color="auto" w:fill="FFFFFF"/>
            <w:vAlign w:val="center"/>
          </w:tcPr>
          <w:p w14:paraId="410E17E5"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jezero</w:t>
            </w:r>
          </w:p>
        </w:tc>
      </w:tr>
      <w:tr w:rsidR="004507A4" w:rsidRPr="00545EC0" w14:paraId="2DCA69E5" w14:textId="77777777" w:rsidTr="004507A4">
        <w:trPr>
          <w:cantSplit/>
          <w:trHeight w:val="227"/>
        </w:trPr>
        <w:tc>
          <w:tcPr>
            <w:tcW w:w="707" w:type="pct"/>
            <w:tcBorders>
              <w:top w:val="single" w:sz="4" w:space="0" w:color="231F20"/>
              <w:left w:val="single" w:sz="4" w:space="0" w:color="231F20"/>
              <w:bottom w:val="single" w:sz="4" w:space="0" w:color="231F20"/>
              <w:right w:val="single" w:sz="4" w:space="0" w:color="231F20"/>
            </w:tcBorders>
            <w:shd w:val="clear" w:color="auto" w:fill="FFFFFF"/>
            <w:vAlign w:val="center"/>
            <w:hideMark/>
          </w:tcPr>
          <w:p w14:paraId="1E16C42B"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SI168VT3</w:t>
            </w:r>
          </w:p>
        </w:tc>
        <w:tc>
          <w:tcPr>
            <w:tcW w:w="2355" w:type="pct"/>
            <w:tcBorders>
              <w:top w:val="single" w:sz="4" w:space="0" w:color="231F20"/>
              <w:left w:val="nil"/>
              <w:bottom w:val="single" w:sz="4" w:space="0" w:color="231F20"/>
              <w:right w:val="single" w:sz="4" w:space="0" w:color="auto"/>
            </w:tcBorders>
            <w:shd w:val="clear" w:color="auto" w:fill="FFFFFF"/>
            <w:vAlign w:val="center"/>
            <w:hideMark/>
          </w:tcPr>
          <w:p w14:paraId="6A707006"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MPVT zadrževalnik Slivniško jezero</w:t>
            </w:r>
          </w:p>
        </w:tc>
        <w:tc>
          <w:tcPr>
            <w:tcW w:w="504" w:type="pct"/>
            <w:vMerge/>
            <w:tcBorders>
              <w:left w:val="single" w:sz="4" w:space="0" w:color="auto"/>
              <w:bottom w:val="single" w:sz="4" w:space="0" w:color="auto"/>
              <w:right w:val="single" w:sz="4" w:space="0" w:color="auto"/>
            </w:tcBorders>
            <w:shd w:val="clear" w:color="auto" w:fill="FFFFFF"/>
            <w:vAlign w:val="center"/>
          </w:tcPr>
          <w:p w14:paraId="76867E2D" w14:textId="77777777" w:rsidR="00BA1338" w:rsidRPr="00545EC0" w:rsidRDefault="00BA1338" w:rsidP="004F2AF2">
            <w:pPr>
              <w:rPr>
                <w:rFonts w:eastAsia="SimSun" w:cs="Arial"/>
                <w:sz w:val="18"/>
                <w:szCs w:val="18"/>
                <w:lang w:eastAsia="zh-CN"/>
              </w:rPr>
            </w:pPr>
          </w:p>
        </w:tc>
        <w:tc>
          <w:tcPr>
            <w:tcW w:w="504" w:type="pct"/>
            <w:tcBorders>
              <w:top w:val="single" w:sz="4" w:space="0" w:color="231F20"/>
              <w:left w:val="single" w:sz="4" w:space="0" w:color="auto"/>
              <w:bottom w:val="single" w:sz="4" w:space="0" w:color="231F20"/>
              <w:right w:val="single" w:sz="4" w:space="0" w:color="231F20"/>
            </w:tcBorders>
            <w:shd w:val="clear" w:color="auto" w:fill="FFFFFF"/>
            <w:vAlign w:val="center"/>
            <w:hideMark/>
          </w:tcPr>
          <w:p w14:paraId="20A3890C"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MPVT</w:t>
            </w:r>
          </w:p>
        </w:tc>
        <w:tc>
          <w:tcPr>
            <w:tcW w:w="930" w:type="pct"/>
            <w:tcBorders>
              <w:top w:val="single" w:sz="4" w:space="0" w:color="231F20"/>
              <w:left w:val="nil"/>
              <w:bottom w:val="single" w:sz="4" w:space="0" w:color="231F20"/>
              <w:right w:val="single" w:sz="4" w:space="0" w:color="231F20"/>
            </w:tcBorders>
            <w:shd w:val="clear" w:color="auto" w:fill="FFFFFF"/>
            <w:vAlign w:val="center"/>
          </w:tcPr>
          <w:p w14:paraId="3CCD5F36"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jezero</w:t>
            </w:r>
          </w:p>
        </w:tc>
      </w:tr>
      <w:tr w:rsidR="004507A4" w:rsidRPr="00545EC0" w14:paraId="1592A1E5" w14:textId="77777777" w:rsidTr="004507A4">
        <w:trPr>
          <w:cantSplit/>
          <w:trHeight w:val="227"/>
        </w:trPr>
        <w:tc>
          <w:tcPr>
            <w:tcW w:w="707" w:type="pct"/>
            <w:tcBorders>
              <w:top w:val="single" w:sz="4" w:space="0" w:color="231F20"/>
              <w:left w:val="single" w:sz="4" w:space="0" w:color="231F20"/>
              <w:bottom w:val="single" w:sz="4" w:space="0" w:color="231F20"/>
              <w:right w:val="single" w:sz="4" w:space="0" w:color="231F20"/>
            </w:tcBorders>
            <w:shd w:val="clear" w:color="auto" w:fill="FFFFFF"/>
            <w:vAlign w:val="center"/>
            <w:hideMark/>
          </w:tcPr>
          <w:p w14:paraId="494D3069"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SI1VT713</w:t>
            </w:r>
          </w:p>
        </w:tc>
        <w:tc>
          <w:tcPr>
            <w:tcW w:w="2355" w:type="pct"/>
            <w:tcBorders>
              <w:top w:val="single" w:sz="4" w:space="0" w:color="231F20"/>
              <w:left w:val="nil"/>
              <w:bottom w:val="single" w:sz="4" w:space="0" w:color="231F20"/>
              <w:right w:val="single" w:sz="4" w:space="0" w:color="auto"/>
            </w:tcBorders>
            <w:shd w:val="clear" w:color="auto" w:fill="FFFFFF"/>
            <w:vAlign w:val="center"/>
            <w:hideMark/>
          </w:tcPr>
          <w:p w14:paraId="31470B28"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MPVT Sava Vrhovo – Boštanj</w:t>
            </w:r>
          </w:p>
        </w:tc>
        <w:tc>
          <w:tcPr>
            <w:tcW w:w="504" w:type="pct"/>
            <w:tcBorders>
              <w:top w:val="single" w:sz="4" w:space="0" w:color="auto"/>
              <w:left w:val="single" w:sz="4" w:space="0" w:color="auto"/>
              <w:bottom w:val="single" w:sz="4" w:space="0" w:color="auto"/>
              <w:right w:val="single" w:sz="4" w:space="0" w:color="auto"/>
            </w:tcBorders>
            <w:shd w:val="clear" w:color="auto" w:fill="FFFFFF"/>
            <w:vAlign w:val="center"/>
          </w:tcPr>
          <w:p w14:paraId="0D83BD4C"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Spodnja Sava</w:t>
            </w:r>
          </w:p>
        </w:tc>
        <w:tc>
          <w:tcPr>
            <w:tcW w:w="504" w:type="pct"/>
            <w:tcBorders>
              <w:top w:val="single" w:sz="4" w:space="0" w:color="231F20"/>
              <w:left w:val="single" w:sz="4" w:space="0" w:color="auto"/>
              <w:bottom w:val="single" w:sz="4" w:space="0" w:color="231F20"/>
              <w:right w:val="single" w:sz="4" w:space="0" w:color="231F20"/>
            </w:tcBorders>
            <w:shd w:val="clear" w:color="auto" w:fill="FFFFFF"/>
            <w:vAlign w:val="center"/>
            <w:hideMark/>
          </w:tcPr>
          <w:p w14:paraId="1201D631"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MPVT</w:t>
            </w:r>
          </w:p>
        </w:tc>
        <w:tc>
          <w:tcPr>
            <w:tcW w:w="930" w:type="pct"/>
            <w:tcBorders>
              <w:top w:val="single" w:sz="4" w:space="0" w:color="231F20"/>
              <w:left w:val="nil"/>
              <w:bottom w:val="single" w:sz="4" w:space="0" w:color="231F20"/>
              <w:right w:val="single" w:sz="4" w:space="0" w:color="231F20"/>
            </w:tcBorders>
            <w:shd w:val="clear" w:color="auto" w:fill="FFFFFF"/>
            <w:vAlign w:val="center"/>
          </w:tcPr>
          <w:p w14:paraId="6B82D783"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vodotok</w:t>
            </w:r>
          </w:p>
        </w:tc>
      </w:tr>
      <w:tr w:rsidR="004507A4" w:rsidRPr="00545EC0" w14:paraId="3FE9F09F" w14:textId="77777777" w:rsidTr="004507A4">
        <w:trPr>
          <w:cantSplit/>
          <w:trHeight w:val="227"/>
        </w:trPr>
        <w:tc>
          <w:tcPr>
            <w:tcW w:w="707" w:type="pct"/>
            <w:tcBorders>
              <w:top w:val="single" w:sz="4" w:space="0" w:color="231F20"/>
              <w:left w:val="single" w:sz="4" w:space="0" w:color="231F20"/>
              <w:bottom w:val="single" w:sz="4" w:space="0" w:color="231F20"/>
              <w:right w:val="single" w:sz="4" w:space="0" w:color="231F20"/>
            </w:tcBorders>
            <w:shd w:val="clear" w:color="auto" w:fill="FFFFFF"/>
            <w:vAlign w:val="center"/>
            <w:hideMark/>
          </w:tcPr>
          <w:p w14:paraId="355997D9"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SI35172VT</w:t>
            </w:r>
          </w:p>
        </w:tc>
        <w:tc>
          <w:tcPr>
            <w:tcW w:w="2355" w:type="pct"/>
            <w:tcBorders>
              <w:top w:val="single" w:sz="4" w:space="0" w:color="231F20"/>
              <w:left w:val="nil"/>
              <w:bottom w:val="single" w:sz="4" w:space="0" w:color="231F20"/>
              <w:right w:val="single" w:sz="4" w:space="0" w:color="auto"/>
            </w:tcBorders>
            <w:shd w:val="clear" w:color="auto" w:fill="FFFFFF"/>
            <w:vAlign w:val="center"/>
            <w:hideMark/>
          </w:tcPr>
          <w:p w14:paraId="49232883"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UVT Kanal HE Zlatoličje*</w:t>
            </w:r>
          </w:p>
        </w:tc>
        <w:tc>
          <w:tcPr>
            <w:tcW w:w="504" w:type="pct"/>
            <w:vMerge w:val="restart"/>
            <w:tcBorders>
              <w:top w:val="single" w:sz="4" w:space="0" w:color="auto"/>
              <w:left w:val="single" w:sz="4" w:space="0" w:color="auto"/>
              <w:right w:val="single" w:sz="4" w:space="0" w:color="auto"/>
            </w:tcBorders>
            <w:shd w:val="clear" w:color="auto" w:fill="FFFFFF"/>
            <w:vAlign w:val="center"/>
          </w:tcPr>
          <w:p w14:paraId="64D60AC5"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Drava</w:t>
            </w:r>
          </w:p>
        </w:tc>
        <w:tc>
          <w:tcPr>
            <w:tcW w:w="504" w:type="pct"/>
            <w:tcBorders>
              <w:top w:val="single" w:sz="4" w:space="0" w:color="231F20"/>
              <w:left w:val="single" w:sz="4" w:space="0" w:color="auto"/>
              <w:bottom w:val="single" w:sz="4" w:space="0" w:color="231F20"/>
              <w:right w:val="single" w:sz="4" w:space="0" w:color="231F20"/>
            </w:tcBorders>
            <w:shd w:val="clear" w:color="auto" w:fill="FFFFFF"/>
            <w:vAlign w:val="center"/>
            <w:hideMark/>
          </w:tcPr>
          <w:p w14:paraId="026817F7"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UVT</w:t>
            </w:r>
          </w:p>
        </w:tc>
        <w:tc>
          <w:tcPr>
            <w:tcW w:w="930" w:type="pct"/>
            <w:tcBorders>
              <w:top w:val="single" w:sz="4" w:space="0" w:color="231F20"/>
              <w:left w:val="nil"/>
              <w:bottom w:val="single" w:sz="4" w:space="0" w:color="231F20"/>
              <w:right w:val="single" w:sz="4" w:space="0" w:color="231F20"/>
            </w:tcBorders>
            <w:shd w:val="clear" w:color="auto" w:fill="FFFFFF"/>
            <w:vAlign w:val="center"/>
          </w:tcPr>
          <w:p w14:paraId="6E6BFD86"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vodotok</w:t>
            </w:r>
          </w:p>
        </w:tc>
      </w:tr>
      <w:tr w:rsidR="004507A4" w:rsidRPr="00545EC0" w14:paraId="77419158" w14:textId="77777777" w:rsidTr="004507A4">
        <w:trPr>
          <w:cantSplit/>
          <w:trHeight w:val="227"/>
        </w:trPr>
        <w:tc>
          <w:tcPr>
            <w:tcW w:w="707" w:type="pct"/>
            <w:tcBorders>
              <w:top w:val="single" w:sz="4" w:space="0" w:color="231F20"/>
              <w:left w:val="single" w:sz="4" w:space="0" w:color="231F20"/>
              <w:bottom w:val="single" w:sz="4" w:space="0" w:color="231F20"/>
              <w:right w:val="single" w:sz="4" w:space="0" w:color="231F20"/>
            </w:tcBorders>
            <w:shd w:val="clear" w:color="auto" w:fill="FFFFFF"/>
            <w:vAlign w:val="center"/>
            <w:hideMark/>
          </w:tcPr>
          <w:p w14:paraId="0CC0E698"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SI378VT</w:t>
            </w:r>
          </w:p>
        </w:tc>
        <w:tc>
          <w:tcPr>
            <w:tcW w:w="2355" w:type="pct"/>
            <w:tcBorders>
              <w:top w:val="single" w:sz="4" w:space="0" w:color="231F20"/>
              <w:left w:val="nil"/>
              <w:bottom w:val="single" w:sz="4" w:space="0" w:color="231F20"/>
              <w:right w:val="single" w:sz="4" w:space="0" w:color="auto"/>
            </w:tcBorders>
            <w:shd w:val="clear" w:color="auto" w:fill="FFFFFF"/>
            <w:vAlign w:val="center"/>
            <w:hideMark/>
          </w:tcPr>
          <w:p w14:paraId="5F5B1F19"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UVT Kanal HE Formin*</w:t>
            </w:r>
          </w:p>
        </w:tc>
        <w:tc>
          <w:tcPr>
            <w:tcW w:w="504" w:type="pct"/>
            <w:vMerge/>
            <w:tcBorders>
              <w:left w:val="single" w:sz="4" w:space="0" w:color="auto"/>
              <w:right w:val="single" w:sz="4" w:space="0" w:color="auto"/>
            </w:tcBorders>
            <w:shd w:val="clear" w:color="auto" w:fill="FFFFFF"/>
            <w:vAlign w:val="center"/>
          </w:tcPr>
          <w:p w14:paraId="45C4DFAB" w14:textId="77777777" w:rsidR="00BA1338" w:rsidRPr="00545EC0" w:rsidRDefault="00BA1338" w:rsidP="004F2AF2">
            <w:pPr>
              <w:rPr>
                <w:rFonts w:eastAsia="SimSun" w:cs="Arial"/>
                <w:sz w:val="18"/>
                <w:szCs w:val="18"/>
                <w:lang w:eastAsia="zh-CN"/>
              </w:rPr>
            </w:pPr>
          </w:p>
        </w:tc>
        <w:tc>
          <w:tcPr>
            <w:tcW w:w="504" w:type="pct"/>
            <w:tcBorders>
              <w:top w:val="single" w:sz="4" w:space="0" w:color="231F20"/>
              <w:left w:val="single" w:sz="4" w:space="0" w:color="auto"/>
              <w:bottom w:val="single" w:sz="4" w:space="0" w:color="231F20"/>
              <w:right w:val="single" w:sz="4" w:space="0" w:color="231F20"/>
            </w:tcBorders>
            <w:shd w:val="clear" w:color="auto" w:fill="FFFFFF"/>
            <w:vAlign w:val="center"/>
            <w:hideMark/>
          </w:tcPr>
          <w:p w14:paraId="2CC577F1"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UVT</w:t>
            </w:r>
          </w:p>
        </w:tc>
        <w:tc>
          <w:tcPr>
            <w:tcW w:w="930" w:type="pct"/>
            <w:tcBorders>
              <w:top w:val="single" w:sz="4" w:space="0" w:color="231F20"/>
              <w:left w:val="nil"/>
              <w:bottom w:val="single" w:sz="4" w:space="0" w:color="231F20"/>
              <w:right w:val="single" w:sz="4" w:space="0" w:color="231F20"/>
            </w:tcBorders>
            <w:shd w:val="clear" w:color="auto" w:fill="FFFFFF"/>
            <w:vAlign w:val="center"/>
          </w:tcPr>
          <w:p w14:paraId="2E9723B5"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vodotok</w:t>
            </w:r>
          </w:p>
        </w:tc>
      </w:tr>
      <w:tr w:rsidR="004507A4" w:rsidRPr="00545EC0" w14:paraId="19849E0D" w14:textId="77777777" w:rsidTr="004507A4">
        <w:trPr>
          <w:cantSplit/>
          <w:trHeight w:val="227"/>
        </w:trPr>
        <w:tc>
          <w:tcPr>
            <w:tcW w:w="707" w:type="pct"/>
            <w:tcBorders>
              <w:top w:val="single" w:sz="4" w:space="0" w:color="231F20"/>
              <w:left w:val="single" w:sz="4" w:space="0" w:color="231F20"/>
              <w:bottom w:val="single" w:sz="4" w:space="0" w:color="231F20"/>
              <w:right w:val="single" w:sz="4" w:space="0" w:color="231F20"/>
            </w:tcBorders>
            <w:shd w:val="clear" w:color="auto" w:fill="FFFFFF"/>
            <w:vAlign w:val="center"/>
            <w:hideMark/>
          </w:tcPr>
          <w:p w14:paraId="2971DED2"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SI38VT34</w:t>
            </w:r>
          </w:p>
        </w:tc>
        <w:tc>
          <w:tcPr>
            <w:tcW w:w="2355" w:type="pct"/>
            <w:tcBorders>
              <w:top w:val="single" w:sz="4" w:space="0" w:color="231F20"/>
              <w:left w:val="nil"/>
              <w:bottom w:val="single" w:sz="4" w:space="0" w:color="231F20"/>
              <w:right w:val="single" w:sz="4" w:space="0" w:color="auto"/>
            </w:tcBorders>
            <w:shd w:val="clear" w:color="auto" w:fill="FFFFFF"/>
            <w:vAlign w:val="center"/>
            <w:hideMark/>
          </w:tcPr>
          <w:p w14:paraId="107DEFE4"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MPVT zadrževalnik Perniško jezero</w:t>
            </w:r>
          </w:p>
        </w:tc>
        <w:tc>
          <w:tcPr>
            <w:tcW w:w="504" w:type="pct"/>
            <w:vMerge/>
            <w:tcBorders>
              <w:left w:val="single" w:sz="4" w:space="0" w:color="auto"/>
              <w:right w:val="single" w:sz="4" w:space="0" w:color="auto"/>
            </w:tcBorders>
            <w:shd w:val="clear" w:color="auto" w:fill="FFFFFF"/>
            <w:vAlign w:val="center"/>
          </w:tcPr>
          <w:p w14:paraId="4A68A9E3" w14:textId="77777777" w:rsidR="00BA1338" w:rsidRPr="00545EC0" w:rsidRDefault="00BA1338" w:rsidP="004F2AF2">
            <w:pPr>
              <w:rPr>
                <w:rFonts w:eastAsia="SimSun" w:cs="Arial"/>
                <w:sz w:val="18"/>
                <w:szCs w:val="18"/>
                <w:lang w:eastAsia="zh-CN"/>
              </w:rPr>
            </w:pPr>
          </w:p>
        </w:tc>
        <w:tc>
          <w:tcPr>
            <w:tcW w:w="504" w:type="pct"/>
            <w:tcBorders>
              <w:top w:val="single" w:sz="4" w:space="0" w:color="231F20"/>
              <w:left w:val="single" w:sz="4" w:space="0" w:color="auto"/>
              <w:bottom w:val="single" w:sz="4" w:space="0" w:color="231F20"/>
              <w:right w:val="single" w:sz="4" w:space="0" w:color="231F20"/>
            </w:tcBorders>
            <w:shd w:val="clear" w:color="auto" w:fill="FFFFFF"/>
            <w:vAlign w:val="center"/>
            <w:hideMark/>
          </w:tcPr>
          <w:p w14:paraId="2C4A3BD0"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MPVT</w:t>
            </w:r>
          </w:p>
        </w:tc>
        <w:tc>
          <w:tcPr>
            <w:tcW w:w="930" w:type="pct"/>
            <w:tcBorders>
              <w:top w:val="single" w:sz="4" w:space="0" w:color="231F20"/>
              <w:left w:val="nil"/>
              <w:bottom w:val="single" w:sz="4" w:space="0" w:color="231F20"/>
              <w:right w:val="single" w:sz="4" w:space="0" w:color="231F20"/>
            </w:tcBorders>
            <w:shd w:val="clear" w:color="auto" w:fill="FFFFFF"/>
            <w:vAlign w:val="center"/>
          </w:tcPr>
          <w:p w14:paraId="36E565F1"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jezero</w:t>
            </w:r>
          </w:p>
        </w:tc>
      </w:tr>
      <w:tr w:rsidR="004507A4" w:rsidRPr="00545EC0" w14:paraId="455D24B2" w14:textId="77777777" w:rsidTr="004507A4">
        <w:trPr>
          <w:cantSplit/>
          <w:trHeight w:val="227"/>
        </w:trPr>
        <w:tc>
          <w:tcPr>
            <w:tcW w:w="707" w:type="pct"/>
            <w:tcBorders>
              <w:top w:val="single" w:sz="4" w:space="0" w:color="231F20"/>
              <w:left w:val="single" w:sz="4" w:space="0" w:color="231F20"/>
              <w:bottom w:val="single" w:sz="4" w:space="0" w:color="231F20"/>
              <w:right w:val="single" w:sz="4" w:space="0" w:color="231F20"/>
            </w:tcBorders>
            <w:shd w:val="clear" w:color="auto" w:fill="FFFFFF"/>
            <w:vAlign w:val="center"/>
            <w:hideMark/>
          </w:tcPr>
          <w:p w14:paraId="0FB027DA"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SI3VT197</w:t>
            </w:r>
          </w:p>
        </w:tc>
        <w:tc>
          <w:tcPr>
            <w:tcW w:w="2355" w:type="pct"/>
            <w:tcBorders>
              <w:top w:val="single" w:sz="4" w:space="0" w:color="231F20"/>
              <w:left w:val="nil"/>
              <w:bottom w:val="single" w:sz="4" w:space="0" w:color="231F20"/>
              <w:right w:val="single" w:sz="4" w:space="0" w:color="auto"/>
            </w:tcBorders>
            <w:shd w:val="clear" w:color="auto" w:fill="FFFFFF"/>
            <w:vAlign w:val="center"/>
            <w:hideMark/>
          </w:tcPr>
          <w:p w14:paraId="73F5827A"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MPVT Drava mejni odsek z Avstrijo</w:t>
            </w:r>
          </w:p>
        </w:tc>
        <w:tc>
          <w:tcPr>
            <w:tcW w:w="504" w:type="pct"/>
            <w:vMerge/>
            <w:tcBorders>
              <w:left w:val="single" w:sz="4" w:space="0" w:color="auto"/>
              <w:right w:val="single" w:sz="4" w:space="0" w:color="auto"/>
            </w:tcBorders>
            <w:shd w:val="clear" w:color="auto" w:fill="FFFFFF"/>
            <w:vAlign w:val="center"/>
          </w:tcPr>
          <w:p w14:paraId="2C9B6993" w14:textId="77777777" w:rsidR="00BA1338" w:rsidRPr="00545EC0" w:rsidRDefault="00BA1338" w:rsidP="004F2AF2">
            <w:pPr>
              <w:rPr>
                <w:rFonts w:eastAsia="SimSun" w:cs="Arial"/>
                <w:sz w:val="18"/>
                <w:szCs w:val="18"/>
                <w:lang w:eastAsia="zh-CN"/>
              </w:rPr>
            </w:pPr>
          </w:p>
        </w:tc>
        <w:tc>
          <w:tcPr>
            <w:tcW w:w="504" w:type="pct"/>
            <w:tcBorders>
              <w:top w:val="single" w:sz="4" w:space="0" w:color="231F20"/>
              <w:left w:val="single" w:sz="4" w:space="0" w:color="auto"/>
              <w:bottom w:val="single" w:sz="4" w:space="0" w:color="231F20"/>
              <w:right w:val="single" w:sz="4" w:space="0" w:color="231F20"/>
            </w:tcBorders>
            <w:shd w:val="clear" w:color="auto" w:fill="FFFFFF"/>
            <w:vAlign w:val="center"/>
            <w:hideMark/>
          </w:tcPr>
          <w:p w14:paraId="612DEB6A"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MPVT</w:t>
            </w:r>
          </w:p>
        </w:tc>
        <w:tc>
          <w:tcPr>
            <w:tcW w:w="930" w:type="pct"/>
            <w:tcBorders>
              <w:top w:val="single" w:sz="4" w:space="0" w:color="231F20"/>
              <w:left w:val="nil"/>
              <w:bottom w:val="single" w:sz="4" w:space="0" w:color="231F20"/>
              <w:right w:val="single" w:sz="4" w:space="0" w:color="231F20"/>
            </w:tcBorders>
            <w:shd w:val="clear" w:color="auto" w:fill="FFFFFF"/>
            <w:vAlign w:val="center"/>
          </w:tcPr>
          <w:p w14:paraId="39AD387F"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vodotok</w:t>
            </w:r>
          </w:p>
        </w:tc>
      </w:tr>
      <w:tr w:rsidR="004507A4" w:rsidRPr="00545EC0" w14:paraId="7CE5A5CA" w14:textId="77777777" w:rsidTr="004507A4">
        <w:trPr>
          <w:cantSplit/>
          <w:trHeight w:val="227"/>
        </w:trPr>
        <w:tc>
          <w:tcPr>
            <w:tcW w:w="707" w:type="pct"/>
            <w:tcBorders>
              <w:top w:val="single" w:sz="4" w:space="0" w:color="231F20"/>
              <w:left w:val="single" w:sz="4" w:space="0" w:color="231F20"/>
              <w:bottom w:val="single" w:sz="4" w:space="0" w:color="231F20"/>
              <w:right w:val="single" w:sz="4" w:space="0" w:color="231F20"/>
            </w:tcBorders>
            <w:shd w:val="clear" w:color="auto" w:fill="FFFFFF"/>
            <w:vAlign w:val="center"/>
            <w:hideMark/>
          </w:tcPr>
          <w:p w14:paraId="2155A239"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SI3VT359</w:t>
            </w:r>
          </w:p>
        </w:tc>
        <w:tc>
          <w:tcPr>
            <w:tcW w:w="2355" w:type="pct"/>
            <w:tcBorders>
              <w:top w:val="single" w:sz="4" w:space="0" w:color="231F20"/>
              <w:left w:val="nil"/>
              <w:bottom w:val="single" w:sz="4" w:space="0" w:color="231F20"/>
              <w:right w:val="single" w:sz="4" w:space="0" w:color="auto"/>
            </w:tcBorders>
            <w:shd w:val="clear" w:color="auto" w:fill="FFFFFF"/>
            <w:vAlign w:val="center"/>
            <w:hideMark/>
          </w:tcPr>
          <w:p w14:paraId="6D3D2B36"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MPVT Drava Dravograd – Maribor</w:t>
            </w:r>
          </w:p>
        </w:tc>
        <w:tc>
          <w:tcPr>
            <w:tcW w:w="504" w:type="pct"/>
            <w:vMerge/>
            <w:tcBorders>
              <w:left w:val="single" w:sz="4" w:space="0" w:color="auto"/>
              <w:right w:val="single" w:sz="4" w:space="0" w:color="auto"/>
            </w:tcBorders>
            <w:shd w:val="clear" w:color="auto" w:fill="FFFFFF"/>
            <w:vAlign w:val="center"/>
          </w:tcPr>
          <w:p w14:paraId="5EAFB3E5" w14:textId="77777777" w:rsidR="00BA1338" w:rsidRPr="00545EC0" w:rsidRDefault="00BA1338" w:rsidP="004F2AF2">
            <w:pPr>
              <w:rPr>
                <w:rFonts w:eastAsia="SimSun" w:cs="Arial"/>
                <w:sz w:val="18"/>
                <w:szCs w:val="18"/>
                <w:lang w:eastAsia="zh-CN"/>
              </w:rPr>
            </w:pPr>
          </w:p>
        </w:tc>
        <w:tc>
          <w:tcPr>
            <w:tcW w:w="504" w:type="pct"/>
            <w:tcBorders>
              <w:top w:val="single" w:sz="4" w:space="0" w:color="231F20"/>
              <w:left w:val="single" w:sz="4" w:space="0" w:color="auto"/>
              <w:bottom w:val="single" w:sz="4" w:space="0" w:color="231F20"/>
              <w:right w:val="single" w:sz="4" w:space="0" w:color="231F20"/>
            </w:tcBorders>
            <w:shd w:val="clear" w:color="auto" w:fill="FFFFFF"/>
            <w:vAlign w:val="center"/>
            <w:hideMark/>
          </w:tcPr>
          <w:p w14:paraId="15954D02"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MPVT</w:t>
            </w:r>
          </w:p>
        </w:tc>
        <w:tc>
          <w:tcPr>
            <w:tcW w:w="930" w:type="pct"/>
            <w:tcBorders>
              <w:top w:val="single" w:sz="4" w:space="0" w:color="231F20"/>
              <w:left w:val="nil"/>
              <w:bottom w:val="single" w:sz="4" w:space="0" w:color="231F20"/>
              <w:right w:val="single" w:sz="4" w:space="0" w:color="231F20"/>
            </w:tcBorders>
            <w:shd w:val="clear" w:color="auto" w:fill="FFFFFF"/>
            <w:vAlign w:val="center"/>
          </w:tcPr>
          <w:p w14:paraId="1BB80006"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vodotok</w:t>
            </w:r>
          </w:p>
        </w:tc>
      </w:tr>
      <w:tr w:rsidR="004507A4" w:rsidRPr="00545EC0" w14:paraId="028122AE" w14:textId="77777777" w:rsidTr="004507A4">
        <w:trPr>
          <w:cantSplit/>
          <w:trHeight w:val="227"/>
        </w:trPr>
        <w:tc>
          <w:tcPr>
            <w:tcW w:w="707" w:type="pct"/>
            <w:tcBorders>
              <w:top w:val="single" w:sz="4" w:space="0" w:color="231F20"/>
              <w:left w:val="single" w:sz="4" w:space="0" w:color="231F20"/>
              <w:bottom w:val="single" w:sz="4" w:space="0" w:color="231F20"/>
              <w:right w:val="single" w:sz="4" w:space="0" w:color="231F20"/>
            </w:tcBorders>
            <w:shd w:val="clear" w:color="auto" w:fill="FFFFFF"/>
            <w:vAlign w:val="center"/>
            <w:hideMark/>
          </w:tcPr>
          <w:p w14:paraId="11163EC1"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lastRenderedPageBreak/>
              <w:t>SI3VT5172</w:t>
            </w:r>
          </w:p>
        </w:tc>
        <w:tc>
          <w:tcPr>
            <w:tcW w:w="2355" w:type="pct"/>
            <w:tcBorders>
              <w:top w:val="single" w:sz="4" w:space="0" w:color="231F20"/>
              <w:left w:val="nil"/>
              <w:bottom w:val="single" w:sz="4" w:space="0" w:color="231F20"/>
              <w:right w:val="single" w:sz="4" w:space="0" w:color="auto"/>
            </w:tcBorders>
            <w:shd w:val="clear" w:color="auto" w:fill="FFFFFF"/>
            <w:vAlign w:val="center"/>
            <w:hideMark/>
          </w:tcPr>
          <w:p w14:paraId="1D723C12"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MPVT zadrževalnik Ptujsko jezero</w:t>
            </w:r>
          </w:p>
        </w:tc>
        <w:tc>
          <w:tcPr>
            <w:tcW w:w="504" w:type="pct"/>
            <w:vMerge/>
            <w:tcBorders>
              <w:left w:val="single" w:sz="4" w:space="0" w:color="auto"/>
              <w:right w:val="single" w:sz="4" w:space="0" w:color="auto"/>
            </w:tcBorders>
            <w:shd w:val="clear" w:color="auto" w:fill="FFFFFF"/>
            <w:vAlign w:val="center"/>
          </w:tcPr>
          <w:p w14:paraId="42773CBB" w14:textId="77777777" w:rsidR="00BA1338" w:rsidRPr="00545EC0" w:rsidRDefault="00BA1338" w:rsidP="004F2AF2">
            <w:pPr>
              <w:rPr>
                <w:rFonts w:eastAsia="SimSun" w:cs="Arial"/>
                <w:sz w:val="18"/>
                <w:szCs w:val="18"/>
                <w:lang w:eastAsia="zh-CN"/>
              </w:rPr>
            </w:pPr>
          </w:p>
        </w:tc>
        <w:tc>
          <w:tcPr>
            <w:tcW w:w="504" w:type="pct"/>
            <w:tcBorders>
              <w:top w:val="single" w:sz="4" w:space="0" w:color="231F20"/>
              <w:left w:val="single" w:sz="4" w:space="0" w:color="auto"/>
              <w:bottom w:val="single" w:sz="4" w:space="0" w:color="231F20"/>
              <w:right w:val="single" w:sz="4" w:space="0" w:color="231F20"/>
            </w:tcBorders>
            <w:shd w:val="clear" w:color="auto" w:fill="FFFFFF"/>
            <w:vAlign w:val="center"/>
            <w:hideMark/>
          </w:tcPr>
          <w:p w14:paraId="7361A2A1"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MPVT</w:t>
            </w:r>
          </w:p>
        </w:tc>
        <w:tc>
          <w:tcPr>
            <w:tcW w:w="930" w:type="pct"/>
            <w:tcBorders>
              <w:top w:val="single" w:sz="4" w:space="0" w:color="231F20"/>
              <w:left w:val="nil"/>
              <w:bottom w:val="single" w:sz="4" w:space="0" w:color="231F20"/>
              <w:right w:val="single" w:sz="4" w:space="0" w:color="231F20"/>
            </w:tcBorders>
            <w:shd w:val="clear" w:color="auto" w:fill="FFFFFF"/>
            <w:vAlign w:val="center"/>
          </w:tcPr>
          <w:p w14:paraId="03A8EC62"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vodotok</w:t>
            </w:r>
          </w:p>
        </w:tc>
      </w:tr>
      <w:tr w:rsidR="004507A4" w:rsidRPr="00545EC0" w14:paraId="717B86DC" w14:textId="77777777" w:rsidTr="004507A4">
        <w:trPr>
          <w:cantSplit/>
          <w:trHeight w:val="227"/>
        </w:trPr>
        <w:tc>
          <w:tcPr>
            <w:tcW w:w="707" w:type="pct"/>
            <w:tcBorders>
              <w:top w:val="single" w:sz="4" w:space="0" w:color="231F20"/>
              <w:left w:val="single" w:sz="4" w:space="0" w:color="231F20"/>
              <w:bottom w:val="single" w:sz="4" w:space="0" w:color="231F20"/>
              <w:right w:val="single" w:sz="4" w:space="0" w:color="231F20"/>
            </w:tcBorders>
            <w:shd w:val="clear" w:color="auto" w:fill="FFFFFF"/>
            <w:vAlign w:val="center"/>
            <w:hideMark/>
          </w:tcPr>
          <w:p w14:paraId="2F1C0DBB"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SI3VT950</w:t>
            </w:r>
          </w:p>
        </w:tc>
        <w:tc>
          <w:tcPr>
            <w:tcW w:w="2355" w:type="pct"/>
            <w:tcBorders>
              <w:top w:val="single" w:sz="4" w:space="0" w:color="231F20"/>
              <w:left w:val="nil"/>
              <w:bottom w:val="single" w:sz="4" w:space="0" w:color="231F20"/>
              <w:right w:val="single" w:sz="4" w:space="0" w:color="auto"/>
            </w:tcBorders>
            <w:shd w:val="clear" w:color="auto" w:fill="FFFFFF"/>
            <w:vAlign w:val="center"/>
            <w:hideMark/>
          </w:tcPr>
          <w:p w14:paraId="62479254"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MPVT zadrževalnik Ormoško jezero</w:t>
            </w:r>
          </w:p>
        </w:tc>
        <w:tc>
          <w:tcPr>
            <w:tcW w:w="504" w:type="pct"/>
            <w:vMerge/>
            <w:tcBorders>
              <w:left w:val="single" w:sz="4" w:space="0" w:color="auto"/>
              <w:bottom w:val="single" w:sz="4" w:space="0" w:color="auto"/>
              <w:right w:val="single" w:sz="4" w:space="0" w:color="auto"/>
            </w:tcBorders>
            <w:shd w:val="clear" w:color="auto" w:fill="FFFFFF"/>
            <w:vAlign w:val="center"/>
          </w:tcPr>
          <w:p w14:paraId="6EC597B9" w14:textId="77777777" w:rsidR="00BA1338" w:rsidRPr="00545EC0" w:rsidRDefault="00BA1338" w:rsidP="004F2AF2">
            <w:pPr>
              <w:rPr>
                <w:rFonts w:eastAsia="SimSun" w:cs="Arial"/>
                <w:sz w:val="18"/>
                <w:szCs w:val="18"/>
                <w:lang w:eastAsia="zh-CN"/>
              </w:rPr>
            </w:pPr>
          </w:p>
        </w:tc>
        <w:tc>
          <w:tcPr>
            <w:tcW w:w="504" w:type="pct"/>
            <w:tcBorders>
              <w:top w:val="single" w:sz="4" w:space="0" w:color="231F20"/>
              <w:left w:val="single" w:sz="4" w:space="0" w:color="auto"/>
              <w:bottom w:val="single" w:sz="4" w:space="0" w:color="231F20"/>
              <w:right w:val="single" w:sz="4" w:space="0" w:color="231F20"/>
            </w:tcBorders>
            <w:shd w:val="clear" w:color="auto" w:fill="FFFFFF"/>
            <w:vAlign w:val="center"/>
            <w:hideMark/>
          </w:tcPr>
          <w:p w14:paraId="2D5A9409"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MPVT</w:t>
            </w:r>
          </w:p>
        </w:tc>
        <w:tc>
          <w:tcPr>
            <w:tcW w:w="930" w:type="pct"/>
            <w:tcBorders>
              <w:top w:val="single" w:sz="4" w:space="0" w:color="231F20"/>
              <w:left w:val="nil"/>
              <w:bottom w:val="single" w:sz="4" w:space="0" w:color="231F20"/>
              <w:right w:val="single" w:sz="4" w:space="0" w:color="231F20"/>
            </w:tcBorders>
            <w:shd w:val="clear" w:color="auto" w:fill="FFFFFF"/>
            <w:vAlign w:val="center"/>
          </w:tcPr>
          <w:p w14:paraId="06EDF278"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vodotok</w:t>
            </w:r>
          </w:p>
        </w:tc>
      </w:tr>
      <w:tr w:rsidR="004507A4" w:rsidRPr="00545EC0" w14:paraId="3D8EECC9" w14:textId="77777777" w:rsidTr="004507A4">
        <w:trPr>
          <w:cantSplit/>
          <w:trHeight w:val="227"/>
        </w:trPr>
        <w:tc>
          <w:tcPr>
            <w:tcW w:w="707" w:type="pct"/>
            <w:tcBorders>
              <w:top w:val="single" w:sz="4" w:space="0" w:color="231F20"/>
              <w:left w:val="single" w:sz="4" w:space="0" w:color="231F20"/>
              <w:bottom w:val="single" w:sz="4" w:space="0" w:color="231F20"/>
              <w:right w:val="single" w:sz="4" w:space="0" w:color="231F20"/>
            </w:tcBorders>
            <w:shd w:val="clear" w:color="auto" w:fill="FFFFFF"/>
            <w:vAlign w:val="center"/>
            <w:hideMark/>
          </w:tcPr>
          <w:p w14:paraId="2AF198A4"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SI434VT52</w:t>
            </w:r>
          </w:p>
        </w:tc>
        <w:tc>
          <w:tcPr>
            <w:tcW w:w="2355" w:type="pct"/>
            <w:tcBorders>
              <w:top w:val="single" w:sz="4" w:space="0" w:color="231F20"/>
              <w:left w:val="nil"/>
              <w:bottom w:val="single" w:sz="4" w:space="0" w:color="231F20"/>
              <w:right w:val="single" w:sz="4" w:space="0" w:color="auto"/>
            </w:tcBorders>
            <w:shd w:val="clear" w:color="auto" w:fill="FFFFFF"/>
            <w:vAlign w:val="center"/>
            <w:hideMark/>
          </w:tcPr>
          <w:p w14:paraId="117982A7"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MPVT zadrževalnik Gajševsko jezero</w:t>
            </w:r>
          </w:p>
        </w:tc>
        <w:tc>
          <w:tcPr>
            <w:tcW w:w="504" w:type="pct"/>
            <w:vMerge w:val="restart"/>
            <w:tcBorders>
              <w:top w:val="single" w:sz="4" w:space="0" w:color="auto"/>
              <w:left w:val="single" w:sz="4" w:space="0" w:color="auto"/>
              <w:right w:val="single" w:sz="4" w:space="0" w:color="auto"/>
            </w:tcBorders>
            <w:shd w:val="clear" w:color="auto" w:fill="FFFFFF"/>
            <w:vAlign w:val="center"/>
          </w:tcPr>
          <w:p w14:paraId="7D96078C"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Mura</w:t>
            </w:r>
          </w:p>
        </w:tc>
        <w:tc>
          <w:tcPr>
            <w:tcW w:w="504" w:type="pct"/>
            <w:tcBorders>
              <w:top w:val="single" w:sz="4" w:space="0" w:color="231F20"/>
              <w:left w:val="single" w:sz="4" w:space="0" w:color="auto"/>
              <w:bottom w:val="single" w:sz="4" w:space="0" w:color="231F20"/>
              <w:right w:val="single" w:sz="4" w:space="0" w:color="231F20"/>
            </w:tcBorders>
            <w:shd w:val="clear" w:color="auto" w:fill="FFFFFF"/>
            <w:vAlign w:val="center"/>
            <w:hideMark/>
          </w:tcPr>
          <w:p w14:paraId="7FAC7F9D"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MPVT</w:t>
            </w:r>
          </w:p>
        </w:tc>
        <w:tc>
          <w:tcPr>
            <w:tcW w:w="930" w:type="pct"/>
            <w:tcBorders>
              <w:top w:val="single" w:sz="4" w:space="0" w:color="231F20"/>
              <w:left w:val="nil"/>
              <w:bottom w:val="single" w:sz="4" w:space="0" w:color="231F20"/>
              <w:right w:val="single" w:sz="4" w:space="0" w:color="231F20"/>
            </w:tcBorders>
            <w:shd w:val="clear" w:color="auto" w:fill="FFFFFF"/>
            <w:vAlign w:val="center"/>
          </w:tcPr>
          <w:p w14:paraId="17A8B0AF"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jezero</w:t>
            </w:r>
          </w:p>
        </w:tc>
      </w:tr>
      <w:tr w:rsidR="004507A4" w:rsidRPr="00545EC0" w14:paraId="6D27CEF3" w14:textId="77777777" w:rsidTr="004507A4">
        <w:trPr>
          <w:cantSplit/>
          <w:trHeight w:val="227"/>
        </w:trPr>
        <w:tc>
          <w:tcPr>
            <w:tcW w:w="707" w:type="pct"/>
            <w:tcBorders>
              <w:top w:val="single" w:sz="4" w:space="0" w:color="231F20"/>
              <w:left w:val="single" w:sz="4" w:space="0" w:color="231F20"/>
              <w:bottom w:val="single" w:sz="4" w:space="0" w:color="231F20"/>
              <w:right w:val="single" w:sz="4" w:space="0" w:color="231F20"/>
            </w:tcBorders>
            <w:shd w:val="clear" w:color="auto" w:fill="FFFFFF"/>
            <w:vAlign w:val="center"/>
            <w:hideMark/>
          </w:tcPr>
          <w:p w14:paraId="2F1EB23D"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SI442VT12</w:t>
            </w:r>
          </w:p>
        </w:tc>
        <w:tc>
          <w:tcPr>
            <w:tcW w:w="2355" w:type="pct"/>
            <w:tcBorders>
              <w:top w:val="single" w:sz="4" w:space="0" w:color="231F20"/>
              <w:left w:val="nil"/>
              <w:bottom w:val="single" w:sz="4" w:space="0" w:color="231F20"/>
              <w:right w:val="single" w:sz="4" w:space="0" w:color="auto"/>
            </w:tcBorders>
            <w:shd w:val="clear" w:color="auto" w:fill="FFFFFF"/>
            <w:vAlign w:val="center"/>
            <w:hideMark/>
          </w:tcPr>
          <w:p w14:paraId="47A8921F"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MPVT zadrževalnik Ledavsko jezero</w:t>
            </w:r>
          </w:p>
        </w:tc>
        <w:tc>
          <w:tcPr>
            <w:tcW w:w="504" w:type="pct"/>
            <w:vMerge/>
            <w:tcBorders>
              <w:left w:val="single" w:sz="4" w:space="0" w:color="auto"/>
              <w:bottom w:val="single" w:sz="4" w:space="0" w:color="auto"/>
              <w:right w:val="single" w:sz="4" w:space="0" w:color="auto"/>
            </w:tcBorders>
            <w:shd w:val="clear" w:color="auto" w:fill="FFFFFF"/>
            <w:vAlign w:val="center"/>
          </w:tcPr>
          <w:p w14:paraId="28FA7F70" w14:textId="77777777" w:rsidR="00BA1338" w:rsidRPr="00545EC0" w:rsidRDefault="00BA1338" w:rsidP="004F2AF2">
            <w:pPr>
              <w:rPr>
                <w:rFonts w:eastAsia="SimSun" w:cs="Arial"/>
                <w:sz w:val="18"/>
                <w:szCs w:val="18"/>
                <w:lang w:eastAsia="zh-CN"/>
              </w:rPr>
            </w:pPr>
          </w:p>
        </w:tc>
        <w:tc>
          <w:tcPr>
            <w:tcW w:w="504" w:type="pct"/>
            <w:tcBorders>
              <w:top w:val="single" w:sz="4" w:space="0" w:color="231F20"/>
              <w:left w:val="single" w:sz="4" w:space="0" w:color="auto"/>
              <w:bottom w:val="single" w:sz="4" w:space="0" w:color="231F20"/>
              <w:right w:val="single" w:sz="4" w:space="0" w:color="231F20"/>
            </w:tcBorders>
            <w:shd w:val="clear" w:color="auto" w:fill="FFFFFF"/>
            <w:vAlign w:val="center"/>
            <w:hideMark/>
          </w:tcPr>
          <w:p w14:paraId="2CF7ACCD" w14:textId="77777777" w:rsidR="00BA1338" w:rsidRPr="00545EC0" w:rsidRDefault="00BA1338" w:rsidP="004F2AF2">
            <w:pPr>
              <w:rPr>
                <w:rFonts w:eastAsia="SimSun" w:cs="Arial"/>
                <w:sz w:val="18"/>
                <w:szCs w:val="18"/>
                <w:lang w:eastAsia="zh-CN"/>
              </w:rPr>
            </w:pPr>
            <w:r w:rsidRPr="00545EC0">
              <w:rPr>
                <w:rFonts w:eastAsia="SimSun" w:cs="Arial"/>
                <w:sz w:val="18"/>
                <w:szCs w:val="18"/>
                <w:lang w:eastAsia="zh-CN"/>
              </w:rPr>
              <w:t>MPVT</w:t>
            </w:r>
          </w:p>
        </w:tc>
        <w:tc>
          <w:tcPr>
            <w:tcW w:w="930" w:type="pct"/>
            <w:tcBorders>
              <w:top w:val="single" w:sz="4" w:space="0" w:color="231F20"/>
              <w:left w:val="nil"/>
              <w:bottom w:val="single" w:sz="4" w:space="0" w:color="231F20"/>
              <w:right w:val="single" w:sz="4" w:space="0" w:color="231F20"/>
            </w:tcBorders>
            <w:shd w:val="clear" w:color="auto" w:fill="FFFFFF"/>
            <w:vAlign w:val="center"/>
          </w:tcPr>
          <w:p w14:paraId="34AD0865" w14:textId="77777777" w:rsidR="00BA1338" w:rsidRPr="00545EC0" w:rsidRDefault="00BA1338" w:rsidP="004F2AF2">
            <w:pPr>
              <w:keepNext/>
              <w:rPr>
                <w:rFonts w:eastAsia="SimSun" w:cs="Arial"/>
                <w:sz w:val="18"/>
                <w:szCs w:val="18"/>
                <w:lang w:eastAsia="zh-CN"/>
              </w:rPr>
            </w:pPr>
            <w:r w:rsidRPr="00545EC0">
              <w:rPr>
                <w:rFonts w:eastAsia="SimSun" w:cs="Arial"/>
                <w:sz w:val="18"/>
                <w:szCs w:val="18"/>
                <w:lang w:eastAsia="zh-CN"/>
              </w:rPr>
              <w:t>jezero</w:t>
            </w:r>
          </w:p>
        </w:tc>
      </w:tr>
    </w:tbl>
    <w:p w14:paraId="2B3B2C53" w14:textId="77777777" w:rsidR="00BA1338" w:rsidRPr="00545EC0" w:rsidRDefault="00BA1338" w:rsidP="00BA1338">
      <w:pPr>
        <w:rPr>
          <w:rFonts w:eastAsia="SimSun" w:cs="Arial"/>
          <w:i/>
          <w:sz w:val="18"/>
          <w:szCs w:val="18"/>
          <w:lang w:eastAsia="zh-CN"/>
        </w:rPr>
      </w:pPr>
      <w:r w:rsidRPr="00545EC0">
        <w:rPr>
          <w:rFonts w:eastAsia="SimSun" w:cs="Arial"/>
          <w:i/>
          <w:sz w:val="18"/>
          <w:szCs w:val="18"/>
          <w:lang w:eastAsia="zh-CN"/>
        </w:rPr>
        <w:t>*odvodni kanal</w:t>
      </w:r>
    </w:p>
    <w:p w14:paraId="18204326" w14:textId="77777777" w:rsidR="00BA1338" w:rsidRPr="00545EC0" w:rsidRDefault="00BA1338" w:rsidP="00BA1338">
      <w:pPr>
        <w:rPr>
          <w:rFonts w:eastAsia="SimSun" w:cs="Arial"/>
          <w:sz w:val="18"/>
          <w:szCs w:val="18"/>
          <w:lang w:eastAsia="zh-CN"/>
        </w:rPr>
      </w:pPr>
    </w:p>
    <w:p w14:paraId="396F1DD7" w14:textId="7E38DEB6" w:rsidR="00627979" w:rsidRPr="00545EC0" w:rsidRDefault="00BA1338" w:rsidP="00BA1338">
      <w:pPr>
        <w:rPr>
          <w:rFonts w:eastAsia="SimSun" w:cs="Arial"/>
          <w:szCs w:val="20"/>
          <w:lang w:eastAsia="zh-CN"/>
        </w:rPr>
      </w:pPr>
      <w:r w:rsidRPr="00545EC0">
        <w:rPr>
          <w:rFonts w:eastAsia="SimSun" w:cs="Arial"/>
          <w:szCs w:val="20"/>
          <w:lang w:eastAsia="zh-CN"/>
        </w:rPr>
        <w:t>Posamezne hidromorfološke obremenitve na MPVT-jih in UVT-jih so analizirane v predhodnih poglavjih, kjer so obremenitve ločeno obravnavane na vodotokih, jezerih in zadrževalnikih. V nadaljevanju (</w:t>
      </w:r>
      <w:r w:rsidR="00627979" w:rsidRPr="00545EC0">
        <w:rPr>
          <w:rFonts w:eastAsia="SimSun" w:cs="Arial"/>
          <w:szCs w:val="20"/>
          <w:lang w:eastAsia="zh-CN"/>
        </w:rPr>
        <w:fldChar w:fldCharType="begin"/>
      </w:r>
      <w:r w:rsidR="00627979" w:rsidRPr="00545EC0">
        <w:rPr>
          <w:rFonts w:eastAsia="SimSun" w:cs="Arial"/>
          <w:szCs w:val="20"/>
          <w:lang w:eastAsia="zh-CN"/>
        </w:rPr>
        <w:instrText xml:space="preserve"> REF _Ref84257003 \h </w:instrText>
      </w:r>
      <w:r w:rsidR="00F37A91" w:rsidRPr="00545EC0">
        <w:rPr>
          <w:rFonts w:eastAsia="SimSun" w:cs="Arial"/>
          <w:szCs w:val="20"/>
          <w:lang w:eastAsia="zh-CN"/>
        </w:rPr>
        <w:instrText xml:space="preserve"> \* MERGEFORMAT </w:instrText>
      </w:r>
      <w:r w:rsidR="00627979" w:rsidRPr="00545EC0">
        <w:rPr>
          <w:rFonts w:eastAsia="SimSun" w:cs="Arial"/>
          <w:szCs w:val="20"/>
          <w:lang w:eastAsia="zh-CN"/>
        </w:rPr>
      </w:r>
      <w:r w:rsidR="00627979" w:rsidRPr="00545EC0">
        <w:rPr>
          <w:rFonts w:eastAsia="SimSun" w:cs="Arial"/>
          <w:szCs w:val="20"/>
          <w:lang w:eastAsia="zh-CN"/>
        </w:rPr>
        <w:fldChar w:fldCharType="separate"/>
      </w:r>
      <w:r w:rsidR="002F3E43" w:rsidRPr="00545EC0">
        <w:t xml:space="preserve">Preglednica </w:t>
      </w:r>
      <w:r w:rsidR="002F3E43">
        <w:rPr>
          <w:noProof/>
        </w:rPr>
        <w:t>2</w:t>
      </w:r>
      <w:r w:rsidR="002F3E43" w:rsidRPr="00545EC0">
        <w:rPr>
          <w:noProof/>
        </w:rPr>
        <w:noBreakHyphen/>
      </w:r>
      <w:r w:rsidR="002F3E43">
        <w:rPr>
          <w:noProof/>
        </w:rPr>
        <w:t>34</w:t>
      </w:r>
      <w:r w:rsidR="002F3E43" w:rsidRPr="00545EC0">
        <w:t>: MPVT-ji in UVT-ji z opredeljenimi pomembnimi hidromorfološkimi obremenitvami</w:t>
      </w:r>
      <w:r w:rsidR="00627979" w:rsidRPr="00545EC0">
        <w:rPr>
          <w:rFonts w:eastAsia="SimSun" w:cs="Arial"/>
          <w:szCs w:val="20"/>
          <w:lang w:eastAsia="zh-CN"/>
        </w:rPr>
        <w:fldChar w:fldCharType="end"/>
      </w:r>
      <w:r w:rsidRPr="00545EC0">
        <w:rPr>
          <w:rFonts w:eastAsia="SimSun" w:cs="Arial"/>
          <w:szCs w:val="20"/>
          <w:lang w:eastAsia="zh-CN"/>
        </w:rPr>
        <w:t xml:space="preserve">) je podan le povzetek rezultatov o pomembnih obremenitvah na posameznem MPVT-ju in UVT-ju. Na večini MPVT-jev in UVT-jev so kot pomembne obremenitve prisotne zajezitve, hidromorfološka spremenjenost vodotoka ali jezera ter spremenjena raba obrežnega pasu </w:t>
      </w:r>
      <w:r w:rsidR="00627979" w:rsidRPr="00545EC0">
        <w:rPr>
          <w:rFonts w:eastAsia="SimSun" w:cs="Arial"/>
          <w:szCs w:val="20"/>
          <w:lang w:eastAsia="zh-CN"/>
        </w:rPr>
        <w:t>(</w:t>
      </w:r>
      <w:r w:rsidR="00304879" w:rsidRPr="00545EC0">
        <w:rPr>
          <w:rFonts w:eastAsia="SimSun" w:cs="Arial"/>
          <w:szCs w:val="20"/>
          <w:lang w:eastAsia="zh-CN"/>
        </w:rPr>
        <w:fldChar w:fldCharType="begin"/>
      </w:r>
      <w:r w:rsidR="00304879" w:rsidRPr="00545EC0">
        <w:rPr>
          <w:rFonts w:eastAsia="SimSun" w:cs="Arial"/>
          <w:szCs w:val="20"/>
          <w:lang w:eastAsia="zh-CN"/>
        </w:rPr>
        <w:instrText xml:space="preserve"> REF _Ref84321113 \h </w:instrText>
      </w:r>
      <w:r w:rsidR="00F37A91" w:rsidRPr="00545EC0">
        <w:rPr>
          <w:rFonts w:eastAsia="SimSun" w:cs="Arial"/>
          <w:szCs w:val="20"/>
          <w:lang w:eastAsia="zh-CN"/>
        </w:rPr>
        <w:instrText xml:space="preserve"> \* MERGEFORMAT </w:instrText>
      </w:r>
      <w:r w:rsidR="00304879" w:rsidRPr="00545EC0">
        <w:rPr>
          <w:rFonts w:eastAsia="SimSun" w:cs="Arial"/>
          <w:szCs w:val="20"/>
          <w:lang w:eastAsia="zh-CN"/>
        </w:rPr>
      </w:r>
      <w:r w:rsidR="00304879" w:rsidRPr="00545EC0">
        <w:rPr>
          <w:rFonts w:eastAsia="SimSun" w:cs="Arial"/>
          <w:szCs w:val="20"/>
          <w:lang w:eastAsia="zh-CN"/>
        </w:rPr>
        <w:fldChar w:fldCharType="separate"/>
      </w:r>
      <w:r w:rsidR="002F3E43" w:rsidRPr="00545EC0">
        <w:t xml:space="preserve">Preglednica </w:t>
      </w:r>
      <w:r w:rsidR="002F3E43">
        <w:rPr>
          <w:noProof/>
        </w:rPr>
        <w:t>2</w:t>
      </w:r>
      <w:r w:rsidR="002F3E43" w:rsidRPr="00545EC0">
        <w:rPr>
          <w:noProof/>
        </w:rPr>
        <w:noBreakHyphen/>
      </w:r>
      <w:r w:rsidR="002F3E43">
        <w:rPr>
          <w:noProof/>
        </w:rPr>
        <w:t>34</w:t>
      </w:r>
      <w:r w:rsidR="00304879" w:rsidRPr="00545EC0">
        <w:rPr>
          <w:rFonts w:eastAsia="SimSun" w:cs="Arial"/>
          <w:szCs w:val="20"/>
          <w:lang w:eastAsia="zh-CN"/>
        </w:rPr>
        <w:fldChar w:fldCharType="end"/>
      </w:r>
      <w:r w:rsidR="00304879" w:rsidRPr="00545EC0">
        <w:rPr>
          <w:rFonts w:eastAsia="SimSun" w:cs="Arial"/>
          <w:szCs w:val="20"/>
          <w:lang w:eastAsia="zh-CN"/>
        </w:rPr>
        <w:t>)</w:t>
      </w:r>
      <w:r w:rsidR="00357381" w:rsidRPr="00545EC0">
        <w:rPr>
          <w:rFonts w:eastAsia="SimSun" w:cs="Arial"/>
          <w:szCs w:val="20"/>
          <w:lang w:eastAsia="zh-CN"/>
        </w:rPr>
        <w:t>.</w:t>
      </w:r>
    </w:p>
    <w:p w14:paraId="76D88C68" w14:textId="77777777" w:rsidR="00627979" w:rsidRPr="00545EC0" w:rsidRDefault="00627979" w:rsidP="00BA1338">
      <w:pPr>
        <w:rPr>
          <w:rFonts w:eastAsia="SimSun" w:cs="Arial"/>
          <w:sz w:val="18"/>
          <w:szCs w:val="18"/>
          <w:lang w:eastAsia="zh-CN"/>
        </w:rPr>
      </w:pPr>
    </w:p>
    <w:p w14:paraId="42344E2F" w14:textId="7C6A5768" w:rsidR="00887665" w:rsidRPr="00545EC0" w:rsidRDefault="00887665" w:rsidP="00627979">
      <w:pPr>
        <w:pStyle w:val="Napis"/>
        <w:keepNext/>
        <w:shd w:val="clear" w:color="auto" w:fill="FFFFFF" w:themeFill="background1"/>
      </w:pPr>
      <w:bookmarkStart w:id="223" w:name="_Ref84321113"/>
      <w:bookmarkStart w:id="224" w:name="_Ref84257003"/>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34</w:t>
        </w:r>
      </w:fldSimple>
      <w:bookmarkEnd w:id="223"/>
      <w:r w:rsidR="00627979" w:rsidRPr="00545EC0">
        <w:t>: MPVT-ji in UVT-ji z opredeljenimi pomembnimi hidromorfološkimi obremenitvami</w:t>
      </w:r>
      <w:bookmarkEnd w:id="224"/>
    </w:p>
    <w:tbl>
      <w:tblPr>
        <w:tblW w:w="5000" w:type="pct"/>
        <w:tblCellMar>
          <w:left w:w="70" w:type="dxa"/>
          <w:right w:w="70" w:type="dxa"/>
        </w:tblCellMar>
        <w:tblLook w:val="04A0" w:firstRow="1" w:lastRow="0" w:firstColumn="1" w:lastColumn="0" w:noHBand="0" w:noVBand="1"/>
      </w:tblPr>
      <w:tblGrid>
        <w:gridCol w:w="1349"/>
        <w:gridCol w:w="3264"/>
        <w:gridCol w:w="383"/>
        <w:gridCol w:w="383"/>
        <w:gridCol w:w="383"/>
        <w:gridCol w:w="383"/>
        <w:gridCol w:w="383"/>
        <w:gridCol w:w="383"/>
        <w:gridCol w:w="383"/>
        <w:gridCol w:w="383"/>
        <w:gridCol w:w="383"/>
        <w:gridCol w:w="383"/>
        <w:gridCol w:w="383"/>
        <w:gridCol w:w="385"/>
      </w:tblGrid>
      <w:tr w:rsidR="003122F4" w:rsidRPr="00545EC0" w14:paraId="4EE8FCD9" w14:textId="77777777" w:rsidTr="003122F4">
        <w:trPr>
          <w:cantSplit/>
          <w:trHeight w:val="277"/>
          <w:tblHeader/>
        </w:trPr>
        <w:tc>
          <w:tcPr>
            <w:tcW w:w="732" w:type="pct"/>
            <w:vMerge w:val="restart"/>
            <w:tcBorders>
              <w:top w:val="single" w:sz="4" w:space="0" w:color="auto"/>
              <w:left w:val="single" w:sz="4" w:space="0" w:color="auto"/>
              <w:right w:val="single" w:sz="4" w:space="0" w:color="auto"/>
            </w:tcBorders>
            <w:shd w:val="clear" w:color="auto" w:fill="F2F2F2" w:themeFill="background1" w:themeFillShade="F2"/>
            <w:noWrap/>
            <w:vAlign w:val="bottom"/>
          </w:tcPr>
          <w:p w14:paraId="38195AB6" w14:textId="77777777" w:rsidR="00BA1338" w:rsidRPr="00545EC0" w:rsidRDefault="00BA1338" w:rsidP="00627979">
            <w:pPr>
              <w:shd w:val="clear" w:color="auto" w:fill="FFFFFF" w:themeFill="background1"/>
              <w:spacing w:line="240" w:lineRule="auto"/>
              <w:rPr>
                <w:rFonts w:cs="Arial"/>
                <w:b/>
                <w:sz w:val="18"/>
                <w:szCs w:val="18"/>
              </w:rPr>
            </w:pPr>
            <w:r w:rsidRPr="00545EC0">
              <w:rPr>
                <w:rFonts w:cs="Arial"/>
                <w:b/>
                <w:sz w:val="18"/>
                <w:szCs w:val="18"/>
              </w:rPr>
              <w:t>Šifra VTPV</w:t>
            </w:r>
          </w:p>
        </w:tc>
        <w:tc>
          <w:tcPr>
            <w:tcW w:w="1771" w:type="pct"/>
            <w:vMerge w:val="restart"/>
            <w:tcBorders>
              <w:top w:val="single" w:sz="4" w:space="0" w:color="auto"/>
              <w:left w:val="nil"/>
              <w:right w:val="single" w:sz="4" w:space="0" w:color="auto"/>
            </w:tcBorders>
            <w:shd w:val="clear" w:color="auto" w:fill="F2F2F2" w:themeFill="background1" w:themeFillShade="F2"/>
            <w:noWrap/>
            <w:vAlign w:val="bottom"/>
          </w:tcPr>
          <w:p w14:paraId="3FB9B82E" w14:textId="77777777" w:rsidR="00BA1338" w:rsidRPr="00545EC0" w:rsidRDefault="00BA1338" w:rsidP="00627979">
            <w:pPr>
              <w:shd w:val="clear" w:color="auto" w:fill="FFFFFF" w:themeFill="background1"/>
              <w:spacing w:line="240" w:lineRule="auto"/>
              <w:rPr>
                <w:rFonts w:cs="Arial"/>
                <w:b/>
                <w:sz w:val="18"/>
                <w:szCs w:val="18"/>
              </w:rPr>
            </w:pPr>
            <w:r w:rsidRPr="00545EC0">
              <w:rPr>
                <w:rFonts w:cs="Arial"/>
                <w:b/>
                <w:sz w:val="18"/>
                <w:szCs w:val="18"/>
              </w:rPr>
              <w:t>Ime VTPV</w:t>
            </w:r>
          </w:p>
        </w:tc>
        <w:tc>
          <w:tcPr>
            <w:tcW w:w="2497" w:type="pct"/>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2DBA22A" w14:textId="77777777" w:rsidR="00BA1338" w:rsidRPr="00545EC0" w:rsidRDefault="00BA1338" w:rsidP="00627979">
            <w:pPr>
              <w:shd w:val="clear" w:color="auto" w:fill="FFFFFF" w:themeFill="background1"/>
              <w:spacing w:line="240" w:lineRule="auto"/>
              <w:jc w:val="center"/>
              <w:rPr>
                <w:rFonts w:cs="Arial"/>
                <w:b/>
                <w:bCs/>
                <w:sz w:val="16"/>
              </w:rPr>
            </w:pPr>
            <w:r w:rsidRPr="00545EC0">
              <w:rPr>
                <w:rFonts w:cs="Arial"/>
                <w:b/>
                <w:bCs/>
                <w:sz w:val="16"/>
              </w:rPr>
              <w:t>Pomembne hidromorfološke obremenitve</w:t>
            </w:r>
          </w:p>
        </w:tc>
      </w:tr>
      <w:tr w:rsidR="003122F4" w:rsidRPr="00545EC0" w14:paraId="4DCE7DB1" w14:textId="77777777" w:rsidTr="00AC702B">
        <w:trPr>
          <w:cantSplit/>
          <w:trHeight w:val="2545"/>
          <w:tblHeader/>
        </w:trPr>
        <w:tc>
          <w:tcPr>
            <w:tcW w:w="732" w:type="pct"/>
            <w:vMerge/>
            <w:tcBorders>
              <w:left w:val="single" w:sz="4" w:space="0" w:color="auto"/>
              <w:bottom w:val="single" w:sz="4" w:space="0" w:color="auto"/>
              <w:right w:val="single" w:sz="4" w:space="0" w:color="auto"/>
            </w:tcBorders>
            <w:shd w:val="clear" w:color="auto" w:fill="FFFFFF" w:themeFill="background1"/>
            <w:noWrap/>
            <w:vAlign w:val="bottom"/>
          </w:tcPr>
          <w:p w14:paraId="5B38F7A2" w14:textId="77777777" w:rsidR="00BA1338" w:rsidRPr="00545EC0" w:rsidRDefault="00BA1338" w:rsidP="00627979">
            <w:pPr>
              <w:shd w:val="clear" w:color="auto" w:fill="FFFFFF" w:themeFill="background1"/>
              <w:spacing w:line="240" w:lineRule="auto"/>
              <w:rPr>
                <w:rFonts w:cs="Arial"/>
                <w:sz w:val="18"/>
                <w:szCs w:val="18"/>
              </w:rPr>
            </w:pPr>
          </w:p>
        </w:tc>
        <w:tc>
          <w:tcPr>
            <w:tcW w:w="1771" w:type="pct"/>
            <w:vMerge/>
            <w:tcBorders>
              <w:left w:val="nil"/>
              <w:bottom w:val="single" w:sz="4" w:space="0" w:color="auto"/>
              <w:right w:val="single" w:sz="4" w:space="0" w:color="auto"/>
            </w:tcBorders>
            <w:shd w:val="clear" w:color="auto" w:fill="FFFFFF" w:themeFill="background1"/>
            <w:noWrap/>
            <w:vAlign w:val="bottom"/>
          </w:tcPr>
          <w:p w14:paraId="3380E3C9" w14:textId="77777777" w:rsidR="00BA1338" w:rsidRPr="00545EC0" w:rsidRDefault="00BA1338" w:rsidP="00627979">
            <w:pPr>
              <w:shd w:val="clear" w:color="auto" w:fill="FFFFFF" w:themeFill="background1"/>
              <w:spacing w:line="240" w:lineRule="auto"/>
              <w:rPr>
                <w:rFonts w:cs="Arial"/>
                <w:sz w:val="18"/>
                <w:szCs w:val="18"/>
              </w:rPr>
            </w:pP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vAlign w:val="center"/>
          </w:tcPr>
          <w:p w14:paraId="72AF5901" w14:textId="77777777" w:rsidR="00BA1338" w:rsidRPr="00545EC0" w:rsidRDefault="00BA1338" w:rsidP="00627979">
            <w:pPr>
              <w:shd w:val="clear" w:color="auto" w:fill="FFFFFF" w:themeFill="background1"/>
              <w:spacing w:line="240" w:lineRule="auto"/>
              <w:rPr>
                <w:rFonts w:cs="Arial"/>
                <w:sz w:val="16"/>
              </w:rPr>
            </w:pPr>
            <w:r w:rsidRPr="00545EC0">
              <w:rPr>
                <w:rFonts w:cs="Arial"/>
                <w:b/>
                <w:bCs/>
                <w:sz w:val="16"/>
              </w:rPr>
              <w:t>Odvzem vode</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vAlign w:val="center"/>
          </w:tcPr>
          <w:p w14:paraId="4BF6640A" w14:textId="77777777" w:rsidR="00BA1338" w:rsidRPr="00545EC0" w:rsidRDefault="00BA1338" w:rsidP="00627979">
            <w:pPr>
              <w:shd w:val="clear" w:color="auto" w:fill="FFFFFF" w:themeFill="background1"/>
              <w:spacing w:line="240" w:lineRule="auto"/>
              <w:rPr>
                <w:rFonts w:cs="Arial"/>
                <w:sz w:val="16"/>
              </w:rPr>
            </w:pPr>
            <w:r w:rsidRPr="00545EC0">
              <w:rPr>
                <w:rFonts w:cs="Arial"/>
                <w:b/>
                <w:bCs/>
                <w:sz w:val="16"/>
              </w:rPr>
              <w:t>Nihanje v. gladine in pul. pretok</w:t>
            </w:r>
          </w:p>
        </w:tc>
        <w:tc>
          <w:tcPr>
            <w:tcW w:w="208" w:type="pct"/>
            <w:tcBorders>
              <w:top w:val="single" w:sz="4" w:space="0" w:color="auto"/>
              <w:left w:val="single" w:sz="4" w:space="0" w:color="auto"/>
              <w:bottom w:val="single" w:sz="4" w:space="0" w:color="auto"/>
              <w:right w:val="nil"/>
            </w:tcBorders>
            <w:shd w:val="clear" w:color="auto" w:fill="FFFFFF" w:themeFill="background1"/>
            <w:noWrap/>
            <w:textDirection w:val="btLr"/>
            <w:vAlign w:val="center"/>
          </w:tcPr>
          <w:p w14:paraId="4668A408" w14:textId="77777777" w:rsidR="00BA1338" w:rsidRPr="00545EC0" w:rsidRDefault="00BA1338" w:rsidP="00627979">
            <w:pPr>
              <w:shd w:val="clear" w:color="auto" w:fill="FFFFFF" w:themeFill="background1"/>
              <w:spacing w:line="240" w:lineRule="auto"/>
              <w:rPr>
                <w:rFonts w:cs="Arial"/>
                <w:sz w:val="16"/>
              </w:rPr>
            </w:pPr>
            <w:r w:rsidRPr="00545EC0">
              <w:rPr>
                <w:rFonts w:cs="Arial"/>
                <w:b/>
                <w:bCs/>
                <w:sz w:val="16"/>
              </w:rPr>
              <w:t>Zajezitev</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vAlign w:val="center"/>
          </w:tcPr>
          <w:p w14:paraId="37699CED" w14:textId="77777777" w:rsidR="00BA1338" w:rsidRPr="00545EC0" w:rsidRDefault="00BA1338" w:rsidP="00627979">
            <w:pPr>
              <w:shd w:val="clear" w:color="auto" w:fill="FFFFFF" w:themeFill="background1"/>
              <w:spacing w:line="240" w:lineRule="auto"/>
              <w:rPr>
                <w:rFonts w:cs="Arial"/>
                <w:sz w:val="16"/>
              </w:rPr>
            </w:pPr>
            <w:r w:rsidRPr="00545EC0">
              <w:rPr>
                <w:rFonts w:cs="Arial"/>
                <w:b/>
                <w:bCs/>
                <w:sz w:val="16"/>
              </w:rPr>
              <w:t>Osuševanje zemljišč</w:t>
            </w:r>
          </w:p>
        </w:tc>
        <w:tc>
          <w:tcPr>
            <w:tcW w:w="208" w:type="pct"/>
            <w:tcBorders>
              <w:top w:val="single" w:sz="4" w:space="0" w:color="auto"/>
              <w:left w:val="nil"/>
              <w:bottom w:val="single" w:sz="4" w:space="0" w:color="auto"/>
              <w:right w:val="single" w:sz="4" w:space="0" w:color="auto"/>
            </w:tcBorders>
            <w:shd w:val="clear" w:color="auto" w:fill="FFFFFF" w:themeFill="background1"/>
            <w:noWrap/>
            <w:textDirection w:val="btLr"/>
            <w:vAlign w:val="center"/>
          </w:tcPr>
          <w:p w14:paraId="69B5F7A7" w14:textId="77777777" w:rsidR="00BA1338" w:rsidRPr="00545EC0" w:rsidRDefault="00BA1338" w:rsidP="00627979">
            <w:pPr>
              <w:shd w:val="clear" w:color="auto" w:fill="FFFFFF" w:themeFill="background1"/>
              <w:spacing w:line="240" w:lineRule="auto"/>
              <w:rPr>
                <w:rFonts w:cs="Arial"/>
                <w:sz w:val="16"/>
              </w:rPr>
            </w:pPr>
            <w:r w:rsidRPr="00545EC0">
              <w:rPr>
                <w:rFonts w:cs="Arial"/>
                <w:b/>
                <w:bCs/>
                <w:sz w:val="16"/>
              </w:rPr>
              <w:t xml:space="preserve">Prečni objekt </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vAlign w:val="center"/>
          </w:tcPr>
          <w:p w14:paraId="04EAAD6B" w14:textId="77777777" w:rsidR="00BA1338" w:rsidRPr="00545EC0" w:rsidRDefault="00BA1338" w:rsidP="00627979">
            <w:pPr>
              <w:shd w:val="clear" w:color="auto" w:fill="FFFFFF" w:themeFill="background1"/>
              <w:spacing w:line="240" w:lineRule="auto"/>
              <w:ind w:left="113" w:right="113"/>
              <w:rPr>
                <w:rFonts w:cs="Arial"/>
                <w:sz w:val="16"/>
              </w:rPr>
            </w:pPr>
            <w:r w:rsidRPr="00545EC0">
              <w:rPr>
                <w:rFonts w:cs="Arial"/>
                <w:b/>
                <w:bCs/>
                <w:sz w:val="16"/>
              </w:rPr>
              <w:t>Vpliv prečnih objektov</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vAlign w:val="center"/>
          </w:tcPr>
          <w:p w14:paraId="3A0B9CFD" w14:textId="77777777" w:rsidR="00BA1338" w:rsidRPr="00545EC0" w:rsidRDefault="00BA1338" w:rsidP="00627979">
            <w:pPr>
              <w:shd w:val="clear" w:color="auto" w:fill="FFFFFF" w:themeFill="background1"/>
              <w:spacing w:line="240" w:lineRule="auto"/>
              <w:rPr>
                <w:rFonts w:cs="Arial"/>
                <w:sz w:val="16"/>
              </w:rPr>
            </w:pPr>
            <w:r w:rsidRPr="00545EC0">
              <w:rPr>
                <w:rFonts w:cs="Arial"/>
                <w:b/>
                <w:bCs/>
                <w:sz w:val="16"/>
              </w:rPr>
              <w:t>Odvzem naplavin</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vAlign w:val="center"/>
          </w:tcPr>
          <w:p w14:paraId="6A927BCF" w14:textId="77777777" w:rsidR="00BA1338" w:rsidRPr="00545EC0" w:rsidRDefault="00BA1338" w:rsidP="00627979">
            <w:pPr>
              <w:shd w:val="clear" w:color="auto" w:fill="FFFFFF" w:themeFill="background1"/>
              <w:spacing w:line="240" w:lineRule="auto"/>
              <w:rPr>
                <w:rFonts w:cs="Arial"/>
                <w:sz w:val="16"/>
              </w:rPr>
            </w:pPr>
            <w:r w:rsidRPr="00545EC0">
              <w:rPr>
                <w:rFonts w:cs="Arial"/>
                <w:b/>
                <w:bCs/>
                <w:sz w:val="16"/>
              </w:rPr>
              <w:t>HM spremenjenost vodotoka</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vAlign w:val="center"/>
          </w:tcPr>
          <w:p w14:paraId="10A4B59B" w14:textId="77777777" w:rsidR="00BA1338" w:rsidRPr="00545EC0" w:rsidRDefault="00BA1338" w:rsidP="00627979">
            <w:pPr>
              <w:shd w:val="clear" w:color="auto" w:fill="FFFFFF" w:themeFill="background1"/>
              <w:spacing w:line="240" w:lineRule="auto"/>
              <w:rPr>
                <w:rFonts w:cs="Arial"/>
                <w:sz w:val="16"/>
              </w:rPr>
            </w:pPr>
            <w:r w:rsidRPr="00545EC0">
              <w:rPr>
                <w:rFonts w:cs="Arial"/>
                <w:b/>
                <w:bCs/>
                <w:sz w:val="16"/>
              </w:rPr>
              <w:t>HM spremenjenost jezera</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vAlign w:val="center"/>
          </w:tcPr>
          <w:p w14:paraId="19D7A306" w14:textId="77777777" w:rsidR="00BA1338" w:rsidRPr="00545EC0" w:rsidRDefault="00BA1338" w:rsidP="00627979">
            <w:pPr>
              <w:shd w:val="clear" w:color="auto" w:fill="FFFFFF" w:themeFill="background1"/>
              <w:spacing w:line="240" w:lineRule="auto"/>
              <w:rPr>
                <w:rFonts w:cs="Arial"/>
                <w:sz w:val="16"/>
              </w:rPr>
            </w:pPr>
            <w:r w:rsidRPr="00545EC0">
              <w:rPr>
                <w:rFonts w:cs="Arial"/>
                <w:b/>
                <w:bCs/>
                <w:sz w:val="16"/>
              </w:rPr>
              <w:t xml:space="preserve">Spremenjenost morja </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vAlign w:val="center"/>
          </w:tcPr>
          <w:p w14:paraId="0095DB00" w14:textId="77777777" w:rsidR="00BA1338" w:rsidRPr="00545EC0" w:rsidRDefault="00BA1338" w:rsidP="00627979">
            <w:pPr>
              <w:shd w:val="clear" w:color="auto" w:fill="FFFFFF" w:themeFill="background1"/>
              <w:spacing w:line="240" w:lineRule="auto"/>
              <w:rPr>
                <w:rFonts w:cs="Arial"/>
                <w:sz w:val="16"/>
              </w:rPr>
            </w:pPr>
            <w:r w:rsidRPr="00545EC0">
              <w:rPr>
                <w:rFonts w:cs="Arial"/>
                <w:b/>
                <w:bCs/>
                <w:sz w:val="16"/>
              </w:rPr>
              <w:t xml:space="preserve">Spremenjenost obrežnega pasu </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vAlign w:val="center"/>
          </w:tcPr>
          <w:p w14:paraId="0FFF3CDC" w14:textId="77777777" w:rsidR="00BA1338" w:rsidRPr="00545EC0" w:rsidRDefault="00BA1338" w:rsidP="00627979">
            <w:pPr>
              <w:shd w:val="clear" w:color="auto" w:fill="FFFFFF" w:themeFill="background1"/>
              <w:spacing w:line="240" w:lineRule="auto"/>
              <w:rPr>
                <w:rFonts w:cs="Arial"/>
                <w:sz w:val="16"/>
              </w:rPr>
            </w:pPr>
            <w:r w:rsidRPr="00545EC0">
              <w:rPr>
                <w:rFonts w:cs="Arial"/>
                <w:b/>
                <w:bCs/>
                <w:sz w:val="16"/>
              </w:rPr>
              <w:t>Plovba</w:t>
            </w:r>
          </w:p>
        </w:tc>
      </w:tr>
      <w:tr w:rsidR="003122F4" w:rsidRPr="00545EC0" w14:paraId="52CD670F" w14:textId="77777777" w:rsidTr="003122F4">
        <w:trPr>
          <w:trHeight w:val="227"/>
        </w:trPr>
        <w:tc>
          <w:tcPr>
            <w:tcW w:w="7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B8D65E" w14:textId="77777777" w:rsidR="00AC702B" w:rsidRPr="00545EC0" w:rsidRDefault="00AC702B" w:rsidP="00627979">
            <w:pPr>
              <w:shd w:val="clear" w:color="auto" w:fill="FFFFFF" w:themeFill="background1"/>
              <w:spacing w:line="240" w:lineRule="auto"/>
              <w:rPr>
                <w:rFonts w:cs="Arial"/>
                <w:sz w:val="18"/>
                <w:szCs w:val="18"/>
              </w:rPr>
            </w:pPr>
            <w:r w:rsidRPr="00545EC0">
              <w:rPr>
                <w:rFonts w:cs="Arial"/>
                <w:sz w:val="18"/>
                <w:szCs w:val="18"/>
              </w:rPr>
              <w:t>SI111VT7</w:t>
            </w:r>
          </w:p>
        </w:tc>
        <w:tc>
          <w:tcPr>
            <w:tcW w:w="17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0494F7" w14:textId="77777777" w:rsidR="00AC702B" w:rsidRPr="00545EC0" w:rsidRDefault="00AC702B" w:rsidP="00627979">
            <w:pPr>
              <w:shd w:val="clear" w:color="auto" w:fill="FFFFFF" w:themeFill="background1"/>
              <w:spacing w:line="240" w:lineRule="auto"/>
              <w:rPr>
                <w:rFonts w:cs="Arial"/>
                <w:sz w:val="18"/>
                <w:szCs w:val="18"/>
              </w:rPr>
            </w:pPr>
            <w:r w:rsidRPr="00545EC0">
              <w:rPr>
                <w:rFonts w:cs="Arial"/>
                <w:sz w:val="18"/>
                <w:szCs w:val="18"/>
              </w:rPr>
              <w:t>MPVT zadrževalnik HE Moste</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D37FC8"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D9CA0A"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28A5D2"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6E2802"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01897B"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03E25D"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0FE9D7"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8AD810"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8FBA80"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NR</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F28E6E"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NR</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4EC1D8" w14:textId="715A3A44"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1</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6F3191"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r>
      <w:tr w:rsidR="003122F4" w:rsidRPr="00545EC0" w14:paraId="59E8C629" w14:textId="77777777" w:rsidTr="003122F4">
        <w:trPr>
          <w:trHeight w:val="227"/>
        </w:trPr>
        <w:tc>
          <w:tcPr>
            <w:tcW w:w="7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F78D0E" w14:textId="77777777" w:rsidR="00AC702B" w:rsidRPr="00545EC0" w:rsidRDefault="00AC702B" w:rsidP="00627979">
            <w:pPr>
              <w:shd w:val="clear" w:color="auto" w:fill="FFFFFF" w:themeFill="background1"/>
              <w:spacing w:line="240" w:lineRule="auto"/>
              <w:rPr>
                <w:rFonts w:cs="Arial"/>
                <w:sz w:val="18"/>
                <w:szCs w:val="18"/>
              </w:rPr>
            </w:pPr>
            <w:r w:rsidRPr="00545EC0">
              <w:rPr>
                <w:rFonts w:cs="Arial"/>
                <w:sz w:val="18"/>
                <w:szCs w:val="18"/>
              </w:rPr>
              <w:t>SI1VT170</w:t>
            </w:r>
          </w:p>
        </w:tc>
        <w:tc>
          <w:tcPr>
            <w:tcW w:w="17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EB2D6D" w14:textId="77777777" w:rsidR="00AC702B" w:rsidRPr="00545EC0" w:rsidRDefault="00AC702B" w:rsidP="00627979">
            <w:pPr>
              <w:shd w:val="clear" w:color="auto" w:fill="FFFFFF" w:themeFill="background1"/>
              <w:spacing w:line="240" w:lineRule="auto"/>
              <w:rPr>
                <w:rFonts w:cs="Arial"/>
                <w:sz w:val="18"/>
                <w:szCs w:val="18"/>
              </w:rPr>
            </w:pPr>
            <w:r w:rsidRPr="00545EC0">
              <w:rPr>
                <w:rFonts w:cs="Arial"/>
                <w:sz w:val="18"/>
                <w:szCs w:val="18"/>
              </w:rPr>
              <w:t>MPVT Sava Mavčiče - Medvode</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3A722E"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3B48C6"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63835D"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B33971"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AF4F70"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8735AF"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2344AE"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0E9357"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373910"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NR</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94E718"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NR</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7233C1" w14:textId="098803F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3810C9"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r>
      <w:tr w:rsidR="003122F4" w:rsidRPr="00545EC0" w14:paraId="75E7AFD9" w14:textId="77777777" w:rsidTr="003122F4">
        <w:trPr>
          <w:trHeight w:val="227"/>
        </w:trPr>
        <w:tc>
          <w:tcPr>
            <w:tcW w:w="7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0701B6" w14:textId="77777777" w:rsidR="00AC702B" w:rsidRPr="00545EC0" w:rsidRDefault="00AC702B" w:rsidP="00627979">
            <w:pPr>
              <w:shd w:val="clear" w:color="auto" w:fill="FFFFFF" w:themeFill="background1"/>
              <w:spacing w:line="240" w:lineRule="auto"/>
              <w:rPr>
                <w:rFonts w:cs="Arial"/>
                <w:sz w:val="18"/>
                <w:szCs w:val="18"/>
              </w:rPr>
            </w:pPr>
            <w:r w:rsidRPr="00545EC0">
              <w:rPr>
                <w:rFonts w:cs="Arial"/>
                <w:sz w:val="18"/>
                <w:szCs w:val="18"/>
              </w:rPr>
              <w:t>SI14VT93</w:t>
            </w:r>
          </w:p>
        </w:tc>
        <w:tc>
          <w:tcPr>
            <w:tcW w:w="17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D995C1" w14:textId="77777777" w:rsidR="00AC702B" w:rsidRPr="00545EC0" w:rsidRDefault="00AC702B" w:rsidP="00627979">
            <w:pPr>
              <w:shd w:val="clear" w:color="auto" w:fill="FFFFFF" w:themeFill="background1"/>
              <w:spacing w:line="240" w:lineRule="auto"/>
              <w:rPr>
                <w:rFonts w:cs="Arial"/>
                <w:sz w:val="18"/>
                <w:szCs w:val="18"/>
              </w:rPr>
            </w:pPr>
            <w:r w:rsidRPr="00545EC0">
              <w:rPr>
                <w:rFonts w:cs="Arial"/>
                <w:sz w:val="18"/>
                <w:szCs w:val="18"/>
              </w:rPr>
              <w:t>MPVT Mestna Ljubljanica</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5309DE"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AE741F"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A9A75F"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86C6BF"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83620E"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5596AA"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81E0F5"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9FF1BF"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09DE97"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NR</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AD1528"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NR</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117241" w14:textId="01694C42"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1</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58EF78"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r>
      <w:tr w:rsidR="003122F4" w:rsidRPr="00545EC0" w14:paraId="5F110EC2" w14:textId="77777777" w:rsidTr="003122F4">
        <w:trPr>
          <w:trHeight w:val="227"/>
        </w:trPr>
        <w:tc>
          <w:tcPr>
            <w:tcW w:w="7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520F31" w14:textId="77777777" w:rsidR="00AC702B" w:rsidRPr="00545EC0" w:rsidRDefault="00AC702B" w:rsidP="00627979">
            <w:pPr>
              <w:shd w:val="clear" w:color="auto" w:fill="FFFFFF" w:themeFill="background1"/>
              <w:spacing w:line="240" w:lineRule="auto"/>
              <w:rPr>
                <w:rFonts w:cs="Arial"/>
                <w:sz w:val="18"/>
                <w:szCs w:val="18"/>
              </w:rPr>
            </w:pPr>
            <w:r w:rsidRPr="00545EC0">
              <w:rPr>
                <w:rFonts w:cs="Arial"/>
                <w:sz w:val="18"/>
                <w:szCs w:val="18"/>
              </w:rPr>
              <w:t>SI1VT713</w:t>
            </w:r>
          </w:p>
        </w:tc>
        <w:tc>
          <w:tcPr>
            <w:tcW w:w="17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1DB246" w14:textId="77777777" w:rsidR="00AC702B" w:rsidRPr="00545EC0" w:rsidRDefault="00AC702B" w:rsidP="00627979">
            <w:pPr>
              <w:shd w:val="clear" w:color="auto" w:fill="FFFFFF" w:themeFill="background1"/>
              <w:spacing w:line="240" w:lineRule="auto"/>
              <w:rPr>
                <w:rFonts w:cs="Arial"/>
                <w:sz w:val="18"/>
                <w:szCs w:val="18"/>
              </w:rPr>
            </w:pPr>
            <w:r w:rsidRPr="00545EC0">
              <w:rPr>
                <w:rFonts w:cs="Arial"/>
                <w:sz w:val="18"/>
                <w:szCs w:val="18"/>
              </w:rPr>
              <w:t>MPVT Sava Vrhovo - Boštanj</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4D21B6"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132DBE"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CE97C8"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A1B19D"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27CBB2"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BE48A6"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F5F21B"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55BB90"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0987A3"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NR</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A54984"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NR</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020381" w14:textId="566C5E82"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1</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4D2855"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r>
      <w:tr w:rsidR="003122F4" w:rsidRPr="00545EC0" w14:paraId="658C9E01" w14:textId="77777777" w:rsidTr="003122F4">
        <w:trPr>
          <w:trHeight w:val="227"/>
        </w:trPr>
        <w:tc>
          <w:tcPr>
            <w:tcW w:w="7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700610" w14:textId="77777777" w:rsidR="00AC702B" w:rsidRPr="00545EC0" w:rsidRDefault="00AC702B" w:rsidP="00627979">
            <w:pPr>
              <w:shd w:val="clear" w:color="auto" w:fill="FFFFFF" w:themeFill="background1"/>
              <w:spacing w:line="240" w:lineRule="auto"/>
              <w:rPr>
                <w:rFonts w:cs="Arial"/>
                <w:sz w:val="18"/>
                <w:szCs w:val="18"/>
              </w:rPr>
            </w:pPr>
            <w:r w:rsidRPr="00545EC0">
              <w:rPr>
                <w:rFonts w:cs="Arial"/>
                <w:sz w:val="18"/>
                <w:szCs w:val="18"/>
              </w:rPr>
              <w:t>SI3VT197</w:t>
            </w:r>
          </w:p>
        </w:tc>
        <w:tc>
          <w:tcPr>
            <w:tcW w:w="17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A568A1" w14:textId="77777777" w:rsidR="00AC702B" w:rsidRPr="00545EC0" w:rsidRDefault="00AC702B" w:rsidP="00627979">
            <w:pPr>
              <w:shd w:val="clear" w:color="auto" w:fill="FFFFFF" w:themeFill="background1"/>
              <w:spacing w:line="240" w:lineRule="auto"/>
              <w:rPr>
                <w:rFonts w:cs="Arial"/>
                <w:sz w:val="18"/>
                <w:szCs w:val="18"/>
              </w:rPr>
            </w:pPr>
            <w:r w:rsidRPr="00545EC0">
              <w:rPr>
                <w:rFonts w:cs="Arial"/>
                <w:sz w:val="18"/>
                <w:szCs w:val="18"/>
              </w:rPr>
              <w:t>MPVT Drava mejni odsek z Avstrijo</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ABDA01"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D73953"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BEDA47"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C8A752"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C799E1"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672334"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BE7342"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587DFF"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E6835D"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NR</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4A7DEC"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NR</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CD993B" w14:textId="4089311E"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7C45C0"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r>
      <w:tr w:rsidR="003122F4" w:rsidRPr="00545EC0" w14:paraId="708E9E63" w14:textId="77777777" w:rsidTr="003122F4">
        <w:trPr>
          <w:trHeight w:val="227"/>
        </w:trPr>
        <w:tc>
          <w:tcPr>
            <w:tcW w:w="7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968299" w14:textId="77777777" w:rsidR="00AC702B" w:rsidRPr="00545EC0" w:rsidRDefault="00AC702B" w:rsidP="00627979">
            <w:pPr>
              <w:shd w:val="clear" w:color="auto" w:fill="FFFFFF" w:themeFill="background1"/>
              <w:spacing w:line="240" w:lineRule="auto"/>
              <w:rPr>
                <w:rFonts w:cs="Arial"/>
                <w:sz w:val="18"/>
                <w:szCs w:val="18"/>
              </w:rPr>
            </w:pPr>
            <w:r w:rsidRPr="00545EC0">
              <w:rPr>
                <w:rFonts w:cs="Arial"/>
                <w:sz w:val="18"/>
                <w:szCs w:val="18"/>
              </w:rPr>
              <w:t>SI3VT359</w:t>
            </w:r>
          </w:p>
        </w:tc>
        <w:tc>
          <w:tcPr>
            <w:tcW w:w="17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1D198C" w14:textId="77777777" w:rsidR="00AC702B" w:rsidRPr="00545EC0" w:rsidRDefault="00AC702B" w:rsidP="00627979">
            <w:pPr>
              <w:shd w:val="clear" w:color="auto" w:fill="FFFFFF" w:themeFill="background1"/>
              <w:spacing w:line="240" w:lineRule="auto"/>
              <w:rPr>
                <w:rFonts w:cs="Arial"/>
                <w:sz w:val="18"/>
                <w:szCs w:val="18"/>
              </w:rPr>
            </w:pPr>
            <w:r w:rsidRPr="00545EC0">
              <w:rPr>
                <w:rFonts w:cs="Arial"/>
                <w:sz w:val="18"/>
                <w:szCs w:val="18"/>
              </w:rPr>
              <w:t>MPVT Drava Dravograd - Maribor</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69F444"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CC9777"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DB83FF"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63D0B0"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49BDF0"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087D67"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BF8A66"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2D2473"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DC2EDC"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NR</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FE9B04"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NR</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8DD447" w14:textId="2D7A2469"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1569F5"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r>
      <w:tr w:rsidR="003122F4" w:rsidRPr="00545EC0" w14:paraId="5C878F78" w14:textId="77777777" w:rsidTr="003122F4">
        <w:trPr>
          <w:trHeight w:val="227"/>
        </w:trPr>
        <w:tc>
          <w:tcPr>
            <w:tcW w:w="7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5F399F" w14:textId="77777777" w:rsidR="00AC702B" w:rsidRPr="00545EC0" w:rsidRDefault="00AC702B" w:rsidP="00627979">
            <w:pPr>
              <w:shd w:val="clear" w:color="auto" w:fill="FFFFFF" w:themeFill="background1"/>
              <w:spacing w:line="240" w:lineRule="auto"/>
              <w:rPr>
                <w:rFonts w:cs="Arial"/>
                <w:sz w:val="18"/>
                <w:szCs w:val="18"/>
              </w:rPr>
            </w:pPr>
            <w:r w:rsidRPr="00545EC0">
              <w:rPr>
                <w:rFonts w:cs="Arial"/>
                <w:sz w:val="18"/>
                <w:szCs w:val="18"/>
              </w:rPr>
              <w:t>SI3VT5172</w:t>
            </w:r>
          </w:p>
        </w:tc>
        <w:tc>
          <w:tcPr>
            <w:tcW w:w="17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3253C4" w14:textId="77777777" w:rsidR="00AC702B" w:rsidRPr="00545EC0" w:rsidRDefault="00AC702B" w:rsidP="00627979">
            <w:pPr>
              <w:shd w:val="clear" w:color="auto" w:fill="FFFFFF" w:themeFill="background1"/>
              <w:spacing w:line="240" w:lineRule="auto"/>
              <w:rPr>
                <w:rFonts w:cs="Arial"/>
                <w:sz w:val="18"/>
                <w:szCs w:val="18"/>
              </w:rPr>
            </w:pPr>
            <w:r w:rsidRPr="00545EC0">
              <w:rPr>
                <w:rFonts w:cs="Arial"/>
                <w:sz w:val="18"/>
                <w:szCs w:val="18"/>
              </w:rPr>
              <w:t>MPVT zadrževalnik Ptujsko jezero</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C45938"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9FC370"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197089"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FF113C"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44FFFE"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1D7AE8"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00E2A3"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033E36"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7683E6"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AEBFB5"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NR</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FD6297" w14:textId="5917BFD4"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1</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BBFA8C"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r>
      <w:tr w:rsidR="003122F4" w:rsidRPr="00545EC0" w14:paraId="5D8A3C19" w14:textId="77777777" w:rsidTr="003122F4">
        <w:trPr>
          <w:trHeight w:val="227"/>
        </w:trPr>
        <w:tc>
          <w:tcPr>
            <w:tcW w:w="7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97DACA" w14:textId="77777777" w:rsidR="00AC702B" w:rsidRPr="00545EC0" w:rsidRDefault="00AC702B" w:rsidP="00627979">
            <w:pPr>
              <w:shd w:val="clear" w:color="auto" w:fill="FFFFFF" w:themeFill="background1"/>
              <w:spacing w:line="240" w:lineRule="auto"/>
              <w:rPr>
                <w:rFonts w:cs="Arial"/>
                <w:sz w:val="18"/>
                <w:szCs w:val="18"/>
              </w:rPr>
            </w:pPr>
            <w:r w:rsidRPr="00545EC0">
              <w:rPr>
                <w:rFonts w:cs="Arial"/>
                <w:sz w:val="18"/>
                <w:szCs w:val="18"/>
              </w:rPr>
              <w:t>SI3VT950</w:t>
            </w:r>
          </w:p>
        </w:tc>
        <w:tc>
          <w:tcPr>
            <w:tcW w:w="17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B15C4F" w14:textId="77777777" w:rsidR="00AC702B" w:rsidRPr="00545EC0" w:rsidRDefault="00AC702B" w:rsidP="00627979">
            <w:pPr>
              <w:shd w:val="clear" w:color="auto" w:fill="FFFFFF" w:themeFill="background1"/>
              <w:spacing w:line="240" w:lineRule="auto"/>
              <w:rPr>
                <w:rFonts w:cs="Arial"/>
                <w:sz w:val="18"/>
                <w:szCs w:val="18"/>
              </w:rPr>
            </w:pPr>
            <w:r w:rsidRPr="00545EC0">
              <w:rPr>
                <w:rFonts w:cs="Arial"/>
                <w:sz w:val="18"/>
                <w:szCs w:val="18"/>
              </w:rPr>
              <w:t>MPVT zadrževalnik Ormoško jezero</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2F363D"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409F72"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31B7B9"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620FD9"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06B0ED"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BE5DAC"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1C66C8"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9FAB3A"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7875C3"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4A7B53"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NR</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6A15EA" w14:textId="19C93A5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1</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D78806" w14:textId="77777777" w:rsidR="00AC702B" w:rsidRPr="00545EC0" w:rsidRDefault="00AC702B" w:rsidP="00627979">
            <w:pPr>
              <w:shd w:val="clear" w:color="auto" w:fill="FFFFFF" w:themeFill="background1"/>
              <w:spacing w:line="240" w:lineRule="auto"/>
              <w:jc w:val="center"/>
              <w:rPr>
                <w:rFonts w:cs="Arial"/>
                <w:sz w:val="16"/>
              </w:rPr>
            </w:pPr>
            <w:r w:rsidRPr="00545EC0">
              <w:rPr>
                <w:rFonts w:cs="Arial"/>
                <w:sz w:val="16"/>
              </w:rPr>
              <w:t>0</w:t>
            </w:r>
          </w:p>
        </w:tc>
      </w:tr>
      <w:tr w:rsidR="003122F4" w:rsidRPr="00545EC0" w14:paraId="44E0364C" w14:textId="77777777" w:rsidTr="003122F4">
        <w:trPr>
          <w:trHeight w:val="227"/>
        </w:trPr>
        <w:tc>
          <w:tcPr>
            <w:tcW w:w="7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BAE488" w14:textId="77777777" w:rsidR="00BA1338" w:rsidRPr="00545EC0" w:rsidRDefault="00BA1338" w:rsidP="00627979">
            <w:pPr>
              <w:shd w:val="clear" w:color="auto" w:fill="FFFFFF" w:themeFill="background1"/>
              <w:spacing w:line="240" w:lineRule="auto"/>
              <w:rPr>
                <w:rFonts w:cs="Arial"/>
                <w:sz w:val="18"/>
                <w:szCs w:val="18"/>
              </w:rPr>
            </w:pPr>
            <w:r w:rsidRPr="00545EC0">
              <w:rPr>
                <w:rFonts w:cs="Arial"/>
                <w:sz w:val="18"/>
                <w:szCs w:val="18"/>
              </w:rPr>
              <w:t>SI1668VT</w:t>
            </w:r>
          </w:p>
        </w:tc>
        <w:tc>
          <w:tcPr>
            <w:tcW w:w="17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DDF0E6" w14:textId="77777777" w:rsidR="00BA1338" w:rsidRPr="00545EC0" w:rsidRDefault="00BA1338" w:rsidP="00627979">
            <w:pPr>
              <w:shd w:val="clear" w:color="auto" w:fill="FFFFFF" w:themeFill="background1"/>
              <w:spacing w:line="240" w:lineRule="auto"/>
              <w:rPr>
                <w:rFonts w:cs="Arial"/>
                <w:sz w:val="18"/>
                <w:szCs w:val="18"/>
              </w:rPr>
            </w:pPr>
            <w:r w:rsidRPr="00545EC0">
              <w:rPr>
                <w:rFonts w:cs="Arial"/>
                <w:sz w:val="18"/>
                <w:szCs w:val="18"/>
              </w:rPr>
              <w:t>MPVT zadrževalnik Šmartinsko jezero</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6F89F0"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0B829E"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9EDDB7"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AC61C4"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2F5D17"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NP</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1320BC"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DBA862"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D79A82"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4F3E12"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0D385D"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NR</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384358"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0</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7C4E9A"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0</w:t>
            </w:r>
          </w:p>
        </w:tc>
      </w:tr>
      <w:tr w:rsidR="003122F4" w:rsidRPr="00545EC0" w14:paraId="3C298D1C" w14:textId="77777777" w:rsidTr="003122F4">
        <w:trPr>
          <w:trHeight w:val="227"/>
        </w:trPr>
        <w:tc>
          <w:tcPr>
            <w:tcW w:w="7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8FDEF8" w14:textId="77777777" w:rsidR="00BA1338" w:rsidRPr="00545EC0" w:rsidRDefault="00BA1338" w:rsidP="00627979">
            <w:pPr>
              <w:shd w:val="clear" w:color="auto" w:fill="FFFFFF" w:themeFill="background1"/>
              <w:spacing w:line="240" w:lineRule="auto"/>
              <w:rPr>
                <w:rFonts w:cs="Arial"/>
                <w:sz w:val="18"/>
                <w:szCs w:val="18"/>
              </w:rPr>
            </w:pPr>
            <w:r w:rsidRPr="00545EC0">
              <w:rPr>
                <w:rFonts w:cs="Arial"/>
                <w:sz w:val="18"/>
                <w:szCs w:val="18"/>
              </w:rPr>
              <w:t>SI168VT3</w:t>
            </w:r>
          </w:p>
        </w:tc>
        <w:tc>
          <w:tcPr>
            <w:tcW w:w="17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69B65E" w14:textId="77777777" w:rsidR="00BA1338" w:rsidRPr="00545EC0" w:rsidRDefault="00BA1338" w:rsidP="00627979">
            <w:pPr>
              <w:shd w:val="clear" w:color="auto" w:fill="FFFFFF" w:themeFill="background1"/>
              <w:spacing w:line="240" w:lineRule="auto"/>
              <w:rPr>
                <w:rFonts w:cs="Arial"/>
                <w:sz w:val="18"/>
                <w:szCs w:val="18"/>
              </w:rPr>
            </w:pPr>
            <w:r w:rsidRPr="00545EC0">
              <w:rPr>
                <w:rFonts w:cs="Arial"/>
                <w:sz w:val="18"/>
                <w:szCs w:val="18"/>
              </w:rPr>
              <w:t>MPVT zadrževalnik Slivniško jezero</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863207"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3A1661"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7946EE"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A2DB12"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BB2DBD"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NP</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D66A3A"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B6003F"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344E2C"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A7CD4C"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7B91E2"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NR</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986A8F"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0</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3CE4FC"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0</w:t>
            </w:r>
          </w:p>
        </w:tc>
      </w:tr>
      <w:tr w:rsidR="003122F4" w:rsidRPr="00545EC0" w14:paraId="533AE9D7" w14:textId="77777777" w:rsidTr="003122F4">
        <w:trPr>
          <w:trHeight w:val="227"/>
        </w:trPr>
        <w:tc>
          <w:tcPr>
            <w:tcW w:w="7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1744DD" w14:textId="77777777" w:rsidR="00BA1338" w:rsidRPr="00545EC0" w:rsidRDefault="00BA1338" w:rsidP="00627979">
            <w:pPr>
              <w:shd w:val="clear" w:color="auto" w:fill="FFFFFF" w:themeFill="background1"/>
              <w:spacing w:line="240" w:lineRule="auto"/>
              <w:rPr>
                <w:rFonts w:cs="Arial"/>
                <w:sz w:val="18"/>
                <w:szCs w:val="18"/>
              </w:rPr>
            </w:pPr>
            <w:r w:rsidRPr="00545EC0">
              <w:rPr>
                <w:rFonts w:cs="Arial"/>
                <w:sz w:val="18"/>
                <w:szCs w:val="18"/>
              </w:rPr>
              <w:t>SI38VT34</w:t>
            </w:r>
          </w:p>
        </w:tc>
        <w:tc>
          <w:tcPr>
            <w:tcW w:w="17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B99606" w14:textId="77777777" w:rsidR="00BA1338" w:rsidRPr="00545EC0" w:rsidRDefault="00BA1338" w:rsidP="00627979">
            <w:pPr>
              <w:shd w:val="clear" w:color="auto" w:fill="FFFFFF" w:themeFill="background1"/>
              <w:spacing w:line="240" w:lineRule="auto"/>
              <w:rPr>
                <w:rFonts w:cs="Arial"/>
                <w:sz w:val="18"/>
                <w:szCs w:val="18"/>
              </w:rPr>
            </w:pPr>
            <w:r w:rsidRPr="00545EC0">
              <w:rPr>
                <w:rFonts w:cs="Arial"/>
                <w:sz w:val="18"/>
                <w:szCs w:val="18"/>
              </w:rPr>
              <w:t>MPVT zadrževalnik Perniško jezero</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BD1F73"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6C4C41"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B62C68"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D286F8"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90B53B"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NP</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8569CF"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38E7B8"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1E3631"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11C00E"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01B327"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NR</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429F62"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1</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E93FA2"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0</w:t>
            </w:r>
          </w:p>
        </w:tc>
      </w:tr>
      <w:tr w:rsidR="003122F4" w:rsidRPr="00545EC0" w14:paraId="5A5D12FC" w14:textId="77777777" w:rsidTr="003122F4">
        <w:trPr>
          <w:trHeight w:val="227"/>
        </w:trPr>
        <w:tc>
          <w:tcPr>
            <w:tcW w:w="7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29BB98" w14:textId="77777777" w:rsidR="00BA1338" w:rsidRPr="00545EC0" w:rsidRDefault="00BA1338" w:rsidP="00627979">
            <w:pPr>
              <w:shd w:val="clear" w:color="auto" w:fill="FFFFFF" w:themeFill="background1"/>
              <w:spacing w:line="240" w:lineRule="auto"/>
              <w:rPr>
                <w:rFonts w:cs="Arial"/>
                <w:sz w:val="18"/>
                <w:szCs w:val="18"/>
              </w:rPr>
            </w:pPr>
            <w:r w:rsidRPr="00545EC0">
              <w:rPr>
                <w:rFonts w:cs="Arial"/>
                <w:sz w:val="18"/>
                <w:szCs w:val="18"/>
              </w:rPr>
              <w:t>SI434VT52</w:t>
            </w:r>
          </w:p>
        </w:tc>
        <w:tc>
          <w:tcPr>
            <w:tcW w:w="17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0E6B91" w14:textId="77777777" w:rsidR="00BA1338" w:rsidRPr="00545EC0" w:rsidRDefault="00BA1338" w:rsidP="00627979">
            <w:pPr>
              <w:shd w:val="clear" w:color="auto" w:fill="FFFFFF" w:themeFill="background1"/>
              <w:spacing w:line="240" w:lineRule="auto"/>
              <w:rPr>
                <w:rFonts w:cs="Arial"/>
                <w:sz w:val="18"/>
                <w:szCs w:val="18"/>
              </w:rPr>
            </w:pPr>
            <w:r w:rsidRPr="00545EC0">
              <w:rPr>
                <w:rFonts w:cs="Arial"/>
                <w:sz w:val="18"/>
                <w:szCs w:val="18"/>
              </w:rPr>
              <w:t>MPVT zadrževalnik Gajševsko jezero</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41801A"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DC4AE6"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323126"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943F3E"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4B0F74"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NP</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9CBE7D"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44AA15"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3DDE63"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897859"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DAB5E4"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NR</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80B137"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1</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1B4619"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0</w:t>
            </w:r>
          </w:p>
        </w:tc>
      </w:tr>
      <w:tr w:rsidR="003122F4" w:rsidRPr="00545EC0" w14:paraId="66C17B7A" w14:textId="77777777" w:rsidTr="003122F4">
        <w:trPr>
          <w:trHeight w:val="227"/>
        </w:trPr>
        <w:tc>
          <w:tcPr>
            <w:tcW w:w="7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AE2896" w14:textId="77777777" w:rsidR="00BA1338" w:rsidRPr="00545EC0" w:rsidRDefault="00BA1338" w:rsidP="00627979">
            <w:pPr>
              <w:shd w:val="clear" w:color="auto" w:fill="FFFFFF" w:themeFill="background1"/>
              <w:spacing w:line="240" w:lineRule="auto"/>
              <w:rPr>
                <w:rFonts w:cs="Arial"/>
                <w:sz w:val="18"/>
                <w:szCs w:val="18"/>
              </w:rPr>
            </w:pPr>
            <w:r w:rsidRPr="00545EC0">
              <w:rPr>
                <w:rFonts w:cs="Arial"/>
                <w:sz w:val="18"/>
                <w:szCs w:val="18"/>
              </w:rPr>
              <w:t>SI442VT12</w:t>
            </w:r>
          </w:p>
        </w:tc>
        <w:tc>
          <w:tcPr>
            <w:tcW w:w="17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57D092" w14:textId="77777777" w:rsidR="00BA1338" w:rsidRPr="00545EC0" w:rsidRDefault="00BA1338" w:rsidP="00627979">
            <w:pPr>
              <w:shd w:val="clear" w:color="auto" w:fill="FFFFFF" w:themeFill="background1"/>
              <w:spacing w:line="240" w:lineRule="auto"/>
              <w:rPr>
                <w:rFonts w:cs="Arial"/>
                <w:sz w:val="18"/>
                <w:szCs w:val="18"/>
              </w:rPr>
            </w:pPr>
            <w:r w:rsidRPr="00545EC0">
              <w:rPr>
                <w:rFonts w:cs="Arial"/>
                <w:sz w:val="18"/>
                <w:szCs w:val="18"/>
              </w:rPr>
              <w:t>MPVT zadrževalnik Ledavsko jezero</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E92EDB"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B75BC6"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48C16C"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314E3D"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933354"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NP</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250E0E"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99288C"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B54745"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7BF5B0"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8D2FB1"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NR</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6B491B"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0</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E0664E"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0</w:t>
            </w:r>
          </w:p>
        </w:tc>
      </w:tr>
      <w:tr w:rsidR="003122F4" w:rsidRPr="00545EC0" w14:paraId="5D81CD44" w14:textId="77777777" w:rsidTr="003122F4">
        <w:trPr>
          <w:trHeight w:val="227"/>
        </w:trPr>
        <w:tc>
          <w:tcPr>
            <w:tcW w:w="7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F904804" w14:textId="77777777" w:rsidR="00BA1338" w:rsidRPr="00545EC0" w:rsidRDefault="00BA1338" w:rsidP="00627979">
            <w:pPr>
              <w:shd w:val="clear" w:color="auto" w:fill="FFFFFF" w:themeFill="background1"/>
              <w:spacing w:line="240" w:lineRule="auto"/>
              <w:rPr>
                <w:rFonts w:cs="Arial"/>
                <w:sz w:val="18"/>
                <w:szCs w:val="18"/>
              </w:rPr>
            </w:pPr>
            <w:r w:rsidRPr="00545EC0">
              <w:rPr>
                <w:rFonts w:cs="Arial"/>
                <w:sz w:val="18"/>
                <w:szCs w:val="18"/>
              </w:rPr>
              <w:t>SI14912VT</w:t>
            </w:r>
          </w:p>
        </w:tc>
        <w:tc>
          <w:tcPr>
            <w:tcW w:w="17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D27BE95" w14:textId="77777777" w:rsidR="00BA1338" w:rsidRPr="00545EC0" w:rsidRDefault="00BA1338" w:rsidP="00627979">
            <w:pPr>
              <w:shd w:val="clear" w:color="auto" w:fill="FFFFFF" w:themeFill="background1"/>
              <w:spacing w:line="240" w:lineRule="auto"/>
              <w:rPr>
                <w:rFonts w:cs="Arial"/>
                <w:sz w:val="18"/>
                <w:szCs w:val="18"/>
              </w:rPr>
            </w:pPr>
            <w:r w:rsidRPr="00545EC0">
              <w:rPr>
                <w:rFonts w:cs="Arial"/>
                <w:sz w:val="18"/>
                <w:szCs w:val="18"/>
              </w:rPr>
              <w:t>UVT Gruberjev prekop</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8C74101" w14:textId="77777777" w:rsidR="00BA1338" w:rsidRPr="00545EC0" w:rsidRDefault="00BA1338" w:rsidP="00627979">
            <w:pPr>
              <w:shd w:val="clear" w:color="auto" w:fill="FFFFFF" w:themeFill="background1"/>
              <w:spacing w:line="240" w:lineRule="auto"/>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F15AC43" w14:textId="77777777" w:rsidR="00BA1338" w:rsidRPr="00545EC0" w:rsidRDefault="00BA1338" w:rsidP="00627979">
            <w:pPr>
              <w:shd w:val="clear" w:color="auto" w:fill="FFFFFF" w:themeFill="background1"/>
              <w:spacing w:line="240" w:lineRule="auto"/>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D7E6B92" w14:textId="77777777" w:rsidR="00BA1338" w:rsidRPr="00545EC0" w:rsidRDefault="00BA1338" w:rsidP="00627979">
            <w:pPr>
              <w:shd w:val="clear" w:color="auto" w:fill="FFFFFF" w:themeFill="background1"/>
              <w:spacing w:line="240" w:lineRule="auto"/>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5F182CC" w14:textId="77777777" w:rsidR="00BA1338" w:rsidRPr="00545EC0" w:rsidRDefault="00BA1338" w:rsidP="00627979">
            <w:pPr>
              <w:shd w:val="clear" w:color="auto" w:fill="FFFFFF" w:themeFill="background1"/>
              <w:spacing w:line="240" w:lineRule="auto"/>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D33C63D" w14:textId="77777777" w:rsidR="00BA1338" w:rsidRPr="00545EC0" w:rsidRDefault="00BA1338" w:rsidP="00627979">
            <w:pPr>
              <w:shd w:val="clear" w:color="auto" w:fill="FFFFFF" w:themeFill="background1"/>
              <w:spacing w:line="240" w:lineRule="auto"/>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6491536" w14:textId="77777777" w:rsidR="00BA1338" w:rsidRPr="00545EC0" w:rsidRDefault="00BA1338" w:rsidP="00627979">
            <w:pPr>
              <w:shd w:val="clear" w:color="auto" w:fill="FFFFFF" w:themeFill="background1"/>
              <w:spacing w:line="240" w:lineRule="auto"/>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CBF869D" w14:textId="77777777" w:rsidR="00BA1338" w:rsidRPr="00545EC0" w:rsidRDefault="00BA1338" w:rsidP="00627979">
            <w:pPr>
              <w:shd w:val="clear" w:color="auto" w:fill="FFFFFF" w:themeFill="background1"/>
              <w:spacing w:line="240" w:lineRule="auto"/>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A9C389C" w14:textId="77777777" w:rsidR="00BA1338" w:rsidRPr="00545EC0" w:rsidRDefault="00BA1338" w:rsidP="00627979">
            <w:pPr>
              <w:shd w:val="clear" w:color="auto" w:fill="FFFFFF" w:themeFill="background1"/>
              <w:spacing w:line="240" w:lineRule="auto"/>
              <w:rPr>
                <w:rFonts w:cs="Arial"/>
                <w:sz w:val="16"/>
              </w:rPr>
            </w:pPr>
            <w:r w:rsidRPr="00545EC0">
              <w:rPr>
                <w:rFonts w:cs="Arial"/>
                <w:sz w:val="16"/>
              </w:rPr>
              <w:t>NP</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6349103" w14:textId="77777777" w:rsidR="00BA1338" w:rsidRPr="00545EC0" w:rsidRDefault="00BA1338" w:rsidP="00627979">
            <w:pPr>
              <w:shd w:val="clear" w:color="auto" w:fill="FFFFFF" w:themeFill="background1"/>
              <w:spacing w:line="240" w:lineRule="auto"/>
              <w:rPr>
                <w:rFonts w:cs="Arial"/>
                <w:sz w:val="16"/>
              </w:rPr>
            </w:pPr>
            <w:r w:rsidRPr="00545EC0">
              <w:rPr>
                <w:rFonts w:cs="Arial"/>
                <w:sz w:val="16"/>
              </w:rPr>
              <w:t>NR</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9ABFFDA"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NR</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68306EA"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1</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BAD2C1B"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0</w:t>
            </w:r>
          </w:p>
        </w:tc>
      </w:tr>
      <w:tr w:rsidR="003122F4" w:rsidRPr="00545EC0" w14:paraId="6DF5B3E7" w14:textId="77777777" w:rsidTr="003122F4">
        <w:trPr>
          <w:trHeight w:val="227"/>
        </w:trPr>
        <w:tc>
          <w:tcPr>
            <w:tcW w:w="7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7AC9227" w14:textId="77777777" w:rsidR="00BA1338" w:rsidRPr="00545EC0" w:rsidRDefault="00BA1338" w:rsidP="00627979">
            <w:pPr>
              <w:shd w:val="clear" w:color="auto" w:fill="FFFFFF" w:themeFill="background1"/>
              <w:spacing w:line="240" w:lineRule="auto"/>
              <w:rPr>
                <w:rFonts w:cs="Arial"/>
                <w:sz w:val="18"/>
                <w:szCs w:val="18"/>
              </w:rPr>
            </w:pPr>
            <w:r w:rsidRPr="00545EC0">
              <w:rPr>
                <w:rFonts w:cs="Arial"/>
                <w:sz w:val="18"/>
                <w:szCs w:val="18"/>
              </w:rPr>
              <w:t>SI35172VT</w:t>
            </w:r>
          </w:p>
        </w:tc>
        <w:tc>
          <w:tcPr>
            <w:tcW w:w="17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26FC3F4" w14:textId="77777777" w:rsidR="00BA1338" w:rsidRPr="00545EC0" w:rsidRDefault="00BA1338" w:rsidP="00627979">
            <w:pPr>
              <w:shd w:val="clear" w:color="auto" w:fill="FFFFFF" w:themeFill="background1"/>
              <w:spacing w:line="240" w:lineRule="auto"/>
              <w:rPr>
                <w:rFonts w:cs="Arial"/>
                <w:sz w:val="18"/>
                <w:szCs w:val="18"/>
              </w:rPr>
            </w:pPr>
            <w:r w:rsidRPr="00545EC0">
              <w:rPr>
                <w:rFonts w:cs="Arial"/>
                <w:sz w:val="18"/>
                <w:szCs w:val="18"/>
              </w:rPr>
              <w:t>UVT Kanal HE Zlatoličje</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4BD1CB0" w14:textId="77777777" w:rsidR="00BA1338" w:rsidRPr="00545EC0" w:rsidRDefault="00BA1338" w:rsidP="00627979">
            <w:pPr>
              <w:shd w:val="clear" w:color="auto" w:fill="FFFFFF" w:themeFill="background1"/>
              <w:spacing w:line="240" w:lineRule="auto"/>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6027CDB" w14:textId="77777777" w:rsidR="00BA1338" w:rsidRPr="00545EC0" w:rsidRDefault="00BA1338" w:rsidP="00627979">
            <w:pPr>
              <w:shd w:val="clear" w:color="auto" w:fill="FFFFFF" w:themeFill="background1"/>
              <w:spacing w:line="240" w:lineRule="auto"/>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87CAD21" w14:textId="77777777" w:rsidR="00BA1338" w:rsidRPr="00545EC0" w:rsidRDefault="00BA1338" w:rsidP="00627979">
            <w:pPr>
              <w:shd w:val="clear" w:color="auto" w:fill="FFFFFF" w:themeFill="background1"/>
              <w:spacing w:line="240" w:lineRule="auto"/>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20AC773" w14:textId="77777777" w:rsidR="00BA1338" w:rsidRPr="00545EC0" w:rsidRDefault="00BA1338" w:rsidP="00627979">
            <w:pPr>
              <w:shd w:val="clear" w:color="auto" w:fill="FFFFFF" w:themeFill="background1"/>
              <w:spacing w:line="240" w:lineRule="auto"/>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2922EF0" w14:textId="77777777" w:rsidR="00BA1338" w:rsidRPr="00545EC0" w:rsidRDefault="00BA1338" w:rsidP="00627979">
            <w:pPr>
              <w:shd w:val="clear" w:color="auto" w:fill="FFFFFF" w:themeFill="background1"/>
              <w:spacing w:line="240" w:lineRule="auto"/>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D1F94CF" w14:textId="77777777" w:rsidR="00BA1338" w:rsidRPr="00545EC0" w:rsidRDefault="00BA1338" w:rsidP="00627979">
            <w:pPr>
              <w:shd w:val="clear" w:color="auto" w:fill="FFFFFF" w:themeFill="background1"/>
              <w:spacing w:line="240" w:lineRule="auto"/>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F9CD16B" w14:textId="77777777" w:rsidR="00BA1338" w:rsidRPr="00545EC0" w:rsidRDefault="00BA1338" w:rsidP="00627979">
            <w:pPr>
              <w:shd w:val="clear" w:color="auto" w:fill="FFFFFF" w:themeFill="background1"/>
              <w:spacing w:line="240" w:lineRule="auto"/>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E1AD840" w14:textId="77777777" w:rsidR="00BA1338" w:rsidRPr="00545EC0" w:rsidRDefault="00BA1338" w:rsidP="00627979">
            <w:pPr>
              <w:shd w:val="clear" w:color="auto" w:fill="FFFFFF" w:themeFill="background1"/>
              <w:spacing w:line="240" w:lineRule="auto"/>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6E6FC0B" w14:textId="77777777" w:rsidR="00BA1338" w:rsidRPr="00545EC0" w:rsidRDefault="00BA1338" w:rsidP="00627979">
            <w:pPr>
              <w:shd w:val="clear" w:color="auto" w:fill="FFFFFF" w:themeFill="background1"/>
              <w:spacing w:line="240" w:lineRule="auto"/>
              <w:rPr>
                <w:rFonts w:cs="Arial"/>
                <w:sz w:val="16"/>
              </w:rPr>
            </w:pPr>
            <w:r w:rsidRPr="00545EC0">
              <w:rPr>
                <w:rFonts w:cs="Arial"/>
                <w:sz w:val="16"/>
              </w:rPr>
              <w:t>NR</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660284F"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NR</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1F73144"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1</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32A045A"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0</w:t>
            </w:r>
          </w:p>
        </w:tc>
      </w:tr>
      <w:tr w:rsidR="003122F4" w:rsidRPr="00545EC0" w14:paraId="6E2490CA" w14:textId="77777777" w:rsidTr="003122F4">
        <w:trPr>
          <w:trHeight w:val="227"/>
        </w:trPr>
        <w:tc>
          <w:tcPr>
            <w:tcW w:w="7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603A280" w14:textId="77777777" w:rsidR="00BA1338" w:rsidRPr="00545EC0" w:rsidRDefault="00BA1338" w:rsidP="00627979">
            <w:pPr>
              <w:shd w:val="clear" w:color="auto" w:fill="FFFFFF" w:themeFill="background1"/>
              <w:spacing w:line="240" w:lineRule="auto"/>
              <w:rPr>
                <w:rFonts w:cs="Arial"/>
                <w:sz w:val="18"/>
                <w:szCs w:val="18"/>
              </w:rPr>
            </w:pPr>
            <w:r w:rsidRPr="00545EC0">
              <w:rPr>
                <w:rFonts w:cs="Arial"/>
                <w:sz w:val="18"/>
                <w:szCs w:val="18"/>
              </w:rPr>
              <w:t>SI378VT</w:t>
            </w:r>
          </w:p>
        </w:tc>
        <w:tc>
          <w:tcPr>
            <w:tcW w:w="17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47DCC76" w14:textId="77777777" w:rsidR="00BA1338" w:rsidRPr="00545EC0" w:rsidRDefault="00BA1338" w:rsidP="00627979">
            <w:pPr>
              <w:shd w:val="clear" w:color="auto" w:fill="FFFFFF" w:themeFill="background1"/>
              <w:spacing w:line="240" w:lineRule="auto"/>
              <w:rPr>
                <w:rFonts w:cs="Arial"/>
                <w:sz w:val="18"/>
                <w:szCs w:val="18"/>
              </w:rPr>
            </w:pPr>
            <w:r w:rsidRPr="00545EC0">
              <w:rPr>
                <w:rFonts w:cs="Arial"/>
                <w:sz w:val="18"/>
                <w:szCs w:val="18"/>
              </w:rPr>
              <w:t>UVT Kanal HE Formin</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9199B0A" w14:textId="77777777" w:rsidR="00BA1338" w:rsidRPr="00545EC0" w:rsidRDefault="00BA1338" w:rsidP="00627979">
            <w:pPr>
              <w:shd w:val="clear" w:color="auto" w:fill="FFFFFF" w:themeFill="background1"/>
              <w:spacing w:line="240" w:lineRule="auto"/>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65DB61B" w14:textId="77777777" w:rsidR="00BA1338" w:rsidRPr="00545EC0" w:rsidRDefault="00BA1338" w:rsidP="00627979">
            <w:pPr>
              <w:shd w:val="clear" w:color="auto" w:fill="FFFFFF" w:themeFill="background1"/>
              <w:spacing w:line="240" w:lineRule="auto"/>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420242B" w14:textId="77777777" w:rsidR="00BA1338" w:rsidRPr="00545EC0" w:rsidRDefault="00BA1338" w:rsidP="00627979">
            <w:pPr>
              <w:shd w:val="clear" w:color="auto" w:fill="FFFFFF" w:themeFill="background1"/>
              <w:spacing w:line="240" w:lineRule="auto"/>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01850D9" w14:textId="77777777" w:rsidR="00BA1338" w:rsidRPr="00545EC0" w:rsidRDefault="00BA1338" w:rsidP="00627979">
            <w:pPr>
              <w:shd w:val="clear" w:color="auto" w:fill="FFFFFF" w:themeFill="background1"/>
              <w:spacing w:line="240" w:lineRule="auto"/>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FE27CC2" w14:textId="77777777" w:rsidR="00BA1338" w:rsidRPr="00545EC0" w:rsidRDefault="00BA1338" w:rsidP="00627979">
            <w:pPr>
              <w:shd w:val="clear" w:color="auto" w:fill="FFFFFF" w:themeFill="background1"/>
              <w:spacing w:line="240" w:lineRule="auto"/>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ED8F5D8" w14:textId="77777777" w:rsidR="00BA1338" w:rsidRPr="00545EC0" w:rsidRDefault="00BA1338" w:rsidP="00627979">
            <w:pPr>
              <w:shd w:val="clear" w:color="auto" w:fill="FFFFFF" w:themeFill="background1"/>
              <w:spacing w:line="240" w:lineRule="auto"/>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45C315E" w14:textId="77777777" w:rsidR="00BA1338" w:rsidRPr="00545EC0" w:rsidRDefault="00BA1338" w:rsidP="00627979">
            <w:pPr>
              <w:shd w:val="clear" w:color="auto" w:fill="FFFFFF" w:themeFill="background1"/>
              <w:spacing w:line="240" w:lineRule="auto"/>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FDEAB13" w14:textId="77777777" w:rsidR="00BA1338" w:rsidRPr="00545EC0" w:rsidRDefault="00BA1338" w:rsidP="00627979">
            <w:pPr>
              <w:shd w:val="clear" w:color="auto" w:fill="FFFFFF" w:themeFill="background1"/>
              <w:spacing w:line="240" w:lineRule="auto"/>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C56067E" w14:textId="77777777" w:rsidR="00BA1338" w:rsidRPr="00545EC0" w:rsidRDefault="00BA1338" w:rsidP="00627979">
            <w:pPr>
              <w:shd w:val="clear" w:color="auto" w:fill="FFFFFF" w:themeFill="background1"/>
              <w:spacing w:line="240" w:lineRule="auto"/>
              <w:rPr>
                <w:rFonts w:cs="Arial"/>
                <w:sz w:val="16"/>
              </w:rPr>
            </w:pPr>
            <w:r w:rsidRPr="00545EC0">
              <w:rPr>
                <w:rFonts w:cs="Arial"/>
                <w:sz w:val="16"/>
              </w:rPr>
              <w:t>NR</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B43DCBA"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NR</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57793F3"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1</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773BCF3"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0</w:t>
            </w:r>
          </w:p>
        </w:tc>
      </w:tr>
      <w:tr w:rsidR="003122F4" w:rsidRPr="00545EC0" w14:paraId="58456E7A" w14:textId="77777777" w:rsidTr="003122F4">
        <w:trPr>
          <w:trHeight w:val="227"/>
        </w:trPr>
        <w:tc>
          <w:tcPr>
            <w:tcW w:w="7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BD37F69" w14:textId="77777777" w:rsidR="00BA1338" w:rsidRPr="00545EC0" w:rsidRDefault="00BA1338" w:rsidP="00627979">
            <w:pPr>
              <w:shd w:val="clear" w:color="auto" w:fill="FFFFFF" w:themeFill="background1"/>
              <w:spacing w:line="240" w:lineRule="auto"/>
              <w:rPr>
                <w:rFonts w:cs="Arial"/>
                <w:sz w:val="18"/>
                <w:szCs w:val="18"/>
              </w:rPr>
            </w:pPr>
            <w:r w:rsidRPr="00545EC0">
              <w:rPr>
                <w:rFonts w:cs="Arial"/>
                <w:sz w:val="18"/>
                <w:szCs w:val="18"/>
              </w:rPr>
              <w:t>SI1624VT</w:t>
            </w:r>
          </w:p>
        </w:tc>
        <w:tc>
          <w:tcPr>
            <w:tcW w:w="17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BCB9385" w14:textId="77777777" w:rsidR="00BA1338" w:rsidRPr="00545EC0" w:rsidRDefault="00BA1338" w:rsidP="00627979">
            <w:pPr>
              <w:shd w:val="clear" w:color="auto" w:fill="FFFFFF" w:themeFill="background1"/>
              <w:spacing w:line="240" w:lineRule="auto"/>
              <w:rPr>
                <w:rFonts w:cs="Arial"/>
                <w:sz w:val="18"/>
                <w:szCs w:val="18"/>
              </w:rPr>
            </w:pPr>
            <w:r w:rsidRPr="00545EC0">
              <w:rPr>
                <w:rFonts w:cs="Arial"/>
                <w:sz w:val="18"/>
                <w:szCs w:val="18"/>
              </w:rPr>
              <w:t>UVT Velenjsko jezero</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BE72DE1" w14:textId="77777777" w:rsidR="00BA1338" w:rsidRPr="00545EC0" w:rsidRDefault="00BA1338" w:rsidP="00627979">
            <w:pPr>
              <w:shd w:val="clear" w:color="auto" w:fill="FFFFFF" w:themeFill="background1"/>
              <w:spacing w:line="240" w:lineRule="auto"/>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ED80567" w14:textId="77777777" w:rsidR="00BA1338" w:rsidRPr="00545EC0" w:rsidRDefault="00BA1338" w:rsidP="00627979">
            <w:pPr>
              <w:shd w:val="clear" w:color="auto" w:fill="FFFFFF" w:themeFill="background1"/>
              <w:spacing w:line="240" w:lineRule="auto"/>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0541323" w14:textId="77777777" w:rsidR="00BA1338" w:rsidRPr="00545EC0" w:rsidRDefault="00BA1338" w:rsidP="00627979">
            <w:pPr>
              <w:shd w:val="clear" w:color="auto" w:fill="FFFFFF" w:themeFill="background1"/>
              <w:spacing w:line="240" w:lineRule="auto"/>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46F13EF" w14:textId="77777777" w:rsidR="00BA1338" w:rsidRPr="00545EC0" w:rsidRDefault="00BA1338" w:rsidP="00627979">
            <w:pPr>
              <w:shd w:val="clear" w:color="auto" w:fill="FFFFFF" w:themeFill="background1"/>
              <w:spacing w:line="240" w:lineRule="auto"/>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45C9914" w14:textId="77777777" w:rsidR="00BA1338" w:rsidRPr="00545EC0" w:rsidRDefault="00BA1338" w:rsidP="00627979">
            <w:pPr>
              <w:shd w:val="clear" w:color="auto" w:fill="FFFFFF" w:themeFill="background1"/>
              <w:spacing w:line="240" w:lineRule="auto"/>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F698BA1" w14:textId="77777777" w:rsidR="00BA1338" w:rsidRPr="00545EC0" w:rsidRDefault="00BA1338" w:rsidP="00627979">
            <w:pPr>
              <w:shd w:val="clear" w:color="auto" w:fill="FFFFFF" w:themeFill="background1"/>
              <w:spacing w:line="240" w:lineRule="auto"/>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F1E609A" w14:textId="77777777" w:rsidR="00BA1338" w:rsidRPr="00545EC0" w:rsidRDefault="00BA1338" w:rsidP="00627979">
            <w:pPr>
              <w:shd w:val="clear" w:color="auto" w:fill="FFFFFF" w:themeFill="background1"/>
              <w:spacing w:line="240" w:lineRule="auto"/>
              <w:rPr>
                <w:rFonts w:cs="Arial"/>
                <w:sz w:val="16"/>
              </w:rPr>
            </w:pPr>
            <w:r w:rsidRPr="00545EC0">
              <w:rPr>
                <w:rFonts w:cs="Arial"/>
                <w:sz w:val="16"/>
              </w:rPr>
              <w:t>0</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B6CC7DE" w14:textId="77777777" w:rsidR="00BA1338" w:rsidRPr="00545EC0" w:rsidRDefault="00BA1338" w:rsidP="00627979">
            <w:pPr>
              <w:shd w:val="clear" w:color="auto" w:fill="FFFFFF" w:themeFill="background1"/>
              <w:spacing w:line="240" w:lineRule="auto"/>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73C53E8" w14:textId="77777777" w:rsidR="00BA1338" w:rsidRPr="00545EC0" w:rsidRDefault="00BA1338" w:rsidP="00627979">
            <w:pPr>
              <w:shd w:val="clear" w:color="auto" w:fill="FFFFFF" w:themeFill="background1"/>
              <w:spacing w:line="240" w:lineRule="auto"/>
              <w:rPr>
                <w:rFonts w:cs="Arial"/>
                <w:sz w:val="16"/>
              </w:rPr>
            </w:pPr>
            <w:r w:rsidRPr="00545EC0">
              <w:rPr>
                <w:rFonts w:cs="Arial"/>
                <w:sz w:val="16"/>
              </w:rPr>
              <w:t>1</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06BD754"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NR</w:t>
            </w: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4308883"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0</w:t>
            </w:r>
          </w:p>
        </w:tc>
        <w:tc>
          <w:tcPr>
            <w:tcW w:w="21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4F1B8A5" w14:textId="77777777" w:rsidR="00BA1338" w:rsidRPr="00545EC0" w:rsidRDefault="00BA1338" w:rsidP="00627979">
            <w:pPr>
              <w:shd w:val="clear" w:color="auto" w:fill="FFFFFF" w:themeFill="background1"/>
              <w:spacing w:line="240" w:lineRule="auto"/>
              <w:jc w:val="center"/>
              <w:rPr>
                <w:rFonts w:cs="Arial"/>
                <w:sz w:val="16"/>
              </w:rPr>
            </w:pPr>
            <w:r w:rsidRPr="00545EC0">
              <w:rPr>
                <w:rFonts w:cs="Arial"/>
                <w:sz w:val="16"/>
              </w:rPr>
              <w:t>0</w:t>
            </w:r>
          </w:p>
        </w:tc>
      </w:tr>
    </w:tbl>
    <w:p w14:paraId="660F9AD0" w14:textId="4BEB5306" w:rsidR="00485CB4" w:rsidRPr="00545EC0" w:rsidRDefault="00485CB4" w:rsidP="0010797F">
      <w:pPr>
        <w:pStyle w:val="HTML-oblikovano"/>
        <w:jc w:val="both"/>
        <w:rPr>
          <w:rFonts w:ascii="Arial" w:hAnsi="Arial" w:cs="Arial"/>
          <w:lang w:val="sl-SI"/>
        </w:rPr>
      </w:pPr>
    </w:p>
    <w:p w14:paraId="7114E511" w14:textId="5814B33C" w:rsidR="00AD4FE7" w:rsidRPr="00545EC0" w:rsidRDefault="00AD4FE7">
      <w:pPr>
        <w:pStyle w:val="Naslov3"/>
      </w:pPr>
      <w:bookmarkStart w:id="225" w:name="_Toc419099243"/>
      <w:bookmarkStart w:id="226" w:name="_Toc417058063"/>
      <w:bookmarkStart w:id="227" w:name="_Toc90261023"/>
      <w:r w:rsidRPr="00545EC0">
        <w:t>Hidrološke obremenitve</w:t>
      </w:r>
      <w:bookmarkEnd w:id="225"/>
      <w:bookmarkEnd w:id="226"/>
      <w:r w:rsidRPr="00545EC0">
        <w:rPr>
          <w:lang w:val="sl-SI"/>
        </w:rPr>
        <w:t xml:space="preserve"> podzemnih voda</w:t>
      </w:r>
      <w:bookmarkEnd w:id="227"/>
    </w:p>
    <w:p w14:paraId="49A4B848" w14:textId="77777777" w:rsidR="00AD4FE7" w:rsidRPr="00545EC0" w:rsidRDefault="00AD4FE7" w:rsidP="00AD4FE7">
      <w:pPr>
        <w:pStyle w:val="Naslov4"/>
        <w:rPr>
          <w:color w:val="auto"/>
        </w:rPr>
      </w:pPr>
      <w:r w:rsidRPr="00545EC0">
        <w:rPr>
          <w:color w:val="auto"/>
        </w:rPr>
        <w:t>Obremenitve, ki vplivajo na stanje globokih vodonosnikov</w:t>
      </w:r>
    </w:p>
    <w:p w14:paraId="00BBD023" w14:textId="6F5E0387" w:rsidR="00F41FED" w:rsidRPr="00545EC0" w:rsidRDefault="00F41FED">
      <w:pPr>
        <w:widowControl w:val="0"/>
        <w:overflowPunct/>
        <w:autoSpaceDE/>
        <w:adjustRightInd/>
        <w:spacing w:before="120" w:after="120" w:line="276" w:lineRule="auto"/>
        <w:rPr>
          <w:rFonts w:cs="Arial"/>
          <w:snapToGrid w:val="0"/>
          <w:kern w:val="22"/>
          <w:szCs w:val="20"/>
          <w:lang w:eastAsia="en-US"/>
        </w:rPr>
      </w:pPr>
      <w:r w:rsidRPr="00545EC0">
        <w:rPr>
          <w:rFonts w:cs="Arial"/>
          <w:snapToGrid w:val="0"/>
          <w:kern w:val="22"/>
          <w:szCs w:val="20"/>
          <w:lang w:eastAsia="en-US"/>
        </w:rPr>
        <w:t xml:space="preserve">Obremenitve, ki vplivajo na stanje globokih geotermalnih vodonosnikov izhajajo iz točkovnih virov, ki jih predstavljajo obstoječe termalne vrtine. Termalno vodo je v Sloveniji v letu 201 </w:t>
      </w:r>
      <w:r w:rsidR="00C12042" w:rsidRPr="00545EC0">
        <w:rPr>
          <w:rFonts w:cs="Arial"/>
          <w:snapToGrid w:val="0"/>
          <w:kern w:val="22"/>
          <w:szCs w:val="20"/>
          <w:lang w:eastAsia="en-US"/>
        </w:rPr>
        <w:t>pridobivalo</w:t>
      </w:r>
      <w:r w:rsidRPr="00545EC0">
        <w:rPr>
          <w:rFonts w:cs="Arial"/>
          <w:snapToGrid w:val="0"/>
          <w:kern w:val="22"/>
          <w:szCs w:val="20"/>
          <w:lang w:eastAsia="en-US"/>
        </w:rPr>
        <w:t xml:space="preserve"> 31 uporabnikov iz skupno 55 geotermalnih vrtin in 3 termalnih izvirov. Najpomembnejša zadeva upravljanja je še vedno,</w:t>
      </w:r>
      <w:r w:rsidR="00371546" w:rsidRPr="00545EC0">
        <w:rPr>
          <w:rFonts w:cs="Arial"/>
          <w:snapToGrid w:val="0"/>
          <w:kern w:val="22"/>
          <w:szCs w:val="20"/>
          <w:lang w:eastAsia="en-US"/>
        </w:rPr>
        <w:t xml:space="preserve"> tako </w:t>
      </w:r>
      <w:r w:rsidRPr="00545EC0">
        <w:rPr>
          <w:rFonts w:cs="Arial"/>
          <w:snapToGrid w:val="0"/>
          <w:kern w:val="22"/>
          <w:szCs w:val="20"/>
          <w:lang w:eastAsia="en-US"/>
        </w:rPr>
        <w:t>kot v NUV II,</w:t>
      </w:r>
      <w:r w:rsidR="00371546" w:rsidRPr="00545EC0">
        <w:rPr>
          <w:rFonts w:cs="Arial"/>
          <w:snapToGrid w:val="0"/>
          <w:kern w:val="22"/>
          <w:szCs w:val="20"/>
          <w:lang w:eastAsia="en-US"/>
        </w:rPr>
        <w:t xml:space="preserve"> </w:t>
      </w:r>
      <w:r w:rsidRPr="00545EC0">
        <w:rPr>
          <w:rFonts w:cs="Arial"/>
          <w:snapToGrid w:val="0"/>
          <w:kern w:val="22"/>
          <w:szCs w:val="20"/>
          <w:lang w:eastAsia="en-US"/>
        </w:rPr>
        <w:t xml:space="preserve">zagotovitev trajnostne rabe geotermalne energije z </w:t>
      </w:r>
      <w:r w:rsidRPr="00545EC0">
        <w:rPr>
          <w:rFonts w:cs="Arial"/>
          <w:snapToGrid w:val="0"/>
          <w:kern w:val="22"/>
          <w:szCs w:val="20"/>
          <w:lang w:eastAsia="en-US"/>
        </w:rPr>
        <w:lastRenderedPageBreak/>
        <w:t>odvzemanjem toplote iz podzemne vode ter preprečitev slabega količinskega stanja VTPodV.</w:t>
      </w:r>
    </w:p>
    <w:p w14:paraId="78A782AD" w14:textId="77777777" w:rsidR="009E64E9" w:rsidRPr="00545EC0" w:rsidRDefault="009E64E9">
      <w:pPr>
        <w:pStyle w:val="Naslov3"/>
      </w:pPr>
      <w:bookmarkStart w:id="228" w:name="_Toc90261024"/>
      <w:r w:rsidRPr="00545EC0">
        <w:t>Raba zemljišč</w:t>
      </w:r>
      <w:bookmarkEnd w:id="228"/>
    </w:p>
    <w:p w14:paraId="1A54B3E5" w14:textId="04BA479C" w:rsidR="00B06BDF" w:rsidRPr="00545EC0" w:rsidRDefault="00B06BDF" w:rsidP="00B06BDF">
      <w:pPr>
        <w:rPr>
          <w:rFonts w:cs="Arial"/>
        </w:rPr>
      </w:pPr>
      <w:bookmarkStart w:id="229" w:name="_Toc419099238"/>
      <w:r w:rsidRPr="00545EC0">
        <w:rPr>
          <w:rFonts w:cs="Arial"/>
        </w:rPr>
        <w:t>Ocen</w:t>
      </w:r>
      <w:r w:rsidR="00371546" w:rsidRPr="00545EC0">
        <w:rPr>
          <w:rFonts w:cs="Arial"/>
        </w:rPr>
        <w:t>a</w:t>
      </w:r>
      <w:r w:rsidRPr="00545EC0">
        <w:rPr>
          <w:rFonts w:cs="Arial"/>
        </w:rPr>
        <w:t xml:space="preserve"> in ugotavljanje rabe zemljišč je pripravljena ob upoštevanju podatkov Evropske okoljske agencije o pokrovnosti tal (Corine land cover, 2018) in ob upoštevanju podatkov ministrstva</w:t>
      </w:r>
      <w:r w:rsidR="00F7031A" w:rsidRPr="00545EC0">
        <w:rPr>
          <w:rFonts w:cs="Arial"/>
        </w:rPr>
        <w:t>,</w:t>
      </w:r>
      <w:r w:rsidRPr="00545EC0">
        <w:rPr>
          <w:rFonts w:cs="Arial"/>
        </w:rPr>
        <w:t xml:space="preserve"> pristojnega za kmetijstvo o dejanski rabi zemljišč (Dejanska rabe MKGP: 2002, 2005, 2009, 2012, 2014 in 2018). V nadaljevanju so podrobneje navedeni podatki o pokrovnosti tal (v nadaljnjem besedilu: CLC). </w:t>
      </w:r>
    </w:p>
    <w:p w14:paraId="3E8626CB" w14:textId="77777777" w:rsidR="00B06BDF" w:rsidRPr="00545EC0" w:rsidRDefault="00B06BDF" w:rsidP="00B06BDF">
      <w:pPr>
        <w:rPr>
          <w:rFonts w:cs="Arial"/>
        </w:rPr>
      </w:pPr>
    </w:p>
    <w:p w14:paraId="3B8B01FA" w14:textId="77777777" w:rsidR="00B06BDF" w:rsidRPr="00545EC0" w:rsidRDefault="00B06BDF" w:rsidP="00B06BDF">
      <w:pPr>
        <w:rPr>
          <w:rFonts w:cs="Arial"/>
        </w:rPr>
      </w:pPr>
      <w:r w:rsidRPr="00545EC0">
        <w:rPr>
          <w:rFonts w:cs="Arial"/>
        </w:rPr>
        <w:t>Podatki  o pokrivnosti tal pokažejo  grobo  oceno  površin  zemljišč  po  dejanski  rabi. Pokrovnost tal zemljišča  razvršča v pet glavnih kategorij in številne podkategorije. Za potrebe določitve vpliva rabe zemljišč na stanje voda so v okviru analize obremenitev CLC kategorije in podkategorije razvrščene v štiri skupine, in sicer:</w:t>
      </w:r>
    </w:p>
    <w:p w14:paraId="5ED7B18E" w14:textId="77777777" w:rsidR="00B06BDF" w:rsidRPr="00545EC0" w:rsidRDefault="00B06BDF" w:rsidP="00DD37C5">
      <w:pPr>
        <w:numPr>
          <w:ilvl w:val="0"/>
          <w:numId w:val="42"/>
        </w:numPr>
        <w:tabs>
          <w:tab w:val="center" w:pos="426"/>
        </w:tabs>
        <w:ind w:left="426" w:hanging="426"/>
        <w:rPr>
          <w:rFonts w:cs="Arial"/>
        </w:rPr>
      </w:pPr>
      <w:r w:rsidRPr="00545EC0">
        <w:rPr>
          <w:rFonts w:cs="Arial"/>
        </w:rPr>
        <w:t>umetne površine (CLC kategorije ki se uvrščajo v to skupino so sklenjene in nesklenjene urbane površine, umetno ozelenjene površine, cestno in železniško omrežje ipd.)</w:t>
      </w:r>
    </w:p>
    <w:p w14:paraId="13C37758" w14:textId="77777777" w:rsidR="00B06BDF" w:rsidRPr="00545EC0" w:rsidRDefault="00B06BDF" w:rsidP="00DD37C5">
      <w:pPr>
        <w:numPr>
          <w:ilvl w:val="0"/>
          <w:numId w:val="42"/>
        </w:numPr>
        <w:tabs>
          <w:tab w:val="center" w:pos="426"/>
        </w:tabs>
        <w:ind w:left="426" w:hanging="426"/>
        <w:rPr>
          <w:rFonts w:cs="Arial"/>
        </w:rPr>
      </w:pPr>
      <w:r w:rsidRPr="00545EC0">
        <w:rPr>
          <w:rFonts w:cs="Arial"/>
        </w:rPr>
        <w:t>naravne površine (CLC kategorije ki se uvrščajo v to skupino so gozd, močvirje in vode)</w:t>
      </w:r>
    </w:p>
    <w:p w14:paraId="4CC62DE1" w14:textId="77777777" w:rsidR="00B06BDF" w:rsidRPr="00545EC0" w:rsidRDefault="00B06BDF" w:rsidP="00DD37C5">
      <w:pPr>
        <w:numPr>
          <w:ilvl w:val="0"/>
          <w:numId w:val="42"/>
        </w:numPr>
        <w:tabs>
          <w:tab w:val="center" w:pos="426"/>
        </w:tabs>
        <w:ind w:left="426" w:hanging="426"/>
        <w:rPr>
          <w:rFonts w:cs="Arial"/>
        </w:rPr>
      </w:pPr>
      <w:r w:rsidRPr="00545EC0">
        <w:rPr>
          <w:rFonts w:cs="Arial"/>
        </w:rPr>
        <w:t>intenzivno kmetijstvo (CLC kategorije ki se uvrščajo v to skupino so njivske površine, trajni nasadi)</w:t>
      </w:r>
    </w:p>
    <w:p w14:paraId="282626B9" w14:textId="7959DEFF" w:rsidR="00F7031A" w:rsidRPr="00545EC0" w:rsidRDefault="00B06BDF" w:rsidP="00B06BDF">
      <w:pPr>
        <w:tabs>
          <w:tab w:val="center" w:pos="426"/>
        </w:tabs>
        <w:rPr>
          <w:rFonts w:cs="Arial"/>
        </w:rPr>
      </w:pPr>
      <w:r w:rsidRPr="00545EC0">
        <w:rPr>
          <w:rFonts w:cs="Arial"/>
        </w:rPr>
        <w:t>ekstenzivno kmetijstvo (CLC kategorije ki se uvrščajo v to skupino so pašniki, pretežno kmetijske površine z večjimi območji naravne vegetacije, kmetijsko-gozdarske površine)</w:t>
      </w:r>
      <w:r w:rsidR="00F7031A" w:rsidRPr="00545EC0">
        <w:rPr>
          <w:rFonts w:cs="Arial"/>
        </w:rPr>
        <w:t>.</w:t>
      </w:r>
    </w:p>
    <w:p w14:paraId="110055C9" w14:textId="0AC41809" w:rsidR="00B06BDF" w:rsidRPr="00545EC0" w:rsidRDefault="00B06BDF" w:rsidP="00B06BDF">
      <w:pPr>
        <w:tabs>
          <w:tab w:val="center" w:pos="426"/>
        </w:tabs>
        <w:rPr>
          <w:rFonts w:cs="Arial"/>
          <w:i/>
        </w:rPr>
      </w:pPr>
      <w:r w:rsidRPr="00545EC0">
        <w:rPr>
          <w:rFonts w:cs="Arial"/>
        </w:rPr>
        <w:t>Pokrovnost tal</w:t>
      </w:r>
      <w:r w:rsidR="00F7031A" w:rsidRPr="00545EC0">
        <w:rPr>
          <w:rFonts w:cs="Arial"/>
        </w:rPr>
        <w:t>,</w:t>
      </w:r>
      <w:r w:rsidRPr="00545EC0">
        <w:rPr>
          <w:rFonts w:cs="Arial"/>
        </w:rPr>
        <w:t xml:space="preserve"> upoštevajoč navedene štiri kategorije</w:t>
      </w:r>
      <w:r w:rsidR="00F7031A" w:rsidRPr="00545EC0">
        <w:rPr>
          <w:rFonts w:cs="Arial"/>
        </w:rPr>
        <w:t>,</w:t>
      </w:r>
      <w:r w:rsidRPr="00545EC0">
        <w:rPr>
          <w:rFonts w:cs="Arial"/>
        </w:rPr>
        <w:t xml:space="preserve"> je prikaza</w:t>
      </w:r>
      <w:r w:rsidR="00F7031A" w:rsidRPr="00545EC0">
        <w:rPr>
          <w:rFonts w:cs="Arial"/>
        </w:rPr>
        <w:t>na</w:t>
      </w:r>
      <w:r w:rsidRPr="00545EC0">
        <w:rPr>
          <w:rFonts w:cs="Arial"/>
        </w:rPr>
        <w:t xml:space="preserve"> na </w:t>
      </w:r>
      <w:r w:rsidR="002B19AC" w:rsidRPr="00545EC0">
        <w:rPr>
          <w:rFonts w:cs="Arial"/>
        </w:rPr>
        <w:t xml:space="preserve">publikacijski </w:t>
      </w:r>
      <w:r w:rsidRPr="00545EC0">
        <w:rPr>
          <w:rFonts w:cs="Arial"/>
        </w:rPr>
        <w:t xml:space="preserve">karti </w:t>
      </w:r>
      <w:r w:rsidRPr="00545EC0">
        <w:rPr>
          <w:rFonts w:cs="Arial"/>
          <w:i/>
        </w:rPr>
        <w:t>(Publikacijska karta</w:t>
      </w:r>
      <w:r w:rsidR="0078119E" w:rsidRPr="00545EC0">
        <w:rPr>
          <w:rFonts w:cs="Arial"/>
          <w:i/>
        </w:rPr>
        <w:t xml:space="preserve"> 7.1</w:t>
      </w:r>
      <w:r w:rsidRPr="00545EC0">
        <w:rPr>
          <w:rFonts w:cs="Arial"/>
          <w:i/>
        </w:rPr>
        <w:t>: Prikaz načinov rabe zemljišč (pokrovnost tal))</w:t>
      </w:r>
      <w:r w:rsidR="00371546" w:rsidRPr="00545EC0">
        <w:rPr>
          <w:rFonts w:cs="Arial"/>
          <w:i/>
        </w:rPr>
        <w:t>.</w:t>
      </w:r>
    </w:p>
    <w:p w14:paraId="54E7B345" w14:textId="55F0FBED" w:rsidR="00B06BDF" w:rsidRPr="00545EC0" w:rsidRDefault="00B06BDF" w:rsidP="00B06BDF">
      <w:pPr>
        <w:tabs>
          <w:tab w:val="num" w:pos="567"/>
          <w:tab w:val="left" w:pos="9600"/>
        </w:tabs>
        <w:spacing w:before="120"/>
        <w:rPr>
          <w:rFonts w:cs="Arial"/>
        </w:rPr>
      </w:pPr>
      <w:r w:rsidRPr="00545EC0">
        <w:rPr>
          <w:rFonts w:cs="Arial"/>
        </w:rPr>
        <w:t xml:space="preserve">Podatki o pokrovnosti tal kažejo, da je na VO Donave 57 % naravnih površin, 4 % umetnih površin in 38,5 % površin namenjenih kmetijski dejavnosti, od tega 24 % intenzivnemu kmetijstvu in 14,5 % ekstenzivnemu kmetijstvu. Prisotnost kmetijskih površin, predvsem površin za intenzivno kmetijstvo, poveča možnost razpršenega onesnaževanja površinskih in podzemnih voda </w:t>
      </w:r>
      <w:r w:rsidR="00F7031A" w:rsidRPr="00545EC0">
        <w:rPr>
          <w:rFonts w:cs="Arial"/>
        </w:rPr>
        <w:t xml:space="preserve">s hranili </w:t>
      </w:r>
      <w:r w:rsidRPr="00545EC0">
        <w:rPr>
          <w:rFonts w:cs="Arial"/>
        </w:rPr>
        <w:t xml:space="preserve">in </w:t>
      </w:r>
      <w:r w:rsidR="003F212C" w:rsidRPr="00545EC0">
        <w:rPr>
          <w:rFonts w:cs="Arial"/>
        </w:rPr>
        <w:t>fitofarmacevtskimi sredstvi</w:t>
      </w:r>
      <w:r w:rsidRPr="00545EC0">
        <w:rPr>
          <w:rFonts w:cs="Arial"/>
        </w:rPr>
        <w:t>. Zaradi prisotnosti kmetijske dejavnosti so najbolj ogrožene vode v severovzhodni Sloveniji (porečje Drave in Mure). Podatki CLC kažejo, da je največji delež kmetijskih površin na porečju Mure (65 %), kot je razvidno iz slike (</w:t>
      </w:r>
      <w:r w:rsidRPr="00545EC0">
        <w:rPr>
          <w:rFonts w:cs="Arial"/>
        </w:rPr>
        <w:fldChar w:fldCharType="begin"/>
      </w:r>
      <w:r w:rsidRPr="00545EC0">
        <w:rPr>
          <w:rFonts w:cs="Arial"/>
        </w:rPr>
        <w:instrText xml:space="preserve"> REF _Ref429565586 \h </w:instrText>
      </w:r>
      <w:r w:rsidR="00F37A91" w:rsidRPr="00545EC0">
        <w:rPr>
          <w:rFonts w:cs="Arial"/>
        </w:rPr>
        <w:instrText xml:space="preserve"> \* MERGEFORMAT </w:instrText>
      </w:r>
      <w:r w:rsidRPr="00545EC0">
        <w:rPr>
          <w:rFonts w:cs="Arial"/>
        </w:rPr>
      </w:r>
      <w:r w:rsidRPr="00545EC0">
        <w:rPr>
          <w:rFonts w:cs="Arial"/>
        </w:rPr>
        <w:fldChar w:fldCharType="separate"/>
      </w:r>
      <w:r w:rsidR="002F3E43" w:rsidRPr="00545EC0">
        <w:rPr>
          <w:rFonts w:cs="Arial"/>
        </w:rPr>
        <w:t xml:space="preserve">Slika </w:t>
      </w:r>
      <w:r w:rsidR="002F3E43">
        <w:rPr>
          <w:rFonts w:cs="Arial"/>
          <w:noProof/>
        </w:rPr>
        <w:t>2</w:t>
      </w:r>
      <w:r w:rsidR="002F3E43" w:rsidRPr="00545EC0">
        <w:rPr>
          <w:rFonts w:cs="Arial"/>
          <w:noProof/>
        </w:rPr>
        <w:noBreakHyphen/>
      </w:r>
      <w:r w:rsidR="002F3E43">
        <w:rPr>
          <w:rFonts w:cs="Arial"/>
          <w:noProof/>
        </w:rPr>
        <w:t>24</w:t>
      </w:r>
      <w:r w:rsidRPr="00545EC0">
        <w:rPr>
          <w:rFonts w:cs="Arial"/>
        </w:rPr>
        <w:fldChar w:fldCharType="end"/>
      </w:r>
      <w:r w:rsidRPr="00545EC0">
        <w:rPr>
          <w:rFonts w:cs="Arial"/>
        </w:rPr>
        <w:t>).</w:t>
      </w:r>
    </w:p>
    <w:p w14:paraId="57D54132" w14:textId="77777777" w:rsidR="00B06BDF" w:rsidRPr="00545EC0" w:rsidRDefault="00B06BDF" w:rsidP="00B06BDF">
      <w:pPr>
        <w:tabs>
          <w:tab w:val="num" w:pos="567"/>
          <w:tab w:val="left" w:pos="9600"/>
        </w:tabs>
        <w:spacing w:before="120"/>
        <w:rPr>
          <w:rFonts w:cs="Arial"/>
        </w:rPr>
      </w:pPr>
    </w:p>
    <w:p w14:paraId="2B3300EB" w14:textId="77777777" w:rsidR="00B06BDF" w:rsidRPr="00545EC0" w:rsidRDefault="00B06BDF" w:rsidP="00B06BDF">
      <w:pPr>
        <w:rPr>
          <w:rFonts w:cs="Arial"/>
        </w:rPr>
      </w:pPr>
      <w:r w:rsidRPr="00545EC0">
        <w:rPr>
          <w:noProof/>
        </w:rPr>
        <w:lastRenderedPageBreak/>
        <w:drawing>
          <wp:inline distT="0" distB="0" distL="0" distR="0" wp14:anchorId="14059C46" wp14:editId="5A483C87">
            <wp:extent cx="5619750" cy="3962400"/>
            <wp:effectExtent l="0" t="0" r="19050" b="19050"/>
            <wp:docPr id="44" name="Grafikon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EB70479" w14:textId="7D72AC42" w:rsidR="00B06BDF" w:rsidRPr="00545EC0" w:rsidRDefault="00B06BDF" w:rsidP="00B06BDF">
      <w:pPr>
        <w:pStyle w:val="Naslovpreg"/>
        <w:spacing w:line="240" w:lineRule="auto"/>
        <w:rPr>
          <w:rFonts w:cs="Arial"/>
          <w:lang w:val="sl-SI"/>
        </w:rPr>
      </w:pPr>
      <w:bookmarkStart w:id="230" w:name="_Ref429565586"/>
      <w:bookmarkStart w:id="231" w:name="_Toc427913904"/>
      <w:r w:rsidRPr="00545EC0">
        <w:rPr>
          <w:rFonts w:cs="Arial"/>
          <w:lang w:val="sl-SI"/>
        </w:rPr>
        <w:t xml:space="preserve">Slika </w:t>
      </w:r>
      <w:r w:rsidR="00396E1E" w:rsidRPr="00545EC0">
        <w:rPr>
          <w:rFonts w:cs="Arial"/>
          <w:lang w:val="sl-SI"/>
        </w:rPr>
        <w:fldChar w:fldCharType="begin"/>
      </w:r>
      <w:r w:rsidR="00396E1E" w:rsidRPr="00545EC0">
        <w:rPr>
          <w:rFonts w:cs="Arial"/>
          <w:lang w:val="sl-SI"/>
        </w:rPr>
        <w:instrText xml:space="preserve"> STYLEREF 1 \s </w:instrText>
      </w:r>
      <w:r w:rsidR="00396E1E" w:rsidRPr="00545EC0">
        <w:rPr>
          <w:rFonts w:cs="Arial"/>
          <w:lang w:val="sl-SI"/>
        </w:rPr>
        <w:fldChar w:fldCharType="separate"/>
      </w:r>
      <w:r w:rsidR="002F3E43">
        <w:rPr>
          <w:rFonts w:cs="Arial"/>
          <w:noProof/>
          <w:lang w:val="sl-SI"/>
        </w:rPr>
        <w:t>2</w:t>
      </w:r>
      <w:r w:rsidR="00396E1E" w:rsidRPr="00545EC0">
        <w:rPr>
          <w:rFonts w:cs="Arial"/>
          <w:lang w:val="sl-SI"/>
        </w:rPr>
        <w:fldChar w:fldCharType="end"/>
      </w:r>
      <w:r w:rsidR="00396E1E" w:rsidRPr="00545EC0">
        <w:rPr>
          <w:rFonts w:cs="Arial"/>
          <w:lang w:val="sl-SI"/>
        </w:rPr>
        <w:noBreakHyphen/>
      </w:r>
      <w:r w:rsidR="00396E1E" w:rsidRPr="00545EC0">
        <w:rPr>
          <w:rFonts w:cs="Arial"/>
          <w:lang w:val="sl-SI"/>
        </w:rPr>
        <w:fldChar w:fldCharType="begin"/>
      </w:r>
      <w:r w:rsidR="00396E1E" w:rsidRPr="00545EC0">
        <w:rPr>
          <w:rFonts w:cs="Arial"/>
          <w:lang w:val="sl-SI"/>
        </w:rPr>
        <w:instrText xml:space="preserve"> SEQ Slika \* ARABIC \s 1 </w:instrText>
      </w:r>
      <w:r w:rsidR="00396E1E" w:rsidRPr="00545EC0">
        <w:rPr>
          <w:rFonts w:cs="Arial"/>
          <w:lang w:val="sl-SI"/>
        </w:rPr>
        <w:fldChar w:fldCharType="separate"/>
      </w:r>
      <w:r w:rsidR="002F3E43">
        <w:rPr>
          <w:rFonts w:cs="Arial"/>
          <w:noProof/>
          <w:lang w:val="sl-SI"/>
        </w:rPr>
        <w:t>24</w:t>
      </w:r>
      <w:r w:rsidR="00396E1E" w:rsidRPr="00545EC0">
        <w:rPr>
          <w:rFonts w:cs="Arial"/>
          <w:lang w:val="sl-SI"/>
        </w:rPr>
        <w:fldChar w:fldCharType="end"/>
      </w:r>
      <w:bookmarkEnd w:id="230"/>
      <w:r w:rsidRPr="00545EC0">
        <w:rPr>
          <w:rFonts w:cs="Arial"/>
          <w:lang w:val="sl-SI"/>
        </w:rPr>
        <w:t xml:space="preserve">:  Pokrovnost tal po Corine land cover (CLC) na porečjih VO Donave v letu 2018 upoštevajoč razdelitev na kategorije za potrebe izvedbe analize </w:t>
      </w:r>
      <w:bookmarkEnd w:id="231"/>
    </w:p>
    <w:p w14:paraId="2E336C47" w14:textId="77777777" w:rsidR="00B06BDF" w:rsidRPr="00545EC0" w:rsidRDefault="00B06BDF" w:rsidP="00B06BDF">
      <w:pPr>
        <w:pStyle w:val="Naslovpreg"/>
        <w:spacing w:line="240" w:lineRule="auto"/>
        <w:rPr>
          <w:rFonts w:cs="Arial"/>
          <w:lang w:val="sl-SI"/>
        </w:rPr>
      </w:pPr>
    </w:p>
    <w:p w14:paraId="05CD9CDD" w14:textId="55FA17FB" w:rsidR="00B06BDF" w:rsidRPr="00545EC0" w:rsidRDefault="00B06BDF" w:rsidP="00B06BDF">
      <w:pPr>
        <w:tabs>
          <w:tab w:val="num" w:pos="567"/>
          <w:tab w:val="left" w:pos="9600"/>
        </w:tabs>
        <w:spacing w:before="120"/>
        <w:rPr>
          <w:rFonts w:cs="Arial"/>
        </w:rPr>
      </w:pPr>
      <w:r w:rsidRPr="00545EC0">
        <w:rPr>
          <w:rFonts w:cs="Arial"/>
        </w:rPr>
        <w:t>Površine, ki so opredeljene kot umetne površine, zasedajo 4 % površine VO Donave in so prostorsko zelo razpršene. Zaradi urbanizacij</w:t>
      </w:r>
      <w:r w:rsidRPr="00545EC0">
        <w:t>e</w:t>
      </w:r>
      <w:r w:rsidRPr="00545EC0">
        <w:rPr>
          <w:rFonts w:cs="Arial"/>
        </w:rPr>
        <w:t xml:space="preserve"> so spremembe rabe večjih površin opazne predvsem na obrobju naselij, zlasti za potrebe industrijskih </w:t>
      </w:r>
      <w:r w:rsidR="00F7031A" w:rsidRPr="00545EC0">
        <w:rPr>
          <w:rFonts w:cs="Arial"/>
        </w:rPr>
        <w:t xml:space="preserve">in storitvenih </w:t>
      </w:r>
      <w:r w:rsidRPr="00545EC0">
        <w:rPr>
          <w:rFonts w:cs="Arial"/>
        </w:rPr>
        <w:t>dejavnosti. Do nastajanja umetnih površin pa prihaja tudi ob trasah velikih infrastrukturnih objektov (kot npr. avtocest</w:t>
      </w:r>
      <w:r w:rsidR="00F7031A" w:rsidRPr="00545EC0">
        <w:rPr>
          <w:rFonts w:cs="Arial"/>
        </w:rPr>
        <w:t>e</w:t>
      </w:r>
      <w:r w:rsidRPr="00545EC0">
        <w:rPr>
          <w:rFonts w:cs="Arial"/>
        </w:rPr>
        <w:t>).</w:t>
      </w:r>
    </w:p>
    <w:p w14:paraId="3C077F2F" w14:textId="77777777" w:rsidR="00B06BDF" w:rsidRPr="00545EC0" w:rsidRDefault="00B06BDF" w:rsidP="00B06BDF">
      <w:pPr>
        <w:pStyle w:val="Naslovpreg"/>
        <w:spacing w:line="240" w:lineRule="auto"/>
        <w:rPr>
          <w:rFonts w:cs="Arial"/>
          <w:lang w:val="sl-SI"/>
        </w:rPr>
      </w:pPr>
    </w:p>
    <w:p w14:paraId="06A7110F" w14:textId="77777777" w:rsidR="00B06BDF" w:rsidRPr="00545EC0" w:rsidRDefault="00B06BDF" w:rsidP="00F7031A">
      <w:pPr>
        <w:tabs>
          <w:tab w:val="num" w:pos="567"/>
          <w:tab w:val="left" w:pos="9600"/>
        </w:tabs>
        <w:rPr>
          <w:rFonts w:cs="Arial"/>
        </w:rPr>
      </w:pPr>
      <w:r w:rsidRPr="00545EC0">
        <w:rPr>
          <w:rFonts w:cs="Arial"/>
        </w:rPr>
        <w:t>Raba tal je prepoznana kot pomembna obremenitev posameznega vodnega telesa površinskih voda, ki lahko vpliva na stanje površinskih voda ali na posamezne elemente oziroma parametre stanja površinskih voda, če ustreza pogojem, da je delež:</w:t>
      </w:r>
    </w:p>
    <w:p w14:paraId="52461DE7" w14:textId="30F58285" w:rsidR="00B06BDF" w:rsidRPr="00545EC0" w:rsidRDefault="00B06BDF" w:rsidP="00DD37C5">
      <w:pPr>
        <w:pStyle w:val="Odstavekseznama"/>
        <w:numPr>
          <w:ilvl w:val="0"/>
          <w:numId w:val="107"/>
        </w:numPr>
        <w:tabs>
          <w:tab w:val="num" w:pos="709"/>
          <w:tab w:val="left" w:pos="9600"/>
        </w:tabs>
        <w:rPr>
          <w:rFonts w:cs="Arial"/>
        </w:rPr>
      </w:pPr>
      <w:r w:rsidRPr="00545EC0">
        <w:rPr>
          <w:rFonts w:cs="Arial"/>
        </w:rPr>
        <w:t>kmetijskih površin z intenzivnim kmetijstvom na celotni prispevni površini vodnega telesa površinskih voda (vključno s prispevno površino izven meja Slovenije, če prispevna površina vodnega telesa sega v sosednje države) večji od 27 %,</w:t>
      </w:r>
    </w:p>
    <w:p w14:paraId="66F5FC42" w14:textId="1BFB46C1" w:rsidR="00B06BDF" w:rsidRPr="00545EC0" w:rsidRDefault="00B06BDF" w:rsidP="00DD37C5">
      <w:pPr>
        <w:pStyle w:val="Odstavekseznama"/>
        <w:numPr>
          <w:ilvl w:val="0"/>
          <w:numId w:val="107"/>
        </w:numPr>
        <w:tabs>
          <w:tab w:val="num" w:pos="709"/>
          <w:tab w:val="left" w:pos="9600"/>
        </w:tabs>
        <w:rPr>
          <w:rFonts w:cs="Arial"/>
        </w:rPr>
      </w:pPr>
      <w:r w:rsidRPr="00545EC0">
        <w:rPr>
          <w:rFonts w:cs="Arial"/>
        </w:rPr>
        <w:t xml:space="preserve">naravnih površin na celotni prispevni površini vodnega telesa površinskih voda (vključno s prispevno površino izven meja Slovenije, če prispevna površina vodnega telesa sega v sosednje države) manjši od 47 % ali </w:t>
      </w:r>
    </w:p>
    <w:p w14:paraId="4DC78DC1" w14:textId="4C5026E0" w:rsidR="00B06BDF" w:rsidRPr="00545EC0" w:rsidRDefault="00B06BDF" w:rsidP="00DD37C5">
      <w:pPr>
        <w:pStyle w:val="Odstavekseznama"/>
        <w:numPr>
          <w:ilvl w:val="0"/>
          <w:numId w:val="107"/>
        </w:numPr>
        <w:tabs>
          <w:tab w:val="num" w:pos="709"/>
          <w:tab w:val="left" w:pos="9600"/>
        </w:tabs>
        <w:rPr>
          <w:rFonts w:cs="Arial"/>
        </w:rPr>
      </w:pPr>
      <w:r w:rsidRPr="00545EC0">
        <w:rPr>
          <w:rFonts w:cs="Arial"/>
        </w:rPr>
        <w:t>umetnih površin na celotni prispevni površini vodnega telesa površinskih voda (vključno s prispevno površino izven meja Slovenije, če prispevna površina vodnega telesa sega v sos</w:t>
      </w:r>
      <w:r w:rsidR="00903F2C" w:rsidRPr="00545EC0">
        <w:rPr>
          <w:rFonts w:cs="Arial"/>
        </w:rPr>
        <w:t>ednje države) večji od 3 %.</w:t>
      </w:r>
    </w:p>
    <w:p w14:paraId="460080BA" w14:textId="1B2038D7" w:rsidR="00F7031A" w:rsidRPr="00545EC0" w:rsidRDefault="00F7031A" w:rsidP="00F7031A">
      <w:pPr>
        <w:tabs>
          <w:tab w:val="center" w:pos="426"/>
        </w:tabs>
        <w:rPr>
          <w:rFonts w:cs="Arial"/>
        </w:rPr>
      </w:pPr>
      <w:r w:rsidRPr="00545EC0">
        <w:t>Navedena merila oz. mejn</w:t>
      </w:r>
      <w:r w:rsidR="00D1178B" w:rsidRPr="00545EC0">
        <w:t>e</w:t>
      </w:r>
      <w:r w:rsidRPr="00545EC0">
        <w:t xml:space="preserve"> vrednost so bile določene v predhodnem načrtu upravljanja voda </w:t>
      </w:r>
      <w:r w:rsidRPr="00545EC0">
        <w:rPr>
          <w:rFonts w:cs="Arial"/>
          <w:szCs w:val="20"/>
        </w:rPr>
        <w:t xml:space="preserve">na podlagi </w:t>
      </w:r>
      <w:r w:rsidRPr="00545EC0">
        <w:rPr>
          <w:rFonts w:cs="Arial"/>
        </w:rPr>
        <w:t>povezanosti/soodvisnosti med izračuni obremenitev na vodnih telesih površinskih voda in rezultati državnega monitoringa stanja površinskih voda.</w:t>
      </w:r>
    </w:p>
    <w:p w14:paraId="05608F58" w14:textId="77777777" w:rsidR="00F7031A" w:rsidRPr="00545EC0" w:rsidRDefault="00F7031A" w:rsidP="00F7031A">
      <w:pPr>
        <w:tabs>
          <w:tab w:val="left" w:pos="9600"/>
        </w:tabs>
        <w:spacing w:before="120"/>
        <w:rPr>
          <w:rFonts w:cs="Arial"/>
        </w:rPr>
      </w:pPr>
    </w:p>
    <w:p w14:paraId="6C8F60AC" w14:textId="66C4F828" w:rsidR="00627979" w:rsidRPr="00545EC0" w:rsidRDefault="00B06BDF" w:rsidP="003122F4">
      <w:r w:rsidRPr="00545EC0">
        <w:t xml:space="preserve">Na VO Donave je pomembna obremenitev zaradi rabe tal na celotni prispevni površini vodnega telesa površinskih voda (vključno s prispevno površino izven meja Slovenije, če prispevna površina vodnega telesa sega v sosednje države) ugotovljena za 30 vodnih teles površinskih voda, kjer je kot </w:t>
      </w:r>
      <w:r w:rsidRPr="00545EC0">
        <w:lastRenderedPageBreak/>
        <w:t>pomembna obremenitev ugotovljeno obremenjevanje voda zaradi več kot 27 % kmetijskih površin z intenzivnim kmetijstvom, 24 vodnih teles površinskih voda, kjer je kot pomembna obremenitev ugotovljeno obremenjevanje voda zaradi manj kot 47 % naravnih površin in 55 vodnih teles površinskih voda, kjer je kot pomembna obremenitev ugotovljeno obremenjevanje voda zaradi več kot 3% umetnih površin. Vodna telesa površinskih voda, kjer s</w:t>
      </w:r>
      <w:r w:rsidR="00371546" w:rsidRPr="00545EC0">
        <w:t>ta</w:t>
      </w:r>
      <w:r w:rsidRPr="00545EC0">
        <w:t xml:space="preserve"> prepoznan</w:t>
      </w:r>
      <w:r w:rsidR="00371546" w:rsidRPr="00545EC0">
        <w:t>i</w:t>
      </w:r>
      <w:r w:rsidRPr="00545EC0">
        <w:t xml:space="preserve"> najmanj dve ali več vrst pomembnih obremenitev zaradi spremenjene rabe tal</w:t>
      </w:r>
      <w:r w:rsidR="00357381" w:rsidRPr="00545EC0">
        <w:t>,</w:t>
      </w:r>
      <w:r w:rsidRPr="00545EC0">
        <w:t xml:space="preserve"> </w:t>
      </w:r>
      <w:r w:rsidR="00371546" w:rsidRPr="00545EC0">
        <w:t>so navedena</w:t>
      </w:r>
      <w:r w:rsidRPr="00545EC0">
        <w:t xml:space="preserve"> v preglednici (</w:t>
      </w:r>
      <w:r w:rsidR="00372222" w:rsidRPr="00545EC0">
        <w:fldChar w:fldCharType="begin"/>
      </w:r>
      <w:r w:rsidR="00372222" w:rsidRPr="00545EC0">
        <w:instrText xml:space="preserve"> REF _Ref84321139 \h </w:instrText>
      </w:r>
      <w:r w:rsidR="00F37A91" w:rsidRPr="00545EC0">
        <w:instrText xml:space="preserve"> \* MERGEFORMAT </w:instrText>
      </w:r>
      <w:r w:rsidR="00372222" w:rsidRPr="00545EC0">
        <w:fldChar w:fldCharType="separate"/>
      </w:r>
      <w:r w:rsidR="002F3E43" w:rsidRPr="00545EC0">
        <w:t xml:space="preserve">Preglednica </w:t>
      </w:r>
      <w:r w:rsidR="002F3E43">
        <w:t>2</w:t>
      </w:r>
      <w:r w:rsidR="002F3E43" w:rsidRPr="00545EC0">
        <w:noBreakHyphen/>
      </w:r>
      <w:r w:rsidR="002F3E43">
        <w:t>35</w:t>
      </w:r>
      <w:r w:rsidR="00372222" w:rsidRPr="00545EC0">
        <w:fldChar w:fldCharType="end"/>
      </w:r>
      <w:r w:rsidR="00903F2C" w:rsidRPr="00545EC0">
        <w:t>).</w:t>
      </w:r>
    </w:p>
    <w:p w14:paraId="3DE97D93" w14:textId="77777777" w:rsidR="00903F2C" w:rsidRPr="00545EC0" w:rsidRDefault="00903F2C" w:rsidP="003122F4"/>
    <w:p w14:paraId="4EE1D68E" w14:textId="00335216" w:rsidR="00627979" w:rsidRPr="00545EC0" w:rsidRDefault="00627979" w:rsidP="00627979">
      <w:pPr>
        <w:pStyle w:val="Napis"/>
        <w:keepNext/>
      </w:pPr>
      <w:bookmarkStart w:id="232" w:name="_Ref84321139"/>
      <w:bookmarkStart w:id="233" w:name="_Ref84257358"/>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35</w:t>
        </w:r>
      </w:fldSimple>
      <w:bookmarkEnd w:id="232"/>
      <w:r w:rsidRPr="00545EC0">
        <w:t>: Vodna telesa površinskih voda, kjer s</w:t>
      </w:r>
      <w:r w:rsidR="00371546" w:rsidRPr="00545EC0">
        <w:t>ta</w:t>
      </w:r>
      <w:r w:rsidRPr="00545EC0">
        <w:t xml:space="preserve"> prepoznan</w:t>
      </w:r>
      <w:r w:rsidR="00371546" w:rsidRPr="00545EC0">
        <w:t>i</w:t>
      </w:r>
      <w:r w:rsidRPr="00545EC0">
        <w:t xml:space="preserve"> najmanj dve ali več vrst pomembnih obremenitev zaradi spremenjene rabe tal</w:t>
      </w:r>
      <w:bookmarkEnd w:id="233"/>
    </w:p>
    <w:tbl>
      <w:tblPr>
        <w:tblStyle w:val="Tabelamrea"/>
        <w:tblW w:w="0" w:type="auto"/>
        <w:tblLook w:val="04A0" w:firstRow="1" w:lastRow="0" w:firstColumn="1" w:lastColumn="0" w:noHBand="0" w:noVBand="1"/>
      </w:tblPr>
      <w:tblGrid>
        <w:gridCol w:w="5607"/>
        <w:gridCol w:w="1414"/>
        <w:gridCol w:w="1133"/>
        <w:gridCol w:w="1133"/>
      </w:tblGrid>
      <w:tr w:rsidR="003122F4" w:rsidRPr="00545EC0" w14:paraId="4E5D62C4" w14:textId="77777777" w:rsidTr="00903F2C">
        <w:tc>
          <w:tcPr>
            <w:tcW w:w="5607" w:type="dxa"/>
            <w:vMerge w:val="restart"/>
            <w:shd w:val="clear" w:color="auto" w:fill="F2F2F2" w:themeFill="background1" w:themeFillShade="F2"/>
            <w:vAlign w:val="center"/>
          </w:tcPr>
          <w:p w14:paraId="3E6691CB" w14:textId="77777777" w:rsidR="00B06BDF" w:rsidRPr="00545EC0" w:rsidRDefault="00B06BDF" w:rsidP="00EA7EE8">
            <w:pPr>
              <w:tabs>
                <w:tab w:val="left" w:pos="0"/>
              </w:tabs>
              <w:rPr>
                <w:rFonts w:cs="Arial"/>
                <w:b/>
                <w:sz w:val="18"/>
                <w:szCs w:val="18"/>
              </w:rPr>
            </w:pPr>
            <w:r w:rsidRPr="00545EC0">
              <w:rPr>
                <w:rFonts w:cs="Arial"/>
                <w:b/>
                <w:sz w:val="18"/>
                <w:szCs w:val="18"/>
              </w:rPr>
              <w:t>Šifra in ime VTPV</w:t>
            </w:r>
          </w:p>
        </w:tc>
        <w:tc>
          <w:tcPr>
            <w:tcW w:w="3680" w:type="dxa"/>
            <w:gridSpan w:val="3"/>
            <w:shd w:val="clear" w:color="auto" w:fill="F2F2F2" w:themeFill="background1" w:themeFillShade="F2"/>
            <w:vAlign w:val="center"/>
          </w:tcPr>
          <w:p w14:paraId="7FF3FDD2" w14:textId="77777777" w:rsidR="00B06BDF" w:rsidRPr="00545EC0" w:rsidRDefault="00B06BDF" w:rsidP="00EA7EE8">
            <w:pPr>
              <w:tabs>
                <w:tab w:val="left" w:pos="0"/>
              </w:tabs>
              <w:jc w:val="center"/>
              <w:rPr>
                <w:rFonts w:cs="Arial"/>
                <w:b/>
                <w:sz w:val="18"/>
                <w:szCs w:val="18"/>
              </w:rPr>
            </w:pPr>
            <w:r w:rsidRPr="00545EC0">
              <w:rPr>
                <w:rFonts w:cs="Arial"/>
                <w:b/>
                <w:sz w:val="18"/>
                <w:szCs w:val="18"/>
              </w:rPr>
              <w:t>Pomembne obremenitve zaradi rabe tal na celotni prispevni površini VTPV</w:t>
            </w:r>
          </w:p>
        </w:tc>
      </w:tr>
      <w:tr w:rsidR="003122F4" w:rsidRPr="00545EC0" w14:paraId="0DD63011" w14:textId="77777777" w:rsidTr="00903F2C">
        <w:tc>
          <w:tcPr>
            <w:tcW w:w="5607" w:type="dxa"/>
            <w:vMerge/>
            <w:shd w:val="clear" w:color="auto" w:fill="F2F2F2" w:themeFill="background1" w:themeFillShade="F2"/>
          </w:tcPr>
          <w:p w14:paraId="6FA2CE3F" w14:textId="77777777" w:rsidR="00B06BDF" w:rsidRPr="00545EC0" w:rsidRDefault="00B06BDF" w:rsidP="00EA7EE8">
            <w:pPr>
              <w:tabs>
                <w:tab w:val="left" w:pos="0"/>
              </w:tabs>
              <w:rPr>
                <w:rFonts w:cs="Arial"/>
                <w:b/>
                <w:sz w:val="18"/>
                <w:szCs w:val="18"/>
              </w:rPr>
            </w:pPr>
          </w:p>
        </w:tc>
        <w:tc>
          <w:tcPr>
            <w:tcW w:w="1414" w:type="dxa"/>
            <w:shd w:val="clear" w:color="auto" w:fill="F2F2F2" w:themeFill="background1" w:themeFillShade="F2"/>
            <w:vAlign w:val="center"/>
          </w:tcPr>
          <w:p w14:paraId="53CF26F2" w14:textId="77777777" w:rsidR="00B06BDF" w:rsidRPr="00545EC0" w:rsidRDefault="00B06BDF" w:rsidP="00EA7EE8">
            <w:pPr>
              <w:jc w:val="center"/>
              <w:rPr>
                <w:rFonts w:cs="Arial"/>
                <w:b/>
                <w:sz w:val="18"/>
                <w:szCs w:val="18"/>
              </w:rPr>
            </w:pPr>
            <w:r w:rsidRPr="00545EC0">
              <w:rPr>
                <w:rFonts w:cs="Arial"/>
                <w:b/>
                <w:sz w:val="18"/>
                <w:szCs w:val="18"/>
              </w:rPr>
              <w:t>Kmetijske površine - intenzivno kmetijstvo</w:t>
            </w:r>
          </w:p>
        </w:tc>
        <w:tc>
          <w:tcPr>
            <w:tcW w:w="1133" w:type="dxa"/>
            <w:shd w:val="clear" w:color="auto" w:fill="F2F2F2" w:themeFill="background1" w:themeFillShade="F2"/>
            <w:vAlign w:val="center"/>
          </w:tcPr>
          <w:p w14:paraId="4D15E682" w14:textId="77777777" w:rsidR="00B06BDF" w:rsidRPr="00545EC0" w:rsidRDefault="00B06BDF" w:rsidP="00EA7EE8">
            <w:pPr>
              <w:jc w:val="center"/>
              <w:rPr>
                <w:rFonts w:cs="Arial"/>
                <w:b/>
                <w:sz w:val="18"/>
                <w:szCs w:val="18"/>
              </w:rPr>
            </w:pPr>
            <w:r w:rsidRPr="00545EC0">
              <w:rPr>
                <w:rFonts w:cs="Arial"/>
                <w:b/>
                <w:sz w:val="18"/>
                <w:szCs w:val="18"/>
              </w:rPr>
              <w:t>Naravne površine</w:t>
            </w:r>
          </w:p>
        </w:tc>
        <w:tc>
          <w:tcPr>
            <w:tcW w:w="1133" w:type="dxa"/>
            <w:shd w:val="clear" w:color="auto" w:fill="F2F2F2" w:themeFill="background1" w:themeFillShade="F2"/>
            <w:vAlign w:val="center"/>
          </w:tcPr>
          <w:p w14:paraId="5C38E5D6" w14:textId="77777777" w:rsidR="00B06BDF" w:rsidRPr="00545EC0" w:rsidRDefault="00B06BDF" w:rsidP="00EA7EE8">
            <w:pPr>
              <w:jc w:val="center"/>
              <w:rPr>
                <w:rFonts w:cs="Arial"/>
                <w:b/>
                <w:sz w:val="18"/>
                <w:szCs w:val="18"/>
              </w:rPr>
            </w:pPr>
            <w:r w:rsidRPr="00545EC0">
              <w:rPr>
                <w:rFonts w:cs="Arial"/>
                <w:b/>
                <w:sz w:val="18"/>
                <w:szCs w:val="18"/>
              </w:rPr>
              <w:t>Umetne površine</w:t>
            </w:r>
          </w:p>
        </w:tc>
      </w:tr>
      <w:tr w:rsidR="003122F4" w:rsidRPr="00545EC0" w14:paraId="21FA4B84" w14:textId="77777777" w:rsidTr="00627979">
        <w:tc>
          <w:tcPr>
            <w:tcW w:w="5607" w:type="dxa"/>
            <w:vAlign w:val="bottom"/>
          </w:tcPr>
          <w:p w14:paraId="6CFEB02C" w14:textId="77777777" w:rsidR="00B06BDF" w:rsidRPr="00545EC0" w:rsidRDefault="00B06BDF" w:rsidP="00EA7EE8">
            <w:pPr>
              <w:rPr>
                <w:rFonts w:cs="Arial"/>
                <w:sz w:val="18"/>
                <w:szCs w:val="18"/>
              </w:rPr>
            </w:pPr>
            <w:r w:rsidRPr="00545EC0">
              <w:rPr>
                <w:rFonts w:cs="Arial"/>
                <w:sz w:val="18"/>
                <w:szCs w:val="18"/>
              </w:rPr>
              <w:t>SI1326VT VT Pšata</w:t>
            </w:r>
          </w:p>
        </w:tc>
        <w:tc>
          <w:tcPr>
            <w:tcW w:w="1414" w:type="dxa"/>
            <w:vAlign w:val="bottom"/>
          </w:tcPr>
          <w:p w14:paraId="01B98A70"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4600A74E"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221F3328" w14:textId="77777777" w:rsidR="00B06BDF" w:rsidRPr="00545EC0" w:rsidRDefault="00B06BDF" w:rsidP="00EA7EE8">
            <w:pPr>
              <w:jc w:val="center"/>
              <w:rPr>
                <w:rFonts w:cs="Arial"/>
                <w:sz w:val="18"/>
                <w:szCs w:val="18"/>
              </w:rPr>
            </w:pPr>
            <w:r w:rsidRPr="00545EC0">
              <w:rPr>
                <w:rFonts w:cs="Arial"/>
                <w:sz w:val="18"/>
                <w:szCs w:val="18"/>
              </w:rPr>
              <w:t>x</w:t>
            </w:r>
          </w:p>
        </w:tc>
      </w:tr>
      <w:tr w:rsidR="003122F4" w:rsidRPr="00545EC0" w14:paraId="2FE6C1C0" w14:textId="77777777" w:rsidTr="00627979">
        <w:tc>
          <w:tcPr>
            <w:tcW w:w="5607" w:type="dxa"/>
            <w:vAlign w:val="bottom"/>
          </w:tcPr>
          <w:p w14:paraId="1A2FD375" w14:textId="77777777" w:rsidR="00B06BDF" w:rsidRPr="00545EC0" w:rsidRDefault="00B06BDF" w:rsidP="00EA7EE8">
            <w:pPr>
              <w:rPr>
                <w:rFonts w:cs="Arial"/>
                <w:sz w:val="18"/>
                <w:szCs w:val="18"/>
              </w:rPr>
            </w:pPr>
            <w:r w:rsidRPr="00545EC0">
              <w:rPr>
                <w:rFonts w:cs="Arial"/>
                <w:sz w:val="18"/>
                <w:szCs w:val="18"/>
              </w:rPr>
              <w:t>SI1476VT VT Iščica</w:t>
            </w:r>
          </w:p>
        </w:tc>
        <w:tc>
          <w:tcPr>
            <w:tcW w:w="1414" w:type="dxa"/>
            <w:vAlign w:val="bottom"/>
          </w:tcPr>
          <w:p w14:paraId="37CFF470"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3FE14AB9" w14:textId="77777777" w:rsidR="00B06BDF" w:rsidRPr="00545EC0" w:rsidRDefault="00B06BDF" w:rsidP="00EA7EE8">
            <w:pPr>
              <w:rPr>
                <w:rFonts w:cs="Arial"/>
                <w:sz w:val="18"/>
                <w:szCs w:val="18"/>
              </w:rPr>
            </w:pPr>
            <w:r w:rsidRPr="00545EC0">
              <w:rPr>
                <w:rFonts w:cs="Arial"/>
                <w:sz w:val="18"/>
                <w:szCs w:val="18"/>
              </w:rPr>
              <w:t> </w:t>
            </w:r>
          </w:p>
        </w:tc>
        <w:tc>
          <w:tcPr>
            <w:tcW w:w="1133" w:type="dxa"/>
            <w:vAlign w:val="bottom"/>
          </w:tcPr>
          <w:p w14:paraId="40FC7379" w14:textId="77777777" w:rsidR="00B06BDF" w:rsidRPr="00545EC0" w:rsidRDefault="00B06BDF" w:rsidP="00EA7EE8">
            <w:pPr>
              <w:jc w:val="center"/>
              <w:rPr>
                <w:rFonts w:cs="Arial"/>
                <w:sz w:val="18"/>
                <w:szCs w:val="18"/>
              </w:rPr>
            </w:pPr>
            <w:r w:rsidRPr="00545EC0">
              <w:rPr>
                <w:rFonts w:cs="Arial"/>
                <w:sz w:val="18"/>
                <w:szCs w:val="18"/>
              </w:rPr>
              <w:t>x</w:t>
            </w:r>
          </w:p>
        </w:tc>
      </w:tr>
      <w:tr w:rsidR="003122F4" w:rsidRPr="00545EC0" w14:paraId="6A1C733F" w14:textId="77777777" w:rsidTr="00627979">
        <w:tc>
          <w:tcPr>
            <w:tcW w:w="5607" w:type="dxa"/>
            <w:vAlign w:val="bottom"/>
          </w:tcPr>
          <w:p w14:paraId="42A39F98" w14:textId="77777777" w:rsidR="00B06BDF" w:rsidRPr="00545EC0" w:rsidRDefault="00B06BDF" w:rsidP="00EA7EE8">
            <w:pPr>
              <w:rPr>
                <w:rFonts w:cs="Arial"/>
                <w:sz w:val="18"/>
                <w:szCs w:val="18"/>
              </w:rPr>
            </w:pPr>
            <w:r w:rsidRPr="00545EC0">
              <w:rPr>
                <w:rFonts w:cs="Arial"/>
                <w:sz w:val="18"/>
                <w:szCs w:val="18"/>
              </w:rPr>
              <w:t>SI1668VT MPVT zadrževalnik Šmartinsko jezero</w:t>
            </w:r>
          </w:p>
        </w:tc>
        <w:tc>
          <w:tcPr>
            <w:tcW w:w="1414" w:type="dxa"/>
            <w:vAlign w:val="bottom"/>
          </w:tcPr>
          <w:p w14:paraId="1A2E5094"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7DD606BE"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16CDA415" w14:textId="77777777" w:rsidR="00B06BDF" w:rsidRPr="00545EC0" w:rsidRDefault="00B06BDF" w:rsidP="00EA7EE8">
            <w:pPr>
              <w:rPr>
                <w:rFonts w:cs="Arial"/>
                <w:sz w:val="18"/>
                <w:szCs w:val="18"/>
              </w:rPr>
            </w:pPr>
            <w:r w:rsidRPr="00545EC0">
              <w:rPr>
                <w:rFonts w:cs="Arial"/>
                <w:sz w:val="18"/>
                <w:szCs w:val="18"/>
              </w:rPr>
              <w:t> </w:t>
            </w:r>
          </w:p>
        </w:tc>
      </w:tr>
      <w:tr w:rsidR="003122F4" w:rsidRPr="00545EC0" w14:paraId="2DE83955" w14:textId="77777777" w:rsidTr="00627979">
        <w:tc>
          <w:tcPr>
            <w:tcW w:w="5607" w:type="dxa"/>
            <w:vAlign w:val="bottom"/>
          </w:tcPr>
          <w:p w14:paraId="607E2BE0" w14:textId="77777777" w:rsidR="00B06BDF" w:rsidRPr="00545EC0" w:rsidRDefault="00B06BDF" w:rsidP="00EA7EE8">
            <w:pPr>
              <w:rPr>
                <w:rFonts w:cs="Arial"/>
                <w:sz w:val="18"/>
                <w:szCs w:val="18"/>
              </w:rPr>
            </w:pPr>
            <w:r w:rsidRPr="00545EC0">
              <w:rPr>
                <w:rFonts w:cs="Arial"/>
                <w:sz w:val="18"/>
                <w:szCs w:val="18"/>
              </w:rPr>
              <w:t>SI168VT3 MPVT zadrževalnik Slivniško jezero</w:t>
            </w:r>
          </w:p>
        </w:tc>
        <w:tc>
          <w:tcPr>
            <w:tcW w:w="1414" w:type="dxa"/>
            <w:vAlign w:val="bottom"/>
          </w:tcPr>
          <w:p w14:paraId="6366111B"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5DAB25C1"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09D43B01" w14:textId="77777777" w:rsidR="00B06BDF" w:rsidRPr="00545EC0" w:rsidRDefault="00B06BDF" w:rsidP="00EA7EE8">
            <w:pPr>
              <w:rPr>
                <w:rFonts w:cs="Arial"/>
                <w:sz w:val="18"/>
                <w:szCs w:val="18"/>
              </w:rPr>
            </w:pPr>
            <w:r w:rsidRPr="00545EC0">
              <w:rPr>
                <w:rFonts w:cs="Arial"/>
                <w:sz w:val="18"/>
                <w:szCs w:val="18"/>
              </w:rPr>
              <w:t> </w:t>
            </w:r>
          </w:p>
        </w:tc>
      </w:tr>
      <w:tr w:rsidR="003122F4" w:rsidRPr="00545EC0" w14:paraId="01572E6B" w14:textId="77777777" w:rsidTr="00627979">
        <w:tc>
          <w:tcPr>
            <w:tcW w:w="5607" w:type="dxa"/>
            <w:vAlign w:val="bottom"/>
          </w:tcPr>
          <w:p w14:paraId="40EC2C8C" w14:textId="77777777" w:rsidR="00B06BDF" w:rsidRPr="00545EC0" w:rsidRDefault="00B06BDF" w:rsidP="00EA7EE8">
            <w:pPr>
              <w:rPr>
                <w:rFonts w:cs="Arial"/>
                <w:sz w:val="18"/>
                <w:szCs w:val="18"/>
              </w:rPr>
            </w:pPr>
            <w:r w:rsidRPr="00545EC0">
              <w:rPr>
                <w:rFonts w:cs="Arial"/>
                <w:sz w:val="18"/>
                <w:szCs w:val="18"/>
              </w:rPr>
              <w:t>SI168VT9 VT Voglajna zadrževalnik Slivniško jezero – Celje</w:t>
            </w:r>
          </w:p>
        </w:tc>
        <w:tc>
          <w:tcPr>
            <w:tcW w:w="1414" w:type="dxa"/>
            <w:vAlign w:val="bottom"/>
          </w:tcPr>
          <w:p w14:paraId="3F75D951"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271EC5D4"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629821D7" w14:textId="77777777" w:rsidR="00B06BDF" w:rsidRPr="00545EC0" w:rsidRDefault="00B06BDF" w:rsidP="00EA7EE8">
            <w:pPr>
              <w:jc w:val="center"/>
              <w:rPr>
                <w:rFonts w:cs="Arial"/>
                <w:sz w:val="18"/>
                <w:szCs w:val="18"/>
              </w:rPr>
            </w:pPr>
            <w:r w:rsidRPr="00545EC0">
              <w:rPr>
                <w:rFonts w:cs="Arial"/>
                <w:sz w:val="18"/>
                <w:szCs w:val="18"/>
              </w:rPr>
              <w:t>x</w:t>
            </w:r>
          </w:p>
        </w:tc>
      </w:tr>
      <w:tr w:rsidR="003122F4" w:rsidRPr="00545EC0" w14:paraId="0B6A35FB" w14:textId="77777777" w:rsidTr="00627979">
        <w:tc>
          <w:tcPr>
            <w:tcW w:w="5607" w:type="dxa"/>
            <w:vAlign w:val="bottom"/>
          </w:tcPr>
          <w:p w14:paraId="089C7546" w14:textId="77777777" w:rsidR="00B06BDF" w:rsidRPr="00545EC0" w:rsidRDefault="00B06BDF" w:rsidP="00EA7EE8">
            <w:pPr>
              <w:rPr>
                <w:rFonts w:cs="Arial"/>
                <w:sz w:val="18"/>
                <w:szCs w:val="18"/>
              </w:rPr>
            </w:pPr>
            <w:r w:rsidRPr="00545EC0">
              <w:rPr>
                <w:rFonts w:cs="Arial"/>
                <w:sz w:val="18"/>
                <w:szCs w:val="18"/>
              </w:rPr>
              <w:t>SI186VT3 VT Temenica I</w:t>
            </w:r>
          </w:p>
        </w:tc>
        <w:tc>
          <w:tcPr>
            <w:tcW w:w="1414" w:type="dxa"/>
            <w:vAlign w:val="bottom"/>
          </w:tcPr>
          <w:p w14:paraId="754BACF5"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733736FD" w14:textId="77777777" w:rsidR="00B06BDF" w:rsidRPr="00545EC0" w:rsidRDefault="00B06BDF" w:rsidP="00EA7EE8">
            <w:pPr>
              <w:rPr>
                <w:rFonts w:cs="Arial"/>
                <w:sz w:val="18"/>
                <w:szCs w:val="18"/>
              </w:rPr>
            </w:pPr>
            <w:r w:rsidRPr="00545EC0">
              <w:rPr>
                <w:rFonts w:cs="Arial"/>
                <w:sz w:val="18"/>
                <w:szCs w:val="18"/>
              </w:rPr>
              <w:t> </w:t>
            </w:r>
          </w:p>
        </w:tc>
        <w:tc>
          <w:tcPr>
            <w:tcW w:w="1133" w:type="dxa"/>
            <w:vAlign w:val="bottom"/>
          </w:tcPr>
          <w:p w14:paraId="2845736F" w14:textId="77777777" w:rsidR="00B06BDF" w:rsidRPr="00545EC0" w:rsidRDefault="00B06BDF" w:rsidP="00EA7EE8">
            <w:pPr>
              <w:jc w:val="center"/>
              <w:rPr>
                <w:rFonts w:cs="Arial"/>
                <w:sz w:val="18"/>
                <w:szCs w:val="18"/>
              </w:rPr>
            </w:pPr>
            <w:r w:rsidRPr="00545EC0">
              <w:rPr>
                <w:rFonts w:cs="Arial"/>
                <w:sz w:val="18"/>
                <w:szCs w:val="18"/>
              </w:rPr>
              <w:t>x</w:t>
            </w:r>
          </w:p>
        </w:tc>
      </w:tr>
      <w:tr w:rsidR="003122F4" w:rsidRPr="00545EC0" w14:paraId="024CFB5C" w14:textId="77777777" w:rsidTr="00627979">
        <w:tc>
          <w:tcPr>
            <w:tcW w:w="5607" w:type="dxa"/>
            <w:vAlign w:val="bottom"/>
          </w:tcPr>
          <w:p w14:paraId="04A58AB2" w14:textId="77777777" w:rsidR="00B06BDF" w:rsidRPr="00545EC0" w:rsidRDefault="00B06BDF" w:rsidP="00EA7EE8">
            <w:pPr>
              <w:rPr>
                <w:rFonts w:cs="Arial"/>
                <w:sz w:val="18"/>
                <w:szCs w:val="18"/>
              </w:rPr>
            </w:pPr>
            <w:r w:rsidRPr="00545EC0">
              <w:rPr>
                <w:rFonts w:cs="Arial"/>
                <w:sz w:val="18"/>
                <w:szCs w:val="18"/>
              </w:rPr>
              <w:t>SI1922VT VT Mestinjščica</w:t>
            </w:r>
          </w:p>
        </w:tc>
        <w:tc>
          <w:tcPr>
            <w:tcW w:w="1414" w:type="dxa"/>
            <w:vAlign w:val="bottom"/>
          </w:tcPr>
          <w:p w14:paraId="5DC67E18"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22E037BC"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0EC6F90C" w14:textId="77777777" w:rsidR="00B06BDF" w:rsidRPr="00545EC0" w:rsidRDefault="00B06BDF" w:rsidP="00EA7EE8">
            <w:pPr>
              <w:rPr>
                <w:rFonts w:cs="Arial"/>
                <w:sz w:val="18"/>
                <w:szCs w:val="18"/>
              </w:rPr>
            </w:pPr>
            <w:r w:rsidRPr="00545EC0">
              <w:rPr>
                <w:rFonts w:cs="Arial"/>
                <w:sz w:val="18"/>
                <w:szCs w:val="18"/>
              </w:rPr>
              <w:t> </w:t>
            </w:r>
          </w:p>
        </w:tc>
      </w:tr>
      <w:tr w:rsidR="003122F4" w:rsidRPr="00545EC0" w14:paraId="1B0D807E" w14:textId="77777777" w:rsidTr="00627979">
        <w:tc>
          <w:tcPr>
            <w:tcW w:w="5607" w:type="dxa"/>
            <w:vAlign w:val="bottom"/>
          </w:tcPr>
          <w:p w14:paraId="5E539C29" w14:textId="77777777" w:rsidR="00B06BDF" w:rsidRPr="00545EC0" w:rsidRDefault="00B06BDF" w:rsidP="00EA7EE8">
            <w:pPr>
              <w:rPr>
                <w:rFonts w:cs="Arial"/>
                <w:sz w:val="18"/>
                <w:szCs w:val="18"/>
              </w:rPr>
            </w:pPr>
            <w:r w:rsidRPr="00545EC0">
              <w:rPr>
                <w:rFonts w:cs="Arial"/>
                <w:sz w:val="18"/>
                <w:szCs w:val="18"/>
              </w:rPr>
              <w:t>SI1924VT1 VT Bistrica povirje – Lesično</w:t>
            </w:r>
          </w:p>
        </w:tc>
        <w:tc>
          <w:tcPr>
            <w:tcW w:w="1414" w:type="dxa"/>
            <w:vAlign w:val="bottom"/>
          </w:tcPr>
          <w:p w14:paraId="489AC363"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74468C6C"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5185F4CF" w14:textId="77777777" w:rsidR="00B06BDF" w:rsidRPr="00545EC0" w:rsidRDefault="00B06BDF" w:rsidP="00EA7EE8">
            <w:pPr>
              <w:rPr>
                <w:rFonts w:cs="Arial"/>
                <w:sz w:val="18"/>
                <w:szCs w:val="18"/>
              </w:rPr>
            </w:pPr>
            <w:r w:rsidRPr="00545EC0">
              <w:rPr>
                <w:rFonts w:cs="Arial"/>
                <w:sz w:val="18"/>
                <w:szCs w:val="18"/>
              </w:rPr>
              <w:t> </w:t>
            </w:r>
          </w:p>
        </w:tc>
      </w:tr>
      <w:tr w:rsidR="003122F4" w:rsidRPr="00545EC0" w14:paraId="40972456" w14:textId="77777777" w:rsidTr="00627979">
        <w:tc>
          <w:tcPr>
            <w:tcW w:w="5607" w:type="dxa"/>
            <w:vAlign w:val="bottom"/>
          </w:tcPr>
          <w:p w14:paraId="70072CB3" w14:textId="77777777" w:rsidR="00B06BDF" w:rsidRPr="00545EC0" w:rsidRDefault="00B06BDF" w:rsidP="00EA7EE8">
            <w:pPr>
              <w:rPr>
                <w:rFonts w:cs="Arial"/>
                <w:sz w:val="18"/>
                <w:szCs w:val="18"/>
              </w:rPr>
            </w:pPr>
            <w:r w:rsidRPr="00545EC0">
              <w:rPr>
                <w:rFonts w:cs="Arial"/>
                <w:sz w:val="18"/>
                <w:szCs w:val="18"/>
              </w:rPr>
              <w:t>SI192VT5 VT Sotla Podčetrtek – Ključ</w:t>
            </w:r>
          </w:p>
        </w:tc>
        <w:tc>
          <w:tcPr>
            <w:tcW w:w="1414" w:type="dxa"/>
            <w:vAlign w:val="bottom"/>
          </w:tcPr>
          <w:p w14:paraId="5E4AC171"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74EBF3F9"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1AFB9530" w14:textId="77777777" w:rsidR="00B06BDF" w:rsidRPr="00545EC0" w:rsidRDefault="00B06BDF" w:rsidP="00EA7EE8">
            <w:pPr>
              <w:rPr>
                <w:rFonts w:cs="Arial"/>
                <w:sz w:val="18"/>
                <w:szCs w:val="18"/>
              </w:rPr>
            </w:pPr>
            <w:r w:rsidRPr="00545EC0">
              <w:rPr>
                <w:rFonts w:cs="Arial"/>
                <w:sz w:val="18"/>
                <w:szCs w:val="18"/>
              </w:rPr>
              <w:t> </w:t>
            </w:r>
          </w:p>
        </w:tc>
      </w:tr>
      <w:tr w:rsidR="003122F4" w:rsidRPr="00545EC0" w14:paraId="54790EBC" w14:textId="77777777" w:rsidTr="00627979">
        <w:tc>
          <w:tcPr>
            <w:tcW w:w="5607" w:type="dxa"/>
            <w:vAlign w:val="bottom"/>
          </w:tcPr>
          <w:p w14:paraId="0159BF2D" w14:textId="77777777" w:rsidR="00B06BDF" w:rsidRPr="00545EC0" w:rsidRDefault="00B06BDF" w:rsidP="00EA7EE8">
            <w:pPr>
              <w:rPr>
                <w:rFonts w:cs="Arial"/>
                <w:sz w:val="18"/>
                <w:szCs w:val="18"/>
              </w:rPr>
            </w:pPr>
            <w:r w:rsidRPr="00545EC0">
              <w:rPr>
                <w:rFonts w:cs="Arial"/>
                <w:sz w:val="18"/>
                <w:szCs w:val="18"/>
              </w:rPr>
              <w:t>SI364VT1 VT Ložnica povirje – Slovenska Bistrica</w:t>
            </w:r>
          </w:p>
        </w:tc>
        <w:tc>
          <w:tcPr>
            <w:tcW w:w="1414" w:type="dxa"/>
            <w:vAlign w:val="bottom"/>
          </w:tcPr>
          <w:p w14:paraId="6B07E335"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28A45B7F"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4456E417" w14:textId="77777777" w:rsidR="00B06BDF" w:rsidRPr="00545EC0" w:rsidRDefault="00B06BDF" w:rsidP="00EA7EE8">
            <w:pPr>
              <w:rPr>
                <w:rFonts w:cs="Arial"/>
                <w:sz w:val="18"/>
                <w:szCs w:val="18"/>
              </w:rPr>
            </w:pPr>
            <w:r w:rsidRPr="00545EC0">
              <w:rPr>
                <w:rFonts w:cs="Arial"/>
                <w:sz w:val="18"/>
                <w:szCs w:val="18"/>
              </w:rPr>
              <w:t> </w:t>
            </w:r>
          </w:p>
        </w:tc>
      </w:tr>
      <w:tr w:rsidR="003122F4" w:rsidRPr="00545EC0" w14:paraId="340C9618" w14:textId="77777777" w:rsidTr="00627979">
        <w:tc>
          <w:tcPr>
            <w:tcW w:w="5607" w:type="dxa"/>
            <w:vAlign w:val="bottom"/>
          </w:tcPr>
          <w:p w14:paraId="43372DF8" w14:textId="77777777" w:rsidR="00B06BDF" w:rsidRPr="00545EC0" w:rsidRDefault="00B06BDF" w:rsidP="00EA7EE8">
            <w:pPr>
              <w:rPr>
                <w:rFonts w:cs="Arial"/>
                <w:sz w:val="18"/>
                <w:szCs w:val="18"/>
              </w:rPr>
            </w:pPr>
            <w:r w:rsidRPr="00545EC0">
              <w:rPr>
                <w:rFonts w:cs="Arial"/>
                <w:sz w:val="18"/>
                <w:szCs w:val="18"/>
              </w:rPr>
              <w:t>SI364VT7 VT Ložnica Slovenska Bistrica – Pečke</w:t>
            </w:r>
          </w:p>
        </w:tc>
        <w:tc>
          <w:tcPr>
            <w:tcW w:w="1414" w:type="dxa"/>
            <w:vAlign w:val="bottom"/>
          </w:tcPr>
          <w:p w14:paraId="36EB5D9C"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7E72ED54" w14:textId="77777777" w:rsidR="00B06BDF" w:rsidRPr="00545EC0" w:rsidRDefault="00B06BDF" w:rsidP="00EA7EE8">
            <w:pPr>
              <w:rPr>
                <w:rFonts w:cs="Arial"/>
                <w:sz w:val="18"/>
                <w:szCs w:val="18"/>
              </w:rPr>
            </w:pPr>
            <w:r w:rsidRPr="00545EC0">
              <w:rPr>
                <w:rFonts w:cs="Arial"/>
                <w:sz w:val="18"/>
                <w:szCs w:val="18"/>
              </w:rPr>
              <w:t> </w:t>
            </w:r>
          </w:p>
        </w:tc>
        <w:tc>
          <w:tcPr>
            <w:tcW w:w="1133" w:type="dxa"/>
            <w:vAlign w:val="bottom"/>
          </w:tcPr>
          <w:p w14:paraId="1A07B08B" w14:textId="77777777" w:rsidR="00B06BDF" w:rsidRPr="00545EC0" w:rsidRDefault="00B06BDF" w:rsidP="00EA7EE8">
            <w:pPr>
              <w:jc w:val="center"/>
              <w:rPr>
                <w:rFonts w:cs="Arial"/>
                <w:sz w:val="18"/>
                <w:szCs w:val="18"/>
              </w:rPr>
            </w:pPr>
            <w:r w:rsidRPr="00545EC0">
              <w:rPr>
                <w:rFonts w:cs="Arial"/>
                <w:sz w:val="18"/>
                <w:szCs w:val="18"/>
              </w:rPr>
              <w:t>x</w:t>
            </w:r>
          </w:p>
        </w:tc>
      </w:tr>
      <w:tr w:rsidR="003122F4" w:rsidRPr="00545EC0" w14:paraId="29D4F2EA" w14:textId="77777777" w:rsidTr="00627979">
        <w:tc>
          <w:tcPr>
            <w:tcW w:w="5607" w:type="dxa"/>
            <w:vAlign w:val="bottom"/>
          </w:tcPr>
          <w:p w14:paraId="61E6E923" w14:textId="77777777" w:rsidR="00B06BDF" w:rsidRPr="00545EC0" w:rsidRDefault="00B06BDF" w:rsidP="00EA7EE8">
            <w:pPr>
              <w:rPr>
                <w:rFonts w:cs="Arial"/>
                <w:sz w:val="18"/>
                <w:szCs w:val="18"/>
              </w:rPr>
            </w:pPr>
            <w:r w:rsidRPr="00545EC0">
              <w:rPr>
                <w:rFonts w:cs="Arial"/>
                <w:sz w:val="18"/>
                <w:szCs w:val="18"/>
              </w:rPr>
              <w:t>SI368VT9 VT Polskava Zgornja Polskava – Tržec</w:t>
            </w:r>
          </w:p>
        </w:tc>
        <w:tc>
          <w:tcPr>
            <w:tcW w:w="1414" w:type="dxa"/>
            <w:vAlign w:val="bottom"/>
          </w:tcPr>
          <w:p w14:paraId="728ADC6C"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54370CFA"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5EF9A251" w14:textId="77777777" w:rsidR="00B06BDF" w:rsidRPr="00545EC0" w:rsidRDefault="00B06BDF" w:rsidP="00EA7EE8">
            <w:pPr>
              <w:jc w:val="center"/>
              <w:rPr>
                <w:rFonts w:cs="Arial"/>
                <w:sz w:val="18"/>
                <w:szCs w:val="18"/>
              </w:rPr>
            </w:pPr>
            <w:r w:rsidRPr="00545EC0">
              <w:rPr>
                <w:rFonts w:cs="Arial"/>
                <w:sz w:val="18"/>
                <w:szCs w:val="18"/>
              </w:rPr>
              <w:t>x</w:t>
            </w:r>
          </w:p>
        </w:tc>
      </w:tr>
      <w:tr w:rsidR="003122F4" w:rsidRPr="00545EC0" w14:paraId="551B9F6F" w14:textId="77777777" w:rsidTr="00627979">
        <w:tc>
          <w:tcPr>
            <w:tcW w:w="5607" w:type="dxa"/>
            <w:vAlign w:val="bottom"/>
          </w:tcPr>
          <w:p w14:paraId="6977CDA7" w14:textId="77777777" w:rsidR="00B06BDF" w:rsidRPr="00545EC0" w:rsidRDefault="00B06BDF" w:rsidP="00EA7EE8">
            <w:pPr>
              <w:rPr>
                <w:rFonts w:cs="Arial"/>
                <w:sz w:val="18"/>
                <w:szCs w:val="18"/>
              </w:rPr>
            </w:pPr>
            <w:r w:rsidRPr="00545EC0">
              <w:rPr>
                <w:rFonts w:cs="Arial"/>
                <w:sz w:val="18"/>
                <w:szCs w:val="18"/>
              </w:rPr>
              <w:t>SI36VT90 VT Dravinja Zreče – Videm</w:t>
            </w:r>
          </w:p>
        </w:tc>
        <w:tc>
          <w:tcPr>
            <w:tcW w:w="1414" w:type="dxa"/>
            <w:vAlign w:val="bottom"/>
          </w:tcPr>
          <w:p w14:paraId="341966EC"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4D8E2AC0" w14:textId="77777777" w:rsidR="00B06BDF" w:rsidRPr="00545EC0" w:rsidRDefault="00B06BDF" w:rsidP="00EA7EE8">
            <w:pPr>
              <w:rPr>
                <w:rFonts w:cs="Arial"/>
                <w:sz w:val="18"/>
                <w:szCs w:val="18"/>
              </w:rPr>
            </w:pPr>
            <w:r w:rsidRPr="00545EC0">
              <w:rPr>
                <w:rFonts w:cs="Arial"/>
                <w:sz w:val="18"/>
                <w:szCs w:val="18"/>
              </w:rPr>
              <w:t> </w:t>
            </w:r>
          </w:p>
        </w:tc>
        <w:tc>
          <w:tcPr>
            <w:tcW w:w="1133" w:type="dxa"/>
            <w:vAlign w:val="bottom"/>
          </w:tcPr>
          <w:p w14:paraId="620AD85F" w14:textId="77777777" w:rsidR="00B06BDF" w:rsidRPr="00545EC0" w:rsidRDefault="00B06BDF" w:rsidP="00EA7EE8">
            <w:pPr>
              <w:jc w:val="center"/>
              <w:rPr>
                <w:rFonts w:cs="Arial"/>
                <w:sz w:val="18"/>
                <w:szCs w:val="18"/>
              </w:rPr>
            </w:pPr>
            <w:r w:rsidRPr="00545EC0">
              <w:rPr>
                <w:rFonts w:cs="Arial"/>
                <w:sz w:val="18"/>
                <w:szCs w:val="18"/>
              </w:rPr>
              <w:t>x</w:t>
            </w:r>
          </w:p>
        </w:tc>
      </w:tr>
      <w:tr w:rsidR="003122F4" w:rsidRPr="00545EC0" w14:paraId="7AA86CFE" w14:textId="77777777" w:rsidTr="00627979">
        <w:tc>
          <w:tcPr>
            <w:tcW w:w="5607" w:type="dxa"/>
            <w:vAlign w:val="bottom"/>
          </w:tcPr>
          <w:p w14:paraId="1FC046E2" w14:textId="77777777" w:rsidR="00B06BDF" w:rsidRPr="00545EC0" w:rsidRDefault="00B06BDF" w:rsidP="00EA7EE8">
            <w:pPr>
              <w:rPr>
                <w:rFonts w:cs="Arial"/>
                <w:sz w:val="18"/>
                <w:szCs w:val="18"/>
              </w:rPr>
            </w:pPr>
            <w:r w:rsidRPr="00545EC0">
              <w:rPr>
                <w:rFonts w:cs="Arial"/>
                <w:sz w:val="18"/>
                <w:szCs w:val="18"/>
              </w:rPr>
              <w:t>SI38VT33 VT Pesnica državna meja – zadrževalnik Perniško jezero</w:t>
            </w:r>
          </w:p>
        </w:tc>
        <w:tc>
          <w:tcPr>
            <w:tcW w:w="1414" w:type="dxa"/>
            <w:vAlign w:val="bottom"/>
          </w:tcPr>
          <w:p w14:paraId="2E6C129C"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0312C198"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01998C4F" w14:textId="77777777" w:rsidR="00B06BDF" w:rsidRPr="00545EC0" w:rsidRDefault="00B06BDF" w:rsidP="00EA7EE8">
            <w:pPr>
              <w:jc w:val="center"/>
              <w:rPr>
                <w:rFonts w:cs="Arial"/>
                <w:sz w:val="18"/>
                <w:szCs w:val="18"/>
              </w:rPr>
            </w:pPr>
            <w:r w:rsidRPr="00545EC0">
              <w:rPr>
                <w:rFonts w:cs="Arial"/>
                <w:sz w:val="18"/>
                <w:szCs w:val="18"/>
              </w:rPr>
              <w:t>x</w:t>
            </w:r>
          </w:p>
        </w:tc>
      </w:tr>
      <w:tr w:rsidR="003122F4" w:rsidRPr="00545EC0" w14:paraId="402D0BB6" w14:textId="77777777" w:rsidTr="00627979">
        <w:tc>
          <w:tcPr>
            <w:tcW w:w="5607" w:type="dxa"/>
            <w:vAlign w:val="bottom"/>
          </w:tcPr>
          <w:p w14:paraId="2A6A4940" w14:textId="77777777" w:rsidR="00B06BDF" w:rsidRPr="00545EC0" w:rsidRDefault="00B06BDF" w:rsidP="00EA7EE8">
            <w:pPr>
              <w:rPr>
                <w:rFonts w:cs="Arial"/>
                <w:sz w:val="18"/>
                <w:szCs w:val="18"/>
              </w:rPr>
            </w:pPr>
            <w:r w:rsidRPr="00545EC0">
              <w:rPr>
                <w:rFonts w:cs="Arial"/>
                <w:sz w:val="18"/>
                <w:szCs w:val="18"/>
              </w:rPr>
              <w:t>SI38VT34 MPVT zadrževalnik Perniško jezero</w:t>
            </w:r>
          </w:p>
        </w:tc>
        <w:tc>
          <w:tcPr>
            <w:tcW w:w="1414" w:type="dxa"/>
            <w:vAlign w:val="bottom"/>
          </w:tcPr>
          <w:p w14:paraId="4A88E202"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005344B1"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157EE53D" w14:textId="77777777" w:rsidR="00B06BDF" w:rsidRPr="00545EC0" w:rsidRDefault="00B06BDF" w:rsidP="00EA7EE8">
            <w:pPr>
              <w:rPr>
                <w:rFonts w:cs="Arial"/>
                <w:sz w:val="18"/>
                <w:szCs w:val="18"/>
              </w:rPr>
            </w:pPr>
            <w:r w:rsidRPr="00545EC0">
              <w:rPr>
                <w:rFonts w:cs="Arial"/>
                <w:sz w:val="18"/>
                <w:szCs w:val="18"/>
              </w:rPr>
              <w:t> </w:t>
            </w:r>
          </w:p>
        </w:tc>
      </w:tr>
      <w:tr w:rsidR="003122F4" w:rsidRPr="00545EC0" w14:paraId="0B5BC421" w14:textId="77777777" w:rsidTr="00627979">
        <w:tc>
          <w:tcPr>
            <w:tcW w:w="5607" w:type="dxa"/>
            <w:vAlign w:val="bottom"/>
          </w:tcPr>
          <w:p w14:paraId="1B270FF4" w14:textId="77777777" w:rsidR="00B06BDF" w:rsidRPr="00545EC0" w:rsidRDefault="00B06BDF" w:rsidP="00EA7EE8">
            <w:pPr>
              <w:rPr>
                <w:rFonts w:cs="Arial"/>
                <w:sz w:val="18"/>
                <w:szCs w:val="18"/>
              </w:rPr>
            </w:pPr>
            <w:r w:rsidRPr="00545EC0">
              <w:rPr>
                <w:rFonts w:cs="Arial"/>
                <w:sz w:val="18"/>
                <w:szCs w:val="18"/>
              </w:rPr>
              <w:t>SI38VT90 VT Pesnica zadrževalnik Perniško jezero – Ormož</w:t>
            </w:r>
          </w:p>
        </w:tc>
        <w:tc>
          <w:tcPr>
            <w:tcW w:w="1414" w:type="dxa"/>
            <w:vAlign w:val="bottom"/>
          </w:tcPr>
          <w:p w14:paraId="449BD098"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289E1F9A"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552F1C41" w14:textId="77777777" w:rsidR="00B06BDF" w:rsidRPr="00545EC0" w:rsidRDefault="00B06BDF" w:rsidP="00EA7EE8">
            <w:pPr>
              <w:rPr>
                <w:rFonts w:cs="Arial"/>
                <w:sz w:val="18"/>
                <w:szCs w:val="18"/>
              </w:rPr>
            </w:pPr>
            <w:r w:rsidRPr="00545EC0">
              <w:rPr>
                <w:rFonts w:cs="Arial"/>
                <w:sz w:val="18"/>
                <w:szCs w:val="18"/>
              </w:rPr>
              <w:t> </w:t>
            </w:r>
          </w:p>
        </w:tc>
      </w:tr>
      <w:tr w:rsidR="003122F4" w:rsidRPr="00545EC0" w14:paraId="1D4C516D" w14:textId="77777777" w:rsidTr="00627979">
        <w:tc>
          <w:tcPr>
            <w:tcW w:w="5607" w:type="dxa"/>
            <w:vAlign w:val="bottom"/>
          </w:tcPr>
          <w:p w14:paraId="5A7FE9A6" w14:textId="77777777" w:rsidR="00B06BDF" w:rsidRPr="00545EC0" w:rsidRDefault="00B06BDF" w:rsidP="00EA7EE8">
            <w:pPr>
              <w:rPr>
                <w:rFonts w:cs="Arial"/>
                <w:sz w:val="18"/>
                <w:szCs w:val="18"/>
              </w:rPr>
            </w:pPr>
            <w:r w:rsidRPr="00545EC0">
              <w:rPr>
                <w:rFonts w:cs="Arial"/>
                <w:sz w:val="18"/>
                <w:szCs w:val="18"/>
              </w:rPr>
              <w:t>SI432VT VT Kučnica</w:t>
            </w:r>
          </w:p>
        </w:tc>
        <w:tc>
          <w:tcPr>
            <w:tcW w:w="1414" w:type="dxa"/>
            <w:vAlign w:val="bottom"/>
          </w:tcPr>
          <w:p w14:paraId="78335FF7"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65F57EB0"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160A1ECD" w14:textId="77777777" w:rsidR="00B06BDF" w:rsidRPr="00545EC0" w:rsidRDefault="00B06BDF" w:rsidP="00EA7EE8">
            <w:pPr>
              <w:rPr>
                <w:rFonts w:cs="Arial"/>
                <w:sz w:val="18"/>
                <w:szCs w:val="18"/>
              </w:rPr>
            </w:pPr>
            <w:r w:rsidRPr="00545EC0">
              <w:rPr>
                <w:rFonts w:cs="Arial"/>
                <w:sz w:val="18"/>
                <w:szCs w:val="18"/>
              </w:rPr>
              <w:t> </w:t>
            </w:r>
          </w:p>
        </w:tc>
      </w:tr>
      <w:tr w:rsidR="003122F4" w:rsidRPr="00545EC0" w14:paraId="7490729F" w14:textId="77777777" w:rsidTr="00627979">
        <w:tc>
          <w:tcPr>
            <w:tcW w:w="5607" w:type="dxa"/>
            <w:vAlign w:val="bottom"/>
          </w:tcPr>
          <w:p w14:paraId="13DC89DC" w14:textId="77777777" w:rsidR="00B06BDF" w:rsidRPr="00545EC0" w:rsidRDefault="00B06BDF" w:rsidP="00EA7EE8">
            <w:pPr>
              <w:rPr>
                <w:rFonts w:cs="Arial"/>
                <w:sz w:val="18"/>
                <w:szCs w:val="18"/>
              </w:rPr>
            </w:pPr>
            <w:r w:rsidRPr="00545EC0">
              <w:rPr>
                <w:rFonts w:cs="Arial"/>
                <w:sz w:val="18"/>
                <w:szCs w:val="18"/>
              </w:rPr>
              <w:t>SI434VT51 VT Ščavnica povirje – zadrževalnik Gajševsko jezero</w:t>
            </w:r>
          </w:p>
        </w:tc>
        <w:tc>
          <w:tcPr>
            <w:tcW w:w="1414" w:type="dxa"/>
            <w:vAlign w:val="bottom"/>
          </w:tcPr>
          <w:p w14:paraId="0EA1666F"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60E37BED"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12161781" w14:textId="77777777" w:rsidR="00B06BDF" w:rsidRPr="00545EC0" w:rsidRDefault="00B06BDF" w:rsidP="00EA7EE8">
            <w:pPr>
              <w:rPr>
                <w:rFonts w:cs="Arial"/>
                <w:sz w:val="18"/>
                <w:szCs w:val="18"/>
              </w:rPr>
            </w:pPr>
            <w:r w:rsidRPr="00545EC0">
              <w:rPr>
                <w:rFonts w:cs="Arial"/>
                <w:sz w:val="18"/>
                <w:szCs w:val="18"/>
              </w:rPr>
              <w:t> </w:t>
            </w:r>
          </w:p>
        </w:tc>
      </w:tr>
      <w:tr w:rsidR="003122F4" w:rsidRPr="00545EC0" w14:paraId="1D9B2177" w14:textId="77777777" w:rsidTr="00627979">
        <w:tc>
          <w:tcPr>
            <w:tcW w:w="5607" w:type="dxa"/>
            <w:vAlign w:val="bottom"/>
          </w:tcPr>
          <w:p w14:paraId="648A37E5" w14:textId="77777777" w:rsidR="00B06BDF" w:rsidRPr="00545EC0" w:rsidRDefault="00B06BDF" w:rsidP="00EA7EE8">
            <w:pPr>
              <w:rPr>
                <w:rFonts w:cs="Arial"/>
                <w:sz w:val="18"/>
                <w:szCs w:val="18"/>
              </w:rPr>
            </w:pPr>
            <w:r w:rsidRPr="00545EC0">
              <w:rPr>
                <w:rFonts w:cs="Arial"/>
                <w:sz w:val="18"/>
                <w:szCs w:val="18"/>
              </w:rPr>
              <w:t>SI434VT52 MPVT zadrževalnik Gajševsko jezero</w:t>
            </w:r>
          </w:p>
        </w:tc>
        <w:tc>
          <w:tcPr>
            <w:tcW w:w="1414" w:type="dxa"/>
            <w:vAlign w:val="bottom"/>
          </w:tcPr>
          <w:p w14:paraId="258F28E1"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00200DAB"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68B90900" w14:textId="77777777" w:rsidR="00B06BDF" w:rsidRPr="00545EC0" w:rsidRDefault="00B06BDF" w:rsidP="00EA7EE8">
            <w:pPr>
              <w:rPr>
                <w:rFonts w:cs="Arial"/>
                <w:sz w:val="18"/>
                <w:szCs w:val="18"/>
              </w:rPr>
            </w:pPr>
            <w:r w:rsidRPr="00545EC0">
              <w:rPr>
                <w:rFonts w:cs="Arial"/>
                <w:sz w:val="18"/>
                <w:szCs w:val="18"/>
              </w:rPr>
              <w:t> </w:t>
            </w:r>
          </w:p>
        </w:tc>
      </w:tr>
      <w:tr w:rsidR="003122F4" w:rsidRPr="00545EC0" w14:paraId="1C5C129F" w14:textId="77777777" w:rsidTr="00627979">
        <w:tc>
          <w:tcPr>
            <w:tcW w:w="5607" w:type="dxa"/>
            <w:vAlign w:val="bottom"/>
          </w:tcPr>
          <w:p w14:paraId="635F99A3" w14:textId="77777777" w:rsidR="00B06BDF" w:rsidRPr="00545EC0" w:rsidRDefault="00B06BDF" w:rsidP="00EA7EE8">
            <w:pPr>
              <w:rPr>
                <w:rFonts w:cs="Arial"/>
                <w:sz w:val="18"/>
                <w:szCs w:val="18"/>
              </w:rPr>
            </w:pPr>
            <w:r w:rsidRPr="00545EC0">
              <w:rPr>
                <w:rFonts w:cs="Arial"/>
                <w:sz w:val="18"/>
                <w:szCs w:val="18"/>
              </w:rPr>
              <w:t>SI434VT9 VT Ščavnica zadrževalnik Gajševsko jezero – Gibina</w:t>
            </w:r>
          </w:p>
        </w:tc>
        <w:tc>
          <w:tcPr>
            <w:tcW w:w="1414" w:type="dxa"/>
            <w:vAlign w:val="bottom"/>
          </w:tcPr>
          <w:p w14:paraId="6595E006"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41C02FE7"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04FA9613" w14:textId="77777777" w:rsidR="00B06BDF" w:rsidRPr="00545EC0" w:rsidRDefault="00B06BDF" w:rsidP="00EA7EE8">
            <w:pPr>
              <w:jc w:val="center"/>
              <w:rPr>
                <w:rFonts w:cs="Arial"/>
                <w:sz w:val="18"/>
                <w:szCs w:val="18"/>
              </w:rPr>
            </w:pPr>
            <w:r w:rsidRPr="00545EC0">
              <w:rPr>
                <w:rFonts w:cs="Arial"/>
                <w:sz w:val="18"/>
                <w:szCs w:val="18"/>
              </w:rPr>
              <w:t>x</w:t>
            </w:r>
          </w:p>
        </w:tc>
      </w:tr>
      <w:tr w:rsidR="003122F4" w:rsidRPr="00545EC0" w14:paraId="010F8C85" w14:textId="77777777" w:rsidTr="00627979">
        <w:tc>
          <w:tcPr>
            <w:tcW w:w="5607" w:type="dxa"/>
            <w:vAlign w:val="bottom"/>
          </w:tcPr>
          <w:p w14:paraId="13432EB0" w14:textId="77777777" w:rsidR="00B06BDF" w:rsidRPr="00545EC0" w:rsidRDefault="00B06BDF" w:rsidP="00EA7EE8">
            <w:pPr>
              <w:rPr>
                <w:rFonts w:cs="Arial"/>
                <w:sz w:val="18"/>
                <w:szCs w:val="18"/>
              </w:rPr>
            </w:pPr>
            <w:r w:rsidRPr="00545EC0">
              <w:rPr>
                <w:rFonts w:cs="Arial"/>
                <w:sz w:val="18"/>
                <w:szCs w:val="18"/>
              </w:rPr>
              <w:t>SI441VT VT Velika Krka povirje - državna meja</w:t>
            </w:r>
          </w:p>
        </w:tc>
        <w:tc>
          <w:tcPr>
            <w:tcW w:w="1414" w:type="dxa"/>
            <w:vAlign w:val="bottom"/>
          </w:tcPr>
          <w:p w14:paraId="1362D003"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50D2ADCC"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3D62597B" w14:textId="77777777" w:rsidR="00B06BDF" w:rsidRPr="00545EC0" w:rsidRDefault="00B06BDF" w:rsidP="00EA7EE8">
            <w:pPr>
              <w:rPr>
                <w:rFonts w:cs="Arial"/>
                <w:sz w:val="18"/>
                <w:szCs w:val="18"/>
              </w:rPr>
            </w:pPr>
            <w:r w:rsidRPr="00545EC0">
              <w:rPr>
                <w:rFonts w:cs="Arial"/>
                <w:sz w:val="18"/>
                <w:szCs w:val="18"/>
              </w:rPr>
              <w:t> </w:t>
            </w:r>
          </w:p>
        </w:tc>
      </w:tr>
      <w:tr w:rsidR="003122F4" w:rsidRPr="00545EC0" w14:paraId="1CFB2792" w14:textId="77777777" w:rsidTr="00627979">
        <w:tc>
          <w:tcPr>
            <w:tcW w:w="5607" w:type="dxa"/>
            <w:vAlign w:val="bottom"/>
          </w:tcPr>
          <w:p w14:paraId="4C8E6CB5" w14:textId="77777777" w:rsidR="00B06BDF" w:rsidRPr="00545EC0" w:rsidRDefault="00B06BDF" w:rsidP="00EA7EE8">
            <w:pPr>
              <w:rPr>
                <w:rFonts w:cs="Arial"/>
                <w:sz w:val="18"/>
                <w:szCs w:val="18"/>
              </w:rPr>
            </w:pPr>
            <w:r w:rsidRPr="00545EC0">
              <w:rPr>
                <w:rFonts w:cs="Arial"/>
                <w:sz w:val="18"/>
                <w:szCs w:val="18"/>
              </w:rPr>
              <w:t>SI4426VT1 VT Kobiljski potok povirje - državna meja</w:t>
            </w:r>
          </w:p>
        </w:tc>
        <w:tc>
          <w:tcPr>
            <w:tcW w:w="1414" w:type="dxa"/>
            <w:vAlign w:val="bottom"/>
          </w:tcPr>
          <w:p w14:paraId="0EED43E9"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3F52ECA7"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6B4DA68C" w14:textId="77777777" w:rsidR="00B06BDF" w:rsidRPr="00545EC0" w:rsidRDefault="00B06BDF" w:rsidP="00EA7EE8">
            <w:pPr>
              <w:rPr>
                <w:rFonts w:cs="Arial"/>
                <w:sz w:val="18"/>
                <w:szCs w:val="18"/>
              </w:rPr>
            </w:pPr>
            <w:r w:rsidRPr="00545EC0">
              <w:rPr>
                <w:rFonts w:cs="Arial"/>
                <w:sz w:val="18"/>
                <w:szCs w:val="18"/>
              </w:rPr>
              <w:t> </w:t>
            </w:r>
          </w:p>
        </w:tc>
      </w:tr>
      <w:tr w:rsidR="003122F4" w:rsidRPr="00545EC0" w14:paraId="09F785A4" w14:textId="77777777" w:rsidTr="00627979">
        <w:tc>
          <w:tcPr>
            <w:tcW w:w="5607" w:type="dxa"/>
            <w:vAlign w:val="bottom"/>
          </w:tcPr>
          <w:p w14:paraId="6A29D64A" w14:textId="77777777" w:rsidR="00B06BDF" w:rsidRPr="00545EC0" w:rsidRDefault="00B06BDF" w:rsidP="00EA7EE8">
            <w:pPr>
              <w:rPr>
                <w:rFonts w:cs="Arial"/>
                <w:sz w:val="18"/>
                <w:szCs w:val="18"/>
              </w:rPr>
            </w:pPr>
            <w:r w:rsidRPr="00545EC0">
              <w:rPr>
                <w:rFonts w:cs="Arial"/>
                <w:sz w:val="18"/>
                <w:szCs w:val="18"/>
              </w:rPr>
              <w:t>SI4426VT2 VT Kobiljski potok državna meja – Ledava</w:t>
            </w:r>
          </w:p>
        </w:tc>
        <w:tc>
          <w:tcPr>
            <w:tcW w:w="1414" w:type="dxa"/>
            <w:vAlign w:val="bottom"/>
          </w:tcPr>
          <w:p w14:paraId="620ED54F"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6E1A1E46"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7B0856D1" w14:textId="77777777" w:rsidR="00B06BDF" w:rsidRPr="00545EC0" w:rsidRDefault="00B06BDF" w:rsidP="00EA7EE8">
            <w:pPr>
              <w:jc w:val="center"/>
              <w:rPr>
                <w:rFonts w:cs="Arial"/>
                <w:sz w:val="18"/>
                <w:szCs w:val="18"/>
              </w:rPr>
            </w:pPr>
            <w:r w:rsidRPr="00545EC0">
              <w:rPr>
                <w:rFonts w:cs="Arial"/>
                <w:sz w:val="18"/>
                <w:szCs w:val="18"/>
              </w:rPr>
              <w:t>x</w:t>
            </w:r>
          </w:p>
        </w:tc>
      </w:tr>
      <w:tr w:rsidR="003122F4" w:rsidRPr="00545EC0" w14:paraId="2B86E006" w14:textId="77777777" w:rsidTr="00627979">
        <w:tc>
          <w:tcPr>
            <w:tcW w:w="5607" w:type="dxa"/>
            <w:vAlign w:val="bottom"/>
          </w:tcPr>
          <w:p w14:paraId="77CEA5D6" w14:textId="77777777" w:rsidR="00B06BDF" w:rsidRPr="00545EC0" w:rsidRDefault="00B06BDF" w:rsidP="00EA7EE8">
            <w:pPr>
              <w:rPr>
                <w:rFonts w:cs="Arial"/>
                <w:sz w:val="18"/>
                <w:szCs w:val="18"/>
              </w:rPr>
            </w:pPr>
            <w:r w:rsidRPr="00545EC0">
              <w:rPr>
                <w:rFonts w:cs="Arial"/>
                <w:sz w:val="18"/>
                <w:szCs w:val="18"/>
              </w:rPr>
              <w:t>SI442VT11 VT Ledava državna meja – zadrževalnik Ledavsko jezero</w:t>
            </w:r>
          </w:p>
        </w:tc>
        <w:tc>
          <w:tcPr>
            <w:tcW w:w="1414" w:type="dxa"/>
            <w:vAlign w:val="bottom"/>
          </w:tcPr>
          <w:p w14:paraId="4DBD0AF6"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685A61BF"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6E64C92E" w14:textId="77777777" w:rsidR="00B06BDF" w:rsidRPr="00545EC0" w:rsidRDefault="00B06BDF" w:rsidP="00EA7EE8">
            <w:pPr>
              <w:rPr>
                <w:rFonts w:cs="Arial"/>
                <w:sz w:val="18"/>
                <w:szCs w:val="18"/>
              </w:rPr>
            </w:pPr>
            <w:r w:rsidRPr="00545EC0">
              <w:rPr>
                <w:rFonts w:cs="Arial"/>
                <w:sz w:val="18"/>
                <w:szCs w:val="18"/>
              </w:rPr>
              <w:t> </w:t>
            </w:r>
          </w:p>
        </w:tc>
      </w:tr>
      <w:tr w:rsidR="003122F4" w:rsidRPr="00545EC0" w14:paraId="55FCB25B" w14:textId="77777777" w:rsidTr="00627979">
        <w:tc>
          <w:tcPr>
            <w:tcW w:w="5607" w:type="dxa"/>
            <w:vAlign w:val="bottom"/>
          </w:tcPr>
          <w:p w14:paraId="704D18D3" w14:textId="77777777" w:rsidR="00B06BDF" w:rsidRPr="00545EC0" w:rsidRDefault="00B06BDF" w:rsidP="00EA7EE8">
            <w:pPr>
              <w:rPr>
                <w:rFonts w:cs="Arial"/>
                <w:sz w:val="18"/>
                <w:szCs w:val="18"/>
              </w:rPr>
            </w:pPr>
            <w:r w:rsidRPr="00545EC0">
              <w:rPr>
                <w:rFonts w:cs="Arial"/>
                <w:sz w:val="18"/>
                <w:szCs w:val="18"/>
              </w:rPr>
              <w:t>SI442VT12 MPVT zadrževalnik Ledavsko jezero</w:t>
            </w:r>
          </w:p>
        </w:tc>
        <w:tc>
          <w:tcPr>
            <w:tcW w:w="1414" w:type="dxa"/>
            <w:vAlign w:val="bottom"/>
          </w:tcPr>
          <w:p w14:paraId="58BE3DE7"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1559AC4D"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2C33B03C" w14:textId="77777777" w:rsidR="00B06BDF" w:rsidRPr="00545EC0" w:rsidRDefault="00B06BDF" w:rsidP="00EA7EE8">
            <w:pPr>
              <w:rPr>
                <w:rFonts w:cs="Arial"/>
                <w:sz w:val="18"/>
                <w:szCs w:val="18"/>
              </w:rPr>
            </w:pPr>
            <w:r w:rsidRPr="00545EC0">
              <w:rPr>
                <w:rFonts w:cs="Arial"/>
                <w:sz w:val="18"/>
                <w:szCs w:val="18"/>
              </w:rPr>
              <w:t> </w:t>
            </w:r>
          </w:p>
        </w:tc>
      </w:tr>
      <w:tr w:rsidR="003122F4" w:rsidRPr="00545EC0" w14:paraId="5D54417A" w14:textId="77777777" w:rsidTr="00627979">
        <w:tc>
          <w:tcPr>
            <w:tcW w:w="5607" w:type="dxa"/>
            <w:vAlign w:val="bottom"/>
          </w:tcPr>
          <w:p w14:paraId="5A532E9D" w14:textId="77777777" w:rsidR="00B06BDF" w:rsidRPr="00545EC0" w:rsidRDefault="00B06BDF" w:rsidP="00EA7EE8">
            <w:pPr>
              <w:rPr>
                <w:rFonts w:cs="Arial"/>
                <w:sz w:val="18"/>
                <w:szCs w:val="18"/>
              </w:rPr>
            </w:pPr>
            <w:r w:rsidRPr="00545EC0">
              <w:rPr>
                <w:rFonts w:cs="Arial"/>
                <w:sz w:val="18"/>
                <w:szCs w:val="18"/>
              </w:rPr>
              <w:t>SI442VT91 VT Ledava zadrževalnik Ledavsko jezero – sotočje z Veliko Krko</w:t>
            </w:r>
          </w:p>
        </w:tc>
        <w:tc>
          <w:tcPr>
            <w:tcW w:w="1414" w:type="dxa"/>
            <w:vAlign w:val="bottom"/>
          </w:tcPr>
          <w:p w14:paraId="443029E8"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06C48034"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3B76F2FA" w14:textId="77777777" w:rsidR="00B06BDF" w:rsidRPr="00545EC0" w:rsidRDefault="00B06BDF" w:rsidP="00EA7EE8">
            <w:pPr>
              <w:jc w:val="center"/>
              <w:rPr>
                <w:rFonts w:cs="Arial"/>
                <w:sz w:val="18"/>
                <w:szCs w:val="18"/>
              </w:rPr>
            </w:pPr>
            <w:r w:rsidRPr="00545EC0">
              <w:rPr>
                <w:rFonts w:cs="Arial"/>
                <w:sz w:val="18"/>
                <w:szCs w:val="18"/>
              </w:rPr>
              <w:t>x</w:t>
            </w:r>
          </w:p>
        </w:tc>
      </w:tr>
      <w:tr w:rsidR="00B06BDF" w:rsidRPr="00545EC0" w14:paraId="23A227F3" w14:textId="77777777" w:rsidTr="00627979">
        <w:tc>
          <w:tcPr>
            <w:tcW w:w="5607" w:type="dxa"/>
            <w:vAlign w:val="bottom"/>
          </w:tcPr>
          <w:p w14:paraId="0460CB4D" w14:textId="77777777" w:rsidR="00B06BDF" w:rsidRPr="00545EC0" w:rsidRDefault="00B06BDF" w:rsidP="00EA7EE8">
            <w:pPr>
              <w:rPr>
                <w:rFonts w:cs="Arial"/>
                <w:sz w:val="18"/>
                <w:szCs w:val="18"/>
              </w:rPr>
            </w:pPr>
            <w:r w:rsidRPr="00545EC0">
              <w:rPr>
                <w:rFonts w:cs="Arial"/>
                <w:sz w:val="18"/>
                <w:szCs w:val="18"/>
              </w:rPr>
              <w:t>SI442VT92 VT Ledava mejni odsek</w:t>
            </w:r>
          </w:p>
        </w:tc>
        <w:tc>
          <w:tcPr>
            <w:tcW w:w="1414" w:type="dxa"/>
            <w:vAlign w:val="bottom"/>
          </w:tcPr>
          <w:p w14:paraId="1064049E"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6811EB5A" w14:textId="77777777" w:rsidR="00B06BDF" w:rsidRPr="00545EC0" w:rsidRDefault="00B06BDF" w:rsidP="00EA7EE8">
            <w:pPr>
              <w:jc w:val="center"/>
              <w:rPr>
                <w:rFonts w:cs="Arial"/>
                <w:sz w:val="18"/>
                <w:szCs w:val="18"/>
              </w:rPr>
            </w:pPr>
            <w:r w:rsidRPr="00545EC0">
              <w:rPr>
                <w:rFonts w:cs="Arial"/>
                <w:sz w:val="18"/>
                <w:szCs w:val="18"/>
              </w:rPr>
              <w:t>x</w:t>
            </w:r>
          </w:p>
        </w:tc>
        <w:tc>
          <w:tcPr>
            <w:tcW w:w="1133" w:type="dxa"/>
            <w:vAlign w:val="bottom"/>
          </w:tcPr>
          <w:p w14:paraId="127EC041" w14:textId="77777777" w:rsidR="00B06BDF" w:rsidRPr="00545EC0" w:rsidRDefault="00B06BDF" w:rsidP="00EA7EE8">
            <w:pPr>
              <w:jc w:val="center"/>
              <w:rPr>
                <w:rFonts w:cs="Arial"/>
                <w:sz w:val="18"/>
                <w:szCs w:val="18"/>
              </w:rPr>
            </w:pPr>
            <w:r w:rsidRPr="00545EC0">
              <w:rPr>
                <w:rFonts w:cs="Arial"/>
                <w:sz w:val="18"/>
                <w:szCs w:val="18"/>
              </w:rPr>
              <w:t>x</w:t>
            </w:r>
          </w:p>
        </w:tc>
      </w:tr>
    </w:tbl>
    <w:p w14:paraId="1EE360CF" w14:textId="77777777" w:rsidR="00B06BDF" w:rsidRPr="00545EC0" w:rsidRDefault="00B06BDF" w:rsidP="00B06BDF"/>
    <w:p w14:paraId="3973505A" w14:textId="77777777" w:rsidR="00573AF2" w:rsidRPr="00545EC0" w:rsidRDefault="003668E5">
      <w:pPr>
        <w:pStyle w:val="Naslov3"/>
      </w:pPr>
      <w:bookmarkStart w:id="234" w:name="_Toc90261025"/>
      <w:r w:rsidRPr="00545EC0">
        <w:lastRenderedPageBreak/>
        <w:t>D</w:t>
      </w:r>
      <w:r w:rsidR="00573AF2" w:rsidRPr="00545EC0">
        <w:t>ruge antropogene obremenitve</w:t>
      </w:r>
      <w:bookmarkEnd w:id="229"/>
      <w:bookmarkEnd w:id="234"/>
    </w:p>
    <w:p w14:paraId="17DE7021" w14:textId="77777777" w:rsidR="00573AF2" w:rsidRPr="00545EC0" w:rsidRDefault="00573AF2" w:rsidP="00AD4FE7">
      <w:pPr>
        <w:pStyle w:val="Naslov4"/>
        <w:rPr>
          <w:color w:val="auto"/>
        </w:rPr>
      </w:pPr>
      <w:r w:rsidRPr="00545EC0">
        <w:rPr>
          <w:color w:val="auto"/>
        </w:rPr>
        <w:t>Prikaz bioloških obremenitev</w:t>
      </w:r>
    </w:p>
    <w:p w14:paraId="66FF6C4F" w14:textId="7D38E6D9" w:rsidR="004674DD" w:rsidRPr="00545EC0" w:rsidRDefault="00C12042" w:rsidP="00AD4FE7">
      <w:pPr>
        <w:rPr>
          <w:rFonts w:cs="Arial"/>
          <w:szCs w:val="20"/>
        </w:rPr>
      </w:pPr>
      <w:bookmarkStart w:id="235" w:name="_Toc413844786"/>
      <w:r w:rsidRPr="00545EC0">
        <w:rPr>
          <w:rFonts w:cs="Arial"/>
          <w:szCs w:val="20"/>
        </w:rPr>
        <w:t xml:space="preserve">Biološke obremenitve voda so tiste obremenitve, ki imajo lahko direkten vpliv na organizme, bodisi na njihovo kvantiteto ali kvaliteto. </w:t>
      </w:r>
      <w:r w:rsidR="004674DD" w:rsidRPr="00545EC0">
        <w:rPr>
          <w:rFonts w:cs="Arial"/>
          <w:szCs w:val="20"/>
        </w:rPr>
        <w:t xml:space="preserve">Biološke obremenitve vplivajo na zgradbo in delovanje vodnega ekosistema in s tem na njegovo naravno ravnovesje. Spremembe v ekosistemu pa se odražajo na številnosti in pogostosti posameznih vrst, genskem potencialu, sposobnosti obnavljanja populacij, pojavljajo se nova obolenja ali paraziti itd. </w:t>
      </w:r>
    </w:p>
    <w:p w14:paraId="1A9DB329" w14:textId="77777777" w:rsidR="00E317F6" w:rsidRPr="00545EC0" w:rsidRDefault="00E317F6" w:rsidP="00AD4FE7">
      <w:pPr>
        <w:rPr>
          <w:rFonts w:cs="Arial"/>
          <w:szCs w:val="20"/>
        </w:rPr>
      </w:pPr>
    </w:p>
    <w:p w14:paraId="2EB74718" w14:textId="0CC9BAE6" w:rsidR="0026146E" w:rsidRDefault="0026146E" w:rsidP="0026146E">
      <w:r>
        <w:t xml:space="preserve">Do potencialnih bioloških obremenitev lahko pride v primeru kršitev zakonodaje s področja sladkovodnega ribištva in ribolova ter gojenja sladkovodnih organizmov. Potencialne biološke obremenitve so lahko tudi posledica vnosa tujerodnih rastlinskih in živalskih vrst v celinske vode. Posebno problematiko predstavljajo invazivne tujerodne vrste, ki se lahko močno razmnožijo v primeru naselitve v izoliranih vodnih ekosistemih. Potencialno nevarnost lahko predstavlja tudi vnos akvarijskih in vivarijskih organizmov v celinske vodne ekosisteme. Potencialno biološko obremenitev predstavlja tudi neselektivno odstranjevanje obrežne vegetacije v obsegu izvajanja posegov v vodotoke ter onesnaževanje voda s hranili in pesticidi zaradi intenzivnega kmetijstva. </w:t>
      </w:r>
    </w:p>
    <w:p w14:paraId="729DAB0D" w14:textId="77777777" w:rsidR="0026146E" w:rsidRDefault="0026146E" w:rsidP="00AD4FE7"/>
    <w:p w14:paraId="25B7FEF8" w14:textId="77777777" w:rsidR="0026146E" w:rsidRPr="00545EC0" w:rsidRDefault="0026146E" w:rsidP="00AD4FE7">
      <w:bookmarkStart w:id="236" w:name="_GoBack"/>
      <w:bookmarkEnd w:id="236"/>
    </w:p>
    <w:p w14:paraId="56D480B2" w14:textId="740C2181" w:rsidR="00471F05" w:rsidRPr="00545EC0" w:rsidRDefault="00471F05" w:rsidP="00AD4FE7">
      <w:pPr>
        <w:pStyle w:val="Napis"/>
        <w:keepNext/>
      </w:pPr>
      <w:bookmarkStart w:id="237" w:name="_Ref84321218"/>
      <w:bookmarkStart w:id="238" w:name="_Ref84257958"/>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36</w:t>
        </w:r>
      </w:fldSimple>
      <w:bookmarkEnd w:id="237"/>
      <w:r w:rsidRPr="00545EC0">
        <w:t>: Seznam potencialnih bioloških obremenitev</w:t>
      </w:r>
      <w:bookmarkEnd w:id="238"/>
    </w:p>
    <w:tbl>
      <w:tblPr>
        <w:tblStyle w:val="Tabelamrea"/>
        <w:tblW w:w="5000" w:type="pct"/>
        <w:tblLook w:val="04A0" w:firstRow="1" w:lastRow="0" w:firstColumn="1" w:lastColumn="0" w:noHBand="0" w:noVBand="1"/>
      </w:tblPr>
      <w:tblGrid>
        <w:gridCol w:w="2610"/>
        <w:gridCol w:w="6677"/>
      </w:tblGrid>
      <w:tr w:rsidR="003122F4" w:rsidRPr="00545EC0" w14:paraId="6A3C1802" w14:textId="77777777" w:rsidTr="00C26A5C">
        <w:tc>
          <w:tcPr>
            <w:tcW w:w="5000" w:type="pct"/>
            <w:gridSpan w:val="2"/>
          </w:tcPr>
          <w:p w14:paraId="34C44FF4" w14:textId="77777777" w:rsidR="004674DD" w:rsidRPr="00F74983" w:rsidRDefault="004674DD" w:rsidP="00AD4FE7">
            <w:pPr>
              <w:jc w:val="center"/>
              <w:rPr>
                <w:color w:val="000000" w:themeColor="text1"/>
                <w:sz w:val="18"/>
                <w:szCs w:val="18"/>
              </w:rPr>
            </w:pPr>
            <w:r w:rsidRPr="00F74983">
              <w:rPr>
                <w:rFonts w:cs="Arial"/>
                <w:color w:val="000000" w:themeColor="text1"/>
                <w:sz w:val="18"/>
                <w:szCs w:val="18"/>
              </w:rPr>
              <w:t>POTENCIALNE BIOLOŠKE OBREMENITVE</w:t>
            </w:r>
          </w:p>
        </w:tc>
      </w:tr>
      <w:tr w:rsidR="003122F4" w:rsidRPr="00545EC0" w14:paraId="193D7B49" w14:textId="77777777" w:rsidTr="00C26A5C">
        <w:tc>
          <w:tcPr>
            <w:tcW w:w="1405" w:type="pct"/>
          </w:tcPr>
          <w:p w14:paraId="03458DD0" w14:textId="77777777" w:rsidR="004674DD" w:rsidRPr="00F74983" w:rsidRDefault="004674DD" w:rsidP="00AD4FE7">
            <w:pPr>
              <w:rPr>
                <w:color w:val="000000" w:themeColor="text1"/>
                <w:sz w:val="18"/>
                <w:szCs w:val="18"/>
              </w:rPr>
            </w:pPr>
            <w:r w:rsidRPr="00F74983">
              <w:rPr>
                <w:rFonts w:cs="Arial"/>
                <w:color w:val="000000" w:themeColor="text1"/>
                <w:sz w:val="18"/>
                <w:szCs w:val="18"/>
              </w:rPr>
              <w:t>Ribogojstvo</w:t>
            </w:r>
          </w:p>
        </w:tc>
        <w:tc>
          <w:tcPr>
            <w:tcW w:w="3595" w:type="pct"/>
          </w:tcPr>
          <w:p w14:paraId="1E5E0DA0" w14:textId="77777777" w:rsidR="004674DD" w:rsidRPr="00F74983" w:rsidRDefault="004674DD" w:rsidP="00AD4FE7">
            <w:pPr>
              <w:rPr>
                <w:color w:val="000000" w:themeColor="text1"/>
                <w:sz w:val="18"/>
                <w:szCs w:val="18"/>
              </w:rPr>
            </w:pPr>
            <w:r w:rsidRPr="00F74983">
              <w:rPr>
                <w:rFonts w:cs="Arial"/>
                <w:color w:val="000000" w:themeColor="text1"/>
                <w:sz w:val="18"/>
                <w:szCs w:val="18"/>
              </w:rPr>
              <w:t>Gojenje ekonomsko / ljubiteljsko pomembnih vrst rib</w:t>
            </w:r>
          </w:p>
        </w:tc>
      </w:tr>
      <w:tr w:rsidR="003122F4" w:rsidRPr="00545EC0" w14:paraId="19E96898" w14:textId="77777777" w:rsidTr="00C26A5C">
        <w:tc>
          <w:tcPr>
            <w:tcW w:w="1405" w:type="pct"/>
            <w:vMerge w:val="restart"/>
          </w:tcPr>
          <w:p w14:paraId="66AF66ED" w14:textId="77777777" w:rsidR="004674DD" w:rsidRPr="00F74983" w:rsidRDefault="004674DD" w:rsidP="00AD4FE7">
            <w:pPr>
              <w:rPr>
                <w:rFonts w:cs="Arial"/>
                <w:color w:val="000000" w:themeColor="text1"/>
                <w:sz w:val="18"/>
                <w:szCs w:val="18"/>
              </w:rPr>
            </w:pPr>
          </w:p>
          <w:p w14:paraId="720C6FE8" w14:textId="77777777" w:rsidR="004674DD" w:rsidRPr="00F74983" w:rsidRDefault="004674DD" w:rsidP="00AD4FE7">
            <w:pPr>
              <w:rPr>
                <w:rFonts w:cs="Arial"/>
                <w:color w:val="000000" w:themeColor="text1"/>
                <w:sz w:val="18"/>
                <w:szCs w:val="18"/>
              </w:rPr>
            </w:pPr>
            <w:r w:rsidRPr="00F74983">
              <w:rPr>
                <w:rFonts w:cs="Arial"/>
                <w:color w:val="000000" w:themeColor="text1"/>
                <w:sz w:val="18"/>
                <w:szCs w:val="18"/>
              </w:rPr>
              <w:t>Vnos tujerodnih vrst</w:t>
            </w:r>
          </w:p>
        </w:tc>
        <w:tc>
          <w:tcPr>
            <w:tcW w:w="3595" w:type="pct"/>
          </w:tcPr>
          <w:p w14:paraId="622E0101" w14:textId="77777777" w:rsidR="004674DD" w:rsidRPr="00F74983" w:rsidRDefault="004674DD" w:rsidP="00AD4FE7">
            <w:pPr>
              <w:rPr>
                <w:color w:val="000000" w:themeColor="text1"/>
                <w:sz w:val="18"/>
                <w:szCs w:val="18"/>
              </w:rPr>
            </w:pPr>
            <w:r w:rsidRPr="00F74983">
              <w:rPr>
                <w:rFonts w:cs="Arial"/>
                <w:color w:val="000000" w:themeColor="text1"/>
                <w:sz w:val="18"/>
                <w:szCs w:val="18"/>
              </w:rPr>
              <w:t>Vnos tujerodnih vrst, posebej invazivnih vrst v celinske vode</w:t>
            </w:r>
          </w:p>
        </w:tc>
      </w:tr>
      <w:tr w:rsidR="003122F4" w:rsidRPr="00545EC0" w14:paraId="3FAD79CD" w14:textId="77777777" w:rsidTr="00C26A5C">
        <w:tc>
          <w:tcPr>
            <w:tcW w:w="1405" w:type="pct"/>
            <w:vMerge/>
          </w:tcPr>
          <w:p w14:paraId="3C59323D" w14:textId="77777777" w:rsidR="004674DD" w:rsidRPr="002E60A5" w:rsidRDefault="004674DD" w:rsidP="00AD4FE7">
            <w:pPr>
              <w:rPr>
                <w:rFonts w:cs="Arial"/>
                <w:color w:val="000000" w:themeColor="text1"/>
                <w:sz w:val="18"/>
                <w:szCs w:val="18"/>
              </w:rPr>
            </w:pPr>
          </w:p>
        </w:tc>
        <w:tc>
          <w:tcPr>
            <w:tcW w:w="3595" w:type="pct"/>
          </w:tcPr>
          <w:p w14:paraId="44E927ED" w14:textId="22F2B29D" w:rsidR="004674DD" w:rsidRPr="002E60A5" w:rsidRDefault="004674DD" w:rsidP="007C559D">
            <w:pPr>
              <w:rPr>
                <w:color w:val="000000" w:themeColor="text1"/>
                <w:sz w:val="18"/>
                <w:szCs w:val="18"/>
              </w:rPr>
            </w:pPr>
            <w:r w:rsidRPr="002E60A5">
              <w:rPr>
                <w:rFonts w:cs="Arial"/>
                <w:color w:val="000000" w:themeColor="text1"/>
                <w:sz w:val="18"/>
                <w:szCs w:val="18"/>
              </w:rPr>
              <w:t xml:space="preserve">Množično pojavljanje </w:t>
            </w:r>
            <w:r w:rsidR="007C559D" w:rsidRPr="002E60A5">
              <w:rPr>
                <w:rFonts w:cs="Arial"/>
                <w:color w:val="000000" w:themeColor="text1"/>
                <w:sz w:val="18"/>
                <w:szCs w:val="18"/>
              </w:rPr>
              <w:t xml:space="preserve">vodnih organizmov </w:t>
            </w:r>
            <w:r w:rsidRPr="002E60A5">
              <w:rPr>
                <w:rFonts w:cs="Arial"/>
                <w:color w:val="000000" w:themeColor="text1"/>
                <w:sz w:val="18"/>
                <w:szCs w:val="18"/>
              </w:rPr>
              <w:t>ob naseljevanju v izolirane ekosisteme</w:t>
            </w:r>
          </w:p>
        </w:tc>
      </w:tr>
      <w:tr w:rsidR="004674DD" w:rsidRPr="00545EC0" w14:paraId="2B251F68" w14:textId="77777777" w:rsidTr="00C26A5C">
        <w:tc>
          <w:tcPr>
            <w:tcW w:w="1405" w:type="pct"/>
            <w:vMerge/>
          </w:tcPr>
          <w:p w14:paraId="7D268AFB" w14:textId="77777777" w:rsidR="004674DD" w:rsidRPr="002E60A5" w:rsidRDefault="004674DD" w:rsidP="00AD4FE7">
            <w:pPr>
              <w:rPr>
                <w:rFonts w:cs="Arial"/>
                <w:color w:val="000000" w:themeColor="text1"/>
                <w:sz w:val="18"/>
                <w:szCs w:val="18"/>
              </w:rPr>
            </w:pPr>
          </w:p>
        </w:tc>
        <w:tc>
          <w:tcPr>
            <w:tcW w:w="3595" w:type="pct"/>
          </w:tcPr>
          <w:p w14:paraId="4AAEB366" w14:textId="77777777" w:rsidR="004674DD" w:rsidRPr="002E60A5" w:rsidRDefault="004674DD" w:rsidP="00AD4FE7">
            <w:pPr>
              <w:rPr>
                <w:rFonts w:cs="Arial"/>
                <w:color w:val="000000" w:themeColor="text1"/>
                <w:sz w:val="18"/>
                <w:szCs w:val="18"/>
              </w:rPr>
            </w:pPr>
            <w:r w:rsidRPr="002E60A5">
              <w:rPr>
                <w:rFonts w:cs="Arial"/>
                <w:color w:val="000000" w:themeColor="text1"/>
                <w:sz w:val="18"/>
                <w:szCs w:val="18"/>
              </w:rPr>
              <w:t>Vnos akvarijskih in vivarijskih organizmov v vodne ekosisteme</w:t>
            </w:r>
          </w:p>
        </w:tc>
      </w:tr>
    </w:tbl>
    <w:p w14:paraId="4A3299F8" w14:textId="77777777" w:rsidR="004674DD" w:rsidRDefault="004674DD" w:rsidP="00AD4FE7">
      <w:pPr>
        <w:rPr>
          <w:sz w:val="18"/>
          <w:szCs w:val="18"/>
        </w:rPr>
      </w:pPr>
    </w:p>
    <w:p w14:paraId="7D73ADAD" w14:textId="07820E1A" w:rsidR="00D71B5F" w:rsidRPr="0026146E" w:rsidRDefault="00D71B5F" w:rsidP="00AD4FE7">
      <w:pPr>
        <w:rPr>
          <w:szCs w:val="20"/>
        </w:rPr>
      </w:pPr>
      <w:r w:rsidRPr="0026146E">
        <w:rPr>
          <w:szCs w:val="20"/>
        </w:rPr>
        <w:t>Potencialne biološke obremenitve so lahko tudi posledica kršitev zakonodaje na področju sladkovodnega ribištva in ribolova.</w:t>
      </w:r>
    </w:p>
    <w:p w14:paraId="375A4493" w14:textId="77777777" w:rsidR="00D71B5F" w:rsidRDefault="00D71B5F" w:rsidP="00AD4FE7">
      <w:pPr>
        <w:rPr>
          <w:sz w:val="18"/>
          <w:szCs w:val="18"/>
        </w:rPr>
      </w:pPr>
    </w:p>
    <w:p w14:paraId="124999FC" w14:textId="70CC2C44" w:rsidR="004674DD" w:rsidRPr="00545EC0" w:rsidRDefault="004674DD" w:rsidP="00AD4FE7">
      <w:pPr>
        <w:rPr>
          <w:rFonts w:cs="Arial"/>
          <w:szCs w:val="20"/>
        </w:rPr>
      </w:pPr>
      <w:r w:rsidRPr="00545EC0">
        <w:rPr>
          <w:rFonts w:cs="Arial"/>
          <w:szCs w:val="20"/>
        </w:rPr>
        <w:t xml:space="preserve">Po podatkih Zavoda za ribištvo Slovenije (v nadaljevanju ZZRS) je v celinskih vodah Slovenije prisotnih 17 »pravih« oziroma alohtonih tujerodnih vrst rib iz 6 družin: Salmonidae – 4 vrste, Cyprinidae – 7 vrst, Ictaluridae – 2 vrsti, Cichlidae – 1 vrsta, Centrarchidae – 2 vrsti in Poeciliidae – 1 vrsta. Pogosti so tudi prenosi med porečji znotraj Slovenije. V VO Jadranskega morja je iz VO Donave prenesenih </w:t>
      </w:r>
      <w:r w:rsidRPr="00545EC0">
        <w:rPr>
          <w:rFonts w:cs="Arial"/>
          <w:szCs w:val="20"/>
          <w:shd w:val="clear" w:color="auto" w:fill="FFFFFF" w:themeFill="background1"/>
        </w:rPr>
        <w:t>14 vrst</w:t>
      </w:r>
      <w:r w:rsidRPr="00545EC0">
        <w:rPr>
          <w:rFonts w:cs="Arial"/>
          <w:szCs w:val="20"/>
        </w:rPr>
        <w:t xml:space="preserve"> in v VO Donave iz VO Jadranskega morja </w:t>
      </w:r>
      <w:r w:rsidRPr="00545EC0">
        <w:rPr>
          <w:rFonts w:cs="Arial"/>
          <w:szCs w:val="20"/>
          <w:shd w:val="clear" w:color="auto" w:fill="FFFFFF" w:themeFill="background1"/>
        </w:rPr>
        <w:t xml:space="preserve">3 vrste </w:t>
      </w:r>
      <w:r w:rsidRPr="00545EC0">
        <w:rPr>
          <w:rFonts w:cs="Arial"/>
          <w:szCs w:val="20"/>
        </w:rPr>
        <w:t xml:space="preserve">(ZZRS, </w:t>
      </w:r>
      <w:r w:rsidR="004700F3" w:rsidRPr="00545EC0">
        <w:rPr>
          <w:rFonts w:cs="Arial"/>
          <w:szCs w:val="20"/>
        </w:rPr>
        <w:t>2020).</w:t>
      </w:r>
    </w:p>
    <w:p w14:paraId="38A2CEB3" w14:textId="77777777" w:rsidR="004700F3" w:rsidRPr="00545EC0" w:rsidRDefault="004700F3" w:rsidP="00AD4FE7">
      <w:pPr>
        <w:rPr>
          <w:rFonts w:cs="Arial"/>
          <w:szCs w:val="20"/>
        </w:rPr>
      </w:pPr>
    </w:p>
    <w:p w14:paraId="54B0DDFF" w14:textId="34BBF9C5" w:rsidR="004674DD" w:rsidRPr="00545EC0" w:rsidRDefault="004700F3" w:rsidP="00FF5CB0">
      <w:pPr>
        <w:rPr>
          <w:rFonts w:cs="Arial"/>
          <w:szCs w:val="20"/>
        </w:rPr>
      </w:pPr>
      <w:r w:rsidRPr="00545EC0">
        <w:rPr>
          <w:rFonts w:cs="Arial"/>
          <w:szCs w:val="20"/>
        </w:rPr>
        <w:t>Od ostalih tujerodnih vrst živali se v vodnem območju Slovenije v naravi pojavlja vsaj 5 tujerodnih vrst rakov: signalni rak (</w:t>
      </w:r>
      <w:r w:rsidRPr="00545EC0">
        <w:rPr>
          <w:rFonts w:cs="Arial"/>
          <w:i/>
          <w:szCs w:val="20"/>
        </w:rPr>
        <w:t xml:space="preserve">Pacifastacus leniusculus), </w:t>
      </w:r>
      <w:r w:rsidRPr="00545EC0">
        <w:rPr>
          <w:rFonts w:cs="Arial"/>
          <w:szCs w:val="20"/>
        </w:rPr>
        <w:t>rdečeškarjevec (</w:t>
      </w:r>
      <w:r w:rsidRPr="00545EC0">
        <w:rPr>
          <w:rFonts w:cs="Arial"/>
          <w:i/>
          <w:szCs w:val="20"/>
        </w:rPr>
        <w:t>Cherax quadricarinatus</w:t>
      </w:r>
      <w:r w:rsidRPr="00545EC0">
        <w:rPr>
          <w:rFonts w:cs="Arial"/>
          <w:szCs w:val="20"/>
        </w:rPr>
        <w:t xml:space="preserve">), ozkoškarjevec </w:t>
      </w:r>
      <w:r w:rsidRPr="00545EC0">
        <w:rPr>
          <w:rFonts w:cs="Arial"/>
          <w:i/>
          <w:szCs w:val="20"/>
        </w:rPr>
        <w:t>(Astacus leptodactylus)</w:t>
      </w:r>
      <w:r w:rsidRPr="00545EC0">
        <w:rPr>
          <w:rFonts w:cs="Arial"/>
          <w:szCs w:val="20"/>
        </w:rPr>
        <w:t>, trnavec (</w:t>
      </w:r>
      <w:r w:rsidRPr="00545EC0">
        <w:rPr>
          <w:rFonts w:cs="Arial"/>
          <w:i/>
          <w:szCs w:val="20"/>
        </w:rPr>
        <w:t>Faxonius limosus</w:t>
      </w:r>
      <w:r w:rsidRPr="00545EC0">
        <w:rPr>
          <w:rFonts w:cs="Arial"/>
          <w:szCs w:val="20"/>
        </w:rPr>
        <w:t>) in jelševec (</w:t>
      </w:r>
      <w:r w:rsidRPr="00545EC0">
        <w:rPr>
          <w:rFonts w:cs="Arial"/>
          <w:i/>
          <w:szCs w:val="20"/>
        </w:rPr>
        <w:t>Astacus astacus</w:t>
      </w:r>
      <w:r w:rsidRPr="00545EC0">
        <w:rPr>
          <w:rFonts w:cs="Arial"/>
          <w:szCs w:val="20"/>
        </w:rPr>
        <w:t xml:space="preserve">), 3 vrste invazivnih školjk (zebrasta školjka </w:t>
      </w:r>
      <w:r w:rsidRPr="00545EC0">
        <w:rPr>
          <w:rFonts w:cs="Arial"/>
          <w:i/>
          <w:szCs w:val="20"/>
        </w:rPr>
        <w:t>Dreissena polymorpha</w:t>
      </w:r>
      <w:r w:rsidRPr="00545EC0">
        <w:rPr>
          <w:rFonts w:cs="Arial"/>
          <w:szCs w:val="20"/>
        </w:rPr>
        <w:t xml:space="preserve">, kitajska brezzobka </w:t>
      </w:r>
      <w:r w:rsidRPr="00545EC0">
        <w:rPr>
          <w:rFonts w:cs="Arial"/>
          <w:i/>
          <w:szCs w:val="20"/>
        </w:rPr>
        <w:t>Sinanodonta woodiana</w:t>
      </w:r>
      <w:r w:rsidRPr="00545EC0">
        <w:rPr>
          <w:rFonts w:cs="Arial"/>
          <w:szCs w:val="20"/>
        </w:rPr>
        <w:t xml:space="preserve"> in azijska bisernica </w:t>
      </w:r>
      <w:r w:rsidRPr="00545EC0">
        <w:rPr>
          <w:rFonts w:cs="Arial"/>
          <w:i/>
          <w:szCs w:val="20"/>
        </w:rPr>
        <w:t>Corbicula fluminea)</w:t>
      </w:r>
      <w:r w:rsidRPr="00545EC0">
        <w:rPr>
          <w:rFonts w:cs="Arial"/>
          <w:szCs w:val="20"/>
        </w:rPr>
        <w:t>, 1 vrsta tujerodnega sladkovodnega polža (</w:t>
      </w:r>
      <w:r w:rsidRPr="00545EC0">
        <w:rPr>
          <w:rFonts w:cs="Arial"/>
          <w:i/>
          <w:szCs w:val="20"/>
        </w:rPr>
        <w:t>Potamopyrgus antipodarum</w:t>
      </w:r>
      <w:r w:rsidRPr="00545EC0">
        <w:rPr>
          <w:rFonts w:cs="Arial"/>
          <w:szCs w:val="20"/>
        </w:rPr>
        <w:t xml:space="preserve">), 1 tujerodna vrsta želve z 2 podvrstama (želva rdečevratka </w:t>
      </w:r>
      <w:r w:rsidRPr="00545EC0">
        <w:rPr>
          <w:rFonts w:cs="Arial"/>
          <w:i/>
          <w:szCs w:val="20"/>
        </w:rPr>
        <w:t>Trachemys scripta elegans</w:t>
      </w:r>
      <w:r w:rsidRPr="00545EC0">
        <w:rPr>
          <w:rFonts w:cs="Arial"/>
          <w:szCs w:val="20"/>
        </w:rPr>
        <w:t xml:space="preserve">, želva rumenovratka </w:t>
      </w:r>
      <w:r w:rsidRPr="00545EC0">
        <w:rPr>
          <w:rFonts w:cs="Arial"/>
          <w:i/>
          <w:szCs w:val="20"/>
        </w:rPr>
        <w:t>Trachemys scripta scripta</w:t>
      </w:r>
      <w:r w:rsidRPr="00545EC0">
        <w:rPr>
          <w:rFonts w:cs="Arial"/>
          <w:szCs w:val="20"/>
        </w:rPr>
        <w:t xml:space="preserve">), vsaj 2 tujerodni vrsti sesalcev (nutrija </w:t>
      </w:r>
      <w:r w:rsidRPr="00545EC0">
        <w:rPr>
          <w:rFonts w:cs="Arial"/>
          <w:i/>
          <w:szCs w:val="20"/>
        </w:rPr>
        <w:t>Myocastor coypus</w:t>
      </w:r>
      <w:r w:rsidRPr="00545EC0">
        <w:rPr>
          <w:rFonts w:cs="Arial"/>
          <w:szCs w:val="20"/>
        </w:rPr>
        <w:t xml:space="preserve">, pižmovka </w:t>
      </w:r>
      <w:r w:rsidRPr="00545EC0">
        <w:rPr>
          <w:rFonts w:cs="Arial"/>
          <w:i/>
          <w:szCs w:val="20"/>
        </w:rPr>
        <w:t>Ondatra zibethicus</w:t>
      </w:r>
      <w:r w:rsidRPr="00545EC0">
        <w:rPr>
          <w:rFonts w:cs="Arial"/>
          <w:szCs w:val="20"/>
        </w:rPr>
        <w:t>) in 1 vrsta dvoživke (</w:t>
      </w:r>
      <w:r w:rsidRPr="00545EC0">
        <w:rPr>
          <w:rFonts w:cs="Arial"/>
          <w:i/>
          <w:szCs w:val="20"/>
        </w:rPr>
        <w:t>Pelophylax kurtmuelleri</w:t>
      </w:r>
      <w:r w:rsidRPr="00545EC0">
        <w:rPr>
          <w:rFonts w:cs="Arial"/>
          <w:szCs w:val="20"/>
        </w:rPr>
        <w:t>). Tujerodne in invazivne vrste vodnih rastlin prepoznane v Sloveniji so vodna kuga (</w:t>
      </w:r>
      <w:r w:rsidRPr="00545EC0">
        <w:rPr>
          <w:rFonts w:cs="Arial"/>
          <w:i/>
          <w:szCs w:val="20"/>
        </w:rPr>
        <w:t>Elodea canadensis</w:t>
      </w:r>
      <w:r w:rsidRPr="00545EC0">
        <w:rPr>
          <w:rFonts w:cs="Arial"/>
          <w:szCs w:val="20"/>
        </w:rPr>
        <w:t>), azola (</w:t>
      </w:r>
      <w:r w:rsidRPr="00545EC0">
        <w:rPr>
          <w:rFonts w:cs="Arial"/>
          <w:i/>
          <w:szCs w:val="20"/>
        </w:rPr>
        <w:t>Azolla filiculoides</w:t>
      </w:r>
      <w:r w:rsidRPr="00545EC0">
        <w:rPr>
          <w:rFonts w:cs="Arial"/>
          <w:szCs w:val="20"/>
        </w:rPr>
        <w:t>) in vodna solata (</w:t>
      </w:r>
      <w:r w:rsidRPr="00545EC0">
        <w:rPr>
          <w:rFonts w:cs="Arial"/>
          <w:i/>
          <w:szCs w:val="20"/>
        </w:rPr>
        <w:t>Pistia stratiotes</w:t>
      </w:r>
      <w:r w:rsidRPr="00545EC0">
        <w:rPr>
          <w:rFonts w:cs="Arial"/>
          <w:szCs w:val="20"/>
        </w:rPr>
        <w:t xml:space="preserve">). Poleg vodne kuge se v Sloveniji pojavlja podobna invazivna tujerodna vrsta, </w:t>
      </w:r>
      <w:r w:rsidRPr="00545EC0">
        <w:rPr>
          <w:rFonts w:cs="Arial"/>
          <w:i/>
          <w:szCs w:val="20"/>
        </w:rPr>
        <w:t>Elodea nuttallii.</w:t>
      </w:r>
      <w:r w:rsidRPr="00545EC0">
        <w:rPr>
          <w:rFonts w:cs="Arial"/>
          <w:szCs w:val="20"/>
        </w:rPr>
        <w:t xml:space="preserve"> V Sloveniji se množično pojavlja tudi domorodna vrsta kremenaste alge </w:t>
      </w:r>
      <w:r w:rsidRPr="00545EC0">
        <w:rPr>
          <w:rFonts w:cs="Arial"/>
          <w:i/>
          <w:szCs w:val="20"/>
        </w:rPr>
        <w:t>Didymosphenia geminata</w:t>
      </w:r>
      <w:r w:rsidRPr="00545EC0">
        <w:rPr>
          <w:rFonts w:cs="Arial"/>
          <w:szCs w:val="20"/>
        </w:rPr>
        <w:t xml:space="preserve">, ki je razširjena po severni Evropi in severnem delu severne Amerike. Vrsta ima lahko zaradi množičnega pojavljanja negativni vpliv na ostale vrste v vodnem ekosistemu. Na brežinah celinskih voda se pojavljajo številne tujerodne invazivne vrste </w:t>
      </w:r>
      <w:r w:rsidRPr="00545EC0">
        <w:rPr>
          <w:rFonts w:cs="Arial"/>
          <w:szCs w:val="20"/>
        </w:rPr>
        <w:lastRenderedPageBreak/>
        <w:t>rastlin, med katerimi sto pogoste vrste iz rodu dresnik ( japonski dresnik (</w:t>
      </w:r>
      <w:r w:rsidRPr="00545EC0">
        <w:rPr>
          <w:rFonts w:cs="Arial"/>
          <w:i/>
          <w:szCs w:val="20"/>
        </w:rPr>
        <w:t>Fallopia japonica</w:t>
      </w:r>
      <w:r w:rsidRPr="00545EC0">
        <w:rPr>
          <w:rFonts w:cs="Arial"/>
          <w:szCs w:val="20"/>
        </w:rPr>
        <w:t>), Sahalinski dresnik (Fallopia × bohemica) in češki dresnik (</w:t>
      </w:r>
      <w:r w:rsidRPr="00545EC0">
        <w:rPr>
          <w:rFonts w:cs="Arial"/>
          <w:i/>
          <w:iCs/>
          <w:szCs w:val="20"/>
        </w:rPr>
        <w:t>Fallopia × bohemica</w:t>
      </w:r>
      <w:r w:rsidRPr="00545EC0">
        <w:rPr>
          <w:rFonts w:cs="Arial"/>
          <w:szCs w:val="20"/>
        </w:rPr>
        <w:t xml:space="preserve">)) </w:t>
      </w:r>
      <w:r w:rsidR="006A7E2C">
        <w:rPr>
          <w:rFonts w:cs="Arial"/>
          <w:szCs w:val="20"/>
        </w:rPr>
        <w:t>,</w:t>
      </w:r>
      <w:r w:rsidRPr="00545EC0">
        <w:rPr>
          <w:rFonts w:cs="Arial"/>
          <w:szCs w:val="20"/>
        </w:rPr>
        <w:t xml:space="preserve"> žlezava nedotika </w:t>
      </w:r>
      <w:r w:rsidRPr="00545EC0">
        <w:rPr>
          <w:rFonts w:cs="Arial"/>
          <w:i/>
          <w:szCs w:val="20"/>
        </w:rPr>
        <w:t>(Impatiens glandulifera</w:t>
      </w:r>
      <w:r w:rsidRPr="00545EC0">
        <w:rPr>
          <w:rFonts w:cs="Arial"/>
          <w:szCs w:val="20"/>
        </w:rPr>
        <w:t>)</w:t>
      </w:r>
      <w:r w:rsidR="006A7E2C">
        <w:rPr>
          <w:rFonts w:cs="Arial"/>
          <w:szCs w:val="20"/>
        </w:rPr>
        <w:t>,</w:t>
      </w:r>
      <w:r w:rsidR="00357381" w:rsidRPr="00545EC0">
        <w:rPr>
          <w:rFonts w:cs="Arial"/>
          <w:szCs w:val="20"/>
        </w:rPr>
        <w:t xml:space="preserve"> </w:t>
      </w:r>
      <w:r w:rsidR="00FF5CB0" w:rsidRPr="00FF5CB0">
        <w:rPr>
          <w:rFonts w:cs="Arial"/>
          <w:szCs w:val="20"/>
        </w:rPr>
        <w:t>sirska svilnica (Asclepias syriaca), orjaški</w:t>
      </w:r>
      <w:r w:rsidR="00FF5CB0">
        <w:rPr>
          <w:rFonts w:cs="Arial"/>
          <w:szCs w:val="20"/>
        </w:rPr>
        <w:t xml:space="preserve"> </w:t>
      </w:r>
      <w:r w:rsidR="00FF5CB0" w:rsidRPr="00FF5CB0">
        <w:rPr>
          <w:rFonts w:cs="Arial"/>
          <w:szCs w:val="20"/>
        </w:rPr>
        <w:t>dežen (Heracleum mantegazzianum), pajesen (Ailanthus altissima) in japonski</w:t>
      </w:r>
      <w:r w:rsidR="00FF5CB0">
        <w:rPr>
          <w:rFonts w:cs="Arial"/>
          <w:szCs w:val="20"/>
        </w:rPr>
        <w:t xml:space="preserve"> hmelj (Humulus scandens), </w:t>
      </w:r>
      <w:r w:rsidR="00FF5CB0" w:rsidRPr="00FF5CB0">
        <w:rPr>
          <w:rFonts w:cs="Arial"/>
          <w:szCs w:val="20"/>
        </w:rPr>
        <w:t>Za prisotnost japonskega hmelja v Sloveniji še nimamo podatkov. Prisoten je v bližini Slovenije, in sicer na</w:t>
      </w:r>
      <w:r w:rsidR="00FF5CB0" w:rsidRPr="00FF5CB0">
        <w:t xml:space="preserve"> </w:t>
      </w:r>
      <w:r w:rsidR="00FF5CB0" w:rsidRPr="00FF5CB0">
        <w:rPr>
          <w:rFonts w:cs="Arial"/>
          <w:szCs w:val="20"/>
        </w:rPr>
        <w:t>Madžarskem in na Hrvaškem blizu meje, zato obstaja verjetnost širjenja ali že obstoječe prisotnosti v</w:t>
      </w:r>
      <w:r w:rsidR="00FF5CB0">
        <w:rPr>
          <w:rFonts w:cs="Arial"/>
          <w:szCs w:val="20"/>
        </w:rPr>
        <w:t xml:space="preserve"> </w:t>
      </w:r>
      <w:r w:rsidR="00FF5CB0" w:rsidRPr="00FF5CB0">
        <w:rPr>
          <w:rFonts w:cs="Arial"/>
          <w:szCs w:val="20"/>
        </w:rPr>
        <w:t>Sloveniji, predvsem vzhodni.</w:t>
      </w:r>
      <w:r w:rsidR="00FF5CB0">
        <w:rPr>
          <w:rFonts w:cs="Arial"/>
          <w:szCs w:val="20"/>
        </w:rPr>
        <w:t xml:space="preserve"> </w:t>
      </w:r>
      <w:r w:rsidR="004674DD" w:rsidRPr="00545EC0">
        <w:rPr>
          <w:rFonts w:cs="Arial"/>
          <w:szCs w:val="20"/>
        </w:rPr>
        <w:t xml:space="preserve">V </w:t>
      </w:r>
      <w:r w:rsidR="00357381" w:rsidRPr="00545EC0">
        <w:rPr>
          <w:rFonts w:cs="Arial"/>
          <w:szCs w:val="20"/>
        </w:rPr>
        <w:t xml:space="preserve">preglednici </w:t>
      </w:r>
      <w:r w:rsidR="0095433D" w:rsidRPr="00545EC0">
        <w:rPr>
          <w:rFonts w:cs="Arial"/>
          <w:szCs w:val="20"/>
        </w:rPr>
        <w:fldChar w:fldCharType="begin"/>
      </w:r>
      <w:r w:rsidR="0095433D" w:rsidRPr="00545EC0">
        <w:rPr>
          <w:rFonts w:cs="Arial"/>
          <w:szCs w:val="20"/>
        </w:rPr>
        <w:instrText xml:space="preserve"> REF _Ref84321244 \h </w:instrText>
      </w:r>
      <w:r w:rsidR="00F37A91" w:rsidRPr="00545EC0">
        <w:rPr>
          <w:rFonts w:cs="Arial"/>
          <w:szCs w:val="20"/>
        </w:rPr>
        <w:instrText xml:space="preserve"> \* MERGEFORMAT </w:instrText>
      </w:r>
      <w:r w:rsidR="0095433D" w:rsidRPr="00545EC0">
        <w:rPr>
          <w:rFonts w:cs="Arial"/>
          <w:szCs w:val="20"/>
        </w:rPr>
      </w:r>
      <w:r w:rsidR="0095433D" w:rsidRPr="00545EC0">
        <w:rPr>
          <w:rFonts w:cs="Arial"/>
          <w:szCs w:val="20"/>
        </w:rPr>
        <w:fldChar w:fldCharType="separate"/>
      </w:r>
      <w:r w:rsidR="002F3E43" w:rsidRPr="002F3E43">
        <w:rPr>
          <w:rFonts w:cs="Arial"/>
          <w:szCs w:val="20"/>
        </w:rPr>
        <w:t>Preglednica</w:t>
      </w:r>
      <w:r w:rsidR="002F3E43" w:rsidRPr="00545EC0">
        <w:t xml:space="preserve"> </w:t>
      </w:r>
      <w:r w:rsidR="002F3E43">
        <w:t>2</w:t>
      </w:r>
      <w:r w:rsidR="002F3E43" w:rsidRPr="00545EC0">
        <w:noBreakHyphen/>
      </w:r>
      <w:r w:rsidR="002F3E43">
        <w:t>37</w:t>
      </w:r>
      <w:r w:rsidR="0095433D" w:rsidRPr="00545EC0">
        <w:rPr>
          <w:rFonts w:cs="Arial"/>
          <w:szCs w:val="20"/>
        </w:rPr>
        <w:fldChar w:fldCharType="end"/>
      </w:r>
      <w:r w:rsidR="00357381" w:rsidRPr="00545EC0">
        <w:rPr>
          <w:rFonts w:cs="Arial"/>
          <w:szCs w:val="20"/>
        </w:rPr>
        <w:t>)</w:t>
      </w:r>
      <w:r w:rsidR="0095433D" w:rsidRPr="00545EC0">
        <w:rPr>
          <w:rFonts w:cs="Arial"/>
          <w:szCs w:val="20"/>
        </w:rPr>
        <w:t xml:space="preserve"> </w:t>
      </w:r>
      <w:r w:rsidR="004674DD" w:rsidRPr="00545EC0">
        <w:rPr>
          <w:rFonts w:cs="Arial"/>
          <w:szCs w:val="20"/>
        </w:rPr>
        <w:t>je seznam tujerodnih vrst sladkovodnih rib.</w:t>
      </w:r>
    </w:p>
    <w:p w14:paraId="2041531C" w14:textId="77777777" w:rsidR="004674DD" w:rsidRPr="00545EC0" w:rsidRDefault="004674DD" w:rsidP="00AD4FE7">
      <w:pPr>
        <w:rPr>
          <w:rFonts w:cs="Arial"/>
          <w:szCs w:val="20"/>
        </w:rPr>
      </w:pPr>
    </w:p>
    <w:p w14:paraId="4DE79F46" w14:textId="17D94E18" w:rsidR="00ED5FBB" w:rsidRPr="00545EC0" w:rsidRDefault="00ED5FBB" w:rsidP="00AD4FE7">
      <w:pPr>
        <w:rPr>
          <w:rFonts w:cs="Arial"/>
          <w:szCs w:val="20"/>
        </w:rPr>
      </w:pPr>
      <w:bookmarkStart w:id="239" w:name="_Ref84321244"/>
      <w:bookmarkStart w:id="240" w:name="_Ref84258071"/>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37</w:t>
        </w:r>
      </w:fldSimple>
      <w:bookmarkEnd w:id="239"/>
      <w:r w:rsidRPr="00545EC0">
        <w:t>: Seznam naseljenih vrst rib v stoječih in tekočih vodah Slovenije v VO Donave.</w:t>
      </w:r>
      <w:r w:rsidRPr="00545EC0">
        <w:rPr>
          <w:rFonts w:cs="Arial"/>
          <w:szCs w:val="20"/>
        </w:rPr>
        <w:t xml:space="preserve"> </w:t>
      </w:r>
      <w:bookmarkEnd w:id="240"/>
    </w:p>
    <w:p w14:paraId="7FAB1671" w14:textId="06CA17CE" w:rsidR="00ED5FBB" w:rsidRPr="00545EC0" w:rsidRDefault="00ED5FBB" w:rsidP="00AD4FE7">
      <w:pPr>
        <w:pStyle w:val="Napis"/>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0"/>
        <w:gridCol w:w="4254"/>
        <w:gridCol w:w="1842"/>
        <w:gridCol w:w="1345"/>
      </w:tblGrid>
      <w:tr w:rsidR="003122F4" w:rsidRPr="00545EC0" w14:paraId="0801103B" w14:textId="77777777" w:rsidTr="00AC702B">
        <w:trPr>
          <w:trHeight w:val="284"/>
          <w:tblHeader/>
        </w:trPr>
        <w:tc>
          <w:tcPr>
            <w:tcW w:w="961" w:type="pct"/>
            <w:shd w:val="pct12" w:color="auto" w:fill="auto"/>
            <w:noWrap/>
            <w:vAlign w:val="center"/>
          </w:tcPr>
          <w:p w14:paraId="6ED7B6F4" w14:textId="77777777" w:rsidR="004674DD" w:rsidRPr="00545EC0" w:rsidRDefault="004674DD" w:rsidP="00AD4FE7">
            <w:pPr>
              <w:rPr>
                <w:rFonts w:cs="Arial"/>
                <w:b/>
                <w:sz w:val="18"/>
                <w:szCs w:val="18"/>
              </w:rPr>
            </w:pPr>
            <w:r w:rsidRPr="00545EC0">
              <w:rPr>
                <w:rFonts w:cs="Arial"/>
                <w:b/>
                <w:sz w:val="18"/>
                <w:szCs w:val="18"/>
              </w:rPr>
              <w:t>Vrsta</w:t>
            </w:r>
          </w:p>
        </w:tc>
        <w:tc>
          <w:tcPr>
            <w:tcW w:w="2309" w:type="pct"/>
            <w:shd w:val="pct12" w:color="auto" w:fill="auto"/>
            <w:noWrap/>
            <w:vAlign w:val="center"/>
          </w:tcPr>
          <w:p w14:paraId="6492A9BF" w14:textId="77777777" w:rsidR="004674DD" w:rsidRPr="00545EC0" w:rsidRDefault="004674DD" w:rsidP="00AD4FE7">
            <w:pPr>
              <w:rPr>
                <w:rFonts w:cs="Arial"/>
                <w:b/>
                <w:sz w:val="18"/>
                <w:szCs w:val="18"/>
              </w:rPr>
            </w:pPr>
            <w:r w:rsidRPr="00545EC0">
              <w:rPr>
                <w:rFonts w:cs="Arial"/>
                <w:b/>
                <w:sz w:val="18"/>
                <w:szCs w:val="18"/>
              </w:rPr>
              <w:t>Znanstveno ime</w:t>
            </w:r>
          </w:p>
        </w:tc>
        <w:tc>
          <w:tcPr>
            <w:tcW w:w="1000" w:type="pct"/>
            <w:shd w:val="pct12" w:color="auto" w:fill="auto"/>
            <w:vAlign w:val="center"/>
          </w:tcPr>
          <w:p w14:paraId="6986EF02" w14:textId="77777777" w:rsidR="004674DD" w:rsidRPr="00545EC0" w:rsidRDefault="004674DD" w:rsidP="00AD4FE7">
            <w:pPr>
              <w:jc w:val="center"/>
              <w:rPr>
                <w:rFonts w:cs="Arial"/>
                <w:b/>
                <w:sz w:val="18"/>
                <w:szCs w:val="18"/>
              </w:rPr>
            </w:pPr>
            <w:r w:rsidRPr="00545EC0">
              <w:rPr>
                <w:rFonts w:cs="Arial"/>
                <w:b/>
                <w:sz w:val="18"/>
                <w:szCs w:val="18"/>
              </w:rPr>
              <w:t>»Prave« tujerodne vrste (v Slovenijo vnesene iz tujine)</w:t>
            </w:r>
          </w:p>
        </w:tc>
        <w:tc>
          <w:tcPr>
            <w:tcW w:w="730" w:type="pct"/>
            <w:shd w:val="pct12" w:color="auto" w:fill="auto"/>
            <w:vAlign w:val="center"/>
          </w:tcPr>
          <w:p w14:paraId="788C0BC5" w14:textId="77777777" w:rsidR="004674DD" w:rsidRPr="00545EC0" w:rsidRDefault="004674DD" w:rsidP="00AD4FE7">
            <w:pPr>
              <w:jc w:val="center"/>
              <w:rPr>
                <w:rFonts w:cs="Arial"/>
                <w:b/>
                <w:sz w:val="18"/>
                <w:szCs w:val="18"/>
              </w:rPr>
            </w:pPr>
            <w:r w:rsidRPr="00545EC0">
              <w:rPr>
                <w:rFonts w:cs="Arial"/>
                <w:b/>
                <w:sz w:val="18"/>
                <w:szCs w:val="18"/>
              </w:rPr>
              <w:t>Tujerodne</w:t>
            </w:r>
          </w:p>
          <w:p w14:paraId="2FAC81EC" w14:textId="77777777" w:rsidR="004674DD" w:rsidRPr="00545EC0" w:rsidRDefault="004674DD" w:rsidP="00AD4FE7">
            <w:pPr>
              <w:jc w:val="center"/>
              <w:rPr>
                <w:rFonts w:cs="Arial"/>
                <w:b/>
                <w:sz w:val="18"/>
                <w:szCs w:val="18"/>
              </w:rPr>
            </w:pPr>
            <w:r w:rsidRPr="00545EC0">
              <w:rPr>
                <w:rFonts w:cs="Arial"/>
                <w:b/>
                <w:sz w:val="18"/>
                <w:szCs w:val="18"/>
              </w:rPr>
              <w:t>za VO Donave</w:t>
            </w:r>
          </w:p>
        </w:tc>
      </w:tr>
      <w:tr w:rsidR="003122F4" w:rsidRPr="00545EC0" w14:paraId="7936CC98" w14:textId="77777777" w:rsidTr="00AC702B">
        <w:trPr>
          <w:trHeight w:val="255"/>
        </w:trPr>
        <w:tc>
          <w:tcPr>
            <w:tcW w:w="961" w:type="pct"/>
            <w:shd w:val="clear" w:color="auto" w:fill="F2F2F2" w:themeFill="background1" w:themeFillShade="F2"/>
            <w:vAlign w:val="center"/>
          </w:tcPr>
          <w:p w14:paraId="2BD86494" w14:textId="77777777" w:rsidR="004674DD" w:rsidRPr="00545EC0" w:rsidRDefault="004674DD" w:rsidP="00AD4FE7">
            <w:pPr>
              <w:rPr>
                <w:rFonts w:cs="Arial"/>
                <w:b/>
                <w:i/>
                <w:sz w:val="18"/>
                <w:szCs w:val="18"/>
              </w:rPr>
            </w:pPr>
            <w:r w:rsidRPr="00545EC0">
              <w:rPr>
                <w:rFonts w:cs="Arial"/>
                <w:b/>
                <w:i/>
                <w:sz w:val="18"/>
                <w:szCs w:val="18"/>
              </w:rPr>
              <w:t>Anguilidae</w:t>
            </w:r>
          </w:p>
        </w:tc>
        <w:tc>
          <w:tcPr>
            <w:tcW w:w="2309" w:type="pct"/>
            <w:shd w:val="clear" w:color="auto" w:fill="F2F2F2" w:themeFill="background1" w:themeFillShade="F2"/>
            <w:vAlign w:val="center"/>
          </w:tcPr>
          <w:p w14:paraId="27973DA3" w14:textId="77777777" w:rsidR="004674DD" w:rsidRPr="00545EC0" w:rsidRDefault="004674DD" w:rsidP="00AD4FE7">
            <w:pPr>
              <w:rPr>
                <w:rFonts w:cs="Arial"/>
                <w:i/>
                <w:sz w:val="18"/>
                <w:szCs w:val="18"/>
                <w:lang w:val="it-IT"/>
              </w:rPr>
            </w:pPr>
          </w:p>
        </w:tc>
        <w:tc>
          <w:tcPr>
            <w:tcW w:w="1000" w:type="pct"/>
            <w:shd w:val="clear" w:color="auto" w:fill="F2F2F2" w:themeFill="background1" w:themeFillShade="F2"/>
            <w:vAlign w:val="center"/>
          </w:tcPr>
          <w:p w14:paraId="70244EB5" w14:textId="77777777" w:rsidR="004674DD" w:rsidRPr="00545EC0" w:rsidRDefault="004674DD" w:rsidP="00AD4FE7">
            <w:pPr>
              <w:jc w:val="center"/>
              <w:rPr>
                <w:rFonts w:cs="Arial"/>
                <w:i/>
                <w:sz w:val="18"/>
                <w:szCs w:val="18"/>
                <w:lang w:val="it-IT"/>
              </w:rPr>
            </w:pPr>
          </w:p>
        </w:tc>
        <w:tc>
          <w:tcPr>
            <w:tcW w:w="730" w:type="pct"/>
            <w:shd w:val="clear" w:color="auto" w:fill="F2F2F2" w:themeFill="background1" w:themeFillShade="F2"/>
            <w:vAlign w:val="center"/>
          </w:tcPr>
          <w:p w14:paraId="3BEC744F" w14:textId="77777777" w:rsidR="004674DD" w:rsidRPr="00545EC0" w:rsidRDefault="004674DD" w:rsidP="00AD4FE7">
            <w:pPr>
              <w:jc w:val="center"/>
              <w:rPr>
                <w:rFonts w:cs="Arial"/>
                <w:i/>
                <w:sz w:val="18"/>
                <w:szCs w:val="18"/>
                <w:lang w:val="it-IT"/>
              </w:rPr>
            </w:pPr>
          </w:p>
        </w:tc>
      </w:tr>
      <w:tr w:rsidR="003122F4" w:rsidRPr="00545EC0" w14:paraId="5EA85CAE" w14:textId="77777777" w:rsidTr="00AC702B">
        <w:trPr>
          <w:trHeight w:val="255"/>
        </w:trPr>
        <w:tc>
          <w:tcPr>
            <w:tcW w:w="961" w:type="pct"/>
            <w:shd w:val="clear" w:color="auto" w:fill="auto"/>
            <w:vAlign w:val="center"/>
          </w:tcPr>
          <w:p w14:paraId="4653D183" w14:textId="7667C44E" w:rsidR="004674DD" w:rsidRPr="00545EC0" w:rsidRDefault="004674DD" w:rsidP="00AD4FE7">
            <w:pPr>
              <w:rPr>
                <w:rFonts w:cs="Arial"/>
                <w:sz w:val="18"/>
                <w:szCs w:val="18"/>
              </w:rPr>
            </w:pPr>
            <w:r w:rsidRPr="00545EC0">
              <w:rPr>
                <w:rFonts w:cs="Arial"/>
                <w:sz w:val="18"/>
                <w:szCs w:val="18"/>
              </w:rPr>
              <w:t>Jegulja*</w:t>
            </w:r>
          </w:p>
        </w:tc>
        <w:tc>
          <w:tcPr>
            <w:tcW w:w="2309" w:type="pct"/>
            <w:shd w:val="clear" w:color="auto" w:fill="auto"/>
            <w:vAlign w:val="center"/>
          </w:tcPr>
          <w:p w14:paraId="189976D1" w14:textId="77777777" w:rsidR="004674DD" w:rsidRPr="00545EC0" w:rsidRDefault="004674DD" w:rsidP="00AD4FE7">
            <w:pPr>
              <w:rPr>
                <w:rFonts w:cs="Arial"/>
                <w:i/>
                <w:iCs/>
                <w:sz w:val="18"/>
                <w:szCs w:val="18"/>
              </w:rPr>
            </w:pPr>
            <w:r w:rsidRPr="00545EC0">
              <w:rPr>
                <w:rFonts w:cs="Arial"/>
                <w:i/>
                <w:iCs/>
                <w:sz w:val="18"/>
                <w:szCs w:val="18"/>
              </w:rPr>
              <w:t>Anguilla anguilla</w:t>
            </w:r>
            <w:r w:rsidRPr="00545EC0">
              <w:rPr>
                <w:rFonts w:cs="Arial"/>
                <w:sz w:val="18"/>
                <w:szCs w:val="18"/>
              </w:rPr>
              <w:t xml:space="preserve"> (Linnaeus, 1758)</w:t>
            </w:r>
          </w:p>
        </w:tc>
        <w:tc>
          <w:tcPr>
            <w:tcW w:w="1000" w:type="pct"/>
            <w:vAlign w:val="center"/>
          </w:tcPr>
          <w:p w14:paraId="526FFCCD" w14:textId="77777777" w:rsidR="004674DD" w:rsidRPr="00545EC0" w:rsidRDefault="004674DD" w:rsidP="00AD4FE7">
            <w:pPr>
              <w:jc w:val="center"/>
              <w:rPr>
                <w:rFonts w:cs="Arial"/>
                <w:i/>
                <w:sz w:val="18"/>
                <w:szCs w:val="18"/>
                <w:lang w:val="it-IT"/>
              </w:rPr>
            </w:pPr>
          </w:p>
        </w:tc>
        <w:tc>
          <w:tcPr>
            <w:tcW w:w="730" w:type="pct"/>
            <w:vAlign w:val="center"/>
          </w:tcPr>
          <w:p w14:paraId="2D422C40" w14:textId="77777777" w:rsidR="004674DD" w:rsidRPr="00545EC0" w:rsidRDefault="004674DD" w:rsidP="00AD4FE7">
            <w:pPr>
              <w:jc w:val="center"/>
              <w:rPr>
                <w:rFonts w:cs="Arial"/>
                <w:i/>
                <w:sz w:val="18"/>
                <w:szCs w:val="18"/>
                <w:lang w:val="it-IT"/>
              </w:rPr>
            </w:pPr>
          </w:p>
        </w:tc>
      </w:tr>
      <w:tr w:rsidR="003122F4" w:rsidRPr="00545EC0" w14:paraId="3C8CA654" w14:textId="77777777" w:rsidTr="00AC702B">
        <w:trPr>
          <w:trHeight w:val="255"/>
        </w:trPr>
        <w:tc>
          <w:tcPr>
            <w:tcW w:w="961" w:type="pct"/>
            <w:shd w:val="clear" w:color="auto" w:fill="F2F2F2" w:themeFill="background1" w:themeFillShade="F2"/>
            <w:vAlign w:val="center"/>
          </w:tcPr>
          <w:p w14:paraId="7BF85959" w14:textId="77777777" w:rsidR="004674DD" w:rsidRPr="00545EC0" w:rsidRDefault="004674DD" w:rsidP="00AD4FE7">
            <w:pPr>
              <w:rPr>
                <w:rFonts w:cs="Arial"/>
                <w:b/>
                <w:i/>
                <w:sz w:val="18"/>
                <w:szCs w:val="18"/>
              </w:rPr>
            </w:pPr>
            <w:r w:rsidRPr="00545EC0">
              <w:rPr>
                <w:rFonts w:cs="Arial"/>
                <w:b/>
                <w:i/>
                <w:sz w:val="18"/>
                <w:szCs w:val="18"/>
              </w:rPr>
              <w:t>Salmonidae</w:t>
            </w:r>
          </w:p>
        </w:tc>
        <w:tc>
          <w:tcPr>
            <w:tcW w:w="2309" w:type="pct"/>
            <w:shd w:val="clear" w:color="auto" w:fill="F2F2F2" w:themeFill="background1" w:themeFillShade="F2"/>
            <w:vAlign w:val="center"/>
          </w:tcPr>
          <w:p w14:paraId="018898E2" w14:textId="77777777" w:rsidR="004674DD" w:rsidRPr="00545EC0" w:rsidRDefault="004674DD" w:rsidP="00AD4FE7">
            <w:pPr>
              <w:rPr>
                <w:rFonts w:cs="Arial"/>
                <w:i/>
                <w:sz w:val="18"/>
                <w:szCs w:val="18"/>
                <w:lang w:val="it-IT"/>
              </w:rPr>
            </w:pPr>
          </w:p>
        </w:tc>
        <w:tc>
          <w:tcPr>
            <w:tcW w:w="1000" w:type="pct"/>
            <w:shd w:val="clear" w:color="auto" w:fill="F2F2F2" w:themeFill="background1" w:themeFillShade="F2"/>
            <w:vAlign w:val="center"/>
          </w:tcPr>
          <w:p w14:paraId="705DB8A4" w14:textId="77777777" w:rsidR="004674DD" w:rsidRPr="00545EC0" w:rsidRDefault="004674DD" w:rsidP="00AD4FE7">
            <w:pPr>
              <w:jc w:val="center"/>
              <w:rPr>
                <w:rFonts w:cs="Arial"/>
                <w:i/>
                <w:sz w:val="18"/>
                <w:szCs w:val="18"/>
                <w:lang w:val="it-IT"/>
              </w:rPr>
            </w:pPr>
          </w:p>
        </w:tc>
        <w:tc>
          <w:tcPr>
            <w:tcW w:w="730" w:type="pct"/>
            <w:shd w:val="clear" w:color="auto" w:fill="F2F2F2" w:themeFill="background1" w:themeFillShade="F2"/>
            <w:vAlign w:val="center"/>
          </w:tcPr>
          <w:p w14:paraId="568161AA" w14:textId="77777777" w:rsidR="004674DD" w:rsidRPr="00545EC0" w:rsidRDefault="004674DD" w:rsidP="00AD4FE7">
            <w:pPr>
              <w:jc w:val="center"/>
              <w:rPr>
                <w:rFonts w:cs="Arial"/>
                <w:i/>
                <w:sz w:val="18"/>
                <w:szCs w:val="18"/>
                <w:lang w:val="it-IT"/>
              </w:rPr>
            </w:pPr>
          </w:p>
        </w:tc>
      </w:tr>
      <w:tr w:rsidR="003122F4" w:rsidRPr="00545EC0" w14:paraId="38CD435B" w14:textId="77777777" w:rsidTr="00AC702B">
        <w:trPr>
          <w:trHeight w:val="255"/>
        </w:trPr>
        <w:tc>
          <w:tcPr>
            <w:tcW w:w="961" w:type="pct"/>
            <w:shd w:val="clear" w:color="auto" w:fill="auto"/>
            <w:vAlign w:val="center"/>
          </w:tcPr>
          <w:p w14:paraId="7AD5A9BF" w14:textId="77777777" w:rsidR="004674DD" w:rsidRPr="00545EC0" w:rsidRDefault="004674DD" w:rsidP="00AD4FE7">
            <w:pPr>
              <w:rPr>
                <w:rFonts w:cs="Arial"/>
                <w:sz w:val="18"/>
                <w:szCs w:val="18"/>
              </w:rPr>
            </w:pPr>
            <w:r w:rsidRPr="00545EC0">
              <w:rPr>
                <w:rFonts w:cs="Arial"/>
                <w:sz w:val="18"/>
                <w:szCs w:val="18"/>
              </w:rPr>
              <w:t>potočna postrv</w:t>
            </w:r>
          </w:p>
        </w:tc>
        <w:tc>
          <w:tcPr>
            <w:tcW w:w="2309" w:type="pct"/>
            <w:shd w:val="clear" w:color="auto" w:fill="auto"/>
            <w:vAlign w:val="center"/>
          </w:tcPr>
          <w:p w14:paraId="71DDFE4B" w14:textId="77777777" w:rsidR="004674DD" w:rsidRPr="00545EC0" w:rsidRDefault="004674DD" w:rsidP="00AD4FE7">
            <w:pPr>
              <w:rPr>
                <w:rFonts w:cs="Arial"/>
                <w:i/>
                <w:iCs/>
                <w:sz w:val="18"/>
                <w:szCs w:val="18"/>
              </w:rPr>
            </w:pPr>
            <w:r w:rsidRPr="00545EC0">
              <w:rPr>
                <w:rFonts w:cs="Arial"/>
                <w:i/>
                <w:iCs/>
                <w:sz w:val="18"/>
                <w:szCs w:val="18"/>
              </w:rPr>
              <w:t>Salmo trutta fario</w:t>
            </w:r>
            <w:r w:rsidRPr="00545EC0">
              <w:rPr>
                <w:rFonts w:cs="Arial"/>
                <w:sz w:val="18"/>
                <w:szCs w:val="18"/>
              </w:rPr>
              <w:t xml:space="preserve"> (Linnaeus, 1758) *</w:t>
            </w:r>
          </w:p>
        </w:tc>
        <w:tc>
          <w:tcPr>
            <w:tcW w:w="1000" w:type="pct"/>
            <w:vAlign w:val="center"/>
          </w:tcPr>
          <w:p w14:paraId="6C717177" w14:textId="77777777" w:rsidR="004674DD" w:rsidRPr="00545EC0" w:rsidRDefault="004674DD" w:rsidP="00AD4FE7">
            <w:pPr>
              <w:jc w:val="center"/>
              <w:rPr>
                <w:rFonts w:cs="Arial"/>
                <w:i/>
                <w:sz w:val="18"/>
                <w:szCs w:val="18"/>
              </w:rPr>
            </w:pPr>
          </w:p>
        </w:tc>
        <w:tc>
          <w:tcPr>
            <w:tcW w:w="730" w:type="pct"/>
            <w:vAlign w:val="center"/>
          </w:tcPr>
          <w:p w14:paraId="571AC390" w14:textId="77777777" w:rsidR="004674DD" w:rsidRPr="00545EC0" w:rsidRDefault="004674DD" w:rsidP="00AD4FE7">
            <w:pPr>
              <w:jc w:val="center"/>
              <w:rPr>
                <w:rFonts w:cs="Arial"/>
                <w:i/>
                <w:sz w:val="18"/>
                <w:szCs w:val="18"/>
              </w:rPr>
            </w:pPr>
          </w:p>
        </w:tc>
      </w:tr>
      <w:tr w:rsidR="003122F4" w:rsidRPr="00545EC0" w14:paraId="5019585B" w14:textId="77777777" w:rsidTr="00AC702B">
        <w:trPr>
          <w:trHeight w:val="255"/>
        </w:trPr>
        <w:tc>
          <w:tcPr>
            <w:tcW w:w="961" w:type="pct"/>
            <w:shd w:val="clear" w:color="auto" w:fill="auto"/>
            <w:vAlign w:val="center"/>
          </w:tcPr>
          <w:p w14:paraId="359DBDF2" w14:textId="05E2E165" w:rsidR="004674DD" w:rsidRPr="00545EC0" w:rsidRDefault="004674DD" w:rsidP="00AD4FE7">
            <w:pPr>
              <w:rPr>
                <w:rFonts w:cs="Arial"/>
                <w:sz w:val="18"/>
                <w:szCs w:val="18"/>
              </w:rPr>
            </w:pPr>
            <w:r w:rsidRPr="00545EC0">
              <w:rPr>
                <w:rFonts w:cs="Arial"/>
                <w:sz w:val="18"/>
                <w:szCs w:val="18"/>
              </w:rPr>
              <w:t>soška postrv*</w:t>
            </w:r>
          </w:p>
        </w:tc>
        <w:tc>
          <w:tcPr>
            <w:tcW w:w="2309" w:type="pct"/>
            <w:shd w:val="clear" w:color="auto" w:fill="auto"/>
            <w:vAlign w:val="center"/>
          </w:tcPr>
          <w:p w14:paraId="7F8CB61E" w14:textId="77777777" w:rsidR="004674DD" w:rsidRPr="00545EC0" w:rsidRDefault="004674DD" w:rsidP="00AD4FE7">
            <w:pPr>
              <w:rPr>
                <w:rFonts w:cs="Arial"/>
                <w:i/>
                <w:iCs/>
                <w:sz w:val="18"/>
                <w:szCs w:val="18"/>
              </w:rPr>
            </w:pPr>
            <w:r w:rsidRPr="00545EC0">
              <w:rPr>
                <w:rFonts w:cs="Arial"/>
                <w:i/>
                <w:iCs/>
                <w:sz w:val="18"/>
                <w:szCs w:val="18"/>
              </w:rPr>
              <w:t>Salmo marmoratus</w:t>
            </w:r>
            <w:r w:rsidRPr="00545EC0">
              <w:rPr>
                <w:rFonts w:cs="Arial"/>
                <w:sz w:val="18"/>
                <w:szCs w:val="18"/>
              </w:rPr>
              <w:t xml:space="preserve"> (Cuvier, 1829)</w:t>
            </w:r>
          </w:p>
        </w:tc>
        <w:tc>
          <w:tcPr>
            <w:tcW w:w="1000" w:type="pct"/>
            <w:vAlign w:val="center"/>
          </w:tcPr>
          <w:p w14:paraId="5433887F" w14:textId="77777777" w:rsidR="004674DD" w:rsidRPr="00545EC0" w:rsidRDefault="004674DD" w:rsidP="00AD4FE7">
            <w:pPr>
              <w:jc w:val="center"/>
              <w:rPr>
                <w:rFonts w:cs="Arial"/>
                <w:i/>
                <w:sz w:val="18"/>
                <w:szCs w:val="18"/>
              </w:rPr>
            </w:pPr>
          </w:p>
        </w:tc>
        <w:tc>
          <w:tcPr>
            <w:tcW w:w="730" w:type="pct"/>
            <w:vAlign w:val="center"/>
          </w:tcPr>
          <w:p w14:paraId="580843AE" w14:textId="77777777" w:rsidR="004674DD" w:rsidRPr="00545EC0" w:rsidRDefault="004674DD" w:rsidP="00AD4FE7">
            <w:pPr>
              <w:jc w:val="center"/>
              <w:rPr>
                <w:rFonts w:cs="Arial"/>
                <w:i/>
                <w:sz w:val="18"/>
                <w:szCs w:val="18"/>
              </w:rPr>
            </w:pPr>
            <w:r w:rsidRPr="00545EC0">
              <w:rPr>
                <w:rFonts w:cs="Arial"/>
                <w:i/>
                <w:sz w:val="18"/>
                <w:szCs w:val="18"/>
              </w:rPr>
              <w:t>+</w:t>
            </w:r>
          </w:p>
        </w:tc>
      </w:tr>
      <w:tr w:rsidR="003122F4" w:rsidRPr="00545EC0" w14:paraId="44D054AF" w14:textId="77777777" w:rsidTr="00AC702B">
        <w:trPr>
          <w:trHeight w:val="255"/>
        </w:trPr>
        <w:tc>
          <w:tcPr>
            <w:tcW w:w="961" w:type="pct"/>
            <w:shd w:val="clear" w:color="auto" w:fill="auto"/>
            <w:vAlign w:val="center"/>
          </w:tcPr>
          <w:p w14:paraId="775F7558" w14:textId="77777777" w:rsidR="004674DD" w:rsidRPr="00545EC0" w:rsidRDefault="004674DD" w:rsidP="00AD4FE7">
            <w:pPr>
              <w:rPr>
                <w:rFonts w:cs="Arial"/>
                <w:sz w:val="18"/>
                <w:szCs w:val="18"/>
              </w:rPr>
            </w:pPr>
            <w:r w:rsidRPr="00545EC0">
              <w:rPr>
                <w:rFonts w:cs="Arial"/>
                <w:sz w:val="18"/>
                <w:szCs w:val="18"/>
              </w:rPr>
              <w:t>jezerska zlatovčica</w:t>
            </w:r>
          </w:p>
        </w:tc>
        <w:tc>
          <w:tcPr>
            <w:tcW w:w="2309" w:type="pct"/>
            <w:shd w:val="clear" w:color="auto" w:fill="auto"/>
          </w:tcPr>
          <w:p w14:paraId="2425AC74" w14:textId="77777777" w:rsidR="004674DD" w:rsidRPr="00545EC0" w:rsidRDefault="004674DD" w:rsidP="00AD4FE7">
            <w:pPr>
              <w:rPr>
                <w:rFonts w:cs="Arial"/>
                <w:sz w:val="18"/>
                <w:szCs w:val="18"/>
              </w:rPr>
            </w:pPr>
            <w:r w:rsidRPr="00545EC0">
              <w:rPr>
                <w:rFonts w:cs="Arial"/>
                <w:i/>
                <w:sz w:val="18"/>
                <w:szCs w:val="18"/>
              </w:rPr>
              <w:t>Salvelinus umbla</w:t>
            </w:r>
            <w:r w:rsidRPr="00545EC0">
              <w:rPr>
                <w:rFonts w:cs="Arial"/>
                <w:sz w:val="18"/>
                <w:szCs w:val="18"/>
              </w:rPr>
              <w:t xml:space="preserve"> (Linnaeus, 1758)</w:t>
            </w:r>
          </w:p>
        </w:tc>
        <w:tc>
          <w:tcPr>
            <w:tcW w:w="1000" w:type="pct"/>
            <w:shd w:val="clear" w:color="auto" w:fill="auto"/>
          </w:tcPr>
          <w:p w14:paraId="54559ECE" w14:textId="77777777" w:rsidR="004674DD" w:rsidRPr="00545EC0" w:rsidRDefault="004674DD" w:rsidP="00AD4FE7">
            <w:pPr>
              <w:jc w:val="center"/>
              <w:rPr>
                <w:rFonts w:cs="Arial"/>
                <w:i/>
                <w:sz w:val="18"/>
                <w:szCs w:val="18"/>
              </w:rPr>
            </w:pPr>
            <w:r w:rsidRPr="00545EC0">
              <w:rPr>
                <w:rFonts w:cs="Arial"/>
                <w:i/>
                <w:sz w:val="18"/>
                <w:szCs w:val="18"/>
              </w:rPr>
              <w:t>+</w:t>
            </w:r>
          </w:p>
        </w:tc>
        <w:tc>
          <w:tcPr>
            <w:tcW w:w="730" w:type="pct"/>
            <w:shd w:val="clear" w:color="auto" w:fill="auto"/>
          </w:tcPr>
          <w:p w14:paraId="73BA154E" w14:textId="77777777" w:rsidR="004674DD" w:rsidRPr="00545EC0" w:rsidRDefault="004674DD" w:rsidP="00AD4FE7">
            <w:pPr>
              <w:jc w:val="center"/>
              <w:rPr>
                <w:rFonts w:cs="Arial"/>
                <w:i/>
                <w:sz w:val="18"/>
                <w:szCs w:val="18"/>
              </w:rPr>
            </w:pPr>
            <w:r w:rsidRPr="00545EC0">
              <w:rPr>
                <w:rFonts w:cs="Arial"/>
                <w:i/>
                <w:sz w:val="18"/>
                <w:szCs w:val="18"/>
              </w:rPr>
              <w:t>+</w:t>
            </w:r>
          </w:p>
        </w:tc>
      </w:tr>
      <w:tr w:rsidR="003122F4" w:rsidRPr="00545EC0" w14:paraId="6B4C9B33" w14:textId="77777777" w:rsidTr="00AC702B">
        <w:trPr>
          <w:trHeight w:val="255"/>
        </w:trPr>
        <w:tc>
          <w:tcPr>
            <w:tcW w:w="961" w:type="pct"/>
            <w:shd w:val="clear" w:color="auto" w:fill="auto"/>
            <w:vAlign w:val="center"/>
          </w:tcPr>
          <w:p w14:paraId="074DA774" w14:textId="77777777" w:rsidR="004674DD" w:rsidRPr="00545EC0" w:rsidRDefault="004674DD" w:rsidP="00AD4FE7">
            <w:pPr>
              <w:rPr>
                <w:rFonts w:cs="Arial"/>
                <w:sz w:val="18"/>
                <w:szCs w:val="18"/>
              </w:rPr>
            </w:pPr>
            <w:r w:rsidRPr="00545EC0">
              <w:rPr>
                <w:rFonts w:cs="Arial"/>
                <w:sz w:val="18"/>
                <w:szCs w:val="18"/>
              </w:rPr>
              <w:t>potočna zlatovčica</w:t>
            </w:r>
          </w:p>
        </w:tc>
        <w:tc>
          <w:tcPr>
            <w:tcW w:w="2309" w:type="pct"/>
            <w:shd w:val="clear" w:color="auto" w:fill="auto"/>
          </w:tcPr>
          <w:p w14:paraId="491DB381" w14:textId="77777777" w:rsidR="004674DD" w:rsidRPr="00545EC0" w:rsidRDefault="004674DD" w:rsidP="00AD4FE7">
            <w:pPr>
              <w:rPr>
                <w:rFonts w:cs="Arial"/>
                <w:sz w:val="18"/>
                <w:szCs w:val="18"/>
              </w:rPr>
            </w:pPr>
            <w:r w:rsidRPr="00545EC0">
              <w:rPr>
                <w:rFonts w:cs="Arial"/>
                <w:i/>
                <w:sz w:val="18"/>
                <w:szCs w:val="18"/>
              </w:rPr>
              <w:t>Salvelinus fontinalis</w:t>
            </w:r>
            <w:r w:rsidRPr="00545EC0">
              <w:rPr>
                <w:rFonts w:cs="Arial"/>
                <w:sz w:val="18"/>
                <w:szCs w:val="18"/>
              </w:rPr>
              <w:t xml:space="preserve"> (Mitchill, 1814)</w:t>
            </w:r>
          </w:p>
        </w:tc>
        <w:tc>
          <w:tcPr>
            <w:tcW w:w="1000" w:type="pct"/>
            <w:shd w:val="clear" w:color="auto" w:fill="auto"/>
          </w:tcPr>
          <w:p w14:paraId="137C35B5" w14:textId="77777777" w:rsidR="004674DD" w:rsidRPr="00545EC0" w:rsidRDefault="004674DD" w:rsidP="00AD4FE7">
            <w:pPr>
              <w:jc w:val="center"/>
              <w:rPr>
                <w:rFonts w:cs="Arial"/>
                <w:i/>
                <w:sz w:val="18"/>
                <w:szCs w:val="18"/>
              </w:rPr>
            </w:pPr>
            <w:r w:rsidRPr="00545EC0">
              <w:rPr>
                <w:rFonts w:cs="Arial"/>
                <w:i/>
                <w:sz w:val="18"/>
                <w:szCs w:val="18"/>
              </w:rPr>
              <w:t>+</w:t>
            </w:r>
          </w:p>
        </w:tc>
        <w:tc>
          <w:tcPr>
            <w:tcW w:w="730" w:type="pct"/>
            <w:shd w:val="clear" w:color="auto" w:fill="auto"/>
          </w:tcPr>
          <w:p w14:paraId="1F250C11" w14:textId="77777777" w:rsidR="004674DD" w:rsidRPr="00545EC0" w:rsidRDefault="004674DD" w:rsidP="00AD4FE7">
            <w:pPr>
              <w:jc w:val="center"/>
              <w:rPr>
                <w:rFonts w:cs="Arial"/>
                <w:i/>
                <w:sz w:val="18"/>
                <w:szCs w:val="18"/>
              </w:rPr>
            </w:pPr>
            <w:r w:rsidRPr="00545EC0">
              <w:rPr>
                <w:rFonts w:cs="Arial"/>
                <w:i/>
                <w:sz w:val="18"/>
                <w:szCs w:val="18"/>
              </w:rPr>
              <w:t>+</w:t>
            </w:r>
          </w:p>
        </w:tc>
      </w:tr>
      <w:tr w:rsidR="003122F4" w:rsidRPr="00545EC0" w14:paraId="63FC6AEE" w14:textId="77777777" w:rsidTr="00AC702B">
        <w:trPr>
          <w:trHeight w:val="255"/>
        </w:trPr>
        <w:tc>
          <w:tcPr>
            <w:tcW w:w="961" w:type="pct"/>
            <w:shd w:val="clear" w:color="auto" w:fill="auto"/>
            <w:vAlign w:val="center"/>
          </w:tcPr>
          <w:p w14:paraId="74EAE81D" w14:textId="77777777" w:rsidR="004674DD" w:rsidRPr="00545EC0" w:rsidRDefault="004674DD" w:rsidP="00AD4FE7">
            <w:pPr>
              <w:rPr>
                <w:rFonts w:cs="Arial"/>
                <w:sz w:val="18"/>
                <w:szCs w:val="18"/>
              </w:rPr>
            </w:pPr>
            <w:r w:rsidRPr="00545EC0">
              <w:rPr>
                <w:rFonts w:cs="Arial"/>
                <w:sz w:val="18"/>
                <w:szCs w:val="18"/>
              </w:rPr>
              <w:t>šarenka</w:t>
            </w:r>
          </w:p>
        </w:tc>
        <w:tc>
          <w:tcPr>
            <w:tcW w:w="2309" w:type="pct"/>
            <w:shd w:val="clear" w:color="auto" w:fill="auto"/>
            <w:vAlign w:val="center"/>
          </w:tcPr>
          <w:p w14:paraId="72D792A6" w14:textId="77777777" w:rsidR="004674DD" w:rsidRPr="00545EC0" w:rsidRDefault="004674DD" w:rsidP="00AD4FE7">
            <w:pPr>
              <w:rPr>
                <w:rFonts w:cs="Arial"/>
                <w:sz w:val="18"/>
                <w:szCs w:val="18"/>
              </w:rPr>
            </w:pPr>
            <w:r w:rsidRPr="00545EC0">
              <w:rPr>
                <w:rFonts w:cs="Arial"/>
                <w:i/>
                <w:sz w:val="18"/>
                <w:szCs w:val="18"/>
              </w:rPr>
              <w:t>Oncorhynchus mykiss</w:t>
            </w:r>
            <w:r w:rsidRPr="00545EC0">
              <w:rPr>
                <w:rFonts w:cs="Arial"/>
                <w:sz w:val="18"/>
                <w:szCs w:val="18"/>
              </w:rPr>
              <w:t xml:space="preserve"> (Walbaum, 1792) </w:t>
            </w:r>
          </w:p>
        </w:tc>
        <w:tc>
          <w:tcPr>
            <w:tcW w:w="1000" w:type="pct"/>
            <w:shd w:val="clear" w:color="auto" w:fill="auto"/>
            <w:vAlign w:val="center"/>
          </w:tcPr>
          <w:p w14:paraId="5321DCB8" w14:textId="77777777" w:rsidR="004674DD" w:rsidRPr="00545EC0" w:rsidRDefault="004674DD" w:rsidP="00AD4FE7">
            <w:pPr>
              <w:jc w:val="center"/>
              <w:rPr>
                <w:rFonts w:cs="Arial"/>
                <w:i/>
                <w:sz w:val="18"/>
                <w:szCs w:val="18"/>
              </w:rPr>
            </w:pPr>
            <w:r w:rsidRPr="00545EC0">
              <w:rPr>
                <w:rFonts w:cs="Arial"/>
                <w:i/>
                <w:sz w:val="18"/>
                <w:szCs w:val="18"/>
              </w:rPr>
              <w:t>+</w:t>
            </w:r>
          </w:p>
        </w:tc>
        <w:tc>
          <w:tcPr>
            <w:tcW w:w="730" w:type="pct"/>
            <w:shd w:val="clear" w:color="auto" w:fill="auto"/>
            <w:vAlign w:val="center"/>
          </w:tcPr>
          <w:p w14:paraId="551D66C5" w14:textId="77777777" w:rsidR="004674DD" w:rsidRPr="00545EC0" w:rsidRDefault="004674DD" w:rsidP="00AD4FE7">
            <w:pPr>
              <w:jc w:val="center"/>
              <w:rPr>
                <w:rFonts w:cs="Arial"/>
                <w:i/>
                <w:sz w:val="18"/>
                <w:szCs w:val="18"/>
              </w:rPr>
            </w:pPr>
            <w:r w:rsidRPr="00545EC0">
              <w:rPr>
                <w:rFonts w:cs="Arial"/>
                <w:i/>
                <w:sz w:val="18"/>
                <w:szCs w:val="18"/>
              </w:rPr>
              <w:t>+</w:t>
            </w:r>
          </w:p>
        </w:tc>
      </w:tr>
      <w:tr w:rsidR="003122F4" w:rsidRPr="00545EC0" w14:paraId="3DE6FE60" w14:textId="77777777" w:rsidTr="00AC702B">
        <w:trPr>
          <w:trHeight w:val="255"/>
        </w:trPr>
        <w:tc>
          <w:tcPr>
            <w:tcW w:w="961" w:type="pct"/>
            <w:shd w:val="clear" w:color="auto" w:fill="auto"/>
            <w:vAlign w:val="center"/>
          </w:tcPr>
          <w:p w14:paraId="659F24B8" w14:textId="77777777" w:rsidR="004674DD" w:rsidRPr="00545EC0" w:rsidRDefault="004674DD" w:rsidP="00AD4FE7">
            <w:pPr>
              <w:rPr>
                <w:rFonts w:cs="Arial"/>
                <w:sz w:val="18"/>
                <w:szCs w:val="18"/>
              </w:rPr>
            </w:pPr>
            <w:r w:rsidRPr="00545EC0">
              <w:rPr>
                <w:rFonts w:cs="Arial"/>
                <w:sz w:val="18"/>
                <w:szCs w:val="18"/>
              </w:rPr>
              <w:t>ozimica</w:t>
            </w:r>
          </w:p>
        </w:tc>
        <w:tc>
          <w:tcPr>
            <w:tcW w:w="2309" w:type="pct"/>
            <w:shd w:val="clear" w:color="auto" w:fill="auto"/>
            <w:vAlign w:val="center"/>
          </w:tcPr>
          <w:p w14:paraId="25509524" w14:textId="77777777" w:rsidR="004674DD" w:rsidRPr="00545EC0" w:rsidRDefault="004674DD" w:rsidP="00AD4FE7">
            <w:pPr>
              <w:rPr>
                <w:rFonts w:cs="Arial"/>
                <w:sz w:val="18"/>
                <w:szCs w:val="18"/>
              </w:rPr>
            </w:pPr>
            <w:r w:rsidRPr="00545EC0">
              <w:rPr>
                <w:rFonts w:cs="Arial"/>
                <w:i/>
                <w:sz w:val="18"/>
                <w:szCs w:val="18"/>
              </w:rPr>
              <w:t>Coregonus sp.</w:t>
            </w:r>
            <w:r w:rsidRPr="00545EC0">
              <w:rPr>
                <w:rFonts w:cs="Arial"/>
                <w:sz w:val="18"/>
                <w:szCs w:val="18"/>
              </w:rPr>
              <w:t xml:space="preserve"> (Linnaeus, 1758)</w:t>
            </w:r>
          </w:p>
        </w:tc>
        <w:tc>
          <w:tcPr>
            <w:tcW w:w="1000" w:type="pct"/>
            <w:shd w:val="clear" w:color="auto" w:fill="auto"/>
            <w:vAlign w:val="center"/>
          </w:tcPr>
          <w:p w14:paraId="1F7647F1" w14:textId="77777777" w:rsidR="004674DD" w:rsidRPr="00545EC0" w:rsidRDefault="004674DD" w:rsidP="00AD4FE7">
            <w:pPr>
              <w:jc w:val="center"/>
              <w:rPr>
                <w:rFonts w:cs="Arial"/>
                <w:i/>
                <w:sz w:val="18"/>
                <w:szCs w:val="18"/>
              </w:rPr>
            </w:pPr>
            <w:r w:rsidRPr="00545EC0">
              <w:rPr>
                <w:rFonts w:cs="Arial"/>
                <w:i/>
                <w:sz w:val="18"/>
                <w:szCs w:val="18"/>
              </w:rPr>
              <w:t>+</w:t>
            </w:r>
          </w:p>
        </w:tc>
        <w:tc>
          <w:tcPr>
            <w:tcW w:w="730" w:type="pct"/>
            <w:shd w:val="clear" w:color="auto" w:fill="auto"/>
            <w:vAlign w:val="center"/>
          </w:tcPr>
          <w:p w14:paraId="17B2B56E" w14:textId="77777777" w:rsidR="004674DD" w:rsidRPr="00545EC0" w:rsidRDefault="004674DD" w:rsidP="00AD4FE7">
            <w:pPr>
              <w:jc w:val="center"/>
              <w:rPr>
                <w:rFonts w:cs="Arial"/>
                <w:i/>
                <w:sz w:val="18"/>
                <w:szCs w:val="18"/>
              </w:rPr>
            </w:pPr>
            <w:r w:rsidRPr="00545EC0">
              <w:rPr>
                <w:rFonts w:cs="Arial"/>
                <w:i/>
                <w:sz w:val="18"/>
                <w:szCs w:val="18"/>
              </w:rPr>
              <w:t>+</w:t>
            </w:r>
          </w:p>
        </w:tc>
      </w:tr>
      <w:tr w:rsidR="003122F4" w:rsidRPr="00545EC0" w14:paraId="3B27694A" w14:textId="77777777" w:rsidTr="00AC702B">
        <w:trPr>
          <w:trHeight w:val="255"/>
        </w:trPr>
        <w:tc>
          <w:tcPr>
            <w:tcW w:w="961" w:type="pct"/>
            <w:shd w:val="clear" w:color="auto" w:fill="auto"/>
            <w:vAlign w:val="center"/>
          </w:tcPr>
          <w:p w14:paraId="61B9724E" w14:textId="77777777" w:rsidR="004674DD" w:rsidRPr="00545EC0" w:rsidRDefault="004674DD" w:rsidP="00AD4FE7">
            <w:pPr>
              <w:rPr>
                <w:rFonts w:cs="Arial"/>
                <w:sz w:val="18"/>
                <w:szCs w:val="18"/>
              </w:rPr>
            </w:pPr>
            <w:r w:rsidRPr="00545EC0">
              <w:rPr>
                <w:rFonts w:cs="Arial"/>
                <w:sz w:val="18"/>
                <w:szCs w:val="18"/>
              </w:rPr>
              <w:t>lipan</w:t>
            </w:r>
          </w:p>
        </w:tc>
        <w:tc>
          <w:tcPr>
            <w:tcW w:w="2309" w:type="pct"/>
            <w:shd w:val="clear" w:color="auto" w:fill="auto"/>
            <w:vAlign w:val="center"/>
          </w:tcPr>
          <w:p w14:paraId="2262F47A" w14:textId="77777777" w:rsidR="004674DD" w:rsidRPr="00545EC0" w:rsidRDefault="004674DD" w:rsidP="00AD4FE7">
            <w:pPr>
              <w:rPr>
                <w:rFonts w:cs="Arial"/>
                <w:i/>
                <w:iCs/>
                <w:sz w:val="18"/>
                <w:szCs w:val="18"/>
              </w:rPr>
            </w:pPr>
            <w:r w:rsidRPr="00545EC0">
              <w:rPr>
                <w:rFonts w:cs="Arial"/>
                <w:i/>
                <w:iCs/>
                <w:sz w:val="18"/>
                <w:szCs w:val="18"/>
              </w:rPr>
              <w:t>Thymallus thymallus</w:t>
            </w:r>
            <w:r w:rsidRPr="00545EC0">
              <w:rPr>
                <w:rFonts w:cs="Arial"/>
                <w:sz w:val="18"/>
                <w:szCs w:val="18"/>
              </w:rPr>
              <w:t xml:space="preserve"> (Linnaeus 1758)</w:t>
            </w:r>
          </w:p>
        </w:tc>
        <w:tc>
          <w:tcPr>
            <w:tcW w:w="1000" w:type="pct"/>
            <w:vAlign w:val="center"/>
          </w:tcPr>
          <w:p w14:paraId="4949B380" w14:textId="77777777" w:rsidR="004674DD" w:rsidRPr="00545EC0" w:rsidRDefault="004674DD" w:rsidP="00AD4FE7">
            <w:pPr>
              <w:jc w:val="center"/>
              <w:rPr>
                <w:rFonts w:cs="Arial"/>
                <w:i/>
                <w:sz w:val="18"/>
                <w:szCs w:val="18"/>
              </w:rPr>
            </w:pPr>
          </w:p>
        </w:tc>
        <w:tc>
          <w:tcPr>
            <w:tcW w:w="730" w:type="pct"/>
            <w:vAlign w:val="center"/>
          </w:tcPr>
          <w:p w14:paraId="2B7824C5" w14:textId="77777777" w:rsidR="004674DD" w:rsidRPr="00545EC0" w:rsidRDefault="004674DD" w:rsidP="00AD4FE7">
            <w:pPr>
              <w:jc w:val="center"/>
              <w:rPr>
                <w:rFonts w:cs="Arial"/>
                <w:i/>
                <w:sz w:val="18"/>
                <w:szCs w:val="18"/>
              </w:rPr>
            </w:pPr>
          </w:p>
        </w:tc>
      </w:tr>
      <w:tr w:rsidR="003122F4" w:rsidRPr="00545EC0" w14:paraId="4464E3EB" w14:textId="77777777" w:rsidTr="00AC702B">
        <w:trPr>
          <w:trHeight w:val="255"/>
        </w:trPr>
        <w:tc>
          <w:tcPr>
            <w:tcW w:w="961" w:type="pct"/>
            <w:shd w:val="clear" w:color="auto" w:fill="F2F2F2" w:themeFill="background1" w:themeFillShade="F2"/>
            <w:vAlign w:val="center"/>
          </w:tcPr>
          <w:p w14:paraId="71FF1FE9" w14:textId="77777777" w:rsidR="004674DD" w:rsidRPr="00545EC0" w:rsidRDefault="004674DD" w:rsidP="00AD4FE7">
            <w:pPr>
              <w:rPr>
                <w:rFonts w:cs="Arial"/>
                <w:b/>
                <w:i/>
                <w:sz w:val="18"/>
                <w:szCs w:val="18"/>
              </w:rPr>
            </w:pPr>
            <w:r w:rsidRPr="00545EC0">
              <w:rPr>
                <w:rFonts w:cs="Arial"/>
                <w:b/>
                <w:i/>
                <w:sz w:val="18"/>
                <w:szCs w:val="18"/>
              </w:rPr>
              <w:t>Cyprinidae</w:t>
            </w:r>
          </w:p>
        </w:tc>
        <w:tc>
          <w:tcPr>
            <w:tcW w:w="2309" w:type="pct"/>
            <w:shd w:val="clear" w:color="auto" w:fill="F2F2F2" w:themeFill="background1" w:themeFillShade="F2"/>
            <w:vAlign w:val="center"/>
          </w:tcPr>
          <w:p w14:paraId="63781A4A" w14:textId="77777777" w:rsidR="004674DD" w:rsidRPr="00545EC0" w:rsidRDefault="004674DD" w:rsidP="00AD4FE7">
            <w:pPr>
              <w:rPr>
                <w:rFonts w:cs="Arial"/>
                <w:i/>
                <w:sz w:val="18"/>
                <w:szCs w:val="18"/>
              </w:rPr>
            </w:pPr>
          </w:p>
        </w:tc>
        <w:tc>
          <w:tcPr>
            <w:tcW w:w="1000" w:type="pct"/>
            <w:shd w:val="clear" w:color="auto" w:fill="F2F2F2" w:themeFill="background1" w:themeFillShade="F2"/>
            <w:vAlign w:val="center"/>
          </w:tcPr>
          <w:p w14:paraId="11957143" w14:textId="77777777" w:rsidR="004674DD" w:rsidRPr="00545EC0" w:rsidRDefault="004674DD" w:rsidP="00AD4FE7">
            <w:pPr>
              <w:jc w:val="center"/>
              <w:rPr>
                <w:rFonts w:cs="Arial"/>
                <w:i/>
                <w:sz w:val="18"/>
                <w:szCs w:val="18"/>
              </w:rPr>
            </w:pPr>
          </w:p>
        </w:tc>
        <w:tc>
          <w:tcPr>
            <w:tcW w:w="730" w:type="pct"/>
            <w:shd w:val="clear" w:color="auto" w:fill="F2F2F2" w:themeFill="background1" w:themeFillShade="F2"/>
            <w:vAlign w:val="center"/>
          </w:tcPr>
          <w:p w14:paraId="2D26CBCB" w14:textId="77777777" w:rsidR="004674DD" w:rsidRPr="00545EC0" w:rsidRDefault="004674DD" w:rsidP="00AD4FE7">
            <w:pPr>
              <w:jc w:val="center"/>
              <w:rPr>
                <w:rFonts w:cs="Arial"/>
                <w:i/>
                <w:sz w:val="18"/>
                <w:szCs w:val="18"/>
              </w:rPr>
            </w:pPr>
          </w:p>
        </w:tc>
      </w:tr>
      <w:tr w:rsidR="003122F4" w:rsidRPr="00545EC0" w14:paraId="324FD28E" w14:textId="77777777" w:rsidTr="00AC702B">
        <w:trPr>
          <w:trHeight w:val="255"/>
        </w:trPr>
        <w:tc>
          <w:tcPr>
            <w:tcW w:w="961" w:type="pct"/>
            <w:shd w:val="clear" w:color="auto" w:fill="auto"/>
            <w:vAlign w:val="center"/>
          </w:tcPr>
          <w:p w14:paraId="6D88788C" w14:textId="77777777" w:rsidR="004674DD" w:rsidRPr="00545EC0" w:rsidRDefault="004674DD" w:rsidP="00AD4FE7">
            <w:pPr>
              <w:rPr>
                <w:rFonts w:cs="Arial"/>
                <w:sz w:val="18"/>
                <w:szCs w:val="18"/>
              </w:rPr>
            </w:pPr>
            <w:r w:rsidRPr="00545EC0">
              <w:rPr>
                <w:rFonts w:cs="Arial"/>
                <w:sz w:val="18"/>
                <w:szCs w:val="18"/>
              </w:rPr>
              <w:t>beli amur</w:t>
            </w:r>
          </w:p>
        </w:tc>
        <w:tc>
          <w:tcPr>
            <w:tcW w:w="2309" w:type="pct"/>
            <w:shd w:val="clear" w:color="auto" w:fill="auto"/>
            <w:vAlign w:val="center"/>
          </w:tcPr>
          <w:p w14:paraId="27858C52" w14:textId="77777777" w:rsidR="004674DD" w:rsidRPr="00545EC0" w:rsidRDefault="004674DD" w:rsidP="00AD4FE7">
            <w:pPr>
              <w:rPr>
                <w:rFonts w:cs="Arial"/>
                <w:sz w:val="18"/>
                <w:szCs w:val="18"/>
              </w:rPr>
            </w:pPr>
            <w:r w:rsidRPr="00545EC0">
              <w:rPr>
                <w:rFonts w:cs="Arial"/>
                <w:i/>
                <w:sz w:val="18"/>
                <w:szCs w:val="18"/>
              </w:rPr>
              <w:t>Ctenopharyngodon idella</w:t>
            </w:r>
            <w:r w:rsidRPr="00545EC0">
              <w:rPr>
                <w:rFonts w:cs="Arial"/>
                <w:sz w:val="18"/>
                <w:szCs w:val="18"/>
              </w:rPr>
              <w:t xml:space="preserve"> (Valenciennes, 1844)</w:t>
            </w:r>
          </w:p>
        </w:tc>
        <w:tc>
          <w:tcPr>
            <w:tcW w:w="1000" w:type="pct"/>
            <w:shd w:val="clear" w:color="auto" w:fill="auto"/>
            <w:vAlign w:val="center"/>
          </w:tcPr>
          <w:p w14:paraId="4964EA33" w14:textId="77777777" w:rsidR="004674DD" w:rsidRPr="00545EC0" w:rsidRDefault="004674DD" w:rsidP="00AD4FE7">
            <w:pPr>
              <w:jc w:val="center"/>
              <w:rPr>
                <w:rFonts w:cs="Arial"/>
                <w:i/>
                <w:sz w:val="18"/>
                <w:szCs w:val="18"/>
              </w:rPr>
            </w:pPr>
            <w:r w:rsidRPr="00545EC0">
              <w:rPr>
                <w:rFonts w:cs="Arial"/>
                <w:i/>
                <w:sz w:val="18"/>
                <w:szCs w:val="18"/>
              </w:rPr>
              <w:t>+</w:t>
            </w:r>
          </w:p>
        </w:tc>
        <w:tc>
          <w:tcPr>
            <w:tcW w:w="730" w:type="pct"/>
            <w:shd w:val="clear" w:color="auto" w:fill="auto"/>
            <w:vAlign w:val="center"/>
          </w:tcPr>
          <w:p w14:paraId="3F797A26" w14:textId="77777777" w:rsidR="004674DD" w:rsidRPr="00545EC0" w:rsidRDefault="004674DD" w:rsidP="00AD4FE7">
            <w:pPr>
              <w:jc w:val="center"/>
              <w:rPr>
                <w:rFonts w:cs="Arial"/>
                <w:i/>
                <w:sz w:val="18"/>
                <w:szCs w:val="18"/>
              </w:rPr>
            </w:pPr>
            <w:r w:rsidRPr="00545EC0">
              <w:rPr>
                <w:rFonts w:cs="Arial"/>
                <w:i/>
                <w:sz w:val="18"/>
                <w:szCs w:val="18"/>
              </w:rPr>
              <w:t>+</w:t>
            </w:r>
          </w:p>
        </w:tc>
      </w:tr>
      <w:tr w:rsidR="003122F4" w:rsidRPr="00545EC0" w14:paraId="4818A49B" w14:textId="77777777" w:rsidTr="00AC702B">
        <w:trPr>
          <w:trHeight w:val="255"/>
        </w:trPr>
        <w:tc>
          <w:tcPr>
            <w:tcW w:w="961" w:type="pct"/>
            <w:shd w:val="clear" w:color="auto" w:fill="auto"/>
            <w:vAlign w:val="center"/>
          </w:tcPr>
          <w:p w14:paraId="3B4D67C1" w14:textId="77777777" w:rsidR="004674DD" w:rsidRPr="00545EC0" w:rsidRDefault="004674DD" w:rsidP="00AD4FE7">
            <w:pPr>
              <w:rPr>
                <w:rFonts w:cs="Arial"/>
                <w:sz w:val="18"/>
                <w:szCs w:val="18"/>
              </w:rPr>
            </w:pPr>
            <w:r w:rsidRPr="00545EC0">
              <w:rPr>
                <w:rFonts w:cs="Arial"/>
                <w:sz w:val="18"/>
                <w:szCs w:val="18"/>
              </w:rPr>
              <w:t>zlati koreselj</w:t>
            </w:r>
          </w:p>
        </w:tc>
        <w:tc>
          <w:tcPr>
            <w:tcW w:w="2309" w:type="pct"/>
            <w:shd w:val="clear" w:color="auto" w:fill="auto"/>
            <w:vAlign w:val="center"/>
          </w:tcPr>
          <w:p w14:paraId="23922C9C" w14:textId="77777777" w:rsidR="004674DD" w:rsidRPr="00545EC0" w:rsidRDefault="004674DD" w:rsidP="00AD4FE7">
            <w:pPr>
              <w:rPr>
                <w:rFonts w:cs="Arial"/>
                <w:sz w:val="18"/>
                <w:szCs w:val="18"/>
              </w:rPr>
            </w:pPr>
            <w:r w:rsidRPr="00545EC0">
              <w:rPr>
                <w:rFonts w:cs="Arial"/>
                <w:i/>
                <w:sz w:val="18"/>
                <w:szCs w:val="18"/>
              </w:rPr>
              <w:t>Carassius auratus</w:t>
            </w:r>
            <w:r w:rsidRPr="00545EC0">
              <w:rPr>
                <w:rFonts w:cs="Arial"/>
                <w:sz w:val="18"/>
                <w:szCs w:val="18"/>
              </w:rPr>
              <w:t xml:space="preserve"> (Linnaeus, 1758)</w:t>
            </w:r>
          </w:p>
        </w:tc>
        <w:tc>
          <w:tcPr>
            <w:tcW w:w="1000" w:type="pct"/>
            <w:shd w:val="clear" w:color="auto" w:fill="auto"/>
            <w:vAlign w:val="center"/>
          </w:tcPr>
          <w:p w14:paraId="39C619D0" w14:textId="77777777" w:rsidR="004674DD" w:rsidRPr="00545EC0" w:rsidRDefault="004674DD" w:rsidP="00AD4FE7">
            <w:pPr>
              <w:jc w:val="center"/>
              <w:rPr>
                <w:rFonts w:cs="Arial"/>
                <w:i/>
                <w:sz w:val="18"/>
                <w:szCs w:val="18"/>
              </w:rPr>
            </w:pPr>
            <w:r w:rsidRPr="00545EC0">
              <w:rPr>
                <w:rFonts w:cs="Arial"/>
                <w:i/>
                <w:sz w:val="18"/>
                <w:szCs w:val="18"/>
              </w:rPr>
              <w:t>+</w:t>
            </w:r>
          </w:p>
        </w:tc>
        <w:tc>
          <w:tcPr>
            <w:tcW w:w="730" w:type="pct"/>
            <w:shd w:val="clear" w:color="auto" w:fill="auto"/>
            <w:vAlign w:val="center"/>
          </w:tcPr>
          <w:p w14:paraId="7FD922CA" w14:textId="77777777" w:rsidR="004674DD" w:rsidRPr="00545EC0" w:rsidRDefault="004674DD" w:rsidP="00AD4FE7">
            <w:pPr>
              <w:jc w:val="center"/>
              <w:rPr>
                <w:rFonts w:cs="Arial"/>
                <w:i/>
                <w:sz w:val="18"/>
                <w:szCs w:val="18"/>
              </w:rPr>
            </w:pPr>
            <w:r w:rsidRPr="00545EC0">
              <w:rPr>
                <w:rFonts w:cs="Arial"/>
                <w:i/>
                <w:sz w:val="18"/>
                <w:szCs w:val="18"/>
              </w:rPr>
              <w:t>+</w:t>
            </w:r>
          </w:p>
        </w:tc>
      </w:tr>
      <w:tr w:rsidR="003122F4" w:rsidRPr="00545EC0" w14:paraId="32143D7A" w14:textId="77777777" w:rsidTr="00AC702B">
        <w:trPr>
          <w:trHeight w:val="255"/>
        </w:trPr>
        <w:tc>
          <w:tcPr>
            <w:tcW w:w="961" w:type="pct"/>
            <w:shd w:val="clear" w:color="auto" w:fill="auto"/>
            <w:vAlign w:val="center"/>
          </w:tcPr>
          <w:p w14:paraId="746FA67F" w14:textId="77777777" w:rsidR="004674DD" w:rsidRPr="00545EC0" w:rsidRDefault="004674DD" w:rsidP="00AD4FE7">
            <w:pPr>
              <w:rPr>
                <w:rFonts w:cs="Arial"/>
                <w:sz w:val="18"/>
                <w:szCs w:val="18"/>
              </w:rPr>
            </w:pPr>
            <w:r w:rsidRPr="00545EC0">
              <w:rPr>
                <w:rFonts w:cs="Arial"/>
                <w:sz w:val="18"/>
                <w:szCs w:val="18"/>
              </w:rPr>
              <w:t>srebrni koreselj</w:t>
            </w:r>
          </w:p>
        </w:tc>
        <w:tc>
          <w:tcPr>
            <w:tcW w:w="2309" w:type="pct"/>
            <w:shd w:val="clear" w:color="auto" w:fill="auto"/>
            <w:vAlign w:val="center"/>
          </w:tcPr>
          <w:p w14:paraId="7A534E52" w14:textId="77777777" w:rsidR="004674DD" w:rsidRPr="00545EC0" w:rsidRDefault="004674DD" w:rsidP="00AD4FE7">
            <w:pPr>
              <w:rPr>
                <w:rFonts w:cs="Arial"/>
                <w:sz w:val="18"/>
                <w:szCs w:val="18"/>
              </w:rPr>
            </w:pPr>
            <w:r w:rsidRPr="00545EC0">
              <w:rPr>
                <w:rFonts w:cs="Arial"/>
                <w:i/>
                <w:sz w:val="18"/>
                <w:szCs w:val="18"/>
              </w:rPr>
              <w:t>Carassius gibelio</w:t>
            </w:r>
            <w:r w:rsidRPr="00545EC0">
              <w:rPr>
                <w:rFonts w:cs="Arial"/>
                <w:sz w:val="18"/>
                <w:szCs w:val="18"/>
              </w:rPr>
              <w:t xml:space="preserve"> (Bloch, 1782) *</w:t>
            </w:r>
          </w:p>
        </w:tc>
        <w:tc>
          <w:tcPr>
            <w:tcW w:w="1000" w:type="pct"/>
            <w:shd w:val="clear" w:color="auto" w:fill="auto"/>
            <w:vAlign w:val="center"/>
          </w:tcPr>
          <w:p w14:paraId="68F0871D" w14:textId="77777777" w:rsidR="004674DD" w:rsidRPr="00545EC0" w:rsidRDefault="004674DD" w:rsidP="00AD4FE7">
            <w:pPr>
              <w:jc w:val="center"/>
              <w:rPr>
                <w:rFonts w:cs="Arial"/>
                <w:i/>
                <w:sz w:val="18"/>
                <w:szCs w:val="18"/>
              </w:rPr>
            </w:pPr>
            <w:r w:rsidRPr="00545EC0">
              <w:rPr>
                <w:rFonts w:cs="Arial"/>
                <w:i/>
                <w:sz w:val="18"/>
                <w:szCs w:val="18"/>
              </w:rPr>
              <w:t>+</w:t>
            </w:r>
          </w:p>
        </w:tc>
        <w:tc>
          <w:tcPr>
            <w:tcW w:w="730" w:type="pct"/>
            <w:shd w:val="clear" w:color="auto" w:fill="auto"/>
            <w:vAlign w:val="center"/>
          </w:tcPr>
          <w:p w14:paraId="6E7C4FF4" w14:textId="77777777" w:rsidR="004674DD" w:rsidRPr="00545EC0" w:rsidRDefault="004674DD" w:rsidP="00AD4FE7">
            <w:pPr>
              <w:jc w:val="center"/>
              <w:rPr>
                <w:rFonts w:cs="Arial"/>
                <w:i/>
                <w:sz w:val="18"/>
                <w:szCs w:val="18"/>
              </w:rPr>
            </w:pPr>
            <w:r w:rsidRPr="00545EC0">
              <w:rPr>
                <w:rFonts w:cs="Arial"/>
                <w:i/>
                <w:sz w:val="18"/>
                <w:szCs w:val="18"/>
              </w:rPr>
              <w:t>+</w:t>
            </w:r>
          </w:p>
        </w:tc>
      </w:tr>
      <w:tr w:rsidR="003122F4" w:rsidRPr="00545EC0" w14:paraId="06CD2CEE" w14:textId="77777777" w:rsidTr="00AC702B">
        <w:trPr>
          <w:trHeight w:val="255"/>
        </w:trPr>
        <w:tc>
          <w:tcPr>
            <w:tcW w:w="961" w:type="pct"/>
            <w:shd w:val="clear" w:color="auto" w:fill="auto"/>
            <w:vAlign w:val="center"/>
          </w:tcPr>
          <w:p w14:paraId="4D873222" w14:textId="77777777" w:rsidR="004674DD" w:rsidRPr="00545EC0" w:rsidRDefault="004674DD" w:rsidP="00AD4FE7">
            <w:pPr>
              <w:rPr>
                <w:rFonts w:cs="Arial"/>
                <w:sz w:val="18"/>
                <w:szCs w:val="18"/>
              </w:rPr>
            </w:pPr>
            <w:r w:rsidRPr="00545EC0">
              <w:rPr>
                <w:rFonts w:cs="Arial"/>
                <w:sz w:val="18"/>
                <w:szCs w:val="18"/>
              </w:rPr>
              <w:t>srebrni tolstolobik</w:t>
            </w:r>
          </w:p>
        </w:tc>
        <w:tc>
          <w:tcPr>
            <w:tcW w:w="2309" w:type="pct"/>
            <w:shd w:val="clear" w:color="auto" w:fill="auto"/>
            <w:vAlign w:val="center"/>
          </w:tcPr>
          <w:p w14:paraId="569B20C3" w14:textId="77777777" w:rsidR="004674DD" w:rsidRPr="00545EC0" w:rsidRDefault="004674DD" w:rsidP="00AD4FE7">
            <w:pPr>
              <w:rPr>
                <w:rFonts w:cs="Arial"/>
                <w:sz w:val="18"/>
                <w:szCs w:val="18"/>
              </w:rPr>
            </w:pPr>
            <w:r w:rsidRPr="00545EC0">
              <w:rPr>
                <w:rFonts w:cs="Arial"/>
                <w:i/>
                <w:sz w:val="18"/>
                <w:szCs w:val="18"/>
              </w:rPr>
              <w:t>Hypophthalmichthys molitrix</w:t>
            </w:r>
            <w:r w:rsidRPr="00545EC0">
              <w:rPr>
                <w:rFonts w:cs="Arial"/>
                <w:sz w:val="18"/>
                <w:szCs w:val="18"/>
              </w:rPr>
              <w:t xml:space="preserve"> (Valencinnes, 1844)</w:t>
            </w:r>
          </w:p>
        </w:tc>
        <w:tc>
          <w:tcPr>
            <w:tcW w:w="1000" w:type="pct"/>
            <w:shd w:val="clear" w:color="auto" w:fill="auto"/>
            <w:vAlign w:val="center"/>
          </w:tcPr>
          <w:p w14:paraId="1844AD96" w14:textId="77777777" w:rsidR="004674DD" w:rsidRPr="00545EC0" w:rsidRDefault="004674DD" w:rsidP="00AD4FE7">
            <w:pPr>
              <w:jc w:val="center"/>
              <w:rPr>
                <w:rFonts w:cs="Arial"/>
                <w:i/>
                <w:sz w:val="18"/>
                <w:szCs w:val="18"/>
              </w:rPr>
            </w:pPr>
            <w:r w:rsidRPr="00545EC0">
              <w:rPr>
                <w:rFonts w:cs="Arial"/>
                <w:i/>
                <w:sz w:val="18"/>
                <w:szCs w:val="18"/>
              </w:rPr>
              <w:t>+</w:t>
            </w:r>
          </w:p>
        </w:tc>
        <w:tc>
          <w:tcPr>
            <w:tcW w:w="730" w:type="pct"/>
            <w:shd w:val="clear" w:color="auto" w:fill="auto"/>
            <w:vAlign w:val="center"/>
          </w:tcPr>
          <w:p w14:paraId="1DC417AE" w14:textId="77777777" w:rsidR="004674DD" w:rsidRPr="00545EC0" w:rsidRDefault="004674DD" w:rsidP="00AD4FE7">
            <w:pPr>
              <w:jc w:val="center"/>
              <w:rPr>
                <w:rFonts w:cs="Arial"/>
                <w:i/>
                <w:sz w:val="18"/>
                <w:szCs w:val="18"/>
              </w:rPr>
            </w:pPr>
            <w:r w:rsidRPr="00545EC0">
              <w:rPr>
                <w:rFonts w:cs="Arial"/>
                <w:i/>
                <w:sz w:val="18"/>
                <w:szCs w:val="18"/>
              </w:rPr>
              <w:t>+</w:t>
            </w:r>
          </w:p>
        </w:tc>
      </w:tr>
      <w:tr w:rsidR="003122F4" w:rsidRPr="00545EC0" w14:paraId="4F8C98E8" w14:textId="77777777" w:rsidTr="00AC702B">
        <w:trPr>
          <w:trHeight w:val="255"/>
        </w:trPr>
        <w:tc>
          <w:tcPr>
            <w:tcW w:w="961" w:type="pct"/>
            <w:shd w:val="clear" w:color="auto" w:fill="auto"/>
            <w:vAlign w:val="center"/>
          </w:tcPr>
          <w:p w14:paraId="08415B37" w14:textId="77777777" w:rsidR="004674DD" w:rsidRPr="00545EC0" w:rsidRDefault="004674DD" w:rsidP="00AD4FE7">
            <w:pPr>
              <w:rPr>
                <w:rFonts w:cs="Arial"/>
                <w:sz w:val="18"/>
                <w:szCs w:val="18"/>
              </w:rPr>
            </w:pPr>
            <w:r w:rsidRPr="00545EC0">
              <w:rPr>
                <w:rFonts w:cs="Arial"/>
                <w:sz w:val="18"/>
                <w:szCs w:val="18"/>
              </w:rPr>
              <w:t>sivi tolstolobik</w:t>
            </w:r>
          </w:p>
        </w:tc>
        <w:tc>
          <w:tcPr>
            <w:tcW w:w="2309" w:type="pct"/>
            <w:shd w:val="clear" w:color="auto" w:fill="auto"/>
            <w:vAlign w:val="center"/>
          </w:tcPr>
          <w:p w14:paraId="4E54FBA9" w14:textId="77777777" w:rsidR="004674DD" w:rsidRPr="00545EC0" w:rsidRDefault="004674DD" w:rsidP="00AD4FE7">
            <w:pPr>
              <w:rPr>
                <w:rFonts w:cs="Arial"/>
                <w:sz w:val="18"/>
                <w:szCs w:val="18"/>
              </w:rPr>
            </w:pPr>
            <w:r w:rsidRPr="00545EC0">
              <w:rPr>
                <w:rFonts w:cs="Arial"/>
                <w:i/>
                <w:sz w:val="18"/>
                <w:szCs w:val="18"/>
              </w:rPr>
              <w:t>Hypophthalmichthys nobilis</w:t>
            </w:r>
            <w:r w:rsidRPr="00545EC0">
              <w:rPr>
                <w:rFonts w:cs="Arial"/>
                <w:sz w:val="18"/>
                <w:szCs w:val="18"/>
              </w:rPr>
              <w:t xml:space="preserve"> (Richardson, 1845)</w:t>
            </w:r>
          </w:p>
        </w:tc>
        <w:tc>
          <w:tcPr>
            <w:tcW w:w="1000" w:type="pct"/>
            <w:shd w:val="clear" w:color="auto" w:fill="auto"/>
            <w:vAlign w:val="center"/>
          </w:tcPr>
          <w:p w14:paraId="2D476274" w14:textId="77777777" w:rsidR="004674DD" w:rsidRPr="00545EC0" w:rsidRDefault="004674DD" w:rsidP="00AD4FE7">
            <w:pPr>
              <w:jc w:val="center"/>
              <w:rPr>
                <w:rFonts w:cs="Arial"/>
                <w:i/>
                <w:sz w:val="18"/>
                <w:szCs w:val="18"/>
              </w:rPr>
            </w:pPr>
            <w:r w:rsidRPr="00545EC0">
              <w:rPr>
                <w:rFonts w:cs="Arial"/>
                <w:i/>
                <w:sz w:val="18"/>
                <w:szCs w:val="18"/>
              </w:rPr>
              <w:t>+</w:t>
            </w:r>
          </w:p>
        </w:tc>
        <w:tc>
          <w:tcPr>
            <w:tcW w:w="730" w:type="pct"/>
            <w:shd w:val="clear" w:color="auto" w:fill="auto"/>
            <w:vAlign w:val="center"/>
          </w:tcPr>
          <w:p w14:paraId="2698D0BD" w14:textId="77777777" w:rsidR="004674DD" w:rsidRPr="00545EC0" w:rsidRDefault="004674DD" w:rsidP="00AD4FE7">
            <w:pPr>
              <w:jc w:val="center"/>
              <w:rPr>
                <w:rFonts w:cs="Arial"/>
                <w:i/>
                <w:sz w:val="18"/>
                <w:szCs w:val="18"/>
              </w:rPr>
            </w:pPr>
            <w:r w:rsidRPr="00545EC0">
              <w:rPr>
                <w:rFonts w:cs="Arial"/>
                <w:i/>
                <w:sz w:val="18"/>
                <w:szCs w:val="18"/>
              </w:rPr>
              <w:t>+</w:t>
            </w:r>
          </w:p>
        </w:tc>
      </w:tr>
      <w:tr w:rsidR="003122F4" w:rsidRPr="00545EC0" w14:paraId="265652F2" w14:textId="77777777" w:rsidTr="00AC702B">
        <w:trPr>
          <w:trHeight w:val="255"/>
        </w:trPr>
        <w:tc>
          <w:tcPr>
            <w:tcW w:w="961" w:type="pct"/>
            <w:shd w:val="clear" w:color="auto" w:fill="auto"/>
            <w:vAlign w:val="center"/>
          </w:tcPr>
          <w:p w14:paraId="5FD2E99A" w14:textId="77777777" w:rsidR="004674DD" w:rsidRPr="00545EC0" w:rsidRDefault="004674DD" w:rsidP="00AD4FE7">
            <w:pPr>
              <w:rPr>
                <w:rFonts w:cs="Arial"/>
                <w:sz w:val="18"/>
                <w:szCs w:val="18"/>
              </w:rPr>
            </w:pPr>
            <w:r w:rsidRPr="00545EC0">
              <w:rPr>
                <w:rFonts w:cs="Arial"/>
                <w:sz w:val="18"/>
                <w:szCs w:val="18"/>
              </w:rPr>
              <w:t>pseudorazbora</w:t>
            </w:r>
          </w:p>
        </w:tc>
        <w:tc>
          <w:tcPr>
            <w:tcW w:w="2309" w:type="pct"/>
            <w:shd w:val="clear" w:color="auto" w:fill="auto"/>
            <w:vAlign w:val="center"/>
          </w:tcPr>
          <w:p w14:paraId="3958934F" w14:textId="77777777" w:rsidR="004674DD" w:rsidRPr="00545EC0" w:rsidRDefault="004674DD" w:rsidP="00AD4FE7">
            <w:pPr>
              <w:rPr>
                <w:rFonts w:cs="Arial"/>
                <w:sz w:val="18"/>
                <w:szCs w:val="18"/>
                <w:lang w:val="de-DE"/>
              </w:rPr>
            </w:pPr>
            <w:r w:rsidRPr="00545EC0">
              <w:rPr>
                <w:rFonts w:cs="Arial"/>
                <w:i/>
                <w:sz w:val="18"/>
                <w:szCs w:val="18"/>
                <w:lang w:val="de-DE"/>
              </w:rPr>
              <w:t>Pseudorasbora parva</w:t>
            </w:r>
            <w:r w:rsidRPr="00545EC0">
              <w:rPr>
                <w:rFonts w:cs="Arial"/>
                <w:sz w:val="18"/>
                <w:szCs w:val="18"/>
                <w:lang w:val="de-DE"/>
              </w:rPr>
              <w:t xml:space="preserve">* (Temminck in Schlegel, 1846) </w:t>
            </w:r>
          </w:p>
        </w:tc>
        <w:tc>
          <w:tcPr>
            <w:tcW w:w="1000" w:type="pct"/>
            <w:shd w:val="clear" w:color="auto" w:fill="auto"/>
            <w:vAlign w:val="center"/>
          </w:tcPr>
          <w:p w14:paraId="161819CA" w14:textId="77777777" w:rsidR="004674DD" w:rsidRPr="00545EC0" w:rsidRDefault="004674DD" w:rsidP="00AD4FE7">
            <w:pPr>
              <w:jc w:val="center"/>
              <w:rPr>
                <w:rFonts w:cs="Arial"/>
                <w:i/>
                <w:sz w:val="18"/>
                <w:szCs w:val="18"/>
              </w:rPr>
            </w:pPr>
            <w:r w:rsidRPr="00545EC0">
              <w:rPr>
                <w:rFonts w:cs="Arial"/>
                <w:i/>
                <w:sz w:val="18"/>
                <w:szCs w:val="18"/>
              </w:rPr>
              <w:t>+</w:t>
            </w:r>
          </w:p>
        </w:tc>
        <w:tc>
          <w:tcPr>
            <w:tcW w:w="730" w:type="pct"/>
            <w:shd w:val="clear" w:color="auto" w:fill="auto"/>
            <w:vAlign w:val="center"/>
          </w:tcPr>
          <w:p w14:paraId="35A216ED" w14:textId="77777777" w:rsidR="004674DD" w:rsidRPr="00545EC0" w:rsidRDefault="004674DD" w:rsidP="00AD4FE7">
            <w:pPr>
              <w:jc w:val="center"/>
              <w:rPr>
                <w:rFonts w:cs="Arial"/>
                <w:i/>
                <w:sz w:val="18"/>
                <w:szCs w:val="18"/>
              </w:rPr>
            </w:pPr>
            <w:r w:rsidRPr="00545EC0">
              <w:rPr>
                <w:rFonts w:cs="Arial"/>
                <w:i/>
                <w:sz w:val="18"/>
                <w:szCs w:val="18"/>
              </w:rPr>
              <w:t>+</w:t>
            </w:r>
          </w:p>
        </w:tc>
      </w:tr>
      <w:tr w:rsidR="003122F4" w:rsidRPr="00545EC0" w14:paraId="4403F56B" w14:textId="77777777" w:rsidTr="00AC702B">
        <w:trPr>
          <w:trHeight w:val="255"/>
        </w:trPr>
        <w:tc>
          <w:tcPr>
            <w:tcW w:w="961" w:type="pct"/>
            <w:shd w:val="clear" w:color="auto" w:fill="auto"/>
            <w:vAlign w:val="center"/>
          </w:tcPr>
          <w:p w14:paraId="58B8E761" w14:textId="6BED994F" w:rsidR="004674DD" w:rsidRPr="00545EC0" w:rsidRDefault="004674DD" w:rsidP="00AD4FE7">
            <w:pPr>
              <w:rPr>
                <w:rFonts w:cs="Arial"/>
                <w:sz w:val="18"/>
                <w:szCs w:val="18"/>
              </w:rPr>
            </w:pPr>
            <w:r w:rsidRPr="00545EC0">
              <w:rPr>
                <w:rFonts w:cs="Arial"/>
                <w:sz w:val="18"/>
                <w:szCs w:val="18"/>
              </w:rPr>
              <w:t>črni amur*</w:t>
            </w:r>
          </w:p>
        </w:tc>
        <w:tc>
          <w:tcPr>
            <w:tcW w:w="2309" w:type="pct"/>
            <w:shd w:val="clear" w:color="auto" w:fill="auto"/>
            <w:vAlign w:val="center"/>
          </w:tcPr>
          <w:p w14:paraId="4891496E" w14:textId="77777777" w:rsidR="004674DD" w:rsidRPr="00545EC0" w:rsidRDefault="004674DD" w:rsidP="00AD4FE7">
            <w:pPr>
              <w:rPr>
                <w:rFonts w:cs="Arial"/>
                <w:sz w:val="18"/>
                <w:szCs w:val="18"/>
              </w:rPr>
            </w:pPr>
            <w:r w:rsidRPr="00545EC0">
              <w:rPr>
                <w:rFonts w:cs="Arial"/>
                <w:i/>
                <w:sz w:val="18"/>
                <w:szCs w:val="18"/>
              </w:rPr>
              <w:t>Mylopharyngodon piceus</w:t>
            </w:r>
            <w:r w:rsidRPr="00545EC0">
              <w:rPr>
                <w:rFonts w:cs="Arial"/>
                <w:sz w:val="18"/>
                <w:szCs w:val="18"/>
              </w:rPr>
              <w:t xml:space="preserve"> (Richardson,1846)</w:t>
            </w:r>
          </w:p>
        </w:tc>
        <w:tc>
          <w:tcPr>
            <w:tcW w:w="1000" w:type="pct"/>
            <w:shd w:val="clear" w:color="auto" w:fill="auto"/>
            <w:vAlign w:val="center"/>
          </w:tcPr>
          <w:p w14:paraId="08BAEEF6" w14:textId="77777777" w:rsidR="004674DD" w:rsidRPr="00545EC0" w:rsidRDefault="004674DD" w:rsidP="00AD4FE7">
            <w:pPr>
              <w:jc w:val="center"/>
              <w:rPr>
                <w:rFonts w:cs="Arial"/>
                <w:i/>
                <w:sz w:val="18"/>
                <w:szCs w:val="18"/>
              </w:rPr>
            </w:pPr>
            <w:r w:rsidRPr="00545EC0">
              <w:rPr>
                <w:rFonts w:cs="Arial"/>
                <w:i/>
                <w:sz w:val="18"/>
                <w:szCs w:val="18"/>
              </w:rPr>
              <w:t>+</w:t>
            </w:r>
          </w:p>
        </w:tc>
        <w:tc>
          <w:tcPr>
            <w:tcW w:w="730" w:type="pct"/>
            <w:shd w:val="clear" w:color="auto" w:fill="auto"/>
            <w:vAlign w:val="center"/>
          </w:tcPr>
          <w:p w14:paraId="066DF95C" w14:textId="77777777" w:rsidR="004674DD" w:rsidRPr="00545EC0" w:rsidRDefault="004674DD" w:rsidP="00AD4FE7">
            <w:pPr>
              <w:jc w:val="center"/>
              <w:rPr>
                <w:rFonts w:cs="Arial"/>
                <w:i/>
                <w:sz w:val="18"/>
                <w:szCs w:val="18"/>
              </w:rPr>
            </w:pPr>
            <w:r w:rsidRPr="00545EC0">
              <w:rPr>
                <w:rFonts w:cs="Arial"/>
                <w:i/>
                <w:sz w:val="18"/>
                <w:szCs w:val="18"/>
              </w:rPr>
              <w:t>+</w:t>
            </w:r>
          </w:p>
        </w:tc>
      </w:tr>
      <w:tr w:rsidR="003122F4" w:rsidRPr="00545EC0" w14:paraId="55C2178A" w14:textId="77777777" w:rsidTr="00AC702B">
        <w:trPr>
          <w:trHeight w:val="255"/>
        </w:trPr>
        <w:tc>
          <w:tcPr>
            <w:tcW w:w="961" w:type="pct"/>
            <w:shd w:val="clear" w:color="auto" w:fill="auto"/>
            <w:vAlign w:val="center"/>
          </w:tcPr>
          <w:p w14:paraId="66EAF025" w14:textId="77777777" w:rsidR="004674DD" w:rsidRPr="00545EC0" w:rsidRDefault="004674DD" w:rsidP="00AD4FE7">
            <w:pPr>
              <w:rPr>
                <w:rFonts w:cs="Arial"/>
                <w:sz w:val="18"/>
                <w:szCs w:val="18"/>
              </w:rPr>
            </w:pPr>
            <w:r w:rsidRPr="00545EC0">
              <w:rPr>
                <w:rFonts w:cs="Arial"/>
                <w:sz w:val="18"/>
                <w:szCs w:val="18"/>
              </w:rPr>
              <w:t>rdečeoka</w:t>
            </w:r>
          </w:p>
        </w:tc>
        <w:tc>
          <w:tcPr>
            <w:tcW w:w="2309" w:type="pct"/>
            <w:shd w:val="clear" w:color="auto" w:fill="auto"/>
            <w:vAlign w:val="center"/>
          </w:tcPr>
          <w:p w14:paraId="5E0BB952" w14:textId="77777777" w:rsidR="004674DD" w:rsidRPr="00545EC0" w:rsidRDefault="004674DD" w:rsidP="00AD4FE7">
            <w:pPr>
              <w:rPr>
                <w:rFonts w:cs="Arial"/>
                <w:i/>
                <w:iCs/>
                <w:sz w:val="18"/>
                <w:szCs w:val="18"/>
              </w:rPr>
            </w:pPr>
            <w:r w:rsidRPr="00545EC0">
              <w:rPr>
                <w:rFonts w:cs="Arial"/>
                <w:i/>
                <w:iCs/>
                <w:sz w:val="18"/>
                <w:szCs w:val="18"/>
              </w:rPr>
              <w:t>Rutilus rutilus</w:t>
            </w:r>
            <w:r w:rsidRPr="00545EC0">
              <w:rPr>
                <w:rFonts w:cs="Arial"/>
                <w:sz w:val="18"/>
                <w:szCs w:val="18"/>
              </w:rPr>
              <w:t xml:space="preserve"> (Linnaeus 1758)</w:t>
            </w:r>
          </w:p>
        </w:tc>
        <w:tc>
          <w:tcPr>
            <w:tcW w:w="1000" w:type="pct"/>
            <w:vAlign w:val="center"/>
          </w:tcPr>
          <w:p w14:paraId="02D15EA0" w14:textId="77777777" w:rsidR="004674DD" w:rsidRPr="00545EC0" w:rsidRDefault="004674DD" w:rsidP="00AD4FE7">
            <w:pPr>
              <w:jc w:val="center"/>
              <w:rPr>
                <w:rFonts w:cs="Arial"/>
                <w:i/>
                <w:sz w:val="18"/>
                <w:szCs w:val="18"/>
              </w:rPr>
            </w:pPr>
          </w:p>
        </w:tc>
        <w:tc>
          <w:tcPr>
            <w:tcW w:w="730" w:type="pct"/>
            <w:vAlign w:val="center"/>
          </w:tcPr>
          <w:p w14:paraId="3527DFD1" w14:textId="77777777" w:rsidR="004674DD" w:rsidRPr="00545EC0" w:rsidRDefault="004674DD" w:rsidP="00AD4FE7">
            <w:pPr>
              <w:jc w:val="center"/>
              <w:rPr>
                <w:rFonts w:cs="Arial"/>
                <w:i/>
                <w:sz w:val="18"/>
                <w:szCs w:val="18"/>
              </w:rPr>
            </w:pPr>
          </w:p>
        </w:tc>
      </w:tr>
      <w:tr w:rsidR="003122F4" w:rsidRPr="00545EC0" w14:paraId="30BE71BE" w14:textId="77777777" w:rsidTr="00AC702B">
        <w:trPr>
          <w:trHeight w:val="255"/>
        </w:trPr>
        <w:tc>
          <w:tcPr>
            <w:tcW w:w="961" w:type="pct"/>
            <w:shd w:val="clear" w:color="auto" w:fill="auto"/>
            <w:vAlign w:val="center"/>
          </w:tcPr>
          <w:p w14:paraId="120DE5F9" w14:textId="77777777" w:rsidR="004674DD" w:rsidRPr="00545EC0" w:rsidRDefault="004674DD" w:rsidP="00AD4FE7">
            <w:pPr>
              <w:rPr>
                <w:rFonts w:cs="Arial"/>
                <w:sz w:val="18"/>
                <w:szCs w:val="18"/>
              </w:rPr>
            </w:pPr>
            <w:r w:rsidRPr="00545EC0">
              <w:rPr>
                <w:rFonts w:cs="Arial"/>
                <w:sz w:val="18"/>
                <w:szCs w:val="18"/>
              </w:rPr>
              <w:t>podust</w:t>
            </w:r>
          </w:p>
        </w:tc>
        <w:tc>
          <w:tcPr>
            <w:tcW w:w="2309" w:type="pct"/>
            <w:shd w:val="clear" w:color="auto" w:fill="auto"/>
            <w:vAlign w:val="center"/>
          </w:tcPr>
          <w:p w14:paraId="3A3C36F5" w14:textId="77777777" w:rsidR="004674DD" w:rsidRPr="00545EC0" w:rsidRDefault="004674DD" w:rsidP="00AD4FE7">
            <w:pPr>
              <w:rPr>
                <w:rFonts w:cs="Arial"/>
                <w:i/>
                <w:iCs/>
                <w:sz w:val="18"/>
                <w:szCs w:val="18"/>
              </w:rPr>
            </w:pPr>
            <w:r w:rsidRPr="00545EC0">
              <w:rPr>
                <w:rFonts w:cs="Arial"/>
                <w:i/>
                <w:iCs/>
                <w:sz w:val="18"/>
                <w:szCs w:val="18"/>
              </w:rPr>
              <w:t>Chondrostoma nasu</w:t>
            </w:r>
            <w:r w:rsidRPr="00545EC0">
              <w:rPr>
                <w:rFonts w:cs="Arial"/>
                <w:sz w:val="18"/>
                <w:szCs w:val="18"/>
              </w:rPr>
              <w:t>s (Linnaeus, 1758) *</w:t>
            </w:r>
          </w:p>
        </w:tc>
        <w:tc>
          <w:tcPr>
            <w:tcW w:w="1000" w:type="pct"/>
            <w:vAlign w:val="center"/>
          </w:tcPr>
          <w:p w14:paraId="33152301" w14:textId="77777777" w:rsidR="004674DD" w:rsidRPr="00545EC0" w:rsidRDefault="004674DD" w:rsidP="00AD4FE7">
            <w:pPr>
              <w:jc w:val="center"/>
              <w:rPr>
                <w:rFonts w:cs="Arial"/>
                <w:i/>
                <w:sz w:val="18"/>
                <w:szCs w:val="18"/>
              </w:rPr>
            </w:pPr>
          </w:p>
        </w:tc>
        <w:tc>
          <w:tcPr>
            <w:tcW w:w="730" w:type="pct"/>
            <w:vAlign w:val="center"/>
          </w:tcPr>
          <w:p w14:paraId="4CECBA93" w14:textId="77777777" w:rsidR="004674DD" w:rsidRPr="00545EC0" w:rsidRDefault="004674DD" w:rsidP="00AD4FE7">
            <w:pPr>
              <w:jc w:val="center"/>
              <w:rPr>
                <w:rFonts w:cs="Arial"/>
                <w:i/>
                <w:sz w:val="18"/>
                <w:szCs w:val="18"/>
              </w:rPr>
            </w:pPr>
          </w:p>
        </w:tc>
      </w:tr>
      <w:tr w:rsidR="003122F4" w:rsidRPr="00545EC0" w14:paraId="4474F346" w14:textId="77777777" w:rsidTr="00AC702B">
        <w:trPr>
          <w:trHeight w:val="255"/>
        </w:trPr>
        <w:tc>
          <w:tcPr>
            <w:tcW w:w="961" w:type="pct"/>
            <w:shd w:val="clear" w:color="auto" w:fill="auto"/>
            <w:vAlign w:val="center"/>
          </w:tcPr>
          <w:p w14:paraId="151E65C9" w14:textId="77777777" w:rsidR="004674DD" w:rsidRPr="00545EC0" w:rsidRDefault="004674DD" w:rsidP="00AD4FE7">
            <w:pPr>
              <w:rPr>
                <w:rFonts w:cs="Arial"/>
                <w:sz w:val="18"/>
                <w:szCs w:val="18"/>
              </w:rPr>
            </w:pPr>
            <w:r w:rsidRPr="00545EC0">
              <w:rPr>
                <w:rFonts w:cs="Arial"/>
                <w:sz w:val="18"/>
                <w:szCs w:val="18"/>
              </w:rPr>
              <w:t>klen</w:t>
            </w:r>
          </w:p>
        </w:tc>
        <w:tc>
          <w:tcPr>
            <w:tcW w:w="2309" w:type="pct"/>
            <w:shd w:val="clear" w:color="auto" w:fill="auto"/>
            <w:vAlign w:val="center"/>
          </w:tcPr>
          <w:p w14:paraId="4A3388BD" w14:textId="77777777" w:rsidR="004674DD" w:rsidRPr="00545EC0" w:rsidRDefault="004674DD" w:rsidP="00AD4FE7">
            <w:pPr>
              <w:rPr>
                <w:rFonts w:cs="Arial"/>
                <w:i/>
                <w:iCs/>
                <w:sz w:val="18"/>
                <w:szCs w:val="18"/>
              </w:rPr>
            </w:pPr>
            <w:r w:rsidRPr="00545EC0">
              <w:rPr>
                <w:rFonts w:cs="Arial"/>
                <w:i/>
                <w:iCs/>
                <w:sz w:val="18"/>
                <w:szCs w:val="18"/>
              </w:rPr>
              <w:t xml:space="preserve">Squalius cephalus </w:t>
            </w:r>
            <w:r w:rsidRPr="00545EC0">
              <w:rPr>
                <w:rFonts w:cs="Arial"/>
                <w:sz w:val="18"/>
                <w:szCs w:val="18"/>
              </w:rPr>
              <w:t>(Linnaeus, 1758) *</w:t>
            </w:r>
          </w:p>
        </w:tc>
        <w:tc>
          <w:tcPr>
            <w:tcW w:w="1000" w:type="pct"/>
            <w:vAlign w:val="center"/>
          </w:tcPr>
          <w:p w14:paraId="3611A7C2" w14:textId="77777777" w:rsidR="004674DD" w:rsidRPr="00545EC0" w:rsidRDefault="004674DD" w:rsidP="00AD4FE7">
            <w:pPr>
              <w:jc w:val="center"/>
              <w:rPr>
                <w:rFonts w:cs="Arial"/>
                <w:i/>
                <w:sz w:val="18"/>
                <w:szCs w:val="18"/>
              </w:rPr>
            </w:pPr>
          </w:p>
        </w:tc>
        <w:tc>
          <w:tcPr>
            <w:tcW w:w="730" w:type="pct"/>
            <w:vAlign w:val="center"/>
          </w:tcPr>
          <w:p w14:paraId="5E5D82EF" w14:textId="77777777" w:rsidR="004674DD" w:rsidRPr="00545EC0" w:rsidRDefault="004674DD" w:rsidP="00AD4FE7">
            <w:pPr>
              <w:jc w:val="center"/>
              <w:rPr>
                <w:rFonts w:cs="Arial"/>
                <w:i/>
                <w:sz w:val="18"/>
                <w:szCs w:val="18"/>
              </w:rPr>
            </w:pPr>
          </w:p>
        </w:tc>
      </w:tr>
      <w:tr w:rsidR="003122F4" w:rsidRPr="00545EC0" w14:paraId="50F17525" w14:textId="77777777" w:rsidTr="00AC702B">
        <w:trPr>
          <w:trHeight w:val="255"/>
        </w:trPr>
        <w:tc>
          <w:tcPr>
            <w:tcW w:w="961" w:type="pct"/>
            <w:shd w:val="clear" w:color="auto" w:fill="auto"/>
            <w:vAlign w:val="center"/>
          </w:tcPr>
          <w:p w14:paraId="55A5A636" w14:textId="77777777" w:rsidR="004674DD" w:rsidRPr="00545EC0" w:rsidRDefault="004674DD" w:rsidP="00AD4FE7">
            <w:pPr>
              <w:rPr>
                <w:rFonts w:cs="Arial"/>
                <w:sz w:val="18"/>
                <w:szCs w:val="18"/>
              </w:rPr>
            </w:pPr>
            <w:r w:rsidRPr="00545EC0">
              <w:rPr>
                <w:rFonts w:cs="Arial"/>
                <w:sz w:val="18"/>
                <w:szCs w:val="18"/>
              </w:rPr>
              <w:t>krap</w:t>
            </w:r>
          </w:p>
        </w:tc>
        <w:tc>
          <w:tcPr>
            <w:tcW w:w="2309" w:type="pct"/>
            <w:shd w:val="clear" w:color="auto" w:fill="auto"/>
            <w:vAlign w:val="center"/>
          </w:tcPr>
          <w:p w14:paraId="4EE64107" w14:textId="77777777" w:rsidR="004674DD" w:rsidRPr="00545EC0" w:rsidRDefault="004674DD" w:rsidP="00AD4FE7">
            <w:pPr>
              <w:rPr>
                <w:rFonts w:cs="Arial"/>
                <w:i/>
                <w:iCs/>
                <w:sz w:val="18"/>
                <w:szCs w:val="18"/>
              </w:rPr>
            </w:pPr>
            <w:r w:rsidRPr="00545EC0">
              <w:rPr>
                <w:rFonts w:cs="Arial"/>
                <w:i/>
                <w:iCs/>
                <w:sz w:val="18"/>
                <w:szCs w:val="18"/>
              </w:rPr>
              <w:t>Cyprinus carpio (</w:t>
            </w:r>
            <w:r w:rsidRPr="00545EC0">
              <w:rPr>
                <w:rFonts w:cs="Arial"/>
                <w:sz w:val="18"/>
                <w:szCs w:val="18"/>
              </w:rPr>
              <w:t>Linnaeus, 1758) *</w:t>
            </w:r>
          </w:p>
        </w:tc>
        <w:tc>
          <w:tcPr>
            <w:tcW w:w="1000" w:type="pct"/>
            <w:vAlign w:val="center"/>
          </w:tcPr>
          <w:p w14:paraId="72599A75" w14:textId="77777777" w:rsidR="004674DD" w:rsidRPr="00545EC0" w:rsidRDefault="004674DD" w:rsidP="00AD4FE7">
            <w:pPr>
              <w:jc w:val="center"/>
              <w:rPr>
                <w:rFonts w:cs="Arial"/>
                <w:i/>
                <w:sz w:val="18"/>
                <w:szCs w:val="18"/>
              </w:rPr>
            </w:pPr>
          </w:p>
        </w:tc>
        <w:tc>
          <w:tcPr>
            <w:tcW w:w="730" w:type="pct"/>
            <w:vAlign w:val="center"/>
          </w:tcPr>
          <w:p w14:paraId="72877070" w14:textId="77777777" w:rsidR="004674DD" w:rsidRPr="00545EC0" w:rsidRDefault="004674DD" w:rsidP="00AD4FE7">
            <w:pPr>
              <w:jc w:val="center"/>
              <w:rPr>
                <w:rFonts w:cs="Arial"/>
                <w:i/>
                <w:sz w:val="18"/>
                <w:szCs w:val="18"/>
              </w:rPr>
            </w:pPr>
          </w:p>
        </w:tc>
      </w:tr>
      <w:tr w:rsidR="003122F4" w:rsidRPr="00545EC0" w14:paraId="13501622" w14:textId="77777777" w:rsidTr="00AC702B">
        <w:trPr>
          <w:trHeight w:val="255"/>
        </w:trPr>
        <w:tc>
          <w:tcPr>
            <w:tcW w:w="961" w:type="pct"/>
            <w:shd w:val="clear" w:color="auto" w:fill="auto"/>
            <w:vAlign w:val="center"/>
          </w:tcPr>
          <w:p w14:paraId="5A27DB0A" w14:textId="151F5FB1" w:rsidR="004674DD" w:rsidRPr="00545EC0" w:rsidRDefault="004674DD" w:rsidP="00AD4FE7">
            <w:pPr>
              <w:rPr>
                <w:rFonts w:cs="Arial"/>
                <w:sz w:val="18"/>
                <w:szCs w:val="18"/>
              </w:rPr>
            </w:pPr>
            <w:r w:rsidRPr="00545EC0">
              <w:rPr>
                <w:rFonts w:cs="Arial"/>
                <w:sz w:val="18"/>
                <w:szCs w:val="18"/>
              </w:rPr>
              <w:t>rdečeperka*</w:t>
            </w:r>
          </w:p>
        </w:tc>
        <w:tc>
          <w:tcPr>
            <w:tcW w:w="2309" w:type="pct"/>
            <w:shd w:val="clear" w:color="auto" w:fill="auto"/>
            <w:vAlign w:val="center"/>
          </w:tcPr>
          <w:p w14:paraId="460AFD3A" w14:textId="77777777" w:rsidR="004674DD" w:rsidRPr="00545EC0" w:rsidRDefault="004674DD" w:rsidP="00AD4FE7">
            <w:pPr>
              <w:rPr>
                <w:rFonts w:cs="Arial"/>
                <w:i/>
                <w:iCs/>
                <w:sz w:val="18"/>
                <w:szCs w:val="18"/>
              </w:rPr>
            </w:pPr>
            <w:r w:rsidRPr="00545EC0">
              <w:rPr>
                <w:rFonts w:cs="Arial"/>
                <w:i/>
                <w:iCs/>
                <w:sz w:val="18"/>
                <w:szCs w:val="18"/>
              </w:rPr>
              <w:t>Scardinius erythrophthalmus</w:t>
            </w:r>
            <w:r w:rsidRPr="00545EC0">
              <w:rPr>
                <w:rFonts w:cs="Arial"/>
                <w:sz w:val="18"/>
                <w:szCs w:val="18"/>
              </w:rPr>
              <w:t xml:space="preserve"> (Linnaeus, 1758) *</w:t>
            </w:r>
          </w:p>
        </w:tc>
        <w:tc>
          <w:tcPr>
            <w:tcW w:w="1000" w:type="pct"/>
            <w:vAlign w:val="center"/>
          </w:tcPr>
          <w:p w14:paraId="2EA177CF" w14:textId="77777777" w:rsidR="004674DD" w:rsidRPr="00545EC0" w:rsidRDefault="004674DD" w:rsidP="00AD4FE7">
            <w:pPr>
              <w:jc w:val="center"/>
              <w:rPr>
                <w:rFonts w:cs="Arial"/>
                <w:i/>
                <w:sz w:val="18"/>
                <w:szCs w:val="18"/>
              </w:rPr>
            </w:pPr>
          </w:p>
        </w:tc>
        <w:tc>
          <w:tcPr>
            <w:tcW w:w="730" w:type="pct"/>
            <w:vAlign w:val="center"/>
          </w:tcPr>
          <w:p w14:paraId="037DFC98" w14:textId="77777777" w:rsidR="004674DD" w:rsidRPr="00545EC0" w:rsidRDefault="004674DD" w:rsidP="00AD4FE7">
            <w:pPr>
              <w:jc w:val="center"/>
              <w:rPr>
                <w:rFonts w:cs="Arial"/>
                <w:i/>
                <w:sz w:val="18"/>
                <w:szCs w:val="18"/>
              </w:rPr>
            </w:pPr>
          </w:p>
        </w:tc>
      </w:tr>
      <w:tr w:rsidR="003122F4" w:rsidRPr="00545EC0" w14:paraId="08152ED2" w14:textId="77777777" w:rsidTr="00AC702B">
        <w:trPr>
          <w:trHeight w:val="255"/>
        </w:trPr>
        <w:tc>
          <w:tcPr>
            <w:tcW w:w="961" w:type="pct"/>
            <w:shd w:val="clear" w:color="auto" w:fill="auto"/>
            <w:vAlign w:val="center"/>
          </w:tcPr>
          <w:p w14:paraId="026DD1B3" w14:textId="6FA6C3AB" w:rsidR="004674DD" w:rsidRPr="00545EC0" w:rsidRDefault="004674DD" w:rsidP="00AD4FE7">
            <w:pPr>
              <w:rPr>
                <w:rFonts w:cs="Arial"/>
                <w:sz w:val="18"/>
                <w:szCs w:val="18"/>
              </w:rPr>
            </w:pPr>
            <w:r w:rsidRPr="00545EC0">
              <w:rPr>
                <w:rFonts w:cs="Arial"/>
                <w:sz w:val="18"/>
                <w:szCs w:val="18"/>
              </w:rPr>
              <w:t>mrena*</w:t>
            </w:r>
          </w:p>
        </w:tc>
        <w:tc>
          <w:tcPr>
            <w:tcW w:w="2309" w:type="pct"/>
            <w:shd w:val="clear" w:color="auto" w:fill="auto"/>
            <w:vAlign w:val="center"/>
          </w:tcPr>
          <w:p w14:paraId="4A126E1C" w14:textId="77777777" w:rsidR="004674DD" w:rsidRPr="00545EC0" w:rsidRDefault="004674DD" w:rsidP="00AD4FE7">
            <w:pPr>
              <w:rPr>
                <w:rFonts w:cs="Arial"/>
                <w:i/>
                <w:iCs/>
                <w:sz w:val="18"/>
                <w:szCs w:val="18"/>
              </w:rPr>
            </w:pPr>
            <w:r w:rsidRPr="00545EC0">
              <w:rPr>
                <w:rFonts w:cs="Arial"/>
                <w:i/>
                <w:iCs/>
                <w:sz w:val="18"/>
                <w:szCs w:val="18"/>
              </w:rPr>
              <w:t xml:space="preserve">Barbus barbus </w:t>
            </w:r>
            <w:r w:rsidRPr="00545EC0">
              <w:rPr>
                <w:rFonts w:cs="Arial"/>
                <w:sz w:val="18"/>
                <w:szCs w:val="18"/>
              </w:rPr>
              <w:t>(Linnaeus, 1758) *</w:t>
            </w:r>
          </w:p>
        </w:tc>
        <w:tc>
          <w:tcPr>
            <w:tcW w:w="1000" w:type="pct"/>
            <w:vAlign w:val="center"/>
          </w:tcPr>
          <w:p w14:paraId="4016F6D9" w14:textId="77777777" w:rsidR="004674DD" w:rsidRPr="00545EC0" w:rsidRDefault="004674DD" w:rsidP="00AD4FE7">
            <w:pPr>
              <w:jc w:val="center"/>
              <w:rPr>
                <w:rFonts w:cs="Arial"/>
                <w:i/>
                <w:sz w:val="18"/>
                <w:szCs w:val="18"/>
              </w:rPr>
            </w:pPr>
          </w:p>
        </w:tc>
        <w:tc>
          <w:tcPr>
            <w:tcW w:w="730" w:type="pct"/>
            <w:vAlign w:val="center"/>
          </w:tcPr>
          <w:p w14:paraId="4C08C909" w14:textId="77777777" w:rsidR="004674DD" w:rsidRPr="00545EC0" w:rsidRDefault="004674DD" w:rsidP="00AD4FE7">
            <w:pPr>
              <w:jc w:val="center"/>
              <w:rPr>
                <w:rFonts w:cs="Arial"/>
                <w:i/>
                <w:sz w:val="18"/>
                <w:szCs w:val="18"/>
              </w:rPr>
            </w:pPr>
          </w:p>
        </w:tc>
      </w:tr>
      <w:tr w:rsidR="003122F4" w:rsidRPr="00545EC0" w14:paraId="1BB50E88" w14:textId="77777777" w:rsidTr="00AC702B">
        <w:trPr>
          <w:trHeight w:val="255"/>
        </w:trPr>
        <w:tc>
          <w:tcPr>
            <w:tcW w:w="961" w:type="pct"/>
            <w:shd w:val="clear" w:color="auto" w:fill="auto"/>
            <w:vAlign w:val="center"/>
          </w:tcPr>
          <w:p w14:paraId="2FB1EBE2" w14:textId="77777777" w:rsidR="004674DD" w:rsidRPr="00545EC0" w:rsidRDefault="004674DD" w:rsidP="00AD4FE7">
            <w:pPr>
              <w:rPr>
                <w:rFonts w:cs="Arial"/>
                <w:sz w:val="18"/>
                <w:szCs w:val="18"/>
              </w:rPr>
            </w:pPr>
            <w:r w:rsidRPr="00545EC0">
              <w:rPr>
                <w:rFonts w:cs="Arial"/>
                <w:sz w:val="18"/>
                <w:szCs w:val="18"/>
              </w:rPr>
              <w:t>navadni globoček</w:t>
            </w:r>
          </w:p>
        </w:tc>
        <w:tc>
          <w:tcPr>
            <w:tcW w:w="2309" w:type="pct"/>
            <w:shd w:val="clear" w:color="auto" w:fill="auto"/>
            <w:vAlign w:val="center"/>
          </w:tcPr>
          <w:p w14:paraId="57B2FC6A" w14:textId="77777777" w:rsidR="004674DD" w:rsidRPr="00545EC0" w:rsidRDefault="004674DD" w:rsidP="00AD4FE7">
            <w:pPr>
              <w:rPr>
                <w:rFonts w:cs="Arial"/>
                <w:i/>
                <w:iCs/>
                <w:sz w:val="18"/>
                <w:szCs w:val="18"/>
              </w:rPr>
            </w:pPr>
            <w:r w:rsidRPr="00545EC0">
              <w:rPr>
                <w:rFonts w:cs="Arial"/>
                <w:i/>
                <w:iCs/>
                <w:sz w:val="18"/>
                <w:szCs w:val="18"/>
              </w:rPr>
              <w:t xml:space="preserve">Gobio obtusirostris </w:t>
            </w:r>
            <w:r w:rsidRPr="00545EC0">
              <w:rPr>
                <w:rFonts w:cs="Arial"/>
                <w:iCs/>
                <w:sz w:val="18"/>
                <w:szCs w:val="18"/>
              </w:rPr>
              <w:t>(</w:t>
            </w:r>
            <w:r w:rsidRPr="00545EC0">
              <w:rPr>
                <w:rFonts w:cs="Arial"/>
                <w:sz w:val="18"/>
                <w:szCs w:val="18"/>
              </w:rPr>
              <w:t>Valenciennes, 1842) *</w:t>
            </w:r>
          </w:p>
        </w:tc>
        <w:tc>
          <w:tcPr>
            <w:tcW w:w="1000" w:type="pct"/>
            <w:vAlign w:val="center"/>
          </w:tcPr>
          <w:p w14:paraId="088A5B02" w14:textId="77777777" w:rsidR="004674DD" w:rsidRPr="00545EC0" w:rsidRDefault="004674DD" w:rsidP="00AD4FE7">
            <w:pPr>
              <w:jc w:val="center"/>
              <w:rPr>
                <w:rFonts w:cs="Arial"/>
                <w:i/>
                <w:sz w:val="18"/>
                <w:szCs w:val="18"/>
              </w:rPr>
            </w:pPr>
          </w:p>
        </w:tc>
        <w:tc>
          <w:tcPr>
            <w:tcW w:w="730" w:type="pct"/>
            <w:vAlign w:val="center"/>
          </w:tcPr>
          <w:p w14:paraId="3ED20FCD" w14:textId="77777777" w:rsidR="004674DD" w:rsidRPr="00545EC0" w:rsidRDefault="004674DD" w:rsidP="00AD4FE7">
            <w:pPr>
              <w:jc w:val="center"/>
              <w:rPr>
                <w:rFonts w:cs="Arial"/>
                <w:i/>
                <w:sz w:val="18"/>
                <w:szCs w:val="18"/>
              </w:rPr>
            </w:pPr>
          </w:p>
        </w:tc>
      </w:tr>
      <w:tr w:rsidR="003122F4" w:rsidRPr="00545EC0" w14:paraId="295AC590" w14:textId="77777777" w:rsidTr="00AC702B">
        <w:trPr>
          <w:trHeight w:val="255"/>
        </w:trPr>
        <w:tc>
          <w:tcPr>
            <w:tcW w:w="961" w:type="pct"/>
            <w:shd w:val="clear" w:color="auto" w:fill="auto"/>
            <w:vAlign w:val="bottom"/>
          </w:tcPr>
          <w:p w14:paraId="0BFB2FD5" w14:textId="77777777" w:rsidR="004674DD" w:rsidRPr="00545EC0" w:rsidRDefault="004674DD" w:rsidP="00AD4FE7">
            <w:pPr>
              <w:rPr>
                <w:rFonts w:cs="Arial"/>
                <w:sz w:val="18"/>
                <w:szCs w:val="18"/>
              </w:rPr>
            </w:pPr>
            <w:r w:rsidRPr="00545EC0">
              <w:rPr>
                <w:rFonts w:cs="Arial"/>
                <w:bCs/>
                <w:sz w:val="18"/>
                <w:szCs w:val="18"/>
              </w:rPr>
              <w:t>ploščič</w:t>
            </w:r>
          </w:p>
        </w:tc>
        <w:tc>
          <w:tcPr>
            <w:tcW w:w="2309" w:type="pct"/>
            <w:shd w:val="clear" w:color="auto" w:fill="FFFFFF" w:themeFill="background1"/>
          </w:tcPr>
          <w:p w14:paraId="3E66A93D" w14:textId="77777777" w:rsidR="004674DD" w:rsidRPr="00545EC0" w:rsidRDefault="004674DD" w:rsidP="00AD4FE7">
            <w:pPr>
              <w:rPr>
                <w:rFonts w:cs="Arial"/>
                <w:i/>
                <w:iCs/>
                <w:sz w:val="18"/>
                <w:szCs w:val="18"/>
              </w:rPr>
            </w:pPr>
            <w:r w:rsidRPr="00545EC0">
              <w:rPr>
                <w:rFonts w:cs="Arial"/>
                <w:i/>
                <w:iCs/>
                <w:sz w:val="18"/>
                <w:szCs w:val="18"/>
              </w:rPr>
              <w:t>Abramis brama (Linnaeus, 1758)</w:t>
            </w:r>
          </w:p>
        </w:tc>
        <w:tc>
          <w:tcPr>
            <w:tcW w:w="1000" w:type="pct"/>
          </w:tcPr>
          <w:p w14:paraId="03775F1B" w14:textId="77777777" w:rsidR="004674DD" w:rsidRPr="00545EC0" w:rsidRDefault="004674DD" w:rsidP="00AD4FE7">
            <w:pPr>
              <w:jc w:val="center"/>
              <w:rPr>
                <w:rFonts w:cs="Arial"/>
                <w:i/>
                <w:sz w:val="18"/>
                <w:szCs w:val="18"/>
              </w:rPr>
            </w:pPr>
          </w:p>
        </w:tc>
        <w:tc>
          <w:tcPr>
            <w:tcW w:w="730" w:type="pct"/>
          </w:tcPr>
          <w:p w14:paraId="15884F66" w14:textId="77777777" w:rsidR="004674DD" w:rsidRPr="00545EC0" w:rsidRDefault="004674DD" w:rsidP="00AD4FE7">
            <w:pPr>
              <w:jc w:val="center"/>
              <w:rPr>
                <w:rFonts w:cs="Arial"/>
                <w:i/>
                <w:sz w:val="18"/>
                <w:szCs w:val="18"/>
              </w:rPr>
            </w:pPr>
          </w:p>
        </w:tc>
      </w:tr>
      <w:tr w:rsidR="003122F4" w:rsidRPr="00545EC0" w14:paraId="3B192C68" w14:textId="77777777" w:rsidTr="00AC702B">
        <w:trPr>
          <w:trHeight w:val="255"/>
        </w:trPr>
        <w:tc>
          <w:tcPr>
            <w:tcW w:w="961" w:type="pct"/>
            <w:shd w:val="clear" w:color="auto" w:fill="auto"/>
            <w:vAlign w:val="bottom"/>
          </w:tcPr>
          <w:p w14:paraId="1A59E00F" w14:textId="77777777" w:rsidR="004674DD" w:rsidRPr="00545EC0" w:rsidRDefault="004674DD" w:rsidP="00AD4FE7">
            <w:pPr>
              <w:rPr>
                <w:rFonts w:cs="Arial"/>
                <w:bCs/>
                <w:sz w:val="18"/>
                <w:szCs w:val="18"/>
              </w:rPr>
            </w:pPr>
            <w:r w:rsidRPr="00545EC0">
              <w:rPr>
                <w:rFonts w:cs="Arial"/>
                <w:bCs/>
                <w:sz w:val="18"/>
                <w:szCs w:val="18"/>
              </w:rPr>
              <w:t>zelenika</w:t>
            </w:r>
          </w:p>
        </w:tc>
        <w:tc>
          <w:tcPr>
            <w:tcW w:w="2309" w:type="pct"/>
            <w:shd w:val="clear" w:color="auto" w:fill="FFFFFF" w:themeFill="background1"/>
          </w:tcPr>
          <w:p w14:paraId="04F56284" w14:textId="77777777" w:rsidR="004674DD" w:rsidRPr="00545EC0" w:rsidRDefault="004674DD" w:rsidP="00AD4FE7">
            <w:pPr>
              <w:rPr>
                <w:rFonts w:cs="Arial"/>
                <w:i/>
                <w:iCs/>
                <w:sz w:val="18"/>
                <w:szCs w:val="18"/>
              </w:rPr>
            </w:pPr>
            <w:r w:rsidRPr="00545EC0">
              <w:rPr>
                <w:rFonts w:cs="Arial"/>
                <w:i/>
                <w:iCs/>
                <w:sz w:val="18"/>
                <w:szCs w:val="18"/>
              </w:rPr>
              <w:t>Alburnus alburnus (Linnaeus, 1785)</w:t>
            </w:r>
          </w:p>
        </w:tc>
        <w:tc>
          <w:tcPr>
            <w:tcW w:w="1000" w:type="pct"/>
          </w:tcPr>
          <w:p w14:paraId="54D104DE" w14:textId="77777777" w:rsidR="004674DD" w:rsidRPr="00545EC0" w:rsidRDefault="004674DD" w:rsidP="00AD4FE7">
            <w:pPr>
              <w:jc w:val="center"/>
              <w:rPr>
                <w:rFonts w:cs="Arial"/>
                <w:i/>
                <w:sz w:val="18"/>
                <w:szCs w:val="18"/>
              </w:rPr>
            </w:pPr>
          </w:p>
        </w:tc>
        <w:tc>
          <w:tcPr>
            <w:tcW w:w="730" w:type="pct"/>
          </w:tcPr>
          <w:p w14:paraId="71B4AB36" w14:textId="77777777" w:rsidR="004674DD" w:rsidRPr="00545EC0" w:rsidRDefault="004674DD" w:rsidP="00AD4FE7">
            <w:pPr>
              <w:jc w:val="center"/>
              <w:rPr>
                <w:rFonts w:cs="Arial"/>
                <w:i/>
                <w:sz w:val="18"/>
                <w:szCs w:val="18"/>
              </w:rPr>
            </w:pPr>
          </w:p>
        </w:tc>
      </w:tr>
      <w:tr w:rsidR="003122F4" w:rsidRPr="00545EC0" w14:paraId="5D2E795E" w14:textId="77777777" w:rsidTr="00AC702B">
        <w:trPr>
          <w:trHeight w:val="255"/>
        </w:trPr>
        <w:tc>
          <w:tcPr>
            <w:tcW w:w="961" w:type="pct"/>
            <w:shd w:val="clear" w:color="auto" w:fill="auto"/>
            <w:vAlign w:val="bottom"/>
          </w:tcPr>
          <w:p w14:paraId="4FC959F0" w14:textId="77777777" w:rsidR="004674DD" w:rsidRPr="00545EC0" w:rsidRDefault="004674DD" w:rsidP="00AD4FE7">
            <w:pPr>
              <w:rPr>
                <w:rFonts w:cs="Arial"/>
                <w:bCs/>
                <w:sz w:val="18"/>
                <w:szCs w:val="18"/>
              </w:rPr>
            </w:pPr>
            <w:r w:rsidRPr="00545EC0">
              <w:rPr>
                <w:rFonts w:cs="Arial"/>
                <w:bCs/>
                <w:sz w:val="18"/>
                <w:szCs w:val="18"/>
              </w:rPr>
              <w:t>primorska belica</w:t>
            </w:r>
          </w:p>
        </w:tc>
        <w:tc>
          <w:tcPr>
            <w:tcW w:w="2309" w:type="pct"/>
            <w:shd w:val="clear" w:color="auto" w:fill="FFFFFF" w:themeFill="background1"/>
          </w:tcPr>
          <w:p w14:paraId="7A8C22F4" w14:textId="77777777" w:rsidR="004674DD" w:rsidRPr="00545EC0" w:rsidRDefault="004674DD" w:rsidP="00AD4FE7">
            <w:pPr>
              <w:rPr>
                <w:rFonts w:cs="Arial"/>
                <w:i/>
                <w:iCs/>
                <w:sz w:val="18"/>
                <w:szCs w:val="18"/>
              </w:rPr>
            </w:pPr>
            <w:r w:rsidRPr="00545EC0">
              <w:rPr>
                <w:rFonts w:cs="Arial"/>
                <w:i/>
                <w:iCs/>
                <w:sz w:val="18"/>
                <w:szCs w:val="18"/>
              </w:rPr>
              <w:t>Alburnus arborella</w:t>
            </w:r>
          </w:p>
        </w:tc>
        <w:tc>
          <w:tcPr>
            <w:tcW w:w="1000" w:type="pct"/>
          </w:tcPr>
          <w:p w14:paraId="6D25D184" w14:textId="77777777" w:rsidR="004674DD" w:rsidRPr="00545EC0" w:rsidRDefault="004674DD" w:rsidP="00AD4FE7">
            <w:pPr>
              <w:jc w:val="center"/>
              <w:rPr>
                <w:rFonts w:cs="Arial"/>
                <w:i/>
                <w:sz w:val="18"/>
                <w:szCs w:val="18"/>
              </w:rPr>
            </w:pPr>
          </w:p>
        </w:tc>
        <w:tc>
          <w:tcPr>
            <w:tcW w:w="730" w:type="pct"/>
          </w:tcPr>
          <w:p w14:paraId="5EE39DED" w14:textId="77777777" w:rsidR="004674DD" w:rsidRPr="00545EC0" w:rsidRDefault="004674DD" w:rsidP="00AD4FE7">
            <w:pPr>
              <w:jc w:val="center"/>
              <w:rPr>
                <w:rFonts w:cs="Arial"/>
                <w:i/>
                <w:sz w:val="18"/>
                <w:szCs w:val="18"/>
              </w:rPr>
            </w:pPr>
            <w:r w:rsidRPr="00545EC0">
              <w:rPr>
                <w:rFonts w:cs="Arial"/>
                <w:sz w:val="18"/>
                <w:szCs w:val="18"/>
              </w:rPr>
              <w:t>+</w:t>
            </w:r>
          </w:p>
        </w:tc>
      </w:tr>
      <w:tr w:rsidR="003122F4" w:rsidRPr="00545EC0" w14:paraId="2E4DCC2E" w14:textId="77777777" w:rsidTr="00AC702B">
        <w:trPr>
          <w:trHeight w:val="255"/>
        </w:trPr>
        <w:tc>
          <w:tcPr>
            <w:tcW w:w="961" w:type="pct"/>
            <w:shd w:val="clear" w:color="auto" w:fill="auto"/>
            <w:vAlign w:val="bottom"/>
          </w:tcPr>
          <w:p w14:paraId="5AF2F70B" w14:textId="77777777" w:rsidR="004674DD" w:rsidRPr="00545EC0" w:rsidRDefault="004674DD" w:rsidP="00AD4FE7">
            <w:pPr>
              <w:rPr>
                <w:rFonts w:cs="Arial"/>
                <w:bCs/>
                <w:sz w:val="18"/>
                <w:szCs w:val="18"/>
              </w:rPr>
            </w:pPr>
            <w:r w:rsidRPr="00545EC0">
              <w:rPr>
                <w:rFonts w:cs="Arial"/>
                <w:bCs/>
                <w:sz w:val="18"/>
                <w:szCs w:val="18"/>
              </w:rPr>
              <w:t>androga</w:t>
            </w:r>
          </w:p>
        </w:tc>
        <w:tc>
          <w:tcPr>
            <w:tcW w:w="2309" w:type="pct"/>
            <w:shd w:val="clear" w:color="auto" w:fill="FFFFFF" w:themeFill="background1"/>
          </w:tcPr>
          <w:p w14:paraId="35FC506A" w14:textId="77777777" w:rsidR="004674DD" w:rsidRPr="00545EC0" w:rsidRDefault="004674DD" w:rsidP="00AD4FE7">
            <w:pPr>
              <w:rPr>
                <w:rFonts w:cs="Arial"/>
                <w:i/>
                <w:iCs/>
                <w:sz w:val="18"/>
                <w:szCs w:val="18"/>
              </w:rPr>
            </w:pPr>
            <w:r w:rsidRPr="00545EC0">
              <w:rPr>
                <w:rFonts w:cs="Arial"/>
                <w:i/>
                <w:iCs/>
                <w:sz w:val="18"/>
                <w:szCs w:val="18"/>
              </w:rPr>
              <w:t>Blicca bjoerkna (Linnaeus, 1785)</w:t>
            </w:r>
          </w:p>
        </w:tc>
        <w:tc>
          <w:tcPr>
            <w:tcW w:w="1000" w:type="pct"/>
          </w:tcPr>
          <w:p w14:paraId="2BA5D02B" w14:textId="77777777" w:rsidR="004674DD" w:rsidRPr="00545EC0" w:rsidRDefault="004674DD" w:rsidP="00AD4FE7">
            <w:pPr>
              <w:jc w:val="center"/>
              <w:rPr>
                <w:rFonts w:cs="Arial"/>
                <w:i/>
                <w:sz w:val="18"/>
                <w:szCs w:val="18"/>
              </w:rPr>
            </w:pPr>
          </w:p>
        </w:tc>
        <w:tc>
          <w:tcPr>
            <w:tcW w:w="730" w:type="pct"/>
          </w:tcPr>
          <w:p w14:paraId="132FDD69" w14:textId="77777777" w:rsidR="004674DD" w:rsidRPr="00545EC0" w:rsidRDefault="004674DD" w:rsidP="00AD4FE7">
            <w:pPr>
              <w:jc w:val="center"/>
              <w:rPr>
                <w:rFonts w:cs="Arial"/>
                <w:sz w:val="18"/>
                <w:szCs w:val="18"/>
              </w:rPr>
            </w:pPr>
          </w:p>
        </w:tc>
      </w:tr>
      <w:tr w:rsidR="003122F4" w:rsidRPr="00545EC0" w14:paraId="7A38DAC8" w14:textId="77777777" w:rsidTr="00AC702B">
        <w:trPr>
          <w:trHeight w:val="255"/>
        </w:trPr>
        <w:tc>
          <w:tcPr>
            <w:tcW w:w="961" w:type="pct"/>
            <w:shd w:val="clear" w:color="auto" w:fill="auto"/>
            <w:vAlign w:val="bottom"/>
          </w:tcPr>
          <w:p w14:paraId="799EBBAD" w14:textId="77777777" w:rsidR="004674DD" w:rsidRPr="00545EC0" w:rsidRDefault="004674DD" w:rsidP="00AD4FE7">
            <w:pPr>
              <w:rPr>
                <w:rFonts w:cs="Arial"/>
                <w:bCs/>
                <w:sz w:val="18"/>
                <w:szCs w:val="18"/>
              </w:rPr>
            </w:pPr>
            <w:r w:rsidRPr="00545EC0">
              <w:rPr>
                <w:rFonts w:cs="Arial"/>
                <w:b/>
                <w:i/>
                <w:sz w:val="18"/>
                <w:szCs w:val="18"/>
              </w:rPr>
              <w:t>Percidae</w:t>
            </w:r>
          </w:p>
        </w:tc>
        <w:tc>
          <w:tcPr>
            <w:tcW w:w="2309" w:type="pct"/>
            <w:shd w:val="clear" w:color="auto" w:fill="auto"/>
          </w:tcPr>
          <w:p w14:paraId="5992DA2D" w14:textId="77777777" w:rsidR="004674DD" w:rsidRPr="00545EC0" w:rsidRDefault="004674DD" w:rsidP="00AD4FE7">
            <w:pPr>
              <w:rPr>
                <w:rFonts w:cs="Arial"/>
                <w:i/>
                <w:iCs/>
                <w:sz w:val="18"/>
                <w:szCs w:val="18"/>
              </w:rPr>
            </w:pPr>
          </w:p>
        </w:tc>
        <w:tc>
          <w:tcPr>
            <w:tcW w:w="1000" w:type="pct"/>
          </w:tcPr>
          <w:p w14:paraId="71C8D3A0" w14:textId="77777777" w:rsidR="004674DD" w:rsidRPr="00545EC0" w:rsidRDefault="004674DD" w:rsidP="00AD4FE7">
            <w:pPr>
              <w:jc w:val="center"/>
              <w:rPr>
                <w:rFonts w:cs="Arial"/>
                <w:i/>
                <w:sz w:val="18"/>
                <w:szCs w:val="18"/>
              </w:rPr>
            </w:pPr>
          </w:p>
        </w:tc>
        <w:tc>
          <w:tcPr>
            <w:tcW w:w="730" w:type="pct"/>
          </w:tcPr>
          <w:p w14:paraId="406B94D1" w14:textId="77777777" w:rsidR="004674DD" w:rsidRPr="00545EC0" w:rsidRDefault="004674DD" w:rsidP="00AD4FE7">
            <w:pPr>
              <w:jc w:val="center"/>
              <w:rPr>
                <w:rFonts w:cs="Arial"/>
                <w:sz w:val="18"/>
                <w:szCs w:val="18"/>
              </w:rPr>
            </w:pPr>
          </w:p>
        </w:tc>
      </w:tr>
      <w:tr w:rsidR="003122F4" w:rsidRPr="00545EC0" w14:paraId="4DCDF96A" w14:textId="77777777" w:rsidTr="00AC702B">
        <w:trPr>
          <w:trHeight w:val="255"/>
        </w:trPr>
        <w:tc>
          <w:tcPr>
            <w:tcW w:w="961" w:type="pct"/>
            <w:shd w:val="clear" w:color="auto" w:fill="auto"/>
            <w:vAlign w:val="center"/>
          </w:tcPr>
          <w:p w14:paraId="722E2815" w14:textId="77777777" w:rsidR="004674DD" w:rsidRPr="00545EC0" w:rsidRDefault="004674DD" w:rsidP="00AD4FE7">
            <w:pPr>
              <w:rPr>
                <w:rFonts w:cs="Arial"/>
                <w:b/>
                <w:i/>
                <w:sz w:val="18"/>
                <w:szCs w:val="18"/>
              </w:rPr>
            </w:pPr>
            <w:r w:rsidRPr="00545EC0">
              <w:rPr>
                <w:rFonts w:cs="Arial"/>
                <w:sz w:val="18"/>
                <w:szCs w:val="18"/>
              </w:rPr>
              <w:t>smuč</w:t>
            </w:r>
          </w:p>
        </w:tc>
        <w:tc>
          <w:tcPr>
            <w:tcW w:w="2309" w:type="pct"/>
            <w:shd w:val="clear" w:color="auto" w:fill="auto"/>
            <w:vAlign w:val="center"/>
          </w:tcPr>
          <w:p w14:paraId="6FC4B060" w14:textId="77777777" w:rsidR="004674DD" w:rsidRPr="00545EC0" w:rsidRDefault="004674DD" w:rsidP="00AD4FE7">
            <w:pPr>
              <w:rPr>
                <w:rFonts w:cs="Arial"/>
                <w:i/>
                <w:iCs/>
                <w:sz w:val="18"/>
                <w:szCs w:val="18"/>
              </w:rPr>
            </w:pPr>
            <w:r w:rsidRPr="00545EC0">
              <w:rPr>
                <w:rFonts w:cs="Arial"/>
                <w:i/>
                <w:iCs/>
                <w:sz w:val="18"/>
                <w:szCs w:val="18"/>
              </w:rPr>
              <w:t xml:space="preserve">Sander lucioperca </w:t>
            </w:r>
            <w:r w:rsidRPr="00545EC0">
              <w:rPr>
                <w:rFonts w:cs="Arial"/>
                <w:iCs/>
                <w:sz w:val="18"/>
                <w:szCs w:val="18"/>
              </w:rPr>
              <w:t>(Linnaeus, 1758) *</w:t>
            </w:r>
          </w:p>
        </w:tc>
        <w:tc>
          <w:tcPr>
            <w:tcW w:w="1000" w:type="pct"/>
            <w:vAlign w:val="center"/>
          </w:tcPr>
          <w:p w14:paraId="67AF51BA" w14:textId="77777777" w:rsidR="004674DD" w:rsidRPr="00545EC0" w:rsidRDefault="004674DD" w:rsidP="00AD4FE7">
            <w:pPr>
              <w:jc w:val="center"/>
              <w:rPr>
                <w:rFonts w:cs="Arial"/>
                <w:i/>
                <w:sz w:val="18"/>
                <w:szCs w:val="18"/>
              </w:rPr>
            </w:pPr>
          </w:p>
        </w:tc>
        <w:tc>
          <w:tcPr>
            <w:tcW w:w="730" w:type="pct"/>
            <w:vAlign w:val="center"/>
          </w:tcPr>
          <w:p w14:paraId="4BDF3A57" w14:textId="77777777" w:rsidR="004674DD" w:rsidRPr="00545EC0" w:rsidRDefault="004674DD" w:rsidP="00AD4FE7">
            <w:pPr>
              <w:jc w:val="center"/>
              <w:rPr>
                <w:rFonts w:cs="Arial"/>
                <w:sz w:val="18"/>
                <w:szCs w:val="18"/>
              </w:rPr>
            </w:pPr>
          </w:p>
        </w:tc>
      </w:tr>
      <w:tr w:rsidR="003122F4" w:rsidRPr="00545EC0" w14:paraId="67EFC195" w14:textId="77777777" w:rsidTr="00AC702B">
        <w:trPr>
          <w:trHeight w:val="255"/>
        </w:trPr>
        <w:tc>
          <w:tcPr>
            <w:tcW w:w="961" w:type="pct"/>
            <w:shd w:val="clear" w:color="auto" w:fill="FFFFFF" w:themeFill="background1"/>
            <w:vAlign w:val="center"/>
          </w:tcPr>
          <w:p w14:paraId="71E6413B" w14:textId="77777777" w:rsidR="004674DD" w:rsidRPr="00545EC0" w:rsidRDefault="004674DD" w:rsidP="00AD4FE7">
            <w:pPr>
              <w:rPr>
                <w:rFonts w:cs="Arial"/>
                <w:b/>
                <w:i/>
                <w:sz w:val="18"/>
                <w:szCs w:val="18"/>
              </w:rPr>
            </w:pPr>
            <w:r w:rsidRPr="00545EC0">
              <w:rPr>
                <w:rFonts w:cs="Arial"/>
                <w:b/>
                <w:i/>
                <w:sz w:val="18"/>
                <w:szCs w:val="18"/>
              </w:rPr>
              <w:t>Siluridae</w:t>
            </w:r>
          </w:p>
        </w:tc>
        <w:tc>
          <w:tcPr>
            <w:tcW w:w="2309" w:type="pct"/>
            <w:shd w:val="clear" w:color="auto" w:fill="auto"/>
            <w:vAlign w:val="center"/>
          </w:tcPr>
          <w:p w14:paraId="29615997" w14:textId="77777777" w:rsidR="004674DD" w:rsidRPr="00545EC0" w:rsidRDefault="004674DD" w:rsidP="00AD4FE7">
            <w:pPr>
              <w:rPr>
                <w:rFonts w:cs="Arial"/>
                <w:i/>
                <w:iCs/>
                <w:sz w:val="18"/>
                <w:szCs w:val="18"/>
              </w:rPr>
            </w:pPr>
          </w:p>
        </w:tc>
        <w:tc>
          <w:tcPr>
            <w:tcW w:w="1000" w:type="pct"/>
            <w:vAlign w:val="center"/>
          </w:tcPr>
          <w:p w14:paraId="16B6B193" w14:textId="77777777" w:rsidR="004674DD" w:rsidRPr="00545EC0" w:rsidRDefault="004674DD" w:rsidP="00AD4FE7">
            <w:pPr>
              <w:jc w:val="center"/>
              <w:rPr>
                <w:rFonts w:cs="Arial"/>
                <w:i/>
                <w:sz w:val="18"/>
                <w:szCs w:val="18"/>
              </w:rPr>
            </w:pPr>
          </w:p>
        </w:tc>
        <w:tc>
          <w:tcPr>
            <w:tcW w:w="730" w:type="pct"/>
            <w:vAlign w:val="center"/>
          </w:tcPr>
          <w:p w14:paraId="79C72552" w14:textId="77777777" w:rsidR="004674DD" w:rsidRPr="00545EC0" w:rsidRDefault="004674DD" w:rsidP="00AD4FE7">
            <w:pPr>
              <w:jc w:val="center"/>
              <w:rPr>
                <w:rFonts w:cs="Arial"/>
                <w:sz w:val="18"/>
                <w:szCs w:val="18"/>
              </w:rPr>
            </w:pPr>
          </w:p>
        </w:tc>
      </w:tr>
      <w:tr w:rsidR="003122F4" w:rsidRPr="00545EC0" w14:paraId="240A714A" w14:textId="77777777" w:rsidTr="00AC702B">
        <w:trPr>
          <w:trHeight w:val="255"/>
        </w:trPr>
        <w:tc>
          <w:tcPr>
            <w:tcW w:w="961" w:type="pct"/>
            <w:shd w:val="clear" w:color="auto" w:fill="auto"/>
            <w:vAlign w:val="center"/>
          </w:tcPr>
          <w:p w14:paraId="73E268A3" w14:textId="77777777" w:rsidR="004674DD" w:rsidRPr="00545EC0" w:rsidRDefault="004674DD" w:rsidP="00AD4FE7">
            <w:pPr>
              <w:rPr>
                <w:rFonts w:cs="Arial"/>
                <w:sz w:val="18"/>
                <w:szCs w:val="18"/>
              </w:rPr>
            </w:pPr>
            <w:r w:rsidRPr="00545EC0">
              <w:rPr>
                <w:rFonts w:cs="Arial"/>
                <w:sz w:val="18"/>
                <w:szCs w:val="18"/>
              </w:rPr>
              <w:t>som</w:t>
            </w:r>
          </w:p>
        </w:tc>
        <w:tc>
          <w:tcPr>
            <w:tcW w:w="2309" w:type="pct"/>
            <w:shd w:val="clear" w:color="auto" w:fill="auto"/>
            <w:vAlign w:val="center"/>
          </w:tcPr>
          <w:p w14:paraId="4FD52A8D" w14:textId="77777777" w:rsidR="004674DD" w:rsidRPr="00545EC0" w:rsidRDefault="004674DD" w:rsidP="00AD4FE7">
            <w:pPr>
              <w:rPr>
                <w:rFonts w:cs="Arial"/>
                <w:i/>
                <w:iCs/>
                <w:sz w:val="18"/>
                <w:szCs w:val="18"/>
              </w:rPr>
            </w:pPr>
            <w:r w:rsidRPr="00545EC0">
              <w:rPr>
                <w:rFonts w:cs="Arial"/>
                <w:i/>
                <w:iCs/>
                <w:sz w:val="18"/>
                <w:szCs w:val="18"/>
              </w:rPr>
              <w:t xml:space="preserve">Silurus glanis </w:t>
            </w:r>
            <w:r w:rsidRPr="00545EC0">
              <w:rPr>
                <w:rFonts w:cs="Arial"/>
                <w:iCs/>
                <w:sz w:val="18"/>
                <w:szCs w:val="18"/>
              </w:rPr>
              <w:t>(</w:t>
            </w:r>
            <w:r w:rsidRPr="00545EC0">
              <w:rPr>
                <w:rFonts w:cs="Arial"/>
                <w:sz w:val="18"/>
                <w:szCs w:val="18"/>
              </w:rPr>
              <w:t>Linnaeus, 1758) *</w:t>
            </w:r>
          </w:p>
        </w:tc>
        <w:tc>
          <w:tcPr>
            <w:tcW w:w="1000" w:type="pct"/>
            <w:vAlign w:val="center"/>
          </w:tcPr>
          <w:p w14:paraId="3FCE4E4C" w14:textId="77777777" w:rsidR="004674DD" w:rsidRPr="00545EC0" w:rsidRDefault="004674DD" w:rsidP="00AD4FE7">
            <w:pPr>
              <w:jc w:val="center"/>
              <w:rPr>
                <w:rFonts w:cs="Arial"/>
                <w:i/>
                <w:sz w:val="18"/>
                <w:szCs w:val="18"/>
              </w:rPr>
            </w:pPr>
          </w:p>
        </w:tc>
        <w:tc>
          <w:tcPr>
            <w:tcW w:w="730" w:type="pct"/>
            <w:vAlign w:val="center"/>
          </w:tcPr>
          <w:p w14:paraId="689E82BD" w14:textId="77777777" w:rsidR="004674DD" w:rsidRPr="00545EC0" w:rsidRDefault="004674DD" w:rsidP="00AD4FE7">
            <w:pPr>
              <w:jc w:val="center"/>
              <w:rPr>
                <w:rFonts w:cs="Arial"/>
                <w:sz w:val="18"/>
                <w:szCs w:val="18"/>
              </w:rPr>
            </w:pPr>
          </w:p>
        </w:tc>
      </w:tr>
      <w:tr w:rsidR="003122F4" w:rsidRPr="00545EC0" w14:paraId="42C87C09" w14:textId="77777777" w:rsidTr="00AC702B">
        <w:trPr>
          <w:trHeight w:val="344"/>
        </w:trPr>
        <w:tc>
          <w:tcPr>
            <w:tcW w:w="961" w:type="pct"/>
            <w:shd w:val="clear" w:color="auto" w:fill="F2F2F2" w:themeFill="background1" w:themeFillShade="F2"/>
            <w:vAlign w:val="center"/>
          </w:tcPr>
          <w:p w14:paraId="3FA8FB8D" w14:textId="77777777" w:rsidR="004674DD" w:rsidRPr="00545EC0" w:rsidRDefault="004674DD" w:rsidP="00AD4FE7">
            <w:pPr>
              <w:rPr>
                <w:rFonts w:cs="Arial"/>
                <w:b/>
                <w:i/>
                <w:sz w:val="18"/>
                <w:szCs w:val="18"/>
              </w:rPr>
            </w:pPr>
            <w:r w:rsidRPr="00545EC0">
              <w:rPr>
                <w:rFonts w:cs="Arial"/>
                <w:b/>
                <w:i/>
                <w:sz w:val="18"/>
                <w:szCs w:val="18"/>
              </w:rPr>
              <w:t>Ictaluridae</w:t>
            </w:r>
          </w:p>
        </w:tc>
        <w:tc>
          <w:tcPr>
            <w:tcW w:w="2309" w:type="pct"/>
            <w:shd w:val="clear" w:color="auto" w:fill="F2F2F2" w:themeFill="background1" w:themeFillShade="F2"/>
            <w:vAlign w:val="center"/>
          </w:tcPr>
          <w:p w14:paraId="50C717A1" w14:textId="77777777" w:rsidR="004674DD" w:rsidRPr="00545EC0" w:rsidRDefault="004674DD" w:rsidP="00AD4FE7">
            <w:pPr>
              <w:rPr>
                <w:rFonts w:cs="Arial"/>
                <w:i/>
                <w:sz w:val="18"/>
                <w:szCs w:val="18"/>
              </w:rPr>
            </w:pPr>
          </w:p>
        </w:tc>
        <w:tc>
          <w:tcPr>
            <w:tcW w:w="1000" w:type="pct"/>
            <w:shd w:val="clear" w:color="auto" w:fill="F2F2F2" w:themeFill="background1" w:themeFillShade="F2"/>
            <w:vAlign w:val="center"/>
          </w:tcPr>
          <w:p w14:paraId="00E2594D" w14:textId="77777777" w:rsidR="004674DD" w:rsidRPr="00545EC0" w:rsidRDefault="004674DD" w:rsidP="00AD4FE7">
            <w:pPr>
              <w:jc w:val="center"/>
              <w:rPr>
                <w:rFonts w:cs="Arial"/>
                <w:i/>
                <w:sz w:val="18"/>
                <w:szCs w:val="18"/>
              </w:rPr>
            </w:pPr>
          </w:p>
        </w:tc>
        <w:tc>
          <w:tcPr>
            <w:tcW w:w="730" w:type="pct"/>
            <w:shd w:val="clear" w:color="auto" w:fill="F2F2F2" w:themeFill="background1" w:themeFillShade="F2"/>
            <w:vAlign w:val="center"/>
          </w:tcPr>
          <w:p w14:paraId="0688A256" w14:textId="77777777" w:rsidR="004674DD" w:rsidRPr="00545EC0" w:rsidRDefault="004674DD" w:rsidP="00AD4FE7">
            <w:pPr>
              <w:jc w:val="center"/>
              <w:rPr>
                <w:rFonts w:cs="Arial"/>
                <w:i/>
                <w:sz w:val="18"/>
                <w:szCs w:val="18"/>
              </w:rPr>
            </w:pPr>
          </w:p>
        </w:tc>
      </w:tr>
      <w:tr w:rsidR="003122F4" w:rsidRPr="00545EC0" w14:paraId="282F1156" w14:textId="77777777" w:rsidTr="00AC702B">
        <w:trPr>
          <w:trHeight w:val="255"/>
        </w:trPr>
        <w:tc>
          <w:tcPr>
            <w:tcW w:w="961" w:type="pct"/>
            <w:shd w:val="clear" w:color="auto" w:fill="auto"/>
            <w:vAlign w:val="center"/>
          </w:tcPr>
          <w:p w14:paraId="204B2C7E" w14:textId="77777777" w:rsidR="004674DD" w:rsidRPr="00545EC0" w:rsidRDefault="004674DD" w:rsidP="00AD4FE7">
            <w:pPr>
              <w:rPr>
                <w:rFonts w:cs="Arial"/>
                <w:sz w:val="18"/>
                <w:szCs w:val="18"/>
              </w:rPr>
            </w:pPr>
            <w:r w:rsidRPr="00545EC0">
              <w:rPr>
                <w:rFonts w:cs="Arial"/>
                <w:sz w:val="18"/>
                <w:szCs w:val="18"/>
              </w:rPr>
              <w:lastRenderedPageBreak/>
              <w:t>rjavi ameriški somič</w:t>
            </w:r>
          </w:p>
        </w:tc>
        <w:tc>
          <w:tcPr>
            <w:tcW w:w="2309" w:type="pct"/>
            <w:shd w:val="clear" w:color="auto" w:fill="auto"/>
            <w:vAlign w:val="center"/>
          </w:tcPr>
          <w:p w14:paraId="7EF69704" w14:textId="77777777" w:rsidR="004674DD" w:rsidRPr="00545EC0" w:rsidRDefault="004674DD" w:rsidP="00AD4FE7">
            <w:pPr>
              <w:rPr>
                <w:rFonts w:cs="Arial"/>
                <w:i/>
                <w:sz w:val="18"/>
                <w:szCs w:val="18"/>
              </w:rPr>
            </w:pPr>
            <w:r w:rsidRPr="00545EC0">
              <w:rPr>
                <w:rFonts w:cs="Arial"/>
                <w:i/>
                <w:sz w:val="18"/>
                <w:szCs w:val="18"/>
              </w:rPr>
              <w:t xml:space="preserve">Ameiurus nebulosus </w:t>
            </w:r>
            <w:r w:rsidRPr="00545EC0">
              <w:rPr>
                <w:rFonts w:cs="Arial"/>
                <w:sz w:val="18"/>
                <w:szCs w:val="18"/>
              </w:rPr>
              <w:t>(Lesueur, 1819) *</w:t>
            </w:r>
          </w:p>
        </w:tc>
        <w:tc>
          <w:tcPr>
            <w:tcW w:w="1000" w:type="pct"/>
            <w:shd w:val="clear" w:color="auto" w:fill="auto"/>
            <w:vAlign w:val="center"/>
          </w:tcPr>
          <w:p w14:paraId="550C6BF6" w14:textId="77777777" w:rsidR="004674DD" w:rsidRPr="00545EC0" w:rsidRDefault="004674DD" w:rsidP="00AD4FE7">
            <w:pPr>
              <w:jc w:val="center"/>
              <w:rPr>
                <w:rFonts w:cs="Arial"/>
                <w:i/>
                <w:sz w:val="18"/>
                <w:szCs w:val="18"/>
              </w:rPr>
            </w:pPr>
            <w:r w:rsidRPr="00545EC0">
              <w:rPr>
                <w:rFonts w:cs="Arial"/>
                <w:i/>
                <w:sz w:val="18"/>
                <w:szCs w:val="18"/>
              </w:rPr>
              <w:t>+</w:t>
            </w:r>
          </w:p>
        </w:tc>
        <w:tc>
          <w:tcPr>
            <w:tcW w:w="730" w:type="pct"/>
            <w:shd w:val="clear" w:color="auto" w:fill="auto"/>
            <w:vAlign w:val="center"/>
          </w:tcPr>
          <w:p w14:paraId="5896B1C7" w14:textId="77777777" w:rsidR="004674DD" w:rsidRPr="00545EC0" w:rsidRDefault="004674DD" w:rsidP="00AD4FE7">
            <w:pPr>
              <w:jc w:val="center"/>
              <w:rPr>
                <w:rFonts w:cs="Arial"/>
                <w:i/>
                <w:sz w:val="18"/>
                <w:szCs w:val="18"/>
              </w:rPr>
            </w:pPr>
            <w:r w:rsidRPr="00545EC0">
              <w:rPr>
                <w:rFonts w:cs="Arial"/>
                <w:i/>
                <w:sz w:val="18"/>
                <w:szCs w:val="18"/>
              </w:rPr>
              <w:t>+</w:t>
            </w:r>
          </w:p>
        </w:tc>
      </w:tr>
      <w:tr w:rsidR="003122F4" w:rsidRPr="00545EC0" w14:paraId="5FEFFC43" w14:textId="77777777" w:rsidTr="00AC702B">
        <w:trPr>
          <w:trHeight w:val="255"/>
        </w:trPr>
        <w:tc>
          <w:tcPr>
            <w:tcW w:w="961" w:type="pct"/>
            <w:shd w:val="clear" w:color="auto" w:fill="auto"/>
            <w:vAlign w:val="center"/>
          </w:tcPr>
          <w:p w14:paraId="30B8D541" w14:textId="77777777" w:rsidR="004674DD" w:rsidRPr="00545EC0" w:rsidRDefault="004674DD" w:rsidP="00AD4FE7">
            <w:pPr>
              <w:rPr>
                <w:rFonts w:cs="Arial"/>
                <w:sz w:val="18"/>
                <w:szCs w:val="18"/>
              </w:rPr>
            </w:pPr>
            <w:r w:rsidRPr="00545EC0">
              <w:rPr>
                <w:rFonts w:cs="Arial"/>
                <w:sz w:val="18"/>
                <w:szCs w:val="18"/>
              </w:rPr>
              <w:t>črni ameriški somič</w:t>
            </w:r>
          </w:p>
        </w:tc>
        <w:tc>
          <w:tcPr>
            <w:tcW w:w="2309" w:type="pct"/>
            <w:shd w:val="clear" w:color="auto" w:fill="auto"/>
            <w:vAlign w:val="center"/>
          </w:tcPr>
          <w:p w14:paraId="3DD9DD41" w14:textId="77777777" w:rsidR="004674DD" w:rsidRPr="00545EC0" w:rsidRDefault="004674DD" w:rsidP="00AD4FE7">
            <w:pPr>
              <w:rPr>
                <w:rFonts w:cs="Arial"/>
                <w:i/>
                <w:sz w:val="18"/>
                <w:szCs w:val="18"/>
              </w:rPr>
            </w:pPr>
            <w:r w:rsidRPr="00545EC0">
              <w:rPr>
                <w:rFonts w:cs="Arial"/>
                <w:i/>
                <w:sz w:val="18"/>
                <w:szCs w:val="18"/>
              </w:rPr>
              <w:t xml:space="preserve">Ameiurus melas </w:t>
            </w:r>
            <w:r w:rsidRPr="00545EC0">
              <w:rPr>
                <w:rFonts w:cs="Arial"/>
                <w:sz w:val="18"/>
                <w:szCs w:val="18"/>
              </w:rPr>
              <w:t>(Rafinesque, 1820) *</w:t>
            </w:r>
          </w:p>
        </w:tc>
        <w:tc>
          <w:tcPr>
            <w:tcW w:w="1000" w:type="pct"/>
            <w:shd w:val="clear" w:color="auto" w:fill="auto"/>
            <w:vAlign w:val="center"/>
          </w:tcPr>
          <w:p w14:paraId="6A09DAC1" w14:textId="77777777" w:rsidR="004674DD" w:rsidRPr="00545EC0" w:rsidRDefault="004674DD" w:rsidP="00AD4FE7">
            <w:pPr>
              <w:jc w:val="center"/>
              <w:rPr>
                <w:rFonts w:cs="Arial"/>
                <w:i/>
                <w:sz w:val="18"/>
                <w:szCs w:val="18"/>
              </w:rPr>
            </w:pPr>
            <w:r w:rsidRPr="00545EC0">
              <w:rPr>
                <w:rFonts w:cs="Arial"/>
                <w:i/>
                <w:sz w:val="18"/>
                <w:szCs w:val="18"/>
              </w:rPr>
              <w:t>+</w:t>
            </w:r>
          </w:p>
        </w:tc>
        <w:tc>
          <w:tcPr>
            <w:tcW w:w="730" w:type="pct"/>
            <w:shd w:val="clear" w:color="auto" w:fill="auto"/>
            <w:vAlign w:val="center"/>
          </w:tcPr>
          <w:p w14:paraId="171A1DA5" w14:textId="77777777" w:rsidR="004674DD" w:rsidRPr="00545EC0" w:rsidRDefault="004674DD" w:rsidP="00AD4FE7">
            <w:pPr>
              <w:jc w:val="center"/>
              <w:rPr>
                <w:rFonts w:cs="Arial"/>
                <w:i/>
                <w:sz w:val="18"/>
                <w:szCs w:val="18"/>
              </w:rPr>
            </w:pPr>
            <w:r w:rsidRPr="00545EC0">
              <w:rPr>
                <w:rFonts w:cs="Arial"/>
                <w:i/>
                <w:sz w:val="18"/>
                <w:szCs w:val="18"/>
              </w:rPr>
              <w:t>+</w:t>
            </w:r>
          </w:p>
        </w:tc>
      </w:tr>
      <w:tr w:rsidR="003122F4" w:rsidRPr="00545EC0" w14:paraId="1E5C0CC5" w14:textId="77777777" w:rsidTr="00AC702B">
        <w:trPr>
          <w:trHeight w:val="255"/>
        </w:trPr>
        <w:tc>
          <w:tcPr>
            <w:tcW w:w="961" w:type="pct"/>
            <w:shd w:val="clear" w:color="auto" w:fill="F2F2F2" w:themeFill="background1" w:themeFillShade="F2"/>
            <w:vAlign w:val="center"/>
          </w:tcPr>
          <w:p w14:paraId="14AD6E75" w14:textId="77777777" w:rsidR="004674DD" w:rsidRPr="00545EC0" w:rsidRDefault="004674DD" w:rsidP="00AD4FE7">
            <w:pPr>
              <w:rPr>
                <w:rFonts w:cs="Arial"/>
                <w:b/>
                <w:i/>
                <w:sz w:val="18"/>
                <w:szCs w:val="18"/>
              </w:rPr>
            </w:pPr>
            <w:r w:rsidRPr="00545EC0">
              <w:rPr>
                <w:rFonts w:cs="Arial"/>
                <w:b/>
                <w:i/>
                <w:sz w:val="18"/>
                <w:szCs w:val="18"/>
              </w:rPr>
              <w:t>Cichlidae</w:t>
            </w:r>
          </w:p>
        </w:tc>
        <w:tc>
          <w:tcPr>
            <w:tcW w:w="2309" w:type="pct"/>
            <w:shd w:val="clear" w:color="auto" w:fill="F2F2F2" w:themeFill="background1" w:themeFillShade="F2"/>
            <w:vAlign w:val="center"/>
          </w:tcPr>
          <w:p w14:paraId="5C73495B" w14:textId="77777777" w:rsidR="004674DD" w:rsidRPr="00545EC0" w:rsidRDefault="004674DD" w:rsidP="00AD4FE7">
            <w:pPr>
              <w:rPr>
                <w:rFonts w:cs="Arial"/>
                <w:i/>
                <w:sz w:val="18"/>
                <w:szCs w:val="18"/>
              </w:rPr>
            </w:pPr>
          </w:p>
        </w:tc>
        <w:tc>
          <w:tcPr>
            <w:tcW w:w="1000" w:type="pct"/>
            <w:shd w:val="clear" w:color="auto" w:fill="auto"/>
            <w:vAlign w:val="center"/>
          </w:tcPr>
          <w:p w14:paraId="4DD21381" w14:textId="77777777" w:rsidR="004674DD" w:rsidRPr="00545EC0" w:rsidRDefault="004674DD" w:rsidP="00AD4FE7">
            <w:pPr>
              <w:jc w:val="center"/>
              <w:rPr>
                <w:rFonts w:cs="Arial"/>
                <w:i/>
                <w:sz w:val="18"/>
                <w:szCs w:val="18"/>
              </w:rPr>
            </w:pPr>
          </w:p>
        </w:tc>
        <w:tc>
          <w:tcPr>
            <w:tcW w:w="730" w:type="pct"/>
            <w:shd w:val="clear" w:color="auto" w:fill="auto"/>
            <w:vAlign w:val="center"/>
          </w:tcPr>
          <w:p w14:paraId="0F4327D7" w14:textId="77777777" w:rsidR="004674DD" w:rsidRPr="00545EC0" w:rsidRDefault="004674DD" w:rsidP="00AD4FE7">
            <w:pPr>
              <w:jc w:val="center"/>
              <w:rPr>
                <w:rFonts w:cs="Arial"/>
                <w:i/>
                <w:sz w:val="18"/>
                <w:szCs w:val="18"/>
              </w:rPr>
            </w:pPr>
          </w:p>
        </w:tc>
      </w:tr>
      <w:tr w:rsidR="003122F4" w:rsidRPr="00545EC0" w14:paraId="3B26EC13" w14:textId="77777777" w:rsidTr="00AC702B">
        <w:trPr>
          <w:trHeight w:val="255"/>
        </w:trPr>
        <w:tc>
          <w:tcPr>
            <w:tcW w:w="961" w:type="pct"/>
            <w:shd w:val="clear" w:color="auto" w:fill="auto"/>
            <w:vAlign w:val="center"/>
          </w:tcPr>
          <w:p w14:paraId="4C6294BE" w14:textId="77777777" w:rsidR="004674DD" w:rsidRPr="00545EC0" w:rsidRDefault="004674DD" w:rsidP="00AD4FE7">
            <w:pPr>
              <w:rPr>
                <w:rFonts w:cs="Arial"/>
                <w:sz w:val="18"/>
                <w:szCs w:val="18"/>
              </w:rPr>
            </w:pPr>
            <w:r w:rsidRPr="00545EC0">
              <w:rPr>
                <w:rFonts w:cs="Arial"/>
                <w:sz w:val="18"/>
                <w:szCs w:val="18"/>
              </w:rPr>
              <w:t>nilska tilapia</w:t>
            </w:r>
          </w:p>
        </w:tc>
        <w:tc>
          <w:tcPr>
            <w:tcW w:w="2309" w:type="pct"/>
            <w:shd w:val="clear" w:color="auto" w:fill="auto"/>
            <w:vAlign w:val="center"/>
          </w:tcPr>
          <w:p w14:paraId="7CF1192F" w14:textId="77777777" w:rsidR="004674DD" w:rsidRPr="00545EC0" w:rsidRDefault="004674DD" w:rsidP="00AD4FE7">
            <w:pPr>
              <w:rPr>
                <w:rFonts w:cs="Arial"/>
                <w:i/>
                <w:sz w:val="18"/>
                <w:szCs w:val="18"/>
              </w:rPr>
            </w:pPr>
            <w:r w:rsidRPr="00545EC0">
              <w:rPr>
                <w:rFonts w:cs="Arial"/>
                <w:i/>
                <w:sz w:val="18"/>
                <w:szCs w:val="18"/>
              </w:rPr>
              <w:t xml:space="preserve">Oreochromis niloticus </w:t>
            </w:r>
            <w:r w:rsidRPr="00545EC0">
              <w:rPr>
                <w:rFonts w:cs="Arial"/>
                <w:sz w:val="18"/>
                <w:szCs w:val="18"/>
              </w:rPr>
              <w:t>(Linnaeus, 1758)</w:t>
            </w:r>
          </w:p>
        </w:tc>
        <w:tc>
          <w:tcPr>
            <w:tcW w:w="1000" w:type="pct"/>
            <w:shd w:val="clear" w:color="auto" w:fill="auto"/>
            <w:vAlign w:val="center"/>
          </w:tcPr>
          <w:p w14:paraId="486009F3" w14:textId="77777777" w:rsidR="004674DD" w:rsidRPr="00545EC0" w:rsidRDefault="004674DD" w:rsidP="00AD4FE7">
            <w:pPr>
              <w:jc w:val="center"/>
              <w:rPr>
                <w:rFonts w:cs="Arial"/>
                <w:i/>
                <w:sz w:val="18"/>
                <w:szCs w:val="18"/>
              </w:rPr>
            </w:pPr>
            <w:r w:rsidRPr="00545EC0">
              <w:rPr>
                <w:rFonts w:cs="Arial"/>
                <w:i/>
                <w:sz w:val="18"/>
                <w:szCs w:val="18"/>
              </w:rPr>
              <w:t>+</w:t>
            </w:r>
          </w:p>
        </w:tc>
        <w:tc>
          <w:tcPr>
            <w:tcW w:w="730" w:type="pct"/>
            <w:shd w:val="clear" w:color="auto" w:fill="auto"/>
            <w:vAlign w:val="center"/>
          </w:tcPr>
          <w:p w14:paraId="276A7C15" w14:textId="77777777" w:rsidR="004674DD" w:rsidRPr="00545EC0" w:rsidRDefault="004674DD" w:rsidP="00AD4FE7">
            <w:pPr>
              <w:jc w:val="center"/>
              <w:rPr>
                <w:rFonts w:cs="Arial"/>
                <w:i/>
                <w:sz w:val="18"/>
                <w:szCs w:val="18"/>
              </w:rPr>
            </w:pPr>
            <w:r w:rsidRPr="00545EC0">
              <w:rPr>
                <w:rFonts w:cs="Arial"/>
                <w:i/>
                <w:sz w:val="18"/>
                <w:szCs w:val="18"/>
              </w:rPr>
              <w:t>+</w:t>
            </w:r>
          </w:p>
        </w:tc>
      </w:tr>
      <w:tr w:rsidR="003122F4" w:rsidRPr="00545EC0" w14:paraId="111E314E" w14:textId="77777777" w:rsidTr="00AC702B">
        <w:trPr>
          <w:trHeight w:val="255"/>
        </w:trPr>
        <w:tc>
          <w:tcPr>
            <w:tcW w:w="961" w:type="pct"/>
            <w:shd w:val="clear" w:color="auto" w:fill="F2F2F2" w:themeFill="background1" w:themeFillShade="F2"/>
            <w:vAlign w:val="center"/>
          </w:tcPr>
          <w:p w14:paraId="5F3B6274" w14:textId="77777777" w:rsidR="004674DD" w:rsidRPr="00545EC0" w:rsidRDefault="004674DD" w:rsidP="00AD4FE7">
            <w:pPr>
              <w:rPr>
                <w:rFonts w:cs="Arial"/>
                <w:b/>
                <w:i/>
                <w:sz w:val="18"/>
                <w:szCs w:val="18"/>
              </w:rPr>
            </w:pPr>
            <w:r w:rsidRPr="00545EC0">
              <w:rPr>
                <w:rFonts w:cs="Arial"/>
                <w:b/>
                <w:i/>
                <w:sz w:val="18"/>
                <w:szCs w:val="18"/>
              </w:rPr>
              <w:t>Centrarchidae</w:t>
            </w:r>
          </w:p>
        </w:tc>
        <w:tc>
          <w:tcPr>
            <w:tcW w:w="2309" w:type="pct"/>
            <w:shd w:val="clear" w:color="auto" w:fill="F2F2F2" w:themeFill="background1" w:themeFillShade="F2"/>
            <w:vAlign w:val="center"/>
          </w:tcPr>
          <w:p w14:paraId="043CD5E9" w14:textId="77777777" w:rsidR="004674DD" w:rsidRPr="00545EC0" w:rsidRDefault="004674DD" w:rsidP="00AD4FE7">
            <w:pPr>
              <w:rPr>
                <w:rFonts w:cs="Arial"/>
                <w:i/>
                <w:sz w:val="18"/>
                <w:szCs w:val="18"/>
              </w:rPr>
            </w:pPr>
          </w:p>
        </w:tc>
        <w:tc>
          <w:tcPr>
            <w:tcW w:w="1000" w:type="pct"/>
            <w:shd w:val="clear" w:color="auto" w:fill="F2F2F2" w:themeFill="background1" w:themeFillShade="F2"/>
            <w:vAlign w:val="center"/>
          </w:tcPr>
          <w:p w14:paraId="2CE6EFFC" w14:textId="77777777" w:rsidR="004674DD" w:rsidRPr="00545EC0" w:rsidRDefault="004674DD" w:rsidP="00AD4FE7">
            <w:pPr>
              <w:jc w:val="center"/>
              <w:rPr>
                <w:rFonts w:cs="Arial"/>
                <w:i/>
                <w:sz w:val="18"/>
                <w:szCs w:val="18"/>
              </w:rPr>
            </w:pPr>
          </w:p>
        </w:tc>
        <w:tc>
          <w:tcPr>
            <w:tcW w:w="730" w:type="pct"/>
            <w:shd w:val="clear" w:color="auto" w:fill="F2F2F2" w:themeFill="background1" w:themeFillShade="F2"/>
            <w:vAlign w:val="center"/>
          </w:tcPr>
          <w:p w14:paraId="3291740F" w14:textId="77777777" w:rsidR="004674DD" w:rsidRPr="00545EC0" w:rsidRDefault="004674DD" w:rsidP="00AD4FE7">
            <w:pPr>
              <w:jc w:val="center"/>
              <w:rPr>
                <w:rFonts w:cs="Arial"/>
                <w:i/>
                <w:sz w:val="18"/>
                <w:szCs w:val="18"/>
              </w:rPr>
            </w:pPr>
          </w:p>
        </w:tc>
      </w:tr>
      <w:tr w:rsidR="003122F4" w:rsidRPr="00545EC0" w14:paraId="1DBF397C" w14:textId="77777777" w:rsidTr="00AC702B">
        <w:trPr>
          <w:trHeight w:val="255"/>
        </w:trPr>
        <w:tc>
          <w:tcPr>
            <w:tcW w:w="961" w:type="pct"/>
            <w:shd w:val="clear" w:color="auto" w:fill="auto"/>
            <w:vAlign w:val="center"/>
          </w:tcPr>
          <w:p w14:paraId="4E56263F" w14:textId="77777777" w:rsidR="004674DD" w:rsidRPr="00545EC0" w:rsidRDefault="004674DD" w:rsidP="00AD4FE7">
            <w:pPr>
              <w:rPr>
                <w:rFonts w:cs="Arial"/>
                <w:sz w:val="18"/>
                <w:szCs w:val="18"/>
              </w:rPr>
            </w:pPr>
            <w:r w:rsidRPr="00545EC0">
              <w:rPr>
                <w:rFonts w:cs="Arial"/>
                <w:sz w:val="18"/>
                <w:szCs w:val="18"/>
              </w:rPr>
              <w:t>postrvji ostriž</w:t>
            </w:r>
          </w:p>
        </w:tc>
        <w:tc>
          <w:tcPr>
            <w:tcW w:w="2309" w:type="pct"/>
            <w:shd w:val="clear" w:color="auto" w:fill="auto"/>
            <w:vAlign w:val="center"/>
          </w:tcPr>
          <w:p w14:paraId="5A061F78" w14:textId="77777777" w:rsidR="004674DD" w:rsidRPr="00545EC0" w:rsidRDefault="004674DD" w:rsidP="00AD4FE7">
            <w:pPr>
              <w:rPr>
                <w:rFonts w:cs="Arial"/>
                <w:i/>
                <w:sz w:val="18"/>
                <w:szCs w:val="18"/>
              </w:rPr>
            </w:pPr>
            <w:r w:rsidRPr="00545EC0">
              <w:rPr>
                <w:rFonts w:cs="Arial"/>
                <w:i/>
                <w:sz w:val="18"/>
                <w:szCs w:val="18"/>
              </w:rPr>
              <w:t xml:space="preserve">Micropterus salmoides </w:t>
            </w:r>
            <w:r w:rsidRPr="00545EC0">
              <w:rPr>
                <w:rFonts w:cs="Arial"/>
                <w:sz w:val="18"/>
                <w:szCs w:val="18"/>
              </w:rPr>
              <w:t>(La Cepede, 1802) *</w:t>
            </w:r>
          </w:p>
        </w:tc>
        <w:tc>
          <w:tcPr>
            <w:tcW w:w="1000" w:type="pct"/>
            <w:shd w:val="clear" w:color="auto" w:fill="auto"/>
            <w:vAlign w:val="center"/>
          </w:tcPr>
          <w:p w14:paraId="37F21D9B" w14:textId="77777777" w:rsidR="004674DD" w:rsidRPr="00545EC0" w:rsidRDefault="004674DD" w:rsidP="00AD4FE7">
            <w:pPr>
              <w:jc w:val="center"/>
              <w:rPr>
                <w:rFonts w:cs="Arial"/>
                <w:i/>
                <w:sz w:val="18"/>
                <w:szCs w:val="18"/>
              </w:rPr>
            </w:pPr>
            <w:r w:rsidRPr="00545EC0">
              <w:rPr>
                <w:rFonts w:cs="Arial"/>
                <w:i/>
                <w:sz w:val="18"/>
                <w:szCs w:val="18"/>
              </w:rPr>
              <w:t>+</w:t>
            </w:r>
          </w:p>
        </w:tc>
        <w:tc>
          <w:tcPr>
            <w:tcW w:w="730" w:type="pct"/>
            <w:shd w:val="clear" w:color="auto" w:fill="auto"/>
            <w:vAlign w:val="center"/>
          </w:tcPr>
          <w:p w14:paraId="5E668312" w14:textId="77777777" w:rsidR="004674DD" w:rsidRPr="00545EC0" w:rsidRDefault="004674DD" w:rsidP="00AD4FE7">
            <w:pPr>
              <w:jc w:val="center"/>
              <w:rPr>
                <w:rFonts w:cs="Arial"/>
                <w:i/>
                <w:sz w:val="18"/>
                <w:szCs w:val="18"/>
              </w:rPr>
            </w:pPr>
            <w:r w:rsidRPr="00545EC0">
              <w:rPr>
                <w:rFonts w:cs="Arial"/>
                <w:i/>
                <w:sz w:val="18"/>
                <w:szCs w:val="18"/>
              </w:rPr>
              <w:t>+</w:t>
            </w:r>
          </w:p>
        </w:tc>
      </w:tr>
      <w:tr w:rsidR="003122F4" w:rsidRPr="00545EC0" w14:paraId="60100B34" w14:textId="77777777" w:rsidTr="00AC702B">
        <w:trPr>
          <w:trHeight w:val="255"/>
        </w:trPr>
        <w:tc>
          <w:tcPr>
            <w:tcW w:w="961" w:type="pct"/>
            <w:shd w:val="clear" w:color="auto" w:fill="FFFFFF" w:themeFill="background1"/>
            <w:vAlign w:val="center"/>
          </w:tcPr>
          <w:p w14:paraId="4C0D0BC2" w14:textId="77777777" w:rsidR="004674DD" w:rsidRPr="00545EC0" w:rsidRDefault="004674DD" w:rsidP="00AD4FE7">
            <w:pPr>
              <w:rPr>
                <w:rFonts w:cs="Arial"/>
                <w:sz w:val="18"/>
                <w:szCs w:val="18"/>
              </w:rPr>
            </w:pPr>
            <w:r w:rsidRPr="00545EC0">
              <w:rPr>
                <w:rFonts w:cs="Arial"/>
                <w:sz w:val="18"/>
                <w:szCs w:val="18"/>
              </w:rPr>
              <w:t>sončni ostriž</w:t>
            </w:r>
          </w:p>
        </w:tc>
        <w:tc>
          <w:tcPr>
            <w:tcW w:w="2309" w:type="pct"/>
            <w:shd w:val="clear" w:color="auto" w:fill="auto"/>
            <w:vAlign w:val="center"/>
          </w:tcPr>
          <w:p w14:paraId="2B88F6C8" w14:textId="77777777" w:rsidR="004674DD" w:rsidRPr="00545EC0" w:rsidRDefault="004674DD" w:rsidP="00AD4FE7">
            <w:pPr>
              <w:rPr>
                <w:rFonts w:cs="Arial"/>
                <w:i/>
                <w:sz w:val="18"/>
                <w:szCs w:val="18"/>
              </w:rPr>
            </w:pPr>
            <w:r w:rsidRPr="00545EC0">
              <w:rPr>
                <w:rFonts w:cs="Arial"/>
                <w:i/>
                <w:sz w:val="18"/>
                <w:szCs w:val="18"/>
              </w:rPr>
              <w:t xml:space="preserve">Lepomis gibbosus </w:t>
            </w:r>
            <w:r w:rsidRPr="00545EC0">
              <w:rPr>
                <w:rFonts w:cs="Arial"/>
                <w:sz w:val="18"/>
                <w:szCs w:val="18"/>
              </w:rPr>
              <w:t>(Linnaeus, 1758) *</w:t>
            </w:r>
          </w:p>
        </w:tc>
        <w:tc>
          <w:tcPr>
            <w:tcW w:w="1000" w:type="pct"/>
            <w:shd w:val="clear" w:color="auto" w:fill="auto"/>
            <w:vAlign w:val="center"/>
          </w:tcPr>
          <w:p w14:paraId="40702050" w14:textId="77777777" w:rsidR="004674DD" w:rsidRPr="00545EC0" w:rsidRDefault="004674DD" w:rsidP="00AD4FE7">
            <w:pPr>
              <w:jc w:val="center"/>
              <w:rPr>
                <w:rFonts w:cs="Arial"/>
                <w:i/>
                <w:sz w:val="18"/>
                <w:szCs w:val="18"/>
              </w:rPr>
            </w:pPr>
            <w:r w:rsidRPr="00545EC0">
              <w:rPr>
                <w:rFonts w:cs="Arial"/>
                <w:i/>
                <w:sz w:val="18"/>
                <w:szCs w:val="18"/>
              </w:rPr>
              <w:t>+</w:t>
            </w:r>
          </w:p>
        </w:tc>
        <w:tc>
          <w:tcPr>
            <w:tcW w:w="730" w:type="pct"/>
            <w:shd w:val="clear" w:color="auto" w:fill="auto"/>
            <w:vAlign w:val="center"/>
          </w:tcPr>
          <w:p w14:paraId="289465BF" w14:textId="77777777" w:rsidR="004674DD" w:rsidRPr="00545EC0" w:rsidRDefault="004674DD" w:rsidP="00AD4FE7">
            <w:pPr>
              <w:jc w:val="center"/>
              <w:rPr>
                <w:rFonts w:cs="Arial"/>
                <w:i/>
                <w:sz w:val="18"/>
                <w:szCs w:val="18"/>
              </w:rPr>
            </w:pPr>
            <w:r w:rsidRPr="00545EC0">
              <w:rPr>
                <w:rFonts w:cs="Arial"/>
                <w:i/>
                <w:sz w:val="18"/>
                <w:szCs w:val="18"/>
              </w:rPr>
              <w:t>+</w:t>
            </w:r>
          </w:p>
        </w:tc>
      </w:tr>
      <w:tr w:rsidR="003122F4" w:rsidRPr="00545EC0" w14:paraId="03617170" w14:textId="77777777" w:rsidTr="00AC702B">
        <w:trPr>
          <w:trHeight w:val="255"/>
        </w:trPr>
        <w:tc>
          <w:tcPr>
            <w:tcW w:w="961" w:type="pct"/>
            <w:shd w:val="clear" w:color="auto" w:fill="F2F2F2" w:themeFill="background1" w:themeFillShade="F2"/>
            <w:vAlign w:val="center"/>
          </w:tcPr>
          <w:p w14:paraId="628ABA48" w14:textId="77777777" w:rsidR="004674DD" w:rsidRPr="00545EC0" w:rsidRDefault="004674DD" w:rsidP="00AD4FE7">
            <w:pPr>
              <w:rPr>
                <w:rFonts w:cs="Arial"/>
                <w:b/>
                <w:i/>
                <w:sz w:val="18"/>
                <w:szCs w:val="18"/>
              </w:rPr>
            </w:pPr>
            <w:r w:rsidRPr="00545EC0">
              <w:rPr>
                <w:rFonts w:cs="Arial"/>
                <w:b/>
                <w:i/>
                <w:sz w:val="18"/>
                <w:szCs w:val="18"/>
              </w:rPr>
              <w:t>Poecillidae</w:t>
            </w:r>
            <w:r w:rsidRPr="00545EC0" w:rsidDel="00732802">
              <w:rPr>
                <w:rFonts w:cs="Arial"/>
                <w:b/>
                <w:i/>
                <w:sz w:val="18"/>
                <w:szCs w:val="18"/>
              </w:rPr>
              <w:t xml:space="preserve"> </w:t>
            </w:r>
          </w:p>
        </w:tc>
        <w:tc>
          <w:tcPr>
            <w:tcW w:w="2309" w:type="pct"/>
            <w:shd w:val="clear" w:color="auto" w:fill="F2F2F2" w:themeFill="background1" w:themeFillShade="F2"/>
            <w:vAlign w:val="center"/>
          </w:tcPr>
          <w:p w14:paraId="7F1947AD" w14:textId="77777777" w:rsidR="004674DD" w:rsidRPr="00545EC0" w:rsidRDefault="004674DD" w:rsidP="00AD4FE7">
            <w:pPr>
              <w:rPr>
                <w:rFonts w:cs="Arial"/>
                <w:i/>
                <w:sz w:val="18"/>
                <w:szCs w:val="18"/>
              </w:rPr>
            </w:pPr>
          </w:p>
        </w:tc>
        <w:tc>
          <w:tcPr>
            <w:tcW w:w="1000" w:type="pct"/>
            <w:shd w:val="clear" w:color="auto" w:fill="auto"/>
            <w:vAlign w:val="center"/>
          </w:tcPr>
          <w:p w14:paraId="07DFAACB" w14:textId="77777777" w:rsidR="004674DD" w:rsidRPr="00545EC0" w:rsidRDefault="004674DD" w:rsidP="00AD4FE7">
            <w:pPr>
              <w:jc w:val="center"/>
              <w:rPr>
                <w:rFonts w:cs="Arial"/>
                <w:i/>
                <w:sz w:val="18"/>
                <w:szCs w:val="18"/>
              </w:rPr>
            </w:pPr>
          </w:p>
        </w:tc>
        <w:tc>
          <w:tcPr>
            <w:tcW w:w="730" w:type="pct"/>
            <w:shd w:val="clear" w:color="auto" w:fill="auto"/>
            <w:vAlign w:val="center"/>
          </w:tcPr>
          <w:p w14:paraId="2AA7D349" w14:textId="77777777" w:rsidR="004674DD" w:rsidRPr="00545EC0" w:rsidRDefault="004674DD" w:rsidP="00AD4FE7">
            <w:pPr>
              <w:jc w:val="center"/>
              <w:rPr>
                <w:rFonts w:cs="Arial"/>
                <w:i/>
                <w:sz w:val="18"/>
                <w:szCs w:val="18"/>
              </w:rPr>
            </w:pPr>
          </w:p>
        </w:tc>
      </w:tr>
      <w:tr w:rsidR="003122F4" w:rsidRPr="00545EC0" w14:paraId="3EBFBA15" w14:textId="77777777" w:rsidTr="00AC702B">
        <w:trPr>
          <w:trHeight w:val="255"/>
        </w:trPr>
        <w:tc>
          <w:tcPr>
            <w:tcW w:w="961" w:type="pct"/>
            <w:shd w:val="clear" w:color="auto" w:fill="FFFFFF" w:themeFill="background1"/>
            <w:vAlign w:val="center"/>
          </w:tcPr>
          <w:p w14:paraId="4C4987F7" w14:textId="77777777" w:rsidR="004674DD" w:rsidRPr="00545EC0" w:rsidRDefault="004674DD" w:rsidP="00AD4FE7">
            <w:pPr>
              <w:rPr>
                <w:rFonts w:cs="Arial"/>
                <w:sz w:val="18"/>
                <w:szCs w:val="18"/>
              </w:rPr>
            </w:pPr>
            <w:r w:rsidRPr="00545EC0">
              <w:rPr>
                <w:rFonts w:cs="Arial"/>
                <w:sz w:val="18"/>
                <w:szCs w:val="18"/>
              </w:rPr>
              <w:t>vzhodnoameriška gambuzija</w:t>
            </w:r>
          </w:p>
        </w:tc>
        <w:tc>
          <w:tcPr>
            <w:tcW w:w="2309" w:type="pct"/>
            <w:shd w:val="clear" w:color="auto" w:fill="auto"/>
            <w:vAlign w:val="center"/>
          </w:tcPr>
          <w:p w14:paraId="3BF1E400" w14:textId="77777777" w:rsidR="004674DD" w:rsidRPr="00545EC0" w:rsidRDefault="004674DD" w:rsidP="00AD4FE7">
            <w:pPr>
              <w:rPr>
                <w:rFonts w:cs="Arial"/>
                <w:i/>
                <w:sz w:val="18"/>
                <w:szCs w:val="18"/>
              </w:rPr>
            </w:pPr>
            <w:r w:rsidRPr="00545EC0">
              <w:rPr>
                <w:rFonts w:cs="Arial"/>
                <w:i/>
                <w:sz w:val="18"/>
                <w:szCs w:val="18"/>
              </w:rPr>
              <w:t>Gambusia holbrooki</w:t>
            </w:r>
            <w:r w:rsidRPr="00545EC0">
              <w:rPr>
                <w:rFonts w:cs="Arial"/>
                <w:sz w:val="18"/>
                <w:szCs w:val="18"/>
              </w:rPr>
              <w:t xml:space="preserve"> (Girard, 1859) *</w:t>
            </w:r>
          </w:p>
        </w:tc>
        <w:tc>
          <w:tcPr>
            <w:tcW w:w="1000" w:type="pct"/>
            <w:shd w:val="clear" w:color="auto" w:fill="auto"/>
            <w:vAlign w:val="center"/>
          </w:tcPr>
          <w:p w14:paraId="49C4A299" w14:textId="77777777" w:rsidR="004674DD" w:rsidRPr="00545EC0" w:rsidRDefault="004674DD" w:rsidP="00AD4FE7">
            <w:pPr>
              <w:jc w:val="center"/>
              <w:rPr>
                <w:rFonts w:cs="Arial"/>
                <w:i/>
                <w:sz w:val="18"/>
                <w:szCs w:val="18"/>
              </w:rPr>
            </w:pPr>
            <w:r w:rsidRPr="00545EC0">
              <w:rPr>
                <w:rFonts w:cs="Arial"/>
                <w:i/>
                <w:sz w:val="18"/>
                <w:szCs w:val="18"/>
              </w:rPr>
              <w:t>+</w:t>
            </w:r>
          </w:p>
        </w:tc>
        <w:tc>
          <w:tcPr>
            <w:tcW w:w="730" w:type="pct"/>
            <w:shd w:val="clear" w:color="auto" w:fill="auto"/>
            <w:vAlign w:val="center"/>
          </w:tcPr>
          <w:p w14:paraId="179EB62E" w14:textId="77777777" w:rsidR="004674DD" w:rsidRPr="00545EC0" w:rsidRDefault="004674DD" w:rsidP="00AD4FE7">
            <w:pPr>
              <w:jc w:val="center"/>
              <w:rPr>
                <w:rFonts w:cs="Arial"/>
                <w:i/>
                <w:sz w:val="18"/>
                <w:szCs w:val="18"/>
              </w:rPr>
            </w:pPr>
            <w:r w:rsidRPr="00545EC0">
              <w:rPr>
                <w:rFonts w:cs="Arial"/>
                <w:i/>
                <w:sz w:val="18"/>
                <w:szCs w:val="18"/>
              </w:rPr>
              <w:t>+</w:t>
            </w:r>
          </w:p>
        </w:tc>
      </w:tr>
      <w:tr w:rsidR="003122F4" w:rsidRPr="00545EC0" w14:paraId="780876A6" w14:textId="77777777" w:rsidTr="00AC702B">
        <w:trPr>
          <w:trHeight w:val="255"/>
        </w:trPr>
        <w:tc>
          <w:tcPr>
            <w:tcW w:w="961" w:type="pct"/>
            <w:shd w:val="clear" w:color="auto" w:fill="F2F2F2" w:themeFill="background1" w:themeFillShade="F2"/>
            <w:vAlign w:val="center"/>
          </w:tcPr>
          <w:p w14:paraId="5C529A62" w14:textId="77777777" w:rsidR="004674DD" w:rsidRPr="00545EC0" w:rsidRDefault="004674DD" w:rsidP="00AD4FE7">
            <w:pPr>
              <w:rPr>
                <w:rFonts w:cs="Arial"/>
                <w:b/>
                <w:i/>
                <w:sz w:val="18"/>
                <w:szCs w:val="18"/>
              </w:rPr>
            </w:pPr>
            <w:r w:rsidRPr="00545EC0">
              <w:rPr>
                <w:rFonts w:cs="Arial"/>
                <w:b/>
                <w:i/>
                <w:sz w:val="18"/>
                <w:szCs w:val="18"/>
              </w:rPr>
              <w:t>Gasterosteidae</w:t>
            </w:r>
          </w:p>
        </w:tc>
        <w:tc>
          <w:tcPr>
            <w:tcW w:w="2309" w:type="pct"/>
            <w:shd w:val="clear" w:color="auto" w:fill="F2F2F2" w:themeFill="background1" w:themeFillShade="F2"/>
            <w:vAlign w:val="center"/>
          </w:tcPr>
          <w:p w14:paraId="67F98AE0" w14:textId="77777777" w:rsidR="004674DD" w:rsidRPr="00545EC0" w:rsidRDefault="004674DD" w:rsidP="00AD4FE7">
            <w:pPr>
              <w:rPr>
                <w:rFonts w:cs="Arial"/>
                <w:i/>
                <w:sz w:val="18"/>
                <w:szCs w:val="18"/>
              </w:rPr>
            </w:pPr>
          </w:p>
        </w:tc>
        <w:tc>
          <w:tcPr>
            <w:tcW w:w="1000" w:type="pct"/>
            <w:shd w:val="clear" w:color="auto" w:fill="F2F2F2" w:themeFill="background1" w:themeFillShade="F2"/>
            <w:vAlign w:val="center"/>
          </w:tcPr>
          <w:p w14:paraId="6B519514" w14:textId="77777777" w:rsidR="004674DD" w:rsidRPr="00545EC0" w:rsidRDefault="004674DD" w:rsidP="00AD4FE7">
            <w:pPr>
              <w:jc w:val="center"/>
              <w:rPr>
                <w:rFonts w:cs="Arial"/>
                <w:i/>
                <w:sz w:val="18"/>
                <w:szCs w:val="18"/>
              </w:rPr>
            </w:pPr>
          </w:p>
        </w:tc>
        <w:tc>
          <w:tcPr>
            <w:tcW w:w="730" w:type="pct"/>
            <w:shd w:val="clear" w:color="auto" w:fill="F2F2F2" w:themeFill="background1" w:themeFillShade="F2"/>
            <w:vAlign w:val="center"/>
          </w:tcPr>
          <w:p w14:paraId="33D11B13" w14:textId="77777777" w:rsidR="004674DD" w:rsidRPr="00545EC0" w:rsidRDefault="004674DD" w:rsidP="00AD4FE7">
            <w:pPr>
              <w:jc w:val="center"/>
              <w:rPr>
                <w:rFonts w:cs="Arial"/>
                <w:i/>
                <w:sz w:val="18"/>
                <w:szCs w:val="18"/>
              </w:rPr>
            </w:pPr>
          </w:p>
        </w:tc>
      </w:tr>
      <w:tr w:rsidR="003122F4" w:rsidRPr="00545EC0" w14:paraId="3CCF55A4" w14:textId="77777777" w:rsidTr="00AC702B">
        <w:trPr>
          <w:trHeight w:val="286"/>
        </w:trPr>
        <w:tc>
          <w:tcPr>
            <w:tcW w:w="961" w:type="pct"/>
            <w:shd w:val="clear" w:color="auto" w:fill="FFFFFF" w:themeFill="background1"/>
            <w:vAlign w:val="center"/>
          </w:tcPr>
          <w:p w14:paraId="77BCBAD5" w14:textId="77777777" w:rsidR="004674DD" w:rsidRPr="00545EC0" w:rsidRDefault="004674DD" w:rsidP="00AD4FE7">
            <w:pPr>
              <w:rPr>
                <w:rFonts w:cs="Arial"/>
                <w:sz w:val="18"/>
                <w:szCs w:val="18"/>
              </w:rPr>
            </w:pPr>
            <w:r w:rsidRPr="00545EC0">
              <w:rPr>
                <w:rFonts w:cs="Arial"/>
                <w:sz w:val="18"/>
                <w:szCs w:val="18"/>
              </w:rPr>
              <w:t>navadni zet</w:t>
            </w:r>
          </w:p>
        </w:tc>
        <w:tc>
          <w:tcPr>
            <w:tcW w:w="2309" w:type="pct"/>
            <w:shd w:val="clear" w:color="auto" w:fill="auto"/>
            <w:vAlign w:val="center"/>
          </w:tcPr>
          <w:p w14:paraId="1E58793D" w14:textId="77777777" w:rsidR="004674DD" w:rsidRPr="00545EC0" w:rsidRDefault="004674DD" w:rsidP="00AD4FE7">
            <w:pPr>
              <w:rPr>
                <w:rFonts w:cs="Arial"/>
                <w:i/>
                <w:sz w:val="18"/>
                <w:szCs w:val="18"/>
              </w:rPr>
            </w:pPr>
            <w:r w:rsidRPr="00545EC0">
              <w:rPr>
                <w:rFonts w:cs="Arial"/>
                <w:i/>
                <w:sz w:val="18"/>
                <w:szCs w:val="18"/>
              </w:rPr>
              <w:t xml:space="preserve">Gasterosteus gymnurus </w:t>
            </w:r>
            <w:r w:rsidRPr="00545EC0">
              <w:rPr>
                <w:rFonts w:cs="Arial"/>
                <w:sz w:val="18"/>
                <w:szCs w:val="18"/>
              </w:rPr>
              <w:t>(Cuvier, 1829)</w:t>
            </w:r>
          </w:p>
        </w:tc>
        <w:tc>
          <w:tcPr>
            <w:tcW w:w="1000" w:type="pct"/>
            <w:vAlign w:val="center"/>
          </w:tcPr>
          <w:p w14:paraId="432FD660" w14:textId="77777777" w:rsidR="004674DD" w:rsidRPr="00545EC0" w:rsidRDefault="004674DD" w:rsidP="00AD4FE7">
            <w:pPr>
              <w:jc w:val="center"/>
              <w:rPr>
                <w:rFonts w:cs="Arial"/>
                <w:i/>
                <w:sz w:val="18"/>
                <w:szCs w:val="18"/>
              </w:rPr>
            </w:pPr>
          </w:p>
        </w:tc>
        <w:tc>
          <w:tcPr>
            <w:tcW w:w="730" w:type="pct"/>
            <w:vAlign w:val="center"/>
          </w:tcPr>
          <w:p w14:paraId="1D400A14" w14:textId="77777777" w:rsidR="004674DD" w:rsidRPr="00545EC0" w:rsidRDefault="004674DD" w:rsidP="00AD4FE7">
            <w:pPr>
              <w:jc w:val="center"/>
              <w:rPr>
                <w:rFonts w:cs="Arial"/>
                <w:i/>
                <w:sz w:val="18"/>
                <w:szCs w:val="18"/>
              </w:rPr>
            </w:pPr>
            <w:r w:rsidRPr="00545EC0">
              <w:rPr>
                <w:rFonts w:cs="Arial"/>
                <w:i/>
                <w:sz w:val="18"/>
                <w:szCs w:val="18"/>
              </w:rPr>
              <w:t>+</w:t>
            </w:r>
          </w:p>
        </w:tc>
      </w:tr>
      <w:tr w:rsidR="003122F4" w:rsidRPr="00545EC0" w14:paraId="15BE7DAD" w14:textId="77777777" w:rsidTr="00AC702B">
        <w:trPr>
          <w:trHeight w:val="286"/>
        </w:trPr>
        <w:tc>
          <w:tcPr>
            <w:tcW w:w="961" w:type="pct"/>
            <w:shd w:val="clear" w:color="auto" w:fill="auto"/>
          </w:tcPr>
          <w:p w14:paraId="79154D24" w14:textId="77777777" w:rsidR="004674DD" w:rsidRPr="00545EC0" w:rsidRDefault="004674DD" w:rsidP="00AD4FE7">
            <w:pPr>
              <w:rPr>
                <w:rFonts w:cs="Arial"/>
                <w:sz w:val="18"/>
                <w:szCs w:val="18"/>
              </w:rPr>
            </w:pPr>
            <w:r w:rsidRPr="00545EC0">
              <w:rPr>
                <w:rFonts w:cs="Arial"/>
                <w:sz w:val="18"/>
                <w:szCs w:val="18"/>
              </w:rPr>
              <w:t>beluga</w:t>
            </w:r>
          </w:p>
        </w:tc>
        <w:tc>
          <w:tcPr>
            <w:tcW w:w="2309" w:type="pct"/>
            <w:shd w:val="clear" w:color="auto" w:fill="auto"/>
          </w:tcPr>
          <w:p w14:paraId="413D52BE" w14:textId="77777777" w:rsidR="004674DD" w:rsidRPr="00545EC0" w:rsidRDefault="004674DD" w:rsidP="00AD4FE7">
            <w:pPr>
              <w:rPr>
                <w:rFonts w:cs="Arial"/>
                <w:i/>
                <w:sz w:val="18"/>
                <w:szCs w:val="18"/>
              </w:rPr>
            </w:pPr>
            <w:r w:rsidRPr="00545EC0">
              <w:rPr>
                <w:rFonts w:cs="Arial"/>
                <w:i/>
                <w:iCs/>
                <w:sz w:val="18"/>
                <w:szCs w:val="18"/>
              </w:rPr>
              <w:t>Huso huso (Linnaeus, 1758)</w:t>
            </w:r>
          </w:p>
        </w:tc>
        <w:tc>
          <w:tcPr>
            <w:tcW w:w="1000" w:type="pct"/>
            <w:vAlign w:val="center"/>
          </w:tcPr>
          <w:p w14:paraId="689C15D1" w14:textId="77777777" w:rsidR="004674DD" w:rsidRPr="00545EC0" w:rsidRDefault="004674DD" w:rsidP="00AD4FE7">
            <w:pPr>
              <w:jc w:val="center"/>
              <w:rPr>
                <w:rFonts w:cs="Arial"/>
                <w:i/>
                <w:sz w:val="18"/>
                <w:szCs w:val="18"/>
              </w:rPr>
            </w:pPr>
          </w:p>
        </w:tc>
        <w:tc>
          <w:tcPr>
            <w:tcW w:w="730" w:type="pct"/>
            <w:vAlign w:val="center"/>
          </w:tcPr>
          <w:p w14:paraId="46FDE81D" w14:textId="77777777" w:rsidR="004674DD" w:rsidRPr="00545EC0" w:rsidRDefault="004674DD" w:rsidP="00AD4FE7">
            <w:pPr>
              <w:jc w:val="center"/>
              <w:rPr>
                <w:rFonts w:cs="Arial"/>
                <w:i/>
                <w:sz w:val="18"/>
                <w:szCs w:val="18"/>
              </w:rPr>
            </w:pPr>
          </w:p>
        </w:tc>
      </w:tr>
    </w:tbl>
    <w:p w14:paraId="6E15BACA" w14:textId="7E2B9BCB" w:rsidR="0087549C" w:rsidRPr="00545EC0" w:rsidRDefault="0087549C" w:rsidP="00AD4FE7">
      <w:pPr>
        <w:rPr>
          <w:rFonts w:cs="Arial"/>
          <w:i/>
          <w:sz w:val="18"/>
          <w:szCs w:val="20"/>
        </w:rPr>
      </w:pPr>
      <w:r w:rsidRPr="00545EC0">
        <w:rPr>
          <w:rFonts w:cs="Arial"/>
          <w:i/>
          <w:sz w:val="18"/>
          <w:szCs w:val="20"/>
        </w:rPr>
        <w:t>* vrsta je invazivna</w:t>
      </w:r>
    </w:p>
    <w:p w14:paraId="6A04B2EE" w14:textId="77777777" w:rsidR="0087549C" w:rsidRPr="00545EC0" w:rsidRDefault="0087549C" w:rsidP="00AD4FE7">
      <w:pPr>
        <w:rPr>
          <w:rFonts w:cs="Arial"/>
          <w:szCs w:val="20"/>
        </w:rPr>
      </w:pPr>
    </w:p>
    <w:p w14:paraId="70BB6C09" w14:textId="67CABBA4" w:rsidR="000D41B8" w:rsidRPr="00545EC0" w:rsidRDefault="00AC702B" w:rsidP="00AC702B">
      <w:pPr>
        <w:rPr>
          <w:rFonts w:cs="Arial"/>
          <w:szCs w:val="20"/>
        </w:rPr>
      </w:pPr>
      <w:r w:rsidRPr="00545EC0">
        <w:rPr>
          <w:rFonts w:cs="Arial"/>
          <w:szCs w:val="20"/>
        </w:rPr>
        <w:t>Tujerodne vrste rib in rakov v celinskih vodah so prikazane na</w:t>
      </w:r>
      <w:r w:rsidR="002B19AC" w:rsidRPr="00545EC0">
        <w:rPr>
          <w:rFonts w:cs="Arial"/>
          <w:szCs w:val="20"/>
        </w:rPr>
        <w:t xml:space="preserve"> publikacijski</w:t>
      </w:r>
      <w:r w:rsidRPr="00545EC0">
        <w:rPr>
          <w:rFonts w:cs="Arial"/>
          <w:szCs w:val="20"/>
        </w:rPr>
        <w:t xml:space="preserve"> karti (</w:t>
      </w:r>
      <w:r w:rsidRPr="00545EC0">
        <w:rPr>
          <w:rFonts w:cs="Arial"/>
          <w:i/>
          <w:szCs w:val="20"/>
        </w:rPr>
        <w:t>Publikacijska karta</w:t>
      </w:r>
      <w:r w:rsidR="0078119E" w:rsidRPr="00545EC0">
        <w:rPr>
          <w:rFonts w:cs="Arial"/>
          <w:i/>
          <w:szCs w:val="20"/>
        </w:rPr>
        <w:t xml:space="preserve"> 5.2</w:t>
      </w:r>
      <w:r w:rsidRPr="00545EC0">
        <w:rPr>
          <w:rFonts w:cs="Arial"/>
          <w:i/>
          <w:szCs w:val="20"/>
        </w:rPr>
        <w:t>: Tujerodne vrste rib in rakov v celinskih vodah</w:t>
      </w:r>
      <w:r w:rsidRPr="00545EC0">
        <w:rPr>
          <w:rFonts w:cs="Arial"/>
          <w:szCs w:val="20"/>
        </w:rPr>
        <w:t>).</w:t>
      </w:r>
    </w:p>
    <w:p w14:paraId="428F8838" w14:textId="77777777" w:rsidR="0019176D" w:rsidRDefault="0019176D">
      <w:pPr>
        <w:overflowPunct/>
        <w:autoSpaceDE/>
        <w:autoSpaceDN/>
        <w:adjustRightInd/>
        <w:spacing w:line="240" w:lineRule="auto"/>
        <w:jc w:val="left"/>
        <w:textAlignment w:val="auto"/>
        <w:rPr>
          <w:rFonts w:cs="Arial"/>
          <w:szCs w:val="20"/>
        </w:rPr>
      </w:pPr>
    </w:p>
    <w:p w14:paraId="1769A8A9" w14:textId="77777777" w:rsidR="0019176D" w:rsidRDefault="0019176D">
      <w:pPr>
        <w:overflowPunct/>
        <w:autoSpaceDE/>
        <w:autoSpaceDN/>
        <w:adjustRightInd/>
        <w:spacing w:line="240" w:lineRule="auto"/>
        <w:jc w:val="left"/>
        <w:textAlignment w:val="auto"/>
        <w:rPr>
          <w:rFonts w:cs="Arial"/>
          <w:szCs w:val="20"/>
        </w:rPr>
      </w:pPr>
    </w:p>
    <w:p w14:paraId="4B78067A" w14:textId="77777777" w:rsidR="0019176D" w:rsidRDefault="0019176D" w:rsidP="0019176D">
      <w:r>
        <w:t>V skladu z Uredbo (EU) 1143/2014 o preprečevanju in obvladovanju vnosa in širjenja invazivnih tujerodnih vrst so države članice EU dolžne izvajati ukrepe za preprečitev vnosa in širjenja invazivnih tujerodnih vrst iz seznama  EU. I</w:t>
      </w:r>
      <w:r w:rsidRPr="00940B86">
        <w:t>nvazivne tujerodne vrst</w:t>
      </w:r>
      <w:r>
        <w:t>e</w:t>
      </w:r>
      <w:r w:rsidRPr="00940B86">
        <w:t>, ki so na seznamu EU</w:t>
      </w:r>
      <w:r>
        <w:t xml:space="preserve"> so sončni ostriž (Lepomis gibbosus), pseudorazbora (Pseudorasbora parvaz), signalni rak (Pacifastacus leniusculus), trnavec (Faxonius limosus), rdečevratka (Trachemys scripta elegans), rumenovratka (Trachemys scripta scripta), nutrija (Myocastorcoypus), pižmovka (Ondatra zibethicus), zahodna račja zel (Elodea nuttallii) in žlezava nedotika (Impatiensglandulifera).</w:t>
      </w:r>
    </w:p>
    <w:p w14:paraId="678D7CDC" w14:textId="77777777" w:rsidR="000D41B8" w:rsidRPr="00545EC0" w:rsidRDefault="000D41B8">
      <w:pPr>
        <w:overflowPunct/>
        <w:autoSpaceDE/>
        <w:autoSpaceDN/>
        <w:adjustRightInd/>
        <w:spacing w:line="240" w:lineRule="auto"/>
        <w:jc w:val="left"/>
        <w:textAlignment w:val="auto"/>
        <w:rPr>
          <w:rFonts w:cs="Arial"/>
          <w:szCs w:val="20"/>
        </w:rPr>
      </w:pPr>
      <w:r w:rsidRPr="00545EC0">
        <w:rPr>
          <w:rFonts w:cs="Arial"/>
          <w:szCs w:val="20"/>
        </w:rPr>
        <w:br w:type="page"/>
      </w:r>
    </w:p>
    <w:p w14:paraId="3CA02C27" w14:textId="77777777" w:rsidR="00AC702B" w:rsidRPr="00545EC0" w:rsidRDefault="00AC702B" w:rsidP="00AC702B">
      <w:pPr>
        <w:rPr>
          <w:rFonts w:cs="Arial"/>
          <w:szCs w:val="20"/>
        </w:rPr>
      </w:pPr>
    </w:p>
    <w:p w14:paraId="0FB07FC7" w14:textId="77777777" w:rsidR="007C2201" w:rsidRPr="00545EC0" w:rsidRDefault="007C2201" w:rsidP="00AD4FE7">
      <w:pPr>
        <w:pStyle w:val="Naslov4"/>
        <w:rPr>
          <w:color w:val="auto"/>
        </w:rPr>
      </w:pPr>
      <w:bookmarkStart w:id="241" w:name="_Toc419099186"/>
      <w:bookmarkStart w:id="242" w:name="_Toc414365765"/>
      <w:bookmarkStart w:id="243" w:name="_Toc366228125"/>
      <w:bookmarkEnd w:id="235"/>
      <w:r w:rsidRPr="00545EC0">
        <w:rPr>
          <w:color w:val="auto"/>
        </w:rPr>
        <w:t>Raba voda</w:t>
      </w:r>
      <w:bookmarkEnd w:id="241"/>
      <w:bookmarkEnd w:id="242"/>
      <w:r w:rsidRPr="00545EC0">
        <w:rPr>
          <w:color w:val="auto"/>
        </w:rPr>
        <w:t xml:space="preserve"> </w:t>
      </w:r>
    </w:p>
    <w:p w14:paraId="221D66F1" w14:textId="77777777" w:rsidR="00E4448F" w:rsidRPr="00545EC0" w:rsidRDefault="00E4448F" w:rsidP="00AD4FE7">
      <w:pPr>
        <w:rPr>
          <w:rFonts w:cs="Arial"/>
        </w:rPr>
      </w:pPr>
      <w:r w:rsidRPr="00545EC0">
        <w:rPr>
          <w:rFonts w:cs="Arial"/>
        </w:rPr>
        <w:t>Zakon o vodah deli rabo voda na splošno in posebno rabo voda in opredeljuje pojem rabe voda, kot je prikazano na sliki (</w:t>
      </w:r>
      <w:r w:rsidRPr="00545EC0">
        <w:rPr>
          <w:rFonts w:cs="Arial"/>
        </w:rPr>
        <w:fldChar w:fldCharType="begin"/>
      </w:r>
      <w:r w:rsidRPr="00545EC0">
        <w:rPr>
          <w:rFonts w:cs="Arial"/>
        </w:rPr>
        <w:instrText xml:space="preserve"> REF _Ref400975728 \h  \* MERGEFORMAT </w:instrText>
      </w:r>
      <w:r w:rsidRPr="00545EC0">
        <w:rPr>
          <w:rFonts w:cs="Arial"/>
        </w:rPr>
      </w:r>
      <w:r w:rsidRPr="00545EC0">
        <w:rPr>
          <w:rFonts w:cs="Arial"/>
        </w:rPr>
        <w:fldChar w:fldCharType="separate"/>
      </w:r>
      <w:r w:rsidR="002F3E43" w:rsidRPr="002F3E43">
        <w:rPr>
          <w:rFonts w:cs="Arial"/>
        </w:rPr>
        <w:t xml:space="preserve">Slika </w:t>
      </w:r>
      <w:r w:rsidR="002F3E43" w:rsidRPr="002F3E43">
        <w:rPr>
          <w:rFonts w:cs="Arial"/>
          <w:noProof/>
        </w:rPr>
        <w:t>2</w:t>
      </w:r>
      <w:r w:rsidR="002F3E43" w:rsidRPr="002F3E43">
        <w:rPr>
          <w:rFonts w:cs="Arial"/>
          <w:noProof/>
        </w:rPr>
        <w:noBreakHyphen/>
        <w:t>25</w:t>
      </w:r>
      <w:r w:rsidRPr="00545EC0">
        <w:rPr>
          <w:rFonts w:cs="Arial"/>
        </w:rPr>
        <w:fldChar w:fldCharType="end"/>
      </w:r>
      <w:r w:rsidRPr="00545EC0">
        <w:rPr>
          <w:rFonts w:cs="Arial"/>
        </w:rPr>
        <w:t>).</w:t>
      </w:r>
    </w:p>
    <w:p w14:paraId="54F8E145" w14:textId="2468AF20" w:rsidR="00E4448F" w:rsidRPr="00545EC0" w:rsidRDefault="000E3F85" w:rsidP="00AD4FE7">
      <w:pPr>
        <w:pStyle w:val="Napis2"/>
        <w:rPr>
          <w:rFonts w:cs="Arial"/>
          <w:b w:val="0"/>
          <w:szCs w:val="20"/>
        </w:rPr>
      </w:pPr>
      <w:r w:rsidRPr="00545EC0">
        <w:rPr>
          <w:noProof/>
          <w:lang w:eastAsia="sl-SI"/>
        </w:rPr>
        <w:drawing>
          <wp:inline distT="0" distB="0" distL="0" distR="0" wp14:anchorId="5F13261B" wp14:editId="152F2B73">
            <wp:extent cx="5760085" cy="5323205"/>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0085" cy="5323205"/>
                    </a:xfrm>
                    <a:prstGeom prst="rect">
                      <a:avLst/>
                    </a:prstGeom>
                    <a:noFill/>
                    <a:ln>
                      <a:noFill/>
                    </a:ln>
                  </pic:spPr>
                </pic:pic>
              </a:graphicData>
            </a:graphic>
          </wp:inline>
        </w:drawing>
      </w:r>
    </w:p>
    <w:p w14:paraId="6AE6FF5D" w14:textId="4B9A821D" w:rsidR="00E4448F" w:rsidRPr="00545EC0" w:rsidRDefault="00E4448F" w:rsidP="00AD4FE7">
      <w:pPr>
        <w:pStyle w:val="Napis2"/>
        <w:rPr>
          <w:rFonts w:cs="Arial"/>
          <w:b w:val="0"/>
          <w:szCs w:val="20"/>
        </w:rPr>
      </w:pPr>
      <w:bookmarkStart w:id="244" w:name="_Ref400975728"/>
      <w:bookmarkStart w:id="245" w:name="_Toc419097435"/>
      <w:bookmarkStart w:id="246" w:name="_Toc414365829"/>
      <w:bookmarkStart w:id="247" w:name="_Toc427913906"/>
      <w:r w:rsidRPr="00545EC0">
        <w:rPr>
          <w:rFonts w:cs="Arial"/>
          <w:b w:val="0"/>
          <w:szCs w:val="20"/>
        </w:rPr>
        <w:t xml:space="preserve">Slika </w:t>
      </w:r>
      <w:r w:rsidR="00396E1E" w:rsidRPr="00545EC0">
        <w:rPr>
          <w:rFonts w:cs="Arial"/>
          <w:b w:val="0"/>
          <w:szCs w:val="20"/>
        </w:rPr>
        <w:fldChar w:fldCharType="begin"/>
      </w:r>
      <w:r w:rsidR="00396E1E" w:rsidRPr="00545EC0">
        <w:rPr>
          <w:rFonts w:cs="Arial"/>
          <w:b w:val="0"/>
          <w:szCs w:val="20"/>
        </w:rPr>
        <w:instrText xml:space="preserve"> STYLEREF 1 \s </w:instrText>
      </w:r>
      <w:r w:rsidR="00396E1E" w:rsidRPr="00545EC0">
        <w:rPr>
          <w:rFonts w:cs="Arial"/>
          <w:b w:val="0"/>
          <w:szCs w:val="20"/>
        </w:rPr>
        <w:fldChar w:fldCharType="separate"/>
      </w:r>
      <w:r w:rsidR="002F3E43">
        <w:rPr>
          <w:rFonts w:cs="Arial"/>
          <w:b w:val="0"/>
          <w:noProof/>
          <w:szCs w:val="20"/>
        </w:rPr>
        <w:t>2</w:t>
      </w:r>
      <w:r w:rsidR="00396E1E" w:rsidRPr="00545EC0">
        <w:rPr>
          <w:rFonts w:cs="Arial"/>
          <w:b w:val="0"/>
          <w:szCs w:val="20"/>
        </w:rPr>
        <w:fldChar w:fldCharType="end"/>
      </w:r>
      <w:r w:rsidR="00396E1E" w:rsidRPr="00545EC0">
        <w:rPr>
          <w:rFonts w:cs="Arial"/>
          <w:b w:val="0"/>
          <w:szCs w:val="20"/>
        </w:rPr>
        <w:noBreakHyphen/>
      </w:r>
      <w:r w:rsidR="00396E1E" w:rsidRPr="00545EC0">
        <w:rPr>
          <w:rFonts w:cs="Arial"/>
          <w:b w:val="0"/>
          <w:szCs w:val="20"/>
        </w:rPr>
        <w:fldChar w:fldCharType="begin"/>
      </w:r>
      <w:r w:rsidR="00396E1E" w:rsidRPr="00545EC0">
        <w:rPr>
          <w:rFonts w:cs="Arial"/>
          <w:b w:val="0"/>
          <w:szCs w:val="20"/>
        </w:rPr>
        <w:instrText xml:space="preserve"> SEQ Slika \* ARABIC \s 1 </w:instrText>
      </w:r>
      <w:r w:rsidR="00396E1E" w:rsidRPr="00545EC0">
        <w:rPr>
          <w:rFonts w:cs="Arial"/>
          <w:b w:val="0"/>
          <w:szCs w:val="20"/>
        </w:rPr>
        <w:fldChar w:fldCharType="separate"/>
      </w:r>
      <w:r w:rsidR="002F3E43">
        <w:rPr>
          <w:rFonts w:cs="Arial"/>
          <w:b w:val="0"/>
          <w:noProof/>
          <w:szCs w:val="20"/>
        </w:rPr>
        <w:t>25</w:t>
      </w:r>
      <w:r w:rsidR="00396E1E" w:rsidRPr="00545EC0">
        <w:rPr>
          <w:rFonts w:cs="Arial"/>
          <w:b w:val="0"/>
          <w:szCs w:val="20"/>
        </w:rPr>
        <w:fldChar w:fldCharType="end"/>
      </w:r>
      <w:bookmarkEnd w:id="244"/>
      <w:r w:rsidRPr="00545EC0">
        <w:rPr>
          <w:rFonts w:cs="Arial"/>
          <w:b w:val="0"/>
          <w:szCs w:val="20"/>
        </w:rPr>
        <w:t>: Raba voda in vodna pravica</w:t>
      </w:r>
      <w:bookmarkEnd w:id="245"/>
      <w:bookmarkEnd w:id="246"/>
      <w:bookmarkEnd w:id="247"/>
    </w:p>
    <w:p w14:paraId="3ADF70D2" w14:textId="77777777" w:rsidR="00E4448F" w:rsidRPr="00545EC0" w:rsidRDefault="00E4448F" w:rsidP="00AD4FE7">
      <w:pPr>
        <w:pStyle w:val="podnaslov0"/>
      </w:pPr>
      <w:bookmarkStart w:id="248" w:name="_Toc419099187"/>
      <w:bookmarkStart w:id="249" w:name="_Toc414365766"/>
      <w:bookmarkStart w:id="250" w:name="_Toc383694098"/>
      <w:bookmarkStart w:id="251" w:name="_Toc329339209"/>
      <w:bookmarkStart w:id="252" w:name="_Toc329286537"/>
      <w:r w:rsidRPr="00545EC0">
        <w:t>Splošna raba voda</w:t>
      </w:r>
      <w:bookmarkEnd w:id="248"/>
      <w:bookmarkEnd w:id="249"/>
      <w:bookmarkEnd w:id="250"/>
      <w:bookmarkEnd w:id="251"/>
      <w:bookmarkEnd w:id="252"/>
    </w:p>
    <w:p w14:paraId="5069B8EE" w14:textId="77777777" w:rsidR="00457362" w:rsidRPr="00545EC0" w:rsidRDefault="00457362" w:rsidP="00457362">
      <w:pPr>
        <w:rPr>
          <w:rFonts w:cs="Arial"/>
        </w:rPr>
      </w:pPr>
      <w:bookmarkStart w:id="253" w:name="_Toc419099188"/>
      <w:bookmarkStart w:id="254" w:name="_Toc414365767"/>
      <w:bookmarkStart w:id="255" w:name="_Toc383694099"/>
      <w:bookmarkStart w:id="256" w:name="_Toc329339210"/>
      <w:bookmarkStart w:id="257" w:name="_Toc329286538"/>
      <w:r w:rsidRPr="00545EC0">
        <w:rPr>
          <w:rFonts w:cs="Arial"/>
        </w:rPr>
        <w:t xml:space="preserve">Splošna raba voda obsega predvsem rabo vodnega (ali morskega) dobra za pitje, kopanje, potapljanje, drsanje ali druge osebne potrebe. Takšna raba je dovoljena, če ni pogojena z uporabo posebnih naprav (vodne črpalke, natege in podobno) oziroma z graditvijo objekta ali naprave, za katero je treba pridobiti dovoljenje, skladno s predpisi s področja urejanja prostora in graditve objektov. Splošna raba voda je brezplačna, zanjo ni potreben vpis v vodno knjigo in ni treba pridobitev vodne pravice, niti je ni potrebno evidentirati (zakon o vodah). </w:t>
      </w:r>
      <w:r w:rsidRPr="00545EC0">
        <w:rPr>
          <w:rFonts w:cs="Arial"/>
          <w:noProof/>
          <w:szCs w:val="20"/>
        </w:rPr>
        <w:t>V okviru splošne rabe je dovoljeno uporabljati tudi vodo za gašenje požarov ter druge naloge zaščite in reševanja.</w:t>
      </w:r>
    </w:p>
    <w:p w14:paraId="25695BD2" w14:textId="77777777" w:rsidR="00457362" w:rsidRPr="00545EC0" w:rsidRDefault="00457362" w:rsidP="00AD4FE7">
      <w:pPr>
        <w:pStyle w:val="podnaslov0"/>
      </w:pPr>
    </w:p>
    <w:p w14:paraId="383F4FF9" w14:textId="77777777" w:rsidR="00E4448F" w:rsidRPr="00545EC0" w:rsidRDefault="00E4448F" w:rsidP="00AD4FE7">
      <w:pPr>
        <w:pStyle w:val="podnaslov0"/>
      </w:pPr>
      <w:r w:rsidRPr="00545EC0">
        <w:lastRenderedPageBreak/>
        <w:t>Posebna raba voda</w:t>
      </w:r>
      <w:bookmarkEnd w:id="253"/>
      <w:bookmarkEnd w:id="254"/>
      <w:bookmarkEnd w:id="255"/>
      <w:bookmarkEnd w:id="256"/>
      <w:bookmarkEnd w:id="257"/>
      <w:r w:rsidRPr="00545EC0">
        <w:t xml:space="preserve"> </w:t>
      </w:r>
    </w:p>
    <w:p w14:paraId="6FEBCA30" w14:textId="1FCAF520" w:rsidR="00E4448F" w:rsidRPr="00545EC0" w:rsidRDefault="00E4448F" w:rsidP="00AD4FE7">
      <w:pPr>
        <w:rPr>
          <w:rFonts w:cs="Arial"/>
        </w:rPr>
      </w:pPr>
      <w:r w:rsidRPr="00545EC0">
        <w:rPr>
          <w:rFonts w:cs="Arial"/>
        </w:rPr>
        <w:t xml:space="preserve">Za vsako rabo vodnega ali morskega dobra, ki presega meje splošne rabe, za rabo naplavin in podzemnih voda je treba pridobiti vodno pravico na podlagi vodnega dovoljenja, koncesije oziroma </w:t>
      </w:r>
      <w:r w:rsidR="00D1178B" w:rsidRPr="00545EC0">
        <w:rPr>
          <w:rFonts w:cs="Arial"/>
        </w:rPr>
        <w:t xml:space="preserve">je treba </w:t>
      </w:r>
      <w:r w:rsidRPr="00545EC0">
        <w:rPr>
          <w:rFonts w:cs="Arial"/>
        </w:rPr>
        <w:t xml:space="preserve">posebno rabo evidentirati. Podatki o posebni rabi voda se zbirajo v vodni knjigi. Posebno rabo je treba izvajati tako, da se zagotovita smotrna in učinkovita raba voda z uporabo najboljše razpoložljive tehnike. </w:t>
      </w:r>
    </w:p>
    <w:p w14:paraId="43B87F42" w14:textId="77777777" w:rsidR="00E4448F" w:rsidRPr="00545EC0" w:rsidRDefault="00E4448F" w:rsidP="00AD4FE7">
      <w:pPr>
        <w:rPr>
          <w:rFonts w:cs="Arial"/>
        </w:rPr>
      </w:pPr>
    </w:p>
    <w:p w14:paraId="17F6EF81" w14:textId="77777777" w:rsidR="00E4448F" w:rsidRPr="00545EC0" w:rsidRDefault="00E4448F" w:rsidP="00AD4FE7">
      <w:pPr>
        <w:rPr>
          <w:rFonts w:cs="Arial"/>
        </w:rPr>
      </w:pPr>
      <w:r w:rsidRPr="00545EC0">
        <w:rPr>
          <w:rFonts w:cs="Arial"/>
        </w:rPr>
        <w:t>Posebna raba vode za oskrbo s pitno vodo ima prednost pred drugimi vrstami rabe. Če je za pridobitev vodnega dovoljenja vloženih več vlog, ki se nanašajo na isti del vodnega telesa, ministrstvo pri izdaji vodnega dovoljenja upošteva skladnost nameravane rabe s cilji upravljanja voda, vrstni red vložitve popolne vloge, razpoložljivost vodnega telesa in prednostno rabo za oskrbo s pitno vodo (povzeto po 108. in 127. členu zakona o vodah).</w:t>
      </w:r>
    </w:p>
    <w:p w14:paraId="774EEA3F" w14:textId="77777777" w:rsidR="00E4448F" w:rsidRPr="00545EC0" w:rsidRDefault="00E4448F" w:rsidP="00AD4FE7">
      <w:pPr>
        <w:rPr>
          <w:rFonts w:cs="Arial"/>
        </w:rPr>
      </w:pPr>
    </w:p>
    <w:p w14:paraId="297D708B" w14:textId="77777777" w:rsidR="00E4448F" w:rsidRPr="00545EC0" w:rsidRDefault="00E4448F" w:rsidP="00AD4FE7">
      <w:pPr>
        <w:rPr>
          <w:rFonts w:cs="Arial"/>
        </w:rPr>
      </w:pPr>
      <w:r w:rsidRPr="00545EC0">
        <w:rPr>
          <w:rFonts w:cs="Arial"/>
        </w:rPr>
        <w:t xml:space="preserve">Imetnik vodne pravice mora zagotoviti redno spremljanje odvzetih količin vode z merilno napravo in elektronsko poročati ministrstvu o odvzetih količinah vode na način in v obsegu, ki ju določi minister s predpisom (108. člen zakona o vodah). </w:t>
      </w:r>
      <w:bookmarkStart w:id="258" w:name="_Toc383694100"/>
      <w:bookmarkStart w:id="259" w:name="_Toc329339211"/>
      <w:bookmarkStart w:id="260" w:name="_Toc329286539"/>
      <w:bookmarkStart w:id="261" w:name="_Ref328814675"/>
      <w:bookmarkStart w:id="262" w:name="_Ref328814657"/>
    </w:p>
    <w:p w14:paraId="4C534F80" w14:textId="77777777" w:rsidR="00E4448F" w:rsidRPr="00545EC0" w:rsidRDefault="00E4448F" w:rsidP="00AD4FE7">
      <w:pPr>
        <w:pStyle w:val="podnaslov0"/>
      </w:pPr>
      <w:bookmarkStart w:id="263" w:name="_Toc414365768"/>
      <w:r w:rsidRPr="00545EC0">
        <w:t>Vodna pravica</w:t>
      </w:r>
      <w:bookmarkEnd w:id="258"/>
      <w:bookmarkEnd w:id="259"/>
      <w:bookmarkEnd w:id="260"/>
      <w:bookmarkEnd w:id="261"/>
      <w:bookmarkEnd w:id="262"/>
      <w:bookmarkEnd w:id="263"/>
    </w:p>
    <w:p w14:paraId="331DB486" w14:textId="77777777" w:rsidR="00E4448F" w:rsidRPr="00545EC0" w:rsidRDefault="00E4448F" w:rsidP="00AD4FE7">
      <w:pPr>
        <w:rPr>
          <w:rFonts w:cs="Arial"/>
        </w:rPr>
      </w:pPr>
      <w:r w:rsidRPr="00545EC0">
        <w:rPr>
          <w:rFonts w:cs="Arial"/>
        </w:rPr>
        <w:t xml:space="preserve">Vodna pravica (v nadaljnjem besedilu: VodP) je pravica do posebne rabe vodnega ali morskega javnega dobra kot tudi naplavin, razen vodnega zemljišča. Zakon o vodah določa, da se jo lahko pridobi na dva načina, to je z vodnim dovoljenjem ali s koncesijo. Vodna pravica mora biti vpisana v vodno knjigo. </w:t>
      </w:r>
    </w:p>
    <w:p w14:paraId="15A3360D" w14:textId="77777777" w:rsidR="00E4448F" w:rsidRPr="00545EC0" w:rsidRDefault="00E4448F" w:rsidP="00AD4FE7">
      <w:pPr>
        <w:rPr>
          <w:rFonts w:cs="Arial"/>
        </w:rPr>
      </w:pPr>
    </w:p>
    <w:p w14:paraId="315D3B22" w14:textId="77777777" w:rsidR="00E4448F" w:rsidRPr="00545EC0" w:rsidRDefault="00E4448F" w:rsidP="00AD4FE7">
      <w:pPr>
        <w:rPr>
          <w:rFonts w:cs="Arial"/>
        </w:rPr>
      </w:pPr>
      <w:r w:rsidRPr="00545EC0">
        <w:rPr>
          <w:rFonts w:cs="Arial"/>
        </w:rPr>
        <w:t>Vodno pravico v obliki vodnega dovoljenja je v skladu z zakonom o vodah (125. člen zakona o vodah) treba pridobiti za neposredno rabo vode za:</w:t>
      </w:r>
    </w:p>
    <w:p w14:paraId="60B259D9" w14:textId="77777777" w:rsidR="00E4448F" w:rsidRPr="00545EC0" w:rsidRDefault="00E4448F" w:rsidP="00DD37C5">
      <w:pPr>
        <w:numPr>
          <w:ilvl w:val="0"/>
          <w:numId w:val="42"/>
        </w:numPr>
        <w:tabs>
          <w:tab w:val="center" w:pos="426"/>
        </w:tabs>
        <w:ind w:left="426" w:hanging="426"/>
        <w:rPr>
          <w:rFonts w:cs="Arial"/>
        </w:rPr>
      </w:pPr>
      <w:r w:rsidRPr="00545EC0">
        <w:rPr>
          <w:rFonts w:cs="Arial"/>
        </w:rPr>
        <w:t>lastno oskrbo s pitno vodo ali oskrbo s pitno vodo, ki se izvaja kot gospodarska javna služba,</w:t>
      </w:r>
    </w:p>
    <w:p w14:paraId="352DB326" w14:textId="77777777" w:rsidR="00E4448F" w:rsidRPr="00545EC0" w:rsidRDefault="00E4448F" w:rsidP="00DD37C5">
      <w:pPr>
        <w:numPr>
          <w:ilvl w:val="0"/>
          <w:numId w:val="42"/>
        </w:numPr>
        <w:tabs>
          <w:tab w:val="center" w:pos="426"/>
        </w:tabs>
        <w:ind w:left="426" w:hanging="426"/>
        <w:rPr>
          <w:rFonts w:cs="Arial"/>
        </w:rPr>
      </w:pPr>
      <w:r w:rsidRPr="00545EC0">
        <w:rPr>
          <w:rFonts w:cs="Arial"/>
        </w:rPr>
        <w:t>tehnološke namene,</w:t>
      </w:r>
    </w:p>
    <w:p w14:paraId="353E8010" w14:textId="77777777" w:rsidR="00E4448F" w:rsidRPr="00545EC0" w:rsidRDefault="00E4448F" w:rsidP="00DD37C5">
      <w:pPr>
        <w:numPr>
          <w:ilvl w:val="0"/>
          <w:numId w:val="42"/>
        </w:numPr>
        <w:tabs>
          <w:tab w:val="center" w:pos="426"/>
        </w:tabs>
        <w:ind w:left="426" w:hanging="426"/>
        <w:rPr>
          <w:rFonts w:cs="Arial"/>
        </w:rPr>
      </w:pPr>
      <w:r w:rsidRPr="00545EC0">
        <w:rPr>
          <w:rFonts w:cs="Arial"/>
        </w:rPr>
        <w:t>dejavnost kopališč,</w:t>
      </w:r>
    </w:p>
    <w:p w14:paraId="39C3B5B0" w14:textId="77777777" w:rsidR="00E4448F" w:rsidRPr="00545EC0" w:rsidRDefault="00E4448F" w:rsidP="00DD37C5">
      <w:pPr>
        <w:numPr>
          <w:ilvl w:val="0"/>
          <w:numId w:val="42"/>
        </w:numPr>
        <w:tabs>
          <w:tab w:val="center" w:pos="426"/>
        </w:tabs>
        <w:ind w:left="426" w:hanging="426"/>
        <w:rPr>
          <w:rFonts w:cs="Arial"/>
        </w:rPr>
      </w:pPr>
      <w:r w:rsidRPr="00545EC0">
        <w:rPr>
          <w:rFonts w:cs="Arial"/>
        </w:rPr>
        <w:t>pridobivanje toplote,</w:t>
      </w:r>
    </w:p>
    <w:p w14:paraId="241DEC8B" w14:textId="77777777" w:rsidR="00E4448F" w:rsidRPr="00545EC0" w:rsidRDefault="00E4448F" w:rsidP="00DD37C5">
      <w:pPr>
        <w:numPr>
          <w:ilvl w:val="0"/>
          <w:numId w:val="42"/>
        </w:numPr>
        <w:tabs>
          <w:tab w:val="center" w:pos="426"/>
        </w:tabs>
        <w:ind w:left="426" w:hanging="426"/>
        <w:rPr>
          <w:rFonts w:cs="Arial"/>
        </w:rPr>
      </w:pPr>
      <w:r w:rsidRPr="00545EC0">
        <w:rPr>
          <w:rFonts w:cs="Arial"/>
        </w:rPr>
        <w:t>namakanje kmetijskega zemljišča ali drugih površin</w:t>
      </w:r>
      <w:r w:rsidRPr="00545EC0">
        <w:rPr>
          <w:rFonts w:cs="Arial"/>
          <w:vertAlign w:val="superscript"/>
        </w:rPr>
        <w:footnoteReference w:id="1"/>
      </w:r>
      <w:r w:rsidRPr="00545EC0">
        <w:rPr>
          <w:rFonts w:cs="Arial"/>
        </w:rPr>
        <w:t>,</w:t>
      </w:r>
    </w:p>
    <w:p w14:paraId="2B084E8A" w14:textId="77777777" w:rsidR="00E4448F" w:rsidRPr="00545EC0" w:rsidRDefault="00E4448F" w:rsidP="00DD37C5">
      <w:pPr>
        <w:numPr>
          <w:ilvl w:val="0"/>
          <w:numId w:val="42"/>
        </w:numPr>
        <w:tabs>
          <w:tab w:val="center" w:pos="426"/>
        </w:tabs>
        <w:ind w:left="426" w:hanging="426"/>
        <w:rPr>
          <w:rFonts w:cs="Arial"/>
        </w:rPr>
      </w:pPr>
      <w:r w:rsidRPr="00545EC0">
        <w:rPr>
          <w:rFonts w:cs="Arial"/>
        </w:rPr>
        <w:t>izvajanje športnega ribolova v komercialnih ribnikih,</w:t>
      </w:r>
    </w:p>
    <w:p w14:paraId="78B9C6E4" w14:textId="77777777" w:rsidR="00E4448F" w:rsidRPr="00545EC0" w:rsidRDefault="00E4448F" w:rsidP="00DD37C5">
      <w:pPr>
        <w:numPr>
          <w:ilvl w:val="0"/>
          <w:numId w:val="42"/>
        </w:numPr>
        <w:tabs>
          <w:tab w:val="center" w:pos="426"/>
        </w:tabs>
        <w:ind w:left="426" w:hanging="426"/>
        <w:rPr>
          <w:rFonts w:cs="Arial"/>
        </w:rPr>
      </w:pPr>
      <w:r w:rsidRPr="00545EC0">
        <w:rPr>
          <w:rFonts w:cs="Arial"/>
        </w:rPr>
        <w:t>pogon vodnega mlina, žage ali podobne naprave,</w:t>
      </w:r>
    </w:p>
    <w:p w14:paraId="0A1012F7" w14:textId="77777777" w:rsidR="00E4448F" w:rsidRPr="00545EC0" w:rsidRDefault="00E4448F" w:rsidP="00DD37C5">
      <w:pPr>
        <w:numPr>
          <w:ilvl w:val="0"/>
          <w:numId w:val="42"/>
        </w:numPr>
        <w:tabs>
          <w:tab w:val="center" w:pos="426"/>
        </w:tabs>
        <w:ind w:left="426" w:hanging="426"/>
        <w:rPr>
          <w:rFonts w:cs="Arial"/>
        </w:rPr>
      </w:pPr>
      <w:r w:rsidRPr="00545EC0">
        <w:rPr>
          <w:rFonts w:cs="Arial"/>
        </w:rPr>
        <w:t>gojenje sladkovodnih in morskih organizmov,</w:t>
      </w:r>
    </w:p>
    <w:p w14:paraId="25B4440E" w14:textId="77777777" w:rsidR="00E4448F" w:rsidRPr="00545EC0" w:rsidRDefault="00E4448F" w:rsidP="00DD37C5">
      <w:pPr>
        <w:numPr>
          <w:ilvl w:val="0"/>
          <w:numId w:val="42"/>
        </w:numPr>
        <w:tabs>
          <w:tab w:val="center" w:pos="426"/>
        </w:tabs>
        <w:ind w:left="426" w:hanging="426"/>
        <w:rPr>
          <w:rFonts w:cs="Arial"/>
        </w:rPr>
      </w:pPr>
      <w:r w:rsidRPr="00545EC0">
        <w:rPr>
          <w:rFonts w:cs="Arial"/>
        </w:rPr>
        <w:t>pristanišče in vstopno–izstopno mesto po predpisih o plovbi po celinskih vodah,</w:t>
      </w:r>
    </w:p>
    <w:p w14:paraId="0FA39B04" w14:textId="77777777" w:rsidR="00E4448F" w:rsidRPr="00545EC0" w:rsidRDefault="00E4448F" w:rsidP="00DD37C5">
      <w:pPr>
        <w:numPr>
          <w:ilvl w:val="0"/>
          <w:numId w:val="42"/>
        </w:numPr>
        <w:tabs>
          <w:tab w:val="center" w:pos="426"/>
        </w:tabs>
        <w:ind w:left="426" w:hanging="426"/>
        <w:rPr>
          <w:rFonts w:cs="Arial"/>
        </w:rPr>
      </w:pPr>
      <w:r w:rsidRPr="00545EC0">
        <w:rPr>
          <w:rFonts w:cs="Arial"/>
        </w:rPr>
        <w:t>zasneževanje smučišča,</w:t>
      </w:r>
    </w:p>
    <w:p w14:paraId="127E9856" w14:textId="77777777" w:rsidR="00E4448F" w:rsidRPr="00545EC0" w:rsidRDefault="00E4448F" w:rsidP="00DD37C5">
      <w:pPr>
        <w:numPr>
          <w:ilvl w:val="0"/>
          <w:numId w:val="42"/>
        </w:numPr>
        <w:tabs>
          <w:tab w:val="center" w:pos="426"/>
        </w:tabs>
        <w:ind w:left="426" w:hanging="426"/>
        <w:rPr>
          <w:rFonts w:cs="Arial"/>
        </w:rPr>
      </w:pPr>
      <w:r w:rsidRPr="00545EC0">
        <w:rPr>
          <w:rFonts w:cs="Arial"/>
        </w:rPr>
        <w:t>proizvodnjo električne energije v hidroelektrarni z instalirano močjo, manjšo od 10 MW,</w:t>
      </w:r>
    </w:p>
    <w:p w14:paraId="1DA6D158" w14:textId="77777777" w:rsidR="00E4448F" w:rsidRPr="00545EC0" w:rsidRDefault="00E4448F" w:rsidP="00DD37C5">
      <w:pPr>
        <w:numPr>
          <w:ilvl w:val="0"/>
          <w:numId w:val="42"/>
        </w:numPr>
        <w:tabs>
          <w:tab w:val="center" w:pos="426"/>
        </w:tabs>
        <w:ind w:left="426" w:hanging="426"/>
        <w:rPr>
          <w:rFonts w:cs="Arial"/>
        </w:rPr>
      </w:pPr>
      <w:r w:rsidRPr="00545EC0">
        <w:rPr>
          <w:rFonts w:cs="Arial"/>
        </w:rPr>
        <w:t>drugo rabo, ki presega splošno rabo po zakonu o vodah, pa zanjo ni potrebno pridobiti koncesije in ne gre za posebno rabo</w:t>
      </w:r>
      <w:r w:rsidRPr="00545EC0">
        <w:rPr>
          <w:rFonts w:cs="Arial"/>
          <w:noProof/>
          <w:szCs w:val="20"/>
        </w:rPr>
        <w:t>, ki jo je potrebno evidentirati.</w:t>
      </w:r>
    </w:p>
    <w:p w14:paraId="23B9D5FE" w14:textId="77777777" w:rsidR="00E4448F" w:rsidRPr="00545EC0" w:rsidRDefault="00E4448F" w:rsidP="00AD4FE7">
      <w:pPr>
        <w:pStyle w:val="Odstavekseznama"/>
        <w:ind w:left="360"/>
        <w:rPr>
          <w:rFonts w:cs="Arial"/>
          <w:lang w:val="sl-SI"/>
        </w:rPr>
      </w:pPr>
    </w:p>
    <w:p w14:paraId="2B532D84" w14:textId="77777777" w:rsidR="00E4448F" w:rsidRPr="00545EC0" w:rsidRDefault="00E4448F" w:rsidP="00AD4FE7">
      <w:pPr>
        <w:rPr>
          <w:rFonts w:cs="Arial"/>
        </w:rPr>
      </w:pPr>
      <w:r w:rsidRPr="00545EC0">
        <w:rPr>
          <w:rFonts w:cs="Arial"/>
        </w:rPr>
        <w:t xml:space="preserve">Vodno dovoljenje je potrebno pridobiti tudi za katerokoli vrsto rabe vode (npr. namakanje, proizvodnjo pijač, tehnološko vodo), če gre za odvzem vode iz objektov in naprav za oskrbo s pitno vodo. Vodno </w:t>
      </w:r>
      <w:r w:rsidRPr="00545EC0">
        <w:rPr>
          <w:rFonts w:cs="Arial"/>
        </w:rPr>
        <w:lastRenderedPageBreak/>
        <w:t xml:space="preserve">dovoljenje je upravna odločba, ki jo izda ministrstvo za določen čas, vendar ne več kot za 30 let. Pridobi ga lahko fizična ali pravna oseba, ki izpolnjuje predpisane pogoje. </w:t>
      </w:r>
    </w:p>
    <w:p w14:paraId="3105FC4B" w14:textId="77777777" w:rsidR="00E4448F" w:rsidRPr="00545EC0" w:rsidRDefault="00E4448F" w:rsidP="00AD4FE7">
      <w:pPr>
        <w:rPr>
          <w:rFonts w:cs="Arial"/>
        </w:rPr>
      </w:pPr>
    </w:p>
    <w:p w14:paraId="4DAC8CD5" w14:textId="77777777" w:rsidR="00E4448F" w:rsidRPr="00545EC0" w:rsidRDefault="00E4448F" w:rsidP="00AD4FE7">
      <w:pPr>
        <w:rPr>
          <w:rFonts w:cs="Arial"/>
        </w:rPr>
      </w:pPr>
      <w:r w:rsidRPr="00545EC0">
        <w:rPr>
          <w:rFonts w:cs="Arial"/>
        </w:rPr>
        <w:t>Vodno pravico v obliki koncesije je v skladu z zakonom o vodah (136. člen) treba pridobiti za rabo vode za:</w:t>
      </w:r>
    </w:p>
    <w:p w14:paraId="6FA39B12" w14:textId="77777777" w:rsidR="00E4448F" w:rsidRPr="00545EC0" w:rsidRDefault="00E4448F" w:rsidP="00DD37C5">
      <w:pPr>
        <w:numPr>
          <w:ilvl w:val="0"/>
          <w:numId w:val="42"/>
        </w:numPr>
        <w:tabs>
          <w:tab w:val="center" w:pos="426"/>
        </w:tabs>
        <w:ind w:left="426" w:hanging="426"/>
        <w:rPr>
          <w:rFonts w:cs="Arial"/>
        </w:rPr>
      </w:pPr>
      <w:r w:rsidRPr="00545EC0">
        <w:rPr>
          <w:rFonts w:cs="Arial"/>
        </w:rPr>
        <w:t>proizvodnjo pijač,</w:t>
      </w:r>
    </w:p>
    <w:p w14:paraId="7280FD9E" w14:textId="77777777" w:rsidR="00E4448F" w:rsidRPr="00545EC0" w:rsidRDefault="00E4448F" w:rsidP="00DD37C5">
      <w:pPr>
        <w:numPr>
          <w:ilvl w:val="0"/>
          <w:numId w:val="42"/>
        </w:numPr>
        <w:tabs>
          <w:tab w:val="center" w:pos="426"/>
        </w:tabs>
        <w:ind w:left="426" w:hanging="426"/>
        <w:rPr>
          <w:rFonts w:cs="Arial"/>
        </w:rPr>
      </w:pPr>
      <w:r w:rsidRPr="00545EC0">
        <w:rPr>
          <w:rFonts w:cs="Arial"/>
        </w:rPr>
        <w:t>potrebe kopališč, ogrevanje in podobno, če se rabi mineralna, termalna ali termo-mineralna voda,</w:t>
      </w:r>
    </w:p>
    <w:p w14:paraId="598E8ECF" w14:textId="77777777" w:rsidR="00E4448F" w:rsidRPr="00545EC0" w:rsidRDefault="00E4448F" w:rsidP="00DD37C5">
      <w:pPr>
        <w:numPr>
          <w:ilvl w:val="0"/>
          <w:numId w:val="42"/>
        </w:numPr>
        <w:tabs>
          <w:tab w:val="center" w:pos="426"/>
        </w:tabs>
        <w:ind w:left="426" w:hanging="426"/>
        <w:rPr>
          <w:rFonts w:cs="Arial"/>
        </w:rPr>
      </w:pPr>
      <w:r w:rsidRPr="00545EC0">
        <w:rPr>
          <w:rFonts w:cs="Arial"/>
        </w:rPr>
        <w:t>proizvodnjo električne energije v hidroelektrarnah z instalirano močjo, enako ali večjo od 10 MW,</w:t>
      </w:r>
    </w:p>
    <w:p w14:paraId="4D097124" w14:textId="77777777" w:rsidR="00E4448F" w:rsidRPr="00545EC0" w:rsidRDefault="00E4448F" w:rsidP="00DD37C5">
      <w:pPr>
        <w:numPr>
          <w:ilvl w:val="0"/>
          <w:numId w:val="42"/>
        </w:numPr>
        <w:tabs>
          <w:tab w:val="center" w:pos="426"/>
        </w:tabs>
        <w:ind w:left="426" w:hanging="426"/>
        <w:rPr>
          <w:rFonts w:cs="Arial"/>
        </w:rPr>
      </w:pPr>
      <w:r w:rsidRPr="00545EC0">
        <w:rPr>
          <w:rFonts w:cs="Arial"/>
        </w:rPr>
        <w:t>odvzem naplavin, razen če gre za izvajanje javne službe po zakonu o vodah.</w:t>
      </w:r>
    </w:p>
    <w:p w14:paraId="7E465907" w14:textId="77777777" w:rsidR="00E4448F" w:rsidRPr="00545EC0" w:rsidRDefault="00E4448F" w:rsidP="00AD4FE7">
      <w:pPr>
        <w:rPr>
          <w:rFonts w:cs="Arial"/>
        </w:rPr>
      </w:pPr>
    </w:p>
    <w:p w14:paraId="6BD25169" w14:textId="6C182744" w:rsidR="00E4448F" w:rsidRPr="00545EC0" w:rsidRDefault="00E4448F" w:rsidP="00AD4FE7">
      <w:pPr>
        <w:rPr>
          <w:rFonts w:cs="Arial"/>
        </w:rPr>
      </w:pPr>
      <w:r w:rsidRPr="00545EC0">
        <w:rPr>
          <w:rFonts w:cs="Arial"/>
        </w:rPr>
        <w:t>Koncesijo podeljuje Vlada R</w:t>
      </w:r>
      <w:r w:rsidR="00926EA0" w:rsidRPr="00545EC0">
        <w:rPr>
          <w:rFonts w:cs="Arial"/>
        </w:rPr>
        <w:t xml:space="preserve">epublike </w:t>
      </w:r>
      <w:r w:rsidRPr="00545EC0">
        <w:rPr>
          <w:rFonts w:cs="Arial"/>
        </w:rPr>
        <w:t>S</w:t>
      </w:r>
      <w:r w:rsidR="00926EA0" w:rsidRPr="00545EC0">
        <w:rPr>
          <w:rFonts w:cs="Arial"/>
        </w:rPr>
        <w:t>lovenije</w:t>
      </w:r>
      <w:r w:rsidRPr="00545EC0">
        <w:rPr>
          <w:rFonts w:cs="Arial"/>
        </w:rPr>
        <w:t>. Lahko jo pridobi fizična ali pravna oseba, ki izpolnjuje predpisane pogoje. Koncesija se podeljuje na podlagi javnega razpisa. Podeljuje se za določen čas, vendar ne več kot za 50 let.</w:t>
      </w:r>
    </w:p>
    <w:p w14:paraId="7E8A0A53" w14:textId="77777777" w:rsidR="00E4448F" w:rsidRPr="00545EC0" w:rsidRDefault="00E4448F" w:rsidP="00AD4FE7">
      <w:pPr>
        <w:pStyle w:val="podnaslov0"/>
      </w:pPr>
      <w:bookmarkStart w:id="264" w:name="_Toc383694103"/>
      <w:r w:rsidRPr="00545EC0">
        <w:t>Evidentirana posebna raba voda</w:t>
      </w:r>
    </w:p>
    <w:p w14:paraId="54473261" w14:textId="77777777" w:rsidR="00457362" w:rsidRPr="00545EC0" w:rsidRDefault="00457362" w:rsidP="00457362">
      <w:pPr>
        <w:rPr>
          <w:rFonts w:cs="Arial"/>
          <w:noProof/>
          <w:szCs w:val="20"/>
        </w:rPr>
      </w:pPr>
      <w:r w:rsidRPr="00545EC0">
        <w:rPr>
          <w:rFonts w:cs="Arial"/>
          <w:noProof/>
          <w:szCs w:val="20"/>
        </w:rPr>
        <w:t>Pod pogojih, ki jih določa predpis, ki ureja evidentirano posebno rabo vode  se lahko rabo vode le evidentira in zadnjo ni potrebno pridobiti vodne pravice. Predpis določa vrste, pogoje in prag, pod katerim ni treba pridobiti vodnega dovoljenja, ker gre za količine odvzema ali način obremenitve z zanemarljivim vplivom na vodni režim in stanje voda. Evidentirano rabo se vpiše v vodno knjigo na podlagi predloga za evidentiranje. Predpis določa tudi način evidentiranja posebne rabe vode.</w:t>
      </w:r>
    </w:p>
    <w:p w14:paraId="4A6496D1" w14:textId="77777777" w:rsidR="00457362" w:rsidRPr="00545EC0" w:rsidRDefault="00457362" w:rsidP="00457362">
      <w:pPr>
        <w:rPr>
          <w:rFonts w:cs="Arial"/>
          <w:noProof/>
          <w:szCs w:val="20"/>
        </w:rPr>
      </w:pPr>
    </w:p>
    <w:p w14:paraId="0FFAB921" w14:textId="77777777" w:rsidR="00457362" w:rsidRPr="00545EC0" w:rsidRDefault="00457362" w:rsidP="00457362">
      <w:pPr>
        <w:rPr>
          <w:rFonts w:cs="Arial"/>
          <w:noProof/>
          <w:szCs w:val="20"/>
        </w:rPr>
      </w:pPr>
      <w:r w:rsidRPr="00545EC0">
        <w:rPr>
          <w:rFonts w:cs="Arial"/>
          <w:noProof/>
          <w:szCs w:val="20"/>
        </w:rPr>
        <w:t xml:space="preserve">Evidentirano posebno rabo vode se lahko izvaja največ 20 let od evidentiranja v vodni knjigi. </w:t>
      </w:r>
    </w:p>
    <w:p w14:paraId="209CDB5E" w14:textId="77777777" w:rsidR="00457362" w:rsidRPr="00545EC0" w:rsidRDefault="00457362" w:rsidP="00457362">
      <w:pPr>
        <w:pStyle w:val="podnaslov0"/>
        <w:rPr>
          <w:b w:val="0"/>
          <w:u w:val="single"/>
        </w:rPr>
      </w:pPr>
      <w:r w:rsidRPr="00545EC0">
        <w:rPr>
          <w:b w:val="0"/>
          <w:u w:val="single"/>
        </w:rPr>
        <w:t>Plačilo za vodno pravico</w:t>
      </w:r>
    </w:p>
    <w:p w14:paraId="3C98575A" w14:textId="77777777" w:rsidR="00457362" w:rsidRPr="00545EC0" w:rsidRDefault="00457362" w:rsidP="00457362">
      <w:pPr>
        <w:rPr>
          <w:rFonts w:cs="Arial"/>
        </w:rPr>
      </w:pPr>
      <w:r w:rsidRPr="00545EC0">
        <w:rPr>
          <w:rFonts w:cs="Arial"/>
        </w:rPr>
        <w:t xml:space="preserve">Za vsako rabo vodnega ali morskega javnega dobra ali naplavin, razen za splošno rabo, se plačuje plačilo za vodno pravico in vodno povračilo, ki sta okoljski dajatvi za rabo naravnih dobrin (6. člen zakona o vodah). </w:t>
      </w:r>
      <w:r w:rsidRPr="00545EC0">
        <w:rPr>
          <w:rFonts w:cs="Arial"/>
          <w:noProof/>
          <w:szCs w:val="20"/>
        </w:rPr>
        <w:t>Za evidentirano posebno rabo vode se ne plačuje dajatev za obremenjevanje voda.</w:t>
      </w:r>
    </w:p>
    <w:p w14:paraId="6ED94EAF" w14:textId="77777777" w:rsidR="00E4448F" w:rsidRPr="00545EC0" w:rsidRDefault="00E4448F" w:rsidP="00AD4FE7">
      <w:pPr>
        <w:pStyle w:val="podnaslov0"/>
        <w:rPr>
          <w:b w:val="0"/>
          <w:u w:val="single"/>
        </w:rPr>
      </w:pPr>
      <w:r w:rsidRPr="00545EC0">
        <w:rPr>
          <w:b w:val="0"/>
          <w:u w:val="single"/>
        </w:rPr>
        <w:t>Plačilo za vodno pravico</w:t>
      </w:r>
    </w:p>
    <w:p w14:paraId="21AC8CB5" w14:textId="66D84DEA" w:rsidR="00E4448F" w:rsidRPr="00545EC0" w:rsidRDefault="00E4448F" w:rsidP="00AD4FE7">
      <w:pPr>
        <w:rPr>
          <w:rFonts w:cs="Arial"/>
        </w:rPr>
      </w:pPr>
      <w:r w:rsidRPr="00545EC0">
        <w:rPr>
          <w:rFonts w:cs="Arial"/>
        </w:rPr>
        <w:t xml:space="preserve">Za vsako rabo vodnega ali morskega javnega dobra ali naplavin, razen za splošno rabo, se plačuje plačilo za vodno pravico in vodno povračilo, ki sta okoljski dajatvi za rabo naravnih dobrin (6. člen zakona o vodah). </w:t>
      </w:r>
      <w:r w:rsidRPr="00545EC0">
        <w:rPr>
          <w:rFonts w:cs="Arial"/>
          <w:noProof/>
          <w:szCs w:val="20"/>
        </w:rPr>
        <w:t xml:space="preserve">Za </w:t>
      </w:r>
      <w:r w:rsidR="003A4DE7" w:rsidRPr="00545EC0">
        <w:rPr>
          <w:rFonts w:cs="Arial"/>
          <w:noProof/>
          <w:szCs w:val="20"/>
        </w:rPr>
        <w:t>evidentirano posebno rabo vode</w:t>
      </w:r>
      <w:r w:rsidRPr="00545EC0">
        <w:rPr>
          <w:rFonts w:cs="Arial"/>
          <w:noProof/>
          <w:szCs w:val="20"/>
        </w:rPr>
        <w:t xml:space="preserve"> se ne plačuje dajatev za obremenjevanje voda.</w:t>
      </w:r>
    </w:p>
    <w:p w14:paraId="739EBC44" w14:textId="77777777" w:rsidR="00E4448F" w:rsidRPr="00545EC0" w:rsidRDefault="00E4448F" w:rsidP="00AD4FE7">
      <w:pPr>
        <w:pStyle w:val="podnaslov0"/>
      </w:pPr>
      <w:bookmarkStart w:id="265" w:name="_Toc419099189"/>
      <w:bookmarkStart w:id="266" w:name="_Toc414365770"/>
      <w:bookmarkEnd w:id="264"/>
      <w:r w:rsidRPr="00545EC0">
        <w:t>Pregled posebne rabe površinskih voda</w:t>
      </w:r>
      <w:bookmarkEnd w:id="265"/>
      <w:bookmarkEnd w:id="266"/>
      <w:r w:rsidRPr="00545EC0">
        <w:t xml:space="preserve"> </w:t>
      </w:r>
    </w:p>
    <w:p w14:paraId="55D3CE52" w14:textId="77777777" w:rsidR="00457362" w:rsidRPr="00545EC0" w:rsidRDefault="00457362" w:rsidP="00457362">
      <w:pPr>
        <w:rPr>
          <w:rFonts w:cs="Arial"/>
        </w:rPr>
      </w:pPr>
      <w:r w:rsidRPr="00545EC0">
        <w:rPr>
          <w:rFonts w:cs="Arial"/>
        </w:rPr>
        <w:t xml:space="preserve">V nadaljnjem besedilu se za »posebno rabo površinskih voda« uporablja krajši izraz »raba površinskih voda«. </w:t>
      </w:r>
    </w:p>
    <w:p w14:paraId="1CABAA2D" w14:textId="77777777" w:rsidR="00E4448F" w:rsidRPr="00545EC0" w:rsidRDefault="00E4448F" w:rsidP="00AD4FE7">
      <w:pPr>
        <w:pStyle w:val="podnaslov0"/>
      </w:pPr>
      <w:bookmarkStart w:id="267" w:name="_Toc414365771"/>
      <w:r w:rsidRPr="00545EC0">
        <w:t>Podatki o rabi voda</w:t>
      </w:r>
      <w:bookmarkEnd w:id="267"/>
    </w:p>
    <w:p w14:paraId="00AC430A" w14:textId="019C184F" w:rsidR="00E4448F" w:rsidRPr="00545EC0" w:rsidRDefault="00E4448F" w:rsidP="00AD4FE7">
      <w:pPr>
        <w:rPr>
          <w:rFonts w:cs="Arial"/>
          <w:noProof/>
          <w:szCs w:val="20"/>
        </w:rPr>
      </w:pPr>
      <w:r w:rsidRPr="00545EC0">
        <w:rPr>
          <w:rFonts w:cs="Arial"/>
          <w:noProof/>
          <w:szCs w:val="20"/>
        </w:rPr>
        <w:t>DRSV zbira in vodi podatke o evidentirani posebni rabi voda (EPRV) in o podeljenih vodnih pravicah, ločeno za vodna dovoljenja in koncesije, v vodni knjigi. Dovoljen obseg rabe voda je izražen na različne načine, npr. kot (inštaliran) volumen rabljene vode v časovni enoti (npr. l/s, m</w:t>
      </w:r>
      <w:r w:rsidRPr="00545EC0">
        <w:rPr>
          <w:rFonts w:cs="Arial"/>
          <w:noProof/>
          <w:szCs w:val="20"/>
          <w:vertAlign w:val="superscript"/>
        </w:rPr>
        <w:t>3</w:t>
      </w:r>
      <w:r w:rsidRPr="00545EC0">
        <w:rPr>
          <w:rFonts w:cs="Arial"/>
          <w:noProof/>
          <w:szCs w:val="20"/>
        </w:rPr>
        <w:t>/s, m</w:t>
      </w:r>
      <w:r w:rsidRPr="00545EC0">
        <w:rPr>
          <w:rFonts w:cs="Arial"/>
          <w:noProof/>
          <w:szCs w:val="20"/>
          <w:vertAlign w:val="superscript"/>
        </w:rPr>
        <w:t>3</w:t>
      </w:r>
      <w:r w:rsidRPr="00545EC0">
        <w:rPr>
          <w:rFonts w:cs="Arial"/>
          <w:noProof/>
          <w:szCs w:val="20"/>
        </w:rPr>
        <w:t>/leto), kot volumen odvzetih naplavin v časovni enoti (npr. m</w:t>
      </w:r>
      <w:r w:rsidRPr="00545EC0">
        <w:rPr>
          <w:rFonts w:cs="Arial"/>
          <w:noProof/>
          <w:szCs w:val="20"/>
          <w:vertAlign w:val="superscript"/>
        </w:rPr>
        <w:t>3</w:t>
      </w:r>
      <w:r w:rsidRPr="00545EC0">
        <w:rPr>
          <w:rFonts w:cs="Arial"/>
          <w:noProof/>
          <w:szCs w:val="20"/>
        </w:rPr>
        <w:t xml:space="preserve">/leto), kot potencialna ali druga energija (MWh) ali kot velikost vodne površine ali plavajoče naprave. </w:t>
      </w:r>
    </w:p>
    <w:p w14:paraId="6B947D12" w14:textId="77777777" w:rsidR="00E4448F" w:rsidRPr="00545EC0" w:rsidRDefault="00E4448F" w:rsidP="00AD4FE7">
      <w:pPr>
        <w:rPr>
          <w:rFonts w:cs="Arial"/>
          <w:noProof/>
          <w:szCs w:val="20"/>
        </w:rPr>
      </w:pPr>
    </w:p>
    <w:p w14:paraId="1A73BB6D" w14:textId="1BF071CB" w:rsidR="00E4448F" w:rsidRPr="00545EC0" w:rsidRDefault="00E4448F" w:rsidP="00AD4FE7">
      <w:pPr>
        <w:rPr>
          <w:rFonts w:cs="Arial"/>
          <w:noProof/>
          <w:szCs w:val="20"/>
        </w:rPr>
      </w:pPr>
      <w:r w:rsidRPr="00545EC0">
        <w:rPr>
          <w:rFonts w:cs="Arial"/>
          <w:noProof/>
          <w:szCs w:val="20"/>
        </w:rPr>
        <w:t xml:space="preserve">Evidentiranje </w:t>
      </w:r>
      <w:r w:rsidR="000E3F85" w:rsidRPr="00545EC0">
        <w:rPr>
          <w:rFonts w:cs="Arial"/>
          <w:noProof/>
          <w:szCs w:val="20"/>
        </w:rPr>
        <w:t xml:space="preserve">posebne </w:t>
      </w:r>
      <w:r w:rsidRPr="00545EC0">
        <w:rPr>
          <w:rFonts w:cs="Arial"/>
          <w:noProof/>
          <w:szCs w:val="20"/>
        </w:rPr>
        <w:t xml:space="preserve">rabe </w:t>
      </w:r>
      <w:r w:rsidR="000E3F85" w:rsidRPr="00545EC0">
        <w:rPr>
          <w:rFonts w:cs="Arial"/>
          <w:noProof/>
          <w:szCs w:val="20"/>
        </w:rPr>
        <w:t xml:space="preserve">vode </w:t>
      </w:r>
      <w:r w:rsidRPr="00545EC0">
        <w:rPr>
          <w:rFonts w:cs="Arial"/>
          <w:noProof/>
          <w:szCs w:val="20"/>
        </w:rPr>
        <w:t xml:space="preserve">(EPRV) se je pričelo s 1.10.2019, in ker podatki o posebni rabi voda veljajo na dan 30.8.2019, </w:t>
      </w:r>
      <w:r w:rsidR="000E3F85" w:rsidRPr="00545EC0">
        <w:rPr>
          <w:rFonts w:cs="Arial"/>
          <w:noProof/>
          <w:szCs w:val="20"/>
        </w:rPr>
        <w:t xml:space="preserve">le ti niso </w:t>
      </w:r>
      <w:r w:rsidR="005826F0" w:rsidRPr="00545EC0">
        <w:rPr>
          <w:rFonts w:cs="Arial"/>
          <w:noProof/>
          <w:szCs w:val="20"/>
        </w:rPr>
        <w:t xml:space="preserve">del tega načrta. </w:t>
      </w:r>
    </w:p>
    <w:p w14:paraId="64E9F6F3" w14:textId="77777777" w:rsidR="00E4448F" w:rsidRPr="00545EC0" w:rsidRDefault="00E4448F" w:rsidP="00AD4FE7">
      <w:pPr>
        <w:pStyle w:val="podnaslov0"/>
      </w:pPr>
      <w:bookmarkStart w:id="268" w:name="_Toc414365772"/>
      <w:r w:rsidRPr="00545EC0">
        <w:lastRenderedPageBreak/>
        <w:t>Količinska opredelitev rabe površinskih voda</w:t>
      </w:r>
      <w:bookmarkEnd w:id="268"/>
    </w:p>
    <w:p w14:paraId="7EB3A483" w14:textId="790FF70E" w:rsidR="00E4448F" w:rsidRPr="00545EC0" w:rsidRDefault="00E4448F" w:rsidP="00AD4FE7">
      <w:pPr>
        <w:rPr>
          <w:rFonts w:cs="Arial"/>
          <w:noProof/>
          <w:szCs w:val="20"/>
        </w:rPr>
      </w:pPr>
      <w:r w:rsidRPr="00545EC0">
        <w:rPr>
          <w:rFonts w:cs="Arial"/>
        </w:rPr>
        <w:t>Po podatkih vodne knjige se na celotnem območju Slovenije na dan 30.</w:t>
      </w:r>
      <w:r w:rsidR="00C94483" w:rsidRPr="00545EC0">
        <w:rPr>
          <w:rFonts w:cs="Arial"/>
        </w:rPr>
        <w:t>8.</w:t>
      </w:r>
      <w:r w:rsidR="000E3F85" w:rsidRPr="00545EC0">
        <w:rPr>
          <w:rFonts w:cs="Arial"/>
        </w:rPr>
        <w:t xml:space="preserve"> </w:t>
      </w:r>
      <w:r w:rsidRPr="00545EC0">
        <w:rPr>
          <w:rFonts w:cs="Arial"/>
        </w:rPr>
        <w:t xml:space="preserve">2019 rabi površinsko vodo na </w:t>
      </w:r>
      <w:r w:rsidRPr="00545EC0">
        <w:rPr>
          <w:rFonts w:cs="Arial"/>
          <w:noProof/>
          <w:szCs w:val="20"/>
        </w:rPr>
        <w:t>2174 lokacijah (mestih rabe vode – MRV) na podlagi izdanih 1901 aktov. Večina vodnih pravic, 98,5 % je podeljenih z vodnimi dovoljenji in le 1,5 % s koncesijami</w:t>
      </w:r>
      <w:r w:rsidRPr="00545EC0">
        <w:rPr>
          <w:rFonts w:cs="Arial"/>
        </w:rPr>
        <w:t xml:space="preserve"> </w:t>
      </w:r>
      <w:r w:rsidR="00710B3E" w:rsidRPr="00545EC0">
        <w:rPr>
          <w:rFonts w:cs="Arial"/>
        </w:rPr>
        <w:t>(</w:t>
      </w:r>
      <w:r w:rsidRPr="00545EC0">
        <w:rPr>
          <w:rFonts w:cs="Arial"/>
          <w:i/>
        </w:rPr>
        <w:t>Publikacijska karta</w:t>
      </w:r>
      <w:r w:rsidR="0078119E" w:rsidRPr="00545EC0">
        <w:rPr>
          <w:rFonts w:cs="Arial"/>
          <w:i/>
        </w:rPr>
        <w:t xml:space="preserve"> 5.4</w:t>
      </w:r>
      <w:r w:rsidRPr="00545EC0">
        <w:rPr>
          <w:rFonts w:cs="Arial"/>
          <w:i/>
        </w:rPr>
        <w:t>: Podeljene vodne pravice na površinskih vodah</w:t>
      </w:r>
      <w:r w:rsidRPr="00545EC0">
        <w:rPr>
          <w:rFonts w:cs="Arial"/>
        </w:rPr>
        <w:t>)</w:t>
      </w:r>
      <w:r w:rsidRPr="00545EC0">
        <w:rPr>
          <w:rFonts w:cs="Arial"/>
          <w:noProof/>
          <w:szCs w:val="20"/>
        </w:rPr>
        <w:t xml:space="preserve">, od tega se na VO Donave izvaja raba vode na 1632 mestih </w:t>
      </w:r>
      <w:r w:rsidR="000E3F85" w:rsidRPr="00545EC0">
        <w:rPr>
          <w:rFonts w:cs="Arial"/>
          <w:noProof/>
          <w:szCs w:val="20"/>
        </w:rPr>
        <w:t xml:space="preserve">rabe vode (MRV) </w:t>
      </w:r>
      <w:r w:rsidRPr="00545EC0">
        <w:rPr>
          <w:rFonts w:cs="Arial"/>
          <w:noProof/>
          <w:szCs w:val="20"/>
        </w:rPr>
        <w:t>na podlagi izdanih 1454 aktov.</w:t>
      </w:r>
    </w:p>
    <w:p w14:paraId="37DAA2B2" w14:textId="77777777" w:rsidR="00E4448F" w:rsidRPr="00545EC0" w:rsidRDefault="00E4448F" w:rsidP="00AD4FE7">
      <w:pPr>
        <w:pStyle w:val="podnaslov0"/>
      </w:pPr>
      <w:r w:rsidRPr="00545EC0">
        <w:t xml:space="preserve">Koncesije </w:t>
      </w:r>
    </w:p>
    <w:p w14:paraId="59A05D5B" w14:textId="77777777" w:rsidR="00E4448F" w:rsidRPr="00545EC0" w:rsidRDefault="00E4448F" w:rsidP="00AD4FE7">
      <w:pPr>
        <w:rPr>
          <w:rFonts w:cs="Arial"/>
          <w:bCs/>
        </w:rPr>
      </w:pPr>
      <w:r w:rsidRPr="00545EC0">
        <w:rPr>
          <w:rFonts w:cs="Arial"/>
          <w:noProof/>
        </w:rPr>
        <w:t>Po podatkih vodne knjige na dan 30. 8. 2019 je z</w:t>
      </w:r>
      <w:r w:rsidRPr="00545EC0">
        <w:rPr>
          <w:rFonts w:cs="Arial"/>
          <w:bCs/>
        </w:rPr>
        <w:t xml:space="preserve">a rabo površinskih voda </w:t>
      </w:r>
      <w:r w:rsidRPr="00545EC0">
        <w:rPr>
          <w:rFonts w:cs="Arial"/>
          <w:noProof/>
          <w:szCs w:val="20"/>
        </w:rPr>
        <w:t xml:space="preserve">s 27-imi koncesijskimi akti dovoljena raba vode na 44 mestih (MRV), od tega je na VO Donave aktivnih </w:t>
      </w:r>
      <w:r w:rsidRPr="00545EC0">
        <w:rPr>
          <w:rFonts w:cs="Arial"/>
          <w:bCs/>
        </w:rPr>
        <w:t xml:space="preserve">12 koncesij, ki se izvajajo na 25 MRV. Pri odvzemu naplavin gre za rabo, kjer je obseg rabe določen z volumnom odvzetih naplavin, zato količine niso neposredno primerljive s količinami drugih rab, kjer gre za odvzeti volumen vode. </w:t>
      </w:r>
    </w:p>
    <w:p w14:paraId="0B2ED0BE" w14:textId="77777777" w:rsidR="00853DFB" w:rsidRPr="00545EC0" w:rsidRDefault="00853DFB" w:rsidP="00AD4FE7">
      <w:pPr>
        <w:rPr>
          <w:rFonts w:cs="Arial"/>
          <w:bCs/>
        </w:rPr>
      </w:pPr>
    </w:p>
    <w:p w14:paraId="782A4BF7" w14:textId="24319590" w:rsidR="00E4448F" w:rsidRPr="00545EC0" w:rsidRDefault="00E4448F" w:rsidP="00AD4FE7">
      <w:pPr>
        <w:rPr>
          <w:rFonts w:cs="Arial"/>
          <w:bCs/>
        </w:rPr>
      </w:pPr>
      <w:r w:rsidRPr="00545EC0">
        <w:rPr>
          <w:rFonts w:cs="Arial"/>
          <w:bCs/>
          <w:noProof/>
          <w:szCs w:val="20"/>
        </w:rPr>
        <w:t xml:space="preserve">V času priprave </w:t>
      </w:r>
      <w:r w:rsidR="000E3F85" w:rsidRPr="00545EC0">
        <w:rPr>
          <w:rFonts w:cs="Arial"/>
          <w:bCs/>
          <w:noProof/>
          <w:szCs w:val="20"/>
        </w:rPr>
        <w:t xml:space="preserve">tega načrta upravljanja voda </w:t>
      </w:r>
      <w:r w:rsidRPr="00545EC0">
        <w:rPr>
          <w:rFonts w:cs="Arial"/>
          <w:bCs/>
          <w:noProof/>
          <w:szCs w:val="20"/>
        </w:rPr>
        <w:t xml:space="preserve">še niso bile vse koncesije za rabo vode za proizvodnjo električne energije v malih HE spremenjene v vodna dovoljenja, zato so v analizo rabe voda vključene tudi koncesije za MHE, kot izhaja iz vodne knjige.        </w:t>
      </w:r>
    </w:p>
    <w:p w14:paraId="09B12FC1" w14:textId="77777777" w:rsidR="00E4448F" w:rsidRPr="00545EC0" w:rsidRDefault="00E4448F" w:rsidP="00AD4FE7">
      <w:pPr>
        <w:rPr>
          <w:rFonts w:cs="Arial"/>
          <w:bCs/>
        </w:rPr>
      </w:pPr>
    </w:p>
    <w:p w14:paraId="25568964" w14:textId="223014FA" w:rsidR="00E4448F" w:rsidRPr="00545EC0" w:rsidRDefault="00E4448F" w:rsidP="00AD4FE7">
      <w:pPr>
        <w:rPr>
          <w:rFonts w:cs="Arial"/>
          <w:bCs/>
          <w:sz w:val="28"/>
        </w:rPr>
      </w:pPr>
      <w:r w:rsidRPr="00545EC0">
        <w:rPr>
          <w:rFonts w:cs="Arial"/>
          <w:bCs/>
        </w:rPr>
        <w:t xml:space="preserve">Na osnovi podeljenih koncesij je največ vodnih pravic na VO Donave podeljenih za proizvodnjo električne energije v malih hidroelektrarnah, skoraj vsa voda </w:t>
      </w:r>
      <w:r w:rsidRPr="00545EC0">
        <w:rPr>
          <w:rFonts w:cs="Arial"/>
          <w:bCs/>
          <w:szCs w:val="20"/>
        </w:rPr>
        <w:t xml:space="preserve">pa se rabi za obratovanje hidroelektrarn (več </w:t>
      </w:r>
      <w:r w:rsidR="00285220" w:rsidRPr="00545EC0">
        <w:rPr>
          <w:rFonts w:cs="Arial"/>
          <w:bCs/>
          <w:szCs w:val="20"/>
        </w:rPr>
        <w:t>ko</w:t>
      </w:r>
      <w:r w:rsidR="00C94483" w:rsidRPr="00545EC0">
        <w:rPr>
          <w:rFonts w:cs="Arial"/>
          <w:bCs/>
          <w:szCs w:val="20"/>
        </w:rPr>
        <w:t>t</w:t>
      </w:r>
      <w:r w:rsidR="00285220" w:rsidRPr="00545EC0">
        <w:rPr>
          <w:rFonts w:cs="Arial"/>
          <w:bCs/>
          <w:szCs w:val="20"/>
        </w:rPr>
        <w:t xml:space="preserve"> 99 %)</w:t>
      </w:r>
      <w:r w:rsidR="00357381" w:rsidRPr="00545EC0">
        <w:rPr>
          <w:rFonts w:cs="Arial"/>
          <w:bCs/>
          <w:szCs w:val="20"/>
        </w:rPr>
        <w:t>.</w:t>
      </w:r>
      <w:r w:rsidR="00BD7FD6" w:rsidRPr="00545EC0">
        <w:rPr>
          <w:rFonts w:cs="Arial"/>
          <w:bCs/>
          <w:szCs w:val="20"/>
        </w:rPr>
        <w:t xml:space="preserve"> </w:t>
      </w:r>
    </w:p>
    <w:p w14:paraId="1255DD07" w14:textId="023C4AA5" w:rsidR="00E4448F" w:rsidRPr="00545EC0" w:rsidRDefault="00E4448F" w:rsidP="00AD4FE7">
      <w:pPr>
        <w:pStyle w:val="podnaslov0"/>
      </w:pPr>
      <w:r w:rsidRPr="00545EC0">
        <w:t>Vodna dovoljenja</w:t>
      </w:r>
    </w:p>
    <w:p w14:paraId="030D1FBA" w14:textId="6EFFFA20" w:rsidR="00E4448F" w:rsidRPr="00545EC0" w:rsidRDefault="00E4448F" w:rsidP="00AD4FE7">
      <w:pPr>
        <w:rPr>
          <w:rFonts w:cs="Arial"/>
          <w:noProof/>
        </w:rPr>
      </w:pPr>
      <w:r w:rsidRPr="00545EC0">
        <w:rPr>
          <w:rFonts w:cs="Arial"/>
          <w:noProof/>
        </w:rPr>
        <w:t>Po podatkih vodne knjige na dan 30.8.2019 je za rabo površinskih voda s 1.874-imi akti v obliki vodnih dovoljenj dovoljena raba vode na 2.130-ih mestih</w:t>
      </w:r>
      <w:r w:rsidR="000E3F85" w:rsidRPr="00545EC0">
        <w:rPr>
          <w:rFonts w:cs="Arial"/>
          <w:noProof/>
        </w:rPr>
        <w:t xml:space="preserve"> rabe vode</w:t>
      </w:r>
      <w:r w:rsidRPr="00545EC0">
        <w:rPr>
          <w:rFonts w:cs="Arial"/>
          <w:noProof/>
        </w:rPr>
        <w:t xml:space="preserve"> (MRV), od tega je na VO Donave aktivnih 1442 </w:t>
      </w:r>
      <w:r w:rsidR="000E3F85" w:rsidRPr="00545EC0">
        <w:rPr>
          <w:rFonts w:cs="Arial"/>
          <w:noProof/>
        </w:rPr>
        <w:t xml:space="preserve">vodnih dovoljenj </w:t>
      </w:r>
      <w:r w:rsidRPr="00545EC0">
        <w:rPr>
          <w:rFonts w:cs="Arial"/>
          <w:noProof/>
        </w:rPr>
        <w:t xml:space="preserve">, ki se izvajajo na 1607 </w:t>
      </w:r>
      <w:r w:rsidR="000E3F85" w:rsidRPr="00545EC0">
        <w:rPr>
          <w:rFonts w:cs="Arial"/>
          <w:noProof/>
        </w:rPr>
        <w:t>mestih rabe vode (</w:t>
      </w:r>
      <w:r w:rsidRPr="00545EC0">
        <w:rPr>
          <w:rFonts w:cs="Arial"/>
          <w:noProof/>
        </w:rPr>
        <w:t>MRV</w:t>
      </w:r>
      <w:r w:rsidR="000E3F85" w:rsidRPr="00545EC0">
        <w:rPr>
          <w:rFonts w:cs="Arial"/>
          <w:noProof/>
        </w:rPr>
        <w:t>)</w:t>
      </w:r>
      <w:r w:rsidR="000E3F85" w:rsidRPr="00545EC0">
        <w:rPr>
          <w:rFonts w:cs="Arial"/>
          <w:noProof/>
          <w:szCs w:val="20"/>
        </w:rPr>
        <w:t xml:space="preserve"> (</w:t>
      </w:r>
      <w:r w:rsidR="000E3F85" w:rsidRPr="00545EC0">
        <w:rPr>
          <w:rFonts w:cs="Arial"/>
          <w:bCs/>
          <w:szCs w:val="20"/>
        </w:rPr>
        <w:fldChar w:fldCharType="begin"/>
      </w:r>
      <w:r w:rsidR="000E3F85" w:rsidRPr="00545EC0">
        <w:rPr>
          <w:rFonts w:cs="Arial"/>
          <w:bCs/>
          <w:szCs w:val="20"/>
        </w:rPr>
        <w:instrText xml:space="preserve"> REF _Ref87805777 \h </w:instrText>
      </w:r>
      <w:r w:rsidR="003122F4" w:rsidRPr="00545EC0">
        <w:rPr>
          <w:rFonts w:cs="Arial"/>
          <w:bCs/>
          <w:szCs w:val="20"/>
        </w:rPr>
        <w:instrText xml:space="preserve"> \* MERGEFORMAT </w:instrText>
      </w:r>
      <w:r w:rsidR="000E3F85" w:rsidRPr="00545EC0">
        <w:rPr>
          <w:rFonts w:cs="Arial"/>
          <w:bCs/>
          <w:szCs w:val="20"/>
        </w:rPr>
      </w:r>
      <w:r w:rsidR="000E3F85" w:rsidRPr="00545EC0">
        <w:rPr>
          <w:rFonts w:cs="Arial"/>
          <w:bCs/>
          <w:szCs w:val="20"/>
        </w:rPr>
        <w:fldChar w:fldCharType="separate"/>
      </w:r>
      <w:r w:rsidR="002F3E43" w:rsidRPr="002F3E43">
        <w:rPr>
          <w:noProof/>
        </w:rPr>
        <w:t xml:space="preserve">Slika </w:t>
      </w:r>
      <w:r w:rsidR="002F3E43">
        <w:rPr>
          <w:bCs/>
          <w:noProof/>
        </w:rPr>
        <w:t>2</w:t>
      </w:r>
      <w:r w:rsidR="002F3E43" w:rsidRPr="00545EC0">
        <w:rPr>
          <w:bCs/>
          <w:noProof/>
        </w:rPr>
        <w:noBreakHyphen/>
      </w:r>
      <w:r w:rsidR="002F3E43">
        <w:rPr>
          <w:bCs/>
          <w:noProof/>
        </w:rPr>
        <w:t>26</w:t>
      </w:r>
      <w:r w:rsidR="000E3F85" w:rsidRPr="00545EC0">
        <w:rPr>
          <w:rFonts w:cs="Arial"/>
          <w:bCs/>
          <w:szCs w:val="20"/>
        </w:rPr>
        <w:fldChar w:fldCharType="end"/>
      </w:r>
      <w:r w:rsidR="000E3F85" w:rsidRPr="00545EC0">
        <w:rPr>
          <w:rFonts w:cs="Arial"/>
          <w:bCs/>
          <w:szCs w:val="20"/>
        </w:rPr>
        <w:t>)</w:t>
      </w:r>
      <w:r w:rsidR="00DC0AFA" w:rsidRPr="00545EC0">
        <w:rPr>
          <w:rFonts w:cs="Arial"/>
          <w:bCs/>
          <w:szCs w:val="20"/>
        </w:rPr>
        <w:t xml:space="preserve"> </w:t>
      </w:r>
      <w:r w:rsidR="00DC0AFA" w:rsidRPr="00545EC0">
        <w:rPr>
          <w:bCs/>
          <w:noProof/>
        </w:rPr>
        <w:t>(</w:t>
      </w:r>
      <w:r w:rsidR="00DC0AFA" w:rsidRPr="00545EC0">
        <w:rPr>
          <w:noProof/>
          <w:szCs w:val="20"/>
        </w:rPr>
        <w:t>DRSV, 2019a</w:t>
      </w:r>
      <w:r w:rsidR="00DC0AFA" w:rsidRPr="00545EC0">
        <w:rPr>
          <w:bCs/>
          <w:noProof/>
        </w:rPr>
        <w:t>)</w:t>
      </w:r>
      <w:r w:rsidRPr="00545EC0">
        <w:rPr>
          <w:rFonts w:cs="Arial"/>
          <w:noProof/>
        </w:rPr>
        <w:t>.</w:t>
      </w:r>
    </w:p>
    <w:p w14:paraId="2986CF4E" w14:textId="77777777" w:rsidR="00E4448F" w:rsidRPr="00545EC0" w:rsidRDefault="00E4448F" w:rsidP="00AD4FE7">
      <w:pPr>
        <w:rPr>
          <w:rFonts w:cs="Arial"/>
          <w:noProof/>
        </w:rPr>
      </w:pPr>
    </w:p>
    <w:p w14:paraId="33CBA7AD" w14:textId="6B5B88B7" w:rsidR="00E4448F" w:rsidRPr="00545EC0" w:rsidRDefault="00DE67B0" w:rsidP="00AD4FE7">
      <w:pPr>
        <w:rPr>
          <w:rFonts w:cs="Arial"/>
          <w:noProof/>
          <w:szCs w:val="20"/>
        </w:rPr>
      </w:pPr>
      <w:r w:rsidRPr="00545EC0">
        <w:rPr>
          <w:rFonts w:cs="Arial"/>
          <w:noProof/>
          <w:szCs w:val="20"/>
        </w:rPr>
        <w:t>Na osnovi podeljenih vodnih dovoljenj so najpogostejše vrste rabe voda na VO Donave raba vode za pogon malih hidroelektrarn, za namakanje v kmetijstvu in drugo rabo. Z vodnimi dovoljenji je dovoljen največji obseg rabe vode (izraženo v m</w:t>
      </w:r>
      <w:r w:rsidRPr="00545EC0">
        <w:rPr>
          <w:rFonts w:cs="Arial"/>
          <w:noProof/>
          <w:szCs w:val="20"/>
          <w:vertAlign w:val="superscript"/>
        </w:rPr>
        <w:t>3</w:t>
      </w:r>
      <w:r w:rsidRPr="00545EC0">
        <w:rPr>
          <w:rFonts w:cs="Arial"/>
          <w:noProof/>
          <w:szCs w:val="20"/>
        </w:rPr>
        <w:t>/leto) za obratovanje malih hidroelektrarn</w:t>
      </w:r>
      <w:r w:rsidR="00E4448F" w:rsidRPr="00545EC0">
        <w:rPr>
          <w:rFonts w:cs="Arial"/>
          <w:noProof/>
          <w:szCs w:val="20"/>
        </w:rPr>
        <w:t xml:space="preserve"> (94 %) (</w:t>
      </w:r>
      <w:r w:rsidR="00E4448F" w:rsidRPr="00545EC0">
        <w:rPr>
          <w:rFonts w:cs="Arial"/>
          <w:noProof/>
          <w:szCs w:val="20"/>
        </w:rPr>
        <w:fldChar w:fldCharType="begin"/>
      </w:r>
      <w:r w:rsidR="00E4448F" w:rsidRPr="00545EC0">
        <w:rPr>
          <w:rFonts w:cs="Arial"/>
          <w:noProof/>
          <w:szCs w:val="20"/>
        </w:rPr>
        <w:instrText xml:space="preserve"> REF _Ref58268379 \h  \* MERGEFORMAT </w:instrText>
      </w:r>
      <w:r w:rsidR="00E4448F" w:rsidRPr="00545EC0">
        <w:rPr>
          <w:rFonts w:cs="Arial"/>
          <w:noProof/>
          <w:szCs w:val="20"/>
        </w:rPr>
      </w:r>
      <w:r w:rsidR="00E4448F" w:rsidRPr="00545EC0">
        <w:rPr>
          <w:rFonts w:cs="Arial"/>
          <w:noProof/>
          <w:szCs w:val="20"/>
        </w:rPr>
        <w:fldChar w:fldCharType="separate"/>
      </w:r>
      <w:r w:rsidR="002F3E43" w:rsidRPr="002F3E43">
        <w:rPr>
          <w:rFonts w:cs="Arial"/>
          <w:noProof/>
          <w:szCs w:val="20"/>
        </w:rPr>
        <w:t>Slika 2</w:t>
      </w:r>
      <w:r w:rsidR="002F3E43" w:rsidRPr="002F3E43">
        <w:rPr>
          <w:rFonts w:cs="Arial"/>
          <w:noProof/>
          <w:szCs w:val="20"/>
        </w:rPr>
        <w:noBreakHyphen/>
        <w:t>27</w:t>
      </w:r>
      <w:r w:rsidR="00E4448F" w:rsidRPr="00545EC0">
        <w:rPr>
          <w:rFonts w:cs="Arial"/>
          <w:noProof/>
          <w:szCs w:val="20"/>
        </w:rPr>
        <w:fldChar w:fldCharType="end"/>
      </w:r>
      <w:r w:rsidR="00E4448F" w:rsidRPr="00545EC0">
        <w:rPr>
          <w:rFonts w:cs="Arial"/>
          <w:noProof/>
          <w:szCs w:val="20"/>
        </w:rPr>
        <w:t>)</w:t>
      </w:r>
      <w:r w:rsidR="00DC0AFA" w:rsidRPr="00545EC0">
        <w:rPr>
          <w:rFonts w:cs="Arial"/>
          <w:noProof/>
          <w:szCs w:val="20"/>
        </w:rPr>
        <w:t xml:space="preserve"> </w:t>
      </w:r>
      <w:r w:rsidR="00DC0AFA" w:rsidRPr="00545EC0">
        <w:rPr>
          <w:bCs/>
          <w:noProof/>
        </w:rPr>
        <w:t>(</w:t>
      </w:r>
      <w:r w:rsidR="00DC0AFA" w:rsidRPr="00545EC0">
        <w:rPr>
          <w:noProof/>
          <w:szCs w:val="20"/>
        </w:rPr>
        <w:t>DRSV, 2019a</w:t>
      </w:r>
      <w:r w:rsidR="00DC0AFA" w:rsidRPr="00545EC0">
        <w:rPr>
          <w:bCs/>
          <w:noProof/>
        </w:rPr>
        <w:t>)</w:t>
      </w:r>
      <w:r w:rsidR="00E4448F" w:rsidRPr="00545EC0">
        <w:rPr>
          <w:rFonts w:cs="Arial"/>
          <w:noProof/>
          <w:szCs w:val="20"/>
        </w:rPr>
        <w:t xml:space="preserve">. Od preostalega deleža 6 % količin se največ vode rabi za hlajenje, sledijo mlini in žage ter ribogojnice </w:t>
      </w:r>
      <w:r w:rsidR="00DC0AFA" w:rsidRPr="00545EC0">
        <w:rPr>
          <w:bCs/>
          <w:noProof/>
        </w:rPr>
        <w:t>(</w:t>
      </w:r>
      <w:r w:rsidR="00DC0AFA" w:rsidRPr="00545EC0">
        <w:rPr>
          <w:noProof/>
          <w:szCs w:val="20"/>
        </w:rPr>
        <w:t>DRSV, 2019a</w:t>
      </w:r>
      <w:r w:rsidR="00DC0AFA" w:rsidRPr="00545EC0">
        <w:rPr>
          <w:bCs/>
          <w:noProof/>
        </w:rPr>
        <w:t>)</w:t>
      </w:r>
      <w:r w:rsidR="00E4448F" w:rsidRPr="00545EC0">
        <w:rPr>
          <w:rFonts w:cs="Arial"/>
          <w:noProof/>
          <w:szCs w:val="20"/>
        </w:rPr>
        <w:t>. Največje površine (izraženo v m</w:t>
      </w:r>
      <w:r w:rsidR="00E4448F" w:rsidRPr="00545EC0">
        <w:rPr>
          <w:rFonts w:cs="Arial"/>
          <w:noProof/>
          <w:szCs w:val="20"/>
          <w:vertAlign w:val="superscript"/>
        </w:rPr>
        <w:t>2</w:t>
      </w:r>
      <w:r w:rsidR="00E4448F" w:rsidRPr="00545EC0">
        <w:rPr>
          <w:rFonts w:cs="Arial"/>
          <w:noProof/>
          <w:szCs w:val="20"/>
        </w:rPr>
        <w:t>) pa so namenjene gojenju ciprinidnih vrst rib (96 %) (</w:t>
      </w:r>
      <w:r w:rsidR="00784672" w:rsidRPr="00545EC0">
        <w:rPr>
          <w:rFonts w:cs="Arial"/>
          <w:noProof/>
          <w:szCs w:val="20"/>
        </w:rPr>
        <w:fldChar w:fldCharType="begin"/>
      </w:r>
      <w:r w:rsidR="00784672" w:rsidRPr="00545EC0">
        <w:rPr>
          <w:rFonts w:cs="Arial"/>
          <w:noProof/>
          <w:szCs w:val="20"/>
        </w:rPr>
        <w:instrText xml:space="preserve"> REF _Ref90251201 \h </w:instrText>
      </w:r>
      <w:r w:rsidR="00545EC0">
        <w:rPr>
          <w:rFonts w:cs="Arial"/>
          <w:noProof/>
          <w:szCs w:val="20"/>
        </w:rPr>
        <w:instrText xml:space="preserve"> \* MERGEFORMAT </w:instrText>
      </w:r>
      <w:r w:rsidR="00784672" w:rsidRPr="00545EC0">
        <w:rPr>
          <w:rFonts w:cs="Arial"/>
          <w:noProof/>
          <w:szCs w:val="20"/>
        </w:rPr>
      </w:r>
      <w:r w:rsidR="00784672" w:rsidRPr="00545EC0">
        <w:rPr>
          <w:rFonts w:cs="Arial"/>
          <w:noProof/>
          <w:szCs w:val="20"/>
        </w:rPr>
        <w:fldChar w:fldCharType="separate"/>
      </w:r>
      <w:r w:rsidR="002F3E43" w:rsidRPr="00545EC0">
        <w:rPr>
          <w:bCs/>
          <w:noProof/>
        </w:rPr>
        <w:t xml:space="preserve">Slika </w:t>
      </w:r>
      <w:r w:rsidR="002F3E43">
        <w:rPr>
          <w:bCs/>
          <w:noProof/>
        </w:rPr>
        <w:t>2</w:t>
      </w:r>
      <w:r w:rsidR="002F3E43" w:rsidRPr="00545EC0">
        <w:rPr>
          <w:bCs/>
          <w:noProof/>
        </w:rPr>
        <w:noBreakHyphen/>
      </w:r>
      <w:r w:rsidR="002F3E43">
        <w:rPr>
          <w:bCs/>
          <w:noProof/>
        </w:rPr>
        <w:t>28</w:t>
      </w:r>
      <w:r w:rsidR="00784672" w:rsidRPr="00545EC0">
        <w:rPr>
          <w:rFonts w:cs="Arial"/>
          <w:noProof/>
          <w:szCs w:val="20"/>
        </w:rPr>
        <w:fldChar w:fldCharType="end"/>
      </w:r>
      <w:r w:rsidR="00E4448F" w:rsidRPr="00545EC0">
        <w:rPr>
          <w:rFonts w:cs="Arial"/>
          <w:noProof/>
          <w:szCs w:val="20"/>
        </w:rPr>
        <w:t>)</w:t>
      </w:r>
      <w:r w:rsidR="00DC0AFA" w:rsidRPr="00545EC0">
        <w:rPr>
          <w:rFonts w:cs="Arial"/>
          <w:noProof/>
          <w:szCs w:val="20"/>
        </w:rPr>
        <w:t xml:space="preserve"> </w:t>
      </w:r>
      <w:r w:rsidR="00DC0AFA" w:rsidRPr="00545EC0">
        <w:rPr>
          <w:bCs/>
          <w:noProof/>
        </w:rPr>
        <w:t>(</w:t>
      </w:r>
      <w:r w:rsidR="00DC0AFA" w:rsidRPr="00545EC0">
        <w:rPr>
          <w:noProof/>
          <w:szCs w:val="20"/>
        </w:rPr>
        <w:t>DRSV, 2019a</w:t>
      </w:r>
      <w:r w:rsidR="00DC0AFA" w:rsidRPr="00545EC0">
        <w:rPr>
          <w:bCs/>
          <w:noProof/>
        </w:rPr>
        <w:t>)</w:t>
      </w:r>
      <w:r w:rsidR="00E4448F" w:rsidRPr="00545EC0">
        <w:rPr>
          <w:rFonts w:cs="Arial"/>
          <w:noProof/>
          <w:szCs w:val="20"/>
        </w:rPr>
        <w:t xml:space="preserve">. Od preostalega deleža 4 % pa se največ vodnih površin rabi za pristanišča in vstopno-izstopna mesta ter naravna kopališča </w:t>
      </w:r>
      <w:r w:rsidR="00DC0AFA" w:rsidRPr="00545EC0">
        <w:rPr>
          <w:bCs/>
          <w:noProof/>
        </w:rPr>
        <w:t>(</w:t>
      </w:r>
      <w:r w:rsidR="00DC0AFA" w:rsidRPr="00545EC0">
        <w:rPr>
          <w:noProof/>
          <w:szCs w:val="20"/>
        </w:rPr>
        <w:t>DRSV, 2019a</w:t>
      </w:r>
      <w:r w:rsidR="00DC0AFA" w:rsidRPr="00545EC0">
        <w:rPr>
          <w:bCs/>
          <w:noProof/>
        </w:rPr>
        <w:t>)</w:t>
      </w:r>
      <w:r w:rsidR="00E4448F" w:rsidRPr="00545EC0">
        <w:rPr>
          <w:rFonts w:cs="Arial"/>
          <w:noProof/>
          <w:szCs w:val="20"/>
        </w:rPr>
        <w:t>.</w:t>
      </w:r>
    </w:p>
    <w:p w14:paraId="26EC5524" w14:textId="77777777" w:rsidR="00E4448F" w:rsidRPr="00545EC0" w:rsidRDefault="00E4448F" w:rsidP="00AD4FE7">
      <w:pPr>
        <w:rPr>
          <w:rFonts w:cs="Arial"/>
          <w:noProof/>
          <w:szCs w:val="22"/>
        </w:rPr>
      </w:pPr>
    </w:p>
    <w:p w14:paraId="7465FAD7" w14:textId="1B506E3C" w:rsidR="002B7101" w:rsidRPr="00545EC0" w:rsidRDefault="002B7101" w:rsidP="00AD4FE7">
      <w:pPr>
        <w:rPr>
          <w:rFonts w:cs="Arial"/>
          <w:noProof/>
          <w:szCs w:val="22"/>
        </w:rPr>
      </w:pPr>
      <w:r w:rsidRPr="00545EC0">
        <w:rPr>
          <w:rFonts w:cs="Arial"/>
          <w:noProof/>
          <w:szCs w:val="22"/>
        </w:rPr>
        <w:lastRenderedPageBreak/>
        <w:drawing>
          <wp:inline distT="0" distB="0" distL="0" distR="0" wp14:anchorId="642BADDC" wp14:editId="5FD003AE">
            <wp:extent cx="5462357" cy="3979643"/>
            <wp:effectExtent l="0" t="0" r="5080" b="190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66344" cy="3982548"/>
                    </a:xfrm>
                    <a:prstGeom prst="rect">
                      <a:avLst/>
                    </a:prstGeom>
                    <a:noFill/>
                  </pic:spPr>
                </pic:pic>
              </a:graphicData>
            </a:graphic>
          </wp:inline>
        </w:drawing>
      </w:r>
    </w:p>
    <w:p w14:paraId="39BA67CC" w14:textId="2448BA0D" w:rsidR="00E4448F" w:rsidRPr="00545EC0" w:rsidRDefault="002B7101" w:rsidP="00AD4FE7">
      <w:pPr>
        <w:rPr>
          <w:bCs/>
          <w:noProof/>
        </w:rPr>
      </w:pPr>
      <w:bookmarkStart w:id="269" w:name="_Ref87805777"/>
      <w:bookmarkStart w:id="270" w:name="_Toc58275226"/>
      <w:bookmarkStart w:id="271" w:name="_Toc66780961"/>
      <w:r w:rsidRPr="00545EC0">
        <w:rPr>
          <w:bCs/>
          <w:noProof/>
        </w:rPr>
        <w:t xml:space="preserve">Slika </w:t>
      </w:r>
      <w:r w:rsidR="00396E1E" w:rsidRPr="00545EC0">
        <w:rPr>
          <w:bCs/>
          <w:noProof/>
        </w:rPr>
        <w:fldChar w:fldCharType="begin"/>
      </w:r>
      <w:r w:rsidR="00396E1E" w:rsidRPr="00545EC0">
        <w:rPr>
          <w:bCs/>
          <w:noProof/>
        </w:rPr>
        <w:instrText xml:space="preserve"> STYLEREF 1 \s </w:instrText>
      </w:r>
      <w:r w:rsidR="00396E1E" w:rsidRPr="00545EC0">
        <w:rPr>
          <w:bCs/>
          <w:noProof/>
        </w:rPr>
        <w:fldChar w:fldCharType="separate"/>
      </w:r>
      <w:r w:rsidR="002F3E43">
        <w:rPr>
          <w:bCs/>
          <w:noProof/>
        </w:rPr>
        <w:t>2</w:t>
      </w:r>
      <w:r w:rsidR="00396E1E" w:rsidRPr="00545EC0">
        <w:rPr>
          <w:bCs/>
          <w:noProof/>
        </w:rPr>
        <w:fldChar w:fldCharType="end"/>
      </w:r>
      <w:r w:rsidR="00396E1E" w:rsidRPr="00545EC0">
        <w:rPr>
          <w:bCs/>
          <w:noProof/>
        </w:rPr>
        <w:noBreakHyphen/>
      </w:r>
      <w:r w:rsidR="00396E1E" w:rsidRPr="00545EC0">
        <w:rPr>
          <w:bCs/>
          <w:noProof/>
        </w:rPr>
        <w:fldChar w:fldCharType="begin"/>
      </w:r>
      <w:r w:rsidR="00396E1E" w:rsidRPr="00545EC0">
        <w:rPr>
          <w:bCs/>
          <w:noProof/>
        </w:rPr>
        <w:instrText xml:space="preserve"> SEQ Slika \* ARABIC \s 1 </w:instrText>
      </w:r>
      <w:r w:rsidR="00396E1E" w:rsidRPr="00545EC0">
        <w:rPr>
          <w:bCs/>
          <w:noProof/>
        </w:rPr>
        <w:fldChar w:fldCharType="separate"/>
      </w:r>
      <w:r w:rsidR="002F3E43">
        <w:rPr>
          <w:bCs/>
          <w:noProof/>
        </w:rPr>
        <w:t>26</w:t>
      </w:r>
      <w:r w:rsidR="00396E1E" w:rsidRPr="00545EC0">
        <w:rPr>
          <w:bCs/>
          <w:noProof/>
        </w:rPr>
        <w:fldChar w:fldCharType="end"/>
      </w:r>
      <w:bookmarkEnd w:id="269"/>
      <w:r w:rsidRPr="00545EC0">
        <w:rPr>
          <w:bCs/>
          <w:noProof/>
        </w:rPr>
        <w:t>: Število mest rabe voda na osnovi podeljenih vodnih dovoljenj na VO Donave</w:t>
      </w:r>
      <w:bookmarkEnd w:id="270"/>
      <w:bookmarkEnd w:id="271"/>
    </w:p>
    <w:p w14:paraId="6D77E1E5" w14:textId="77777777" w:rsidR="002B7101" w:rsidRPr="00545EC0" w:rsidRDefault="002B7101" w:rsidP="00AD4FE7">
      <w:pPr>
        <w:rPr>
          <w:rFonts w:cs="Arial"/>
        </w:rPr>
      </w:pPr>
    </w:p>
    <w:p w14:paraId="4A2A0300" w14:textId="090B8FD2" w:rsidR="002B7101" w:rsidRPr="00545EC0" w:rsidRDefault="002B7101" w:rsidP="00AD4FE7">
      <w:pPr>
        <w:rPr>
          <w:rFonts w:cs="Arial"/>
        </w:rPr>
      </w:pPr>
      <w:r w:rsidRPr="00545EC0">
        <w:rPr>
          <w:rFonts w:cs="Arial"/>
          <w:noProof/>
        </w:rPr>
        <w:drawing>
          <wp:inline distT="0" distB="0" distL="0" distR="0" wp14:anchorId="5A5947B8" wp14:editId="358A74BF">
            <wp:extent cx="5372100" cy="3457126"/>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77884" cy="3460848"/>
                    </a:xfrm>
                    <a:prstGeom prst="rect">
                      <a:avLst/>
                    </a:prstGeom>
                    <a:noFill/>
                  </pic:spPr>
                </pic:pic>
              </a:graphicData>
            </a:graphic>
          </wp:inline>
        </w:drawing>
      </w:r>
    </w:p>
    <w:p w14:paraId="1A5CDEB9" w14:textId="764A4481" w:rsidR="002B7101" w:rsidRPr="00545EC0" w:rsidRDefault="002B7101" w:rsidP="002B7101">
      <w:pPr>
        <w:pStyle w:val="Napis"/>
        <w:rPr>
          <w:bCs w:val="0"/>
          <w:noProof/>
          <w:szCs w:val="16"/>
          <w:lang w:eastAsia="sl-SI"/>
        </w:rPr>
      </w:pPr>
      <w:bookmarkStart w:id="272" w:name="_Ref58268379"/>
      <w:bookmarkStart w:id="273" w:name="_Toc58275227"/>
      <w:bookmarkStart w:id="274" w:name="_Toc66780962"/>
      <w:r w:rsidRPr="00545EC0">
        <w:rPr>
          <w:bCs w:val="0"/>
          <w:noProof/>
          <w:szCs w:val="16"/>
          <w:lang w:eastAsia="sl-SI"/>
        </w:rPr>
        <w:t xml:space="preserve">Slika </w:t>
      </w:r>
      <w:r w:rsidR="00396E1E" w:rsidRPr="00545EC0">
        <w:rPr>
          <w:bCs w:val="0"/>
          <w:noProof/>
          <w:szCs w:val="16"/>
          <w:lang w:eastAsia="sl-SI"/>
        </w:rPr>
        <w:fldChar w:fldCharType="begin"/>
      </w:r>
      <w:r w:rsidR="00396E1E" w:rsidRPr="00545EC0">
        <w:rPr>
          <w:bCs w:val="0"/>
          <w:noProof/>
          <w:szCs w:val="16"/>
          <w:lang w:eastAsia="sl-SI"/>
        </w:rPr>
        <w:instrText xml:space="preserve"> STYLEREF 1 \s </w:instrText>
      </w:r>
      <w:r w:rsidR="00396E1E" w:rsidRPr="00545EC0">
        <w:rPr>
          <w:bCs w:val="0"/>
          <w:noProof/>
          <w:szCs w:val="16"/>
          <w:lang w:eastAsia="sl-SI"/>
        </w:rPr>
        <w:fldChar w:fldCharType="separate"/>
      </w:r>
      <w:r w:rsidR="002F3E43">
        <w:rPr>
          <w:bCs w:val="0"/>
          <w:noProof/>
          <w:szCs w:val="16"/>
          <w:lang w:eastAsia="sl-SI"/>
        </w:rPr>
        <w:t>2</w:t>
      </w:r>
      <w:r w:rsidR="00396E1E" w:rsidRPr="00545EC0">
        <w:rPr>
          <w:bCs w:val="0"/>
          <w:noProof/>
          <w:szCs w:val="16"/>
          <w:lang w:eastAsia="sl-SI"/>
        </w:rPr>
        <w:fldChar w:fldCharType="end"/>
      </w:r>
      <w:r w:rsidR="00396E1E" w:rsidRPr="00545EC0">
        <w:rPr>
          <w:bCs w:val="0"/>
          <w:noProof/>
          <w:szCs w:val="16"/>
          <w:lang w:eastAsia="sl-SI"/>
        </w:rPr>
        <w:noBreakHyphen/>
      </w:r>
      <w:r w:rsidR="00396E1E" w:rsidRPr="00545EC0">
        <w:rPr>
          <w:bCs w:val="0"/>
          <w:noProof/>
          <w:szCs w:val="16"/>
          <w:lang w:eastAsia="sl-SI"/>
        </w:rPr>
        <w:fldChar w:fldCharType="begin"/>
      </w:r>
      <w:r w:rsidR="00396E1E" w:rsidRPr="00545EC0">
        <w:rPr>
          <w:bCs w:val="0"/>
          <w:noProof/>
          <w:szCs w:val="16"/>
          <w:lang w:eastAsia="sl-SI"/>
        </w:rPr>
        <w:instrText xml:space="preserve"> SEQ Slika \* ARABIC \s 1 </w:instrText>
      </w:r>
      <w:r w:rsidR="00396E1E" w:rsidRPr="00545EC0">
        <w:rPr>
          <w:bCs w:val="0"/>
          <w:noProof/>
          <w:szCs w:val="16"/>
          <w:lang w:eastAsia="sl-SI"/>
        </w:rPr>
        <w:fldChar w:fldCharType="separate"/>
      </w:r>
      <w:r w:rsidR="002F3E43">
        <w:rPr>
          <w:bCs w:val="0"/>
          <w:noProof/>
          <w:szCs w:val="16"/>
          <w:lang w:eastAsia="sl-SI"/>
        </w:rPr>
        <w:t>27</w:t>
      </w:r>
      <w:r w:rsidR="00396E1E" w:rsidRPr="00545EC0">
        <w:rPr>
          <w:bCs w:val="0"/>
          <w:noProof/>
          <w:szCs w:val="16"/>
          <w:lang w:eastAsia="sl-SI"/>
        </w:rPr>
        <w:fldChar w:fldCharType="end"/>
      </w:r>
      <w:bookmarkEnd w:id="272"/>
      <w:r w:rsidRPr="00545EC0">
        <w:rPr>
          <w:bCs w:val="0"/>
          <w:noProof/>
          <w:szCs w:val="16"/>
          <w:lang w:eastAsia="sl-SI"/>
        </w:rPr>
        <w:t>: Dovoljen obseg rabe vode na osnovi podeljenih vodnih dovoljenje na VO Donave – pretok</w:t>
      </w:r>
      <w:bookmarkEnd w:id="273"/>
      <w:bookmarkEnd w:id="274"/>
    </w:p>
    <w:p w14:paraId="0F003810" w14:textId="77777777" w:rsidR="002B7101" w:rsidRPr="00545EC0" w:rsidRDefault="002B7101" w:rsidP="002B7101"/>
    <w:p w14:paraId="5E409C07" w14:textId="6FAE912F" w:rsidR="002B7101" w:rsidRPr="00545EC0" w:rsidRDefault="002B7101" w:rsidP="002B7101">
      <w:r w:rsidRPr="00545EC0">
        <w:rPr>
          <w:noProof/>
        </w:rPr>
        <w:lastRenderedPageBreak/>
        <w:drawing>
          <wp:inline distT="0" distB="0" distL="0" distR="0" wp14:anchorId="170498CF" wp14:editId="0A0E40AF">
            <wp:extent cx="5537200" cy="3759245"/>
            <wp:effectExtent l="0" t="0" r="635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37810" cy="3759659"/>
                    </a:xfrm>
                    <a:prstGeom prst="rect">
                      <a:avLst/>
                    </a:prstGeom>
                    <a:noFill/>
                  </pic:spPr>
                </pic:pic>
              </a:graphicData>
            </a:graphic>
          </wp:inline>
        </w:drawing>
      </w:r>
    </w:p>
    <w:p w14:paraId="303B044B" w14:textId="6289A911" w:rsidR="002B7101" w:rsidRPr="00545EC0" w:rsidRDefault="002B7101" w:rsidP="002B7101">
      <w:pPr>
        <w:pStyle w:val="Napis"/>
        <w:rPr>
          <w:bCs w:val="0"/>
          <w:noProof/>
          <w:szCs w:val="16"/>
          <w:lang w:eastAsia="sl-SI"/>
        </w:rPr>
      </w:pPr>
      <w:bookmarkStart w:id="275" w:name="_Ref90251201"/>
      <w:r w:rsidRPr="00545EC0">
        <w:rPr>
          <w:bCs w:val="0"/>
          <w:noProof/>
          <w:szCs w:val="16"/>
          <w:lang w:eastAsia="sl-SI"/>
        </w:rPr>
        <w:t xml:space="preserve">Slika </w:t>
      </w:r>
      <w:r w:rsidR="00396E1E" w:rsidRPr="00545EC0">
        <w:rPr>
          <w:bCs w:val="0"/>
          <w:noProof/>
          <w:szCs w:val="16"/>
          <w:lang w:eastAsia="sl-SI"/>
        </w:rPr>
        <w:fldChar w:fldCharType="begin"/>
      </w:r>
      <w:r w:rsidR="00396E1E" w:rsidRPr="00545EC0">
        <w:rPr>
          <w:bCs w:val="0"/>
          <w:noProof/>
          <w:szCs w:val="16"/>
          <w:lang w:eastAsia="sl-SI"/>
        </w:rPr>
        <w:instrText xml:space="preserve"> STYLEREF 1 \s </w:instrText>
      </w:r>
      <w:r w:rsidR="00396E1E" w:rsidRPr="00545EC0">
        <w:rPr>
          <w:bCs w:val="0"/>
          <w:noProof/>
          <w:szCs w:val="16"/>
          <w:lang w:eastAsia="sl-SI"/>
        </w:rPr>
        <w:fldChar w:fldCharType="separate"/>
      </w:r>
      <w:r w:rsidR="002F3E43">
        <w:rPr>
          <w:bCs w:val="0"/>
          <w:noProof/>
          <w:szCs w:val="16"/>
          <w:lang w:eastAsia="sl-SI"/>
        </w:rPr>
        <w:t>2</w:t>
      </w:r>
      <w:r w:rsidR="00396E1E" w:rsidRPr="00545EC0">
        <w:rPr>
          <w:bCs w:val="0"/>
          <w:noProof/>
          <w:szCs w:val="16"/>
          <w:lang w:eastAsia="sl-SI"/>
        </w:rPr>
        <w:fldChar w:fldCharType="end"/>
      </w:r>
      <w:r w:rsidR="00396E1E" w:rsidRPr="00545EC0">
        <w:rPr>
          <w:bCs w:val="0"/>
          <w:noProof/>
          <w:szCs w:val="16"/>
          <w:lang w:eastAsia="sl-SI"/>
        </w:rPr>
        <w:noBreakHyphen/>
      </w:r>
      <w:r w:rsidR="00396E1E" w:rsidRPr="00545EC0">
        <w:rPr>
          <w:bCs w:val="0"/>
          <w:noProof/>
          <w:szCs w:val="16"/>
          <w:lang w:eastAsia="sl-SI"/>
        </w:rPr>
        <w:fldChar w:fldCharType="begin"/>
      </w:r>
      <w:r w:rsidR="00396E1E" w:rsidRPr="00545EC0">
        <w:rPr>
          <w:bCs w:val="0"/>
          <w:noProof/>
          <w:szCs w:val="16"/>
          <w:lang w:eastAsia="sl-SI"/>
        </w:rPr>
        <w:instrText xml:space="preserve"> SEQ Slika \* ARABIC \s 1 </w:instrText>
      </w:r>
      <w:r w:rsidR="00396E1E" w:rsidRPr="00545EC0">
        <w:rPr>
          <w:bCs w:val="0"/>
          <w:noProof/>
          <w:szCs w:val="16"/>
          <w:lang w:eastAsia="sl-SI"/>
        </w:rPr>
        <w:fldChar w:fldCharType="separate"/>
      </w:r>
      <w:r w:rsidR="002F3E43">
        <w:rPr>
          <w:bCs w:val="0"/>
          <w:noProof/>
          <w:szCs w:val="16"/>
          <w:lang w:eastAsia="sl-SI"/>
        </w:rPr>
        <w:t>28</w:t>
      </w:r>
      <w:r w:rsidR="00396E1E" w:rsidRPr="00545EC0">
        <w:rPr>
          <w:bCs w:val="0"/>
          <w:noProof/>
          <w:szCs w:val="16"/>
          <w:lang w:eastAsia="sl-SI"/>
        </w:rPr>
        <w:fldChar w:fldCharType="end"/>
      </w:r>
      <w:bookmarkEnd w:id="275"/>
      <w:r w:rsidRPr="00545EC0">
        <w:rPr>
          <w:bCs w:val="0"/>
          <w:noProof/>
          <w:szCs w:val="16"/>
          <w:lang w:eastAsia="sl-SI"/>
        </w:rPr>
        <w:t>: Dovoljen obseg rabe vode na osnovi podeljenih vodnih dovoljenj na VO Donave - vodne površine</w:t>
      </w:r>
    </w:p>
    <w:p w14:paraId="607CD66D" w14:textId="77777777" w:rsidR="002B7101" w:rsidRPr="00545EC0" w:rsidRDefault="002B7101" w:rsidP="002B7101"/>
    <w:p w14:paraId="11C66BF6" w14:textId="77777777" w:rsidR="00E4448F" w:rsidRPr="00545EC0" w:rsidRDefault="00E4448F" w:rsidP="00AD4FE7">
      <w:pPr>
        <w:pStyle w:val="podnaslov0"/>
      </w:pPr>
      <w:bookmarkStart w:id="276" w:name="_Toc414365773"/>
      <w:bookmarkStart w:id="277" w:name="_Toc419099190"/>
      <w:r w:rsidRPr="00545EC0">
        <w:t>Skupni pregled posebne rabe voda na površinskih in podzemnih vodah v Sloveniji</w:t>
      </w:r>
      <w:bookmarkEnd w:id="276"/>
      <w:bookmarkEnd w:id="277"/>
    </w:p>
    <w:p w14:paraId="042877B7" w14:textId="38F67330" w:rsidR="00E4448F" w:rsidRPr="00545EC0" w:rsidRDefault="00E4448F" w:rsidP="00AD4FE7">
      <w:pPr>
        <w:rPr>
          <w:rFonts w:cs="Arial"/>
        </w:rPr>
      </w:pPr>
      <w:r w:rsidRPr="00545EC0">
        <w:rPr>
          <w:rFonts w:cs="Arial"/>
          <w:bCs/>
        </w:rPr>
        <w:t>Rabo voda je mogoče izvajati na površinskih ali podzemnih vodah (</w:t>
      </w:r>
      <w:r w:rsidR="00DC0AFA" w:rsidRPr="00545EC0">
        <w:rPr>
          <w:rFonts w:cs="Arial"/>
          <w:bCs/>
        </w:rPr>
        <w:fldChar w:fldCharType="begin"/>
      </w:r>
      <w:r w:rsidR="00DC0AFA" w:rsidRPr="00545EC0">
        <w:rPr>
          <w:rFonts w:cs="Arial"/>
          <w:bCs/>
        </w:rPr>
        <w:instrText xml:space="preserve"> REF _Ref84321296 \h </w:instrText>
      </w:r>
      <w:r w:rsidR="003122F4" w:rsidRPr="00545EC0">
        <w:rPr>
          <w:rFonts w:cs="Arial"/>
          <w:bCs/>
        </w:rPr>
        <w:instrText xml:space="preserve"> \* MERGEFORMAT </w:instrText>
      </w:r>
      <w:r w:rsidR="00DC0AFA" w:rsidRPr="00545EC0">
        <w:rPr>
          <w:rFonts w:cs="Arial"/>
          <w:bCs/>
        </w:rPr>
      </w:r>
      <w:r w:rsidR="00DC0AFA" w:rsidRPr="00545EC0">
        <w:rPr>
          <w:rFonts w:cs="Arial"/>
          <w:bCs/>
        </w:rPr>
        <w:fldChar w:fldCharType="separate"/>
      </w:r>
      <w:r w:rsidR="002F3E43" w:rsidRPr="00545EC0">
        <w:t xml:space="preserve">Preglednica </w:t>
      </w:r>
      <w:r w:rsidR="002F3E43">
        <w:rPr>
          <w:noProof/>
        </w:rPr>
        <w:t>2</w:t>
      </w:r>
      <w:r w:rsidR="002F3E43" w:rsidRPr="00545EC0">
        <w:rPr>
          <w:noProof/>
        </w:rPr>
        <w:noBreakHyphen/>
      </w:r>
      <w:r w:rsidR="002F3E43">
        <w:rPr>
          <w:noProof/>
        </w:rPr>
        <w:t>38</w:t>
      </w:r>
      <w:r w:rsidR="00DC0AFA" w:rsidRPr="00545EC0">
        <w:rPr>
          <w:rFonts w:cs="Arial"/>
          <w:bCs/>
        </w:rPr>
        <w:fldChar w:fldCharType="end"/>
      </w:r>
      <w:r w:rsidRPr="00545EC0">
        <w:rPr>
          <w:rFonts w:cs="Arial"/>
          <w:bCs/>
        </w:rPr>
        <w:t xml:space="preserve">, </w:t>
      </w:r>
      <w:r w:rsidRPr="00545EC0">
        <w:rPr>
          <w:rFonts w:cs="Arial"/>
          <w:bCs/>
          <w:i/>
        </w:rPr>
        <w:t>Publikacijska karta</w:t>
      </w:r>
      <w:r w:rsidR="00E906EC" w:rsidRPr="00545EC0">
        <w:rPr>
          <w:rFonts w:cs="Arial"/>
          <w:bCs/>
          <w:i/>
        </w:rPr>
        <w:t xml:space="preserve"> 5.5</w:t>
      </w:r>
      <w:r w:rsidRPr="00545EC0">
        <w:rPr>
          <w:rFonts w:cs="Arial"/>
          <w:bCs/>
          <w:i/>
        </w:rPr>
        <w:t>: Podeljene vodne pravice na površinskih</w:t>
      </w:r>
      <w:r w:rsidR="0087549C" w:rsidRPr="00545EC0">
        <w:rPr>
          <w:rFonts w:cs="Arial"/>
          <w:bCs/>
          <w:i/>
        </w:rPr>
        <w:t xml:space="preserve"> in podzemnih</w:t>
      </w:r>
      <w:r w:rsidRPr="00545EC0">
        <w:rPr>
          <w:rFonts w:cs="Arial"/>
          <w:bCs/>
          <w:i/>
        </w:rPr>
        <w:t xml:space="preserve"> vodah</w:t>
      </w:r>
      <w:r w:rsidRPr="00545EC0">
        <w:rPr>
          <w:rFonts w:cs="Arial"/>
          <w:bCs/>
        </w:rPr>
        <w:t xml:space="preserve">). Med </w:t>
      </w:r>
      <w:r w:rsidRPr="00545EC0">
        <w:rPr>
          <w:rStyle w:val="hps"/>
          <w:rFonts w:cs="Arial"/>
        </w:rPr>
        <w:t xml:space="preserve">podzemno vodo </w:t>
      </w:r>
      <w:r w:rsidR="00C94483" w:rsidRPr="00545EC0">
        <w:rPr>
          <w:rStyle w:val="hps"/>
          <w:rFonts w:cs="Arial"/>
        </w:rPr>
        <w:t xml:space="preserve">se </w:t>
      </w:r>
      <w:r w:rsidRPr="00545EC0">
        <w:rPr>
          <w:rStyle w:val="hps"/>
          <w:rFonts w:cs="Arial"/>
        </w:rPr>
        <w:t>štejejo tudi izviri.</w:t>
      </w:r>
      <w:r w:rsidRPr="00545EC0">
        <w:rPr>
          <w:rFonts w:cs="Arial"/>
        </w:rPr>
        <w:t xml:space="preserve"> Največje število vodnih pravic je podeljenih za rabo podzemnih voda, in sicer skoraj 95 %, od tega iz izvirov dobrih 40 % ter iz vrtin in ostalih virov dobrih 54 %. Delež vodnih pravic iz površinskih voda znaša le dobrih 5 %. S količinskega vidika se rabi največ vode iz površinskih voda, in sicer v procesih pridobivanja električne energije. Podatki o vodnih pravicah in obsegu rabe vode, pridobljeni iz vodne knjige DRSV, so navedeni v preglednici (</w:t>
      </w:r>
      <w:r w:rsidR="0095433D" w:rsidRPr="00545EC0">
        <w:rPr>
          <w:rFonts w:cs="Arial"/>
        </w:rPr>
        <w:fldChar w:fldCharType="begin"/>
      </w:r>
      <w:r w:rsidR="0095433D" w:rsidRPr="00545EC0">
        <w:rPr>
          <w:rFonts w:cs="Arial"/>
        </w:rPr>
        <w:instrText xml:space="preserve"> REF _Ref84321296 \h </w:instrText>
      </w:r>
      <w:r w:rsidR="00F37A91" w:rsidRPr="00545EC0">
        <w:rPr>
          <w:rFonts w:cs="Arial"/>
        </w:rPr>
        <w:instrText xml:space="preserve"> \* MERGEFORMAT </w:instrText>
      </w:r>
      <w:r w:rsidR="0095433D" w:rsidRPr="00545EC0">
        <w:rPr>
          <w:rFonts w:cs="Arial"/>
        </w:rPr>
      </w:r>
      <w:r w:rsidR="0095433D" w:rsidRPr="00545EC0">
        <w:rPr>
          <w:rFonts w:cs="Arial"/>
        </w:rPr>
        <w:fldChar w:fldCharType="separate"/>
      </w:r>
      <w:r w:rsidR="002F3E43" w:rsidRPr="00545EC0">
        <w:t xml:space="preserve">Preglednica </w:t>
      </w:r>
      <w:r w:rsidR="002F3E43">
        <w:rPr>
          <w:noProof/>
        </w:rPr>
        <w:t>2</w:t>
      </w:r>
      <w:r w:rsidR="002F3E43" w:rsidRPr="00545EC0">
        <w:rPr>
          <w:noProof/>
        </w:rPr>
        <w:noBreakHyphen/>
      </w:r>
      <w:r w:rsidR="002F3E43">
        <w:rPr>
          <w:noProof/>
        </w:rPr>
        <w:t>38</w:t>
      </w:r>
      <w:r w:rsidR="0095433D" w:rsidRPr="00545EC0">
        <w:rPr>
          <w:rFonts w:cs="Arial"/>
        </w:rPr>
        <w:fldChar w:fldCharType="end"/>
      </w:r>
      <w:r w:rsidRPr="00545EC0">
        <w:rPr>
          <w:rFonts w:cs="Arial"/>
        </w:rPr>
        <w:t>)</w:t>
      </w:r>
      <w:r w:rsidR="00DC0AFA" w:rsidRPr="00545EC0">
        <w:rPr>
          <w:rFonts w:cs="Arial"/>
        </w:rPr>
        <w:t xml:space="preserve"> </w:t>
      </w:r>
      <w:r w:rsidR="00DC0AFA" w:rsidRPr="00545EC0">
        <w:t>(DRSV, 2019a)</w:t>
      </w:r>
      <w:r w:rsidRPr="00545EC0">
        <w:rPr>
          <w:rFonts w:cs="Arial"/>
        </w:rPr>
        <w:t>.</w:t>
      </w:r>
    </w:p>
    <w:p w14:paraId="1F855590" w14:textId="77777777" w:rsidR="00E4448F" w:rsidRPr="00545EC0" w:rsidRDefault="00E4448F" w:rsidP="00AD4FE7">
      <w:pPr>
        <w:rPr>
          <w:rFonts w:cs="Arial"/>
          <w:bCs/>
        </w:rPr>
      </w:pPr>
    </w:p>
    <w:p w14:paraId="6B928264" w14:textId="562224BF" w:rsidR="00C26A5C" w:rsidRPr="00545EC0" w:rsidRDefault="00C26A5C" w:rsidP="00AD4FE7">
      <w:pPr>
        <w:pStyle w:val="Napis"/>
      </w:pPr>
      <w:bookmarkStart w:id="278" w:name="_Ref84321296"/>
      <w:bookmarkStart w:id="279" w:name="_Ref84258207"/>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38</w:t>
        </w:r>
      </w:fldSimple>
      <w:bookmarkEnd w:id="278"/>
      <w:r w:rsidRPr="00545EC0">
        <w:t>: Podeljene vodne pravice v Sloveniji glede na vrsto vodnega vira</w:t>
      </w:r>
      <w:bookmarkEnd w:id="279"/>
      <w:r w:rsidR="0087549C" w:rsidRPr="00545EC0">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5166"/>
        <w:gridCol w:w="1991"/>
        <w:gridCol w:w="2054"/>
      </w:tblGrid>
      <w:tr w:rsidR="003122F4" w:rsidRPr="00545EC0" w14:paraId="77AF9126" w14:textId="77777777" w:rsidTr="00285220">
        <w:trPr>
          <w:trHeight w:val="300"/>
        </w:trPr>
        <w:tc>
          <w:tcPr>
            <w:tcW w:w="2804" w:type="pct"/>
            <w:shd w:val="clear" w:color="auto" w:fill="F2F2F2" w:themeFill="background1" w:themeFillShade="F2"/>
            <w:noWrap/>
            <w:vAlign w:val="bottom"/>
          </w:tcPr>
          <w:p w14:paraId="2BAD101C" w14:textId="77777777" w:rsidR="00E4448F" w:rsidRPr="00545EC0" w:rsidRDefault="00E4448F" w:rsidP="00AD4FE7">
            <w:pPr>
              <w:rPr>
                <w:rFonts w:cs="Arial"/>
                <w:b/>
                <w:noProof/>
                <w:sz w:val="18"/>
                <w:szCs w:val="18"/>
              </w:rPr>
            </w:pPr>
            <w:r w:rsidRPr="00545EC0">
              <w:rPr>
                <w:rFonts w:cs="Arial"/>
                <w:b/>
                <w:noProof/>
                <w:sz w:val="18"/>
                <w:szCs w:val="18"/>
              </w:rPr>
              <w:t>Vrsta vodnega vira (vrsta VodP)</w:t>
            </w:r>
          </w:p>
        </w:tc>
        <w:tc>
          <w:tcPr>
            <w:tcW w:w="2196" w:type="pct"/>
            <w:gridSpan w:val="2"/>
            <w:shd w:val="clear" w:color="auto" w:fill="F2F2F2" w:themeFill="background1" w:themeFillShade="F2"/>
            <w:noWrap/>
            <w:vAlign w:val="bottom"/>
          </w:tcPr>
          <w:p w14:paraId="294FDBCA" w14:textId="77777777" w:rsidR="00E4448F" w:rsidRPr="00545EC0" w:rsidRDefault="00E4448F" w:rsidP="00AD4FE7">
            <w:pPr>
              <w:jc w:val="center"/>
              <w:rPr>
                <w:rFonts w:cs="Arial"/>
                <w:b/>
                <w:noProof/>
                <w:sz w:val="18"/>
                <w:szCs w:val="18"/>
              </w:rPr>
            </w:pPr>
            <w:r w:rsidRPr="00545EC0">
              <w:rPr>
                <w:rFonts w:cs="Arial"/>
                <w:b/>
                <w:noProof/>
                <w:sz w:val="18"/>
                <w:szCs w:val="18"/>
              </w:rPr>
              <w:t>Slovenija</w:t>
            </w:r>
          </w:p>
        </w:tc>
      </w:tr>
      <w:tr w:rsidR="003122F4" w:rsidRPr="00545EC0" w14:paraId="35B40F10" w14:textId="77777777" w:rsidTr="00E317F6">
        <w:trPr>
          <w:trHeight w:val="300"/>
        </w:trPr>
        <w:tc>
          <w:tcPr>
            <w:tcW w:w="2804" w:type="pct"/>
            <w:noWrap/>
            <w:vAlign w:val="center"/>
          </w:tcPr>
          <w:p w14:paraId="2560448F" w14:textId="77777777" w:rsidR="00E4448F" w:rsidRPr="00545EC0" w:rsidRDefault="00E4448F" w:rsidP="00AD4FE7">
            <w:pPr>
              <w:rPr>
                <w:rFonts w:cs="Arial"/>
                <w:noProof/>
                <w:sz w:val="18"/>
                <w:szCs w:val="18"/>
              </w:rPr>
            </w:pPr>
            <w:r w:rsidRPr="00545EC0">
              <w:rPr>
                <w:rFonts w:cs="Arial"/>
                <w:noProof/>
                <w:sz w:val="18"/>
                <w:szCs w:val="18"/>
              </w:rPr>
              <w:t>Površinske vode (koncesije)</w:t>
            </w:r>
          </w:p>
        </w:tc>
        <w:tc>
          <w:tcPr>
            <w:tcW w:w="1081" w:type="pct"/>
            <w:noWrap/>
            <w:vAlign w:val="bottom"/>
          </w:tcPr>
          <w:p w14:paraId="7932EF0C" w14:textId="77777777" w:rsidR="00E4448F" w:rsidRPr="00545EC0" w:rsidRDefault="00E4448F" w:rsidP="00AD4FE7">
            <w:pPr>
              <w:rPr>
                <w:rFonts w:cs="Arial"/>
                <w:bCs/>
                <w:noProof/>
                <w:sz w:val="18"/>
                <w:szCs w:val="18"/>
              </w:rPr>
            </w:pPr>
            <w:r w:rsidRPr="00545EC0">
              <w:rPr>
                <w:rFonts w:cs="Arial"/>
                <w:bCs/>
                <w:noProof/>
                <w:sz w:val="18"/>
                <w:szCs w:val="18"/>
              </w:rPr>
              <w:t>44*</w:t>
            </w:r>
          </w:p>
        </w:tc>
        <w:tc>
          <w:tcPr>
            <w:tcW w:w="1115" w:type="pct"/>
            <w:vMerge w:val="restart"/>
            <w:noWrap/>
            <w:vAlign w:val="center"/>
          </w:tcPr>
          <w:p w14:paraId="32099C0B" w14:textId="77777777" w:rsidR="00E4448F" w:rsidRPr="00545EC0" w:rsidRDefault="00E4448F" w:rsidP="00AD4FE7">
            <w:pPr>
              <w:rPr>
                <w:rFonts w:cs="Arial"/>
                <w:bCs/>
                <w:noProof/>
                <w:sz w:val="18"/>
                <w:szCs w:val="18"/>
              </w:rPr>
            </w:pPr>
            <w:r w:rsidRPr="00545EC0">
              <w:rPr>
                <w:rFonts w:cs="Arial"/>
                <w:bCs/>
                <w:noProof/>
                <w:sz w:val="18"/>
                <w:szCs w:val="18"/>
              </w:rPr>
              <w:t>2.174* (5,4 %)</w:t>
            </w:r>
          </w:p>
        </w:tc>
      </w:tr>
      <w:tr w:rsidR="003122F4" w:rsidRPr="00545EC0" w14:paraId="7A8C24B6" w14:textId="77777777" w:rsidTr="00E317F6">
        <w:trPr>
          <w:trHeight w:val="300"/>
        </w:trPr>
        <w:tc>
          <w:tcPr>
            <w:tcW w:w="2804" w:type="pct"/>
            <w:noWrap/>
            <w:vAlign w:val="center"/>
          </w:tcPr>
          <w:p w14:paraId="57B2B413" w14:textId="77777777" w:rsidR="00E4448F" w:rsidRPr="00545EC0" w:rsidRDefault="00E4448F" w:rsidP="00AD4FE7">
            <w:pPr>
              <w:rPr>
                <w:rFonts w:cs="Arial"/>
                <w:noProof/>
                <w:sz w:val="18"/>
                <w:szCs w:val="18"/>
              </w:rPr>
            </w:pPr>
            <w:r w:rsidRPr="00545EC0">
              <w:rPr>
                <w:rFonts w:cs="Arial"/>
                <w:noProof/>
                <w:sz w:val="18"/>
                <w:szCs w:val="18"/>
              </w:rPr>
              <w:t>Površinske vode (vodna dovoljenja)</w:t>
            </w:r>
          </w:p>
        </w:tc>
        <w:tc>
          <w:tcPr>
            <w:tcW w:w="1081" w:type="pct"/>
            <w:noWrap/>
            <w:vAlign w:val="bottom"/>
          </w:tcPr>
          <w:p w14:paraId="7DB31FE1" w14:textId="77777777" w:rsidR="00E4448F" w:rsidRPr="00545EC0" w:rsidRDefault="00E4448F" w:rsidP="00AD4FE7">
            <w:pPr>
              <w:rPr>
                <w:rFonts w:cs="Arial"/>
                <w:bCs/>
                <w:noProof/>
                <w:sz w:val="18"/>
                <w:szCs w:val="18"/>
              </w:rPr>
            </w:pPr>
            <w:r w:rsidRPr="00545EC0">
              <w:rPr>
                <w:rFonts w:cs="Arial"/>
                <w:bCs/>
                <w:noProof/>
                <w:sz w:val="18"/>
                <w:szCs w:val="18"/>
              </w:rPr>
              <w:t>2130*</w:t>
            </w:r>
          </w:p>
        </w:tc>
        <w:tc>
          <w:tcPr>
            <w:tcW w:w="1115" w:type="pct"/>
            <w:vMerge/>
            <w:vAlign w:val="center"/>
          </w:tcPr>
          <w:p w14:paraId="5BDAF8EB" w14:textId="77777777" w:rsidR="00E4448F" w:rsidRPr="00545EC0" w:rsidRDefault="00E4448F" w:rsidP="00AD4FE7">
            <w:pPr>
              <w:rPr>
                <w:rFonts w:cs="Arial"/>
                <w:bCs/>
                <w:noProof/>
                <w:sz w:val="18"/>
                <w:szCs w:val="18"/>
              </w:rPr>
            </w:pPr>
          </w:p>
        </w:tc>
      </w:tr>
      <w:tr w:rsidR="003122F4" w:rsidRPr="00545EC0" w14:paraId="55671397" w14:textId="77777777" w:rsidTr="00E317F6">
        <w:trPr>
          <w:trHeight w:val="300"/>
        </w:trPr>
        <w:tc>
          <w:tcPr>
            <w:tcW w:w="2804" w:type="pct"/>
            <w:noWrap/>
            <w:vAlign w:val="bottom"/>
          </w:tcPr>
          <w:p w14:paraId="6D69560C" w14:textId="77777777" w:rsidR="00E4448F" w:rsidRPr="00545EC0" w:rsidRDefault="00E4448F" w:rsidP="00AD4FE7">
            <w:pPr>
              <w:rPr>
                <w:rFonts w:cs="Arial"/>
                <w:noProof/>
                <w:sz w:val="18"/>
                <w:szCs w:val="18"/>
              </w:rPr>
            </w:pPr>
            <w:r w:rsidRPr="00545EC0">
              <w:rPr>
                <w:rFonts w:cs="Arial"/>
                <w:noProof/>
                <w:sz w:val="18"/>
                <w:szCs w:val="18"/>
              </w:rPr>
              <w:t>Izviri (koncesije)</w:t>
            </w:r>
          </w:p>
        </w:tc>
        <w:tc>
          <w:tcPr>
            <w:tcW w:w="1081" w:type="pct"/>
            <w:noWrap/>
            <w:vAlign w:val="bottom"/>
          </w:tcPr>
          <w:p w14:paraId="7D16F4D4" w14:textId="77777777" w:rsidR="00E4448F" w:rsidRPr="00545EC0" w:rsidRDefault="00E4448F" w:rsidP="00AD4FE7">
            <w:pPr>
              <w:rPr>
                <w:rFonts w:cs="Arial"/>
                <w:bCs/>
                <w:noProof/>
                <w:sz w:val="18"/>
                <w:szCs w:val="18"/>
              </w:rPr>
            </w:pPr>
            <w:r w:rsidRPr="00545EC0">
              <w:rPr>
                <w:rFonts w:cs="Arial"/>
                <w:bCs/>
                <w:noProof/>
                <w:sz w:val="18"/>
                <w:szCs w:val="18"/>
              </w:rPr>
              <w:t>5</w:t>
            </w:r>
          </w:p>
        </w:tc>
        <w:tc>
          <w:tcPr>
            <w:tcW w:w="1115" w:type="pct"/>
            <w:vMerge w:val="restart"/>
            <w:noWrap/>
            <w:vAlign w:val="center"/>
          </w:tcPr>
          <w:p w14:paraId="74BB6D90" w14:textId="77777777" w:rsidR="00E4448F" w:rsidRPr="00545EC0" w:rsidRDefault="00E4448F" w:rsidP="00AD4FE7">
            <w:pPr>
              <w:rPr>
                <w:rFonts w:cs="Arial"/>
                <w:bCs/>
                <w:noProof/>
                <w:sz w:val="18"/>
                <w:szCs w:val="18"/>
              </w:rPr>
            </w:pPr>
            <w:r w:rsidRPr="00545EC0">
              <w:rPr>
                <w:rFonts w:cs="Arial"/>
                <w:bCs/>
                <w:noProof/>
                <w:sz w:val="18"/>
                <w:szCs w:val="18"/>
              </w:rPr>
              <w:t>16.205 (40,4 %)</w:t>
            </w:r>
          </w:p>
        </w:tc>
      </w:tr>
      <w:tr w:rsidR="003122F4" w:rsidRPr="00545EC0" w14:paraId="3D49CDFF" w14:textId="77777777" w:rsidTr="00E317F6">
        <w:trPr>
          <w:trHeight w:val="300"/>
        </w:trPr>
        <w:tc>
          <w:tcPr>
            <w:tcW w:w="2804" w:type="pct"/>
            <w:noWrap/>
            <w:vAlign w:val="bottom"/>
          </w:tcPr>
          <w:p w14:paraId="6E675F72" w14:textId="77777777" w:rsidR="00E4448F" w:rsidRPr="00545EC0" w:rsidRDefault="00E4448F" w:rsidP="00AD4FE7">
            <w:pPr>
              <w:rPr>
                <w:rFonts w:cs="Arial"/>
                <w:noProof/>
                <w:sz w:val="18"/>
                <w:szCs w:val="18"/>
              </w:rPr>
            </w:pPr>
            <w:r w:rsidRPr="00545EC0">
              <w:rPr>
                <w:rFonts w:cs="Arial"/>
                <w:noProof/>
                <w:sz w:val="18"/>
                <w:szCs w:val="18"/>
              </w:rPr>
              <w:t>Izviri (vodna dovoljenja)</w:t>
            </w:r>
          </w:p>
        </w:tc>
        <w:tc>
          <w:tcPr>
            <w:tcW w:w="1081" w:type="pct"/>
            <w:noWrap/>
            <w:vAlign w:val="bottom"/>
          </w:tcPr>
          <w:p w14:paraId="0EC57F38" w14:textId="77777777" w:rsidR="00E4448F" w:rsidRPr="00545EC0" w:rsidRDefault="00E4448F" w:rsidP="00AD4FE7">
            <w:pPr>
              <w:rPr>
                <w:rFonts w:cs="Arial"/>
                <w:bCs/>
                <w:noProof/>
                <w:sz w:val="18"/>
                <w:szCs w:val="18"/>
              </w:rPr>
            </w:pPr>
            <w:r w:rsidRPr="00545EC0">
              <w:rPr>
                <w:rFonts w:cs="Arial"/>
                <w:bCs/>
                <w:noProof/>
                <w:sz w:val="18"/>
                <w:szCs w:val="18"/>
              </w:rPr>
              <w:t>16.200</w:t>
            </w:r>
          </w:p>
        </w:tc>
        <w:tc>
          <w:tcPr>
            <w:tcW w:w="1115" w:type="pct"/>
            <w:vMerge/>
            <w:noWrap/>
            <w:vAlign w:val="center"/>
          </w:tcPr>
          <w:p w14:paraId="49AE42E9" w14:textId="77777777" w:rsidR="00E4448F" w:rsidRPr="00545EC0" w:rsidRDefault="00E4448F" w:rsidP="00AD4FE7">
            <w:pPr>
              <w:rPr>
                <w:rFonts w:cs="Arial"/>
                <w:bCs/>
                <w:noProof/>
                <w:sz w:val="18"/>
                <w:szCs w:val="18"/>
              </w:rPr>
            </w:pPr>
          </w:p>
        </w:tc>
      </w:tr>
      <w:tr w:rsidR="003122F4" w:rsidRPr="00545EC0" w14:paraId="5EBADB50" w14:textId="77777777" w:rsidTr="00E317F6">
        <w:trPr>
          <w:trHeight w:val="300"/>
        </w:trPr>
        <w:tc>
          <w:tcPr>
            <w:tcW w:w="2804" w:type="pct"/>
            <w:noWrap/>
            <w:vAlign w:val="bottom"/>
          </w:tcPr>
          <w:p w14:paraId="537071F3" w14:textId="77777777" w:rsidR="00E4448F" w:rsidRPr="00545EC0" w:rsidRDefault="00E4448F" w:rsidP="00AD4FE7">
            <w:pPr>
              <w:rPr>
                <w:rFonts w:cs="Arial"/>
                <w:noProof/>
                <w:sz w:val="18"/>
                <w:szCs w:val="18"/>
              </w:rPr>
            </w:pPr>
            <w:r w:rsidRPr="00545EC0">
              <w:rPr>
                <w:rFonts w:cs="Arial"/>
                <w:noProof/>
                <w:sz w:val="18"/>
                <w:szCs w:val="18"/>
              </w:rPr>
              <w:t>Podzemne vode brez izvirov (vodna dovoljenja )</w:t>
            </w:r>
          </w:p>
        </w:tc>
        <w:tc>
          <w:tcPr>
            <w:tcW w:w="1081" w:type="pct"/>
            <w:noWrap/>
            <w:vAlign w:val="bottom"/>
          </w:tcPr>
          <w:p w14:paraId="1BD0479A" w14:textId="77777777" w:rsidR="00E4448F" w:rsidRPr="00545EC0" w:rsidRDefault="00E4448F" w:rsidP="00AD4FE7">
            <w:pPr>
              <w:rPr>
                <w:rFonts w:cs="Arial"/>
                <w:bCs/>
                <w:noProof/>
                <w:sz w:val="18"/>
                <w:szCs w:val="18"/>
              </w:rPr>
            </w:pPr>
            <w:r w:rsidRPr="00545EC0">
              <w:rPr>
                <w:rFonts w:cs="Arial"/>
                <w:bCs/>
                <w:noProof/>
                <w:sz w:val="18"/>
                <w:szCs w:val="18"/>
              </w:rPr>
              <w:t>21.559</w:t>
            </w:r>
          </w:p>
        </w:tc>
        <w:tc>
          <w:tcPr>
            <w:tcW w:w="1115" w:type="pct"/>
            <w:vMerge w:val="restart"/>
            <w:noWrap/>
            <w:vAlign w:val="center"/>
          </w:tcPr>
          <w:p w14:paraId="2057ADFF" w14:textId="77777777" w:rsidR="00E4448F" w:rsidRPr="00545EC0" w:rsidRDefault="00E4448F" w:rsidP="00AD4FE7">
            <w:pPr>
              <w:rPr>
                <w:rFonts w:cs="Arial"/>
                <w:bCs/>
                <w:noProof/>
                <w:sz w:val="18"/>
                <w:szCs w:val="18"/>
              </w:rPr>
            </w:pPr>
            <w:r w:rsidRPr="00545EC0">
              <w:rPr>
                <w:rFonts w:cs="Arial"/>
                <w:bCs/>
                <w:noProof/>
                <w:sz w:val="18"/>
                <w:szCs w:val="18"/>
              </w:rPr>
              <w:t>21.693 (54,2 %)</w:t>
            </w:r>
          </w:p>
        </w:tc>
      </w:tr>
      <w:tr w:rsidR="003122F4" w:rsidRPr="00545EC0" w14:paraId="225E0090" w14:textId="77777777" w:rsidTr="00E317F6">
        <w:trPr>
          <w:trHeight w:val="300"/>
        </w:trPr>
        <w:tc>
          <w:tcPr>
            <w:tcW w:w="2804" w:type="pct"/>
            <w:noWrap/>
            <w:vAlign w:val="bottom"/>
          </w:tcPr>
          <w:p w14:paraId="417C776F" w14:textId="77777777" w:rsidR="00E4448F" w:rsidRPr="00545EC0" w:rsidRDefault="00E4448F" w:rsidP="00AD4FE7">
            <w:pPr>
              <w:rPr>
                <w:rFonts w:cs="Arial"/>
                <w:noProof/>
                <w:sz w:val="18"/>
                <w:szCs w:val="18"/>
              </w:rPr>
            </w:pPr>
            <w:r w:rsidRPr="00545EC0">
              <w:rPr>
                <w:rFonts w:cs="Arial"/>
                <w:noProof/>
                <w:sz w:val="18"/>
                <w:szCs w:val="18"/>
              </w:rPr>
              <w:t>Podzemne vode (koncesije)</w:t>
            </w:r>
          </w:p>
        </w:tc>
        <w:tc>
          <w:tcPr>
            <w:tcW w:w="1081" w:type="pct"/>
            <w:noWrap/>
            <w:vAlign w:val="bottom"/>
          </w:tcPr>
          <w:p w14:paraId="5EFEC253" w14:textId="77777777" w:rsidR="00E4448F" w:rsidRPr="00545EC0" w:rsidRDefault="00E4448F" w:rsidP="00AD4FE7">
            <w:pPr>
              <w:rPr>
                <w:rFonts w:cs="Arial"/>
                <w:bCs/>
                <w:noProof/>
                <w:sz w:val="18"/>
                <w:szCs w:val="18"/>
              </w:rPr>
            </w:pPr>
            <w:r w:rsidRPr="00545EC0">
              <w:rPr>
                <w:rFonts w:cs="Arial"/>
                <w:bCs/>
                <w:noProof/>
                <w:sz w:val="18"/>
                <w:szCs w:val="18"/>
              </w:rPr>
              <w:t>134</w:t>
            </w:r>
          </w:p>
        </w:tc>
        <w:tc>
          <w:tcPr>
            <w:tcW w:w="1115" w:type="pct"/>
            <w:vMerge/>
            <w:vAlign w:val="center"/>
          </w:tcPr>
          <w:p w14:paraId="6E71E4A8" w14:textId="77777777" w:rsidR="00E4448F" w:rsidRPr="00545EC0" w:rsidRDefault="00E4448F" w:rsidP="00AD4FE7">
            <w:pPr>
              <w:rPr>
                <w:rFonts w:cs="Arial"/>
                <w:bCs/>
                <w:noProof/>
                <w:sz w:val="18"/>
                <w:szCs w:val="18"/>
              </w:rPr>
            </w:pPr>
          </w:p>
        </w:tc>
      </w:tr>
      <w:tr w:rsidR="003122F4" w:rsidRPr="00545EC0" w14:paraId="2B6AE270" w14:textId="77777777" w:rsidTr="00E317F6">
        <w:trPr>
          <w:trHeight w:val="300"/>
        </w:trPr>
        <w:tc>
          <w:tcPr>
            <w:tcW w:w="2804" w:type="pct"/>
            <w:noWrap/>
            <w:vAlign w:val="bottom"/>
          </w:tcPr>
          <w:p w14:paraId="0B484DA3" w14:textId="77777777" w:rsidR="00E4448F" w:rsidRPr="00545EC0" w:rsidRDefault="00E4448F" w:rsidP="00AD4FE7">
            <w:pPr>
              <w:rPr>
                <w:rFonts w:cs="Arial"/>
                <w:noProof/>
                <w:sz w:val="18"/>
                <w:szCs w:val="18"/>
              </w:rPr>
            </w:pPr>
            <w:r w:rsidRPr="00545EC0">
              <w:rPr>
                <w:rFonts w:cs="Arial"/>
                <w:noProof/>
                <w:sz w:val="18"/>
                <w:szCs w:val="18"/>
              </w:rPr>
              <w:t>SKUPAJ</w:t>
            </w:r>
          </w:p>
        </w:tc>
        <w:tc>
          <w:tcPr>
            <w:tcW w:w="1081" w:type="pct"/>
            <w:noWrap/>
            <w:vAlign w:val="bottom"/>
          </w:tcPr>
          <w:p w14:paraId="6FD717F7" w14:textId="77777777" w:rsidR="00E4448F" w:rsidRPr="00545EC0" w:rsidRDefault="00E4448F" w:rsidP="00AD4FE7">
            <w:pPr>
              <w:rPr>
                <w:rFonts w:cs="Arial"/>
                <w:bCs/>
                <w:noProof/>
                <w:sz w:val="18"/>
                <w:szCs w:val="18"/>
              </w:rPr>
            </w:pPr>
            <w:r w:rsidRPr="00545EC0">
              <w:rPr>
                <w:rFonts w:cs="Arial"/>
                <w:bCs/>
                <w:noProof/>
                <w:sz w:val="18"/>
                <w:szCs w:val="18"/>
              </w:rPr>
              <w:t>40.072</w:t>
            </w:r>
          </w:p>
        </w:tc>
        <w:tc>
          <w:tcPr>
            <w:tcW w:w="1115" w:type="pct"/>
            <w:noWrap/>
            <w:vAlign w:val="center"/>
          </w:tcPr>
          <w:p w14:paraId="29BF4FF3" w14:textId="77777777" w:rsidR="00E4448F" w:rsidRPr="00545EC0" w:rsidRDefault="00E4448F" w:rsidP="00AD4FE7">
            <w:pPr>
              <w:rPr>
                <w:rFonts w:cs="Arial"/>
                <w:bCs/>
                <w:noProof/>
                <w:sz w:val="18"/>
                <w:szCs w:val="18"/>
              </w:rPr>
            </w:pPr>
            <w:r w:rsidRPr="00545EC0">
              <w:rPr>
                <w:rFonts w:cs="Arial"/>
                <w:bCs/>
                <w:noProof/>
                <w:sz w:val="18"/>
                <w:szCs w:val="18"/>
              </w:rPr>
              <w:t>40.072</w:t>
            </w:r>
          </w:p>
        </w:tc>
      </w:tr>
    </w:tbl>
    <w:p w14:paraId="3E7DAF44" w14:textId="77777777" w:rsidR="00E4448F" w:rsidRPr="00545EC0" w:rsidRDefault="00E4448F" w:rsidP="00AD4FE7">
      <w:pPr>
        <w:rPr>
          <w:rFonts w:cs="Arial"/>
          <w:i/>
          <w:noProof/>
          <w:sz w:val="18"/>
          <w:szCs w:val="18"/>
        </w:rPr>
      </w:pPr>
      <w:r w:rsidRPr="00545EC0">
        <w:rPr>
          <w:rFonts w:cs="Arial"/>
          <w:i/>
          <w:noProof/>
          <w:sz w:val="18"/>
          <w:szCs w:val="18"/>
        </w:rPr>
        <w:lastRenderedPageBreak/>
        <w:t>* mesta rabe vode</w:t>
      </w:r>
      <w:r w:rsidRPr="00545EC0">
        <w:rPr>
          <w:rStyle w:val="Sprotnaopomba-sklic"/>
          <w:i/>
          <w:noProof/>
          <w:sz w:val="18"/>
          <w:szCs w:val="18"/>
        </w:rPr>
        <w:footnoteReference w:id="2"/>
      </w:r>
      <w:r w:rsidRPr="00545EC0">
        <w:rPr>
          <w:rFonts w:cs="Arial"/>
          <w:i/>
          <w:noProof/>
          <w:sz w:val="18"/>
          <w:szCs w:val="18"/>
          <w:vertAlign w:val="superscript"/>
        </w:rPr>
        <w:t xml:space="preserve"> </w:t>
      </w:r>
    </w:p>
    <w:p w14:paraId="6A445F8B" w14:textId="77777777" w:rsidR="00E4448F" w:rsidRPr="00545EC0" w:rsidRDefault="00E4448F" w:rsidP="00AD4FE7">
      <w:pPr>
        <w:pStyle w:val="podnaslov0"/>
      </w:pPr>
      <w:bookmarkStart w:id="280" w:name="_Toc419099191"/>
      <w:bookmarkStart w:id="281" w:name="_Toc414365774"/>
      <w:bookmarkStart w:id="282" w:name="_Ref398879813"/>
      <w:r w:rsidRPr="00545EC0">
        <w:t>Raba vode za oskrbo s pitno vodo</w:t>
      </w:r>
      <w:bookmarkEnd w:id="280"/>
      <w:bookmarkEnd w:id="281"/>
      <w:bookmarkEnd w:id="282"/>
    </w:p>
    <w:p w14:paraId="5C124617" w14:textId="25C71700" w:rsidR="00E4448F" w:rsidRPr="00545EC0" w:rsidRDefault="00E4448F" w:rsidP="00AD4FE7">
      <w:pPr>
        <w:rPr>
          <w:rFonts w:cs="Arial"/>
        </w:rPr>
      </w:pPr>
      <w:r w:rsidRPr="00545EC0">
        <w:rPr>
          <w:rFonts w:cs="Arial"/>
        </w:rPr>
        <w:t>Raba vode za oskrbo s pitno vodo je ena izmed posebnih vrst rabe voda in ima prednost pred drugimi rabami. Oskrbo s pitno vodo v Sloveniji zagotavljajo javne službe, ki delujejo v skladu s predpisi, standardi in normativi, ki urejajo pitno vodo. Naloge javne službe oskrbe s pitno vodo so določene s predpisom, ki ureja oskrbo s pitno vodo</w:t>
      </w:r>
      <w:r w:rsidR="00457362" w:rsidRPr="00545EC0">
        <w:rPr>
          <w:rFonts w:cs="Arial"/>
        </w:rPr>
        <w:t xml:space="preserve"> (Vlada RS, 2016)</w:t>
      </w:r>
      <w:r w:rsidRPr="00545EC0">
        <w:rPr>
          <w:rFonts w:cs="Arial"/>
        </w:rPr>
        <w:t xml:space="preserve">. </w:t>
      </w:r>
    </w:p>
    <w:p w14:paraId="6A444DBC" w14:textId="77777777" w:rsidR="000971D5" w:rsidRPr="00545EC0" w:rsidRDefault="000971D5" w:rsidP="00AD4FE7">
      <w:pPr>
        <w:rPr>
          <w:rFonts w:cs="Arial"/>
          <w:b/>
          <w:noProof/>
          <w:szCs w:val="20"/>
        </w:rPr>
      </w:pPr>
    </w:p>
    <w:p w14:paraId="5DE45B1C" w14:textId="2A27F5F3" w:rsidR="00E4448F" w:rsidRPr="00545EC0" w:rsidRDefault="00AA7D96" w:rsidP="00AD4FE7">
      <w:pPr>
        <w:rPr>
          <w:rFonts w:cs="Arial"/>
          <w:b/>
          <w:noProof/>
          <w:szCs w:val="20"/>
        </w:rPr>
      </w:pPr>
      <w:r w:rsidRPr="00545EC0">
        <w:rPr>
          <w:rFonts w:cs="Arial"/>
          <w:b/>
          <w:noProof/>
          <w:szCs w:val="20"/>
        </w:rPr>
        <w:t>Javna oskrba s pitno vodo</w:t>
      </w:r>
    </w:p>
    <w:p w14:paraId="63D19FC9" w14:textId="77777777" w:rsidR="000971D5" w:rsidRPr="00545EC0" w:rsidRDefault="000971D5" w:rsidP="00AD4FE7">
      <w:pPr>
        <w:rPr>
          <w:rFonts w:cs="Arial"/>
          <w:b/>
          <w:noProof/>
          <w:szCs w:val="20"/>
        </w:rPr>
      </w:pPr>
    </w:p>
    <w:p w14:paraId="2ED1391F" w14:textId="17B46FCD" w:rsidR="00E4448F" w:rsidRPr="00545EC0" w:rsidRDefault="00E4448F" w:rsidP="00AD4FE7">
      <w:pPr>
        <w:rPr>
          <w:rFonts w:cs="Arial"/>
          <w:noProof/>
          <w:szCs w:val="20"/>
        </w:rPr>
      </w:pPr>
      <w:r w:rsidRPr="00545EC0">
        <w:rPr>
          <w:rFonts w:cs="Arial"/>
          <w:noProof/>
          <w:szCs w:val="20"/>
        </w:rPr>
        <w:t>V Sloveniji se po podatkih Operativnega programa oskrbe s pitno vodo za obdobje od 2016 do 2021 iz javnega vodovoda oskrbuje 88,6 % vseh prebivalcev (</w:t>
      </w:r>
      <w:r w:rsidR="00E317F6" w:rsidRPr="00545EC0">
        <w:rPr>
          <w:rFonts w:cs="Arial"/>
          <w:noProof/>
          <w:szCs w:val="20"/>
        </w:rPr>
        <w:fldChar w:fldCharType="begin"/>
      </w:r>
      <w:r w:rsidR="00E317F6" w:rsidRPr="00545EC0">
        <w:rPr>
          <w:rFonts w:cs="Arial"/>
          <w:noProof/>
          <w:szCs w:val="20"/>
        </w:rPr>
        <w:instrText xml:space="preserve"> REF _Ref84496685 \h </w:instrText>
      </w:r>
      <w:r w:rsidR="003122F4" w:rsidRPr="00545EC0">
        <w:rPr>
          <w:rFonts w:cs="Arial"/>
          <w:noProof/>
          <w:szCs w:val="20"/>
        </w:rPr>
        <w:instrText xml:space="preserve"> \* MERGEFORMAT </w:instrText>
      </w:r>
      <w:r w:rsidR="00E317F6" w:rsidRPr="00545EC0">
        <w:rPr>
          <w:rFonts w:cs="Arial"/>
          <w:noProof/>
          <w:szCs w:val="20"/>
        </w:rPr>
      </w:r>
      <w:r w:rsidR="00E317F6" w:rsidRPr="00545EC0">
        <w:rPr>
          <w:rFonts w:cs="Arial"/>
          <w:noProof/>
          <w:szCs w:val="20"/>
        </w:rPr>
        <w:fldChar w:fldCharType="separate"/>
      </w:r>
      <w:r w:rsidR="002F3E43" w:rsidRPr="00545EC0">
        <w:t xml:space="preserve">Slika </w:t>
      </w:r>
      <w:r w:rsidR="002F3E43">
        <w:rPr>
          <w:noProof/>
        </w:rPr>
        <w:t>2</w:t>
      </w:r>
      <w:r w:rsidR="002F3E43" w:rsidRPr="00545EC0">
        <w:rPr>
          <w:noProof/>
        </w:rPr>
        <w:noBreakHyphen/>
      </w:r>
      <w:r w:rsidR="002F3E43">
        <w:rPr>
          <w:noProof/>
        </w:rPr>
        <w:t>29</w:t>
      </w:r>
      <w:r w:rsidR="00E317F6" w:rsidRPr="00545EC0">
        <w:rPr>
          <w:rFonts w:cs="Arial"/>
          <w:noProof/>
          <w:szCs w:val="20"/>
        </w:rPr>
        <w:fldChar w:fldCharType="end"/>
      </w:r>
      <w:r w:rsidR="00086BF0" w:rsidRPr="00545EC0">
        <w:rPr>
          <w:rFonts w:cs="Arial"/>
          <w:noProof/>
          <w:szCs w:val="20"/>
        </w:rPr>
        <w:t xml:space="preserve">, </w:t>
      </w:r>
      <w:r w:rsidR="00086BF0" w:rsidRPr="00545EC0">
        <w:rPr>
          <w:rFonts w:cs="Arial"/>
          <w:noProof/>
          <w:szCs w:val="20"/>
        </w:rPr>
        <w:fldChar w:fldCharType="begin"/>
      </w:r>
      <w:r w:rsidR="00086BF0" w:rsidRPr="00545EC0">
        <w:rPr>
          <w:rFonts w:cs="Arial"/>
          <w:noProof/>
          <w:szCs w:val="20"/>
        </w:rPr>
        <w:instrText xml:space="preserve"> REF _Ref84496685 \h </w:instrText>
      </w:r>
      <w:r w:rsidR="007E0EDE" w:rsidRPr="00545EC0">
        <w:rPr>
          <w:rFonts w:cs="Arial"/>
          <w:noProof/>
          <w:szCs w:val="20"/>
        </w:rPr>
        <w:instrText xml:space="preserve"> \* MERGEFORMAT </w:instrText>
      </w:r>
      <w:r w:rsidR="00086BF0" w:rsidRPr="00545EC0">
        <w:rPr>
          <w:rFonts w:cs="Arial"/>
          <w:noProof/>
          <w:szCs w:val="20"/>
        </w:rPr>
      </w:r>
      <w:r w:rsidR="00086BF0" w:rsidRPr="00545EC0">
        <w:rPr>
          <w:rFonts w:cs="Arial"/>
          <w:noProof/>
          <w:szCs w:val="20"/>
        </w:rPr>
        <w:fldChar w:fldCharType="separate"/>
      </w:r>
      <w:r w:rsidR="002F3E43" w:rsidRPr="00545EC0">
        <w:t xml:space="preserve">Slika </w:t>
      </w:r>
      <w:r w:rsidR="002F3E43">
        <w:rPr>
          <w:noProof/>
        </w:rPr>
        <w:t>2</w:t>
      </w:r>
      <w:r w:rsidR="002F3E43" w:rsidRPr="00545EC0">
        <w:rPr>
          <w:noProof/>
        </w:rPr>
        <w:noBreakHyphen/>
      </w:r>
      <w:r w:rsidR="002F3E43">
        <w:rPr>
          <w:noProof/>
        </w:rPr>
        <w:t>29</w:t>
      </w:r>
      <w:r w:rsidR="00086BF0" w:rsidRPr="00545EC0">
        <w:rPr>
          <w:rFonts w:cs="Arial"/>
          <w:noProof/>
          <w:szCs w:val="20"/>
        </w:rPr>
        <w:fldChar w:fldCharType="end"/>
      </w:r>
      <w:r w:rsidRPr="00545EC0">
        <w:rPr>
          <w:rFonts w:cs="Arial"/>
          <w:noProof/>
          <w:szCs w:val="20"/>
        </w:rPr>
        <w:t>) (Vlada RS, 2016).</w:t>
      </w:r>
    </w:p>
    <w:p w14:paraId="21EBFA1E" w14:textId="77777777" w:rsidR="000971D5" w:rsidRPr="00545EC0" w:rsidRDefault="000971D5" w:rsidP="00AD4FE7">
      <w:pPr>
        <w:rPr>
          <w:rFonts w:cs="Arial"/>
          <w:noProof/>
          <w:szCs w:val="20"/>
        </w:rPr>
      </w:pPr>
    </w:p>
    <w:p w14:paraId="18F6D6D5" w14:textId="714472AD" w:rsidR="000971D5" w:rsidRPr="00545EC0" w:rsidRDefault="00AC4A57" w:rsidP="00E317F6">
      <w:pPr>
        <w:keepNext/>
        <w:jc w:val="center"/>
      </w:pPr>
      <w:bookmarkStart w:id="283" w:name="_Ref35411801"/>
      <w:r w:rsidRPr="00545EC0">
        <w:rPr>
          <w:noProof/>
        </w:rPr>
        <w:t xml:space="preserve"> </w:t>
      </w:r>
      <w:r w:rsidR="00784672" w:rsidRPr="00545EC0">
        <w:rPr>
          <w:noProof/>
        </w:rPr>
        <w:drawing>
          <wp:inline distT="0" distB="0" distL="0" distR="0" wp14:anchorId="1FC14105" wp14:editId="2F3076A5">
            <wp:extent cx="4889500" cy="2969260"/>
            <wp:effectExtent l="0" t="0" r="6350" b="254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89500" cy="2969260"/>
                    </a:xfrm>
                    <a:prstGeom prst="rect">
                      <a:avLst/>
                    </a:prstGeom>
                    <a:noFill/>
                  </pic:spPr>
                </pic:pic>
              </a:graphicData>
            </a:graphic>
          </wp:inline>
        </w:drawing>
      </w:r>
    </w:p>
    <w:p w14:paraId="2E41C49E" w14:textId="7B83B39D" w:rsidR="0051602F" w:rsidRPr="00545EC0" w:rsidRDefault="000971D5" w:rsidP="0051602F">
      <w:pPr>
        <w:rPr>
          <w:rFonts w:cs="Arial"/>
          <w:noProof/>
          <w:szCs w:val="20"/>
        </w:rPr>
      </w:pPr>
      <w:bookmarkStart w:id="284" w:name="_Ref84496685"/>
      <w:r w:rsidRPr="00545EC0">
        <w:t xml:space="preserve">Slika </w:t>
      </w:r>
      <w:fldSimple w:instr=" STYLEREF 1 \s ">
        <w:r w:rsidR="002F3E43">
          <w:rPr>
            <w:noProof/>
          </w:rPr>
          <w:t>2</w:t>
        </w:r>
      </w:fldSimple>
      <w:r w:rsidR="00396E1E" w:rsidRPr="00545EC0">
        <w:noBreakHyphen/>
      </w:r>
      <w:fldSimple w:instr=" SEQ Slika \* ARABIC \s 1 ">
        <w:r w:rsidR="002F3E43">
          <w:rPr>
            <w:noProof/>
          </w:rPr>
          <w:t>29</w:t>
        </w:r>
      </w:fldSimple>
      <w:bookmarkEnd w:id="284"/>
      <w:r w:rsidRPr="00545EC0">
        <w:t xml:space="preserve">: </w:t>
      </w:r>
      <w:bookmarkEnd w:id="283"/>
      <w:r w:rsidR="0051602F" w:rsidRPr="00545EC0">
        <w:rPr>
          <w:rFonts w:cs="Arial"/>
          <w:noProof/>
          <w:szCs w:val="20"/>
        </w:rPr>
        <w:t>Oskrba s pitno vodo v Sloveniji v letu 2014 (Vlada RS, 2016; Rozman, 2017)</w:t>
      </w:r>
    </w:p>
    <w:p w14:paraId="0251BB5C" w14:textId="77777777" w:rsidR="00E4448F" w:rsidRPr="00545EC0" w:rsidRDefault="00E4448F" w:rsidP="00AD4FE7">
      <w:pPr>
        <w:rPr>
          <w:rFonts w:cs="Arial"/>
        </w:rPr>
      </w:pPr>
    </w:p>
    <w:p w14:paraId="148D77D0" w14:textId="6F137C4E" w:rsidR="00E4448F" w:rsidRPr="00545EC0" w:rsidRDefault="00E4448F" w:rsidP="00AD4FE7">
      <w:pPr>
        <w:rPr>
          <w:rFonts w:cs="Arial"/>
          <w:noProof/>
          <w:szCs w:val="20"/>
        </w:rPr>
      </w:pPr>
      <w:r w:rsidRPr="00545EC0">
        <w:rPr>
          <w:rFonts w:cs="Arial"/>
          <w:noProof/>
          <w:szCs w:val="20"/>
        </w:rPr>
        <w:t>Na VO Donave je</w:t>
      </w:r>
      <w:r w:rsidR="00DC0AFA" w:rsidRPr="00545EC0">
        <w:rPr>
          <w:rFonts w:cs="Arial"/>
          <w:noProof/>
          <w:szCs w:val="20"/>
        </w:rPr>
        <w:t xml:space="preserve"> bila po podatkih SURS</w:t>
      </w:r>
      <w:r w:rsidRPr="00545EC0">
        <w:rPr>
          <w:rFonts w:cs="Arial"/>
          <w:noProof/>
          <w:szCs w:val="20"/>
        </w:rPr>
        <w:t xml:space="preserve"> količina iz vodnih virov odvzete vode v obdobju od leta 2004 do leta 2018 dokaj stabilna; gibala se je okoli 140 mio m</w:t>
      </w:r>
      <w:r w:rsidRPr="00545EC0">
        <w:rPr>
          <w:rFonts w:cs="Arial"/>
          <w:noProof/>
          <w:szCs w:val="20"/>
          <w:vertAlign w:val="superscript"/>
        </w:rPr>
        <w:t>3</w:t>
      </w:r>
      <w:r w:rsidRPr="00545EC0">
        <w:rPr>
          <w:rFonts w:cs="Arial"/>
          <w:noProof/>
          <w:szCs w:val="20"/>
        </w:rPr>
        <w:t xml:space="preserve">/leto. Poraba pitne vode pa se je v obravnavanem obdobju zmanjšala </w:t>
      </w:r>
      <w:r w:rsidR="00C94483" w:rsidRPr="00545EC0">
        <w:rPr>
          <w:rFonts w:cs="Arial"/>
          <w:noProof/>
          <w:szCs w:val="20"/>
        </w:rPr>
        <w:t>iz</w:t>
      </w:r>
      <w:r w:rsidRPr="00545EC0">
        <w:rPr>
          <w:rFonts w:cs="Arial"/>
          <w:noProof/>
          <w:szCs w:val="20"/>
        </w:rPr>
        <w:t xml:space="preserve"> okoli 110 mio m</w:t>
      </w:r>
      <w:r w:rsidRPr="00545EC0">
        <w:rPr>
          <w:rFonts w:cs="Arial"/>
          <w:noProof/>
          <w:szCs w:val="20"/>
          <w:vertAlign w:val="superscript"/>
        </w:rPr>
        <w:t>3</w:t>
      </w:r>
      <w:r w:rsidRPr="00545EC0">
        <w:rPr>
          <w:rFonts w:cs="Arial"/>
          <w:noProof/>
          <w:szCs w:val="20"/>
        </w:rPr>
        <w:t xml:space="preserve"> na okoli 100 mio m</w:t>
      </w:r>
      <w:r w:rsidRPr="00545EC0">
        <w:rPr>
          <w:rFonts w:cs="Arial"/>
          <w:noProof/>
          <w:szCs w:val="20"/>
          <w:vertAlign w:val="superscript"/>
        </w:rPr>
        <w:t>3</w:t>
      </w:r>
      <w:r w:rsidRPr="00545EC0">
        <w:rPr>
          <w:rFonts w:cs="Arial"/>
          <w:noProof/>
          <w:szCs w:val="20"/>
        </w:rPr>
        <w:t>. Izgube, oz. delež razlike med odvzeto vodo in vodo</w:t>
      </w:r>
      <w:r w:rsidR="00C94483" w:rsidRPr="00545EC0">
        <w:rPr>
          <w:rFonts w:cs="Arial"/>
          <w:noProof/>
          <w:szCs w:val="20"/>
        </w:rPr>
        <w:t>, ki je bila</w:t>
      </w:r>
      <w:r w:rsidRPr="00545EC0">
        <w:rPr>
          <w:rFonts w:cs="Arial"/>
          <w:noProof/>
          <w:szCs w:val="20"/>
        </w:rPr>
        <w:t xml:space="preserve"> dobavljen</w:t>
      </w:r>
      <w:r w:rsidR="00C94483" w:rsidRPr="00545EC0">
        <w:rPr>
          <w:rFonts w:cs="Arial"/>
          <w:noProof/>
          <w:szCs w:val="20"/>
        </w:rPr>
        <w:t>a</w:t>
      </w:r>
      <w:r w:rsidRPr="00545EC0">
        <w:rPr>
          <w:rFonts w:cs="Arial"/>
          <w:noProof/>
          <w:szCs w:val="20"/>
        </w:rPr>
        <w:t xml:space="preserve"> uporabnikom, je po podatkih iz leta 2006 znašal 25 %, v letih 2012 in 2018 pa je narasel na skoraj 30 %</w:t>
      </w:r>
      <w:r w:rsidR="00DC0AFA" w:rsidRPr="00545EC0">
        <w:rPr>
          <w:rFonts w:cs="Arial"/>
          <w:noProof/>
          <w:szCs w:val="20"/>
        </w:rPr>
        <w:t>- (SURS, 2014a, 2020a, 2020b)</w:t>
      </w:r>
      <w:r w:rsidRPr="00545EC0">
        <w:rPr>
          <w:rFonts w:cs="Arial"/>
          <w:noProof/>
          <w:szCs w:val="20"/>
        </w:rPr>
        <w:t xml:space="preserve">. </w:t>
      </w:r>
    </w:p>
    <w:p w14:paraId="5093F06B" w14:textId="77777777" w:rsidR="00E4448F" w:rsidRPr="00545EC0" w:rsidRDefault="00E4448F" w:rsidP="00AD4FE7">
      <w:pPr>
        <w:rPr>
          <w:rFonts w:cs="Arial"/>
        </w:rPr>
      </w:pPr>
    </w:p>
    <w:p w14:paraId="5C784844" w14:textId="77777777" w:rsidR="00457362" w:rsidRPr="00545EC0" w:rsidRDefault="00457362" w:rsidP="00457362">
      <w:pPr>
        <w:rPr>
          <w:rFonts w:cs="Arial"/>
          <w:noProof/>
          <w:szCs w:val="20"/>
        </w:rPr>
      </w:pPr>
      <w:r w:rsidRPr="00545EC0">
        <w:rPr>
          <w:rFonts w:cs="Arial"/>
          <w:noProof/>
          <w:szCs w:val="20"/>
        </w:rPr>
        <w:t>Na VO Donave je na osnovi podeljenih vodnih dovoljenj okoli 1.880 zajemov vode za oskrbo s pitno vodo, ki se izvaja kot gospodarska javna služba. Dovoljen je skupen odvzem vode v količini okoli 307 milijonov m</w:t>
      </w:r>
      <w:r w:rsidRPr="00545EC0">
        <w:rPr>
          <w:rFonts w:cs="Arial"/>
          <w:noProof/>
          <w:szCs w:val="20"/>
          <w:vertAlign w:val="superscript"/>
        </w:rPr>
        <w:t>3</w:t>
      </w:r>
      <w:r w:rsidRPr="00545EC0">
        <w:rPr>
          <w:rFonts w:cs="Arial"/>
          <w:noProof/>
          <w:szCs w:val="20"/>
        </w:rPr>
        <w:t>/leto, od tega 95,3 % iz podzemnih voda, ostalo predstavlja odvzem iz površinskih voda (3,2 %) in neopredeljenih vodnih virov (1,5 %).</w:t>
      </w:r>
    </w:p>
    <w:p w14:paraId="0D793ACA" w14:textId="77777777" w:rsidR="00457362" w:rsidRPr="00545EC0" w:rsidRDefault="00457362" w:rsidP="00457362">
      <w:pPr>
        <w:rPr>
          <w:rFonts w:cs="Arial"/>
          <w:noProof/>
          <w:szCs w:val="20"/>
        </w:rPr>
      </w:pPr>
    </w:p>
    <w:p w14:paraId="300F5074" w14:textId="24FF17A0" w:rsidR="00457362" w:rsidRPr="00545EC0" w:rsidRDefault="00457362" w:rsidP="00457362">
      <w:pPr>
        <w:rPr>
          <w:rFonts w:cs="Arial"/>
          <w:noProof/>
          <w:szCs w:val="20"/>
        </w:rPr>
      </w:pPr>
      <w:r w:rsidRPr="00545EC0">
        <w:rPr>
          <w:rFonts w:cs="Arial"/>
          <w:noProof/>
          <w:szCs w:val="20"/>
        </w:rPr>
        <w:lastRenderedPageBreak/>
        <w:t>Na VO Donave znaša dovoljena količina vode za oskrbo s pitno vodo, vključno z rezervnimi zajetji, na površinskih in podzemnih vodah okoli 460 l/dan na prebivalca</w:t>
      </w:r>
      <w:r w:rsidRPr="00545EC0">
        <w:rPr>
          <w:rStyle w:val="Sprotnaopomba-sklic"/>
          <w:noProof/>
          <w:szCs w:val="20"/>
        </w:rPr>
        <w:footnoteReference w:id="3"/>
      </w:r>
      <w:r w:rsidRPr="00545EC0">
        <w:rPr>
          <w:rFonts w:cs="Arial"/>
          <w:noProof/>
          <w:szCs w:val="20"/>
        </w:rPr>
        <w:t xml:space="preserve"> (DRSV, 2019a)</w:t>
      </w:r>
      <w:r w:rsidR="0051602F" w:rsidRPr="00545EC0">
        <w:rPr>
          <w:rFonts w:cs="Arial"/>
          <w:noProof/>
          <w:szCs w:val="20"/>
        </w:rPr>
        <w:t>.</w:t>
      </w:r>
      <w:r w:rsidRPr="00545EC0">
        <w:rPr>
          <w:rFonts w:cs="Arial"/>
          <w:noProof/>
          <w:szCs w:val="20"/>
        </w:rPr>
        <w:t xml:space="preserve"> Na osnovi poročanih količin rabljene vode iz evidence vodnih povračil za leto 2019 pa skupna količina rabljene vode v Sloveniji znaša 216 l/dan na prebivalca. Podatki izkazujejo, da je v vodnih dovoljenjih dovoljen precej velik odvzem vode, ki pa se dejansko ne rabi. V Sloveniji je s podeljenimi vodnimi dovoljenji za oskrbo s pitno vodo zagotovljeno tudi precej rezervnih vodnih virov, ki so količinsko dvakrat večji od od trenutne porabe vode, vendar so še vedno zaznana posamezna vododeficitarna območja. Slovenija ima namreč kljub razvejani hidrografski mreži celinskih voda območja, ki so izrazito vododeficitarna. Vododeficitarna območja obsegajo predvsem južno Slovenijo, slovenski dinarski svet, Obalo in Slovenske gorice.</w:t>
      </w:r>
    </w:p>
    <w:p w14:paraId="797987E9" w14:textId="77777777" w:rsidR="00457362" w:rsidRPr="00545EC0" w:rsidRDefault="00457362" w:rsidP="00457362">
      <w:pPr>
        <w:rPr>
          <w:rFonts w:cs="Arial"/>
          <w:noProof/>
          <w:szCs w:val="20"/>
        </w:rPr>
      </w:pPr>
    </w:p>
    <w:p w14:paraId="1E6C064A" w14:textId="77777777" w:rsidR="00882069" w:rsidRPr="00545EC0" w:rsidRDefault="00882069" w:rsidP="00882069">
      <w:pPr>
        <w:rPr>
          <w:rFonts w:cs="Arial"/>
          <w:b/>
        </w:rPr>
      </w:pPr>
      <w:r w:rsidRPr="00545EC0">
        <w:rPr>
          <w:rFonts w:cs="Arial"/>
          <w:b/>
        </w:rPr>
        <w:t xml:space="preserve">Varovanje pitne vode – vodovarstvena območja </w:t>
      </w:r>
    </w:p>
    <w:p w14:paraId="0F46B2F4" w14:textId="77777777" w:rsidR="00DC0AFA" w:rsidRPr="00545EC0" w:rsidRDefault="00DC0AFA" w:rsidP="00AD4FE7">
      <w:pPr>
        <w:rPr>
          <w:rFonts w:cs="Arial"/>
          <w:noProof/>
          <w:szCs w:val="20"/>
        </w:rPr>
      </w:pPr>
    </w:p>
    <w:p w14:paraId="5F8B2F70" w14:textId="77777777" w:rsidR="00457362" w:rsidRPr="00545EC0" w:rsidRDefault="00457362" w:rsidP="00457362">
      <w:pPr>
        <w:rPr>
          <w:rFonts w:cs="Arial"/>
        </w:rPr>
      </w:pPr>
      <w:r w:rsidRPr="00545EC0">
        <w:rPr>
          <w:rFonts w:cs="Arial"/>
          <w:noProof/>
          <w:szCs w:val="20"/>
        </w:rPr>
        <w:t xml:space="preserve">Za zavarovanje vodnih teles, ki se jih uporablja za odvzem ali za javno oskrbo s pitno vodo, pred onesnaževanjem ali drugimi vrstami obremenjevanja, ki bi lahko vplivalo na zdravstveno ustreznost voda ali na njeno količino, vlada sprejme uredbe o vodovarstvenih območjih (v nadaljevanju VVO). </w:t>
      </w:r>
      <w:r w:rsidRPr="00545EC0">
        <w:rPr>
          <w:rFonts w:cs="Arial"/>
        </w:rPr>
        <w:t>Na vodovarstvenih območjih se lahko omejijo ali prepovejo dejavnosti, ki lahko ogrozijo količinsko ali kakovostno stanje vodnih virov, ali pa se dopustijo izvršitve ukrepov, s katerimi se zavaruje količina ali kakovost vodnih virov, kot določa zakon o vodah.</w:t>
      </w:r>
    </w:p>
    <w:p w14:paraId="79A7BB98" w14:textId="77777777" w:rsidR="00457362" w:rsidRPr="00545EC0" w:rsidRDefault="00457362" w:rsidP="00457362">
      <w:pPr>
        <w:rPr>
          <w:rFonts w:cs="Arial"/>
        </w:rPr>
      </w:pPr>
    </w:p>
    <w:p w14:paraId="32D4A33E" w14:textId="77777777" w:rsidR="00457362" w:rsidRPr="00545EC0" w:rsidRDefault="00457362" w:rsidP="00457362">
      <w:pPr>
        <w:rPr>
          <w:rFonts w:cs="Arial"/>
          <w:noProof/>
          <w:szCs w:val="20"/>
        </w:rPr>
      </w:pPr>
      <w:r w:rsidRPr="00545EC0">
        <w:rPr>
          <w:rFonts w:cs="Arial"/>
          <w:noProof/>
          <w:szCs w:val="20"/>
        </w:rPr>
        <w:t>Vodovarstveno območje se zaradi različnih stopenj varovanja lahko, glede na predpis, ki ureja kriterije za določitev vodovarstvenega območja, deli na:</w:t>
      </w:r>
    </w:p>
    <w:p w14:paraId="22874017" w14:textId="77777777" w:rsidR="00457362" w:rsidRPr="00545EC0" w:rsidRDefault="00457362" w:rsidP="00DD37C5">
      <w:pPr>
        <w:pStyle w:val="Odstavekseznama"/>
        <w:numPr>
          <w:ilvl w:val="0"/>
          <w:numId w:val="94"/>
        </w:numPr>
        <w:overflowPunct/>
        <w:autoSpaceDE/>
        <w:autoSpaceDN/>
        <w:adjustRightInd/>
        <w:contextualSpacing/>
        <w:textAlignment w:val="auto"/>
        <w:rPr>
          <w:rFonts w:cs="Arial"/>
          <w:noProof/>
          <w:szCs w:val="20"/>
          <w:lang w:val="sl-SI" w:eastAsia="sl-SI"/>
        </w:rPr>
      </w:pPr>
      <w:r w:rsidRPr="00545EC0">
        <w:rPr>
          <w:rFonts w:cs="Arial"/>
          <w:noProof/>
          <w:szCs w:val="20"/>
          <w:lang w:val="sl-SI" w:eastAsia="sl-SI"/>
        </w:rPr>
        <w:t>najožje območje (varovanje z najstrožjim vodovarstvenim režimom – VVO I): območje blizu zajetja, kjer je glede na naravne danosti razredčenje majhno, onesnaževala pa hitro dospejo do zajetja; vodovarstveni režim mora zagotavljati sprejemljivo tveganje za onesnaženje vodnega telesa z mikroorganizmi in drugimi onesnaževali. Znotraj tega območja so tudi zajetja.</w:t>
      </w:r>
    </w:p>
    <w:p w14:paraId="39B27F88" w14:textId="77777777" w:rsidR="00457362" w:rsidRPr="00545EC0" w:rsidRDefault="00457362" w:rsidP="00DD37C5">
      <w:pPr>
        <w:pStyle w:val="Odstavekseznama"/>
        <w:numPr>
          <w:ilvl w:val="0"/>
          <w:numId w:val="94"/>
        </w:numPr>
        <w:overflowPunct/>
        <w:autoSpaceDE/>
        <w:autoSpaceDN/>
        <w:adjustRightInd/>
        <w:contextualSpacing/>
        <w:textAlignment w:val="auto"/>
        <w:rPr>
          <w:rFonts w:cs="Arial"/>
          <w:noProof/>
          <w:szCs w:val="20"/>
          <w:lang w:val="sl-SI" w:eastAsia="sl-SI"/>
        </w:rPr>
      </w:pPr>
      <w:r w:rsidRPr="00545EC0">
        <w:rPr>
          <w:rFonts w:cs="Arial"/>
          <w:noProof/>
          <w:szCs w:val="20"/>
          <w:lang w:val="sl-SI" w:eastAsia="sl-SI"/>
        </w:rPr>
        <w:t>ožje območje (varovanje s strogim vodovarstvenim režimom – VVO II): območje, ki glede na naravne danosti zagotavlja dovolj dolg zadrževalni čas, dovolj veliko razredčenje in dovolj dolg čas za ukrepanje; vodovarstveni režim mora zagotavljati sprejemljivo tveganje za onesnaženje vodnega telesa z onesnaževali, ki počasi razpadajo.</w:t>
      </w:r>
    </w:p>
    <w:p w14:paraId="370711D3" w14:textId="16FA8721" w:rsidR="00DC0AFA" w:rsidRPr="00545EC0" w:rsidRDefault="00457362" w:rsidP="003122F4">
      <w:pPr>
        <w:rPr>
          <w:noProof/>
          <w:szCs w:val="20"/>
        </w:rPr>
      </w:pPr>
      <w:r w:rsidRPr="00545EC0">
        <w:rPr>
          <w:rFonts w:cs="Arial"/>
          <w:noProof/>
          <w:szCs w:val="20"/>
        </w:rPr>
        <w:t>širše območje (varovanje z blažjim vodovarstvenim režimom – VVO III): zajema celotno napajalno območje zajetja, dolgoročno zagotavljanje zdravstvene ustreznosti pitne vode; vodovarstveni režim mora zagotavljati sprejemljivo tveganje za onesnaženje vodnega telesa z radioaktivnimi snovmi ali snovmi, ki so obstojne ali pa se razgrajujejo zelo počasi.</w:t>
      </w:r>
      <w:bookmarkStart w:id="285" w:name="_Toc414365775"/>
      <w:r w:rsidR="00DC0AFA" w:rsidRPr="00545EC0">
        <w:rPr>
          <w:rFonts w:cs="Arial"/>
        </w:rPr>
        <w:t>Vodovarstvena območja</w:t>
      </w:r>
      <w:r w:rsidR="00584059" w:rsidRPr="00545EC0">
        <w:rPr>
          <w:rFonts w:cs="Arial"/>
        </w:rPr>
        <w:t xml:space="preserve"> se uvrščajo med območja s posebni zahtevami in so obravnavana v poglavju </w:t>
      </w:r>
      <w:r w:rsidR="00584059" w:rsidRPr="00545EC0">
        <w:rPr>
          <w:rFonts w:cs="Arial"/>
        </w:rPr>
        <w:fldChar w:fldCharType="begin"/>
      </w:r>
      <w:r w:rsidR="00584059" w:rsidRPr="00545EC0">
        <w:rPr>
          <w:rFonts w:cs="Arial"/>
        </w:rPr>
        <w:instrText xml:space="preserve"> REF _Ref87815675 \r \h </w:instrText>
      </w:r>
      <w:r w:rsidR="003122F4" w:rsidRPr="00545EC0">
        <w:rPr>
          <w:rFonts w:cs="Arial"/>
        </w:rPr>
        <w:instrText xml:space="preserve"> \* MERGEFORMAT </w:instrText>
      </w:r>
      <w:r w:rsidR="00584059" w:rsidRPr="00545EC0">
        <w:rPr>
          <w:rFonts w:cs="Arial"/>
        </w:rPr>
      </w:r>
      <w:r w:rsidR="00584059" w:rsidRPr="00545EC0">
        <w:rPr>
          <w:rFonts w:cs="Arial"/>
        </w:rPr>
        <w:fldChar w:fldCharType="separate"/>
      </w:r>
      <w:r w:rsidR="002F3E43">
        <w:rPr>
          <w:rFonts w:cs="Arial"/>
        </w:rPr>
        <w:t>2.4.1</w:t>
      </w:r>
      <w:r w:rsidR="00584059" w:rsidRPr="00545EC0">
        <w:rPr>
          <w:rFonts w:cs="Arial"/>
        </w:rPr>
        <w:fldChar w:fldCharType="end"/>
      </w:r>
      <w:r w:rsidR="00584059" w:rsidRPr="00545EC0">
        <w:rPr>
          <w:rFonts w:cs="Arial"/>
        </w:rPr>
        <w:t xml:space="preserve"> tega načrta upravljanja voda.</w:t>
      </w:r>
    </w:p>
    <w:p w14:paraId="03C5B35F" w14:textId="77777777" w:rsidR="00DC0AFA" w:rsidRPr="00545EC0" w:rsidRDefault="00DC0AFA" w:rsidP="00DC0AFA">
      <w:pPr>
        <w:pStyle w:val="podnaslov0"/>
      </w:pPr>
      <w:r w:rsidRPr="00545EC0">
        <w:t>Lastna oskrba s pitno vodo</w:t>
      </w:r>
    </w:p>
    <w:p w14:paraId="769828D4" w14:textId="77777777" w:rsidR="0087549C" w:rsidRPr="00545EC0" w:rsidRDefault="0087549C" w:rsidP="0087549C">
      <w:pPr>
        <w:pStyle w:val="podnaslov0"/>
        <w:rPr>
          <w:b w:val="0"/>
        </w:rPr>
      </w:pPr>
      <w:r w:rsidRPr="00545EC0">
        <w:rPr>
          <w:b w:val="0"/>
        </w:rPr>
        <w:t>Na VO Donave je na osnovi podeljenih vodnih dovoljenj DRSV okoli 19.340 zajemov vode za lastno oskrbo s pitno vodo. Največ jih je iz izvirov in vrtin oziroma vodnjakov.</w:t>
      </w:r>
    </w:p>
    <w:p w14:paraId="34A243E7" w14:textId="77777777" w:rsidR="00457362" w:rsidRPr="00545EC0" w:rsidRDefault="00457362" w:rsidP="00457362">
      <w:pPr>
        <w:pStyle w:val="podnaslov0"/>
      </w:pPr>
      <w:r w:rsidRPr="00545EC0">
        <w:t>Podrobnejši opis izbranih vrst rabe površinskih voda in naplavin</w:t>
      </w:r>
    </w:p>
    <w:p w14:paraId="133D6040" w14:textId="145D9DC0" w:rsidR="00457362" w:rsidRPr="00545EC0" w:rsidRDefault="00457362" w:rsidP="00693578">
      <w:pPr>
        <w:pStyle w:val="podnaslov0"/>
        <w:spacing w:before="0" w:after="0"/>
        <w:rPr>
          <w:b w:val="0"/>
        </w:rPr>
      </w:pPr>
      <w:r w:rsidRPr="00545EC0">
        <w:rPr>
          <w:b w:val="0"/>
        </w:rPr>
        <w:lastRenderedPageBreak/>
        <w:t>V nadaljevanju so podrobneje opisane raba površinskih voda za oskrbo s pitno vodo in plovbo po celinskih vodah ter odvzem naplavin.</w:t>
      </w:r>
    </w:p>
    <w:bookmarkEnd w:id="285"/>
    <w:p w14:paraId="6D63F9B6" w14:textId="7A6405E8" w:rsidR="00457362" w:rsidRPr="00545EC0" w:rsidRDefault="00457362" w:rsidP="00693578">
      <w:pPr>
        <w:pStyle w:val="podnaslov0"/>
      </w:pPr>
      <w:r w:rsidRPr="00545EC0">
        <w:t>Oskrba s pitno vodo iz površinskih virov</w:t>
      </w:r>
    </w:p>
    <w:p w14:paraId="2F6FB973" w14:textId="77777777" w:rsidR="00457362" w:rsidRPr="00545EC0" w:rsidRDefault="00457362" w:rsidP="00457362">
      <w:r w:rsidRPr="00545EC0">
        <w:t>V skladu s predpisom, ki ureja stanje površinskih voda se izvaja  monitoring površinskih virov pitne vode, ki v povprečju zagotavljajo več kot 100 m</w:t>
      </w:r>
      <w:r w:rsidRPr="00545EC0">
        <w:rPr>
          <w:vertAlign w:val="superscript"/>
        </w:rPr>
        <w:t>3</w:t>
      </w:r>
      <w:r w:rsidRPr="00545EC0">
        <w:t xml:space="preserve"> vode na dan. Na VO Donave so v seznam vključeni naslednji površinski vodni viri (ARSO, 2017): </w:t>
      </w:r>
    </w:p>
    <w:p w14:paraId="6C2A2DB1" w14:textId="77777777" w:rsidR="00457362" w:rsidRPr="00545EC0" w:rsidRDefault="00457362" w:rsidP="00DD37C5">
      <w:pPr>
        <w:pStyle w:val="Odstavekseznama"/>
        <w:numPr>
          <w:ilvl w:val="0"/>
          <w:numId w:val="108"/>
        </w:numPr>
        <w:jc w:val="left"/>
      </w:pPr>
      <w:r w:rsidRPr="00545EC0">
        <w:t>Bistrica (Zg. Bistrica),</w:t>
      </w:r>
    </w:p>
    <w:p w14:paraId="2927D2FE" w14:textId="77777777" w:rsidR="00457362" w:rsidRPr="00545EC0" w:rsidRDefault="00457362" w:rsidP="00DD37C5">
      <w:pPr>
        <w:pStyle w:val="Odstavekseznama"/>
        <w:numPr>
          <w:ilvl w:val="0"/>
          <w:numId w:val="108"/>
        </w:numPr>
        <w:jc w:val="left"/>
      </w:pPr>
      <w:r w:rsidRPr="00545EC0">
        <w:t>Ljubija (naselje Bele vode),</w:t>
      </w:r>
    </w:p>
    <w:p w14:paraId="77D61F21" w14:textId="77777777" w:rsidR="00457362" w:rsidRPr="00545EC0" w:rsidRDefault="00457362" w:rsidP="00DD37C5">
      <w:pPr>
        <w:pStyle w:val="Odstavekseznama"/>
        <w:numPr>
          <w:ilvl w:val="0"/>
          <w:numId w:val="108"/>
        </w:numPr>
        <w:jc w:val="left"/>
      </w:pPr>
      <w:r w:rsidRPr="00545EC0">
        <w:t>Hudinja (naselje Paka),</w:t>
      </w:r>
    </w:p>
    <w:p w14:paraId="6C75326A" w14:textId="77777777" w:rsidR="00457362" w:rsidRPr="00545EC0" w:rsidRDefault="00457362" w:rsidP="00DD37C5">
      <w:pPr>
        <w:pStyle w:val="Odstavekseznama"/>
        <w:numPr>
          <w:ilvl w:val="0"/>
          <w:numId w:val="108"/>
        </w:numPr>
        <w:jc w:val="left"/>
      </w:pPr>
      <w:r w:rsidRPr="00545EC0">
        <w:t>Podresnik (Rakitna),</w:t>
      </w:r>
    </w:p>
    <w:p w14:paraId="671C0F41" w14:textId="77777777" w:rsidR="00457362" w:rsidRPr="00545EC0" w:rsidRDefault="00457362" w:rsidP="00DD37C5">
      <w:pPr>
        <w:pStyle w:val="Odstavekseznama"/>
        <w:numPr>
          <w:ilvl w:val="0"/>
          <w:numId w:val="108"/>
        </w:numPr>
        <w:jc w:val="left"/>
      </w:pPr>
      <w:r w:rsidRPr="00545EC0">
        <w:t>Markov izvir – pritok Kobilščice (Javorovica)</w:t>
      </w:r>
      <w:r w:rsidRPr="00545EC0">
        <w:rPr>
          <w:lang w:val="sl-SI"/>
        </w:rPr>
        <w:t>.</w:t>
      </w:r>
    </w:p>
    <w:p w14:paraId="3A822F78" w14:textId="0031D2A9" w:rsidR="00457362" w:rsidRPr="00545EC0" w:rsidRDefault="00457362" w:rsidP="00457362">
      <w:pPr>
        <w:rPr>
          <w:rFonts w:cs="Arial"/>
        </w:rPr>
      </w:pPr>
      <w:r w:rsidRPr="00545EC0">
        <w:rPr>
          <w:rFonts w:cs="Arial"/>
          <w:szCs w:val="20"/>
        </w:rPr>
        <w:t xml:space="preserve">Prikaz programa monitoringa in ocena kakovosti površinskih voda, ki se odvzemajo za oskrbo s pitno vodo, sta podana v poglavju </w:t>
      </w:r>
      <w:r w:rsidRPr="00545EC0">
        <w:rPr>
          <w:rFonts w:cs="Arial"/>
          <w:szCs w:val="20"/>
        </w:rPr>
        <w:fldChar w:fldCharType="begin"/>
      </w:r>
      <w:r w:rsidRPr="00545EC0">
        <w:rPr>
          <w:rFonts w:cs="Arial"/>
          <w:szCs w:val="20"/>
        </w:rPr>
        <w:instrText xml:space="preserve"> REF _Ref87815510 \r \h </w:instrText>
      </w:r>
      <w:r w:rsidR="007E0EDE" w:rsidRPr="00545EC0">
        <w:rPr>
          <w:rFonts w:cs="Arial"/>
          <w:szCs w:val="20"/>
        </w:rPr>
        <w:instrText xml:space="preserve"> \* MERGEFORMAT </w:instrText>
      </w:r>
      <w:r w:rsidRPr="00545EC0">
        <w:rPr>
          <w:rFonts w:cs="Arial"/>
          <w:szCs w:val="20"/>
        </w:rPr>
      </w:r>
      <w:r w:rsidRPr="00545EC0">
        <w:rPr>
          <w:rFonts w:cs="Arial"/>
          <w:szCs w:val="20"/>
        </w:rPr>
        <w:fldChar w:fldCharType="separate"/>
      </w:r>
      <w:r w:rsidR="002F3E43">
        <w:rPr>
          <w:rFonts w:cs="Arial"/>
          <w:szCs w:val="20"/>
        </w:rPr>
        <w:t>3.1.4.2</w:t>
      </w:r>
      <w:r w:rsidRPr="00545EC0">
        <w:rPr>
          <w:rFonts w:cs="Arial"/>
          <w:szCs w:val="20"/>
        </w:rPr>
        <w:fldChar w:fldCharType="end"/>
      </w:r>
      <w:r w:rsidRPr="00545EC0">
        <w:rPr>
          <w:rFonts w:cs="Arial"/>
          <w:szCs w:val="20"/>
        </w:rPr>
        <w:t xml:space="preserve"> tega načrta upravljanja voda</w:t>
      </w:r>
      <w:r w:rsidRPr="00545EC0">
        <w:rPr>
          <w:rFonts w:cs="Arial"/>
          <w:b/>
          <w:szCs w:val="20"/>
        </w:rPr>
        <w:t>.</w:t>
      </w:r>
    </w:p>
    <w:p w14:paraId="2F63D5ED" w14:textId="42201304" w:rsidR="00457362" w:rsidRPr="00545EC0" w:rsidRDefault="00457362" w:rsidP="00457362">
      <w:pPr>
        <w:rPr>
          <w:rFonts w:cs="Arial"/>
        </w:rPr>
      </w:pPr>
      <w:r w:rsidRPr="00545EC0">
        <w:rPr>
          <w:rFonts w:cs="Arial"/>
        </w:rPr>
        <w:t>Raba vode za lastno oskrbo s pitno vodo se izvaja tudi na drugih manj izdatnih vodnih virih iz površinskih virov.  Seznam teh lokacij je dostopen preko vodne knjige in prikazan na publikacijski karti (</w:t>
      </w:r>
      <w:r w:rsidRPr="00545EC0">
        <w:rPr>
          <w:rFonts w:cs="Arial"/>
          <w:i/>
          <w:szCs w:val="20"/>
        </w:rPr>
        <w:t>Publikacijska karta</w:t>
      </w:r>
      <w:r w:rsidR="008A4AC7" w:rsidRPr="00545EC0">
        <w:rPr>
          <w:rFonts w:cs="Arial"/>
          <w:i/>
          <w:szCs w:val="20"/>
        </w:rPr>
        <w:t xml:space="preserve"> 5.4</w:t>
      </w:r>
      <w:r w:rsidRPr="00545EC0">
        <w:rPr>
          <w:rFonts w:cs="Arial"/>
          <w:i/>
          <w:szCs w:val="20"/>
        </w:rPr>
        <w:t xml:space="preserve">: </w:t>
      </w:r>
      <w:r w:rsidRPr="00545EC0">
        <w:rPr>
          <w:rFonts w:cs="Arial"/>
          <w:i/>
        </w:rPr>
        <w:t>Podeljene vodne pravice na površinskih vodah</w:t>
      </w:r>
      <w:r w:rsidRPr="00545EC0">
        <w:rPr>
          <w:rFonts w:cs="Arial"/>
        </w:rPr>
        <w:t>).</w:t>
      </w:r>
    </w:p>
    <w:p w14:paraId="62EE1EA1" w14:textId="77777777" w:rsidR="007C60FB" w:rsidRPr="00545EC0" w:rsidRDefault="007C60FB" w:rsidP="007C60FB">
      <w:pPr>
        <w:pStyle w:val="podnaslov0"/>
      </w:pPr>
      <w:r w:rsidRPr="00545EC0">
        <w:t>Plovba po celinskih vodah</w:t>
      </w:r>
    </w:p>
    <w:p w14:paraId="6419F12F" w14:textId="53353BF4" w:rsidR="007C60FB" w:rsidRPr="00545EC0" w:rsidRDefault="007C60FB" w:rsidP="007C60FB">
      <w:pPr>
        <w:rPr>
          <w:rFonts w:cs="Arial"/>
          <w:i/>
        </w:rPr>
      </w:pPr>
      <w:r w:rsidRPr="00545EC0">
        <w:rPr>
          <w:rFonts w:cs="Arial"/>
        </w:rPr>
        <w:t xml:space="preserve">Plovbo po celinskih vodah, ki se deli na plovbo na motorni pogon in plovbo v okviru splošne rabe, urejata </w:t>
      </w:r>
      <w:r w:rsidR="00F07473" w:rsidRPr="00545EC0">
        <w:rPr>
          <w:rFonts w:cs="Arial"/>
        </w:rPr>
        <w:t>z</w:t>
      </w:r>
      <w:r w:rsidR="00584059" w:rsidRPr="00545EC0">
        <w:rPr>
          <w:rFonts w:cs="Arial"/>
        </w:rPr>
        <w:t xml:space="preserve">akon </w:t>
      </w:r>
      <w:r w:rsidRPr="00545EC0">
        <w:rPr>
          <w:rFonts w:cs="Arial"/>
        </w:rPr>
        <w:t xml:space="preserve">o vodah in </w:t>
      </w:r>
      <w:r w:rsidR="00F07473" w:rsidRPr="00545EC0">
        <w:rPr>
          <w:rFonts w:cs="Arial"/>
        </w:rPr>
        <w:t>z</w:t>
      </w:r>
      <w:r w:rsidRPr="00545EC0">
        <w:rPr>
          <w:rFonts w:cs="Arial"/>
        </w:rPr>
        <w:t xml:space="preserve">akon o plovbi po celinskih vodah ter podzakonski akti. Trenutno je na ozemlju Slovenije veljavnih devet </w:t>
      </w:r>
      <w:r w:rsidR="00584059" w:rsidRPr="00545EC0">
        <w:rPr>
          <w:rFonts w:cs="Arial"/>
        </w:rPr>
        <w:t xml:space="preserve">predpisov, ki urejajo </w:t>
      </w:r>
      <w:r w:rsidRPr="00545EC0">
        <w:rPr>
          <w:rFonts w:cs="Arial"/>
        </w:rPr>
        <w:t>uporab</w:t>
      </w:r>
      <w:r w:rsidR="00584059" w:rsidRPr="00545EC0">
        <w:rPr>
          <w:rFonts w:cs="Arial"/>
        </w:rPr>
        <w:t>o</w:t>
      </w:r>
      <w:r w:rsidRPr="00545EC0">
        <w:rPr>
          <w:rFonts w:cs="Arial"/>
        </w:rPr>
        <w:t xml:space="preserve"> plovil na motorni pogon, od katerih so vse na VO Donave. Vodno pravico je potrebno pridobiti za neposredno rabo vode za pristanišče ali vstopno-izstopno mesto in plavajočo napravo. Plovbo na celinskih vodah </w:t>
      </w:r>
      <w:r w:rsidR="00E906EC" w:rsidRPr="00545EC0">
        <w:rPr>
          <w:rFonts w:cs="Arial"/>
        </w:rPr>
        <w:t>prikazuje</w:t>
      </w:r>
      <w:r w:rsidR="00584059" w:rsidRPr="00545EC0">
        <w:rPr>
          <w:rFonts w:cs="Arial"/>
        </w:rPr>
        <w:t xml:space="preserve"> </w:t>
      </w:r>
      <w:r w:rsidR="002B19AC" w:rsidRPr="00545EC0">
        <w:rPr>
          <w:rFonts w:cs="Arial"/>
        </w:rPr>
        <w:t xml:space="preserve">publikacijska </w:t>
      </w:r>
      <w:r w:rsidRPr="00545EC0">
        <w:rPr>
          <w:rFonts w:cs="Arial"/>
        </w:rPr>
        <w:t xml:space="preserve">karta </w:t>
      </w:r>
      <w:r w:rsidRPr="00545EC0">
        <w:rPr>
          <w:rFonts w:cs="Arial"/>
          <w:i/>
        </w:rPr>
        <w:t>(</w:t>
      </w:r>
      <w:r w:rsidRPr="00545EC0">
        <w:rPr>
          <w:rFonts w:cs="Arial"/>
          <w:i/>
          <w:szCs w:val="20"/>
        </w:rPr>
        <w:t>Publikacijska karta</w:t>
      </w:r>
      <w:r w:rsidR="00E906EC" w:rsidRPr="00545EC0">
        <w:rPr>
          <w:rFonts w:cs="Arial"/>
          <w:i/>
          <w:szCs w:val="20"/>
        </w:rPr>
        <w:t xml:space="preserve"> 5.9</w:t>
      </w:r>
      <w:r w:rsidRPr="00545EC0">
        <w:rPr>
          <w:rFonts w:cs="Arial"/>
          <w:i/>
          <w:szCs w:val="20"/>
        </w:rPr>
        <w:t>:</w:t>
      </w:r>
      <w:r w:rsidRPr="00545EC0">
        <w:rPr>
          <w:rFonts w:cs="Arial"/>
          <w:i/>
        </w:rPr>
        <w:t xml:space="preserve"> Območja pristanišč, vstopno-izstopnih mest, plavajočih naprav in plovnih poti na celinskih vodah). </w:t>
      </w:r>
    </w:p>
    <w:p w14:paraId="52468B17" w14:textId="77777777" w:rsidR="007C60FB" w:rsidRPr="00545EC0" w:rsidRDefault="007C60FB" w:rsidP="007C60FB">
      <w:pPr>
        <w:pStyle w:val="podnaslov0"/>
      </w:pPr>
      <w:r w:rsidRPr="00545EC0">
        <w:t>Odvzem naplavin</w:t>
      </w:r>
    </w:p>
    <w:p w14:paraId="7752C439" w14:textId="6E374080" w:rsidR="007C60FB" w:rsidRPr="00545EC0" w:rsidRDefault="007C60FB" w:rsidP="003122F4">
      <w:pPr>
        <w:spacing w:line="276" w:lineRule="auto"/>
        <w:rPr>
          <w:rFonts w:cs="Arial"/>
          <w:bCs/>
          <w:kern w:val="32"/>
          <w:szCs w:val="20"/>
        </w:rPr>
      </w:pPr>
      <w:r w:rsidRPr="00545EC0">
        <w:t xml:space="preserve">Odvzemanje naplavin je dovoljeno le v obsegu in na način, ki bistveno ne spreminja naravnih procesov, ne ruši naravnega ravnovesja vodnih in obvodnih ekosistemov ali ne pospešuje škodljivega delovanja voda, kot </w:t>
      </w:r>
      <w:r w:rsidR="00584059" w:rsidRPr="00545EC0">
        <w:t xml:space="preserve">to </w:t>
      </w:r>
      <w:r w:rsidRPr="00545EC0">
        <w:t xml:space="preserve">določa </w:t>
      </w:r>
      <w:r w:rsidR="00F07473" w:rsidRPr="00545EC0">
        <w:t>z</w:t>
      </w:r>
      <w:r w:rsidRPr="00545EC0">
        <w:t>akon o vodah.</w:t>
      </w:r>
      <w:r w:rsidRPr="00545EC0">
        <w:rPr>
          <w:rFonts w:cs="Arial"/>
          <w:bCs/>
          <w:kern w:val="32"/>
          <w:szCs w:val="20"/>
        </w:rPr>
        <w:t xml:space="preserve"> Naplavine se lahko odvzemajo zaradi urejanja voda:</w:t>
      </w:r>
    </w:p>
    <w:p w14:paraId="3D3EBADD" w14:textId="77777777" w:rsidR="007C60FB" w:rsidRPr="00545EC0" w:rsidRDefault="007C60FB" w:rsidP="00DD37C5">
      <w:pPr>
        <w:numPr>
          <w:ilvl w:val="0"/>
          <w:numId w:val="111"/>
        </w:numPr>
        <w:overflowPunct/>
        <w:autoSpaceDE/>
        <w:autoSpaceDN/>
        <w:adjustRightInd/>
        <w:spacing w:line="276" w:lineRule="auto"/>
        <w:contextualSpacing/>
        <w:jc w:val="left"/>
        <w:textAlignment w:val="auto"/>
        <w:rPr>
          <w:rFonts w:cs="Arial"/>
          <w:szCs w:val="22"/>
        </w:rPr>
      </w:pPr>
      <w:r w:rsidRPr="00545EC0">
        <w:rPr>
          <w:rFonts w:cs="Arial"/>
          <w:szCs w:val="22"/>
        </w:rPr>
        <w:t>v okviru izvajanja javne službe vzdrževanja vodnih in priobalnih zemljišč,</w:t>
      </w:r>
    </w:p>
    <w:p w14:paraId="2A938960" w14:textId="77777777" w:rsidR="007C60FB" w:rsidRPr="00545EC0" w:rsidRDefault="007C60FB" w:rsidP="00DD37C5">
      <w:pPr>
        <w:numPr>
          <w:ilvl w:val="0"/>
          <w:numId w:val="111"/>
        </w:numPr>
        <w:overflowPunct/>
        <w:autoSpaceDE/>
        <w:autoSpaceDN/>
        <w:adjustRightInd/>
        <w:spacing w:line="276" w:lineRule="auto"/>
        <w:contextualSpacing/>
        <w:jc w:val="left"/>
        <w:textAlignment w:val="auto"/>
        <w:rPr>
          <w:rFonts w:cs="Arial"/>
          <w:szCs w:val="22"/>
        </w:rPr>
      </w:pPr>
      <w:r w:rsidRPr="00545EC0">
        <w:rPr>
          <w:rFonts w:cs="Arial"/>
          <w:szCs w:val="22"/>
        </w:rPr>
        <w:t>v okviru posebne rabe vodnega ali morskega dobra iz vodnih objektov in naprav, namenjenih zadrževanju naplavin,</w:t>
      </w:r>
    </w:p>
    <w:p w14:paraId="790A0096" w14:textId="77777777" w:rsidR="007C60FB" w:rsidRPr="00545EC0" w:rsidRDefault="007C60FB" w:rsidP="00DD37C5">
      <w:pPr>
        <w:numPr>
          <w:ilvl w:val="0"/>
          <w:numId w:val="111"/>
        </w:numPr>
        <w:overflowPunct/>
        <w:autoSpaceDE/>
        <w:autoSpaceDN/>
        <w:adjustRightInd/>
        <w:spacing w:line="276" w:lineRule="auto"/>
        <w:contextualSpacing/>
        <w:jc w:val="left"/>
        <w:textAlignment w:val="auto"/>
        <w:rPr>
          <w:rFonts w:cs="Arial"/>
          <w:szCs w:val="22"/>
        </w:rPr>
      </w:pPr>
      <w:r w:rsidRPr="00545EC0">
        <w:rPr>
          <w:rFonts w:cs="Arial"/>
          <w:szCs w:val="22"/>
        </w:rPr>
        <w:t>z območij, namenjenih odvzemanju naplavin, v okviru posebne rabe s podeljeno koncesijo.</w:t>
      </w:r>
    </w:p>
    <w:p w14:paraId="173B8F1E" w14:textId="3C49E9BD" w:rsidR="007C60FB" w:rsidRPr="00545EC0" w:rsidRDefault="007C60FB" w:rsidP="003122F4">
      <w:pPr>
        <w:pStyle w:val="podnaslov0"/>
        <w:spacing w:line="276" w:lineRule="auto"/>
      </w:pPr>
      <w:r w:rsidRPr="00545EC0">
        <w:rPr>
          <w:b w:val="0"/>
        </w:rPr>
        <w:t xml:space="preserve">V Sloveniji je odvzem naplavin iz vodotokov </w:t>
      </w:r>
      <w:r w:rsidR="00584059" w:rsidRPr="00545EC0">
        <w:rPr>
          <w:b w:val="0"/>
        </w:rPr>
        <w:t xml:space="preserve">določen </w:t>
      </w:r>
      <w:r w:rsidRPr="00545EC0">
        <w:rPr>
          <w:b w:val="0"/>
        </w:rPr>
        <w:t xml:space="preserve">s </w:t>
      </w:r>
      <w:r w:rsidR="00584059" w:rsidRPr="00545EC0">
        <w:rPr>
          <w:b w:val="0"/>
        </w:rPr>
        <w:t xml:space="preserve">sedmimi predpisi, ki urejajo </w:t>
      </w:r>
      <w:r w:rsidRPr="00545EC0">
        <w:rPr>
          <w:b w:val="0"/>
        </w:rPr>
        <w:t>koncesij</w:t>
      </w:r>
      <w:r w:rsidR="00584059" w:rsidRPr="00545EC0">
        <w:rPr>
          <w:b w:val="0"/>
        </w:rPr>
        <w:t>e</w:t>
      </w:r>
      <w:r w:rsidRPr="00545EC0">
        <w:rPr>
          <w:b w:val="0"/>
        </w:rPr>
        <w:t xml:space="preserve"> za odvzem naplavin, od katerih jih je pet na VO Donave. Odseki podeljenih koncesij so prikazani na</w:t>
      </w:r>
      <w:r w:rsidR="002B19AC" w:rsidRPr="00545EC0">
        <w:rPr>
          <w:b w:val="0"/>
        </w:rPr>
        <w:t xml:space="preserve"> publikacijski</w:t>
      </w:r>
      <w:r w:rsidRPr="00545EC0">
        <w:rPr>
          <w:b w:val="0"/>
        </w:rPr>
        <w:t xml:space="preserve"> karti (</w:t>
      </w:r>
      <w:r w:rsidRPr="00545EC0">
        <w:rPr>
          <w:b w:val="0"/>
          <w:i/>
          <w:szCs w:val="20"/>
        </w:rPr>
        <w:t>Publikacijska karta</w:t>
      </w:r>
      <w:r w:rsidR="00E906EC" w:rsidRPr="00545EC0">
        <w:rPr>
          <w:b w:val="0"/>
          <w:i/>
          <w:szCs w:val="20"/>
        </w:rPr>
        <w:t xml:space="preserve"> 5.10</w:t>
      </w:r>
      <w:r w:rsidRPr="00545EC0">
        <w:rPr>
          <w:b w:val="0"/>
          <w:i/>
          <w:szCs w:val="20"/>
        </w:rPr>
        <w:t>:</w:t>
      </w:r>
      <w:r w:rsidRPr="00545EC0">
        <w:rPr>
          <w:i/>
        </w:rPr>
        <w:t xml:space="preserve"> </w:t>
      </w:r>
      <w:r w:rsidRPr="00545EC0">
        <w:rPr>
          <w:b w:val="0"/>
          <w:i/>
        </w:rPr>
        <w:t>Odseki podeljenih koncesij za odvzem naplavin</w:t>
      </w:r>
      <w:r w:rsidRPr="00545EC0">
        <w:rPr>
          <w:b w:val="0"/>
        </w:rPr>
        <w:t xml:space="preserve">). </w:t>
      </w:r>
    </w:p>
    <w:p w14:paraId="6B9BE34D" w14:textId="77777777" w:rsidR="00E4448F" w:rsidRPr="00545EC0" w:rsidRDefault="00E4448F" w:rsidP="00AD4FE7">
      <w:pPr>
        <w:pStyle w:val="podnaslov0"/>
      </w:pPr>
      <w:bookmarkStart w:id="286" w:name="_Toc419099192"/>
      <w:bookmarkStart w:id="287" w:name="_Toc414365776"/>
      <w:bookmarkStart w:id="288" w:name="_Toc398014374"/>
      <w:r w:rsidRPr="00545EC0">
        <w:t xml:space="preserve">Indeks izkoriščanja površinskih voda </w:t>
      </w:r>
      <w:bookmarkEnd w:id="286"/>
      <w:bookmarkEnd w:id="287"/>
      <w:bookmarkEnd w:id="288"/>
    </w:p>
    <w:p w14:paraId="2F57498B" w14:textId="77777777" w:rsidR="0051602F" w:rsidRPr="00545EC0" w:rsidRDefault="00E4448F" w:rsidP="00AD4FE7">
      <w:pPr>
        <w:rPr>
          <w:rStyle w:val="indicatorreportsubsectiontitletext"/>
          <w:rFonts w:cs="Arial"/>
        </w:rPr>
      </w:pPr>
      <w:r w:rsidRPr="00545EC0">
        <w:rPr>
          <w:rFonts w:cs="Arial"/>
          <w:shd w:val="clear" w:color="auto" w:fill="FFFFFF"/>
        </w:rPr>
        <w:t xml:space="preserve">Indeks izkoriščanja voda </w:t>
      </w:r>
      <w:r w:rsidR="00584059" w:rsidRPr="00545EC0">
        <w:rPr>
          <w:rFonts w:cs="Arial"/>
          <w:shd w:val="clear" w:color="auto" w:fill="FFFFFF"/>
        </w:rPr>
        <w:t xml:space="preserve">(angleški izraz: </w:t>
      </w:r>
      <w:r w:rsidRPr="00545EC0">
        <w:rPr>
          <w:rFonts w:cs="Arial"/>
          <w:shd w:val="clear" w:color="auto" w:fill="FFFFFF"/>
        </w:rPr>
        <w:t>water exploitation index</w:t>
      </w:r>
      <w:r w:rsidR="00584059" w:rsidRPr="00545EC0">
        <w:rPr>
          <w:rFonts w:cs="Arial"/>
          <w:shd w:val="clear" w:color="auto" w:fill="FFFFFF"/>
        </w:rPr>
        <w:t>)</w:t>
      </w:r>
      <w:r w:rsidRPr="00545EC0">
        <w:rPr>
          <w:rFonts w:cs="Arial"/>
          <w:shd w:val="clear" w:color="auto" w:fill="FFFFFF"/>
        </w:rPr>
        <w:t xml:space="preserve"> </w:t>
      </w:r>
      <w:r w:rsidR="008C18E0" w:rsidRPr="00545EC0">
        <w:rPr>
          <w:rFonts w:cs="Arial"/>
          <w:shd w:val="clear" w:color="auto" w:fill="FFFFFF"/>
        </w:rPr>
        <w:t xml:space="preserve">se spremlja z namenom promoviranja trajnostne rabe vode, ki temelji na dolgotrajni zaščiti razpoložljivih vodnih virov. </w:t>
      </w:r>
      <w:r w:rsidRPr="00545EC0">
        <w:rPr>
          <w:rFonts w:cs="Arial"/>
          <w:shd w:val="clear" w:color="auto" w:fill="FFFFFF"/>
        </w:rPr>
        <w:t xml:space="preserve">Evropska agencija za okolje </w:t>
      </w:r>
      <w:r w:rsidR="008C18E0" w:rsidRPr="00545EC0">
        <w:rPr>
          <w:rFonts w:cs="Arial"/>
          <w:shd w:val="clear" w:color="auto" w:fill="FFFFFF"/>
        </w:rPr>
        <w:t xml:space="preserve"> ga definira kot </w:t>
      </w:r>
      <w:r w:rsidRPr="00545EC0">
        <w:rPr>
          <w:rFonts w:cs="Arial"/>
          <w:shd w:val="clear" w:color="auto" w:fill="FFFFFF"/>
        </w:rPr>
        <w:t>kazalec rabe</w:t>
      </w:r>
      <w:r w:rsidR="00893409" w:rsidRPr="00545EC0">
        <w:rPr>
          <w:rFonts w:cs="Arial"/>
          <w:shd w:val="clear" w:color="auto" w:fill="FFFFFF"/>
        </w:rPr>
        <w:t xml:space="preserve"> voda</w:t>
      </w:r>
      <w:r w:rsidR="00C01405" w:rsidRPr="00545EC0">
        <w:rPr>
          <w:rFonts w:cs="Arial"/>
          <w:shd w:val="clear" w:color="auto" w:fill="FFFFFF"/>
        </w:rPr>
        <w:t>, ki ponazarja delež rabe vode v primerjavi z obnovljivimi viri sladke vode v določenem času in kraju</w:t>
      </w:r>
      <w:r w:rsidRPr="00545EC0">
        <w:rPr>
          <w:rFonts w:cs="Arial"/>
          <w:shd w:val="clear" w:color="auto" w:fill="FFFFFF"/>
        </w:rPr>
        <w:t>. Indeks izkoriščanja voda predstavlja razmerje med srednjo letno skupno količino odvzete celinske vode in povprečno letno skupno obnovljivo količino celinske vode na ravni države</w:t>
      </w:r>
      <w:r w:rsidR="00C01405" w:rsidRPr="00545EC0">
        <w:rPr>
          <w:rFonts w:cs="Arial"/>
          <w:shd w:val="clear" w:color="auto" w:fill="FFFFFF"/>
        </w:rPr>
        <w:t>, porečja ali povodja</w:t>
      </w:r>
      <w:r w:rsidRPr="00545EC0">
        <w:rPr>
          <w:rFonts w:cs="Arial"/>
          <w:shd w:val="clear" w:color="auto" w:fill="FFFFFF"/>
        </w:rPr>
        <w:t xml:space="preserve">, izraženo v odstotkih. </w:t>
      </w:r>
      <w:r w:rsidRPr="00545EC0">
        <w:rPr>
          <w:rFonts w:cs="Arial"/>
        </w:rPr>
        <w:t xml:space="preserve">Poleg osnovnega </w:t>
      </w:r>
      <w:r w:rsidRPr="00545EC0">
        <w:rPr>
          <w:rFonts w:cs="Arial"/>
        </w:rPr>
        <w:lastRenderedPageBreak/>
        <w:t xml:space="preserve">indeksa </w:t>
      </w:r>
      <w:r w:rsidR="007F53BB" w:rsidRPr="00545EC0">
        <w:rPr>
          <w:rFonts w:cs="Arial"/>
          <w:shd w:val="clear" w:color="auto" w:fill="FFFFFF"/>
        </w:rPr>
        <w:t>izkoriščanja voda</w:t>
      </w:r>
      <w:r w:rsidRPr="00545EC0">
        <w:rPr>
          <w:rFonts w:cs="Arial"/>
        </w:rPr>
        <w:t xml:space="preserve"> se v zadnjem času vse pogosteje uporablja tudi </w:t>
      </w:r>
      <w:r w:rsidRPr="00545EC0">
        <w:t>letni indeks izkoriščanja vode</w:t>
      </w:r>
      <w:r w:rsidRPr="00545EC0">
        <w:rPr>
          <w:rStyle w:val="indicatorreportsubsectiontitletext"/>
          <w:rFonts w:cs="Arial"/>
        </w:rPr>
        <w:t xml:space="preserve">. </w:t>
      </w:r>
      <w:r w:rsidRPr="00545EC0">
        <w:rPr>
          <w:rFonts w:cs="Arial"/>
        </w:rPr>
        <w:t xml:space="preserve">S pomočjo indeksa </w:t>
      </w:r>
      <w:r w:rsidR="007F53BB" w:rsidRPr="00545EC0">
        <w:rPr>
          <w:rFonts w:cs="Arial"/>
          <w:shd w:val="clear" w:color="auto" w:fill="FFFFFF"/>
        </w:rPr>
        <w:t>izkoriščanja voda</w:t>
      </w:r>
      <w:r w:rsidRPr="00545EC0">
        <w:rPr>
          <w:rFonts w:cs="Arial"/>
        </w:rPr>
        <w:t xml:space="preserve"> </w:t>
      </w:r>
      <w:r w:rsidR="007F53BB" w:rsidRPr="00545EC0">
        <w:rPr>
          <w:rFonts w:cs="Arial"/>
        </w:rPr>
        <w:t>se ocen</w:t>
      </w:r>
      <w:r w:rsidR="00C01405" w:rsidRPr="00545EC0">
        <w:rPr>
          <w:rFonts w:cs="Arial"/>
        </w:rPr>
        <w:t>juje</w:t>
      </w:r>
      <w:r w:rsidRPr="00545EC0">
        <w:rPr>
          <w:rFonts w:cs="Arial"/>
        </w:rPr>
        <w:t xml:space="preserve">, kje so celinski vodni viri </w:t>
      </w:r>
      <w:r w:rsidR="00893409" w:rsidRPr="00545EC0">
        <w:rPr>
          <w:rFonts w:cs="Arial"/>
        </w:rPr>
        <w:t xml:space="preserve">prekomerno </w:t>
      </w:r>
      <w:r w:rsidRPr="00545EC0">
        <w:rPr>
          <w:rFonts w:cs="Arial"/>
        </w:rPr>
        <w:t>obremenjeni z odvzemi vode</w:t>
      </w:r>
      <w:r w:rsidR="00C01405" w:rsidRPr="00545EC0">
        <w:rPr>
          <w:rFonts w:cs="Arial"/>
        </w:rPr>
        <w:t xml:space="preserve"> kar ima lahko za posledico pomanjkanje vode (angleški izraz: water scarcity)</w:t>
      </w:r>
      <w:r w:rsidRPr="00545EC0">
        <w:rPr>
          <w:rStyle w:val="indicatorreportsubsectiontitletext"/>
          <w:rFonts w:cs="Arial"/>
        </w:rPr>
        <w:t>.</w:t>
      </w:r>
      <w:r w:rsidR="00C01405" w:rsidRPr="00545EC0">
        <w:rPr>
          <w:rStyle w:val="indicatorreportsubsectiontitletext"/>
          <w:rFonts w:cs="Arial"/>
        </w:rPr>
        <w:t xml:space="preserve"> </w:t>
      </w:r>
    </w:p>
    <w:p w14:paraId="05729A07" w14:textId="77777777" w:rsidR="0051602F" w:rsidRPr="00545EC0" w:rsidRDefault="0051602F" w:rsidP="00AD4FE7">
      <w:pPr>
        <w:rPr>
          <w:rStyle w:val="indicatorreportsubsectiontitletext"/>
          <w:rFonts w:cs="Arial"/>
        </w:rPr>
      </w:pPr>
    </w:p>
    <w:p w14:paraId="0CE30874" w14:textId="42AD17B0" w:rsidR="007C60FB" w:rsidRPr="00545EC0" w:rsidRDefault="00C01405" w:rsidP="00AD4FE7">
      <w:pPr>
        <w:rPr>
          <w:rFonts w:cs="Arial"/>
        </w:rPr>
      </w:pPr>
      <w:r w:rsidRPr="00545EC0">
        <w:t>Evropsk</w:t>
      </w:r>
      <w:r w:rsidR="008C18E0" w:rsidRPr="00545EC0">
        <w:t>a</w:t>
      </w:r>
      <w:r w:rsidRPr="00545EC0">
        <w:t xml:space="preserve"> agencije za okolje </w:t>
      </w:r>
      <w:r w:rsidR="008C18E0" w:rsidRPr="00545EC0">
        <w:t>za oceno pomanjkanja voda uporablja dve merili in sicer indeks izkoriščanja voda je večji od 20 % in indeks izkoriščanja voda je večji od 40 %. V pr</w:t>
      </w:r>
      <w:r w:rsidR="005257E3" w:rsidRPr="00545EC0">
        <w:t>i</w:t>
      </w:r>
      <w:r w:rsidR="008C18E0" w:rsidRPr="00545EC0">
        <w:t xml:space="preserve">meri sledenjega se ocenjuje, da </w:t>
      </w:r>
      <w:r w:rsidR="005257E3" w:rsidRPr="00545EC0">
        <w:t xml:space="preserve">je prisotno </w:t>
      </w:r>
      <w:r w:rsidR="008C18E0" w:rsidRPr="00545EC0">
        <w:rPr>
          <w:rFonts w:cs="Arial"/>
          <w:sz w:val="21"/>
          <w:szCs w:val="21"/>
          <w:shd w:val="clear" w:color="auto" w:fill="FFFFFF"/>
        </w:rPr>
        <w:t xml:space="preserve">močno pomanjkanje vode ter da je </w:t>
      </w:r>
      <w:r w:rsidR="008C18E0" w:rsidRPr="00545EC0">
        <w:rPr>
          <w:rFonts w:cs="Arial"/>
        </w:rPr>
        <w:t>raba celinskih voda netrajnostna</w:t>
      </w:r>
      <w:r w:rsidR="005257E3" w:rsidRPr="00545EC0">
        <w:rPr>
          <w:rFonts w:cs="Arial"/>
        </w:rPr>
        <w:t xml:space="preserve"> </w:t>
      </w:r>
      <w:r w:rsidR="007C60FB" w:rsidRPr="00545EC0">
        <w:rPr>
          <w:rFonts w:cs="Arial"/>
        </w:rPr>
        <w:t>(ARSO, 2016; Eurostat, 2020a; Zal, 2012</w:t>
      </w:r>
      <w:r w:rsidR="008C18E0" w:rsidRPr="00545EC0">
        <w:rPr>
          <w:rFonts w:cs="Arial"/>
        </w:rPr>
        <w:t>, EEA, 2021; Kazalci okolja</w:t>
      </w:r>
      <w:r w:rsidR="005257E3" w:rsidRPr="00545EC0">
        <w:rPr>
          <w:rFonts w:cs="Arial"/>
        </w:rPr>
        <w:t xml:space="preserve"> - VD01</w:t>
      </w:r>
      <w:r w:rsidR="008C18E0" w:rsidRPr="00545EC0">
        <w:rPr>
          <w:rFonts w:cs="Arial"/>
        </w:rPr>
        <w:t>, 2021</w:t>
      </w:r>
      <w:r w:rsidR="007C60FB" w:rsidRPr="00545EC0">
        <w:rPr>
          <w:rFonts w:cs="Arial"/>
        </w:rPr>
        <w:t>).</w:t>
      </w:r>
      <w:r w:rsidR="007F53BB" w:rsidRPr="00545EC0">
        <w:rPr>
          <w:rFonts w:cs="Arial"/>
        </w:rPr>
        <w:t xml:space="preserve"> </w:t>
      </w:r>
      <w:r w:rsidR="007C60FB" w:rsidRPr="00545EC0">
        <w:rPr>
          <w:rFonts w:cs="Arial"/>
        </w:rPr>
        <w:t xml:space="preserve">Glede na </w:t>
      </w:r>
      <w:r w:rsidR="007F53BB" w:rsidRPr="00545EC0">
        <w:rPr>
          <w:rFonts w:cs="Arial"/>
        </w:rPr>
        <w:t xml:space="preserve">ocenjen </w:t>
      </w:r>
      <w:r w:rsidR="007C60FB" w:rsidRPr="00545EC0">
        <w:rPr>
          <w:rFonts w:cs="Arial"/>
        </w:rPr>
        <w:t xml:space="preserve">delež izkoriščene vode se Slovenija uvršča med države brez </w:t>
      </w:r>
      <w:r w:rsidR="007F53BB" w:rsidRPr="00545EC0">
        <w:rPr>
          <w:rFonts w:cs="Arial"/>
        </w:rPr>
        <w:t xml:space="preserve">t.i. </w:t>
      </w:r>
      <w:r w:rsidR="007C60FB" w:rsidRPr="00545EC0">
        <w:rPr>
          <w:rFonts w:cs="Arial"/>
        </w:rPr>
        <w:t xml:space="preserve">vodnega stresa. </w:t>
      </w:r>
    </w:p>
    <w:p w14:paraId="3E67FA27" w14:textId="77777777" w:rsidR="00E4448F" w:rsidRPr="00545EC0" w:rsidRDefault="00E4448F" w:rsidP="00AD4FE7">
      <w:pPr>
        <w:rPr>
          <w:rFonts w:cs="Arial"/>
        </w:rPr>
      </w:pPr>
    </w:p>
    <w:p w14:paraId="35F48548" w14:textId="748F940C" w:rsidR="00E4448F" w:rsidRPr="00545EC0" w:rsidRDefault="00E4448F" w:rsidP="00AD4FE7">
      <w:pPr>
        <w:rPr>
          <w:rFonts w:cs="Arial"/>
        </w:rPr>
      </w:pPr>
      <w:r w:rsidRPr="00545EC0">
        <w:rPr>
          <w:rFonts w:cs="Arial"/>
        </w:rPr>
        <w:t xml:space="preserve">Letni indeksi </w:t>
      </w:r>
      <w:r w:rsidR="007F53BB" w:rsidRPr="00545EC0">
        <w:rPr>
          <w:rFonts w:cs="Arial"/>
          <w:shd w:val="clear" w:color="auto" w:fill="FFFFFF"/>
        </w:rPr>
        <w:t>izkoriščanja voda</w:t>
      </w:r>
      <w:r w:rsidRPr="00545EC0">
        <w:rPr>
          <w:rFonts w:cs="Arial"/>
        </w:rPr>
        <w:t xml:space="preserve"> za Slovenijo v obdobju od 2002 do 2017 </w:t>
      </w:r>
      <w:r w:rsidR="005257E3" w:rsidRPr="00545EC0">
        <w:rPr>
          <w:rFonts w:cs="Arial"/>
        </w:rPr>
        <w:t xml:space="preserve">kaže </w:t>
      </w:r>
      <w:r w:rsidRPr="00545EC0">
        <w:rPr>
          <w:rFonts w:cs="Arial"/>
        </w:rPr>
        <w:t>na rahlo znižanje, vendar trend ni statistično značilen, večinoma pa se vrednosti gibljejo okoli treh odstotkov razpoložljivega odtoka vode (lastni izračuni DRSV po podatkih Eurostat, 2020a in Eurostat, 2020b)</w:t>
      </w:r>
      <w:r w:rsidR="00226BD9" w:rsidRPr="00545EC0">
        <w:rPr>
          <w:rFonts w:cs="Arial"/>
        </w:rPr>
        <w:t>.</w:t>
      </w:r>
    </w:p>
    <w:p w14:paraId="00A9F034" w14:textId="77777777" w:rsidR="00E4448F" w:rsidRPr="00545EC0" w:rsidRDefault="00E4448F" w:rsidP="00AD4FE7">
      <w:pPr>
        <w:pStyle w:val="podnaslov0"/>
      </w:pPr>
      <w:bookmarkStart w:id="289" w:name="_Toc414365777"/>
      <w:bookmarkStart w:id="290" w:name="_Toc329339230"/>
      <w:bookmarkStart w:id="291" w:name="_Toc329286558"/>
      <w:r w:rsidRPr="00545EC0">
        <w:t>Indeks rabe površinskih voda – povratni in nepovratni odvzemi</w:t>
      </w:r>
      <w:bookmarkEnd w:id="289"/>
      <w:bookmarkEnd w:id="290"/>
      <w:bookmarkEnd w:id="291"/>
    </w:p>
    <w:p w14:paraId="1270B497" w14:textId="77777777" w:rsidR="00E4448F" w:rsidRPr="00545EC0" w:rsidRDefault="00E4448F" w:rsidP="00AD4FE7">
      <w:pPr>
        <w:rPr>
          <w:rFonts w:cs="Arial"/>
        </w:rPr>
      </w:pPr>
      <w:r w:rsidRPr="00545EC0">
        <w:rPr>
          <w:rFonts w:cs="Arial"/>
        </w:rPr>
        <w:t>V Sloveniji sta bila razvita dva indeksa rabe površinskih voda. Definirana sta kot razmerje med dovoljeno količino rabljene vode in večletno povprečno količino vode (sQs), ki teče skozi prečni prerez vodotoka. To sta indeks nepovratne (INrV) in povratne rabe (IPrV) površinskih voda.</w:t>
      </w:r>
    </w:p>
    <w:p w14:paraId="08CCB317" w14:textId="77777777" w:rsidR="00E4448F" w:rsidRPr="00545EC0" w:rsidRDefault="00E4448F" w:rsidP="00AD4FE7">
      <w:pPr>
        <w:rPr>
          <w:rFonts w:cs="Arial"/>
        </w:rPr>
      </w:pPr>
    </w:p>
    <w:p w14:paraId="2B094124" w14:textId="32ED0746" w:rsidR="00A264BA" w:rsidRPr="00545EC0" w:rsidRDefault="00A264BA" w:rsidP="00A264BA">
      <w:pPr>
        <w:rPr>
          <w:rFonts w:cs="Arial"/>
          <w:u w:val="single"/>
        </w:rPr>
      </w:pPr>
      <w:r w:rsidRPr="00545EC0">
        <w:rPr>
          <w:rFonts w:cs="Arial"/>
          <w:u w:val="single"/>
        </w:rPr>
        <w:t>Indeks nepovratne rabe površinsk</w:t>
      </w:r>
      <w:r w:rsidR="0051602F" w:rsidRPr="00545EC0">
        <w:rPr>
          <w:rFonts w:cs="Arial"/>
          <w:u w:val="single"/>
        </w:rPr>
        <w:t xml:space="preserve">ih voda </w:t>
      </w:r>
    </w:p>
    <w:p w14:paraId="6D8B5069" w14:textId="77777777" w:rsidR="00E4448F" w:rsidRPr="00545EC0" w:rsidRDefault="00E4448F" w:rsidP="00AD4FE7">
      <w:pPr>
        <w:rPr>
          <w:rFonts w:cs="Arial"/>
          <w:u w:val="single"/>
        </w:rPr>
      </w:pPr>
    </w:p>
    <w:p w14:paraId="1498CD49" w14:textId="26C064CD" w:rsidR="00E4448F" w:rsidRPr="00545EC0" w:rsidRDefault="00E4448F" w:rsidP="00AD4FE7">
      <w:pPr>
        <w:rPr>
          <w:rFonts w:cs="Arial"/>
        </w:rPr>
      </w:pPr>
      <w:r w:rsidRPr="00545EC0">
        <w:rPr>
          <w:rFonts w:cs="Arial"/>
        </w:rPr>
        <w:t xml:space="preserve">Indeks nepovratne rabe površinskih voda (INrV) je izražen v odstotkih in predstavlja razmerje med odvzeto in porabljeno vodo, ki se po rabi ne vrača neposredno v reko ali zadrževalnik (npr. za potrebe namakanja, zalivanja, oskrbe s pitno vodo, zasneževanje ipd.) in srednjim letnim pretokom. Indeks je prikazan na </w:t>
      </w:r>
      <w:r w:rsidR="002B19AC" w:rsidRPr="00545EC0">
        <w:rPr>
          <w:rFonts w:cs="Arial"/>
        </w:rPr>
        <w:t xml:space="preserve">publikacijski </w:t>
      </w:r>
      <w:r w:rsidRPr="00545EC0">
        <w:rPr>
          <w:rFonts w:cs="Arial"/>
        </w:rPr>
        <w:t>karti (</w:t>
      </w:r>
      <w:r w:rsidRPr="00545EC0">
        <w:rPr>
          <w:rFonts w:cs="Arial"/>
          <w:i/>
        </w:rPr>
        <w:t>Publikacijska karta</w:t>
      </w:r>
      <w:r w:rsidR="00E906EC" w:rsidRPr="00545EC0">
        <w:rPr>
          <w:rFonts w:cs="Arial"/>
          <w:i/>
        </w:rPr>
        <w:t xml:space="preserve"> 5.7</w:t>
      </w:r>
      <w:r w:rsidRPr="00545EC0">
        <w:rPr>
          <w:rFonts w:cs="Arial"/>
          <w:i/>
        </w:rPr>
        <w:t>: Indeksi nepovratne rabe površinskih voda</w:t>
      </w:r>
      <w:r w:rsidR="00E906EC" w:rsidRPr="00545EC0">
        <w:rPr>
          <w:rFonts w:cs="Arial"/>
          <w:i/>
        </w:rPr>
        <w:t xml:space="preserve"> na neposrednih prispevnih površinah VTPV</w:t>
      </w:r>
      <w:r w:rsidRPr="00545EC0">
        <w:rPr>
          <w:rFonts w:cs="Arial"/>
        </w:rPr>
        <w:t>).</w:t>
      </w:r>
    </w:p>
    <w:p w14:paraId="161A7BFD" w14:textId="77777777" w:rsidR="00710B3E" w:rsidRPr="00545EC0" w:rsidRDefault="00710B3E" w:rsidP="00AD4FE7">
      <w:pPr>
        <w:rPr>
          <w:rFonts w:cs="Arial"/>
        </w:rPr>
      </w:pPr>
    </w:p>
    <w:p w14:paraId="4508326D" w14:textId="139F2B37" w:rsidR="00E4448F" w:rsidRPr="00545EC0" w:rsidRDefault="00E4448F" w:rsidP="00AD4FE7">
      <w:pPr>
        <w:rPr>
          <w:rFonts w:cs="Arial"/>
          <w:noProof/>
          <w:szCs w:val="20"/>
        </w:rPr>
      </w:pPr>
      <w:r w:rsidRPr="00545EC0">
        <w:rPr>
          <w:rFonts w:cs="Arial"/>
          <w:noProof/>
          <w:szCs w:val="20"/>
        </w:rPr>
        <w:t xml:space="preserve">Na VO Donave se indeks nepovratne rabe površinskih voda giblje med 0 in 8 %, pri čemer so </w:t>
      </w:r>
      <w:r w:rsidR="00710B3E" w:rsidRPr="00545EC0">
        <w:rPr>
          <w:rFonts w:cs="Arial"/>
          <w:noProof/>
          <w:szCs w:val="20"/>
        </w:rPr>
        <w:t>tipične vrednosti med 0 in 1 %</w:t>
      </w:r>
      <w:r w:rsidRPr="00545EC0">
        <w:rPr>
          <w:rFonts w:cs="Arial"/>
          <w:noProof/>
          <w:szCs w:val="20"/>
        </w:rPr>
        <w:t>. Nekoliko višji indeks izkazujeta le VTPV Ložnica ter VTPV Hudinja povirje – Nova Cerkev.</w:t>
      </w:r>
    </w:p>
    <w:p w14:paraId="66834F52" w14:textId="77777777" w:rsidR="00E4448F" w:rsidRPr="00545EC0" w:rsidRDefault="00E4448F" w:rsidP="00AD4FE7">
      <w:pPr>
        <w:rPr>
          <w:rFonts w:cs="Arial"/>
          <w:noProof/>
          <w:szCs w:val="20"/>
        </w:rPr>
      </w:pPr>
    </w:p>
    <w:p w14:paraId="11BAD053" w14:textId="0046988F" w:rsidR="00E4448F" w:rsidRPr="00545EC0" w:rsidRDefault="00A264BA" w:rsidP="00AD4FE7">
      <w:pPr>
        <w:rPr>
          <w:rFonts w:cs="Arial"/>
          <w:u w:val="single"/>
        </w:rPr>
      </w:pPr>
      <w:r w:rsidRPr="00545EC0">
        <w:rPr>
          <w:rFonts w:cs="Arial"/>
          <w:u w:val="single"/>
        </w:rPr>
        <w:t>Indeks povratn</w:t>
      </w:r>
      <w:r w:rsidR="0051602F" w:rsidRPr="00545EC0">
        <w:rPr>
          <w:rFonts w:cs="Arial"/>
          <w:u w:val="single"/>
        </w:rPr>
        <w:t xml:space="preserve">e rabe površinskih voda </w:t>
      </w:r>
    </w:p>
    <w:p w14:paraId="241339E7" w14:textId="77777777" w:rsidR="0051602F" w:rsidRPr="00545EC0" w:rsidRDefault="0051602F" w:rsidP="00AD4FE7">
      <w:pPr>
        <w:rPr>
          <w:rFonts w:cs="Arial"/>
          <w:u w:val="single"/>
        </w:rPr>
      </w:pPr>
    </w:p>
    <w:p w14:paraId="615F72DA" w14:textId="3DE7DD9F" w:rsidR="00E906EC" w:rsidRPr="00545EC0" w:rsidRDefault="00E4448F" w:rsidP="00E906EC">
      <w:pPr>
        <w:rPr>
          <w:rFonts w:cs="Arial"/>
        </w:rPr>
      </w:pPr>
      <w:r w:rsidRPr="00545EC0">
        <w:rPr>
          <w:rFonts w:cs="Arial"/>
        </w:rPr>
        <w:t>Indeks povratne rabe površinskih voda (IPrV) je izražen v odstotkih in predstavlja razmerje med vodo, ki se po odvzemu vrača v reko ali zadrževalnik (npr. za potrebe HE, mHE, ribogojnic ipd.) in srednjim letnim pretokom na VTPV. Indeks je prikazan na</w:t>
      </w:r>
      <w:r w:rsidR="002B19AC" w:rsidRPr="00545EC0">
        <w:rPr>
          <w:rFonts w:cs="Arial"/>
        </w:rPr>
        <w:t xml:space="preserve"> publikacijski</w:t>
      </w:r>
      <w:r w:rsidRPr="00545EC0">
        <w:rPr>
          <w:rFonts w:cs="Arial"/>
        </w:rPr>
        <w:t xml:space="preserve"> karti </w:t>
      </w:r>
      <w:r w:rsidR="00E906EC" w:rsidRPr="00545EC0">
        <w:rPr>
          <w:rFonts w:cs="Arial"/>
        </w:rPr>
        <w:t>(</w:t>
      </w:r>
      <w:r w:rsidR="00E906EC" w:rsidRPr="00545EC0">
        <w:rPr>
          <w:rFonts w:cs="Arial"/>
          <w:i/>
        </w:rPr>
        <w:t>Publikacijska karta 5.6: Indeksi povratne rabe površinskih voda na neposrednih prispevnih površinah VTPV</w:t>
      </w:r>
      <w:r w:rsidR="00E906EC" w:rsidRPr="00545EC0">
        <w:rPr>
          <w:rFonts w:cs="Arial"/>
        </w:rPr>
        <w:t>).</w:t>
      </w:r>
    </w:p>
    <w:p w14:paraId="36906F55" w14:textId="77777777" w:rsidR="00E4448F" w:rsidRPr="00545EC0" w:rsidRDefault="00E4448F" w:rsidP="00AD4FE7">
      <w:pPr>
        <w:rPr>
          <w:rFonts w:cs="Arial"/>
          <w:noProof/>
          <w:szCs w:val="20"/>
        </w:rPr>
      </w:pPr>
      <w:bookmarkStart w:id="292" w:name="_Toc419099194"/>
    </w:p>
    <w:p w14:paraId="7828FED3" w14:textId="29A181A1" w:rsidR="0095433D" w:rsidRPr="00545EC0" w:rsidRDefault="00E4448F" w:rsidP="00AD4FE7">
      <w:pPr>
        <w:rPr>
          <w:rFonts w:cs="Arial"/>
          <w:noProof/>
          <w:szCs w:val="20"/>
        </w:rPr>
      </w:pPr>
      <w:r w:rsidRPr="00545EC0">
        <w:rPr>
          <w:rFonts w:cs="Arial"/>
          <w:noProof/>
          <w:szCs w:val="20"/>
        </w:rPr>
        <w:t>Na VO Donave se indeks povratne rabe površinskih voda giblje med 0 in dobrimi 1.000 %, pri čemer se tipične vrednosti gibljejo med 0 in 100 %</w:t>
      </w:r>
      <w:r w:rsidR="00710B3E" w:rsidRPr="00545EC0">
        <w:rPr>
          <w:rFonts w:cs="Arial"/>
          <w:noProof/>
          <w:szCs w:val="20"/>
        </w:rPr>
        <w:t>.</w:t>
      </w:r>
      <w:r w:rsidRPr="00545EC0">
        <w:rPr>
          <w:rFonts w:cs="Arial"/>
          <w:noProof/>
          <w:szCs w:val="20"/>
        </w:rPr>
        <w:t xml:space="preserve"> Indeks izkazuje večjo povratno rabo voda na velikih rekah, kjer so hidroelektrarne (Sava, Drava) in na območjih, ki so namenjena predvsem proizvodnji električne energije v malih hidroelektrarnah in ribogojnicam (severni in osrednji</w:t>
      </w:r>
      <w:r w:rsidR="000971D5" w:rsidRPr="00545EC0">
        <w:rPr>
          <w:rFonts w:cs="Arial"/>
          <w:noProof/>
          <w:szCs w:val="20"/>
        </w:rPr>
        <w:t xml:space="preserve"> del Slovenije)</w:t>
      </w:r>
      <w:r w:rsidR="00357381" w:rsidRPr="00545EC0">
        <w:rPr>
          <w:rFonts w:cs="Arial"/>
          <w:noProof/>
          <w:szCs w:val="20"/>
        </w:rPr>
        <w:t>.</w:t>
      </w:r>
    </w:p>
    <w:p w14:paraId="1089BE23" w14:textId="77777777" w:rsidR="00AD4FE7" w:rsidRPr="00545EC0" w:rsidRDefault="00AD4FE7" w:rsidP="00AD4FE7">
      <w:pPr>
        <w:pStyle w:val="Naslov4"/>
        <w:rPr>
          <w:color w:val="auto"/>
        </w:rPr>
      </w:pPr>
      <w:bookmarkStart w:id="293" w:name="_Toc419099244"/>
      <w:bookmarkStart w:id="294" w:name="_Toc417058064"/>
      <w:bookmarkEnd w:id="292"/>
      <w:r w:rsidRPr="00545EC0">
        <w:rPr>
          <w:color w:val="auto"/>
        </w:rPr>
        <w:t>Viri obremenitev na podzemne vode, od katerih so odvisni ekosistemi</w:t>
      </w:r>
      <w:bookmarkEnd w:id="293"/>
      <w:bookmarkEnd w:id="294"/>
    </w:p>
    <w:p w14:paraId="4EF9E3F8" w14:textId="2CE99942" w:rsidR="00870B16" w:rsidRPr="00545EC0" w:rsidRDefault="00870B16" w:rsidP="00870B16">
      <w:bookmarkStart w:id="295" w:name="_Hlk60141495"/>
      <w:r w:rsidRPr="00545EC0">
        <w:t xml:space="preserve">Značilnosti </w:t>
      </w:r>
      <w:r w:rsidR="00651D1F" w:rsidRPr="00545EC0">
        <w:t xml:space="preserve">vrhnjih plasti </w:t>
      </w:r>
      <w:r w:rsidRPr="00545EC0">
        <w:t>in povezave podzemnih in površinskih vod</w:t>
      </w:r>
      <w:r w:rsidR="00AD1728" w:rsidRPr="00545EC0">
        <w:t>a</w:t>
      </w:r>
      <w:r w:rsidRPr="00545EC0">
        <w:t xml:space="preserve"> so vzrok, da imamo na vodnem območju Donave </w:t>
      </w:r>
      <w:r w:rsidRPr="00545EC0">
        <w:rPr>
          <w:rFonts w:cs="Arial"/>
          <w:szCs w:val="20"/>
        </w:rPr>
        <w:t xml:space="preserve">in Jadranskega morja </w:t>
      </w:r>
      <w:r w:rsidRPr="00545EC0">
        <w:t>veliko ekosistemov, ki so odvisni od podzemnih vod</w:t>
      </w:r>
      <w:r w:rsidR="00AD1728" w:rsidRPr="00545EC0">
        <w:t>a</w:t>
      </w:r>
      <w:r w:rsidRPr="00545EC0">
        <w:t xml:space="preserve">. Značilnosti vrhnjih plasti omogočajo dobro povezavo med podzemnimi in površinskimi vodami. </w:t>
      </w:r>
      <w:r w:rsidRPr="00545EC0">
        <w:lastRenderedPageBreak/>
        <w:t>Pomembna napajanja podzemne vode iz površinskih vod</w:t>
      </w:r>
      <w:r w:rsidR="001F0EFF" w:rsidRPr="00545EC0">
        <w:t>a</w:t>
      </w:r>
      <w:r w:rsidRPr="00545EC0">
        <w:t xml:space="preserve"> nastopajo v posameznih predelih vodnih teles podzemne vode v aluvialnih sedimentih (predvsem Savska kotlina in Ljubljansko barje, Savinjska kotlina in Krška kotlina) ter na območjih vodnih teles v kraških vodonosnikih (predvsem Kraška Ljubljanica in Dolenjski kras), kjer površinske vode ponekod v celoti ponikajo v kraška tla in napajajo podzemno vodo v kraških vodonosnikih.</w:t>
      </w:r>
    </w:p>
    <w:p w14:paraId="63AB7AA2" w14:textId="77777777" w:rsidR="00870B16" w:rsidRPr="00545EC0" w:rsidRDefault="00870B16" w:rsidP="00870B16"/>
    <w:p w14:paraId="448C7503" w14:textId="7D928E6F" w:rsidR="00870B16" w:rsidRPr="00545EC0" w:rsidRDefault="00870B16" w:rsidP="00870B16">
      <w:pPr>
        <w:pStyle w:val="Odstavekseznama"/>
        <w:ind w:left="0"/>
        <w:rPr>
          <w:lang w:val="sl-SI"/>
        </w:rPr>
      </w:pPr>
      <w:r w:rsidRPr="00545EC0">
        <w:rPr>
          <w:lang w:val="sl-SI"/>
        </w:rPr>
        <w:t>Popis območij ekosistemov odvisnih od podzemnih vod</w:t>
      </w:r>
      <w:r w:rsidR="001F0EFF" w:rsidRPr="00545EC0">
        <w:rPr>
          <w:lang w:val="sl-SI"/>
        </w:rPr>
        <w:t>a</w:t>
      </w:r>
      <w:r w:rsidRPr="00545EC0">
        <w:rPr>
          <w:lang w:val="sl-SI"/>
        </w:rPr>
        <w:t xml:space="preserve"> vodi Zavod Republike Slovenije za varstvo narave </w:t>
      </w:r>
      <w:r w:rsidRPr="00545EC0">
        <w:rPr>
          <w:rFonts w:cs="Arial"/>
          <w:szCs w:val="20"/>
          <w:lang w:val="sl-SI"/>
        </w:rPr>
        <w:t>(v nadaljnjem besedilu</w:t>
      </w:r>
      <w:r w:rsidR="00B916AD" w:rsidRPr="00545EC0">
        <w:rPr>
          <w:rFonts w:cs="Arial"/>
          <w:szCs w:val="20"/>
          <w:lang w:val="sl-SI"/>
        </w:rPr>
        <w:t>:</w:t>
      </w:r>
      <w:r w:rsidRPr="00545EC0">
        <w:rPr>
          <w:rFonts w:cs="Arial"/>
          <w:szCs w:val="20"/>
          <w:lang w:val="sl-SI"/>
        </w:rPr>
        <w:t xml:space="preserve"> ZRSVN).</w:t>
      </w:r>
    </w:p>
    <w:p w14:paraId="5B71DDF6" w14:textId="77777777" w:rsidR="00870B16" w:rsidRPr="00545EC0" w:rsidRDefault="00870B16" w:rsidP="00870B16"/>
    <w:p w14:paraId="2EA3E105" w14:textId="33F6C9EB" w:rsidR="00870B16" w:rsidRPr="00545EC0" w:rsidRDefault="00870B16" w:rsidP="00870B16">
      <w:pPr>
        <w:rPr>
          <w:rFonts w:cs="Arial"/>
          <w:szCs w:val="20"/>
        </w:rPr>
      </w:pPr>
      <w:r w:rsidRPr="00545EC0">
        <w:rPr>
          <w:szCs w:val="20"/>
        </w:rPr>
        <w:t xml:space="preserve">Ekosistemi odvisni od podzemne vode, ki se v obliki baze podatkov vodijo na </w:t>
      </w:r>
      <w:r w:rsidR="007C5C21" w:rsidRPr="00545EC0">
        <w:rPr>
          <w:szCs w:val="20"/>
          <w:lang w:eastAsia="x-none"/>
        </w:rPr>
        <w:t>ZRSVN</w:t>
      </w:r>
      <w:r w:rsidRPr="00545EC0">
        <w:rPr>
          <w:szCs w:val="20"/>
          <w:lang w:eastAsia="x-none"/>
        </w:rPr>
        <w:t xml:space="preserve">, </w:t>
      </w:r>
      <w:r w:rsidRPr="00545EC0">
        <w:rPr>
          <w:szCs w:val="20"/>
        </w:rPr>
        <w:t xml:space="preserve">so opredeljeni na </w:t>
      </w:r>
      <w:r w:rsidR="00D21E41" w:rsidRPr="00545EC0">
        <w:rPr>
          <w:szCs w:val="20"/>
        </w:rPr>
        <w:t xml:space="preserve">38 </w:t>
      </w:r>
      <w:r w:rsidRPr="00545EC0">
        <w:rPr>
          <w:szCs w:val="20"/>
        </w:rPr>
        <w:t>območjih Nature 2000 in se nahajajo na večini vodnih teles podzemnih voda, z izjemo Savinjske kotline, Julijskih Alp v porečju Save, Spodnjega dela Savinje do Sotle, Vzhodnih Alp, Haloz in Dravinjskih goric ter Julijskih Alp v porečju Soče (</w:t>
      </w:r>
      <w:r w:rsidRPr="00545EC0">
        <w:rPr>
          <w:rFonts w:cs="Arial"/>
          <w:i/>
          <w:szCs w:val="20"/>
        </w:rPr>
        <w:t>Publikacijska karta</w:t>
      </w:r>
      <w:r w:rsidR="00E906EC" w:rsidRPr="00545EC0">
        <w:rPr>
          <w:rFonts w:cs="Arial"/>
          <w:i/>
          <w:szCs w:val="20"/>
        </w:rPr>
        <w:t xml:space="preserve"> 10.15</w:t>
      </w:r>
      <w:r w:rsidRPr="00545EC0">
        <w:rPr>
          <w:rFonts w:cs="Arial"/>
          <w:i/>
          <w:szCs w:val="20"/>
        </w:rPr>
        <w:t>: Stanje ekosistemov odvisnih od podzemnih vod</w:t>
      </w:r>
      <w:r w:rsidRPr="00545EC0">
        <w:rPr>
          <w:rFonts w:cs="Arial"/>
          <w:szCs w:val="20"/>
        </w:rPr>
        <w:t xml:space="preserve">). </w:t>
      </w:r>
    </w:p>
    <w:p w14:paraId="20A67758" w14:textId="77777777" w:rsidR="00870B16" w:rsidRPr="00545EC0" w:rsidRDefault="00870B16" w:rsidP="00870B16"/>
    <w:p w14:paraId="558BB5F8" w14:textId="61585261" w:rsidR="00CF6492" w:rsidRPr="00545EC0" w:rsidRDefault="00870B16" w:rsidP="00870B16">
      <w:r w:rsidRPr="00545EC0">
        <w:t>Ekosistem</w:t>
      </w:r>
      <w:r w:rsidR="00CF6492" w:rsidRPr="00545EC0">
        <w:t>e</w:t>
      </w:r>
      <w:r w:rsidRPr="00545EC0">
        <w:t xml:space="preserve"> s</w:t>
      </w:r>
      <w:r w:rsidR="00CF6492" w:rsidRPr="00545EC0">
        <w:t>e</w:t>
      </w:r>
      <w:r w:rsidRPr="00545EC0">
        <w:t xml:space="preserve">, glede na </w:t>
      </w:r>
      <w:r w:rsidR="00CF6492" w:rsidRPr="00545EC0">
        <w:t>cilje Programa upravljanja območij Natura 2000</w:t>
      </w:r>
      <w:r w:rsidRPr="00545EC0">
        <w:t xml:space="preserve"> razvršč</w:t>
      </w:r>
      <w:r w:rsidR="00CF6492" w:rsidRPr="00545EC0">
        <w:t>a</w:t>
      </w:r>
      <w:r w:rsidRPr="00545EC0">
        <w:t xml:space="preserve"> v </w:t>
      </w:r>
      <w:r w:rsidR="00CF6492" w:rsidRPr="00545EC0">
        <w:t>enega od treh razredov, in sicer</w:t>
      </w:r>
      <w:r w:rsidRPr="00545EC0">
        <w:t xml:space="preserve">: </w:t>
      </w:r>
    </w:p>
    <w:p w14:paraId="6A9462A4" w14:textId="65505D08" w:rsidR="00EF7303" w:rsidRPr="00545EC0" w:rsidRDefault="00EF7303" w:rsidP="00DD37C5">
      <w:pPr>
        <w:pStyle w:val="Odstavekseznama"/>
        <w:numPr>
          <w:ilvl w:val="0"/>
          <w:numId w:val="113"/>
        </w:numPr>
      </w:pPr>
      <w:r w:rsidRPr="00545EC0">
        <w:t xml:space="preserve">razred (1): </w:t>
      </w:r>
      <w:r w:rsidR="00870B16" w:rsidRPr="00545EC0">
        <w:t>ekosistemi so v neugodnem stanju in ogroženi</w:t>
      </w:r>
      <w:r w:rsidRPr="00545EC0">
        <w:rPr>
          <w:lang w:val="sl-SI"/>
        </w:rPr>
        <w:t xml:space="preserve"> pri čemer je</w:t>
      </w:r>
      <w:r w:rsidR="00CF6492" w:rsidRPr="00545EC0">
        <w:t xml:space="preserve"> varstveni cilj Programa upravljanja območij Natura 2000 </w:t>
      </w:r>
      <w:r w:rsidRPr="00545EC0">
        <w:rPr>
          <w:lang w:val="sl-SI"/>
        </w:rPr>
        <w:t>določen kot »</w:t>
      </w:r>
      <w:r w:rsidR="00CF6492" w:rsidRPr="00545EC0">
        <w:t>se obnovi</w:t>
      </w:r>
      <w:r w:rsidRPr="00545EC0">
        <w:rPr>
          <w:lang w:val="sl-SI"/>
        </w:rPr>
        <w:t>«</w:t>
      </w:r>
      <w:r w:rsidR="00870B16" w:rsidRPr="00545EC0">
        <w:t xml:space="preserve">, </w:t>
      </w:r>
    </w:p>
    <w:p w14:paraId="6AE5DD2F" w14:textId="6DAD6AFA" w:rsidR="00EF7303" w:rsidRPr="00545EC0" w:rsidRDefault="00870B16" w:rsidP="00DD37C5">
      <w:pPr>
        <w:pStyle w:val="Odstavekseznama"/>
        <w:numPr>
          <w:ilvl w:val="0"/>
          <w:numId w:val="113"/>
        </w:numPr>
      </w:pPr>
      <w:r w:rsidRPr="00545EC0">
        <w:t xml:space="preserve"> </w:t>
      </w:r>
      <w:r w:rsidR="00EF7303" w:rsidRPr="00545EC0">
        <w:rPr>
          <w:lang w:val="sl-SI"/>
        </w:rPr>
        <w:t xml:space="preserve">razred (2): </w:t>
      </w:r>
      <w:r w:rsidRPr="00545EC0">
        <w:t>ekosistemi so poškodovani in ogroženi</w:t>
      </w:r>
      <w:r w:rsidR="00EF7303" w:rsidRPr="00545EC0">
        <w:rPr>
          <w:lang w:val="sl-SI"/>
        </w:rPr>
        <w:t xml:space="preserve">, pri čemer je varstveni </w:t>
      </w:r>
      <w:r w:rsidR="00CF6492" w:rsidRPr="00545EC0">
        <w:t>cilj Programa upravljanja območij Natura 2000</w:t>
      </w:r>
      <w:r w:rsidR="00EF7303" w:rsidRPr="00545EC0">
        <w:rPr>
          <w:lang w:val="sl-SI"/>
        </w:rPr>
        <w:t xml:space="preserve"> določen kot »</w:t>
      </w:r>
      <w:r w:rsidR="00CF6492" w:rsidRPr="00545EC0">
        <w:t>ohrani se</w:t>
      </w:r>
      <w:r w:rsidR="00EF7303" w:rsidRPr="00545EC0">
        <w:rPr>
          <w:lang w:val="sl-SI"/>
        </w:rPr>
        <w:t>«</w:t>
      </w:r>
      <w:r w:rsidR="00CF6492" w:rsidRPr="00545EC0">
        <w:t xml:space="preserve"> in/ali </w:t>
      </w:r>
      <w:r w:rsidR="00EF7303" w:rsidRPr="00545EC0">
        <w:rPr>
          <w:lang w:val="sl-SI"/>
        </w:rPr>
        <w:t>»</w:t>
      </w:r>
      <w:r w:rsidR="00CF6492" w:rsidRPr="00545EC0">
        <w:t>se obnovi</w:t>
      </w:r>
      <w:r w:rsidRPr="00545EC0">
        <w:t xml:space="preserve"> in </w:t>
      </w:r>
    </w:p>
    <w:p w14:paraId="0CEBFFFB" w14:textId="33ADF5FB" w:rsidR="00CF6492" w:rsidRPr="00545EC0" w:rsidRDefault="00EF7303" w:rsidP="00DD37C5">
      <w:pPr>
        <w:pStyle w:val="Odstavekseznama"/>
        <w:numPr>
          <w:ilvl w:val="0"/>
          <w:numId w:val="113"/>
        </w:numPr>
      </w:pPr>
      <w:r w:rsidRPr="00545EC0">
        <w:rPr>
          <w:lang w:val="sl-SI"/>
        </w:rPr>
        <w:t xml:space="preserve">razred </w:t>
      </w:r>
      <w:r w:rsidR="00870B16" w:rsidRPr="00545EC0">
        <w:t>(3)</w:t>
      </w:r>
      <w:r w:rsidRPr="00545EC0">
        <w:rPr>
          <w:lang w:val="sl-SI"/>
        </w:rPr>
        <w:t>:</w:t>
      </w:r>
      <w:r w:rsidR="00870B16" w:rsidRPr="00545EC0">
        <w:t xml:space="preserve"> ekosistemi so v ugodnem stanju</w:t>
      </w:r>
      <w:r w:rsidRPr="00545EC0">
        <w:rPr>
          <w:lang w:val="sl-SI"/>
        </w:rPr>
        <w:t xml:space="preserve">, pri čemer je </w:t>
      </w:r>
      <w:r w:rsidR="00CF6492" w:rsidRPr="00545EC0">
        <w:t>varstveni cilj Programa upravljanja območij Natura 2000</w:t>
      </w:r>
      <w:r w:rsidRPr="00545EC0">
        <w:rPr>
          <w:lang w:val="sl-SI"/>
        </w:rPr>
        <w:t xml:space="preserve"> določen kot »</w:t>
      </w:r>
      <w:r w:rsidR="00CF6492" w:rsidRPr="00545EC0">
        <w:t>ohrani se</w:t>
      </w:r>
      <w:r w:rsidRPr="00545EC0">
        <w:rPr>
          <w:lang w:val="sl-SI"/>
        </w:rPr>
        <w:t>«</w:t>
      </w:r>
      <w:r w:rsidR="00870B16" w:rsidRPr="00545EC0">
        <w:t xml:space="preserve">. </w:t>
      </w:r>
    </w:p>
    <w:p w14:paraId="42032C22" w14:textId="77777777" w:rsidR="00350E48" w:rsidRPr="00545EC0" w:rsidRDefault="00350E48" w:rsidP="00870B16"/>
    <w:p w14:paraId="2D3D3CA4" w14:textId="22687EEA" w:rsidR="00870B16" w:rsidRPr="00545EC0" w:rsidRDefault="00FA6F0D" w:rsidP="00870B16">
      <w:r w:rsidRPr="00545EC0">
        <w:t>Glede na usmeritve ZRSVN je treba območja</w:t>
      </w:r>
      <w:r w:rsidR="00350E48" w:rsidRPr="00545EC0">
        <w:t>, ki so</w:t>
      </w:r>
      <w:r w:rsidRPr="00545EC0">
        <w:t xml:space="preserve"> razvrš</w:t>
      </w:r>
      <w:r w:rsidR="00AD1728" w:rsidRPr="00545EC0">
        <w:t>č</w:t>
      </w:r>
      <w:r w:rsidRPr="00545EC0">
        <w:t>ena v ra</w:t>
      </w:r>
      <w:r w:rsidR="00350E48" w:rsidRPr="00545EC0">
        <w:t xml:space="preserve">zred (1) naslavljati prioritetno (t.i. visoka prioriteta). </w:t>
      </w:r>
      <w:r w:rsidR="005E5A44" w:rsidRPr="00545EC0">
        <w:t>Upoštevajoč vrste in habitatne tipe je n</w:t>
      </w:r>
      <w:r w:rsidR="00350E48" w:rsidRPr="00545EC0">
        <w:t xml:space="preserve">a </w:t>
      </w:r>
      <w:r w:rsidR="00AD1728" w:rsidRPr="00545EC0">
        <w:t>območju Slovenije</w:t>
      </w:r>
      <w:r w:rsidR="00350E48" w:rsidRPr="00545EC0">
        <w:t xml:space="preserve"> je </w:t>
      </w:r>
      <w:r w:rsidR="0069458A" w:rsidRPr="00545EC0">
        <w:t>9 območij vodnih in kopenski ekosistemi, ki so neposredni odvisni od podzemne vode</w:t>
      </w:r>
      <w:r w:rsidR="00AD1728" w:rsidRPr="00545EC0">
        <w:t>, razvršč</w:t>
      </w:r>
      <w:r w:rsidR="0069458A" w:rsidRPr="00545EC0">
        <w:t>enih v razred (1)</w:t>
      </w:r>
      <w:r w:rsidR="00D21E41" w:rsidRPr="00545EC0">
        <w:t>, 11</w:t>
      </w:r>
      <w:r w:rsidR="0069458A" w:rsidRPr="00545EC0">
        <w:t xml:space="preserve"> območij v razred (2)</w:t>
      </w:r>
      <w:r w:rsidR="00D21E41" w:rsidRPr="00545EC0">
        <w:t xml:space="preserve"> in 26</w:t>
      </w:r>
      <w:r w:rsidR="0069458A" w:rsidRPr="00545EC0">
        <w:t xml:space="preserve"> območij v razred (3)</w:t>
      </w:r>
      <w:r w:rsidR="00AD1728" w:rsidRPr="00545EC0">
        <w:t>. Podatki za VO Donave so prikazani v preglednici</w:t>
      </w:r>
      <w:r w:rsidR="0069458A" w:rsidRPr="00545EC0">
        <w:t xml:space="preserve"> </w:t>
      </w:r>
      <w:r w:rsidR="00234FE6" w:rsidRPr="00545EC0">
        <w:rPr>
          <w:rFonts w:cs="Arial"/>
          <w:szCs w:val="20"/>
        </w:rPr>
        <w:t xml:space="preserve"> (</w:t>
      </w:r>
      <w:r w:rsidR="00234FE6" w:rsidRPr="00545EC0">
        <w:rPr>
          <w:rFonts w:cs="Arial"/>
          <w:szCs w:val="20"/>
        </w:rPr>
        <w:fldChar w:fldCharType="begin"/>
      </w:r>
      <w:r w:rsidR="00234FE6" w:rsidRPr="00545EC0">
        <w:rPr>
          <w:rFonts w:cs="Arial"/>
          <w:szCs w:val="20"/>
        </w:rPr>
        <w:instrText xml:space="preserve"> REF _Ref84487765 \h </w:instrText>
      </w:r>
      <w:r w:rsidR="00F37A91" w:rsidRPr="00545EC0">
        <w:rPr>
          <w:rFonts w:cs="Arial"/>
          <w:szCs w:val="20"/>
        </w:rPr>
        <w:instrText xml:space="preserve"> \* MERGEFORMAT </w:instrText>
      </w:r>
      <w:r w:rsidR="00234FE6" w:rsidRPr="00545EC0">
        <w:rPr>
          <w:rFonts w:cs="Arial"/>
          <w:szCs w:val="20"/>
        </w:rPr>
      </w:r>
      <w:r w:rsidR="00234FE6" w:rsidRPr="00545EC0">
        <w:rPr>
          <w:rFonts w:cs="Arial"/>
          <w:szCs w:val="20"/>
        </w:rPr>
        <w:fldChar w:fldCharType="separate"/>
      </w:r>
      <w:r w:rsidR="002F3E43" w:rsidRPr="00545EC0">
        <w:t xml:space="preserve">Preglednica </w:t>
      </w:r>
      <w:r w:rsidR="002F3E43">
        <w:rPr>
          <w:noProof/>
        </w:rPr>
        <w:t>2</w:t>
      </w:r>
      <w:r w:rsidR="002F3E43" w:rsidRPr="00545EC0">
        <w:rPr>
          <w:noProof/>
        </w:rPr>
        <w:noBreakHyphen/>
      </w:r>
      <w:r w:rsidR="002F3E43">
        <w:rPr>
          <w:noProof/>
        </w:rPr>
        <w:t>39</w:t>
      </w:r>
      <w:r w:rsidR="00234FE6" w:rsidRPr="00545EC0">
        <w:rPr>
          <w:rFonts w:cs="Arial"/>
          <w:szCs w:val="20"/>
        </w:rPr>
        <w:fldChar w:fldCharType="end"/>
      </w:r>
      <w:r w:rsidR="00234FE6" w:rsidRPr="00545EC0">
        <w:rPr>
          <w:rFonts w:cs="Arial"/>
          <w:szCs w:val="20"/>
        </w:rPr>
        <w:t>).</w:t>
      </w:r>
    </w:p>
    <w:p w14:paraId="214C38F8" w14:textId="77777777" w:rsidR="00870B16" w:rsidRPr="00545EC0" w:rsidRDefault="00870B16" w:rsidP="00870B16"/>
    <w:p w14:paraId="129D61DF" w14:textId="037D7004" w:rsidR="00870B16" w:rsidRPr="00545EC0" w:rsidRDefault="00234FE6" w:rsidP="00234FE6">
      <w:pPr>
        <w:pStyle w:val="Napis"/>
      </w:pPr>
      <w:bookmarkStart w:id="296" w:name="_Ref84487765"/>
      <w:bookmarkStart w:id="297" w:name="_Toc419097372"/>
      <w:bookmarkStart w:id="298" w:name="_Toc417058114"/>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39</w:t>
        </w:r>
      </w:fldSimple>
      <w:bookmarkEnd w:id="296"/>
      <w:r w:rsidRPr="00545EC0">
        <w:t xml:space="preserve">: </w:t>
      </w:r>
      <w:r w:rsidR="00870B16" w:rsidRPr="00545EC0">
        <w:t xml:space="preserve">Vodni in kopenski ekosistemi, ki so neposredni odvisni od podzemne vode </w:t>
      </w:r>
      <w:bookmarkEnd w:id="297"/>
      <w:bookmarkEnd w:id="298"/>
      <w:r w:rsidR="00870B16" w:rsidRPr="00545EC0">
        <w:t>na VO Donave</w:t>
      </w:r>
      <w:r w:rsidRPr="00545EC0">
        <w:t xml:space="preserve"> </w:t>
      </w:r>
      <w:r w:rsidR="00AD1728" w:rsidRPr="00545EC0">
        <w:t>in njihova</w:t>
      </w:r>
      <w:r w:rsidR="00B465EC" w:rsidRPr="00545EC0">
        <w:t xml:space="preserve"> razvrstitev v enega od teh razredov glede na cilje Programa upravljanja območij Natura 2000 </w:t>
      </w:r>
      <w:r w:rsidRPr="00545EC0">
        <w:rPr>
          <w:szCs w:val="20"/>
        </w:rPr>
        <w:t xml:space="preserve">(podatki </w:t>
      </w:r>
      <w:r w:rsidR="007C5C21" w:rsidRPr="00545EC0">
        <w:rPr>
          <w:szCs w:val="20"/>
        </w:rPr>
        <w:t>ZRSVN</w:t>
      </w:r>
      <w:r w:rsidRPr="00545EC0">
        <w:rPr>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91"/>
        <w:gridCol w:w="1224"/>
        <w:gridCol w:w="2333"/>
        <w:gridCol w:w="1843"/>
        <w:gridCol w:w="1134"/>
        <w:gridCol w:w="1486"/>
      </w:tblGrid>
      <w:tr w:rsidR="003122F4" w:rsidRPr="00545EC0" w14:paraId="789EBED3" w14:textId="77777777" w:rsidTr="00627E31">
        <w:trPr>
          <w:trHeight w:val="210"/>
        </w:trPr>
        <w:tc>
          <w:tcPr>
            <w:tcW w:w="1191" w:type="dxa"/>
            <w:vMerge w:val="restart"/>
            <w:shd w:val="clear" w:color="auto" w:fill="F2F2F2" w:themeFill="background1" w:themeFillShade="F2"/>
            <w:noWrap/>
            <w:vAlign w:val="center"/>
            <w:hideMark/>
          </w:tcPr>
          <w:p w14:paraId="7DED8D07" w14:textId="64CC740B" w:rsidR="00B916AD" w:rsidRPr="00545EC0" w:rsidRDefault="00B916AD" w:rsidP="00627E31">
            <w:pPr>
              <w:spacing w:line="240" w:lineRule="auto"/>
              <w:jc w:val="center"/>
              <w:rPr>
                <w:rFonts w:cs="Arial"/>
                <w:b/>
                <w:sz w:val="18"/>
                <w:szCs w:val="18"/>
              </w:rPr>
            </w:pPr>
            <w:r w:rsidRPr="00545EC0">
              <w:rPr>
                <w:rFonts w:cs="Arial"/>
                <w:b/>
                <w:sz w:val="18"/>
                <w:szCs w:val="18"/>
              </w:rPr>
              <w:t>Šifra VTPodV</w:t>
            </w:r>
          </w:p>
        </w:tc>
        <w:tc>
          <w:tcPr>
            <w:tcW w:w="1224" w:type="dxa"/>
            <w:vMerge w:val="restart"/>
            <w:shd w:val="clear" w:color="auto" w:fill="F2F2F2" w:themeFill="background1" w:themeFillShade="F2"/>
            <w:noWrap/>
            <w:vAlign w:val="center"/>
            <w:hideMark/>
          </w:tcPr>
          <w:p w14:paraId="1D485256" w14:textId="78E2E399" w:rsidR="00B916AD" w:rsidRPr="00545EC0" w:rsidRDefault="00B916AD" w:rsidP="00627E31">
            <w:pPr>
              <w:overflowPunct/>
              <w:autoSpaceDE/>
              <w:autoSpaceDN/>
              <w:adjustRightInd/>
              <w:spacing w:line="240" w:lineRule="auto"/>
              <w:jc w:val="center"/>
              <w:textAlignment w:val="auto"/>
              <w:rPr>
                <w:rFonts w:cs="Arial"/>
                <w:b/>
                <w:bCs/>
                <w:sz w:val="18"/>
                <w:szCs w:val="18"/>
              </w:rPr>
            </w:pPr>
            <w:r w:rsidRPr="00545EC0">
              <w:rPr>
                <w:rFonts w:cs="Arial"/>
                <w:b/>
                <w:bCs/>
                <w:sz w:val="18"/>
                <w:szCs w:val="18"/>
              </w:rPr>
              <w:t>Šifra NATURA 2000</w:t>
            </w:r>
          </w:p>
        </w:tc>
        <w:tc>
          <w:tcPr>
            <w:tcW w:w="2333" w:type="dxa"/>
            <w:vMerge w:val="restart"/>
            <w:shd w:val="clear" w:color="auto" w:fill="F2F2F2" w:themeFill="background1" w:themeFillShade="F2"/>
            <w:noWrap/>
            <w:vAlign w:val="center"/>
            <w:hideMark/>
          </w:tcPr>
          <w:p w14:paraId="7A8B6C67" w14:textId="1A8F0503" w:rsidR="00B916AD" w:rsidRPr="00545EC0" w:rsidRDefault="00B916AD" w:rsidP="00627E31">
            <w:pPr>
              <w:overflowPunct/>
              <w:autoSpaceDE/>
              <w:autoSpaceDN/>
              <w:adjustRightInd/>
              <w:spacing w:line="240" w:lineRule="auto"/>
              <w:jc w:val="center"/>
              <w:textAlignment w:val="auto"/>
              <w:rPr>
                <w:rFonts w:cs="Arial"/>
                <w:b/>
                <w:bCs/>
                <w:sz w:val="18"/>
                <w:szCs w:val="18"/>
              </w:rPr>
            </w:pPr>
            <w:r w:rsidRPr="00545EC0">
              <w:rPr>
                <w:rFonts w:cs="Arial"/>
                <w:b/>
                <w:bCs/>
                <w:sz w:val="18"/>
                <w:szCs w:val="18"/>
              </w:rPr>
              <w:t>Ime NATURA 2000</w:t>
            </w:r>
          </w:p>
        </w:tc>
        <w:tc>
          <w:tcPr>
            <w:tcW w:w="1843" w:type="dxa"/>
            <w:vMerge w:val="restart"/>
            <w:shd w:val="clear" w:color="auto" w:fill="F2F2F2" w:themeFill="background1" w:themeFillShade="F2"/>
            <w:vAlign w:val="center"/>
            <w:hideMark/>
          </w:tcPr>
          <w:p w14:paraId="51CAB057" w14:textId="19530A0E" w:rsidR="00B916AD" w:rsidRPr="00545EC0" w:rsidRDefault="00B916AD" w:rsidP="00627E31">
            <w:pPr>
              <w:overflowPunct/>
              <w:autoSpaceDE/>
              <w:autoSpaceDN/>
              <w:adjustRightInd/>
              <w:spacing w:line="240" w:lineRule="auto"/>
              <w:jc w:val="center"/>
              <w:textAlignment w:val="auto"/>
              <w:rPr>
                <w:rFonts w:cs="Arial"/>
                <w:b/>
                <w:bCs/>
                <w:sz w:val="18"/>
                <w:szCs w:val="18"/>
              </w:rPr>
            </w:pPr>
            <w:r w:rsidRPr="00545EC0">
              <w:rPr>
                <w:rFonts w:cs="Arial"/>
                <w:b/>
                <w:bCs/>
                <w:sz w:val="18"/>
                <w:szCs w:val="18"/>
              </w:rPr>
              <w:t>Vrsta/habitatni tip</w:t>
            </w:r>
          </w:p>
        </w:tc>
        <w:tc>
          <w:tcPr>
            <w:tcW w:w="2620" w:type="dxa"/>
            <w:gridSpan w:val="2"/>
            <w:shd w:val="clear" w:color="auto" w:fill="F2F2F2" w:themeFill="background1" w:themeFillShade="F2"/>
            <w:noWrap/>
            <w:vAlign w:val="center"/>
            <w:hideMark/>
          </w:tcPr>
          <w:p w14:paraId="67DBDC49" w14:textId="2A69C4D2" w:rsidR="00B916AD" w:rsidRPr="00545EC0" w:rsidRDefault="00B916AD" w:rsidP="00627E31">
            <w:pPr>
              <w:overflowPunct/>
              <w:autoSpaceDE/>
              <w:autoSpaceDN/>
              <w:adjustRightInd/>
              <w:spacing w:line="240" w:lineRule="auto"/>
              <w:jc w:val="center"/>
              <w:textAlignment w:val="auto"/>
              <w:rPr>
                <w:rFonts w:cs="Arial"/>
                <w:b/>
                <w:bCs/>
                <w:sz w:val="18"/>
                <w:szCs w:val="18"/>
              </w:rPr>
            </w:pPr>
          </w:p>
        </w:tc>
      </w:tr>
      <w:tr w:rsidR="003122F4" w:rsidRPr="00545EC0" w14:paraId="42318680" w14:textId="77777777" w:rsidTr="00627E31">
        <w:trPr>
          <w:trHeight w:val="590"/>
        </w:trPr>
        <w:tc>
          <w:tcPr>
            <w:tcW w:w="1191" w:type="dxa"/>
            <w:vMerge/>
            <w:shd w:val="clear" w:color="auto" w:fill="F2F2F2" w:themeFill="background1" w:themeFillShade="F2"/>
            <w:noWrap/>
            <w:vAlign w:val="center"/>
            <w:hideMark/>
          </w:tcPr>
          <w:p w14:paraId="3ECC64D4" w14:textId="356AE130" w:rsidR="00B916AD" w:rsidRPr="00545EC0" w:rsidRDefault="00B916AD" w:rsidP="00627E31">
            <w:pPr>
              <w:overflowPunct/>
              <w:autoSpaceDE/>
              <w:autoSpaceDN/>
              <w:adjustRightInd/>
              <w:spacing w:line="240" w:lineRule="auto"/>
              <w:jc w:val="center"/>
              <w:textAlignment w:val="auto"/>
              <w:rPr>
                <w:rFonts w:cs="Arial"/>
                <w:b/>
                <w:sz w:val="18"/>
                <w:szCs w:val="18"/>
              </w:rPr>
            </w:pPr>
          </w:p>
        </w:tc>
        <w:tc>
          <w:tcPr>
            <w:tcW w:w="1224" w:type="dxa"/>
            <w:vMerge/>
            <w:shd w:val="clear" w:color="auto" w:fill="F2F2F2" w:themeFill="background1" w:themeFillShade="F2"/>
            <w:vAlign w:val="center"/>
            <w:hideMark/>
          </w:tcPr>
          <w:p w14:paraId="4244F241" w14:textId="77777777" w:rsidR="00B916AD" w:rsidRPr="00545EC0" w:rsidRDefault="00B916AD" w:rsidP="00627E31">
            <w:pPr>
              <w:overflowPunct/>
              <w:autoSpaceDE/>
              <w:autoSpaceDN/>
              <w:adjustRightInd/>
              <w:spacing w:line="240" w:lineRule="auto"/>
              <w:jc w:val="center"/>
              <w:textAlignment w:val="auto"/>
              <w:rPr>
                <w:rFonts w:cs="Arial"/>
                <w:b/>
                <w:bCs/>
                <w:sz w:val="18"/>
                <w:szCs w:val="18"/>
              </w:rPr>
            </w:pPr>
          </w:p>
        </w:tc>
        <w:tc>
          <w:tcPr>
            <w:tcW w:w="2333" w:type="dxa"/>
            <w:vMerge/>
            <w:shd w:val="clear" w:color="auto" w:fill="F2F2F2" w:themeFill="background1" w:themeFillShade="F2"/>
            <w:vAlign w:val="center"/>
            <w:hideMark/>
          </w:tcPr>
          <w:p w14:paraId="6A0E8E43" w14:textId="77777777" w:rsidR="00B916AD" w:rsidRPr="00545EC0" w:rsidRDefault="00B916AD" w:rsidP="00627E31">
            <w:pPr>
              <w:overflowPunct/>
              <w:autoSpaceDE/>
              <w:autoSpaceDN/>
              <w:adjustRightInd/>
              <w:spacing w:line="240" w:lineRule="auto"/>
              <w:jc w:val="center"/>
              <w:textAlignment w:val="auto"/>
              <w:rPr>
                <w:rFonts w:cs="Arial"/>
                <w:b/>
                <w:bCs/>
                <w:sz w:val="18"/>
                <w:szCs w:val="18"/>
              </w:rPr>
            </w:pPr>
          </w:p>
        </w:tc>
        <w:tc>
          <w:tcPr>
            <w:tcW w:w="1843" w:type="dxa"/>
            <w:vMerge/>
            <w:shd w:val="clear" w:color="auto" w:fill="F2F2F2" w:themeFill="background1" w:themeFillShade="F2"/>
            <w:vAlign w:val="center"/>
            <w:hideMark/>
          </w:tcPr>
          <w:p w14:paraId="4B749AB3" w14:textId="77777777" w:rsidR="00B916AD" w:rsidRPr="00545EC0" w:rsidRDefault="00B916AD" w:rsidP="00627E31">
            <w:pPr>
              <w:overflowPunct/>
              <w:autoSpaceDE/>
              <w:autoSpaceDN/>
              <w:adjustRightInd/>
              <w:spacing w:line="240" w:lineRule="auto"/>
              <w:jc w:val="center"/>
              <w:textAlignment w:val="auto"/>
              <w:rPr>
                <w:rFonts w:cs="Arial"/>
                <w:b/>
                <w:bCs/>
                <w:sz w:val="18"/>
                <w:szCs w:val="18"/>
              </w:rPr>
            </w:pPr>
          </w:p>
        </w:tc>
        <w:tc>
          <w:tcPr>
            <w:tcW w:w="1134" w:type="dxa"/>
            <w:shd w:val="clear" w:color="auto" w:fill="F2F2F2" w:themeFill="background1" w:themeFillShade="F2"/>
            <w:vAlign w:val="center"/>
            <w:hideMark/>
          </w:tcPr>
          <w:p w14:paraId="535F9041" w14:textId="36B0865B" w:rsidR="00B916AD" w:rsidRPr="00545EC0" w:rsidRDefault="00B916AD" w:rsidP="001A4174">
            <w:pPr>
              <w:overflowPunct/>
              <w:autoSpaceDE/>
              <w:autoSpaceDN/>
              <w:adjustRightInd/>
              <w:spacing w:line="240" w:lineRule="auto"/>
              <w:jc w:val="center"/>
              <w:textAlignment w:val="auto"/>
              <w:rPr>
                <w:rFonts w:cs="Arial"/>
                <w:b/>
                <w:bCs/>
                <w:sz w:val="18"/>
                <w:szCs w:val="18"/>
              </w:rPr>
            </w:pPr>
            <w:r w:rsidRPr="00545EC0">
              <w:rPr>
                <w:rFonts w:cs="Arial"/>
                <w:b/>
                <w:bCs/>
                <w:sz w:val="18"/>
                <w:szCs w:val="18"/>
              </w:rPr>
              <w:t xml:space="preserve">Cilji </w:t>
            </w:r>
            <w:r w:rsidR="001A4174">
              <w:rPr>
                <w:rFonts w:cs="Arial"/>
                <w:b/>
                <w:bCs/>
                <w:sz w:val="18"/>
                <w:szCs w:val="18"/>
              </w:rPr>
              <w:t xml:space="preserve">Natura </w:t>
            </w:r>
            <w:r w:rsidR="001A4174" w:rsidRPr="00545EC0">
              <w:rPr>
                <w:rFonts w:cs="Arial"/>
                <w:b/>
                <w:bCs/>
                <w:sz w:val="18"/>
                <w:szCs w:val="18"/>
              </w:rPr>
              <w:t>20</w:t>
            </w:r>
            <w:r w:rsidR="001A4174">
              <w:rPr>
                <w:rFonts w:cs="Arial"/>
                <w:b/>
                <w:bCs/>
                <w:sz w:val="18"/>
                <w:szCs w:val="18"/>
              </w:rPr>
              <w:t>00</w:t>
            </w:r>
          </w:p>
        </w:tc>
        <w:tc>
          <w:tcPr>
            <w:tcW w:w="1486" w:type="dxa"/>
            <w:shd w:val="clear" w:color="auto" w:fill="F2F2F2" w:themeFill="background1" w:themeFillShade="F2"/>
            <w:vAlign w:val="center"/>
            <w:hideMark/>
          </w:tcPr>
          <w:p w14:paraId="142DF58B" w14:textId="2D1F1146" w:rsidR="00B916AD" w:rsidRPr="00545EC0" w:rsidRDefault="0069458A" w:rsidP="001A4174">
            <w:pPr>
              <w:overflowPunct/>
              <w:autoSpaceDE/>
              <w:autoSpaceDN/>
              <w:adjustRightInd/>
              <w:spacing w:line="240" w:lineRule="auto"/>
              <w:jc w:val="center"/>
              <w:textAlignment w:val="auto"/>
              <w:rPr>
                <w:rFonts w:cs="Arial"/>
                <w:b/>
                <w:bCs/>
                <w:sz w:val="18"/>
                <w:szCs w:val="18"/>
              </w:rPr>
            </w:pPr>
            <w:r w:rsidRPr="00545EC0">
              <w:rPr>
                <w:rFonts w:cs="Arial"/>
                <w:b/>
                <w:bCs/>
                <w:sz w:val="18"/>
                <w:szCs w:val="18"/>
              </w:rPr>
              <w:t>Razred (p</w:t>
            </w:r>
            <w:r w:rsidR="00B916AD" w:rsidRPr="00545EC0">
              <w:rPr>
                <w:rFonts w:cs="Arial"/>
                <w:b/>
                <w:bCs/>
                <w:sz w:val="18"/>
                <w:szCs w:val="18"/>
              </w:rPr>
              <w:t>rioritet</w:t>
            </w:r>
            <w:r w:rsidRPr="00545EC0">
              <w:rPr>
                <w:rFonts w:cs="Arial"/>
                <w:b/>
                <w:bCs/>
                <w:sz w:val="18"/>
                <w:szCs w:val="18"/>
              </w:rPr>
              <w:t>a)</w:t>
            </w:r>
            <w:r w:rsidR="00B916AD" w:rsidRPr="00545EC0">
              <w:rPr>
                <w:rFonts w:cs="Arial"/>
                <w:b/>
                <w:bCs/>
                <w:sz w:val="18"/>
                <w:szCs w:val="18"/>
              </w:rPr>
              <w:t xml:space="preserve"> </w:t>
            </w:r>
            <w:r w:rsidR="001A4174">
              <w:rPr>
                <w:rFonts w:cs="Arial"/>
                <w:b/>
                <w:bCs/>
                <w:sz w:val="18"/>
                <w:szCs w:val="18"/>
              </w:rPr>
              <w:t>Natura 2000</w:t>
            </w:r>
          </w:p>
        </w:tc>
      </w:tr>
      <w:tr w:rsidR="003122F4" w:rsidRPr="00545EC0" w14:paraId="75C8695A" w14:textId="77777777" w:rsidTr="00627E31">
        <w:trPr>
          <w:trHeight w:val="225"/>
        </w:trPr>
        <w:tc>
          <w:tcPr>
            <w:tcW w:w="1191" w:type="dxa"/>
            <w:shd w:val="clear" w:color="auto" w:fill="auto"/>
            <w:noWrap/>
            <w:vAlign w:val="center"/>
            <w:hideMark/>
          </w:tcPr>
          <w:p w14:paraId="388C46FD"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1011</w:t>
            </w:r>
          </w:p>
        </w:tc>
        <w:tc>
          <w:tcPr>
            <w:tcW w:w="1224" w:type="dxa"/>
            <w:shd w:val="clear" w:color="auto" w:fill="auto"/>
            <w:noWrap/>
            <w:vAlign w:val="center"/>
            <w:hideMark/>
          </w:tcPr>
          <w:p w14:paraId="788C19C5"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SI3000188</w:t>
            </w:r>
          </w:p>
        </w:tc>
        <w:tc>
          <w:tcPr>
            <w:tcW w:w="2333" w:type="dxa"/>
            <w:shd w:val="clear" w:color="auto" w:fill="auto"/>
            <w:noWrap/>
            <w:vAlign w:val="center"/>
            <w:hideMark/>
          </w:tcPr>
          <w:p w14:paraId="31C59945"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Ajdovska planota</w:t>
            </w:r>
          </w:p>
        </w:tc>
        <w:tc>
          <w:tcPr>
            <w:tcW w:w="1843" w:type="dxa"/>
            <w:shd w:val="clear" w:color="auto" w:fill="auto"/>
            <w:vAlign w:val="center"/>
            <w:hideMark/>
          </w:tcPr>
          <w:p w14:paraId="0495CBE7"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močeril</w:t>
            </w:r>
          </w:p>
        </w:tc>
        <w:tc>
          <w:tcPr>
            <w:tcW w:w="1134" w:type="dxa"/>
            <w:shd w:val="clear" w:color="auto" w:fill="auto"/>
            <w:vAlign w:val="center"/>
            <w:hideMark/>
          </w:tcPr>
          <w:p w14:paraId="01BC1C9C"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ohraniti</w:t>
            </w:r>
          </w:p>
        </w:tc>
        <w:tc>
          <w:tcPr>
            <w:tcW w:w="1486" w:type="dxa"/>
            <w:shd w:val="clear" w:color="auto" w:fill="auto"/>
            <w:noWrap/>
            <w:vAlign w:val="center"/>
            <w:hideMark/>
          </w:tcPr>
          <w:p w14:paraId="28A24F49" w14:textId="77777777" w:rsidR="00B916AD" w:rsidRPr="00545EC0" w:rsidRDefault="00B916AD" w:rsidP="00627E31">
            <w:pPr>
              <w:overflowPunct/>
              <w:autoSpaceDE/>
              <w:autoSpaceDN/>
              <w:adjustRightInd/>
              <w:spacing w:line="240" w:lineRule="auto"/>
              <w:jc w:val="center"/>
              <w:textAlignment w:val="auto"/>
              <w:rPr>
                <w:rFonts w:cs="Arial"/>
                <w:b/>
                <w:bCs/>
                <w:sz w:val="18"/>
                <w:szCs w:val="18"/>
              </w:rPr>
            </w:pPr>
            <w:r w:rsidRPr="00545EC0">
              <w:rPr>
                <w:rFonts w:cs="Arial"/>
                <w:b/>
                <w:bCs/>
                <w:sz w:val="18"/>
                <w:szCs w:val="18"/>
              </w:rPr>
              <w:t>3</w:t>
            </w:r>
          </w:p>
        </w:tc>
      </w:tr>
      <w:tr w:rsidR="003122F4" w:rsidRPr="00545EC0" w14:paraId="7ECBEEA7" w14:textId="77777777" w:rsidTr="00627E31">
        <w:trPr>
          <w:trHeight w:val="333"/>
        </w:trPr>
        <w:tc>
          <w:tcPr>
            <w:tcW w:w="1191" w:type="dxa"/>
            <w:shd w:val="clear" w:color="auto" w:fill="auto"/>
            <w:vAlign w:val="center"/>
            <w:hideMark/>
          </w:tcPr>
          <w:p w14:paraId="2871ED9A"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4016</w:t>
            </w:r>
            <w:r w:rsidRPr="00545EC0">
              <w:rPr>
                <w:rFonts w:cs="Arial"/>
                <w:sz w:val="18"/>
                <w:szCs w:val="18"/>
              </w:rPr>
              <w:br/>
              <w:t>4017</w:t>
            </w:r>
          </w:p>
        </w:tc>
        <w:tc>
          <w:tcPr>
            <w:tcW w:w="1224" w:type="dxa"/>
            <w:shd w:val="clear" w:color="auto" w:fill="auto"/>
            <w:noWrap/>
            <w:vAlign w:val="center"/>
            <w:hideMark/>
          </w:tcPr>
          <w:p w14:paraId="35B4E4B1"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SI3000215</w:t>
            </w:r>
          </w:p>
        </w:tc>
        <w:tc>
          <w:tcPr>
            <w:tcW w:w="2333" w:type="dxa"/>
            <w:shd w:val="clear" w:color="auto" w:fill="auto"/>
            <w:noWrap/>
            <w:vAlign w:val="center"/>
            <w:hideMark/>
          </w:tcPr>
          <w:p w14:paraId="77B63988"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Mura</w:t>
            </w:r>
          </w:p>
        </w:tc>
        <w:tc>
          <w:tcPr>
            <w:tcW w:w="1843" w:type="dxa"/>
            <w:shd w:val="clear" w:color="auto" w:fill="auto"/>
            <w:vAlign w:val="center"/>
            <w:hideMark/>
          </w:tcPr>
          <w:p w14:paraId="24CA1171"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Obrečna vrbovja, jelševja in jesenovja</w:t>
            </w:r>
          </w:p>
        </w:tc>
        <w:tc>
          <w:tcPr>
            <w:tcW w:w="1134" w:type="dxa"/>
            <w:shd w:val="clear" w:color="auto" w:fill="auto"/>
            <w:vAlign w:val="center"/>
            <w:hideMark/>
          </w:tcPr>
          <w:p w14:paraId="770BD944"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obnoviti</w:t>
            </w:r>
          </w:p>
        </w:tc>
        <w:tc>
          <w:tcPr>
            <w:tcW w:w="1486" w:type="dxa"/>
            <w:shd w:val="clear" w:color="auto" w:fill="auto"/>
            <w:noWrap/>
            <w:vAlign w:val="center"/>
            <w:hideMark/>
          </w:tcPr>
          <w:p w14:paraId="1C9AEEE8" w14:textId="77777777" w:rsidR="00B916AD" w:rsidRPr="00545EC0" w:rsidRDefault="00B916AD" w:rsidP="00627E31">
            <w:pPr>
              <w:overflowPunct/>
              <w:autoSpaceDE/>
              <w:autoSpaceDN/>
              <w:adjustRightInd/>
              <w:spacing w:line="240" w:lineRule="auto"/>
              <w:jc w:val="center"/>
              <w:textAlignment w:val="auto"/>
              <w:rPr>
                <w:rFonts w:cs="Arial"/>
                <w:bCs/>
                <w:sz w:val="18"/>
                <w:szCs w:val="18"/>
              </w:rPr>
            </w:pPr>
            <w:r w:rsidRPr="00545EC0">
              <w:rPr>
                <w:rFonts w:cs="Arial"/>
                <w:bCs/>
                <w:sz w:val="18"/>
                <w:szCs w:val="18"/>
              </w:rPr>
              <w:t>1</w:t>
            </w:r>
          </w:p>
        </w:tc>
      </w:tr>
      <w:tr w:rsidR="003122F4" w:rsidRPr="00545EC0" w14:paraId="501A03E9" w14:textId="77777777" w:rsidTr="00627E31">
        <w:trPr>
          <w:trHeight w:val="466"/>
        </w:trPr>
        <w:tc>
          <w:tcPr>
            <w:tcW w:w="1191" w:type="dxa"/>
            <w:shd w:val="clear" w:color="auto" w:fill="auto"/>
            <w:vAlign w:val="center"/>
            <w:hideMark/>
          </w:tcPr>
          <w:p w14:paraId="4B856AE2"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3012</w:t>
            </w:r>
            <w:r w:rsidRPr="00545EC0">
              <w:rPr>
                <w:rFonts w:cs="Arial"/>
                <w:sz w:val="18"/>
                <w:szCs w:val="18"/>
              </w:rPr>
              <w:br/>
              <w:t>3014</w:t>
            </w:r>
            <w:r w:rsidRPr="00545EC0">
              <w:rPr>
                <w:rFonts w:cs="Arial"/>
                <w:sz w:val="18"/>
                <w:szCs w:val="18"/>
              </w:rPr>
              <w:br/>
              <w:t>3015</w:t>
            </w:r>
          </w:p>
        </w:tc>
        <w:tc>
          <w:tcPr>
            <w:tcW w:w="1224" w:type="dxa"/>
            <w:shd w:val="clear" w:color="auto" w:fill="auto"/>
            <w:noWrap/>
            <w:vAlign w:val="center"/>
            <w:hideMark/>
          </w:tcPr>
          <w:p w14:paraId="586232E5"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SI3000220</w:t>
            </w:r>
          </w:p>
        </w:tc>
        <w:tc>
          <w:tcPr>
            <w:tcW w:w="2333" w:type="dxa"/>
            <w:shd w:val="clear" w:color="auto" w:fill="auto"/>
            <w:noWrap/>
            <w:vAlign w:val="center"/>
            <w:hideMark/>
          </w:tcPr>
          <w:p w14:paraId="4A477061"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Drava</w:t>
            </w:r>
          </w:p>
        </w:tc>
        <w:tc>
          <w:tcPr>
            <w:tcW w:w="1843" w:type="dxa"/>
            <w:shd w:val="clear" w:color="auto" w:fill="auto"/>
            <w:vAlign w:val="center"/>
            <w:hideMark/>
          </w:tcPr>
          <w:p w14:paraId="31AF1660"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Obrečna vrbovja, jelševja in jesenovja</w:t>
            </w:r>
          </w:p>
        </w:tc>
        <w:tc>
          <w:tcPr>
            <w:tcW w:w="1134" w:type="dxa"/>
            <w:shd w:val="clear" w:color="auto" w:fill="auto"/>
            <w:vAlign w:val="center"/>
            <w:hideMark/>
          </w:tcPr>
          <w:p w14:paraId="24FA3240"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obnoviti</w:t>
            </w:r>
          </w:p>
        </w:tc>
        <w:tc>
          <w:tcPr>
            <w:tcW w:w="1486" w:type="dxa"/>
            <w:shd w:val="clear" w:color="auto" w:fill="auto"/>
            <w:noWrap/>
            <w:vAlign w:val="center"/>
            <w:hideMark/>
          </w:tcPr>
          <w:p w14:paraId="2D667EC5" w14:textId="77777777" w:rsidR="00B916AD" w:rsidRPr="00545EC0" w:rsidRDefault="00B916AD" w:rsidP="00627E31">
            <w:pPr>
              <w:overflowPunct/>
              <w:autoSpaceDE/>
              <w:autoSpaceDN/>
              <w:adjustRightInd/>
              <w:spacing w:line="240" w:lineRule="auto"/>
              <w:jc w:val="center"/>
              <w:textAlignment w:val="auto"/>
              <w:rPr>
                <w:rFonts w:cs="Arial"/>
                <w:bCs/>
                <w:sz w:val="18"/>
                <w:szCs w:val="18"/>
              </w:rPr>
            </w:pPr>
            <w:r w:rsidRPr="00545EC0">
              <w:rPr>
                <w:rFonts w:cs="Arial"/>
                <w:bCs/>
                <w:sz w:val="18"/>
                <w:szCs w:val="18"/>
              </w:rPr>
              <w:t>1</w:t>
            </w:r>
          </w:p>
        </w:tc>
      </w:tr>
      <w:tr w:rsidR="003122F4" w:rsidRPr="00545EC0" w14:paraId="739FA291" w14:textId="77777777" w:rsidTr="00627E31">
        <w:trPr>
          <w:trHeight w:val="50"/>
        </w:trPr>
        <w:tc>
          <w:tcPr>
            <w:tcW w:w="1191" w:type="dxa"/>
            <w:shd w:val="clear" w:color="auto" w:fill="auto"/>
            <w:noWrap/>
            <w:vAlign w:val="center"/>
            <w:hideMark/>
          </w:tcPr>
          <w:p w14:paraId="6B9ECE67"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1011</w:t>
            </w:r>
          </w:p>
        </w:tc>
        <w:tc>
          <w:tcPr>
            <w:tcW w:w="1224" w:type="dxa"/>
            <w:shd w:val="clear" w:color="auto" w:fill="auto"/>
            <w:noWrap/>
            <w:vAlign w:val="center"/>
            <w:hideMark/>
          </w:tcPr>
          <w:p w14:paraId="46612BFF"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SI3000157</w:t>
            </w:r>
          </w:p>
        </w:tc>
        <w:tc>
          <w:tcPr>
            <w:tcW w:w="2333" w:type="dxa"/>
            <w:shd w:val="clear" w:color="auto" w:fill="auto"/>
            <w:noWrap/>
            <w:vAlign w:val="center"/>
            <w:hideMark/>
          </w:tcPr>
          <w:p w14:paraId="18E1A2BE"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Bobnova jama</w:t>
            </w:r>
          </w:p>
        </w:tc>
        <w:tc>
          <w:tcPr>
            <w:tcW w:w="1843" w:type="dxa"/>
            <w:shd w:val="clear" w:color="auto" w:fill="auto"/>
            <w:vAlign w:val="center"/>
            <w:hideMark/>
          </w:tcPr>
          <w:p w14:paraId="232D02FB"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močeril</w:t>
            </w:r>
          </w:p>
        </w:tc>
        <w:tc>
          <w:tcPr>
            <w:tcW w:w="1134" w:type="dxa"/>
            <w:shd w:val="clear" w:color="auto" w:fill="auto"/>
            <w:vAlign w:val="center"/>
            <w:hideMark/>
          </w:tcPr>
          <w:p w14:paraId="10D81441"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ohraniti</w:t>
            </w:r>
          </w:p>
        </w:tc>
        <w:tc>
          <w:tcPr>
            <w:tcW w:w="1486" w:type="dxa"/>
            <w:shd w:val="clear" w:color="auto" w:fill="auto"/>
            <w:noWrap/>
            <w:vAlign w:val="center"/>
            <w:hideMark/>
          </w:tcPr>
          <w:p w14:paraId="4C8DB683" w14:textId="77777777" w:rsidR="00B916AD" w:rsidRPr="00545EC0" w:rsidRDefault="00B916AD" w:rsidP="00627E31">
            <w:pPr>
              <w:overflowPunct/>
              <w:autoSpaceDE/>
              <w:autoSpaceDN/>
              <w:adjustRightInd/>
              <w:spacing w:line="240" w:lineRule="auto"/>
              <w:jc w:val="center"/>
              <w:textAlignment w:val="auto"/>
              <w:rPr>
                <w:rFonts w:cs="Arial"/>
                <w:bCs/>
                <w:sz w:val="18"/>
                <w:szCs w:val="18"/>
              </w:rPr>
            </w:pPr>
            <w:r w:rsidRPr="00545EC0">
              <w:rPr>
                <w:rFonts w:cs="Arial"/>
                <w:bCs/>
                <w:sz w:val="18"/>
                <w:szCs w:val="18"/>
              </w:rPr>
              <w:t>3</w:t>
            </w:r>
          </w:p>
        </w:tc>
      </w:tr>
      <w:tr w:rsidR="003122F4" w:rsidRPr="00545EC0" w14:paraId="17AEE625" w14:textId="77777777" w:rsidTr="00627E31">
        <w:trPr>
          <w:trHeight w:val="50"/>
        </w:trPr>
        <w:tc>
          <w:tcPr>
            <w:tcW w:w="1191" w:type="dxa"/>
            <w:shd w:val="clear" w:color="auto" w:fill="auto"/>
            <w:noWrap/>
            <w:vAlign w:val="center"/>
            <w:hideMark/>
          </w:tcPr>
          <w:p w14:paraId="1F0AB0E7"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1011</w:t>
            </w:r>
          </w:p>
        </w:tc>
        <w:tc>
          <w:tcPr>
            <w:tcW w:w="1224" w:type="dxa"/>
            <w:shd w:val="clear" w:color="auto" w:fill="auto"/>
            <w:noWrap/>
            <w:vAlign w:val="center"/>
            <w:hideMark/>
          </w:tcPr>
          <w:p w14:paraId="7831637C"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SI3000048</w:t>
            </w:r>
          </w:p>
        </w:tc>
        <w:tc>
          <w:tcPr>
            <w:tcW w:w="2333" w:type="dxa"/>
            <w:shd w:val="clear" w:color="auto" w:fill="auto"/>
            <w:noWrap/>
            <w:vAlign w:val="center"/>
            <w:hideMark/>
          </w:tcPr>
          <w:p w14:paraId="19C27686"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Dobličica</w:t>
            </w:r>
          </w:p>
        </w:tc>
        <w:tc>
          <w:tcPr>
            <w:tcW w:w="1843" w:type="dxa"/>
            <w:shd w:val="clear" w:color="auto" w:fill="auto"/>
            <w:vAlign w:val="center"/>
            <w:hideMark/>
          </w:tcPr>
          <w:p w14:paraId="5449AA80"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močeril</w:t>
            </w:r>
          </w:p>
        </w:tc>
        <w:tc>
          <w:tcPr>
            <w:tcW w:w="1134" w:type="dxa"/>
            <w:shd w:val="clear" w:color="auto" w:fill="auto"/>
            <w:vAlign w:val="center"/>
            <w:hideMark/>
          </w:tcPr>
          <w:p w14:paraId="291ED6B4"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obnoviti</w:t>
            </w:r>
          </w:p>
        </w:tc>
        <w:tc>
          <w:tcPr>
            <w:tcW w:w="1486" w:type="dxa"/>
            <w:shd w:val="clear" w:color="auto" w:fill="auto"/>
            <w:noWrap/>
            <w:vAlign w:val="center"/>
            <w:hideMark/>
          </w:tcPr>
          <w:p w14:paraId="1F1F87F1" w14:textId="77777777" w:rsidR="00B916AD" w:rsidRPr="00545EC0" w:rsidRDefault="00B916AD" w:rsidP="00627E31">
            <w:pPr>
              <w:overflowPunct/>
              <w:autoSpaceDE/>
              <w:autoSpaceDN/>
              <w:adjustRightInd/>
              <w:spacing w:line="240" w:lineRule="auto"/>
              <w:jc w:val="center"/>
              <w:textAlignment w:val="auto"/>
              <w:rPr>
                <w:rFonts w:cs="Arial"/>
                <w:bCs/>
                <w:sz w:val="18"/>
                <w:szCs w:val="18"/>
              </w:rPr>
            </w:pPr>
            <w:r w:rsidRPr="00545EC0">
              <w:rPr>
                <w:rFonts w:cs="Arial"/>
                <w:bCs/>
                <w:sz w:val="18"/>
                <w:szCs w:val="18"/>
              </w:rPr>
              <w:t>1</w:t>
            </w:r>
          </w:p>
        </w:tc>
      </w:tr>
      <w:tr w:rsidR="003122F4" w:rsidRPr="00545EC0" w14:paraId="13B612E8" w14:textId="77777777" w:rsidTr="00627E31">
        <w:trPr>
          <w:trHeight w:val="113"/>
        </w:trPr>
        <w:tc>
          <w:tcPr>
            <w:tcW w:w="1191" w:type="dxa"/>
            <w:shd w:val="clear" w:color="auto" w:fill="auto"/>
            <w:noWrap/>
            <w:vAlign w:val="center"/>
            <w:hideMark/>
          </w:tcPr>
          <w:p w14:paraId="79EB509B"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1011</w:t>
            </w:r>
          </w:p>
        </w:tc>
        <w:tc>
          <w:tcPr>
            <w:tcW w:w="1224" w:type="dxa"/>
            <w:shd w:val="clear" w:color="auto" w:fill="auto"/>
            <w:noWrap/>
            <w:vAlign w:val="center"/>
            <w:hideMark/>
          </w:tcPr>
          <w:p w14:paraId="53804B1C"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SI3000204</w:t>
            </w:r>
          </w:p>
        </w:tc>
        <w:tc>
          <w:tcPr>
            <w:tcW w:w="2333" w:type="dxa"/>
            <w:shd w:val="clear" w:color="auto" w:fill="auto"/>
            <w:noWrap/>
            <w:vAlign w:val="center"/>
            <w:hideMark/>
          </w:tcPr>
          <w:p w14:paraId="7BCE544C"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Globočec</w:t>
            </w:r>
          </w:p>
        </w:tc>
        <w:tc>
          <w:tcPr>
            <w:tcW w:w="1843" w:type="dxa"/>
            <w:shd w:val="clear" w:color="auto" w:fill="auto"/>
            <w:vAlign w:val="center"/>
            <w:hideMark/>
          </w:tcPr>
          <w:p w14:paraId="3584F3BA"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močeril</w:t>
            </w:r>
          </w:p>
        </w:tc>
        <w:tc>
          <w:tcPr>
            <w:tcW w:w="1134" w:type="dxa"/>
            <w:shd w:val="clear" w:color="auto" w:fill="auto"/>
            <w:vAlign w:val="center"/>
            <w:hideMark/>
          </w:tcPr>
          <w:p w14:paraId="4886F3AC"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ohraniti, obnoviti</w:t>
            </w:r>
          </w:p>
        </w:tc>
        <w:tc>
          <w:tcPr>
            <w:tcW w:w="1486" w:type="dxa"/>
            <w:shd w:val="clear" w:color="auto" w:fill="auto"/>
            <w:noWrap/>
            <w:vAlign w:val="center"/>
            <w:hideMark/>
          </w:tcPr>
          <w:p w14:paraId="7C3EE3CC" w14:textId="77777777" w:rsidR="00B916AD" w:rsidRPr="00545EC0" w:rsidRDefault="00B916AD" w:rsidP="00627E31">
            <w:pPr>
              <w:overflowPunct/>
              <w:autoSpaceDE/>
              <w:autoSpaceDN/>
              <w:adjustRightInd/>
              <w:spacing w:line="240" w:lineRule="auto"/>
              <w:jc w:val="center"/>
              <w:textAlignment w:val="auto"/>
              <w:rPr>
                <w:rFonts w:cs="Arial"/>
                <w:bCs/>
                <w:sz w:val="18"/>
                <w:szCs w:val="18"/>
              </w:rPr>
            </w:pPr>
            <w:r w:rsidRPr="00545EC0">
              <w:rPr>
                <w:rFonts w:cs="Arial"/>
                <w:bCs/>
                <w:sz w:val="18"/>
                <w:szCs w:val="18"/>
              </w:rPr>
              <w:t>3</w:t>
            </w:r>
          </w:p>
        </w:tc>
      </w:tr>
      <w:tr w:rsidR="003122F4" w:rsidRPr="00545EC0" w14:paraId="51B4B2C8" w14:textId="77777777" w:rsidTr="00627E31">
        <w:trPr>
          <w:trHeight w:val="119"/>
        </w:trPr>
        <w:tc>
          <w:tcPr>
            <w:tcW w:w="1191" w:type="dxa"/>
            <w:shd w:val="clear" w:color="auto" w:fill="auto"/>
            <w:noWrap/>
            <w:vAlign w:val="center"/>
            <w:hideMark/>
          </w:tcPr>
          <w:p w14:paraId="5A89BE90"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1011</w:t>
            </w:r>
          </w:p>
        </w:tc>
        <w:tc>
          <w:tcPr>
            <w:tcW w:w="1224" w:type="dxa"/>
            <w:shd w:val="clear" w:color="auto" w:fill="auto"/>
            <w:noWrap/>
            <w:vAlign w:val="center"/>
            <w:hideMark/>
          </w:tcPr>
          <w:p w14:paraId="71606E01"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SI3000062</w:t>
            </w:r>
          </w:p>
        </w:tc>
        <w:tc>
          <w:tcPr>
            <w:tcW w:w="2333" w:type="dxa"/>
            <w:shd w:val="clear" w:color="auto" w:fill="auto"/>
            <w:noWrap/>
            <w:vAlign w:val="center"/>
            <w:hideMark/>
          </w:tcPr>
          <w:p w14:paraId="1B691872"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Gradac</w:t>
            </w:r>
          </w:p>
        </w:tc>
        <w:tc>
          <w:tcPr>
            <w:tcW w:w="1843" w:type="dxa"/>
            <w:shd w:val="clear" w:color="auto" w:fill="auto"/>
            <w:vAlign w:val="center"/>
            <w:hideMark/>
          </w:tcPr>
          <w:p w14:paraId="29DB9F76"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močeril</w:t>
            </w:r>
          </w:p>
        </w:tc>
        <w:tc>
          <w:tcPr>
            <w:tcW w:w="1134" w:type="dxa"/>
            <w:shd w:val="clear" w:color="auto" w:fill="auto"/>
            <w:vAlign w:val="center"/>
            <w:hideMark/>
          </w:tcPr>
          <w:p w14:paraId="698147BC"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ohraniti, obnoviti</w:t>
            </w:r>
          </w:p>
        </w:tc>
        <w:tc>
          <w:tcPr>
            <w:tcW w:w="1486" w:type="dxa"/>
            <w:shd w:val="clear" w:color="auto" w:fill="auto"/>
            <w:noWrap/>
            <w:vAlign w:val="center"/>
            <w:hideMark/>
          </w:tcPr>
          <w:p w14:paraId="1FA9D748" w14:textId="77777777" w:rsidR="00B916AD" w:rsidRPr="00545EC0" w:rsidRDefault="00B916AD" w:rsidP="00627E31">
            <w:pPr>
              <w:overflowPunct/>
              <w:autoSpaceDE/>
              <w:autoSpaceDN/>
              <w:adjustRightInd/>
              <w:spacing w:line="240" w:lineRule="auto"/>
              <w:jc w:val="center"/>
              <w:textAlignment w:val="auto"/>
              <w:rPr>
                <w:rFonts w:cs="Arial"/>
                <w:bCs/>
                <w:sz w:val="18"/>
                <w:szCs w:val="18"/>
              </w:rPr>
            </w:pPr>
            <w:r w:rsidRPr="00545EC0">
              <w:rPr>
                <w:rFonts w:cs="Arial"/>
                <w:bCs/>
                <w:sz w:val="18"/>
                <w:szCs w:val="18"/>
              </w:rPr>
              <w:t>2</w:t>
            </w:r>
          </w:p>
        </w:tc>
      </w:tr>
      <w:tr w:rsidR="003122F4" w:rsidRPr="00545EC0" w14:paraId="165EB9C1" w14:textId="77777777" w:rsidTr="00627E31">
        <w:trPr>
          <w:trHeight w:val="50"/>
        </w:trPr>
        <w:tc>
          <w:tcPr>
            <w:tcW w:w="1191" w:type="dxa"/>
            <w:shd w:val="clear" w:color="auto" w:fill="auto"/>
            <w:noWrap/>
            <w:vAlign w:val="center"/>
            <w:hideMark/>
          </w:tcPr>
          <w:p w14:paraId="322C59E9"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1010</w:t>
            </w:r>
          </w:p>
        </w:tc>
        <w:tc>
          <w:tcPr>
            <w:tcW w:w="1224" w:type="dxa"/>
            <w:shd w:val="clear" w:color="auto" w:fill="auto"/>
            <w:noWrap/>
            <w:vAlign w:val="center"/>
            <w:hideMark/>
          </w:tcPr>
          <w:p w14:paraId="6A821D87"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SI3000231</w:t>
            </w:r>
          </w:p>
        </w:tc>
        <w:tc>
          <w:tcPr>
            <w:tcW w:w="2333" w:type="dxa"/>
            <w:shd w:val="clear" w:color="auto" w:fill="auto"/>
            <w:noWrap/>
            <w:vAlign w:val="center"/>
            <w:hideMark/>
          </w:tcPr>
          <w:p w14:paraId="1CB3B4BD"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Javorniki - Snežnik</w:t>
            </w:r>
          </w:p>
        </w:tc>
        <w:tc>
          <w:tcPr>
            <w:tcW w:w="1843" w:type="dxa"/>
            <w:shd w:val="clear" w:color="auto" w:fill="auto"/>
            <w:vAlign w:val="center"/>
            <w:hideMark/>
          </w:tcPr>
          <w:p w14:paraId="35297154"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močeril</w:t>
            </w:r>
          </w:p>
        </w:tc>
        <w:tc>
          <w:tcPr>
            <w:tcW w:w="1134" w:type="dxa"/>
            <w:shd w:val="clear" w:color="auto" w:fill="auto"/>
            <w:vAlign w:val="center"/>
            <w:hideMark/>
          </w:tcPr>
          <w:p w14:paraId="11ED85F9"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obnoviti</w:t>
            </w:r>
          </w:p>
        </w:tc>
        <w:tc>
          <w:tcPr>
            <w:tcW w:w="1486" w:type="dxa"/>
            <w:shd w:val="clear" w:color="auto" w:fill="auto"/>
            <w:noWrap/>
            <w:vAlign w:val="center"/>
            <w:hideMark/>
          </w:tcPr>
          <w:p w14:paraId="60396EDB" w14:textId="77777777" w:rsidR="00B916AD" w:rsidRPr="00545EC0" w:rsidRDefault="00B916AD" w:rsidP="00627E31">
            <w:pPr>
              <w:overflowPunct/>
              <w:autoSpaceDE/>
              <w:autoSpaceDN/>
              <w:adjustRightInd/>
              <w:spacing w:line="240" w:lineRule="auto"/>
              <w:jc w:val="center"/>
              <w:textAlignment w:val="auto"/>
              <w:rPr>
                <w:rFonts w:cs="Arial"/>
                <w:bCs/>
                <w:sz w:val="18"/>
                <w:szCs w:val="18"/>
              </w:rPr>
            </w:pPr>
            <w:r w:rsidRPr="00545EC0">
              <w:rPr>
                <w:rFonts w:cs="Arial"/>
                <w:bCs/>
                <w:sz w:val="18"/>
                <w:szCs w:val="18"/>
              </w:rPr>
              <w:t>2</w:t>
            </w:r>
          </w:p>
        </w:tc>
      </w:tr>
      <w:tr w:rsidR="003122F4" w:rsidRPr="00545EC0" w14:paraId="3C2211DE" w14:textId="77777777" w:rsidTr="00627E31">
        <w:trPr>
          <w:trHeight w:val="50"/>
        </w:trPr>
        <w:tc>
          <w:tcPr>
            <w:tcW w:w="1191" w:type="dxa"/>
            <w:shd w:val="clear" w:color="auto" w:fill="auto"/>
            <w:noWrap/>
            <w:vAlign w:val="center"/>
            <w:hideMark/>
          </w:tcPr>
          <w:p w14:paraId="2BC8026D"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4018</w:t>
            </w:r>
          </w:p>
        </w:tc>
        <w:tc>
          <w:tcPr>
            <w:tcW w:w="1224" w:type="dxa"/>
            <w:shd w:val="clear" w:color="auto" w:fill="auto"/>
            <w:noWrap/>
            <w:vAlign w:val="center"/>
            <w:hideMark/>
          </w:tcPr>
          <w:p w14:paraId="3311E47E"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SI3000221</w:t>
            </w:r>
          </w:p>
        </w:tc>
        <w:tc>
          <w:tcPr>
            <w:tcW w:w="2333" w:type="dxa"/>
            <w:shd w:val="clear" w:color="auto" w:fill="auto"/>
            <w:noWrap/>
            <w:vAlign w:val="center"/>
            <w:hideMark/>
          </w:tcPr>
          <w:p w14:paraId="507787E5"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Goričko</w:t>
            </w:r>
          </w:p>
        </w:tc>
        <w:tc>
          <w:tcPr>
            <w:tcW w:w="1843" w:type="dxa"/>
            <w:shd w:val="clear" w:color="auto" w:fill="auto"/>
            <w:vAlign w:val="center"/>
            <w:hideMark/>
          </w:tcPr>
          <w:p w14:paraId="14A53908"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Obrečna vrbovja, jelševja in jesenovja</w:t>
            </w:r>
          </w:p>
        </w:tc>
        <w:tc>
          <w:tcPr>
            <w:tcW w:w="1134" w:type="dxa"/>
            <w:shd w:val="clear" w:color="auto" w:fill="auto"/>
            <w:vAlign w:val="center"/>
            <w:hideMark/>
          </w:tcPr>
          <w:p w14:paraId="21899D68"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obnoviti</w:t>
            </w:r>
          </w:p>
        </w:tc>
        <w:tc>
          <w:tcPr>
            <w:tcW w:w="1486" w:type="dxa"/>
            <w:shd w:val="clear" w:color="auto" w:fill="auto"/>
            <w:noWrap/>
            <w:vAlign w:val="center"/>
            <w:hideMark/>
          </w:tcPr>
          <w:p w14:paraId="37686CC8" w14:textId="77777777" w:rsidR="00B916AD" w:rsidRPr="00545EC0" w:rsidRDefault="00B916AD" w:rsidP="00627E31">
            <w:pPr>
              <w:overflowPunct/>
              <w:autoSpaceDE/>
              <w:autoSpaceDN/>
              <w:adjustRightInd/>
              <w:spacing w:line="240" w:lineRule="auto"/>
              <w:jc w:val="center"/>
              <w:textAlignment w:val="auto"/>
              <w:rPr>
                <w:rFonts w:cs="Arial"/>
                <w:bCs/>
                <w:sz w:val="18"/>
                <w:szCs w:val="18"/>
              </w:rPr>
            </w:pPr>
            <w:r w:rsidRPr="00545EC0">
              <w:rPr>
                <w:rFonts w:cs="Arial"/>
                <w:bCs/>
                <w:sz w:val="18"/>
                <w:szCs w:val="18"/>
              </w:rPr>
              <w:t>2</w:t>
            </w:r>
          </w:p>
        </w:tc>
      </w:tr>
      <w:tr w:rsidR="003122F4" w:rsidRPr="00545EC0" w14:paraId="220EB57B" w14:textId="77777777" w:rsidTr="00627E31">
        <w:trPr>
          <w:trHeight w:val="50"/>
        </w:trPr>
        <w:tc>
          <w:tcPr>
            <w:tcW w:w="1191" w:type="dxa"/>
            <w:shd w:val="clear" w:color="auto" w:fill="auto"/>
            <w:vAlign w:val="center"/>
            <w:hideMark/>
          </w:tcPr>
          <w:p w14:paraId="5F674EAB"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1010</w:t>
            </w:r>
            <w:r w:rsidRPr="00545EC0">
              <w:rPr>
                <w:rFonts w:cs="Arial"/>
                <w:sz w:val="18"/>
                <w:szCs w:val="18"/>
              </w:rPr>
              <w:br/>
              <w:t>1011</w:t>
            </w:r>
          </w:p>
        </w:tc>
        <w:tc>
          <w:tcPr>
            <w:tcW w:w="1224" w:type="dxa"/>
            <w:shd w:val="clear" w:color="auto" w:fill="auto"/>
            <w:noWrap/>
            <w:vAlign w:val="center"/>
            <w:hideMark/>
          </w:tcPr>
          <w:p w14:paraId="1941D536"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SI3000263</w:t>
            </w:r>
          </w:p>
        </w:tc>
        <w:tc>
          <w:tcPr>
            <w:tcW w:w="2333" w:type="dxa"/>
            <w:shd w:val="clear" w:color="auto" w:fill="auto"/>
            <w:noWrap/>
            <w:vAlign w:val="center"/>
            <w:hideMark/>
          </w:tcPr>
          <w:p w14:paraId="0D9D2FFE"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Kočevsko</w:t>
            </w:r>
          </w:p>
        </w:tc>
        <w:tc>
          <w:tcPr>
            <w:tcW w:w="1843" w:type="dxa"/>
            <w:shd w:val="clear" w:color="auto" w:fill="auto"/>
            <w:vAlign w:val="center"/>
            <w:hideMark/>
          </w:tcPr>
          <w:p w14:paraId="6246DFAA"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močeril</w:t>
            </w:r>
          </w:p>
        </w:tc>
        <w:tc>
          <w:tcPr>
            <w:tcW w:w="1134" w:type="dxa"/>
            <w:shd w:val="clear" w:color="auto" w:fill="auto"/>
            <w:vAlign w:val="center"/>
            <w:hideMark/>
          </w:tcPr>
          <w:p w14:paraId="53FF6608"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obnoviti</w:t>
            </w:r>
          </w:p>
        </w:tc>
        <w:tc>
          <w:tcPr>
            <w:tcW w:w="1486" w:type="dxa"/>
            <w:shd w:val="clear" w:color="auto" w:fill="auto"/>
            <w:noWrap/>
            <w:vAlign w:val="center"/>
            <w:hideMark/>
          </w:tcPr>
          <w:p w14:paraId="07FA229E" w14:textId="77777777" w:rsidR="00B916AD" w:rsidRPr="00545EC0" w:rsidRDefault="00B916AD" w:rsidP="00627E31">
            <w:pPr>
              <w:overflowPunct/>
              <w:autoSpaceDE/>
              <w:autoSpaceDN/>
              <w:adjustRightInd/>
              <w:spacing w:line="240" w:lineRule="auto"/>
              <w:jc w:val="center"/>
              <w:textAlignment w:val="auto"/>
              <w:rPr>
                <w:rFonts w:cs="Arial"/>
                <w:bCs/>
                <w:sz w:val="18"/>
                <w:szCs w:val="18"/>
              </w:rPr>
            </w:pPr>
            <w:r w:rsidRPr="00545EC0">
              <w:rPr>
                <w:rFonts w:cs="Arial"/>
                <w:bCs/>
                <w:sz w:val="18"/>
                <w:szCs w:val="18"/>
              </w:rPr>
              <w:t>1</w:t>
            </w:r>
          </w:p>
        </w:tc>
      </w:tr>
      <w:tr w:rsidR="003122F4" w:rsidRPr="00545EC0" w14:paraId="04BAA9DC" w14:textId="77777777" w:rsidTr="00627E31">
        <w:trPr>
          <w:trHeight w:val="126"/>
        </w:trPr>
        <w:tc>
          <w:tcPr>
            <w:tcW w:w="1191" w:type="dxa"/>
            <w:shd w:val="clear" w:color="auto" w:fill="auto"/>
            <w:noWrap/>
            <w:vAlign w:val="center"/>
            <w:hideMark/>
          </w:tcPr>
          <w:p w14:paraId="3CAEDE9F"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1011</w:t>
            </w:r>
          </w:p>
        </w:tc>
        <w:tc>
          <w:tcPr>
            <w:tcW w:w="1224" w:type="dxa"/>
            <w:shd w:val="clear" w:color="auto" w:fill="auto"/>
            <w:noWrap/>
            <w:vAlign w:val="center"/>
            <w:hideMark/>
          </w:tcPr>
          <w:p w14:paraId="1B9F5361"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SI3000203</w:t>
            </w:r>
          </w:p>
        </w:tc>
        <w:tc>
          <w:tcPr>
            <w:tcW w:w="2333" w:type="dxa"/>
            <w:shd w:val="clear" w:color="auto" w:fill="auto"/>
            <w:noWrap/>
            <w:vAlign w:val="center"/>
            <w:hideMark/>
          </w:tcPr>
          <w:p w14:paraId="4A4E6D01"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 xml:space="preserve">Kompoljska jama - </w:t>
            </w:r>
            <w:r w:rsidRPr="00545EC0">
              <w:rPr>
                <w:rFonts w:cs="Arial"/>
                <w:sz w:val="18"/>
                <w:szCs w:val="18"/>
              </w:rPr>
              <w:lastRenderedPageBreak/>
              <w:t>Potiskavec</w:t>
            </w:r>
          </w:p>
        </w:tc>
        <w:tc>
          <w:tcPr>
            <w:tcW w:w="1843" w:type="dxa"/>
            <w:shd w:val="clear" w:color="auto" w:fill="auto"/>
            <w:vAlign w:val="center"/>
            <w:hideMark/>
          </w:tcPr>
          <w:p w14:paraId="3DB8A51E"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lastRenderedPageBreak/>
              <w:t>močeril</w:t>
            </w:r>
          </w:p>
        </w:tc>
        <w:tc>
          <w:tcPr>
            <w:tcW w:w="1134" w:type="dxa"/>
            <w:shd w:val="clear" w:color="auto" w:fill="auto"/>
            <w:vAlign w:val="center"/>
            <w:hideMark/>
          </w:tcPr>
          <w:p w14:paraId="6FA33CFF"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ohraniti</w:t>
            </w:r>
          </w:p>
        </w:tc>
        <w:tc>
          <w:tcPr>
            <w:tcW w:w="1486" w:type="dxa"/>
            <w:shd w:val="clear" w:color="auto" w:fill="auto"/>
            <w:noWrap/>
            <w:vAlign w:val="center"/>
            <w:hideMark/>
          </w:tcPr>
          <w:p w14:paraId="6467FF51" w14:textId="77777777" w:rsidR="00B916AD" w:rsidRPr="00545EC0" w:rsidRDefault="00B916AD" w:rsidP="00627E31">
            <w:pPr>
              <w:overflowPunct/>
              <w:autoSpaceDE/>
              <w:autoSpaceDN/>
              <w:adjustRightInd/>
              <w:spacing w:line="240" w:lineRule="auto"/>
              <w:jc w:val="center"/>
              <w:textAlignment w:val="auto"/>
              <w:rPr>
                <w:rFonts w:cs="Arial"/>
                <w:bCs/>
                <w:sz w:val="18"/>
                <w:szCs w:val="18"/>
              </w:rPr>
            </w:pPr>
            <w:r w:rsidRPr="00545EC0">
              <w:rPr>
                <w:rFonts w:cs="Arial"/>
                <w:bCs/>
                <w:sz w:val="18"/>
                <w:szCs w:val="18"/>
              </w:rPr>
              <w:t>3</w:t>
            </w:r>
          </w:p>
        </w:tc>
      </w:tr>
      <w:tr w:rsidR="003122F4" w:rsidRPr="00545EC0" w14:paraId="00B9D551" w14:textId="77777777" w:rsidTr="00627E31">
        <w:trPr>
          <w:trHeight w:val="50"/>
        </w:trPr>
        <w:tc>
          <w:tcPr>
            <w:tcW w:w="1191" w:type="dxa"/>
            <w:shd w:val="clear" w:color="auto" w:fill="auto"/>
            <w:noWrap/>
            <w:vAlign w:val="center"/>
            <w:hideMark/>
          </w:tcPr>
          <w:p w14:paraId="5E9F8845"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lastRenderedPageBreak/>
              <w:t>1011</w:t>
            </w:r>
          </w:p>
        </w:tc>
        <w:tc>
          <w:tcPr>
            <w:tcW w:w="1224" w:type="dxa"/>
            <w:shd w:val="clear" w:color="auto" w:fill="auto"/>
            <w:noWrap/>
            <w:vAlign w:val="center"/>
            <w:hideMark/>
          </w:tcPr>
          <w:p w14:paraId="293B96E2"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SI3000052</w:t>
            </w:r>
          </w:p>
        </w:tc>
        <w:tc>
          <w:tcPr>
            <w:tcW w:w="2333" w:type="dxa"/>
            <w:shd w:val="clear" w:color="auto" w:fill="auto"/>
            <w:noWrap/>
            <w:vAlign w:val="center"/>
            <w:hideMark/>
          </w:tcPr>
          <w:p w14:paraId="6E183171"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Kotarjeva prepadna</w:t>
            </w:r>
          </w:p>
        </w:tc>
        <w:tc>
          <w:tcPr>
            <w:tcW w:w="1843" w:type="dxa"/>
            <w:shd w:val="clear" w:color="auto" w:fill="auto"/>
            <w:vAlign w:val="center"/>
            <w:hideMark/>
          </w:tcPr>
          <w:p w14:paraId="312DB7FC"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močeril</w:t>
            </w:r>
          </w:p>
        </w:tc>
        <w:tc>
          <w:tcPr>
            <w:tcW w:w="1134" w:type="dxa"/>
            <w:shd w:val="clear" w:color="auto" w:fill="auto"/>
            <w:vAlign w:val="center"/>
            <w:hideMark/>
          </w:tcPr>
          <w:p w14:paraId="41F802A8"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ohraniti</w:t>
            </w:r>
          </w:p>
        </w:tc>
        <w:tc>
          <w:tcPr>
            <w:tcW w:w="1486" w:type="dxa"/>
            <w:shd w:val="clear" w:color="auto" w:fill="auto"/>
            <w:noWrap/>
            <w:vAlign w:val="center"/>
            <w:hideMark/>
          </w:tcPr>
          <w:p w14:paraId="628AC524" w14:textId="77777777" w:rsidR="00B916AD" w:rsidRPr="00545EC0" w:rsidRDefault="00B916AD" w:rsidP="00627E31">
            <w:pPr>
              <w:overflowPunct/>
              <w:autoSpaceDE/>
              <w:autoSpaceDN/>
              <w:adjustRightInd/>
              <w:spacing w:line="240" w:lineRule="auto"/>
              <w:jc w:val="center"/>
              <w:textAlignment w:val="auto"/>
              <w:rPr>
                <w:rFonts w:cs="Arial"/>
                <w:bCs/>
                <w:sz w:val="18"/>
                <w:szCs w:val="18"/>
              </w:rPr>
            </w:pPr>
            <w:r w:rsidRPr="00545EC0">
              <w:rPr>
                <w:rFonts w:cs="Arial"/>
                <w:bCs/>
                <w:sz w:val="18"/>
                <w:szCs w:val="18"/>
              </w:rPr>
              <w:t>3</w:t>
            </w:r>
          </w:p>
        </w:tc>
      </w:tr>
      <w:tr w:rsidR="003122F4" w:rsidRPr="00545EC0" w14:paraId="07466D5A" w14:textId="77777777" w:rsidTr="00627E31">
        <w:trPr>
          <w:trHeight w:val="50"/>
        </w:trPr>
        <w:tc>
          <w:tcPr>
            <w:tcW w:w="1191" w:type="dxa"/>
            <w:shd w:val="clear" w:color="auto" w:fill="auto"/>
            <w:noWrap/>
            <w:vAlign w:val="center"/>
            <w:hideMark/>
          </w:tcPr>
          <w:p w14:paraId="515C1384"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1011</w:t>
            </w:r>
          </w:p>
        </w:tc>
        <w:tc>
          <w:tcPr>
            <w:tcW w:w="1224" w:type="dxa"/>
            <w:shd w:val="clear" w:color="auto" w:fill="auto"/>
            <w:noWrap/>
            <w:vAlign w:val="center"/>
            <w:hideMark/>
          </w:tcPr>
          <w:p w14:paraId="54657D41"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SI3000009</w:t>
            </w:r>
          </w:p>
        </w:tc>
        <w:tc>
          <w:tcPr>
            <w:tcW w:w="2333" w:type="dxa"/>
            <w:shd w:val="clear" w:color="auto" w:fill="auto"/>
            <w:noWrap/>
            <w:vAlign w:val="center"/>
            <w:hideMark/>
          </w:tcPr>
          <w:p w14:paraId="5482F955"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Lučka jama</w:t>
            </w:r>
          </w:p>
        </w:tc>
        <w:tc>
          <w:tcPr>
            <w:tcW w:w="1843" w:type="dxa"/>
            <w:shd w:val="clear" w:color="auto" w:fill="auto"/>
            <w:vAlign w:val="center"/>
            <w:hideMark/>
          </w:tcPr>
          <w:p w14:paraId="3FA42019"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Jame, ki niso odprte za javnost</w:t>
            </w:r>
          </w:p>
        </w:tc>
        <w:tc>
          <w:tcPr>
            <w:tcW w:w="1134" w:type="dxa"/>
            <w:shd w:val="clear" w:color="auto" w:fill="auto"/>
            <w:vAlign w:val="center"/>
            <w:hideMark/>
          </w:tcPr>
          <w:p w14:paraId="16704058"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ohraniti</w:t>
            </w:r>
          </w:p>
        </w:tc>
        <w:tc>
          <w:tcPr>
            <w:tcW w:w="1486" w:type="dxa"/>
            <w:shd w:val="clear" w:color="auto" w:fill="auto"/>
            <w:noWrap/>
            <w:vAlign w:val="center"/>
            <w:hideMark/>
          </w:tcPr>
          <w:p w14:paraId="6B611A9A" w14:textId="77777777" w:rsidR="00B916AD" w:rsidRPr="00545EC0" w:rsidRDefault="00B916AD" w:rsidP="00627E31">
            <w:pPr>
              <w:overflowPunct/>
              <w:autoSpaceDE/>
              <w:autoSpaceDN/>
              <w:adjustRightInd/>
              <w:spacing w:line="240" w:lineRule="auto"/>
              <w:jc w:val="center"/>
              <w:textAlignment w:val="auto"/>
              <w:rPr>
                <w:rFonts w:cs="Arial"/>
                <w:bCs/>
                <w:sz w:val="18"/>
                <w:szCs w:val="18"/>
              </w:rPr>
            </w:pPr>
            <w:r w:rsidRPr="00545EC0">
              <w:rPr>
                <w:rFonts w:cs="Arial"/>
                <w:bCs/>
                <w:sz w:val="18"/>
                <w:szCs w:val="18"/>
              </w:rPr>
              <w:t>3</w:t>
            </w:r>
          </w:p>
        </w:tc>
      </w:tr>
      <w:tr w:rsidR="003122F4" w:rsidRPr="00545EC0" w14:paraId="3FAE133E" w14:textId="77777777" w:rsidTr="00627E31">
        <w:trPr>
          <w:trHeight w:val="198"/>
        </w:trPr>
        <w:tc>
          <w:tcPr>
            <w:tcW w:w="1191" w:type="dxa"/>
            <w:shd w:val="clear" w:color="auto" w:fill="auto"/>
            <w:noWrap/>
            <w:vAlign w:val="center"/>
            <w:hideMark/>
          </w:tcPr>
          <w:p w14:paraId="5C8D04E6"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1011</w:t>
            </w:r>
          </w:p>
        </w:tc>
        <w:tc>
          <w:tcPr>
            <w:tcW w:w="1224" w:type="dxa"/>
            <w:shd w:val="clear" w:color="auto" w:fill="auto"/>
            <w:noWrap/>
            <w:vAlign w:val="center"/>
            <w:hideMark/>
          </w:tcPr>
          <w:p w14:paraId="2901D73A"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SI3000338</w:t>
            </w:r>
          </w:p>
        </w:tc>
        <w:tc>
          <w:tcPr>
            <w:tcW w:w="2333" w:type="dxa"/>
            <w:shd w:val="clear" w:color="auto" w:fill="auto"/>
            <w:noWrap/>
            <w:vAlign w:val="center"/>
            <w:hideMark/>
          </w:tcPr>
          <w:p w14:paraId="46AAA695"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Krka s pritoki</w:t>
            </w:r>
          </w:p>
        </w:tc>
        <w:tc>
          <w:tcPr>
            <w:tcW w:w="1843" w:type="dxa"/>
            <w:shd w:val="clear" w:color="auto" w:fill="auto"/>
            <w:vAlign w:val="center"/>
            <w:hideMark/>
          </w:tcPr>
          <w:p w14:paraId="1BC58C28"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močeril</w:t>
            </w:r>
          </w:p>
        </w:tc>
        <w:tc>
          <w:tcPr>
            <w:tcW w:w="1134" w:type="dxa"/>
            <w:shd w:val="clear" w:color="auto" w:fill="auto"/>
            <w:vAlign w:val="center"/>
            <w:hideMark/>
          </w:tcPr>
          <w:p w14:paraId="049E8ED6"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ohraniti, obnoviti</w:t>
            </w:r>
          </w:p>
        </w:tc>
        <w:tc>
          <w:tcPr>
            <w:tcW w:w="1486" w:type="dxa"/>
            <w:shd w:val="clear" w:color="auto" w:fill="auto"/>
            <w:noWrap/>
            <w:vAlign w:val="center"/>
            <w:hideMark/>
          </w:tcPr>
          <w:p w14:paraId="51DA52FA" w14:textId="77777777" w:rsidR="00B916AD" w:rsidRPr="00545EC0" w:rsidRDefault="00B916AD" w:rsidP="00627E31">
            <w:pPr>
              <w:overflowPunct/>
              <w:autoSpaceDE/>
              <w:autoSpaceDN/>
              <w:adjustRightInd/>
              <w:spacing w:line="240" w:lineRule="auto"/>
              <w:jc w:val="center"/>
              <w:textAlignment w:val="auto"/>
              <w:rPr>
                <w:rFonts w:cs="Arial"/>
                <w:bCs/>
                <w:sz w:val="18"/>
                <w:szCs w:val="18"/>
              </w:rPr>
            </w:pPr>
            <w:r w:rsidRPr="00545EC0">
              <w:rPr>
                <w:rFonts w:cs="Arial"/>
                <w:bCs/>
                <w:sz w:val="18"/>
                <w:szCs w:val="18"/>
              </w:rPr>
              <w:t>2</w:t>
            </w:r>
          </w:p>
        </w:tc>
      </w:tr>
      <w:tr w:rsidR="003122F4" w:rsidRPr="00545EC0" w14:paraId="377D1A18" w14:textId="77777777" w:rsidTr="00627E31">
        <w:trPr>
          <w:trHeight w:val="204"/>
        </w:trPr>
        <w:tc>
          <w:tcPr>
            <w:tcW w:w="1191" w:type="dxa"/>
            <w:shd w:val="clear" w:color="auto" w:fill="auto"/>
            <w:noWrap/>
            <w:vAlign w:val="center"/>
            <w:hideMark/>
          </w:tcPr>
          <w:p w14:paraId="6B124D63"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1011</w:t>
            </w:r>
          </w:p>
        </w:tc>
        <w:tc>
          <w:tcPr>
            <w:tcW w:w="1224" w:type="dxa"/>
            <w:shd w:val="clear" w:color="auto" w:fill="auto"/>
            <w:noWrap/>
            <w:vAlign w:val="center"/>
            <w:hideMark/>
          </w:tcPr>
          <w:p w14:paraId="382FC4D4"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SI3000170</w:t>
            </w:r>
          </w:p>
        </w:tc>
        <w:tc>
          <w:tcPr>
            <w:tcW w:w="2333" w:type="dxa"/>
            <w:shd w:val="clear" w:color="auto" w:fill="auto"/>
            <w:noWrap/>
            <w:vAlign w:val="center"/>
            <w:hideMark/>
          </w:tcPr>
          <w:p w14:paraId="1B9EC838"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Krška jama</w:t>
            </w:r>
          </w:p>
        </w:tc>
        <w:tc>
          <w:tcPr>
            <w:tcW w:w="1843" w:type="dxa"/>
            <w:shd w:val="clear" w:color="auto" w:fill="auto"/>
            <w:vAlign w:val="center"/>
            <w:hideMark/>
          </w:tcPr>
          <w:p w14:paraId="3573BF98"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močeril</w:t>
            </w:r>
          </w:p>
        </w:tc>
        <w:tc>
          <w:tcPr>
            <w:tcW w:w="1134" w:type="dxa"/>
            <w:shd w:val="clear" w:color="auto" w:fill="auto"/>
            <w:vAlign w:val="center"/>
            <w:hideMark/>
          </w:tcPr>
          <w:p w14:paraId="348A0D5A"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obnoviti</w:t>
            </w:r>
          </w:p>
        </w:tc>
        <w:tc>
          <w:tcPr>
            <w:tcW w:w="1486" w:type="dxa"/>
            <w:shd w:val="clear" w:color="auto" w:fill="auto"/>
            <w:noWrap/>
            <w:vAlign w:val="center"/>
            <w:hideMark/>
          </w:tcPr>
          <w:p w14:paraId="2F2EF516" w14:textId="77777777" w:rsidR="00B916AD" w:rsidRPr="00545EC0" w:rsidRDefault="00B916AD" w:rsidP="00627E31">
            <w:pPr>
              <w:overflowPunct/>
              <w:autoSpaceDE/>
              <w:autoSpaceDN/>
              <w:adjustRightInd/>
              <w:spacing w:line="240" w:lineRule="auto"/>
              <w:jc w:val="center"/>
              <w:textAlignment w:val="auto"/>
              <w:rPr>
                <w:rFonts w:cs="Arial"/>
                <w:bCs/>
                <w:sz w:val="18"/>
                <w:szCs w:val="18"/>
              </w:rPr>
            </w:pPr>
            <w:r w:rsidRPr="00545EC0">
              <w:rPr>
                <w:rFonts w:cs="Arial"/>
                <w:bCs/>
                <w:sz w:val="18"/>
                <w:szCs w:val="18"/>
              </w:rPr>
              <w:t>2</w:t>
            </w:r>
          </w:p>
        </w:tc>
      </w:tr>
      <w:tr w:rsidR="003122F4" w:rsidRPr="00545EC0" w14:paraId="0D2C9F08" w14:textId="77777777" w:rsidTr="00627E31">
        <w:trPr>
          <w:trHeight w:val="135"/>
        </w:trPr>
        <w:tc>
          <w:tcPr>
            <w:tcW w:w="1191" w:type="dxa"/>
            <w:shd w:val="clear" w:color="auto" w:fill="auto"/>
            <w:noWrap/>
            <w:vAlign w:val="center"/>
            <w:hideMark/>
          </w:tcPr>
          <w:p w14:paraId="33EBF9B3"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1011</w:t>
            </w:r>
          </w:p>
        </w:tc>
        <w:tc>
          <w:tcPr>
            <w:tcW w:w="1224" w:type="dxa"/>
            <w:shd w:val="clear" w:color="auto" w:fill="auto"/>
            <w:noWrap/>
            <w:vAlign w:val="center"/>
            <w:hideMark/>
          </w:tcPr>
          <w:p w14:paraId="7ED72349"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SI3000075</w:t>
            </w:r>
          </w:p>
        </w:tc>
        <w:tc>
          <w:tcPr>
            <w:tcW w:w="2333" w:type="dxa"/>
            <w:shd w:val="clear" w:color="auto" w:fill="auto"/>
            <w:noWrap/>
            <w:vAlign w:val="center"/>
            <w:hideMark/>
          </w:tcPr>
          <w:p w14:paraId="1E71B0DE"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Lahinja</w:t>
            </w:r>
          </w:p>
        </w:tc>
        <w:tc>
          <w:tcPr>
            <w:tcW w:w="1843" w:type="dxa"/>
            <w:shd w:val="clear" w:color="auto" w:fill="auto"/>
            <w:vAlign w:val="center"/>
            <w:hideMark/>
          </w:tcPr>
          <w:p w14:paraId="0A9AE62E"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močeril</w:t>
            </w:r>
          </w:p>
        </w:tc>
        <w:tc>
          <w:tcPr>
            <w:tcW w:w="1134" w:type="dxa"/>
            <w:shd w:val="clear" w:color="auto" w:fill="auto"/>
            <w:vAlign w:val="center"/>
            <w:hideMark/>
          </w:tcPr>
          <w:p w14:paraId="737D28A8"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ohraniti</w:t>
            </w:r>
          </w:p>
        </w:tc>
        <w:tc>
          <w:tcPr>
            <w:tcW w:w="1486" w:type="dxa"/>
            <w:shd w:val="clear" w:color="auto" w:fill="auto"/>
            <w:noWrap/>
            <w:vAlign w:val="center"/>
            <w:hideMark/>
          </w:tcPr>
          <w:p w14:paraId="238DACD8" w14:textId="77777777" w:rsidR="00B916AD" w:rsidRPr="00545EC0" w:rsidRDefault="00B916AD" w:rsidP="00627E31">
            <w:pPr>
              <w:overflowPunct/>
              <w:autoSpaceDE/>
              <w:autoSpaceDN/>
              <w:adjustRightInd/>
              <w:spacing w:line="240" w:lineRule="auto"/>
              <w:jc w:val="center"/>
              <w:textAlignment w:val="auto"/>
              <w:rPr>
                <w:rFonts w:cs="Arial"/>
                <w:bCs/>
                <w:sz w:val="18"/>
                <w:szCs w:val="18"/>
              </w:rPr>
            </w:pPr>
            <w:r w:rsidRPr="00545EC0">
              <w:rPr>
                <w:rFonts w:cs="Arial"/>
                <w:bCs/>
                <w:sz w:val="18"/>
                <w:szCs w:val="18"/>
              </w:rPr>
              <w:t>3</w:t>
            </w:r>
          </w:p>
        </w:tc>
      </w:tr>
      <w:tr w:rsidR="001A4174" w:rsidRPr="00545EC0" w14:paraId="1B369E9B" w14:textId="77777777" w:rsidTr="00627E31">
        <w:trPr>
          <w:trHeight w:val="135"/>
        </w:trPr>
        <w:tc>
          <w:tcPr>
            <w:tcW w:w="1191" w:type="dxa"/>
            <w:shd w:val="clear" w:color="auto" w:fill="auto"/>
            <w:noWrap/>
            <w:vAlign w:val="center"/>
          </w:tcPr>
          <w:p w14:paraId="3200FAF2" w14:textId="14A27CFE" w:rsidR="001A4174" w:rsidRPr="00545EC0" w:rsidRDefault="001A4174" w:rsidP="00627E31">
            <w:pPr>
              <w:overflowPunct/>
              <w:autoSpaceDE/>
              <w:autoSpaceDN/>
              <w:adjustRightInd/>
              <w:spacing w:line="240" w:lineRule="auto"/>
              <w:jc w:val="center"/>
              <w:textAlignment w:val="auto"/>
              <w:rPr>
                <w:rFonts w:cs="Arial"/>
                <w:sz w:val="18"/>
                <w:szCs w:val="18"/>
              </w:rPr>
            </w:pPr>
            <w:r w:rsidRPr="001A4174">
              <w:rPr>
                <w:rFonts w:cs="Arial"/>
                <w:sz w:val="18"/>
                <w:szCs w:val="18"/>
              </w:rPr>
              <w:t>1011</w:t>
            </w:r>
          </w:p>
        </w:tc>
        <w:tc>
          <w:tcPr>
            <w:tcW w:w="1224" w:type="dxa"/>
            <w:shd w:val="clear" w:color="auto" w:fill="auto"/>
            <w:noWrap/>
            <w:vAlign w:val="center"/>
          </w:tcPr>
          <w:p w14:paraId="6AA7DD65" w14:textId="26960786" w:rsidR="001A4174" w:rsidRPr="00545EC0" w:rsidRDefault="001A4174" w:rsidP="00627E31">
            <w:pPr>
              <w:overflowPunct/>
              <w:autoSpaceDE/>
              <w:autoSpaceDN/>
              <w:adjustRightInd/>
              <w:spacing w:line="240" w:lineRule="auto"/>
              <w:jc w:val="center"/>
              <w:textAlignment w:val="auto"/>
              <w:rPr>
                <w:rFonts w:cs="Arial"/>
                <w:sz w:val="18"/>
                <w:szCs w:val="18"/>
              </w:rPr>
            </w:pPr>
            <w:r w:rsidRPr="001A4174">
              <w:rPr>
                <w:rFonts w:cs="Arial"/>
                <w:sz w:val="18"/>
                <w:szCs w:val="18"/>
              </w:rPr>
              <w:t>SI3000295</w:t>
            </w:r>
          </w:p>
        </w:tc>
        <w:tc>
          <w:tcPr>
            <w:tcW w:w="2333" w:type="dxa"/>
            <w:shd w:val="clear" w:color="auto" w:fill="auto"/>
            <w:noWrap/>
            <w:vAlign w:val="center"/>
          </w:tcPr>
          <w:p w14:paraId="44E55078" w14:textId="5088C7B2" w:rsidR="001A4174" w:rsidRPr="00545EC0" w:rsidRDefault="001A4174" w:rsidP="00627E31">
            <w:pPr>
              <w:overflowPunct/>
              <w:autoSpaceDE/>
              <w:autoSpaceDN/>
              <w:adjustRightInd/>
              <w:spacing w:line="240" w:lineRule="auto"/>
              <w:jc w:val="center"/>
              <w:textAlignment w:val="auto"/>
              <w:rPr>
                <w:rFonts w:cs="Arial"/>
                <w:sz w:val="18"/>
                <w:szCs w:val="18"/>
              </w:rPr>
            </w:pPr>
            <w:r w:rsidRPr="001A4174">
              <w:rPr>
                <w:rFonts w:cs="Arial"/>
                <w:sz w:val="18"/>
                <w:szCs w:val="18"/>
              </w:rPr>
              <w:t>Kosca</w:t>
            </w:r>
          </w:p>
        </w:tc>
        <w:tc>
          <w:tcPr>
            <w:tcW w:w="1843" w:type="dxa"/>
            <w:shd w:val="clear" w:color="auto" w:fill="auto"/>
            <w:vAlign w:val="center"/>
          </w:tcPr>
          <w:p w14:paraId="452A9BD6" w14:textId="77777777" w:rsidR="001A4174" w:rsidRPr="001A4174" w:rsidRDefault="001A4174" w:rsidP="001A4174">
            <w:pPr>
              <w:overflowPunct/>
              <w:autoSpaceDE/>
              <w:autoSpaceDN/>
              <w:adjustRightInd/>
              <w:spacing w:line="240" w:lineRule="auto"/>
              <w:jc w:val="center"/>
              <w:textAlignment w:val="auto"/>
              <w:rPr>
                <w:rFonts w:cs="Arial"/>
                <w:sz w:val="18"/>
                <w:szCs w:val="18"/>
              </w:rPr>
            </w:pPr>
            <w:r w:rsidRPr="001A4174">
              <w:rPr>
                <w:rFonts w:cs="Arial"/>
                <w:sz w:val="18"/>
                <w:szCs w:val="18"/>
              </w:rPr>
              <w:t>Lehnjakotvorni izviri</w:t>
            </w:r>
          </w:p>
          <w:p w14:paraId="2C4CF133" w14:textId="0EA94AEB" w:rsidR="001A4174" w:rsidRPr="00545EC0" w:rsidRDefault="001A4174" w:rsidP="001A4174">
            <w:pPr>
              <w:overflowPunct/>
              <w:autoSpaceDE/>
              <w:autoSpaceDN/>
              <w:adjustRightInd/>
              <w:spacing w:line="240" w:lineRule="auto"/>
              <w:jc w:val="center"/>
              <w:textAlignment w:val="auto"/>
              <w:rPr>
                <w:rFonts w:cs="Arial"/>
                <w:sz w:val="18"/>
                <w:szCs w:val="18"/>
              </w:rPr>
            </w:pPr>
            <w:r w:rsidRPr="001A4174">
              <w:rPr>
                <w:rFonts w:cs="Arial"/>
                <w:sz w:val="18"/>
                <w:szCs w:val="18"/>
              </w:rPr>
              <w:t>(Cratoneurion)</w:t>
            </w:r>
          </w:p>
        </w:tc>
        <w:tc>
          <w:tcPr>
            <w:tcW w:w="1134" w:type="dxa"/>
            <w:shd w:val="clear" w:color="auto" w:fill="auto"/>
            <w:vAlign w:val="center"/>
          </w:tcPr>
          <w:p w14:paraId="1ECDF0B2" w14:textId="2919289E" w:rsidR="001A4174" w:rsidRPr="00545EC0" w:rsidRDefault="001A4174" w:rsidP="00627E31">
            <w:pPr>
              <w:overflowPunct/>
              <w:autoSpaceDE/>
              <w:autoSpaceDN/>
              <w:adjustRightInd/>
              <w:spacing w:line="240" w:lineRule="auto"/>
              <w:jc w:val="center"/>
              <w:textAlignment w:val="auto"/>
              <w:rPr>
                <w:rFonts w:cs="Arial"/>
                <w:sz w:val="18"/>
                <w:szCs w:val="18"/>
              </w:rPr>
            </w:pPr>
            <w:r w:rsidRPr="001A4174">
              <w:rPr>
                <w:rFonts w:cs="Arial"/>
                <w:sz w:val="18"/>
                <w:szCs w:val="18"/>
              </w:rPr>
              <w:t>ohraniti</w:t>
            </w:r>
          </w:p>
        </w:tc>
        <w:tc>
          <w:tcPr>
            <w:tcW w:w="1486" w:type="dxa"/>
            <w:shd w:val="clear" w:color="auto" w:fill="auto"/>
            <w:noWrap/>
            <w:vAlign w:val="center"/>
          </w:tcPr>
          <w:p w14:paraId="5D9794DC" w14:textId="4537ECEC" w:rsidR="001A4174" w:rsidRPr="00545EC0" w:rsidRDefault="001A4174" w:rsidP="00627E31">
            <w:pPr>
              <w:overflowPunct/>
              <w:autoSpaceDE/>
              <w:autoSpaceDN/>
              <w:adjustRightInd/>
              <w:spacing w:line="240" w:lineRule="auto"/>
              <w:jc w:val="center"/>
              <w:textAlignment w:val="auto"/>
              <w:rPr>
                <w:rFonts w:cs="Arial"/>
                <w:bCs/>
                <w:sz w:val="18"/>
                <w:szCs w:val="18"/>
              </w:rPr>
            </w:pPr>
            <w:r>
              <w:rPr>
                <w:rFonts w:cs="Arial"/>
                <w:bCs/>
                <w:sz w:val="18"/>
                <w:szCs w:val="18"/>
              </w:rPr>
              <w:t>3</w:t>
            </w:r>
          </w:p>
        </w:tc>
      </w:tr>
      <w:tr w:rsidR="001A4174" w:rsidRPr="00545EC0" w14:paraId="1EFF3DC5" w14:textId="77777777" w:rsidTr="00627E31">
        <w:trPr>
          <w:trHeight w:val="135"/>
        </w:trPr>
        <w:tc>
          <w:tcPr>
            <w:tcW w:w="1191" w:type="dxa"/>
            <w:shd w:val="clear" w:color="auto" w:fill="auto"/>
            <w:noWrap/>
            <w:vAlign w:val="center"/>
          </w:tcPr>
          <w:p w14:paraId="6F6B1DBD" w14:textId="40F17021" w:rsidR="001A4174" w:rsidRPr="001A4174" w:rsidRDefault="001A4174" w:rsidP="00627E31">
            <w:pPr>
              <w:overflowPunct/>
              <w:autoSpaceDE/>
              <w:autoSpaceDN/>
              <w:adjustRightInd/>
              <w:spacing w:line="240" w:lineRule="auto"/>
              <w:jc w:val="center"/>
              <w:textAlignment w:val="auto"/>
              <w:rPr>
                <w:rFonts w:cs="Arial"/>
                <w:sz w:val="18"/>
                <w:szCs w:val="18"/>
              </w:rPr>
            </w:pPr>
            <w:r>
              <w:rPr>
                <w:rFonts w:cs="Arial"/>
                <w:sz w:val="18"/>
                <w:szCs w:val="18"/>
              </w:rPr>
              <w:t>1001</w:t>
            </w:r>
          </w:p>
        </w:tc>
        <w:tc>
          <w:tcPr>
            <w:tcW w:w="1224" w:type="dxa"/>
            <w:shd w:val="clear" w:color="auto" w:fill="auto"/>
            <w:noWrap/>
            <w:vAlign w:val="center"/>
          </w:tcPr>
          <w:p w14:paraId="7B60C0A9" w14:textId="3131316E" w:rsidR="001A4174" w:rsidRPr="001A4174" w:rsidRDefault="001A4174" w:rsidP="00627E31">
            <w:pPr>
              <w:overflowPunct/>
              <w:autoSpaceDE/>
              <w:autoSpaceDN/>
              <w:adjustRightInd/>
              <w:spacing w:line="240" w:lineRule="auto"/>
              <w:jc w:val="center"/>
              <w:textAlignment w:val="auto"/>
              <w:rPr>
                <w:rFonts w:cs="Arial"/>
                <w:sz w:val="18"/>
                <w:szCs w:val="18"/>
              </w:rPr>
            </w:pPr>
            <w:r w:rsidRPr="001A4174">
              <w:rPr>
                <w:rFonts w:cs="Arial"/>
                <w:sz w:val="18"/>
                <w:szCs w:val="18"/>
              </w:rPr>
              <w:t>SI3000010</w:t>
            </w:r>
          </w:p>
        </w:tc>
        <w:tc>
          <w:tcPr>
            <w:tcW w:w="2333" w:type="dxa"/>
            <w:shd w:val="clear" w:color="auto" w:fill="auto"/>
            <w:noWrap/>
            <w:vAlign w:val="center"/>
          </w:tcPr>
          <w:p w14:paraId="461BF7F5" w14:textId="77777777" w:rsidR="001A4174" w:rsidRPr="001A4174" w:rsidRDefault="001A4174" w:rsidP="001A4174">
            <w:pPr>
              <w:overflowPunct/>
              <w:autoSpaceDE/>
              <w:autoSpaceDN/>
              <w:adjustRightInd/>
              <w:spacing w:line="240" w:lineRule="auto"/>
              <w:jc w:val="center"/>
              <w:textAlignment w:val="auto"/>
              <w:rPr>
                <w:rFonts w:cs="Arial"/>
                <w:sz w:val="18"/>
                <w:szCs w:val="18"/>
              </w:rPr>
            </w:pPr>
            <w:r w:rsidRPr="001A4174">
              <w:rPr>
                <w:rFonts w:cs="Arial"/>
                <w:sz w:val="18"/>
                <w:szCs w:val="18"/>
              </w:rPr>
              <w:t>Koritno izvir - izliv</w:t>
            </w:r>
          </w:p>
          <w:p w14:paraId="49CC0DE7" w14:textId="3A043CDC" w:rsidR="001A4174" w:rsidRPr="001A4174" w:rsidRDefault="001A4174" w:rsidP="001A4174">
            <w:pPr>
              <w:overflowPunct/>
              <w:autoSpaceDE/>
              <w:autoSpaceDN/>
              <w:adjustRightInd/>
              <w:spacing w:line="240" w:lineRule="auto"/>
              <w:jc w:val="center"/>
              <w:textAlignment w:val="auto"/>
              <w:rPr>
                <w:rFonts w:cs="Arial"/>
                <w:sz w:val="18"/>
                <w:szCs w:val="18"/>
              </w:rPr>
            </w:pPr>
            <w:r w:rsidRPr="001A4174">
              <w:rPr>
                <w:rFonts w:cs="Arial"/>
                <w:sz w:val="18"/>
                <w:szCs w:val="18"/>
              </w:rPr>
              <w:t>v Savo Dolinko</w:t>
            </w:r>
          </w:p>
        </w:tc>
        <w:tc>
          <w:tcPr>
            <w:tcW w:w="1843" w:type="dxa"/>
            <w:shd w:val="clear" w:color="auto" w:fill="auto"/>
            <w:vAlign w:val="center"/>
          </w:tcPr>
          <w:p w14:paraId="47CFDE10" w14:textId="77777777" w:rsidR="001A4174" w:rsidRPr="001A4174" w:rsidRDefault="001A4174" w:rsidP="001A4174">
            <w:pPr>
              <w:overflowPunct/>
              <w:autoSpaceDE/>
              <w:autoSpaceDN/>
              <w:adjustRightInd/>
              <w:spacing w:line="240" w:lineRule="auto"/>
              <w:jc w:val="center"/>
              <w:textAlignment w:val="auto"/>
              <w:rPr>
                <w:rFonts w:cs="Arial"/>
                <w:sz w:val="18"/>
                <w:szCs w:val="18"/>
              </w:rPr>
            </w:pPr>
            <w:r w:rsidRPr="001A4174">
              <w:rPr>
                <w:rFonts w:cs="Arial"/>
                <w:sz w:val="18"/>
                <w:szCs w:val="18"/>
              </w:rPr>
              <w:t>Lehnjakotvorni izviri</w:t>
            </w:r>
          </w:p>
          <w:p w14:paraId="343E3029" w14:textId="0C86E535" w:rsidR="001A4174" w:rsidRPr="001A4174" w:rsidRDefault="001A4174" w:rsidP="001A4174">
            <w:pPr>
              <w:overflowPunct/>
              <w:autoSpaceDE/>
              <w:autoSpaceDN/>
              <w:adjustRightInd/>
              <w:spacing w:line="240" w:lineRule="auto"/>
              <w:jc w:val="center"/>
              <w:textAlignment w:val="auto"/>
              <w:rPr>
                <w:rFonts w:cs="Arial"/>
                <w:sz w:val="18"/>
                <w:szCs w:val="18"/>
              </w:rPr>
            </w:pPr>
            <w:r w:rsidRPr="001A4174">
              <w:rPr>
                <w:rFonts w:cs="Arial"/>
                <w:sz w:val="18"/>
                <w:szCs w:val="18"/>
              </w:rPr>
              <w:t>(Cratoneurion)</w:t>
            </w:r>
          </w:p>
        </w:tc>
        <w:tc>
          <w:tcPr>
            <w:tcW w:w="1134" w:type="dxa"/>
            <w:shd w:val="clear" w:color="auto" w:fill="auto"/>
            <w:vAlign w:val="center"/>
          </w:tcPr>
          <w:p w14:paraId="50CA552F" w14:textId="3DC1A5D2" w:rsidR="001A4174" w:rsidRPr="001A4174" w:rsidRDefault="001A4174" w:rsidP="00627E31">
            <w:pPr>
              <w:overflowPunct/>
              <w:autoSpaceDE/>
              <w:autoSpaceDN/>
              <w:adjustRightInd/>
              <w:spacing w:line="240" w:lineRule="auto"/>
              <w:jc w:val="center"/>
              <w:textAlignment w:val="auto"/>
              <w:rPr>
                <w:rFonts w:cs="Arial"/>
                <w:sz w:val="18"/>
                <w:szCs w:val="18"/>
              </w:rPr>
            </w:pPr>
            <w:r w:rsidRPr="001A4174">
              <w:rPr>
                <w:rFonts w:cs="Arial"/>
                <w:sz w:val="18"/>
                <w:szCs w:val="18"/>
              </w:rPr>
              <w:t>ohraniti</w:t>
            </w:r>
          </w:p>
        </w:tc>
        <w:tc>
          <w:tcPr>
            <w:tcW w:w="1486" w:type="dxa"/>
            <w:shd w:val="clear" w:color="auto" w:fill="auto"/>
            <w:noWrap/>
            <w:vAlign w:val="center"/>
          </w:tcPr>
          <w:p w14:paraId="7D32C011" w14:textId="49032BE6" w:rsidR="001A4174" w:rsidRDefault="001A4174" w:rsidP="00627E31">
            <w:pPr>
              <w:overflowPunct/>
              <w:autoSpaceDE/>
              <w:autoSpaceDN/>
              <w:adjustRightInd/>
              <w:spacing w:line="240" w:lineRule="auto"/>
              <w:jc w:val="center"/>
              <w:textAlignment w:val="auto"/>
              <w:rPr>
                <w:rFonts w:cs="Arial"/>
                <w:bCs/>
                <w:sz w:val="18"/>
                <w:szCs w:val="18"/>
              </w:rPr>
            </w:pPr>
            <w:r>
              <w:rPr>
                <w:rFonts w:cs="Arial"/>
                <w:bCs/>
                <w:sz w:val="18"/>
                <w:szCs w:val="18"/>
              </w:rPr>
              <w:t>3</w:t>
            </w:r>
          </w:p>
        </w:tc>
      </w:tr>
      <w:tr w:rsidR="003122F4" w:rsidRPr="00545EC0" w14:paraId="28B2E387" w14:textId="77777777" w:rsidTr="00627E31">
        <w:trPr>
          <w:trHeight w:val="53"/>
        </w:trPr>
        <w:tc>
          <w:tcPr>
            <w:tcW w:w="1191" w:type="dxa"/>
            <w:shd w:val="clear" w:color="auto" w:fill="auto"/>
            <w:noWrap/>
            <w:vAlign w:val="center"/>
            <w:hideMark/>
          </w:tcPr>
          <w:p w14:paraId="6ADFF8F3"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1001</w:t>
            </w:r>
          </w:p>
        </w:tc>
        <w:tc>
          <w:tcPr>
            <w:tcW w:w="1224" w:type="dxa"/>
            <w:shd w:val="clear" w:color="auto" w:fill="auto"/>
            <w:noWrap/>
            <w:vAlign w:val="center"/>
            <w:hideMark/>
          </w:tcPr>
          <w:p w14:paraId="2D5E7F8F"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SI3000169</w:t>
            </w:r>
          </w:p>
        </w:tc>
        <w:tc>
          <w:tcPr>
            <w:tcW w:w="2333" w:type="dxa"/>
            <w:shd w:val="clear" w:color="auto" w:fill="auto"/>
            <w:noWrap/>
            <w:vAlign w:val="center"/>
            <w:hideMark/>
          </w:tcPr>
          <w:p w14:paraId="1D505F67"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Povirje vzhodno od Bodešč</w:t>
            </w:r>
          </w:p>
        </w:tc>
        <w:tc>
          <w:tcPr>
            <w:tcW w:w="1843" w:type="dxa"/>
            <w:shd w:val="clear" w:color="auto" w:fill="auto"/>
            <w:vAlign w:val="center"/>
            <w:hideMark/>
          </w:tcPr>
          <w:p w14:paraId="2F68ACB7"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Lehnjakotvorni izviri (Cratoneurion)</w:t>
            </w:r>
          </w:p>
        </w:tc>
        <w:tc>
          <w:tcPr>
            <w:tcW w:w="1134" w:type="dxa"/>
            <w:shd w:val="clear" w:color="auto" w:fill="auto"/>
            <w:vAlign w:val="center"/>
            <w:hideMark/>
          </w:tcPr>
          <w:p w14:paraId="5DB6A818"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ohraniti</w:t>
            </w:r>
          </w:p>
        </w:tc>
        <w:tc>
          <w:tcPr>
            <w:tcW w:w="1486" w:type="dxa"/>
            <w:shd w:val="clear" w:color="auto" w:fill="auto"/>
            <w:noWrap/>
            <w:vAlign w:val="center"/>
            <w:hideMark/>
          </w:tcPr>
          <w:p w14:paraId="435B82BA" w14:textId="77777777" w:rsidR="00B916AD" w:rsidRPr="00545EC0" w:rsidRDefault="00B916AD" w:rsidP="00627E31">
            <w:pPr>
              <w:overflowPunct/>
              <w:autoSpaceDE/>
              <w:autoSpaceDN/>
              <w:adjustRightInd/>
              <w:spacing w:line="240" w:lineRule="auto"/>
              <w:jc w:val="center"/>
              <w:textAlignment w:val="auto"/>
              <w:rPr>
                <w:rFonts w:cs="Arial"/>
                <w:bCs/>
                <w:sz w:val="18"/>
                <w:szCs w:val="18"/>
              </w:rPr>
            </w:pPr>
            <w:r w:rsidRPr="00545EC0">
              <w:rPr>
                <w:rFonts w:cs="Arial"/>
                <w:bCs/>
                <w:sz w:val="18"/>
                <w:szCs w:val="18"/>
              </w:rPr>
              <w:t>3</w:t>
            </w:r>
          </w:p>
        </w:tc>
      </w:tr>
      <w:tr w:rsidR="003122F4" w:rsidRPr="00545EC0" w14:paraId="75EF6739" w14:textId="77777777" w:rsidTr="00627E31">
        <w:trPr>
          <w:trHeight w:val="50"/>
        </w:trPr>
        <w:tc>
          <w:tcPr>
            <w:tcW w:w="1191" w:type="dxa"/>
            <w:shd w:val="clear" w:color="auto" w:fill="auto"/>
            <w:vAlign w:val="center"/>
            <w:hideMark/>
          </w:tcPr>
          <w:p w14:paraId="3E117E7F"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1007</w:t>
            </w:r>
            <w:r w:rsidRPr="00545EC0">
              <w:rPr>
                <w:rFonts w:cs="Arial"/>
                <w:sz w:val="18"/>
                <w:szCs w:val="18"/>
              </w:rPr>
              <w:br/>
              <w:t>1010</w:t>
            </w:r>
          </w:p>
        </w:tc>
        <w:tc>
          <w:tcPr>
            <w:tcW w:w="1224" w:type="dxa"/>
            <w:shd w:val="clear" w:color="auto" w:fill="auto"/>
            <w:noWrap/>
            <w:vAlign w:val="center"/>
            <w:hideMark/>
          </w:tcPr>
          <w:p w14:paraId="402E99BD"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SI3000271</w:t>
            </w:r>
          </w:p>
        </w:tc>
        <w:tc>
          <w:tcPr>
            <w:tcW w:w="2333" w:type="dxa"/>
            <w:shd w:val="clear" w:color="auto" w:fill="auto"/>
            <w:noWrap/>
            <w:vAlign w:val="center"/>
            <w:hideMark/>
          </w:tcPr>
          <w:p w14:paraId="56CCCC10"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Ljubljansko barje</w:t>
            </w:r>
          </w:p>
        </w:tc>
        <w:tc>
          <w:tcPr>
            <w:tcW w:w="1843" w:type="dxa"/>
            <w:shd w:val="clear" w:color="auto" w:fill="auto"/>
            <w:vAlign w:val="center"/>
            <w:hideMark/>
          </w:tcPr>
          <w:p w14:paraId="09BD6AF1"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močeril</w:t>
            </w:r>
          </w:p>
        </w:tc>
        <w:tc>
          <w:tcPr>
            <w:tcW w:w="1134" w:type="dxa"/>
            <w:shd w:val="clear" w:color="auto" w:fill="auto"/>
            <w:vAlign w:val="center"/>
            <w:hideMark/>
          </w:tcPr>
          <w:p w14:paraId="42BC4CF5"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ohraniti</w:t>
            </w:r>
          </w:p>
        </w:tc>
        <w:tc>
          <w:tcPr>
            <w:tcW w:w="1486" w:type="dxa"/>
            <w:shd w:val="clear" w:color="auto" w:fill="auto"/>
            <w:noWrap/>
            <w:vAlign w:val="center"/>
            <w:hideMark/>
          </w:tcPr>
          <w:p w14:paraId="4CE12FB1" w14:textId="77777777" w:rsidR="00B916AD" w:rsidRPr="00545EC0" w:rsidRDefault="00B916AD" w:rsidP="00627E31">
            <w:pPr>
              <w:overflowPunct/>
              <w:autoSpaceDE/>
              <w:autoSpaceDN/>
              <w:adjustRightInd/>
              <w:spacing w:line="240" w:lineRule="auto"/>
              <w:jc w:val="center"/>
              <w:textAlignment w:val="auto"/>
              <w:rPr>
                <w:rFonts w:cs="Arial"/>
                <w:bCs/>
                <w:sz w:val="18"/>
                <w:szCs w:val="18"/>
              </w:rPr>
            </w:pPr>
            <w:r w:rsidRPr="00545EC0">
              <w:rPr>
                <w:rFonts w:cs="Arial"/>
                <w:bCs/>
                <w:sz w:val="18"/>
                <w:szCs w:val="18"/>
              </w:rPr>
              <w:t>3</w:t>
            </w:r>
          </w:p>
        </w:tc>
      </w:tr>
      <w:tr w:rsidR="003122F4" w:rsidRPr="00545EC0" w14:paraId="2814D746" w14:textId="77777777" w:rsidTr="00627E31">
        <w:trPr>
          <w:trHeight w:val="50"/>
        </w:trPr>
        <w:tc>
          <w:tcPr>
            <w:tcW w:w="1191" w:type="dxa"/>
            <w:shd w:val="clear" w:color="auto" w:fill="auto"/>
            <w:noWrap/>
            <w:vAlign w:val="center"/>
            <w:hideMark/>
          </w:tcPr>
          <w:p w14:paraId="54F7C399"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1011</w:t>
            </w:r>
          </w:p>
        </w:tc>
        <w:tc>
          <w:tcPr>
            <w:tcW w:w="1224" w:type="dxa"/>
            <w:shd w:val="clear" w:color="auto" w:fill="auto"/>
            <w:noWrap/>
            <w:vAlign w:val="center"/>
            <w:hideMark/>
          </w:tcPr>
          <w:p w14:paraId="4017AB02"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SI3000009</w:t>
            </w:r>
          </w:p>
        </w:tc>
        <w:tc>
          <w:tcPr>
            <w:tcW w:w="2333" w:type="dxa"/>
            <w:shd w:val="clear" w:color="auto" w:fill="auto"/>
            <w:noWrap/>
            <w:vAlign w:val="center"/>
            <w:hideMark/>
          </w:tcPr>
          <w:p w14:paraId="6708512D"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Lučka jama</w:t>
            </w:r>
          </w:p>
        </w:tc>
        <w:tc>
          <w:tcPr>
            <w:tcW w:w="1843" w:type="dxa"/>
            <w:shd w:val="clear" w:color="auto" w:fill="auto"/>
            <w:vAlign w:val="center"/>
            <w:hideMark/>
          </w:tcPr>
          <w:p w14:paraId="451F294D"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močeril</w:t>
            </w:r>
          </w:p>
        </w:tc>
        <w:tc>
          <w:tcPr>
            <w:tcW w:w="1134" w:type="dxa"/>
            <w:shd w:val="clear" w:color="auto" w:fill="auto"/>
            <w:vAlign w:val="center"/>
            <w:hideMark/>
          </w:tcPr>
          <w:p w14:paraId="578055C6"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ohraniti</w:t>
            </w:r>
          </w:p>
        </w:tc>
        <w:tc>
          <w:tcPr>
            <w:tcW w:w="1486" w:type="dxa"/>
            <w:shd w:val="clear" w:color="auto" w:fill="auto"/>
            <w:noWrap/>
            <w:vAlign w:val="center"/>
            <w:hideMark/>
          </w:tcPr>
          <w:p w14:paraId="71676EDC" w14:textId="77777777" w:rsidR="00B916AD" w:rsidRPr="00545EC0" w:rsidRDefault="00B916AD" w:rsidP="00627E31">
            <w:pPr>
              <w:overflowPunct/>
              <w:autoSpaceDE/>
              <w:autoSpaceDN/>
              <w:adjustRightInd/>
              <w:spacing w:line="240" w:lineRule="auto"/>
              <w:jc w:val="center"/>
              <w:textAlignment w:val="auto"/>
              <w:rPr>
                <w:rFonts w:cs="Arial"/>
                <w:bCs/>
                <w:sz w:val="18"/>
                <w:szCs w:val="18"/>
              </w:rPr>
            </w:pPr>
            <w:r w:rsidRPr="00545EC0">
              <w:rPr>
                <w:rFonts w:cs="Arial"/>
                <w:bCs/>
                <w:sz w:val="18"/>
                <w:szCs w:val="18"/>
              </w:rPr>
              <w:t>3</w:t>
            </w:r>
          </w:p>
        </w:tc>
      </w:tr>
      <w:tr w:rsidR="003122F4" w:rsidRPr="00545EC0" w14:paraId="6E91BE36" w14:textId="77777777" w:rsidTr="00627E31">
        <w:trPr>
          <w:trHeight w:val="50"/>
        </w:trPr>
        <w:tc>
          <w:tcPr>
            <w:tcW w:w="1191" w:type="dxa"/>
            <w:shd w:val="clear" w:color="auto" w:fill="auto"/>
            <w:noWrap/>
            <w:vAlign w:val="center"/>
            <w:hideMark/>
          </w:tcPr>
          <w:p w14:paraId="2A0CFB59"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1010</w:t>
            </w:r>
          </w:p>
        </w:tc>
        <w:tc>
          <w:tcPr>
            <w:tcW w:w="1224" w:type="dxa"/>
            <w:shd w:val="clear" w:color="auto" w:fill="auto"/>
            <w:noWrap/>
            <w:vAlign w:val="center"/>
            <w:hideMark/>
          </w:tcPr>
          <w:p w14:paraId="4F135461"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SI3000174</w:t>
            </w:r>
          </w:p>
        </w:tc>
        <w:tc>
          <w:tcPr>
            <w:tcW w:w="2333" w:type="dxa"/>
            <w:shd w:val="clear" w:color="auto" w:fill="auto"/>
            <w:noWrap/>
            <w:vAlign w:val="center"/>
            <w:hideMark/>
          </w:tcPr>
          <w:p w14:paraId="3398FF48"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Mrzla jama pri Prestranku</w:t>
            </w:r>
          </w:p>
        </w:tc>
        <w:tc>
          <w:tcPr>
            <w:tcW w:w="1843" w:type="dxa"/>
            <w:shd w:val="clear" w:color="auto" w:fill="auto"/>
            <w:vAlign w:val="center"/>
            <w:hideMark/>
          </w:tcPr>
          <w:p w14:paraId="0F86322B"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Jame, ki niso odprte za javnost</w:t>
            </w:r>
          </w:p>
        </w:tc>
        <w:tc>
          <w:tcPr>
            <w:tcW w:w="1134" w:type="dxa"/>
            <w:shd w:val="clear" w:color="auto" w:fill="auto"/>
            <w:vAlign w:val="center"/>
            <w:hideMark/>
          </w:tcPr>
          <w:p w14:paraId="2A3F5A43"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ohraniti</w:t>
            </w:r>
          </w:p>
        </w:tc>
        <w:tc>
          <w:tcPr>
            <w:tcW w:w="1486" w:type="dxa"/>
            <w:shd w:val="clear" w:color="auto" w:fill="auto"/>
            <w:noWrap/>
            <w:vAlign w:val="center"/>
            <w:hideMark/>
          </w:tcPr>
          <w:p w14:paraId="5B76907C" w14:textId="77777777" w:rsidR="00B916AD" w:rsidRPr="00545EC0" w:rsidRDefault="00B916AD" w:rsidP="00627E31">
            <w:pPr>
              <w:overflowPunct/>
              <w:autoSpaceDE/>
              <w:autoSpaceDN/>
              <w:adjustRightInd/>
              <w:spacing w:line="240" w:lineRule="auto"/>
              <w:jc w:val="center"/>
              <w:textAlignment w:val="auto"/>
              <w:rPr>
                <w:rFonts w:cs="Arial"/>
                <w:bCs/>
                <w:sz w:val="18"/>
                <w:szCs w:val="18"/>
              </w:rPr>
            </w:pPr>
            <w:r w:rsidRPr="00545EC0">
              <w:rPr>
                <w:rFonts w:cs="Arial"/>
                <w:bCs/>
                <w:sz w:val="18"/>
                <w:szCs w:val="18"/>
              </w:rPr>
              <w:t>3</w:t>
            </w:r>
          </w:p>
        </w:tc>
      </w:tr>
      <w:tr w:rsidR="003122F4" w:rsidRPr="00545EC0" w14:paraId="6A7F0528" w14:textId="77777777" w:rsidTr="00627E31">
        <w:trPr>
          <w:trHeight w:val="50"/>
        </w:trPr>
        <w:tc>
          <w:tcPr>
            <w:tcW w:w="1191" w:type="dxa"/>
            <w:shd w:val="clear" w:color="auto" w:fill="auto"/>
            <w:noWrap/>
            <w:vAlign w:val="center"/>
            <w:hideMark/>
          </w:tcPr>
          <w:p w14:paraId="3A144B2A"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1010</w:t>
            </w:r>
          </w:p>
        </w:tc>
        <w:tc>
          <w:tcPr>
            <w:tcW w:w="1224" w:type="dxa"/>
            <w:shd w:val="clear" w:color="auto" w:fill="auto"/>
            <w:noWrap/>
            <w:vAlign w:val="center"/>
            <w:hideMark/>
          </w:tcPr>
          <w:p w14:paraId="37945C15"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SI3000174</w:t>
            </w:r>
          </w:p>
        </w:tc>
        <w:tc>
          <w:tcPr>
            <w:tcW w:w="2333" w:type="dxa"/>
            <w:shd w:val="clear" w:color="auto" w:fill="auto"/>
            <w:noWrap/>
            <w:vAlign w:val="center"/>
            <w:hideMark/>
          </w:tcPr>
          <w:p w14:paraId="519D5297"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Mrzla jama pri Prestranku</w:t>
            </w:r>
          </w:p>
        </w:tc>
        <w:tc>
          <w:tcPr>
            <w:tcW w:w="1843" w:type="dxa"/>
            <w:shd w:val="clear" w:color="auto" w:fill="auto"/>
            <w:vAlign w:val="center"/>
            <w:hideMark/>
          </w:tcPr>
          <w:p w14:paraId="1B765734"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močeril</w:t>
            </w:r>
          </w:p>
        </w:tc>
        <w:tc>
          <w:tcPr>
            <w:tcW w:w="1134" w:type="dxa"/>
            <w:shd w:val="clear" w:color="auto" w:fill="auto"/>
            <w:vAlign w:val="center"/>
            <w:hideMark/>
          </w:tcPr>
          <w:p w14:paraId="25FC3265"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ohraniti</w:t>
            </w:r>
          </w:p>
        </w:tc>
        <w:tc>
          <w:tcPr>
            <w:tcW w:w="1486" w:type="dxa"/>
            <w:shd w:val="clear" w:color="auto" w:fill="auto"/>
            <w:noWrap/>
            <w:vAlign w:val="center"/>
            <w:hideMark/>
          </w:tcPr>
          <w:p w14:paraId="572611A0" w14:textId="77777777" w:rsidR="00B916AD" w:rsidRPr="00545EC0" w:rsidRDefault="00B916AD" w:rsidP="00627E31">
            <w:pPr>
              <w:overflowPunct/>
              <w:autoSpaceDE/>
              <w:autoSpaceDN/>
              <w:adjustRightInd/>
              <w:spacing w:line="240" w:lineRule="auto"/>
              <w:jc w:val="center"/>
              <w:textAlignment w:val="auto"/>
              <w:rPr>
                <w:rFonts w:cs="Arial"/>
                <w:bCs/>
                <w:sz w:val="18"/>
                <w:szCs w:val="18"/>
              </w:rPr>
            </w:pPr>
            <w:r w:rsidRPr="00545EC0">
              <w:rPr>
                <w:rFonts w:cs="Arial"/>
                <w:bCs/>
                <w:sz w:val="18"/>
                <w:szCs w:val="18"/>
              </w:rPr>
              <w:t>3</w:t>
            </w:r>
          </w:p>
        </w:tc>
      </w:tr>
      <w:tr w:rsidR="003122F4" w:rsidRPr="00545EC0" w14:paraId="23EEEC51" w14:textId="77777777" w:rsidTr="00627E31">
        <w:trPr>
          <w:trHeight w:val="50"/>
        </w:trPr>
        <w:tc>
          <w:tcPr>
            <w:tcW w:w="1191" w:type="dxa"/>
            <w:shd w:val="clear" w:color="auto" w:fill="auto"/>
            <w:noWrap/>
            <w:vAlign w:val="center"/>
            <w:hideMark/>
          </w:tcPr>
          <w:p w14:paraId="61F2D3AF"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1010</w:t>
            </w:r>
          </w:p>
        </w:tc>
        <w:tc>
          <w:tcPr>
            <w:tcW w:w="1224" w:type="dxa"/>
            <w:shd w:val="clear" w:color="auto" w:fill="auto"/>
            <w:noWrap/>
            <w:vAlign w:val="center"/>
            <w:hideMark/>
          </w:tcPr>
          <w:p w14:paraId="3BAFC3C8"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SI3000232</w:t>
            </w:r>
          </w:p>
        </w:tc>
        <w:tc>
          <w:tcPr>
            <w:tcW w:w="2333" w:type="dxa"/>
            <w:shd w:val="clear" w:color="auto" w:fill="auto"/>
            <w:noWrap/>
            <w:vAlign w:val="center"/>
            <w:hideMark/>
          </w:tcPr>
          <w:p w14:paraId="60F69603"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Notranjski trikotnik</w:t>
            </w:r>
          </w:p>
        </w:tc>
        <w:tc>
          <w:tcPr>
            <w:tcW w:w="1843" w:type="dxa"/>
            <w:shd w:val="clear" w:color="auto" w:fill="auto"/>
            <w:vAlign w:val="center"/>
            <w:hideMark/>
          </w:tcPr>
          <w:p w14:paraId="6EE5E06E"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močeril</w:t>
            </w:r>
          </w:p>
        </w:tc>
        <w:tc>
          <w:tcPr>
            <w:tcW w:w="1134" w:type="dxa"/>
            <w:shd w:val="clear" w:color="auto" w:fill="auto"/>
            <w:vAlign w:val="center"/>
            <w:hideMark/>
          </w:tcPr>
          <w:p w14:paraId="03DFD905"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obnoviti</w:t>
            </w:r>
          </w:p>
        </w:tc>
        <w:tc>
          <w:tcPr>
            <w:tcW w:w="1486" w:type="dxa"/>
            <w:shd w:val="clear" w:color="auto" w:fill="auto"/>
            <w:noWrap/>
            <w:vAlign w:val="center"/>
            <w:hideMark/>
          </w:tcPr>
          <w:p w14:paraId="3D954E70" w14:textId="77777777" w:rsidR="00B916AD" w:rsidRPr="00545EC0" w:rsidRDefault="00B916AD" w:rsidP="00627E31">
            <w:pPr>
              <w:overflowPunct/>
              <w:autoSpaceDE/>
              <w:autoSpaceDN/>
              <w:adjustRightInd/>
              <w:spacing w:line="240" w:lineRule="auto"/>
              <w:jc w:val="center"/>
              <w:textAlignment w:val="auto"/>
              <w:rPr>
                <w:rFonts w:cs="Arial"/>
                <w:bCs/>
                <w:sz w:val="18"/>
                <w:szCs w:val="18"/>
              </w:rPr>
            </w:pPr>
            <w:r w:rsidRPr="00545EC0">
              <w:rPr>
                <w:rFonts w:cs="Arial"/>
                <w:bCs/>
                <w:sz w:val="18"/>
                <w:szCs w:val="18"/>
              </w:rPr>
              <w:t>1</w:t>
            </w:r>
          </w:p>
        </w:tc>
      </w:tr>
      <w:tr w:rsidR="003122F4" w:rsidRPr="00545EC0" w14:paraId="65CFA847" w14:textId="77777777" w:rsidTr="00627E31">
        <w:trPr>
          <w:trHeight w:val="50"/>
        </w:trPr>
        <w:tc>
          <w:tcPr>
            <w:tcW w:w="1191" w:type="dxa"/>
            <w:shd w:val="clear" w:color="auto" w:fill="auto"/>
            <w:noWrap/>
            <w:vAlign w:val="center"/>
            <w:hideMark/>
          </w:tcPr>
          <w:p w14:paraId="52D4EDB1"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1011</w:t>
            </w:r>
          </w:p>
        </w:tc>
        <w:tc>
          <w:tcPr>
            <w:tcW w:w="1224" w:type="dxa"/>
            <w:shd w:val="clear" w:color="auto" w:fill="auto"/>
            <w:noWrap/>
            <w:vAlign w:val="center"/>
            <w:hideMark/>
          </w:tcPr>
          <w:p w14:paraId="4DAF7D2F"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SI3000187</w:t>
            </w:r>
          </w:p>
        </w:tc>
        <w:tc>
          <w:tcPr>
            <w:tcW w:w="2333" w:type="dxa"/>
            <w:shd w:val="clear" w:color="auto" w:fill="auto"/>
            <w:noWrap/>
            <w:vAlign w:val="center"/>
            <w:hideMark/>
          </w:tcPr>
          <w:p w14:paraId="606264C4"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Petanjska jama</w:t>
            </w:r>
          </w:p>
        </w:tc>
        <w:tc>
          <w:tcPr>
            <w:tcW w:w="1843" w:type="dxa"/>
            <w:shd w:val="clear" w:color="auto" w:fill="auto"/>
            <w:vAlign w:val="center"/>
            <w:hideMark/>
          </w:tcPr>
          <w:p w14:paraId="39C0943C"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močeril</w:t>
            </w:r>
          </w:p>
        </w:tc>
        <w:tc>
          <w:tcPr>
            <w:tcW w:w="1134" w:type="dxa"/>
            <w:shd w:val="clear" w:color="auto" w:fill="auto"/>
            <w:vAlign w:val="center"/>
            <w:hideMark/>
          </w:tcPr>
          <w:p w14:paraId="2C03A441"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ohraniti</w:t>
            </w:r>
          </w:p>
        </w:tc>
        <w:tc>
          <w:tcPr>
            <w:tcW w:w="1486" w:type="dxa"/>
            <w:shd w:val="clear" w:color="auto" w:fill="auto"/>
            <w:noWrap/>
            <w:vAlign w:val="center"/>
            <w:hideMark/>
          </w:tcPr>
          <w:p w14:paraId="22C11F04" w14:textId="77777777" w:rsidR="00B916AD" w:rsidRPr="00545EC0" w:rsidRDefault="00B916AD" w:rsidP="00627E31">
            <w:pPr>
              <w:overflowPunct/>
              <w:autoSpaceDE/>
              <w:autoSpaceDN/>
              <w:adjustRightInd/>
              <w:spacing w:line="240" w:lineRule="auto"/>
              <w:jc w:val="center"/>
              <w:textAlignment w:val="auto"/>
              <w:rPr>
                <w:rFonts w:cs="Arial"/>
                <w:bCs/>
                <w:sz w:val="18"/>
                <w:szCs w:val="18"/>
              </w:rPr>
            </w:pPr>
            <w:r w:rsidRPr="00545EC0">
              <w:rPr>
                <w:rFonts w:cs="Arial"/>
                <w:bCs/>
                <w:sz w:val="18"/>
                <w:szCs w:val="18"/>
              </w:rPr>
              <w:t>3</w:t>
            </w:r>
          </w:p>
        </w:tc>
      </w:tr>
      <w:tr w:rsidR="003122F4" w:rsidRPr="00545EC0" w14:paraId="4EF93F4A" w14:textId="77777777" w:rsidTr="00627E31">
        <w:trPr>
          <w:trHeight w:val="50"/>
        </w:trPr>
        <w:tc>
          <w:tcPr>
            <w:tcW w:w="1191" w:type="dxa"/>
            <w:shd w:val="clear" w:color="auto" w:fill="auto"/>
            <w:noWrap/>
            <w:vAlign w:val="center"/>
            <w:hideMark/>
          </w:tcPr>
          <w:p w14:paraId="0B05B336"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1011</w:t>
            </w:r>
          </w:p>
        </w:tc>
        <w:tc>
          <w:tcPr>
            <w:tcW w:w="1224" w:type="dxa"/>
            <w:shd w:val="clear" w:color="auto" w:fill="auto"/>
            <w:noWrap/>
            <w:vAlign w:val="center"/>
            <w:hideMark/>
          </w:tcPr>
          <w:p w14:paraId="74B8CD25"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SI3000207</w:t>
            </w:r>
          </w:p>
        </w:tc>
        <w:tc>
          <w:tcPr>
            <w:tcW w:w="2333" w:type="dxa"/>
            <w:shd w:val="clear" w:color="auto" w:fill="auto"/>
            <w:noWrap/>
            <w:vAlign w:val="center"/>
            <w:hideMark/>
          </w:tcPr>
          <w:p w14:paraId="70A2FCEC"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Podpeška jama</w:t>
            </w:r>
          </w:p>
        </w:tc>
        <w:tc>
          <w:tcPr>
            <w:tcW w:w="1843" w:type="dxa"/>
            <w:shd w:val="clear" w:color="auto" w:fill="auto"/>
            <w:vAlign w:val="center"/>
            <w:hideMark/>
          </w:tcPr>
          <w:p w14:paraId="37CDECEF"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močeril</w:t>
            </w:r>
          </w:p>
        </w:tc>
        <w:tc>
          <w:tcPr>
            <w:tcW w:w="1134" w:type="dxa"/>
            <w:shd w:val="clear" w:color="auto" w:fill="auto"/>
            <w:vAlign w:val="center"/>
            <w:hideMark/>
          </w:tcPr>
          <w:p w14:paraId="720768C2"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ohraniti</w:t>
            </w:r>
          </w:p>
        </w:tc>
        <w:tc>
          <w:tcPr>
            <w:tcW w:w="1486" w:type="dxa"/>
            <w:shd w:val="clear" w:color="auto" w:fill="auto"/>
            <w:noWrap/>
            <w:vAlign w:val="center"/>
            <w:hideMark/>
          </w:tcPr>
          <w:p w14:paraId="214AD5D0" w14:textId="77777777" w:rsidR="00B916AD" w:rsidRPr="00545EC0" w:rsidRDefault="00B916AD" w:rsidP="00627E31">
            <w:pPr>
              <w:overflowPunct/>
              <w:autoSpaceDE/>
              <w:autoSpaceDN/>
              <w:adjustRightInd/>
              <w:spacing w:line="240" w:lineRule="auto"/>
              <w:jc w:val="center"/>
              <w:textAlignment w:val="auto"/>
              <w:rPr>
                <w:rFonts w:cs="Arial"/>
                <w:bCs/>
                <w:sz w:val="18"/>
                <w:szCs w:val="18"/>
              </w:rPr>
            </w:pPr>
            <w:r w:rsidRPr="00545EC0">
              <w:rPr>
                <w:rFonts w:cs="Arial"/>
                <w:bCs/>
                <w:sz w:val="18"/>
                <w:szCs w:val="18"/>
              </w:rPr>
              <w:t>3</w:t>
            </w:r>
          </w:p>
        </w:tc>
      </w:tr>
      <w:tr w:rsidR="003122F4" w:rsidRPr="00545EC0" w14:paraId="6CAD80BC" w14:textId="77777777" w:rsidTr="00627E31">
        <w:trPr>
          <w:trHeight w:val="50"/>
        </w:trPr>
        <w:tc>
          <w:tcPr>
            <w:tcW w:w="1191" w:type="dxa"/>
            <w:shd w:val="clear" w:color="auto" w:fill="auto"/>
            <w:vAlign w:val="center"/>
            <w:hideMark/>
          </w:tcPr>
          <w:p w14:paraId="068513D3"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1001</w:t>
            </w:r>
            <w:r w:rsidRPr="00545EC0">
              <w:rPr>
                <w:rFonts w:cs="Arial"/>
                <w:sz w:val="18"/>
                <w:szCs w:val="18"/>
              </w:rPr>
              <w:br/>
              <w:t>1007</w:t>
            </w:r>
          </w:p>
        </w:tc>
        <w:tc>
          <w:tcPr>
            <w:tcW w:w="1224" w:type="dxa"/>
            <w:shd w:val="clear" w:color="auto" w:fill="auto"/>
            <w:noWrap/>
            <w:vAlign w:val="center"/>
            <w:hideMark/>
          </w:tcPr>
          <w:p w14:paraId="3A5629C5"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SI3000206</w:t>
            </w:r>
          </w:p>
        </w:tc>
        <w:tc>
          <w:tcPr>
            <w:tcW w:w="2333" w:type="dxa"/>
            <w:shd w:val="clear" w:color="auto" w:fill="auto"/>
            <w:noWrap/>
            <w:vAlign w:val="center"/>
            <w:hideMark/>
          </w:tcPr>
          <w:p w14:paraId="168D332D"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Lubnik</w:t>
            </w:r>
          </w:p>
        </w:tc>
        <w:tc>
          <w:tcPr>
            <w:tcW w:w="1843" w:type="dxa"/>
            <w:shd w:val="clear" w:color="auto" w:fill="auto"/>
            <w:vAlign w:val="center"/>
            <w:hideMark/>
          </w:tcPr>
          <w:p w14:paraId="41F0F933"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Jame, ki niso odprte za javnost</w:t>
            </w:r>
          </w:p>
        </w:tc>
        <w:tc>
          <w:tcPr>
            <w:tcW w:w="1134" w:type="dxa"/>
            <w:shd w:val="clear" w:color="auto" w:fill="auto"/>
            <w:vAlign w:val="center"/>
            <w:hideMark/>
          </w:tcPr>
          <w:p w14:paraId="5494E7AD"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ohraniti</w:t>
            </w:r>
          </w:p>
        </w:tc>
        <w:tc>
          <w:tcPr>
            <w:tcW w:w="1486" w:type="dxa"/>
            <w:shd w:val="clear" w:color="auto" w:fill="auto"/>
            <w:noWrap/>
            <w:vAlign w:val="center"/>
            <w:hideMark/>
          </w:tcPr>
          <w:p w14:paraId="6F88C2FE" w14:textId="77777777" w:rsidR="00B916AD" w:rsidRPr="00545EC0" w:rsidRDefault="00B916AD" w:rsidP="00627E31">
            <w:pPr>
              <w:overflowPunct/>
              <w:autoSpaceDE/>
              <w:autoSpaceDN/>
              <w:adjustRightInd/>
              <w:spacing w:line="240" w:lineRule="auto"/>
              <w:jc w:val="center"/>
              <w:textAlignment w:val="auto"/>
              <w:rPr>
                <w:rFonts w:cs="Arial"/>
                <w:bCs/>
                <w:sz w:val="18"/>
                <w:szCs w:val="18"/>
              </w:rPr>
            </w:pPr>
            <w:r w:rsidRPr="00545EC0">
              <w:rPr>
                <w:rFonts w:cs="Arial"/>
                <w:bCs/>
                <w:sz w:val="18"/>
                <w:szCs w:val="18"/>
              </w:rPr>
              <w:t>3</w:t>
            </w:r>
          </w:p>
        </w:tc>
      </w:tr>
      <w:tr w:rsidR="003122F4" w:rsidRPr="00545EC0" w14:paraId="05678684" w14:textId="77777777" w:rsidTr="00627E31">
        <w:trPr>
          <w:trHeight w:val="50"/>
        </w:trPr>
        <w:tc>
          <w:tcPr>
            <w:tcW w:w="1191" w:type="dxa"/>
            <w:shd w:val="clear" w:color="auto" w:fill="auto"/>
            <w:noWrap/>
            <w:vAlign w:val="center"/>
            <w:hideMark/>
          </w:tcPr>
          <w:p w14:paraId="7C9972D2"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1011</w:t>
            </w:r>
          </w:p>
        </w:tc>
        <w:tc>
          <w:tcPr>
            <w:tcW w:w="1224" w:type="dxa"/>
            <w:shd w:val="clear" w:color="auto" w:fill="auto"/>
            <w:noWrap/>
            <w:vAlign w:val="center"/>
            <w:hideMark/>
          </w:tcPr>
          <w:p w14:paraId="25D6CF63"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SI3000171</w:t>
            </w:r>
          </w:p>
        </w:tc>
        <w:tc>
          <w:tcPr>
            <w:tcW w:w="2333" w:type="dxa"/>
            <w:shd w:val="clear" w:color="auto" w:fill="auto"/>
            <w:noWrap/>
            <w:vAlign w:val="center"/>
            <w:hideMark/>
          </w:tcPr>
          <w:p w14:paraId="3CDECE6D"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Radensko polje - Viršnica</w:t>
            </w:r>
          </w:p>
        </w:tc>
        <w:tc>
          <w:tcPr>
            <w:tcW w:w="1843" w:type="dxa"/>
            <w:shd w:val="clear" w:color="auto" w:fill="auto"/>
            <w:vAlign w:val="center"/>
            <w:hideMark/>
          </w:tcPr>
          <w:p w14:paraId="4AA1EDAF"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močeril</w:t>
            </w:r>
          </w:p>
        </w:tc>
        <w:tc>
          <w:tcPr>
            <w:tcW w:w="1134" w:type="dxa"/>
            <w:shd w:val="clear" w:color="auto" w:fill="auto"/>
            <w:vAlign w:val="center"/>
            <w:hideMark/>
          </w:tcPr>
          <w:p w14:paraId="4128345B"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obnoviti</w:t>
            </w:r>
          </w:p>
        </w:tc>
        <w:tc>
          <w:tcPr>
            <w:tcW w:w="1486" w:type="dxa"/>
            <w:shd w:val="clear" w:color="auto" w:fill="auto"/>
            <w:noWrap/>
            <w:vAlign w:val="center"/>
            <w:hideMark/>
          </w:tcPr>
          <w:p w14:paraId="3E6D6279" w14:textId="77777777" w:rsidR="00B916AD" w:rsidRPr="00545EC0" w:rsidRDefault="00B916AD" w:rsidP="00627E31">
            <w:pPr>
              <w:overflowPunct/>
              <w:autoSpaceDE/>
              <w:autoSpaceDN/>
              <w:adjustRightInd/>
              <w:spacing w:line="240" w:lineRule="auto"/>
              <w:jc w:val="center"/>
              <w:textAlignment w:val="auto"/>
              <w:rPr>
                <w:rFonts w:cs="Arial"/>
                <w:bCs/>
                <w:sz w:val="18"/>
                <w:szCs w:val="18"/>
              </w:rPr>
            </w:pPr>
            <w:r w:rsidRPr="00545EC0">
              <w:rPr>
                <w:rFonts w:cs="Arial"/>
                <w:bCs/>
                <w:sz w:val="18"/>
                <w:szCs w:val="18"/>
              </w:rPr>
              <w:t>2</w:t>
            </w:r>
          </w:p>
        </w:tc>
      </w:tr>
      <w:tr w:rsidR="003122F4" w:rsidRPr="00545EC0" w14:paraId="6780153D" w14:textId="77777777" w:rsidTr="00627E31">
        <w:trPr>
          <w:trHeight w:val="50"/>
        </w:trPr>
        <w:tc>
          <w:tcPr>
            <w:tcW w:w="1191" w:type="dxa"/>
            <w:shd w:val="clear" w:color="auto" w:fill="auto"/>
            <w:noWrap/>
            <w:vAlign w:val="center"/>
            <w:hideMark/>
          </w:tcPr>
          <w:p w14:paraId="6CD86459"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1011</w:t>
            </w:r>
          </w:p>
        </w:tc>
        <w:tc>
          <w:tcPr>
            <w:tcW w:w="1224" w:type="dxa"/>
            <w:shd w:val="clear" w:color="auto" w:fill="auto"/>
            <w:noWrap/>
            <w:vAlign w:val="center"/>
            <w:hideMark/>
          </w:tcPr>
          <w:p w14:paraId="448E9F4C"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SI3000129</w:t>
            </w:r>
          </w:p>
        </w:tc>
        <w:tc>
          <w:tcPr>
            <w:tcW w:w="2333" w:type="dxa"/>
            <w:shd w:val="clear" w:color="auto" w:fill="auto"/>
            <w:noWrap/>
            <w:vAlign w:val="center"/>
            <w:hideMark/>
          </w:tcPr>
          <w:p w14:paraId="2E81EEEB"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Rinža</w:t>
            </w:r>
          </w:p>
        </w:tc>
        <w:tc>
          <w:tcPr>
            <w:tcW w:w="1843" w:type="dxa"/>
            <w:shd w:val="clear" w:color="auto" w:fill="auto"/>
            <w:vAlign w:val="center"/>
            <w:hideMark/>
          </w:tcPr>
          <w:p w14:paraId="49B76BB6"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močeril</w:t>
            </w:r>
          </w:p>
        </w:tc>
        <w:tc>
          <w:tcPr>
            <w:tcW w:w="1134" w:type="dxa"/>
            <w:shd w:val="clear" w:color="auto" w:fill="auto"/>
            <w:vAlign w:val="center"/>
            <w:hideMark/>
          </w:tcPr>
          <w:p w14:paraId="1CAC03C1"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ohraniti</w:t>
            </w:r>
          </w:p>
        </w:tc>
        <w:tc>
          <w:tcPr>
            <w:tcW w:w="1486" w:type="dxa"/>
            <w:shd w:val="clear" w:color="auto" w:fill="auto"/>
            <w:noWrap/>
            <w:vAlign w:val="center"/>
            <w:hideMark/>
          </w:tcPr>
          <w:p w14:paraId="0E18C667" w14:textId="77777777" w:rsidR="00B916AD" w:rsidRPr="00545EC0" w:rsidRDefault="00B916AD" w:rsidP="00627E31">
            <w:pPr>
              <w:overflowPunct/>
              <w:autoSpaceDE/>
              <w:autoSpaceDN/>
              <w:adjustRightInd/>
              <w:spacing w:line="240" w:lineRule="auto"/>
              <w:jc w:val="center"/>
              <w:textAlignment w:val="auto"/>
              <w:rPr>
                <w:rFonts w:cs="Arial"/>
                <w:bCs/>
                <w:sz w:val="18"/>
                <w:szCs w:val="18"/>
              </w:rPr>
            </w:pPr>
            <w:r w:rsidRPr="00545EC0">
              <w:rPr>
                <w:rFonts w:cs="Arial"/>
                <w:bCs/>
                <w:sz w:val="18"/>
                <w:szCs w:val="18"/>
              </w:rPr>
              <w:t>3</w:t>
            </w:r>
          </w:p>
        </w:tc>
      </w:tr>
      <w:tr w:rsidR="003122F4" w:rsidRPr="00545EC0" w14:paraId="337FACB8" w14:textId="77777777" w:rsidTr="00627E31">
        <w:trPr>
          <w:trHeight w:val="50"/>
        </w:trPr>
        <w:tc>
          <w:tcPr>
            <w:tcW w:w="1191" w:type="dxa"/>
            <w:shd w:val="clear" w:color="auto" w:fill="auto"/>
            <w:noWrap/>
            <w:vAlign w:val="center"/>
            <w:hideMark/>
          </w:tcPr>
          <w:p w14:paraId="35A9DF56"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1010</w:t>
            </w:r>
          </w:p>
        </w:tc>
        <w:tc>
          <w:tcPr>
            <w:tcW w:w="1224" w:type="dxa"/>
            <w:shd w:val="clear" w:color="auto" w:fill="auto"/>
            <w:noWrap/>
            <w:vAlign w:val="center"/>
            <w:hideMark/>
          </w:tcPr>
          <w:p w14:paraId="50E9A3D5"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SI3000232</w:t>
            </w:r>
          </w:p>
        </w:tc>
        <w:tc>
          <w:tcPr>
            <w:tcW w:w="2333" w:type="dxa"/>
            <w:shd w:val="clear" w:color="auto" w:fill="auto"/>
            <w:noWrap/>
            <w:vAlign w:val="center"/>
            <w:hideMark/>
          </w:tcPr>
          <w:p w14:paraId="2E3F080F"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Notranjski trikotnik</w:t>
            </w:r>
          </w:p>
        </w:tc>
        <w:tc>
          <w:tcPr>
            <w:tcW w:w="1843" w:type="dxa"/>
            <w:shd w:val="clear" w:color="auto" w:fill="auto"/>
            <w:vAlign w:val="center"/>
            <w:hideMark/>
          </w:tcPr>
          <w:p w14:paraId="4324ED95"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Jame, ki niso odprte za javnost</w:t>
            </w:r>
          </w:p>
        </w:tc>
        <w:tc>
          <w:tcPr>
            <w:tcW w:w="1134" w:type="dxa"/>
            <w:shd w:val="clear" w:color="auto" w:fill="auto"/>
            <w:vAlign w:val="center"/>
            <w:hideMark/>
          </w:tcPr>
          <w:p w14:paraId="7ABB4790"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ohraniti</w:t>
            </w:r>
          </w:p>
        </w:tc>
        <w:tc>
          <w:tcPr>
            <w:tcW w:w="1486" w:type="dxa"/>
            <w:shd w:val="clear" w:color="auto" w:fill="auto"/>
            <w:noWrap/>
            <w:vAlign w:val="center"/>
            <w:hideMark/>
          </w:tcPr>
          <w:p w14:paraId="7DB568BA" w14:textId="77777777" w:rsidR="00B916AD" w:rsidRPr="00545EC0" w:rsidRDefault="00B916AD" w:rsidP="00627E31">
            <w:pPr>
              <w:overflowPunct/>
              <w:autoSpaceDE/>
              <w:autoSpaceDN/>
              <w:adjustRightInd/>
              <w:spacing w:line="240" w:lineRule="auto"/>
              <w:jc w:val="center"/>
              <w:textAlignment w:val="auto"/>
              <w:rPr>
                <w:rFonts w:cs="Arial"/>
                <w:bCs/>
                <w:sz w:val="18"/>
                <w:szCs w:val="18"/>
              </w:rPr>
            </w:pPr>
            <w:r w:rsidRPr="00545EC0">
              <w:rPr>
                <w:rFonts w:cs="Arial"/>
                <w:bCs/>
                <w:sz w:val="18"/>
                <w:szCs w:val="18"/>
              </w:rPr>
              <w:t>3</w:t>
            </w:r>
          </w:p>
        </w:tc>
      </w:tr>
      <w:tr w:rsidR="003122F4" w:rsidRPr="00545EC0" w14:paraId="71A86B19" w14:textId="77777777" w:rsidTr="00627E31">
        <w:trPr>
          <w:trHeight w:val="50"/>
        </w:trPr>
        <w:tc>
          <w:tcPr>
            <w:tcW w:w="1191" w:type="dxa"/>
            <w:shd w:val="clear" w:color="auto" w:fill="auto"/>
            <w:noWrap/>
            <w:vAlign w:val="center"/>
            <w:hideMark/>
          </w:tcPr>
          <w:p w14:paraId="7CD0A1FC"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1011</w:t>
            </w:r>
          </w:p>
        </w:tc>
        <w:tc>
          <w:tcPr>
            <w:tcW w:w="1224" w:type="dxa"/>
            <w:shd w:val="clear" w:color="auto" w:fill="auto"/>
            <w:noWrap/>
            <w:vAlign w:val="center"/>
            <w:hideMark/>
          </w:tcPr>
          <w:p w14:paraId="6AE349BD"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SI3000055</w:t>
            </w:r>
          </w:p>
        </w:tc>
        <w:tc>
          <w:tcPr>
            <w:tcW w:w="2333" w:type="dxa"/>
            <w:shd w:val="clear" w:color="auto" w:fill="auto"/>
            <w:noWrap/>
            <w:vAlign w:val="center"/>
            <w:hideMark/>
          </w:tcPr>
          <w:p w14:paraId="2C90C7FB"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Stobe - Breg</w:t>
            </w:r>
          </w:p>
        </w:tc>
        <w:tc>
          <w:tcPr>
            <w:tcW w:w="1843" w:type="dxa"/>
            <w:shd w:val="clear" w:color="auto" w:fill="auto"/>
            <w:vAlign w:val="center"/>
            <w:hideMark/>
          </w:tcPr>
          <w:p w14:paraId="4954A673"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močeril</w:t>
            </w:r>
          </w:p>
        </w:tc>
        <w:tc>
          <w:tcPr>
            <w:tcW w:w="1134" w:type="dxa"/>
            <w:shd w:val="clear" w:color="auto" w:fill="auto"/>
            <w:vAlign w:val="center"/>
            <w:hideMark/>
          </w:tcPr>
          <w:p w14:paraId="4F826171"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obnoviti</w:t>
            </w:r>
          </w:p>
        </w:tc>
        <w:tc>
          <w:tcPr>
            <w:tcW w:w="1486" w:type="dxa"/>
            <w:shd w:val="clear" w:color="auto" w:fill="auto"/>
            <w:noWrap/>
            <w:vAlign w:val="center"/>
            <w:hideMark/>
          </w:tcPr>
          <w:p w14:paraId="57E119D2" w14:textId="77777777" w:rsidR="00B916AD" w:rsidRPr="00545EC0" w:rsidRDefault="00B916AD" w:rsidP="00627E31">
            <w:pPr>
              <w:overflowPunct/>
              <w:autoSpaceDE/>
              <w:autoSpaceDN/>
              <w:adjustRightInd/>
              <w:spacing w:line="240" w:lineRule="auto"/>
              <w:jc w:val="center"/>
              <w:textAlignment w:val="auto"/>
              <w:rPr>
                <w:rFonts w:cs="Arial"/>
                <w:bCs/>
                <w:sz w:val="18"/>
                <w:szCs w:val="18"/>
              </w:rPr>
            </w:pPr>
            <w:r w:rsidRPr="00545EC0">
              <w:rPr>
                <w:rFonts w:cs="Arial"/>
                <w:bCs/>
                <w:sz w:val="18"/>
                <w:szCs w:val="18"/>
              </w:rPr>
              <w:t>2</w:t>
            </w:r>
          </w:p>
        </w:tc>
      </w:tr>
      <w:tr w:rsidR="003122F4" w:rsidRPr="00545EC0" w14:paraId="5FC0CB9E" w14:textId="77777777" w:rsidTr="00627E31">
        <w:trPr>
          <w:trHeight w:val="50"/>
        </w:trPr>
        <w:tc>
          <w:tcPr>
            <w:tcW w:w="1191" w:type="dxa"/>
            <w:shd w:val="clear" w:color="auto" w:fill="auto"/>
            <w:vAlign w:val="center"/>
            <w:hideMark/>
          </w:tcPr>
          <w:p w14:paraId="5263CF10"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1010</w:t>
            </w:r>
            <w:r w:rsidRPr="00545EC0">
              <w:rPr>
                <w:rFonts w:cs="Arial"/>
                <w:sz w:val="18"/>
                <w:szCs w:val="18"/>
              </w:rPr>
              <w:br/>
              <w:t>1011</w:t>
            </w:r>
          </w:p>
        </w:tc>
        <w:tc>
          <w:tcPr>
            <w:tcW w:w="1224" w:type="dxa"/>
            <w:shd w:val="clear" w:color="auto" w:fill="auto"/>
            <w:noWrap/>
            <w:vAlign w:val="center"/>
            <w:hideMark/>
          </w:tcPr>
          <w:p w14:paraId="5A0B81DC"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SI3000263</w:t>
            </w:r>
          </w:p>
        </w:tc>
        <w:tc>
          <w:tcPr>
            <w:tcW w:w="2333" w:type="dxa"/>
            <w:shd w:val="clear" w:color="auto" w:fill="auto"/>
            <w:noWrap/>
            <w:vAlign w:val="center"/>
            <w:hideMark/>
          </w:tcPr>
          <w:p w14:paraId="0681C817"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Kočevsko</w:t>
            </w:r>
          </w:p>
        </w:tc>
        <w:tc>
          <w:tcPr>
            <w:tcW w:w="1843" w:type="dxa"/>
            <w:shd w:val="clear" w:color="auto" w:fill="auto"/>
            <w:vAlign w:val="center"/>
            <w:hideMark/>
          </w:tcPr>
          <w:p w14:paraId="3BE5D4CD"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Lehnjakotvorni izviri (Cratoneurion)</w:t>
            </w:r>
          </w:p>
        </w:tc>
        <w:tc>
          <w:tcPr>
            <w:tcW w:w="1134" w:type="dxa"/>
            <w:shd w:val="clear" w:color="auto" w:fill="auto"/>
            <w:vAlign w:val="center"/>
            <w:hideMark/>
          </w:tcPr>
          <w:p w14:paraId="7B218A05"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ohraniti</w:t>
            </w:r>
          </w:p>
        </w:tc>
        <w:tc>
          <w:tcPr>
            <w:tcW w:w="1486" w:type="dxa"/>
            <w:shd w:val="clear" w:color="auto" w:fill="auto"/>
            <w:noWrap/>
            <w:vAlign w:val="center"/>
            <w:hideMark/>
          </w:tcPr>
          <w:p w14:paraId="50B8E1F1" w14:textId="77777777" w:rsidR="00B916AD" w:rsidRPr="00545EC0" w:rsidRDefault="00B916AD" w:rsidP="00627E31">
            <w:pPr>
              <w:overflowPunct/>
              <w:autoSpaceDE/>
              <w:autoSpaceDN/>
              <w:adjustRightInd/>
              <w:spacing w:line="240" w:lineRule="auto"/>
              <w:jc w:val="center"/>
              <w:textAlignment w:val="auto"/>
              <w:rPr>
                <w:rFonts w:cs="Arial"/>
                <w:bCs/>
                <w:sz w:val="18"/>
                <w:szCs w:val="18"/>
              </w:rPr>
            </w:pPr>
            <w:r w:rsidRPr="00545EC0">
              <w:rPr>
                <w:rFonts w:cs="Arial"/>
                <w:bCs/>
                <w:sz w:val="18"/>
                <w:szCs w:val="18"/>
              </w:rPr>
              <w:t>3</w:t>
            </w:r>
          </w:p>
        </w:tc>
      </w:tr>
      <w:tr w:rsidR="003122F4" w:rsidRPr="00545EC0" w14:paraId="72DB8CD0" w14:textId="77777777" w:rsidTr="00627E31">
        <w:trPr>
          <w:trHeight w:val="50"/>
        </w:trPr>
        <w:tc>
          <w:tcPr>
            <w:tcW w:w="1191" w:type="dxa"/>
            <w:shd w:val="clear" w:color="auto" w:fill="auto"/>
            <w:noWrap/>
            <w:vAlign w:val="center"/>
            <w:hideMark/>
          </w:tcPr>
          <w:p w14:paraId="5D303D7E"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1005</w:t>
            </w:r>
          </w:p>
        </w:tc>
        <w:tc>
          <w:tcPr>
            <w:tcW w:w="1224" w:type="dxa"/>
            <w:shd w:val="clear" w:color="auto" w:fill="auto"/>
            <w:noWrap/>
            <w:vAlign w:val="center"/>
            <w:hideMark/>
          </w:tcPr>
          <w:p w14:paraId="1EB4006A"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SI3000285</w:t>
            </w:r>
          </w:p>
        </w:tc>
        <w:tc>
          <w:tcPr>
            <w:tcW w:w="2333" w:type="dxa"/>
            <w:shd w:val="clear" w:color="auto" w:fill="auto"/>
            <w:noWrap/>
            <w:vAlign w:val="center"/>
            <w:hideMark/>
          </w:tcPr>
          <w:p w14:paraId="7A80B3BA"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Karavanke</w:t>
            </w:r>
          </w:p>
        </w:tc>
        <w:tc>
          <w:tcPr>
            <w:tcW w:w="1843" w:type="dxa"/>
            <w:shd w:val="clear" w:color="auto" w:fill="auto"/>
            <w:vAlign w:val="center"/>
            <w:hideMark/>
          </w:tcPr>
          <w:p w14:paraId="367BE2E1"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Lehnjakotvorni izviri (Cratoneurion)</w:t>
            </w:r>
          </w:p>
        </w:tc>
        <w:tc>
          <w:tcPr>
            <w:tcW w:w="1134" w:type="dxa"/>
            <w:shd w:val="clear" w:color="auto" w:fill="auto"/>
            <w:vAlign w:val="center"/>
            <w:hideMark/>
          </w:tcPr>
          <w:p w14:paraId="49BB9267"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ohraniti</w:t>
            </w:r>
          </w:p>
        </w:tc>
        <w:tc>
          <w:tcPr>
            <w:tcW w:w="1486" w:type="dxa"/>
            <w:shd w:val="clear" w:color="auto" w:fill="auto"/>
            <w:noWrap/>
            <w:vAlign w:val="center"/>
            <w:hideMark/>
          </w:tcPr>
          <w:p w14:paraId="3BEC49E4" w14:textId="77777777" w:rsidR="00B916AD" w:rsidRPr="00545EC0" w:rsidRDefault="00B916AD" w:rsidP="00627E31">
            <w:pPr>
              <w:overflowPunct/>
              <w:autoSpaceDE/>
              <w:autoSpaceDN/>
              <w:adjustRightInd/>
              <w:spacing w:line="240" w:lineRule="auto"/>
              <w:jc w:val="center"/>
              <w:textAlignment w:val="auto"/>
              <w:rPr>
                <w:rFonts w:cs="Arial"/>
                <w:bCs/>
                <w:sz w:val="18"/>
                <w:szCs w:val="18"/>
              </w:rPr>
            </w:pPr>
            <w:r w:rsidRPr="00545EC0">
              <w:rPr>
                <w:rFonts w:cs="Arial"/>
                <w:bCs/>
                <w:sz w:val="18"/>
                <w:szCs w:val="18"/>
              </w:rPr>
              <w:t>3</w:t>
            </w:r>
          </w:p>
        </w:tc>
      </w:tr>
      <w:tr w:rsidR="003122F4" w:rsidRPr="00545EC0" w14:paraId="3F5B9762" w14:textId="77777777" w:rsidTr="00627E31">
        <w:trPr>
          <w:trHeight w:val="50"/>
        </w:trPr>
        <w:tc>
          <w:tcPr>
            <w:tcW w:w="1191" w:type="dxa"/>
            <w:shd w:val="clear" w:color="auto" w:fill="auto"/>
            <w:noWrap/>
            <w:vAlign w:val="center"/>
            <w:hideMark/>
          </w:tcPr>
          <w:p w14:paraId="3DF9428B"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1011</w:t>
            </w:r>
          </w:p>
        </w:tc>
        <w:tc>
          <w:tcPr>
            <w:tcW w:w="1224" w:type="dxa"/>
            <w:shd w:val="clear" w:color="auto" w:fill="auto"/>
            <w:noWrap/>
            <w:vAlign w:val="center"/>
            <w:hideMark/>
          </w:tcPr>
          <w:p w14:paraId="1E7AAC89"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SI3000202</w:t>
            </w:r>
          </w:p>
        </w:tc>
        <w:tc>
          <w:tcPr>
            <w:tcW w:w="2333" w:type="dxa"/>
            <w:shd w:val="clear" w:color="auto" w:fill="auto"/>
            <w:noWrap/>
            <w:vAlign w:val="center"/>
            <w:hideMark/>
          </w:tcPr>
          <w:p w14:paraId="6339B5AC"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Vir pri Stični</w:t>
            </w:r>
          </w:p>
        </w:tc>
        <w:tc>
          <w:tcPr>
            <w:tcW w:w="1843" w:type="dxa"/>
            <w:shd w:val="clear" w:color="auto" w:fill="auto"/>
            <w:vAlign w:val="center"/>
            <w:hideMark/>
          </w:tcPr>
          <w:p w14:paraId="37FB6046"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močeril</w:t>
            </w:r>
          </w:p>
        </w:tc>
        <w:tc>
          <w:tcPr>
            <w:tcW w:w="1134" w:type="dxa"/>
            <w:shd w:val="clear" w:color="auto" w:fill="auto"/>
            <w:vAlign w:val="center"/>
            <w:hideMark/>
          </w:tcPr>
          <w:p w14:paraId="41A940A3"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obnoviti</w:t>
            </w:r>
          </w:p>
        </w:tc>
        <w:tc>
          <w:tcPr>
            <w:tcW w:w="1486" w:type="dxa"/>
            <w:shd w:val="clear" w:color="auto" w:fill="auto"/>
            <w:noWrap/>
            <w:vAlign w:val="center"/>
            <w:hideMark/>
          </w:tcPr>
          <w:p w14:paraId="15217393" w14:textId="77777777" w:rsidR="00B916AD" w:rsidRPr="00545EC0" w:rsidRDefault="00B916AD" w:rsidP="00627E31">
            <w:pPr>
              <w:overflowPunct/>
              <w:autoSpaceDE/>
              <w:autoSpaceDN/>
              <w:adjustRightInd/>
              <w:spacing w:line="240" w:lineRule="auto"/>
              <w:jc w:val="center"/>
              <w:textAlignment w:val="auto"/>
              <w:rPr>
                <w:rFonts w:cs="Arial"/>
                <w:bCs/>
                <w:sz w:val="18"/>
                <w:szCs w:val="18"/>
              </w:rPr>
            </w:pPr>
            <w:r w:rsidRPr="00545EC0">
              <w:rPr>
                <w:rFonts w:cs="Arial"/>
                <w:bCs/>
                <w:sz w:val="18"/>
                <w:szCs w:val="18"/>
              </w:rPr>
              <w:t>1</w:t>
            </w:r>
          </w:p>
        </w:tc>
      </w:tr>
      <w:tr w:rsidR="003122F4" w:rsidRPr="00545EC0" w14:paraId="328BEAFB" w14:textId="77777777" w:rsidTr="00627E31">
        <w:trPr>
          <w:trHeight w:val="50"/>
        </w:trPr>
        <w:tc>
          <w:tcPr>
            <w:tcW w:w="1191" w:type="dxa"/>
            <w:shd w:val="clear" w:color="auto" w:fill="auto"/>
            <w:noWrap/>
            <w:vAlign w:val="center"/>
            <w:hideMark/>
          </w:tcPr>
          <w:p w14:paraId="10605A28"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1011</w:t>
            </w:r>
          </w:p>
        </w:tc>
        <w:tc>
          <w:tcPr>
            <w:tcW w:w="1224" w:type="dxa"/>
            <w:shd w:val="clear" w:color="auto" w:fill="auto"/>
            <w:noWrap/>
            <w:vAlign w:val="center"/>
            <w:hideMark/>
          </w:tcPr>
          <w:p w14:paraId="5B6F7730"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SI3000062</w:t>
            </w:r>
          </w:p>
        </w:tc>
        <w:tc>
          <w:tcPr>
            <w:tcW w:w="2333" w:type="dxa"/>
            <w:shd w:val="clear" w:color="auto" w:fill="auto"/>
            <w:noWrap/>
            <w:vAlign w:val="center"/>
            <w:hideMark/>
          </w:tcPr>
          <w:p w14:paraId="5E3C514A"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Gradac</w:t>
            </w:r>
          </w:p>
        </w:tc>
        <w:tc>
          <w:tcPr>
            <w:tcW w:w="1843" w:type="dxa"/>
            <w:shd w:val="clear" w:color="auto" w:fill="auto"/>
            <w:vAlign w:val="center"/>
            <w:hideMark/>
          </w:tcPr>
          <w:p w14:paraId="4B077074"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Kuščerjeva kongerija</w:t>
            </w:r>
          </w:p>
        </w:tc>
        <w:tc>
          <w:tcPr>
            <w:tcW w:w="1134" w:type="dxa"/>
            <w:shd w:val="clear" w:color="auto" w:fill="auto"/>
            <w:noWrap/>
            <w:vAlign w:val="center"/>
            <w:hideMark/>
          </w:tcPr>
          <w:p w14:paraId="7771F38B"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ohraniti</w:t>
            </w:r>
          </w:p>
        </w:tc>
        <w:tc>
          <w:tcPr>
            <w:tcW w:w="1486" w:type="dxa"/>
            <w:shd w:val="clear" w:color="auto" w:fill="auto"/>
            <w:noWrap/>
            <w:vAlign w:val="center"/>
            <w:hideMark/>
          </w:tcPr>
          <w:p w14:paraId="699920CB" w14:textId="77777777" w:rsidR="00B916AD" w:rsidRPr="00545EC0" w:rsidRDefault="00B916AD" w:rsidP="00627E31">
            <w:pPr>
              <w:overflowPunct/>
              <w:autoSpaceDE/>
              <w:autoSpaceDN/>
              <w:adjustRightInd/>
              <w:spacing w:line="240" w:lineRule="auto"/>
              <w:jc w:val="center"/>
              <w:textAlignment w:val="auto"/>
              <w:rPr>
                <w:rFonts w:cs="Arial"/>
                <w:bCs/>
                <w:sz w:val="18"/>
                <w:szCs w:val="18"/>
              </w:rPr>
            </w:pPr>
            <w:r w:rsidRPr="00545EC0">
              <w:rPr>
                <w:rFonts w:cs="Arial"/>
                <w:bCs/>
                <w:sz w:val="18"/>
                <w:szCs w:val="18"/>
              </w:rPr>
              <w:t>3</w:t>
            </w:r>
          </w:p>
        </w:tc>
      </w:tr>
      <w:tr w:rsidR="003122F4" w:rsidRPr="00545EC0" w14:paraId="17035935" w14:textId="77777777" w:rsidTr="00627E31">
        <w:trPr>
          <w:trHeight w:val="645"/>
        </w:trPr>
        <w:tc>
          <w:tcPr>
            <w:tcW w:w="1191" w:type="dxa"/>
            <w:shd w:val="clear" w:color="auto" w:fill="auto"/>
            <w:vAlign w:val="center"/>
            <w:hideMark/>
          </w:tcPr>
          <w:p w14:paraId="0AE355C7"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1003</w:t>
            </w:r>
            <w:r w:rsidRPr="00545EC0">
              <w:rPr>
                <w:rFonts w:cs="Arial"/>
                <w:sz w:val="18"/>
                <w:szCs w:val="18"/>
              </w:rPr>
              <w:br/>
              <w:t>1011</w:t>
            </w:r>
          </w:p>
        </w:tc>
        <w:tc>
          <w:tcPr>
            <w:tcW w:w="1224" w:type="dxa"/>
            <w:shd w:val="clear" w:color="auto" w:fill="auto"/>
            <w:noWrap/>
            <w:vAlign w:val="center"/>
            <w:hideMark/>
          </w:tcPr>
          <w:p w14:paraId="4E5E7621"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SI3000051</w:t>
            </w:r>
          </w:p>
        </w:tc>
        <w:tc>
          <w:tcPr>
            <w:tcW w:w="2333" w:type="dxa"/>
            <w:shd w:val="clear" w:color="auto" w:fill="auto"/>
            <w:noWrap/>
            <w:vAlign w:val="center"/>
            <w:hideMark/>
          </w:tcPr>
          <w:p w14:paraId="18E6AABB"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Krakovski gozd</w:t>
            </w:r>
          </w:p>
        </w:tc>
        <w:tc>
          <w:tcPr>
            <w:tcW w:w="1843" w:type="dxa"/>
            <w:shd w:val="clear" w:color="auto" w:fill="auto"/>
            <w:vAlign w:val="center"/>
            <w:hideMark/>
          </w:tcPr>
          <w:p w14:paraId="64307A22"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Obrečni hrastovo-jesenovo-brestovi gozdovi</w:t>
            </w:r>
          </w:p>
        </w:tc>
        <w:tc>
          <w:tcPr>
            <w:tcW w:w="1134" w:type="dxa"/>
            <w:shd w:val="clear" w:color="auto" w:fill="auto"/>
            <w:vAlign w:val="center"/>
            <w:hideMark/>
          </w:tcPr>
          <w:p w14:paraId="32CA5F04"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obnoviti</w:t>
            </w:r>
          </w:p>
        </w:tc>
        <w:tc>
          <w:tcPr>
            <w:tcW w:w="1486" w:type="dxa"/>
            <w:shd w:val="clear" w:color="auto" w:fill="auto"/>
            <w:noWrap/>
            <w:vAlign w:val="center"/>
            <w:hideMark/>
          </w:tcPr>
          <w:p w14:paraId="18ABEF2D" w14:textId="77777777" w:rsidR="00B916AD" w:rsidRPr="00545EC0" w:rsidRDefault="00B916AD" w:rsidP="00627E31">
            <w:pPr>
              <w:overflowPunct/>
              <w:autoSpaceDE/>
              <w:autoSpaceDN/>
              <w:adjustRightInd/>
              <w:spacing w:line="240" w:lineRule="auto"/>
              <w:jc w:val="center"/>
              <w:textAlignment w:val="auto"/>
              <w:rPr>
                <w:rFonts w:cs="Arial"/>
                <w:bCs/>
                <w:sz w:val="18"/>
                <w:szCs w:val="18"/>
              </w:rPr>
            </w:pPr>
            <w:r w:rsidRPr="00545EC0">
              <w:rPr>
                <w:rFonts w:cs="Arial"/>
                <w:bCs/>
                <w:sz w:val="18"/>
                <w:szCs w:val="18"/>
              </w:rPr>
              <w:t>1</w:t>
            </w:r>
          </w:p>
        </w:tc>
      </w:tr>
      <w:tr w:rsidR="003122F4" w:rsidRPr="00545EC0" w14:paraId="588DA89C" w14:textId="77777777" w:rsidTr="00627E31">
        <w:trPr>
          <w:trHeight w:val="645"/>
        </w:trPr>
        <w:tc>
          <w:tcPr>
            <w:tcW w:w="1191" w:type="dxa"/>
            <w:shd w:val="clear" w:color="auto" w:fill="auto"/>
            <w:vAlign w:val="center"/>
            <w:hideMark/>
          </w:tcPr>
          <w:p w14:paraId="7472DFCD"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3012</w:t>
            </w:r>
            <w:r w:rsidRPr="00545EC0">
              <w:rPr>
                <w:rFonts w:cs="Arial"/>
                <w:sz w:val="18"/>
                <w:szCs w:val="18"/>
              </w:rPr>
              <w:br/>
              <w:t>3015</w:t>
            </w:r>
          </w:p>
        </w:tc>
        <w:tc>
          <w:tcPr>
            <w:tcW w:w="1224" w:type="dxa"/>
            <w:shd w:val="clear" w:color="auto" w:fill="auto"/>
            <w:noWrap/>
            <w:vAlign w:val="center"/>
            <w:hideMark/>
          </w:tcPr>
          <w:p w14:paraId="7600A2F2"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SI3000147</w:t>
            </w:r>
          </w:p>
        </w:tc>
        <w:tc>
          <w:tcPr>
            <w:tcW w:w="2333" w:type="dxa"/>
            <w:shd w:val="clear" w:color="auto" w:fill="auto"/>
            <w:noWrap/>
            <w:vAlign w:val="center"/>
            <w:hideMark/>
          </w:tcPr>
          <w:p w14:paraId="11781846"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Boreci</w:t>
            </w:r>
          </w:p>
        </w:tc>
        <w:tc>
          <w:tcPr>
            <w:tcW w:w="1843" w:type="dxa"/>
            <w:shd w:val="clear" w:color="auto" w:fill="auto"/>
            <w:vAlign w:val="center"/>
            <w:hideMark/>
          </w:tcPr>
          <w:p w14:paraId="474800BC"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Obrečni hrastovo-jesenovo-brestovi gozdovi</w:t>
            </w:r>
          </w:p>
        </w:tc>
        <w:tc>
          <w:tcPr>
            <w:tcW w:w="1134" w:type="dxa"/>
            <w:shd w:val="clear" w:color="auto" w:fill="auto"/>
            <w:vAlign w:val="center"/>
            <w:hideMark/>
          </w:tcPr>
          <w:p w14:paraId="3050F4D4"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obnoviti</w:t>
            </w:r>
          </w:p>
        </w:tc>
        <w:tc>
          <w:tcPr>
            <w:tcW w:w="1486" w:type="dxa"/>
            <w:shd w:val="clear" w:color="auto" w:fill="auto"/>
            <w:noWrap/>
            <w:vAlign w:val="center"/>
            <w:hideMark/>
          </w:tcPr>
          <w:p w14:paraId="2CCD3C43" w14:textId="77777777" w:rsidR="00B916AD" w:rsidRPr="00545EC0" w:rsidRDefault="00B916AD" w:rsidP="00627E31">
            <w:pPr>
              <w:overflowPunct/>
              <w:autoSpaceDE/>
              <w:autoSpaceDN/>
              <w:adjustRightInd/>
              <w:spacing w:line="240" w:lineRule="auto"/>
              <w:jc w:val="center"/>
              <w:textAlignment w:val="auto"/>
              <w:rPr>
                <w:rFonts w:cs="Arial"/>
                <w:bCs/>
                <w:sz w:val="18"/>
                <w:szCs w:val="18"/>
              </w:rPr>
            </w:pPr>
            <w:r w:rsidRPr="00545EC0">
              <w:rPr>
                <w:rFonts w:cs="Arial"/>
                <w:bCs/>
                <w:sz w:val="18"/>
                <w:szCs w:val="18"/>
              </w:rPr>
              <w:t>2</w:t>
            </w:r>
          </w:p>
        </w:tc>
      </w:tr>
      <w:tr w:rsidR="003122F4" w:rsidRPr="00545EC0" w14:paraId="6124B7C6" w14:textId="77777777" w:rsidTr="00627E31">
        <w:trPr>
          <w:trHeight w:val="645"/>
        </w:trPr>
        <w:tc>
          <w:tcPr>
            <w:tcW w:w="1191" w:type="dxa"/>
            <w:shd w:val="clear" w:color="auto" w:fill="auto"/>
            <w:vAlign w:val="center"/>
            <w:hideMark/>
          </w:tcPr>
          <w:p w14:paraId="4EB01009"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3012</w:t>
            </w:r>
            <w:r w:rsidRPr="00545EC0">
              <w:rPr>
                <w:rFonts w:cs="Arial"/>
                <w:sz w:val="18"/>
                <w:szCs w:val="18"/>
              </w:rPr>
              <w:br/>
              <w:t>3015</w:t>
            </w:r>
          </w:p>
        </w:tc>
        <w:tc>
          <w:tcPr>
            <w:tcW w:w="1224" w:type="dxa"/>
            <w:shd w:val="clear" w:color="auto" w:fill="auto"/>
            <w:noWrap/>
            <w:vAlign w:val="center"/>
            <w:hideMark/>
          </w:tcPr>
          <w:p w14:paraId="5363F805"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SI3000149</w:t>
            </w:r>
          </w:p>
        </w:tc>
        <w:tc>
          <w:tcPr>
            <w:tcW w:w="2333" w:type="dxa"/>
            <w:shd w:val="clear" w:color="auto" w:fill="auto"/>
            <w:noWrap/>
            <w:vAlign w:val="center"/>
            <w:hideMark/>
          </w:tcPr>
          <w:p w14:paraId="3D2EADFC"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Obrež</w:t>
            </w:r>
          </w:p>
        </w:tc>
        <w:tc>
          <w:tcPr>
            <w:tcW w:w="1843" w:type="dxa"/>
            <w:shd w:val="clear" w:color="auto" w:fill="auto"/>
            <w:vAlign w:val="center"/>
            <w:hideMark/>
          </w:tcPr>
          <w:p w14:paraId="42D5720A"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Obrečni hrastovo-jesenovo-brestovi gozdovi</w:t>
            </w:r>
          </w:p>
        </w:tc>
        <w:tc>
          <w:tcPr>
            <w:tcW w:w="1134" w:type="dxa"/>
            <w:shd w:val="clear" w:color="auto" w:fill="auto"/>
            <w:vAlign w:val="center"/>
            <w:hideMark/>
          </w:tcPr>
          <w:p w14:paraId="1184CD24"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obnoviti</w:t>
            </w:r>
          </w:p>
        </w:tc>
        <w:tc>
          <w:tcPr>
            <w:tcW w:w="1486" w:type="dxa"/>
            <w:shd w:val="clear" w:color="auto" w:fill="auto"/>
            <w:noWrap/>
            <w:vAlign w:val="center"/>
            <w:hideMark/>
          </w:tcPr>
          <w:p w14:paraId="2EBE99F2" w14:textId="77777777" w:rsidR="00B916AD" w:rsidRPr="00545EC0" w:rsidRDefault="00B916AD" w:rsidP="00627E31">
            <w:pPr>
              <w:overflowPunct/>
              <w:autoSpaceDE/>
              <w:autoSpaceDN/>
              <w:adjustRightInd/>
              <w:spacing w:line="240" w:lineRule="auto"/>
              <w:jc w:val="center"/>
              <w:textAlignment w:val="auto"/>
              <w:rPr>
                <w:rFonts w:cs="Arial"/>
                <w:bCs/>
                <w:sz w:val="18"/>
                <w:szCs w:val="18"/>
              </w:rPr>
            </w:pPr>
            <w:r w:rsidRPr="00545EC0">
              <w:rPr>
                <w:rFonts w:cs="Arial"/>
                <w:bCs/>
                <w:sz w:val="18"/>
                <w:szCs w:val="18"/>
              </w:rPr>
              <w:t>2</w:t>
            </w:r>
          </w:p>
        </w:tc>
      </w:tr>
      <w:tr w:rsidR="003122F4" w:rsidRPr="00545EC0" w14:paraId="615B2C42" w14:textId="77777777" w:rsidTr="00627E31">
        <w:trPr>
          <w:trHeight w:val="645"/>
        </w:trPr>
        <w:tc>
          <w:tcPr>
            <w:tcW w:w="1191" w:type="dxa"/>
            <w:shd w:val="clear" w:color="auto" w:fill="auto"/>
            <w:noWrap/>
            <w:vAlign w:val="center"/>
            <w:hideMark/>
          </w:tcPr>
          <w:p w14:paraId="330A1A16"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3014</w:t>
            </w:r>
          </w:p>
        </w:tc>
        <w:tc>
          <w:tcPr>
            <w:tcW w:w="1224" w:type="dxa"/>
            <w:shd w:val="clear" w:color="auto" w:fill="auto"/>
            <w:noWrap/>
            <w:vAlign w:val="center"/>
            <w:hideMark/>
          </w:tcPr>
          <w:p w14:paraId="25977EF5"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SI3000214</w:t>
            </w:r>
          </w:p>
        </w:tc>
        <w:tc>
          <w:tcPr>
            <w:tcW w:w="2333" w:type="dxa"/>
            <w:shd w:val="clear" w:color="auto" w:fill="auto"/>
            <w:noWrap/>
            <w:vAlign w:val="center"/>
            <w:hideMark/>
          </w:tcPr>
          <w:p w14:paraId="3FEE42FD"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Ličenca pri Poljčanah</w:t>
            </w:r>
          </w:p>
        </w:tc>
        <w:tc>
          <w:tcPr>
            <w:tcW w:w="1843" w:type="dxa"/>
            <w:shd w:val="clear" w:color="auto" w:fill="auto"/>
            <w:vAlign w:val="center"/>
            <w:hideMark/>
          </w:tcPr>
          <w:p w14:paraId="328CB06A"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Obrečni hrastovo-jesenovo-brestovi gozdovi</w:t>
            </w:r>
          </w:p>
        </w:tc>
        <w:tc>
          <w:tcPr>
            <w:tcW w:w="1134" w:type="dxa"/>
            <w:shd w:val="clear" w:color="auto" w:fill="auto"/>
            <w:vAlign w:val="center"/>
            <w:hideMark/>
          </w:tcPr>
          <w:p w14:paraId="5A589771"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obnoviti</w:t>
            </w:r>
          </w:p>
        </w:tc>
        <w:tc>
          <w:tcPr>
            <w:tcW w:w="1486" w:type="dxa"/>
            <w:shd w:val="clear" w:color="auto" w:fill="auto"/>
            <w:noWrap/>
            <w:vAlign w:val="center"/>
            <w:hideMark/>
          </w:tcPr>
          <w:p w14:paraId="13B6A817" w14:textId="77777777" w:rsidR="00B916AD" w:rsidRPr="00545EC0" w:rsidRDefault="00B916AD" w:rsidP="00627E31">
            <w:pPr>
              <w:overflowPunct/>
              <w:autoSpaceDE/>
              <w:autoSpaceDN/>
              <w:adjustRightInd/>
              <w:spacing w:line="240" w:lineRule="auto"/>
              <w:jc w:val="center"/>
              <w:textAlignment w:val="auto"/>
              <w:rPr>
                <w:rFonts w:cs="Arial"/>
                <w:bCs/>
                <w:sz w:val="18"/>
                <w:szCs w:val="18"/>
              </w:rPr>
            </w:pPr>
            <w:r w:rsidRPr="00545EC0">
              <w:rPr>
                <w:rFonts w:cs="Arial"/>
                <w:bCs/>
                <w:sz w:val="18"/>
                <w:szCs w:val="18"/>
              </w:rPr>
              <w:t>2</w:t>
            </w:r>
          </w:p>
        </w:tc>
      </w:tr>
      <w:tr w:rsidR="003122F4" w:rsidRPr="00545EC0" w14:paraId="47AB0C30" w14:textId="77777777" w:rsidTr="00627E31">
        <w:trPr>
          <w:trHeight w:val="235"/>
        </w:trPr>
        <w:tc>
          <w:tcPr>
            <w:tcW w:w="1191" w:type="dxa"/>
            <w:shd w:val="clear" w:color="auto" w:fill="auto"/>
            <w:vAlign w:val="center"/>
            <w:hideMark/>
          </w:tcPr>
          <w:p w14:paraId="66661A68"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4016</w:t>
            </w:r>
            <w:r w:rsidRPr="00545EC0">
              <w:rPr>
                <w:rFonts w:cs="Arial"/>
                <w:sz w:val="18"/>
                <w:szCs w:val="18"/>
              </w:rPr>
              <w:br/>
              <w:t>4017</w:t>
            </w:r>
          </w:p>
        </w:tc>
        <w:tc>
          <w:tcPr>
            <w:tcW w:w="1224" w:type="dxa"/>
            <w:shd w:val="clear" w:color="auto" w:fill="auto"/>
            <w:noWrap/>
            <w:vAlign w:val="center"/>
            <w:hideMark/>
          </w:tcPr>
          <w:p w14:paraId="760FF480"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SI3000215</w:t>
            </w:r>
          </w:p>
        </w:tc>
        <w:tc>
          <w:tcPr>
            <w:tcW w:w="2333" w:type="dxa"/>
            <w:shd w:val="clear" w:color="auto" w:fill="auto"/>
            <w:noWrap/>
            <w:vAlign w:val="center"/>
            <w:hideMark/>
          </w:tcPr>
          <w:p w14:paraId="5D23D8D8"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Mura</w:t>
            </w:r>
          </w:p>
        </w:tc>
        <w:tc>
          <w:tcPr>
            <w:tcW w:w="1843" w:type="dxa"/>
            <w:shd w:val="clear" w:color="auto" w:fill="auto"/>
            <w:vAlign w:val="center"/>
            <w:hideMark/>
          </w:tcPr>
          <w:p w14:paraId="4342CA88"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Obrečni hrastovo-jesenovo-brestovi gozdovi</w:t>
            </w:r>
          </w:p>
        </w:tc>
        <w:tc>
          <w:tcPr>
            <w:tcW w:w="1134" w:type="dxa"/>
            <w:shd w:val="clear" w:color="auto" w:fill="auto"/>
            <w:vAlign w:val="center"/>
            <w:hideMark/>
          </w:tcPr>
          <w:p w14:paraId="7460AB1B"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obnoviti</w:t>
            </w:r>
          </w:p>
        </w:tc>
        <w:tc>
          <w:tcPr>
            <w:tcW w:w="1486" w:type="dxa"/>
            <w:shd w:val="clear" w:color="auto" w:fill="auto"/>
            <w:noWrap/>
            <w:vAlign w:val="center"/>
            <w:hideMark/>
          </w:tcPr>
          <w:p w14:paraId="3B9113A2" w14:textId="77777777" w:rsidR="00B916AD" w:rsidRPr="00545EC0" w:rsidRDefault="00B916AD" w:rsidP="00627E31">
            <w:pPr>
              <w:overflowPunct/>
              <w:autoSpaceDE/>
              <w:autoSpaceDN/>
              <w:adjustRightInd/>
              <w:spacing w:line="240" w:lineRule="auto"/>
              <w:jc w:val="center"/>
              <w:textAlignment w:val="auto"/>
              <w:rPr>
                <w:rFonts w:cs="Arial"/>
                <w:bCs/>
                <w:sz w:val="18"/>
                <w:szCs w:val="18"/>
              </w:rPr>
            </w:pPr>
            <w:r w:rsidRPr="00545EC0">
              <w:rPr>
                <w:rFonts w:cs="Arial"/>
                <w:bCs/>
                <w:sz w:val="18"/>
                <w:szCs w:val="18"/>
              </w:rPr>
              <w:t>2</w:t>
            </w:r>
          </w:p>
        </w:tc>
      </w:tr>
      <w:tr w:rsidR="003122F4" w:rsidRPr="00545EC0" w14:paraId="2069AE7C" w14:textId="77777777" w:rsidTr="00627E31">
        <w:trPr>
          <w:trHeight w:val="50"/>
        </w:trPr>
        <w:tc>
          <w:tcPr>
            <w:tcW w:w="1191" w:type="dxa"/>
            <w:shd w:val="clear" w:color="auto" w:fill="auto"/>
            <w:vAlign w:val="center"/>
            <w:hideMark/>
          </w:tcPr>
          <w:p w14:paraId="6A5B1549"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3012</w:t>
            </w:r>
            <w:r w:rsidRPr="00545EC0">
              <w:rPr>
                <w:rFonts w:cs="Arial"/>
                <w:sz w:val="18"/>
                <w:szCs w:val="18"/>
              </w:rPr>
              <w:br/>
              <w:t>3014</w:t>
            </w:r>
            <w:r w:rsidRPr="00545EC0">
              <w:rPr>
                <w:rFonts w:cs="Arial"/>
                <w:sz w:val="18"/>
                <w:szCs w:val="18"/>
              </w:rPr>
              <w:br/>
              <w:t>3015</w:t>
            </w:r>
          </w:p>
        </w:tc>
        <w:tc>
          <w:tcPr>
            <w:tcW w:w="1224" w:type="dxa"/>
            <w:shd w:val="clear" w:color="auto" w:fill="auto"/>
            <w:noWrap/>
            <w:vAlign w:val="center"/>
            <w:hideMark/>
          </w:tcPr>
          <w:p w14:paraId="434C7639"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SI3000220</w:t>
            </w:r>
          </w:p>
        </w:tc>
        <w:tc>
          <w:tcPr>
            <w:tcW w:w="2333" w:type="dxa"/>
            <w:shd w:val="clear" w:color="auto" w:fill="auto"/>
            <w:noWrap/>
            <w:vAlign w:val="center"/>
            <w:hideMark/>
          </w:tcPr>
          <w:p w14:paraId="67604757"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Drava</w:t>
            </w:r>
          </w:p>
        </w:tc>
        <w:tc>
          <w:tcPr>
            <w:tcW w:w="1843" w:type="dxa"/>
            <w:shd w:val="clear" w:color="auto" w:fill="auto"/>
            <w:vAlign w:val="center"/>
            <w:hideMark/>
          </w:tcPr>
          <w:p w14:paraId="739DBE40"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Obrečni hrastovo-jesenovo-brestovi gozdovi</w:t>
            </w:r>
          </w:p>
        </w:tc>
        <w:tc>
          <w:tcPr>
            <w:tcW w:w="1134" w:type="dxa"/>
            <w:shd w:val="clear" w:color="auto" w:fill="auto"/>
            <w:vAlign w:val="center"/>
            <w:hideMark/>
          </w:tcPr>
          <w:p w14:paraId="0598A1CD"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obnoviti</w:t>
            </w:r>
          </w:p>
        </w:tc>
        <w:tc>
          <w:tcPr>
            <w:tcW w:w="1486" w:type="dxa"/>
            <w:shd w:val="clear" w:color="auto" w:fill="auto"/>
            <w:noWrap/>
            <w:vAlign w:val="center"/>
            <w:hideMark/>
          </w:tcPr>
          <w:p w14:paraId="4B83F563" w14:textId="77777777" w:rsidR="00B916AD" w:rsidRPr="00545EC0" w:rsidRDefault="00B916AD" w:rsidP="00627E31">
            <w:pPr>
              <w:overflowPunct/>
              <w:autoSpaceDE/>
              <w:autoSpaceDN/>
              <w:adjustRightInd/>
              <w:spacing w:line="240" w:lineRule="auto"/>
              <w:jc w:val="center"/>
              <w:textAlignment w:val="auto"/>
              <w:rPr>
                <w:rFonts w:cs="Arial"/>
                <w:bCs/>
                <w:sz w:val="18"/>
                <w:szCs w:val="18"/>
              </w:rPr>
            </w:pPr>
            <w:r w:rsidRPr="00545EC0">
              <w:rPr>
                <w:rFonts w:cs="Arial"/>
                <w:bCs/>
                <w:sz w:val="18"/>
                <w:szCs w:val="18"/>
              </w:rPr>
              <w:t>1</w:t>
            </w:r>
          </w:p>
        </w:tc>
      </w:tr>
      <w:tr w:rsidR="003122F4" w:rsidRPr="00545EC0" w14:paraId="740EF23E" w14:textId="77777777" w:rsidTr="00627E31">
        <w:trPr>
          <w:trHeight w:val="50"/>
        </w:trPr>
        <w:tc>
          <w:tcPr>
            <w:tcW w:w="1191" w:type="dxa"/>
            <w:shd w:val="clear" w:color="auto" w:fill="auto"/>
            <w:noWrap/>
            <w:vAlign w:val="center"/>
            <w:hideMark/>
          </w:tcPr>
          <w:p w14:paraId="6583A201"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3012</w:t>
            </w:r>
          </w:p>
        </w:tc>
        <w:tc>
          <w:tcPr>
            <w:tcW w:w="1224" w:type="dxa"/>
            <w:shd w:val="clear" w:color="auto" w:fill="auto"/>
            <w:noWrap/>
            <w:vAlign w:val="center"/>
            <w:hideMark/>
          </w:tcPr>
          <w:p w14:paraId="05EAE957"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SI3000257</w:t>
            </w:r>
          </w:p>
        </w:tc>
        <w:tc>
          <w:tcPr>
            <w:tcW w:w="2333" w:type="dxa"/>
            <w:shd w:val="clear" w:color="auto" w:fill="auto"/>
            <w:noWrap/>
            <w:vAlign w:val="center"/>
            <w:hideMark/>
          </w:tcPr>
          <w:p w14:paraId="20067471"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Rački ribniki - Požeg</w:t>
            </w:r>
          </w:p>
        </w:tc>
        <w:tc>
          <w:tcPr>
            <w:tcW w:w="1843" w:type="dxa"/>
            <w:shd w:val="clear" w:color="auto" w:fill="auto"/>
            <w:vAlign w:val="center"/>
            <w:hideMark/>
          </w:tcPr>
          <w:p w14:paraId="32ADD19E"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Obrečni hrastovo-jesenovo-brestovi gozdovi</w:t>
            </w:r>
          </w:p>
        </w:tc>
        <w:tc>
          <w:tcPr>
            <w:tcW w:w="1134" w:type="dxa"/>
            <w:shd w:val="clear" w:color="auto" w:fill="auto"/>
            <w:vAlign w:val="center"/>
            <w:hideMark/>
          </w:tcPr>
          <w:p w14:paraId="514F6793"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obnoviti</w:t>
            </w:r>
          </w:p>
        </w:tc>
        <w:tc>
          <w:tcPr>
            <w:tcW w:w="1486" w:type="dxa"/>
            <w:shd w:val="clear" w:color="auto" w:fill="auto"/>
            <w:noWrap/>
            <w:vAlign w:val="center"/>
            <w:hideMark/>
          </w:tcPr>
          <w:p w14:paraId="6E454FB0" w14:textId="77777777" w:rsidR="00B916AD" w:rsidRPr="00545EC0" w:rsidRDefault="00B916AD" w:rsidP="00627E31">
            <w:pPr>
              <w:overflowPunct/>
              <w:autoSpaceDE/>
              <w:autoSpaceDN/>
              <w:adjustRightInd/>
              <w:spacing w:line="240" w:lineRule="auto"/>
              <w:jc w:val="center"/>
              <w:textAlignment w:val="auto"/>
              <w:rPr>
                <w:rFonts w:cs="Arial"/>
                <w:bCs/>
                <w:sz w:val="18"/>
                <w:szCs w:val="18"/>
              </w:rPr>
            </w:pPr>
            <w:r w:rsidRPr="00545EC0">
              <w:rPr>
                <w:rFonts w:cs="Arial"/>
                <w:bCs/>
                <w:sz w:val="18"/>
                <w:szCs w:val="18"/>
              </w:rPr>
              <w:t>2</w:t>
            </w:r>
          </w:p>
        </w:tc>
      </w:tr>
      <w:tr w:rsidR="00B916AD" w:rsidRPr="00545EC0" w14:paraId="29FDF740" w14:textId="77777777" w:rsidTr="00627E31">
        <w:trPr>
          <w:trHeight w:val="50"/>
        </w:trPr>
        <w:tc>
          <w:tcPr>
            <w:tcW w:w="1191" w:type="dxa"/>
            <w:shd w:val="clear" w:color="auto" w:fill="auto"/>
            <w:noWrap/>
            <w:vAlign w:val="center"/>
            <w:hideMark/>
          </w:tcPr>
          <w:p w14:paraId="77E89236"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1008</w:t>
            </w:r>
          </w:p>
        </w:tc>
        <w:tc>
          <w:tcPr>
            <w:tcW w:w="1224" w:type="dxa"/>
            <w:shd w:val="clear" w:color="auto" w:fill="auto"/>
            <w:noWrap/>
            <w:vAlign w:val="center"/>
            <w:hideMark/>
          </w:tcPr>
          <w:p w14:paraId="303E123C"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SI3000268</w:t>
            </w:r>
          </w:p>
        </w:tc>
        <w:tc>
          <w:tcPr>
            <w:tcW w:w="2333" w:type="dxa"/>
            <w:shd w:val="clear" w:color="auto" w:fill="auto"/>
            <w:noWrap/>
            <w:vAlign w:val="center"/>
            <w:hideMark/>
          </w:tcPr>
          <w:p w14:paraId="584E61EF"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Dobrava - Jovsi</w:t>
            </w:r>
          </w:p>
        </w:tc>
        <w:tc>
          <w:tcPr>
            <w:tcW w:w="1843" w:type="dxa"/>
            <w:shd w:val="clear" w:color="auto" w:fill="auto"/>
            <w:vAlign w:val="center"/>
            <w:hideMark/>
          </w:tcPr>
          <w:p w14:paraId="520FFB5E"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Obrečni hrastovo-jesenovo-brestovi gozdovi</w:t>
            </w:r>
          </w:p>
        </w:tc>
        <w:tc>
          <w:tcPr>
            <w:tcW w:w="1134" w:type="dxa"/>
            <w:shd w:val="clear" w:color="auto" w:fill="auto"/>
            <w:vAlign w:val="center"/>
            <w:hideMark/>
          </w:tcPr>
          <w:p w14:paraId="4A2B346B" w14:textId="77777777" w:rsidR="00B916AD" w:rsidRPr="00545EC0" w:rsidRDefault="00B916AD" w:rsidP="00627E31">
            <w:pPr>
              <w:overflowPunct/>
              <w:autoSpaceDE/>
              <w:autoSpaceDN/>
              <w:adjustRightInd/>
              <w:spacing w:line="240" w:lineRule="auto"/>
              <w:jc w:val="center"/>
              <w:textAlignment w:val="auto"/>
              <w:rPr>
                <w:rFonts w:cs="Arial"/>
                <w:sz w:val="18"/>
                <w:szCs w:val="18"/>
              </w:rPr>
            </w:pPr>
            <w:r w:rsidRPr="00545EC0">
              <w:rPr>
                <w:rFonts w:cs="Arial"/>
                <w:sz w:val="18"/>
                <w:szCs w:val="18"/>
              </w:rPr>
              <w:t>obnoviti</w:t>
            </w:r>
          </w:p>
        </w:tc>
        <w:tc>
          <w:tcPr>
            <w:tcW w:w="1486" w:type="dxa"/>
            <w:shd w:val="clear" w:color="auto" w:fill="auto"/>
            <w:noWrap/>
            <w:vAlign w:val="center"/>
            <w:hideMark/>
          </w:tcPr>
          <w:p w14:paraId="7686BC97" w14:textId="77777777" w:rsidR="00B916AD" w:rsidRPr="00545EC0" w:rsidRDefault="00B916AD" w:rsidP="00627E31">
            <w:pPr>
              <w:overflowPunct/>
              <w:autoSpaceDE/>
              <w:autoSpaceDN/>
              <w:adjustRightInd/>
              <w:spacing w:line="240" w:lineRule="auto"/>
              <w:jc w:val="center"/>
              <w:textAlignment w:val="auto"/>
              <w:rPr>
                <w:rFonts w:cs="Arial"/>
                <w:bCs/>
                <w:sz w:val="18"/>
                <w:szCs w:val="18"/>
              </w:rPr>
            </w:pPr>
            <w:r w:rsidRPr="00545EC0">
              <w:rPr>
                <w:rFonts w:cs="Arial"/>
                <w:bCs/>
                <w:sz w:val="18"/>
                <w:szCs w:val="18"/>
              </w:rPr>
              <w:t>1</w:t>
            </w:r>
          </w:p>
        </w:tc>
      </w:tr>
    </w:tbl>
    <w:p w14:paraId="46E64A13" w14:textId="77777777" w:rsidR="00234FE6" w:rsidRPr="00545EC0" w:rsidRDefault="00234FE6" w:rsidP="00870B16">
      <w:pPr>
        <w:rPr>
          <w:lang w:eastAsia="x-none"/>
        </w:rPr>
      </w:pPr>
    </w:p>
    <w:bookmarkEnd w:id="295"/>
    <w:p w14:paraId="09C18758" w14:textId="1A2821C3" w:rsidR="00466B77" w:rsidRPr="00545EC0" w:rsidRDefault="00D77792" w:rsidP="00141486">
      <w:pPr>
        <w:rPr>
          <w:rFonts w:cs="Arial"/>
          <w:szCs w:val="20"/>
        </w:rPr>
      </w:pPr>
      <w:r w:rsidRPr="00545EC0">
        <w:rPr>
          <w:rFonts w:cs="Arial"/>
        </w:rPr>
        <w:t xml:space="preserve">Možni viri obremenjevanja območij ekosistemov odvisnih od podzemne vode so v preteklosti izvedene vodnogospodarske ureditve (npr. </w:t>
      </w:r>
      <w:r w:rsidRPr="00545EC0">
        <w:rPr>
          <w:rFonts w:cs="Arial"/>
          <w:bCs/>
          <w:szCs w:val="20"/>
        </w:rPr>
        <w:t xml:space="preserve">regulacije potokov), poglabljanje struge, spremembe hidroloških režimov zaradi sprememb podnebja, zaradi rabe tal v zaledju, prisotnosti intenzivnega kmetijstva (na </w:t>
      </w:r>
      <w:r w:rsidRPr="00545EC0">
        <w:rPr>
          <w:rFonts w:cs="Arial"/>
          <w:bCs/>
          <w:szCs w:val="20"/>
        </w:rPr>
        <w:lastRenderedPageBreak/>
        <w:t>primer uporaba fitofarmacevtskih sredstev, umetnih gnojil), prisotnosti divjih odlagališč odpadkov, emisij odpadne vode iz točkovnih virov obremenjevanja voda, ipd.</w:t>
      </w:r>
      <w:r w:rsidR="00466B77" w:rsidRPr="00545EC0">
        <w:rPr>
          <w:rFonts w:cs="Arial"/>
          <w:bCs/>
          <w:szCs w:val="20"/>
        </w:rPr>
        <w:t xml:space="preserve"> </w:t>
      </w:r>
    </w:p>
    <w:p w14:paraId="6EB187DD" w14:textId="1DACFA57" w:rsidR="00466B77" w:rsidRPr="00545EC0" w:rsidRDefault="00466B77" w:rsidP="00466B77">
      <w:pPr>
        <w:tabs>
          <w:tab w:val="num" w:pos="567"/>
          <w:tab w:val="left" w:pos="9600"/>
        </w:tabs>
        <w:spacing w:before="120"/>
        <w:rPr>
          <w:rFonts w:cs="Arial"/>
          <w:szCs w:val="20"/>
        </w:rPr>
      </w:pPr>
      <w:r w:rsidRPr="00545EC0">
        <w:rPr>
          <w:rFonts w:cs="Arial"/>
          <w:szCs w:val="20"/>
        </w:rPr>
        <w:t xml:space="preserve">Primerjava razpoližljivih podatkov o vrstah in jakostih obremenitev z oceno stanja vodnih teles pozemnih voda kaže, da ni mogoče zanesljivo opredeliti pomembnih obremenitev, </w:t>
      </w:r>
      <w:r w:rsidRPr="00545EC0">
        <w:rPr>
          <w:rFonts w:cs="Arial"/>
        </w:rPr>
        <w:t>ki same po sebi ali v kombinaciji z drugimi viri obremenitev povzročajo neugodno stanje ekosistemov odvisnih od podzemne vode</w:t>
      </w:r>
      <w:r w:rsidR="00357381" w:rsidRPr="00545EC0">
        <w:rPr>
          <w:rFonts w:cs="Arial"/>
        </w:rPr>
        <w:t>.</w:t>
      </w:r>
    </w:p>
    <w:p w14:paraId="00441233" w14:textId="77777777" w:rsidR="00466B77" w:rsidRPr="00545EC0" w:rsidRDefault="00466B77" w:rsidP="00141486">
      <w:pPr>
        <w:rPr>
          <w:rFonts w:cs="Arial"/>
          <w:szCs w:val="20"/>
        </w:rPr>
      </w:pPr>
    </w:p>
    <w:p w14:paraId="6DF1DE81" w14:textId="362DBA7F" w:rsidR="00143CD4" w:rsidRPr="00545EC0" w:rsidRDefault="00143CD4">
      <w:pPr>
        <w:pStyle w:val="Naslov3"/>
      </w:pPr>
      <w:bookmarkStart w:id="299" w:name="_Ref87865288"/>
      <w:bookmarkStart w:id="300" w:name="_Ref87865309"/>
      <w:bookmarkStart w:id="301" w:name="_Toc90261026"/>
      <w:bookmarkStart w:id="302" w:name="OLE_LINK40"/>
      <w:bookmarkStart w:id="303" w:name="OLE_LINK41"/>
      <w:bookmarkEnd w:id="243"/>
      <w:r w:rsidRPr="00545EC0">
        <w:t>Opis presoje vplivov na vodna telesa površinskih in podzemnih voda, vključno z opisom uporabljene metode in meril, in prikaz teh vplivov</w:t>
      </w:r>
      <w:bookmarkEnd w:id="299"/>
      <w:bookmarkEnd w:id="300"/>
      <w:bookmarkEnd w:id="301"/>
    </w:p>
    <w:p w14:paraId="36A0BE52" w14:textId="49E3D6DB" w:rsidR="00485B49" w:rsidRPr="00545EC0" w:rsidRDefault="002F3A35" w:rsidP="00485B49">
      <w:pPr>
        <w:pStyle w:val="Naslov4"/>
        <w:rPr>
          <w:color w:val="auto"/>
        </w:rPr>
      </w:pPr>
      <w:bookmarkStart w:id="304" w:name="_Ref87865273"/>
      <w:bookmarkEnd w:id="302"/>
      <w:bookmarkEnd w:id="303"/>
      <w:r w:rsidRPr="00545EC0">
        <w:rPr>
          <w:color w:val="auto"/>
        </w:rPr>
        <w:t>Površinske vode</w:t>
      </w:r>
      <w:bookmarkEnd w:id="304"/>
    </w:p>
    <w:p w14:paraId="248B18CA" w14:textId="77777777" w:rsidR="00A10796" w:rsidRPr="00545EC0" w:rsidRDefault="00DC21D7" w:rsidP="00A10796">
      <w:pPr>
        <w:pStyle w:val="Pripombabesedilo"/>
        <w:rPr>
          <w:lang w:val="sl-SI"/>
        </w:rPr>
      </w:pPr>
      <w:r w:rsidRPr="00545EC0">
        <w:rPr>
          <w:rFonts w:cs="Arial"/>
        </w:rPr>
        <w:t>Vplivi so določeni za posamezna VT na podlagi kombinacije prepoznanih pomembnih obremenitev in na podlagi podatkov ocene stanja voda, upoštevajoč raven zaupanja ocene stanja</w:t>
      </w:r>
      <w:r w:rsidR="00A10796" w:rsidRPr="00545EC0">
        <w:rPr>
          <w:rFonts w:cs="Arial"/>
        </w:rPr>
        <w:t xml:space="preserve">. </w:t>
      </w:r>
      <w:r w:rsidR="00A10796" w:rsidRPr="00545EC0">
        <w:rPr>
          <w:lang w:val="sl-SI"/>
        </w:rPr>
        <w:t>Na VT so prepoznani pomembni vplivi zaradi sledečih obremenitev:</w:t>
      </w:r>
    </w:p>
    <w:p w14:paraId="1FE7C27F" w14:textId="30D839EB" w:rsidR="00DC21D7" w:rsidRPr="00545EC0" w:rsidRDefault="00357381"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lang w:val="sl-SI"/>
        </w:rPr>
        <w:t>o</w:t>
      </w:r>
      <w:r w:rsidR="00DC21D7" w:rsidRPr="00545EC0">
        <w:rPr>
          <w:rFonts w:cs="Arial"/>
          <w:lang w:val="sl-SI"/>
        </w:rPr>
        <w:t>nesnaženje s hranili</w:t>
      </w:r>
      <w:r w:rsidRPr="00545EC0">
        <w:rPr>
          <w:rFonts w:cs="Arial"/>
          <w:lang w:val="sl-SI"/>
        </w:rPr>
        <w:t>,</w:t>
      </w:r>
    </w:p>
    <w:p w14:paraId="191D3996" w14:textId="7232C4DC" w:rsidR="00DC21D7" w:rsidRPr="00545EC0" w:rsidRDefault="00357381"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o</w:t>
      </w:r>
      <w:r w:rsidR="00DC21D7" w:rsidRPr="00545EC0">
        <w:rPr>
          <w:rFonts w:cs="Arial"/>
          <w:lang w:val="sl-SI"/>
        </w:rPr>
        <w:t>rgansko onesnaženje</w:t>
      </w:r>
      <w:r w:rsidRPr="00545EC0">
        <w:rPr>
          <w:rFonts w:cs="Arial"/>
          <w:lang w:val="sl-SI"/>
        </w:rPr>
        <w:t>,</w:t>
      </w:r>
    </w:p>
    <w:p w14:paraId="1136FE5B" w14:textId="20B7199E" w:rsidR="00DC21D7" w:rsidRPr="00545EC0" w:rsidRDefault="00357381"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o</w:t>
      </w:r>
      <w:r w:rsidR="00DC21D7" w:rsidRPr="00545EC0">
        <w:rPr>
          <w:rFonts w:cs="Arial"/>
          <w:lang w:val="sl-SI"/>
        </w:rPr>
        <w:t>nesnaženje s prednostnimi snovmi in/ali posebnimi onesnaževali</w:t>
      </w:r>
      <w:r w:rsidRPr="00545EC0">
        <w:rPr>
          <w:rFonts w:cs="Arial"/>
          <w:lang w:val="sl-SI"/>
        </w:rPr>
        <w:t>,</w:t>
      </w:r>
    </w:p>
    <w:p w14:paraId="0534B22E" w14:textId="2B5E993E" w:rsidR="00A10796" w:rsidRPr="00545EC0" w:rsidRDefault="00357381"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h</w:t>
      </w:r>
      <w:r w:rsidR="00A10796" w:rsidRPr="00545EC0">
        <w:rPr>
          <w:rFonts w:cs="Arial"/>
          <w:lang w:val="sl-SI"/>
        </w:rPr>
        <w:t>idromorfološke obremenitve – sprememba hidrološkega režima</w:t>
      </w:r>
      <w:r w:rsidRPr="00545EC0">
        <w:rPr>
          <w:rFonts w:cs="Arial"/>
          <w:lang w:val="sl-SI"/>
        </w:rPr>
        <w:t>,</w:t>
      </w:r>
    </w:p>
    <w:p w14:paraId="22FBD926" w14:textId="6729A701" w:rsidR="00A10796" w:rsidRPr="00545EC0" w:rsidRDefault="00357381"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h</w:t>
      </w:r>
      <w:r w:rsidR="00A10796" w:rsidRPr="00545EC0">
        <w:rPr>
          <w:rFonts w:cs="Arial"/>
          <w:lang w:val="sl-SI"/>
        </w:rPr>
        <w:t>idromorfološke obremenitve – sprememba zveznosti toka</w:t>
      </w:r>
      <w:r w:rsidRPr="00545EC0">
        <w:rPr>
          <w:rFonts w:cs="Arial"/>
          <w:lang w:val="sl-SI"/>
        </w:rPr>
        <w:t>,</w:t>
      </w:r>
    </w:p>
    <w:p w14:paraId="7EA1B52E" w14:textId="5B10DC17" w:rsidR="00A10796" w:rsidRPr="00545EC0" w:rsidRDefault="00357381"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h</w:t>
      </w:r>
      <w:r w:rsidR="00A10796" w:rsidRPr="00545EC0">
        <w:rPr>
          <w:rFonts w:cs="Arial"/>
          <w:lang w:val="sl-SI"/>
        </w:rPr>
        <w:t>idromorfološke obremenitve – sprememba morfoloških razmer</w:t>
      </w:r>
      <w:r w:rsidRPr="00545EC0">
        <w:rPr>
          <w:rFonts w:cs="Arial"/>
          <w:lang w:val="sl-SI"/>
        </w:rPr>
        <w:t>.</w:t>
      </w:r>
      <w:r w:rsidR="00A10796" w:rsidRPr="00545EC0">
        <w:rPr>
          <w:rFonts w:cs="Arial"/>
          <w:lang w:val="sl-SI"/>
        </w:rPr>
        <w:t xml:space="preserve"> </w:t>
      </w:r>
    </w:p>
    <w:p w14:paraId="356DEC8E" w14:textId="77777777" w:rsidR="00DC21D7" w:rsidRPr="00545EC0" w:rsidRDefault="00DC21D7" w:rsidP="00DC21D7">
      <w:pPr>
        <w:rPr>
          <w:rFonts w:cs="Arial"/>
          <w:szCs w:val="22"/>
        </w:rPr>
      </w:pPr>
    </w:p>
    <w:p w14:paraId="5518E089" w14:textId="56980A2F" w:rsidR="00DC21D7" w:rsidRPr="00545EC0" w:rsidRDefault="00DC21D7" w:rsidP="00DC21D7">
      <w:pPr>
        <w:rPr>
          <w:rFonts w:cs="Arial"/>
          <w:szCs w:val="22"/>
        </w:rPr>
      </w:pPr>
      <w:r w:rsidRPr="00545EC0">
        <w:rPr>
          <w:rFonts w:cs="Arial"/>
          <w:szCs w:val="22"/>
          <w:lang w:eastAsia="zh-CN"/>
        </w:rPr>
        <w:t>Ocenjeno je, da so na vodnem telesu površinskih voda prisotni pomembni vplivi, če</w:t>
      </w:r>
      <w:r w:rsidR="00C96975" w:rsidRPr="00545EC0">
        <w:rPr>
          <w:rFonts w:cs="Arial"/>
          <w:szCs w:val="22"/>
        </w:rPr>
        <w:t>:</w:t>
      </w:r>
      <w:r w:rsidRPr="00545EC0">
        <w:rPr>
          <w:rFonts w:cs="Arial"/>
          <w:szCs w:val="22"/>
        </w:rPr>
        <w:t xml:space="preserve"> </w:t>
      </w:r>
    </w:p>
    <w:p w14:paraId="366AC894" w14:textId="77777777" w:rsidR="00DC21D7" w:rsidRPr="00545EC0" w:rsidRDefault="00DC21D7"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pomembna obremenitev ni prisotna in ocena stanja kaže, da je stanje slabše od dobrega,</w:t>
      </w:r>
    </w:p>
    <w:p w14:paraId="399DA351" w14:textId="77777777" w:rsidR="00DC21D7" w:rsidRPr="00545EC0" w:rsidRDefault="00DC21D7"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pomembna obremenitev je prisotna in ocena stanja kaže, da je stanje dobro ali boljše in</w:t>
      </w:r>
    </w:p>
    <w:p w14:paraId="6F8F3430" w14:textId="77777777" w:rsidR="00DC21D7" w:rsidRPr="00545EC0" w:rsidRDefault="00DC21D7"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pomembna obremenitev je prisotna in ocena stanja kaže, da je stanje slabše od dobrega.</w:t>
      </w:r>
    </w:p>
    <w:p w14:paraId="63D20681" w14:textId="77777777" w:rsidR="00DC21D7" w:rsidRPr="00545EC0" w:rsidRDefault="00DC21D7" w:rsidP="00DC21D7">
      <w:pPr>
        <w:tabs>
          <w:tab w:val="center" w:pos="426"/>
        </w:tabs>
        <w:overflowPunct/>
        <w:autoSpaceDE/>
        <w:autoSpaceDN/>
        <w:adjustRightInd/>
        <w:contextualSpacing/>
        <w:textAlignment w:val="auto"/>
        <w:rPr>
          <w:rFonts w:cs="Arial"/>
        </w:rPr>
      </w:pPr>
    </w:p>
    <w:p w14:paraId="0B506074" w14:textId="562F5516" w:rsidR="00DC21D7" w:rsidRPr="00545EC0" w:rsidRDefault="00DC21D7" w:rsidP="00DC21D7">
      <w:pPr>
        <w:tabs>
          <w:tab w:val="center" w:pos="426"/>
        </w:tabs>
        <w:overflowPunct/>
        <w:autoSpaceDE/>
        <w:autoSpaceDN/>
        <w:adjustRightInd/>
        <w:contextualSpacing/>
        <w:textAlignment w:val="auto"/>
        <w:rPr>
          <w:rFonts w:cs="Arial"/>
        </w:rPr>
      </w:pPr>
      <w:r w:rsidRPr="00545EC0">
        <w:rPr>
          <w:rFonts w:cs="Arial"/>
        </w:rPr>
        <w:t>Pomembni vplivi na stanje površinskih voda so ocenjeni na vodnem telesu površinskih voda, na podlagi prikaza obremenitev vodnih teles površinskih voda iz poglavja 2.2.1 tega načrta upravljanja voda</w:t>
      </w:r>
      <w:r w:rsidR="00057495">
        <w:rPr>
          <w:rFonts w:cs="Arial"/>
        </w:rPr>
        <w:t>, na podlagi prikaza obremenitev vodnih teles površinskih voda iz poglavja 2.2.4</w:t>
      </w:r>
      <w:r w:rsidR="00494DC0">
        <w:rPr>
          <w:rFonts w:cs="Arial"/>
        </w:rPr>
        <w:t xml:space="preserve"> (hidromorfološke obremenitve) </w:t>
      </w:r>
      <w:r w:rsidRPr="00545EC0">
        <w:rPr>
          <w:rFonts w:cs="Arial"/>
        </w:rPr>
        <w:t>in ocene stanja površinskih voda iz poglavja 3.1.2 poglavja tega načrta upravljanja voda</w:t>
      </w:r>
    </w:p>
    <w:p w14:paraId="2590F099" w14:textId="77777777" w:rsidR="00DC21D7" w:rsidRPr="00545EC0" w:rsidRDefault="00DC21D7" w:rsidP="00DC21D7">
      <w:pPr>
        <w:pStyle w:val="Odstavekseznama"/>
        <w:tabs>
          <w:tab w:val="center" w:pos="426"/>
        </w:tabs>
        <w:overflowPunct/>
        <w:autoSpaceDE/>
        <w:autoSpaceDN/>
        <w:adjustRightInd/>
        <w:ind w:left="426"/>
        <w:contextualSpacing/>
        <w:textAlignment w:val="auto"/>
        <w:rPr>
          <w:rFonts w:cs="Arial"/>
          <w:lang w:val="sl-SI"/>
        </w:rPr>
      </w:pPr>
    </w:p>
    <w:p w14:paraId="442531F1" w14:textId="77777777" w:rsidR="00567AB6" w:rsidRPr="00545EC0" w:rsidRDefault="00567AB6" w:rsidP="00567AB6">
      <w:pPr>
        <w:rPr>
          <w:rFonts w:cs="Arial"/>
        </w:rPr>
      </w:pPr>
      <w:r w:rsidRPr="00545EC0">
        <w:rPr>
          <w:rFonts w:cs="Arial"/>
        </w:rPr>
        <w:t>Pomembni vplivi so prikazani na sledečih publikacijskih kartah:</w:t>
      </w:r>
    </w:p>
    <w:p w14:paraId="61F9C0DE" w14:textId="0D2D888D" w:rsidR="00567AB6" w:rsidRPr="00545EC0" w:rsidRDefault="00567AB6" w:rsidP="00DD37C5">
      <w:pPr>
        <w:pStyle w:val="Odstavekseznama"/>
        <w:numPr>
          <w:ilvl w:val="0"/>
          <w:numId w:val="32"/>
        </w:numPr>
        <w:tabs>
          <w:tab w:val="center" w:pos="426"/>
        </w:tabs>
        <w:overflowPunct/>
        <w:autoSpaceDE/>
        <w:autoSpaceDN/>
        <w:adjustRightInd/>
        <w:ind w:left="426" w:hanging="426"/>
        <w:contextualSpacing/>
        <w:textAlignment w:val="auto"/>
        <w:rPr>
          <w:rFonts w:cs="Arial"/>
          <w:i/>
          <w:lang w:val="sl-SI"/>
        </w:rPr>
      </w:pPr>
      <w:r w:rsidRPr="00545EC0">
        <w:rPr>
          <w:rFonts w:cs="Arial"/>
          <w:i/>
          <w:lang w:val="sl-SI"/>
        </w:rPr>
        <w:t>Publikacijska karta</w:t>
      </w:r>
      <w:r w:rsidR="00406706" w:rsidRPr="00545EC0">
        <w:rPr>
          <w:rFonts w:cs="Arial"/>
          <w:i/>
          <w:lang w:val="sl-SI"/>
        </w:rPr>
        <w:t xml:space="preserve"> 8.1</w:t>
      </w:r>
      <w:r w:rsidRPr="00545EC0">
        <w:rPr>
          <w:rFonts w:cs="Arial"/>
          <w:i/>
          <w:lang w:val="sl-SI"/>
        </w:rPr>
        <w:t>: Prikaz pomembnih vplivov na ekološko stanje vodnih teles površinskih voda - onesnaževanje s hranili</w:t>
      </w:r>
    </w:p>
    <w:p w14:paraId="4568E814" w14:textId="26DC45D7" w:rsidR="00567AB6" w:rsidRPr="00545EC0" w:rsidRDefault="00567AB6" w:rsidP="00DD37C5">
      <w:pPr>
        <w:pStyle w:val="Odstavekseznama"/>
        <w:numPr>
          <w:ilvl w:val="0"/>
          <w:numId w:val="32"/>
        </w:numPr>
        <w:tabs>
          <w:tab w:val="center" w:pos="426"/>
        </w:tabs>
        <w:overflowPunct/>
        <w:autoSpaceDE/>
        <w:autoSpaceDN/>
        <w:adjustRightInd/>
        <w:ind w:left="426" w:hanging="426"/>
        <w:contextualSpacing/>
        <w:textAlignment w:val="auto"/>
        <w:rPr>
          <w:rFonts w:cs="Arial"/>
          <w:i/>
          <w:lang w:val="sl-SI"/>
        </w:rPr>
      </w:pPr>
      <w:r w:rsidRPr="00545EC0">
        <w:rPr>
          <w:rFonts w:cs="Arial"/>
          <w:i/>
          <w:lang w:val="sl-SI"/>
        </w:rPr>
        <w:t>Publikacijska karta</w:t>
      </w:r>
      <w:r w:rsidR="00406706" w:rsidRPr="00545EC0">
        <w:rPr>
          <w:rFonts w:cs="Arial"/>
          <w:i/>
          <w:lang w:val="sl-SI"/>
        </w:rPr>
        <w:t xml:space="preserve"> 8.2</w:t>
      </w:r>
      <w:r w:rsidRPr="00545EC0">
        <w:rPr>
          <w:rFonts w:cs="Arial"/>
          <w:i/>
          <w:lang w:val="sl-SI"/>
        </w:rPr>
        <w:t>: Prikaz pomembnih vplivov na ekološko stanje vodnih teles površinskih voda - organsko onesnaževanje</w:t>
      </w:r>
      <w:r w:rsidRPr="00545EC0" w:rsidDel="00D619CD">
        <w:rPr>
          <w:rFonts w:cs="Arial"/>
          <w:i/>
          <w:lang w:val="sl-SI"/>
        </w:rPr>
        <w:t xml:space="preserve"> </w:t>
      </w:r>
    </w:p>
    <w:p w14:paraId="649C2287" w14:textId="6B7020EB" w:rsidR="00567AB6" w:rsidRPr="00545EC0" w:rsidRDefault="00567AB6" w:rsidP="00DD37C5">
      <w:pPr>
        <w:pStyle w:val="Odstavekseznama"/>
        <w:numPr>
          <w:ilvl w:val="0"/>
          <w:numId w:val="32"/>
        </w:numPr>
        <w:tabs>
          <w:tab w:val="center" w:pos="426"/>
        </w:tabs>
        <w:overflowPunct/>
        <w:autoSpaceDE/>
        <w:autoSpaceDN/>
        <w:adjustRightInd/>
        <w:ind w:left="426" w:hanging="426"/>
        <w:contextualSpacing/>
        <w:textAlignment w:val="auto"/>
        <w:rPr>
          <w:rFonts w:cs="Arial"/>
          <w:i/>
          <w:lang w:val="sl-SI"/>
        </w:rPr>
      </w:pPr>
      <w:r w:rsidRPr="00545EC0">
        <w:rPr>
          <w:rFonts w:cs="Arial"/>
          <w:i/>
          <w:lang w:val="sl-SI"/>
        </w:rPr>
        <w:t>Publikacijska karta</w:t>
      </w:r>
      <w:r w:rsidR="00406706" w:rsidRPr="00545EC0">
        <w:rPr>
          <w:rFonts w:cs="Arial"/>
          <w:i/>
          <w:lang w:val="sl-SI"/>
        </w:rPr>
        <w:t xml:space="preserve"> 8.3</w:t>
      </w:r>
      <w:r w:rsidRPr="00545EC0">
        <w:rPr>
          <w:rFonts w:cs="Arial"/>
          <w:i/>
          <w:lang w:val="sl-SI"/>
        </w:rPr>
        <w:t>: Prikaz pomembnih vplivov na ekološko stanje vodnih teles površinskih voda - onesnaževanje s posebnimi onesnaževali</w:t>
      </w:r>
      <w:r w:rsidRPr="00545EC0" w:rsidDel="00D619CD">
        <w:rPr>
          <w:rFonts w:cs="Arial"/>
          <w:i/>
          <w:lang w:val="sl-SI"/>
        </w:rPr>
        <w:t xml:space="preserve"> </w:t>
      </w:r>
    </w:p>
    <w:p w14:paraId="54E57806" w14:textId="67B513E4" w:rsidR="00567AB6" w:rsidRPr="00545EC0" w:rsidRDefault="00567AB6" w:rsidP="00DD37C5">
      <w:pPr>
        <w:pStyle w:val="Odstavekseznama"/>
        <w:numPr>
          <w:ilvl w:val="0"/>
          <w:numId w:val="32"/>
        </w:numPr>
        <w:tabs>
          <w:tab w:val="center" w:pos="426"/>
        </w:tabs>
        <w:overflowPunct/>
        <w:autoSpaceDE/>
        <w:autoSpaceDN/>
        <w:adjustRightInd/>
        <w:ind w:left="426" w:hanging="426"/>
        <w:contextualSpacing/>
        <w:textAlignment w:val="auto"/>
        <w:rPr>
          <w:rFonts w:cs="Arial"/>
          <w:i/>
          <w:lang w:val="sl-SI"/>
        </w:rPr>
      </w:pPr>
      <w:r w:rsidRPr="00545EC0">
        <w:rPr>
          <w:rFonts w:cs="Arial"/>
          <w:i/>
          <w:lang w:val="sl-SI"/>
        </w:rPr>
        <w:t>Publikacijska karta</w:t>
      </w:r>
      <w:r w:rsidR="00406706" w:rsidRPr="00545EC0">
        <w:rPr>
          <w:rFonts w:cs="Arial"/>
          <w:i/>
          <w:lang w:val="sl-SI"/>
        </w:rPr>
        <w:t xml:space="preserve"> 8.4</w:t>
      </w:r>
      <w:r w:rsidRPr="00545EC0">
        <w:rPr>
          <w:rFonts w:cs="Arial"/>
          <w:i/>
          <w:lang w:val="sl-SI"/>
        </w:rPr>
        <w:t xml:space="preserve">: </w:t>
      </w:r>
      <w:r w:rsidRPr="00545EC0">
        <w:rPr>
          <w:rFonts w:ascii="Helv" w:eastAsia="Calibri" w:hAnsi="Helv" w:cs="Helv"/>
          <w:i/>
          <w:szCs w:val="20"/>
        </w:rPr>
        <w:t>Prikaz pomembnih vplivov dVTPV - Pomembni vplivi na ekološko stanje zaradi spremenjenega hidrološkega režima</w:t>
      </w:r>
    </w:p>
    <w:p w14:paraId="2B4BA224" w14:textId="28C91182" w:rsidR="006B7879" w:rsidRPr="00545EC0" w:rsidRDefault="006B7879" w:rsidP="00DD37C5">
      <w:pPr>
        <w:pStyle w:val="Odstavekseznama"/>
        <w:numPr>
          <w:ilvl w:val="0"/>
          <w:numId w:val="32"/>
        </w:numPr>
        <w:tabs>
          <w:tab w:val="center" w:pos="426"/>
        </w:tabs>
        <w:overflowPunct/>
        <w:autoSpaceDE/>
        <w:autoSpaceDN/>
        <w:adjustRightInd/>
        <w:ind w:left="426" w:hanging="426"/>
        <w:contextualSpacing/>
        <w:textAlignment w:val="auto"/>
        <w:rPr>
          <w:rFonts w:cs="Arial"/>
          <w:i/>
          <w:lang w:val="sl-SI"/>
        </w:rPr>
      </w:pPr>
      <w:r w:rsidRPr="00545EC0">
        <w:rPr>
          <w:rFonts w:cs="Arial"/>
          <w:i/>
          <w:lang w:val="sl-SI"/>
        </w:rPr>
        <w:t>Publikacijska karta</w:t>
      </w:r>
      <w:r w:rsidR="00406706" w:rsidRPr="00545EC0">
        <w:rPr>
          <w:rFonts w:cs="Arial"/>
          <w:i/>
          <w:lang w:val="sl-SI"/>
        </w:rPr>
        <w:t xml:space="preserve"> 8.5</w:t>
      </w:r>
      <w:r w:rsidRPr="00545EC0">
        <w:rPr>
          <w:rFonts w:cs="Arial"/>
          <w:i/>
          <w:lang w:val="sl-SI"/>
        </w:rPr>
        <w:t xml:space="preserve">: </w:t>
      </w:r>
      <w:r w:rsidR="00567AB6" w:rsidRPr="00545EC0">
        <w:rPr>
          <w:rFonts w:ascii="Helv" w:eastAsia="Calibri" w:hAnsi="Helv" w:cs="Helv"/>
          <w:i/>
          <w:szCs w:val="20"/>
        </w:rPr>
        <w:t>Prikaz pomembnih vplivov dVTPV - Pomembni vplivi na ekološko stanje zaradi spremenjene zveznosti toka</w:t>
      </w:r>
    </w:p>
    <w:p w14:paraId="4AAF1AB3" w14:textId="44B16F7C" w:rsidR="006B7879" w:rsidRPr="00545EC0" w:rsidRDefault="00567AB6" w:rsidP="00DD37C5">
      <w:pPr>
        <w:pStyle w:val="Odstavekseznama"/>
        <w:numPr>
          <w:ilvl w:val="0"/>
          <w:numId w:val="32"/>
        </w:numPr>
        <w:tabs>
          <w:tab w:val="center" w:pos="426"/>
        </w:tabs>
        <w:overflowPunct/>
        <w:autoSpaceDE/>
        <w:autoSpaceDN/>
        <w:adjustRightInd/>
        <w:ind w:left="426" w:hanging="426"/>
        <w:contextualSpacing/>
        <w:textAlignment w:val="auto"/>
        <w:rPr>
          <w:rFonts w:cs="Arial"/>
          <w:i/>
          <w:lang w:val="sl-SI"/>
        </w:rPr>
      </w:pPr>
      <w:r w:rsidRPr="00545EC0">
        <w:rPr>
          <w:rFonts w:cs="Arial"/>
          <w:i/>
          <w:lang w:val="sl-SI"/>
        </w:rPr>
        <w:t>Publikacijska karta</w:t>
      </w:r>
      <w:r w:rsidR="00406706" w:rsidRPr="00545EC0">
        <w:rPr>
          <w:rFonts w:cs="Arial"/>
          <w:i/>
          <w:lang w:val="sl-SI"/>
        </w:rPr>
        <w:t xml:space="preserve"> 8.6</w:t>
      </w:r>
      <w:r w:rsidRPr="00545EC0">
        <w:rPr>
          <w:rFonts w:cs="Arial"/>
          <w:i/>
          <w:lang w:val="sl-SI"/>
        </w:rPr>
        <w:t xml:space="preserve">: </w:t>
      </w:r>
      <w:r w:rsidRPr="00545EC0">
        <w:rPr>
          <w:rFonts w:ascii="Helv" w:eastAsia="Calibri" w:hAnsi="Helv" w:cs="Helv"/>
          <w:i/>
          <w:szCs w:val="20"/>
        </w:rPr>
        <w:t>Prikaz pomembnih vplivov dVTPV - Pomembni vplivi na ekološko stanje zaradi spremenjenih morfoloških razmer</w:t>
      </w:r>
      <w:r w:rsidRPr="00545EC0" w:rsidDel="00050F8B">
        <w:rPr>
          <w:rFonts w:cs="Arial"/>
          <w:i/>
          <w:lang w:val="sl-SI"/>
        </w:rPr>
        <w:t xml:space="preserve"> </w:t>
      </w:r>
    </w:p>
    <w:p w14:paraId="2285D385" w14:textId="77777777" w:rsidR="00DC21D7" w:rsidRPr="00545EC0" w:rsidRDefault="00DC21D7" w:rsidP="00DC21D7">
      <w:pPr>
        <w:tabs>
          <w:tab w:val="center" w:pos="426"/>
        </w:tabs>
        <w:overflowPunct/>
        <w:autoSpaceDE/>
        <w:autoSpaceDN/>
        <w:adjustRightInd/>
        <w:contextualSpacing/>
        <w:textAlignment w:val="auto"/>
        <w:rPr>
          <w:rFonts w:cs="Arial"/>
          <w:i/>
        </w:rPr>
      </w:pPr>
    </w:p>
    <w:p w14:paraId="27826ED8" w14:textId="697E2CFE" w:rsidR="00DC21D7" w:rsidRPr="00545EC0" w:rsidRDefault="00DC21D7" w:rsidP="008E7796">
      <w:pPr>
        <w:rPr>
          <w:b/>
          <w:i/>
        </w:rPr>
      </w:pPr>
      <w:r w:rsidRPr="00545EC0">
        <w:rPr>
          <w:b/>
          <w:i/>
        </w:rPr>
        <w:t xml:space="preserve">Pomembni vplivi na ekološko stanje površinskih voda zaradi onesnaževanja s hranili </w:t>
      </w:r>
    </w:p>
    <w:p w14:paraId="186E820F" w14:textId="77777777" w:rsidR="008E7796" w:rsidRPr="00545EC0" w:rsidRDefault="008E7796" w:rsidP="008E7796">
      <w:pPr>
        <w:rPr>
          <w:b/>
          <w:i/>
        </w:rPr>
      </w:pPr>
    </w:p>
    <w:p w14:paraId="51E3211F" w14:textId="377068AF" w:rsidR="00DC21D7" w:rsidRPr="00545EC0" w:rsidRDefault="00DC21D7" w:rsidP="00DC21D7">
      <w:pPr>
        <w:tabs>
          <w:tab w:val="center" w:pos="426"/>
        </w:tabs>
        <w:overflowPunct/>
        <w:autoSpaceDE/>
        <w:autoSpaceDN/>
        <w:adjustRightInd/>
        <w:contextualSpacing/>
        <w:textAlignment w:val="auto"/>
        <w:rPr>
          <w:rFonts w:cs="Arial"/>
          <w:szCs w:val="22"/>
        </w:rPr>
      </w:pPr>
      <w:r w:rsidRPr="00545EC0">
        <w:rPr>
          <w:rFonts w:cs="Arial"/>
        </w:rPr>
        <w:lastRenderedPageBreak/>
        <w:t xml:space="preserve">Pomembni vplivi na ekološko stanje površinskih voda zaradi onesnaževanja s hranili so za posamezna vodna telesa opredeljeni na podlagi kombinacije prepoznanih pomembnih obremenitev </w:t>
      </w:r>
      <w:r w:rsidRPr="00545EC0">
        <w:rPr>
          <w:rFonts w:cs="Arial"/>
          <w:szCs w:val="22"/>
        </w:rPr>
        <w:t xml:space="preserve">in </w:t>
      </w:r>
      <w:r w:rsidRPr="00545EC0">
        <w:rPr>
          <w:rFonts w:cs="Arial"/>
        </w:rPr>
        <w:t xml:space="preserve">na podlagi podatkov </w:t>
      </w:r>
      <w:r w:rsidRPr="00545EC0">
        <w:rPr>
          <w:rFonts w:cs="Arial"/>
          <w:szCs w:val="22"/>
        </w:rPr>
        <w:t xml:space="preserve">ocene stanja voda, upoštevajoč raven zaupanja ocene stanja in </w:t>
      </w:r>
      <w:r w:rsidRPr="00545EC0">
        <w:rPr>
          <w:rFonts w:cs="Arial"/>
        </w:rPr>
        <w:t>biološke elemente kakovosti za reke (fitobentos in makrofiti ter bentoški nevretenčarji), jezera (fitobentos</w:t>
      </w:r>
      <w:r w:rsidR="00357381" w:rsidRPr="00545EC0">
        <w:rPr>
          <w:rFonts w:cs="Arial"/>
        </w:rPr>
        <w:t xml:space="preserve"> in makrofiti ter fitoplankton)</w:t>
      </w:r>
      <w:r w:rsidR="00F01D64" w:rsidRPr="00545EC0">
        <w:rPr>
          <w:rFonts w:cs="Arial"/>
        </w:rPr>
        <w:t>.</w:t>
      </w:r>
    </w:p>
    <w:p w14:paraId="117A8C23" w14:textId="77777777" w:rsidR="00DC21D7" w:rsidRPr="00545EC0" w:rsidRDefault="00DC21D7" w:rsidP="00DC21D7">
      <w:pPr>
        <w:tabs>
          <w:tab w:val="center" w:pos="426"/>
        </w:tabs>
        <w:overflowPunct/>
        <w:autoSpaceDE/>
        <w:autoSpaceDN/>
        <w:adjustRightInd/>
        <w:contextualSpacing/>
        <w:textAlignment w:val="auto"/>
        <w:rPr>
          <w:rFonts w:cs="Arial"/>
          <w:szCs w:val="22"/>
        </w:rPr>
      </w:pPr>
    </w:p>
    <w:p w14:paraId="255EE772" w14:textId="77777777" w:rsidR="00DC21D7" w:rsidRPr="00545EC0" w:rsidRDefault="00DC21D7" w:rsidP="00DC21D7">
      <w:pPr>
        <w:tabs>
          <w:tab w:val="center" w:pos="426"/>
        </w:tabs>
        <w:overflowPunct/>
        <w:autoSpaceDE/>
        <w:autoSpaceDN/>
        <w:adjustRightInd/>
        <w:contextualSpacing/>
        <w:textAlignment w:val="auto"/>
        <w:rPr>
          <w:rFonts w:cs="Arial"/>
        </w:rPr>
      </w:pPr>
      <w:r w:rsidRPr="00545EC0">
        <w:rPr>
          <w:rFonts w:cs="Arial"/>
          <w:szCs w:val="22"/>
        </w:rPr>
        <w:t xml:space="preserve">Obremenitve površinskih voda, ki se v kombinaciji z oceno stanja (modul trofičnost) upoštevajo pri oceni pomembnih vplivov </w:t>
      </w:r>
      <w:r w:rsidRPr="00545EC0">
        <w:rPr>
          <w:rFonts w:cs="Arial"/>
        </w:rPr>
        <w:t>na ekološko stanje površinskih voda zaradi onesnaževanja s hranili so:</w:t>
      </w:r>
    </w:p>
    <w:p w14:paraId="44E1B3E4" w14:textId="77777777" w:rsidR="00DC21D7" w:rsidRPr="00545EC0" w:rsidRDefault="00DC21D7" w:rsidP="00DD37C5">
      <w:pPr>
        <w:pStyle w:val="Odstavekseznama"/>
        <w:numPr>
          <w:ilvl w:val="0"/>
          <w:numId w:val="32"/>
        </w:numPr>
        <w:tabs>
          <w:tab w:val="center" w:pos="426"/>
        </w:tabs>
        <w:overflowPunct/>
        <w:autoSpaceDE/>
        <w:autoSpaceDN/>
        <w:adjustRightInd/>
        <w:contextualSpacing/>
        <w:textAlignment w:val="auto"/>
        <w:rPr>
          <w:rFonts w:cs="Arial"/>
        </w:rPr>
      </w:pPr>
      <w:r w:rsidRPr="00545EC0">
        <w:rPr>
          <w:lang w:val="sl-SI"/>
        </w:rPr>
        <w:t>točkovni viri industrijske odpadne vode</w:t>
      </w:r>
      <w:r w:rsidRPr="00545EC0">
        <w:t xml:space="preserve">, </w:t>
      </w:r>
    </w:p>
    <w:p w14:paraId="21BF0381" w14:textId="77777777" w:rsidR="00DC21D7" w:rsidRPr="00545EC0" w:rsidRDefault="00DC21D7" w:rsidP="00DD37C5">
      <w:pPr>
        <w:pStyle w:val="Odstavekseznama"/>
        <w:numPr>
          <w:ilvl w:val="0"/>
          <w:numId w:val="32"/>
        </w:numPr>
        <w:tabs>
          <w:tab w:val="center" w:pos="426"/>
        </w:tabs>
        <w:overflowPunct/>
        <w:autoSpaceDE/>
        <w:autoSpaceDN/>
        <w:adjustRightInd/>
        <w:contextualSpacing/>
        <w:textAlignment w:val="auto"/>
        <w:rPr>
          <w:rFonts w:cs="Arial"/>
        </w:rPr>
      </w:pPr>
      <w:r w:rsidRPr="00545EC0">
        <w:rPr>
          <w:lang w:val="sl-SI"/>
        </w:rPr>
        <w:t xml:space="preserve">točkovni viri </w:t>
      </w:r>
      <w:r w:rsidRPr="00545EC0">
        <w:t>komunalne odpadne</w:t>
      </w:r>
      <w:r w:rsidRPr="00545EC0">
        <w:rPr>
          <w:lang w:val="sl-SI"/>
        </w:rPr>
        <w:t xml:space="preserve"> vode</w:t>
      </w:r>
      <w:r w:rsidRPr="00545EC0">
        <w:t xml:space="preserve">, </w:t>
      </w:r>
    </w:p>
    <w:p w14:paraId="37F61EE4" w14:textId="1DC174F6" w:rsidR="00DC21D7" w:rsidRPr="00545EC0" w:rsidRDefault="00DC21D7" w:rsidP="00DD37C5">
      <w:pPr>
        <w:pStyle w:val="Odstavekseznama"/>
        <w:numPr>
          <w:ilvl w:val="0"/>
          <w:numId w:val="32"/>
        </w:numPr>
        <w:rPr>
          <w:rFonts w:cs="Arial"/>
        </w:rPr>
      </w:pPr>
      <w:r w:rsidRPr="00545EC0">
        <w:rPr>
          <w:rFonts w:cs="Arial"/>
        </w:rPr>
        <w:t>razpršen</w:t>
      </w:r>
      <w:r w:rsidRPr="00545EC0">
        <w:rPr>
          <w:rFonts w:cs="Arial"/>
          <w:lang w:val="sl-SI"/>
        </w:rPr>
        <w:t>i</w:t>
      </w:r>
      <w:r w:rsidRPr="00545EC0">
        <w:rPr>
          <w:rFonts w:cs="Arial"/>
        </w:rPr>
        <w:t xml:space="preserve"> vir zaradi komunalne odpadne vode, ki nastaja v objektih, ki niso priključeni na javni kanalizacijski sistem</w:t>
      </w:r>
      <w:r w:rsidR="00F01D64" w:rsidRPr="00545EC0">
        <w:rPr>
          <w:rFonts w:cs="Arial"/>
          <w:lang w:val="sl-SI"/>
        </w:rPr>
        <w:t>,</w:t>
      </w:r>
    </w:p>
    <w:p w14:paraId="780BDF0D" w14:textId="77777777" w:rsidR="00DC21D7" w:rsidRPr="00545EC0" w:rsidRDefault="00DC21D7" w:rsidP="00DD37C5">
      <w:pPr>
        <w:pStyle w:val="Odstavekseznama"/>
        <w:numPr>
          <w:ilvl w:val="0"/>
          <w:numId w:val="32"/>
        </w:numPr>
        <w:tabs>
          <w:tab w:val="center" w:pos="426"/>
        </w:tabs>
        <w:overflowPunct/>
        <w:autoSpaceDE/>
        <w:autoSpaceDN/>
        <w:adjustRightInd/>
        <w:contextualSpacing/>
        <w:textAlignment w:val="auto"/>
        <w:rPr>
          <w:rFonts w:cs="Arial"/>
        </w:rPr>
      </w:pPr>
      <w:r w:rsidRPr="00545EC0">
        <w:rPr>
          <w:rFonts w:cs="Arial"/>
        </w:rPr>
        <w:t xml:space="preserve">razpršeni </w:t>
      </w:r>
      <w:r w:rsidRPr="00545EC0">
        <w:rPr>
          <w:rFonts w:cs="Arial"/>
          <w:lang w:val="sl-SI"/>
        </w:rPr>
        <w:t>viri</w:t>
      </w:r>
      <w:r w:rsidRPr="00545EC0">
        <w:rPr>
          <w:rFonts w:cs="Arial"/>
        </w:rPr>
        <w:t xml:space="preserve"> zaradi kmetijske dejavnosti s hranili in </w:t>
      </w:r>
    </w:p>
    <w:p w14:paraId="7A78E7D6" w14:textId="77777777" w:rsidR="00DC21D7" w:rsidRPr="00545EC0" w:rsidRDefault="00DC21D7" w:rsidP="00DD37C5">
      <w:pPr>
        <w:pStyle w:val="Odstavekseznama"/>
        <w:numPr>
          <w:ilvl w:val="0"/>
          <w:numId w:val="32"/>
        </w:numPr>
        <w:tabs>
          <w:tab w:val="center" w:pos="426"/>
        </w:tabs>
        <w:overflowPunct/>
        <w:autoSpaceDE/>
        <w:autoSpaceDN/>
        <w:adjustRightInd/>
        <w:contextualSpacing/>
        <w:textAlignment w:val="auto"/>
        <w:rPr>
          <w:rFonts w:cs="Arial"/>
        </w:rPr>
      </w:pPr>
      <w:r w:rsidRPr="00545EC0">
        <w:rPr>
          <w:rFonts w:cs="Arial"/>
        </w:rPr>
        <w:t>razpršeni vir</w:t>
      </w:r>
      <w:r w:rsidRPr="00545EC0">
        <w:rPr>
          <w:rFonts w:cs="Arial"/>
          <w:lang w:val="sl-SI"/>
        </w:rPr>
        <w:t>i</w:t>
      </w:r>
      <w:r w:rsidRPr="00545EC0">
        <w:rPr>
          <w:rFonts w:cs="Arial"/>
        </w:rPr>
        <w:t xml:space="preserve"> zaradi odlaganja snovi iz zraka (t.i. atmosferske depozicije)</w:t>
      </w:r>
      <w:r w:rsidRPr="00545EC0">
        <w:rPr>
          <w:rFonts w:cs="Arial"/>
          <w:lang w:val="sl-SI"/>
        </w:rPr>
        <w:t>.</w:t>
      </w:r>
      <w:r w:rsidRPr="00545EC0">
        <w:rPr>
          <w:rFonts w:cs="Arial"/>
        </w:rPr>
        <w:t xml:space="preserve"> </w:t>
      </w:r>
    </w:p>
    <w:p w14:paraId="0B62EF29" w14:textId="77777777" w:rsidR="00DC21D7" w:rsidRPr="00545EC0" w:rsidRDefault="00DC21D7" w:rsidP="00DC21D7">
      <w:pPr>
        <w:rPr>
          <w:rFonts w:cs="Arial"/>
          <w:szCs w:val="22"/>
        </w:rPr>
      </w:pPr>
    </w:p>
    <w:p w14:paraId="6D7DB974" w14:textId="7B588395" w:rsidR="00DC21D7" w:rsidRPr="00545EC0" w:rsidRDefault="00DC21D7" w:rsidP="00DC21D7">
      <w:pPr>
        <w:rPr>
          <w:rFonts w:cs="Arial"/>
          <w:szCs w:val="22"/>
        </w:rPr>
      </w:pPr>
      <w:r w:rsidRPr="00545EC0">
        <w:rPr>
          <w:rFonts w:cs="Arial"/>
          <w:szCs w:val="22"/>
        </w:rPr>
        <w:t xml:space="preserve">Za vodna telesa površinskih voda so </w:t>
      </w:r>
      <w:r w:rsidRPr="00545EC0">
        <w:rPr>
          <w:rFonts w:cs="Arial"/>
        </w:rPr>
        <w:t xml:space="preserve">na podlagi </w:t>
      </w:r>
      <w:r w:rsidRPr="00545EC0">
        <w:rPr>
          <w:rFonts w:cs="Arial"/>
          <w:szCs w:val="22"/>
        </w:rPr>
        <w:t>modelskega sistema GROWA/DENUZ/WEKU</w:t>
      </w:r>
      <w:r w:rsidRPr="00545EC0">
        <w:rPr>
          <w:rFonts w:cs="Arial"/>
        </w:rPr>
        <w:t xml:space="preserve"> iz poglavja 2.2.1 tega načrta upravljanja voda,</w:t>
      </w:r>
      <w:r w:rsidRPr="00545EC0">
        <w:rPr>
          <w:rFonts w:cs="Arial"/>
          <w:szCs w:val="22"/>
        </w:rPr>
        <w:t xml:space="preserve"> izračunani deleži emisij celotnega dušika. K obremenjevanju površinskih voda s celotnim dušikom v Sloveniji največ doprinese odlaganje snovi iz zraka (t.i. atmosferska depozicija), in sicer v primerjavi </w:t>
      </w:r>
      <w:r w:rsidR="00F01D64" w:rsidRPr="00545EC0">
        <w:rPr>
          <w:rFonts w:cs="Arial"/>
          <w:szCs w:val="22"/>
        </w:rPr>
        <w:t>z</w:t>
      </w:r>
      <w:r w:rsidRPr="00545EC0">
        <w:rPr>
          <w:rFonts w:cs="Arial"/>
          <w:szCs w:val="22"/>
        </w:rPr>
        <w:t xml:space="preserve"> ostalimi viri onesnaževanja znaša njen delež 52 %. Drugi največji vir emisij celotnega dušika v Sloveniji predstavlja kmetijska dejavnost (21 %). Temu sledi komunalna odpadna voda, ki nastaja v objektih, ki niso priključeni na javni kanalizacijski sistem (18 %) in odpadna voda, ki se odvaja iz komunalnih čistilnih naprav (9%). </w:t>
      </w:r>
    </w:p>
    <w:p w14:paraId="0B4094E0" w14:textId="77777777" w:rsidR="00DC21D7" w:rsidRPr="00545EC0" w:rsidRDefault="00DC21D7" w:rsidP="00DC21D7">
      <w:pPr>
        <w:rPr>
          <w:rFonts w:cs="Arial"/>
          <w:szCs w:val="22"/>
        </w:rPr>
      </w:pPr>
    </w:p>
    <w:p w14:paraId="479C00E9" w14:textId="77777777" w:rsidR="00DC21D7" w:rsidRPr="00545EC0" w:rsidRDefault="00DC21D7" w:rsidP="00DC21D7">
      <w:pPr>
        <w:rPr>
          <w:rFonts w:cs="Arial"/>
          <w:szCs w:val="22"/>
        </w:rPr>
      </w:pPr>
      <w:r w:rsidRPr="00545EC0">
        <w:rPr>
          <w:rFonts w:cs="Arial"/>
          <w:noProof/>
          <w:szCs w:val="22"/>
        </w:rPr>
        <w:drawing>
          <wp:inline distT="0" distB="0" distL="0" distR="0" wp14:anchorId="0AFFE309" wp14:editId="67441C10">
            <wp:extent cx="5419725" cy="3541824"/>
            <wp:effectExtent l="19050" t="19050" r="9525" b="2095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30156" cy="3548641"/>
                    </a:xfrm>
                    <a:prstGeom prst="rect">
                      <a:avLst/>
                    </a:prstGeom>
                    <a:noFill/>
                    <a:ln>
                      <a:solidFill>
                        <a:schemeClr val="bg1">
                          <a:lumMod val="85000"/>
                        </a:schemeClr>
                      </a:solidFill>
                    </a:ln>
                  </pic:spPr>
                </pic:pic>
              </a:graphicData>
            </a:graphic>
          </wp:inline>
        </w:drawing>
      </w:r>
    </w:p>
    <w:p w14:paraId="46DBB293" w14:textId="2B873CF8" w:rsidR="00DC21D7" w:rsidRPr="00545EC0" w:rsidRDefault="00DC21D7" w:rsidP="00DC21D7">
      <w:pPr>
        <w:pStyle w:val="Napis"/>
        <w:rPr>
          <w:szCs w:val="22"/>
        </w:rPr>
      </w:pPr>
      <w:r w:rsidRPr="00545EC0">
        <w:t xml:space="preserve">Slika </w:t>
      </w:r>
      <w:fldSimple w:instr=" STYLEREF 1 \s ">
        <w:r w:rsidR="002F3E43">
          <w:rPr>
            <w:noProof/>
          </w:rPr>
          <w:t>2</w:t>
        </w:r>
      </w:fldSimple>
      <w:r w:rsidR="00396E1E" w:rsidRPr="00545EC0">
        <w:noBreakHyphen/>
      </w:r>
      <w:fldSimple w:instr=" SEQ Slika \* ARABIC \s 1 ">
        <w:r w:rsidR="002F3E43">
          <w:rPr>
            <w:noProof/>
          </w:rPr>
          <w:t>30</w:t>
        </w:r>
      </w:fldSimple>
      <w:r w:rsidRPr="00545EC0">
        <w:t>: Delež emisij celotnega dušika v površinske vode v Sloveniji iz različnih virov obremenjevanja</w:t>
      </w:r>
    </w:p>
    <w:p w14:paraId="755E99A0" w14:textId="77777777" w:rsidR="00DC21D7" w:rsidRPr="00545EC0" w:rsidRDefault="00DC21D7" w:rsidP="00DC21D7">
      <w:pPr>
        <w:rPr>
          <w:rFonts w:cs="Arial"/>
          <w:szCs w:val="22"/>
        </w:rPr>
      </w:pPr>
    </w:p>
    <w:p w14:paraId="4938825D" w14:textId="77777777" w:rsidR="00DC21D7" w:rsidRPr="00545EC0" w:rsidRDefault="00DC21D7" w:rsidP="00DC21D7">
      <w:pPr>
        <w:rPr>
          <w:rFonts w:cs="Arial"/>
          <w:szCs w:val="22"/>
        </w:rPr>
      </w:pPr>
      <w:r w:rsidRPr="00545EC0">
        <w:rPr>
          <w:rFonts w:cs="Arial"/>
          <w:szCs w:val="22"/>
        </w:rPr>
        <w:t>Kmetijska dejavnost, poleg odlaganja snovi iz zraka, največ prispeva k obremenjevanju površinskih voda na porečju Mure (43%) in Drave (32%) ter na območju spodnje Save (20%).</w:t>
      </w:r>
    </w:p>
    <w:p w14:paraId="17EE1190" w14:textId="77777777" w:rsidR="00DC21D7" w:rsidRPr="00545EC0" w:rsidRDefault="00DC21D7" w:rsidP="00DC21D7">
      <w:pPr>
        <w:rPr>
          <w:rFonts w:cs="Arial"/>
          <w:szCs w:val="22"/>
        </w:rPr>
      </w:pPr>
    </w:p>
    <w:p w14:paraId="23248ABF" w14:textId="77777777" w:rsidR="00DC21D7" w:rsidRPr="00545EC0" w:rsidRDefault="00DC21D7" w:rsidP="00DC21D7">
      <w:pPr>
        <w:rPr>
          <w:rFonts w:cs="Arial"/>
          <w:szCs w:val="22"/>
        </w:rPr>
      </w:pPr>
      <w:r w:rsidRPr="00545EC0">
        <w:rPr>
          <w:rFonts w:cs="Arial"/>
          <w:noProof/>
          <w:szCs w:val="22"/>
        </w:rPr>
        <w:lastRenderedPageBreak/>
        <w:drawing>
          <wp:inline distT="0" distB="0" distL="0" distR="0" wp14:anchorId="708EBC6B" wp14:editId="09095809">
            <wp:extent cx="5625909" cy="3171825"/>
            <wp:effectExtent l="19050" t="19050" r="13335"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25225" cy="3171439"/>
                    </a:xfrm>
                    <a:prstGeom prst="rect">
                      <a:avLst/>
                    </a:prstGeom>
                    <a:noFill/>
                    <a:ln>
                      <a:solidFill>
                        <a:schemeClr val="bg1">
                          <a:lumMod val="85000"/>
                        </a:schemeClr>
                      </a:solidFill>
                    </a:ln>
                  </pic:spPr>
                </pic:pic>
              </a:graphicData>
            </a:graphic>
          </wp:inline>
        </w:drawing>
      </w:r>
    </w:p>
    <w:p w14:paraId="4BEB7529" w14:textId="4749B68D" w:rsidR="00DC21D7" w:rsidRPr="00545EC0" w:rsidRDefault="00DC21D7" w:rsidP="00DC21D7">
      <w:pPr>
        <w:pStyle w:val="Napis"/>
        <w:rPr>
          <w:szCs w:val="22"/>
        </w:rPr>
      </w:pPr>
      <w:r w:rsidRPr="00545EC0">
        <w:t xml:space="preserve">Slika </w:t>
      </w:r>
      <w:fldSimple w:instr=" STYLEREF 1 \s ">
        <w:r w:rsidR="002F3E43">
          <w:rPr>
            <w:noProof/>
          </w:rPr>
          <w:t>2</w:t>
        </w:r>
      </w:fldSimple>
      <w:r w:rsidR="00396E1E" w:rsidRPr="00545EC0">
        <w:noBreakHyphen/>
      </w:r>
      <w:fldSimple w:instr=" SEQ Slika \* ARABIC \s 1 ">
        <w:r w:rsidR="002F3E43">
          <w:rPr>
            <w:noProof/>
          </w:rPr>
          <w:t>31</w:t>
        </w:r>
      </w:fldSimple>
      <w:r w:rsidRPr="00545EC0">
        <w:t>: Delež emisij celotnega dušika v površinske vode iz različnih virov obremenjevanja na porečjih VO Donave</w:t>
      </w:r>
    </w:p>
    <w:p w14:paraId="3A244933" w14:textId="77777777" w:rsidR="00F01D64" w:rsidRPr="00545EC0" w:rsidRDefault="00F01D64" w:rsidP="00DC21D7">
      <w:pPr>
        <w:rPr>
          <w:rFonts w:cs="Arial"/>
          <w:szCs w:val="22"/>
        </w:rPr>
      </w:pPr>
    </w:p>
    <w:p w14:paraId="589EC386" w14:textId="3EDC82EC" w:rsidR="00E03734" w:rsidRPr="00545EC0" w:rsidRDefault="00F01D64" w:rsidP="00DC21D7">
      <w:pPr>
        <w:rPr>
          <w:rFonts w:cs="Arial"/>
          <w:szCs w:val="22"/>
        </w:rPr>
      </w:pPr>
      <w:r w:rsidRPr="00545EC0">
        <w:rPr>
          <w:rFonts w:cs="Arial"/>
          <w:szCs w:val="22"/>
        </w:rPr>
        <w:t>Za v</w:t>
      </w:r>
      <w:r w:rsidR="00DC21D7" w:rsidRPr="00545EC0">
        <w:rPr>
          <w:rFonts w:cs="Arial"/>
          <w:szCs w:val="22"/>
        </w:rPr>
        <w:t>odna telesa površinskih voda</w:t>
      </w:r>
      <w:r w:rsidRPr="00545EC0">
        <w:rPr>
          <w:rFonts w:cs="Arial"/>
          <w:szCs w:val="22"/>
        </w:rPr>
        <w:t>,</w:t>
      </w:r>
      <w:r w:rsidR="00DC21D7" w:rsidRPr="00545EC0">
        <w:rPr>
          <w:rFonts w:cs="Arial"/>
          <w:szCs w:val="22"/>
        </w:rPr>
        <w:t xml:space="preserve"> kjer so na podlagi kombinacije prepoznanih pomembnih obremenitev in ocene stanja površinskih voda, ki glede na podatke državnega monitoringa površinskih voda iz obdobja 2014–2019 ne dosegajo dobrega ekološkega stanja zaradi prekomerne obremenitve s hranili (modul trofičnost), </w:t>
      </w:r>
      <w:r w:rsidRPr="00545EC0">
        <w:rPr>
          <w:rFonts w:cs="Arial"/>
          <w:szCs w:val="22"/>
        </w:rPr>
        <w:t xml:space="preserve">so </w:t>
      </w:r>
      <w:r w:rsidR="00DC21D7" w:rsidRPr="00545EC0">
        <w:rPr>
          <w:rFonts w:cs="Arial"/>
          <w:szCs w:val="22"/>
        </w:rPr>
        <w:t xml:space="preserve">opredeljeni pomembni vplivi na ekološko stanje površinskih voda zaradi obremenjevanja s </w:t>
      </w:r>
      <w:r w:rsidR="002B630B" w:rsidRPr="00545EC0">
        <w:rPr>
          <w:rFonts w:cs="Arial"/>
          <w:szCs w:val="22"/>
        </w:rPr>
        <w:t>celotnim dušikom in fosforjem</w:t>
      </w:r>
      <w:r w:rsidRPr="00545EC0">
        <w:rPr>
          <w:rFonts w:cs="Arial"/>
          <w:szCs w:val="22"/>
        </w:rPr>
        <w:t>.</w:t>
      </w:r>
      <w:r w:rsidR="00D928DC" w:rsidRPr="00545EC0">
        <w:rPr>
          <w:rFonts w:cs="Arial"/>
          <w:szCs w:val="22"/>
        </w:rPr>
        <w:t xml:space="preserve"> Pomembnimi vpliv na ekološko stanje površinskih voda so ocenjeni za vodna telesa vodotokov</w:t>
      </w:r>
      <w:r w:rsidR="00BE2293" w:rsidRPr="00545EC0">
        <w:rPr>
          <w:rFonts w:cs="Arial"/>
          <w:szCs w:val="22"/>
        </w:rPr>
        <w:t xml:space="preserve"> na podlagi obremenitev s celotnim dušikom</w:t>
      </w:r>
      <w:r w:rsidR="00D928DC" w:rsidRPr="00545EC0">
        <w:rPr>
          <w:rFonts w:cs="Arial"/>
          <w:szCs w:val="22"/>
        </w:rPr>
        <w:t xml:space="preserve">, medtem ko so </w:t>
      </w:r>
      <w:r w:rsidR="00BE2293" w:rsidRPr="00545EC0">
        <w:rPr>
          <w:rFonts w:cs="Arial"/>
          <w:szCs w:val="22"/>
        </w:rPr>
        <w:t xml:space="preserve">za </w:t>
      </w:r>
      <w:r w:rsidR="00D928DC" w:rsidRPr="00545EC0">
        <w:rPr>
          <w:rFonts w:cs="Arial"/>
          <w:szCs w:val="22"/>
        </w:rPr>
        <w:t>jezersk</w:t>
      </w:r>
      <w:r w:rsidR="00BE2293" w:rsidRPr="00545EC0">
        <w:rPr>
          <w:rFonts w:cs="Arial"/>
          <w:szCs w:val="22"/>
        </w:rPr>
        <w:t>e</w:t>
      </w:r>
      <w:r w:rsidR="00D928DC" w:rsidRPr="00545EC0">
        <w:rPr>
          <w:rFonts w:cs="Arial"/>
          <w:szCs w:val="22"/>
        </w:rPr>
        <w:t xml:space="preserve"> ekosistem</w:t>
      </w:r>
      <w:r w:rsidR="00BE2293" w:rsidRPr="00545EC0">
        <w:rPr>
          <w:rFonts w:cs="Arial"/>
          <w:szCs w:val="22"/>
        </w:rPr>
        <w:t>e ključne obremenitve s</w:t>
      </w:r>
      <w:r w:rsidR="00D928DC" w:rsidRPr="00545EC0">
        <w:rPr>
          <w:rFonts w:cs="Arial"/>
        </w:rPr>
        <w:t xml:space="preserve"> fosforj</w:t>
      </w:r>
      <w:r w:rsidR="00BE2293" w:rsidRPr="00545EC0">
        <w:rPr>
          <w:rFonts w:cs="Arial"/>
        </w:rPr>
        <w:t>em</w:t>
      </w:r>
      <w:r w:rsidR="00D928DC" w:rsidRPr="00545EC0">
        <w:rPr>
          <w:rFonts w:cs="Arial"/>
          <w:szCs w:val="22"/>
        </w:rPr>
        <w:t>.</w:t>
      </w:r>
    </w:p>
    <w:p w14:paraId="4C77FF85" w14:textId="77777777" w:rsidR="00F22933" w:rsidRPr="00545EC0" w:rsidRDefault="00F22933" w:rsidP="00DC21D7">
      <w:pPr>
        <w:rPr>
          <w:rFonts w:cs="Arial"/>
          <w:szCs w:val="22"/>
        </w:rPr>
      </w:pPr>
    </w:p>
    <w:p w14:paraId="3CF8943A" w14:textId="74A4B759" w:rsidR="00DC21D7" w:rsidRPr="00545EC0" w:rsidRDefault="002B630B" w:rsidP="00DC21D7">
      <w:pPr>
        <w:rPr>
          <w:rFonts w:cs="Arial"/>
          <w:szCs w:val="22"/>
        </w:rPr>
      </w:pPr>
      <w:r w:rsidRPr="00545EC0">
        <w:rPr>
          <w:rFonts w:cs="Arial"/>
          <w:szCs w:val="22"/>
        </w:rPr>
        <w:t>Z</w:t>
      </w:r>
      <w:r w:rsidR="00DC21D7" w:rsidRPr="00545EC0">
        <w:rPr>
          <w:rFonts w:cs="Arial"/>
          <w:szCs w:val="22"/>
        </w:rPr>
        <w:t>a vodna telesa površinskih voda</w:t>
      </w:r>
      <w:r w:rsidR="00C32146" w:rsidRPr="00545EC0">
        <w:rPr>
          <w:rFonts w:cs="Arial"/>
          <w:szCs w:val="22"/>
        </w:rPr>
        <w:t xml:space="preserve"> vodotokov</w:t>
      </w:r>
      <w:r w:rsidR="00DC21D7" w:rsidRPr="00545EC0">
        <w:rPr>
          <w:rFonts w:cs="Arial"/>
          <w:szCs w:val="22"/>
        </w:rPr>
        <w:t xml:space="preserve"> s pomembnimi vpliv na ekološko stanje površinskih voda zaradi </w:t>
      </w:r>
      <w:r w:rsidR="00C32146" w:rsidRPr="00545EC0">
        <w:rPr>
          <w:rFonts w:cs="Arial"/>
          <w:szCs w:val="22"/>
        </w:rPr>
        <w:t xml:space="preserve">onesnaževanja s </w:t>
      </w:r>
      <w:r w:rsidRPr="00545EC0">
        <w:rPr>
          <w:rFonts w:cs="Arial"/>
          <w:szCs w:val="22"/>
        </w:rPr>
        <w:t>celotnim dušikom, so v preglednici (</w:t>
      </w:r>
      <w:r w:rsidRPr="00545EC0">
        <w:rPr>
          <w:rFonts w:cs="Arial"/>
          <w:szCs w:val="22"/>
        </w:rPr>
        <w:fldChar w:fldCharType="begin"/>
      </w:r>
      <w:r w:rsidRPr="00545EC0">
        <w:rPr>
          <w:rFonts w:cs="Arial"/>
          <w:szCs w:val="22"/>
        </w:rPr>
        <w:instrText xml:space="preserve"> REF _Ref84496903 \h </w:instrText>
      </w:r>
      <w:r w:rsidR="003122F4" w:rsidRPr="00545EC0">
        <w:rPr>
          <w:rFonts w:cs="Arial"/>
          <w:szCs w:val="22"/>
        </w:rPr>
        <w:instrText xml:space="preserve"> \* MERGEFORMAT </w:instrText>
      </w:r>
      <w:r w:rsidRPr="00545EC0">
        <w:rPr>
          <w:rFonts w:cs="Arial"/>
          <w:szCs w:val="22"/>
        </w:rPr>
      </w:r>
      <w:r w:rsidRPr="00545EC0">
        <w:rPr>
          <w:rFonts w:cs="Arial"/>
          <w:szCs w:val="22"/>
        </w:rPr>
        <w:fldChar w:fldCharType="separate"/>
      </w:r>
      <w:r w:rsidR="002F3E43" w:rsidRPr="00545EC0">
        <w:t xml:space="preserve">Preglednica </w:t>
      </w:r>
      <w:r w:rsidR="002F3E43">
        <w:rPr>
          <w:noProof/>
        </w:rPr>
        <w:t>2</w:t>
      </w:r>
      <w:r w:rsidR="002F3E43" w:rsidRPr="00545EC0">
        <w:rPr>
          <w:noProof/>
        </w:rPr>
        <w:noBreakHyphen/>
      </w:r>
      <w:r w:rsidR="002F3E43">
        <w:rPr>
          <w:noProof/>
        </w:rPr>
        <w:t>40</w:t>
      </w:r>
      <w:r w:rsidRPr="00545EC0">
        <w:rPr>
          <w:rFonts w:cs="Arial"/>
          <w:szCs w:val="22"/>
        </w:rPr>
        <w:fldChar w:fldCharType="end"/>
      </w:r>
      <w:r w:rsidRPr="00545EC0">
        <w:rPr>
          <w:rFonts w:cs="Arial"/>
          <w:szCs w:val="22"/>
        </w:rPr>
        <w:t>)</w:t>
      </w:r>
      <w:r w:rsidR="00DC21D7" w:rsidRPr="00545EC0">
        <w:rPr>
          <w:rFonts w:cs="Arial"/>
          <w:szCs w:val="22"/>
        </w:rPr>
        <w:t xml:space="preserve"> podani deleži emisij celotnega dušika v </w:t>
      </w:r>
      <w:r w:rsidRPr="00545EC0">
        <w:rPr>
          <w:rFonts w:cs="Arial"/>
          <w:szCs w:val="22"/>
        </w:rPr>
        <w:t xml:space="preserve">vodna telesa </w:t>
      </w:r>
      <w:r w:rsidR="00D928DC" w:rsidRPr="00545EC0">
        <w:rPr>
          <w:rFonts w:cs="Arial"/>
          <w:szCs w:val="22"/>
        </w:rPr>
        <w:t>vodotokov</w:t>
      </w:r>
      <w:r w:rsidRPr="00545EC0">
        <w:rPr>
          <w:rFonts w:cs="Arial"/>
          <w:szCs w:val="22"/>
        </w:rPr>
        <w:t xml:space="preserve"> iz različnih virov obremenjevanja</w:t>
      </w:r>
      <w:r w:rsidR="00DC21D7" w:rsidRPr="00545EC0">
        <w:rPr>
          <w:rFonts w:cs="Arial"/>
          <w:szCs w:val="22"/>
        </w:rPr>
        <w:t xml:space="preserve">. Kmetijska dejavnost, poleg odlaganja snovi iz zraka, prispeva več kot 23 % skupne obremenitve celotnega dušika na </w:t>
      </w:r>
      <w:r w:rsidR="00C32146" w:rsidRPr="00545EC0">
        <w:rPr>
          <w:rFonts w:cs="Arial"/>
          <w:szCs w:val="22"/>
        </w:rPr>
        <w:t xml:space="preserve">13 </w:t>
      </w:r>
      <w:r w:rsidR="00DC21D7" w:rsidRPr="00545EC0">
        <w:rPr>
          <w:rFonts w:cs="Arial"/>
          <w:szCs w:val="22"/>
        </w:rPr>
        <w:t xml:space="preserve">od </w:t>
      </w:r>
      <w:r w:rsidR="00C32146" w:rsidRPr="00545EC0">
        <w:rPr>
          <w:rFonts w:cs="Arial"/>
          <w:szCs w:val="22"/>
        </w:rPr>
        <w:t>19</w:t>
      </w:r>
      <w:r w:rsidR="00DC21D7" w:rsidRPr="00545EC0">
        <w:rPr>
          <w:rFonts w:cs="Arial"/>
          <w:szCs w:val="22"/>
        </w:rPr>
        <w:t xml:space="preserve"> vodnih telesih površinskih voda</w:t>
      </w:r>
      <w:r w:rsidR="00C32146" w:rsidRPr="00545EC0">
        <w:rPr>
          <w:rFonts w:cs="Arial"/>
          <w:szCs w:val="22"/>
        </w:rPr>
        <w:t xml:space="preserve"> vodotokov</w:t>
      </w:r>
      <w:r w:rsidR="00DC21D7" w:rsidRPr="00545EC0">
        <w:rPr>
          <w:rFonts w:cs="Arial"/>
          <w:szCs w:val="22"/>
        </w:rPr>
        <w:t xml:space="preserve">. </w:t>
      </w:r>
    </w:p>
    <w:p w14:paraId="275B4146" w14:textId="77777777" w:rsidR="00DC21D7" w:rsidRPr="00545EC0" w:rsidRDefault="00DC21D7" w:rsidP="00DC21D7">
      <w:pPr>
        <w:spacing w:line="240" w:lineRule="auto"/>
        <w:rPr>
          <w:rFonts w:cs="Arial"/>
          <w:szCs w:val="20"/>
        </w:rPr>
      </w:pPr>
    </w:p>
    <w:p w14:paraId="3A06A926" w14:textId="2D67BAD9" w:rsidR="006C34BA" w:rsidRPr="00545EC0" w:rsidRDefault="006C34BA" w:rsidP="006C34BA">
      <w:pPr>
        <w:pStyle w:val="Napis"/>
      </w:pPr>
      <w:bookmarkStart w:id="305" w:name="_Ref84496903"/>
      <w:bookmarkStart w:id="306" w:name="_Toc84312603"/>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40</w:t>
        </w:r>
      </w:fldSimple>
      <w:bookmarkEnd w:id="305"/>
      <w:r w:rsidRPr="00545EC0">
        <w:t>: Delež emisij celotnega dušika v površinske vode iz različnih virov obremenjevanja na vodnih telesih površinskih voda na VO Donave, ki so v manj kot dobrem ekološkem stanju glede na modul trofičnost</w:t>
      </w:r>
      <w:bookmarkEnd w:id="306"/>
      <w:r w:rsidRPr="00545EC0">
        <w:t xml:space="preserve">  </w:t>
      </w:r>
    </w:p>
    <w:tbl>
      <w:tblPr>
        <w:tblW w:w="5000" w:type="pct"/>
        <w:tblLayout w:type="fixed"/>
        <w:tblCellMar>
          <w:left w:w="70" w:type="dxa"/>
          <w:right w:w="70" w:type="dxa"/>
        </w:tblCellMar>
        <w:tblLook w:val="04A0" w:firstRow="1" w:lastRow="0" w:firstColumn="1" w:lastColumn="0" w:noHBand="0" w:noVBand="1"/>
      </w:tblPr>
      <w:tblGrid>
        <w:gridCol w:w="1064"/>
        <w:gridCol w:w="2833"/>
        <w:gridCol w:w="1135"/>
        <w:gridCol w:w="1133"/>
        <w:gridCol w:w="1955"/>
        <w:gridCol w:w="1091"/>
      </w:tblGrid>
      <w:tr w:rsidR="003122F4" w:rsidRPr="00545EC0" w14:paraId="61D244FC" w14:textId="77777777" w:rsidTr="00C32146">
        <w:trPr>
          <w:trHeight w:val="1080"/>
        </w:trPr>
        <w:tc>
          <w:tcPr>
            <w:tcW w:w="578"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CAE9B4A" w14:textId="456CC97C" w:rsidR="00E54D06" w:rsidRPr="00545EC0" w:rsidRDefault="00E54D06" w:rsidP="00E54D06">
            <w:pPr>
              <w:overflowPunct/>
              <w:autoSpaceDE/>
              <w:autoSpaceDN/>
              <w:adjustRightInd/>
              <w:spacing w:line="240" w:lineRule="auto"/>
              <w:jc w:val="left"/>
              <w:textAlignment w:val="auto"/>
              <w:rPr>
                <w:rFonts w:cs="Arial"/>
                <w:b/>
                <w:bCs/>
                <w:sz w:val="18"/>
                <w:szCs w:val="18"/>
              </w:rPr>
            </w:pPr>
            <w:r w:rsidRPr="00545EC0">
              <w:rPr>
                <w:rFonts w:cs="Arial"/>
                <w:b/>
                <w:bCs/>
                <w:sz w:val="18"/>
                <w:szCs w:val="18"/>
              </w:rPr>
              <w:t>Šifra VTPV</w:t>
            </w:r>
          </w:p>
        </w:tc>
        <w:tc>
          <w:tcPr>
            <w:tcW w:w="1538"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BB9F354" w14:textId="7260F54C" w:rsidR="00E54D06" w:rsidRPr="00545EC0" w:rsidRDefault="00E54D06" w:rsidP="006C34BA">
            <w:pPr>
              <w:overflowPunct/>
              <w:autoSpaceDE/>
              <w:autoSpaceDN/>
              <w:adjustRightInd/>
              <w:spacing w:line="240" w:lineRule="auto"/>
              <w:jc w:val="left"/>
              <w:textAlignment w:val="auto"/>
              <w:rPr>
                <w:rFonts w:cs="Arial"/>
                <w:b/>
                <w:bCs/>
                <w:sz w:val="18"/>
                <w:szCs w:val="18"/>
              </w:rPr>
            </w:pPr>
            <w:r w:rsidRPr="00545EC0">
              <w:rPr>
                <w:rFonts w:cs="Arial"/>
                <w:b/>
                <w:bCs/>
                <w:sz w:val="18"/>
                <w:szCs w:val="18"/>
              </w:rPr>
              <w:t>Ime VTPV</w:t>
            </w:r>
          </w:p>
        </w:tc>
        <w:tc>
          <w:tcPr>
            <w:tcW w:w="616" w:type="pct"/>
            <w:tcBorders>
              <w:top w:val="single" w:sz="4" w:space="0" w:color="auto"/>
              <w:left w:val="nil"/>
              <w:bottom w:val="single" w:sz="4" w:space="0" w:color="auto"/>
              <w:right w:val="single" w:sz="4" w:space="0" w:color="auto"/>
            </w:tcBorders>
            <w:shd w:val="clear" w:color="auto" w:fill="EEECE1" w:themeFill="background2"/>
            <w:vAlign w:val="center"/>
            <w:hideMark/>
          </w:tcPr>
          <w:p w14:paraId="57B8D1F4" w14:textId="77777777" w:rsidR="00E54D06" w:rsidRPr="00545EC0" w:rsidRDefault="00E54D06" w:rsidP="006C34BA">
            <w:pPr>
              <w:overflowPunct/>
              <w:autoSpaceDE/>
              <w:autoSpaceDN/>
              <w:adjustRightInd/>
              <w:spacing w:line="240" w:lineRule="auto"/>
              <w:jc w:val="center"/>
              <w:textAlignment w:val="auto"/>
              <w:rPr>
                <w:rFonts w:cs="Arial"/>
                <w:b/>
                <w:bCs/>
                <w:sz w:val="18"/>
                <w:szCs w:val="18"/>
              </w:rPr>
            </w:pPr>
            <w:r w:rsidRPr="00545EC0">
              <w:rPr>
                <w:rFonts w:cs="Arial"/>
                <w:b/>
                <w:bCs/>
                <w:sz w:val="18"/>
                <w:szCs w:val="18"/>
              </w:rPr>
              <w:t>Kmetijska dejavnost</w:t>
            </w:r>
          </w:p>
        </w:tc>
        <w:tc>
          <w:tcPr>
            <w:tcW w:w="615" w:type="pct"/>
            <w:tcBorders>
              <w:top w:val="single" w:sz="4" w:space="0" w:color="auto"/>
              <w:left w:val="nil"/>
              <w:bottom w:val="single" w:sz="4" w:space="0" w:color="auto"/>
              <w:right w:val="single" w:sz="4" w:space="0" w:color="auto"/>
            </w:tcBorders>
            <w:shd w:val="clear" w:color="auto" w:fill="EEECE1" w:themeFill="background2"/>
            <w:vAlign w:val="center"/>
            <w:hideMark/>
          </w:tcPr>
          <w:p w14:paraId="685B61D1" w14:textId="77777777" w:rsidR="00E54D06" w:rsidRPr="00545EC0" w:rsidRDefault="00E54D06" w:rsidP="006C34BA">
            <w:pPr>
              <w:overflowPunct/>
              <w:autoSpaceDE/>
              <w:autoSpaceDN/>
              <w:adjustRightInd/>
              <w:spacing w:line="240" w:lineRule="auto"/>
              <w:jc w:val="center"/>
              <w:textAlignment w:val="auto"/>
              <w:rPr>
                <w:rFonts w:cs="Arial"/>
                <w:b/>
                <w:bCs/>
                <w:sz w:val="18"/>
                <w:szCs w:val="18"/>
              </w:rPr>
            </w:pPr>
            <w:r w:rsidRPr="00545EC0">
              <w:rPr>
                <w:rFonts w:cs="Arial"/>
                <w:b/>
                <w:bCs/>
                <w:sz w:val="18"/>
                <w:szCs w:val="18"/>
              </w:rPr>
              <w:t>Odlaganje iz zraka</w:t>
            </w:r>
          </w:p>
        </w:tc>
        <w:tc>
          <w:tcPr>
            <w:tcW w:w="1061" w:type="pct"/>
            <w:tcBorders>
              <w:top w:val="single" w:sz="4" w:space="0" w:color="auto"/>
              <w:left w:val="nil"/>
              <w:bottom w:val="single" w:sz="4" w:space="0" w:color="auto"/>
              <w:right w:val="single" w:sz="4" w:space="0" w:color="auto"/>
            </w:tcBorders>
            <w:shd w:val="clear" w:color="auto" w:fill="EEECE1" w:themeFill="background2"/>
            <w:vAlign w:val="center"/>
            <w:hideMark/>
          </w:tcPr>
          <w:p w14:paraId="14C48983" w14:textId="77777777" w:rsidR="00E54D06" w:rsidRPr="00545EC0" w:rsidRDefault="00E54D06" w:rsidP="006C34BA">
            <w:pPr>
              <w:overflowPunct/>
              <w:autoSpaceDE/>
              <w:autoSpaceDN/>
              <w:adjustRightInd/>
              <w:spacing w:line="240" w:lineRule="auto"/>
              <w:jc w:val="center"/>
              <w:textAlignment w:val="auto"/>
              <w:rPr>
                <w:rFonts w:cs="Arial"/>
                <w:b/>
                <w:bCs/>
                <w:sz w:val="18"/>
                <w:szCs w:val="18"/>
              </w:rPr>
            </w:pPr>
            <w:r w:rsidRPr="00545EC0">
              <w:rPr>
                <w:rFonts w:cs="Arial"/>
                <w:b/>
                <w:bCs/>
                <w:sz w:val="18"/>
                <w:szCs w:val="18"/>
              </w:rPr>
              <w:t>Komunalna odpadna voda, ki nastaja v objektih, ki niso priključeni na javni kanalizacijski sistem</w:t>
            </w:r>
          </w:p>
        </w:tc>
        <w:tc>
          <w:tcPr>
            <w:tcW w:w="592" w:type="pct"/>
            <w:tcBorders>
              <w:top w:val="single" w:sz="4" w:space="0" w:color="auto"/>
              <w:left w:val="nil"/>
              <w:bottom w:val="single" w:sz="4" w:space="0" w:color="auto"/>
              <w:right w:val="single" w:sz="4" w:space="0" w:color="auto"/>
            </w:tcBorders>
            <w:shd w:val="clear" w:color="auto" w:fill="EEECE1" w:themeFill="background2"/>
            <w:vAlign w:val="center"/>
            <w:hideMark/>
          </w:tcPr>
          <w:p w14:paraId="52DC205C" w14:textId="77777777" w:rsidR="00E54D06" w:rsidRPr="00545EC0" w:rsidRDefault="00E54D06" w:rsidP="006C34BA">
            <w:pPr>
              <w:overflowPunct/>
              <w:autoSpaceDE/>
              <w:autoSpaceDN/>
              <w:adjustRightInd/>
              <w:spacing w:line="240" w:lineRule="auto"/>
              <w:jc w:val="center"/>
              <w:textAlignment w:val="auto"/>
              <w:rPr>
                <w:rFonts w:cs="Arial"/>
                <w:b/>
                <w:bCs/>
                <w:sz w:val="18"/>
                <w:szCs w:val="18"/>
              </w:rPr>
            </w:pPr>
            <w:r w:rsidRPr="00545EC0">
              <w:rPr>
                <w:rFonts w:cs="Arial"/>
                <w:b/>
                <w:bCs/>
                <w:sz w:val="18"/>
                <w:szCs w:val="18"/>
              </w:rPr>
              <w:t>Prečiščena odpadna voda iz KČN</w:t>
            </w:r>
          </w:p>
        </w:tc>
      </w:tr>
      <w:tr w:rsidR="003122F4" w:rsidRPr="00545EC0" w14:paraId="74AE4D57" w14:textId="77777777" w:rsidTr="00C32146">
        <w:trPr>
          <w:trHeight w:val="50"/>
        </w:trPr>
        <w:tc>
          <w:tcPr>
            <w:tcW w:w="578" w:type="pct"/>
            <w:tcBorders>
              <w:top w:val="nil"/>
              <w:left w:val="single" w:sz="4" w:space="0" w:color="auto"/>
              <w:bottom w:val="single" w:sz="4" w:space="0" w:color="auto"/>
              <w:right w:val="single" w:sz="4" w:space="0" w:color="auto"/>
            </w:tcBorders>
            <w:vAlign w:val="center"/>
          </w:tcPr>
          <w:p w14:paraId="33C20537" w14:textId="2CE4FA31" w:rsidR="00E54D06" w:rsidRPr="00545EC0" w:rsidRDefault="00E54D06" w:rsidP="00C32146">
            <w:pPr>
              <w:overflowPunct/>
              <w:autoSpaceDE/>
              <w:autoSpaceDN/>
              <w:adjustRightInd/>
              <w:spacing w:before="60" w:after="60" w:line="240" w:lineRule="auto"/>
              <w:jc w:val="left"/>
              <w:textAlignment w:val="auto"/>
              <w:rPr>
                <w:rFonts w:cs="Arial"/>
                <w:sz w:val="18"/>
                <w:szCs w:val="18"/>
              </w:rPr>
            </w:pPr>
            <w:r w:rsidRPr="00545EC0">
              <w:rPr>
                <w:rFonts w:cs="Arial"/>
                <w:sz w:val="18"/>
                <w:szCs w:val="18"/>
              </w:rPr>
              <w:t>SI111VT7</w:t>
            </w:r>
          </w:p>
        </w:tc>
        <w:tc>
          <w:tcPr>
            <w:tcW w:w="1538" w:type="pct"/>
            <w:tcBorders>
              <w:top w:val="nil"/>
              <w:left w:val="single" w:sz="4" w:space="0" w:color="auto"/>
              <w:bottom w:val="single" w:sz="4" w:space="0" w:color="auto"/>
              <w:right w:val="single" w:sz="4" w:space="0" w:color="auto"/>
            </w:tcBorders>
            <w:shd w:val="clear" w:color="auto" w:fill="auto"/>
            <w:vAlign w:val="center"/>
            <w:hideMark/>
          </w:tcPr>
          <w:p w14:paraId="5AAD5009" w14:textId="6F445E5D" w:rsidR="00E54D06" w:rsidRPr="00545EC0" w:rsidRDefault="00E54D06" w:rsidP="00C32146">
            <w:pPr>
              <w:overflowPunct/>
              <w:autoSpaceDE/>
              <w:autoSpaceDN/>
              <w:adjustRightInd/>
              <w:spacing w:before="60" w:after="60" w:line="240" w:lineRule="auto"/>
              <w:jc w:val="left"/>
              <w:textAlignment w:val="auto"/>
              <w:rPr>
                <w:rFonts w:cs="Arial"/>
                <w:sz w:val="18"/>
                <w:szCs w:val="18"/>
              </w:rPr>
            </w:pPr>
            <w:r w:rsidRPr="00545EC0">
              <w:rPr>
                <w:rFonts w:cs="Arial"/>
                <w:sz w:val="18"/>
                <w:szCs w:val="18"/>
              </w:rPr>
              <w:t>MPVT zadrževalnik HE Moste</w:t>
            </w:r>
          </w:p>
        </w:tc>
        <w:tc>
          <w:tcPr>
            <w:tcW w:w="616" w:type="pct"/>
            <w:tcBorders>
              <w:top w:val="nil"/>
              <w:left w:val="nil"/>
              <w:bottom w:val="single" w:sz="4" w:space="0" w:color="auto"/>
              <w:right w:val="single" w:sz="4" w:space="0" w:color="auto"/>
            </w:tcBorders>
            <w:shd w:val="clear" w:color="auto" w:fill="auto"/>
            <w:noWrap/>
            <w:vAlign w:val="center"/>
            <w:hideMark/>
          </w:tcPr>
          <w:p w14:paraId="45E456F7"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2%</w:t>
            </w:r>
          </w:p>
        </w:tc>
        <w:tc>
          <w:tcPr>
            <w:tcW w:w="615" w:type="pct"/>
            <w:tcBorders>
              <w:top w:val="nil"/>
              <w:left w:val="nil"/>
              <w:bottom w:val="single" w:sz="4" w:space="0" w:color="auto"/>
              <w:right w:val="single" w:sz="4" w:space="0" w:color="auto"/>
            </w:tcBorders>
            <w:shd w:val="clear" w:color="auto" w:fill="auto"/>
            <w:noWrap/>
            <w:vAlign w:val="center"/>
            <w:hideMark/>
          </w:tcPr>
          <w:p w14:paraId="63E91892"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49%</w:t>
            </w:r>
          </w:p>
        </w:tc>
        <w:tc>
          <w:tcPr>
            <w:tcW w:w="1061" w:type="pct"/>
            <w:tcBorders>
              <w:top w:val="nil"/>
              <w:left w:val="nil"/>
              <w:bottom w:val="single" w:sz="4" w:space="0" w:color="auto"/>
              <w:right w:val="single" w:sz="4" w:space="0" w:color="auto"/>
            </w:tcBorders>
            <w:shd w:val="clear" w:color="auto" w:fill="auto"/>
            <w:noWrap/>
            <w:vAlign w:val="center"/>
            <w:hideMark/>
          </w:tcPr>
          <w:p w14:paraId="006086E3"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9%</w:t>
            </w:r>
          </w:p>
        </w:tc>
        <w:tc>
          <w:tcPr>
            <w:tcW w:w="592" w:type="pct"/>
            <w:tcBorders>
              <w:top w:val="nil"/>
              <w:left w:val="nil"/>
              <w:bottom w:val="single" w:sz="4" w:space="0" w:color="auto"/>
              <w:right w:val="single" w:sz="4" w:space="0" w:color="auto"/>
            </w:tcBorders>
            <w:shd w:val="clear" w:color="auto" w:fill="auto"/>
            <w:noWrap/>
            <w:vAlign w:val="center"/>
            <w:hideMark/>
          </w:tcPr>
          <w:p w14:paraId="122370E2"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40%</w:t>
            </w:r>
          </w:p>
        </w:tc>
      </w:tr>
      <w:tr w:rsidR="003122F4" w:rsidRPr="00545EC0" w14:paraId="2098192A" w14:textId="77777777" w:rsidTr="00C32146">
        <w:trPr>
          <w:trHeight w:val="189"/>
        </w:trPr>
        <w:tc>
          <w:tcPr>
            <w:tcW w:w="578" w:type="pct"/>
            <w:tcBorders>
              <w:top w:val="nil"/>
              <w:left w:val="single" w:sz="4" w:space="0" w:color="auto"/>
              <w:bottom w:val="single" w:sz="4" w:space="0" w:color="auto"/>
              <w:right w:val="single" w:sz="4" w:space="0" w:color="auto"/>
            </w:tcBorders>
            <w:vAlign w:val="center"/>
          </w:tcPr>
          <w:p w14:paraId="2E12FFCD" w14:textId="63C31650" w:rsidR="00E54D06" w:rsidRPr="00545EC0" w:rsidRDefault="00E54D06" w:rsidP="00C32146">
            <w:pPr>
              <w:overflowPunct/>
              <w:autoSpaceDE/>
              <w:autoSpaceDN/>
              <w:adjustRightInd/>
              <w:spacing w:before="60" w:after="60" w:line="240" w:lineRule="auto"/>
              <w:jc w:val="left"/>
              <w:textAlignment w:val="auto"/>
              <w:rPr>
                <w:rFonts w:cs="Arial"/>
                <w:sz w:val="18"/>
                <w:szCs w:val="18"/>
              </w:rPr>
            </w:pPr>
            <w:r w:rsidRPr="00545EC0">
              <w:rPr>
                <w:rFonts w:cs="Arial"/>
                <w:sz w:val="18"/>
                <w:szCs w:val="18"/>
              </w:rPr>
              <w:t>SI1326VT</w:t>
            </w:r>
          </w:p>
        </w:tc>
        <w:tc>
          <w:tcPr>
            <w:tcW w:w="1538" w:type="pct"/>
            <w:tcBorders>
              <w:top w:val="nil"/>
              <w:left w:val="single" w:sz="4" w:space="0" w:color="auto"/>
              <w:bottom w:val="single" w:sz="4" w:space="0" w:color="auto"/>
              <w:right w:val="single" w:sz="4" w:space="0" w:color="auto"/>
            </w:tcBorders>
            <w:shd w:val="clear" w:color="auto" w:fill="auto"/>
            <w:vAlign w:val="center"/>
            <w:hideMark/>
          </w:tcPr>
          <w:p w14:paraId="3BF9C5D1" w14:textId="4E3BEF5A" w:rsidR="00E54D06" w:rsidRPr="00545EC0" w:rsidRDefault="00E54D06" w:rsidP="00C32146">
            <w:pPr>
              <w:overflowPunct/>
              <w:autoSpaceDE/>
              <w:autoSpaceDN/>
              <w:adjustRightInd/>
              <w:spacing w:before="60" w:after="60" w:line="240" w:lineRule="auto"/>
              <w:jc w:val="left"/>
              <w:textAlignment w:val="auto"/>
              <w:rPr>
                <w:rFonts w:cs="Arial"/>
                <w:sz w:val="18"/>
                <w:szCs w:val="18"/>
              </w:rPr>
            </w:pPr>
            <w:r w:rsidRPr="00545EC0">
              <w:rPr>
                <w:rFonts w:cs="Arial"/>
                <w:sz w:val="18"/>
                <w:szCs w:val="18"/>
              </w:rPr>
              <w:t>VT Pšata</w:t>
            </w:r>
          </w:p>
        </w:tc>
        <w:tc>
          <w:tcPr>
            <w:tcW w:w="616" w:type="pct"/>
            <w:tcBorders>
              <w:top w:val="nil"/>
              <w:left w:val="nil"/>
              <w:bottom w:val="single" w:sz="4" w:space="0" w:color="auto"/>
              <w:right w:val="single" w:sz="4" w:space="0" w:color="auto"/>
            </w:tcBorders>
            <w:shd w:val="clear" w:color="auto" w:fill="auto"/>
            <w:noWrap/>
            <w:vAlign w:val="center"/>
            <w:hideMark/>
          </w:tcPr>
          <w:p w14:paraId="7826C6CD"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32%</w:t>
            </w:r>
          </w:p>
        </w:tc>
        <w:tc>
          <w:tcPr>
            <w:tcW w:w="615" w:type="pct"/>
            <w:tcBorders>
              <w:top w:val="nil"/>
              <w:left w:val="nil"/>
              <w:bottom w:val="single" w:sz="4" w:space="0" w:color="auto"/>
              <w:right w:val="single" w:sz="4" w:space="0" w:color="auto"/>
            </w:tcBorders>
            <w:shd w:val="clear" w:color="auto" w:fill="auto"/>
            <w:noWrap/>
            <w:vAlign w:val="center"/>
            <w:hideMark/>
          </w:tcPr>
          <w:p w14:paraId="02A5AB8D"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42%</w:t>
            </w:r>
          </w:p>
        </w:tc>
        <w:tc>
          <w:tcPr>
            <w:tcW w:w="1061" w:type="pct"/>
            <w:tcBorders>
              <w:top w:val="nil"/>
              <w:left w:val="nil"/>
              <w:bottom w:val="single" w:sz="4" w:space="0" w:color="auto"/>
              <w:right w:val="single" w:sz="4" w:space="0" w:color="auto"/>
            </w:tcBorders>
            <w:shd w:val="clear" w:color="auto" w:fill="auto"/>
            <w:noWrap/>
            <w:vAlign w:val="center"/>
            <w:hideMark/>
          </w:tcPr>
          <w:p w14:paraId="28B2E41D"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26%</w:t>
            </w:r>
          </w:p>
        </w:tc>
        <w:tc>
          <w:tcPr>
            <w:tcW w:w="592" w:type="pct"/>
            <w:tcBorders>
              <w:top w:val="nil"/>
              <w:left w:val="nil"/>
              <w:bottom w:val="single" w:sz="4" w:space="0" w:color="auto"/>
              <w:right w:val="single" w:sz="4" w:space="0" w:color="auto"/>
            </w:tcBorders>
            <w:shd w:val="clear" w:color="auto" w:fill="auto"/>
            <w:noWrap/>
            <w:vAlign w:val="center"/>
            <w:hideMark/>
          </w:tcPr>
          <w:p w14:paraId="71E60699"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0%</w:t>
            </w:r>
          </w:p>
        </w:tc>
      </w:tr>
      <w:tr w:rsidR="003122F4" w:rsidRPr="00545EC0" w14:paraId="38D7C978" w14:textId="77777777" w:rsidTr="00C32146">
        <w:trPr>
          <w:trHeight w:val="50"/>
        </w:trPr>
        <w:tc>
          <w:tcPr>
            <w:tcW w:w="578" w:type="pct"/>
            <w:tcBorders>
              <w:top w:val="nil"/>
              <w:left w:val="single" w:sz="4" w:space="0" w:color="auto"/>
              <w:bottom w:val="single" w:sz="4" w:space="0" w:color="auto"/>
              <w:right w:val="single" w:sz="4" w:space="0" w:color="auto"/>
            </w:tcBorders>
            <w:vAlign w:val="center"/>
          </w:tcPr>
          <w:p w14:paraId="62CC5201" w14:textId="627DBE8B" w:rsidR="00E54D06" w:rsidRPr="00545EC0" w:rsidRDefault="00E54D06" w:rsidP="00C32146">
            <w:pPr>
              <w:overflowPunct/>
              <w:autoSpaceDE/>
              <w:autoSpaceDN/>
              <w:adjustRightInd/>
              <w:spacing w:before="60" w:after="60" w:line="240" w:lineRule="auto"/>
              <w:jc w:val="left"/>
              <w:textAlignment w:val="auto"/>
              <w:rPr>
                <w:rFonts w:cs="Arial"/>
                <w:sz w:val="18"/>
                <w:szCs w:val="18"/>
              </w:rPr>
            </w:pPr>
            <w:r w:rsidRPr="00545EC0">
              <w:rPr>
                <w:rFonts w:cs="Arial"/>
                <w:sz w:val="18"/>
                <w:szCs w:val="18"/>
              </w:rPr>
              <w:t>SI14VT93</w:t>
            </w:r>
          </w:p>
        </w:tc>
        <w:tc>
          <w:tcPr>
            <w:tcW w:w="1538" w:type="pct"/>
            <w:tcBorders>
              <w:top w:val="nil"/>
              <w:left w:val="single" w:sz="4" w:space="0" w:color="auto"/>
              <w:bottom w:val="single" w:sz="4" w:space="0" w:color="auto"/>
              <w:right w:val="single" w:sz="4" w:space="0" w:color="auto"/>
            </w:tcBorders>
            <w:shd w:val="clear" w:color="auto" w:fill="auto"/>
            <w:vAlign w:val="center"/>
            <w:hideMark/>
          </w:tcPr>
          <w:p w14:paraId="060A2439" w14:textId="083132FD" w:rsidR="00E54D06" w:rsidRPr="00545EC0" w:rsidRDefault="00E54D06" w:rsidP="00C32146">
            <w:pPr>
              <w:overflowPunct/>
              <w:autoSpaceDE/>
              <w:autoSpaceDN/>
              <w:adjustRightInd/>
              <w:spacing w:before="60" w:after="60" w:line="240" w:lineRule="auto"/>
              <w:jc w:val="left"/>
              <w:textAlignment w:val="auto"/>
              <w:rPr>
                <w:rFonts w:cs="Arial"/>
                <w:sz w:val="18"/>
                <w:szCs w:val="18"/>
              </w:rPr>
            </w:pPr>
            <w:r w:rsidRPr="00545EC0">
              <w:rPr>
                <w:rFonts w:cs="Arial"/>
                <w:sz w:val="18"/>
                <w:szCs w:val="18"/>
              </w:rPr>
              <w:t>MPVT Mestna Ljubljanica</w:t>
            </w:r>
          </w:p>
        </w:tc>
        <w:tc>
          <w:tcPr>
            <w:tcW w:w="616" w:type="pct"/>
            <w:tcBorders>
              <w:top w:val="nil"/>
              <w:left w:val="nil"/>
              <w:bottom w:val="single" w:sz="4" w:space="0" w:color="auto"/>
              <w:right w:val="single" w:sz="4" w:space="0" w:color="auto"/>
            </w:tcBorders>
            <w:shd w:val="clear" w:color="auto" w:fill="auto"/>
            <w:noWrap/>
            <w:vAlign w:val="center"/>
            <w:hideMark/>
          </w:tcPr>
          <w:p w14:paraId="4E1C4884"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8%</w:t>
            </w:r>
          </w:p>
        </w:tc>
        <w:tc>
          <w:tcPr>
            <w:tcW w:w="615" w:type="pct"/>
            <w:tcBorders>
              <w:top w:val="nil"/>
              <w:left w:val="nil"/>
              <w:bottom w:val="single" w:sz="4" w:space="0" w:color="auto"/>
              <w:right w:val="single" w:sz="4" w:space="0" w:color="auto"/>
            </w:tcBorders>
            <w:shd w:val="clear" w:color="auto" w:fill="auto"/>
            <w:noWrap/>
            <w:vAlign w:val="center"/>
            <w:hideMark/>
          </w:tcPr>
          <w:p w14:paraId="2E16D76E"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65%</w:t>
            </w:r>
          </w:p>
        </w:tc>
        <w:tc>
          <w:tcPr>
            <w:tcW w:w="1061" w:type="pct"/>
            <w:tcBorders>
              <w:top w:val="nil"/>
              <w:left w:val="nil"/>
              <w:bottom w:val="single" w:sz="4" w:space="0" w:color="auto"/>
              <w:right w:val="single" w:sz="4" w:space="0" w:color="auto"/>
            </w:tcBorders>
            <w:shd w:val="clear" w:color="auto" w:fill="auto"/>
            <w:noWrap/>
            <w:vAlign w:val="center"/>
            <w:hideMark/>
          </w:tcPr>
          <w:p w14:paraId="3D536AE2"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26%</w:t>
            </w:r>
          </w:p>
        </w:tc>
        <w:tc>
          <w:tcPr>
            <w:tcW w:w="592" w:type="pct"/>
            <w:tcBorders>
              <w:top w:val="nil"/>
              <w:left w:val="nil"/>
              <w:bottom w:val="single" w:sz="4" w:space="0" w:color="auto"/>
              <w:right w:val="single" w:sz="4" w:space="0" w:color="auto"/>
            </w:tcBorders>
            <w:shd w:val="clear" w:color="auto" w:fill="auto"/>
            <w:noWrap/>
            <w:vAlign w:val="center"/>
            <w:hideMark/>
          </w:tcPr>
          <w:p w14:paraId="4438245C"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0%</w:t>
            </w:r>
          </w:p>
        </w:tc>
      </w:tr>
      <w:tr w:rsidR="003122F4" w:rsidRPr="00545EC0" w14:paraId="6B37A9D1" w14:textId="77777777" w:rsidTr="00C32146">
        <w:trPr>
          <w:trHeight w:val="182"/>
        </w:trPr>
        <w:tc>
          <w:tcPr>
            <w:tcW w:w="578" w:type="pct"/>
            <w:tcBorders>
              <w:top w:val="nil"/>
              <w:left w:val="single" w:sz="4" w:space="0" w:color="auto"/>
              <w:bottom w:val="single" w:sz="4" w:space="0" w:color="auto"/>
              <w:right w:val="single" w:sz="4" w:space="0" w:color="auto"/>
            </w:tcBorders>
            <w:vAlign w:val="center"/>
          </w:tcPr>
          <w:p w14:paraId="7861C06D" w14:textId="7BF9A5FA" w:rsidR="00E54D06" w:rsidRPr="00545EC0" w:rsidRDefault="00E54D06" w:rsidP="00C32146">
            <w:pPr>
              <w:overflowPunct/>
              <w:autoSpaceDE/>
              <w:autoSpaceDN/>
              <w:adjustRightInd/>
              <w:spacing w:before="60" w:after="60" w:line="240" w:lineRule="auto"/>
              <w:jc w:val="left"/>
              <w:textAlignment w:val="auto"/>
              <w:rPr>
                <w:rFonts w:cs="Arial"/>
                <w:sz w:val="18"/>
                <w:szCs w:val="18"/>
              </w:rPr>
            </w:pPr>
            <w:r w:rsidRPr="00545EC0">
              <w:rPr>
                <w:rFonts w:cs="Arial"/>
                <w:sz w:val="18"/>
                <w:szCs w:val="18"/>
              </w:rPr>
              <w:t>SI172VT</w:t>
            </w:r>
          </w:p>
        </w:tc>
        <w:tc>
          <w:tcPr>
            <w:tcW w:w="1538" w:type="pct"/>
            <w:tcBorders>
              <w:top w:val="nil"/>
              <w:left w:val="single" w:sz="4" w:space="0" w:color="auto"/>
              <w:bottom w:val="single" w:sz="4" w:space="0" w:color="auto"/>
              <w:right w:val="single" w:sz="4" w:space="0" w:color="auto"/>
            </w:tcBorders>
            <w:shd w:val="clear" w:color="auto" w:fill="auto"/>
            <w:vAlign w:val="center"/>
            <w:hideMark/>
          </w:tcPr>
          <w:p w14:paraId="0A166F00" w14:textId="7BD3809B" w:rsidR="00E54D06" w:rsidRPr="00545EC0" w:rsidRDefault="00E54D06" w:rsidP="00C32146">
            <w:pPr>
              <w:overflowPunct/>
              <w:autoSpaceDE/>
              <w:autoSpaceDN/>
              <w:adjustRightInd/>
              <w:spacing w:before="60" w:after="60" w:line="240" w:lineRule="auto"/>
              <w:jc w:val="left"/>
              <w:textAlignment w:val="auto"/>
              <w:rPr>
                <w:rFonts w:cs="Arial"/>
                <w:sz w:val="18"/>
                <w:szCs w:val="18"/>
              </w:rPr>
            </w:pPr>
            <w:r w:rsidRPr="00545EC0">
              <w:rPr>
                <w:rFonts w:cs="Arial"/>
                <w:sz w:val="18"/>
                <w:szCs w:val="18"/>
              </w:rPr>
              <w:t>VT Mirna</w:t>
            </w:r>
          </w:p>
        </w:tc>
        <w:tc>
          <w:tcPr>
            <w:tcW w:w="616" w:type="pct"/>
            <w:tcBorders>
              <w:top w:val="nil"/>
              <w:left w:val="nil"/>
              <w:bottom w:val="single" w:sz="4" w:space="0" w:color="auto"/>
              <w:right w:val="single" w:sz="4" w:space="0" w:color="auto"/>
            </w:tcBorders>
            <w:shd w:val="clear" w:color="auto" w:fill="auto"/>
            <w:noWrap/>
            <w:vAlign w:val="center"/>
            <w:hideMark/>
          </w:tcPr>
          <w:p w14:paraId="19ACFE76"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25%</w:t>
            </w:r>
          </w:p>
        </w:tc>
        <w:tc>
          <w:tcPr>
            <w:tcW w:w="615" w:type="pct"/>
            <w:tcBorders>
              <w:top w:val="nil"/>
              <w:left w:val="nil"/>
              <w:bottom w:val="single" w:sz="4" w:space="0" w:color="auto"/>
              <w:right w:val="single" w:sz="4" w:space="0" w:color="auto"/>
            </w:tcBorders>
            <w:shd w:val="clear" w:color="auto" w:fill="auto"/>
            <w:noWrap/>
            <w:vAlign w:val="center"/>
            <w:hideMark/>
          </w:tcPr>
          <w:p w14:paraId="1CAAB5D5"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58%</w:t>
            </w:r>
          </w:p>
        </w:tc>
        <w:tc>
          <w:tcPr>
            <w:tcW w:w="1061" w:type="pct"/>
            <w:tcBorders>
              <w:top w:val="nil"/>
              <w:left w:val="nil"/>
              <w:bottom w:val="single" w:sz="4" w:space="0" w:color="auto"/>
              <w:right w:val="single" w:sz="4" w:space="0" w:color="auto"/>
            </w:tcBorders>
            <w:shd w:val="clear" w:color="auto" w:fill="auto"/>
            <w:noWrap/>
            <w:vAlign w:val="center"/>
            <w:hideMark/>
          </w:tcPr>
          <w:p w14:paraId="5C0E725C"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17%</w:t>
            </w:r>
          </w:p>
        </w:tc>
        <w:tc>
          <w:tcPr>
            <w:tcW w:w="592" w:type="pct"/>
            <w:tcBorders>
              <w:top w:val="nil"/>
              <w:left w:val="nil"/>
              <w:bottom w:val="single" w:sz="4" w:space="0" w:color="auto"/>
              <w:right w:val="single" w:sz="4" w:space="0" w:color="auto"/>
            </w:tcBorders>
            <w:shd w:val="clear" w:color="auto" w:fill="auto"/>
            <w:noWrap/>
            <w:vAlign w:val="center"/>
            <w:hideMark/>
          </w:tcPr>
          <w:p w14:paraId="3146264A"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0%</w:t>
            </w:r>
          </w:p>
        </w:tc>
      </w:tr>
      <w:tr w:rsidR="003122F4" w:rsidRPr="00545EC0" w14:paraId="545B6496" w14:textId="77777777" w:rsidTr="00C32146">
        <w:trPr>
          <w:trHeight w:val="50"/>
        </w:trPr>
        <w:tc>
          <w:tcPr>
            <w:tcW w:w="578" w:type="pct"/>
            <w:tcBorders>
              <w:top w:val="nil"/>
              <w:left w:val="single" w:sz="4" w:space="0" w:color="auto"/>
              <w:bottom w:val="single" w:sz="4" w:space="0" w:color="auto"/>
              <w:right w:val="single" w:sz="4" w:space="0" w:color="auto"/>
            </w:tcBorders>
            <w:vAlign w:val="center"/>
          </w:tcPr>
          <w:p w14:paraId="3EB4CDDC" w14:textId="048C7FA4" w:rsidR="00E54D06" w:rsidRPr="00545EC0" w:rsidRDefault="00E54D06" w:rsidP="00C32146">
            <w:pPr>
              <w:overflowPunct/>
              <w:autoSpaceDE/>
              <w:autoSpaceDN/>
              <w:adjustRightInd/>
              <w:spacing w:before="60" w:after="60" w:line="240" w:lineRule="auto"/>
              <w:jc w:val="left"/>
              <w:textAlignment w:val="auto"/>
              <w:rPr>
                <w:rFonts w:cs="Arial"/>
                <w:sz w:val="18"/>
                <w:szCs w:val="18"/>
              </w:rPr>
            </w:pPr>
            <w:r w:rsidRPr="00545EC0">
              <w:rPr>
                <w:rFonts w:cs="Arial"/>
                <w:sz w:val="18"/>
                <w:szCs w:val="18"/>
              </w:rPr>
              <w:t>SI186VT3</w:t>
            </w:r>
          </w:p>
        </w:tc>
        <w:tc>
          <w:tcPr>
            <w:tcW w:w="1538" w:type="pct"/>
            <w:tcBorders>
              <w:top w:val="nil"/>
              <w:left w:val="single" w:sz="4" w:space="0" w:color="auto"/>
              <w:bottom w:val="single" w:sz="4" w:space="0" w:color="auto"/>
              <w:right w:val="single" w:sz="4" w:space="0" w:color="auto"/>
            </w:tcBorders>
            <w:shd w:val="clear" w:color="auto" w:fill="auto"/>
            <w:vAlign w:val="center"/>
            <w:hideMark/>
          </w:tcPr>
          <w:p w14:paraId="517A94F6" w14:textId="2058AA5D" w:rsidR="00E54D06" w:rsidRPr="00545EC0" w:rsidRDefault="00E54D06" w:rsidP="00C32146">
            <w:pPr>
              <w:overflowPunct/>
              <w:autoSpaceDE/>
              <w:autoSpaceDN/>
              <w:adjustRightInd/>
              <w:spacing w:before="60" w:after="60" w:line="240" w:lineRule="auto"/>
              <w:jc w:val="left"/>
              <w:textAlignment w:val="auto"/>
              <w:rPr>
                <w:rFonts w:cs="Arial"/>
                <w:sz w:val="18"/>
                <w:szCs w:val="18"/>
              </w:rPr>
            </w:pPr>
            <w:r w:rsidRPr="00545EC0">
              <w:rPr>
                <w:rFonts w:cs="Arial"/>
                <w:sz w:val="18"/>
                <w:szCs w:val="18"/>
              </w:rPr>
              <w:t>VT Temenica I</w:t>
            </w:r>
          </w:p>
        </w:tc>
        <w:tc>
          <w:tcPr>
            <w:tcW w:w="616" w:type="pct"/>
            <w:tcBorders>
              <w:top w:val="nil"/>
              <w:left w:val="nil"/>
              <w:bottom w:val="single" w:sz="4" w:space="0" w:color="auto"/>
              <w:right w:val="single" w:sz="4" w:space="0" w:color="auto"/>
            </w:tcBorders>
            <w:shd w:val="clear" w:color="auto" w:fill="auto"/>
            <w:noWrap/>
            <w:vAlign w:val="center"/>
            <w:hideMark/>
          </w:tcPr>
          <w:p w14:paraId="66B179B5"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27%</w:t>
            </w:r>
          </w:p>
        </w:tc>
        <w:tc>
          <w:tcPr>
            <w:tcW w:w="615" w:type="pct"/>
            <w:tcBorders>
              <w:top w:val="nil"/>
              <w:left w:val="nil"/>
              <w:bottom w:val="single" w:sz="4" w:space="0" w:color="auto"/>
              <w:right w:val="single" w:sz="4" w:space="0" w:color="auto"/>
            </w:tcBorders>
            <w:shd w:val="clear" w:color="auto" w:fill="auto"/>
            <w:noWrap/>
            <w:vAlign w:val="center"/>
            <w:hideMark/>
          </w:tcPr>
          <w:p w14:paraId="4196F483"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54%</w:t>
            </w:r>
          </w:p>
        </w:tc>
        <w:tc>
          <w:tcPr>
            <w:tcW w:w="1061" w:type="pct"/>
            <w:tcBorders>
              <w:top w:val="nil"/>
              <w:left w:val="nil"/>
              <w:bottom w:val="single" w:sz="4" w:space="0" w:color="auto"/>
              <w:right w:val="single" w:sz="4" w:space="0" w:color="auto"/>
            </w:tcBorders>
            <w:shd w:val="clear" w:color="auto" w:fill="auto"/>
            <w:noWrap/>
            <w:vAlign w:val="center"/>
            <w:hideMark/>
          </w:tcPr>
          <w:p w14:paraId="572F24AC"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18%</w:t>
            </w:r>
          </w:p>
        </w:tc>
        <w:tc>
          <w:tcPr>
            <w:tcW w:w="592" w:type="pct"/>
            <w:tcBorders>
              <w:top w:val="nil"/>
              <w:left w:val="nil"/>
              <w:bottom w:val="single" w:sz="4" w:space="0" w:color="auto"/>
              <w:right w:val="single" w:sz="4" w:space="0" w:color="auto"/>
            </w:tcBorders>
            <w:shd w:val="clear" w:color="auto" w:fill="auto"/>
            <w:noWrap/>
            <w:vAlign w:val="center"/>
            <w:hideMark/>
          </w:tcPr>
          <w:p w14:paraId="469EC794"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1%</w:t>
            </w:r>
          </w:p>
        </w:tc>
      </w:tr>
      <w:tr w:rsidR="003122F4" w:rsidRPr="00545EC0" w14:paraId="6DD72E73" w14:textId="77777777" w:rsidTr="00C32146">
        <w:trPr>
          <w:trHeight w:val="50"/>
        </w:trPr>
        <w:tc>
          <w:tcPr>
            <w:tcW w:w="578" w:type="pct"/>
            <w:tcBorders>
              <w:top w:val="nil"/>
              <w:left w:val="single" w:sz="4" w:space="0" w:color="auto"/>
              <w:bottom w:val="single" w:sz="4" w:space="0" w:color="auto"/>
              <w:right w:val="single" w:sz="4" w:space="0" w:color="auto"/>
            </w:tcBorders>
            <w:vAlign w:val="center"/>
          </w:tcPr>
          <w:p w14:paraId="738A3C58" w14:textId="02B9114A" w:rsidR="00E54D06" w:rsidRPr="00545EC0" w:rsidRDefault="00E54D06" w:rsidP="00C32146">
            <w:pPr>
              <w:overflowPunct/>
              <w:autoSpaceDE/>
              <w:autoSpaceDN/>
              <w:adjustRightInd/>
              <w:spacing w:before="60" w:after="60" w:line="240" w:lineRule="auto"/>
              <w:jc w:val="left"/>
              <w:textAlignment w:val="auto"/>
              <w:rPr>
                <w:rFonts w:cs="Arial"/>
                <w:sz w:val="18"/>
                <w:szCs w:val="18"/>
              </w:rPr>
            </w:pPr>
            <w:r w:rsidRPr="00545EC0">
              <w:rPr>
                <w:rFonts w:cs="Arial"/>
                <w:sz w:val="18"/>
                <w:szCs w:val="18"/>
              </w:rPr>
              <w:t>SI186VT5</w:t>
            </w:r>
          </w:p>
        </w:tc>
        <w:tc>
          <w:tcPr>
            <w:tcW w:w="1538" w:type="pct"/>
            <w:tcBorders>
              <w:top w:val="nil"/>
              <w:left w:val="single" w:sz="4" w:space="0" w:color="auto"/>
              <w:bottom w:val="single" w:sz="4" w:space="0" w:color="auto"/>
              <w:right w:val="single" w:sz="4" w:space="0" w:color="auto"/>
            </w:tcBorders>
            <w:shd w:val="clear" w:color="auto" w:fill="auto"/>
            <w:vAlign w:val="center"/>
            <w:hideMark/>
          </w:tcPr>
          <w:p w14:paraId="512EB6F1" w14:textId="3F2ED548" w:rsidR="00E54D06" w:rsidRPr="00545EC0" w:rsidRDefault="00E54D06" w:rsidP="00C32146">
            <w:pPr>
              <w:overflowPunct/>
              <w:autoSpaceDE/>
              <w:autoSpaceDN/>
              <w:adjustRightInd/>
              <w:spacing w:before="60" w:after="60" w:line="240" w:lineRule="auto"/>
              <w:jc w:val="left"/>
              <w:textAlignment w:val="auto"/>
              <w:rPr>
                <w:rFonts w:cs="Arial"/>
                <w:sz w:val="18"/>
                <w:szCs w:val="18"/>
              </w:rPr>
            </w:pPr>
            <w:r w:rsidRPr="00545EC0">
              <w:rPr>
                <w:rFonts w:cs="Arial"/>
                <w:sz w:val="18"/>
                <w:szCs w:val="18"/>
              </w:rPr>
              <w:t>VT Temenica II</w:t>
            </w:r>
          </w:p>
        </w:tc>
        <w:tc>
          <w:tcPr>
            <w:tcW w:w="616" w:type="pct"/>
            <w:tcBorders>
              <w:top w:val="nil"/>
              <w:left w:val="nil"/>
              <w:bottom w:val="single" w:sz="4" w:space="0" w:color="auto"/>
              <w:right w:val="single" w:sz="4" w:space="0" w:color="auto"/>
            </w:tcBorders>
            <w:shd w:val="clear" w:color="auto" w:fill="auto"/>
            <w:noWrap/>
            <w:vAlign w:val="center"/>
            <w:hideMark/>
          </w:tcPr>
          <w:p w14:paraId="082D1D56"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33%</w:t>
            </w:r>
          </w:p>
        </w:tc>
        <w:tc>
          <w:tcPr>
            <w:tcW w:w="615" w:type="pct"/>
            <w:tcBorders>
              <w:top w:val="nil"/>
              <w:left w:val="nil"/>
              <w:bottom w:val="single" w:sz="4" w:space="0" w:color="auto"/>
              <w:right w:val="single" w:sz="4" w:space="0" w:color="auto"/>
            </w:tcBorders>
            <w:shd w:val="clear" w:color="auto" w:fill="auto"/>
            <w:noWrap/>
            <w:vAlign w:val="center"/>
            <w:hideMark/>
          </w:tcPr>
          <w:p w14:paraId="45CB214B"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57%</w:t>
            </w:r>
          </w:p>
        </w:tc>
        <w:tc>
          <w:tcPr>
            <w:tcW w:w="1061" w:type="pct"/>
            <w:tcBorders>
              <w:top w:val="nil"/>
              <w:left w:val="nil"/>
              <w:bottom w:val="single" w:sz="4" w:space="0" w:color="auto"/>
              <w:right w:val="single" w:sz="4" w:space="0" w:color="auto"/>
            </w:tcBorders>
            <w:shd w:val="clear" w:color="auto" w:fill="auto"/>
            <w:noWrap/>
            <w:vAlign w:val="center"/>
            <w:hideMark/>
          </w:tcPr>
          <w:p w14:paraId="1CC904CD"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10%</w:t>
            </w:r>
          </w:p>
        </w:tc>
        <w:tc>
          <w:tcPr>
            <w:tcW w:w="592" w:type="pct"/>
            <w:tcBorders>
              <w:top w:val="nil"/>
              <w:left w:val="nil"/>
              <w:bottom w:val="single" w:sz="4" w:space="0" w:color="auto"/>
              <w:right w:val="single" w:sz="4" w:space="0" w:color="auto"/>
            </w:tcBorders>
            <w:shd w:val="clear" w:color="auto" w:fill="auto"/>
            <w:noWrap/>
            <w:vAlign w:val="center"/>
            <w:hideMark/>
          </w:tcPr>
          <w:p w14:paraId="66C9FC0B"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0%</w:t>
            </w:r>
          </w:p>
        </w:tc>
      </w:tr>
      <w:tr w:rsidR="003122F4" w:rsidRPr="00545EC0" w14:paraId="705E27B4" w14:textId="77777777" w:rsidTr="00C32146">
        <w:trPr>
          <w:trHeight w:val="50"/>
        </w:trPr>
        <w:tc>
          <w:tcPr>
            <w:tcW w:w="578" w:type="pct"/>
            <w:tcBorders>
              <w:top w:val="nil"/>
              <w:left w:val="single" w:sz="4" w:space="0" w:color="auto"/>
              <w:bottom w:val="single" w:sz="4" w:space="0" w:color="auto"/>
              <w:right w:val="single" w:sz="4" w:space="0" w:color="auto"/>
            </w:tcBorders>
            <w:vAlign w:val="center"/>
          </w:tcPr>
          <w:p w14:paraId="5E0532C1" w14:textId="1EC204D7" w:rsidR="00E54D06" w:rsidRPr="00545EC0" w:rsidRDefault="00E54D06" w:rsidP="00C32146">
            <w:pPr>
              <w:overflowPunct/>
              <w:autoSpaceDE/>
              <w:autoSpaceDN/>
              <w:adjustRightInd/>
              <w:spacing w:before="60" w:after="60" w:line="240" w:lineRule="auto"/>
              <w:jc w:val="left"/>
              <w:textAlignment w:val="auto"/>
              <w:rPr>
                <w:rFonts w:cs="Arial"/>
                <w:sz w:val="18"/>
                <w:szCs w:val="18"/>
              </w:rPr>
            </w:pPr>
            <w:r w:rsidRPr="00545EC0">
              <w:rPr>
                <w:rFonts w:cs="Arial"/>
                <w:sz w:val="18"/>
                <w:szCs w:val="18"/>
              </w:rPr>
              <w:lastRenderedPageBreak/>
              <w:t>SI1922VT</w:t>
            </w:r>
          </w:p>
        </w:tc>
        <w:tc>
          <w:tcPr>
            <w:tcW w:w="1538" w:type="pct"/>
            <w:tcBorders>
              <w:top w:val="nil"/>
              <w:left w:val="single" w:sz="4" w:space="0" w:color="auto"/>
              <w:bottom w:val="single" w:sz="4" w:space="0" w:color="auto"/>
              <w:right w:val="single" w:sz="4" w:space="0" w:color="auto"/>
            </w:tcBorders>
            <w:shd w:val="clear" w:color="auto" w:fill="auto"/>
            <w:vAlign w:val="center"/>
            <w:hideMark/>
          </w:tcPr>
          <w:p w14:paraId="731DE6AA" w14:textId="6E1ABFD9" w:rsidR="00E54D06" w:rsidRPr="00545EC0" w:rsidRDefault="00E54D06" w:rsidP="00C32146">
            <w:pPr>
              <w:overflowPunct/>
              <w:autoSpaceDE/>
              <w:autoSpaceDN/>
              <w:adjustRightInd/>
              <w:spacing w:before="60" w:after="60" w:line="240" w:lineRule="auto"/>
              <w:jc w:val="left"/>
              <w:textAlignment w:val="auto"/>
              <w:rPr>
                <w:rFonts w:cs="Arial"/>
                <w:sz w:val="18"/>
                <w:szCs w:val="18"/>
              </w:rPr>
            </w:pPr>
            <w:r w:rsidRPr="00545EC0">
              <w:rPr>
                <w:rFonts w:cs="Arial"/>
                <w:sz w:val="18"/>
                <w:szCs w:val="18"/>
              </w:rPr>
              <w:t>VT Mestinjščica</w:t>
            </w:r>
          </w:p>
        </w:tc>
        <w:tc>
          <w:tcPr>
            <w:tcW w:w="616" w:type="pct"/>
            <w:tcBorders>
              <w:top w:val="nil"/>
              <w:left w:val="nil"/>
              <w:bottom w:val="single" w:sz="4" w:space="0" w:color="auto"/>
              <w:right w:val="single" w:sz="4" w:space="0" w:color="auto"/>
            </w:tcBorders>
            <w:shd w:val="clear" w:color="auto" w:fill="auto"/>
            <w:noWrap/>
            <w:vAlign w:val="center"/>
            <w:hideMark/>
          </w:tcPr>
          <w:p w14:paraId="5D26EF62"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27%</w:t>
            </w:r>
          </w:p>
        </w:tc>
        <w:tc>
          <w:tcPr>
            <w:tcW w:w="615" w:type="pct"/>
            <w:tcBorders>
              <w:top w:val="nil"/>
              <w:left w:val="nil"/>
              <w:bottom w:val="single" w:sz="4" w:space="0" w:color="auto"/>
              <w:right w:val="single" w:sz="4" w:space="0" w:color="auto"/>
            </w:tcBorders>
            <w:shd w:val="clear" w:color="auto" w:fill="auto"/>
            <w:noWrap/>
            <w:vAlign w:val="center"/>
            <w:hideMark/>
          </w:tcPr>
          <w:p w14:paraId="39BA6489"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46%</w:t>
            </w:r>
          </w:p>
        </w:tc>
        <w:tc>
          <w:tcPr>
            <w:tcW w:w="1061" w:type="pct"/>
            <w:tcBorders>
              <w:top w:val="nil"/>
              <w:left w:val="nil"/>
              <w:bottom w:val="single" w:sz="4" w:space="0" w:color="auto"/>
              <w:right w:val="single" w:sz="4" w:space="0" w:color="auto"/>
            </w:tcBorders>
            <w:shd w:val="clear" w:color="auto" w:fill="auto"/>
            <w:noWrap/>
            <w:vAlign w:val="center"/>
            <w:hideMark/>
          </w:tcPr>
          <w:p w14:paraId="3EAF9EC1"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25%</w:t>
            </w:r>
          </w:p>
        </w:tc>
        <w:tc>
          <w:tcPr>
            <w:tcW w:w="592" w:type="pct"/>
            <w:tcBorders>
              <w:top w:val="nil"/>
              <w:left w:val="nil"/>
              <w:bottom w:val="single" w:sz="4" w:space="0" w:color="auto"/>
              <w:right w:val="single" w:sz="4" w:space="0" w:color="auto"/>
            </w:tcBorders>
            <w:shd w:val="clear" w:color="auto" w:fill="auto"/>
            <w:noWrap/>
            <w:vAlign w:val="center"/>
            <w:hideMark/>
          </w:tcPr>
          <w:p w14:paraId="726A3AC9"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2%</w:t>
            </w:r>
          </w:p>
        </w:tc>
      </w:tr>
      <w:tr w:rsidR="003122F4" w:rsidRPr="00545EC0" w14:paraId="22F6AA92" w14:textId="77777777" w:rsidTr="00C32146">
        <w:trPr>
          <w:trHeight w:val="50"/>
        </w:trPr>
        <w:tc>
          <w:tcPr>
            <w:tcW w:w="578" w:type="pct"/>
            <w:tcBorders>
              <w:top w:val="nil"/>
              <w:left w:val="single" w:sz="4" w:space="0" w:color="auto"/>
              <w:bottom w:val="single" w:sz="4" w:space="0" w:color="auto"/>
              <w:right w:val="single" w:sz="4" w:space="0" w:color="auto"/>
            </w:tcBorders>
            <w:vAlign w:val="center"/>
          </w:tcPr>
          <w:p w14:paraId="23830AD7" w14:textId="0E61A533" w:rsidR="00E54D06" w:rsidRPr="00545EC0" w:rsidRDefault="00E54D06" w:rsidP="00C32146">
            <w:pPr>
              <w:overflowPunct/>
              <w:autoSpaceDE/>
              <w:autoSpaceDN/>
              <w:adjustRightInd/>
              <w:spacing w:before="60" w:after="60" w:line="240" w:lineRule="auto"/>
              <w:jc w:val="left"/>
              <w:textAlignment w:val="auto"/>
              <w:rPr>
                <w:rFonts w:cs="Arial"/>
                <w:sz w:val="18"/>
                <w:szCs w:val="18"/>
              </w:rPr>
            </w:pPr>
            <w:r w:rsidRPr="00545EC0">
              <w:rPr>
                <w:rFonts w:cs="Arial"/>
                <w:sz w:val="18"/>
                <w:szCs w:val="18"/>
              </w:rPr>
              <w:t>SI192VT1</w:t>
            </w:r>
          </w:p>
        </w:tc>
        <w:tc>
          <w:tcPr>
            <w:tcW w:w="1538" w:type="pct"/>
            <w:tcBorders>
              <w:top w:val="nil"/>
              <w:left w:val="single" w:sz="4" w:space="0" w:color="auto"/>
              <w:bottom w:val="single" w:sz="4" w:space="0" w:color="auto"/>
              <w:right w:val="single" w:sz="4" w:space="0" w:color="auto"/>
            </w:tcBorders>
            <w:shd w:val="clear" w:color="auto" w:fill="auto"/>
            <w:vAlign w:val="center"/>
            <w:hideMark/>
          </w:tcPr>
          <w:p w14:paraId="672619CD" w14:textId="4C84669E" w:rsidR="00E54D06" w:rsidRPr="00545EC0" w:rsidRDefault="00E54D06" w:rsidP="00C32146">
            <w:pPr>
              <w:overflowPunct/>
              <w:autoSpaceDE/>
              <w:autoSpaceDN/>
              <w:adjustRightInd/>
              <w:spacing w:before="60" w:after="60" w:line="240" w:lineRule="auto"/>
              <w:jc w:val="left"/>
              <w:textAlignment w:val="auto"/>
              <w:rPr>
                <w:rFonts w:cs="Arial"/>
                <w:sz w:val="18"/>
                <w:szCs w:val="18"/>
              </w:rPr>
            </w:pPr>
            <w:r w:rsidRPr="00545EC0">
              <w:rPr>
                <w:rFonts w:cs="Arial"/>
                <w:sz w:val="18"/>
                <w:szCs w:val="18"/>
              </w:rPr>
              <w:t>VT Sotla Dobovec – Podčetrtek</w:t>
            </w:r>
          </w:p>
        </w:tc>
        <w:tc>
          <w:tcPr>
            <w:tcW w:w="616" w:type="pct"/>
            <w:tcBorders>
              <w:top w:val="nil"/>
              <w:left w:val="nil"/>
              <w:bottom w:val="single" w:sz="4" w:space="0" w:color="auto"/>
              <w:right w:val="single" w:sz="4" w:space="0" w:color="auto"/>
            </w:tcBorders>
            <w:shd w:val="clear" w:color="auto" w:fill="auto"/>
            <w:noWrap/>
            <w:vAlign w:val="center"/>
            <w:hideMark/>
          </w:tcPr>
          <w:p w14:paraId="3BB8BF97"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10%</w:t>
            </w:r>
          </w:p>
        </w:tc>
        <w:tc>
          <w:tcPr>
            <w:tcW w:w="615" w:type="pct"/>
            <w:tcBorders>
              <w:top w:val="nil"/>
              <w:left w:val="nil"/>
              <w:bottom w:val="single" w:sz="4" w:space="0" w:color="auto"/>
              <w:right w:val="single" w:sz="4" w:space="0" w:color="auto"/>
            </w:tcBorders>
            <w:shd w:val="clear" w:color="auto" w:fill="auto"/>
            <w:noWrap/>
            <w:vAlign w:val="center"/>
            <w:hideMark/>
          </w:tcPr>
          <w:p w14:paraId="399ACFD5"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50%</w:t>
            </w:r>
          </w:p>
        </w:tc>
        <w:tc>
          <w:tcPr>
            <w:tcW w:w="1061" w:type="pct"/>
            <w:tcBorders>
              <w:top w:val="nil"/>
              <w:left w:val="nil"/>
              <w:bottom w:val="single" w:sz="4" w:space="0" w:color="auto"/>
              <w:right w:val="single" w:sz="4" w:space="0" w:color="auto"/>
            </w:tcBorders>
            <w:shd w:val="clear" w:color="auto" w:fill="auto"/>
            <w:noWrap/>
            <w:vAlign w:val="center"/>
            <w:hideMark/>
          </w:tcPr>
          <w:p w14:paraId="0323FF44"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30%</w:t>
            </w:r>
          </w:p>
        </w:tc>
        <w:tc>
          <w:tcPr>
            <w:tcW w:w="592" w:type="pct"/>
            <w:tcBorders>
              <w:top w:val="nil"/>
              <w:left w:val="nil"/>
              <w:bottom w:val="single" w:sz="4" w:space="0" w:color="auto"/>
              <w:right w:val="single" w:sz="4" w:space="0" w:color="auto"/>
            </w:tcBorders>
            <w:shd w:val="clear" w:color="auto" w:fill="auto"/>
            <w:noWrap/>
            <w:vAlign w:val="center"/>
            <w:hideMark/>
          </w:tcPr>
          <w:p w14:paraId="170481DD"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11%</w:t>
            </w:r>
          </w:p>
        </w:tc>
      </w:tr>
      <w:tr w:rsidR="003122F4" w:rsidRPr="00545EC0" w14:paraId="079906C2" w14:textId="77777777" w:rsidTr="00C32146">
        <w:trPr>
          <w:trHeight w:val="50"/>
        </w:trPr>
        <w:tc>
          <w:tcPr>
            <w:tcW w:w="578" w:type="pct"/>
            <w:tcBorders>
              <w:top w:val="nil"/>
              <w:left w:val="single" w:sz="4" w:space="0" w:color="auto"/>
              <w:bottom w:val="single" w:sz="4" w:space="0" w:color="auto"/>
              <w:right w:val="single" w:sz="4" w:space="0" w:color="auto"/>
            </w:tcBorders>
            <w:vAlign w:val="center"/>
          </w:tcPr>
          <w:p w14:paraId="3D41EBCA" w14:textId="22FDE22C" w:rsidR="00E54D06" w:rsidRPr="00545EC0" w:rsidRDefault="00E54D06" w:rsidP="00C32146">
            <w:pPr>
              <w:overflowPunct/>
              <w:autoSpaceDE/>
              <w:autoSpaceDN/>
              <w:adjustRightInd/>
              <w:spacing w:before="60" w:after="60" w:line="240" w:lineRule="auto"/>
              <w:jc w:val="left"/>
              <w:textAlignment w:val="auto"/>
              <w:rPr>
                <w:rFonts w:cs="Arial"/>
                <w:sz w:val="18"/>
                <w:szCs w:val="18"/>
              </w:rPr>
            </w:pPr>
            <w:r w:rsidRPr="00545EC0">
              <w:rPr>
                <w:rFonts w:cs="Arial"/>
                <w:sz w:val="18"/>
                <w:szCs w:val="18"/>
              </w:rPr>
              <w:t>SI364VT1</w:t>
            </w:r>
          </w:p>
        </w:tc>
        <w:tc>
          <w:tcPr>
            <w:tcW w:w="1538" w:type="pct"/>
            <w:tcBorders>
              <w:top w:val="nil"/>
              <w:left w:val="single" w:sz="4" w:space="0" w:color="auto"/>
              <w:bottom w:val="single" w:sz="4" w:space="0" w:color="auto"/>
              <w:right w:val="single" w:sz="4" w:space="0" w:color="auto"/>
            </w:tcBorders>
            <w:shd w:val="clear" w:color="auto" w:fill="auto"/>
            <w:vAlign w:val="center"/>
            <w:hideMark/>
          </w:tcPr>
          <w:p w14:paraId="6BFA5EC1" w14:textId="767288FA" w:rsidR="00E54D06" w:rsidRPr="00545EC0" w:rsidRDefault="00E54D06" w:rsidP="00C32146">
            <w:pPr>
              <w:overflowPunct/>
              <w:autoSpaceDE/>
              <w:autoSpaceDN/>
              <w:adjustRightInd/>
              <w:spacing w:before="60" w:after="60" w:line="240" w:lineRule="auto"/>
              <w:jc w:val="left"/>
              <w:textAlignment w:val="auto"/>
              <w:rPr>
                <w:rFonts w:cs="Arial"/>
                <w:sz w:val="18"/>
                <w:szCs w:val="18"/>
              </w:rPr>
            </w:pPr>
            <w:r w:rsidRPr="00545EC0">
              <w:rPr>
                <w:rFonts w:cs="Arial"/>
                <w:sz w:val="18"/>
                <w:szCs w:val="18"/>
              </w:rPr>
              <w:t>VT Ložnica povirje – Slovenska Bistrica</w:t>
            </w:r>
          </w:p>
        </w:tc>
        <w:tc>
          <w:tcPr>
            <w:tcW w:w="616" w:type="pct"/>
            <w:tcBorders>
              <w:top w:val="nil"/>
              <w:left w:val="nil"/>
              <w:bottom w:val="single" w:sz="4" w:space="0" w:color="auto"/>
              <w:right w:val="single" w:sz="4" w:space="0" w:color="auto"/>
            </w:tcBorders>
            <w:shd w:val="clear" w:color="auto" w:fill="auto"/>
            <w:noWrap/>
            <w:vAlign w:val="center"/>
            <w:hideMark/>
          </w:tcPr>
          <w:p w14:paraId="7F120965"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14%</w:t>
            </w:r>
          </w:p>
        </w:tc>
        <w:tc>
          <w:tcPr>
            <w:tcW w:w="615" w:type="pct"/>
            <w:tcBorders>
              <w:top w:val="nil"/>
              <w:left w:val="nil"/>
              <w:bottom w:val="single" w:sz="4" w:space="0" w:color="auto"/>
              <w:right w:val="single" w:sz="4" w:space="0" w:color="auto"/>
            </w:tcBorders>
            <w:shd w:val="clear" w:color="auto" w:fill="auto"/>
            <w:noWrap/>
            <w:vAlign w:val="center"/>
            <w:hideMark/>
          </w:tcPr>
          <w:p w14:paraId="71FF6E7C"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47%</w:t>
            </w:r>
          </w:p>
        </w:tc>
        <w:tc>
          <w:tcPr>
            <w:tcW w:w="1061" w:type="pct"/>
            <w:tcBorders>
              <w:top w:val="nil"/>
              <w:left w:val="nil"/>
              <w:bottom w:val="single" w:sz="4" w:space="0" w:color="auto"/>
              <w:right w:val="single" w:sz="4" w:space="0" w:color="auto"/>
            </w:tcBorders>
            <w:shd w:val="clear" w:color="auto" w:fill="auto"/>
            <w:noWrap/>
            <w:vAlign w:val="center"/>
            <w:hideMark/>
          </w:tcPr>
          <w:p w14:paraId="6F3E828E"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39%</w:t>
            </w:r>
          </w:p>
        </w:tc>
        <w:tc>
          <w:tcPr>
            <w:tcW w:w="592" w:type="pct"/>
            <w:tcBorders>
              <w:top w:val="nil"/>
              <w:left w:val="nil"/>
              <w:bottom w:val="single" w:sz="4" w:space="0" w:color="auto"/>
              <w:right w:val="single" w:sz="4" w:space="0" w:color="auto"/>
            </w:tcBorders>
            <w:shd w:val="clear" w:color="auto" w:fill="auto"/>
            <w:noWrap/>
            <w:vAlign w:val="center"/>
            <w:hideMark/>
          </w:tcPr>
          <w:p w14:paraId="4C237700"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0%</w:t>
            </w:r>
          </w:p>
        </w:tc>
      </w:tr>
      <w:tr w:rsidR="003122F4" w:rsidRPr="00545EC0" w14:paraId="0F2AA435" w14:textId="77777777" w:rsidTr="00C32146">
        <w:trPr>
          <w:trHeight w:val="50"/>
        </w:trPr>
        <w:tc>
          <w:tcPr>
            <w:tcW w:w="578" w:type="pct"/>
            <w:tcBorders>
              <w:top w:val="nil"/>
              <w:left w:val="single" w:sz="4" w:space="0" w:color="auto"/>
              <w:bottom w:val="single" w:sz="4" w:space="0" w:color="auto"/>
              <w:right w:val="single" w:sz="4" w:space="0" w:color="auto"/>
            </w:tcBorders>
            <w:vAlign w:val="center"/>
          </w:tcPr>
          <w:p w14:paraId="79BF552F" w14:textId="63C27DC2" w:rsidR="00E54D06" w:rsidRPr="00545EC0" w:rsidRDefault="00E54D06" w:rsidP="00C32146">
            <w:pPr>
              <w:overflowPunct/>
              <w:autoSpaceDE/>
              <w:autoSpaceDN/>
              <w:adjustRightInd/>
              <w:spacing w:before="60" w:after="60" w:line="240" w:lineRule="auto"/>
              <w:jc w:val="left"/>
              <w:textAlignment w:val="auto"/>
              <w:rPr>
                <w:rFonts w:cs="Arial"/>
                <w:sz w:val="18"/>
                <w:szCs w:val="18"/>
              </w:rPr>
            </w:pPr>
            <w:r w:rsidRPr="00545EC0">
              <w:rPr>
                <w:rFonts w:cs="Arial"/>
                <w:sz w:val="18"/>
                <w:szCs w:val="18"/>
              </w:rPr>
              <w:t>SI364VT7</w:t>
            </w:r>
          </w:p>
        </w:tc>
        <w:tc>
          <w:tcPr>
            <w:tcW w:w="1538" w:type="pct"/>
            <w:tcBorders>
              <w:top w:val="nil"/>
              <w:left w:val="single" w:sz="4" w:space="0" w:color="auto"/>
              <w:bottom w:val="single" w:sz="4" w:space="0" w:color="auto"/>
              <w:right w:val="single" w:sz="4" w:space="0" w:color="auto"/>
            </w:tcBorders>
            <w:shd w:val="clear" w:color="auto" w:fill="auto"/>
            <w:vAlign w:val="center"/>
            <w:hideMark/>
          </w:tcPr>
          <w:p w14:paraId="14A4E618" w14:textId="6E1CD91F" w:rsidR="00E54D06" w:rsidRPr="00545EC0" w:rsidRDefault="00E54D06" w:rsidP="00C32146">
            <w:pPr>
              <w:overflowPunct/>
              <w:autoSpaceDE/>
              <w:autoSpaceDN/>
              <w:adjustRightInd/>
              <w:spacing w:before="60" w:after="60" w:line="240" w:lineRule="auto"/>
              <w:jc w:val="left"/>
              <w:textAlignment w:val="auto"/>
              <w:rPr>
                <w:rFonts w:cs="Arial"/>
                <w:sz w:val="18"/>
                <w:szCs w:val="18"/>
              </w:rPr>
            </w:pPr>
            <w:r w:rsidRPr="00545EC0">
              <w:rPr>
                <w:rFonts w:cs="Arial"/>
                <w:sz w:val="18"/>
                <w:szCs w:val="18"/>
              </w:rPr>
              <w:t>VT Ložnica Slovenska Bistrica – Pečke</w:t>
            </w:r>
          </w:p>
        </w:tc>
        <w:tc>
          <w:tcPr>
            <w:tcW w:w="616" w:type="pct"/>
            <w:tcBorders>
              <w:top w:val="nil"/>
              <w:left w:val="nil"/>
              <w:bottom w:val="single" w:sz="4" w:space="0" w:color="auto"/>
              <w:right w:val="single" w:sz="4" w:space="0" w:color="auto"/>
            </w:tcBorders>
            <w:shd w:val="clear" w:color="auto" w:fill="auto"/>
            <w:noWrap/>
            <w:vAlign w:val="center"/>
            <w:hideMark/>
          </w:tcPr>
          <w:p w14:paraId="151BE13E"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45%</w:t>
            </w:r>
          </w:p>
        </w:tc>
        <w:tc>
          <w:tcPr>
            <w:tcW w:w="615" w:type="pct"/>
            <w:tcBorders>
              <w:top w:val="nil"/>
              <w:left w:val="nil"/>
              <w:bottom w:val="single" w:sz="4" w:space="0" w:color="auto"/>
              <w:right w:val="single" w:sz="4" w:space="0" w:color="auto"/>
            </w:tcBorders>
            <w:shd w:val="clear" w:color="auto" w:fill="auto"/>
            <w:noWrap/>
            <w:vAlign w:val="center"/>
            <w:hideMark/>
          </w:tcPr>
          <w:p w14:paraId="699CB5AD"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37%</w:t>
            </w:r>
          </w:p>
        </w:tc>
        <w:tc>
          <w:tcPr>
            <w:tcW w:w="1061" w:type="pct"/>
            <w:tcBorders>
              <w:top w:val="nil"/>
              <w:left w:val="nil"/>
              <w:bottom w:val="single" w:sz="4" w:space="0" w:color="auto"/>
              <w:right w:val="single" w:sz="4" w:space="0" w:color="auto"/>
            </w:tcBorders>
            <w:shd w:val="clear" w:color="auto" w:fill="auto"/>
            <w:noWrap/>
            <w:vAlign w:val="center"/>
            <w:hideMark/>
          </w:tcPr>
          <w:p w14:paraId="3BF2A9DB"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16%</w:t>
            </w:r>
          </w:p>
        </w:tc>
        <w:tc>
          <w:tcPr>
            <w:tcW w:w="592" w:type="pct"/>
            <w:tcBorders>
              <w:top w:val="nil"/>
              <w:left w:val="nil"/>
              <w:bottom w:val="single" w:sz="4" w:space="0" w:color="auto"/>
              <w:right w:val="single" w:sz="4" w:space="0" w:color="auto"/>
            </w:tcBorders>
            <w:shd w:val="clear" w:color="auto" w:fill="auto"/>
            <w:noWrap/>
            <w:vAlign w:val="center"/>
            <w:hideMark/>
          </w:tcPr>
          <w:p w14:paraId="676B01A2"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2%</w:t>
            </w:r>
          </w:p>
        </w:tc>
      </w:tr>
      <w:tr w:rsidR="003122F4" w:rsidRPr="00545EC0" w14:paraId="29043E20" w14:textId="77777777" w:rsidTr="00C32146">
        <w:trPr>
          <w:trHeight w:val="50"/>
        </w:trPr>
        <w:tc>
          <w:tcPr>
            <w:tcW w:w="578" w:type="pct"/>
            <w:tcBorders>
              <w:top w:val="nil"/>
              <w:left w:val="single" w:sz="4" w:space="0" w:color="auto"/>
              <w:bottom w:val="single" w:sz="4" w:space="0" w:color="auto"/>
              <w:right w:val="single" w:sz="4" w:space="0" w:color="auto"/>
            </w:tcBorders>
            <w:vAlign w:val="center"/>
          </w:tcPr>
          <w:p w14:paraId="2F2A2F79" w14:textId="03A1C4AC" w:rsidR="00E54D06" w:rsidRPr="00545EC0" w:rsidRDefault="00E54D06" w:rsidP="00C32146">
            <w:pPr>
              <w:overflowPunct/>
              <w:autoSpaceDE/>
              <w:autoSpaceDN/>
              <w:adjustRightInd/>
              <w:spacing w:before="60" w:after="60" w:line="240" w:lineRule="auto"/>
              <w:jc w:val="left"/>
              <w:textAlignment w:val="auto"/>
              <w:rPr>
                <w:rFonts w:cs="Arial"/>
                <w:sz w:val="18"/>
                <w:szCs w:val="18"/>
              </w:rPr>
            </w:pPr>
            <w:r w:rsidRPr="00545EC0">
              <w:rPr>
                <w:rFonts w:cs="Arial"/>
                <w:sz w:val="18"/>
                <w:szCs w:val="18"/>
              </w:rPr>
              <w:t>SI368VT9</w:t>
            </w:r>
          </w:p>
        </w:tc>
        <w:tc>
          <w:tcPr>
            <w:tcW w:w="1538" w:type="pct"/>
            <w:tcBorders>
              <w:top w:val="nil"/>
              <w:left w:val="single" w:sz="4" w:space="0" w:color="auto"/>
              <w:bottom w:val="single" w:sz="4" w:space="0" w:color="auto"/>
              <w:right w:val="single" w:sz="4" w:space="0" w:color="auto"/>
            </w:tcBorders>
            <w:shd w:val="clear" w:color="auto" w:fill="auto"/>
            <w:vAlign w:val="center"/>
            <w:hideMark/>
          </w:tcPr>
          <w:p w14:paraId="71EA3E7F" w14:textId="50C729F7" w:rsidR="00E54D06" w:rsidRPr="00545EC0" w:rsidRDefault="00E54D06" w:rsidP="00C32146">
            <w:pPr>
              <w:overflowPunct/>
              <w:autoSpaceDE/>
              <w:autoSpaceDN/>
              <w:adjustRightInd/>
              <w:spacing w:before="60" w:after="60" w:line="240" w:lineRule="auto"/>
              <w:jc w:val="left"/>
              <w:textAlignment w:val="auto"/>
              <w:rPr>
                <w:rFonts w:cs="Arial"/>
                <w:sz w:val="18"/>
                <w:szCs w:val="18"/>
              </w:rPr>
            </w:pPr>
            <w:r w:rsidRPr="00545EC0">
              <w:rPr>
                <w:rFonts w:cs="Arial"/>
                <w:sz w:val="18"/>
                <w:szCs w:val="18"/>
              </w:rPr>
              <w:t>VT Polskava Zgornja Polskava – Tržec</w:t>
            </w:r>
          </w:p>
        </w:tc>
        <w:tc>
          <w:tcPr>
            <w:tcW w:w="616" w:type="pct"/>
            <w:tcBorders>
              <w:top w:val="nil"/>
              <w:left w:val="nil"/>
              <w:bottom w:val="single" w:sz="4" w:space="0" w:color="auto"/>
              <w:right w:val="single" w:sz="4" w:space="0" w:color="auto"/>
            </w:tcBorders>
            <w:shd w:val="clear" w:color="auto" w:fill="auto"/>
            <w:noWrap/>
            <w:vAlign w:val="center"/>
            <w:hideMark/>
          </w:tcPr>
          <w:p w14:paraId="426C85A6"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61%</w:t>
            </w:r>
          </w:p>
        </w:tc>
        <w:tc>
          <w:tcPr>
            <w:tcW w:w="615" w:type="pct"/>
            <w:tcBorders>
              <w:top w:val="nil"/>
              <w:left w:val="nil"/>
              <w:bottom w:val="single" w:sz="4" w:space="0" w:color="auto"/>
              <w:right w:val="single" w:sz="4" w:space="0" w:color="auto"/>
            </w:tcBorders>
            <w:shd w:val="clear" w:color="auto" w:fill="auto"/>
            <w:noWrap/>
            <w:vAlign w:val="center"/>
            <w:hideMark/>
          </w:tcPr>
          <w:p w14:paraId="5850005A"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26%</w:t>
            </w:r>
          </w:p>
        </w:tc>
        <w:tc>
          <w:tcPr>
            <w:tcW w:w="1061" w:type="pct"/>
            <w:tcBorders>
              <w:top w:val="nil"/>
              <w:left w:val="nil"/>
              <w:bottom w:val="single" w:sz="4" w:space="0" w:color="auto"/>
              <w:right w:val="single" w:sz="4" w:space="0" w:color="auto"/>
            </w:tcBorders>
            <w:shd w:val="clear" w:color="auto" w:fill="auto"/>
            <w:noWrap/>
            <w:vAlign w:val="center"/>
            <w:hideMark/>
          </w:tcPr>
          <w:p w14:paraId="102A6EBD"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11%</w:t>
            </w:r>
          </w:p>
        </w:tc>
        <w:tc>
          <w:tcPr>
            <w:tcW w:w="592" w:type="pct"/>
            <w:tcBorders>
              <w:top w:val="nil"/>
              <w:left w:val="nil"/>
              <w:bottom w:val="single" w:sz="4" w:space="0" w:color="auto"/>
              <w:right w:val="single" w:sz="4" w:space="0" w:color="auto"/>
            </w:tcBorders>
            <w:shd w:val="clear" w:color="auto" w:fill="auto"/>
            <w:noWrap/>
            <w:vAlign w:val="center"/>
            <w:hideMark/>
          </w:tcPr>
          <w:p w14:paraId="46E70DAB"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2%</w:t>
            </w:r>
          </w:p>
        </w:tc>
      </w:tr>
      <w:tr w:rsidR="003122F4" w:rsidRPr="00545EC0" w14:paraId="3B85B949" w14:textId="77777777" w:rsidTr="00C32146">
        <w:trPr>
          <w:trHeight w:val="50"/>
        </w:trPr>
        <w:tc>
          <w:tcPr>
            <w:tcW w:w="578" w:type="pct"/>
            <w:tcBorders>
              <w:top w:val="nil"/>
              <w:left w:val="single" w:sz="4" w:space="0" w:color="auto"/>
              <w:bottom w:val="single" w:sz="4" w:space="0" w:color="auto"/>
              <w:right w:val="single" w:sz="4" w:space="0" w:color="auto"/>
            </w:tcBorders>
            <w:vAlign w:val="center"/>
          </w:tcPr>
          <w:p w14:paraId="4958BE1F" w14:textId="31875419" w:rsidR="00E54D06" w:rsidRPr="00545EC0" w:rsidRDefault="00E54D06" w:rsidP="00C32146">
            <w:pPr>
              <w:overflowPunct/>
              <w:autoSpaceDE/>
              <w:autoSpaceDN/>
              <w:adjustRightInd/>
              <w:spacing w:before="60" w:after="60" w:line="240" w:lineRule="auto"/>
              <w:jc w:val="left"/>
              <w:textAlignment w:val="auto"/>
              <w:rPr>
                <w:rFonts w:cs="Arial"/>
                <w:sz w:val="18"/>
                <w:szCs w:val="18"/>
              </w:rPr>
            </w:pPr>
            <w:r w:rsidRPr="00545EC0">
              <w:rPr>
                <w:rFonts w:cs="Arial"/>
                <w:sz w:val="18"/>
                <w:szCs w:val="18"/>
              </w:rPr>
              <w:t>SI38VT33</w:t>
            </w:r>
          </w:p>
        </w:tc>
        <w:tc>
          <w:tcPr>
            <w:tcW w:w="1538" w:type="pct"/>
            <w:tcBorders>
              <w:top w:val="nil"/>
              <w:left w:val="single" w:sz="4" w:space="0" w:color="auto"/>
              <w:bottom w:val="single" w:sz="4" w:space="0" w:color="auto"/>
              <w:right w:val="single" w:sz="4" w:space="0" w:color="auto"/>
            </w:tcBorders>
            <w:shd w:val="clear" w:color="auto" w:fill="auto"/>
            <w:vAlign w:val="center"/>
            <w:hideMark/>
          </w:tcPr>
          <w:p w14:paraId="22D025C6" w14:textId="5B06DE34" w:rsidR="00E54D06" w:rsidRPr="00545EC0" w:rsidRDefault="00E54D06" w:rsidP="00C32146">
            <w:pPr>
              <w:overflowPunct/>
              <w:autoSpaceDE/>
              <w:autoSpaceDN/>
              <w:adjustRightInd/>
              <w:spacing w:before="60" w:after="60" w:line="240" w:lineRule="auto"/>
              <w:jc w:val="left"/>
              <w:textAlignment w:val="auto"/>
              <w:rPr>
                <w:rFonts w:cs="Arial"/>
                <w:sz w:val="18"/>
                <w:szCs w:val="18"/>
              </w:rPr>
            </w:pPr>
            <w:r w:rsidRPr="00545EC0">
              <w:rPr>
                <w:rFonts w:cs="Arial"/>
                <w:sz w:val="18"/>
                <w:szCs w:val="18"/>
              </w:rPr>
              <w:t>VT Pesnica državna meja – zadrževalnik Perniško jezero</w:t>
            </w:r>
          </w:p>
        </w:tc>
        <w:tc>
          <w:tcPr>
            <w:tcW w:w="616" w:type="pct"/>
            <w:tcBorders>
              <w:top w:val="nil"/>
              <w:left w:val="nil"/>
              <w:bottom w:val="single" w:sz="4" w:space="0" w:color="auto"/>
              <w:right w:val="single" w:sz="4" w:space="0" w:color="auto"/>
            </w:tcBorders>
            <w:shd w:val="clear" w:color="auto" w:fill="auto"/>
            <w:noWrap/>
            <w:vAlign w:val="center"/>
            <w:hideMark/>
          </w:tcPr>
          <w:p w14:paraId="2645CFBC"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22%</w:t>
            </w:r>
          </w:p>
        </w:tc>
        <w:tc>
          <w:tcPr>
            <w:tcW w:w="615" w:type="pct"/>
            <w:tcBorders>
              <w:top w:val="nil"/>
              <w:left w:val="nil"/>
              <w:bottom w:val="single" w:sz="4" w:space="0" w:color="auto"/>
              <w:right w:val="single" w:sz="4" w:space="0" w:color="auto"/>
            </w:tcBorders>
            <w:shd w:val="clear" w:color="auto" w:fill="auto"/>
            <w:noWrap/>
            <w:vAlign w:val="center"/>
            <w:hideMark/>
          </w:tcPr>
          <w:p w14:paraId="5F3F189E"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51%</w:t>
            </w:r>
          </w:p>
        </w:tc>
        <w:tc>
          <w:tcPr>
            <w:tcW w:w="1061" w:type="pct"/>
            <w:tcBorders>
              <w:top w:val="nil"/>
              <w:left w:val="nil"/>
              <w:bottom w:val="single" w:sz="4" w:space="0" w:color="auto"/>
              <w:right w:val="single" w:sz="4" w:space="0" w:color="auto"/>
            </w:tcBorders>
            <w:shd w:val="clear" w:color="auto" w:fill="auto"/>
            <w:noWrap/>
            <w:vAlign w:val="center"/>
            <w:hideMark/>
          </w:tcPr>
          <w:p w14:paraId="12A03D84"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27%</w:t>
            </w:r>
          </w:p>
        </w:tc>
        <w:tc>
          <w:tcPr>
            <w:tcW w:w="592" w:type="pct"/>
            <w:tcBorders>
              <w:top w:val="nil"/>
              <w:left w:val="nil"/>
              <w:bottom w:val="single" w:sz="4" w:space="0" w:color="auto"/>
              <w:right w:val="single" w:sz="4" w:space="0" w:color="auto"/>
            </w:tcBorders>
            <w:shd w:val="clear" w:color="auto" w:fill="auto"/>
            <w:noWrap/>
            <w:vAlign w:val="center"/>
            <w:hideMark/>
          </w:tcPr>
          <w:p w14:paraId="2864BBCF"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0%</w:t>
            </w:r>
          </w:p>
        </w:tc>
      </w:tr>
      <w:tr w:rsidR="003122F4" w:rsidRPr="00545EC0" w14:paraId="7D5BDC42" w14:textId="77777777" w:rsidTr="00C32146">
        <w:trPr>
          <w:trHeight w:val="50"/>
        </w:trPr>
        <w:tc>
          <w:tcPr>
            <w:tcW w:w="578" w:type="pct"/>
            <w:tcBorders>
              <w:top w:val="nil"/>
              <w:left w:val="single" w:sz="4" w:space="0" w:color="auto"/>
              <w:bottom w:val="single" w:sz="4" w:space="0" w:color="auto"/>
              <w:right w:val="single" w:sz="4" w:space="0" w:color="auto"/>
            </w:tcBorders>
            <w:vAlign w:val="center"/>
          </w:tcPr>
          <w:p w14:paraId="66C1506C" w14:textId="2ED42AA6" w:rsidR="00E54D06" w:rsidRPr="00545EC0" w:rsidRDefault="00E54D06" w:rsidP="00C32146">
            <w:pPr>
              <w:overflowPunct/>
              <w:autoSpaceDE/>
              <w:autoSpaceDN/>
              <w:adjustRightInd/>
              <w:spacing w:before="60" w:after="60" w:line="240" w:lineRule="auto"/>
              <w:jc w:val="left"/>
              <w:textAlignment w:val="auto"/>
              <w:rPr>
                <w:rFonts w:cs="Arial"/>
                <w:sz w:val="18"/>
                <w:szCs w:val="18"/>
              </w:rPr>
            </w:pPr>
            <w:r w:rsidRPr="00545EC0">
              <w:rPr>
                <w:rFonts w:cs="Arial"/>
                <w:sz w:val="18"/>
                <w:szCs w:val="18"/>
              </w:rPr>
              <w:t>SI38VT90</w:t>
            </w:r>
          </w:p>
        </w:tc>
        <w:tc>
          <w:tcPr>
            <w:tcW w:w="1538" w:type="pct"/>
            <w:tcBorders>
              <w:top w:val="nil"/>
              <w:left w:val="single" w:sz="4" w:space="0" w:color="auto"/>
              <w:bottom w:val="single" w:sz="4" w:space="0" w:color="auto"/>
              <w:right w:val="single" w:sz="4" w:space="0" w:color="auto"/>
            </w:tcBorders>
            <w:shd w:val="clear" w:color="auto" w:fill="auto"/>
            <w:vAlign w:val="center"/>
            <w:hideMark/>
          </w:tcPr>
          <w:p w14:paraId="70D55ECD" w14:textId="21435302" w:rsidR="00E54D06" w:rsidRPr="00545EC0" w:rsidRDefault="00E54D06" w:rsidP="00C32146">
            <w:pPr>
              <w:overflowPunct/>
              <w:autoSpaceDE/>
              <w:autoSpaceDN/>
              <w:adjustRightInd/>
              <w:spacing w:before="60" w:after="60" w:line="240" w:lineRule="auto"/>
              <w:jc w:val="left"/>
              <w:textAlignment w:val="auto"/>
              <w:rPr>
                <w:rFonts w:cs="Arial"/>
                <w:sz w:val="18"/>
                <w:szCs w:val="18"/>
              </w:rPr>
            </w:pPr>
            <w:r w:rsidRPr="00545EC0">
              <w:rPr>
                <w:rFonts w:cs="Arial"/>
                <w:sz w:val="18"/>
                <w:szCs w:val="18"/>
              </w:rPr>
              <w:t>VT Pesnica zadrževalnik Perniško jezero – Ormož</w:t>
            </w:r>
          </w:p>
        </w:tc>
        <w:tc>
          <w:tcPr>
            <w:tcW w:w="616" w:type="pct"/>
            <w:tcBorders>
              <w:top w:val="nil"/>
              <w:left w:val="nil"/>
              <w:bottom w:val="single" w:sz="4" w:space="0" w:color="auto"/>
              <w:right w:val="single" w:sz="4" w:space="0" w:color="auto"/>
            </w:tcBorders>
            <w:shd w:val="clear" w:color="auto" w:fill="auto"/>
            <w:noWrap/>
            <w:vAlign w:val="center"/>
            <w:hideMark/>
          </w:tcPr>
          <w:p w14:paraId="44A2DA08"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46%</w:t>
            </w:r>
          </w:p>
        </w:tc>
        <w:tc>
          <w:tcPr>
            <w:tcW w:w="615" w:type="pct"/>
            <w:tcBorders>
              <w:top w:val="nil"/>
              <w:left w:val="nil"/>
              <w:bottom w:val="single" w:sz="4" w:space="0" w:color="auto"/>
              <w:right w:val="single" w:sz="4" w:space="0" w:color="auto"/>
            </w:tcBorders>
            <w:shd w:val="clear" w:color="auto" w:fill="auto"/>
            <w:noWrap/>
            <w:vAlign w:val="center"/>
            <w:hideMark/>
          </w:tcPr>
          <w:p w14:paraId="36932C9D"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36%</w:t>
            </w:r>
          </w:p>
        </w:tc>
        <w:tc>
          <w:tcPr>
            <w:tcW w:w="1061" w:type="pct"/>
            <w:tcBorders>
              <w:top w:val="nil"/>
              <w:left w:val="nil"/>
              <w:bottom w:val="single" w:sz="4" w:space="0" w:color="auto"/>
              <w:right w:val="single" w:sz="4" w:space="0" w:color="auto"/>
            </w:tcBorders>
            <w:shd w:val="clear" w:color="auto" w:fill="auto"/>
            <w:noWrap/>
            <w:vAlign w:val="center"/>
            <w:hideMark/>
          </w:tcPr>
          <w:p w14:paraId="4723565B"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18%</w:t>
            </w:r>
          </w:p>
        </w:tc>
        <w:tc>
          <w:tcPr>
            <w:tcW w:w="592" w:type="pct"/>
            <w:tcBorders>
              <w:top w:val="nil"/>
              <w:left w:val="nil"/>
              <w:bottom w:val="single" w:sz="4" w:space="0" w:color="auto"/>
              <w:right w:val="single" w:sz="4" w:space="0" w:color="auto"/>
            </w:tcBorders>
            <w:shd w:val="clear" w:color="auto" w:fill="auto"/>
            <w:noWrap/>
            <w:vAlign w:val="center"/>
            <w:hideMark/>
          </w:tcPr>
          <w:p w14:paraId="31B4BA4D"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0%</w:t>
            </w:r>
          </w:p>
        </w:tc>
      </w:tr>
      <w:tr w:rsidR="003122F4" w:rsidRPr="00545EC0" w14:paraId="2A93EC42" w14:textId="77777777" w:rsidTr="00C32146">
        <w:trPr>
          <w:trHeight w:val="50"/>
        </w:trPr>
        <w:tc>
          <w:tcPr>
            <w:tcW w:w="578" w:type="pct"/>
            <w:tcBorders>
              <w:top w:val="nil"/>
              <w:left w:val="single" w:sz="4" w:space="0" w:color="auto"/>
              <w:bottom w:val="single" w:sz="4" w:space="0" w:color="auto"/>
              <w:right w:val="single" w:sz="4" w:space="0" w:color="auto"/>
            </w:tcBorders>
            <w:vAlign w:val="center"/>
          </w:tcPr>
          <w:p w14:paraId="5F4A4034" w14:textId="48B4EF20" w:rsidR="00E54D06" w:rsidRPr="00545EC0" w:rsidRDefault="00E54D06" w:rsidP="00C32146">
            <w:pPr>
              <w:overflowPunct/>
              <w:autoSpaceDE/>
              <w:autoSpaceDN/>
              <w:adjustRightInd/>
              <w:spacing w:before="60" w:after="60" w:line="240" w:lineRule="auto"/>
              <w:jc w:val="left"/>
              <w:textAlignment w:val="auto"/>
              <w:rPr>
                <w:rFonts w:cs="Arial"/>
                <w:sz w:val="18"/>
                <w:szCs w:val="18"/>
              </w:rPr>
            </w:pPr>
            <w:r w:rsidRPr="00545EC0">
              <w:rPr>
                <w:rFonts w:cs="Arial"/>
                <w:sz w:val="18"/>
                <w:szCs w:val="18"/>
              </w:rPr>
              <w:t>SI432VT</w:t>
            </w:r>
          </w:p>
        </w:tc>
        <w:tc>
          <w:tcPr>
            <w:tcW w:w="1538" w:type="pct"/>
            <w:tcBorders>
              <w:top w:val="nil"/>
              <w:left w:val="single" w:sz="4" w:space="0" w:color="auto"/>
              <w:bottom w:val="single" w:sz="4" w:space="0" w:color="auto"/>
              <w:right w:val="single" w:sz="4" w:space="0" w:color="auto"/>
            </w:tcBorders>
            <w:shd w:val="clear" w:color="auto" w:fill="auto"/>
            <w:vAlign w:val="center"/>
            <w:hideMark/>
          </w:tcPr>
          <w:p w14:paraId="481DCA56" w14:textId="568508F1" w:rsidR="00E54D06" w:rsidRPr="00545EC0" w:rsidRDefault="00E54D06" w:rsidP="00C32146">
            <w:pPr>
              <w:overflowPunct/>
              <w:autoSpaceDE/>
              <w:autoSpaceDN/>
              <w:adjustRightInd/>
              <w:spacing w:before="60" w:after="60" w:line="240" w:lineRule="auto"/>
              <w:jc w:val="left"/>
              <w:textAlignment w:val="auto"/>
              <w:rPr>
                <w:rFonts w:cs="Arial"/>
                <w:sz w:val="18"/>
                <w:szCs w:val="18"/>
              </w:rPr>
            </w:pPr>
            <w:r w:rsidRPr="00545EC0">
              <w:rPr>
                <w:rFonts w:cs="Arial"/>
                <w:sz w:val="18"/>
                <w:szCs w:val="18"/>
              </w:rPr>
              <w:t>VT Kučnica</w:t>
            </w:r>
          </w:p>
        </w:tc>
        <w:tc>
          <w:tcPr>
            <w:tcW w:w="616" w:type="pct"/>
            <w:tcBorders>
              <w:top w:val="nil"/>
              <w:left w:val="nil"/>
              <w:bottom w:val="single" w:sz="4" w:space="0" w:color="auto"/>
              <w:right w:val="single" w:sz="4" w:space="0" w:color="auto"/>
            </w:tcBorders>
            <w:shd w:val="clear" w:color="auto" w:fill="auto"/>
            <w:noWrap/>
            <w:vAlign w:val="center"/>
            <w:hideMark/>
          </w:tcPr>
          <w:p w14:paraId="39E8108C"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40%</w:t>
            </w:r>
          </w:p>
        </w:tc>
        <w:tc>
          <w:tcPr>
            <w:tcW w:w="615" w:type="pct"/>
            <w:tcBorders>
              <w:top w:val="nil"/>
              <w:left w:val="nil"/>
              <w:bottom w:val="single" w:sz="4" w:space="0" w:color="auto"/>
              <w:right w:val="single" w:sz="4" w:space="0" w:color="auto"/>
            </w:tcBorders>
            <w:shd w:val="clear" w:color="auto" w:fill="auto"/>
            <w:noWrap/>
            <w:vAlign w:val="center"/>
            <w:hideMark/>
          </w:tcPr>
          <w:p w14:paraId="16CF9365"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45%</w:t>
            </w:r>
          </w:p>
        </w:tc>
        <w:tc>
          <w:tcPr>
            <w:tcW w:w="1061" w:type="pct"/>
            <w:tcBorders>
              <w:top w:val="nil"/>
              <w:left w:val="nil"/>
              <w:bottom w:val="single" w:sz="4" w:space="0" w:color="auto"/>
              <w:right w:val="single" w:sz="4" w:space="0" w:color="auto"/>
            </w:tcBorders>
            <w:shd w:val="clear" w:color="auto" w:fill="auto"/>
            <w:noWrap/>
            <w:vAlign w:val="center"/>
            <w:hideMark/>
          </w:tcPr>
          <w:p w14:paraId="34563693"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15%</w:t>
            </w:r>
          </w:p>
        </w:tc>
        <w:tc>
          <w:tcPr>
            <w:tcW w:w="592" w:type="pct"/>
            <w:tcBorders>
              <w:top w:val="nil"/>
              <w:left w:val="nil"/>
              <w:bottom w:val="single" w:sz="4" w:space="0" w:color="auto"/>
              <w:right w:val="single" w:sz="4" w:space="0" w:color="auto"/>
            </w:tcBorders>
            <w:shd w:val="clear" w:color="auto" w:fill="auto"/>
            <w:noWrap/>
            <w:vAlign w:val="center"/>
            <w:hideMark/>
          </w:tcPr>
          <w:p w14:paraId="6A7877AC"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0%</w:t>
            </w:r>
          </w:p>
        </w:tc>
      </w:tr>
      <w:tr w:rsidR="003122F4" w:rsidRPr="00545EC0" w14:paraId="34E78642" w14:textId="77777777" w:rsidTr="00C32146">
        <w:trPr>
          <w:trHeight w:val="50"/>
        </w:trPr>
        <w:tc>
          <w:tcPr>
            <w:tcW w:w="578" w:type="pct"/>
            <w:tcBorders>
              <w:top w:val="nil"/>
              <w:left w:val="single" w:sz="4" w:space="0" w:color="auto"/>
              <w:bottom w:val="single" w:sz="4" w:space="0" w:color="auto"/>
              <w:right w:val="single" w:sz="4" w:space="0" w:color="auto"/>
            </w:tcBorders>
            <w:vAlign w:val="center"/>
          </w:tcPr>
          <w:p w14:paraId="66921453" w14:textId="305096D4" w:rsidR="00E54D06" w:rsidRPr="00545EC0" w:rsidRDefault="00E54D06" w:rsidP="00C32146">
            <w:pPr>
              <w:overflowPunct/>
              <w:autoSpaceDE/>
              <w:autoSpaceDN/>
              <w:adjustRightInd/>
              <w:spacing w:before="60" w:after="60" w:line="240" w:lineRule="auto"/>
              <w:jc w:val="left"/>
              <w:textAlignment w:val="auto"/>
              <w:rPr>
                <w:rFonts w:cs="Arial"/>
                <w:sz w:val="18"/>
                <w:szCs w:val="18"/>
              </w:rPr>
            </w:pPr>
            <w:r w:rsidRPr="00545EC0">
              <w:rPr>
                <w:rFonts w:cs="Arial"/>
                <w:sz w:val="18"/>
                <w:szCs w:val="18"/>
              </w:rPr>
              <w:t>SI434VT51</w:t>
            </w:r>
          </w:p>
        </w:tc>
        <w:tc>
          <w:tcPr>
            <w:tcW w:w="1538" w:type="pct"/>
            <w:tcBorders>
              <w:top w:val="nil"/>
              <w:left w:val="single" w:sz="4" w:space="0" w:color="auto"/>
              <w:bottom w:val="single" w:sz="4" w:space="0" w:color="auto"/>
              <w:right w:val="single" w:sz="4" w:space="0" w:color="auto"/>
            </w:tcBorders>
            <w:shd w:val="clear" w:color="auto" w:fill="auto"/>
            <w:vAlign w:val="center"/>
            <w:hideMark/>
          </w:tcPr>
          <w:p w14:paraId="07DB739A" w14:textId="14418323" w:rsidR="00E54D06" w:rsidRPr="00545EC0" w:rsidRDefault="00E54D06" w:rsidP="00C32146">
            <w:pPr>
              <w:overflowPunct/>
              <w:autoSpaceDE/>
              <w:autoSpaceDN/>
              <w:adjustRightInd/>
              <w:spacing w:before="60" w:after="60" w:line="240" w:lineRule="auto"/>
              <w:jc w:val="left"/>
              <w:textAlignment w:val="auto"/>
              <w:rPr>
                <w:rFonts w:cs="Arial"/>
                <w:sz w:val="18"/>
                <w:szCs w:val="18"/>
              </w:rPr>
            </w:pPr>
            <w:r w:rsidRPr="00545EC0">
              <w:rPr>
                <w:rFonts w:cs="Arial"/>
                <w:sz w:val="18"/>
                <w:szCs w:val="18"/>
              </w:rPr>
              <w:t>VT Ščavnica povirje – zadrževalnik Gajševsko jezero</w:t>
            </w:r>
          </w:p>
        </w:tc>
        <w:tc>
          <w:tcPr>
            <w:tcW w:w="616" w:type="pct"/>
            <w:tcBorders>
              <w:top w:val="nil"/>
              <w:left w:val="nil"/>
              <w:bottom w:val="single" w:sz="4" w:space="0" w:color="auto"/>
              <w:right w:val="single" w:sz="4" w:space="0" w:color="auto"/>
            </w:tcBorders>
            <w:shd w:val="clear" w:color="auto" w:fill="auto"/>
            <w:noWrap/>
            <w:vAlign w:val="center"/>
            <w:hideMark/>
          </w:tcPr>
          <w:p w14:paraId="08EE8356"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59%</w:t>
            </w:r>
          </w:p>
        </w:tc>
        <w:tc>
          <w:tcPr>
            <w:tcW w:w="615" w:type="pct"/>
            <w:tcBorders>
              <w:top w:val="nil"/>
              <w:left w:val="nil"/>
              <w:bottom w:val="single" w:sz="4" w:space="0" w:color="auto"/>
              <w:right w:val="single" w:sz="4" w:space="0" w:color="auto"/>
            </w:tcBorders>
            <w:shd w:val="clear" w:color="auto" w:fill="auto"/>
            <w:noWrap/>
            <w:vAlign w:val="center"/>
            <w:hideMark/>
          </w:tcPr>
          <w:p w14:paraId="41312A0C"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30%</w:t>
            </w:r>
          </w:p>
        </w:tc>
        <w:tc>
          <w:tcPr>
            <w:tcW w:w="1061" w:type="pct"/>
            <w:tcBorders>
              <w:top w:val="nil"/>
              <w:left w:val="nil"/>
              <w:bottom w:val="single" w:sz="4" w:space="0" w:color="auto"/>
              <w:right w:val="single" w:sz="4" w:space="0" w:color="auto"/>
            </w:tcBorders>
            <w:shd w:val="clear" w:color="auto" w:fill="auto"/>
            <w:noWrap/>
            <w:vAlign w:val="center"/>
            <w:hideMark/>
          </w:tcPr>
          <w:p w14:paraId="1626E3DB"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11%</w:t>
            </w:r>
          </w:p>
        </w:tc>
        <w:tc>
          <w:tcPr>
            <w:tcW w:w="592" w:type="pct"/>
            <w:tcBorders>
              <w:top w:val="nil"/>
              <w:left w:val="nil"/>
              <w:bottom w:val="single" w:sz="4" w:space="0" w:color="auto"/>
              <w:right w:val="single" w:sz="4" w:space="0" w:color="auto"/>
            </w:tcBorders>
            <w:shd w:val="clear" w:color="auto" w:fill="auto"/>
            <w:noWrap/>
            <w:vAlign w:val="center"/>
            <w:hideMark/>
          </w:tcPr>
          <w:p w14:paraId="6D0005B3"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0%</w:t>
            </w:r>
          </w:p>
        </w:tc>
      </w:tr>
      <w:tr w:rsidR="003122F4" w:rsidRPr="00545EC0" w14:paraId="43287522" w14:textId="77777777" w:rsidTr="00C32146">
        <w:trPr>
          <w:trHeight w:val="77"/>
        </w:trPr>
        <w:tc>
          <w:tcPr>
            <w:tcW w:w="578" w:type="pct"/>
            <w:tcBorders>
              <w:top w:val="nil"/>
              <w:left w:val="single" w:sz="4" w:space="0" w:color="auto"/>
              <w:bottom w:val="single" w:sz="4" w:space="0" w:color="auto"/>
              <w:right w:val="single" w:sz="4" w:space="0" w:color="auto"/>
            </w:tcBorders>
            <w:vAlign w:val="center"/>
          </w:tcPr>
          <w:p w14:paraId="54B31549" w14:textId="3C8DE5CB" w:rsidR="00E54D06" w:rsidRPr="00545EC0" w:rsidRDefault="00E54D06" w:rsidP="00C32146">
            <w:pPr>
              <w:overflowPunct/>
              <w:autoSpaceDE/>
              <w:autoSpaceDN/>
              <w:adjustRightInd/>
              <w:spacing w:before="60" w:after="60" w:line="240" w:lineRule="auto"/>
              <w:jc w:val="left"/>
              <w:textAlignment w:val="auto"/>
              <w:rPr>
                <w:rFonts w:cs="Arial"/>
                <w:sz w:val="18"/>
                <w:szCs w:val="18"/>
              </w:rPr>
            </w:pPr>
            <w:r w:rsidRPr="00545EC0">
              <w:rPr>
                <w:rFonts w:cs="Arial"/>
                <w:sz w:val="18"/>
                <w:szCs w:val="18"/>
              </w:rPr>
              <w:t>SI434VT9</w:t>
            </w:r>
          </w:p>
        </w:tc>
        <w:tc>
          <w:tcPr>
            <w:tcW w:w="1538" w:type="pct"/>
            <w:tcBorders>
              <w:top w:val="nil"/>
              <w:left w:val="single" w:sz="4" w:space="0" w:color="auto"/>
              <w:bottom w:val="single" w:sz="4" w:space="0" w:color="auto"/>
              <w:right w:val="single" w:sz="4" w:space="0" w:color="auto"/>
            </w:tcBorders>
            <w:shd w:val="clear" w:color="auto" w:fill="auto"/>
            <w:vAlign w:val="center"/>
            <w:hideMark/>
          </w:tcPr>
          <w:p w14:paraId="6FB56A28" w14:textId="62A70594" w:rsidR="00E54D06" w:rsidRPr="00545EC0" w:rsidRDefault="00E54D06" w:rsidP="00C32146">
            <w:pPr>
              <w:overflowPunct/>
              <w:autoSpaceDE/>
              <w:autoSpaceDN/>
              <w:adjustRightInd/>
              <w:spacing w:before="60" w:after="60" w:line="240" w:lineRule="auto"/>
              <w:jc w:val="left"/>
              <w:textAlignment w:val="auto"/>
              <w:rPr>
                <w:rFonts w:cs="Arial"/>
                <w:sz w:val="18"/>
                <w:szCs w:val="18"/>
              </w:rPr>
            </w:pPr>
            <w:r w:rsidRPr="00545EC0">
              <w:rPr>
                <w:rFonts w:cs="Arial"/>
                <w:sz w:val="18"/>
                <w:szCs w:val="18"/>
              </w:rPr>
              <w:t>VT Ščavnica zadrževalnik Gajševsko jezero – Gibina</w:t>
            </w:r>
          </w:p>
        </w:tc>
        <w:tc>
          <w:tcPr>
            <w:tcW w:w="616" w:type="pct"/>
            <w:tcBorders>
              <w:top w:val="nil"/>
              <w:left w:val="nil"/>
              <w:bottom w:val="single" w:sz="4" w:space="0" w:color="auto"/>
              <w:right w:val="single" w:sz="4" w:space="0" w:color="auto"/>
            </w:tcBorders>
            <w:shd w:val="clear" w:color="auto" w:fill="auto"/>
            <w:noWrap/>
            <w:vAlign w:val="center"/>
            <w:hideMark/>
          </w:tcPr>
          <w:p w14:paraId="1DB67353"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49%</w:t>
            </w:r>
          </w:p>
        </w:tc>
        <w:tc>
          <w:tcPr>
            <w:tcW w:w="615" w:type="pct"/>
            <w:tcBorders>
              <w:top w:val="nil"/>
              <w:left w:val="nil"/>
              <w:bottom w:val="single" w:sz="4" w:space="0" w:color="auto"/>
              <w:right w:val="single" w:sz="4" w:space="0" w:color="auto"/>
            </w:tcBorders>
            <w:shd w:val="clear" w:color="auto" w:fill="auto"/>
            <w:noWrap/>
            <w:vAlign w:val="center"/>
            <w:hideMark/>
          </w:tcPr>
          <w:p w14:paraId="7B72F51D"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36%</w:t>
            </w:r>
          </w:p>
        </w:tc>
        <w:tc>
          <w:tcPr>
            <w:tcW w:w="1061" w:type="pct"/>
            <w:tcBorders>
              <w:top w:val="nil"/>
              <w:left w:val="nil"/>
              <w:bottom w:val="single" w:sz="4" w:space="0" w:color="auto"/>
              <w:right w:val="single" w:sz="4" w:space="0" w:color="auto"/>
            </w:tcBorders>
            <w:shd w:val="clear" w:color="auto" w:fill="auto"/>
            <w:noWrap/>
            <w:vAlign w:val="center"/>
            <w:hideMark/>
          </w:tcPr>
          <w:p w14:paraId="0432620F"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13%</w:t>
            </w:r>
          </w:p>
        </w:tc>
        <w:tc>
          <w:tcPr>
            <w:tcW w:w="592" w:type="pct"/>
            <w:tcBorders>
              <w:top w:val="nil"/>
              <w:left w:val="nil"/>
              <w:bottom w:val="single" w:sz="4" w:space="0" w:color="auto"/>
              <w:right w:val="single" w:sz="4" w:space="0" w:color="auto"/>
            </w:tcBorders>
            <w:shd w:val="clear" w:color="auto" w:fill="auto"/>
            <w:noWrap/>
            <w:vAlign w:val="center"/>
            <w:hideMark/>
          </w:tcPr>
          <w:p w14:paraId="1BE88AFB"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2%</w:t>
            </w:r>
          </w:p>
        </w:tc>
      </w:tr>
      <w:tr w:rsidR="003122F4" w:rsidRPr="00545EC0" w14:paraId="71DA4C47" w14:textId="77777777" w:rsidTr="00C32146">
        <w:trPr>
          <w:trHeight w:val="83"/>
        </w:trPr>
        <w:tc>
          <w:tcPr>
            <w:tcW w:w="578" w:type="pct"/>
            <w:tcBorders>
              <w:top w:val="nil"/>
              <w:left w:val="single" w:sz="4" w:space="0" w:color="auto"/>
              <w:bottom w:val="single" w:sz="4" w:space="0" w:color="auto"/>
              <w:right w:val="single" w:sz="4" w:space="0" w:color="auto"/>
            </w:tcBorders>
            <w:vAlign w:val="center"/>
          </w:tcPr>
          <w:p w14:paraId="5CAF3BE7" w14:textId="19BC9330" w:rsidR="00E54D06" w:rsidRPr="00545EC0" w:rsidRDefault="00E54D06" w:rsidP="00C32146">
            <w:pPr>
              <w:overflowPunct/>
              <w:autoSpaceDE/>
              <w:autoSpaceDN/>
              <w:adjustRightInd/>
              <w:spacing w:before="60" w:after="60" w:line="240" w:lineRule="auto"/>
              <w:jc w:val="left"/>
              <w:textAlignment w:val="auto"/>
              <w:rPr>
                <w:rFonts w:cs="Arial"/>
                <w:sz w:val="18"/>
                <w:szCs w:val="18"/>
              </w:rPr>
            </w:pPr>
            <w:r w:rsidRPr="00545EC0">
              <w:rPr>
                <w:rFonts w:cs="Arial"/>
                <w:sz w:val="18"/>
                <w:szCs w:val="18"/>
              </w:rPr>
              <w:t>SI441VT</w:t>
            </w:r>
          </w:p>
        </w:tc>
        <w:tc>
          <w:tcPr>
            <w:tcW w:w="1538" w:type="pct"/>
            <w:tcBorders>
              <w:top w:val="nil"/>
              <w:left w:val="single" w:sz="4" w:space="0" w:color="auto"/>
              <w:bottom w:val="single" w:sz="4" w:space="0" w:color="auto"/>
              <w:right w:val="single" w:sz="4" w:space="0" w:color="auto"/>
            </w:tcBorders>
            <w:shd w:val="clear" w:color="auto" w:fill="auto"/>
            <w:vAlign w:val="center"/>
            <w:hideMark/>
          </w:tcPr>
          <w:p w14:paraId="02226ACD" w14:textId="6663B250" w:rsidR="00E54D06" w:rsidRPr="00545EC0" w:rsidRDefault="00E54D06" w:rsidP="00C32146">
            <w:pPr>
              <w:overflowPunct/>
              <w:autoSpaceDE/>
              <w:autoSpaceDN/>
              <w:adjustRightInd/>
              <w:spacing w:before="60" w:after="60" w:line="240" w:lineRule="auto"/>
              <w:jc w:val="left"/>
              <w:textAlignment w:val="auto"/>
              <w:rPr>
                <w:rFonts w:cs="Arial"/>
                <w:sz w:val="18"/>
                <w:szCs w:val="18"/>
              </w:rPr>
            </w:pPr>
            <w:r w:rsidRPr="00545EC0">
              <w:rPr>
                <w:rFonts w:cs="Arial"/>
                <w:sz w:val="18"/>
                <w:szCs w:val="18"/>
              </w:rPr>
              <w:t>VT Velika Krka povirje – državna meja</w:t>
            </w:r>
          </w:p>
        </w:tc>
        <w:tc>
          <w:tcPr>
            <w:tcW w:w="616" w:type="pct"/>
            <w:tcBorders>
              <w:top w:val="nil"/>
              <w:left w:val="nil"/>
              <w:bottom w:val="single" w:sz="4" w:space="0" w:color="auto"/>
              <w:right w:val="single" w:sz="4" w:space="0" w:color="auto"/>
            </w:tcBorders>
            <w:shd w:val="clear" w:color="auto" w:fill="auto"/>
            <w:noWrap/>
            <w:vAlign w:val="center"/>
            <w:hideMark/>
          </w:tcPr>
          <w:p w14:paraId="7D67FEF4"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19%</w:t>
            </w:r>
          </w:p>
        </w:tc>
        <w:tc>
          <w:tcPr>
            <w:tcW w:w="615" w:type="pct"/>
            <w:tcBorders>
              <w:top w:val="nil"/>
              <w:left w:val="nil"/>
              <w:bottom w:val="single" w:sz="4" w:space="0" w:color="auto"/>
              <w:right w:val="single" w:sz="4" w:space="0" w:color="auto"/>
            </w:tcBorders>
            <w:shd w:val="clear" w:color="auto" w:fill="auto"/>
            <w:noWrap/>
            <w:vAlign w:val="center"/>
            <w:hideMark/>
          </w:tcPr>
          <w:p w14:paraId="19ACD799"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50%</w:t>
            </w:r>
          </w:p>
        </w:tc>
        <w:tc>
          <w:tcPr>
            <w:tcW w:w="1061" w:type="pct"/>
            <w:tcBorders>
              <w:top w:val="nil"/>
              <w:left w:val="nil"/>
              <w:bottom w:val="single" w:sz="4" w:space="0" w:color="auto"/>
              <w:right w:val="single" w:sz="4" w:space="0" w:color="auto"/>
            </w:tcBorders>
            <w:shd w:val="clear" w:color="auto" w:fill="auto"/>
            <w:noWrap/>
            <w:vAlign w:val="center"/>
            <w:hideMark/>
          </w:tcPr>
          <w:p w14:paraId="16D7C3DA"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30%</w:t>
            </w:r>
          </w:p>
        </w:tc>
        <w:tc>
          <w:tcPr>
            <w:tcW w:w="592" w:type="pct"/>
            <w:tcBorders>
              <w:top w:val="nil"/>
              <w:left w:val="nil"/>
              <w:bottom w:val="single" w:sz="4" w:space="0" w:color="auto"/>
              <w:right w:val="single" w:sz="4" w:space="0" w:color="auto"/>
            </w:tcBorders>
            <w:shd w:val="clear" w:color="auto" w:fill="auto"/>
            <w:noWrap/>
            <w:vAlign w:val="center"/>
            <w:hideMark/>
          </w:tcPr>
          <w:p w14:paraId="6E814FAB"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1%</w:t>
            </w:r>
          </w:p>
        </w:tc>
      </w:tr>
      <w:tr w:rsidR="003122F4" w:rsidRPr="00545EC0" w14:paraId="3960271C" w14:textId="77777777" w:rsidTr="00C32146">
        <w:trPr>
          <w:trHeight w:val="89"/>
        </w:trPr>
        <w:tc>
          <w:tcPr>
            <w:tcW w:w="578" w:type="pct"/>
            <w:tcBorders>
              <w:top w:val="nil"/>
              <w:left w:val="single" w:sz="4" w:space="0" w:color="auto"/>
              <w:bottom w:val="single" w:sz="4" w:space="0" w:color="auto"/>
              <w:right w:val="single" w:sz="4" w:space="0" w:color="auto"/>
            </w:tcBorders>
            <w:vAlign w:val="center"/>
          </w:tcPr>
          <w:p w14:paraId="330AD18F" w14:textId="04C6A233" w:rsidR="00E54D06" w:rsidRPr="00545EC0" w:rsidRDefault="00E54D06" w:rsidP="00C32146">
            <w:pPr>
              <w:overflowPunct/>
              <w:autoSpaceDE/>
              <w:autoSpaceDN/>
              <w:adjustRightInd/>
              <w:spacing w:before="60" w:after="60" w:line="240" w:lineRule="auto"/>
              <w:jc w:val="left"/>
              <w:textAlignment w:val="auto"/>
              <w:rPr>
                <w:rFonts w:cs="Arial"/>
                <w:sz w:val="18"/>
                <w:szCs w:val="18"/>
              </w:rPr>
            </w:pPr>
            <w:r w:rsidRPr="00545EC0">
              <w:rPr>
                <w:rFonts w:cs="Arial"/>
                <w:sz w:val="18"/>
                <w:szCs w:val="18"/>
              </w:rPr>
              <w:t>SI442VT11</w:t>
            </w:r>
          </w:p>
        </w:tc>
        <w:tc>
          <w:tcPr>
            <w:tcW w:w="1538" w:type="pct"/>
            <w:tcBorders>
              <w:top w:val="nil"/>
              <w:left w:val="single" w:sz="4" w:space="0" w:color="auto"/>
              <w:bottom w:val="single" w:sz="4" w:space="0" w:color="auto"/>
              <w:right w:val="single" w:sz="4" w:space="0" w:color="auto"/>
            </w:tcBorders>
            <w:shd w:val="clear" w:color="auto" w:fill="auto"/>
            <w:vAlign w:val="center"/>
            <w:hideMark/>
          </w:tcPr>
          <w:p w14:paraId="5EAD350E" w14:textId="52B1A9A9" w:rsidR="00E54D06" w:rsidRPr="00545EC0" w:rsidRDefault="00E54D06" w:rsidP="00C32146">
            <w:pPr>
              <w:overflowPunct/>
              <w:autoSpaceDE/>
              <w:autoSpaceDN/>
              <w:adjustRightInd/>
              <w:spacing w:before="60" w:after="60" w:line="240" w:lineRule="auto"/>
              <w:jc w:val="left"/>
              <w:textAlignment w:val="auto"/>
              <w:rPr>
                <w:rFonts w:cs="Arial"/>
                <w:sz w:val="18"/>
                <w:szCs w:val="18"/>
              </w:rPr>
            </w:pPr>
            <w:r w:rsidRPr="00545EC0">
              <w:rPr>
                <w:rFonts w:cs="Arial"/>
                <w:sz w:val="18"/>
                <w:szCs w:val="18"/>
              </w:rPr>
              <w:t>VT Ledava državna meja – zadrževalnik Ledavsko jezero</w:t>
            </w:r>
          </w:p>
        </w:tc>
        <w:tc>
          <w:tcPr>
            <w:tcW w:w="616" w:type="pct"/>
            <w:tcBorders>
              <w:top w:val="nil"/>
              <w:left w:val="nil"/>
              <w:bottom w:val="single" w:sz="4" w:space="0" w:color="auto"/>
              <w:right w:val="single" w:sz="4" w:space="0" w:color="auto"/>
            </w:tcBorders>
            <w:shd w:val="clear" w:color="auto" w:fill="auto"/>
            <w:noWrap/>
            <w:vAlign w:val="center"/>
            <w:hideMark/>
          </w:tcPr>
          <w:p w14:paraId="35D93E44"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26%</w:t>
            </w:r>
          </w:p>
        </w:tc>
        <w:tc>
          <w:tcPr>
            <w:tcW w:w="615" w:type="pct"/>
            <w:tcBorders>
              <w:top w:val="nil"/>
              <w:left w:val="nil"/>
              <w:bottom w:val="single" w:sz="4" w:space="0" w:color="auto"/>
              <w:right w:val="single" w:sz="4" w:space="0" w:color="auto"/>
            </w:tcBorders>
            <w:shd w:val="clear" w:color="auto" w:fill="auto"/>
            <w:noWrap/>
            <w:vAlign w:val="center"/>
            <w:hideMark/>
          </w:tcPr>
          <w:p w14:paraId="6A368AEC"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43%</w:t>
            </w:r>
          </w:p>
        </w:tc>
        <w:tc>
          <w:tcPr>
            <w:tcW w:w="1061" w:type="pct"/>
            <w:tcBorders>
              <w:top w:val="nil"/>
              <w:left w:val="nil"/>
              <w:bottom w:val="single" w:sz="4" w:space="0" w:color="auto"/>
              <w:right w:val="single" w:sz="4" w:space="0" w:color="auto"/>
            </w:tcBorders>
            <w:shd w:val="clear" w:color="auto" w:fill="auto"/>
            <w:noWrap/>
            <w:vAlign w:val="center"/>
            <w:hideMark/>
          </w:tcPr>
          <w:p w14:paraId="497C5FDE"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31%</w:t>
            </w:r>
          </w:p>
        </w:tc>
        <w:tc>
          <w:tcPr>
            <w:tcW w:w="592" w:type="pct"/>
            <w:tcBorders>
              <w:top w:val="nil"/>
              <w:left w:val="nil"/>
              <w:bottom w:val="single" w:sz="4" w:space="0" w:color="auto"/>
              <w:right w:val="single" w:sz="4" w:space="0" w:color="auto"/>
            </w:tcBorders>
            <w:shd w:val="clear" w:color="auto" w:fill="auto"/>
            <w:noWrap/>
            <w:vAlign w:val="center"/>
            <w:hideMark/>
          </w:tcPr>
          <w:p w14:paraId="4376A336"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0%</w:t>
            </w:r>
          </w:p>
        </w:tc>
      </w:tr>
      <w:tr w:rsidR="003122F4" w:rsidRPr="00545EC0" w14:paraId="5E737125" w14:textId="77777777" w:rsidTr="00C32146">
        <w:trPr>
          <w:trHeight w:val="600"/>
        </w:trPr>
        <w:tc>
          <w:tcPr>
            <w:tcW w:w="578" w:type="pct"/>
            <w:tcBorders>
              <w:top w:val="nil"/>
              <w:left w:val="single" w:sz="4" w:space="0" w:color="auto"/>
              <w:bottom w:val="single" w:sz="4" w:space="0" w:color="auto"/>
              <w:right w:val="single" w:sz="4" w:space="0" w:color="auto"/>
            </w:tcBorders>
            <w:vAlign w:val="center"/>
          </w:tcPr>
          <w:p w14:paraId="64D2EB07" w14:textId="36D7C847" w:rsidR="00E54D06" w:rsidRPr="00545EC0" w:rsidRDefault="00E54D06" w:rsidP="00C32146">
            <w:pPr>
              <w:overflowPunct/>
              <w:autoSpaceDE/>
              <w:autoSpaceDN/>
              <w:adjustRightInd/>
              <w:spacing w:before="60" w:after="60" w:line="240" w:lineRule="auto"/>
              <w:jc w:val="left"/>
              <w:textAlignment w:val="auto"/>
              <w:rPr>
                <w:rFonts w:cs="Arial"/>
                <w:sz w:val="18"/>
                <w:szCs w:val="18"/>
              </w:rPr>
            </w:pPr>
            <w:r w:rsidRPr="00545EC0">
              <w:rPr>
                <w:rFonts w:cs="Arial"/>
                <w:sz w:val="18"/>
                <w:szCs w:val="18"/>
              </w:rPr>
              <w:t>SI442VT91</w:t>
            </w:r>
          </w:p>
        </w:tc>
        <w:tc>
          <w:tcPr>
            <w:tcW w:w="1538" w:type="pct"/>
            <w:tcBorders>
              <w:top w:val="nil"/>
              <w:left w:val="single" w:sz="4" w:space="0" w:color="auto"/>
              <w:bottom w:val="single" w:sz="4" w:space="0" w:color="auto"/>
              <w:right w:val="single" w:sz="4" w:space="0" w:color="auto"/>
            </w:tcBorders>
            <w:shd w:val="clear" w:color="auto" w:fill="auto"/>
            <w:vAlign w:val="center"/>
            <w:hideMark/>
          </w:tcPr>
          <w:p w14:paraId="6BB57163" w14:textId="42CC68A8" w:rsidR="00E54D06" w:rsidRPr="00545EC0" w:rsidRDefault="00E54D06" w:rsidP="00C32146">
            <w:pPr>
              <w:overflowPunct/>
              <w:autoSpaceDE/>
              <w:autoSpaceDN/>
              <w:adjustRightInd/>
              <w:spacing w:before="60" w:after="60" w:line="240" w:lineRule="auto"/>
              <w:jc w:val="left"/>
              <w:textAlignment w:val="auto"/>
              <w:rPr>
                <w:rFonts w:cs="Arial"/>
                <w:sz w:val="18"/>
                <w:szCs w:val="18"/>
              </w:rPr>
            </w:pPr>
            <w:r w:rsidRPr="00545EC0">
              <w:rPr>
                <w:rFonts w:cs="Arial"/>
                <w:sz w:val="18"/>
                <w:szCs w:val="18"/>
              </w:rPr>
              <w:t>VT Ledava zadrževalnik Ledavsko jezero – sotočje z Veliko Krko</w:t>
            </w:r>
          </w:p>
        </w:tc>
        <w:tc>
          <w:tcPr>
            <w:tcW w:w="616" w:type="pct"/>
            <w:tcBorders>
              <w:top w:val="nil"/>
              <w:left w:val="nil"/>
              <w:bottom w:val="single" w:sz="4" w:space="0" w:color="auto"/>
              <w:right w:val="single" w:sz="4" w:space="0" w:color="auto"/>
            </w:tcBorders>
            <w:shd w:val="clear" w:color="auto" w:fill="auto"/>
            <w:noWrap/>
            <w:vAlign w:val="center"/>
            <w:hideMark/>
          </w:tcPr>
          <w:p w14:paraId="2ACBC5A6"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39%</w:t>
            </w:r>
          </w:p>
        </w:tc>
        <w:tc>
          <w:tcPr>
            <w:tcW w:w="615" w:type="pct"/>
            <w:tcBorders>
              <w:top w:val="nil"/>
              <w:left w:val="nil"/>
              <w:bottom w:val="single" w:sz="4" w:space="0" w:color="auto"/>
              <w:right w:val="single" w:sz="4" w:space="0" w:color="auto"/>
            </w:tcBorders>
            <w:shd w:val="clear" w:color="auto" w:fill="auto"/>
            <w:noWrap/>
            <w:vAlign w:val="center"/>
            <w:hideMark/>
          </w:tcPr>
          <w:p w14:paraId="666A3B8E"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42%</w:t>
            </w:r>
          </w:p>
        </w:tc>
        <w:tc>
          <w:tcPr>
            <w:tcW w:w="1061" w:type="pct"/>
            <w:tcBorders>
              <w:top w:val="nil"/>
              <w:left w:val="nil"/>
              <w:bottom w:val="single" w:sz="4" w:space="0" w:color="auto"/>
              <w:right w:val="single" w:sz="4" w:space="0" w:color="auto"/>
            </w:tcBorders>
            <w:shd w:val="clear" w:color="auto" w:fill="auto"/>
            <w:noWrap/>
            <w:vAlign w:val="center"/>
            <w:hideMark/>
          </w:tcPr>
          <w:p w14:paraId="147BB704"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6%</w:t>
            </w:r>
          </w:p>
        </w:tc>
        <w:tc>
          <w:tcPr>
            <w:tcW w:w="592" w:type="pct"/>
            <w:tcBorders>
              <w:top w:val="nil"/>
              <w:left w:val="nil"/>
              <w:bottom w:val="single" w:sz="4" w:space="0" w:color="auto"/>
              <w:right w:val="single" w:sz="4" w:space="0" w:color="auto"/>
            </w:tcBorders>
            <w:shd w:val="clear" w:color="auto" w:fill="auto"/>
            <w:noWrap/>
            <w:vAlign w:val="center"/>
            <w:hideMark/>
          </w:tcPr>
          <w:p w14:paraId="6928D4AA" w14:textId="77777777" w:rsidR="00E54D06" w:rsidRPr="00545EC0" w:rsidRDefault="00E54D06" w:rsidP="00C32146">
            <w:pPr>
              <w:overflowPunct/>
              <w:autoSpaceDE/>
              <w:autoSpaceDN/>
              <w:adjustRightInd/>
              <w:spacing w:before="60" w:after="60" w:line="240" w:lineRule="auto"/>
              <w:jc w:val="center"/>
              <w:textAlignment w:val="auto"/>
              <w:rPr>
                <w:rFonts w:cs="Arial"/>
                <w:sz w:val="18"/>
                <w:szCs w:val="18"/>
              </w:rPr>
            </w:pPr>
            <w:r w:rsidRPr="00545EC0">
              <w:rPr>
                <w:rFonts w:cs="Arial"/>
                <w:sz w:val="18"/>
                <w:szCs w:val="18"/>
              </w:rPr>
              <w:t>12%</w:t>
            </w:r>
          </w:p>
        </w:tc>
      </w:tr>
    </w:tbl>
    <w:p w14:paraId="2C8F3EB7" w14:textId="2C93D79F" w:rsidR="00DC21D7" w:rsidRPr="00545EC0" w:rsidRDefault="00DC21D7" w:rsidP="00DC21D7">
      <w:pPr>
        <w:spacing w:line="240" w:lineRule="auto"/>
        <w:rPr>
          <w:rFonts w:cs="Arial"/>
          <w:szCs w:val="20"/>
        </w:rPr>
      </w:pPr>
    </w:p>
    <w:p w14:paraId="51D7DC2F" w14:textId="42774B87" w:rsidR="002B630B" w:rsidRPr="00545EC0" w:rsidRDefault="002B630B" w:rsidP="002B630B">
      <w:pPr>
        <w:spacing w:before="120" w:after="120"/>
        <w:rPr>
          <w:rFonts w:cs="Arial"/>
        </w:rPr>
      </w:pPr>
      <w:r w:rsidRPr="00545EC0">
        <w:rPr>
          <w:rFonts w:cs="Arial"/>
        </w:rPr>
        <w:t>Najpomembnejši evidentiran vir onesnaženja površinskih voda vodotokov je glede na parameter celotni fosfor prečiščena odpadna voda iz komunalnih čistilnih naprav, v manjši meri tudi komunalna odpadna voda, ki nastaja v objektih, ki niso priključeni na javni kanalizacijski sistem. Območje Srednje Save je območje, ki je najbolj obremenjeno glede na izračunane vnose celotnega fosforja.</w:t>
      </w:r>
    </w:p>
    <w:p w14:paraId="54F18DC0" w14:textId="77777777" w:rsidR="002B630B" w:rsidRPr="00545EC0" w:rsidRDefault="002B630B" w:rsidP="00DC21D7">
      <w:pPr>
        <w:spacing w:line="240" w:lineRule="auto"/>
        <w:rPr>
          <w:rFonts w:cs="Arial"/>
          <w:szCs w:val="20"/>
        </w:rPr>
      </w:pPr>
    </w:p>
    <w:p w14:paraId="0A86AB41" w14:textId="1B202375" w:rsidR="00E54D06" w:rsidRPr="00545EC0" w:rsidRDefault="00C32146" w:rsidP="00E54D06">
      <w:pPr>
        <w:rPr>
          <w:rFonts w:cs="Arial"/>
        </w:rPr>
      </w:pPr>
      <w:r w:rsidRPr="00545EC0">
        <w:rPr>
          <w:rFonts w:cs="Arial"/>
          <w:szCs w:val="22"/>
        </w:rPr>
        <w:t xml:space="preserve">Za vodna telesa površinskih voda jezer so pomembni vplivi </w:t>
      </w:r>
      <w:r w:rsidRPr="00545EC0">
        <w:rPr>
          <w:rFonts w:cs="Arial"/>
        </w:rPr>
        <w:t>v</w:t>
      </w:r>
      <w:r w:rsidR="00E54D06" w:rsidRPr="00545EC0">
        <w:rPr>
          <w:rFonts w:cs="Arial"/>
        </w:rPr>
        <w:t xml:space="preserve"> večini jezer zmernega pasu </w:t>
      </w:r>
      <w:r w:rsidRPr="00545EC0">
        <w:rPr>
          <w:rFonts w:cs="Arial"/>
        </w:rPr>
        <w:t xml:space="preserve">odvisni od </w:t>
      </w:r>
      <w:r w:rsidR="00E54D06" w:rsidRPr="00545EC0">
        <w:rPr>
          <w:rFonts w:cs="Arial"/>
        </w:rPr>
        <w:t>razpoložljiv</w:t>
      </w:r>
      <w:r w:rsidR="002B630B" w:rsidRPr="00545EC0">
        <w:rPr>
          <w:rFonts w:cs="Arial"/>
        </w:rPr>
        <w:t>e</w:t>
      </w:r>
      <w:r w:rsidR="00E54D06" w:rsidRPr="00545EC0">
        <w:rPr>
          <w:rFonts w:cs="Arial"/>
        </w:rPr>
        <w:t xml:space="preserve"> koncentracij</w:t>
      </w:r>
      <w:r w:rsidR="002B630B" w:rsidRPr="00545EC0">
        <w:rPr>
          <w:rFonts w:cs="Arial"/>
        </w:rPr>
        <w:t>e</w:t>
      </w:r>
      <w:r w:rsidR="00E54D06" w:rsidRPr="00545EC0">
        <w:rPr>
          <w:rFonts w:cs="Arial"/>
        </w:rPr>
        <w:t xml:space="preserve"> fosforja</w:t>
      </w:r>
      <w:r w:rsidR="002B630B" w:rsidRPr="00545EC0">
        <w:rPr>
          <w:rFonts w:cs="Arial"/>
        </w:rPr>
        <w:t>, ki je</w:t>
      </w:r>
      <w:r w:rsidR="00E54D06" w:rsidRPr="00545EC0">
        <w:rPr>
          <w:rFonts w:cs="Arial"/>
        </w:rPr>
        <w:t xml:space="preserve"> ključna gonilna sila, oziroma omejitveni dejavnik produkcijskih procesov. Fosfor je namreč nepogrešljiv biogeni element, ki skupaj z drugimi okoljskimi dejavniki uravnava biološko produkcijo v jezerih, fitoplankton</w:t>
      </w:r>
      <w:r w:rsidR="002B630B" w:rsidRPr="00545EC0">
        <w:rPr>
          <w:rFonts w:cs="Arial"/>
        </w:rPr>
        <w:t xml:space="preserve"> </w:t>
      </w:r>
      <w:r w:rsidR="00E54D06" w:rsidRPr="00545EC0">
        <w:rPr>
          <w:rFonts w:cs="Arial"/>
        </w:rPr>
        <w:t xml:space="preserve">pa najpomembnejši biološki element, ki s spremembami kolićine in vrstne sestave izredno hitro odreagira na razpoložljivo količino fosforja v ekosistemu. </w:t>
      </w:r>
    </w:p>
    <w:p w14:paraId="6C1C7E7D" w14:textId="77777777" w:rsidR="002B630B" w:rsidRPr="00545EC0" w:rsidRDefault="002B630B" w:rsidP="00E54D06">
      <w:pPr>
        <w:rPr>
          <w:rFonts w:cs="Arial"/>
        </w:rPr>
      </w:pPr>
    </w:p>
    <w:p w14:paraId="7345FA06" w14:textId="5D2AF138" w:rsidR="007E3C39" w:rsidRPr="00545EC0" w:rsidRDefault="00E54D06" w:rsidP="00E54D06">
      <w:pPr>
        <w:rPr>
          <w:rFonts w:cs="Arial"/>
        </w:rPr>
      </w:pPr>
      <w:r w:rsidRPr="00545EC0">
        <w:rPr>
          <w:rFonts w:cs="Arial"/>
        </w:rPr>
        <w:t xml:space="preserve">Preobremenjenost jezer s fosforjem, ki jo večinoma povzroča človek z neustreznim odvajanjem komunalne </w:t>
      </w:r>
      <w:r w:rsidR="002B630B" w:rsidRPr="00545EC0">
        <w:rPr>
          <w:rFonts w:cs="Arial"/>
        </w:rPr>
        <w:t xml:space="preserve">odpadne </w:t>
      </w:r>
      <w:r w:rsidRPr="00545EC0">
        <w:rPr>
          <w:rFonts w:cs="Arial"/>
        </w:rPr>
        <w:t>vode in</w:t>
      </w:r>
      <w:r w:rsidR="002B630B" w:rsidRPr="00545EC0">
        <w:rPr>
          <w:rFonts w:cs="Arial"/>
        </w:rPr>
        <w:t xml:space="preserve"> z</w:t>
      </w:r>
      <w:r w:rsidRPr="00545EC0">
        <w:rPr>
          <w:rFonts w:cs="Arial"/>
        </w:rPr>
        <w:t xml:space="preserve"> intenzivno kmetijsko </w:t>
      </w:r>
      <w:r w:rsidR="002B630B" w:rsidRPr="00545EC0">
        <w:rPr>
          <w:rFonts w:cs="Arial"/>
        </w:rPr>
        <w:t xml:space="preserve">rabo </w:t>
      </w:r>
      <w:r w:rsidR="007E3C39" w:rsidRPr="00545EC0">
        <w:rPr>
          <w:rFonts w:cs="Arial"/>
        </w:rPr>
        <w:t xml:space="preserve">tal </w:t>
      </w:r>
      <w:r w:rsidR="002B630B" w:rsidRPr="00545EC0">
        <w:rPr>
          <w:rFonts w:cs="Arial"/>
        </w:rPr>
        <w:t xml:space="preserve">na prispevnem območju jezer (t.i. območje </w:t>
      </w:r>
      <w:r w:rsidRPr="00545EC0">
        <w:rPr>
          <w:rFonts w:cs="Arial"/>
        </w:rPr>
        <w:t>pojezerja</w:t>
      </w:r>
      <w:r w:rsidR="002B630B" w:rsidRPr="00545EC0">
        <w:rPr>
          <w:rFonts w:cs="Arial"/>
        </w:rPr>
        <w:t>)</w:t>
      </w:r>
      <w:r w:rsidRPr="00545EC0">
        <w:rPr>
          <w:rFonts w:cs="Arial"/>
        </w:rPr>
        <w:t xml:space="preserve">, </w:t>
      </w:r>
      <w:r w:rsidR="007E3C39" w:rsidRPr="00545EC0">
        <w:rPr>
          <w:rFonts w:cs="Arial"/>
        </w:rPr>
        <w:t xml:space="preserve">predstavlja </w:t>
      </w:r>
      <w:r w:rsidRPr="00545EC0">
        <w:rPr>
          <w:rFonts w:cs="Arial"/>
        </w:rPr>
        <w:t xml:space="preserve">glavni </w:t>
      </w:r>
      <w:r w:rsidR="007E3C39" w:rsidRPr="00545EC0">
        <w:rPr>
          <w:rFonts w:cs="Arial"/>
        </w:rPr>
        <w:t xml:space="preserve">problem pri doseganju dobrega ekološkega stanja </w:t>
      </w:r>
      <w:r w:rsidRPr="00545EC0">
        <w:rPr>
          <w:rFonts w:cs="Arial"/>
        </w:rPr>
        <w:t>jezer in zadrževalnikov v Sloveniji.</w:t>
      </w:r>
      <w:r w:rsidRPr="00545EC0">
        <w:rPr>
          <w:rFonts w:ascii="Calibri Light" w:hAnsi="Calibri Light" w:cs="Calibri Light"/>
        </w:rPr>
        <w:t xml:space="preserve"> </w:t>
      </w:r>
      <w:r w:rsidRPr="00545EC0">
        <w:rPr>
          <w:rFonts w:cs="Arial"/>
        </w:rPr>
        <w:t xml:space="preserve">Posledice preobremenjenosti jezera s fosforjem se kažejo v intenzivni primarni produkciji, t. i. »cvetenju« fitoplanktona, ki posledično privede do manjše prosojnosti in drugih spremljevalnih biokemičnih procesov, ki </w:t>
      </w:r>
      <w:r w:rsidR="007E3C39" w:rsidRPr="00545EC0">
        <w:rPr>
          <w:rFonts w:cs="Arial"/>
        </w:rPr>
        <w:t xml:space="preserve">se </w:t>
      </w:r>
      <w:r w:rsidRPr="00545EC0">
        <w:rPr>
          <w:rFonts w:cs="Arial"/>
        </w:rPr>
        <w:t>jih označuje s skupnim pojmom evtrofikacija jezer. Statistična korelacija med celotnim fosforjem in količino ter vrstno sestavo</w:t>
      </w:r>
      <w:r w:rsidR="00357381" w:rsidRPr="00545EC0">
        <w:rPr>
          <w:rFonts w:cs="Arial"/>
        </w:rPr>
        <w:t xml:space="preserve"> fitoplanktona je precej boljša</w:t>
      </w:r>
      <w:r w:rsidRPr="00545EC0">
        <w:rPr>
          <w:rFonts w:cs="Arial"/>
        </w:rPr>
        <w:t xml:space="preserve"> kot korelacija s celotnim dušikom. </w:t>
      </w:r>
    </w:p>
    <w:p w14:paraId="1CB91585" w14:textId="77777777" w:rsidR="00CD60EF" w:rsidRPr="00545EC0" w:rsidRDefault="00CD60EF" w:rsidP="00E54D06">
      <w:pPr>
        <w:rPr>
          <w:rFonts w:cs="Arial"/>
        </w:rPr>
      </w:pPr>
    </w:p>
    <w:p w14:paraId="6B6490C3" w14:textId="44903E03" w:rsidR="00E54D06" w:rsidRPr="00545EC0" w:rsidRDefault="007E3C39" w:rsidP="00E54D06">
      <w:pPr>
        <w:rPr>
          <w:rFonts w:ascii="Calibri Light" w:hAnsi="Calibri Light" w:cs="Calibri Light"/>
        </w:rPr>
      </w:pPr>
      <w:r w:rsidRPr="00545EC0">
        <w:rPr>
          <w:rFonts w:cs="Arial"/>
        </w:rPr>
        <w:t xml:space="preserve">Glede na navedeno </w:t>
      </w:r>
      <w:r w:rsidR="00E54D06" w:rsidRPr="00545EC0">
        <w:rPr>
          <w:rFonts w:cs="Arial"/>
        </w:rPr>
        <w:t xml:space="preserve">je </w:t>
      </w:r>
      <w:r w:rsidRPr="00545EC0">
        <w:rPr>
          <w:rFonts w:cs="Arial"/>
        </w:rPr>
        <w:t xml:space="preserve">celotni fosfor, izražen v μg P/L, </w:t>
      </w:r>
      <w:r w:rsidR="00E54D06" w:rsidRPr="00545EC0">
        <w:rPr>
          <w:rFonts w:cs="Arial"/>
        </w:rPr>
        <w:t xml:space="preserve">osnovni parameter za spremljanje </w:t>
      </w:r>
      <w:r w:rsidRPr="00545EC0">
        <w:rPr>
          <w:rFonts w:cs="Arial"/>
        </w:rPr>
        <w:t xml:space="preserve">vplivov človekovega delovanja na stanje jezer </w:t>
      </w:r>
      <w:r w:rsidR="00E54D06" w:rsidRPr="00545EC0">
        <w:rPr>
          <w:rFonts w:cs="Arial"/>
        </w:rPr>
        <w:t xml:space="preserve">in </w:t>
      </w:r>
      <w:r w:rsidRPr="00545EC0">
        <w:rPr>
          <w:rFonts w:cs="Arial"/>
        </w:rPr>
        <w:t xml:space="preserve">osnovni parameter za </w:t>
      </w:r>
      <w:r w:rsidR="00E54D06" w:rsidRPr="00545EC0">
        <w:rPr>
          <w:rFonts w:cs="Arial"/>
        </w:rPr>
        <w:t>vrednotenje stanja hranil v jezerih</w:t>
      </w:r>
      <w:r w:rsidRPr="00545EC0">
        <w:rPr>
          <w:rFonts w:cs="Arial"/>
        </w:rPr>
        <w:t>.</w:t>
      </w:r>
      <w:r w:rsidR="00E54D06" w:rsidRPr="00545EC0">
        <w:rPr>
          <w:rFonts w:cs="Arial"/>
        </w:rPr>
        <w:t xml:space="preserve">  </w:t>
      </w:r>
    </w:p>
    <w:p w14:paraId="6A7E64AE" w14:textId="77777777" w:rsidR="002B630B" w:rsidRPr="00545EC0" w:rsidRDefault="002B630B" w:rsidP="00E54D06">
      <w:pPr>
        <w:rPr>
          <w:rFonts w:cs="Arial"/>
        </w:rPr>
      </w:pPr>
    </w:p>
    <w:p w14:paraId="0DE94CAB" w14:textId="07081DE8" w:rsidR="002B630B" w:rsidRPr="00545EC0" w:rsidRDefault="00DB2D55" w:rsidP="00E54D06">
      <w:pPr>
        <w:rPr>
          <w:rFonts w:cs="Arial"/>
        </w:rPr>
      </w:pPr>
      <w:r w:rsidRPr="00545EC0">
        <w:rPr>
          <w:rFonts w:cs="Arial"/>
          <w:noProof/>
        </w:rPr>
        <w:lastRenderedPageBreak/>
        <w:drawing>
          <wp:inline distT="0" distB="0" distL="0" distR="0" wp14:anchorId="10736315" wp14:editId="10F9E482">
            <wp:extent cx="5772150" cy="4082198"/>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72791" cy="4082651"/>
                    </a:xfrm>
                    <a:prstGeom prst="rect">
                      <a:avLst/>
                    </a:prstGeom>
                    <a:noFill/>
                  </pic:spPr>
                </pic:pic>
              </a:graphicData>
            </a:graphic>
          </wp:inline>
        </w:drawing>
      </w:r>
    </w:p>
    <w:p w14:paraId="0C1272DE" w14:textId="5F74CE2B" w:rsidR="00E54D06" w:rsidRPr="00545EC0" w:rsidRDefault="007E3C39" w:rsidP="007E3C39">
      <w:pPr>
        <w:pStyle w:val="Napis"/>
      </w:pPr>
      <w:bookmarkStart w:id="307" w:name="_Ref87914677"/>
      <w:r w:rsidRPr="00545EC0">
        <w:t xml:space="preserve">Slika </w:t>
      </w:r>
      <w:fldSimple w:instr=" STYLEREF 1 \s ">
        <w:r w:rsidR="002F3E43">
          <w:rPr>
            <w:noProof/>
          </w:rPr>
          <w:t>2</w:t>
        </w:r>
      </w:fldSimple>
      <w:r w:rsidR="00396E1E" w:rsidRPr="00545EC0">
        <w:noBreakHyphen/>
      </w:r>
      <w:fldSimple w:instr=" SEQ Slika \* ARABIC \s 1 ">
        <w:r w:rsidR="002F3E43">
          <w:rPr>
            <w:noProof/>
          </w:rPr>
          <w:t>32</w:t>
        </w:r>
      </w:fldSimple>
      <w:bookmarkEnd w:id="307"/>
      <w:r w:rsidRPr="00545EC0">
        <w:t xml:space="preserve">: </w:t>
      </w:r>
      <w:r w:rsidR="00E54D06" w:rsidRPr="00545EC0">
        <w:t>Povprečne koncentracije celotnega fosforja v µg P/L v jezerih in zadrževalnikih v izbranih obdobjih.</w:t>
      </w:r>
    </w:p>
    <w:p w14:paraId="3ACD6306" w14:textId="77777777" w:rsidR="00E54D06" w:rsidRPr="00545EC0" w:rsidRDefault="00E54D06" w:rsidP="00E54D06">
      <w:pPr>
        <w:rPr>
          <w:rFonts w:cs="Arial"/>
        </w:rPr>
      </w:pPr>
    </w:p>
    <w:p w14:paraId="745CB5BE" w14:textId="58ADC1A4" w:rsidR="00E54D06" w:rsidRPr="00545EC0" w:rsidRDefault="00E54D06" w:rsidP="003122F4">
      <w:pPr>
        <w:spacing w:line="276" w:lineRule="auto"/>
        <w:rPr>
          <w:rFonts w:cs="Arial"/>
        </w:rPr>
      </w:pPr>
      <w:r w:rsidRPr="00545EC0">
        <w:rPr>
          <w:rFonts w:cs="Arial"/>
        </w:rPr>
        <w:t xml:space="preserve">Izmerjene koncentracije fosforja v jezerih in zadrževalnikih, </w:t>
      </w:r>
      <w:r w:rsidR="007E3C39" w:rsidRPr="00545EC0">
        <w:rPr>
          <w:rFonts w:cs="Arial"/>
        </w:rPr>
        <w:t xml:space="preserve">ki imajo značilnosti jezer, </w:t>
      </w:r>
      <w:r w:rsidRPr="00545EC0">
        <w:rPr>
          <w:rFonts w:cs="Arial"/>
        </w:rPr>
        <w:t>, v obdobju 2006 - 2019 razdelijo Slovenijo na 4 geografska območja</w:t>
      </w:r>
      <w:r w:rsidR="007E3C39" w:rsidRPr="00545EC0">
        <w:rPr>
          <w:rFonts w:cs="Arial"/>
        </w:rPr>
        <w:t xml:space="preserve"> in</w:t>
      </w:r>
      <w:r w:rsidRPr="00545EC0">
        <w:rPr>
          <w:rFonts w:cs="Arial"/>
        </w:rPr>
        <w:t xml:space="preserve"> odražajo različno intenzivnost kmetijske rabe tal</w:t>
      </w:r>
      <w:r w:rsidR="002703DB" w:rsidRPr="00545EC0">
        <w:rPr>
          <w:rFonts w:cs="Arial"/>
        </w:rPr>
        <w:t xml:space="preserve"> (</w:t>
      </w:r>
      <w:r w:rsidR="002703DB" w:rsidRPr="00545EC0">
        <w:rPr>
          <w:rFonts w:cs="Arial"/>
        </w:rPr>
        <w:fldChar w:fldCharType="begin"/>
      </w:r>
      <w:r w:rsidR="002703DB" w:rsidRPr="00545EC0">
        <w:rPr>
          <w:rFonts w:cs="Arial"/>
        </w:rPr>
        <w:instrText xml:space="preserve"> REF _Ref87914677 \h </w:instrText>
      </w:r>
      <w:r w:rsidR="003122F4" w:rsidRPr="00545EC0">
        <w:rPr>
          <w:rFonts w:cs="Arial"/>
        </w:rPr>
        <w:instrText xml:space="preserve"> \* MERGEFORMAT </w:instrText>
      </w:r>
      <w:r w:rsidR="002703DB" w:rsidRPr="00545EC0">
        <w:rPr>
          <w:rFonts w:cs="Arial"/>
        </w:rPr>
      </w:r>
      <w:r w:rsidR="002703DB" w:rsidRPr="00545EC0">
        <w:rPr>
          <w:rFonts w:cs="Arial"/>
        </w:rPr>
        <w:fldChar w:fldCharType="separate"/>
      </w:r>
      <w:r w:rsidR="002F3E43" w:rsidRPr="00545EC0">
        <w:t xml:space="preserve">Slika </w:t>
      </w:r>
      <w:r w:rsidR="002F3E43">
        <w:rPr>
          <w:noProof/>
        </w:rPr>
        <w:t>2</w:t>
      </w:r>
      <w:r w:rsidR="002F3E43" w:rsidRPr="00545EC0">
        <w:rPr>
          <w:noProof/>
        </w:rPr>
        <w:noBreakHyphen/>
      </w:r>
      <w:r w:rsidR="002F3E43">
        <w:rPr>
          <w:noProof/>
        </w:rPr>
        <w:t>32</w:t>
      </w:r>
      <w:r w:rsidR="002703DB" w:rsidRPr="00545EC0">
        <w:rPr>
          <w:rFonts w:cs="Arial"/>
        </w:rPr>
        <w:fldChar w:fldCharType="end"/>
      </w:r>
      <w:r w:rsidR="002703DB" w:rsidRPr="00545EC0">
        <w:rPr>
          <w:rFonts w:cs="Arial"/>
        </w:rPr>
        <w:t>)</w:t>
      </w:r>
      <w:r w:rsidRPr="00545EC0">
        <w:rPr>
          <w:rFonts w:cs="Arial"/>
        </w:rPr>
        <w:t>.</w:t>
      </w:r>
    </w:p>
    <w:p w14:paraId="23B52EB0" w14:textId="77777777" w:rsidR="00E54D06" w:rsidRPr="00545EC0" w:rsidRDefault="00E54D06" w:rsidP="003122F4">
      <w:pPr>
        <w:spacing w:line="276" w:lineRule="auto"/>
        <w:rPr>
          <w:rFonts w:cs="Arial"/>
        </w:rPr>
      </w:pPr>
    </w:p>
    <w:p w14:paraId="78CCE8BB" w14:textId="77777777" w:rsidR="00E54D06" w:rsidRPr="00545EC0" w:rsidRDefault="00E54D06" w:rsidP="003122F4">
      <w:pPr>
        <w:spacing w:line="276" w:lineRule="auto"/>
        <w:rPr>
          <w:rFonts w:cs="Arial"/>
        </w:rPr>
      </w:pPr>
      <w:r w:rsidRPr="00545EC0">
        <w:rPr>
          <w:rFonts w:cs="Arial"/>
        </w:rPr>
        <w:t xml:space="preserve">Najbolj obremenjeni s fosforjem (&gt;100 µg P/L) so zadrževalniki v intenzivno kmetijskih območjih severovzhodne Slovenije. To so Perniško, Ledavsko in Gajševsko jezero, ki vsa sodijo med hiperevtrofna jezera. </w:t>
      </w:r>
    </w:p>
    <w:p w14:paraId="39D3D20D" w14:textId="77777777" w:rsidR="007E3C39" w:rsidRPr="00545EC0" w:rsidRDefault="007E3C39" w:rsidP="00E54D06">
      <w:pPr>
        <w:spacing w:line="240" w:lineRule="auto"/>
        <w:rPr>
          <w:rFonts w:cs="Arial"/>
        </w:rPr>
      </w:pPr>
    </w:p>
    <w:p w14:paraId="6809431F" w14:textId="77777777" w:rsidR="00E54D06" w:rsidRPr="00545EC0" w:rsidRDefault="00E54D06" w:rsidP="00E54D06">
      <w:pPr>
        <w:rPr>
          <w:rFonts w:cs="Arial"/>
        </w:rPr>
      </w:pPr>
      <w:r w:rsidRPr="00545EC0">
        <w:rPr>
          <w:rFonts w:cs="Arial"/>
        </w:rPr>
        <w:t xml:space="preserve">Šmartinsko in Slivniško jezero sta evtrofna plitva zadrževalnika v osrednji Sloveniji, s koncentracijo fosforja od 35 do 100 µg P/L. Povprečne letne koncentracije celotnega fosforja zlasti v Šmartinskem jezeru zelo nihajo, kar onemogoča realno določitev trenda koncentracije fosforja. Glede na povprečno letno koncentracijo fosforja (77 µg P/L) sodi med evtrofna jezera tudi rudniško – ugrezninsko Velenjsko jezero, ki pa glede na hidromorfološke karakteristike in geografsko lego sodi med predalpska jezera. Stalna kemična razslojenost na površinsko in globinsko plast v Velenjskem jezeru vpliva na omejeno kroženje snovi in svojevrstne produkcijske procese, ki niso primerljivi z drugimi predalpskimi jezeri. Ocena trofičnega stanja na podlagi fitoplanktona je primerna le za oceno trofičnega stanja zgornjih, prezračenih plasti Velenjskega jezera, ki je bila za obdobje 2016–2019 dobra. Znatnejši delež primarne produkcije v Velenjskem jezeru pripada t.i. fotosintetskim žveplenim bakterijam, ki se zadržujejo v spodnjih plasteh jezera, kjer prevladujejo razmere brez kisika. </w:t>
      </w:r>
    </w:p>
    <w:p w14:paraId="17B56C18" w14:textId="77777777" w:rsidR="00E54D06" w:rsidRPr="00545EC0" w:rsidRDefault="00E54D06" w:rsidP="00E54D06">
      <w:pPr>
        <w:rPr>
          <w:rFonts w:cs="Arial"/>
        </w:rPr>
      </w:pPr>
    </w:p>
    <w:p w14:paraId="2484DA3F" w14:textId="3427E0E6" w:rsidR="00E54D06" w:rsidRPr="00545EC0" w:rsidRDefault="00E54D06" w:rsidP="00E54D06">
      <w:pPr>
        <w:rPr>
          <w:rFonts w:cs="Arial"/>
        </w:rPr>
      </w:pPr>
      <w:r w:rsidRPr="00545EC0">
        <w:rPr>
          <w:rFonts w:cs="Arial"/>
        </w:rPr>
        <w:t>V obeh naravnih jezerih, Blejskem in Bohinjskem jezeru, je koncentracija fosforja v primerjavi z zadrževalniki</w:t>
      </w:r>
      <w:r w:rsidR="002703DB" w:rsidRPr="00545EC0">
        <w:rPr>
          <w:rFonts w:cs="Arial"/>
        </w:rPr>
        <w:t>, ki imajo značilnosti jezer,</w:t>
      </w:r>
      <w:r w:rsidRPr="00545EC0">
        <w:rPr>
          <w:rFonts w:cs="Arial"/>
        </w:rPr>
        <w:t xml:space="preserve"> precej nižja in že vrsto let bolj ali manj ustaljena. Bohinjsko jezero se s povprečno koncentracijo fosforja 4,8 µg P/L v evropskem merilu uvršča med referenčna oligotrofna alpska jezera. Na podlagi analiz fitoplanktona Bohinjsko jezero že vrsto let dosega zelo </w:t>
      </w:r>
      <w:r w:rsidRPr="00545EC0">
        <w:rPr>
          <w:rFonts w:cs="Arial"/>
        </w:rPr>
        <w:lastRenderedPageBreak/>
        <w:t xml:space="preserve">dobro trofično stanje. V primerjavi z njim pa je predalpsko Blejsko jezero precej bolj izpostavljeno </w:t>
      </w:r>
      <w:r w:rsidR="002703DB" w:rsidRPr="00545EC0">
        <w:rPr>
          <w:rFonts w:cs="Arial"/>
        </w:rPr>
        <w:t xml:space="preserve">vplivom človekovega delovanja zaradi poseljenosti prispevnega območja vodnega telesa </w:t>
      </w:r>
      <w:r w:rsidRPr="00545EC0">
        <w:rPr>
          <w:rFonts w:cs="Arial"/>
        </w:rPr>
        <w:t xml:space="preserve"> in posledično </w:t>
      </w:r>
      <w:r w:rsidR="002703DB" w:rsidRPr="00545EC0">
        <w:rPr>
          <w:rFonts w:cs="Arial"/>
        </w:rPr>
        <w:t xml:space="preserve">bolj obremenjeno </w:t>
      </w:r>
      <w:r w:rsidRPr="00545EC0">
        <w:rPr>
          <w:rFonts w:cs="Arial"/>
        </w:rPr>
        <w:t xml:space="preserve">s hranili. Po uspešnem procesu reoligotrofikacije po izgradnji sistema Radovna-natega 1964–1980/82 in sanaciji blejske kanalizacije (1987-2020), povprečna letna koncentracija celotnega fosforja v Blejskem jezeru niha od 10 do 15 µg P/L, kar Blejsko jezero uvršča med mezotrofna predalpska jezera. Ocena ekološkega stanja na podlagi fitoplanktona odraža zmerno stanje, odstopanja od mejne vrednosti z dobrim stanjem pa so majhna. </w:t>
      </w:r>
    </w:p>
    <w:p w14:paraId="3616D20C" w14:textId="77777777" w:rsidR="00E54D06" w:rsidRPr="00545EC0" w:rsidRDefault="00E54D06" w:rsidP="00E54D06">
      <w:pPr>
        <w:rPr>
          <w:rFonts w:cs="Arial"/>
        </w:rPr>
      </w:pPr>
    </w:p>
    <w:p w14:paraId="30C654C1" w14:textId="77777777" w:rsidR="00DC21D7" w:rsidRPr="00545EC0" w:rsidRDefault="00DC21D7" w:rsidP="00DC21D7">
      <w:pPr>
        <w:rPr>
          <w:b/>
        </w:rPr>
      </w:pPr>
      <w:r w:rsidRPr="00545EC0">
        <w:rPr>
          <w:b/>
        </w:rPr>
        <w:t xml:space="preserve">Pomembni vplivi na ekološko stanje površinskih voda zaradi organskega onesnaževanja </w:t>
      </w:r>
    </w:p>
    <w:p w14:paraId="43AE4A8D" w14:textId="77777777" w:rsidR="00DC21D7" w:rsidRPr="00545EC0" w:rsidRDefault="00DC21D7" w:rsidP="00DC21D7"/>
    <w:p w14:paraId="106EE648" w14:textId="23E73AAE" w:rsidR="00DC21D7" w:rsidRPr="00545EC0" w:rsidRDefault="00DC21D7" w:rsidP="00DC21D7">
      <w:pPr>
        <w:tabs>
          <w:tab w:val="center" w:pos="426"/>
        </w:tabs>
        <w:overflowPunct/>
        <w:autoSpaceDE/>
        <w:autoSpaceDN/>
        <w:adjustRightInd/>
        <w:contextualSpacing/>
        <w:textAlignment w:val="auto"/>
        <w:rPr>
          <w:rFonts w:cs="Arial"/>
          <w:szCs w:val="22"/>
        </w:rPr>
      </w:pPr>
      <w:r w:rsidRPr="00545EC0">
        <w:rPr>
          <w:rFonts w:cs="Arial"/>
        </w:rPr>
        <w:t xml:space="preserve">Pomembni vplivi na ekološko stanje površinskih voda zaradi organskega onesnaževanja so za posamezna vodna telesa </w:t>
      </w:r>
      <w:r w:rsidR="007072A5" w:rsidRPr="00545EC0">
        <w:rPr>
          <w:rFonts w:cs="Arial"/>
        </w:rPr>
        <w:t xml:space="preserve">površinskiih voda </w:t>
      </w:r>
      <w:r w:rsidRPr="00545EC0">
        <w:rPr>
          <w:rFonts w:cs="Arial"/>
        </w:rPr>
        <w:t xml:space="preserve">opredeljeni na podlagi kombinacije prepoznanih pomembnih obremenitev </w:t>
      </w:r>
      <w:r w:rsidRPr="00545EC0">
        <w:rPr>
          <w:rFonts w:cs="Arial"/>
          <w:szCs w:val="22"/>
        </w:rPr>
        <w:t xml:space="preserve">in </w:t>
      </w:r>
      <w:r w:rsidRPr="00545EC0">
        <w:rPr>
          <w:rFonts w:cs="Arial"/>
        </w:rPr>
        <w:t xml:space="preserve">na podlagi podatkov </w:t>
      </w:r>
      <w:r w:rsidRPr="00545EC0">
        <w:rPr>
          <w:rFonts w:cs="Arial"/>
          <w:szCs w:val="22"/>
        </w:rPr>
        <w:t xml:space="preserve">ocene stanja voda, upoštevajoč raven zaupanja ocene stanja in </w:t>
      </w:r>
      <w:r w:rsidRPr="00545EC0">
        <w:rPr>
          <w:rFonts w:cs="Arial"/>
        </w:rPr>
        <w:t xml:space="preserve">biološke elemente kakovosti za reke (fitobentos in makrofiti ter bentoški nevretenčarji). </w:t>
      </w:r>
    </w:p>
    <w:p w14:paraId="09851095" w14:textId="77777777" w:rsidR="00DC21D7" w:rsidRPr="00545EC0" w:rsidRDefault="00DC21D7" w:rsidP="00DC21D7">
      <w:pPr>
        <w:tabs>
          <w:tab w:val="center" w:pos="426"/>
        </w:tabs>
        <w:overflowPunct/>
        <w:autoSpaceDE/>
        <w:autoSpaceDN/>
        <w:adjustRightInd/>
        <w:contextualSpacing/>
        <w:textAlignment w:val="auto"/>
        <w:rPr>
          <w:rFonts w:cs="Arial"/>
          <w:szCs w:val="22"/>
        </w:rPr>
      </w:pPr>
    </w:p>
    <w:p w14:paraId="50D9CEFD" w14:textId="78C2F4EE" w:rsidR="00DC21D7" w:rsidRPr="00545EC0" w:rsidRDefault="00DC21D7" w:rsidP="00DC21D7">
      <w:pPr>
        <w:tabs>
          <w:tab w:val="center" w:pos="426"/>
        </w:tabs>
        <w:overflowPunct/>
        <w:autoSpaceDE/>
        <w:autoSpaceDN/>
        <w:adjustRightInd/>
        <w:contextualSpacing/>
        <w:textAlignment w:val="auto"/>
        <w:rPr>
          <w:rFonts w:cs="Arial"/>
        </w:rPr>
      </w:pPr>
      <w:r w:rsidRPr="00545EC0">
        <w:rPr>
          <w:rFonts w:cs="Arial"/>
          <w:szCs w:val="22"/>
        </w:rPr>
        <w:t xml:space="preserve">Obremenitve površinskih voda, ki se v kombinaciji z oceno stanja (modul saprobnost) upoštevajo pri oceni pomembnih vplivov </w:t>
      </w:r>
      <w:r w:rsidRPr="00545EC0">
        <w:rPr>
          <w:rFonts w:cs="Arial"/>
        </w:rPr>
        <w:t>na ekološko stanje površinskih voda zaradi organskega onesnaževanja</w:t>
      </w:r>
      <w:r w:rsidR="007072A5" w:rsidRPr="00545EC0">
        <w:rPr>
          <w:rFonts w:cs="Arial"/>
        </w:rPr>
        <w:t>,</w:t>
      </w:r>
      <w:r w:rsidRPr="00545EC0">
        <w:rPr>
          <w:rFonts w:cs="Arial"/>
        </w:rPr>
        <w:t xml:space="preserve"> so:</w:t>
      </w:r>
    </w:p>
    <w:p w14:paraId="4EE695DA" w14:textId="77777777" w:rsidR="00DC21D7" w:rsidRPr="00545EC0" w:rsidRDefault="00DC21D7" w:rsidP="00DD37C5">
      <w:pPr>
        <w:pStyle w:val="Odstavekseznama"/>
        <w:numPr>
          <w:ilvl w:val="0"/>
          <w:numId w:val="32"/>
        </w:numPr>
        <w:tabs>
          <w:tab w:val="center" w:pos="426"/>
        </w:tabs>
        <w:overflowPunct/>
        <w:autoSpaceDE/>
        <w:autoSpaceDN/>
        <w:adjustRightInd/>
        <w:contextualSpacing/>
        <w:textAlignment w:val="auto"/>
        <w:rPr>
          <w:rFonts w:cs="Arial"/>
        </w:rPr>
      </w:pPr>
      <w:r w:rsidRPr="00545EC0">
        <w:rPr>
          <w:lang w:val="sl-SI"/>
        </w:rPr>
        <w:t>točkovni viri industrijske odpadne vode</w:t>
      </w:r>
      <w:r w:rsidRPr="00545EC0">
        <w:t xml:space="preserve">, </w:t>
      </w:r>
    </w:p>
    <w:p w14:paraId="7F0FB325" w14:textId="77777777" w:rsidR="00DC21D7" w:rsidRPr="00545EC0" w:rsidRDefault="00DC21D7" w:rsidP="00DD37C5">
      <w:pPr>
        <w:pStyle w:val="Odstavekseznama"/>
        <w:numPr>
          <w:ilvl w:val="0"/>
          <w:numId w:val="32"/>
        </w:numPr>
        <w:tabs>
          <w:tab w:val="center" w:pos="426"/>
        </w:tabs>
        <w:overflowPunct/>
        <w:autoSpaceDE/>
        <w:autoSpaceDN/>
        <w:adjustRightInd/>
        <w:contextualSpacing/>
        <w:textAlignment w:val="auto"/>
        <w:rPr>
          <w:rFonts w:cs="Arial"/>
        </w:rPr>
      </w:pPr>
      <w:r w:rsidRPr="00545EC0">
        <w:rPr>
          <w:lang w:val="sl-SI"/>
        </w:rPr>
        <w:t xml:space="preserve">točkovni viri </w:t>
      </w:r>
      <w:r w:rsidRPr="00545EC0">
        <w:t>komunalne odpadne</w:t>
      </w:r>
      <w:r w:rsidRPr="00545EC0">
        <w:rPr>
          <w:lang w:val="sl-SI"/>
        </w:rPr>
        <w:t xml:space="preserve"> vode in</w:t>
      </w:r>
      <w:r w:rsidRPr="00545EC0">
        <w:t xml:space="preserve"> </w:t>
      </w:r>
    </w:p>
    <w:p w14:paraId="18588250" w14:textId="77777777" w:rsidR="00DC21D7" w:rsidRPr="00545EC0" w:rsidRDefault="00DC21D7" w:rsidP="00DD37C5">
      <w:pPr>
        <w:pStyle w:val="Odstavekseznama"/>
        <w:numPr>
          <w:ilvl w:val="0"/>
          <w:numId w:val="32"/>
        </w:numPr>
        <w:rPr>
          <w:rFonts w:cs="Arial"/>
        </w:rPr>
      </w:pPr>
      <w:r w:rsidRPr="00545EC0">
        <w:rPr>
          <w:rFonts w:cs="Arial"/>
        </w:rPr>
        <w:t>razpršen</w:t>
      </w:r>
      <w:r w:rsidRPr="00545EC0">
        <w:rPr>
          <w:rFonts w:cs="Arial"/>
          <w:lang w:val="sl-SI"/>
        </w:rPr>
        <w:t>i</w:t>
      </w:r>
      <w:r w:rsidRPr="00545EC0">
        <w:rPr>
          <w:rFonts w:cs="Arial"/>
        </w:rPr>
        <w:t xml:space="preserve"> vir zaradi komunalne odpadne vode, ki nastaja v objektih, ki niso priključeni na javni kanalizacijski sistem</w:t>
      </w:r>
      <w:r w:rsidRPr="00545EC0">
        <w:rPr>
          <w:rFonts w:cs="Arial"/>
          <w:lang w:val="sl-SI"/>
        </w:rPr>
        <w:t>.</w:t>
      </w:r>
    </w:p>
    <w:p w14:paraId="168BF1E2" w14:textId="77777777" w:rsidR="00DC21D7" w:rsidRPr="00545EC0" w:rsidRDefault="00DC21D7" w:rsidP="00DC21D7">
      <w:pPr>
        <w:rPr>
          <w:rFonts w:cs="Arial"/>
        </w:rPr>
      </w:pPr>
    </w:p>
    <w:p w14:paraId="11CB3522" w14:textId="0897286D" w:rsidR="00DC21D7" w:rsidRPr="00545EC0" w:rsidRDefault="000574D7" w:rsidP="00DC21D7">
      <w:pPr>
        <w:rPr>
          <w:rFonts w:cs="Arial"/>
        </w:rPr>
      </w:pPr>
      <w:bookmarkStart w:id="308" w:name="_Hlk84451476"/>
      <w:r w:rsidRPr="00545EC0">
        <w:rPr>
          <w:rFonts w:cs="Arial"/>
        </w:rPr>
        <w:t>Na porečjih VO Donave, z izjemo porečja Spodnje Save, največji delež emisije snovi izražene kot biokemijska potreba po kisiku, predstavlja</w:t>
      </w:r>
      <w:r w:rsidR="00DC21D7" w:rsidRPr="00545EC0">
        <w:rPr>
          <w:rFonts w:cs="Arial"/>
        </w:rPr>
        <w:t xml:space="preserve"> komunalna odpadna voda, ki nastaja v objektih, ki niso priključeni na javni kanalizacijski sistem </w:t>
      </w:r>
      <w:bookmarkEnd w:id="308"/>
      <w:r w:rsidR="00DC21D7" w:rsidRPr="00545EC0">
        <w:rPr>
          <w:rFonts w:cs="Arial"/>
        </w:rPr>
        <w:t>(</w:t>
      </w:r>
      <w:r w:rsidR="001D5155" w:rsidRPr="00545EC0">
        <w:rPr>
          <w:rFonts w:cs="Arial"/>
        </w:rPr>
        <w:fldChar w:fldCharType="begin"/>
      </w:r>
      <w:r w:rsidR="001D5155" w:rsidRPr="00545EC0">
        <w:rPr>
          <w:rFonts w:cs="Arial"/>
        </w:rPr>
        <w:instrText xml:space="preserve"> REF _Ref84418914 \h </w:instrText>
      </w:r>
      <w:r w:rsidR="00F37A91" w:rsidRPr="00545EC0">
        <w:rPr>
          <w:rFonts w:cs="Arial"/>
        </w:rPr>
        <w:instrText xml:space="preserve"> \* MERGEFORMAT </w:instrText>
      </w:r>
      <w:r w:rsidR="001D5155" w:rsidRPr="00545EC0">
        <w:rPr>
          <w:rFonts w:cs="Arial"/>
        </w:rPr>
      </w:r>
      <w:r w:rsidR="001D5155" w:rsidRPr="00545EC0">
        <w:rPr>
          <w:rFonts w:cs="Arial"/>
        </w:rPr>
        <w:fldChar w:fldCharType="separate"/>
      </w:r>
      <w:r w:rsidR="002F3E43" w:rsidRPr="00545EC0">
        <w:rPr>
          <w:rFonts w:cs="Arial"/>
          <w:szCs w:val="20"/>
        </w:rPr>
        <w:t xml:space="preserve">Slika </w:t>
      </w:r>
      <w:r w:rsidR="002F3E43">
        <w:rPr>
          <w:rFonts w:cs="Arial"/>
          <w:noProof/>
          <w:szCs w:val="20"/>
        </w:rPr>
        <w:t>2</w:t>
      </w:r>
      <w:r w:rsidR="002F3E43" w:rsidRPr="00545EC0">
        <w:rPr>
          <w:rFonts w:cs="Arial"/>
          <w:noProof/>
          <w:szCs w:val="20"/>
        </w:rPr>
        <w:noBreakHyphen/>
      </w:r>
      <w:r w:rsidR="002F3E43">
        <w:rPr>
          <w:rFonts w:cs="Arial"/>
          <w:noProof/>
          <w:szCs w:val="20"/>
        </w:rPr>
        <w:t>33</w:t>
      </w:r>
      <w:r w:rsidR="001D5155" w:rsidRPr="00545EC0">
        <w:rPr>
          <w:rFonts w:cs="Arial"/>
        </w:rPr>
        <w:fldChar w:fldCharType="end"/>
      </w:r>
      <w:r w:rsidR="00DC21D7" w:rsidRPr="00545EC0">
        <w:rPr>
          <w:rFonts w:cs="Arial"/>
        </w:rPr>
        <w:t xml:space="preserve">). </w:t>
      </w:r>
    </w:p>
    <w:p w14:paraId="3BC21E83" w14:textId="78F0926C" w:rsidR="00DC21D7" w:rsidRPr="00545EC0" w:rsidRDefault="00DC21D7" w:rsidP="00DC21D7">
      <w:pPr>
        <w:rPr>
          <w:rFonts w:cs="Arial"/>
          <w:szCs w:val="20"/>
        </w:rPr>
      </w:pPr>
    </w:p>
    <w:p w14:paraId="402E3671" w14:textId="36053D61" w:rsidR="000574D7" w:rsidRPr="00545EC0" w:rsidRDefault="000574D7" w:rsidP="00DC21D7">
      <w:pPr>
        <w:rPr>
          <w:rFonts w:cs="Arial"/>
          <w:szCs w:val="20"/>
        </w:rPr>
      </w:pPr>
      <w:r w:rsidRPr="00545EC0">
        <w:rPr>
          <w:noProof/>
        </w:rPr>
        <w:drawing>
          <wp:inline distT="0" distB="0" distL="0" distR="0" wp14:anchorId="021079A6" wp14:editId="5BC63D68">
            <wp:extent cx="5760085" cy="3583305"/>
            <wp:effectExtent l="0" t="0" r="12065" b="17145"/>
            <wp:docPr id="1"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9C9854-D483-40A7-9C9A-9E30D6DEDC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119542B" w14:textId="47B3D1F1" w:rsidR="00DC21D7" w:rsidRPr="00545EC0" w:rsidRDefault="00DC21D7" w:rsidP="00DC21D7">
      <w:pPr>
        <w:rPr>
          <w:rFonts w:cs="Arial"/>
          <w:szCs w:val="20"/>
        </w:rPr>
      </w:pPr>
      <w:bookmarkStart w:id="309" w:name="_Ref84418914"/>
      <w:r w:rsidRPr="00545EC0">
        <w:rPr>
          <w:rFonts w:cs="Arial"/>
          <w:szCs w:val="20"/>
        </w:rPr>
        <w:t xml:space="preserve">Slika </w:t>
      </w:r>
      <w:r w:rsidR="00396E1E" w:rsidRPr="00545EC0">
        <w:rPr>
          <w:rFonts w:cs="Arial"/>
          <w:szCs w:val="20"/>
        </w:rPr>
        <w:fldChar w:fldCharType="begin"/>
      </w:r>
      <w:r w:rsidR="00396E1E" w:rsidRPr="00545EC0">
        <w:rPr>
          <w:rFonts w:cs="Arial"/>
          <w:szCs w:val="20"/>
        </w:rPr>
        <w:instrText xml:space="preserve"> STYLEREF 1 \s </w:instrText>
      </w:r>
      <w:r w:rsidR="00396E1E" w:rsidRPr="00545EC0">
        <w:rPr>
          <w:rFonts w:cs="Arial"/>
          <w:szCs w:val="20"/>
        </w:rPr>
        <w:fldChar w:fldCharType="separate"/>
      </w:r>
      <w:r w:rsidR="002F3E43">
        <w:rPr>
          <w:rFonts w:cs="Arial"/>
          <w:noProof/>
          <w:szCs w:val="20"/>
        </w:rPr>
        <w:t>2</w:t>
      </w:r>
      <w:r w:rsidR="00396E1E" w:rsidRPr="00545EC0">
        <w:rPr>
          <w:rFonts w:cs="Arial"/>
          <w:szCs w:val="20"/>
        </w:rPr>
        <w:fldChar w:fldCharType="end"/>
      </w:r>
      <w:r w:rsidR="00396E1E" w:rsidRPr="00545EC0">
        <w:rPr>
          <w:rFonts w:cs="Arial"/>
          <w:szCs w:val="20"/>
        </w:rPr>
        <w:noBreakHyphen/>
      </w:r>
      <w:r w:rsidR="00396E1E" w:rsidRPr="00545EC0">
        <w:rPr>
          <w:rFonts w:cs="Arial"/>
          <w:szCs w:val="20"/>
        </w:rPr>
        <w:fldChar w:fldCharType="begin"/>
      </w:r>
      <w:r w:rsidR="00396E1E" w:rsidRPr="00545EC0">
        <w:rPr>
          <w:rFonts w:cs="Arial"/>
          <w:szCs w:val="20"/>
        </w:rPr>
        <w:instrText xml:space="preserve"> SEQ Slika \* ARABIC \s 1 </w:instrText>
      </w:r>
      <w:r w:rsidR="00396E1E" w:rsidRPr="00545EC0">
        <w:rPr>
          <w:rFonts w:cs="Arial"/>
          <w:szCs w:val="20"/>
        </w:rPr>
        <w:fldChar w:fldCharType="separate"/>
      </w:r>
      <w:r w:rsidR="002F3E43">
        <w:rPr>
          <w:rFonts w:cs="Arial"/>
          <w:noProof/>
          <w:szCs w:val="20"/>
        </w:rPr>
        <w:t>33</w:t>
      </w:r>
      <w:r w:rsidR="00396E1E" w:rsidRPr="00545EC0">
        <w:rPr>
          <w:rFonts w:cs="Arial"/>
          <w:szCs w:val="20"/>
        </w:rPr>
        <w:fldChar w:fldCharType="end"/>
      </w:r>
      <w:bookmarkEnd w:id="309"/>
      <w:r w:rsidRPr="00545EC0">
        <w:rPr>
          <w:rFonts w:cs="Arial"/>
          <w:szCs w:val="20"/>
        </w:rPr>
        <w:t>: Vnosi organskih snovi (izražene kot BPK5) iz virov onesnaženja v površinske vode po porečjih in povodjih VO Donave.</w:t>
      </w:r>
    </w:p>
    <w:p w14:paraId="63BEC186" w14:textId="77777777" w:rsidR="00DC21D7" w:rsidRPr="00545EC0" w:rsidRDefault="00DC21D7" w:rsidP="00DC21D7">
      <w:pPr>
        <w:rPr>
          <w:rFonts w:cs="Arial"/>
        </w:rPr>
      </w:pPr>
    </w:p>
    <w:p w14:paraId="28130B98" w14:textId="12B90DAB" w:rsidR="00DC21D7" w:rsidRPr="00545EC0" w:rsidRDefault="00DC21D7" w:rsidP="00DC21D7">
      <w:pPr>
        <w:rPr>
          <w:rFonts w:cs="Arial"/>
          <w:szCs w:val="22"/>
        </w:rPr>
      </w:pPr>
      <w:r w:rsidRPr="00545EC0">
        <w:rPr>
          <w:rFonts w:cs="Arial"/>
          <w:szCs w:val="22"/>
        </w:rPr>
        <w:lastRenderedPageBreak/>
        <w:t>V nadaljevanju so za vodna telesa površinskih voda s pomembnimi vpliv na ekološko stanje površinskih voda zaradi organskega onesnaževanja podani deleži emisij izraženi kot biokemijska potreba po kisiku (BPK</w:t>
      </w:r>
      <w:r w:rsidRPr="00545EC0">
        <w:rPr>
          <w:rFonts w:cs="Arial"/>
          <w:szCs w:val="22"/>
          <w:vertAlign w:val="subscript"/>
        </w:rPr>
        <w:t>5</w:t>
      </w:r>
      <w:r w:rsidR="001D5155" w:rsidRPr="00545EC0">
        <w:rPr>
          <w:rFonts w:cs="Arial"/>
          <w:szCs w:val="22"/>
        </w:rPr>
        <w:t>)</w:t>
      </w:r>
      <w:r w:rsidR="003500B4" w:rsidRPr="00545EC0">
        <w:rPr>
          <w:rFonts w:cs="Arial"/>
          <w:szCs w:val="22"/>
        </w:rPr>
        <w:t xml:space="preserve"> (</w:t>
      </w:r>
      <w:r w:rsidR="003500B4" w:rsidRPr="00545EC0">
        <w:rPr>
          <w:rFonts w:cs="Arial"/>
          <w:szCs w:val="22"/>
        </w:rPr>
        <w:fldChar w:fldCharType="begin"/>
      </w:r>
      <w:r w:rsidR="003500B4" w:rsidRPr="00545EC0">
        <w:rPr>
          <w:rFonts w:cs="Arial"/>
          <w:szCs w:val="22"/>
        </w:rPr>
        <w:instrText xml:space="preserve"> REF _Ref84450989 \h  \* MERGEFORMAT </w:instrText>
      </w:r>
      <w:r w:rsidR="003500B4" w:rsidRPr="00545EC0">
        <w:rPr>
          <w:rFonts w:cs="Arial"/>
          <w:szCs w:val="22"/>
        </w:rPr>
      </w:r>
      <w:r w:rsidR="003500B4" w:rsidRPr="00545EC0">
        <w:rPr>
          <w:rFonts w:cs="Arial"/>
          <w:szCs w:val="22"/>
        </w:rPr>
        <w:fldChar w:fldCharType="separate"/>
      </w:r>
      <w:r w:rsidR="002F3E43" w:rsidRPr="00545EC0">
        <w:t xml:space="preserve">Preglednica </w:t>
      </w:r>
      <w:r w:rsidR="002F3E43">
        <w:rPr>
          <w:noProof/>
        </w:rPr>
        <w:t>2</w:t>
      </w:r>
      <w:r w:rsidR="002F3E43" w:rsidRPr="00545EC0">
        <w:rPr>
          <w:noProof/>
        </w:rPr>
        <w:noBreakHyphen/>
      </w:r>
      <w:r w:rsidR="002F3E43">
        <w:rPr>
          <w:noProof/>
        </w:rPr>
        <w:t>41</w:t>
      </w:r>
      <w:r w:rsidR="003500B4" w:rsidRPr="00545EC0">
        <w:rPr>
          <w:rFonts w:cs="Arial"/>
          <w:szCs w:val="22"/>
        </w:rPr>
        <w:fldChar w:fldCharType="end"/>
      </w:r>
      <w:r w:rsidR="003500B4" w:rsidRPr="00545EC0">
        <w:rPr>
          <w:rFonts w:cs="Arial"/>
          <w:szCs w:val="22"/>
        </w:rPr>
        <w:t>).</w:t>
      </w:r>
    </w:p>
    <w:p w14:paraId="76667626" w14:textId="53CF8FA2" w:rsidR="00EB7CDB" w:rsidRPr="00545EC0" w:rsidRDefault="00EB7CDB" w:rsidP="00DC21D7">
      <w:pPr>
        <w:rPr>
          <w:rFonts w:cs="Arial"/>
          <w:szCs w:val="22"/>
        </w:rPr>
      </w:pPr>
    </w:p>
    <w:p w14:paraId="7BCB3330" w14:textId="1BE67775" w:rsidR="00DC21D7" w:rsidRDefault="00DC21D7" w:rsidP="00DC21D7">
      <w:pPr>
        <w:pStyle w:val="Napis"/>
      </w:pPr>
      <w:bookmarkStart w:id="310" w:name="_Ref84450989"/>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41</w:t>
        </w:r>
      </w:fldSimple>
      <w:bookmarkEnd w:id="310"/>
      <w:r w:rsidRPr="00545EC0">
        <w:t>: Delež emisij organskih snovi v površinske vode izraženi BPK</w:t>
      </w:r>
      <w:r w:rsidRPr="00545EC0">
        <w:rPr>
          <w:vertAlign w:val="subscript"/>
        </w:rPr>
        <w:t>5</w:t>
      </w:r>
      <w:r w:rsidRPr="00545EC0">
        <w:t xml:space="preserve"> iz različnih virov obremenjevanja na vodnih telesih površinskih voda na VO Donave, ki so v manj kot dobrem ekološkem stanju glede na modul saprobnost</w:t>
      </w:r>
      <w:r w:rsidR="001A5370">
        <w:t>.</w:t>
      </w:r>
      <w:r w:rsidRPr="00545EC0">
        <w:t xml:space="preserve">  </w:t>
      </w:r>
    </w:p>
    <w:p w14:paraId="1D854ADE" w14:textId="77777777" w:rsidR="00896A95" w:rsidRPr="00896A95" w:rsidRDefault="00896A95" w:rsidP="00896A95">
      <w:pPr>
        <w:rPr>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787"/>
        <w:gridCol w:w="1189"/>
        <w:gridCol w:w="1049"/>
        <w:gridCol w:w="1020"/>
      </w:tblGrid>
      <w:tr w:rsidR="003122F4" w:rsidRPr="00545EC0" w14:paraId="658E86B6" w14:textId="77777777" w:rsidTr="00176EFA">
        <w:trPr>
          <w:trHeight w:val="1150"/>
        </w:trPr>
        <w:tc>
          <w:tcPr>
            <w:tcW w:w="669" w:type="pct"/>
            <w:shd w:val="clear" w:color="auto" w:fill="auto"/>
            <w:noWrap/>
            <w:vAlign w:val="center"/>
            <w:hideMark/>
          </w:tcPr>
          <w:p w14:paraId="1A19FDD9" w14:textId="77777777" w:rsidR="00EB7CDB" w:rsidRPr="00545EC0" w:rsidRDefault="00EB7CDB" w:rsidP="00EB7CDB">
            <w:pPr>
              <w:overflowPunct/>
              <w:autoSpaceDE/>
              <w:autoSpaceDN/>
              <w:adjustRightInd/>
              <w:spacing w:line="240" w:lineRule="auto"/>
              <w:jc w:val="left"/>
              <w:textAlignment w:val="auto"/>
              <w:rPr>
                <w:rFonts w:cs="Arial"/>
                <w:sz w:val="18"/>
                <w:szCs w:val="18"/>
              </w:rPr>
            </w:pPr>
            <w:r w:rsidRPr="00545EC0">
              <w:rPr>
                <w:rFonts w:cs="Arial"/>
                <w:sz w:val="18"/>
                <w:szCs w:val="18"/>
              </w:rPr>
              <w:t>Šifra VT</w:t>
            </w:r>
          </w:p>
        </w:tc>
        <w:tc>
          <w:tcPr>
            <w:tcW w:w="2577" w:type="pct"/>
            <w:shd w:val="clear" w:color="auto" w:fill="auto"/>
            <w:noWrap/>
            <w:vAlign w:val="center"/>
            <w:hideMark/>
          </w:tcPr>
          <w:p w14:paraId="722C2786" w14:textId="77777777" w:rsidR="00EB7CDB" w:rsidRPr="00545EC0" w:rsidRDefault="00EB7CDB" w:rsidP="00EB7CDB">
            <w:pPr>
              <w:overflowPunct/>
              <w:autoSpaceDE/>
              <w:autoSpaceDN/>
              <w:adjustRightInd/>
              <w:spacing w:line="240" w:lineRule="auto"/>
              <w:jc w:val="left"/>
              <w:textAlignment w:val="auto"/>
              <w:rPr>
                <w:rFonts w:cs="Arial"/>
                <w:b/>
                <w:bCs/>
                <w:sz w:val="18"/>
                <w:szCs w:val="18"/>
              </w:rPr>
            </w:pPr>
            <w:r w:rsidRPr="00545EC0">
              <w:rPr>
                <w:rFonts w:cs="Arial"/>
                <w:b/>
                <w:bCs/>
                <w:sz w:val="18"/>
                <w:szCs w:val="18"/>
              </w:rPr>
              <w:t>Ime vodnega telesa</w:t>
            </w:r>
          </w:p>
        </w:tc>
        <w:tc>
          <w:tcPr>
            <w:tcW w:w="640" w:type="pct"/>
            <w:shd w:val="clear" w:color="auto" w:fill="auto"/>
            <w:vAlign w:val="center"/>
            <w:hideMark/>
          </w:tcPr>
          <w:p w14:paraId="22F53AA4"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Razpršeni viri komunalne odpadne vode, ki nastaja v objektih, ki niso priključeni na javni kanalizacijski sistem (%)</w:t>
            </w:r>
          </w:p>
        </w:tc>
        <w:tc>
          <w:tcPr>
            <w:tcW w:w="565" w:type="pct"/>
            <w:shd w:val="clear" w:color="auto" w:fill="auto"/>
            <w:vAlign w:val="center"/>
            <w:hideMark/>
          </w:tcPr>
          <w:p w14:paraId="34D75BE7"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Točkovni viri industrijske odpadne vode (%)</w:t>
            </w:r>
          </w:p>
        </w:tc>
        <w:tc>
          <w:tcPr>
            <w:tcW w:w="550" w:type="pct"/>
            <w:shd w:val="clear" w:color="auto" w:fill="auto"/>
            <w:vAlign w:val="center"/>
            <w:hideMark/>
          </w:tcPr>
          <w:p w14:paraId="44ED7AD8"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Točkovni viri prečiščene odpadne vode iz KČN (%)</w:t>
            </w:r>
          </w:p>
        </w:tc>
      </w:tr>
      <w:tr w:rsidR="003122F4" w:rsidRPr="00545EC0" w14:paraId="2245B2B3" w14:textId="77777777" w:rsidTr="00176EFA">
        <w:trPr>
          <w:trHeight w:val="300"/>
        </w:trPr>
        <w:tc>
          <w:tcPr>
            <w:tcW w:w="669" w:type="pct"/>
            <w:shd w:val="clear" w:color="auto" w:fill="auto"/>
            <w:noWrap/>
            <w:vAlign w:val="center"/>
            <w:hideMark/>
          </w:tcPr>
          <w:p w14:paraId="27D2D095" w14:textId="77777777" w:rsidR="00EB7CDB" w:rsidRPr="00545EC0" w:rsidRDefault="00EB7CDB" w:rsidP="00EB7CDB">
            <w:pPr>
              <w:overflowPunct/>
              <w:autoSpaceDE/>
              <w:autoSpaceDN/>
              <w:adjustRightInd/>
              <w:spacing w:line="240" w:lineRule="auto"/>
              <w:jc w:val="left"/>
              <w:textAlignment w:val="auto"/>
              <w:rPr>
                <w:rFonts w:cs="Arial"/>
                <w:sz w:val="18"/>
                <w:szCs w:val="18"/>
              </w:rPr>
            </w:pPr>
            <w:r w:rsidRPr="00545EC0">
              <w:rPr>
                <w:rFonts w:cs="Arial"/>
                <w:sz w:val="18"/>
                <w:szCs w:val="18"/>
              </w:rPr>
              <w:t>SI111VT7</w:t>
            </w:r>
          </w:p>
        </w:tc>
        <w:tc>
          <w:tcPr>
            <w:tcW w:w="2577" w:type="pct"/>
            <w:shd w:val="clear" w:color="auto" w:fill="auto"/>
            <w:noWrap/>
            <w:vAlign w:val="center"/>
            <w:hideMark/>
          </w:tcPr>
          <w:p w14:paraId="5D989D26" w14:textId="77777777" w:rsidR="00EB7CDB" w:rsidRPr="00545EC0" w:rsidRDefault="00EB7CDB" w:rsidP="00EB7CDB">
            <w:pPr>
              <w:overflowPunct/>
              <w:autoSpaceDE/>
              <w:autoSpaceDN/>
              <w:adjustRightInd/>
              <w:spacing w:line="240" w:lineRule="auto"/>
              <w:jc w:val="left"/>
              <w:textAlignment w:val="auto"/>
              <w:rPr>
                <w:rFonts w:cs="Arial"/>
                <w:sz w:val="18"/>
                <w:szCs w:val="18"/>
              </w:rPr>
            </w:pPr>
            <w:r w:rsidRPr="00545EC0">
              <w:rPr>
                <w:rFonts w:cs="Arial"/>
                <w:sz w:val="18"/>
                <w:szCs w:val="18"/>
              </w:rPr>
              <w:t>MPVT zadrževalnik HE Moste</w:t>
            </w:r>
          </w:p>
        </w:tc>
        <w:tc>
          <w:tcPr>
            <w:tcW w:w="640" w:type="pct"/>
            <w:shd w:val="clear" w:color="auto" w:fill="auto"/>
            <w:noWrap/>
            <w:vAlign w:val="center"/>
            <w:hideMark/>
          </w:tcPr>
          <w:p w14:paraId="42D19D69"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4%</w:t>
            </w:r>
          </w:p>
        </w:tc>
        <w:tc>
          <w:tcPr>
            <w:tcW w:w="565" w:type="pct"/>
            <w:shd w:val="clear" w:color="auto" w:fill="auto"/>
            <w:noWrap/>
            <w:vAlign w:val="center"/>
            <w:hideMark/>
          </w:tcPr>
          <w:p w14:paraId="7E90A07B"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27%</w:t>
            </w:r>
          </w:p>
        </w:tc>
        <w:tc>
          <w:tcPr>
            <w:tcW w:w="550" w:type="pct"/>
            <w:shd w:val="clear" w:color="auto" w:fill="auto"/>
            <w:noWrap/>
            <w:vAlign w:val="center"/>
            <w:hideMark/>
          </w:tcPr>
          <w:p w14:paraId="0D6978A3"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69%</w:t>
            </w:r>
          </w:p>
        </w:tc>
      </w:tr>
      <w:tr w:rsidR="003122F4" w:rsidRPr="00545EC0" w14:paraId="379D4D79" w14:textId="77777777" w:rsidTr="00176EFA">
        <w:trPr>
          <w:trHeight w:val="300"/>
        </w:trPr>
        <w:tc>
          <w:tcPr>
            <w:tcW w:w="669" w:type="pct"/>
            <w:shd w:val="clear" w:color="auto" w:fill="auto"/>
            <w:noWrap/>
            <w:vAlign w:val="center"/>
            <w:hideMark/>
          </w:tcPr>
          <w:p w14:paraId="66E53A51" w14:textId="77777777" w:rsidR="00EB7CDB" w:rsidRPr="00545EC0" w:rsidRDefault="00EB7CDB" w:rsidP="00EB7CDB">
            <w:pPr>
              <w:overflowPunct/>
              <w:autoSpaceDE/>
              <w:autoSpaceDN/>
              <w:adjustRightInd/>
              <w:spacing w:line="240" w:lineRule="auto"/>
              <w:jc w:val="left"/>
              <w:textAlignment w:val="auto"/>
              <w:rPr>
                <w:rFonts w:cs="Arial"/>
                <w:sz w:val="18"/>
                <w:szCs w:val="18"/>
              </w:rPr>
            </w:pPr>
            <w:r w:rsidRPr="00545EC0">
              <w:rPr>
                <w:rFonts w:cs="Arial"/>
                <w:sz w:val="18"/>
                <w:szCs w:val="18"/>
              </w:rPr>
              <w:t>SI14102VT</w:t>
            </w:r>
          </w:p>
        </w:tc>
        <w:tc>
          <w:tcPr>
            <w:tcW w:w="2577" w:type="pct"/>
            <w:shd w:val="clear" w:color="auto" w:fill="auto"/>
            <w:noWrap/>
            <w:vAlign w:val="center"/>
            <w:hideMark/>
          </w:tcPr>
          <w:p w14:paraId="02FB2599" w14:textId="77777777" w:rsidR="00EB7CDB" w:rsidRPr="00545EC0" w:rsidRDefault="00EB7CDB" w:rsidP="00EB7CDB">
            <w:pPr>
              <w:overflowPunct/>
              <w:autoSpaceDE/>
              <w:autoSpaceDN/>
              <w:adjustRightInd/>
              <w:spacing w:line="240" w:lineRule="auto"/>
              <w:jc w:val="left"/>
              <w:textAlignment w:val="auto"/>
              <w:rPr>
                <w:rFonts w:cs="Arial"/>
                <w:sz w:val="18"/>
                <w:szCs w:val="18"/>
              </w:rPr>
            </w:pPr>
            <w:r w:rsidRPr="00545EC0">
              <w:rPr>
                <w:rFonts w:cs="Arial"/>
                <w:sz w:val="18"/>
                <w:szCs w:val="18"/>
              </w:rPr>
              <w:t>VT Cerkniščica</w:t>
            </w:r>
          </w:p>
        </w:tc>
        <w:tc>
          <w:tcPr>
            <w:tcW w:w="640" w:type="pct"/>
            <w:shd w:val="clear" w:color="auto" w:fill="auto"/>
            <w:noWrap/>
            <w:vAlign w:val="center"/>
            <w:hideMark/>
          </w:tcPr>
          <w:p w14:paraId="77DE0ED5"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30%</w:t>
            </w:r>
          </w:p>
        </w:tc>
        <w:tc>
          <w:tcPr>
            <w:tcW w:w="565" w:type="pct"/>
            <w:shd w:val="clear" w:color="auto" w:fill="auto"/>
            <w:noWrap/>
            <w:vAlign w:val="center"/>
            <w:hideMark/>
          </w:tcPr>
          <w:p w14:paraId="1CEC00B0"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0%</w:t>
            </w:r>
          </w:p>
        </w:tc>
        <w:tc>
          <w:tcPr>
            <w:tcW w:w="550" w:type="pct"/>
            <w:shd w:val="clear" w:color="auto" w:fill="auto"/>
            <w:noWrap/>
            <w:vAlign w:val="center"/>
            <w:hideMark/>
          </w:tcPr>
          <w:p w14:paraId="24E31B5C"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70%</w:t>
            </w:r>
          </w:p>
        </w:tc>
      </w:tr>
      <w:tr w:rsidR="003122F4" w:rsidRPr="00545EC0" w14:paraId="370C14F3" w14:textId="77777777" w:rsidTr="00176EFA">
        <w:trPr>
          <w:trHeight w:val="300"/>
        </w:trPr>
        <w:tc>
          <w:tcPr>
            <w:tcW w:w="669" w:type="pct"/>
            <w:shd w:val="clear" w:color="auto" w:fill="auto"/>
            <w:noWrap/>
            <w:vAlign w:val="center"/>
            <w:hideMark/>
          </w:tcPr>
          <w:p w14:paraId="28B1E583" w14:textId="77777777" w:rsidR="00EB7CDB" w:rsidRPr="00545EC0" w:rsidRDefault="00EB7CDB" w:rsidP="00EB7CDB">
            <w:pPr>
              <w:overflowPunct/>
              <w:autoSpaceDE/>
              <w:autoSpaceDN/>
              <w:adjustRightInd/>
              <w:spacing w:line="240" w:lineRule="auto"/>
              <w:jc w:val="left"/>
              <w:textAlignment w:val="auto"/>
              <w:rPr>
                <w:rFonts w:cs="Arial"/>
                <w:sz w:val="18"/>
                <w:szCs w:val="18"/>
              </w:rPr>
            </w:pPr>
            <w:r w:rsidRPr="00545EC0">
              <w:rPr>
                <w:rFonts w:cs="Arial"/>
                <w:sz w:val="18"/>
                <w:szCs w:val="18"/>
              </w:rPr>
              <w:t>SI143VT</w:t>
            </w:r>
          </w:p>
        </w:tc>
        <w:tc>
          <w:tcPr>
            <w:tcW w:w="2577" w:type="pct"/>
            <w:shd w:val="clear" w:color="auto" w:fill="auto"/>
            <w:noWrap/>
            <w:vAlign w:val="center"/>
            <w:hideMark/>
          </w:tcPr>
          <w:p w14:paraId="4BBEA22A" w14:textId="77777777" w:rsidR="00EB7CDB" w:rsidRPr="00545EC0" w:rsidRDefault="00EB7CDB" w:rsidP="00EB7CDB">
            <w:pPr>
              <w:overflowPunct/>
              <w:autoSpaceDE/>
              <w:autoSpaceDN/>
              <w:adjustRightInd/>
              <w:spacing w:line="240" w:lineRule="auto"/>
              <w:jc w:val="left"/>
              <w:textAlignment w:val="auto"/>
              <w:rPr>
                <w:rFonts w:cs="Arial"/>
                <w:sz w:val="18"/>
                <w:szCs w:val="18"/>
              </w:rPr>
            </w:pPr>
            <w:r w:rsidRPr="00545EC0">
              <w:rPr>
                <w:rFonts w:cs="Arial"/>
                <w:sz w:val="18"/>
                <w:szCs w:val="18"/>
              </w:rPr>
              <w:t>VT Rak</w:t>
            </w:r>
          </w:p>
        </w:tc>
        <w:tc>
          <w:tcPr>
            <w:tcW w:w="640" w:type="pct"/>
            <w:shd w:val="clear" w:color="auto" w:fill="auto"/>
            <w:noWrap/>
            <w:vAlign w:val="center"/>
            <w:hideMark/>
          </w:tcPr>
          <w:p w14:paraId="6B5FFB59" w14:textId="0E7D2490"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0%</w:t>
            </w:r>
          </w:p>
        </w:tc>
        <w:tc>
          <w:tcPr>
            <w:tcW w:w="565" w:type="pct"/>
            <w:shd w:val="clear" w:color="auto" w:fill="auto"/>
            <w:noWrap/>
            <w:vAlign w:val="center"/>
            <w:hideMark/>
          </w:tcPr>
          <w:p w14:paraId="5C3A7A38" w14:textId="3318C410"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0%</w:t>
            </w:r>
          </w:p>
        </w:tc>
        <w:tc>
          <w:tcPr>
            <w:tcW w:w="550" w:type="pct"/>
            <w:shd w:val="clear" w:color="auto" w:fill="auto"/>
            <w:noWrap/>
            <w:vAlign w:val="center"/>
            <w:hideMark/>
          </w:tcPr>
          <w:p w14:paraId="4A6F9DF8" w14:textId="565ABD66"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0%</w:t>
            </w:r>
          </w:p>
        </w:tc>
      </w:tr>
      <w:tr w:rsidR="003122F4" w:rsidRPr="00545EC0" w14:paraId="7459CC1C" w14:textId="77777777" w:rsidTr="00176EFA">
        <w:trPr>
          <w:trHeight w:val="300"/>
        </w:trPr>
        <w:tc>
          <w:tcPr>
            <w:tcW w:w="669" w:type="pct"/>
            <w:shd w:val="clear" w:color="auto" w:fill="auto"/>
            <w:noWrap/>
            <w:vAlign w:val="center"/>
            <w:hideMark/>
          </w:tcPr>
          <w:p w14:paraId="658C90A8" w14:textId="77777777" w:rsidR="00EB7CDB" w:rsidRPr="00545EC0" w:rsidRDefault="00EB7CDB" w:rsidP="00EB7CDB">
            <w:pPr>
              <w:overflowPunct/>
              <w:autoSpaceDE/>
              <w:autoSpaceDN/>
              <w:adjustRightInd/>
              <w:spacing w:line="240" w:lineRule="auto"/>
              <w:jc w:val="left"/>
              <w:textAlignment w:val="auto"/>
              <w:rPr>
                <w:rFonts w:cs="Arial"/>
                <w:sz w:val="18"/>
                <w:szCs w:val="18"/>
              </w:rPr>
            </w:pPr>
            <w:r w:rsidRPr="00545EC0">
              <w:rPr>
                <w:rFonts w:cs="Arial"/>
                <w:sz w:val="18"/>
                <w:szCs w:val="18"/>
              </w:rPr>
              <w:t>SI144VT2</w:t>
            </w:r>
          </w:p>
        </w:tc>
        <w:tc>
          <w:tcPr>
            <w:tcW w:w="2577" w:type="pct"/>
            <w:shd w:val="clear" w:color="auto" w:fill="auto"/>
            <w:noWrap/>
            <w:vAlign w:val="center"/>
            <w:hideMark/>
          </w:tcPr>
          <w:p w14:paraId="5C9669D3" w14:textId="77777777" w:rsidR="00EB7CDB" w:rsidRPr="00545EC0" w:rsidRDefault="00EB7CDB" w:rsidP="00EB7CDB">
            <w:pPr>
              <w:overflowPunct/>
              <w:autoSpaceDE/>
              <w:autoSpaceDN/>
              <w:adjustRightInd/>
              <w:spacing w:line="240" w:lineRule="auto"/>
              <w:jc w:val="left"/>
              <w:textAlignment w:val="auto"/>
              <w:rPr>
                <w:rFonts w:cs="Arial"/>
                <w:sz w:val="18"/>
                <w:szCs w:val="18"/>
              </w:rPr>
            </w:pPr>
            <w:r w:rsidRPr="00545EC0">
              <w:rPr>
                <w:rFonts w:cs="Arial"/>
                <w:sz w:val="18"/>
                <w:szCs w:val="18"/>
              </w:rPr>
              <w:t>VT Pivka Prestranek – Postojnska jama</w:t>
            </w:r>
          </w:p>
        </w:tc>
        <w:tc>
          <w:tcPr>
            <w:tcW w:w="640" w:type="pct"/>
            <w:shd w:val="clear" w:color="auto" w:fill="auto"/>
            <w:noWrap/>
            <w:vAlign w:val="center"/>
            <w:hideMark/>
          </w:tcPr>
          <w:p w14:paraId="1166B9F8"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3%</w:t>
            </w:r>
          </w:p>
        </w:tc>
        <w:tc>
          <w:tcPr>
            <w:tcW w:w="565" w:type="pct"/>
            <w:shd w:val="clear" w:color="auto" w:fill="auto"/>
            <w:noWrap/>
            <w:vAlign w:val="center"/>
            <w:hideMark/>
          </w:tcPr>
          <w:p w14:paraId="2CF90B4E"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0%</w:t>
            </w:r>
          </w:p>
        </w:tc>
        <w:tc>
          <w:tcPr>
            <w:tcW w:w="550" w:type="pct"/>
            <w:shd w:val="clear" w:color="auto" w:fill="auto"/>
            <w:noWrap/>
            <w:vAlign w:val="center"/>
            <w:hideMark/>
          </w:tcPr>
          <w:p w14:paraId="69336941"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97%</w:t>
            </w:r>
          </w:p>
        </w:tc>
      </w:tr>
      <w:tr w:rsidR="003122F4" w:rsidRPr="00545EC0" w14:paraId="4C8A6739" w14:textId="77777777" w:rsidTr="00176EFA">
        <w:trPr>
          <w:trHeight w:val="300"/>
        </w:trPr>
        <w:tc>
          <w:tcPr>
            <w:tcW w:w="669" w:type="pct"/>
            <w:shd w:val="clear" w:color="auto" w:fill="auto"/>
            <w:noWrap/>
            <w:vAlign w:val="center"/>
            <w:hideMark/>
          </w:tcPr>
          <w:p w14:paraId="33F844C9" w14:textId="77777777" w:rsidR="00EB7CDB" w:rsidRPr="00545EC0" w:rsidRDefault="00EB7CDB" w:rsidP="00EB7CDB">
            <w:pPr>
              <w:overflowPunct/>
              <w:autoSpaceDE/>
              <w:autoSpaceDN/>
              <w:adjustRightInd/>
              <w:spacing w:line="240" w:lineRule="auto"/>
              <w:jc w:val="left"/>
              <w:textAlignment w:val="auto"/>
              <w:rPr>
                <w:rFonts w:cs="Arial"/>
                <w:sz w:val="18"/>
                <w:szCs w:val="18"/>
              </w:rPr>
            </w:pPr>
            <w:r w:rsidRPr="00545EC0">
              <w:rPr>
                <w:rFonts w:cs="Arial"/>
                <w:sz w:val="18"/>
                <w:szCs w:val="18"/>
              </w:rPr>
              <w:t>SI186VT3</w:t>
            </w:r>
          </w:p>
        </w:tc>
        <w:tc>
          <w:tcPr>
            <w:tcW w:w="2577" w:type="pct"/>
            <w:shd w:val="clear" w:color="auto" w:fill="auto"/>
            <w:noWrap/>
            <w:vAlign w:val="center"/>
            <w:hideMark/>
          </w:tcPr>
          <w:p w14:paraId="56739B2D" w14:textId="77777777" w:rsidR="00EB7CDB" w:rsidRPr="00545EC0" w:rsidRDefault="00EB7CDB" w:rsidP="00EB7CDB">
            <w:pPr>
              <w:overflowPunct/>
              <w:autoSpaceDE/>
              <w:autoSpaceDN/>
              <w:adjustRightInd/>
              <w:spacing w:line="240" w:lineRule="auto"/>
              <w:jc w:val="left"/>
              <w:textAlignment w:val="auto"/>
              <w:rPr>
                <w:rFonts w:cs="Arial"/>
                <w:sz w:val="18"/>
                <w:szCs w:val="18"/>
              </w:rPr>
            </w:pPr>
            <w:r w:rsidRPr="00545EC0">
              <w:rPr>
                <w:rFonts w:cs="Arial"/>
                <w:sz w:val="18"/>
                <w:szCs w:val="18"/>
              </w:rPr>
              <w:t>VT Temenica I</w:t>
            </w:r>
          </w:p>
        </w:tc>
        <w:tc>
          <w:tcPr>
            <w:tcW w:w="640" w:type="pct"/>
            <w:shd w:val="clear" w:color="auto" w:fill="auto"/>
            <w:noWrap/>
            <w:vAlign w:val="center"/>
            <w:hideMark/>
          </w:tcPr>
          <w:p w14:paraId="2C14E41E"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64%</w:t>
            </w:r>
          </w:p>
        </w:tc>
        <w:tc>
          <w:tcPr>
            <w:tcW w:w="565" w:type="pct"/>
            <w:shd w:val="clear" w:color="auto" w:fill="auto"/>
            <w:noWrap/>
            <w:vAlign w:val="center"/>
            <w:hideMark/>
          </w:tcPr>
          <w:p w14:paraId="3880136A"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1%</w:t>
            </w:r>
          </w:p>
        </w:tc>
        <w:tc>
          <w:tcPr>
            <w:tcW w:w="550" w:type="pct"/>
            <w:shd w:val="clear" w:color="auto" w:fill="auto"/>
            <w:noWrap/>
            <w:vAlign w:val="center"/>
            <w:hideMark/>
          </w:tcPr>
          <w:p w14:paraId="24758C0C"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36%</w:t>
            </w:r>
          </w:p>
        </w:tc>
      </w:tr>
      <w:tr w:rsidR="003122F4" w:rsidRPr="00545EC0" w14:paraId="65C047D3" w14:textId="77777777" w:rsidTr="00176EFA">
        <w:trPr>
          <w:trHeight w:val="300"/>
        </w:trPr>
        <w:tc>
          <w:tcPr>
            <w:tcW w:w="669" w:type="pct"/>
            <w:shd w:val="clear" w:color="auto" w:fill="auto"/>
            <w:noWrap/>
            <w:vAlign w:val="center"/>
            <w:hideMark/>
          </w:tcPr>
          <w:p w14:paraId="74A6DEC1" w14:textId="77777777" w:rsidR="00EB7CDB" w:rsidRPr="00545EC0" w:rsidRDefault="00EB7CDB" w:rsidP="00EB7CDB">
            <w:pPr>
              <w:overflowPunct/>
              <w:autoSpaceDE/>
              <w:autoSpaceDN/>
              <w:adjustRightInd/>
              <w:spacing w:line="240" w:lineRule="auto"/>
              <w:jc w:val="left"/>
              <w:textAlignment w:val="auto"/>
              <w:rPr>
                <w:rFonts w:cs="Arial"/>
                <w:sz w:val="18"/>
                <w:szCs w:val="18"/>
              </w:rPr>
            </w:pPr>
            <w:r w:rsidRPr="00545EC0">
              <w:rPr>
                <w:rFonts w:cs="Arial"/>
                <w:sz w:val="18"/>
                <w:szCs w:val="18"/>
              </w:rPr>
              <w:t>SI192VT1</w:t>
            </w:r>
          </w:p>
        </w:tc>
        <w:tc>
          <w:tcPr>
            <w:tcW w:w="2577" w:type="pct"/>
            <w:shd w:val="clear" w:color="auto" w:fill="auto"/>
            <w:noWrap/>
            <w:vAlign w:val="center"/>
            <w:hideMark/>
          </w:tcPr>
          <w:p w14:paraId="40BC8547" w14:textId="77777777" w:rsidR="00EB7CDB" w:rsidRPr="00545EC0" w:rsidRDefault="00EB7CDB" w:rsidP="00EB7CDB">
            <w:pPr>
              <w:overflowPunct/>
              <w:autoSpaceDE/>
              <w:autoSpaceDN/>
              <w:adjustRightInd/>
              <w:spacing w:line="240" w:lineRule="auto"/>
              <w:jc w:val="left"/>
              <w:textAlignment w:val="auto"/>
              <w:rPr>
                <w:rFonts w:cs="Arial"/>
                <w:sz w:val="18"/>
                <w:szCs w:val="18"/>
              </w:rPr>
            </w:pPr>
            <w:r w:rsidRPr="00545EC0">
              <w:rPr>
                <w:rFonts w:cs="Arial"/>
                <w:sz w:val="18"/>
                <w:szCs w:val="18"/>
              </w:rPr>
              <w:t>VT Sotla Dobovec – Podčetrtek</w:t>
            </w:r>
          </w:p>
        </w:tc>
        <w:tc>
          <w:tcPr>
            <w:tcW w:w="640" w:type="pct"/>
            <w:shd w:val="clear" w:color="auto" w:fill="auto"/>
            <w:noWrap/>
            <w:vAlign w:val="center"/>
            <w:hideMark/>
          </w:tcPr>
          <w:p w14:paraId="1B51D5AE"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10%</w:t>
            </w:r>
          </w:p>
        </w:tc>
        <w:tc>
          <w:tcPr>
            <w:tcW w:w="565" w:type="pct"/>
            <w:shd w:val="clear" w:color="auto" w:fill="auto"/>
            <w:noWrap/>
            <w:vAlign w:val="center"/>
            <w:hideMark/>
          </w:tcPr>
          <w:p w14:paraId="2D7F225E"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1%</w:t>
            </w:r>
          </w:p>
        </w:tc>
        <w:tc>
          <w:tcPr>
            <w:tcW w:w="550" w:type="pct"/>
            <w:shd w:val="clear" w:color="auto" w:fill="auto"/>
            <w:noWrap/>
            <w:vAlign w:val="center"/>
            <w:hideMark/>
          </w:tcPr>
          <w:p w14:paraId="015645CC"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89%</w:t>
            </w:r>
          </w:p>
        </w:tc>
      </w:tr>
      <w:tr w:rsidR="003122F4" w:rsidRPr="00545EC0" w14:paraId="250F15CC" w14:textId="77777777" w:rsidTr="00176EFA">
        <w:trPr>
          <w:trHeight w:val="300"/>
        </w:trPr>
        <w:tc>
          <w:tcPr>
            <w:tcW w:w="669" w:type="pct"/>
            <w:shd w:val="clear" w:color="auto" w:fill="auto"/>
            <w:noWrap/>
            <w:vAlign w:val="center"/>
            <w:hideMark/>
          </w:tcPr>
          <w:p w14:paraId="1C9043A5" w14:textId="77777777" w:rsidR="00EB7CDB" w:rsidRPr="00545EC0" w:rsidRDefault="00EB7CDB" w:rsidP="00EB7CDB">
            <w:pPr>
              <w:overflowPunct/>
              <w:autoSpaceDE/>
              <w:autoSpaceDN/>
              <w:adjustRightInd/>
              <w:spacing w:line="240" w:lineRule="auto"/>
              <w:jc w:val="left"/>
              <w:textAlignment w:val="auto"/>
              <w:rPr>
                <w:rFonts w:cs="Arial"/>
                <w:sz w:val="18"/>
                <w:szCs w:val="18"/>
              </w:rPr>
            </w:pPr>
            <w:r w:rsidRPr="00545EC0">
              <w:rPr>
                <w:rFonts w:cs="Arial"/>
                <w:sz w:val="18"/>
                <w:szCs w:val="18"/>
              </w:rPr>
              <w:t>SI1VT170</w:t>
            </w:r>
          </w:p>
        </w:tc>
        <w:tc>
          <w:tcPr>
            <w:tcW w:w="2577" w:type="pct"/>
            <w:shd w:val="clear" w:color="auto" w:fill="auto"/>
            <w:noWrap/>
            <w:vAlign w:val="center"/>
            <w:hideMark/>
          </w:tcPr>
          <w:p w14:paraId="657FD5A6" w14:textId="77777777" w:rsidR="00EB7CDB" w:rsidRPr="00545EC0" w:rsidRDefault="00EB7CDB" w:rsidP="00EB7CDB">
            <w:pPr>
              <w:overflowPunct/>
              <w:autoSpaceDE/>
              <w:autoSpaceDN/>
              <w:adjustRightInd/>
              <w:spacing w:line="240" w:lineRule="auto"/>
              <w:jc w:val="left"/>
              <w:textAlignment w:val="auto"/>
              <w:rPr>
                <w:rFonts w:cs="Arial"/>
                <w:sz w:val="18"/>
                <w:szCs w:val="18"/>
              </w:rPr>
            </w:pPr>
            <w:r w:rsidRPr="00545EC0">
              <w:rPr>
                <w:rFonts w:cs="Arial"/>
                <w:sz w:val="18"/>
                <w:szCs w:val="18"/>
              </w:rPr>
              <w:t>MPVT Sava Mavčiče – Medvode</w:t>
            </w:r>
          </w:p>
        </w:tc>
        <w:tc>
          <w:tcPr>
            <w:tcW w:w="640" w:type="pct"/>
            <w:shd w:val="clear" w:color="auto" w:fill="auto"/>
            <w:noWrap/>
            <w:vAlign w:val="center"/>
            <w:hideMark/>
          </w:tcPr>
          <w:p w14:paraId="743430CC"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0%</w:t>
            </w:r>
          </w:p>
        </w:tc>
        <w:tc>
          <w:tcPr>
            <w:tcW w:w="565" w:type="pct"/>
            <w:shd w:val="clear" w:color="auto" w:fill="auto"/>
            <w:noWrap/>
            <w:vAlign w:val="center"/>
            <w:hideMark/>
          </w:tcPr>
          <w:p w14:paraId="1140E6BE"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0%</w:t>
            </w:r>
          </w:p>
        </w:tc>
        <w:tc>
          <w:tcPr>
            <w:tcW w:w="550" w:type="pct"/>
            <w:shd w:val="clear" w:color="auto" w:fill="auto"/>
            <w:noWrap/>
            <w:vAlign w:val="center"/>
            <w:hideMark/>
          </w:tcPr>
          <w:p w14:paraId="01E0B868"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100%</w:t>
            </w:r>
          </w:p>
        </w:tc>
      </w:tr>
      <w:tr w:rsidR="003122F4" w:rsidRPr="00545EC0" w14:paraId="581B3636" w14:textId="77777777" w:rsidTr="00176EFA">
        <w:trPr>
          <w:trHeight w:val="300"/>
        </w:trPr>
        <w:tc>
          <w:tcPr>
            <w:tcW w:w="669" w:type="pct"/>
            <w:shd w:val="clear" w:color="auto" w:fill="auto"/>
            <w:noWrap/>
            <w:vAlign w:val="center"/>
            <w:hideMark/>
          </w:tcPr>
          <w:p w14:paraId="4EC3E670" w14:textId="77777777" w:rsidR="00EB7CDB" w:rsidRPr="00545EC0" w:rsidRDefault="00EB7CDB" w:rsidP="00EB7CDB">
            <w:pPr>
              <w:overflowPunct/>
              <w:autoSpaceDE/>
              <w:autoSpaceDN/>
              <w:adjustRightInd/>
              <w:spacing w:line="240" w:lineRule="auto"/>
              <w:jc w:val="left"/>
              <w:textAlignment w:val="auto"/>
              <w:rPr>
                <w:rFonts w:cs="Arial"/>
                <w:sz w:val="18"/>
                <w:szCs w:val="18"/>
              </w:rPr>
            </w:pPr>
            <w:r w:rsidRPr="00545EC0">
              <w:rPr>
                <w:rFonts w:cs="Arial"/>
                <w:sz w:val="18"/>
                <w:szCs w:val="18"/>
              </w:rPr>
              <w:t>SI1VT713</w:t>
            </w:r>
          </w:p>
        </w:tc>
        <w:tc>
          <w:tcPr>
            <w:tcW w:w="2577" w:type="pct"/>
            <w:shd w:val="clear" w:color="auto" w:fill="auto"/>
            <w:noWrap/>
            <w:vAlign w:val="center"/>
            <w:hideMark/>
          </w:tcPr>
          <w:p w14:paraId="4C6C316D" w14:textId="77777777" w:rsidR="00EB7CDB" w:rsidRPr="00545EC0" w:rsidRDefault="00EB7CDB" w:rsidP="00EB7CDB">
            <w:pPr>
              <w:overflowPunct/>
              <w:autoSpaceDE/>
              <w:autoSpaceDN/>
              <w:adjustRightInd/>
              <w:spacing w:line="240" w:lineRule="auto"/>
              <w:jc w:val="left"/>
              <w:textAlignment w:val="auto"/>
              <w:rPr>
                <w:rFonts w:cs="Arial"/>
                <w:sz w:val="18"/>
                <w:szCs w:val="18"/>
              </w:rPr>
            </w:pPr>
            <w:r w:rsidRPr="00545EC0">
              <w:rPr>
                <w:rFonts w:cs="Arial"/>
                <w:sz w:val="18"/>
                <w:szCs w:val="18"/>
              </w:rPr>
              <w:t>MPVT Sava Vrhovo – Boštanj</w:t>
            </w:r>
          </w:p>
        </w:tc>
        <w:tc>
          <w:tcPr>
            <w:tcW w:w="640" w:type="pct"/>
            <w:shd w:val="clear" w:color="auto" w:fill="auto"/>
            <w:noWrap/>
            <w:vAlign w:val="center"/>
            <w:hideMark/>
          </w:tcPr>
          <w:p w14:paraId="6DB0FB29"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2%</w:t>
            </w:r>
          </w:p>
        </w:tc>
        <w:tc>
          <w:tcPr>
            <w:tcW w:w="565" w:type="pct"/>
            <w:shd w:val="clear" w:color="auto" w:fill="auto"/>
            <w:noWrap/>
            <w:vAlign w:val="center"/>
            <w:hideMark/>
          </w:tcPr>
          <w:p w14:paraId="39A0488F"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97%</w:t>
            </w:r>
          </w:p>
        </w:tc>
        <w:tc>
          <w:tcPr>
            <w:tcW w:w="550" w:type="pct"/>
            <w:shd w:val="clear" w:color="auto" w:fill="auto"/>
            <w:noWrap/>
            <w:vAlign w:val="center"/>
            <w:hideMark/>
          </w:tcPr>
          <w:p w14:paraId="550C68BE"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2%</w:t>
            </w:r>
          </w:p>
        </w:tc>
      </w:tr>
      <w:tr w:rsidR="003122F4" w:rsidRPr="00545EC0" w14:paraId="59B33047" w14:textId="77777777" w:rsidTr="00176EFA">
        <w:trPr>
          <w:trHeight w:val="300"/>
        </w:trPr>
        <w:tc>
          <w:tcPr>
            <w:tcW w:w="669" w:type="pct"/>
            <w:shd w:val="clear" w:color="auto" w:fill="auto"/>
            <w:noWrap/>
            <w:vAlign w:val="center"/>
            <w:hideMark/>
          </w:tcPr>
          <w:p w14:paraId="26FB92C1" w14:textId="77777777" w:rsidR="00EB7CDB" w:rsidRPr="00545EC0" w:rsidRDefault="00EB7CDB" w:rsidP="00EB7CDB">
            <w:pPr>
              <w:overflowPunct/>
              <w:autoSpaceDE/>
              <w:autoSpaceDN/>
              <w:adjustRightInd/>
              <w:spacing w:line="240" w:lineRule="auto"/>
              <w:jc w:val="left"/>
              <w:textAlignment w:val="auto"/>
              <w:rPr>
                <w:rFonts w:cs="Arial"/>
                <w:sz w:val="18"/>
                <w:szCs w:val="18"/>
              </w:rPr>
            </w:pPr>
            <w:r w:rsidRPr="00545EC0">
              <w:rPr>
                <w:rFonts w:cs="Arial"/>
                <w:sz w:val="18"/>
                <w:szCs w:val="18"/>
              </w:rPr>
              <w:t>SI1VT739</w:t>
            </w:r>
          </w:p>
        </w:tc>
        <w:tc>
          <w:tcPr>
            <w:tcW w:w="2577" w:type="pct"/>
            <w:shd w:val="clear" w:color="auto" w:fill="auto"/>
            <w:noWrap/>
            <w:vAlign w:val="center"/>
            <w:hideMark/>
          </w:tcPr>
          <w:p w14:paraId="1C39C77D" w14:textId="77777777" w:rsidR="00EB7CDB" w:rsidRPr="00545EC0" w:rsidRDefault="00EB7CDB" w:rsidP="00EB7CDB">
            <w:pPr>
              <w:overflowPunct/>
              <w:autoSpaceDE/>
              <w:autoSpaceDN/>
              <w:adjustRightInd/>
              <w:spacing w:line="240" w:lineRule="auto"/>
              <w:jc w:val="left"/>
              <w:textAlignment w:val="auto"/>
              <w:rPr>
                <w:rFonts w:cs="Arial"/>
                <w:sz w:val="18"/>
                <w:szCs w:val="18"/>
              </w:rPr>
            </w:pPr>
            <w:r w:rsidRPr="00545EC0">
              <w:rPr>
                <w:rFonts w:cs="Arial"/>
                <w:sz w:val="18"/>
                <w:szCs w:val="18"/>
              </w:rPr>
              <w:t>VT Sava Boštanj – Krško</w:t>
            </w:r>
          </w:p>
        </w:tc>
        <w:tc>
          <w:tcPr>
            <w:tcW w:w="640" w:type="pct"/>
            <w:shd w:val="clear" w:color="auto" w:fill="auto"/>
            <w:noWrap/>
            <w:vAlign w:val="center"/>
            <w:hideMark/>
          </w:tcPr>
          <w:p w14:paraId="6FA6C3EC"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42%</w:t>
            </w:r>
          </w:p>
        </w:tc>
        <w:tc>
          <w:tcPr>
            <w:tcW w:w="565" w:type="pct"/>
            <w:shd w:val="clear" w:color="auto" w:fill="auto"/>
            <w:noWrap/>
            <w:vAlign w:val="center"/>
            <w:hideMark/>
          </w:tcPr>
          <w:p w14:paraId="6BB739CE"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11%</w:t>
            </w:r>
          </w:p>
        </w:tc>
        <w:tc>
          <w:tcPr>
            <w:tcW w:w="550" w:type="pct"/>
            <w:shd w:val="clear" w:color="auto" w:fill="auto"/>
            <w:noWrap/>
            <w:vAlign w:val="center"/>
            <w:hideMark/>
          </w:tcPr>
          <w:p w14:paraId="6F318473"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47%</w:t>
            </w:r>
          </w:p>
        </w:tc>
      </w:tr>
      <w:tr w:rsidR="003122F4" w:rsidRPr="00545EC0" w14:paraId="19B5552D" w14:textId="77777777" w:rsidTr="00176EFA">
        <w:trPr>
          <w:trHeight w:val="300"/>
        </w:trPr>
        <w:tc>
          <w:tcPr>
            <w:tcW w:w="669" w:type="pct"/>
            <w:shd w:val="clear" w:color="auto" w:fill="auto"/>
            <w:noWrap/>
            <w:vAlign w:val="center"/>
            <w:hideMark/>
          </w:tcPr>
          <w:p w14:paraId="4A50016A" w14:textId="77777777" w:rsidR="00EB7CDB" w:rsidRPr="00545EC0" w:rsidRDefault="00EB7CDB" w:rsidP="00EB7CDB">
            <w:pPr>
              <w:overflowPunct/>
              <w:autoSpaceDE/>
              <w:autoSpaceDN/>
              <w:adjustRightInd/>
              <w:spacing w:line="240" w:lineRule="auto"/>
              <w:jc w:val="left"/>
              <w:textAlignment w:val="auto"/>
              <w:rPr>
                <w:rFonts w:cs="Arial"/>
                <w:sz w:val="18"/>
                <w:szCs w:val="18"/>
              </w:rPr>
            </w:pPr>
            <w:r w:rsidRPr="00545EC0">
              <w:rPr>
                <w:rFonts w:cs="Arial"/>
                <w:sz w:val="18"/>
                <w:szCs w:val="18"/>
              </w:rPr>
              <w:t>SI21332VT</w:t>
            </w:r>
          </w:p>
        </w:tc>
        <w:tc>
          <w:tcPr>
            <w:tcW w:w="2577" w:type="pct"/>
            <w:shd w:val="clear" w:color="auto" w:fill="auto"/>
            <w:noWrap/>
            <w:vAlign w:val="center"/>
            <w:hideMark/>
          </w:tcPr>
          <w:p w14:paraId="7A530F61" w14:textId="77777777" w:rsidR="00EB7CDB" w:rsidRPr="00545EC0" w:rsidRDefault="00EB7CDB" w:rsidP="00EB7CDB">
            <w:pPr>
              <w:overflowPunct/>
              <w:autoSpaceDE/>
              <w:autoSpaceDN/>
              <w:adjustRightInd/>
              <w:spacing w:line="240" w:lineRule="auto"/>
              <w:jc w:val="left"/>
              <w:textAlignment w:val="auto"/>
              <w:rPr>
                <w:rFonts w:cs="Arial"/>
                <w:sz w:val="18"/>
                <w:szCs w:val="18"/>
              </w:rPr>
            </w:pPr>
            <w:r w:rsidRPr="00545EC0">
              <w:rPr>
                <w:rFonts w:cs="Arial"/>
                <w:sz w:val="18"/>
                <w:szCs w:val="18"/>
              </w:rPr>
              <w:t>VT Rinža</w:t>
            </w:r>
          </w:p>
        </w:tc>
        <w:tc>
          <w:tcPr>
            <w:tcW w:w="640" w:type="pct"/>
            <w:shd w:val="clear" w:color="auto" w:fill="auto"/>
            <w:noWrap/>
            <w:vAlign w:val="center"/>
            <w:hideMark/>
          </w:tcPr>
          <w:p w14:paraId="5F81EE34"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10%</w:t>
            </w:r>
          </w:p>
        </w:tc>
        <w:tc>
          <w:tcPr>
            <w:tcW w:w="565" w:type="pct"/>
            <w:shd w:val="clear" w:color="auto" w:fill="auto"/>
            <w:noWrap/>
            <w:vAlign w:val="center"/>
            <w:hideMark/>
          </w:tcPr>
          <w:p w14:paraId="169C255F"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0%</w:t>
            </w:r>
          </w:p>
        </w:tc>
        <w:tc>
          <w:tcPr>
            <w:tcW w:w="550" w:type="pct"/>
            <w:shd w:val="clear" w:color="auto" w:fill="auto"/>
            <w:noWrap/>
            <w:vAlign w:val="center"/>
            <w:hideMark/>
          </w:tcPr>
          <w:p w14:paraId="7F52773D"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90%</w:t>
            </w:r>
          </w:p>
        </w:tc>
      </w:tr>
      <w:tr w:rsidR="003122F4" w:rsidRPr="00545EC0" w14:paraId="18B6163B" w14:textId="77777777" w:rsidTr="00176EFA">
        <w:trPr>
          <w:trHeight w:val="300"/>
        </w:trPr>
        <w:tc>
          <w:tcPr>
            <w:tcW w:w="669" w:type="pct"/>
            <w:shd w:val="clear" w:color="auto" w:fill="auto"/>
            <w:noWrap/>
            <w:vAlign w:val="center"/>
            <w:hideMark/>
          </w:tcPr>
          <w:p w14:paraId="5C91561E" w14:textId="77777777" w:rsidR="00EB7CDB" w:rsidRPr="00545EC0" w:rsidRDefault="00EB7CDB" w:rsidP="00EB7CDB">
            <w:pPr>
              <w:overflowPunct/>
              <w:autoSpaceDE/>
              <w:autoSpaceDN/>
              <w:adjustRightInd/>
              <w:spacing w:line="240" w:lineRule="auto"/>
              <w:jc w:val="left"/>
              <w:textAlignment w:val="auto"/>
              <w:rPr>
                <w:rFonts w:cs="Arial"/>
                <w:sz w:val="18"/>
                <w:szCs w:val="18"/>
              </w:rPr>
            </w:pPr>
            <w:r w:rsidRPr="00545EC0">
              <w:rPr>
                <w:rFonts w:cs="Arial"/>
                <w:sz w:val="18"/>
                <w:szCs w:val="18"/>
              </w:rPr>
              <w:t>SI368VT9</w:t>
            </w:r>
          </w:p>
        </w:tc>
        <w:tc>
          <w:tcPr>
            <w:tcW w:w="2577" w:type="pct"/>
            <w:shd w:val="clear" w:color="auto" w:fill="auto"/>
            <w:noWrap/>
            <w:vAlign w:val="center"/>
            <w:hideMark/>
          </w:tcPr>
          <w:p w14:paraId="4EA1B4A2" w14:textId="77777777" w:rsidR="00EB7CDB" w:rsidRPr="00545EC0" w:rsidRDefault="00EB7CDB" w:rsidP="00EB7CDB">
            <w:pPr>
              <w:overflowPunct/>
              <w:autoSpaceDE/>
              <w:autoSpaceDN/>
              <w:adjustRightInd/>
              <w:spacing w:line="240" w:lineRule="auto"/>
              <w:jc w:val="left"/>
              <w:textAlignment w:val="auto"/>
              <w:rPr>
                <w:rFonts w:cs="Arial"/>
                <w:sz w:val="18"/>
                <w:szCs w:val="18"/>
              </w:rPr>
            </w:pPr>
            <w:r w:rsidRPr="00545EC0">
              <w:rPr>
                <w:rFonts w:cs="Arial"/>
                <w:sz w:val="18"/>
                <w:szCs w:val="18"/>
              </w:rPr>
              <w:t>VT Polskava Zgornja Polskava – Tržec</w:t>
            </w:r>
          </w:p>
        </w:tc>
        <w:tc>
          <w:tcPr>
            <w:tcW w:w="640" w:type="pct"/>
            <w:shd w:val="clear" w:color="auto" w:fill="auto"/>
            <w:noWrap/>
            <w:vAlign w:val="center"/>
            <w:hideMark/>
          </w:tcPr>
          <w:p w14:paraId="2C9B8EBC"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45%</w:t>
            </w:r>
          </w:p>
        </w:tc>
        <w:tc>
          <w:tcPr>
            <w:tcW w:w="565" w:type="pct"/>
            <w:shd w:val="clear" w:color="auto" w:fill="auto"/>
            <w:noWrap/>
            <w:vAlign w:val="center"/>
            <w:hideMark/>
          </w:tcPr>
          <w:p w14:paraId="66BF7AA4"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4%</w:t>
            </w:r>
          </w:p>
        </w:tc>
        <w:tc>
          <w:tcPr>
            <w:tcW w:w="550" w:type="pct"/>
            <w:shd w:val="clear" w:color="auto" w:fill="auto"/>
            <w:noWrap/>
            <w:vAlign w:val="center"/>
            <w:hideMark/>
          </w:tcPr>
          <w:p w14:paraId="5AD0D632"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50%</w:t>
            </w:r>
          </w:p>
        </w:tc>
      </w:tr>
      <w:tr w:rsidR="003122F4" w:rsidRPr="00545EC0" w14:paraId="333F3EE2" w14:textId="77777777" w:rsidTr="00176EFA">
        <w:trPr>
          <w:trHeight w:val="300"/>
        </w:trPr>
        <w:tc>
          <w:tcPr>
            <w:tcW w:w="669" w:type="pct"/>
            <w:shd w:val="clear" w:color="auto" w:fill="auto"/>
            <w:noWrap/>
            <w:vAlign w:val="center"/>
            <w:hideMark/>
          </w:tcPr>
          <w:p w14:paraId="1C7F95A6" w14:textId="77777777" w:rsidR="00EB7CDB" w:rsidRPr="00545EC0" w:rsidRDefault="00EB7CDB" w:rsidP="00EB7CDB">
            <w:pPr>
              <w:overflowPunct/>
              <w:autoSpaceDE/>
              <w:autoSpaceDN/>
              <w:adjustRightInd/>
              <w:spacing w:line="240" w:lineRule="auto"/>
              <w:jc w:val="left"/>
              <w:textAlignment w:val="auto"/>
              <w:rPr>
                <w:rFonts w:cs="Arial"/>
                <w:sz w:val="18"/>
                <w:szCs w:val="18"/>
              </w:rPr>
            </w:pPr>
            <w:r w:rsidRPr="00545EC0">
              <w:rPr>
                <w:rFonts w:cs="Arial"/>
                <w:sz w:val="18"/>
                <w:szCs w:val="18"/>
              </w:rPr>
              <w:t>SI38VT33</w:t>
            </w:r>
          </w:p>
        </w:tc>
        <w:tc>
          <w:tcPr>
            <w:tcW w:w="2577" w:type="pct"/>
            <w:shd w:val="clear" w:color="auto" w:fill="auto"/>
            <w:noWrap/>
            <w:vAlign w:val="center"/>
            <w:hideMark/>
          </w:tcPr>
          <w:p w14:paraId="659CCE54" w14:textId="77777777" w:rsidR="00EB7CDB" w:rsidRPr="00545EC0" w:rsidRDefault="00EB7CDB" w:rsidP="00EB7CDB">
            <w:pPr>
              <w:overflowPunct/>
              <w:autoSpaceDE/>
              <w:autoSpaceDN/>
              <w:adjustRightInd/>
              <w:spacing w:line="240" w:lineRule="auto"/>
              <w:jc w:val="left"/>
              <w:textAlignment w:val="auto"/>
              <w:rPr>
                <w:rFonts w:cs="Arial"/>
                <w:sz w:val="18"/>
                <w:szCs w:val="18"/>
              </w:rPr>
            </w:pPr>
            <w:r w:rsidRPr="00545EC0">
              <w:rPr>
                <w:rFonts w:cs="Arial"/>
                <w:sz w:val="18"/>
                <w:szCs w:val="18"/>
              </w:rPr>
              <w:t>VT Pesnica državna meja –</w:t>
            </w:r>
            <w:r w:rsidRPr="00545EC0">
              <w:rPr>
                <w:rFonts w:cs="Arial"/>
                <w:sz w:val="18"/>
                <w:szCs w:val="18"/>
              </w:rPr>
              <w:br/>
              <w:t>zadrževalnik Perniško jezero</w:t>
            </w:r>
          </w:p>
        </w:tc>
        <w:tc>
          <w:tcPr>
            <w:tcW w:w="640" w:type="pct"/>
            <w:shd w:val="clear" w:color="auto" w:fill="auto"/>
            <w:noWrap/>
            <w:vAlign w:val="center"/>
            <w:hideMark/>
          </w:tcPr>
          <w:p w14:paraId="4BA4623A"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20%</w:t>
            </w:r>
          </w:p>
        </w:tc>
        <w:tc>
          <w:tcPr>
            <w:tcW w:w="565" w:type="pct"/>
            <w:shd w:val="clear" w:color="auto" w:fill="auto"/>
            <w:noWrap/>
            <w:vAlign w:val="center"/>
            <w:hideMark/>
          </w:tcPr>
          <w:p w14:paraId="7C59329E"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0%</w:t>
            </w:r>
          </w:p>
        </w:tc>
        <w:tc>
          <w:tcPr>
            <w:tcW w:w="550" w:type="pct"/>
            <w:shd w:val="clear" w:color="auto" w:fill="auto"/>
            <w:noWrap/>
            <w:vAlign w:val="center"/>
            <w:hideMark/>
          </w:tcPr>
          <w:p w14:paraId="04F7D8A7"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79%</w:t>
            </w:r>
          </w:p>
        </w:tc>
      </w:tr>
      <w:tr w:rsidR="003122F4" w:rsidRPr="00545EC0" w14:paraId="4AC077FD" w14:textId="77777777" w:rsidTr="00176EFA">
        <w:trPr>
          <w:trHeight w:val="300"/>
        </w:trPr>
        <w:tc>
          <w:tcPr>
            <w:tcW w:w="669" w:type="pct"/>
            <w:shd w:val="clear" w:color="auto" w:fill="auto"/>
            <w:noWrap/>
            <w:vAlign w:val="center"/>
            <w:hideMark/>
          </w:tcPr>
          <w:p w14:paraId="1C5C3121" w14:textId="77777777" w:rsidR="00EB7CDB" w:rsidRPr="00545EC0" w:rsidRDefault="00EB7CDB" w:rsidP="00EB7CDB">
            <w:pPr>
              <w:overflowPunct/>
              <w:autoSpaceDE/>
              <w:autoSpaceDN/>
              <w:adjustRightInd/>
              <w:spacing w:line="240" w:lineRule="auto"/>
              <w:jc w:val="left"/>
              <w:textAlignment w:val="auto"/>
              <w:rPr>
                <w:rFonts w:cs="Arial"/>
                <w:sz w:val="18"/>
                <w:szCs w:val="18"/>
              </w:rPr>
            </w:pPr>
            <w:r w:rsidRPr="00545EC0">
              <w:rPr>
                <w:rFonts w:cs="Arial"/>
                <w:sz w:val="18"/>
                <w:szCs w:val="18"/>
              </w:rPr>
              <w:t>SI38VT90</w:t>
            </w:r>
          </w:p>
        </w:tc>
        <w:tc>
          <w:tcPr>
            <w:tcW w:w="2577" w:type="pct"/>
            <w:shd w:val="clear" w:color="auto" w:fill="auto"/>
            <w:noWrap/>
            <w:vAlign w:val="center"/>
            <w:hideMark/>
          </w:tcPr>
          <w:p w14:paraId="17D58E57" w14:textId="77777777" w:rsidR="00EB7CDB" w:rsidRPr="00545EC0" w:rsidRDefault="00EB7CDB" w:rsidP="00EB7CDB">
            <w:pPr>
              <w:overflowPunct/>
              <w:autoSpaceDE/>
              <w:autoSpaceDN/>
              <w:adjustRightInd/>
              <w:spacing w:line="240" w:lineRule="auto"/>
              <w:jc w:val="left"/>
              <w:textAlignment w:val="auto"/>
              <w:rPr>
                <w:rFonts w:cs="Arial"/>
                <w:sz w:val="18"/>
                <w:szCs w:val="18"/>
              </w:rPr>
            </w:pPr>
            <w:r w:rsidRPr="00545EC0">
              <w:rPr>
                <w:rFonts w:cs="Arial"/>
                <w:sz w:val="18"/>
                <w:szCs w:val="18"/>
              </w:rPr>
              <w:t>VT Pesnica zadrževalnik Perniško jezero – Ormož</w:t>
            </w:r>
          </w:p>
        </w:tc>
        <w:tc>
          <w:tcPr>
            <w:tcW w:w="640" w:type="pct"/>
            <w:shd w:val="clear" w:color="auto" w:fill="auto"/>
            <w:noWrap/>
            <w:vAlign w:val="center"/>
            <w:hideMark/>
          </w:tcPr>
          <w:p w14:paraId="76C260CA"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17%</w:t>
            </w:r>
          </w:p>
        </w:tc>
        <w:tc>
          <w:tcPr>
            <w:tcW w:w="565" w:type="pct"/>
            <w:shd w:val="clear" w:color="auto" w:fill="auto"/>
            <w:noWrap/>
            <w:vAlign w:val="center"/>
            <w:hideMark/>
          </w:tcPr>
          <w:p w14:paraId="1A0826A3"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0%</w:t>
            </w:r>
          </w:p>
        </w:tc>
        <w:tc>
          <w:tcPr>
            <w:tcW w:w="550" w:type="pct"/>
            <w:shd w:val="clear" w:color="auto" w:fill="auto"/>
            <w:noWrap/>
            <w:vAlign w:val="center"/>
            <w:hideMark/>
          </w:tcPr>
          <w:p w14:paraId="45BEFB6E"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83%</w:t>
            </w:r>
          </w:p>
        </w:tc>
      </w:tr>
      <w:tr w:rsidR="003122F4" w:rsidRPr="00545EC0" w14:paraId="082B35DB" w14:textId="77777777" w:rsidTr="00176EFA">
        <w:trPr>
          <w:trHeight w:val="300"/>
        </w:trPr>
        <w:tc>
          <w:tcPr>
            <w:tcW w:w="669" w:type="pct"/>
            <w:shd w:val="clear" w:color="auto" w:fill="auto"/>
            <w:noWrap/>
            <w:vAlign w:val="center"/>
            <w:hideMark/>
          </w:tcPr>
          <w:p w14:paraId="54C7F442" w14:textId="77777777" w:rsidR="00EB7CDB" w:rsidRPr="00545EC0" w:rsidRDefault="00EB7CDB" w:rsidP="00EB7CDB">
            <w:pPr>
              <w:overflowPunct/>
              <w:autoSpaceDE/>
              <w:autoSpaceDN/>
              <w:adjustRightInd/>
              <w:spacing w:line="240" w:lineRule="auto"/>
              <w:jc w:val="left"/>
              <w:textAlignment w:val="auto"/>
              <w:rPr>
                <w:rFonts w:cs="Arial"/>
                <w:sz w:val="18"/>
                <w:szCs w:val="18"/>
              </w:rPr>
            </w:pPr>
            <w:r w:rsidRPr="00545EC0">
              <w:rPr>
                <w:rFonts w:cs="Arial"/>
                <w:sz w:val="18"/>
                <w:szCs w:val="18"/>
              </w:rPr>
              <w:t>SI434VT51</w:t>
            </w:r>
          </w:p>
        </w:tc>
        <w:tc>
          <w:tcPr>
            <w:tcW w:w="2577" w:type="pct"/>
            <w:shd w:val="clear" w:color="auto" w:fill="auto"/>
            <w:noWrap/>
            <w:vAlign w:val="center"/>
            <w:hideMark/>
          </w:tcPr>
          <w:p w14:paraId="15F26F88" w14:textId="77777777" w:rsidR="00EB7CDB" w:rsidRPr="00545EC0" w:rsidRDefault="00EB7CDB" w:rsidP="00EB7CDB">
            <w:pPr>
              <w:overflowPunct/>
              <w:autoSpaceDE/>
              <w:autoSpaceDN/>
              <w:adjustRightInd/>
              <w:spacing w:line="240" w:lineRule="auto"/>
              <w:jc w:val="left"/>
              <w:textAlignment w:val="auto"/>
              <w:rPr>
                <w:rFonts w:cs="Arial"/>
                <w:sz w:val="18"/>
                <w:szCs w:val="18"/>
              </w:rPr>
            </w:pPr>
            <w:r w:rsidRPr="00545EC0">
              <w:rPr>
                <w:rFonts w:cs="Arial"/>
                <w:sz w:val="18"/>
                <w:szCs w:val="18"/>
              </w:rPr>
              <w:t>VT Ščavnica povirje – zadrževalnik Gajševsko jezero</w:t>
            </w:r>
          </w:p>
        </w:tc>
        <w:tc>
          <w:tcPr>
            <w:tcW w:w="640" w:type="pct"/>
            <w:shd w:val="clear" w:color="auto" w:fill="auto"/>
            <w:noWrap/>
            <w:vAlign w:val="center"/>
            <w:hideMark/>
          </w:tcPr>
          <w:p w14:paraId="10AD68EF"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39%</w:t>
            </w:r>
          </w:p>
        </w:tc>
        <w:tc>
          <w:tcPr>
            <w:tcW w:w="565" w:type="pct"/>
            <w:shd w:val="clear" w:color="auto" w:fill="auto"/>
            <w:noWrap/>
            <w:vAlign w:val="center"/>
            <w:hideMark/>
          </w:tcPr>
          <w:p w14:paraId="679F58F6"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0%</w:t>
            </w:r>
          </w:p>
        </w:tc>
        <w:tc>
          <w:tcPr>
            <w:tcW w:w="550" w:type="pct"/>
            <w:shd w:val="clear" w:color="auto" w:fill="auto"/>
            <w:noWrap/>
            <w:vAlign w:val="center"/>
            <w:hideMark/>
          </w:tcPr>
          <w:p w14:paraId="6724C1C9"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61%</w:t>
            </w:r>
          </w:p>
        </w:tc>
      </w:tr>
      <w:tr w:rsidR="003122F4" w:rsidRPr="00545EC0" w14:paraId="70B92C7F" w14:textId="77777777" w:rsidTr="00176EFA">
        <w:trPr>
          <w:trHeight w:val="300"/>
        </w:trPr>
        <w:tc>
          <w:tcPr>
            <w:tcW w:w="669" w:type="pct"/>
            <w:shd w:val="clear" w:color="auto" w:fill="auto"/>
            <w:noWrap/>
            <w:vAlign w:val="center"/>
            <w:hideMark/>
          </w:tcPr>
          <w:p w14:paraId="7CBDD35E" w14:textId="77777777" w:rsidR="00EB7CDB" w:rsidRPr="00545EC0" w:rsidRDefault="00EB7CDB" w:rsidP="00EB7CDB">
            <w:pPr>
              <w:overflowPunct/>
              <w:autoSpaceDE/>
              <w:autoSpaceDN/>
              <w:adjustRightInd/>
              <w:spacing w:line="240" w:lineRule="auto"/>
              <w:jc w:val="left"/>
              <w:textAlignment w:val="auto"/>
              <w:rPr>
                <w:rFonts w:cs="Arial"/>
                <w:sz w:val="18"/>
                <w:szCs w:val="18"/>
              </w:rPr>
            </w:pPr>
            <w:r w:rsidRPr="00545EC0">
              <w:rPr>
                <w:rFonts w:cs="Arial"/>
                <w:sz w:val="18"/>
                <w:szCs w:val="18"/>
              </w:rPr>
              <w:t>SI4426VT2</w:t>
            </w:r>
          </w:p>
        </w:tc>
        <w:tc>
          <w:tcPr>
            <w:tcW w:w="2577" w:type="pct"/>
            <w:shd w:val="clear" w:color="auto" w:fill="auto"/>
            <w:noWrap/>
            <w:vAlign w:val="center"/>
            <w:hideMark/>
          </w:tcPr>
          <w:p w14:paraId="1962C1ED" w14:textId="77777777" w:rsidR="00EB7CDB" w:rsidRPr="00545EC0" w:rsidRDefault="00EB7CDB" w:rsidP="00EB7CDB">
            <w:pPr>
              <w:overflowPunct/>
              <w:autoSpaceDE/>
              <w:autoSpaceDN/>
              <w:adjustRightInd/>
              <w:spacing w:line="240" w:lineRule="auto"/>
              <w:jc w:val="left"/>
              <w:textAlignment w:val="auto"/>
              <w:rPr>
                <w:rFonts w:cs="Arial"/>
                <w:sz w:val="18"/>
                <w:szCs w:val="18"/>
              </w:rPr>
            </w:pPr>
            <w:r w:rsidRPr="00545EC0">
              <w:rPr>
                <w:rFonts w:cs="Arial"/>
                <w:sz w:val="18"/>
                <w:szCs w:val="18"/>
              </w:rPr>
              <w:t>VT Kobiljski potok državna meja – Ledava</w:t>
            </w:r>
          </w:p>
        </w:tc>
        <w:tc>
          <w:tcPr>
            <w:tcW w:w="640" w:type="pct"/>
            <w:shd w:val="clear" w:color="auto" w:fill="auto"/>
            <w:noWrap/>
            <w:vAlign w:val="center"/>
            <w:hideMark/>
          </w:tcPr>
          <w:p w14:paraId="7CB64F7A"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100%</w:t>
            </w:r>
          </w:p>
        </w:tc>
        <w:tc>
          <w:tcPr>
            <w:tcW w:w="565" w:type="pct"/>
            <w:shd w:val="clear" w:color="auto" w:fill="auto"/>
            <w:noWrap/>
            <w:vAlign w:val="center"/>
            <w:hideMark/>
          </w:tcPr>
          <w:p w14:paraId="7913E5DD"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0%</w:t>
            </w:r>
          </w:p>
        </w:tc>
        <w:tc>
          <w:tcPr>
            <w:tcW w:w="550" w:type="pct"/>
            <w:shd w:val="clear" w:color="auto" w:fill="auto"/>
            <w:noWrap/>
            <w:vAlign w:val="center"/>
            <w:hideMark/>
          </w:tcPr>
          <w:p w14:paraId="0B665AE1"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0%</w:t>
            </w:r>
          </w:p>
        </w:tc>
      </w:tr>
      <w:tr w:rsidR="003122F4" w:rsidRPr="00545EC0" w14:paraId="390440BC" w14:textId="77777777" w:rsidTr="00176EFA">
        <w:trPr>
          <w:trHeight w:val="300"/>
        </w:trPr>
        <w:tc>
          <w:tcPr>
            <w:tcW w:w="669" w:type="pct"/>
            <w:shd w:val="clear" w:color="auto" w:fill="auto"/>
            <w:noWrap/>
            <w:vAlign w:val="center"/>
            <w:hideMark/>
          </w:tcPr>
          <w:p w14:paraId="0AECFE46" w14:textId="77777777" w:rsidR="00EB7CDB" w:rsidRPr="00545EC0" w:rsidRDefault="00EB7CDB" w:rsidP="00EB7CDB">
            <w:pPr>
              <w:overflowPunct/>
              <w:autoSpaceDE/>
              <w:autoSpaceDN/>
              <w:adjustRightInd/>
              <w:spacing w:line="240" w:lineRule="auto"/>
              <w:jc w:val="left"/>
              <w:textAlignment w:val="auto"/>
              <w:rPr>
                <w:rFonts w:cs="Arial"/>
                <w:sz w:val="18"/>
                <w:szCs w:val="18"/>
              </w:rPr>
            </w:pPr>
            <w:r w:rsidRPr="00545EC0">
              <w:rPr>
                <w:rFonts w:cs="Arial"/>
                <w:sz w:val="18"/>
                <w:szCs w:val="18"/>
              </w:rPr>
              <w:t>SI442VT11</w:t>
            </w:r>
          </w:p>
        </w:tc>
        <w:tc>
          <w:tcPr>
            <w:tcW w:w="2577" w:type="pct"/>
            <w:shd w:val="clear" w:color="auto" w:fill="auto"/>
            <w:noWrap/>
            <w:vAlign w:val="center"/>
            <w:hideMark/>
          </w:tcPr>
          <w:p w14:paraId="40E379E7" w14:textId="77777777" w:rsidR="00EB7CDB" w:rsidRPr="00545EC0" w:rsidRDefault="00EB7CDB" w:rsidP="00EB7CDB">
            <w:pPr>
              <w:overflowPunct/>
              <w:autoSpaceDE/>
              <w:autoSpaceDN/>
              <w:adjustRightInd/>
              <w:spacing w:line="240" w:lineRule="auto"/>
              <w:jc w:val="left"/>
              <w:textAlignment w:val="auto"/>
              <w:rPr>
                <w:rFonts w:cs="Arial"/>
                <w:sz w:val="18"/>
                <w:szCs w:val="18"/>
              </w:rPr>
            </w:pPr>
            <w:r w:rsidRPr="00545EC0">
              <w:rPr>
                <w:rFonts w:cs="Arial"/>
                <w:sz w:val="18"/>
                <w:szCs w:val="18"/>
              </w:rPr>
              <w:t>VT Ledava državna meja – zadrževalnik Ledavsko jezero</w:t>
            </w:r>
          </w:p>
        </w:tc>
        <w:tc>
          <w:tcPr>
            <w:tcW w:w="640" w:type="pct"/>
            <w:shd w:val="clear" w:color="auto" w:fill="auto"/>
            <w:noWrap/>
            <w:vAlign w:val="center"/>
            <w:hideMark/>
          </w:tcPr>
          <w:p w14:paraId="71C86EC7"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0%</w:t>
            </w:r>
          </w:p>
        </w:tc>
        <w:tc>
          <w:tcPr>
            <w:tcW w:w="565" w:type="pct"/>
            <w:shd w:val="clear" w:color="auto" w:fill="auto"/>
            <w:noWrap/>
            <w:vAlign w:val="center"/>
            <w:hideMark/>
          </w:tcPr>
          <w:p w14:paraId="314EBCA8"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0%</w:t>
            </w:r>
          </w:p>
        </w:tc>
        <w:tc>
          <w:tcPr>
            <w:tcW w:w="550" w:type="pct"/>
            <w:shd w:val="clear" w:color="auto" w:fill="auto"/>
            <w:noWrap/>
            <w:vAlign w:val="center"/>
            <w:hideMark/>
          </w:tcPr>
          <w:p w14:paraId="34A85651"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100%</w:t>
            </w:r>
          </w:p>
        </w:tc>
      </w:tr>
      <w:tr w:rsidR="00C278A2" w:rsidRPr="00545EC0" w14:paraId="473B7D91" w14:textId="77777777" w:rsidTr="00176EFA">
        <w:trPr>
          <w:trHeight w:val="300"/>
        </w:trPr>
        <w:tc>
          <w:tcPr>
            <w:tcW w:w="669" w:type="pct"/>
            <w:shd w:val="clear" w:color="auto" w:fill="auto"/>
            <w:noWrap/>
            <w:vAlign w:val="center"/>
            <w:hideMark/>
          </w:tcPr>
          <w:p w14:paraId="733447EE" w14:textId="77777777" w:rsidR="00EB7CDB" w:rsidRPr="00545EC0" w:rsidRDefault="00EB7CDB" w:rsidP="00EB7CDB">
            <w:pPr>
              <w:overflowPunct/>
              <w:autoSpaceDE/>
              <w:autoSpaceDN/>
              <w:adjustRightInd/>
              <w:spacing w:line="240" w:lineRule="auto"/>
              <w:jc w:val="left"/>
              <w:textAlignment w:val="auto"/>
              <w:rPr>
                <w:rFonts w:cs="Arial"/>
                <w:sz w:val="18"/>
                <w:szCs w:val="18"/>
              </w:rPr>
            </w:pPr>
            <w:r w:rsidRPr="00545EC0">
              <w:rPr>
                <w:rFonts w:cs="Arial"/>
                <w:sz w:val="18"/>
                <w:szCs w:val="18"/>
              </w:rPr>
              <w:t>SI442VT91</w:t>
            </w:r>
          </w:p>
        </w:tc>
        <w:tc>
          <w:tcPr>
            <w:tcW w:w="2577" w:type="pct"/>
            <w:shd w:val="clear" w:color="auto" w:fill="auto"/>
            <w:noWrap/>
            <w:vAlign w:val="center"/>
            <w:hideMark/>
          </w:tcPr>
          <w:p w14:paraId="37B87B49" w14:textId="77777777" w:rsidR="00EB7CDB" w:rsidRPr="00545EC0" w:rsidRDefault="00EB7CDB" w:rsidP="00EB7CDB">
            <w:pPr>
              <w:overflowPunct/>
              <w:autoSpaceDE/>
              <w:autoSpaceDN/>
              <w:adjustRightInd/>
              <w:spacing w:line="240" w:lineRule="auto"/>
              <w:jc w:val="left"/>
              <w:textAlignment w:val="auto"/>
              <w:rPr>
                <w:rFonts w:cs="Arial"/>
                <w:sz w:val="18"/>
                <w:szCs w:val="18"/>
              </w:rPr>
            </w:pPr>
            <w:r w:rsidRPr="00545EC0">
              <w:rPr>
                <w:rFonts w:cs="Arial"/>
                <w:sz w:val="18"/>
                <w:szCs w:val="18"/>
              </w:rPr>
              <w:t>VT Ledava zadrževalnik Ledavsko jezero – sotočje z Veliko Krko</w:t>
            </w:r>
          </w:p>
        </w:tc>
        <w:tc>
          <w:tcPr>
            <w:tcW w:w="640" w:type="pct"/>
            <w:shd w:val="clear" w:color="auto" w:fill="auto"/>
            <w:noWrap/>
            <w:vAlign w:val="center"/>
            <w:hideMark/>
          </w:tcPr>
          <w:p w14:paraId="3B5E62E1"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12%</w:t>
            </w:r>
          </w:p>
        </w:tc>
        <w:tc>
          <w:tcPr>
            <w:tcW w:w="565" w:type="pct"/>
            <w:shd w:val="clear" w:color="auto" w:fill="auto"/>
            <w:noWrap/>
            <w:vAlign w:val="center"/>
            <w:hideMark/>
          </w:tcPr>
          <w:p w14:paraId="2F0436E5"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18%</w:t>
            </w:r>
          </w:p>
        </w:tc>
        <w:tc>
          <w:tcPr>
            <w:tcW w:w="550" w:type="pct"/>
            <w:shd w:val="clear" w:color="auto" w:fill="auto"/>
            <w:noWrap/>
            <w:vAlign w:val="center"/>
            <w:hideMark/>
          </w:tcPr>
          <w:p w14:paraId="4FBAAAE9" w14:textId="77777777" w:rsidR="00EB7CDB" w:rsidRPr="00545EC0" w:rsidRDefault="00EB7CDB" w:rsidP="00EB7CDB">
            <w:pPr>
              <w:overflowPunct/>
              <w:autoSpaceDE/>
              <w:autoSpaceDN/>
              <w:adjustRightInd/>
              <w:spacing w:line="240" w:lineRule="auto"/>
              <w:jc w:val="center"/>
              <w:textAlignment w:val="auto"/>
              <w:rPr>
                <w:rFonts w:cs="Arial"/>
                <w:sz w:val="18"/>
                <w:szCs w:val="18"/>
              </w:rPr>
            </w:pPr>
            <w:r w:rsidRPr="00545EC0">
              <w:rPr>
                <w:rFonts w:cs="Arial"/>
                <w:sz w:val="18"/>
                <w:szCs w:val="18"/>
              </w:rPr>
              <w:t>70%</w:t>
            </w:r>
          </w:p>
        </w:tc>
      </w:tr>
    </w:tbl>
    <w:p w14:paraId="54180D0F" w14:textId="77777777" w:rsidR="003500B4" w:rsidRPr="00545EC0" w:rsidRDefault="003500B4" w:rsidP="00DC21D7">
      <w:pPr>
        <w:rPr>
          <w:rFonts w:cs="Arial"/>
        </w:rPr>
      </w:pPr>
    </w:p>
    <w:p w14:paraId="334410BA" w14:textId="77777777" w:rsidR="00DC21D7" w:rsidRPr="00545EC0" w:rsidRDefault="00DC21D7" w:rsidP="00DC21D7">
      <w:pPr>
        <w:rPr>
          <w:b/>
          <w:i/>
        </w:rPr>
      </w:pPr>
      <w:r w:rsidRPr="00545EC0">
        <w:rPr>
          <w:b/>
          <w:i/>
        </w:rPr>
        <w:t>Pomembni vplivi na stanje površinskih voda zaradi onesnaženja s prednostnimi snovmi in/ali posebnimi onesnaževali</w:t>
      </w:r>
    </w:p>
    <w:p w14:paraId="55426DE9" w14:textId="77777777" w:rsidR="00DC21D7" w:rsidRPr="00545EC0" w:rsidRDefault="00DC21D7" w:rsidP="00DC21D7">
      <w:pPr>
        <w:spacing w:line="276" w:lineRule="auto"/>
        <w:rPr>
          <w:rFonts w:cs="Arial"/>
          <w:szCs w:val="20"/>
        </w:rPr>
      </w:pPr>
    </w:p>
    <w:p w14:paraId="707F6247" w14:textId="77777777" w:rsidR="00DC21D7" w:rsidRPr="00545EC0" w:rsidRDefault="00DC21D7" w:rsidP="00DC21D7">
      <w:pPr>
        <w:tabs>
          <w:tab w:val="center" w:pos="426"/>
        </w:tabs>
        <w:overflowPunct/>
        <w:autoSpaceDE/>
        <w:autoSpaceDN/>
        <w:adjustRightInd/>
        <w:contextualSpacing/>
        <w:textAlignment w:val="auto"/>
        <w:rPr>
          <w:rFonts w:cs="Arial"/>
          <w:szCs w:val="22"/>
        </w:rPr>
      </w:pPr>
      <w:r w:rsidRPr="00545EC0">
        <w:rPr>
          <w:rFonts w:cs="Arial"/>
        </w:rPr>
        <w:t xml:space="preserve">Pomembni vplivi na stanje površinskih voda zaradi onesnaženja s prednostnimi snovmi in/ali posebnimi onesnaževali so za posamezna vodna telesa opredeljeni na podlagi kombinacije prepoznanih pomembnih obremenitev </w:t>
      </w:r>
      <w:r w:rsidRPr="00545EC0">
        <w:rPr>
          <w:rFonts w:cs="Arial"/>
          <w:szCs w:val="22"/>
        </w:rPr>
        <w:t xml:space="preserve">in </w:t>
      </w:r>
      <w:r w:rsidRPr="00545EC0">
        <w:rPr>
          <w:rFonts w:cs="Arial"/>
        </w:rPr>
        <w:t xml:space="preserve">na podlagi podatkov </w:t>
      </w:r>
      <w:r w:rsidRPr="00545EC0">
        <w:rPr>
          <w:rFonts w:cs="Arial"/>
          <w:szCs w:val="22"/>
        </w:rPr>
        <w:t xml:space="preserve">ocene stanja voda, upoštevajoč raven zaupanja ocene stanja in preseganja okoljskih standardov kakovosti, ki so določena s predpisom, ki ureja stanje površinskih voda.  </w:t>
      </w:r>
    </w:p>
    <w:p w14:paraId="61EA2771" w14:textId="77777777" w:rsidR="00DC21D7" w:rsidRPr="00545EC0" w:rsidRDefault="00DC21D7" w:rsidP="00DC21D7">
      <w:pPr>
        <w:tabs>
          <w:tab w:val="center" w:pos="426"/>
        </w:tabs>
        <w:overflowPunct/>
        <w:autoSpaceDE/>
        <w:autoSpaceDN/>
        <w:adjustRightInd/>
        <w:contextualSpacing/>
        <w:textAlignment w:val="auto"/>
        <w:rPr>
          <w:rFonts w:cs="Arial"/>
          <w:szCs w:val="22"/>
        </w:rPr>
      </w:pPr>
    </w:p>
    <w:p w14:paraId="6EF7F83C" w14:textId="77777777" w:rsidR="00DC21D7" w:rsidRPr="00545EC0" w:rsidRDefault="00DC21D7" w:rsidP="00DC21D7">
      <w:pPr>
        <w:tabs>
          <w:tab w:val="center" w:pos="426"/>
        </w:tabs>
        <w:overflowPunct/>
        <w:autoSpaceDE/>
        <w:autoSpaceDN/>
        <w:adjustRightInd/>
        <w:contextualSpacing/>
        <w:textAlignment w:val="auto"/>
        <w:rPr>
          <w:rFonts w:cs="Arial"/>
        </w:rPr>
      </w:pPr>
      <w:r w:rsidRPr="00545EC0">
        <w:rPr>
          <w:rFonts w:cs="Arial"/>
          <w:szCs w:val="22"/>
        </w:rPr>
        <w:lastRenderedPageBreak/>
        <w:t xml:space="preserve">Obremenitve površinskih voda, ki se v kombinaciji z oceno stanja (kemijsko stanje in ekološko stanje – posebna onesnaževala) upoštevajo pri oceni pomembnih vplivov </w:t>
      </w:r>
      <w:r w:rsidRPr="00545EC0">
        <w:rPr>
          <w:rFonts w:cs="Arial"/>
        </w:rPr>
        <w:t>na stanje površinskih voda zaradi onesnaženja s prednostnimi snovmi in/ali posebnimi onesnaževali so:</w:t>
      </w:r>
    </w:p>
    <w:p w14:paraId="39FAFC00" w14:textId="77777777" w:rsidR="00DC21D7" w:rsidRPr="00545EC0" w:rsidRDefault="00DC21D7" w:rsidP="00DD37C5">
      <w:pPr>
        <w:pStyle w:val="Odstavekseznama"/>
        <w:numPr>
          <w:ilvl w:val="0"/>
          <w:numId w:val="32"/>
        </w:numPr>
        <w:tabs>
          <w:tab w:val="center" w:pos="426"/>
        </w:tabs>
        <w:overflowPunct/>
        <w:autoSpaceDE/>
        <w:autoSpaceDN/>
        <w:adjustRightInd/>
        <w:contextualSpacing/>
        <w:textAlignment w:val="auto"/>
        <w:rPr>
          <w:rFonts w:cs="Arial"/>
        </w:rPr>
      </w:pPr>
      <w:r w:rsidRPr="00545EC0">
        <w:rPr>
          <w:lang w:val="sl-SI"/>
        </w:rPr>
        <w:t>točkovni viri industrijske odpadne vode</w:t>
      </w:r>
      <w:r w:rsidRPr="00545EC0">
        <w:t xml:space="preserve">, </w:t>
      </w:r>
      <w:r w:rsidRPr="00545EC0">
        <w:rPr>
          <w:lang w:val="sl-SI"/>
        </w:rPr>
        <w:t>in</w:t>
      </w:r>
    </w:p>
    <w:p w14:paraId="6CA25C8C" w14:textId="4FA08A76" w:rsidR="00DC21D7" w:rsidRPr="00545EC0" w:rsidRDefault="00DC21D7" w:rsidP="00DD37C5">
      <w:pPr>
        <w:pStyle w:val="Odstavekseznama"/>
        <w:numPr>
          <w:ilvl w:val="0"/>
          <w:numId w:val="32"/>
        </w:numPr>
        <w:tabs>
          <w:tab w:val="center" w:pos="426"/>
        </w:tabs>
        <w:overflowPunct/>
        <w:autoSpaceDE/>
        <w:autoSpaceDN/>
        <w:adjustRightInd/>
        <w:contextualSpacing/>
        <w:textAlignment w:val="auto"/>
        <w:rPr>
          <w:rFonts w:cs="Arial"/>
        </w:rPr>
      </w:pPr>
      <w:r w:rsidRPr="00545EC0">
        <w:rPr>
          <w:rFonts w:cs="Arial"/>
        </w:rPr>
        <w:t xml:space="preserve">razpršeni </w:t>
      </w:r>
      <w:r w:rsidRPr="00545EC0">
        <w:rPr>
          <w:rFonts w:cs="Arial"/>
          <w:lang w:val="sl-SI"/>
        </w:rPr>
        <w:t>viri</w:t>
      </w:r>
      <w:r w:rsidRPr="00545EC0">
        <w:rPr>
          <w:rFonts w:cs="Arial"/>
        </w:rPr>
        <w:t xml:space="preserve"> zaradi </w:t>
      </w:r>
      <w:r w:rsidR="007072A5" w:rsidRPr="00545EC0">
        <w:rPr>
          <w:rFonts w:cs="Arial"/>
          <w:lang w:val="sl-SI"/>
        </w:rPr>
        <w:t xml:space="preserve">uporabe fitofarmacevtskih sredstvev v </w:t>
      </w:r>
      <w:r w:rsidRPr="00545EC0">
        <w:rPr>
          <w:rFonts w:cs="Arial"/>
        </w:rPr>
        <w:t>kmetijsk</w:t>
      </w:r>
      <w:r w:rsidR="007072A5" w:rsidRPr="00545EC0">
        <w:rPr>
          <w:rFonts w:cs="Arial"/>
          <w:lang w:val="sl-SI"/>
        </w:rPr>
        <w:t>i</w:t>
      </w:r>
      <w:r w:rsidRPr="00545EC0">
        <w:rPr>
          <w:rFonts w:cs="Arial"/>
        </w:rPr>
        <w:t xml:space="preserve"> dejavnosti</w:t>
      </w:r>
      <w:r w:rsidR="007072A5" w:rsidRPr="00545EC0">
        <w:rPr>
          <w:rFonts w:cs="Arial"/>
          <w:lang w:val="sl-SI"/>
        </w:rPr>
        <w:t xml:space="preserve">. </w:t>
      </w:r>
    </w:p>
    <w:p w14:paraId="2BC54AD1" w14:textId="77777777" w:rsidR="00DC21D7" w:rsidRPr="00545EC0" w:rsidRDefault="00DC21D7" w:rsidP="00DC21D7">
      <w:pPr>
        <w:tabs>
          <w:tab w:val="center" w:pos="426"/>
        </w:tabs>
        <w:overflowPunct/>
        <w:autoSpaceDE/>
        <w:autoSpaceDN/>
        <w:adjustRightInd/>
        <w:contextualSpacing/>
        <w:textAlignment w:val="auto"/>
        <w:rPr>
          <w:rFonts w:cs="Arial"/>
        </w:rPr>
      </w:pPr>
      <w:r w:rsidRPr="00545EC0">
        <w:rPr>
          <w:rFonts w:cs="Arial"/>
        </w:rPr>
        <w:t>Ne glede na navedeno se v okviru opredelitve pomembnih vplivov na stanje površinskih voda upošteva tudi rezultate popisa emisij, izpustov in uhajanja prednostnih in prednostno nevarnih snovi iz poglavja 2.2.1.3 tega načrta upravljanja voda.</w:t>
      </w:r>
    </w:p>
    <w:p w14:paraId="4AD3F33D" w14:textId="77777777" w:rsidR="00DC21D7" w:rsidRPr="00545EC0" w:rsidRDefault="00DC21D7" w:rsidP="00DC21D7">
      <w:pPr>
        <w:spacing w:line="276" w:lineRule="auto"/>
        <w:rPr>
          <w:rFonts w:cs="Arial"/>
          <w:szCs w:val="20"/>
        </w:rPr>
      </w:pPr>
    </w:p>
    <w:p w14:paraId="402757A8" w14:textId="77777777" w:rsidR="00DC21D7" w:rsidRPr="00545EC0" w:rsidRDefault="00DC21D7" w:rsidP="00DC21D7">
      <w:pPr>
        <w:spacing w:line="276" w:lineRule="auto"/>
        <w:rPr>
          <w:rFonts w:cs="Arial"/>
          <w:szCs w:val="22"/>
        </w:rPr>
      </w:pPr>
      <w:r w:rsidRPr="00545EC0">
        <w:rPr>
          <w:rFonts w:cs="Arial"/>
          <w:szCs w:val="22"/>
        </w:rPr>
        <w:t>Vodna telesa površinskih voda s pomembnimi vpliv na stanje površinskih voda zaradi onesnaženja s prednostnimi snovmi in/ali posebnimi onesnaževali so:</w:t>
      </w:r>
    </w:p>
    <w:p w14:paraId="393FF67A" w14:textId="10C3548A" w:rsidR="00671780" w:rsidRPr="00545EC0" w:rsidRDefault="00671780" w:rsidP="00DD37C5">
      <w:pPr>
        <w:pStyle w:val="Odstavekseznama"/>
        <w:numPr>
          <w:ilvl w:val="0"/>
          <w:numId w:val="32"/>
        </w:numPr>
        <w:spacing w:line="276" w:lineRule="auto"/>
        <w:rPr>
          <w:rFonts w:cs="Arial"/>
          <w:szCs w:val="20"/>
        </w:rPr>
      </w:pPr>
      <w:r w:rsidRPr="00545EC0">
        <w:rPr>
          <w:rFonts w:cs="Arial"/>
          <w:szCs w:val="20"/>
          <w:lang w:val="sl-SI"/>
        </w:rPr>
        <w:t>SI1624VT UVT Velenjsko jezero zaradi onesnaževanja z molibdenom in sulfatom</w:t>
      </w:r>
    </w:p>
    <w:p w14:paraId="405AA278" w14:textId="77777777" w:rsidR="00DC21D7" w:rsidRPr="00545EC0" w:rsidRDefault="00DC21D7" w:rsidP="00DD37C5">
      <w:pPr>
        <w:pStyle w:val="Odstavekseznama"/>
        <w:numPr>
          <w:ilvl w:val="0"/>
          <w:numId w:val="32"/>
        </w:numPr>
        <w:spacing w:line="276" w:lineRule="auto"/>
        <w:rPr>
          <w:rFonts w:cs="Arial"/>
          <w:szCs w:val="20"/>
        </w:rPr>
      </w:pPr>
      <w:r w:rsidRPr="00545EC0">
        <w:rPr>
          <w:rFonts w:cs="Arial"/>
          <w:szCs w:val="20"/>
        </w:rPr>
        <w:t>SI162VT7</w:t>
      </w:r>
      <w:r w:rsidRPr="00545EC0">
        <w:rPr>
          <w:rFonts w:cs="Arial"/>
          <w:szCs w:val="20"/>
        </w:rPr>
        <w:tab/>
        <w:t>VT Paka Velenje – Skorno</w:t>
      </w:r>
      <w:r w:rsidRPr="00545EC0">
        <w:rPr>
          <w:rFonts w:cs="Arial"/>
          <w:szCs w:val="20"/>
          <w:lang w:val="sl-SI"/>
        </w:rPr>
        <w:t xml:space="preserve"> zaradi onesnaženja z </w:t>
      </w:r>
      <w:r w:rsidRPr="00545EC0">
        <w:rPr>
          <w:rFonts w:cs="Arial"/>
          <w:szCs w:val="20"/>
        </w:rPr>
        <w:t>molibden</w:t>
      </w:r>
      <w:r w:rsidRPr="00545EC0">
        <w:rPr>
          <w:rFonts w:cs="Arial"/>
          <w:szCs w:val="20"/>
          <w:lang w:val="sl-SI"/>
        </w:rPr>
        <w:t>om in</w:t>
      </w:r>
      <w:r w:rsidRPr="00545EC0">
        <w:rPr>
          <w:rFonts w:cs="Arial"/>
          <w:szCs w:val="20"/>
        </w:rPr>
        <w:t xml:space="preserve"> sulfat</w:t>
      </w:r>
      <w:r w:rsidRPr="00545EC0">
        <w:rPr>
          <w:rFonts w:cs="Arial"/>
          <w:szCs w:val="20"/>
          <w:lang w:val="sl-SI"/>
        </w:rPr>
        <w:t>om</w:t>
      </w:r>
    </w:p>
    <w:p w14:paraId="7017B8A5" w14:textId="77777777" w:rsidR="00DC21D7" w:rsidRPr="00545EC0" w:rsidRDefault="00DC21D7" w:rsidP="00DD37C5">
      <w:pPr>
        <w:pStyle w:val="Odstavekseznama"/>
        <w:numPr>
          <w:ilvl w:val="0"/>
          <w:numId w:val="32"/>
        </w:numPr>
        <w:spacing w:line="276" w:lineRule="auto"/>
        <w:rPr>
          <w:rFonts w:cs="Arial"/>
          <w:szCs w:val="20"/>
        </w:rPr>
      </w:pPr>
      <w:r w:rsidRPr="00545EC0">
        <w:rPr>
          <w:rFonts w:cs="Arial"/>
          <w:szCs w:val="20"/>
        </w:rPr>
        <w:t>SI162VT9</w:t>
      </w:r>
      <w:r w:rsidRPr="00545EC0">
        <w:rPr>
          <w:rFonts w:cs="Arial"/>
          <w:szCs w:val="20"/>
        </w:rPr>
        <w:tab/>
        <w:t>VT Paka Skorno – Šmartno</w:t>
      </w:r>
      <w:r w:rsidRPr="00545EC0">
        <w:rPr>
          <w:rFonts w:cs="Arial"/>
          <w:szCs w:val="20"/>
          <w:lang w:val="sl-SI"/>
        </w:rPr>
        <w:t xml:space="preserve"> zaradi onesnaženja z </w:t>
      </w:r>
      <w:r w:rsidRPr="00545EC0">
        <w:rPr>
          <w:rFonts w:cs="Arial"/>
          <w:szCs w:val="20"/>
        </w:rPr>
        <w:t>molibden</w:t>
      </w:r>
    </w:p>
    <w:p w14:paraId="59139716" w14:textId="77777777" w:rsidR="00DC21D7" w:rsidRPr="00545EC0" w:rsidRDefault="00DC21D7" w:rsidP="00DD37C5">
      <w:pPr>
        <w:pStyle w:val="Odstavekseznama"/>
        <w:numPr>
          <w:ilvl w:val="0"/>
          <w:numId w:val="32"/>
        </w:numPr>
        <w:spacing w:line="276" w:lineRule="auto"/>
        <w:rPr>
          <w:rFonts w:cs="Arial"/>
          <w:szCs w:val="20"/>
        </w:rPr>
      </w:pPr>
      <w:r w:rsidRPr="00545EC0">
        <w:rPr>
          <w:rFonts w:cs="Arial"/>
          <w:szCs w:val="20"/>
        </w:rPr>
        <w:t>SI1688VT2</w:t>
      </w:r>
      <w:r w:rsidRPr="00545EC0">
        <w:rPr>
          <w:rFonts w:cs="Arial"/>
          <w:szCs w:val="20"/>
        </w:rPr>
        <w:tab/>
        <w:t>VT Hudinja Nova Cerkev - sotočje z Voglajno</w:t>
      </w:r>
      <w:r w:rsidRPr="00545EC0">
        <w:rPr>
          <w:rFonts w:cs="Arial"/>
          <w:szCs w:val="20"/>
          <w:lang w:val="sl-SI"/>
        </w:rPr>
        <w:t xml:space="preserve"> zaradi onesnaženja s </w:t>
      </w:r>
      <w:r w:rsidRPr="00545EC0">
        <w:rPr>
          <w:rFonts w:cs="Arial"/>
          <w:szCs w:val="20"/>
        </w:rPr>
        <w:t>sulfat</w:t>
      </w:r>
      <w:r w:rsidRPr="00545EC0">
        <w:rPr>
          <w:rFonts w:cs="Arial"/>
          <w:szCs w:val="20"/>
          <w:lang w:val="sl-SI"/>
        </w:rPr>
        <w:t>om</w:t>
      </w:r>
    </w:p>
    <w:p w14:paraId="5F981EA7" w14:textId="77777777" w:rsidR="00DC21D7" w:rsidRPr="00545EC0" w:rsidRDefault="00DC21D7" w:rsidP="00DD37C5">
      <w:pPr>
        <w:pStyle w:val="Odstavekseznama"/>
        <w:numPr>
          <w:ilvl w:val="0"/>
          <w:numId w:val="32"/>
        </w:numPr>
        <w:spacing w:line="276" w:lineRule="auto"/>
        <w:rPr>
          <w:rFonts w:cs="Arial"/>
          <w:szCs w:val="20"/>
        </w:rPr>
      </w:pPr>
      <w:r w:rsidRPr="00545EC0">
        <w:rPr>
          <w:rFonts w:cs="Arial"/>
          <w:szCs w:val="20"/>
        </w:rPr>
        <w:t>SI186VT3</w:t>
      </w:r>
      <w:r w:rsidRPr="00545EC0">
        <w:rPr>
          <w:rFonts w:cs="Arial"/>
          <w:szCs w:val="20"/>
        </w:rPr>
        <w:tab/>
        <w:t>VT Temenica I</w:t>
      </w:r>
      <w:r w:rsidRPr="00545EC0">
        <w:rPr>
          <w:rFonts w:cs="Arial"/>
          <w:szCs w:val="20"/>
          <w:lang w:val="sl-SI"/>
        </w:rPr>
        <w:t xml:space="preserve"> zaradi onesnaženja s </w:t>
      </w:r>
      <w:r w:rsidRPr="00545EC0">
        <w:rPr>
          <w:rFonts w:cs="Arial"/>
          <w:szCs w:val="20"/>
        </w:rPr>
        <w:t>kobalt</w:t>
      </w:r>
      <w:r w:rsidRPr="00545EC0">
        <w:rPr>
          <w:rFonts w:cs="Arial"/>
          <w:szCs w:val="20"/>
          <w:lang w:val="sl-SI"/>
        </w:rPr>
        <w:t>om in</w:t>
      </w:r>
      <w:r w:rsidRPr="00545EC0">
        <w:rPr>
          <w:rFonts w:cs="Arial"/>
          <w:szCs w:val="20"/>
        </w:rPr>
        <w:t xml:space="preserve"> cink</w:t>
      </w:r>
      <w:r w:rsidRPr="00545EC0">
        <w:rPr>
          <w:rFonts w:cs="Arial"/>
          <w:szCs w:val="20"/>
          <w:lang w:val="sl-SI"/>
        </w:rPr>
        <w:t>om</w:t>
      </w:r>
    </w:p>
    <w:p w14:paraId="69DCC994" w14:textId="77777777" w:rsidR="00DC21D7" w:rsidRPr="00545EC0" w:rsidRDefault="00DC21D7" w:rsidP="00DD37C5">
      <w:pPr>
        <w:pStyle w:val="Odstavekseznama"/>
        <w:numPr>
          <w:ilvl w:val="0"/>
          <w:numId w:val="32"/>
        </w:numPr>
        <w:spacing w:line="276" w:lineRule="auto"/>
        <w:rPr>
          <w:rFonts w:cs="Arial"/>
          <w:szCs w:val="20"/>
        </w:rPr>
      </w:pPr>
      <w:r w:rsidRPr="00545EC0">
        <w:rPr>
          <w:rFonts w:cs="Arial"/>
          <w:szCs w:val="20"/>
        </w:rPr>
        <w:t>SI21602VT</w:t>
      </w:r>
      <w:r w:rsidRPr="00545EC0">
        <w:rPr>
          <w:rFonts w:cs="Arial"/>
          <w:szCs w:val="20"/>
        </w:rPr>
        <w:tab/>
        <w:t>VT Krupa</w:t>
      </w:r>
      <w:r w:rsidRPr="00545EC0">
        <w:rPr>
          <w:rFonts w:cs="Arial"/>
          <w:szCs w:val="20"/>
          <w:lang w:val="sl-SI"/>
        </w:rPr>
        <w:t xml:space="preserve"> zaradi onesnaženja s polikloriranimibifenili (</w:t>
      </w:r>
      <w:r w:rsidRPr="00545EC0">
        <w:rPr>
          <w:rFonts w:cs="Arial"/>
          <w:szCs w:val="20"/>
        </w:rPr>
        <w:tab/>
        <w:t>PCB</w:t>
      </w:r>
      <w:r w:rsidRPr="00545EC0">
        <w:rPr>
          <w:rFonts w:cs="Arial"/>
          <w:szCs w:val="20"/>
          <w:lang w:val="sl-SI"/>
        </w:rPr>
        <w:t>)</w:t>
      </w:r>
    </w:p>
    <w:p w14:paraId="562E1598" w14:textId="77777777" w:rsidR="00DC21D7" w:rsidRPr="00545EC0" w:rsidRDefault="00DC21D7" w:rsidP="00DD37C5">
      <w:pPr>
        <w:pStyle w:val="Odstavekseznama"/>
        <w:numPr>
          <w:ilvl w:val="0"/>
          <w:numId w:val="32"/>
        </w:numPr>
        <w:spacing w:line="276" w:lineRule="auto"/>
        <w:rPr>
          <w:rFonts w:cs="Arial"/>
          <w:szCs w:val="20"/>
        </w:rPr>
      </w:pPr>
      <w:r w:rsidRPr="00545EC0">
        <w:rPr>
          <w:rFonts w:cs="Arial"/>
          <w:szCs w:val="20"/>
        </w:rPr>
        <w:t>SI434VT51</w:t>
      </w:r>
      <w:r w:rsidRPr="00545EC0">
        <w:rPr>
          <w:rFonts w:cs="Arial"/>
          <w:szCs w:val="20"/>
        </w:rPr>
        <w:tab/>
        <w:t>VT Ščavnica povirje – zadrževalnik Gajševsko jezero</w:t>
      </w:r>
      <w:r w:rsidRPr="00545EC0">
        <w:rPr>
          <w:rFonts w:cs="Arial"/>
          <w:szCs w:val="20"/>
          <w:lang w:val="sl-SI"/>
        </w:rPr>
        <w:t xml:space="preserve"> zaradi onesnaženja z </w:t>
      </w:r>
      <w:r w:rsidRPr="00545EC0">
        <w:rPr>
          <w:rFonts w:cs="Arial"/>
          <w:szCs w:val="20"/>
        </w:rPr>
        <w:t>metolaklor</w:t>
      </w:r>
      <w:r w:rsidRPr="00545EC0">
        <w:rPr>
          <w:rFonts w:cs="Arial"/>
          <w:szCs w:val="20"/>
          <w:lang w:val="sl-SI"/>
        </w:rPr>
        <w:t>om</w:t>
      </w:r>
    </w:p>
    <w:p w14:paraId="40FF5876" w14:textId="77777777" w:rsidR="00DC21D7" w:rsidRPr="00545EC0" w:rsidRDefault="00DC21D7" w:rsidP="00DD37C5">
      <w:pPr>
        <w:pStyle w:val="Odstavekseznama"/>
        <w:numPr>
          <w:ilvl w:val="0"/>
          <w:numId w:val="32"/>
        </w:numPr>
        <w:spacing w:line="276" w:lineRule="auto"/>
        <w:rPr>
          <w:rFonts w:cs="Arial"/>
          <w:szCs w:val="20"/>
        </w:rPr>
      </w:pPr>
      <w:r w:rsidRPr="00545EC0">
        <w:rPr>
          <w:rFonts w:cs="Arial"/>
          <w:szCs w:val="20"/>
        </w:rPr>
        <w:t>SI434VT52</w:t>
      </w:r>
      <w:r w:rsidRPr="00545EC0">
        <w:rPr>
          <w:rFonts w:cs="Arial"/>
          <w:szCs w:val="20"/>
        </w:rPr>
        <w:tab/>
        <w:t>MPVT zadrževalnik Gajševsko jezero</w:t>
      </w:r>
      <w:r w:rsidRPr="00545EC0">
        <w:rPr>
          <w:rFonts w:cs="Arial"/>
          <w:szCs w:val="20"/>
          <w:lang w:val="sl-SI"/>
        </w:rPr>
        <w:t xml:space="preserve"> zaradi onesnaženja z </w:t>
      </w:r>
      <w:r w:rsidRPr="00545EC0">
        <w:rPr>
          <w:rFonts w:cs="Arial"/>
          <w:szCs w:val="20"/>
        </w:rPr>
        <w:t>metolaklor</w:t>
      </w:r>
      <w:r w:rsidRPr="00545EC0">
        <w:rPr>
          <w:rFonts w:cs="Arial"/>
          <w:szCs w:val="20"/>
          <w:lang w:val="sl-SI"/>
        </w:rPr>
        <w:t>om</w:t>
      </w:r>
    </w:p>
    <w:p w14:paraId="1EF18474" w14:textId="5CECBC50" w:rsidR="00DC21D7" w:rsidRPr="00545EC0" w:rsidRDefault="00DC21D7" w:rsidP="00DD37C5">
      <w:pPr>
        <w:pStyle w:val="Odstavekseznama"/>
        <w:numPr>
          <w:ilvl w:val="0"/>
          <w:numId w:val="32"/>
        </w:numPr>
        <w:spacing w:line="276" w:lineRule="auto"/>
        <w:rPr>
          <w:rFonts w:cs="Arial"/>
          <w:szCs w:val="20"/>
        </w:rPr>
      </w:pPr>
      <w:r w:rsidRPr="00545EC0">
        <w:rPr>
          <w:rFonts w:cs="Arial"/>
          <w:szCs w:val="20"/>
        </w:rPr>
        <w:t>SI441VT</w:t>
      </w:r>
      <w:r w:rsidRPr="00545EC0">
        <w:rPr>
          <w:rFonts w:cs="Arial"/>
          <w:szCs w:val="20"/>
        </w:rPr>
        <w:tab/>
        <w:t xml:space="preserve">VT Velika Krka povirje – državna meja </w:t>
      </w:r>
      <w:r w:rsidRPr="00545EC0">
        <w:rPr>
          <w:rFonts w:cs="Arial"/>
          <w:szCs w:val="20"/>
          <w:lang w:val="sl-SI"/>
        </w:rPr>
        <w:t xml:space="preserve">zaradi onesnaženja </w:t>
      </w:r>
      <w:r w:rsidRPr="00545EC0">
        <w:rPr>
          <w:rFonts w:cs="Arial"/>
          <w:szCs w:val="20"/>
        </w:rPr>
        <w:t xml:space="preserve">s kobaltom </w:t>
      </w:r>
    </w:p>
    <w:p w14:paraId="32732AF6" w14:textId="77777777" w:rsidR="00DC21D7" w:rsidRPr="00545EC0" w:rsidRDefault="00DC21D7" w:rsidP="00DD37C5">
      <w:pPr>
        <w:pStyle w:val="Odstavekseznama"/>
        <w:numPr>
          <w:ilvl w:val="0"/>
          <w:numId w:val="32"/>
        </w:numPr>
        <w:spacing w:line="276" w:lineRule="auto"/>
        <w:rPr>
          <w:rFonts w:cs="Arial"/>
          <w:szCs w:val="20"/>
        </w:rPr>
      </w:pPr>
      <w:r w:rsidRPr="00545EC0">
        <w:rPr>
          <w:rFonts w:cs="Arial"/>
          <w:szCs w:val="20"/>
        </w:rPr>
        <w:t>SI4426VT1</w:t>
      </w:r>
      <w:r w:rsidRPr="00545EC0">
        <w:rPr>
          <w:rFonts w:cs="Arial"/>
          <w:szCs w:val="20"/>
        </w:rPr>
        <w:tab/>
        <w:t>VT Kobiljanski potok povirje – državna meja</w:t>
      </w:r>
      <w:r w:rsidRPr="00545EC0">
        <w:rPr>
          <w:rFonts w:cs="Arial"/>
          <w:szCs w:val="20"/>
          <w:lang w:val="sl-SI"/>
        </w:rPr>
        <w:t xml:space="preserve"> zaradi onesnaženja z </w:t>
      </w:r>
      <w:r w:rsidRPr="00545EC0">
        <w:rPr>
          <w:rFonts w:cs="Arial"/>
          <w:szCs w:val="20"/>
        </w:rPr>
        <w:t>metolaklor</w:t>
      </w:r>
      <w:r w:rsidRPr="00545EC0">
        <w:rPr>
          <w:rFonts w:cs="Arial"/>
          <w:szCs w:val="20"/>
          <w:lang w:val="sl-SI"/>
        </w:rPr>
        <w:t>om</w:t>
      </w:r>
    </w:p>
    <w:p w14:paraId="0743EA86" w14:textId="77777777" w:rsidR="00DC21D7" w:rsidRPr="00545EC0" w:rsidRDefault="00DC21D7" w:rsidP="00DD37C5">
      <w:pPr>
        <w:pStyle w:val="Odstavekseznama"/>
        <w:numPr>
          <w:ilvl w:val="0"/>
          <w:numId w:val="32"/>
        </w:numPr>
        <w:spacing w:line="276" w:lineRule="auto"/>
        <w:rPr>
          <w:rFonts w:cs="Arial"/>
          <w:szCs w:val="20"/>
        </w:rPr>
      </w:pPr>
      <w:r w:rsidRPr="00545EC0">
        <w:rPr>
          <w:rFonts w:cs="Arial"/>
          <w:szCs w:val="20"/>
        </w:rPr>
        <w:t>SI4426VT2</w:t>
      </w:r>
      <w:r w:rsidRPr="00545EC0">
        <w:rPr>
          <w:rFonts w:cs="Arial"/>
          <w:szCs w:val="20"/>
        </w:rPr>
        <w:tab/>
        <w:t xml:space="preserve">VT Kobiljanski potok državna meja – Ledava </w:t>
      </w:r>
      <w:r w:rsidRPr="00545EC0">
        <w:rPr>
          <w:rFonts w:cs="Arial"/>
          <w:szCs w:val="20"/>
          <w:lang w:val="sl-SI"/>
        </w:rPr>
        <w:t xml:space="preserve">zaradi onesnaženja z </w:t>
      </w:r>
      <w:r w:rsidRPr="00545EC0">
        <w:rPr>
          <w:rFonts w:cs="Arial"/>
          <w:szCs w:val="20"/>
        </w:rPr>
        <w:t>metolaklor</w:t>
      </w:r>
      <w:r w:rsidRPr="00545EC0">
        <w:rPr>
          <w:rFonts w:cs="Arial"/>
          <w:szCs w:val="20"/>
          <w:lang w:val="sl-SI"/>
        </w:rPr>
        <w:t xml:space="preserve">om </w:t>
      </w:r>
      <w:r w:rsidRPr="00545EC0">
        <w:rPr>
          <w:rFonts w:cs="Arial"/>
          <w:szCs w:val="20"/>
        </w:rPr>
        <w:t>kobalt</w:t>
      </w:r>
      <w:r w:rsidRPr="00545EC0">
        <w:rPr>
          <w:rFonts w:cs="Arial"/>
          <w:szCs w:val="20"/>
          <w:lang w:val="sl-SI"/>
        </w:rPr>
        <w:t xml:space="preserve">om in </w:t>
      </w:r>
      <w:r w:rsidRPr="00545EC0">
        <w:rPr>
          <w:rFonts w:cs="Arial"/>
          <w:szCs w:val="20"/>
        </w:rPr>
        <w:t>terbutilazin</w:t>
      </w:r>
      <w:r w:rsidRPr="00545EC0">
        <w:rPr>
          <w:rFonts w:cs="Arial"/>
          <w:szCs w:val="20"/>
          <w:lang w:val="sl-SI"/>
        </w:rPr>
        <w:t>om</w:t>
      </w:r>
    </w:p>
    <w:p w14:paraId="5388D146" w14:textId="77777777" w:rsidR="00DC21D7" w:rsidRPr="00545EC0" w:rsidRDefault="00DC21D7" w:rsidP="00DD37C5">
      <w:pPr>
        <w:pStyle w:val="Odstavekseznama"/>
        <w:numPr>
          <w:ilvl w:val="0"/>
          <w:numId w:val="32"/>
        </w:numPr>
        <w:spacing w:line="276" w:lineRule="auto"/>
        <w:rPr>
          <w:rFonts w:cs="Arial"/>
          <w:szCs w:val="20"/>
        </w:rPr>
      </w:pPr>
      <w:r w:rsidRPr="00545EC0">
        <w:rPr>
          <w:rFonts w:cs="Arial"/>
          <w:szCs w:val="20"/>
        </w:rPr>
        <w:t>SI442VT12</w:t>
      </w:r>
      <w:r w:rsidRPr="00545EC0">
        <w:rPr>
          <w:rFonts w:cs="Arial"/>
          <w:szCs w:val="20"/>
        </w:rPr>
        <w:tab/>
        <w:t>MPVT zadrževalnik Ledavsko jezero</w:t>
      </w:r>
      <w:r w:rsidRPr="00545EC0">
        <w:rPr>
          <w:rFonts w:cs="Arial"/>
          <w:szCs w:val="20"/>
          <w:lang w:val="sl-SI"/>
        </w:rPr>
        <w:t xml:space="preserve"> zaradi onesnaženja z </w:t>
      </w:r>
      <w:r w:rsidRPr="00545EC0">
        <w:rPr>
          <w:rFonts w:cs="Arial"/>
          <w:szCs w:val="20"/>
        </w:rPr>
        <w:t>metolaklor</w:t>
      </w:r>
      <w:r w:rsidRPr="00545EC0">
        <w:rPr>
          <w:rFonts w:cs="Arial"/>
          <w:szCs w:val="20"/>
          <w:lang w:val="sl-SI"/>
        </w:rPr>
        <w:t>om</w:t>
      </w:r>
    </w:p>
    <w:p w14:paraId="42D145EB" w14:textId="77777777" w:rsidR="00DC21D7" w:rsidRPr="00545EC0" w:rsidRDefault="00DC21D7" w:rsidP="00DD37C5">
      <w:pPr>
        <w:pStyle w:val="Odstavekseznama"/>
        <w:numPr>
          <w:ilvl w:val="0"/>
          <w:numId w:val="32"/>
        </w:numPr>
        <w:spacing w:line="276" w:lineRule="auto"/>
        <w:rPr>
          <w:rFonts w:cs="Arial"/>
          <w:szCs w:val="20"/>
        </w:rPr>
      </w:pPr>
      <w:r w:rsidRPr="00545EC0">
        <w:rPr>
          <w:rFonts w:cs="Arial"/>
          <w:szCs w:val="20"/>
        </w:rPr>
        <w:t>SI442VT91</w:t>
      </w:r>
      <w:r w:rsidRPr="00545EC0">
        <w:rPr>
          <w:rFonts w:cs="Arial"/>
          <w:szCs w:val="20"/>
        </w:rPr>
        <w:tab/>
        <w:t>VT Ledava zadrževalnik Ledavsko jezero – sotočje z Veliko Krko</w:t>
      </w:r>
      <w:r w:rsidRPr="00545EC0">
        <w:rPr>
          <w:rFonts w:cs="Arial"/>
          <w:szCs w:val="20"/>
          <w:lang w:val="sl-SI"/>
        </w:rPr>
        <w:t xml:space="preserve"> zaradi onesnaženja z </w:t>
      </w:r>
      <w:r w:rsidRPr="00545EC0">
        <w:rPr>
          <w:rFonts w:cs="Arial"/>
          <w:szCs w:val="20"/>
        </w:rPr>
        <w:t>metolaklor</w:t>
      </w:r>
      <w:r w:rsidRPr="00545EC0">
        <w:rPr>
          <w:rFonts w:cs="Arial"/>
          <w:szCs w:val="20"/>
          <w:lang w:val="sl-SI"/>
        </w:rPr>
        <w:t xml:space="preserve">om in </w:t>
      </w:r>
      <w:r w:rsidRPr="00545EC0">
        <w:rPr>
          <w:rFonts w:cs="Arial"/>
          <w:szCs w:val="20"/>
        </w:rPr>
        <w:t>terbutilazin</w:t>
      </w:r>
      <w:r w:rsidRPr="00545EC0">
        <w:rPr>
          <w:rFonts w:cs="Arial"/>
          <w:szCs w:val="20"/>
          <w:lang w:val="sl-SI"/>
        </w:rPr>
        <w:t>om</w:t>
      </w:r>
    </w:p>
    <w:p w14:paraId="717419E4" w14:textId="77777777" w:rsidR="00DC21D7" w:rsidRPr="00545EC0" w:rsidRDefault="00DC21D7" w:rsidP="00DD37C5">
      <w:pPr>
        <w:pStyle w:val="Odstavekseznama"/>
        <w:numPr>
          <w:ilvl w:val="0"/>
          <w:numId w:val="32"/>
        </w:numPr>
        <w:spacing w:line="276" w:lineRule="auto"/>
        <w:rPr>
          <w:rFonts w:cs="Arial"/>
          <w:szCs w:val="20"/>
        </w:rPr>
      </w:pPr>
      <w:r w:rsidRPr="00545EC0">
        <w:rPr>
          <w:rFonts w:cs="Arial"/>
          <w:szCs w:val="20"/>
        </w:rPr>
        <w:t>SI442VT92</w:t>
      </w:r>
      <w:r w:rsidRPr="00545EC0">
        <w:rPr>
          <w:rFonts w:cs="Arial"/>
          <w:szCs w:val="20"/>
        </w:rPr>
        <w:tab/>
        <w:t>VT Ledava mejni odsek</w:t>
      </w:r>
      <w:r w:rsidRPr="00545EC0">
        <w:rPr>
          <w:rFonts w:cs="Arial"/>
          <w:szCs w:val="20"/>
          <w:lang w:val="sl-SI"/>
        </w:rPr>
        <w:t xml:space="preserve"> zaradi onesnaženja z </w:t>
      </w:r>
      <w:r w:rsidRPr="00545EC0">
        <w:rPr>
          <w:rFonts w:cs="Arial"/>
          <w:szCs w:val="20"/>
        </w:rPr>
        <w:t>metolaklor</w:t>
      </w:r>
      <w:r w:rsidRPr="00545EC0">
        <w:rPr>
          <w:rFonts w:cs="Arial"/>
          <w:szCs w:val="20"/>
          <w:lang w:val="sl-SI"/>
        </w:rPr>
        <w:t>om</w:t>
      </w:r>
    </w:p>
    <w:p w14:paraId="0E1231A6" w14:textId="77777777" w:rsidR="00DC21D7" w:rsidRPr="00545EC0" w:rsidRDefault="00DC21D7" w:rsidP="00DD37C5">
      <w:pPr>
        <w:pStyle w:val="Odstavekseznama"/>
        <w:numPr>
          <w:ilvl w:val="0"/>
          <w:numId w:val="32"/>
        </w:numPr>
        <w:spacing w:line="276" w:lineRule="auto"/>
        <w:rPr>
          <w:rFonts w:cs="Arial"/>
          <w:szCs w:val="20"/>
        </w:rPr>
      </w:pPr>
      <w:r w:rsidRPr="00545EC0">
        <w:rPr>
          <w:rFonts w:cs="Arial"/>
          <w:szCs w:val="20"/>
        </w:rPr>
        <w:t>SI1476VT</w:t>
      </w:r>
      <w:r w:rsidRPr="00545EC0">
        <w:rPr>
          <w:rFonts w:cs="Arial"/>
          <w:szCs w:val="20"/>
        </w:rPr>
        <w:tab/>
        <w:t>VT Iščica</w:t>
      </w:r>
      <w:r w:rsidRPr="00545EC0">
        <w:rPr>
          <w:rFonts w:cs="Arial"/>
          <w:szCs w:val="20"/>
          <w:lang w:val="sl-SI"/>
        </w:rPr>
        <w:t xml:space="preserve"> zaradi onesnaženja z nikljem, in</w:t>
      </w:r>
    </w:p>
    <w:p w14:paraId="149A3005" w14:textId="426698C9" w:rsidR="00DC21D7" w:rsidRPr="00545EC0" w:rsidRDefault="00DC21D7" w:rsidP="00DD37C5">
      <w:pPr>
        <w:pStyle w:val="Odstavekseznama"/>
        <w:numPr>
          <w:ilvl w:val="0"/>
          <w:numId w:val="32"/>
        </w:numPr>
        <w:spacing w:line="276" w:lineRule="auto"/>
        <w:rPr>
          <w:rFonts w:cs="Arial"/>
          <w:szCs w:val="20"/>
        </w:rPr>
      </w:pPr>
      <w:r w:rsidRPr="00545EC0">
        <w:rPr>
          <w:rFonts w:cs="Arial"/>
          <w:szCs w:val="20"/>
        </w:rPr>
        <w:t>SI32VT30</w:t>
      </w:r>
      <w:r w:rsidRPr="00545EC0">
        <w:rPr>
          <w:rFonts w:cs="Arial"/>
          <w:szCs w:val="20"/>
        </w:rPr>
        <w:tab/>
        <w:t>VT Meža Črna na Koroškem – Dravograd</w:t>
      </w:r>
      <w:r w:rsidRPr="00545EC0">
        <w:rPr>
          <w:rFonts w:cs="Arial"/>
          <w:szCs w:val="20"/>
        </w:rPr>
        <w:tab/>
      </w:r>
      <w:r w:rsidR="00F01D64" w:rsidRPr="00545EC0">
        <w:rPr>
          <w:rFonts w:cs="Arial"/>
          <w:szCs w:val="20"/>
          <w:lang w:val="sl-SI"/>
        </w:rPr>
        <w:t xml:space="preserve">  </w:t>
      </w:r>
      <w:r w:rsidRPr="00545EC0">
        <w:rPr>
          <w:rFonts w:cs="Arial"/>
          <w:szCs w:val="20"/>
          <w:lang w:val="sl-SI"/>
        </w:rPr>
        <w:t xml:space="preserve">zaradi onesnaženja s </w:t>
      </w:r>
      <w:r w:rsidR="006C09EC" w:rsidRPr="00545EC0">
        <w:rPr>
          <w:rFonts w:cs="Arial"/>
          <w:szCs w:val="20"/>
          <w:lang w:val="sl-SI"/>
        </w:rPr>
        <w:t xml:space="preserve">kadmijem in </w:t>
      </w:r>
      <w:r w:rsidRPr="00545EC0">
        <w:rPr>
          <w:rFonts w:cs="Arial"/>
          <w:szCs w:val="20"/>
          <w:lang w:val="sl-SI"/>
        </w:rPr>
        <w:t>svincem</w:t>
      </w:r>
      <w:r w:rsidR="00226BD9" w:rsidRPr="00545EC0">
        <w:rPr>
          <w:rFonts w:cs="Arial"/>
          <w:szCs w:val="20"/>
          <w:lang w:val="sl-SI"/>
        </w:rPr>
        <w:t>.</w:t>
      </w:r>
    </w:p>
    <w:p w14:paraId="5B25C928" w14:textId="77777777" w:rsidR="00226BD9" w:rsidRPr="00545EC0" w:rsidRDefault="00226BD9" w:rsidP="00226BD9">
      <w:pPr>
        <w:spacing w:line="276" w:lineRule="auto"/>
        <w:rPr>
          <w:rFonts w:cs="Arial"/>
          <w:szCs w:val="20"/>
        </w:rPr>
      </w:pPr>
    </w:p>
    <w:p w14:paraId="6BB55111" w14:textId="77777777" w:rsidR="00226BD9" w:rsidRPr="00545EC0" w:rsidRDefault="00226BD9" w:rsidP="00226BD9">
      <w:pPr>
        <w:rPr>
          <w:b/>
          <w:i/>
        </w:rPr>
      </w:pPr>
      <w:r w:rsidRPr="00545EC0">
        <w:rPr>
          <w:b/>
          <w:i/>
        </w:rPr>
        <w:t>Pomembni vplivi na ekološko stanje zaradi spremenjenega hidrološkega režima, zveznosti toka in morfoloških razmer</w:t>
      </w:r>
    </w:p>
    <w:p w14:paraId="25F3FB67" w14:textId="77777777" w:rsidR="00226BD9" w:rsidRPr="00545EC0" w:rsidRDefault="00226BD9" w:rsidP="00226BD9">
      <w:pPr>
        <w:rPr>
          <w:b/>
          <w:i/>
        </w:rPr>
      </w:pPr>
    </w:p>
    <w:p w14:paraId="1C006C6C" w14:textId="257191C6" w:rsidR="00226BD9" w:rsidRPr="00545EC0" w:rsidRDefault="00226BD9" w:rsidP="00226BD9">
      <w:r w:rsidRPr="00545EC0">
        <w:t>Pomembni vplivi na ekološko stanje zaradi spremenjenega hidrološkega režima, zveznosti toka in morfoloških razmer so za posamezne dele vodnih teles površinskih voda (dVTPV) opredeljeni na podlagi ocene pomembnih hidromorfoloških obremenitev in ocene ekološkega stanja, v okviru katere se privzameta ocena bentoških nevretenčarjev – hidromorfološka spremenjenost in ocena rib</w:t>
      </w:r>
      <w:r w:rsidRPr="00545EC0">
        <w:rPr>
          <w:rStyle w:val="Sprotnaopomba-sklic"/>
        </w:rPr>
        <w:footnoteReference w:id="4"/>
      </w:r>
      <w:r w:rsidRPr="00545EC0">
        <w:t xml:space="preserve"> – splošna degradiranost. Na dVTPV na pritokih pomembne vplive določa le prisotnost pomembnih obremenitev, saj na pritokih ni podatkov o ekološkem stanju, medtem ko se na dVTPV-jih na glavnem </w:t>
      </w:r>
      <w:r w:rsidRPr="00545EC0">
        <w:lastRenderedPageBreak/>
        <w:t>toku za oceno pomembnih vplivov upoštevata tako ocena pomembnih obremenitev kot ocena ekološkega stanja.</w:t>
      </w:r>
    </w:p>
    <w:p w14:paraId="574C2215" w14:textId="77777777" w:rsidR="00226BD9" w:rsidRPr="00545EC0" w:rsidRDefault="00226BD9" w:rsidP="00226BD9"/>
    <w:p w14:paraId="1EC457F9" w14:textId="77777777" w:rsidR="00226BD9" w:rsidRPr="00545EC0" w:rsidRDefault="00226BD9" w:rsidP="00226BD9">
      <w:r w:rsidRPr="00545EC0">
        <w:t>V oceni pomembnih vplivov na ekološko stanje zaradi spremenjenega hidrološkega režima se upoštevajo sledeče pomembne obremenitve:</w:t>
      </w:r>
    </w:p>
    <w:p w14:paraId="6D6FA4DA" w14:textId="77777777" w:rsidR="00226BD9" w:rsidRPr="00545EC0" w:rsidRDefault="00226BD9" w:rsidP="00DD37C5">
      <w:pPr>
        <w:pStyle w:val="Odstavekseznama"/>
        <w:numPr>
          <w:ilvl w:val="0"/>
          <w:numId w:val="32"/>
        </w:numPr>
      </w:pPr>
      <w:r w:rsidRPr="00545EC0">
        <w:rPr>
          <w:lang w:val="sl-SI"/>
        </w:rPr>
        <w:t>pomembne obremenitve zaradi odvzemov vode,</w:t>
      </w:r>
    </w:p>
    <w:p w14:paraId="6F141E47" w14:textId="77777777" w:rsidR="00226BD9" w:rsidRPr="00545EC0" w:rsidRDefault="00226BD9" w:rsidP="00DD37C5">
      <w:pPr>
        <w:pStyle w:val="Odstavekseznama"/>
        <w:numPr>
          <w:ilvl w:val="0"/>
          <w:numId w:val="32"/>
        </w:numPr>
      </w:pPr>
      <w:r w:rsidRPr="00545EC0">
        <w:rPr>
          <w:lang w:val="sl-SI"/>
        </w:rPr>
        <w:t xml:space="preserve">pomembne obremenitve zaradi nihanja vodne gladine in pulzirajočega pretoka, </w:t>
      </w:r>
    </w:p>
    <w:p w14:paraId="71DA76F6" w14:textId="77777777" w:rsidR="00226BD9" w:rsidRPr="00545EC0" w:rsidRDefault="00226BD9" w:rsidP="00DD37C5">
      <w:pPr>
        <w:pStyle w:val="Odstavekseznama"/>
        <w:numPr>
          <w:ilvl w:val="0"/>
          <w:numId w:val="32"/>
        </w:numPr>
      </w:pPr>
      <w:r w:rsidRPr="00545EC0">
        <w:rPr>
          <w:lang w:val="sl-SI"/>
        </w:rPr>
        <w:t xml:space="preserve">pomemebne obremenitve zaradi </w:t>
      </w:r>
      <w:r w:rsidRPr="00545EC0">
        <w:t xml:space="preserve"> </w:t>
      </w:r>
      <w:r w:rsidRPr="00545EC0">
        <w:rPr>
          <w:lang w:val="sl-SI"/>
        </w:rPr>
        <w:t>zajezitev,</w:t>
      </w:r>
    </w:p>
    <w:p w14:paraId="336AAD0F" w14:textId="77777777" w:rsidR="0026046C" w:rsidRPr="001A5370" w:rsidRDefault="00226BD9" w:rsidP="00DD37C5">
      <w:pPr>
        <w:pStyle w:val="Odstavekseznama"/>
        <w:numPr>
          <w:ilvl w:val="0"/>
          <w:numId w:val="32"/>
        </w:numPr>
      </w:pPr>
      <w:r w:rsidRPr="00545EC0">
        <w:rPr>
          <w:lang w:val="sl-SI"/>
        </w:rPr>
        <w:t>pomembne obremenitve zaradi osuševanja zemljišč</w:t>
      </w:r>
      <w:r w:rsidR="0026046C">
        <w:rPr>
          <w:lang w:val="sl-SI"/>
        </w:rPr>
        <w:t>,</w:t>
      </w:r>
    </w:p>
    <w:p w14:paraId="5CE51F2C" w14:textId="738192DA" w:rsidR="0026046C" w:rsidRPr="00985051" w:rsidRDefault="0026046C" w:rsidP="0026046C">
      <w:pPr>
        <w:pStyle w:val="Odstavekseznama"/>
        <w:numPr>
          <w:ilvl w:val="0"/>
          <w:numId w:val="32"/>
        </w:numPr>
        <w:overflowPunct/>
        <w:autoSpaceDE/>
        <w:autoSpaceDN/>
        <w:adjustRightInd/>
        <w:spacing w:line="240" w:lineRule="auto"/>
        <w:textAlignment w:val="auto"/>
        <w:rPr>
          <w:rFonts w:cs="Arial"/>
          <w:szCs w:val="20"/>
        </w:rPr>
      </w:pPr>
      <w:r w:rsidRPr="00985051">
        <w:rPr>
          <w:rFonts w:cs="Arial"/>
          <w:szCs w:val="20"/>
        </w:rPr>
        <w:t>pomembne obremenitve zaradi izvedbe regulacij</w:t>
      </w:r>
      <w:r w:rsidRPr="00985051">
        <w:rPr>
          <w:rFonts w:cs="Arial"/>
          <w:szCs w:val="20"/>
          <w:lang w:val="sl-SI"/>
        </w:rPr>
        <w:t>e</w:t>
      </w:r>
      <w:r w:rsidRPr="00985051">
        <w:rPr>
          <w:rFonts w:cs="Arial"/>
          <w:szCs w:val="20"/>
        </w:rPr>
        <w:t xml:space="preserve"> vodotokov. </w:t>
      </w:r>
    </w:p>
    <w:p w14:paraId="18B2F8CF" w14:textId="77777777" w:rsidR="00226BD9" w:rsidRPr="00545EC0" w:rsidRDefault="00226BD9" w:rsidP="00226BD9"/>
    <w:p w14:paraId="24FFDBD7" w14:textId="1CEA96B5" w:rsidR="00226BD9" w:rsidRPr="00545EC0" w:rsidRDefault="00226BD9" w:rsidP="00226BD9">
      <w:r w:rsidRPr="00545EC0">
        <w:t>Na VO Donave so pomembni vplivi zaradi spremenjenega hidrološkega režima prisotni na 171 dVTPV-jih na glavnem toku (64,5 % dVTPV-jev na glavnem toku) in na 61 dVTPV-jih na pritokih (13,0 %), kar kaže na bistveno večjo obremenjenost na glavnem toku, medtem ko so pritoki bolje ohranjeni. Največji delež pomembnih vplivov zaradi spremenjenega hidrološkega režima je prisoten na dVTPV-jih na glavnem toku na porečjih Mure, Savinje, Zgornje Save in Drave, medtem ko je največji delež dVTPV-jev s pomembimi vplivi na pritokih prisoten na porečjih Mure, Zgornje Save in Drave (</w:t>
      </w:r>
      <w:r w:rsidR="00176EFA" w:rsidRPr="00545EC0">
        <w:fldChar w:fldCharType="begin"/>
      </w:r>
      <w:r w:rsidR="00176EFA" w:rsidRPr="00545EC0">
        <w:instrText xml:space="preserve"> REF _Ref87819553 \h </w:instrText>
      </w:r>
      <w:r w:rsidR="003122F4" w:rsidRPr="00545EC0">
        <w:instrText xml:space="preserve"> \* MERGEFORMAT </w:instrText>
      </w:r>
      <w:r w:rsidR="00176EFA" w:rsidRPr="00545EC0">
        <w:fldChar w:fldCharType="separate"/>
      </w:r>
      <w:r w:rsidR="002F3E43" w:rsidRPr="00545EC0">
        <w:t xml:space="preserve">Slika </w:t>
      </w:r>
      <w:r w:rsidR="002F3E43">
        <w:rPr>
          <w:noProof/>
        </w:rPr>
        <w:t>2</w:t>
      </w:r>
      <w:r w:rsidR="002F3E43" w:rsidRPr="00545EC0">
        <w:rPr>
          <w:noProof/>
        </w:rPr>
        <w:noBreakHyphen/>
      </w:r>
      <w:r w:rsidR="002F3E43">
        <w:rPr>
          <w:noProof/>
        </w:rPr>
        <w:t>34</w:t>
      </w:r>
      <w:r w:rsidR="00176EFA" w:rsidRPr="00545EC0">
        <w:fldChar w:fldCharType="end"/>
      </w:r>
      <w:r w:rsidRPr="00545EC0">
        <w:t xml:space="preserve">). </w:t>
      </w:r>
    </w:p>
    <w:p w14:paraId="06A19B41" w14:textId="77777777" w:rsidR="00226BD9" w:rsidRPr="00545EC0" w:rsidRDefault="00226BD9" w:rsidP="00226BD9"/>
    <w:p w14:paraId="00CDBF6B" w14:textId="77777777" w:rsidR="00226BD9" w:rsidRPr="00545EC0" w:rsidRDefault="00226BD9" w:rsidP="00226BD9">
      <w:r w:rsidRPr="00545EC0">
        <w:rPr>
          <w:noProof/>
        </w:rPr>
        <w:drawing>
          <wp:inline distT="0" distB="0" distL="0" distR="0" wp14:anchorId="314E0834" wp14:editId="199D816B">
            <wp:extent cx="5400000" cy="3372600"/>
            <wp:effectExtent l="0" t="0" r="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000" cy="3372600"/>
                    </a:xfrm>
                    <a:prstGeom prst="rect">
                      <a:avLst/>
                    </a:prstGeom>
                    <a:noFill/>
                  </pic:spPr>
                </pic:pic>
              </a:graphicData>
            </a:graphic>
          </wp:inline>
        </w:drawing>
      </w:r>
    </w:p>
    <w:p w14:paraId="70352530" w14:textId="172BB577" w:rsidR="00226BD9" w:rsidRPr="00545EC0" w:rsidRDefault="00176EFA" w:rsidP="00176EFA">
      <w:pPr>
        <w:pStyle w:val="Napis"/>
      </w:pPr>
      <w:bookmarkStart w:id="311" w:name="_Ref87819553"/>
      <w:r w:rsidRPr="00545EC0">
        <w:t xml:space="preserve">Slika </w:t>
      </w:r>
      <w:fldSimple w:instr=" STYLEREF 1 \s ">
        <w:r w:rsidR="002F3E43">
          <w:rPr>
            <w:noProof/>
          </w:rPr>
          <w:t>2</w:t>
        </w:r>
      </w:fldSimple>
      <w:r w:rsidR="00396E1E" w:rsidRPr="00545EC0">
        <w:noBreakHyphen/>
      </w:r>
      <w:fldSimple w:instr=" SEQ Slika \* ARABIC \s 1 ">
        <w:r w:rsidR="002F3E43">
          <w:rPr>
            <w:noProof/>
          </w:rPr>
          <w:t>34</w:t>
        </w:r>
      </w:fldSimple>
      <w:bookmarkEnd w:id="311"/>
      <w:r w:rsidRPr="00545EC0">
        <w:t xml:space="preserve">: </w:t>
      </w:r>
      <w:r w:rsidR="00226BD9" w:rsidRPr="00545EC0">
        <w:t>Delež števila dVTPV s pomembnim vplivom zaradi spremenjenega hidrološkega režima na porečjih na VO Donave</w:t>
      </w:r>
    </w:p>
    <w:p w14:paraId="41E0A0EB" w14:textId="77777777" w:rsidR="00226BD9" w:rsidRPr="00545EC0" w:rsidRDefault="00226BD9" w:rsidP="00226BD9"/>
    <w:p w14:paraId="618A2DC3" w14:textId="77777777" w:rsidR="00226BD9" w:rsidRPr="00545EC0" w:rsidRDefault="00226BD9" w:rsidP="00226BD9">
      <w:r w:rsidRPr="00545EC0">
        <w:t>V oceni pomembnih vplivov na ekološko stanje zaradi spremenjene zveznosti toka se upoštevajo sledeče pomembne obremenitve:</w:t>
      </w:r>
    </w:p>
    <w:p w14:paraId="0D0A7C3E" w14:textId="77777777" w:rsidR="00226BD9" w:rsidRPr="00545EC0" w:rsidRDefault="00226BD9" w:rsidP="00DD37C5">
      <w:pPr>
        <w:pStyle w:val="Odstavekseznama"/>
        <w:numPr>
          <w:ilvl w:val="0"/>
          <w:numId w:val="32"/>
        </w:numPr>
      </w:pPr>
      <w:r w:rsidRPr="00545EC0">
        <w:rPr>
          <w:lang w:val="sl-SI"/>
        </w:rPr>
        <w:t>pomembne obremenitve zaradi neprehodnih prečnih objektov za ribe,</w:t>
      </w:r>
    </w:p>
    <w:p w14:paraId="664D074D" w14:textId="77777777" w:rsidR="00226BD9" w:rsidRPr="00545EC0" w:rsidRDefault="00226BD9" w:rsidP="00DD37C5">
      <w:pPr>
        <w:pStyle w:val="Odstavekseznama"/>
        <w:numPr>
          <w:ilvl w:val="0"/>
          <w:numId w:val="32"/>
        </w:numPr>
      </w:pPr>
      <w:r w:rsidRPr="00545EC0">
        <w:rPr>
          <w:lang w:val="sl-SI"/>
        </w:rPr>
        <w:t>pomembne obremenitve zaradi vpliva prečnih objektov.</w:t>
      </w:r>
    </w:p>
    <w:p w14:paraId="341DF854" w14:textId="77777777" w:rsidR="00226BD9" w:rsidRPr="00545EC0" w:rsidRDefault="00226BD9" w:rsidP="00226BD9"/>
    <w:p w14:paraId="7CCC82CE" w14:textId="6EA46755" w:rsidR="00226BD9" w:rsidRPr="00545EC0" w:rsidRDefault="00226BD9" w:rsidP="00226BD9">
      <w:r w:rsidRPr="00545EC0">
        <w:t xml:space="preserve">Na VO Donave so pomembni vplivi zaradi spremenjene zveznosti toka prisotni na 184 dVTPV-jih na glavnem toku (69,4 % dVTPV-jev na glavnem toku) in na 32 dVTPV-jih na pritokih (6,8,0 %), pri čemer je potrebno upoštevati, da je bila analiza prehodnosti prečnih objektov za ribe izdelana le na glavnem toku izbranih vodotokov. Največji delež pomembnih vplivov zaradi spremenjene zveznosti toka je </w:t>
      </w:r>
      <w:r w:rsidRPr="00545EC0">
        <w:lastRenderedPageBreak/>
        <w:t>prisoten na dVTPV-jih na glavnem toku na porečjih Mure, Savinje in Drave, medtem ko je največji delež dVTPV-jev s pomembimi vplivi na pritokih prisoten na istih porečjih, le v drugačnem vrstnem redu glede na deleže (na porečjih Savinje, Mure in Drave) (</w:t>
      </w:r>
      <w:r w:rsidR="00176EFA" w:rsidRPr="00545EC0">
        <w:fldChar w:fldCharType="begin"/>
      </w:r>
      <w:r w:rsidR="00176EFA" w:rsidRPr="00545EC0">
        <w:instrText xml:space="preserve"> REF _Ref87819670 \h </w:instrText>
      </w:r>
      <w:r w:rsidR="003122F4" w:rsidRPr="00545EC0">
        <w:instrText xml:space="preserve"> \* MERGEFORMAT </w:instrText>
      </w:r>
      <w:r w:rsidR="00176EFA" w:rsidRPr="00545EC0">
        <w:fldChar w:fldCharType="separate"/>
      </w:r>
      <w:r w:rsidR="002F3E43" w:rsidRPr="00545EC0">
        <w:t xml:space="preserve">Slika </w:t>
      </w:r>
      <w:r w:rsidR="002F3E43">
        <w:rPr>
          <w:noProof/>
        </w:rPr>
        <w:t>2</w:t>
      </w:r>
      <w:r w:rsidR="002F3E43" w:rsidRPr="00545EC0">
        <w:rPr>
          <w:noProof/>
        </w:rPr>
        <w:noBreakHyphen/>
      </w:r>
      <w:r w:rsidR="002F3E43">
        <w:rPr>
          <w:noProof/>
        </w:rPr>
        <w:t>35</w:t>
      </w:r>
      <w:r w:rsidR="00176EFA" w:rsidRPr="00545EC0">
        <w:fldChar w:fldCharType="end"/>
      </w:r>
      <w:r w:rsidRPr="00545EC0">
        <w:t xml:space="preserve">). </w:t>
      </w:r>
    </w:p>
    <w:p w14:paraId="4CC3264D" w14:textId="77777777" w:rsidR="00226BD9" w:rsidRPr="00545EC0" w:rsidRDefault="00226BD9" w:rsidP="00226BD9"/>
    <w:p w14:paraId="75A12F69" w14:textId="77777777" w:rsidR="00226BD9" w:rsidRPr="00545EC0" w:rsidRDefault="00226BD9" w:rsidP="00226BD9">
      <w:r w:rsidRPr="00545EC0">
        <w:rPr>
          <w:noProof/>
        </w:rPr>
        <w:drawing>
          <wp:inline distT="0" distB="0" distL="0" distR="0" wp14:anchorId="4A7AA722" wp14:editId="5E6AA535">
            <wp:extent cx="5400000" cy="3388977"/>
            <wp:effectExtent l="0" t="0" r="0" b="254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00000" cy="3388977"/>
                    </a:xfrm>
                    <a:prstGeom prst="rect">
                      <a:avLst/>
                    </a:prstGeom>
                    <a:noFill/>
                  </pic:spPr>
                </pic:pic>
              </a:graphicData>
            </a:graphic>
          </wp:inline>
        </w:drawing>
      </w:r>
    </w:p>
    <w:p w14:paraId="43A4CE5F" w14:textId="6EB3D32D" w:rsidR="00226BD9" w:rsidRPr="00545EC0" w:rsidRDefault="00176EFA" w:rsidP="00176EFA">
      <w:pPr>
        <w:pStyle w:val="Napis"/>
      </w:pPr>
      <w:bookmarkStart w:id="312" w:name="_Ref87819670"/>
      <w:r w:rsidRPr="00545EC0">
        <w:t xml:space="preserve">Slika </w:t>
      </w:r>
      <w:fldSimple w:instr=" STYLEREF 1 \s ">
        <w:r w:rsidR="002F3E43">
          <w:rPr>
            <w:noProof/>
          </w:rPr>
          <w:t>2</w:t>
        </w:r>
      </w:fldSimple>
      <w:r w:rsidR="00396E1E" w:rsidRPr="00545EC0">
        <w:noBreakHyphen/>
      </w:r>
      <w:fldSimple w:instr=" SEQ Slika \* ARABIC \s 1 ">
        <w:r w:rsidR="002F3E43">
          <w:rPr>
            <w:noProof/>
          </w:rPr>
          <w:t>35</w:t>
        </w:r>
      </w:fldSimple>
      <w:bookmarkEnd w:id="312"/>
      <w:r w:rsidRPr="00545EC0">
        <w:t xml:space="preserve">: </w:t>
      </w:r>
      <w:r w:rsidR="00226BD9" w:rsidRPr="00545EC0">
        <w:t>Delež števila dVTPV (%) s pomembnih vplivom zaradi spremenjene zveznosti toka na porečjih na VO Donave</w:t>
      </w:r>
    </w:p>
    <w:p w14:paraId="248DFCB0" w14:textId="77777777" w:rsidR="00226BD9" w:rsidRPr="00545EC0" w:rsidRDefault="00226BD9" w:rsidP="00226BD9"/>
    <w:p w14:paraId="7623AE2C" w14:textId="77777777" w:rsidR="00226BD9" w:rsidRPr="00545EC0" w:rsidRDefault="00226BD9" w:rsidP="00226BD9">
      <w:r w:rsidRPr="00545EC0">
        <w:t>V oceni pomembnih vplivov na ekološko stanje zaradi spremenjenih morfoloških razmer se upoštevajo sledeče pomembne obremenitve:</w:t>
      </w:r>
    </w:p>
    <w:p w14:paraId="51DDBDB4" w14:textId="77777777" w:rsidR="00226BD9" w:rsidRPr="00545EC0" w:rsidRDefault="00226BD9" w:rsidP="00DD37C5">
      <w:pPr>
        <w:pStyle w:val="Odstavekseznama"/>
        <w:numPr>
          <w:ilvl w:val="0"/>
          <w:numId w:val="32"/>
        </w:numPr>
      </w:pPr>
      <w:r w:rsidRPr="00545EC0">
        <w:rPr>
          <w:lang w:val="sl-SI"/>
        </w:rPr>
        <w:t>pomembne obremenitve zaradi odvzemov naplavin,</w:t>
      </w:r>
    </w:p>
    <w:p w14:paraId="42C375A3" w14:textId="77777777" w:rsidR="00226BD9" w:rsidRPr="00545EC0" w:rsidRDefault="00226BD9" w:rsidP="00DD37C5">
      <w:pPr>
        <w:pStyle w:val="Odstavekseznama"/>
        <w:numPr>
          <w:ilvl w:val="0"/>
          <w:numId w:val="32"/>
        </w:numPr>
      </w:pPr>
      <w:r w:rsidRPr="00545EC0">
        <w:rPr>
          <w:lang w:val="sl-SI"/>
        </w:rPr>
        <w:t>pomembne obremenitve zaradi hidromorfološke spremenjenosti vodotokov,</w:t>
      </w:r>
    </w:p>
    <w:p w14:paraId="5F84C07C" w14:textId="77777777" w:rsidR="00226BD9" w:rsidRPr="00545EC0" w:rsidRDefault="00226BD9" w:rsidP="00DD37C5">
      <w:pPr>
        <w:pStyle w:val="Odstavekseznama"/>
        <w:numPr>
          <w:ilvl w:val="0"/>
          <w:numId w:val="32"/>
        </w:numPr>
      </w:pPr>
      <w:r w:rsidRPr="00545EC0">
        <w:rPr>
          <w:lang w:val="sl-SI"/>
        </w:rPr>
        <w:t>pomembne obremenitve zaradi hidromorfološke spremenjenosti jezer in zadrževalnikov,</w:t>
      </w:r>
    </w:p>
    <w:p w14:paraId="02D93FD3" w14:textId="77777777" w:rsidR="00226BD9" w:rsidRPr="00545EC0" w:rsidRDefault="00226BD9" w:rsidP="00DD37C5">
      <w:pPr>
        <w:pStyle w:val="Odstavekseznama"/>
        <w:numPr>
          <w:ilvl w:val="0"/>
          <w:numId w:val="32"/>
        </w:numPr>
      </w:pPr>
      <w:r w:rsidRPr="00545EC0">
        <w:rPr>
          <w:lang w:val="sl-SI"/>
        </w:rPr>
        <w:t>pomembne obremenitve zaradi spremenjenega obrežnega pasu,</w:t>
      </w:r>
    </w:p>
    <w:p w14:paraId="63722EE8" w14:textId="77777777" w:rsidR="00226BD9" w:rsidRPr="00545EC0" w:rsidRDefault="00226BD9" w:rsidP="00DD37C5">
      <w:pPr>
        <w:pStyle w:val="Odstavekseznama"/>
        <w:numPr>
          <w:ilvl w:val="0"/>
          <w:numId w:val="32"/>
        </w:numPr>
      </w:pPr>
      <w:r w:rsidRPr="00545EC0">
        <w:rPr>
          <w:lang w:val="sl-SI"/>
        </w:rPr>
        <w:t xml:space="preserve">pomembne obremenitve zaradi plovbe. </w:t>
      </w:r>
    </w:p>
    <w:p w14:paraId="2E7E6F66" w14:textId="77777777" w:rsidR="00226BD9" w:rsidRPr="00545EC0" w:rsidRDefault="00226BD9" w:rsidP="00226BD9"/>
    <w:p w14:paraId="438462DD" w14:textId="341D0FF5" w:rsidR="00226BD9" w:rsidRPr="00545EC0" w:rsidRDefault="00226BD9" w:rsidP="00226BD9">
      <w:r w:rsidRPr="00545EC0">
        <w:t>Na VO Donave so pomembni vplivi zaradi spremenjenih morfoloških razmer prisotni na 191 dVTPV-jih na glavnem toku (72,0 % dVTPV-jev na glavnem toku) in na 123 dVTPV-jih na pritokih (26,2  Največji delež pomembnih vplivov zaradi spremenjenih morfoloških razmer je prisoten na dVTPV-jih na glavnem toku na porečjih Mure, Drave in Savinje, medtem ko je največji delež dVTPV-jev s pomembimi vplivi na pritokih prisoten na porečjih Srednje Save, Savinje in Drave (</w:t>
      </w:r>
      <w:r w:rsidR="00176EFA" w:rsidRPr="00545EC0">
        <w:fldChar w:fldCharType="begin"/>
      </w:r>
      <w:r w:rsidR="00176EFA" w:rsidRPr="00545EC0">
        <w:instrText xml:space="preserve"> REF _Ref87819699 \h </w:instrText>
      </w:r>
      <w:r w:rsidR="003122F4" w:rsidRPr="00545EC0">
        <w:instrText xml:space="preserve"> \* MERGEFORMAT </w:instrText>
      </w:r>
      <w:r w:rsidR="00176EFA" w:rsidRPr="00545EC0">
        <w:fldChar w:fldCharType="separate"/>
      </w:r>
      <w:r w:rsidR="002F3E43" w:rsidRPr="00545EC0">
        <w:t xml:space="preserve">Slika </w:t>
      </w:r>
      <w:r w:rsidR="002F3E43">
        <w:rPr>
          <w:noProof/>
        </w:rPr>
        <w:t>2</w:t>
      </w:r>
      <w:r w:rsidR="002F3E43" w:rsidRPr="00545EC0">
        <w:rPr>
          <w:noProof/>
        </w:rPr>
        <w:noBreakHyphen/>
      </w:r>
      <w:r w:rsidR="002F3E43">
        <w:rPr>
          <w:noProof/>
        </w:rPr>
        <w:t>36</w:t>
      </w:r>
      <w:r w:rsidR="00176EFA" w:rsidRPr="00545EC0">
        <w:fldChar w:fldCharType="end"/>
      </w:r>
      <w:r w:rsidRPr="00545EC0">
        <w:t xml:space="preserve">). </w:t>
      </w:r>
    </w:p>
    <w:p w14:paraId="48D184B6" w14:textId="77777777" w:rsidR="00226BD9" w:rsidRPr="00545EC0" w:rsidRDefault="00226BD9" w:rsidP="00226BD9"/>
    <w:p w14:paraId="28DD1E73" w14:textId="77777777" w:rsidR="00226BD9" w:rsidRPr="00545EC0" w:rsidRDefault="00226BD9" w:rsidP="00226BD9"/>
    <w:p w14:paraId="45E5DD92" w14:textId="77777777" w:rsidR="00226BD9" w:rsidRPr="00545EC0" w:rsidRDefault="00226BD9" w:rsidP="00226BD9">
      <w:pPr>
        <w:rPr>
          <w:b/>
          <w:i/>
        </w:rPr>
      </w:pPr>
    </w:p>
    <w:p w14:paraId="1E7201EF" w14:textId="77777777" w:rsidR="00226BD9" w:rsidRPr="00545EC0" w:rsidRDefault="00226BD9" w:rsidP="00226BD9">
      <w:pPr>
        <w:spacing w:line="276" w:lineRule="auto"/>
        <w:rPr>
          <w:rFonts w:cs="Arial"/>
          <w:szCs w:val="20"/>
        </w:rPr>
      </w:pPr>
      <w:r w:rsidRPr="00545EC0">
        <w:rPr>
          <w:rFonts w:cs="Arial"/>
          <w:noProof/>
          <w:szCs w:val="20"/>
        </w:rPr>
        <w:lastRenderedPageBreak/>
        <w:drawing>
          <wp:inline distT="0" distB="0" distL="0" distR="0" wp14:anchorId="3C50C4A3" wp14:editId="019467A7">
            <wp:extent cx="5400000" cy="3383330"/>
            <wp:effectExtent l="0" t="0" r="0" b="762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00000" cy="3383330"/>
                    </a:xfrm>
                    <a:prstGeom prst="rect">
                      <a:avLst/>
                    </a:prstGeom>
                    <a:noFill/>
                  </pic:spPr>
                </pic:pic>
              </a:graphicData>
            </a:graphic>
          </wp:inline>
        </w:drawing>
      </w:r>
    </w:p>
    <w:p w14:paraId="16C0E3C7" w14:textId="46B9DC11" w:rsidR="00226BD9" w:rsidRPr="00545EC0" w:rsidRDefault="00176EFA" w:rsidP="00176EFA">
      <w:pPr>
        <w:pStyle w:val="Napis"/>
        <w:rPr>
          <w:szCs w:val="20"/>
        </w:rPr>
      </w:pPr>
      <w:bookmarkStart w:id="313" w:name="_Ref87819699"/>
      <w:r w:rsidRPr="00545EC0">
        <w:t xml:space="preserve">Slika </w:t>
      </w:r>
      <w:fldSimple w:instr=" STYLEREF 1 \s ">
        <w:r w:rsidR="002F3E43">
          <w:rPr>
            <w:noProof/>
          </w:rPr>
          <w:t>2</w:t>
        </w:r>
      </w:fldSimple>
      <w:r w:rsidR="00396E1E" w:rsidRPr="00545EC0">
        <w:noBreakHyphen/>
      </w:r>
      <w:fldSimple w:instr=" SEQ Slika \* ARABIC \s 1 ">
        <w:r w:rsidR="002F3E43">
          <w:rPr>
            <w:noProof/>
          </w:rPr>
          <w:t>36</w:t>
        </w:r>
      </w:fldSimple>
      <w:bookmarkEnd w:id="313"/>
      <w:r w:rsidRPr="00545EC0">
        <w:t xml:space="preserve">: </w:t>
      </w:r>
      <w:r w:rsidR="00226BD9" w:rsidRPr="00545EC0">
        <w:rPr>
          <w:szCs w:val="20"/>
        </w:rPr>
        <w:t>Delež števila dVTPV (%) s pomembnim vplivom zaradi spremenjenih morfoloških razmer na porečjih na VO Donave</w:t>
      </w:r>
      <w:r w:rsidR="00076BA1">
        <w:rPr>
          <w:szCs w:val="20"/>
        </w:rPr>
        <w:t xml:space="preserve"> </w:t>
      </w:r>
    </w:p>
    <w:p w14:paraId="00EEF462" w14:textId="77777777" w:rsidR="00226BD9" w:rsidRPr="00545EC0" w:rsidRDefault="00226BD9" w:rsidP="00226BD9">
      <w:pPr>
        <w:spacing w:line="276" w:lineRule="auto"/>
        <w:rPr>
          <w:rFonts w:cs="Arial"/>
          <w:szCs w:val="20"/>
        </w:rPr>
      </w:pPr>
    </w:p>
    <w:p w14:paraId="334320CC" w14:textId="1842B4CE" w:rsidR="00226BD9" w:rsidRPr="00545EC0" w:rsidRDefault="00226BD9" w:rsidP="00226BD9">
      <w:pPr>
        <w:spacing w:line="276" w:lineRule="auto"/>
        <w:rPr>
          <w:rFonts w:cs="Arial"/>
          <w:szCs w:val="20"/>
        </w:rPr>
      </w:pPr>
      <w:r w:rsidRPr="00545EC0">
        <w:rPr>
          <w:rFonts w:cs="Arial"/>
          <w:szCs w:val="20"/>
        </w:rPr>
        <w:t>Ne glede na to, da nekaterih hidromorfoloških obremenitev zaradi pomanjkljivih podatkov še ni bilo možno podrobneje analizirati na pritokih dVTPV-jev (npr. prehodnost prečnih objektov za ribe) ter da se monitoring ekološkega stanja na pritokih ne izvaja, rezultati analize kažejo, da so pomembni vplivi v večjih deležih prisotni na dVTPV-jih na glavnem toku, saj so na VO Donave pomembni vplivi prisotni kar na 82,3 % dVTPV-jev na glavnem toku, medtem ko je s pomembnimi vplivi obremenjenih le 35,4 dVTPV-jev na pritokih.</w:t>
      </w:r>
    </w:p>
    <w:p w14:paraId="633C5E87" w14:textId="77777777" w:rsidR="008E0674" w:rsidRPr="00545EC0" w:rsidRDefault="008E0674" w:rsidP="00226BD9">
      <w:pPr>
        <w:spacing w:line="276" w:lineRule="auto"/>
        <w:rPr>
          <w:rFonts w:cs="Arial"/>
          <w:szCs w:val="20"/>
        </w:rPr>
      </w:pPr>
    </w:p>
    <w:p w14:paraId="53E0AA28" w14:textId="77777777" w:rsidR="002F3A35" w:rsidRPr="00545EC0" w:rsidRDefault="001A732E" w:rsidP="00424902">
      <w:pPr>
        <w:pStyle w:val="Naslov4"/>
        <w:rPr>
          <w:color w:val="auto"/>
        </w:rPr>
      </w:pPr>
      <w:r w:rsidRPr="00545EC0">
        <w:rPr>
          <w:color w:val="auto"/>
        </w:rPr>
        <w:t>Podzemne vode</w:t>
      </w:r>
    </w:p>
    <w:p w14:paraId="17FBA1F0" w14:textId="77777777" w:rsidR="00315DE0" w:rsidRPr="00545EC0" w:rsidRDefault="00315DE0" w:rsidP="00315DE0">
      <w:pPr>
        <w:pStyle w:val="podnaslov0"/>
      </w:pPr>
      <w:bookmarkStart w:id="314" w:name="_Toc417058066"/>
      <w:r w:rsidRPr="00545EC0">
        <w:t>Točkovni vir</w:t>
      </w:r>
      <w:bookmarkEnd w:id="314"/>
      <w:r w:rsidRPr="00545EC0">
        <w:t xml:space="preserve">i industrijske odpadne vode </w:t>
      </w:r>
    </w:p>
    <w:p w14:paraId="2B802198" w14:textId="521F030C" w:rsidR="00315DE0" w:rsidRPr="00545EC0" w:rsidRDefault="00C12042" w:rsidP="00315DE0">
      <w:pPr>
        <w:spacing w:before="120" w:after="120"/>
      </w:pPr>
      <w:r w:rsidRPr="00545EC0">
        <w:t>Ocena vplivov točkovnih virov industrijske odpadle vode je pripravljena na osnovi kombinacije pregleda rezultatov državnega monitoringa stanja podzemne vode ter izračun</w:t>
      </w:r>
      <w:r w:rsidR="007072A5" w:rsidRPr="00545EC0">
        <w:t>e</w:t>
      </w:r>
      <w:r w:rsidRPr="00545EC0">
        <w:t xml:space="preserve"> masne bilance posameznega onesnaževala oziroma </w:t>
      </w:r>
      <w:r w:rsidR="007072A5" w:rsidRPr="00545EC0">
        <w:t xml:space="preserve">njegove </w:t>
      </w:r>
      <w:r w:rsidRPr="00545EC0">
        <w:t xml:space="preserve">pričakovane koncentracije glede na obnavljanje podzemne vode. </w:t>
      </w:r>
    </w:p>
    <w:p w14:paraId="333E6FF0" w14:textId="77777777" w:rsidR="006C09EC" w:rsidRPr="00545EC0" w:rsidRDefault="006C09EC" w:rsidP="003122F4">
      <w:pPr>
        <w:spacing w:before="120" w:after="120"/>
      </w:pPr>
    </w:p>
    <w:p w14:paraId="0D968F7D" w14:textId="6148A3FC" w:rsidR="00D73C4E" w:rsidRPr="00545EC0" w:rsidRDefault="00D73C4E" w:rsidP="007072A5">
      <w:r w:rsidRPr="00545EC0">
        <w:t xml:space="preserve">Ocena </w:t>
      </w:r>
      <w:r w:rsidR="007072A5" w:rsidRPr="00545EC0">
        <w:t xml:space="preserve">vplivov emisij </w:t>
      </w:r>
      <w:r w:rsidRPr="00545EC0">
        <w:t xml:space="preserve">snovi </w:t>
      </w:r>
      <w:r w:rsidR="007072A5" w:rsidRPr="00545EC0">
        <w:t>iz industrijskih naprav, ki odvajajo odpadno vodo posredno v podzemno vod</w:t>
      </w:r>
      <w:r w:rsidRPr="00545EC0">
        <w:t>o</w:t>
      </w:r>
      <w:r w:rsidR="007072A5" w:rsidRPr="00545EC0">
        <w:t xml:space="preserve"> ali v vodotok, ki ponika, je izvedeno upoštevajoč podatke za obdobje od 2012 do 2017.</w:t>
      </w:r>
      <w:r w:rsidRPr="00545EC0">
        <w:t xml:space="preserve"> Ocena vpliva je pripravljena v kombinaciji z razpoložljivimi podatki državnega monitoringa kemijskega stanja podzemnih voda. Poleg navedenega so bili podatki o letnih količinah emisij onesnaževal na iztokih industrijske odpadne vode v tla in vodotok, ki ponika v tla, upoštevajoč obdobje od 2012 do 2017 ekstrapolirani z namenom ugotavljanja morebitnega naraščanja vnosa onesnaževal v podzemno vodo</w:t>
      </w:r>
    </w:p>
    <w:p w14:paraId="53C7F044" w14:textId="06A51231" w:rsidR="007072A5" w:rsidRPr="00545EC0" w:rsidRDefault="007072A5" w:rsidP="007072A5">
      <w:r w:rsidRPr="00545EC0">
        <w:t xml:space="preserve"> </w:t>
      </w:r>
    </w:p>
    <w:p w14:paraId="35405218" w14:textId="28230E87" w:rsidR="00A077B1" w:rsidRPr="00545EC0" w:rsidRDefault="007072A5" w:rsidP="00A077B1">
      <w:pPr>
        <w:rPr>
          <w:rFonts w:cs="Arial"/>
          <w:szCs w:val="20"/>
        </w:rPr>
      </w:pPr>
      <w:r w:rsidRPr="00545EC0">
        <w:t>Na VO Donave je skupno 98</w:t>
      </w:r>
      <w:r w:rsidR="004227E2" w:rsidRPr="00545EC0">
        <w:t xml:space="preserve"> točkovnih virov industrijske odpadne vode, ki odpadne vode odvajajo posredno v podzemne vode ali v vodotoke, ki ponikajo.</w:t>
      </w:r>
      <w:r w:rsidR="00D73C4E" w:rsidRPr="00545EC0">
        <w:t xml:space="preserve"> Ob upoštevanju načel</w:t>
      </w:r>
      <w:r w:rsidR="00FB42E8" w:rsidRPr="00545EC0">
        <w:t>a</w:t>
      </w:r>
      <w:r w:rsidR="00D73C4E" w:rsidRPr="00545EC0">
        <w:t xml:space="preserve">, da je treba preprečiti vnos nevarnih onesnaževal v podzemno vodo </w:t>
      </w:r>
      <w:r w:rsidR="00FB42E8" w:rsidRPr="00545EC0">
        <w:t>ter</w:t>
      </w:r>
      <w:r w:rsidR="00D73C4E" w:rsidRPr="00545EC0">
        <w:t xml:space="preserve"> ustaviti trend naraščanja onesnaževal v podzemno </w:t>
      </w:r>
      <w:r w:rsidR="00D73C4E" w:rsidRPr="00545EC0">
        <w:lastRenderedPageBreak/>
        <w:t xml:space="preserve">vodo, in na podlagi podatkov </w:t>
      </w:r>
      <w:r w:rsidR="004227E2" w:rsidRPr="00545EC0">
        <w:rPr>
          <w:rFonts w:cs="Arial"/>
          <w:szCs w:val="20"/>
        </w:rPr>
        <w:t xml:space="preserve">obratovalnega monitoringa industrijskih odpadnih voda </w:t>
      </w:r>
      <w:r w:rsidR="00D73C4E" w:rsidRPr="00545EC0">
        <w:rPr>
          <w:rFonts w:cs="Arial"/>
          <w:szCs w:val="20"/>
        </w:rPr>
        <w:t xml:space="preserve">se ocenjuje, da so vplivi </w:t>
      </w:r>
      <w:r w:rsidR="00FB42E8" w:rsidRPr="00545EC0">
        <w:rPr>
          <w:rFonts w:cs="Arial"/>
          <w:szCs w:val="20"/>
        </w:rPr>
        <w:t xml:space="preserve">na podzemne vode </w:t>
      </w:r>
      <w:r w:rsidR="00D73C4E" w:rsidRPr="00545EC0">
        <w:rPr>
          <w:rFonts w:cs="Arial"/>
          <w:szCs w:val="20"/>
        </w:rPr>
        <w:t xml:space="preserve">lahko prisotni </w:t>
      </w:r>
      <w:r w:rsidR="00FB42E8" w:rsidRPr="00545EC0">
        <w:rPr>
          <w:rFonts w:cs="Arial"/>
          <w:szCs w:val="20"/>
        </w:rPr>
        <w:t>zaradi emisij</w:t>
      </w:r>
      <w:r w:rsidR="00A077B1" w:rsidRPr="00545EC0">
        <w:rPr>
          <w:rFonts w:cs="Arial"/>
          <w:szCs w:val="20"/>
        </w:rPr>
        <w:t>:</w:t>
      </w:r>
    </w:p>
    <w:p w14:paraId="0D462ECE" w14:textId="10547A45" w:rsidR="00A077B1" w:rsidRPr="00545EC0" w:rsidRDefault="007072A5" w:rsidP="00DD37C5">
      <w:pPr>
        <w:pStyle w:val="Odstavekseznama"/>
        <w:numPr>
          <w:ilvl w:val="0"/>
          <w:numId w:val="32"/>
        </w:numPr>
        <w:rPr>
          <w:rFonts w:cs="Arial"/>
          <w:szCs w:val="20"/>
        </w:rPr>
      </w:pPr>
      <w:r w:rsidRPr="00545EC0">
        <w:t>celotnih ogljikovodikov (mineralna olja)</w:t>
      </w:r>
      <w:r w:rsidR="00A077B1" w:rsidRPr="00545EC0">
        <w:rPr>
          <w:lang w:val="sl-SI"/>
        </w:rPr>
        <w:t xml:space="preserve"> </w:t>
      </w:r>
      <w:r w:rsidR="00A077B1" w:rsidRPr="00545EC0">
        <w:t xml:space="preserve">na </w:t>
      </w:r>
      <w:r w:rsidR="00A077B1" w:rsidRPr="00545EC0">
        <w:rPr>
          <w:lang w:val="sl-SI"/>
        </w:rPr>
        <w:t>26 iztokih</w:t>
      </w:r>
      <w:r w:rsidR="00FB42E8" w:rsidRPr="00545EC0">
        <w:rPr>
          <w:lang w:val="sl-SI"/>
        </w:rPr>
        <w:t xml:space="preserve"> </w:t>
      </w:r>
      <w:r w:rsidR="00FB42E8" w:rsidRPr="00545EC0">
        <w:t>industrijske odpadne v</w:t>
      </w:r>
      <w:r w:rsidR="00FB42E8" w:rsidRPr="00545EC0">
        <w:rPr>
          <w:lang w:val="sl-SI"/>
        </w:rPr>
        <w:t>ode</w:t>
      </w:r>
      <w:r w:rsidR="00A077B1" w:rsidRPr="00545EC0">
        <w:t>,</w:t>
      </w:r>
    </w:p>
    <w:p w14:paraId="7FE64FCF" w14:textId="3E59EE2A" w:rsidR="00A077B1" w:rsidRPr="00545EC0" w:rsidRDefault="00A077B1" w:rsidP="00DD37C5">
      <w:pPr>
        <w:pStyle w:val="Odstavekseznama"/>
        <w:numPr>
          <w:ilvl w:val="0"/>
          <w:numId w:val="32"/>
        </w:numPr>
        <w:rPr>
          <w:rFonts w:cs="Arial"/>
          <w:szCs w:val="20"/>
        </w:rPr>
      </w:pPr>
      <w:r w:rsidRPr="00545EC0">
        <w:t>lahkohlapnih halogeniranih ogljikovodikov</w:t>
      </w:r>
      <w:r w:rsidRPr="00545EC0">
        <w:rPr>
          <w:lang w:val="sl-SI"/>
        </w:rPr>
        <w:t xml:space="preserve"> </w:t>
      </w:r>
      <w:r w:rsidRPr="00545EC0">
        <w:t xml:space="preserve">na 9 </w:t>
      </w:r>
      <w:r w:rsidRPr="00545EC0">
        <w:rPr>
          <w:lang w:val="sl-SI"/>
        </w:rPr>
        <w:t xml:space="preserve">iztokih </w:t>
      </w:r>
      <w:r w:rsidRPr="00545EC0">
        <w:t>industrijske odpadne vode,</w:t>
      </w:r>
    </w:p>
    <w:p w14:paraId="7724C12F" w14:textId="6F7C4754" w:rsidR="00A077B1" w:rsidRPr="00545EC0" w:rsidRDefault="00A077B1" w:rsidP="00DD37C5">
      <w:pPr>
        <w:pStyle w:val="Odstavekseznama"/>
        <w:numPr>
          <w:ilvl w:val="0"/>
          <w:numId w:val="32"/>
        </w:numPr>
        <w:rPr>
          <w:rFonts w:cs="Arial"/>
          <w:szCs w:val="20"/>
        </w:rPr>
      </w:pPr>
      <w:r w:rsidRPr="00545EC0">
        <w:t>niklja</w:t>
      </w:r>
      <w:r w:rsidRPr="00545EC0">
        <w:rPr>
          <w:lang w:val="sl-SI"/>
        </w:rPr>
        <w:t xml:space="preserve"> </w:t>
      </w:r>
      <w:r w:rsidRPr="00545EC0">
        <w:t xml:space="preserve">na 8 </w:t>
      </w:r>
      <w:r w:rsidRPr="00545EC0">
        <w:rPr>
          <w:lang w:val="sl-SI"/>
        </w:rPr>
        <w:t xml:space="preserve">iztokih </w:t>
      </w:r>
      <w:r w:rsidRPr="00545EC0">
        <w:t>industrijske odpadne vode</w:t>
      </w:r>
      <w:r w:rsidRPr="00545EC0">
        <w:rPr>
          <w:lang w:val="sl-SI"/>
        </w:rPr>
        <w:t>,</w:t>
      </w:r>
    </w:p>
    <w:p w14:paraId="2A75179F" w14:textId="6A206683" w:rsidR="00FB42E8" w:rsidRPr="00545EC0" w:rsidRDefault="00FB42E8" w:rsidP="00DD37C5">
      <w:pPr>
        <w:pStyle w:val="Odstavekseznama"/>
        <w:numPr>
          <w:ilvl w:val="0"/>
          <w:numId w:val="32"/>
        </w:numPr>
        <w:rPr>
          <w:rFonts w:cs="Arial"/>
          <w:szCs w:val="20"/>
        </w:rPr>
      </w:pPr>
      <w:r w:rsidRPr="00545EC0">
        <w:rPr>
          <w:lang w:val="sl-SI"/>
        </w:rPr>
        <w:t>svinca, kadmija</w:t>
      </w:r>
      <w:r w:rsidR="00A077B1" w:rsidRPr="00545EC0">
        <w:rPr>
          <w:lang w:val="sl-SI"/>
        </w:rPr>
        <w:t xml:space="preserve"> in </w:t>
      </w:r>
      <w:r w:rsidRPr="00545EC0">
        <w:rPr>
          <w:lang w:val="sl-SI"/>
        </w:rPr>
        <w:t>živega srebra</w:t>
      </w:r>
      <w:r w:rsidR="006A0121" w:rsidRPr="00545EC0">
        <w:rPr>
          <w:lang w:val="sl-SI"/>
        </w:rPr>
        <w:t>,</w:t>
      </w:r>
      <w:r w:rsidRPr="00545EC0">
        <w:rPr>
          <w:lang w:val="sl-SI"/>
        </w:rPr>
        <w:t xml:space="preserve"> </w:t>
      </w:r>
      <w:r w:rsidR="00CA5ECD" w:rsidRPr="00545EC0">
        <w:rPr>
          <w:lang w:val="sl-SI"/>
        </w:rPr>
        <w:t xml:space="preserve">pri čemer za vsak navedene prarameter velja, da se pojavlja na </w:t>
      </w:r>
      <w:r w:rsidR="00A077B1" w:rsidRPr="00545EC0">
        <w:rPr>
          <w:lang w:val="sl-SI"/>
        </w:rPr>
        <w:t>6 iztokih industrijske odpadne vod</w:t>
      </w:r>
      <w:r w:rsidR="006A0121" w:rsidRPr="00545EC0">
        <w:rPr>
          <w:lang w:val="sl-SI"/>
        </w:rPr>
        <w:t>e</w:t>
      </w:r>
      <w:r w:rsidR="00A077B1" w:rsidRPr="00545EC0">
        <w:rPr>
          <w:lang w:val="sl-SI"/>
        </w:rPr>
        <w:t>,</w:t>
      </w:r>
    </w:p>
    <w:p w14:paraId="1B9EE613" w14:textId="37646074" w:rsidR="00CA5ECD" w:rsidRPr="00545EC0" w:rsidRDefault="00CA5ECD" w:rsidP="00DD37C5">
      <w:pPr>
        <w:pStyle w:val="Odstavekseznama"/>
        <w:numPr>
          <w:ilvl w:val="0"/>
          <w:numId w:val="32"/>
        </w:numPr>
        <w:rPr>
          <w:rFonts w:cs="Arial"/>
          <w:szCs w:val="20"/>
        </w:rPr>
      </w:pPr>
      <w:r w:rsidRPr="00545EC0">
        <w:rPr>
          <w:lang w:val="sl-SI"/>
        </w:rPr>
        <w:t xml:space="preserve">ksilena </w:t>
      </w:r>
      <w:r w:rsidRPr="00545EC0">
        <w:t xml:space="preserve">na </w:t>
      </w:r>
      <w:r w:rsidRPr="00545EC0">
        <w:rPr>
          <w:lang w:val="sl-SI"/>
        </w:rPr>
        <w:t>5</w:t>
      </w:r>
      <w:r w:rsidRPr="00545EC0">
        <w:t xml:space="preserve"> </w:t>
      </w:r>
      <w:r w:rsidRPr="00545EC0">
        <w:rPr>
          <w:lang w:val="sl-SI"/>
        </w:rPr>
        <w:t xml:space="preserve">iztokih </w:t>
      </w:r>
      <w:r w:rsidRPr="00545EC0">
        <w:t>industrijske odpadne vode</w:t>
      </w:r>
      <w:r w:rsidRPr="00545EC0">
        <w:rPr>
          <w:lang w:val="sl-SI"/>
        </w:rPr>
        <w:t>,</w:t>
      </w:r>
    </w:p>
    <w:p w14:paraId="591FE36B" w14:textId="0CF62974" w:rsidR="00CA5ECD" w:rsidRPr="00545EC0" w:rsidRDefault="00CA5ECD" w:rsidP="00DD37C5">
      <w:pPr>
        <w:pStyle w:val="Odstavekseznama"/>
        <w:numPr>
          <w:ilvl w:val="0"/>
          <w:numId w:val="32"/>
        </w:numPr>
        <w:rPr>
          <w:rFonts w:cs="Arial"/>
          <w:szCs w:val="20"/>
        </w:rPr>
      </w:pPr>
      <w:r w:rsidRPr="00545EC0">
        <w:t>trikloroetena,</w:t>
      </w:r>
      <w:r w:rsidRPr="00545EC0">
        <w:rPr>
          <w:lang w:val="sl-SI"/>
        </w:rPr>
        <w:t xml:space="preserve"> </w:t>
      </w:r>
      <w:r w:rsidRPr="00545EC0">
        <w:t>diklorometana,</w:t>
      </w:r>
      <w:r w:rsidRPr="00545EC0">
        <w:rPr>
          <w:lang w:val="sl-SI"/>
        </w:rPr>
        <w:t xml:space="preserve"> </w:t>
      </w:r>
      <w:r w:rsidRPr="00545EC0">
        <w:t>tetrakloroetena</w:t>
      </w:r>
      <w:r w:rsidRPr="00545EC0">
        <w:rPr>
          <w:lang w:val="sl-SI"/>
        </w:rPr>
        <w:t xml:space="preserve">, </w:t>
      </w:r>
      <w:r w:rsidRPr="00545EC0">
        <w:t>1.2-dikloroetana</w:t>
      </w:r>
      <w:r w:rsidR="006A0121" w:rsidRPr="00545EC0">
        <w:rPr>
          <w:lang w:val="sl-SI"/>
        </w:rPr>
        <w:t xml:space="preserve">, </w:t>
      </w:r>
      <w:r w:rsidRPr="00545EC0">
        <w:rPr>
          <w:lang w:val="sl-SI"/>
        </w:rPr>
        <w:t>pri čemer za vsak navedene prarameter velja, da se pojavlja na 4 iztokih industrijske odpadne vode,</w:t>
      </w:r>
    </w:p>
    <w:p w14:paraId="5E07EED5" w14:textId="72C38A5A" w:rsidR="00CA5ECD" w:rsidRPr="00545EC0" w:rsidRDefault="00CA5ECD" w:rsidP="00DD37C5">
      <w:pPr>
        <w:pStyle w:val="Odstavekseznama"/>
        <w:numPr>
          <w:ilvl w:val="0"/>
          <w:numId w:val="32"/>
        </w:numPr>
        <w:rPr>
          <w:rFonts w:cs="Arial"/>
          <w:szCs w:val="20"/>
        </w:rPr>
      </w:pPr>
      <w:r w:rsidRPr="00545EC0">
        <w:t>tetraklorometana,</w:t>
      </w:r>
      <w:r w:rsidRPr="00545EC0">
        <w:rPr>
          <w:lang w:val="sl-SI"/>
        </w:rPr>
        <w:t xml:space="preserve"> </w:t>
      </w:r>
      <w:r w:rsidRPr="00545EC0">
        <w:t>1.1-dikloroetena,</w:t>
      </w:r>
      <w:r w:rsidRPr="00545EC0">
        <w:rPr>
          <w:lang w:val="sl-SI"/>
        </w:rPr>
        <w:t xml:space="preserve"> </w:t>
      </w:r>
      <w:r w:rsidRPr="00545EC0">
        <w:t>arzena</w:t>
      </w:r>
      <w:r w:rsidR="006A0121" w:rsidRPr="00545EC0">
        <w:rPr>
          <w:lang w:val="sl-SI"/>
        </w:rPr>
        <w:t>,</w:t>
      </w:r>
      <w:r w:rsidRPr="00545EC0">
        <w:rPr>
          <w:lang w:val="sl-SI"/>
        </w:rPr>
        <w:t xml:space="preserve"> pri čemer za vsak navedene prarameter velja, da se pojavlja na 3 iztokih industrijske odpadne vode,</w:t>
      </w:r>
    </w:p>
    <w:p w14:paraId="10D073FA" w14:textId="4ED27CCD" w:rsidR="00CA5ECD" w:rsidRPr="00545EC0" w:rsidRDefault="00CA5ECD" w:rsidP="00DD37C5">
      <w:pPr>
        <w:pStyle w:val="Odstavekseznama"/>
        <w:numPr>
          <w:ilvl w:val="0"/>
          <w:numId w:val="32"/>
        </w:numPr>
        <w:rPr>
          <w:rFonts w:cs="Arial"/>
          <w:szCs w:val="20"/>
        </w:rPr>
      </w:pPr>
      <w:r w:rsidRPr="00545EC0">
        <w:t>triklorometana,</w:t>
      </w:r>
      <w:r w:rsidRPr="00545EC0">
        <w:rPr>
          <w:lang w:val="sl-SI"/>
        </w:rPr>
        <w:t xml:space="preserve"> emisij </w:t>
      </w:r>
      <w:r w:rsidRPr="00545EC0">
        <w:t>lahkohlapnih aromatskih ogljikovodikov (BTX), fluorantena</w:t>
      </w:r>
      <w:r w:rsidR="006A0121" w:rsidRPr="00545EC0">
        <w:rPr>
          <w:lang w:val="sl-SI"/>
        </w:rPr>
        <w:t xml:space="preserve">, </w:t>
      </w:r>
      <w:r w:rsidRPr="00545EC0">
        <w:rPr>
          <w:lang w:val="sl-SI"/>
        </w:rPr>
        <w:t>pri čemer za vsak navedene prarameter velja, da se pojavlja na 2 iztokih industrijske odpadne vode,</w:t>
      </w:r>
    </w:p>
    <w:p w14:paraId="7E56DDFE" w14:textId="0DCF4B71" w:rsidR="00CA5ECD" w:rsidRPr="00545EC0" w:rsidRDefault="00CA5ECD" w:rsidP="00DD37C5">
      <w:pPr>
        <w:pStyle w:val="Odstavekseznama"/>
        <w:numPr>
          <w:ilvl w:val="0"/>
          <w:numId w:val="32"/>
        </w:numPr>
        <w:rPr>
          <w:rFonts w:cs="Arial"/>
          <w:szCs w:val="20"/>
        </w:rPr>
      </w:pPr>
      <w:r w:rsidRPr="00545EC0">
        <w:t>etilbenzena,</w:t>
      </w:r>
      <w:r w:rsidRPr="00545EC0">
        <w:rPr>
          <w:lang w:val="sl-SI"/>
        </w:rPr>
        <w:t xml:space="preserve"> </w:t>
      </w:r>
      <w:r w:rsidRPr="00545EC0">
        <w:t>celotnega cianida,</w:t>
      </w:r>
      <w:r w:rsidRPr="00545EC0">
        <w:rPr>
          <w:lang w:val="sl-SI"/>
        </w:rPr>
        <w:t xml:space="preserve"> </w:t>
      </w:r>
      <w:r w:rsidRPr="00545EC0">
        <w:t>prometrina,</w:t>
      </w:r>
      <w:r w:rsidRPr="00545EC0">
        <w:rPr>
          <w:lang w:val="sl-SI"/>
        </w:rPr>
        <w:t xml:space="preserve"> </w:t>
      </w:r>
      <w:r w:rsidRPr="00545EC0">
        <w:t>policikličnih aromatskih ogljikovodikov (PAH), benzo(</w:t>
      </w:r>
      <w:r w:rsidRPr="00545EC0">
        <w:rPr>
          <w:lang w:val="sl-SI"/>
        </w:rPr>
        <w:t>k</w:t>
      </w:r>
      <w:r w:rsidRPr="00545EC0">
        <w:t>)fluorantena</w:t>
      </w:r>
      <w:r w:rsidRPr="00545EC0">
        <w:rPr>
          <w:lang w:val="sl-SI"/>
        </w:rPr>
        <w:t xml:space="preserve">, </w:t>
      </w:r>
      <w:r w:rsidRPr="00545EC0">
        <w:t>benzo(a)pirena</w:t>
      </w:r>
      <w:r w:rsidRPr="00545EC0">
        <w:rPr>
          <w:lang w:val="sl-SI"/>
        </w:rPr>
        <w:t xml:space="preserve">, </w:t>
      </w:r>
      <w:r w:rsidRPr="00545EC0">
        <w:t>benzo(g</w:t>
      </w:r>
      <w:r w:rsidR="006A0121" w:rsidRPr="00545EC0">
        <w:rPr>
          <w:lang w:val="sl-SI"/>
        </w:rPr>
        <w:t>,</w:t>
      </w:r>
      <w:r w:rsidRPr="00545EC0">
        <w:t>h</w:t>
      </w:r>
      <w:r w:rsidR="006A0121" w:rsidRPr="00545EC0">
        <w:rPr>
          <w:lang w:val="sl-SI"/>
        </w:rPr>
        <w:t>.</w:t>
      </w:r>
      <w:r w:rsidRPr="00545EC0">
        <w:t>i)perilena</w:t>
      </w:r>
      <w:r w:rsidRPr="00545EC0">
        <w:rPr>
          <w:lang w:val="sl-SI"/>
        </w:rPr>
        <w:t xml:space="preserve">, </w:t>
      </w:r>
      <w:r w:rsidRPr="00545EC0">
        <w:t>indeno(1</w:t>
      </w:r>
      <w:r w:rsidR="006A0121" w:rsidRPr="00545EC0">
        <w:rPr>
          <w:lang w:val="sl-SI"/>
        </w:rPr>
        <w:t>,</w:t>
      </w:r>
      <w:r w:rsidRPr="00545EC0">
        <w:t>2</w:t>
      </w:r>
      <w:r w:rsidR="006A0121" w:rsidRPr="00545EC0">
        <w:rPr>
          <w:lang w:val="sl-SI"/>
        </w:rPr>
        <w:t>,</w:t>
      </w:r>
      <w:r w:rsidRPr="00545EC0">
        <w:t>3-cd)pirena,</w:t>
      </w:r>
      <w:r w:rsidRPr="00545EC0">
        <w:rPr>
          <w:lang w:val="sl-SI"/>
        </w:rPr>
        <w:t xml:space="preserve"> b</w:t>
      </w:r>
      <w:r w:rsidRPr="00545EC0">
        <w:t>nzo(b)fluorantena,</w:t>
      </w:r>
      <w:r w:rsidRPr="00545EC0">
        <w:rPr>
          <w:lang w:val="sl-SI"/>
        </w:rPr>
        <w:t xml:space="preserve"> </w:t>
      </w:r>
      <w:r w:rsidRPr="00545EC0">
        <w:t>stirena</w:t>
      </w:r>
      <w:r w:rsidRPr="00545EC0">
        <w:rPr>
          <w:lang w:val="sl-SI"/>
        </w:rPr>
        <w:t xml:space="preserve">, </w:t>
      </w:r>
      <w:r w:rsidRPr="00545EC0">
        <w:t>eptaklorepoksida</w:t>
      </w:r>
      <w:r w:rsidRPr="00545EC0">
        <w:rPr>
          <w:lang w:val="sl-SI"/>
        </w:rPr>
        <w:t xml:space="preserve"> in </w:t>
      </w:r>
      <w:r w:rsidRPr="00545EC0">
        <w:t>desetil-atrazina</w:t>
      </w:r>
      <w:r w:rsidR="006A0121" w:rsidRPr="00545EC0">
        <w:rPr>
          <w:lang w:val="sl-SI"/>
        </w:rPr>
        <w:t xml:space="preserve">, </w:t>
      </w:r>
      <w:r w:rsidRPr="00545EC0">
        <w:rPr>
          <w:lang w:val="sl-SI"/>
        </w:rPr>
        <w:t>pri čemer za vsak navedene prarameter velja, da se pojavlja na enem od iztokov industrijske odpadne vode.</w:t>
      </w:r>
    </w:p>
    <w:p w14:paraId="49377889" w14:textId="77777777" w:rsidR="00E90A31" w:rsidRPr="00545EC0" w:rsidRDefault="00E90A31" w:rsidP="00E90A31"/>
    <w:p w14:paraId="526D185A" w14:textId="77777777" w:rsidR="00315DE0" w:rsidRPr="00545EC0" w:rsidRDefault="00315DE0" w:rsidP="00907B53">
      <w:pPr>
        <w:rPr>
          <w:b/>
        </w:rPr>
      </w:pPr>
      <w:r w:rsidRPr="00545EC0">
        <w:rPr>
          <w:b/>
        </w:rPr>
        <w:t>Odvajanje in čiščenje komunalne odpadne vode</w:t>
      </w:r>
    </w:p>
    <w:p w14:paraId="5A4DD7D9" w14:textId="77777777" w:rsidR="00907B53" w:rsidRPr="00545EC0" w:rsidRDefault="00907B53" w:rsidP="00907B53"/>
    <w:p w14:paraId="064995C8" w14:textId="7F87464C" w:rsidR="00315DE0" w:rsidRPr="00545EC0" w:rsidRDefault="00315DE0" w:rsidP="00907B53">
      <w:pPr>
        <w:rPr>
          <w:rFonts w:cs="Arial"/>
        </w:rPr>
      </w:pPr>
      <w:r w:rsidRPr="00545EC0">
        <w:t>Število čistilnih naprav z iztokom odpadne vode</w:t>
      </w:r>
      <w:r w:rsidR="00CA5ECD" w:rsidRPr="00545EC0">
        <w:t xml:space="preserve"> posredno v podzemno vodo</w:t>
      </w:r>
      <w:r w:rsidRPr="00545EC0">
        <w:t xml:space="preserve"> ali v vodotok</w:t>
      </w:r>
      <w:r w:rsidR="00CA5ECD" w:rsidRPr="00545EC0">
        <w:t>, ki ponika,</w:t>
      </w:r>
      <w:r w:rsidRPr="00545EC0">
        <w:t xml:space="preserve"> se zaradi </w:t>
      </w:r>
      <w:r w:rsidR="00D81C88" w:rsidRPr="00545EC0">
        <w:t>i</w:t>
      </w:r>
      <w:r w:rsidRPr="00545EC0">
        <w:t>zvajanja ukrepov</w:t>
      </w:r>
      <w:r w:rsidRPr="00545EC0">
        <w:rPr>
          <w:rFonts w:cs="Arial"/>
        </w:rPr>
        <w:t xml:space="preserve"> odvajanja in čiščenja komunalne </w:t>
      </w:r>
      <w:r w:rsidR="00C12042" w:rsidRPr="00545EC0">
        <w:rPr>
          <w:rFonts w:cs="Arial"/>
        </w:rPr>
        <w:t>odpadne</w:t>
      </w:r>
      <w:r w:rsidRPr="00545EC0">
        <w:rPr>
          <w:rFonts w:cs="Arial"/>
        </w:rPr>
        <w:t xml:space="preserve"> vode, povečuje. Tovrstni iztoki odpadne vode so glede na predpis, ki ureja emisijo snovi in toplote v vode in javno kanalizacijo dovoljeni le na območjih, kjer ni vodotokov. V tem primerih mora investitor pred tovrstnim posrednim odvajanjem v podzemne vode zagotoviti izgradnjo ustreznega ponikovalnega objekta. </w:t>
      </w:r>
    </w:p>
    <w:p w14:paraId="0F91754E" w14:textId="77777777" w:rsidR="00907B53" w:rsidRPr="00545EC0" w:rsidRDefault="00907B53" w:rsidP="00907B53">
      <w:pPr>
        <w:rPr>
          <w:rFonts w:cs="Arial"/>
        </w:rPr>
      </w:pPr>
    </w:p>
    <w:p w14:paraId="4B41E930" w14:textId="77777777" w:rsidR="00573AF2" w:rsidRPr="00545EC0" w:rsidRDefault="00573AF2" w:rsidP="00907B53">
      <w:pPr>
        <w:rPr>
          <w:b/>
        </w:rPr>
      </w:pPr>
      <w:r w:rsidRPr="00545EC0">
        <w:rPr>
          <w:b/>
        </w:rPr>
        <w:t>Odlagališča odpadkov</w:t>
      </w:r>
    </w:p>
    <w:p w14:paraId="17576A30" w14:textId="77777777" w:rsidR="00907B53" w:rsidRPr="00545EC0" w:rsidRDefault="00907B53" w:rsidP="00907B53"/>
    <w:p w14:paraId="3F479994" w14:textId="77777777" w:rsidR="00CA5ECD" w:rsidRPr="00545EC0" w:rsidRDefault="00CA5ECD" w:rsidP="00CA5E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545EC0">
        <w:rPr>
          <w:rFonts w:cs="Arial"/>
        </w:rPr>
        <w:t>Vpliv odlagališča na kakovost podzemne vode je opredeljen na podlagi konceptualnega modela odlagališč odpadkov za upravljanje z onesnaženjem na odlagališčih odpadkov (GeoZS, 2017), ki vključuje glavne hidrogeološke značilnosti na ožjem območju odlagališča odpadkov, kot so smer in hitrost toka podzemne vode, interakcija podzemne in površinske vode ter katere litološke enote predstavljajo ciljno hidrogeološko enoto in do kam le-ta sega. Poleg navedenega konceptualni model odlagališča odpadkov vključuje tudi tehnične značilnosti samega odlagališča (velikost, tesnjenje dna, urejenost odvodnje izcedne vode in stabilnost brežin), podatke in program emisijskega in imisijskega monitoringa odlagališč, prisotnost vodovarstvenih območij in podeljenih vodnih pravic na območju ciljne hidrogeološke cone odlagališča.</w:t>
      </w:r>
    </w:p>
    <w:p w14:paraId="38DB8B12" w14:textId="77777777" w:rsidR="00CA5ECD" w:rsidRPr="00545EC0" w:rsidRDefault="00CA5ECD" w:rsidP="00CA5E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p>
    <w:p w14:paraId="7A88BD37" w14:textId="6E0F96DF" w:rsidR="00315DE0" w:rsidRPr="00545EC0" w:rsidRDefault="00357381" w:rsidP="00315D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545EC0">
        <w:rPr>
          <w:rFonts w:cs="Arial"/>
        </w:rPr>
        <w:t>Vpliv</w:t>
      </w:r>
      <w:r w:rsidR="00CA5ECD" w:rsidRPr="00545EC0">
        <w:rPr>
          <w:rFonts w:cs="Arial"/>
        </w:rPr>
        <w:t xml:space="preserve"> na podzemno vodo iz odlagališč odpadkov je na podlagi konceptualnega modela razde</w:t>
      </w:r>
      <w:r w:rsidR="007C668D" w:rsidRPr="00545EC0">
        <w:rPr>
          <w:rFonts w:cs="Arial"/>
        </w:rPr>
        <w:t xml:space="preserve">ljen v tri razrede glede na </w:t>
      </w:r>
      <w:r w:rsidR="00637666" w:rsidRPr="00545EC0">
        <w:rPr>
          <w:rFonts w:cs="Arial"/>
        </w:rPr>
        <w:t>stopnjo tveganja širjenja onesnaženja v podzemno vodo iz odlagališč odpadkov, in sicer</w:t>
      </w:r>
      <w:r w:rsidRPr="00545EC0">
        <w:rPr>
          <w:rFonts w:cs="Arial"/>
        </w:rPr>
        <w:t>:</w:t>
      </w:r>
    </w:p>
    <w:p w14:paraId="6ACFF172" w14:textId="33F15E9D" w:rsidR="00315DE0" w:rsidRPr="00545EC0" w:rsidRDefault="00357381" w:rsidP="00DD37C5">
      <w:pPr>
        <w:pStyle w:val="Odstavekseznama"/>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545EC0">
        <w:rPr>
          <w:rFonts w:cs="Arial"/>
          <w:lang w:val="sl-SI"/>
        </w:rPr>
        <w:t>r</w:t>
      </w:r>
      <w:r w:rsidR="00637666" w:rsidRPr="00545EC0">
        <w:rPr>
          <w:rFonts w:cs="Arial"/>
          <w:lang w:val="sl-SI"/>
        </w:rPr>
        <w:t>azred 1: odlagališča</w:t>
      </w:r>
      <w:r w:rsidR="007C668D" w:rsidRPr="00545EC0">
        <w:rPr>
          <w:rFonts w:cs="Arial"/>
          <w:lang w:val="sl-SI"/>
        </w:rPr>
        <w:t xml:space="preserve"> odpadkov</w:t>
      </w:r>
      <w:r w:rsidR="00637666" w:rsidRPr="00545EC0">
        <w:rPr>
          <w:rFonts w:cs="Arial"/>
          <w:lang w:val="sl-SI"/>
        </w:rPr>
        <w:t>, kjer je možno širjenje onesnaženja s podzemno vodo v širše okolje, kar predstavlja potencialno tveganje za kakovost vodnih virov, ki ležijo dolvodno od odlagališča,</w:t>
      </w:r>
    </w:p>
    <w:p w14:paraId="4B474B7C" w14:textId="2AD32379" w:rsidR="00637666" w:rsidRPr="00545EC0" w:rsidRDefault="00357381" w:rsidP="00DD37C5">
      <w:pPr>
        <w:pStyle w:val="Odstavekseznama"/>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545EC0">
        <w:rPr>
          <w:rFonts w:cs="Arial"/>
          <w:lang w:val="sl-SI"/>
        </w:rPr>
        <w:t>r</w:t>
      </w:r>
      <w:r w:rsidR="00637666" w:rsidRPr="00545EC0">
        <w:rPr>
          <w:rFonts w:cs="Arial"/>
          <w:lang w:val="sl-SI"/>
        </w:rPr>
        <w:t>azred 2: odlagališča</w:t>
      </w:r>
      <w:r w:rsidR="007C668D" w:rsidRPr="00545EC0">
        <w:rPr>
          <w:rFonts w:cs="Arial"/>
          <w:lang w:val="sl-SI"/>
        </w:rPr>
        <w:t xml:space="preserve"> odpadkov</w:t>
      </w:r>
      <w:r w:rsidR="00637666" w:rsidRPr="00545EC0">
        <w:rPr>
          <w:rFonts w:cs="Arial"/>
          <w:lang w:val="sl-SI"/>
        </w:rPr>
        <w:t>, kjer je ocenjeno, da so naravne zadrževalne sposobnosti podtalja dovolj zmogljive, da ne more priti do širjenja onesnaževal s tokom podzemne vode. Vpliv na kakovost podzemne vode se zadržuje</w:t>
      </w:r>
      <w:r w:rsidRPr="00545EC0">
        <w:rPr>
          <w:rFonts w:cs="Arial"/>
          <w:lang w:val="sl-SI"/>
        </w:rPr>
        <w:t xml:space="preserve"> le v ožjem območju odlagališča,</w:t>
      </w:r>
      <w:r w:rsidR="00637666" w:rsidRPr="00545EC0">
        <w:rPr>
          <w:rFonts w:cs="Arial"/>
          <w:lang w:val="sl-SI"/>
        </w:rPr>
        <w:t xml:space="preserve"> </w:t>
      </w:r>
    </w:p>
    <w:p w14:paraId="466E9607" w14:textId="05172121" w:rsidR="00315DE0" w:rsidRPr="00545EC0" w:rsidRDefault="00357381" w:rsidP="00DD37C5">
      <w:pPr>
        <w:pStyle w:val="Odstavekseznama"/>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545EC0">
        <w:rPr>
          <w:rFonts w:cs="Arial"/>
          <w:lang w:val="sl-SI"/>
        </w:rPr>
        <w:t>r</w:t>
      </w:r>
      <w:r w:rsidR="00637666" w:rsidRPr="00545EC0">
        <w:rPr>
          <w:rFonts w:cs="Arial"/>
          <w:lang w:val="sl-SI"/>
        </w:rPr>
        <w:t>azred 3: odlagališča</w:t>
      </w:r>
      <w:r w:rsidR="007C668D" w:rsidRPr="00545EC0">
        <w:rPr>
          <w:rFonts w:cs="Arial"/>
          <w:lang w:val="sl-SI"/>
        </w:rPr>
        <w:t xml:space="preserve"> odpadkov</w:t>
      </w:r>
      <w:r w:rsidR="00637666" w:rsidRPr="00545EC0">
        <w:rPr>
          <w:rFonts w:cs="Arial"/>
          <w:lang w:val="sl-SI"/>
        </w:rPr>
        <w:t xml:space="preserve"> in njihove ciljne hidrogeološke cone se ne nahajajo na območjih najpomembnejših virov podzemne vode. Širjenje onesnaževal z odlagališča s tokom podzemne </w:t>
      </w:r>
      <w:r w:rsidR="00637666" w:rsidRPr="00545EC0">
        <w:rPr>
          <w:rFonts w:cs="Arial"/>
          <w:lang w:val="sl-SI"/>
        </w:rPr>
        <w:lastRenderedPageBreak/>
        <w:t>vode ni možno. Tveganja, da bi bila ogrožena zajetja podzemne vode ali ekosistemi odvisni od podzemne vode, ni.</w:t>
      </w:r>
    </w:p>
    <w:p w14:paraId="775E879B" w14:textId="03A0D20A" w:rsidR="00907B53" w:rsidRPr="00545EC0" w:rsidRDefault="00110F1A" w:rsidP="00110F1A">
      <w:pPr>
        <w:spacing w:before="120" w:after="120"/>
      </w:pPr>
      <w:r w:rsidRPr="00545EC0">
        <w:t xml:space="preserve">Na vodnem območju Donave je skupno 13 odlagališč odpadkov, za katere je ocenjeno, da </w:t>
      </w:r>
      <w:r w:rsidR="00637666" w:rsidRPr="00545EC0">
        <w:t xml:space="preserve">so </w:t>
      </w:r>
      <w:r w:rsidR="00637666" w:rsidRPr="00545EC0">
        <w:rPr>
          <w:rFonts w:cs="Arial"/>
        </w:rPr>
        <w:t xml:space="preserve">odlagališča, kjer je možno širjenje onesnaženja s podzemno vodo v širše okolje, kar predstavlja potencialno tveganje za kakovost vodnih virov, ki ležijo dolvodno od odlagališča (razred 1) </w:t>
      </w:r>
      <w:r w:rsidRPr="00545EC0">
        <w:t>(</w:t>
      </w:r>
      <w:r w:rsidR="00D92584" w:rsidRPr="00545EC0">
        <w:fldChar w:fldCharType="begin"/>
      </w:r>
      <w:r w:rsidR="00D92584" w:rsidRPr="00545EC0">
        <w:instrText xml:space="preserve"> REF _Ref84321745 \h </w:instrText>
      </w:r>
      <w:r w:rsidR="00F37A91" w:rsidRPr="00545EC0">
        <w:instrText xml:space="preserve"> \* MERGEFORMAT </w:instrText>
      </w:r>
      <w:r w:rsidR="00D92584" w:rsidRPr="00545EC0">
        <w:fldChar w:fldCharType="separate"/>
      </w:r>
      <w:r w:rsidR="002F3E43" w:rsidRPr="00545EC0">
        <w:t xml:space="preserve">Preglednica </w:t>
      </w:r>
      <w:r w:rsidR="002F3E43">
        <w:rPr>
          <w:noProof/>
        </w:rPr>
        <w:t>2</w:t>
      </w:r>
      <w:r w:rsidR="002F3E43" w:rsidRPr="00545EC0">
        <w:rPr>
          <w:noProof/>
        </w:rPr>
        <w:noBreakHyphen/>
      </w:r>
      <w:r w:rsidR="002F3E43">
        <w:rPr>
          <w:noProof/>
        </w:rPr>
        <w:t>42</w:t>
      </w:r>
      <w:r w:rsidR="00D92584" w:rsidRPr="00545EC0">
        <w:fldChar w:fldCharType="end"/>
      </w:r>
      <w:r w:rsidRPr="00545EC0">
        <w:t xml:space="preserve">). </w:t>
      </w:r>
    </w:p>
    <w:p w14:paraId="292E5511" w14:textId="795EBD88" w:rsidR="00535D1E" w:rsidRPr="00545EC0" w:rsidRDefault="00535D1E" w:rsidP="00535D1E">
      <w:pPr>
        <w:pStyle w:val="Napis"/>
        <w:keepNext/>
      </w:pPr>
      <w:bookmarkStart w:id="315" w:name="_Ref84321745"/>
      <w:bookmarkStart w:id="316" w:name="_Ref84260635"/>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42</w:t>
        </w:r>
      </w:fldSimple>
      <w:bookmarkEnd w:id="315"/>
      <w:r w:rsidRPr="00545EC0">
        <w:t xml:space="preserve">: Število odlagališč </w:t>
      </w:r>
      <w:r w:rsidR="00637666" w:rsidRPr="00545EC0">
        <w:t xml:space="preserve">in njihova </w:t>
      </w:r>
      <w:r w:rsidRPr="00545EC0">
        <w:t>razvrstitev v razred</w:t>
      </w:r>
      <w:bookmarkEnd w:id="316"/>
      <w:r w:rsidR="00637666" w:rsidRPr="00545EC0">
        <w:t xml:space="preserve"> vpliva</w:t>
      </w:r>
      <w:r w:rsidR="00FF3F9F" w:rsidRPr="00545EC0">
        <w:t xml:space="preserve"> na VO Donave</w:t>
      </w:r>
    </w:p>
    <w:tbl>
      <w:tblPr>
        <w:tblW w:w="5000" w:type="pct"/>
        <w:tblLook w:val="04A0" w:firstRow="1" w:lastRow="0" w:firstColumn="1" w:lastColumn="0" w:noHBand="0" w:noVBand="1"/>
      </w:tblPr>
      <w:tblGrid>
        <w:gridCol w:w="1568"/>
        <w:gridCol w:w="4138"/>
        <w:gridCol w:w="1488"/>
        <w:gridCol w:w="967"/>
        <w:gridCol w:w="1126"/>
      </w:tblGrid>
      <w:tr w:rsidR="003122F4" w:rsidRPr="00545EC0" w14:paraId="540AD0BF" w14:textId="77777777" w:rsidTr="002777A9">
        <w:trPr>
          <w:trHeight w:val="288"/>
        </w:trPr>
        <w:tc>
          <w:tcPr>
            <w:tcW w:w="892"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153DD68E" w14:textId="77777777" w:rsidR="009166DF" w:rsidRPr="00545EC0" w:rsidRDefault="009166DF" w:rsidP="002777A9">
            <w:pPr>
              <w:spacing w:before="60" w:after="60" w:line="240" w:lineRule="auto"/>
              <w:jc w:val="center"/>
              <w:rPr>
                <w:rFonts w:cs="Arial"/>
                <w:b/>
                <w:bCs/>
                <w:sz w:val="18"/>
                <w:szCs w:val="18"/>
              </w:rPr>
            </w:pPr>
            <w:r w:rsidRPr="00545EC0">
              <w:rPr>
                <w:rFonts w:cs="Arial"/>
                <w:b/>
                <w:bCs/>
                <w:sz w:val="18"/>
                <w:szCs w:val="18"/>
              </w:rPr>
              <w:t>VTPODV_ID</w:t>
            </w:r>
          </w:p>
        </w:tc>
        <w:tc>
          <w:tcPr>
            <w:tcW w:w="2037" w:type="pct"/>
            <w:vMerge w:val="restart"/>
            <w:tcBorders>
              <w:top w:val="single" w:sz="4" w:space="0" w:color="auto"/>
              <w:left w:val="nil"/>
              <w:right w:val="single" w:sz="4" w:space="0" w:color="auto"/>
            </w:tcBorders>
            <w:shd w:val="clear" w:color="auto" w:fill="D9D9D9" w:themeFill="background1" w:themeFillShade="D9"/>
            <w:noWrap/>
            <w:vAlign w:val="center"/>
            <w:hideMark/>
          </w:tcPr>
          <w:p w14:paraId="005CD444" w14:textId="77777777" w:rsidR="009166DF" w:rsidRPr="00545EC0" w:rsidRDefault="009166DF" w:rsidP="002777A9">
            <w:pPr>
              <w:spacing w:before="60" w:after="60" w:line="240" w:lineRule="auto"/>
              <w:jc w:val="center"/>
              <w:rPr>
                <w:rFonts w:cs="Arial"/>
                <w:b/>
                <w:bCs/>
                <w:sz w:val="18"/>
                <w:szCs w:val="18"/>
              </w:rPr>
            </w:pPr>
            <w:r w:rsidRPr="00545EC0">
              <w:rPr>
                <w:rFonts w:cs="Arial"/>
                <w:b/>
                <w:bCs/>
                <w:sz w:val="18"/>
                <w:szCs w:val="18"/>
              </w:rPr>
              <w:t>IME VTPODV</w:t>
            </w:r>
          </w:p>
        </w:tc>
        <w:tc>
          <w:tcPr>
            <w:tcW w:w="2071" w:type="pct"/>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447DD8B" w14:textId="77777777" w:rsidR="009166DF" w:rsidRPr="00545EC0" w:rsidRDefault="009166DF" w:rsidP="002777A9">
            <w:pPr>
              <w:spacing w:before="60" w:after="60" w:line="240" w:lineRule="auto"/>
              <w:jc w:val="center"/>
              <w:rPr>
                <w:rFonts w:cs="Arial"/>
                <w:b/>
                <w:bCs/>
                <w:sz w:val="18"/>
                <w:szCs w:val="18"/>
              </w:rPr>
            </w:pPr>
            <w:r w:rsidRPr="00545EC0">
              <w:rPr>
                <w:rFonts w:cs="Arial"/>
                <w:b/>
                <w:bCs/>
                <w:sz w:val="18"/>
                <w:szCs w:val="18"/>
              </w:rPr>
              <w:t>Razred  vpliva</w:t>
            </w:r>
          </w:p>
        </w:tc>
      </w:tr>
      <w:tr w:rsidR="003122F4" w:rsidRPr="00545EC0" w14:paraId="58D2BFAF" w14:textId="77777777" w:rsidTr="002777A9">
        <w:trPr>
          <w:trHeight w:val="288"/>
        </w:trPr>
        <w:tc>
          <w:tcPr>
            <w:tcW w:w="892"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3DF720E4" w14:textId="77777777" w:rsidR="009166DF" w:rsidRPr="00545EC0" w:rsidRDefault="009166DF" w:rsidP="002777A9">
            <w:pPr>
              <w:spacing w:before="60" w:after="60" w:line="240" w:lineRule="auto"/>
              <w:jc w:val="center"/>
              <w:rPr>
                <w:rFonts w:cs="Arial"/>
                <w:b/>
                <w:bCs/>
                <w:sz w:val="18"/>
                <w:szCs w:val="18"/>
              </w:rPr>
            </w:pPr>
          </w:p>
        </w:tc>
        <w:tc>
          <w:tcPr>
            <w:tcW w:w="2037" w:type="pct"/>
            <w:vMerge/>
            <w:tcBorders>
              <w:left w:val="nil"/>
              <w:bottom w:val="single" w:sz="4" w:space="0" w:color="auto"/>
              <w:right w:val="single" w:sz="4" w:space="0" w:color="auto"/>
            </w:tcBorders>
            <w:shd w:val="clear" w:color="auto" w:fill="D9D9D9" w:themeFill="background1" w:themeFillShade="D9"/>
            <w:noWrap/>
            <w:vAlign w:val="center"/>
          </w:tcPr>
          <w:p w14:paraId="4CB594EF" w14:textId="77777777" w:rsidR="009166DF" w:rsidRPr="00545EC0" w:rsidRDefault="009166DF" w:rsidP="002777A9">
            <w:pPr>
              <w:spacing w:before="60" w:after="60" w:line="240" w:lineRule="auto"/>
              <w:jc w:val="center"/>
              <w:rPr>
                <w:rFonts w:cs="Arial"/>
                <w:b/>
                <w:bCs/>
                <w:sz w:val="18"/>
                <w:szCs w:val="18"/>
              </w:rPr>
            </w:pPr>
          </w:p>
        </w:tc>
        <w:tc>
          <w:tcPr>
            <w:tcW w:w="8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D1F60F3" w14:textId="77777777" w:rsidR="009166DF" w:rsidRPr="00545EC0" w:rsidRDefault="009166DF" w:rsidP="002777A9">
            <w:pPr>
              <w:spacing w:before="60" w:after="60" w:line="240" w:lineRule="auto"/>
              <w:jc w:val="center"/>
              <w:rPr>
                <w:rFonts w:cs="Arial"/>
                <w:b/>
                <w:bCs/>
                <w:sz w:val="18"/>
                <w:szCs w:val="18"/>
              </w:rPr>
            </w:pPr>
            <w:r w:rsidRPr="00545EC0">
              <w:rPr>
                <w:rFonts w:cs="Arial"/>
                <w:b/>
                <w:bCs/>
                <w:sz w:val="18"/>
                <w:szCs w:val="18"/>
              </w:rPr>
              <w:t>Razred  1</w:t>
            </w:r>
          </w:p>
        </w:tc>
        <w:tc>
          <w:tcPr>
            <w:tcW w:w="55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7D73918" w14:textId="77777777" w:rsidR="009166DF" w:rsidRPr="00545EC0" w:rsidRDefault="009166DF" w:rsidP="002777A9">
            <w:pPr>
              <w:spacing w:before="60" w:after="60" w:line="240" w:lineRule="auto"/>
              <w:jc w:val="center"/>
              <w:rPr>
                <w:rFonts w:cs="Arial"/>
                <w:b/>
                <w:bCs/>
                <w:sz w:val="18"/>
                <w:szCs w:val="18"/>
              </w:rPr>
            </w:pPr>
            <w:r w:rsidRPr="00545EC0">
              <w:rPr>
                <w:rFonts w:cs="Arial"/>
                <w:b/>
                <w:bCs/>
                <w:sz w:val="18"/>
                <w:szCs w:val="18"/>
              </w:rPr>
              <w:t>Razred 2</w:t>
            </w:r>
          </w:p>
        </w:tc>
        <w:tc>
          <w:tcPr>
            <w:tcW w:w="663"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6B6406F" w14:textId="77777777" w:rsidR="009166DF" w:rsidRPr="00545EC0" w:rsidRDefault="009166DF" w:rsidP="002777A9">
            <w:pPr>
              <w:spacing w:before="60" w:after="60" w:line="240" w:lineRule="auto"/>
              <w:jc w:val="center"/>
              <w:rPr>
                <w:rFonts w:cs="Arial"/>
                <w:b/>
                <w:bCs/>
                <w:sz w:val="18"/>
                <w:szCs w:val="18"/>
              </w:rPr>
            </w:pPr>
            <w:r w:rsidRPr="00545EC0">
              <w:rPr>
                <w:rFonts w:cs="Arial"/>
                <w:b/>
                <w:bCs/>
                <w:sz w:val="18"/>
                <w:szCs w:val="18"/>
              </w:rPr>
              <w:t>Razred 3</w:t>
            </w:r>
          </w:p>
        </w:tc>
      </w:tr>
      <w:tr w:rsidR="003122F4" w:rsidRPr="00545EC0" w14:paraId="63EACF9B" w14:textId="77777777" w:rsidTr="002777A9">
        <w:trPr>
          <w:trHeight w:val="288"/>
        </w:trPr>
        <w:tc>
          <w:tcPr>
            <w:tcW w:w="892" w:type="pct"/>
            <w:tcBorders>
              <w:top w:val="nil"/>
              <w:left w:val="single" w:sz="4" w:space="0" w:color="auto"/>
              <w:bottom w:val="single" w:sz="4" w:space="0" w:color="auto"/>
              <w:right w:val="single" w:sz="4" w:space="0" w:color="auto"/>
            </w:tcBorders>
            <w:shd w:val="clear" w:color="auto" w:fill="auto"/>
            <w:noWrap/>
            <w:vAlign w:val="bottom"/>
            <w:hideMark/>
          </w:tcPr>
          <w:p w14:paraId="281082DA" w14:textId="77777777" w:rsidR="009166DF" w:rsidRPr="00545EC0" w:rsidRDefault="009166DF" w:rsidP="002777A9">
            <w:pPr>
              <w:spacing w:before="60" w:after="60" w:line="240" w:lineRule="auto"/>
              <w:jc w:val="left"/>
              <w:rPr>
                <w:rFonts w:cs="Arial"/>
                <w:sz w:val="18"/>
                <w:szCs w:val="18"/>
              </w:rPr>
            </w:pPr>
            <w:r w:rsidRPr="00545EC0">
              <w:rPr>
                <w:rFonts w:cs="Arial"/>
                <w:sz w:val="18"/>
                <w:szCs w:val="18"/>
              </w:rPr>
              <w:t>VTPodV_1001</w:t>
            </w:r>
          </w:p>
        </w:tc>
        <w:tc>
          <w:tcPr>
            <w:tcW w:w="2037" w:type="pct"/>
            <w:tcBorders>
              <w:top w:val="nil"/>
              <w:left w:val="nil"/>
              <w:bottom w:val="single" w:sz="4" w:space="0" w:color="auto"/>
              <w:right w:val="single" w:sz="4" w:space="0" w:color="auto"/>
            </w:tcBorders>
            <w:shd w:val="clear" w:color="auto" w:fill="auto"/>
            <w:noWrap/>
            <w:vAlign w:val="bottom"/>
            <w:hideMark/>
          </w:tcPr>
          <w:p w14:paraId="1C78BCB7" w14:textId="77777777" w:rsidR="009166DF" w:rsidRPr="00545EC0" w:rsidRDefault="009166DF" w:rsidP="002777A9">
            <w:pPr>
              <w:spacing w:before="60" w:after="60" w:line="240" w:lineRule="auto"/>
              <w:jc w:val="left"/>
              <w:rPr>
                <w:rFonts w:cs="Arial"/>
                <w:sz w:val="18"/>
                <w:szCs w:val="18"/>
              </w:rPr>
            </w:pPr>
            <w:r w:rsidRPr="00545EC0">
              <w:rPr>
                <w:rFonts w:cs="Arial"/>
                <w:sz w:val="18"/>
                <w:szCs w:val="18"/>
              </w:rPr>
              <w:t>Savska kotlina in Ljubljansko Barje</w:t>
            </w:r>
          </w:p>
        </w:tc>
        <w:tc>
          <w:tcPr>
            <w:tcW w:w="849" w:type="pct"/>
            <w:tcBorders>
              <w:top w:val="nil"/>
              <w:left w:val="nil"/>
              <w:bottom w:val="single" w:sz="4" w:space="0" w:color="auto"/>
              <w:right w:val="single" w:sz="4" w:space="0" w:color="auto"/>
            </w:tcBorders>
            <w:shd w:val="clear" w:color="auto" w:fill="auto"/>
            <w:noWrap/>
            <w:vAlign w:val="bottom"/>
            <w:hideMark/>
          </w:tcPr>
          <w:p w14:paraId="5EEC71F3"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w:t>
            </w:r>
          </w:p>
        </w:tc>
        <w:tc>
          <w:tcPr>
            <w:tcW w:w="559" w:type="pct"/>
            <w:tcBorders>
              <w:top w:val="nil"/>
              <w:left w:val="nil"/>
              <w:bottom w:val="single" w:sz="4" w:space="0" w:color="auto"/>
              <w:right w:val="single" w:sz="4" w:space="0" w:color="auto"/>
            </w:tcBorders>
            <w:shd w:val="clear" w:color="auto" w:fill="auto"/>
            <w:noWrap/>
            <w:vAlign w:val="bottom"/>
            <w:hideMark/>
          </w:tcPr>
          <w:p w14:paraId="2FDC5D55"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5</w:t>
            </w:r>
          </w:p>
        </w:tc>
        <w:tc>
          <w:tcPr>
            <w:tcW w:w="663" w:type="pct"/>
            <w:tcBorders>
              <w:top w:val="nil"/>
              <w:left w:val="nil"/>
              <w:bottom w:val="single" w:sz="4" w:space="0" w:color="auto"/>
              <w:right w:val="single" w:sz="4" w:space="0" w:color="auto"/>
            </w:tcBorders>
            <w:shd w:val="clear" w:color="auto" w:fill="auto"/>
            <w:noWrap/>
            <w:vAlign w:val="bottom"/>
            <w:hideMark/>
          </w:tcPr>
          <w:p w14:paraId="33F5487E"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w:t>
            </w:r>
          </w:p>
        </w:tc>
      </w:tr>
      <w:tr w:rsidR="003122F4" w:rsidRPr="00545EC0" w14:paraId="449F6956" w14:textId="77777777" w:rsidTr="002777A9">
        <w:trPr>
          <w:trHeight w:val="288"/>
        </w:trPr>
        <w:tc>
          <w:tcPr>
            <w:tcW w:w="892" w:type="pct"/>
            <w:tcBorders>
              <w:top w:val="nil"/>
              <w:left w:val="single" w:sz="4" w:space="0" w:color="auto"/>
              <w:bottom w:val="single" w:sz="4" w:space="0" w:color="auto"/>
              <w:right w:val="single" w:sz="4" w:space="0" w:color="auto"/>
            </w:tcBorders>
            <w:shd w:val="clear" w:color="auto" w:fill="auto"/>
            <w:noWrap/>
            <w:vAlign w:val="bottom"/>
            <w:hideMark/>
          </w:tcPr>
          <w:p w14:paraId="422B523D" w14:textId="77777777" w:rsidR="009166DF" w:rsidRPr="00545EC0" w:rsidRDefault="009166DF" w:rsidP="002777A9">
            <w:pPr>
              <w:spacing w:before="60" w:after="60" w:line="240" w:lineRule="auto"/>
              <w:jc w:val="left"/>
              <w:rPr>
                <w:rFonts w:cs="Arial"/>
                <w:sz w:val="18"/>
                <w:szCs w:val="18"/>
              </w:rPr>
            </w:pPr>
            <w:r w:rsidRPr="00545EC0">
              <w:rPr>
                <w:rFonts w:cs="Arial"/>
                <w:sz w:val="18"/>
                <w:szCs w:val="18"/>
              </w:rPr>
              <w:t>VTPodV_1002</w:t>
            </w:r>
          </w:p>
        </w:tc>
        <w:tc>
          <w:tcPr>
            <w:tcW w:w="2037" w:type="pct"/>
            <w:tcBorders>
              <w:top w:val="nil"/>
              <w:left w:val="nil"/>
              <w:bottom w:val="single" w:sz="4" w:space="0" w:color="auto"/>
              <w:right w:val="single" w:sz="4" w:space="0" w:color="auto"/>
            </w:tcBorders>
            <w:shd w:val="clear" w:color="auto" w:fill="auto"/>
            <w:noWrap/>
            <w:vAlign w:val="bottom"/>
            <w:hideMark/>
          </w:tcPr>
          <w:p w14:paraId="12FEBB57" w14:textId="77777777" w:rsidR="009166DF" w:rsidRPr="00545EC0" w:rsidRDefault="009166DF" w:rsidP="002777A9">
            <w:pPr>
              <w:spacing w:before="60" w:after="60" w:line="240" w:lineRule="auto"/>
              <w:jc w:val="left"/>
              <w:rPr>
                <w:rFonts w:cs="Arial"/>
                <w:sz w:val="18"/>
                <w:szCs w:val="18"/>
              </w:rPr>
            </w:pPr>
            <w:r w:rsidRPr="00545EC0">
              <w:rPr>
                <w:rFonts w:cs="Arial"/>
                <w:sz w:val="18"/>
                <w:szCs w:val="18"/>
              </w:rPr>
              <w:t>Savinjska kotlina</w:t>
            </w:r>
          </w:p>
        </w:tc>
        <w:tc>
          <w:tcPr>
            <w:tcW w:w="849" w:type="pct"/>
            <w:tcBorders>
              <w:top w:val="nil"/>
              <w:left w:val="nil"/>
              <w:bottom w:val="single" w:sz="4" w:space="0" w:color="auto"/>
              <w:right w:val="single" w:sz="4" w:space="0" w:color="auto"/>
            </w:tcBorders>
            <w:shd w:val="clear" w:color="auto" w:fill="auto"/>
            <w:noWrap/>
            <w:vAlign w:val="bottom"/>
            <w:hideMark/>
          </w:tcPr>
          <w:p w14:paraId="5165AF87"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w:t>
            </w:r>
          </w:p>
        </w:tc>
        <w:tc>
          <w:tcPr>
            <w:tcW w:w="559" w:type="pct"/>
            <w:tcBorders>
              <w:top w:val="nil"/>
              <w:left w:val="nil"/>
              <w:bottom w:val="single" w:sz="4" w:space="0" w:color="auto"/>
              <w:right w:val="single" w:sz="4" w:space="0" w:color="auto"/>
            </w:tcBorders>
            <w:shd w:val="clear" w:color="auto" w:fill="auto"/>
            <w:noWrap/>
            <w:vAlign w:val="bottom"/>
            <w:hideMark/>
          </w:tcPr>
          <w:p w14:paraId="450BAD5A"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w:t>
            </w:r>
          </w:p>
        </w:tc>
        <w:tc>
          <w:tcPr>
            <w:tcW w:w="663" w:type="pct"/>
            <w:tcBorders>
              <w:top w:val="nil"/>
              <w:left w:val="nil"/>
              <w:bottom w:val="single" w:sz="4" w:space="0" w:color="auto"/>
              <w:right w:val="single" w:sz="4" w:space="0" w:color="auto"/>
            </w:tcBorders>
            <w:shd w:val="clear" w:color="auto" w:fill="auto"/>
            <w:noWrap/>
            <w:vAlign w:val="bottom"/>
            <w:hideMark/>
          </w:tcPr>
          <w:p w14:paraId="6C063155"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w:t>
            </w:r>
          </w:p>
        </w:tc>
      </w:tr>
      <w:tr w:rsidR="003122F4" w:rsidRPr="00545EC0" w14:paraId="5E1590CC" w14:textId="77777777" w:rsidTr="002777A9">
        <w:trPr>
          <w:trHeight w:val="288"/>
        </w:trPr>
        <w:tc>
          <w:tcPr>
            <w:tcW w:w="892" w:type="pct"/>
            <w:tcBorders>
              <w:top w:val="nil"/>
              <w:left w:val="single" w:sz="4" w:space="0" w:color="auto"/>
              <w:bottom w:val="single" w:sz="4" w:space="0" w:color="auto"/>
              <w:right w:val="single" w:sz="4" w:space="0" w:color="auto"/>
            </w:tcBorders>
            <w:shd w:val="clear" w:color="auto" w:fill="auto"/>
            <w:noWrap/>
            <w:vAlign w:val="bottom"/>
            <w:hideMark/>
          </w:tcPr>
          <w:p w14:paraId="3298F1D1" w14:textId="77777777" w:rsidR="009166DF" w:rsidRPr="00545EC0" w:rsidRDefault="009166DF" w:rsidP="002777A9">
            <w:pPr>
              <w:spacing w:before="60" w:after="60" w:line="240" w:lineRule="auto"/>
              <w:jc w:val="left"/>
              <w:rPr>
                <w:rFonts w:cs="Arial"/>
                <w:sz w:val="18"/>
                <w:szCs w:val="18"/>
              </w:rPr>
            </w:pPr>
            <w:r w:rsidRPr="00545EC0">
              <w:rPr>
                <w:rFonts w:cs="Arial"/>
                <w:sz w:val="18"/>
                <w:szCs w:val="18"/>
              </w:rPr>
              <w:t>VTPodV_1003</w:t>
            </w:r>
          </w:p>
        </w:tc>
        <w:tc>
          <w:tcPr>
            <w:tcW w:w="2037" w:type="pct"/>
            <w:tcBorders>
              <w:top w:val="nil"/>
              <w:left w:val="nil"/>
              <w:bottom w:val="single" w:sz="4" w:space="0" w:color="auto"/>
              <w:right w:val="single" w:sz="4" w:space="0" w:color="auto"/>
            </w:tcBorders>
            <w:shd w:val="clear" w:color="auto" w:fill="auto"/>
            <w:noWrap/>
            <w:vAlign w:val="bottom"/>
            <w:hideMark/>
          </w:tcPr>
          <w:p w14:paraId="3081B625" w14:textId="77777777" w:rsidR="009166DF" w:rsidRPr="00545EC0" w:rsidRDefault="009166DF" w:rsidP="002777A9">
            <w:pPr>
              <w:spacing w:before="60" w:after="60" w:line="240" w:lineRule="auto"/>
              <w:jc w:val="left"/>
              <w:rPr>
                <w:rFonts w:cs="Arial"/>
                <w:sz w:val="18"/>
                <w:szCs w:val="18"/>
              </w:rPr>
            </w:pPr>
            <w:r w:rsidRPr="00545EC0">
              <w:rPr>
                <w:rFonts w:cs="Arial"/>
                <w:sz w:val="18"/>
                <w:szCs w:val="18"/>
              </w:rPr>
              <w:t>Krška kotlina</w:t>
            </w:r>
          </w:p>
        </w:tc>
        <w:tc>
          <w:tcPr>
            <w:tcW w:w="849" w:type="pct"/>
            <w:tcBorders>
              <w:top w:val="nil"/>
              <w:left w:val="nil"/>
              <w:bottom w:val="single" w:sz="4" w:space="0" w:color="auto"/>
              <w:right w:val="single" w:sz="4" w:space="0" w:color="auto"/>
            </w:tcBorders>
            <w:shd w:val="clear" w:color="auto" w:fill="auto"/>
            <w:noWrap/>
            <w:vAlign w:val="bottom"/>
            <w:hideMark/>
          </w:tcPr>
          <w:p w14:paraId="7B356D66"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2</w:t>
            </w:r>
          </w:p>
        </w:tc>
        <w:tc>
          <w:tcPr>
            <w:tcW w:w="559" w:type="pct"/>
            <w:tcBorders>
              <w:top w:val="nil"/>
              <w:left w:val="nil"/>
              <w:bottom w:val="single" w:sz="4" w:space="0" w:color="auto"/>
              <w:right w:val="single" w:sz="4" w:space="0" w:color="auto"/>
            </w:tcBorders>
            <w:shd w:val="clear" w:color="auto" w:fill="auto"/>
            <w:noWrap/>
            <w:vAlign w:val="bottom"/>
            <w:hideMark/>
          </w:tcPr>
          <w:p w14:paraId="4BB2D897"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w:t>
            </w:r>
          </w:p>
        </w:tc>
        <w:tc>
          <w:tcPr>
            <w:tcW w:w="663" w:type="pct"/>
            <w:tcBorders>
              <w:top w:val="nil"/>
              <w:left w:val="nil"/>
              <w:bottom w:val="single" w:sz="4" w:space="0" w:color="auto"/>
              <w:right w:val="single" w:sz="4" w:space="0" w:color="auto"/>
            </w:tcBorders>
            <w:shd w:val="clear" w:color="auto" w:fill="auto"/>
            <w:noWrap/>
            <w:vAlign w:val="bottom"/>
            <w:hideMark/>
          </w:tcPr>
          <w:p w14:paraId="272C0055"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w:t>
            </w:r>
          </w:p>
        </w:tc>
      </w:tr>
      <w:tr w:rsidR="003122F4" w:rsidRPr="00545EC0" w14:paraId="5894F403" w14:textId="77777777" w:rsidTr="002777A9">
        <w:trPr>
          <w:trHeight w:val="288"/>
        </w:trPr>
        <w:tc>
          <w:tcPr>
            <w:tcW w:w="892" w:type="pct"/>
            <w:tcBorders>
              <w:top w:val="nil"/>
              <w:left w:val="single" w:sz="4" w:space="0" w:color="auto"/>
              <w:bottom w:val="single" w:sz="4" w:space="0" w:color="auto"/>
              <w:right w:val="single" w:sz="4" w:space="0" w:color="auto"/>
            </w:tcBorders>
            <w:shd w:val="clear" w:color="auto" w:fill="auto"/>
            <w:noWrap/>
            <w:vAlign w:val="bottom"/>
            <w:hideMark/>
          </w:tcPr>
          <w:p w14:paraId="7C60CCBB" w14:textId="77777777" w:rsidR="009166DF" w:rsidRPr="00545EC0" w:rsidRDefault="009166DF" w:rsidP="002777A9">
            <w:pPr>
              <w:spacing w:before="60" w:after="60" w:line="240" w:lineRule="auto"/>
              <w:jc w:val="left"/>
              <w:rPr>
                <w:rFonts w:cs="Arial"/>
                <w:sz w:val="18"/>
                <w:szCs w:val="18"/>
              </w:rPr>
            </w:pPr>
            <w:r w:rsidRPr="00545EC0">
              <w:rPr>
                <w:rFonts w:cs="Arial"/>
                <w:sz w:val="18"/>
                <w:szCs w:val="18"/>
              </w:rPr>
              <w:t>VTPodV_1004</w:t>
            </w:r>
          </w:p>
        </w:tc>
        <w:tc>
          <w:tcPr>
            <w:tcW w:w="2037" w:type="pct"/>
            <w:tcBorders>
              <w:top w:val="nil"/>
              <w:left w:val="nil"/>
              <w:bottom w:val="single" w:sz="4" w:space="0" w:color="auto"/>
              <w:right w:val="single" w:sz="4" w:space="0" w:color="auto"/>
            </w:tcBorders>
            <w:shd w:val="clear" w:color="auto" w:fill="auto"/>
            <w:noWrap/>
            <w:vAlign w:val="bottom"/>
            <w:hideMark/>
          </w:tcPr>
          <w:p w14:paraId="289B0DFB" w14:textId="77777777" w:rsidR="009166DF" w:rsidRPr="00545EC0" w:rsidRDefault="009166DF" w:rsidP="002777A9">
            <w:pPr>
              <w:spacing w:before="60" w:after="60" w:line="240" w:lineRule="auto"/>
              <w:jc w:val="left"/>
              <w:rPr>
                <w:rFonts w:cs="Arial"/>
                <w:sz w:val="18"/>
                <w:szCs w:val="18"/>
              </w:rPr>
            </w:pPr>
            <w:r w:rsidRPr="00545EC0">
              <w:rPr>
                <w:rFonts w:cs="Arial"/>
                <w:sz w:val="18"/>
                <w:szCs w:val="18"/>
              </w:rPr>
              <w:t>Julijske Alpe v porečju Save</w:t>
            </w:r>
          </w:p>
        </w:tc>
        <w:tc>
          <w:tcPr>
            <w:tcW w:w="849" w:type="pct"/>
            <w:tcBorders>
              <w:top w:val="nil"/>
              <w:left w:val="nil"/>
              <w:bottom w:val="single" w:sz="4" w:space="0" w:color="auto"/>
              <w:right w:val="single" w:sz="4" w:space="0" w:color="auto"/>
            </w:tcBorders>
            <w:shd w:val="clear" w:color="auto" w:fill="auto"/>
            <w:noWrap/>
            <w:vAlign w:val="bottom"/>
            <w:hideMark/>
          </w:tcPr>
          <w:p w14:paraId="5F742D2C"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w:t>
            </w:r>
          </w:p>
        </w:tc>
        <w:tc>
          <w:tcPr>
            <w:tcW w:w="559" w:type="pct"/>
            <w:tcBorders>
              <w:top w:val="nil"/>
              <w:left w:val="nil"/>
              <w:bottom w:val="single" w:sz="4" w:space="0" w:color="auto"/>
              <w:right w:val="single" w:sz="4" w:space="0" w:color="auto"/>
            </w:tcBorders>
            <w:shd w:val="clear" w:color="auto" w:fill="auto"/>
            <w:noWrap/>
            <w:vAlign w:val="bottom"/>
            <w:hideMark/>
          </w:tcPr>
          <w:p w14:paraId="06F5ECC5"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1</w:t>
            </w:r>
          </w:p>
        </w:tc>
        <w:tc>
          <w:tcPr>
            <w:tcW w:w="663" w:type="pct"/>
            <w:tcBorders>
              <w:top w:val="nil"/>
              <w:left w:val="nil"/>
              <w:bottom w:val="single" w:sz="4" w:space="0" w:color="auto"/>
              <w:right w:val="single" w:sz="4" w:space="0" w:color="auto"/>
            </w:tcBorders>
            <w:shd w:val="clear" w:color="auto" w:fill="auto"/>
            <w:noWrap/>
            <w:vAlign w:val="bottom"/>
            <w:hideMark/>
          </w:tcPr>
          <w:p w14:paraId="2388F7BE"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1</w:t>
            </w:r>
          </w:p>
        </w:tc>
      </w:tr>
      <w:tr w:rsidR="003122F4" w:rsidRPr="00545EC0" w14:paraId="4CC5676E" w14:textId="77777777" w:rsidTr="002777A9">
        <w:trPr>
          <w:trHeight w:val="288"/>
        </w:trPr>
        <w:tc>
          <w:tcPr>
            <w:tcW w:w="892" w:type="pct"/>
            <w:tcBorders>
              <w:top w:val="nil"/>
              <w:left w:val="single" w:sz="4" w:space="0" w:color="auto"/>
              <w:bottom w:val="single" w:sz="4" w:space="0" w:color="auto"/>
              <w:right w:val="single" w:sz="4" w:space="0" w:color="auto"/>
            </w:tcBorders>
            <w:shd w:val="clear" w:color="auto" w:fill="auto"/>
            <w:noWrap/>
            <w:vAlign w:val="bottom"/>
            <w:hideMark/>
          </w:tcPr>
          <w:p w14:paraId="6561F593" w14:textId="77777777" w:rsidR="009166DF" w:rsidRPr="00545EC0" w:rsidRDefault="009166DF" w:rsidP="002777A9">
            <w:pPr>
              <w:spacing w:before="60" w:after="60" w:line="240" w:lineRule="auto"/>
              <w:jc w:val="left"/>
              <w:rPr>
                <w:rFonts w:cs="Arial"/>
                <w:sz w:val="18"/>
                <w:szCs w:val="18"/>
              </w:rPr>
            </w:pPr>
            <w:r w:rsidRPr="00545EC0">
              <w:rPr>
                <w:rFonts w:cs="Arial"/>
                <w:sz w:val="18"/>
                <w:szCs w:val="18"/>
              </w:rPr>
              <w:t>VTPodV_1005</w:t>
            </w:r>
          </w:p>
        </w:tc>
        <w:tc>
          <w:tcPr>
            <w:tcW w:w="2037" w:type="pct"/>
            <w:tcBorders>
              <w:top w:val="nil"/>
              <w:left w:val="nil"/>
              <w:bottom w:val="single" w:sz="4" w:space="0" w:color="auto"/>
              <w:right w:val="single" w:sz="4" w:space="0" w:color="auto"/>
            </w:tcBorders>
            <w:shd w:val="clear" w:color="auto" w:fill="auto"/>
            <w:noWrap/>
            <w:vAlign w:val="bottom"/>
            <w:hideMark/>
          </w:tcPr>
          <w:p w14:paraId="7A16E41D" w14:textId="77777777" w:rsidR="009166DF" w:rsidRPr="00545EC0" w:rsidRDefault="009166DF" w:rsidP="002777A9">
            <w:pPr>
              <w:spacing w:before="60" w:after="60" w:line="240" w:lineRule="auto"/>
              <w:jc w:val="left"/>
              <w:rPr>
                <w:rFonts w:cs="Arial"/>
                <w:sz w:val="18"/>
                <w:szCs w:val="18"/>
              </w:rPr>
            </w:pPr>
            <w:r w:rsidRPr="00545EC0">
              <w:rPr>
                <w:rFonts w:cs="Arial"/>
                <w:sz w:val="18"/>
                <w:szCs w:val="18"/>
              </w:rPr>
              <w:t>Karavanke</w:t>
            </w:r>
          </w:p>
        </w:tc>
        <w:tc>
          <w:tcPr>
            <w:tcW w:w="849" w:type="pct"/>
            <w:tcBorders>
              <w:top w:val="nil"/>
              <w:left w:val="nil"/>
              <w:bottom w:val="single" w:sz="4" w:space="0" w:color="auto"/>
              <w:right w:val="single" w:sz="4" w:space="0" w:color="auto"/>
            </w:tcBorders>
            <w:shd w:val="clear" w:color="auto" w:fill="auto"/>
            <w:noWrap/>
            <w:vAlign w:val="bottom"/>
            <w:hideMark/>
          </w:tcPr>
          <w:p w14:paraId="5B3A12F6"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w:t>
            </w:r>
          </w:p>
        </w:tc>
        <w:tc>
          <w:tcPr>
            <w:tcW w:w="559" w:type="pct"/>
            <w:tcBorders>
              <w:top w:val="nil"/>
              <w:left w:val="nil"/>
              <w:bottom w:val="single" w:sz="4" w:space="0" w:color="auto"/>
              <w:right w:val="single" w:sz="4" w:space="0" w:color="auto"/>
            </w:tcBorders>
            <w:shd w:val="clear" w:color="auto" w:fill="auto"/>
            <w:noWrap/>
            <w:vAlign w:val="bottom"/>
            <w:hideMark/>
          </w:tcPr>
          <w:p w14:paraId="5DF64CE5"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w:t>
            </w:r>
          </w:p>
        </w:tc>
        <w:tc>
          <w:tcPr>
            <w:tcW w:w="663" w:type="pct"/>
            <w:tcBorders>
              <w:top w:val="nil"/>
              <w:left w:val="nil"/>
              <w:bottom w:val="single" w:sz="4" w:space="0" w:color="auto"/>
              <w:right w:val="single" w:sz="4" w:space="0" w:color="auto"/>
            </w:tcBorders>
            <w:shd w:val="clear" w:color="auto" w:fill="auto"/>
            <w:noWrap/>
            <w:vAlign w:val="bottom"/>
            <w:hideMark/>
          </w:tcPr>
          <w:p w14:paraId="4CF0CBC0"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w:t>
            </w:r>
          </w:p>
        </w:tc>
      </w:tr>
      <w:tr w:rsidR="003122F4" w:rsidRPr="00545EC0" w14:paraId="3BF78738" w14:textId="77777777" w:rsidTr="002777A9">
        <w:trPr>
          <w:trHeight w:val="288"/>
        </w:trPr>
        <w:tc>
          <w:tcPr>
            <w:tcW w:w="892" w:type="pct"/>
            <w:tcBorders>
              <w:top w:val="nil"/>
              <w:left w:val="single" w:sz="4" w:space="0" w:color="auto"/>
              <w:bottom w:val="single" w:sz="4" w:space="0" w:color="auto"/>
              <w:right w:val="single" w:sz="4" w:space="0" w:color="auto"/>
            </w:tcBorders>
            <w:shd w:val="clear" w:color="auto" w:fill="auto"/>
            <w:noWrap/>
            <w:vAlign w:val="bottom"/>
            <w:hideMark/>
          </w:tcPr>
          <w:p w14:paraId="4C1DC944" w14:textId="77777777" w:rsidR="009166DF" w:rsidRPr="00545EC0" w:rsidRDefault="009166DF" w:rsidP="002777A9">
            <w:pPr>
              <w:spacing w:before="60" w:after="60" w:line="240" w:lineRule="auto"/>
              <w:jc w:val="left"/>
              <w:rPr>
                <w:rFonts w:cs="Arial"/>
                <w:sz w:val="18"/>
                <w:szCs w:val="18"/>
              </w:rPr>
            </w:pPr>
            <w:r w:rsidRPr="00545EC0">
              <w:rPr>
                <w:rFonts w:cs="Arial"/>
                <w:sz w:val="18"/>
                <w:szCs w:val="18"/>
              </w:rPr>
              <w:t>VTPodV_1006</w:t>
            </w:r>
          </w:p>
        </w:tc>
        <w:tc>
          <w:tcPr>
            <w:tcW w:w="2037" w:type="pct"/>
            <w:tcBorders>
              <w:top w:val="nil"/>
              <w:left w:val="nil"/>
              <w:bottom w:val="single" w:sz="4" w:space="0" w:color="auto"/>
              <w:right w:val="single" w:sz="4" w:space="0" w:color="auto"/>
            </w:tcBorders>
            <w:shd w:val="clear" w:color="auto" w:fill="auto"/>
            <w:noWrap/>
            <w:vAlign w:val="bottom"/>
            <w:hideMark/>
          </w:tcPr>
          <w:p w14:paraId="2DBF1B88" w14:textId="77777777" w:rsidR="009166DF" w:rsidRPr="00545EC0" w:rsidRDefault="009166DF" w:rsidP="002777A9">
            <w:pPr>
              <w:spacing w:before="60" w:after="60" w:line="240" w:lineRule="auto"/>
              <w:jc w:val="left"/>
              <w:rPr>
                <w:rFonts w:cs="Arial"/>
                <w:sz w:val="18"/>
                <w:szCs w:val="18"/>
              </w:rPr>
            </w:pPr>
            <w:r w:rsidRPr="00545EC0">
              <w:rPr>
                <w:rFonts w:cs="Arial"/>
                <w:sz w:val="18"/>
                <w:szCs w:val="18"/>
              </w:rPr>
              <w:t>Kamniško-Savinjska Alpe</w:t>
            </w:r>
          </w:p>
        </w:tc>
        <w:tc>
          <w:tcPr>
            <w:tcW w:w="849" w:type="pct"/>
            <w:tcBorders>
              <w:top w:val="nil"/>
              <w:left w:val="nil"/>
              <w:bottom w:val="single" w:sz="4" w:space="0" w:color="auto"/>
              <w:right w:val="single" w:sz="4" w:space="0" w:color="auto"/>
            </w:tcBorders>
            <w:shd w:val="clear" w:color="auto" w:fill="auto"/>
            <w:noWrap/>
            <w:vAlign w:val="bottom"/>
            <w:hideMark/>
          </w:tcPr>
          <w:p w14:paraId="1790047B"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w:t>
            </w:r>
          </w:p>
        </w:tc>
        <w:tc>
          <w:tcPr>
            <w:tcW w:w="559" w:type="pct"/>
            <w:tcBorders>
              <w:top w:val="nil"/>
              <w:left w:val="nil"/>
              <w:bottom w:val="single" w:sz="4" w:space="0" w:color="auto"/>
              <w:right w:val="single" w:sz="4" w:space="0" w:color="auto"/>
            </w:tcBorders>
            <w:shd w:val="clear" w:color="auto" w:fill="auto"/>
            <w:noWrap/>
            <w:vAlign w:val="bottom"/>
            <w:hideMark/>
          </w:tcPr>
          <w:p w14:paraId="0B088E85"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1</w:t>
            </w:r>
          </w:p>
        </w:tc>
        <w:tc>
          <w:tcPr>
            <w:tcW w:w="663" w:type="pct"/>
            <w:tcBorders>
              <w:top w:val="nil"/>
              <w:left w:val="nil"/>
              <w:bottom w:val="single" w:sz="4" w:space="0" w:color="auto"/>
              <w:right w:val="single" w:sz="4" w:space="0" w:color="auto"/>
            </w:tcBorders>
            <w:shd w:val="clear" w:color="auto" w:fill="auto"/>
            <w:noWrap/>
            <w:vAlign w:val="bottom"/>
            <w:hideMark/>
          </w:tcPr>
          <w:p w14:paraId="625041C1"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w:t>
            </w:r>
          </w:p>
        </w:tc>
      </w:tr>
      <w:tr w:rsidR="003122F4" w:rsidRPr="00545EC0" w14:paraId="136153D6" w14:textId="77777777" w:rsidTr="002777A9">
        <w:trPr>
          <w:trHeight w:val="288"/>
        </w:trPr>
        <w:tc>
          <w:tcPr>
            <w:tcW w:w="892" w:type="pct"/>
            <w:tcBorders>
              <w:top w:val="nil"/>
              <w:left w:val="single" w:sz="4" w:space="0" w:color="auto"/>
              <w:bottom w:val="single" w:sz="4" w:space="0" w:color="auto"/>
              <w:right w:val="single" w:sz="4" w:space="0" w:color="auto"/>
            </w:tcBorders>
            <w:shd w:val="clear" w:color="auto" w:fill="auto"/>
            <w:noWrap/>
            <w:vAlign w:val="bottom"/>
            <w:hideMark/>
          </w:tcPr>
          <w:p w14:paraId="220B3DB9" w14:textId="77777777" w:rsidR="009166DF" w:rsidRPr="00545EC0" w:rsidRDefault="009166DF" w:rsidP="002777A9">
            <w:pPr>
              <w:spacing w:before="60" w:after="60" w:line="240" w:lineRule="auto"/>
              <w:jc w:val="left"/>
              <w:rPr>
                <w:rFonts w:cs="Arial"/>
                <w:sz w:val="18"/>
                <w:szCs w:val="18"/>
              </w:rPr>
            </w:pPr>
            <w:r w:rsidRPr="00545EC0">
              <w:rPr>
                <w:rFonts w:cs="Arial"/>
                <w:sz w:val="18"/>
                <w:szCs w:val="18"/>
              </w:rPr>
              <w:t>VTPodV_1007</w:t>
            </w:r>
          </w:p>
        </w:tc>
        <w:tc>
          <w:tcPr>
            <w:tcW w:w="2037" w:type="pct"/>
            <w:tcBorders>
              <w:top w:val="nil"/>
              <w:left w:val="nil"/>
              <w:bottom w:val="single" w:sz="4" w:space="0" w:color="auto"/>
              <w:right w:val="single" w:sz="4" w:space="0" w:color="auto"/>
            </w:tcBorders>
            <w:shd w:val="clear" w:color="auto" w:fill="auto"/>
            <w:noWrap/>
            <w:vAlign w:val="bottom"/>
            <w:hideMark/>
          </w:tcPr>
          <w:p w14:paraId="244B9589" w14:textId="31A43DCF" w:rsidR="009166DF" w:rsidRPr="00545EC0" w:rsidRDefault="009166DF" w:rsidP="002777A9">
            <w:pPr>
              <w:spacing w:before="60" w:after="60" w:line="240" w:lineRule="auto"/>
              <w:jc w:val="left"/>
              <w:rPr>
                <w:rFonts w:cs="Arial"/>
                <w:sz w:val="18"/>
                <w:szCs w:val="18"/>
              </w:rPr>
            </w:pPr>
            <w:r w:rsidRPr="00545EC0">
              <w:rPr>
                <w:rFonts w:cs="Arial"/>
                <w:sz w:val="18"/>
                <w:szCs w:val="18"/>
              </w:rPr>
              <w:t>Cerkljansko, Škofjeloško in Polhograjsko</w:t>
            </w:r>
            <w:r w:rsidR="006C09EC" w:rsidRPr="00545EC0">
              <w:rPr>
                <w:rFonts w:cs="Arial"/>
                <w:sz w:val="18"/>
                <w:szCs w:val="18"/>
              </w:rPr>
              <w:t xml:space="preserve"> hribovje</w:t>
            </w:r>
          </w:p>
        </w:tc>
        <w:tc>
          <w:tcPr>
            <w:tcW w:w="849" w:type="pct"/>
            <w:tcBorders>
              <w:top w:val="nil"/>
              <w:left w:val="nil"/>
              <w:bottom w:val="single" w:sz="4" w:space="0" w:color="auto"/>
              <w:right w:val="single" w:sz="4" w:space="0" w:color="auto"/>
            </w:tcBorders>
            <w:shd w:val="clear" w:color="auto" w:fill="auto"/>
            <w:noWrap/>
            <w:vAlign w:val="bottom"/>
            <w:hideMark/>
          </w:tcPr>
          <w:p w14:paraId="02B46C82"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w:t>
            </w:r>
          </w:p>
        </w:tc>
        <w:tc>
          <w:tcPr>
            <w:tcW w:w="559" w:type="pct"/>
            <w:tcBorders>
              <w:top w:val="nil"/>
              <w:left w:val="nil"/>
              <w:bottom w:val="single" w:sz="4" w:space="0" w:color="auto"/>
              <w:right w:val="single" w:sz="4" w:space="0" w:color="auto"/>
            </w:tcBorders>
            <w:shd w:val="clear" w:color="auto" w:fill="auto"/>
            <w:noWrap/>
            <w:vAlign w:val="bottom"/>
            <w:hideMark/>
          </w:tcPr>
          <w:p w14:paraId="5EB3727E"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1</w:t>
            </w:r>
          </w:p>
        </w:tc>
        <w:tc>
          <w:tcPr>
            <w:tcW w:w="663" w:type="pct"/>
            <w:tcBorders>
              <w:top w:val="nil"/>
              <w:left w:val="nil"/>
              <w:bottom w:val="single" w:sz="4" w:space="0" w:color="auto"/>
              <w:right w:val="single" w:sz="4" w:space="0" w:color="auto"/>
            </w:tcBorders>
            <w:shd w:val="clear" w:color="auto" w:fill="auto"/>
            <w:noWrap/>
            <w:vAlign w:val="bottom"/>
            <w:hideMark/>
          </w:tcPr>
          <w:p w14:paraId="253C3F9E"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w:t>
            </w:r>
          </w:p>
        </w:tc>
      </w:tr>
      <w:tr w:rsidR="003122F4" w:rsidRPr="00545EC0" w14:paraId="431C8A05" w14:textId="77777777" w:rsidTr="002777A9">
        <w:trPr>
          <w:trHeight w:val="288"/>
        </w:trPr>
        <w:tc>
          <w:tcPr>
            <w:tcW w:w="892" w:type="pct"/>
            <w:tcBorders>
              <w:top w:val="nil"/>
              <w:left w:val="single" w:sz="4" w:space="0" w:color="auto"/>
              <w:bottom w:val="single" w:sz="4" w:space="0" w:color="auto"/>
              <w:right w:val="single" w:sz="4" w:space="0" w:color="auto"/>
            </w:tcBorders>
            <w:shd w:val="clear" w:color="auto" w:fill="auto"/>
            <w:noWrap/>
            <w:vAlign w:val="bottom"/>
            <w:hideMark/>
          </w:tcPr>
          <w:p w14:paraId="17D9FE81" w14:textId="77777777" w:rsidR="009166DF" w:rsidRPr="00545EC0" w:rsidRDefault="009166DF" w:rsidP="002777A9">
            <w:pPr>
              <w:spacing w:before="60" w:after="60" w:line="240" w:lineRule="auto"/>
              <w:jc w:val="left"/>
              <w:rPr>
                <w:rFonts w:cs="Arial"/>
                <w:sz w:val="18"/>
                <w:szCs w:val="18"/>
              </w:rPr>
            </w:pPr>
            <w:r w:rsidRPr="00545EC0">
              <w:rPr>
                <w:rFonts w:cs="Arial"/>
                <w:sz w:val="18"/>
                <w:szCs w:val="18"/>
              </w:rPr>
              <w:t>VTPodV_1008</w:t>
            </w:r>
          </w:p>
        </w:tc>
        <w:tc>
          <w:tcPr>
            <w:tcW w:w="2037" w:type="pct"/>
            <w:tcBorders>
              <w:top w:val="nil"/>
              <w:left w:val="nil"/>
              <w:bottom w:val="single" w:sz="4" w:space="0" w:color="auto"/>
              <w:right w:val="single" w:sz="4" w:space="0" w:color="auto"/>
            </w:tcBorders>
            <w:shd w:val="clear" w:color="auto" w:fill="auto"/>
            <w:noWrap/>
            <w:vAlign w:val="bottom"/>
            <w:hideMark/>
          </w:tcPr>
          <w:p w14:paraId="21055276" w14:textId="77777777" w:rsidR="009166DF" w:rsidRPr="00545EC0" w:rsidRDefault="009166DF" w:rsidP="002777A9">
            <w:pPr>
              <w:spacing w:before="60" w:after="60" w:line="240" w:lineRule="auto"/>
              <w:jc w:val="left"/>
              <w:rPr>
                <w:rFonts w:cs="Arial"/>
                <w:sz w:val="18"/>
                <w:szCs w:val="18"/>
              </w:rPr>
            </w:pPr>
            <w:r w:rsidRPr="00545EC0">
              <w:rPr>
                <w:rFonts w:cs="Arial"/>
                <w:sz w:val="18"/>
                <w:szCs w:val="18"/>
              </w:rPr>
              <w:t>Posavsko hribovje do osrednje Sotle</w:t>
            </w:r>
          </w:p>
        </w:tc>
        <w:tc>
          <w:tcPr>
            <w:tcW w:w="849" w:type="pct"/>
            <w:tcBorders>
              <w:top w:val="nil"/>
              <w:left w:val="nil"/>
              <w:bottom w:val="single" w:sz="4" w:space="0" w:color="auto"/>
              <w:right w:val="single" w:sz="4" w:space="0" w:color="auto"/>
            </w:tcBorders>
            <w:shd w:val="clear" w:color="auto" w:fill="auto"/>
            <w:noWrap/>
            <w:vAlign w:val="bottom"/>
            <w:hideMark/>
          </w:tcPr>
          <w:p w14:paraId="64394A2A"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1</w:t>
            </w:r>
          </w:p>
        </w:tc>
        <w:tc>
          <w:tcPr>
            <w:tcW w:w="559" w:type="pct"/>
            <w:tcBorders>
              <w:top w:val="nil"/>
              <w:left w:val="nil"/>
              <w:bottom w:val="single" w:sz="4" w:space="0" w:color="auto"/>
              <w:right w:val="single" w:sz="4" w:space="0" w:color="auto"/>
            </w:tcBorders>
            <w:shd w:val="clear" w:color="auto" w:fill="auto"/>
            <w:noWrap/>
            <w:vAlign w:val="bottom"/>
            <w:hideMark/>
          </w:tcPr>
          <w:p w14:paraId="04DF0A2C"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5</w:t>
            </w:r>
          </w:p>
        </w:tc>
        <w:tc>
          <w:tcPr>
            <w:tcW w:w="663" w:type="pct"/>
            <w:tcBorders>
              <w:top w:val="nil"/>
              <w:left w:val="nil"/>
              <w:bottom w:val="single" w:sz="4" w:space="0" w:color="auto"/>
              <w:right w:val="single" w:sz="4" w:space="0" w:color="auto"/>
            </w:tcBorders>
            <w:shd w:val="clear" w:color="auto" w:fill="auto"/>
            <w:noWrap/>
            <w:vAlign w:val="bottom"/>
            <w:hideMark/>
          </w:tcPr>
          <w:p w14:paraId="7B95F673"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1</w:t>
            </w:r>
          </w:p>
        </w:tc>
      </w:tr>
      <w:tr w:rsidR="003122F4" w:rsidRPr="00545EC0" w14:paraId="11DD20DC" w14:textId="77777777" w:rsidTr="002777A9">
        <w:trPr>
          <w:trHeight w:val="288"/>
        </w:trPr>
        <w:tc>
          <w:tcPr>
            <w:tcW w:w="892" w:type="pct"/>
            <w:tcBorders>
              <w:top w:val="nil"/>
              <w:left w:val="single" w:sz="4" w:space="0" w:color="auto"/>
              <w:bottom w:val="single" w:sz="4" w:space="0" w:color="auto"/>
              <w:right w:val="single" w:sz="4" w:space="0" w:color="auto"/>
            </w:tcBorders>
            <w:shd w:val="clear" w:color="auto" w:fill="auto"/>
            <w:noWrap/>
            <w:vAlign w:val="bottom"/>
            <w:hideMark/>
          </w:tcPr>
          <w:p w14:paraId="38E7BF67" w14:textId="77777777" w:rsidR="009166DF" w:rsidRPr="00545EC0" w:rsidRDefault="009166DF" w:rsidP="002777A9">
            <w:pPr>
              <w:spacing w:before="60" w:after="60" w:line="240" w:lineRule="auto"/>
              <w:jc w:val="left"/>
              <w:rPr>
                <w:rFonts w:cs="Arial"/>
                <w:sz w:val="18"/>
                <w:szCs w:val="18"/>
              </w:rPr>
            </w:pPr>
            <w:r w:rsidRPr="00545EC0">
              <w:rPr>
                <w:rFonts w:cs="Arial"/>
                <w:sz w:val="18"/>
                <w:szCs w:val="18"/>
              </w:rPr>
              <w:t>VTPodV_1009</w:t>
            </w:r>
          </w:p>
        </w:tc>
        <w:tc>
          <w:tcPr>
            <w:tcW w:w="2037" w:type="pct"/>
            <w:tcBorders>
              <w:top w:val="nil"/>
              <w:left w:val="nil"/>
              <w:bottom w:val="single" w:sz="4" w:space="0" w:color="auto"/>
              <w:right w:val="single" w:sz="4" w:space="0" w:color="auto"/>
            </w:tcBorders>
            <w:shd w:val="clear" w:color="auto" w:fill="auto"/>
            <w:noWrap/>
            <w:vAlign w:val="bottom"/>
            <w:hideMark/>
          </w:tcPr>
          <w:p w14:paraId="2DA6A73D" w14:textId="77777777" w:rsidR="009166DF" w:rsidRPr="00545EC0" w:rsidRDefault="009166DF" w:rsidP="002777A9">
            <w:pPr>
              <w:spacing w:before="60" w:after="60" w:line="240" w:lineRule="auto"/>
              <w:jc w:val="left"/>
              <w:rPr>
                <w:rFonts w:cs="Arial"/>
                <w:sz w:val="18"/>
                <w:szCs w:val="18"/>
              </w:rPr>
            </w:pPr>
            <w:r w:rsidRPr="00545EC0">
              <w:rPr>
                <w:rFonts w:cs="Arial"/>
                <w:sz w:val="18"/>
                <w:szCs w:val="18"/>
              </w:rPr>
              <w:t>Spodnji del Savinje do Sotle</w:t>
            </w:r>
          </w:p>
        </w:tc>
        <w:tc>
          <w:tcPr>
            <w:tcW w:w="849" w:type="pct"/>
            <w:tcBorders>
              <w:top w:val="nil"/>
              <w:left w:val="nil"/>
              <w:bottom w:val="single" w:sz="4" w:space="0" w:color="auto"/>
              <w:right w:val="single" w:sz="4" w:space="0" w:color="auto"/>
            </w:tcBorders>
            <w:shd w:val="clear" w:color="auto" w:fill="auto"/>
            <w:noWrap/>
            <w:vAlign w:val="bottom"/>
            <w:hideMark/>
          </w:tcPr>
          <w:p w14:paraId="6D6A9A50"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w:t>
            </w:r>
          </w:p>
        </w:tc>
        <w:tc>
          <w:tcPr>
            <w:tcW w:w="559" w:type="pct"/>
            <w:tcBorders>
              <w:top w:val="nil"/>
              <w:left w:val="nil"/>
              <w:bottom w:val="single" w:sz="4" w:space="0" w:color="auto"/>
              <w:right w:val="single" w:sz="4" w:space="0" w:color="auto"/>
            </w:tcBorders>
            <w:shd w:val="clear" w:color="auto" w:fill="auto"/>
            <w:noWrap/>
            <w:vAlign w:val="bottom"/>
            <w:hideMark/>
          </w:tcPr>
          <w:p w14:paraId="2DAED005"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5</w:t>
            </w:r>
          </w:p>
        </w:tc>
        <w:tc>
          <w:tcPr>
            <w:tcW w:w="663" w:type="pct"/>
            <w:tcBorders>
              <w:top w:val="nil"/>
              <w:left w:val="nil"/>
              <w:bottom w:val="single" w:sz="4" w:space="0" w:color="auto"/>
              <w:right w:val="single" w:sz="4" w:space="0" w:color="auto"/>
            </w:tcBorders>
            <w:shd w:val="clear" w:color="auto" w:fill="auto"/>
            <w:noWrap/>
            <w:vAlign w:val="bottom"/>
            <w:hideMark/>
          </w:tcPr>
          <w:p w14:paraId="266F2B4E"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2</w:t>
            </w:r>
          </w:p>
        </w:tc>
      </w:tr>
      <w:tr w:rsidR="003122F4" w:rsidRPr="00545EC0" w14:paraId="6C88B662" w14:textId="77777777" w:rsidTr="002777A9">
        <w:trPr>
          <w:trHeight w:val="288"/>
        </w:trPr>
        <w:tc>
          <w:tcPr>
            <w:tcW w:w="892" w:type="pct"/>
            <w:tcBorders>
              <w:top w:val="nil"/>
              <w:left w:val="single" w:sz="4" w:space="0" w:color="auto"/>
              <w:bottom w:val="single" w:sz="4" w:space="0" w:color="auto"/>
              <w:right w:val="single" w:sz="4" w:space="0" w:color="auto"/>
            </w:tcBorders>
            <w:shd w:val="clear" w:color="auto" w:fill="auto"/>
            <w:noWrap/>
            <w:vAlign w:val="bottom"/>
            <w:hideMark/>
          </w:tcPr>
          <w:p w14:paraId="6B42635F" w14:textId="77777777" w:rsidR="009166DF" w:rsidRPr="00545EC0" w:rsidRDefault="009166DF" w:rsidP="002777A9">
            <w:pPr>
              <w:spacing w:before="60" w:after="60" w:line="240" w:lineRule="auto"/>
              <w:jc w:val="left"/>
              <w:rPr>
                <w:rFonts w:cs="Arial"/>
                <w:sz w:val="18"/>
                <w:szCs w:val="18"/>
              </w:rPr>
            </w:pPr>
            <w:r w:rsidRPr="00545EC0">
              <w:rPr>
                <w:rFonts w:cs="Arial"/>
                <w:sz w:val="18"/>
                <w:szCs w:val="18"/>
              </w:rPr>
              <w:t>VTPodV_1010</w:t>
            </w:r>
          </w:p>
        </w:tc>
        <w:tc>
          <w:tcPr>
            <w:tcW w:w="2037" w:type="pct"/>
            <w:tcBorders>
              <w:top w:val="nil"/>
              <w:left w:val="nil"/>
              <w:bottom w:val="single" w:sz="4" w:space="0" w:color="auto"/>
              <w:right w:val="single" w:sz="4" w:space="0" w:color="auto"/>
            </w:tcBorders>
            <w:shd w:val="clear" w:color="auto" w:fill="auto"/>
            <w:noWrap/>
            <w:vAlign w:val="bottom"/>
            <w:hideMark/>
          </w:tcPr>
          <w:p w14:paraId="6CEB3057" w14:textId="77777777" w:rsidR="009166DF" w:rsidRPr="00545EC0" w:rsidRDefault="009166DF" w:rsidP="002777A9">
            <w:pPr>
              <w:spacing w:before="60" w:after="60" w:line="240" w:lineRule="auto"/>
              <w:jc w:val="left"/>
              <w:rPr>
                <w:rFonts w:cs="Arial"/>
                <w:sz w:val="18"/>
                <w:szCs w:val="18"/>
              </w:rPr>
            </w:pPr>
            <w:r w:rsidRPr="00545EC0">
              <w:rPr>
                <w:rFonts w:cs="Arial"/>
                <w:sz w:val="18"/>
                <w:szCs w:val="18"/>
              </w:rPr>
              <w:t>Kraška Ljubljanica</w:t>
            </w:r>
          </w:p>
        </w:tc>
        <w:tc>
          <w:tcPr>
            <w:tcW w:w="849" w:type="pct"/>
            <w:tcBorders>
              <w:top w:val="nil"/>
              <w:left w:val="nil"/>
              <w:bottom w:val="single" w:sz="4" w:space="0" w:color="auto"/>
              <w:right w:val="single" w:sz="4" w:space="0" w:color="auto"/>
            </w:tcBorders>
            <w:shd w:val="clear" w:color="auto" w:fill="auto"/>
            <w:noWrap/>
            <w:vAlign w:val="bottom"/>
            <w:hideMark/>
          </w:tcPr>
          <w:p w14:paraId="15AA6AFA"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w:t>
            </w:r>
          </w:p>
        </w:tc>
        <w:tc>
          <w:tcPr>
            <w:tcW w:w="559" w:type="pct"/>
            <w:tcBorders>
              <w:top w:val="nil"/>
              <w:left w:val="nil"/>
              <w:bottom w:val="single" w:sz="4" w:space="0" w:color="auto"/>
              <w:right w:val="single" w:sz="4" w:space="0" w:color="auto"/>
            </w:tcBorders>
            <w:shd w:val="clear" w:color="auto" w:fill="auto"/>
            <w:noWrap/>
            <w:vAlign w:val="bottom"/>
            <w:hideMark/>
          </w:tcPr>
          <w:p w14:paraId="45D6A58D"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2</w:t>
            </w:r>
          </w:p>
        </w:tc>
        <w:tc>
          <w:tcPr>
            <w:tcW w:w="663" w:type="pct"/>
            <w:tcBorders>
              <w:top w:val="nil"/>
              <w:left w:val="nil"/>
              <w:bottom w:val="single" w:sz="4" w:space="0" w:color="auto"/>
              <w:right w:val="single" w:sz="4" w:space="0" w:color="auto"/>
            </w:tcBorders>
            <w:shd w:val="clear" w:color="auto" w:fill="auto"/>
            <w:noWrap/>
            <w:vAlign w:val="bottom"/>
            <w:hideMark/>
          </w:tcPr>
          <w:p w14:paraId="5699FCEB"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1</w:t>
            </w:r>
          </w:p>
        </w:tc>
      </w:tr>
      <w:tr w:rsidR="003122F4" w:rsidRPr="00545EC0" w14:paraId="0530766C" w14:textId="77777777" w:rsidTr="002777A9">
        <w:trPr>
          <w:trHeight w:val="288"/>
        </w:trPr>
        <w:tc>
          <w:tcPr>
            <w:tcW w:w="892" w:type="pct"/>
            <w:tcBorders>
              <w:top w:val="nil"/>
              <w:left w:val="single" w:sz="4" w:space="0" w:color="auto"/>
              <w:bottom w:val="single" w:sz="4" w:space="0" w:color="auto"/>
              <w:right w:val="single" w:sz="4" w:space="0" w:color="auto"/>
            </w:tcBorders>
            <w:shd w:val="clear" w:color="auto" w:fill="auto"/>
            <w:noWrap/>
            <w:vAlign w:val="bottom"/>
            <w:hideMark/>
          </w:tcPr>
          <w:p w14:paraId="53C9C6D6" w14:textId="77777777" w:rsidR="009166DF" w:rsidRPr="00545EC0" w:rsidRDefault="009166DF" w:rsidP="002777A9">
            <w:pPr>
              <w:spacing w:before="60" w:after="60" w:line="240" w:lineRule="auto"/>
              <w:jc w:val="left"/>
              <w:rPr>
                <w:rFonts w:cs="Arial"/>
                <w:sz w:val="18"/>
                <w:szCs w:val="18"/>
              </w:rPr>
            </w:pPr>
            <w:r w:rsidRPr="00545EC0">
              <w:rPr>
                <w:rFonts w:cs="Arial"/>
                <w:sz w:val="18"/>
                <w:szCs w:val="18"/>
              </w:rPr>
              <w:t>VTPodV_1011</w:t>
            </w:r>
          </w:p>
        </w:tc>
        <w:tc>
          <w:tcPr>
            <w:tcW w:w="2037" w:type="pct"/>
            <w:tcBorders>
              <w:top w:val="nil"/>
              <w:left w:val="nil"/>
              <w:bottom w:val="single" w:sz="4" w:space="0" w:color="auto"/>
              <w:right w:val="single" w:sz="4" w:space="0" w:color="auto"/>
            </w:tcBorders>
            <w:shd w:val="clear" w:color="auto" w:fill="auto"/>
            <w:noWrap/>
            <w:vAlign w:val="bottom"/>
            <w:hideMark/>
          </w:tcPr>
          <w:p w14:paraId="7EDDD588" w14:textId="77777777" w:rsidR="009166DF" w:rsidRPr="00545EC0" w:rsidRDefault="009166DF" w:rsidP="002777A9">
            <w:pPr>
              <w:spacing w:before="60" w:after="60" w:line="240" w:lineRule="auto"/>
              <w:jc w:val="left"/>
              <w:rPr>
                <w:rFonts w:cs="Arial"/>
                <w:sz w:val="18"/>
                <w:szCs w:val="18"/>
              </w:rPr>
            </w:pPr>
            <w:r w:rsidRPr="00545EC0">
              <w:rPr>
                <w:rFonts w:cs="Arial"/>
                <w:sz w:val="18"/>
                <w:szCs w:val="18"/>
              </w:rPr>
              <w:t>Dolenjski kras</w:t>
            </w:r>
          </w:p>
        </w:tc>
        <w:tc>
          <w:tcPr>
            <w:tcW w:w="849" w:type="pct"/>
            <w:tcBorders>
              <w:top w:val="nil"/>
              <w:left w:val="nil"/>
              <w:bottom w:val="single" w:sz="4" w:space="0" w:color="auto"/>
              <w:right w:val="single" w:sz="4" w:space="0" w:color="auto"/>
            </w:tcBorders>
            <w:shd w:val="clear" w:color="auto" w:fill="auto"/>
            <w:noWrap/>
            <w:vAlign w:val="bottom"/>
            <w:hideMark/>
          </w:tcPr>
          <w:p w14:paraId="1F55C1C9"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1</w:t>
            </w:r>
          </w:p>
        </w:tc>
        <w:tc>
          <w:tcPr>
            <w:tcW w:w="559" w:type="pct"/>
            <w:tcBorders>
              <w:top w:val="nil"/>
              <w:left w:val="nil"/>
              <w:bottom w:val="single" w:sz="4" w:space="0" w:color="auto"/>
              <w:right w:val="single" w:sz="4" w:space="0" w:color="auto"/>
            </w:tcBorders>
            <w:shd w:val="clear" w:color="auto" w:fill="auto"/>
            <w:noWrap/>
            <w:vAlign w:val="bottom"/>
            <w:hideMark/>
          </w:tcPr>
          <w:p w14:paraId="37F80DC4"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7</w:t>
            </w:r>
          </w:p>
        </w:tc>
        <w:tc>
          <w:tcPr>
            <w:tcW w:w="663" w:type="pct"/>
            <w:tcBorders>
              <w:top w:val="nil"/>
              <w:left w:val="nil"/>
              <w:bottom w:val="single" w:sz="4" w:space="0" w:color="auto"/>
              <w:right w:val="single" w:sz="4" w:space="0" w:color="auto"/>
            </w:tcBorders>
            <w:shd w:val="clear" w:color="auto" w:fill="auto"/>
            <w:noWrap/>
            <w:vAlign w:val="bottom"/>
            <w:hideMark/>
          </w:tcPr>
          <w:p w14:paraId="4234F890"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2</w:t>
            </w:r>
          </w:p>
        </w:tc>
      </w:tr>
      <w:tr w:rsidR="003122F4" w:rsidRPr="00545EC0" w14:paraId="69CD319E" w14:textId="77777777" w:rsidTr="002777A9">
        <w:trPr>
          <w:trHeight w:val="288"/>
        </w:trPr>
        <w:tc>
          <w:tcPr>
            <w:tcW w:w="892" w:type="pct"/>
            <w:tcBorders>
              <w:top w:val="nil"/>
              <w:left w:val="single" w:sz="4" w:space="0" w:color="auto"/>
              <w:bottom w:val="single" w:sz="4" w:space="0" w:color="auto"/>
              <w:right w:val="single" w:sz="4" w:space="0" w:color="auto"/>
            </w:tcBorders>
            <w:shd w:val="clear" w:color="auto" w:fill="auto"/>
            <w:noWrap/>
            <w:vAlign w:val="bottom"/>
            <w:hideMark/>
          </w:tcPr>
          <w:p w14:paraId="2F3BB300" w14:textId="77777777" w:rsidR="009166DF" w:rsidRPr="00545EC0" w:rsidRDefault="009166DF" w:rsidP="002777A9">
            <w:pPr>
              <w:spacing w:before="60" w:after="60" w:line="240" w:lineRule="auto"/>
              <w:jc w:val="left"/>
              <w:rPr>
                <w:rFonts w:cs="Arial"/>
                <w:sz w:val="18"/>
                <w:szCs w:val="18"/>
              </w:rPr>
            </w:pPr>
            <w:r w:rsidRPr="00545EC0">
              <w:rPr>
                <w:rFonts w:cs="Arial"/>
                <w:sz w:val="18"/>
                <w:szCs w:val="18"/>
              </w:rPr>
              <w:t>VTPodV_3012</w:t>
            </w:r>
          </w:p>
        </w:tc>
        <w:tc>
          <w:tcPr>
            <w:tcW w:w="2037" w:type="pct"/>
            <w:tcBorders>
              <w:top w:val="nil"/>
              <w:left w:val="nil"/>
              <w:bottom w:val="single" w:sz="4" w:space="0" w:color="auto"/>
              <w:right w:val="single" w:sz="4" w:space="0" w:color="auto"/>
            </w:tcBorders>
            <w:shd w:val="clear" w:color="auto" w:fill="auto"/>
            <w:noWrap/>
            <w:vAlign w:val="bottom"/>
            <w:hideMark/>
          </w:tcPr>
          <w:p w14:paraId="204ECF75" w14:textId="77777777" w:rsidR="009166DF" w:rsidRPr="00545EC0" w:rsidRDefault="009166DF" w:rsidP="002777A9">
            <w:pPr>
              <w:spacing w:before="60" w:after="60" w:line="240" w:lineRule="auto"/>
              <w:jc w:val="left"/>
              <w:rPr>
                <w:rFonts w:cs="Arial"/>
                <w:sz w:val="18"/>
                <w:szCs w:val="18"/>
              </w:rPr>
            </w:pPr>
            <w:r w:rsidRPr="00545EC0">
              <w:rPr>
                <w:rFonts w:cs="Arial"/>
                <w:sz w:val="18"/>
                <w:szCs w:val="18"/>
              </w:rPr>
              <w:t>Dravska kotlina</w:t>
            </w:r>
          </w:p>
        </w:tc>
        <w:tc>
          <w:tcPr>
            <w:tcW w:w="849" w:type="pct"/>
            <w:tcBorders>
              <w:top w:val="nil"/>
              <w:left w:val="nil"/>
              <w:bottom w:val="single" w:sz="4" w:space="0" w:color="auto"/>
              <w:right w:val="single" w:sz="4" w:space="0" w:color="auto"/>
            </w:tcBorders>
            <w:shd w:val="clear" w:color="auto" w:fill="auto"/>
            <w:noWrap/>
            <w:vAlign w:val="bottom"/>
            <w:hideMark/>
          </w:tcPr>
          <w:p w14:paraId="0A7987C9"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5</w:t>
            </w:r>
          </w:p>
        </w:tc>
        <w:tc>
          <w:tcPr>
            <w:tcW w:w="559" w:type="pct"/>
            <w:tcBorders>
              <w:top w:val="nil"/>
              <w:left w:val="nil"/>
              <w:bottom w:val="single" w:sz="4" w:space="0" w:color="auto"/>
              <w:right w:val="single" w:sz="4" w:space="0" w:color="auto"/>
            </w:tcBorders>
            <w:shd w:val="clear" w:color="auto" w:fill="auto"/>
            <w:noWrap/>
            <w:vAlign w:val="bottom"/>
            <w:hideMark/>
          </w:tcPr>
          <w:p w14:paraId="735ADA0C"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1</w:t>
            </w:r>
          </w:p>
        </w:tc>
        <w:tc>
          <w:tcPr>
            <w:tcW w:w="663" w:type="pct"/>
            <w:tcBorders>
              <w:top w:val="nil"/>
              <w:left w:val="nil"/>
              <w:bottom w:val="single" w:sz="4" w:space="0" w:color="auto"/>
              <w:right w:val="single" w:sz="4" w:space="0" w:color="auto"/>
            </w:tcBorders>
            <w:shd w:val="clear" w:color="auto" w:fill="auto"/>
            <w:noWrap/>
            <w:vAlign w:val="bottom"/>
            <w:hideMark/>
          </w:tcPr>
          <w:p w14:paraId="7F6BE8C1"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1</w:t>
            </w:r>
          </w:p>
        </w:tc>
      </w:tr>
      <w:tr w:rsidR="003122F4" w:rsidRPr="00545EC0" w14:paraId="7261A9CC" w14:textId="77777777" w:rsidTr="002777A9">
        <w:trPr>
          <w:trHeight w:val="288"/>
        </w:trPr>
        <w:tc>
          <w:tcPr>
            <w:tcW w:w="892" w:type="pct"/>
            <w:tcBorders>
              <w:top w:val="nil"/>
              <w:left w:val="single" w:sz="4" w:space="0" w:color="auto"/>
              <w:bottom w:val="single" w:sz="4" w:space="0" w:color="auto"/>
              <w:right w:val="single" w:sz="4" w:space="0" w:color="auto"/>
            </w:tcBorders>
            <w:shd w:val="clear" w:color="auto" w:fill="auto"/>
            <w:noWrap/>
            <w:vAlign w:val="bottom"/>
            <w:hideMark/>
          </w:tcPr>
          <w:p w14:paraId="7FF55DD3" w14:textId="77777777" w:rsidR="009166DF" w:rsidRPr="00545EC0" w:rsidRDefault="009166DF" w:rsidP="002777A9">
            <w:pPr>
              <w:spacing w:before="60" w:after="60" w:line="240" w:lineRule="auto"/>
              <w:jc w:val="left"/>
              <w:rPr>
                <w:rFonts w:cs="Arial"/>
                <w:sz w:val="18"/>
                <w:szCs w:val="18"/>
              </w:rPr>
            </w:pPr>
            <w:r w:rsidRPr="00545EC0">
              <w:rPr>
                <w:rFonts w:cs="Arial"/>
                <w:sz w:val="18"/>
                <w:szCs w:val="18"/>
              </w:rPr>
              <w:t>VTPodV_3013</w:t>
            </w:r>
          </w:p>
        </w:tc>
        <w:tc>
          <w:tcPr>
            <w:tcW w:w="2037" w:type="pct"/>
            <w:tcBorders>
              <w:top w:val="nil"/>
              <w:left w:val="nil"/>
              <w:bottom w:val="single" w:sz="4" w:space="0" w:color="auto"/>
              <w:right w:val="single" w:sz="4" w:space="0" w:color="auto"/>
            </w:tcBorders>
            <w:shd w:val="clear" w:color="auto" w:fill="auto"/>
            <w:noWrap/>
            <w:vAlign w:val="bottom"/>
            <w:hideMark/>
          </w:tcPr>
          <w:p w14:paraId="031D6948" w14:textId="77777777" w:rsidR="009166DF" w:rsidRPr="00545EC0" w:rsidRDefault="009166DF" w:rsidP="002777A9">
            <w:pPr>
              <w:spacing w:before="60" w:after="60" w:line="240" w:lineRule="auto"/>
              <w:jc w:val="left"/>
              <w:rPr>
                <w:rFonts w:cs="Arial"/>
                <w:sz w:val="18"/>
                <w:szCs w:val="18"/>
              </w:rPr>
            </w:pPr>
            <w:r w:rsidRPr="00545EC0">
              <w:rPr>
                <w:rFonts w:cs="Arial"/>
                <w:sz w:val="18"/>
                <w:szCs w:val="18"/>
              </w:rPr>
              <w:t>Vzhodne Alpe</w:t>
            </w:r>
          </w:p>
        </w:tc>
        <w:tc>
          <w:tcPr>
            <w:tcW w:w="849" w:type="pct"/>
            <w:tcBorders>
              <w:top w:val="nil"/>
              <w:left w:val="nil"/>
              <w:bottom w:val="single" w:sz="4" w:space="0" w:color="auto"/>
              <w:right w:val="single" w:sz="4" w:space="0" w:color="auto"/>
            </w:tcBorders>
            <w:shd w:val="clear" w:color="auto" w:fill="auto"/>
            <w:noWrap/>
            <w:vAlign w:val="bottom"/>
            <w:hideMark/>
          </w:tcPr>
          <w:p w14:paraId="1A5CABC7"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1</w:t>
            </w:r>
          </w:p>
        </w:tc>
        <w:tc>
          <w:tcPr>
            <w:tcW w:w="559" w:type="pct"/>
            <w:tcBorders>
              <w:top w:val="nil"/>
              <w:left w:val="nil"/>
              <w:bottom w:val="single" w:sz="4" w:space="0" w:color="auto"/>
              <w:right w:val="single" w:sz="4" w:space="0" w:color="auto"/>
            </w:tcBorders>
            <w:shd w:val="clear" w:color="auto" w:fill="auto"/>
            <w:noWrap/>
            <w:vAlign w:val="bottom"/>
            <w:hideMark/>
          </w:tcPr>
          <w:p w14:paraId="7036A2BF"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3</w:t>
            </w:r>
          </w:p>
        </w:tc>
        <w:tc>
          <w:tcPr>
            <w:tcW w:w="663" w:type="pct"/>
            <w:tcBorders>
              <w:top w:val="nil"/>
              <w:left w:val="nil"/>
              <w:bottom w:val="single" w:sz="4" w:space="0" w:color="auto"/>
              <w:right w:val="single" w:sz="4" w:space="0" w:color="auto"/>
            </w:tcBorders>
            <w:shd w:val="clear" w:color="auto" w:fill="auto"/>
            <w:noWrap/>
            <w:vAlign w:val="bottom"/>
            <w:hideMark/>
          </w:tcPr>
          <w:p w14:paraId="7B0E65BB"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2</w:t>
            </w:r>
          </w:p>
        </w:tc>
      </w:tr>
      <w:tr w:rsidR="003122F4" w:rsidRPr="00545EC0" w14:paraId="7FF2D971" w14:textId="77777777" w:rsidTr="002777A9">
        <w:trPr>
          <w:trHeight w:val="288"/>
        </w:trPr>
        <w:tc>
          <w:tcPr>
            <w:tcW w:w="892" w:type="pct"/>
            <w:tcBorders>
              <w:top w:val="nil"/>
              <w:left w:val="single" w:sz="4" w:space="0" w:color="auto"/>
              <w:bottom w:val="single" w:sz="4" w:space="0" w:color="auto"/>
              <w:right w:val="single" w:sz="4" w:space="0" w:color="auto"/>
            </w:tcBorders>
            <w:shd w:val="clear" w:color="auto" w:fill="auto"/>
            <w:noWrap/>
            <w:vAlign w:val="bottom"/>
            <w:hideMark/>
          </w:tcPr>
          <w:p w14:paraId="27BBE27C" w14:textId="77777777" w:rsidR="009166DF" w:rsidRPr="00545EC0" w:rsidRDefault="009166DF" w:rsidP="002777A9">
            <w:pPr>
              <w:spacing w:before="60" w:after="60" w:line="240" w:lineRule="auto"/>
              <w:jc w:val="left"/>
              <w:rPr>
                <w:rFonts w:cs="Arial"/>
                <w:sz w:val="18"/>
                <w:szCs w:val="18"/>
              </w:rPr>
            </w:pPr>
            <w:r w:rsidRPr="00545EC0">
              <w:rPr>
                <w:rFonts w:cs="Arial"/>
                <w:sz w:val="18"/>
                <w:szCs w:val="18"/>
              </w:rPr>
              <w:t>VTPodV_3014</w:t>
            </w:r>
          </w:p>
        </w:tc>
        <w:tc>
          <w:tcPr>
            <w:tcW w:w="2037" w:type="pct"/>
            <w:tcBorders>
              <w:top w:val="nil"/>
              <w:left w:val="nil"/>
              <w:bottom w:val="single" w:sz="4" w:space="0" w:color="auto"/>
              <w:right w:val="single" w:sz="4" w:space="0" w:color="auto"/>
            </w:tcBorders>
            <w:shd w:val="clear" w:color="auto" w:fill="auto"/>
            <w:noWrap/>
            <w:vAlign w:val="bottom"/>
            <w:hideMark/>
          </w:tcPr>
          <w:p w14:paraId="6DEC6DC2" w14:textId="77777777" w:rsidR="009166DF" w:rsidRPr="00545EC0" w:rsidRDefault="009166DF" w:rsidP="002777A9">
            <w:pPr>
              <w:spacing w:before="60" w:after="60" w:line="240" w:lineRule="auto"/>
              <w:jc w:val="left"/>
              <w:rPr>
                <w:rFonts w:cs="Arial"/>
                <w:sz w:val="18"/>
                <w:szCs w:val="18"/>
              </w:rPr>
            </w:pPr>
            <w:r w:rsidRPr="00545EC0">
              <w:rPr>
                <w:rFonts w:cs="Arial"/>
                <w:sz w:val="18"/>
                <w:szCs w:val="18"/>
              </w:rPr>
              <w:t>Haloze in Dravinjske gorice</w:t>
            </w:r>
          </w:p>
        </w:tc>
        <w:tc>
          <w:tcPr>
            <w:tcW w:w="849" w:type="pct"/>
            <w:tcBorders>
              <w:top w:val="nil"/>
              <w:left w:val="nil"/>
              <w:bottom w:val="single" w:sz="4" w:space="0" w:color="auto"/>
              <w:right w:val="single" w:sz="4" w:space="0" w:color="auto"/>
            </w:tcBorders>
            <w:shd w:val="clear" w:color="auto" w:fill="auto"/>
            <w:noWrap/>
            <w:vAlign w:val="bottom"/>
            <w:hideMark/>
          </w:tcPr>
          <w:p w14:paraId="223BACF4"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1</w:t>
            </w:r>
          </w:p>
        </w:tc>
        <w:tc>
          <w:tcPr>
            <w:tcW w:w="559" w:type="pct"/>
            <w:tcBorders>
              <w:top w:val="nil"/>
              <w:left w:val="nil"/>
              <w:bottom w:val="single" w:sz="4" w:space="0" w:color="auto"/>
              <w:right w:val="single" w:sz="4" w:space="0" w:color="auto"/>
            </w:tcBorders>
            <w:shd w:val="clear" w:color="auto" w:fill="auto"/>
            <w:noWrap/>
            <w:vAlign w:val="bottom"/>
            <w:hideMark/>
          </w:tcPr>
          <w:p w14:paraId="6666E1AF"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2</w:t>
            </w:r>
          </w:p>
        </w:tc>
        <w:tc>
          <w:tcPr>
            <w:tcW w:w="663" w:type="pct"/>
            <w:tcBorders>
              <w:top w:val="nil"/>
              <w:left w:val="nil"/>
              <w:bottom w:val="single" w:sz="4" w:space="0" w:color="auto"/>
              <w:right w:val="single" w:sz="4" w:space="0" w:color="auto"/>
            </w:tcBorders>
            <w:shd w:val="clear" w:color="auto" w:fill="auto"/>
            <w:noWrap/>
            <w:vAlign w:val="bottom"/>
            <w:hideMark/>
          </w:tcPr>
          <w:p w14:paraId="13ECD6A3"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w:t>
            </w:r>
          </w:p>
        </w:tc>
      </w:tr>
      <w:tr w:rsidR="003122F4" w:rsidRPr="00545EC0" w14:paraId="15C30CB9" w14:textId="77777777" w:rsidTr="002777A9">
        <w:trPr>
          <w:trHeight w:val="288"/>
        </w:trPr>
        <w:tc>
          <w:tcPr>
            <w:tcW w:w="892" w:type="pct"/>
            <w:tcBorders>
              <w:top w:val="nil"/>
              <w:left w:val="single" w:sz="4" w:space="0" w:color="auto"/>
              <w:bottom w:val="single" w:sz="4" w:space="0" w:color="auto"/>
              <w:right w:val="single" w:sz="4" w:space="0" w:color="auto"/>
            </w:tcBorders>
            <w:shd w:val="clear" w:color="auto" w:fill="auto"/>
            <w:noWrap/>
            <w:vAlign w:val="bottom"/>
            <w:hideMark/>
          </w:tcPr>
          <w:p w14:paraId="228CC707" w14:textId="77777777" w:rsidR="009166DF" w:rsidRPr="00545EC0" w:rsidRDefault="009166DF" w:rsidP="002777A9">
            <w:pPr>
              <w:spacing w:before="60" w:after="60" w:line="240" w:lineRule="auto"/>
              <w:jc w:val="left"/>
              <w:rPr>
                <w:rFonts w:cs="Arial"/>
                <w:sz w:val="18"/>
                <w:szCs w:val="18"/>
              </w:rPr>
            </w:pPr>
            <w:r w:rsidRPr="00545EC0">
              <w:rPr>
                <w:rFonts w:cs="Arial"/>
                <w:sz w:val="18"/>
                <w:szCs w:val="18"/>
              </w:rPr>
              <w:t>VTPodV_3015</w:t>
            </w:r>
          </w:p>
        </w:tc>
        <w:tc>
          <w:tcPr>
            <w:tcW w:w="2037" w:type="pct"/>
            <w:tcBorders>
              <w:top w:val="nil"/>
              <w:left w:val="nil"/>
              <w:bottom w:val="single" w:sz="4" w:space="0" w:color="auto"/>
              <w:right w:val="single" w:sz="4" w:space="0" w:color="auto"/>
            </w:tcBorders>
            <w:shd w:val="clear" w:color="auto" w:fill="auto"/>
            <w:noWrap/>
            <w:vAlign w:val="bottom"/>
            <w:hideMark/>
          </w:tcPr>
          <w:p w14:paraId="0DBC1E81" w14:textId="77777777" w:rsidR="009166DF" w:rsidRPr="00545EC0" w:rsidRDefault="009166DF" w:rsidP="002777A9">
            <w:pPr>
              <w:spacing w:before="60" w:after="60" w:line="240" w:lineRule="auto"/>
              <w:jc w:val="left"/>
              <w:rPr>
                <w:rFonts w:cs="Arial"/>
                <w:sz w:val="18"/>
                <w:szCs w:val="18"/>
              </w:rPr>
            </w:pPr>
            <w:r w:rsidRPr="00545EC0">
              <w:rPr>
                <w:rFonts w:cs="Arial"/>
                <w:sz w:val="18"/>
                <w:szCs w:val="18"/>
              </w:rPr>
              <w:t>Zahodne Slovenske gorice</w:t>
            </w:r>
          </w:p>
        </w:tc>
        <w:tc>
          <w:tcPr>
            <w:tcW w:w="849" w:type="pct"/>
            <w:tcBorders>
              <w:top w:val="nil"/>
              <w:left w:val="nil"/>
              <w:bottom w:val="single" w:sz="4" w:space="0" w:color="auto"/>
              <w:right w:val="single" w:sz="4" w:space="0" w:color="auto"/>
            </w:tcBorders>
            <w:shd w:val="clear" w:color="auto" w:fill="auto"/>
            <w:noWrap/>
            <w:vAlign w:val="bottom"/>
            <w:hideMark/>
          </w:tcPr>
          <w:p w14:paraId="04EAEEDE"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1</w:t>
            </w:r>
          </w:p>
        </w:tc>
        <w:tc>
          <w:tcPr>
            <w:tcW w:w="559" w:type="pct"/>
            <w:tcBorders>
              <w:top w:val="nil"/>
              <w:left w:val="nil"/>
              <w:bottom w:val="single" w:sz="4" w:space="0" w:color="auto"/>
              <w:right w:val="single" w:sz="4" w:space="0" w:color="auto"/>
            </w:tcBorders>
            <w:shd w:val="clear" w:color="auto" w:fill="auto"/>
            <w:noWrap/>
            <w:vAlign w:val="bottom"/>
            <w:hideMark/>
          </w:tcPr>
          <w:p w14:paraId="43DA705F"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w:t>
            </w:r>
          </w:p>
        </w:tc>
        <w:tc>
          <w:tcPr>
            <w:tcW w:w="663" w:type="pct"/>
            <w:tcBorders>
              <w:top w:val="nil"/>
              <w:left w:val="nil"/>
              <w:bottom w:val="single" w:sz="4" w:space="0" w:color="auto"/>
              <w:right w:val="single" w:sz="4" w:space="0" w:color="auto"/>
            </w:tcBorders>
            <w:shd w:val="clear" w:color="auto" w:fill="auto"/>
            <w:noWrap/>
            <w:vAlign w:val="bottom"/>
            <w:hideMark/>
          </w:tcPr>
          <w:p w14:paraId="2E15CF6B"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1</w:t>
            </w:r>
          </w:p>
        </w:tc>
      </w:tr>
      <w:tr w:rsidR="003122F4" w:rsidRPr="00545EC0" w14:paraId="721660F8" w14:textId="77777777" w:rsidTr="002777A9">
        <w:trPr>
          <w:trHeight w:val="288"/>
        </w:trPr>
        <w:tc>
          <w:tcPr>
            <w:tcW w:w="892" w:type="pct"/>
            <w:tcBorders>
              <w:top w:val="nil"/>
              <w:left w:val="single" w:sz="4" w:space="0" w:color="auto"/>
              <w:bottom w:val="single" w:sz="4" w:space="0" w:color="auto"/>
              <w:right w:val="single" w:sz="4" w:space="0" w:color="auto"/>
            </w:tcBorders>
            <w:shd w:val="clear" w:color="auto" w:fill="auto"/>
            <w:noWrap/>
            <w:vAlign w:val="bottom"/>
            <w:hideMark/>
          </w:tcPr>
          <w:p w14:paraId="76CBC84E" w14:textId="77777777" w:rsidR="009166DF" w:rsidRPr="00545EC0" w:rsidRDefault="009166DF" w:rsidP="002777A9">
            <w:pPr>
              <w:spacing w:before="60" w:after="60" w:line="240" w:lineRule="auto"/>
              <w:jc w:val="left"/>
              <w:rPr>
                <w:rFonts w:cs="Arial"/>
                <w:sz w:val="18"/>
                <w:szCs w:val="18"/>
              </w:rPr>
            </w:pPr>
            <w:r w:rsidRPr="00545EC0">
              <w:rPr>
                <w:rFonts w:cs="Arial"/>
                <w:sz w:val="18"/>
                <w:szCs w:val="18"/>
              </w:rPr>
              <w:t>VTPodV_4016</w:t>
            </w:r>
          </w:p>
        </w:tc>
        <w:tc>
          <w:tcPr>
            <w:tcW w:w="2037" w:type="pct"/>
            <w:tcBorders>
              <w:top w:val="nil"/>
              <w:left w:val="nil"/>
              <w:bottom w:val="single" w:sz="4" w:space="0" w:color="auto"/>
              <w:right w:val="single" w:sz="4" w:space="0" w:color="auto"/>
            </w:tcBorders>
            <w:shd w:val="clear" w:color="auto" w:fill="auto"/>
            <w:noWrap/>
            <w:vAlign w:val="bottom"/>
            <w:hideMark/>
          </w:tcPr>
          <w:p w14:paraId="02D053E6" w14:textId="77777777" w:rsidR="009166DF" w:rsidRPr="00545EC0" w:rsidRDefault="009166DF" w:rsidP="002777A9">
            <w:pPr>
              <w:spacing w:before="60" w:after="60" w:line="240" w:lineRule="auto"/>
              <w:jc w:val="left"/>
              <w:rPr>
                <w:rFonts w:cs="Arial"/>
                <w:sz w:val="18"/>
                <w:szCs w:val="18"/>
              </w:rPr>
            </w:pPr>
            <w:r w:rsidRPr="00545EC0">
              <w:rPr>
                <w:rFonts w:cs="Arial"/>
                <w:sz w:val="18"/>
                <w:szCs w:val="18"/>
              </w:rPr>
              <w:t>Murska kotlina</w:t>
            </w:r>
          </w:p>
        </w:tc>
        <w:tc>
          <w:tcPr>
            <w:tcW w:w="849" w:type="pct"/>
            <w:tcBorders>
              <w:top w:val="nil"/>
              <w:left w:val="nil"/>
              <w:bottom w:val="single" w:sz="4" w:space="0" w:color="auto"/>
              <w:right w:val="single" w:sz="4" w:space="0" w:color="auto"/>
            </w:tcBorders>
            <w:shd w:val="clear" w:color="auto" w:fill="auto"/>
            <w:noWrap/>
            <w:vAlign w:val="bottom"/>
            <w:hideMark/>
          </w:tcPr>
          <w:p w14:paraId="0D2F3FE7"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1</w:t>
            </w:r>
          </w:p>
        </w:tc>
        <w:tc>
          <w:tcPr>
            <w:tcW w:w="559" w:type="pct"/>
            <w:tcBorders>
              <w:top w:val="nil"/>
              <w:left w:val="nil"/>
              <w:bottom w:val="single" w:sz="4" w:space="0" w:color="auto"/>
              <w:right w:val="single" w:sz="4" w:space="0" w:color="auto"/>
            </w:tcBorders>
            <w:shd w:val="clear" w:color="auto" w:fill="auto"/>
            <w:noWrap/>
            <w:vAlign w:val="bottom"/>
            <w:hideMark/>
          </w:tcPr>
          <w:p w14:paraId="68B32DE0"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w:t>
            </w:r>
          </w:p>
        </w:tc>
        <w:tc>
          <w:tcPr>
            <w:tcW w:w="663" w:type="pct"/>
            <w:tcBorders>
              <w:top w:val="nil"/>
              <w:left w:val="nil"/>
              <w:bottom w:val="single" w:sz="4" w:space="0" w:color="auto"/>
              <w:right w:val="single" w:sz="4" w:space="0" w:color="auto"/>
            </w:tcBorders>
            <w:shd w:val="clear" w:color="auto" w:fill="auto"/>
            <w:noWrap/>
            <w:vAlign w:val="bottom"/>
            <w:hideMark/>
          </w:tcPr>
          <w:p w14:paraId="3CF3DA9C"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1</w:t>
            </w:r>
          </w:p>
        </w:tc>
      </w:tr>
      <w:tr w:rsidR="003122F4" w:rsidRPr="00545EC0" w14:paraId="41C17941" w14:textId="77777777" w:rsidTr="002777A9">
        <w:trPr>
          <w:trHeight w:val="288"/>
        </w:trPr>
        <w:tc>
          <w:tcPr>
            <w:tcW w:w="892" w:type="pct"/>
            <w:tcBorders>
              <w:top w:val="nil"/>
              <w:left w:val="single" w:sz="4" w:space="0" w:color="auto"/>
              <w:bottom w:val="single" w:sz="4" w:space="0" w:color="auto"/>
              <w:right w:val="single" w:sz="4" w:space="0" w:color="auto"/>
            </w:tcBorders>
            <w:shd w:val="clear" w:color="auto" w:fill="auto"/>
            <w:noWrap/>
            <w:vAlign w:val="bottom"/>
            <w:hideMark/>
          </w:tcPr>
          <w:p w14:paraId="5F93032D" w14:textId="77777777" w:rsidR="009166DF" w:rsidRPr="00545EC0" w:rsidRDefault="009166DF" w:rsidP="002777A9">
            <w:pPr>
              <w:spacing w:before="60" w:after="60" w:line="240" w:lineRule="auto"/>
              <w:jc w:val="left"/>
              <w:rPr>
                <w:rFonts w:cs="Arial"/>
                <w:sz w:val="18"/>
                <w:szCs w:val="18"/>
              </w:rPr>
            </w:pPr>
            <w:r w:rsidRPr="00545EC0">
              <w:rPr>
                <w:rFonts w:cs="Arial"/>
                <w:sz w:val="18"/>
                <w:szCs w:val="18"/>
              </w:rPr>
              <w:t>VTPodV_4017</w:t>
            </w:r>
          </w:p>
        </w:tc>
        <w:tc>
          <w:tcPr>
            <w:tcW w:w="2037" w:type="pct"/>
            <w:tcBorders>
              <w:top w:val="nil"/>
              <w:left w:val="nil"/>
              <w:bottom w:val="single" w:sz="4" w:space="0" w:color="auto"/>
              <w:right w:val="single" w:sz="4" w:space="0" w:color="auto"/>
            </w:tcBorders>
            <w:shd w:val="clear" w:color="auto" w:fill="auto"/>
            <w:noWrap/>
            <w:vAlign w:val="bottom"/>
            <w:hideMark/>
          </w:tcPr>
          <w:p w14:paraId="25EDC392" w14:textId="77777777" w:rsidR="009166DF" w:rsidRPr="00545EC0" w:rsidRDefault="009166DF" w:rsidP="002777A9">
            <w:pPr>
              <w:spacing w:before="60" w:after="60" w:line="240" w:lineRule="auto"/>
              <w:jc w:val="left"/>
              <w:rPr>
                <w:rFonts w:cs="Arial"/>
                <w:sz w:val="18"/>
                <w:szCs w:val="18"/>
              </w:rPr>
            </w:pPr>
            <w:r w:rsidRPr="00545EC0">
              <w:rPr>
                <w:rFonts w:cs="Arial"/>
                <w:sz w:val="18"/>
                <w:szCs w:val="18"/>
              </w:rPr>
              <w:t>Vzhodne Slovenske gorice</w:t>
            </w:r>
          </w:p>
        </w:tc>
        <w:tc>
          <w:tcPr>
            <w:tcW w:w="849" w:type="pct"/>
            <w:tcBorders>
              <w:top w:val="nil"/>
              <w:left w:val="nil"/>
              <w:bottom w:val="single" w:sz="4" w:space="0" w:color="auto"/>
              <w:right w:val="single" w:sz="4" w:space="0" w:color="auto"/>
            </w:tcBorders>
            <w:shd w:val="clear" w:color="auto" w:fill="auto"/>
            <w:noWrap/>
            <w:vAlign w:val="bottom"/>
            <w:hideMark/>
          </w:tcPr>
          <w:p w14:paraId="2D7472EF"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w:t>
            </w:r>
          </w:p>
        </w:tc>
        <w:tc>
          <w:tcPr>
            <w:tcW w:w="559" w:type="pct"/>
            <w:tcBorders>
              <w:top w:val="nil"/>
              <w:left w:val="nil"/>
              <w:bottom w:val="single" w:sz="4" w:space="0" w:color="auto"/>
              <w:right w:val="single" w:sz="4" w:space="0" w:color="auto"/>
            </w:tcBorders>
            <w:shd w:val="clear" w:color="auto" w:fill="auto"/>
            <w:noWrap/>
            <w:vAlign w:val="bottom"/>
            <w:hideMark/>
          </w:tcPr>
          <w:p w14:paraId="676A0BD2"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1</w:t>
            </w:r>
          </w:p>
        </w:tc>
        <w:tc>
          <w:tcPr>
            <w:tcW w:w="663" w:type="pct"/>
            <w:tcBorders>
              <w:top w:val="nil"/>
              <w:left w:val="nil"/>
              <w:bottom w:val="single" w:sz="4" w:space="0" w:color="auto"/>
              <w:right w:val="single" w:sz="4" w:space="0" w:color="auto"/>
            </w:tcBorders>
            <w:shd w:val="clear" w:color="auto" w:fill="auto"/>
            <w:noWrap/>
            <w:vAlign w:val="bottom"/>
            <w:hideMark/>
          </w:tcPr>
          <w:p w14:paraId="6A545EB0"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1</w:t>
            </w:r>
          </w:p>
        </w:tc>
      </w:tr>
      <w:tr w:rsidR="003122F4" w:rsidRPr="00545EC0" w14:paraId="03794733" w14:textId="77777777" w:rsidTr="002777A9">
        <w:trPr>
          <w:trHeight w:val="288"/>
        </w:trPr>
        <w:tc>
          <w:tcPr>
            <w:tcW w:w="892" w:type="pct"/>
            <w:tcBorders>
              <w:top w:val="nil"/>
              <w:left w:val="single" w:sz="4" w:space="0" w:color="auto"/>
              <w:bottom w:val="single" w:sz="4" w:space="0" w:color="auto"/>
              <w:right w:val="single" w:sz="4" w:space="0" w:color="auto"/>
            </w:tcBorders>
            <w:shd w:val="clear" w:color="auto" w:fill="auto"/>
            <w:noWrap/>
            <w:vAlign w:val="bottom"/>
            <w:hideMark/>
          </w:tcPr>
          <w:p w14:paraId="36557AFF" w14:textId="77777777" w:rsidR="009166DF" w:rsidRPr="00545EC0" w:rsidRDefault="009166DF" w:rsidP="002777A9">
            <w:pPr>
              <w:spacing w:before="60" w:after="60" w:line="240" w:lineRule="auto"/>
              <w:jc w:val="left"/>
              <w:rPr>
                <w:rFonts w:cs="Arial"/>
                <w:sz w:val="18"/>
                <w:szCs w:val="18"/>
              </w:rPr>
            </w:pPr>
            <w:r w:rsidRPr="00545EC0">
              <w:rPr>
                <w:rFonts w:cs="Arial"/>
                <w:sz w:val="18"/>
                <w:szCs w:val="18"/>
              </w:rPr>
              <w:t>VTPodV_4018</w:t>
            </w:r>
          </w:p>
        </w:tc>
        <w:tc>
          <w:tcPr>
            <w:tcW w:w="2037" w:type="pct"/>
            <w:tcBorders>
              <w:top w:val="nil"/>
              <w:left w:val="nil"/>
              <w:bottom w:val="single" w:sz="4" w:space="0" w:color="auto"/>
              <w:right w:val="single" w:sz="4" w:space="0" w:color="auto"/>
            </w:tcBorders>
            <w:shd w:val="clear" w:color="auto" w:fill="auto"/>
            <w:noWrap/>
            <w:vAlign w:val="bottom"/>
            <w:hideMark/>
          </w:tcPr>
          <w:p w14:paraId="085C4DF3" w14:textId="77777777" w:rsidR="009166DF" w:rsidRPr="00545EC0" w:rsidRDefault="009166DF" w:rsidP="002777A9">
            <w:pPr>
              <w:spacing w:before="60" w:after="60" w:line="240" w:lineRule="auto"/>
              <w:jc w:val="left"/>
              <w:rPr>
                <w:rFonts w:cs="Arial"/>
                <w:sz w:val="18"/>
                <w:szCs w:val="18"/>
              </w:rPr>
            </w:pPr>
            <w:r w:rsidRPr="00545EC0">
              <w:rPr>
                <w:rFonts w:cs="Arial"/>
                <w:sz w:val="18"/>
                <w:szCs w:val="18"/>
              </w:rPr>
              <w:t>Goričko</w:t>
            </w:r>
          </w:p>
        </w:tc>
        <w:tc>
          <w:tcPr>
            <w:tcW w:w="849" w:type="pct"/>
            <w:tcBorders>
              <w:top w:val="nil"/>
              <w:left w:val="nil"/>
              <w:bottom w:val="single" w:sz="4" w:space="0" w:color="auto"/>
              <w:right w:val="single" w:sz="4" w:space="0" w:color="auto"/>
            </w:tcBorders>
            <w:shd w:val="clear" w:color="auto" w:fill="auto"/>
            <w:noWrap/>
            <w:vAlign w:val="bottom"/>
            <w:hideMark/>
          </w:tcPr>
          <w:p w14:paraId="5827176D"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w:t>
            </w:r>
          </w:p>
        </w:tc>
        <w:tc>
          <w:tcPr>
            <w:tcW w:w="559" w:type="pct"/>
            <w:tcBorders>
              <w:top w:val="nil"/>
              <w:left w:val="nil"/>
              <w:bottom w:val="single" w:sz="4" w:space="0" w:color="auto"/>
              <w:right w:val="single" w:sz="4" w:space="0" w:color="auto"/>
            </w:tcBorders>
            <w:shd w:val="clear" w:color="auto" w:fill="auto"/>
            <w:noWrap/>
            <w:vAlign w:val="bottom"/>
            <w:hideMark/>
          </w:tcPr>
          <w:p w14:paraId="6EBA9A9E"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1</w:t>
            </w:r>
          </w:p>
        </w:tc>
        <w:tc>
          <w:tcPr>
            <w:tcW w:w="663" w:type="pct"/>
            <w:tcBorders>
              <w:top w:val="nil"/>
              <w:left w:val="nil"/>
              <w:bottom w:val="single" w:sz="4" w:space="0" w:color="auto"/>
              <w:right w:val="single" w:sz="4" w:space="0" w:color="auto"/>
            </w:tcBorders>
            <w:shd w:val="clear" w:color="auto" w:fill="auto"/>
            <w:noWrap/>
            <w:vAlign w:val="bottom"/>
            <w:hideMark/>
          </w:tcPr>
          <w:p w14:paraId="07CAA06E" w14:textId="77777777" w:rsidR="009166DF" w:rsidRPr="00545EC0" w:rsidRDefault="009166DF" w:rsidP="002777A9">
            <w:pPr>
              <w:spacing w:before="60" w:after="60" w:line="240" w:lineRule="auto"/>
              <w:jc w:val="center"/>
              <w:rPr>
                <w:rFonts w:cs="Arial"/>
                <w:sz w:val="18"/>
                <w:szCs w:val="18"/>
              </w:rPr>
            </w:pPr>
            <w:r w:rsidRPr="00545EC0">
              <w:rPr>
                <w:rFonts w:cs="Arial"/>
                <w:sz w:val="18"/>
                <w:szCs w:val="18"/>
              </w:rPr>
              <w:t>-</w:t>
            </w:r>
          </w:p>
        </w:tc>
      </w:tr>
      <w:tr w:rsidR="003122F4" w:rsidRPr="00545EC0" w14:paraId="7D30000E" w14:textId="77777777" w:rsidTr="002777A9">
        <w:trPr>
          <w:trHeight w:val="305"/>
        </w:trPr>
        <w:tc>
          <w:tcPr>
            <w:tcW w:w="292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EAD1B95" w14:textId="77777777" w:rsidR="009166DF" w:rsidRPr="00545EC0" w:rsidRDefault="009166DF" w:rsidP="002777A9">
            <w:pPr>
              <w:spacing w:before="60" w:after="60" w:line="240" w:lineRule="auto"/>
              <w:jc w:val="left"/>
              <w:rPr>
                <w:rFonts w:cs="Arial"/>
                <w:b/>
                <w:bCs/>
                <w:sz w:val="18"/>
                <w:szCs w:val="18"/>
              </w:rPr>
            </w:pPr>
            <w:r w:rsidRPr="00545EC0">
              <w:rPr>
                <w:rFonts w:cs="Arial"/>
                <w:b/>
                <w:bCs/>
                <w:sz w:val="18"/>
                <w:szCs w:val="18"/>
              </w:rPr>
              <w:t>VO Donave</w:t>
            </w:r>
          </w:p>
        </w:tc>
        <w:tc>
          <w:tcPr>
            <w:tcW w:w="84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2081BD7" w14:textId="77777777" w:rsidR="009166DF" w:rsidRPr="00545EC0" w:rsidRDefault="009166DF" w:rsidP="002777A9">
            <w:pPr>
              <w:spacing w:before="60" w:after="60" w:line="240" w:lineRule="auto"/>
              <w:jc w:val="center"/>
              <w:rPr>
                <w:rFonts w:cs="Arial"/>
                <w:b/>
                <w:bCs/>
                <w:sz w:val="18"/>
                <w:szCs w:val="18"/>
              </w:rPr>
            </w:pPr>
            <w:r w:rsidRPr="00545EC0">
              <w:rPr>
                <w:rFonts w:cs="Arial"/>
                <w:b/>
                <w:bCs/>
                <w:sz w:val="18"/>
                <w:szCs w:val="18"/>
              </w:rPr>
              <w:t>13</w:t>
            </w:r>
          </w:p>
        </w:tc>
        <w:tc>
          <w:tcPr>
            <w:tcW w:w="5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C20D27B" w14:textId="77777777" w:rsidR="009166DF" w:rsidRPr="00545EC0" w:rsidRDefault="009166DF" w:rsidP="002777A9">
            <w:pPr>
              <w:spacing w:before="60" w:after="60" w:line="240" w:lineRule="auto"/>
              <w:jc w:val="center"/>
              <w:rPr>
                <w:rFonts w:cs="Arial"/>
                <w:b/>
                <w:bCs/>
                <w:sz w:val="18"/>
                <w:szCs w:val="18"/>
              </w:rPr>
            </w:pPr>
            <w:r w:rsidRPr="00545EC0">
              <w:rPr>
                <w:rFonts w:cs="Arial"/>
                <w:b/>
                <w:bCs/>
                <w:sz w:val="18"/>
                <w:szCs w:val="18"/>
              </w:rPr>
              <w:t>35</w:t>
            </w:r>
          </w:p>
        </w:tc>
        <w:tc>
          <w:tcPr>
            <w:tcW w:w="663"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237AE8D" w14:textId="77777777" w:rsidR="009166DF" w:rsidRPr="00545EC0" w:rsidRDefault="009166DF" w:rsidP="002777A9">
            <w:pPr>
              <w:spacing w:before="60" w:after="60" w:line="240" w:lineRule="auto"/>
              <w:jc w:val="center"/>
              <w:rPr>
                <w:rFonts w:cs="Arial"/>
                <w:b/>
                <w:bCs/>
                <w:sz w:val="18"/>
                <w:szCs w:val="18"/>
              </w:rPr>
            </w:pPr>
            <w:r w:rsidRPr="00545EC0">
              <w:rPr>
                <w:rFonts w:cs="Arial"/>
                <w:b/>
                <w:bCs/>
                <w:sz w:val="18"/>
                <w:szCs w:val="18"/>
              </w:rPr>
              <w:t>13</w:t>
            </w:r>
          </w:p>
        </w:tc>
      </w:tr>
    </w:tbl>
    <w:p w14:paraId="5D7E9941" w14:textId="77777777" w:rsidR="004247DC" w:rsidRPr="00545EC0" w:rsidRDefault="004247DC" w:rsidP="004247DC">
      <w:pPr>
        <w:rPr>
          <w:lang w:eastAsia="x-none"/>
        </w:rPr>
      </w:pPr>
    </w:p>
    <w:p w14:paraId="2AA4E27D" w14:textId="4F0316DC" w:rsidR="00264E6A" w:rsidRPr="00545EC0" w:rsidRDefault="00264E6A" w:rsidP="00264E6A">
      <w:pPr>
        <w:pStyle w:val="podnaslov0"/>
      </w:pPr>
      <w:r w:rsidRPr="00545EC0">
        <w:t xml:space="preserve">Razpršene obremenitve zaradi </w:t>
      </w:r>
      <w:r w:rsidR="007C668D" w:rsidRPr="00545EC0">
        <w:t xml:space="preserve">uporabe dušikovih hranil v </w:t>
      </w:r>
      <w:r w:rsidRPr="00545EC0">
        <w:t>kmetijsk</w:t>
      </w:r>
      <w:r w:rsidR="007C668D" w:rsidRPr="00545EC0">
        <w:t>i</w:t>
      </w:r>
      <w:r w:rsidRPr="00545EC0">
        <w:t xml:space="preserve"> dejavnosti </w:t>
      </w:r>
    </w:p>
    <w:p w14:paraId="7FB3DE1D" w14:textId="53469951" w:rsidR="00264E6A" w:rsidRPr="00545EC0" w:rsidRDefault="00264E6A" w:rsidP="00264E6A">
      <w:pPr>
        <w:spacing w:before="120" w:after="120"/>
        <w:rPr>
          <w:rFonts w:cs="Arial"/>
          <w:szCs w:val="20"/>
        </w:rPr>
      </w:pPr>
      <w:r w:rsidRPr="00545EC0">
        <w:rPr>
          <w:rFonts w:cs="Arial"/>
          <w:szCs w:val="20"/>
        </w:rPr>
        <w:t xml:space="preserve">Na podlagi presoje vplivov na stanje podzemnih voda je ugotovljeno, da so na aluvialnih vodnih telesih podzemne vode prisotne pomembne </w:t>
      </w:r>
      <w:r w:rsidRPr="00545EC0">
        <w:rPr>
          <w:rFonts w:cs="Arial"/>
          <w:bCs/>
          <w:szCs w:val="20"/>
        </w:rPr>
        <w:t xml:space="preserve">obremenitve iz kmetijstva. </w:t>
      </w:r>
      <w:r w:rsidRPr="00545EC0">
        <w:rPr>
          <w:rFonts w:cs="Arial"/>
          <w:szCs w:val="20"/>
        </w:rPr>
        <w:t xml:space="preserve">Večje obremenitve zaradi kmetijstva so značilne predvsem na aluvialnih vodonosnikih, kjer prevladuje medzrnska poroznost in koncentracije nitrata v podzemni vodi presega standard kakovosti v skladu s predpisom, ki ureja stanje podzemnih voda. Porazdelitev koncentracij nitrata v podzemni vodi po posameznih vodonosnikih je </w:t>
      </w:r>
      <w:r w:rsidR="007C668D" w:rsidRPr="00545EC0">
        <w:rPr>
          <w:rFonts w:cs="Arial"/>
          <w:szCs w:val="20"/>
        </w:rPr>
        <w:t xml:space="preserve">v </w:t>
      </w:r>
      <w:r w:rsidRPr="00545EC0">
        <w:rPr>
          <w:rFonts w:cs="Arial"/>
          <w:szCs w:val="20"/>
        </w:rPr>
        <w:t xml:space="preserve">večji meri odvisna od količine infiltracije vode, ki se od zahoda proti vzhodu </w:t>
      </w:r>
      <w:r w:rsidR="00C12042" w:rsidRPr="00545EC0">
        <w:rPr>
          <w:rFonts w:cs="Arial"/>
          <w:szCs w:val="20"/>
        </w:rPr>
        <w:t>Slovenije</w:t>
      </w:r>
      <w:r w:rsidRPr="00545EC0">
        <w:rPr>
          <w:rFonts w:cs="Arial"/>
          <w:szCs w:val="20"/>
        </w:rPr>
        <w:t xml:space="preserve"> znižuje. Na kraško-razpoklinskih vodonosnikih in vodonosnikih z lokalnimi in omejenimi viri podzemne vode razpršeni viri obremenitev s celotnim dušikom zaradi kmetijske dejavnosti niso izraziti.</w:t>
      </w:r>
    </w:p>
    <w:p w14:paraId="09E58185" w14:textId="77777777" w:rsidR="00264E6A" w:rsidRPr="00545EC0" w:rsidRDefault="00264E6A" w:rsidP="00264E6A">
      <w:pPr>
        <w:pStyle w:val="GeoZSPodnaslovStL4"/>
        <w:numPr>
          <w:ilvl w:val="0"/>
          <w:numId w:val="0"/>
        </w:numPr>
        <w:spacing w:before="120" w:after="120"/>
        <w:contextualSpacing w:val="0"/>
        <w:outlineLvl w:val="9"/>
        <w:rPr>
          <w:rFonts w:ascii="Arial" w:hAnsi="Arial" w:cs="Arial"/>
          <w:b w:val="0"/>
          <w:sz w:val="20"/>
          <w:szCs w:val="20"/>
          <w:u w:val="single"/>
        </w:rPr>
      </w:pPr>
      <w:r w:rsidRPr="00545EC0">
        <w:rPr>
          <w:rFonts w:ascii="Arial" w:hAnsi="Arial" w:cs="Arial"/>
          <w:b w:val="0"/>
          <w:sz w:val="20"/>
          <w:szCs w:val="20"/>
          <w:u w:val="single"/>
        </w:rPr>
        <w:t>VTPODV_1002 Savinjska kotlina</w:t>
      </w:r>
    </w:p>
    <w:p w14:paraId="0FDE58C2" w14:textId="17E5BB4A" w:rsidR="0081174D" w:rsidRPr="00545EC0" w:rsidRDefault="00264E6A" w:rsidP="00264E6A">
      <w:pPr>
        <w:pStyle w:val="Odstavekseznam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cs="Arial"/>
          <w:bCs/>
          <w:szCs w:val="20"/>
          <w:lang w:val="sl-SI"/>
        </w:rPr>
      </w:pPr>
      <w:r w:rsidRPr="00545EC0">
        <w:rPr>
          <w:rFonts w:cs="Arial"/>
          <w:bCs/>
          <w:szCs w:val="20"/>
        </w:rPr>
        <w:t>Iz podatkov državnega monitoringa kemijskega stanja podzemnih vod izhaja, da je bilo v letu 2019 na 7 od 12 opazovalnih mest opazovano slabo kemijsko stanje podzemne vode</w:t>
      </w:r>
      <w:r w:rsidR="0081174D" w:rsidRPr="00545EC0">
        <w:rPr>
          <w:rFonts w:cs="Arial"/>
          <w:bCs/>
          <w:szCs w:val="20"/>
          <w:lang w:val="sl-SI"/>
        </w:rPr>
        <w:t xml:space="preserve">. Trend povprečne koncentracije nitrata v podzemni vodi VTPodV Savinjska kotlina na vseh opazovalnih mestih je </w:t>
      </w:r>
      <w:r w:rsidR="0081174D" w:rsidRPr="00545EC0">
        <w:rPr>
          <w:rFonts w:cs="Arial"/>
          <w:bCs/>
          <w:szCs w:val="20"/>
          <w:lang w:val="sl-SI"/>
        </w:rPr>
        <w:lastRenderedPageBreak/>
        <w:t>prikazan na sliki (</w:t>
      </w:r>
      <w:r w:rsidR="0081174D" w:rsidRPr="00545EC0">
        <w:rPr>
          <w:rFonts w:cs="Arial"/>
          <w:bCs/>
          <w:szCs w:val="20"/>
          <w:lang w:val="sl-SI"/>
        </w:rPr>
        <w:fldChar w:fldCharType="begin"/>
      </w:r>
      <w:r w:rsidR="0081174D" w:rsidRPr="00545EC0">
        <w:rPr>
          <w:rFonts w:cs="Arial"/>
          <w:bCs/>
          <w:szCs w:val="20"/>
          <w:lang w:val="sl-SI"/>
        </w:rPr>
        <w:instrText xml:space="preserve"> REF _Ref84489344 \h </w:instrText>
      </w:r>
      <w:r w:rsidR="00F37A91" w:rsidRPr="00545EC0">
        <w:rPr>
          <w:rFonts w:cs="Arial"/>
          <w:bCs/>
          <w:szCs w:val="20"/>
          <w:lang w:val="sl-SI"/>
        </w:rPr>
        <w:instrText xml:space="preserve"> \* MERGEFORMAT </w:instrText>
      </w:r>
      <w:r w:rsidR="0081174D" w:rsidRPr="00545EC0">
        <w:rPr>
          <w:rFonts w:cs="Arial"/>
          <w:bCs/>
          <w:szCs w:val="20"/>
          <w:lang w:val="sl-SI"/>
        </w:rPr>
      </w:r>
      <w:r w:rsidR="0081174D" w:rsidRPr="00545EC0">
        <w:rPr>
          <w:rFonts w:cs="Arial"/>
          <w:bCs/>
          <w:szCs w:val="20"/>
          <w:lang w:val="sl-SI"/>
        </w:rPr>
        <w:fldChar w:fldCharType="separate"/>
      </w:r>
      <w:r w:rsidR="002F3E43" w:rsidRPr="00545EC0">
        <w:t xml:space="preserve">Slika </w:t>
      </w:r>
      <w:r w:rsidR="002F3E43">
        <w:rPr>
          <w:noProof/>
        </w:rPr>
        <w:t>2</w:t>
      </w:r>
      <w:r w:rsidR="002F3E43" w:rsidRPr="00545EC0">
        <w:rPr>
          <w:noProof/>
        </w:rPr>
        <w:noBreakHyphen/>
      </w:r>
      <w:r w:rsidR="002F3E43">
        <w:rPr>
          <w:noProof/>
        </w:rPr>
        <w:t>37</w:t>
      </w:r>
      <w:r w:rsidR="0081174D" w:rsidRPr="00545EC0">
        <w:rPr>
          <w:rFonts w:cs="Arial"/>
          <w:bCs/>
          <w:szCs w:val="20"/>
          <w:lang w:val="sl-SI"/>
        </w:rPr>
        <w:fldChar w:fldCharType="end"/>
      </w:r>
      <w:r w:rsidR="0081174D" w:rsidRPr="00545EC0">
        <w:rPr>
          <w:rFonts w:cs="Arial"/>
          <w:bCs/>
          <w:szCs w:val="20"/>
          <w:lang w:val="sl-SI"/>
        </w:rPr>
        <w:t xml:space="preserve">). </w:t>
      </w:r>
      <w:r w:rsidR="005167BF" w:rsidRPr="00545EC0">
        <w:rPr>
          <w:rFonts w:cs="Arial"/>
          <w:bCs/>
          <w:szCs w:val="20"/>
          <w:lang w:val="sl-SI"/>
        </w:rPr>
        <w:t xml:space="preserve">Med letom 2006 in 2019 koncentracije nitrata nihajo med 40,24 mg/L in 49,85 mg/L nitrata. </w:t>
      </w:r>
      <w:r w:rsidR="0081174D" w:rsidRPr="00545EC0">
        <w:rPr>
          <w:rFonts w:cstheme="minorHAnsi"/>
        </w:rPr>
        <w:t>Po podrobnejši analizi napovedi trenda je ugotovljeno</w:t>
      </w:r>
      <w:r w:rsidR="0081174D" w:rsidRPr="00545EC0">
        <w:rPr>
          <w:rFonts w:cstheme="minorHAnsi"/>
          <w:lang w:val="sl-SI"/>
        </w:rPr>
        <w:t>, da koncentracij</w:t>
      </w:r>
      <w:r w:rsidR="00231DAE" w:rsidRPr="00545EC0">
        <w:rPr>
          <w:rFonts w:cstheme="minorHAnsi"/>
          <w:lang w:val="sl-SI"/>
        </w:rPr>
        <w:t>e</w:t>
      </w:r>
      <w:r w:rsidR="0081174D" w:rsidRPr="00545EC0">
        <w:rPr>
          <w:rFonts w:cstheme="minorHAnsi"/>
          <w:lang w:val="sl-SI"/>
        </w:rPr>
        <w:t xml:space="preserve"> nitrata v vodnem telesu podzemnih voda </w:t>
      </w:r>
      <w:r w:rsidR="00231DAE" w:rsidRPr="00545EC0">
        <w:t xml:space="preserve">v obdobju </w:t>
      </w:r>
      <w:r w:rsidR="005167BF" w:rsidRPr="00545EC0">
        <w:rPr>
          <w:lang w:val="sl-SI"/>
        </w:rPr>
        <w:t xml:space="preserve">od 1998 do 2019 </w:t>
      </w:r>
      <w:r w:rsidR="00231DAE" w:rsidRPr="00545EC0">
        <w:t>statistično značilno padajo</w:t>
      </w:r>
      <w:r w:rsidR="0081174D" w:rsidRPr="00545EC0">
        <w:rPr>
          <w:rFonts w:cstheme="minorHAnsi"/>
          <w:lang w:val="sl-SI"/>
        </w:rPr>
        <w:t>.</w:t>
      </w:r>
    </w:p>
    <w:p w14:paraId="7496A3BC" w14:textId="77777777" w:rsidR="0081174D" w:rsidRPr="00545EC0" w:rsidRDefault="0081174D" w:rsidP="00264E6A">
      <w:pPr>
        <w:pStyle w:val="Odstavekseznam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cs="Arial"/>
          <w:bCs/>
          <w:szCs w:val="20"/>
          <w:lang w:val="sl-SI"/>
        </w:rPr>
      </w:pPr>
    </w:p>
    <w:p w14:paraId="27C0D180" w14:textId="77777777" w:rsidR="0081174D" w:rsidRPr="00545EC0" w:rsidRDefault="0081174D" w:rsidP="00264E6A">
      <w:pPr>
        <w:pStyle w:val="Odstavekseznam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cs="Arial"/>
          <w:bCs/>
          <w:szCs w:val="20"/>
          <w:lang w:val="sl-SI"/>
        </w:rPr>
      </w:pPr>
    </w:p>
    <w:p w14:paraId="2B31F198" w14:textId="77777777" w:rsidR="0081174D" w:rsidRPr="00545EC0" w:rsidRDefault="0081174D" w:rsidP="00264E6A">
      <w:pPr>
        <w:pStyle w:val="Odstavekseznam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cs="Arial"/>
          <w:bCs/>
          <w:szCs w:val="20"/>
          <w:lang w:val="sl-SI"/>
        </w:rPr>
      </w:pPr>
    </w:p>
    <w:p w14:paraId="5757BAA6" w14:textId="77777777" w:rsidR="0081174D" w:rsidRPr="00545EC0" w:rsidRDefault="0081174D" w:rsidP="0081174D">
      <w:pPr>
        <w:spacing w:after="220"/>
        <w:jc w:val="center"/>
        <w:rPr>
          <w:rFonts w:cstheme="minorHAnsi"/>
        </w:rPr>
      </w:pPr>
      <w:r w:rsidRPr="00545EC0">
        <w:rPr>
          <w:rFonts w:cstheme="minorHAnsi"/>
          <w:noProof/>
        </w:rPr>
        <w:drawing>
          <wp:inline distT="0" distB="0" distL="0" distR="0" wp14:anchorId="30C98B47" wp14:editId="3EF0E93A">
            <wp:extent cx="5133340" cy="385699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33340" cy="3856990"/>
                    </a:xfrm>
                    <a:prstGeom prst="rect">
                      <a:avLst/>
                    </a:prstGeom>
                    <a:noFill/>
                  </pic:spPr>
                </pic:pic>
              </a:graphicData>
            </a:graphic>
          </wp:inline>
        </w:drawing>
      </w:r>
    </w:p>
    <w:p w14:paraId="5BA05429" w14:textId="65F25ED8" w:rsidR="0081174D" w:rsidRPr="00545EC0" w:rsidRDefault="0081174D" w:rsidP="0081174D">
      <w:pPr>
        <w:pStyle w:val="Napis"/>
        <w:rPr>
          <w:rFonts w:cstheme="minorHAnsi"/>
          <w:szCs w:val="22"/>
        </w:rPr>
      </w:pPr>
      <w:bookmarkStart w:id="317" w:name="_Ref84489344"/>
      <w:bookmarkStart w:id="318" w:name="_Toc54608359"/>
      <w:bookmarkStart w:id="319" w:name="_Toc60909157"/>
      <w:bookmarkStart w:id="320" w:name="_Toc71735230"/>
      <w:r w:rsidRPr="00545EC0">
        <w:t xml:space="preserve">Slika </w:t>
      </w:r>
      <w:fldSimple w:instr=" STYLEREF 1 \s ">
        <w:r w:rsidR="002F3E43">
          <w:rPr>
            <w:noProof/>
          </w:rPr>
          <w:t>2</w:t>
        </w:r>
      </w:fldSimple>
      <w:r w:rsidR="00396E1E" w:rsidRPr="00545EC0">
        <w:noBreakHyphen/>
      </w:r>
      <w:fldSimple w:instr=" SEQ Slika \* ARABIC \s 1 ">
        <w:r w:rsidR="002F3E43">
          <w:rPr>
            <w:noProof/>
          </w:rPr>
          <w:t>37</w:t>
        </w:r>
      </w:fldSimple>
      <w:bookmarkEnd w:id="317"/>
      <w:r w:rsidRPr="00545EC0">
        <w:t xml:space="preserve">: </w:t>
      </w:r>
      <w:r w:rsidRPr="00545EC0">
        <w:rPr>
          <w:rFonts w:cstheme="minorHAnsi"/>
          <w:szCs w:val="22"/>
        </w:rPr>
        <w:t>Trend povprečne koncentracije nitrata v podzemni vodi VTPodV Savinjska kotlina na vseh opazovalnih mestih (obdobje 199</w:t>
      </w:r>
      <w:r w:rsidR="00231DAE" w:rsidRPr="00545EC0">
        <w:rPr>
          <w:rFonts w:cstheme="minorHAnsi"/>
          <w:szCs w:val="22"/>
        </w:rPr>
        <w:t>8</w:t>
      </w:r>
      <w:r w:rsidRPr="00545EC0">
        <w:rPr>
          <w:rFonts w:cstheme="minorHAnsi"/>
          <w:szCs w:val="22"/>
        </w:rPr>
        <w:t xml:space="preserve"> do 2019) (linearni trend r</w:t>
      </w:r>
      <w:r w:rsidRPr="00545EC0">
        <w:rPr>
          <w:rFonts w:cstheme="minorHAnsi"/>
          <w:szCs w:val="22"/>
          <w:vertAlign w:val="subscript"/>
        </w:rPr>
        <w:t>s</w:t>
      </w:r>
      <w:r w:rsidRPr="00545EC0">
        <w:rPr>
          <w:rFonts w:cstheme="minorHAnsi"/>
          <w:szCs w:val="22"/>
        </w:rPr>
        <w:t xml:space="preserve"> = - 0,68, p&lt;0,05).</w:t>
      </w:r>
      <w:bookmarkEnd w:id="318"/>
      <w:bookmarkEnd w:id="319"/>
      <w:bookmarkEnd w:id="320"/>
    </w:p>
    <w:p w14:paraId="360E22BF" w14:textId="77777777" w:rsidR="0081174D" w:rsidRPr="00545EC0" w:rsidRDefault="0081174D" w:rsidP="00264E6A">
      <w:pPr>
        <w:pStyle w:val="Odstavekseznam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cs="Arial"/>
          <w:szCs w:val="20"/>
          <w:lang w:val="sl-SI"/>
        </w:rPr>
      </w:pPr>
    </w:p>
    <w:p w14:paraId="2A05AC4A" w14:textId="77777777" w:rsidR="00876A1A" w:rsidRPr="00545EC0" w:rsidRDefault="00876A1A" w:rsidP="00876A1A">
      <w:pPr>
        <w:pStyle w:val="Odstavekseznam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eastAsiaTheme="majorEastAsia" w:cs="Arial"/>
          <w:snapToGrid w:val="0"/>
          <w:kern w:val="22"/>
          <w:szCs w:val="20"/>
          <w:u w:val="single"/>
          <w:lang w:val="sl-SI" w:eastAsia="en-US"/>
        </w:rPr>
      </w:pPr>
      <w:r w:rsidRPr="00545EC0">
        <w:rPr>
          <w:rFonts w:eastAsiaTheme="majorEastAsia" w:cs="Arial"/>
          <w:snapToGrid w:val="0"/>
          <w:kern w:val="22"/>
          <w:szCs w:val="20"/>
          <w:u w:val="single"/>
          <w:lang w:val="sl-SI" w:eastAsia="en-US"/>
        </w:rPr>
        <w:t>VTPODV_3012 Dravska kotlina</w:t>
      </w:r>
    </w:p>
    <w:p w14:paraId="7E8119B3" w14:textId="77777777" w:rsidR="00876A1A" w:rsidRPr="00545EC0" w:rsidRDefault="00876A1A" w:rsidP="00876A1A">
      <w:pPr>
        <w:pStyle w:val="Odstavekseznam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eastAsiaTheme="majorEastAsia" w:cs="Arial"/>
          <w:snapToGrid w:val="0"/>
          <w:kern w:val="22"/>
          <w:szCs w:val="20"/>
          <w:u w:val="single"/>
          <w:lang w:val="sl-SI" w:eastAsia="en-US"/>
        </w:rPr>
      </w:pPr>
    </w:p>
    <w:p w14:paraId="59A4928E" w14:textId="2B41203D" w:rsidR="00876A1A" w:rsidRPr="00545EC0" w:rsidRDefault="00876A1A" w:rsidP="00876A1A">
      <w:pPr>
        <w:pStyle w:val="Odstavekseznam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cstheme="minorHAnsi"/>
          <w:lang w:val="sl-SI"/>
        </w:rPr>
      </w:pPr>
      <w:r w:rsidRPr="00545EC0">
        <w:rPr>
          <w:rFonts w:cs="Arial"/>
          <w:bCs/>
          <w:szCs w:val="20"/>
        </w:rPr>
        <w:t xml:space="preserve">Iz podatkov državnega monitoringa kemijskega stanja podzemnih vod izhaja, da je bilo v letu 2019 na </w:t>
      </w:r>
      <w:r w:rsidRPr="00545EC0">
        <w:rPr>
          <w:rFonts w:cs="Arial"/>
          <w:bCs/>
          <w:szCs w:val="20"/>
          <w:lang w:val="sl-SI"/>
        </w:rPr>
        <w:t>12</w:t>
      </w:r>
      <w:r w:rsidRPr="00545EC0">
        <w:rPr>
          <w:rFonts w:cs="Arial"/>
          <w:bCs/>
          <w:szCs w:val="20"/>
        </w:rPr>
        <w:t xml:space="preserve"> od </w:t>
      </w:r>
      <w:r w:rsidRPr="00545EC0">
        <w:rPr>
          <w:rFonts w:cs="Arial"/>
          <w:bCs/>
          <w:szCs w:val="20"/>
          <w:lang w:val="sl-SI"/>
        </w:rPr>
        <w:t>28</w:t>
      </w:r>
      <w:r w:rsidRPr="00545EC0">
        <w:rPr>
          <w:rFonts w:cs="Arial"/>
          <w:bCs/>
          <w:szCs w:val="20"/>
        </w:rPr>
        <w:t xml:space="preserve"> opazovalnih mest opazovano slabo kemijsko stanje podzemne vode</w:t>
      </w:r>
      <w:r w:rsidRPr="00545EC0">
        <w:rPr>
          <w:rFonts w:cs="Arial"/>
          <w:bCs/>
          <w:szCs w:val="20"/>
          <w:lang w:val="sl-SI"/>
        </w:rPr>
        <w:t xml:space="preserve">. Trend povprečne koncentracije nitrata v podzemni vodi VTPodV </w:t>
      </w:r>
      <w:r w:rsidR="00350203" w:rsidRPr="00545EC0">
        <w:rPr>
          <w:rFonts w:cs="Arial"/>
          <w:bCs/>
          <w:szCs w:val="20"/>
          <w:lang w:val="sl-SI"/>
        </w:rPr>
        <w:t>Dravsk</w:t>
      </w:r>
      <w:r w:rsidRPr="00545EC0">
        <w:rPr>
          <w:rFonts w:cs="Arial"/>
          <w:bCs/>
          <w:szCs w:val="20"/>
          <w:lang w:val="sl-SI"/>
        </w:rPr>
        <w:t>a kotlina na vseh opazovalnih mestih je prikazan na sliki (</w:t>
      </w:r>
      <w:r w:rsidRPr="00545EC0">
        <w:rPr>
          <w:rFonts w:cs="Arial"/>
          <w:bCs/>
          <w:szCs w:val="20"/>
          <w:lang w:val="sl-SI"/>
        </w:rPr>
        <w:fldChar w:fldCharType="begin"/>
      </w:r>
      <w:r w:rsidRPr="00545EC0">
        <w:rPr>
          <w:rFonts w:cs="Arial"/>
          <w:bCs/>
          <w:szCs w:val="20"/>
          <w:lang w:val="sl-SI"/>
        </w:rPr>
        <w:instrText xml:space="preserve"> REF _Ref84489755 \h </w:instrText>
      </w:r>
      <w:r w:rsidR="00F37A91" w:rsidRPr="00545EC0">
        <w:rPr>
          <w:rFonts w:cs="Arial"/>
          <w:bCs/>
          <w:szCs w:val="20"/>
          <w:lang w:val="sl-SI"/>
        </w:rPr>
        <w:instrText xml:space="preserve"> \* MERGEFORMAT </w:instrText>
      </w:r>
      <w:r w:rsidRPr="00545EC0">
        <w:rPr>
          <w:rFonts w:cs="Arial"/>
          <w:bCs/>
          <w:szCs w:val="20"/>
          <w:lang w:val="sl-SI"/>
        </w:rPr>
      </w:r>
      <w:r w:rsidRPr="00545EC0">
        <w:rPr>
          <w:rFonts w:cs="Arial"/>
          <w:bCs/>
          <w:szCs w:val="20"/>
          <w:lang w:val="sl-SI"/>
        </w:rPr>
        <w:fldChar w:fldCharType="separate"/>
      </w:r>
      <w:r w:rsidR="002F3E43" w:rsidRPr="00545EC0">
        <w:t xml:space="preserve">Slika </w:t>
      </w:r>
      <w:r w:rsidR="002F3E43">
        <w:rPr>
          <w:noProof/>
        </w:rPr>
        <w:t>2</w:t>
      </w:r>
      <w:r w:rsidR="002F3E43" w:rsidRPr="00545EC0">
        <w:rPr>
          <w:noProof/>
        </w:rPr>
        <w:noBreakHyphen/>
      </w:r>
      <w:r w:rsidR="002F3E43">
        <w:rPr>
          <w:noProof/>
        </w:rPr>
        <w:t>38</w:t>
      </w:r>
      <w:r w:rsidRPr="00545EC0">
        <w:rPr>
          <w:rFonts w:cs="Arial"/>
          <w:bCs/>
          <w:szCs w:val="20"/>
          <w:lang w:val="sl-SI"/>
        </w:rPr>
        <w:fldChar w:fldCharType="end"/>
      </w:r>
      <w:r w:rsidRPr="00545EC0">
        <w:rPr>
          <w:rFonts w:cs="Arial"/>
          <w:bCs/>
          <w:szCs w:val="20"/>
          <w:lang w:val="sl-SI"/>
        </w:rPr>
        <w:t xml:space="preserve">). </w:t>
      </w:r>
      <w:r w:rsidRPr="00545EC0">
        <w:rPr>
          <w:rFonts w:cstheme="minorHAnsi"/>
        </w:rPr>
        <w:t>Po podrobnejši analizi napovedi trenda je ugotovljeno</w:t>
      </w:r>
      <w:r w:rsidRPr="00545EC0">
        <w:rPr>
          <w:rFonts w:cstheme="minorHAnsi"/>
          <w:lang w:val="sl-SI"/>
        </w:rPr>
        <w:t>, da koncentracij</w:t>
      </w:r>
      <w:r w:rsidR="00231DAE" w:rsidRPr="00545EC0">
        <w:rPr>
          <w:rFonts w:cstheme="minorHAnsi"/>
          <w:lang w:val="sl-SI"/>
        </w:rPr>
        <w:t>e</w:t>
      </w:r>
      <w:r w:rsidRPr="00545EC0">
        <w:rPr>
          <w:rFonts w:cstheme="minorHAnsi"/>
          <w:lang w:val="sl-SI"/>
        </w:rPr>
        <w:t xml:space="preserve"> nitrata v vodnem telesu podzemne vode </w:t>
      </w:r>
      <w:r w:rsidR="00231DAE" w:rsidRPr="00545EC0">
        <w:t xml:space="preserve">v obdobju </w:t>
      </w:r>
      <w:r w:rsidR="005167BF" w:rsidRPr="00545EC0">
        <w:rPr>
          <w:lang w:val="sl-SI"/>
        </w:rPr>
        <w:t xml:space="preserve">od 1998 do 2019 </w:t>
      </w:r>
      <w:r w:rsidR="00231DAE" w:rsidRPr="00545EC0">
        <w:t>statistično značilno padajo</w:t>
      </w:r>
      <w:r w:rsidR="00350203" w:rsidRPr="00545EC0">
        <w:rPr>
          <w:rFonts w:cstheme="minorHAnsi"/>
          <w:lang w:val="sl-SI"/>
        </w:rPr>
        <w:t>, pri čemer je bil na Dravsko-Ptujskem</w:t>
      </w:r>
      <w:r w:rsidRPr="00545EC0">
        <w:rPr>
          <w:rFonts w:cstheme="minorHAnsi"/>
          <w:lang w:val="sl-SI"/>
        </w:rPr>
        <w:t xml:space="preserve"> polj</w:t>
      </w:r>
      <w:r w:rsidR="00350203" w:rsidRPr="00545EC0">
        <w:rPr>
          <w:rFonts w:cstheme="minorHAnsi"/>
          <w:lang w:val="sl-SI"/>
        </w:rPr>
        <w:t>u</w:t>
      </w:r>
      <w:r w:rsidRPr="00545EC0">
        <w:rPr>
          <w:rFonts w:cstheme="minorHAnsi"/>
          <w:lang w:val="sl-SI"/>
        </w:rPr>
        <w:t xml:space="preserve"> zabeležen upad koncentracij nitratov za približno 10 mg/l</w:t>
      </w:r>
      <w:r w:rsidR="00350203" w:rsidRPr="00545EC0">
        <w:rPr>
          <w:rFonts w:cstheme="minorHAnsi"/>
          <w:lang w:val="sl-SI"/>
        </w:rPr>
        <w:t>.</w:t>
      </w:r>
    </w:p>
    <w:p w14:paraId="4A597FB4" w14:textId="77777777" w:rsidR="00350203" w:rsidRPr="00545EC0" w:rsidRDefault="00350203" w:rsidP="00876A1A">
      <w:pPr>
        <w:pStyle w:val="Odstavekseznam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cstheme="minorHAnsi"/>
          <w:lang w:val="sl-SI"/>
        </w:rPr>
      </w:pPr>
    </w:p>
    <w:p w14:paraId="38D4E6D8" w14:textId="77777777" w:rsidR="00350203" w:rsidRPr="00545EC0" w:rsidRDefault="00350203" w:rsidP="00350203">
      <w:pPr>
        <w:pStyle w:val="Odstavekseznam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cs="Arial"/>
          <w:bCs/>
          <w:szCs w:val="20"/>
          <w:lang w:val="sl-SI"/>
        </w:rPr>
      </w:pPr>
    </w:p>
    <w:p w14:paraId="5AA8D18C" w14:textId="77777777" w:rsidR="00350203" w:rsidRPr="00545EC0" w:rsidRDefault="00350203" w:rsidP="00350203">
      <w:pPr>
        <w:pStyle w:val="Odstavekseznam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cs="Arial"/>
          <w:bCs/>
          <w:szCs w:val="20"/>
          <w:lang w:val="sl-SI"/>
        </w:rPr>
      </w:pPr>
    </w:p>
    <w:p w14:paraId="197BC2FA" w14:textId="77777777" w:rsidR="00350203" w:rsidRPr="00545EC0" w:rsidRDefault="00350203" w:rsidP="00350203">
      <w:pPr>
        <w:pStyle w:val="Odstavekseznam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cs="Arial"/>
          <w:bCs/>
          <w:szCs w:val="20"/>
          <w:lang w:val="sl-SI"/>
        </w:rPr>
      </w:pPr>
    </w:p>
    <w:p w14:paraId="47862F8B" w14:textId="77777777" w:rsidR="00350203" w:rsidRPr="00545EC0" w:rsidRDefault="00350203" w:rsidP="00350203">
      <w:pPr>
        <w:pStyle w:val="Odstavekseznam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cs="Arial"/>
          <w:szCs w:val="20"/>
          <w:lang w:val="sl-SI"/>
        </w:rPr>
      </w:pPr>
    </w:p>
    <w:p w14:paraId="6F73B295" w14:textId="77777777" w:rsidR="00350203" w:rsidRPr="00545EC0" w:rsidRDefault="00350203" w:rsidP="00350203">
      <w:pPr>
        <w:pStyle w:val="Odstavekseznam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cs="Arial"/>
          <w:szCs w:val="20"/>
          <w:lang w:val="sl-SI"/>
        </w:rPr>
      </w:pPr>
    </w:p>
    <w:p w14:paraId="66850391" w14:textId="77777777" w:rsidR="00350203" w:rsidRPr="00545EC0" w:rsidRDefault="00350203" w:rsidP="00876A1A">
      <w:pPr>
        <w:pStyle w:val="Odstavekseznam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cstheme="minorHAnsi"/>
          <w:lang w:val="sl-SI"/>
        </w:rPr>
      </w:pPr>
    </w:p>
    <w:bookmarkStart w:id="321" w:name="_Hlk58765803"/>
    <w:p w14:paraId="19A5D517" w14:textId="77777777" w:rsidR="00876A1A" w:rsidRPr="00545EC0" w:rsidRDefault="00876A1A" w:rsidP="00876A1A">
      <w:pPr>
        <w:spacing w:after="220"/>
        <w:jc w:val="center"/>
        <w:rPr>
          <w:rFonts w:cstheme="minorHAnsi"/>
        </w:rPr>
      </w:pPr>
      <w:r w:rsidRPr="00545EC0">
        <w:object w:dxaOrig="6756" w:dyaOrig="5077" w14:anchorId="2593C1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6pt;height:252.3pt" o:ole="">
            <v:imagedata r:id="rId77" o:title=""/>
          </v:shape>
          <o:OLEObject Type="Embed" ProgID="STATISTICA.Graph" ShapeID="_x0000_i1025" DrawAspect="Content" ObjectID="_1738954876" r:id="rId78">
            <o:FieldCodes>\s</o:FieldCodes>
          </o:OLEObject>
        </w:object>
      </w:r>
      <w:bookmarkEnd w:id="321"/>
    </w:p>
    <w:p w14:paraId="09ECA39B" w14:textId="7BF101CE" w:rsidR="00876A1A" w:rsidRPr="00545EC0" w:rsidRDefault="00876A1A" w:rsidP="00876A1A">
      <w:pPr>
        <w:pStyle w:val="Napis"/>
        <w:rPr>
          <w:rFonts w:cstheme="minorHAnsi"/>
          <w:szCs w:val="22"/>
        </w:rPr>
      </w:pPr>
      <w:bookmarkStart w:id="322" w:name="_Ref84489755"/>
      <w:bookmarkStart w:id="323" w:name="_Ref54604297"/>
      <w:bookmarkStart w:id="324" w:name="_Toc54608352"/>
      <w:bookmarkStart w:id="325" w:name="_Toc60909158"/>
      <w:bookmarkStart w:id="326" w:name="_Toc71735231"/>
      <w:r w:rsidRPr="00545EC0">
        <w:t xml:space="preserve">Slika </w:t>
      </w:r>
      <w:fldSimple w:instr=" STYLEREF 1 \s ">
        <w:r w:rsidR="002F3E43">
          <w:rPr>
            <w:noProof/>
          </w:rPr>
          <w:t>2</w:t>
        </w:r>
      </w:fldSimple>
      <w:r w:rsidR="00396E1E" w:rsidRPr="00545EC0">
        <w:noBreakHyphen/>
      </w:r>
      <w:fldSimple w:instr=" SEQ Slika \* ARABIC \s 1 ">
        <w:r w:rsidR="002F3E43">
          <w:rPr>
            <w:noProof/>
          </w:rPr>
          <w:t>38</w:t>
        </w:r>
      </w:fldSimple>
      <w:bookmarkEnd w:id="322"/>
      <w:r w:rsidRPr="00545EC0">
        <w:t>:</w:t>
      </w:r>
      <w:bookmarkEnd w:id="323"/>
      <w:r w:rsidRPr="00545EC0">
        <w:rPr>
          <w:rFonts w:cstheme="minorHAnsi"/>
          <w:szCs w:val="22"/>
        </w:rPr>
        <w:t>Trend povprečne koncentracije nitrata v podzemni vodi VTPodV Dravska kotlina na vseh opazovalnih mestih (obdobje 199</w:t>
      </w:r>
      <w:r w:rsidR="00231DAE" w:rsidRPr="00545EC0">
        <w:rPr>
          <w:rFonts w:cstheme="minorHAnsi"/>
          <w:szCs w:val="22"/>
        </w:rPr>
        <w:t>8</w:t>
      </w:r>
      <w:r w:rsidRPr="00545EC0">
        <w:rPr>
          <w:rFonts w:cstheme="minorHAnsi"/>
          <w:szCs w:val="22"/>
        </w:rPr>
        <w:t xml:space="preserve"> – 2019) (linearni trend r</w:t>
      </w:r>
      <w:r w:rsidRPr="00545EC0">
        <w:rPr>
          <w:rFonts w:cstheme="minorHAnsi"/>
          <w:szCs w:val="22"/>
          <w:vertAlign w:val="subscript"/>
        </w:rPr>
        <w:t>s</w:t>
      </w:r>
      <w:r w:rsidRPr="00545EC0">
        <w:rPr>
          <w:rFonts w:cstheme="minorHAnsi"/>
          <w:szCs w:val="22"/>
        </w:rPr>
        <w:t xml:space="preserve"> = -0,80; p&lt;0,05).</w:t>
      </w:r>
      <w:bookmarkEnd w:id="324"/>
      <w:bookmarkEnd w:id="325"/>
      <w:bookmarkEnd w:id="326"/>
    </w:p>
    <w:p w14:paraId="20040005" w14:textId="77777777" w:rsidR="00350203" w:rsidRPr="00545EC0" w:rsidRDefault="00350203" w:rsidP="00350203">
      <w:pPr>
        <w:rPr>
          <w:lang w:eastAsia="x-none"/>
        </w:rPr>
      </w:pPr>
    </w:p>
    <w:p w14:paraId="35FE9321" w14:textId="77777777" w:rsidR="00350203" w:rsidRPr="00545EC0" w:rsidRDefault="00350203" w:rsidP="00350203">
      <w:pPr>
        <w:pStyle w:val="Odstavekseznam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eastAsiaTheme="majorEastAsia" w:cs="Arial"/>
          <w:snapToGrid w:val="0"/>
          <w:kern w:val="22"/>
          <w:szCs w:val="20"/>
          <w:u w:val="single"/>
          <w:lang w:val="sl-SI" w:eastAsia="en-US"/>
        </w:rPr>
      </w:pPr>
      <w:r w:rsidRPr="00545EC0">
        <w:rPr>
          <w:rFonts w:eastAsiaTheme="majorEastAsia" w:cs="Arial"/>
          <w:snapToGrid w:val="0"/>
          <w:kern w:val="22"/>
          <w:szCs w:val="20"/>
          <w:u w:val="single"/>
          <w:lang w:val="sl-SI" w:eastAsia="en-US"/>
        </w:rPr>
        <w:t>VTPODV_4016 Murska kotlina</w:t>
      </w:r>
    </w:p>
    <w:p w14:paraId="025F2E56" w14:textId="77777777" w:rsidR="00350203" w:rsidRPr="00545EC0" w:rsidRDefault="00350203" w:rsidP="00350203">
      <w:pPr>
        <w:pStyle w:val="Odstavekseznam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eastAsiaTheme="majorEastAsia" w:cs="Arial"/>
          <w:snapToGrid w:val="0"/>
          <w:kern w:val="22"/>
          <w:szCs w:val="20"/>
          <w:u w:val="single"/>
          <w:lang w:val="sl-SI" w:eastAsia="en-US"/>
        </w:rPr>
      </w:pPr>
    </w:p>
    <w:p w14:paraId="3A5E1117" w14:textId="463BBCAB" w:rsidR="00231DAE" w:rsidRPr="00545EC0" w:rsidRDefault="00350203" w:rsidP="00231DAE">
      <w:pPr>
        <w:pStyle w:val="Odstavekseznam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cs="Arial"/>
          <w:bCs/>
          <w:szCs w:val="20"/>
          <w:lang w:val="sl-SI"/>
        </w:rPr>
      </w:pPr>
      <w:r w:rsidRPr="00545EC0">
        <w:rPr>
          <w:rFonts w:cs="Arial"/>
          <w:bCs/>
          <w:szCs w:val="20"/>
        </w:rPr>
        <w:t xml:space="preserve">Iz podatkov državnega monitoringa stanja podzemnih vod izhaja, </w:t>
      </w:r>
      <w:r w:rsidRPr="00545EC0">
        <w:rPr>
          <w:rFonts w:cs="Arial"/>
          <w:bCs/>
          <w:szCs w:val="20"/>
          <w:lang w:val="sl-SI"/>
        </w:rPr>
        <w:t xml:space="preserve">da je </w:t>
      </w:r>
      <w:r w:rsidRPr="00545EC0">
        <w:rPr>
          <w:rFonts w:cs="Arial"/>
          <w:bCs/>
          <w:szCs w:val="20"/>
        </w:rPr>
        <w:t>kemijsko stanje</w:t>
      </w:r>
      <w:r w:rsidRPr="00545EC0">
        <w:rPr>
          <w:rFonts w:cs="Arial"/>
          <w:bCs/>
          <w:szCs w:val="20"/>
          <w:lang w:val="sl-SI"/>
        </w:rPr>
        <w:t xml:space="preserve"> vodnega telesa Murske kotline v slabem kemijskem stanju. Trend povprečne koncentracije nitrata v podzemni vodi VTPodV Murska kotlina na vseh opazovalnih mestih je prikazan na sliki (</w:t>
      </w:r>
      <w:r w:rsidRPr="00545EC0">
        <w:rPr>
          <w:rFonts w:cs="Arial"/>
          <w:bCs/>
          <w:szCs w:val="20"/>
          <w:lang w:val="sl-SI"/>
        </w:rPr>
        <w:fldChar w:fldCharType="begin"/>
      </w:r>
      <w:r w:rsidRPr="00545EC0">
        <w:rPr>
          <w:rFonts w:cs="Arial"/>
          <w:bCs/>
          <w:szCs w:val="20"/>
          <w:lang w:val="sl-SI"/>
        </w:rPr>
        <w:instrText xml:space="preserve"> REF _Ref84490257 \h </w:instrText>
      </w:r>
      <w:r w:rsidR="00F37A91" w:rsidRPr="00545EC0">
        <w:rPr>
          <w:rFonts w:cs="Arial"/>
          <w:bCs/>
          <w:szCs w:val="20"/>
          <w:lang w:val="sl-SI"/>
        </w:rPr>
        <w:instrText xml:space="preserve"> \* MERGEFORMAT </w:instrText>
      </w:r>
      <w:r w:rsidRPr="00545EC0">
        <w:rPr>
          <w:rFonts w:cs="Arial"/>
          <w:bCs/>
          <w:szCs w:val="20"/>
          <w:lang w:val="sl-SI"/>
        </w:rPr>
      </w:r>
      <w:r w:rsidRPr="00545EC0">
        <w:rPr>
          <w:rFonts w:cs="Arial"/>
          <w:bCs/>
          <w:szCs w:val="20"/>
          <w:lang w:val="sl-SI"/>
        </w:rPr>
        <w:fldChar w:fldCharType="separate"/>
      </w:r>
      <w:r w:rsidR="002F3E43" w:rsidRPr="00545EC0">
        <w:t xml:space="preserve">Slika </w:t>
      </w:r>
      <w:r w:rsidR="002F3E43">
        <w:rPr>
          <w:noProof/>
        </w:rPr>
        <w:t>2</w:t>
      </w:r>
      <w:r w:rsidR="002F3E43" w:rsidRPr="00545EC0">
        <w:rPr>
          <w:noProof/>
        </w:rPr>
        <w:noBreakHyphen/>
      </w:r>
      <w:r w:rsidR="002F3E43">
        <w:rPr>
          <w:noProof/>
        </w:rPr>
        <w:t>39</w:t>
      </w:r>
      <w:r w:rsidRPr="00545EC0">
        <w:rPr>
          <w:rFonts w:cs="Arial"/>
          <w:bCs/>
          <w:szCs w:val="20"/>
          <w:lang w:val="sl-SI"/>
        </w:rPr>
        <w:fldChar w:fldCharType="end"/>
      </w:r>
      <w:r w:rsidR="006C09EC" w:rsidRPr="00545EC0">
        <w:rPr>
          <w:rFonts w:cs="Arial"/>
          <w:bCs/>
          <w:szCs w:val="20"/>
          <w:lang w:val="sl-SI"/>
        </w:rPr>
        <w:t>)</w:t>
      </w:r>
      <w:r w:rsidRPr="00545EC0">
        <w:rPr>
          <w:rFonts w:cs="Arial"/>
          <w:bCs/>
          <w:szCs w:val="20"/>
          <w:lang w:val="sl-SI"/>
        </w:rPr>
        <w:t>.</w:t>
      </w:r>
      <w:r w:rsidR="005167BF" w:rsidRPr="00545EC0">
        <w:rPr>
          <w:rFonts w:cs="Arial"/>
          <w:bCs/>
          <w:szCs w:val="20"/>
          <w:lang w:val="sl-SI"/>
        </w:rPr>
        <w:t xml:space="preserve"> </w:t>
      </w:r>
      <w:r w:rsidR="005167BF" w:rsidRPr="00545EC0">
        <w:rPr>
          <w:rFonts w:cstheme="minorHAnsi"/>
          <w:lang w:val="sl-SI"/>
        </w:rPr>
        <w:t>Med letom 2006 in 2019 se koncentracije nitrata znižujejo in nihajo, v letu 2006 je bila povprečna 42,70 mg/L, vsebnost leta 2019 pa 27,41 mg/L.</w:t>
      </w:r>
      <w:r w:rsidRPr="00545EC0">
        <w:rPr>
          <w:rFonts w:cs="Arial"/>
          <w:bCs/>
          <w:szCs w:val="20"/>
          <w:lang w:val="sl-SI"/>
        </w:rPr>
        <w:t xml:space="preserve"> </w:t>
      </w:r>
      <w:r w:rsidRPr="00545EC0">
        <w:rPr>
          <w:rFonts w:cstheme="minorHAnsi"/>
        </w:rPr>
        <w:t>Po podrobnejši analizi napovedi trenda je ugotovljeno</w:t>
      </w:r>
      <w:r w:rsidRPr="00545EC0">
        <w:rPr>
          <w:rFonts w:cstheme="minorHAnsi"/>
          <w:lang w:val="sl-SI"/>
        </w:rPr>
        <w:t xml:space="preserve">, da koncentracija nitrata v vodnem telesu podzemnih voda </w:t>
      </w:r>
      <w:r w:rsidR="00231DAE" w:rsidRPr="00545EC0">
        <w:t>v obdobju</w:t>
      </w:r>
      <w:r w:rsidR="005167BF" w:rsidRPr="00545EC0">
        <w:rPr>
          <w:lang w:val="sl-SI"/>
        </w:rPr>
        <w:t xml:space="preserve"> od 1998 do 2019</w:t>
      </w:r>
      <w:r w:rsidR="00231DAE" w:rsidRPr="00545EC0">
        <w:t xml:space="preserve"> statistično značilno padajo</w:t>
      </w:r>
      <w:r w:rsidR="00231DAE" w:rsidRPr="00545EC0">
        <w:rPr>
          <w:lang w:val="sl-SI"/>
        </w:rPr>
        <w:t>.</w:t>
      </w:r>
      <w:r w:rsidR="00815EC0" w:rsidRPr="00545EC0">
        <w:rPr>
          <w:rFonts w:cstheme="minorHAnsi"/>
          <w:lang w:val="sl-SI"/>
        </w:rPr>
        <w:t xml:space="preserve"> </w:t>
      </w:r>
    </w:p>
    <w:p w14:paraId="095C5391" w14:textId="77777777" w:rsidR="00350203" w:rsidRPr="00545EC0" w:rsidRDefault="00350203" w:rsidP="00350203">
      <w:pPr>
        <w:rPr>
          <w:lang w:eastAsia="x-none"/>
        </w:rPr>
      </w:pPr>
    </w:p>
    <w:p w14:paraId="54817F34" w14:textId="77777777" w:rsidR="00350203" w:rsidRPr="00545EC0" w:rsidRDefault="00350203" w:rsidP="00350203">
      <w:pPr>
        <w:rPr>
          <w:lang w:eastAsia="x-none"/>
        </w:rPr>
      </w:pPr>
    </w:p>
    <w:p w14:paraId="4ADF2F13" w14:textId="77777777" w:rsidR="00876A1A" w:rsidRPr="00545EC0" w:rsidRDefault="00876A1A" w:rsidP="00876A1A">
      <w:pPr>
        <w:pStyle w:val="Odstavekseznam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cs="Arial"/>
          <w:bCs/>
          <w:szCs w:val="20"/>
          <w:lang w:val="sl-SI"/>
        </w:rPr>
      </w:pPr>
    </w:p>
    <w:bookmarkStart w:id="327" w:name="_Hlk58777721"/>
    <w:p w14:paraId="58A7BE79" w14:textId="77777777" w:rsidR="00350203" w:rsidRPr="00545EC0" w:rsidRDefault="00350203" w:rsidP="00350203">
      <w:pPr>
        <w:spacing w:after="220"/>
        <w:jc w:val="center"/>
        <w:rPr>
          <w:rFonts w:cstheme="minorHAnsi"/>
        </w:rPr>
      </w:pPr>
      <w:r w:rsidRPr="00545EC0">
        <w:object w:dxaOrig="7216" w:dyaOrig="5412" w14:anchorId="3884C5DF">
          <v:shape id="_x0000_i1026" type="#_x0000_t75" style="width:5in;height:273.6pt" o:ole="">
            <v:imagedata r:id="rId79" o:title=""/>
          </v:shape>
          <o:OLEObject Type="Embed" ProgID="STATISTICA.Graph" ShapeID="_x0000_i1026" DrawAspect="Content" ObjectID="_1738954877" r:id="rId80">
            <o:FieldCodes>\s</o:FieldCodes>
          </o:OLEObject>
        </w:object>
      </w:r>
      <w:bookmarkEnd w:id="327"/>
    </w:p>
    <w:p w14:paraId="634DBE27" w14:textId="788333D6" w:rsidR="00350203" w:rsidRPr="00545EC0" w:rsidRDefault="00350203" w:rsidP="00907B53">
      <w:pPr>
        <w:pStyle w:val="Napis"/>
        <w:rPr>
          <w:rFonts w:cstheme="minorHAnsi"/>
          <w:iCs/>
          <w:szCs w:val="22"/>
        </w:rPr>
      </w:pPr>
      <w:bookmarkStart w:id="328" w:name="_Ref84490257"/>
      <w:bookmarkStart w:id="329" w:name="_Toc54608347"/>
      <w:bookmarkStart w:id="330" w:name="_Toc60909159"/>
      <w:bookmarkStart w:id="331" w:name="_Toc71735232"/>
      <w:r w:rsidRPr="00545EC0">
        <w:t xml:space="preserve">Slika </w:t>
      </w:r>
      <w:fldSimple w:instr=" STYLEREF 1 \s ">
        <w:r w:rsidR="002F3E43">
          <w:rPr>
            <w:noProof/>
          </w:rPr>
          <w:t>2</w:t>
        </w:r>
      </w:fldSimple>
      <w:r w:rsidR="00396E1E" w:rsidRPr="00545EC0">
        <w:noBreakHyphen/>
      </w:r>
      <w:fldSimple w:instr=" SEQ Slika \* ARABIC \s 1 ">
        <w:r w:rsidR="002F3E43">
          <w:rPr>
            <w:noProof/>
          </w:rPr>
          <w:t>39</w:t>
        </w:r>
      </w:fldSimple>
      <w:bookmarkEnd w:id="328"/>
      <w:r w:rsidRPr="00545EC0">
        <w:t>:</w:t>
      </w:r>
      <w:r w:rsidRPr="00545EC0">
        <w:rPr>
          <w:rFonts w:cstheme="minorHAnsi"/>
          <w:iCs/>
          <w:szCs w:val="22"/>
        </w:rPr>
        <w:t>Trend povprečne koncentracije nitrata v podzemni vodi VTPodV Murska kotlina na vseh opazovalnih mestih (obdobje 199</w:t>
      </w:r>
      <w:r w:rsidR="00231DAE" w:rsidRPr="00545EC0">
        <w:rPr>
          <w:rFonts w:cstheme="minorHAnsi"/>
          <w:iCs/>
          <w:szCs w:val="22"/>
        </w:rPr>
        <w:t>8</w:t>
      </w:r>
      <w:r w:rsidRPr="00545EC0">
        <w:rPr>
          <w:rFonts w:cstheme="minorHAnsi"/>
          <w:iCs/>
          <w:szCs w:val="22"/>
        </w:rPr>
        <w:t>-2019) (linearni trend r</w:t>
      </w:r>
      <w:r w:rsidRPr="00545EC0">
        <w:rPr>
          <w:rFonts w:cstheme="minorHAnsi"/>
          <w:iCs/>
          <w:szCs w:val="22"/>
          <w:vertAlign w:val="subscript"/>
        </w:rPr>
        <w:t>s</w:t>
      </w:r>
      <w:r w:rsidRPr="00545EC0">
        <w:rPr>
          <w:rFonts w:cstheme="minorHAnsi"/>
          <w:iCs/>
          <w:szCs w:val="22"/>
        </w:rPr>
        <w:t xml:space="preserve"> = - 0,83; p&lt;0,05).</w:t>
      </w:r>
      <w:bookmarkEnd w:id="329"/>
      <w:bookmarkEnd w:id="330"/>
      <w:bookmarkEnd w:id="331"/>
    </w:p>
    <w:p w14:paraId="53D7AB4A" w14:textId="77777777" w:rsidR="0028112A" w:rsidRPr="00545EC0" w:rsidRDefault="0028112A" w:rsidP="008B541F">
      <w:pPr>
        <w:pStyle w:val="podnaslov0"/>
      </w:pPr>
      <w:r w:rsidRPr="00545EC0">
        <w:t xml:space="preserve">Podrobnejši </w:t>
      </w:r>
      <w:r w:rsidR="00E7516C" w:rsidRPr="00545EC0">
        <w:t>pregled</w:t>
      </w:r>
      <w:r w:rsidRPr="00545EC0">
        <w:t xml:space="preserve"> obremenitev na VT</w:t>
      </w:r>
      <w:r w:rsidR="008F72B1" w:rsidRPr="00545EC0">
        <w:t>PodV</w:t>
      </w:r>
      <w:r w:rsidRPr="00545EC0">
        <w:t xml:space="preserve">, kjer je ugotovljeno slabo stanje podzemne voda </w:t>
      </w:r>
    </w:p>
    <w:p w14:paraId="77EC5426" w14:textId="0CA3E5F2" w:rsidR="00A54F7B" w:rsidRPr="00545EC0" w:rsidRDefault="00A54F7B" w:rsidP="00A54F7B">
      <w:pPr>
        <w:spacing w:line="300" w:lineRule="atLeast"/>
      </w:pPr>
      <w:r w:rsidRPr="00545EC0">
        <w:t xml:space="preserve">Dodatno je izveden podrobnejši pregled obremenitev VTPodV, kjer je ugotovljeno slabo kemijsko stanje. Na podlagi strokovnih podlag so za vodna telesa podzemnih voda Dravska kotlina, Savinjska kotlina in Murska kotlina opredeljena območja znotraj vodnih teles podzemnih voda, kjer </w:t>
      </w:r>
      <w:r w:rsidR="00357381" w:rsidRPr="00545EC0">
        <w:t>je</w:t>
      </w:r>
      <w:r w:rsidRPr="00545EC0">
        <w:t xml:space="preserve"> na podlagi rezultatov monitoringa stanja podzemnih voda v skladu s predpisom, ki ureja stanje podzemnih voda, ugotovljeno preseganje okoljskih standardov kakovosti za nitrat (v nadaljevanju besedila: ožje območje vodnega telesa podzemne vode). Poleg navedenega </w:t>
      </w:r>
      <w:r w:rsidR="00357381" w:rsidRPr="00545EC0">
        <w:t>so</w:t>
      </w:r>
      <w:r w:rsidRPr="00545EC0">
        <w:t xml:space="preserve"> pri opre</w:t>
      </w:r>
      <w:r w:rsidR="00357381" w:rsidRPr="00545EC0">
        <w:t>delitvi ožjih območij upoštevane</w:t>
      </w:r>
      <w:r w:rsidRPr="00545EC0">
        <w:t xml:space="preserve"> smeri toka podzemne vode, litološke značilnosti vodnega telesa podzemne vode, raba prostora in obremenitve, ki povzročajo onesnaževanje s hranili.</w:t>
      </w:r>
    </w:p>
    <w:p w14:paraId="40653D0D" w14:textId="77777777" w:rsidR="00A54F7B" w:rsidRPr="00545EC0" w:rsidRDefault="00A54F7B" w:rsidP="00A54F7B"/>
    <w:p w14:paraId="06E3F052" w14:textId="06B922D9" w:rsidR="00A54F7B" w:rsidRPr="00545EC0" w:rsidRDefault="00A54F7B" w:rsidP="00A54F7B">
      <w:r w:rsidRPr="00545EC0">
        <w:t>Metodologija za opredelitev ožjih območij vodnih teles podzemnih vod</w:t>
      </w:r>
      <w:r w:rsidR="00357381" w:rsidRPr="00545EC0">
        <w:t>a</w:t>
      </w:r>
      <w:r w:rsidRPr="00545EC0">
        <w:t xml:space="preserve"> je bila načrtovana in testirana na južnem delu vodnega telesa podzemne vode Dravske kotline na Dravsko – Ptujskem polju (</w:t>
      </w:r>
      <w:r w:rsidRPr="00545EC0">
        <w:fldChar w:fldCharType="begin"/>
      </w:r>
      <w:r w:rsidRPr="00545EC0">
        <w:instrText xml:space="preserve"> REF _Ref88224577 \h </w:instrText>
      </w:r>
      <w:r w:rsidR="007E0EDE" w:rsidRPr="00545EC0">
        <w:instrText xml:space="preserve"> \* MERGEFORMAT </w:instrText>
      </w:r>
      <w:r w:rsidRPr="00545EC0">
        <w:fldChar w:fldCharType="separate"/>
      </w:r>
      <w:r w:rsidR="002F3E43" w:rsidRPr="00545EC0">
        <w:t xml:space="preserve">Slika </w:t>
      </w:r>
      <w:r w:rsidR="002F3E43">
        <w:rPr>
          <w:noProof/>
        </w:rPr>
        <w:t>2</w:t>
      </w:r>
      <w:r w:rsidR="002F3E43" w:rsidRPr="00545EC0">
        <w:rPr>
          <w:noProof/>
        </w:rPr>
        <w:noBreakHyphen/>
      </w:r>
      <w:r w:rsidR="002F3E43">
        <w:rPr>
          <w:noProof/>
        </w:rPr>
        <w:t>40</w:t>
      </w:r>
      <w:r w:rsidRPr="00545EC0">
        <w:fldChar w:fldCharType="end"/>
      </w:r>
      <w:r w:rsidRPr="00545EC0">
        <w:t xml:space="preserve">). Preseganje okoljskega standarda kakovosti za nitrat je ugotovljeno še v </w:t>
      </w:r>
      <w:r w:rsidRPr="00545EC0">
        <w:rPr>
          <w:rFonts w:eastAsia="ArialMT"/>
        </w:rPr>
        <w:t>osrednjem delu VTPodV Savinjska kotlina in osrednjem delu VTPodV Murska kotilina.</w:t>
      </w:r>
    </w:p>
    <w:p w14:paraId="797BF2FE" w14:textId="77777777" w:rsidR="00145356" w:rsidRPr="00545EC0" w:rsidRDefault="00145356" w:rsidP="0028112A">
      <w:pPr>
        <w:rPr>
          <w:rFonts w:eastAsia="ArialMT"/>
        </w:rPr>
      </w:pPr>
    </w:p>
    <w:p w14:paraId="40EC29C2" w14:textId="77777777" w:rsidR="00A54F7B" w:rsidRPr="00545EC0" w:rsidRDefault="00A54F7B" w:rsidP="00A54F7B">
      <w:pPr>
        <w:pStyle w:val="GeoZSVsebina"/>
        <w:spacing w:after="0" w:line="300" w:lineRule="atLeast"/>
        <w:rPr>
          <w:rFonts w:ascii="Arial" w:hAnsi="Arial" w:cs="Arial"/>
          <w:sz w:val="20"/>
          <w:szCs w:val="20"/>
        </w:rPr>
      </w:pPr>
      <w:r w:rsidRPr="00545EC0">
        <w:rPr>
          <w:rFonts w:ascii="Arial" w:hAnsi="Arial" w:cs="Arial"/>
          <w:noProof/>
          <w:snapToGrid/>
          <w:sz w:val="20"/>
          <w:szCs w:val="20"/>
          <w:lang w:eastAsia="sl-SI"/>
        </w:rPr>
        <w:lastRenderedPageBreak/>
        <w:drawing>
          <wp:inline distT="0" distB="0" distL="0" distR="0" wp14:anchorId="1BC250F9" wp14:editId="08A9210D">
            <wp:extent cx="4981651" cy="3189428"/>
            <wp:effectExtent l="19050" t="19050" r="9525" b="1143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vska kolina2.jpg"/>
                    <pic:cNvPicPr/>
                  </pic:nvPicPr>
                  <pic:blipFill rotWithShape="1">
                    <a:blip r:embed="rId81" cstate="print">
                      <a:extLst>
                        <a:ext uri="{28A0092B-C50C-407E-A947-70E740481C1C}">
                          <a14:useLocalDpi xmlns:a14="http://schemas.microsoft.com/office/drawing/2010/main" val="0"/>
                        </a:ext>
                      </a:extLst>
                    </a:blip>
                    <a:srcRect/>
                    <a:stretch/>
                  </pic:blipFill>
                  <pic:spPr bwMode="auto">
                    <a:xfrm>
                      <a:off x="0" y="0"/>
                      <a:ext cx="4999318" cy="320073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F0AC8B3" w14:textId="0C96EBC9" w:rsidR="00A54F7B" w:rsidRPr="00545EC0" w:rsidRDefault="00A54F7B" w:rsidP="00A54F7B">
      <w:pPr>
        <w:pStyle w:val="Napis"/>
      </w:pPr>
      <w:bookmarkStart w:id="332" w:name="_Ref88224577"/>
      <w:r w:rsidRPr="00545EC0">
        <w:t xml:space="preserve">Slika </w:t>
      </w:r>
      <w:fldSimple w:instr=" STYLEREF 1 \s ">
        <w:r w:rsidR="002F3E43">
          <w:rPr>
            <w:noProof/>
          </w:rPr>
          <w:t>2</w:t>
        </w:r>
      </w:fldSimple>
      <w:r w:rsidR="00396E1E" w:rsidRPr="00545EC0">
        <w:noBreakHyphen/>
      </w:r>
      <w:fldSimple w:instr=" SEQ Slika \* ARABIC \s 1 ">
        <w:r w:rsidR="002F3E43">
          <w:rPr>
            <w:noProof/>
          </w:rPr>
          <w:t>40</w:t>
        </w:r>
      </w:fldSimple>
      <w:bookmarkEnd w:id="332"/>
      <w:r w:rsidRPr="00545EC0">
        <w:t xml:space="preserve">: </w:t>
      </w:r>
      <w:r w:rsidRPr="00545EC0">
        <w:rPr>
          <w:szCs w:val="20"/>
        </w:rPr>
        <w:t>Prikaz ožjega območja vodnega telesa podzemne vode Dravska kotlina.</w:t>
      </w:r>
    </w:p>
    <w:p w14:paraId="11530096" w14:textId="77777777" w:rsidR="00907B53" w:rsidRPr="00545EC0" w:rsidRDefault="00907B53" w:rsidP="0028112A">
      <w:pPr>
        <w:rPr>
          <w:rFonts w:eastAsia="ArialMT"/>
        </w:rPr>
      </w:pPr>
    </w:p>
    <w:p w14:paraId="37E96451" w14:textId="6276F687" w:rsidR="00145356" w:rsidRPr="00545EC0" w:rsidRDefault="005D23B2" w:rsidP="001B4A2A">
      <w:pPr>
        <w:pStyle w:val="Naslov3"/>
        <w:rPr>
          <w:lang w:val="sl-SI"/>
        </w:rPr>
      </w:pPr>
      <w:bookmarkStart w:id="333" w:name="_Toc90261027"/>
      <w:bookmarkStart w:id="334" w:name="OLE_LINK12"/>
      <w:bookmarkStart w:id="335" w:name="OLE_LINK13"/>
      <w:r w:rsidRPr="00545EC0">
        <w:t>O</w:t>
      </w:r>
      <w:r w:rsidR="00493E8B" w:rsidRPr="00545EC0">
        <w:t>cen</w:t>
      </w:r>
      <w:r w:rsidR="00245AB6" w:rsidRPr="00545EC0">
        <w:t>a</w:t>
      </w:r>
      <w:r w:rsidR="00493E8B" w:rsidRPr="00545EC0">
        <w:t xml:space="preserve"> verjetnosti doseganja okoljskih ciljev za vodna telesa površinskih in podzemnih voda, vključno z opiso</w:t>
      </w:r>
      <w:r w:rsidRPr="00545EC0">
        <w:t>m uporabljene metode in meril</w:t>
      </w:r>
      <w:bookmarkEnd w:id="333"/>
    </w:p>
    <w:p w14:paraId="34616AED" w14:textId="77777777" w:rsidR="00347476" w:rsidRPr="00545EC0" w:rsidRDefault="00347476" w:rsidP="00347476">
      <w:pPr>
        <w:rPr>
          <w:lang w:eastAsia="x-none"/>
        </w:rPr>
      </w:pPr>
    </w:p>
    <w:p w14:paraId="47C55499" w14:textId="12B933CB" w:rsidR="00347476" w:rsidRPr="00545EC0" w:rsidRDefault="00347476" w:rsidP="00347476">
      <w:pPr>
        <w:rPr>
          <w:rFonts w:cs="Arial"/>
          <w:szCs w:val="22"/>
          <w:lang w:eastAsia="zh-CN"/>
        </w:rPr>
      </w:pPr>
      <w:r w:rsidRPr="00545EC0">
        <w:rPr>
          <w:rFonts w:cs="Arial"/>
        </w:rPr>
        <w:t xml:space="preserve">Za zagotovitev skladnosti pomembnih obremenitev s tveganjem za neizpolnitev okoljskih ciljev, je ocena verjetnosti doseganja okoljskih ciljev (v nadaljnjem besedilu: OVDOC) </w:t>
      </w:r>
      <w:r w:rsidRPr="00545EC0">
        <w:rPr>
          <w:rFonts w:cs="Arial"/>
          <w:szCs w:val="22"/>
          <w:lang w:eastAsia="zh-CN"/>
        </w:rPr>
        <w:t xml:space="preserve">za vodna telesa površinskih in podzemnih voda pripravljena z upoštevanjem različnih vsebin </w:t>
      </w:r>
      <w:r w:rsidR="00675B63" w:rsidRPr="00545EC0">
        <w:rPr>
          <w:rFonts w:cs="Arial"/>
          <w:szCs w:val="22"/>
          <w:lang w:eastAsia="zh-CN"/>
        </w:rPr>
        <w:t>obravnavanih v okviru načrta upravljanja voda</w:t>
      </w:r>
      <w:r w:rsidRPr="00545EC0">
        <w:rPr>
          <w:rFonts w:cs="Arial"/>
          <w:szCs w:val="22"/>
          <w:lang w:eastAsia="zh-CN"/>
        </w:rPr>
        <w:t xml:space="preserve">. V preglednici </w:t>
      </w:r>
      <w:r w:rsidR="00675B63" w:rsidRPr="00545EC0">
        <w:rPr>
          <w:rFonts w:cs="Arial"/>
          <w:szCs w:val="22"/>
          <w:lang w:eastAsia="zh-CN"/>
        </w:rPr>
        <w:t>(</w:t>
      </w:r>
      <w:r w:rsidR="00675B63" w:rsidRPr="00545EC0">
        <w:rPr>
          <w:rFonts w:cs="Arial"/>
          <w:szCs w:val="22"/>
          <w:lang w:eastAsia="zh-CN"/>
        </w:rPr>
        <w:fldChar w:fldCharType="begin"/>
      </w:r>
      <w:r w:rsidR="00675B63" w:rsidRPr="00545EC0">
        <w:rPr>
          <w:rFonts w:cs="Arial"/>
          <w:szCs w:val="22"/>
          <w:lang w:eastAsia="zh-CN"/>
        </w:rPr>
        <w:instrText xml:space="preserve"> REF _Ref84322155 \h  \* MERGEFORMAT </w:instrText>
      </w:r>
      <w:r w:rsidR="00675B63" w:rsidRPr="00545EC0">
        <w:rPr>
          <w:rFonts w:cs="Arial"/>
          <w:szCs w:val="22"/>
          <w:lang w:eastAsia="zh-CN"/>
        </w:rPr>
      </w:r>
      <w:r w:rsidR="00675B63" w:rsidRPr="00545EC0">
        <w:rPr>
          <w:rFonts w:cs="Arial"/>
          <w:szCs w:val="22"/>
          <w:lang w:eastAsia="zh-CN"/>
        </w:rPr>
        <w:fldChar w:fldCharType="separate"/>
      </w:r>
      <w:r w:rsidR="002F3E43" w:rsidRPr="00545EC0">
        <w:t xml:space="preserve">Preglednica </w:t>
      </w:r>
      <w:r w:rsidR="002F3E43">
        <w:rPr>
          <w:noProof/>
        </w:rPr>
        <w:t>2</w:t>
      </w:r>
      <w:r w:rsidR="002F3E43" w:rsidRPr="00545EC0">
        <w:rPr>
          <w:noProof/>
        </w:rPr>
        <w:noBreakHyphen/>
      </w:r>
      <w:r w:rsidR="002F3E43">
        <w:rPr>
          <w:noProof/>
        </w:rPr>
        <w:t>43</w:t>
      </w:r>
      <w:r w:rsidR="00675B63" w:rsidRPr="00545EC0">
        <w:rPr>
          <w:rFonts w:cs="Arial"/>
          <w:szCs w:val="22"/>
          <w:lang w:eastAsia="zh-CN"/>
        </w:rPr>
        <w:fldChar w:fldCharType="end"/>
      </w:r>
      <w:r w:rsidR="00675B63" w:rsidRPr="00545EC0">
        <w:rPr>
          <w:rFonts w:cs="Arial"/>
          <w:szCs w:val="22"/>
          <w:lang w:eastAsia="zh-CN"/>
        </w:rPr>
        <w:t xml:space="preserve">) </w:t>
      </w:r>
      <w:r w:rsidRPr="00545EC0">
        <w:rPr>
          <w:rFonts w:cs="Arial"/>
          <w:szCs w:val="22"/>
          <w:lang w:eastAsia="zh-CN"/>
        </w:rPr>
        <w:t>so navedeni posamezni koraki, ki na koncu tvorijo OVDOC za posamezno vodno telo. Rezultat analize (korak 9) je ocena tveganja za nedose</w:t>
      </w:r>
      <w:r w:rsidR="00675B63" w:rsidRPr="00545EC0">
        <w:rPr>
          <w:rFonts w:cs="Arial"/>
          <w:szCs w:val="22"/>
          <w:lang w:eastAsia="zh-CN"/>
        </w:rPr>
        <w:t>ganje okoljskih ciljev leta 2027</w:t>
      </w:r>
      <w:r w:rsidRPr="00545EC0">
        <w:rPr>
          <w:rFonts w:cs="Arial"/>
          <w:szCs w:val="22"/>
          <w:lang w:eastAsia="zh-CN"/>
        </w:rPr>
        <w:t>, ob upoštevanju okoljskih ciljev (korak 8), trenutnega stanja (koraki od 1 do 3) in nadaljnjega razvoja (koraki 4 do 7).</w:t>
      </w:r>
    </w:p>
    <w:p w14:paraId="784B44C0" w14:textId="77777777" w:rsidR="00347476" w:rsidRPr="00545EC0" w:rsidRDefault="00347476" w:rsidP="00347476">
      <w:pPr>
        <w:rPr>
          <w:rFonts w:cs="Arial"/>
          <w:szCs w:val="22"/>
          <w:lang w:eastAsia="zh-CN"/>
        </w:rPr>
      </w:pPr>
    </w:p>
    <w:p w14:paraId="7A996B6A" w14:textId="67814C0A" w:rsidR="00347476" w:rsidRPr="00545EC0" w:rsidRDefault="00347476" w:rsidP="00347476">
      <w:pPr>
        <w:pStyle w:val="Napis"/>
      </w:pPr>
      <w:bookmarkStart w:id="336" w:name="_Ref84322155"/>
      <w:bookmarkStart w:id="337" w:name="_Ref84261061"/>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43</w:t>
        </w:r>
      </w:fldSimple>
      <w:bookmarkEnd w:id="336"/>
      <w:r w:rsidRPr="00545EC0">
        <w:t>: Koraki priprave ocene verjetnosti doseganja okoljskih ciljev za VTPV</w:t>
      </w:r>
      <w:bookmarkEnd w:id="3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21"/>
        <w:gridCol w:w="1959"/>
        <w:gridCol w:w="5521"/>
      </w:tblGrid>
      <w:tr w:rsidR="00347476" w:rsidRPr="00545EC0" w14:paraId="7BE18F68" w14:textId="77777777" w:rsidTr="00347476">
        <w:trPr>
          <w:trHeight w:val="35"/>
        </w:trPr>
        <w:tc>
          <w:tcPr>
            <w:tcW w:w="891" w:type="pct"/>
            <w:shd w:val="clear" w:color="auto" w:fill="F2F2F2" w:themeFill="background1" w:themeFillShade="F2"/>
            <w:tcMar>
              <w:top w:w="15" w:type="dxa"/>
              <w:left w:w="15" w:type="dxa"/>
              <w:bottom w:w="0" w:type="dxa"/>
              <w:right w:w="15" w:type="dxa"/>
            </w:tcMar>
            <w:vAlign w:val="center"/>
          </w:tcPr>
          <w:p w14:paraId="6ABAB079" w14:textId="77777777" w:rsidR="00347476" w:rsidRPr="00545EC0" w:rsidRDefault="00347476" w:rsidP="00347476">
            <w:pPr>
              <w:spacing w:before="60" w:after="60" w:line="276" w:lineRule="auto"/>
              <w:jc w:val="left"/>
              <w:rPr>
                <w:rFonts w:cs="Tahoma"/>
                <w:b/>
                <w:sz w:val="18"/>
                <w:szCs w:val="18"/>
              </w:rPr>
            </w:pPr>
            <w:r w:rsidRPr="00545EC0">
              <w:rPr>
                <w:rFonts w:cs="Tahoma"/>
                <w:b/>
                <w:sz w:val="18"/>
                <w:szCs w:val="18"/>
              </w:rPr>
              <w:t>Vsebina</w:t>
            </w:r>
          </w:p>
        </w:tc>
        <w:tc>
          <w:tcPr>
            <w:tcW w:w="1076" w:type="pct"/>
            <w:shd w:val="clear" w:color="auto" w:fill="F2F2F2" w:themeFill="background1" w:themeFillShade="F2"/>
            <w:tcMar>
              <w:top w:w="15" w:type="dxa"/>
              <w:left w:w="15" w:type="dxa"/>
              <w:bottom w:w="0" w:type="dxa"/>
              <w:right w:w="15" w:type="dxa"/>
            </w:tcMar>
            <w:vAlign w:val="center"/>
          </w:tcPr>
          <w:p w14:paraId="1711129D" w14:textId="77777777" w:rsidR="00347476" w:rsidRPr="00545EC0" w:rsidRDefault="00347476" w:rsidP="00347476">
            <w:pPr>
              <w:spacing w:before="60" w:after="60" w:line="276" w:lineRule="auto"/>
              <w:jc w:val="center"/>
              <w:rPr>
                <w:rFonts w:cs="Tahoma"/>
                <w:b/>
                <w:sz w:val="18"/>
                <w:szCs w:val="18"/>
              </w:rPr>
            </w:pPr>
            <w:r w:rsidRPr="00545EC0">
              <w:rPr>
                <w:rFonts w:cs="Tahoma"/>
                <w:b/>
                <w:sz w:val="18"/>
                <w:szCs w:val="18"/>
              </w:rPr>
              <w:t>Zap. Št.  Koraka</w:t>
            </w:r>
          </w:p>
        </w:tc>
        <w:tc>
          <w:tcPr>
            <w:tcW w:w="3033" w:type="pct"/>
            <w:shd w:val="clear" w:color="auto" w:fill="F2F2F2" w:themeFill="background1" w:themeFillShade="F2"/>
            <w:tcMar>
              <w:top w:w="15" w:type="dxa"/>
              <w:left w:w="15" w:type="dxa"/>
              <w:bottom w:w="0" w:type="dxa"/>
              <w:right w:w="15" w:type="dxa"/>
            </w:tcMar>
            <w:vAlign w:val="center"/>
          </w:tcPr>
          <w:p w14:paraId="0503BFCB" w14:textId="77777777" w:rsidR="00347476" w:rsidRPr="00545EC0" w:rsidRDefault="00347476" w:rsidP="00347476">
            <w:pPr>
              <w:spacing w:before="60" w:after="60" w:line="276" w:lineRule="auto"/>
              <w:rPr>
                <w:rFonts w:cs="Tahoma"/>
                <w:b/>
                <w:sz w:val="18"/>
                <w:szCs w:val="18"/>
              </w:rPr>
            </w:pPr>
            <w:r w:rsidRPr="00545EC0">
              <w:rPr>
                <w:rFonts w:cs="Tahoma"/>
                <w:b/>
                <w:sz w:val="18"/>
                <w:szCs w:val="18"/>
              </w:rPr>
              <w:t>Opis koraka</w:t>
            </w:r>
          </w:p>
        </w:tc>
      </w:tr>
      <w:tr w:rsidR="00347476" w:rsidRPr="00545EC0" w14:paraId="49089F2D" w14:textId="77777777" w:rsidTr="00347476">
        <w:trPr>
          <w:trHeight w:val="35"/>
        </w:trPr>
        <w:tc>
          <w:tcPr>
            <w:tcW w:w="891" w:type="pct"/>
            <w:shd w:val="clear" w:color="auto" w:fill="auto"/>
            <w:tcMar>
              <w:top w:w="15" w:type="dxa"/>
              <w:left w:w="15" w:type="dxa"/>
              <w:bottom w:w="0" w:type="dxa"/>
              <w:right w:w="15" w:type="dxa"/>
            </w:tcMar>
            <w:vAlign w:val="center"/>
          </w:tcPr>
          <w:p w14:paraId="17477F9F" w14:textId="77777777" w:rsidR="00347476" w:rsidRPr="00545EC0" w:rsidRDefault="00347476" w:rsidP="00347476">
            <w:pPr>
              <w:spacing w:before="60" w:after="60" w:line="276" w:lineRule="auto"/>
              <w:jc w:val="left"/>
              <w:rPr>
                <w:rFonts w:cs="Tahoma"/>
                <w:sz w:val="18"/>
                <w:szCs w:val="18"/>
              </w:rPr>
            </w:pPr>
            <w:r w:rsidRPr="00545EC0">
              <w:rPr>
                <w:rFonts w:cs="Tahoma"/>
                <w:sz w:val="18"/>
                <w:szCs w:val="18"/>
              </w:rPr>
              <w:t>Opis značilnosti</w:t>
            </w:r>
          </w:p>
        </w:tc>
        <w:tc>
          <w:tcPr>
            <w:tcW w:w="1076" w:type="pct"/>
            <w:shd w:val="clear" w:color="auto" w:fill="auto"/>
            <w:tcMar>
              <w:top w:w="15" w:type="dxa"/>
              <w:left w:w="15" w:type="dxa"/>
              <w:bottom w:w="0" w:type="dxa"/>
              <w:right w:w="15" w:type="dxa"/>
            </w:tcMar>
            <w:vAlign w:val="center"/>
          </w:tcPr>
          <w:p w14:paraId="2CF7AD63" w14:textId="77777777" w:rsidR="00347476" w:rsidRPr="00545EC0" w:rsidRDefault="00347476" w:rsidP="00347476">
            <w:pPr>
              <w:spacing w:before="60" w:after="60" w:line="276" w:lineRule="auto"/>
              <w:jc w:val="center"/>
              <w:rPr>
                <w:rFonts w:cs="Tahoma"/>
                <w:sz w:val="18"/>
                <w:szCs w:val="18"/>
              </w:rPr>
            </w:pPr>
          </w:p>
        </w:tc>
        <w:tc>
          <w:tcPr>
            <w:tcW w:w="3033" w:type="pct"/>
            <w:shd w:val="clear" w:color="auto" w:fill="auto"/>
            <w:tcMar>
              <w:top w:w="15" w:type="dxa"/>
              <w:left w:w="15" w:type="dxa"/>
              <w:bottom w:w="0" w:type="dxa"/>
              <w:right w:w="15" w:type="dxa"/>
            </w:tcMar>
            <w:vAlign w:val="center"/>
          </w:tcPr>
          <w:p w14:paraId="34C37267" w14:textId="77777777" w:rsidR="00347476" w:rsidRPr="00545EC0" w:rsidRDefault="00347476" w:rsidP="00347476">
            <w:pPr>
              <w:spacing w:line="276" w:lineRule="auto"/>
              <w:rPr>
                <w:rFonts w:cs="Tahoma"/>
                <w:sz w:val="18"/>
                <w:szCs w:val="18"/>
              </w:rPr>
            </w:pPr>
            <w:r w:rsidRPr="00545EC0">
              <w:rPr>
                <w:rFonts w:cs="Tahoma"/>
                <w:sz w:val="18"/>
                <w:szCs w:val="18"/>
              </w:rPr>
              <w:t>Opis vodnega telesa (tipologija, referenčne razmere…)</w:t>
            </w:r>
          </w:p>
        </w:tc>
      </w:tr>
      <w:tr w:rsidR="00347476" w:rsidRPr="00545EC0" w14:paraId="096F9E90" w14:textId="77777777" w:rsidTr="00347476">
        <w:trPr>
          <w:trHeight w:val="35"/>
        </w:trPr>
        <w:tc>
          <w:tcPr>
            <w:tcW w:w="891" w:type="pct"/>
            <w:vMerge w:val="restart"/>
            <w:shd w:val="clear" w:color="auto" w:fill="auto"/>
            <w:tcMar>
              <w:top w:w="15" w:type="dxa"/>
              <w:left w:w="15" w:type="dxa"/>
              <w:bottom w:w="0" w:type="dxa"/>
              <w:right w:w="15" w:type="dxa"/>
            </w:tcMar>
            <w:vAlign w:val="center"/>
            <w:hideMark/>
          </w:tcPr>
          <w:p w14:paraId="6ACF5F4E" w14:textId="77777777" w:rsidR="00347476" w:rsidRPr="00545EC0" w:rsidRDefault="00347476" w:rsidP="00347476">
            <w:pPr>
              <w:spacing w:before="60" w:after="60" w:line="276" w:lineRule="auto"/>
              <w:jc w:val="left"/>
              <w:rPr>
                <w:rFonts w:cs="Tahoma"/>
                <w:sz w:val="18"/>
                <w:szCs w:val="18"/>
              </w:rPr>
            </w:pPr>
            <w:r w:rsidRPr="00545EC0">
              <w:rPr>
                <w:rFonts w:cs="Tahoma"/>
                <w:sz w:val="18"/>
                <w:szCs w:val="18"/>
              </w:rPr>
              <w:t>Analiza trenutnega stanja </w:t>
            </w:r>
          </w:p>
        </w:tc>
        <w:tc>
          <w:tcPr>
            <w:tcW w:w="1076" w:type="pct"/>
            <w:shd w:val="clear" w:color="auto" w:fill="auto"/>
            <w:tcMar>
              <w:top w:w="15" w:type="dxa"/>
              <w:left w:w="15" w:type="dxa"/>
              <w:bottom w:w="0" w:type="dxa"/>
              <w:right w:w="15" w:type="dxa"/>
            </w:tcMar>
            <w:vAlign w:val="center"/>
            <w:hideMark/>
          </w:tcPr>
          <w:p w14:paraId="30882AFF" w14:textId="77777777" w:rsidR="00347476" w:rsidRPr="00545EC0" w:rsidRDefault="00347476" w:rsidP="00347476">
            <w:pPr>
              <w:spacing w:before="60" w:after="60" w:line="276" w:lineRule="auto"/>
              <w:jc w:val="center"/>
              <w:rPr>
                <w:rFonts w:cs="Tahoma"/>
                <w:sz w:val="18"/>
                <w:szCs w:val="18"/>
              </w:rPr>
            </w:pPr>
            <w:r w:rsidRPr="00545EC0">
              <w:rPr>
                <w:rFonts w:cs="Tahoma"/>
                <w:sz w:val="18"/>
                <w:szCs w:val="18"/>
              </w:rPr>
              <w:t>1</w:t>
            </w:r>
          </w:p>
        </w:tc>
        <w:tc>
          <w:tcPr>
            <w:tcW w:w="3033" w:type="pct"/>
            <w:shd w:val="clear" w:color="auto" w:fill="auto"/>
            <w:tcMar>
              <w:top w:w="15" w:type="dxa"/>
              <w:left w:w="15" w:type="dxa"/>
              <w:bottom w:w="0" w:type="dxa"/>
              <w:right w:w="15" w:type="dxa"/>
            </w:tcMar>
            <w:vAlign w:val="center"/>
            <w:hideMark/>
          </w:tcPr>
          <w:p w14:paraId="72E6559F" w14:textId="77777777" w:rsidR="00347476" w:rsidRPr="00545EC0" w:rsidRDefault="00347476" w:rsidP="00347476">
            <w:pPr>
              <w:spacing w:line="276" w:lineRule="auto"/>
              <w:rPr>
                <w:rFonts w:cs="Tahoma"/>
                <w:sz w:val="18"/>
                <w:szCs w:val="18"/>
              </w:rPr>
            </w:pPr>
            <w:r w:rsidRPr="00545EC0">
              <w:rPr>
                <w:rFonts w:cs="Tahoma"/>
                <w:sz w:val="18"/>
                <w:szCs w:val="18"/>
              </w:rPr>
              <w:t>Pomembne obremenitve 2021</w:t>
            </w:r>
          </w:p>
        </w:tc>
      </w:tr>
      <w:tr w:rsidR="00347476" w:rsidRPr="00545EC0" w14:paraId="4ADAE205" w14:textId="77777777" w:rsidTr="00347476">
        <w:trPr>
          <w:trHeight w:val="84"/>
        </w:trPr>
        <w:tc>
          <w:tcPr>
            <w:tcW w:w="891" w:type="pct"/>
            <w:vMerge/>
            <w:shd w:val="clear" w:color="auto" w:fill="auto"/>
            <w:vAlign w:val="center"/>
            <w:hideMark/>
          </w:tcPr>
          <w:p w14:paraId="1A22C013" w14:textId="77777777" w:rsidR="00347476" w:rsidRPr="00545EC0" w:rsidRDefault="00347476" w:rsidP="00347476">
            <w:pPr>
              <w:spacing w:before="60" w:after="60" w:line="276" w:lineRule="auto"/>
              <w:jc w:val="left"/>
              <w:rPr>
                <w:rFonts w:cs="Tahoma"/>
                <w:sz w:val="18"/>
                <w:szCs w:val="18"/>
              </w:rPr>
            </w:pPr>
          </w:p>
        </w:tc>
        <w:tc>
          <w:tcPr>
            <w:tcW w:w="1076" w:type="pct"/>
            <w:shd w:val="clear" w:color="auto" w:fill="auto"/>
            <w:tcMar>
              <w:top w:w="15" w:type="dxa"/>
              <w:left w:w="15" w:type="dxa"/>
              <w:bottom w:w="0" w:type="dxa"/>
              <w:right w:w="15" w:type="dxa"/>
            </w:tcMar>
            <w:vAlign w:val="center"/>
            <w:hideMark/>
          </w:tcPr>
          <w:p w14:paraId="422F5080" w14:textId="77777777" w:rsidR="00347476" w:rsidRPr="00545EC0" w:rsidRDefault="00347476" w:rsidP="00347476">
            <w:pPr>
              <w:spacing w:before="60" w:after="60" w:line="276" w:lineRule="auto"/>
              <w:jc w:val="center"/>
              <w:rPr>
                <w:rFonts w:cs="Tahoma"/>
                <w:sz w:val="18"/>
                <w:szCs w:val="18"/>
              </w:rPr>
            </w:pPr>
            <w:r w:rsidRPr="00545EC0">
              <w:rPr>
                <w:rFonts w:cs="Tahoma"/>
                <w:sz w:val="18"/>
                <w:szCs w:val="18"/>
              </w:rPr>
              <w:t>2</w:t>
            </w:r>
          </w:p>
        </w:tc>
        <w:tc>
          <w:tcPr>
            <w:tcW w:w="3033" w:type="pct"/>
            <w:shd w:val="clear" w:color="auto" w:fill="auto"/>
            <w:tcMar>
              <w:top w:w="15" w:type="dxa"/>
              <w:left w:w="15" w:type="dxa"/>
              <w:bottom w:w="0" w:type="dxa"/>
              <w:right w:w="15" w:type="dxa"/>
            </w:tcMar>
            <w:vAlign w:val="center"/>
            <w:hideMark/>
          </w:tcPr>
          <w:p w14:paraId="2C300FCC" w14:textId="28F93925" w:rsidR="00347476" w:rsidRPr="00545EC0" w:rsidRDefault="00347476" w:rsidP="00675B63">
            <w:pPr>
              <w:spacing w:line="276" w:lineRule="auto"/>
              <w:rPr>
                <w:rFonts w:cs="Tahoma"/>
                <w:sz w:val="18"/>
                <w:szCs w:val="18"/>
              </w:rPr>
            </w:pPr>
            <w:r w:rsidRPr="00545EC0">
              <w:rPr>
                <w:rFonts w:cs="Tahoma"/>
                <w:sz w:val="18"/>
                <w:szCs w:val="18"/>
              </w:rPr>
              <w:t>Stanje/potencial vodnih teles</w:t>
            </w:r>
          </w:p>
        </w:tc>
      </w:tr>
      <w:tr w:rsidR="00347476" w:rsidRPr="00545EC0" w14:paraId="7C5A9649" w14:textId="77777777" w:rsidTr="00347476">
        <w:trPr>
          <w:trHeight w:val="35"/>
        </w:trPr>
        <w:tc>
          <w:tcPr>
            <w:tcW w:w="891" w:type="pct"/>
            <w:vMerge/>
            <w:shd w:val="clear" w:color="auto" w:fill="auto"/>
            <w:vAlign w:val="center"/>
            <w:hideMark/>
          </w:tcPr>
          <w:p w14:paraId="4A1DBCA6" w14:textId="77777777" w:rsidR="00347476" w:rsidRPr="00545EC0" w:rsidRDefault="00347476" w:rsidP="00347476">
            <w:pPr>
              <w:spacing w:before="60" w:after="60" w:line="276" w:lineRule="auto"/>
              <w:jc w:val="left"/>
              <w:rPr>
                <w:rFonts w:cs="Tahoma"/>
                <w:sz w:val="18"/>
                <w:szCs w:val="18"/>
              </w:rPr>
            </w:pPr>
          </w:p>
        </w:tc>
        <w:tc>
          <w:tcPr>
            <w:tcW w:w="1076" w:type="pct"/>
            <w:shd w:val="clear" w:color="auto" w:fill="auto"/>
            <w:tcMar>
              <w:top w:w="15" w:type="dxa"/>
              <w:left w:w="15" w:type="dxa"/>
              <w:bottom w:w="0" w:type="dxa"/>
              <w:right w:w="15" w:type="dxa"/>
            </w:tcMar>
            <w:vAlign w:val="center"/>
            <w:hideMark/>
          </w:tcPr>
          <w:p w14:paraId="71DAF62E" w14:textId="77777777" w:rsidR="00347476" w:rsidRPr="00545EC0" w:rsidRDefault="00347476" w:rsidP="00347476">
            <w:pPr>
              <w:spacing w:before="60" w:after="60" w:line="276" w:lineRule="auto"/>
              <w:jc w:val="center"/>
              <w:rPr>
                <w:rFonts w:cs="Tahoma"/>
                <w:sz w:val="18"/>
                <w:szCs w:val="18"/>
              </w:rPr>
            </w:pPr>
            <w:r w:rsidRPr="00545EC0">
              <w:rPr>
                <w:rFonts w:cs="Tahoma"/>
                <w:sz w:val="18"/>
                <w:szCs w:val="18"/>
              </w:rPr>
              <w:t>3 (=1+2)</w:t>
            </w:r>
          </w:p>
        </w:tc>
        <w:tc>
          <w:tcPr>
            <w:tcW w:w="3033" w:type="pct"/>
            <w:shd w:val="clear" w:color="auto" w:fill="auto"/>
            <w:tcMar>
              <w:top w:w="15" w:type="dxa"/>
              <w:left w:w="15" w:type="dxa"/>
              <w:bottom w:w="0" w:type="dxa"/>
              <w:right w:w="15" w:type="dxa"/>
            </w:tcMar>
            <w:vAlign w:val="center"/>
            <w:hideMark/>
          </w:tcPr>
          <w:p w14:paraId="782346A8" w14:textId="77777777" w:rsidR="00347476" w:rsidRPr="00545EC0" w:rsidRDefault="00347476" w:rsidP="00347476">
            <w:pPr>
              <w:spacing w:line="276" w:lineRule="auto"/>
              <w:rPr>
                <w:rFonts w:cs="Tahoma"/>
                <w:sz w:val="18"/>
                <w:szCs w:val="18"/>
              </w:rPr>
            </w:pPr>
            <w:r w:rsidRPr="00545EC0">
              <w:rPr>
                <w:rFonts w:cs="Tahoma"/>
                <w:sz w:val="18"/>
                <w:szCs w:val="18"/>
              </w:rPr>
              <w:t>Opredelitev pomembnih vplivov</w:t>
            </w:r>
          </w:p>
        </w:tc>
      </w:tr>
      <w:tr w:rsidR="00347476" w:rsidRPr="00545EC0" w14:paraId="2595A34D" w14:textId="77777777" w:rsidTr="00347476">
        <w:trPr>
          <w:trHeight w:val="192"/>
        </w:trPr>
        <w:tc>
          <w:tcPr>
            <w:tcW w:w="891" w:type="pct"/>
            <w:vMerge w:val="restart"/>
            <w:shd w:val="clear" w:color="auto" w:fill="auto"/>
            <w:tcMar>
              <w:top w:w="15" w:type="dxa"/>
              <w:left w:w="15" w:type="dxa"/>
              <w:bottom w:w="0" w:type="dxa"/>
              <w:right w:w="15" w:type="dxa"/>
            </w:tcMar>
            <w:vAlign w:val="center"/>
            <w:hideMark/>
          </w:tcPr>
          <w:p w14:paraId="3A446714" w14:textId="77777777" w:rsidR="00347476" w:rsidRPr="00545EC0" w:rsidRDefault="00347476" w:rsidP="00347476">
            <w:pPr>
              <w:spacing w:before="60" w:after="60" w:line="276" w:lineRule="auto"/>
              <w:jc w:val="left"/>
              <w:rPr>
                <w:rFonts w:cs="Tahoma"/>
                <w:sz w:val="18"/>
                <w:szCs w:val="18"/>
              </w:rPr>
            </w:pPr>
            <w:r w:rsidRPr="00545EC0">
              <w:rPr>
                <w:rFonts w:cs="Tahoma"/>
                <w:sz w:val="18"/>
                <w:szCs w:val="18"/>
              </w:rPr>
              <w:t>Napoved do leta 2021/2027</w:t>
            </w:r>
          </w:p>
          <w:p w14:paraId="6D334E25" w14:textId="77777777" w:rsidR="00347476" w:rsidRPr="00545EC0" w:rsidRDefault="00347476" w:rsidP="00347476">
            <w:pPr>
              <w:spacing w:before="60" w:after="60" w:line="276" w:lineRule="auto"/>
              <w:jc w:val="left"/>
              <w:rPr>
                <w:rFonts w:cs="Tahoma"/>
                <w:sz w:val="18"/>
                <w:szCs w:val="18"/>
              </w:rPr>
            </w:pPr>
            <w:r w:rsidRPr="00545EC0">
              <w:rPr>
                <w:rFonts w:cs="Tahoma"/>
                <w:sz w:val="18"/>
                <w:szCs w:val="18"/>
              </w:rPr>
              <w:t> </w:t>
            </w:r>
          </w:p>
        </w:tc>
        <w:tc>
          <w:tcPr>
            <w:tcW w:w="1076" w:type="pct"/>
            <w:shd w:val="clear" w:color="auto" w:fill="auto"/>
            <w:tcMar>
              <w:top w:w="15" w:type="dxa"/>
              <w:left w:w="15" w:type="dxa"/>
              <w:bottom w:w="0" w:type="dxa"/>
              <w:right w:w="15" w:type="dxa"/>
            </w:tcMar>
            <w:vAlign w:val="center"/>
            <w:hideMark/>
          </w:tcPr>
          <w:p w14:paraId="6449C026" w14:textId="77777777" w:rsidR="00347476" w:rsidRPr="00545EC0" w:rsidRDefault="00347476" w:rsidP="00347476">
            <w:pPr>
              <w:spacing w:before="60" w:after="60" w:line="276" w:lineRule="auto"/>
              <w:jc w:val="center"/>
              <w:rPr>
                <w:rFonts w:cs="Tahoma"/>
                <w:sz w:val="18"/>
                <w:szCs w:val="18"/>
              </w:rPr>
            </w:pPr>
            <w:r w:rsidRPr="00545EC0">
              <w:rPr>
                <w:rFonts w:cs="Tahoma"/>
                <w:sz w:val="18"/>
                <w:szCs w:val="18"/>
              </w:rPr>
              <w:t>4</w:t>
            </w:r>
          </w:p>
        </w:tc>
        <w:tc>
          <w:tcPr>
            <w:tcW w:w="3033" w:type="pct"/>
            <w:shd w:val="clear" w:color="auto" w:fill="auto"/>
            <w:tcMar>
              <w:top w:w="15" w:type="dxa"/>
              <w:left w:w="15" w:type="dxa"/>
              <w:bottom w:w="0" w:type="dxa"/>
              <w:right w:w="15" w:type="dxa"/>
            </w:tcMar>
            <w:vAlign w:val="center"/>
            <w:hideMark/>
          </w:tcPr>
          <w:p w14:paraId="7C5D626B" w14:textId="77777777" w:rsidR="00347476" w:rsidRPr="00545EC0" w:rsidRDefault="00347476" w:rsidP="00347476">
            <w:pPr>
              <w:spacing w:line="276" w:lineRule="auto"/>
              <w:rPr>
                <w:rFonts w:cs="Tahoma"/>
                <w:sz w:val="18"/>
                <w:szCs w:val="18"/>
              </w:rPr>
            </w:pPr>
            <w:r w:rsidRPr="00545EC0">
              <w:rPr>
                <w:rFonts w:cs="Tahoma"/>
                <w:sz w:val="18"/>
                <w:szCs w:val="18"/>
              </w:rPr>
              <w:t xml:space="preserve">Ukrepi </w:t>
            </w:r>
          </w:p>
        </w:tc>
      </w:tr>
      <w:tr w:rsidR="00347476" w:rsidRPr="00545EC0" w14:paraId="4BDD9C51" w14:textId="77777777" w:rsidTr="00347476">
        <w:trPr>
          <w:trHeight w:val="39"/>
        </w:trPr>
        <w:tc>
          <w:tcPr>
            <w:tcW w:w="891" w:type="pct"/>
            <w:vMerge/>
            <w:shd w:val="clear" w:color="auto" w:fill="auto"/>
            <w:vAlign w:val="center"/>
            <w:hideMark/>
          </w:tcPr>
          <w:p w14:paraId="78A6812F" w14:textId="77777777" w:rsidR="00347476" w:rsidRPr="00545EC0" w:rsidRDefault="00347476" w:rsidP="00347476">
            <w:pPr>
              <w:spacing w:before="60" w:after="60" w:line="276" w:lineRule="auto"/>
              <w:jc w:val="left"/>
              <w:rPr>
                <w:rFonts w:cs="Tahoma"/>
                <w:sz w:val="18"/>
                <w:szCs w:val="18"/>
              </w:rPr>
            </w:pPr>
          </w:p>
        </w:tc>
        <w:tc>
          <w:tcPr>
            <w:tcW w:w="1076" w:type="pct"/>
            <w:shd w:val="clear" w:color="auto" w:fill="auto"/>
            <w:tcMar>
              <w:top w:w="15" w:type="dxa"/>
              <w:left w:w="15" w:type="dxa"/>
              <w:bottom w:w="0" w:type="dxa"/>
              <w:right w:w="15" w:type="dxa"/>
            </w:tcMar>
            <w:vAlign w:val="center"/>
            <w:hideMark/>
          </w:tcPr>
          <w:p w14:paraId="26B6DB77" w14:textId="77777777" w:rsidR="00347476" w:rsidRPr="00545EC0" w:rsidRDefault="00347476" w:rsidP="00347476">
            <w:pPr>
              <w:spacing w:before="60" w:after="60" w:line="276" w:lineRule="auto"/>
              <w:jc w:val="center"/>
              <w:rPr>
                <w:rFonts w:cs="Tahoma"/>
                <w:sz w:val="18"/>
                <w:szCs w:val="18"/>
              </w:rPr>
            </w:pPr>
            <w:r w:rsidRPr="00545EC0">
              <w:rPr>
                <w:rFonts w:cs="Tahoma"/>
                <w:sz w:val="18"/>
                <w:szCs w:val="18"/>
              </w:rPr>
              <w:t>5</w:t>
            </w:r>
          </w:p>
        </w:tc>
        <w:tc>
          <w:tcPr>
            <w:tcW w:w="3033" w:type="pct"/>
            <w:shd w:val="clear" w:color="auto" w:fill="auto"/>
            <w:tcMar>
              <w:top w:w="15" w:type="dxa"/>
              <w:left w:w="15" w:type="dxa"/>
              <w:bottom w:w="0" w:type="dxa"/>
              <w:right w:w="15" w:type="dxa"/>
            </w:tcMar>
            <w:vAlign w:val="center"/>
            <w:hideMark/>
          </w:tcPr>
          <w:p w14:paraId="500E3394" w14:textId="77777777" w:rsidR="00347476" w:rsidRPr="00545EC0" w:rsidRDefault="00347476" w:rsidP="00347476">
            <w:pPr>
              <w:spacing w:line="276" w:lineRule="auto"/>
              <w:rPr>
                <w:rFonts w:cs="Tahoma"/>
                <w:sz w:val="18"/>
                <w:szCs w:val="18"/>
              </w:rPr>
            </w:pPr>
            <w:r w:rsidRPr="00545EC0">
              <w:rPr>
                <w:rFonts w:cs="Tahoma"/>
                <w:sz w:val="18"/>
                <w:szCs w:val="18"/>
              </w:rPr>
              <w:t>Učinki izvedenih ukrepov</w:t>
            </w:r>
          </w:p>
        </w:tc>
      </w:tr>
      <w:tr w:rsidR="00347476" w:rsidRPr="00545EC0" w14:paraId="1A700CC5" w14:textId="77777777" w:rsidTr="00347476">
        <w:trPr>
          <w:trHeight w:val="35"/>
        </w:trPr>
        <w:tc>
          <w:tcPr>
            <w:tcW w:w="891" w:type="pct"/>
            <w:vMerge/>
            <w:shd w:val="clear" w:color="auto" w:fill="auto"/>
            <w:vAlign w:val="center"/>
            <w:hideMark/>
          </w:tcPr>
          <w:p w14:paraId="0FC2AA51" w14:textId="77777777" w:rsidR="00347476" w:rsidRPr="00545EC0" w:rsidRDefault="00347476" w:rsidP="00347476">
            <w:pPr>
              <w:spacing w:before="60" w:after="60" w:line="276" w:lineRule="auto"/>
              <w:jc w:val="left"/>
              <w:rPr>
                <w:rFonts w:cs="Tahoma"/>
                <w:sz w:val="18"/>
                <w:szCs w:val="18"/>
              </w:rPr>
            </w:pPr>
          </w:p>
        </w:tc>
        <w:tc>
          <w:tcPr>
            <w:tcW w:w="1076" w:type="pct"/>
            <w:shd w:val="clear" w:color="auto" w:fill="auto"/>
            <w:tcMar>
              <w:top w:w="15" w:type="dxa"/>
              <w:left w:w="15" w:type="dxa"/>
              <w:bottom w:w="0" w:type="dxa"/>
              <w:right w:w="15" w:type="dxa"/>
            </w:tcMar>
            <w:vAlign w:val="center"/>
            <w:hideMark/>
          </w:tcPr>
          <w:p w14:paraId="3A0CA591" w14:textId="77777777" w:rsidR="00347476" w:rsidRPr="00545EC0" w:rsidRDefault="00347476" w:rsidP="00347476">
            <w:pPr>
              <w:spacing w:before="60" w:after="60" w:line="276" w:lineRule="auto"/>
              <w:jc w:val="center"/>
              <w:rPr>
                <w:rFonts w:cs="Tahoma"/>
                <w:sz w:val="18"/>
                <w:szCs w:val="18"/>
              </w:rPr>
            </w:pPr>
            <w:r w:rsidRPr="00545EC0">
              <w:rPr>
                <w:rFonts w:cs="Tahoma"/>
                <w:sz w:val="18"/>
                <w:szCs w:val="18"/>
              </w:rPr>
              <w:t>6</w:t>
            </w:r>
          </w:p>
        </w:tc>
        <w:tc>
          <w:tcPr>
            <w:tcW w:w="3033" w:type="pct"/>
            <w:shd w:val="clear" w:color="auto" w:fill="auto"/>
            <w:tcMar>
              <w:top w:w="15" w:type="dxa"/>
              <w:left w:w="15" w:type="dxa"/>
              <w:bottom w:w="0" w:type="dxa"/>
              <w:right w:w="15" w:type="dxa"/>
            </w:tcMar>
            <w:vAlign w:val="center"/>
            <w:hideMark/>
          </w:tcPr>
          <w:p w14:paraId="123871BD" w14:textId="77777777" w:rsidR="00347476" w:rsidRPr="00545EC0" w:rsidRDefault="00347476" w:rsidP="00347476">
            <w:pPr>
              <w:spacing w:line="276" w:lineRule="auto"/>
              <w:rPr>
                <w:rFonts w:cs="Tahoma"/>
                <w:sz w:val="18"/>
                <w:szCs w:val="18"/>
              </w:rPr>
            </w:pPr>
            <w:r w:rsidRPr="00545EC0">
              <w:rPr>
                <w:rFonts w:cs="Tahoma"/>
                <w:sz w:val="18"/>
                <w:szCs w:val="18"/>
              </w:rPr>
              <w:t>Tveganje zaradi prihodnjega razvoja</w:t>
            </w:r>
          </w:p>
        </w:tc>
      </w:tr>
      <w:tr w:rsidR="00347476" w:rsidRPr="00545EC0" w14:paraId="57FF80E8" w14:textId="77777777" w:rsidTr="00347476">
        <w:trPr>
          <w:trHeight w:val="45"/>
        </w:trPr>
        <w:tc>
          <w:tcPr>
            <w:tcW w:w="891" w:type="pct"/>
            <w:vMerge/>
            <w:shd w:val="clear" w:color="auto" w:fill="auto"/>
            <w:vAlign w:val="center"/>
            <w:hideMark/>
          </w:tcPr>
          <w:p w14:paraId="57A6A261" w14:textId="77777777" w:rsidR="00347476" w:rsidRPr="00545EC0" w:rsidRDefault="00347476" w:rsidP="00347476">
            <w:pPr>
              <w:spacing w:before="60" w:after="60" w:line="276" w:lineRule="auto"/>
              <w:jc w:val="left"/>
              <w:rPr>
                <w:rFonts w:cs="Tahoma"/>
                <w:sz w:val="18"/>
                <w:szCs w:val="18"/>
              </w:rPr>
            </w:pPr>
          </w:p>
        </w:tc>
        <w:tc>
          <w:tcPr>
            <w:tcW w:w="1076" w:type="pct"/>
            <w:shd w:val="clear" w:color="auto" w:fill="auto"/>
            <w:tcMar>
              <w:top w:w="15" w:type="dxa"/>
              <w:left w:w="15" w:type="dxa"/>
              <w:bottom w:w="0" w:type="dxa"/>
              <w:right w:w="15" w:type="dxa"/>
            </w:tcMar>
            <w:vAlign w:val="center"/>
            <w:hideMark/>
          </w:tcPr>
          <w:p w14:paraId="2EB041A6" w14:textId="77777777" w:rsidR="00347476" w:rsidRPr="00545EC0" w:rsidRDefault="00347476" w:rsidP="00347476">
            <w:pPr>
              <w:spacing w:before="60" w:after="60" w:line="276" w:lineRule="auto"/>
              <w:jc w:val="center"/>
              <w:rPr>
                <w:rFonts w:cs="Tahoma"/>
                <w:sz w:val="18"/>
                <w:szCs w:val="18"/>
              </w:rPr>
            </w:pPr>
            <w:r w:rsidRPr="00545EC0">
              <w:rPr>
                <w:rFonts w:cs="Tahoma"/>
                <w:sz w:val="18"/>
                <w:szCs w:val="18"/>
              </w:rPr>
              <w:t>7 (=4+5+6)</w:t>
            </w:r>
          </w:p>
        </w:tc>
        <w:tc>
          <w:tcPr>
            <w:tcW w:w="3033" w:type="pct"/>
            <w:shd w:val="clear" w:color="auto" w:fill="auto"/>
            <w:tcMar>
              <w:top w:w="15" w:type="dxa"/>
              <w:left w:w="15" w:type="dxa"/>
              <w:bottom w:w="0" w:type="dxa"/>
              <w:right w:w="15" w:type="dxa"/>
            </w:tcMar>
            <w:vAlign w:val="center"/>
            <w:hideMark/>
          </w:tcPr>
          <w:p w14:paraId="3AD3520D" w14:textId="77777777" w:rsidR="00347476" w:rsidRPr="00545EC0" w:rsidRDefault="00347476" w:rsidP="00347476">
            <w:pPr>
              <w:spacing w:line="276" w:lineRule="auto"/>
              <w:rPr>
                <w:rFonts w:cs="Tahoma"/>
                <w:sz w:val="18"/>
                <w:szCs w:val="18"/>
              </w:rPr>
            </w:pPr>
            <w:r w:rsidRPr="00545EC0">
              <w:rPr>
                <w:rFonts w:cs="Tahoma"/>
                <w:sz w:val="18"/>
                <w:szCs w:val="18"/>
              </w:rPr>
              <w:t>Pričakovani razvoj do leta 2027</w:t>
            </w:r>
          </w:p>
        </w:tc>
      </w:tr>
      <w:tr w:rsidR="00347476" w:rsidRPr="00545EC0" w14:paraId="6BFF167B" w14:textId="77777777" w:rsidTr="00347476">
        <w:trPr>
          <w:trHeight w:val="35"/>
        </w:trPr>
        <w:tc>
          <w:tcPr>
            <w:tcW w:w="891" w:type="pct"/>
            <w:shd w:val="clear" w:color="auto" w:fill="auto"/>
            <w:vAlign w:val="center"/>
            <w:hideMark/>
          </w:tcPr>
          <w:p w14:paraId="0001295D" w14:textId="77777777" w:rsidR="00347476" w:rsidRPr="00545EC0" w:rsidRDefault="00347476" w:rsidP="00347476">
            <w:pPr>
              <w:spacing w:before="60" w:after="60" w:line="276" w:lineRule="auto"/>
              <w:jc w:val="left"/>
              <w:rPr>
                <w:rFonts w:cs="Tahoma"/>
                <w:sz w:val="18"/>
                <w:szCs w:val="18"/>
              </w:rPr>
            </w:pPr>
            <w:r w:rsidRPr="00545EC0">
              <w:rPr>
                <w:rFonts w:cs="Tahoma"/>
                <w:sz w:val="18"/>
                <w:szCs w:val="18"/>
              </w:rPr>
              <w:t>Okoljski cilj</w:t>
            </w:r>
          </w:p>
        </w:tc>
        <w:tc>
          <w:tcPr>
            <w:tcW w:w="1076" w:type="pct"/>
            <w:shd w:val="clear" w:color="auto" w:fill="auto"/>
            <w:tcMar>
              <w:top w:w="15" w:type="dxa"/>
              <w:left w:w="15" w:type="dxa"/>
              <w:bottom w:w="0" w:type="dxa"/>
              <w:right w:w="15" w:type="dxa"/>
            </w:tcMar>
            <w:vAlign w:val="center"/>
            <w:hideMark/>
          </w:tcPr>
          <w:p w14:paraId="479C8989" w14:textId="77777777" w:rsidR="00347476" w:rsidRPr="00545EC0" w:rsidRDefault="00347476" w:rsidP="00347476">
            <w:pPr>
              <w:spacing w:before="60" w:after="60" w:line="276" w:lineRule="auto"/>
              <w:jc w:val="center"/>
              <w:rPr>
                <w:rFonts w:cs="Tahoma"/>
                <w:sz w:val="18"/>
                <w:szCs w:val="18"/>
              </w:rPr>
            </w:pPr>
            <w:r w:rsidRPr="00545EC0">
              <w:rPr>
                <w:rFonts w:cs="Tahoma"/>
                <w:sz w:val="18"/>
                <w:szCs w:val="18"/>
              </w:rPr>
              <w:t>8</w:t>
            </w:r>
          </w:p>
        </w:tc>
        <w:tc>
          <w:tcPr>
            <w:tcW w:w="3033" w:type="pct"/>
            <w:shd w:val="clear" w:color="auto" w:fill="auto"/>
            <w:tcMar>
              <w:top w:w="15" w:type="dxa"/>
              <w:left w:w="15" w:type="dxa"/>
              <w:bottom w:w="0" w:type="dxa"/>
              <w:right w:w="15" w:type="dxa"/>
            </w:tcMar>
            <w:vAlign w:val="center"/>
            <w:hideMark/>
          </w:tcPr>
          <w:p w14:paraId="5B5521D0" w14:textId="77777777" w:rsidR="00347476" w:rsidRPr="00545EC0" w:rsidRDefault="00347476" w:rsidP="00347476">
            <w:pPr>
              <w:spacing w:line="276" w:lineRule="auto"/>
              <w:rPr>
                <w:rFonts w:cs="Tahoma"/>
                <w:sz w:val="18"/>
                <w:szCs w:val="18"/>
              </w:rPr>
            </w:pPr>
            <w:r w:rsidRPr="00545EC0">
              <w:rPr>
                <w:rFonts w:cs="Tahoma"/>
                <w:sz w:val="18"/>
                <w:szCs w:val="18"/>
              </w:rPr>
              <w:t>Okoljski cilj</w:t>
            </w:r>
          </w:p>
        </w:tc>
      </w:tr>
      <w:tr w:rsidR="00347476" w:rsidRPr="00545EC0" w14:paraId="7E3E2CAD" w14:textId="77777777" w:rsidTr="00347476">
        <w:trPr>
          <w:trHeight w:val="35"/>
        </w:trPr>
        <w:tc>
          <w:tcPr>
            <w:tcW w:w="891" w:type="pct"/>
            <w:vMerge w:val="restart"/>
            <w:shd w:val="clear" w:color="auto" w:fill="auto"/>
            <w:vAlign w:val="center"/>
          </w:tcPr>
          <w:p w14:paraId="340E586E" w14:textId="77777777" w:rsidR="00347476" w:rsidRPr="00545EC0" w:rsidRDefault="00347476" w:rsidP="00347476">
            <w:pPr>
              <w:spacing w:before="60" w:after="60" w:line="276" w:lineRule="auto"/>
              <w:jc w:val="left"/>
              <w:rPr>
                <w:rFonts w:cs="Tahoma"/>
                <w:sz w:val="18"/>
                <w:szCs w:val="18"/>
              </w:rPr>
            </w:pPr>
            <w:r w:rsidRPr="00545EC0">
              <w:rPr>
                <w:rFonts w:cs="Tahoma"/>
                <w:sz w:val="18"/>
                <w:szCs w:val="18"/>
              </w:rPr>
              <w:t>Rezultat (OVDOC)</w:t>
            </w:r>
          </w:p>
        </w:tc>
        <w:tc>
          <w:tcPr>
            <w:tcW w:w="1076" w:type="pct"/>
            <w:vMerge w:val="restart"/>
            <w:shd w:val="clear" w:color="auto" w:fill="auto"/>
            <w:tcMar>
              <w:top w:w="15" w:type="dxa"/>
              <w:left w:w="15" w:type="dxa"/>
              <w:bottom w:w="0" w:type="dxa"/>
              <w:right w:w="15" w:type="dxa"/>
            </w:tcMar>
            <w:vAlign w:val="center"/>
          </w:tcPr>
          <w:p w14:paraId="25635572" w14:textId="77777777" w:rsidR="00347476" w:rsidRPr="00545EC0" w:rsidRDefault="00347476" w:rsidP="00347476">
            <w:pPr>
              <w:spacing w:before="60" w:after="60" w:line="276" w:lineRule="auto"/>
              <w:jc w:val="center"/>
              <w:rPr>
                <w:rFonts w:cs="Tahoma"/>
                <w:sz w:val="18"/>
                <w:szCs w:val="18"/>
              </w:rPr>
            </w:pPr>
            <w:r w:rsidRPr="00545EC0">
              <w:rPr>
                <w:rFonts w:cs="Tahoma"/>
                <w:sz w:val="18"/>
                <w:szCs w:val="18"/>
              </w:rPr>
              <w:t>9 (=3+7+8)</w:t>
            </w:r>
          </w:p>
        </w:tc>
        <w:tc>
          <w:tcPr>
            <w:tcW w:w="3033" w:type="pct"/>
            <w:shd w:val="clear" w:color="auto" w:fill="auto"/>
            <w:tcMar>
              <w:top w:w="15" w:type="dxa"/>
              <w:left w:w="15" w:type="dxa"/>
              <w:bottom w:w="0" w:type="dxa"/>
              <w:right w:w="15" w:type="dxa"/>
            </w:tcMar>
            <w:vAlign w:val="center"/>
          </w:tcPr>
          <w:p w14:paraId="6ED1B5F3" w14:textId="77777777" w:rsidR="00347476" w:rsidRPr="00545EC0" w:rsidRDefault="00347476" w:rsidP="00347476">
            <w:pPr>
              <w:spacing w:before="60" w:after="60" w:line="276" w:lineRule="auto"/>
              <w:rPr>
                <w:rFonts w:cs="Tahoma"/>
                <w:sz w:val="18"/>
                <w:szCs w:val="18"/>
              </w:rPr>
            </w:pPr>
            <w:r w:rsidRPr="00545EC0">
              <w:rPr>
                <w:rFonts w:cs="Tahoma"/>
                <w:sz w:val="18"/>
                <w:szCs w:val="18"/>
              </w:rPr>
              <w:t>Pomembne obremenitve 2027</w:t>
            </w:r>
          </w:p>
        </w:tc>
      </w:tr>
      <w:tr w:rsidR="00347476" w:rsidRPr="00545EC0" w14:paraId="45147B1D" w14:textId="77777777" w:rsidTr="00347476">
        <w:trPr>
          <w:trHeight w:val="35"/>
        </w:trPr>
        <w:tc>
          <w:tcPr>
            <w:tcW w:w="891" w:type="pct"/>
            <w:vMerge/>
            <w:shd w:val="clear" w:color="auto" w:fill="auto"/>
            <w:vAlign w:val="center"/>
            <w:hideMark/>
          </w:tcPr>
          <w:p w14:paraId="3244DD5D" w14:textId="77777777" w:rsidR="00347476" w:rsidRPr="00545EC0" w:rsidRDefault="00347476" w:rsidP="00347476">
            <w:pPr>
              <w:spacing w:before="60" w:after="60" w:line="276" w:lineRule="auto"/>
              <w:jc w:val="left"/>
              <w:rPr>
                <w:rFonts w:cs="Tahoma"/>
                <w:szCs w:val="20"/>
              </w:rPr>
            </w:pPr>
          </w:p>
        </w:tc>
        <w:tc>
          <w:tcPr>
            <w:tcW w:w="1076" w:type="pct"/>
            <w:vMerge/>
            <w:shd w:val="clear" w:color="auto" w:fill="auto"/>
            <w:tcMar>
              <w:top w:w="15" w:type="dxa"/>
              <w:left w:w="15" w:type="dxa"/>
              <w:bottom w:w="0" w:type="dxa"/>
              <w:right w:w="15" w:type="dxa"/>
            </w:tcMar>
            <w:vAlign w:val="center"/>
            <w:hideMark/>
          </w:tcPr>
          <w:p w14:paraId="16ECFDA6" w14:textId="77777777" w:rsidR="00347476" w:rsidRPr="00545EC0" w:rsidRDefault="00347476" w:rsidP="00347476">
            <w:pPr>
              <w:spacing w:before="60" w:after="60" w:line="276" w:lineRule="auto"/>
              <w:jc w:val="center"/>
              <w:rPr>
                <w:rFonts w:cs="Tahoma"/>
                <w:szCs w:val="20"/>
              </w:rPr>
            </w:pPr>
          </w:p>
        </w:tc>
        <w:tc>
          <w:tcPr>
            <w:tcW w:w="3033" w:type="pct"/>
            <w:shd w:val="clear" w:color="auto" w:fill="auto"/>
            <w:tcMar>
              <w:top w:w="15" w:type="dxa"/>
              <w:left w:w="15" w:type="dxa"/>
              <w:bottom w:w="0" w:type="dxa"/>
              <w:right w:w="15" w:type="dxa"/>
            </w:tcMar>
            <w:vAlign w:val="center"/>
            <w:hideMark/>
          </w:tcPr>
          <w:p w14:paraId="1CCB7A03" w14:textId="77777777" w:rsidR="00347476" w:rsidRPr="00545EC0" w:rsidRDefault="00347476" w:rsidP="00347476">
            <w:pPr>
              <w:spacing w:line="276" w:lineRule="auto"/>
              <w:rPr>
                <w:rFonts w:cs="Tahoma"/>
                <w:szCs w:val="20"/>
              </w:rPr>
            </w:pPr>
            <w:r w:rsidRPr="00545EC0">
              <w:rPr>
                <w:rFonts w:cs="Tahoma"/>
                <w:sz w:val="18"/>
                <w:szCs w:val="20"/>
              </w:rPr>
              <w:t>Ocena tveganja za nedoseganje okoljskih ciljev leta 2027</w:t>
            </w:r>
          </w:p>
        </w:tc>
      </w:tr>
    </w:tbl>
    <w:p w14:paraId="3DC3DFF3" w14:textId="77777777" w:rsidR="00347476" w:rsidRPr="00545EC0" w:rsidRDefault="00347476" w:rsidP="00347476">
      <w:pPr>
        <w:rPr>
          <w:rFonts w:cs="Arial"/>
          <w:szCs w:val="22"/>
        </w:rPr>
      </w:pPr>
    </w:p>
    <w:p w14:paraId="1E735402" w14:textId="77777777" w:rsidR="00347476" w:rsidRPr="00545EC0" w:rsidRDefault="00347476" w:rsidP="00347476">
      <w:pPr>
        <w:spacing w:line="276" w:lineRule="auto"/>
        <w:rPr>
          <w:rFonts w:cs="Tahoma"/>
          <w:szCs w:val="22"/>
        </w:rPr>
      </w:pPr>
      <w:bookmarkStart w:id="338" w:name="_Ref424803204"/>
      <w:r w:rsidRPr="00545EC0">
        <w:rPr>
          <w:rFonts w:cs="Tahoma"/>
          <w:szCs w:val="22"/>
        </w:rPr>
        <w:t xml:space="preserve">V skladu s predpisom, ki ureja podrobnejšo vsebino in način priprave načrta upravljanja voda, se verjetnost doseganja okoljskih ciljev za posamezna vodna telesa ali skupine vodnih teles lahko </w:t>
      </w:r>
      <w:bookmarkStart w:id="339" w:name="OLE_LINK38"/>
      <w:bookmarkStart w:id="340" w:name="OLE_LINK39"/>
      <w:r w:rsidRPr="00545EC0">
        <w:rPr>
          <w:rFonts w:cs="Tahoma"/>
          <w:szCs w:val="22"/>
        </w:rPr>
        <w:t xml:space="preserve">razvrsti v razrede večstopenjske lestvice </w:t>
      </w:r>
      <w:bookmarkStart w:id="341" w:name="OLE_LINK47"/>
      <w:bookmarkStart w:id="342" w:name="OLE_LINK48"/>
      <w:bookmarkStart w:id="343" w:name="OLE_LINK49"/>
      <w:r w:rsidRPr="00545EC0">
        <w:rPr>
          <w:rFonts w:cs="Tahoma"/>
          <w:szCs w:val="22"/>
        </w:rPr>
        <w:t>ob upoštevanju</w:t>
      </w:r>
      <w:bookmarkEnd w:id="339"/>
      <w:bookmarkEnd w:id="340"/>
      <w:r w:rsidRPr="00545EC0">
        <w:rPr>
          <w:rFonts w:cs="Tahoma"/>
          <w:szCs w:val="22"/>
        </w:rPr>
        <w:t xml:space="preserve"> zanesljivosti in natančnosti podatkov in informacij</w:t>
      </w:r>
      <w:bookmarkEnd w:id="341"/>
      <w:bookmarkEnd w:id="342"/>
      <w:bookmarkEnd w:id="343"/>
      <w:r w:rsidRPr="00545EC0">
        <w:rPr>
          <w:rFonts w:cs="Tahoma"/>
          <w:szCs w:val="22"/>
        </w:rPr>
        <w:t>. Za oceno verjetnosti doseganja okoljskih ciljev je uporabljena tristopenjska lestvica, in sicer</w:t>
      </w:r>
    </w:p>
    <w:p w14:paraId="496A8553" w14:textId="77777777" w:rsidR="00347476" w:rsidRPr="00545EC0" w:rsidRDefault="00347476"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okoljski cilji bodo doseženi (ang. not at risk), če tveganje, da VT  ne bi doseglo okoljskih ciljev, ni zaznano,</w:t>
      </w:r>
    </w:p>
    <w:p w14:paraId="1689AEA0" w14:textId="77777777" w:rsidR="00347476" w:rsidRPr="00545EC0" w:rsidRDefault="00347476"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 xml:space="preserve">okoljski cilji morda bodo ali morda ne bodo doseženi (ang. possibly at risk), če je potrebna  dodatna preveritev za nadaljnjo opredelitev tveganja, in   </w:t>
      </w:r>
    </w:p>
    <w:p w14:paraId="3AFCF210" w14:textId="77777777" w:rsidR="00347476" w:rsidRPr="00545EC0" w:rsidRDefault="00347476"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okoljski cilji ne bodo doseženi (ang. at risk), če obstaja tveganje, da VT  ne bo doseglo okoljskih ciljev</w:t>
      </w:r>
      <w:bookmarkEnd w:id="338"/>
      <w:r w:rsidRPr="00545EC0">
        <w:rPr>
          <w:rFonts w:cs="Arial"/>
          <w:lang w:val="sl-SI"/>
        </w:rPr>
        <w:t>.</w:t>
      </w:r>
    </w:p>
    <w:p w14:paraId="184FC856" w14:textId="77777777" w:rsidR="00347476" w:rsidRPr="00545EC0" w:rsidRDefault="00347476" w:rsidP="00347476">
      <w:pPr>
        <w:rPr>
          <w:lang w:eastAsia="x-none"/>
        </w:rPr>
      </w:pPr>
    </w:p>
    <w:p w14:paraId="08DC7A27" w14:textId="77777777" w:rsidR="00347476" w:rsidRPr="00545EC0" w:rsidRDefault="00347476" w:rsidP="00347476">
      <w:pPr>
        <w:pStyle w:val="Naslov4"/>
        <w:tabs>
          <w:tab w:val="center" w:pos="426"/>
        </w:tabs>
        <w:contextualSpacing/>
        <w:rPr>
          <w:rFonts w:cs="Arial"/>
          <w:color w:val="auto"/>
        </w:rPr>
      </w:pPr>
      <w:bookmarkStart w:id="344" w:name="_Toc366228501"/>
      <w:bookmarkStart w:id="345" w:name="_Toc419099255"/>
      <w:bookmarkStart w:id="346" w:name="OLE_LINK23"/>
      <w:bookmarkStart w:id="347" w:name="OLE_LINK34"/>
      <w:bookmarkEnd w:id="334"/>
      <w:bookmarkEnd w:id="335"/>
      <w:r w:rsidRPr="00545EC0">
        <w:rPr>
          <w:color w:val="auto"/>
          <w:lang w:val="sl-SI"/>
        </w:rPr>
        <w:t xml:space="preserve">Ocena vpliva ukrepov in prihodnjega razvoja na stanje vode v obdobju 2022–2027 </w:t>
      </w:r>
    </w:p>
    <w:p w14:paraId="0D46ED3B" w14:textId="0F79076C" w:rsidR="00347476" w:rsidRPr="00545EC0" w:rsidRDefault="00347476" w:rsidP="00347476">
      <w:pPr>
        <w:tabs>
          <w:tab w:val="center" w:pos="426"/>
        </w:tabs>
        <w:overflowPunct/>
        <w:autoSpaceDE/>
        <w:autoSpaceDN/>
        <w:adjustRightInd/>
        <w:contextualSpacing/>
        <w:textAlignment w:val="auto"/>
      </w:pPr>
      <w:r w:rsidRPr="00545EC0">
        <w:t xml:space="preserve">Ocena </w:t>
      </w:r>
      <w:r w:rsidRPr="00545EC0">
        <w:rPr>
          <w:rFonts w:cs="Arial"/>
        </w:rPr>
        <w:t>vpliva ukrepov in prihodnjega razvoja</w:t>
      </w:r>
      <w:r w:rsidRPr="00545EC0">
        <w:t xml:space="preserve"> je del ocene verjetnosti doseganja okoljskih ciljev do leta 2027. Ocena je pripravljena zaradi razvščanja vodnih teles površinskih in podzemnih voda v enega od razredov verjetnosti doseganja okoljskih ciljev. </w:t>
      </w:r>
    </w:p>
    <w:p w14:paraId="7507B9B6" w14:textId="77777777" w:rsidR="00347476" w:rsidRPr="00545EC0" w:rsidRDefault="00347476" w:rsidP="00347476">
      <w:pPr>
        <w:tabs>
          <w:tab w:val="center" w:pos="426"/>
        </w:tabs>
        <w:overflowPunct/>
        <w:autoSpaceDE/>
        <w:autoSpaceDN/>
        <w:adjustRightInd/>
        <w:contextualSpacing/>
        <w:textAlignment w:val="auto"/>
      </w:pPr>
    </w:p>
    <w:p w14:paraId="478636BF" w14:textId="7AD87281" w:rsidR="00675B63" w:rsidRPr="00545EC0" w:rsidRDefault="00675B63" w:rsidP="00675B63">
      <w:pPr>
        <w:tabs>
          <w:tab w:val="center" w:pos="426"/>
        </w:tabs>
        <w:overflowPunct/>
        <w:autoSpaceDE/>
        <w:autoSpaceDN/>
        <w:adjustRightInd/>
        <w:contextualSpacing/>
        <w:textAlignment w:val="auto"/>
        <w:rPr>
          <w:rFonts w:cs="Tahoma"/>
          <w:szCs w:val="22"/>
        </w:rPr>
      </w:pPr>
      <w:r w:rsidRPr="00545EC0">
        <w:rPr>
          <w:rFonts w:cs="Tahoma"/>
          <w:szCs w:val="22"/>
        </w:rPr>
        <w:t>Strokovna ocena vpliva ukrepov in</w:t>
      </w:r>
      <w:r w:rsidR="00357381" w:rsidRPr="00545EC0">
        <w:rPr>
          <w:rFonts w:cs="Tahoma"/>
          <w:szCs w:val="22"/>
        </w:rPr>
        <w:t xml:space="preserve"> prihodnjega razvoja izhajajoča</w:t>
      </w:r>
      <w:r w:rsidRPr="00545EC0">
        <w:rPr>
          <w:rFonts w:cs="Tahoma"/>
          <w:szCs w:val="22"/>
        </w:rPr>
        <w:t xml:space="preserve"> iz javno dostopnih razvojnih strategij in strateških dokumentov sektorjev zajema področja odvajanja in čiščenja komunalne odapdne vode, javne oskrbe s pitno vodo, zmanjševanja poplavne ogroženosti, kmetijstva in energetike. V strokovno oceno so vključene tudi aktivnosti, ki izhajajo iz dolgoročne podnebne strategije in iz Načrta za okrevanje in odpornost.</w:t>
      </w:r>
    </w:p>
    <w:p w14:paraId="02EF14AF" w14:textId="77777777" w:rsidR="00675B63" w:rsidRPr="00545EC0" w:rsidRDefault="00675B63" w:rsidP="00675B63">
      <w:pPr>
        <w:tabs>
          <w:tab w:val="center" w:pos="426"/>
        </w:tabs>
        <w:overflowPunct/>
        <w:autoSpaceDE/>
        <w:autoSpaceDN/>
        <w:adjustRightInd/>
        <w:contextualSpacing/>
        <w:textAlignment w:val="auto"/>
        <w:rPr>
          <w:rFonts w:cs="Tahoma"/>
          <w:szCs w:val="22"/>
        </w:rPr>
      </w:pPr>
    </w:p>
    <w:p w14:paraId="1D9A5D5B" w14:textId="77777777" w:rsidR="00675B63" w:rsidRPr="00545EC0" w:rsidRDefault="00347476" w:rsidP="00347476">
      <w:pPr>
        <w:tabs>
          <w:tab w:val="center" w:pos="426"/>
        </w:tabs>
        <w:overflowPunct/>
        <w:autoSpaceDE/>
        <w:autoSpaceDN/>
        <w:adjustRightInd/>
        <w:contextualSpacing/>
        <w:textAlignment w:val="auto"/>
        <w:rPr>
          <w:rFonts w:cs="Arial"/>
        </w:rPr>
      </w:pPr>
      <w:r w:rsidRPr="00545EC0">
        <w:t xml:space="preserve">Ocena </w:t>
      </w:r>
      <w:r w:rsidRPr="00545EC0">
        <w:rPr>
          <w:rFonts w:cs="Arial"/>
        </w:rPr>
        <w:t xml:space="preserve">vpliva ukrepov in prihodnjega razvoja na stanje voda v programskem obdobju 2022 – 2027 </w:t>
      </w:r>
      <w:r w:rsidRPr="00545EC0">
        <w:t xml:space="preserve"> je podana kot </w:t>
      </w:r>
      <w:r w:rsidRPr="00545EC0">
        <w:rPr>
          <w:rFonts w:cs="Arial"/>
        </w:rPr>
        <w:t>»izboljšanje«, »poslabšanje« ali »nespremenjeno«</w:t>
      </w:r>
      <w:r w:rsidRPr="00545EC0">
        <w:t xml:space="preserve"> in </w:t>
      </w:r>
      <w:r w:rsidRPr="00545EC0">
        <w:rPr>
          <w:rFonts w:cs="Arial"/>
        </w:rPr>
        <w:t>upošteva</w:t>
      </w:r>
      <w:r w:rsidR="00675B63" w:rsidRPr="00545EC0">
        <w:rPr>
          <w:rFonts w:cs="Arial"/>
        </w:rPr>
        <w:t>:</w:t>
      </w:r>
    </w:p>
    <w:p w14:paraId="5A8093DE" w14:textId="77777777" w:rsidR="00675B63" w:rsidRPr="00545EC0" w:rsidRDefault="00347476" w:rsidP="00DD37C5">
      <w:pPr>
        <w:pStyle w:val="Odstavekseznama"/>
        <w:numPr>
          <w:ilvl w:val="0"/>
          <w:numId w:val="32"/>
        </w:numPr>
        <w:tabs>
          <w:tab w:val="center" w:pos="426"/>
        </w:tabs>
        <w:overflowPunct/>
        <w:autoSpaceDE/>
        <w:autoSpaceDN/>
        <w:adjustRightInd/>
        <w:contextualSpacing/>
        <w:textAlignment w:val="auto"/>
        <w:rPr>
          <w:rFonts w:cs="Tahoma"/>
          <w:szCs w:val="22"/>
        </w:rPr>
      </w:pPr>
      <w:r w:rsidRPr="00545EC0">
        <w:rPr>
          <w:rFonts w:cs="Arial"/>
        </w:rPr>
        <w:t xml:space="preserve">strokovno oceno vpliva izvajanja ukrepov na podlagi razpoložljivih podatkov o izvedbi temeljnih in dopolnilnih ukrepov, upoštevajoč obdobje do 2017, </w:t>
      </w:r>
    </w:p>
    <w:p w14:paraId="007208AD" w14:textId="77777777" w:rsidR="00675B63" w:rsidRPr="00545EC0" w:rsidRDefault="00347476" w:rsidP="00DD37C5">
      <w:pPr>
        <w:pStyle w:val="Odstavekseznama"/>
        <w:numPr>
          <w:ilvl w:val="0"/>
          <w:numId w:val="32"/>
        </w:numPr>
        <w:tabs>
          <w:tab w:val="center" w:pos="426"/>
        </w:tabs>
        <w:overflowPunct/>
        <w:autoSpaceDE/>
        <w:autoSpaceDN/>
        <w:adjustRightInd/>
        <w:contextualSpacing/>
        <w:textAlignment w:val="auto"/>
        <w:rPr>
          <w:rFonts w:cs="Tahoma"/>
          <w:szCs w:val="22"/>
        </w:rPr>
      </w:pPr>
      <w:r w:rsidRPr="00545EC0">
        <w:rPr>
          <w:rFonts w:cs="Tahoma"/>
          <w:szCs w:val="22"/>
        </w:rPr>
        <w:t xml:space="preserve">strokovno oceno vpliva izvajanja ukrepov na podlagi razpoložljivih podatkov o izvajanju EU in drugih projektih, </w:t>
      </w:r>
    </w:p>
    <w:p w14:paraId="3326E2C9" w14:textId="77777777" w:rsidR="00675B63" w:rsidRPr="00545EC0" w:rsidRDefault="00347476" w:rsidP="00DD37C5">
      <w:pPr>
        <w:pStyle w:val="Odstavekseznama"/>
        <w:numPr>
          <w:ilvl w:val="0"/>
          <w:numId w:val="32"/>
        </w:numPr>
        <w:tabs>
          <w:tab w:val="center" w:pos="426"/>
        </w:tabs>
        <w:overflowPunct/>
        <w:autoSpaceDE/>
        <w:autoSpaceDN/>
        <w:adjustRightInd/>
        <w:contextualSpacing/>
        <w:textAlignment w:val="auto"/>
        <w:rPr>
          <w:rFonts w:cs="Tahoma"/>
          <w:szCs w:val="22"/>
        </w:rPr>
      </w:pPr>
      <w:r w:rsidRPr="00545EC0">
        <w:rPr>
          <w:rFonts w:cs="Tahoma"/>
          <w:szCs w:val="22"/>
        </w:rPr>
        <w:t xml:space="preserve">strokovno oceno vpliva novih posegov in </w:t>
      </w:r>
    </w:p>
    <w:p w14:paraId="446C6DAF" w14:textId="75D713A4" w:rsidR="00347476" w:rsidRPr="00545EC0" w:rsidRDefault="00347476" w:rsidP="00DD37C5">
      <w:pPr>
        <w:pStyle w:val="Odstavekseznama"/>
        <w:numPr>
          <w:ilvl w:val="0"/>
          <w:numId w:val="32"/>
        </w:numPr>
        <w:tabs>
          <w:tab w:val="center" w:pos="426"/>
        </w:tabs>
        <w:overflowPunct/>
        <w:autoSpaceDE/>
        <w:autoSpaceDN/>
        <w:adjustRightInd/>
        <w:contextualSpacing/>
        <w:textAlignment w:val="auto"/>
        <w:rPr>
          <w:rFonts w:cs="Tahoma"/>
          <w:szCs w:val="22"/>
        </w:rPr>
      </w:pPr>
      <w:r w:rsidRPr="00545EC0">
        <w:rPr>
          <w:rFonts w:cs="Tahoma"/>
          <w:szCs w:val="22"/>
        </w:rPr>
        <w:t>strokovno oceno vpliva ukrepov izhajajočih iz javno dostopnih razvojnih strategij in strateških dokumentov sektorjev.</w:t>
      </w:r>
    </w:p>
    <w:p w14:paraId="0EB8A214" w14:textId="77777777" w:rsidR="00347476" w:rsidRPr="00545EC0" w:rsidRDefault="00347476" w:rsidP="00347476">
      <w:pPr>
        <w:tabs>
          <w:tab w:val="center" w:pos="426"/>
        </w:tabs>
        <w:overflowPunct/>
        <w:autoSpaceDE/>
        <w:autoSpaceDN/>
        <w:adjustRightInd/>
        <w:contextualSpacing/>
        <w:textAlignment w:val="auto"/>
        <w:rPr>
          <w:rFonts w:cs="Tahoma"/>
          <w:szCs w:val="22"/>
        </w:rPr>
      </w:pPr>
    </w:p>
    <w:p w14:paraId="5C2E8206" w14:textId="77777777" w:rsidR="00347476" w:rsidRPr="00545EC0" w:rsidRDefault="00347476" w:rsidP="00347476">
      <w:pPr>
        <w:rPr>
          <w:rFonts w:cs="Arial"/>
          <w:szCs w:val="22"/>
        </w:rPr>
      </w:pPr>
      <w:r w:rsidRPr="00545EC0">
        <w:rPr>
          <w:rFonts w:cs="Arial"/>
          <w:szCs w:val="22"/>
        </w:rPr>
        <w:t>Skupna ocena vpliva ukrepov in prihodnjega razvoja je podana kot:</w:t>
      </w:r>
    </w:p>
    <w:p w14:paraId="7F3F192F" w14:textId="77777777" w:rsidR="00347476" w:rsidRPr="00545EC0" w:rsidRDefault="00347476"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 xml:space="preserve">»izboljšanje« v primeru, ko je ocenjen morebiten pozitiven vpliv na stanje voda, </w:t>
      </w:r>
    </w:p>
    <w:p w14:paraId="32B62DB1" w14:textId="77777777" w:rsidR="00347476" w:rsidRPr="00545EC0" w:rsidRDefault="00347476"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 xml:space="preserve">»poslabšanje« v primeru, ko je ocenjen morebiten negativen vpliv na stanje voda, in </w:t>
      </w:r>
    </w:p>
    <w:p w14:paraId="12039E52" w14:textId="77777777" w:rsidR="00347476" w:rsidRPr="00545EC0" w:rsidRDefault="00347476"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»nespremenjeno« v primeru, ko se vpliva na stanje voda ne pričakuje ali ga ni mogoče oceniti.</w:t>
      </w:r>
    </w:p>
    <w:p w14:paraId="2FDD5A0D" w14:textId="77777777" w:rsidR="00347476" w:rsidRPr="00545EC0" w:rsidRDefault="00347476" w:rsidP="00347476">
      <w:pPr>
        <w:tabs>
          <w:tab w:val="center" w:pos="426"/>
        </w:tabs>
        <w:overflowPunct/>
        <w:autoSpaceDE/>
        <w:autoSpaceDN/>
        <w:adjustRightInd/>
        <w:contextualSpacing/>
        <w:textAlignment w:val="auto"/>
      </w:pPr>
    </w:p>
    <w:p w14:paraId="44D7D0B7" w14:textId="77777777" w:rsidR="00347476" w:rsidRPr="00545EC0" w:rsidRDefault="00347476" w:rsidP="00347476">
      <w:pPr>
        <w:tabs>
          <w:tab w:val="center" w:pos="426"/>
        </w:tabs>
        <w:overflowPunct/>
        <w:autoSpaceDE/>
        <w:autoSpaceDN/>
        <w:adjustRightInd/>
        <w:contextualSpacing/>
        <w:textAlignment w:val="auto"/>
        <w:rPr>
          <w:rFonts w:cs="Tahoma"/>
          <w:szCs w:val="22"/>
        </w:rPr>
      </w:pPr>
    </w:p>
    <w:p w14:paraId="266EC2FD" w14:textId="75D9C4C7" w:rsidR="00347476" w:rsidRPr="00545EC0" w:rsidRDefault="00347476" w:rsidP="00F215FF">
      <w:pPr>
        <w:pStyle w:val="Naslov5"/>
        <w:rPr>
          <w:szCs w:val="26"/>
          <w:lang w:val="sl-SI"/>
        </w:rPr>
      </w:pPr>
      <w:r w:rsidRPr="00545EC0">
        <w:rPr>
          <w:szCs w:val="26"/>
          <w:lang w:val="sl-SI"/>
        </w:rPr>
        <w:t>Odvajnj</w:t>
      </w:r>
      <w:r w:rsidR="00C4603F" w:rsidRPr="00545EC0">
        <w:rPr>
          <w:szCs w:val="26"/>
          <w:lang w:val="sl-SI"/>
        </w:rPr>
        <w:t>e</w:t>
      </w:r>
      <w:r w:rsidRPr="00545EC0">
        <w:rPr>
          <w:szCs w:val="26"/>
          <w:lang w:val="sl-SI"/>
        </w:rPr>
        <w:t xml:space="preserve"> in čiščenja komunalne odpadne vode</w:t>
      </w:r>
    </w:p>
    <w:p w14:paraId="023B3AD5" w14:textId="7E0FB43A" w:rsidR="00347476" w:rsidRPr="00545EC0" w:rsidRDefault="00347476" w:rsidP="00347476">
      <w:pPr>
        <w:rPr>
          <w:rFonts w:cs="Arial"/>
          <w:szCs w:val="20"/>
        </w:rPr>
      </w:pPr>
      <w:r w:rsidRPr="00545EC0">
        <w:rPr>
          <w:rFonts w:cs="Arial"/>
          <w:szCs w:val="20"/>
        </w:rPr>
        <w:t xml:space="preserve">V Operativnem programu odvajanja in čiščenja komunalne odpadne vode (Vlada RS, 2020a) so v skladu z drugim odstavkom 36. člena </w:t>
      </w:r>
      <w:r w:rsidR="00E75CF8" w:rsidRPr="00545EC0">
        <w:rPr>
          <w:rFonts w:cs="Arial"/>
          <w:szCs w:val="20"/>
        </w:rPr>
        <w:t>z</w:t>
      </w:r>
      <w:r w:rsidRPr="00545EC0">
        <w:rPr>
          <w:rFonts w:cs="Arial"/>
          <w:szCs w:val="20"/>
        </w:rPr>
        <w:t>akona o varstvu okolja praviloma za obdobje štirih let razčlenjeni cilji, usmeritve in naloge za področje odvajanja in čiščenja komunalne odpadne vode.</w:t>
      </w:r>
    </w:p>
    <w:p w14:paraId="354CA577" w14:textId="77777777" w:rsidR="00347476" w:rsidRPr="00545EC0" w:rsidRDefault="00347476" w:rsidP="00347476">
      <w:pPr>
        <w:rPr>
          <w:rFonts w:cs="Arial"/>
          <w:szCs w:val="20"/>
        </w:rPr>
      </w:pPr>
    </w:p>
    <w:p w14:paraId="5874A6E4" w14:textId="77777777" w:rsidR="00347476" w:rsidRPr="00545EC0" w:rsidRDefault="00347476" w:rsidP="00347476">
      <w:pPr>
        <w:rPr>
          <w:rFonts w:cs="Arial"/>
          <w:szCs w:val="20"/>
        </w:rPr>
      </w:pPr>
      <w:r w:rsidRPr="00545EC0">
        <w:rPr>
          <w:rFonts w:cs="Arial"/>
          <w:szCs w:val="20"/>
        </w:rPr>
        <w:t xml:space="preserve">Operativni program odvajanja in čiščenja komunalne odpadne vode se nanaša na celotno območje Republike Slovenije in je med ključnimi dokumenti za doseganje ciljev na področju varstva voda pred </w:t>
      </w:r>
      <w:r w:rsidRPr="00545EC0">
        <w:rPr>
          <w:rFonts w:cs="Arial"/>
          <w:szCs w:val="20"/>
        </w:rPr>
        <w:lastRenderedPageBreak/>
        <w:t>onesnaženjem zaradi odvajanja komunalne odpadne vode. Je programski dokument, s katerim se za vsako posamezno aglomeracijo, za katero je v predpisanih rokih treba zagotoviti opremljenost z javno infrastrukturo oziroma ob izpolnjevanju predpisanih pogojev opremljenost z drugo ustrezno infrastrukturo za odvajanje in čiščenje komunalne odpadne vode, podrobneje določijo zahteve v zvezi z odvajanjem in čiščenjem komunalne odpadne vode ter roki za doseganje teh zahtev. Z operativnim programom odvajanja in čiščenja komunalne odpadne vode se podrobneje določijo tudi obveznosti v zvezi z opremljanjem posameznih objektov na območjih zunaj meja aglomeracij, oziroma na območjih, ki niso opremljena z javno kanalizacijo in za katera opremljanje z javno kanalizacijo tudi ni predpisano.</w:t>
      </w:r>
    </w:p>
    <w:p w14:paraId="0E334F73" w14:textId="77777777" w:rsidR="00347476" w:rsidRPr="00545EC0" w:rsidRDefault="00347476" w:rsidP="00347476">
      <w:pPr>
        <w:rPr>
          <w:rFonts w:cs="Arial"/>
          <w:szCs w:val="20"/>
        </w:rPr>
      </w:pPr>
    </w:p>
    <w:p w14:paraId="617BA15A" w14:textId="77777777" w:rsidR="00347476" w:rsidRPr="00545EC0" w:rsidRDefault="00347476" w:rsidP="00347476">
      <w:pPr>
        <w:rPr>
          <w:rFonts w:cs="Arial"/>
          <w:szCs w:val="20"/>
        </w:rPr>
      </w:pPr>
      <w:r w:rsidRPr="00545EC0">
        <w:rPr>
          <w:rFonts w:cs="Arial"/>
          <w:szCs w:val="20"/>
        </w:rPr>
        <w:t xml:space="preserve">Za izpolnjevanje predpisanih zahtev v zvezi z odvajanjem in čiščenjem komunalne odpadne vode morajo občine zagotoviti ustrezno odvajanje in čiščenje komunalne odpadne vode, ki nastaja v objektih v aglomeracijah, z: </w:t>
      </w:r>
    </w:p>
    <w:p w14:paraId="5EE9EAD6" w14:textId="77777777" w:rsidR="00347476" w:rsidRPr="00545EC0" w:rsidRDefault="00347476" w:rsidP="00DD37C5">
      <w:pPr>
        <w:pStyle w:val="Odstavekseznama"/>
        <w:numPr>
          <w:ilvl w:val="0"/>
          <w:numId w:val="120"/>
        </w:numPr>
        <w:overflowPunct/>
        <w:autoSpaceDE/>
        <w:autoSpaceDN/>
        <w:adjustRightInd/>
        <w:spacing w:line="276" w:lineRule="auto"/>
        <w:contextualSpacing/>
        <w:textAlignment w:val="auto"/>
        <w:rPr>
          <w:rFonts w:cs="Arial"/>
          <w:szCs w:val="20"/>
        </w:rPr>
      </w:pPr>
      <w:r w:rsidRPr="00545EC0">
        <w:rPr>
          <w:rFonts w:cs="Arial"/>
          <w:szCs w:val="20"/>
        </w:rPr>
        <w:t xml:space="preserve">gradnjo javnega kanalizacijskega omrežja ali rekonstrukcijo obstoječega javnega kanalizacijskega omrežja in </w:t>
      </w:r>
    </w:p>
    <w:p w14:paraId="4EE2F838" w14:textId="77777777" w:rsidR="00347476" w:rsidRPr="00545EC0" w:rsidRDefault="00347476" w:rsidP="00DD37C5">
      <w:pPr>
        <w:pStyle w:val="Odstavekseznama"/>
        <w:numPr>
          <w:ilvl w:val="0"/>
          <w:numId w:val="120"/>
        </w:numPr>
        <w:overflowPunct/>
        <w:autoSpaceDE/>
        <w:autoSpaceDN/>
        <w:adjustRightInd/>
        <w:spacing w:line="276" w:lineRule="auto"/>
        <w:contextualSpacing/>
        <w:textAlignment w:val="auto"/>
        <w:rPr>
          <w:rFonts w:cs="Arial"/>
          <w:szCs w:val="20"/>
        </w:rPr>
      </w:pPr>
      <w:r w:rsidRPr="00545EC0">
        <w:rPr>
          <w:rFonts w:cs="Arial"/>
          <w:szCs w:val="20"/>
        </w:rPr>
        <w:t>gradnjo komunalnih čistilnih naprav z ustrezno stopnjo čiščenja ali rekonstrukcijo obstoječih komunalnih čistilnih naprav, ki zaključujejo javno kanalizacijsko omrežje in so namenjene za izvajanje javne službe čiščenja komunalne odpadne vode.</w:t>
      </w:r>
    </w:p>
    <w:p w14:paraId="74596C6F" w14:textId="77777777" w:rsidR="00347476" w:rsidRPr="00545EC0" w:rsidRDefault="00347476" w:rsidP="00347476">
      <w:pPr>
        <w:rPr>
          <w:rFonts w:cs="Arial"/>
          <w:szCs w:val="20"/>
        </w:rPr>
      </w:pPr>
    </w:p>
    <w:p w14:paraId="25A1D457" w14:textId="77777777" w:rsidR="00347476" w:rsidRPr="00545EC0" w:rsidRDefault="00347476" w:rsidP="00347476">
      <w:pPr>
        <w:rPr>
          <w:rFonts w:cs="Arial"/>
          <w:szCs w:val="20"/>
        </w:rPr>
      </w:pPr>
      <w:r w:rsidRPr="00545EC0">
        <w:rPr>
          <w:rFonts w:cs="Arial"/>
          <w:szCs w:val="20"/>
        </w:rPr>
        <w:t>Na območjih zunaj meja aglomeracij oziroma v aglomeracijah za objekte, kjer je upravičeno uveljavljanje izjeme glede priključitve na javno kanalizacijsko omrežje, bodo morali lastniki objektov oziroma občine zagotoviti gradnjo malih čistilnih naprav ali drugih ustreznih individualnih ureditev odvajanja in čiščenja komunalne odpadne vode.</w:t>
      </w:r>
    </w:p>
    <w:p w14:paraId="4C5BC461" w14:textId="77777777" w:rsidR="00347476" w:rsidRPr="00545EC0" w:rsidRDefault="00347476" w:rsidP="00347476">
      <w:pPr>
        <w:rPr>
          <w:rFonts w:cs="Arial"/>
          <w:szCs w:val="20"/>
        </w:rPr>
      </w:pPr>
    </w:p>
    <w:p w14:paraId="343D3202" w14:textId="77777777" w:rsidR="00347476" w:rsidRPr="00545EC0" w:rsidRDefault="00347476" w:rsidP="00347476">
      <w:pPr>
        <w:rPr>
          <w:rFonts w:cs="Arial"/>
          <w:szCs w:val="20"/>
        </w:rPr>
      </w:pPr>
      <w:r w:rsidRPr="00545EC0">
        <w:rPr>
          <w:rFonts w:cs="Arial"/>
          <w:szCs w:val="20"/>
        </w:rPr>
        <w:t xml:space="preserve">V letu 2020 sprejeti Operativni program odvajanja in čiščenja komunalne odpadne vode določa prednostni vrstni red izvajanja ukrepov. Prva prednostna naloga so vse aglomeracije, ki so na podlagi predhodne ocene skladnosti ocenjene kot neskladne z Direktivo Sveta št. 91/271/EGS z dne 21. maja 1991 o čiščenju komunalne odpadne vode. V prvo prednostno nalogo izvajanja ukrepov je vključenih 31 aglomeracij s skupno obremenitvijo, enako ali večjo od 2.000 PE. </w:t>
      </w:r>
    </w:p>
    <w:p w14:paraId="2AB44806" w14:textId="77777777" w:rsidR="00347476" w:rsidRPr="00545EC0" w:rsidRDefault="00347476" w:rsidP="00347476">
      <w:pPr>
        <w:rPr>
          <w:rFonts w:cs="Arial"/>
          <w:szCs w:val="20"/>
        </w:rPr>
      </w:pPr>
    </w:p>
    <w:p w14:paraId="613BEB17" w14:textId="508F8E13" w:rsidR="00347476" w:rsidRPr="00545EC0" w:rsidRDefault="00347476" w:rsidP="00347476">
      <w:pPr>
        <w:rPr>
          <w:rFonts w:cs="Arial"/>
          <w:szCs w:val="20"/>
        </w:rPr>
      </w:pPr>
      <w:r w:rsidRPr="00545EC0">
        <w:rPr>
          <w:rFonts w:cs="Arial"/>
          <w:szCs w:val="20"/>
        </w:rPr>
        <w:t xml:space="preserve">Za izpolnjevanje predpisanih zahtev v zvezi z odvajanjem in čiščenjem komunalne odpadne vode bodo v obdobju do leta 2027 na voljo sredstva Evropske kohezijske politike (EKP) in sredstva Sklada za okrevanje in odpornost (RRF). V okviru Evropske kohezijske politike 2021–2027 se načrtujejo naložbe v odpravo neskladij v aglomeracijah s skupno obremenitvijo, enako ali večjo od 2.000 PE. V okviru nacionalnega Načrta za okrevanje in odpornost (NOO), ki je podlaga za koriščenje razpoložljivih sredstev iz Sklada za okrevanje in odpornost (RRF), pa bo shema za financiranje namenjena zagotavljanju sredstev za opremljanje aglomeracij, katerih skupna obremenitev je manjša od 2.000 PE. Te aglomeracije niso upravičene do sofinanciranja iz kohezijskih sredstev, pa kljub temu v nacionalni zakonodaji v skladu s predpisom, ki ureja odvajanje in čiščenje komunalne odpadne vode kakor tudi v operativnem programom odvajanja in čiščenja komunalne odpadne vode, predstavljajo pomemben delež gospodarske javne infrastrukture, namenjene za izvajanje storitev odvajanja in čiščenja.  (Vlada RS, </w:t>
      </w:r>
      <w:r w:rsidR="00357381" w:rsidRPr="00545EC0">
        <w:rPr>
          <w:rFonts w:cs="Arial"/>
          <w:szCs w:val="20"/>
        </w:rPr>
        <w:t>2020</w:t>
      </w:r>
      <w:r w:rsidRPr="00545EC0">
        <w:rPr>
          <w:rFonts w:cs="Arial"/>
          <w:szCs w:val="20"/>
        </w:rPr>
        <w:t>).</w:t>
      </w:r>
    </w:p>
    <w:p w14:paraId="52B6B42F" w14:textId="77777777" w:rsidR="00347476" w:rsidRPr="00545EC0" w:rsidRDefault="00347476" w:rsidP="00347476">
      <w:pPr>
        <w:rPr>
          <w:rFonts w:cs="Arial"/>
          <w:szCs w:val="20"/>
        </w:rPr>
      </w:pPr>
    </w:p>
    <w:p w14:paraId="462B5F51" w14:textId="3180C804" w:rsidR="00347476" w:rsidRPr="00545EC0" w:rsidRDefault="00347476" w:rsidP="00347476">
      <w:pPr>
        <w:rPr>
          <w:rFonts w:cs="Arial"/>
        </w:rPr>
      </w:pPr>
      <w:r w:rsidRPr="00545EC0">
        <w:rPr>
          <w:rFonts w:cs="Arial"/>
        </w:rPr>
        <w:t xml:space="preserve">Ukrepi na področju odvajanja in čiščenja komunalne odpavne vode zagotavljajo zmanjševanje obremenjevanja voda s hranili in </w:t>
      </w:r>
      <w:r w:rsidR="00357381" w:rsidRPr="00545EC0">
        <w:rPr>
          <w:rFonts w:cs="Arial"/>
        </w:rPr>
        <w:t>z</w:t>
      </w:r>
      <w:r w:rsidRPr="00545EC0">
        <w:rPr>
          <w:rFonts w:cs="Arial"/>
        </w:rPr>
        <w:t xml:space="preserve"> biološko razgradljvimi organskimi snovmi. </w:t>
      </w:r>
      <w:r w:rsidRPr="00545EC0">
        <w:rPr>
          <w:rFonts w:cs="Arial"/>
          <w:szCs w:val="22"/>
        </w:rPr>
        <w:t xml:space="preserve">Skupna ocena vpliva ukrepov in prihodnjega razvoja je </w:t>
      </w:r>
      <w:r w:rsidRPr="00545EC0">
        <w:rPr>
          <w:rFonts w:cs="Arial"/>
        </w:rPr>
        <w:t>zaradi poz</w:t>
      </w:r>
      <w:r w:rsidR="00357381" w:rsidRPr="00545EC0">
        <w:rPr>
          <w:rFonts w:cs="Arial"/>
        </w:rPr>
        <w:t>i</w:t>
      </w:r>
      <w:r w:rsidRPr="00545EC0">
        <w:rPr>
          <w:rFonts w:cs="Arial"/>
        </w:rPr>
        <w:t xml:space="preserve">tivnega vpliva na stanje voda </w:t>
      </w:r>
      <w:r w:rsidRPr="00545EC0">
        <w:rPr>
          <w:rFonts w:cs="Arial"/>
          <w:szCs w:val="22"/>
        </w:rPr>
        <w:t xml:space="preserve">ocenjena kot  </w:t>
      </w:r>
      <w:r w:rsidRPr="00545EC0">
        <w:rPr>
          <w:rFonts w:cs="Arial"/>
        </w:rPr>
        <w:t xml:space="preserve">»izboljšanje«. </w:t>
      </w:r>
    </w:p>
    <w:p w14:paraId="42BCC80F" w14:textId="77777777" w:rsidR="00C4603F" w:rsidRPr="00545EC0" w:rsidRDefault="00C4603F" w:rsidP="00347476">
      <w:pPr>
        <w:rPr>
          <w:rFonts w:cs="Arial"/>
        </w:rPr>
      </w:pPr>
    </w:p>
    <w:p w14:paraId="7F7BF30F" w14:textId="77777777" w:rsidR="00F215FF" w:rsidRPr="00545EC0" w:rsidRDefault="00F215FF" w:rsidP="00F215FF">
      <w:pPr>
        <w:pStyle w:val="Naslov5"/>
      </w:pPr>
      <w:r w:rsidRPr="00545EC0">
        <w:rPr>
          <w:szCs w:val="26"/>
        </w:rPr>
        <w:lastRenderedPageBreak/>
        <w:t>Javna oskrba s pitno vodo</w:t>
      </w:r>
    </w:p>
    <w:p w14:paraId="512894BD" w14:textId="77777777" w:rsidR="00F215FF" w:rsidRPr="00545EC0" w:rsidRDefault="00F215FF" w:rsidP="00F215FF">
      <w:pPr>
        <w:rPr>
          <w:rFonts w:cs="Arial"/>
          <w:szCs w:val="20"/>
        </w:rPr>
      </w:pPr>
      <w:r w:rsidRPr="00545EC0">
        <w:rPr>
          <w:rFonts w:cs="Arial"/>
          <w:szCs w:val="20"/>
        </w:rPr>
        <w:t>Za doseganje ciljev javne oskrbe s pitno vodo so v Operativnem načrtu oskrbe s pitno vodo, ki je v pripravi, opredeljeni ukrepi v višini 621,7 mio EUR. Ukrepi med drugim, zajemajo obnove cevovodov na javnih vodovodih, zagotovitev javnega vodovoda na 409 območjih poselitve za 54.797 prebivalcev, zagotovitev rezervnega zajetja za pitno vodo za 157 javnih vodovodov, sanacije na treh potencialno onesnaženih območij, ki se nahajajo na območju zajetja znotraj vodovarstvenih območij ter druge ukrepe, povezane z zmanjševanjem vodnih izgub.</w:t>
      </w:r>
    </w:p>
    <w:p w14:paraId="1CDEEE1B" w14:textId="77777777" w:rsidR="00F215FF" w:rsidRPr="00545EC0" w:rsidRDefault="00F215FF" w:rsidP="00F215FF">
      <w:pPr>
        <w:rPr>
          <w:rFonts w:cs="Arial"/>
          <w:szCs w:val="20"/>
        </w:rPr>
      </w:pPr>
    </w:p>
    <w:p w14:paraId="2F613450" w14:textId="77777777" w:rsidR="00F215FF" w:rsidRPr="00545EC0" w:rsidRDefault="00F215FF" w:rsidP="00F215FF">
      <w:pPr>
        <w:rPr>
          <w:rFonts w:cs="Arial"/>
          <w:szCs w:val="20"/>
        </w:rPr>
      </w:pPr>
      <w:r w:rsidRPr="00545EC0">
        <w:rPr>
          <w:rFonts w:cs="Arial"/>
          <w:szCs w:val="20"/>
        </w:rPr>
        <w:t>V nadaljnjih letih je pričakovati večje težave v oskrbi s pitno vodo slovenske Istre, ki je del vodnega območja Jadranskega morja, saj so na navedenem območju vodne količine omejene. Letna in še posebej končna rast porabe pa se občutno povečuje zaradi turističnega vpliva, naravnega prirasta, kot tudi povečanega števila prebivalcev na obali v poletnih mesecih. Obstoječe stanje vodne oskrbe ni zadovoljivo, zato podjetje Rižanski vodovod Koper skupaj z lokalno skupnostjo išče primerno rešitev za zagotovitev dodatnega vodnega vira in s tem varne oskrbe s pitno vodo.</w:t>
      </w:r>
    </w:p>
    <w:p w14:paraId="3F20A4DF" w14:textId="77777777" w:rsidR="00F215FF" w:rsidRPr="00545EC0" w:rsidRDefault="00F215FF" w:rsidP="00F215FF">
      <w:pPr>
        <w:rPr>
          <w:rFonts w:cs="Arial"/>
          <w:szCs w:val="20"/>
        </w:rPr>
      </w:pPr>
    </w:p>
    <w:p w14:paraId="6261E79C" w14:textId="77777777" w:rsidR="00F215FF" w:rsidRPr="00545EC0" w:rsidRDefault="00F215FF" w:rsidP="00F215FF">
      <w:pPr>
        <w:rPr>
          <w:rFonts w:cs="Arial"/>
          <w:szCs w:val="20"/>
        </w:rPr>
      </w:pPr>
      <w:r w:rsidRPr="00545EC0">
        <w:rPr>
          <w:rFonts w:cs="Arial"/>
          <w:szCs w:val="20"/>
        </w:rPr>
        <w:t xml:space="preserve">Rižanski vodovod se napaja z vodo iz lastnega vodnega vira reke Rižane. Izdatnost tega vira ne zagotavlja zadostnih količin vode za celovito oskrbo z vodo, še posebno v poletnih mesecih, ko izdatnost vira zaradi suše upade, sočasno pa se poraba poveča. Za dobavo manjkajočih količin pitne vode je sistem navezan na sosednja vodovodna sistema, ki sta v upravljanju Kraškega vodovoda Sežana (vodni vir Klariči) in Istrskega vodovoda Buzet (vodni vir Gradole), preko katerih se manjkajoče količine kupuje. </w:t>
      </w:r>
    </w:p>
    <w:p w14:paraId="60FF3B63" w14:textId="77777777" w:rsidR="00F215FF" w:rsidRPr="00545EC0" w:rsidRDefault="00F215FF" w:rsidP="00F215FF">
      <w:pPr>
        <w:rPr>
          <w:rFonts w:cs="Arial"/>
          <w:szCs w:val="20"/>
        </w:rPr>
      </w:pPr>
    </w:p>
    <w:p w14:paraId="3A963E80" w14:textId="77777777" w:rsidR="00F215FF" w:rsidRPr="00545EC0" w:rsidRDefault="00F215FF" w:rsidP="00F215FF">
      <w:pPr>
        <w:rPr>
          <w:rFonts w:cs="Arial"/>
          <w:szCs w:val="20"/>
        </w:rPr>
      </w:pPr>
      <w:r w:rsidRPr="00545EC0">
        <w:rPr>
          <w:rFonts w:cs="Arial"/>
          <w:szCs w:val="20"/>
        </w:rPr>
        <w:t>Rižanski vodovod se predvsem sooča s težavami v oskrbi v poletnih mesecih, ko je poraba vode največja, izdatnost vodnega vira Rižane pa minimalna in nezadostna za zagotavljanje nemotene oskrbe z vodo na celotnem območju. Manjkajoče količine vode se sicer uvaža iz sosednjih vodovodnih sistemov, vendar so te količine dogovorjene, omejene in včasih tudi nezadostne. Tudi ti vodni viri so podvrženi manjši izdatnosti v času sušnega obdobja ter posledično zmanjšanju dobavljenih količin, kar ima za posledico negativno vodno bilanco in nevarnost za redukcije v dobavi na celotnem obalnem področju. Identično se sosednja vodovoda soočata s podobnimi težavami v času povečane porabe na svojih sistemih.</w:t>
      </w:r>
    </w:p>
    <w:p w14:paraId="30E87FCE" w14:textId="77777777" w:rsidR="00F215FF" w:rsidRPr="00545EC0" w:rsidRDefault="00F215FF" w:rsidP="00F215FF">
      <w:pPr>
        <w:rPr>
          <w:rFonts w:cs="Arial"/>
          <w:szCs w:val="20"/>
        </w:rPr>
      </w:pPr>
    </w:p>
    <w:p w14:paraId="627BCA5D" w14:textId="77777777" w:rsidR="00F215FF" w:rsidRPr="00545EC0" w:rsidRDefault="00F215FF" w:rsidP="00F215FF">
      <w:pPr>
        <w:rPr>
          <w:rFonts w:cs="Arial"/>
          <w:szCs w:val="20"/>
        </w:rPr>
      </w:pPr>
      <w:r w:rsidRPr="00545EC0">
        <w:rPr>
          <w:rFonts w:cs="Arial"/>
          <w:szCs w:val="20"/>
        </w:rPr>
        <w:t>Zagotavljanje rezervnih vodnih virov v štirih obalnih občinah ni zanesljivo, saj občine nimajo zagotovljenega vodnega vira, ki bi nadomeščal izpad obstoječega vodnega vira vodonosnika reke Rižana. Dejstvo je, da vodni vir ne zagotavlja niti osnovne oskrbe z vodo, še posebno to velja v poletnem obdobju, ko se poraba vode poveča, izdatnost vodnega vira pa bistveno zmanjša. Zato je potrebno zagotoviti glavni vodni vir za oskrbo, ki bo zagotavljal zadostne količine vode.</w:t>
      </w:r>
    </w:p>
    <w:p w14:paraId="420F4B65" w14:textId="77777777" w:rsidR="00F215FF" w:rsidRPr="00545EC0" w:rsidRDefault="00F215FF" w:rsidP="00F215FF">
      <w:pPr>
        <w:rPr>
          <w:rFonts w:cs="Arial"/>
          <w:szCs w:val="20"/>
        </w:rPr>
      </w:pPr>
    </w:p>
    <w:p w14:paraId="5FCC33F6" w14:textId="7C80234F" w:rsidR="00F215FF" w:rsidRPr="00545EC0" w:rsidRDefault="00F215FF" w:rsidP="00F215FF">
      <w:pPr>
        <w:rPr>
          <w:rFonts w:cs="Arial"/>
          <w:szCs w:val="20"/>
        </w:rPr>
      </w:pPr>
      <w:r w:rsidRPr="00545EC0">
        <w:rPr>
          <w:rFonts w:cs="Arial"/>
          <w:szCs w:val="20"/>
        </w:rPr>
        <w:t>Za dolgoročno rešitev oskrbe z vodo slovenske Istre so bile že izdelane študije. Zastavljeni so bili naslednji cilji: zagotovitev vodnega vira za oskrbo s pitno vodo širše regije, t.j. slovenske Istre ter zalednega kraškega območja, zagotovitev ustreznih količin ter ustrezne kakovosti surove vode za vodooskrbo prebivalstva s pitno vodo dolgoročno, zagotovitev vodnega vira, ki ima najmanjši možni potencial ogroženosti, tako glede količin kot tudi kakovosti surove vode, upoštevanje hidrografskih značilnosti in omejitev, pri čemer se tako vodni vir in vodovarstveni pasovi, kot tudi vsi ostali objekti, nahajajo na teritoriju Slovenije.</w:t>
      </w:r>
      <w:r w:rsidR="008C0E75">
        <w:t xml:space="preserve"> Ob upoštevanju zadostnih kapacitet vodnih virov na povodju ali vodnem območju se za namen oskrbe s pitno vodo kritičnih območij preuči možnost zagotavljanja zadostnih količin pitne vode </w:t>
      </w:r>
      <w:r w:rsidR="001C2B1C">
        <w:t xml:space="preserve">tudi </w:t>
      </w:r>
      <w:r w:rsidR="008C0E75">
        <w:t>s črpanjem vode iz enega v drugo povodje oz. vodno območje. Izvedba takšnih rešitev oskrbe s pitno vodo ne sme ogrožati dobrega stanja površinskih in podzemnih voda.</w:t>
      </w:r>
    </w:p>
    <w:p w14:paraId="37F24F24" w14:textId="77777777" w:rsidR="00F215FF" w:rsidRPr="00545EC0" w:rsidRDefault="00F215FF" w:rsidP="00F215FF">
      <w:pPr>
        <w:rPr>
          <w:rFonts w:cs="Arial"/>
          <w:szCs w:val="20"/>
        </w:rPr>
      </w:pPr>
    </w:p>
    <w:p w14:paraId="65D2EBB2" w14:textId="77777777" w:rsidR="00F215FF" w:rsidRPr="00545EC0" w:rsidRDefault="00F215FF" w:rsidP="00F215FF">
      <w:pPr>
        <w:rPr>
          <w:rFonts w:cs="Arial"/>
          <w:szCs w:val="20"/>
        </w:rPr>
      </w:pPr>
      <w:r w:rsidRPr="00545EC0">
        <w:rPr>
          <w:rFonts w:cs="Arial"/>
          <w:szCs w:val="20"/>
        </w:rPr>
        <w:lastRenderedPageBreak/>
        <w:t xml:space="preserve">Med že odobrenimi kohezijskimi projekti na področju oskrbe s pitno vodo je tudi Brkinski vodovod, ki predstavlja izjemno pomembno investicijo v sklopu zagotavljanja vodooskrbe na območju slovenske Istre in Kraškega zaledja. Hkrati je v pripravi državni lokacijski načrt za zagotovitev dodatnega vodnega vira, ki bo dolgoročno lahko zagotovil oskrbo te regije in vodo za okrog 100 tisoč prebivalcev (MOP(a), 2021). </w:t>
      </w:r>
    </w:p>
    <w:p w14:paraId="67A900C6" w14:textId="77777777" w:rsidR="00F215FF" w:rsidRPr="00545EC0" w:rsidRDefault="00F215FF" w:rsidP="00F215FF">
      <w:pPr>
        <w:spacing w:line="240" w:lineRule="auto"/>
        <w:rPr>
          <w:rFonts w:cs="Arial"/>
          <w:szCs w:val="20"/>
        </w:rPr>
      </w:pPr>
    </w:p>
    <w:p w14:paraId="11D2EF2A" w14:textId="65D0FEAC" w:rsidR="00F215FF" w:rsidRPr="00545EC0" w:rsidRDefault="00F215FF" w:rsidP="00F215FF">
      <w:pPr>
        <w:spacing w:line="276" w:lineRule="auto"/>
        <w:rPr>
          <w:rFonts w:cs="Arial"/>
        </w:rPr>
      </w:pPr>
      <w:r w:rsidRPr="00545EC0">
        <w:rPr>
          <w:rFonts w:cs="Arial"/>
          <w:szCs w:val="22"/>
        </w:rPr>
        <w:t xml:space="preserve">Skupna </w:t>
      </w:r>
      <w:r w:rsidR="004A6BDC" w:rsidRPr="00545EC0">
        <w:rPr>
          <w:rFonts w:cs="Arial"/>
          <w:szCs w:val="22"/>
        </w:rPr>
        <w:t xml:space="preserve">strokovna </w:t>
      </w:r>
      <w:r w:rsidRPr="00545EC0">
        <w:rPr>
          <w:rFonts w:cs="Arial"/>
          <w:szCs w:val="22"/>
        </w:rPr>
        <w:t xml:space="preserve">ocena vpliva ukrepov in prihodnjega razvoja na stanje voda </w:t>
      </w:r>
      <w:r w:rsidRPr="00545EC0">
        <w:rPr>
          <w:rFonts w:cs="Arial"/>
        </w:rPr>
        <w:t xml:space="preserve">je ob upoštevanju </w:t>
      </w:r>
      <w:r w:rsidR="008F6611" w:rsidRPr="00545EC0">
        <w:rPr>
          <w:rFonts w:cs="Arial"/>
        </w:rPr>
        <w:t xml:space="preserve">navedenih </w:t>
      </w:r>
      <w:r w:rsidRPr="00545EC0">
        <w:rPr>
          <w:rFonts w:cs="Arial"/>
        </w:rPr>
        <w:t>ocenj</w:t>
      </w:r>
      <w:r w:rsidR="004A6BDC" w:rsidRPr="00545EC0">
        <w:rPr>
          <w:rFonts w:cs="Arial"/>
        </w:rPr>
        <w:t>ena</w:t>
      </w:r>
      <w:r w:rsidRPr="00545EC0">
        <w:rPr>
          <w:rFonts w:cs="Arial"/>
        </w:rPr>
        <w:t xml:space="preserve"> z »nespremenjeno« ker </w:t>
      </w:r>
      <w:r w:rsidR="004A6BDC" w:rsidRPr="00545EC0">
        <w:rPr>
          <w:rFonts w:cs="Arial"/>
        </w:rPr>
        <w:t xml:space="preserve">v </w:t>
      </w:r>
      <w:r w:rsidRPr="00545EC0">
        <w:rPr>
          <w:rFonts w:cs="Arial"/>
        </w:rPr>
        <w:t>navedenem primeru vpliva na stanje voda ni mogoče oceniti.</w:t>
      </w:r>
      <w:r w:rsidR="004A6BDC" w:rsidRPr="00545EC0">
        <w:rPr>
          <w:rFonts w:cs="Arial"/>
        </w:rPr>
        <w:t xml:space="preserve"> V primeru, da se v postopku presoje vplivov na okolje ugotovi bistven vpliv na </w:t>
      </w:r>
      <w:r w:rsidR="008F6611" w:rsidRPr="00545EC0">
        <w:rPr>
          <w:rFonts w:cs="Arial"/>
        </w:rPr>
        <w:t xml:space="preserve">stanje </w:t>
      </w:r>
      <w:r w:rsidR="00357381" w:rsidRPr="00545EC0">
        <w:rPr>
          <w:rFonts w:cs="Arial"/>
        </w:rPr>
        <w:t>voda</w:t>
      </w:r>
      <w:r w:rsidR="00E75CF8" w:rsidRPr="00545EC0">
        <w:rPr>
          <w:rFonts w:cs="Arial"/>
        </w:rPr>
        <w:t xml:space="preserve"> je v skladu s 56. členom z</w:t>
      </w:r>
      <w:r w:rsidR="004A6BDC" w:rsidRPr="00545EC0">
        <w:rPr>
          <w:rFonts w:cs="Arial"/>
        </w:rPr>
        <w:t xml:space="preserve">akona o vodah treba izvesti </w:t>
      </w:r>
      <w:r w:rsidR="004A6BDC" w:rsidRPr="00545EC0">
        <w:rPr>
          <w:rFonts w:cs="Arial"/>
          <w:szCs w:val="20"/>
        </w:rPr>
        <w:t>utemeljitev odstopanj od okoljskih ciljev.</w:t>
      </w:r>
    </w:p>
    <w:p w14:paraId="260295B9" w14:textId="77777777" w:rsidR="00F215FF" w:rsidRPr="00545EC0" w:rsidRDefault="00F215FF" w:rsidP="00F215FF">
      <w:pPr>
        <w:spacing w:line="240" w:lineRule="auto"/>
        <w:rPr>
          <w:rFonts w:cs="Arial"/>
          <w:szCs w:val="20"/>
        </w:rPr>
      </w:pPr>
    </w:p>
    <w:p w14:paraId="01A8028E" w14:textId="77777777" w:rsidR="00F215FF" w:rsidRPr="00545EC0" w:rsidRDefault="00F215FF" w:rsidP="00F215FF">
      <w:pPr>
        <w:pStyle w:val="Naslov5"/>
      </w:pPr>
      <w:r w:rsidRPr="00545EC0">
        <w:rPr>
          <w:szCs w:val="26"/>
        </w:rPr>
        <w:t xml:space="preserve">Zmanjševanja poplavne ogroženosti </w:t>
      </w:r>
    </w:p>
    <w:p w14:paraId="2576BECE" w14:textId="77777777" w:rsidR="00F215FF" w:rsidRPr="00545EC0" w:rsidRDefault="00F215FF" w:rsidP="00F215FF">
      <w:pPr>
        <w:rPr>
          <w:rFonts w:cs="Arial"/>
          <w:szCs w:val="20"/>
        </w:rPr>
      </w:pPr>
      <w:r w:rsidRPr="00545EC0">
        <w:rPr>
          <w:rFonts w:cs="Arial"/>
          <w:szCs w:val="20"/>
        </w:rPr>
        <w:t xml:space="preserve">Načrt zmanjševanja poplavne ogroženosti (v nadaljnjem besedilu: NZPO) je pripravljen na podlagi predpisa, ki ureja vsebino in način priprave podrobnejšega načrta zmanjševanja ogroženosti pred poplavami. Pred izdelavo NZPO se pripravi predhodna ocena poplavne ogroženosti, ki vsebuje nove in dodatne evidence ter opise poplavnih dogodkov z različnimi tipi škodnih posledic, nadgrajeno analizo maksimalnih pretokov v RS, dodatne grafične predstavitve zabeleženih poplav v preteklosti, preveritev vpliva podnebnih sprememb na karakteristike poplav oz. na poplavno ogroženost v Sloveniji in preveritev in nadgradnjo določitve območij pomembnega vpliva poplav (v nadaljnjem besedilu: OPVP). Nato se pripravi karte poplavne nevarnosti in karte poplavne ogroženosti glede na zdravje ljudi, gospodarske dejavnosti, kulturno dediščino, okolje, socialno infrastrukturo, gospodarsko javno infrastrukturo in kombinacije vseh šestih kategorij ranljivosti. Šele na podlagi teh dokumentov se pristopi k izdelavi NZPO. </w:t>
      </w:r>
    </w:p>
    <w:p w14:paraId="5782A7AC" w14:textId="77777777" w:rsidR="00F215FF" w:rsidRPr="00545EC0" w:rsidRDefault="00F215FF" w:rsidP="00F215FF">
      <w:pPr>
        <w:rPr>
          <w:rFonts w:cs="Arial"/>
          <w:szCs w:val="20"/>
        </w:rPr>
      </w:pPr>
    </w:p>
    <w:p w14:paraId="4A6757B9" w14:textId="77777777" w:rsidR="00F215FF" w:rsidRPr="00545EC0" w:rsidRDefault="00F215FF" w:rsidP="00F215FF">
      <w:pPr>
        <w:rPr>
          <w:rFonts w:cs="Arial"/>
          <w:szCs w:val="20"/>
        </w:rPr>
      </w:pPr>
      <w:r w:rsidRPr="00545EC0">
        <w:rPr>
          <w:rFonts w:cs="Arial"/>
          <w:szCs w:val="20"/>
        </w:rPr>
        <w:t>NZPO je pripravljen na podlagi območij pomembnega vpliva poplav in na podlagi upoštevanja predvsem različnih nivojev delitev Slovenije na (pod)porečja, ki so združena v 18 porečij. Za vsako izmed 18 porečij se pripravi povzetek nabora protipoplavnih ukrepov, to je gradbenih in negradbenih ukrepov oz. konkretnih projektov, ki jih je treba izvajati za doseganje ciljev zmanjševanja ugotovljene ogroženosti na posameznem porečju. Ukrepi, ki jih za zmanjševanje poplavne ogroženosti določa NZPO in naslavljajo 86 območij pomembnega vpliva poplav so:</w:t>
      </w:r>
    </w:p>
    <w:p w14:paraId="799D3B74" w14:textId="77777777" w:rsidR="00F215FF" w:rsidRPr="00545EC0" w:rsidRDefault="00F215FF" w:rsidP="00F215FF">
      <w:pPr>
        <w:ind w:left="426"/>
        <w:rPr>
          <w:rFonts w:cs="Arial"/>
          <w:szCs w:val="20"/>
        </w:rPr>
      </w:pPr>
      <w:r w:rsidRPr="00545EC0">
        <w:rPr>
          <w:rFonts w:cs="Arial"/>
          <w:szCs w:val="20"/>
        </w:rPr>
        <w:t>-</w:t>
      </w:r>
      <w:r w:rsidRPr="00545EC0">
        <w:rPr>
          <w:rFonts w:cs="Arial"/>
          <w:szCs w:val="20"/>
        </w:rPr>
        <w:tab/>
        <w:t xml:space="preserve">določevanje in upoštevanje poplavnih območij, </w:t>
      </w:r>
    </w:p>
    <w:p w14:paraId="1FFEDCE2" w14:textId="77777777" w:rsidR="00F215FF" w:rsidRPr="00545EC0" w:rsidRDefault="00F215FF" w:rsidP="00F215FF">
      <w:pPr>
        <w:ind w:left="426"/>
        <w:rPr>
          <w:rFonts w:cs="Arial"/>
          <w:szCs w:val="20"/>
        </w:rPr>
      </w:pPr>
      <w:r w:rsidRPr="00545EC0">
        <w:rPr>
          <w:rFonts w:cs="Arial"/>
          <w:szCs w:val="20"/>
        </w:rPr>
        <w:t>-</w:t>
      </w:r>
      <w:r w:rsidRPr="00545EC0">
        <w:rPr>
          <w:rFonts w:cs="Arial"/>
          <w:szCs w:val="20"/>
        </w:rPr>
        <w:tab/>
        <w:t xml:space="preserve">identifikacija, vzpostavitev in ohranitev razlivnih površin visokih voda, </w:t>
      </w:r>
    </w:p>
    <w:p w14:paraId="0F6C9ACD" w14:textId="77777777" w:rsidR="00F215FF" w:rsidRPr="00545EC0" w:rsidRDefault="00F215FF" w:rsidP="00F215FF">
      <w:pPr>
        <w:ind w:left="426"/>
        <w:rPr>
          <w:rFonts w:cs="Arial"/>
          <w:szCs w:val="20"/>
        </w:rPr>
      </w:pPr>
      <w:r w:rsidRPr="00545EC0">
        <w:rPr>
          <w:rFonts w:cs="Arial"/>
          <w:szCs w:val="20"/>
        </w:rPr>
        <w:t>-</w:t>
      </w:r>
      <w:r w:rsidRPr="00545EC0">
        <w:rPr>
          <w:rFonts w:cs="Arial"/>
          <w:szCs w:val="20"/>
        </w:rPr>
        <w:tab/>
        <w:t>prilagoditev rabe zemljišč v porečjih,</w:t>
      </w:r>
    </w:p>
    <w:p w14:paraId="547B7600" w14:textId="77777777" w:rsidR="00F215FF" w:rsidRPr="00545EC0" w:rsidRDefault="00F215FF" w:rsidP="00F215FF">
      <w:pPr>
        <w:ind w:left="426"/>
        <w:rPr>
          <w:rFonts w:cs="Arial"/>
          <w:szCs w:val="20"/>
        </w:rPr>
      </w:pPr>
      <w:r w:rsidRPr="00545EC0">
        <w:rPr>
          <w:rFonts w:cs="Arial"/>
          <w:szCs w:val="20"/>
        </w:rPr>
        <w:t>-</w:t>
      </w:r>
      <w:r w:rsidRPr="00545EC0">
        <w:rPr>
          <w:rFonts w:cs="Arial"/>
          <w:szCs w:val="20"/>
        </w:rPr>
        <w:tab/>
        <w:t>izvajanje hidrološkega in meteorološkega monitoringa,</w:t>
      </w:r>
    </w:p>
    <w:p w14:paraId="1F6ABB70" w14:textId="77777777" w:rsidR="00F215FF" w:rsidRPr="00545EC0" w:rsidRDefault="00F215FF" w:rsidP="00F215FF">
      <w:pPr>
        <w:ind w:left="426"/>
        <w:rPr>
          <w:rFonts w:cs="Arial"/>
          <w:szCs w:val="20"/>
        </w:rPr>
      </w:pPr>
      <w:r w:rsidRPr="00545EC0">
        <w:rPr>
          <w:rFonts w:cs="Arial"/>
          <w:szCs w:val="20"/>
        </w:rPr>
        <w:t>-</w:t>
      </w:r>
      <w:r w:rsidRPr="00545EC0">
        <w:rPr>
          <w:rFonts w:cs="Arial"/>
          <w:szCs w:val="20"/>
        </w:rPr>
        <w:tab/>
        <w:t>vzpostavitev in vodenje evidenc s področja poplavne ogroženosti,</w:t>
      </w:r>
    </w:p>
    <w:p w14:paraId="5CA57E91" w14:textId="77777777" w:rsidR="00F215FF" w:rsidRPr="00545EC0" w:rsidRDefault="00F215FF" w:rsidP="00F215FF">
      <w:pPr>
        <w:ind w:left="426"/>
        <w:rPr>
          <w:rFonts w:cs="Arial"/>
          <w:szCs w:val="20"/>
        </w:rPr>
      </w:pPr>
      <w:r w:rsidRPr="00545EC0">
        <w:rPr>
          <w:rFonts w:cs="Arial"/>
          <w:szCs w:val="20"/>
        </w:rPr>
        <w:t>-</w:t>
      </w:r>
      <w:r w:rsidRPr="00545EC0">
        <w:rPr>
          <w:rFonts w:cs="Arial"/>
          <w:szCs w:val="20"/>
        </w:rPr>
        <w:tab/>
        <w:t>izobraževanje in ozaveščanje o poplavni ogroženosti,</w:t>
      </w:r>
    </w:p>
    <w:p w14:paraId="53F57A6F" w14:textId="77777777" w:rsidR="00F215FF" w:rsidRPr="00545EC0" w:rsidRDefault="00F215FF" w:rsidP="00F215FF">
      <w:pPr>
        <w:ind w:left="426"/>
        <w:rPr>
          <w:rFonts w:cs="Arial"/>
          <w:szCs w:val="20"/>
        </w:rPr>
      </w:pPr>
      <w:r w:rsidRPr="00545EC0">
        <w:rPr>
          <w:rFonts w:cs="Arial"/>
          <w:szCs w:val="20"/>
        </w:rPr>
        <w:t>-</w:t>
      </w:r>
      <w:r w:rsidRPr="00545EC0">
        <w:rPr>
          <w:rFonts w:cs="Arial"/>
          <w:szCs w:val="20"/>
        </w:rPr>
        <w:tab/>
        <w:t>načrtovanje in gradnja gradbenih protipoplavnih ukrepov,</w:t>
      </w:r>
    </w:p>
    <w:p w14:paraId="0B66D489" w14:textId="77777777" w:rsidR="00F215FF" w:rsidRPr="00545EC0" w:rsidRDefault="00F215FF" w:rsidP="00F215FF">
      <w:pPr>
        <w:ind w:left="426"/>
        <w:rPr>
          <w:rFonts w:cs="Arial"/>
          <w:szCs w:val="20"/>
        </w:rPr>
      </w:pPr>
      <w:r w:rsidRPr="00545EC0">
        <w:rPr>
          <w:rFonts w:cs="Arial"/>
          <w:szCs w:val="20"/>
        </w:rPr>
        <w:t>-</w:t>
      </w:r>
      <w:r w:rsidRPr="00545EC0">
        <w:rPr>
          <w:rFonts w:cs="Arial"/>
          <w:szCs w:val="20"/>
        </w:rPr>
        <w:tab/>
        <w:t>izvajanje individualnih (samozaščitnih) protipoplavnih ukrepov,</w:t>
      </w:r>
    </w:p>
    <w:p w14:paraId="02F447F1" w14:textId="77777777" w:rsidR="00F215FF" w:rsidRPr="00545EC0" w:rsidRDefault="00F215FF" w:rsidP="00F215FF">
      <w:pPr>
        <w:ind w:left="426"/>
        <w:rPr>
          <w:rFonts w:cs="Arial"/>
          <w:szCs w:val="20"/>
        </w:rPr>
      </w:pPr>
      <w:r w:rsidRPr="00545EC0">
        <w:rPr>
          <w:rFonts w:cs="Arial"/>
          <w:szCs w:val="20"/>
        </w:rPr>
        <w:t>-</w:t>
      </w:r>
      <w:r w:rsidRPr="00545EC0">
        <w:rPr>
          <w:rFonts w:cs="Arial"/>
          <w:szCs w:val="20"/>
        </w:rPr>
        <w:tab/>
        <w:t>redno preverjanje učinkovitosti obstoječih (gradbenih) protipoplavnih ureditev,</w:t>
      </w:r>
    </w:p>
    <w:p w14:paraId="7078968E" w14:textId="77777777" w:rsidR="00F215FF" w:rsidRPr="00545EC0" w:rsidRDefault="00F215FF" w:rsidP="00F215FF">
      <w:pPr>
        <w:ind w:left="426"/>
        <w:rPr>
          <w:rFonts w:cs="Arial"/>
          <w:szCs w:val="20"/>
        </w:rPr>
      </w:pPr>
      <w:r w:rsidRPr="00545EC0">
        <w:rPr>
          <w:rFonts w:cs="Arial"/>
          <w:szCs w:val="20"/>
        </w:rPr>
        <w:t>-</w:t>
      </w:r>
      <w:r w:rsidRPr="00545EC0">
        <w:rPr>
          <w:rFonts w:cs="Arial"/>
          <w:szCs w:val="20"/>
        </w:rPr>
        <w:tab/>
        <w:t>redno vzdrževanje vodotokov, vodnih objektov ter vodnih in priobalnih zemljišč,</w:t>
      </w:r>
    </w:p>
    <w:p w14:paraId="5D34B3A8" w14:textId="77777777" w:rsidR="00F215FF" w:rsidRPr="00545EC0" w:rsidRDefault="00F215FF" w:rsidP="00F215FF">
      <w:pPr>
        <w:ind w:left="426"/>
        <w:rPr>
          <w:rFonts w:cs="Arial"/>
          <w:szCs w:val="20"/>
        </w:rPr>
      </w:pPr>
      <w:r w:rsidRPr="00545EC0">
        <w:rPr>
          <w:rFonts w:cs="Arial"/>
          <w:szCs w:val="20"/>
        </w:rPr>
        <w:t>-</w:t>
      </w:r>
      <w:r w:rsidRPr="00545EC0">
        <w:rPr>
          <w:rFonts w:cs="Arial"/>
          <w:szCs w:val="20"/>
        </w:rPr>
        <w:tab/>
        <w:t>izvajanje rečnega nadzora,</w:t>
      </w:r>
    </w:p>
    <w:p w14:paraId="49DD1E5B" w14:textId="77777777" w:rsidR="00F215FF" w:rsidRPr="00545EC0" w:rsidRDefault="00F215FF" w:rsidP="00F215FF">
      <w:pPr>
        <w:ind w:left="426"/>
        <w:rPr>
          <w:rFonts w:cs="Arial"/>
          <w:szCs w:val="20"/>
        </w:rPr>
      </w:pPr>
      <w:r w:rsidRPr="00545EC0">
        <w:rPr>
          <w:rFonts w:cs="Arial"/>
          <w:szCs w:val="20"/>
        </w:rPr>
        <w:t>-</w:t>
      </w:r>
      <w:r w:rsidRPr="00545EC0">
        <w:rPr>
          <w:rFonts w:cs="Arial"/>
          <w:szCs w:val="20"/>
        </w:rPr>
        <w:tab/>
        <w:t>protipoplavno upravljanje vodnih objektov,</w:t>
      </w:r>
    </w:p>
    <w:p w14:paraId="42E2593B" w14:textId="77777777" w:rsidR="00F215FF" w:rsidRPr="00545EC0" w:rsidRDefault="00F215FF" w:rsidP="00F215FF">
      <w:pPr>
        <w:ind w:left="426"/>
        <w:rPr>
          <w:rFonts w:cs="Arial"/>
          <w:szCs w:val="20"/>
        </w:rPr>
      </w:pPr>
      <w:r w:rsidRPr="00545EC0">
        <w:rPr>
          <w:rFonts w:cs="Arial"/>
          <w:szCs w:val="20"/>
        </w:rPr>
        <w:t>-</w:t>
      </w:r>
      <w:r w:rsidRPr="00545EC0">
        <w:rPr>
          <w:rFonts w:cs="Arial"/>
          <w:szCs w:val="20"/>
        </w:rPr>
        <w:tab/>
        <w:t>zagotavljanje finančnih resursov za izvajanje gospodarske javne službe urejanja voda,</w:t>
      </w:r>
    </w:p>
    <w:p w14:paraId="008613EA" w14:textId="77777777" w:rsidR="00F215FF" w:rsidRPr="00545EC0" w:rsidRDefault="00F215FF" w:rsidP="00F215FF">
      <w:pPr>
        <w:ind w:left="426"/>
        <w:rPr>
          <w:rFonts w:cs="Arial"/>
          <w:szCs w:val="20"/>
        </w:rPr>
      </w:pPr>
      <w:r w:rsidRPr="00545EC0">
        <w:rPr>
          <w:rFonts w:cs="Arial"/>
          <w:szCs w:val="20"/>
        </w:rPr>
        <w:t>-</w:t>
      </w:r>
      <w:r w:rsidRPr="00545EC0">
        <w:rPr>
          <w:rFonts w:cs="Arial"/>
          <w:szCs w:val="20"/>
        </w:rPr>
        <w:tab/>
        <w:t>priprava načrtov zaščite in reševanja ob poplavah,</w:t>
      </w:r>
    </w:p>
    <w:p w14:paraId="32B6A591" w14:textId="77777777" w:rsidR="00F215FF" w:rsidRPr="00545EC0" w:rsidRDefault="00F215FF" w:rsidP="00F215FF">
      <w:pPr>
        <w:ind w:left="426"/>
        <w:rPr>
          <w:rFonts w:cs="Arial"/>
          <w:szCs w:val="20"/>
        </w:rPr>
      </w:pPr>
      <w:r w:rsidRPr="00545EC0">
        <w:rPr>
          <w:rFonts w:cs="Arial"/>
          <w:szCs w:val="20"/>
        </w:rPr>
        <w:t>-</w:t>
      </w:r>
      <w:r w:rsidRPr="00545EC0">
        <w:rPr>
          <w:rFonts w:cs="Arial"/>
          <w:szCs w:val="20"/>
        </w:rPr>
        <w:tab/>
        <w:t>napovedovanje poplav,</w:t>
      </w:r>
    </w:p>
    <w:p w14:paraId="23FA6FF0" w14:textId="77777777" w:rsidR="00F215FF" w:rsidRPr="00545EC0" w:rsidRDefault="00F215FF" w:rsidP="00F215FF">
      <w:pPr>
        <w:ind w:left="426"/>
        <w:rPr>
          <w:rFonts w:cs="Arial"/>
          <w:szCs w:val="20"/>
        </w:rPr>
      </w:pPr>
      <w:r w:rsidRPr="00545EC0">
        <w:rPr>
          <w:rFonts w:cs="Arial"/>
          <w:szCs w:val="20"/>
        </w:rPr>
        <w:t>-</w:t>
      </w:r>
      <w:r w:rsidRPr="00545EC0">
        <w:rPr>
          <w:rFonts w:cs="Arial"/>
          <w:szCs w:val="20"/>
        </w:rPr>
        <w:tab/>
        <w:t>opozarjanje v primeru poplav,</w:t>
      </w:r>
    </w:p>
    <w:p w14:paraId="59A51B5F" w14:textId="77777777" w:rsidR="00F215FF" w:rsidRPr="00545EC0" w:rsidRDefault="00F215FF" w:rsidP="00F215FF">
      <w:pPr>
        <w:ind w:left="426"/>
        <w:rPr>
          <w:rFonts w:cs="Arial"/>
          <w:szCs w:val="20"/>
        </w:rPr>
      </w:pPr>
      <w:r w:rsidRPr="00545EC0">
        <w:rPr>
          <w:rFonts w:cs="Arial"/>
          <w:szCs w:val="20"/>
        </w:rPr>
        <w:t>-</w:t>
      </w:r>
      <w:r w:rsidRPr="00545EC0">
        <w:rPr>
          <w:rFonts w:cs="Arial"/>
          <w:szCs w:val="20"/>
        </w:rPr>
        <w:tab/>
        <w:t>interventno ukrepanje ob poplavah,</w:t>
      </w:r>
    </w:p>
    <w:p w14:paraId="2E17F127" w14:textId="77777777" w:rsidR="00F215FF" w:rsidRPr="00545EC0" w:rsidRDefault="00F215FF" w:rsidP="00F215FF">
      <w:pPr>
        <w:ind w:left="426"/>
        <w:rPr>
          <w:rFonts w:cs="Arial"/>
          <w:szCs w:val="20"/>
        </w:rPr>
      </w:pPr>
      <w:r w:rsidRPr="00545EC0">
        <w:rPr>
          <w:rFonts w:cs="Arial"/>
          <w:szCs w:val="20"/>
        </w:rPr>
        <w:t>-</w:t>
      </w:r>
      <w:r w:rsidRPr="00545EC0">
        <w:rPr>
          <w:rFonts w:cs="Arial"/>
          <w:szCs w:val="20"/>
        </w:rPr>
        <w:tab/>
        <w:t>ocenjevanje škode in izvajanje sanacij po poplavah,</w:t>
      </w:r>
    </w:p>
    <w:p w14:paraId="678B3B09" w14:textId="77777777" w:rsidR="00F215FF" w:rsidRPr="00545EC0" w:rsidRDefault="00F215FF" w:rsidP="00F215FF">
      <w:pPr>
        <w:ind w:left="426"/>
        <w:rPr>
          <w:rFonts w:cs="Arial"/>
          <w:szCs w:val="20"/>
        </w:rPr>
      </w:pPr>
      <w:r w:rsidRPr="00545EC0">
        <w:rPr>
          <w:rFonts w:cs="Arial"/>
          <w:szCs w:val="20"/>
        </w:rPr>
        <w:lastRenderedPageBreak/>
        <w:t>-</w:t>
      </w:r>
      <w:r w:rsidRPr="00545EC0">
        <w:rPr>
          <w:rFonts w:cs="Arial"/>
          <w:szCs w:val="20"/>
        </w:rPr>
        <w:tab/>
        <w:t>dokumentiranje in analiza poplavnih dogodkov,</w:t>
      </w:r>
    </w:p>
    <w:p w14:paraId="6364A840" w14:textId="77777777" w:rsidR="00F215FF" w:rsidRPr="00545EC0" w:rsidRDefault="00F215FF" w:rsidP="00F215FF">
      <w:pPr>
        <w:ind w:left="426"/>
        <w:rPr>
          <w:rFonts w:cs="Arial"/>
          <w:szCs w:val="20"/>
        </w:rPr>
      </w:pPr>
      <w:r w:rsidRPr="00545EC0">
        <w:rPr>
          <w:rFonts w:cs="Arial"/>
          <w:szCs w:val="20"/>
        </w:rPr>
        <w:t>-</w:t>
      </w:r>
      <w:r w:rsidRPr="00545EC0">
        <w:rPr>
          <w:rFonts w:cs="Arial"/>
          <w:szCs w:val="20"/>
        </w:rPr>
        <w:tab/>
        <w:t>sistemski, normativni, finančni in drugi ukrepi.</w:t>
      </w:r>
    </w:p>
    <w:p w14:paraId="2797933E" w14:textId="77777777" w:rsidR="00F215FF" w:rsidRPr="00545EC0" w:rsidRDefault="00F215FF" w:rsidP="00F215FF">
      <w:pPr>
        <w:rPr>
          <w:rFonts w:cs="Arial"/>
          <w:szCs w:val="20"/>
        </w:rPr>
      </w:pPr>
    </w:p>
    <w:p w14:paraId="7CF86BE4" w14:textId="77777777" w:rsidR="00F215FF" w:rsidRPr="00545EC0" w:rsidRDefault="00F215FF" w:rsidP="00F215FF">
      <w:pPr>
        <w:rPr>
          <w:rFonts w:cs="Arial"/>
          <w:szCs w:val="20"/>
        </w:rPr>
      </w:pPr>
      <w:r w:rsidRPr="00545EC0">
        <w:rPr>
          <w:rFonts w:cs="Arial"/>
          <w:szCs w:val="20"/>
        </w:rPr>
        <w:t>Za vsako izmed 18 porečij, je poleg vsebin, zahtevanih s predpisi (opis, povezave na karte poplavne nevarnosti in karte poplavne ogroženosti, cilji, opis sodelovanja z javnostjo, prikaz mednarodnega usklajevanja…) pripravljen povzetek nabora protipoplavnih ukrepov, ki jih je potrebno izvajati za doseganje ciljev zmanjševanja ugotovljene ogroženosti na posameznem porečju. Na vsakem izmed 18 porečij so za vsakega izmed 20 ukrepov, ki jih določa NZPO, opredeljene prioritet glede izvajanja ukrepov (visoka, srednja, nizka), opis ali je ukrep že v izvajanju in njegov potencialni izvajalec. Ukrepi NZPO se izvajajo kot konkretni projekti, ki so že v izvajanju, ali pa jih je potrebno čim prej začeti izvajati (MOP(b) 2021).</w:t>
      </w:r>
    </w:p>
    <w:p w14:paraId="614FF6C6" w14:textId="77777777" w:rsidR="00F215FF" w:rsidRPr="00545EC0" w:rsidRDefault="00F215FF" w:rsidP="00F215FF">
      <w:pPr>
        <w:rPr>
          <w:rFonts w:cs="Arial"/>
          <w:szCs w:val="20"/>
        </w:rPr>
      </w:pPr>
    </w:p>
    <w:p w14:paraId="517CDC3F" w14:textId="1277882A" w:rsidR="008F6611" w:rsidRPr="00545EC0" w:rsidRDefault="008F6611" w:rsidP="008F6611">
      <w:pPr>
        <w:spacing w:line="276" w:lineRule="auto"/>
        <w:rPr>
          <w:rFonts w:cs="Arial"/>
        </w:rPr>
      </w:pPr>
      <w:r w:rsidRPr="00545EC0">
        <w:rPr>
          <w:rFonts w:cs="Arial"/>
          <w:szCs w:val="22"/>
        </w:rPr>
        <w:t xml:space="preserve">Skupna strokovna ocena vpliva ukrepov in prihodnjega razvoja na stanje voda </w:t>
      </w:r>
      <w:r w:rsidRPr="00545EC0">
        <w:rPr>
          <w:rFonts w:cs="Arial"/>
        </w:rPr>
        <w:t xml:space="preserve">je ob upoštevanju navedenih </w:t>
      </w:r>
      <w:r w:rsidR="00084CE0">
        <w:rPr>
          <w:rFonts w:cs="Arial"/>
        </w:rPr>
        <w:t>informacij</w:t>
      </w:r>
      <w:r w:rsidR="00084CE0" w:rsidRPr="00545EC0">
        <w:rPr>
          <w:rFonts w:cs="Arial"/>
        </w:rPr>
        <w:t xml:space="preserve"> </w:t>
      </w:r>
      <w:r w:rsidRPr="00545EC0">
        <w:rPr>
          <w:rFonts w:cs="Arial"/>
        </w:rPr>
        <w:t xml:space="preserve">ocenjena z »nespremenjeno« ker v navedenem primeru vpliva na stanje voda ni mogoče oceniti. V primeru </w:t>
      </w:r>
      <w:r w:rsidR="00190F98" w:rsidRPr="00545EC0">
        <w:rPr>
          <w:rFonts w:cs="Arial"/>
        </w:rPr>
        <w:t>izvajanja gradbenih protipoplavnih ukrepov</w:t>
      </w:r>
      <w:r w:rsidRPr="00545EC0">
        <w:rPr>
          <w:rFonts w:cs="Arial"/>
        </w:rPr>
        <w:t xml:space="preserve"> je </w:t>
      </w:r>
      <w:r w:rsidR="00190F98" w:rsidRPr="00545EC0">
        <w:rPr>
          <w:rFonts w:cs="Arial"/>
        </w:rPr>
        <w:t xml:space="preserve">v skladu z zakonodajo </w:t>
      </w:r>
      <w:r w:rsidRPr="00545EC0">
        <w:rPr>
          <w:rFonts w:cs="Arial"/>
        </w:rPr>
        <w:t>treba izvesti presojo vplivov na okolje. V primeru, da se v postopku presoje vplivov na okolje ugot</w:t>
      </w:r>
      <w:r w:rsidR="00357381" w:rsidRPr="00545EC0">
        <w:rPr>
          <w:rFonts w:cs="Arial"/>
        </w:rPr>
        <w:t>ovi bistven vpliv na stanje voda</w:t>
      </w:r>
      <w:r w:rsidRPr="00545EC0">
        <w:rPr>
          <w:rFonts w:cs="Arial"/>
        </w:rPr>
        <w:t xml:space="preserve"> je</w:t>
      </w:r>
      <w:r w:rsidR="00E75CF8" w:rsidRPr="00545EC0">
        <w:rPr>
          <w:rFonts w:cs="Arial"/>
        </w:rPr>
        <w:t xml:space="preserve"> v skladu s 56. členom z</w:t>
      </w:r>
      <w:r w:rsidRPr="00545EC0">
        <w:rPr>
          <w:rFonts w:cs="Arial"/>
        </w:rPr>
        <w:t xml:space="preserve">akona o vodah treba izvesti </w:t>
      </w:r>
      <w:r w:rsidRPr="00545EC0">
        <w:rPr>
          <w:rFonts w:cs="Arial"/>
          <w:szCs w:val="20"/>
        </w:rPr>
        <w:t>utemeljitev odstopanj od okoljskih ciljev.</w:t>
      </w:r>
    </w:p>
    <w:p w14:paraId="16A4F5F8" w14:textId="77777777" w:rsidR="008F6611" w:rsidRPr="00545EC0" w:rsidRDefault="008F6611" w:rsidP="00F215FF">
      <w:pPr>
        <w:rPr>
          <w:rFonts w:cs="Arial"/>
          <w:szCs w:val="20"/>
        </w:rPr>
      </w:pPr>
    </w:p>
    <w:p w14:paraId="71B9F263" w14:textId="77777777" w:rsidR="00F215FF" w:rsidRPr="00545EC0" w:rsidRDefault="00F215FF" w:rsidP="00F215FF">
      <w:pPr>
        <w:pStyle w:val="Naslov5"/>
        <w:rPr>
          <w:szCs w:val="26"/>
          <w:lang w:val="sl-SI"/>
        </w:rPr>
      </w:pPr>
      <w:r w:rsidRPr="00545EC0">
        <w:rPr>
          <w:szCs w:val="26"/>
          <w:lang w:val="sl-SI"/>
        </w:rPr>
        <w:t>Podnebna strategija</w:t>
      </w:r>
    </w:p>
    <w:p w14:paraId="0594ACC4" w14:textId="77777777" w:rsidR="00F215FF" w:rsidRPr="00545EC0" w:rsidRDefault="00F215FF" w:rsidP="00F215FF"/>
    <w:p w14:paraId="33B484CA" w14:textId="77777777" w:rsidR="00F215FF" w:rsidRPr="00545EC0" w:rsidRDefault="00F215FF" w:rsidP="00F215FF">
      <w:pPr>
        <w:rPr>
          <w:rFonts w:cs="Arial"/>
          <w:szCs w:val="20"/>
        </w:rPr>
      </w:pPr>
      <w:r w:rsidRPr="00545EC0">
        <w:rPr>
          <w:rFonts w:cs="Arial"/>
          <w:szCs w:val="20"/>
        </w:rPr>
        <w:t>Z Resolucijo o Dolgoročni podnebni strategiji Slovenije 2050 (v nadaljnjem besedilu: podnebna strategija), ki jo je Državni zbor sprejel 13. julija 2021, si je Slovenija postavila cilj, da do leta 2050 doseže neto ničelne emisije oziroma podnebno nevtralnost. Podnebna strategija je strateški dokument in ne vsebuje konkretnih ukrepov. Akcijski načrt za izvajanje podnebne strategije za obdobje do leta 2030 tako predstavlja Celoviti nacionalni energetski in podnebni načrt (NEPN). NEPN je akcijsko strateški dokument, ki za obdobje do leta 2030 (s pogledom do 2040) določa cilje, politike in ukrepe na petih razsežnostih energetske unije.</w:t>
      </w:r>
    </w:p>
    <w:p w14:paraId="2F570BF5" w14:textId="77777777" w:rsidR="00F215FF" w:rsidRPr="00545EC0" w:rsidRDefault="00F215FF" w:rsidP="00F215FF">
      <w:pPr>
        <w:rPr>
          <w:rFonts w:cs="Arial"/>
          <w:szCs w:val="20"/>
        </w:rPr>
      </w:pPr>
    </w:p>
    <w:p w14:paraId="39726FED" w14:textId="77777777" w:rsidR="00F215FF" w:rsidRPr="00545EC0" w:rsidRDefault="00F215FF" w:rsidP="00F215FF">
      <w:pPr>
        <w:rPr>
          <w:rFonts w:cs="Arial"/>
          <w:szCs w:val="20"/>
        </w:rPr>
      </w:pPr>
      <w:r w:rsidRPr="00545EC0">
        <w:rPr>
          <w:rFonts w:cs="Arial"/>
          <w:szCs w:val="20"/>
        </w:rPr>
        <w:t xml:space="preserve">Podnebna strategija opredeljuje, da je za uspešno prilagajanje na podnebne spremembe ključno intenzivnejše vključevanje varstva in trajnostnega upravljanja voda. Z zasledovanjem cilja trajnostne rabe voda, ki omogoča različne vrste rabe voda, se hkrati zagotavlja varstvo razpoložljivih virov in kakovost voda. </w:t>
      </w:r>
    </w:p>
    <w:p w14:paraId="763C9A3B" w14:textId="77777777" w:rsidR="00F215FF" w:rsidRPr="00545EC0" w:rsidRDefault="00F215FF" w:rsidP="00F215FF">
      <w:pPr>
        <w:rPr>
          <w:rFonts w:cs="Arial"/>
          <w:szCs w:val="20"/>
        </w:rPr>
      </w:pPr>
    </w:p>
    <w:p w14:paraId="0DF5C00C" w14:textId="77777777" w:rsidR="00F215FF" w:rsidRPr="00545EC0" w:rsidRDefault="00F215FF" w:rsidP="00F215FF">
      <w:pPr>
        <w:rPr>
          <w:rFonts w:cs="Arial"/>
          <w:szCs w:val="20"/>
        </w:rPr>
      </w:pPr>
      <w:r w:rsidRPr="00545EC0">
        <w:rPr>
          <w:rFonts w:cs="Arial"/>
          <w:szCs w:val="20"/>
        </w:rPr>
        <w:t xml:space="preserve">Nadalje podnebna strategija opredeljuje, da bo za uspešno doseganje ciljev, zastavljenih v podnebni strategiji, treba dopolniti strokovne podlage, izdelati študije in projekcije dviga morske gladine, poplavne ogroženosti in ostalih vplivov podnebnih sprememb na vodna telesa, ter na podlagi pridobljenih rezultatov prilagoditi rabo zemljišč. </w:t>
      </w:r>
    </w:p>
    <w:p w14:paraId="27D55484" w14:textId="77777777" w:rsidR="00F215FF" w:rsidRPr="00545EC0" w:rsidRDefault="00F215FF" w:rsidP="00F215FF">
      <w:pPr>
        <w:rPr>
          <w:rFonts w:cs="Arial"/>
          <w:szCs w:val="20"/>
        </w:rPr>
      </w:pPr>
    </w:p>
    <w:p w14:paraId="3E1822B8" w14:textId="2E8302A0" w:rsidR="00F215FF" w:rsidRPr="00545EC0" w:rsidRDefault="00F215FF" w:rsidP="00F215FF">
      <w:pPr>
        <w:rPr>
          <w:rFonts w:cs="Arial"/>
          <w:szCs w:val="20"/>
        </w:rPr>
      </w:pPr>
      <w:r w:rsidRPr="00545EC0">
        <w:rPr>
          <w:rFonts w:cs="Arial"/>
          <w:szCs w:val="20"/>
        </w:rPr>
        <w:t>V nadaljnjem razvoju je potrebno zagotavljati varstvo, izboljševanje in obnavljanje vodnih teles podzemne vode, ter zagotoviti ravnotežje med njenim odvzemanjem in obnavljanjem. Izboljšati je treba tudi doseganje ciljev vodne direktive, to je doseganje dobrega stanja voda in prepre</w:t>
      </w:r>
      <w:r w:rsidR="00357381" w:rsidRPr="00545EC0">
        <w:rPr>
          <w:rFonts w:cs="Arial"/>
          <w:szCs w:val="20"/>
        </w:rPr>
        <w:t>čevanje poslabšanja stanja voda</w:t>
      </w:r>
      <w:r w:rsidRPr="00545EC0">
        <w:rPr>
          <w:rFonts w:cs="Arial"/>
          <w:szCs w:val="20"/>
        </w:rPr>
        <w:t xml:space="preserve"> na vodnih telesih površinskih voda. </w:t>
      </w:r>
    </w:p>
    <w:p w14:paraId="3EF8D3B8" w14:textId="77777777" w:rsidR="00F215FF" w:rsidRPr="00545EC0" w:rsidRDefault="00F215FF" w:rsidP="00F215FF">
      <w:pPr>
        <w:rPr>
          <w:rFonts w:cs="Arial"/>
          <w:szCs w:val="20"/>
        </w:rPr>
      </w:pPr>
    </w:p>
    <w:p w14:paraId="6ADF22BE" w14:textId="77777777" w:rsidR="00F215FF" w:rsidRPr="00545EC0" w:rsidRDefault="00F215FF" w:rsidP="00F215FF">
      <w:pPr>
        <w:rPr>
          <w:rFonts w:cs="Arial"/>
          <w:szCs w:val="20"/>
        </w:rPr>
      </w:pPr>
      <w:r w:rsidRPr="00545EC0">
        <w:rPr>
          <w:rFonts w:cs="Arial"/>
          <w:szCs w:val="20"/>
        </w:rPr>
        <w:t>Nadalje podnebna strategija za področje upravljanja voda določa, da bo pomemben tudi način razvoja in koriščenja obnovljivih virov energije. Med slednje z vidika voda strategija uvršča hidroenergijo vodotokov in geotermalno energijo.</w:t>
      </w:r>
    </w:p>
    <w:p w14:paraId="0D44B841" w14:textId="77777777" w:rsidR="00F215FF" w:rsidRPr="00545EC0" w:rsidRDefault="00F215FF" w:rsidP="00F215FF">
      <w:pPr>
        <w:rPr>
          <w:rFonts w:cs="Arial"/>
          <w:szCs w:val="20"/>
        </w:rPr>
      </w:pPr>
    </w:p>
    <w:p w14:paraId="205D5860" w14:textId="77777777" w:rsidR="00F215FF" w:rsidRPr="00545EC0" w:rsidRDefault="00F215FF" w:rsidP="00F215FF">
      <w:pPr>
        <w:rPr>
          <w:rFonts w:cs="Arial"/>
          <w:szCs w:val="20"/>
        </w:rPr>
      </w:pPr>
      <w:r w:rsidRPr="00545EC0">
        <w:rPr>
          <w:rFonts w:cs="Arial"/>
          <w:szCs w:val="20"/>
        </w:rPr>
        <w:lastRenderedPageBreak/>
        <w:t xml:space="preserve">Na področju prilagajanja na podnebne spremembe podnebna strategija opredeljuje, da bo morala Slovenija zagotoviti odpornost energetskega sistema. Energetski sistem povezan z vodami bo moral ustrezno upoštevati različne sinergije (na primer poplavno varnost, zadrževanje voda) in tveganja (na primer zviševanje temperature voda, zmanjševanje biotske raznovrstnosti), ki bodo morali postati pomemben del prilagajanja na podnebne spremembe. Izkoriščanje hidroenergije vodotokov mora biti skladno s Strategijo prostorskega razvoja Slovenije 2050 (ki je še v pripravi) in uresničevati ter povezovati cilje zagotavljanja poplavne varnosti, ohranjanje biotske raznovrstnosti in ekosistemskih storitev mokrišč. </w:t>
      </w:r>
    </w:p>
    <w:p w14:paraId="38142EA5" w14:textId="77777777" w:rsidR="00F215FF" w:rsidRPr="00545EC0" w:rsidRDefault="00F215FF" w:rsidP="00F215FF">
      <w:pPr>
        <w:rPr>
          <w:rFonts w:cs="Arial"/>
          <w:szCs w:val="20"/>
        </w:rPr>
      </w:pPr>
    </w:p>
    <w:p w14:paraId="794E4CA0" w14:textId="77777777" w:rsidR="00F215FF" w:rsidRPr="00545EC0" w:rsidRDefault="00F215FF" w:rsidP="00F215FF">
      <w:pPr>
        <w:rPr>
          <w:rFonts w:cs="Arial"/>
          <w:szCs w:val="20"/>
        </w:rPr>
      </w:pPr>
      <w:r w:rsidRPr="00545EC0">
        <w:rPr>
          <w:rFonts w:cs="Arial"/>
          <w:szCs w:val="20"/>
        </w:rPr>
        <w:t>Izraba obnovljivih virov energije in umeščanje potrebne infrastrukture za njeno izkoriščanje bo, skladno s podnebno strategijo, upoštevala prostorske in druge (varstvene) pogoje, elektrarne na obnovljive vire pa se bo gradilo s čim manj vplivi na okolje in skladno z načeli in zahtevami okoljske, varstvene in prostorske zakonodaje. Podnebna strategija nadalje opredeljuje, da je zaradi umeščanja elektrarn mogoče pričakovati, da bodo okoljski vplivi načrtovanih objektov (OVE nad 10 MW inštalirane moči) v okviru postopkov priprave državnih prostorskih načrtov (DPN), da bodo vplivi hidroelektrarn na vode ocenjeni kot bistveni. Podnebna strategija navaja, da bo Slovenija v teh primerih na predlog pobudnika v okviru postopkov prevlade druge javne koristi nad javno koristjo oziroma interesom ohranjanja narave in dobrega stanja voda skladno s slovensko in evropsko zakonodajo presodila in odločila, katera javna korist bo v konkretni zadevi prevladala.</w:t>
      </w:r>
    </w:p>
    <w:p w14:paraId="4BDE8A6A" w14:textId="77777777" w:rsidR="00F215FF" w:rsidRPr="00545EC0" w:rsidRDefault="00F215FF" w:rsidP="00F215FF">
      <w:pPr>
        <w:rPr>
          <w:rFonts w:cs="Arial"/>
          <w:szCs w:val="20"/>
        </w:rPr>
      </w:pPr>
    </w:p>
    <w:p w14:paraId="3370DAC0" w14:textId="20DEC66F" w:rsidR="00F215FF" w:rsidRPr="00545EC0" w:rsidRDefault="00F215FF" w:rsidP="00F215FF">
      <w:pPr>
        <w:rPr>
          <w:rFonts w:cs="Arial"/>
          <w:szCs w:val="20"/>
        </w:rPr>
      </w:pPr>
      <w:r w:rsidRPr="00545EC0">
        <w:rPr>
          <w:rFonts w:cs="Arial"/>
          <w:szCs w:val="20"/>
        </w:rPr>
        <w:t xml:space="preserve">V primeru, da bodo vplivi načrtovanih objektov na vode v okviru presoje vplivom </w:t>
      </w:r>
      <w:r w:rsidR="00357381" w:rsidRPr="00545EC0">
        <w:rPr>
          <w:rFonts w:cs="Arial"/>
          <w:szCs w:val="20"/>
        </w:rPr>
        <w:t>n</w:t>
      </w:r>
      <w:r w:rsidRPr="00545EC0">
        <w:rPr>
          <w:rFonts w:cs="Arial"/>
          <w:szCs w:val="20"/>
        </w:rPr>
        <w:t xml:space="preserve">a vode ocenjeni kot bistveni je v skladu s 56. členom </w:t>
      </w:r>
      <w:r w:rsidR="00E75CF8" w:rsidRPr="00545EC0">
        <w:rPr>
          <w:rFonts w:cs="Arial"/>
          <w:szCs w:val="20"/>
        </w:rPr>
        <w:t>z</w:t>
      </w:r>
      <w:r w:rsidRPr="00545EC0">
        <w:rPr>
          <w:rFonts w:cs="Arial"/>
          <w:szCs w:val="20"/>
        </w:rPr>
        <w:t xml:space="preserve">akona o vodah v teh primerih treba izkazati javni interes in </w:t>
      </w:r>
      <w:r w:rsidR="00357381" w:rsidRPr="00545EC0">
        <w:rPr>
          <w:rFonts w:cs="Arial"/>
          <w:szCs w:val="20"/>
        </w:rPr>
        <w:t xml:space="preserve">dokazati, </w:t>
      </w:r>
      <w:r w:rsidRPr="00545EC0">
        <w:rPr>
          <w:rFonts w:cs="Arial"/>
          <w:szCs w:val="20"/>
        </w:rPr>
        <w:t xml:space="preserve">da so koristi, ki jih imajo nova preoblikovanja ali spremembe za zdravje in varnost ljudi ali trajnostni razvoj, večje od koristi, ki jih ima doseganje ciljev za okolje in družbo, da koristnih ciljev ni mogoče zagotoviti na način, ki bi imel manjše škodljive posledice na okolje, da se zagotovi izvedba tehnično izvedljivih in sorazmernih ukrepov za blažitev škodljivih vplivov na vode in da so razlogi za spremembe posebej navedeni in obrazloženi v DPN ali v drugem aktu. Povzetek postopka utemeljevanj odstopanj od okoljskih ciljev iz 56. člena </w:t>
      </w:r>
      <w:r w:rsidR="00E75CF8" w:rsidRPr="00545EC0">
        <w:rPr>
          <w:rFonts w:cs="Arial"/>
          <w:szCs w:val="20"/>
        </w:rPr>
        <w:t>z</w:t>
      </w:r>
      <w:r w:rsidRPr="00545EC0">
        <w:rPr>
          <w:rFonts w:cs="Arial"/>
          <w:szCs w:val="20"/>
        </w:rPr>
        <w:t>akona o vodah je podan v okviru poglavja 5.5.3. tega načrta upravljanja voda.</w:t>
      </w:r>
    </w:p>
    <w:p w14:paraId="0B84D437" w14:textId="77777777" w:rsidR="00F215FF" w:rsidRPr="00545EC0" w:rsidRDefault="00F215FF" w:rsidP="00F215FF">
      <w:pPr>
        <w:rPr>
          <w:rFonts w:cs="Arial"/>
          <w:szCs w:val="20"/>
        </w:rPr>
      </w:pPr>
    </w:p>
    <w:p w14:paraId="01CDFB01" w14:textId="0ED9E7F4" w:rsidR="00F215FF" w:rsidRPr="00545EC0" w:rsidRDefault="00F215FF" w:rsidP="00F215FF">
      <w:pPr>
        <w:rPr>
          <w:rFonts w:cs="Arial"/>
          <w:szCs w:val="20"/>
        </w:rPr>
      </w:pPr>
      <w:r w:rsidRPr="00545EC0">
        <w:rPr>
          <w:rFonts w:cs="Arial"/>
          <w:szCs w:val="20"/>
        </w:rPr>
        <w:t>Podnebna strategija v okviru obnovljivih virov energije obravnava tudi geotermalno energijo. Ker se geotermalna energija uvršča med še ne dovolj izkoriščene potenciale OVE, bo Slovenija v skladu s podnebno strategijo povečala spodbujanje njenega izkoriščanja. Prednostno bo usmerjala trajnostno in učinkovito koriščenje toplote termalne vode iz geotermalnih vodonosnikov in plitve geotermalne energije. Prednostna področja in usmeritve rabe geotermalne energije bo določila Strategija ogrevanja in hlajenja z akcijskim načrtom, ki je v pripravi. Prednostno se bodo pripravile tudi analize ekonomičnosti izkoriščanja globoke geotermalne energije</w:t>
      </w:r>
      <w:r w:rsidR="00947428">
        <w:rPr>
          <w:rFonts w:cs="Arial"/>
          <w:szCs w:val="20"/>
        </w:rPr>
        <w:t>, vključno za proizvodnjo električne energije,</w:t>
      </w:r>
      <w:r w:rsidRPr="00545EC0">
        <w:rPr>
          <w:rFonts w:cs="Arial"/>
          <w:szCs w:val="20"/>
        </w:rPr>
        <w:t xml:space="preserve"> ter sprejeli konkretni cilji in ukrepi za njeno izkoriščanje.</w:t>
      </w:r>
    </w:p>
    <w:p w14:paraId="5623119B" w14:textId="77777777" w:rsidR="00F215FF" w:rsidRPr="00545EC0" w:rsidRDefault="00F215FF" w:rsidP="00F215FF">
      <w:pPr>
        <w:rPr>
          <w:rFonts w:cs="Arial"/>
          <w:szCs w:val="20"/>
        </w:rPr>
      </w:pPr>
    </w:p>
    <w:p w14:paraId="1A6742A7" w14:textId="1D6F5543" w:rsidR="00F215FF" w:rsidRPr="00545EC0" w:rsidRDefault="00F215FF" w:rsidP="00F215FF">
      <w:pPr>
        <w:rPr>
          <w:rFonts w:cs="Arial"/>
          <w:szCs w:val="20"/>
        </w:rPr>
      </w:pPr>
      <w:r w:rsidRPr="00545EC0">
        <w:rPr>
          <w:rFonts w:cs="Arial"/>
          <w:szCs w:val="20"/>
        </w:rPr>
        <w:t xml:space="preserve">V primeru izkoriščanja geotermalne energije je treba zagotavljati doseganje okoljskih ciljev za vodna telesa podzemnih voda, kot je navedeno v poglavju 5.1 tega načrta upravljanja voda. Z vidika koriščenja toplote termalne vode iz geotermalnih vodonosnikov in plitve geotermalne energije je treba zagotovi doseganje okoljskega cilja preprečitev ali omejitev vnašanja onesnaževal v podzemno vodo in okoljskega cilja varovanje, izboljšanje in obnavljanje vodnih teles podzemne vode ter zagotavljanje ravnotežja med odvzemanjem in obnavljanjem podzemne vode tako, da se doseže njeno dobro kemijsko in količinsko stanje v skladu s predpisi, ki urejajo varstvo okolja. </w:t>
      </w:r>
    </w:p>
    <w:p w14:paraId="0674B4E6" w14:textId="77777777" w:rsidR="00F215FF" w:rsidRPr="00545EC0" w:rsidRDefault="00F215FF" w:rsidP="00F215FF">
      <w:pPr>
        <w:rPr>
          <w:rFonts w:cs="Arial"/>
          <w:szCs w:val="20"/>
        </w:rPr>
      </w:pPr>
    </w:p>
    <w:p w14:paraId="464C7FD2" w14:textId="77777777" w:rsidR="00F215FF" w:rsidRPr="00545EC0" w:rsidRDefault="00F215FF" w:rsidP="00F215FF">
      <w:pPr>
        <w:rPr>
          <w:rFonts w:cs="Arial"/>
          <w:szCs w:val="20"/>
        </w:rPr>
      </w:pPr>
      <w:r w:rsidRPr="00545EC0">
        <w:rPr>
          <w:rFonts w:cs="Arial"/>
          <w:szCs w:val="20"/>
        </w:rPr>
        <w:t>Podnebna strategija določa, da bo Slovenija v prihodnosti spodbujala tudi krepitev človeških virov in znanj na področju prilagajanja oziroma na odpornosti na podnebne spremembe na področju upravljanja voda (Vlada RS(a), 2021).</w:t>
      </w:r>
    </w:p>
    <w:p w14:paraId="7FD071D4" w14:textId="77777777" w:rsidR="00F215FF" w:rsidRPr="00545EC0" w:rsidRDefault="00F215FF" w:rsidP="00F215FF">
      <w:pPr>
        <w:rPr>
          <w:rFonts w:cs="Arial"/>
          <w:szCs w:val="20"/>
        </w:rPr>
      </w:pPr>
    </w:p>
    <w:p w14:paraId="5F53D285" w14:textId="3FC414D4" w:rsidR="00C4603F" w:rsidRPr="00545EC0" w:rsidRDefault="00C4603F" w:rsidP="00C4603F">
      <w:pPr>
        <w:pStyle w:val="Naslov5"/>
        <w:rPr>
          <w:rFonts w:cs="Arial"/>
        </w:rPr>
      </w:pPr>
      <w:r w:rsidRPr="00545EC0">
        <w:rPr>
          <w:szCs w:val="26"/>
          <w:lang w:val="sl-SI"/>
        </w:rPr>
        <w:t>Sektor kmetijstva</w:t>
      </w:r>
    </w:p>
    <w:p w14:paraId="3CFDA5BD" w14:textId="2E5C98BC" w:rsidR="00675B63" w:rsidRPr="00545EC0" w:rsidRDefault="00675B63" w:rsidP="00675B63">
      <w:pPr>
        <w:pStyle w:val="podnaslov0"/>
        <w:rPr>
          <w:u w:val="single"/>
        </w:rPr>
      </w:pPr>
      <w:r w:rsidRPr="00545EC0">
        <w:rPr>
          <w:u w:val="single"/>
        </w:rPr>
        <w:t xml:space="preserve">Varstvo voda pred onesnaževanjem z nitrati iz kmetijskih virov </w:t>
      </w:r>
    </w:p>
    <w:p w14:paraId="69CC2151" w14:textId="77777777" w:rsidR="00675B63" w:rsidRPr="00545EC0" w:rsidRDefault="00675B63" w:rsidP="00675B63">
      <w:pPr>
        <w:rPr>
          <w:rFonts w:cs="Arial"/>
        </w:rPr>
      </w:pPr>
      <w:r w:rsidRPr="00545EC0">
        <w:rPr>
          <w:rFonts w:cs="Arial"/>
        </w:rPr>
        <w:t xml:space="preserve">Vnosi hranil (s poudarkom na nitratu) iz kmetijstva so v Sloveniji urejeni s predpisom, ki ureja varstvo voda pred onesnaževanjem z nitrati iz kmetijskih virov. </w:t>
      </w:r>
    </w:p>
    <w:p w14:paraId="57272293" w14:textId="77777777" w:rsidR="00675B63" w:rsidRPr="00545EC0" w:rsidRDefault="00675B63" w:rsidP="00675B63">
      <w:pPr>
        <w:rPr>
          <w:rFonts w:cs="Arial"/>
        </w:rPr>
      </w:pPr>
    </w:p>
    <w:p w14:paraId="13664ECD" w14:textId="0C48825C" w:rsidR="00675B63" w:rsidRPr="00545EC0" w:rsidRDefault="00675B63" w:rsidP="00675B63">
      <w:pPr>
        <w:rPr>
          <w:rFonts w:cs="Arial"/>
        </w:rPr>
      </w:pPr>
      <w:r w:rsidRPr="00545EC0">
        <w:rPr>
          <w:rFonts w:cs="Arial"/>
        </w:rPr>
        <w:t>Ocena učinka izvedenih ukrepov, ki je del ocene verjetnosti, da vodna telesa površinskih voda ne bodo dosegla okoljskih ciljev zaradi vpliva onesnaževanja s hranili, je ob upoštevanju podatkov bilance dušika ocen</w:t>
      </w:r>
      <w:r w:rsidR="008F6611" w:rsidRPr="00545EC0">
        <w:rPr>
          <w:rFonts w:cs="Arial"/>
        </w:rPr>
        <w:t xml:space="preserve">jena za celotno Slovenijo </w:t>
      </w:r>
      <w:r w:rsidR="00357381" w:rsidRPr="00545EC0">
        <w:rPr>
          <w:rFonts w:cs="Arial"/>
        </w:rPr>
        <w:t>s</w:t>
      </w:r>
      <w:r w:rsidR="008F6611" w:rsidRPr="00545EC0">
        <w:rPr>
          <w:rFonts w:cs="Arial"/>
        </w:rPr>
        <w:t xml:space="preserve"> »</w:t>
      </w:r>
      <w:r w:rsidRPr="00545EC0">
        <w:rPr>
          <w:rFonts w:cs="Arial"/>
        </w:rPr>
        <w:t>pričakovano izboljšanje« in kot taka ne omogoča ustreznega vrednotenja na ravni vodnih teles površinskih voda.</w:t>
      </w:r>
    </w:p>
    <w:p w14:paraId="08F48404" w14:textId="77777777" w:rsidR="00347476" w:rsidRPr="00545EC0" w:rsidRDefault="00347476" w:rsidP="00E05022">
      <w:pPr>
        <w:pStyle w:val="podnaslov0"/>
        <w:rPr>
          <w:u w:val="single"/>
        </w:rPr>
      </w:pPr>
      <w:r w:rsidRPr="00545EC0">
        <w:rPr>
          <w:u w:val="single"/>
        </w:rPr>
        <w:t>Skupna kmetijska politika za obdobje 2023–2027</w:t>
      </w:r>
    </w:p>
    <w:p w14:paraId="27793BE9" w14:textId="77777777" w:rsidR="00347476" w:rsidRPr="00545EC0" w:rsidRDefault="00347476" w:rsidP="00347476">
      <w:pPr>
        <w:rPr>
          <w:rFonts w:cs="Arial"/>
          <w:szCs w:val="20"/>
        </w:rPr>
      </w:pPr>
      <w:r w:rsidRPr="00545EC0">
        <w:rPr>
          <w:rFonts w:cs="Arial"/>
          <w:szCs w:val="20"/>
        </w:rPr>
        <w:t>Ministrstvo za kmetijstvo, gozdarstvo in prehrano Republike Slovenije je v novembru 2021 pripravilo in javno objavilo predlog Strateškega načrta za izvajanje Skupne kmetijske politike za obdobje 2023–2027, ki vsebuje strateške usmeritve za izvajanje Skupne kmetijske politike (v nadaljnjem besedilu: SKP). Dokument podaja nabor ukrepov (intervencij) in obravnava oba stebra SKP (I. steber, ki obsega neposredna plačila in sektorske ukrepe, in II. steber, ki obsega ukrepe razvoja podeželja). Prihodnja SKP za obdobje 2023–2027 temelji na treh splošnih ciljih in devetih specifičnih ciljih, ki so podkrepljeni s horizontalnim ciljem spodbujanja prenosa znanja, inovacij in digitalizacije v kmetijstvu in na podeželskih območjih.</w:t>
      </w:r>
      <w:r w:rsidRPr="00545EC0">
        <w:rPr>
          <w:rFonts w:cs="Arial"/>
          <w:szCs w:val="20"/>
        </w:rPr>
        <w:cr/>
      </w:r>
    </w:p>
    <w:p w14:paraId="70FC24CC" w14:textId="77777777" w:rsidR="00347476" w:rsidRPr="00545EC0" w:rsidRDefault="00347476" w:rsidP="00347476">
      <w:pPr>
        <w:rPr>
          <w:rFonts w:cs="Arial"/>
          <w:szCs w:val="20"/>
        </w:rPr>
      </w:pPr>
      <w:r w:rsidRPr="00545EC0">
        <w:rPr>
          <w:rFonts w:cs="Arial"/>
          <w:szCs w:val="20"/>
        </w:rPr>
        <w:t>SKP v okviru strateškega cilja »Podpora in krepitev varstva okolja, vključno z biotsko raznovrstnostjo, in podnebnih ukrepov ter prispevanje k doseganju okoljskih in podnebnih ciljev Unije, vključno z njenimi zavezami iz Pariškega sporazuma« določa podrobnejše strateške cilje, in sicer</w:t>
      </w:r>
    </w:p>
    <w:p w14:paraId="141C8712" w14:textId="77777777" w:rsidR="00347476" w:rsidRPr="00545EC0" w:rsidRDefault="00347476" w:rsidP="00347476">
      <w:pPr>
        <w:ind w:left="426"/>
        <w:rPr>
          <w:rFonts w:cs="Arial"/>
          <w:szCs w:val="20"/>
        </w:rPr>
      </w:pPr>
      <w:r w:rsidRPr="00545EC0">
        <w:rPr>
          <w:rFonts w:cs="Arial"/>
          <w:szCs w:val="20"/>
        </w:rPr>
        <w:t xml:space="preserve">SC 4: Prispevanje k blažitvi podnebnih sprememb in prilagajanju nanje ter k trajnostni energiji, </w:t>
      </w:r>
    </w:p>
    <w:p w14:paraId="257672AA" w14:textId="77777777" w:rsidR="00347476" w:rsidRPr="00545EC0" w:rsidRDefault="00347476" w:rsidP="00347476">
      <w:pPr>
        <w:ind w:left="426"/>
        <w:rPr>
          <w:rFonts w:cs="Arial"/>
          <w:szCs w:val="20"/>
        </w:rPr>
      </w:pPr>
      <w:r w:rsidRPr="00545EC0">
        <w:rPr>
          <w:rFonts w:cs="Arial"/>
          <w:szCs w:val="20"/>
        </w:rPr>
        <w:t xml:space="preserve">SC5: Spodbujanje trajnostnega razvoja in učinkovitega gospodarjenja z naravnimi viri, kot so voda, tla in zrak in </w:t>
      </w:r>
    </w:p>
    <w:p w14:paraId="4C19B548" w14:textId="11CAD8CF" w:rsidR="00347476" w:rsidRPr="00545EC0" w:rsidRDefault="00347476" w:rsidP="00347476">
      <w:pPr>
        <w:ind w:left="426"/>
        <w:rPr>
          <w:rFonts w:cs="Arial"/>
          <w:szCs w:val="20"/>
        </w:rPr>
      </w:pPr>
      <w:r w:rsidRPr="00545EC0">
        <w:rPr>
          <w:rFonts w:cs="Arial"/>
          <w:szCs w:val="20"/>
        </w:rPr>
        <w:t>SC 6: Prispevanje k varstvu biotske raznovrstnosti, krepitev ekosistemskih storitev ter ohranjanje habitatov in krajine</w:t>
      </w:r>
      <w:r w:rsidR="0064584D" w:rsidRPr="00545EC0">
        <w:rPr>
          <w:rFonts w:cs="Arial"/>
          <w:szCs w:val="20"/>
        </w:rPr>
        <w:t>.</w:t>
      </w:r>
    </w:p>
    <w:p w14:paraId="114C569D" w14:textId="77777777" w:rsidR="00347476" w:rsidRPr="00545EC0" w:rsidRDefault="00347476" w:rsidP="00347476">
      <w:pPr>
        <w:rPr>
          <w:rFonts w:cs="Arial"/>
          <w:szCs w:val="20"/>
        </w:rPr>
      </w:pPr>
    </w:p>
    <w:p w14:paraId="38A37524" w14:textId="77777777" w:rsidR="00347476" w:rsidRPr="00545EC0" w:rsidRDefault="00347476" w:rsidP="00347476">
      <w:pPr>
        <w:rPr>
          <w:rFonts w:cs="Arial"/>
          <w:szCs w:val="20"/>
        </w:rPr>
      </w:pPr>
      <w:r w:rsidRPr="00545EC0">
        <w:rPr>
          <w:rFonts w:cs="Arial"/>
          <w:szCs w:val="20"/>
        </w:rPr>
        <w:t>Okoljska arhitektura, z okrepljeno pogojenostjo kot osnovo, shemo za podnebje in okolje (v nadaljnjem besedilu: SOPO) ter ciljno naravnanimi kmetijsko okoljsko podnebnimi ukrepi (v nadaljnjem besedilu: KOPOP), ekološkim kmetovanjem in okoljskimi naložbami, je okoljsko bolj ambiciozna v  primerjavi s prejšnjim SKP 2015 – 2020. Prvič se uvajajo tudi plačila NATURA 2000.</w:t>
      </w:r>
    </w:p>
    <w:p w14:paraId="71D1B114" w14:textId="77777777" w:rsidR="00347476" w:rsidRPr="00545EC0" w:rsidRDefault="00347476" w:rsidP="00347476">
      <w:pPr>
        <w:rPr>
          <w:rFonts w:cs="Arial"/>
          <w:szCs w:val="20"/>
        </w:rPr>
      </w:pPr>
    </w:p>
    <w:p w14:paraId="148345A7" w14:textId="77777777" w:rsidR="00347476" w:rsidRPr="00545EC0" w:rsidRDefault="00347476" w:rsidP="00347476">
      <w:pPr>
        <w:rPr>
          <w:rFonts w:cs="Arial"/>
          <w:szCs w:val="20"/>
        </w:rPr>
      </w:pPr>
      <w:r w:rsidRPr="00545EC0">
        <w:rPr>
          <w:rFonts w:cs="Arial"/>
          <w:szCs w:val="20"/>
        </w:rPr>
        <w:t xml:space="preserve">V primerjavi z obdobje 2015 – 2020 se z novo SKP sistem pogojenosti zaostruje. Okrepljena okoljsko-podnebna pogojenost SKP 2023–2027 je usmerjena v združitev obstoječe navzkrižne skladnosti iz t.i. zelene komponente neposrednih plačil iz obdobja 2015 – 2020 v sistem »okrepljene pogojenosti«.  V zvezi s tem so bili v sistem pogojenosti preneseni novi, z vidika okolja in podnebja pomembni standardi (dobri kmetijski in okoljski pogoji - DKOP) kamor spadajo tudi varovalni pasovi ob vodotokih. Dodajajo se tudi nove predpisane zahteve ravnanja (PZR), ki izhajajo iz vodne direktive in Direktive 2009/128/ES za doseganje trajnostne rabe pesticidov (SKP - Strateški poudarki in bistvene novosti, 2021). </w:t>
      </w:r>
    </w:p>
    <w:p w14:paraId="6AE7E4A1" w14:textId="77777777" w:rsidR="00E05022" w:rsidRPr="00545EC0" w:rsidRDefault="00E05022" w:rsidP="00347476">
      <w:pPr>
        <w:rPr>
          <w:rFonts w:cs="Arial"/>
          <w:szCs w:val="20"/>
        </w:rPr>
      </w:pPr>
    </w:p>
    <w:p w14:paraId="4B42F77E" w14:textId="77777777" w:rsidR="00347476" w:rsidRPr="00545EC0" w:rsidRDefault="00347476" w:rsidP="00347476">
      <w:pPr>
        <w:rPr>
          <w:rFonts w:cs="Arial"/>
          <w:szCs w:val="20"/>
        </w:rPr>
      </w:pPr>
      <w:r w:rsidRPr="00545EC0">
        <w:rPr>
          <w:rFonts w:cs="Arial"/>
          <w:szCs w:val="20"/>
        </w:rPr>
        <w:t>Intervencije SKP, ki bodo prispevale k zmanjšanju onesnaževanja s hranili in fitofarmacevtskimi sredstvi iz kmetijstva, so:</w:t>
      </w:r>
    </w:p>
    <w:p w14:paraId="631D7616" w14:textId="77777777" w:rsidR="00347476" w:rsidRPr="00545EC0" w:rsidRDefault="00347476" w:rsidP="00347476">
      <w:pPr>
        <w:rPr>
          <w:rFonts w:cs="Arial"/>
          <w:szCs w:val="20"/>
        </w:rPr>
      </w:pPr>
      <w:r w:rsidRPr="00545EC0">
        <w:rPr>
          <w:rFonts w:cs="Arial"/>
          <w:szCs w:val="20"/>
        </w:rPr>
        <w:lastRenderedPageBreak/>
        <w:t>4.4.4.</w:t>
      </w:r>
      <w:r w:rsidRPr="00545EC0">
        <w:rPr>
          <w:rFonts w:cs="Arial"/>
          <w:szCs w:val="20"/>
        </w:rPr>
        <w:tab/>
        <w:t>Intervencija izgradnja namakalnih sistemov</w:t>
      </w:r>
    </w:p>
    <w:p w14:paraId="7C48179C" w14:textId="77777777" w:rsidR="00347476" w:rsidRPr="00545EC0" w:rsidRDefault="00347476" w:rsidP="00347476">
      <w:pPr>
        <w:rPr>
          <w:rFonts w:cs="Arial"/>
          <w:szCs w:val="20"/>
        </w:rPr>
      </w:pPr>
      <w:r w:rsidRPr="00545EC0">
        <w:rPr>
          <w:rFonts w:cs="Arial"/>
          <w:szCs w:val="20"/>
        </w:rPr>
        <w:t>4.4.5.</w:t>
      </w:r>
      <w:r w:rsidRPr="00545EC0">
        <w:rPr>
          <w:rFonts w:cs="Arial"/>
          <w:szCs w:val="20"/>
        </w:rPr>
        <w:tab/>
        <w:t>Intervencija tehnološke posodobitve namakalnih sistemov</w:t>
      </w:r>
    </w:p>
    <w:p w14:paraId="74BEB1E8" w14:textId="34019F57" w:rsidR="00347476" w:rsidRPr="00545EC0" w:rsidRDefault="00347476" w:rsidP="00347476">
      <w:pPr>
        <w:rPr>
          <w:rFonts w:cs="Arial"/>
          <w:szCs w:val="20"/>
        </w:rPr>
      </w:pPr>
      <w:r w:rsidRPr="00545EC0">
        <w:rPr>
          <w:rFonts w:cs="Arial"/>
          <w:szCs w:val="20"/>
        </w:rPr>
        <w:t>4.4.10.</w:t>
      </w:r>
      <w:r w:rsidR="00042ECA" w:rsidRPr="00545EC0">
        <w:rPr>
          <w:rFonts w:cs="Arial"/>
          <w:szCs w:val="20"/>
        </w:rPr>
        <w:t xml:space="preserve"> </w:t>
      </w:r>
      <w:r w:rsidRPr="00545EC0">
        <w:rPr>
          <w:rFonts w:cs="Arial"/>
          <w:szCs w:val="20"/>
        </w:rPr>
        <w:t>Intervencija naložbe v učinkovito rabo dušikovih gnojil</w:t>
      </w:r>
    </w:p>
    <w:p w14:paraId="52BC033F" w14:textId="77777777" w:rsidR="00347476" w:rsidRPr="00545EC0" w:rsidRDefault="00347476" w:rsidP="00347476">
      <w:pPr>
        <w:rPr>
          <w:rFonts w:cs="Arial"/>
          <w:szCs w:val="20"/>
        </w:rPr>
      </w:pPr>
      <w:r w:rsidRPr="00545EC0">
        <w:rPr>
          <w:rFonts w:cs="Arial"/>
          <w:szCs w:val="20"/>
        </w:rPr>
        <w:t>4.5.2.</w:t>
      </w:r>
      <w:r w:rsidRPr="00545EC0">
        <w:rPr>
          <w:rFonts w:cs="Arial"/>
          <w:szCs w:val="20"/>
        </w:rPr>
        <w:tab/>
        <w:t>Intervencija kmetijsko-okoljska-podnebna plačila (KOPOP)</w:t>
      </w:r>
    </w:p>
    <w:p w14:paraId="11D56C5E" w14:textId="77777777" w:rsidR="00347476" w:rsidRPr="00545EC0" w:rsidRDefault="00347476" w:rsidP="00347476">
      <w:pPr>
        <w:rPr>
          <w:rFonts w:cs="Arial"/>
          <w:szCs w:val="20"/>
        </w:rPr>
      </w:pPr>
      <w:r w:rsidRPr="00545EC0">
        <w:rPr>
          <w:rFonts w:cs="Arial"/>
          <w:szCs w:val="20"/>
        </w:rPr>
        <w:t xml:space="preserve">4.5.3. </w:t>
      </w:r>
      <w:r w:rsidRPr="00545EC0">
        <w:rPr>
          <w:rFonts w:cs="Arial"/>
          <w:szCs w:val="20"/>
        </w:rPr>
        <w:tab/>
        <w:t>Intervencija ekološko kmetovanje</w:t>
      </w:r>
    </w:p>
    <w:p w14:paraId="43AB1BE1" w14:textId="4A21894A" w:rsidR="00347476" w:rsidRPr="00545EC0" w:rsidRDefault="00347476" w:rsidP="00347476">
      <w:pPr>
        <w:rPr>
          <w:rFonts w:cs="Arial"/>
          <w:szCs w:val="20"/>
        </w:rPr>
      </w:pPr>
      <w:r w:rsidRPr="00545EC0">
        <w:rPr>
          <w:rFonts w:cs="Arial"/>
          <w:szCs w:val="20"/>
        </w:rPr>
        <w:t>4.5.4.</w:t>
      </w:r>
      <w:r w:rsidRPr="00545EC0">
        <w:rPr>
          <w:rFonts w:cs="Arial"/>
          <w:szCs w:val="20"/>
        </w:rPr>
        <w:tab/>
        <w:t xml:space="preserve">Intervencija naložbe v nakup kmetijske mehanizacije za optimalno uporabo hranil in trajnostno rabo </w:t>
      </w:r>
      <w:r w:rsidR="00042ECA" w:rsidRPr="00545EC0">
        <w:rPr>
          <w:rFonts w:cs="Arial"/>
          <w:szCs w:val="20"/>
        </w:rPr>
        <w:t>fitofarmacevtskih sredstev</w:t>
      </w:r>
    </w:p>
    <w:p w14:paraId="16595664" w14:textId="77777777" w:rsidR="00347476" w:rsidRPr="00545EC0" w:rsidRDefault="00347476" w:rsidP="00347476">
      <w:pPr>
        <w:rPr>
          <w:rFonts w:cs="Arial"/>
          <w:szCs w:val="20"/>
        </w:rPr>
      </w:pPr>
      <w:r w:rsidRPr="00545EC0">
        <w:rPr>
          <w:rFonts w:cs="Arial"/>
          <w:szCs w:val="20"/>
        </w:rPr>
        <w:t>4.6.3.</w:t>
      </w:r>
      <w:r w:rsidRPr="00545EC0">
        <w:rPr>
          <w:rFonts w:cs="Arial"/>
          <w:szCs w:val="20"/>
        </w:rPr>
        <w:tab/>
        <w:t>Intervencija shema za podnebje in okolje (SOPO)</w:t>
      </w:r>
    </w:p>
    <w:p w14:paraId="7C53F106" w14:textId="77777777" w:rsidR="00347476" w:rsidRPr="00545EC0" w:rsidRDefault="00347476" w:rsidP="00347476">
      <w:pPr>
        <w:rPr>
          <w:rFonts w:cs="Arial"/>
          <w:szCs w:val="20"/>
        </w:rPr>
      </w:pPr>
      <w:r w:rsidRPr="00545EC0">
        <w:rPr>
          <w:rFonts w:cs="Arial"/>
          <w:szCs w:val="20"/>
        </w:rPr>
        <w:t xml:space="preserve">4.6.3. </w:t>
      </w:r>
      <w:r w:rsidRPr="00545EC0">
        <w:rPr>
          <w:rFonts w:cs="Arial"/>
          <w:szCs w:val="20"/>
        </w:rPr>
        <w:tab/>
        <w:t>Intervencija shema za podnebje in okolje</w:t>
      </w:r>
    </w:p>
    <w:p w14:paraId="3B5263F3" w14:textId="2DEC2B22" w:rsidR="00347476" w:rsidRPr="00545EC0" w:rsidRDefault="00347476" w:rsidP="00347476">
      <w:pPr>
        <w:rPr>
          <w:rFonts w:cs="Arial"/>
          <w:szCs w:val="20"/>
        </w:rPr>
      </w:pPr>
      <w:r w:rsidRPr="00545EC0">
        <w:rPr>
          <w:rFonts w:cs="Arial"/>
          <w:szCs w:val="20"/>
        </w:rPr>
        <w:t xml:space="preserve">4.6.7. </w:t>
      </w:r>
      <w:r w:rsidRPr="00545EC0">
        <w:rPr>
          <w:rFonts w:cs="Arial"/>
          <w:szCs w:val="20"/>
        </w:rPr>
        <w:tab/>
        <w:t>Intervencija neproizvodne naložbe povezane z izvajanjem naravovarstvenih podintervencij SN 2023-2027</w:t>
      </w:r>
      <w:r w:rsidR="0064584D" w:rsidRPr="00545EC0">
        <w:rPr>
          <w:rFonts w:cs="Arial"/>
          <w:szCs w:val="20"/>
        </w:rPr>
        <w:t>.</w:t>
      </w:r>
    </w:p>
    <w:p w14:paraId="62D122FD" w14:textId="77777777" w:rsidR="00347476" w:rsidRPr="00545EC0" w:rsidRDefault="00347476" w:rsidP="00347476">
      <w:pPr>
        <w:rPr>
          <w:rFonts w:cs="Arial"/>
          <w:szCs w:val="20"/>
        </w:rPr>
      </w:pPr>
    </w:p>
    <w:p w14:paraId="356EAE3A" w14:textId="77777777" w:rsidR="00E05022" w:rsidRPr="00545EC0" w:rsidRDefault="00E05022" w:rsidP="00347476">
      <w:pPr>
        <w:rPr>
          <w:rFonts w:cs="Arial"/>
          <w:szCs w:val="20"/>
        </w:rPr>
      </w:pPr>
    </w:p>
    <w:p w14:paraId="740F2F4E" w14:textId="48564E27" w:rsidR="00E05022" w:rsidRPr="00545EC0" w:rsidRDefault="008F6611" w:rsidP="00E05022">
      <w:pPr>
        <w:pStyle w:val="odstavek0"/>
        <w:spacing w:before="0" w:beforeAutospacing="0" w:after="0" w:afterAutospacing="0"/>
        <w:jc w:val="both"/>
        <w:rPr>
          <w:rFonts w:cs="Arial"/>
        </w:rPr>
      </w:pPr>
      <w:r w:rsidRPr="00545EC0">
        <w:rPr>
          <w:rFonts w:ascii="Arial" w:hAnsi="Arial" w:cs="Arial"/>
          <w:sz w:val="20"/>
          <w:szCs w:val="20"/>
        </w:rPr>
        <w:t xml:space="preserve">Skupna strokovna ocena vpliva ukrepov in prihodnjega razvoja na stanje voda je ob upoštevanju navedenih </w:t>
      </w:r>
      <w:r w:rsidR="00084CE0">
        <w:rPr>
          <w:rFonts w:ascii="Arial" w:hAnsi="Arial" w:cs="Arial"/>
          <w:sz w:val="20"/>
          <w:szCs w:val="20"/>
        </w:rPr>
        <w:t xml:space="preserve">informacij </w:t>
      </w:r>
      <w:r w:rsidRPr="00545EC0">
        <w:rPr>
          <w:rFonts w:ascii="Arial" w:hAnsi="Arial" w:cs="Arial"/>
          <w:sz w:val="20"/>
          <w:szCs w:val="20"/>
        </w:rPr>
        <w:t xml:space="preserve">ocenjena z »nespremenjeno«. V navedenem primeru vpliva na stanje voda ni mogoče oceniti ker je SN-SKP v javni obravnavi in </w:t>
      </w:r>
      <w:r w:rsidR="00042ECA" w:rsidRPr="00545EC0">
        <w:rPr>
          <w:rFonts w:ascii="Arial" w:hAnsi="Arial" w:cs="Arial"/>
          <w:sz w:val="20"/>
          <w:szCs w:val="20"/>
        </w:rPr>
        <w:t>se ukrepi in aktivnosti v okviru navedenih intervencij lahko še spreminjajo.</w:t>
      </w:r>
    </w:p>
    <w:p w14:paraId="1FFE2647" w14:textId="77777777" w:rsidR="00E05022" w:rsidRPr="00545EC0" w:rsidRDefault="00E05022" w:rsidP="00347476">
      <w:pPr>
        <w:rPr>
          <w:rFonts w:cs="Arial"/>
          <w:szCs w:val="20"/>
        </w:rPr>
      </w:pPr>
    </w:p>
    <w:p w14:paraId="6191ECA2" w14:textId="77777777" w:rsidR="00347476" w:rsidRPr="00545EC0" w:rsidRDefault="00347476" w:rsidP="00042ECA">
      <w:pPr>
        <w:pStyle w:val="podnaslov0"/>
        <w:rPr>
          <w:u w:val="single"/>
        </w:rPr>
      </w:pPr>
      <w:r w:rsidRPr="00545EC0">
        <w:rPr>
          <w:u w:val="single"/>
        </w:rPr>
        <w:t>Ribiško upravljanje</w:t>
      </w:r>
    </w:p>
    <w:p w14:paraId="362FF1E5" w14:textId="6802E340" w:rsidR="00347476" w:rsidRPr="00545EC0" w:rsidRDefault="00347476" w:rsidP="00C4603F">
      <w:pPr>
        <w:spacing w:line="276" w:lineRule="auto"/>
        <w:rPr>
          <w:rFonts w:cs="Arial"/>
          <w:szCs w:val="20"/>
        </w:rPr>
      </w:pPr>
      <w:r w:rsidRPr="00545EC0">
        <w:rPr>
          <w:rFonts w:cs="Arial"/>
          <w:szCs w:val="20"/>
        </w:rPr>
        <w:t>Zakonom o sladkovodnem ribištvu (ZSRib) določa, da upravljanje rib med drugim obsega naloge v zvezi z ohranjanjem ugodnega stanja rib in doseganja dobrega ekološkega stanja. Zagotavljanje ugodnega stanja rib in dobrega ekološkega stanja je neposredno povezano z ohranjanjem habitatov. Poleg hidroloških in geoloških lastnosti je za ribje združbe pomembna tudi kakovost vode oziroma stanje površinskih voda</w:t>
      </w:r>
      <w:r w:rsidR="00042ECA" w:rsidRPr="00545EC0">
        <w:rPr>
          <w:rFonts w:cs="Arial"/>
          <w:szCs w:val="20"/>
        </w:rPr>
        <w:t>.</w:t>
      </w:r>
      <w:r w:rsidRPr="00545EC0">
        <w:rPr>
          <w:rFonts w:cs="Arial"/>
          <w:szCs w:val="20"/>
        </w:rPr>
        <w:t xml:space="preserve"> Zato je </w:t>
      </w:r>
      <w:r w:rsidR="00042ECA" w:rsidRPr="00545EC0">
        <w:rPr>
          <w:rFonts w:cs="Arial"/>
          <w:szCs w:val="20"/>
        </w:rPr>
        <w:t>treba zagotoviti</w:t>
      </w:r>
      <w:r w:rsidRPr="00545EC0">
        <w:rPr>
          <w:rFonts w:cs="Arial"/>
          <w:szCs w:val="20"/>
        </w:rPr>
        <w:t xml:space="preserve"> medsebojn</w:t>
      </w:r>
      <w:r w:rsidR="00042ECA" w:rsidRPr="00545EC0">
        <w:rPr>
          <w:rFonts w:cs="Arial"/>
          <w:szCs w:val="20"/>
        </w:rPr>
        <w:t>o</w:t>
      </w:r>
      <w:r w:rsidRPr="00545EC0">
        <w:rPr>
          <w:rFonts w:cs="Arial"/>
          <w:szCs w:val="20"/>
        </w:rPr>
        <w:t xml:space="preserve"> usklajenost načrtov upravljanja voda in načrtov za izvajanje ribiškega upravljanja.</w:t>
      </w:r>
    </w:p>
    <w:p w14:paraId="036338E2" w14:textId="77777777" w:rsidR="00042ECA" w:rsidRPr="00545EC0" w:rsidRDefault="00042ECA" w:rsidP="00C4603F">
      <w:pPr>
        <w:spacing w:line="276" w:lineRule="auto"/>
        <w:rPr>
          <w:rFonts w:cs="Arial"/>
          <w:szCs w:val="20"/>
        </w:rPr>
      </w:pPr>
    </w:p>
    <w:p w14:paraId="685FBF5F" w14:textId="77777777" w:rsidR="00347476" w:rsidRPr="00545EC0" w:rsidRDefault="00347476" w:rsidP="00C4603F">
      <w:pPr>
        <w:spacing w:line="276" w:lineRule="auto"/>
        <w:rPr>
          <w:rFonts w:cs="Arial"/>
          <w:szCs w:val="20"/>
        </w:rPr>
      </w:pPr>
      <w:r w:rsidRPr="00545EC0">
        <w:rPr>
          <w:rFonts w:cs="Arial"/>
          <w:szCs w:val="20"/>
        </w:rPr>
        <w:t xml:space="preserve">Načrtovanje na področju upravljanja rib je postopek priprave dokumentov, ki določajo izvajanje ribiškega upravljanja in se v Sloveniji izvaja na podlagi sledečih dokumentov: </w:t>
      </w:r>
    </w:p>
    <w:p w14:paraId="3C3D8FE8" w14:textId="77777777" w:rsidR="00347476" w:rsidRPr="00545EC0" w:rsidRDefault="00347476" w:rsidP="00DD37C5">
      <w:pPr>
        <w:pStyle w:val="Odstavekseznama"/>
        <w:numPr>
          <w:ilvl w:val="0"/>
          <w:numId w:val="120"/>
        </w:numPr>
        <w:overflowPunct/>
        <w:autoSpaceDE/>
        <w:autoSpaceDN/>
        <w:adjustRightInd/>
        <w:spacing w:line="276" w:lineRule="auto"/>
        <w:contextualSpacing/>
        <w:textAlignment w:val="auto"/>
        <w:rPr>
          <w:rFonts w:cs="Arial"/>
          <w:szCs w:val="20"/>
        </w:rPr>
      </w:pPr>
      <w:r w:rsidRPr="00545EC0">
        <w:rPr>
          <w:rFonts w:cs="Arial"/>
          <w:szCs w:val="20"/>
        </w:rPr>
        <w:t>Program upravljanja rib v celinskih vodah Republike Slovenije za obdobje 2010 – 2021 (Vlada RS, 2015)</w:t>
      </w:r>
    </w:p>
    <w:p w14:paraId="20C67C71" w14:textId="77777777" w:rsidR="00347476" w:rsidRPr="00545EC0" w:rsidRDefault="00347476" w:rsidP="00DD37C5">
      <w:pPr>
        <w:pStyle w:val="Odstavekseznama"/>
        <w:numPr>
          <w:ilvl w:val="0"/>
          <w:numId w:val="120"/>
        </w:numPr>
        <w:overflowPunct/>
        <w:autoSpaceDE/>
        <w:autoSpaceDN/>
        <w:adjustRightInd/>
        <w:spacing w:line="276" w:lineRule="auto"/>
        <w:contextualSpacing/>
        <w:textAlignment w:val="auto"/>
        <w:rPr>
          <w:rFonts w:cs="Arial"/>
          <w:szCs w:val="20"/>
        </w:rPr>
      </w:pPr>
      <w:r w:rsidRPr="00545EC0">
        <w:rPr>
          <w:rFonts w:cs="Arial"/>
          <w:szCs w:val="20"/>
        </w:rPr>
        <w:t>načrtov upravljanja ribiških območij za dvanajst ribiških območij V Sloveniji,</w:t>
      </w:r>
    </w:p>
    <w:p w14:paraId="79A0C7A0" w14:textId="77777777" w:rsidR="00347476" w:rsidRPr="00545EC0" w:rsidRDefault="00347476" w:rsidP="00DD37C5">
      <w:pPr>
        <w:pStyle w:val="Odstavekseznama"/>
        <w:numPr>
          <w:ilvl w:val="0"/>
          <w:numId w:val="120"/>
        </w:numPr>
        <w:overflowPunct/>
        <w:autoSpaceDE/>
        <w:autoSpaceDN/>
        <w:adjustRightInd/>
        <w:spacing w:line="276" w:lineRule="auto"/>
        <w:contextualSpacing/>
        <w:textAlignment w:val="auto"/>
        <w:rPr>
          <w:rFonts w:cs="Arial"/>
          <w:szCs w:val="20"/>
        </w:rPr>
      </w:pPr>
      <w:r w:rsidRPr="00545EC0">
        <w:rPr>
          <w:rFonts w:cs="Arial"/>
          <w:szCs w:val="20"/>
        </w:rPr>
        <w:t xml:space="preserve">ribiškogojitvenih načrtov upravljanja ribiških okolišev (RGN), ki jih na predlog Zavoda za ribištvo Slovenije sprejme minister, pristojen za kmetijstvo, v soglasju z ministrom, pristojnim za ohranjanje narave, in ministrom, pristojnim za vode, </w:t>
      </w:r>
    </w:p>
    <w:p w14:paraId="28173764" w14:textId="77777777" w:rsidR="00347476" w:rsidRPr="00545EC0" w:rsidRDefault="00347476" w:rsidP="00DD37C5">
      <w:pPr>
        <w:pStyle w:val="Odstavekseznama"/>
        <w:numPr>
          <w:ilvl w:val="0"/>
          <w:numId w:val="120"/>
        </w:numPr>
        <w:overflowPunct/>
        <w:autoSpaceDE/>
        <w:autoSpaceDN/>
        <w:adjustRightInd/>
        <w:spacing w:line="276" w:lineRule="auto"/>
        <w:contextualSpacing/>
        <w:textAlignment w:val="auto"/>
        <w:rPr>
          <w:rFonts w:cs="Arial"/>
          <w:szCs w:val="20"/>
        </w:rPr>
      </w:pPr>
      <w:r w:rsidRPr="00545EC0">
        <w:rPr>
          <w:rFonts w:cs="Arial"/>
          <w:szCs w:val="20"/>
        </w:rPr>
        <w:t>letne programe (LPR) ribiškega upravljanja, ki urejajo izvajanje ribiškogojitvenih načrtov za posamezno leto in ga pripravijo ribiške družine.</w:t>
      </w:r>
    </w:p>
    <w:p w14:paraId="1DB4D152" w14:textId="77777777" w:rsidR="00347476" w:rsidRPr="00545EC0" w:rsidRDefault="00347476" w:rsidP="00C4603F">
      <w:pPr>
        <w:pStyle w:val="Odstavekseznama"/>
        <w:spacing w:line="276" w:lineRule="auto"/>
        <w:rPr>
          <w:rFonts w:cs="Arial"/>
          <w:szCs w:val="20"/>
        </w:rPr>
      </w:pPr>
    </w:p>
    <w:p w14:paraId="58C93942" w14:textId="77777777" w:rsidR="00C4603F" w:rsidRPr="00545EC0" w:rsidRDefault="00C4603F" w:rsidP="00C4603F">
      <w:pPr>
        <w:spacing w:line="276" w:lineRule="auto"/>
        <w:rPr>
          <w:rFonts w:cs="Arial"/>
          <w:szCs w:val="20"/>
        </w:rPr>
      </w:pPr>
    </w:p>
    <w:p w14:paraId="3CCEF009" w14:textId="77777777" w:rsidR="00347476" w:rsidRPr="00545EC0" w:rsidRDefault="00347476" w:rsidP="00C4603F">
      <w:pPr>
        <w:spacing w:line="276" w:lineRule="auto"/>
        <w:rPr>
          <w:rFonts w:cs="Arial"/>
          <w:szCs w:val="20"/>
        </w:rPr>
      </w:pPr>
      <w:r w:rsidRPr="00545EC0">
        <w:rPr>
          <w:rFonts w:cs="Arial"/>
          <w:szCs w:val="20"/>
        </w:rPr>
        <w:t xml:space="preserve">S programom upravljanja rib se opredelijo zlasti dolgoročne usmeritve upravljanja rib na državni ravni, določijo se cilji, naloge in ukrepi ter potrebna finančna sredstva. Program vsebuje oceno stanja, cilje in usmeritve za doseganje ciljev upravljanja rib, oceno pričakovanih učinkov in potrebnih finančnih sredstev za doseganje ciljev in ukrepe za ohranjanje ugodnega stanja ogroženih rib v skladu s predpisi o ohranjanju narave. </w:t>
      </w:r>
    </w:p>
    <w:p w14:paraId="1089E2FD" w14:textId="77777777" w:rsidR="00042ECA" w:rsidRPr="00545EC0" w:rsidRDefault="00042ECA" w:rsidP="00347476">
      <w:pPr>
        <w:rPr>
          <w:rFonts w:cs="Arial"/>
          <w:szCs w:val="20"/>
        </w:rPr>
      </w:pPr>
    </w:p>
    <w:p w14:paraId="69DB5A6A" w14:textId="133EE50A" w:rsidR="00347476" w:rsidRPr="00545EC0" w:rsidRDefault="00347476" w:rsidP="00347476">
      <w:pPr>
        <w:rPr>
          <w:rFonts w:cs="Arial"/>
          <w:szCs w:val="20"/>
        </w:rPr>
      </w:pPr>
      <w:r w:rsidRPr="00545EC0">
        <w:rPr>
          <w:rFonts w:cs="Arial"/>
          <w:szCs w:val="20"/>
        </w:rPr>
        <w:t>V načrtih upravljanja ribiških območij se za vseh dvanajst ribiških območij na podlagi programa upravljanja rib izdela načrt ribiškega upravljanja. To je strokovna podlaga za celovito ribiško upravljanj</w:t>
      </w:r>
      <w:r w:rsidR="0064584D" w:rsidRPr="00545EC0">
        <w:rPr>
          <w:rFonts w:cs="Arial"/>
          <w:szCs w:val="20"/>
        </w:rPr>
        <w:t>e</w:t>
      </w:r>
      <w:r w:rsidRPr="00545EC0">
        <w:rPr>
          <w:rFonts w:cs="Arial"/>
          <w:szCs w:val="20"/>
        </w:rPr>
        <w:t xml:space="preserve"> posameznega ribiškega območja in mora biti odraz ekosistemskih značilnosti. Načrt upravljanja ribiških območij določa temeljne usmeritve za ohranitev in trajnostno rabo rib v ribiškem območju, načela posegov v populacije posameznih vrst rib, usmeritve za poribljavanje in gojitev rib ter </w:t>
      </w:r>
      <w:r w:rsidRPr="00545EC0">
        <w:rPr>
          <w:rFonts w:cs="Arial"/>
          <w:szCs w:val="20"/>
        </w:rPr>
        <w:lastRenderedPageBreak/>
        <w:t>usmeritve za varstvo tistih delov ribiškega območja, ki so zavarovani po predpisih o ohranjanju narave. Načrt upravljanja ribiških območij se izdela za obdobje šestih let (Vlada RS(b), 2015).</w:t>
      </w:r>
    </w:p>
    <w:p w14:paraId="579FD726" w14:textId="77777777" w:rsidR="00C4603F" w:rsidRPr="00545EC0" w:rsidRDefault="00C4603F" w:rsidP="00347476">
      <w:pPr>
        <w:rPr>
          <w:rFonts w:cs="Arial"/>
          <w:szCs w:val="20"/>
        </w:rPr>
      </w:pPr>
    </w:p>
    <w:p w14:paraId="6A8AC4EB" w14:textId="77777777" w:rsidR="00C4603F" w:rsidRPr="00545EC0" w:rsidRDefault="00C4603F" w:rsidP="00C4603F">
      <w:pPr>
        <w:rPr>
          <w:b/>
          <w:u w:val="single"/>
        </w:rPr>
      </w:pPr>
      <w:r w:rsidRPr="00545EC0">
        <w:rPr>
          <w:b/>
          <w:u w:val="single"/>
        </w:rPr>
        <w:t>Načrt razvoja namakanja</w:t>
      </w:r>
    </w:p>
    <w:p w14:paraId="68B163EE" w14:textId="77777777" w:rsidR="00C4603F" w:rsidRPr="00545EC0" w:rsidRDefault="00C4603F" w:rsidP="00C4603F"/>
    <w:p w14:paraId="78538543" w14:textId="77777777" w:rsidR="00C4603F" w:rsidRPr="00545EC0" w:rsidRDefault="00C4603F" w:rsidP="00C4603F">
      <w:pPr>
        <w:rPr>
          <w:rFonts w:cs="Arial"/>
          <w:szCs w:val="20"/>
        </w:rPr>
      </w:pPr>
      <w:r w:rsidRPr="00545EC0">
        <w:rPr>
          <w:rFonts w:cs="Arial"/>
          <w:szCs w:val="20"/>
        </w:rPr>
        <w:t>Načrt razvoja namakanja in rabe vode za namakanje v kmetijstvu v Republiki Sloveniji do leta 2023 ter Program ukrepov za izvedbo načrta razvoja namakanja in rabe vode za namakanje v kmetijstvu v Republiki Sloveniji do leta 2023 je bil sprejet v letu 2017.</w:t>
      </w:r>
    </w:p>
    <w:p w14:paraId="372C5972" w14:textId="77777777" w:rsidR="00C4603F" w:rsidRPr="00545EC0" w:rsidRDefault="00C4603F" w:rsidP="00C4603F">
      <w:pPr>
        <w:rPr>
          <w:rFonts w:cs="Arial"/>
          <w:szCs w:val="20"/>
        </w:rPr>
      </w:pPr>
    </w:p>
    <w:p w14:paraId="3B7038DD" w14:textId="77777777" w:rsidR="00C4603F" w:rsidRPr="00545EC0" w:rsidRDefault="00C4603F" w:rsidP="00C4603F">
      <w:pPr>
        <w:rPr>
          <w:rFonts w:cs="Arial"/>
          <w:szCs w:val="20"/>
        </w:rPr>
      </w:pPr>
      <w:r w:rsidRPr="00545EC0">
        <w:rPr>
          <w:rFonts w:cs="Arial"/>
          <w:szCs w:val="20"/>
        </w:rPr>
        <w:t>Namen Načrta razvoja namakanja in rabe vode za namakanje v kmetijstvu v Republiki Sloveniji do leta 2023 je določitev območij, kjer je namakanje kmetijskih površin najbolj smiselno glede na primernost zemljišč za kmetijsko pridelavo, dostopnost vodnih virov za namakanje in interes kmetijskih pridelovalcev za namakanje, ter opredelitev ključnih ukrepov in aktivnosti, ki so usmerjeni k ohranjanju in izboljševanju pridelovalnega potenciala ter povečevanju obsega kmetijskih zemljišč za pridelavo hrane.</w:t>
      </w:r>
    </w:p>
    <w:p w14:paraId="5B4256F1" w14:textId="77777777" w:rsidR="00C4603F" w:rsidRPr="00545EC0" w:rsidRDefault="00C4603F" w:rsidP="00C4603F">
      <w:pPr>
        <w:rPr>
          <w:rFonts w:cs="Arial"/>
          <w:szCs w:val="20"/>
        </w:rPr>
      </w:pPr>
    </w:p>
    <w:p w14:paraId="1B0E4188" w14:textId="77777777" w:rsidR="00C4603F" w:rsidRPr="00545EC0" w:rsidRDefault="00C4603F" w:rsidP="00C4603F">
      <w:pPr>
        <w:rPr>
          <w:rFonts w:cs="Arial"/>
          <w:szCs w:val="20"/>
        </w:rPr>
      </w:pPr>
      <w:r w:rsidRPr="00545EC0">
        <w:rPr>
          <w:rFonts w:cs="Arial"/>
          <w:szCs w:val="20"/>
        </w:rPr>
        <w:t>Uvedba namakalnih sistemov se načrtuje na območjih, kjer je to predvideno v prostorskih načrtih lokalnih skupnosti z upoštevanjem erozivnosti, plazljivosti, plazovitosti in poplavnosti, ob soglasju pristojnih služb s področja varstva narave in kulturne dediščine ter drugih zavarovanih in varovanih območij.</w:t>
      </w:r>
    </w:p>
    <w:p w14:paraId="0CF4BA0D" w14:textId="77777777" w:rsidR="00C4603F" w:rsidRPr="00545EC0" w:rsidRDefault="00C4603F" w:rsidP="00C4603F">
      <w:pPr>
        <w:rPr>
          <w:rFonts w:cs="Arial"/>
          <w:szCs w:val="20"/>
        </w:rPr>
      </w:pPr>
    </w:p>
    <w:p w14:paraId="23924EAE" w14:textId="77777777" w:rsidR="00C4603F" w:rsidRPr="00545EC0" w:rsidRDefault="00C4603F" w:rsidP="00C4603F">
      <w:pPr>
        <w:rPr>
          <w:rFonts w:cs="Arial"/>
          <w:szCs w:val="20"/>
        </w:rPr>
      </w:pPr>
      <w:r w:rsidRPr="00545EC0">
        <w:rPr>
          <w:rFonts w:cs="Arial"/>
          <w:szCs w:val="20"/>
        </w:rPr>
        <w:t>Pri gradnji namakalnih sistemov morajo biti izbrane tehnologije namakanja, ki bodo zagotavljale doseganje dobrega količinskega, ekološkega in kemijskega stanja voda ter preprečevale poslabšanje stanja voda, evtrofikacijo ter onesnaževanje površinskih in podzemnih voda.</w:t>
      </w:r>
    </w:p>
    <w:p w14:paraId="3EE12767" w14:textId="77777777" w:rsidR="00C4603F" w:rsidRPr="00545EC0" w:rsidRDefault="00C4603F" w:rsidP="00C4603F">
      <w:pPr>
        <w:rPr>
          <w:rFonts w:cs="Arial"/>
          <w:szCs w:val="20"/>
        </w:rPr>
      </w:pPr>
    </w:p>
    <w:p w14:paraId="5EB16B1D" w14:textId="6EE57830" w:rsidR="00C4603F" w:rsidRPr="00545EC0" w:rsidRDefault="00C4603F" w:rsidP="00C4603F">
      <w:pPr>
        <w:rPr>
          <w:rFonts w:cs="Arial"/>
          <w:szCs w:val="20"/>
        </w:rPr>
      </w:pPr>
      <w:r w:rsidRPr="00545EC0">
        <w:rPr>
          <w:rFonts w:cs="Arial"/>
          <w:szCs w:val="20"/>
        </w:rPr>
        <w:t>Predlog območij za gradnjo namakalnih sistemov iz predmetnega Načrta razvoja namakanja in rabe vode za namakanje v kmetijstvu obsega skupno 9.059 ha namakalnih sistemov z več uporabniki (Podravje: 3.230 ha, Savinjska dolina: 124 ha, Posavje: 100 ha, Zgornja Primorska: 2.711 ha, Pomurje: 600 ha, Spodnja Primorska: 224 ha,  Osrednja Slovenija: 1310 ha, Gorenjska: 760 ha) ter skupno 912 ha namakalnih sistemov z enim uporabnikom (Podravje: 135 ha, Savinjska dolina: 90ha, Posavje: 255 ha, Zgornja Primorska: 150 ha, Pomurje: 82 ha, Spodnja Primorska: 80 ha, Osrednja Slovenija: 90 ha, Gorenjska: 30 ha). Prav tako je predvidena posodobitev namakalnih sistemov v skupnem obsegu 2.471 ha (Podravje: 645 ha, Savinjska dolina: 1.698 ha, Posavje: 128 ha) (Vlada RS(b), 2017).</w:t>
      </w:r>
    </w:p>
    <w:p w14:paraId="2A0DB2A2" w14:textId="77777777" w:rsidR="00C4603F" w:rsidRPr="00545EC0" w:rsidRDefault="00C4603F" w:rsidP="00347476">
      <w:pPr>
        <w:rPr>
          <w:rFonts w:cs="Arial"/>
          <w:szCs w:val="20"/>
        </w:rPr>
      </w:pPr>
    </w:p>
    <w:p w14:paraId="1027DBF3" w14:textId="4D51D1D9" w:rsidR="00042ECA" w:rsidRDefault="008F6611" w:rsidP="00347476">
      <w:pPr>
        <w:rPr>
          <w:rFonts w:cs="Arial"/>
        </w:rPr>
      </w:pPr>
      <w:r w:rsidRPr="00545EC0">
        <w:rPr>
          <w:rFonts w:cs="Arial"/>
          <w:szCs w:val="22"/>
        </w:rPr>
        <w:t xml:space="preserve">Skupna strokovna ocena vpliva ukrepov in prihodnjega razvoja na stanje voda </w:t>
      </w:r>
      <w:r w:rsidRPr="00545EC0">
        <w:rPr>
          <w:rFonts w:cs="Arial"/>
        </w:rPr>
        <w:t xml:space="preserve">je ob upoštevanju navedenih </w:t>
      </w:r>
      <w:r w:rsidR="004B0412" w:rsidRPr="00545EC0">
        <w:rPr>
          <w:rFonts w:cs="Arial"/>
        </w:rPr>
        <w:t>inf</w:t>
      </w:r>
      <w:r w:rsidR="004B0412">
        <w:rPr>
          <w:rFonts w:cs="Arial"/>
        </w:rPr>
        <w:t>or</w:t>
      </w:r>
      <w:r w:rsidR="004B0412" w:rsidRPr="00545EC0">
        <w:rPr>
          <w:rFonts w:cs="Arial"/>
        </w:rPr>
        <w:t xml:space="preserve">macij </w:t>
      </w:r>
      <w:r w:rsidRPr="00545EC0">
        <w:rPr>
          <w:rFonts w:cs="Arial"/>
        </w:rPr>
        <w:t>ocenjena z »nespremenjeno« ker v navedenem primeru vpliva na stanje voda ni mogoče oceniti. V primeru izgradnje ali posodobitve namakalnih sistemov je treba izvesti presojo vplivov na okolje.</w:t>
      </w:r>
    </w:p>
    <w:p w14:paraId="6CB90594" w14:textId="77777777" w:rsidR="004B6074" w:rsidRDefault="004B6074" w:rsidP="00347476">
      <w:pPr>
        <w:rPr>
          <w:rFonts w:cs="Arial"/>
        </w:rPr>
      </w:pPr>
    </w:p>
    <w:p w14:paraId="1BC387A4" w14:textId="4DDE371C" w:rsidR="004B6074" w:rsidRPr="009166D9" w:rsidRDefault="009166D9" w:rsidP="00347476">
      <w:pPr>
        <w:rPr>
          <w:rFonts w:cs="Arial"/>
          <w:b/>
          <w:szCs w:val="20"/>
        </w:rPr>
      </w:pPr>
      <w:r w:rsidRPr="009166D9">
        <w:rPr>
          <w:rFonts w:cs="Arial"/>
          <w:b/>
          <w:szCs w:val="20"/>
        </w:rPr>
        <w:t>Nacionalni  gozdni program</w:t>
      </w:r>
    </w:p>
    <w:p w14:paraId="60F517DE" w14:textId="77777777" w:rsidR="009166D9" w:rsidRDefault="009166D9" w:rsidP="00347476">
      <w:pPr>
        <w:rPr>
          <w:rFonts w:cs="Arial"/>
        </w:rPr>
      </w:pPr>
    </w:p>
    <w:p w14:paraId="5AC3A320" w14:textId="35E70CF7" w:rsidR="004B0412" w:rsidRDefault="004B0412" w:rsidP="009166D9">
      <w:r w:rsidRPr="004B0412">
        <w:t>Gozdni ekosistemi pomembno prispevajo k varovanju tal, voda in podnebja ter dajejo dom številnim rastlinskim in živalskim vrstam, ljudem pa prostor za oddih in rekreacijo. Gozd je tudi pomemben gospodarski dejavnik, ki zagotavlja energijo in številna zelena delovna mesta.</w:t>
      </w:r>
    </w:p>
    <w:p w14:paraId="1E55EA06" w14:textId="77777777" w:rsidR="004B0412" w:rsidRDefault="004B0412" w:rsidP="009166D9"/>
    <w:p w14:paraId="0F54F9D6" w14:textId="77777777" w:rsidR="009166D9" w:rsidRDefault="009166D9" w:rsidP="009166D9">
      <w:r>
        <w:t xml:space="preserve">Gospodarjenje z gozdovi v Sloveniji temelji na trajnostnem, sonaravnem in večnamenskem upravljanju enovitega gozdnega ekosistema. Nacionalna politika gospodarjenja z gozdovi je določena v temeljnem strateškem dokumentu slovenske gozdne politike, imenovanem Nacionalni gozdni </w:t>
      </w:r>
      <w:r>
        <w:lastRenderedPageBreak/>
        <w:t xml:space="preserve">program (NGP), sprejetem z resolucijo Državnega zbora Republike Slovenije leta 2007 (Uradni list RS, št. 111/07). </w:t>
      </w:r>
    </w:p>
    <w:p w14:paraId="4A0147EE" w14:textId="77777777" w:rsidR="009166D9" w:rsidRDefault="009166D9" w:rsidP="009166D9"/>
    <w:p w14:paraId="2E31505A" w14:textId="77777777" w:rsidR="009166D9" w:rsidRDefault="009166D9" w:rsidP="009166D9">
      <w:r>
        <w:t>Zakon o gozdovih (Uradni list RS, št. 30/93, 56/99 – ZON, 67/02, 110/02 – ZGO-1, 115/06 – ORZG40, 110/07, 106/10, 63/13, 101/13 – ZDavNepr, 17/14, 22/14 – odl. US, 24/15, 9/16 – ZGGLRS in 77/16) (ZG) določa, da ministrstvo, pristojno za gozdarstvo, za izvedbo NGP pripravi petletne operativne programe, ki jih sprejme Vlada RS. V skladu z ZG se NGP spreminja in dopolnjuje glede na spremembe v gozdovih in spremenjene pogoje gospodarjenja.</w:t>
      </w:r>
    </w:p>
    <w:p w14:paraId="34E44CD6" w14:textId="77777777" w:rsidR="009166D9" w:rsidRDefault="009166D9" w:rsidP="009166D9"/>
    <w:p w14:paraId="356473CD" w14:textId="77777777" w:rsidR="009166D9" w:rsidRDefault="009166D9" w:rsidP="009166D9">
      <w:r>
        <w:t xml:space="preserve">MKGP od sprejetja NGP leta 2007 zagotavlja, da se cilji in usmeritve NGP znotraj NGP kot procesa vključujejo v vse strategije, programe in procese, povezane z gozdom, gozdarstvom in upravljanjem divjadi. Operativni program za izvajanje nacionalnega gozdnega programa za obdobje 2022–2026 (OPNGP 2022–2026) se navezuje na Operativni program za izvajanje nacionalnega gozdnega programa 2017–2021 (OPNGP 2017–2021). Tudi novi operativni program je vez med temeljnim strateškim dokumentom in dokumenti, ki na nižjih ravneh sestavljajo podlago za načrtovanje, izvajanje in spremljanje ukrepov gozdne politike oziroma gospodarjenja z gozdovi. </w:t>
      </w:r>
    </w:p>
    <w:p w14:paraId="69BB52F1" w14:textId="77777777" w:rsidR="009166D9" w:rsidRDefault="009166D9" w:rsidP="009166D9"/>
    <w:p w14:paraId="5269CEBA" w14:textId="77777777" w:rsidR="009166D9" w:rsidRDefault="009166D9" w:rsidP="009166D9">
      <w:r>
        <w:t xml:space="preserve">OPNGP 2022–2026 upošteva sistem ciljev in usmeritev NGP, politike drugih sektorjev, ki vplivajo na gozd in gozdarstvo, ter mednarodne zaveze. Na krovni operativni ravni na podlagi sheme prednostnih nalog, ukrepov in drugih nalog pregledno povezuje vsebine veljavnih področnih operativnih dokumentov in programov ter jih po potrebi nadgrajuje. Tak način skupaj z vsebino omogoča nosilcem gozdne politike, da v Gozdnem dialogu (GD) usmerjajo trajnostno gospodarjenje z gozdovi in upravljanje divjadi v skladu z zagotavljanjem vseh funkcij gozda ter upoštevanjem interesov lastnikov in družbe kot celote. Pri tem se lahko zagotavlja racionalno in učinkovito izkoriščanje razpoložljivih organizacijskih, kadrovskih in finančnih možnosti. </w:t>
      </w:r>
    </w:p>
    <w:p w14:paraId="62421E83" w14:textId="77777777" w:rsidR="004B6074" w:rsidRDefault="004B6074" w:rsidP="00347476">
      <w:pPr>
        <w:rPr>
          <w:rFonts w:cs="Arial"/>
          <w:b/>
          <w:szCs w:val="20"/>
        </w:rPr>
      </w:pPr>
    </w:p>
    <w:p w14:paraId="5588C408" w14:textId="436E5D45" w:rsidR="009166D9" w:rsidRPr="009166D9" w:rsidRDefault="004B0412" w:rsidP="009166D9">
      <w:pPr>
        <w:rPr>
          <w:rFonts w:cs="Arial"/>
          <w:szCs w:val="20"/>
        </w:rPr>
      </w:pPr>
      <w:r>
        <w:rPr>
          <w:rFonts w:cs="Arial"/>
          <w:szCs w:val="20"/>
        </w:rPr>
        <w:t>Na področju gozdarstva in gozdnogospodarskega načrtovanja do pomembni tudi g</w:t>
      </w:r>
      <w:r w:rsidR="009166D9" w:rsidRPr="009166D9">
        <w:rPr>
          <w:rFonts w:cs="Arial"/>
          <w:szCs w:val="20"/>
        </w:rPr>
        <w:t>ozdnogospodarski načrti gozdnogospodarskih območij</w:t>
      </w:r>
    </w:p>
    <w:p w14:paraId="4B7ED07A" w14:textId="77777777" w:rsidR="009166D9" w:rsidRPr="009166D9" w:rsidRDefault="009166D9" w:rsidP="009166D9">
      <w:pPr>
        <w:rPr>
          <w:rFonts w:cs="Arial"/>
          <w:b/>
          <w:szCs w:val="20"/>
        </w:rPr>
      </w:pPr>
    </w:p>
    <w:p w14:paraId="718A3171" w14:textId="18C06C8D" w:rsidR="009166D9" w:rsidRDefault="009166D9" w:rsidP="009166D9">
      <w:pPr>
        <w:rPr>
          <w:rFonts w:cs="Arial"/>
          <w:szCs w:val="20"/>
        </w:rPr>
      </w:pPr>
      <w:r w:rsidRPr="009166D9">
        <w:rPr>
          <w:rFonts w:cs="Arial"/>
          <w:szCs w:val="20"/>
        </w:rPr>
        <w:t xml:space="preserve">Glavni namen gozdnogospodarskega načrtovanja je zagotavljanje ekološke, socialne in proizvodne funkcije gozdov. Z gozdovi </w:t>
      </w:r>
      <w:r w:rsidR="00420CE5">
        <w:rPr>
          <w:rFonts w:cs="Arial"/>
          <w:szCs w:val="20"/>
        </w:rPr>
        <w:t xml:space="preserve">se </w:t>
      </w:r>
      <w:r w:rsidRPr="009166D9">
        <w:rPr>
          <w:rFonts w:cs="Arial"/>
          <w:szCs w:val="20"/>
        </w:rPr>
        <w:t>gospodari na podlagi načrtov gozdnogospodarskih območij, načrtov gozdnogospodarskih enot in gozdno gojitvenih načrtov.</w:t>
      </w:r>
    </w:p>
    <w:p w14:paraId="1DA88332" w14:textId="77777777" w:rsidR="009166D9" w:rsidRDefault="009166D9" w:rsidP="009166D9">
      <w:pPr>
        <w:rPr>
          <w:rFonts w:cs="Arial"/>
          <w:szCs w:val="20"/>
        </w:rPr>
      </w:pPr>
    </w:p>
    <w:p w14:paraId="7AD541CA" w14:textId="5D97A52C" w:rsidR="009166D9" w:rsidRPr="009166D9" w:rsidRDefault="009166D9" w:rsidP="009166D9">
      <w:pPr>
        <w:rPr>
          <w:rFonts w:cs="Arial"/>
          <w:szCs w:val="20"/>
        </w:rPr>
      </w:pPr>
      <w:r w:rsidRPr="009166D9">
        <w:rPr>
          <w:rFonts w:cs="Arial"/>
          <w:szCs w:val="20"/>
        </w:rPr>
        <w:t xml:space="preserve">Gozdnogospodarska območja so zaokrožene ozemeljske ekosistemske celote, ki se določijo za zagotavljanje trajnosti gozdov in načrtovanje, usmerjanje in spremljanje razvoja gozdov in gozdnega prostora ne glede na lastništvo. V Sloveniji imamo 14 gozdnogospodarskih območij, ki se delijo na več kot 220 gozdnogospodarskih enot. </w:t>
      </w:r>
    </w:p>
    <w:p w14:paraId="6249EF3F" w14:textId="77777777" w:rsidR="009166D9" w:rsidRPr="006B6478" w:rsidRDefault="009166D9" w:rsidP="009166D9">
      <w:pPr>
        <w:rPr>
          <w:rFonts w:cs="Arial"/>
          <w:szCs w:val="20"/>
        </w:rPr>
      </w:pPr>
    </w:p>
    <w:p w14:paraId="496C304F" w14:textId="77777777" w:rsidR="009166D9" w:rsidRPr="006B6478" w:rsidRDefault="009166D9" w:rsidP="009166D9">
      <w:pPr>
        <w:rPr>
          <w:rFonts w:cs="Arial"/>
          <w:szCs w:val="20"/>
        </w:rPr>
      </w:pPr>
      <w:r w:rsidRPr="006B6478">
        <w:rPr>
          <w:rFonts w:cs="Arial"/>
          <w:szCs w:val="20"/>
        </w:rPr>
        <w:t xml:space="preserve"> Območni načrti se izdelajo na podlagi podatkovnih zbirk Zavoda za gozdove Slovenije, ki zajemajo:</w:t>
      </w:r>
    </w:p>
    <w:p w14:paraId="1CC1FD28" w14:textId="77777777" w:rsidR="009166D9" w:rsidRPr="006B6478" w:rsidRDefault="009166D9" w:rsidP="006B6478">
      <w:pPr>
        <w:pStyle w:val="Odstavekseznama"/>
        <w:numPr>
          <w:ilvl w:val="0"/>
          <w:numId w:val="120"/>
        </w:numPr>
        <w:rPr>
          <w:rFonts w:cs="Arial"/>
          <w:szCs w:val="20"/>
        </w:rPr>
      </w:pPr>
      <w:r w:rsidRPr="009166D9">
        <w:rPr>
          <w:rFonts w:cs="Arial"/>
          <w:szCs w:val="20"/>
        </w:rPr>
        <w:t>analizo stanja in razvoj gozdov iz gozdnogospodarskih načrtov enot,</w:t>
      </w:r>
    </w:p>
    <w:p w14:paraId="754E47B8" w14:textId="77777777" w:rsidR="009166D9" w:rsidRPr="006B6478" w:rsidRDefault="009166D9" w:rsidP="006B6478">
      <w:pPr>
        <w:pStyle w:val="Odstavekseznama"/>
        <w:numPr>
          <w:ilvl w:val="0"/>
          <w:numId w:val="120"/>
        </w:numPr>
        <w:rPr>
          <w:rFonts w:cs="Arial"/>
          <w:szCs w:val="20"/>
        </w:rPr>
      </w:pPr>
      <w:r w:rsidRPr="006B6478">
        <w:rPr>
          <w:rFonts w:cs="Arial"/>
          <w:szCs w:val="20"/>
        </w:rPr>
        <w:t>oceno stanja, razvoj populacij in odvzem divjadi,</w:t>
      </w:r>
    </w:p>
    <w:p w14:paraId="16CE503C" w14:textId="77777777" w:rsidR="009166D9" w:rsidRPr="006B6478" w:rsidRDefault="009166D9" w:rsidP="006B6478">
      <w:pPr>
        <w:pStyle w:val="Odstavekseznama"/>
        <w:numPr>
          <w:ilvl w:val="0"/>
          <w:numId w:val="120"/>
        </w:numPr>
        <w:rPr>
          <w:rFonts w:cs="Arial"/>
          <w:szCs w:val="20"/>
        </w:rPr>
      </w:pPr>
      <w:r w:rsidRPr="006B6478">
        <w:rPr>
          <w:rFonts w:cs="Arial"/>
          <w:szCs w:val="20"/>
        </w:rPr>
        <w:t>izvedena dela v življenjskem okolju divjadi,</w:t>
      </w:r>
    </w:p>
    <w:p w14:paraId="12B85006" w14:textId="77777777" w:rsidR="009166D9" w:rsidRPr="006B6478" w:rsidRDefault="009166D9" w:rsidP="006B6478">
      <w:pPr>
        <w:pStyle w:val="Odstavekseznama"/>
        <w:numPr>
          <w:ilvl w:val="0"/>
          <w:numId w:val="120"/>
        </w:numPr>
        <w:rPr>
          <w:rFonts w:cs="Arial"/>
          <w:szCs w:val="20"/>
        </w:rPr>
      </w:pPr>
      <w:r w:rsidRPr="009166D9">
        <w:rPr>
          <w:rFonts w:cs="Arial"/>
          <w:szCs w:val="20"/>
        </w:rPr>
        <w:t>povzročene škode ter popis poškodovanosti gozdnega mladja ter</w:t>
      </w:r>
    </w:p>
    <w:p w14:paraId="154535B8" w14:textId="43E2AA41" w:rsidR="009166D9" w:rsidRPr="006B6478" w:rsidRDefault="009166D9" w:rsidP="006B6478">
      <w:pPr>
        <w:pStyle w:val="Odstavekseznama"/>
        <w:numPr>
          <w:ilvl w:val="0"/>
          <w:numId w:val="120"/>
        </w:numPr>
        <w:rPr>
          <w:rFonts w:cs="Arial"/>
          <w:szCs w:val="20"/>
        </w:rPr>
      </w:pPr>
      <w:r w:rsidRPr="006B6478">
        <w:rPr>
          <w:rFonts w:cs="Arial"/>
          <w:szCs w:val="20"/>
        </w:rPr>
        <w:t>presojo gospodarjenja z gozdovi in upravljanja z divjadjo.</w:t>
      </w:r>
    </w:p>
    <w:p w14:paraId="5B10A7AB" w14:textId="77777777" w:rsidR="009166D9" w:rsidRPr="006B6478" w:rsidRDefault="009166D9" w:rsidP="009166D9">
      <w:pPr>
        <w:rPr>
          <w:rFonts w:cs="Arial"/>
          <w:szCs w:val="20"/>
        </w:rPr>
      </w:pPr>
    </w:p>
    <w:p w14:paraId="05942905" w14:textId="77777777" w:rsidR="004B0412" w:rsidRDefault="009166D9" w:rsidP="009166D9">
      <w:pPr>
        <w:rPr>
          <w:rFonts w:cs="Arial"/>
          <w:szCs w:val="20"/>
        </w:rPr>
      </w:pPr>
      <w:r w:rsidRPr="006B6478">
        <w:rPr>
          <w:rFonts w:cs="Arial"/>
          <w:szCs w:val="20"/>
        </w:rPr>
        <w:t xml:space="preserve">Leta 2010 so bili gozdnogospodarski načrti območij prvič izdelani istočasno kot lovsko upravljavski načrti območij. Trenutno veljajo območni gozdnogospodarski načrti za ureditveno obdobje 2011-2020. Območne načrte za novo ureditveno obdobje 2021-2030 in njihovo okoljsko poročilo bo Zavod za gozdove Slovenije predstavil javnosti v letu 2022 v procesih javne razgrnitve in javne obravnave.     </w:t>
      </w:r>
    </w:p>
    <w:p w14:paraId="4B43C8C9" w14:textId="77777777" w:rsidR="004B0412" w:rsidRDefault="004B0412" w:rsidP="009166D9">
      <w:pPr>
        <w:rPr>
          <w:rFonts w:cs="Arial"/>
          <w:szCs w:val="20"/>
        </w:rPr>
      </w:pPr>
    </w:p>
    <w:p w14:paraId="5B6E872B" w14:textId="219EBF3E" w:rsidR="009166D9" w:rsidRPr="004B0412" w:rsidRDefault="004B0412" w:rsidP="00347476">
      <w:pPr>
        <w:rPr>
          <w:rFonts w:cs="Arial"/>
          <w:szCs w:val="20"/>
        </w:rPr>
      </w:pPr>
      <w:r w:rsidRPr="004B0412">
        <w:rPr>
          <w:rFonts w:cs="Arial"/>
          <w:szCs w:val="20"/>
        </w:rPr>
        <w:lastRenderedPageBreak/>
        <w:t xml:space="preserve">Skupna strokovna ocena vpliva ukrepov in prihodnjega razvoja na stanje voda </w:t>
      </w:r>
      <w:r>
        <w:rPr>
          <w:rFonts w:cs="Arial"/>
          <w:szCs w:val="20"/>
        </w:rPr>
        <w:t>je ob upoštevanju navedenih inf</w:t>
      </w:r>
      <w:r w:rsidRPr="004B0412">
        <w:rPr>
          <w:rFonts w:cs="Arial"/>
          <w:szCs w:val="20"/>
        </w:rPr>
        <w:t>o</w:t>
      </w:r>
      <w:r>
        <w:rPr>
          <w:rFonts w:cs="Arial"/>
          <w:szCs w:val="20"/>
        </w:rPr>
        <w:t>r</w:t>
      </w:r>
      <w:r w:rsidRPr="004B0412">
        <w:rPr>
          <w:rFonts w:cs="Arial"/>
          <w:szCs w:val="20"/>
        </w:rPr>
        <w:t>macij ocenjena z »nespremenjeno« ker v navedenem primeru vpliva na stanje voda ni mogoče oceniti.</w:t>
      </w:r>
    </w:p>
    <w:p w14:paraId="3A4474BB" w14:textId="77777777" w:rsidR="009166D9" w:rsidRDefault="009166D9" w:rsidP="00347476">
      <w:pPr>
        <w:rPr>
          <w:rFonts w:cs="Arial"/>
          <w:b/>
          <w:szCs w:val="20"/>
        </w:rPr>
      </w:pPr>
    </w:p>
    <w:p w14:paraId="35A192AA" w14:textId="77777777" w:rsidR="009166D9" w:rsidRPr="00545EC0" w:rsidRDefault="009166D9" w:rsidP="00347476">
      <w:pPr>
        <w:rPr>
          <w:rFonts w:cs="Arial"/>
          <w:b/>
          <w:szCs w:val="20"/>
        </w:rPr>
      </w:pPr>
    </w:p>
    <w:p w14:paraId="4B58FE21" w14:textId="2B03BF5D" w:rsidR="00C4603F" w:rsidRPr="00545EC0" w:rsidRDefault="00C4603F" w:rsidP="00C4603F">
      <w:pPr>
        <w:pStyle w:val="Naslov5"/>
      </w:pPr>
      <w:r w:rsidRPr="00545EC0">
        <w:rPr>
          <w:szCs w:val="26"/>
          <w:lang w:val="sl-SI"/>
        </w:rPr>
        <w:t>Sektor energetike</w:t>
      </w:r>
    </w:p>
    <w:p w14:paraId="61FDA007" w14:textId="77777777" w:rsidR="00347476" w:rsidRPr="00545EC0" w:rsidRDefault="00347476" w:rsidP="00C4603F">
      <w:pPr>
        <w:rPr>
          <w:b/>
          <w:u w:val="single"/>
        </w:rPr>
      </w:pPr>
      <w:r w:rsidRPr="00545EC0">
        <w:rPr>
          <w:b/>
          <w:u w:val="single"/>
        </w:rPr>
        <w:t>Celoviti nacionalni energetski in podnebni načrt (NEPN)</w:t>
      </w:r>
    </w:p>
    <w:p w14:paraId="03E4B18F" w14:textId="77777777" w:rsidR="00C4603F" w:rsidRPr="00545EC0" w:rsidRDefault="00C4603F" w:rsidP="00C4603F">
      <w:pPr>
        <w:rPr>
          <w:b/>
          <w:u w:val="single"/>
        </w:rPr>
      </w:pPr>
    </w:p>
    <w:p w14:paraId="59F11BBC" w14:textId="3912F308" w:rsidR="00347476" w:rsidRPr="00545EC0" w:rsidRDefault="00347476" w:rsidP="00347476">
      <w:pPr>
        <w:rPr>
          <w:rFonts w:cs="Arial"/>
          <w:szCs w:val="20"/>
        </w:rPr>
      </w:pPr>
      <w:r w:rsidRPr="00545EC0">
        <w:rPr>
          <w:rFonts w:cs="Arial"/>
          <w:szCs w:val="20"/>
        </w:rPr>
        <w:t>Celoviti nacionalni energetski in podnebni načrt Republike Slovenije (NEPN), ki ga je Vlada RS sprejela februarja 2020, je akcijsko strateški dokument, ki za obdobje do leta 2030 (s pogledom do 2040) določa cilje, politike in ukrepe na petih razsežnostih energetske unije: 1. razogljičenje (emisije toplogrednih plinov in obnovljivih virov energije), 2. energetska učinkovitost, 3. energetska varnost, 4. notranji trg ter 5. raziskave, inovacije in konkurenčnost</w:t>
      </w:r>
      <w:r w:rsidR="00913466" w:rsidRPr="00545EC0">
        <w:rPr>
          <w:rFonts w:cs="Arial"/>
          <w:szCs w:val="20"/>
        </w:rPr>
        <w:t xml:space="preserve"> (Vlada RS, 2020a)</w:t>
      </w:r>
      <w:r w:rsidRPr="00545EC0">
        <w:rPr>
          <w:rFonts w:cs="Arial"/>
          <w:szCs w:val="20"/>
        </w:rPr>
        <w:t>.</w:t>
      </w:r>
    </w:p>
    <w:p w14:paraId="05093627" w14:textId="77777777" w:rsidR="0057295B" w:rsidRPr="00545EC0" w:rsidRDefault="0057295B" w:rsidP="00347476">
      <w:pPr>
        <w:rPr>
          <w:rFonts w:cs="Arial"/>
          <w:szCs w:val="20"/>
        </w:rPr>
      </w:pPr>
    </w:p>
    <w:p w14:paraId="11C1EA6B" w14:textId="77777777" w:rsidR="00347476" w:rsidRPr="00545EC0" w:rsidRDefault="00347476" w:rsidP="00347476">
      <w:pPr>
        <w:rPr>
          <w:rFonts w:cs="Arial"/>
          <w:szCs w:val="20"/>
        </w:rPr>
      </w:pPr>
      <w:r w:rsidRPr="00545EC0">
        <w:rPr>
          <w:rFonts w:cs="Arial"/>
          <w:szCs w:val="20"/>
        </w:rPr>
        <w:t>NEPN kot ciljno vrednost za leto 2030 določa vsaj 27-odstotni delež obnovljivih virov v končni rabi energije.</w:t>
      </w:r>
    </w:p>
    <w:p w14:paraId="30B62796" w14:textId="77777777" w:rsidR="0057295B" w:rsidRPr="00545EC0" w:rsidRDefault="0057295B" w:rsidP="00347476">
      <w:pPr>
        <w:rPr>
          <w:rFonts w:cs="Arial"/>
          <w:szCs w:val="20"/>
        </w:rPr>
      </w:pPr>
    </w:p>
    <w:p w14:paraId="574ACCA8" w14:textId="77777777" w:rsidR="00347476" w:rsidRPr="00545EC0" w:rsidRDefault="00347476" w:rsidP="00347476">
      <w:pPr>
        <w:rPr>
          <w:rFonts w:cs="Arial"/>
          <w:szCs w:val="20"/>
        </w:rPr>
      </w:pPr>
      <w:r w:rsidRPr="00545EC0">
        <w:rPr>
          <w:rFonts w:cs="Arial"/>
          <w:szCs w:val="20"/>
        </w:rPr>
        <w:t>V NEPN je opredeljeno, da je nadaljnje spodbujanje rabe OVE v Sloveniji močno pogojeno z okoljsko in prostorsko zakonodajo – prihodnja izvedba projektov v zvezi z OVE do leta 2030, posebej s področja hidroenergije in vetra, bo v Sloveniji izvedljiva le ob ustrezni izpeljavi postopkov presoje vplivov na okolje, postopkov prevlade druge javne koristi nad javno koristjo ohranjanja narave in uveljavljanja izjem na področju voda (v skladu z EU-zakonodajo).</w:t>
      </w:r>
    </w:p>
    <w:p w14:paraId="57196A20" w14:textId="77777777" w:rsidR="0057295B" w:rsidRPr="00545EC0" w:rsidRDefault="0057295B" w:rsidP="00347476">
      <w:pPr>
        <w:rPr>
          <w:rFonts w:cs="Arial"/>
          <w:szCs w:val="20"/>
        </w:rPr>
      </w:pPr>
    </w:p>
    <w:p w14:paraId="6B9A354D" w14:textId="77777777" w:rsidR="00347476" w:rsidRPr="00545EC0" w:rsidRDefault="00347476" w:rsidP="00347476">
      <w:pPr>
        <w:rPr>
          <w:rFonts w:cs="Arial"/>
          <w:szCs w:val="20"/>
        </w:rPr>
      </w:pPr>
      <w:r w:rsidRPr="00545EC0">
        <w:rPr>
          <w:rFonts w:cs="Arial"/>
          <w:szCs w:val="20"/>
        </w:rPr>
        <w:t>Zastavljeni cilj 27-odstotni delež OVE v letu 2030 samo z izvedbo projektov izven Nature 2000 oziroma projektov, katerih vpliv na okolje bo verjetno ocenjen kot nebistven, ne bo dosežen. Da bi dosegli ta cilj, bo treba izvesti tudi projekte izgradnje HE in vetrnih elektrarn (VE), za katere je verjetno, da bo njihov vpliv na naravo ocenjen kot bistven in bo zato potreben postopek prevlade drugega javnega interesa nad javnim interesom ohranjanja narave. Brez učinkovitih okoljskih ukrepov, ki bodo upoštevali uspešno izvedene odločitve o izjemah po EU-zakonodaji s področja voda in varstva narave, izvedba teh projektov ne bo mogoča.</w:t>
      </w:r>
    </w:p>
    <w:p w14:paraId="15FBB6DF" w14:textId="77777777" w:rsidR="00347476" w:rsidRPr="00545EC0" w:rsidRDefault="00347476" w:rsidP="00347476">
      <w:pPr>
        <w:rPr>
          <w:rFonts w:cs="Arial"/>
          <w:szCs w:val="20"/>
        </w:rPr>
      </w:pPr>
    </w:p>
    <w:p w14:paraId="74A35210" w14:textId="77777777" w:rsidR="00347476" w:rsidRPr="00545EC0" w:rsidRDefault="00347476" w:rsidP="00347476">
      <w:pPr>
        <w:rPr>
          <w:rFonts w:cs="Arial"/>
          <w:szCs w:val="20"/>
        </w:rPr>
      </w:pPr>
      <w:r w:rsidRPr="00545EC0">
        <w:rPr>
          <w:rFonts w:cs="Arial"/>
          <w:szCs w:val="20"/>
        </w:rPr>
        <w:t xml:space="preserve">Za področje voda so v okviru NEPN analizirani scenariji razvoja malih hidroelektrarn (mHE) in velikih hidroelektrarn (HE). </w:t>
      </w:r>
    </w:p>
    <w:p w14:paraId="4D6F388E" w14:textId="77777777" w:rsidR="0057295B" w:rsidRPr="00545EC0" w:rsidRDefault="0057295B" w:rsidP="00347476">
      <w:pPr>
        <w:rPr>
          <w:rFonts w:cs="Arial"/>
          <w:szCs w:val="20"/>
        </w:rPr>
      </w:pPr>
    </w:p>
    <w:p w14:paraId="3ED976E1" w14:textId="37FE1BD6" w:rsidR="0057295B" w:rsidRPr="00545EC0" w:rsidRDefault="00347476" w:rsidP="00347476">
      <w:pPr>
        <w:rPr>
          <w:rFonts w:cs="Arial"/>
          <w:szCs w:val="20"/>
        </w:rPr>
      </w:pPr>
      <w:r w:rsidRPr="00545EC0">
        <w:rPr>
          <w:rFonts w:cs="Arial"/>
          <w:szCs w:val="20"/>
        </w:rPr>
        <w:t>V NEPN je opredeljeno, da se razvoj mreže malih hidroelektrarn izvaja na način, da imata nadgradnja in posodobitev obstoječih, že delujočih malih hidroelektrarn in revitalizacija obstoječih, nedelujočih malih hidroelektrarn, prednost pred umeščanjem novih malih hidroelektrarn, ki se jih umešča na že obstoječe objekte (jezove in pregrade) v vodotokih. Ob upoštevanju tovrstnega NEPN scenarija je za male hidroelektrarne opredeljeno, da se obstoječe kapacitete malih hidroelektrarn (155 MWe leta 2017) do leta 2030 povečajo v manjšem obsegu, na do 159 MWe (povečanje za 2,6 %), do leta 2040 pa na do 177 MWe (povečanje za 14,2 %). To bi predstavljalo povečanje sedanje proizvodnje elektrike (383 GWh leta 2017) na okrog 395 GWh v letu 2030 ter do 440 GWh v letu 2040</w:t>
      </w:r>
      <w:r w:rsidR="0057295B" w:rsidRPr="00545EC0">
        <w:rPr>
          <w:rFonts w:cs="Arial"/>
          <w:szCs w:val="20"/>
        </w:rPr>
        <w:t>.</w:t>
      </w:r>
    </w:p>
    <w:p w14:paraId="51334C2C" w14:textId="77777777" w:rsidR="0057295B" w:rsidRPr="00545EC0" w:rsidRDefault="0057295B" w:rsidP="00347476">
      <w:pPr>
        <w:rPr>
          <w:rFonts w:cs="Arial"/>
          <w:szCs w:val="20"/>
        </w:rPr>
      </w:pPr>
    </w:p>
    <w:p w14:paraId="0F217488" w14:textId="77777777" w:rsidR="00347476" w:rsidRPr="00545EC0" w:rsidRDefault="00347476" w:rsidP="00347476">
      <w:pPr>
        <w:rPr>
          <w:rFonts w:cs="Arial"/>
          <w:szCs w:val="20"/>
        </w:rPr>
      </w:pPr>
      <w:r w:rsidRPr="00545EC0">
        <w:rPr>
          <w:rFonts w:cs="Arial"/>
          <w:szCs w:val="20"/>
        </w:rPr>
        <w:t xml:space="preserve">Proizvodnjo električne energije in moči v velikih hidroelektrarnah (HE) NEPN opredeljuje v okviru dveh scenarijev (Scenarij obstoječi ukrepi, ki predvideva dokončanje verige hidroelektrarn na spodnji Savi in Scenarij NEPN). V NEPN je za velike hidroelektrarne (skupaj s črpalnimi HE) za leto 2020 in 2025 proizvodnja električne energije na generatorju ocenjena na 4.442 GWh. Po scenariju z obstoječimi ukrepi je v velikih hidroelektrarnah (skupaj s črpalnimi HE) v letih 2030 in 2040 predvidena proizvodnja </w:t>
      </w:r>
      <w:r w:rsidRPr="00545EC0">
        <w:rPr>
          <w:rFonts w:cs="Arial"/>
          <w:szCs w:val="20"/>
        </w:rPr>
        <w:lastRenderedPageBreak/>
        <w:t xml:space="preserve">električne energije na generatorju v obsegu 4.562 GWh (povečanje za 2,7 %). Po scenariju NEPN pa se na generatorju proizvede 4.572 GWh v letih 2030 (povečanje za 2,9 %) in 6.575 GWh v letu 2040 (povečanje za 48,0 %). </w:t>
      </w:r>
    </w:p>
    <w:p w14:paraId="2A7EB124" w14:textId="77777777" w:rsidR="0057295B" w:rsidRPr="00545EC0" w:rsidRDefault="0057295B" w:rsidP="00347476">
      <w:pPr>
        <w:rPr>
          <w:rFonts w:cs="Arial"/>
          <w:szCs w:val="20"/>
        </w:rPr>
      </w:pPr>
    </w:p>
    <w:p w14:paraId="11804C71" w14:textId="77777777" w:rsidR="00347476" w:rsidRPr="00545EC0" w:rsidRDefault="00347476" w:rsidP="00347476">
      <w:pPr>
        <w:rPr>
          <w:rFonts w:cs="Arial"/>
          <w:szCs w:val="20"/>
        </w:rPr>
      </w:pPr>
      <w:r w:rsidRPr="00545EC0">
        <w:rPr>
          <w:rFonts w:cs="Arial"/>
          <w:szCs w:val="20"/>
        </w:rPr>
        <w:t>Instalirana moč velikih HE (skupaj s črpalnimi) v letih 2030 in 2040 po scenariju z obstoječimi ukrepi znaša 1.220 MW; v scenariju NEPN pa 1.220 MW v letu 2030 in 1.979 MW v letu 2040 (povečanje za 62,2%). Povečanje hidroenergije v bilancah NEPN do leta 2030 predvideva povečanje proizvodnje električne energije na obstoječih in drugih dovoljenih lokacijah v skladu z zakonodajo.</w:t>
      </w:r>
    </w:p>
    <w:p w14:paraId="595E8818" w14:textId="77777777" w:rsidR="0057295B" w:rsidRPr="00545EC0" w:rsidRDefault="0057295B" w:rsidP="00347476">
      <w:pPr>
        <w:rPr>
          <w:rFonts w:cs="Arial"/>
          <w:szCs w:val="20"/>
        </w:rPr>
      </w:pPr>
    </w:p>
    <w:p w14:paraId="02014606" w14:textId="7440B52E" w:rsidR="00347476" w:rsidRPr="00545EC0" w:rsidRDefault="00347476" w:rsidP="00347476">
      <w:pPr>
        <w:rPr>
          <w:rFonts w:cs="Arial"/>
          <w:szCs w:val="20"/>
        </w:rPr>
      </w:pPr>
      <w:r w:rsidRPr="00545EC0">
        <w:rPr>
          <w:rFonts w:cs="Arial"/>
          <w:szCs w:val="20"/>
        </w:rPr>
        <w:t xml:space="preserve">V okviru NEPN so predvidene tudi aktivnosti za spodbujanje večnamenske izrabe geotermalne energije, ki med drugim obsegajo investicijske spodbude za izgradnjo vrtin (tudi reinjekcijskih) </w:t>
      </w:r>
      <w:r w:rsidR="0064584D" w:rsidRPr="00545EC0">
        <w:rPr>
          <w:rFonts w:cs="Arial"/>
          <w:szCs w:val="20"/>
        </w:rPr>
        <w:t xml:space="preserve">s </w:t>
      </w:r>
      <w:r w:rsidRPr="00545EC0">
        <w:rPr>
          <w:rFonts w:cs="Arial"/>
          <w:szCs w:val="20"/>
        </w:rPr>
        <w:t xml:space="preserve">čim večjim obsegom vračanja vode nazaj v vodonosnik in investicijske spodbude za učinkovite sisteme kaskadne izrabe geotermalne energije in priprava pilotnega projekta za izrabo geoteramalne energije za proizvodnjo </w:t>
      </w:r>
      <w:r w:rsidR="00913466" w:rsidRPr="00545EC0">
        <w:rPr>
          <w:rFonts w:cs="Arial"/>
          <w:szCs w:val="20"/>
        </w:rPr>
        <w:t>električne energije (Vlada RS, 2020a)</w:t>
      </w:r>
      <w:r w:rsidRPr="00545EC0">
        <w:rPr>
          <w:rFonts w:cs="Arial"/>
          <w:szCs w:val="20"/>
        </w:rPr>
        <w:t>.</w:t>
      </w:r>
    </w:p>
    <w:p w14:paraId="00673070" w14:textId="77777777" w:rsidR="00913466" w:rsidRPr="00545EC0" w:rsidRDefault="00913466" w:rsidP="00347476">
      <w:pPr>
        <w:rPr>
          <w:rFonts w:cs="Arial"/>
          <w:szCs w:val="20"/>
        </w:rPr>
      </w:pPr>
    </w:p>
    <w:p w14:paraId="2EEF9D7B" w14:textId="792F35AA" w:rsidR="008F6611" w:rsidRPr="00545EC0" w:rsidRDefault="008F6611" w:rsidP="008F6611">
      <w:pPr>
        <w:spacing w:line="276" w:lineRule="auto"/>
        <w:rPr>
          <w:rFonts w:cs="Arial"/>
        </w:rPr>
      </w:pPr>
      <w:r w:rsidRPr="00545EC0">
        <w:rPr>
          <w:rFonts w:cs="Arial"/>
          <w:szCs w:val="22"/>
        </w:rPr>
        <w:t xml:space="preserve">Skupna strokovna ocena vpliva ukrepov in prihodnjega razvoja na stanje voda </w:t>
      </w:r>
      <w:r w:rsidRPr="00545EC0">
        <w:rPr>
          <w:rFonts w:cs="Arial"/>
        </w:rPr>
        <w:t xml:space="preserve">je ob upoštevanju navedenih </w:t>
      </w:r>
      <w:r w:rsidR="00084CE0">
        <w:rPr>
          <w:rFonts w:cs="Arial"/>
        </w:rPr>
        <w:t>informacij</w:t>
      </w:r>
      <w:r w:rsidR="00084CE0" w:rsidRPr="00545EC0">
        <w:rPr>
          <w:rFonts w:cs="Arial"/>
        </w:rPr>
        <w:t xml:space="preserve"> </w:t>
      </w:r>
      <w:r w:rsidRPr="00545EC0">
        <w:rPr>
          <w:rFonts w:cs="Arial"/>
        </w:rPr>
        <w:t>ocenjena z »nespremenjeno«</w:t>
      </w:r>
      <w:r w:rsidR="0064584D" w:rsidRPr="00545EC0">
        <w:rPr>
          <w:rFonts w:cs="Arial"/>
        </w:rPr>
        <w:t>,</w:t>
      </w:r>
      <w:r w:rsidRPr="00545EC0">
        <w:rPr>
          <w:rFonts w:cs="Arial"/>
        </w:rPr>
        <w:t xml:space="preserve"> ker v navedenem primeru vpliva na stanje voda ni mogoče oceniti. V primeru umeščanja malih in velikih hidroelektrarn je treba izvesti presojo vplivov na okolje. V primeru, da se v postopku presoje vplivov na okolje ugotovi bistven vpliv na stanje</w:t>
      </w:r>
      <w:r w:rsidR="00E75CF8" w:rsidRPr="00545EC0">
        <w:rPr>
          <w:rFonts w:cs="Arial"/>
        </w:rPr>
        <w:t xml:space="preserve"> vod</w:t>
      </w:r>
      <w:r w:rsidR="0064584D" w:rsidRPr="00545EC0">
        <w:rPr>
          <w:rFonts w:cs="Arial"/>
        </w:rPr>
        <w:t>a</w:t>
      </w:r>
      <w:r w:rsidR="00E75CF8" w:rsidRPr="00545EC0">
        <w:rPr>
          <w:rFonts w:cs="Arial"/>
        </w:rPr>
        <w:t xml:space="preserve"> je v skladu s 56. členom z</w:t>
      </w:r>
      <w:r w:rsidRPr="00545EC0">
        <w:rPr>
          <w:rFonts w:cs="Arial"/>
        </w:rPr>
        <w:t xml:space="preserve">akona o vodah treba izvesti </w:t>
      </w:r>
      <w:r w:rsidRPr="00545EC0">
        <w:rPr>
          <w:rFonts w:cs="Arial"/>
          <w:szCs w:val="20"/>
        </w:rPr>
        <w:t>utemeljitev odstopanj od okoljskih ciljev.</w:t>
      </w:r>
    </w:p>
    <w:p w14:paraId="293D4793" w14:textId="77777777" w:rsidR="008F6611" w:rsidRPr="00545EC0" w:rsidRDefault="008F6611" w:rsidP="00347476">
      <w:pPr>
        <w:rPr>
          <w:rFonts w:cs="Arial"/>
          <w:szCs w:val="20"/>
        </w:rPr>
      </w:pPr>
    </w:p>
    <w:p w14:paraId="05E805C9" w14:textId="77777777" w:rsidR="00347476" w:rsidRPr="00545EC0" w:rsidRDefault="00347476" w:rsidP="00913466">
      <w:pPr>
        <w:rPr>
          <w:b/>
          <w:u w:val="single"/>
        </w:rPr>
      </w:pPr>
      <w:r w:rsidRPr="00545EC0">
        <w:rPr>
          <w:b/>
          <w:u w:val="single"/>
        </w:rPr>
        <w:t>Akcijski načrt za obnovljive vire energije</w:t>
      </w:r>
    </w:p>
    <w:p w14:paraId="11B9DF6E" w14:textId="77777777" w:rsidR="00913466" w:rsidRPr="00545EC0" w:rsidRDefault="00913466" w:rsidP="00913466"/>
    <w:p w14:paraId="3132ACF1" w14:textId="77777777" w:rsidR="00347476" w:rsidRPr="00545EC0" w:rsidRDefault="00347476" w:rsidP="00347476">
      <w:pPr>
        <w:rPr>
          <w:rFonts w:cs="Arial"/>
          <w:szCs w:val="20"/>
        </w:rPr>
      </w:pPr>
      <w:r w:rsidRPr="00545EC0">
        <w:rPr>
          <w:rFonts w:cs="Arial"/>
          <w:szCs w:val="20"/>
        </w:rPr>
        <w:t xml:space="preserve">Za doseganje podnebno energetskih ciljev, sprejetih skladno z direktivo 2009/28/ES, je Slovenija pripravila Akcijski načrt za obnovljive vire za obdobje 2010 - 2020 (v nadaljevanju besedila: Akcijski načrt OVE) in ga leta 2017 tudi posodobila. V predlogu usmeritev za pripravo energetskega koncepta Slovenije je predlagano, da bi do leta 2035 dosegli vsaj 30-odstotni delež obnovljivih virov energije v končni rabi energije, do leta 2055 pa 100-odstotni izkoristek trajnostnega potenciala obnovljivih virov energije v Sloveniji. Predlagano je, da se bo delež obnovljivih virov energije povečeval v vseh segmentih rabe energije, med katere spada tudi hidroenergija. Do leta 2045 bi izkoristili čim večji energetski potencial vodotokov, ki ga je mogoče izkoristiti na trajnosten način. </w:t>
      </w:r>
    </w:p>
    <w:p w14:paraId="72FE6A0F" w14:textId="77777777" w:rsidR="00913466" w:rsidRPr="00545EC0" w:rsidRDefault="00913466" w:rsidP="00347476">
      <w:pPr>
        <w:rPr>
          <w:rFonts w:cs="Arial"/>
          <w:szCs w:val="20"/>
        </w:rPr>
      </w:pPr>
    </w:p>
    <w:p w14:paraId="00215784" w14:textId="7DD6068F" w:rsidR="00347476" w:rsidRPr="00545EC0" w:rsidRDefault="00347476" w:rsidP="00347476">
      <w:pPr>
        <w:rPr>
          <w:rFonts w:cs="Arial"/>
          <w:szCs w:val="20"/>
        </w:rPr>
      </w:pPr>
      <w:r w:rsidRPr="00545EC0">
        <w:rPr>
          <w:rFonts w:cs="Arial"/>
          <w:szCs w:val="20"/>
        </w:rPr>
        <w:t>V Akcijskem načrtu OVE so že vključene tudi projekcije proizvodnje in rabe obnovljivih virov do leta 2030 ter nacionalni cilj na področju do leta 2030 (minimalno 27%). Opredeljene so potencialne lokacije za izgradnjo hidroelektrarn v obdobju do leta 2030. Pri tem Akcijskem načrtu OVE prednostno usmerja projekte za izkoriščanje OVE zunaj varovanih območij, vendar je ocenjeno</w:t>
      </w:r>
      <w:r w:rsidR="0064584D" w:rsidRPr="00545EC0">
        <w:rPr>
          <w:rFonts w:cs="Arial"/>
          <w:szCs w:val="20"/>
        </w:rPr>
        <w:t>,</w:t>
      </w:r>
      <w:r w:rsidRPr="00545EC0">
        <w:rPr>
          <w:rFonts w:cs="Arial"/>
          <w:szCs w:val="20"/>
        </w:rPr>
        <w:t xml:space="preserve"> da tako cilja ne bomo dosegli. Nadalje je v akcijskem načrtu OVE opredeljeno</w:t>
      </w:r>
      <w:r w:rsidR="0064584D" w:rsidRPr="00545EC0">
        <w:rPr>
          <w:rFonts w:cs="Arial"/>
          <w:szCs w:val="20"/>
        </w:rPr>
        <w:t>,</w:t>
      </w:r>
      <w:r w:rsidRPr="00545EC0">
        <w:rPr>
          <w:rFonts w:cs="Arial"/>
          <w:szCs w:val="20"/>
        </w:rPr>
        <w:t xml:space="preserve"> da bi bilo z namenom doseganja ciljev treba izvesti tudi izgradnje HE</w:t>
      </w:r>
      <w:r w:rsidR="0064584D" w:rsidRPr="00545EC0">
        <w:rPr>
          <w:rFonts w:cs="Arial"/>
          <w:szCs w:val="20"/>
        </w:rPr>
        <w:t>,</w:t>
      </w:r>
      <w:r w:rsidRPr="00545EC0">
        <w:rPr>
          <w:rFonts w:cs="Arial"/>
          <w:szCs w:val="20"/>
        </w:rPr>
        <w:t xml:space="preserve"> za katere je verjetno</w:t>
      </w:r>
      <w:r w:rsidR="0064584D" w:rsidRPr="00545EC0">
        <w:rPr>
          <w:rFonts w:cs="Arial"/>
          <w:szCs w:val="20"/>
        </w:rPr>
        <w:t>,</w:t>
      </w:r>
      <w:r w:rsidRPr="00545EC0">
        <w:rPr>
          <w:rFonts w:cs="Arial"/>
          <w:szCs w:val="20"/>
        </w:rPr>
        <w:t xml:space="preserve"> da bo njihov vpliv na okolje ocenjen kot bistven. Navedeno bo možno ugotavljati šele po izvedeni natančni presoji vplivov posameznih projektov izgradnje HE na okolje. </w:t>
      </w:r>
    </w:p>
    <w:p w14:paraId="2537C8FF" w14:textId="77777777" w:rsidR="00913466" w:rsidRPr="00545EC0" w:rsidRDefault="00913466" w:rsidP="00347476">
      <w:pPr>
        <w:rPr>
          <w:rFonts w:cs="Arial"/>
          <w:szCs w:val="20"/>
        </w:rPr>
      </w:pPr>
    </w:p>
    <w:p w14:paraId="1A27171B" w14:textId="77777777" w:rsidR="00347476" w:rsidRPr="00545EC0" w:rsidRDefault="00347476" w:rsidP="00347476">
      <w:pPr>
        <w:rPr>
          <w:rFonts w:cs="Arial"/>
          <w:szCs w:val="20"/>
        </w:rPr>
      </w:pPr>
      <w:r w:rsidRPr="00545EC0">
        <w:rPr>
          <w:rFonts w:cs="Arial"/>
          <w:szCs w:val="20"/>
        </w:rPr>
        <w:t xml:space="preserve">Zaradi velikih energetskih in ekonomskih koristi akcijski načrt OVE daje poseben poudarek velikim HE in predvideva pospešeno izgradnjo novih HE, vseh realno izvedljivih projektov do leta 2030 ob upoštevanju vseh potrebnih postopkov okoljske presoje. </w:t>
      </w:r>
    </w:p>
    <w:p w14:paraId="6826A8BD" w14:textId="77777777" w:rsidR="00913466" w:rsidRPr="00545EC0" w:rsidRDefault="00913466" w:rsidP="00347476">
      <w:pPr>
        <w:rPr>
          <w:rFonts w:cs="Arial"/>
          <w:szCs w:val="20"/>
        </w:rPr>
      </w:pPr>
    </w:p>
    <w:p w14:paraId="68AE2A78" w14:textId="16C6A465" w:rsidR="00347476" w:rsidRPr="00545EC0" w:rsidRDefault="00913466" w:rsidP="00347476">
      <w:pPr>
        <w:rPr>
          <w:rFonts w:cs="Arial"/>
          <w:szCs w:val="20"/>
        </w:rPr>
      </w:pPr>
      <w:r w:rsidRPr="00545EC0">
        <w:rPr>
          <w:rFonts w:cs="Arial"/>
          <w:szCs w:val="20"/>
        </w:rPr>
        <w:t>V akcijskem</w:t>
      </w:r>
      <w:r w:rsidR="00347476" w:rsidRPr="00545EC0">
        <w:rPr>
          <w:rFonts w:cs="Arial"/>
          <w:szCs w:val="20"/>
        </w:rPr>
        <w:t xml:space="preserve"> načrt</w:t>
      </w:r>
      <w:r w:rsidRPr="00545EC0">
        <w:rPr>
          <w:rFonts w:cs="Arial"/>
          <w:szCs w:val="20"/>
        </w:rPr>
        <w:t>u</w:t>
      </w:r>
      <w:r w:rsidR="00347476" w:rsidRPr="00545EC0">
        <w:rPr>
          <w:rFonts w:cs="Arial"/>
          <w:szCs w:val="20"/>
        </w:rPr>
        <w:t xml:space="preserve"> OVE so </w:t>
      </w:r>
      <w:r w:rsidRPr="00545EC0">
        <w:rPr>
          <w:rFonts w:cs="Arial"/>
          <w:szCs w:val="20"/>
        </w:rPr>
        <w:t>podane</w:t>
      </w:r>
      <w:r w:rsidR="00347476" w:rsidRPr="00545EC0">
        <w:rPr>
          <w:rFonts w:cs="Arial"/>
          <w:szCs w:val="20"/>
        </w:rPr>
        <w:t xml:space="preserve"> lokacije za izgradnjo HE do leta 2020 (dokončanje HE Brežice in izgradnja HE Mokrice), lokacije za izgradnjo HE med letom 2020 in 2030 na reki Dravi (prenova HE Formin), reki Savi (HE na srednji Savi  in sicer HE Suhadol</w:t>
      </w:r>
      <w:r w:rsidR="0064584D" w:rsidRPr="00545EC0">
        <w:rPr>
          <w:rFonts w:cs="Arial"/>
          <w:szCs w:val="20"/>
        </w:rPr>
        <w:t>e</w:t>
      </w:r>
      <w:r w:rsidR="00347476" w:rsidRPr="00545EC0">
        <w:rPr>
          <w:rFonts w:cs="Arial"/>
          <w:szCs w:val="20"/>
        </w:rPr>
        <w:t>, HE Renke, HE Trbovlje, 2 HE na litijskem in ljubljanskem delu srednje Save do vključno HE Kresnice, sanacija HE Moste) in na reki Muri (8 HE na območju od Sladkega vrha do Veržeja</w:t>
      </w:r>
      <w:r w:rsidRPr="00545EC0">
        <w:rPr>
          <w:rFonts w:cs="Arial"/>
          <w:szCs w:val="20"/>
        </w:rPr>
        <w:t>) (Vlada RS, 2017a).</w:t>
      </w:r>
    </w:p>
    <w:p w14:paraId="2E244D27" w14:textId="77777777" w:rsidR="00913466" w:rsidRPr="00545EC0" w:rsidRDefault="00913466" w:rsidP="00347476">
      <w:pPr>
        <w:rPr>
          <w:rFonts w:cs="Arial"/>
          <w:szCs w:val="20"/>
        </w:rPr>
      </w:pPr>
    </w:p>
    <w:p w14:paraId="7CA0269F" w14:textId="4979983B" w:rsidR="00347476" w:rsidRPr="00545EC0" w:rsidRDefault="00913466" w:rsidP="00347476">
      <w:pPr>
        <w:rPr>
          <w:rFonts w:cs="Arial"/>
          <w:szCs w:val="20"/>
        </w:rPr>
      </w:pPr>
      <w:r w:rsidRPr="00545EC0">
        <w:rPr>
          <w:rFonts w:cs="Arial"/>
          <w:szCs w:val="20"/>
        </w:rPr>
        <w:t xml:space="preserve">V primeru </w:t>
      </w:r>
      <w:r w:rsidR="00347476" w:rsidRPr="00545EC0">
        <w:rPr>
          <w:rFonts w:cs="Arial"/>
          <w:szCs w:val="20"/>
        </w:rPr>
        <w:t xml:space="preserve">umeščanje novih </w:t>
      </w:r>
      <w:r w:rsidRPr="00545EC0">
        <w:rPr>
          <w:rFonts w:cs="Arial"/>
          <w:szCs w:val="20"/>
        </w:rPr>
        <w:t xml:space="preserve">HE </w:t>
      </w:r>
      <w:r w:rsidR="00347476" w:rsidRPr="00545EC0">
        <w:rPr>
          <w:rFonts w:cs="Arial"/>
          <w:szCs w:val="20"/>
        </w:rPr>
        <w:t>objektov</w:t>
      </w:r>
      <w:r w:rsidR="0064584D" w:rsidRPr="00545EC0">
        <w:rPr>
          <w:rFonts w:cs="Arial"/>
          <w:szCs w:val="20"/>
        </w:rPr>
        <w:t xml:space="preserve"> je</w:t>
      </w:r>
      <w:r w:rsidR="00347476" w:rsidRPr="00545EC0">
        <w:rPr>
          <w:rFonts w:cs="Arial"/>
          <w:szCs w:val="20"/>
        </w:rPr>
        <w:t xml:space="preserve"> treba slediti veljavni zakonodaji na področju presoje vplivov na okolje</w:t>
      </w:r>
      <w:r w:rsidR="0064584D" w:rsidRPr="00545EC0">
        <w:rPr>
          <w:rFonts w:cs="Arial"/>
          <w:szCs w:val="20"/>
        </w:rPr>
        <w:t>,</w:t>
      </w:r>
      <w:r w:rsidR="00347476" w:rsidRPr="00545EC0">
        <w:rPr>
          <w:rFonts w:cs="Arial"/>
          <w:szCs w:val="20"/>
        </w:rPr>
        <w:t xml:space="preserve"> v okviru katere se presoja vpliv na stanje voda. V primeru, da se na podlagi presoje vplivov na stanje voda, ki se izvaja v okviru celovite presoje vplivov na okolje, presoje vplivov na okolje ter v postopkih pridobitve vodne pravice, vodnega mnenja ali vodnega soglasja, ugotovi bistven vpliv na stanje voda je treba upoštevati zahteve 56. člena </w:t>
      </w:r>
      <w:r w:rsidR="00F07473" w:rsidRPr="00545EC0">
        <w:rPr>
          <w:rFonts w:cs="Arial"/>
          <w:szCs w:val="20"/>
        </w:rPr>
        <w:t>z</w:t>
      </w:r>
      <w:r w:rsidR="00347476" w:rsidRPr="00545EC0">
        <w:rPr>
          <w:rFonts w:cs="Arial"/>
          <w:szCs w:val="20"/>
        </w:rPr>
        <w:t>akona o vodah. Zakon o vodah v teh primerih določa, da je za utemeljitev odstopanj od okoljskih ciljev treba izkazati javni interes in da so koristi, ki jih imajo nova preoblikovanja ali spremembe za zdravje in varnost ljudi ali trajnostni razvoj, večje od koristi, ki jih ima doseganje ciljev za okolje in družbo, da koristnih ciljev ni mogoče zagotoviti na način, ki bi imel manjše škodljive posledice na okolje, da se zagotovi izvedba tehnično izvedljivih in sorazmernih ukrepov za blažitev škodljivih vplivov na vode in da so razlogi za spremembe posebej navedeni in obrazloženi v DPN ali v drugem aktu. Povzetek postopka utemeljevanj odstopanj od ok</w:t>
      </w:r>
      <w:r w:rsidR="00E75CF8" w:rsidRPr="00545EC0">
        <w:rPr>
          <w:rFonts w:cs="Arial"/>
          <w:szCs w:val="20"/>
        </w:rPr>
        <w:t>oljskih ciljev iz 56. člena z</w:t>
      </w:r>
      <w:r w:rsidR="00347476" w:rsidRPr="00545EC0">
        <w:rPr>
          <w:rFonts w:cs="Arial"/>
          <w:szCs w:val="20"/>
        </w:rPr>
        <w:t>akona o vodah je podan v okviru poglavja 5.5.3. tega načrta upravljanja voda</w:t>
      </w:r>
      <w:r w:rsidRPr="00545EC0">
        <w:rPr>
          <w:rFonts w:cs="Arial"/>
          <w:szCs w:val="20"/>
        </w:rPr>
        <w:t>.</w:t>
      </w:r>
      <w:r w:rsidR="00347476" w:rsidRPr="00545EC0">
        <w:rPr>
          <w:rFonts w:cs="Arial"/>
          <w:szCs w:val="20"/>
        </w:rPr>
        <w:t xml:space="preserve"> </w:t>
      </w:r>
    </w:p>
    <w:p w14:paraId="4C827D48" w14:textId="77777777" w:rsidR="00C4603F" w:rsidRPr="00545EC0" w:rsidRDefault="00C4603F" w:rsidP="00347476">
      <w:pPr>
        <w:rPr>
          <w:rFonts w:cs="Arial"/>
          <w:szCs w:val="20"/>
        </w:rPr>
      </w:pPr>
    </w:p>
    <w:p w14:paraId="13760D36" w14:textId="4797A109" w:rsidR="008F6611" w:rsidRPr="00545EC0" w:rsidRDefault="008F6611" w:rsidP="008F6611">
      <w:pPr>
        <w:spacing w:line="276" w:lineRule="auto"/>
        <w:rPr>
          <w:rFonts w:cs="Arial"/>
        </w:rPr>
      </w:pPr>
      <w:r w:rsidRPr="00545EC0">
        <w:rPr>
          <w:rFonts w:cs="Arial"/>
          <w:szCs w:val="22"/>
        </w:rPr>
        <w:t xml:space="preserve">Skupna strokovna ocena vpliva ukrepov in prihodnjega razvoja na stanje voda </w:t>
      </w:r>
      <w:r w:rsidRPr="00545EC0">
        <w:rPr>
          <w:rFonts w:cs="Arial"/>
        </w:rPr>
        <w:t xml:space="preserve">je ob upoštevanju navedenih </w:t>
      </w:r>
      <w:r w:rsidR="00084CE0">
        <w:rPr>
          <w:rFonts w:cs="Arial"/>
        </w:rPr>
        <w:t xml:space="preserve">informacij </w:t>
      </w:r>
      <w:r w:rsidRPr="00545EC0">
        <w:rPr>
          <w:rFonts w:cs="Arial"/>
        </w:rPr>
        <w:t>ocenjena z »nespremenjeno« ker v navedenem primeru vpliva na stanje voda ni mogoče oceniti. V primeru, da se v postopku presoje vplivov na okolje ugotovi bistven vpliv na stanje</w:t>
      </w:r>
      <w:r w:rsidR="00E75CF8" w:rsidRPr="00545EC0">
        <w:rPr>
          <w:rFonts w:cs="Arial"/>
        </w:rPr>
        <w:t xml:space="preserve"> vode je v skladu s 56. členom z</w:t>
      </w:r>
      <w:r w:rsidRPr="00545EC0">
        <w:rPr>
          <w:rFonts w:cs="Arial"/>
        </w:rPr>
        <w:t xml:space="preserve">akona o vodah treba izvesti </w:t>
      </w:r>
      <w:r w:rsidRPr="00545EC0">
        <w:rPr>
          <w:rFonts w:cs="Arial"/>
          <w:szCs w:val="20"/>
        </w:rPr>
        <w:t>utemeljitev odstopanj od okoljskih ciljev.</w:t>
      </w:r>
    </w:p>
    <w:p w14:paraId="65DE126F" w14:textId="77777777" w:rsidR="008F6611" w:rsidRPr="00545EC0" w:rsidRDefault="008F6611" w:rsidP="00347476">
      <w:pPr>
        <w:rPr>
          <w:rFonts w:cs="Arial"/>
          <w:szCs w:val="20"/>
        </w:rPr>
      </w:pPr>
    </w:p>
    <w:p w14:paraId="58E30F5B" w14:textId="77777777" w:rsidR="00347476" w:rsidRPr="00545EC0" w:rsidRDefault="00347476" w:rsidP="00347476">
      <w:pPr>
        <w:pStyle w:val="Naslov5"/>
      </w:pPr>
      <w:r w:rsidRPr="00545EC0">
        <w:rPr>
          <w:szCs w:val="26"/>
        </w:rPr>
        <w:t>Načrt za okrevanje in odpornost</w:t>
      </w:r>
    </w:p>
    <w:p w14:paraId="19D0E975" w14:textId="77777777" w:rsidR="00347476" w:rsidRPr="00545EC0" w:rsidRDefault="00347476" w:rsidP="00347476">
      <w:pPr>
        <w:rPr>
          <w:rFonts w:cs="Arial"/>
          <w:szCs w:val="20"/>
        </w:rPr>
      </w:pPr>
      <w:r w:rsidRPr="00545EC0">
        <w:rPr>
          <w:rFonts w:cs="Arial"/>
          <w:szCs w:val="20"/>
        </w:rPr>
        <w:t xml:space="preserve">Načrt za okrevanje in odpornost, ki ga je Vlada Republike Slovenije sprejela aprila 2021, predstavlja enega od temeljev za uspešno okrevanje in dolgoročni razvoj države. </w:t>
      </w:r>
    </w:p>
    <w:p w14:paraId="5426D994" w14:textId="77777777" w:rsidR="00C4603F" w:rsidRPr="00545EC0" w:rsidRDefault="00C4603F" w:rsidP="00347476">
      <w:pPr>
        <w:rPr>
          <w:rFonts w:cs="Arial"/>
          <w:szCs w:val="20"/>
        </w:rPr>
      </w:pPr>
    </w:p>
    <w:p w14:paraId="7E98E758" w14:textId="5D9D87B0" w:rsidR="00347476" w:rsidRPr="00545EC0" w:rsidRDefault="00347476" w:rsidP="00347476">
      <w:pPr>
        <w:rPr>
          <w:rFonts w:cs="Arial"/>
          <w:szCs w:val="20"/>
        </w:rPr>
      </w:pPr>
      <w:r w:rsidRPr="00545EC0">
        <w:rPr>
          <w:rFonts w:cs="Arial"/>
          <w:szCs w:val="20"/>
        </w:rPr>
        <w:t>Z vidika blaženja podnebnih sprememb je največji izziv nadaljnje zmanjšanje izpustov toplogrednih plinov iz prometa, spodbujanje rabe obnovljivih virov energije, pospešitev uvajanj</w:t>
      </w:r>
      <w:r w:rsidR="0064584D" w:rsidRPr="00545EC0">
        <w:rPr>
          <w:rFonts w:cs="Arial"/>
          <w:szCs w:val="20"/>
        </w:rPr>
        <w:t>a</w:t>
      </w:r>
      <w:r w:rsidRPr="00545EC0">
        <w:rPr>
          <w:rFonts w:cs="Arial"/>
          <w:szCs w:val="20"/>
        </w:rPr>
        <w:t xml:space="preserve"> sprememb smeri krožnega gospodarstva in spodbujanje trajnostne rabe prostora.</w:t>
      </w:r>
    </w:p>
    <w:p w14:paraId="7175DA0E" w14:textId="77777777" w:rsidR="00C4603F" w:rsidRPr="00545EC0" w:rsidRDefault="00C4603F" w:rsidP="00347476">
      <w:pPr>
        <w:rPr>
          <w:rFonts w:cs="Arial"/>
          <w:szCs w:val="20"/>
        </w:rPr>
      </w:pPr>
    </w:p>
    <w:p w14:paraId="4AF023DD" w14:textId="77777777" w:rsidR="00347476" w:rsidRPr="00545EC0" w:rsidRDefault="00347476" w:rsidP="00347476">
      <w:pPr>
        <w:rPr>
          <w:rFonts w:cs="Arial"/>
          <w:szCs w:val="20"/>
        </w:rPr>
      </w:pPr>
      <w:r w:rsidRPr="00545EC0">
        <w:rPr>
          <w:rFonts w:cs="Arial"/>
          <w:szCs w:val="20"/>
        </w:rPr>
        <w:t>Slovenija se poleg izzivov na področju blaženja podnebnih sprememb spopada še z izzivi prilagajanja neizbežnim posledicam podnebnih sprememb. Zato bodo sredstva namenjena tudi okrepitvi delovanja na tem področju in ukrepom za izboljšanje protipoplavne varnosti. Reforme bodo podprte z naložbami na področju zmanjševanja poplavne ogroženosti in tveganj za druge podnebno pogojene nesreče. Ohranjanje biotske raznovrstnosti, območij Natura 2000 in varovanje okolja bo omogočeno tudi z zmanjšanjem razsežnosti škode ter trajanja podnebno pogojenih nesreč, kar bomo dosegli z vzpostavitvijo Nacionalnega centra civilne zaščite in dveh specializiranih podcentrov za usposabljanje.</w:t>
      </w:r>
    </w:p>
    <w:p w14:paraId="799CA9BA" w14:textId="7F6B5256" w:rsidR="00347476" w:rsidRPr="00545EC0" w:rsidRDefault="00347476" w:rsidP="00347476">
      <w:pPr>
        <w:rPr>
          <w:rFonts w:cs="Arial"/>
          <w:szCs w:val="20"/>
        </w:rPr>
      </w:pPr>
      <w:r w:rsidRPr="00545EC0">
        <w:rPr>
          <w:rFonts w:cs="Arial"/>
          <w:szCs w:val="20"/>
        </w:rPr>
        <w:t>Uvajanj</w:t>
      </w:r>
      <w:r w:rsidR="0064584D" w:rsidRPr="00545EC0">
        <w:rPr>
          <w:rFonts w:cs="Arial"/>
          <w:szCs w:val="20"/>
        </w:rPr>
        <w:t>e</w:t>
      </w:r>
      <w:r w:rsidRPr="00545EC0">
        <w:rPr>
          <w:rFonts w:cs="Arial"/>
          <w:szCs w:val="20"/>
        </w:rPr>
        <w:t xml:space="preserve"> ukrepov trajnostne rabe voda</w:t>
      </w:r>
      <w:r w:rsidR="0064584D" w:rsidRPr="00545EC0">
        <w:rPr>
          <w:rFonts w:cs="Arial"/>
          <w:szCs w:val="20"/>
        </w:rPr>
        <w:t>,</w:t>
      </w:r>
      <w:r w:rsidRPr="00545EC0">
        <w:rPr>
          <w:rFonts w:cs="Arial"/>
          <w:szCs w:val="20"/>
        </w:rPr>
        <w:t xml:space="preserve"> poleg pozitivnega vpliva na okolje</w:t>
      </w:r>
      <w:r w:rsidR="0064584D" w:rsidRPr="00545EC0">
        <w:rPr>
          <w:rFonts w:cs="Arial"/>
          <w:szCs w:val="20"/>
        </w:rPr>
        <w:t>,</w:t>
      </w:r>
      <w:r w:rsidRPr="00545EC0">
        <w:rPr>
          <w:rFonts w:cs="Arial"/>
          <w:szCs w:val="20"/>
        </w:rPr>
        <w:t xml:space="preserve"> zagotavlja tudi ekonomsko in energetsko učinkovitost. V tem oziru je treba vzpostaviti učinkovitejši način načrtovanja ukrepov in investicij na področju ravnanja z vodo, ki bo zagotavljal celovit in učinkovit sistem. S tega vidika je treba posebno pozornost nameniti področju javnih služb oskrbe s pitno vodo in področju javnih služb odvajanja in čiščenja komunalne odpadne vode.</w:t>
      </w:r>
    </w:p>
    <w:p w14:paraId="513B3C60" w14:textId="77777777" w:rsidR="00C4603F" w:rsidRPr="00545EC0" w:rsidRDefault="00C4603F" w:rsidP="00347476">
      <w:pPr>
        <w:rPr>
          <w:rFonts w:cs="Arial"/>
          <w:szCs w:val="20"/>
        </w:rPr>
      </w:pPr>
    </w:p>
    <w:p w14:paraId="0A28399D" w14:textId="5342A08E" w:rsidR="00347476" w:rsidRPr="00545EC0" w:rsidRDefault="00347476" w:rsidP="00347476">
      <w:pPr>
        <w:rPr>
          <w:rFonts w:cs="Arial"/>
          <w:szCs w:val="20"/>
        </w:rPr>
      </w:pPr>
      <w:r w:rsidRPr="00545EC0">
        <w:rPr>
          <w:rFonts w:cs="Arial"/>
          <w:szCs w:val="20"/>
        </w:rPr>
        <w:t>Zaradi značilne poselitve je Slovenija bolj kot ostale države, v katerih je poselitev izrazito koncentrirana v večjih mestih, soočena z izzivi zagotavljanja v</w:t>
      </w:r>
      <w:r w:rsidR="0064584D" w:rsidRPr="00545EC0">
        <w:rPr>
          <w:rFonts w:cs="Arial"/>
          <w:szCs w:val="20"/>
        </w:rPr>
        <w:t>a</w:t>
      </w:r>
      <w:r w:rsidRPr="00545EC0">
        <w:rPr>
          <w:rFonts w:cs="Arial"/>
          <w:szCs w:val="20"/>
        </w:rPr>
        <w:t xml:space="preserve">rne in zanesljive oskrbe s pitno vodo in odvajanja in čiščenja odpadnih voda v razdrobljenem okolju naselij in urbanih središčih na celovitem ozemlju. Pri tem je Slovenija dodatno soočena z izzivom razpršene poseljenosti in razdrobljenosti izvajalcev storitev oskrbe s pitno vodo in odvajanja in čiščenja odpadne vode, saj je za izvajanje teh storitev, ki so v pristojnosti posamezne lokalne skupnosti, pristojnih okoli 90 izvajalcev za področje oskrbe s pitno vodo in 115 izvajalcev za področje odpadne vode, pri čemer je v več primerih v občini </w:t>
      </w:r>
      <w:r w:rsidRPr="00545EC0">
        <w:rPr>
          <w:rFonts w:cs="Arial"/>
          <w:szCs w:val="20"/>
        </w:rPr>
        <w:lastRenderedPageBreak/>
        <w:t>isti izvajalec pristojen tako za pitno kot za odpadno vodo. Za preseganje tega stanja je treba zagotoviti zakonske podlage za ustrezen prenos pristojnosti dela teh funkcij na pokrajine.</w:t>
      </w:r>
    </w:p>
    <w:p w14:paraId="6888214A" w14:textId="77777777" w:rsidR="00C4603F" w:rsidRPr="00545EC0" w:rsidRDefault="00C4603F" w:rsidP="00347476">
      <w:pPr>
        <w:rPr>
          <w:rFonts w:cs="Arial"/>
          <w:szCs w:val="20"/>
        </w:rPr>
      </w:pPr>
    </w:p>
    <w:p w14:paraId="4436E4DF" w14:textId="61D2E47B" w:rsidR="00347476" w:rsidRPr="00545EC0" w:rsidRDefault="00347476" w:rsidP="00347476">
      <w:pPr>
        <w:rPr>
          <w:rFonts w:cs="Arial"/>
          <w:szCs w:val="20"/>
        </w:rPr>
      </w:pPr>
      <w:r w:rsidRPr="00545EC0">
        <w:rPr>
          <w:rFonts w:cs="Arial"/>
          <w:szCs w:val="20"/>
        </w:rPr>
        <w:t>Na področju zagotavljanja kakovostnega stanja okolja se bo z načrtovanimi ukrepi prispevalo k odpravi opredeljenih izzivov pri delovanju javnih služb varstva okolja, predvsem se namerava izboljšati učinkovitost organiziranosti in preglednosti njihovega delovanja ter vzpostaviti pogoje za dolgoročno vzdržno financiranje tovrstnih javnih storitev. Z vlaganji se bo</w:t>
      </w:r>
      <w:r w:rsidR="0064584D" w:rsidRPr="00545EC0">
        <w:rPr>
          <w:rFonts w:cs="Arial"/>
          <w:szCs w:val="20"/>
        </w:rPr>
        <w:t>,</w:t>
      </w:r>
      <w:r w:rsidRPr="00545EC0">
        <w:rPr>
          <w:rFonts w:cs="Arial"/>
          <w:szCs w:val="20"/>
        </w:rPr>
        <w:t xml:space="preserve"> predvsem na območjih Natura 2000 in vodovarstvenih območjih, podprlo obnovo in izgradnjo infrastrukture za zagotavljanje dostopa do kakovostne pitne vode in čiščenje odpadnih voda (Vlada RS, 2020).</w:t>
      </w:r>
    </w:p>
    <w:p w14:paraId="410DC011" w14:textId="77777777" w:rsidR="008F6611" w:rsidRPr="00545EC0" w:rsidRDefault="008F6611" w:rsidP="00347476">
      <w:pPr>
        <w:rPr>
          <w:rFonts w:cs="Arial"/>
          <w:szCs w:val="20"/>
        </w:rPr>
      </w:pPr>
    </w:p>
    <w:p w14:paraId="3596FF22" w14:textId="178B2550" w:rsidR="008F6611" w:rsidRPr="00545EC0" w:rsidRDefault="008F6611" w:rsidP="008F6611">
      <w:pPr>
        <w:spacing w:line="276" w:lineRule="auto"/>
        <w:rPr>
          <w:rFonts w:cs="Arial"/>
        </w:rPr>
      </w:pPr>
      <w:r w:rsidRPr="00545EC0">
        <w:rPr>
          <w:rFonts w:cs="Arial"/>
          <w:szCs w:val="22"/>
        </w:rPr>
        <w:t xml:space="preserve">Skupna strokovna ocena vpliva ukrepov in prihodnjega razvoja na stanje voda </w:t>
      </w:r>
      <w:r w:rsidRPr="00545EC0">
        <w:rPr>
          <w:rFonts w:cs="Arial"/>
        </w:rPr>
        <w:t>je</w:t>
      </w:r>
      <w:r w:rsidR="0064584D" w:rsidRPr="00545EC0">
        <w:rPr>
          <w:rFonts w:cs="Arial"/>
        </w:rPr>
        <w:t>,</w:t>
      </w:r>
      <w:r w:rsidRPr="00545EC0">
        <w:rPr>
          <w:rFonts w:cs="Arial"/>
        </w:rPr>
        <w:t xml:space="preserve"> ob upoštevanju navedenih</w:t>
      </w:r>
      <w:r w:rsidR="00084CE0">
        <w:rPr>
          <w:rFonts w:cs="Arial"/>
        </w:rPr>
        <w:t xml:space="preserve"> informacij</w:t>
      </w:r>
      <w:r w:rsidR="0064584D" w:rsidRPr="00545EC0">
        <w:rPr>
          <w:rFonts w:cs="Arial"/>
        </w:rPr>
        <w:t>,</w:t>
      </w:r>
      <w:r w:rsidRPr="00545EC0">
        <w:rPr>
          <w:rFonts w:cs="Arial"/>
        </w:rPr>
        <w:t xml:space="preserve"> ocenjena z »nespremenjeno« ker v navedenem primeru vpliva na stanje voda ni mogoče oceniti. </w:t>
      </w:r>
    </w:p>
    <w:p w14:paraId="478E3513" w14:textId="77777777" w:rsidR="008F6611" w:rsidRPr="00545EC0" w:rsidRDefault="008F6611" w:rsidP="00347476">
      <w:pPr>
        <w:rPr>
          <w:rFonts w:cs="Arial"/>
          <w:szCs w:val="20"/>
        </w:rPr>
      </w:pPr>
    </w:p>
    <w:p w14:paraId="68A57F8D" w14:textId="08F718A1" w:rsidR="000D541E" w:rsidRPr="00545EC0" w:rsidRDefault="00347476" w:rsidP="00347476">
      <w:pPr>
        <w:pStyle w:val="Naslov4"/>
        <w:rPr>
          <w:color w:val="auto"/>
        </w:rPr>
      </w:pPr>
      <w:r w:rsidRPr="00545EC0">
        <w:rPr>
          <w:color w:val="auto"/>
        </w:rPr>
        <w:br w:type="page"/>
      </w:r>
      <w:r w:rsidR="000D541E" w:rsidRPr="00545EC0">
        <w:rPr>
          <w:color w:val="auto"/>
        </w:rPr>
        <w:lastRenderedPageBreak/>
        <w:t>Ocena verjetnosti doseganja okoljskih ciljev</w:t>
      </w:r>
      <w:bookmarkEnd w:id="344"/>
      <w:r w:rsidR="000D541E" w:rsidRPr="00545EC0">
        <w:rPr>
          <w:color w:val="auto"/>
        </w:rPr>
        <w:t xml:space="preserve"> za </w:t>
      </w:r>
      <w:bookmarkEnd w:id="345"/>
      <w:r w:rsidR="00C8079B" w:rsidRPr="00545EC0">
        <w:rPr>
          <w:color w:val="auto"/>
        </w:rPr>
        <w:t>vodna telesa površinskih voda</w:t>
      </w:r>
    </w:p>
    <w:p w14:paraId="35FA783E" w14:textId="77777777" w:rsidR="00675B63" w:rsidRPr="00545EC0" w:rsidRDefault="00675B63" w:rsidP="00675B63">
      <w:pPr>
        <w:spacing w:line="276" w:lineRule="auto"/>
        <w:rPr>
          <w:rFonts w:cs="Tahoma"/>
          <w:szCs w:val="20"/>
        </w:rPr>
      </w:pPr>
      <w:bookmarkStart w:id="348" w:name="_Hlk84459971"/>
      <w:bookmarkEnd w:id="346"/>
      <w:bookmarkEnd w:id="347"/>
      <w:r w:rsidRPr="00545EC0">
        <w:rPr>
          <w:rFonts w:cs="Tahoma"/>
          <w:szCs w:val="20"/>
        </w:rPr>
        <w:t>Razvrstitev VTPV v enega od razredov verjetnosti doseganja okoljskih ciljev (</w:t>
      </w:r>
      <w:r w:rsidRPr="00545EC0">
        <w:rPr>
          <w:rFonts w:cs="Tahoma"/>
          <w:szCs w:val="20"/>
        </w:rPr>
        <w:fldChar w:fldCharType="begin"/>
      </w:r>
      <w:r w:rsidRPr="00545EC0">
        <w:rPr>
          <w:rFonts w:cs="Tahoma"/>
          <w:szCs w:val="20"/>
        </w:rPr>
        <w:instrText xml:space="preserve"> REF _Ref84322208 \h  \* MERGEFORMAT </w:instrText>
      </w:r>
      <w:r w:rsidRPr="00545EC0">
        <w:rPr>
          <w:rFonts w:cs="Tahoma"/>
          <w:szCs w:val="20"/>
        </w:rPr>
      </w:r>
      <w:r w:rsidRPr="00545EC0">
        <w:rPr>
          <w:rFonts w:cs="Tahoma"/>
          <w:szCs w:val="20"/>
        </w:rPr>
        <w:fldChar w:fldCharType="separate"/>
      </w:r>
      <w:r w:rsidR="002F3E43" w:rsidRPr="00545EC0">
        <w:t xml:space="preserve">Preglednica </w:t>
      </w:r>
      <w:r w:rsidR="002F3E43">
        <w:rPr>
          <w:noProof/>
        </w:rPr>
        <w:t>2</w:t>
      </w:r>
      <w:r w:rsidR="002F3E43" w:rsidRPr="00545EC0">
        <w:rPr>
          <w:noProof/>
        </w:rPr>
        <w:noBreakHyphen/>
      </w:r>
      <w:r w:rsidR="002F3E43">
        <w:rPr>
          <w:noProof/>
        </w:rPr>
        <w:t>44</w:t>
      </w:r>
      <w:r w:rsidRPr="00545EC0">
        <w:rPr>
          <w:rFonts w:cs="Tahoma"/>
          <w:szCs w:val="20"/>
        </w:rPr>
        <w:fldChar w:fldCharType="end"/>
      </w:r>
      <w:r w:rsidRPr="00545EC0">
        <w:rPr>
          <w:rFonts w:cs="Tahoma"/>
          <w:szCs w:val="20"/>
        </w:rPr>
        <w:t>) je pripravljena glede na:</w:t>
      </w:r>
    </w:p>
    <w:p w14:paraId="64E3B4B8" w14:textId="77777777" w:rsidR="00675B63" w:rsidRPr="00545EC0" w:rsidRDefault="00675B63"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 xml:space="preserve">prisotnost morebitnih pomembnih obremenitev na obravnavanem VT, iz poglavja prikaz obremenitev vodnih teles površinskih voda,  </w:t>
      </w:r>
    </w:p>
    <w:p w14:paraId="0E98DAA7" w14:textId="77777777" w:rsidR="00675B63" w:rsidRPr="00545EC0" w:rsidRDefault="00675B63"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oceno stanja površinskih voda, iz poglavja opis monitoringa vodnih teles površinskih voda, in</w:t>
      </w:r>
    </w:p>
    <w:p w14:paraId="1908EA0C" w14:textId="77777777" w:rsidR="00675B63" w:rsidRPr="00545EC0" w:rsidRDefault="00675B63"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 xml:space="preserve">oceno vpliva ukrepov in prihodnjega razvoja, ki upošteva </w:t>
      </w:r>
    </w:p>
    <w:p w14:paraId="06079CBD" w14:textId="77777777" w:rsidR="00675B63" w:rsidRPr="00545EC0" w:rsidRDefault="00675B63" w:rsidP="00DD37C5">
      <w:pPr>
        <w:pStyle w:val="Odstavekseznama"/>
        <w:numPr>
          <w:ilvl w:val="1"/>
          <w:numId w:val="27"/>
        </w:numPr>
        <w:overflowPunct/>
        <w:autoSpaceDE/>
        <w:autoSpaceDN/>
        <w:adjustRightInd/>
        <w:spacing w:line="276" w:lineRule="auto"/>
        <w:contextualSpacing/>
        <w:textAlignment w:val="auto"/>
        <w:rPr>
          <w:rFonts w:cs="Tahoma"/>
          <w:szCs w:val="22"/>
          <w:lang w:val="sl-SI"/>
        </w:rPr>
      </w:pPr>
      <w:r w:rsidRPr="00545EC0">
        <w:rPr>
          <w:rFonts w:cs="Tahoma"/>
          <w:szCs w:val="22"/>
        </w:rPr>
        <w:t>strokovno oceno vpliva izvajanja ukrepov</w:t>
      </w:r>
      <w:r w:rsidRPr="00545EC0">
        <w:rPr>
          <w:rFonts w:cs="Tahoma"/>
          <w:szCs w:val="22"/>
          <w:lang w:val="sl-SI"/>
        </w:rPr>
        <w:t xml:space="preserve"> na podlagi razpoložljivih podatkov o izvedbi temeljnih in dopolnilnih ukrepov, upoštevajoč obdobje do 2017, </w:t>
      </w:r>
    </w:p>
    <w:p w14:paraId="6D14B1FC" w14:textId="77777777" w:rsidR="00675B63" w:rsidRPr="00545EC0" w:rsidRDefault="00675B63" w:rsidP="00DD37C5">
      <w:pPr>
        <w:pStyle w:val="Odstavekseznama"/>
        <w:numPr>
          <w:ilvl w:val="1"/>
          <w:numId w:val="27"/>
        </w:numPr>
        <w:overflowPunct/>
        <w:autoSpaceDE/>
        <w:autoSpaceDN/>
        <w:adjustRightInd/>
        <w:spacing w:line="276" w:lineRule="auto"/>
        <w:contextualSpacing/>
        <w:textAlignment w:val="auto"/>
        <w:rPr>
          <w:rFonts w:cs="Tahoma"/>
          <w:szCs w:val="22"/>
          <w:lang w:val="sl-SI"/>
        </w:rPr>
      </w:pPr>
      <w:r w:rsidRPr="00545EC0">
        <w:rPr>
          <w:rFonts w:cs="Tahoma"/>
          <w:szCs w:val="22"/>
        </w:rPr>
        <w:t>strokovno oceno vpliva izvajanja ukrepov</w:t>
      </w:r>
      <w:r w:rsidRPr="00545EC0">
        <w:rPr>
          <w:rFonts w:cs="Tahoma"/>
          <w:szCs w:val="22"/>
          <w:lang w:val="sl-SI"/>
        </w:rPr>
        <w:t xml:space="preserve"> na podlagi razpoložljivih podatkov o izvajanju EU in drugih projektih,  </w:t>
      </w:r>
    </w:p>
    <w:p w14:paraId="4DFCFAA5" w14:textId="77777777" w:rsidR="00675B63" w:rsidRPr="00545EC0" w:rsidRDefault="00675B63" w:rsidP="00DD37C5">
      <w:pPr>
        <w:numPr>
          <w:ilvl w:val="1"/>
          <w:numId w:val="27"/>
        </w:numPr>
        <w:spacing w:line="276" w:lineRule="auto"/>
        <w:rPr>
          <w:rFonts w:cs="Tahoma"/>
          <w:szCs w:val="20"/>
        </w:rPr>
      </w:pPr>
      <w:r w:rsidRPr="00545EC0">
        <w:rPr>
          <w:rFonts w:cs="Tahoma"/>
          <w:szCs w:val="22"/>
        </w:rPr>
        <w:t xml:space="preserve">strokovno oceno vpliva novih posegov, </w:t>
      </w:r>
    </w:p>
    <w:p w14:paraId="7D286D92" w14:textId="77777777" w:rsidR="00675B63" w:rsidRPr="00545EC0" w:rsidRDefault="00675B63" w:rsidP="00DD37C5">
      <w:pPr>
        <w:numPr>
          <w:ilvl w:val="1"/>
          <w:numId w:val="27"/>
        </w:numPr>
        <w:spacing w:line="276" w:lineRule="auto"/>
        <w:rPr>
          <w:rFonts w:cs="Tahoma"/>
          <w:szCs w:val="20"/>
        </w:rPr>
      </w:pPr>
      <w:r w:rsidRPr="00545EC0">
        <w:rPr>
          <w:rFonts w:cs="Tahoma"/>
          <w:szCs w:val="22"/>
        </w:rPr>
        <w:t>strokovno oceno vpliva ukrepov izhajajočih iz javno dostopnih razvojnih strategij in strateških dokumentov drugih sektorjev.</w:t>
      </w:r>
    </w:p>
    <w:p w14:paraId="1974841A" w14:textId="77777777" w:rsidR="008A512D" w:rsidRPr="00545EC0" w:rsidRDefault="008A512D" w:rsidP="008A512D">
      <w:pPr>
        <w:pStyle w:val="Odstavekseznama"/>
        <w:tabs>
          <w:tab w:val="center" w:pos="426"/>
        </w:tabs>
        <w:overflowPunct/>
        <w:autoSpaceDE/>
        <w:autoSpaceDN/>
        <w:adjustRightInd/>
        <w:ind w:left="426"/>
        <w:contextualSpacing/>
        <w:textAlignment w:val="auto"/>
        <w:rPr>
          <w:rFonts w:cs="Arial"/>
          <w:lang w:val="sl-SI"/>
        </w:rPr>
      </w:pPr>
    </w:p>
    <w:p w14:paraId="070818CC" w14:textId="3BB37112" w:rsidR="00571518" w:rsidRPr="00545EC0" w:rsidRDefault="00571518" w:rsidP="00571518">
      <w:pPr>
        <w:pStyle w:val="Napis"/>
      </w:pPr>
      <w:bookmarkStart w:id="349" w:name="_Ref84322208"/>
      <w:bookmarkStart w:id="350" w:name="_Ref84261174"/>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44</w:t>
        </w:r>
      </w:fldSimple>
      <w:bookmarkEnd w:id="349"/>
      <w:r w:rsidRPr="00545EC0">
        <w:t>: Opredelitev ocene doseganja okoljskih ciljev za vodna telesa površinskih voda</w:t>
      </w:r>
      <w:bookmarkEnd w:id="35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418"/>
        <w:gridCol w:w="1134"/>
        <w:gridCol w:w="1843"/>
        <w:gridCol w:w="1275"/>
        <w:gridCol w:w="2694"/>
        <w:gridCol w:w="425"/>
      </w:tblGrid>
      <w:tr w:rsidR="003122F4" w:rsidRPr="00545EC0" w14:paraId="5B658029" w14:textId="77777777" w:rsidTr="00C31C9A">
        <w:trPr>
          <w:tblHeader/>
        </w:trPr>
        <w:tc>
          <w:tcPr>
            <w:tcW w:w="1418" w:type="dxa"/>
            <w:shd w:val="clear" w:color="auto" w:fill="EEECE1" w:themeFill="background2"/>
            <w:vAlign w:val="center"/>
          </w:tcPr>
          <w:p w14:paraId="6478C0F0" w14:textId="77777777" w:rsidR="00276474" w:rsidRPr="00545EC0" w:rsidRDefault="006A1E3B" w:rsidP="005D0743">
            <w:pPr>
              <w:spacing w:line="276" w:lineRule="auto"/>
              <w:jc w:val="center"/>
              <w:rPr>
                <w:rFonts w:cs="Arial"/>
                <w:b/>
                <w:sz w:val="18"/>
                <w:szCs w:val="18"/>
                <w:lang w:val="pl-PL" w:eastAsia="pl-PL"/>
              </w:rPr>
            </w:pPr>
            <w:r w:rsidRPr="00545EC0">
              <w:rPr>
                <w:rFonts w:cs="Arial"/>
                <w:b/>
                <w:sz w:val="18"/>
                <w:szCs w:val="18"/>
                <w:lang w:val="pl-PL" w:eastAsia="pl-PL"/>
              </w:rPr>
              <w:t>Pomembna obremenitev na VT</w:t>
            </w:r>
          </w:p>
        </w:tc>
        <w:tc>
          <w:tcPr>
            <w:tcW w:w="1134" w:type="dxa"/>
            <w:shd w:val="clear" w:color="auto" w:fill="EEECE1" w:themeFill="background2"/>
            <w:vAlign w:val="center"/>
          </w:tcPr>
          <w:p w14:paraId="078EB4EC" w14:textId="77777777" w:rsidR="00276474" w:rsidRPr="00545EC0" w:rsidRDefault="00276474" w:rsidP="005D0743">
            <w:pPr>
              <w:spacing w:line="276" w:lineRule="auto"/>
              <w:jc w:val="center"/>
              <w:rPr>
                <w:rFonts w:cs="Arial"/>
                <w:b/>
                <w:sz w:val="18"/>
                <w:szCs w:val="18"/>
                <w:lang w:val="pl-PL" w:eastAsia="pl-PL"/>
              </w:rPr>
            </w:pPr>
            <w:r w:rsidRPr="00545EC0">
              <w:rPr>
                <w:rFonts w:cs="Arial"/>
                <w:b/>
                <w:sz w:val="18"/>
                <w:szCs w:val="18"/>
                <w:lang w:val="pl-PL" w:eastAsia="pl-PL"/>
              </w:rPr>
              <w:t>Dobro stanje VT</w:t>
            </w:r>
          </w:p>
        </w:tc>
        <w:tc>
          <w:tcPr>
            <w:tcW w:w="1843" w:type="dxa"/>
            <w:shd w:val="clear" w:color="auto" w:fill="EEECE1" w:themeFill="background2"/>
            <w:vAlign w:val="center"/>
          </w:tcPr>
          <w:p w14:paraId="08BF6D45" w14:textId="77777777" w:rsidR="00276474" w:rsidRPr="00545EC0" w:rsidRDefault="00276474" w:rsidP="005D0743">
            <w:pPr>
              <w:spacing w:line="276" w:lineRule="auto"/>
              <w:jc w:val="center"/>
              <w:rPr>
                <w:rFonts w:cs="Arial"/>
                <w:b/>
                <w:sz w:val="18"/>
                <w:szCs w:val="18"/>
                <w:lang w:val="pl-PL" w:eastAsia="pl-PL"/>
              </w:rPr>
            </w:pPr>
            <w:r w:rsidRPr="00545EC0">
              <w:rPr>
                <w:rFonts w:cs="Arial"/>
                <w:b/>
                <w:sz w:val="18"/>
                <w:szCs w:val="18"/>
                <w:lang w:val="pl-PL" w:eastAsia="pl-PL"/>
              </w:rPr>
              <w:t>Vplivi ukrepov in prihodnjega razvoja</w:t>
            </w:r>
          </w:p>
        </w:tc>
        <w:tc>
          <w:tcPr>
            <w:tcW w:w="1275" w:type="dxa"/>
            <w:shd w:val="clear" w:color="auto" w:fill="EEECE1" w:themeFill="background2"/>
            <w:vAlign w:val="center"/>
          </w:tcPr>
          <w:p w14:paraId="32CFB800" w14:textId="77777777" w:rsidR="00276474" w:rsidRPr="00545EC0" w:rsidRDefault="00276474" w:rsidP="005D0743">
            <w:pPr>
              <w:spacing w:line="276" w:lineRule="auto"/>
              <w:jc w:val="center"/>
              <w:rPr>
                <w:rFonts w:cs="Arial"/>
                <w:b/>
                <w:sz w:val="18"/>
                <w:szCs w:val="18"/>
                <w:lang w:val="pl-PL" w:eastAsia="pl-PL"/>
              </w:rPr>
            </w:pPr>
            <w:r w:rsidRPr="00545EC0">
              <w:rPr>
                <w:rFonts w:cs="Arial"/>
                <w:b/>
                <w:sz w:val="18"/>
                <w:szCs w:val="18"/>
                <w:lang w:val="pl-PL" w:eastAsia="pl-PL"/>
              </w:rPr>
              <w:t>Ocena tveganja</w:t>
            </w:r>
          </w:p>
        </w:tc>
        <w:tc>
          <w:tcPr>
            <w:tcW w:w="3119" w:type="dxa"/>
            <w:gridSpan w:val="2"/>
            <w:shd w:val="clear" w:color="auto" w:fill="EEECE1" w:themeFill="background2"/>
            <w:vAlign w:val="center"/>
          </w:tcPr>
          <w:p w14:paraId="65D299DC" w14:textId="77777777" w:rsidR="00276474" w:rsidRPr="00545EC0" w:rsidRDefault="006A1E3B" w:rsidP="005D0743">
            <w:pPr>
              <w:spacing w:line="276" w:lineRule="auto"/>
              <w:jc w:val="center"/>
              <w:rPr>
                <w:rFonts w:cs="Arial"/>
                <w:b/>
                <w:sz w:val="18"/>
                <w:szCs w:val="18"/>
                <w:lang w:val="pl-PL" w:eastAsia="pl-PL"/>
              </w:rPr>
            </w:pPr>
            <w:r w:rsidRPr="00545EC0">
              <w:rPr>
                <w:rFonts w:cs="Arial"/>
                <w:b/>
                <w:sz w:val="18"/>
                <w:szCs w:val="18"/>
                <w:lang w:val="pl-PL" w:eastAsia="pl-PL"/>
              </w:rPr>
              <w:t>V</w:t>
            </w:r>
            <w:r w:rsidR="00276474" w:rsidRPr="00545EC0">
              <w:rPr>
                <w:rFonts w:cs="Arial"/>
                <w:b/>
                <w:sz w:val="18"/>
                <w:szCs w:val="18"/>
                <w:lang w:val="pl-PL" w:eastAsia="pl-PL"/>
              </w:rPr>
              <w:t>erjetnost</w:t>
            </w:r>
            <w:r w:rsidRPr="00545EC0">
              <w:rPr>
                <w:rFonts w:cs="Arial"/>
                <w:b/>
                <w:sz w:val="18"/>
                <w:szCs w:val="18"/>
                <w:lang w:val="pl-PL" w:eastAsia="pl-PL"/>
              </w:rPr>
              <w:t xml:space="preserve"> </w:t>
            </w:r>
            <w:r w:rsidR="00276474" w:rsidRPr="00545EC0">
              <w:rPr>
                <w:rFonts w:cs="Arial"/>
                <w:b/>
                <w:sz w:val="18"/>
                <w:szCs w:val="18"/>
                <w:lang w:val="pl-PL" w:eastAsia="pl-PL"/>
              </w:rPr>
              <w:t>doseganja okoljskih ciljev</w:t>
            </w:r>
          </w:p>
        </w:tc>
      </w:tr>
      <w:tr w:rsidR="003122F4" w:rsidRPr="00545EC0" w14:paraId="2986158A" w14:textId="77777777" w:rsidTr="00571518">
        <w:trPr>
          <w:trHeight w:val="529"/>
        </w:trPr>
        <w:tc>
          <w:tcPr>
            <w:tcW w:w="1418" w:type="dxa"/>
            <w:vMerge w:val="restart"/>
            <w:shd w:val="clear" w:color="auto" w:fill="FFFFFF" w:themeFill="background1"/>
            <w:vAlign w:val="center"/>
          </w:tcPr>
          <w:p w14:paraId="5FF28CAB" w14:textId="77777777" w:rsidR="00276474" w:rsidRPr="00545EC0" w:rsidRDefault="00276474" w:rsidP="005D0743">
            <w:pPr>
              <w:spacing w:line="276" w:lineRule="auto"/>
              <w:jc w:val="center"/>
              <w:rPr>
                <w:rFonts w:cs="Arial"/>
                <w:b/>
                <w:sz w:val="18"/>
                <w:szCs w:val="18"/>
                <w:lang w:val="pl-PL" w:eastAsia="pl-PL"/>
              </w:rPr>
            </w:pPr>
            <w:r w:rsidRPr="00545EC0">
              <w:rPr>
                <w:rFonts w:cs="Arial"/>
                <w:b/>
                <w:sz w:val="18"/>
                <w:szCs w:val="18"/>
                <w:lang w:val="pl-PL" w:eastAsia="pl-PL"/>
              </w:rPr>
              <w:t>NE</w:t>
            </w:r>
          </w:p>
        </w:tc>
        <w:tc>
          <w:tcPr>
            <w:tcW w:w="1134" w:type="dxa"/>
            <w:vMerge w:val="restart"/>
            <w:shd w:val="clear" w:color="auto" w:fill="FFFFFF" w:themeFill="background1"/>
            <w:vAlign w:val="center"/>
          </w:tcPr>
          <w:p w14:paraId="770B6BE9" w14:textId="77777777" w:rsidR="00276474" w:rsidRPr="00545EC0" w:rsidRDefault="00276474" w:rsidP="005D0743">
            <w:pPr>
              <w:spacing w:line="276" w:lineRule="auto"/>
              <w:jc w:val="center"/>
              <w:rPr>
                <w:rFonts w:cs="Arial"/>
                <w:b/>
                <w:sz w:val="18"/>
                <w:szCs w:val="18"/>
                <w:lang w:val="pl-PL" w:eastAsia="pl-PL"/>
              </w:rPr>
            </w:pPr>
            <w:r w:rsidRPr="00545EC0">
              <w:rPr>
                <w:rFonts w:cs="Arial"/>
                <w:b/>
                <w:sz w:val="18"/>
                <w:szCs w:val="18"/>
                <w:lang w:val="pl-PL" w:eastAsia="pl-PL"/>
              </w:rPr>
              <w:t>DA</w:t>
            </w:r>
          </w:p>
        </w:tc>
        <w:tc>
          <w:tcPr>
            <w:tcW w:w="1843" w:type="dxa"/>
            <w:shd w:val="clear" w:color="auto" w:fill="FFFFFF" w:themeFill="background1"/>
            <w:vAlign w:val="center"/>
          </w:tcPr>
          <w:p w14:paraId="0C37CA26" w14:textId="77777777" w:rsidR="00276474" w:rsidRPr="00545EC0" w:rsidRDefault="00276474" w:rsidP="005D0743">
            <w:pPr>
              <w:spacing w:line="276" w:lineRule="auto"/>
              <w:jc w:val="center"/>
              <w:rPr>
                <w:rFonts w:cs="Arial"/>
                <w:sz w:val="18"/>
                <w:szCs w:val="18"/>
                <w:lang w:val="pl-PL" w:eastAsia="pl-PL"/>
              </w:rPr>
            </w:pPr>
            <w:r w:rsidRPr="00545EC0">
              <w:rPr>
                <w:rFonts w:cs="Arial"/>
                <w:sz w:val="18"/>
                <w:szCs w:val="18"/>
                <w:lang w:val="pl-PL" w:eastAsia="pl-PL"/>
              </w:rPr>
              <w:t>izboljšanje</w:t>
            </w:r>
          </w:p>
        </w:tc>
        <w:tc>
          <w:tcPr>
            <w:tcW w:w="1275" w:type="dxa"/>
            <w:shd w:val="clear" w:color="auto" w:fill="FFFFFF" w:themeFill="background1"/>
            <w:vAlign w:val="center"/>
          </w:tcPr>
          <w:p w14:paraId="5352DB10" w14:textId="77777777" w:rsidR="00276474" w:rsidRPr="00545EC0" w:rsidRDefault="00276474" w:rsidP="005D0743">
            <w:pPr>
              <w:spacing w:line="276" w:lineRule="auto"/>
              <w:jc w:val="center"/>
              <w:rPr>
                <w:rFonts w:cs="Arial"/>
                <w:sz w:val="18"/>
                <w:szCs w:val="18"/>
                <w:lang w:val="pl-PL" w:eastAsia="pl-PL"/>
              </w:rPr>
            </w:pPr>
            <w:r w:rsidRPr="00545EC0">
              <w:rPr>
                <w:rFonts w:cs="Arial"/>
                <w:sz w:val="18"/>
                <w:szCs w:val="18"/>
                <w:lang w:val="pl-PL" w:eastAsia="pl-PL"/>
              </w:rPr>
              <w:t>ni tveganja</w:t>
            </w:r>
          </w:p>
        </w:tc>
        <w:tc>
          <w:tcPr>
            <w:tcW w:w="2694" w:type="dxa"/>
            <w:shd w:val="clear" w:color="auto" w:fill="FFFFFF" w:themeFill="background1"/>
            <w:vAlign w:val="center"/>
          </w:tcPr>
          <w:p w14:paraId="2CAAC4B0" w14:textId="77777777" w:rsidR="00276474" w:rsidRPr="00545EC0" w:rsidRDefault="006A1E3B" w:rsidP="005D0743">
            <w:pPr>
              <w:spacing w:line="276" w:lineRule="auto"/>
              <w:jc w:val="center"/>
              <w:rPr>
                <w:rFonts w:cs="Arial"/>
                <w:sz w:val="18"/>
                <w:szCs w:val="18"/>
                <w:lang w:val="pl-PL" w:eastAsia="pl-PL"/>
              </w:rPr>
            </w:pPr>
            <w:r w:rsidRPr="00545EC0">
              <w:rPr>
                <w:rFonts w:cs="Arial"/>
                <w:sz w:val="18"/>
                <w:szCs w:val="18"/>
                <w:lang w:val="pl-PL" w:eastAsia="pl-PL"/>
              </w:rPr>
              <w:t>Okoljski cilji</w:t>
            </w:r>
            <w:r w:rsidR="00276474" w:rsidRPr="00545EC0">
              <w:rPr>
                <w:rFonts w:cs="Arial"/>
                <w:sz w:val="18"/>
                <w:szCs w:val="18"/>
                <w:lang w:val="pl-PL" w:eastAsia="pl-PL"/>
              </w:rPr>
              <w:t xml:space="preserve"> bodo doseženi</w:t>
            </w:r>
          </w:p>
        </w:tc>
        <w:tc>
          <w:tcPr>
            <w:tcW w:w="425" w:type="dxa"/>
            <w:shd w:val="clear" w:color="auto" w:fill="FFFFFF" w:themeFill="background1"/>
            <w:vAlign w:val="center"/>
          </w:tcPr>
          <w:p w14:paraId="2E485F8B" w14:textId="77777777" w:rsidR="00276474" w:rsidRPr="00545EC0" w:rsidRDefault="00276474" w:rsidP="005D0743">
            <w:pPr>
              <w:spacing w:line="276" w:lineRule="auto"/>
              <w:jc w:val="center"/>
              <w:rPr>
                <w:rFonts w:cs="Arial"/>
                <w:sz w:val="18"/>
                <w:szCs w:val="18"/>
                <w:lang w:val="pl-PL" w:eastAsia="pl-PL"/>
              </w:rPr>
            </w:pPr>
            <w:r w:rsidRPr="00545EC0">
              <w:rPr>
                <w:rFonts w:cs="Arial"/>
                <w:sz w:val="18"/>
                <w:szCs w:val="18"/>
                <w:lang w:val="pl-PL" w:eastAsia="pl-PL"/>
              </w:rPr>
              <w:t>1</w:t>
            </w:r>
          </w:p>
        </w:tc>
      </w:tr>
      <w:tr w:rsidR="003122F4" w:rsidRPr="00545EC0" w14:paraId="547428FD" w14:textId="77777777" w:rsidTr="00571518">
        <w:trPr>
          <w:trHeight w:val="529"/>
        </w:trPr>
        <w:tc>
          <w:tcPr>
            <w:tcW w:w="1418" w:type="dxa"/>
            <w:vMerge/>
            <w:shd w:val="clear" w:color="auto" w:fill="FFFFFF" w:themeFill="background1"/>
            <w:vAlign w:val="center"/>
          </w:tcPr>
          <w:p w14:paraId="17F511E6" w14:textId="77777777" w:rsidR="00276474" w:rsidRPr="00545EC0" w:rsidRDefault="00276474" w:rsidP="005D0743">
            <w:pPr>
              <w:spacing w:line="276" w:lineRule="auto"/>
              <w:jc w:val="center"/>
              <w:rPr>
                <w:rFonts w:cs="Arial"/>
                <w:b/>
                <w:sz w:val="18"/>
                <w:szCs w:val="18"/>
                <w:lang w:val="pl-PL" w:eastAsia="pl-PL"/>
              </w:rPr>
            </w:pPr>
          </w:p>
        </w:tc>
        <w:tc>
          <w:tcPr>
            <w:tcW w:w="1134" w:type="dxa"/>
            <w:vMerge/>
            <w:shd w:val="clear" w:color="auto" w:fill="FFFFFF" w:themeFill="background1"/>
            <w:vAlign w:val="center"/>
          </w:tcPr>
          <w:p w14:paraId="2FBC51F6" w14:textId="77777777" w:rsidR="00276474" w:rsidRPr="00545EC0" w:rsidRDefault="00276474" w:rsidP="005D0743">
            <w:pPr>
              <w:spacing w:line="276" w:lineRule="auto"/>
              <w:jc w:val="center"/>
              <w:rPr>
                <w:rFonts w:cs="Arial"/>
                <w:b/>
                <w:sz w:val="18"/>
                <w:szCs w:val="18"/>
                <w:lang w:val="pl-PL" w:eastAsia="pl-PL"/>
              </w:rPr>
            </w:pPr>
          </w:p>
        </w:tc>
        <w:tc>
          <w:tcPr>
            <w:tcW w:w="1843" w:type="dxa"/>
            <w:shd w:val="clear" w:color="auto" w:fill="FFFFFF" w:themeFill="background1"/>
            <w:vAlign w:val="center"/>
          </w:tcPr>
          <w:p w14:paraId="66A1270D" w14:textId="77777777" w:rsidR="00276474" w:rsidRPr="00545EC0" w:rsidRDefault="00276474" w:rsidP="005D0743">
            <w:pPr>
              <w:spacing w:line="276" w:lineRule="auto"/>
              <w:jc w:val="center"/>
              <w:rPr>
                <w:rFonts w:cs="Arial"/>
                <w:sz w:val="18"/>
                <w:szCs w:val="18"/>
                <w:lang w:val="pl-PL" w:eastAsia="pl-PL"/>
              </w:rPr>
            </w:pPr>
            <w:r w:rsidRPr="00545EC0">
              <w:rPr>
                <w:rFonts w:cs="Arial"/>
                <w:sz w:val="18"/>
                <w:szCs w:val="18"/>
                <w:lang w:val="pl-PL" w:eastAsia="pl-PL"/>
              </w:rPr>
              <w:t>nespremenjeno</w:t>
            </w:r>
          </w:p>
        </w:tc>
        <w:tc>
          <w:tcPr>
            <w:tcW w:w="1275" w:type="dxa"/>
            <w:shd w:val="clear" w:color="auto" w:fill="FFFFFF" w:themeFill="background1"/>
            <w:vAlign w:val="center"/>
          </w:tcPr>
          <w:p w14:paraId="4F641203" w14:textId="77777777" w:rsidR="00276474" w:rsidRPr="00545EC0" w:rsidRDefault="00276474" w:rsidP="005D0743">
            <w:pPr>
              <w:spacing w:line="276" w:lineRule="auto"/>
              <w:jc w:val="center"/>
              <w:rPr>
                <w:rFonts w:cs="Arial"/>
                <w:sz w:val="18"/>
                <w:szCs w:val="18"/>
                <w:lang w:val="pl-PL" w:eastAsia="pl-PL"/>
              </w:rPr>
            </w:pPr>
            <w:r w:rsidRPr="00545EC0">
              <w:rPr>
                <w:rFonts w:cs="Arial"/>
                <w:sz w:val="18"/>
                <w:szCs w:val="18"/>
                <w:lang w:val="pl-PL" w:eastAsia="pl-PL"/>
              </w:rPr>
              <w:t>ni tveganja</w:t>
            </w:r>
          </w:p>
        </w:tc>
        <w:tc>
          <w:tcPr>
            <w:tcW w:w="2694" w:type="dxa"/>
            <w:shd w:val="clear" w:color="auto" w:fill="FFFFFF" w:themeFill="background1"/>
            <w:vAlign w:val="center"/>
          </w:tcPr>
          <w:p w14:paraId="4D13D355" w14:textId="77777777" w:rsidR="00276474" w:rsidRPr="00545EC0" w:rsidRDefault="006A1E3B" w:rsidP="005D0743">
            <w:pPr>
              <w:spacing w:line="276" w:lineRule="auto"/>
              <w:jc w:val="center"/>
              <w:rPr>
                <w:rFonts w:cs="Arial"/>
                <w:sz w:val="18"/>
                <w:szCs w:val="18"/>
                <w:lang w:val="pl-PL" w:eastAsia="pl-PL"/>
              </w:rPr>
            </w:pPr>
            <w:r w:rsidRPr="00545EC0">
              <w:rPr>
                <w:rFonts w:cs="Arial"/>
                <w:sz w:val="18"/>
                <w:szCs w:val="18"/>
                <w:lang w:val="pl-PL" w:eastAsia="pl-PL"/>
              </w:rPr>
              <w:t>Okoljski cilji bodo doseženi</w:t>
            </w:r>
          </w:p>
        </w:tc>
        <w:tc>
          <w:tcPr>
            <w:tcW w:w="425" w:type="dxa"/>
            <w:shd w:val="clear" w:color="auto" w:fill="FFFFFF" w:themeFill="background1"/>
            <w:vAlign w:val="center"/>
          </w:tcPr>
          <w:p w14:paraId="0C9F4058" w14:textId="77777777" w:rsidR="00276474" w:rsidRPr="00545EC0" w:rsidRDefault="00276474" w:rsidP="005D0743">
            <w:pPr>
              <w:spacing w:line="276" w:lineRule="auto"/>
              <w:jc w:val="center"/>
              <w:rPr>
                <w:rFonts w:cs="Arial"/>
                <w:sz w:val="18"/>
                <w:szCs w:val="18"/>
                <w:lang w:val="pl-PL" w:eastAsia="pl-PL"/>
              </w:rPr>
            </w:pPr>
            <w:r w:rsidRPr="00545EC0">
              <w:rPr>
                <w:rFonts w:cs="Arial"/>
                <w:sz w:val="18"/>
                <w:szCs w:val="18"/>
                <w:lang w:val="pl-PL" w:eastAsia="pl-PL"/>
              </w:rPr>
              <w:t>1</w:t>
            </w:r>
          </w:p>
        </w:tc>
      </w:tr>
      <w:tr w:rsidR="003122F4" w:rsidRPr="00545EC0" w14:paraId="5287E079" w14:textId="77777777" w:rsidTr="00571518">
        <w:trPr>
          <w:trHeight w:val="529"/>
        </w:trPr>
        <w:tc>
          <w:tcPr>
            <w:tcW w:w="1418" w:type="dxa"/>
            <w:vMerge/>
            <w:shd w:val="clear" w:color="auto" w:fill="FFFFFF" w:themeFill="background1"/>
            <w:vAlign w:val="center"/>
          </w:tcPr>
          <w:p w14:paraId="07555485" w14:textId="77777777" w:rsidR="00276474" w:rsidRPr="00545EC0" w:rsidRDefault="00276474" w:rsidP="005D0743">
            <w:pPr>
              <w:spacing w:line="276" w:lineRule="auto"/>
              <w:jc w:val="center"/>
              <w:rPr>
                <w:rFonts w:cs="Arial"/>
                <w:b/>
                <w:sz w:val="18"/>
                <w:szCs w:val="18"/>
                <w:lang w:val="pl-PL" w:eastAsia="pl-PL"/>
              </w:rPr>
            </w:pPr>
          </w:p>
        </w:tc>
        <w:tc>
          <w:tcPr>
            <w:tcW w:w="1134" w:type="dxa"/>
            <w:vMerge/>
            <w:shd w:val="clear" w:color="auto" w:fill="FFFFFF" w:themeFill="background1"/>
            <w:vAlign w:val="center"/>
          </w:tcPr>
          <w:p w14:paraId="6F98274A" w14:textId="77777777" w:rsidR="00276474" w:rsidRPr="00545EC0" w:rsidRDefault="00276474" w:rsidP="005D0743">
            <w:pPr>
              <w:spacing w:line="276" w:lineRule="auto"/>
              <w:jc w:val="center"/>
              <w:rPr>
                <w:rFonts w:cs="Arial"/>
                <w:b/>
                <w:sz w:val="18"/>
                <w:szCs w:val="18"/>
                <w:lang w:val="pl-PL" w:eastAsia="pl-PL"/>
              </w:rPr>
            </w:pPr>
          </w:p>
        </w:tc>
        <w:tc>
          <w:tcPr>
            <w:tcW w:w="1843" w:type="dxa"/>
            <w:shd w:val="clear" w:color="auto" w:fill="FFFFFF" w:themeFill="background1"/>
            <w:vAlign w:val="center"/>
          </w:tcPr>
          <w:p w14:paraId="3B282BD5" w14:textId="77777777" w:rsidR="00276474" w:rsidRPr="00545EC0" w:rsidRDefault="00276474" w:rsidP="005D0743">
            <w:pPr>
              <w:spacing w:line="276" w:lineRule="auto"/>
              <w:jc w:val="center"/>
              <w:rPr>
                <w:rFonts w:cs="Arial"/>
                <w:sz w:val="18"/>
                <w:szCs w:val="18"/>
                <w:lang w:val="pl-PL" w:eastAsia="pl-PL"/>
              </w:rPr>
            </w:pPr>
            <w:r w:rsidRPr="00545EC0">
              <w:rPr>
                <w:rFonts w:cs="Arial"/>
                <w:sz w:val="18"/>
                <w:szCs w:val="18"/>
                <w:lang w:val="pl-PL" w:eastAsia="pl-PL"/>
              </w:rPr>
              <w:t>poslabšanje</w:t>
            </w:r>
          </w:p>
        </w:tc>
        <w:tc>
          <w:tcPr>
            <w:tcW w:w="1275" w:type="dxa"/>
            <w:shd w:val="clear" w:color="auto" w:fill="FFFFFF" w:themeFill="background1"/>
            <w:vAlign w:val="center"/>
          </w:tcPr>
          <w:p w14:paraId="0F265E3A" w14:textId="77777777" w:rsidR="00276474" w:rsidRPr="00545EC0" w:rsidRDefault="00276474" w:rsidP="005D0743">
            <w:pPr>
              <w:spacing w:line="276" w:lineRule="auto"/>
              <w:jc w:val="center"/>
              <w:rPr>
                <w:rFonts w:cs="Arial"/>
                <w:sz w:val="18"/>
                <w:szCs w:val="18"/>
                <w:lang w:val="pl-PL" w:eastAsia="pl-PL"/>
              </w:rPr>
            </w:pPr>
            <w:r w:rsidRPr="00545EC0">
              <w:rPr>
                <w:rFonts w:cs="Arial"/>
                <w:sz w:val="18"/>
                <w:szCs w:val="18"/>
                <w:lang w:val="pl-PL" w:eastAsia="pl-PL"/>
              </w:rPr>
              <w:t>nejasno</w:t>
            </w:r>
          </w:p>
        </w:tc>
        <w:tc>
          <w:tcPr>
            <w:tcW w:w="2694" w:type="dxa"/>
            <w:shd w:val="clear" w:color="auto" w:fill="FFFFFF" w:themeFill="background1"/>
            <w:vAlign w:val="center"/>
          </w:tcPr>
          <w:p w14:paraId="4DF9945C" w14:textId="77777777" w:rsidR="00276474" w:rsidRPr="00545EC0" w:rsidRDefault="006A1E3B" w:rsidP="005D0743">
            <w:pPr>
              <w:spacing w:line="276" w:lineRule="auto"/>
              <w:jc w:val="center"/>
              <w:rPr>
                <w:rFonts w:cs="Arial"/>
                <w:sz w:val="18"/>
                <w:szCs w:val="18"/>
                <w:lang w:val="pl-PL" w:eastAsia="pl-PL"/>
              </w:rPr>
            </w:pPr>
            <w:r w:rsidRPr="00545EC0">
              <w:rPr>
                <w:rFonts w:cs="Arial"/>
                <w:sz w:val="18"/>
                <w:szCs w:val="18"/>
              </w:rPr>
              <w:t>Okoljski cilji morda bodo ali morda ne bodo doseženi</w:t>
            </w:r>
          </w:p>
        </w:tc>
        <w:tc>
          <w:tcPr>
            <w:tcW w:w="425" w:type="dxa"/>
            <w:shd w:val="clear" w:color="auto" w:fill="FFFFFF" w:themeFill="background1"/>
            <w:vAlign w:val="center"/>
          </w:tcPr>
          <w:p w14:paraId="7ABD7D96" w14:textId="77777777" w:rsidR="00276474" w:rsidRPr="00545EC0" w:rsidRDefault="00276474" w:rsidP="005D0743">
            <w:pPr>
              <w:spacing w:line="276" w:lineRule="auto"/>
              <w:jc w:val="center"/>
              <w:rPr>
                <w:rFonts w:cs="Arial"/>
                <w:sz w:val="18"/>
                <w:szCs w:val="18"/>
                <w:lang w:val="pl-PL" w:eastAsia="pl-PL"/>
              </w:rPr>
            </w:pPr>
            <w:r w:rsidRPr="00545EC0">
              <w:rPr>
                <w:rFonts w:cs="Arial"/>
                <w:sz w:val="18"/>
                <w:szCs w:val="18"/>
                <w:lang w:val="pl-PL" w:eastAsia="pl-PL"/>
              </w:rPr>
              <w:t>2</w:t>
            </w:r>
          </w:p>
        </w:tc>
      </w:tr>
      <w:tr w:rsidR="003122F4" w:rsidRPr="00545EC0" w14:paraId="4DB7BD50" w14:textId="77777777" w:rsidTr="00571518">
        <w:trPr>
          <w:trHeight w:val="529"/>
        </w:trPr>
        <w:tc>
          <w:tcPr>
            <w:tcW w:w="1418" w:type="dxa"/>
            <w:vMerge/>
            <w:shd w:val="clear" w:color="auto" w:fill="FFFFFF" w:themeFill="background1"/>
            <w:vAlign w:val="center"/>
          </w:tcPr>
          <w:p w14:paraId="41BB5AE6" w14:textId="77777777" w:rsidR="00276474" w:rsidRPr="00545EC0" w:rsidRDefault="00276474" w:rsidP="005D0743">
            <w:pPr>
              <w:spacing w:line="276" w:lineRule="auto"/>
              <w:jc w:val="center"/>
              <w:rPr>
                <w:rFonts w:cs="Arial"/>
                <w:b/>
                <w:sz w:val="18"/>
                <w:szCs w:val="18"/>
                <w:lang w:val="pl-PL" w:eastAsia="pl-PL"/>
              </w:rPr>
            </w:pPr>
          </w:p>
        </w:tc>
        <w:tc>
          <w:tcPr>
            <w:tcW w:w="1134" w:type="dxa"/>
            <w:vMerge w:val="restart"/>
            <w:shd w:val="clear" w:color="auto" w:fill="FFFFFF" w:themeFill="background1"/>
            <w:vAlign w:val="center"/>
          </w:tcPr>
          <w:p w14:paraId="4B9AF455" w14:textId="77777777" w:rsidR="00276474" w:rsidRPr="00545EC0" w:rsidRDefault="00276474" w:rsidP="005D0743">
            <w:pPr>
              <w:spacing w:line="276" w:lineRule="auto"/>
              <w:jc w:val="center"/>
              <w:rPr>
                <w:rFonts w:cs="Arial"/>
                <w:b/>
                <w:sz w:val="18"/>
                <w:szCs w:val="18"/>
                <w:lang w:val="pl-PL" w:eastAsia="pl-PL"/>
              </w:rPr>
            </w:pPr>
            <w:r w:rsidRPr="00545EC0">
              <w:rPr>
                <w:rFonts w:cs="Arial"/>
                <w:b/>
                <w:sz w:val="18"/>
                <w:szCs w:val="18"/>
                <w:lang w:val="pl-PL" w:eastAsia="pl-PL"/>
              </w:rPr>
              <w:t>NE</w:t>
            </w:r>
          </w:p>
        </w:tc>
        <w:tc>
          <w:tcPr>
            <w:tcW w:w="1843" w:type="dxa"/>
            <w:shd w:val="clear" w:color="auto" w:fill="FFFFFF" w:themeFill="background1"/>
            <w:vAlign w:val="center"/>
          </w:tcPr>
          <w:p w14:paraId="129C455C" w14:textId="77777777" w:rsidR="00276474" w:rsidRPr="00545EC0" w:rsidRDefault="00276474" w:rsidP="005D0743">
            <w:pPr>
              <w:spacing w:line="276" w:lineRule="auto"/>
              <w:jc w:val="center"/>
              <w:rPr>
                <w:rFonts w:cs="Arial"/>
                <w:sz w:val="18"/>
                <w:szCs w:val="18"/>
                <w:lang w:val="pl-PL" w:eastAsia="pl-PL"/>
              </w:rPr>
            </w:pPr>
            <w:r w:rsidRPr="00545EC0">
              <w:rPr>
                <w:rFonts w:cs="Arial"/>
                <w:sz w:val="18"/>
                <w:szCs w:val="18"/>
                <w:lang w:val="pl-PL" w:eastAsia="pl-PL"/>
              </w:rPr>
              <w:t>izboljšanje</w:t>
            </w:r>
          </w:p>
        </w:tc>
        <w:tc>
          <w:tcPr>
            <w:tcW w:w="1275" w:type="dxa"/>
            <w:shd w:val="clear" w:color="auto" w:fill="FFFFFF" w:themeFill="background1"/>
            <w:vAlign w:val="center"/>
          </w:tcPr>
          <w:p w14:paraId="101DA428" w14:textId="77777777" w:rsidR="00276474" w:rsidRPr="00545EC0" w:rsidRDefault="00276474" w:rsidP="005D0743">
            <w:pPr>
              <w:spacing w:line="276" w:lineRule="auto"/>
              <w:jc w:val="center"/>
              <w:rPr>
                <w:rFonts w:cs="Arial"/>
                <w:sz w:val="18"/>
                <w:szCs w:val="18"/>
                <w:lang w:val="pl-PL" w:eastAsia="pl-PL"/>
              </w:rPr>
            </w:pPr>
            <w:r w:rsidRPr="00545EC0">
              <w:rPr>
                <w:rFonts w:cs="Arial"/>
                <w:sz w:val="18"/>
                <w:szCs w:val="18"/>
                <w:lang w:val="pl-PL" w:eastAsia="pl-PL"/>
              </w:rPr>
              <w:t>nejasno</w:t>
            </w:r>
          </w:p>
        </w:tc>
        <w:tc>
          <w:tcPr>
            <w:tcW w:w="2694" w:type="dxa"/>
            <w:shd w:val="clear" w:color="auto" w:fill="FFFFFF" w:themeFill="background1"/>
            <w:vAlign w:val="center"/>
          </w:tcPr>
          <w:p w14:paraId="5C2F3BD1" w14:textId="77777777" w:rsidR="00276474" w:rsidRPr="00545EC0" w:rsidRDefault="006A1E3B" w:rsidP="005D0743">
            <w:pPr>
              <w:spacing w:line="276" w:lineRule="auto"/>
              <w:jc w:val="center"/>
              <w:rPr>
                <w:rFonts w:cs="Arial"/>
                <w:sz w:val="18"/>
                <w:szCs w:val="18"/>
                <w:lang w:val="pl-PL" w:eastAsia="pl-PL"/>
              </w:rPr>
            </w:pPr>
            <w:r w:rsidRPr="00545EC0">
              <w:rPr>
                <w:rFonts w:cs="Arial"/>
                <w:sz w:val="18"/>
                <w:szCs w:val="18"/>
              </w:rPr>
              <w:t>Okoljski cilji morda bodo ali morda ne bodo doseženi</w:t>
            </w:r>
          </w:p>
        </w:tc>
        <w:tc>
          <w:tcPr>
            <w:tcW w:w="425" w:type="dxa"/>
            <w:shd w:val="clear" w:color="auto" w:fill="FFFFFF" w:themeFill="background1"/>
            <w:vAlign w:val="center"/>
          </w:tcPr>
          <w:p w14:paraId="1B169DFD" w14:textId="77777777" w:rsidR="00276474" w:rsidRPr="00545EC0" w:rsidRDefault="00276474" w:rsidP="005D0743">
            <w:pPr>
              <w:spacing w:line="276" w:lineRule="auto"/>
              <w:jc w:val="center"/>
              <w:rPr>
                <w:rFonts w:cs="Arial"/>
                <w:sz w:val="18"/>
                <w:szCs w:val="18"/>
                <w:lang w:val="pl-PL" w:eastAsia="pl-PL"/>
              </w:rPr>
            </w:pPr>
            <w:r w:rsidRPr="00545EC0">
              <w:rPr>
                <w:rFonts w:cs="Arial"/>
                <w:sz w:val="18"/>
                <w:szCs w:val="18"/>
                <w:lang w:val="pl-PL" w:eastAsia="pl-PL"/>
              </w:rPr>
              <w:t>2</w:t>
            </w:r>
          </w:p>
        </w:tc>
      </w:tr>
      <w:tr w:rsidR="003122F4" w:rsidRPr="00545EC0" w14:paraId="2B961313" w14:textId="77777777" w:rsidTr="00571518">
        <w:trPr>
          <w:trHeight w:val="529"/>
        </w:trPr>
        <w:tc>
          <w:tcPr>
            <w:tcW w:w="1418" w:type="dxa"/>
            <w:vMerge/>
            <w:shd w:val="clear" w:color="auto" w:fill="FFFFFF" w:themeFill="background1"/>
            <w:vAlign w:val="center"/>
          </w:tcPr>
          <w:p w14:paraId="1CE68E11" w14:textId="77777777" w:rsidR="00276474" w:rsidRPr="00545EC0" w:rsidRDefault="00276474" w:rsidP="005D0743">
            <w:pPr>
              <w:spacing w:line="276" w:lineRule="auto"/>
              <w:jc w:val="center"/>
              <w:rPr>
                <w:rFonts w:cs="Arial"/>
                <w:b/>
                <w:sz w:val="18"/>
                <w:szCs w:val="18"/>
                <w:lang w:val="pl-PL" w:eastAsia="pl-PL"/>
              </w:rPr>
            </w:pPr>
          </w:p>
        </w:tc>
        <w:tc>
          <w:tcPr>
            <w:tcW w:w="1134" w:type="dxa"/>
            <w:vMerge/>
            <w:shd w:val="clear" w:color="auto" w:fill="FFFFFF" w:themeFill="background1"/>
            <w:vAlign w:val="center"/>
          </w:tcPr>
          <w:p w14:paraId="53E4DA25" w14:textId="77777777" w:rsidR="00276474" w:rsidRPr="00545EC0" w:rsidRDefault="00276474" w:rsidP="005D0743">
            <w:pPr>
              <w:spacing w:line="276" w:lineRule="auto"/>
              <w:jc w:val="center"/>
              <w:rPr>
                <w:rFonts w:cs="Arial"/>
                <w:b/>
                <w:sz w:val="18"/>
                <w:szCs w:val="18"/>
                <w:lang w:val="pl-PL" w:eastAsia="pl-PL"/>
              </w:rPr>
            </w:pPr>
          </w:p>
        </w:tc>
        <w:tc>
          <w:tcPr>
            <w:tcW w:w="1843" w:type="dxa"/>
            <w:shd w:val="clear" w:color="auto" w:fill="FFFFFF" w:themeFill="background1"/>
            <w:vAlign w:val="center"/>
          </w:tcPr>
          <w:p w14:paraId="0D91B195" w14:textId="77777777" w:rsidR="00276474" w:rsidRPr="00545EC0" w:rsidRDefault="00276474" w:rsidP="005D0743">
            <w:pPr>
              <w:spacing w:line="276" w:lineRule="auto"/>
              <w:jc w:val="center"/>
              <w:rPr>
                <w:rFonts w:cs="Arial"/>
                <w:sz w:val="18"/>
                <w:szCs w:val="18"/>
                <w:lang w:val="pl-PL" w:eastAsia="pl-PL"/>
              </w:rPr>
            </w:pPr>
            <w:r w:rsidRPr="00545EC0">
              <w:rPr>
                <w:rFonts w:cs="Arial"/>
                <w:sz w:val="18"/>
                <w:szCs w:val="18"/>
                <w:lang w:val="pl-PL" w:eastAsia="pl-PL"/>
              </w:rPr>
              <w:t>nespremenjeno</w:t>
            </w:r>
          </w:p>
        </w:tc>
        <w:tc>
          <w:tcPr>
            <w:tcW w:w="1275" w:type="dxa"/>
            <w:shd w:val="clear" w:color="auto" w:fill="FFFFFF" w:themeFill="background1"/>
            <w:vAlign w:val="center"/>
          </w:tcPr>
          <w:p w14:paraId="29566970" w14:textId="77777777" w:rsidR="00276474" w:rsidRPr="00545EC0" w:rsidRDefault="00276474" w:rsidP="005D0743">
            <w:pPr>
              <w:spacing w:line="276" w:lineRule="auto"/>
              <w:jc w:val="center"/>
              <w:rPr>
                <w:rFonts w:cs="Arial"/>
                <w:sz w:val="18"/>
                <w:szCs w:val="18"/>
                <w:lang w:val="pl-PL" w:eastAsia="pl-PL"/>
              </w:rPr>
            </w:pPr>
            <w:r w:rsidRPr="00545EC0">
              <w:rPr>
                <w:rFonts w:cs="Arial"/>
                <w:sz w:val="18"/>
                <w:szCs w:val="18"/>
                <w:lang w:val="pl-PL" w:eastAsia="pl-PL"/>
              </w:rPr>
              <w:t>tveganje</w:t>
            </w:r>
          </w:p>
        </w:tc>
        <w:tc>
          <w:tcPr>
            <w:tcW w:w="2694" w:type="dxa"/>
            <w:shd w:val="clear" w:color="auto" w:fill="FFFFFF" w:themeFill="background1"/>
            <w:vAlign w:val="center"/>
          </w:tcPr>
          <w:p w14:paraId="7317AC06" w14:textId="77777777" w:rsidR="00276474" w:rsidRPr="00545EC0" w:rsidRDefault="006A1E3B" w:rsidP="005D0743">
            <w:pPr>
              <w:spacing w:line="276" w:lineRule="auto"/>
              <w:jc w:val="center"/>
              <w:rPr>
                <w:rFonts w:cs="Arial"/>
                <w:sz w:val="18"/>
                <w:szCs w:val="18"/>
                <w:lang w:val="pl-PL" w:eastAsia="pl-PL"/>
              </w:rPr>
            </w:pPr>
            <w:r w:rsidRPr="00545EC0">
              <w:rPr>
                <w:rFonts w:cs="Arial"/>
                <w:sz w:val="18"/>
                <w:szCs w:val="18"/>
                <w:lang w:val="pl-PL" w:eastAsia="pl-PL"/>
              </w:rPr>
              <w:t>Okoljski cilji ne bodo doseženi</w:t>
            </w:r>
          </w:p>
        </w:tc>
        <w:tc>
          <w:tcPr>
            <w:tcW w:w="425" w:type="dxa"/>
            <w:shd w:val="clear" w:color="auto" w:fill="FFFFFF" w:themeFill="background1"/>
            <w:vAlign w:val="center"/>
          </w:tcPr>
          <w:p w14:paraId="6E2F672D" w14:textId="77777777" w:rsidR="00276474" w:rsidRPr="00545EC0" w:rsidRDefault="00276474" w:rsidP="005D0743">
            <w:pPr>
              <w:spacing w:line="276" w:lineRule="auto"/>
              <w:jc w:val="center"/>
              <w:rPr>
                <w:rFonts w:cs="Arial"/>
                <w:sz w:val="18"/>
                <w:szCs w:val="18"/>
                <w:lang w:val="pl-PL" w:eastAsia="pl-PL"/>
              </w:rPr>
            </w:pPr>
            <w:r w:rsidRPr="00545EC0">
              <w:rPr>
                <w:rFonts w:cs="Arial"/>
                <w:sz w:val="18"/>
                <w:szCs w:val="18"/>
                <w:lang w:val="pl-PL" w:eastAsia="pl-PL"/>
              </w:rPr>
              <w:t>3</w:t>
            </w:r>
          </w:p>
        </w:tc>
      </w:tr>
      <w:tr w:rsidR="003122F4" w:rsidRPr="00545EC0" w14:paraId="15DCEE4B" w14:textId="77777777" w:rsidTr="00571518">
        <w:trPr>
          <w:trHeight w:val="529"/>
        </w:trPr>
        <w:tc>
          <w:tcPr>
            <w:tcW w:w="1418" w:type="dxa"/>
            <w:vMerge/>
            <w:shd w:val="clear" w:color="auto" w:fill="FFFFFF" w:themeFill="background1"/>
            <w:vAlign w:val="center"/>
          </w:tcPr>
          <w:p w14:paraId="37667EC5" w14:textId="77777777" w:rsidR="00276474" w:rsidRPr="00545EC0" w:rsidRDefault="00276474" w:rsidP="005D0743">
            <w:pPr>
              <w:spacing w:line="276" w:lineRule="auto"/>
              <w:jc w:val="center"/>
              <w:rPr>
                <w:rFonts w:cs="Arial"/>
                <w:b/>
                <w:sz w:val="18"/>
                <w:szCs w:val="18"/>
                <w:lang w:val="pl-PL" w:eastAsia="pl-PL"/>
              </w:rPr>
            </w:pPr>
          </w:p>
        </w:tc>
        <w:tc>
          <w:tcPr>
            <w:tcW w:w="1134" w:type="dxa"/>
            <w:vMerge/>
            <w:shd w:val="clear" w:color="auto" w:fill="FFFFFF" w:themeFill="background1"/>
            <w:vAlign w:val="center"/>
          </w:tcPr>
          <w:p w14:paraId="721A0E40" w14:textId="77777777" w:rsidR="00276474" w:rsidRPr="00545EC0" w:rsidRDefault="00276474" w:rsidP="005D0743">
            <w:pPr>
              <w:spacing w:line="276" w:lineRule="auto"/>
              <w:jc w:val="center"/>
              <w:rPr>
                <w:rFonts w:cs="Arial"/>
                <w:b/>
                <w:sz w:val="18"/>
                <w:szCs w:val="18"/>
                <w:lang w:val="pl-PL" w:eastAsia="pl-PL"/>
              </w:rPr>
            </w:pPr>
          </w:p>
        </w:tc>
        <w:tc>
          <w:tcPr>
            <w:tcW w:w="1843" w:type="dxa"/>
            <w:shd w:val="clear" w:color="auto" w:fill="FFFFFF" w:themeFill="background1"/>
            <w:vAlign w:val="center"/>
          </w:tcPr>
          <w:p w14:paraId="6CA1A06A" w14:textId="77777777" w:rsidR="00276474" w:rsidRPr="00545EC0" w:rsidRDefault="00276474" w:rsidP="005D0743">
            <w:pPr>
              <w:spacing w:line="276" w:lineRule="auto"/>
              <w:jc w:val="center"/>
              <w:rPr>
                <w:rFonts w:cs="Arial"/>
                <w:sz w:val="18"/>
                <w:szCs w:val="18"/>
                <w:lang w:val="pl-PL" w:eastAsia="pl-PL"/>
              </w:rPr>
            </w:pPr>
            <w:r w:rsidRPr="00545EC0">
              <w:rPr>
                <w:rFonts w:cs="Arial"/>
                <w:sz w:val="18"/>
                <w:szCs w:val="18"/>
                <w:lang w:val="pl-PL" w:eastAsia="pl-PL"/>
              </w:rPr>
              <w:t>poslabšanje</w:t>
            </w:r>
          </w:p>
        </w:tc>
        <w:tc>
          <w:tcPr>
            <w:tcW w:w="1275" w:type="dxa"/>
            <w:shd w:val="clear" w:color="auto" w:fill="FFFFFF" w:themeFill="background1"/>
            <w:vAlign w:val="center"/>
          </w:tcPr>
          <w:p w14:paraId="0F93E365" w14:textId="77777777" w:rsidR="00276474" w:rsidRPr="00545EC0" w:rsidRDefault="00276474" w:rsidP="005D0743">
            <w:pPr>
              <w:spacing w:line="276" w:lineRule="auto"/>
              <w:jc w:val="center"/>
              <w:rPr>
                <w:rFonts w:cs="Arial"/>
                <w:sz w:val="18"/>
                <w:szCs w:val="18"/>
                <w:lang w:val="pl-PL" w:eastAsia="pl-PL"/>
              </w:rPr>
            </w:pPr>
            <w:r w:rsidRPr="00545EC0">
              <w:rPr>
                <w:rFonts w:cs="Arial"/>
                <w:sz w:val="18"/>
                <w:szCs w:val="18"/>
                <w:lang w:val="pl-PL" w:eastAsia="pl-PL"/>
              </w:rPr>
              <w:t>tveganje</w:t>
            </w:r>
          </w:p>
        </w:tc>
        <w:tc>
          <w:tcPr>
            <w:tcW w:w="2694" w:type="dxa"/>
            <w:shd w:val="clear" w:color="auto" w:fill="FFFFFF" w:themeFill="background1"/>
            <w:vAlign w:val="center"/>
          </w:tcPr>
          <w:p w14:paraId="378747EC" w14:textId="77777777" w:rsidR="00276474" w:rsidRPr="00545EC0" w:rsidRDefault="006A1E3B" w:rsidP="005D0743">
            <w:pPr>
              <w:spacing w:line="276" w:lineRule="auto"/>
              <w:jc w:val="center"/>
              <w:rPr>
                <w:rFonts w:cs="Arial"/>
                <w:sz w:val="18"/>
                <w:szCs w:val="18"/>
                <w:lang w:val="pl-PL" w:eastAsia="pl-PL"/>
              </w:rPr>
            </w:pPr>
            <w:r w:rsidRPr="00545EC0">
              <w:rPr>
                <w:rFonts w:cs="Arial"/>
                <w:sz w:val="18"/>
                <w:szCs w:val="18"/>
                <w:lang w:val="pl-PL" w:eastAsia="pl-PL"/>
              </w:rPr>
              <w:t>Okoljski cilji ne bodo doseženi</w:t>
            </w:r>
          </w:p>
        </w:tc>
        <w:tc>
          <w:tcPr>
            <w:tcW w:w="425" w:type="dxa"/>
            <w:shd w:val="clear" w:color="auto" w:fill="FFFFFF" w:themeFill="background1"/>
            <w:vAlign w:val="center"/>
          </w:tcPr>
          <w:p w14:paraId="5BDF0558" w14:textId="77777777" w:rsidR="00276474" w:rsidRPr="00545EC0" w:rsidRDefault="00276474" w:rsidP="005D0743">
            <w:pPr>
              <w:spacing w:line="276" w:lineRule="auto"/>
              <w:jc w:val="center"/>
              <w:rPr>
                <w:rFonts w:cs="Arial"/>
                <w:sz w:val="18"/>
                <w:szCs w:val="18"/>
                <w:lang w:val="pl-PL" w:eastAsia="pl-PL"/>
              </w:rPr>
            </w:pPr>
            <w:r w:rsidRPr="00545EC0">
              <w:rPr>
                <w:rFonts w:cs="Arial"/>
                <w:sz w:val="18"/>
                <w:szCs w:val="18"/>
                <w:lang w:val="pl-PL" w:eastAsia="pl-PL"/>
              </w:rPr>
              <w:t>3</w:t>
            </w:r>
          </w:p>
        </w:tc>
      </w:tr>
      <w:tr w:rsidR="003122F4" w:rsidRPr="00545EC0" w14:paraId="16FFA165" w14:textId="77777777" w:rsidTr="00571518">
        <w:trPr>
          <w:trHeight w:val="529"/>
        </w:trPr>
        <w:tc>
          <w:tcPr>
            <w:tcW w:w="1418" w:type="dxa"/>
            <w:vMerge w:val="restart"/>
            <w:shd w:val="clear" w:color="auto" w:fill="FFFFFF" w:themeFill="background1"/>
            <w:vAlign w:val="center"/>
          </w:tcPr>
          <w:p w14:paraId="57AE673F" w14:textId="77777777" w:rsidR="00276474" w:rsidRPr="00545EC0" w:rsidRDefault="00276474" w:rsidP="005D0743">
            <w:pPr>
              <w:spacing w:line="276" w:lineRule="auto"/>
              <w:jc w:val="center"/>
              <w:rPr>
                <w:rFonts w:cs="Arial"/>
                <w:b/>
                <w:sz w:val="18"/>
                <w:szCs w:val="18"/>
                <w:lang w:val="pl-PL" w:eastAsia="pl-PL"/>
              </w:rPr>
            </w:pPr>
            <w:r w:rsidRPr="00545EC0">
              <w:rPr>
                <w:rFonts w:cs="Arial"/>
                <w:b/>
                <w:sz w:val="18"/>
                <w:szCs w:val="18"/>
                <w:lang w:val="pl-PL" w:eastAsia="pl-PL"/>
              </w:rPr>
              <w:t>DA</w:t>
            </w:r>
          </w:p>
        </w:tc>
        <w:tc>
          <w:tcPr>
            <w:tcW w:w="1134" w:type="dxa"/>
            <w:vMerge w:val="restart"/>
            <w:shd w:val="clear" w:color="auto" w:fill="FFFFFF" w:themeFill="background1"/>
            <w:vAlign w:val="center"/>
          </w:tcPr>
          <w:p w14:paraId="58BBB7F9" w14:textId="77777777" w:rsidR="00276474" w:rsidRPr="00545EC0" w:rsidRDefault="00276474" w:rsidP="005D0743">
            <w:pPr>
              <w:spacing w:line="276" w:lineRule="auto"/>
              <w:jc w:val="center"/>
              <w:rPr>
                <w:rFonts w:cs="Arial"/>
                <w:b/>
                <w:sz w:val="18"/>
                <w:szCs w:val="18"/>
                <w:lang w:val="pl-PL" w:eastAsia="pl-PL"/>
              </w:rPr>
            </w:pPr>
            <w:r w:rsidRPr="00545EC0">
              <w:rPr>
                <w:rFonts w:cs="Arial"/>
                <w:b/>
                <w:sz w:val="18"/>
                <w:szCs w:val="18"/>
                <w:lang w:val="pl-PL" w:eastAsia="pl-PL"/>
              </w:rPr>
              <w:t>DA</w:t>
            </w:r>
          </w:p>
        </w:tc>
        <w:tc>
          <w:tcPr>
            <w:tcW w:w="1843" w:type="dxa"/>
            <w:shd w:val="clear" w:color="auto" w:fill="FFFFFF" w:themeFill="background1"/>
            <w:vAlign w:val="center"/>
          </w:tcPr>
          <w:p w14:paraId="348DAE5D" w14:textId="77777777" w:rsidR="00276474" w:rsidRPr="00545EC0" w:rsidRDefault="00276474" w:rsidP="005D0743">
            <w:pPr>
              <w:spacing w:line="276" w:lineRule="auto"/>
              <w:jc w:val="center"/>
              <w:rPr>
                <w:rFonts w:cs="Arial"/>
                <w:sz w:val="18"/>
                <w:szCs w:val="18"/>
                <w:lang w:val="pl-PL" w:eastAsia="pl-PL"/>
              </w:rPr>
            </w:pPr>
            <w:r w:rsidRPr="00545EC0">
              <w:rPr>
                <w:rFonts w:cs="Arial"/>
                <w:sz w:val="18"/>
                <w:szCs w:val="18"/>
                <w:lang w:val="pl-PL" w:eastAsia="pl-PL"/>
              </w:rPr>
              <w:t>izboljšanje</w:t>
            </w:r>
          </w:p>
        </w:tc>
        <w:tc>
          <w:tcPr>
            <w:tcW w:w="1275" w:type="dxa"/>
            <w:shd w:val="clear" w:color="auto" w:fill="FFFFFF" w:themeFill="background1"/>
            <w:vAlign w:val="center"/>
          </w:tcPr>
          <w:p w14:paraId="3A66F6A2" w14:textId="77777777" w:rsidR="00276474" w:rsidRPr="00545EC0" w:rsidRDefault="00276474" w:rsidP="005D0743">
            <w:pPr>
              <w:spacing w:line="276" w:lineRule="auto"/>
              <w:jc w:val="center"/>
              <w:rPr>
                <w:rFonts w:cs="Arial"/>
                <w:sz w:val="18"/>
                <w:szCs w:val="18"/>
                <w:lang w:val="pl-PL" w:eastAsia="pl-PL"/>
              </w:rPr>
            </w:pPr>
            <w:r w:rsidRPr="00545EC0">
              <w:rPr>
                <w:rFonts w:cs="Arial"/>
                <w:sz w:val="18"/>
                <w:szCs w:val="18"/>
                <w:lang w:val="pl-PL" w:eastAsia="pl-PL"/>
              </w:rPr>
              <w:t>ni tveganja</w:t>
            </w:r>
          </w:p>
        </w:tc>
        <w:tc>
          <w:tcPr>
            <w:tcW w:w="2694" w:type="dxa"/>
            <w:shd w:val="clear" w:color="auto" w:fill="FFFFFF" w:themeFill="background1"/>
            <w:vAlign w:val="center"/>
          </w:tcPr>
          <w:p w14:paraId="1B107E52" w14:textId="77777777" w:rsidR="00276474" w:rsidRPr="00545EC0" w:rsidRDefault="006A1E3B" w:rsidP="005D0743">
            <w:pPr>
              <w:spacing w:line="276" w:lineRule="auto"/>
              <w:jc w:val="center"/>
              <w:rPr>
                <w:rFonts w:cs="Arial"/>
                <w:sz w:val="18"/>
                <w:szCs w:val="18"/>
                <w:lang w:val="pl-PL" w:eastAsia="pl-PL"/>
              </w:rPr>
            </w:pPr>
            <w:r w:rsidRPr="00545EC0">
              <w:rPr>
                <w:rFonts w:cs="Arial"/>
                <w:sz w:val="18"/>
                <w:szCs w:val="18"/>
                <w:lang w:val="pl-PL" w:eastAsia="pl-PL"/>
              </w:rPr>
              <w:t>Okoljski cilji bodo doseženi</w:t>
            </w:r>
          </w:p>
        </w:tc>
        <w:tc>
          <w:tcPr>
            <w:tcW w:w="425" w:type="dxa"/>
            <w:shd w:val="clear" w:color="auto" w:fill="FFFFFF" w:themeFill="background1"/>
            <w:vAlign w:val="center"/>
          </w:tcPr>
          <w:p w14:paraId="62CABE9E" w14:textId="77777777" w:rsidR="00276474" w:rsidRPr="00545EC0" w:rsidRDefault="00276474" w:rsidP="005D0743">
            <w:pPr>
              <w:spacing w:line="276" w:lineRule="auto"/>
              <w:jc w:val="center"/>
              <w:rPr>
                <w:rFonts w:cs="Arial"/>
                <w:sz w:val="18"/>
                <w:szCs w:val="18"/>
                <w:lang w:val="pl-PL" w:eastAsia="pl-PL"/>
              </w:rPr>
            </w:pPr>
            <w:r w:rsidRPr="00545EC0">
              <w:rPr>
                <w:rFonts w:cs="Arial"/>
                <w:sz w:val="18"/>
                <w:szCs w:val="18"/>
                <w:lang w:val="pl-PL" w:eastAsia="pl-PL"/>
              </w:rPr>
              <w:t>1</w:t>
            </w:r>
          </w:p>
        </w:tc>
      </w:tr>
      <w:tr w:rsidR="003122F4" w:rsidRPr="00545EC0" w14:paraId="7BADC8E7" w14:textId="77777777" w:rsidTr="00571518">
        <w:trPr>
          <w:trHeight w:val="529"/>
        </w:trPr>
        <w:tc>
          <w:tcPr>
            <w:tcW w:w="1418" w:type="dxa"/>
            <w:vMerge/>
            <w:shd w:val="clear" w:color="auto" w:fill="FFFFFF" w:themeFill="background1"/>
            <w:vAlign w:val="center"/>
          </w:tcPr>
          <w:p w14:paraId="67DF6C0B" w14:textId="77777777" w:rsidR="00276474" w:rsidRPr="00545EC0" w:rsidRDefault="00276474" w:rsidP="005D0743">
            <w:pPr>
              <w:spacing w:line="276" w:lineRule="auto"/>
              <w:jc w:val="center"/>
              <w:rPr>
                <w:rFonts w:cs="Arial"/>
                <w:b/>
                <w:sz w:val="18"/>
                <w:szCs w:val="18"/>
                <w:lang w:val="pl-PL" w:eastAsia="pl-PL"/>
              </w:rPr>
            </w:pPr>
          </w:p>
        </w:tc>
        <w:tc>
          <w:tcPr>
            <w:tcW w:w="1134" w:type="dxa"/>
            <w:vMerge/>
            <w:shd w:val="clear" w:color="auto" w:fill="FFFFFF" w:themeFill="background1"/>
            <w:vAlign w:val="center"/>
          </w:tcPr>
          <w:p w14:paraId="0140BF5C" w14:textId="77777777" w:rsidR="00276474" w:rsidRPr="00545EC0" w:rsidRDefault="00276474" w:rsidP="005D0743">
            <w:pPr>
              <w:spacing w:line="276" w:lineRule="auto"/>
              <w:jc w:val="center"/>
              <w:rPr>
                <w:rFonts w:cs="Arial"/>
                <w:b/>
                <w:sz w:val="18"/>
                <w:szCs w:val="18"/>
                <w:lang w:val="pl-PL" w:eastAsia="pl-PL"/>
              </w:rPr>
            </w:pPr>
          </w:p>
        </w:tc>
        <w:tc>
          <w:tcPr>
            <w:tcW w:w="1843" w:type="dxa"/>
            <w:shd w:val="clear" w:color="auto" w:fill="FFFFFF" w:themeFill="background1"/>
            <w:vAlign w:val="center"/>
          </w:tcPr>
          <w:p w14:paraId="2BF9EC56" w14:textId="77777777" w:rsidR="00276474" w:rsidRPr="00545EC0" w:rsidRDefault="00276474" w:rsidP="005D0743">
            <w:pPr>
              <w:spacing w:line="276" w:lineRule="auto"/>
              <w:jc w:val="center"/>
              <w:rPr>
                <w:rFonts w:cs="Arial"/>
                <w:sz w:val="18"/>
                <w:szCs w:val="18"/>
                <w:lang w:val="pl-PL" w:eastAsia="pl-PL"/>
              </w:rPr>
            </w:pPr>
            <w:r w:rsidRPr="00545EC0">
              <w:rPr>
                <w:rFonts w:cs="Arial"/>
                <w:sz w:val="18"/>
                <w:szCs w:val="18"/>
                <w:lang w:val="pl-PL" w:eastAsia="pl-PL"/>
              </w:rPr>
              <w:t>nespremenjeno</w:t>
            </w:r>
          </w:p>
        </w:tc>
        <w:tc>
          <w:tcPr>
            <w:tcW w:w="1275" w:type="dxa"/>
            <w:shd w:val="clear" w:color="auto" w:fill="FFFFFF" w:themeFill="background1"/>
            <w:vAlign w:val="center"/>
          </w:tcPr>
          <w:p w14:paraId="2DEC76C3" w14:textId="77777777" w:rsidR="00276474" w:rsidRPr="00545EC0" w:rsidRDefault="00276474" w:rsidP="005D0743">
            <w:pPr>
              <w:spacing w:line="276" w:lineRule="auto"/>
              <w:jc w:val="center"/>
              <w:rPr>
                <w:rFonts w:cs="Arial"/>
                <w:sz w:val="18"/>
                <w:szCs w:val="18"/>
                <w:lang w:val="pl-PL" w:eastAsia="pl-PL"/>
              </w:rPr>
            </w:pPr>
            <w:r w:rsidRPr="00545EC0">
              <w:rPr>
                <w:rFonts w:cs="Arial"/>
                <w:sz w:val="18"/>
                <w:szCs w:val="18"/>
                <w:lang w:val="pl-PL" w:eastAsia="pl-PL"/>
              </w:rPr>
              <w:t>nejasno</w:t>
            </w:r>
          </w:p>
        </w:tc>
        <w:tc>
          <w:tcPr>
            <w:tcW w:w="2694" w:type="dxa"/>
            <w:shd w:val="clear" w:color="auto" w:fill="FFFFFF" w:themeFill="background1"/>
            <w:vAlign w:val="center"/>
          </w:tcPr>
          <w:p w14:paraId="6394DBCF" w14:textId="77777777" w:rsidR="00276474" w:rsidRPr="00545EC0" w:rsidRDefault="006A1E3B" w:rsidP="005D0743">
            <w:pPr>
              <w:spacing w:line="276" w:lineRule="auto"/>
              <w:jc w:val="center"/>
              <w:rPr>
                <w:rFonts w:cs="Arial"/>
                <w:sz w:val="18"/>
                <w:szCs w:val="18"/>
                <w:lang w:val="pl-PL" w:eastAsia="pl-PL"/>
              </w:rPr>
            </w:pPr>
            <w:r w:rsidRPr="00545EC0">
              <w:rPr>
                <w:rFonts w:cs="Arial"/>
                <w:sz w:val="18"/>
                <w:szCs w:val="18"/>
              </w:rPr>
              <w:t>Okoljski cilji morda bodo ali morda ne bodo doseženi</w:t>
            </w:r>
          </w:p>
        </w:tc>
        <w:tc>
          <w:tcPr>
            <w:tcW w:w="425" w:type="dxa"/>
            <w:shd w:val="clear" w:color="auto" w:fill="FFFFFF" w:themeFill="background1"/>
            <w:vAlign w:val="center"/>
          </w:tcPr>
          <w:p w14:paraId="60C188E6" w14:textId="77777777" w:rsidR="00276474" w:rsidRPr="00545EC0" w:rsidRDefault="00276474" w:rsidP="005D0743">
            <w:pPr>
              <w:spacing w:line="276" w:lineRule="auto"/>
              <w:jc w:val="center"/>
              <w:rPr>
                <w:rFonts w:cs="Arial"/>
                <w:sz w:val="18"/>
                <w:szCs w:val="18"/>
                <w:lang w:val="pl-PL" w:eastAsia="pl-PL"/>
              </w:rPr>
            </w:pPr>
            <w:r w:rsidRPr="00545EC0">
              <w:rPr>
                <w:rFonts w:cs="Arial"/>
                <w:sz w:val="18"/>
                <w:szCs w:val="18"/>
                <w:lang w:val="pl-PL" w:eastAsia="pl-PL"/>
              </w:rPr>
              <w:t>2</w:t>
            </w:r>
          </w:p>
        </w:tc>
      </w:tr>
      <w:tr w:rsidR="003122F4" w:rsidRPr="00545EC0" w14:paraId="74F9A3AD" w14:textId="77777777" w:rsidTr="00571518">
        <w:trPr>
          <w:trHeight w:val="529"/>
        </w:trPr>
        <w:tc>
          <w:tcPr>
            <w:tcW w:w="1418" w:type="dxa"/>
            <w:vMerge/>
            <w:shd w:val="clear" w:color="auto" w:fill="FFFFFF" w:themeFill="background1"/>
            <w:vAlign w:val="center"/>
          </w:tcPr>
          <w:p w14:paraId="55012E98" w14:textId="77777777" w:rsidR="00276474" w:rsidRPr="00545EC0" w:rsidRDefault="00276474" w:rsidP="005D0743">
            <w:pPr>
              <w:spacing w:line="276" w:lineRule="auto"/>
              <w:jc w:val="center"/>
              <w:rPr>
                <w:rFonts w:cs="Arial"/>
                <w:b/>
                <w:sz w:val="18"/>
                <w:szCs w:val="18"/>
                <w:lang w:val="pl-PL" w:eastAsia="pl-PL"/>
              </w:rPr>
            </w:pPr>
          </w:p>
        </w:tc>
        <w:tc>
          <w:tcPr>
            <w:tcW w:w="1134" w:type="dxa"/>
            <w:vMerge/>
            <w:shd w:val="clear" w:color="auto" w:fill="FFFFFF" w:themeFill="background1"/>
            <w:vAlign w:val="center"/>
          </w:tcPr>
          <w:p w14:paraId="29654D9E" w14:textId="77777777" w:rsidR="00276474" w:rsidRPr="00545EC0" w:rsidRDefault="00276474" w:rsidP="005D0743">
            <w:pPr>
              <w:spacing w:line="276" w:lineRule="auto"/>
              <w:jc w:val="center"/>
              <w:rPr>
                <w:rFonts w:cs="Arial"/>
                <w:b/>
                <w:sz w:val="18"/>
                <w:szCs w:val="18"/>
                <w:lang w:val="pl-PL" w:eastAsia="pl-PL"/>
              </w:rPr>
            </w:pPr>
          </w:p>
        </w:tc>
        <w:tc>
          <w:tcPr>
            <w:tcW w:w="1843" w:type="dxa"/>
            <w:shd w:val="clear" w:color="auto" w:fill="FFFFFF" w:themeFill="background1"/>
            <w:vAlign w:val="center"/>
          </w:tcPr>
          <w:p w14:paraId="2E5F7C6B" w14:textId="77777777" w:rsidR="00276474" w:rsidRPr="00545EC0" w:rsidRDefault="00276474" w:rsidP="005D0743">
            <w:pPr>
              <w:spacing w:line="276" w:lineRule="auto"/>
              <w:jc w:val="center"/>
              <w:rPr>
                <w:rFonts w:cs="Arial"/>
                <w:sz w:val="18"/>
                <w:szCs w:val="18"/>
                <w:lang w:val="pl-PL" w:eastAsia="pl-PL"/>
              </w:rPr>
            </w:pPr>
            <w:r w:rsidRPr="00545EC0">
              <w:rPr>
                <w:rFonts w:cs="Arial"/>
                <w:sz w:val="18"/>
                <w:szCs w:val="18"/>
                <w:lang w:val="pl-PL" w:eastAsia="pl-PL"/>
              </w:rPr>
              <w:t>poslabšanje</w:t>
            </w:r>
          </w:p>
        </w:tc>
        <w:tc>
          <w:tcPr>
            <w:tcW w:w="1275" w:type="dxa"/>
            <w:shd w:val="clear" w:color="auto" w:fill="FFFFFF" w:themeFill="background1"/>
            <w:vAlign w:val="center"/>
          </w:tcPr>
          <w:p w14:paraId="2034DC6E" w14:textId="77777777" w:rsidR="00276474" w:rsidRPr="00545EC0" w:rsidRDefault="00276474" w:rsidP="005D0743">
            <w:pPr>
              <w:spacing w:line="276" w:lineRule="auto"/>
              <w:jc w:val="center"/>
              <w:rPr>
                <w:rFonts w:cs="Arial"/>
                <w:sz w:val="18"/>
                <w:szCs w:val="18"/>
                <w:lang w:val="pl-PL" w:eastAsia="pl-PL"/>
              </w:rPr>
            </w:pPr>
            <w:r w:rsidRPr="00545EC0">
              <w:rPr>
                <w:rFonts w:cs="Arial"/>
                <w:sz w:val="18"/>
                <w:szCs w:val="18"/>
                <w:lang w:val="pl-PL" w:eastAsia="pl-PL"/>
              </w:rPr>
              <w:t>tveganje</w:t>
            </w:r>
          </w:p>
        </w:tc>
        <w:tc>
          <w:tcPr>
            <w:tcW w:w="2694" w:type="dxa"/>
            <w:shd w:val="clear" w:color="auto" w:fill="FFFFFF" w:themeFill="background1"/>
            <w:vAlign w:val="center"/>
          </w:tcPr>
          <w:p w14:paraId="26F92D59" w14:textId="77777777" w:rsidR="00276474" w:rsidRPr="00545EC0" w:rsidRDefault="006A1E3B" w:rsidP="005D0743">
            <w:pPr>
              <w:spacing w:line="276" w:lineRule="auto"/>
              <w:jc w:val="center"/>
              <w:rPr>
                <w:rFonts w:cs="Arial"/>
                <w:sz w:val="18"/>
                <w:szCs w:val="18"/>
                <w:lang w:val="pl-PL" w:eastAsia="pl-PL"/>
              </w:rPr>
            </w:pPr>
            <w:r w:rsidRPr="00545EC0">
              <w:rPr>
                <w:rFonts w:cs="Arial"/>
                <w:sz w:val="18"/>
                <w:szCs w:val="18"/>
                <w:lang w:val="pl-PL" w:eastAsia="pl-PL"/>
              </w:rPr>
              <w:t>Okoljski cilji ne bodo doseženi</w:t>
            </w:r>
          </w:p>
        </w:tc>
        <w:tc>
          <w:tcPr>
            <w:tcW w:w="425" w:type="dxa"/>
            <w:shd w:val="clear" w:color="auto" w:fill="FFFFFF" w:themeFill="background1"/>
            <w:vAlign w:val="center"/>
          </w:tcPr>
          <w:p w14:paraId="404D6A73" w14:textId="77777777" w:rsidR="00276474" w:rsidRPr="00545EC0" w:rsidRDefault="00276474" w:rsidP="005D0743">
            <w:pPr>
              <w:spacing w:line="276" w:lineRule="auto"/>
              <w:jc w:val="center"/>
              <w:rPr>
                <w:rFonts w:cs="Arial"/>
                <w:sz w:val="18"/>
                <w:szCs w:val="18"/>
                <w:lang w:val="pl-PL" w:eastAsia="pl-PL"/>
              </w:rPr>
            </w:pPr>
            <w:r w:rsidRPr="00545EC0">
              <w:rPr>
                <w:rFonts w:cs="Arial"/>
                <w:sz w:val="18"/>
                <w:szCs w:val="18"/>
                <w:lang w:val="pl-PL" w:eastAsia="pl-PL"/>
              </w:rPr>
              <w:t>3</w:t>
            </w:r>
          </w:p>
        </w:tc>
      </w:tr>
      <w:tr w:rsidR="003122F4" w:rsidRPr="00545EC0" w14:paraId="50E65F53" w14:textId="77777777" w:rsidTr="00571518">
        <w:trPr>
          <w:trHeight w:val="529"/>
        </w:trPr>
        <w:tc>
          <w:tcPr>
            <w:tcW w:w="1418" w:type="dxa"/>
            <w:vMerge/>
            <w:shd w:val="clear" w:color="auto" w:fill="FFFFFF" w:themeFill="background1"/>
            <w:vAlign w:val="center"/>
          </w:tcPr>
          <w:p w14:paraId="28092540" w14:textId="77777777" w:rsidR="00276474" w:rsidRPr="00545EC0" w:rsidRDefault="00276474" w:rsidP="005D0743">
            <w:pPr>
              <w:spacing w:line="276" w:lineRule="auto"/>
              <w:jc w:val="center"/>
              <w:rPr>
                <w:rFonts w:cs="Arial"/>
                <w:b/>
                <w:sz w:val="18"/>
                <w:szCs w:val="18"/>
                <w:lang w:val="pl-PL" w:eastAsia="pl-PL"/>
              </w:rPr>
            </w:pPr>
          </w:p>
        </w:tc>
        <w:tc>
          <w:tcPr>
            <w:tcW w:w="1134" w:type="dxa"/>
            <w:vMerge w:val="restart"/>
            <w:shd w:val="clear" w:color="auto" w:fill="FFFFFF" w:themeFill="background1"/>
            <w:vAlign w:val="center"/>
          </w:tcPr>
          <w:p w14:paraId="01E6D668" w14:textId="77777777" w:rsidR="00276474" w:rsidRPr="00545EC0" w:rsidRDefault="00276474" w:rsidP="005D0743">
            <w:pPr>
              <w:spacing w:line="276" w:lineRule="auto"/>
              <w:jc w:val="center"/>
              <w:rPr>
                <w:rFonts w:cs="Arial"/>
                <w:b/>
                <w:sz w:val="18"/>
                <w:szCs w:val="18"/>
                <w:lang w:val="pl-PL" w:eastAsia="pl-PL"/>
              </w:rPr>
            </w:pPr>
            <w:r w:rsidRPr="00545EC0">
              <w:rPr>
                <w:rFonts w:cs="Arial"/>
                <w:b/>
                <w:sz w:val="18"/>
                <w:szCs w:val="18"/>
                <w:lang w:val="pl-PL" w:eastAsia="pl-PL"/>
              </w:rPr>
              <w:t>NE</w:t>
            </w:r>
          </w:p>
        </w:tc>
        <w:tc>
          <w:tcPr>
            <w:tcW w:w="1843" w:type="dxa"/>
            <w:shd w:val="clear" w:color="auto" w:fill="FFFFFF" w:themeFill="background1"/>
            <w:vAlign w:val="center"/>
          </w:tcPr>
          <w:p w14:paraId="0FBBF235" w14:textId="77777777" w:rsidR="00276474" w:rsidRPr="00545EC0" w:rsidRDefault="00276474" w:rsidP="005D0743">
            <w:pPr>
              <w:spacing w:line="276" w:lineRule="auto"/>
              <w:jc w:val="center"/>
              <w:rPr>
                <w:rFonts w:cs="Arial"/>
                <w:sz w:val="18"/>
                <w:szCs w:val="18"/>
                <w:lang w:val="pl-PL" w:eastAsia="pl-PL"/>
              </w:rPr>
            </w:pPr>
            <w:r w:rsidRPr="00545EC0">
              <w:rPr>
                <w:rFonts w:cs="Arial"/>
                <w:sz w:val="18"/>
                <w:szCs w:val="18"/>
                <w:lang w:val="pl-PL" w:eastAsia="pl-PL"/>
              </w:rPr>
              <w:t>izboljšanje</w:t>
            </w:r>
          </w:p>
        </w:tc>
        <w:tc>
          <w:tcPr>
            <w:tcW w:w="1275" w:type="dxa"/>
            <w:shd w:val="clear" w:color="auto" w:fill="FFFFFF" w:themeFill="background1"/>
            <w:vAlign w:val="center"/>
          </w:tcPr>
          <w:p w14:paraId="384784FE" w14:textId="77777777" w:rsidR="00276474" w:rsidRPr="00545EC0" w:rsidRDefault="00276474" w:rsidP="005D0743">
            <w:pPr>
              <w:spacing w:line="276" w:lineRule="auto"/>
              <w:jc w:val="center"/>
              <w:rPr>
                <w:rFonts w:cs="Arial"/>
                <w:sz w:val="18"/>
                <w:szCs w:val="18"/>
                <w:lang w:val="pl-PL" w:eastAsia="pl-PL"/>
              </w:rPr>
            </w:pPr>
            <w:r w:rsidRPr="00545EC0">
              <w:rPr>
                <w:rFonts w:cs="Arial"/>
                <w:sz w:val="18"/>
                <w:szCs w:val="18"/>
                <w:lang w:val="pl-PL" w:eastAsia="pl-PL"/>
              </w:rPr>
              <w:t>nej</w:t>
            </w:r>
            <w:r w:rsidR="00F718E8" w:rsidRPr="00545EC0">
              <w:rPr>
                <w:rFonts w:cs="Arial"/>
                <w:sz w:val="18"/>
                <w:szCs w:val="18"/>
                <w:lang w:val="pl-PL" w:eastAsia="pl-PL"/>
              </w:rPr>
              <w:t>a</w:t>
            </w:r>
            <w:r w:rsidRPr="00545EC0">
              <w:rPr>
                <w:rFonts w:cs="Arial"/>
                <w:sz w:val="18"/>
                <w:szCs w:val="18"/>
                <w:lang w:val="pl-PL" w:eastAsia="pl-PL"/>
              </w:rPr>
              <w:t>sno</w:t>
            </w:r>
          </w:p>
        </w:tc>
        <w:tc>
          <w:tcPr>
            <w:tcW w:w="2694" w:type="dxa"/>
            <w:shd w:val="clear" w:color="auto" w:fill="FFFFFF" w:themeFill="background1"/>
            <w:vAlign w:val="center"/>
          </w:tcPr>
          <w:p w14:paraId="2AC5D56C" w14:textId="77777777" w:rsidR="00276474" w:rsidRPr="00545EC0" w:rsidRDefault="006A1E3B" w:rsidP="005D0743">
            <w:pPr>
              <w:spacing w:line="276" w:lineRule="auto"/>
              <w:jc w:val="center"/>
              <w:rPr>
                <w:rFonts w:cs="Arial"/>
                <w:sz w:val="18"/>
                <w:szCs w:val="18"/>
                <w:lang w:val="pl-PL" w:eastAsia="pl-PL"/>
              </w:rPr>
            </w:pPr>
            <w:r w:rsidRPr="00545EC0">
              <w:rPr>
                <w:rFonts w:cs="Arial"/>
                <w:sz w:val="18"/>
                <w:szCs w:val="18"/>
              </w:rPr>
              <w:t>Okoljski cilji morda bodo ali morda ne bodo doseženi</w:t>
            </w:r>
          </w:p>
        </w:tc>
        <w:tc>
          <w:tcPr>
            <w:tcW w:w="425" w:type="dxa"/>
            <w:shd w:val="clear" w:color="auto" w:fill="FFFFFF" w:themeFill="background1"/>
            <w:vAlign w:val="center"/>
          </w:tcPr>
          <w:p w14:paraId="02995F36" w14:textId="77777777" w:rsidR="00276474" w:rsidRPr="00545EC0" w:rsidRDefault="00276474" w:rsidP="005D0743">
            <w:pPr>
              <w:spacing w:line="276" w:lineRule="auto"/>
              <w:jc w:val="center"/>
              <w:rPr>
                <w:rFonts w:cs="Arial"/>
                <w:sz w:val="18"/>
                <w:szCs w:val="18"/>
                <w:lang w:val="pl-PL" w:eastAsia="pl-PL"/>
              </w:rPr>
            </w:pPr>
            <w:r w:rsidRPr="00545EC0">
              <w:rPr>
                <w:rFonts w:cs="Arial"/>
                <w:sz w:val="18"/>
                <w:szCs w:val="18"/>
                <w:lang w:val="pl-PL" w:eastAsia="pl-PL"/>
              </w:rPr>
              <w:t>2</w:t>
            </w:r>
          </w:p>
        </w:tc>
      </w:tr>
      <w:tr w:rsidR="003122F4" w:rsidRPr="00545EC0" w14:paraId="35A595F7" w14:textId="77777777" w:rsidTr="00571518">
        <w:trPr>
          <w:trHeight w:val="529"/>
        </w:trPr>
        <w:tc>
          <w:tcPr>
            <w:tcW w:w="1418" w:type="dxa"/>
            <w:vMerge/>
            <w:shd w:val="clear" w:color="auto" w:fill="FFFFFF" w:themeFill="background1"/>
            <w:vAlign w:val="center"/>
          </w:tcPr>
          <w:p w14:paraId="30E3E2A6" w14:textId="77777777" w:rsidR="00276474" w:rsidRPr="00545EC0" w:rsidRDefault="00276474" w:rsidP="005D0743">
            <w:pPr>
              <w:spacing w:line="276" w:lineRule="auto"/>
              <w:jc w:val="center"/>
              <w:rPr>
                <w:rFonts w:cs="Arial"/>
                <w:sz w:val="18"/>
                <w:szCs w:val="18"/>
                <w:lang w:val="pl-PL" w:eastAsia="pl-PL"/>
              </w:rPr>
            </w:pPr>
          </w:p>
        </w:tc>
        <w:tc>
          <w:tcPr>
            <w:tcW w:w="1134" w:type="dxa"/>
            <w:vMerge/>
            <w:shd w:val="clear" w:color="auto" w:fill="FFFFFF" w:themeFill="background1"/>
            <w:vAlign w:val="center"/>
          </w:tcPr>
          <w:p w14:paraId="317ACF93" w14:textId="77777777" w:rsidR="00276474" w:rsidRPr="00545EC0" w:rsidRDefault="00276474" w:rsidP="005D0743">
            <w:pPr>
              <w:spacing w:line="276" w:lineRule="auto"/>
              <w:jc w:val="center"/>
              <w:rPr>
                <w:rFonts w:cs="Arial"/>
                <w:sz w:val="18"/>
                <w:szCs w:val="18"/>
                <w:lang w:val="pl-PL" w:eastAsia="pl-PL"/>
              </w:rPr>
            </w:pPr>
          </w:p>
        </w:tc>
        <w:tc>
          <w:tcPr>
            <w:tcW w:w="1843" w:type="dxa"/>
            <w:shd w:val="clear" w:color="auto" w:fill="FFFFFF" w:themeFill="background1"/>
            <w:vAlign w:val="center"/>
          </w:tcPr>
          <w:p w14:paraId="4F7A0900" w14:textId="77777777" w:rsidR="00276474" w:rsidRPr="00545EC0" w:rsidRDefault="00276474" w:rsidP="005D0743">
            <w:pPr>
              <w:spacing w:line="276" w:lineRule="auto"/>
              <w:jc w:val="center"/>
              <w:rPr>
                <w:rFonts w:cs="Arial"/>
                <w:sz w:val="18"/>
                <w:szCs w:val="18"/>
                <w:lang w:val="pl-PL" w:eastAsia="pl-PL"/>
              </w:rPr>
            </w:pPr>
            <w:r w:rsidRPr="00545EC0">
              <w:rPr>
                <w:rFonts w:cs="Arial"/>
                <w:sz w:val="18"/>
                <w:szCs w:val="18"/>
                <w:lang w:val="pl-PL" w:eastAsia="pl-PL"/>
              </w:rPr>
              <w:t>nespremenjeno</w:t>
            </w:r>
          </w:p>
        </w:tc>
        <w:tc>
          <w:tcPr>
            <w:tcW w:w="1275" w:type="dxa"/>
            <w:shd w:val="clear" w:color="auto" w:fill="FFFFFF" w:themeFill="background1"/>
            <w:vAlign w:val="center"/>
          </w:tcPr>
          <w:p w14:paraId="17B83399" w14:textId="77777777" w:rsidR="00276474" w:rsidRPr="00545EC0" w:rsidRDefault="00276474" w:rsidP="005D0743">
            <w:pPr>
              <w:spacing w:line="276" w:lineRule="auto"/>
              <w:jc w:val="center"/>
              <w:rPr>
                <w:rFonts w:cs="Arial"/>
                <w:sz w:val="18"/>
                <w:szCs w:val="18"/>
                <w:lang w:val="pl-PL" w:eastAsia="pl-PL"/>
              </w:rPr>
            </w:pPr>
            <w:r w:rsidRPr="00545EC0">
              <w:rPr>
                <w:rFonts w:cs="Arial"/>
                <w:sz w:val="18"/>
                <w:szCs w:val="18"/>
                <w:lang w:val="pl-PL" w:eastAsia="pl-PL"/>
              </w:rPr>
              <w:t>tveganje</w:t>
            </w:r>
          </w:p>
        </w:tc>
        <w:tc>
          <w:tcPr>
            <w:tcW w:w="2694" w:type="dxa"/>
            <w:shd w:val="clear" w:color="auto" w:fill="FFFFFF" w:themeFill="background1"/>
            <w:vAlign w:val="center"/>
          </w:tcPr>
          <w:p w14:paraId="10A02BF5" w14:textId="77777777" w:rsidR="00276474" w:rsidRPr="00545EC0" w:rsidRDefault="006A1E3B" w:rsidP="005D0743">
            <w:pPr>
              <w:spacing w:line="276" w:lineRule="auto"/>
              <w:jc w:val="center"/>
              <w:rPr>
                <w:rFonts w:cs="Arial"/>
                <w:sz w:val="18"/>
                <w:szCs w:val="18"/>
                <w:lang w:val="pl-PL" w:eastAsia="pl-PL"/>
              </w:rPr>
            </w:pPr>
            <w:r w:rsidRPr="00545EC0">
              <w:rPr>
                <w:rFonts w:cs="Arial"/>
                <w:sz w:val="18"/>
                <w:szCs w:val="18"/>
                <w:lang w:val="pl-PL" w:eastAsia="pl-PL"/>
              </w:rPr>
              <w:t>Okoljski cilji ne bodo doseženi</w:t>
            </w:r>
          </w:p>
        </w:tc>
        <w:tc>
          <w:tcPr>
            <w:tcW w:w="425" w:type="dxa"/>
            <w:shd w:val="clear" w:color="auto" w:fill="FFFFFF" w:themeFill="background1"/>
            <w:vAlign w:val="center"/>
          </w:tcPr>
          <w:p w14:paraId="6BC31265" w14:textId="77777777" w:rsidR="00276474" w:rsidRPr="00545EC0" w:rsidRDefault="00276474" w:rsidP="005D0743">
            <w:pPr>
              <w:spacing w:line="276" w:lineRule="auto"/>
              <w:jc w:val="center"/>
              <w:rPr>
                <w:rFonts w:cs="Arial"/>
                <w:sz w:val="18"/>
                <w:szCs w:val="18"/>
                <w:lang w:val="pl-PL" w:eastAsia="pl-PL"/>
              </w:rPr>
            </w:pPr>
            <w:r w:rsidRPr="00545EC0">
              <w:rPr>
                <w:rFonts w:cs="Arial"/>
                <w:sz w:val="18"/>
                <w:szCs w:val="18"/>
                <w:lang w:val="pl-PL" w:eastAsia="pl-PL"/>
              </w:rPr>
              <w:t>3</w:t>
            </w:r>
          </w:p>
        </w:tc>
      </w:tr>
      <w:tr w:rsidR="003122F4" w:rsidRPr="00545EC0" w14:paraId="46066514" w14:textId="77777777" w:rsidTr="00571518">
        <w:trPr>
          <w:trHeight w:val="529"/>
        </w:trPr>
        <w:tc>
          <w:tcPr>
            <w:tcW w:w="1418" w:type="dxa"/>
            <w:vMerge/>
            <w:shd w:val="clear" w:color="auto" w:fill="FFFFFF" w:themeFill="background1"/>
            <w:vAlign w:val="center"/>
          </w:tcPr>
          <w:p w14:paraId="2C770683" w14:textId="77777777" w:rsidR="00276474" w:rsidRPr="00545EC0" w:rsidRDefault="00276474" w:rsidP="005D0743">
            <w:pPr>
              <w:spacing w:line="276" w:lineRule="auto"/>
              <w:jc w:val="center"/>
              <w:rPr>
                <w:rFonts w:cs="Arial"/>
                <w:sz w:val="18"/>
                <w:szCs w:val="18"/>
                <w:lang w:val="pl-PL" w:eastAsia="pl-PL"/>
              </w:rPr>
            </w:pPr>
          </w:p>
        </w:tc>
        <w:tc>
          <w:tcPr>
            <w:tcW w:w="1134" w:type="dxa"/>
            <w:vMerge/>
            <w:shd w:val="clear" w:color="auto" w:fill="FFFFFF" w:themeFill="background1"/>
            <w:vAlign w:val="center"/>
          </w:tcPr>
          <w:p w14:paraId="6D41AB00" w14:textId="77777777" w:rsidR="00276474" w:rsidRPr="00545EC0" w:rsidRDefault="00276474" w:rsidP="005D0743">
            <w:pPr>
              <w:spacing w:line="276" w:lineRule="auto"/>
              <w:jc w:val="center"/>
              <w:rPr>
                <w:rFonts w:cs="Arial"/>
                <w:sz w:val="18"/>
                <w:szCs w:val="18"/>
                <w:lang w:val="pl-PL" w:eastAsia="pl-PL"/>
              </w:rPr>
            </w:pPr>
          </w:p>
        </w:tc>
        <w:tc>
          <w:tcPr>
            <w:tcW w:w="1843" w:type="dxa"/>
            <w:shd w:val="clear" w:color="auto" w:fill="FFFFFF" w:themeFill="background1"/>
            <w:vAlign w:val="center"/>
          </w:tcPr>
          <w:p w14:paraId="0B4A0FEC" w14:textId="77777777" w:rsidR="00276474" w:rsidRPr="00545EC0" w:rsidRDefault="00276474" w:rsidP="005D0743">
            <w:pPr>
              <w:spacing w:line="276" w:lineRule="auto"/>
              <w:jc w:val="center"/>
              <w:rPr>
                <w:rFonts w:cs="Arial"/>
                <w:sz w:val="18"/>
                <w:szCs w:val="18"/>
                <w:lang w:val="pl-PL" w:eastAsia="pl-PL"/>
              </w:rPr>
            </w:pPr>
            <w:r w:rsidRPr="00545EC0">
              <w:rPr>
                <w:rFonts w:cs="Arial"/>
                <w:sz w:val="18"/>
                <w:szCs w:val="18"/>
                <w:lang w:val="pl-PL" w:eastAsia="pl-PL"/>
              </w:rPr>
              <w:t>poslabšanje</w:t>
            </w:r>
          </w:p>
        </w:tc>
        <w:tc>
          <w:tcPr>
            <w:tcW w:w="1275" w:type="dxa"/>
            <w:shd w:val="clear" w:color="auto" w:fill="FFFFFF" w:themeFill="background1"/>
            <w:vAlign w:val="center"/>
          </w:tcPr>
          <w:p w14:paraId="33517A05" w14:textId="77777777" w:rsidR="00276474" w:rsidRPr="00545EC0" w:rsidRDefault="00276474" w:rsidP="005D0743">
            <w:pPr>
              <w:spacing w:line="276" w:lineRule="auto"/>
              <w:jc w:val="center"/>
              <w:rPr>
                <w:rFonts w:cs="Arial"/>
                <w:sz w:val="18"/>
                <w:szCs w:val="18"/>
                <w:lang w:val="pl-PL" w:eastAsia="pl-PL"/>
              </w:rPr>
            </w:pPr>
            <w:r w:rsidRPr="00545EC0">
              <w:rPr>
                <w:rFonts w:cs="Arial"/>
                <w:sz w:val="18"/>
                <w:szCs w:val="18"/>
                <w:lang w:val="pl-PL" w:eastAsia="pl-PL"/>
              </w:rPr>
              <w:t>tveganje</w:t>
            </w:r>
          </w:p>
        </w:tc>
        <w:tc>
          <w:tcPr>
            <w:tcW w:w="2694" w:type="dxa"/>
            <w:shd w:val="clear" w:color="auto" w:fill="FFFFFF" w:themeFill="background1"/>
            <w:vAlign w:val="center"/>
          </w:tcPr>
          <w:p w14:paraId="57C2EEE0" w14:textId="77777777" w:rsidR="00276474" w:rsidRPr="00545EC0" w:rsidRDefault="006A1E3B" w:rsidP="005D0743">
            <w:pPr>
              <w:spacing w:line="276" w:lineRule="auto"/>
              <w:jc w:val="center"/>
              <w:rPr>
                <w:rFonts w:cs="Arial"/>
                <w:sz w:val="18"/>
                <w:szCs w:val="18"/>
                <w:lang w:val="pl-PL" w:eastAsia="pl-PL"/>
              </w:rPr>
            </w:pPr>
            <w:r w:rsidRPr="00545EC0">
              <w:rPr>
                <w:rFonts w:cs="Arial"/>
                <w:sz w:val="18"/>
                <w:szCs w:val="18"/>
                <w:lang w:val="pl-PL" w:eastAsia="pl-PL"/>
              </w:rPr>
              <w:t>Okoljski cilji ne bodo doseženi</w:t>
            </w:r>
          </w:p>
        </w:tc>
        <w:tc>
          <w:tcPr>
            <w:tcW w:w="425" w:type="dxa"/>
            <w:shd w:val="clear" w:color="auto" w:fill="FFFFFF" w:themeFill="background1"/>
            <w:vAlign w:val="center"/>
          </w:tcPr>
          <w:p w14:paraId="6C52F824" w14:textId="77777777" w:rsidR="00276474" w:rsidRPr="00545EC0" w:rsidRDefault="00276474" w:rsidP="005D0743">
            <w:pPr>
              <w:spacing w:line="276" w:lineRule="auto"/>
              <w:jc w:val="center"/>
              <w:rPr>
                <w:rFonts w:cs="Arial"/>
                <w:sz w:val="18"/>
                <w:szCs w:val="18"/>
                <w:lang w:val="pl-PL" w:eastAsia="pl-PL"/>
              </w:rPr>
            </w:pPr>
            <w:r w:rsidRPr="00545EC0">
              <w:rPr>
                <w:rFonts w:cs="Arial"/>
                <w:sz w:val="18"/>
                <w:szCs w:val="18"/>
                <w:lang w:val="pl-PL" w:eastAsia="pl-PL"/>
              </w:rPr>
              <w:t>3</w:t>
            </w:r>
          </w:p>
        </w:tc>
      </w:tr>
    </w:tbl>
    <w:p w14:paraId="7E608E99" w14:textId="77777777" w:rsidR="00617138" w:rsidRPr="00545EC0" w:rsidRDefault="00617138" w:rsidP="0010797F">
      <w:pPr>
        <w:rPr>
          <w:rFonts w:cs="Arial"/>
          <w:szCs w:val="22"/>
        </w:rPr>
      </w:pPr>
    </w:p>
    <w:p w14:paraId="27947C1F" w14:textId="77777777" w:rsidR="00193312" w:rsidRPr="00545EC0" w:rsidRDefault="00193312" w:rsidP="00193312">
      <w:pPr>
        <w:pStyle w:val="Odstavekseznama"/>
        <w:rPr>
          <w:rFonts w:cs="Arial"/>
          <w:szCs w:val="22"/>
          <w:lang w:val="sl-SI"/>
        </w:rPr>
      </w:pPr>
    </w:p>
    <w:p w14:paraId="066A8915" w14:textId="1AEDE9B6" w:rsidR="00193312" w:rsidRPr="00545EC0" w:rsidRDefault="00193312" w:rsidP="00193312">
      <w:pPr>
        <w:rPr>
          <w:rFonts w:cs="Arial"/>
          <w:szCs w:val="22"/>
        </w:rPr>
      </w:pPr>
      <w:r w:rsidRPr="00545EC0">
        <w:rPr>
          <w:rFonts w:cs="Arial"/>
          <w:szCs w:val="22"/>
        </w:rPr>
        <w:t xml:space="preserve">Skupna ocena vpliva ukrepov in prihodnjega razvoja je </w:t>
      </w:r>
      <w:r w:rsidR="00F5267D" w:rsidRPr="00545EC0">
        <w:rPr>
          <w:rFonts w:cs="Arial"/>
          <w:szCs w:val="22"/>
        </w:rPr>
        <w:t xml:space="preserve">v prehodnem poglavju </w:t>
      </w:r>
      <w:r w:rsidRPr="00545EC0">
        <w:rPr>
          <w:rFonts w:cs="Arial"/>
          <w:szCs w:val="22"/>
        </w:rPr>
        <w:t>podana kot:</w:t>
      </w:r>
    </w:p>
    <w:p w14:paraId="4019999C" w14:textId="77777777" w:rsidR="00193312" w:rsidRPr="00545EC0" w:rsidRDefault="00193312"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 xml:space="preserve">»izboljšanje« v primeru, ko je ocenjen morebiten pozitiven vpliv na stanje voda, </w:t>
      </w:r>
    </w:p>
    <w:p w14:paraId="3126CB3E" w14:textId="77777777" w:rsidR="00193312" w:rsidRPr="00545EC0" w:rsidRDefault="00193312"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 xml:space="preserve">»poslabšanje« v primeru, ko je ocenjen morebiten negativen vpliv na stanje voda, in </w:t>
      </w:r>
    </w:p>
    <w:p w14:paraId="384FCDA2" w14:textId="77777777" w:rsidR="00193312" w:rsidRPr="00545EC0" w:rsidRDefault="00193312"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»nespremenjeno« v primeru, ko se vpliva na stanje voda ne pričakuje ali ga ni mogoče oceniti.</w:t>
      </w:r>
    </w:p>
    <w:p w14:paraId="68909DF6" w14:textId="77777777" w:rsidR="00193312" w:rsidRPr="00545EC0" w:rsidRDefault="00193312" w:rsidP="0010797F">
      <w:pPr>
        <w:rPr>
          <w:rFonts w:cs="Arial"/>
        </w:rPr>
      </w:pPr>
    </w:p>
    <w:p w14:paraId="0F08C59B" w14:textId="3E165668" w:rsidR="00DA326B" w:rsidRPr="00545EC0" w:rsidRDefault="00DA326B" w:rsidP="0010797F">
      <w:pPr>
        <w:rPr>
          <w:rFonts w:cs="Arial"/>
        </w:rPr>
      </w:pPr>
      <w:r w:rsidRPr="00545EC0">
        <w:rPr>
          <w:rFonts w:cs="Arial"/>
        </w:rPr>
        <w:t>Ocena verjetnosti, da bodo vodna telesa površinskih voda dosegla zanje določene okoljske cilje</w:t>
      </w:r>
      <w:r w:rsidR="0064584D" w:rsidRPr="00545EC0">
        <w:rPr>
          <w:rFonts w:cs="Arial"/>
        </w:rPr>
        <w:t>,</w:t>
      </w:r>
      <w:r w:rsidRPr="00545EC0">
        <w:rPr>
          <w:rFonts w:cs="Arial"/>
        </w:rPr>
        <w:t xml:space="preserve"> je določena na VT</w:t>
      </w:r>
      <w:r w:rsidR="00C8079B" w:rsidRPr="00545EC0">
        <w:rPr>
          <w:rFonts w:cs="Arial"/>
        </w:rPr>
        <w:t xml:space="preserve">, </w:t>
      </w:r>
      <w:r w:rsidRPr="00545EC0">
        <w:rPr>
          <w:rFonts w:cs="Arial"/>
        </w:rPr>
        <w:t xml:space="preserve">ko so izpolnjeni sledeči pogoji: </w:t>
      </w:r>
    </w:p>
    <w:p w14:paraId="5E91799D" w14:textId="77777777" w:rsidR="00DA326B" w:rsidRPr="00545EC0" w:rsidRDefault="00DA326B"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 xml:space="preserve">Stanje VT, na osnovi rezultatov monitoringa, je ocenjeno kot dobro ali zelo dobro. Morebitne pomembne obremenitve na VT niso </w:t>
      </w:r>
      <w:r w:rsidR="00D7338C" w:rsidRPr="00545EC0">
        <w:rPr>
          <w:rFonts w:cs="Arial"/>
          <w:lang w:val="sl-SI"/>
        </w:rPr>
        <w:t>opredeljene</w:t>
      </w:r>
      <w:r w:rsidRPr="00545EC0">
        <w:rPr>
          <w:rFonts w:cs="Arial"/>
          <w:lang w:val="sl-SI"/>
        </w:rPr>
        <w:t xml:space="preserve">. Skupna ocena vpliva prihodnjega razvoja kaže, da bo izvajanje ukrepov imelo pozitiven vpliv na stanje voda. </w:t>
      </w:r>
    </w:p>
    <w:p w14:paraId="0DF35F9E" w14:textId="77777777" w:rsidR="00C8079B" w:rsidRPr="00545EC0" w:rsidRDefault="00C8079B"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 xml:space="preserve">Stanje VT, na osnovi rezultatov monitoringa, je ocenjeno kot dobro ali zelo dobro. Morebitne pomembne obremenitve na VT niso opredeljene. Skupna ocena vpliva prihodnjega razvoja kaže, da vpliva na stanje voda ni mogoče oceniti oziroma se vpliva na stanje voda ne pričakuje. </w:t>
      </w:r>
    </w:p>
    <w:p w14:paraId="4CA7F33C" w14:textId="79FDA00E" w:rsidR="00DA326B" w:rsidRPr="00545EC0" w:rsidRDefault="00DA326B"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Stanje VT, na osnovi rezultatov monitoringa, je ocenjeno kot dobro ali zelo dobro. Na VT so prisotne morebitne pomembne obremenitve, vendar skupna ocena vpliva prihodnjega razvoja kaže, da bo izvajanje ukrepov imelo pozitiven vpliv na stanje</w:t>
      </w:r>
      <w:r w:rsidR="00E250EE" w:rsidRPr="00545EC0">
        <w:rPr>
          <w:rFonts w:cs="Arial"/>
          <w:lang w:val="sl-SI"/>
        </w:rPr>
        <w:t xml:space="preserve"> voda.</w:t>
      </w:r>
    </w:p>
    <w:p w14:paraId="622B1F89" w14:textId="77777777" w:rsidR="006A1E3B" w:rsidRPr="00545EC0" w:rsidRDefault="00DA326B" w:rsidP="0010797F">
      <w:pPr>
        <w:rPr>
          <w:rFonts w:cs="Arial"/>
        </w:rPr>
      </w:pPr>
      <w:r w:rsidRPr="00545EC0">
        <w:rPr>
          <w:rFonts w:cs="Arial"/>
        </w:rPr>
        <w:t xml:space="preserve"> </w:t>
      </w:r>
    </w:p>
    <w:p w14:paraId="2B65A356" w14:textId="14086395" w:rsidR="00DA326B" w:rsidRPr="00545EC0" w:rsidRDefault="00DA326B" w:rsidP="00DA326B">
      <w:pPr>
        <w:rPr>
          <w:rFonts w:cs="Arial"/>
        </w:rPr>
      </w:pPr>
      <w:r w:rsidRPr="00545EC0">
        <w:rPr>
          <w:rFonts w:cs="Arial"/>
        </w:rPr>
        <w:t>Ocena verjetnosti, da vodna telesa površinskih voda morda bodo ali morda ne bodo dosegla zanje določenih okoljskih ciljev</w:t>
      </w:r>
      <w:r w:rsidR="0064584D" w:rsidRPr="00545EC0">
        <w:rPr>
          <w:rFonts w:cs="Arial"/>
        </w:rPr>
        <w:t>,</w:t>
      </w:r>
      <w:r w:rsidRPr="00545EC0">
        <w:rPr>
          <w:rFonts w:cs="Arial"/>
        </w:rPr>
        <w:t xml:space="preserve"> je določena na VT</w:t>
      </w:r>
      <w:r w:rsidR="00C8079B" w:rsidRPr="00545EC0">
        <w:rPr>
          <w:rFonts w:cs="Arial"/>
        </w:rPr>
        <w:t>,</w:t>
      </w:r>
      <w:r w:rsidRPr="00545EC0">
        <w:rPr>
          <w:rFonts w:cs="Arial"/>
        </w:rPr>
        <w:t xml:space="preserve"> ko so izpolnjeni sledeči pogoji: </w:t>
      </w:r>
    </w:p>
    <w:p w14:paraId="7537E88A" w14:textId="77777777" w:rsidR="00D7338C" w:rsidRPr="00545EC0" w:rsidRDefault="00D7338C"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 xml:space="preserve">Stanje VT, na osnovi rezultatov monitoringa, je ocenjeno kot dobro ali zelo dobro. Morebitne pomembne obremenitve na VT niso opredeljene. Skupna ocena vpliva prihodnjega razvoja kaže na </w:t>
      </w:r>
      <w:r w:rsidR="00C8079B" w:rsidRPr="00545EC0">
        <w:rPr>
          <w:rFonts w:cs="Arial"/>
          <w:lang w:val="sl-SI"/>
        </w:rPr>
        <w:t xml:space="preserve">tveganje za </w:t>
      </w:r>
      <w:r w:rsidRPr="00545EC0">
        <w:rPr>
          <w:rFonts w:cs="Arial"/>
          <w:lang w:val="sl-SI"/>
        </w:rPr>
        <w:t>morebitno poslabšanje stanja zaradi prihodnjega razvoja in novih posegov</w:t>
      </w:r>
    </w:p>
    <w:p w14:paraId="7CE0EF37" w14:textId="27860353" w:rsidR="00D7338C" w:rsidRPr="00545EC0" w:rsidRDefault="00D7338C"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Ocena stanj</w:t>
      </w:r>
      <w:r w:rsidR="00E250EE" w:rsidRPr="00545EC0">
        <w:rPr>
          <w:rFonts w:cs="Arial"/>
          <w:lang w:val="sl-SI"/>
        </w:rPr>
        <w:t>a</w:t>
      </w:r>
      <w:r w:rsidRPr="00545EC0">
        <w:rPr>
          <w:rFonts w:cs="Arial"/>
          <w:lang w:val="sl-SI"/>
        </w:rPr>
        <w:t xml:space="preserve"> VT, na osnovi rezultatov monitoringa, kaže, da stanje ni dobro. Morebitne pomembne obremenitve na VT niso opredeljene. Skupna ocena vpliva prihodnjega razvoja kaže</w:t>
      </w:r>
      <w:r w:rsidR="0064584D" w:rsidRPr="00545EC0">
        <w:rPr>
          <w:rFonts w:cs="Arial"/>
          <w:lang w:val="sl-SI"/>
        </w:rPr>
        <w:t>,</w:t>
      </w:r>
      <w:r w:rsidRPr="00545EC0">
        <w:rPr>
          <w:rFonts w:cs="Arial"/>
          <w:lang w:val="sl-SI"/>
        </w:rPr>
        <w:t xml:space="preserve"> da bo izvajanje ukrepov imelo pozitiven vpliv na stanje voda.</w:t>
      </w:r>
    </w:p>
    <w:p w14:paraId="5C45FF33" w14:textId="77777777" w:rsidR="00D7338C" w:rsidRPr="00545EC0" w:rsidRDefault="00D7338C"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Stanje VT, na osnovi rezultatov monitoringa, je ocenjeno kot dobro ali zelo dobro. Na VT so prisotne morebitne pomembne obremenitve. Skupna ocena vpliva prihodnjega razvoja kaže, da vpliva na stanje voda ni mogoče oceniti oziroma se vpliva na stanje voda ne pričakuje.</w:t>
      </w:r>
    </w:p>
    <w:p w14:paraId="045C28DD" w14:textId="20E102E1" w:rsidR="00D7338C" w:rsidRPr="00545EC0" w:rsidRDefault="00D7338C"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Ocena stanj</w:t>
      </w:r>
      <w:r w:rsidR="00E250EE" w:rsidRPr="00545EC0">
        <w:rPr>
          <w:rFonts w:cs="Arial"/>
          <w:lang w:val="sl-SI"/>
        </w:rPr>
        <w:t>a</w:t>
      </w:r>
      <w:r w:rsidRPr="00545EC0">
        <w:rPr>
          <w:rFonts w:cs="Arial"/>
          <w:lang w:val="sl-SI"/>
        </w:rPr>
        <w:t xml:space="preserve"> VT, na osnovi rezultatov monitoringa, kaže, da stanje ni dobro. </w:t>
      </w:r>
      <w:r w:rsidR="00C8079B" w:rsidRPr="00545EC0">
        <w:rPr>
          <w:rFonts w:cs="Arial"/>
          <w:lang w:val="sl-SI"/>
        </w:rPr>
        <w:t xml:space="preserve">Na VT so prisotne morebitne pomembne obremenitve. </w:t>
      </w:r>
      <w:r w:rsidRPr="00545EC0">
        <w:rPr>
          <w:rFonts w:cs="Arial"/>
          <w:lang w:val="sl-SI"/>
        </w:rPr>
        <w:t>Skupna ocena vpliva prihodnjega razvoja kaže da bo izvajanje ukrepov imelo pozitiven vpliv na stanje voda.</w:t>
      </w:r>
    </w:p>
    <w:p w14:paraId="5E9857E3" w14:textId="77777777" w:rsidR="00DA326B" w:rsidRPr="00545EC0" w:rsidRDefault="00DA326B" w:rsidP="00C8079B">
      <w:pPr>
        <w:ind w:left="720"/>
        <w:rPr>
          <w:rFonts w:cs="Arial"/>
        </w:rPr>
      </w:pPr>
    </w:p>
    <w:p w14:paraId="157082BF" w14:textId="73382A9B" w:rsidR="00DA326B" w:rsidRPr="00545EC0" w:rsidRDefault="00DA326B" w:rsidP="00DA326B">
      <w:pPr>
        <w:rPr>
          <w:rFonts w:cs="Arial"/>
        </w:rPr>
      </w:pPr>
      <w:r w:rsidRPr="00545EC0">
        <w:rPr>
          <w:rFonts w:cs="Arial"/>
        </w:rPr>
        <w:t xml:space="preserve">Ocena verjetnosti, da vodna telesa površinskih voda ne </w:t>
      </w:r>
      <w:r w:rsidR="00C8079B" w:rsidRPr="00545EC0">
        <w:rPr>
          <w:rFonts w:cs="Arial"/>
        </w:rPr>
        <w:t>bodo dosegla zanje določenih</w:t>
      </w:r>
      <w:r w:rsidRPr="00545EC0">
        <w:rPr>
          <w:rFonts w:cs="Arial"/>
        </w:rPr>
        <w:t xml:space="preserve"> okoljsk</w:t>
      </w:r>
      <w:r w:rsidR="00C8079B" w:rsidRPr="00545EC0">
        <w:rPr>
          <w:rFonts w:cs="Arial"/>
        </w:rPr>
        <w:t>ih</w:t>
      </w:r>
      <w:r w:rsidRPr="00545EC0">
        <w:rPr>
          <w:rFonts w:cs="Arial"/>
        </w:rPr>
        <w:t xml:space="preserve"> cilje</w:t>
      </w:r>
      <w:r w:rsidR="00C8079B" w:rsidRPr="00545EC0">
        <w:rPr>
          <w:rFonts w:cs="Arial"/>
        </w:rPr>
        <w:t>v</w:t>
      </w:r>
      <w:r w:rsidR="0064584D" w:rsidRPr="00545EC0">
        <w:rPr>
          <w:rFonts w:cs="Arial"/>
        </w:rPr>
        <w:t>,</w:t>
      </w:r>
      <w:r w:rsidRPr="00545EC0">
        <w:rPr>
          <w:rFonts w:cs="Arial"/>
        </w:rPr>
        <w:t xml:space="preserve"> je določena na VT</w:t>
      </w:r>
      <w:r w:rsidR="00C8079B" w:rsidRPr="00545EC0">
        <w:rPr>
          <w:rFonts w:cs="Arial"/>
        </w:rPr>
        <w:t>,</w:t>
      </w:r>
      <w:r w:rsidRPr="00545EC0">
        <w:rPr>
          <w:rFonts w:cs="Arial"/>
        </w:rPr>
        <w:t xml:space="preserve"> ko so izpolnjeni sledeči pogoji, in sicer:</w:t>
      </w:r>
    </w:p>
    <w:p w14:paraId="1854A6B7" w14:textId="00A54ABA" w:rsidR="00C8079B" w:rsidRPr="00545EC0" w:rsidRDefault="00C8079B"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Ocena stanj</w:t>
      </w:r>
      <w:r w:rsidR="00E250EE" w:rsidRPr="00545EC0">
        <w:rPr>
          <w:rFonts w:cs="Arial"/>
          <w:lang w:val="sl-SI"/>
        </w:rPr>
        <w:t>a</w:t>
      </w:r>
      <w:r w:rsidRPr="00545EC0">
        <w:rPr>
          <w:rFonts w:cs="Arial"/>
          <w:lang w:val="sl-SI"/>
        </w:rPr>
        <w:t xml:space="preserve"> VT, na osnovi rezultatov monitoringa, kaže, da stanje ni dobro. Morebitne pomembne obremenitve na VT niso opredeljene. Skupna ocena vpliva prihodnjega razvoja kaže, da vpliva na stanje voda ni mogoče oceniti oziroma se vpliva na stanje voda ne pričakuje.</w:t>
      </w:r>
    </w:p>
    <w:p w14:paraId="028C7F58" w14:textId="60308454" w:rsidR="00C8079B" w:rsidRPr="00545EC0" w:rsidRDefault="00C8079B"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Ocena stanj</w:t>
      </w:r>
      <w:r w:rsidR="00E250EE" w:rsidRPr="00545EC0">
        <w:rPr>
          <w:rFonts w:cs="Arial"/>
          <w:lang w:val="sl-SI"/>
        </w:rPr>
        <w:t>a</w:t>
      </w:r>
      <w:r w:rsidRPr="00545EC0">
        <w:rPr>
          <w:rFonts w:cs="Arial"/>
          <w:lang w:val="sl-SI"/>
        </w:rPr>
        <w:t xml:space="preserve"> VT, na osnovi rezultatov monitoringa, kaže, da stanje ni dobro. Morebitne pomembne obremenitve na VT niso opredeljene. Skupna ocena vpliva prihodnjega razvoja kaže na tveganje za morebitno poslabšanje stanja zaradi prihodnjega razvoja in novih posegov.</w:t>
      </w:r>
    </w:p>
    <w:p w14:paraId="62FE03AC" w14:textId="77777777" w:rsidR="00D7338C" w:rsidRPr="00545EC0" w:rsidRDefault="00C8079B"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Stanje VT, na osnovi rezultatov monitoringa, je ocenjeno kot dobro ali zelo dobro. Na VT so prisotne morebitne pomembne obremenitve. Skupna ocena vpliva prihodnjega razvoja kaže na tveganje za morebitno poslabšanje stanja zaradi prihodnjega razvoja in novih posegov.</w:t>
      </w:r>
    </w:p>
    <w:p w14:paraId="45DFB9E0" w14:textId="405184A6" w:rsidR="00C8079B" w:rsidRPr="00545EC0" w:rsidRDefault="00C8079B"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Ocena stanj</w:t>
      </w:r>
      <w:r w:rsidR="00E250EE" w:rsidRPr="00545EC0">
        <w:rPr>
          <w:rFonts w:cs="Arial"/>
          <w:lang w:val="sl-SI"/>
        </w:rPr>
        <w:t>a</w:t>
      </w:r>
      <w:r w:rsidRPr="00545EC0">
        <w:rPr>
          <w:rFonts w:cs="Arial"/>
          <w:lang w:val="sl-SI"/>
        </w:rPr>
        <w:t xml:space="preserve"> VT, na osnovi rezultatov monitoringa, kaže, da stanje ni dobro. Na VT so prisotne morebitne pomembne obremenitve. Skupna ocena vpliva prihodnjega razvoja kaže, da vpliva na stanje voda ni mogoče oceniti oziroma se vpliva na stanje voda ne pričakuje.</w:t>
      </w:r>
    </w:p>
    <w:p w14:paraId="32EA8F6E" w14:textId="125ABC75" w:rsidR="00C8079B" w:rsidRPr="00545EC0" w:rsidRDefault="00C8079B"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Ocena stanj</w:t>
      </w:r>
      <w:r w:rsidR="00E250EE" w:rsidRPr="00545EC0">
        <w:rPr>
          <w:rFonts w:cs="Arial"/>
          <w:lang w:val="sl-SI"/>
        </w:rPr>
        <w:t>a</w:t>
      </w:r>
      <w:r w:rsidRPr="00545EC0">
        <w:rPr>
          <w:rFonts w:cs="Arial"/>
          <w:lang w:val="sl-SI"/>
        </w:rPr>
        <w:t xml:space="preserve"> VT, na osnovi rezultatov monitoringa, kaže, da stanje ni dobro. Na VT so prisotne morebitne pomembne obremenitve. Skupna ocena vpliva prihodnjega razvoja kaže na tveganje za morebitno poslabšanje stanja zaradi prihodnjega razvoja in novih posegov.</w:t>
      </w:r>
    </w:p>
    <w:bookmarkEnd w:id="348"/>
    <w:p w14:paraId="5D73FA2C" w14:textId="5F0E54C0" w:rsidR="00B305B7" w:rsidRPr="00545EC0" w:rsidRDefault="00B305B7" w:rsidP="00BF52D7">
      <w:pPr>
        <w:rPr>
          <w:rFonts w:cs="Arial"/>
          <w:i/>
        </w:rPr>
      </w:pPr>
    </w:p>
    <w:p w14:paraId="43D63978" w14:textId="1212C885" w:rsidR="00145356" w:rsidRPr="00545EC0" w:rsidRDefault="00145356" w:rsidP="00BF52D7">
      <w:pPr>
        <w:rPr>
          <w:rFonts w:cs="Arial"/>
          <w:b/>
          <w:bCs/>
          <w:i/>
          <w:u w:val="single"/>
        </w:rPr>
      </w:pPr>
      <w:r w:rsidRPr="00545EC0">
        <w:rPr>
          <w:rFonts w:cs="Arial"/>
          <w:b/>
          <w:bCs/>
          <w:u w:val="single"/>
        </w:rPr>
        <w:t>Končna ocena verjetnosti doseganja okoljskih ciljev za vodna telesa površinskih voda</w:t>
      </w:r>
    </w:p>
    <w:p w14:paraId="7DA939CD" w14:textId="77777777" w:rsidR="00145356" w:rsidRPr="00545EC0" w:rsidRDefault="00145356" w:rsidP="00BF52D7">
      <w:pPr>
        <w:rPr>
          <w:rFonts w:cs="Arial"/>
          <w:i/>
        </w:rPr>
      </w:pPr>
    </w:p>
    <w:p w14:paraId="297A9D9A" w14:textId="77777777" w:rsidR="000C25B1" w:rsidRPr="00545EC0" w:rsidRDefault="00250276" w:rsidP="00250276">
      <w:pPr>
        <w:rPr>
          <w:rFonts w:cs="Arial"/>
        </w:rPr>
      </w:pPr>
      <w:bookmarkStart w:id="351" w:name="_Hlk84463813"/>
      <w:r w:rsidRPr="00545EC0">
        <w:rPr>
          <w:rFonts w:cs="Arial"/>
        </w:rPr>
        <w:t xml:space="preserve">Končna ocena verjetnosti doseganja okoljskih ciljev za posamezno VT je pripravljena ob upoštevanju pomembnih obremenitev, ocene ekološkega in kemijskega stanja vodnih teles površinskih voda, </w:t>
      </w:r>
      <w:r w:rsidRPr="00545EC0">
        <w:rPr>
          <w:rFonts w:cs="Arial"/>
        </w:rPr>
        <w:lastRenderedPageBreak/>
        <w:t xml:space="preserve">skupne ocene vpliva izvedenih ukrepov in ukrepov v izvajanju ter prihodnjega razvoja na podlagi razpoložljivih sektorskih podatkov. </w:t>
      </w:r>
    </w:p>
    <w:p w14:paraId="03559412" w14:textId="77777777" w:rsidR="000C25B1" w:rsidRPr="00545EC0" w:rsidRDefault="000C25B1" w:rsidP="00250276">
      <w:pPr>
        <w:rPr>
          <w:rFonts w:cs="Arial"/>
        </w:rPr>
      </w:pPr>
    </w:p>
    <w:p w14:paraId="7621984F" w14:textId="5FFCE121" w:rsidR="00250276" w:rsidRPr="00545EC0" w:rsidRDefault="00250276" w:rsidP="00250276">
      <w:pPr>
        <w:rPr>
          <w:rFonts w:cs="Arial"/>
        </w:rPr>
      </w:pPr>
      <w:r w:rsidRPr="00545EC0">
        <w:rPr>
          <w:rFonts w:cs="Arial"/>
        </w:rPr>
        <w:t>Ocena verjetnosti doseganja okoljskih ciljev do leta 2027 za posamezno vodno telo površinskih voda zajema oceno verjetnosti, da vodna telesa površinskih voda ne bodo dosegla okoljskih ciljev zaradi vplivov onesnaževanja s hranili, organskimi snovmi, posebnimi onesnaževali, prednostnimi in prednostno nevarnimi snovmi ter zaradi vplivov hidromorfoloških obremenitev. Za skupno oceno verjetnosti doseganja okoljskih ciljev za posamezno vodno telo je uporabljena najneugodnejša ocena.</w:t>
      </w:r>
    </w:p>
    <w:p w14:paraId="01DD12A7" w14:textId="051E2B4B" w:rsidR="00250276" w:rsidRPr="00545EC0" w:rsidRDefault="00250276" w:rsidP="00250276">
      <w:pPr>
        <w:pStyle w:val="Besedilo"/>
        <w:rPr>
          <w:lang w:val="sl-SI"/>
        </w:rPr>
      </w:pPr>
    </w:p>
    <w:p w14:paraId="37C05010" w14:textId="6FB24587" w:rsidR="000C25B1" w:rsidRPr="00545EC0" w:rsidRDefault="000C25B1" w:rsidP="000C25B1">
      <w:pPr>
        <w:rPr>
          <w:rFonts w:cs="Arial"/>
        </w:rPr>
      </w:pPr>
      <w:r w:rsidRPr="00545EC0">
        <w:rPr>
          <w:rFonts w:cs="Arial"/>
        </w:rPr>
        <w:t xml:space="preserve">Na podlagi navedene metodologije je ocenjeno, da v Sloveniji do leta 2027 19 % vodnih teles površinskih voda ne bo doseglo cilja dobrega ekološkega stanja zaradi onesnaževanja s hranili, 12 % vodnih teles površinskih voda ne bo doseglo cilja dobrega ekološkega stanja zaradi organskega onesnaževanja, </w:t>
      </w:r>
      <w:r w:rsidR="00A70440" w:rsidRPr="00545EC0">
        <w:rPr>
          <w:rFonts w:cs="Arial"/>
        </w:rPr>
        <w:t>9</w:t>
      </w:r>
      <w:r w:rsidRPr="00545EC0">
        <w:rPr>
          <w:rFonts w:cs="Arial"/>
        </w:rPr>
        <w:t xml:space="preserve"> % vodnih teles površinskih voda ne bo doseglo cilja dobrega ekološkega stanja zaradi onesnaževanja s posebnimi onesnaževali in da 35 % vodnih teles površinskih voda ne bo doseglo cilja dobrega ekološkega stanja zaradi hidromorfološke spremenjenost/splošne degradiranosti (</w:t>
      </w:r>
      <w:r w:rsidRPr="00545EC0">
        <w:rPr>
          <w:rFonts w:cs="Arial"/>
        </w:rPr>
        <w:fldChar w:fldCharType="begin"/>
      </w:r>
      <w:r w:rsidRPr="00545EC0">
        <w:rPr>
          <w:rFonts w:cs="Arial"/>
        </w:rPr>
        <w:instrText xml:space="preserve"> REF _Ref84465676 \h </w:instrText>
      </w:r>
      <w:r w:rsidR="00F37A91" w:rsidRPr="00545EC0">
        <w:rPr>
          <w:rFonts w:cs="Arial"/>
        </w:rPr>
        <w:instrText xml:space="preserve"> \* MERGEFORMAT </w:instrText>
      </w:r>
      <w:r w:rsidRPr="00545EC0">
        <w:rPr>
          <w:rFonts w:cs="Arial"/>
        </w:rPr>
      </w:r>
      <w:r w:rsidRPr="00545EC0">
        <w:rPr>
          <w:rFonts w:cs="Arial"/>
        </w:rPr>
        <w:fldChar w:fldCharType="separate"/>
      </w:r>
      <w:r w:rsidR="002F3E43" w:rsidRPr="00545EC0">
        <w:t xml:space="preserve">Slika </w:t>
      </w:r>
      <w:r w:rsidR="002F3E43">
        <w:rPr>
          <w:noProof/>
        </w:rPr>
        <w:t>2</w:t>
      </w:r>
      <w:r w:rsidR="002F3E43" w:rsidRPr="00545EC0">
        <w:rPr>
          <w:noProof/>
        </w:rPr>
        <w:noBreakHyphen/>
      </w:r>
      <w:r w:rsidR="002F3E43">
        <w:rPr>
          <w:noProof/>
        </w:rPr>
        <w:t>41</w:t>
      </w:r>
      <w:r w:rsidRPr="00545EC0">
        <w:rPr>
          <w:rFonts w:cs="Arial"/>
        </w:rPr>
        <w:fldChar w:fldCharType="end"/>
      </w:r>
      <w:r w:rsidRPr="00545EC0">
        <w:rPr>
          <w:rFonts w:cs="Arial"/>
        </w:rPr>
        <w:t>).</w:t>
      </w:r>
    </w:p>
    <w:p w14:paraId="235DB3C0" w14:textId="77777777" w:rsidR="000C25B1" w:rsidRPr="00545EC0" w:rsidRDefault="000C25B1" w:rsidP="000C25B1">
      <w:pPr>
        <w:rPr>
          <w:rFonts w:cs="Arial"/>
        </w:rPr>
      </w:pPr>
    </w:p>
    <w:p w14:paraId="041458E9" w14:textId="370794AF" w:rsidR="00250276" w:rsidRPr="00545EC0" w:rsidRDefault="00335AB4" w:rsidP="00250276">
      <w:pPr>
        <w:rPr>
          <w:rFonts w:cs="Arial"/>
        </w:rPr>
      </w:pPr>
      <w:r w:rsidRPr="00545EC0">
        <w:rPr>
          <w:rFonts w:cs="Arial"/>
          <w:noProof/>
        </w:rPr>
        <w:drawing>
          <wp:inline distT="0" distB="0" distL="0" distR="0" wp14:anchorId="003601B1" wp14:editId="6A92038E">
            <wp:extent cx="5743924" cy="4921250"/>
            <wp:effectExtent l="0" t="0" r="9525"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44447" cy="4921698"/>
                    </a:xfrm>
                    <a:prstGeom prst="rect">
                      <a:avLst/>
                    </a:prstGeom>
                    <a:noFill/>
                  </pic:spPr>
                </pic:pic>
              </a:graphicData>
            </a:graphic>
          </wp:inline>
        </w:drawing>
      </w:r>
    </w:p>
    <w:p w14:paraId="1386AB9A" w14:textId="686F34BA" w:rsidR="00145356" w:rsidRPr="00545EC0" w:rsidRDefault="00145356" w:rsidP="00145356">
      <w:pPr>
        <w:pStyle w:val="Napis"/>
      </w:pPr>
      <w:bookmarkStart w:id="352" w:name="_Ref84465676"/>
      <w:bookmarkStart w:id="353" w:name="_Ref84465671"/>
      <w:r w:rsidRPr="00545EC0">
        <w:t xml:space="preserve">Slika </w:t>
      </w:r>
      <w:fldSimple w:instr=" STYLEREF 1 \s ">
        <w:r w:rsidR="002F3E43">
          <w:rPr>
            <w:noProof/>
          </w:rPr>
          <w:t>2</w:t>
        </w:r>
      </w:fldSimple>
      <w:r w:rsidR="00396E1E" w:rsidRPr="00545EC0">
        <w:noBreakHyphen/>
      </w:r>
      <w:fldSimple w:instr=" SEQ Slika \* ARABIC \s 1 ">
        <w:r w:rsidR="002F3E43">
          <w:rPr>
            <w:noProof/>
          </w:rPr>
          <w:t>41</w:t>
        </w:r>
      </w:fldSimple>
      <w:bookmarkEnd w:id="352"/>
      <w:r w:rsidRPr="00545EC0">
        <w:t>: Delež vodnih teles  površinskih voda (%) glede na razred ocene verjetnosti doseganja okoljskih ciljev (OVDOC) do leta 2027</w:t>
      </w:r>
      <w:bookmarkEnd w:id="353"/>
    </w:p>
    <w:p w14:paraId="6CF3FE3E" w14:textId="77777777" w:rsidR="00250276" w:rsidRPr="00545EC0" w:rsidRDefault="00250276" w:rsidP="00250276">
      <w:pPr>
        <w:rPr>
          <w:rFonts w:cs="Arial"/>
        </w:rPr>
      </w:pPr>
    </w:p>
    <w:p w14:paraId="2854D650" w14:textId="24F64A1F" w:rsidR="00250276" w:rsidRPr="00545EC0" w:rsidRDefault="00250276" w:rsidP="00250276">
      <w:pPr>
        <w:rPr>
          <w:rFonts w:cs="Arial"/>
        </w:rPr>
      </w:pPr>
      <w:r w:rsidRPr="00545EC0">
        <w:rPr>
          <w:rFonts w:cs="Arial"/>
        </w:rPr>
        <w:lastRenderedPageBreak/>
        <w:t xml:space="preserve">Zaradi onesnaževanja s hranili na VO Donave okoljski cilji ne bodo doseženi na </w:t>
      </w:r>
      <w:r w:rsidR="00D9716C" w:rsidRPr="00545EC0">
        <w:rPr>
          <w:rFonts w:cs="Arial"/>
        </w:rPr>
        <w:t>27</w:t>
      </w:r>
      <w:r w:rsidRPr="00545EC0">
        <w:rPr>
          <w:rFonts w:cs="Arial"/>
        </w:rPr>
        <w:t xml:space="preserve"> VTPV (</w:t>
      </w:r>
      <w:r w:rsidR="00D9716C" w:rsidRPr="00545EC0">
        <w:rPr>
          <w:rFonts w:cs="Arial"/>
        </w:rPr>
        <w:t>22</w:t>
      </w:r>
      <w:r w:rsidRPr="00545EC0">
        <w:rPr>
          <w:rFonts w:cs="Arial"/>
        </w:rPr>
        <w:t xml:space="preserve"> %) od 121 VT. Okoljski cilji morda bodo ali morda ne bodo doseženi na </w:t>
      </w:r>
      <w:r w:rsidR="009A16F5" w:rsidRPr="00545EC0">
        <w:rPr>
          <w:rFonts w:cs="Arial"/>
        </w:rPr>
        <w:t>61</w:t>
      </w:r>
      <w:r w:rsidRPr="00545EC0">
        <w:rPr>
          <w:rFonts w:cs="Arial"/>
        </w:rPr>
        <w:t xml:space="preserve"> VTPV (</w:t>
      </w:r>
      <w:r w:rsidR="009A16F5" w:rsidRPr="00545EC0">
        <w:rPr>
          <w:rFonts w:cs="Arial"/>
        </w:rPr>
        <w:t>50</w:t>
      </w:r>
      <w:r w:rsidRPr="00545EC0">
        <w:rPr>
          <w:rFonts w:cs="Arial"/>
        </w:rPr>
        <w:t>%)</w:t>
      </w:r>
      <w:r w:rsidR="00796403" w:rsidRPr="00545EC0">
        <w:rPr>
          <w:rFonts w:cs="Arial"/>
        </w:rPr>
        <w:t>,</w:t>
      </w:r>
      <w:r w:rsidRPr="00545EC0">
        <w:rPr>
          <w:rFonts w:cs="Arial"/>
        </w:rPr>
        <w:t xml:space="preserve"> medtem ko bo </w:t>
      </w:r>
      <w:r w:rsidR="009A16F5" w:rsidRPr="00545EC0">
        <w:rPr>
          <w:rFonts w:cs="Arial"/>
        </w:rPr>
        <w:t>33</w:t>
      </w:r>
      <w:r w:rsidR="00145356" w:rsidRPr="00545EC0">
        <w:rPr>
          <w:rFonts w:cs="Arial"/>
        </w:rPr>
        <w:t xml:space="preserve"> </w:t>
      </w:r>
      <w:r w:rsidRPr="00545EC0">
        <w:rPr>
          <w:rFonts w:cs="Arial"/>
        </w:rPr>
        <w:t>VT (</w:t>
      </w:r>
      <w:r w:rsidR="009A16F5" w:rsidRPr="00545EC0">
        <w:rPr>
          <w:rFonts w:cs="Arial"/>
        </w:rPr>
        <w:t>27</w:t>
      </w:r>
      <w:r w:rsidRPr="00545EC0">
        <w:rPr>
          <w:rFonts w:cs="Arial"/>
        </w:rPr>
        <w:t xml:space="preserve">%) doseglo zanje zastavljene okoljske cilje glede na trofičnost. </w:t>
      </w:r>
    </w:p>
    <w:p w14:paraId="04B2B5CC" w14:textId="61B82402" w:rsidR="00D9716C" w:rsidRPr="00545EC0" w:rsidRDefault="00D9716C" w:rsidP="00250276">
      <w:pPr>
        <w:rPr>
          <w:rFonts w:cs="Arial"/>
        </w:rPr>
      </w:pPr>
    </w:p>
    <w:p w14:paraId="1207E2E8" w14:textId="4D41E9AA" w:rsidR="00250276" w:rsidRPr="00545EC0" w:rsidRDefault="00250276" w:rsidP="00250276">
      <w:r w:rsidRPr="00545EC0">
        <w:t xml:space="preserve">Zaradi onesnaževanja z organskimi snovmi na VO Donave okoljski cilji ne bodo doseženi na </w:t>
      </w:r>
      <w:r w:rsidR="00D9716C" w:rsidRPr="00545EC0">
        <w:t>17</w:t>
      </w:r>
      <w:r w:rsidRPr="00545EC0">
        <w:t xml:space="preserve"> VTPV (</w:t>
      </w:r>
      <w:r w:rsidR="00D9716C" w:rsidRPr="00545EC0">
        <w:t>14</w:t>
      </w:r>
      <w:r w:rsidRPr="00545EC0">
        <w:t xml:space="preserve"> %) od </w:t>
      </w:r>
      <w:r w:rsidR="00D9716C" w:rsidRPr="00545EC0">
        <w:t>121</w:t>
      </w:r>
      <w:r w:rsidR="0031777E" w:rsidRPr="00545EC0">
        <w:t xml:space="preserve"> </w:t>
      </w:r>
      <w:r w:rsidRPr="00545EC0">
        <w:t xml:space="preserve">VT.  Okoljski cilji morda bodo ali morda ne bodo doseženi na </w:t>
      </w:r>
      <w:r w:rsidR="009A16F5" w:rsidRPr="00545EC0">
        <w:t>35</w:t>
      </w:r>
      <w:r w:rsidRPr="00545EC0">
        <w:t xml:space="preserve"> VTPV (</w:t>
      </w:r>
      <w:r w:rsidR="009A16F5" w:rsidRPr="00545EC0">
        <w:t>29</w:t>
      </w:r>
      <w:r w:rsidRPr="00545EC0">
        <w:t xml:space="preserve"> %)</w:t>
      </w:r>
      <w:r w:rsidR="00796403" w:rsidRPr="00545EC0">
        <w:t>,</w:t>
      </w:r>
      <w:r w:rsidRPr="00545EC0">
        <w:t xml:space="preserve"> medtem ko bo </w:t>
      </w:r>
      <w:r w:rsidR="009A16F5" w:rsidRPr="00545EC0">
        <w:t>69</w:t>
      </w:r>
      <w:r w:rsidR="00D9716C" w:rsidRPr="00545EC0">
        <w:t xml:space="preserve"> </w:t>
      </w:r>
      <w:r w:rsidRPr="00545EC0">
        <w:t>VT (</w:t>
      </w:r>
      <w:r w:rsidR="009A16F5" w:rsidRPr="00545EC0">
        <w:t>57</w:t>
      </w:r>
      <w:r w:rsidRPr="00545EC0">
        <w:t xml:space="preserve">%) </w:t>
      </w:r>
      <w:r w:rsidR="00D9716C" w:rsidRPr="00545EC0">
        <w:t>d</w:t>
      </w:r>
      <w:r w:rsidRPr="00545EC0">
        <w:t>oseglo zanje zastavljene okoljske cilje glede na saprobnost</w:t>
      </w:r>
      <w:r w:rsidR="00145356" w:rsidRPr="00545EC0">
        <w:t>.</w:t>
      </w:r>
      <w:r w:rsidRPr="00545EC0">
        <w:t xml:space="preserve"> </w:t>
      </w:r>
    </w:p>
    <w:p w14:paraId="1F442242" w14:textId="13E30F80" w:rsidR="00D9716C" w:rsidRPr="00545EC0" w:rsidRDefault="00D9716C" w:rsidP="00250276"/>
    <w:p w14:paraId="61A7A24F" w14:textId="4CC77757" w:rsidR="00250276" w:rsidRPr="00545EC0" w:rsidRDefault="00250276" w:rsidP="00250276">
      <w:pPr>
        <w:rPr>
          <w:rFonts w:cs="Arial"/>
        </w:rPr>
      </w:pPr>
      <w:r w:rsidRPr="00545EC0">
        <w:rPr>
          <w:rFonts w:cs="Arial"/>
        </w:rPr>
        <w:t xml:space="preserve">Zaradi onesnaževanja </w:t>
      </w:r>
      <w:r w:rsidR="00796403" w:rsidRPr="00545EC0">
        <w:rPr>
          <w:rFonts w:cs="Arial"/>
        </w:rPr>
        <w:t xml:space="preserve">s </w:t>
      </w:r>
      <w:r w:rsidRPr="00545EC0">
        <w:rPr>
          <w:rFonts w:cs="Arial"/>
        </w:rPr>
        <w:t xml:space="preserve">posebnimi onesnaževali </w:t>
      </w:r>
      <w:r w:rsidRPr="00545EC0">
        <w:t xml:space="preserve">na </w:t>
      </w:r>
      <w:r w:rsidRPr="00545EC0">
        <w:rPr>
          <w:rFonts w:cs="Arial"/>
        </w:rPr>
        <w:t xml:space="preserve">VO Donave okoljski cilji ne bodo doseženi na </w:t>
      </w:r>
      <w:r w:rsidR="009A16F5" w:rsidRPr="00545EC0">
        <w:rPr>
          <w:rFonts w:cs="Arial"/>
        </w:rPr>
        <w:t>14</w:t>
      </w:r>
      <w:r w:rsidRPr="00545EC0">
        <w:rPr>
          <w:rFonts w:cs="Arial"/>
        </w:rPr>
        <w:t xml:space="preserve"> VTPV (</w:t>
      </w:r>
      <w:r w:rsidR="009A16F5" w:rsidRPr="00545EC0">
        <w:rPr>
          <w:rFonts w:cs="Arial"/>
        </w:rPr>
        <w:t>12</w:t>
      </w:r>
      <w:r w:rsidR="00D9716C" w:rsidRPr="00545EC0">
        <w:rPr>
          <w:rFonts w:cs="Arial"/>
        </w:rPr>
        <w:t xml:space="preserve"> </w:t>
      </w:r>
      <w:r w:rsidRPr="00545EC0">
        <w:rPr>
          <w:rFonts w:cs="Arial"/>
        </w:rPr>
        <w:t xml:space="preserve">%) od </w:t>
      </w:r>
      <w:r w:rsidR="00D9716C" w:rsidRPr="00545EC0">
        <w:rPr>
          <w:rFonts w:cs="Arial"/>
        </w:rPr>
        <w:t xml:space="preserve">121 </w:t>
      </w:r>
      <w:r w:rsidRPr="00545EC0">
        <w:rPr>
          <w:rFonts w:cs="Arial"/>
        </w:rPr>
        <w:t xml:space="preserve">VT. Okoljski cilji morda bodo ali morda ne bodo doseženi na </w:t>
      </w:r>
      <w:r w:rsidR="009A16F5" w:rsidRPr="00545EC0">
        <w:rPr>
          <w:rFonts w:cs="Arial"/>
        </w:rPr>
        <w:t>55</w:t>
      </w:r>
      <w:r w:rsidRPr="00545EC0">
        <w:rPr>
          <w:rFonts w:cs="Arial"/>
        </w:rPr>
        <w:t xml:space="preserve"> VTPV (</w:t>
      </w:r>
      <w:r w:rsidR="009A16F5" w:rsidRPr="00545EC0">
        <w:rPr>
          <w:rFonts w:cs="Arial"/>
        </w:rPr>
        <w:t>45</w:t>
      </w:r>
      <w:r w:rsidR="00145356" w:rsidRPr="00545EC0">
        <w:rPr>
          <w:rFonts w:cs="Arial"/>
        </w:rPr>
        <w:t xml:space="preserve"> </w:t>
      </w:r>
      <w:r w:rsidRPr="00545EC0">
        <w:rPr>
          <w:rFonts w:cs="Arial"/>
        </w:rPr>
        <w:t>%)</w:t>
      </w:r>
      <w:r w:rsidR="00796403" w:rsidRPr="00545EC0">
        <w:rPr>
          <w:rFonts w:cs="Arial"/>
        </w:rPr>
        <w:t>,</w:t>
      </w:r>
      <w:r w:rsidRPr="00545EC0">
        <w:rPr>
          <w:rFonts w:cs="Arial"/>
        </w:rPr>
        <w:t xml:space="preserve"> medtem ko bo </w:t>
      </w:r>
      <w:r w:rsidR="009A16F5" w:rsidRPr="00545EC0">
        <w:rPr>
          <w:rFonts w:cs="Arial"/>
        </w:rPr>
        <w:t>52</w:t>
      </w:r>
      <w:r w:rsidRPr="00545EC0">
        <w:rPr>
          <w:rFonts w:cs="Arial"/>
        </w:rPr>
        <w:t xml:space="preserve"> VT (</w:t>
      </w:r>
      <w:r w:rsidR="009A16F5" w:rsidRPr="00545EC0">
        <w:rPr>
          <w:rFonts w:cs="Arial"/>
        </w:rPr>
        <w:t>43</w:t>
      </w:r>
      <w:r w:rsidRPr="00545EC0">
        <w:rPr>
          <w:rFonts w:cs="Arial"/>
        </w:rPr>
        <w:t>%) doseglo zanje zastavljene okoljske cilje glede na posebna onesnaževala</w:t>
      </w:r>
      <w:r w:rsidR="00145356" w:rsidRPr="00545EC0">
        <w:rPr>
          <w:rFonts w:cs="Arial"/>
        </w:rPr>
        <w:t>.</w:t>
      </w:r>
    </w:p>
    <w:p w14:paraId="01A17D83" w14:textId="2B58B753" w:rsidR="00D9716C" w:rsidRPr="00545EC0" w:rsidRDefault="00D9716C" w:rsidP="00250276">
      <w:pPr>
        <w:rPr>
          <w:rFonts w:cs="Arial"/>
        </w:rPr>
      </w:pPr>
    </w:p>
    <w:p w14:paraId="0F6ED15D" w14:textId="1B3A2830" w:rsidR="00250276" w:rsidRPr="00545EC0" w:rsidRDefault="00250276" w:rsidP="00250276">
      <w:r w:rsidRPr="00545EC0">
        <w:rPr>
          <w:rFonts w:cs="Tahoma"/>
        </w:rPr>
        <w:t xml:space="preserve">Zaradi onesnaževanja </w:t>
      </w:r>
      <w:r w:rsidR="00796403" w:rsidRPr="00545EC0">
        <w:rPr>
          <w:rFonts w:cs="Tahoma"/>
        </w:rPr>
        <w:t xml:space="preserve">s </w:t>
      </w:r>
      <w:r w:rsidRPr="00545EC0">
        <w:rPr>
          <w:rFonts w:cs="Tahoma"/>
        </w:rPr>
        <w:t>prednostnimi snovmi</w:t>
      </w:r>
      <w:r w:rsidR="009A16F5" w:rsidRPr="00545EC0">
        <w:rPr>
          <w:rFonts w:cs="Tahoma"/>
        </w:rPr>
        <w:t xml:space="preserve">, brez upoštevanja obstojnih, bioakumulativnih in strupenih (ti. PBT) snovi </w:t>
      </w:r>
      <w:r w:rsidRPr="00545EC0">
        <w:rPr>
          <w:rFonts w:cs="Tahoma"/>
        </w:rPr>
        <w:t xml:space="preserve">na VO Donave okoljski </w:t>
      </w:r>
      <w:r w:rsidRPr="00545EC0">
        <w:rPr>
          <w:rFonts w:cs="Arial"/>
        </w:rPr>
        <w:t>ne bodo doseženi</w:t>
      </w:r>
      <w:r w:rsidRPr="00545EC0">
        <w:rPr>
          <w:rFonts w:cs="Tahoma"/>
        </w:rPr>
        <w:t xml:space="preserve"> na </w:t>
      </w:r>
      <w:r w:rsidR="009A16F5" w:rsidRPr="00545EC0">
        <w:rPr>
          <w:rFonts w:cs="Tahoma"/>
        </w:rPr>
        <w:t xml:space="preserve">dveh vodnih telesih površinskih voda. </w:t>
      </w:r>
      <w:r w:rsidR="009A16F5" w:rsidRPr="00545EC0">
        <w:rPr>
          <w:rFonts w:cs="Arial"/>
        </w:rPr>
        <w:t xml:space="preserve">Okoljski cilji morda bodo ali morda ne bodo doseženi na 5 VT (3%), </w:t>
      </w:r>
      <w:r w:rsidR="009A16F5" w:rsidRPr="00545EC0">
        <w:t xml:space="preserve">medtem ko bo 114 VT (74%) doseglo zanje zastavljene okoljske cilje. </w:t>
      </w:r>
      <w:r w:rsidR="009A16F5" w:rsidRPr="00545EC0">
        <w:rPr>
          <w:rFonts w:cs="Tahoma"/>
        </w:rPr>
        <w:t>Zaradi</w:t>
      </w:r>
      <w:r w:rsidRPr="00545EC0">
        <w:rPr>
          <w:rFonts w:cs="Tahoma"/>
        </w:rPr>
        <w:t xml:space="preserve"> </w:t>
      </w:r>
      <w:r w:rsidR="00145356" w:rsidRPr="00545EC0">
        <w:rPr>
          <w:rFonts w:cs="Tahoma"/>
        </w:rPr>
        <w:t>preseganja okoljskega standarda kakovosti za živo srebro in bromirane difeniletre v bioti</w:t>
      </w:r>
      <w:r w:rsidR="009A16F5" w:rsidRPr="00545EC0">
        <w:rPr>
          <w:rFonts w:cs="Tahoma"/>
        </w:rPr>
        <w:t xml:space="preserve"> na VO Donave okoljski </w:t>
      </w:r>
      <w:r w:rsidR="009A16F5" w:rsidRPr="00545EC0">
        <w:rPr>
          <w:rFonts w:cs="Arial"/>
        </w:rPr>
        <w:t xml:space="preserve">ne bodo doseženi na </w:t>
      </w:r>
      <w:r w:rsidR="009A16F5" w:rsidRPr="00545EC0">
        <w:rPr>
          <w:rFonts w:cs="Tahoma"/>
        </w:rPr>
        <w:t>121 VTPV</w:t>
      </w:r>
      <w:r w:rsidR="00145356" w:rsidRPr="00545EC0">
        <w:rPr>
          <w:rFonts w:cs="Tahoma"/>
        </w:rPr>
        <w:t>.</w:t>
      </w:r>
    </w:p>
    <w:p w14:paraId="2313C594" w14:textId="77777777" w:rsidR="00250276" w:rsidRPr="00545EC0" w:rsidRDefault="00250276" w:rsidP="00250276">
      <w:pPr>
        <w:rPr>
          <w:rFonts w:cs="Arial"/>
          <w:lang w:eastAsia="pl-PL"/>
        </w:rPr>
      </w:pPr>
    </w:p>
    <w:p w14:paraId="2DC3B1BF" w14:textId="74ADFDC4" w:rsidR="00250276" w:rsidRPr="00545EC0" w:rsidRDefault="00250276" w:rsidP="00250276">
      <w:pPr>
        <w:rPr>
          <w:rFonts w:cs="Tahoma"/>
        </w:rPr>
      </w:pPr>
      <w:r w:rsidRPr="00545EC0">
        <w:rPr>
          <w:rFonts w:cs="Arial"/>
          <w:lang w:eastAsia="pl-PL"/>
        </w:rPr>
        <w:t xml:space="preserve">Zaradi hidromorfoloških obremenitev </w:t>
      </w:r>
      <w:r w:rsidRPr="00545EC0">
        <w:rPr>
          <w:rFonts w:cs="Arial"/>
        </w:rPr>
        <w:t xml:space="preserve">VO Donava </w:t>
      </w:r>
      <w:r w:rsidRPr="00545EC0">
        <w:rPr>
          <w:rFonts w:cs="Arial"/>
          <w:lang w:eastAsia="pl-PL"/>
        </w:rPr>
        <w:t xml:space="preserve">okoljski cilji ne bodo doseženi na </w:t>
      </w:r>
      <w:r w:rsidR="00D9716C" w:rsidRPr="00545EC0">
        <w:rPr>
          <w:rFonts w:cs="Arial"/>
          <w:lang w:eastAsia="pl-PL"/>
        </w:rPr>
        <w:t xml:space="preserve">49 </w:t>
      </w:r>
      <w:r w:rsidRPr="00545EC0">
        <w:rPr>
          <w:rFonts w:cs="Arial"/>
          <w:lang w:eastAsia="pl-PL"/>
        </w:rPr>
        <w:t>VT (</w:t>
      </w:r>
      <w:r w:rsidR="00D9716C" w:rsidRPr="00545EC0">
        <w:rPr>
          <w:rFonts w:cs="Arial"/>
          <w:lang w:eastAsia="pl-PL"/>
        </w:rPr>
        <w:t xml:space="preserve">40 </w:t>
      </w:r>
      <w:r w:rsidRPr="00545EC0">
        <w:rPr>
          <w:rFonts w:cs="Arial"/>
          <w:lang w:eastAsia="pl-PL"/>
        </w:rPr>
        <w:t xml:space="preserve">%) od 121 VT. </w:t>
      </w:r>
      <w:r w:rsidR="0031777E" w:rsidRPr="00545EC0">
        <w:rPr>
          <w:rFonts w:cs="Arial"/>
        </w:rPr>
        <w:t>O</w:t>
      </w:r>
      <w:r w:rsidRPr="00545EC0">
        <w:rPr>
          <w:rFonts w:cs="Arial"/>
        </w:rPr>
        <w:t xml:space="preserve">koljski cilji morda bodo ali morda ne bodo doseženi na </w:t>
      </w:r>
      <w:r w:rsidR="00D9716C" w:rsidRPr="00545EC0">
        <w:rPr>
          <w:rFonts w:cs="Arial"/>
        </w:rPr>
        <w:t>64</w:t>
      </w:r>
      <w:r w:rsidRPr="00545EC0">
        <w:rPr>
          <w:rFonts w:cs="Arial"/>
        </w:rPr>
        <w:t xml:space="preserve"> VTPV (</w:t>
      </w:r>
      <w:r w:rsidR="00D9716C" w:rsidRPr="00545EC0">
        <w:rPr>
          <w:rFonts w:cs="Arial"/>
        </w:rPr>
        <w:t>53</w:t>
      </w:r>
      <w:r w:rsidRPr="00545EC0">
        <w:rPr>
          <w:rFonts w:cs="Arial"/>
        </w:rPr>
        <w:t xml:space="preserve"> %)</w:t>
      </w:r>
      <w:r w:rsidR="00796403" w:rsidRPr="00545EC0">
        <w:rPr>
          <w:rFonts w:cs="Arial"/>
        </w:rPr>
        <w:t>,</w:t>
      </w:r>
      <w:r w:rsidRPr="00545EC0">
        <w:rPr>
          <w:rFonts w:cs="Arial"/>
        </w:rPr>
        <w:t xml:space="preserve"> medtem ko bo </w:t>
      </w:r>
      <w:r w:rsidR="00D9716C" w:rsidRPr="00545EC0">
        <w:rPr>
          <w:rFonts w:cs="Arial"/>
        </w:rPr>
        <w:t>8</w:t>
      </w:r>
      <w:r w:rsidRPr="00545EC0">
        <w:rPr>
          <w:rFonts w:cs="Arial"/>
        </w:rPr>
        <w:t xml:space="preserve"> VT (</w:t>
      </w:r>
      <w:r w:rsidR="00D9716C" w:rsidRPr="00545EC0">
        <w:rPr>
          <w:rFonts w:cs="Arial"/>
        </w:rPr>
        <w:t>7</w:t>
      </w:r>
      <w:r w:rsidRPr="00545EC0">
        <w:rPr>
          <w:rFonts w:cs="Arial"/>
        </w:rPr>
        <w:t xml:space="preserve"> %) doseglo zanje zastavljene okoljske cilje glede na hidromorfološke obremenitve</w:t>
      </w:r>
      <w:r w:rsidR="00145356" w:rsidRPr="00545EC0">
        <w:rPr>
          <w:rFonts w:cs="Arial"/>
        </w:rPr>
        <w:t>.</w:t>
      </w:r>
    </w:p>
    <w:p w14:paraId="0ABDC189" w14:textId="77777777" w:rsidR="00D9716C" w:rsidRPr="00545EC0" w:rsidRDefault="00D9716C" w:rsidP="00250276">
      <w:pPr>
        <w:rPr>
          <w:rFonts w:cs="Tahoma"/>
        </w:rPr>
      </w:pPr>
    </w:p>
    <w:p w14:paraId="796903A3" w14:textId="77777777" w:rsidR="000D541E" w:rsidRPr="00545EC0" w:rsidRDefault="00530160" w:rsidP="00BF52D7">
      <w:pPr>
        <w:pStyle w:val="Naslov4"/>
        <w:rPr>
          <w:rFonts w:cs="Arial"/>
          <w:color w:val="auto"/>
          <w:lang w:val="sl-SI"/>
        </w:rPr>
      </w:pPr>
      <w:bookmarkStart w:id="354" w:name="_Toc419099256"/>
      <w:bookmarkEnd w:id="351"/>
      <w:r w:rsidRPr="00545EC0">
        <w:rPr>
          <w:rFonts w:cs="Arial"/>
          <w:color w:val="auto"/>
          <w:lang w:val="sl-SI"/>
        </w:rPr>
        <w:br w:type="page"/>
      </w:r>
      <w:r w:rsidR="000D541E" w:rsidRPr="00545EC0">
        <w:rPr>
          <w:color w:val="auto"/>
        </w:rPr>
        <w:lastRenderedPageBreak/>
        <w:t xml:space="preserve">Ocena verjetnosti doseganja okoljskih ciljev za </w:t>
      </w:r>
      <w:r w:rsidR="00BF52D7" w:rsidRPr="00545EC0">
        <w:rPr>
          <w:color w:val="auto"/>
          <w:lang w:val="sl-SI"/>
        </w:rPr>
        <w:t>vodna telesa podzemnih voda</w:t>
      </w:r>
      <w:bookmarkEnd w:id="354"/>
    </w:p>
    <w:p w14:paraId="31229CF2" w14:textId="77777777" w:rsidR="00955D76" w:rsidRPr="00545EC0" w:rsidRDefault="00955D76" w:rsidP="00955D76">
      <w:pPr>
        <w:rPr>
          <w:rFonts w:cs="Arial"/>
          <w:b/>
          <w:bCs/>
          <w:lang w:eastAsia="pl-PL"/>
        </w:rPr>
      </w:pPr>
      <w:bookmarkStart w:id="355" w:name="_Toc419099257"/>
      <w:bookmarkStart w:id="356" w:name="_Toc417058069"/>
      <w:r w:rsidRPr="00545EC0">
        <w:rPr>
          <w:rFonts w:cs="Arial"/>
          <w:b/>
          <w:bCs/>
          <w:lang w:eastAsia="pl-PL"/>
        </w:rPr>
        <w:t>Ocena verjetnosti doseganja okoljskih ciljev za kemijsko stanje vodnih teles podzemnih voda</w:t>
      </w:r>
    </w:p>
    <w:p w14:paraId="17EBCF00" w14:textId="77777777" w:rsidR="00955D76" w:rsidRPr="00545EC0" w:rsidRDefault="00955D76" w:rsidP="00955D76">
      <w:pPr>
        <w:rPr>
          <w:rFonts w:cs="Arial"/>
          <w:lang w:eastAsia="pl-PL"/>
        </w:rPr>
      </w:pPr>
    </w:p>
    <w:p w14:paraId="4C70F9BB" w14:textId="686FB2EB" w:rsidR="00955D76" w:rsidRPr="00545EC0" w:rsidRDefault="00955D76" w:rsidP="00955D76">
      <w:pPr>
        <w:rPr>
          <w:rFonts w:cs="Arial"/>
          <w:lang w:eastAsia="pl-PL"/>
        </w:rPr>
      </w:pPr>
      <w:r w:rsidRPr="00545EC0">
        <w:rPr>
          <w:rFonts w:cs="Arial"/>
          <w:lang w:eastAsia="pl-PL"/>
        </w:rPr>
        <w:t xml:space="preserve">Ocena verjetnosti doseganja okoljskih ciljev za vodna telesa podzemnih voda do leta 2027 je </w:t>
      </w:r>
      <w:r w:rsidR="00C12042" w:rsidRPr="00545EC0">
        <w:rPr>
          <w:rFonts w:cs="Arial"/>
          <w:lang w:eastAsia="pl-PL"/>
        </w:rPr>
        <w:t>pripravljena</w:t>
      </w:r>
      <w:r w:rsidRPr="00545EC0">
        <w:rPr>
          <w:rFonts w:cs="Arial"/>
          <w:lang w:eastAsia="pl-PL"/>
        </w:rPr>
        <w:t xml:space="preserve"> ob upoštevanju:</w:t>
      </w:r>
    </w:p>
    <w:p w14:paraId="252966C2" w14:textId="77777777" w:rsidR="00955D76" w:rsidRPr="00545EC0" w:rsidRDefault="00955D76" w:rsidP="00DD37C5">
      <w:pPr>
        <w:pStyle w:val="Odstavekseznama"/>
        <w:numPr>
          <w:ilvl w:val="0"/>
          <w:numId w:val="91"/>
        </w:numPr>
        <w:rPr>
          <w:rFonts w:cs="Arial"/>
          <w:lang w:eastAsia="pl-PL"/>
        </w:rPr>
      </w:pPr>
      <w:r w:rsidRPr="00545EC0">
        <w:rPr>
          <w:rFonts w:cs="Arial"/>
          <w:lang w:eastAsia="pl-PL"/>
        </w:rPr>
        <w:t xml:space="preserve">napovedi trendov onesnaževal v podzemni vodi do leta 2027, </w:t>
      </w:r>
    </w:p>
    <w:p w14:paraId="4057E290" w14:textId="77777777" w:rsidR="00955D76" w:rsidRPr="00545EC0" w:rsidRDefault="00955D76" w:rsidP="00DD37C5">
      <w:pPr>
        <w:pStyle w:val="Odstavekseznama"/>
        <w:numPr>
          <w:ilvl w:val="0"/>
          <w:numId w:val="91"/>
        </w:numPr>
        <w:rPr>
          <w:rFonts w:cs="Arial"/>
          <w:lang w:eastAsia="pl-PL"/>
        </w:rPr>
      </w:pPr>
      <w:r w:rsidRPr="00545EC0">
        <w:rPr>
          <w:rFonts w:cs="Arial"/>
          <w:lang w:eastAsia="pl-PL"/>
        </w:rPr>
        <w:t xml:space="preserve">vpliva obremenitev iz točkovnih ali razpršenih virov onesnaženja, </w:t>
      </w:r>
    </w:p>
    <w:p w14:paraId="069B9019" w14:textId="574FE5C1" w:rsidR="00955D76" w:rsidRPr="00545EC0" w:rsidRDefault="00955D76" w:rsidP="00DD37C5">
      <w:pPr>
        <w:pStyle w:val="Odstavekseznama"/>
        <w:numPr>
          <w:ilvl w:val="0"/>
          <w:numId w:val="91"/>
        </w:numPr>
        <w:rPr>
          <w:rFonts w:cs="Arial"/>
          <w:lang w:eastAsia="pl-PL"/>
        </w:rPr>
      </w:pPr>
      <w:r w:rsidRPr="00545EC0">
        <w:rPr>
          <w:rFonts w:cs="Arial"/>
          <w:lang w:eastAsia="pl-PL"/>
        </w:rPr>
        <w:t>stanj</w:t>
      </w:r>
      <w:r w:rsidR="007C668D" w:rsidRPr="00545EC0">
        <w:rPr>
          <w:rFonts w:cs="Arial"/>
          <w:lang w:val="sl-SI" w:eastAsia="pl-PL"/>
        </w:rPr>
        <w:t>a</w:t>
      </w:r>
      <w:r w:rsidRPr="00545EC0">
        <w:rPr>
          <w:rFonts w:cs="Arial"/>
          <w:lang w:eastAsia="pl-PL"/>
        </w:rPr>
        <w:t xml:space="preserve"> podzemne vode</w:t>
      </w:r>
      <w:r w:rsidR="007C668D" w:rsidRPr="00545EC0">
        <w:rPr>
          <w:rFonts w:cs="Arial"/>
          <w:lang w:val="sl-SI" w:eastAsia="pl-PL"/>
        </w:rPr>
        <w:t>,</w:t>
      </w:r>
      <w:r w:rsidRPr="00545EC0">
        <w:rPr>
          <w:rFonts w:cs="Arial"/>
          <w:lang w:eastAsia="pl-PL"/>
        </w:rPr>
        <w:t xml:space="preserve"> upoštevajoč standarde </w:t>
      </w:r>
      <w:r w:rsidR="00C12042" w:rsidRPr="00545EC0">
        <w:rPr>
          <w:rFonts w:cs="Arial"/>
          <w:lang w:eastAsia="pl-PL"/>
        </w:rPr>
        <w:t>kakov</w:t>
      </w:r>
      <w:r w:rsidR="00C12042" w:rsidRPr="00545EC0">
        <w:rPr>
          <w:rFonts w:cs="Arial"/>
          <w:lang w:val="sl-SI" w:eastAsia="pl-PL"/>
        </w:rPr>
        <w:t>o</w:t>
      </w:r>
      <w:r w:rsidR="00C12042" w:rsidRPr="00545EC0">
        <w:rPr>
          <w:rFonts w:cs="Arial"/>
          <w:lang w:eastAsia="pl-PL"/>
        </w:rPr>
        <w:t>s</w:t>
      </w:r>
      <w:r w:rsidR="0031777E" w:rsidRPr="00545EC0">
        <w:rPr>
          <w:rFonts w:cs="Arial"/>
          <w:lang w:val="sl-SI" w:eastAsia="pl-PL"/>
        </w:rPr>
        <w:t>t</w:t>
      </w:r>
      <w:r w:rsidR="00C12042" w:rsidRPr="00545EC0">
        <w:rPr>
          <w:rFonts w:cs="Arial"/>
          <w:lang w:eastAsia="pl-PL"/>
        </w:rPr>
        <w:t>i</w:t>
      </w:r>
      <w:r w:rsidRPr="00545EC0">
        <w:rPr>
          <w:rFonts w:cs="Arial"/>
          <w:lang w:eastAsia="pl-PL"/>
        </w:rPr>
        <w:t xml:space="preserve"> določene za oskrbo s pitno vodo, </w:t>
      </w:r>
    </w:p>
    <w:p w14:paraId="18F3C422" w14:textId="77777777" w:rsidR="00955D76" w:rsidRPr="00545EC0" w:rsidRDefault="00955D76" w:rsidP="00DD37C5">
      <w:pPr>
        <w:pStyle w:val="Odstavekseznama"/>
        <w:numPr>
          <w:ilvl w:val="0"/>
          <w:numId w:val="91"/>
        </w:numPr>
        <w:rPr>
          <w:rFonts w:cs="Arial"/>
          <w:lang w:eastAsia="pl-PL"/>
        </w:rPr>
      </w:pPr>
      <w:r w:rsidRPr="00545EC0">
        <w:rPr>
          <w:rFonts w:cs="Arial"/>
          <w:lang w:eastAsia="pl-PL"/>
        </w:rPr>
        <w:t xml:space="preserve">slane in druge vdore v vodno telo podzemne vode in </w:t>
      </w:r>
    </w:p>
    <w:p w14:paraId="5AB816E7" w14:textId="77777777" w:rsidR="00955D76" w:rsidRPr="00545EC0" w:rsidRDefault="00955D76" w:rsidP="00DD37C5">
      <w:pPr>
        <w:pStyle w:val="Odstavekseznama"/>
        <w:numPr>
          <w:ilvl w:val="0"/>
          <w:numId w:val="91"/>
        </w:numPr>
        <w:rPr>
          <w:rFonts w:cs="Arial"/>
          <w:lang w:eastAsia="pl-PL"/>
        </w:rPr>
      </w:pPr>
      <w:r w:rsidRPr="00545EC0">
        <w:rPr>
          <w:rFonts w:cs="Arial"/>
          <w:lang w:eastAsia="pl-PL"/>
        </w:rPr>
        <w:t>stanje ohranjenosti ekosistemov odvisnih od podzemne vode</w:t>
      </w:r>
      <w:r w:rsidRPr="00545EC0">
        <w:rPr>
          <w:rFonts w:cs="Arial"/>
          <w:lang w:val="sl-SI" w:eastAsia="pl-PL"/>
        </w:rPr>
        <w:t xml:space="preserve">. </w:t>
      </w:r>
    </w:p>
    <w:p w14:paraId="52FC4731" w14:textId="77777777" w:rsidR="00BD224C" w:rsidRPr="00545EC0" w:rsidRDefault="00BD224C" w:rsidP="003122F4">
      <w:pPr>
        <w:pStyle w:val="Odstavekseznama"/>
        <w:ind w:left="720"/>
        <w:rPr>
          <w:rFonts w:cs="Arial"/>
          <w:lang w:eastAsia="pl-PL"/>
        </w:rPr>
      </w:pPr>
    </w:p>
    <w:p w14:paraId="423126DE" w14:textId="4114AED2" w:rsidR="008F72B1" w:rsidRPr="00545EC0" w:rsidRDefault="00955D76" w:rsidP="00955D76">
      <w:pPr>
        <w:pStyle w:val="Odstavekseznama"/>
        <w:ind w:left="0"/>
        <w:rPr>
          <w:rFonts w:cs="Arial"/>
          <w:lang w:val="sl-SI" w:eastAsia="pl-PL"/>
        </w:rPr>
      </w:pPr>
      <w:r w:rsidRPr="00545EC0">
        <w:rPr>
          <w:rFonts w:cs="Arial"/>
          <w:lang w:eastAsia="pl-PL"/>
        </w:rPr>
        <w:t>Vodna telesa podzemnih voda se razvrsti v tri kategorije, ki so opisane v spodnji preglednici</w:t>
      </w:r>
      <w:r w:rsidR="00BD39F6" w:rsidRPr="00545EC0">
        <w:rPr>
          <w:rFonts w:cs="Arial"/>
          <w:lang w:val="sl-SI" w:eastAsia="pl-PL"/>
        </w:rPr>
        <w:t>.</w:t>
      </w:r>
    </w:p>
    <w:p w14:paraId="3493B3C8" w14:textId="77777777" w:rsidR="00955D76" w:rsidRPr="00545EC0" w:rsidRDefault="00955D76" w:rsidP="00955D76">
      <w:pPr>
        <w:pStyle w:val="Odstavekseznama"/>
        <w:ind w:left="0"/>
        <w:rPr>
          <w:rFonts w:cs="Arial"/>
          <w:lang w:val="sl-SI"/>
        </w:rPr>
      </w:pPr>
    </w:p>
    <w:p w14:paraId="72ACF5B3" w14:textId="67C49DD0" w:rsidR="008F72B1" w:rsidRPr="00545EC0" w:rsidRDefault="007155F5" w:rsidP="00BF52D7">
      <w:pPr>
        <w:pStyle w:val="Napis"/>
      </w:pPr>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45</w:t>
        </w:r>
      </w:fldSimple>
      <w:r w:rsidRPr="00545EC0">
        <w:t xml:space="preserve">: </w:t>
      </w:r>
      <w:r w:rsidR="00955D76" w:rsidRPr="00545EC0">
        <w:t>Lestvica opisnih ocen za vodna telesa podzemnih voda – kemijsko stanje VTPodV</w:t>
      </w:r>
    </w:p>
    <w:tbl>
      <w:tblPr>
        <w:tblW w:w="0" w:type="auto"/>
        <w:tblInd w:w="55" w:type="dxa"/>
        <w:tblCellMar>
          <w:left w:w="70" w:type="dxa"/>
          <w:right w:w="70" w:type="dxa"/>
        </w:tblCellMar>
        <w:tblLook w:val="04A0" w:firstRow="1" w:lastRow="0" w:firstColumn="1" w:lastColumn="0" w:noHBand="0" w:noVBand="1"/>
      </w:tblPr>
      <w:tblGrid>
        <w:gridCol w:w="3700"/>
        <w:gridCol w:w="5456"/>
      </w:tblGrid>
      <w:tr w:rsidR="003122F4" w:rsidRPr="00545EC0" w14:paraId="0903EAEE" w14:textId="77777777" w:rsidTr="008F72B1">
        <w:trPr>
          <w:trHeight w:val="120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5AD92C" w14:textId="77777777" w:rsidR="008F72B1" w:rsidRPr="00545EC0" w:rsidRDefault="008F72B1" w:rsidP="00BF52D7">
            <w:pPr>
              <w:jc w:val="left"/>
              <w:rPr>
                <w:rFonts w:cs="Arial"/>
                <w:b/>
                <w:sz w:val="18"/>
                <w:szCs w:val="18"/>
              </w:rPr>
            </w:pPr>
            <w:r w:rsidRPr="00545EC0">
              <w:rPr>
                <w:rFonts w:cs="Arial"/>
                <w:b/>
                <w:sz w:val="18"/>
                <w:szCs w:val="18"/>
              </w:rPr>
              <w:t>Okoljski cilji bodo doseženi</w:t>
            </w:r>
          </w:p>
        </w:tc>
        <w:tc>
          <w:tcPr>
            <w:tcW w:w="5457" w:type="dxa"/>
            <w:tcBorders>
              <w:top w:val="single" w:sz="4" w:space="0" w:color="auto"/>
              <w:left w:val="nil"/>
              <w:bottom w:val="single" w:sz="4" w:space="0" w:color="auto"/>
              <w:right w:val="single" w:sz="4" w:space="0" w:color="auto"/>
            </w:tcBorders>
            <w:shd w:val="clear" w:color="auto" w:fill="auto"/>
            <w:vAlign w:val="center"/>
            <w:hideMark/>
          </w:tcPr>
          <w:p w14:paraId="684A64A5" w14:textId="2F2DF528" w:rsidR="008F72B1" w:rsidRPr="00545EC0" w:rsidRDefault="008F72B1">
            <w:pPr>
              <w:jc w:val="left"/>
              <w:rPr>
                <w:rFonts w:cs="Arial"/>
                <w:sz w:val="18"/>
                <w:szCs w:val="18"/>
              </w:rPr>
            </w:pPr>
            <w:r w:rsidRPr="00545EC0">
              <w:rPr>
                <w:rFonts w:cs="Arial"/>
                <w:sz w:val="18"/>
                <w:szCs w:val="18"/>
              </w:rPr>
              <w:t>Stanje je na osnovi rezultatov monitoringa ocenjeno kot dobro. Vplivi obremenitev so majhni. Napovedi trendov onesnaževal na posameznih merilnih mestih kažejo, da bodo do leta 202</w:t>
            </w:r>
            <w:r w:rsidR="00BD224C" w:rsidRPr="00545EC0">
              <w:rPr>
                <w:rFonts w:cs="Arial"/>
                <w:sz w:val="18"/>
                <w:szCs w:val="18"/>
              </w:rPr>
              <w:t>7</w:t>
            </w:r>
            <w:r w:rsidRPr="00545EC0">
              <w:rPr>
                <w:rFonts w:cs="Arial"/>
                <w:sz w:val="18"/>
                <w:szCs w:val="18"/>
              </w:rPr>
              <w:t xml:space="preserve"> njihove koncentracije z vsaj 95 % verjetnostjo ustrezale standardom kakovosti na več kot 70 % merilnih mest.</w:t>
            </w:r>
          </w:p>
        </w:tc>
      </w:tr>
      <w:tr w:rsidR="003122F4" w:rsidRPr="00545EC0" w14:paraId="04B22B1A" w14:textId="77777777" w:rsidTr="008F72B1">
        <w:trPr>
          <w:trHeight w:val="900"/>
        </w:trPr>
        <w:tc>
          <w:tcPr>
            <w:tcW w:w="3701" w:type="dxa"/>
            <w:tcBorders>
              <w:top w:val="nil"/>
              <w:left w:val="single" w:sz="4" w:space="0" w:color="auto"/>
              <w:bottom w:val="single" w:sz="4" w:space="0" w:color="auto"/>
              <w:right w:val="single" w:sz="4" w:space="0" w:color="auto"/>
            </w:tcBorders>
            <w:shd w:val="clear" w:color="auto" w:fill="auto"/>
            <w:vAlign w:val="center"/>
            <w:hideMark/>
          </w:tcPr>
          <w:p w14:paraId="76586FE5" w14:textId="77777777" w:rsidR="008F72B1" w:rsidRPr="00545EC0" w:rsidRDefault="008F72B1" w:rsidP="00BF52D7">
            <w:pPr>
              <w:jc w:val="left"/>
              <w:rPr>
                <w:rFonts w:cs="Arial"/>
                <w:b/>
                <w:sz w:val="18"/>
                <w:szCs w:val="18"/>
              </w:rPr>
            </w:pPr>
            <w:r w:rsidRPr="00545EC0">
              <w:rPr>
                <w:rFonts w:cs="Arial"/>
                <w:b/>
                <w:sz w:val="18"/>
                <w:szCs w:val="18"/>
              </w:rPr>
              <w:t>Okoljski cilji morda bodo ali morda ne bodo doseženi (ang. possibly at risk)</w:t>
            </w:r>
          </w:p>
        </w:tc>
        <w:tc>
          <w:tcPr>
            <w:tcW w:w="5457" w:type="dxa"/>
            <w:tcBorders>
              <w:top w:val="nil"/>
              <w:left w:val="nil"/>
              <w:bottom w:val="single" w:sz="4" w:space="0" w:color="auto"/>
              <w:right w:val="single" w:sz="4" w:space="0" w:color="auto"/>
            </w:tcBorders>
            <w:shd w:val="clear" w:color="auto" w:fill="auto"/>
            <w:vAlign w:val="center"/>
            <w:hideMark/>
          </w:tcPr>
          <w:p w14:paraId="39C99050" w14:textId="77777777" w:rsidR="008F72B1" w:rsidRPr="00545EC0" w:rsidRDefault="008F72B1" w:rsidP="00BF52D7">
            <w:pPr>
              <w:jc w:val="left"/>
              <w:rPr>
                <w:rFonts w:cs="Arial"/>
                <w:sz w:val="18"/>
                <w:szCs w:val="18"/>
              </w:rPr>
            </w:pPr>
            <w:r w:rsidRPr="00545EC0">
              <w:rPr>
                <w:rFonts w:cs="Arial"/>
                <w:sz w:val="18"/>
                <w:szCs w:val="18"/>
              </w:rPr>
              <w:t>Ugotovljene so pomembne obremenitve, ki ogrožajo dobro kemijsko stanje teles podzemne vode. Trendi koncentracij   vsebnosti onesnaževal na posameznih merilnih mestih so taki, da ni možno s 95 % gotovostjo napovedati, da bodo koncentracije dosegale standarde kakovosti na vsaj 70 % merilnih mest.</w:t>
            </w:r>
          </w:p>
        </w:tc>
      </w:tr>
      <w:tr w:rsidR="008F72B1" w:rsidRPr="00545EC0" w14:paraId="39230178" w14:textId="77777777" w:rsidTr="008F72B1">
        <w:trPr>
          <w:trHeight w:val="283"/>
        </w:trPr>
        <w:tc>
          <w:tcPr>
            <w:tcW w:w="3701" w:type="dxa"/>
            <w:tcBorders>
              <w:top w:val="nil"/>
              <w:left w:val="single" w:sz="4" w:space="0" w:color="auto"/>
              <w:bottom w:val="single" w:sz="4" w:space="0" w:color="auto"/>
              <w:right w:val="single" w:sz="4" w:space="0" w:color="auto"/>
            </w:tcBorders>
            <w:shd w:val="clear" w:color="auto" w:fill="auto"/>
            <w:vAlign w:val="center"/>
            <w:hideMark/>
          </w:tcPr>
          <w:p w14:paraId="422C3659" w14:textId="77777777" w:rsidR="008F72B1" w:rsidRPr="00545EC0" w:rsidRDefault="008F72B1" w:rsidP="00BF52D7">
            <w:pPr>
              <w:jc w:val="left"/>
              <w:rPr>
                <w:rFonts w:cs="Arial"/>
                <w:b/>
                <w:sz w:val="18"/>
                <w:szCs w:val="18"/>
              </w:rPr>
            </w:pPr>
            <w:r w:rsidRPr="00545EC0">
              <w:rPr>
                <w:rFonts w:cs="Arial"/>
                <w:b/>
                <w:sz w:val="18"/>
                <w:szCs w:val="18"/>
              </w:rPr>
              <w:t>Okoljski cilji ne bodo doseženi</w:t>
            </w:r>
          </w:p>
        </w:tc>
        <w:tc>
          <w:tcPr>
            <w:tcW w:w="5457" w:type="dxa"/>
            <w:tcBorders>
              <w:top w:val="nil"/>
              <w:left w:val="nil"/>
              <w:bottom w:val="single" w:sz="4" w:space="0" w:color="auto"/>
              <w:right w:val="single" w:sz="4" w:space="0" w:color="auto"/>
            </w:tcBorders>
            <w:shd w:val="clear" w:color="auto" w:fill="auto"/>
            <w:vAlign w:val="center"/>
            <w:hideMark/>
          </w:tcPr>
          <w:p w14:paraId="352DCD1F" w14:textId="21247C47" w:rsidR="008F72B1" w:rsidRPr="00545EC0" w:rsidRDefault="008F72B1">
            <w:pPr>
              <w:jc w:val="left"/>
              <w:rPr>
                <w:rFonts w:cs="Arial"/>
                <w:sz w:val="18"/>
                <w:szCs w:val="18"/>
              </w:rPr>
            </w:pPr>
            <w:r w:rsidRPr="00545EC0">
              <w:rPr>
                <w:rFonts w:cs="Arial"/>
                <w:sz w:val="18"/>
                <w:szCs w:val="18"/>
              </w:rPr>
              <w:t xml:space="preserve">Stanje je na osnovi rezultatov monitoringa ocenjeno kot slabo. Ugotovljene so pomembne obremenitve. Na več kot 30 % merilnih mest </w:t>
            </w:r>
            <w:r w:rsidR="00BD224C" w:rsidRPr="00545EC0">
              <w:rPr>
                <w:rFonts w:cs="Arial"/>
                <w:sz w:val="18"/>
                <w:szCs w:val="18"/>
              </w:rPr>
              <w:t xml:space="preserve"> bodo </w:t>
            </w:r>
            <w:r w:rsidRPr="00545EC0">
              <w:rPr>
                <w:rFonts w:cs="Arial"/>
                <w:sz w:val="18"/>
                <w:szCs w:val="18"/>
              </w:rPr>
              <w:t>leta 202</w:t>
            </w:r>
            <w:r w:rsidR="00BD224C" w:rsidRPr="00545EC0">
              <w:rPr>
                <w:rFonts w:cs="Arial"/>
                <w:sz w:val="18"/>
                <w:szCs w:val="18"/>
              </w:rPr>
              <w:t>7</w:t>
            </w:r>
            <w:r w:rsidRPr="00545EC0">
              <w:rPr>
                <w:rFonts w:cs="Arial"/>
                <w:sz w:val="18"/>
                <w:szCs w:val="18"/>
              </w:rPr>
              <w:t xml:space="preserve"> koncentracije onesnaževal neustrezne standardom kakovosti ali pa ni možno z vsaj 95 % verjetnostjo zagotoviti da bodo ustrezne.</w:t>
            </w:r>
          </w:p>
        </w:tc>
      </w:tr>
    </w:tbl>
    <w:p w14:paraId="0EFC1EF4" w14:textId="77777777" w:rsidR="008F72B1" w:rsidRPr="00545EC0" w:rsidRDefault="008F72B1" w:rsidP="00BF52D7">
      <w:pPr>
        <w:rPr>
          <w:rFonts w:cs="Arial"/>
          <w:lang w:eastAsia="pl-PL"/>
        </w:rPr>
      </w:pPr>
    </w:p>
    <w:p w14:paraId="793C3F9E" w14:textId="77777777" w:rsidR="000277DE" w:rsidRPr="00545EC0" w:rsidRDefault="000277DE" w:rsidP="000277DE">
      <w:pPr>
        <w:pStyle w:val="Odstavekseznama"/>
        <w:ind w:left="0"/>
        <w:rPr>
          <w:rFonts w:cs="Arial"/>
          <w:lang w:val="sl-SI"/>
        </w:rPr>
      </w:pPr>
      <w:r w:rsidRPr="00545EC0">
        <w:rPr>
          <w:rFonts w:cs="Arial"/>
          <w:lang w:val="sl-SI"/>
        </w:rPr>
        <w:t>Za namen ocene doseganja okoljskih ciljev so upoštevana merila:</w:t>
      </w:r>
    </w:p>
    <w:p w14:paraId="17618D75" w14:textId="62CF9E2F" w:rsidR="000277DE" w:rsidRPr="00545EC0" w:rsidRDefault="00796403"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N</w:t>
      </w:r>
      <w:r w:rsidR="000277DE" w:rsidRPr="00545EC0">
        <w:rPr>
          <w:rFonts w:cs="Arial"/>
          <w:lang w:val="sl-SI"/>
        </w:rPr>
        <w:t>a merilnih mestih z dolgim časovnim nizom (199</w:t>
      </w:r>
      <w:r w:rsidR="00905B51" w:rsidRPr="00545EC0">
        <w:rPr>
          <w:rFonts w:cs="Arial"/>
          <w:lang w:val="sl-SI"/>
        </w:rPr>
        <w:t>8</w:t>
      </w:r>
      <w:r w:rsidR="000277DE" w:rsidRPr="00545EC0">
        <w:rPr>
          <w:rFonts w:cs="Arial"/>
          <w:lang w:val="sl-SI"/>
        </w:rPr>
        <w:t>-201</w:t>
      </w:r>
      <w:r w:rsidR="00D21E41" w:rsidRPr="00545EC0">
        <w:rPr>
          <w:rFonts w:cs="Arial"/>
          <w:lang w:val="sl-SI"/>
        </w:rPr>
        <w:t>9</w:t>
      </w:r>
      <w:r w:rsidR="000277DE" w:rsidRPr="00545EC0">
        <w:rPr>
          <w:rFonts w:cs="Arial"/>
          <w:lang w:val="sl-SI"/>
        </w:rPr>
        <w:t>) je izvedena napoved trendov onesnaževal do leta 202</w:t>
      </w:r>
      <w:r w:rsidR="0057495B" w:rsidRPr="00545EC0">
        <w:rPr>
          <w:rFonts w:cs="Arial"/>
          <w:lang w:val="sl-SI"/>
        </w:rPr>
        <w:t>7</w:t>
      </w:r>
      <w:r w:rsidR="000277DE" w:rsidRPr="00545EC0">
        <w:rPr>
          <w:rFonts w:cs="Arial"/>
          <w:lang w:val="sl-SI"/>
        </w:rPr>
        <w:t xml:space="preserve"> z ravnjo zaupanja 95 %. Preveri se odstotek merilnih mest, na katerih bo 95 % raven zaupanja napovedi trenda do leta 202</w:t>
      </w:r>
      <w:r w:rsidR="0057495B" w:rsidRPr="00545EC0">
        <w:rPr>
          <w:rFonts w:cs="Arial"/>
          <w:lang w:val="sl-SI"/>
        </w:rPr>
        <w:t>7</w:t>
      </w:r>
      <w:r w:rsidR="000277DE" w:rsidRPr="00545EC0">
        <w:rPr>
          <w:rFonts w:cs="Arial"/>
          <w:lang w:val="sl-SI"/>
        </w:rPr>
        <w:t xml:space="preserve"> še vedno presegala standarde kakovosti in vrednosti praga. V kolikor je ta odstotek merilnih mest večji od 30 % (odstotek opredeljen v predpisu, ki ureja metodologijo za določanje kemijskega stanja podzemne vode), se upošteva, da okoljski cilji ne bodo doseženi. Merilna mesta, ki imajo krajši časovni niz (nova merilna mesta), niso bila vključena v analizo napovedi, zaradi nizke zanesljivosti ugotavljanja trendov. Pričakujemo, da bodo ta mesta lahko vključena v določevanje trendov in napovedi v naslednjem načrtovalskem obdobju</w:t>
      </w:r>
      <w:r w:rsidRPr="00545EC0">
        <w:rPr>
          <w:rFonts w:cs="Arial"/>
          <w:lang w:val="sl-SI"/>
        </w:rPr>
        <w:t>.</w:t>
      </w:r>
    </w:p>
    <w:p w14:paraId="147C7B20" w14:textId="27EFD662" w:rsidR="000277DE" w:rsidRPr="00545EC0" w:rsidRDefault="00796403"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S</w:t>
      </w:r>
      <w:r w:rsidR="000277DE" w:rsidRPr="00545EC0">
        <w:rPr>
          <w:rFonts w:cs="Arial"/>
          <w:lang w:val="sl-SI"/>
        </w:rPr>
        <w:t>lani ali drugi vdori v vodno telo podzemne vode</w:t>
      </w:r>
      <w:r w:rsidRPr="00545EC0">
        <w:rPr>
          <w:rFonts w:cs="Arial"/>
          <w:lang w:val="sl-SI"/>
        </w:rPr>
        <w:t>.</w:t>
      </w:r>
    </w:p>
    <w:p w14:paraId="676164C3" w14:textId="37003575" w:rsidR="00A950E6" w:rsidRPr="00545EC0" w:rsidRDefault="00796403"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N</w:t>
      </w:r>
      <w:r w:rsidR="000277DE" w:rsidRPr="00545EC0">
        <w:rPr>
          <w:rFonts w:cs="Arial"/>
          <w:lang w:val="sl-SI"/>
        </w:rPr>
        <w:t>evarnost</w:t>
      </w:r>
      <w:r w:rsidR="00BD224C" w:rsidRPr="00545EC0">
        <w:rPr>
          <w:rFonts w:cs="Arial"/>
          <w:lang w:val="sl-SI"/>
        </w:rPr>
        <w:t xml:space="preserve"> vpliva</w:t>
      </w:r>
      <w:r w:rsidR="000277DE" w:rsidRPr="00545EC0">
        <w:rPr>
          <w:rFonts w:cs="Arial"/>
          <w:lang w:val="sl-SI"/>
        </w:rPr>
        <w:t xml:space="preserve"> onesnaževal v vodnem telesu podzemne vode </w:t>
      </w:r>
      <w:r w:rsidR="00BD224C" w:rsidRPr="00545EC0">
        <w:rPr>
          <w:rFonts w:cs="Arial"/>
          <w:lang w:val="sl-SI"/>
        </w:rPr>
        <w:t xml:space="preserve">na </w:t>
      </w:r>
      <w:r w:rsidR="000277DE" w:rsidRPr="00545EC0">
        <w:rPr>
          <w:rFonts w:cs="Arial"/>
          <w:lang w:val="sl-SI"/>
        </w:rPr>
        <w:t>kakovost vode, ki se odvzema ali je namenjena za odvzem iz vodnega telesa podzemne vode</w:t>
      </w:r>
      <w:r w:rsidR="00A950E6" w:rsidRPr="00545EC0">
        <w:rPr>
          <w:rFonts w:cs="Arial"/>
          <w:lang w:val="sl-SI"/>
        </w:rPr>
        <w:t xml:space="preserve"> za oskrbo s pitno vodo. Upošteva se</w:t>
      </w:r>
      <w:r w:rsidR="000277DE" w:rsidRPr="00545EC0">
        <w:rPr>
          <w:rFonts w:cs="Arial"/>
          <w:lang w:val="sl-SI"/>
        </w:rPr>
        <w:t xml:space="preserve"> napoved trenda do leta 202</w:t>
      </w:r>
      <w:r w:rsidR="0057495B" w:rsidRPr="00545EC0">
        <w:rPr>
          <w:rFonts w:cs="Arial"/>
          <w:lang w:val="sl-SI"/>
        </w:rPr>
        <w:t>7</w:t>
      </w:r>
      <w:r w:rsidR="000277DE" w:rsidRPr="00545EC0">
        <w:rPr>
          <w:rFonts w:cs="Arial"/>
          <w:lang w:val="sl-SI"/>
        </w:rPr>
        <w:t xml:space="preserve">. </w:t>
      </w:r>
    </w:p>
    <w:p w14:paraId="068C4841" w14:textId="1E0FAAC3" w:rsidR="000277DE" w:rsidRPr="00545EC0" w:rsidRDefault="000277DE"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 xml:space="preserve">Merilna mesta državnega monitoringa kakovosti podzemne vode na </w:t>
      </w:r>
      <w:r w:rsidR="00A950E6" w:rsidRPr="00545EC0">
        <w:rPr>
          <w:rFonts w:cs="Arial"/>
          <w:lang w:val="sl-SI"/>
        </w:rPr>
        <w:t>vodnih virih</w:t>
      </w:r>
      <w:r w:rsidRPr="00545EC0">
        <w:rPr>
          <w:rFonts w:cs="Arial"/>
          <w:lang w:val="sl-SI"/>
        </w:rPr>
        <w:t>, ki se uporabljajo za javno oskrbo s pitno vodo ter merilna mesta nacionalnega monitoringa pitnih vod</w:t>
      </w:r>
      <w:r w:rsidR="00BD224C" w:rsidRPr="00545EC0">
        <w:rPr>
          <w:rFonts w:cs="Arial"/>
          <w:lang w:val="sl-SI"/>
        </w:rPr>
        <w:t>a</w:t>
      </w:r>
      <w:r w:rsidR="00796403" w:rsidRPr="00545EC0">
        <w:rPr>
          <w:rFonts w:cs="Arial"/>
          <w:lang w:val="sl-SI"/>
        </w:rPr>
        <w:t>.</w:t>
      </w:r>
    </w:p>
    <w:p w14:paraId="4EBC9FFB" w14:textId="5A16CBD6" w:rsidR="000277DE" w:rsidRPr="00545EC0" w:rsidRDefault="00796403"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lastRenderedPageBreak/>
        <w:t>M</w:t>
      </w:r>
      <w:r w:rsidR="000277DE" w:rsidRPr="00545EC0">
        <w:rPr>
          <w:rFonts w:cs="Arial"/>
          <w:lang w:val="sl-SI"/>
        </w:rPr>
        <w:t>ožen učinek količin in koncentracij onesnaževal, prenesenih na povezane površinske vode in neposredno odvisne kopenske ekosisteme. Obstaja tveganje, da ekosistemi odvisni od podzemnih vod, ne bodo v ugodnem stanju ohranjenosti. Vendar obstaja negotovost pri napovedi, saj za ugotavljanje stanja ohranjenosti nimamo natančnih meritev.</w:t>
      </w:r>
    </w:p>
    <w:p w14:paraId="05886F7C" w14:textId="77777777" w:rsidR="00BD39F6" w:rsidRPr="00545EC0" w:rsidRDefault="00BD39F6" w:rsidP="00BD39F6">
      <w:pPr>
        <w:rPr>
          <w:rFonts w:cs="Arial"/>
          <w:b/>
          <w:bCs/>
          <w:lang w:eastAsia="pl-PL"/>
        </w:rPr>
      </w:pPr>
    </w:p>
    <w:p w14:paraId="72A0056A" w14:textId="4AADB869" w:rsidR="00BD39F6" w:rsidRPr="00545EC0" w:rsidRDefault="00BD39F6" w:rsidP="00BD39F6">
      <w:pPr>
        <w:rPr>
          <w:rFonts w:cs="Arial"/>
          <w:b/>
          <w:bCs/>
          <w:lang w:eastAsia="pl-PL"/>
        </w:rPr>
      </w:pPr>
      <w:r w:rsidRPr="00545EC0">
        <w:rPr>
          <w:rFonts w:cs="Arial"/>
          <w:b/>
          <w:bCs/>
          <w:lang w:eastAsia="pl-PL"/>
        </w:rPr>
        <w:t>Ocena verjetnosti doseganja okoljskih ciljev za količinsko stanje vodnih teles podzemnih voda</w:t>
      </w:r>
    </w:p>
    <w:p w14:paraId="7FFCBAC0" w14:textId="77777777" w:rsidR="00BD39F6" w:rsidRPr="00545EC0" w:rsidRDefault="00BD39F6" w:rsidP="00BD39F6">
      <w:pPr>
        <w:tabs>
          <w:tab w:val="left" w:pos="426"/>
        </w:tabs>
        <w:rPr>
          <w:rFonts w:cs="Arial"/>
        </w:rPr>
      </w:pPr>
    </w:p>
    <w:p w14:paraId="28D803B5" w14:textId="145EDBD2" w:rsidR="008F72B1" w:rsidRPr="00545EC0" w:rsidRDefault="00C12042" w:rsidP="00BD39F6">
      <w:pPr>
        <w:rPr>
          <w:rFonts w:cs="Arial"/>
        </w:rPr>
      </w:pPr>
      <w:r w:rsidRPr="00545EC0">
        <w:rPr>
          <w:rFonts w:cs="Arial"/>
          <w:lang w:eastAsia="pl-PL"/>
        </w:rPr>
        <w:t xml:space="preserve">Ocena verjetnosti doseganja okoljskih ciljev za vodna telesa podzemnih voda do leta 2027 je pripravljena ob upoštevanju </w:t>
      </w:r>
      <w:r w:rsidRPr="00545EC0">
        <w:rPr>
          <w:rFonts w:cs="Arial"/>
        </w:rPr>
        <w:t xml:space="preserve">obremenitev VTPodV zaradi odvzemov in temelji na analizi porabljenega deleža celotne razpoložljive količine podzemne vode oziroma analizi spreminjanja vodostajev ter oceni ravnovesja (dolgoročna povprečna količina odvzema podzemne vode ne presega razpoložljivih zalog). </w:t>
      </w:r>
      <w:r w:rsidR="00BD39F6" w:rsidRPr="00545EC0">
        <w:rPr>
          <w:rFonts w:cs="Arial"/>
          <w:lang w:eastAsia="pl-PL"/>
        </w:rPr>
        <w:t>Vodna telesa podzemnih voda se razvrsti v tri kategorije, ki so opisane v spodnji preglednici.</w:t>
      </w:r>
    </w:p>
    <w:p w14:paraId="6C07E303" w14:textId="77777777" w:rsidR="00BD39F6" w:rsidRPr="00545EC0" w:rsidRDefault="00BD39F6" w:rsidP="00BD39F6">
      <w:pPr>
        <w:rPr>
          <w:rFonts w:cs="Arial"/>
        </w:rPr>
      </w:pPr>
    </w:p>
    <w:p w14:paraId="12B4116F" w14:textId="797493E3" w:rsidR="00BD39F6" w:rsidRPr="00545EC0" w:rsidRDefault="007155F5" w:rsidP="00BD39F6">
      <w:pPr>
        <w:pStyle w:val="Napis"/>
      </w:pPr>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46</w:t>
        </w:r>
      </w:fldSimple>
      <w:r w:rsidRPr="00545EC0">
        <w:t xml:space="preserve">: </w:t>
      </w:r>
      <w:r w:rsidR="00BD39F6" w:rsidRPr="00545EC0">
        <w:t>Lestvica opisnih ocen za vodna telesa podzemnih voda – količinsko stanje VTPodV</w:t>
      </w:r>
    </w:p>
    <w:tbl>
      <w:tblPr>
        <w:tblW w:w="0" w:type="auto"/>
        <w:tblInd w:w="55" w:type="dxa"/>
        <w:tblCellMar>
          <w:left w:w="70" w:type="dxa"/>
          <w:right w:w="70" w:type="dxa"/>
        </w:tblCellMar>
        <w:tblLook w:val="04A0" w:firstRow="1" w:lastRow="0" w:firstColumn="1" w:lastColumn="0" w:noHBand="0" w:noVBand="1"/>
      </w:tblPr>
      <w:tblGrid>
        <w:gridCol w:w="3700"/>
        <w:gridCol w:w="5456"/>
      </w:tblGrid>
      <w:tr w:rsidR="003122F4" w:rsidRPr="00545EC0" w14:paraId="36C91139" w14:textId="77777777" w:rsidTr="008F72B1">
        <w:trPr>
          <w:trHeight w:val="120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C49EB1" w14:textId="77777777" w:rsidR="008F72B1" w:rsidRPr="00545EC0" w:rsidRDefault="008F72B1" w:rsidP="00BF52D7">
            <w:pPr>
              <w:jc w:val="left"/>
              <w:rPr>
                <w:rFonts w:cs="Arial"/>
                <w:b/>
                <w:sz w:val="18"/>
                <w:szCs w:val="18"/>
              </w:rPr>
            </w:pPr>
            <w:r w:rsidRPr="00545EC0">
              <w:rPr>
                <w:rFonts w:cs="Arial"/>
                <w:b/>
                <w:sz w:val="18"/>
                <w:szCs w:val="18"/>
              </w:rPr>
              <w:t>Okoljski cilji bodo doseženi</w:t>
            </w:r>
          </w:p>
        </w:tc>
        <w:tc>
          <w:tcPr>
            <w:tcW w:w="5457" w:type="dxa"/>
            <w:tcBorders>
              <w:top w:val="single" w:sz="4" w:space="0" w:color="auto"/>
              <w:left w:val="nil"/>
              <w:bottom w:val="single" w:sz="4" w:space="0" w:color="auto"/>
              <w:right w:val="single" w:sz="4" w:space="0" w:color="auto"/>
            </w:tcBorders>
            <w:shd w:val="clear" w:color="auto" w:fill="auto"/>
            <w:vAlign w:val="center"/>
            <w:hideMark/>
          </w:tcPr>
          <w:p w14:paraId="3108B9B5" w14:textId="77777777" w:rsidR="008F72B1" w:rsidRPr="00545EC0" w:rsidRDefault="008F72B1" w:rsidP="00BF52D7">
            <w:pPr>
              <w:jc w:val="left"/>
              <w:rPr>
                <w:rFonts w:cs="Arial"/>
                <w:sz w:val="18"/>
                <w:szCs w:val="18"/>
              </w:rPr>
            </w:pPr>
            <w:r w:rsidRPr="00545EC0">
              <w:rPr>
                <w:rFonts w:cs="Arial"/>
                <w:sz w:val="18"/>
                <w:szCs w:val="18"/>
              </w:rPr>
              <w:t>Stanje je na osnovi rezultatov monitoringa ocenjeno kot dobro. Obremenitve so manjše od razpoložljivih zalog.</w:t>
            </w:r>
          </w:p>
        </w:tc>
      </w:tr>
      <w:tr w:rsidR="003122F4" w:rsidRPr="00545EC0" w14:paraId="0EEF1516" w14:textId="77777777" w:rsidTr="008F72B1">
        <w:trPr>
          <w:trHeight w:val="900"/>
        </w:trPr>
        <w:tc>
          <w:tcPr>
            <w:tcW w:w="3701" w:type="dxa"/>
            <w:tcBorders>
              <w:top w:val="nil"/>
              <w:left w:val="single" w:sz="4" w:space="0" w:color="auto"/>
              <w:bottom w:val="single" w:sz="4" w:space="0" w:color="auto"/>
              <w:right w:val="single" w:sz="4" w:space="0" w:color="auto"/>
            </w:tcBorders>
            <w:shd w:val="clear" w:color="auto" w:fill="auto"/>
            <w:vAlign w:val="center"/>
            <w:hideMark/>
          </w:tcPr>
          <w:p w14:paraId="5AA68196" w14:textId="77777777" w:rsidR="008F72B1" w:rsidRPr="00545EC0" w:rsidRDefault="008F72B1" w:rsidP="00BF52D7">
            <w:pPr>
              <w:jc w:val="left"/>
              <w:rPr>
                <w:rFonts w:cs="Arial"/>
                <w:b/>
                <w:sz w:val="18"/>
                <w:szCs w:val="18"/>
              </w:rPr>
            </w:pPr>
            <w:r w:rsidRPr="00545EC0">
              <w:rPr>
                <w:rFonts w:cs="Arial"/>
                <w:b/>
                <w:sz w:val="18"/>
                <w:szCs w:val="18"/>
              </w:rPr>
              <w:t>Okoljski cilji morda bodo ali morda ne bodo doseženi (ang. possibly at risk)</w:t>
            </w:r>
          </w:p>
        </w:tc>
        <w:tc>
          <w:tcPr>
            <w:tcW w:w="5457" w:type="dxa"/>
            <w:tcBorders>
              <w:top w:val="nil"/>
              <w:left w:val="nil"/>
              <w:bottom w:val="single" w:sz="4" w:space="0" w:color="auto"/>
              <w:right w:val="single" w:sz="4" w:space="0" w:color="auto"/>
            </w:tcBorders>
            <w:shd w:val="clear" w:color="auto" w:fill="auto"/>
            <w:vAlign w:val="center"/>
            <w:hideMark/>
          </w:tcPr>
          <w:p w14:paraId="40C63514" w14:textId="1B8B258A" w:rsidR="008F72B1" w:rsidRPr="00545EC0" w:rsidRDefault="008F72B1" w:rsidP="00BF52D7">
            <w:pPr>
              <w:jc w:val="left"/>
              <w:rPr>
                <w:rFonts w:cs="Arial"/>
                <w:sz w:val="18"/>
                <w:szCs w:val="18"/>
              </w:rPr>
            </w:pPr>
            <w:r w:rsidRPr="00545EC0">
              <w:rPr>
                <w:rFonts w:cs="Arial"/>
                <w:sz w:val="18"/>
                <w:szCs w:val="18"/>
              </w:rPr>
              <w:t xml:space="preserve">Rezultati dosedanjega monitoringa ne zadoščajo za zanesljivo oceno </w:t>
            </w:r>
            <w:r w:rsidRPr="00545EC0">
              <w:rPr>
                <w:sz w:val="18"/>
                <w:szCs w:val="18"/>
              </w:rPr>
              <w:t>kritične vrednosti za obrat trenda še niso določene</w:t>
            </w:r>
            <w:r w:rsidRPr="00545EC0">
              <w:rPr>
                <w:rFonts w:cs="Arial"/>
                <w:sz w:val="18"/>
                <w:szCs w:val="18"/>
              </w:rPr>
              <w:t>. Obstaja nevarnost neravnovesnega stanja.</w:t>
            </w:r>
          </w:p>
        </w:tc>
      </w:tr>
      <w:tr w:rsidR="003122F4" w:rsidRPr="00545EC0" w14:paraId="5885D88A" w14:textId="77777777" w:rsidTr="008F72B1">
        <w:trPr>
          <w:trHeight w:val="1200"/>
        </w:trPr>
        <w:tc>
          <w:tcPr>
            <w:tcW w:w="3701" w:type="dxa"/>
            <w:tcBorders>
              <w:top w:val="nil"/>
              <w:left w:val="single" w:sz="4" w:space="0" w:color="auto"/>
              <w:bottom w:val="single" w:sz="4" w:space="0" w:color="auto"/>
              <w:right w:val="single" w:sz="4" w:space="0" w:color="auto"/>
            </w:tcBorders>
            <w:shd w:val="clear" w:color="auto" w:fill="auto"/>
            <w:vAlign w:val="center"/>
            <w:hideMark/>
          </w:tcPr>
          <w:p w14:paraId="0508B826" w14:textId="77777777" w:rsidR="008F72B1" w:rsidRPr="00545EC0" w:rsidRDefault="008F72B1" w:rsidP="00BF52D7">
            <w:pPr>
              <w:jc w:val="left"/>
              <w:rPr>
                <w:rFonts w:cs="Arial"/>
                <w:b/>
                <w:sz w:val="18"/>
                <w:szCs w:val="18"/>
              </w:rPr>
            </w:pPr>
            <w:r w:rsidRPr="00545EC0">
              <w:rPr>
                <w:rFonts w:cs="Arial"/>
                <w:b/>
                <w:sz w:val="18"/>
                <w:szCs w:val="18"/>
              </w:rPr>
              <w:t>Okoljski cilji ne bodo doseženi</w:t>
            </w:r>
          </w:p>
        </w:tc>
        <w:tc>
          <w:tcPr>
            <w:tcW w:w="5457" w:type="dxa"/>
            <w:tcBorders>
              <w:top w:val="nil"/>
              <w:left w:val="nil"/>
              <w:bottom w:val="single" w:sz="4" w:space="0" w:color="auto"/>
              <w:right w:val="single" w:sz="4" w:space="0" w:color="auto"/>
            </w:tcBorders>
            <w:shd w:val="clear" w:color="auto" w:fill="auto"/>
            <w:vAlign w:val="center"/>
            <w:hideMark/>
          </w:tcPr>
          <w:p w14:paraId="3A8D4466" w14:textId="77777777" w:rsidR="008F72B1" w:rsidRPr="00545EC0" w:rsidRDefault="008F72B1" w:rsidP="00BF52D7">
            <w:pPr>
              <w:jc w:val="left"/>
              <w:rPr>
                <w:rFonts w:cs="Arial"/>
                <w:sz w:val="18"/>
                <w:szCs w:val="18"/>
              </w:rPr>
            </w:pPr>
            <w:r w:rsidRPr="00545EC0">
              <w:rPr>
                <w:rFonts w:cs="Arial"/>
                <w:sz w:val="18"/>
                <w:szCs w:val="18"/>
              </w:rPr>
              <w:t>Stanje je na osnovi rezultatov monitoringa ocenjeno kot slabo. Obremenitve so večje od razpoložljivih zalog.</w:t>
            </w:r>
          </w:p>
        </w:tc>
      </w:tr>
    </w:tbl>
    <w:p w14:paraId="180DE8C4" w14:textId="77777777" w:rsidR="00BD39F6" w:rsidRPr="00545EC0" w:rsidRDefault="00BD39F6" w:rsidP="00BD39F6">
      <w:pPr>
        <w:pStyle w:val="podnaslov0"/>
      </w:pPr>
      <w:r w:rsidRPr="00545EC0">
        <w:t>Napoved verjetnosti doseganja okoljskih ciljev - kemijsko stanje VTPodV</w:t>
      </w:r>
    </w:p>
    <w:p w14:paraId="01BAA688" w14:textId="3DDD8DEA" w:rsidR="00110F1A" w:rsidRPr="00545EC0" w:rsidRDefault="00110F1A" w:rsidP="00D5428C">
      <w:pPr>
        <w:rPr>
          <w:rFonts w:cs="Arial"/>
        </w:rPr>
      </w:pPr>
      <w:r w:rsidRPr="00545EC0">
        <w:rPr>
          <w:rFonts w:cs="Arial"/>
        </w:rPr>
        <w:t>Na podlagi napovedi trendov onesnaževal v podzemni vodi do leta 2027, vplivov obremenitev iz točkovnih ali razpršenih virov onesnaženja, stanja podzemne vode za oskrbo s pitno vodo in stanja ohranjenosti ekosistemov odvisnih od podzemne vode, podzemna voda iz aluvialnih vodonosnikov VTPodV Savinjska kotlina in Dravska kotlina</w:t>
      </w:r>
      <w:r w:rsidR="00A950E6" w:rsidRPr="00545EC0">
        <w:rPr>
          <w:rFonts w:cs="Arial"/>
        </w:rPr>
        <w:t>,</w:t>
      </w:r>
      <w:r w:rsidRPr="00545EC0">
        <w:rPr>
          <w:rFonts w:cs="Arial"/>
        </w:rPr>
        <w:t xml:space="preserve"> po dosedanji oceni</w:t>
      </w:r>
      <w:r w:rsidR="00A950E6" w:rsidRPr="00545EC0">
        <w:rPr>
          <w:rFonts w:cs="Arial"/>
        </w:rPr>
        <w:t>,</w:t>
      </w:r>
      <w:r w:rsidRPr="00545EC0">
        <w:rPr>
          <w:rFonts w:cs="Arial"/>
        </w:rPr>
        <w:t xml:space="preserve"> ne bo dosegla okoljskih ciljev v predvidenem roku do leta 2027 (</w:t>
      </w:r>
      <w:r w:rsidR="009E2696" w:rsidRPr="00545EC0">
        <w:rPr>
          <w:rFonts w:cs="Arial"/>
        </w:rPr>
        <w:fldChar w:fldCharType="begin"/>
      </w:r>
      <w:r w:rsidR="009E2696" w:rsidRPr="00545EC0">
        <w:rPr>
          <w:rFonts w:cs="Arial"/>
        </w:rPr>
        <w:instrText xml:space="preserve"> REF _Ref453941193 \h  \* MERGEFORMAT </w:instrText>
      </w:r>
      <w:r w:rsidR="009E2696" w:rsidRPr="00545EC0">
        <w:rPr>
          <w:rFonts w:cs="Arial"/>
        </w:rPr>
      </w:r>
      <w:r w:rsidR="009E2696" w:rsidRPr="00545EC0">
        <w:rPr>
          <w:rFonts w:cs="Arial"/>
        </w:rPr>
        <w:fldChar w:fldCharType="separate"/>
      </w:r>
      <w:r w:rsidR="002F3E43" w:rsidRPr="00545EC0">
        <w:t xml:space="preserve">Preglednica </w:t>
      </w:r>
      <w:r w:rsidR="002F3E43">
        <w:rPr>
          <w:noProof/>
        </w:rPr>
        <w:t>2</w:t>
      </w:r>
      <w:r w:rsidR="002F3E43" w:rsidRPr="00545EC0">
        <w:rPr>
          <w:noProof/>
        </w:rPr>
        <w:noBreakHyphen/>
      </w:r>
      <w:r w:rsidR="002F3E43">
        <w:rPr>
          <w:noProof/>
        </w:rPr>
        <w:t>47</w:t>
      </w:r>
      <w:r w:rsidR="009E2696" w:rsidRPr="00545EC0">
        <w:rPr>
          <w:rFonts w:cs="Arial"/>
        </w:rPr>
        <w:fldChar w:fldCharType="end"/>
      </w:r>
      <w:r w:rsidRPr="00545EC0">
        <w:rPr>
          <w:rFonts w:cs="Arial"/>
        </w:rPr>
        <w:t xml:space="preserve">). Za VTPodV Murska kotlina je ocenjeno, da bodo okoljski cilji morda doseženi.  </w:t>
      </w:r>
    </w:p>
    <w:p w14:paraId="709351DF" w14:textId="77777777" w:rsidR="00110F1A" w:rsidRPr="00545EC0" w:rsidRDefault="00110F1A" w:rsidP="00D5428C">
      <w:pPr>
        <w:rPr>
          <w:rFonts w:cs="Arial"/>
          <w:lang w:eastAsia="pl-PL"/>
        </w:rPr>
      </w:pPr>
    </w:p>
    <w:p w14:paraId="5EB8C722" w14:textId="431396C6" w:rsidR="00110F1A" w:rsidRPr="00545EC0" w:rsidRDefault="00110F1A" w:rsidP="00110F1A">
      <w:pPr>
        <w:spacing w:after="120"/>
        <w:rPr>
          <w:lang w:val="pl-PL" w:eastAsia="pl-PL"/>
        </w:rPr>
      </w:pPr>
      <w:bookmarkStart w:id="357" w:name="_Ref453941193"/>
      <w:bookmarkStart w:id="358" w:name="_Toc468270315"/>
      <w:bookmarkStart w:id="359" w:name="_Toc60896680"/>
      <w:bookmarkStart w:id="360" w:name="_Toc71784574"/>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47</w:t>
        </w:r>
      </w:fldSimple>
      <w:bookmarkEnd w:id="357"/>
      <w:r w:rsidRPr="00545EC0">
        <w:t>: OVDOC 2027 za kemijsko stanje glede na izhodiščno stanje.</w:t>
      </w:r>
      <w:bookmarkEnd w:id="358"/>
      <w:bookmarkEnd w:id="359"/>
      <w:bookmarkEnd w:id="360"/>
    </w:p>
    <w:tbl>
      <w:tblPr>
        <w:tblW w:w="0" w:type="auto"/>
        <w:tblLayout w:type="fixed"/>
        <w:tblCellMar>
          <w:left w:w="70" w:type="dxa"/>
          <w:right w:w="70" w:type="dxa"/>
        </w:tblCellMar>
        <w:tblLook w:val="04A0" w:firstRow="1" w:lastRow="0" w:firstColumn="1" w:lastColumn="0" w:noHBand="0" w:noVBand="1"/>
      </w:tblPr>
      <w:tblGrid>
        <w:gridCol w:w="1630"/>
        <w:gridCol w:w="3402"/>
        <w:gridCol w:w="2268"/>
        <w:gridCol w:w="1911"/>
      </w:tblGrid>
      <w:tr w:rsidR="003122F4" w:rsidRPr="00545EC0" w14:paraId="31753389" w14:textId="77777777" w:rsidTr="00BD39F6">
        <w:trPr>
          <w:trHeight w:val="300"/>
          <w:tblHeader/>
        </w:trPr>
        <w:tc>
          <w:tcPr>
            <w:tcW w:w="1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1BC3C24" w14:textId="77777777" w:rsidR="00110F1A" w:rsidRPr="00545EC0" w:rsidRDefault="00110F1A" w:rsidP="00F67214">
            <w:pPr>
              <w:spacing w:line="240" w:lineRule="auto"/>
              <w:rPr>
                <w:rFonts w:cs="Arial"/>
                <w:b/>
                <w:bCs/>
                <w:sz w:val="18"/>
                <w:szCs w:val="18"/>
              </w:rPr>
            </w:pPr>
            <w:r w:rsidRPr="00545EC0">
              <w:rPr>
                <w:rFonts w:cs="Arial"/>
                <w:b/>
                <w:bCs/>
                <w:sz w:val="18"/>
                <w:szCs w:val="18"/>
              </w:rPr>
              <w:t>VTPODV_ID</w:t>
            </w:r>
          </w:p>
        </w:tc>
        <w:tc>
          <w:tcPr>
            <w:tcW w:w="340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D5C1448" w14:textId="77777777" w:rsidR="00110F1A" w:rsidRPr="00545EC0" w:rsidRDefault="00110F1A" w:rsidP="00F67214">
            <w:pPr>
              <w:spacing w:line="240" w:lineRule="auto"/>
              <w:rPr>
                <w:rFonts w:cs="Arial"/>
                <w:b/>
                <w:bCs/>
                <w:sz w:val="18"/>
                <w:szCs w:val="18"/>
              </w:rPr>
            </w:pPr>
            <w:r w:rsidRPr="00545EC0">
              <w:rPr>
                <w:rFonts w:cs="Arial"/>
                <w:b/>
                <w:bCs/>
                <w:sz w:val="18"/>
                <w:szCs w:val="18"/>
              </w:rPr>
              <w:t>IME VTPODV</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082FAE1" w14:textId="77777777" w:rsidR="00110F1A" w:rsidRPr="00545EC0" w:rsidRDefault="00110F1A" w:rsidP="00F67214">
            <w:pPr>
              <w:spacing w:line="240" w:lineRule="auto"/>
              <w:rPr>
                <w:rFonts w:cs="Arial"/>
                <w:b/>
                <w:bCs/>
                <w:sz w:val="18"/>
                <w:szCs w:val="18"/>
              </w:rPr>
            </w:pPr>
            <w:r w:rsidRPr="00545EC0">
              <w:rPr>
                <w:rFonts w:cs="Arial"/>
                <w:b/>
                <w:bCs/>
                <w:sz w:val="18"/>
                <w:szCs w:val="18"/>
              </w:rPr>
              <w:t>OVDOC 2027</w:t>
            </w:r>
          </w:p>
        </w:tc>
        <w:tc>
          <w:tcPr>
            <w:tcW w:w="191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BDF52B8" w14:textId="77777777" w:rsidR="00110F1A" w:rsidRPr="00545EC0" w:rsidRDefault="00110F1A" w:rsidP="00F67214">
            <w:pPr>
              <w:spacing w:line="240" w:lineRule="auto"/>
              <w:rPr>
                <w:rFonts w:cs="Arial"/>
                <w:b/>
                <w:bCs/>
                <w:sz w:val="18"/>
                <w:szCs w:val="18"/>
              </w:rPr>
            </w:pPr>
            <w:r w:rsidRPr="00545EC0">
              <w:rPr>
                <w:rFonts w:cs="Arial"/>
                <w:b/>
                <w:bCs/>
                <w:sz w:val="18"/>
                <w:szCs w:val="18"/>
              </w:rPr>
              <w:t xml:space="preserve">Vodonosnik (Ur.l. RS, št. 63/05 in 8/18) s podzemno vodo z negotovim stanjem </w:t>
            </w:r>
          </w:p>
        </w:tc>
      </w:tr>
      <w:tr w:rsidR="003122F4" w:rsidRPr="00545EC0" w14:paraId="627988D6" w14:textId="77777777" w:rsidTr="00BD39F6">
        <w:trPr>
          <w:trHeight w:val="300"/>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14:paraId="7846EEAD" w14:textId="77777777" w:rsidR="00110F1A" w:rsidRPr="00545EC0" w:rsidRDefault="00110F1A" w:rsidP="00F67214">
            <w:pPr>
              <w:spacing w:line="240" w:lineRule="auto"/>
              <w:rPr>
                <w:rFonts w:cs="Arial"/>
                <w:sz w:val="18"/>
                <w:szCs w:val="18"/>
              </w:rPr>
            </w:pPr>
            <w:r w:rsidRPr="00545EC0">
              <w:rPr>
                <w:rFonts w:cs="Arial"/>
                <w:sz w:val="18"/>
                <w:szCs w:val="18"/>
              </w:rPr>
              <w:t>VTPODV_1001</w:t>
            </w:r>
          </w:p>
        </w:tc>
        <w:tc>
          <w:tcPr>
            <w:tcW w:w="3402" w:type="dxa"/>
            <w:tcBorders>
              <w:top w:val="nil"/>
              <w:left w:val="nil"/>
              <w:bottom w:val="single" w:sz="4" w:space="0" w:color="auto"/>
              <w:right w:val="single" w:sz="4" w:space="0" w:color="auto"/>
            </w:tcBorders>
            <w:shd w:val="clear" w:color="auto" w:fill="auto"/>
            <w:noWrap/>
            <w:vAlign w:val="center"/>
            <w:hideMark/>
          </w:tcPr>
          <w:p w14:paraId="543F4FDE" w14:textId="77777777" w:rsidR="00110F1A" w:rsidRPr="00545EC0" w:rsidRDefault="00110F1A" w:rsidP="00F67214">
            <w:pPr>
              <w:spacing w:line="240" w:lineRule="auto"/>
              <w:rPr>
                <w:rFonts w:cs="Arial"/>
                <w:sz w:val="18"/>
                <w:szCs w:val="18"/>
              </w:rPr>
            </w:pPr>
            <w:r w:rsidRPr="00545EC0">
              <w:rPr>
                <w:rFonts w:cs="Arial"/>
                <w:sz w:val="18"/>
                <w:szCs w:val="18"/>
                <w:vertAlign w:val="superscript"/>
              </w:rPr>
              <w:t>1,2</w:t>
            </w:r>
            <w:r w:rsidRPr="00545EC0">
              <w:rPr>
                <w:rFonts w:cs="Arial"/>
                <w:sz w:val="18"/>
                <w:szCs w:val="18"/>
              </w:rPr>
              <w:t>Savska kotlina in Ljubljansko Barje</w:t>
            </w:r>
          </w:p>
        </w:tc>
        <w:tc>
          <w:tcPr>
            <w:tcW w:w="2268" w:type="dxa"/>
            <w:tcBorders>
              <w:top w:val="nil"/>
              <w:left w:val="nil"/>
              <w:bottom w:val="single" w:sz="4" w:space="0" w:color="auto"/>
              <w:right w:val="single" w:sz="4" w:space="0" w:color="auto"/>
            </w:tcBorders>
            <w:shd w:val="clear" w:color="auto" w:fill="auto"/>
            <w:noWrap/>
            <w:vAlign w:val="center"/>
            <w:hideMark/>
          </w:tcPr>
          <w:p w14:paraId="1BE7DC94" w14:textId="77777777" w:rsidR="00110F1A" w:rsidRPr="00545EC0" w:rsidRDefault="00110F1A" w:rsidP="00F67214">
            <w:pPr>
              <w:spacing w:line="240" w:lineRule="auto"/>
              <w:rPr>
                <w:rFonts w:cs="Arial"/>
                <w:sz w:val="18"/>
                <w:szCs w:val="18"/>
              </w:rPr>
            </w:pPr>
            <w:r w:rsidRPr="00545EC0">
              <w:rPr>
                <w:rFonts w:cs="Arial"/>
                <w:sz w:val="18"/>
                <w:szCs w:val="18"/>
              </w:rPr>
              <w:t>cilji bodo doseženi</w:t>
            </w:r>
          </w:p>
        </w:tc>
        <w:tc>
          <w:tcPr>
            <w:tcW w:w="1911" w:type="dxa"/>
            <w:tcBorders>
              <w:top w:val="nil"/>
              <w:left w:val="nil"/>
              <w:bottom w:val="single" w:sz="4" w:space="0" w:color="auto"/>
              <w:right w:val="single" w:sz="4" w:space="0" w:color="auto"/>
            </w:tcBorders>
            <w:shd w:val="clear" w:color="auto" w:fill="auto"/>
            <w:noWrap/>
            <w:vAlign w:val="center"/>
            <w:hideMark/>
          </w:tcPr>
          <w:p w14:paraId="2905E6F2" w14:textId="77777777" w:rsidR="00110F1A" w:rsidRPr="00545EC0" w:rsidRDefault="00110F1A" w:rsidP="00F67214">
            <w:pPr>
              <w:spacing w:line="240" w:lineRule="auto"/>
              <w:rPr>
                <w:rFonts w:cs="Arial"/>
                <w:sz w:val="18"/>
                <w:szCs w:val="18"/>
              </w:rPr>
            </w:pPr>
          </w:p>
        </w:tc>
      </w:tr>
      <w:tr w:rsidR="003122F4" w:rsidRPr="00545EC0" w14:paraId="4470522B" w14:textId="77777777" w:rsidTr="00BD39F6">
        <w:trPr>
          <w:trHeight w:val="300"/>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14:paraId="6B83590C" w14:textId="77777777" w:rsidR="00110F1A" w:rsidRPr="00545EC0" w:rsidRDefault="00110F1A" w:rsidP="00F67214">
            <w:pPr>
              <w:spacing w:line="240" w:lineRule="auto"/>
              <w:rPr>
                <w:rFonts w:cs="Arial"/>
                <w:sz w:val="18"/>
                <w:szCs w:val="18"/>
              </w:rPr>
            </w:pPr>
            <w:r w:rsidRPr="00545EC0">
              <w:rPr>
                <w:rFonts w:cs="Arial"/>
                <w:sz w:val="18"/>
                <w:szCs w:val="18"/>
              </w:rPr>
              <w:t>VTPODV_1002</w:t>
            </w:r>
          </w:p>
        </w:tc>
        <w:tc>
          <w:tcPr>
            <w:tcW w:w="3402" w:type="dxa"/>
            <w:tcBorders>
              <w:top w:val="nil"/>
              <w:left w:val="nil"/>
              <w:bottom w:val="single" w:sz="4" w:space="0" w:color="auto"/>
              <w:right w:val="single" w:sz="4" w:space="0" w:color="auto"/>
            </w:tcBorders>
            <w:shd w:val="clear" w:color="auto" w:fill="auto"/>
            <w:noWrap/>
            <w:vAlign w:val="center"/>
            <w:hideMark/>
          </w:tcPr>
          <w:p w14:paraId="28FC235D" w14:textId="77777777" w:rsidR="00110F1A" w:rsidRPr="00545EC0" w:rsidRDefault="00110F1A" w:rsidP="00F67214">
            <w:pPr>
              <w:spacing w:line="240" w:lineRule="auto"/>
              <w:rPr>
                <w:rFonts w:cs="Arial"/>
                <w:sz w:val="18"/>
                <w:szCs w:val="18"/>
              </w:rPr>
            </w:pPr>
            <w:r w:rsidRPr="00545EC0">
              <w:rPr>
                <w:rFonts w:cs="Arial"/>
                <w:sz w:val="18"/>
                <w:szCs w:val="18"/>
              </w:rPr>
              <w:t>Savinjska kotlina</w:t>
            </w:r>
          </w:p>
        </w:tc>
        <w:tc>
          <w:tcPr>
            <w:tcW w:w="2268" w:type="dxa"/>
            <w:tcBorders>
              <w:top w:val="nil"/>
              <w:left w:val="nil"/>
              <w:bottom w:val="single" w:sz="4" w:space="0" w:color="auto"/>
              <w:right w:val="single" w:sz="4" w:space="0" w:color="auto"/>
            </w:tcBorders>
            <w:shd w:val="clear" w:color="auto" w:fill="auto"/>
            <w:noWrap/>
            <w:vAlign w:val="center"/>
            <w:hideMark/>
          </w:tcPr>
          <w:p w14:paraId="6BE55FF4" w14:textId="77777777" w:rsidR="00110F1A" w:rsidRPr="00545EC0" w:rsidRDefault="00110F1A" w:rsidP="00F67214">
            <w:pPr>
              <w:spacing w:line="240" w:lineRule="auto"/>
              <w:rPr>
                <w:rFonts w:cs="Arial"/>
                <w:sz w:val="18"/>
                <w:szCs w:val="18"/>
              </w:rPr>
            </w:pPr>
            <w:r w:rsidRPr="00545EC0">
              <w:rPr>
                <w:rFonts w:cs="Arial"/>
                <w:sz w:val="18"/>
                <w:szCs w:val="18"/>
              </w:rPr>
              <w:t>cilji ne bodo doseženi</w:t>
            </w:r>
          </w:p>
        </w:tc>
        <w:tc>
          <w:tcPr>
            <w:tcW w:w="1911" w:type="dxa"/>
            <w:tcBorders>
              <w:top w:val="nil"/>
              <w:left w:val="nil"/>
              <w:bottom w:val="single" w:sz="4" w:space="0" w:color="auto"/>
              <w:right w:val="single" w:sz="4" w:space="0" w:color="auto"/>
            </w:tcBorders>
            <w:shd w:val="clear" w:color="auto" w:fill="auto"/>
            <w:noWrap/>
            <w:vAlign w:val="center"/>
            <w:hideMark/>
          </w:tcPr>
          <w:p w14:paraId="599F042F" w14:textId="77777777" w:rsidR="00110F1A" w:rsidRPr="00545EC0" w:rsidRDefault="00110F1A" w:rsidP="00F67214">
            <w:pPr>
              <w:spacing w:line="240" w:lineRule="auto"/>
              <w:rPr>
                <w:rFonts w:cs="Arial"/>
                <w:sz w:val="18"/>
                <w:szCs w:val="18"/>
              </w:rPr>
            </w:pPr>
            <w:r w:rsidRPr="00545EC0">
              <w:rPr>
                <w:rFonts w:cs="Arial"/>
                <w:sz w:val="18"/>
                <w:szCs w:val="18"/>
              </w:rPr>
              <w:t>1. vodonosnik</w:t>
            </w:r>
          </w:p>
        </w:tc>
      </w:tr>
      <w:tr w:rsidR="003122F4" w:rsidRPr="00545EC0" w14:paraId="1FC2980F" w14:textId="77777777" w:rsidTr="00BD39F6">
        <w:trPr>
          <w:trHeight w:val="300"/>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14:paraId="240D2652" w14:textId="77777777" w:rsidR="00110F1A" w:rsidRPr="00545EC0" w:rsidRDefault="00110F1A" w:rsidP="00F67214">
            <w:pPr>
              <w:spacing w:line="240" w:lineRule="auto"/>
              <w:rPr>
                <w:rFonts w:cs="Arial"/>
                <w:sz w:val="18"/>
                <w:szCs w:val="18"/>
              </w:rPr>
            </w:pPr>
            <w:r w:rsidRPr="00545EC0">
              <w:rPr>
                <w:rFonts w:cs="Arial"/>
                <w:sz w:val="18"/>
                <w:szCs w:val="18"/>
              </w:rPr>
              <w:t>VTPODV_1003</w:t>
            </w:r>
          </w:p>
        </w:tc>
        <w:tc>
          <w:tcPr>
            <w:tcW w:w="3402" w:type="dxa"/>
            <w:tcBorders>
              <w:top w:val="nil"/>
              <w:left w:val="nil"/>
              <w:bottom w:val="single" w:sz="4" w:space="0" w:color="auto"/>
              <w:right w:val="single" w:sz="4" w:space="0" w:color="auto"/>
            </w:tcBorders>
            <w:shd w:val="clear" w:color="auto" w:fill="auto"/>
            <w:noWrap/>
            <w:vAlign w:val="center"/>
            <w:hideMark/>
          </w:tcPr>
          <w:p w14:paraId="2783E471" w14:textId="77777777" w:rsidR="00110F1A" w:rsidRPr="00545EC0" w:rsidRDefault="00110F1A" w:rsidP="00F67214">
            <w:pPr>
              <w:spacing w:line="240" w:lineRule="auto"/>
              <w:rPr>
                <w:rFonts w:cs="Arial"/>
                <w:sz w:val="18"/>
                <w:szCs w:val="18"/>
              </w:rPr>
            </w:pPr>
            <w:r w:rsidRPr="00545EC0">
              <w:rPr>
                <w:rFonts w:cs="Arial"/>
                <w:sz w:val="18"/>
                <w:szCs w:val="18"/>
                <w:vertAlign w:val="superscript"/>
              </w:rPr>
              <w:t>1</w:t>
            </w:r>
            <w:r w:rsidRPr="00545EC0">
              <w:rPr>
                <w:rFonts w:cs="Arial"/>
                <w:sz w:val="18"/>
                <w:szCs w:val="18"/>
              </w:rPr>
              <w:t>Krška kotlina</w:t>
            </w:r>
          </w:p>
        </w:tc>
        <w:tc>
          <w:tcPr>
            <w:tcW w:w="2268" w:type="dxa"/>
            <w:tcBorders>
              <w:top w:val="nil"/>
              <w:left w:val="nil"/>
              <w:bottom w:val="single" w:sz="4" w:space="0" w:color="auto"/>
              <w:right w:val="single" w:sz="4" w:space="0" w:color="auto"/>
            </w:tcBorders>
            <w:shd w:val="clear" w:color="auto" w:fill="auto"/>
            <w:noWrap/>
            <w:vAlign w:val="center"/>
            <w:hideMark/>
          </w:tcPr>
          <w:p w14:paraId="09DF95ED" w14:textId="77777777" w:rsidR="00110F1A" w:rsidRPr="00545EC0" w:rsidRDefault="00110F1A" w:rsidP="00F67214">
            <w:pPr>
              <w:spacing w:line="240" w:lineRule="auto"/>
              <w:rPr>
                <w:rFonts w:cs="Arial"/>
                <w:sz w:val="18"/>
                <w:szCs w:val="18"/>
              </w:rPr>
            </w:pPr>
            <w:r w:rsidRPr="00545EC0">
              <w:rPr>
                <w:rFonts w:cs="Arial"/>
                <w:sz w:val="18"/>
                <w:szCs w:val="18"/>
              </w:rPr>
              <w:t xml:space="preserve">cilji bodo doseženi </w:t>
            </w:r>
          </w:p>
        </w:tc>
        <w:tc>
          <w:tcPr>
            <w:tcW w:w="1911" w:type="dxa"/>
            <w:tcBorders>
              <w:top w:val="nil"/>
              <w:left w:val="nil"/>
              <w:bottom w:val="single" w:sz="4" w:space="0" w:color="auto"/>
              <w:right w:val="single" w:sz="4" w:space="0" w:color="auto"/>
            </w:tcBorders>
            <w:shd w:val="clear" w:color="auto" w:fill="auto"/>
            <w:noWrap/>
            <w:vAlign w:val="center"/>
            <w:hideMark/>
          </w:tcPr>
          <w:p w14:paraId="61875487" w14:textId="77777777" w:rsidR="00110F1A" w:rsidRPr="00545EC0" w:rsidRDefault="00110F1A" w:rsidP="00F67214">
            <w:pPr>
              <w:spacing w:line="240" w:lineRule="auto"/>
              <w:rPr>
                <w:rFonts w:cs="Arial"/>
                <w:sz w:val="18"/>
                <w:szCs w:val="18"/>
              </w:rPr>
            </w:pPr>
          </w:p>
        </w:tc>
      </w:tr>
      <w:tr w:rsidR="003122F4" w:rsidRPr="00545EC0" w14:paraId="5C009642" w14:textId="77777777" w:rsidTr="00BD39F6">
        <w:trPr>
          <w:trHeight w:val="300"/>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14:paraId="07504933" w14:textId="77777777" w:rsidR="00110F1A" w:rsidRPr="00545EC0" w:rsidRDefault="00110F1A" w:rsidP="00F67214">
            <w:pPr>
              <w:spacing w:line="240" w:lineRule="auto"/>
              <w:rPr>
                <w:rFonts w:cs="Arial"/>
                <w:sz w:val="18"/>
                <w:szCs w:val="18"/>
              </w:rPr>
            </w:pPr>
            <w:r w:rsidRPr="00545EC0">
              <w:rPr>
                <w:rFonts w:cs="Arial"/>
                <w:sz w:val="18"/>
                <w:szCs w:val="18"/>
              </w:rPr>
              <w:t>VTPODV_1004</w:t>
            </w:r>
          </w:p>
        </w:tc>
        <w:tc>
          <w:tcPr>
            <w:tcW w:w="3402" w:type="dxa"/>
            <w:tcBorders>
              <w:top w:val="nil"/>
              <w:left w:val="nil"/>
              <w:bottom w:val="single" w:sz="4" w:space="0" w:color="auto"/>
              <w:right w:val="single" w:sz="4" w:space="0" w:color="auto"/>
            </w:tcBorders>
            <w:shd w:val="clear" w:color="auto" w:fill="auto"/>
            <w:noWrap/>
            <w:vAlign w:val="center"/>
            <w:hideMark/>
          </w:tcPr>
          <w:p w14:paraId="2E14E386" w14:textId="77777777" w:rsidR="00110F1A" w:rsidRPr="00545EC0" w:rsidRDefault="00110F1A" w:rsidP="00F67214">
            <w:pPr>
              <w:spacing w:line="240" w:lineRule="auto"/>
              <w:rPr>
                <w:rFonts w:cs="Arial"/>
                <w:sz w:val="18"/>
                <w:szCs w:val="18"/>
              </w:rPr>
            </w:pPr>
            <w:r w:rsidRPr="00545EC0">
              <w:rPr>
                <w:rFonts w:cs="Arial"/>
                <w:sz w:val="18"/>
                <w:szCs w:val="18"/>
              </w:rPr>
              <w:t>Julijske Alpe v porečju Save</w:t>
            </w:r>
          </w:p>
        </w:tc>
        <w:tc>
          <w:tcPr>
            <w:tcW w:w="2268" w:type="dxa"/>
            <w:tcBorders>
              <w:top w:val="nil"/>
              <w:left w:val="nil"/>
              <w:bottom w:val="single" w:sz="4" w:space="0" w:color="auto"/>
              <w:right w:val="single" w:sz="4" w:space="0" w:color="auto"/>
            </w:tcBorders>
            <w:shd w:val="clear" w:color="auto" w:fill="auto"/>
            <w:noWrap/>
            <w:vAlign w:val="center"/>
            <w:hideMark/>
          </w:tcPr>
          <w:p w14:paraId="726955C8" w14:textId="77777777" w:rsidR="00110F1A" w:rsidRPr="00545EC0" w:rsidRDefault="00110F1A" w:rsidP="00F67214">
            <w:pPr>
              <w:spacing w:line="240" w:lineRule="auto"/>
              <w:rPr>
                <w:rFonts w:cs="Arial"/>
                <w:sz w:val="18"/>
                <w:szCs w:val="18"/>
              </w:rPr>
            </w:pPr>
            <w:r w:rsidRPr="00545EC0">
              <w:rPr>
                <w:rFonts w:cs="Arial"/>
                <w:sz w:val="18"/>
                <w:szCs w:val="18"/>
              </w:rPr>
              <w:t>cilji bodo doseženi</w:t>
            </w:r>
          </w:p>
        </w:tc>
        <w:tc>
          <w:tcPr>
            <w:tcW w:w="1911" w:type="dxa"/>
            <w:tcBorders>
              <w:top w:val="nil"/>
              <w:left w:val="nil"/>
              <w:bottom w:val="single" w:sz="4" w:space="0" w:color="auto"/>
              <w:right w:val="single" w:sz="4" w:space="0" w:color="auto"/>
            </w:tcBorders>
            <w:shd w:val="clear" w:color="auto" w:fill="auto"/>
            <w:noWrap/>
            <w:vAlign w:val="center"/>
            <w:hideMark/>
          </w:tcPr>
          <w:p w14:paraId="4E0CCC25" w14:textId="77777777" w:rsidR="00110F1A" w:rsidRPr="00545EC0" w:rsidRDefault="00110F1A" w:rsidP="00F67214">
            <w:pPr>
              <w:spacing w:line="240" w:lineRule="auto"/>
              <w:rPr>
                <w:rFonts w:cs="Arial"/>
                <w:sz w:val="18"/>
                <w:szCs w:val="18"/>
              </w:rPr>
            </w:pPr>
            <w:r w:rsidRPr="00545EC0">
              <w:rPr>
                <w:rFonts w:cs="Arial"/>
                <w:sz w:val="18"/>
                <w:szCs w:val="18"/>
              </w:rPr>
              <w:t> </w:t>
            </w:r>
          </w:p>
        </w:tc>
      </w:tr>
      <w:tr w:rsidR="003122F4" w:rsidRPr="00545EC0" w14:paraId="3F8DB277" w14:textId="77777777" w:rsidTr="00BD39F6">
        <w:trPr>
          <w:trHeight w:val="300"/>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14:paraId="1D91549F" w14:textId="77777777" w:rsidR="00110F1A" w:rsidRPr="00545EC0" w:rsidRDefault="00110F1A" w:rsidP="00F67214">
            <w:pPr>
              <w:spacing w:line="240" w:lineRule="auto"/>
              <w:rPr>
                <w:rFonts w:cs="Arial"/>
                <w:sz w:val="18"/>
                <w:szCs w:val="18"/>
              </w:rPr>
            </w:pPr>
            <w:r w:rsidRPr="00545EC0">
              <w:rPr>
                <w:rFonts w:cs="Arial"/>
                <w:sz w:val="18"/>
                <w:szCs w:val="18"/>
              </w:rPr>
              <w:t>VTPODV_1005</w:t>
            </w:r>
          </w:p>
        </w:tc>
        <w:tc>
          <w:tcPr>
            <w:tcW w:w="3402" w:type="dxa"/>
            <w:tcBorders>
              <w:top w:val="nil"/>
              <w:left w:val="nil"/>
              <w:bottom w:val="single" w:sz="4" w:space="0" w:color="auto"/>
              <w:right w:val="single" w:sz="4" w:space="0" w:color="auto"/>
            </w:tcBorders>
            <w:shd w:val="clear" w:color="auto" w:fill="auto"/>
            <w:noWrap/>
            <w:vAlign w:val="center"/>
            <w:hideMark/>
          </w:tcPr>
          <w:p w14:paraId="6B6807CA" w14:textId="77777777" w:rsidR="00110F1A" w:rsidRPr="00545EC0" w:rsidRDefault="00110F1A" w:rsidP="00F67214">
            <w:pPr>
              <w:spacing w:line="240" w:lineRule="auto"/>
              <w:rPr>
                <w:rFonts w:cs="Arial"/>
                <w:sz w:val="18"/>
                <w:szCs w:val="18"/>
              </w:rPr>
            </w:pPr>
            <w:r w:rsidRPr="00545EC0">
              <w:rPr>
                <w:rFonts w:cs="Arial"/>
                <w:sz w:val="18"/>
                <w:szCs w:val="18"/>
              </w:rPr>
              <w:t>Karavanke</w:t>
            </w:r>
          </w:p>
        </w:tc>
        <w:tc>
          <w:tcPr>
            <w:tcW w:w="2268" w:type="dxa"/>
            <w:tcBorders>
              <w:top w:val="nil"/>
              <w:left w:val="nil"/>
              <w:bottom w:val="single" w:sz="4" w:space="0" w:color="auto"/>
              <w:right w:val="single" w:sz="4" w:space="0" w:color="auto"/>
            </w:tcBorders>
            <w:shd w:val="clear" w:color="auto" w:fill="auto"/>
            <w:noWrap/>
            <w:vAlign w:val="center"/>
            <w:hideMark/>
          </w:tcPr>
          <w:p w14:paraId="10FFBAC9" w14:textId="77777777" w:rsidR="00110F1A" w:rsidRPr="00545EC0" w:rsidRDefault="00110F1A" w:rsidP="00F67214">
            <w:pPr>
              <w:spacing w:line="240" w:lineRule="auto"/>
              <w:rPr>
                <w:rFonts w:cs="Arial"/>
                <w:sz w:val="18"/>
                <w:szCs w:val="18"/>
              </w:rPr>
            </w:pPr>
            <w:r w:rsidRPr="00545EC0">
              <w:rPr>
                <w:rFonts w:cs="Arial"/>
                <w:sz w:val="18"/>
                <w:szCs w:val="18"/>
              </w:rPr>
              <w:t>cilji bodo doseženi</w:t>
            </w:r>
          </w:p>
        </w:tc>
        <w:tc>
          <w:tcPr>
            <w:tcW w:w="1911" w:type="dxa"/>
            <w:tcBorders>
              <w:top w:val="nil"/>
              <w:left w:val="nil"/>
              <w:bottom w:val="single" w:sz="4" w:space="0" w:color="auto"/>
              <w:right w:val="single" w:sz="4" w:space="0" w:color="auto"/>
            </w:tcBorders>
            <w:shd w:val="clear" w:color="auto" w:fill="auto"/>
            <w:noWrap/>
            <w:vAlign w:val="center"/>
            <w:hideMark/>
          </w:tcPr>
          <w:p w14:paraId="3DAD61CC" w14:textId="77777777" w:rsidR="00110F1A" w:rsidRPr="00545EC0" w:rsidRDefault="00110F1A" w:rsidP="00F67214">
            <w:pPr>
              <w:spacing w:line="240" w:lineRule="auto"/>
              <w:rPr>
                <w:rFonts w:cs="Arial"/>
                <w:sz w:val="18"/>
                <w:szCs w:val="18"/>
              </w:rPr>
            </w:pPr>
            <w:r w:rsidRPr="00545EC0">
              <w:rPr>
                <w:rFonts w:cs="Arial"/>
                <w:sz w:val="18"/>
                <w:szCs w:val="18"/>
              </w:rPr>
              <w:t> </w:t>
            </w:r>
          </w:p>
        </w:tc>
      </w:tr>
      <w:tr w:rsidR="003122F4" w:rsidRPr="00545EC0" w14:paraId="2E790317" w14:textId="77777777" w:rsidTr="00BD39F6">
        <w:trPr>
          <w:trHeight w:val="300"/>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14:paraId="3A045387" w14:textId="77777777" w:rsidR="00110F1A" w:rsidRPr="00545EC0" w:rsidRDefault="00110F1A" w:rsidP="00F67214">
            <w:pPr>
              <w:spacing w:line="240" w:lineRule="auto"/>
              <w:rPr>
                <w:rFonts w:cs="Arial"/>
                <w:sz w:val="18"/>
                <w:szCs w:val="18"/>
              </w:rPr>
            </w:pPr>
            <w:r w:rsidRPr="00545EC0">
              <w:rPr>
                <w:rFonts w:cs="Arial"/>
                <w:sz w:val="18"/>
                <w:szCs w:val="18"/>
              </w:rPr>
              <w:t>VTPODV_1006</w:t>
            </w:r>
          </w:p>
        </w:tc>
        <w:tc>
          <w:tcPr>
            <w:tcW w:w="3402" w:type="dxa"/>
            <w:tcBorders>
              <w:top w:val="nil"/>
              <w:left w:val="nil"/>
              <w:bottom w:val="single" w:sz="4" w:space="0" w:color="auto"/>
              <w:right w:val="single" w:sz="4" w:space="0" w:color="auto"/>
            </w:tcBorders>
            <w:shd w:val="clear" w:color="auto" w:fill="auto"/>
            <w:noWrap/>
            <w:vAlign w:val="center"/>
            <w:hideMark/>
          </w:tcPr>
          <w:p w14:paraId="530522C8" w14:textId="77777777" w:rsidR="00110F1A" w:rsidRPr="00545EC0" w:rsidRDefault="00110F1A" w:rsidP="00F67214">
            <w:pPr>
              <w:spacing w:line="240" w:lineRule="auto"/>
              <w:rPr>
                <w:rFonts w:cs="Arial"/>
                <w:sz w:val="18"/>
                <w:szCs w:val="18"/>
              </w:rPr>
            </w:pPr>
            <w:r w:rsidRPr="00545EC0">
              <w:rPr>
                <w:rFonts w:cs="Arial"/>
                <w:sz w:val="18"/>
                <w:szCs w:val="18"/>
              </w:rPr>
              <w:t>Kamniško-Savinjske Alpe</w:t>
            </w:r>
          </w:p>
        </w:tc>
        <w:tc>
          <w:tcPr>
            <w:tcW w:w="2268" w:type="dxa"/>
            <w:tcBorders>
              <w:top w:val="nil"/>
              <w:left w:val="nil"/>
              <w:bottom w:val="single" w:sz="4" w:space="0" w:color="auto"/>
              <w:right w:val="single" w:sz="4" w:space="0" w:color="auto"/>
            </w:tcBorders>
            <w:shd w:val="clear" w:color="auto" w:fill="auto"/>
            <w:noWrap/>
            <w:vAlign w:val="center"/>
            <w:hideMark/>
          </w:tcPr>
          <w:p w14:paraId="07142A1A" w14:textId="77777777" w:rsidR="00110F1A" w:rsidRPr="00545EC0" w:rsidRDefault="00110F1A" w:rsidP="00F67214">
            <w:pPr>
              <w:spacing w:line="240" w:lineRule="auto"/>
              <w:rPr>
                <w:rFonts w:cs="Arial"/>
                <w:sz w:val="18"/>
                <w:szCs w:val="18"/>
              </w:rPr>
            </w:pPr>
            <w:r w:rsidRPr="00545EC0">
              <w:rPr>
                <w:rFonts w:cs="Arial"/>
                <w:sz w:val="18"/>
                <w:szCs w:val="18"/>
              </w:rPr>
              <w:t>cilji bodo doseženi</w:t>
            </w:r>
          </w:p>
        </w:tc>
        <w:tc>
          <w:tcPr>
            <w:tcW w:w="1911" w:type="dxa"/>
            <w:tcBorders>
              <w:top w:val="nil"/>
              <w:left w:val="nil"/>
              <w:bottom w:val="single" w:sz="4" w:space="0" w:color="auto"/>
              <w:right w:val="single" w:sz="4" w:space="0" w:color="auto"/>
            </w:tcBorders>
            <w:shd w:val="clear" w:color="auto" w:fill="auto"/>
            <w:noWrap/>
            <w:vAlign w:val="center"/>
            <w:hideMark/>
          </w:tcPr>
          <w:p w14:paraId="2B9FD9F3" w14:textId="77777777" w:rsidR="00110F1A" w:rsidRPr="00545EC0" w:rsidRDefault="00110F1A" w:rsidP="00F67214">
            <w:pPr>
              <w:spacing w:line="240" w:lineRule="auto"/>
              <w:rPr>
                <w:rFonts w:cs="Arial"/>
                <w:sz w:val="18"/>
                <w:szCs w:val="18"/>
              </w:rPr>
            </w:pPr>
            <w:r w:rsidRPr="00545EC0">
              <w:rPr>
                <w:rFonts w:cs="Arial"/>
                <w:sz w:val="18"/>
                <w:szCs w:val="18"/>
              </w:rPr>
              <w:t> </w:t>
            </w:r>
          </w:p>
        </w:tc>
      </w:tr>
      <w:tr w:rsidR="003122F4" w:rsidRPr="00545EC0" w14:paraId="4B23D12D" w14:textId="77777777" w:rsidTr="00BD39F6">
        <w:trPr>
          <w:trHeight w:val="300"/>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14:paraId="73784B97" w14:textId="77777777" w:rsidR="00110F1A" w:rsidRPr="00545EC0" w:rsidRDefault="00110F1A" w:rsidP="00F67214">
            <w:pPr>
              <w:spacing w:line="240" w:lineRule="auto"/>
              <w:rPr>
                <w:rFonts w:cs="Arial"/>
                <w:sz w:val="18"/>
                <w:szCs w:val="18"/>
              </w:rPr>
            </w:pPr>
            <w:r w:rsidRPr="00545EC0">
              <w:rPr>
                <w:rFonts w:cs="Arial"/>
                <w:sz w:val="18"/>
                <w:szCs w:val="18"/>
              </w:rPr>
              <w:t>VTPODV_1007</w:t>
            </w:r>
          </w:p>
        </w:tc>
        <w:tc>
          <w:tcPr>
            <w:tcW w:w="3402" w:type="dxa"/>
            <w:tcBorders>
              <w:top w:val="nil"/>
              <w:left w:val="nil"/>
              <w:bottom w:val="single" w:sz="4" w:space="0" w:color="auto"/>
              <w:right w:val="single" w:sz="4" w:space="0" w:color="auto"/>
            </w:tcBorders>
            <w:shd w:val="clear" w:color="auto" w:fill="auto"/>
            <w:noWrap/>
            <w:vAlign w:val="center"/>
            <w:hideMark/>
          </w:tcPr>
          <w:p w14:paraId="68F8CF92" w14:textId="779A2DCF" w:rsidR="00110F1A" w:rsidRPr="00545EC0" w:rsidRDefault="00110F1A" w:rsidP="00F67214">
            <w:pPr>
              <w:spacing w:line="240" w:lineRule="auto"/>
              <w:rPr>
                <w:rFonts w:cs="Arial"/>
                <w:sz w:val="18"/>
                <w:szCs w:val="18"/>
              </w:rPr>
            </w:pPr>
            <w:r w:rsidRPr="00545EC0">
              <w:rPr>
                <w:rFonts w:cs="Arial"/>
                <w:sz w:val="18"/>
                <w:szCs w:val="18"/>
              </w:rPr>
              <w:t>Cerkljansko, Škofjeloško in Polhograjsko</w:t>
            </w:r>
            <w:r w:rsidR="00A950E6" w:rsidRPr="00545EC0">
              <w:rPr>
                <w:rFonts w:cs="Arial"/>
                <w:sz w:val="18"/>
                <w:szCs w:val="18"/>
              </w:rPr>
              <w:t xml:space="preserve"> hribovje</w:t>
            </w:r>
          </w:p>
        </w:tc>
        <w:tc>
          <w:tcPr>
            <w:tcW w:w="2268" w:type="dxa"/>
            <w:tcBorders>
              <w:top w:val="nil"/>
              <w:left w:val="nil"/>
              <w:bottom w:val="single" w:sz="4" w:space="0" w:color="auto"/>
              <w:right w:val="single" w:sz="4" w:space="0" w:color="auto"/>
            </w:tcBorders>
            <w:shd w:val="clear" w:color="auto" w:fill="auto"/>
            <w:noWrap/>
            <w:vAlign w:val="center"/>
            <w:hideMark/>
          </w:tcPr>
          <w:p w14:paraId="2C400DA6" w14:textId="77777777" w:rsidR="00110F1A" w:rsidRPr="00545EC0" w:rsidRDefault="00110F1A" w:rsidP="00F67214">
            <w:pPr>
              <w:spacing w:line="240" w:lineRule="auto"/>
              <w:rPr>
                <w:rFonts w:cs="Arial"/>
                <w:sz w:val="18"/>
                <w:szCs w:val="18"/>
              </w:rPr>
            </w:pPr>
            <w:r w:rsidRPr="00545EC0">
              <w:rPr>
                <w:rFonts w:cs="Arial"/>
                <w:sz w:val="18"/>
                <w:szCs w:val="18"/>
              </w:rPr>
              <w:t>cilji bodo doseženi</w:t>
            </w:r>
          </w:p>
        </w:tc>
        <w:tc>
          <w:tcPr>
            <w:tcW w:w="1911" w:type="dxa"/>
            <w:tcBorders>
              <w:top w:val="nil"/>
              <w:left w:val="nil"/>
              <w:bottom w:val="single" w:sz="4" w:space="0" w:color="auto"/>
              <w:right w:val="single" w:sz="4" w:space="0" w:color="auto"/>
            </w:tcBorders>
            <w:shd w:val="clear" w:color="auto" w:fill="auto"/>
            <w:noWrap/>
            <w:vAlign w:val="center"/>
            <w:hideMark/>
          </w:tcPr>
          <w:p w14:paraId="30586B94" w14:textId="77777777" w:rsidR="00110F1A" w:rsidRPr="00545EC0" w:rsidRDefault="00110F1A" w:rsidP="00F67214">
            <w:pPr>
              <w:spacing w:line="240" w:lineRule="auto"/>
              <w:rPr>
                <w:rFonts w:cs="Arial"/>
                <w:sz w:val="18"/>
                <w:szCs w:val="18"/>
              </w:rPr>
            </w:pPr>
            <w:r w:rsidRPr="00545EC0">
              <w:rPr>
                <w:rFonts w:cs="Arial"/>
                <w:sz w:val="18"/>
                <w:szCs w:val="18"/>
              </w:rPr>
              <w:t> </w:t>
            </w:r>
          </w:p>
        </w:tc>
      </w:tr>
      <w:tr w:rsidR="003122F4" w:rsidRPr="00545EC0" w14:paraId="010D8744" w14:textId="77777777" w:rsidTr="00BD39F6">
        <w:trPr>
          <w:trHeight w:val="300"/>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14:paraId="381C7EF8" w14:textId="77777777" w:rsidR="00110F1A" w:rsidRPr="00545EC0" w:rsidRDefault="00110F1A" w:rsidP="00F67214">
            <w:pPr>
              <w:spacing w:line="240" w:lineRule="auto"/>
              <w:rPr>
                <w:rFonts w:cs="Arial"/>
                <w:sz w:val="18"/>
                <w:szCs w:val="18"/>
              </w:rPr>
            </w:pPr>
            <w:r w:rsidRPr="00545EC0">
              <w:rPr>
                <w:rFonts w:cs="Arial"/>
                <w:sz w:val="18"/>
                <w:szCs w:val="18"/>
              </w:rPr>
              <w:t>VTPODV_1008</w:t>
            </w:r>
          </w:p>
        </w:tc>
        <w:tc>
          <w:tcPr>
            <w:tcW w:w="3402" w:type="dxa"/>
            <w:tcBorders>
              <w:top w:val="nil"/>
              <w:left w:val="nil"/>
              <w:bottom w:val="single" w:sz="4" w:space="0" w:color="auto"/>
              <w:right w:val="single" w:sz="4" w:space="0" w:color="auto"/>
            </w:tcBorders>
            <w:shd w:val="clear" w:color="auto" w:fill="auto"/>
            <w:noWrap/>
            <w:vAlign w:val="center"/>
            <w:hideMark/>
          </w:tcPr>
          <w:p w14:paraId="383FBED8" w14:textId="77777777" w:rsidR="00110F1A" w:rsidRPr="00545EC0" w:rsidRDefault="00110F1A" w:rsidP="00F67214">
            <w:pPr>
              <w:spacing w:line="240" w:lineRule="auto"/>
              <w:rPr>
                <w:rFonts w:cs="Arial"/>
                <w:sz w:val="18"/>
                <w:szCs w:val="18"/>
              </w:rPr>
            </w:pPr>
            <w:r w:rsidRPr="00545EC0">
              <w:rPr>
                <w:rFonts w:cs="Arial"/>
                <w:sz w:val="18"/>
                <w:szCs w:val="18"/>
              </w:rPr>
              <w:t>Posavsko hribovje do osrednje Sotle</w:t>
            </w:r>
          </w:p>
        </w:tc>
        <w:tc>
          <w:tcPr>
            <w:tcW w:w="2268" w:type="dxa"/>
            <w:tcBorders>
              <w:top w:val="nil"/>
              <w:left w:val="nil"/>
              <w:bottom w:val="single" w:sz="4" w:space="0" w:color="auto"/>
              <w:right w:val="single" w:sz="4" w:space="0" w:color="auto"/>
            </w:tcBorders>
            <w:shd w:val="clear" w:color="auto" w:fill="auto"/>
            <w:noWrap/>
            <w:vAlign w:val="center"/>
            <w:hideMark/>
          </w:tcPr>
          <w:p w14:paraId="00893AA4" w14:textId="77777777" w:rsidR="00110F1A" w:rsidRPr="00545EC0" w:rsidRDefault="00110F1A" w:rsidP="00F67214">
            <w:pPr>
              <w:spacing w:line="240" w:lineRule="auto"/>
              <w:rPr>
                <w:rFonts w:cs="Arial"/>
                <w:sz w:val="18"/>
                <w:szCs w:val="18"/>
              </w:rPr>
            </w:pPr>
            <w:r w:rsidRPr="00545EC0">
              <w:rPr>
                <w:rFonts w:cs="Arial"/>
                <w:sz w:val="18"/>
                <w:szCs w:val="18"/>
              </w:rPr>
              <w:t>cilji bodo doseženi</w:t>
            </w:r>
          </w:p>
        </w:tc>
        <w:tc>
          <w:tcPr>
            <w:tcW w:w="1911" w:type="dxa"/>
            <w:tcBorders>
              <w:top w:val="nil"/>
              <w:left w:val="nil"/>
              <w:bottom w:val="single" w:sz="4" w:space="0" w:color="auto"/>
              <w:right w:val="single" w:sz="4" w:space="0" w:color="auto"/>
            </w:tcBorders>
            <w:shd w:val="clear" w:color="auto" w:fill="auto"/>
            <w:noWrap/>
            <w:vAlign w:val="center"/>
            <w:hideMark/>
          </w:tcPr>
          <w:p w14:paraId="2B9B54B6" w14:textId="77777777" w:rsidR="00110F1A" w:rsidRPr="00545EC0" w:rsidRDefault="00110F1A" w:rsidP="00F67214">
            <w:pPr>
              <w:spacing w:line="240" w:lineRule="auto"/>
              <w:rPr>
                <w:rFonts w:cs="Arial"/>
                <w:sz w:val="18"/>
                <w:szCs w:val="18"/>
              </w:rPr>
            </w:pPr>
            <w:r w:rsidRPr="00545EC0">
              <w:rPr>
                <w:rFonts w:cs="Arial"/>
                <w:sz w:val="18"/>
                <w:szCs w:val="18"/>
              </w:rPr>
              <w:t> </w:t>
            </w:r>
          </w:p>
        </w:tc>
      </w:tr>
      <w:tr w:rsidR="003122F4" w:rsidRPr="00545EC0" w14:paraId="5A4FC91F" w14:textId="77777777" w:rsidTr="00BD39F6">
        <w:trPr>
          <w:trHeight w:val="300"/>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14:paraId="7F0ADCB5" w14:textId="77777777" w:rsidR="00110F1A" w:rsidRPr="00545EC0" w:rsidRDefault="00110F1A" w:rsidP="00F67214">
            <w:pPr>
              <w:spacing w:line="240" w:lineRule="auto"/>
              <w:rPr>
                <w:rFonts w:cs="Arial"/>
                <w:sz w:val="18"/>
                <w:szCs w:val="18"/>
              </w:rPr>
            </w:pPr>
            <w:r w:rsidRPr="00545EC0">
              <w:rPr>
                <w:rFonts w:cs="Arial"/>
                <w:sz w:val="18"/>
                <w:szCs w:val="18"/>
              </w:rPr>
              <w:lastRenderedPageBreak/>
              <w:t>VTPODV_1009</w:t>
            </w:r>
          </w:p>
        </w:tc>
        <w:tc>
          <w:tcPr>
            <w:tcW w:w="3402" w:type="dxa"/>
            <w:tcBorders>
              <w:top w:val="nil"/>
              <w:left w:val="nil"/>
              <w:bottom w:val="single" w:sz="4" w:space="0" w:color="auto"/>
              <w:right w:val="single" w:sz="4" w:space="0" w:color="auto"/>
            </w:tcBorders>
            <w:shd w:val="clear" w:color="auto" w:fill="auto"/>
            <w:noWrap/>
            <w:vAlign w:val="center"/>
            <w:hideMark/>
          </w:tcPr>
          <w:p w14:paraId="5EC1F943" w14:textId="77777777" w:rsidR="00110F1A" w:rsidRPr="00545EC0" w:rsidRDefault="00110F1A" w:rsidP="00F67214">
            <w:pPr>
              <w:spacing w:line="240" w:lineRule="auto"/>
              <w:rPr>
                <w:rFonts w:cs="Arial"/>
                <w:sz w:val="18"/>
                <w:szCs w:val="18"/>
              </w:rPr>
            </w:pPr>
            <w:r w:rsidRPr="00545EC0">
              <w:rPr>
                <w:rFonts w:cs="Arial"/>
                <w:sz w:val="18"/>
                <w:szCs w:val="18"/>
              </w:rPr>
              <w:t>Spodnji del Savinje do Sotle</w:t>
            </w:r>
          </w:p>
        </w:tc>
        <w:tc>
          <w:tcPr>
            <w:tcW w:w="2268" w:type="dxa"/>
            <w:tcBorders>
              <w:top w:val="nil"/>
              <w:left w:val="nil"/>
              <w:bottom w:val="single" w:sz="4" w:space="0" w:color="auto"/>
              <w:right w:val="single" w:sz="4" w:space="0" w:color="auto"/>
            </w:tcBorders>
            <w:shd w:val="clear" w:color="auto" w:fill="auto"/>
            <w:noWrap/>
            <w:vAlign w:val="center"/>
            <w:hideMark/>
          </w:tcPr>
          <w:p w14:paraId="5284635E" w14:textId="77777777" w:rsidR="00110F1A" w:rsidRPr="00545EC0" w:rsidRDefault="00110F1A" w:rsidP="00F67214">
            <w:pPr>
              <w:spacing w:line="240" w:lineRule="auto"/>
              <w:rPr>
                <w:rFonts w:cs="Arial"/>
                <w:sz w:val="18"/>
                <w:szCs w:val="18"/>
              </w:rPr>
            </w:pPr>
            <w:r w:rsidRPr="00545EC0">
              <w:rPr>
                <w:rFonts w:cs="Arial"/>
                <w:sz w:val="18"/>
                <w:szCs w:val="18"/>
              </w:rPr>
              <w:t>cilji bodo doseženi</w:t>
            </w:r>
          </w:p>
        </w:tc>
        <w:tc>
          <w:tcPr>
            <w:tcW w:w="1911" w:type="dxa"/>
            <w:tcBorders>
              <w:top w:val="nil"/>
              <w:left w:val="nil"/>
              <w:bottom w:val="single" w:sz="4" w:space="0" w:color="auto"/>
              <w:right w:val="single" w:sz="4" w:space="0" w:color="auto"/>
            </w:tcBorders>
            <w:shd w:val="clear" w:color="auto" w:fill="auto"/>
            <w:noWrap/>
            <w:vAlign w:val="center"/>
            <w:hideMark/>
          </w:tcPr>
          <w:p w14:paraId="3BE4F9CC" w14:textId="77777777" w:rsidR="00110F1A" w:rsidRPr="00545EC0" w:rsidRDefault="00110F1A" w:rsidP="00F67214">
            <w:pPr>
              <w:spacing w:line="240" w:lineRule="auto"/>
              <w:rPr>
                <w:rFonts w:cs="Arial"/>
                <w:sz w:val="18"/>
                <w:szCs w:val="18"/>
              </w:rPr>
            </w:pPr>
            <w:r w:rsidRPr="00545EC0">
              <w:rPr>
                <w:rFonts w:cs="Arial"/>
                <w:sz w:val="18"/>
                <w:szCs w:val="18"/>
              </w:rPr>
              <w:t> </w:t>
            </w:r>
          </w:p>
        </w:tc>
      </w:tr>
      <w:tr w:rsidR="003122F4" w:rsidRPr="00545EC0" w14:paraId="4BA48DB9" w14:textId="77777777" w:rsidTr="00BD39F6">
        <w:trPr>
          <w:trHeight w:val="300"/>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14:paraId="41E38513" w14:textId="77777777" w:rsidR="00110F1A" w:rsidRPr="00545EC0" w:rsidRDefault="00110F1A" w:rsidP="00F67214">
            <w:pPr>
              <w:spacing w:line="240" w:lineRule="auto"/>
              <w:rPr>
                <w:rFonts w:cs="Arial"/>
                <w:sz w:val="18"/>
                <w:szCs w:val="18"/>
              </w:rPr>
            </w:pPr>
            <w:r w:rsidRPr="00545EC0">
              <w:rPr>
                <w:rFonts w:cs="Arial"/>
                <w:sz w:val="18"/>
                <w:szCs w:val="18"/>
              </w:rPr>
              <w:t>VTPODV_1010</w:t>
            </w:r>
          </w:p>
        </w:tc>
        <w:tc>
          <w:tcPr>
            <w:tcW w:w="3402" w:type="dxa"/>
            <w:tcBorders>
              <w:top w:val="nil"/>
              <w:left w:val="nil"/>
              <w:bottom w:val="single" w:sz="4" w:space="0" w:color="auto"/>
              <w:right w:val="single" w:sz="4" w:space="0" w:color="auto"/>
            </w:tcBorders>
            <w:shd w:val="clear" w:color="auto" w:fill="auto"/>
            <w:noWrap/>
            <w:vAlign w:val="center"/>
            <w:hideMark/>
          </w:tcPr>
          <w:p w14:paraId="5075096F" w14:textId="77777777" w:rsidR="00110F1A" w:rsidRPr="00545EC0" w:rsidRDefault="00110F1A" w:rsidP="00F67214">
            <w:pPr>
              <w:spacing w:line="240" w:lineRule="auto"/>
              <w:rPr>
                <w:rFonts w:cs="Arial"/>
                <w:sz w:val="18"/>
                <w:szCs w:val="18"/>
              </w:rPr>
            </w:pPr>
            <w:r w:rsidRPr="00545EC0">
              <w:rPr>
                <w:rFonts w:cs="Arial"/>
                <w:sz w:val="18"/>
                <w:szCs w:val="18"/>
                <w:vertAlign w:val="superscript"/>
              </w:rPr>
              <w:t>4</w:t>
            </w:r>
            <w:r w:rsidRPr="00545EC0">
              <w:rPr>
                <w:rFonts w:cs="Arial"/>
                <w:sz w:val="18"/>
                <w:szCs w:val="18"/>
              </w:rPr>
              <w:t>Kraška Ljubljanica</w:t>
            </w:r>
          </w:p>
        </w:tc>
        <w:tc>
          <w:tcPr>
            <w:tcW w:w="2268" w:type="dxa"/>
            <w:tcBorders>
              <w:top w:val="nil"/>
              <w:left w:val="nil"/>
              <w:bottom w:val="single" w:sz="4" w:space="0" w:color="auto"/>
              <w:right w:val="single" w:sz="4" w:space="0" w:color="auto"/>
            </w:tcBorders>
            <w:shd w:val="clear" w:color="auto" w:fill="auto"/>
            <w:noWrap/>
            <w:vAlign w:val="center"/>
            <w:hideMark/>
          </w:tcPr>
          <w:p w14:paraId="34F7D7DE" w14:textId="77777777" w:rsidR="00110F1A" w:rsidRPr="00545EC0" w:rsidRDefault="00110F1A" w:rsidP="00F67214">
            <w:pPr>
              <w:spacing w:line="240" w:lineRule="auto"/>
              <w:rPr>
                <w:rFonts w:cs="Arial"/>
                <w:sz w:val="18"/>
                <w:szCs w:val="18"/>
              </w:rPr>
            </w:pPr>
            <w:r w:rsidRPr="00545EC0">
              <w:rPr>
                <w:rFonts w:cs="Arial"/>
                <w:sz w:val="18"/>
                <w:szCs w:val="18"/>
              </w:rPr>
              <w:t>cilji bodo doseženi</w:t>
            </w:r>
          </w:p>
        </w:tc>
        <w:tc>
          <w:tcPr>
            <w:tcW w:w="1911" w:type="dxa"/>
            <w:tcBorders>
              <w:top w:val="nil"/>
              <w:left w:val="nil"/>
              <w:bottom w:val="single" w:sz="4" w:space="0" w:color="auto"/>
              <w:right w:val="single" w:sz="4" w:space="0" w:color="auto"/>
            </w:tcBorders>
            <w:shd w:val="clear" w:color="auto" w:fill="auto"/>
            <w:noWrap/>
            <w:vAlign w:val="center"/>
            <w:hideMark/>
          </w:tcPr>
          <w:p w14:paraId="232132BF" w14:textId="77777777" w:rsidR="00110F1A" w:rsidRPr="00545EC0" w:rsidRDefault="00110F1A" w:rsidP="00F67214">
            <w:pPr>
              <w:spacing w:line="240" w:lineRule="auto"/>
              <w:rPr>
                <w:rFonts w:cs="Arial"/>
                <w:sz w:val="18"/>
                <w:szCs w:val="18"/>
              </w:rPr>
            </w:pPr>
            <w:r w:rsidRPr="00545EC0">
              <w:rPr>
                <w:rFonts w:cs="Arial"/>
                <w:sz w:val="18"/>
                <w:szCs w:val="18"/>
              </w:rPr>
              <w:t> </w:t>
            </w:r>
          </w:p>
        </w:tc>
      </w:tr>
      <w:tr w:rsidR="003122F4" w:rsidRPr="00545EC0" w14:paraId="50DF1FEC" w14:textId="77777777" w:rsidTr="00BD39F6">
        <w:trPr>
          <w:trHeight w:val="300"/>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14:paraId="02DDBEDD" w14:textId="77777777" w:rsidR="00110F1A" w:rsidRPr="00545EC0" w:rsidRDefault="00110F1A" w:rsidP="00F67214">
            <w:pPr>
              <w:spacing w:line="240" w:lineRule="auto"/>
              <w:rPr>
                <w:rFonts w:cs="Arial"/>
                <w:sz w:val="18"/>
                <w:szCs w:val="18"/>
              </w:rPr>
            </w:pPr>
            <w:r w:rsidRPr="00545EC0">
              <w:rPr>
                <w:rFonts w:cs="Arial"/>
                <w:sz w:val="18"/>
                <w:szCs w:val="18"/>
              </w:rPr>
              <w:t>VTPODV_1011</w:t>
            </w:r>
          </w:p>
        </w:tc>
        <w:tc>
          <w:tcPr>
            <w:tcW w:w="3402" w:type="dxa"/>
            <w:tcBorders>
              <w:top w:val="nil"/>
              <w:left w:val="nil"/>
              <w:bottom w:val="single" w:sz="4" w:space="0" w:color="auto"/>
              <w:right w:val="single" w:sz="4" w:space="0" w:color="auto"/>
            </w:tcBorders>
            <w:shd w:val="clear" w:color="auto" w:fill="auto"/>
            <w:noWrap/>
            <w:vAlign w:val="center"/>
            <w:hideMark/>
          </w:tcPr>
          <w:p w14:paraId="0FEFD0CC" w14:textId="77777777" w:rsidR="00110F1A" w:rsidRPr="00545EC0" w:rsidRDefault="00110F1A" w:rsidP="00F67214">
            <w:pPr>
              <w:spacing w:line="240" w:lineRule="auto"/>
              <w:rPr>
                <w:rFonts w:cs="Arial"/>
                <w:sz w:val="18"/>
                <w:szCs w:val="18"/>
              </w:rPr>
            </w:pPr>
            <w:r w:rsidRPr="00545EC0">
              <w:rPr>
                <w:rFonts w:cs="Arial"/>
                <w:sz w:val="18"/>
                <w:szCs w:val="18"/>
                <w:vertAlign w:val="superscript"/>
              </w:rPr>
              <w:t>4</w:t>
            </w:r>
            <w:r w:rsidRPr="00545EC0">
              <w:rPr>
                <w:rFonts w:cs="Arial"/>
                <w:sz w:val="18"/>
                <w:szCs w:val="18"/>
              </w:rPr>
              <w:t>Dolenjski kras</w:t>
            </w:r>
          </w:p>
        </w:tc>
        <w:tc>
          <w:tcPr>
            <w:tcW w:w="2268" w:type="dxa"/>
            <w:tcBorders>
              <w:top w:val="nil"/>
              <w:left w:val="nil"/>
              <w:bottom w:val="single" w:sz="4" w:space="0" w:color="auto"/>
              <w:right w:val="single" w:sz="4" w:space="0" w:color="auto"/>
            </w:tcBorders>
            <w:shd w:val="clear" w:color="auto" w:fill="auto"/>
            <w:noWrap/>
            <w:vAlign w:val="center"/>
            <w:hideMark/>
          </w:tcPr>
          <w:p w14:paraId="7E29D18A" w14:textId="77777777" w:rsidR="00110F1A" w:rsidRPr="00545EC0" w:rsidRDefault="00110F1A" w:rsidP="00F67214">
            <w:pPr>
              <w:spacing w:line="240" w:lineRule="auto"/>
              <w:rPr>
                <w:rFonts w:cs="Arial"/>
                <w:sz w:val="18"/>
                <w:szCs w:val="18"/>
              </w:rPr>
            </w:pPr>
            <w:r w:rsidRPr="00545EC0">
              <w:rPr>
                <w:rFonts w:cs="Arial"/>
                <w:sz w:val="18"/>
                <w:szCs w:val="18"/>
              </w:rPr>
              <w:t>cilji bodo doseženi</w:t>
            </w:r>
          </w:p>
        </w:tc>
        <w:tc>
          <w:tcPr>
            <w:tcW w:w="1911" w:type="dxa"/>
            <w:tcBorders>
              <w:top w:val="nil"/>
              <w:left w:val="nil"/>
              <w:bottom w:val="single" w:sz="4" w:space="0" w:color="auto"/>
              <w:right w:val="single" w:sz="4" w:space="0" w:color="auto"/>
            </w:tcBorders>
            <w:shd w:val="clear" w:color="auto" w:fill="auto"/>
            <w:noWrap/>
            <w:vAlign w:val="center"/>
            <w:hideMark/>
          </w:tcPr>
          <w:p w14:paraId="25588B27" w14:textId="77777777" w:rsidR="00110F1A" w:rsidRPr="00545EC0" w:rsidRDefault="00110F1A" w:rsidP="00F67214">
            <w:pPr>
              <w:spacing w:line="240" w:lineRule="auto"/>
              <w:rPr>
                <w:rFonts w:cs="Arial"/>
                <w:sz w:val="18"/>
                <w:szCs w:val="18"/>
              </w:rPr>
            </w:pPr>
            <w:r w:rsidRPr="00545EC0">
              <w:rPr>
                <w:rFonts w:cs="Arial"/>
                <w:sz w:val="18"/>
                <w:szCs w:val="18"/>
              </w:rPr>
              <w:t> </w:t>
            </w:r>
          </w:p>
        </w:tc>
      </w:tr>
      <w:tr w:rsidR="003122F4" w:rsidRPr="00545EC0" w14:paraId="7A4242D2" w14:textId="77777777" w:rsidTr="00BD39F6">
        <w:trPr>
          <w:trHeight w:val="300"/>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14:paraId="1AD888E3" w14:textId="77777777" w:rsidR="00110F1A" w:rsidRPr="00545EC0" w:rsidRDefault="00110F1A" w:rsidP="00F67214">
            <w:pPr>
              <w:spacing w:line="240" w:lineRule="auto"/>
              <w:rPr>
                <w:rFonts w:cs="Arial"/>
                <w:sz w:val="18"/>
                <w:szCs w:val="18"/>
              </w:rPr>
            </w:pPr>
            <w:r w:rsidRPr="00545EC0">
              <w:rPr>
                <w:rFonts w:cs="Arial"/>
                <w:sz w:val="18"/>
                <w:szCs w:val="18"/>
              </w:rPr>
              <w:t>VTPODV_3012</w:t>
            </w:r>
          </w:p>
        </w:tc>
        <w:tc>
          <w:tcPr>
            <w:tcW w:w="3402" w:type="dxa"/>
            <w:tcBorders>
              <w:top w:val="nil"/>
              <w:left w:val="nil"/>
              <w:bottom w:val="single" w:sz="4" w:space="0" w:color="auto"/>
              <w:right w:val="single" w:sz="4" w:space="0" w:color="auto"/>
            </w:tcBorders>
            <w:shd w:val="clear" w:color="auto" w:fill="auto"/>
            <w:noWrap/>
            <w:vAlign w:val="center"/>
            <w:hideMark/>
          </w:tcPr>
          <w:p w14:paraId="00083261" w14:textId="77777777" w:rsidR="00110F1A" w:rsidRPr="00545EC0" w:rsidRDefault="00110F1A" w:rsidP="00F67214">
            <w:pPr>
              <w:spacing w:line="240" w:lineRule="auto"/>
              <w:rPr>
                <w:rFonts w:cs="Arial"/>
                <w:sz w:val="18"/>
                <w:szCs w:val="18"/>
              </w:rPr>
            </w:pPr>
            <w:r w:rsidRPr="00545EC0">
              <w:rPr>
                <w:rFonts w:cs="Arial"/>
                <w:sz w:val="18"/>
                <w:szCs w:val="18"/>
                <w:vertAlign w:val="superscript"/>
              </w:rPr>
              <w:t>3</w:t>
            </w:r>
            <w:r w:rsidRPr="00545EC0">
              <w:rPr>
                <w:rFonts w:cs="Arial"/>
                <w:sz w:val="18"/>
                <w:szCs w:val="18"/>
              </w:rPr>
              <w:t>Dravska kotlina</w:t>
            </w:r>
          </w:p>
        </w:tc>
        <w:tc>
          <w:tcPr>
            <w:tcW w:w="2268" w:type="dxa"/>
            <w:tcBorders>
              <w:top w:val="nil"/>
              <w:left w:val="nil"/>
              <w:bottom w:val="single" w:sz="4" w:space="0" w:color="auto"/>
              <w:right w:val="single" w:sz="4" w:space="0" w:color="auto"/>
            </w:tcBorders>
            <w:shd w:val="clear" w:color="auto" w:fill="auto"/>
            <w:noWrap/>
            <w:vAlign w:val="center"/>
            <w:hideMark/>
          </w:tcPr>
          <w:p w14:paraId="55815268" w14:textId="77777777" w:rsidR="00110F1A" w:rsidRPr="00545EC0" w:rsidRDefault="00110F1A" w:rsidP="00F67214">
            <w:pPr>
              <w:spacing w:line="240" w:lineRule="auto"/>
              <w:rPr>
                <w:rFonts w:cs="Arial"/>
                <w:sz w:val="18"/>
                <w:szCs w:val="18"/>
              </w:rPr>
            </w:pPr>
            <w:r w:rsidRPr="00545EC0">
              <w:rPr>
                <w:rFonts w:cs="Arial"/>
                <w:sz w:val="18"/>
                <w:szCs w:val="18"/>
              </w:rPr>
              <w:t>cilji ne bodo doseženi</w:t>
            </w:r>
          </w:p>
        </w:tc>
        <w:tc>
          <w:tcPr>
            <w:tcW w:w="1911" w:type="dxa"/>
            <w:tcBorders>
              <w:top w:val="nil"/>
              <w:left w:val="nil"/>
              <w:bottom w:val="single" w:sz="4" w:space="0" w:color="auto"/>
              <w:right w:val="single" w:sz="4" w:space="0" w:color="auto"/>
            </w:tcBorders>
            <w:shd w:val="clear" w:color="auto" w:fill="auto"/>
            <w:noWrap/>
            <w:vAlign w:val="center"/>
            <w:hideMark/>
          </w:tcPr>
          <w:p w14:paraId="5D434F33" w14:textId="77777777" w:rsidR="00110F1A" w:rsidRPr="00545EC0" w:rsidRDefault="00110F1A" w:rsidP="00F67214">
            <w:pPr>
              <w:spacing w:line="240" w:lineRule="auto"/>
              <w:rPr>
                <w:rFonts w:cs="Arial"/>
                <w:sz w:val="18"/>
                <w:szCs w:val="18"/>
              </w:rPr>
            </w:pPr>
            <w:r w:rsidRPr="00545EC0">
              <w:rPr>
                <w:rFonts w:cs="Arial"/>
                <w:sz w:val="18"/>
                <w:szCs w:val="18"/>
              </w:rPr>
              <w:t>1. vodonosnik</w:t>
            </w:r>
          </w:p>
        </w:tc>
      </w:tr>
      <w:tr w:rsidR="003122F4" w:rsidRPr="00545EC0" w14:paraId="7D27E66E" w14:textId="77777777" w:rsidTr="00BD39F6">
        <w:trPr>
          <w:trHeight w:val="300"/>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14:paraId="5B0A76B0" w14:textId="77777777" w:rsidR="00110F1A" w:rsidRPr="00545EC0" w:rsidRDefault="00110F1A" w:rsidP="00F67214">
            <w:pPr>
              <w:spacing w:line="240" w:lineRule="auto"/>
              <w:rPr>
                <w:rFonts w:cs="Arial"/>
                <w:sz w:val="18"/>
                <w:szCs w:val="18"/>
              </w:rPr>
            </w:pPr>
            <w:r w:rsidRPr="00545EC0">
              <w:rPr>
                <w:rFonts w:cs="Arial"/>
                <w:sz w:val="18"/>
                <w:szCs w:val="18"/>
              </w:rPr>
              <w:t>VTPODV_3013</w:t>
            </w:r>
          </w:p>
        </w:tc>
        <w:tc>
          <w:tcPr>
            <w:tcW w:w="3402" w:type="dxa"/>
            <w:tcBorders>
              <w:top w:val="nil"/>
              <w:left w:val="nil"/>
              <w:bottom w:val="single" w:sz="4" w:space="0" w:color="auto"/>
              <w:right w:val="single" w:sz="4" w:space="0" w:color="auto"/>
            </w:tcBorders>
            <w:shd w:val="clear" w:color="auto" w:fill="auto"/>
            <w:noWrap/>
            <w:vAlign w:val="center"/>
            <w:hideMark/>
          </w:tcPr>
          <w:p w14:paraId="3B781647" w14:textId="77777777" w:rsidR="00110F1A" w:rsidRPr="00545EC0" w:rsidRDefault="00110F1A" w:rsidP="00F67214">
            <w:pPr>
              <w:spacing w:line="240" w:lineRule="auto"/>
              <w:rPr>
                <w:rFonts w:cs="Arial"/>
                <w:sz w:val="18"/>
                <w:szCs w:val="18"/>
              </w:rPr>
            </w:pPr>
            <w:r w:rsidRPr="00545EC0">
              <w:rPr>
                <w:rFonts w:cs="Arial"/>
                <w:sz w:val="18"/>
                <w:szCs w:val="18"/>
              </w:rPr>
              <w:t>Vzhodne Alpe</w:t>
            </w:r>
          </w:p>
        </w:tc>
        <w:tc>
          <w:tcPr>
            <w:tcW w:w="2268" w:type="dxa"/>
            <w:tcBorders>
              <w:top w:val="nil"/>
              <w:left w:val="nil"/>
              <w:bottom w:val="single" w:sz="4" w:space="0" w:color="auto"/>
              <w:right w:val="single" w:sz="4" w:space="0" w:color="auto"/>
            </w:tcBorders>
            <w:shd w:val="clear" w:color="auto" w:fill="auto"/>
            <w:noWrap/>
            <w:vAlign w:val="center"/>
            <w:hideMark/>
          </w:tcPr>
          <w:p w14:paraId="08FB818E" w14:textId="77777777" w:rsidR="00110F1A" w:rsidRPr="00545EC0" w:rsidRDefault="00110F1A" w:rsidP="00F67214">
            <w:pPr>
              <w:spacing w:line="240" w:lineRule="auto"/>
              <w:rPr>
                <w:rFonts w:cs="Arial"/>
                <w:sz w:val="18"/>
                <w:szCs w:val="18"/>
              </w:rPr>
            </w:pPr>
            <w:r w:rsidRPr="00545EC0">
              <w:rPr>
                <w:rFonts w:cs="Arial"/>
                <w:sz w:val="18"/>
                <w:szCs w:val="18"/>
              </w:rPr>
              <w:t>cilji bodo doseženi</w:t>
            </w:r>
          </w:p>
        </w:tc>
        <w:tc>
          <w:tcPr>
            <w:tcW w:w="1911" w:type="dxa"/>
            <w:tcBorders>
              <w:top w:val="nil"/>
              <w:left w:val="nil"/>
              <w:bottom w:val="single" w:sz="4" w:space="0" w:color="auto"/>
              <w:right w:val="single" w:sz="4" w:space="0" w:color="auto"/>
            </w:tcBorders>
            <w:shd w:val="clear" w:color="auto" w:fill="auto"/>
            <w:noWrap/>
            <w:vAlign w:val="center"/>
            <w:hideMark/>
          </w:tcPr>
          <w:p w14:paraId="33A5DD4F" w14:textId="77777777" w:rsidR="00110F1A" w:rsidRPr="00545EC0" w:rsidRDefault="00110F1A" w:rsidP="00F67214">
            <w:pPr>
              <w:spacing w:line="240" w:lineRule="auto"/>
              <w:rPr>
                <w:rFonts w:cs="Arial"/>
                <w:sz w:val="18"/>
                <w:szCs w:val="18"/>
              </w:rPr>
            </w:pPr>
            <w:r w:rsidRPr="00545EC0">
              <w:rPr>
                <w:rFonts w:cs="Arial"/>
                <w:sz w:val="18"/>
                <w:szCs w:val="18"/>
              </w:rPr>
              <w:t> </w:t>
            </w:r>
          </w:p>
        </w:tc>
      </w:tr>
      <w:tr w:rsidR="003122F4" w:rsidRPr="00545EC0" w14:paraId="102166B7" w14:textId="77777777" w:rsidTr="00BD39F6">
        <w:trPr>
          <w:trHeight w:val="300"/>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14:paraId="7EBFF5C7" w14:textId="77777777" w:rsidR="00110F1A" w:rsidRPr="00545EC0" w:rsidRDefault="00110F1A" w:rsidP="00F67214">
            <w:pPr>
              <w:spacing w:line="240" w:lineRule="auto"/>
              <w:rPr>
                <w:rFonts w:cs="Arial"/>
                <w:sz w:val="18"/>
                <w:szCs w:val="18"/>
              </w:rPr>
            </w:pPr>
            <w:r w:rsidRPr="00545EC0">
              <w:rPr>
                <w:rFonts w:cs="Arial"/>
                <w:sz w:val="18"/>
                <w:szCs w:val="18"/>
              </w:rPr>
              <w:t>VTPODV_3014</w:t>
            </w:r>
          </w:p>
        </w:tc>
        <w:tc>
          <w:tcPr>
            <w:tcW w:w="3402" w:type="dxa"/>
            <w:tcBorders>
              <w:top w:val="nil"/>
              <w:left w:val="nil"/>
              <w:bottom w:val="single" w:sz="4" w:space="0" w:color="auto"/>
              <w:right w:val="single" w:sz="4" w:space="0" w:color="auto"/>
            </w:tcBorders>
            <w:shd w:val="clear" w:color="auto" w:fill="auto"/>
            <w:noWrap/>
            <w:vAlign w:val="center"/>
            <w:hideMark/>
          </w:tcPr>
          <w:p w14:paraId="2544E22F" w14:textId="77777777" w:rsidR="00110F1A" w:rsidRPr="00545EC0" w:rsidRDefault="00110F1A" w:rsidP="00F67214">
            <w:pPr>
              <w:spacing w:line="240" w:lineRule="auto"/>
              <w:rPr>
                <w:rFonts w:cs="Arial"/>
                <w:sz w:val="18"/>
                <w:szCs w:val="18"/>
              </w:rPr>
            </w:pPr>
            <w:r w:rsidRPr="00545EC0">
              <w:rPr>
                <w:rFonts w:cs="Arial"/>
                <w:sz w:val="18"/>
                <w:szCs w:val="18"/>
              </w:rPr>
              <w:t>Haloze in Dravinjske gorice</w:t>
            </w:r>
          </w:p>
        </w:tc>
        <w:tc>
          <w:tcPr>
            <w:tcW w:w="2268" w:type="dxa"/>
            <w:tcBorders>
              <w:top w:val="nil"/>
              <w:left w:val="nil"/>
              <w:bottom w:val="single" w:sz="4" w:space="0" w:color="auto"/>
              <w:right w:val="single" w:sz="4" w:space="0" w:color="auto"/>
            </w:tcBorders>
            <w:shd w:val="clear" w:color="auto" w:fill="auto"/>
            <w:noWrap/>
            <w:vAlign w:val="center"/>
            <w:hideMark/>
          </w:tcPr>
          <w:p w14:paraId="5EA5E789" w14:textId="77777777" w:rsidR="00110F1A" w:rsidRPr="00545EC0" w:rsidRDefault="00110F1A" w:rsidP="00F67214">
            <w:pPr>
              <w:spacing w:line="240" w:lineRule="auto"/>
              <w:rPr>
                <w:rFonts w:cs="Arial"/>
                <w:sz w:val="18"/>
                <w:szCs w:val="18"/>
              </w:rPr>
            </w:pPr>
            <w:r w:rsidRPr="00545EC0">
              <w:rPr>
                <w:rFonts w:cs="Arial"/>
                <w:sz w:val="18"/>
                <w:szCs w:val="18"/>
              </w:rPr>
              <w:t>cilji bodo doseženi</w:t>
            </w:r>
          </w:p>
        </w:tc>
        <w:tc>
          <w:tcPr>
            <w:tcW w:w="1911" w:type="dxa"/>
            <w:tcBorders>
              <w:top w:val="nil"/>
              <w:left w:val="nil"/>
              <w:bottom w:val="single" w:sz="4" w:space="0" w:color="auto"/>
              <w:right w:val="single" w:sz="4" w:space="0" w:color="auto"/>
            </w:tcBorders>
            <w:shd w:val="clear" w:color="auto" w:fill="auto"/>
            <w:noWrap/>
            <w:vAlign w:val="center"/>
            <w:hideMark/>
          </w:tcPr>
          <w:p w14:paraId="1DB05108" w14:textId="77777777" w:rsidR="00110F1A" w:rsidRPr="00545EC0" w:rsidRDefault="00110F1A" w:rsidP="00F67214">
            <w:pPr>
              <w:spacing w:line="240" w:lineRule="auto"/>
              <w:rPr>
                <w:rFonts w:cs="Arial"/>
                <w:sz w:val="18"/>
                <w:szCs w:val="18"/>
              </w:rPr>
            </w:pPr>
            <w:r w:rsidRPr="00545EC0">
              <w:rPr>
                <w:rFonts w:cs="Arial"/>
                <w:sz w:val="18"/>
                <w:szCs w:val="18"/>
              </w:rPr>
              <w:t>-</w:t>
            </w:r>
          </w:p>
        </w:tc>
      </w:tr>
      <w:tr w:rsidR="003122F4" w:rsidRPr="00545EC0" w14:paraId="3963F67C" w14:textId="77777777" w:rsidTr="00BD39F6">
        <w:trPr>
          <w:trHeight w:val="300"/>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14:paraId="6C6E46E8" w14:textId="77777777" w:rsidR="00110F1A" w:rsidRPr="00545EC0" w:rsidRDefault="00110F1A" w:rsidP="00F67214">
            <w:pPr>
              <w:spacing w:line="240" w:lineRule="auto"/>
              <w:rPr>
                <w:rFonts w:cs="Arial"/>
                <w:sz w:val="18"/>
                <w:szCs w:val="18"/>
              </w:rPr>
            </w:pPr>
            <w:r w:rsidRPr="00545EC0">
              <w:rPr>
                <w:rFonts w:cs="Arial"/>
                <w:sz w:val="18"/>
                <w:szCs w:val="18"/>
              </w:rPr>
              <w:t>VTPODV_3015</w:t>
            </w:r>
          </w:p>
        </w:tc>
        <w:tc>
          <w:tcPr>
            <w:tcW w:w="3402" w:type="dxa"/>
            <w:tcBorders>
              <w:top w:val="nil"/>
              <w:left w:val="nil"/>
              <w:bottom w:val="single" w:sz="4" w:space="0" w:color="auto"/>
              <w:right w:val="single" w:sz="4" w:space="0" w:color="auto"/>
            </w:tcBorders>
            <w:shd w:val="clear" w:color="auto" w:fill="auto"/>
            <w:noWrap/>
            <w:vAlign w:val="center"/>
            <w:hideMark/>
          </w:tcPr>
          <w:p w14:paraId="5DA3169C" w14:textId="77777777" w:rsidR="00110F1A" w:rsidRPr="00545EC0" w:rsidRDefault="00110F1A" w:rsidP="00F67214">
            <w:pPr>
              <w:spacing w:line="240" w:lineRule="auto"/>
              <w:rPr>
                <w:rFonts w:cs="Arial"/>
                <w:sz w:val="18"/>
                <w:szCs w:val="18"/>
              </w:rPr>
            </w:pPr>
            <w:r w:rsidRPr="00545EC0">
              <w:rPr>
                <w:rFonts w:cs="Arial"/>
                <w:sz w:val="18"/>
                <w:szCs w:val="18"/>
              </w:rPr>
              <w:t>Zahodne Slovenske gorice</w:t>
            </w:r>
          </w:p>
        </w:tc>
        <w:tc>
          <w:tcPr>
            <w:tcW w:w="2268" w:type="dxa"/>
            <w:tcBorders>
              <w:top w:val="nil"/>
              <w:left w:val="nil"/>
              <w:bottom w:val="single" w:sz="4" w:space="0" w:color="auto"/>
              <w:right w:val="single" w:sz="4" w:space="0" w:color="auto"/>
            </w:tcBorders>
            <w:shd w:val="clear" w:color="auto" w:fill="auto"/>
            <w:noWrap/>
            <w:vAlign w:val="center"/>
            <w:hideMark/>
          </w:tcPr>
          <w:p w14:paraId="54A740E7" w14:textId="77777777" w:rsidR="00110F1A" w:rsidRPr="00545EC0" w:rsidRDefault="00110F1A" w:rsidP="00F67214">
            <w:pPr>
              <w:spacing w:line="240" w:lineRule="auto"/>
              <w:rPr>
                <w:rFonts w:cs="Arial"/>
                <w:sz w:val="18"/>
                <w:szCs w:val="18"/>
              </w:rPr>
            </w:pPr>
            <w:r w:rsidRPr="00545EC0">
              <w:rPr>
                <w:rFonts w:cs="Arial"/>
                <w:sz w:val="18"/>
                <w:szCs w:val="18"/>
              </w:rPr>
              <w:t>cilji bodo doseženi</w:t>
            </w:r>
          </w:p>
        </w:tc>
        <w:tc>
          <w:tcPr>
            <w:tcW w:w="1911" w:type="dxa"/>
            <w:tcBorders>
              <w:top w:val="nil"/>
              <w:left w:val="nil"/>
              <w:bottom w:val="single" w:sz="4" w:space="0" w:color="auto"/>
              <w:right w:val="single" w:sz="4" w:space="0" w:color="auto"/>
            </w:tcBorders>
            <w:shd w:val="clear" w:color="auto" w:fill="auto"/>
            <w:noWrap/>
            <w:vAlign w:val="center"/>
            <w:hideMark/>
          </w:tcPr>
          <w:p w14:paraId="2F71BCC7" w14:textId="77777777" w:rsidR="00110F1A" w:rsidRPr="00545EC0" w:rsidRDefault="00110F1A" w:rsidP="00F67214">
            <w:pPr>
              <w:spacing w:line="240" w:lineRule="auto"/>
              <w:rPr>
                <w:rFonts w:cs="Arial"/>
                <w:sz w:val="18"/>
                <w:szCs w:val="18"/>
              </w:rPr>
            </w:pPr>
            <w:r w:rsidRPr="00545EC0">
              <w:rPr>
                <w:rFonts w:cs="Arial"/>
                <w:sz w:val="18"/>
                <w:szCs w:val="18"/>
              </w:rPr>
              <w:t>-</w:t>
            </w:r>
          </w:p>
        </w:tc>
      </w:tr>
      <w:tr w:rsidR="003122F4" w:rsidRPr="00545EC0" w14:paraId="7973E489" w14:textId="77777777" w:rsidTr="00BD39F6">
        <w:trPr>
          <w:trHeight w:val="300"/>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14:paraId="4AF3C4DE" w14:textId="77777777" w:rsidR="00110F1A" w:rsidRPr="00545EC0" w:rsidRDefault="00110F1A" w:rsidP="00F67214">
            <w:pPr>
              <w:spacing w:line="240" w:lineRule="auto"/>
              <w:rPr>
                <w:rFonts w:cs="Arial"/>
                <w:sz w:val="18"/>
                <w:szCs w:val="18"/>
              </w:rPr>
            </w:pPr>
            <w:r w:rsidRPr="00545EC0">
              <w:rPr>
                <w:rFonts w:cs="Arial"/>
                <w:sz w:val="18"/>
                <w:szCs w:val="18"/>
              </w:rPr>
              <w:t>VTPODV_4016</w:t>
            </w:r>
          </w:p>
        </w:tc>
        <w:tc>
          <w:tcPr>
            <w:tcW w:w="3402" w:type="dxa"/>
            <w:tcBorders>
              <w:top w:val="nil"/>
              <w:left w:val="nil"/>
              <w:bottom w:val="single" w:sz="4" w:space="0" w:color="auto"/>
              <w:right w:val="single" w:sz="4" w:space="0" w:color="auto"/>
            </w:tcBorders>
            <w:shd w:val="clear" w:color="auto" w:fill="auto"/>
            <w:noWrap/>
            <w:vAlign w:val="center"/>
            <w:hideMark/>
          </w:tcPr>
          <w:p w14:paraId="04D45FFA" w14:textId="77777777" w:rsidR="00110F1A" w:rsidRPr="00545EC0" w:rsidRDefault="00110F1A" w:rsidP="00F67214">
            <w:pPr>
              <w:spacing w:line="240" w:lineRule="auto"/>
              <w:rPr>
                <w:rFonts w:cs="Arial"/>
                <w:sz w:val="18"/>
                <w:szCs w:val="18"/>
              </w:rPr>
            </w:pPr>
            <w:r w:rsidRPr="00545EC0">
              <w:rPr>
                <w:rFonts w:cs="Arial"/>
                <w:sz w:val="18"/>
                <w:szCs w:val="18"/>
              </w:rPr>
              <w:t>Murska kotlina</w:t>
            </w:r>
          </w:p>
        </w:tc>
        <w:tc>
          <w:tcPr>
            <w:tcW w:w="2268" w:type="dxa"/>
            <w:tcBorders>
              <w:top w:val="nil"/>
              <w:left w:val="nil"/>
              <w:bottom w:val="single" w:sz="4" w:space="0" w:color="auto"/>
              <w:right w:val="single" w:sz="4" w:space="0" w:color="auto"/>
            </w:tcBorders>
            <w:shd w:val="clear" w:color="auto" w:fill="auto"/>
            <w:noWrap/>
            <w:vAlign w:val="center"/>
            <w:hideMark/>
          </w:tcPr>
          <w:p w14:paraId="6272BFCD" w14:textId="77777777" w:rsidR="00110F1A" w:rsidRPr="00545EC0" w:rsidRDefault="00110F1A" w:rsidP="00F67214">
            <w:pPr>
              <w:spacing w:line="240" w:lineRule="auto"/>
              <w:rPr>
                <w:rFonts w:cs="Arial"/>
                <w:sz w:val="18"/>
                <w:szCs w:val="18"/>
              </w:rPr>
            </w:pPr>
            <w:r w:rsidRPr="00545EC0">
              <w:rPr>
                <w:rFonts w:cs="Arial"/>
                <w:sz w:val="18"/>
                <w:szCs w:val="18"/>
              </w:rPr>
              <w:t>cilji morda bodo ali morda ne bodo doseženi</w:t>
            </w:r>
          </w:p>
        </w:tc>
        <w:tc>
          <w:tcPr>
            <w:tcW w:w="1911" w:type="dxa"/>
            <w:tcBorders>
              <w:top w:val="nil"/>
              <w:left w:val="nil"/>
              <w:bottom w:val="single" w:sz="4" w:space="0" w:color="auto"/>
              <w:right w:val="single" w:sz="4" w:space="0" w:color="auto"/>
            </w:tcBorders>
            <w:shd w:val="clear" w:color="auto" w:fill="auto"/>
            <w:noWrap/>
            <w:vAlign w:val="center"/>
            <w:hideMark/>
          </w:tcPr>
          <w:p w14:paraId="67350E56" w14:textId="77777777" w:rsidR="00110F1A" w:rsidRPr="00545EC0" w:rsidRDefault="00110F1A" w:rsidP="00F67214">
            <w:pPr>
              <w:spacing w:line="240" w:lineRule="auto"/>
              <w:rPr>
                <w:rFonts w:cs="Arial"/>
                <w:sz w:val="18"/>
                <w:szCs w:val="18"/>
              </w:rPr>
            </w:pPr>
            <w:r w:rsidRPr="00545EC0">
              <w:rPr>
                <w:rFonts w:cs="Arial"/>
                <w:sz w:val="18"/>
                <w:szCs w:val="18"/>
              </w:rPr>
              <w:t>1. vodonosnik</w:t>
            </w:r>
          </w:p>
        </w:tc>
      </w:tr>
      <w:tr w:rsidR="003122F4" w:rsidRPr="00545EC0" w14:paraId="00884A9D" w14:textId="77777777" w:rsidTr="00BD39F6">
        <w:trPr>
          <w:trHeight w:val="300"/>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14:paraId="6E13602A" w14:textId="77777777" w:rsidR="00110F1A" w:rsidRPr="00545EC0" w:rsidRDefault="00110F1A" w:rsidP="00F67214">
            <w:pPr>
              <w:spacing w:line="240" w:lineRule="auto"/>
              <w:rPr>
                <w:rFonts w:cs="Arial"/>
                <w:sz w:val="18"/>
                <w:szCs w:val="18"/>
              </w:rPr>
            </w:pPr>
            <w:r w:rsidRPr="00545EC0">
              <w:rPr>
                <w:rFonts w:cs="Arial"/>
                <w:sz w:val="18"/>
                <w:szCs w:val="18"/>
              </w:rPr>
              <w:t>VTPODV_4017</w:t>
            </w:r>
          </w:p>
        </w:tc>
        <w:tc>
          <w:tcPr>
            <w:tcW w:w="3402" w:type="dxa"/>
            <w:tcBorders>
              <w:top w:val="nil"/>
              <w:left w:val="nil"/>
              <w:bottom w:val="single" w:sz="4" w:space="0" w:color="auto"/>
              <w:right w:val="single" w:sz="4" w:space="0" w:color="auto"/>
            </w:tcBorders>
            <w:shd w:val="clear" w:color="auto" w:fill="auto"/>
            <w:noWrap/>
            <w:vAlign w:val="center"/>
            <w:hideMark/>
          </w:tcPr>
          <w:p w14:paraId="785D29F5" w14:textId="77777777" w:rsidR="00110F1A" w:rsidRPr="00545EC0" w:rsidRDefault="00110F1A" w:rsidP="00F67214">
            <w:pPr>
              <w:spacing w:line="240" w:lineRule="auto"/>
              <w:rPr>
                <w:rFonts w:cs="Arial"/>
                <w:sz w:val="18"/>
                <w:szCs w:val="18"/>
              </w:rPr>
            </w:pPr>
            <w:r w:rsidRPr="00545EC0">
              <w:rPr>
                <w:rFonts w:cs="Arial"/>
                <w:sz w:val="18"/>
                <w:szCs w:val="18"/>
              </w:rPr>
              <w:t>Vzhodne Slovenske gorice</w:t>
            </w:r>
          </w:p>
        </w:tc>
        <w:tc>
          <w:tcPr>
            <w:tcW w:w="2268" w:type="dxa"/>
            <w:tcBorders>
              <w:top w:val="nil"/>
              <w:left w:val="nil"/>
              <w:bottom w:val="single" w:sz="4" w:space="0" w:color="auto"/>
              <w:right w:val="single" w:sz="4" w:space="0" w:color="auto"/>
            </w:tcBorders>
            <w:shd w:val="clear" w:color="auto" w:fill="auto"/>
            <w:noWrap/>
            <w:vAlign w:val="center"/>
            <w:hideMark/>
          </w:tcPr>
          <w:p w14:paraId="291FA234" w14:textId="77777777" w:rsidR="00110F1A" w:rsidRPr="00545EC0" w:rsidRDefault="00110F1A" w:rsidP="00F67214">
            <w:pPr>
              <w:spacing w:line="240" w:lineRule="auto"/>
              <w:rPr>
                <w:rFonts w:cs="Arial"/>
                <w:sz w:val="18"/>
                <w:szCs w:val="18"/>
              </w:rPr>
            </w:pPr>
            <w:r w:rsidRPr="00545EC0">
              <w:rPr>
                <w:rFonts w:cs="Arial"/>
                <w:sz w:val="18"/>
                <w:szCs w:val="18"/>
              </w:rPr>
              <w:t>cilji bodo doseženi</w:t>
            </w:r>
          </w:p>
        </w:tc>
        <w:tc>
          <w:tcPr>
            <w:tcW w:w="1911" w:type="dxa"/>
            <w:tcBorders>
              <w:top w:val="nil"/>
              <w:left w:val="nil"/>
              <w:bottom w:val="single" w:sz="4" w:space="0" w:color="auto"/>
              <w:right w:val="single" w:sz="4" w:space="0" w:color="auto"/>
            </w:tcBorders>
            <w:shd w:val="clear" w:color="auto" w:fill="auto"/>
            <w:noWrap/>
            <w:vAlign w:val="center"/>
          </w:tcPr>
          <w:p w14:paraId="3D9E64A8" w14:textId="77777777" w:rsidR="00110F1A" w:rsidRPr="00545EC0" w:rsidRDefault="00110F1A" w:rsidP="00F67214">
            <w:pPr>
              <w:spacing w:line="240" w:lineRule="auto"/>
              <w:rPr>
                <w:rFonts w:cs="Arial"/>
                <w:sz w:val="18"/>
                <w:szCs w:val="18"/>
              </w:rPr>
            </w:pPr>
          </w:p>
        </w:tc>
      </w:tr>
      <w:tr w:rsidR="003122F4" w:rsidRPr="00545EC0" w14:paraId="216FA103" w14:textId="77777777" w:rsidTr="00BD39F6">
        <w:trPr>
          <w:trHeight w:val="300"/>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14:paraId="07A32AC0" w14:textId="77777777" w:rsidR="00110F1A" w:rsidRPr="00545EC0" w:rsidRDefault="00110F1A" w:rsidP="00F67214">
            <w:pPr>
              <w:spacing w:line="240" w:lineRule="auto"/>
              <w:rPr>
                <w:rFonts w:cs="Arial"/>
                <w:sz w:val="18"/>
                <w:szCs w:val="18"/>
              </w:rPr>
            </w:pPr>
            <w:r w:rsidRPr="00545EC0">
              <w:rPr>
                <w:rFonts w:cs="Arial"/>
                <w:sz w:val="18"/>
                <w:szCs w:val="18"/>
              </w:rPr>
              <w:t>VTPODV_4018</w:t>
            </w:r>
          </w:p>
        </w:tc>
        <w:tc>
          <w:tcPr>
            <w:tcW w:w="3402" w:type="dxa"/>
            <w:tcBorders>
              <w:top w:val="nil"/>
              <w:left w:val="nil"/>
              <w:bottom w:val="single" w:sz="4" w:space="0" w:color="auto"/>
              <w:right w:val="single" w:sz="4" w:space="0" w:color="auto"/>
            </w:tcBorders>
            <w:shd w:val="clear" w:color="auto" w:fill="auto"/>
            <w:noWrap/>
            <w:vAlign w:val="center"/>
            <w:hideMark/>
          </w:tcPr>
          <w:p w14:paraId="19ABC6B2" w14:textId="77777777" w:rsidR="00110F1A" w:rsidRPr="00545EC0" w:rsidRDefault="00110F1A" w:rsidP="00F67214">
            <w:pPr>
              <w:spacing w:line="240" w:lineRule="auto"/>
              <w:rPr>
                <w:rFonts w:cs="Arial"/>
                <w:sz w:val="18"/>
                <w:szCs w:val="18"/>
              </w:rPr>
            </w:pPr>
            <w:r w:rsidRPr="00545EC0">
              <w:rPr>
                <w:rFonts w:cs="Arial"/>
                <w:sz w:val="18"/>
                <w:szCs w:val="18"/>
              </w:rPr>
              <w:t>Goričko</w:t>
            </w:r>
          </w:p>
        </w:tc>
        <w:tc>
          <w:tcPr>
            <w:tcW w:w="2268" w:type="dxa"/>
            <w:tcBorders>
              <w:top w:val="nil"/>
              <w:left w:val="nil"/>
              <w:bottom w:val="single" w:sz="4" w:space="0" w:color="auto"/>
              <w:right w:val="single" w:sz="4" w:space="0" w:color="auto"/>
            </w:tcBorders>
            <w:shd w:val="clear" w:color="auto" w:fill="auto"/>
            <w:noWrap/>
            <w:vAlign w:val="center"/>
            <w:hideMark/>
          </w:tcPr>
          <w:p w14:paraId="6DF24974" w14:textId="77777777" w:rsidR="00110F1A" w:rsidRPr="00545EC0" w:rsidRDefault="00110F1A" w:rsidP="00F67214">
            <w:pPr>
              <w:spacing w:line="240" w:lineRule="auto"/>
              <w:rPr>
                <w:rFonts w:cs="Arial"/>
                <w:sz w:val="18"/>
                <w:szCs w:val="18"/>
              </w:rPr>
            </w:pPr>
            <w:r w:rsidRPr="00545EC0">
              <w:rPr>
                <w:rFonts w:cs="Arial"/>
                <w:sz w:val="18"/>
                <w:szCs w:val="18"/>
              </w:rPr>
              <w:t>cilji bodo doseženi</w:t>
            </w:r>
          </w:p>
        </w:tc>
        <w:tc>
          <w:tcPr>
            <w:tcW w:w="1911" w:type="dxa"/>
            <w:tcBorders>
              <w:top w:val="nil"/>
              <w:left w:val="nil"/>
              <w:bottom w:val="single" w:sz="4" w:space="0" w:color="auto"/>
              <w:right w:val="single" w:sz="4" w:space="0" w:color="auto"/>
            </w:tcBorders>
            <w:shd w:val="clear" w:color="auto" w:fill="auto"/>
            <w:noWrap/>
            <w:vAlign w:val="center"/>
          </w:tcPr>
          <w:p w14:paraId="02F8E4D6" w14:textId="77777777" w:rsidR="00110F1A" w:rsidRPr="00545EC0" w:rsidRDefault="00110F1A" w:rsidP="00F67214">
            <w:pPr>
              <w:spacing w:line="240" w:lineRule="auto"/>
              <w:rPr>
                <w:rFonts w:cs="Arial"/>
                <w:sz w:val="18"/>
                <w:szCs w:val="18"/>
              </w:rPr>
            </w:pPr>
          </w:p>
        </w:tc>
      </w:tr>
    </w:tbl>
    <w:p w14:paraId="5280BD91" w14:textId="77777777" w:rsidR="00110F1A" w:rsidRPr="00545EC0" w:rsidRDefault="00110F1A" w:rsidP="00110F1A">
      <w:pPr>
        <w:spacing w:line="240" w:lineRule="auto"/>
        <w:rPr>
          <w:rFonts w:ascii="Calibri" w:hAnsi="Calibri" w:cs="Arial"/>
          <w:i/>
          <w:sz w:val="18"/>
          <w:szCs w:val="18"/>
        </w:rPr>
      </w:pPr>
      <w:r w:rsidRPr="00545EC0">
        <w:rPr>
          <w:rFonts w:ascii="Calibri" w:hAnsi="Calibri" w:cs="Arial"/>
          <w:i/>
          <w:sz w:val="18"/>
          <w:szCs w:val="18"/>
          <w:vertAlign w:val="superscript"/>
        </w:rPr>
        <w:t xml:space="preserve">1 </w:t>
      </w:r>
      <w:r w:rsidRPr="00545EC0">
        <w:rPr>
          <w:rFonts w:ascii="Calibri" w:hAnsi="Calibri" w:cs="Arial"/>
          <w:i/>
          <w:sz w:val="18"/>
          <w:szCs w:val="18"/>
        </w:rPr>
        <w:t>slabo stanje na merilnih mestih državnega monitoringa kakovosti podzemne vode na vodnjakih, ki se uporabljajo za javno oskrbo s pitno vodo;</w:t>
      </w:r>
    </w:p>
    <w:p w14:paraId="2FF54D7A" w14:textId="77777777" w:rsidR="00110F1A" w:rsidRPr="00545EC0" w:rsidRDefault="00110F1A" w:rsidP="00110F1A">
      <w:pPr>
        <w:spacing w:line="240" w:lineRule="auto"/>
        <w:rPr>
          <w:rFonts w:ascii="Calibri" w:hAnsi="Calibri" w:cs="Arial"/>
          <w:i/>
          <w:sz w:val="14"/>
          <w:szCs w:val="14"/>
        </w:rPr>
      </w:pPr>
      <w:r w:rsidRPr="00545EC0">
        <w:rPr>
          <w:rFonts w:ascii="Calibri" w:hAnsi="Calibri" w:cs="Arial"/>
          <w:i/>
          <w:sz w:val="18"/>
          <w:szCs w:val="18"/>
          <w:vertAlign w:val="superscript"/>
        </w:rPr>
        <w:t xml:space="preserve">2 </w:t>
      </w:r>
      <w:r w:rsidRPr="00545EC0">
        <w:rPr>
          <w:rFonts w:ascii="Calibri" w:hAnsi="Calibri" w:cs="Arial"/>
          <w:i/>
          <w:sz w:val="18"/>
          <w:szCs w:val="18"/>
        </w:rPr>
        <w:t xml:space="preserve">slabo stanje na merilnih mestih znotraj vodonosnega sistema </w:t>
      </w:r>
    </w:p>
    <w:p w14:paraId="70AA0713" w14:textId="77777777" w:rsidR="00110F1A" w:rsidRPr="00545EC0" w:rsidRDefault="00110F1A" w:rsidP="00110F1A">
      <w:pPr>
        <w:spacing w:line="240" w:lineRule="auto"/>
        <w:rPr>
          <w:rFonts w:ascii="Calibri" w:hAnsi="Calibri" w:cs="Arial"/>
          <w:i/>
          <w:sz w:val="18"/>
          <w:szCs w:val="18"/>
        </w:rPr>
      </w:pPr>
      <w:r w:rsidRPr="00545EC0">
        <w:rPr>
          <w:rFonts w:ascii="Calibri" w:hAnsi="Calibri" w:cs="Arial"/>
          <w:i/>
          <w:sz w:val="18"/>
          <w:szCs w:val="18"/>
          <w:vertAlign w:val="superscript"/>
        </w:rPr>
        <w:t>3</w:t>
      </w:r>
      <w:r w:rsidRPr="00545EC0">
        <w:rPr>
          <w:rFonts w:ascii="Calibri" w:hAnsi="Calibri" w:cs="Arial"/>
          <w:i/>
          <w:sz w:val="18"/>
          <w:szCs w:val="18"/>
        </w:rPr>
        <w:t xml:space="preserve"> vdor onesnažene vode iz zgornjega vodonosnika (1. vodonosnik) v spodnji vodonosnik (2. vodonosnik);</w:t>
      </w:r>
    </w:p>
    <w:p w14:paraId="45DE683A" w14:textId="77777777" w:rsidR="00110F1A" w:rsidRPr="00545EC0" w:rsidRDefault="00110F1A" w:rsidP="00110F1A">
      <w:pPr>
        <w:spacing w:line="240" w:lineRule="auto"/>
        <w:rPr>
          <w:rFonts w:ascii="Calibri" w:hAnsi="Calibri" w:cs="Arial"/>
          <w:i/>
          <w:sz w:val="18"/>
          <w:szCs w:val="18"/>
        </w:rPr>
      </w:pPr>
      <w:r w:rsidRPr="00545EC0">
        <w:rPr>
          <w:rFonts w:ascii="Calibri" w:hAnsi="Calibri" w:cs="Arial"/>
          <w:i/>
          <w:sz w:val="18"/>
          <w:szCs w:val="18"/>
          <w:vertAlign w:val="superscript"/>
        </w:rPr>
        <w:t>4</w:t>
      </w:r>
      <w:r w:rsidRPr="00545EC0">
        <w:rPr>
          <w:rFonts w:ascii="Calibri" w:hAnsi="Calibri" w:cs="Arial"/>
          <w:i/>
          <w:sz w:val="18"/>
          <w:szCs w:val="18"/>
        </w:rPr>
        <w:t xml:space="preserve"> obstaja tveganje, da ekosistemi odvisni od podzemnih vod, ne bodo v ugodnem stanju ohranjenosti. Vendar obstaja tudi negotovost pri napovedi, saj za ugotavljanje stanja ohranjenosti nimamo natančnih meritev, </w:t>
      </w:r>
      <w:r w:rsidRPr="00545EC0">
        <w:rPr>
          <w:rFonts w:ascii="Calibri" w:hAnsi="Calibri"/>
          <w:i/>
          <w:sz w:val="18"/>
          <w:szCs w:val="18"/>
        </w:rPr>
        <w:t>poleg tega pa manjka tudi ocena ogroženosti z natančnim popisom vrst</w:t>
      </w:r>
      <w:r w:rsidRPr="00545EC0">
        <w:rPr>
          <w:rFonts w:ascii="Calibri" w:hAnsi="Calibri" w:cs="Arial"/>
          <w:i/>
          <w:sz w:val="18"/>
          <w:szCs w:val="18"/>
        </w:rPr>
        <w:t>.</w:t>
      </w:r>
    </w:p>
    <w:p w14:paraId="499ED50F" w14:textId="77777777" w:rsidR="00110F1A" w:rsidRPr="00545EC0" w:rsidRDefault="00110F1A" w:rsidP="00110F1A">
      <w:pPr>
        <w:rPr>
          <w:rFonts w:cs="Arial"/>
          <w:b/>
          <w:szCs w:val="22"/>
        </w:rPr>
      </w:pPr>
    </w:p>
    <w:p w14:paraId="6D608347" w14:textId="77777777" w:rsidR="00110F1A" w:rsidRPr="00545EC0" w:rsidRDefault="00110F1A" w:rsidP="00D5428C">
      <w:pPr>
        <w:rPr>
          <w:rFonts w:cs="Arial"/>
        </w:rPr>
      </w:pPr>
      <w:r w:rsidRPr="00545EC0">
        <w:rPr>
          <w:rFonts w:cs="Arial"/>
        </w:rPr>
        <w:t xml:space="preserve">Glede na izhodiščno stanje podzemna voda </w:t>
      </w:r>
      <w:r w:rsidRPr="004168CD">
        <w:rPr>
          <w:rFonts w:cs="Arial"/>
          <w:bCs/>
        </w:rPr>
        <w:t>ne bo dosegla okoljskih ciljev</w:t>
      </w:r>
      <w:r w:rsidRPr="00545EC0">
        <w:rPr>
          <w:rFonts w:cs="Arial"/>
        </w:rPr>
        <w:t xml:space="preserve"> kemijskega stanja na:</w:t>
      </w:r>
    </w:p>
    <w:p w14:paraId="2A99396C" w14:textId="77777777" w:rsidR="00110F1A" w:rsidRPr="00545EC0" w:rsidRDefault="00110F1A" w:rsidP="00DD37C5">
      <w:pPr>
        <w:numPr>
          <w:ilvl w:val="0"/>
          <w:numId w:val="67"/>
        </w:numPr>
        <w:overflowPunct/>
        <w:autoSpaceDE/>
        <w:autoSpaceDN/>
        <w:adjustRightInd/>
        <w:textAlignment w:val="auto"/>
        <w:rPr>
          <w:rFonts w:cs="Arial"/>
        </w:rPr>
      </w:pPr>
      <w:r w:rsidRPr="00545EC0">
        <w:rPr>
          <w:rFonts w:cs="Arial"/>
        </w:rPr>
        <w:t>VTPodV Savinjska kotlina zaradi:</w:t>
      </w:r>
    </w:p>
    <w:p w14:paraId="533CBD06" w14:textId="1C00FDE8" w:rsidR="00110F1A" w:rsidRPr="00545EC0" w:rsidRDefault="00110F1A" w:rsidP="00DD37C5">
      <w:pPr>
        <w:numPr>
          <w:ilvl w:val="1"/>
          <w:numId w:val="68"/>
        </w:numPr>
        <w:overflowPunct/>
        <w:autoSpaceDE/>
        <w:autoSpaceDN/>
        <w:adjustRightInd/>
        <w:textAlignment w:val="auto"/>
        <w:rPr>
          <w:rFonts w:cs="Arial"/>
        </w:rPr>
      </w:pPr>
      <w:r w:rsidRPr="00545EC0">
        <w:rPr>
          <w:rFonts w:cs="Arial"/>
        </w:rPr>
        <w:t>vsebnost</w:t>
      </w:r>
      <w:r w:rsidR="00796403" w:rsidRPr="00545EC0">
        <w:rPr>
          <w:rFonts w:cs="Arial"/>
        </w:rPr>
        <w:t>i</w:t>
      </w:r>
      <w:r w:rsidRPr="00545EC0">
        <w:rPr>
          <w:rFonts w:cs="Arial"/>
        </w:rPr>
        <w:t xml:space="preserve"> nitrata, ki je opredeljen kot kritični parameter</w:t>
      </w:r>
      <w:r w:rsidR="00A950E6" w:rsidRPr="00545EC0">
        <w:rPr>
          <w:rFonts w:cs="Arial"/>
        </w:rPr>
        <w:t>,</w:t>
      </w:r>
      <w:r w:rsidRPr="00545EC0">
        <w:rPr>
          <w:rFonts w:cs="Arial"/>
        </w:rPr>
        <w:t xml:space="preserve"> bo glede na napoved trenda pri 95 % stopnji zaupanja do leta 2027 še vedno presegala standarde kakovosti in vrednosti praga na 64 % merilnih mest;</w:t>
      </w:r>
    </w:p>
    <w:p w14:paraId="5C2C7262" w14:textId="77777777" w:rsidR="00110F1A" w:rsidRPr="00545EC0" w:rsidRDefault="00110F1A" w:rsidP="00DD37C5">
      <w:pPr>
        <w:numPr>
          <w:ilvl w:val="1"/>
          <w:numId w:val="68"/>
        </w:numPr>
        <w:overflowPunct/>
        <w:autoSpaceDE/>
        <w:autoSpaceDN/>
        <w:adjustRightInd/>
        <w:textAlignment w:val="auto"/>
        <w:rPr>
          <w:rFonts w:cs="Arial"/>
        </w:rPr>
      </w:pPr>
      <w:r w:rsidRPr="00545EC0">
        <w:rPr>
          <w:rFonts w:cs="Arial"/>
        </w:rPr>
        <w:t>koncentracije nitrata v zadnjih 6-ih letih stagnirajo;</w:t>
      </w:r>
    </w:p>
    <w:p w14:paraId="302D0653" w14:textId="77777777" w:rsidR="00110F1A" w:rsidRPr="00545EC0" w:rsidRDefault="00110F1A" w:rsidP="00DD37C5">
      <w:pPr>
        <w:numPr>
          <w:ilvl w:val="1"/>
          <w:numId w:val="68"/>
        </w:numPr>
        <w:overflowPunct/>
        <w:autoSpaceDE/>
        <w:autoSpaceDN/>
        <w:adjustRightInd/>
        <w:textAlignment w:val="auto"/>
        <w:rPr>
          <w:rFonts w:cs="Arial"/>
        </w:rPr>
      </w:pPr>
      <w:r w:rsidRPr="00545EC0">
        <w:rPr>
          <w:rFonts w:cs="Arial"/>
        </w:rPr>
        <w:t>emisije dušika v podzemno vodo iz različnih točkovnih in razpršenih virov so na ožjem območju vodnega telesa prekomerne za približno 36 ton/leto (21,3 %).</w:t>
      </w:r>
    </w:p>
    <w:p w14:paraId="4A586722" w14:textId="77777777" w:rsidR="00110F1A" w:rsidRPr="00545EC0" w:rsidRDefault="00110F1A" w:rsidP="00DD37C5">
      <w:pPr>
        <w:numPr>
          <w:ilvl w:val="0"/>
          <w:numId w:val="69"/>
        </w:numPr>
        <w:overflowPunct/>
        <w:autoSpaceDE/>
        <w:autoSpaceDN/>
        <w:adjustRightInd/>
        <w:contextualSpacing/>
        <w:textAlignment w:val="auto"/>
        <w:rPr>
          <w:rFonts w:cs="Arial"/>
        </w:rPr>
      </w:pPr>
      <w:r w:rsidRPr="00545EC0">
        <w:rPr>
          <w:rFonts w:cs="Arial"/>
        </w:rPr>
        <w:t>VTPodV Dravska kotlina zaradi:</w:t>
      </w:r>
    </w:p>
    <w:p w14:paraId="3C795A0B" w14:textId="3796B825" w:rsidR="00110F1A" w:rsidRPr="00545EC0" w:rsidRDefault="00110F1A" w:rsidP="00DD37C5">
      <w:pPr>
        <w:numPr>
          <w:ilvl w:val="0"/>
          <w:numId w:val="70"/>
        </w:numPr>
        <w:overflowPunct/>
        <w:autoSpaceDE/>
        <w:autoSpaceDN/>
        <w:adjustRightInd/>
        <w:contextualSpacing/>
        <w:textAlignment w:val="auto"/>
        <w:rPr>
          <w:rFonts w:cs="Arial"/>
        </w:rPr>
      </w:pPr>
      <w:r w:rsidRPr="00545EC0">
        <w:rPr>
          <w:rFonts w:cs="Arial"/>
        </w:rPr>
        <w:t>vsebnosti nitrata in atrazina sta opredeljena kot kritična parametra. Glede na napoved trenda pri 95 % stopnji zaupanja do leta 2027 bodo koncentracije nitrata še vedno presegala standarde kakovosti in vrednosti praga na 37 % merilnih mest, na 15 % vseh merilnih mest pa obstaja možnost, da bodo koncentracije dosegle oziroma presegle standard kakovosti do leta 2027, vendar ta ocena zaradi prevelikega sipanja podatkov oziroma kratkega niza podatkov ni povsem zanesljiva; koncentracije atrazina kažejo na dobro stanje (26 % merilnih mest naj bi presegalo standard kakovosti do leta 2027)</w:t>
      </w:r>
      <w:r w:rsidR="00796403" w:rsidRPr="00545EC0">
        <w:rPr>
          <w:rFonts w:cs="Arial"/>
        </w:rPr>
        <w:t>.</w:t>
      </w:r>
    </w:p>
    <w:p w14:paraId="168037E8" w14:textId="7564BE2E" w:rsidR="00110F1A" w:rsidRPr="00545EC0" w:rsidRDefault="00110F1A" w:rsidP="00DD37C5">
      <w:pPr>
        <w:numPr>
          <w:ilvl w:val="0"/>
          <w:numId w:val="70"/>
        </w:numPr>
        <w:overflowPunct/>
        <w:autoSpaceDE/>
        <w:autoSpaceDN/>
        <w:adjustRightInd/>
        <w:contextualSpacing/>
        <w:textAlignment w:val="auto"/>
        <w:rPr>
          <w:rFonts w:cs="Arial"/>
        </w:rPr>
      </w:pPr>
      <w:r w:rsidRPr="00545EC0">
        <w:rPr>
          <w:rFonts w:cs="Arial"/>
        </w:rPr>
        <w:t>Na nivoju celotnega telesa se koncentracije nitrata počasi zmanjšujejo, na ožjem območju vodnega telesa podzemne vode</w:t>
      </w:r>
      <w:r w:rsidR="00A950E6" w:rsidRPr="00545EC0">
        <w:rPr>
          <w:rFonts w:cs="Arial"/>
        </w:rPr>
        <w:t xml:space="preserve"> pa</w:t>
      </w:r>
      <w:r w:rsidRPr="00545EC0">
        <w:rPr>
          <w:rFonts w:cs="Arial"/>
        </w:rPr>
        <w:t xml:space="preserve"> so koncentracije nitrata še vedno nad standardom kakovosti;</w:t>
      </w:r>
    </w:p>
    <w:p w14:paraId="4FED85F0" w14:textId="77777777" w:rsidR="00110F1A" w:rsidRPr="00545EC0" w:rsidRDefault="00110F1A" w:rsidP="00DD37C5">
      <w:pPr>
        <w:numPr>
          <w:ilvl w:val="0"/>
          <w:numId w:val="70"/>
        </w:numPr>
        <w:overflowPunct/>
        <w:autoSpaceDE/>
        <w:autoSpaceDN/>
        <w:adjustRightInd/>
        <w:contextualSpacing/>
        <w:textAlignment w:val="auto"/>
        <w:rPr>
          <w:rFonts w:cs="Arial"/>
        </w:rPr>
      </w:pPr>
      <w:r w:rsidRPr="00545EC0">
        <w:rPr>
          <w:rFonts w:cs="Arial"/>
        </w:rPr>
        <w:t>emisije dušika v podzemno vodo iz različnih točkovnih in razpršenih virov so na ožjem območju vodnega telesa prekomerne za približno 148 ton/leto (28 %);</w:t>
      </w:r>
    </w:p>
    <w:p w14:paraId="66382D0A" w14:textId="34E0EDD6" w:rsidR="00110F1A" w:rsidRPr="00545EC0" w:rsidRDefault="00110F1A" w:rsidP="00DD37C5">
      <w:pPr>
        <w:numPr>
          <w:ilvl w:val="0"/>
          <w:numId w:val="70"/>
        </w:numPr>
        <w:overflowPunct/>
        <w:autoSpaceDE/>
        <w:autoSpaceDN/>
        <w:adjustRightInd/>
        <w:contextualSpacing/>
        <w:textAlignment w:val="auto"/>
        <w:rPr>
          <w:rFonts w:cs="Arial"/>
        </w:rPr>
      </w:pPr>
      <w:r w:rsidRPr="00545EC0">
        <w:rPr>
          <w:rFonts w:cs="Arial"/>
        </w:rPr>
        <w:t>vdor onesnažene vode iz zgornjega vodonosnika (1. vodonosnik) v spodnji vodonosnik (2. vodonosnik)</w:t>
      </w:r>
      <w:r w:rsidR="00A950E6" w:rsidRPr="00545EC0">
        <w:rPr>
          <w:rFonts w:cs="Arial"/>
        </w:rPr>
        <w:t>;</w:t>
      </w:r>
    </w:p>
    <w:p w14:paraId="1424C535" w14:textId="77777777" w:rsidR="00110F1A" w:rsidRPr="00545EC0" w:rsidRDefault="00110F1A" w:rsidP="00DD37C5">
      <w:pPr>
        <w:numPr>
          <w:ilvl w:val="0"/>
          <w:numId w:val="70"/>
        </w:numPr>
        <w:overflowPunct/>
        <w:autoSpaceDE/>
        <w:autoSpaceDN/>
        <w:adjustRightInd/>
        <w:contextualSpacing/>
        <w:textAlignment w:val="auto"/>
        <w:rPr>
          <w:rFonts w:cs="Arial"/>
        </w:rPr>
      </w:pPr>
      <w:r w:rsidRPr="00545EC0">
        <w:rPr>
          <w:rFonts w:cs="Arial"/>
        </w:rPr>
        <w:t xml:space="preserve">slabo stanje podzemne vode na vodnih virih, ki so namenjena za oskrbo s pitno vodo.  </w:t>
      </w:r>
    </w:p>
    <w:p w14:paraId="61AE3D4C" w14:textId="77777777" w:rsidR="00110F1A" w:rsidRPr="00545EC0" w:rsidRDefault="00110F1A" w:rsidP="00D5428C">
      <w:pPr>
        <w:rPr>
          <w:rFonts w:cs="Arial"/>
        </w:rPr>
      </w:pPr>
    </w:p>
    <w:p w14:paraId="74726B8A" w14:textId="442BE8DD" w:rsidR="00110F1A" w:rsidRPr="00545EC0" w:rsidRDefault="00110F1A" w:rsidP="00D5428C">
      <w:pPr>
        <w:rPr>
          <w:rFonts w:cs="Arial"/>
        </w:rPr>
      </w:pPr>
      <w:r w:rsidRPr="00545EC0">
        <w:rPr>
          <w:rFonts w:cs="Arial"/>
        </w:rPr>
        <w:t xml:space="preserve">Glede na izhodiščno stanje podzemna voda </w:t>
      </w:r>
      <w:r w:rsidRPr="00545EC0">
        <w:rPr>
          <w:rFonts w:cs="Arial"/>
          <w:bCs/>
        </w:rPr>
        <w:t>morda bo</w:t>
      </w:r>
      <w:r w:rsidR="00BC6CEF" w:rsidRPr="00545EC0">
        <w:rPr>
          <w:rFonts w:cs="Arial"/>
          <w:bCs/>
        </w:rPr>
        <w:t xml:space="preserve"> </w:t>
      </w:r>
      <w:r w:rsidRPr="00545EC0">
        <w:rPr>
          <w:rFonts w:cs="Arial"/>
          <w:bCs/>
        </w:rPr>
        <w:t>morda ne bo dosegla okoljskih ciljev</w:t>
      </w:r>
      <w:r w:rsidRPr="00545EC0">
        <w:rPr>
          <w:rFonts w:cs="Arial"/>
        </w:rPr>
        <w:t xml:space="preserve"> kemijskega stanja na:</w:t>
      </w:r>
    </w:p>
    <w:p w14:paraId="649492A7" w14:textId="77777777" w:rsidR="00110F1A" w:rsidRPr="00545EC0" w:rsidRDefault="00110F1A" w:rsidP="00DD37C5">
      <w:pPr>
        <w:numPr>
          <w:ilvl w:val="0"/>
          <w:numId w:val="71"/>
        </w:numPr>
        <w:overflowPunct/>
        <w:autoSpaceDE/>
        <w:autoSpaceDN/>
        <w:adjustRightInd/>
        <w:textAlignment w:val="auto"/>
        <w:rPr>
          <w:rFonts w:cs="Arial"/>
        </w:rPr>
      </w:pPr>
      <w:r w:rsidRPr="00545EC0">
        <w:rPr>
          <w:rFonts w:cs="Arial"/>
        </w:rPr>
        <w:t>VTPodV Murska kotlina zaradi:</w:t>
      </w:r>
    </w:p>
    <w:p w14:paraId="32CB04BC" w14:textId="77777777" w:rsidR="00110F1A" w:rsidRPr="00545EC0" w:rsidRDefault="00110F1A" w:rsidP="00DD37C5">
      <w:pPr>
        <w:numPr>
          <w:ilvl w:val="1"/>
          <w:numId w:val="72"/>
        </w:numPr>
        <w:overflowPunct/>
        <w:autoSpaceDE/>
        <w:autoSpaceDN/>
        <w:adjustRightInd/>
        <w:textAlignment w:val="auto"/>
        <w:rPr>
          <w:rFonts w:cs="Arial"/>
        </w:rPr>
      </w:pPr>
      <w:r w:rsidRPr="00545EC0">
        <w:rPr>
          <w:rFonts w:cs="Arial"/>
        </w:rPr>
        <w:lastRenderedPageBreak/>
        <w:t>vsebnost nitrata, ki je opredeljen kot kritični parameter bo glede na napoved trenda pri 95 % stopnji zaupanja do leta 2027 še vedno presegala standarde kakovosti in vrednosti praga na 17 % merilnih mest, na 25 % vseh merilnih mest pa obstaja možnost, da bodo koncentracije dosegle oziroma presegle standard kakovosti do leta 2027, vendar ta ocena zaradi prevelikega sipanja podatkov oziroma kratkega niza podatkov ni povsem zanesljiva;</w:t>
      </w:r>
    </w:p>
    <w:p w14:paraId="318161A3" w14:textId="77777777" w:rsidR="00110F1A" w:rsidRPr="00545EC0" w:rsidRDefault="00110F1A" w:rsidP="00DD37C5">
      <w:pPr>
        <w:numPr>
          <w:ilvl w:val="1"/>
          <w:numId w:val="72"/>
        </w:numPr>
        <w:overflowPunct/>
        <w:autoSpaceDE/>
        <w:autoSpaceDN/>
        <w:adjustRightInd/>
        <w:textAlignment w:val="auto"/>
        <w:rPr>
          <w:rFonts w:cs="Arial"/>
        </w:rPr>
      </w:pPr>
      <w:r w:rsidRPr="00545EC0">
        <w:rPr>
          <w:rFonts w:cs="Arial"/>
        </w:rPr>
        <w:t>emisije dušika v podzemno vodo iz različnih točkovnih in razpršenih virov so na ožjem območju vodnega telesa prekomerne za približno 128,5 ton/leto (47 %).</w:t>
      </w:r>
    </w:p>
    <w:p w14:paraId="3BD4673B" w14:textId="2B9E4F3C" w:rsidR="00CE297A" w:rsidRPr="00545EC0" w:rsidRDefault="00110F1A" w:rsidP="00D5428C">
      <w:pPr>
        <w:spacing w:before="120" w:after="120"/>
        <w:rPr>
          <w:rFonts w:cs="Arial"/>
        </w:rPr>
      </w:pPr>
      <w:r w:rsidRPr="00545EC0">
        <w:rPr>
          <w:rFonts w:cs="Arial"/>
        </w:rPr>
        <w:t xml:space="preserve">Na ostalih vodnih telesih podzemne vode ocenjujemo, da </w:t>
      </w:r>
      <w:r w:rsidRPr="00545EC0">
        <w:rPr>
          <w:rFonts w:cs="Arial"/>
          <w:bCs/>
        </w:rPr>
        <w:t>bo</w:t>
      </w:r>
      <w:r w:rsidRPr="00545EC0">
        <w:rPr>
          <w:rFonts w:cs="Arial"/>
        </w:rPr>
        <w:t xml:space="preserve"> podzemna voda glede na izhodiščno stanje </w:t>
      </w:r>
      <w:r w:rsidRPr="00545EC0">
        <w:rPr>
          <w:rFonts w:cs="Arial"/>
          <w:bCs/>
        </w:rPr>
        <w:t>dosegla okoljske cilje</w:t>
      </w:r>
      <w:r w:rsidR="00907B53" w:rsidRPr="00545EC0">
        <w:rPr>
          <w:rFonts w:cs="Arial"/>
        </w:rPr>
        <w:t xml:space="preserve"> kemijskega stanja. </w:t>
      </w:r>
    </w:p>
    <w:p w14:paraId="3822A3C5" w14:textId="63914CEF" w:rsidR="000B651C" w:rsidRPr="00545EC0" w:rsidRDefault="00110F1A" w:rsidP="00D5428C">
      <w:pPr>
        <w:spacing w:before="120" w:after="120"/>
        <w:rPr>
          <w:rFonts w:cs="Arial"/>
        </w:rPr>
      </w:pPr>
      <w:r w:rsidRPr="00545EC0">
        <w:rPr>
          <w:rFonts w:cs="Arial"/>
        </w:rPr>
        <w:t xml:space="preserve">Največjo pozornost za izboljšanje stanja podzemne vode je </w:t>
      </w:r>
      <w:r w:rsidR="00905B51" w:rsidRPr="00545EC0">
        <w:rPr>
          <w:rFonts w:cs="Arial"/>
        </w:rPr>
        <w:t xml:space="preserve">treba </w:t>
      </w:r>
      <w:r w:rsidRPr="00545EC0">
        <w:rPr>
          <w:rFonts w:cs="Arial"/>
        </w:rPr>
        <w:t xml:space="preserve">usmeriti v </w:t>
      </w:r>
      <w:r w:rsidR="000B651C" w:rsidRPr="00545EC0">
        <w:rPr>
          <w:rFonts w:cs="Arial"/>
        </w:rPr>
        <w:t xml:space="preserve">območja vodnih teles podzemnih voda, </w:t>
      </w:r>
      <w:r w:rsidR="000B651C" w:rsidRPr="00545EC0">
        <w:t xml:space="preserve">kjer je na podlagi rezultatov monitoringa stanja podzemnih voda v skladu s predpisom, ki ureja stanje podzemnih voda, ugotovljeno preseganje okoljskih standardov kakovosti (v nadaljevanju besedila: ožja območja vodnih teles podzemne vode) oziroma v vodonosnike brez vrhnjih zaščitnih plasti in kjer so zadrževalne sposobnosti vodonosnika za širjenje onesnaževal majhne. </w:t>
      </w:r>
    </w:p>
    <w:p w14:paraId="2D1AFC0B" w14:textId="6020414D" w:rsidR="00905B51" w:rsidRPr="00545EC0" w:rsidRDefault="00905B51" w:rsidP="00D5428C">
      <w:pPr>
        <w:spacing w:before="120" w:after="120"/>
        <w:rPr>
          <w:rFonts w:cs="Arial"/>
        </w:rPr>
      </w:pPr>
    </w:p>
    <w:p w14:paraId="7C4CBCEA" w14:textId="67B14C6C" w:rsidR="008F72B1" w:rsidRPr="00545EC0" w:rsidRDefault="00110F1A" w:rsidP="00D5428C">
      <w:pPr>
        <w:rPr>
          <w:rFonts w:cs="Arial"/>
          <w:i/>
          <w:lang w:eastAsia="pl-PL"/>
        </w:rPr>
      </w:pPr>
      <w:r w:rsidRPr="00545EC0">
        <w:rPr>
          <w:rFonts w:cs="Arial"/>
          <w:i/>
          <w:lang w:eastAsia="pl-PL"/>
        </w:rPr>
        <w:t>(Publikacijska karta</w:t>
      </w:r>
      <w:r w:rsidR="003630B2" w:rsidRPr="00545EC0">
        <w:rPr>
          <w:rFonts w:cs="Arial"/>
          <w:i/>
          <w:lang w:eastAsia="pl-PL"/>
        </w:rPr>
        <w:t xml:space="preserve"> </w:t>
      </w:r>
      <w:r w:rsidR="00611ACA" w:rsidRPr="00545EC0">
        <w:rPr>
          <w:rFonts w:cs="Arial"/>
          <w:i/>
          <w:lang w:eastAsia="pl-PL"/>
        </w:rPr>
        <w:t>9.7</w:t>
      </w:r>
      <w:r w:rsidRPr="00545EC0">
        <w:rPr>
          <w:rFonts w:cs="Arial"/>
          <w:i/>
          <w:lang w:eastAsia="pl-PL"/>
        </w:rPr>
        <w:t>: Ocena verjetnosti doseganja okoljskih ciljev n</w:t>
      </w:r>
      <w:r w:rsidR="00907B53" w:rsidRPr="00545EC0">
        <w:rPr>
          <w:rFonts w:cs="Arial"/>
          <w:i/>
          <w:lang w:eastAsia="pl-PL"/>
        </w:rPr>
        <w:t>a VTPodV 2021- kemijsko stanje)</w:t>
      </w:r>
      <w:r w:rsidR="00611ACA" w:rsidRPr="00545EC0">
        <w:rPr>
          <w:rFonts w:cs="Arial"/>
          <w:i/>
          <w:lang w:eastAsia="pl-PL"/>
        </w:rPr>
        <w:t>.</w:t>
      </w:r>
    </w:p>
    <w:p w14:paraId="6E7EAEB2" w14:textId="77777777" w:rsidR="00BD39F6" w:rsidRPr="00545EC0" w:rsidRDefault="00BD39F6" w:rsidP="00BD39F6">
      <w:pPr>
        <w:pStyle w:val="podnaslov0"/>
      </w:pPr>
      <w:r w:rsidRPr="00545EC0">
        <w:t>Napoved verjetnosti doseganja okoljskih ciljev – količinsko stanje VTPodV</w:t>
      </w:r>
    </w:p>
    <w:p w14:paraId="45148E5D" w14:textId="77777777" w:rsidR="00110F1A" w:rsidRPr="00545EC0" w:rsidRDefault="00110F1A" w:rsidP="00D5428C">
      <w:pPr>
        <w:pStyle w:val="Odstavekseznama"/>
        <w:spacing w:before="120" w:after="120"/>
        <w:ind w:left="0"/>
        <w:rPr>
          <w:rFonts w:cs="Arial"/>
          <w:u w:val="single"/>
        </w:rPr>
      </w:pPr>
      <w:r w:rsidRPr="00545EC0">
        <w:rPr>
          <w:rFonts w:cs="Arial"/>
          <w:u w:val="single"/>
        </w:rPr>
        <w:t>Trendi gladin in iztokov podzemne vode</w:t>
      </w:r>
    </w:p>
    <w:p w14:paraId="40A65DC0" w14:textId="2C233065" w:rsidR="00110F1A" w:rsidRPr="00545EC0" w:rsidRDefault="00F65691" w:rsidP="00D5428C">
      <w:pPr>
        <w:pStyle w:val="Odstavekseznama"/>
        <w:spacing w:before="120" w:after="120"/>
        <w:ind w:left="0"/>
        <w:rPr>
          <w:rFonts w:cs="Arial"/>
        </w:rPr>
      </w:pPr>
      <w:r w:rsidRPr="00545EC0">
        <w:rPr>
          <w:lang w:val="sl-SI"/>
        </w:rPr>
        <w:t xml:space="preserve">Vodnobilančni preizkus v plitvih vodonosnikih, ki je del ocene količinskega stanja VTPodV, vključuje analizo trendov gladin in analizo trendov izvirov oz. iztokov podzemne vode </w:t>
      </w:r>
      <w:r w:rsidRPr="00545EC0">
        <w:rPr>
          <w:rFonts w:cs="Arial"/>
          <w:lang w:val="sl-SI"/>
        </w:rPr>
        <w:t>v</w:t>
      </w:r>
      <w:r w:rsidRPr="00545EC0">
        <w:rPr>
          <w:rFonts w:cs="Arial"/>
        </w:rPr>
        <w:t xml:space="preserve"> obdobj</w:t>
      </w:r>
      <w:r w:rsidRPr="00545EC0">
        <w:rPr>
          <w:rFonts w:cs="Arial"/>
          <w:lang w:val="sl-SI"/>
        </w:rPr>
        <w:t>u</w:t>
      </w:r>
      <w:r w:rsidRPr="00545EC0">
        <w:rPr>
          <w:rFonts w:cs="Arial"/>
        </w:rPr>
        <w:t xml:space="preserve"> 1990-2019 </w:t>
      </w:r>
      <w:r w:rsidRPr="00545EC0">
        <w:rPr>
          <w:rFonts w:cs="Arial"/>
          <w:lang w:val="sl-SI"/>
        </w:rPr>
        <w:t>in napoved morebirnih sprememb za o</w:t>
      </w:r>
      <w:r w:rsidR="00B916AD" w:rsidRPr="00545EC0">
        <w:rPr>
          <w:rFonts w:cs="Arial"/>
          <w:lang w:val="sl-SI"/>
        </w:rPr>
        <w:t>bdobje do leta 2027 (ARSO, 2021c</w:t>
      </w:r>
      <w:r w:rsidRPr="00545EC0">
        <w:rPr>
          <w:rFonts w:cs="Arial"/>
          <w:lang w:val="sl-SI"/>
        </w:rPr>
        <w:t xml:space="preserve">). </w:t>
      </w:r>
      <w:r w:rsidRPr="00545EC0">
        <w:rPr>
          <w:lang w:val="sl-SI"/>
        </w:rPr>
        <w:t xml:space="preserve">Na podlagi navedenega za vodna telesa podzemnih voda VO Jadranskega morja tveganja za preseganje kriterija za dobro količinsko stanjedo leta 2027 niso ugotovljena. </w:t>
      </w:r>
      <w:r w:rsidR="00110F1A" w:rsidRPr="00545EC0">
        <w:rPr>
          <w:rFonts w:cs="Arial"/>
        </w:rPr>
        <w:t xml:space="preserve">Vodnobilančna tveganja, povezana s podnebnimi spremembami in rabo vode v prihodnje so bila ocenjena z modeliranjem. </w:t>
      </w:r>
    </w:p>
    <w:p w14:paraId="051503C8" w14:textId="77777777" w:rsidR="00907B53" w:rsidRPr="00545EC0" w:rsidRDefault="00907B53" w:rsidP="00D5428C">
      <w:pPr>
        <w:spacing w:before="120" w:after="120"/>
        <w:rPr>
          <w:rFonts w:cs="Arial"/>
        </w:rPr>
      </w:pPr>
    </w:p>
    <w:p w14:paraId="0D525D0C" w14:textId="77777777" w:rsidR="007E2D69" w:rsidRPr="00545EC0" w:rsidRDefault="007E2D69" w:rsidP="007E2D69">
      <w:pPr>
        <w:overflowPunct/>
        <w:spacing w:line="240" w:lineRule="auto"/>
        <w:jc w:val="left"/>
        <w:textAlignment w:val="auto"/>
        <w:rPr>
          <w:rFonts w:ascii="Helv" w:eastAsia="Calibri" w:hAnsi="Helv" w:cs="Helv"/>
          <w:szCs w:val="20"/>
        </w:rPr>
      </w:pPr>
      <w:r w:rsidRPr="00545EC0">
        <w:rPr>
          <w:rFonts w:eastAsia="Calibri" w:cs="Arial"/>
          <w:szCs w:val="20"/>
          <w:u w:val="single"/>
        </w:rPr>
        <w:t>Scenariji podnebnih sprememb</w:t>
      </w:r>
      <w:r w:rsidRPr="00545EC0">
        <w:rPr>
          <w:rFonts w:ascii="Helv" w:eastAsia="Calibri" w:hAnsi="Helv" w:cs="Helv"/>
          <w:szCs w:val="20"/>
        </w:rPr>
        <w:br/>
      </w:r>
    </w:p>
    <w:p w14:paraId="0A7DBBCC" w14:textId="5D045B12" w:rsidR="00907B53" w:rsidRPr="00545EC0" w:rsidRDefault="007E2D69" w:rsidP="007E2D69">
      <w:pPr>
        <w:spacing w:before="120" w:after="120"/>
        <w:rPr>
          <w:rFonts w:cs="Arial"/>
        </w:rPr>
      </w:pPr>
      <w:r w:rsidRPr="00545EC0">
        <w:rPr>
          <w:rFonts w:eastAsia="Calibri" w:cs="Arial"/>
          <w:szCs w:val="20"/>
        </w:rPr>
        <w:t>Ocen</w:t>
      </w:r>
      <w:r w:rsidR="00796403" w:rsidRPr="00545EC0">
        <w:rPr>
          <w:rFonts w:eastAsia="Calibri" w:cs="Arial"/>
          <w:szCs w:val="20"/>
        </w:rPr>
        <w:t>e</w:t>
      </w:r>
      <w:r w:rsidRPr="00545EC0">
        <w:rPr>
          <w:rFonts w:eastAsia="Calibri" w:cs="Arial"/>
          <w:szCs w:val="20"/>
        </w:rPr>
        <w:t xml:space="preserve"> vpliva podnebnih sprememb na napajanje podzemne vode kažejo, da bo na večini vodnih teles prišlo do povečanja napajanja na letni ravni. Po vseh podnebnih scenarijih RCP2.6, RCP4.5 in RCP8.5 se kaže na postopno povečevanje letnega napajanja do konca 21. stoletja. Relativno se ocenjuje največje povečanje napajanja podzemne vode na severovzhodnem delu Slovenije. Sezonski pregled kaže, da bo povečanje največje v zimski sezoni, enotna pa je ocena za zmanjšanje napajanja v pomladni</w:t>
      </w:r>
      <w:r w:rsidRPr="00545EC0">
        <w:rPr>
          <w:rFonts w:eastAsia="Calibri" w:cs="Arial"/>
          <w:b/>
          <w:bCs/>
          <w:szCs w:val="20"/>
        </w:rPr>
        <w:t xml:space="preserve"> </w:t>
      </w:r>
      <w:r w:rsidRPr="00545EC0">
        <w:rPr>
          <w:rFonts w:eastAsia="Calibri" w:cs="Arial"/>
          <w:szCs w:val="20"/>
        </w:rPr>
        <w:t>sezoni na višje ležečih območjih.</w:t>
      </w:r>
    </w:p>
    <w:p w14:paraId="52DD9B15" w14:textId="19183822" w:rsidR="00110F1A" w:rsidRPr="00545EC0" w:rsidRDefault="00110F1A" w:rsidP="00110F1A">
      <w:pPr>
        <w:spacing w:after="120"/>
        <w:rPr>
          <w:rFonts w:cs="Arial"/>
        </w:rPr>
      </w:pPr>
      <w:bookmarkStart w:id="361" w:name="_Ref69316882"/>
      <w:bookmarkStart w:id="362" w:name="_Toc71784579"/>
      <w:r w:rsidRPr="00545EC0">
        <w:rPr>
          <w:rFonts w:cs="Arial"/>
        </w:rPr>
        <w:t xml:space="preserve">Preglednica </w:t>
      </w:r>
      <w:r w:rsidR="001A7511" w:rsidRPr="00545EC0">
        <w:rPr>
          <w:rFonts w:cs="Arial"/>
        </w:rPr>
        <w:fldChar w:fldCharType="begin"/>
      </w:r>
      <w:r w:rsidR="001A7511" w:rsidRPr="00545EC0">
        <w:rPr>
          <w:rFonts w:cs="Arial"/>
        </w:rPr>
        <w:instrText xml:space="preserve"> STYLEREF 1 \s </w:instrText>
      </w:r>
      <w:r w:rsidR="001A7511" w:rsidRPr="00545EC0">
        <w:rPr>
          <w:rFonts w:cs="Arial"/>
        </w:rPr>
        <w:fldChar w:fldCharType="separate"/>
      </w:r>
      <w:r w:rsidR="002F3E43">
        <w:rPr>
          <w:rFonts w:cs="Arial"/>
          <w:noProof/>
        </w:rPr>
        <w:t>2</w:t>
      </w:r>
      <w:r w:rsidR="001A7511" w:rsidRPr="00545EC0">
        <w:rPr>
          <w:rFonts w:cs="Arial"/>
        </w:rPr>
        <w:fldChar w:fldCharType="end"/>
      </w:r>
      <w:r w:rsidR="001A7511" w:rsidRPr="00545EC0">
        <w:rPr>
          <w:rFonts w:cs="Arial"/>
        </w:rPr>
        <w:noBreakHyphen/>
      </w:r>
      <w:r w:rsidR="001A7511" w:rsidRPr="00545EC0">
        <w:rPr>
          <w:rFonts w:cs="Arial"/>
        </w:rPr>
        <w:fldChar w:fldCharType="begin"/>
      </w:r>
      <w:r w:rsidR="001A7511" w:rsidRPr="00545EC0">
        <w:rPr>
          <w:rFonts w:cs="Arial"/>
        </w:rPr>
        <w:instrText xml:space="preserve"> SEQ Preglednica \* ARABIC \s 1 </w:instrText>
      </w:r>
      <w:r w:rsidR="001A7511" w:rsidRPr="00545EC0">
        <w:rPr>
          <w:rFonts w:cs="Arial"/>
        </w:rPr>
        <w:fldChar w:fldCharType="separate"/>
      </w:r>
      <w:r w:rsidR="002F3E43">
        <w:rPr>
          <w:rFonts w:cs="Arial"/>
          <w:noProof/>
        </w:rPr>
        <w:t>48</w:t>
      </w:r>
      <w:r w:rsidR="001A7511" w:rsidRPr="00545EC0">
        <w:rPr>
          <w:rFonts w:cs="Arial"/>
        </w:rPr>
        <w:fldChar w:fldCharType="end"/>
      </w:r>
      <w:bookmarkEnd w:id="361"/>
      <w:r w:rsidRPr="00545EC0">
        <w:rPr>
          <w:rFonts w:cs="Arial"/>
        </w:rPr>
        <w:t>: OVDOC 2027 za količinsko stanje glede na izhodiščno stanje.</w:t>
      </w:r>
      <w:bookmarkEnd w:id="362"/>
    </w:p>
    <w:tbl>
      <w:tblPr>
        <w:tblW w:w="0" w:type="auto"/>
        <w:tblLayout w:type="fixed"/>
        <w:tblCellMar>
          <w:left w:w="70" w:type="dxa"/>
          <w:right w:w="70" w:type="dxa"/>
        </w:tblCellMar>
        <w:tblLook w:val="04A0" w:firstRow="1" w:lastRow="0" w:firstColumn="1" w:lastColumn="0" w:noHBand="0" w:noVBand="1"/>
      </w:tblPr>
      <w:tblGrid>
        <w:gridCol w:w="1204"/>
        <w:gridCol w:w="2410"/>
        <w:gridCol w:w="3402"/>
        <w:gridCol w:w="2195"/>
      </w:tblGrid>
      <w:tr w:rsidR="003122F4" w:rsidRPr="00545EC0" w14:paraId="45496ED2" w14:textId="77777777" w:rsidTr="00BD39F6">
        <w:trPr>
          <w:trHeight w:val="300"/>
          <w:tblHeader/>
        </w:trPr>
        <w:tc>
          <w:tcPr>
            <w:tcW w:w="120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A936267" w14:textId="77777777" w:rsidR="00110F1A" w:rsidRPr="00545EC0" w:rsidRDefault="00110F1A" w:rsidP="00F67214">
            <w:pPr>
              <w:spacing w:line="240" w:lineRule="auto"/>
              <w:rPr>
                <w:rFonts w:cs="Arial"/>
                <w:b/>
                <w:bCs/>
                <w:sz w:val="18"/>
                <w:szCs w:val="18"/>
              </w:rPr>
            </w:pPr>
            <w:r w:rsidRPr="00545EC0">
              <w:rPr>
                <w:rFonts w:cs="Arial"/>
                <w:b/>
                <w:bCs/>
                <w:sz w:val="18"/>
                <w:szCs w:val="18"/>
              </w:rPr>
              <w:t>Šifra VTPodV</w:t>
            </w:r>
          </w:p>
        </w:tc>
        <w:tc>
          <w:tcPr>
            <w:tcW w:w="241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332C0DE" w14:textId="77777777" w:rsidR="00110F1A" w:rsidRPr="00545EC0" w:rsidRDefault="00110F1A" w:rsidP="00F67214">
            <w:pPr>
              <w:spacing w:line="240" w:lineRule="auto"/>
              <w:rPr>
                <w:rFonts w:cs="Arial"/>
                <w:b/>
                <w:bCs/>
                <w:sz w:val="18"/>
                <w:szCs w:val="18"/>
              </w:rPr>
            </w:pPr>
            <w:r w:rsidRPr="00545EC0">
              <w:rPr>
                <w:rFonts w:cs="Arial"/>
                <w:b/>
                <w:bCs/>
                <w:sz w:val="18"/>
                <w:szCs w:val="18"/>
              </w:rPr>
              <w:t>Ime VTPodV</w:t>
            </w:r>
          </w:p>
        </w:tc>
        <w:tc>
          <w:tcPr>
            <w:tcW w:w="340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D1DC802" w14:textId="77777777" w:rsidR="00110F1A" w:rsidRPr="00545EC0" w:rsidRDefault="00110F1A" w:rsidP="00F67214">
            <w:pPr>
              <w:spacing w:line="240" w:lineRule="auto"/>
              <w:rPr>
                <w:rFonts w:cs="Arial"/>
                <w:b/>
                <w:bCs/>
                <w:sz w:val="18"/>
                <w:szCs w:val="18"/>
              </w:rPr>
            </w:pPr>
            <w:r w:rsidRPr="00545EC0">
              <w:rPr>
                <w:rFonts w:cs="Arial"/>
                <w:b/>
                <w:bCs/>
                <w:sz w:val="18"/>
                <w:szCs w:val="18"/>
              </w:rPr>
              <w:t>OVDOC 2027</w:t>
            </w:r>
          </w:p>
        </w:tc>
        <w:tc>
          <w:tcPr>
            <w:tcW w:w="219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A8ED9E2" w14:textId="2EB9A5B8" w:rsidR="00110F1A" w:rsidRPr="00545EC0" w:rsidRDefault="00110F1A" w:rsidP="007437B4">
            <w:pPr>
              <w:spacing w:line="240" w:lineRule="auto"/>
              <w:rPr>
                <w:rFonts w:cs="Arial"/>
                <w:b/>
                <w:bCs/>
                <w:sz w:val="18"/>
                <w:szCs w:val="18"/>
              </w:rPr>
            </w:pPr>
            <w:r w:rsidRPr="00545EC0">
              <w:rPr>
                <w:rFonts w:cs="Arial"/>
                <w:b/>
                <w:bCs/>
                <w:sz w:val="18"/>
                <w:szCs w:val="18"/>
              </w:rPr>
              <w:t xml:space="preserve">Vodonosnik </w:t>
            </w:r>
          </w:p>
        </w:tc>
      </w:tr>
      <w:tr w:rsidR="003122F4" w:rsidRPr="00545EC0" w14:paraId="522D5BCE" w14:textId="77777777" w:rsidTr="00BD39F6">
        <w:trPr>
          <w:trHeight w:val="300"/>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2D2D3F37" w14:textId="77777777" w:rsidR="00110F1A" w:rsidRPr="00545EC0" w:rsidRDefault="00110F1A" w:rsidP="00F67214">
            <w:pPr>
              <w:spacing w:line="240" w:lineRule="auto"/>
              <w:rPr>
                <w:rFonts w:cs="Arial"/>
                <w:sz w:val="18"/>
                <w:szCs w:val="18"/>
              </w:rPr>
            </w:pPr>
            <w:r w:rsidRPr="00545EC0">
              <w:rPr>
                <w:rFonts w:cs="Arial"/>
                <w:sz w:val="18"/>
                <w:szCs w:val="18"/>
              </w:rPr>
              <w:t>1001</w:t>
            </w:r>
          </w:p>
        </w:tc>
        <w:tc>
          <w:tcPr>
            <w:tcW w:w="2410" w:type="dxa"/>
            <w:tcBorders>
              <w:top w:val="nil"/>
              <w:left w:val="nil"/>
              <w:bottom w:val="single" w:sz="4" w:space="0" w:color="auto"/>
              <w:right w:val="single" w:sz="4" w:space="0" w:color="auto"/>
            </w:tcBorders>
            <w:shd w:val="clear" w:color="auto" w:fill="auto"/>
            <w:noWrap/>
            <w:vAlign w:val="center"/>
            <w:hideMark/>
          </w:tcPr>
          <w:p w14:paraId="3BDEDB0D" w14:textId="77777777" w:rsidR="00110F1A" w:rsidRPr="00545EC0" w:rsidRDefault="00110F1A" w:rsidP="00F67214">
            <w:pPr>
              <w:spacing w:line="240" w:lineRule="auto"/>
              <w:rPr>
                <w:rFonts w:cs="Arial"/>
                <w:sz w:val="18"/>
                <w:szCs w:val="18"/>
              </w:rPr>
            </w:pPr>
            <w:r w:rsidRPr="00545EC0">
              <w:rPr>
                <w:rFonts w:cs="Arial"/>
                <w:sz w:val="18"/>
                <w:szCs w:val="18"/>
                <w:vertAlign w:val="superscript"/>
              </w:rPr>
              <w:t>1</w:t>
            </w:r>
            <w:r w:rsidRPr="00545EC0">
              <w:rPr>
                <w:rFonts w:cs="Arial"/>
                <w:sz w:val="18"/>
                <w:szCs w:val="18"/>
              </w:rPr>
              <w:t>Savska kotlina in Ljubljansko Barje</w:t>
            </w:r>
          </w:p>
        </w:tc>
        <w:tc>
          <w:tcPr>
            <w:tcW w:w="3402" w:type="dxa"/>
            <w:tcBorders>
              <w:top w:val="nil"/>
              <w:left w:val="nil"/>
              <w:bottom w:val="single" w:sz="4" w:space="0" w:color="auto"/>
              <w:right w:val="single" w:sz="4" w:space="0" w:color="auto"/>
            </w:tcBorders>
            <w:shd w:val="clear" w:color="auto" w:fill="auto"/>
            <w:noWrap/>
            <w:vAlign w:val="center"/>
            <w:hideMark/>
          </w:tcPr>
          <w:p w14:paraId="6F8652CB" w14:textId="77777777" w:rsidR="00110F1A" w:rsidRPr="00545EC0" w:rsidRDefault="00110F1A" w:rsidP="00F67214">
            <w:pPr>
              <w:spacing w:line="240" w:lineRule="auto"/>
              <w:rPr>
                <w:rFonts w:cs="Arial"/>
                <w:sz w:val="18"/>
                <w:szCs w:val="18"/>
              </w:rPr>
            </w:pPr>
            <w:r w:rsidRPr="00545EC0">
              <w:rPr>
                <w:rFonts w:cs="Arial"/>
                <w:sz w:val="18"/>
                <w:szCs w:val="18"/>
              </w:rPr>
              <w:t>cilji bodo doseženi</w:t>
            </w:r>
          </w:p>
        </w:tc>
        <w:tc>
          <w:tcPr>
            <w:tcW w:w="2195" w:type="dxa"/>
            <w:tcBorders>
              <w:top w:val="nil"/>
              <w:left w:val="nil"/>
              <w:bottom w:val="single" w:sz="4" w:space="0" w:color="auto"/>
              <w:right w:val="single" w:sz="4" w:space="0" w:color="auto"/>
            </w:tcBorders>
            <w:shd w:val="clear" w:color="auto" w:fill="auto"/>
            <w:noWrap/>
            <w:vAlign w:val="center"/>
            <w:hideMark/>
          </w:tcPr>
          <w:p w14:paraId="0F23241E" w14:textId="77777777" w:rsidR="00110F1A" w:rsidRPr="00545EC0" w:rsidRDefault="00110F1A" w:rsidP="00F67214">
            <w:pPr>
              <w:spacing w:line="240" w:lineRule="auto"/>
              <w:rPr>
                <w:rFonts w:cs="Arial"/>
                <w:sz w:val="18"/>
                <w:szCs w:val="18"/>
              </w:rPr>
            </w:pPr>
            <w:r w:rsidRPr="00545EC0">
              <w:rPr>
                <w:rFonts w:cs="Arial"/>
                <w:sz w:val="18"/>
                <w:szCs w:val="18"/>
              </w:rPr>
              <w:t> </w:t>
            </w:r>
          </w:p>
        </w:tc>
      </w:tr>
      <w:tr w:rsidR="003122F4" w:rsidRPr="00545EC0" w14:paraId="48735B1F" w14:textId="77777777" w:rsidTr="00BD39F6">
        <w:trPr>
          <w:trHeight w:val="300"/>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3127BD90" w14:textId="77777777" w:rsidR="00110F1A" w:rsidRPr="00545EC0" w:rsidRDefault="00110F1A" w:rsidP="00F67214">
            <w:pPr>
              <w:spacing w:line="240" w:lineRule="auto"/>
              <w:rPr>
                <w:rFonts w:cs="Arial"/>
                <w:sz w:val="18"/>
                <w:szCs w:val="18"/>
              </w:rPr>
            </w:pPr>
            <w:r w:rsidRPr="00545EC0">
              <w:rPr>
                <w:rFonts w:cs="Arial"/>
                <w:sz w:val="18"/>
                <w:szCs w:val="18"/>
              </w:rPr>
              <w:t>1002</w:t>
            </w:r>
          </w:p>
        </w:tc>
        <w:tc>
          <w:tcPr>
            <w:tcW w:w="2410" w:type="dxa"/>
            <w:tcBorders>
              <w:top w:val="nil"/>
              <w:left w:val="nil"/>
              <w:bottom w:val="single" w:sz="4" w:space="0" w:color="auto"/>
              <w:right w:val="single" w:sz="4" w:space="0" w:color="auto"/>
            </w:tcBorders>
            <w:shd w:val="clear" w:color="auto" w:fill="auto"/>
            <w:noWrap/>
            <w:vAlign w:val="center"/>
            <w:hideMark/>
          </w:tcPr>
          <w:p w14:paraId="5C9FFAFA" w14:textId="77777777" w:rsidR="00110F1A" w:rsidRPr="00545EC0" w:rsidRDefault="00110F1A" w:rsidP="00F67214">
            <w:pPr>
              <w:spacing w:line="240" w:lineRule="auto"/>
              <w:rPr>
                <w:rFonts w:cs="Arial"/>
                <w:sz w:val="18"/>
                <w:szCs w:val="18"/>
              </w:rPr>
            </w:pPr>
            <w:r w:rsidRPr="00545EC0">
              <w:rPr>
                <w:rFonts w:cs="Arial"/>
                <w:sz w:val="18"/>
                <w:szCs w:val="18"/>
              </w:rPr>
              <w:t>Savinjska kotlina</w:t>
            </w:r>
          </w:p>
        </w:tc>
        <w:tc>
          <w:tcPr>
            <w:tcW w:w="3402" w:type="dxa"/>
            <w:tcBorders>
              <w:top w:val="nil"/>
              <w:left w:val="nil"/>
              <w:bottom w:val="single" w:sz="4" w:space="0" w:color="auto"/>
              <w:right w:val="single" w:sz="4" w:space="0" w:color="auto"/>
            </w:tcBorders>
            <w:shd w:val="clear" w:color="auto" w:fill="auto"/>
            <w:noWrap/>
            <w:vAlign w:val="center"/>
            <w:hideMark/>
          </w:tcPr>
          <w:p w14:paraId="006C3578" w14:textId="77777777" w:rsidR="00110F1A" w:rsidRPr="00545EC0" w:rsidRDefault="00110F1A" w:rsidP="00F67214">
            <w:pPr>
              <w:spacing w:line="240" w:lineRule="auto"/>
              <w:rPr>
                <w:rFonts w:cs="Arial"/>
                <w:sz w:val="18"/>
                <w:szCs w:val="18"/>
              </w:rPr>
            </w:pPr>
            <w:r w:rsidRPr="00545EC0">
              <w:rPr>
                <w:rFonts w:cs="Arial"/>
                <w:sz w:val="18"/>
                <w:szCs w:val="18"/>
              </w:rPr>
              <w:t>cilji bodo doseženi</w:t>
            </w:r>
          </w:p>
        </w:tc>
        <w:tc>
          <w:tcPr>
            <w:tcW w:w="2195" w:type="dxa"/>
            <w:tcBorders>
              <w:top w:val="nil"/>
              <w:left w:val="nil"/>
              <w:bottom w:val="single" w:sz="4" w:space="0" w:color="auto"/>
              <w:right w:val="single" w:sz="4" w:space="0" w:color="auto"/>
            </w:tcBorders>
            <w:shd w:val="clear" w:color="auto" w:fill="auto"/>
            <w:noWrap/>
            <w:vAlign w:val="center"/>
            <w:hideMark/>
          </w:tcPr>
          <w:p w14:paraId="524BFE9B" w14:textId="77777777" w:rsidR="00110F1A" w:rsidRPr="00545EC0" w:rsidRDefault="00110F1A" w:rsidP="00F67214">
            <w:pPr>
              <w:spacing w:line="240" w:lineRule="auto"/>
              <w:rPr>
                <w:rFonts w:cs="Arial"/>
                <w:sz w:val="18"/>
                <w:szCs w:val="18"/>
              </w:rPr>
            </w:pPr>
            <w:r w:rsidRPr="00545EC0">
              <w:rPr>
                <w:rFonts w:cs="Arial"/>
                <w:sz w:val="18"/>
                <w:szCs w:val="18"/>
              </w:rPr>
              <w:t> </w:t>
            </w:r>
          </w:p>
        </w:tc>
      </w:tr>
      <w:tr w:rsidR="003122F4" w:rsidRPr="00545EC0" w14:paraId="35806F6D" w14:textId="77777777" w:rsidTr="00BD39F6">
        <w:trPr>
          <w:trHeight w:val="300"/>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0C7B9F43" w14:textId="77777777" w:rsidR="00110F1A" w:rsidRPr="00545EC0" w:rsidRDefault="00110F1A" w:rsidP="00F67214">
            <w:pPr>
              <w:spacing w:line="240" w:lineRule="auto"/>
              <w:rPr>
                <w:rFonts w:cs="Arial"/>
                <w:sz w:val="18"/>
                <w:szCs w:val="18"/>
              </w:rPr>
            </w:pPr>
            <w:r w:rsidRPr="00545EC0">
              <w:rPr>
                <w:rFonts w:cs="Arial"/>
                <w:sz w:val="18"/>
                <w:szCs w:val="18"/>
              </w:rPr>
              <w:t>1003</w:t>
            </w:r>
          </w:p>
        </w:tc>
        <w:tc>
          <w:tcPr>
            <w:tcW w:w="2410" w:type="dxa"/>
            <w:tcBorders>
              <w:top w:val="nil"/>
              <w:left w:val="nil"/>
              <w:bottom w:val="single" w:sz="4" w:space="0" w:color="auto"/>
              <w:right w:val="single" w:sz="4" w:space="0" w:color="auto"/>
            </w:tcBorders>
            <w:shd w:val="clear" w:color="auto" w:fill="auto"/>
            <w:noWrap/>
            <w:vAlign w:val="center"/>
            <w:hideMark/>
          </w:tcPr>
          <w:p w14:paraId="7D998F80" w14:textId="77777777" w:rsidR="00110F1A" w:rsidRPr="00545EC0" w:rsidRDefault="00110F1A" w:rsidP="00F67214">
            <w:pPr>
              <w:spacing w:line="240" w:lineRule="auto"/>
              <w:rPr>
                <w:rFonts w:cs="Arial"/>
                <w:sz w:val="18"/>
                <w:szCs w:val="18"/>
              </w:rPr>
            </w:pPr>
            <w:r w:rsidRPr="00545EC0">
              <w:rPr>
                <w:rFonts w:cs="Arial"/>
                <w:sz w:val="18"/>
                <w:szCs w:val="18"/>
              </w:rPr>
              <w:t>Krška kotlina</w:t>
            </w:r>
          </w:p>
        </w:tc>
        <w:tc>
          <w:tcPr>
            <w:tcW w:w="3402" w:type="dxa"/>
            <w:tcBorders>
              <w:top w:val="nil"/>
              <w:left w:val="nil"/>
              <w:bottom w:val="single" w:sz="4" w:space="0" w:color="auto"/>
              <w:right w:val="single" w:sz="4" w:space="0" w:color="auto"/>
            </w:tcBorders>
            <w:shd w:val="clear" w:color="auto" w:fill="auto"/>
            <w:noWrap/>
            <w:vAlign w:val="center"/>
            <w:hideMark/>
          </w:tcPr>
          <w:p w14:paraId="07230A41" w14:textId="77777777" w:rsidR="00110F1A" w:rsidRPr="00545EC0" w:rsidRDefault="00110F1A" w:rsidP="00F67214">
            <w:pPr>
              <w:spacing w:line="240" w:lineRule="auto"/>
              <w:rPr>
                <w:rFonts w:cs="Arial"/>
                <w:sz w:val="18"/>
                <w:szCs w:val="18"/>
              </w:rPr>
            </w:pPr>
            <w:r w:rsidRPr="00545EC0">
              <w:rPr>
                <w:rFonts w:cs="Arial"/>
                <w:sz w:val="18"/>
                <w:szCs w:val="18"/>
              </w:rPr>
              <w:t>cilji morda bodo ali morda ne bodo doseženi (obstaja tveganje)</w:t>
            </w:r>
          </w:p>
        </w:tc>
        <w:tc>
          <w:tcPr>
            <w:tcW w:w="2195" w:type="dxa"/>
            <w:tcBorders>
              <w:top w:val="nil"/>
              <w:left w:val="nil"/>
              <w:bottom w:val="single" w:sz="4" w:space="0" w:color="auto"/>
              <w:right w:val="single" w:sz="4" w:space="0" w:color="auto"/>
            </w:tcBorders>
            <w:shd w:val="clear" w:color="auto" w:fill="auto"/>
            <w:noWrap/>
            <w:vAlign w:val="center"/>
            <w:hideMark/>
          </w:tcPr>
          <w:p w14:paraId="664D108A" w14:textId="77777777" w:rsidR="00110F1A" w:rsidRPr="00545EC0" w:rsidRDefault="00110F1A" w:rsidP="00F67214">
            <w:pPr>
              <w:spacing w:line="240" w:lineRule="auto"/>
              <w:rPr>
                <w:rFonts w:cs="Arial"/>
                <w:sz w:val="18"/>
                <w:szCs w:val="18"/>
              </w:rPr>
            </w:pPr>
            <w:r w:rsidRPr="00545EC0">
              <w:rPr>
                <w:rFonts w:cs="Arial"/>
                <w:sz w:val="18"/>
                <w:szCs w:val="18"/>
              </w:rPr>
              <w:t>3. vodonosnik (globoki termalni vodonosnik)</w:t>
            </w:r>
          </w:p>
        </w:tc>
      </w:tr>
      <w:tr w:rsidR="003122F4" w:rsidRPr="00545EC0" w14:paraId="2F10F01D" w14:textId="77777777" w:rsidTr="00BD39F6">
        <w:trPr>
          <w:trHeight w:val="300"/>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1B3F74A7" w14:textId="77777777" w:rsidR="00110F1A" w:rsidRPr="00545EC0" w:rsidRDefault="00110F1A" w:rsidP="00F67214">
            <w:pPr>
              <w:spacing w:line="240" w:lineRule="auto"/>
              <w:rPr>
                <w:rFonts w:cs="Arial"/>
                <w:sz w:val="18"/>
                <w:szCs w:val="18"/>
              </w:rPr>
            </w:pPr>
            <w:r w:rsidRPr="00545EC0">
              <w:rPr>
                <w:rFonts w:cs="Arial"/>
                <w:sz w:val="18"/>
                <w:szCs w:val="18"/>
              </w:rPr>
              <w:t>1004</w:t>
            </w:r>
          </w:p>
        </w:tc>
        <w:tc>
          <w:tcPr>
            <w:tcW w:w="2410" w:type="dxa"/>
            <w:tcBorders>
              <w:top w:val="nil"/>
              <w:left w:val="nil"/>
              <w:bottom w:val="single" w:sz="4" w:space="0" w:color="auto"/>
              <w:right w:val="single" w:sz="4" w:space="0" w:color="auto"/>
            </w:tcBorders>
            <w:shd w:val="clear" w:color="auto" w:fill="auto"/>
            <w:noWrap/>
            <w:vAlign w:val="center"/>
            <w:hideMark/>
          </w:tcPr>
          <w:p w14:paraId="6C6AEC27" w14:textId="77777777" w:rsidR="00110F1A" w:rsidRPr="00545EC0" w:rsidRDefault="00110F1A" w:rsidP="00F67214">
            <w:pPr>
              <w:spacing w:line="240" w:lineRule="auto"/>
              <w:rPr>
                <w:rFonts w:cs="Arial"/>
                <w:sz w:val="18"/>
                <w:szCs w:val="18"/>
              </w:rPr>
            </w:pPr>
            <w:r w:rsidRPr="00545EC0">
              <w:rPr>
                <w:rFonts w:cs="Arial"/>
                <w:sz w:val="18"/>
                <w:szCs w:val="18"/>
              </w:rPr>
              <w:t>Julijske Alpe v porečju Save</w:t>
            </w:r>
          </w:p>
        </w:tc>
        <w:tc>
          <w:tcPr>
            <w:tcW w:w="3402" w:type="dxa"/>
            <w:tcBorders>
              <w:top w:val="nil"/>
              <w:left w:val="nil"/>
              <w:bottom w:val="single" w:sz="4" w:space="0" w:color="auto"/>
              <w:right w:val="single" w:sz="4" w:space="0" w:color="auto"/>
            </w:tcBorders>
            <w:shd w:val="clear" w:color="auto" w:fill="auto"/>
            <w:noWrap/>
            <w:vAlign w:val="center"/>
            <w:hideMark/>
          </w:tcPr>
          <w:p w14:paraId="5CF28AEE" w14:textId="77777777" w:rsidR="00110F1A" w:rsidRPr="00545EC0" w:rsidRDefault="00110F1A" w:rsidP="00F67214">
            <w:pPr>
              <w:spacing w:line="240" w:lineRule="auto"/>
              <w:rPr>
                <w:rFonts w:cs="Arial"/>
                <w:sz w:val="18"/>
                <w:szCs w:val="18"/>
              </w:rPr>
            </w:pPr>
            <w:r w:rsidRPr="00545EC0">
              <w:rPr>
                <w:rFonts w:cs="Arial"/>
                <w:sz w:val="18"/>
                <w:szCs w:val="18"/>
              </w:rPr>
              <w:t>cilji bodo doseženi</w:t>
            </w:r>
          </w:p>
        </w:tc>
        <w:tc>
          <w:tcPr>
            <w:tcW w:w="2195" w:type="dxa"/>
            <w:tcBorders>
              <w:top w:val="nil"/>
              <w:left w:val="nil"/>
              <w:bottom w:val="single" w:sz="4" w:space="0" w:color="auto"/>
              <w:right w:val="single" w:sz="4" w:space="0" w:color="auto"/>
            </w:tcBorders>
            <w:shd w:val="clear" w:color="auto" w:fill="auto"/>
            <w:noWrap/>
            <w:vAlign w:val="center"/>
            <w:hideMark/>
          </w:tcPr>
          <w:p w14:paraId="5FC8A28D" w14:textId="77777777" w:rsidR="00110F1A" w:rsidRPr="00545EC0" w:rsidRDefault="00110F1A" w:rsidP="00F67214">
            <w:pPr>
              <w:spacing w:line="240" w:lineRule="auto"/>
              <w:rPr>
                <w:rFonts w:cs="Arial"/>
                <w:sz w:val="18"/>
                <w:szCs w:val="18"/>
              </w:rPr>
            </w:pPr>
            <w:r w:rsidRPr="00545EC0">
              <w:rPr>
                <w:rFonts w:cs="Arial"/>
                <w:sz w:val="18"/>
                <w:szCs w:val="18"/>
              </w:rPr>
              <w:t> </w:t>
            </w:r>
          </w:p>
        </w:tc>
      </w:tr>
      <w:tr w:rsidR="003122F4" w:rsidRPr="00545EC0" w14:paraId="45802DEA" w14:textId="77777777" w:rsidTr="00BD39F6">
        <w:trPr>
          <w:trHeight w:val="300"/>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37D849CC" w14:textId="77777777" w:rsidR="00110F1A" w:rsidRPr="00545EC0" w:rsidRDefault="00110F1A" w:rsidP="00F67214">
            <w:pPr>
              <w:spacing w:line="240" w:lineRule="auto"/>
              <w:rPr>
                <w:rFonts w:cs="Arial"/>
                <w:sz w:val="18"/>
                <w:szCs w:val="18"/>
              </w:rPr>
            </w:pPr>
            <w:r w:rsidRPr="00545EC0">
              <w:rPr>
                <w:rFonts w:cs="Arial"/>
                <w:sz w:val="18"/>
                <w:szCs w:val="18"/>
              </w:rPr>
              <w:lastRenderedPageBreak/>
              <w:t>1005</w:t>
            </w:r>
          </w:p>
        </w:tc>
        <w:tc>
          <w:tcPr>
            <w:tcW w:w="2410" w:type="dxa"/>
            <w:tcBorders>
              <w:top w:val="nil"/>
              <w:left w:val="nil"/>
              <w:bottom w:val="single" w:sz="4" w:space="0" w:color="auto"/>
              <w:right w:val="single" w:sz="4" w:space="0" w:color="auto"/>
            </w:tcBorders>
            <w:shd w:val="clear" w:color="auto" w:fill="auto"/>
            <w:noWrap/>
            <w:vAlign w:val="center"/>
            <w:hideMark/>
          </w:tcPr>
          <w:p w14:paraId="7F93F8F6" w14:textId="77777777" w:rsidR="00110F1A" w:rsidRPr="00545EC0" w:rsidRDefault="00110F1A" w:rsidP="00F67214">
            <w:pPr>
              <w:spacing w:line="240" w:lineRule="auto"/>
              <w:rPr>
                <w:rFonts w:cs="Arial"/>
                <w:sz w:val="18"/>
                <w:szCs w:val="18"/>
              </w:rPr>
            </w:pPr>
            <w:r w:rsidRPr="00545EC0">
              <w:rPr>
                <w:rFonts w:cs="Arial"/>
                <w:sz w:val="18"/>
                <w:szCs w:val="18"/>
                <w:vertAlign w:val="superscript"/>
              </w:rPr>
              <w:t>1</w:t>
            </w:r>
            <w:r w:rsidRPr="00545EC0">
              <w:rPr>
                <w:rFonts w:cs="Arial"/>
                <w:sz w:val="18"/>
                <w:szCs w:val="18"/>
              </w:rPr>
              <w:t>Karavanke</w:t>
            </w:r>
          </w:p>
        </w:tc>
        <w:tc>
          <w:tcPr>
            <w:tcW w:w="3402" w:type="dxa"/>
            <w:tcBorders>
              <w:top w:val="nil"/>
              <w:left w:val="nil"/>
              <w:bottom w:val="single" w:sz="4" w:space="0" w:color="auto"/>
              <w:right w:val="single" w:sz="4" w:space="0" w:color="auto"/>
            </w:tcBorders>
            <w:shd w:val="clear" w:color="auto" w:fill="auto"/>
            <w:noWrap/>
            <w:vAlign w:val="center"/>
            <w:hideMark/>
          </w:tcPr>
          <w:p w14:paraId="6AC2FE1C" w14:textId="77777777" w:rsidR="00110F1A" w:rsidRPr="00545EC0" w:rsidRDefault="00110F1A" w:rsidP="00F67214">
            <w:pPr>
              <w:spacing w:line="240" w:lineRule="auto"/>
              <w:rPr>
                <w:rFonts w:cs="Arial"/>
                <w:sz w:val="18"/>
                <w:szCs w:val="18"/>
              </w:rPr>
            </w:pPr>
            <w:r w:rsidRPr="00545EC0">
              <w:rPr>
                <w:rFonts w:cs="Arial"/>
                <w:sz w:val="18"/>
                <w:szCs w:val="18"/>
              </w:rPr>
              <w:t>cilji bodo doseženi</w:t>
            </w:r>
          </w:p>
        </w:tc>
        <w:tc>
          <w:tcPr>
            <w:tcW w:w="2195" w:type="dxa"/>
            <w:tcBorders>
              <w:top w:val="nil"/>
              <w:left w:val="nil"/>
              <w:bottom w:val="single" w:sz="4" w:space="0" w:color="auto"/>
              <w:right w:val="single" w:sz="4" w:space="0" w:color="auto"/>
            </w:tcBorders>
            <w:shd w:val="clear" w:color="auto" w:fill="auto"/>
            <w:noWrap/>
            <w:vAlign w:val="center"/>
            <w:hideMark/>
          </w:tcPr>
          <w:p w14:paraId="559B650B" w14:textId="77777777" w:rsidR="00110F1A" w:rsidRPr="00545EC0" w:rsidRDefault="00110F1A" w:rsidP="00F67214">
            <w:pPr>
              <w:spacing w:line="240" w:lineRule="auto"/>
              <w:rPr>
                <w:rFonts w:cs="Arial"/>
                <w:sz w:val="18"/>
                <w:szCs w:val="18"/>
              </w:rPr>
            </w:pPr>
            <w:r w:rsidRPr="00545EC0">
              <w:rPr>
                <w:rFonts w:cs="Arial"/>
                <w:sz w:val="18"/>
                <w:szCs w:val="18"/>
              </w:rPr>
              <w:t> </w:t>
            </w:r>
          </w:p>
        </w:tc>
      </w:tr>
      <w:tr w:rsidR="003122F4" w:rsidRPr="00545EC0" w14:paraId="58C621C5" w14:textId="77777777" w:rsidTr="00BD39F6">
        <w:trPr>
          <w:trHeight w:val="300"/>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616E3875" w14:textId="77777777" w:rsidR="00110F1A" w:rsidRPr="00545EC0" w:rsidRDefault="00110F1A" w:rsidP="00F67214">
            <w:pPr>
              <w:spacing w:line="240" w:lineRule="auto"/>
              <w:rPr>
                <w:rFonts w:cs="Arial"/>
                <w:sz w:val="18"/>
                <w:szCs w:val="18"/>
              </w:rPr>
            </w:pPr>
            <w:r w:rsidRPr="00545EC0">
              <w:rPr>
                <w:rFonts w:cs="Arial"/>
                <w:sz w:val="18"/>
                <w:szCs w:val="18"/>
              </w:rPr>
              <w:t>1006</w:t>
            </w:r>
          </w:p>
        </w:tc>
        <w:tc>
          <w:tcPr>
            <w:tcW w:w="2410" w:type="dxa"/>
            <w:tcBorders>
              <w:top w:val="nil"/>
              <w:left w:val="nil"/>
              <w:bottom w:val="single" w:sz="4" w:space="0" w:color="auto"/>
              <w:right w:val="single" w:sz="4" w:space="0" w:color="auto"/>
            </w:tcBorders>
            <w:shd w:val="clear" w:color="auto" w:fill="auto"/>
            <w:noWrap/>
            <w:vAlign w:val="center"/>
            <w:hideMark/>
          </w:tcPr>
          <w:p w14:paraId="5C78C129" w14:textId="77777777" w:rsidR="00110F1A" w:rsidRPr="00545EC0" w:rsidRDefault="00110F1A" w:rsidP="00F67214">
            <w:pPr>
              <w:spacing w:line="240" w:lineRule="auto"/>
              <w:rPr>
                <w:rFonts w:cs="Arial"/>
                <w:sz w:val="18"/>
                <w:szCs w:val="18"/>
              </w:rPr>
            </w:pPr>
            <w:r w:rsidRPr="00545EC0">
              <w:rPr>
                <w:rFonts w:cs="Arial"/>
                <w:sz w:val="18"/>
                <w:szCs w:val="18"/>
              </w:rPr>
              <w:t>Kamniško-Savinjske Alpe</w:t>
            </w:r>
          </w:p>
        </w:tc>
        <w:tc>
          <w:tcPr>
            <w:tcW w:w="3402" w:type="dxa"/>
            <w:tcBorders>
              <w:top w:val="nil"/>
              <w:left w:val="nil"/>
              <w:bottom w:val="single" w:sz="4" w:space="0" w:color="auto"/>
              <w:right w:val="single" w:sz="4" w:space="0" w:color="auto"/>
            </w:tcBorders>
            <w:shd w:val="clear" w:color="auto" w:fill="auto"/>
            <w:noWrap/>
            <w:vAlign w:val="center"/>
            <w:hideMark/>
          </w:tcPr>
          <w:p w14:paraId="1F9727E0" w14:textId="77777777" w:rsidR="00110F1A" w:rsidRPr="00545EC0" w:rsidRDefault="00110F1A" w:rsidP="00F67214">
            <w:pPr>
              <w:spacing w:line="240" w:lineRule="auto"/>
              <w:rPr>
                <w:rFonts w:cs="Arial"/>
                <w:sz w:val="18"/>
                <w:szCs w:val="18"/>
              </w:rPr>
            </w:pPr>
            <w:r w:rsidRPr="00545EC0">
              <w:rPr>
                <w:rFonts w:cs="Arial"/>
                <w:sz w:val="18"/>
                <w:szCs w:val="18"/>
              </w:rPr>
              <w:t>cilji bodo doseženi</w:t>
            </w:r>
          </w:p>
        </w:tc>
        <w:tc>
          <w:tcPr>
            <w:tcW w:w="2195" w:type="dxa"/>
            <w:tcBorders>
              <w:top w:val="nil"/>
              <w:left w:val="nil"/>
              <w:bottom w:val="single" w:sz="4" w:space="0" w:color="auto"/>
              <w:right w:val="single" w:sz="4" w:space="0" w:color="auto"/>
            </w:tcBorders>
            <w:shd w:val="clear" w:color="auto" w:fill="auto"/>
            <w:noWrap/>
            <w:vAlign w:val="center"/>
            <w:hideMark/>
          </w:tcPr>
          <w:p w14:paraId="04E17806" w14:textId="77777777" w:rsidR="00110F1A" w:rsidRPr="00545EC0" w:rsidRDefault="00110F1A" w:rsidP="00F67214">
            <w:pPr>
              <w:spacing w:line="240" w:lineRule="auto"/>
              <w:rPr>
                <w:rFonts w:cs="Arial"/>
                <w:sz w:val="18"/>
                <w:szCs w:val="18"/>
              </w:rPr>
            </w:pPr>
            <w:r w:rsidRPr="00545EC0">
              <w:rPr>
                <w:rFonts w:cs="Arial"/>
                <w:sz w:val="18"/>
                <w:szCs w:val="18"/>
              </w:rPr>
              <w:t> </w:t>
            </w:r>
          </w:p>
        </w:tc>
      </w:tr>
      <w:tr w:rsidR="003122F4" w:rsidRPr="00545EC0" w14:paraId="0CCFE573" w14:textId="77777777" w:rsidTr="00BD39F6">
        <w:trPr>
          <w:trHeight w:val="300"/>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440A671F" w14:textId="77777777" w:rsidR="00110F1A" w:rsidRPr="00545EC0" w:rsidRDefault="00110F1A" w:rsidP="00F67214">
            <w:pPr>
              <w:spacing w:line="240" w:lineRule="auto"/>
              <w:rPr>
                <w:rFonts w:cs="Arial"/>
                <w:sz w:val="18"/>
                <w:szCs w:val="18"/>
              </w:rPr>
            </w:pPr>
            <w:r w:rsidRPr="00545EC0">
              <w:rPr>
                <w:rFonts w:cs="Arial"/>
                <w:sz w:val="18"/>
                <w:szCs w:val="18"/>
              </w:rPr>
              <w:t>1007</w:t>
            </w:r>
          </w:p>
        </w:tc>
        <w:tc>
          <w:tcPr>
            <w:tcW w:w="2410" w:type="dxa"/>
            <w:tcBorders>
              <w:top w:val="nil"/>
              <w:left w:val="nil"/>
              <w:bottom w:val="single" w:sz="4" w:space="0" w:color="auto"/>
              <w:right w:val="single" w:sz="4" w:space="0" w:color="auto"/>
            </w:tcBorders>
            <w:shd w:val="clear" w:color="auto" w:fill="auto"/>
            <w:noWrap/>
            <w:vAlign w:val="center"/>
            <w:hideMark/>
          </w:tcPr>
          <w:p w14:paraId="5E22E0F5" w14:textId="1C028BA9" w:rsidR="00110F1A" w:rsidRPr="00545EC0" w:rsidRDefault="00110F1A" w:rsidP="00F67214">
            <w:pPr>
              <w:spacing w:line="240" w:lineRule="auto"/>
              <w:rPr>
                <w:rFonts w:cs="Arial"/>
                <w:sz w:val="18"/>
                <w:szCs w:val="18"/>
              </w:rPr>
            </w:pPr>
            <w:r w:rsidRPr="00545EC0">
              <w:rPr>
                <w:rFonts w:cs="Arial"/>
                <w:sz w:val="18"/>
                <w:szCs w:val="18"/>
              </w:rPr>
              <w:t>Cerkljansko, Škofjeloško in Polhograjsko</w:t>
            </w:r>
            <w:r w:rsidR="00BC6CEF" w:rsidRPr="00545EC0">
              <w:rPr>
                <w:rFonts w:cs="Arial"/>
                <w:sz w:val="18"/>
                <w:szCs w:val="18"/>
              </w:rPr>
              <w:t xml:space="preserve"> hribovje</w:t>
            </w:r>
          </w:p>
        </w:tc>
        <w:tc>
          <w:tcPr>
            <w:tcW w:w="3402" w:type="dxa"/>
            <w:tcBorders>
              <w:top w:val="nil"/>
              <w:left w:val="nil"/>
              <w:bottom w:val="single" w:sz="4" w:space="0" w:color="auto"/>
              <w:right w:val="single" w:sz="4" w:space="0" w:color="auto"/>
            </w:tcBorders>
            <w:shd w:val="clear" w:color="auto" w:fill="auto"/>
            <w:noWrap/>
            <w:vAlign w:val="center"/>
            <w:hideMark/>
          </w:tcPr>
          <w:p w14:paraId="7B1D08E4" w14:textId="77777777" w:rsidR="00110F1A" w:rsidRPr="00545EC0" w:rsidRDefault="00110F1A" w:rsidP="00F67214">
            <w:pPr>
              <w:spacing w:line="240" w:lineRule="auto"/>
              <w:rPr>
                <w:rFonts w:cs="Arial"/>
                <w:sz w:val="18"/>
                <w:szCs w:val="18"/>
              </w:rPr>
            </w:pPr>
            <w:r w:rsidRPr="00545EC0">
              <w:rPr>
                <w:rFonts w:cs="Arial"/>
                <w:sz w:val="18"/>
                <w:szCs w:val="18"/>
              </w:rPr>
              <w:t>cilji bodo doseženi</w:t>
            </w:r>
          </w:p>
        </w:tc>
        <w:tc>
          <w:tcPr>
            <w:tcW w:w="2195" w:type="dxa"/>
            <w:tcBorders>
              <w:top w:val="nil"/>
              <w:left w:val="nil"/>
              <w:bottom w:val="single" w:sz="4" w:space="0" w:color="auto"/>
              <w:right w:val="single" w:sz="4" w:space="0" w:color="auto"/>
            </w:tcBorders>
            <w:shd w:val="clear" w:color="auto" w:fill="auto"/>
            <w:noWrap/>
            <w:vAlign w:val="center"/>
            <w:hideMark/>
          </w:tcPr>
          <w:p w14:paraId="23EB16A1" w14:textId="77777777" w:rsidR="00110F1A" w:rsidRPr="00545EC0" w:rsidRDefault="00110F1A" w:rsidP="00F67214">
            <w:pPr>
              <w:spacing w:line="240" w:lineRule="auto"/>
              <w:rPr>
                <w:rFonts w:cs="Arial"/>
                <w:sz w:val="18"/>
                <w:szCs w:val="18"/>
              </w:rPr>
            </w:pPr>
            <w:r w:rsidRPr="00545EC0">
              <w:rPr>
                <w:rFonts w:cs="Arial"/>
                <w:sz w:val="18"/>
                <w:szCs w:val="18"/>
              </w:rPr>
              <w:t> </w:t>
            </w:r>
          </w:p>
        </w:tc>
      </w:tr>
      <w:tr w:rsidR="003122F4" w:rsidRPr="00545EC0" w14:paraId="4CB0AE6C" w14:textId="77777777" w:rsidTr="00BD39F6">
        <w:trPr>
          <w:trHeight w:val="300"/>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1EA220C8" w14:textId="77777777" w:rsidR="00110F1A" w:rsidRPr="00545EC0" w:rsidRDefault="00110F1A" w:rsidP="00F67214">
            <w:pPr>
              <w:spacing w:line="240" w:lineRule="auto"/>
              <w:rPr>
                <w:rFonts w:cs="Arial"/>
                <w:sz w:val="18"/>
                <w:szCs w:val="18"/>
              </w:rPr>
            </w:pPr>
            <w:r w:rsidRPr="00545EC0">
              <w:rPr>
                <w:rFonts w:cs="Arial"/>
                <w:sz w:val="18"/>
                <w:szCs w:val="18"/>
              </w:rPr>
              <w:t>1008</w:t>
            </w:r>
          </w:p>
        </w:tc>
        <w:tc>
          <w:tcPr>
            <w:tcW w:w="2410" w:type="dxa"/>
            <w:tcBorders>
              <w:top w:val="nil"/>
              <w:left w:val="nil"/>
              <w:bottom w:val="single" w:sz="4" w:space="0" w:color="auto"/>
              <w:right w:val="single" w:sz="4" w:space="0" w:color="auto"/>
            </w:tcBorders>
            <w:shd w:val="clear" w:color="auto" w:fill="auto"/>
            <w:noWrap/>
            <w:vAlign w:val="center"/>
            <w:hideMark/>
          </w:tcPr>
          <w:p w14:paraId="4CD04E61" w14:textId="77777777" w:rsidR="00110F1A" w:rsidRPr="00545EC0" w:rsidRDefault="00110F1A" w:rsidP="00F67214">
            <w:pPr>
              <w:spacing w:line="240" w:lineRule="auto"/>
              <w:rPr>
                <w:rFonts w:cs="Arial"/>
                <w:sz w:val="18"/>
                <w:szCs w:val="18"/>
              </w:rPr>
            </w:pPr>
            <w:r w:rsidRPr="00545EC0">
              <w:rPr>
                <w:rFonts w:cs="Arial"/>
                <w:sz w:val="18"/>
                <w:szCs w:val="18"/>
                <w:vertAlign w:val="superscript"/>
              </w:rPr>
              <w:t>1</w:t>
            </w:r>
            <w:r w:rsidRPr="00545EC0">
              <w:rPr>
                <w:rFonts w:cs="Arial"/>
                <w:sz w:val="18"/>
                <w:szCs w:val="18"/>
              </w:rPr>
              <w:t>Posavsko hribovje do osrednje Sotle</w:t>
            </w:r>
          </w:p>
        </w:tc>
        <w:tc>
          <w:tcPr>
            <w:tcW w:w="3402" w:type="dxa"/>
            <w:tcBorders>
              <w:top w:val="nil"/>
              <w:left w:val="nil"/>
              <w:bottom w:val="single" w:sz="4" w:space="0" w:color="auto"/>
              <w:right w:val="single" w:sz="4" w:space="0" w:color="auto"/>
            </w:tcBorders>
            <w:shd w:val="clear" w:color="auto" w:fill="auto"/>
            <w:noWrap/>
            <w:vAlign w:val="center"/>
            <w:hideMark/>
          </w:tcPr>
          <w:p w14:paraId="6E5BC224" w14:textId="77777777" w:rsidR="00110F1A" w:rsidRPr="00545EC0" w:rsidRDefault="00110F1A" w:rsidP="00F67214">
            <w:pPr>
              <w:spacing w:line="240" w:lineRule="auto"/>
              <w:rPr>
                <w:rFonts w:cs="Arial"/>
                <w:sz w:val="18"/>
                <w:szCs w:val="18"/>
              </w:rPr>
            </w:pPr>
            <w:r w:rsidRPr="00545EC0">
              <w:rPr>
                <w:rFonts w:cs="Arial"/>
                <w:sz w:val="18"/>
                <w:szCs w:val="18"/>
              </w:rPr>
              <w:t>cilji bodo doseženi</w:t>
            </w:r>
          </w:p>
        </w:tc>
        <w:tc>
          <w:tcPr>
            <w:tcW w:w="2195" w:type="dxa"/>
            <w:tcBorders>
              <w:top w:val="nil"/>
              <w:left w:val="nil"/>
              <w:bottom w:val="single" w:sz="4" w:space="0" w:color="auto"/>
              <w:right w:val="single" w:sz="4" w:space="0" w:color="auto"/>
            </w:tcBorders>
            <w:shd w:val="clear" w:color="auto" w:fill="auto"/>
            <w:noWrap/>
            <w:vAlign w:val="center"/>
            <w:hideMark/>
          </w:tcPr>
          <w:p w14:paraId="5133D64A" w14:textId="77777777" w:rsidR="00110F1A" w:rsidRPr="00545EC0" w:rsidRDefault="00110F1A" w:rsidP="00F67214">
            <w:pPr>
              <w:spacing w:line="240" w:lineRule="auto"/>
              <w:rPr>
                <w:rFonts w:cs="Arial"/>
                <w:sz w:val="18"/>
                <w:szCs w:val="18"/>
              </w:rPr>
            </w:pPr>
            <w:r w:rsidRPr="00545EC0">
              <w:rPr>
                <w:rFonts w:cs="Arial"/>
                <w:sz w:val="18"/>
                <w:szCs w:val="18"/>
              </w:rPr>
              <w:t> </w:t>
            </w:r>
          </w:p>
        </w:tc>
      </w:tr>
      <w:tr w:rsidR="003122F4" w:rsidRPr="00545EC0" w14:paraId="366286B9" w14:textId="77777777" w:rsidTr="00BD39F6">
        <w:trPr>
          <w:trHeight w:val="300"/>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31204166" w14:textId="77777777" w:rsidR="00110F1A" w:rsidRPr="00545EC0" w:rsidRDefault="00110F1A" w:rsidP="00F67214">
            <w:pPr>
              <w:spacing w:line="240" w:lineRule="auto"/>
              <w:rPr>
                <w:rFonts w:cs="Arial"/>
                <w:sz w:val="18"/>
                <w:szCs w:val="18"/>
              </w:rPr>
            </w:pPr>
            <w:r w:rsidRPr="00545EC0">
              <w:rPr>
                <w:rFonts w:cs="Arial"/>
                <w:sz w:val="18"/>
                <w:szCs w:val="18"/>
              </w:rPr>
              <w:t>1009</w:t>
            </w:r>
          </w:p>
        </w:tc>
        <w:tc>
          <w:tcPr>
            <w:tcW w:w="2410" w:type="dxa"/>
            <w:tcBorders>
              <w:top w:val="nil"/>
              <w:left w:val="nil"/>
              <w:bottom w:val="single" w:sz="4" w:space="0" w:color="auto"/>
              <w:right w:val="single" w:sz="4" w:space="0" w:color="auto"/>
            </w:tcBorders>
            <w:shd w:val="clear" w:color="auto" w:fill="auto"/>
            <w:noWrap/>
            <w:vAlign w:val="center"/>
            <w:hideMark/>
          </w:tcPr>
          <w:p w14:paraId="3D79A991" w14:textId="77777777" w:rsidR="00110F1A" w:rsidRPr="00545EC0" w:rsidRDefault="00110F1A" w:rsidP="00F67214">
            <w:pPr>
              <w:spacing w:line="240" w:lineRule="auto"/>
              <w:rPr>
                <w:rFonts w:cs="Arial"/>
                <w:sz w:val="18"/>
                <w:szCs w:val="18"/>
              </w:rPr>
            </w:pPr>
            <w:r w:rsidRPr="00545EC0">
              <w:rPr>
                <w:rFonts w:cs="Arial"/>
                <w:sz w:val="18"/>
                <w:szCs w:val="18"/>
              </w:rPr>
              <w:t>Spodnji del Savinje do Sotle</w:t>
            </w:r>
          </w:p>
        </w:tc>
        <w:tc>
          <w:tcPr>
            <w:tcW w:w="3402" w:type="dxa"/>
            <w:tcBorders>
              <w:top w:val="nil"/>
              <w:left w:val="nil"/>
              <w:bottom w:val="single" w:sz="4" w:space="0" w:color="auto"/>
              <w:right w:val="single" w:sz="4" w:space="0" w:color="auto"/>
            </w:tcBorders>
            <w:shd w:val="clear" w:color="auto" w:fill="auto"/>
            <w:noWrap/>
            <w:vAlign w:val="center"/>
            <w:hideMark/>
          </w:tcPr>
          <w:p w14:paraId="7F6AEC66" w14:textId="77777777" w:rsidR="00110F1A" w:rsidRPr="00545EC0" w:rsidRDefault="00110F1A" w:rsidP="00F67214">
            <w:pPr>
              <w:spacing w:line="240" w:lineRule="auto"/>
              <w:rPr>
                <w:rFonts w:cs="Arial"/>
                <w:sz w:val="18"/>
                <w:szCs w:val="18"/>
              </w:rPr>
            </w:pPr>
            <w:r w:rsidRPr="00545EC0">
              <w:rPr>
                <w:rFonts w:cs="Arial"/>
                <w:sz w:val="18"/>
                <w:szCs w:val="18"/>
              </w:rPr>
              <w:t>cilji bodo doseženi</w:t>
            </w:r>
          </w:p>
        </w:tc>
        <w:tc>
          <w:tcPr>
            <w:tcW w:w="2195" w:type="dxa"/>
            <w:tcBorders>
              <w:top w:val="nil"/>
              <w:left w:val="nil"/>
              <w:bottom w:val="single" w:sz="4" w:space="0" w:color="auto"/>
              <w:right w:val="single" w:sz="4" w:space="0" w:color="auto"/>
            </w:tcBorders>
            <w:shd w:val="clear" w:color="auto" w:fill="auto"/>
            <w:noWrap/>
            <w:vAlign w:val="center"/>
            <w:hideMark/>
          </w:tcPr>
          <w:p w14:paraId="43FC0542" w14:textId="77777777" w:rsidR="00110F1A" w:rsidRPr="00545EC0" w:rsidRDefault="00110F1A" w:rsidP="00F67214">
            <w:pPr>
              <w:spacing w:line="240" w:lineRule="auto"/>
              <w:rPr>
                <w:rFonts w:cs="Arial"/>
                <w:sz w:val="18"/>
                <w:szCs w:val="18"/>
              </w:rPr>
            </w:pPr>
            <w:r w:rsidRPr="00545EC0">
              <w:rPr>
                <w:rFonts w:cs="Arial"/>
                <w:sz w:val="18"/>
                <w:szCs w:val="18"/>
              </w:rPr>
              <w:t> </w:t>
            </w:r>
          </w:p>
        </w:tc>
      </w:tr>
      <w:tr w:rsidR="003122F4" w:rsidRPr="00545EC0" w14:paraId="1DABD87E" w14:textId="77777777" w:rsidTr="00BD39F6">
        <w:trPr>
          <w:trHeight w:val="300"/>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7CD74790" w14:textId="77777777" w:rsidR="00110F1A" w:rsidRPr="00545EC0" w:rsidRDefault="00110F1A" w:rsidP="00F67214">
            <w:pPr>
              <w:spacing w:line="240" w:lineRule="auto"/>
              <w:rPr>
                <w:rFonts w:cs="Arial"/>
                <w:sz w:val="18"/>
                <w:szCs w:val="18"/>
              </w:rPr>
            </w:pPr>
            <w:r w:rsidRPr="00545EC0">
              <w:rPr>
                <w:rFonts w:cs="Arial"/>
                <w:sz w:val="18"/>
                <w:szCs w:val="18"/>
              </w:rPr>
              <w:t>1010</w:t>
            </w:r>
          </w:p>
        </w:tc>
        <w:tc>
          <w:tcPr>
            <w:tcW w:w="2410" w:type="dxa"/>
            <w:tcBorders>
              <w:top w:val="nil"/>
              <w:left w:val="nil"/>
              <w:bottom w:val="single" w:sz="4" w:space="0" w:color="auto"/>
              <w:right w:val="single" w:sz="4" w:space="0" w:color="auto"/>
            </w:tcBorders>
            <w:shd w:val="clear" w:color="auto" w:fill="auto"/>
            <w:noWrap/>
            <w:vAlign w:val="center"/>
            <w:hideMark/>
          </w:tcPr>
          <w:p w14:paraId="69E14FC7" w14:textId="77777777" w:rsidR="00110F1A" w:rsidRPr="00545EC0" w:rsidRDefault="00110F1A" w:rsidP="00F67214">
            <w:pPr>
              <w:spacing w:line="240" w:lineRule="auto"/>
              <w:rPr>
                <w:rFonts w:cs="Arial"/>
                <w:sz w:val="18"/>
                <w:szCs w:val="18"/>
              </w:rPr>
            </w:pPr>
            <w:r w:rsidRPr="00545EC0">
              <w:rPr>
                <w:rFonts w:cs="Arial"/>
                <w:sz w:val="18"/>
                <w:szCs w:val="18"/>
              </w:rPr>
              <w:t>Kraška Ljubljanica</w:t>
            </w:r>
          </w:p>
        </w:tc>
        <w:tc>
          <w:tcPr>
            <w:tcW w:w="3402" w:type="dxa"/>
            <w:tcBorders>
              <w:top w:val="nil"/>
              <w:left w:val="nil"/>
              <w:bottom w:val="single" w:sz="4" w:space="0" w:color="auto"/>
              <w:right w:val="single" w:sz="4" w:space="0" w:color="auto"/>
            </w:tcBorders>
            <w:shd w:val="clear" w:color="auto" w:fill="auto"/>
            <w:noWrap/>
            <w:vAlign w:val="center"/>
            <w:hideMark/>
          </w:tcPr>
          <w:p w14:paraId="03BE77DD" w14:textId="77777777" w:rsidR="00110F1A" w:rsidRPr="00545EC0" w:rsidRDefault="00110F1A" w:rsidP="00F67214">
            <w:pPr>
              <w:spacing w:line="240" w:lineRule="auto"/>
              <w:rPr>
                <w:rFonts w:cs="Arial"/>
                <w:sz w:val="18"/>
                <w:szCs w:val="18"/>
              </w:rPr>
            </w:pPr>
            <w:r w:rsidRPr="00545EC0">
              <w:rPr>
                <w:rFonts w:cs="Arial"/>
                <w:sz w:val="18"/>
                <w:szCs w:val="18"/>
              </w:rPr>
              <w:t>cilji bodo doseženi</w:t>
            </w:r>
          </w:p>
        </w:tc>
        <w:tc>
          <w:tcPr>
            <w:tcW w:w="2195" w:type="dxa"/>
            <w:tcBorders>
              <w:top w:val="nil"/>
              <w:left w:val="nil"/>
              <w:bottom w:val="single" w:sz="4" w:space="0" w:color="auto"/>
              <w:right w:val="single" w:sz="4" w:space="0" w:color="auto"/>
            </w:tcBorders>
            <w:shd w:val="clear" w:color="auto" w:fill="auto"/>
            <w:noWrap/>
            <w:vAlign w:val="center"/>
            <w:hideMark/>
          </w:tcPr>
          <w:p w14:paraId="3D090259" w14:textId="77777777" w:rsidR="00110F1A" w:rsidRPr="00545EC0" w:rsidRDefault="00110F1A" w:rsidP="00F67214">
            <w:pPr>
              <w:spacing w:line="240" w:lineRule="auto"/>
              <w:rPr>
                <w:rFonts w:cs="Arial"/>
                <w:sz w:val="18"/>
                <w:szCs w:val="18"/>
              </w:rPr>
            </w:pPr>
            <w:r w:rsidRPr="00545EC0">
              <w:rPr>
                <w:rFonts w:cs="Arial"/>
                <w:sz w:val="18"/>
                <w:szCs w:val="18"/>
              </w:rPr>
              <w:t> </w:t>
            </w:r>
          </w:p>
        </w:tc>
      </w:tr>
      <w:tr w:rsidR="003122F4" w:rsidRPr="00545EC0" w14:paraId="2D1E61D2" w14:textId="77777777" w:rsidTr="00BD39F6">
        <w:trPr>
          <w:trHeight w:val="300"/>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649D0A2D" w14:textId="77777777" w:rsidR="00110F1A" w:rsidRPr="00545EC0" w:rsidRDefault="00110F1A" w:rsidP="00F67214">
            <w:pPr>
              <w:spacing w:line="240" w:lineRule="auto"/>
              <w:rPr>
                <w:rFonts w:cs="Arial"/>
                <w:sz w:val="18"/>
                <w:szCs w:val="18"/>
              </w:rPr>
            </w:pPr>
            <w:r w:rsidRPr="00545EC0">
              <w:rPr>
                <w:rFonts w:cs="Arial"/>
                <w:sz w:val="18"/>
                <w:szCs w:val="18"/>
              </w:rPr>
              <w:t>1011</w:t>
            </w:r>
          </w:p>
        </w:tc>
        <w:tc>
          <w:tcPr>
            <w:tcW w:w="2410" w:type="dxa"/>
            <w:tcBorders>
              <w:top w:val="nil"/>
              <w:left w:val="nil"/>
              <w:bottom w:val="single" w:sz="4" w:space="0" w:color="auto"/>
              <w:right w:val="single" w:sz="4" w:space="0" w:color="auto"/>
            </w:tcBorders>
            <w:shd w:val="clear" w:color="auto" w:fill="auto"/>
            <w:noWrap/>
            <w:vAlign w:val="center"/>
            <w:hideMark/>
          </w:tcPr>
          <w:p w14:paraId="779C4739" w14:textId="77777777" w:rsidR="00110F1A" w:rsidRPr="00545EC0" w:rsidRDefault="00110F1A" w:rsidP="00F67214">
            <w:pPr>
              <w:spacing w:line="240" w:lineRule="auto"/>
              <w:rPr>
                <w:rFonts w:cs="Arial"/>
                <w:sz w:val="18"/>
                <w:szCs w:val="18"/>
              </w:rPr>
            </w:pPr>
            <w:r w:rsidRPr="00545EC0">
              <w:rPr>
                <w:rFonts w:cs="Arial"/>
                <w:sz w:val="18"/>
                <w:szCs w:val="18"/>
                <w:vertAlign w:val="superscript"/>
              </w:rPr>
              <w:t>1</w:t>
            </w:r>
            <w:r w:rsidRPr="00545EC0">
              <w:rPr>
                <w:rFonts w:cs="Arial"/>
                <w:sz w:val="18"/>
                <w:szCs w:val="18"/>
              </w:rPr>
              <w:t>Dolenjski kras</w:t>
            </w:r>
          </w:p>
        </w:tc>
        <w:tc>
          <w:tcPr>
            <w:tcW w:w="3402" w:type="dxa"/>
            <w:tcBorders>
              <w:top w:val="nil"/>
              <w:left w:val="nil"/>
              <w:bottom w:val="single" w:sz="4" w:space="0" w:color="auto"/>
              <w:right w:val="single" w:sz="4" w:space="0" w:color="auto"/>
            </w:tcBorders>
            <w:shd w:val="clear" w:color="auto" w:fill="auto"/>
            <w:noWrap/>
            <w:vAlign w:val="center"/>
            <w:hideMark/>
          </w:tcPr>
          <w:p w14:paraId="41653E9B" w14:textId="77777777" w:rsidR="00110F1A" w:rsidRPr="00545EC0" w:rsidRDefault="00110F1A" w:rsidP="00F67214">
            <w:pPr>
              <w:spacing w:line="240" w:lineRule="auto"/>
              <w:rPr>
                <w:rFonts w:cs="Arial"/>
                <w:sz w:val="18"/>
                <w:szCs w:val="18"/>
              </w:rPr>
            </w:pPr>
            <w:r w:rsidRPr="00545EC0">
              <w:rPr>
                <w:rFonts w:cs="Arial"/>
                <w:sz w:val="18"/>
                <w:szCs w:val="18"/>
              </w:rPr>
              <w:t>cilji bodo doseženi</w:t>
            </w:r>
          </w:p>
        </w:tc>
        <w:tc>
          <w:tcPr>
            <w:tcW w:w="2195" w:type="dxa"/>
            <w:tcBorders>
              <w:top w:val="nil"/>
              <w:left w:val="nil"/>
              <w:bottom w:val="single" w:sz="4" w:space="0" w:color="auto"/>
              <w:right w:val="single" w:sz="4" w:space="0" w:color="auto"/>
            </w:tcBorders>
            <w:shd w:val="clear" w:color="auto" w:fill="auto"/>
            <w:noWrap/>
            <w:vAlign w:val="center"/>
            <w:hideMark/>
          </w:tcPr>
          <w:p w14:paraId="641FA589" w14:textId="77777777" w:rsidR="00110F1A" w:rsidRPr="00545EC0" w:rsidRDefault="00110F1A" w:rsidP="00F67214">
            <w:pPr>
              <w:spacing w:line="240" w:lineRule="auto"/>
              <w:rPr>
                <w:rFonts w:cs="Arial"/>
                <w:sz w:val="18"/>
                <w:szCs w:val="18"/>
              </w:rPr>
            </w:pPr>
            <w:r w:rsidRPr="00545EC0">
              <w:rPr>
                <w:rFonts w:cs="Arial"/>
                <w:sz w:val="18"/>
                <w:szCs w:val="18"/>
              </w:rPr>
              <w:t> </w:t>
            </w:r>
          </w:p>
        </w:tc>
      </w:tr>
      <w:tr w:rsidR="003122F4" w:rsidRPr="00545EC0" w14:paraId="13EFD9BA" w14:textId="77777777" w:rsidTr="00BD39F6">
        <w:trPr>
          <w:trHeight w:val="300"/>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019B8218" w14:textId="77777777" w:rsidR="00110F1A" w:rsidRPr="00545EC0" w:rsidRDefault="00110F1A" w:rsidP="00F67214">
            <w:pPr>
              <w:spacing w:line="240" w:lineRule="auto"/>
              <w:rPr>
                <w:rFonts w:cs="Arial"/>
                <w:sz w:val="18"/>
                <w:szCs w:val="18"/>
              </w:rPr>
            </w:pPr>
            <w:r w:rsidRPr="00545EC0">
              <w:rPr>
                <w:rFonts w:cs="Arial"/>
                <w:sz w:val="18"/>
                <w:szCs w:val="18"/>
              </w:rPr>
              <w:t>3012</w:t>
            </w:r>
          </w:p>
        </w:tc>
        <w:tc>
          <w:tcPr>
            <w:tcW w:w="2410" w:type="dxa"/>
            <w:tcBorders>
              <w:top w:val="nil"/>
              <w:left w:val="nil"/>
              <w:bottom w:val="single" w:sz="4" w:space="0" w:color="auto"/>
              <w:right w:val="single" w:sz="4" w:space="0" w:color="auto"/>
            </w:tcBorders>
            <w:shd w:val="clear" w:color="auto" w:fill="auto"/>
            <w:noWrap/>
            <w:vAlign w:val="center"/>
            <w:hideMark/>
          </w:tcPr>
          <w:p w14:paraId="45DA8D2A" w14:textId="77777777" w:rsidR="00110F1A" w:rsidRPr="00545EC0" w:rsidRDefault="00110F1A" w:rsidP="00F67214">
            <w:pPr>
              <w:spacing w:line="240" w:lineRule="auto"/>
              <w:rPr>
                <w:rFonts w:cs="Arial"/>
                <w:sz w:val="18"/>
                <w:szCs w:val="18"/>
              </w:rPr>
            </w:pPr>
            <w:r w:rsidRPr="00545EC0">
              <w:rPr>
                <w:rFonts w:cs="Arial"/>
                <w:sz w:val="18"/>
                <w:szCs w:val="18"/>
                <w:vertAlign w:val="superscript"/>
              </w:rPr>
              <w:t>1</w:t>
            </w:r>
            <w:r w:rsidRPr="00545EC0">
              <w:rPr>
                <w:rFonts w:cs="Arial"/>
                <w:sz w:val="18"/>
                <w:szCs w:val="18"/>
              </w:rPr>
              <w:t>Dravska kotlina</w:t>
            </w:r>
          </w:p>
        </w:tc>
        <w:tc>
          <w:tcPr>
            <w:tcW w:w="3402" w:type="dxa"/>
            <w:tcBorders>
              <w:top w:val="nil"/>
              <w:left w:val="nil"/>
              <w:bottom w:val="single" w:sz="4" w:space="0" w:color="auto"/>
              <w:right w:val="single" w:sz="4" w:space="0" w:color="auto"/>
            </w:tcBorders>
            <w:shd w:val="clear" w:color="auto" w:fill="auto"/>
            <w:noWrap/>
            <w:vAlign w:val="center"/>
            <w:hideMark/>
          </w:tcPr>
          <w:p w14:paraId="6C6651CF" w14:textId="77777777" w:rsidR="00110F1A" w:rsidRPr="00545EC0" w:rsidRDefault="00110F1A" w:rsidP="00F67214">
            <w:pPr>
              <w:spacing w:line="240" w:lineRule="auto"/>
              <w:rPr>
                <w:rFonts w:cs="Arial"/>
                <w:sz w:val="18"/>
                <w:szCs w:val="18"/>
              </w:rPr>
            </w:pPr>
            <w:r w:rsidRPr="00545EC0">
              <w:rPr>
                <w:rFonts w:cs="Arial"/>
                <w:sz w:val="18"/>
                <w:szCs w:val="18"/>
              </w:rPr>
              <w:t>cilji morda bodo ali morda ne bodo doseženi (obstaja tveganje)</w:t>
            </w:r>
          </w:p>
        </w:tc>
        <w:tc>
          <w:tcPr>
            <w:tcW w:w="2195" w:type="dxa"/>
            <w:tcBorders>
              <w:top w:val="nil"/>
              <w:left w:val="nil"/>
              <w:bottom w:val="single" w:sz="4" w:space="0" w:color="auto"/>
              <w:right w:val="single" w:sz="4" w:space="0" w:color="auto"/>
            </w:tcBorders>
            <w:shd w:val="clear" w:color="auto" w:fill="auto"/>
            <w:noWrap/>
            <w:vAlign w:val="center"/>
            <w:hideMark/>
          </w:tcPr>
          <w:p w14:paraId="2C5D576E" w14:textId="77777777" w:rsidR="00110F1A" w:rsidRPr="00545EC0" w:rsidRDefault="00110F1A" w:rsidP="00F67214">
            <w:pPr>
              <w:spacing w:line="240" w:lineRule="auto"/>
              <w:rPr>
                <w:rFonts w:cs="Arial"/>
                <w:sz w:val="18"/>
                <w:szCs w:val="18"/>
              </w:rPr>
            </w:pPr>
            <w:r w:rsidRPr="00545EC0">
              <w:rPr>
                <w:rFonts w:cs="Arial"/>
                <w:sz w:val="18"/>
                <w:szCs w:val="18"/>
              </w:rPr>
              <w:t>2. vodonosnik</w:t>
            </w:r>
          </w:p>
        </w:tc>
      </w:tr>
      <w:tr w:rsidR="003122F4" w:rsidRPr="00545EC0" w14:paraId="12E85980" w14:textId="77777777" w:rsidTr="00BD39F6">
        <w:trPr>
          <w:trHeight w:val="300"/>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738061F9" w14:textId="77777777" w:rsidR="00110F1A" w:rsidRPr="00545EC0" w:rsidRDefault="00110F1A" w:rsidP="00F67214">
            <w:pPr>
              <w:spacing w:line="240" w:lineRule="auto"/>
              <w:rPr>
                <w:rFonts w:cs="Arial"/>
                <w:sz w:val="18"/>
                <w:szCs w:val="18"/>
              </w:rPr>
            </w:pPr>
            <w:r w:rsidRPr="00545EC0">
              <w:rPr>
                <w:rFonts w:cs="Arial"/>
                <w:sz w:val="18"/>
                <w:szCs w:val="18"/>
              </w:rPr>
              <w:t>3013</w:t>
            </w:r>
          </w:p>
        </w:tc>
        <w:tc>
          <w:tcPr>
            <w:tcW w:w="2410" w:type="dxa"/>
            <w:tcBorders>
              <w:top w:val="nil"/>
              <w:left w:val="nil"/>
              <w:bottom w:val="single" w:sz="4" w:space="0" w:color="auto"/>
              <w:right w:val="single" w:sz="4" w:space="0" w:color="auto"/>
            </w:tcBorders>
            <w:shd w:val="clear" w:color="auto" w:fill="auto"/>
            <w:noWrap/>
            <w:vAlign w:val="center"/>
            <w:hideMark/>
          </w:tcPr>
          <w:p w14:paraId="1F3B9082" w14:textId="77777777" w:rsidR="00110F1A" w:rsidRPr="00545EC0" w:rsidRDefault="00110F1A" w:rsidP="00F67214">
            <w:pPr>
              <w:spacing w:line="240" w:lineRule="auto"/>
              <w:rPr>
                <w:rFonts w:cs="Arial"/>
                <w:sz w:val="18"/>
                <w:szCs w:val="18"/>
              </w:rPr>
            </w:pPr>
            <w:r w:rsidRPr="00545EC0">
              <w:rPr>
                <w:rFonts w:cs="Arial"/>
                <w:sz w:val="18"/>
                <w:szCs w:val="18"/>
              </w:rPr>
              <w:t>Vzhodne Alpe</w:t>
            </w:r>
          </w:p>
        </w:tc>
        <w:tc>
          <w:tcPr>
            <w:tcW w:w="3402" w:type="dxa"/>
            <w:tcBorders>
              <w:top w:val="nil"/>
              <w:left w:val="nil"/>
              <w:bottom w:val="single" w:sz="4" w:space="0" w:color="auto"/>
              <w:right w:val="single" w:sz="4" w:space="0" w:color="auto"/>
            </w:tcBorders>
            <w:shd w:val="clear" w:color="auto" w:fill="auto"/>
            <w:noWrap/>
            <w:vAlign w:val="center"/>
            <w:hideMark/>
          </w:tcPr>
          <w:p w14:paraId="4B23993A" w14:textId="77777777" w:rsidR="00110F1A" w:rsidRPr="00545EC0" w:rsidRDefault="00110F1A" w:rsidP="00F67214">
            <w:pPr>
              <w:spacing w:line="240" w:lineRule="auto"/>
              <w:rPr>
                <w:rFonts w:cs="Arial"/>
                <w:sz w:val="18"/>
                <w:szCs w:val="18"/>
              </w:rPr>
            </w:pPr>
            <w:r w:rsidRPr="00545EC0">
              <w:rPr>
                <w:rFonts w:cs="Arial"/>
                <w:sz w:val="18"/>
                <w:szCs w:val="18"/>
              </w:rPr>
              <w:t>cilji bodo doseženi</w:t>
            </w:r>
          </w:p>
        </w:tc>
        <w:tc>
          <w:tcPr>
            <w:tcW w:w="2195" w:type="dxa"/>
            <w:tcBorders>
              <w:top w:val="nil"/>
              <w:left w:val="nil"/>
              <w:bottom w:val="single" w:sz="4" w:space="0" w:color="auto"/>
              <w:right w:val="single" w:sz="4" w:space="0" w:color="auto"/>
            </w:tcBorders>
            <w:shd w:val="clear" w:color="auto" w:fill="auto"/>
            <w:noWrap/>
            <w:vAlign w:val="center"/>
            <w:hideMark/>
          </w:tcPr>
          <w:p w14:paraId="2FBA2348" w14:textId="77777777" w:rsidR="00110F1A" w:rsidRPr="00545EC0" w:rsidRDefault="00110F1A" w:rsidP="00F67214">
            <w:pPr>
              <w:spacing w:line="240" w:lineRule="auto"/>
              <w:rPr>
                <w:rFonts w:cs="Arial"/>
                <w:sz w:val="18"/>
                <w:szCs w:val="18"/>
              </w:rPr>
            </w:pPr>
            <w:r w:rsidRPr="00545EC0">
              <w:rPr>
                <w:rFonts w:cs="Arial"/>
                <w:sz w:val="18"/>
                <w:szCs w:val="18"/>
              </w:rPr>
              <w:t> </w:t>
            </w:r>
          </w:p>
        </w:tc>
      </w:tr>
      <w:tr w:rsidR="003122F4" w:rsidRPr="00545EC0" w14:paraId="5FE986C9" w14:textId="77777777" w:rsidTr="00BD39F6">
        <w:trPr>
          <w:trHeight w:val="300"/>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76BE3CE4" w14:textId="77777777" w:rsidR="00110F1A" w:rsidRPr="00545EC0" w:rsidRDefault="00110F1A" w:rsidP="00F67214">
            <w:pPr>
              <w:spacing w:line="240" w:lineRule="auto"/>
              <w:rPr>
                <w:rFonts w:cs="Arial"/>
                <w:sz w:val="18"/>
                <w:szCs w:val="18"/>
              </w:rPr>
            </w:pPr>
            <w:r w:rsidRPr="00545EC0">
              <w:rPr>
                <w:rFonts w:cs="Arial"/>
                <w:sz w:val="18"/>
                <w:szCs w:val="18"/>
              </w:rPr>
              <w:t>3014</w:t>
            </w:r>
          </w:p>
        </w:tc>
        <w:tc>
          <w:tcPr>
            <w:tcW w:w="2410" w:type="dxa"/>
            <w:tcBorders>
              <w:top w:val="nil"/>
              <w:left w:val="nil"/>
              <w:bottom w:val="single" w:sz="4" w:space="0" w:color="auto"/>
              <w:right w:val="single" w:sz="4" w:space="0" w:color="auto"/>
            </w:tcBorders>
            <w:shd w:val="clear" w:color="auto" w:fill="auto"/>
            <w:noWrap/>
            <w:vAlign w:val="center"/>
            <w:hideMark/>
          </w:tcPr>
          <w:p w14:paraId="7B32FC46" w14:textId="77777777" w:rsidR="00110F1A" w:rsidRPr="00545EC0" w:rsidRDefault="00110F1A" w:rsidP="00F67214">
            <w:pPr>
              <w:spacing w:line="240" w:lineRule="auto"/>
              <w:rPr>
                <w:rFonts w:cs="Arial"/>
                <w:sz w:val="18"/>
                <w:szCs w:val="18"/>
              </w:rPr>
            </w:pPr>
            <w:r w:rsidRPr="00545EC0">
              <w:rPr>
                <w:rFonts w:cs="Arial"/>
                <w:sz w:val="18"/>
                <w:szCs w:val="18"/>
                <w:vertAlign w:val="superscript"/>
              </w:rPr>
              <w:t>1</w:t>
            </w:r>
            <w:r w:rsidRPr="00545EC0">
              <w:rPr>
                <w:rFonts w:cs="Arial"/>
                <w:sz w:val="18"/>
                <w:szCs w:val="18"/>
              </w:rPr>
              <w:t>Haloze in Dravinjske gorice</w:t>
            </w:r>
          </w:p>
        </w:tc>
        <w:tc>
          <w:tcPr>
            <w:tcW w:w="3402" w:type="dxa"/>
            <w:tcBorders>
              <w:top w:val="nil"/>
              <w:left w:val="nil"/>
              <w:bottom w:val="single" w:sz="4" w:space="0" w:color="auto"/>
              <w:right w:val="single" w:sz="4" w:space="0" w:color="auto"/>
            </w:tcBorders>
            <w:shd w:val="clear" w:color="auto" w:fill="auto"/>
            <w:noWrap/>
            <w:vAlign w:val="center"/>
            <w:hideMark/>
          </w:tcPr>
          <w:p w14:paraId="6E04F699" w14:textId="77777777" w:rsidR="00110F1A" w:rsidRPr="00545EC0" w:rsidRDefault="00110F1A" w:rsidP="00F67214">
            <w:pPr>
              <w:spacing w:line="240" w:lineRule="auto"/>
              <w:rPr>
                <w:rFonts w:cs="Arial"/>
                <w:sz w:val="18"/>
                <w:szCs w:val="18"/>
              </w:rPr>
            </w:pPr>
            <w:r w:rsidRPr="00545EC0">
              <w:rPr>
                <w:rFonts w:cs="Arial"/>
                <w:sz w:val="18"/>
                <w:szCs w:val="18"/>
              </w:rPr>
              <w:t>cilji bodo doseženi</w:t>
            </w:r>
          </w:p>
        </w:tc>
        <w:tc>
          <w:tcPr>
            <w:tcW w:w="2195" w:type="dxa"/>
            <w:tcBorders>
              <w:top w:val="nil"/>
              <w:left w:val="nil"/>
              <w:bottom w:val="single" w:sz="4" w:space="0" w:color="auto"/>
              <w:right w:val="single" w:sz="4" w:space="0" w:color="auto"/>
            </w:tcBorders>
            <w:shd w:val="clear" w:color="auto" w:fill="auto"/>
            <w:noWrap/>
            <w:vAlign w:val="center"/>
            <w:hideMark/>
          </w:tcPr>
          <w:p w14:paraId="4F753E72" w14:textId="77777777" w:rsidR="00110F1A" w:rsidRPr="00545EC0" w:rsidRDefault="00110F1A" w:rsidP="00F67214">
            <w:pPr>
              <w:spacing w:line="240" w:lineRule="auto"/>
              <w:rPr>
                <w:rFonts w:cs="Arial"/>
                <w:sz w:val="18"/>
                <w:szCs w:val="18"/>
              </w:rPr>
            </w:pPr>
            <w:r w:rsidRPr="00545EC0">
              <w:rPr>
                <w:rFonts w:cs="Arial"/>
                <w:sz w:val="18"/>
                <w:szCs w:val="18"/>
              </w:rPr>
              <w:t> </w:t>
            </w:r>
          </w:p>
        </w:tc>
      </w:tr>
      <w:tr w:rsidR="003122F4" w:rsidRPr="00545EC0" w14:paraId="7B406649" w14:textId="77777777" w:rsidTr="00BD39F6">
        <w:trPr>
          <w:trHeight w:val="300"/>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1CE4B206" w14:textId="77777777" w:rsidR="00110F1A" w:rsidRPr="00545EC0" w:rsidRDefault="00110F1A" w:rsidP="00F67214">
            <w:pPr>
              <w:spacing w:line="240" w:lineRule="auto"/>
              <w:rPr>
                <w:rFonts w:cs="Arial"/>
                <w:sz w:val="18"/>
                <w:szCs w:val="18"/>
              </w:rPr>
            </w:pPr>
            <w:r w:rsidRPr="00545EC0">
              <w:rPr>
                <w:rFonts w:cs="Arial"/>
                <w:sz w:val="18"/>
                <w:szCs w:val="18"/>
              </w:rPr>
              <w:t>3015</w:t>
            </w:r>
          </w:p>
        </w:tc>
        <w:tc>
          <w:tcPr>
            <w:tcW w:w="2410" w:type="dxa"/>
            <w:tcBorders>
              <w:top w:val="nil"/>
              <w:left w:val="nil"/>
              <w:bottom w:val="single" w:sz="4" w:space="0" w:color="auto"/>
              <w:right w:val="single" w:sz="4" w:space="0" w:color="auto"/>
            </w:tcBorders>
            <w:shd w:val="clear" w:color="auto" w:fill="auto"/>
            <w:noWrap/>
            <w:vAlign w:val="center"/>
            <w:hideMark/>
          </w:tcPr>
          <w:p w14:paraId="0C8E6454" w14:textId="77777777" w:rsidR="00110F1A" w:rsidRPr="00545EC0" w:rsidRDefault="00110F1A" w:rsidP="00F67214">
            <w:pPr>
              <w:spacing w:line="240" w:lineRule="auto"/>
              <w:rPr>
                <w:rFonts w:cs="Arial"/>
                <w:sz w:val="18"/>
                <w:szCs w:val="18"/>
              </w:rPr>
            </w:pPr>
            <w:r w:rsidRPr="00545EC0">
              <w:rPr>
                <w:rFonts w:cs="Arial"/>
                <w:sz w:val="18"/>
                <w:szCs w:val="18"/>
              </w:rPr>
              <w:t>Zahodne Slovenske gorice</w:t>
            </w:r>
          </w:p>
        </w:tc>
        <w:tc>
          <w:tcPr>
            <w:tcW w:w="3402" w:type="dxa"/>
            <w:tcBorders>
              <w:top w:val="nil"/>
              <w:left w:val="nil"/>
              <w:bottom w:val="single" w:sz="4" w:space="0" w:color="auto"/>
              <w:right w:val="single" w:sz="4" w:space="0" w:color="auto"/>
            </w:tcBorders>
            <w:shd w:val="clear" w:color="auto" w:fill="auto"/>
            <w:noWrap/>
            <w:vAlign w:val="center"/>
            <w:hideMark/>
          </w:tcPr>
          <w:p w14:paraId="4DAB9D51" w14:textId="77777777" w:rsidR="00110F1A" w:rsidRPr="00545EC0" w:rsidRDefault="00110F1A" w:rsidP="00F67214">
            <w:pPr>
              <w:spacing w:line="240" w:lineRule="auto"/>
              <w:rPr>
                <w:rFonts w:cs="Arial"/>
                <w:sz w:val="18"/>
                <w:szCs w:val="18"/>
              </w:rPr>
            </w:pPr>
            <w:r w:rsidRPr="00545EC0">
              <w:rPr>
                <w:rFonts w:cs="Arial"/>
                <w:sz w:val="18"/>
                <w:szCs w:val="18"/>
              </w:rPr>
              <w:t>cilji bodo doseženi</w:t>
            </w:r>
          </w:p>
        </w:tc>
        <w:tc>
          <w:tcPr>
            <w:tcW w:w="2195" w:type="dxa"/>
            <w:tcBorders>
              <w:top w:val="nil"/>
              <w:left w:val="nil"/>
              <w:bottom w:val="single" w:sz="4" w:space="0" w:color="auto"/>
              <w:right w:val="single" w:sz="4" w:space="0" w:color="auto"/>
            </w:tcBorders>
            <w:shd w:val="clear" w:color="auto" w:fill="auto"/>
            <w:noWrap/>
            <w:vAlign w:val="center"/>
            <w:hideMark/>
          </w:tcPr>
          <w:p w14:paraId="4BBF0C1C" w14:textId="77777777" w:rsidR="00110F1A" w:rsidRPr="00545EC0" w:rsidRDefault="00110F1A" w:rsidP="00F67214">
            <w:pPr>
              <w:spacing w:line="240" w:lineRule="auto"/>
              <w:rPr>
                <w:rFonts w:cs="Arial"/>
                <w:sz w:val="18"/>
                <w:szCs w:val="18"/>
              </w:rPr>
            </w:pPr>
            <w:r w:rsidRPr="00545EC0">
              <w:rPr>
                <w:rFonts w:cs="Arial"/>
                <w:sz w:val="18"/>
                <w:szCs w:val="18"/>
              </w:rPr>
              <w:t> </w:t>
            </w:r>
          </w:p>
        </w:tc>
      </w:tr>
      <w:tr w:rsidR="003122F4" w:rsidRPr="00545EC0" w14:paraId="29CB2B07" w14:textId="77777777" w:rsidTr="00BD39F6">
        <w:trPr>
          <w:trHeight w:val="300"/>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70A0EFBC" w14:textId="77777777" w:rsidR="00110F1A" w:rsidRPr="00545EC0" w:rsidRDefault="00110F1A" w:rsidP="00F67214">
            <w:pPr>
              <w:spacing w:line="240" w:lineRule="auto"/>
              <w:rPr>
                <w:rFonts w:cs="Arial"/>
                <w:sz w:val="18"/>
                <w:szCs w:val="18"/>
              </w:rPr>
            </w:pPr>
            <w:r w:rsidRPr="00545EC0">
              <w:rPr>
                <w:rFonts w:cs="Arial"/>
                <w:sz w:val="18"/>
                <w:szCs w:val="18"/>
              </w:rPr>
              <w:t>4016</w:t>
            </w:r>
          </w:p>
        </w:tc>
        <w:tc>
          <w:tcPr>
            <w:tcW w:w="2410" w:type="dxa"/>
            <w:tcBorders>
              <w:top w:val="nil"/>
              <w:left w:val="nil"/>
              <w:bottom w:val="single" w:sz="4" w:space="0" w:color="auto"/>
              <w:right w:val="single" w:sz="4" w:space="0" w:color="auto"/>
            </w:tcBorders>
            <w:shd w:val="clear" w:color="auto" w:fill="auto"/>
            <w:noWrap/>
            <w:vAlign w:val="center"/>
            <w:hideMark/>
          </w:tcPr>
          <w:p w14:paraId="6919EAD1" w14:textId="77777777" w:rsidR="00110F1A" w:rsidRPr="00545EC0" w:rsidRDefault="00110F1A" w:rsidP="00F67214">
            <w:pPr>
              <w:spacing w:line="240" w:lineRule="auto"/>
              <w:rPr>
                <w:rFonts w:cs="Arial"/>
                <w:sz w:val="18"/>
                <w:szCs w:val="18"/>
              </w:rPr>
            </w:pPr>
            <w:r w:rsidRPr="00545EC0">
              <w:rPr>
                <w:rFonts w:cs="Arial"/>
                <w:sz w:val="18"/>
                <w:szCs w:val="18"/>
                <w:vertAlign w:val="superscript"/>
              </w:rPr>
              <w:t>1</w:t>
            </w:r>
            <w:r w:rsidRPr="00545EC0">
              <w:rPr>
                <w:rFonts w:cs="Arial"/>
                <w:sz w:val="18"/>
                <w:szCs w:val="18"/>
              </w:rPr>
              <w:t>Murska kotlina</w:t>
            </w:r>
          </w:p>
        </w:tc>
        <w:tc>
          <w:tcPr>
            <w:tcW w:w="3402" w:type="dxa"/>
            <w:tcBorders>
              <w:top w:val="nil"/>
              <w:left w:val="nil"/>
              <w:bottom w:val="single" w:sz="4" w:space="0" w:color="auto"/>
              <w:right w:val="single" w:sz="4" w:space="0" w:color="auto"/>
            </w:tcBorders>
            <w:shd w:val="clear" w:color="auto" w:fill="auto"/>
            <w:noWrap/>
            <w:vAlign w:val="center"/>
            <w:hideMark/>
          </w:tcPr>
          <w:p w14:paraId="225246F1" w14:textId="77777777" w:rsidR="00110F1A" w:rsidRPr="00545EC0" w:rsidRDefault="00110F1A" w:rsidP="00F67214">
            <w:pPr>
              <w:spacing w:line="240" w:lineRule="auto"/>
              <w:rPr>
                <w:rFonts w:cs="Arial"/>
                <w:sz w:val="18"/>
                <w:szCs w:val="18"/>
              </w:rPr>
            </w:pPr>
            <w:r w:rsidRPr="00545EC0">
              <w:rPr>
                <w:rFonts w:cs="Arial"/>
                <w:sz w:val="18"/>
                <w:szCs w:val="18"/>
              </w:rPr>
              <w:t>cilji morda bodo ali morda ne bodo doseženi (obstaja tveganje)</w:t>
            </w:r>
          </w:p>
        </w:tc>
        <w:tc>
          <w:tcPr>
            <w:tcW w:w="2195" w:type="dxa"/>
            <w:tcBorders>
              <w:top w:val="nil"/>
              <w:left w:val="nil"/>
              <w:bottom w:val="single" w:sz="4" w:space="0" w:color="auto"/>
              <w:right w:val="single" w:sz="4" w:space="0" w:color="auto"/>
            </w:tcBorders>
            <w:shd w:val="clear" w:color="auto" w:fill="auto"/>
            <w:noWrap/>
            <w:vAlign w:val="center"/>
            <w:hideMark/>
          </w:tcPr>
          <w:p w14:paraId="49785E6C" w14:textId="77777777" w:rsidR="00110F1A" w:rsidRPr="00545EC0" w:rsidRDefault="00110F1A" w:rsidP="00F67214">
            <w:pPr>
              <w:spacing w:line="240" w:lineRule="auto"/>
              <w:rPr>
                <w:rFonts w:cs="Arial"/>
                <w:sz w:val="18"/>
                <w:szCs w:val="18"/>
              </w:rPr>
            </w:pPr>
            <w:r w:rsidRPr="00545EC0">
              <w:rPr>
                <w:rFonts w:cs="Arial"/>
                <w:sz w:val="18"/>
                <w:szCs w:val="18"/>
              </w:rPr>
              <w:t>3. vodonosnik (globoki termalni vodonosnik)</w:t>
            </w:r>
          </w:p>
        </w:tc>
      </w:tr>
      <w:tr w:rsidR="003122F4" w:rsidRPr="00545EC0" w14:paraId="3FA6CA8A" w14:textId="77777777" w:rsidTr="00BD39F6">
        <w:trPr>
          <w:trHeight w:val="300"/>
        </w:trPr>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E848E" w14:textId="77777777" w:rsidR="00110F1A" w:rsidRPr="00545EC0" w:rsidRDefault="00110F1A" w:rsidP="00F67214">
            <w:pPr>
              <w:spacing w:line="240" w:lineRule="auto"/>
              <w:rPr>
                <w:rFonts w:cs="Arial"/>
                <w:sz w:val="18"/>
                <w:szCs w:val="18"/>
              </w:rPr>
            </w:pPr>
            <w:r w:rsidRPr="00545EC0">
              <w:rPr>
                <w:rFonts w:cs="Arial"/>
                <w:sz w:val="18"/>
                <w:szCs w:val="18"/>
              </w:rPr>
              <w:t>4017</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637033B2" w14:textId="77777777" w:rsidR="00110F1A" w:rsidRPr="00545EC0" w:rsidRDefault="00110F1A" w:rsidP="00F67214">
            <w:pPr>
              <w:spacing w:line="240" w:lineRule="auto"/>
              <w:rPr>
                <w:rFonts w:cs="Arial"/>
                <w:sz w:val="18"/>
                <w:szCs w:val="18"/>
              </w:rPr>
            </w:pPr>
            <w:r w:rsidRPr="00545EC0">
              <w:rPr>
                <w:rFonts w:cs="Arial"/>
                <w:sz w:val="18"/>
                <w:szCs w:val="18"/>
                <w:vertAlign w:val="superscript"/>
              </w:rPr>
              <w:t>1</w:t>
            </w:r>
            <w:r w:rsidRPr="00545EC0">
              <w:rPr>
                <w:rFonts w:cs="Arial"/>
                <w:sz w:val="18"/>
                <w:szCs w:val="18"/>
              </w:rPr>
              <w:t>Vzhodne Slovenske gorice</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627C1418" w14:textId="77777777" w:rsidR="00110F1A" w:rsidRPr="00545EC0" w:rsidRDefault="00110F1A" w:rsidP="00F67214">
            <w:pPr>
              <w:spacing w:line="240" w:lineRule="auto"/>
              <w:rPr>
                <w:rFonts w:cs="Arial"/>
                <w:sz w:val="18"/>
                <w:szCs w:val="18"/>
              </w:rPr>
            </w:pPr>
            <w:r w:rsidRPr="00545EC0">
              <w:rPr>
                <w:rFonts w:cs="Arial"/>
                <w:sz w:val="18"/>
                <w:szCs w:val="18"/>
              </w:rPr>
              <w:t>cilji bodo doseženi</w:t>
            </w:r>
          </w:p>
        </w:tc>
        <w:tc>
          <w:tcPr>
            <w:tcW w:w="2195" w:type="dxa"/>
            <w:tcBorders>
              <w:top w:val="single" w:sz="4" w:space="0" w:color="auto"/>
              <w:left w:val="nil"/>
              <w:bottom w:val="single" w:sz="4" w:space="0" w:color="auto"/>
              <w:right w:val="single" w:sz="4" w:space="0" w:color="auto"/>
            </w:tcBorders>
            <w:shd w:val="clear" w:color="auto" w:fill="auto"/>
            <w:noWrap/>
            <w:vAlign w:val="center"/>
            <w:hideMark/>
          </w:tcPr>
          <w:p w14:paraId="4D1BD427" w14:textId="77777777" w:rsidR="00110F1A" w:rsidRPr="00545EC0" w:rsidRDefault="00110F1A" w:rsidP="00F67214">
            <w:pPr>
              <w:spacing w:line="240" w:lineRule="auto"/>
              <w:rPr>
                <w:rFonts w:cs="Arial"/>
                <w:sz w:val="18"/>
                <w:szCs w:val="18"/>
              </w:rPr>
            </w:pPr>
            <w:r w:rsidRPr="00545EC0">
              <w:rPr>
                <w:rFonts w:cs="Arial"/>
                <w:sz w:val="18"/>
                <w:szCs w:val="18"/>
              </w:rPr>
              <w:t> </w:t>
            </w:r>
          </w:p>
        </w:tc>
      </w:tr>
      <w:tr w:rsidR="003122F4" w:rsidRPr="00545EC0" w14:paraId="5B71F31C" w14:textId="77777777" w:rsidTr="00BD39F6">
        <w:trPr>
          <w:trHeight w:val="300"/>
        </w:trPr>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4D8F6" w14:textId="77777777" w:rsidR="00110F1A" w:rsidRPr="00545EC0" w:rsidRDefault="00110F1A" w:rsidP="00F67214">
            <w:pPr>
              <w:spacing w:line="240" w:lineRule="auto"/>
              <w:rPr>
                <w:rFonts w:cs="Arial"/>
                <w:sz w:val="18"/>
                <w:szCs w:val="18"/>
              </w:rPr>
            </w:pPr>
            <w:r w:rsidRPr="00545EC0">
              <w:rPr>
                <w:rFonts w:cs="Arial"/>
                <w:sz w:val="18"/>
                <w:szCs w:val="18"/>
              </w:rPr>
              <w:t>4018</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40F4447C" w14:textId="77777777" w:rsidR="00110F1A" w:rsidRPr="00545EC0" w:rsidRDefault="00110F1A" w:rsidP="00F67214">
            <w:pPr>
              <w:spacing w:line="240" w:lineRule="auto"/>
              <w:rPr>
                <w:rFonts w:cs="Arial"/>
                <w:sz w:val="18"/>
                <w:szCs w:val="18"/>
              </w:rPr>
            </w:pPr>
            <w:r w:rsidRPr="00545EC0">
              <w:rPr>
                <w:rFonts w:cs="Arial"/>
                <w:sz w:val="18"/>
                <w:szCs w:val="18"/>
                <w:vertAlign w:val="superscript"/>
              </w:rPr>
              <w:t>1</w:t>
            </w:r>
            <w:r w:rsidRPr="00545EC0">
              <w:rPr>
                <w:rFonts w:cs="Arial"/>
                <w:sz w:val="18"/>
                <w:szCs w:val="18"/>
              </w:rPr>
              <w:t>Goričko</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75F43145" w14:textId="77777777" w:rsidR="00110F1A" w:rsidRPr="00545EC0" w:rsidRDefault="00110F1A" w:rsidP="00F67214">
            <w:pPr>
              <w:spacing w:line="240" w:lineRule="auto"/>
              <w:rPr>
                <w:rFonts w:cs="Arial"/>
                <w:sz w:val="18"/>
                <w:szCs w:val="18"/>
              </w:rPr>
            </w:pPr>
            <w:r w:rsidRPr="00545EC0">
              <w:rPr>
                <w:rFonts w:cs="Arial"/>
                <w:sz w:val="18"/>
                <w:szCs w:val="18"/>
              </w:rPr>
              <w:t>cilji bodo doseženi</w:t>
            </w:r>
          </w:p>
        </w:tc>
        <w:tc>
          <w:tcPr>
            <w:tcW w:w="2195" w:type="dxa"/>
            <w:tcBorders>
              <w:top w:val="single" w:sz="4" w:space="0" w:color="auto"/>
              <w:left w:val="nil"/>
              <w:bottom w:val="single" w:sz="4" w:space="0" w:color="auto"/>
              <w:right w:val="single" w:sz="4" w:space="0" w:color="auto"/>
            </w:tcBorders>
            <w:shd w:val="clear" w:color="auto" w:fill="auto"/>
            <w:noWrap/>
            <w:vAlign w:val="center"/>
            <w:hideMark/>
          </w:tcPr>
          <w:p w14:paraId="3413174F" w14:textId="77777777" w:rsidR="00110F1A" w:rsidRPr="00545EC0" w:rsidRDefault="00110F1A" w:rsidP="00F67214">
            <w:pPr>
              <w:spacing w:line="240" w:lineRule="auto"/>
              <w:rPr>
                <w:rFonts w:cs="Arial"/>
                <w:sz w:val="18"/>
                <w:szCs w:val="18"/>
              </w:rPr>
            </w:pPr>
          </w:p>
        </w:tc>
      </w:tr>
    </w:tbl>
    <w:p w14:paraId="3D8868F7" w14:textId="77777777" w:rsidR="00110F1A" w:rsidRPr="00545EC0" w:rsidRDefault="00110F1A" w:rsidP="00110F1A">
      <w:pPr>
        <w:spacing w:before="120" w:after="120"/>
        <w:rPr>
          <w:rFonts w:cs="Arial"/>
          <w:i/>
          <w:szCs w:val="20"/>
        </w:rPr>
      </w:pPr>
      <w:r w:rsidRPr="00545EC0">
        <w:rPr>
          <w:rFonts w:cs="Arial"/>
          <w:i/>
          <w:sz w:val="18"/>
          <w:szCs w:val="18"/>
          <w:vertAlign w:val="superscript"/>
        </w:rPr>
        <w:t>1</w:t>
      </w:r>
      <w:r w:rsidRPr="00545EC0">
        <w:rPr>
          <w:rFonts w:cs="Arial"/>
          <w:i/>
          <w:sz w:val="18"/>
          <w:szCs w:val="18"/>
        </w:rPr>
        <w:t xml:space="preserve"> obstaja tveganje, da ekosistemi odvisni od podzemnih vod, ne bodo v ugodnem stanju ohranjenosti. Vendar obstaja tudi negotovost pri napovedi, saj za ugotavljanje stanja ohranjenosti nimamo natančnih meritev.</w:t>
      </w:r>
    </w:p>
    <w:p w14:paraId="6081FE11" w14:textId="77777777" w:rsidR="00110F1A" w:rsidRPr="00545EC0" w:rsidRDefault="00110F1A" w:rsidP="00BD39F6">
      <w:pPr>
        <w:pStyle w:val="podnaslov0"/>
        <w:rPr>
          <w:b w:val="0"/>
          <w:u w:val="single"/>
        </w:rPr>
      </w:pPr>
      <w:bookmarkStart w:id="363" w:name="_Toc468270316"/>
      <w:r w:rsidRPr="00545EC0">
        <w:rPr>
          <w:b w:val="0"/>
          <w:u w:val="single"/>
        </w:rPr>
        <w:t>VTPodV_4016 Murska kotlina in VTPodV Krška kotlina</w:t>
      </w:r>
    </w:p>
    <w:p w14:paraId="75FCC856" w14:textId="65CFCB21" w:rsidR="00110F1A" w:rsidRPr="00545EC0" w:rsidRDefault="006C40E5" w:rsidP="00D5428C">
      <w:pPr>
        <w:spacing w:after="120"/>
        <w:rPr>
          <w:rFonts w:cs="Arial"/>
        </w:rPr>
      </w:pPr>
      <w:r w:rsidRPr="00545EC0">
        <w:rPr>
          <w:rFonts w:cs="Arial"/>
        </w:rPr>
        <w:t xml:space="preserve">Posamezni odvzemi zaradi rabe voda </w:t>
      </w:r>
      <w:r w:rsidR="00110F1A" w:rsidRPr="00545EC0">
        <w:rPr>
          <w:rFonts w:cs="Arial"/>
        </w:rPr>
        <w:t xml:space="preserve">v </w:t>
      </w:r>
      <w:r w:rsidRPr="00545EC0">
        <w:rPr>
          <w:rFonts w:cs="Arial"/>
        </w:rPr>
        <w:t xml:space="preserve">globokih termalnih </w:t>
      </w:r>
      <w:r w:rsidR="00110F1A" w:rsidRPr="00545EC0">
        <w:rPr>
          <w:rFonts w:cs="Arial"/>
        </w:rPr>
        <w:t>vodonosnik</w:t>
      </w:r>
      <w:r w:rsidRPr="00545EC0">
        <w:rPr>
          <w:rFonts w:cs="Arial"/>
        </w:rPr>
        <w:t>ih</w:t>
      </w:r>
      <w:r w:rsidR="00110F1A" w:rsidRPr="00545EC0">
        <w:rPr>
          <w:rFonts w:cs="Arial"/>
        </w:rPr>
        <w:t xml:space="preserve"> </w:t>
      </w:r>
      <w:r w:rsidRPr="00545EC0">
        <w:rPr>
          <w:rFonts w:cs="Arial"/>
        </w:rPr>
        <w:t xml:space="preserve">vodnih teles podzemnih voda VTPodV_4016 Murska kotlina in VTPodV Krška kotlina </w:t>
      </w:r>
      <w:r w:rsidR="00110F1A" w:rsidRPr="00545EC0">
        <w:rPr>
          <w:rFonts w:cs="Arial"/>
        </w:rPr>
        <w:t>še vedno povzročajo medsebojne vplive in trende zniževanja gladin</w:t>
      </w:r>
      <w:r w:rsidR="00796403" w:rsidRPr="00545EC0">
        <w:rPr>
          <w:rFonts w:cs="Arial"/>
        </w:rPr>
        <w:t>,</w:t>
      </w:r>
      <w:r w:rsidRPr="00545EC0">
        <w:rPr>
          <w:rFonts w:cs="Arial"/>
        </w:rPr>
        <w:t xml:space="preserve"> pri čemer se ugotavlja, da </w:t>
      </w:r>
      <w:r w:rsidR="00110F1A" w:rsidRPr="00545EC0">
        <w:rPr>
          <w:rFonts w:cs="Arial"/>
        </w:rPr>
        <w:t xml:space="preserve">se hitrost </w:t>
      </w:r>
      <w:r w:rsidRPr="00545EC0">
        <w:rPr>
          <w:rFonts w:cs="Arial"/>
        </w:rPr>
        <w:t xml:space="preserve">zniževanja gladine </w:t>
      </w:r>
      <w:r w:rsidR="00132D7A" w:rsidRPr="00545EC0">
        <w:rPr>
          <w:rFonts w:cs="Arial"/>
        </w:rPr>
        <w:t xml:space="preserve">na nekaterih delih vodnih teles podzemnih voda </w:t>
      </w:r>
      <w:r w:rsidRPr="00545EC0">
        <w:rPr>
          <w:rFonts w:cs="Arial"/>
        </w:rPr>
        <w:t xml:space="preserve">nekoliko upočasnjuje. </w:t>
      </w:r>
      <w:r w:rsidR="00A95EFB" w:rsidRPr="00545EC0">
        <w:rPr>
          <w:rFonts w:cs="Arial"/>
        </w:rPr>
        <w:t xml:space="preserve">Glede na navedeno se ocenjujejo, da za vodna telesa podzemnih voda Murska kotlina in Krška kotlina okoljski cilji </w:t>
      </w:r>
      <w:r w:rsidRPr="00545EC0">
        <w:rPr>
          <w:rFonts w:cs="Arial"/>
        </w:rPr>
        <w:t xml:space="preserve">za doseganje dobrega količinskega stanja </w:t>
      </w:r>
      <w:r w:rsidR="00A95EFB" w:rsidRPr="00545EC0">
        <w:rPr>
          <w:rFonts w:cs="Arial"/>
        </w:rPr>
        <w:t xml:space="preserve">morda bodo ali morda ne bodo doseženi. </w:t>
      </w:r>
      <w:r w:rsidRPr="00545EC0">
        <w:rPr>
          <w:rFonts w:cs="Arial"/>
        </w:rPr>
        <w:t>V</w:t>
      </w:r>
      <w:r w:rsidR="00110F1A" w:rsidRPr="00545EC0">
        <w:rPr>
          <w:rFonts w:cs="Arial"/>
        </w:rPr>
        <w:t xml:space="preserve"> primerjavi </w:t>
      </w:r>
      <w:r w:rsidR="00A95EFB" w:rsidRPr="00545EC0">
        <w:rPr>
          <w:rFonts w:cs="Arial"/>
        </w:rPr>
        <w:t>s predhodnim načrtom upravljanja voda</w:t>
      </w:r>
      <w:r w:rsidR="00132D7A" w:rsidRPr="00545EC0">
        <w:rPr>
          <w:rFonts w:cs="Arial"/>
        </w:rPr>
        <w:t xml:space="preserve"> se</w:t>
      </w:r>
      <w:r w:rsidRPr="00545EC0">
        <w:rPr>
          <w:rFonts w:cs="Arial"/>
        </w:rPr>
        <w:t xml:space="preserve"> </w:t>
      </w:r>
      <w:r w:rsidR="00132D7A" w:rsidRPr="00545EC0">
        <w:rPr>
          <w:rFonts w:cs="Arial"/>
        </w:rPr>
        <w:t>za v vodno telo podzemne vode Krška kotlina še vedno ocenjuje, da okoljski cilji morda bodo ali morda ne bodo doseženi</w:t>
      </w:r>
      <w:r w:rsidR="00796403" w:rsidRPr="00545EC0">
        <w:rPr>
          <w:rFonts w:cs="Arial"/>
        </w:rPr>
        <w:t>,</w:t>
      </w:r>
      <w:r w:rsidR="00132D7A" w:rsidRPr="00545EC0">
        <w:rPr>
          <w:rFonts w:cs="Arial"/>
        </w:rPr>
        <w:t xml:space="preserve"> </w:t>
      </w:r>
      <w:r w:rsidRPr="00545EC0">
        <w:rPr>
          <w:rFonts w:cs="Arial"/>
        </w:rPr>
        <w:t xml:space="preserve">medtem ko </w:t>
      </w:r>
      <w:r w:rsidR="00132D7A" w:rsidRPr="00545EC0">
        <w:rPr>
          <w:rFonts w:cs="Arial"/>
        </w:rPr>
        <w:t xml:space="preserve">se </w:t>
      </w:r>
      <w:r w:rsidRPr="00545EC0">
        <w:rPr>
          <w:rFonts w:cs="Arial"/>
        </w:rPr>
        <w:t>za vodno telo podzemne vode M</w:t>
      </w:r>
      <w:r w:rsidR="00132D7A" w:rsidRPr="00545EC0">
        <w:rPr>
          <w:rFonts w:cs="Arial"/>
        </w:rPr>
        <w:t>urska kotlina ocenjuje</w:t>
      </w:r>
      <w:r w:rsidRPr="00545EC0">
        <w:rPr>
          <w:rFonts w:cs="Arial"/>
        </w:rPr>
        <w:t xml:space="preserve"> napredek pri doseganju okoljskih ciljev. </w:t>
      </w:r>
      <w:r w:rsidR="00132D7A" w:rsidRPr="00545EC0">
        <w:rPr>
          <w:rFonts w:cs="Arial"/>
        </w:rPr>
        <w:t>V primerjavi s predhodnim načrtom upravljanja voda je ocena verjetnosti doseganja okoljskih ciljev za ta načrt upravljanja voda pripravljena na podlagi novih znanj in razpoložljivih podatkov.</w:t>
      </w:r>
    </w:p>
    <w:bookmarkEnd w:id="363"/>
    <w:p w14:paraId="4B471F39" w14:textId="77777777" w:rsidR="00110F1A" w:rsidRPr="00545EC0" w:rsidRDefault="00110F1A" w:rsidP="00BD39F6">
      <w:pPr>
        <w:pStyle w:val="podnaslov0"/>
        <w:rPr>
          <w:b w:val="0"/>
          <w:u w:val="single"/>
        </w:rPr>
      </w:pPr>
      <w:r w:rsidRPr="00545EC0">
        <w:rPr>
          <w:b w:val="0"/>
          <w:u w:val="single"/>
        </w:rPr>
        <w:t xml:space="preserve">VTPodV Dravska kotlina </w:t>
      </w:r>
    </w:p>
    <w:p w14:paraId="64B599A2" w14:textId="6CB6D9DC" w:rsidR="00720C99" w:rsidRPr="00545EC0" w:rsidRDefault="007437B4" w:rsidP="003122F4">
      <w:pPr>
        <w:pStyle w:val="Odstavekseznama"/>
        <w:spacing w:before="120" w:after="120"/>
        <w:ind w:left="0"/>
        <w:rPr>
          <w:rFonts w:cs="Arial"/>
        </w:rPr>
      </w:pPr>
      <w:r w:rsidRPr="00545EC0">
        <w:rPr>
          <w:rFonts w:cs="Arial"/>
          <w:lang w:val="sl-SI"/>
        </w:rPr>
        <w:t xml:space="preserve">Za vodno telo podzemne vode Dravska kotlina je določeno slabo količinsko stanje (poglavje 3.2.1 tega načrta upravljanja voda). </w:t>
      </w:r>
      <w:r w:rsidR="00FA17FB" w:rsidRPr="00545EC0">
        <w:rPr>
          <w:rFonts w:cs="Arial"/>
          <w:lang w:val="sl-SI"/>
        </w:rPr>
        <w:t>R</w:t>
      </w:r>
      <w:r w:rsidR="00FA17FB" w:rsidRPr="00545EC0">
        <w:rPr>
          <w:lang w:val="sl-SI"/>
        </w:rPr>
        <w:t>ezultati</w:t>
      </w:r>
      <w:r w:rsidR="00774569" w:rsidRPr="00545EC0">
        <w:rPr>
          <w:lang w:val="sl-SI"/>
        </w:rPr>
        <w:t xml:space="preserve"> monitoringa</w:t>
      </w:r>
      <w:r w:rsidR="00FA17FB" w:rsidRPr="00545EC0">
        <w:rPr>
          <w:lang w:val="sl-SI"/>
        </w:rPr>
        <w:t xml:space="preserve"> stanja podzemne vode</w:t>
      </w:r>
      <w:r w:rsidR="00774569" w:rsidRPr="00545EC0">
        <w:rPr>
          <w:lang w:val="sl-SI"/>
        </w:rPr>
        <w:t xml:space="preserve"> kažejo na prekomerno onesnaženje vodnega telesa podzemne vode Dravska kotlina predvsem na južnem delu vodnega telesa</w:t>
      </w:r>
      <w:r w:rsidR="00720C99" w:rsidRPr="00545EC0">
        <w:rPr>
          <w:lang w:val="sl-SI"/>
        </w:rPr>
        <w:t>. Slabo količinsko stanje je ugotovljeno</w:t>
      </w:r>
      <w:r w:rsidR="00FA17FB" w:rsidRPr="00545EC0">
        <w:rPr>
          <w:lang w:val="sl-SI"/>
        </w:rPr>
        <w:t xml:space="preserve"> zaradi vdora vode </w:t>
      </w:r>
      <w:r w:rsidR="00FA17FB" w:rsidRPr="00545EC0">
        <w:rPr>
          <w:rFonts w:cs="Arial"/>
        </w:rPr>
        <w:t xml:space="preserve">slabše kakovosti v spodnji pliocenski </w:t>
      </w:r>
      <w:r w:rsidR="00720C99" w:rsidRPr="00545EC0">
        <w:rPr>
          <w:rFonts w:cs="Arial"/>
          <w:lang w:val="sl-SI"/>
        </w:rPr>
        <w:t xml:space="preserve">(t.i. globoki) </w:t>
      </w:r>
      <w:r w:rsidR="00FA17FB" w:rsidRPr="00545EC0">
        <w:rPr>
          <w:rFonts w:cs="Arial"/>
        </w:rPr>
        <w:t>vodonosnik</w:t>
      </w:r>
      <w:r w:rsidR="00FA17FB" w:rsidRPr="00545EC0">
        <w:rPr>
          <w:lang w:val="sl-SI"/>
        </w:rPr>
        <w:t>.</w:t>
      </w:r>
      <w:r w:rsidR="00774569" w:rsidRPr="00545EC0" w:rsidDel="007437B4">
        <w:rPr>
          <w:rFonts w:cs="Arial"/>
        </w:rPr>
        <w:t xml:space="preserve"> </w:t>
      </w:r>
      <w:r w:rsidR="00720C99" w:rsidRPr="00545EC0">
        <w:rPr>
          <w:rFonts w:cs="Arial"/>
          <w:lang w:val="sl-SI"/>
        </w:rPr>
        <w:t>Glede na razpoložljive strokovne podlage (GeoZS, 2018</w:t>
      </w:r>
      <w:r w:rsidR="00B916AD" w:rsidRPr="00545EC0">
        <w:rPr>
          <w:rFonts w:cs="Arial"/>
          <w:lang w:val="sl-SI"/>
        </w:rPr>
        <w:t>;</w:t>
      </w:r>
      <w:r w:rsidR="00720C99" w:rsidRPr="00545EC0">
        <w:rPr>
          <w:rFonts w:cs="Arial"/>
          <w:lang w:val="sl-SI"/>
        </w:rPr>
        <w:t xml:space="preserve"> ARSO</w:t>
      </w:r>
      <w:r w:rsidR="00B916AD" w:rsidRPr="00545EC0">
        <w:rPr>
          <w:rFonts w:cs="Arial"/>
          <w:lang w:val="sl-SI"/>
        </w:rPr>
        <w:t>,</w:t>
      </w:r>
      <w:r w:rsidR="00720C99" w:rsidRPr="00545EC0">
        <w:rPr>
          <w:rFonts w:cs="Arial"/>
          <w:lang w:val="sl-SI"/>
        </w:rPr>
        <w:t xml:space="preserve"> 2021</w:t>
      </w:r>
      <w:r w:rsidR="00E969BE" w:rsidRPr="00545EC0">
        <w:rPr>
          <w:rFonts w:cs="Arial"/>
          <w:lang w:val="sl-SI"/>
        </w:rPr>
        <w:t>b</w:t>
      </w:r>
      <w:r w:rsidR="00720C99" w:rsidRPr="00545EC0">
        <w:rPr>
          <w:rFonts w:cs="Arial"/>
          <w:lang w:val="sl-SI"/>
        </w:rPr>
        <w:t>) je</w:t>
      </w:r>
      <w:r w:rsidR="00110F1A" w:rsidRPr="00545EC0">
        <w:rPr>
          <w:rFonts w:cs="Arial"/>
        </w:rPr>
        <w:t xml:space="preserve"> </w:t>
      </w:r>
      <w:r w:rsidR="00720C99" w:rsidRPr="00545EC0">
        <w:rPr>
          <w:rFonts w:cs="Arial"/>
          <w:lang w:val="sl-SI"/>
        </w:rPr>
        <w:t xml:space="preserve">navedeno stanje posledica </w:t>
      </w:r>
      <w:r w:rsidR="00720C99" w:rsidRPr="00545EC0">
        <w:rPr>
          <w:szCs w:val="20"/>
          <w:lang w:val="sl-SI"/>
        </w:rPr>
        <w:t>naravne danosti geološke zgradbe v južnem delu Dravskega polja</w:t>
      </w:r>
      <w:r w:rsidR="000B651C" w:rsidRPr="00545EC0">
        <w:rPr>
          <w:szCs w:val="20"/>
          <w:lang w:val="sl-SI"/>
        </w:rPr>
        <w:t>, prekomerne onesnaženosti 1. vodonosnika (t.i. zgornjega plivega vodonosnika)</w:t>
      </w:r>
      <w:r w:rsidR="00720C99" w:rsidRPr="00545EC0">
        <w:rPr>
          <w:szCs w:val="20"/>
          <w:lang w:val="sl-SI"/>
        </w:rPr>
        <w:t xml:space="preserve"> in </w:t>
      </w:r>
      <w:r w:rsidR="00110F1A" w:rsidRPr="00545EC0">
        <w:rPr>
          <w:rFonts w:cs="Arial"/>
        </w:rPr>
        <w:t>črpanj</w:t>
      </w:r>
      <w:r w:rsidR="000B651C" w:rsidRPr="00545EC0">
        <w:rPr>
          <w:rFonts w:cs="Arial"/>
          <w:lang w:val="sl-SI"/>
        </w:rPr>
        <w:t>a</w:t>
      </w:r>
      <w:r w:rsidR="00110F1A" w:rsidRPr="00545EC0">
        <w:rPr>
          <w:rFonts w:cs="Arial"/>
        </w:rPr>
        <w:t xml:space="preserve"> podzemne vode iz </w:t>
      </w:r>
      <w:r w:rsidR="00A209DB" w:rsidRPr="00545EC0">
        <w:rPr>
          <w:rFonts w:cs="Arial"/>
          <w:lang w:val="sl-SI"/>
        </w:rPr>
        <w:t xml:space="preserve">2. vodonosnika (t.i. </w:t>
      </w:r>
      <w:r w:rsidR="00720C99" w:rsidRPr="00545EC0">
        <w:rPr>
          <w:rFonts w:cs="Arial"/>
        </w:rPr>
        <w:t>spodnj</w:t>
      </w:r>
      <w:r w:rsidR="00720C99" w:rsidRPr="00545EC0">
        <w:rPr>
          <w:rFonts w:cs="Arial"/>
          <w:lang w:val="sl-SI"/>
        </w:rPr>
        <w:t>ega</w:t>
      </w:r>
      <w:r w:rsidR="00720C99" w:rsidRPr="00545EC0">
        <w:rPr>
          <w:rFonts w:cs="Arial"/>
        </w:rPr>
        <w:t xml:space="preserve"> </w:t>
      </w:r>
      <w:r w:rsidR="00A209DB" w:rsidRPr="00545EC0">
        <w:rPr>
          <w:rFonts w:cs="Arial"/>
          <w:lang w:val="sl-SI"/>
        </w:rPr>
        <w:t>globokega</w:t>
      </w:r>
      <w:r w:rsidR="00720C99" w:rsidRPr="00545EC0">
        <w:rPr>
          <w:rFonts w:cs="Arial"/>
        </w:rPr>
        <w:t xml:space="preserve"> vodonosnik</w:t>
      </w:r>
      <w:r w:rsidR="00720C99" w:rsidRPr="00545EC0">
        <w:rPr>
          <w:rFonts w:cs="Arial"/>
          <w:lang w:val="sl-SI"/>
        </w:rPr>
        <w:t>a</w:t>
      </w:r>
      <w:r w:rsidR="00A209DB" w:rsidRPr="00545EC0">
        <w:rPr>
          <w:rFonts w:cs="Arial"/>
          <w:lang w:val="sl-SI"/>
        </w:rPr>
        <w:t>)</w:t>
      </w:r>
      <w:r w:rsidR="00110F1A" w:rsidRPr="00545EC0">
        <w:rPr>
          <w:rFonts w:cs="Arial"/>
        </w:rPr>
        <w:t>.</w:t>
      </w:r>
      <w:r w:rsidR="00720C99" w:rsidRPr="00545EC0">
        <w:rPr>
          <w:rFonts w:cs="Arial"/>
          <w:lang w:val="sl-SI"/>
        </w:rPr>
        <w:t xml:space="preserve"> </w:t>
      </w:r>
    </w:p>
    <w:p w14:paraId="5E0BE56D" w14:textId="6FB09B02" w:rsidR="00110F1A" w:rsidRPr="00545EC0" w:rsidRDefault="00E969BE" w:rsidP="00774569">
      <w:pPr>
        <w:pStyle w:val="Odstavekseznama"/>
        <w:spacing w:before="120" w:after="120"/>
        <w:ind w:left="0"/>
        <w:rPr>
          <w:rFonts w:cs="Arial"/>
        </w:rPr>
      </w:pPr>
      <w:r w:rsidRPr="00545EC0">
        <w:rPr>
          <w:rFonts w:cs="Arial"/>
          <w:lang w:val="sl-SI"/>
        </w:rPr>
        <w:t>Z</w:t>
      </w:r>
      <w:r w:rsidR="007437B4" w:rsidRPr="00545EC0">
        <w:rPr>
          <w:rFonts w:cs="Arial"/>
          <w:lang w:val="sl-SI"/>
        </w:rPr>
        <w:t xml:space="preserve">a oceno verjetnosti doseganja okoljskih ciljev </w:t>
      </w:r>
      <w:r w:rsidRPr="00545EC0">
        <w:rPr>
          <w:rFonts w:cs="Arial"/>
          <w:lang w:val="sl-SI"/>
        </w:rPr>
        <w:t xml:space="preserve">so </w:t>
      </w:r>
      <w:r w:rsidR="00110F1A" w:rsidRPr="00545EC0">
        <w:rPr>
          <w:rFonts w:cs="Arial"/>
        </w:rPr>
        <w:t xml:space="preserve">podrobneje </w:t>
      </w:r>
      <w:r w:rsidR="007437B4" w:rsidRPr="00545EC0">
        <w:rPr>
          <w:rFonts w:cs="Arial"/>
          <w:lang w:val="sl-SI"/>
        </w:rPr>
        <w:t>obravnavani</w:t>
      </w:r>
      <w:r w:rsidR="007437B4" w:rsidRPr="00545EC0">
        <w:rPr>
          <w:rFonts w:cs="Arial"/>
        </w:rPr>
        <w:t xml:space="preserve"> </w:t>
      </w:r>
      <w:r w:rsidR="00110F1A" w:rsidRPr="00545EC0">
        <w:rPr>
          <w:rFonts w:cs="Arial"/>
        </w:rPr>
        <w:t>napoved</w:t>
      </w:r>
      <w:r w:rsidR="007437B4" w:rsidRPr="00545EC0">
        <w:rPr>
          <w:rFonts w:cs="Arial"/>
          <w:lang w:val="sl-SI"/>
        </w:rPr>
        <w:t>ani</w:t>
      </w:r>
      <w:r w:rsidR="00110F1A" w:rsidRPr="00545EC0">
        <w:rPr>
          <w:rFonts w:cs="Arial"/>
        </w:rPr>
        <w:t xml:space="preserve"> trend</w:t>
      </w:r>
      <w:r w:rsidR="007437B4" w:rsidRPr="00545EC0">
        <w:rPr>
          <w:rFonts w:cs="Arial"/>
          <w:lang w:val="sl-SI"/>
        </w:rPr>
        <w:t>i</w:t>
      </w:r>
      <w:r w:rsidR="00110F1A" w:rsidRPr="00545EC0">
        <w:rPr>
          <w:rFonts w:cs="Arial"/>
        </w:rPr>
        <w:t xml:space="preserve"> za nitrat v </w:t>
      </w:r>
      <w:r w:rsidR="005C2399" w:rsidRPr="00545EC0">
        <w:rPr>
          <w:rFonts w:cs="Arial"/>
          <w:lang w:val="sl-SI"/>
        </w:rPr>
        <w:t>2. vodonosniku (</w:t>
      </w:r>
      <w:r w:rsidR="00562302" w:rsidRPr="00545EC0">
        <w:rPr>
          <w:rFonts w:cs="Arial"/>
          <w:lang w:val="sl-SI"/>
        </w:rPr>
        <w:t xml:space="preserve">poglavje 3.2.2.3 tega načrta upravljanja voda, </w:t>
      </w:r>
      <w:r w:rsidR="00562302" w:rsidRPr="00545EC0">
        <w:rPr>
          <w:rFonts w:cs="Arial"/>
          <w:lang w:val="sl-SI"/>
        </w:rPr>
        <w:fldChar w:fldCharType="begin"/>
      </w:r>
      <w:r w:rsidR="00562302" w:rsidRPr="00545EC0">
        <w:rPr>
          <w:rFonts w:cs="Arial"/>
          <w:lang w:val="sl-SI"/>
        </w:rPr>
        <w:instrText xml:space="preserve"> REF _Ref75767191 \h </w:instrText>
      </w:r>
      <w:r w:rsidR="003122F4" w:rsidRPr="00545EC0">
        <w:rPr>
          <w:rFonts w:cs="Arial"/>
          <w:lang w:val="sl-SI"/>
        </w:rPr>
        <w:instrText xml:space="preserve"> \* MERGEFORMAT </w:instrText>
      </w:r>
      <w:r w:rsidR="00562302" w:rsidRPr="00545EC0">
        <w:rPr>
          <w:rFonts w:cs="Arial"/>
          <w:lang w:val="sl-SI"/>
        </w:rPr>
      </w:r>
      <w:r w:rsidR="00562302" w:rsidRPr="00545EC0">
        <w:rPr>
          <w:rFonts w:cs="Arial"/>
          <w:lang w:val="sl-SI"/>
        </w:rPr>
        <w:fldChar w:fldCharType="separate"/>
      </w:r>
      <w:r w:rsidR="002F3E43" w:rsidRPr="00545EC0">
        <w:t xml:space="preserve">Slika </w:t>
      </w:r>
      <w:r w:rsidR="002F3E43">
        <w:rPr>
          <w:noProof/>
        </w:rPr>
        <w:t>3</w:t>
      </w:r>
      <w:r w:rsidR="002F3E43" w:rsidRPr="00545EC0">
        <w:rPr>
          <w:noProof/>
        </w:rPr>
        <w:noBreakHyphen/>
      </w:r>
      <w:r w:rsidR="002F3E43">
        <w:rPr>
          <w:noProof/>
        </w:rPr>
        <w:t>11</w:t>
      </w:r>
      <w:r w:rsidR="00562302" w:rsidRPr="00545EC0">
        <w:rPr>
          <w:rFonts w:cs="Arial"/>
          <w:lang w:val="sl-SI"/>
        </w:rPr>
        <w:fldChar w:fldCharType="end"/>
      </w:r>
      <w:r w:rsidRPr="00545EC0">
        <w:rPr>
          <w:rFonts w:cs="Arial"/>
          <w:lang w:val="sl-SI"/>
        </w:rPr>
        <w:t>)</w:t>
      </w:r>
      <w:r w:rsidR="00110F1A" w:rsidRPr="00545EC0">
        <w:rPr>
          <w:rFonts w:cs="Arial"/>
        </w:rPr>
        <w:t xml:space="preserve">, trend črpanja podzemne vode </w:t>
      </w:r>
      <w:r w:rsidR="00774569" w:rsidRPr="00545EC0">
        <w:rPr>
          <w:rFonts w:cs="Arial"/>
          <w:lang w:val="sl-SI"/>
        </w:rPr>
        <w:t>s poudarkom na južnem delu vodnega telesa podzemne vode</w:t>
      </w:r>
      <w:r w:rsidR="00FA17FB" w:rsidRPr="00545EC0">
        <w:rPr>
          <w:rFonts w:cs="Arial"/>
          <w:lang w:val="sl-SI"/>
        </w:rPr>
        <w:t xml:space="preserve"> Dravska kotlina</w:t>
      </w:r>
      <w:r w:rsidR="00774569" w:rsidRPr="00545EC0">
        <w:rPr>
          <w:rFonts w:cs="Arial"/>
          <w:lang w:val="sl-SI"/>
        </w:rPr>
        <w:t xml:space="preserve"> </w:t>
      </w:r>
      <w:r w:rsidR="00110F1A" w:rsidRPr="00545EC0">
        <w:rPr>
          <w:rFonts w:cs="Arial"/>
        </w:rPr>
        <w:t>in ukrep</w:t>
      </w:r>
      <w:r w:rsidR="005C2399" w:rsidRPr="00545EC0">
        <w:rPr>
          <w:rFonts w:cs="Arial"/>
          <w:lang w:val="sl-SI"/>
        </w:rPr>
        <w:t xml:space="preserve">i </w:t>
      </w:r>
      <w:r w:rsidR="00131AAD" w:rsidRPr="00545EC0">
        <w:rPr>
          <w:rFonts w:cs="Arial"/>
          <w:lang w:val="sl-SI"/>
        </w:rPr>
        <w:t xml:space="preserve">za zmanjševanja obremenjevanja voda, </w:t>
      </w:r>
      <w:r w:rsidR="00110F1A" w:rsidRPr="00545EC0">
        <w:rPr>
          <w:rFonts w:cs="Arial"/>
        </w:rPr>
        <w:t>ki s</w:t>
      </w:r>
      <w:r w:rsidRPr="00545EC0">
        <w:rPr>
          <w:rFonts w:cs="Arial"/>
          <w:lang w:val="sl-SI"/>
        </w:rPr>
        <w:t>e</w:t>
      </w:r>
      <w:r w:rsidR="00110F1A" w:rsidRPr="00545EC0">
        <w:rPr>
          <w:rFonts w:cs="Arial"/>
        </w:rPr>
        <w:t xml:space="preserve"> na tem območju</w:t>
      </w:r>
      <w:r w:rsidR="00774569" w:rsidRPr="00545EC0">
        <w:rPr>
          <w:rFonts w:cs="Arial"/>
          <w:lang w:val="sl-SI"/>
        </w:rPr>
        <w:t xml:space="preserve"> izvajajo</w:t>
      </w:r>
      <w:r w:rsidR="00110F1A" w:rsidRPr="00545EC0">
        <w:rPr>
          <w:rFonts w:cs="Arial"/>
        </w:rPr>
        <w:t>.</w:t>
      </w:r>
    </w:p>
    <w:p w14:paraId="0F88FEE1" w14:textId="65379CC0" w:rsidR="00131AAD" w:rsidRPr="00545EC0" w:rsidRDefault="00110F1A" w:rsidP="00D5428C">
      <w:pPr>
        <w:pStyle w:val="Odstavekseznama"/>
        <w:spacing w:before="120" w:after="120"/>
        <w:ind w:left="0"/>
        <w:rPr>
          <w:rFonts w:cs="Arial"/>
          <w:lang w:val="sl-SI"/>
        </w:rPr>
      </w:pPr>
      <w:r w:rsidRPr="00545EC0">
        <w:rPr>
          <w:rFonts w:cs="Arial"/>
        </w:rPr>
        <w:lastRenderedPageBreak/>
        <w:t>Podatki o letnih odvzemih podzemne vode</w:t>
      </w:r>
      <w:r w:rsidR="00796403" w:rsidRPr="00545EC0">
        <w:rPr>
          <w:rFonts w:cs="Arial"/>
          <w:lang w:val="sl-SI"/>
        </w:rPr>
        <w:t>,</w:t>
      </w:r>
      <w:r w:rsidRPr="00545EC0">
        <w:rPr>
          <w:rFonts w:cs="Arial"/>
        </w:rPr>
        <w:t xml:space="preserve"> </w:t>
      </w:r>
      <w:r w:rsidR="007437B4" w:rsidRPr="00545EC0">
        <w:rPr>
          <w:rFonts w:cs="Arial"/>
          <w:lang w:val="sl-SI"/>
        </w:rPr>
        <w:t xml:space="preserve">upoštevajoč </w:t>
      </w:r>
      <w:r w:rsidRPr="00545EC0">
        <w:rPr>
          <w:rFonts w:cs="Arial"/>
        </w:rPr>
        <w:t>vodna povračila za obdobje 2010 do 2019 na območju črpališča Skorba</w:t>
      </w:r>
      <w:r w:rsidR="00E969BE" w:rsidRPr="00545EC0">
        <w:rPr>
          <w:rFonts w:cs="Arial"/>
          <w:lang w:val="sl-SI"/>
        </w:rPr>
        <w:t xml:space="preserve"> </w:t>
      </w:r>
      <w:r w:rsidR="00E969BE" w:rsidRPr="00545EC0">
        <w:rPr>
          <w:rFonts w:cs="Arial"/>
        </w:rPr>
        <w:t>(</w:t>
      </w:r>
      <w:r w:rsidR="00E969BE" w:rsidRPr="00545EC0">
        <w:rPr>
          <w:rFonts w:cs="Arial"/>
        </w:rPr>
        <w:fldChar w:fldCharType="begin"/>
      </w:r>
      <w:r w:rsidR="00E969BE" w:rsidRPr="00545EC0">
        <w:rPr>
          <w:rFonts w:cs="Arial"/>
        </w:rPr>
        <w:instrText xml:space="preserve"> REF _Ref84340652 \h  \* MERGEFORMAT </w:instrText>
      </w:r>
      <w:r w:rsidR="00E969BE" w:rsidRPr="00545EC0">
        <w:rPr>
          <w:rFonts w:cs="Arial"/>
        </w:rPr>
      </w:r>
      <w:r w:rsidR="00E969BE" w:rsidRPr="00545EC0">
        <w:rPr>
          <w:rFonts w:cs="Arial"/>
        </w:rPr>
        <w:fldChar w:fldCharType="separate"/>
      </w:r>
      <w:r w:rsidR="002F3E43" w:rsidRPr="00545EC0">
        <w:t xml:space="preserve">Slika </w:t>
      </w:r>
      <w:r w:rsidR="002F3E43">
        <w:rPr>
          <w:noProof/>
        </w:rPr>
        <w:t>2</w:t>
      </w:r>
      <w:r w:rsidR="002F3E43" w:rsidRPr="00545EC0">
        <w:rPr>
          <w:noProof/>
        </w:rPr>
        <w:noBreakHyphen/>
      </w:r>
      <w:r w:rsidR="002F3E43">
        <w:rPr>
          <w:noProof/>
        </w:rPr>
        <w:t>42</w:t>
      </w:r>
      <w:r w:rsidR="00E969BE" w:rsidRPr="00545EC0">
        <w:rPr>
          <w:rFonts w:cs="Arial"/>
        </w:rPr>
        <w:fldChar w:fldCharType="end"/>
      </w:r>
      <w:r w:rsidR="00E969BE" w:rsidRPr="00545EC0">
        <w:rPr>
          <w:rFonts w:cs="Arial"/>
          <w:lang w:val="sl-SI"/>
        </w:rPr>
        <w:t>)</w:t>
      </w:r>
      <w:r w:rsidRPr="00545EC0">
        <w:rPr>
          <w:rFonts w:cs="Arial"/>
        </w:rPr>
        <w:t xml:space="preserve">, </w:t>
      </w:r>
      <w:r w:rsidR="0028117D" w:rsidRPr="00545EC0">
        <w:rPr>
          <w:rFonts w:cs="Arial"/>
          <w:lang w:val="sl-SI"/>
        </w:rPr>
        <w:t xml:space="preserve">ki leži </w:t>
      </w:r>
      <w:r w:rsidR="0028117D" w:rsidRPr="00545EC0">
        <w:rPr>
          <w:lang w:val="sl-SI"/>
        </w:rPr>
        <w:t>južnem delu vodnega telesa</w:t>
      </w:r>
      <w:r w:rsidR="0028117D" w:rsidRPr="00545EC0">
        <w:rPr>
          <w:rFonts w:cs="Arial"/>
          <w:lang w:val="sl-SI"/>
        </w:rPr>
        <w:t xml:space="preserve"> Dravska kotlina in </w:t>
      </w:r>
      <w:r w:rsidRPr="00545EC0">
        <w:rPr>
          <w:rFonts w:cs="Arial"/>
        </w:rPr>
        <w:t xml:space="preserve">kjer prihaja do vdora onesnažene podzemne vode v </w:t>
      </w:r>
      <w:r w:rsidR="005C2399" w:rsidRPr="00545EC0">
        <w:rPr>
          <w:rFonts w:cs="Arial"/>
          <w:lang w:val="sl-SI"/>
        </w:rPr>
        <w:t xml:space="preserve">2. vodonosnik (t.i. </w:t>
      </w:r>
      <w:r w:rsidR="00E969BE" w:rsidRPr="00545EC0">
        <w:rPr>
          <w:rFonts w:cs="Arial"/>
          <w:lang w:val="sl-SI"/>
        </w:rPr>
        <w:t xml:space="preserve">spodnji </w:t>
      </w:r>
      <w:r w:rsidR="005C2399" w:rsidRPr="00545EC0">
        <w:rPr>
          <w:rFonts w:cs="Arial"/>
          <w:lang w:val="sl-SI"/>
        </w:rPr>
        <w:t>globoki</w:t>
      </w:r>
      <w:r w:rsidR="00E969BE" w:rsidRPr="00545EC0">
        <w:rPr>
          <w:rFonts w:cs="Arial"/>
          <w:lang w:val="sl-SI"/>
        </w:rPr>
        <w:t xml:space="preserve"> </w:t>
      </w:r>
      <w:r w:rsidRPr="00545EC0">
        <w:rPr>
          <w:rFonts w:cs="Arial"/>
        </w:rPr>
        <w:t>vodonosnik</w:t>
      </w:r>
      <w:r w:rsidR="005C2399" w:rsidRPr="00545EC0">
        <w:rPr>
          <w:rFonts w:cs="Arial"/>
          <w:lang w:val="sl-SI"/>
        </w:rPr>
        <w:t>)</w:t>
      </w:r>
      <w:r w:rsidRPr="00545EC0">
        <w:rPr>
          <w:rFonts w:cs="Arial"/>
        </w:rPr>
        <w:t xml:space="preserve">, kažejo na povečanje črpanja podzemne vode iz </w:t>
      </w:r>
      <w:r w:rsidR="00E969BE" w:rsidRPr="00545EC0">
        <w:rPr>
          <w:rFonts w:cs="Arial"/>
          <w:lang w:val="sl-SI"/>
        </w:rPr>
        <w:t>tega</w:t>
      </w:r>
      <w:r w:rsidR="0028117D" w:rsidRPr="00545EC0">
        <w:rPr>
          <w:rFonts w:cs="Arial"/>
          <w:lang w:val="sl-SI"/>
        </w:rPr>
        <w:t xml:space="preserve"> vodonosnika</w:t>
      </w:r>
      <w:r w:rsidR="00E969BE" w:rsidRPr="00545EC0">
        <w:rPr>
          <w:rFonts w:cs="Arial"/>
          <w:lang w:val="sl-SI"/>
        </w:rPr>
        <w:t xml:space="preserve">. Navedeno je posledica odvzema vode iz dveh </w:t>
      </w:r>
      <w:r w:rsidR="00E969BE" w:rsidRPr="00545EC0">
        <w:rPr>
          <w:rFonts w:cs="Arial"/>
        </w:rPr>
        <w:t>novih globokih vodnjakov</w:t>
      </w:r>
      <w:r w:rsidR="00E969BE" w:rsidRPr="00545EC0" w:rsidDel="00E969BE">
        <w:rPr>
          <w:rFonts w:cs="Arial"/>
        </w:rPr>
        <w:t xml:space="preserve"> </w:t>
      </w:r>
      <w:r w:rsidR="00E969BE" w:rsidRPr="00545EC0">
        <w:rPr>
          <w:rFonts w:cs="Arial"/>
          <w:lang w:val="sl-SI"/>
        </w:rPr>
        <w:t>v letu 2019</w:t>
      </w:r>
      <w:r w:rsidRPr="00545EC0">
        <w:rPr>
          <w:rFonts w:cs="Arial"/>
        </w:rPr>
        <w:t xml:space="preserve">. </w:t>
      </w:r>
      <w:r w:rsidR="00435050" w:rsidRPr="00545EC0">
        <w:rPr>
          <w:rFonts w:cs="Arial"/>
          <w:lang w:val="sl-SI"/>
        </w:rPr>
        <w:t>Temeljn</w:t>
      </w:r>
      <w:r w:rsidR="00796403" w:rsidRPr="00545EC0">
        <w:rPr>
          <w:rFonts w:cs="Arial"/>
          <w:lang w:val="sl-SI"/>
        </w:rPr>
        <w:t>i</w:t>
      </w:r>
      <w:r w:rsidR="00435050" w:rsidRPr="00545EC0">
        <w:rPr>
          <w:rFonts w:cs="Arial"/>
          <w:lang w:val="sl-SI"/>
        </w:rPr>
        <w:t xml:space="preserve"> ukrepi na področju zmanjševanja in preprečevanja onesnaževanja voda sestavljajo ukrepi za področje onesnaževanja iz industrijskih virov, kmetijskih virov ter onesnaževanja voda zaradi poselitve. Za slednje se n</w:t>
      </w:r>
      <w:r w:rsidR="00131AAD" w:rsidRPr="00545EC0">
        <w:rPr>
          <w:rFonts w:cs="Arial"/>
          <w:lang w:val="sl-SI"/>
        </w:rPr>
        <w:t xml:space="preserve">a podlagi podatkov, ki jih v IJSVO poročajo izvajalci javne službe </w:t>
      </w:r>
      <w:r w:rsidR="00435050" w:rsidRPr="00545EC0">
        <w:rPr>
          <w:rFonts w:cs="Arial"/>
          <w:lang w:val="sl-SI"/>
        </w:rPr>
        <w:t>kaže</w:t>
      </w:r>
      <w:r w:rsidR="00131AAD" w:rsidRPr="00545EC0">
        <w:rPr>
          <w:rFonts w:cs="Arial"/>
          <w:lang w:val="sl-SI"/>
        </w:rPr>
        <w:t>, da se stopnja priključenosti na javno kanalizacijsko omrežje z leti povečuje. Glede na navedeno se na vodnem telesu podzemne vode Dravske kotline stopnja obremenjevanja zaradi emisij komunalne odpadne vode z leti zmanjšuje.</w:t>
      </w:r>
    </w:p>
    <w:p w14:paraId="0DC7E6BC" w14:textId="48EB7258" w:rsidR="00A264BA" w:rsidRPr="00545EC0" w:rsidRDefault="00131AAD" w:rsidP="00A264BA">
      <w:pPr>
        <w:rPr>
          <w:rFonts w:cs="Arial"/>
          <w:i/>
          <w:lang w:eastAsia="pl-PL"/>
        </w:rPr>
      </w:pPr>
      <w:r w:rsidRPr="00545EC0">
        <w:rPr>
          <w:rFonts w:cs="Arial"/>
        </w:rPr>
        <w:t>Na podlagi navedenega je ocenjeno, da okoljskih cilji glede količinskega stanja na vodnem telesu podzemne vode VTPodV Dravska kotlina</w:t>
      </w:r>
      <w:r w:rsidRPr="00545EC0" w:rsidDel="0028117D">
        <w:rPr>
          <w:rFonts w:cs="Arial"/>
        </w:rPr>
        <w:t xml:space="preserve"> </w:t>
      </w:r>
      <w:r w:rsidR="005C2399" w:rsidRPr="00545EC0">
        <w:rPr>
          <w:rFonts w:cs="Arial"/>
        </w:rPr>
        <w:t xml:space="preserve">do leta 2027 </w:t>
      </w:r>
      <w:r w:rsidRPr="00545EC0">
        <w:rPr>
          <w:rFonts w:cs="Arial"/>
        </w:rPr>
        <w:t>morda bodo ali morda ne bodo doseženi.</w:t>
      </w:r>
      <w:r w:rsidR="00A264BA" w:rsidRPr="00545EC0">
        <w:rPr>
          <w:rFonts w:cs="Arial"/>
          <w:i/>
          <w:lang w:eastAsia="pl-PL"/>
        </w:rPr>
        <w:t xml:space="preserve"> (Publikacijska karta 9.8: Ocena verjetnosti doseganja okoljskih ciljev na VTPodV 2021- količinsko stanje)</w:t>
      </w:r>
    </w:p>
    <w:p w14:paraId="1F3C1E41" w14:textId="77777777" w:rsidR="0051602F" w:rsidRPr="00545EC0" w:rsidRDefault="0051602F" w:rsidP="00A264BA">
      <w:pPr>
        <w:rPr>
          <w:rFonts w:cs="Arial"/>
          <w:i/>
          <w:lang w:eastAsia="pl-PL"/>
        </w:rPr>
      </w:pPr>
    </w:p>
    <w:p w14:paraId="3433F82E" w14:textId="77777777" w:rsidR="005C45C4" w:rsidRPr="00545EC0" w:rsidRDefault="00110F1A" w:rsidP="005C45C4">
      <w:pPr>
        <w:pStyle w:val="Odstavekseznama"/>
        <w:keepNext/>
        <w:ind w:left="0"/>
      </w:pPr>
      <w:r w:rsidRPr="00545EC0">
        <w:rPr>
          <w:rFonts w:ascii="Calibri" w:hAnsi="Calibri"/>
          <w:b/>
          <w:noProof/>
          <w:lang w:val="sl-SI" w:eastAsia="sl-SI"/>
        </w:rPr>
        <w:drawing>
          <wp:inline distT="0" distB="0" distL="0" distR="0" wp14:anchorId="6916A020" wp14:editId="020BF5D5">
            <wp:extent cx="5029200" cy="3301673"/>
            <wp:effectExtent l="19050" t="19050" r="19050" b="13335"/>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62527" cy="3323552"/>
                    </a:xfrm>
                    <a:prstGeom prst="rect">
                      <a:avLst/>
                    </a:prstGeom>
                    <a:noFill/>
                    <a:ln>
                      <a:solidFill>
                        <a:schemeClr val="bg1">
                          <a:lumMod val="85000"/>
                        </a:schemeClr>
                      </a:solidFill>
                    </a:ln>
                  </pic:spPr>
                </pic:pic>
              </a:graphicData>
            </a:graphic>
          </wp:inline>
        </w:drawing>
      </w:r>
    </w:p>
    <w:p w14:paraId="7F12D746" w14:textId="54CBAAC7" w:rsidR="00110F1A" w:rsidRPr="00545EC0" w:rsidRDefault="005C45C4" w:rsidP="0051602F">
      <w:pPr>
        <w:rPr>
          <w:rFonts w:cs="Arial"/>
          <w:bCs/>
          <w:i/>
          <w:szCs w:val="18"/>
        </w:rPr>
      </w:pPr>
      <w:bookmarkStart w:id="364" w:name="_Ref84340652"/>
      <w:r w:rsidRPr="00545EC0">
        <w:t xml:space="preserve">Slika </w:t>
      </w:r>
      <w:fldSimple w:instr=" STYLEREF 1 \s ">
        <w:r w:rsidR="002F3E43">
          <w:rPr>
            <w:noProof/>
          </w:rPr>
          <w:t>2</w:t>
        </w:r>
      </w:fldSimple>
      <w:r w:rsidR="00396E1E" w:rsidRPr="00545EC0">
        <w:noBreakHyphen/>
      </w:r>
      <w:fldSimple w:instr=" SEQ Slika \* ARABIC \s 1 ">
        <w:r w:rsidR="002F3E43">
          <w:rPr>
            <w:noProof/>
          </w:rPr>
          <w:t>42</w:t>
        </w:r>
      </w:fldSimple>
      <w:bookmarkEnd w:id="364"/>
      <w:r w:rsidRPr="00545EC0">
        <w:rPr>
          <w:rFonts w:cs="Arial"/>
          <w:bCs/>
          <w:i/>
          <w:szCs w:val="18"/>
        </w:rPr>
        <w:t>: Letni odvzem podzemne vode na območju črpališča Skorba iz plitkih in globokih vodnjakov na osnovi vodnih povračil (DRSV, 2020).</w:t>
      </w:r>
    </w:p>
    <w:p w14:paraId="2215CC2E" w14:textId="77777777" w:rsidR="00110F1A" w:rsidRPr="00545EC0" w:rsidRDefault="00110F1A" w:rsidP="00110F1A">
      <w:pPr>
        <w:pStyle w:val="Odstavekseznama"/>
        <w:ind w:left="0"/>
        <w:rPr>
          <w:lang w:val="sl-SI"/>
        </w:rPr>
      </w:pPr>
    </w:p>
    <w:bookmarkEnd w:id="355"/>
    <w:bookmarkEnd w:id="356"/>
    <w:p w14:paraId="75DB0DF4" w14:textId="77777777" w:rsidR="00BD39F6" w:rsidRPr="00545EC0" w:rsidRDefault="00BD39F6" w:rsidP="00BD39F6">
      <w:pPr>
        <w:pStyle w:val="podnaslov0"/>
      </w:pPr>
      <w:r w:rsidRPr="00545EC0">
        <w:t>Nadaljnji opis značilnosti vodnih teles s tveganjem za doseganje okoljskih ciljev</w:t>
      </w:r>
    </w:p>
    <w:p w14:paraId="721B3C5F" w14:textId="77777777" w:rsidR="00597134" w:rsidRPr="00545EC0" w:rsidRDefault="00597134" w:rsidP="00D5428C">
      <w:pPr>
        <w:pStyle w:val="Odstavekseznama"/>
        <w:ind w:left="0"/>
        <w:rPr>
          <w:rFonts w:cs="Arial"/>
          <w:lang w:val="sl-SI"/>
        </w:rPr>
      </w:pPr>
      <w:r w:rsidRPr="00545EC0">
        <w:rPr>
          <w:rFonts w:cs="Arial"/>
          <w:lang w:val="sl-SI"/>
        </w:rPr>
        <w:t xml:space="preserve">Osnova za nadaljnjo opredelitev je Metodologija za izdelavo konceptualnih modelov vodnih teles podzemne vode. Metodologija temelji na določanju potenciala virov podzemne vode. Potencial vira podzemne vode je opredeljen po njegovem ohranjanju, dosegljivosti, izkoristljivosti, razpoložljivosti in primernosti: </w:t>
      </w:r>
    </w:p>
    <w:p w14:paraId="19E80785" w14:textId="77777777" w:rsidR="00597134" w:rsidRPr="00545EC0" w:rsidRDefault="00597134" w:rsidP="00DD37C5">
      <w:pPr>
        <w:pStyle w:val="Odstavekseznama"/>
        <w:numPr>
          <w:ilvl w:val="0"/>
          <w:numId w:val="28"/>
        </w:numPr>
        <w:tabs>
          <w:tab w:val="center" w:pos="709"/>
        </w:tabs>
        <w:overflowPunct/>
        <w:autoSpaceDE/>
        <w:autoSpaceDN/>
        <w:adjustRightInd/>
        <w:ind w:hanging="578"/>
        <w:contextualSpacing/>
        <w:jc w:val="left"/>
        <w:textAlignment w:val="auto"/>
        <w:rPr>
          <w:rFonts w:cs="Arial"/>
          <w:lang w:val="sl-SI"/>
        </w:rPr>
      </w:pPr>
      <w:r w:rsidRPr="00545EC0">
        <w:rPr>
          <w:rFonts w:cs="Arial"/>
          <w:lang w:val="sl-SI"/>
        </w:rPr>
        <w:t>ohranjanje podzemne vode, ki ga opredeljuje obseg in velikost, značilnosti geoloških enot na površini, strukturnih enot, hidrodinamske meje vodnega telesa, stratifikacija podzemne vode v vodnem telesu podzemne vode in območja s posebnimi zahtevami;</w:t>
      </w:r>
    </w:p>
    <w:p w14:paraId="7575284B" w14:textId="77777777" w:rsidR="00597134" w:rsidRPr="00545EC0" w:rsidRDefault="00597134" w:rsidP="00DD37C5">
      <w:pPr>
        <w:pStyle w:val="Odstavekseznama"/>
        <w:numPr>
          <w:ilvl w:val="0"/>
          <w:numId w:val="28"/>
        </w:numPr>
        <w:tabs>
          <w:tab w:val="center" w:pos="709"/>
        </w:tabs>
        <w:overflowPunct/>
        <w:autoSpaceDE/>
        <w:autoSpaceDN/>
        <w:adjustRightInd/>
        <w:ind w:hanging="578"/>
        <w:contextualSpacing/>
        <w:jc w:val="left"/>
        <w:textAlignment w:val="auto"/>
        <w:rPr>
          <w:rFonts w:cs="Arial"/>
          <w:lang w:val="sl-SI"/>
        </w:rPr>
      </w:pPr>
      <w:r w:rsidRPr="00545EC0">
        <w:rPr>
          <w:rFonts w:cs="Arial"/>
          <w:lang w:val="sl-SI"/>
        </w:rPr>
        <w:t>dosegljivost podzemne vode, ki jo opredeljuje globina do podzemne vode v vodnem telesu podzemne vode;</w:t>
      </w:r>
    </w:p>
    <w:p w14:paraId="2A97C12E" w14:textId="2D86C942" w:rsidR="00597134" w:rsidRPr="00545EC0" w:rsidRDefault="00597134" w:rsidP="00DD37C5">
      <w:pPr>
        <w:pStyle w:val="Odstavekseznama"/>
        <w:numPr>
          <w:ilvl w:val="0"/>
          <w:numId w:val="28"/>
        </w:numPr>
        <w:tabs>
          <w:tab w:val="center" w:pos="709"/>
        </w:tabs>
        <w:overflowPunct/>
        <w:autoSpaceDE/>
        <w:autoSpaceDN/>
        <w:adjustRightInd/>
        <w:ind w:hanging="578"/>
        <w:contextualSpacing/>
        <w:textAlignment w:val="auto"/>
        <w:rPr>
          <w:rFonts w:cs="Arial"/>
          <w:lang w:val="sl-SI" w:eastAsia="sl-SI"/>
        </w:rPr>
      </w:pPr>
      <w:r w:rsidRPr="00545EC0">
        <w:rPr>
          <w:lang w:val="sl-SI"/>
        </w:rPr>
        <w:lastRenderedPageBreak/>
        <w:t xml:space="preserve">razpoložljivost podzemne vode, ki je v </w:t>
      </w:r>
      <w:r w:rsidR="00B37560" w:rsidRPr="00545EC0">
        <w:rPr>
          <w:lang w:val="sl-SI"/>
        </w:rPr>
        <w:t>vodni direktivi</w:t>
      </w:r>
      <w:r w:rsidRPr="00545EC0">
        <w:rPr>
          <w:lang w:val="sl-SI"/>
        </w:rPr>
        <w:t xml:space="preserve"> opredeljena glede na </w:t>
      </w:r>
      <w:r w:rsidRPr="00545EC0">
        <w:rPr>
          <w:rFonts w:cs="Arial"/>
          <w:lang w:val="sl-SI"/>
        </w:rPr>
        <w:t>dolgoročni letni pretok, potreben, da se dosežejo cilji ekološke kakovosti za z njim povezane površinske vode, tako da se prepreči kakršno koli pomembno poslabšanje ekološkega stanja teh voda in kakršna koli pomembna škoda na kopenskih ekosistemih, ki so z njim povezani;</w:t>
      </w:r>
    </w:p>
    <w:p w14:paraId="1ADAC5F9" w14:textId="77777777" w:rsidR="00597134" w:rsidRPr="00545EC0" w:rsidRDefault="00597134" w:rsidP="00DD37C5">
      <w:pPr>
        <w:pStyle w:val="Odstavekseznama"/>
        <w:numPr>
          <w:ilvl w:val="0"/>
          <w:numId w:val="28"/>
        </w:numPr>
        <w:tabs>
          <w:tab w:val="center" w:pos="709"/>
        </w:tabs>
        <w:overflowPunct/>
        <w:autoSpaceDE/>
        <w:autoSpaceDN/>
        <w:adjustRightInd/>
        <w:ind w:hanging="578"/>
        <w:contextualSpacing/>
        <w:jc w:val="left"/>
        <w:textAlignment w:val="auto"/>
        <w:rPr>
          <w:rFonts w:cs="Arial"/>
          <w:lang w:val="sl-SI"/>
        </w:rPr>
      </w:pPr>
      <w:r w:rsidRPr="00545EC0">
        <w:rPr>
          <w:rFonts w:cs="Arial"/>
          <w:lang w:val="sl-SI"/>
        </w:rPr>
        <w:t>obnavljanje podzemne vode, ki ga opredeljuje učinkovita infiltracija padavin;</w:t>
      </w:r>
    </w:p>
    <w:p w14:paraId="55E9A724" w14:textId="77777777" w:rsidR="00597134" w:rsidRPr="00545EC0" w:rsidRDefault="00597134" w:rsidP="00DD37C5">
      <w:pPr>
        <w:pStyle w:val="Odstavekseznama"/>
        <w:numPr>
          <w:ilvl w:val="0"/>
          <w:numId w:val="28"/>
        </w:numPr>
        <w:tabs>
          <w:tab w:val="center" w:pos="709"/>
        </w:tabs>
        <w:overflowPunct/>
        <w:autoSpaceDE/>
        <w:autoSpaceDN/>
        <w:adjustRightInd/>
        <w:ind w:hanging="578"/>
        <w:contextualSpacing/>
        <w:jc w:val="left"/>
        <w:textAlignment w:val="auto"/>
        <w:rPr>
          <w:rFonts w:cs="Arial"/>
          <w:lang w:val="sl-SI"/>
        </w:rPr>
      </w:pPr>
      <w:r w:rsidRPr="00545EC0">
        <w:rPr>
          <w:rFonts w:cs="Arial"/>
          <w:lang w:val="sl-SI"/>
        </w:rPr>
        <w:t>primernost podzemne vode s kakovostjo in naravnim ozadjem podzemne vode v vodnem telesu podzemne vode;</w:t>
      </w:r>
    </w:p>
    <w:p w14:paraId="7FBDE711" w14:textId="77777777" w:rsidR="00597134" w:rsidRPr="00545EC0" w:rsidRDefault="00597134" w:rsidP="00DD37C5">
      <w:pPr>
        <w:pStyle w:val="Odstavekseznama"/>
        <w:numPr>
          <w:ilvl w:val="0"/>
          <w:numId w:val="28"/>
        </w:numPr>
        <w:tabs>
          <w:tab w:val="center" w:pos="709"/>
        </w:tabs>
        <w:overflowPunct/>
        <w:autoSpaceDE/>
        <w:autoSpaceDN/>
        <w:adjustRightInd/>
        <w:ind w:hanging="578"/>
        <w:contextualSpacing/>
        <w:jc w:val="left"/>
        <w:textAlignment w:val="auto"/>
        <w:rPr>
          <w:rFonts w:cs="Arial"/>
          <w:lang w:val="sl-SI"/>
        </w:rPr>
      </w:pPr>
      <w:r w:rsidRPr="00545EC0">
        <w:rPr>
          <w:rFonts w:cs="Arial"/>
          <w:lang w:val="sl-SI"/>
        </w:rPr>
        <w:t>ranljivost podzemne vode, ki jo določajo predvsem naravne hidrogeološke lastnosti (predvsem prepustnost in poroznost);</w:t>
      </w:r>
    </w:p>
    <w:p w14:paraId="335672F5" w14:textId="77777777" w:rsidR="00597134" w:rsidRPr="00545EC0" w:rsidRDefault="00597134" w:rsidP="00DD37C5">
      <w:pPr>
        <w:pStyle w:val="Odstavekseznama"/>
        <w:numPr>
          <w:ilvl w:val="0"/>
          <w:numId w:val="28"/>
        </w:numPr>
        <w:tabs>
          <w:tab w:val="center" w:pos="709"/>
        </w:tabs>
        <w:overflowPunct/>
        <w:autoSpaceDE/>
        <w:autoSpaceDN/>
        <w:adjustRightInd/>
        <w:ind w:hanging="578"/>
        <w:contextualSpacing/>
        <w:jc w:val="left"/>
        <w:textAlignment w:val="auto"/>
        <w:rPr>
          <w:rFonts w:cs="Arial"/>
          <w:lang w:val="sl-SI"/>
        </w:rPr>
      </w:pPr>
      <w:r w:rsidRPr="00545EC0">
        <w:rPr>
          <w:rFonts w:cs="Arial"/>
          <w:lang w:val="sl-SI"/>
        </w:rPr>
        <w:t>obremenitve na podzemno vodo, ki jih opredeljujejo točkovne in razpršene obremenitve ter modeliranje vplivov obremenitev.</w:t>
      </w:r>
    </w:p>
    <w:p w14:paraId="1684FD8B" w14:textId="77777777" w:rsidR="00597134" w:rsidRPr="00545EC0" w:rsidRDefault="00597134" w:rsidP="00D5428C">
      <w:pPr>
        <w:pStyle w:val="Odstavekseznama"/>
        <w:rPr>
          <w:rFonts w:cs="Arial"/>
          <w:lang w:val="sl-SI"/>
        </w:rPr>
      </w:pPr>
    </w:p>
    <w:p w14:paraId="127DDC89" w14:textId="6B594B1E" w:rsidR="007005E8" w:rsidRPr="00545EC0" w:rsidRDefault="00BC6CEF" w:rsidP="00D5428C">
      <w:pPr>
        <w:pStyle w:val="Odstavekseznama"/>
        <w:ind w:left="0"/>
        <w:rPr>
          <w:rFonts w:cs="Arial"/>
          <w:lang w:val="sl-SI"/>
        </w:rPr>
      </w:pPr>
      <w:r w:rsidRPr="00545EC0">
        <w:rPr>
          <w:rFonts w:cs="Arial"/>
          <w:lang w:val="sl-SI"/>
        </w:rPr>
        <w:t xml:space="preserve">Na </w:t>
      </w:r>
      <w:r w:rsidR="00B37560" w:rsidRPr="00545EC0">
        <w:rPr>
          <w:rFonts w:cs="Arial"/>
          <w:lang w:val="sl-SI"/>
        </w:rPr>
        <w:t>VO</w:t>
      </w:r>
      <w:r w:rsidR="00597134" w:rsidRPr="00545EC0">
        <w:rPr>
          <w:rFonts w:cs="Arial"/>
          <w:lang w:val="sl-SI"/>
        </w:rPr>
        <w:t xml:space="preserve"> Donave so bila na ozemlju Slovenije opredeljena tri vodna telesa podzemne vode (Savinjska kotlina, Dravska kotlina in Murska kotlina) kot telesa, za katera je utemeljeno ocenjeno, da je </w:t>
      </w:r>
      <w:r w:rsidRPr="00545EC0">
        <w:rPr>
          <w:rFonts w:cs="Arial"/>
          <w:lang w:val="sl-SI"/>
        </w:rPr>
        <w:t xml:space="preserve">bilo </w:t>
      </w:r>
      <w:r w:rsidR="00597134" w:rsidRPr="00545EC0">
        <w:rPr>
          <w:rFonts w:cs="Arial"/>
          <w:lang w:val="sl-SI"/>
        </w:rPr>
        <w:t xml:space="preserve">doseganje okoljskih ciljev do leta 2015 negotovo in da je </w:t>
      </w:r>
      <w:r w:rsidRPr="00545EC0">
        <w:rPr>
          <w:rFonts w:cs="Arial"/>
          <w:lang w:val="sl-SI"/>
        </w:rPr>
        <w:t xml:space="preserve">bila </w:t>
      </w:r>
      <w:r w:rsidR="00597134" w:rsidRPr="00545EC0">
        <w:rPr>
          <w:rFonts w:cs="Arial"/>
          <w:lang w:val="sl-SI"/>
        </w:rPr>
        <w:t>izvedljivost zaščitnih ukrepov, da bi bili okoljski cilji do leta 2015 z gotovostjo doseženi, vprašljiva.</w:t>
      </w:r>
      <w:r w:rsidRPr="00545EC0">
        <w:rPr>
          <w:rFonts w:cs="Arial"/>
          <w:lang w:val="sl-SI"/>
        </w:rPr>
        <w:t xml:space="preserve"> Za našteta vodna telesa so bile opredeljene izjeme doseganja okoljskih ciljev s podaljšanjem do leta 2027.</w:t>
      </w:r>
    </w:p>
    <w:p w14:paraId="79704A52" w14:textId="77777777" w:rsidR="000D541E" w:rsidRPr="00545EC0" w:rsidRDefault="000D541E" w:rsidP="00D5428C">
      <w:pPr>
        <w:pStyle w:val="podnaslov0"/>
        <w:rPr>
          <w:b w:val="0"/>
          <w:u w:val="single"/>
        </w:rPr>
      </w:pPr>
      <w:r w:rsidRPr="00545EC0">
        <w:rPr>
          <w:b w:val="0"/>
          <w:u w:val="single"/>
        </w:rPr>
        <w:t>VTPodV SAVINJSKA KOTLINA</w:t>
      </w:r>
    </w:p>
    <w:p w14:paraId="63E0379B" w14:textId="01F24439" w:rsidR="000D541E" w:rsidRPr="00545EC0" w:rsidRDefault="000D541E" w:rsidP="00D5428C">
      <w:pPr>
        <w:pStyle w:val="Odstavekseznama"/>
        <w:ind w:left="0"/>
        <w:rPr>
          <w:rFonts w:cs="Arial"/>
          <w:lang w:val="sl-SI"/>
        </w:rPr>
      </w:pPr>
      <w:r w:rsidRPr="00545EC0">
        <w:rPr>
          <w:rFonts w:cs="Arial"/>
          <w:lang w:val="sl-SI"/>
        </w:rPr>
        <w:t xml:space="preserve">VTPodV Savinjske kotline se nahaja </w:t>
      </w:r>
      <w:r w:rsidR="00BC6CEF" w:rsidRPr="00545EC0">
        <w:rPr>
          <w:rFonts w:cs="Arial"/>
          <w:lang w:val="sl-SI"/>
        </w:rPr>
        <w:t xml:space="preserve">samo </w:t>
      </w:r>
      <w:r w:rsidRPr="00545EC0">
        <w:rPr>
          <w:rFonts w:cs="Arial"/>
          <w:lang w:val="sl-SI"/>
        </w:rPr>
        <w:t xml:space="preserve">v enem pomembnem vodonosniku (1. vodonosnik). Stratifikacija vode po vodonosniku je pomembna le glede prezračenosti </w:t>
      </w:r>
      <w:r w:rsidR="00BC6CEF" w:rsidRPr="00545EC0">
        <w:rPr>
          <w:rFonts w:cs="Arial"/>
          <w:lang w:val="sl-SI"/>
        </w:rPr>
        <w:t>vode,</w:t>
      </w:r>
      <w:r w:rsidRPr="00545EC0">
        <w:rPr>
          <w:rFonts w:cs="Arial"/>
          <w:lang w:val="sl-SI"/>
        </w:rPr>
        <w:t xml:space="preserve"> hitrosti toka in obnavljanja vodnega telesa po globini.</w:t>
      </w:r>
    </w:p>
    <w:p w14:paraId="2BC21871" w14:textId="77777777" w:rsidR="000D541E" w:rsidRPr="00545EC0" w:rsidRDefault="000D541E" w:rsidP="00D5428C">
      <w:pPr>
        <w:pStyle w:val="Odstavekseznama"/>
        <w:ind w:left="0"/>
        <w:rPr>
          <w:rFonts w:cs="Arial"/>
          <w:lang w:val="sl-SI"/>
        </w:rPr>
      </w:pPr>
    </w:p>
    <w:p w14:paraId="50306671" w14:textId="77777777" w:rsidR="000D541E" w:rsidRPr="00545EC0" w:rsidRDefault="000D541E" w:rsidP="00D5428C">
      <w:pPr>
        <w:pStyle w:val="Odstavekseznama"/>
        <w:ind w:left="0"/>
        <w:rPr>
          <w:rFonts w:cs="Arial"/>
          <w:lang w:val="sl-SI"/>
        </w:rPr>
      </w:pPr>
      <w:r w:rsidRPr="00545EC0">
        <w:rPr>
          <w:rFonts w:cs="Arial"/>
          <w:lang w:val="sl-SI"/>
        </w:rPr>
        <w:t xml:space="preserve">Ranljivost vodonosnika je skoraj na celotnem območju izredno visoka, krovnih zaščitnih plasti ni. Vodonosnik je dobro do zelo dobro prepusten v nenasičeni in nasičeni coni, z visokimi hitrostmi pretakanja podzemne vode. </w:t>
      </w:r>
    </w:p>
    <w:p w14:paraId="6BD6CA26" w14:textId="77777777" w:rsidR="000D541E" w:rsidRPr="00545EC0" w:rsidRDefault="000D541E" w:rsidP="00D5428C">
      <w:pPr>
        <w:pStyle w:val="Odstavekseznama"/>
        <w:ind w:left="0"/>
        <w:rPr>
          <w:rFonts w:cs="Arial"/>
          <w:lang w:val="sl-SI"/>
        </w:rPr>
      </w:pPr>
    </w:p>
    <w:p w14:paraId="2A16107D" w14:textId="77777777" w:rsidR="000D541E" w:rsidRPr="00545EC0" w:rsidRDefault="000D541E" w:rsidP="00D5428C">
      <w:pPr>
        <w:pStyle w:val="Odstavekseznama"/>
        <w:ind w:left="0"/>
        <w:rPr>
          <w:rFonts w:cs="Arial"/>
          <w:lang w:val="sl-SI"/>
        </w:rPr>
      </w:pPr>
      <w:r w:rsidRPr="00545EC0">
        <w:rPr>
          <w:rFonts w:cs="Arial"/>
          <w:lang w:val="sl-SI"/>
        </w:rPr>
        <w:t>Prostornina celotnega VTPodV je le nekajkrat večja (v razponu redov velikosti 1–10) od količine letne infiltracije. Obnavljanje vodnega telesa iz padavin je lahko dokaj hitro. Infiltracija je razmeroma visoka (400–600 mm/leto).</w:t>
      </w:r>
    </w:p>
    <w:p w14:paraId="2B83487A" w14:textId="77777777" w:rsidR="000D541E" w:rsidRPr="00545EC0" w:rsidRDefault="000D541E" w:rsidP="00D5428C">
      <w:pPr>
        <w:pStyle w:val="Odstavekseznama"/>
        <w:ind w:left="0"/>
        <w:rPr>
          <w:rFonts w:cs="Arial"/>
          <w:lang w:val="sl-SI"/>
        </w:rPr>
      </w:pPr>
    </w:p>
    <w:p w14:paraId="66804B95" w14:textId="77777777" w:rsidR="000D541E" w:rsidRPr="00545EC0" w:rsidRDefault="000D541E" w:rsidP="00D5428C">
      <w:pPr>
        <w:pStyle w:val="Odstavekseznama"/>
        <w:ind w:left="0"/>
        <w:rPr>
          <w:rFonts w:cs="Arial"/>
          <w:lang w:val="sl-SI"/>
        </w:rPr>
      </w:pPr>
      <w:r w:rsidRPr="00545EC0">
        <w:rPr>
          <w:rFonts w:cs="Arial"/>
          <w:lang w:val="sl-SI"/>
        </w:rPr>
        <w:t>Reka Savinja je v večjem delu aluvialnega vodonosnika naravna drenaža vodonosnika, lokalno pa vodonosnik tudi napaja in nato zopet drenira.</w:t>
      </w:r>
    </w:p>
    <w:p w14:paraId="62E0761B" w14:textId="77777777" w:rsidR="000D541E" w:rsidRPr="00545EC0" w:rsidRDefault="000D541E" w:rsidP="00D5428C">
      <w:pPr>
        <w:pStyle w:val="Odstavekseznama"/>
        <w:ind w:left="0"/>
        <w:rPr>
          <w:rFonts w:cs="Arial"/>
          <w:lang w:val="sl-SI"/>
        </w:rPr>
      </w:pPr>
    </w:p>
    <w:p w14:paraId="581FE7FD" w14:textId="462FF481" w:rsidR="000D541E" w:rsidRPr="00545EC0" w:rsidRDefault="000D541E" w:rsidP="00D5428C">
      <w:pPr>
        <w:pStyle w:val="Odstavekseznama"/>
        <w:ind w:left="0"/>
        <w:rPr>
          <w:rFonts w:cs="Arial"/>
          <w:lang w:val="sl-SI"/>
        </w:rPr>
      </w:pPr>
      <w:r w:rsidRPr="00545EC0">
        <w:rPr>
          <w:rFonts w:cs="Arial"/>
          <w:lang w:val="sl-SI"/>
        </w:rPr>
        <w:t xml:space="preserve">Geokemijsko okolje je karbonatno-silikatno, gre za razmeroma dobro prezračeno podzemno vodo v običajnih oksidacijsko-redukcijskih razmerah za odprt aluvialni vodonosnik. Po sestavi je podzemna voda kalcijevo-magnezijevo-hidrogenkarbonatnega tipa, z običajno mineralizacijo in s prevodnostjo med 0,3 do 0,5 mS/cm. Vsebnost nitrata v naravnem ozadju je lahko do nekaj mg/l. Značilni prispevki človekovega delovanja, ki se izražajo na celotnem vodnem telesu, so dušik, fosfor, </w:t>
      </w:r>
      <w:r w:rsidR="003F212C" w:rsidRPr="00545EC0">
        <w:rPr>
          <w:rFonts w:cs="Arial"/>
          <w:lang w:val="sl-SI"/>
        </w:rPr>
        <w:t xml:space="preserve">fitofarmacevtska sredstva </w:t>
      </w:r>
      <w:r w:rsidRPr="00545EC0">
        <w:rPr>
          <w:rFonts w:cs="Arial"/>
          <w:lang w:val="sl-SI"/>
        </w:rPr>
        <w:t xml:space="preserve">(pretežno atrazin in desetilatrazin). </w:t>
      </w:r>
    </w:p>
    <w:p w14:paraId="5B13AA41" w14:textId="77777777" w:rsidR="000D541E" w:rsidRPr="00545EC0" w:rsidRDefault="000D541E" w:rsidP="00D5428C">
      <w:pPr>
        <w:pStyle w:val="podnaslov0"/>
        <w:rPr>
          <w:b w:val="0"/>
          <w:u w:val="single"/>
        </w:rPr>
      </w:pPr>
      <w:r w:rsidRPr="00545EC0">
        <w:rPr>
          <w:b w:val="0"/>
          <w:u w:val="single"/>
        </w:rPr>
        <w:t>VTPodV DRAVSKA KOTLINA</w:t>
      </w:r>
    </w:p>
    <w:p w14:paraId="1C77552F" w14:textId="77777777" w:rsidR="000D541E" w:rsidRPr="00545EC0" w:rsidRDefault="000D541E" w:rsidP="00D5428C">
      <w:pPr>
        <w:pStyle w:val="Odstavekseznama"/>
        <w:ind w:left="0"/>
        <w:rPr>
          <w:rFonts w:cs="Arial"/>
          <w:lang w:val="sl-SI"/>
        </w:rPr>
      </w:pPr>
      <w:r w:rsidRPr="00545EC0">
        <w:rPr>
          <w:rFonts w:cs="Arial"/>
          <w:lang w:val="sl-SI"/>
        </w:rPr>
        <w:t xml:space="preserve">Celotno telo podzemne vode Dravska kotlina se nahaja v treh značilnih vodonosnikih. Prvi (1.) vodonosnik je prodno peščeni zasip Drave – aluvialni vodonosnik, ki ga sestavljajo debelozrnati terestrični sedimenti (prod pesek in grušč) kvartarne starosti. Drugi (2.) vodonosnik je vodonosnik v terciarnih sedimentih, ki ga sestavljajo pesek, prod, melj, glina, lapor terciarni starosti. Tretji (3.) vodonosnik je termalni vodonosnik v globljih terciarnih sedimentih in predterciarni podlagi. Sestavljajo ga pesek, prod, melj, glina ter metamorfne in mestoma karbonatne kamnine. Vsi trije vodonosniki so v </w:t>
      </w:r>
      <w:r w:rsidRPr="00545EC0">
        <w:rPr>
          <w:rFonts w:cs="Arial"/>
          <w:lang w:val="sl-SI"/>
        </w:rPr>
        <w:lastRenderedPageBreak/>
        <w:t xml:space="preserve">navpični smeri razviti praktično na celotnem območju. Prvi (aluvialni) vodonosnik se nahaja na površini in do globine približno 32 m, drugi (terciarni) vodonosnik, se nahaja v splošnem od globine 40 m naprej ter najpogosteje do globine približno 200 m, tretji (termalni) pa najgloblje, to je tudi do 1 000 in več metrov globoko. Stratifikacija telesa podzemne vode je značilna za vsak omenjeni vodonosnik, neznačilne razlike pa se lahko pojavljajo tudi znotraj posameznega vodonosnika. Razporeditev onesnaženj po globini prvega vodonosnika je dokaj zvezna. </w:t>
      </w:r>
    </w:p>
    <w:p w14:paraId="290BB030" w14:textId="77777777" w:rsidR="000D541E" w:rsidRPr="00545EC0" w:rsidRDefault="000D541E" w:rsidP="00D5428C">
      <w:pPr>
        <w:pStyle w:val="Odstavekseznama"/>
        <w:ind w:left="0"/>
        <w:rPr>
          <w:rFonts w:cs="Arial"/>
          <w:lang w:val="sl-SI"/>
        </w:rPr>
      </w:pPr>
    </w:p>
    <w:p w14:paraId="4072D92F" w14:textId="77777777" w:rsidR="000D541E" w:rsidRPr="00545EC0" w:rsidRDefault="000D541E" w:rsidP="00D5428C">
      <w:pPr>
        <w:pStyle w:val="Odstavekseznama"/>
        <w:ind w:left="0"/>
        <w:rPr>
          <w:rFonts w:cs="Arial"/>
          <w:lang w:val="sl-SI"/>
        </w:rPr>
      </w:pPr>
      <w:r w:rsidRPr="00545EC0">
        <w:rPr>
          <w:rFonts w:cs="Arial"/>
          <w:lang w:val="sl-SI"/>
        </w:rPr>
        <w:t xml:space="preserve">Del vodnega telesa s slabim kemijskim stanjem podzemne vode se nahaja v aluvialnem vodonosniku. Oskrba s pitno vodo se danes že v veliki meri dopolnjuje s podzemno vodo iz 2. vodonosnika. Razlog je slaba kakovost vode v prvem vodonosniku. Razpoložljive zaloge v terciarnem vodonosniku so veliko bolj omejene in v sedanjem stanju slabega kemijskega stanja v aluvialnem vodonosniku, ne morejo v potrebni količini nadomestiti izpadlih zalog. Poleg tega že obstaja resna nevarnost prodora onesnažene vode iz aluvialnega vodonosnika v terciarni vodonosnik zaradi padca hidravličnega tlaka ob izkoriščanju vode iz terciarnega vodonosnika. </w:t>
      </w:r>
    </w:p>
    <w:p w14:paraId="1102BF50" w14:textId="77777777" w:rsidR="000D541E" w:rsidRPr="00545EC0" w:rsidRDefault="000D541E" w:rsidP="00D5428C">
      <w:pPr>
        <w:pStyle w:val="Odstavekseznama"/>
        <w:ind w:left="0"/>
        <w:rPr>
          <w:rFonts w:cs="Arial"/>
          <w:lang w:val="sl-SI"/>
        </w:rPr>
      </w:pPr>
    </w:p>
    <w:p w14:paraId="31720E5F" w14:textId="77777777" w:rsidR="000D541E" w:rsidRPr="00545EC0" w:rsidRDefault="000D541E" w:rsidP="00D5428C">
      <w:pPr>
        <w:pStyle w:val="Odstavekseznama"/>
        <w:ind w:left="0"/>
        <w:rPr>
          <w:rFonts w:cs="Arial"/>
          <w:lang w:val="sl-SI"/>
        </w:rPr>
      </w:pPr>
      <w:r w:rsidRPr="00545EC0">
        <w:rPr>
          <w:rFonts w:cs="Arial"/>
          <w:lang w:val="sl-SI"/>
        </w:rPr>
        <w:t>Pomembne zvezne krovne plasti pokrivajo le del vodonosnega sistema Dravsko polje, na pretežnem ostalem delu je ranljivost aluvialnega vodonosnika izredno visoka.</w:t>
      </w:r>
    </w:p>
    <w:p w14:paraId="7F9E0FB9" w14:textId="77777777" w:rsidR="000D541E" w:rsidRPr="00545EC0" w:rsidRDefault="000D541E" w:rsidP="00D5428C">
      <w:pPr>
        <w:pStyle w:val="Odstavekseznama"/>
        <w:ind w:left="0"/>
        <w:rPr>
          <w:rFonts w:cs="Arial"/>
          <w:lang w:val="sl-SI"/>
        </w:rPr>
      </w:pPr>
    </w:p>
    <w:p w14:paraId="38DF4EA9" w14:textId="38C3E2BD" w:rsidR="001F1051" w:rsidRPr="00545EC0" w:rsidRDefault="001F1051" w:rsidP="001F1051">
      <w:pPr>
        <w:pStyle w:val="Odstavekseznama"/>
        <w:ind w:left="0"/>
        <w:rPr>
          <w:rFonts w:cs="Arial"/>
          <w:lang w:val="sl-SI"/>
        </w:rPr>
      </w:pPr>
      <w:r w:rsidRPr="00545EC0">
        <w:rPr>
          <w:rFonts w:cs="Arial"/>
          <w:lang w:val="sl-SI"/>
        </w:rPr>
        <w:t>Prvi (1.) vodonosnik – prodno peščeni zasip Drave – aluvialni vodonosnik</w:t>
      </w:r>
      <w:r w:rsidRPr="00545EC0" w:rsidDel="001F1051">
        <w:rPr>
          <w:rFonts w:cs="Arial"/>
          <w:lang w:val="sl-SI"/>
        </w:rPr>
        <w:t xml:space="preserve"> </w:t>
      </w:r>
      <w:r w:rsidR="000D541E" w:rsidRPr="00545EC0">
        <w:rPr>
          <w:rFonts w:cs="Arial"/>
          <w:lang w:val="sl-SI"/>
        </w:rPr>
        <w:t>je hidrodinamsko odprtega tipa z dobro do zelo dobro prepustnostjo nasičene in nenasičene cone. Obnavlja se pretežno iz padavin ter s ponikanjem površinskih vod pod obrobjem Pohorja. Prostornina celotnega VTPodV je nekajkrat večja (v razponu redov velikosti 1–10) od količine letne infiltracije. Obnavljanje vodnega telesa iz padavin je lahko dokaj hitro. Infiltracija je razmeroma visoka (300–500 mm/leto).</w:t>
      </w:r>
      <w:r w:rsidRPr="00545EC0">
        <w:rPr>
          <w:rFonts w:cs="Arial"/>
          <w:lang w:val="sl-SI"/>
        </w:rPr>
        <w:t xml:space="preserve"> </w:t>
      </w:r>
    </w:p>
    <w:p w14:paraId="5F7A0BB7" w14:textId="64BEDD19" w:rsidR="001F1051" w:rsidRPr="00545EC0" w:rsidRDefault="001F1051" w:rsidP="001F1051">
      <w:pPr>
        <w:pStyle w:val="Odstavekseznama"/>
        <w:ind w:left="0"/>
        <w:rPr>
          <w:rFonts w:cs="Arial"/>
          <w:lang w:val="sl-SI"/>
        </w:rPr>
      </w:pPr>
      <w:r w:rsidRPr="00545EC0">
        <w:rPr>
          <w:rFonts w:cs="Arial"/>
          <w:lang w:val="sl-SI"/>
        </w:rPr>
        <w:t xml:space="preserve">Podzemna voda je po geokemijskem tipu kalcijevo hidrogenkarbonatna z mestoma povečano vsebnostjo posameznih zvrsti. Po trdotah so vode zmerno trde do trde. Na Dravskem polju imajo podzemne vode pod 20° celotne trdote. </w:t>
      </w:r>
    </w:p>
    <w:p w14:paraId="1BD7CF4F" w14:textId="77777777" w:rsidR="000D541E" w:rsidRPr="00545EC0" w:rsidRDefault="000D541E" w:rsidP="00D5428C">
      <w:pPr>
        <w:pStyle w:val="Odstavekseznama"/>
        <w:ind w:left="0"/>
        <w:rPr>
          <w:rFonts w:cs="Arial"/>
          <w:lang w:val="sl-SI"/>
        </w:rPr>
      </w:pPr>
    </w:p>
    <w:p w14:paraId="4138BBFA" w14:textId="218569B6" w:rsidR="000D541E" w:rsidRPr="00545EC0" w:rsidRDefault="001F1051">
      <w:pPr>
        <w:pStyle w:val="Odstavekseznama"/>
        <w:ind w:left="0"/>
        <w:rPr>
          <w:rFonts w:cs="Arial"/>
          <w:lang w:val="sl-SI"/>
        </w:rPr>
      </w:pPr>
      <w:r w:rsidRPr="00545EC0">
        <w:rPr>
          <w:rFonts w:cs="Arial"/>
          <w:lang w:val="sl-SI"/>
        </w:rPr>
        <w:t>Drugi (2.) vodonosnik – vodonosnik v terciarnih sedimentih</w:t>
      </w:r>
      <w:r w:rsidRPr="00545EC0" w:rsidDel="001F1051">
        <w:rPr>
          <w:rFonts w:cs="Arial"/>
          <w:lang w:val="sl-SI"/>
        </w:rPr>
        <w:t xml:space="preserve"> </w:t>
      </w:r>
      <w:r w:rsidR="000D541E" w:rsidRPr="00545EC0">
        <w:rPr>
          <w:rFonts w:cs="Arial"/>
          <w:lang w:val="sl-SI"/>
        </w:rPr>
        <w:t>je hidrodinamsko zaprtega tipa in je v celoti omočen</w:t>
      </w:r>
      <w:r w:rsidRPr="00545EC0">
        <w:rPr>
          <w:rFonts w:cs="Arial"/>
          <w:lang w:val="sl-SI"/>
        </w:rPr>
        <w:t>, mestoma pa se pojavljajo tipične redukcijske hidrogeokemijske razmere.</w:t>
      </w:r>
      <w:r w:rsidR="000D541E" w:rsidRPr="00545EC0">
        <w:rPr>
          <w:rFonts w:cs="Arial"/>
          <w:lang w:val="sl-SI"/>
        </w:rPr>
        <w:t xml:space="preserve"> Ekonomsko zanimivo izdatnost tega vodonosnika pogojujejo posamezne tanke plasti pretežno pliocenskih prodno-peščenih sedimentov, ki se nahajajo med zelo slabo prepustnimi glinastimi plastmi. Prodno-peščene plasti izdanjajo na površini na obrobnih delih izven območja aluvialnega vodonosnika, v manjši meri pa prihajajo v stik tudi neposredno s prodno peščenimi sedimenti v podlagi aluvialnega vodonosnika. Prepustnost terciarnega vodonosnika je vsaj 100-krat manjša od prepustnosti aluvialnega vodonosnika. Obnavljanje podzemne vode v teh plasteh je zelo počasno (v povprečju reda velikosti 1000 let), vendar pa se lokalno povečuje z zniževanjem pornih tlakov zaradi izkoriščanja.</w:t>
      </w:r>
    </w:p>
    <w:p w14:paraId="6EC2937A" w14:textId="7702FF22" w:rsidR="001F1051" w:rsidRPr="00545EC0" w:rsidRDefault="001F1051">
      <w:pPr>
        <w:pStyle w:val="Odstavekseznama"/>
        <w:ind w:left="0"/>
        <w:rPr>
          <w:rFonts w:cs="Arial"/>
          <w:lang w:val="sl-SI"/>
        </w:rPr>
      </w:pPr>
      <w:r w:rsidRPr="00545EC0">
        <w:rPr>
          <w:rFonts w:cs="Arial"/>
          <w:lang w:val="sl-SI"/>
        </w:rPr>
        <w:t>Po petrografski sestavi gre za pretežno silikatne sedimente, bogate s kremenom, v vmesnih plasteh pa z minerali glin in organskimi snovmi. Zaradi posebnih hidrogeokemijskih pogojev ima podzemna voda iz teh plasti značilno kemijsko sestavo s povečanim deležem natrija, železa in mangana. Lokalno pa so značilne tudi povečane vsebnosti še drugih geogenih elementov.</w:t>
      </w:r>
    </w:p>
    <w:p w14:paraId="38903B17" w14:textId="77777777" w:rsidR="000D541E" w:rsidRPr="00545EC0" w:rsidRDefault="000D541E" w:rsidP="00D5428C">
      <w:pPr>
        <w:pStyle w:val="Odstavekseznama"/>
        <w:ind w:left="0"/>
        <w:rPr>
          <w:rFonts w:cs="Arial"/>
          <w:lang w:val="sl-SI"/>
        </w:rPr>
      </w:pPr>
    </w:p>
    <w:p w14:paraId="07D3B52C" w14:textId="77777777" w:rsidR="001F1051" w:rsidRPr="00545EC0" w:rsidRDefault="001F1051" w:rsidP="001F1051">
      <w:pPr>
        <w:pStyle w:val="Odstavekseznama"/>
        <w:ind w:left="0"/>
        <w:rPr>
          <w:rFonts w:cs="Arial"/>
          <w:lang w:val="sl-SI"/>
        </w:rPr>
      </w:pPr>
      <w:r w:rsidRPr="00545EC0">
        <w:rPr>
          <w:rFonts w:cs="Arial"/>
          <w:lang w:val="sl-SI"/>
        </w:rPr>
        <w:t>Tretji (3.) vodonosnik – termalni vodonosnik: za termalni vodonosnik veljajo podobni pogoji kot za terciarni vodonosnik, ko gre za zajetja termalne vode iz terciarnih plasti. Zajetje iz predterciarne podlage je le zelo majhno.</w:t>
      </w:r>
    </w:p>
    <w:p w14:paraId="4366123C" w14:textId="77777777" w:rsidR="000D541E" w:rsidRPr="00545EC0" w:rsidRDefault="000D541E" w:rsidP="00D5428C">
      <w:pPr>
        <w:pStyle w:val="Odstavekseznama"/>
        <w:ind w:left="0"/>
        <w:rPr>
          <w:rFonts w:cs="Arial"/>
          <w:lang w:val="sl-SI"/>
        </w:rPr>
      </w:pPr>
    </w:p>
    <w:p w14:paraId="6501F529" w14:textId="00A179B2" w:rsidR="000D541E" w:rsidRPr="00545EC0" w:rsidRDefault="000D541E" w:rsidP="00D5428C">
      <w:pPr>
        <w:pStyle w:val="Odstavekseznama"/>
        <w:ind w:left="0"/>
        <w:rPr>
          <w:rFonts w:cs="Arial"/>
          <w:iCs/>
          <w:lang w:val="sl-SI"/>
        </w:rPr>
      </w:pPr>
      <w:r w:rsidRPr="00545EC0">
        <w:rPr>
          <w:rFonts w:cs="Arial"/>
          <w:lang w:val="sl-SI"/>
        </w:rPr>
        <w:t xml:space="preserve">Reka Drava ima v splošnem drenažno vlogo aluvialnega vodonosnika. Izviri podzemne vode, ki nato odtekajo v reko Dravo, se nahajajo tako vzdolž ježe zadnje pleistocenske terase na Dravskem polju kakor tudi na Ptujskem polju. Podzemna voda v vodonosniku terciarnih sedimentov in v termalnem vodonosniku nima neposrednih povezav s površinskimi vodami. </w:t>
      </w:r>
    </w:p>
    <w:p w14:paraId="507DC654" w14:textId="77777777" w:rsidR="000D541E" w:rsidRPr="00545EC0" w:rsidRDefault="000D541E" w:rsidP="00D5428C">
      <w:pPr>
        <w:pStyle w:val="Odstavekseznama"/>
        <w:ind w:left="0"/>
        <w:rPr>
          <w:rFonts w:cs="Arial"/>
          <w:i/>
          <w:lang w:val="sl-SI"/>
        </w:rPr>
      </w:pPr>
    </w:p>
    <w:p w14:paraId="55C96CEC" w14:textId="61F80EEA" w:rsidR="000D541E" w:rsidRPr="00545EC0" w:rsidRDefault="001F1051" w:rsidP="00D5428C">
      <w:pPr>
        <w:pStyle w:val="Odstavekseznama"/>
        <w:ind w:left="0"/>
        <w:rPr>
          <w:rFonts w:cs="Arial"/>
          <w:lang w:val="sl-SI"/>
        </w:rPr>
      </w:pPr>
      <w:r w:rsidRPr="00545EC0">
        <w:rPr>
          <w:rFonts w:cs="Arial"/>
          <w:lang w:val="sl-SI"/>
        </w:rPr>
        <w:lastRenderedPageBreak/>
        <w:t>Z</w:t>
      </w:r>
      <w:r w:rsidR="000D541E" w:rsidRPr="00545EC0">
        <w:rPr>
          <w:rFonts w:cs="Arial"/>
          <w:lang w:val="sl-SI"/>
        </w:rPr>
        <w:t xml:space="preserve">a oceno stanja VTPodV Dravska kotlina je v sedanjem času s stališča kakovosti pomemben predvsem aluvialni vodonosnik, s stališča količine pa sta pomembnejša terciarni in termalni vodonosnik. Značilni prispevki človekovega delovanja, ki so izraženi na celotnem vodnem telesu, so nitrati in </w:t>
      </w:r>
      <w:r w:rsidR="003F212C" w:rsidRPr="00545EC0">
        <w:rPr>
          <w:rFonts w:cs="Arial"/>
          <w:lang w:val="sl-SI"/>
        </w:rPr>
        <w:t xml:space="preserve">fitofarmacevtska sredstva </w:t>
      </w:r>
      <w:r w:rsidR="000D541E" w:rsidRPr="00545EC0">
        <w:rPr>
          <w:rFonts w:cs="Arial"/>
          <w:lang w:val="sl-SI"/>
        </w:rPr>
        <w:t xml:space="preserve">(predvsem atrazin, desetilatrazin). S pomanjkljivim nadzorom nad izkoriščanjem podzemne vode iz 2. vodonosnika v terciarnih sedimentih lahko prihaja do </w:t>
      </w:r>
      <w:r w:rsidR="00F45F91" w:rsidRPr="00545EC0">
        <w:rPr>
          <w:rFonts w:cs="Arial"/>
          <w:lang w:val="sl-SI"/>
        </w:rPr>
        <w:t xml:space="preserve">prekomernega izkoriščanja </w:t>
      </w:r>
      <w:r w:rsidR="000D541E" w:rsidRPr="00545EC0">
        <w:rPr>
          <w:rFonts w:cs="Arial"/>
          <w:lang w:val="sl-SI"/>
        </w:rPr>
        <w:t>zalog in prodora omenjenih onesnaženj iz aluvialnega vodonosnika v terciarni vodonosnik.</w:t>
      </w:r>
    </w:p>
    <w:p w14:paraId="2B64772C" w14:textId="77777777" w:rsidR="000D541E" w:rsidRPr="00545EC0" w:rsidRDefault="000D541E" w:rsidP="00D5428C">
      <w:pPr>
        <w:pStyle w:val="podnaslov0"/>
        <w:rPr>
          <w:b w:val="0"/>
          <w:u w:val="single"/>
        </w:rPr>
      </w:pPr>
      <w:r w:rsidRPr="00545EC0">
        <w:rPr>
          <w:b w:val="0"/>
          <w:u w:val="single"/>
        </w:rPr>
        <w:t>VTPodV MURSKA KOTLINA</w:t>
      </w:r>
    </w:p>
    <w:p w14:paraId="483C99DE" w14:textId="77777777" w:rsidR="000D541E" w:rsidRPr="00545EC0" w:rsidRDefault="000D541E" w:rsidP="00D5428C">
      <w:pPr>
        <w:pStyle w:val="Odstavekseznama"/>
        <w:ind w:left="0"/>
        <w:rPr>
          <w:rFonts w:cs="Arial"/>
          <w:lang w:val="sl-SI"/>
        </w:rPr>
      </w:pPr>
      <w:r w:rsidRPr="00545EC0">
        <w:rPr>
          <w:rFonts w:cs="Arial"/>
          <w:lang w:val="sl-SI"/>
        </w:rPr>
        <w:t xml:space="preserve">Celotno telo podzemne vode Murske kotline se nahaja v treh značilnih vodonosnikih, ki si sledijo po globini.  </w:t>
      </w:r>
    </w:p>
    <w:p w14:paraId="57E7AD0B" w14:textId="77777777" w:rsidR="000D541E" w:rsidRPr="00545EC0" w:rsidRDefault="000D541E" w:rsidP="00D5428C">
      <w:pPr>
        <w:pStyle w:val="Odstavekseznama"/>
        <w:ind w:left="0"/>
        <w:rPr>
          <w:rFonts w:cs="Arial"/>
          <w:lang w:val="sl-SI"/>
        </w:rPr>
      </w:pPr>
    </w:p>
    <w:p w14:paraId="6DE65F34" w14:textId="77777777" w:rsidR="000D541E" w:rsidRPr="00545EC0" w:rsidRDefault="000D541E" w:rsidP="00D5428C">
      <w:pPr>
        <w:pStyle w:val="Odstavekseznama"/>
        <w:ind w:left="0"/>
        <w:rPr>
          <w:rFonts w:cs="Arial"/>
          <w:lang w:val="sl-SI"/>
        </w:rPr>
      </w:pPr>
      <w:r w:rsidRPr="00545EC0">
        <w:rPr>
          <w:rFonts w:cs="Arial"/>
          <w:lang w:val="sl-SI"/>
        </w:rPr>
        <w:t xml:space="preserve">Prvi (1.) vodonosnik je prodno peščeni zasip Mure – aluvialni vodonosnik, ki ga sestavljajo debelozrnati terestrični sedimenti (prod, pesek, melj) kvartarne starosti. </w:t>
      </w:r>
    </w:p>
    <w:p w14:paraId="39DF306C" w14:textId="77777777" w:rsidR="000D541E" w:rsidRPr="00545EC0" w:rsidRDefault="000D541E" w:rsidP="00D5428C">
      <w:pPr>
        <w:pStyle w:val="Odstavekseznama"/>
        <w:ind w:left="0"/>
        <w:rPr>
          <w:rFonts w:cs="Arial"/>
          <w:lang w:val="sl-SI"/>
        </w:rPr>
      </w:pPr>
    </w:p>
    <w:p w14:paraId="425173AE" w14:textId="04610F16" w:rsidR="000D541E" w:rsidRPr="00545EC0" w:rsidRDefault="000D541E" w:rsidP="00D5428C">
      <w:pPr>
        <w:pStyle w:val="Odstavekseznama"/>
        <w:ind w:left="0"/>
        <w:rPr>
          <w:rFonts w:cs="Arial"/>
          <w:lang w:val="sl-SI"/>
        </w:rPr>
      </w:pPr>
      <w:r w:rsidRPr="00545EC0">
        <w:rPr>
          <w:rFonts w:cs="Arial"/>
          <w:lang w:val="sl-SI"/>
        </w:rPr>
        <w:t>Drugi (2.) vodonosnik je vodonosnik v terciarnih sedimentih, ki ga sestavljajo pesek, prod, melj, glina</w:t>
      </w:r>
      <w:r w:rsidR="005536B7" w:rsidRPr="00545EC0">
        <w:rPr>
          <w:rFonts w:cs="Arial"/>
          <w:lang w:val="sl-SI"/>
        </w:rPr>
        <w:t xml:space="preserve"> in</w:t>
      </w:r>
      <w:r w:rsidRPr="00545EC0">
        <w:rPr>
          <w:rFonts w:cs="Arial"/>
          <w:lang w:val="sl-SI"/>
        </w:rPr>
        <w:t xml:space="preserve"> lapor terciarni</w:t>
      </w:r>
      <w:r w:rsidR="005536B7" w:rsidRPr="00545EC0">
        <w:rPr>
          <w:rFonts w:cs="Arial"/>
          <w:lang w:val="sl-SI"/>
        </w:rPr>
        <w:t>h</w:t>
      </w:r>
      <w:r w:rsidRPr="00545EC0">
        <w:rPr>
          <w:rFonts w:cs="Arial"/>
          <w:lang w:val="sl-SI"/>
        </w:rPr>
        <w:t xml:space="preserve"> starosti. Vodonosnik je hidrodinamsko zaprtega tipa in je v celoti omočen. Ekonomsko zanimivo izdatnost tega vodonosnika, kjer se izkoriščajo pomembne zaloge mineralne vode, pogojujejo posamezne tanke plasti pretežno pliocenskih prodno-peščenih sedimentov, ki se nahajajo med zelo slabo prepustnimi glinastimi plastmi. Prodno-peščene plasti izdanjajo na površini na obrobnih delih Slovenskih goric, v manjši meri pa prihajajo v stik tudi neposredno s prodno-peščenimi sedimenti v podlagi aluvialnega vodonosnika. Ob preizkoriščanju podzemne vode iz drugega vodonosnika bi lahko prišlo do vdorov bolj obremenjene podzemne vode iz prvega vodonosnika.</w:t>
      </w:r>
    </w:p>
    <w:p w14:paraId="49CFA8E3" w14:textId="77777777" w:rsidR="000D541E" w:rsidRPr="00545EC0" w:rsidRDefault="000D541E" w:rsidP="00D5428C">
      <w:pPr>
        <w:pStyle w:val="Odstavekseznama"/>
        <w:ind w:left="0"/>
        <w:rPr>
          <w:rFonts w:cs="Arial"/>
          <w:lang w:val="sl-SI"/>
        </w:rPr>
      </w:pPr>
    </w:p>
    <w:p w14:paraId="3E8EDBAA" w14:textId="77777777" w:rsidR="000D541E" w:rsidRPr="00545EC0" w:rsidRDefault="000D541E" w:rsidP="00D5428C">
      <w:pPr>
        <w:pStyle w:val="Odstavekseznama"/>
        <w:ind w:left="0"/>
        <w:rPr>
          <w:rFonts w:cs="Arial"/>
          <w:lang w:val="sl-SI"/>
        </w:rPr>
      </w:pPr>
      <w:r w:rsidRPr="00545EC0">
        <w:rPr>
          <w:rFonts w:cs="Arial"/>
          <w:lang w:val="sl-SI"/>
        </w:rPr>
        <w:t>Tretji (3.) vodonosnik je termalni vodonosnik v globljih terciarnih sedimentih in predterciarni podlagi. Sestavljajo ga pesek, prod, melj, glina ter metamorfne in mestoma karbonatne kamnine, po starosti v razponu od paleozoika do terciarja. Vodonosnik je zaprt z arteško podzemno vodo. Za termalni vodonosnik veljajo podobni pogoji kot za terciarni vodonosnik, pri čemer predstavljajo pomembno geogeno ozadje tudi ogljikovodiki in spremljajoče zvrsti.</w:t>
      </w:r>
    </w:p>
    <w:p w14:paraId="098DE260" w14:textId="77777777" w:rsidR="000D541E" w:rsidRPr="00545EC0" w:rsidRDefault="000D541E" w:rsidP="00D5428C">
      <w:pPr>
        <w:pStyle w:val="Odstavekseznama"/>
        <w:ind w:left="0"/>
        <w:rPr>
          <w:rFonts w:cs="Arial"/>
          <w:lang w:val="sl-SI"/>
        </w:rPr>
      </w:pPr>
    </w:p>
    <w:p w14:paraId="233239A5" w14:textId="1A8C7DEF" w:rsidR="000D541E" w:rsidRPr="00545EC0" w:rsidRDefault="000D541E" w:rsidP="00D5428C">
      <w:pPr>
        <w:pStyle w:val="Odstavekseznama"/>
        <w:ind w:left="0"/>
        <w:rPr>
          <w:rFonts w:cs="Arial"/>
          <w:lang w:val="sl-SI"/>
        </w:rPr>
      </w:pPr>
      <w:r w:rsidRPr="00545EC0">
        <w:rPr>
          <w:rFonts w:cs="Arial"/>
          <w:lang w:val="sl-SI"/>
        </w:rPr>
        <w:t xml:space="preserve">Stratifikacija telesa podzemne vode je značilna med tremi vodonosniki. Pomembna stratifikacija znotraj vodonosnika pa se pojavlja v prvem vodonosniku z razlikami med plitvejšim, bolj prezračenim delom v kvartarnih nanosih in manj prezračenim delom v spodaj ležečih pliokvartarnih nanosih. V teh je podzemna voda manj obremenjena z nitrati, v povišanih vrednostih naravnega ozadja pa se pojavljata železo in mangan. V spodnjih plasteh lahko prihaja do počasnejše razgradnje </w:t>
      </w:r>
      <w:r w:rsidR="003F212C" w:rsidRPr="00545EC0">
        <w:rPr>
          <w:rFonts w:cs="Arial"/>
          <w:lang w:val="sl-SI"/>
        </w:rPr>
        <w:t>fitofarmacevtskih sredstev</w:t>
      </w:r>
      <w:r w:rsidRPr="00545EC0">
        <w:rPr>
          <w:rFonts w:cs="Arial"/>
          <w:lang w:val="sl-SI"/>
        </w:rPr>
        <w:t>.</w:t>
      </w:r>
    </w:p>
    <w:p w14:paraId="58DA2E54" w14:textId="77777777" w:rsidR="000D541E" w:rsidRPr="00545EC0" w:rsidRDefault="000D541E" w:rsidP="00D5428C">
      <w:pPr>
        <w:pStyle w:val="Odstavekseznama"/>
        <w:ind w:left="0"/>
        <w:rPr>
          <w:rFonts w:cs="Arial"/>
          <w:lang w:val="sl-SI"/>
        </w:rPr>
      </w:pPr>
    </w:p>
    <w:p w14:paraId="45303FFB" w14:textId="77777777" w:rsidR="000D541E" w:rsidRPr="00545EC0" w:rsidRDefault="000D541E" w:rsidP="00D5428C">
      <w:pPr>
        <w:pStyle w:val="Odstavekseznama"/>
        <w:ind w:left="0"/>
        <w:rPr>
          <w:rFonts w:cs="Arial"/>
          <w:lang w:val="sl-SI"/>
        </w:rPr>
      </w:pPr>
      <w:r w:rsidRPr="00545EC0">
        <w:rPr>
          <w:rFonts w:cs="Arial"/>
          <w:lang w:val="sl-SI"/>
        </w:rPr>
        <w:t>Vrhnje geološke plasti predstavljajo aluvialni debelozrnati terestrični sedimenti (pesek, prod, grušč) kvartarne starosti in pretežno silikatne, vendar tudi karbonatne petrografske sestave. Pretežen delež VTPodV je izredno visoko ranljiv, saj ni pomembnih krovnih zaščitnih plasti. Podzemna voda v kvartarnih naplavinah na Murskem in Ljutomerskem polju se pretežno napaja iz padavin, ki neposredno padejo na prodno površino, delno iz potokov, ki pritečejo iz terciarnega obrobja Slovenskih goric in Goričkega, delno pa iz Mure. Na posameznih delih območja vodnega telesa Murska kotlina je omočeni del 1. vodonosnika debel le nekaj metrov, prav tako pa tudi nenasičena cona. Majhna debelina vodonosnika in razmeroma zelo nizka infiltracija (200–300 mm/leto) v primerjavi z drugimi območji v Sloveniji predstavljata izrazito neugodne naravne razmere za ohranjanje stanja podzemne vode (</w:t>
      </w:r>
      <w:r w:rsidR="007005E8" w:rsidRPr="00545EC0">
        <w:rPr>
          <w:rFonts w:cs="Arial"/>
          <w:lang w:val="sl-SI"/>
        </w:rPr>
        <w:fldChar w:fldCharType="begin"/>
      </w:r>
      <w:r w:rsidR="007005E8" w:rsidRPr="00545EC0">
        <w:rPr>
          <w:rFonts w:cs="Arial"/>
          <w:lang w:val="sl-SI"/>
        </w:rPr>
        <w:instrText xml:space="preserve"> REF _Ref429654468 \h </w:instrText>
      </w:r>
      <w:r w:rsidR="002464EE" w:rsidRPr="00545EC0">
        <w:rPr>
          <w:rFonts w:cs="Arial"/>
          <w:lang w:val="sl-SI"/>
        </w:rPr>
        <w:instrText xml:space="preserve"> \* MERGEFORMAT </w:instrText>
      </w:r>
      <w:r w:rsidR="007005E8" w:rsidRPr="00545EC0">
        <w:rPr>
          <w:rFonts w:cs="Arial"/>
          <w:lang w:val="sl-SI"/>
        </w:rPr>
      </w:r>
      <w:r w:rsidR="007005E8" w:rsidRPr="00545EC0">
        <w:rPr>
          <w:rFonts w:cs="Arial"/>
          <w:lang w:val="sl-SI"/>
        </w:rPr>
        <w:fldChar w:fldCharType="separate"/>
      </w:r>
      <w:r w:rsidR="002F3E43" w:rsidRPr="002F3E43">
        <w:rPr>
          <w:lang w:val="sl-SI"/>
        </w:rPr>
        <w:t xml:space="preserve">Slika </w:t>
      </w:r>
      <w:r w:rsidR="002F3E43" w:rsidRPr="002F3E43">
        <w:rPr>
          <w:noProof/>
          <w:lang w:val="sl-SI"/>
        </w:rPr>
        <w:t>2</w:t>
      </w:r>
      <w:r w:rsidR="002F3E43" w:rsidRPr="002F3E43">
        <w:rPr>
          <w:noProof/>
          <w:lang w:val="sl-SI"/>
        </w:rPr>
        <w:noBreakHyphen/>
        <w:t>43</w:t>
      </w:r>
      <w:r w:rsidR="007005E8" w:rsidRPr="00545EC0">
        <w:rPr>
          <w:rFonts w:cs="Arial"/>
          <w:lang w:val="sl-SI"/>
        </w:rPr>
        <w:fldChar w:fldCharType="end"/>
      </w:r>
      <w:r w:rsidRPr="00545EC0">
        <w:rPr>
          <w:rFonts w:cs="Arial"/>
          <w:lang w:val="sl-SI"/>
        </w:rPr>
        <w:t xml:space="preserve">). Prostornina celotnega vodnega telesa se z infiltracijo teoretično obnovi v času reda velikosti 10 let. </w:t>
      </w:r>
    </w:p>
    <w:p w14:paraId="67135680" w14:textId="77777777" w:rsidR="007005E8" w:rsidRPr="00545EC0" w:rsidRDefault="007005E8" w:rsidP="0010797F">
      <w:pPr>
        <w:pStyle w:val="Odstavekseznama"/>
        <w:ind w:left="0"/>
        <w:rPr>
          <w:rFonts w:cs="Arial"/>
          <w:lang w:val="sl-SI"/>
        </w:rPr>
      </w:pPr>
    </w:p>
    <w:p w14:paraId="6BEA4FED" w14:textId="77777777" w:rsidR="007005E8" w:rsidRPr="00545EC0" w:rsidRDefault="007B4B4A" w:rsidP="007005E8">
      <w:r w:rsidRPr="00545EC0">
        <w:rPr>
          <w:noProof/>
        </w:rPr>
        <w:drawing>
          <wp:inline distT="0" distB="0" distL="0" distR="0" wp14:anchorId="21CC9B0A" wp14:editId="41649CA2">
            <wp:extent cx="5781675" cy="3857625"/>
            <wp:effectExtent l="0" t="0" r="0" b="0"/>
            <wp:docPr id="43" name="Slika 25" descr="Sl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5" descr="Slika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81675" cy="3857625"/>
                    </a:xfrm>
                    <a:prstGeom prst="rect">
                      <a:avLst/>
                    </a:prstGeom>
                    <a:noFill/>
                    <a:ln>
                      <a:noFill/>
                    </a:ln>
                  </pic:spPr>
                </pic:pic>
              </a:graphicData>
            </a:graphic>
          </wp:inline>
        </w:drawing>
      </w:r>
    </w:p>
    <w:p w14:paraId="170938BA" w14:textId="25CE67B6" w:rsidR="007005E8" w:rsidRPr="00545EC0" w:rsidRDefault="007005E8" w:rsidP="003176A4">
      <w:pPr>
        <w:pStyle w:val="Napis"/>
      </w:pPr>
      <w:bookmarkStart w:id="365" w:name="_Ref429654468"/>
      <w:r w:rsidRPr="00545EC0">
        <w:t xml:space="preserve">Slika </w:t>
      </w:r>
      <w:fldSimple w:instr=" STYLEREF 1 \s ">
        <w:r w:rsidR="002F3E43">
          <w:rPr>
            <w:noProof/>
          </w:rPr>
          <w:t>2</w:t>
        </w:r>
      </w:fldSimple>
      <w:r w:rsidR="00396E1E" w:rsidRPr="00545EC0">
        <w:noBreakHyphen/>
      </w:r>
      <w:fldSimple w:instr=" SEQ Slika \* ARABIC \s 1 ">
        <w:r w:rsidR="002F3E43">
          <w:rPr>
            <w:noProof/>
          </w:rPr>
          <w:t>43</w:t>
        </w:r>
      </w:fldSimple>
      <w:bookmarkEnd w:id="365"/>
      <w:r w:rsidRPr="00545EC0">
        <w:t>: Teoretična primerjava vplivov presežka dušika na koncentracijo nitrata v podzemni vodi - za različne vrednosti infiltracije na štirih različnih aluvialnih vodonosnikih.</w:t>
      </w:r>
    </w:p>
    <w:p w14:paraId="57D1F456" w14:textId="77777777" w:rsidR="007005E8" w:rsidRPr="00545EC0" w:rsidRDefault="007005E8" w:rsidP="0010797F">
      <w:pPr>
        <w:pStyle w:val="Odstavekseznama"/>
        <w:ind w:left="0"/>
        <w:rPr>
          <w:rFonts w:cs="Arial"/>
          <w:lang w:val="sl-SI"/>
        </w:rPr>
      </w:pPr>
    </w:p>
    <w:p w14:paraId="2C976CFF" w14:textId="77777777" w:rsidR="000D541E" w:rsidRPr="00545EC0" w:rsidRDefault="000D541E" w:rsidP="0010797F">
      <w:pPr>
        <w:pStyle w:val="Odstavekseznama"/>
        <w:ind w:left="0"/>
        <w:rPr>
          <w:rFonts w:cs="Arial"/>
          <w:lang w:val="sl-SI"/>
        </w:rPr>
      </w:pPr>
      <w:r w:rsidRPr="00545EC0">
        <w:rPr>
          <w:rFonts w:cs="Arial"/>
          <w:lang w:val="sl-SI"/>
        </w:rPr>
        <w:t xml:space="preserve">Tok podzemne vode je v splošnem vzporeden z reko Muro, zato so izmenjave med površinsko in podzemno vodo značilne le za ožji pas vzdolž Mure. </w:t>
      </w:r>
    </w:p>
    <w:p w14:paraId="483D3FBD" w14:textId="77777777" w:rsidR="000D541E" w:rsidRPr="00545EC0" w:rsidRDefault="000D541E" w:rsidP="0010797F">
      <w:pPr>
        <w:pStyle w:val="Odstavekseznama"/>
        <w:ind w:left="0"/>
        <w:rPr>
          <w:rFonts w:cs="Arial"/>
          <w:lang w:val="sl-SI"/>
        </w:rPr>
      </w:pPr>
      <w:r w:rsidRPr="00545EC0">
        <w:rPr>
          <w:rFonts w:cs="Arial"/>
          <w:lang w:val="sl-SI"/>
        </w:rPr>
        <w:t xml:space="preserve">Za ohranjanje stanja VTPodV Murska kotlina je v sedanjem času s stališča kemijskega stanja pomemben predvsem aluvialni vodonosnik. Značilni prispevki človekovega delovanja, ki so izraženi na celotnem vodnem telesu, so nitrati, atrazin, desetilatrazin. </w:t>
      </w:r>
    </w:p>
    <w:p w14:paraId="70C30BFA" w14:textId="77777777" w:rsidR="000D541E" w:rsidRPr="00545EC0" w:rsidRDefault="000D541E" w:rsidP="0010797F">
      <w:pPr>
        <w:pStyle w:val="Odstavekseznama"/>
        <w:ind w:left="0"/>
        <w:rPr>
          <w:rFonts w:cs="Arial"/>
          <w:lang w:val="sl-SI"/>
        </w:rPr>
      </w:pPr>
      <w:r w:rsidRPr="00545EC0">
        <w:rPr>
          <w:rFonts w:cs="Arial"/>
          <w:lang w:val="sl-SI"/>
        </w:rPr>
        <w:t>S stališča ohranjanja količinskega stanja je najpomembnejši termalni vodonosnik. Sedanji posegi v ta vodonosnik povzročajo medsebojne vplive posameznih odvzemov in možno tudi poslabševanje hidrogeoloških razmer.</w:t>
      </w:r>
    </w:p>
    <w:p w14:paraId="05AF5941" w14:textId="77777777" w:rsidR="000D541E" w:rsidRPr="00545EC0" w:rsidRDefault="000D541E" w:rsidP="0010797F">
      <w:pPr>
        <w:pStyle w:val="Odstavekseznama"/>
        <w:ind w:left="0"/>
        <w:rPr>
          <w:rFonts w:cs="Arial"/>
          <w:lang w:val="sl-SI"/>
        </w:rPr>
      </w:pPr>
    </w:p>
    <w:p w14:paraId="645B5D6A" w14:textId="690061B7" w:rsidR="00F67214" w:rsidRPr="00545EC0" w:rsidRDefault="000D541E" w:rsidP="00AD23DA">
      <w:pPr>
        <w:pStyle w:val="Odstavekseznama"/>
        <w:ind w:left="0"/>
        <w:rPr>
          <w:rFonts w:cs="Arial"/>
          <w:lang w:val="sl-SI"/>
        </w:rPr>
      </w:pPr>
      <w:r w:rsidRPr="00545EC0">
        <w:rPr>
          <w:rFonts w:cs="Arial"/>
          <w:lang w:val="sl-SI"/>
        </w:rPr>
        <w:t>Termalni vodonosnik je del večjega hidrogeološkega bazena (Mursko-Zalski bazen), ki pripada še sosednjim državam, Madžarski, Avstriji in Hrvaški.</w:t>
      </w:r>
      <w:bookmarkStart w:id="366" w:name="_Toc71735202"/>
    </w:p>
    <w:p w14:paraId="201BA1AC" w14:textId="77777777" w:rsidR="00F67214" w:rsidRPr="00545EC0" w:rsidRDefault="00F67214" w:rsidP="00AD23DA">
      <w:pPr>
        <w:pStyle w:val="Odstavekseznama"/>
        <w:ind w:left="0"/>
        <w:rPr>
          <w:rFonts w:cs="Arial"/>
        </w:rPr>
      </w:pPr>
    </w:p>
    <w:p w14:paraId="4D200471" w14:textId="77777777" w:rsidR="00110F1A" w:rsidRPr="00545EC0" w:rsidRDefault="00110F1A" w:rsidP="00AD23DA">
      <w:pPr>
        <w:pStyle w:val="Odstavekseznama"/>
        <w:ind w:left="0"/>
        <w:rPr>
          <w:b/>
        </w:rPr>
      </w:pPr>
      <w:r w:rsidRPr="00545EC0">
        <w:rPr>
          <w:b/>
        </w:rPr>
        <w:t>Podzemna termalna voda iz globokih vodonosnikov</w:t>
      </w:r>
      <w:bookmarkEnd w:id="366"/>
    </w:p>
    <w:p w14:paraId="3C25CAC9" w14:textId="0C8D4D75" w:rsidR="0051602F" w:rsidRPr="00545EC0" w:rsidRDefault="00110F1A" w:rsidP="00796403">
      <w:pPr>
        <w:spacing w:before="120" w:after="120"/>
        <w:rPr>
          <w:bCs/>
          <w:szCs w:val="18"/>
        </w:rPr>
      </w:pPr>
      <w:r w:rsidRPr="00545EC0">
        <w:t>Cilji upravljanja so podani v spodnji preglednici (</w:t>
      </w:r>
      <w:r w:rsidR="00796403" w:rsidRPr="00545EC0">
        <w:fldChar w:fldCharType="begin"/>
      </w:r>
      <w:r w:rsidR="00796403" w:rsidRPr="00545EC0">
        <w:instrText xml:space="preserve"> REF _Ref90044045 \h </w:instrText>
      </w:r>
      <w:r w:rsidR="00545EC0">
        <w:instrText xml:space="preserve"> \* MERGEFORMAT </w:instrText>
      </w:r>
      <w:r w:rsidR="00796403" w:rsidRPr="00545EC0">
        <w:fldChar w:fldCharType="separate"/>
      </w:r>
      <w:r w:rsidR="002F3E43" w:rsidRPr="00545EC0">
        <w:t xml:space="preserve">Preglednica </w:t>
      </w:r>
      <w:r w:rsidR="002F3E43">
        <w:rPr>
          <w:noProof/>
        </w:rPr>
        <w:t>2</w:t>
      </w:r>
      <w:r w:rsidR="002F3E43" w:rsidRPr="00545EC0">
        <w:rPr>
          <w:noProof/>
        </w:rPr>
        <w:noBreakHyphen/>
      </w:r>
      <w:r w:rsidR="002F3E43">
        <w:rPr>
          <w:noProof/>
        </w:rPr>
        <w:t>49</w:t>
      </w:r>
      <w:r w:rsidR="00796403" w:rsidRPr="00545EC0">
        <w:fldChar w:fldCharType="end"/>
      </w:r>
      <w:r w:rsidRPr="00545EC0">
        <w:t xml:space="preserve">). Najpomembnejša zadeva upravljanja je še vedno, kot v </w:t>
      </w:r>
      <w:r w:rsidR="0084387F" w:rsidRPr="00545EC0">
        <w:t>predhodnem načrtu upravljanja voda</w:t>
      </w:r>
      <w:r w:rsidRPr="00545EC0">
        <w:t xml:space="preserve">, zagotovitev trajnostne rabe geotermalne energije z odvzemanjem toplote iz podzemne vode ter preprečitev slabega količinskega stanja VTPodV. </w:t>
      </w:r>
      <w:bookmarkStart w:id="367" w:name="_Ref84322393"/>
    </w:p>
    <w:p w14:paraId="1F28BCB7" w14:textId="09B68ABE" w:rsidR="00110F1A" w:rsidRPr="00545EC0" w:rsidRDefault="00796403" w:rsidP="00796403">
      <w:pPr>
        <w:pStyle w:val="Napis"/>
        <w:rPr>
          <w:bCs w:val="0"/>
        </w:rPr>
      </w:pPr>
      <w:bookmarkStart w:id="368" w:name="_Ref90044045"/>
      <w:bookmarkEnd w:id="367"/>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49</w:t>
        </w:r>
      </w:fldSimple>
      <w:bookmarkEnd w:id="368"/>
      <w:r w:rsidRPr="00545EC0">
        <w:t xml:space="preserve">: </w:t>
      </w:r>
      <w:r w:rsidR="00110F1A" w:rsidRPr="00545EC0">
        <w:rPr>
          <w:bCs w:val="0"/>
        </w:rPr>
        <w:t>Cilji količinskega stanja termalne vode.</w:t>
      </w:r>
    </w:p>
    <w:tbl>
      <w:tblPr>
        <w:tblStyle w:val="Tabelamrea5"/>
        <w:tblW w:w="0" w:type="auto"/>
        <w:tblLook w:val="04A0" w:firstRow="1" w:lastRow="0" w:firstColumn="1" w:lastColumn="0" w:noHBand="0" w:noVBand="1"/>
      </w:tblPr>
      <w:tblGrid>
        <w:gridCol w:w="1930"/>
        <w:gridCol w:w="1470"/>
        <w:gridCol w:w="3593"/>
        <w:gridCol w:w="1479"/>
        <w:gridCol w:w="815"/>
      </w:tblGrid>
      <w:tr w:rsidR="0051602F" w:rsidRPr="00545EC0" w14:paraId="7B9F91D4" w14:textId="77777777" w:rsidTr="0051602F">
        <w:trPr>
          <w:trHeight w:val="360"/>
        </w:trPr>
        <w:tc>
          <w:tcPr>
            <w:tcW w:w="0" w:type="auto"/>
            <w:shd w:val="clear" w:color="auto" w:fill="D9D9D9" w:themeFill="background1" w:themeFillShade="D9"/>
            <w:vAlign w:val="center"/>
          </w:tcPr>
          <w:p w14:paraId="78DC87FA" w14:textId="795C05B6" w:rsidR="00110F1A" w:rsidRPr="00545EC0" w:rsidRDefault="0051602F" w:rsidP="0051602F">
            <w:pPr>
              <w:spacing w:line="240" w:lineRule="auto"/>
              <w:jc w:val="left"/>
              <w:rPr>
                <w:rFonts w:cstheme="minorHAnsi"/>
                <w:b/>
                <w:bCs/>
                <w:sz w:val="18"/>
                <w:szCs w:val="18"/>
              </w:rPr>
            </w:pPr>
            <w:r w:rsidRPr="00545EC0">
              <w:rPr>
                <w:rFonts w:cs="Arial"/>
                <w:b/>
                <w:bCs/>
                <w:sz w:val="18"/>
                <w:szCs w:val="18"/>
              </w:rPr>
              <w:t>Šifra in ime VTPodV</w:t>
            </w:r>
          </w:p>
        </w:tc>
        <w:tc>
          <w:tcPr>
            <w:tcW w:w="0" w:type="auto"/>
            <w:shd w:val="clear" w:color="auto" w:fill="D9D9D9" w:themeFill="background1" w:themeFillShade="D9"/>
            <w:vAlign w:val="center"/>
          </w:tcPr>
          <w:p w14:paraId="3F59774F" w14:textId="77777777" w:rsidR="00110F1A" w:rsidRPr="00545EC0" w:rsidRDefault="00110F1A" w:rsidP="0051602F">
            <w:pPr>
              <w:spacing w:line="240" w:lineRule="auto"/>
              <w:jc w:val="left"/>
              <w:rPr>
                <w:rFonts w:cstheme="minorHAnsi"/>
                <w:b/>
                <w:bCs/>
                <w:sz w:val="18"/>
                <w:szCs w:val="18"/>
              </w:rPr>
            </w:pPr>
            <w:r w:rsidRPr="00545EC0">
              <w:rPr>
                <w:rFonts w:cstheme="minorHAnsi"/>
                <w:b/>
                <w:bCs/>
                <w:sz w:val="18"/>
                <w:szCs w:val="18"/>
              </w:rPr>
              <w:t>Okoljski problem</w:t>
            </w:r>
          </w:p>
        </w:tc>
        <w:tc>
          <w:tcPr>
            <w:tcW w:w="0" w:type="auto"/>
            <w:shd w:val="clear" w:color="auto" w:fill="D9D9D9" w:themeFill="background1" w:themeFillShade="D9"/>
            <w:vAlign w:val="center"/>
          </w:tcPr>
          <w:p w14:paraId="6642E458" w14:textId="77777777" w:rsidR="00110F1A" w:rsidRPr="00545EC0" w:rsidRDefault="00110F1A" w:rsidP="0051602F">
            <w:pPr>
              <w:spacing w:line="240" w:lineRule="auto"/>
              <w:jc w:val="left"/>
              <w:rPr>
                <w:rFonts w:cstheme="minorHAnsi"/>
                <w:b/>
                <w:bCs/>
                <w:sz w:val="18"/>
                <w:szCs w:val="18"/>
              </w:rPr>
            </w:pPr>
            <w:r w:rsidRPr="00545EC0">
              <w:rPr>
                <w:rFonts w:cstheme="minorHAnsi"/>
                <w:b/>
                <w:bCs/>
                <w:sz w:val="18"/>
                <w:szCs w:val="18"/>
              </w:rPr>
              <w:t>Količinsko stanje</w:t>
            </w:r>
          </w:p>
        </w:tc>
        <w:tc>
          <w:tcPr>
            <w:tcW w:w="1479" w:type="dxa"/>
            <w:shd w:val="clear" w:color="auto" w:fill="D9D9D9" w:themeFill="background1" w:themeFillShade="D9"/>
            <w:vAlign w:val="center"/>
          </w:tcPr>
          <w:p w14:paraId="2F3EEB39" w14:textId="77777777" w:rsidR="00110F1A" w:rsidRPr="00545EC0" w:rsidRDefault="00110F1A" w:rsidP="0051602F">
            <w:pPr>
              <w:spacing w:line="240" w:lineRule="auto"/>
              <w:jc w:val="left"/>
              <w:rPr>
                <w:rFonts w:cstheme="minorHAnsi"/>
                <w:b/>
                <w:bCs/>
                <w:sz w:val="18"/>
                <w:szCs w:val="18"/>
              </w:rPr>
            </w:pPr>
            <w:r w:rsidRPr="00545EC0">
              <w:rPr>
                <w:rFonts w:cstheme="minorHAnsi"/>
                <w:b/>
                <w:bCs/>
                <w:sz w:val="18"/>
                <w:szCs w:val="18"/>
              </w:rPr>
              <w:t>Območja s posebnimi zahtevami</w:t>
            </w:r>
          </w:p>
        </w:tc>
        <w:tc>
          <w:tcPr>
            <w:tcW w:w="815" w:type="dxa"/>
            <w:shd w:val="clear" w:color="auto" w:fill="D9D9D9" w:themeFill="background1" w:themeFillShade="D9"/>
            <w:vAlign w:val="center"/>
          </w:tcPr>
          <w:p w14:paraId="1BD2A8B9" w14:textId="77777777" w:rsidR="00110F1A" w:rsidRPr="00545EC0" w:rsidRDefault="00110F1A" w:rsidP="0051602F">
            <w:pPr>
              <w:spacing w:line="240" w:lineRule="auto"/>
              <w:jc w:val="left"/>
              <w:rPr>
                <w:rFonts w:cstheme="minorHAnsi"/>
                <w:b/>
                <w:bCs/>
                <w:sz w:val="18"/>
                <w:szCs w:val="18"/>
              </w:rPr>
            </w:pPr>
            <w:r w:rsidRPr="00545EC0">
              <w:rPr>
                <w:rFonts w:cstheme="minorHAnsi"/>
                <w:b/>
                <w:bCs/>
                <w:sz w:val="18"/>
                <w:szCs w:val="18"/>
              </w:rPr>
              <w:t xml:space="preserve">Rok </w:t>
            </w:r>
          </w:p>
        </w:tc>
      </w:tr>
      <w:tr w:rsidR="0051602F" w:rsidRPr="00545EC0" w14:paraId="79DBBDFD" w14:textId="77777777" w:rsidTr="0051602F">
        <w:tc>
          <w:tcPr>
            <w:tcW w:w="0" w:type="auto"/>
          </w:tcPr>
          <w:p w14:paraId="33AA5CF0" w14:textId="77777777" w:rsidR="00110F1A" w:rsidRPr="00545EC0" w:rsidRDefault="00110F1A" w:rsidP="0051602F">
            <w:pPr>
              <w:spacing w:before="240" w:after="240" w:line="240" w:lineRule="auto"/>
              <w:jc w:val="left"/>
              <w:rPr>
                <w:rFonts w:cstheme="minorHAnsi"/>
                <w:sz w:val="18"/>
                <w:szCs w:val="18"/>
              </w:rPr>
            </w:pPr>
            <w:r w:rsidRPr="00545EC0">
              <w:rPr>
                <w:rFonts w:cstheme="minorHAnsi"/>
                <w:sz w:val="18"/>
                <w:szCs w:val="18"/>
              </w:rPr>
              <w:t xml:space="preserve">VTPodV_4024 Murska termalna </w:t>
            </w:r>
            <w:r w:rsidRPr="00545EC0">
              <w:rPr>
                <w:rFonts w:cstheme="minorHAnsi"/>
                <w:sz w:val="18"/>
                <w:szCs w:val="18"/>
              </w:rPr>
              <w:lastRenderedPageBreak/>
              <w:t>voda</w:t>
            </w:r>
          </w:p>
        </w:tc>
        <w:tc>
          <w:tcPr>
            <w:tcW w:w="0" w:type="auto"/>
          </w:tcPr>
          <w:p w14:paraId="29BC44D2" w14:textId="77777777" w:rsidR="00110F1A" w:rsidRPr="00545EC0" w:rsidRDefault="00110F1A" w:rsidP="0051602F">
            <w:pPr>
              <w:spacing w:before="240" w:after="240" w:line="240" w:lineRule="auto"/>
              <w:rPr>
                <w:rFonts w:cstheme="minorHAnsi"/>
                <w:sz w:val="18"/>
                <w:szCs w:val="18"/>
              </w:rPr>
            </w:pPr>
            <w:r w:rsidRPr="00545EC0">
              <w:rPr>
                <w:rFonts w:cstheme="minorHAnsi"/>
                <w:sz w:val="18"/>
                <w:szCs w:val="18"/>
              </w:rPr>
              <w:lastRenderedPageBreak/>
              <w:t xml:space="preserve">Ohranitev naravnega </w:t>
            </w:r>
            <w:r w:rsidRPr="00545EC0">
              <w:rPr>
                <w:rFonts w:cstheme="minorHAnsi"/>
                <w:sz w:val="18"/>
                <w:szCs w:val="18"/>
              </w:rPr>
              <w:lastRenderedPageBreak/>
              <w:t>stanja</w:t>
            </w:r>
          </w:p>
        </w:tc>
        <w:tc>
          <w:tcPr>
            <w:tcW w:w="0" w:type="auto"/>
          </w:tcPr>
          <w:p w14:paraId="36A8F9C4" w14:textId="272536E5" w:rsidR="00110F1A" w:rsidRPr="00545EC0" w:rsidRDefault="00110F1A" w:rsidP="00DD37C5">
            <w:pPr>
              <w:widowControl w:val="0"/>
              <w:numPr>
                <w:ilvl w:val="0"/>
                <w:numId w:val="65"/>
              </w:numPr>
              <w:overflowPunct/>
              <w:autoSpaceDE/>
              <w:autoSpaceDN/>
              <w:adjustRightInd/>
              <w:spacing w:before="240" w:after="240" w:line="240" w:lineRule="auto"/>
              <w:contextualSpacing/>
              <w:textAlignment w:val="auto"/>
              <w:rPr>
                <w:rFonts w:cstheme="minorHAnsi"/>
                <w:sz w:val="18"/>
                <w:szCs w:val="18"/>
              </w:rPr>
            </w:pPr>
            <w:r w:rsidRPr="00545EC0">
              <w:rPr>
                <w:rFonts w:cstheme="minorHAnsi"/>
                <w:sz w:val="18"/>
                <w:szCs w:val="18"/>
              </w:rPr>
              <w:lastRenderedPageBreak/>
              <w:t xml:space="preserve">Zmanjšanje trenda poslabševanja </w:t>
            </w:r>
            <w:r w:rsidR="0051602F" w:rsidRPr="00545EC0">
              <w:rPr>
                <w:rFonts w:cstheme="minorHAnsi"/>
                <w:sz w:val="18"/>
                <w:szCs w:val="18"/>
              </w:rPr>
              <w:t>zaradi</w:t>
            </w:r>
            <w:r w:rsidRPr="00545EC0">
              <w:rPr>
                <w:rFonts w:cstheme="minorHAnsi"/>
                <w:sz w:val="18"/>
                <w:szCs w:val="18"/>
              </w:rPr>
              <w:t xml:space="preserve"> rudarjenja</w:t>
            </w:r>
          </w:p>
          <w:p w14:paraId="0B82A701" w14:textId="77777777" w:rsidR="00110F1A" w:rsidRPr="00545EC0" w:rsidRDefault="00110F1A" w:rsidP="00DD37C5">
            <w:pPr>
              <w:widowControl w:val="0"/>
              <w:numPr>
                <w:ilvl w:val="0"/>
                <w:numId w:val="65"/>
              </w:numPr>
              <w:overflowPunct/>
              <w:autoSpaceDE/>
              <w:autoSpaceDN/>
              <w:adjustRightInd/>
              <w:spacing w:before="240" w:after="240" w:line="240" w:lineRule="auto"/>
              <w:contextualSpacing/>
              <w:textAlignment w:val="auto"/>
              <w:rPr>
                <w:rFonts w:cstheme="minorHAnsi"/>
                <w:sz w:val="18"/>
                <w:szCs w:val="18"/>
              </w:rPr>
            </w:pPr>
            <w:r w:rsidRPr="00545EC0">
              <w:rPr>
                <w:rFonts w:cstheme="minorHAnsi"/>
                <w:sz w:val="18"/>
                <w:szCs w:val="18"/>
              </w:rPr>
              <w:t>Zmanjšanje razmerja (količina iztoka odpadne vode/načrpane vode)</w:t>
            </w:r>
          </w:p>
          <w:p w14:paraId="2E4D79D3" w14:textId="77777777" w:rsidR="00110F1A" w:rsidRPr="00545EC0" w:rsidRDefault="00110F1A" w:rsidP="00DD37C5">
            <w:pPr>
              <w:widowControl w:val="0"/>
              <w:numPr>
                <w:ilvl w:val="0"/>
                <w:numId w:val="65"/>
              </w:numPr>
              <w:overflowPunct/>
              <w:autoSpaceDE/>
              <w:autoSpaceDN/>
              <w:adjustRightInd/>
              <w:spacing w:before="240" w:after="240" w:line="240" w:lineRule="auto"/>
              <w:contextualSpacing/>
              <w:textAlignment w:val="auto"/>
              <w:rPr>
                <w:rFonts w:cstheme="minorHAnsi"/>
                <w:sz w:val="18"/>
                <w:szCs w:val="18"/>
              </w:rPr>
            </w:pPr>
            <w:r w:rsidRPr="00545EC0">
              <w:rPr>
                <w:rFonts w:cstheme="minorHAnsi"/>
                <w:sz w:val="18"/>
                <w:szCs w:val="18"/>
              </w:rPr>
              <w:lastRenderedPageBreak/>
              <w:t>Razvoj gospodarnega izkoriščanja termalne vode z najugodnejšim izkoristkom geotermalne energije</w:t>
            </w:r>
          </w:p>
        </w:tc>
        <w:tc>
          <w:tcPr>
            <w:tcW w:w="1479" w:type="dxa"/>
          </w:tcPr>
          <w:p w14:paraId="6D4770C9" w14:textId="77777777" w:rsidR="00110F1A" w:rsidRPr="00545EC0" w:rsidRDefault="00110F1A" w:rsidP="0051602F">
            <w:pPr>
              <w:spacing w:before="240" w:after="240" w:line="240" w:lineRule="auto"/>
              <w:rPr>
                <w:rFonts w:cstheme="minorHAnsi"/>
                <w:sz w:val="18"/>
                <w:szCs w:val="18"/>
              </w:rPr>
            </w:pPr>
          </w:p>
        </w:tc>
        <w:tc>
          <w:tcPr>
            <w:tcW w:w="815" w:type="dxa"/>
          </w:tcPr>
          <w:p w14:paraId="68BEC6C1" w14:textId="77777777" w:rsidR="00110F1A" w:rsidRPr="00545EC0" w:rsidRDefault="00110F1A" w:rsidP="0051602F">
            <w:pPr>
              <w:spacing w:before="240" w:after="240" w:line="240" w:lineRule="auto"/>
              <w:rPr>
                <w:rFonts w:cstheme="minorHAnsi"/>
                <w:sz w:val="18"/>
                <w:szCs w:val="18"/>
              </w:rPr>
            </w:pPr>
            <w:r w:rsidRPr="00545EC0">
              <w:rPr>
                <w:rFonts w:cstheme="minorHAnsi"/>
                <w:sz w:val="18"/>
                <w:szCs w:val="18"/>
              </w:rPr>
              <w:t>2027</w:t>
            </w:r>
          </w:p>
        </w:tc>
      </w:tr>
    </w:tbl>
    <w:p w14:paraId="7E1497FB" w14:textId="77777777" w:rsidR="00110F1A" w:rsidRPr="00545EC0" w:rsidRDefault="00110F1A" w:rsidP="00110F1A"/>
    <w:p w14:paraId="771768CC" w14:textId="2FCCD08F" w:rsidR="00110F1A" w:rsidRPr="00545EC0" w:rsidRDefault="00110F1A" w:rsidP="00110F1A">
      <w:pPr>
        <w:spacing w:before="120" w:after="120"/>
        <w:rPr>
          <w:rFonts w:cstheme="minorHAnsi"/>
        </w:rPr>
      </w:pPr>
      <w:r w:rsidRPr="00545EC0">
        <w:rPr>
          <w:rFonts w:cstheme="minorHAnsi"/>
        </w:rPr>
        <w:t>Cilji za doseganje dobrega količinskega stanja VTPodV_4016 Murska kotlina in VTPodV Krška kotlina do leta 2027 morda ne bodo doseženi za globoka termalna vodonosnika (</w:t>
      </w:r>
      <w:r w:rsidR="000949D0" w:rsidRPr="00545EC0">
        <w:rPr>
          <w:rFonts w:cstheme="minorHAnsi"/>
        </w:rPr>
        <w:fldChar w:fldCharType="begin"/>
      </w:r>
      <w:r w:rsidR="000949D0" w:rsidRPr="00545EC0">
        <w:rPr>
          <w:rFonts w:cstheme="minorHAnsi"/>
        </w:rPr>
        <w:instrText xml:space="preserve"> REF _Ref84322427 \h  \* MERGEFORMAT </w:instrText>
      </w:r>
      <w:r w:rsidR="000949D0" w:rsidRPr="00545EC0">
        <w:rPr>
          <w:rFonts w:cstheme="minorHAnsi"/>
        </w:rPr>
      </w:r>
      <w:r w:rsidR="000949D0" w:rsidRPr="00545EC0">
        <w:rPr>
          <w:rFonts w:cstheme="minorHAnsi"/>
        </w:rPr>
        <w:fldChar w:fldCharType="separate"/>
      </w:r>
      <w:r w:rsidR="002F3E43" w:rsidRPr="00545EC0">
        <w:rPr>
          <w:bCs/>
          <w:szCs w:val="18"/>
        </w:rPr>
        <w:t xml:space="preserve">Preglednica </w:t>
      </w:r>
      <w:r w:rsidR="002F3E43">
        <w:rPr>
          <w:bCs/>
          <w:noProof/>
          <w:szCs w:val="18"/>
        </w:rPr>
        <w:t>2</w:t>
      </w:r>
      <w:r w:rsidR="002F3E43" w:rsidRPr="00545EC0">
        <w:rPr>
          <w:bCs/>
          <w:noProof/>
          <w:szCs w:val="18"/>
        </w:rPr>
        <w:noBreakHyphen/>
      </w:r>
      <w:r w:rsidR="002F3E43">
        <w:rPr>
          <w:bCs/>
          <w:noProof/>
          <w:szCs w:val="18"/>
        </w:rPr>
        <w:t>50</w:t>
      </w:r>
      <w:r w:rsidR="000949D0" w:rsidRPr="00545EC0">
        <w:rPr>
          <w:rFonts w:cstheme="minorHAnsi"/>
        </w:rPr>
        <w:fldChar w:fldCharType="end"/>
      </w:r>
      <w:r w:rsidRPr="00545EC0">
        <w:rPr>
          <w:rFonts w:cstheme="minorHAnsi"/>
        </w:rPr>
        <w:t>). Sedanji posegi v ta vodonosnika še vedno povzročajo medsebojne vplive posameznih odvzemov in trende zniževanja gladin, čeprav se njihova hitrost nekoliko znižuje. To kaže, da se količinsko stanje globokih vodonosnikov glede na drugi Načrt upravljanja z vodami izboljšuje. Zanesljivost ocene tveganja doseganja okoljskih ciljev je zaradi boljših podatkov sedaj bistveno večja kot pri pripravi prejšnjega načrta.</w:t>
      </w:r>
    </w:p>
    <w:p w14:paraId="581C5A9C" w14:textId="68023CDE" w:rsidR="00110F1A" w:rsidRPr="00545EC0" w:rsidRDefault="00110F1A" w:rsidP="00110F1A">
      <w:pPr>
        <w:keepNext/>
        <w:spacing w:before="200" w:after="200"/>
        <w:rPr>
          <w:bCs/>
          <w:szCs w:val="18"/>
        </w:rPr>
      </w:pPr>
      <w:bookmarkStart w:id="369" w:name="_Ref84322427"/>
      <w:r w:rsidRPr="00545EC0">
        <w:rPr>
          <w:bCs/>
          <w:szCs w:val="18"/>
        </w:rPr>
        <w:t xml:space="preserve">Preglednica </w:t>
      </w:r>
      <w:r w:rsidR="001A7511" w:rsidRPr="00545EC0">
        <w:rPr>
          <w:bCs/>
          <w:szCs w:val="18"/>
        </w:rPr>
        <w:fldChar w:fldCharType="begin"/>
      </w:r>
      <w:r w:rsidR="001A7511" w:rsidRPr="00545EC0">
        <w:rPr>
          <w:bCs/>
          <w:szCs w:val="18"/>
        </w:rPr>
        <w:instrText xml:space="preserve"> STYLEREF 1 \s </w:instrText>
      </w:r>
      <w:r w:rsidR="001A7511" w:rsidRPr="00545EC0">
        <w:rPr>
          <w:bCs/>
          <w:szCs w:val="18"/>
        </w:rPr>
        <w:fldChar w:fldCharType="separate"/>
      </w:r>
      <w:r w:rsidR="002F3E43">
        <w:rPr>
          <w:bCs/>
          <w:noProof/>
          <w:szCs w:val="18"/>
        </w:rPr>
        <w:t>2</w:t>
      </w:r>
      <w:r w:rsidR="001A7511" w:rsidRPr="00545EC0">
        <w:rPr>
          <w:bCs/>
          <w:szCs w:val="18"/>
        </w:rPr>
        <w:fldChar w:fldCharType="end"/>
      </w:r>
      <w:r w:rsidR="001A7511" w:rsidRPr="00545EC0">
        <w:rPr>
          <w:bCs/>
          <w:szCs w:val="18"/>
        </w:rPr>
        <w:noBreakHyphen/>
      </w:r>
      <w:r w:rsidR="001A7511" w:rsidRPr="00545EC0">
        <w:rPr>
          <w:bCs/>
          <w:szCs w:val="18"/>
        </w:rPr>
        <w:fldChar w:fldCharType="begin"/>
      </w:r>
      <w:r w:rsidR="001A7511" w:rsidRPr="00545EC0">
        <w:rPr>
          <w:bCs/>
          <w:szCs w:val="18"/>
        </w:rPr>
        <w:instrText xml:space="preserve"> SEQ Preglednica \* ARABIC \s 1 </w:instrText>
      </w:r>
      <w:r w:rsidR="001A7511" w:rsidRPr="00545EC0">
        <w:rPr>
          <w:bCs/>
          <w:szCs w:val="18"/>
        </w:rPr>
        <w:fldChar w:fldCharType="separate"/>
      </w:r>
      <w:r w:rsidR="002F3E43">
        <w:rPr>
          <w:bCs/>
          <w:noProof/>
          <w:szCs w:val="18"/>
        </w:rPr>
        <w:t>50</w:t>
      </w:r>
      <w:r w:rsidR="001A7511" w:rsidRPr="00545EC0">
        <w:rPr>
          <w:bCs/>
          <w:szCs w:val="18"/>
        </w:rPr>
        <w:fldChar w:fldCharType="end"/>
      </w:r>
      <w:bookmarkEnd w:id="369"/>
      <w:r w:rsidRPr="00545EC0">
        <w:rPr>
          <w:bCs/>
          <w:szCs w:val="18"/>
        </w:rPr>
        <w:t xml:space="preserve">: </w:t>
      </w:r>
      <w:r w:rsidRPr="00545EC0">
        <w:rPr>
          <w:rFonts w:cstheme="minorHAnsi"/>
          <w:bCs/>
          <w:szCs w:val="18"/>
        </w:rPr>
        <w:t>OVDOC 2027 za količinsko stanje glede na izhodiščno stanje.</w:t>
      </w:r>
    </w:p>
    <w:tbl>
      <w:tblPr>
        <w:tblStyle w:val="Tabelamrea5"/>
        <w:tblW w:w="9410" w:type="dxa"/>
        <w:tblLayout w:type="fixed"/>
        <w:tblLook w:val="04A0" w:firstRow="1" w:lastRow="0" w:firstColumn="1" w:lastColumn="0" w:noHBand="0" w:noVBand="1"/>
      </w:tblPr>
      <w:tblGrid>
        <w:gridCol w:w="1746"/>
        <w:gridCol w:w="1773"/>
        <w:gridCol w:w="2401"/>
        <w:gridCol w:w="3490"/>
      </w:tblGrid>
      <w:tr w:rsidR="0051602F" w:rsidRPr="00545EC0" w14:paraId="1C883410" w14:textId="77777777" w:rsidTr="0051602F">
        <w:trPr>
          <w:trHeight w:val="347"/>
          <w:tblHeader/>
        </w:trPr>
        <w:tc>
          <w:tcPr>
            <w:tcW w:w="1746" w:type="dxa"/>
            <w:shd w:val="clear" w:color="auto" w:fill="D9D9D9" w:themeFill="background1" w:themeFillShade="D9"/>
            <w:vAlign w:val="center"/>
          </w:tcPr>
          <w:p w14:paraId="52CD004B" w14:textId="48B3FDF0" w:rsidR="0051602F" w:rsidRPr="00545EC0" w:rsidRDefault="0051602F" w:rsidP="0051602F">
            <w:pPr>
              <w:spacing w:line="240" w:lineRule="auto"/>
              <w:jc w:val="left"/>
              <w:rPr>
                <w:rFonts w:cstheme="minorHAnsi"/>
                <w:b/>
                <w:bCs/>
                <w:sz w:val="18"/>
                <w:szCs w:val="18"/>
              </w:rPr>
            </w:pPr>
            <w:r w:rsidRPr="00545EC0">
              <w:rPr>
                <w:rFonts w:cs="Arial"/>
                <w:b/>
                <w:bCs/>
                <w:sz w:val="18"/>
                <w:szCs w:val="18"/>
              </w:rPr>
              <w:t>Šifra VTPodV</w:t>
            </w:r>
          </w:p>
        </w:tc>
        <w:tc>
          <w:tcPr>
            <w:tcW w:w="1773" w:type="dxa"/>
            <w:shd w:val="clear" w:color="auto" w:fill="D9D9D9" w:themeFill="background1" w:themeFillShade="D9"/>
            <w:vAlign w:val="center"/>
          </w:tcPr>
          <w:p w14:paraId="1D910D1F" w14:textId="74D09160" w:rsidR="0051602F" w:rsidRPr="00545EC0" w:rsidRDefault="0051602F" w:rsidP="0051602F">
            <w:pPr>
              <w:spacing w:line="240" w:lineRule="auto"/>
              <w:jc w:val="left"/>
              <w:rPr>
                <w:rFonts w:cstheme="minorHAnsi"/>
                <w:b/>
                <w:bCs/>
                <w:sz w:val="18"/>
                <w:szCs w:val="18"/>
              </w:rPr>
            </w:pPr>
            <w:r w:rsidRPr="00545EC0">
              <w:rPr>
                <w:rFonts w:cs="Arial"/>
                <w:b/>
                <w:bCs/>
                <w:sz w:val="18"/>
                <w:szCs w:val="18"/>
              </w:rPr>
              <w:t>Ime VTPodV</w:t>
            </w:r>
          </w:p>
        </w:tc>
        <w:tc>
          <w:tcPr>
            <w:tcW w:w="2401" w:type="dxa"/>
            <w:shd w:val="clear" w:color="auto" w:fill="D9D9D9" w:themeFill="background1" w:themeFillShade="D9"/>
            <w:vAlign w:val="center"/>
          </w:tcPr>
          <w:p w14:paraId="60B129DD" w14:textId="77777777" w:rsidR="0051602F" w:rsidRPr="00545EC0" w:rsidRDefault="0051602F" w:rsidP="0051602F">
            <w:pPr>
              <w:spacing w:line="240" w:lineRule="auto"/>
              <w:jc w:val="left"/>
              <w:rPr>
                <w:rFonts w:cstheme="minorHAnsi"/>
                <w:b/>
                <w:bCs/>
                <w:sz w:val="18"/>
                <w:szCs w:val="18"/>
              </w:rPr>
            </w:pPr>
            <w:r w:rsidRPr="00545EC0">
              <w:rPr>
                <w:rFonts w:cstheme="minorHAnsi"/>
                <w:b/>
                <w:bCs/>
                <w:sz w:val="18"/>
                <w:szCs w:val="18"/>
              </w:rPr>
              <w:t>OVDOC 2027</w:t>
            </w:r>
          </w:p>
        </w:tc>
        <w:tc>
          <w:tcPr>
            <w:tcW w:w="3490" w:type="dxa"/>
            <w:shd w:val="clear" w:color="auto" w:fill="D9D9D9" w:themeFill="background1" w:themeFillShade="D9"/>
            <w:vAlign w:val="center"/>
          </w:tcPr>
          <w:p w14:paraId="079FE7B1" w14:textId="05046809" w:rsidR="0051602F" w:rsidRPr="00545EC0" w:rsidRDefault="0051602F" w:rsidP="0051602F">
            <w:pPr>
              <w:spacing w:line="240" w:lineRule="auto"/>
              <w:jc w:val="left"/>
              <w:rPr>
                <w:rFonts w:cstheme="minorHAnsi"/>
                <w:b/>
                <w:bCs/>
                <w:sz w:val="18"/>
                <w:szCs w:val="18"/>
              </w:rPr>
            </w:pPr>
            <w:r w:rsidRPr="00545EC0">
              <w:rPr>
                <w:rFonts w:cstheme="minorHAnsi"/>
                <w:b/>
                <w:bCs/>
                <w:sz w:val="18"/>
                <w:szCs w:val="18"/>
              </w:rPr>
              <w:t xml:space="preserve">Vodonosnik </w:t>
            </w:r>
          </w:p>
        </w:tc>
      </w:tr>
      <w:tr w:rsidR="0051602F" w:rsidRPr="00545EC0" w14:paraId="56EC6F30" w14:textId="77777777" w:rsidTr="0051602F">
        <w:tc>
          <w:tcPr>
            <w:tcW w:w="1746" w:type="dxa"/>
          </w:tcPr>
          <w:p w14:paraId="30421D95" w14:textId="77777777" w:rsidR="00110F1A" w:rsidRPr="00545EC0" w:rsidRDefault="00110F1A" w:rsidP="0051602F">
            <w:pPr>
              <w:spacing w:line="240" w:lineRule="auto"/>
              <w:rPr>
                <w:rFonts w:cstheme="minorHAnsi"/>
                <w:sz w:val="18"/>
                <w:szCs w:val="18"/>
              </w:rPr>
            </w:pPr>
            <w:r w:rsidRPr="00545EC0">
              <w:rPr>
                <w:rFonts w:cstheme="minorHAnsi"/>
                <w:sz w:val="18"/>
                <w:szCs w:val="18"/>
              </w:rPr>
              <w:t>VTPodV _1003</w:t>
            </w:r>
          </w:p>
        </w:tc>
        <w:tc>
          <w:tcPr>
            <w:tcW w:w="1773" w:type="dxa"/>
          </w:tcPr>
          <w:p w14:paraId="7375B9D0" w14:textId="77777777" w:rsidR="00110F1A" w:rsidRPr="00545EC0" w:rsidRDefault="00110F1A" w:rsidP="0051602F">
            <w:pPr>
              <w:spacing w:line="240" w:lineRule="auto"/>
              <w:rPr>
                <w:rFonts w:cstheme="minorHAnsi"/>
                <w:sz w:val="18"/>
                <w:szCs w:val="18"/>
              </w:rPr>
            </w:pPr>
            <w:r w:rsidRPr="00545EC0">
              <w:rPr>
                <w:rFonts w:cstheme="minorHAnsi"/>
                <w:sz w:val="18"/>
                <w:szCs w:val="18"/>
              </w:rPr>
              <w:t>Krška kotlina</w:t>
            </w:r>
          </w:p>
        </w:tc>
        <w:tc>
          <w:tcPr>
            <w:tcW w:w="2401" w:type="dxa"/>
          </w:tcPr>
          <w:p w14:paraId="066654DB" w14:textId="77777777" w:rsidR="00110F1A" w:rsidRPr="00545EC0" w:rsidRDefault="00110F1A" w:rsidP="0051602F">
            <w:pPr>
              <w:spacing w:line="240" w:lineRule="auto"/>
              <w:jc w:val="left"/>
              <w:rPr>
                <w:rFonts w:cstheme="minorHAnsi"/>
                <w:sz w:val="18"/>
                <w:szCs w:val="18"/>
              </w:rPr>
            </w:pPr>
            <w:r w:rsidRPr="00545EC0">
              <w:rPr>
                <w:rFonts w:cstheme="minorHAnsi"/>
                <w:sz w:val="18"/>
                <w:szCs w:val="18"/>
              </w:rPr>
              <w:t>cilji morda bodo ali morda ne bodo doseženi (obstaja tveganje)</w:t>
            </w:r>
          </w:p>
        </w:tc>
        <w:tc>
          <w:tcPr>
            <w:tcW w:w="3490" w:type="dxa"/>
          </w:tcPr>
          <w:p w14:paraId="1ED20571" w14:textId="77777777" w:rsidR="00110F1A" w:rsidRPr="00545EC0" w:rsidRDefault="00110F1A" w:rsidP="0051602F">
            <w:pPr>
              <w:spacing w:line="240" w:lineRule="auto"/>
              <w:jc w:val="left"/>
              <w:rPr>
                <w:rFonts w:cstheme="minorHAnsi"/>
                <w:sz w:val="18"/>
                <w:szCs w:val="18"/>
              </w:rPr>
            </w:pPr>
            <w:r w:rsidRPr="00545EC0">
              <w:rPr>
                <w:rFonts w:cstheme="minorHAnsi"/>
                <w:sz w:val="18"/>
                <w:szCs w:val="18"/>
              </w:rPr>
              <w:t>3. vodonosnik (globoki termalni vodonosnik)</w:t>
            </w:r>
          </w:p>
          <w:p w14:paraId="7A277625" w14:textId="77777777" w:rsidR="00110F1A" w:rsidRPr="00545EC0" w:rsidRDefault="00110F1A" w:rsidP="0051602F">
            <w:pPr>
              <w:spacing w:line="240" w:lineRule="auto"/>
              <w:jc w:val="left"/>
              <w:rPr>
                <w:rFonts w:cstheme="minorHAnsi"/>
                <w:sz w:val="18"/>
                <w:szCs w:val="18"/>
              </w:rPr>
            </w:pPr>
          </w:p>
        </w:tc>
      </w:tr>
      <w:tr w:rsidR="0051602F" w:rsidRPr="00545EC0" w14:paraId="1B251D35" w14:textId="77777777" w:rsidTr="0051602F">
        <w:tc>
          <w:tcPr>
            <w:tcW w:w="1746" w:type="dxa"/>
          </w:tcPr>
          <w:p w14:paraId="4772671E" w14:textId="77777777" w:rsidR="00110F1A" w:rsidRPr="00545EC0" w:rsidRDefault="00110F1A" w:rsidP="0051602F">
            <w:pPr>
              <w:spacing w:line="240" w:lineRule="auto"/>
              <w:rPr>
                <w:rFonts w:cstheme="minorHAnsi"/>
                <w:sz w:val="18"/>
                <w:szCs w:val="18"/>
              </w:rPr>
            </w:pPr>
            <w:r w:rsidRPr="00545EC0">
              <w:rPr>
                <w:rFonts w:cstheme="minorHAnsi"/>
                <w:sz w:val="18"/>
                <w:szCs w:val="18"/>
              </w:rPr>
              <w:t xml:space="preserve">TPodV _4016 </w:t>
            </w:r>
          </w:p>
        </w:tc>
        <w:tc>
          <w:tcPr>
            <w:tcW w:w="1773" w:type="dxa"/>
          </w:tcPr>
          <w:p w14:paraId="0AEACC35" w14:textId="77777777" w:rsidR="00110F1A" w:rsidRPr="00545EC0" w:rsidRDefault="00110F1A" w:rsidP="0051602F">
            <w:pPr>
              <w:spacing w:line="240" w:lineRule="auto"/>
              <w:rPr>
                <w:rFonts w:cstheme="minorHAnsi"/>
                <w:sz w:val="18"/>
                <w:szCs w:val="18"/>
              </w:rPr>
            </w:pPr>
            <w:r w:rsidRPr="00545EC0">
              <w:rPr>
                <w:rFonts w:cstheme="minorHAnsi"/>
                <w:sz w:val="18"/>
                <w:szCs w:val="18"/>
              </w:rPr>
              <w:t>Murska kotlina</w:t>
            </w:r>
          </w:p>
        </w:tc>
        <w:tc>
          <w:tcPr>
            <w:tcW w:w="2401" w:type="dxa"/>
          </w:tcPr>
          <w:p w14:paraId="6CA8CCB7" w14:textId="77777777" w:rsidR="00110F1A" w:rsidRPr="00545EC0" w:rsidRDefault="00110F1A" w:rsidP="0051602F">
            <w:pPr>
              <w:spacing w:line="240" w:lineRule="auto"/>
              <w:jc w:val="left"/>
              <w:rPr>
                <w:rFonts w:cstheme="minorHAnsi"/>
                <w:sz w:val="18"/>
                <w:szCs w:val="18"/>
              </w:rPr>
            </w:pPr>
            <w:r w:rsidRPr="00545EC0">
              <w:rPr>
                <w:rFonts w:cstheme="minorHAnsi"/>
                <w:sz w:val="18"/>
                <w:szCs w:val="18"/>
              </w:rPr>
              <w:t xml:space="preserve">cilji morda bodo ali morda ne bodo doseženi (obstaja tveganje) </w:t>
            </w:r>
          </w:p>
        </w:tc>
        <w:tc>
          <w:tcPr>
            <w:tcW w:w="3490" w:type="dxa"/>
          </w:tcPr>
          <w:p w14:paraId="22C282EA" w14:textId="77777777" w:rsidR="00110F1A" w:rsidRPr="00545EC0" w:rsidRDefault="00110F1A" w:rsidP="0051602F">
            <w:pPr>
              <w:spacing w:line="240" w:lineRule="auto"/>
              <w:jc w:val="left"/>
              <w:rPr>
                <w:rFonts w:cstheme="minorHAnsi"/>
                <w:sz w:val="18"/>
                <w:szCs w:val="18"/>
              </w:rPr>
            </w:pPr>
            <w:r w:rsidRPr="00545EC0">
              <w:rPr>
                <w:rFonts w:cstheme="minorHAnsi"/>
                <w:sz w:val="18"/>
                <w:szCs w:val="18"/>
              </w:rPr>
              <w:t xml:space="preserve">3. vodonosnik (globoki termalni vodonosnik) </w:t>
            </w:r>
          </w:p>
        </w:tc>
      </w:tr>
    </w:tbl>
    <w:p w14:paraId="79DE37B1" w14:textId="77777777" w:rsidR="00110F1A" w:rsidRPr="00545EC0" w:rsidRDefault="00110F1A" w:rsidP="00110F1A"/>
    <w:p w14:paraId="27F4E0E4" w14:textId="6234676D" w:rsidR="00821410" w:rsidRPr="00545EC0" w:rsidRDefault="00597134" w:rsidP="00A50C7E">
      <w:r w:rsidRPr="00545EC0">
        <w:br w:type="page"/>
      </w:r>
      <w:r w:rsidR="00821410" w:rsidRPr="00545EC0">
        <w:lastRenderedPageBreak/>
        <w:t xml:space="preserve"> </w:t>
      </w:r>
    </w:p>
    <w:p w14:paraId="5C2EA8C7" w14:textId="53D881EF" w:rsidR="00821410" w:rsidRPr="00545EC0" w:rsidRDefault="00821410" w:rsidP="00DA3504">
      <w:pPr>
        <w:pStyle w:val="Naslov20"/>
      </w:pPr>
      <w:bookmarkStart w:id="370" w:name="_Toc90261028"/>
      <w:r w:rsidRPr="00545EC0">
        <w:t>Ekonomska analiza storitev, povezanih z obremenjevanjem voda</w:t>
      </w:r>
      <w:bookmarkEnd w:id="370"/>
    </w:p>
    <w:p w14:paraId="050DC6F1" w14:textId="77777777" w:rsidR="00821410" w:rsidRPr="00545EC0" w:rsidRDefault="00821410">
      <w:pPr>
        <w:pStyle w:val="Naslov3"/>
      </w:pPr>
      <w:bookmarkStart w:id="371" w:name="_Toc90261029"/>
      <w:bookmarkStart w:id="372" w:name="_Toc405797119"/>
      <w:bookmarkStart w:id="373" w:name="_Toc390945376"/>
      <w:bookmarkStart w:id="374" w:name="_Toc405795456"/>
      <w:bookmarkStart w:id="375" w:name="_Toc390945379"/>
      <w:bookmarkStart w:id="376" w:name="_Ref390944170"/>
      <w:bookmarkStart w:id="377" w:name="_Ref390944161"/>
      <w:bookmarkStart w:id="378" w:name="_Ref390944154"/>
      <w:r w:rsidRPr="00545EC0">
        <w:t>Izhodišča</w:t>
      </w:r>
      <w:bookmarkEnd w:id="371"/>
    </w:p>
    <w:bookmarkEnd w:id="372"/>
    <w:bookmarkEnd w:id="373"/>
    <w:bookmarkEnd w:id="374"/>
    <w:bookmarkEnd w:id="375"/>
    <w:bookmarkEnd w:id="376"/>
    <w:bookmarkEnd w:id="377"/>
    <w:bookmarkEnd w:id="378"/>
    <w:p w14:paraId="2CC8F977" w14:textId="5013F396" w:rsidR="00B9666E" w:rsidRPr="00545EC0" w:rsidRDefault="00B9666E" w:rsidP="00B9666E">
      <w:pPr>
        <w:rPr>
          <w:rFonts w:cs="Arial"/>
        </w:rPr>
      </w:pPr>
      <w:r w:rsidRPr="00545EC0">
        <w:rPr>
          <w:rFonts w:cs="Arial"/>
        </w:rPr>
        <w:t xml:space="preserve">Mnoge dejavnosti obremenjujejo vode in s tem povzročajo okoljske stroške in stroške vode kot naravnega vira. Za povračilo dela teh stroškov je predpisano plačevanje dajatev za obremenjevanje voda. Zbrana sredstva lahko predstavljajo vir financiranja ukrepov, ki prispevajo k doseganju okoljskih ciljev, kot je npr. dobro stanje voda, kar koristi večini gospodarskih in drugih dejavnosti, kot prikazano na sliki </w:t>
      </w:r>
      <w:r w:rsidR="005538DF" w:rsidRPr="00545EC0">
        <w:rPr>
          <w:rFonts w:cs="Arial"/>
        </w:rPr>
        <w:t>(</w:t>
      </w:r>
      <w:r w:rsidR="005538DF" w:rsidRPr="00545EC0">
        <w:rPr>
          <w:rFonts w:cs="Arial"/>
        </w:rPr>
        <w:fldChar w:fldCharType="begin"/>
      </w:r>
      <w:r w:rsidR="005538DF" w:rsidRPr="00545EC0">
        <w:rPr>
          <w:rFonts w:cs="Arial"/>
        </w:rPr>
        <w:instrText xml:space="preserve"> REF _Ref414632490 \h </w:instrText>
      </w:r>
      <w:r w:rsidR="00F37A91" w:rsidRPr="00545EC0">
        <w:rPr>
          <w:rFonts w:cs="Arial"/>
        </w:rPr>
        <w:instrText xml:space="preserve"> \* MERGEFORMAT </w:instrText>
      </w:r>
      <w:r w:rsidR="005538DF" w:rsidRPr="00545EC0">
        <w:rPr>
          <w:rFonts w:cs="Arial"/>
        </w:rPr>
      </w:r>
      <w:r w:rsidR="005538DF" w:rsidRPr="00545EC0">
        <w:rPr>
          <w:rFonts w:cs="Arial"/>
        </w:rPr>
        <w:fldChar w:fldCharType="separate"/>
      </w:r>
      <w:r w:rsidR="002F3E43" w:rsidRPr="00545EC0">
        <w:rPr>
          <w:rFonts w:cs="Arial"/>
          <w:bCs/>
          <w:szCs w:val="20"/>
          <w:lang w:eastAsia="ja-JP"/>
        </w:rPr>
        <w:t xml:space="preserve">Slika </w:t>
      </w:r>
      <w:r w:rsidR="002F3E43">
        <w:rPr>
          <w:rFonts w:cs="Arial"/>
          <w:bCs/>
          <w:noProof/>
          <w:szCs w:val="20"/>
          <w:lang w:eastAsia="ja-JP"/>
        </w:rPr>
        <w:t>2</w:t>
      </w:r>
      <w:r w:rsidR="002F3E43" w:rsidRPr="00545EC0">
        <w:rPr>
          <w:rFonts w:cs="Arial"/>
          <w:bCs/>
          <w:noProof/>
          <w:szCs w:val="20"/>
          <w:lang w:eastAsia="ja-JP"/>
        </w:rPr>
        <w:noBreakHyphen/>
      </w:r>
      <w:r w:rsidR="002F3E43">
        <w:rPr>
          <w:rFonts w:cs="Arial"/>
          <w:bCs/>
          <w:noProof/>
          <w:szCs w:val="20"/>
          <w:lang w:eastAsia="ja-JP"/>
        </w:rPr>
        <w:t>44</w:t>
      </w:r>
      <w:r w:rsidR="005538DF" w:rsidRPr="00545EC0">
        <w:rPr>
          <w:rFonts w:cs="Arial"/>
        </w:rPr>
        <w:fldChar w:fldCharType="end"/>
      </w:r>
      <w:r w:rsidR="005538DF" w:rsidRPr="00545EC0">
        <w:rPr>
          <w:rFonts w:cs="Arial"/>
        </w:rPr>
        <w:t>).</w:t>
      </w:r>
    </w:p>
    <w:p w14:paraId="35171190" w14:textId="77777777" w:rsidR="00B9666E" w:rsidRPr="00545EC0" w:rsidRDefault="00B9666E" w:rsidP="00B9666E">
      <w:pPr>
        <w:rPr>
          <w:rFonts w:cs="Arial"/>
        </w:rPr>
      </w:pPr>
    </w:p>
    <w:p w14:paraId="51099827" w14:textId="77777777" w:rsidR="00B9666E" w:rsidRPr="00545EC0" w:rsidRDefault="00B9666E" w:rsidP="00B9666E">
      <w:pPr>
        <w:rPr>
          <w:rFonts w:cs="Arial"/>
        </w:rPr>
      </w:pPr>
      <w:r w:rsidRPr="00545EC0">
        <w:rPr>
          <w:rFonts w:cs="Arial"/>
          <w:noProof/>
        </w:rPr>
        <mc:AlternateContent>
          <mc:Choice Requires="wps">
            <w:drawing>
              <wp:anchor distT="0" distB="0" distL="114300" distR="114300" simplePos="0" relativeHeight="251659264" behindDoc="0" locked="0" layoutInCell="1" allowOverlap="1" wp14:anchorId="431FB50B" wp14:editId="32714AF4">
                <wp:simplePos x="0" y="0"/>
                <wp:positionH relativeFrom="column">
                  <wp:posOffset>280035</wp:posOffset>
                </wp:positionH>
                <wp:positionV relativeFrom="paragraph">
                  <wp:posOffset>-1905</wp:posOffset>
                </wp:positionV>
                <wp:extent cx="1362075" cy="285750"/>
                <wp:effectExtent l="0" t="0" r="28575" b="19050"/>
                <wp:wrapNone/>
                <wp:docPr id="79" name="Odreži kota na isti strani pravokotnika 79"/>
                <wp:cNvGraphicFramePr/>
                <a:graphic xmlns:a="http://schemas.openxmlformats.org/drawingml/2006/main">
                  <a:graphicData uri="http://schemas.microsoft.com/office/word/2010/wordprocessingShape">
                    <wps:wsp>
                      <wps:cNvSpPr/>
                      <wps:spPr>
                        <a:xfrm>
                          <a:off x="0" y="0"/>
                          <a:ext cx="1362075" cy="285750"/>
                        </a:xfrm>
                        <a:prstGeom prst="snip2SameRect">
                          <a:avLst/>
                        </a:prstGeom>
                      </wps:spPr>
                      <wps:style>
                        <a:lnRef idx="2">
                          <a:schemeClr val="dk1"/>
                        </a:lnRef>
                        <a:fillRef idx="1">
                          <a:schemeClr val="lt1"/>
                        </a:fillRef>
                        <a:effectRef idx="0">
                          <a:schemeClr val="dk1"/>
                        </a:effectRef>
                        <a:fontRef idx="minor">
                          <a:schemeClr val="dk1"/>
                        </a:fontRef>
                      </wps:style>
                      <wps:txbx>
                        <w:txbxContent>
                          <w:p w14:paraId="75293870" w14:textId="77777777" w:rsidR="00D17419" w:rsidRPr="009D34AE" w:rsidRDefault="00D17419" w:rsidP="00B9666E">
                            <w:pPr>
                              <w:jc w:val="center"/>
                              <w:rPr>
                                <w:b/>
                              </w:rPr>
                            </w:pPr>
                            <w:r w:rsidRPr="009D34AE">
                              <w:rPr>
                                <w:b/>
                              </w:rPr>
                              <w:t>GOSPODINJSTVO</w:t>
                            </w:r>
                          </w:p>
                          <w:p w14:paraId="4967059E" w14:textId="77777777" w:rsidR="00D17419" w:rsidRDefault="00D17419" w:rsidP="00B966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dreži kota na isti strani pravokotnika 79" o:spid="_x0000_s1026" style="position:absolute;left:0;text-align:left;margin-left:22.05pt;margin-top:-.15pt;width:107.25pt;height:2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362075,28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" adj="-11796480,,5400" path="m47626,l1314449,r47626,47626l1362075,285750r,l,285750r,l,47626,47626,xe" fillcolor="white [3201]" strokecolor="black [3200]" strokeweight="2pt">
                <v:stroke joinstyle="miter"/>
                <v:formulas/>
                <v:path arrowok="t" o:connecttype="custom" o:connectlocs="47626,0;1314449,0;1362075,47626;1362075,285750;1362075,285750;0,285750;0,285750;0,47626;47626,0" o:connectangles="0,0,0,0,0,0,0,0,0" textboxrect="0,0,1362075,285750"/>
                <v:textbox>
                  <w:txbxContent>
                    <w:p w14:paraId="75293870" w14:textId="77777777" w:rsidR="00D17419" w:rsidRPr="009D34AE" w:rsidRDefault="00D17419" w:rsidP="00B9666E">
                      <w:pPr>
                        <w:jc w:val="center"/>
                        <w:rPr>
                          <w:b/>
                        </w:rPr>
                      </w:pPr>
                      <w:r w:rsidRPr="009D34AE">
                        <w:rPr>
                          <w:b/>
                        </w:rPr>
                        <w:t>GOSPODINJSTVO</w:t>
                      </w:r>
                    </w:p>
                    <w:p w14:paraId="4967059E" w14:textId="77777777" w:rsidR="00D17419" w:rsidRDefault="00D17419" w:rsidP="00B9666E">
                      <w:pPr>
                        <w:jc w:val="center"/>
                      </w:pPr>
                    </w:p>
                  </w:txbxContent>
                </v:textbox>
              </v:shape>
            </w:pict>
          </mc:Fallback>
        </mc:AlternateContent>
      </w:r>
      <w:r w:rsidRPr="00545EC0">
        <w:rPr>
          <w:rFonts w:cs="Arial"/>
          <w:noProof/>
        </w:rPr>
        <mc:AlternateContent>
          <mc:Choice Requires="wps">
            <w:drawing>
              <wp:anchor distT="0" distB="0" distL="114300" distR="114300" simplePos="0" relativeHeight="251661312" behindDoc="0" locked="0" layoutInCell="1" allowOverlap="1" wp14:anchorId="3F5531F5" wp14:editId="426A4A23">
                <wp:simplePos x="0" y="0"/>
                <wp:positionH relativeFrom="column">
                  <wp:posOffset>3347721</wp:posOffset>
                </wp:positionH>
                <wp:positionV relativeFrom="paragraph">
                  <wp:posOffset>-1905</wp:posOffset>
                </wp:positionV>
                <wp:extent cx="1085850" cy="285750"/>
                <wp:effectExtent l="0" t="0" r="19050" b="19050"/>
                <wp:wrapNone/>
                <wp:docPr id="81" name="Odreži kota na isti strani pravokotnika 81"/>
                <wp:cNvGraphicFramePr/>
                <a:graphic xmlns:a="http://schemas.openxmlformats.org/drawingml/2006/main">
                  <a:graphicData uri="http://schemas.microsoft.com/office/word/2010/wordprocessingShape">
                    <wps:wsp>
                      <wps:cNvSpPr/>
                      <wps:spPr>
                        <a:xfrm>
                          <a:off x="0" y="0"/>
                          <a:ext cx="1085850" cy="285750"/>
                        </a:xfrm>
                        <a:prstGeom prst="snip2SameRect">
                          <a:avLst/>
                        </a:prstGeom>
                      </wps:spPr>
                      <wps:style>
                        <a:lnRef idx="2">
                          <a:schemeClr val="dk1"/>
                        </a:lnRef>
                        <a:fillRef idx="1">
                          <a:schemeClr val="lt1"/>
                        </a:fillRef>
                        <a:effectRef idx="0">
                          <a:schemeClr val="dk1"/>
                        </a:effectRef>
                        <a:fontRef idx="minor">
                          <a:schemeClr val="dk1"/>
                        </a:fontRef>
                      </wps:style>
                      <wps:txbx>
                        <w:txbxContent>
                          <w:p w14:paraId="104F4BA7" w14:textId="77777777" w:rsidR="00D17419" w:rsidRPr="009D34AE" w:rsidRDefault="00D17419" w:rsidP="00B9666E">
                            <w:pPr>
                              <w:jc w:val="center"/>
                              <w:rPr>
                                <w:b/>
                              </w:rPr>
                            </w:pPr>
                            <w:r w:rsidRPr="009D34AE">
                              <w:rPr>
                                <w:b/>
                              </w:rPr>
                              <w:t>KMETIJSTVO</w:t>
                            </w:r>
                          </w:p>
                          <w:p w14:paraId="4D16038F" w14:textId="77777777" w:rsidR="00D17419" w:rsidRDefault="00D17419" w:rsidP="00B966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dreži kota na isti strani pravokotnika 81" o:spid="_x0000_s1027" style="position:absolute;left:0;text-align:left;margin-left:263.6pt;margin-top:-.15pt;width:85.5pt;height:2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85850,28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" adj="-11796480,,5400" path="m47626,r990598,l1085850,47626r,238124l1085850,285750,,285750r,l,47626,47626,xe" fillcolor="white [3201]" strokecolor="black [3200]" strokeweight="2pt">
                <v:stroke joinstyle="miter"/>
                <v:formulas/>
                <v:path arrowok="t" o:connecttype="custom" o:connectlocs="47626,0;1038224,0;1085850,47626;1085850,285750;1085850,285750;0,285750;0,285750;0,47626;47626,0" o:connectangles="0,0,0,0,0,0,0,0,0" textboxrect="0,0,1085850,285750"/>
                <v:textbox>
                  <w:txbxContent>
                    <w:p w14:paraId="104F4BA7" w14:textId="77777777" w:rsidR="00D17419" w:rsidRPr="009D34AE" w:rsidRDefault="00D17419" w:rsidP="00B9666E">
                      <w:pPr>
                        <w:jc w:val="center"/>
                        <w:rPr>
                          <w:b/>
                        </w:rPr>
                      </w:pPr>
                      <w:r w:rsidRPr="009D34AE">
                        <w:rPr>
                          <w:b/>
                        </w:rPr>
                        <w:t>KMETIJSTVO</w:t>
                      </w:r>
                    </w:p>
                    <w:p w14:paraId="4D16038F" w14:textId="77777777" w:rsidR="00D17419" w:rsidRDefault="00D17419" w:rsidP="00B9666E">
                      <w:pPr>
                        <w:jc w:val="center"/>
                      </w:pPr>
                    </w:p>
                  </w:txbxContent>
                </v:textbox>
              </v:shape>
            </w:pict>
          </mc:Fallback>
        </mc:AlternateContent>
      </w:r>
      <w:r w:rsidRPr="00545EC0">
        <w:rPr>
          <w:rFonts w:cs="Arial"/>
          <w:noProof/>
        </w:rPr>
        <mc:AlternateContent>
          <mc:Choice Requires="wps">
            <w:drawing>
              <wp:anchor distT="0" distB="0" distL="114300" distR="114300" simplePos="0" relativeHeight="251660288" behindDoc="0" locked="0" layoutInCell="1" allowOverlap="1" wp14:anchorId="02AAFB28" wp14:editId="7471EA38">
                <wp:simplePos x="0" y="0"/>
                <wp:positionH relativeFrom="column">
                  <wp:posOffset>1785620</wp:posOffset>
                </wp:positionH>
                <wp:positionV relativeFrom="paragraph">
                  <wp:posOffset>-1905</wp:posOffset>
                </wp:positionV>
                <wp:extent cx="1447800" cy="285750"/>
                <wp:effectExtent l="0" t="0" r="19050" b="19050"/>
                <wp:wrapNone/>
                <wp:docPr id="80" name="Odreži kota na isti strani pravokotnika 80"/>
                <wp:cNvGraphicFramePr/>
                <a:graphic xmlns:a="http://schemas.openxmlformats.org/drawingml/2006/main">
                  <a:graphicData uri="http://schemas.microsoft.com/office/word/2010/wordprocessingShape">
                    <wps:wsp>
                      <wps:cNvSpPr/>
                      <wps:spPr>
                        <a:xfrm>
                          <a:off x="0" y="0"/>
                          <a:ext cx="1447800" cy="285750"/>
                        </a:xfrm>
                        <a:prstGeom prst="snip2SameRect">
                          <a:avLst/>
                        </a:prstGeom>
                      </wps:spPr>
                      <wps:style>
                        <a:lnRef idx="2">
                          <a:schemeClr val="dk1"/>
                        </a:lnRef>
                        <a:fillRef idx="1">
                          <a:schemeClr val="lt1"/>
                        </a:fillRef>
                        <a:effectRef idx="0">
                          <a:schemeClr val="dk1"/>
                        </a:effectRef>
                        <a:fontRef idx="minor">
                          <a:schemeClr val="dk1"/>
                        </a:fontRef>
                      </wps:style>
                      <wps:txbx>
                        <w:txbxContent>
                          <w:p w14:paraId="60936023" w14:textId="77777777" w:rsidR="00D17419" w:rsidRPr="009D34AE" w:rsidRDefault="00D17419" w:rsidP="00B9666E">
                            <w:pPr>
                              <w:jc w:val="center"/>
                              <w:rPr>
                                <w:b/>
                              </w:rPr>
                            </w:pPr>
                            <w:r w:rsidRPr="009D34AE">
                              <w:rPr>
                                <w:b/>
                              </w:rPr>
                              <w:t>GOSPODARSTVO</w:t>
                            </w:r>
                          </w:p>
                          <w:p w14:paraId="10DBFABB" w14:textId="77777777" w:rsidR="00D17419" w:rsidRDefault="00D17419" w:rsidP="00B966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dreži kota na isti strani pravokotnika 80" o:spid="_x0000_s1028" style="position:absolute;left:0;text-align:left;margin-left:140.6pt;margin-top:-.15pt;width:114pt;height:2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447800,28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" adj="-11796480,,5400" path="m47626,l1400174,r47626,47626l1447800,285750r,l,285750r,l,47626,47626,xe" fillcolor="white [3201]" strokecolor="black [3200]" strokeweight="2pt">
                <v:stroke joinstyle="miter"/>
                <v:formulas/>
                <v:path arrowok="t" o:connecttype="custom" o:connectlocs="47626,0;1400174,0;1447800,47626;1447800,285750;1447800,285750;0,285750;0,285750;0,47626;47626,0" o:connectangles="0,0,0,0,0,0,0,0,0" textboxrect="0,0,1447800,285750"/>
                <v:textbox>
                  <w:txbxContent>
                    <w:p w14:paraId="60936023" w14:textId="77777777" w:rsidR="00D17419" w:rsidRPr="009D34AE" w:rsidRDefault="00D17419" w:rsidP="00B9666E">
                      <w:pPr>
                        <w:jc w:val="center"/>
                        <w:rPr>
                          <w:b/>
                        </w:rPr>
                      </w:pPr>
                      <w:r w:rsidRPr="009D34AE">
                        <w:rPr>
                          <w:b/>
                        </w:rPr>
                        <w:t>GOSPODARSTVO</w:t>
                      </w:r>
                    </w:p>
                    <w:p w14:paraId="10DBFABB" w14:textId="77777777" w:rsidR="00D17419" w:rsidRDefault="00D17419" w:rsidP="00B9666E">
                      <w:pPr>
                        <w:jc w:val="center"/>
                      </w:pPr>
                    </w:p>
                  </w:txbxContent>
                </v:textbox>
              </v:shape>
            </w:pict>
          </mc:Fallback>
        </mc:AlternateContent>
      </w:r>
    </w:p>
    <w:p w14:paraId="781EFE02" w14:textId="77777777" w:rsidR="00B9666E" w:rsidRPr="00545EC0" w:rsidRDefault="00B9666E" w:rsidP="00B9666E">
      <w:pPr>
        <w:rPr>
          <w:rFonts w:cs="Arial"/>
        </w:rPr>
      </w:pPr>
      <w:r w:rsidRPr="00545EC0">
        <w:rPr>
          <w:rFonts w:cs="Arial"/>
          <w:noProof/>
        </w:rPr>
        <mc:AlternateContent>
          <mc:Choice Requires="wps">
            <w:drawing>
              <wp:anchor distT="0" distB="0" distL="114300" distR="114300" simplePos="0" relativeHeight="251664384" behindDoc="0" locked="0" layoutInCell="1" allowOverlap="1" wp14:anchorId="51336B7E" wp14:editId="3CAFA900">
                <wp:simplePos x="0" y="0"/>
                <wp:positionH relativeFrom="column">
                  <wp:posOffset>2528570</wp:posOffset>
                </wp:positionH>
                <wp:positionV relativeFrom="paragraph">
                  <wp:posOffset>106045</wp:posOffset>
                </wp:positionV>
                <wp:extent cx="1381125" cy="523875"/>
                <wp:effectExtent l="57150" t="38100" r="47625" b="123825"/>
                <wp:wrapNone/>
                <wp:docPr id="87" name="Raven puščični povezovalnik 87"/>
                <wp:cNvGraphicFramePr/>
                <a:graphic xmlns:a="http://schemas.openxmlformats.org/drawingml/2006/main">
                  <a:graphicData uri="http://schemas.microsoft.com/office/word/2010/wordprocessingShape">
                    <wps:wsp>
                      <wps:cNvCnPr/>
                      <wps:spPr>
                        <a:xfrm flipH="1">
                          <a:off x="0" y="0"/>
                          <a:ext cx="1381125" cy="5238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E66593" id="_x0000_t32" coordsize="21600,21600" o:spt="32" o:oned="t" path="m,l21600,21600e" filled="f">
                <v:path arrowok="t" fillok="f" o:connecttype="none"/>
                <o:lock v:ext="edit" shapetype="t"/>
              </v:shapetype>
              <v:shape id="Raven puščični povezovalnik 87" o:spid="_x0000_s1026" type="#_x0000_t32" style="position:absolute;margin-left:199.1pt;margin-top:8.35pt;width:108.75pt;height:41.2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" strokecolor="black [3200]" strokeweight="3pt">
                <v:stroke endarrow="open"/>
                <v:shadow on="t" color="black" opacity="22937f" origin=",.5" offset="0,.63889mm"/>
              </v:shape>
            </w:pict>
          </mc:Fallback>
        </mc:AlternateContent>
      </w:r>
      <w:r w:rsidRPr="00545EC0">
        <w:rPr>
          <w:rFonts w:cs="Arial"/>
          <w:noProof/>
        </w:rPr>
        <mc:AlternateContent>
          <mc:Choice Requires="wps">
            <w:drawing>
              <wp:anchor distT="0" distB="0" distL="114300" distR="114300" simplePos="0" relativeHeight="251663360" behindDoc="0" locked="0" layoutInCell="1" allowOverlap="1" wp14:anchorId="39F331E1" wp14:editId="41CD4627">
                <wp:simplePos x="0" y="0"/>
                <wp:positionH relativeFrom="column">
                  <wp:posOffset>995045</wp:posOffset>
                </wp:positionH>
                <wp:positionV relativeFrom="paragraph">
                  <wp:posOffset>106045</wp:posOffset>
                </wp:positionV>
                <wp:extent cx="1533525" cy="523875"/>
                <wp:effectExtent l="57150" t="38100" r="9525" b="123825"/>
                <wp:wrapNone/>
                <wp:docPr id="86" name="Raven puščični povezovalnik 86"/>
                <wp:cNvGraphicFramePr/>
                <a:graphic xmlns:a="http://schemas.openxmlformats.org/drawingml/2006/main">
                  <a:graphicData uri="http://schemas.microsoft.com/office/word/2010/wordprocessingShape">
                    <wps:wsp>
                      <wps:cNvCnPr/>
                      <wps:spPr>
                        <a:xfrm>
                          <a:off x="0" y="0"/>
                          <a:ext cx="1533525" cy="5238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79462F" id="Raven puščični povezovalnik 86" o:spid="_x0000_s1026" type="#_x0000_t32" style="position:absolute;margin-left:78.35pt;margin-top:8.35pt;width:120.75pt;height:41.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" strokecolor="black [3200]" strokeweight="3pt">
                <v:stroke endarrow="open"/>
                <v:shadow on="t" color="black" opacity="22937f" origin=",.5" offset="0,.63889mm"/>
              </v:shape>
            </w:pict>
          </mc:Fallback>
        </mc:AlternateContent>
      </w:r>
      <w:r w:rsidRPr="00545EC0">
        <w:rPr>
          <w:rFonts w:cs="Arial"/>
          <w:noProof/>
        </w:rPr>
        <mc:AlternateContent>
          <mc:Choice Requires="wps">
            <w:drawing>
              <wp:anchor distT="0" distB="0" distL="114300" distR="114300" simplePos="0" relativeHeight="251662336" behindDoc="0" locked="0" layoutInCell="1" allowOverlap="1" wp14:anchorId="7B090F98" wp14:editId="25A83AB9">
                <wp:simplePos x="0" y="0"/>
                <wp:positionH relativeFrom="column">
                  <wp:posOffset>2528570</wp:posOffset>
                </wp:positionH>
                <wp:positionV relativeFrom="paragraph">
                  <wp:posOffset>106045</wp:posOffset>
                </wp:positionV>
                <wp:extent cx="0" cy="523875"/>
                <wp:effectExtent l="152400" t="19050" r="76200" b="85725"/>
                <wp:wrapNone/>
                <wp:docPr id="85" name="Raven puščični povezovalnik 85"/>
                <wp:cNvGraphicFramePr/>
                <a:graphic xmlns:a="http://schemas.openxmlformats.org/drawingml/2006/main">
                  <a:graphicData uri="http://schemas.microsoft.com/office/word/2010/wordprocessingShape">
                    <wps:wsp>
                      <wps:cNvCnPr/>
                      <wps:spPr>
                        <a:xfrm>
                          <a:off x="0" y="0"/>
                          <a:ext cx="0" cy="5238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335186" id="Raven puščični povezovalnik 85" o:spid="_x0000_s1026" type="#_x0000_t32" style="position:absolute;margin-left:199.1pt;margin-top:8.35pt;width:0;height:41.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" strokecolor="black [3200]" strokeweight="3pt">
                <v:stroke endarrow="open"/>
                <v:shadow on="t" color="black" opacity="22937f" origin=",.5" offset="0,.63889mm"/>
              </v:shape>
            </w:pict>
          </mc:Fallback>
        </mc:AlternateContent>
      </w:r>
    </w:p>
    <w:p w14:paraId="58039DDE" w14:textId="77777777" w:rsidR="00B9666E" w:rsidRPr="00545EC0" w:rsidRDefault="00B9666E" w:rsidP="00B9666E">
      <w:pPr>
        <w:rPr>
          <w:rFonts w:cs="Arial"/>
        </w:rPr>
      </w:pPr>
      <w:r w:rsidRPr="00545EC0">
        <w:rPr>
          <w:rFonts w:cs="Arial"/>
          <w:noProof/>
        </w:rPr>
        <mc:AlternateContent>
          <mc:Choice Requires="wps">
            <w:drawing>
              <wp:anchor distT="0" distB="0" distL="114300" distR="114300" simplePos="0" relativeHeight="251682816" behindDoc="0" locked="0" layoutInCell="1" allowOverlap="1" wp14:anchorId="41E19277" wp14:editId="05BCAF1C">
                <wp:simplePos x="0" y="0"/>
                <wp:positionH relativeFrom="column">
                  <wp:posOffset>4328795</wp:posOffset>
                </wp:positionH>
                <wp:positionV relativeFrom="paragraph">
                  <wp:posOffset>109220</wp:posOffset>
                </wp:positionV>
                <wp:extent cx="219075" cy="4905375"/>
                <wp:effectExtent l="0" t="0" r="28575" b="28575"/>
                <wp:wrapNone/>
                <wp:docPr id="113" name="Desni zaviti oklepaj 113"/>
                <wp:cNvGraphicFramePr/>
                <a:graphic xmlns:a="http://schemas.openxmlformats.org/drawingml/2006/main">
                  <a:graphicData uri="http://schemas.microsoft.com/office/word/2010/wordprocessingShape">
                    <wps:wsp>
                      <wps:cNvSpPr/>
                      <wps:spPr>
                        <a:xfrm>
                          <a:off x="0" y="0"/>
                          <a:ext cx="219075" cy="49053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605EC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Desni zaviti oklepaj 113" o:spid="_x0000_s1026" type="#_x0000_t88" style="position:absolute;margin-left:340.85pt;margin-top:8.6pt;width:17.25pt;height:386.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" adj="80" strokecolor="black [3040]"/>
            </w:pict>
          </mc:Fallback>
        </mc:AlternateContent>
      </w:r>
    </w:p>
    <w:p w14:paraId="1DCC3354" w14:textId="77777777" w:rsidR="00B9666E" w:rsidRPr="00545EC0" w:rsidRDefault="00B9666E" w:rsidP="00B9666E">
      <w:pPr>
        <w:rPr>
          <w:rFonts w:cs="Arial"/>
        </w:rPr>
      </w:pPr>
      <w:r w:rsidRPr="00545EC0">
        <w:rPr>
          <w:rFonts w:cs="Arial"/>
          <w:noProof/>
        </w:rPr>
        <mc:AlternateContent>
          <mc:Choice Requires="wps">
            <w:drawing>
              <wp:anchor distT="0" distB="0" distL="114300" distR="114300" simplePos="0" relativeHeight="251681792" behindDoc="0" locked="0" layoutInCell="1" allowOverlap="1" wp14:anchorId="32966A6A" wp14:editId="4F7D228C">
                <wp:simplePos x="0" y="0"/>
                <wp:positionH relativeFrom="column">
                  <wp:posOffset>42545</wp:posOffset>
                </wp:positionH>
                <wp:positionV relativeFrom="paragraph">
                  <wp:posOffset>36195</wp:posOffset>
                </wp:positionV>
                <wp:extent cx="238125" cy="4752975"/>
                <wp:effectExtent l="0" t="0" r="28575" b="28575"/>
                <wp:wrapNone/>
                <wp:docPr id="112" name="Levi zaviti oklepaj 112"/>
                <wp:cNvGraphicFramePr/>
                <a:graphic xmlns:a="http://schemas.openxmlformats.org/drawingml/2006/main">
                  <a:graphicData uri="http://schemas.microsoft.com/office/word/2010/wordprocessingShape">
                    <wps:wsp>
                      <wps:cNvSpPr/>
                      <wps:spPr>
                        <a:xfrm>
                          <a:off x="0" y="0"/>
                          <a:ext cx="238125" cy="475297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0982A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vi zaviti oklepaj 112" o:spid="_x0000_s1026" type="#_x0000_t87" style="position:absolute;margin-left:3.35pt;margin-top:2.85pt;width:18.75pt;height:374.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" adj="90" strokecolor="black [3040]"/>
            </w:pict>
          </mc:Fallback>
        </mc:AlternateContent>
      </w:r>
    </w:p>
    <w:p w14:paraId="3DD9E3A6" w14:textId="77777777" w:rsidR="00B9666E" w:rsidRPr="00545EC0" w:rsidRDefault="00B9666E" w:rsidP="00B9666E">
      <w:pPr>
        <w:rPr>
          <w:rFonts w:cs="Arial"/>
        </w:rPr>
      </w:pPr>
      <w:r w:rsidRPr="00545EC0">
        <w:rPr>
          <w:rFonts w:cs="Arial"/>
          <w:noProof/>
        </w:rPr>
        <mc:AlternateContent>
          <mc:Choice Requires="wps">
            <w:drawing>
              <wp:anchor distT="0" distB="0" distL="114300" distR="114300" simplePos="0" relativeHeight="251685888" behindDoc="0" locked="0" layoutInCell="1" allowOverlap="1" wp14:anchorId="0EA33DFD" wp14:editId="278DC052">
                <wp:simplePos x="0" y="0"/>
                <wp:positionH relativeFrom="column">
                  <wp:posOffset>730195</wp:posOffset>
                </wp:positionH>
                <wp:positionV relativeFrom="paragraph">
                  <wp:posOffset>142958</wp:posOffset>
                </wp:positionV>
                <wp:extent cx="3418978" cy="1225412"/>
                <wp:effectExtent l="0" t="0" r="10160" b="13335"/>
                <wp:wrapNone/>
                <wp:docPr id="51" name="Zaobljeni pravokotnik 51"/>
                <wp:cNvGraphicFramePr/>
                <a:graphic xmlns:a="http://schemas.openxmlformats.org/drawingml/2006/main">
                  <a:graphicData uri="http://schemas.microsoft.com/office/word/2010/wordprocessingShape">
                    <wps:wsp>
                      <wps:cNvSpPr/>
                      <wps:spPr>
                        <a:xfrm>
                          <a:off x="0" y="0"/>
                          <a:ext cx="3418978" cy="1225412"/>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8E39B30" id="Zaobljeni pravokotnik 51" o:spid="_x0000_s1026" style="position:absolute;margin-left:57.5pt;margin-top:11.25pt;width:269.2pt;height:96.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" filled="f" strokecolor="black [3200]" strokeweight="2pt"/>
            </w:pict>
          </mc:Fallback>
        </mc:AlternateContent>
      </w:r>
    </w:p>
    <w:p w14:paraId="6AFF31BE" w14:textId="77777777" w:rsidR="00B9666E" w:rsidRPr="00545EC0" w:rsidRDefault="00B9666E" w:rsidP="00B9666E">
      <w:pPr>
        <w:rPr>
          <w:rFonts w:cs="Arial"/>
        </w:rPr>
      </w:pPr>
      <w:r w:rsidRPr="00545EC0">
        <w:rPr>
          <w:rFonts w:cs="Arial"/>
          <w:noProof/>
        </w:rPr>
        <mc:AlternateContent>
          <mc:Choice Requires="wps">
            <w:drawing>
              <wp:anchor distT="0" distB="0" distL="114300" distR="114300" simplePos="0" relativeHeight="251665408" behindDoc="0" locked="0" layoutInCell="1" allowOverlap="1" wp14:anchorId="0417C01E" wp14:editId="1E31E677">
                <wp:simplePos x="0" y="0"/>
                <wp:positionH relativeFrom="column">
                  <wp:posOffset>1337945</wp:posOffset>
                </wp:positionH>
                <wp:positionV relativeFrom="paragraph">
                  <wp:posOffset>166370</wp:posOffset>
                </wp:positionV>
                <wp:extent cx="2305050" cy="914400"/>
                <wp:effectExtent l="0" t="0" r="0" b="0"/>
                <wp:wrapNone/>
                <wp:docPr id="89" name="Polje z besedilom 89"/>
                <wp:cNvGraphicFramePr/>
                <a:graphic xmlns:a="http://schemas.openxmlformats.org/drawingml/2006/main">
                  <a:graphicData uri="http://schemas.microsoft.com/office/word/2010/wordprocessingShape">
                    <wps:wsp>
                      <wps:cNvSpPr txBox="1"/>
                      <wps:spPr>
                        <a:xfrm>
                          <a:off x="0" y="0"/>
                          <a:ext cx="230505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2E8D81" w14:textId="77777777" w:rsidR="00D17419" w:rsidRPr="009D34AE" w:rsidRDefault="00D17419" w:rsidP="00B9666E">
                            <w:pPr>
                              <w:pStyle w:val="Odstavekseznama"/>
                              <w:ind w:left="720"/>
                              <w:rPr>
                                <w:b/>
                                <w:lang w:val="sl-SI"/>
                              </w:rPr>
                            </w:pPr>
                            <w:r w:rsidRPr="009D34AE">
                              <w:rPr>
                                <w:b/>
                                <w:lang w:val="sl-SI"/>
                              </w:rPr>
                              <w:t>OBREMENITVE</w:t>
                            </w:r>
                          </w:p>
                          <w:p w14:paraId="2EF78932" w14:textId="77777777" w:rsidR="00D17419" w:rsidRPr="009D34AE" w:rsidRDefault="00D17419" w:rsidP="00DD37C5">
                            <w:pPr>
                              <w:pStyle w:val="Odstavekseznama"/>
                              <w:numPr>
                                <w:ilvl w:val="0"/>
                                <w:numId w:val="60"/>
                              </w:numPr>
                              <w:rPr>
                                <w:b/>
                              </w:rPr>
                            </w:pPr>
                            <w:r w:rsidRPr="009D34AE">
                              <w:rPr>
                                <w:b/>
                                <w:lang w:val="sl-SI"/>
                              </w:rPr>
                              <w:t>Raba</w:t>
                            </w:r>
                          </w:p>
                          <w:p w14:paraId="69571C40" w14:textId="77777777" w:rsidR="00D17419" w:rsidRPr="009D34AE" w:rsidRDefault="00D17419" w:rsidP="00DD37C5">
                            <w:pPr>
                              <w:pStyle w:val="Odstavekseznama"/>
                              <w:numPr>
                                <w:ilvl w:val="0"/>
                                <w:numId w:val="60"/>
                              </w:numPr>
                              <w:rPr>
                                <w:b/>
                              </w:rPr>
                            </w:pPr>
                            <w:r w:rsidRPr="009D34AE">
                              <w:rPr>
                                <w:b/>
                                <w:lang w:val="sl-SI"/>
                              </w:rPr>
                              <w:t>Onesnaževanje</w:t>
                            </w:r>
                          </w:p>
                          <w:p w14:paraId="4DE3C254" w14:textId="77777777" w:rsidR="00D17419" w:rsidRPr="009D34AE" w:rsidRDefault="00D17419" w:rsidP="00DD37C5">
                            <w:pPr>
                              <w:pStyle w:val="Odstavekseznama"/>
                              <w:numPr>
                                <w:ilvl w:val="0"/>
                                <w:numId w:val="60"/>
                              </w:numPr>
                              <w:rPr>
                                <w:b/>
                              </w:rPr>
                            </w:pPr>
                            <w:r w:rsidRPr="009D34AE">
                              <w:rPr>
                                <w:b/>
                                <w:lang w:val="sl-SI"/>
                              </w:rPr>
                              <w:t>Druge obremenitve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89" o:spid="_x0000_s1029" type="#_x0000_t202" style="position:absolute;left:0;text-align:left;margin-left:105.35pt;margin-top:13.1pt;width:181.5pt;height:1in;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" fillcolor="white [3201]" stroked="f" strokeweight=".5pt">
                <v:textbox>
                  <w:txbxContent>
                    <w:p w14:paraId="622E8D81" w14:textId="77777777" w:rsidR="00D17419" w:rsidRPr="009D34AE" w:rsidRDefault="00D17419" w:rsidP="00B9666E">
                      <w:pPr>
                        <w:pStyle w:val="Odstavekseznama"/>
                        <w:ind w:left="720"/>
                        <w:rPr>
                          <w:b/>
                          <w:lang w:val="sl-SI"/>
                        </w:rPr>
                      </w:pPr>
                      <w:r w:rsidRPr="009D34AE">
                        <w:rPr>
                          <w:b/>
                          <w:lang w:val="sl-SI"/>
                        </w:rPr>
                        <w:t>OBREMENITVE</w:t>
                      </w:r>
                    </w:p>
                    <w:p w14:paraId="2EF78932" w14:textId="77777777" w:rsidR="00D17419" w:rsidRPr="009D34AE" w:rsidRDefault="00D17419" w:rsidP="00DD37C5">
                      <w:pPr>
                        <w:pStyle w:val="Odstavekseznama"/>
                        <w:numPr>
                          <w:ilvl w:val="0"/>
                          <w:numId w:val="60"/>
                        </w:numPr>
                        <w:rPr>
                          <w:b/>
                        </w:rPr>
                      </w:pPr>
                      <w:r w:rsidRPr="009D34AE">
                        <w:rPr>
                          <w:b/>
                          <w:lang w:val="sl-SI"/>
                        </w:rPr>
                        <w:t>Raba</w:t>
                      </w:r>
                    </w:p>
                    <w:p w14:paraId="69571C40" w14:textId="77777777" w:rsidR="00D17419" w:rsidRPr="009D34AE" w:rsidRDefault="00D17419" w:rsidP="00DD37C5">
                      <w:pPr>
                        <w:pStyle w:val="Odstavekseznama"/>
                        <w:numPr>
                          <w:ilvl w:val="0"/>
                          <w:numId w:val="60"/>
                        </w:numPr>
                        <w:rPr>
                          <w:b/>
                        </w:rPr>
                      </w:pPr>
                      <w:r w:rsidRPr="009D34AE">
                        <w:rPr>
                          <w:b/>
                          <w:lang w:val="sl-SI"/>
                        </w:rPr>
                        <w:t>Onesnaževanje</w:t>
                      </w:r>
                    </w:p>
                    <w:p w14:paraId="4DE3C254" w14:textId="77777777" w:rsidR="00D17419" w:rsidRPr="009D34AE" w:rsidRDefault="00D17419" w:rsidP="00DD37C5">
                      <w:pPr>
                        <w:pStyle w:val="Odstavekseznama"/>
                        <w:numPr>
                          <w:ilvl w:val="0"/>
                          <w:numId w:val="60"/>
                        </w:numPr>
                        <w:rPr>
                          <w:b/>
                        </w:rPr>
                      </w:pPr>
                      <w:r w:rsidRPr="009D34AE">
                        <w:rPr>
                          <w:b/>
                          <w:lang w:val="sl-SI"/>
                        </w:rPr>
                        <w:t>Druge obremenitve</w:t>
                      </w:r>
                    </w:p>
                  </w:txbxContent>
                </v:textbox>
              </v:shape>
            </w:pict>
          </mc:Fallback>
        </mc:AlternateContent>
      </w:r>
    </w:p>
    <w:p w14:paraId="5B242914" w14:textId="77777777" w:rsidR="00B9666E" w:rsidRPr="00545EC0" w:rsidRDefault="00B9666E" w:rsidP="00B9666E">
      <w:pPr>
        <w:rPr>
          <w:rFonts w:cs="Arial"/>
        </w:rPr>
      </w:pPr>
    </w:p>
    <w:p w14:paraId="1548C30E" w14:textId="77777777" w:rsidR="00B9666E" w:rsidRPr="00545EC0" w:rsidRDefault="00B9666E" w:rsidP="00B9666E">
      <w:pPr>
        <w:rPr>
          <w:rFonts w:cs="Arial"/>
        </w:rPr>
      </w:pPr>
    </w:p>
    <w:p w14:paraId="236F9AF2" w14:textId="77777777" w:rsidR="00B9666E" w:rsidRPr="00545EC0" w:rsidRDefault="00B9666E" w:rsidP="00B9666E">
      <w:pPr>
        <w:rPr>
          <w:rFonts w:cs="Arial"/>
        </w:rPr>
      </w:pPr>
    </w:p>
    <w:p w14:paraId="0B980BDC" w14:textId="77777777" w:rsidR="00B9666E" w:rsidRPr="00545EC0" w:rsidRDefault="00B9666E" w:rsidP="00B9666E">
      <w:pPr>
        <w:rPr>
          <w:rFonts w:cs="Arial"/>
        </w:rPr>
      </w:pPr>
    </w:p>
    <w:p w14:paraId="630BB782" w14:textId="77777777" w:rsidR="00B9666E" w:rsidRPr="00545EC0" w:rsidRDefault="00B9666E" w:rsidP="00B9666E">
      <w:pPr>
        <w:rPr>
          <w:rFonts w:cs="Arial"/>
        </w:rPr>
      </w:pPr>
    </w:p>
    <w:p w14:paraId="538BE618" w14:textId="77777777" w:rsidR="00B9666E" w:rsidRPr="00545EC0" w:rsidRDefault="00B9666E" w:rsidP="00B9666E">
      <w:pPr>
        <w:rPr>
          <w:rFonts w:cs="Arial"/>
        </w:rPr>
      </w:pPr>
    </w:p>
    <w:p w14:paraId="390707D4" w14:textId="77777777" w:rsidR="00B9666E" w:rsidRPr="00545EC0" w:rsidRDefault="00B9666E" w:rsidP="00B9666E">
      <w:pPr>
        <w:rPr>
          <w:rFonts w:cs="Arial"/>
        </w:rPr>
      </w:pPr>
      <w:r w:rsidRPr="00545EC0">
        <w:rPr>
          <w:rFonts w:cs="Arial"/>
          <w:noProof/>
        </w:rPr>
        <mc:AlternateContent>
          <mc:Choice Requires="wps">
            <w:drawing>
              <wp:anchor distT="0" distB="0" distL="114300" distR="114300" simplePos="0" relativeHeight="251666432" behindDoc="0" locked="0" layoutInCell="1" allowOverlap="1" wp14:anchorId="7B63131B" wp14:editId="22E0F5A3">
                <wp:simplePos x="0" y="0"/>
                <wp:positionH relativeFrom="column">
                  <wp:posOffset>2528570</wp:posOffset>
                </wp:positionH>
                <wp:positionV relativeFrom="paragraph">
                  <wp:posOffset>17145</wp:posOffset>
                </wp:positionV>
                <wp:extent cx="47625" cy="219075"/>
                <wp:effectExtent l="19050" t="0" r="47625" b="47625"/>
                <wp:wrapNone/>
                <wp:docPr id="91" name="Puščica dol 91"/>
                <wp:cNvGraphicFramePr/>
                <a:graphic xmlns:a="http://schemas.openxmlformats.org/drawingml/2006/main">
                  <a:graphicData uri="http://schemas.microsoft.com/office/word/2010/wordprocessingShape">
                    <wps:wsp>
                      <wps:cNvSpPr/>
                      <wps:spPr>
                        <a:xfrm>
                          <a:off x="0" y="0"/>
                          <a:ext cx="47625" cy="2190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CE40F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uščica dol 91" o:spid="_x0000_s1026" type="#_x0000_t67" style="position:absolute;margin-left:199.1pt;margin-top:1.35pt;width:3.75pt;height:17.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" adj="19252" fillcolor="black [3200]" strokecolor="black [1600]" strokeweight="2pt"/>
            </w:pict>
          </mc:Fallback>
        </mc:AlternateContent>
      </w:r>
    </w:p>
    <w:p w14:paraId="5DC41313" w14:textId="77777777" w:rsidR="00B9666E" w:rsidRPr="00545EC0" w:rsidRDefault="00B9666E" w:rsidP="00B9666E">
      <w:pPr>
        <w:rPr>
          <w:rFonts w:cs="Arial"/>
        </w:rPr>
      </w:pPr>
      <w:r w:rsidRPr="00545EC0">
        <w:rPr>
          <w:rFonts w:cs="Arial"/>
          <w:noProof/>
        </w:rPr>
        <mc:AlternateContent>
          <mc:Choice Requires="wps">
            <w:drawing>
              <wp:anchor distT="0" distB="0" distL="114300" distR="114300" simplePos="0" relativeHeight="251676672" behindDoc="0" locked="0" layoutInCell="1" allowOverlap="1" wp14:anchorId="2B3C273D" wp14:editId="3DBA0B67">
                <wp:simplePos x="0" y="0"/>
                <wp:positionH relativeFrom="column">
                  <wp:posOffset>1576070</wp:posOffset>
                </wp:positionH>
                <wp:positionV relativeFrom="paragraph">
                  <wp:posOffset>106045</wp:posOffset>
                </wp:positionV>
                <wp:extent cx="1990725" cy="323850"/>
                <wp:effectExtent l="0" t="0" r="0" b="0"/>
                <wp:wrapNone/>
                <wp:docPr id="101" name="Polje z besedilom 101"/>
                <wp:cNvGraphicFramePr/>
                <a:graphic xmlns:a="http://schemas.openxmlformats.org/drawingml/2006/main">
                  <a:graphicData uri="http://schemas.microsoft.com/office/word/2010/wordprocessingShape">
                    <wps:wsp>
                      <wps:cNvSpPr txBox="1"/>
                      <wps:spPr>
                        <a:xfrm>
                          <a:off x="0" y="0"/>
                          <a:ext cx="19907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A2ECC1" w14:textId="77777777" w:rsidR="00D17419" w:rsidRPr="00676682" w:rsidRDefault="00D17419" w:rsidP="00B9666E">
                            <w:pPr>
                              <w:jc w:val="center"/>
                              <w:rPr>
                                <w:b/>
                              </w:rPr>
                            </w:pPr>
                            <w:r w:rsidRPr="00676682">
                              <w:rPr>
                                <w:b/>
                              </w:rPr>
                              <w:t>STROŠKI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je z besedilom 101" o:spid="_x0000_s1030" type="#_x0000_t202" style="position:absolute;left:0;text-align:left;margin-left:124.1pt;margin-top:8.35pt;width:156.75pt;height:25.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" filled="f" stroked="f" strokeweight=".5pt">
                <v:textbox>
                  <w:txbxContent>
                    <w:p w14:paraId="35A2ECC1" w14:textId="77777777" w:rsidR="00D17419" w:rsidRPr="00676682" w:rsidRDefault="00D17419" w:rsidP="00B9666E">
                      <w:pPr>
                        <w:jc w:val="center"/>
                        <w:rPr>
                          <w:b/>
                        </w:rPr>
                      </w:pPr>
                      <w:r w:rsidRPr="00676682">
                        <w:rPr>
                          <w:b/>
                        </w:rPr>
                        <w:t>STROŠKI</w:t>
                      </w:r>
                    </w:p>
                  </w:txbxContent>
                </v:textbox>
              </v:shape>
            </w:pict>
          </mc:Fallback>
        </mc:AlternateContent>
      </w:r>
      <w:r w:rsidRPr="00545EC0">
        <w:rPr>
          <w:rFonts w:cs="Arial"/>
          <w:noProof/>
        </w:rPr>
        <mc:AlternateContent>
          <mc:Choice Requires="wps">
            <w:drawing>
              <wp:anchor distT="0" distB="0" distL="114300" distR="114300" simplePos="0" relativeHeight="251667456" behindDoc="0" locked="0" layoutInCell="1" allowOverlap="1" wp14:anchorId="255449C2" wp14:editId="2D9E5B10">
                <wp:simplePos x="0" y="0"/>
                <wp:positionH relativeFrom="column">
                  <wp:posOffset>1337945</wp:posOffset>
                </wp:positionH>
                <wp:positionV relativeFrom="paragraph">
                  <wp:posOffset>106045</wp:posOffset>
                </wp:positionV>
                <wp:extent cx="2390775" cy="323850"/>
                <wp:effectExtent l="0" t="0" r="28575" b="19050"/>
                <wp:wrapNone/>
                <wp:docPr id="92" name="Zaokroži en kot pravokotnika 92"/>
                <wp:cNvGraphicFramePr/>
                <a:graphic xmlns:a="http://schemas.openxmlformats.org/drawingml/2006/main">
                  <a:graphicData uri="http://schemas.microsoft.com/office/word/2010/wordprocessingShape">
                    <wps:wsp>
                      <wps:cNvSpPr/>
                      <wps:spPr>
                        <a:xfrm>
                          <a:off x="0" y="0"/>
                          <a:ext cx="2390775" cy="323850"/>
                        </a:xfrm>
                        <a:prstGeom prst="round1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825C7F" id="Zaokroži en kot pravokotnika 92" o:spid="_x0000_s1026" style="position:absolute;margin-left:105.35pt;margin-top:8.35pt;width:188.25pt;height:25.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9077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" path="m,l2336799,v29810,,53976,24166,53976,53976l2390775,323850,,323850,,xe" fillcolor="#c7edcc [3201]" strokecolor="black [3200]" strokeweight="2pt">
                <v:path arrowok="t" o:connecttype="custom" o:connectlocs="0,0;2336799,0;2390775,53976;2390775,323850;0,323850;0,0" o:connectangles="0,0,0,0,0,0"/>
              </v:shape>
            </w:pict>
          </mc:Fallback>
        </mc:AlternateContent>
      </w:r>
    </w:p>
    <w:p w14:paraId="461CAF8C" w14:textId="77777777" w:rsidR="00B9666E" w:rsidRPr="00545EC0" w:rsidRDefault="00B9666E" w:rsidP="00B9666E">
      <w:pPr>
        <w:rPr>
          <w:rFonts w:cs="Arial"/>
        </w:rPr>
      </w:pPr>
    </w:p>
    <w:p w14:paraId="55875A0F" w14:textId="77777777" w:rsidR="00B9666E" w:rsidRPr="00545EC0" w:rsidRDefault="00B9666E" w:rsidP="00B9666E">
      <w:pPr>
        <w:rPr>
          <w:rFonts w:cs="Arial"/>
        </w:rPr>
      </w:pPr>
      <w:r w:rsidRPr="00545EC0">
        <w:rPr>
          <w:rFonts w:cs="Arial"/>
          <w:noProof/>
        </w:rPr>
        <mc:AlternateContent>
          <mc:Choice Requires="wps">
            <w:drawing>
              <wp:anchor distT="0" distB="0" distL="114300" distR="114300" simplePos="0" relativeHeight="251684864" behindDoc="0" locked="0" layoutInCell="1" allowOverlap="1" wp14:anchorId="2F184882" wp14:editId="51A278F2">
                <wp:simplePos x="0" y="0"/>
                <wp:positionH relativeFrom="column">
                  <wp:posOffset>4062095</wp:posOffset>
                </wp:positionH>
                <wp:positionV relativeFrom="paragraph">
                  <wp:posOffset>83820</wp:posOffset>
                </wp:positionV>
                <wp:extent cx="781050" cy="285750"/>
                <wp:effectExtent l="0" t="0" r="0" b="0"/>
                <wp:wrapNone/>
                <wp:docPr id="116" name="Polje z besedilom 116"/>
                <wp:cNvGraphicFramePr/>
                <a:graphic xmlns:a="http://schemas.openxmlformats.org/drawingml/2006/main">
                  <a:graphicData uri="http://schemas.microsoft.com/office/word/2010/wordprocessingShape">
                    <wps:wsp>
                      <wps:cNvSpPr txBox="1"/>
                      <wps:spPr>
                        <a:xfrm>
                          <a:off x="0" y="0"/>
                          <a:ext cx="7810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617298" w14:textId="77777777" w:rsidR="00D17419" w:rsidRPr="00EC5AC9" w:rsidRDefault="00D17419" w:rsidP="00B9666E">
                            <w:pPr>
                              <w:jc w:val="center"/>
                              <w:rPr>
                                <w:b/>
                              </w:rPr>
                            </w:pPr>
                            <w:r w:rsidRPr="00EC5AC9">
                              <w:rPr>
                                <w:b/>
                              </w:rPr>
                              <w:t>KORISTI</w:t>
                            </w:r>
                          </w:p>
                          <w:p w14:paraId="2375F9D4" w14:textId="77777777" w:rsidR="00D17419" w:rsidRDefault="00D17419" w:rsidP="00B966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Polje z besedilom 116" o:spid="_x0000_s1031" type="#_x0000_t202" style="position:absolute;left:0;text-align:left;margin-left:319.85pt;margin-top:6.6pt;width:61.5pt;height:2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" fillcolor="white [3201]" stroked="f" strokeweight=".5pt">
                <v:textbox>
                  <w:txbxContent>
                    <w:p w14:paraId="46617298" w14:textId="77777777" w:rsidR="00D17419" w:rsidRPr="00EC5AC9" w:rsidRDefault="00D17419" w:rsidP="00B9666E">
                      <w:pPr>
                        <w:jc w:val="center"/>
                        <w:rPr>
                          <w:b/>
                        </w:rPr>
                      </w:pPr>
                      <w:r w:rsidRPr="00EC5AC9">
                        <w:rPr>
                          <w:b/>
                        </w:rPr>
                        <w:t>KORISTI</w:t>
                      </w:r>
                    </w:p>
                    <w:p w14:paraId="2375F9D4" w14:textId="77777777" w:rsidR="00D17419" w:rsidRDefault="00D17419" w:rsidP="00B9666E"/>
                  </w:txbxContent>
                </v:textbox>
              </v:shape>
            </w:pict>
          </mc:Fallback>
        </mc:AlternateContent>
      </w:r>
      <w:r w:rsidRPr="00545EC0">
        <w:rPr>
          <w:rFonts w:cs="Arial"/>
          <w:noProof/>
        </w:rPr>
        <mc:AlternateContent>
          <mc:Choice Requires="wps">
            <w:drawing>
              <wp:anchor distT="0" distB="0" distL="114300" distR="114300" simplePos="0" relativeHeight="251683840" behindDoc="0" locked="0" layoutInCell="1" allowOverlap="1" wp14:anchorId="6106ADF5" wp14:editId="584C8C3C">
                <wp:simplePos x="0" y="0"/>
                <wp:positionH relativeFrom="column">
                  <wp:posOffset>-290830</wp:posOffset>
                </wp:positionH>
                <wp:positionV relativeFrom="paragraph">
                  <wp:posOffset>83820</wp:posOffset>
                </wp:positionV>
                <wp:extent cx="866775" cy="285750"/>
                <wp:effectExtent l="0" t="0" r="9525" b="0"/>
                <wp:wrapNone/>
                <wp:docPr id="115" name="Polje z besedilom 115"/>
                <wp:cNvGraphicFramePr/>
                <a:graphic xmlns:a="http://schemas.openxmlformats.org/drawingml/2006/main">
                  <a:graphicData uri="http://schemas.microsoft.com/office/word/2010/wordprocessingShape">
                    <wps:wsp>
                      <wps:cNvSpPr txBox="1"/>
                      <wps:spPr>
                        <a:xfrm>
                          <a:off x="0" y="0"/>
                          <a:ext cx="86677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FDEDDD" w14:textId="77777777" w:rsidR="00D17419" w:rsidRPr="00EC5AC9" w:rsidRDefault="00D17419" w:rsidP="00B9666E">
                            <w:pPr>
                              <w:jc w:val="center"/>
                              <w:rPr>
                                <w:b/>
                              </w:rPr>
                            </w:pPr>
                            <w:r w:rsidRPr="00EC5AC9">
                              <w:rPr>
                                <w:b/>
                              </w:rPr>
                              <w:t>KORISTI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15" o:spid="_x0000_s1032" type="#_x0000_t202" style="position:absolute;left:0;text-align:left;margin-left:-22.9pt;margin-top:6.6pt;width:68.25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" fillcolor="white [3201]" stroked="f" strokeweight=".5pt">
                <v:textbox>
                  <w:txbxContent>
                    <w:p w14:paraId="7FFDEDDD" w14:textId="77777777" w:rsidR="00D17419" w:rsidRPr="00EC5AC9" w:rsidRDefault="00D17419" w:rsidP="00B9666E">
                      <w:pPr>
                        <w:jc w:val="center"/>
                        <w:rPr>
                          <w:b/>
                        </w:rPr>
                      </w:pPr>
                      <w:r w:rsidRPr="00EC5AC9">
                        <w:rPr>
                          <w:b/>
                        </w:rPr>
                        <w:t>KORISTI</w:t>
                      </w:r>
                    </w:p>
                  </w:txbxContent>
                </v:textbox>
              </v:shape>
            </w:pict>
          </mc:Fallback>
        </mc:AlternateContent>
      </w:r>
      <w:r w:rsidRPr="00545EC0">
        <w:rPr>
          <w:rFonts w:cs="Arial"/>
          <w:noProof/>
        </w:rPr>
        <mc:AlternateContent>
          <mc:Choice Requires="wps">
            <w:drawing>
              <wp:anchor distT="0" distB="0" distL="114300" distR="114300" simplePos="0" relativeHeight="251668480" behindDoc="0" locked="0" layoutInCell="1" allowOverlap="1" wp14:anchorId="0BACB9C9" wp14:editId="7C5FFB47">
                <wp:simplePos x="0" y="0"/>
                <wp:positionH relativeFrom="column">
                  <wp:posOffset>2528570</wp:posOffset>
                </wp:positionH>
                <wp:positionV relativeFrom="paragraph">
                  <wp:posOffset>74296</wp:posOffset>
                </wp:positionV>
                <wp:extent cx="47625" cy="228600"/>
                <wp:effectExtent l="19050" t="0" r="47625" b="38100"/>
                <wp:wrapNone/>
                <wp:docPr id="93" name="Puščica dol 93"/>
                <wp:cNvGraphicFramePr/>
                <a:graphic xmlns:a="http://schemas.openxmlformats.org/drawingml/2006/main">
                  <a:graphicData uri="http://schemas.microsoft.com/office/word/2010/wordprocessingShape">
                    <wps:wsp>
                      <wps:cNvSpPr/>
                      <wps:spPr>
                        <a:xfrm>
                          <a:off x="0" y="0"/>
                          <a:ext cx="47625" cy="2286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300E16" id="Puščica dol 93" o:spid="_x0000_s1026" type="#_x0000_t67" style="position:absolute;margin-left:199.1pt;margin-top:5.85pt;width:3.75pt;height:1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" adj="19350" fillcolor="black [3200]" strokecolor="black [1600]" strokeweight="2pt"/>
            </w:pict>
          </mc:Fallback>
        </mc:AlternateContent>
      </w:r>
    </w:p>
    <w:p w14:paraId="4496E73D" w14:textId="77777777" w:rsidR="00B9666E" w:rsidRPr="00545EC0" w:rsidRDefault="00B9666E" w:rsidP="00B9666E">
      <w:pPr>
        <w:rPr>
          <w:rFonts w:cs="Arial"/>
        </w:rPr>
      </w:pPr>
      <w:r w:rsidRPr="00545EC0">
        <w:rPr>
          <w:rFonts w:cs="Arial"/>
          <w:noProof/>
        </w:rPr>
        <mc:AlternateContent>
          <mc:Choice Requires="wps">
            <w:drawing>
              <wp:anchor distT="0" distB="0" distL="114300" distR="114300" simplePos="0" relativeHeight="251669504" behindDoc="0" locked="0" layoutInCell="1" allowOverlap="1" wp14:anchorId="0937D9E4" wp14:editId="3EAEC67C">
                <wp:simplePos x="0" y="0"/>
                <wp:positionH relativeFrom="column">
                  <wp:posOffset>1337945</wp:posOffset>
                </wp:positionH>
                <wp:positionV relativeFrom="paragraph">
                  <wp:posOffset>172720</wp:posOffset>
                </wp:positionV>
                <wp:extent cx="2390775" cy="323850"/>
                <wp:effectExtent l="0" t="0" r="28575" b="19050"/>
                <wp:wrapNone/>
                <wp:docPr id="94" name="Zaokroži en kot pravokotnika 94"/>
                <wp:cNvGraphicFramePr/>
                <a:graphic xmlns:a="http://schemas.openxmlformats.org/drawingml/2006/main">
                  <a:graphicData uri="http://schemas.microsoft.com/office/word/2010/wordprocessingShape">
                    <wps:wsp>
                      <wps:cNvSpPr/>
                      <wps:spPr>
                        <a:xfrm>
                          <a:off x="0" y="0"/>
                          <a:ext cx="2390775" cy="323850"/>
                        </a:xfrm>
                        <a:prstGeom prst="round1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3A45EB" id="Zaokroži en kot pravokotnika 94" o:spid="_x0000_s1026" style="position:absolute;margin-left:105.35pt;margin-top:13.6pt;width:188.25pt;height:25.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239077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" path="m,l2336799,v29810,,53976,24166,53976,53976l2390775,323850,,323850,,xe" fillcolor="#c7edcc [3201]" strokecolor="black [3200]" strokeweight="2pt">
                <v:path arrowok="t" o:connecttype="custom" o:connectlocs="0,0;2336799,0;2390775,53976;2390775,323850;0,323850;0,0" o:connectangles="0,0,0,0,0,0"/>
              </v:shape>
            </w:pict>
          </mc:Fallback>
        </mc:AlternateContent>
      </w:r>
    </w:p>
    <w:p w14:paraId="6C31D750" w14:textId="77777777" w:rsidR="00B9666E" w:rsidRPr="00545EC0" w:rsidRDefault="00B9666E" w:rsidP="00B9666E">
      <w:pPr>
        <w:rPr>
          <w:rFonts w:cs="Arial"/>
        </w:rPr>
      </w:pPr>
      <w:r w:rsidRPr="00545EC0">
        <w:rPr>
          <w:rFonts w:cs="Arial"/>
          <w:noProof/>
        </w:rPr>
        <mc:AlternateContent>
          <mc:Choice Requires="wps">
            <w:drawing>
              <wp:anchor distT="0" distB="0" distL="114300" distR="114300" simplePos="0" relativeHeight="251677696" behindDoc="0" locked="0" layoutInCell="1" allowOverlap="1" wp14:anchorId="520167E6" wp14:editId="1AFBCF21">
                <wp:simplePos x="0" y="0"/>
                <wp:positionH relativeFrom="column">
                  <wp:posOffset>1652270</wp:posOffset>
                </wp:positionH>
                <wp:positionV relativeFrom="paragraph">
                  <wp:posOffset>13970</wp:posOffset>
                </wp:positionV>
                <wp:extent cx="1952625" cy="238125"/>
                <wp:effectExtent l="0" t="0" r="0" b="0"/>
                <wp:wrapNone/>
                <wp:docPr id="102" name="Polje z besedilom 102"/>
                <wp:cNvGraphicFramePr/>
                <a:graphic xmlns:a="http://schemas.openxmlformats.org/drawingml/2006/main">
                  <a:graphicData uri="http://schemas.microsoft.com/office/word/2010/wordprocessingShape">
                    <wps:wsp>
                      <wps:cNvSpPr txBox="1"/>
                      <wps:spPr>
                        <a:xfrm>
                          <a:off x="0" y="0"/>
                          <a:ext cx="19526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9B2BCC" w14:textId="77777777" w:rsidR="00D17419" w:rsidRPr="00676682" w:rsidRDefault="00D17419" w:rsidP="00B9666E">
                            <w:pPr>
                              <w:jc w:val="center"/>
                              <w:rPr>
                                <w:b/>
                              </w:rPr>
                            </w:pPr>
                            <w:r w:rsidRPr="00676682">
                              <w:rPr>
                                <w:b/>
                              </w:rPr>
                              <w:t>PLAČILA STROŠKOV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je z besedilom 102" o:spid="_x0000_s1033" type="#_x0000_t202" style="position:absolute;left:0;text-align:left;margin-left:130.1pt;margin-top:1.1pt;width:153.75pt;height:18.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" filled="f" stroked="f" strokeweight=".5pt">
                <v:textbox>
                  <w:txbxContent>
                    <w:p w14:paraId="4B9B2BCC" w14:textId="77777777" w:rsidR="00D17419" w:rsidRPr="00676682" w:rsidRDefault="00D17419" w:rsidP="00B9666E">
                      <w:pPr>
                        <w:jc w:val="center"/>
                        <w:rPr>
                          <w:b/>
                        </w:rPr>
                      </w:pPr>
                      <w:r w:rsidRPr="00676682">
                        <w:rPr>
                          <w:b/>
                        </w:rPr>
                        <w:t>PLAČILA STROŠKOV</w:t>
                      </w:r>
                    </w:p>
                  </w:txbxContent>
                </v:textbox>
              </v:shape>
            </w:pict>
          </mc:Fallback>
        </mc:AlternateContent>
      </w:r>
    </w:p>
    <w:p w14:paraId="4F1E1531" w14:textId="77777777" w:rsidR="00B9666E" w:rsidRPr="00545EC0" w:rsidRDefault="00B9666E" w:rsidP="00B9666E">
      <w:pPr>
        <w:rPr>
          <w:rFonts w:cs="Arial"/>
        </w:rPr>
      </w:pPr>
      <w:r w:rsidRPr="00545EC0">
        <w:rPr>
          <w:rFonts w:cs="Arial"/>
          <w:noProof/>
        </w:rPr>
        <mc:AlternateContent>
          <mc:Choice Requires="wps">
            <w:drawing>
              <wp:anchor distT="0" distB="0" distL="114300" distR="114300" simplePos="0" relativeHeight="251670528" behindDoc="0" locked="0" layoutInCell="1" allowOverlap="1" wp14:anchorId="4945E008" wp14:editId="18B071D8">
                <wp:simplePos x="0" y="0"/>
                <wp:positionH relativeFrom="column">
                  <wp:posOffset>2528570</wp:posOffset>
                </wp:positionH>
                <wp:positionV relativeFrom="paragraph">
                  <wp:posOffset>140971</wp:posOffset>
                </wp:positionV>
                <wp:extent cx="47625" cy="228600"/>
                <wp:effectExtent l="19050" t="0" r="47625" b="38100"/>
                <wp:wrapNone/>
                <wp:docPr id="95" name="Puščica dol 95"/>
                <wp:cNvGraphicFramePr/>
                <a:graphic xmlns:a="http://schemas.openxmlformats.org/drawingml/2006/main">
                  <a:graphicData uri="http://schemas.microsoft.com/office/word/2010/wordprocessingShape">
                    <wps:wsp>
                      <wps:cNvSpPr/>
                      <wps:spPr>
                        <a:xfrm>
                          <a:off x="0" y="0"/>
                          <a:ext cx="47625" cy="2286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51222F" id="Puščica dol 95" o:spid="_x0000_s1026" type="#_x0000_t67" style="position:absolute;margin-left:199.1pt;margin-top:11.1pt;width:3.75pt;height:1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" adj="19350" fillcolor="black [3200]" strokecolor="black [1600]" strokeweight="2pt"/>
            </w:pict>
          </mc:Fallback>
        </mc:AlternateContent>
      </w:r>
    </w:p>
    <w:p w14:paraId="501FDFAD" w14:textId="77777777" w:rsidR="00B9666E" w:rsidRPr="00545EC0" w:rsidRDefault="00B9666E" w:rsidP="00B9666E">
      <w:pPr>
        <w:rPr>
          <w:rFonts w:cs="Arial"/>
        </w:rPr>
      </w:pPr>
    </w:p>
    <w:p w14:paraId="71D4D8BF" w14:textId="77777777" w:rsidR="00B9666E" w:rsidRPr="00545EC0" w:rsidRDefault="00B9666E" w:rsidP="00B9666E">
      <w:pPr>
        <w:rPr>
          <w:rFonts w:cs="Arial"/>
        </w:rPr>
      </w:pPr>
      <w:r w:rsidRPr="00545EC0">
        <w:rPr>
          <w:rFonts w:cs="Arial"/>
          <w:noProof/>
        </w:rPr>
        <mc:AlternateContent>
          <mc:Choice Requires="wps">
            <w:drawing>
              <wp:anchor distT="0" distB="0" distL="114300" distR="114300" simplePos="0" relativeHeight="251671552" behindDoc="0" locked="0" layoutInCell="1" allowOverlap="1" wp14:anchorId="440C2444" wp14:editId="20D81268">
                <wp:simplePos x="0" y="0"/>
                <wp:positionH relativeFrom="column">
                  <wp:posOffset>1337945</wp:posOffset>
                </wp:positionH>
                <wp:positionV relativeFrom="paragraph">
                  <wp:posOffset>13970</wp:posOffset>
                </wp:positionV>
                <wp:extent cx="2438400" cy="361950"/>
                <wp:effectExtent l="0" t="0" r="19050" b="19050"/>
                <wp:wrapNone/>
                <wp:docPr id="96" name="Zaokroži en kot pravokotnika 96"/>
                <wp:cNvGraphicFramePr/>
                <a:graphic xmlns:a="http://schemas.openxmlformats.org/drawingml/2006/main">
                  <a:graphicData uri="http://schemas.microsoft.com/office/word/2010/wordprocessingShape">
                    <wps:wsp>
                      <wps:cNvSpPr/>
                      <wps:spPr>
                        <a:xfrm>
                          <a:off x="0" y="0"/>
                          <a:ext cx="2438400" cy="361950"/>
                        </a:xfrm>
                        <a:prstGeom prst="round1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0520E2" id="Zaokroži en kot pravokotnika 96" o:spid="_x0000_s1026" style="position:absolute;margin-left:105.35pt;margin-top:1.1pt;width:192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84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" path="m,l2378074,v33317,,60326,27009,60326,60326l2438400,361950,,361950,,xe" fillcolor="#c7edcc [3201]" strokecolor="black [3200]" strokeweight="2pt">
                <v:path arrowok="t" o:connecttype="custom" o:connectlocs="0,0;2378074,0;2438400,60326;2438400,361950;0,361950;0,0" o:connectangles="0,0,0,0,0,0"/>
              </v:shape>
            </w:pict>
          </mc:Fallback>
        </mc:AlternateContent>
      </w:r>
      <w:r w:rsidRPr="00545EC0">
        <w:rPr>
          <w:rFonts w:cs="Arial"/>
          <w:noProof/>
        </w:rPr>
        <mc:AlternateContent>
          <mc:Choice Requires="wps">
            <w:drawing>
              <wp:anchor distT="0" distB="0" distL="114300" distR="114300" simplePos="0" relativeHeight="251678720" behindDoc="0" locked="0" layoutInCell="1" allowOverlap="1" wp14:anchorId="1C46E11F" wp14:editId="663724B9">
                <wp:simplePos x="0" y="0"/>
                <wp:positionH relativeFrom="column">
                  <wp:posOffset>1528445</wp:posOffset>
                </wp:positionH>
                <wp:positionV relativeFrom="paragraph">
                  <wp:posOffset>61595</wp:posOffset>
                </wp:positionV>
                <wp:extent cx="2038350" cy="314325"/>
                <wp:effectExtent l="0" t="0" r="0" b="9525"/>
                <wp:wrapNone/>
                <wp:docPr id="103" name="Polje z besedilom 103"/>
                <wp:cNvGraphicFramePr/>
                <a:graphic xmlns:a="http://schemas.openxmlformats.org/drawingml/2006/main">
                  <a:graphicData uri="http://schemas.microsoft.com/office/word/2010/wordprocessingShape">
                    <wps:wsp>
                      <wps:cNvSpPr txBox="1"/>
                      <wps:spPr>
                        <a:xfrm>
                          <a:off x="0" y="0"/>
                          <a:ext cx="203835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EC1C56" w14:textId="77777777" w:rsidR="00D17419" w:rsidRPr="00676682" w:rsidRDefault="00D17419" w:rsidP="00B9666E">
                            <w:pPr>
                              <w:jc w:val="center"/>
                              <w:rPr>
                                <w:b/>
                              </w:rPr>
                            </w:pPr>
                            <w:r w:rsidRPr="00676682">
                              <w:rPr>
                                <w:b/>
                              </w:rPr>
                              <w:t>UKREPI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Polje z besedilom 103" o:spid="_x0000_s1034" type="#_x0000_t202" style="position:absolute;left:0;text-align:left;margin-left:120.35pt;margin-top:4.85pt;width:160.5pt;height:24.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" fillcolor="white [3201]" stroked="f" strokeweight=".5pt">
                <v:textbox>
                  <w:txbxContent>
                    <w:p w14:paraId="1AEC1C56" w14:textId="77777777" w:rsidR="00D17419" w:rsidRPr="00676682" w:rsidRDefault="00D17419" w:rsidP="00B9666E">
                      <w:pPr>
                        <w:jc w:val="center"/>
                        <w:rPr>
                          <w:b/>
                        </w:rPr>
                      </w:pPr>
                      <w:r w:rsidRPr="00676682">
                        <w:rPr>
                          <w:b/>
                        </w:rPr>
                        <w:t>UKREPI</w:t>
                      </w:r>
                    </w:p>
                  </w:txbxContent>
                </v:textbox>
              </v:shape>
            </w:pict>
          </mc:Fallback>
        </mc:AlternateContent>
      </w:r>
    </w:p>
    <w:p w14:paraId="0D8BFC9E" w14:textId="77777777" w:rsidR="00B9666E" w:rsidRPr="00545EC0" w:rsidRDefault="00B9666E" w:rsidP="00B9666E">
      <w:pPr>
        <w:rPr>
          <w:rFonts w:cs="Arial"/>
        </w:rPr>
      </w:pPr>
    </w:p>
    <w:p w14:paraId="4E66FC29" w14:textId="77777777" w:rsidR="00B9666E" w:rsidRPr="00545EC0" w:rsidRDefault="00B9666E" w:rsidP="00B9666E">
      <w:pPr>
        <w:rPr>
          <w:rFonts w:cs="Arial"/>
        </w:rPr>
      </w:pPr>
      <w:r w:rsidRPr="00545EC0">
        <w:rPr>
          <w:rFonts w:cs="Arial"/>
          <w:noProof/>
        </w:rPr>
        <mc:AlternateContent>
          <mc:Choice Requires="wps">
            <w:drawing>
              <wp:anchor distT="0" distB="0" distL="114300" distR="114300" simplePos="0" relativeHeight="251672576" behindDoc="0" locked="0" layoutInCell="1" allowOverlap="1" wp14:anchorId="6C88AB77" wp14:editId="5226E166">
                <wp:simplePos x="0" y="0"/>
                <wp:positionH relativeFrom="column">
                  <wp:posOffset>2526030</wp:posOffset>
                </wp:positionH>
                <wp:positionV relativeFrom="paragraph">
                  <wp:posOffset>20320</wp:posOffset>
                </wp:positionV>
                <wp:extent cx="45719" cy="180975"/>
                <wp:effectExtent l="19050" t="0" r="31115" b="47625"/>
                <wp:wrapNone/>
                <wp:docPr id="97" name="Puščica dol 97"/>
                <wp:cNvGraphicFramePr/>
                <a:graphic xmlns:a="http://schemas.openxmlformats.org/drawingml/2006/main">
                  <a:graphicData uri="http://schemas.microsoft.com/office/word/2010/wordprocessingShape">
                    <wps:wsp>
                      <wps:cNvSpPr/>
                      <wps:spPr>
                        <a:xfrm flipH="1">
                          <a:off x="0" y="0"/>
                          <a:ext cx="45719" cy="1809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08C077" id="Puščica dol 97" o:spid="_x0000_s1026" type="#_x0000_t67" style="position:absolute;margin-left:198.9pt;margin-top:1.6pt;width:3.6pt;height:14.25pt;flip:x;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" adj="18872" fillcolor="black [3200]" strokecolor="black [1600]" strokeweight="2pt"/>
            </w:pict>
          </mc:Fallback>
        </mc:AlternateContent>
      </w:r>
    </w:p>
    <w:p w14:paraId="5FE484AA" w14:textId="77777777" w:rsidR="00B9666E" w:rsidRPr="00545EC0" w:rsidRDefault="00B9666E" w:rsidP="00B9666E">
      <w:pPr>
        <w:rPr>
          <w:rFonts w:cs="Arial"/>
        </w:rPr>
      </w:pPr>
      <w:r w:rsidRPr="00545EC0">
        <w:rPr>
          <w:rFonts w:cs="Arial"/>
          <w:noProof/>
        </w:rPr>
        <mc:AlternateContent>
          <mc:Choice Requires="wps">
            <w:drawing>
              <wp:anchor distT="0" distB="0" distL="114300" distR="114300" simplePos="0" relativeHeight="251673600" behindDoc="0" locked="0" layoutInCell="1" allowOverlap="1" wp14:anchorId="38A1F8EC" wp14:editId="38D73AAB">
                <wp:simplePos x="0" y="0"/>
                <wp:positionH relativeFrom="column">
                  <wp:posOffset>1337945</wp:posOffset>
                </wp:positionH>
                <wp:positionV relativeFrom="paragraph">
                  <wp:posOffset>42545</wp:posOffset>
                </wp:positionV>
                <wp:extent cx="2390775" cy="361950"/>
                <wp:effectExtent l="0" t="0" r="28575" b="19050"/>
                <wp:wrapNone/>
                <wp:docPr id="98" name="Zaokroži en kot pravokotnika 98"/>
                <wp:cNvGraphicFramePr/>
                <a:graphic xmlns:a="http://schemas.openxmlformats.org/drawingml/2006/main">
                  <a:graphicData uri="http://schemas.microsoft.com/office/word/2010/wordprocessingShape">
                    <wps:wsp>
                      <wps:cNvSpPr/>
                      <wps:spPr>
                        <a:xfrm>
                          <a:off x="0" y="0"/>
                          <a:ext cx="2390775" cy="361950"/>
                        </a:xfrm>
                        <a:prstGeom prst="round1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9B4F40" id="Zaokroži en kot pravokotnika 98" o:spid="_x0000_s1026" style="position:absolute;margin-left:105.35pt;margin-top:3.35pt;width:188.25pt;height: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9077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" path="m,l2330449,v33317,,60326,27009,60326,60326l2390775,361950,,361950,,xe" fillcolor="#c7edcc [3201]" strokecolor="black [3200]" strokeweight="2pt">
                <v:path arrowok="t" o:connecttype="custom" o:connectlocs="0,0;2330449,0;2390775,60326;2390775,361950;0,361950;0,0" o:connectangles="0,0,0,0,0,0"/>
              </v:shape>
            </w:pict>
          </mc:Fallback>
        </mc:AlternateContent>
      </w:r>
      <w:r w:rsidRPr="00545EC0">
        <w:rPr>
          <w:rFonts w:cs="Arial"/>
          <w:noProof/>
        </w:rPr>
        <mc:AlternateContent>
          <mc:Choice Requires="wps">
            <w:drawing>
              <wp:anchor distT="0" distB="0" distL="114300" distR="114300" simplePos="0" relativeHeight="251679744" behindDoc="0" locked="0" layoutInCell="1" allowOverlap="1" wp14:anchorId="33F29028" wp14:editId="7B9126CB">
                <wp:simplePos x="0" y="0"/>
                <wp:positionH relativeFrom="column">
                  <wp:posOffset>1433195</wp:posOffset>
                </wp:positionH>
                <wp:positionV relativeFrom="paragraph">
                  <wp:posOffset>71120</wp:posOffset>
                </wp:positionV>
                <wp:extent cx="2171700" cy="285750"/>
                <wp:effectExtent l="0" t="0" r="0" b="0"/>
                <wp:wrapNone/>
                <wp:docPr id="104" name="Polje z besedilom 104"/>
                <wp:cNvGraphicFramePr/>
                <a:graphic xmlns:a="http://schemas.openxmlformats.org/drawingml/2006/main">
                  <a:graphicData uri="http://schemas.microsoft.com/office/word/2010/wordprocessingShape">
                    <wps:wsp>
                      <wps:cNvSpPr txBox="1"/>
                      <wps:spPr>
                        <a:xfrm>
                          <a:off x="0" y="0"/>
                          <a:ext cx="21717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07BFF1" w14:textId="77777777" w:rsidR="00D17419" w:rsidRPr="00676682" w:rsidRDefault="00D17419" w:rsidP="00B9666E">
                            <w:pPr>
                              <w:jc w:val="center"/>
                              <w:rPr>
                                <w:b/>
                              </w:rPr>
                            </w:pPr>
                            <w:r w:rsidRPr="00676682">
                              <w:rPr>
                                <w:b/>
                              </w:rPr>
                              <w:t>ZMANJŠANJE OBREMENITEV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Polje z besedilom 104" o:spid="_x0000_s1035" type="#_x0000_t202" style="position:absolute;left:0;text-align:left;margin-left:112.85pt;margin-top:5.6pt;width:171pt;height:2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" fillcolor="white [3201]" stroked="f" strokeweight=".5pt">
                <v:textbox>
                  <w:txbxContent>
                    <w:p w14:paraId="6F07BFF1" w14:textId="77777777" w:rsidR="00D17419" w:rsidRPr="00676682" w:rsidRDefault="00D17419" w:rsidP="00B9666E">
                      <w:pPr>
                        <w:jc w:val="center"/>
                        <w:rPr>
                          <w:b/>
                        </w:rPr>
                      </w:pPr>
                      <w:r w:rsidRPr="00676682">
                        <w:rPr>
                          <w:b/>
                        </w:rPr>
                        <w:t>ZMANJŠANJE OBREMENITEV</w:t>
                      </w:r>
                    </w:p>
                  </w:txbxContent>
                </v:textbox>
              </v:shape>
            </w:pict>
          </mc:Fallback>
        </mc:AlternateContent>
      </w:r>
    </w:p>
    <w:p w14:paraId="5CC24A71" w14:textId="77777777" w:rsidR="00B9666E" w:rsidRPr="00545EC0" w:rsidRDefault="00B9666E" w:rsidP="00B9666E">
      <w:pPr>
        <w:rPr>
          <w:rFonts w:cs="Arial"/>
        </w:rPr>
      </w:pPr>
    </w:p>
    <w:p w14:paraId="24AEC557" w14:textId="77777777" w:rsidR="00B9666E" w:rsidRPr="00545EC0" w:rsidRDefault="00B9666E" w:rsidP="00B9666E">
      <w:pPr>
        <w:rPr>
          <w:rFonts w:cs="Arial"/>
        </w:rPr>
      </w:pPr>
      <w:r w:rsidRPr="00545EC0">
        <w:rPr>
          <w:rFonts w:cs="Arial"/>
          <w:noProof/>
        </w:rPr>
        <mc:AlternateContent>
          <mc:Choice Requires="wps">
            <w:drawing>
              <wp:anchor distT="0" distB="0" distL="114300" distR="114300" simplePos="0" relativeHeight="251674624" behindDoc="0" locked="0" layoutInCell="1" allowOverlap="1" wp14:anchorId="0A8A38E7" wp14:editId="73B5B2D5">
                <wp:simplePos x="0" y="0"/>
                <wp:positionH relativeFrom="column">
                  <wp:posOffset>2404745</wp:posOffset>
                </wp:positionH>
                <wp:positionV relativeFrom="paragraph">
                  <wp:posOffset>54655</wp:posOffset>
                </wp:positionV>
                <wp:extent cx="257175" cy="276225"/>
                <wp:effectExtent l="19050" t="0" r="28575" b="47625"/>
                <wp:wrapNone/>
                <wp:docPr id="99" name="Puščica dol 99"/>
                <wp:cNvGraphicFramePr/>
                <a:graphic xmlns:a="http://schemas.openxmlformats.org/drawingml/2006/main">
                  <a:graphicData uri="http://schemas.microsoft.com/office/word/2010/wordprocessingShape">
                    <wps:wsp>
                      <wps:cNvSpPr/>
                      <wps:spPr>
                        <a:xfrm>
                          <a:off x="0" y="0"/>
                          <a:ext cx="257175" cy="2762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84615F" id="Puščica dol 99" o:spid="_x0000_s1026" type="#_x0000_t67" style="position:absolute;margin-left:189.35pt;margin-top:4.3pt;width:20.25pt;height:21.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" adj="11545" fillcolor="black [3200]" strokecolor="black [1600]" strokeweight="2pt"/>
            </w:pict>
          </mc:Fallback>
        </mc:AlternateContent>
      </w:r>
    </w:p>
    <w:p w14:paraId="5FD570D9" w14:textId="77777777" w:rsidR="00B9666E" w:rsidRPr="00545EC0" w:rsidRDefault="00B9666E" w:rsidP="00B9666E">
      <w:pPr>
        <w:rPr>
          <w:rFonts w:cs="Arial"/>
        </w:rPr>
      </w:pPr>
      <w:r w:rsidRPr="00545EC0">
        <w:rPr>
          <w:rFonts w:cs="Arial"/>
          <w:noProof/>
        </w:rPr>
        <mc:AlternateContent>
          <mc:Choice Requires="wps">
            <w:drawing>
              <wp:anchor distT="0" distB="0" distL="114300" distR="114300" simplePos="0" relativeHeight="251675648" behindDoc="0" locked="0" layoutInCell="1" allowOverlap="1" wp14:anchorId="1C9A8912" wp14:editId="6F893C65">
                <wp:simplePos x="0" y="0"/>
                <wp:positionH relativeFrom="column">
                  <wp:posOffset>1337945</wp:posOffset>
                </wp:positionH>
                <wp:positionV relativeFrom="paragraph">
                  <wp:posOffset>147320</wp:posOffset>
                </wp:positionV>
                <wp:extent cx="2390775" cy="600075"/>
                <wp:effectExtent l="0" t="0" r="28575" b="28575"/>
                <wp:wrapNone/>
                <wp:docPr id="100" name="Zaokroži en kot pravokotnika 100"/>
                <wp:cNvGraphicFramePr/>
                <a:graphic xmlns:a="http://schemas.openxmlformats.org/drawingml/2006/main">
                  <a:graphicData uri="http://schemas.microsoft.com/office/word/2010/wordprocessingShape">
                    <wps:wsp>
                      <wps:cNvSpPr/>
                      <wps:spPr>
                        <a:xfrm>
                          <a:off x="0" y="0"/>
                          <a:ext cx="2390775" cy="600075"/>
                        </a:xfrm>
                        <a:prstGeom prst="round1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020711" id="Zaokroži en kot pravokotnika 100" o:spid="_x0000_s1026" style="position:absolute;margin-left:105.35pt;margin-top:11.6pt;width:188.25pt;height:47.2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239077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" path="m,l2290760,v55237,,100015,44778,100015,100015l2390775,600075,,600075,,xe" fillcolor="#c7edcc [3201]" strokecolor="black [3200]" strokeweight="2pt">
                <v:path arrowok="t" o:connecttype="custom" o:connectlocs="0,0;2290760,0;2390775,100015;2390775,600075;0,600075;0,0" o:connectangles="0,0,0,0,0,0"/>
              </v:shape>
            </w:pict>
          </mc:Fallback>
        </mc:AlternateContent>
      </w:r>
    </w:p>
    <w:p w14:paraId="1A57114C" w14:textId="77777777" w:rsidR="00B9666E" w:rsidRPr="00545EC0" w:rsidRDefault="00B9666E" w:rsidP="00B9666E">
      <w:pPr>
        <w:rPr>
          <w:rFonts w:cs="Arial"/>
        </w:rPr>
      </w:pPr>
      <w:r w:rsidRPr="00545EC0">
        <w:rPr>
          <w:rFonts w:cs="Arial"/>
          <w:noProof/>
        </w:rPr>
        <mc:AlternateContent>
          <mc:Choice Requires="wps">
            <w:drawing>
              <wp:anchor distT="0" distB="0" distL="114300" distR="114300" simplePos="0" relativeHeight="251680768" behindDoc="0" locked="0" layoutInCell="1" allowOverlap="1" wp14:anchorId="7EDEEC1E" wp14:editId="49153DA6">
                <wp:simplePos x="0" y="0"/>
                <wp:positionH relativeFrom="column">
                  <wp:posOffset>1528445</wp:posOffset>
                </wp:positionH>
                <wp:positionV relativeFrom="paragraph">
                  <wp:posOffset>26670</wp:posOffset>
                </wp:positionV>
                <wp:extent cx="2114550" cy="495300"/>
                <wp:effectExtent l="0" t="0" r="0" b="0"/>
                <wp:wrapNone/>
                <wp:docPr id="105" name="Polje z besedilom 105"/>
                <wp:cNvGraphicFramePr/>
                <a:graphic xmlns:a="http://schemas.openxmlformats.org/drawingml/2006/main">
                  <a:graphicData uri="http://schemas.microsoft.com/office/word/2010/wordprocessingShape">
                    <wps:wsp>
                      <wps:cNvSpPr txBox="1"/>
                      <wps:spPr>
                        <a:xfrm>
                          <a:off x="0" y="0"/>
                          <a:ext cx="211455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B834E" w14:textId="77777777" w:rsidR="00D17419" w:rsidRPr="00676682" w:rsidRDefault="00D17419" w:rsidP="00B9666E">
                            <w:pPr>
                              <w:jc w:val="center"/>
                              <w:rPr>
                                <w:b/>
                              </w:rPr>
                            </w:pPr>
                            <w:r w:rsidRPr="00676682">
                              <w:rPr>
                                <w:b/>
                              </w:rPr>
                              <w:t>DOSEGANJE OKOLJSKIH CILJEV-DOBRO STANJE VODA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je z besedilom 105" o:spid="_x0000_s1036" type="#_x0000_t202" style="position:absolute;left:0;text-align:left;margin-left:120.35pt;margin-top:2.1pt;width:166.5pt;height:39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" fillcolor="white [3201]" stroked="f" strokeweight=".5pt">
                <v:textbox>
                  <w:txbxContent>
                    <w:p w14:paraId="175B834E" w14:textId="77777777" w:rsidR="00D17419" w:rsidRPr="00676682" w:rsidRDefault="00D17419" w:rsidP="00B9666E">
                      <w:pPr>
                        <w:jc w:val="center"/>
                        <w:rPr>
                          <w:b/>
                        </w:rPr>
                      </w:pPr>
                      <w:r w:rsidRPr="00676682">
                        <w:rPr>
                          <w:b/>
                        </w:rPr>
                        <w:t>DOSEGANJE OKOLJSKIH CILJEV-DOBRO STANJE VODA</w:t>
                      </w:r>
                    </w:p>
                  </w:txbxContent>
                </v:textbox>
              </v:shape>
            </w:pict>
          </mc:Fallback>
        </mc:AlternateContent>
      </w:r>
    </w:p>
    <w:p w14:paraId="193F49A2" w14:textId="77777777" w:rsidR="00B9666E" w:rsidRPr="00545EC0" w:rsidRDefault="00B9666E" w:rsidP="00B9666E">
      <w:pPr>
        <w:rPr>
          <w:rFonts w:cs="Arial"/>
        </w:rPr>
      </w:pPr>
    </w:p>
    <w:p w14:paraId="2BF88818" w14:textId="77777777" w:rsidR="00B9666E" w:rsidRPr="00545EC0" w:rsidRDefault="00B9666E" w:rsidP="00B9666E">
      <w:pPr>
        <w:rPr>
          <w:rFonts w:cs="Arial"/>
        </w:rPr>
      </w:pPr>
    </w:p>
    <w:p w14:paraId="7889DC0E" w14:textId="77777777" w:rsidR="00B9666E" w:rsidRPr="00545EC0" w:rsidRDefault="00B9666E" w:rsidP="00B9666E">
      <w:pPr>
        <w:rPr>
          <w:rFonts w:cs="Arial"/>
        </w:rPr>
      </w:pPr>
    </w:p>
    <w:p w14:paraId="5BCBEF08" w14:textId="77777777" w:rsidR="00B9666E" w:rsidRPr="00545EC0" w:rsidRDefault="00B9666E" w:rsidP="00B9666E">
      <w:pPr>
        <w:rPr>
          <w:rFonts w:cs="Arial"/>
        </w:rPr>
      </w:pPr>
    </w:p>
    <w:p w14:paraId="399DFFF7" w14:textId="080FDEFD" w:rsidR="00B9666E" w:rsidRPr="00545EC0" w:rsidRDefault="00B9666E" w:rsidP="00B9666E">
      <w:pPr>
        <w:rPr>
          <w:rFonts w:cs="Arial"/>
          <w:bCs/>
          <w:szCs w:val="20"/>
          <w:lang w:eastAsia="ja-JP"/>
        </w:rPr>
      </w:pPr>
      <w:r w:rsidRPr="00545EC0">
        <w:rPr>
          <w:rFonts w:cs="Arial"/>
        </w:rPr>
        <w:t xml:space="preserve"> </w:t>
      </w:r>
      <w:bookmarkStart w:id="379" w:name="_Ref414632490"/>
      <w:bookmarkStart w:id="380" w:name="_Toc255567672"/>
      <w:bookmarkStart w:id="381" w:name="_Toc278467076"/>
      <w:bookmarkStart w:id="382" w:name="_Toc419097510"/>
      <w:bookmarkStart w:id="383" w:name="_Toc405796834"/>
      <w:bookmarkStart w:id="384" w:name="_Toc299420951"/>
      <w:r w:rsidRPr="00545EC0">
        <w:rPr>
          <w:rFonts w:cs="Arial"/>
          <w:bCs/>
          <w:szCs w:val="20"/>
          <w:lang w:eastAsia="ja-JP"/>
        </w:rPr>
        <w:t xml:space="preserve">Slika </w:t>
      </w:r>
      <w:r w:rsidR="00396E1E" w:rsidRPr="00545EC0">
        <w:rPr>
          <w:rFonts w:cs="Arial"/>
          <w:bCs/>
          <w:szCs w:val="20"/>
          <w:lang w:eastAsia="ja-JP"/>
        </w:rPr>
        <w:fldChar w:fldCharType="begin"/>
      </w:r>
      <w:r w:rsidR="00396E1E" w:rsidRPr="00545EC0">
        <w:rPr>
          <w:rFonts w:cs="Arial"/>
          <w:bCs/>
          <w:szCs w:val="20"/>
          <w:lang w:eastAsia="ja-JP"/>
        </w:rPr>
        <w:instrText xml:space="preserve"> STYLEREF 1 \s </w:instrText>
      </w:r>
      <w:r w:rsidR="00396E1E" w:rsidRPr="00545EC0">
        <w:rPr>
          <w:rFonts w:cs="Arial"/>
          <w:bCs/>
          <w:szCs w:val="20"/>
          <w:lang w:eastAsia="ja-JP"/>
        </w:rPr>
        <w:fldChar w:fldCharType="separate"/>
      </w:r>
      <w:r w:rsidR="002F3E43">
        <w:rPr>
          <w:rFonts w:cs="Arial"/>
          <w:bCs/>
          <w:noProof/>
          <w:szCs w:val="20"/>
          <w:lang w:eastAsia="ja-JP"/>
        </w:rPr>
        <w:t>2</w:t>
      </w:r>
      <w:r w:rsidR="00396E1E" w:rsidRPr="00545EC0">
        <w:rPr>
          <w:rFonts w:cs="Arial"/>
          <w:bCs/>
          <w:szCs w:val="20"/>
          <w:lang w:eastAsia="ja-JP"/>
        </w:rPr>
        <w:fldChar w:fldCharType="end"/>
      </w:r>
      <w:r w:rsidR="00396E1E" w:rsidRPr="00545EC0">
        <w:rPr>
          <w:rFonts w:cs="Arial"/>
          <w:bCs/>
          <w:szCs w:val="20"/>
          <w:lang w:eastAsia="ja-JP"/>
        </w:rPr>
        <w:noBreakHyphen/>
      </w:r>
      <w:r w:rsidR="00396E1E" w:rsidRPr="00545EC0">
        <w:rPr>
          <w:rFonts w:cs="Arial"/>
          <w:bCs/>
          <w:szCs w:val="20"/>
          <w:lang w:eastAsia="ja-JP"/>
        </w:rPr>
        <w:fldChar w:fldCharType="begin"/>
      </w:r>
      <w:r w:rsidR="00396E1E" w:rsidRPr="00545EC0">
        <w:rPr>
          <w:rFonts w:cs="Arial"/>
          <w:bCs/>
          <w:szCs w:val="20"/>
          <w:lang w:eastAsia="ja-JP"/>
        </w:rPr>
        <w:instrText xml:space="preserve"> SEQ Slika \* ARABIC \s 1 </w:instrText>
      </w:r>
      <w:r w:rsidR="00396E1E" w:rsidRPr="00545EC0">
        <w:rPr>
          <w:rFonts w:cs="Arial"/>
          <w:bCs/>
          <w:szCs w:val="20"/>
          <w:lang w:eastAsia="ja-JP"/>
        </w:rPr>
        <w:fldChar w:fldCharType="separate"/>
      </w:r>
      <w:r w:rsidR="002F3E43">
        <w:rPr>
          <w:rFonts w:cs="Arial"/>
          <w:bCs/>
          <w:noProof/>
          <w:szCs w:val="20"/>
          <w:lang w:eastAsia="ja-JP"/>
        </w:rPr>
        <w:t>44</w:t>
      </w:r>
      <w:r w:rsidR="00396E1E" w:rsidRPr="00545EC0">
        <w:rPr>
          <w:rFonts w:cs="Arial"/>
          <w:bCs/>
          <w:szCs w:val="20"/>
          <w:lang w:eastAsia="ja-JP"/>
        </w:rPr>
        <w:fldChar w:fldCharType="end"/>
      </w:r>
      <w:bookmarkEnd w:id="379"/>
      <w:r w:rsidRPr="00545EC0">
        <w:rPr>
          <w:rFonts w:cs="Arial"/>
          <w:bCs/>
          <w:szCs w:val="20"/>
          <w:lang w:eastAsia="ja-JP"/>
        </w:rPr>
        <w:t>: Vsebine, obravnavane v ekonomskih analiz</w:t>
      </w:r>
      <w:bookmarkEnd w:id="380"/>
      <w:bookmarkEnd w:id="381"/>
      <w:r w:rsidRPr="00545EC0">
        <w:rPr>
          <w:rFonts w:cs="Arial"/>
          <w:bCs/>
          <w:szCs w:val="20"/>
          <w:lang w:eastAsia="ja-JP"/>
        </w:rPr>
        <w:t>ah</w:t>
      </w:r>
      <w:bookmarkEnd w:id="382"/>
      <w:bookmarkEnd w:id="383"/>
      <w:bookmarkEnd w:id="384"/>
    </w:p>
    <w:p w14:paraId="7D717C72" w14:textId="77777777" w:rsidR="00B9666E" w:rsidRPr="00545EC0" w:rsidRDefault="00B9666E" w:rsidP="00B9666E">
      <w:pPr>
        <w:overflowPunct/>
        <w:autoSpaceDE/>
        <w:autoSpaceDN/>
        <w:adjustRightInd/>
        <w:textAlignment w:val="auto"/>
        <w:rPr>
          <w:rFonts w:eastAsia="Calibri" w:cs="Arial"/>
          <w:szCs w:val="22"/>
        </w:rPr>
      </w:pPr>
    </w:p>
    <w:p w14:paraId="05C019D4" w14:textId="77777777" w:rsidR="00B9666E" w:rsidRPr="00545EC0" w:rsidRDefault="00B9666E" w:rsidP="00B9666E">
      <w:pPr>
        <w:rPr>
          <w:rFonts w:cs="Arial"/>
        </w:rPr>
      </w:pPr>
      <w:bookmarkStart w:id="385" w:name="_Toc419099248"/>
      <w:r w:rsidRPr="00545EC0">
        <w:rPr>
          <w:rFonts w:cs="Arial"/>
        </w:rPr>
        <w:t xml:space="preserve">Z ekonomskimi analizami se ugotavlja vplive na dobrobit družbe oziroma na blaginjo ljudi. Upoštevani so pozitivni vplivi, ko se blaginja poveča (koristi), in negativni vplivi, ki povzročijo zmanjšanje blaginje (stroški). Ti vplivi so lahko finančni (npr. izguba dohodka), okoljski (npr. izguba blaginje zaradi </w:t>
      </w:r>
      <w:r w:rsidRPr="00545EC0">
        <w:rPr>
          <w:rFonts w:cs="Arial"/>
        </w:rPr>
        <w:lastRenderedPageBreak/>
        <w:t>poslabšanja okolja) in družbeni (npr. vplivi na zdravje ali zaposlenost). V ekonomskih analizah se vplivi obravnavajo s stališča družbe in ne s stališča lastnikov ali uporabnikov proizvodov in storitev.</w:t>
      </w:r>
    </w:p>
    <w:p w14:paraId="35AB8999" w14:textId="05DD26F9" w:rsidR="00B9666E" w:rsidRPr="00545EC0" w:rsidRDefault="00B9666E" w:rsidP="00B9666E">
      <w:pPr>
        <w:rPr>
          <w:rFonts w:cs="Arial"/>
        </w:rPr>
      </w:pPr>
      <w:r w:rsidRPr="00545EC0">
        <w:rPr>
          <w:rFonts w:cs="Arial"/>
        </w:rPr>
        <w:t xml:space="preserve">Namen </w:t>
      </w:r>
      <w:r w:rsidR="005536B7" w:rsidRPr="00545EC0">
        <w:rPr>
          <w:rFonts w:cs="Arial"/>
        </w:rPr>
        <w:t>e</w:t>
      </w:r>
      <w:r w:rsidRPr="00545EC0">
        <w:rPr>
          <w:rFonts w:cs="Arial"/>
        </w:rPr>
        <w:t>konomske analize obremenjevanja voda je prikazati pomen dejavnosti, ki obremenjujejo vode za celotno gospodarstvo in družbo, povzeti njihove glavne obremenitve in primerjati plačila za obremenjevanje voda s stroški, ki jih dejavnosti povzročajo. Samo z ustreznim plačevanjem stroškov za obremenjevanje voda in namensko porabo zbranih finančnih sredstev je možna trajnostna uporaba vodnih virov.</w:t>
      </w:r>
    </w:p>
    <w:p w14:paraId="10CA732C" w14:textId="77777777" w:rsidR="00B9666E" w:rsidRPr="00545EC0" w:rsidRDefault="00B9666E" w:rsidP="00B9666E">
      <w:pPr>
        <w:rPr>
          <w:rFonts w:cs="Arial"/>
        </w:rPr>
      </w:pPr>
    </w:p>
    <w:p w14:paraId="41B1287D" w14:textId="77777777" w:rsidR="00B9666E" w:rsidRPr="00545EC0" w:rsidRDefault="00B9666E" w:rsidP="00B9666E">
      <w:pPr>
        <w:rPr>
          <w:rFonts w:cs="Arial"/>
        </w:rPr>
      </w:pPr>
      <w:r w:rsidRPr="00545EC0">
        <w:rPr>
          <w:rFonts w:cs="Arial"/>
        </w:rPr>
        <w:t xml:space="preserve">Rezultati ekonomskih analiz obremenjevanja voda predstavljajo pomembno podporo pri pripravi programa ukrepov upravljanja voda in pri oblikovanju cenovne politike za vode ter pri sprejemanju odločitev na področju upravljanja voda. </w:t>
      </w:r>
    </w:p>
    <w:p w14:paraId="446B2484" w14:textId="77777777" w:rsidR="00B9666E" w:rsidRPr="00545EC0" w:rsidRDefault="00B9666E">
      <w:pPr>
        <w:pStyle w:val="Naslov3"/>
      </w:pPr>
      <w:bookmarkStart w:id="386" w:name="_Toc428521963"/>
      <w:bookmarkStart w:id="387" w:name="_Toc430606163"/>
      <w:bookmarkStart w:id="388" w:name="_Toc462218153"/>
      <w:bookmarkStart w:id="389" w:name="_Toc90261030"/>
      <w:r w:rsidRPr="00545EC0">
        <w:t>Metodološki pristop</w:t>
      </w:r>
      <w:bookmarkEnd w:id="385"/>
      <w:bookmarkEnd w:id="386"/>
      <w:bookmarkEnd w:id="387"/>
      <w:bookmarkEnd w:id="388"/>
      <w:bookmarkEnd w:id="389"/>
    </w:p>
    <w:p w14:paraId="5D64C560" w14:textId="20200AC9" w:rsidR="00B9666E" w:rsidRPr="00545EC0" w:rsidRDefault="00B9666E" w:rsidP="00B9666E">
      <w:pPr>
        <w:rPr>
          <w:rFonts w:cs="Arial"/>
          <w:szCs w:val="20"/>
        </w:rPr>
      </w:pPr>
      <w:r w:rsidRPr="00545EC0">
        <w:rPr>
          <w:rFonts w:cs="Arial"/>
          <w:szCs w:val="20"/>
        </w:rPr>
        <w:t xml:space="preserve">Ekonomska analiza obremenjevanja voda vključuje prikaz pomena dejavnosti, ki obremenjujejo vode, za celotno gospodarstvo in družbo, povzema njihove glavne obremenitve in primerja plačila za obremenjevanje voda s stroški, ki jih dejavnosti povzročajo. Le z ustreznim plačevanjem stroškov za obremenjevanje voda in namensko porabo tako zbranih finančnih sredstev pa je možna </w:t>
      </w:r>
      <w:r w:rsidR="005536B7" w:rsidRPr="00545EC0">
        <w:rPr>
          <w:rFonts w:cs="Arial"/>
          <w:szCs w:val="20"/>
        </w:rPr>
        <w:t xml:space="preserve">trajnostna </w:t>
      </w:r>
      <w:r w:rsidRPr="00545EC0">
        <w:rPr>
          <w:rFonts w:cs="Arial"/>
          <w:szCs w:val="20"/>
        </w:rPr>
        <w:t>rab</w:t>
      </w:r>
      <w:r w:rsidR="005536B7" w:rsidRPr="00545EC0">
        <w:rPr>
          <w:rFonts w:cs="Arial"/>
          <w:szCs w:val="20"/>
        </w:rPr>
        <w:t>a</w:t>
      </w:r>
      <w:r w:rsidRPr="00545EC0">
        <w:rPr>
          <w:rFonts w:cs="Arial"/>
          <w:szCs w:val="20"/>
        </w:rPr>
        <w:t xml:space="preserve"> vodnih virov. </w:t>
      </w:r>
    </w:p>
    <w:p w14:paraId="5F69D769" w14:textId="77777777" w:rsidR="00392769" w:rsidRPr="00545EC0" w:rsidRDefault="00392769" w:rsidP="00B9666E">
      <w:pPr>
        <w:rPr>
          <w:rFonts w:cs="Arial"/>
          <w:szCs w:val="20"/>
        </w:rPr>
      </w:pPr>
    </w:p>
    <w:p w14:paraId="7DF4E384" w14:textId="16353D8B" w:rsidR="00B9666E" w:rsidRPr="00545EC0" w:rsidRDefault="00B9666E" w:rsidP="00B9666E">
      <w:pPr>
        <w:rPr>
          <w:rFonts w:cs="Arial"/>
          <w:szCs w:val="20"/>
        </w:rPr>
      </w:pPr>
      <w:r w:rsidRPr="00545EC0">
        <w:rPr>
          <w:rFonts w:cs="Arial"/>
          <w:szCs w:val="20"/>
        </w:rPr>
        <w:t>Ekonomska analiza obremenjevanja voda je izdelana na ravni VO Donave, razen v primerih, kjer so zaradi nedostopnosti podatkov nekatere vrednosti podane za celotno območje Slovenije. Obravnavni so trije sektorji (</w:t>
      </w:r>
      <w:r w:rsidR="005536B7" w:rsidRPr="00545EC0">
        <w:rPr>
          <w:rFonts w:cs="Arial"/>
          <w:szCs w:val="20"/>
        </w:rPr>
        <w:t>g</w:t>
      </w:r>
      <w:r w:rsidRPr="00545EC0">
        <w:rPr>
          <w:rFonts w:cs="Arial"/>
          <w:szCs w:val="20"/>
        </w:rPr>
        <w:t xml:space="preserve">ospodinjstvo, gospodarstvo in </w:t>
      </w:r>
      <w:r w:rsidR="00D45821" w:rsidRPr="00545EC0">
        <w:rPr>
          <w:rFonts w:cs="Arial"/>
          <w:szCs w:val="20"/>
        </w:rPr>
        <w:t>kmetijstvo</w:t>
      </w:r>
      <w:r w:rsidRPr="00545EC0">
        <w:rPr>
          <w:rFonts w:cs="Arial"/>
          <w:szCs w:val="20"/>
        </w:rPr>
        <w:t xml:space="preserve">) in 31 storitev, povezanih z obremenjevanjem voda, v skladu s klasifikacijo iz </w:t>
      </w:r>
      <w:r w:rsidR="003A4DE7" w:rsidRPr="00545EC0">
        <w:rPr>
          <w:rFonts w:cs="Arial"/>
          <w:szCs w:val="20"/>
        </w:rPr>
        <w:t xml:space="preserve">predpisa, ki ureja </w:t>
      </w:r>
      <w:r w:rsidRPr="00545EC0">
        <w:rPr>
          <w:rFonts w:cs="Arial"/>
          <w:szCs w:val="20"/>
        </w:rPr>
        <w:t>klasifikacij</w:t>
      </w:r>
      <w:r w:rsidR="003A4DE7" w:rsidRPr="00545EC0">
        <w:rPr>
          <w:rFonts w:cs="Arial"/>
          <w:szCs w:val="20"/>
        </w:rPr>
        <w:t>o</w:t>
      </w:r>
      <w:r w:rsidRPr="00545EC0">
        <w:rPr>
          <w:rFonts w:cs="Arial"/>
          <w:szCs w:val="20"/>
        </w:rPr>
        <w:t xml:space="preserve"> vrst posebne</w:t>
      </w:r>
      <w:r w:rsidR="00EC5C03" w:rsidRPr="00545EC0">
        <w:rPr>
          <w:rFonts w:cs="Arial"/>
          <w:szCs w:val="20"/>
        </w:rPr>
        <w:t xml:space="preserve"> rabe vode in naplavin.</w:t>
      </w:r>
    </w:p>
    <w:p w14:paraId="7A79D2B3" w14:textId="77777777" w:rsidR="00392769" w:rsidRPr="00545EC0" w:rsidRDefault="00392769" w:rsidP="00B9666E">
      <w:pPr>
        <w:rPr>
          <w:rFonts w:cs="Arial"/>
          <w:szCs w:val="20"/>
        </w:rPr>
      </w:pPr>
    </w:p>
    <w:p w14:paraId="36C93185" w14:textId="233F743E" w:rsidR="00B9666E" w:rsidRPr="00545EC0" w:rsidRDefault="00B9666E" w:rsidP="00B9666E">
      <w:pPr>
        <w:rPr>
          <w:rFonts w:cs="Arial"/>
          <w:szCs w:val="20"/>
        </w:rPr>
      </w:pPr>
      <w:r w:rsidRPr="00545EC0">
        <w:rPr>
          <w:rFonts w:cs="Arial"/>
          <w:szCs w:val="20"/>
        </w:rPr>
        <w:t>Pri tem so kot storitve, povezane z obremenjevanjem voda, obravnavane storitve, s katerimi se za gospodinjstva, državne in druge organe, ki opravljajo javno službo, ali katerokoli gospodarsko dejavnost, po predpisih, ki urejajo standardno klasifikacijo dejavnosti, zagotavljajo odvzem, zajezitev, shranjevanje, obdelava in distribucija površinske ali podzemne vode ali odvajanje in obdelava odpadne vode, ki se nato odvaja v površinsko vodo. Dejavnosti, ki obremenjujejo vode, so združene v sektorje</w:t>
      </w:r>
      <w:r w:rsidR="00D45821" w:rsidRPr="00545EC0">
        <w:rPr>
          <w:rFonts w:cs="Arial"/>
          <w:szCs w:val="20"/>
        </w:rPr>
        <w:t xml:space="preserve"> gospodarstvo, gospodinjstvo in kmetijstvo</w:t>
      </w:r>
      <w:r w:rsidRPr="00545EC0">
        <w:rPr>
          <w:rFonts w:cs="Arial"/>
          <w:szCs w:val="20"/>
        </w:rPr>
        <w:t xml:space="preserve">. Pod sektor gospodinjstvo je umeščeno še plačilo okoljskih dajatev zaradi odvajanja komunalne odpadne </w:t>
      </w:r>
      <w:r w:rsidR="00C12042" w:rsidRPr="00545EC0">
        <w:rPr>
          <w:rFonts w:cs="Arial"/>
          <w:szCs w:val="20"/>
        </w:rPr>
        <w:t>vode. Poleg</w:t>
      </w:r>
      <w:r w:rsidRPr="00545EC0">
        <w:rPr>
          <w:rFonts w:cs="Arial"/>
          <w:szCs w:val="20"/>
        </w:rPr>
        <w:t xml:space="preserve"> gospodarskih dejavnosti so obravnavani tudi podatki o dejavnostih gospodinjstev, ki obremenjujejo vode. Pod sektor gospodarstva pa še plačilo okoljskih dajatev zaradi odvajanja industrijske odpadne vode. Kot dejavnosti, ki obremenjujejo vode, so upoštevane storitve, povezane z obremenjevanjem voda, posebno rabo voda, onesnaževanje voda in druge dejavnosti, ki pomembno vplivajo na stanje voda, </w:t>
      </w:r>
      <w:r w:rsidR="005536B7" w:rsidRPr="00545EC0">
        <w:rPr>
          <w:rFonts w:cs="Arial"/>
          <w:szCs w:val="20"/>
        </w:rPr>
        <w:t xml:space="preserve">t.j. </w:t>
      </w:r>
      <w:r w:rsidRPr="00545EC0">
        <w:rPr>
          <w:rFonts w:cs="Arial"/>
          <w:szCs w:val="20"/>
        </w:rPr>
        <w:t>vse storitve, za katere se plačuje dajatve za obremenjevanje voda, in sicer:</w:t>
      </w:r>
    </w:p>
    <w:p w14:paraId="5F7D8AD0" w14:textId="77777777" w:rsidR="00B9666E" w:rsidRPr="00545EC0" w:rsidRDefault="00B9666E" w:rsidP="00B9666E">
      <w:pPr>
        <w:rPr>
          <w:rFonts w:cs="Arial"/>
          <w:szCs w:val="20"/>
        </w:rPr>
      </w:pPr>
    </w:p>
    <w:p w14:paraId="6E43430C" w14:textId="26629250" w:rsidR="00B9666E" w:rsidRPr="00545EC0" w:rsidRDefault="00B9666E" w:rsidP="00DD37C5">
      <w:pPr>
        <w:pStyle w:val="Odstavekseznama"/>
        <w:numPr>
          <w:ilvl w:val="0"/>
          <w:numId w:val="64"/>
        </w:numPr>
        <w:rPr>
          <w:rFonts w:cs="Arial"/>
          <w:szCs w:val="20"/>
        </w:rPr>
      </w:pPr>
      <w:r w:rsidRPr="00545EC0">
        <w:t>raba vode za lastno oskrbo s pitno vodo</w:t>
      </w:r>
      <w:r w:rsidR="005536B7" w:rsidRPr="00545EC0">
        <w:rPr>
          <w:lang w:val="sl-SI"/>
        </w:rPr>
        <w:t>,</w:t>
      </w:r>
    </w:p>
    <w:p w14:paraId="25701C5F" w14:textId="2E93D97C" w:rsidR="00B9666E" w:rsidRPr="00545EC0" w:rsidRDefault="00B9666E" w:rsidP="00DD37C5">
      <w:pPr>
        <w:pStyle w:val="Odstavekseznama"/>
        <w:numPr>
          <w:ilvl w:val="0"/>
          <w:numId w:val="64"/>
        </w:numPr>
        <w:rPr>
          <w:rFonts w:cs="Arial"/>
          <w:szCs w:val="20"/>
        </w:rPr>
      </w:pPr>
      <w:r w:rsidRPr="00545EC0">
        <w:t>raba vode za oskrbo s pitno vodo, ki se izvaja kot gospodarska javna</w:t>
      </w:r>
      <w:r w:rsidRPr="00545EC0">
        <w:rPr>
          <w:lang w:val="sl-SI"/>
        </w:rPr>
        <w:t xml:space="preserve"> </w:t>
      </w:r>
      <w:r w:rsidRPr="00545EC0">
        <w:t>služba</w:t>
      </w:r>
      <w:r w:rsidR="005536B7" w:rsidRPr="00545EC0">
        <w:rPr>
          <w:lang w:val="sl-SI"/>
        </w:rPr>
        <w:t>,</w:t>
      </w:r>
    </w:p>
    <w:p w14:paraId="58FD2979" w14:textId="790B3C64" w:rsidR="00B9666E" w:rsidRPr="00545EC0" w:rsidRDefault="00B9666E" w:rsidP="00DD37C5">
      <w:pPr>
        <w:pStyle w:val="Odstavekseznama"/>
        <w:numPr>
          <w:ilvl w:val="0"/>
          <w:numId w:val="64"/>
        </w:numPr>
        <w:rPr>
          <w:rFonts w:cs="Arial"/>
          <w:szCs w:val="20"/>
        </w:rPr>
      </w:pPr>
      <w:r w:rsidRPr="00545EC0">
        <w:t>raba vode iz vodnega vira za tehnološke namene</w:t>
      </w:r>
      <w:r w:rsidR="005536B7" w:rsidRPr="00545EC0">
        <w:rPr>
          <w:lang w:val="sl-SI"/>
        </w:rPr>
        <w:t>,</w:t>
      </w:r>
    </w:p>
    <w:p w14:paraId="032CF34F" w14:textId="3F18BA12" w:rsidR="00B9666E" w:rsidRPr="00545EC0" w:rsidRDefault="00B9666E" w:rsidP="00DD37C5">
      <w:pPr>
        <w:pStyle w:val="Odstavekseznama"/>
        <w:numPr>
          <w:ilvl w:val="0"/>
          <w:numId w:val="64"/>
        </w:numPr>
        <w:rPr>
          <w:rFonts w:cs="Arial"/>
          <w:szCs w:val="20"/>
        </w:rPr>
      </w:pPr>
      <w:r w:rsidRPr="00545EC0">
        <w:t>raba vode iz objektov in naprav za oskrbo s pitno vodo za tehnološke</w:t>
      </w:r>
      <w:r w:rsidRPr="00545EC0">
        <w:rPr>
          <w:lang w:val="sl-SI"/>
        </w:rPr>
        <w:t xml:space="preserve"> </w:t>
      </w:r>
      <w:r w:rsidRPr="00545EC0">
        <w:t>namene</w:t>
      </w:r>
      <w:r w:rsidR="005536B7" w:rsidRPr="00545EC0">
        <w:rPr>
          <w:lang w:val="sl-SI"/>
        </w:rPr>
        <w:t>,</w:t>
      </w:r>
    </w:p>
    <w:p w14:paraId="6E7EC3D6" w14:textId="32A7140A" w:rsidR="00B9666E" w:rsidRPr="00545EC0" w:rsidRDefault="00B9666E" w:rsidP="00DD37C5">
      <w:pPr>
        <w:pStyle w:val="Odstavekseznama"/>
        <w:numPr>
          <w:ilvl w:val="0"/>
          <w:numId w:val="64"/>
        </w:numPr>
        <w:rPr>
          <w:rFonts w:cs="Arial"/>
          <w:szCs w:val="20"/>
        </w:rPr>
      </w:pPr>
      <w:r w:rsidRPr="00545EC0">
        <w:t>raba vode iz vodnega vira za potrebe dejavnosti bazenskih kopališč</w:t>
      </w:r>
      <w:r w:rsidR="005536B7" w:rsidRPr="00545EC0">
        <w:rPr>
          <w:lang w:val="sl-SI"/>
        </w:rPr>
        <w:t>,</w:t>
      </w:r>
    </w:p>
    <w:p w14:paraId="102BD40C" w14:textId="4EB892C2" w:rsidR="00B9666E" w:rsidRPr="00545EC0" w:rsidRDefault="00B9666E" w:rsidP="00DD37C5">
      <w:pPr>
        <w:pStyle w:val="Odstavekseznama"/>
        <w:numPr>
          <w:ilvl w:val="0"/>
          <w:numId w:val="64"/>
        </w:numPr>
        <w:rPr>
          <w:rFonts w:cs="Arial"/>
          <w:szCs w:val="20"/>
        </w:rPr>
      </w:pPr>
      <w:r w:rsidRPr="00545EC0">
        <w:t>raba vode iz objektov in naprav za oskrbo s pitno vodo za potrebe</w:t>
      </w:r>
      <w:r w:rsidRPr="00545EC0">
        <w:rPr>
          <w:lang w:val="sl-SI"/>
        </w:rPr>
        <w:t xml:space="preserve"> </w:t>
      </w:r>
      <w:r w:rsidRPr="00545EC0">
        <w:t>dejavnosti bazenskih kopališč</w:t>
      </w:r>
      <w:r w:rsidR="005536B7" w:rsidRPr="00545EC0">
        <w:rPr>
          <w:lang w:val="sl-SI"/>
        </w:rPr>
        <w:t>,</w:t>
      </w:r>
    </w:p>
    <w:p w14:paraId="7C727898" w14:textId="19E2EF20" w:rsidR="00B9666E" w:rsidRPr="00545EC0" w:rsidRDefault="00B9666E" w:rsidP="00DD37C5">
      <w:pPr>
        <w:pStyle w:val="Odstavekseznama"/>
        <w:numPr>
          <w:ilvl w:val="0"/>
          <w:numId w:val="64"/>
        </w:numPr>
        <w:rPr>
          <w:rFonts w:cs="Arial"/>
          <w:szCs w:val="20"/>
        </w:rPr>
      </w:pPr>
      <w:r w:rsidRPr="00545EC0">
        <w:t>raba vodnega ali morskega javnega dobra za potrebe dejavnosti</w:t>
      </w:r>
      <w:r w:rsidRPr="00545EC0">
        <w:rPr>
          <w:lang w:val="sl-SI"/>
        </w:rPr>
        <w:t xml:space="preserve"> </w:t>
      </w:r>
      <w:r w:rsidRPr="00545EC0">
        <w:t>naravnih kopališč</w:t>
      </w:r>
      <w:r w:rsidR="005536B7" w:rsidRPr="00545EC0">
        <w:rPr>
          <w:lang w:val="sl-SI"/>
        </w:rPr>
        <w:t>,</w:t>
      </w:r>
    </w:p>
    <w:p w14:paraId="4E894DD0" w14:textId="31FC5F84" w:rsidR="00B9666E" w:rsidRPr="00545EC0" w:rsidRDefault="00B9666E" w:rsidP="00DD37C5">
      <w:pPr>
        <w:pStyle w:val="Odstavekseznama"/>
        <w:numPr>
          <w:ilvl w:val="0"/>
          <w:numId w:val="64"/>
        </w:numPr>
        <w:rPr>
          <w:rFonts w:cs="Arial"/>
          <w:szCs w:val="20"/>
        </w:rPr>
      </w:pPr>
      <w:r w:rsidRPr="00545EC0">
        <w:t>raba vode za pridobivanje toplote</w:t>
      </w:r>
      <w:r w:rsidR="005536B7" w:rsidRPr="00545EC0">
        <w:rPr>
          <w:lang w:val="sl-SI"/>
        </w:rPr>
        <w:t>,</w:t>
      </w:r>
    </w:p>
    <w:p w14:paraId="047B024D" w14:textId="39E909F8" w:rsidR="00B9666E" w:rsidRPr="00545EC0" w:rsidRDefault="00B9666E" w:rsidP="00DD37C5">
      <w:pPr>
        <w:pStyle w:val="Odstavekseznama"/>
        <w:numPr>
          <w:ilvl w:val="0"/>
          <w:numId w:val="64"/>
        </w:numPr>
        <w:rPr>
          <w:rFonts w:cs="Arial"/>
          <w:szCs w:val="20"/>
        </w:rPr>
      </w:pPr>
      <w:r w:rsidRPr="00545EC0">
        <w:t>raba vode za ogrevanje, če se rabi termalna, mineralna ali</w:t>
      </w:r>
      <w:r w:rsidRPr="00545EC0">
        <w:rPr>
          <w:lang w:val="sl-SI"/>
        </w:rPr>
        <w:t xml:space="preserve"> </w:t>
      </w:r>
      <w:r w:rsidRPr="00545EC0">
        <w:t>termomineralna voda</w:t>
      </w:r>
      <w:r w:rsidR="005536B7" w:rsidRPr="00545EC0">
        <w:rPr>
          <w:lang w:val="sl-SI"/>
        </w:rPr>
        <w:t>,</w:t>
      </w:r>
    </w:p>
    <w:p w14:paraId="7E14005D" w14:textId="3C303FB8" w:rsidR="00B9666E" w:rsidRPr="00545EC0" w:rsidRDefault="00B9666E" w:rsidP="00DD37C5">
      <w:pPr>
        <w:pStyle w:val="Odstavekseznama"/>
        <w:numPr>
          <w:ilvl w:val="0"/>
          <w:numId w:val="64"/>
        </w:numPr>
        <w:rPr>
          <w:rFonts w:cs="Arial"/>
          <w:szCs w:val="20"/>
        </w:rPr>
      </w:pPr>
      <w:r w:rsidRPr="00545EC0">
        <w:t>raba vode iz vodnega vira za namakanje kmetijskih zemljišč ali drugih</w:t>
      </w:r>
      <w:r w:rsidRPr="00545EC0">
        <w:rPr>
          <w:lang w:val="sl-SI"/>
        </w:rPr>
        <w:t xml:space="preserve"> </w:t>
      </w:r>
      <w:r w:rsidRPr="00545EC0">
        <w:t>površin</w:t>
      </w:r>
      <w:r w:rsidR="005536B7" w:rsidRPr="00545EC0">
        <w:rPr>
          <w:lang w:val="sl-SI"/>
        </w:rPr>
        <w:t>,</w:t>
      </w:r>
    </w:p>
    <w:p w14:paraId="605ED90F" w14:textId="22093A68" w:rsidR="00B9666E" w:rsidRPr="00545EC0" w:rsidRDefault="00B9666E" w:rsidP="00DD37C5">
      <w:pPr>
        <w:pStyle w:val="Odstavekseznama"/>
        <w:numPr>
          <w:ilvl w:val="0"/>
          <w:numId w:val="64"/>
        </w:numPr>
        <w:rPr>
          <w:rFonts w:cs="Arial"/>
          <w:szCs w:val="20"/>
        </w:rPr>
      </w:pPr>
      <w:r w:rsidRPr="00545EC0">
        <w:lastRenderedPageBreak/>
        <w:t>raba vode iz objektov in naprav za oskrbo s pitno vodo za namakanje</w:t>
      </w:r>
      <w:r w:rsidRPr="00545EC0">
        <w:rPr>
          <w:lang w:val="sl-SI"/>
        </w:rPr>
        <w:t xml:space="preserve"> </w:t>
      </w:r>
      <w:r w:rsidRPr="00545EC0">
        <w:t>kmetijskih zemljišč ali drugih površin</w:t>
      </w:r>
      <w:r w:rsidR="005536B7" w:rsidRPr="00545EC0">
        <w:rPr>
          <w:lang w:val="sl-SI"/>
        </w:rPr>
        <w:t>,</w:t>
      </w:r>
    </w:p>
    <w:p w14:paraId="31B9F63B" w14:textId="571262F9" w:rsidR="00B9666E" w:rsidRPr="00545EC0" w:rsidRDefault="00B9666E" w:rsidP="00DD37C5">
      <w:pPr>
        <w:pStyle w:val="Odstavekseznama"/>
        <w:numPr>
          <w:ilvl w:val="0"/>
          <w:numId w:val="64"/>
        </w:numPr>
        <w:rPr>
          <w:rFonts w:cs="Arial"/>
          <w:szCs w:val="20"/>
        </w:rPr>
      </w:pPr>
      <w:r w:rsidRPr="00545EC0">
        <w:t>raba vodnega javnega dobra za izvajanje športnega ribolova v</w:t>
      </w:r>
      <w:r w:rsidRPr="00545EC0">
        <w:rPr>
          <w:lang w:val="sl-SI"/>
        </w:rPr>
        <w:t xml:space="preserve"> </w:t>
      </w:r>
      <w:r w:rsidRPr="00545EC0">
        <w:t>komercialnih ribnikih</w:t>
      </w:r>
      <w:r w:rsidR="005536B7" w:rsidRPr="00545EC0">
        <w:rPr>
          <w:lang w:val="sl-SI"/>
        </w:rPr>
        <w:t>,</w:t>
      </w:r>
    </w:p>
    <w:p w14:paraId="462810D9" w14:textId="776BD753" w:rsidR="00B9666E" w:rsidRPr="00545EC0" w:rsidRDefault="00B9666E" w:rsidP="00DD37C5">
      <w:pPr>
        <w:pStyle w:val="Odstavekseznama"/>
        <w:numPr>
          <w:ilvl w:val="0"/>
          <w:numId w:val="64"/>
        </w:numPr>
        <w:rPr>
          <w:rFonts w:cs="Arial"/>
          <w:szCs w:val="20"/>
        </w:rPr>
      </w:pPr>
      <w:r w:rsidRPr="00545EC0">
        <w:t>raba vode oziroma vodnega javnega dobra za pogon vodnega mlina</w:t>
      </w:r>
      <w:r w:rsidRPr="00545EC0">
        <w:rPr>
          <w:lang w:val="sl-SI"/>
        </w:rPr>
        <w:t xml:space="preserve">, </w:t>
      </w:r>
      <w:r w:rsidRPr="00545EC0">
        <w:t>žage ali podobne naprave</w:t>
      </w:r>
      <w:r w:rsidR="005536B7" w:rsidRPr="00545EC0">
        <w:rPr>
          <w:lang w:val="sl-SI"/>
        </w:rPr>
        <w:t>,</w:t>
      </w:r>
    </w:p>
    <w:p w14:paraId="0A1B1F64" w14:textId="7F30886E" w:rsidR="00B9666E" w:rsidRPr="00545EC0" w:rsidRDefault="00B9666E" w:rsidP="00DD37C5">
      <w:pPr>
        <w:pStyle w:val="Odstavekseznama"/>
        <w:numPr>
          <w:ilvl w:val="0"/>
          <w:numId w:val="64"/>
        </w:numPr>
        <w:rPr>
          <w:rFonts w:cs="Arial"/>
          <w:szCs w:val="20"/>
        </w:rPr>
      </w:pPr>
      <w:r w:rsidRPr="00545EC0">
        <w:t>raba vode oziroma vodnega javnega dobra za gojenje sladkovodnih</w:t>
      </w:r>
      <w:r w:rsidRPr="00545EC0">
        <w:rPr>
          <w:lang w:val="sl-SI"/>
        </w:rPr>
        <w:t xml:space="preserve"> </w:t>
      </w:r>
      <w:r w:rsidRPr="00545EC0">
        <w:t>organizmov</w:t>
      </w:r>
      <w:r w:rsidR="005536B7" w:rsidRPr="00545EC0">
        <w:rPr>
          <w:lang w:val="sl-SI"/>
        </w:rPr>
        <w:t>,</w:t>
      </w:r>
    </w:p>
    <w:p w14:paraId="4D8FE88A" w14:textId="03EED8C7" w:rsidR="00B9666E" w:rsidRPr="00545EC0" w:rsidRDefault="00B9666E" w:rsidP="00DD37C5">
      <w:pPr>
        <w:pStyle w:val="Odstavekseznama"/>
        <w:numPr>
          <w:ilvl w:val="0"/>
          <w:numId w:val="64"/>
        </w:numPr>
        <w:rPr>
          <w:rFonts w:cs="Arial"/>
          <w:szCs w:val="20"/>
        </w:rPr>
      </w:pPr>
      <w:r w:rsidRPr="00545EC0">
        <w:t>raba morskega javnega dobra za gojenje morskih organizmov</w:t>
      </w:r>
      <w:r w:rsidR="005536B7" w:rsidRPr="00545EC0">
        <w:rPr>
          <w:lang w:val="sl-SI"/>
        </w:rPr>
        <w:t>,</w:t>
      </w:r>
    </w:p>
    <w:p w14:paraId="24D8CC3A" w14:textId="7CFF04A9" w:rsidR="00B9666E" w:rsidRPr="00545EC0" w:rsidRDefault="00B9666E" w:rsidP="00DD37C5">
      <w:pPr>
        <w:pStyle w:val="Odstavekseznama"/>
        <w:numPr>
          <w:ilvl w:val="0"/>
          <w:numId w:val="64"/>
        </w:numPr>
        <w:rPr>
          <w:rFonts w:cs="Arial"/>
          <w:szCs w:val="20"/>
        </w:rPr>
      </w:pPr>
      <w:r w:rsidRPr="00545EC0">
        <w:t>raba morskega javnega dobra za obratovanje pristanišč</w:t>
      </w:r>
      <w:r w:rsidR="005536B7" w:rsidRPr="00545EC0">
        <w:rPr>
          <w:lang w:val="sl-SI"/>
        </w:rPr>
        <w:t>,</w:t>
      </w:r>
    </w:p>
    <w:p w14:paraId="2C1F9B99" w14:textId="5E62B457" w:rsidR="00B9666E" w:rsidRPr="00545EC0" w:rsidRDefault="00B9666E" w:rsidP="00DD37C5">
      <w:pPr>
        <w:pStyle w:val="Odstavekseznama"/>
        <w:numPr>
          <w:ilvl w:val="0"/>
          <w:numId w:val="64"/>
        </w:numPr>
        <w:rPr>
          <w:rFonts w:cs="Arial"/>
          <w:szCs w:val="20"/>
        </w:rPr>
      </w:pPr>
      <w:r w:rsidRPr="00545EC0">
        <w:t>raba vodnega javnega dobra za obratovanje pristanišč in vstopno - izstopnih mest na celinskih vodah</w:t>
      </w:r>
      <w:r w:rsidR="005536B7" w:rsidRPr="00545EC0">
        <w:rPr>
          <w:lang w:val="sl-SI"/>
        </w:rPr>
        <w:t>,</w:t>
      </w:r>
    </w:p>
    <w:p w14:paraId="53A0FDD8" w14:textId="0BAD4B7E" w:rsidR="00B9666E" w:rsidRPr="00545EC0" w:rsidRDefault="00B9666E" w:rsidP="00DD37C5">
      <w:pPr>
        <w:pStyle w:val="Odstavekseznama"/>
        <w:numPr>
          <w:ilvl w:val="0"/>
          <w:numId w:val="64"/>
        </w:numPr>
        <w:rPr>
          <w:rFonts w:cs="Arial"/>
          <w:szCs w:val="20"/>
        </w:rPr>
      </w:pPr>
      <w:r w:rsidRPr="00545EC0">
        <w:t>raba vode iz vodnega vira za zasneževanje smučišč in drugih površin</w:t>
      </w:r>
      <w:r w:rsidR="005536B7" w:rsidRPr="00545EC0">
        <w:rPr>
          <w:lang w:val="sl-SI"/>
        </w:rPr>
        <w:t>,</w:t>
      </w:r>
    </w:p>
    <w:p w14:paraId="62372953" w14:textId="1235EB1B" w:rsidR="00B9666E" w:rsidRPr="00545EC0" w:rsidRDefault="00B9666E" w:rsidP="00DD37C5">
      <w:pPr>
        <w:pStyle w:val="Odstavekseznama"/>
        <w:numPr>
          <w:ilvl w:val="0"/>
          <w:numId w:val="64"/>
        </w:numPr>
        <w:rPr>
          <w:rFonts w:cs="Arial"/>
          <w:szCs w:val="20"/>
        </w:rPr>
      </w:pPr>
      <w:r w:rsidRPr="00545EC0">
        <w:t>raba vode iz objektov in naprav za oskrbo s pitno vodo za zasneževanje</w:t>
      </w:r>
      <w:r w:rsidRPr="00545EC0">
        <w:rPr>
          <w:lang w:val="sl-SI"/>
        </w:rPr>
        <w:t xml:space="preserve"> </w:t>
      </w:r>
      <w:r w:rsidRPr="00545EC0">
        <w:t>smučišč in drugih površin</w:t>
      </w:r>
      <w:r w:rsidR="005536B7" w:rsidRPr="00545EC0">
        <w:rPr>
          <w:lang w:val="sl-SI"/>
        </w:rPr>
        <w:t>,</w:t>
      </w:r>
    </w:p>
    <w:p w14:paraId="79393788" w14:textId="3989257A" w:rsidR="00B9666E" w:rsidRPr="00545EC0" w:rsidRDefault="00B9666E" w:rsidP="00DD37C5">
      <w:pPr>
        <w:pStyle w:val="Odstavekseznama"/>
        <w:numPr>
          <w:ilvl w:val="0"/>
          <w:numId w:val="64"/>
        </w:numPr>
        <w:rPr>
          <w:rFonts w:cs="Arial"/>
          <w:szCs w:val="20"/>
        </w:rPr>
      </w:pPr>
      <w:r w:rsidRPr="00545EC0">
        <w:t>raba vode za proizvodnjo električne energije v hidroelektrarni z</w:t>
      </w:r>
      <w:r w:rsidRPr="00545EC0">
        <w:rPr>
          <w:lang w:val="sl-SI"/>
        </w:rPr>
        <w:t xml:space="preserve"> </w:t>
      </w:r>
      <w:r w:rsidRPr="00545EC0">
        <w:t>instalirano močjo, manjšo od 10 MW</w:t>
      </w:r>
      <w:r w:rsidR="005536B7" w:rsidRPr="00545EC0">
        <w:rPr>
          <w:lang w:val="sl-SI"/>
        </w:rPr>
        <w:t>,</w:t>
      </w:r>
    </w:p>
    <w:p w14:paraId="23144934" w14:textId="5D6F9BC6" w:rsidR="00B9666E" w:rsidRPr="00545EC0" w:rsidRDefault="00B9666E" w:rsidP="00DD37C5">
      <w:pPr>
        <w:pStyle w:val="Odstavekseznama"/>
        <w:numPr>
          <w:ilvl w:val="0"/>
          <w:numId w:val="64"/>
        </w:numPr>
        <w:rPr>
          <w:rFonts w:cs="Arial"/>
          <w:szCs w:val="20"/>
        </w:rPr>
      </w:pPr>
      <w:r w:rsidRPr="00545EC0">
        <w:t>raba vode za proizvodnjo električne energije v hidroelektrarni z</w:t>
      </w:r>
      <w:r w:rsidRPr="00545EC0">
        <w:rPr>
          <w:lang w:val="sl-SI"/>
        </w:rPr>
        <w:t xml:space="preserve"> </w:t>
      </w:r>
      <w:r w:rsidRPr="00545EC0">
        <w:t>instalirano močjo, enako ali večjo od 10 MW</w:t>
      </w:r>
      <w:r w:rsidR="005536B7" w:rsidRPr="00545EC0">
        <w:rPr>
          <w:lang w:val="sl-SI"/>
        </w:rPr>
        <w:t>,</w:t>
      </w:r>
    </w:p>
    <w:p w14:paraId="5C491FD6" w14:textId="1DB7EEB2" w:rsidR="00B9666E" w:rsidRPr="00545EC0" w:rsidRDefault="00B9666E" w:rsidP="00DD37C5">
      <w:pPr>
        <w:pStyle w:val="Odstavekseznama"/>
        <w:numPr>
          <w:ilvl w:val="0"/>
          <w:numId w:val="64"/>
        </w:numPr>
        <w:rPr>
          <w:rFonts w:cs="Arial"/>
          <w:szCs w:val="20"/>
        </w:rPr>
      </w:pPr>
      <w:r w:rsidRPr="00545EC0">
        <w:t>raba vode iz vodnega vira za proizvodnjo pijač</w:t>
      </w:r>
      <w:r w:rsidR="005536B7" w:rsidRPr="00545EC0">
        <w:rPr>
          <w:lang w:val="sl-SI"/>
        </w:rPr>
        <w:t>,</w:t>
      </w:r>
    </w:p>
    <w:p w14:paraId="7C574DAC" w14:textId="344CEE7E" w:rsidR="00B9666E" w:rsidRPr="00545EC0" w:rsidRDefault="00B9666E" w:rsidP="00DD37C5">
      <w:pPr>
        <w:pStyle w:val="Odstavekseznama"/>
        <w:numPr>
          <w:ilvl w:val="0"/>
          <w:numId w:val="64"/>
        </w:numPr>
        <w:rPr>
          <w:rFonts w:cs="Arial"/>
          <w:szCs w:val="20"/>
        </w:rPr>
      </w:pPr>
      <w:r w:rsidRPr="00545EC0">
        <w:t>raba vode iz objektov in naprav za oskrbo s pitno vodo za proizvodnjo</w:t>
      </w:r>
      <w:r w:rsidRPr="00545EC0">
        <w:rPr>
          <w:lang w:val="sl-SI"/>
        </w:rPr>
        <w:t xml:space="preserve"> </w:t>
      </w:r>
      <w:r w:rsidRPr="00545EC0">
        <w:t>pijač</w:t>
      </w:r>
      <w:r w:rsidR="005536B7" w:rsidRPr="00545EC0">
        <w:rPr>
          <w:lang w:val="sl-SI"/>
        </w:rPr>
        <w:t>,</w:t>
      </w:r>
    </w:p>
    <w:p w14:paraId="3C4BC622" w14:textId="06662AB9" w:rsidR="00B9666E" w:rsidRPr="00545EC0" w:rsidRDefault="00B9666E" w:rsidP="00DD37C5">
      <w:pPr>
        <w:pStyle w:val="Odstavekseznama"/>
        <w:numPr>
          <w:ilvl w:val="0"/>
          <w:numId w:val="64"/>
        </w:numPr>
        <w:rPr>
          <w:rFonts w:cs="Arial"/>
          <w:szCs w:val="20"/>
        </w:rPr>
      </w:pPr>
      <w:r w:rsidRPr="00545EC0">
        <w:t>kombinirana raba mineralne, termalne ali termomineralne vode</w:t>
      </w:r>
      <w:r w:rsidR="005536B7" w:rsidRPr="00545EC0">
        <w:rPr>
          <w:lang w:val="sl-SI"/>
        </w:rPr>
        <w:t>,</w:t>
      </w:r>
    </w:p>
    <w:p w14:paraId="41FCC990" w14:textId="1881B19C" w:rsidR="00B9666E" w:rsidRPr="00545EC0" w:rsidRDefault="00B9666E" w:rsidP="00DD37C5">
      <w:pPr>
        <w:pStyle w:val="Odstavekseznama"/>
        <w:numPr>
          <w:ilvl w:val="0"/>
          <w:numId w:val="64"/>
        </w:numPr>
        <w:rPr>
          <w:rFonts w:cs="Arial"/>
          <w:szCs w:val="20"/>
        </w:rPr>
      </w:pPr>
      <w:r w:rsidRPr="00545EC0">
        <w:t>raba mineralne, termalne ali termomineralne vode, ki ni opredeljena</w:t>
      </w:r>
      <w:r w:rsidRPr="00545EC0">
        <w:rPr>
          <w:lang w:val="sl-SI"/>
        </w:rPr>
        <w:t xml:space="preserve"> </w:t>
      </w:r>
      <w:r w:rsidRPr="00545EC0">
        <w:t>drugje</w:t>
      </w:r>
      <w:r w:rsidR="005536B7" w:rsidRPr="00545EC0">
        <w:rPr>
          <w:lang w:val="sl-SI"/>
        </w:rPr>
        <w:t>,</w:t>
      </w:r>
    </w:p>
    <w:p w14:paraId="19CD7088" w14:textId="42875C34" w:rsidR="00B9666E" w:rsidRPr="00545EC0" w:rsidRDefault="00B9666E" w:rsidP="00DD37C5">
      <w:pPr>
        <w:pStyle w:val="Odstavekseznama"/>
        <w:numPr>
          <w:ilvl w:val="0"/>
          <w:numId w:val="64"/>
        </w:numPr>
        <w:rPr>
          <w:rFonts w:cs="Arial"/>
          <w:szCs w:val="20"/>
        </w:rPr>
      </w:pPr>
      <w:r w:rsidRPr="00545EC0">
        <w:t>odvzem naplavin</w:t>
      </w:r>
      <w:r w:rsidR="005536B7" w:rsidRPr="00545EC0">
        <w:rPr>
          <w:lang w:val="sl-SI"/>
        </w:rPr>
        <w:t>,</w:t>
      </w:r>
    </w:p>
    <w:p w14:paraId="7962D55D" w14:textId="5DE90903" w:rsidR="00B9666E" w:rsidRPr="00545EC0" w:rsidRDefault="00B9666E" w:rsidP="00DD37C5">
      <w:pPr>
        <w:pStyle w:val="Odstavekseznama"/>
        <w:numPr>
          <w:ilvl w:val="0"/>
          <w:numId w:val="64"/>
        </w:numPr>
        <w:rPr>
          <w:rFonts w:cs="Arial"/>
          <w:szCs w:val="20"/>
        </w:rPr>
      </w:pPr>
      <w:r w:rsidRPr="00545EC0">
        <w:t>raba vodnega ali morskega javnega dobra za izvajanje športnih</w:t>
      </w:r>
      <w:r w:rsidRPr="00545EC0">
        <w:rPr>
          <w:lang w:val="sl-SI"/>
        </w:rPr>
        <w:t xml:space="preserve"> </w:t>
      </w:r>
      <w:r w:rsidRPr="00545EC0">
        <w:t>aktivnosti, za katere je potreben poseg v prostor</w:t>
      </w:r>
      <w:r w:rsidR="005536B7" w:rsidRPr="00545EC0">
        <w:rPr>
          <w:lang w:val="sl-SI"/>
        </w:rPr>
        <w:t>,</w:t>
      </w:r>
    </w:p>
    <w:p w14:paraId="5FA04752" w14:textId="500B94ED" w:rsidR="00B9666E" w:rsidRPr="00545EC0" w:rsidRDefault="00B9666E" w:rsidP="00DD37C5">
      <w:pPr>
        <w:pStyle w:val="Odstavekseznama"/>
        <w:numPr>
          <w:ilvl w:val="0"/>
          <w:numId w:val="64"/>
        </w:numPr>
        <w:rPr>
          <w:rFonts w:cs="Arial"/>
          <w:szCs w:val="20"/>
        </w:rPr>
      </w:pPr>
      <w:r w:rsidRPr="00545EC0">
        <w:t>raba vode za polnjenje ribnika, zadrževalnika, gramoznice ipd., v katerem se skladno s predpisi o sladkovodnem ribištvu izvaja koncesija</w:t>
      </w:r>
      <w:r w:rsidRPr="00545EC0">
        <w:rPr>
          <w:lang w:val="sl-SI"/>
        </w:rPr>
        <w:t xml:space="preserve"> </w:t>
      </w:r>
      <w:r w:rsidRPr="00545EC0">
        <w:t>ribiškega upravljanja</w:t>
      </w:r>
      <w:r w:rsidR="005536B7" w:rsidRPr="00545EC0">
        <w:rPr>
          <w:lang w:val="sl-SI"/>
        </w:rPr>
        <w:t>,</w:t>
      </w:r>
    </w:p>
    <w:p w14:paraId="22DCFC44" w14:textId="675D23F5" w:rsidR="00B9666E" w:rsidRPr="00545EC0" w:rsidRDefault="00B9666E" w:rsidP="00DD37C5">
      <w:pPr>
        <w:pStyle w:val="Odstavekseznama"/>
        <w:numPr>
          <w:ilvl w:val="0"/>
          <w:numId w:val="64"/>
        </w:numPr>
        <w:rPr>
          <w:rFonts w:cs="Arial"/>
          <w:szCs w:val="20"/>
        </w:rPr>
      </w:pPr>
      <w:r w:rsidRPr="00545EC0">
        <w:t>raba vodnega ali morskega javnega dobra za obratovanje plavajoče</w:t>
      </w:r>
      <w:r w:rsidRPr="00545EC0">
        <w:rPr>
          <w:lang w:val="sl-SI"/>
        </w:rPr>
        <w:t xml:space="preserve"> naprave</w:t>
      </w:r>
      <w:r w:rsidR="005536B7" w:rsidRPr="00545EC0">
        <w:rPr>
          <w:lang w:val="sl-SI"/>
        </w:rPr>
        <w:t>,</w:t>
      </w:r>
    </w:p>
    <w:p w14:paraId="12C690A0" w14:textId="7B39625D" w:rsidR="00B9666E" w:rsidRPr="00545EC0" w:rsidRDefault="00B9666E" w:rsidP="00DD37C5">
      <w:pPr>
        <w:pStyle w:val="Odstavekseznama"/>
        <w:numPr>
          <w:ilvl w:val="0"/>
          <w:numId w:val="64"/>
        </w:numPr>
        <w:rPr>
          <w:rFonts w:cs="Arial"/>
          <w:szCs w:val="20"/>
        </w:rPr>
      </w:pPr>
      <w:r w:rsidRPr="00545EC0">
        <w:t>raba vode za vzpostavitev, obratovanje in vzdrževanje umetnega</w:t>
      </w:r>
      <w:r w:rsidRPr="00545EC0">
        <w:rPr>
          <w:lang w:val="sl-SI"/>
        </w:rPr>
        <w:t xml:space="preserve"> </w:t>
      </w:r>
      <w:r w:rsidRPr="00545EC0">
        <w:t>vodnega biotopa</w:t>
      </w:r>
      <w:r w:rsidR="005536B7" w:rsidRPr="00545EC0">
        <w:rPr>
          <w:lang w:val="sl-SI"/>
        </w:rPr>
        <w:t>,</w:t>
      </w:r>
    </w:p>
    <w:p w14:paraId="66A70E62" w14:textId="637F8D5B" w:rsidR="00B9666E" w:rsidRPr="00545EC0" w:rsidRDefault="00B9666E" w:rsidP="00DD37C5">
      <w:pPr>
        <w:pStyle w:val="Odstavekseznama"/>
        <w:numPr>
          <w:ilvl w:val="0"/>
          <w:numId w:val="64"/>
        </w:numPr>
        <w:rPr>
          <w:rFonts w:cs="Arial"/>
          <w:szCs w:val="20"/>
        </w:rPr>
      </w:pPr>
      <w:r w:rsidRPr="00545EC0">
        <w:t>druga raba vode oziroma vodnega ali morskega javnega dobra, k</w:t>
      </w:r>
      <w:r w:rsidRPr="00545EC0">
        <w:rPr>
          <w:lang w:val="sl-SI"/>
        </w:rPr>
        <w:t xml:space="preserve">i </w:t>
      </w:r>
      <w:r w:rsidRPr="00545EC0">
        <w:t>presega splošno rabo</w:t>
      </w:r>
      <w:r w:rsidR="005536B7" w:rsidRPr="00545EC0">
        <w:rPr>
          <w:lang w:val="sl-SI"/>
        </w:rPr>
        <w:t>.</w:t>
      </w:r>
    </w:p>
    <w:p w14:paraId="31DFB1A6" w14:textId="77777777" w:rsidR="00B9666E" w:rsidRPr="00545EC0" w:rsidRDefault="00B9666E" w:rsidP="00B9666E">
      <w:pPr>
        <w:rPr>
          <w:rFonts w:cs="Arial"/>
          <w:szCs w:val="20"/>
        </w:rPr>
      </w:pPr>
    </w:p>
    <w:p w14:paraId="6E44AD06" w14:textId="5CE3965D" w:rsidR="00B9666E" w:rsidRPr="00545EC0" w:rsidRDefault="00B9666E" w:rsidP="00B9666E">
      <w:pPr>
        <w:rPr>
          <w:rFonts w:cs="Arial"/>
        </w:rPr>
      </w:pPr>
      <w:r w:rsidRPr="00545EC0">
        <w:rPr>
          <w:rFonts w:cs="Arial"/>
          <w:szCs w:val="20"/>
        </w:rPr>
        <w:t>Ekonomska analiza obremenjevanja voda je izdelana na podlagi podatkov o plačilih dajatev za obremenjevanje voda, ki jih vodijo Direkcija Republike Slovenije za vode, ARSO in Finančna uprava Republike Slovenije, podatk</w:t>
      </w:r>
      <w:r w:rsidR="005536B7" w:rsidRPr="00545EC0">
        <w:rPr>
          <w:rFonts w:cs="Arial"/>
          <w:szCs w:val="20"/>
        </w:rPr>
        <w:t>ov</w:t>
      </w:r>
      <w:r w:rsidRPr="00545EC0">
        <w:rPr>
          <w:rFonts w:cs="Arial"/>
          <w:szCs w:val="20"/>
        </w:rPr>
        <w:t xml:space="preserve"> o sredstvih Sklada za vode, ki jih vodi ministrstvo, pristojno za okolje, </w:t>
      </w:r>
      <w:r w:rsidR="009F1D32">
        <w:rPr>
          <w:rFonts w:cs="Arial"/>
          <w:szCs w:val="20"/>
        </w:rPr>
        <w:t xml:space="preserve">ministrstvo pristojno za vode </w:t>
      </w:r>
      <w:r w:rsidRPr="00545EC0">
        <w:rPr>
          <w:rFonts w:cs="Arial"/>
          <w:szCs w:val="20"/>
        </w:rPr>
        <w:t>ter statistični</w:t>
      </w:r>
      <w:r w:rsidR="005536B7" w:rsidRPr="00545EC0">
        <w:rPr>
          <w:rFonts w:cs="Arial"/>
          <w:szCs w:val="20"/>
        </w:rPr>
        <w:t>h</w:t>
      </w:r>
      <w:r w:rsidRPr="00545EC0">
        <w:rPr>
          <w:rFonts w:cs="Arial"/>
          <w:szCs w:val="20"/>
        </w:rPr>
        <w:t xml:space="preserve"> podatk</w:t>
      </w:r>
      <w:r w:rsidR="005536B7" w:rsidRPr="00545EC0">
        <w:rPr>
          <w:rFonts w:cs="Arial"/>
          <w:szCs w:val="20"/>
        </w:rPr>
        <w:t>ov</w:t>
      </w:r>
      <w:r w:rsidRPr="00545EC0">
        <w:rPr>
          <w:rFonts w:cs="Arial"/>
          <w:szCs w:val="20"/>
        </w:rPr>
        <w:t xml:space="preserve">, ki jih vodi  Statistični urad Republike Slovenije. </w:t>
      </w:r>
    </w:p>
    <w:p w14:paraId="5BAEC214" w14:textId="77777777" w:rsidR="00B9666E" w:rsidRPr="00545EC0" w:rsidRDefault="00B9666E">
      <w:pPr>
        <w:pStyle w:val="Naslov3"/>
      </w:pPr>
      <w:bookmarkStart w:id="390" w:name="_Toc419099249"/>
      <w:bookmarkStart w:id="391" w:name="_Toc428521964"/>
      <w:bookmarkStart w:id="392" w:name="_Toc430606164"/>
      <w:bookmarkStart w:id="393" w:name="_Toc462218154"/>
      <w:bookmarkStart w:id="394" w:name="_Toc90261031"/>
      <w:r w:rsidRPr="00545EC0">
        <w:t>Demografski kazalci</w:t>
      </w:r>
      <w:bookmarkStart w:id="395" w:name="_Toc405795482"/>
      <w:bookmarkStart w:id="396" w:name="_Toc390945405"/>
      <w:bookmarkEnd w:id="390"/>
      <w:bookmarkEnd w:id="391"/>
      <w:bookmarkEnd w:id="392"/>
      <w:bookmarkEnd w:id="393"/>
      <w:bookmarkEnd w:id="394"/>
      <w:r w:rsidRPr="00545EC0">
        <w:t xml:space="preserve"> </w:t>
      </w:r>
    </w:p>
    <w:p w14:paraId="5A585FB1" w14:textId="77777777" w:rsidR="00B9666E" w:rsidRPr="00545EC0" w:rsidRDefault="00B9666E" w:rsidP="00B9666E">
      <w:pPr>
        <w:rPr>
          <w:rFonts w:cs="Arial"/>
        </w:rPr>
      </w:pPr>
      <w:r w:rsidRPr="00545EC0">
        <w:rPr>
          <w:rFonts w:cs="Arial"/>
        </w:rPr>
        <w:t>Za Slovenijo je značilna razpršena in redka poselitev. Prebivalstvo je zgoščeno v večjih urbanih središčih. V letu 2019 so v Sloveniji na kvadratnem kilometru površine živeli povprečno 103 prebivalci.</w:t>
      </w:r>
    </w:p>
    <w:p w14:paraId="0B5BEEC2" w14:textId="39E0E692" w:rsidR="00B9666E" w:rsidRPr="00545EC0" w:rsidRDefault="00B9666E" w:rsidP="00B9666E">
      <w:pPr>
        <w:rPr>
          <w:rFonts w:cs="Arial"/>
        </w:rPr>
      </w:pPr>
      <w:r w:rsidRPr="00545EC0">
        <w:rPr>
          <w:rFonts w:cs="Arial"/>
        </w:rPr>
        <w:t>Število prebivalcev Slovenije se je v obdobju od leta 2013 do leta 2017 povečalo za 4,8 % in je leta 2017 znašalo 2.076.358. Na vodnem območju Donave živi večji del, to je 88 % vseh prebivalcev Slovenije. Leta 2017 je znašalo število prebivalcev na tem vodnem območju 1.828.296.</w:t>
      </w:r>
    </w:p>
    <w:p w14:paraId="60E339B4" w14:textId="77777777" w:rsidR="00B9666E" w:rsidRPr="00545EC0" w:rsidRDefault="00B9666E" w:rsidP="00B9666E">
      <w:pPr>
        <w:rPr>
          <w:rFonts w:cs="Arial"/>
          <w:szCs w:val="22"/>
        </w:rPr>
      </w:pPr>
    </w:p>
    <w:p w14:paraId="35751FD6" w14:textId="69D4444D" w:rsidR="00E13C2D" w:rsidRPr="00545EC0" w:rsidRDefault="00B9666E" w:rsidP="00E13C2D">
      <w:pPr>
        <w:rPr>
          <w:rFonts w:cs="Arial"/>
          <w:i/>
          <w:szCs w:val="20"/>
        </w:rPr>
      </w:pPr>
      <w:r w:rsidRPr="00545EC0">
        <w:rPr>
          <w:rFonts w:cs="Arial"/>
        </w:rPr>
        <w:t>Povprečna gostota prebivalstva v Sloveniji je bila leta 2017 101,8 prebivalca/km</w:t>
      </w:r>
      <w:r w:rsidRPr="00545EC0">
        <w:rPr>
          <w:rFonts w:cs="Arial"/>
          <w:vertAlign w:val="superscript"/>
        </w:rPr>
        <w:t>2</w:t>
      </w:r>
      <w:r w:rsidRPr="00545EC0">
        <w:rPr>
          <w:rFonts w:cs="Arial"/>
        </w:rPr>
        <w:t>. Povprečna gostota prebivalstva na vodnem območju Donave je bila malce večja (110,64 prebivalcev/km</w:t>
      </w:r>
      <w:r w:rsidRPr="00545EC0">
        <w:rPr>
          <w:rFonts w:cs="Arial"/>
          <w:vertAlign w:val="superscript"/>
        </w:rPr>
        <w:t>2</w:t>
      </w:r>
      <w:r w:rsidRPr="00545EC0">
        <w:rPr>
          <w:rFonts w:cs="Arial"/>
        </w:rPr>
        <w:t xml:space="preserve">). Polovica prebivalcev Slovenije živi v mestnih naseljih in njim priključenih naseljih mestnih območij. </w:t>
      </w:r>
    </w:p>
    <w:p w14:paraId="1C2F954B" w14:textId="77777777" w:rsidR="00E13C2D" w:rsidRPr="00545EC0" w:rsidRDefault="00E13C2D" w:rsidP="00E13C2D">
      <w:pPr>
        <w:rPr>
          <w:rFonts w:cs="Arial"/>
          <w:i/>
          <w:szCs w:val="20"/>
        </w:rPr>
      </w:pPr>
    </w:p>
    <w:p w14:paraId="389EA149" w14:textId="77777777" w:rsidR="00B9666E" w:rsidRPr="00545EC0" w:rsidRDefault="00B9666E" w:rsidP="00B9666E">
      <w:pPr>
        <w:rPr>
          <w:rFonts w:cs="Arial"/>
        </w:rPr>
      </w:pPr>
      <w:r w:rsidRPr="00545EC0">
        <w:rPr>
          <w:rFonts w:cs="Arial"/>
        </w:rPr>
        <w:t xml:space="preserve">Število prebivalcev v Sloveniji rahlo narašča, predvsem zaradi priseljevanja in ponovno pozitivnega naravnega prirastka. Stopnja rodnosti se od leta 2017 počasi povečuje. </w:t>
      </w:r>
    </w:p>
    <w:p w14:paraId="54099011" w14:textId="7BB95590" w:rsidR="00D45821" w:rsidRPr="00545EC0" w:rsidRDefault="00B9666E" w:rsidP="00D45821">
      <w:pPr>
        <w:rPr>
          <w:rFonts w:cs="Arial"/>
        </w:rPr>
      </w:pPr>
      <w:r w:rsidRPr="00545EC0">
        <w:rPr>
          <w:rFonts w:cs="Arial"/>
        </w:rPr>
        <w:lastRenderedPageBreak/>
        <w:t>Naravni prirast je leta 201</w:t>
      </w:r>
      <w:r w:rsidR="00D45821" w:rsidRPr="00545EC0">
        <w:rPr>
          <w:rFonts w:cs="Arial"/>
        </w:rPr>
        <w:t>9</w:t>
      </w:r>
      <w:r w:rsidRPr="00545EC0">
        <w:rPr>
          <w:rFonts w:cs="Arial"/>
        </w:rPr>
        <w:t xml:space="preserve"> znašal</w:t>
      </w:r>
      <w:r w:rsidR="00D45821" w:rsidRPr="00545EC0">
        <w:rPr>
          <w:rFonts w:cs="Arial"/>
        </w:rPr>
        <w:t>-</w:t>
      </w:r>
      <w:r w:rsidRPr="00545EC0">
        <w:rPr>
          <w:rFonts w:cs="Arial"/>
        </w:rPr>
        <w:t xml:space="preserve"> </w:t>
      </w:r>
      <w:r w:rsidR="00D45821" w:rsidRPr="00545EC0">
        <w:rPr>
          <w:rFonts w:cs="Arial"/>
        </w:rPr>
        <w:t>0,7</w:t>
      </w:r>
      <w:r w:rsidRPr="00545EC0">
        <w:rPr>
          <w:rFonts w:cs="Arial"/>
        </w:rPr>
        <w:t xml:space="preserve"> prebivalca na 1.000 prebivalcev, v letu </w:t>
      </w:r>
      <w:r w:rsidR="00D45821" w:rsidRPr="00545EC0">
        <w:rPr>
          <w:rFonts w:cs="Arial"/>
        </w:rPr>
        <w:t xml:space="preserve">2020 </w:t>
      </w:r>
      <w:r w:rsidRPr="00545EC0">
        <w:rPr>
          <w:rFonts w:cs="Arial"/>
        </w:rPr>
        <w:t xml:space="preserve">pa se ta nekoliko zmanjša, in sicer </w:t>
      </w:r>
      <w:r w:rsidR="00E86DE3" w:rsidRPr="00545EC0">
        <w:rPr>
          <w:rFonts w:cs="Arial"/>
        </w:rPr>
        <w:t>-</w:t>
      </w:r>
      <w:r w:rsidR="00D45821" w:rsidRPr="00545EC0">
        <w:rPr>
          <w:rFonts w:cs="Arial"/>
        </w:rPr>
        <w:t>2.5</w:t>
      </w:r>
      <w:r w:rsidRPr="00545EC0">
        <w:rPr>
          <w:rFonts w:cs="Arial"/>
        </w:rPr>
        <w:t xml:space="preserve"> prebivalca na 1.000 prebivalcev</w:t>
      </w:r>
      <w:r w:rsidR="00D45821" w:rsidRPr="00545EC0">
        <w:rPr>
          <w:rFonts w:cs="Arial"/>
        </w:rPr>
        <w:t xml:space="preserve"> Za prebivalstvo Republike Slovenije je značilno staranje. Indeks staranja predstavlja razmerje med številom oseb, starih 65 let ali več, in številom oseb, mlajših od 15 let. Leta 2020je bil delež starejših 20,9%, v letu 2019 pa je bilo starih prebivalcev nad 65 let 19,8%.</w:t>
      </w:r>
    </w:p>
    <w:p w14:paraId="279DCEB4" w14:textId="77777777" w:rsidR="00B9666E" w:rsidRPr="00545EC0" w:rsidRDefault="00B9666E" w:rsidP="00B9666E">
      <w:pPr>
        <w:rPr>
          <w:rFonts w:cs="Arial"/>
        </w:rPr>
      </w:pPr>
    </w:p>
    <w:p w14:paraId="6C0F9E70" w14:textId="77777777" w:rsidR="00B9666E" w:rsidRPr="00545EC0" w:rsidRDefault="00B9666E" w:rsidP="00B9666E">
      <w:pPr>
        <w:rPr>
          <w:rFonts w:cs="Arial"/>
          <w:szCs w:val="20"/>
        </w:rPr>
      </w:pPr>
      <w:r w:rsidRPr="00545EC0">
        <w:rPr>
          <w:rFonts w:cs="Arial"/>
          <w:szCs w:val="20"/>
        </w:rPr>
        <w:t>1. januarja 2018 je v 824.618 zasebnih gospodinjstvih živelo 2.028.084 prebivalcev ali 98,1 %, kar je enak delež prebivalcev kot pred tremi leti. Povečalo se je število skupinskih gospodinjstev (s 435 na 497), število prebivalcev v njih pa ne bistveno (35.439). </w:t>
      </w:r>
    </w:p>
    <w:p w14:paraId="2E3E20BB" w14:textId="77777777" w:rsidR="00B9666E" w:rsidRPr="00545EC0" w:rsidRDefault="00B9666E" w:rsidP="00B9666E">
      <w:pPr>
        <w:rPr>
          <w:rFonts w:cs="Arial"/>
        </w:rPr>
      </w:pPr>
    </w:p>
    <w:p w14:paraId="1365848F" w14:textId="4B5AE67A" w:rsidR="00B9666E" w:rsidRPr="00545EC0" w:rsidRDefault="00B9666E" w:rsidP="00B9666E">
      <w:pPr>
        <w:rPr>
          <w:rFonts w:cs="Arial"/>
        </w:rPr>
      </w:pPr>
      <w:r w:rsidRPr="00545EC0">
        <w:rPr>
          <w:rFonts w:cs="Arial"/>
        </w:rPr>
        <w:t>Število gospodinjstev v Sloveniji narašča hitreje kot število prebivalcev. Povečuje se delež manjših gospodinjstev z enim ali dvema članoma, medtem ko se delež gospodinjstev z več kot tremi člani zmanjšuje. Manjša gospodinjstva imajo večje izdatke in večji vpliv na okolje. Povprečna velikost gospodinjstva v Sloveniji je bila leta 2017 2,46 člana. Ta podatek pomembno vpliva na porabo pitne vode, ki ni odvisna le od števila prebivalcev, ampak tudi od števila gospodinjstev. Predvideno je, da se bo ob nespremenjenem številu prebivalcev poraba vode, zaradi zmanjšanja povprečne velik</w:t>
      </w:r>
      <w:bookmarkStart w:id="397" w:name="_Toc74290399"/>
      <w:r w:rsidR="00D5428C" w:rsidRPr="00545EC0">
        <w:rPr>
          <w:rFonts w:cs="Arial"/>
        </w:rPr>
        <w:t>osti gospodinjstva, povečevala.</w:t>
      </w:r>
    </w:p>
    <w:p w14:paraId="389B0FBB" w14:textId="77777777" w:rsidR="00B9666E" w:rsidRPr="00545EC0" w:rsidRDefault="00B9666E" w:rsidP="00B9666E">
      <w:pPr>
        <w:pStyle w:val="Naslov4"/>
        <w:ind w:left="1573" w:hanging="1573"/>
        <w:rPr>
          <w:color w:val="auto"/>
        </w:rPr>
      </w:pPr>
      <w:r w:rsidRPr="00545EC0">
        <w:rPr>
          <w:color w:val="auto"/>
        </w:rPr>
        <w:t>Povzetek obremenjevanja voda in obseg storitev, povezanih z obremenjevanjem voda</w:t>
      </w:r>
      <w:bookmarkEnd w:id="397"/>
    </w:p>
    <w:p w14:paraId="2FB75219" w14:textId="2AB8E478" w:rsidR="00B9666E" w:rsidRPr="00545EC0" w:rsidRDefault="00C12042" w:rsidP="00B9666E">
      <w:pPr>
        <w:tabs>
          <w:tab w:val="num" w:pos="360"/>
          <w:tab w:val="num" w:pos="567"/>
          <w:tab w:val="left" w:pos="9600"/>
        </w:tabs>
        <w:spacing w:before="120"/>
        <w:rPr>
          <w:szCs w:val="20"/>
        </w:rPr>
      </w:pPr>
      <w:r w:rsidRPr="00545EC0">
        <w:rPr>
          <w:szCs w:val="20"/>
        </w:rPr>
        <w:t xml:space="preserve">Za potrebe ekonomske analize obremenjevanja voda so viri obremenjevanja voda ter pomembne obremenitve povzete po sektorjih in storitvah. Sektorska razdelitev sistema plačil posebne rabe vode in naplavin je </w:t>
      </w:r>
      <w:r w:rsidR="003A4DE7" w:rsidRPr="00545EC0">
        <w:rPr>
          <w:szCs w:val="20"/>
        </w:rPr>
        <w:t>določena v predpisu, ki ureja</w:t>
      </w:r>
      <w:r w:rsidRPr="00545EC0">
        <w:rPr>
          <w:szCs w:val="20"/>
        </w:rPr>
        <w:t xml:space="preserve"> klasifikacij</w:t>
      </w:r>
      <w:r w:rsidR="003A4DE7" w:rsidRPr="00545EC0">
        <w:rPr>
          <w:szCs w:val="20"/>
        </w:rPr>
        <w:t>o</w:t>
      </w:r>
      <w:r w:rsidRPr="00545EC0">
        <w:rPr>
          <w:szCs w:val="20"/>
        </w:rPr>
        <w:t xml:space="preserve"> vrst posebne rabe vode in naplavin.</w:t>
      </w:r>
    </w:p>
    <w:p w14:paraId="26D568C4" w14:textId="77777777" w:rsidR="00B9666E" w:rsidRPr="00545EC0" w:rsidRDefault="00B9666E" w:rsidP="00B9666E">
      <w:pPr>
        <w:rPr>
          <w:rFonts w:cs="Arial"/>
        </w:rPr>
      </w:pPr>
    </w:p>
    <w:p w14:paraId="6420FF51" w14:textId="77777777" w:rsidR="00B9666E" w:rsidRPr="00545EC0" w:rsidRDefault="00B9666E" w:rsidP="00B9666E">
      <w:pPr>
        <w:rPr>
          <w:rFonts w:cs="Arial"/>
        </w:rPr>
      </w:pPr>
      <w:r w:rsidRPr="00545EC0">
        <w:rPr>
          <w:rFonts w:cs="Arial"/>
        </w:rPr>
        <w:t>Klasifikacija rabe vode služi kot osnova za nadaljnje delo. Raba vode je razdeljena na sektorje in podsektorje in je določena v predpisu,  ki ureja klasifikacijo vrst posebne rabe vode in naplavin.</w:t>
      </w:r>
    </w:p>
    <w:p w14:paraId="60EFB7A4" w14:textId="77777777" w:rsidR="00B9666E" w:rsidRPr="00545EC0" w:rsidRDefault="00B9666E" w:rsidP="00DD37C5">
      <w:pPr>
        <w:pStyle w:val="Odstavekseznama"/>
        <w:numPr>
          <w:ilvl w:val="0"/>
          <w:numId w:val="63"/>
        </w:numPr>
        <w:rPr>
          <w:rFonts w:cs="Arial"/>
        </w:rPr>
      </w:pPr>
      <w:r w:rsidRPr="00545EC0">
        <w:rPr>
          <w:rFonts w:cs="Arial"/>
          <w:lang w:val="sl-SI"/>
        </w:rPr>
        <w:t>Sektorji: gospodinjstvo, gospodarstvo, kmetijstvo,</w:t>
      </w:r>
    </w:p>
    <w:p w14:paraId="27D8A427" w14:textId="1AF2BFFC" w:rsidR="00B9666E" w:rsidRPr="00545EC0" w:rsidRDefault="00B9666E" w:rsidP="00DD37C5">
      <w:pPr>
        <w:pStyle w:val="Odstavekseznama"/>
        <w:numPr>
          <w:ilvl w:val="0"/>
          <w:numId w:val="63"/>
        </w:numPr>
        <w:rPr>
          <w:rFonts w:cs="Arial"/>
        </w:rPr>
      </w:pPr>
      <w:r w:rsidRPr="00545EC0">
        <w:rPr>
          <w:rFonts w:cs="Arial"/>
          <w:lang w:val="sl-SI"/>
        </w:rPr>
        <w:t>Podsektorji v sektorju gospodarstvo: industrija, energetika, promet, turizem.</w:t>
      </w:r>
    </w:p>
    <w:p w14:paraId="09ED35D3" w14:textId="77777777" w:rsidR="00AB5F94" w:rsidRPr="00545EC0" w:rsidRDefault="00AB5F94" w:rsidP="003122F4">
      <w:pPr>
        <w:rPr>
          <w:rFonts w:cs="Arial"/>
        </w:rPr>
      </w:pPr>
    </w:p>
    <w:p w14:paraId="3D1E3C31" w14:textId="1221A3BE" w:rsidR="00B9666E" w:rsidRPr="00545EC0" w:rsidRDefault="00B9666E" w:rsidP="00F93A51">
      <w:pPr>
        <w:rPr>
          <w:rFonts w:cs="Arial"/>
          <w:u w:val="single"/>
        </w:rPr>
      </w:pPr>
      <w:r w:rsidRPr="00545EC0">
        <w:rPr>
          <w:rFonts w:cs="Arial"/>
          <w:b/>
          <w:u w:val="single"/>
        </w:rPr>
        <w:t>Sektor gospodinjstva</w:t>
      </w:r>
    </w:p>
    <w:p w14:paraId="6C368A36" w14:textId="77777777" w:rsidR="00AB5F94" w:rsidRPr="00545EC0" w:rsidRDefault="00AB5F94" w:rsidP="003122F4">
      <w:pPr>
        <w:rPr>
          <w:rFonts w:cs="Arial"/>
        </w:rPr>
      </w:pPr>
    </w:p>
    <w:p w14:paraId="4BF7FD57" w14:textId="10146569" w:rsidR="00B9666E" w:rsidRPr="00545EC0" w:rsidRDefault="00B9666E" w:rsidP="00B9666E">
      <w:pPr>
        <w:rPr>
          <w:rFonts w:cs="Arial"/>
        </w:rPr>
      </w:pPr>
      <w:r w:rsidRPr="00545EC0">
        <w:rPr>
          <w:rFonts w:cs="Arial"/>
        </w:rPr>
        <w:t xml:space="preserve">Za rabo vode za lastno preskrbo s pitno vodo ali oskrbo s pitno vodo, ki se izvaja kot gospodarska javna službe, je treba v skladu s 125. </w:t>
      </w:r>
      <w:r w:rsidR="005536B7" w:rsidRPr="00545EC0">
        <w:rPr>
          <w:rFonts w:cs="Arial"/>
        </w:rPr>
        <w:t>č</w:t>
      </w:r>
      <w:r w:rsidRPr="00545EC0">
        <w:rPr>
          <w:rFonts w:cs="Arial"/>
        </w:rPr>
        <w:t xml:space="preserve">lenom ZV-1 pridobiti vodno pravico na podlagi vodnega dovoljenja. Imetnik vodne pravice mora v skladu s 124. </w:t>
      </w:r>
      <w:r w:rsidR="005536B7" w:rsidRPr="00545EC0">
        <w:rPr>
          <w:rFonts w:cs="Arial"/>
        </w:rPr>
        <w:t>č</w:t>
      </w:r>
      <w:r w:rsidRPr="00545EC0">
        <w:rPr>
          <w:rFonts w:cs="Arial"/>
        </w:rPr>
        <w:t xml:space="preserve">lenom </w:t>
      </w:r>
      <w:r w:rsidR="00AB5F94" w:rsidRPr="00545EC0">
        <w:rPr>
          <w:rFonts w:cs="Arial"/>
        </w:rPr>
        <w:t>ZV-1</w:t>
      </w:r>
      <w:r w:rsidRPr="00545EC0">
        <w:rPr>
          <w:rFonts w:cs="Arial"/>
        </w:rPr>
        <w:t xml:space="preserve"> in 1. </w:t>
      </w:r>
      <w:r w:rsidR="00AB5F94" w:rsidRPr="00545EC0">
        <w:rPr>
          <w:rFonts w:cs="Arial"/>
        </w:rPr>
        <w:t>č</w:t>
      </w:r>
      <w:r w:rsidRPr="00545EC0">
        <w:rPr>
          <w:rFonts w:cs="Arial"/>
        </w:rPr>
        <w:t>lenom, ki ureja vodna povračila za rabo vode</w:t>
      </w:r>
      <w:r w:rsidR="00D45821" w:rsidRPr="00545EC0">
        <w:rPr>
          <w:rFonts w:cs="Arial"/>
        </w:rPr>
        <w:t xml:space="preserve">, plačevati vodno povračilo, sorazmerno obsegu vodne pravice.  </w:t>
      </w:r>
      <w:r w:rsidRPr="00545EC0">
        <w:rPr>
          <w:rFonts w:cs="Arial"/>
        </w:rPr>
        <w:t xml:space="preserve">  </w:t>
      </w:r>
    </w:p>
    <w:p w14:paraId="03BECEC5" w14:textId="3B48B859" w:rsidR="00B9666E" w:rsidRPr="00545EC0" w:rsidRDefault="00B9666E" w:rsidP="00B9666E">
      <w:pPr>
        <w:rPr>
          <w:rFonts w:cs="Arial"/>
        </w:rPr>
      </w:pPr>
      <w:r w:rsidRPr="00545EC0">
        <w:rPr>
          <w:rFonts w:cs="Arial"/>
        </w:rPr>
        <w:t>V Sloveniji se je v letu 2017, 94% prebivalcev oskrbovalo s pitno vodo iz sistemov za oskrbo s pitno vodo (na oskrbovalnih območjih), pri katerih se je izvajalo spremljanje kakovosti pitne vode (monitoring) na mestu uporabe, na pipi uporabnika. V monitoring pitne vode ni bilo vključenih 6% prebivalcev Slovenije</w:t>
      </w:r>
      <w:r w:rsidR="005536B7" w:rsidRPr="00545EC0">
        <w:rPr>
          <w:rFonts w:cs="Arial"/>
        </w:rPr>
        <w:t>, t</w:t>
      </w:r>
      <w:r w:rsidRPr="00545EC0">
        <w:rPr>
          <w:rFonts w:cs="Arial"/>
        </w:rPr>
        <w:t>o so sistemi, ki oskrbujejo manj kot 50 oseb (npr. lastna oskrba s pitno vodo, samooskrba) ali iz drugih razlogov niso bili zajeti v monitoring. Dostopnost pitne vode se je v obdobju 2004 – 2017 nekoliko izboljšala.</w:t>
      </w:r>
    </w:p>
    <w:p w14:paraId="4A0F1F14" w14:textId="77777777" w:rsidR="00B9666E" w:rsidRPr="00545EC0" w:rsidRDefault="00B9666E" w:rsidP="00B9666E">
      <w:pPr>
        <w:rPr>
          <w:rFonts w:cs="Arial"/>
        </w:rPr>
      </w:pPr>
      <w:r w:rsidRPr="00545EC0">
        <w:rPr>
          <w:rFonts w:cs="Arial"/>
        </w:rPr>
        <w:t xml:space="preserve">Javna oskrba s pitno vodo je bila leta 2017 zagotovljena za 94 % prebivalcev Slovenije. </w:t>
      </w:r>
    </w:p>
    <w:p w14:paraId="26D4B189" w14:textId="77777777" w:rsidR="00392769" w:rsidRPr="00545EC0" w:rsidRDefault="00392769" w:rsidP="00B9666E">
      <w:pPr>
        <w:rPr>
          <w:rFonts w:cs="Arial"/>
        </w:rPr>
      </w:pPr>
    </w:p>
    <w:p w14:paraId="41280EFE" w14:textId="2E950B06" w:rsidR="00B9666E" w:rsidRPr="00545EC0" w:rsidRDefault="00B9666E" w:rsidP="00B9666E">
      <w:pPr>
        <w:rPr>
          <w:rFonts w:cs="Arial"/>
        </w:rPr>
      </w:pPr>
      <w:r w:rsidRPr="00545EC0">
        <w:rPr>
          <w:rFonts w:cs="Arial"/>
        </w:rPr>
        <w:t>V letu 2019 je bilo glede na podatke o zavezancih za plačilo okoljske dajatve za plačilo vodnih povračil na VO Donave proizvedenih 3.828.670 EO, kar predstavlja 89,81%. Na podlagi podatkov obratovalnega monitoringa odpadnih voda je bilo v vodotoke na VO Donave v letu 2019 odvedenih mio m</w:t>
      </w:r>
      <w:r w:rsidRPr="004168CD">
        <w:rPr>
          <w:rFonts w:cs="Arial"/>
          <w:vertAlign w:val="superscript"/>
        </w:rPr>
        <w:t>3</w:t>
      </w:r>
      <w:r w:rsidRPr="00545EC0">
        <w:rPr>
          <w:rFonts w:cs="Arial"/>
        </w:rPr>
        <w:t xml:space="preserve"> komunalnih odpadnih voda.</w:t>
      </w:r>
    </w:p>
    <w:p w14:paraId="38D4001D" w14:textId="77777777" w:rsidR="00B9666E" w:rsidRPr="00545EC0" w:rsidRDefault="00B9666E" w:rsidP="00B9666E">
      <w:pPr>
        <w:rPr>
          <w:rFonts w:cs="Arial"/>
        </w:rPr>
      </w:pPr>
      <w:r w:rsidRPr="00545EC0">
        <w:rPr>
          <w:rFonts w:cs="Arial"/>
        </w:rPr>
        <w:t>V letu 2019 je bilo glede na podatke o zavezancih za plačilo vodnih povračil na VO Donave odvzetih 101,12 mio m</w:t>
      </w:r>
      <w:r w:rsidRPr="00545EC0">
        <w:rPr>
          <w:rFonts w:cs="Arial"/>
          <w:vertAlign w:val="superscript"/>
        </w:rPr>
        <w:t>3</w:t>
      </w:r>
      <w:r w:rsidRPr="00545EC0">
        <w:rPr>
          <w:rFonts w:cs="Arial"/>
        </w:rPr>
        <w:t xml:space="preserve"> vode za oskrbo s pitno vodo. Vključeni so podatki o oskrbi s pitno vodo, ki se izvaja kot </w:t>
      </w:r>
      <w:r w:rsidRPr="00545EC0">
        <w:rPr>
          <w:rFonts w:cs="Arial"/>
        </w:rPr>
        <w:lastRenderedPageBreak/>
        <w:t>gospodarska javna služba, in podatki o lastni oskrbi s pitno vodo, pri čemer ni upoštevana raba vode iz vodnega vira za oskrbo s pitno vodo manj kot 50 prebivalcev, če letna količina iz vodnega vira odvzete vode ne presega 2.500 m</w:t>
      </w:r>
      <w:r w:rsidRPr="00545EC0">
        <w:rPr>
          <w:rFonts w:cs="Arial"/>
          <w:vertAlign w:val="superscript"/>
        </w:rPr>
        <w:t>3</w:t>
      </w:r>
      <w:r w:rsidRPr="00545EC0">
        <w:rPr>
          <w:rFonts w:cs="Arial"/>
        </w:rPr>
        <w:t xml:space="preserve"> in vodni vir ni vključen v sistem javne oskrbe s pitno vodo. Najpomembnejši vodni vir na VO Donave so podzemna voda in izviri. Iz vodotokov se odvzema zelo majhen delež vode za oskrbo s pitno vodo.</w:t>
      </w:r>
    </w:p>
    <w:p w14:paraId="38152A35" w14:textId="77777777" w:rsidR="00B9666E" w:rsidRPr="00545EC0" w:rsidRDefault="00B9666E" w:rsidP="00B9666E">
      <w:pPr>
        <w:rPr>
          <w:rFonts w:cs="Arial"/>
        </w:rPr>
      </w:pPr>
      <w:r w:rsidRPr="00545EC0">
        <w:rPr>
          <w:rFonts w:cs="Arial"/>
        </w:rPr>
        <w:t xml:space="preserve"> </w:t>
      </w:r>
    </w:p>
    <w:p w14:paraId="1F010CA5" w14:textId="77777777" w:rsidR="00B9666E" w:rsidRPr="00545EC0" w:rsidRDefault="00B9666E" w:rsidP="00B9666E">
      <w:pPr>
        <w:rPr>
          <w:rFonts w:cs="Arial"/>
        </w:rPr>
      </w:pPr>
      <w:r w:rsidRPr="00545EC0">
        <w:rPr>
          <w:rFonts w:cs="Arial"/>
        </w:rPr>
        <w:t xml:space="preserve">Razlika med odvzeto vodo in vodo, dobavljeno uporabnikom, se z leti zmanjšuje, vendar še vedno ostaja precejšna. </w:t>
      </w:r>
    </w:p>
    <w:p w14:paraId="064EE42C" w14:textId="77777777" w:rsidR="00B9666E" w:rsidRPr="00545EC0" w:rsidRDefault="00B9666E" w:rsidP="00B9666E">
      <w:pPr>
        <w:rPr>
          <w:rFonts w:cs="Arial"/>
        </w:rPr>
      </w:pPr>
    </w:p>
    <w:p w14:paraId="1B941160" w14:textId="77777777" w:rsidR="00B9666E" w:rsidRPr="00545EC0" w:rsidRDefault="00B9666E" w:rsidP="00B9666E">
      <w:pPr>
        <w:rPr>
          <w:rFonts w:cs="Arial"/>
        </w:rPr>
      </w:pPr>
      <w:r w:rsidRPr="00545EC0">
        <w:rPr>
          <w:rFonts w:cs="Arial"/>
        </w:rPr>
        <w:t>V letu 2019 je bilo namakanih 3.152 hektarjev zemljišč oziroma 2% manj kot v prejšnjem letu. Za namakanje se je porabilo 3,2 milijona m</w:t>
      </w:r>
      <w:r w:rsidRPr="00545EC0">
        <w:rPr>
          <w:rFonts w:cs="Arial"/>
          <w:vertAlign w:val="superscript"/>
        </w:rPr>
        <w:t>3</w:t>
      </w:r>
      <w:r w:rsidRPr="00545EC0">
        <w:rPr>
          <w:rFonts w:cs="Arial"/>
        </w:rPr>
        <w:t xml:space="preserve"> vode oziroma 4% več kot v prejšnjem letu.</w:t>
      </w:r>
    </w:p>
    <w:p w14:paraId="1A6B5BDB" w14:textId="77777777" w:rsidR="00B9666E" w:rsidRPr="00545EC0" w:rsidRDefault="00B9666E" w:rsidP="00B9666E">
      <w:pPr>
        <w:rPr>
          <w:rFonts w:cs="Arial"/>
        </w:rPr>
      </w:pPr>
      <w:r w:rsidRPr="00545EC0">
        <w:rPr>
          <w:rFonts w:cs="Arial"/>
        </w:rPr>
        <w:t>Večina vode za namakanje 37% je bilo pridobljene iz zbiralnikov, 11% iz podtalnice, 10% iz tekočih voda, 6% pa iz javnega vodovoda in iz drugih virov. Iz zbiralnikov je bilo za namakanje pridobljene za 23% več vode, iz vseh drugih virov pa za 26% manj vode kot v prejšnjem letu.</w:t>
      </w:r>
    </w:p>
    <w:p w14:paraId="48AB8BC4" w14:textId="77777777" w:rsidR="00392769" w:rsidRPr="00545EC0" w:rsidRDefault="00392769" w:rsidP="00B9666E">
      <w:pPr>
        <w:rPr>
          <w:rFonts w:cs="Arial"/>
        </w:rPr>
      </w:pPr>
    </w:p>
    <w:p w14:paraId="23AF9B14" w14:textId="71EC43D1" w:rsidR="00B9666E" w:rsidRPr="00545EC0" w:rsidRDefault="00B9666E" w:rsidP="00B9666E">
      <w:pPr>
        <w:rPr>
          <w:rFonts w:cs="Arial"/>
        </w:rPr>
      </w:pPr>
      <w:r w:rsidRPr="00545EC0">
        <w:rPr>
          <w:rFonts w:cs="Arial"/>
        </w:rPr>
        <w:t xml:space="preserve">Na </w:t>
      </w:r>
      <w:r w:rsidR="00AB5F94" w:rsidRPr="00545EC0">
        <w:rPr>
          <w:rFonts w:cs="Arial"/>
        </w:rPr>
        <w:t>VO</w:t>
      </w:r>
      <w:r w:rsidRPr="00545EC0">
        <w:rPr>
          <w:rFonts w:cs="Arial"/>
        </w:rPr>
        <w:t xml:space="preserve"> Donave je bilo za namakanje porabljene</w:t>
      </w:r>
      <w:r w:rsidR="00AB5F94" w:rsidRPr="00545EC0">
        <w:rPr>
          <w:rFonts w:cs="Arial"/>
        </w:rPr>
        <w:t xml:space="preserve"> </w:t>
      </w:r>
      <w:r w:rsidRPr="00545EC0">
        <w:rPr>
          <w:rFonts w:cs="Arial"/>
        </w:rPr>
        <w:t>1,1 milijona m</w:t>
      </w:r>
      <w:r w:rsidRPr="00545EC0">
        <w:rPr>
          <w:rFonts w:cs="Arial"/>
          <w:vertAlign w:val="superscript"/>
        </w:rPr>
        <w:t>3</w:t>
      </w:r>
      <w:r w:rsidRPr="00545EC0">
        <w:rPr>
          <w:rFonts w:cs="Arial"/>
        </w:rPr>
        <w:t xml:space="preserve"> vode oziroma 33% vse porabljene vode za namakanje. V primerjavi z letom 2018 je bilo na </w:t>
      </w:r>
      <w:r w:rsidR="00AB5F94" w:rsidRPr="00545EC0">
        <w:rPr>
          <w:rFonts w:cs="Arial"/>
        </w:rPr>
        <w:t>V</w:t>
      </w:r>
      <w:r w:rsidRPr="00545EC0">
        <w:rPr>
          <w:rFonts w:cs="Arial"/>
        </w:rPr>
        <w:t>O Donave 22% manj porabljene vode za namakanje.</w:t>
      </w:r>
    </w:p>
    <w:p w14:paraId="781DC47A" w14:textId="77777777" w:rsidR="00392769" w:rsidRPr="00545EC0" w:rsidRDefault="00392769" w:rsidP="00B9666E">
      <w:pPr>
        <w:rPr>
          <w:rFonts w:cs="Arial"/>
        </w:rPr>
      </w:pPr>
    </w:p>
    <w:p w14:paraId="22DD22C9" w14:textId="0FF299C5" w:rsidR="00B9666E" w:rsidRPr="00545EC0" w:rsidRDefault="00B9666E" w:rsidP="00B9666E">
      <w:pPr>
        <w:rPr>
          <w:rFonts w:cs="Arial"/>
        </w:rPr>
      </w:pPr>
      <w:r w:rsidRPr="00545EC0">
        <w:rPr>
          <w:rFonts w:cs="Arial"/>
        </w:rPr>
        <w:t xml:space="preserve">Po podatkih SURS je bilo v letu 2019 načrpane za </w:t>
      </w:r>
      <w:r w:rsidR="00AB5F94" w:rsidRPr="00545EC0">
        <w:rPr>
          <w:rFonts w:cs="Arial"/>
        </w:rPr>
        <w:t>0,</w:t>
      </w:r>
      <w:r w:rsidRPr="00545EC0">
        <w:rPr>
          <w:rFonts w:cs="Arial"/>
        </w:rPr>
        <w:t>4% manj vode kot v letu 2018. Skoraj za vsa (97,6%) je bila načrpana iz podzemnih virov. Gospodinjstva so porabila skoraj enako količino vode kot v letu 2018, proizvodne in storitvene dejavnosti pa za 1,9% več kot v 2018.</w:t>
      </w:r>
    </w:p>
    <w:p w14:paraId="188C4EAA" w14:textId="77777777" w:rsidR="00B9666E" w:rsidRPr="00545EC0" w:rsidRDefault="00B9666E" w:rsidP="00B9666E">
      <w:pPr>
        <w:rPr>
          <w:rFonts w:cs="Arial"/>
        </w:rPr>
      </w:pPr>
    </w:p>
    <w:p w14:paraId="59B29AD6" w14:textId="24415EED" w:rsidR="00B9666E" w:rsidRPr="00545EC0" w:rsidRDefault="00B9666E" w:rsidP="00B9666E">
      <w:pPr>
        <w:rPr>
          <w:rFonts w:cs="Arial"/>
        </w:rPr>
      </w:pPr>
      <w:r w:rsidRPr="00545EC0">
        <w:rPr>
          <w:rFonts w:cs="Arial"/>
        </w:rPr>
        <w:t>Za javni vodovod se je v letu 2019 načrpalo 170 milijonov m</w:t>
      </w:r>
      <w:r w:rsidRPr="00545EC0">
        <w:rPr>
          <w:rFonts w:cs="Arial"/>
          <w:vertAlign w:val="superscript"/>
        </w:rPr>
        <w:t>3</w:t>
      </w:r>
      <w:r w:rsidRPr="00545EC0">
        <w:rPr>
          <w:rFonts w:cs="Arial"/>
        </w:rPr>
        <w:t xml:space="preserve"> vode ( ali za 0,4% manj kot v letu 2018). 166 milijonov m3 vode je bilo načrpane iz podzemnih virov. Iz </w:t>
      </w:r>
      <w:r w:rsidR="00C12042" w:rsidRPr="00545EC0">
        <w:rPr>
          <w:rFonts w:cs="Arial"/>
        </w:rPr>
        <w:t>površinskih</w:t>
      </w:r>
      <w:r w:rsidRPr="00545EC0">
        <w:rPr>
          <w:rFonts w:cs="Arial"/>
        </w:rPr>
        <w:t xml:space="preserve"> voda so bili načrpani 4 milijoni m</w:t>
      </w:r>
      <w:r w:rsidRPr="00545EC0">
        <w:rPr>
          <w:rFonts w:cs="Arial"/>
          <w:vertAlign w:val="superscript"/>
        </w:rPr>
        <w:t xml:space="preserve">3 </w:t>
      </w:r>
      <w:r w:rsidRPr="00545EC0">
        <w:rPr>
          <w:rFonts w:cs="Arial"/>
        </w:rPr>
        <w:t>vode ali trikrat več kot v prejšnjem letu.</w:t>
      </w:r>
    </w:p>
    <w:p w14:paraId="29077A34" w14:textId="77777777" w:rsidR="00392769" w:rsidRPr="00545EC0" w:rsidRDefault="00392769" w:rsidP="00B9666E">
      <w:pPr>
        <w:rPr>
          <w:rFonts w:cs="Arial"/>
        </w:rPr>
      </w:pPr>
    </w:p>
    <w:p w14:paraId="33EADDBB" w14:textId="77777777" w:rsidR="00B9666E" w:rsidRPr="00545EC0" w:rsidRDefault="00B9666E" w:rsidP="00B9666E">
      <w:pPr>
        <w:rPr>
          <w:rFonts w:cs="Arial"/>
        </w:rPr>
      </w:pPr>
      <w:r w:rsidRPr="00545EC0">
        <w:rPr>
          <w:rFonts w:cs="Arial"/>
        </w:rPr>
        <w:t>Tolikšna razlika pri količini vode, načrpane iz površinskih voda, v primerjavi z letom prej je bila  posledica večjih vlaganj v komunalno infrastrukturo s pitno vodo. To je predvsem ob spodbudi kohezijskih sredstev omogočilo investicije v dograditev naprav za obdelavo vode ter pripravo pitne vode iz površinskih vodnih virov. Zagotovljena količina načrpane vode iz VO Donave je bila v letu 2019 glede na prejšnje leto večja za približno 1%.</w:t>
      </w:r>
    </w:p>
    <w:p w14:paraId="1EE7D65D" w14:textId="77777777" w:rsidR="00392769" w:rsidRPr="00545EC0" w:rsidRDefault="00392769" w:rsidP="00B9666E">
      <w:pPr>
        <w:rPr>
          <w:rFonts w:cs="Arial"/>
        </w:rPr>
      </w:pPr>
    </w:p>
    <w:p w14:paraId="54492E8B" w14:textId="77777777" w:rsidR="00B9666E" w:rsidRPr="00545EC0" w:rsidRDefault="00B9666E" w:rsidP="00B9666E">
      <w:pPr>
        <w:rPr>
          <w:rFonts w:cs="Arial"/>
        </w:rPr>
      </w:pPr>
      <w:r w:rsidRPr="00545EC0">
        <w:rPr>
          <w:rFonts w:cs="Arial"/>
        </w:rPr>
        <w:t>Gospodinjstva so v letu 2019 porabila 79,6 milijona m</w:t>
      </w:r>
      <w:r w:rsidRPr="00545EC0">
        <w:rPr>
          <w:rFonts w:cs="Arial"/>
          <w:vertAlign w:val="superscript"/>
        </w:rPr>
        <w:t>3</w:t>
      </w:r>
      <w:r w:rsidRPr="00545EC0">
        <w:rPr>
          <w:rFonts w:cs="Arial"/>
        </w:rPr>
        <w:t xml:space="preserve"> vode iz javnega vodovoda ali skoraj enako količino kot v letu 2018.</w:t>
      </w:r>
    </w:p>
    <w:p w14:paraId="3F176D79" w14:textId="77777777" w:rsidR="00392769" w:rsidRPr="00545EC0" w:rsidRDefault="00392769" w:rsidP="00B9666E">
      <w:pPr>
        <w:rPr>
          <w:rFonts w:cs="Arial"/>
        </w:rPr>
      </w:pPr>
    </w:p>
    <w:p w14:paraId="168B5BA5" w14:textId="77777777" w:rsidR="00B9666E" w:rsidRPr="00545EC0" w:rsidRDefault="00B9666E" w:rsidP="00B9666E">
      <w:pPr>
        <w:rPr>
          <w:rFonts w:cs="Arial"/>
        </w:rPr>
      </w:pPr>
      <w:r w:rsidRPr="00545EC0">
        <w:rPr>
          <w:rFonts w:cs="Arial"/>
        </w:rPr>
        <w:t>Celotno vodovodno omrežje je bilo v letu 2019 dolgo 33.596 km. Do konca leta 2019 je bilo nanj priključenih 481.061 priključkov, kar je za 5,8% več kot v letu 2018.</w:t>
      </w:r>
    </w:p>
    <w:p w14:paraId="7B4797EA" w14:textId="77777777" w:rsidR="00B9666E" w:rsidRPr="00545EC0" w:rsidRDefault="00B9666E" w:rsidP="00B9666E">
      <w:pPr>
        <w:rPr>
          <w:rFonts w:cs="Arial"/>
        </w:rPr>
      </w:pPr>
    </w:p>
    <w:p w14:paraId="049BD716" w14:textId="77777777" w:rsidR="00B9666E" w:rsidRPr="00545EC0" w:rsidRDefault="00B9666E" w:rsidP="00DD37C5">
      <w:pPr>
        <w:pStyle w:val="Odstavekseznama"/>
        <w:numPr>
          <w:ilvl w:val="0"/>
          <w:numId w:val="61"/>
        </w:numPr>
        <w:rPr>
          <w:rFonts w:cs="Arial"/>
          <w:lang w:val="sl-SI" w:eastAsia="sl-SI"/>
        </w:rPr>
      </w:pPr>
      <w:r w:rsidRPr="00545EC0">
        <w:rPr>
          <w:rFonts w:cs="Arial"/>
          <w:lang w:val="sl-SI" w:eastAsia="sl-SI"/>
        </w:rPr>
        <w:t>Vodna povračila</w:t>
      </w:r>
    </w:p>
    <w:p w14:paraId="00CFA3F0" w14:textId="77777777" w:rsidR="00392769" w:rsidRPr="00545EC0" w:rsidRDefault="00392769" w:rsidP="00392769">
      <w:pPr>
        <w:pStyle w:val="Odstavekseznama"/>
        <w:ind w:left="720"/>
        <w:rPr>
          <w:rFonts w:cs="Arial"/>
          <w:lang w:val="sl-SI" w:eastAsia="sl-SI"/>
        </w:rPr>
      </w:pPr>
    </w:p>
    <w:p w14:paraId="7614E5B5" w14:textId="77777777" w:rsidR="00D45821" w:rsidRPr="00545EC0" w:rsidRDefault="00D45821" w:rsidP="00D45821">
      <w:pPr>
        <w:rPr>
          <w:rFonts w:cs="Arial"/>
        </w:rPr>
      </w:pPr>
      <w:r w:rsidRPr="00545EC0">
        <w:rPr>
          <w:rFonts w:cs="Arial"/>
        </w:rPr>
        <w:t>Zavezanec za plačilo vodnega povračila za rabo vode za oskrbo s pitno vodo, ki se izvaja kot gospodarska javna služba, je v skladu s predpisom, ki ureja vodna povračila (7. Člen) oseba, ki upravlja objekt ali napravo za odvzem ali izkoriščanje vode. Vodno povračilo za leto 2019, za celotno VO Donave je bilo zaračunano za količino 24.349.934 m3.</w:t>
      </w:r>
    </w:p>
    <w:p w14:paraId="1ABD5468" w14:textId="77777777" w:rsidR="00D45821" w:rsidRPr="00545EC0" w:rsidRDefault="00D45821" w:rsidP="00D45821">
      <w:pPr>
        <w:rPr>
          <w:rFonts w:cs="Arial"/>
        </w:rPr>
      </w:pPr>
    </w:p>
    <w:p w14:paraId="2BDC6EC0" w14:textId="77777777" w:rsidR="00B9666E" w:rsidRPr="00545EC0" w:rsidRDefault="00B9666E" w:rsidP="00B9666E">
      <w:pPr>
        <w:rPr>
          <w:rFonts w:cs="Arial"/>
        </w:rPr>
      </w:pPr>
    </w:p>
    <w:p w14:paraId="429190DE" w14:textId="2ABC3113" w:rsidR="00B9666E" w:rsidRPr="00545EC0" w:rsidRDefault="00B9666E" w:rsidP="00B9666E">
      <w:pPr>
        <w:rPr>
          <w:rFonts w:cs="Arial"/>
          <w:b/>
          <w:bCs/>
          <w:szCs w:val="20"/>
          <w:u w:val="single"/>
          <w:lang w:eastAsia="x-none"/>
        </w:rPr>
      </w:pPr>
      <w:r w:rsidRPr="00545EC0">
        <w:rPr>
          <w:rFonts w:cs="Arial"/>
          <w:b/>
          <w:bCs/>
          <w:szCs w:val="20"/>
          <w:u w:val="single"/>
          <w:lang w:eastAsia="x-none"/>
        </w:rPr>
        <w:t>Sektor gospodarstvo</w:t>
      </w:r>
    </w:p>
    <w:p w14:paraId="656F7BAC" w14:textId="77777777" w:rsidR="00B9666E" w:rsidRPr="00545EC0" w:rsidRDefault="00B9666E" w:rsidP="00B9666E">
      <w:pPr>
        <w:rPr>
          <w:rFonts w:cs="Arial"/>
        </w:rPr>
      </w:pPr>
    </w:p>
    <w:p w14:paraId="00E86C53" w14:textId="1386A97B" w:rsidR="00B9666E" w:rsidRPr="00545EC0" w:rsidRDefault="00B9666E" w:rsidP="00B9666E">
      <w:pPr>
        <w:rPr>
          <w:rFonts w:cs="Arial"/>
        </w:rPr>
      </w:pPr>
      <w:r w:rsidRPr="00545EC0">
        <w:rPr>
          <w:rFonts w:cs="Arial"/>
        </w:rPr>
        <w:lastRenderedPageBreak/>
        <w:t xml:space="preserve">V sektorju gospodarstva so dejavnosti razdeljene v podsektorje (industrija, energetika, promet, turizem). </w:t>
      </w:r>
    </w:p>
    <w:p w14:paraId="6F9062C6" w14:textId="082317AE" w:rsidR="00B9666E" w:rsidRPr="00545EC0" w:rsidRDefault="00B9666E" w:rsidP="00B9666E">
      <w:pPr>
        <w:tabs>
          <w:tab w:val="num" w:pos="360"/>
          <w:tab w:val="num" w:pos="567"/>
          <w:tab w:val="left" w:pos="9600"/>
        </w:tabs>
        <w:spacing w:before="120"/>
        <w:rPr>
          <w:szCs w:val="20"/>
        </w:rPr>
      </w:pPr>
      <w:r w:rsidRPr="00545EC0">
        <w:rPr>
          <w:rFonts w:cs="Arial"/>
        </w:rPr>
        <w:t>Osnovni storitvi, povezani z obremenjevanjem voda, ki se izvajata za potrebe gospodarstva v podsektorju energetika, sta proizvodnja elektrike v velikih in malih hidroelektrarnah</w:t>
      </w:r>
      <w:r w:rsidR="006F6276" w:rsidRPr="00545EC0">
        <w:rPr>
          <w:szCs w:val="20"/>
        </w:rPr>
        <w:t xml:space="preserve">. </w:t>
      </w:r>
      <w:r w:rsidRPr="00545EC0">
        <w:rPr>
          <w:szCs w:val="20"/>
        </w:rPr>
        <w:t>Prihodki vodnih povračil za proizvodnjo električne energije od leta 2013 do leta 2018 znašajo okoli 9.200.000 EUR letno.</w:t>
      </w:r>
    </w:p>
    <w:p w14:paraId="112A2FBC" w14:textId="77777777" w:rsidR="00B9666E" w:rsidRPr="00545EC0" w:rsidRDefault="00B9666E" w:rsidP="00B9666E">
      <w:pPr>
        <w:rPr>
          <w:rFonts w:cs="Arial"/>
        </w:rPr>
      </w:pPr>
    </w:p>
    <w:p w14:paraId="1A75EA3C" w14:textId="77777777" w:rsidR="00B9666E" w:rsidRPr="00545EC0" w:rsidRDefault="00B9666E" w:rsidP="00B9666E">
      <w:pPr>
        <w:rPr>
          <w:rFonts w:cs="Arial"/>
        </w:rPr>
      </w:pPr>
      <w:r w:rsidRPr="00545EC0">
        <w:rPr>
          <w:rFonts w:cs="Arial"/>
        </w:rPr>
        <w:t>Vodna povračila so v sektorju gospodarstvo razdeljena po sklopih, in sicer:</w:t>
      </w:r>
    </w:p>
    <w:p w14:paraId="38A7B658" w14:textId="1369E86C" w:rsidR="00B9666E" w:rsidRPr="00545EC0" w:rsidRDefault="00B9666E" w:rsidP="00DD37C5">
      <w:pPr>
        <w:pStyle w:val="Odstavekseznama"/>
        <w:numPr>
          <w:ilvl w:val="0"/>
          <w:numId w:val="102"/>
        </w:numPr>
        <w:rPr>
          <w:rFonts w:cs="Arial"/>
        </w:rPr>
      </w:pPr>
      <w:r w:rsidRPr="00545EC0">
        <w:rPr>
          <w:rFonts w:cs="Arial"/>
        </w:rPr>
        <w:t>Tehnološki namen,</w:t>
      </w:r>
    </w:p>
    <w:p w14:paraId="150B30CD" w14:textId="5F492053" w:rsidR="00B9666E" w:rsidRPr="00545EC0" w:rsidRDefault="00B9666E" w:rsidP="00DD37C5">
      <w:pPr>
        <w:pStyle w:val="Odstavekseznama"/>
        <w:numPr>
          <w:ilvl w:val="0"/>
          <w:numId w:val="102"/>
        </w:numPr>
        <w:rPr>
          <w:rFonts w:cs="Arial"/>
        </w:rPr>
      </w:pPr>
      <w:r w:rsidRPr="00545EC0">
        <w:rPr>
          <w:rFonts w:cs="Arial"/>
        </w:rPr>
        <w:t>Dejavnosti kopališč,</w:t>
      </w:r>
    </w:p>
    <w:p w14:paraId="695BF25A" w14:textId="4D2544A6" w:rsidR="00B9666E" w:rsidRPr="00545EC0" w:rsidRDefault="00B9666E" w:rsidP="00DD37C5">
      <w:pPr>
        <w:pStyle w:val="Odstavekseznama"/>
        <w:numPr>
          <w:ilvl w:val="0"/>
          <w:numId w:val="102"/>
        </w:numPr>
        <w:rPr>
          <w:rFonts w:cs="Arial"/>
        </w:rPr>
      </w:pPr>
      <w:r w:rsidRPr="00545EC0">
        <w:rPr>
          <w:rFonts w:cs="Arial"/>
        </w:rPr>
        <w:t>Pridobivanje toplote ali ogrevanje,</w:t>
      </w:r>
    </w:p>
    <w:p w14:paraId="076D4449" w14:textId="7FAF0064" w:rsidR="00B9666E" w:rsidRPr="00545EC0" w:rsidRDefault="00B9666E" w:rsidP="00DD37C5">
      <w:pPr>
        <w:pStyle w:val="Odstavekseznama"/>
        <w:numPr>
          <w:ilvl w:val="0"/>
          <w:numId w:val="102"/>
        </w:numPr>
        <w:rPr>
          <w:rFonts w:cs="Arial"/>
        </w:rPr>
      </w:pPr>
      <w:r w:rsidRPr="00545EC0">
        <w:rPr>
          <w:rFonts w:cs="Arial"/>
        </w:rPr>
        <w:t xml:space="preserve">Športni </w:t>
      </w:r>
      <w:r w:rsidR="00C12042" w:rsidRPr="00545EC0">
        <w:rPr>
          <w:rFonts w:cs="Arial"/>
        </w:rPr>
        <w:t>rib</w:t>
      </w:r>
      <w:r w:rsidR="00C12042" w:rsidRPr="00545EC0">
        <w:rPr>
          <w:rFonts w:cs="Arial"/>
          <w:lang w:val="sl-SI"/>
        </w:rPr>
        <w:t>o</w:t>
      </w:r>
      <w:r w:rsidR="00C12042" w:rsidRPr="00545EC0">
        <w:rPr>
          <w:rFonts w:cs="Arial"/>
        </w:rPr>
        <w:t>lov</w:t>
      </w:r>
      <w:r w:rsidRPr="00545EC0">
        <w:rPr>
          <w:rFonts w:cs="Arial"/>
        </w:rPr>
        <w:t xml:space="preserve"> v komercialnih ribnikih,</w:t>
      </w:r>
    </w:p>
    <w:p w14:paraId="05E152FB" w14:textId="13EF52D3" w:rsidR="00B9666E" w:rsidRPr="00545EC0" w:rsidRDefault="00B9666E" w:rsidP="00DD37C5">
      <w:pPr>
        <w:pStyle w:val="Odstavekseznama"/>
        <w:numPr>
          <w:ilvl w:val="0"/>
          <w:numId w:val="102"/>
        </w:numPr>
        <w:rPr>
          <w:rFonts w:cs="Arial"/>
        </w:rPr>
      </w:pPr>
      <w:r w:rsidRPr="00545EC0">
        <w:rPr>
          <w:rFonts w:cs="Arial"/>
        </w:rPr>
        <w:t>Pogon vodnega mlina, žage ali podobne naprave,</w:t>
      </w:r>
    </w:p>
    <w:p w14:paraId="30390BFA" w14:textId="0CC4DA0E" w:rsidR="00B9666E" w:rsidRPr="00545EC0" w:rsidRDefault="00B9666E" w:rsidP="00DD37C5">
      <w:pPr>
        <w:pStyle w:val="Odstavekseznama"/>
        <w:numPr>
          <w:ilvl w:val="0"/>
          <w:numId w:val="102"/>
        </w:numPr>
        <w:rPr>
          <w:rFonts w:cs="Arial"/>
        </w:rPr>
      </w:pPr>
      <w:r w:rsidRPr="00545EC0">
        <w:rPr>
          <w:rFonts w:cs="Arial"/>
        </w:rPr>
        <w:t xml:space="preserve">Gojenje </w:t>
      </w:r>
      <w:r w:rsidR="00C12042" w:rsidRPr="00545EC0">
        <w:rPr>
          <w:rFonts w:cs="Arial"/>
        </w:rPr>
        <w:t>sladkovodn</w:t>
      </w:r>
      <w:r w:rsidR="00C12042" w:rsidRPr="00545EC0">
        <w:rPr>
          <w:rFonts w:cs="Arial"/>
          <w:lang w:val="sl-SI"/>
        </w:rPr>
        <w:t>i</w:t>
      </w:r>
      <w:r w:rsidR="00C12042" w:rsidRPr="00545EC0">
        <w:rPr>
          <w:rFonts w:cs="Arial"/>
        </w:rPr>
        <w:t>h</w:t>
      </w:r>
      <w:r w:rsidRPr="00545EC0">
        <w:rPr>
          <w:rFonts w:cs="Arial"/>
        </w:rPr>
        <w:t xml:space="preserve"> ali morskih organizmov,</w:t>
      </w:r>
    </w:p>
    <w:p w14:paraId="178D306B" w14:textId="7F8B7ECE" w:rsidR="00B9666E" w:rsidRPr="00545EC0" w:rsidRDefault="00B9666E" w:rsidP="00DD37C5">
      <w:pPr>
        <w:pStyle w:val="Odstavekseznama"/>
        <w:numPr>
          <w:ilvl w:val="0"/>
          <w:numId w:val="102"/>
        </w:numPr>
        <w:rPr>
          <w:rFonts w:cs="Arial"/>
        </w:rPr>
      </w:pPr>
      <w:r w:rsidRPr="00545EC0">
        <w:rPr>
          <w:rFonts w:cs="Arial"/>
        </w:rPr>
        <w:t>Obratovanje pristanišč ali vstopno-izstopnih mest,</w:t>
      </w:r>
    </w:p>
    <w:p w14:paraId="1E872DFF" w14:textId="35297F96" w:rsidR="00B9666E" w:rsidRPr="00545EC0" w:rsidRDefault="00B9666E" w:rsidP="00DD37C5">
      <w:pPr>
        <w:pStyle w:val="Odstavekseznama"/>
        <w:numPr>
          <w:ilvl w:val="0"/>
          <w:numId w:val="102"/>
        </w:numPr>
        <w:rPr>
          <w:rFonts w:cs="Arial"/>
        </w:rPr>
      </w:pPr>
      <w:r w:rsidRPr="00545EC0">
        <w:rPr>
          <w:rFonts w:cs="Arial"/>
        </w:rPr>
        <w:t>Zasneževanje smučišč in drugih površin,</w:t>
      </w:r>
    </w:p>
    <w:p w14:paraId="42FC6129" w14:textId="40EE0695" w:rsidR="00B9666E" w:rsidRPr="00545EC0" w:rsidRDefault="00B9666E" w:rsidP="00DD37C5">
      <w:pPr>
        <w:pStyle w:val="Odstavekseznama"/>
        <w:numPr>
          <w:ilvl w:val="0"/>
          <w:numId w:val="102"/>
        </w:numPr>
        <w:rPr>
          <w:rFonts w:cs="Arial"/>
        </w:rPr>
      </w:pPr>
      <w:r w:rsidRPr="00545EC0">
        <w:rPr>
          <w:rFonts w:cs="Arial"/>
        </w:rPr>
        <w:t>Proizvodnja električne energije,</w:t>
      </w:r>
    </w:p>
    <w:p w14:paraId="67282D58" w14:textId="3B62E065" w:rsidR="00B9666E" w:rsidRPr="00545EC0" w:rsidRDefault="00B9666E" w:rsidP="00DD37C5">
      <w:pPr>
        <w:pStyle w:val="Odstavekseznama"/>
        <w:numPr>
          <w:ilvl w:val="0"/>
          <w:numId w:val="102"/>
        </w:numPr>
        <w:rPr>
          <w:rFonts w:cs="Arial"/>
        </w:rPr>
      </w:pPr>
      <w:r w:rsidRPr="00545EC0">
        <w:rPr>
          <w:rFonts w:cs="Arial"/>
        </w:rPr>
        <w:t>Proizvodnja pijač,</w:t>
      </w:r>
    </w:p>
    <w:p w14:paraId="0B6085CE" w14:textId="1953D396" w:rsidR="00B9666E" w:rsidRPr="00545EC0" w:rsidRDefault="00B9666E" w:rsidP="00DD37C5">
      <w:pPr>
        <w:pStyle w:val="Odstavekseznama"/>
        <w:numPr>
          <w:ilvl w:val="0"/>
          <w:numId w:val="102"/>
        </w:numPr>
        <w:rPr>
          <w:rFonts w:cs="Arial"/>
        </w:rPr>
      </w:pPr>
      <w:r w:rsidRPr="00545EC0">
        <w:rPr>
          <w:rFonts w:cs="Arial"/>
        </w:rPr>
        <w:t>Druga raba mineralne, termalne ali termomineralne vode,</w:t>
      </w:r>
    </w:p>
    <w:p w14:paraId="10F9D47B" w14:textId="1E2C2E3C" w:rsidR="00B9666E" w:rsidRPr="00545EC0" w:rsidRDefault="00B9666E" w:rsidP="00DD37C5">
      <w:pPr>
        <w:pStyle w:val="Odstavekseznama"/>
        <w:numPr>
          <w:ilvl w:val="0"/>
          <w:numId w:val="102"/>
        </w:numPr>
        <w:rPr>
          <w:rFonts w:cs="Arial"/>
        </w:rPr>
      </w:pPr>
      <w:r w:rsidRPr="00545EC0">
        <w:rPr>
          <w:rFonts w:cs="Arial"/>
        </w:rPr>
        <w:t>Odvzem naplavin,</w:t>
      </w:r>
    </w:p>
    <w:p w14:paraId="5B591F57" w14:textId="655098FD" w:rsidR="00B9666E" w:rsidRPr="00545EC0" w:rsidRDefault="00B9666E" w:rsidP="00DD37C5">
      <w:pPr>
        <w:pStyle w:val="Odstavekseznama"/>
        <w:numPr>
          <w:ilvl w:val="0"/>
          <w:numId w:val="102"/>
        </w:numPr>
        <w:rPr>
          <w:rFonts w:cs="Arial"/>
        </w:rPr>
      </w:pPr>
      <w:r w:rsidRPr="00545EC0">
        <w:rPr>
          <w:rFonts w:cs="Arial"/>
        </w:rPr>
        <w:t>Druga raba, ki presega splošno rabo.</w:t>
      </w:r>
    </w:p>
    <w:p w14:paraId="05143057" w14:textId="77777777" w:rsidR="00B9666E" w:rsidRPr="00545EC0" w:rsidRDefault="00B9666E" w:rsidP="00B9666E">
      <w:pPr>
        <w:rPr>
          <w:rFonts w:cs="Arial"/>
        </w:rPr>
      </w:pPr>
    </w:p>
    <w:p w14:paraId="728F2403" w14:textId="455032FF" w:rsidR="00B9666E" w:rsidRPr="00545EC0" w:rsidRDefault="00B9666E" w:rsidP="00B9666E">
      <w:pPr>
        <w:rPr>
          <w:rFonts w:cs="Arial"/>
        </w:rPr>
      </w:pPr>
      <w:r w:rsidRPr="00545EC0">
        <w:rPr>
          <w:rFonts w:cs="Arial"/>
        </w:rPr>
        <w:t xml:space="preserve">Prihodki vodnih povračil za rabo vode v tehnološke namene znašajo </w:t>
      </w:r>
      <w:r w:rsidR="006F6276" w:rsidRPr="00545EC0">
        <w:rPr>
          <w:rFonts w:cs="Arial"/>
        </w:rPr>
        <w:t>so leta 2019 na VO Donave znašali</w:t>
      </w:r>
      <w:r w:rsidRPr="00545EC0">
        <w:rPr>
          <w:rFonts w:cs="Arial"/>
        </w:rPr>
        <w:t xml:space="preserve"> 3.573.224,41 EUR, leta 2018 nekoliko več 3.607.737,51 EUR, leta 2017 pa 3.585.544,21 EUR.</w:t>
      </w:r>
    </w:p>
    <w:p w14:paraId="78657FF2" w14:textId="77777777" w:rsidR="00B9666E" w:rsidRPr="00545EC0" w:rsidRDefault="00B9666E" w:rsidP="00B9666E">
      <w:pPr>
        <w:rPr>
          <w:rFonts w:cs="Arial"/>
        </w:rPr>
      </w:pPr>
    </w:p>
    <w:p w14:paraId="68EA66AA" w14:textId="36F64B68" w:rsidR="00B9666E" w:rsidRPr="00545EC0" w:rsidRDefault="00B9666E" w:rsidP="00B9666E">
      <w:pPr>
        <w:rPr>
          <w:rFonts w:cs="Arial"/>
        </w:rPr>
      </w:pPr>
      <w:r w:rsidRPr="00545EC0">
        <w:rPr>
          <w:rFonts w:cs="Arial"/>
        </w:rPr>
        <w:t>Prihodki vodnih povračil iz dejavnosti kopališč so se od leta 2017 do leta 2019 nekoliko zmanjšali. Leta 2017 so bili 50.337,71 EUR, leta 2018 so nekoliko narasli na 51.045,24 EUR. V letu 2019 so pa bili najnižji v tem obdobju</w:t>
      </w:r>
      <w:r w:rsidR="006F6276" w:rsidRPr="00545EC0">
        <w:rPr>
          <w:rFonts w:cs="Arial"/>
        </w:rPr>
        <w:t>, in sicer</w:t>
      </w:r>
      <w:r w:rsidRPr="00545EC0">
        <w:rPr>
          <w:rFonts w:cs="Arial"/>
        </w:rPr>
        <w:t xml:space="preserve"> 48.662,80 EUR. </w:t>
      </w:r>
    </w:p>
    <w:p w14:paraId="03717C6D" w14:textId="77777777" w:rsidR="00B9666E" w:rsidRPr="00545EC0" w:rsidRDefault="00B9666E" w:rsidP="00B9666E">
      <w:pPr>
        <w:rPr>
          <w:rFonts w:cs="Arial"/>
        </w:rPr>
      </w:pPr>
    </w:p>
    <w:p w14:paraId="33BF0DF5" w14:textId="77777777" w:rsidR="00B9666E" w:rsidRPr="00545EC0" w:rsidRDefault="00B9666E" w:rsidP="00B9666E">
      <w:pPr>
        <w:rPr>
          <w:rFonts w:cs="Arial"/>
        </w:rPr>
      </w:pPr>
      <w:r w:rsidRPr="00545EC0">
        <w:rPr>
          <w:rFonts w:cs="Arial"/>
        </w:rPr>
        <w:t>Vrednost prihodkov vodnih povračil iz naslova rabe voda za pridobivanje toplote ali ogrevanje je bil leta 2017 136.217,16 EUR, leta 2018 se je nekoliko povišal na 151.084,44 EUR, v letu 2019 pa padel na 128.776,06 EUR.</w:t>
      </w:r>
    </w:p>
    <w:p w14:paraId="438737DC" w14:textId="77777777" w:rsidR="00B9666E" w:rsidRPr="00545EC0" w:rsidRDefault="00B9666E" w:rsidP="00B9666E">
      <w:pPr>
        <w:rPr>
          <w:rFonts w:cs="Arial"/>
        </w:rPr>
      </w:pPr>
    </w:p>
    <w:p w14:paraId="3576D42E" w14:textId="7E777CCD" w:rsidR="00B9666E" w:rsidRPr="00545EC0" w:rsidRDefault="00B9666E" w:rsidP="00B9666E">
      <w:pPr>
        <w:rPr>
          <w:rFonts w:cs="Arial"/>
        </w:rPr>
      </w:pPr>
      <w:r w:rsidRPr="00545EC0">
        <w:rPr>
          <w:rFonts w:cs="Arial"/>
        </w:rPr>
        <w:t xml:space="preserve">Sredstva vodnih povračil za rabo vode za športni ribolov v komercialnih ribnikih so se od leta 2018, ki </w:t>
      </w:r>
      <w:r w:rsidR="006F6276" w:rsidRPr="00545EC0">
        <w:rPr>
          <w:rFonts w:cs="Arial"/>
        </w:rPr>
        <w:t>ko so znašala</w:t>
      </w:r>
      <w:r w:rsidRPr="00545EC0">
        <w:rPr>
          <w:rFonts w:cs="Arial"/>
        </w:rPr>
        <w:t xml:space="preserve"> 593,05 EUR v </w:t>
      </w:r>
      <w:r w:rsidR="00C12042" w:rsidRPr="00545EC0">
        <w:rPr>
          <w:rFonts w:cs="Arial"/>
        </w:rPr>
        <w:t>letu</w:t>
      </w:r>
      <w:r w:rsidRPr="00545EC0">
        <w:rPr>
          <w:rFonts w:cs="Arial"/>
        </w:rPr>
        <w:t xml:space="preserve"> 2019 </w:t>
      </w:r>
      <w:r w:rsidR="006F6276" w:rsidRPr="00545EC0">
        <w:rPr>
          <w:rFonts w:cs="Arial"/>
        </w:rPr>
        <w:t xml:space="preserve">povečala </w:t>
      </w:r>
      <w:r w:rsidRPr="00545EC0">
        <w:rPr>
          <w:rFonts w:cs="Arial"/>
        </w:rPr>
        <w:t>in</w:t>
      </w:r>
      <w:r w:rsidR="006F6276" w:rsidRPr="00545EC0">
        <w:rPr>
          <w:rFonts w:cs="Arial"/>
        </w:rPr>
        <w:t xml:space="preserve"> so</w:t>
      </w:r>
      <w:r w:rsidRPr="00545EC0">
        <w:rPr>
          <w:rFonts w:cs="Arial"/>
        </w:rPr>
        <w:t xml:space="preserve"> znašala 758,15 EUR.</w:t>
      </w:r>
    </w:p>
    <w:p w14:paraId="54D5D802" w14:textId="77777777" w:rsidR="00392769" w:rsidRPr="00545EC0" w:rsidRDefault="00392769" w:rsidP="00B9666E">
      <w:pPr>
        <w:rPr>
          <w:rFonts w:cs="Arial"/>
        </w:rPr>
      </w:pPr>
    </w:p>
    <w:p w14:paraId="2AB6B9B6" w14:textId="48FBC2E0" w:rsidR="00B9666E" w:rsidRPr="00545EC0" w:rsidRDefault="00B9666E" w:rsidP="00B9666E">
      <w:pPr>
        <w:rPr>
          <w:rFonts w:cs="Arial"/>
        </w:rPr>
      </w:pPr>
      <w:r w:rsidRPr="00545EC0">
        <w:rPr>
          <w:rFonts w:cs="Arial"/>
        </w:rPr>
        <w:t xml:space="preserve">Vodna povračila za rabo vode za pogon vodnega mlina, žage ali podobne naprave so od leta 2017 do leta 2019 nespremenjena </w:t>
      </w:r>
      <w:r w:rsidR="006F6276" w:rsidRPr="00545EC0">
        <w:rPr>
          <w:rFonts w:cs="Arial"/>
        </w:rPr>
        <w:t>in so znašala</w:t>
      </w:r>
      <w:r w:rsidRPr="00545EC0">
        <w:rPr>
          <w:rFonts w:cs="Arial"/>
        </w:rPr>
        <w:t xml:space="preserve"> 21,90 EUR.</w:t>
      </w:r>
    </w:p>
    <w:p w14:paraId="38D0CDA8" w14:textId="77777777" w:rsidR="00392769" w:rsidRPr="00545EC0" w:rsidRDefault="00392769" w:rsidP="00B9666E">
      <w:pPr>
        <w:rPr>
          <w:rFonts w:cs="Arial"/>
        </w:rPr>
      </w:pPr>
    </w:p>
    <w:p w14:paraId="3EFF3C28" w14:textId="4B31A433" w:rsidR="00B9666E" w:rsidRPr="00545EC0" w:rsidRDefault="00B9666E" w:rsidP="00B9666E">
      <w:pPr>
        <w:rPr>
          <w:rFonts w:cs="Arial"/>
        </w:rPr>
      </w:pPr>
      <w:r w:rsidRPr="00545EC0">
        <w:rPr>
          <w:rFonts w:cs="Arial"/>
        </w:rPr>
        <w:t>Trend prihodkov vodnih povračil za obratovanje pristanišč in vstopno-izstopnih mest je za leta 2017, 2018 in 2019</w:t>
      </w:r>
      <w:r w:rsidR="006F6276" w:rsidRPr="00545EC0">
        <w:rPr>
          <w:rFonts w:cs="Arial"/>
        </w:rPr>
        <w:t xml:space="preserve"> nespremenjen</w:t>
      </w:r>
      <w:r w:rsidRPr="00545EC0">
        <w:rPr>
          <w:rFonts w:cs="Arial"/>
        </w:rPr>
        <w:t xml:space="preserve"> in</w:t>
      </w:r>
      <w:r w:rsidR="006F6276" w:rsidRPr="00545EC0">
        <w:rPr>
          <w:rFonts w:cs="Arial"/>
        </w:rPr>
        <w:t xml:space="preserve"> je</w:t>
      </w:r>
      <w:r w:rsidRPr="00545EC0">
        <w:rPr>
          <w:rFonts w:cs="Arial"/>
        </w:rPr>
        <w:t xml:space="preserve"> znaša</w:t>
      </w:r>
      <w:r w:rsidR="006F6276" w:rsidRPr="00545EC0">
        <w:rPr>
          <w:rFonts w:cs="Arial"/>
        </w:rPr>
        <w:t>l</w:t>
      </w:r>
      <w:r w:rsidRPr="00545EC0">
        <w:rPr>
          <w:rFonts w:cs="Arial"/>
        </w:rPr>
        <w:t xml:space="preserve"> 178.953,34 EUR.</w:t>
      </w:r>
    </w:p>
    <w:p w14:paraId="3D6E8AF6" w14:textId="77777777" w:rsidR="00392769" w:rsidRPr="00545EC0" w:rsidRDefault="00392769" w:rsidP="00B9666E">
      <w:pPr>
        <w:rPr>
          <w:rFonts w:cs="Arial"/>
        </w:rPr>
      </w:pPr>
    </w:p>
    <w:p w14:paraId="60B3977B" w14:textId="4A752001" w:rsidR="00B9666E" w:rsidRPr="00545EC0" w:rsidRDefault="00B9666E" w:rsidP="00B9666E">
      <w:pPr>
        <w:rPr>
          <w:rFonts w:cs="Arial"/>
        </w:rPr>
      </w:pPr>
      <w:r w:rsidRPr="00545EC0">
        <w:rPr>
          <w:rFonts w:cs="Arial"/>
        </w:rPr>
        <w:t xml:space="preserve">Prihodki vodnih povračil za zasneževanje smučišč in drugih površin so bili v letu 2017 46.346,81 EUR, nekoliko </w:t>
      </w:r>
      <w:r w:rsidR="006F6276" w:rsidRPr="00545EC0">
        <w:rPr>
          <w:rFonts w:cs="Arial"/>
        </w:rPr>
        <w:t>nižji</w:t>
      </w:r>
      <w:r w:rsidRPr="00545EC0">
        <w:rPr>
          <w:rFonts w:cs="Arial"/>
        </w:rPr>
        <w:t xml:space="preserve"> v letu 2018 40.538,82 EUR, v letu 2019 pa nekoliko višji 44.195,43 EUR.</w:t>
      </w:r>
    </w:p>
    <w:p w14:paraId="64C7386D" w14:textId="77777777" w:rsidR="00B9666E" w:rsidRPr="00545EC0" w:rsidRDefault="00B9666E" w:rsidP="00B9666E">
      <w:pPr>
        <w:rPr>
          <w:rFonts w:cs="Arial"/>
        </w:rPr>
      </w:pPr>
    </w:p>
    <w:p w14:paraId="49CC9945" w14:textId="77777777" w:rsidR="00B9666E" w:rsidRPr="00545EC0" w:rsidRDefault="00B9666E" w:rsidP="00B9666E">
      <w:pPr>
        <w:rPr>
          <w:rFonts w:cs="Arial"/>
        </w:rPr>
      </w:pPr>
      <w:r w:rsidRPr="00545EC0">
        <w:rPr>
          <w:rFonts w:cs="Arial"/>
        </w:rPr>
        <w:t xml:space="preserve">Podatki vodnih povračil za proizvodnjo električne energije od leta 2013 do leta 2018 znašajo okoli 9.200.000 EUR letno. Sredstva vodnih povračil za rabo vode za proizvodnjo pijač rahlo narašča vse od leta 2010 do 2018. Leta 2010 so zbrana sredstva znašala 55.173 EUR, leta 2018 pa 95.204 EUR. </w:t>
      </w:r>
      <w:r w:rsidRPr="00545EC0">
        <w:rPr>
          <w:rFonts w:cs="Arial"/>
        </w:rPr>
        <w:lastRenderedPageBreak/>
        <w:t>Sredstva vodnih povračil za drugo rabo mineralne, termalne ali termomineralne vode so se pričela obračunavati z letom 2017, ko so znašala 2.173 EUR. Leta 2018 je bila vrednost kar 5x višja, in sicer 10.437 EUR.</w:t>
      </w:r>
    </w:p>
    <w:p w14:paraId="2ACC99FF" w14:textId="77777777" w:rsidR="00392769" w:rsidRPr="00545EC0" w:rsidRDefault="00392769" w:rsidP="00B9666E">
      <w:pPr>
        <w:rPr>
          <w:rFonts w:cs="Arial"/>
        </w:rPr>
      </w:pPr>
    </w:p>
    <w:p w14:paraId="4920C694" w14:textId="0A599A49" w:rsidR="00B9666E" w:rsidRPr="00545EC0" w:rsidRDefault="00B9666E" w:rsidP="00B9666E">
      <w:pPr>
        <w:rPr>
          <w:rFonts w:cs="Arial"/>
        </w:rPr>
      </w:pPr>
      <w:r w:rsidRPr="00545EC0">
        <w:rPr>
          <w:rFonts w:cs="Arial"/>
        </w:rPr>
        <w:t xml:space="preserve">Višina sredstev </w:t>
      </w:r>
      <w:r w:rsidR="00C12042" w:rsidRPr="00545EC0">
        <w:rPr>
          <w:rFonts w:cs="Arial"/>
        </w:rPr>
        <w:t>vodnih</w:t>
      </w:r>
      <w:r w:rsidRPr="00545EC0">
        <w:rPr>
          <w:rFonts w:cs="Arial"/>
        </w:rPr>
        <w:t xml:space="preserve">  povračil za odvzem naplavin </w:t>
      </w:r>
      <w:r w:rsidR="006F6276" w:rsidRPr="00545EC0">
        <w:rPr>
          <w:rFonts w:cs="Arial"/>
        </w:rPr>
        <w:t xml:space="preserve">je </w:t>
      </w:r>
      <w:r w:rsidRPr="00545EC0">
        <w:rPr>
          <w:rFonts w:cs="Arial"/>
        </w:rPr>
        <w:t>v letu 2018</w:t>
      </w:r>
      <w:r w:rsidR="006F6276" w:rsidRPr="00545EC0">
        <w:rPr>
          <w:rFonts w:cs="Arial"/>
        </w:rPr>
        <w:t xml:space="preserve"> znašala</w:t>
      </w:r>
      <w:r w:rsidRPr="00545EC0">
        <w:rPr>
          <w:rFonts w:cs="Arial"/>
        </w:rPr>
        <w:t xml:space="preserve"> 703.824 EUR, kar je primerljivo z večino ostalih let. Izjema je leto 2016, ko so bila sredstva zaradi te rabe neprimerno višja kot ostala leta: znašala so kar 13.103.173 EUR.</w:t>
      </w:r>
    </w:p>
    <w:p w14:paraId="063C9A3E" w14:textId="77777777" w:rsidR="00392769" w:rsidRPr="00545EC0" w:rsidRDefault="00392769" w:rsidP="00B9666E">
      <w:pPr>
        <w:rPr>
          <w:rFonts w:cs="Arial"/>
        </w:rPr>
      </w:pPr>
    </w:p>
    <w:p w14:paraId="096F05CB" w14:textId="77777777" w:rsidR="00B9666E" w:rsidRPr="00545EC0" w:rsidRDefault="00B9666E" w:rsidP="00B9666E">
      <w:pPr>
        <w:rPr>
          <w:rFonts w:cs="Arial"/>
        </w:rPr>
      </w:pPr>
      <w:r w:rsidRPr="00545EC0">
        <w:rPr>
          <w:rFonts w:cs="Arial"/>
        </w:rPr>
        <w:t>Zbrana sredstva za drugo rabo vode, ki presega splošno rabo, znašajo za leto 2018, 2.398 EUR.</w:t>
      </w:r>
    </w:p>
    <w:p w14:paraId="7A552AF4" w14:textId="30209F10" w:rsidR="00B9666E" w:rsidRPr="00545EC0" w:rsidRDefault="00B9666E" w:rsidP="004C2B96">
      <w:pPr>
        <w:tabs>
          <w:tab w:val="num" w:pos="360"/>
          <w:tab w:val="num" w:pos="567"/>
          <w:tab w:val="left" w:pos="9600"/>
        </w:tabs>
        <w:spacing w:before="120"/>
        <w:rPr>
          <w:szCs w:val="20"/>
        </w:rPr>
      </w:pPr>
      <w:r w:rsidRPr="00545EC0">
        <w:rPr>
          <w:szCs w:val="20"/>
        </w:rPr>
        <w:t>Leta 2017 je bilo glede na podatke o zavezancih za plačilo okoljske dajatve za industrijsko odpadno vodo v skladu s predpisom, ki ureja okoljsko dajatev za onesnaževanje okolja zaradi odvajanja odpadnih voda, na območju celotne RS proizvedenih 800.000 EO. Pri odvajanju odpadnih voda je prihajalo do čezmernega obremenjevanje z enim ali več onesnaževal na iztokih iz industrijskih naprav.</w:t>
      </w:r>
    </w:p>
    <w:p w14:paraId="305DCB6E" w14:textId="77777777" w:rsidR="00B9666E" w:rsidRPr="00545EC0" w:rsidRDefault="00B9666E" w:rsidP="00B9666E">
      <w:pPr>
        <w:rPr>
          <w:rFonts w:cs="Arial"/>
        </w:rPr>
      </w:pPr>
    </w:p>
    <w:p w14:paraId="0E391555" w14:textId="77777777" w:rsidR="005538DF" w:rsidRPr="00545EC0" w:rsidRDefault="00B9666E" w:rsidP="005538DF">
      <w:pPr>
        <w:keepNext/>
      </w:pPr>
      <w:r w:rsidRPr="00545EC0">
        <w:rPr>
          <w:noProof/>
        </w:rPr>
        <w:drawing>
          <wp:inline distT="0" distB="0" distL="0" distR="0" wp14:anchorId="4EEAE1CB" wp14:editId="037AC892">
            <wp:extent cx="5695950" cy="3557981"/>
            <wp:effectExtent l="19050" t="19050" r="19050" b="23495"/>
            <wp:docPr id="5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22739" cy="3574715"/>
                    </a:xfrm>
                    <a:prstGeom prst="rect">
                      <a:avLst/>
                    </a:prstGeom>
                    <a:noFill/>
                    <a:ln>
                      <a:solidFill>
                        <a:schemeClr val="bg1">
                          <a:lumMod val="85000"/>
                        </a:schemeClr>
                      </a:solidFill>
                    </a:ln>
                  </pic:spPr>
                </pic:pic>
              </a:graphicData>
            </a:graphic>
          </wp:inline>
        </w:drawing>
      </w:r>
    </w:p>
    <w:p w14:paraId="093281AD" w14:textId="591C3156" w:rsidR="005538DF" w:rsidRPr="00545EC0" w:rsidRDefault="005538DF" w:rsidP="005538DF">
      <w:pPr>
        <w:tabs>
          <w:tab w:val="num" w:pos="360"/>
          <w:tab w:val="num" w:pos="567"/>
          <w:tab w:val="left" w:pos="9600"/>
        </w:tabs>
        <w:spacing w:before="120"/>
        <w:rPr>
          <w:szCs w:val="20"/>
        </w:rPr>
      </w:pPr>
      <w:r w:rsidRPr="00545EC0">
        <w:t xml:space="preserve">Slika </w:t>
      </w:r>
      <w:fldSimple w:instr=" STYLEREF 1 \s ">
        <w:r w:rsidR="002F3E43">
          <w:rPr>
            <w:noProof/>
          </w:rPr>
          <w:t>2</w:t>
        </w:r>
      </w:fldSimple>
      <w:r w:rsidR="00396E1E" w:rsidRPr="00545EC0">
        <w:noBreakHyphen/>
      </w:r>
      <w:fldSimple w:instr=" SEQ Slika \* ARABIC \s 1 ">
        <w:r w:rsidR="002F3E43">
          <w:rPr>
            <w:noProof/>
          </w:rPr>
          <w:t>45</w:t>
        </w:r>
      </w:fldSimple>
      <w:r w:rsidRPr="00545EC0">
        <w:t xml:space="preserve">: </w:t>
      </w:r>
      <w:r w:rsidRPr="00545EC0">
        <w:rPr>
          <w:szCs w:val="20"/>
        </w:rPr>
        <w:t>Število industrijskih iztokov iz industrijskih naprav s čezmernim obremenjevanjem z enim ali več onesnaževali v obdobju 2013-2017 na VO Donave in VO Jadranskega morja.</w:t>
      </w:r>
    </w:p>
    <w:p w14:paraId="1E973605" w14:textId="77777777" w:rsidR="00B9666E" w:rsidRPr="00545EC0" w:rsidRDefault="00B9666E" w:rsidP="00B9666E">
      <w:pPr>
        <w:rPr>
          <w:rFonts w:cs="Arial"/>
        </w:rPr>
      </w:pPr>
    </w:p>
    <w:p w14:paraId="2A003350" w14:textId="6A5499B5" w:rsidR="00B9666E" w:rsidRPr="00545EC0" w:rsidRDefault="00B9666E" w:rsidP="00B9666E">
      <w:pPr>
        <w:rPr>
          <w:rFonts w:cs="Arial"/>
          <w:b/>
          <w:bCs/>
          <w:szCs w:val="20"/>
          <w:u w:val="single"/>
          <w:lang w:eastAsia="x-none"/>
        </w:rPr>
      </w:pPr>
      <w:r w:rsidRPr="00545EC0">
        <w:rPr>
          <w:rFonts w:cs="Arial"/>
          <w:b/>
          <w:bCs/>
          <w:szCs w:val="20"/>
          <w:u w:val="single"/>
          <w:lang w:eastAsia="x-none"/>
        </w:rPr>
        <w:t>Sektor kmetijstvo</w:t>
      </w:r>
    </w:p>
    <w:p w14:paraId="64BD4134" w14:textId="77777777" w:rsidR="00B9666E" w:rsidRPr="00545EC0" w:rsidRDefault="00B9666E" w:rsidP="00B9666E">
      <w:pPr>
        <w:rPr>
          <w:rFonts w:cs="Arial"/>
        </w:rPr>
      </w:pPr>
    </w:p>
    <w:p w14:paraId="4B7B4A1F" w14:textId="77777777" w:rsidR="00B9666E" w:rsidRPr="00545EC0" w:rsidRDefault="00B9666E" w:rsidP="00B9666E">
      <w:pPr>
        <w:rPr>
          <w:rFonts w:cs="Arial"/>
        </w:rPr>
      </w:pPr>
      <w:r w:rsidRPr="00545EC0">
        <w:rPr>
          <w:rFonts w:cs="Arial"/>
        </w:rPr>
        <w:t>Ključna storitev, povezana z obremenjevanjem voda, ki se izvaja v sektorju kmetijstvo, je raba vode za namakanje kmetijskih zemljišč. Površine zemljišč, pripravljene za namakanje, so se do leta 2019 povečale od 4.554 ha na 6.673 ha, kar predstavlja 1,4% vseh kmetijskih zemljišč v uporabi. Leta 2019 je bilo porabljenih 1,030 m</w:t>
      </w:r>
      <w:r w:rsidRPr="00545EC0">
        <w:rPr>
          <w:rFonts w:cs="Arial"/>
          <w:vertAlign w:val="superscript"/>
        </w:rPr>
        <w:t>3</w:t>
      </w:r>
      <w:r w:rsidRPr="00545EC0">
        <w:rPr>
          <w:rFonts w:cs="Arial"/>
        </w:rPr>
        <w:t xml:space="preserve"> vode na hektar namakanih površin, kar je dobra četrtina manj od dolgoletnega povprečja.</w:t>
      </w:r>
    </w:p>
    <w:p w14:paraId="53D7661F" w14:textId="77777777" w:rsidR="00B9666E" w:rsidRPr="00545EC0" w:rsidRDefault="00B9666E" w:rsidP="00B9666E">
      <w:pPr>
        <w:rPr>
          <w:rFonts w:cs="Arial"/>
        </w:rPr>
      </w:pPr>
    </w:p>
    <w:p w14:paraId="53FC4C46" w14:textId="77777777" w:rsidR="00D45821" w:rsidRPr="00545EC0" w:rsidRDefault="00D45821" w:rsidP="00D45821">
      <w:pPr>
        <w:rPr>
          <w:rFonts w:cs="Arial"/>
        </w:rPr>
      </w:pPr>
      <w:r w:rsidRPr="00545EC0">
        <w:rPr>
          <w:rFonts w:cs="Arial"/>
        </w:rPr>
        <w:t xml:space="preserve">V letu 2019 je bilo za namakanje porabljenih 3,2 milijona m3 vode, to je za 4% več kot v prejšnjem letu. Večina vode za namakanje (73%) je bilo pridobljene iz zbiralnikov, 11% iz podtalnice, 10% iz </w:t>
      </w:r>
      <w:r w:rsidRPr="00545EC0">
        <w:rPr>
          <w:rFonts w:cs="Arial"/>
        </w:rPr>
        <w:lastRenderedPageBreak/>
        <w:t>tekočih voda, 6% pa iz javnega vodovoda in iz drugih virov. Iz zbiralnikov je bilo za namakanje pridobljene za 23% več vode, iz vseh drugih virov pa za 26% manj vode kot v prejšnjem letu.</w:t>
      </w:r>
    </w:p>
    <w:p w14:paraId="11070A80" w14:textId="77777777" w:rsidR="00D45821" w:rsidRPr="00545EC0" w:rsidRDefault="00D45821" w:rsidP="00D45821">
      <w:pPr>
        <w:rPr>
          <w:rFonts w:cs="Arial"/>
        </w:rPr>
      </w:pPr>
      <w:r w:rsidRPr="00545EC0">
        <w:rPr>
          <w:rFonts w:cs="Arial"/>
        </w:rPr>
        <w:t>Na VO Donave so evidentirani dva delno delujoča in 29 delujočih velikih namakalnih sistemov s skupno površino 5.158 ha.</w:t>
      </w:r>
    </w:p>
    <w:p w14:paraId="5AA56EB1" w14:textId="77777777" w:rsidR="00B9666E" w:rsidRPr="00545EC0" w:rsidRDefault="00B9666E" w:rsidP="00B9666E">
      <w:pPr>
        <w:rPr>
          <w:rFonts w:cs="Arial"/>
        </w:rPr>
      </w:pPr>
    </w:p>
    <w:p w14:paraId="179468BA" w14:textId="17D28F01" w:rsidR="00B9666E" w:rsidRPr="00545EC0" w:rsidRDefault="00B9666E" w:rsidP="00B9666E">
      <w:pPr>
        <w:rPr>
          <w:rFonts w:cs="Arial"/>
        </w:rPr>
      </w:pPr>
      <w:r w:rsidRPr="00545EC0">
        <w:rPr>
          <w:rFonts w:cs="Arial"/>
        </w:rPr>
        <w:t xml:space="preserve">Trenutno je z velikimi namakalnimi sistemi v Sloveniji opremljenih okrog 1,5 % kmetijskih zemljišč v uporabi. Izgradnja in tehnološke posodobitve velikih namakalnih sistemov so eden izmed ukrepov Programa razvoja podeželja 2014 – 2020, katerega cilj je zgraditi 2.400 ha novih in tehnološko posodobiti 700 ha velikih namakalnih sistemov v Sloveniji. </w:t>
      </w:r>
    </w:p>
    <w:p w14:paraId="34078AFC" w14:textId="77777777" w:rsidR="00392769" w:rsidRPr="00545EC0" w:rsidRDefault="00392769" w:rsidP="00B9666E">
      <w:pPr>
        <w:rPr>
          <w:rFonts w:cs="Arial"/>
        </w:rPr>
      </w:pPr>
    </w:p>
    <w:p w14:paraId="452CDCE1" w14:textId="77777777" w:rsidR="00D45821" w:rsidRPr="00545EC0" w:rsidRDefault="00D45821" w:rsidP="00D45821">
      <w:pPr>
        <w:rPr>
          <w:rFonts w:cs="Arial"/>
        </w:rPr>
      </w:pPr>
      <w:r w:rsidRPr="00545EC0">
        <w:rPr>
          <w:rFonts w:cs="Arial"/>
        </w:rPr>
        <w:t xml:space="preserve">Storitve, povezane z obremenjevanjem voda se izvajajo tudi za gojenje vodnih organizmov. V letu 2020 je bilo vzrejenih okoli 1.167 ton rib, kar je za 5% manj kot v letu 2019 (1.225 ton). </w:t>
      </w:r>
    </w:p>
    <w:p w14:paraId="29F75807" w14:textId="77777777" w:rsidR="00B9666E" w:rsidRPr="00545EC0" w:rsidRDefault="00B9666E" w:rsidP="00B9666E">
      <w:pPr>
        <w:rPr>
          <w:rFonts w:cs="Arial"/>
        </w:rPr>
      </w:pPr>
    </w:p>
    <w:p w14:paraId="10F8BC98" w14:textId="03C4CF8A" w:rsidR="00B9666E" w:rsidRPr="00545EC0" w:rsidRDefault="00B9666E" w:rsidP="00B9666E">
      <w:pPr>
        <w:rPr>
          <w:rFonts w:cs="Arial"/>
        </w:rPr>
      </w:pPr>
      <w:r w:rsidRPr="00545EC0">
        <w:rPr>
          <w:rFonts w:cs="Arial"/>
        </w:rPr>
        <w:t>V letu 201</w:t>
      </w:r>
      <w:r w:rsidR="00F10629" w:rsidRPr="00545EC0">
        <w:rPr>
          <w:rFonts w:cs="Arial"/>
        </w:rPr>
        <w:t>7</w:t>
      </w:r>
      <w:r w:rsidRPr="00545EC0">
        <w:rPr>
          <w:rFonts w:cs="Arial"/>
        </w:rPr>
        <w:t xml:space="preserve"> je bilo na VO Donave odvzetih 192,7 mio m</w:t>
      </w:r>
      <w:r w:rsidRPr="00545EC0">
        <w:rPr>
          <w:rFonts w:cs="Arial"/>
          <w:vertAlign w:val="superscript"/>
        </w:rPr>
        <w:t>3</w:t>
      </w:r>
      <w:r w:rsidRPr="00545EC0">
        <w:rPr>
          <w:rFonts w:cs="Arial"/>
        </w:rPr>
        <w:t xml:space="preserve"> vode za vzrejo salmonidnih vrst rib. Za vzrejo ciprinidnih vrst rib je bilo na VO Donave uporabljenih 1,1 mio m</w:t>
      </w:r>
      <w:r w:rsidRPr="00545EC0">
        <w:rPr>
          <w:rFonts w:cs="Arial"/>
          <w:vertAlign w:val="superscript"/>
        </w:rPr>
        <w:t>2</w:t>
      </w:r>
      <w:r w:rsidRPr="00545EC0">
        <w:rPr>
          <w:rFonts w:cs="Arial"/>
        </w:rPr>
        <w:t>, za ribolov v komercialnih ribnikih pa približno 0,5 mio m</w:t>
      </w:r>
      <w:r w:rsidRPr="00545EC0">
        <w:rPr>
          <w:rFonts w:cs="Arial"/>
          <w:vertAlign w:val="superscript"/>
        </w:rPr>
        <w:t>2</w:t>
      </w:r>
      <w:r w:rsidRPr="00545EC0">
        <w:rPr>
          <w:rFonts w:cs="Arial"/>
        </w:rPr>
        <w:t xml:space="preserve"> vodnega dobra. </w:t>
      </w:r>
    </w:p>
    <w:p w14:paraId="3167C19A" w14:textId="77777777" w:rsidR="00B9666E" w:rsidRPr="00545EC0" w:rsidRDefault="00B9666E" w:rsidP="00B9666E">
      <w:pPr>
        <w:rPr>
          <w:rFonts w:cs="Arial"/>
        </w:rPr>
      </w:pPr>
    </w:p>
    <w:p w14:paraId="747AF521" w14:textId="7DF75F9D" w:rsidR="00B9666E" w:rsidRPr="00545EC0" w:rsidRDefault="00B9666E" w:rsidP="00B9666E">
      <w:pPr>
        <w:rPr>
          <w:rFonts w:cs="Arial"/>
        </w:rPr>
      </w:pPr>
      <w:r w:rsidRPr="00545EC0">
        <w:rPr>
          <w:rFonts w:cs="Arial"/>
        </w:rPr>
        <w:t xml:space="preserve">Z vidika obremenjevanja voda je pomembno tudi onesnaževanje s hranili iz razpršenih virov iz </w:t>
      </w:r>
      <w:r w:rsidR="00C12042" w:rsidRPr="00545EC0">
        <w:rPr>
          <w:rFonts w:cs="Arial"/>
        </w:rPr>
        <w:t>kmetijstva. Poraba</w:t>
      </w:r>
      <w:r w:rsidRPr="00545EC0">
        <w:rPr>
          <w:rFonts w:cs="Arial"/>
        </w:rPr>
        <w:t xml:space="preserve"> mineralnih gnojil se je v Sloveniji do leta 2017 zmanjšala za 31%. Zmanjšala se je tudi poraba rastlinskih hranil (N,P</w:t>
      </w:r>
      <w:r w:rsidRPr="00545EC0">
        <w:rPr>
          <w:rFonts w:cs="Arial"/>
          <w:vertAlign w:val="subscript"/>
        </w:rPr>
        <w:t>2</w:t>
      </w:r>
      <w:r w:rsidRPr="00545EC0">
        <w:rPr>
          <w:rFonts w:cs="Arial"/>
        </w:rPr>
        <w:t>, O</w:t>
      </w:r>
      <w:r w:rsidRPr="00545EC0">
        <w:rPr>
          <w:rFonts w:cs="Arial"/>
          <w:vertAlign w:val="subscript"/>
        </w:rPr>
        <w:t>5</w:t>
      </w:r>
      <w:r w:rsidRPr="00545EC0">
        <w:rPr>
          <w:rFonts w:cs="Arial"/>
        </w:rPr>
        <w:t>, K</w:t>
      </w:r>
      <w:r w:rsidRPr="00545EC0">
        <w:rPr>
          <w:rFonts w:cs="Arial"/>
          <w:vertAlign w:val="subscript"/>
        </w:rPr>
        <w:t>2</w:t>
      </w:r>
      <w:r w:rsidRPr="00545EC0">
        <w:rPr>
          <w:rFonts w:cs="Arial"/>
        </w:rPr>
        <w:t xml:space="preserve">O) na hektar kmetijskega zemljišča v uporabi. Zmanjšanje porabe mineralnih gnojil na hektar kmetijskega zemljišča v uporabi gre pripisati zahtevam nitratne direktive in načelom dobre kmetijske prakse pri gnojenju. </w:t>
      </w:r>
    </w:p>
    <w:p w14:paraId="2C1AD811" w14:textId="77777777" w:rsidR="00B9666E" w:rsidRPr="00545EC0" w:rsidRDefault="00B9666E" w:rsidP="00B9666E">
      <w:pPr>
        <w:rPr>
          <w:rFonts w:cs="Arial"/>
        </w:rPr>
      </w:pPr>
    </w:p>
    <w:p w14:paraId="53E5BAA0" w14:textId="77777777" w:rsidR="00D45821" w:rsidRPr="00545EC0" w:rsidRDefault="00D45821" w:rsidP="00D45821">
      <w:pPr>
        <w:rPr>
          <w:rFonts w:cs="Arial"/>
        </w:rPr>
      </w:pPr>
      <w:r w:rsidRPr="00545EC0">
        <w:rPr>
          <w:rFonts w:cs="Arial"/>
        </w:rPr>
        <w:t>V letu 2020 je bilo v kmetijstvu porabljenih okoli 131.000 ton mineralnih gnojil ali 5% manj kot v letu 2019. Glavnih rastlinskih hranil iz teh gnojil pa je bilo porabljenih na hektar kmetijskih zemljišč v uporabi za 3% manj kot v 2019.</w:t>
      </w:r>
    </w:p>
    <w:p w14:paraId="2F35607F" w14:textId="77777777" w:rsidR="00D45821" w:rsidRPr="00545EC0" w:rsidRDefault="00D45821" w:rsidP="00D45821">
      <w:pPr>
        <w:rPr>
          <w:rFonts w:cs="Arial"/>
        </w:rPr>
      </w:pPr>
      <w:r w:rsidRPr="00545EC0">
        <w:rPr>
          <w:rFonts w:cs="Arial"/>
        </w:rPr>
        <w:t>Ocenjeni vnos dušika in fosforja iz poglavja Razpršeni viri onesnaževanja voda (Razpršeni viri zaradi kmetijske dejavnosti) … tega načrta je pretvorjen v enote obremenitve v skladu s predpisom, ki ureja okoljsko dajatev za onesnaževanje okolja zaradi odvajanja odpadnih voda (v nadaljnjem besedilu:  EO). Izračuni kažejo, da povzroča sektor kmetijstvo z razpršenim onesnaževanjem s hranili na VO Donave letno 169.124 EO.</w:t>
      </w:r>
    </w:p>
    <w:p w14:paraId="34A95554" w14:textId="77777777" w:rsidR="00B9666E" w:rsidRPr="00545EC0" w:rsidRDefault="00B9666E" w:rsidP="00B9666E">
      <w:pPr>
        <w:rPr>
          <w:rFonts w:cs="Arial"/>
        </w:rPr>
      </w:pPr>
    </w:p>
    <w:p w14:paraId="5F3B509B" w14:textId="77777777" w:rsidR="00B9666E" w:rsidRPr="00545EC0" w:rsidRDefault="00B9666E" w:rsidP="00DD37C5">
      <w:pPr>
        <w:pStyle w:val="Odstavekseznama"/>
        <w:numPr>
          <w:ilvl w:val="0"/>
          <w:numId w:val="61"/>
        </w:numPr>
        <w:rPr>
          <w:rFonts w:cs="Arial"/>
        </w:rPr>
      </w:pPr>
      <w:r w:rsidRPr="00545EC0">
        <w:rPr>
          <w:rFonts w:cs="Arial"/>
        </w:rPr>
        <w:t>Vodna povračila</w:t>
      </w:r>
    </w:p>
    <w:p w14:paraId="206BB9FE" w14:textId="77777777" w:rsidR="00392769" w:rsidRPr="00545EC0" w:rsidRDefault="00392769" w:rsidP="00392769">
      <w:pPr>
        <w:pStyle w:val="Odstavekseznama"/>
        <w:ind w:left="720"/>
        <w:rPr>
          <w:rFonts w:cs="Arial"/>
        </w:rPr>
      </w:pPr>
    </w:p>
    <w:p w14:paraId="07D48925" w14:textId="31AA22BE" w:rsidR="005538DF" w:rsidRPr="00545EC0" w:rsidRDefault="00B9666E" w:rsidP="00B9666E">
      <w:pPr>
        <w:rPr>
          <w:rFonts w:cs="Arial"/>
        </w:rPr>
      </w:pPr>
      <w:r w:rsidRPr="00545EC0">
        <w:rPr>
          <w:rFonts w:cs="Arial"/>
        </w:rPr>
        <w:t xml:space="preserve">Poleg rabe vode iz </w:t>
      </w:r>
      <w:r w:rsidR="003A4DE7" w:rsidRPr="00545EC0">
        <w:rPr>
          <w:rFonts w:cs="Arial"/>
        </w:rPr>
        <w:t>predpisa, ki ureja</w:t>
      </w:r>
      <w:r w:rsidRPr="00545EC0">
        <w:rPr>
          <w:rFonts w:cs="Arial"/>
        </w:rPr>
        <w:t xml:space="preserve"> klasifikacij</w:t>
      </w:r>
      <w:r w:rsidR="003A4DE7" w:rsidRPr="00545EC0">
        <w:rPr>
          <w:rFonts w:cs="Arial"/>
        </w:rPr>
        <w:t>o</w:t>
      </w:r>
      <w:r w:rsidRPr="00545EC0">
        <w:rPr>
          <w:rFonts w:cs="Arial"/>
        </w:rPr>
        <w:t xml:space="preserve"> vrst posebne rabe vode in se</w:t>
      </w:r>
      <w:r w:rsidR="003A4DE7" w:rsidRPr="00545EC0">
        <w:rPr>
          <w:rFonts w:cs="Arial"/>
        </w:rPr>
        <w:t xml:space="preserve"> od leta 2017 naprej</w:t>
      </w:r>
      <w:r w:rsidRPr="00545EC0">
        <w:rPr>
          <w:rFonts w:cs="Arial"/>
        </w:rPr>
        <w:t xml:space="preserve"> v </w:t>
      </w:r>
      <w:r w:rsidR="003A4DE7" w:rsidRPr="00545EC0">
        <w:rPr>
          <w:rFonts w:cs="Arial"/>
        </w:rPr>
        <w:t xml:space="preserve">okviru </w:t>
      </w:r>
      <w:r w:rsidRPr="00545EC0">
        <w:rPr>
          <w:rFonts w:cs="Arial"/>
        </w:rPr>
        <w:t>obračun</w:t>
      </w:r>
      <w:r w:rsidR="003A4DE7" w:rsidRPr="00545EC0">
        <w:rPr>
          <w:rFonts w:cs="Arial"/>
        </w:rPr>
        <w:t>a</w:t>
      </w:r>
      <w:r w:rsidRPr="00545EC0">
        <w:rPr>
          <w:rFonts w:cs="Arial"/>
        </w:rPr>
        <w:t xml:space="preserve"> vodnih povračil </w:t>
      </w:r>
      <w:r w:rsidR="003A4DE7" w:rsidRPr="00545EC0">
        <w:rPr>
          <w:rFonts w:cs="Arial"/>
        </w:rPr>
        <w:t>obračunava vodno povračilo za</w:t>
      </w:r>
      <w:r w:rsidRPr="00545EC0">
        <w:rPr>
          <w:rFonts w:cs="Arial"/>
        </w:rPr>
        <w:t xml:space="preserve"> </w:t>
      </w:r>
      <w:r w:rsidR="003A4DE7" w:rsidRPr="00545EC0">
        <w:rPr>
          <w:rFonts w:cs="Arial"/>
        </w:rPr>
        <w:t>r</w:t>
      </w:r>
      <w:r w:rsidRPr="00545EC0">
        <w:rPr>
          <w:rFonts w:cs="Arial"/>
        </w:rPr>
        <w:t>ab</w:t>
      </w:r>
      <w:r w:rsidR="003A4DE7" w:rsidRPr="00545EC0">
        <w:rPr>
          <w:rFonts w:cs="Arial"/>
        </w:rPr>
        <w:t>o</w:t>
      </w:r>
      <w:r w:rsidRPr="00545EC0">
        <w:rPr>
          <w:rFonts w:cs="Arial"/>
        </w:rPr>
        <w:t xml:space="preserve"> vode iz vodnega vira za zalivanje in namakanje ter </w:t>
      </w:r>
      <w:r w:rsidR="003A4DE7" w:rsidRPr="00545EC0">
        <w:rPr>
          <w:rFonts w:cs="Arial"/>
        </w:rPr>
        <w:t>r</w:t>
      </w:r>
      <w:r w:rsidRPr="00545EC0">
        <w:rPr>
          <w:rFonts w:cs="Arial"/>
        </w:rPr>
        <w:t>ab</w:t>
      </w:r>
      <w:r w:rsidR="003A4DE7" w:rsidRPr="00545EC0">
        <w:rPr>
          <w:rFonts w:cs="Arial"/>
        </w:rPr>
        <w:t>o</w:t>
      </w:r>
      <w:r w:rsidRPr="00545EC0">
        <w:rPr>
          <w:rFonts w:cs="Arial"/>
        </w:rPr>
        <w:t xml:space="preserve"> vode iz objektov in naprav za oskrbo s pitno vodo za namakanje kmetijskih zemljišč. </w:t>
      </w:r>
      <w:bookmarkStart w:id="398" w:name="_Toc419099250"/>
      <w:bookmarkStart w:id="399" w:name="_Toc428521965"/>
      <w:bookmarkStart w:id="400" w:name="_Toc430606165"/>
      <w:bookmarkStart w:id="401" w:name="_Toc462218155"/>
      <w:r w:rsidRPr="00545EC0">
        <w:rPr>
          <w:rFonts w:cs="Arial"/>
        </w:rPr>
        <w:t xml:space="preserve">V letu 2018 je skupna vrednost vodnih povračil znašala 34.352 EUR, leta 2017 pa </w:t>
      </w:r>
      <w:r w:rsidR="00906016" w:rsidRPr="00545EC0">
        <w:rPr>
          <w:rFonts w:cs="Arial"/>
        </w:rPr>
        <w:t>44.557 EUR.</w:t>
      </w:r>
    </w:p>
    <w:p w14:paraId="5A7B97CE" w14:textId="77777777" w:rsidR="00906016" w:rsidRPr="00545EC0" w:rsidRDefault="00906016" w:rsidP="00B9666E">
      <w:pPr>
        <w:rPr>
          <w:rFonts w:cs="Arial"/>
        </w:rPr>
      </w:pPr>
    </w:p>
    <w:p w14:paraId="436956BD" w14:textId="5F7D06D2" w:rsidR="00B9666E" w:rsidRPr="00545EC0" w:rsidRDefault="00B9666E">
      <w:pPr>
        <w:pStyle w:val="Naslov3"/>
      </w:pPr>
      <w:bookmarkStart w:id="402" w:name="_Toc90261032"/>
      <w:bookmarkEnd w:id="395"/>
      <w:bookmarkEnd w:id="396"/>
      <w:bookmarkEnd w:id="398"/>
      <w:bookmarkEnd w:id="399"/>
      <w:bookmarkEnd w:id="400"/>
      <w:bookmarkEnd w:id="401"/>
      <w:r w:rsidRPr="00545EC0">
        <w:t>Analiza gospodarskega pomena dejavnosti, ki povzročajo obremenjevanje voda</w:t>
      </w:r>
      <w:bookmarkEnd w:id="402"/>
    </w:p>
    <w:p w14:paraId="3B3179B6" w14:textId="6703B2B4" w:rsidR="00B9666E" w:rsidRPr="00545EC0" w:rsidRDefault="00B9666E" w:rsidP="00B9666E">
      <w:pPr>
        <w:rPr>
          <w:rFonts w:cs="Arial"/>
        </w:rPr>
      </w:pPr>
      <w:r w:rsidRPr="00545EC0">
        <w:rPr>
          <w:rFonts w:cs="Arial"/>
        </w:rPr>
        <w:t>Slovenija se od leta 2016 v gospodarski razvitosti, merjeni z bruto domačim proizvodom</w:t>
      </w:r>
      <w:r w:rsidR="00F10629" w:rsidRPr="00545EC0">
        <w:rPr>
          <w:rFonts w:cs="Arial"/>
        </w:rPr>
        <w:t xml:space="preserve"> (v nadal</w:t>
      </w:r>
      <w:r w:rsidR="003A4DE7" w:rsidRPr="00545EC0">
        <w:rPr>
          <w:rFonts w:cs="Arial"/>
        </w:rPr>
        <w:t>jnjem besedilu:</w:t>
      </w:r>
      <w:r w:rsidR="00F10629" w:rsidRPr="00545EC0">
        <w:rPr>
          <w:rFonts w:cs="Arial"/>
        </w:rPr>
        <w:t xml:space="preserve"> BDP)</w:t>
      </w:r>
      <w:r w:rsidRPr="00545EC0">
        <w:rPr>
          <w:rFonts w:cs="Arial"/>
        </w:rPr>
        <w:t xml:space="preserve"> na prebivalca po kupni moči, ponovno približuje povprečju EU. Leta 2017 je s 85% povprečja EU dosegla raven relativne gospodarske razvitosti leta 2009, za predkriznim vrhom iz leta 2008 pa je zaostajala </w:t>
      </w:r>
      <w:r w:rsidR="00C12042" w:rsidRPr="00545EC0">
        <w:rPr>
          <w:rFonts w:cs="Arial"/>
        </w:rPr>
        <w:t>še</w:t>
      </w:r>
      <w:r w:rsidRPr="00545EC0">
        <w:rPr>
          <w:rFonts w:cs="Arial"/>
        </w:rPr>
        <w:t xml:space="preserve"> za 5%. Leta 2008 je bil slovenski BDP na prebivalca po kupni moči za 10% nižji od povprečnega v EU, med gospodarsko krizo pa se je zaostanek povečal na 18%. Dekompozicija BDP na prebivalca na produktivnost in stopnjo zaposlenosti kaže, da je bilo </w:t>
      </w:r>
      <w:r w:rsidRPr="00545EC0">
        <w:rPr>
          <w:rFonts w:cs="Arial"/>
        </w:rPr>
        <w:lastRenderedPageBreak/>
        <w:t>zmanjševanje zaostanka v gospodarski razvitosti v letih 2016 in 2017 spodbujeno z relativno hitrejšim zvišanjem stopnje zaposlenosti glede na EU v letu 2017 pa tudi višje rasti produktivnosti.</w:t>
      </w:r>
    </w:p>
    <w:p w14:paraId="741707EA" w14:textId="13EBA1DF" w:rsidR="00B9666E" w:rsidRPr="00545EC0" w:rsidRDefault="00C12042" w:rsidP="00B9666E">
      <w:pPr>
        <w:rPr>
          <w:rFonts w:cs="Arial"/>
        </w:rPr>
      </w:pPr>
      <w:r w:rsidRPr="00545EC0">
        <w:rPr>
          <w:rFonts w:cs="Arial"/>
        </w:rPr>
        <w:t>Produktivnost</w:t>
      </w:r>
      <w:r w:rsidR="00B9666E" w:rsidRPr="00545EC0">
        <w:rPr>
          <w:rFonts w:cs="Arial"/>
        </w:rPr>
        <w:t xml:space="preserve"> sicer ostaja relativno nizka</w:t>
      </w:r>
      <w:r w:rsidR="00F10629" w:rsidRPr="00545EC0">
        <w:rPr>
          <w:rFonts w:cs="Arial"/>
        </w:rPr>
        <w:t xml:space="preserve"> (</w:t>
      </w:r>
      <w:r w:rsidR="00B9666E" w:rsidRPr="00545EC0">
        <w:rPr>
          <w:rFonts w:cs="Arial"/>
        </w:rPr>
        <w:t>82% povprečja EU v 2017), zaostanek na tem področju pa v celoti pojasnjuje relativno nizko raven gospodarske razvitosti Slovenije, merjeno s kazalnikom BDP na prebivalca. Stopnja zaposlenosti je namreč v Sloveniji vsa leta nad povprečjem v EU, v letu 2017 ga je presegla za 4%.</w:t>
      </w:r>
    </w:p>
    <w:p w14:paraId="3297A32E" w14:textId="77777777" w:rsidR="00B9666E" w:rsidRPr="00545EC0" w:rsidRDefault="00B9666E" w:rsidP="00B9666E">
      <w:pPr>
        <w:rPr>
          <w:rFonts w:cs="Arial"/>
        </w:rPr>
      </w:pPr>
    </w:p>
    <w:p w14:paraId="7E5BE942" w14:textId="77777777" w:rsidR="00B9666E" w:rsidRPr="00545EC0" w:rsidRDefault="00B9666E" w:rsidP="00B9666E">
      <w:pPr>
        <w:rPr>
          <w:rFonts w:cs="Arial"/>
        </w:rPr>
      </w:pPr>
      <w:r w:rsidRPr="00545EC0">
        <w:rPr>
          <w:rFonts w:cs="Arial"/>
        </w:rPr>
        <w:t>K 4,1% gospodarski rasti je v letu 2018 s povečanjem dodane vrednosti prispevala večina proizvodnih dejavnosti. Največji je bil prispevek predelovalnih dejavnosti (0,7%), sledile so dejavnosti trgovina, vzdrževanje in popravila motornih vozil (0,6%), gradbeništvo (0,4%) ter promet in skladiščenje (0,4%).</w:t>
      </w:r>
    </w:p>
    <w:p w14:paraId="2710891B" w14:textId="77777777" w:rsidR="00B9666E" w:rsidRPr="00545EC0" w:rsidRDefault="00B9666E" w:rsidP="00B9666E">
      <w:pPr>
        <w:rPr>
          <w:rFonts w:cs="Arial"/>
        </w:rPr>
      </w:pPr>
    </w:p>
    <w:p w14:paraId="40689B83" w14:textId="1913AC4F" w:rsidR="00B9666E" w:rsidRPr="00545EC0" w:rsidRDefault="00B9666E" w:rsidP="00B9666E">
      <w:pPr>
        <w:rPr>
          <w:rFonts w:cs="Arial"/>
        </w:rPr>
      </w:pPr>
      <w:r w:rsidRPr="00545EC0">
        <w:rPr>
          <w:rFonts w:cs="Arial"/>
        </w:rPr>
        <w:t xml:space="preserve">Največ bruto dodane vrednosti se v Sloveniji ustvari v sektorju </w:t>
      </w:r>
      <w:r w:rsidR="00F10629" w:rsidRPr="00545EC0">
        <w:rPr>
          <w:rFonts w:cs="Arial"/>
        </w:rPr>
        <w:t>g</w:t>
      </w:r>
      <w:r w:rsidRPr="00545EC0">
        <w:rPr>
          <w:rFonts w:cs="Arial"/>
        </w:rPr>
        <w:t>ospodarstvo</w:t>
      </w:r>
      <w:r w:rsidR="00F10629" w:rsidRPr="00545EC0">
        <w:rPr>
          <w:rFonts w:cs="Arial"/>
        </w:rPr>
        <w:t xml:space="preserve"> </w:t>
      </w:r>
      <w:r w:rsidRPr="00545EC0">
        <w:rPr>
          <w:rFonts w:cs="Arial"/>
        </w:rPr>
        <w:t xml:space="preserve">(več kot polovico). K visoki bruto dodani vrednosti v sektorju </w:t>
      </w:r>
      <w:r w:rsidR="00F10629" w:rsidRPr="00545EC0">
        <w:rPr>
          <w:rFonts w:cs="Arial"/>
        </w:rPr>
        <w:t>g</w:t>
      </w:r>
      <w:r w:rsidRPr="00545EC0">
        <w:rPr>
          <w:rFonts w:cs="Arial"/>
        </w:rPr>
        <w:t xml:space="preserve">ospodarstvo. </w:t>
      </w:r>
    </w:p>
    <w:p w14:paraId="0822CE1B" w14:textId="77777777" w:rsidR="00B9666E" w:rsidRPr="00545EC0" w:rsidRDefault="00B9666E" w:rsidP="00B9666E">
      <w:pPr>
        <w:rPr>
          <w:rFonts w:cs="Arial"/>
        </w:rPr>
      </w:pPr>
    </w:p>
    <w:p w14:paraId="3A49894C" w14:textId="1957F7A5" w:rsidR="00B9666E" w:rsidRPr="00545EC0" w:rsidRDefault="00B9666E" w:rsidP="00B9666E">
      <w:pPr>
        <w:rPr>
          <w:rFonts w:cs="Arial"/>
        </w:rPr>
      </w:pPr>
      <w:r w:rsidRPr="00545EC0">
        <w:rPr>
          <w:rFonts w:cs="Arial"/>
        </w:rPr>
        <w:t xml:space="preserve">Sektorju </w:t>
      </w:r>
      <w:r w:rsidR="00F10629" w:rsidRPr="00545EC0">
        <w:rPr>
          <w:rFonts w:cs="Arial"/>
        </w:rPr>
        <w:t>g</w:t>
      </w:r>
      <w:r w:rsidRPr="00545EC0">
        <w:rPr>
          <w:rFonts w:cs="Arial"/>
        </w:rPr>
        <w:t xml:space="preserve">ospodinjstvo sledita sektor </w:t>
      </w:r>
      <w:r w:rsidR="00F10629" w:rsidRPr="00545EC0">
        <w:rPr>
          <w:rFonts w:cs="Arial"/>
        </w:rPr>
        <w:t>g</w:t>
      </w:r>
      <w:r w:rsidRPr="00545EC0">
        <w:rPr>
          <w:rFonts w:cs="Arial"/>
        </w:rPr>
        <w:t xml:space="preserve">ospodarstvo in sektor </w:t>
      </w:r>
      <w:r w:rsidR="00F10629" w:rsidRPr="00545EC0">
        <w:rPr>
          <w:rFonts w:cs="Arial"/>
        </w:rPr>
        <w:t>k</w:t>
      </w:r>
      <w:r w:rsidRPr="00545EC0">
        <w:rPr>
          <w:rFonts w:cs="Arial"/>
        </w:rPr>
        <w:t>metijstvo. BDP se je v letu 2017 povečal za 5%. Glavni dejavnik je bil tako kot v letu 2016, gospodarska rast; izvoz se je povečal za 10,6%. BDP za gospodinjstva se je povečal za 3,2%.</w:t>
      </w:r>
    </w:p>
    <w:p w14:paraId="35AD7D63" w14:textId="5EC441AB" w:rsidR="00B9666E" w:rsidRPr="00545EC0" w:rsidRDefault="00B9666E" w:rsidP="00B9666E">
      <w:pPr>
        <w:pStyle w:val="Naslov4"/>
        <w:ind w:left="1573" w:hanging="1573"/>
        <w:rPr>
          <w:color w:val="auto"/>
        </w:rPr>
      </w:pPr>
      <w:bookmarkStart w:id="403" w:name="_Toc74290407"/>
      <w:r w:rsidRPr="00545EC0">
        <w:rPr>
          <w:color w:val="auto"/>
        </w:rPr>
        <w:t xml:space="preserve">Analiza gospodarskega pomena sektorja </w:t>
      </w:r>
      <w:bookmarkEnd w:id="403"/>
      <w:r w:rsidR="00995D8E" w:rsidRPr="00545EC0">
        <w:rPr>
          <w:color w:val="auto"/>
          <w:lang w:val="sl-SI"/>
        </w:rPr>
        <w:t>g</w:t>
      </w:r>
      <w:r w:rsidRPr="00545EC0">
        <w:rPr>
          <w:color w:val="auto"/>
        </w:rPr>
        <w:t>ospodinjstvo</w:t>
      </w:r>
    </w:p>
    <w:p w14:paraId="0C053BE9" w14:textId="7935AD09" w:rsidR="00B9666E" w:rsidRPr="00545EC0" w:rsidRDefault="00B9666E" w:rsidP="00B9666E">
      <w:pPr>
        <w:tabs>
          <w:tab w:val="num" w:pos="360"/>
          <w:tab w:val="num" w:pos="567"/>
          <w:tab w:val="left" w:pos="9600"/>
        </w:tabs>
        <w:spacing w:before="120"/>
        <w:rPr>
          <w:szCs w:val="20"/>
        </w:rPr>
      </w:pPr>
      <w:r w:rsidRPr="00545EC0">
        <w:rPr>
          <w:szCs w:val="20"/>
        </w:rPr>
        <w:t xml:space="preserve">Za rabo vode za lastno oskrbo s pitno vodo ali oskrbo s pitno vodo, ki se izvaja kot gospodarska javna služba, je treba v skladu s 125. </w:t>
      </w:r>
      <w:r w:rsidR="00995D8E" w:rsidRPr="00545EC0">
        <w:rPr>
          <w:szCs w:val="20"/>
        </w:rPr>
        <w:t>č</w:t>
      </w:r>
      <w:r w:rsidRPr="00545EC0">
        <w:rPr>
          <w:szCs w:val="20"/>
        </w:rPr>
        <w:t xml:space="preserve">lenom ZV-1 pridobiti vodno pravico na podlagi vodnega dovoljenja. Imetnik vodne pravice mora v skladu s 124. </w:t>
      </w:r>
      <w:r w:rsidR="00995D8E" w:rsidRPr="00545EC0">
        <w:rPr>
          <w:szCs w:val="20"/>
        </w:rPr>
        <w:t xml:space="preserve">členom </w:t>
      </w:r>
      <w:r w:rsidRPr="00545EC0">
        <w:rPr>
          <w:szCs w:val="20"/>
        </w:rPr>
        <w:t>ZV-1 in 1.</w:t>
      </w:r>
      <w:r w:rsidR="00995D8E" w:rsidRPr="00545EC0">
        <w:rPr>
          <w:szCs w:val="20"/>
        </w:rPr>
        <w:t xml:space="preserve"> členom</w:t>
      </w:r>
      <w:r w:rsidRPr="00545EC0">
        <w:rPr>
          <w:szCs w:val="20"/>
        </w:rPr>
        <w:t xml:space="preserve"> Uredbe o vodnih povračilih za rabo vode za oskrbo s pitno vodo plačevati vodno povračilo, sorazmerno obsegu vodne pravice. V nadaljevanju so predstavljeni prihodki vodnih</w:t>
      </w:r>
      <w:r w:rsidR="00D5428C" w:rsidRPr="00545EC0">
        <w:rPr>
          <w:szCs w:val="20"/>
        </w:rPr>
        <w:t xml:space="preserve"> povračil za omenjeni rabi.</w:t>
      </w:r>
    </w:p>
    <w:p w14:paraId="3FD81104" w14:textId="77777777" w:rsidR="00B9666E" w:rsidRPr="00545EC0" w:rsidRDefault="00B9666E" w:rsidP="00B9666E">
      <w:pPr>
        <w:tabs>
          <w:tab w:val="num" w:pos="360"/>
          <w:tab w:val="num" w:pos="567"/>
          <w:tab w:val="left" w:pos="9600"/>
        </w:tabs>
        <w:spacing w:before="120"/>
        <w:rPr>
          <w:szCs w:val="20"/>
        </w:rPr>
      </w:pPr>
      <w:r w:rsidRPr="00545EC0">
        <w:rPr>
          <w:szCs w:val="20"/>
        </w:rPr>
        <w:t>Po podatkih SURS je bilo v letu 2019 iz javnega vodovoda v gospodinjstva dobavljene 47% vse vode. Ostalim dejavnostim je bilo dobavljene 22% vode, izgub je bilo 28%. Od leta 2012 do leta 2019 se je zgradilo 11.940 km omrežja, kar predstavlja 35% podaljšanje vodovodnega omrežja v tem obdobju.</w:t>
      </w:r>
    </w:p>
    <w:p w14:paraId="5F11A935" w14:textId="77777777" w:rsidR="00B9666E" w:rsidRPr="00545EC0" w:rsidRDefault="00B9666E" w:rsidP="00B9666E">
      <w:pPr>
        <w:tabs>
          <w:tab w:val="num" w:pos="360"/>
          <w:tab w:val="num" w:pos="567"/>
          <w:tab w:val="left" w:pos="9600"/>
        </w:tabs>
        <w:spacing w:before="120"/>
        <w:rPr>
          <w:szCs w:val="20"/>
        </w:rPr>
      </w:pPr>
      <w:r w:rsidRPr="00545EC0">
        <w:rPr>
          <w:szCs w:val="20"/>
        </w:rPr>
        <w:t>V sektorju gospodinjstva so obravnavane tudi dajatve zaradi odvajanja komunalne odpadne vode.</w:t>
      </w:r>
    </w:p>
    <w:p w14:paraId="4FB2FFC0" w14:textId="1B3C3206" w:rsidR="00B9666E" w:rsidRPr="00545EC0" w:rsidRDefault="00B9666E" w:rsidP="00B9666E">
      <w:pPr>
        <w:pStyle w:val="Naslov4"/>
        <w:ind w:left="1573" w:hanging="1573"/>
        <w:rPr>
          <w:color w:val="auto"/>
        </w:rPr>
      </w:pPr>
      <w:r w:rsidRPr="00545EC0">
        <w:rPr>
          <w:color w:val="auto"/>
        </w:rPr>
        <w:t xml:space="preserve">Analiza gospodarskega pomena sektorja </w:t>
      </w:r>
      <w:r w:rsidR="00995D8E" w:rsidRPr="00545EC0">
        <w:rPr>
          <w:color w:val="auto"/>
          <w:lang w:val="sl-SI"/>
        </w:rPr>
        <w:t>g</w:t>
      </w:r>
      <w:r w:rsidRPr="00545EC0">
        <w:rPr>
          <w:color w:val="auto"/>
        </w:rPr>
        <w:t>ospodarstvo</w:t>
      </w:r>
    </w:p>
    <w:p w14:paraId="77E7884D" w14:textId="2EFE0208" w:rsidR="00B9666E" w:rsidRPr="00545EC0" w:rsidRDefault="00B9666E" w:rsidP="00B9666E">
      <w:pPr>
        <w:rPr>
          <w:rFonts w:cs="Arial"/>
          <w:bCs/>
          <w:szCs w:val="20"/>
          <w:lang w:eastAsia="x-none"/>
        </w:rPr>
      </w:pPr>
      <w:r w:rsidRPr="00545EC0">
        <w:rPr>
          <w:rFonts w:cs="Arial"/>
          <w:bCs/>
          <w:szCs w:val="20"/>
          <w:lang w:eastAsia="x-none"/>
        </w:rPr>
        <w:t>V okviru sektorja gospodarstvo  so obravnavani podsektorji industrija, energetika, promet in turizem. Glavne industrijske panoge v Sloveniji glede na podatke so bile naslednje:</w:t>
      </w:r>
    </w:p>
    <w:p w14:paraId="0864F1F4" w14:textId="77777777" w:rsidR="00B9666E" w:rsidRPr="00545EC0" w:rsidRDefault="00B9666E" w:rsidP="00B9666E">
      <w:pPr>
        <w:rPr>
          <w:rFonts w:cs="Arial"/>
          <w:bCs/>
          <w:szCs w:val="20"/>
          <w:lang w:eastAsia="x-none"/>
        </w:rPr>
      </w:pPr>
    </w:p>
    <w:p w14:paraId="23A2DA69" w14:textId="77777777" w:rsidR="00B9666E" w:rsidRPr="00545EC0" w:rsidRDefault="00B9666E" w:rsidP="00B9666E">
      <w:pPr>
        <w:rPr>
          <w:rFonts w:cs="Arial"/>
          <w:b/>
          <w:bCs/>
          <w:szCs w:val="20"/>
          <w:lang w:eastAsia="x-none"/>
        </w:rPr>
      </w:pPr>
      <w:r w:rsidRPr="00545EC0">
        <w:rPr>
          <w:rFonts w:cs="Arial"/>
          <w:b/>
          <w:bCs/>
          <w:szCs w:val="20"/>
          <w:lang w:eastAsia="x-none"/>
        </w:rPr>
        <w:t>Industrija</w:t>
      </w:r>
    </w:p>
    <w:p w14:paraId="39A1AD89" w14:textId="77777777" w:rsidR="00B9666E" w:rsidRPr="00545EC0" w:rsidRDefault="00B9666E" w:rsidP="00B9666E">
      <w:pPr>
        <w:rPr>
          <w:rFonts w:cs="Arial"/>
          <w:bCs/>
          <w:szCs w:val="20"/>
          <w:lang w:eastAsia="x-none"/>
        </w:rPr>
      </w:pPr>
    </w:p>
    <w:p w14:paraId="0A8B2DE0" w14:textId="6F57DE7A" w:rsidR="00B9666E" w:rsidRPr="00545EC0" w:rsidRDefault="00B9666E" w:rsidP="00B9666E">
      <w:pPr>
        <w:rPr>
          <w:rFonts w:cs="Arial"/>
          <w:bCs/>
          <w:szCs w:val="20"/>
          <w:lang w:eastAsia="x-none"/>
        </w:rPr>
      </w:pPr>
      <w:r w:rsidRPr="00545EC0">
        <w:rPr>
          <w:rFonts w:cs="Arial"/>
          <w:bCs/>
          <w:szCs w:val="20"/>
          <w:lang w:eastAsia="x-none"/>
        </w:rPr>
        <w:t>V okviru industrije so obravnavane predelovalne dejavnosti in rudarstvo. Glavne industrijske panoge v Sloveniji</w:t>
      </w:r>
      <w:r w:rsidR="00995D8E" w:rsidRPr="00545EC0">
        <w:rPr>
          <w:rFonts w:cs="Arial"/>
          <w:bCs/>
          <w:szCs w:val="20"/>
          <w:lang w:eastAsia="x-none"/>
        </w:rPr>
        <w:t>,</w:t>
      </w:r>
      <w:r w:rsidRPr="00545EC0">
        <w:rPr>
          <w:rFonts w:cs="Arial"/>
          <w:bCs/>
          <w:szCs w:val="20"/>
          <w:lang w:eastAsia="x-none"/>
        </w:rPr>
        <w:t xml:space="preserve"> glede na podatke o </w:t>
      </w:r>
      <w:r w:rsidR="00995D8E" w:rsidRPr="00545EC0">
        <w:rPr>
          <w:rFonts w:cs="Arial"/>
          <w:bCs/>
          <w:szCs w:val="20"/>
          <w:lang w:eastAsia="x-none"/>
        </w:rPr>
        <w:t xml:space="preserve">bruto dodani vrednosti </w:t>
      </w:r>
      <w:r w:rsidRPr="00545EC0">
        <w:rPr>
          <w:rFonts w:cs="Arial"/>
          <w:bCs/>
          <w:szCs w:val="20"/>
          <w:lang w:eastAsia="x-none"/>
        </w:rPr>
        <w:t>in zaposlenosti so bile v letu 2017 naslednje:</w:t>
      </w:r>
    </w:p>
    <w:p w14:paraId="730C6BF1" w14:textId="77777777" w:rsidR="00B9666E" w:rsidRPr="00545EC0" w:rsidRDefault="00B9666E" w:rsidP="00DD37C5">
      <w:pPr>
        <w:pStyle w:val="Odstavekseznama"/>
        <w:numPr>
          <w:ilvl w:val="0"/>
          <w:numId w:val="109"/>
        </w:numPr>
        <w:tabs>
          <w:tab w:val="left" w:pos="9600"/>
        </w:tabs>
        <w:overflowPunct/>
        <w:autoSpaceDE/>
        <w:autoSpaceDN/>
        <w:adjustRightInd/>
        <w:textAlignment w:val="auto"/>
        <w:rPr>
          <w:szCs w:val="20"/>
        </w:rPr>
      </w:pPr>
      <w:r w:rsidRPr="00545EC0">
        <w:rPr>
          <w:szCs w:val="20"/>
        </w:rPr>
        <w:t>proizvodnja kovinskih izdelkov, razen strojev in naprav,</w:t>
      </w:r>
    </w:p>
    <w:p w14:paraId="3E95FE2D" w14:textId="77777777" w:rsidR="00B9666E" w:rsidRPr="00545EC0" w:rsidRDefault="00B9666E" w:rsidP="00DD37C5">
      <w:pPr>
        <w:pStyle w:val="Odstavekseznama"/>
        <w:numPr>
          <w:ilvl w:val="0"/>
          <w:numId w:val="109"/>
        </w:numPr>
        <w:tabs>
          <w:tab w:val="left" w:pos="9600"/>
        </w:tabs>
        <w:overflowPunct/>
        <w:autoSpaceDE/>
        <w:autoSpaceDN/>
        <w:adjustRightInd/>
        <w:textAlignment w:val="auto"/>
        <w:rPr>
          <w:szCs w:val="20"/>
        </w:rPr>
      </w:pPr>
      <w:r w:rsidRPr="00545EC0">
        <w:rPr>
          <w:szCs w:val="20"/>
        </w:rPr>
        <w:t xml:space="preserve">proizvodnja farmacevtskih surovin in preparatov, </w:t>
      </w:r>
    </w:p>
    <w:p w14:paraId="1B44E755" w14:textId="77777777" w:rsidR="00B9666E" w:rsidRPr="00545EC0" w:rsidRDefault="00B9666E" w:rsidP="00DD37C5">
      <w:pPr>
        <w:pStyle w:val="Odstavekseznama"/>
        <w:numPr>
          <w:ilvl w:val="0"/>
          <w:numId w:val="109"/>
        </w:numPr>
        <w:tabs>
          <w:tab w:val="left" w:pos="9600"/>
        </w:tabs>
        <w:overflowPunct/>
        <w:autoSpaceDE/>
        <w:autoSpaceDN/>
        <w:adjustRightInd/>
        <w:textAlignment w:val="auto"/>
        <w:rPr>
          <w:szCs w:val="20"/>
        </w:rPr>
      </w:pPr>
      <w:r w:rsidRPr="00545EC0">
        <w:rPr>
          <w:szCs w:val="20"/>
        </w:rPr>
        <w:t>proizvodnja električnih naprav,</w:t>
      </w:r>
    </w:p>
    <w:p w14:paraId="3D6B5955" w14:textId="77777777" w:rsidR="00B9666E" w:rsidRPr="00545EC0" w:rsidRDefault="00B9666E" w:rsidP="00DD37C5">
      <w:pPr>
        <w:pStyle w:val="Odstavekseznama"/>
        <w:numPr>
          <w:ilvl w:val="0"/>
          <w:numId w:val="109"/>
        </w:numPr>
        <w:tabs>
          <w:tab w:val="left" w:pos="9600"/>
        </w:tabs>
        <w:overflowPunct/>
        <w:autoSpaceDE/>
        <w:autoSpaceDN/>
        <w:adjustRightInd/>
        <w:textAlignment w:val="auto"/>
        <w:rPr>
          <w:szCs w:val="20"/>
        </w:rPr>
      </w:pPr>
      <w:r w:rsidRPr="00545EC0">
        <w:rPr>
          <w:szCs w:val="20"/>
        </w:rPr>
        <w:t>proizvodnja motornih vozil, prikolic in polprikolic,</w:t>
      </w:r>
    </w:p>
    <w:p w14:paraId="5A4EE739" w14:textId="77777777" w:rsidR="00B9666E" w:rsidRPr="00545EC0" w:rsidRDefault="00B9666E" w:rsidP="00DD37C5">
      <w:pPr>
        <w:pStyle w:val="Odstavekseznama"/>
        <w:numPr>
          <w:ilvl w:val="0"/>
          <w:numId w:val="109"/>
        </w:numPr>
        <w:tabs>
          <w:tab w:val="left" w:pos="9600"/>
        </w:tabs>
        <w:overflowPunct/>
        <w:autoSpaceDE/>
        <w:autoSpaceDN/>
        <w:adjustRightInd/>
        <w:textAlignment w:val="auto"/>
        <w:rPr>
          <w:szCs w:val="20"/>
        </w:rPr>
      </w:pPr>
      <w:r w:rsidRPr="00545EC0">
        <w:rPr>
          <w:szCs w:val="20"/>
        </w:rPr>
        <w:t xml:space="preserve">proizvodnja živil, </w:t>
      </w:r>
    </w:p>
    <w:p w14:paraId="20094B47" w14:textId="77777777" w:rsidR="00B9666E" w:rsidRPr="00545EC0" w:rsidRDefault="00B9666E" w:rsidP="00DD37C5">
      <w:pPr>
        <w:pStyle w:val="Odstavekseznama"/>
        <w:numPr>
          <w:ilvl w:val="0"/>
          <w:numId w:val="109"/>
        </w:numPr>
        <w:tabs>
          <w:tab w:val="left" w:pos="9600"/>
        </w:tabs>
        <w:overflowPunct/>
        <w:autoSpaceDE/>
        <w:autoSpaceDN/>
        <w:adjustRightInd/>
        <w:textAlignment w:val="auto"/>
        <w:rPr>
          <w:szCs w:val="20"/>
        </w:rPr>
      </w:pPr>
      <w:r w:rsidRPr="00545EC0">
        <w:rPr>
          <w:szCs w:val="20"/>
        </w:rPr>
        <w:t xml:space="preserve">proizvodnja drugih strojev in naprav in </w:t>
      </w:r>
    </w:p>
    <w:p w14:paraId="1F99A6E8" w14:textId="77777777" w:rsidR="00B9666E" w:rsidRPr="00545EC0" w:rsidRDefault="00B9666E" w:rsidP="00DD37C5">
      <w:pPr>
        <w:pStyle w:val="Odstavekseznama"/>
        <w:numPr>
          <w:ilvl w:val="0"/>
          <w:numId w:val="109"/>
        </w:numPr>
        <w:tabs>
          <w:tab w:val="left" w:pos="9600"/>
        </w:tabs>
        <w:overflowPunct/>
        <w:autoSpaceDE/>
        <w:autoSpaceDN/>
        <w:adjustRightInd/>
        <w:textAlignment w:val="auto"/>
        <w:rPr>
          <w:szCs w:val="20"/>
        </w:rPr>
      </w:pPr>
      <w:r w:rsidRPr="00545EC0">
        <w:rPr>
          <w:szCs w:val="20"/>
        </w:rPr>
        <w:t>proizvodnja izdelkov iz gume in plastičnih mas.</w:t>
      </w:r>
    </w:p>
    <w:p w14:paraId="64A4CA07" w14:textId="77777777" w:rsidR="00B9666E" w:rsidRPr="00545EC0" w:rsidRDefault="00B9666E" w:rsidP="00B9666E">
      <w:pPr>
        <w:rPr>
          <w:rFonts w:cs="Arial"/>
          <w:bCs/>
          <w:szCs w:val="20"/>
          <w:lang w:eastAsia="x-none"/>
        </w:rPr>
      </w:pPr>
    </w:p>
    <w:p w14:paraId="20E74DC7" w14:textId="77777777" w:rsidR="00B9666E" w:rsidRPr="00545EC0" w:rsidRDefault="00B9666E" w:rsidP="00B9666E">
      <w:pPr>
        <w:rPr>
          <w:rFonts w:cs="Arial"/>
          <w:b/>
          <w:bCs/>
          <w:szCs w:val="20"/>
          <w:lang w:eastAsia="x-none"/>
        </w:rPr>
      </w:pPr>
      <w:r w:rsidRPr="00545EC0">
        <w:rPr>
          <w:rFonts w:cs="Arial"/>
          <w:b/>
          <w:bCs/>
          <w:szCs w:val="20"/>
          <w:lang w:eastAsia="x-none"/>
        </w:rPr>
        <w:t>Energetika</w:t>
      </w:r>
    </w:p>
    <w:p w14:paraId="26C49B81" w14:textId="77777777" w:rsidR="00B9666E" w:rsidRPr="00545EC0" w:rsidRDefault="00B9666E" w:rsidP="00B9666E">
      <w:pPr>
        <w:rPr>
          <w:rFonts w:cs="Arial"/>
          <w:bCs/>
          <w:szCs w:val="20"/>
          <w:lang w:eastAsia="x-none"/>
        </w:rPr>
      </w:pPr>
    </w:p>
    <w:p w14:paraId="73D8E958" w14:textId="060048A4" w:rsidR="00B9666E" w:rsidRPr="00545EC0" w:rsidRDefault="00B9666E" w:rsidP="00B9666E">
      <w:pPr>
        <w:rPr>
          <w:rFonts w:cs="Arial"/>
          <w:bCs/>
          <w:szCs w:val="20"/>
          <w:lang w:eastAsia="x-none"/>
        </w:rPr>
      </w:pPr>
      <w:r w:rsidRPr="00545EC0">
        <w:rPr>
          <w:rFonts w:cs="Arial"/>
          <w:bCs/>
          <w:szCs w:val="20"/>
          <w:lang w:eastAsia="x-none"/>
        </w:rPr>
        <w:lastRenderedPageBreak/>
        <w:t xml:space="preserve">Na vodnem območju Donave se električna energija proizvaja v jedrski elektrarni in termoelektrarnah ter iz obnovljivih virov energije (v nadaljevanju OVE). </w:t>
      </w:r>
    </w:p>
    <w:p w14:paraId="7C562913" w14:textId="77777777" w:rsidR="00995D8E" w:rsidRPr="00545EC0" w:rsidRDefault="00995D8E" w:rsidP="00B9666E">
      <w:pPr>
        <w:rPr>
          <w:rFonts w:cs="Arial"/>
          <w:bCs/>
          <w:szCs w:val="20"/>
          <w:lang w:eastAsia="x-none"/>
        </w:rPr>
      </w:pPr>
    </w:p>
    <w:p w14:paraId="637CB83F" w14:textId="77777777" w:rsidR="00B9666E" w:rsidRPr="00545EC0" w:rsidRDefault="00B9666E" w:rsidP="00B9666E">
      <w:pPr>
        <w:rPr>
          <w:rFonts w:cs="Arial"/>
          <w:bCs/>
          <w:szCs w:val="20"/>
          <w:lang w:eastAsia="x-none"/>
        </w:rPr>
      </w:pPr>
      <w:r w:rsidRPr="00545EC0">
        <w:rPr>
          <w:rFonts w:cs="Arial"/>
          <w:bCs/>
          <w:szCs w:val="20"/>
          <w:lang w:eastAsia="x-none"/>
        </w:rPr>
        <w:t>Iz obnovljivih virov energije (OVE) je bilo v letu 2017 proizvedeno 4.443 GWh električne energije. Glede na leto prej se je proizvodnja zmanjšala za 12,1%. Največ električne energije iz OVE je v Sloveniji proizvedeno v hidroelektrarnah. Dejanska proizvodnja v hidroelektrarnah se letno močno spreminja, saj je odvisna od hidroloških razmer. V letu 2017 je znašala 3.868 GWh in je prispevala 87% skupne proizvodnje električne energije iz OVE.</w:t>
      </w:r>
    </w:p>
    <w:p w14:paraId="42B53CA7" w14:textId="77777777" w:rsidR="00B9666E" w:rsidRPr="00545EC0" w:rsidRDefault="00B9666E" w:rsidP="00B9666E">
      <w:pPr>
        <w:rPr>
          <w:rFonts w:cs="Arial"/>
          <w:bCs/>
        </w:rPr>
      </w:pPr>
      <w:r w:rsidRPr="00545EC0">
        <w:rPr>
          <w:rFonts w:cs="Arial"/>
          <w:bCs/>
        </w:rPr>
        <w:t>V sektor gospodarstvo so vključene dejavnosti gradbeništvo, trgovina, vzdrževanje in popravila motornih vozil, gostinstvo, promet in skladiščenje, informacijske in komunikacijske dejavnosti, finančne in zavarovalniške dejavnosti, poslovanje z nepremičninami, strokovne, znanstvene in tehnične dejavnosti, druge raznovrstne poslovne dejavnosti in druge storitvene dejavnosti ter dejavnost eksteritorialnih organizacij in teles.</w:t>
      </w:r>
    </w:p>
    <w:p w14:paraId="3DE49E7F" w14:textId="77777777" w:rsidR="00B9666E" w:rsidRPr="00545EC0" w:rsidRDefault="00B9666E" w:rsidP="00B9666E">
      <w:pPr>
        <w:rPr>
          <w:rFonts w:cs="Arial"/>
        </w:rPr>
      </w:pPr>
    </w:p>
    <w:p w14:paraId="06A14116" w14:textId="77777777" w:rsidR="00B9666E" w:rsidRPr="00545EC0" w:rsidRDefault="00B9666E" w:rsidP="00B9666E">
      <w:pPr>
        <w:rPr>
          <w:rFonts w:cs="Arial"/>
        </w:rPr>
      </w:pPr>
      <w:r w:rsidRPr="00545EC0">
        <w:rPr>
          <w:rFonts w:cs="Arial"/>
        </w:rPr>
        <w:t xml:space="preserve">Promet, ki je osnova za gospodarski razvoj vsake države, je pomemben tudi z vidika obremenjevanja voda. V zadnjih letih v Sloveniji najbolj narašča cestni promet, tako potniški (v povprečju ima avto že vsak drugi Slovenec) kot tudi blagovni. Tudi zračni in pristaniški blagovni promet naraščata. Železniški blagovni prevoz kljub slabi infrastrukturi postopoma narašča, vendar močno zaostaja za rastjo v cestnem ali zračnem prometu. </w:t>
      </w:r>
    </w:p>
    <w:p w14:paraId="734A9F63" w14:textId="77777777" w:rsidR="00B9666E" w:rsidRPr="00545EC0" w:rsidRDefault="00B9666E" w:rsidP="00B9666E">
      <w:pPr>
        <w:rPr>
          <w:rFonts w:cs="Arial"/>
        </w:rPr>
      </w:pPr>
    </w:p>
    <w:p w14:paraId="10D1943A" w14:textId="77777777" w:rsidR="00B9666E" w:rsidRPr="00545EC0" w:rsidRDefault="00B9666E" w:rsidP="00B9666E">
      <w:pPr>
        <w:tabs>
          <w:tab w:val="left" w:pos="708"/>
        </w:tabs>
        <w:overflowPunct/>
        <w:autoSpaceDE/>
        <w:autoSpaceDN/>
        <w:adjustRightInd/>
        <w:textAlignment w:val="auto"/>
        <w:rPr>
          <w:rFonts w:cs="Arial"/>
          <w:szCs w:val="22"/>
          <w:lang w:eastAsia="ja-JP"/>
        </w:rPr>
      </w:pPr>
      <w:r w:rsidRPr="00545EC0">
        <w:rPr>
          <w:rFonts w:cs="Arial"/>
          <w:szCs w:val="22"/>
          <w:lang w:eastAsia="ja-JP"/>
        </w:rPr>
        <w:t xml:space="preserve">Pomembna panoga slovenskega gospodarstva je tudi turizem. Slovenski turizem v zadnjih desetih letih izkazuje izrazito pozitivna gibanja rasti števila turistov, prenočitev in prilivov iz turizma. </w:t>
      </w:r>
    </w:p>
    <w:p w14:paraId="533020E7" w14:textId="77777777" w:rsidR="00B9666E" w:rsidRPr="00545EC0" w:rsidRDefault="00B9666E" w:rsidP="00B9666E">
      <w:pPr>
        <w:tabs>
          <w:tab w:val="left" w:pos="708"/>
        </w:tabs>
        <w:overflowPunct/>
        <w:autoSpaceDE/>
        <w:autoSpaceDN/>
        <w:adjustRightInd/>
        <w:textAlignment w:val="auto"/>
        <w:rPr>
          <w:rFonts w:cs="Arial"/>
          <w:szCs w:val="22"/>
          <w:lang w:eastAsia="ja-JP"/>
        </w:rPr>
      </w:pPr>
    </w:p>
    <w:p w14:paraId="786B21B8" w14:textId="77777777" w:rsidR="00B9666E" w:rsidRPr="00545EC0" w:rsidRDefault="00B9666E" w:rsidP="00B9666E">
      <w:pPr>
        <w:tabs>
          <w:tab w:val="left" w:pos="708"/>
        </w:tabs>
        <w:overflowPunct/>
        <w:autoSpaceDE/>
        <w:autoSpaceDN/>
        <w:adjustRightInd/>
        <w:textAlignment w:val="auto"/>
        <w:rPr>
          <w:rFonts w:cs="Arial"/>
          <w:szCs w:val="22"/>
          <w:lang w:eastAsia="ja-JP"/>
        </w:rPr>
      </w:pPr>
      <w:r w:rsidRPr="00545EC0">
        <w:rPr>
          <w:rFonts w:cs="Arial"/>
          <w:szCs w:val="22"/>
          <w:lang w:eastAsia="ja-JP"/>
        </w:rPr>
        <w:t>Slovenija črpa velik del svojih turističnih možnosti prav iz vodnega bogastva: nahajališča termalnih in mineralnih voda so osnova za zdraviliški turizem, morje za obmorski turizem, alpska jezera (največji sta Blejsko in Bohinjsko jezero) ter slikovite reke in slapovi za gorski turizem. Z vodo je povezan tudi nastanek številnih jam v kraškem podzemlju. Ena izmed turističnih in rekreacijskih aktivnosti je prostočasni ribolov na celinskih vodah in morju.</w:t>
      </w:r>
    </w:p>
    <w:p w14:paraId="40F98DF3" w14:textId="77777777" w:rsidR="00B9666E" w:rsidRPr="00545EC0" w:rsidRDefault="00B9666E" w:rsidP="00B9666E">
      <w:pPr>
        <w:spacing w:before="240" w:after="240"/>
        <w:rPr>
          <w:rFonts w:cs="Arial"/>
        </w:rPr>
      </w:pPr>
      <w:r w:rsidRPr="00545EC0">
        <w:rPr>
          <w:rFonts w:cs="Arial"/>
        </w:rPr>
        <w:t>Pomembna dejavnost povezana z obremenjevanjem voda je odvajanje in čiščenje komunalne odpadne vode in raba vode za oskrbo s pitno vodo.</w:t>
      </w:r>
    </w:p>
    <w:p w14:paraId="3E62CD3A" w14:textId="24A0D0F5" w:rsidR="00B9666E" w:rsidRPr="00545EC0" w:rsidRDefault="00B9666E" w:rsidP="00B9666E">
      <w:pPr>
        <w:spacing w:before="240" w:after="240"/>
        <w:rPr>
          <w:rFonts w:cs="Arial"/>
        </w:rPr>
      </w:pPr>
      <w:r w:rsidRPr="00545EC0">
        <w:rPr>
          <w:rFonts w:cs="Arial"/>
        </w:rPr>
        <w:t>Vključeni so podatki o oskrbi s pitno vodo, ki se izvaja kot gospodarska javna služba, in podatki o lastni oskrbi s pitno vodo, pri čemer ni upoštevana rab</w:t>
      </w:r>
      <w:r w:rsidR="00995D8E" w:rsidRPr="00545EC0">
        <w:rPr>
          <w:rFonts w:cs="Arial"/>
        </w:rPr>
        <w:t>a</w:t>
      </w:r>
      <w:r w:rsidRPr="00545EC0">
        <w:rPr>
          <w:rFonts w:cs="Arial"/>
        </w:rPr>
        <w:t xml:space="preserve"> vode iz vodnega vira za oskrbo s pitno vodo manj kot 50 prebivalcev, če letna količina iz vodnega vira odvzete vode ne presega 2.500 m</w:t>
      </w:r>
      <w:r w:rsidRPr="004168CD">
        <w:rPr>
          <w:rFonts w:cs="Arial"/>
          <w:vertAlign w:val="superscript"/>
        </w:rPr>
        <w:t>3</w:t>
      </w:r>
      <w:r w:rsidRPr="00545EC0">
        <w:rPr>
          <w:rFonts w:cs="Arial"/>
        </w:rPr>
        <w:t xml:space="preserve"> in vodni vir ni vključen v sistem javne oskrbe s pitno vodo. Najpomembnejši vodni vir na VO Donave so podzemna voda in izviri. Iz </w:t>
      </w:r>
      <w:r w:rsidR="00995D8E" w:rsidRPr="00545EC0">
        <w:rPr>
          <w:rFonts w:cs="Arial"/>
        </w:rPr>
        <w:t>v</w:t>
      </w:r>
      <w:r w:rsidRPr="00545EC0">
        <w:rPr>
          <w:rFonts w:cs="Arial"/>
        </w:rPr>
        <w:t>odotokov se odvzema zelo majhen dele</w:t>
      </w:r>
      <w:r w:rsidR="00D5428C" w:rsidRPr="00545EC0">
        <w:rPr>
          <w:rFonts w:cs="Arial"/>
        </w:rPr>
        <w:t>ž vode za oskrbo s pitno vodo.</w:t>
      </w:r>
    </w:p>
    <w:p w14:paraId="01991801" w14:textId="77777777" w:rsidR="00B9666E" w:rsidRPr="00545EC0" w:rsidRDefault="00B9666E">
      <w:pPr>
        <w:pStyle w:val="Naslov3"/>
      </w:pPr>
      <w:bookmarkStart w:id="404" w:name="_Toc428521967"/>
      <w:bookmarkStart w:id="405" w:name="_Toc430606167"/>
      <w:bookmarkStart w:id="406" w:name="_Toc462218157"/>
      <w:bookmarkStart w:id="407" w:name="_Toc90261033"/>
      <w:r w:rsidRPr="00545EC0">
        <w:t>Analiza trendov storitev, povezanih z obremenjevanjem voda</w:t>
      </w:r>
      <w:bookmarkEnd w:id="404"/>
      <w:bookmarkEnd w:id="405"/>
      <w:bookmarkEnd w:id="406"/>
      <w:bookmarkEnd w:id="407"/>
    </w:p>
    <w:p w14:paraId="27575E7D" w14:textId="456FE4A8" w:rsidR="00B9666E" w:rsidRPr="00545EC0" w:rsidRDefault="00B9666E" w:rsidP="00B9666E">
      <w:pPr>
        <w:rPr>
          <w:rFonts w:cs="Arial"/>
        </w:rPr>
      </w:pPr>
      <w:bookmarkStart w:id="408" w:name="_Toc405795552"/>
      <w:bookmarkStart w:id="409" w:name="_Toc390945478"/>
      <w:r w:rsidRPr="00545EC0">
        <w:rPr>
          <w:rFonts w:cs="Arial"/>
        </w:rPr>
        <w:t>Analiza obstoječega sistema plačevanja dajatev za rabo vode v Sloveniji je narejena po</w:t>
      </w:r>
      <w:r w:rsidR="00995D8E" w:rsidRPr="00545EC0">
        <w:rPr>
          <w:rFonts w:cs="Arial"/>
        </w:rPr>
        <w:t xml:space="preserve"> podatkih iz</w:t>
      </w:r>
      <w:r w:rsidRPr="00545EC0">
        <w:rPr>
          <w:rFonts w:cs="Arial"/>
        </w:rPr>
        <w:t xml:space="preserve"> treh sektorj</w:t>
      </w:r>
      <w:r w:rsidR="00995D8E" w:rsidRPr="00545EC0">
        <w:rPr>
          <w:rFonts w:cs="Arial"/>
        </w:rPr>
        <w:t>ev</w:t>
      </w:r>
      <w:r w:rsidRPr="00545EC0">
        <w:rPr>
          <w:rFonts w:cs="Arial"/>
        </w:rPr>
        <w:t xml:space="preserve"> (gospodinjstvo, gospodarstvo in kmetijstvo), v skladu s klasifikacijo iz </w:t>
      </w:r>
      <w:r w:rsidR="003A4DE7" w:rsidRPr="00545EC0">
        <w:rPr>
          <w:rFonts w:cs="Arial"/>
        </w:rPr>
        <w:t xml:space="preserve">predpisa, ki ureja </w:t>
      </w:r>
      <w:r w:rsidRPr="00545EC0">
        <w:rPr>
          <w:rFonts w:cs="Arial"/>
        </w:rPr>
        <w:t>klasifikacij</w:t>
      </w:r>
      <w:r w:rsidR="003A4DE7" w:rsidRPr="00545EC0">
        <w:rPr>
          <w:rFonts w:cs="Arial"/>
        </w:rPr>
        <w:t>o</w:t>
      </w:r>
      <w:r w:rsidRPr="00545EC0">
        <w:rPr>
          <w:rFonts w:cs="Arial"/>
        </w:rPr>
        <w:t xml:space="preserve"> vrst posebne rabe vode in naplavin. Pod sektor gospodinjstva je umeščeno še plačilo okoljskih dajatev zaradi odvajanja komunalne odpadne vode, pod sektor gospodarstva pa še plačilo okoljskih dajatev zaradi odvajanja industrijske o</w:t>
      </w:r>
      <w:r w:rsidR="005538DF" w:rsidRPr="00545EC0">
        <w:rPr>
          <w:rFonts w:cs="Arial"/>
        </w:rPr>
        <w:t xml:space="preserve">dpadne vode. </w:t>
      </w:r>
    </w:p>
    <w:p w14:paraId="5DD0A046" w14:textId="77777777" w:rsidR="00B9666E" w:rsidRPr="00545EC0" w:rsidRDefault="00B9666E" w:rsidP="00B9666E">
      <w:pPr>
        <w:rPr>
          <w:rFonts w:cs="Arial"/>
        </w:rPr>
      </w:pPr>
    </w:p>
    <w:p w14:paraId="7D7A9890" w14:textId="77777777" w:rsidR="005538DF" w:rsidRPr="00545EC0" w:rsidRDefault="00B9666E" w:rsidP="005538DF">
      <w:pPr>
        <w:keepNext/>
      </w:pPr>
      <w:r w:rsidRPr="00545EC0">
        <w:rPr>
          <w:noProof/>
        </w:rPr>
        <w:lastRenderedPageBreak/>
        <w:drawing>
          <wp:inline distT="0" distB="0" distL="0" distR="0" wp14:anchorId="074C7E44" wp14:editId="5E04811B">
            <wp:extent cx="5760085" cy="3290120"/>
            <wp:effectExtent l="0" t="0" r="12065" b="24765"/>
            <wp:docPr id="77" name="Grafikon 77" descr="Število zavezancev" title="Število zavezancev"/>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6FFA1ADA" w14:textId="79084F77" w:rsidR="00B9666E" w:rsidRPr="00545EC0" w:rsidRDefault="005538DF" w:rsidP="005538DF">
      <w:pPr>
        <w:pStyle w:val="Napis"/>
      </w:pPr>
      <w:r w:rsidRPr="00545EC0">
        <w:t xml:space="preserve">Slika </w:t>
      </w:r>
      <w:fldSimple w:instr=" STYLEREF 1 \s ">
        <w:r w:rsidR="002F3E43">
          <w:rPr>
            <w:noProof/>
          </w:rPr>
          <w:t>2</w:t>
        </w:r>
      </w:fldSimple>
      <w:r w:rsidR="00396E1E" w:rsidRPr="00545EC0">
        <w:noBreakHyphen/>
      </w:r>
      <w:fldSimple w:instr=" SEQ Slika \* ARABIC \s 1 ">
        <w:r w:rsidR="002F3E43">
          <w:rPr>
            <w:noProof/>
          </w:rPr>
          <w:t>46</w:t>
        </w:r>
      </w:fldSimple>
      <w:r w:rsidRPr="00545EC0">
        <w:t xml:space="preserve">: Enote obremenitve in število zavezancev za industrijsko odpadno vodo za obdobje </w:t>
      </w:r>
      <w:r w:rsidR="00995D8E" w:rsidRPr="00545EC0">
        <w:t xml:space="preserve">2010 </w:t>
      </w:r>
      <w:r w:rsidRPr="00545EC0">
        <w:t>do 201</w:t>
      </w:r>
      <w:r w:rsidR="00D45821" w:rsidRPr="00545EC0">
        <w:t>9</w:t>
      </w:r>
    </w:p>
    <w:p w14:paraId="24D39FED" w14:textId="77777777" w:rsidR="005538DF" w:rsidRPr="00545EC0" w:rsidRDefault="005538DF" w:rsidP="005538DF">
      <w:pPr>
        <w:rPr>
          <w:lang w:eastAsia="x-none"/>
        </w:rPr>
      </w:pPr>
    </w:p>
    <w:p w14:paraId="68E5111B" w14:textId="6443544B" w:rsidR="00B9666E" w:rsidRPr="00545EC0" w:rsidRDefault="00B9666E" w:rsidP="00B9666E">
      <w:pPr>
        <w:rPr>
          <w:rFonts w:cs="Arial"/>
        </w:rPr>
      </w:pPr>
      <w:r w:rsidRPr="00545EC0">
        <w:rPr>
          <w:rFonts w:cs="Arial"/>
        </w:rPr>
        <w:t>V obdobju od leta 2009 do leta 201</w:t>
      </w:r>
      <w:r w:rsidR="00D45821" w:rsidRPr="00545EC0">
        <w:rPr>
          <w:rFonts w:cs="Arial"/>
        </w:rPr>
        <w:t>9</w:t>
      </w:r>
      <w:r w:rsidRPr="00545EC0">
        <w:rPr>
          <w:rFonts w:cs="Arial"/>
        </w:rPr>
        <w:t xml:space="preserve"> je </w:t>
      </w:r>
      <w:r w:rsidR="00995D8E" w:rsidRPr="00545EC0">
        <w:rPr>
          <w:rFonts w:cs="Arial"/>
        </w:rPr>
        <w:t xml:space="preserve">opazen </w:t>
      </w:r>
      <w:r w:rsidRPr="00545EC0">
        <w:rPr>
          <w:rFonts w:cs="Arial"/>
        </w:rPr>
        <w:t>nekoliko padajoč trend količin enot obremenitve zaradi odvajanja komunalne odpadne vode, kar je predvsem posledica izvajanja ukrepov, ki jih predpisuje Operativni program odvajanja in čiščenja komunalne odpadne vode za obdobje 2018 – 2028</w:t>
      </w:r>
      <w:r w:rsidR="001333FF" w:rsidRPr="00545EC0">
        <w:rPr>
          <w:rFonts w:cs="Arial"/>
        </w:rPr>
        <w:t xml:space="preserve"> (</w:t>
      </w:r>
      <w:r w:rsidR="0066226D" w:rsidRPr="00545EC0">
        <w:rPr>
          <w:rFonts w:cs="Arial"/>
        </w:rPr>
        <w:t xml:space="preserve">Vlada RS, </w:t>
      </w:r>
      <w:r w:rsidR="00BF7C8F" w:rsidRPr="00545EC0">
        <w:rPr>
          <w:rFonts w:cs="Arial"/>
        </w:rPr>
        <w:t>20</w:t>
      </w:r>
      <w:r w:rsidR="00175C31" w:rsidRPr="00545EC0">
        <w:rPr>
          <w:rFonts w:cs="Arial"/>
        </w:rPr>
        <w:t>20</w:t>
      </w:r>
      <w:r w:rsidR="0066226D" w:rsidRPr="00545EC0">
        <w:rPr>
          <w:rFonts w:cs="Arial"/>
        </w:rPr>
        <w:t>a</w:t>
      </w:r>
      <w:r w:rsidR="00BF7C8F" w:rsidRPr="00545EC0">
        <w:rPr>
          <w:rFonts w:cs="Arial"/>
        </w:rPr>
        <w:t>)</w:t>
      </w:r>
      <w:r w:rsidRPr="00545EC0">
        <w:rPr>
          <w:rFonts w:cs="Arial"/>
        </w:rPr>
        <w:t>.</w:t>
      </w:r>
      <w:bookmarkStart w:id="410" w:name="_Toc419097517"/>
      <w:r w:rsidR="00D45821" w:rsidRPr="00545EC0">
        <w:rPr>
          <w:rFonts w:cs="Arial"/>
        </w:rPr>
        <w:t xml:space="preserve"> </w:t>
      </w:r>
      <w:r w:rsidRPr="00545EC0">
        <w:rPr>
          <w:rFonts w:cs="Arial"/>
        </w:rPr>
        <w:t xml:space="preserve">V Sloveniji v zadnjih letih količine odpadne vode iz KČN naraščajo, povečujeta se zmogljivost in število komunalnih čistilnih naprav. Vpliv je najverjetneje imela tudi oprostitev okoljske dajatve za odvajanje komunalne odpadne vode. Zavezanci za plačilo okoljske dajatve, ki so investirali v zmanjšanje obremenjevanja voda, so bili do leta 2010 upravičeni do oprostitve plačila okoljske dajatve. </w:t>
      </w:r>
    </w:p>
    <w:p w14:paraId="36CE3903" w14:textId="77777777" w:rsidR="00B9666E" w:rsidRPr="00545EC0" w:rsidRDefault="00B9666E" w:rsidP="00B9666E">
      <w:pPr>
        <w:rPr>
          <w:rFonts w:cs="Arial"/>
        </w:rPr>
      </w:pPr>
    </w:p>
    <w:bookmarkEnd w:id="410"/>
    <w:p w14:paraId="206DF9C4" w14:textId="77777777" w:rsidR="00B9666E" w:rsidRPr="00545EC0" w:rsidRDefault="00B9666E" w:rsidP="00B9666E">
      <w:pPr>
        <w:rPr>
          <w:rFonts w:cs="Arial"/>
        </w:rPr>
      </w:pPr>
      <w:r w:rsidRPr="00545EC0">
        <w:rPr>
          <w:noProof/>
        </w:rPr>
        <w:drawing>
          <wp:inline distT="0" distB="0" distL="0" distR="0" wp14:anchorId="1014C415" wp14:editId="5F2EB4CB">
            <wp:extent cx="5760085" cy="3044774"/>
            <wp:effectExtent l="0" t="0" r="12065" b="22860"/>
            <wp:docPr id="78" name="Grafikon 78" descr="Število zavezancev" title="Število zavezancev"/>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613873B" w14:textId="0DB89677" w:rsidR="00B9666E" w:rsidRPr="00545EC0" w:rsidRDefault="00B9666E" w:rsidP="00B9666E">
      <w:pPr>
        <w:overflowPunct/>
        <w:autoSpaceDE/>
        <w:autoSpaceDN/>
        <w:adjustRightInd/>
        <w:textAlignment w:val="auto"/>
        <w:rPr>
          <w:rFonts w:cs="Arial"/>
          <w:bCs/>
          <w:szCs w:val="20"/>
          <w:lang w:eastAsia="ja-JP"/>
        </w:rPr>
      </w:pPr>
      <w:bookmarkStart w:id="411" w:name="_Toc419097518"/>
      <w:bookmarkStart w:id="412" w:name="_Ref414730333"/>
      <w:r w:rsidRPr="00545EC0">
        <w:rPr>
          <w:rFonts w:cs="Arial"/>
          <w:bCs/>
          <w:szCs w:val="20"/>
          <w:lang w:eastAsia="ja-JP"/>
        </w:rPr>
        <w:t xml:space="preserve">Slika </w:t>
      </w:r>
      <w:r w:rsidR="00396E1E" w:rsidRPr="00545EC0">
        <w:rPr>
          <w:rFonts w:cs="Arial"/>
          <w:bCs/>
          <w:szCs w:val="20"/>
          <w:lang w:eastAsia="ja-JP"/>
        </w:rPr>
        <w:fldChar w:fldCharType="begin"/>
      </w:r>
      <w:r w:rsidR="00396E1E" w:rsidRPr="00545EC0">
        <w:rPr>
          <w:rFonts w:cs="Arial"/>
          <w:bCs/>
          <w:szCs w:val="20"/>
          <w:lang w:eastAsia="ja-JP"/>
        </w:rPr>
        <w:instrText xml:space="preserve"> STYLEREF 1 \s </w:instrText>
      </w:r>
      <w:r w:rsidR="00396E1E" w:rsidRPr="00545EC0">
        <w:rPr>
          <w:rFonts w:cs="Arial"/>
          <w:bCs/>
          <w:szCs w:val="20"/>
          <w:lang w:eastAsia="ja-JP"/>
        </w:rPr>
        <w:fldChar w:fldCharType="separate"/>
      </w:r>
      <w:r w:rsidR="002F3E43">
        <w:rPr>
          <w:rFonts w:cs="Arial"/>
          <w:bCs/>
          <w:noProof/>
          <w:szCs w:val="20"/>
          <w:lang w:eastAsia="ja-JP"/>
        </w:rPr>
        <w:t>2</w:t>
      </w:r>
      <w:r w:rsidR="00396E1E" w:rsidRPr="00545EC0">
        <w:rPr>
          <w:rFonts w:cs="Arial"/>
          <w:bCs/>
          <w:szCs w:val="20"/>
          <w:lang w:eastAsia="ja-JP"/>
        </w:rPr>
        <w:fldChar w:fldCharType="end"/>
      </w:r>
      <w:r w:rsidR="00396E1E" w:rsidRPr="00545EC0">
        <w:rPr>
          <w:rFonts w:cs="Arial"/>
          <w:bCs/>
          <w:szCs w:val="20"/>
          <w:lang w:eastAsia="ja-JP"/>
        </w:rPr>
        <w:noBreakHyphen/>
      </w:r>
      <w:r w:rsidR="00396E1E" w:rsidRPr="00545EC0">
        <w:rPr>
          <w:rFonts w:cs="Arial"/>
          <w:bCs/>
          <w:szCs w:val="20"/>
          <w:lang w:eastAsia="ja-JP"/>
        </w:rPr>
        <w:fldChar w:fldCharType="begin"/>
      </w:r>
      <w:r w:rsidR="00396E1E" w:rsidRPr="00545EC0">
        <w:rPr>
          <w:rFonts w:cs="Arial"/>
          <w:bCs/>
          <w:szCs w:val="20"/>
          <w:lang w:eastAsia="ja-JP"/>
        </w:rPr>
        <w:instrText xml:space="preserve"> SEQ Slika \* ARABIC \s 1 </w:instrText>
      </w:r>
      <w:r w:rsidR="00396E1E" w:rsidRPr="00545EC0">
        <w:rPr>
          <w:rFonts w:cs="Arial"/>
          <w:bCs/>
          <w:szCs w:val="20"/>
          <w:lang w:eastAsia="ja-JP"/>
        </w:rPr>
        <w:fldChar w:fldCharType="separate"/>
      </w:r>
      <w:r w:rsidR="002F3E43">
        <w:rPr>
          <w:rFonts w:cs="Arial"/>
          <w:bCs/>
          <w:noProof/>
          <w:szCs w:val="20"/>
          <w:lang w:eastAsia="ja-JP"/>
        </w:rPr>
        <w:t>47</w:t>
      </w:r>
      <w:r w:rsidR="00396E1E" w:rsidRPr="00545EC0">
        <w:rPr>
          <w:rFonts w:cs="Arial"/>
          <w:bCs/>
          <w:szCs w:val="20"/>
          <w:lang w:eastAsia="ja-JP"/>
        </w:rPr>
        <w:fldChar w:fldCharType="end"/>
      </w:r>
      <w:r w:rsidRPr="00545EC0">
        <w:rPr>
          <w:rFonts w:cs="Arial"/>
          <w:bCs/>
          <w:szCs w:val="20"/>
          <w:lang w:eastAsia="ja-JP"/>
        </w:rPr>
        <w:t xml:space="preserve">: Trend storitve raba vode za oskrbo s pitno vodo na podlagi podatkov o zavezancih za plačilo vodnih povračil za obdobje od 2009 – 2017. </w:t>
      </w:r>
      <w:bookmarkEnd w:id="411"/>
    </w:p>
    <w:bookmarkEnd w:id="412"/>
    <w:p w14:paraId="2637B0A9" w14:textId="77777777" w:rsidR="00B9666E" w:rsidRPr="00545EC0" w:rsidRDefault="00B9666E" w:rsidP="00B9666E">
      <w:pPr>
        <w:rPr>
          <w:rFonts w:cs="Arial"/>
          <w:szCs w:val="22"/>
        </w:rPr>
      </w:pPr>
    </w:p>
    <w:p w14:paraId="78F2C7A6" w14:textId="11CE2817" w:rsidR="00B9666E" w:rsidRPr="00545EC0" w:rsidRDefault="00B9666E" w:rsidP="00B9666E">
      <w:pPr>
        <w:rPr>
          <w:rFonts w:cs="Arial"/>
        </w:rPr>
      </w:pPr>
      <w:r w:rsidRPr="00545EC0">
        <w:rPr>
          <w:rFonts w:cs="Arial"/>
        </w:rPr>
        <w:t>Zanimiv je tudi močno naraščajoč trend količin in števila zavezancev za plačilo vodnih povračil za pridobivanje toplote, v obdobju od leta 2009 do leta 2017. Največji porast se je zgodil v zadnjih treh letih. Vzrok za naraščajoč trend števila zavezancev je najverjetnej</w:t>
      </w:r>
      <w:r w:rsidR="00D5428C" w:rsidRPr="00545EC0">
        <w:rPr>
          <w:rFonts w:cs="Arial"/>
        </w:rPr>
        <w:t xml:space="preserve">e namestitev toplotnih črpalk. </w:t>
      </w:r>
    </w:p>
    <w:p w14:paraId="14E22750" w14:textId="77777777" w:rsidR="00B9666E" w:rsidRPr="00545EC0" w:rsidRDefault="00B9666E">
      <w:pPr>
        <w:pStyle w:val="Naslov3"/>
      </w:pPr>
      <w:bookmarkStart w:id="413" w:name="_Toc428521968"/>
      <w:bookmarkStart w:id="414" w:name="_Toc430606168"/>
      <w:bookmarkStart w:id="415" w:name="_Toc462218158"/>
      <w:bookmarkStart w:id="416" w:name="_Toc90261034"/>
      <w:bookmarkEnd w:id="408"/>
      <w:bookmarkEnd w:id="409"/>
      <w:r w:rsidRPr="00545EC0">
        <w:t>Analiza vključitve stroškov obremenjevanja voda v ceno izvajanja storitev, povezanih z obremenjevanjem voda</w:t>
      </w:r>
      <w:bookmarkEnd w:id="413"/>
      <w:bookmarkEnd w:id="414"/>
      <w:bookmarkEnd w:id="415"/>
      <w:bookmarkEnd w:id="416"/>
    </w:p>
    <w:p w14:paraId="430AF337" w14:textId="24D11CA8" w:rsidR="00B9666E" w:rsidRPr="00545EC0" w:rsidRDefault="00B9666E" w:rsidP="00B9666E">
      <w:pPr>
        <w:rPr>
          <w:rFonts w:cs="Arial"/>
        </w:rPr>
      </w:pPr>
      <w:r w:rsidRPr="00545EC0">
        <w:rPr>
          <w:rFonts w:cs="Arial"/>
        </w:rPr>
        <w:t>Ukrepi za zagotavljanje povračila stroškov ob upoštevanju načela »plača povzročitelj obremenitve« se v Sloveniji že izvajajo. Pri analizi vključitve stroškov obremenjevanja voda v ce</w:t>
      </w:r>
      <w:r w:rsidR="003D5DC1" w:rsidRPr="00545EC0">
        <w:rPr>
          <w:rFonts w:cs="Arial"/>
        </w:rPr>
        <w:t>n</w:t>
      </w:r>
      <w:r w:rsidRPr="00545EC0">
        <w:rPr>
          <w:rFonts w:cs="Arial"/>
        </w:rPr>
        <w:t>o izvajanja storitev, povezanih z obremenjevanjem voda, je upoštevano, da povzročitelji obremenitev sami financirajo izvedbo nekaterih ukrepov za doseganje okoljskih ciljev, ter da se poleg tega za izvajanje storitev, povezanih z obremenjevanjem voda, plačuje dajatve za obremenjevanje voda, in sicer:</w:t>
      </w:r>
    </w:p>
    <w:p w14:paraId="162165F1" w14:textId="77777777" w:rsidR="00B9666E" w:rsidRPr="00545EC0" w:rsidRDefault="00B9666E" w:rsidP="00B9666E">
      <w:pPr>
        <w:rPr>
          <w:rFonts w:cs="Arial"/>
        </w:rPr>
      </w:pPr>
      <w:r w:rsidRPr="00545EC0">
        <w:rPr>
          <w:rFonts w:cs="Arial"/>
        </w:rPr>
        <w:t>–</w:t>
      </w:r>
      <w:r w:rsidRPr="00545EC0">
        <w:rPr>
          <w:rFonts w:cs="Arial"/>
        </w:rPr>
        <w:tab/>
        <w:t>okoljska dajatev za onesnaževanje okolja zaradi odvajanja odpadnih voda v skladu s predpisom, ki ureja okoljsko dajatev za onesnaževanje okolja zaradi odvajanja odpadnih voda, ter</w:t>
      </w:r>
    </w:p>
    <w:p w14:paraId="1A5083AD" w14:textId="77777777" w:rsidR="00B9666E" w:rsidRPr="00545EC0" w:rsidRDefault="00B9666E" w:rsidP="00B9666E">
      <w:pPr>
        <w:rPr>
          <w:rFonts w:cs="Arial"/>
        </w:rPr>
      </w:pPr>
      <w:r w:rsidRPr="00545EC0">
        <w:rPr>
          <w:rFonts w:cs="Arial"/>
        </w:rPr>
        <w:t>–</w:t>
      </w:r>
      <w:r w:rsidRPr="00545EC0">
        <w:rPr>
          <w:rFonts w:cs="Arial"/>
        </w:rPr>
        <w:tab/>
        <w:t>vodno povračilo in plačilo za vodno pravico.</w:t>
      </w:r>
    </w:p>
    <w:p w14:paraId="1DD8555F" w14:textId="2874A706" w:rsidR="00B9666E" w:rsidRPr="00545EC0" w:rsidRDefault="00B9666E" w:rsidP="00B9666E">
      <w:pPr>
        <w:rPr>
          <w:rFonts w:cs="Arial"/>
        </w:rPr>
      </w:pPr>
      <w:r w:rsidRPr="00545EC0">
        <w:rPr>
          <w:rFonts w:cs="Arial"/>
        </w:rPr>
        <w:t>Povračilo stroškov se zagotavlja za finančne kot tudi za okoljske stroške in stroške vira, kot je razvidno iz slike</w:t>
      </w:r>
      <w:r w:rsidR="005538DF" w:rsidRPr="00545EC0">
        <w:rPr>
          <w:rFonts w:cs="Arial"/>
        </w:rPr>
        <w:t xml:space="preserve"> (</w:t>
      </w:r>
      <w:r w:rsidR="005538DF" w:rsidRPr="00545EC0">
        <w:rPr>
          <w:rFonts w:cs="Arial"/>
        </w:rPr>
        <w:fldChar w:fldCharType="begin"/>
      </w:r>
      <w:r w:rsidR="005538DF" w:rsidRPr="00545EC0">
        <w:rPr>
          <w:rFonts w:cs="Arial"/>
        </w:rPr>
        <w:instrText xml:space="preserve"> REF _Ref84341008 \h </w:instrText>
      </w:r>
      <w:r w:rsidR="00F37A91" w:rsidRPr="00545EC0">
        <w:rPr>
          <w:rFonts w:cs="Arial"/>
        </w:rPr>
        <w:instrText xml:space="preserve"> \* MERGEFORMAT </w:instrText>
      </w:r>
      <w:r w:rsidR="005538DF" w:rsidRPr="00545EC0">
        <w:rPr>
          <w:rFonts w:cs="Arial"/>
        </w:rPr>
      </w:r>
      <w:r w:rsidR="005538DF" w:rsidRPr="00545EC0">
        <w:rPr>
          <w:rFonts w:cs="Arial"/>
        </w:rPr>
        <w:fldChar w:fldCharType="separate"/>
      </w:r>
      <w:r w:rsidR="002F3E43" w:rsidRPr="00545EC0">
        <w:t xml:space="preserve">Slika </w:t>
      </w:r>
      <w:r w:rsidR="002F3E43">
        <w:rPr>
          <w:noProof/>
        </w:rPr>
        <w:t>2</w:t>
      </w:r>
      <w:r w:rsidR="002F3E43" w:rsidRPr="00545EC0">
        <w:rPr>
          <w:noProof/>
        </w:rPr>
        <w:noBreakHyphen/>
      </w:r>
      <w:r w:rsidR="002F3E43">
        <w:rPr>
          <w:noProof/>
        </w:rPr>
        <w:t>48</w:t>
      </w:r>
      <w:r w:rsidR="005538DF" w:rsidRPr="00545EC0">
        <w:rPr>
          <w:rFonts w:cs="Arial"/>
        </w:rPr>
        <w:fldChar w:fldCharType="end"/>
      </w:r>
      <w:r w:rsidR="005538DF" w:rsidRPr="00545EC0">
        <w:rPr>
          <w:rFonts w:cs="Arial"/>
        </w:rPr>
        <w:t>).</w:t>
      </w:r>
      <w:r w:rsidRPr="00545EC0">
        <w:rPr>
          <w:rFonts w:cs="Arial"/>
        </w:rPr>
        <w:t xml:space="preserve"> </w:t>
      </w:r>
    </w:p>
    <w:p w14:paraId="0F4FE8F8" w14:textId="77777777" w:rsidR="00B9666E" w:rsidRPr="00545EC0" w:rsidRDefault="00B9666E" w:rsidP="00B9666E">
      <w:pPr>
        <w:rPr>
          <w:rFonts w:cs="Arial"/>
        </w:rPr>
      </w:pPr>
    </w:p>
    <w:p w14:paraId="07A92234" w14:textId="77777777" w:rsidR="00B9666E" w:rsidRPr="00545EC0" w:rsidRDefault="00B9666E" w:rsidP="00B9666E">
      <w:pPr>
        <w:rPr>
          <w:rFonts w:cs="Arial"/>
        </w:rPr>
      </w:pPr>
    </w:p>
    <w:p w14:paraId="2AA0069E" w14:textId="77777777" w:rsidR="005538DF" w:rsidRPr="00545EC0" w:rsidRDefault="00B9666E" w:rsidP="005538DF">
      <w:pPr>
        <w:keepNext/>
      </w:pPr>
      <w:r w:rsidRPr="00545EC0">
        <w:rPr>
          <w:noProof/>
        </w:rPr>
        <w:drawing>
          <wp:inline distT="0" distB="0" distL="0" distR="0" wp14:anchorId="7BBFAE54" wp14:editId="2F289396">
            <wp:extent cx="5743575" cy="2438400"/>
            <wp:effectExtent l="19050" t="19050" r="28575" b="19050"/>
            <wp:docPr id="5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43575" cy="2438400"/>
                    </a:xfrm>
                    <a:prstGeom prst="rect">
                      <a:avLst/>
                    </a:prstGeom>
                    <a:noFill/>
                    <a:ln>
                      <a:solidFill>
                        <a:schemeClr val="bg1">
                          <a:lumMod val="85000"/>
                        </a:schemeClr>
                      </a:solidFill>
                    </a:ln>
                  </pic:spPr>
                </pic:pic>
              </a:graphicData>
            </a:graphic>
          </wp:inline>
        </w:drawing>
      </w:r>
    </w:p>
    <w:p w14:paraId="626B4A2D" w14:textId="701A593B" w:rsidR="005538DF" w:rsidRPr="00545EC0" w:rsidRDefault="005538DF" w:rsidP="005538DF">
      <w:pPr>
        <w:pStyle w:val="Napis"/>
        <w:rPr>
          <w:lang w:eastAsia="ja-JP"/>
        </w:rPr>
      </w:pPr>
      <w:bookmarkStart w:id="417" w:name="_Ref84341008"/>
      <w:r w:rsidRPr="00545EC0">
        <w:t xml:space="preserve">Slika </w:t>
      </w:r>
      <w:fldSimple w:instr=" STYLEREF 1 \s ">
        <w:r w:rsidR="002F3E43">
          <w:rPr>
            <w:noProof/>
          </w:rPr>
          <w:t>2</w:t>
        </w:r>
      </w:fldSimple>
      <w:r w:rsidR="00396E1E" w:rsidRPr="00545EC0">
        <w:noBreakHyphen/>
      </w:r>
      <w:fldSimple w:instr=" SEQ Slika \* ARABIC \s 1 ">
        <w:r w:rsidR="002F3E43">
          <w:rPr>
            <w:noProof/>
          </w:rPr>
          <w:t>48</w:t>
        </w:r>
      </w:fldSimple>
      <w:bookmarkEnd w:id="417"/>
      <w:r w:rsidRPr="00545EC0">
        <w:t>:</w:t>
      </w:r>
      <w:r w:rsidRPr="00545EC0">
        <w:rPr>
          <w:lang w:eastAsia="ja-JP"/>
        </w:rPr>
        <w:t xml:space="preserve"> Stroški storitev, povezanih z obremenjevanjem voda</w:t>
      </w:r>
    </w:p>
    <w:p w14:paraId="63BD4902" w14:textId="77777777" w:rsidR="004C2B96" w:rsidRPr="00545EC0" w:rsidRDefault="004C2B96" w:rsidP="004C2B96">
      <w:pPr>
        <w:rPr>
          <w:lang w:eastAsia="ja-JP"/>
        </w:rPr>
      </w:pPr>
    </w:p>
    <w:p w14:paraId="5CC0EE53" w14:textId="0545204B" w:rsidR="00B9666E" w:rsidRPr="00545EC0" w:rsidRDefault="00B9666E" w:rsidP="00B9666E">
      <w:pPr>
        <w:rPr>
          <w:rFonts w:cs="Arial"/>
        </w:rPr>
      </w:pPr>
      <w:r w:rsidRPr="00545EC0">
        <w:rPr>
          <w:rFonts w:cs="Arial"/>
        </w:rPr>
        <w:t>Cenovna politika na področju voda vzpodbuja uporabnike, da gospodarno uporabljajo vodne vire in s tem prispevajo k doseganju okoljskih ciljev. Plačila dajatev za obremenjevanje voda so odvisna od obsega obremenitve voda (onesnaženje, količina odvzema, itd.), kar predstavlja spodbudo za gospodarno rabo vode. Na področju rabe voda je poleg tega določena tudi višja cena za prekomerno porabo pitne vode. S predpisom, ki ureja metodologijo za oblikovanje cen storitev obveznih občinskih gospodarskih javnih služb varstva okolja, je določeno, da se cena (vodarina) porabe pitne vode, ki je večja od normirane, poviša za 50 %.</w:t>
      </w:r>
    </w:p>
    <w:p w14:paraId="7083DD49" w14:textId="77777777" w:rsidR="00B9666E" w:rsidRPr="00545EC0" w:rsidRDefault="00B9666E" w:rsidP="00B9666E">
      <w:pPr>
        <w:rPr>
          <w:rFonts w:cs="Arial"/>
        </w:rPr>
      </w:pPr>
      <w:r w:rsidRPr="00545EC0">
        <w:rPr>
          <w:rFonts w:cs="Arial"/>
        </w:rPr>
        <w:t xml:space="preserve">Ekonomska analiza obremenjevanja voda vključuje izračune internaliziranega dela okoljskih stroškov za vse storitve, povezane z obremenjevanjem voda, ter ocene povračila finančnih stroškov storitev gospodarskih javnih služb (v nadaljnjem besedilu:  GJS) oskrbe s pitno vodo ter odvajanja in čiščenja komunalne odpadne vode. </w:t>
      </w:r>
    </w:p>
    <w:p w14:paraId="0DCD3262" w14:textId="47F486C2" w:rsidR="00B9666E" w:rsidRPr="00545EC0" w:rsidRDefault="00B9666E" w:rsidP="00B9666E">
      <w:pPr>
        <w:rPr>
          <w:rFonts w:cs="Arial"/>
        </w:rPr>
      </w:pPr>
      <w:r w:rsidRPr="00545EC0">
        <w:rPr>
          <w:rFonts w:cs="Arial"/>
        </w:rPr>
        <w:t>Stroški vira so ocenjeni kot izgubljene možnosti drugih storitev, povezanih z obremenjevanjem voda, ki se izvajajo sedaj ali bi se izvajale v prihodnosti, do katerih pride zaradi prekomerne obstoječe obremenitve (odvzemi). Ocena stroškov vira je izdelana po treh korakih:</w:t>
      </w:r>
    </w:p>
    <w:p w14:paraId="14128CA1" w14:textId="77777777" w:rsidR="00B9666E" w:rsidRPr="00545EC0" w:rsidRDefault="00B9666E" w:rsidP="005538DF">
      <w:pPr>
        <w:ind w:left="284"/>
        <w:rPr>
          <w:rFonts w:cs="Arial"/>
        </w:rPr>
      </w:pPr>
      <w:r w:rsidRPr="00545EC0">
        <w:rPr>
          <w:rFonts w:cs="Arial"/>
        </w:rPr>
        <w:lastRenderedPageBreak/>
        <w:t>–</w:t>
      </w:r>
      <w:r w:rsidRPr="00545EC0">
        <w:rPr>
          <w:rFonts w:cs="Arial"/>
        </w:rPr>
        <w:tab/>
        <w:t>ocena manjkajočih količin (sedaj in v prihodnosti, glede na sektorske potrebe),</w:t>
      </w:r>
    </w:p>
    <w:p w14:paraId="26A9CAB7" w14:textId="77777777" w:rsidR="00B9666E" w:rsidRPr="00545EC0" w:rsidRDefault="00B9666E" w:rsidP="005538DF">
      <w:pPr>
        <w:ind w:left="284"/>
        <w:rPr>
          <w:rFonts w:cs="Arial"/>
        </w:rPr>
      </w:pPr>
      <w:r w:rsidRPr="00545EC0">
        <w:rPr>
          <w:rFonts w:cs="Arial"/>
        </w:rPr>
        <w:t>–</w:t>
      </w:r>
      <w:r w:rsidRPr="00545EC0">
        <w:rPr>
          <w:rFonts w:cs="Arial"/>
        </w:rPr>
        <w:tab/>
        <w:t>opredelitev vzroka pomanjkanja vode in</w:t>
      </w:r>
    </w:p>
    <w:p w14:paraId="5AD29A3B" w14:textId="77777777" w:rsidR="00B9666E" w:rsidRPr="00545EC0" w:rsidRDefault="00B9666E" w:rsidP="005538DF">
      <w:pPr>
        <w:ind w:left="284"/>
        <w:rPr>
          <w:rFonts w:cs="Arial"/>
        </w:rPr>
      </w:pPr>
      <w:r w:rsidRPr="00545EC0">
        <w:rPr>
          <w:rFonts w:cs="Arial"/>
        </w:rPr>
        <w:t>–</w:t>
      </w:r>
      <w:r w:rsidRPr="00545EC0">
        <w:rPr>
          <w:rFonts w:cs="Arial"/>
        </w:rPr>
        <w:tab/>
        <w:t>denarno vrednotenje posledic izgubljenih možnosti.</w:t>
      </w:r>
    </w:p>
    <w:p w14:paraId="65CD3BDE" w14:textId="77777777" w:rsidR="005538DF" w:rsidRPr="00545EC0" w:rsidRDefault="005538DF" w:rsidP="00B9666E">
      <w:pPr>
        <w:rPr>
          <w:rFonts w:cs="Arial"/>
        </w:rPr>
      </w:pPr>
    </w:p>
    <w:p w14:paraId="5C73BBC6" w14:textId="0AE28C15" w:rsidR="00B9666E" w:rsidRPr="00545EC0" w:rsidRDefault="00B9666E" w:rsidP="00B9666E">
      <w:pPr>
        <w:rPr>
          <w:rFonts w:cs="Arial"/>
        </w:rPr>
      </w:pPr>
      <w:r w:rsidRPr="00545EC0">
        <w:rPr>
          <w:rFonts w:cs="Arial"/>
        </w:rPr>
        <w:t>Ocene, izdelane za posamezno vodno telo kažejo, da obstoječi odvzemi ne povzročajo izgube možnosti drugih storitev, povezanih z obremenjevanjem voda, ki se izvajajo sedaj ali se bodo izvajale v prihodnost</w:t>
      </w:r>
      <w:r w:rsidR="003D5DC1" w:rsidRPr="00545EC0">
        <w:rPr>
          <w:rFonts w:cs="Arial"/>
        </w:rPr>
        <w:t>i</w:t>
      </w:r>
      <w:r w:rsidRPr="00545EC0">
        <w:rPr>
          <w:rFonts w:cs="Arial"/>
        </w:rPr>
        <w:t>.</w:t>
      </w:r>
    </w:p>
    <w:p w14:paraId="39DE440E" w14:textId="77777777" w:rsidR="00392769" w:rsidRPr="00545EC0" w:rsidRDefault="00392769" w:rsidP="00B9666E">
      <w:pPr>
        <w:rPr>
          <w:rFonts w:cs="Arial"/>
        </w:rPr>
      </w:pPr>
    </w:p>
    <w:p w14:paraId="5EF77BCF" w14:textId="0CD9EC40" w:rsidR="00B9666E" w:rsidRPr="00545EC0" w:rsidRDefault="00B9666E" w:rsidP="00B9666E">
      <w:pPr>
        <w:tabs>
          <w:tab w:val="left" w:pos="3165"/>
        </w:tabs>
        <w:rPr>
          <w:rFonts w:cs="Arial"/>
        </w:rPr>
      </w:pPr>
      <w:r w:rsidRPr="00545EC0">
        <w:rPr>
          <w:rFonts w:cs="Arial"/>
        </w:rPr>
        <w:t xml:space="preserve">Okoljski stroški so ocenjeni po stroškovnem pristopu z upoštevanjem podatkov o stroških ukrepov iz </w:t>
      </w:r>
      <w:r w:rsidR="004E73B2" w:rsidRPr="00545EC0">
        <w:rPr>
          <w:rFonts w:cs="Arial"/>
        </w:rPr>
        <w:t xml:space="preserve">6. </w:t>
      </w:r>
      <w:r w:rsidRPr="00545EC0">
        <w:rPr>
          <w:rFonts w:cs="Arial"/>
        </w:rPr>
        <w:t>poglavja</w:t>
      </w:r>
      <w:r w:rsidR="00392769" w:rsidRPr="00545EC0">
        <w:rPr>
          <w:rFonts w:cs="Arial"/>
        </w:rPr>
        <w:t xml:space="preserve"> </w:t>
      </w:r>
      <w:r w:rsidRPr="00545EC0">
        <w:rPr>
          <w:rFonts w:cs="Arial"/>
        </w:rPr>
        <w:t xml:space="preserve">tega načrta in programa ukrepov </w:t>
      </w:r>
      <w:r w:rsidR="004E73B2" w:rsidRPr="00545EC0">
        <w:rPr>
          <w:rFonts w:cs="Arial"/>
        </w:rPr>
        <w:t>i</w:t>
      </w:r>
      <w:r w:rsidRPr="00545EC0">
        <w:rPr>
          <w:rFonts w:cs="Arial"/>
        </w:rPr>
        <w:t xml:space="preserve">z načrta upravljanja </w:t>
      </w:r>
      <w:r w:rsidR="004E73B2" w:rsidRPr="00545EC0">
        <w:rPr>
          <w:rFonts w:cs="Arial"/>
        </w:rPr>
        <w:t>voda</w:t>
      </w:r>
      <w:r w:rsidRPr="00545EC0">
        <w:rPr>
          <w:rFonts w:cs="Arial"/>
        </w:rPr>
        <w:t xml:space="preserve"> v skladu s predpisom, ki ureja načrt upravljanja </w:t>
      </w:r>
      <w:r w:rsidR="004E73B2" w:rsidRPr="00545EC0">
        <w:rPr>
          <w:rFonts w:cs="Arial"/>
        </w:rPr>
        <w:t>voda</w:t>
      </w:r>
      <w:r w:rsidRPr="00545EC0">
        <w:rPr>
          <w:rFonts w:cs="Arial"/>
        </w:rPr>
        <w:t xml:space="preserve">. S tem je upoštevana </w:t>
      </w:r>
      <w:r w:rsidR="00C12042" w:rsidRPr="00545EC0">
        <w:rPr>
          <w:rFonts w:cs="Arial"/>
        </w:rPr>
        <w:t>predpostavka</w:t>
      </w:r>
      <w:r w:rsidRPr="00545EC0">
        <w:rPr>
          <w:rFonts w:cs="Arial"/>
        </w:rPr>
        <w:t>, da je škoda, ki nastane v okolju zaradi obremenjevanja voda, vsaj tako visoka kot stroški ukrepov za varstvo vodnega okolja. Ocenjene vrednosti okoljskih stroškov tako predstavljajo spodnje vrednosti škode, ki jo izvajanje storitev povzroča v okolju. Upoštevani so tudi stroški ukrepov za doseganje dobrega ekološkega stanja na močno preoblikovanih in umetnih vodnih telesih (in ne samo stroški ukrepov za doseganje dobrega ekološkega potenciala).</w:t>
      </w:r>
    </w:p>
    <w:p w14:paraId="5755AF15" w14:textId="77777777" w:rsidR="00B9666E" w:rsidRPr="00545EC0" w:rsidRDefault="00B9666E" w:rsidP="00B9666E">
      <w:pPr>
        <w:tabs>
          <w:tab w:val="left" w:pos="3165"/>
        </w:tabs>
        <w:rPr>
          <w:rFonts w:cs="Arial"/>
        </w:rPr>
      </w:pPr>
      <w:r w:rsidRPr="00545EC0">
        <w:rPr>
          <w:rFonts w:cs="Arial"/>
        </w:rPr>
        <w:t>Pri oceni povračila stroškov so upoštevani tudi:</w:t>
      </w:r>
    </w:p>
    <w:p w14:paraId="0D2A8E46" w14:textId="77777777" w:rsidR="00B9666E" w:rsidRPr="00545EC0" w:rsidRDefault="00B9666E" w:rsidP="00DD37C5">
      <w:pPr>
        <w:pStyle w:val="Odstavekseznama"/>
        <w:numPr>
          <w:ilvl w:val="0"/>
          <w:numId w:val="53"/>
        </w:numPr>
        <w:tabs>
          <w:tab w:val="left" w:pos="3165"/>
        </w:tabs>
        <w:rPr>
          <w:rFonts w:cs="Arial"/>
        </w:rPr>
      </w:pPr>
      <w:r w:rsidRPr="00545EC0">
        <w:rPr>
          <w:rFonts w:cs="Arial"/>
        </w:rPr>
        <w:t xml:space="preserve">finančni stroški storitev, povezanih z obremenjevanjem voda, ki izhajajo iz ukrepov za doseganje okoljskih ciljev in se trenutno krijejo iz javnih sredstev in </w:t>
      </w:r>
    </w:p>
    <w:p w14:paraId="2CE4C68F" w14:textId="186EE059" w:rsidR="00D5428C" w:rsidRPr="00545EC0" w:rsidRDefault="00B9666E" w:rsidP="00DD37C5">
      <w:pPr>
        <w:pStyle w:val="Odstavekseznama"/>
        <w:numPr>
          <w:ilvl w:val="0"/>
          <w:numId w:val="53"/>
        </w:numPr>
        <w:tabs>
          <w:tab w:val="left" w:pos="3165"/>
        </w:tabs>
        <w:rPr>
          <w:rFonts w:cs="Arial"/>
        </w:rPr>
      </w:pPr>
      <w:r w:rsidRPr="00545EC0">
        <w:rPr>
          <w:rFonts w:cs="Arial"/>
        </w:rPr>
        <w:t>ocenjeni del finančnih stroškov, ki jih krijejo povzročitelji obremenitev sami z izvedbo ukrepov za doseganje okoljskih ciljev.</w:t>
      </w:r>
    </w:p>
    <w:p w14:paraId="1A84FB38" w14:textId="77777777" w:rsidR="00B9666E" w:rsidRPr="00545EC0" w:rsidRDefault="00B9666E" w:rsidP="00B9666E">
      <w:pPr>
        <w:pStyle w:val="Naslov4"/>
        <w:ind w:left="1573" w:hanging="1573"/>
        <w:rPr>
          <w:color w:val="auto"/>
        </w:rPr>
      </w:pPr>
      <w:bookmarkStart w:id="418" w:name="_Toc74290414"/>
      <w:r w:rsidRPr="00545EC0">
        <w:rPr>
          <w:color w:val="auto"/>
        </w:rPr>
        <w:t>Plačila dajatev za obremenjevanje voda</w:t>
      </w:r>
      <w:bookmarkEnd w:id="418"/>
      <w:r w:rsidRPr="00545EC0">
        <w:rPr>
          <w:color w:val="auto"/>
        </w:rPr>
        <w:t xml:space="preserve"> </w:t>
      </w:r>
    </w:p>
    <w:p w14:paraId="7AA64C96" w14:textId="77777777" w:rsidR="00B9666E" w:rsidRPr="00545EC0" w:rsidRDefault="00B9666E" w:rsidP="00B9666E">
      <w:pPr>
        <w:rPr>
          <w:lang w:eastAsia="x-none"/>
        </w:rPr>
      </w:pPr>
      <w:r w:rsidRPr="00545EC0">
        <w:rPr>
          <w:lang w:eastAsia="x-none"/>
        </w:rPr>
        <w:t xml:space="preserve">Dajatvi za obremenjevanje voda sta vodno povračilo in okoljska dajatev za onesnaževanje okolja zaradi odvajanja odpadnih voda. </w:t>
      </w:r>
    </w:p>
    <w:p w14:paraId="1EE5958B" w14:textId="77777777" w:rsidR="00392769" w:rsidRPr="00545EC0" w:rsidRDefault="00392769" w:rsidP="00B9666E">
      <w:pPr>
        <w:rPr>
          <w:lang w:eastAsia="x-none"/>
        </w:rPr>
      </w:pPr>
    </w:p>
    <w:p w14:paraId="57CDAD2F" w14:textId="5FA22B5F" w:rsidR="00B9666E" w:rsidRPr="00545EC0" w:rsidRDefault="00B9666E" w:rsidP="00D5428C">
      <w:pPr>
        <w:rPr>
          <w:lang w:eastAsia="x-none"/>
        </w:rPr>
      </w:pPr>
      <w:r w:rsidRPr="00545EC0">
        <w:rPr>
          <w:lang w:eastAsia="x-none"/>
        </w:rPr>
        <w:t xml:space="preserve">V obdobju 2016-2017 je bilo obračunano vodno povračilo za posebno rabo vode v skupni višini 61.245.424,61 EUR in za okoljsko dajatev komunalne in industrijske odpadne vode 48.371.788,30 EUR. </w:t>
      </w:r>
      <w:r w:rsidRPr="00545EC0">
        <w:rPr>
          <w:szCs w:val="20"/>
        </w:rPr>
        <w:t xml:space="preserve">Največ sredstev se zbere s plačili okoljske dajatve za onesnaževanje okolja zaradi odvajanja komunalne odpadne vode, dajatev za proizvodnjo električne energije v velikih hidroelektrarnah in za oskrbo s pitno vodo. </w:t>
      </w:r>
    </w:p>
    <w:p w14:paraId="441838E2" w14:textId="640C1393" w:rsidR="00B9666E" w:rsidRPr="00545EC0" w:rsidRDefault="00B9666E">
      <w:pPr>
        <w:pStyle w:val="Naslov3"/>
      </w:pPr>
      <w:bookmarkStart w:id="419" w:name="_Toc74290415"/>
      <w:bookmarkStart w:id="420" w:name="_Toc90261035"/>
      <w:r w:rsidRPr="00545EC0">
        <w:t>Finančni stroški storitev GJS oskrbe s pitno vodo ter odvajanja in čiščenja komunalne odpadne vode</w:t>
      </w:r>
      <w:bookmarkEnd w:id="419"/>
      <w:bookmarkEnd w:id="420"/>
      <w:r w:rsidRPr="00545EC0">
        <w:t xml:space="preserve"> </w:t>
      </w:r>
    </w:p>
    <w:p w14:paraId="704B023A" w14:textId="77777777" w:rsidR="00B9666E" w:rsidRPr="00545EC0" w:rsidRDefault="00B9666E" w:rsidP="00B9666E">
      <w:pPr>
        <w:tabs>
          <w:tab w:val="num" w:pos="360"/>
          <w:tab w:val="num" w:pos="567"/>
          <w:tab w:val="left" w:pos="9600"/>
        </w:tabs>
        <w:spacing w:before="120"/>
        <w:rPr>
          <w:szCs w:val="20"/>
        </w:rPr>
      </w:pPr>
      <w:r w:rsidRPr="00545EC0">
        <w:rPr>
          <w:szCs w:val="20"/>
        </w:rPr>
        <w:t>Za sektorje gospodarstvo, gospodinjstvo in kmetijstvo so dajatve skupno ocenjene na nekaj več kot 34,5 milijona evrov. Za sektor gospodarstva ta delež predstavlja 62,5%, gospodinjstva 36,9% in kmetijstva 0,6%. Znaten delež teh sredstev pripada občinam.</w:t>
      </w:r>
    </w:p>
    <w:p w14:paraId="08A159E5" w14:textId="77777777" w:rsidR="00B9666E" w:rsidRPr="00545EC0" w:rsidRDefault="00B9666E" w:rsidP="00B9666E">
      <w:pPr>
        <w:tabs>
          <w:tab w:val="num" w:pos="360"/>
          <w:tab w:val="num" w:pos="567"/>
          <w:tab w:val="left" w:pos="9600"/>
        </w:tabs>
        <w:spacing w:before="120"/>
        <w:rPr>
          <w:szCs w:val="20"/>
        </w:rPr>
      </w:pPr>
      <w:r w:rsidRPr="00545EC0">
        <w:rPr>
          <w:szCs w:val="20"/>
        </w:rPr>
        <w:t>S cenovno politiko za rabo vode se zagotavlja ustrezen prispevek k povračilu stroškov storitev, povezanih z obremenjevanjem voda, in uporabnike spodbuja h gospodarni rabi naravnih virov.</w:t>
      </w:r>
    </w:p>
    <w:p w14:paraId="31024C2E" w14:textId="77777777" w:rsidR="00B9666E" w:rsidRPr="00545EC0" w:rsidRDefault="00B9666E" w:rsidP="00B9666E">
      <w:pPr>
        <w:tabs>
          <w:tab w:val="num" w:pos="360"/>
          <w:tab w:val="num" w:pos="567"/>
          <w:tab w:val="left" w:pos="9600"/>
        </w:tabs>
        <w:spacing w:before="120"/>
        <w:rPr>
          <w:szCs w:val="20"/>
        </w:rPr>
      </w:pPr>
    </w:p>
    <w:p w14:paraId="40315E12" w14:textId="3E3FCC53" w:rsidR="00B9666E" w:rsidRPr="00545EC0" w:rsidRDefault="00B9666E" w:rsidP="00B9666E">
      <w:pPr>
        <w:overflowPunct/>
        <w:autoSpaceDE/>
        <w:autoSpaceDN/>
        <w:adjustRightInd/>
        <w:contextualSpacing/>
        <w:jc w:val="left"/>
        <w:textAlignment w:val="auto"/>
        <w:rPr>
          <w:szCs w:val="20"/>
        </w:rPr>
      </w:pPr>
      <w:r w:rsidRPr="00545EC0">
        <w:rPr>
          <w:szCs w:val="20"/>
        </w:rPr>
        <w:t xml:space="preserve">V ekonomski analizi obremenjevanja voda so podrobneje </w:t>
      </w:r>
      <w:r w:rsidR="00C12042" w:rsidRPr="00545EC0">
        <w:rPr>
          <w:szCs w:val="20"/>
        </w:rPr>
        <w:t>obravnavane</w:t>
      </w:r>
      <w:r w:rsidRPr="00545EC0">
        <w:rPr>
          <w:szCs w:val="20"/>
        </w:rPr>
        <w:t xml:space="preserve"> stopnje povračila finančnih stroškov za izvajanje storitev GJS oskrbe s pitno vodo ter odvajanja in čiščenja komunalne odpadne vode na obstoječi infrastrukturi. S stopnjo povračila stroškov je ocenjeno, v kolikšni meri so stroški obravnavanih storitev kriti s prispevki (plačili) uporabnikov teh storitev. </w:t>
      </w:r>
    </w:p>
    <w:p w14:paraId="3B8F2F71" w14:textId="77777777" w:rsidR="00B9666E" w:rsidRPr="00545EC0" w:rsidRDefault="00B9666E" w:rsidP="00B9666E">
      <w:pPr>
        <w:overflowPunct/>
        <w:autoSpaceDE/>
        <w:autoSpaceDN/>
        <w:adjustRightInd/>
        <w:ind w:left="567"/>
        <w:contextualSpacing/>
        <w:jc w:val="left"/>
        <w:textAlignment w:val="auto"/>
        <w:rPr>
          <w:szCs w:val="20"/>
        </w:rPr>
      </w:pPr>
    </w:p>
    <w:p w14:paraId="7F1BE1E1" w14:textId="6227F03A" w:rsidR="00B9666E" w:rsidRPr="00545EC0" w:rsidRDefault="00B9666E" w:rsidP="00B9666E">
      <w:pPr>
        <w:overflowPunct/>
        <w:autoSpaceDE/>
        <w:autoSpaceDN/>
        <w:adjustRightInd/>
        <w:contextualSpacing/>
        <w:jc w:val="left"/>
        <w:textAlignment w:val="auto"/>
        <w:rPr>
          <w:szCs w:val="20"/>
        </w:rPr>
      </w:pPr>
      <w:r w:rsidRPr="00545EC0">
        <w:rPr>
          <w:szCs w:val="20"/>
        </w:rPr>
        <w:t xml:space="preserve">Poleg podatkov o cenah, so pri oceni povračila stroškov upoštevani tudi podatki o priključenosti na javno infrastrukturo za odvajanje in čiščenje komunalne odpadne vode iz IJSVO in strokovnih podlag </w:t>
      </w:r>
      <w:r w:rsidRPr="00545EC0">
        <w:rPr>
          <w:szCs w:val="20"/>
        </w:rPr>
        <w:lastRenderedPageBreak/>
        <w:t xml:space="preserve">za pripravo noveliranega operativnega programa na področju odvajanja in čiščenja komunalne </w:t>
      </w:r>
      <w:r w:rsidR="00C12042" w:rsidRPr="00545EC0">
        <w:rPr>
          <w:szCs w:val="20"/>
        </w:rPr>
        <w:t>odpadne</w:t>
      </w:r>
      <w:r w:rsidRPr="00545EC0">
        <w:rPr>
          <w:szCs w:val="20"/>
        </w:rPr>
        <w:t xml:space="preserve"> vode v skladu s predpisom, ki ureja odvajanje in čiščenje komunalne odpadne vode.</w:t>
      </w:r>
    </w:p>
    <w:p w14:paraId="6BB58127" w14:textId="77777777" w:rsidR="00B9666E" w:rsidRPr="00545EC0" w:rsidRDefault="00B9666E" w:rsidP="00B9666E">
      <w:pPr>
        <w:rPr>
          <w:rFonts w:cs="Arial"/>
        </w:rPr>
      </w:pPr>
    </w:p>
    <w:p w14:paraId="2D289E25" w14:textId="12A0A5C6" w:rsidR="00B9666E" w:rsidRPr="00545EC0" w:rsidRDefault="00B9666E" w:rsidP="00B9666E">
      <w:pPr>
        <w:tabs>
          <w:tab w:val="num" w:pos="360"/>
          <w:tab w:val="num" w:pos="567"/>
          <w:tab w:val="left" w:pos="9600"/>
        </w:tabs>
        <w:spacing w:before="120"/>
        <w:rPr>
          <w:szCs w:val="20"/>
        </w:rPr>
      </w:pPr>
      <w:r w:rsidRPr="00545EC0">
        <w:rPr>
          <w:szCs w:val="20"/>
        </w:rPr>
        <w:t xml:space="preserve">Velik del finančnih stroškov krijejo uporabniki </w:t>
      </w:r>
      <w:r w:rsidR="00C12042" w:rsidRPr="00545EC0">
        <w:rPr>
          <w:szCs w:val="20"/>
        </w:rPr>
        <w:t>storitev. Stroške</w:t>
      </w:r>
      <w:r w:rsidRPr="00545EC0">
        <w:rPr>
          <w:szCs w:val="20"/>
        </w:rPr>
        <w:t xml:space="preserve"> izvajanja storitev, vključno s stroški omrežnine, GJS oskrbe s pitno vodo ter odvajanja in čiščenja komunalne odpadne vode, ki jih ne krijejo uporabniki, subvencionirajo občine. Finančni stroški obeh storitev, ki izhajajo iz ukrepov PU NUV, se krijejo iz državnega proračuna, občinskih proračunov in EU skladov. Poleg tega pa del teh finančnih stroškov krijejo tudi uporabniki s plačilom komunalnega prispevka. Komunalni prispevek se v skladu s predpisom, ki ureja </w:t>
      </w:r>
      <w:r w:rsidRPr="00545EC0">
        <w:rPr>
          <w:rFonts w:cs="Arial"/>
          <w:szCs w:val="18"/>
        </w:rPr>
        <w:t xml:space="preserve">vsebino programa opremljanja stavbnih zemljišč, </w:t>
      </w:r>
      <w:r w:rsidRPr="00545EC0">
        <w:rPr>
          <w:szCs w:val="20"/>
        </w:rPr>
        <w:t>oblikuje tako, da krije stroške gradnje komunalne opreme, ki se ne financirajo iz proračuna občin, državnega proračuna ali drugih virov.</w:t>
      </w:r>
    </w:p>
    <w:p w14:paraId="66809A42" w14:textId="6EAABAC1" w:rsidR="004C2B96" w:rsidRPr="00545EC0" w:rsidRDefault="00B9666E" w:rsidP="00B9666E">
      <w:pPr>
        <w:tabs>
          <w:tab w:val="num" w:pos="360"/>
          <w:tab w:val="num" w:pos="567"/>
          <w:tab w:val="left" w:pos="9600"/>
        </w:tabs>
        <w:spacing w:before="120"/>
        <w:rPr>
          <w:rFonts w:cs="Arial"/>
          <w:szCs w:val="18"/>
        </w:rPr>
      </w:pPr>
      <w:r w:rsidRPr="00545EC0">
        <w:rPr>
          <w:szCs w:val="20"/>
        </w:rPr>
        <w:t xml:space="preserve">Povračila finančnih stroškov ostalih storitev, povezanih z obremenjevanjem voda, ni možno v celoti oceniti niti nanj ni možno vplivati, saj vse </w:t>
      </w:r>
      <w:r w:rsidRPr="00545EC0">
        <w:rPr>
          <w:rFonts w:cs="Arial"/>
          <w:szCs w:val="18"/>
        </w:rPr>
        <w:t>storitve, povezane z obremenjevanjem voda, niso javne službe in njihovi podatki o fi</w:t>
      </w:r>
      <w:r w:rsidR="00D5428C" w:rsidRPr="00545EC0">
        <w:rPr>
          <w:rFonts w:cs="Arial"/>
          <w:szCs w:val="18"/>
        </w:rPr>
        <w:t>nančnih stroških niso dostopni.</w:t>
      </w:r>
    </w:p>
    <w:p w14:paraId="099E5574" w14:textId="77777777" w:rsidR="00B9666E" w:rsidRPr="00545EC0" w:rsidRDefault="00B9666E" w:rsidP="00B9666E">
      <w:pPr>
        <w:pStyle w:val="Naslov4"/>
        <w:ind w:left="1573" w:hanging="1573"/>
        <w:rPr>
          <w:color w:val="auto"/>
        </w:rPr>
      </w:pPr>
      <w:r w:rsidRPr="00545EC0">
        <w:rPr>
          <w:color w:val="auto"/>
        </w:rPr>
        <w:t>Ocena finančnih in okoljskih stroškov ter stroškov vira</w:t>
      </w:r>
    </w:p>
    <w:p w14:paraId="1A41083A" w14:textId="19A83491" w:rsidR="00B9666E" w:rsidRPr="00545EC0" w:rsidRDefault="00B9666E" w:rsidP="00B9666E">
      <w:pPr>
        <w:rPr>
          <w:rFonts w:cs="Arial"/>
        </w:rPr>
      </w:pPr>
      <w:r w:rsidRPr="00545EC0">
        <w:rPr>
          <w:rFonts w:cs="Arial"/>
        </w:rPr>
        <w:t xml:space="preserve">Povračilo stroškov je bilo ocenjeno ob upoštevanju finančnih, okoljskih stroškov in stroškov vira. </w:t>
      </w:r>
      <w:r w:rsidRPr="00545EC0">
        <w:rPr>
          <w:rFonts w:cs="Tahoma"/>
          <w:szCs w:val="22"/>
        </w:rPr>
        <w:t>Ti stroški so bili ocenjeni za območje R</w:t>
      </w:r>
      <w:r w:rsidR="00926EA0" w:rsidRPr="00545EC0">
        <w:rPr>
          <w:rFonts w:cs="Tahoma"/>
          <w:szCs w:val="22"/>
        </w:rPr>
        <w:t xml:space="preserve">epublike </w:t>
      </w:r>
      <w:r w:rsidRPr="00545EC0">
        <w:rPr>
          <w:rFonts w:cs="Tahoma"/>
          <w:szCs w:val="22"/>
        </w:rPr>
        <w:t>S</w:t>
      </w:r>
      <w:r w:rsidR="00926EA0" w:rsidRPr="00545EC0">
        <w:rPr>
          <w:rFonts w:cs="Tahoma"/>
          <w:szCs w:val="22"/>
        </w:rPr>
        <w:t>lovenije</w:t>
      </w:r>
      <w:r w:rsidRPr="00545EC0">
        <w:rPr>
          <w:rFonts w:cs="Tahoma"/>
          <w:szCs w:val="22"/>
        </w:rPr>
        <w:t xml:space="preserve"> na podlagi </w:t>
      </w:r>
      <w:r w:rsidRPr="00545EC0">
        <w:rPr>
          <w:rFonts w:cs="Arial"/>
        </w:rPr>
        <w:t>poenostavljenih metod ob upoštevanju razpoložljivih podatkov.</w:t>
      </w:r>
    </w:p>
    <w:p w14:paraId="4BE55EAE" w14:textId="77777777" w:rsidR="00B9666E" w:rsidRPr="00545EC0" w:rsidRDefault="00B9666E" w:rsidP="00B9666E">
      <w:pPr>
        <w:pStyle w:val="Odstavekseznama"/>
        <w:overflowPunct/>
        <w:autoSpaceDE/>
        <w:autoSpaceDN/>
        <w:adjustRightInd/>
        <w:ind w:left="0"/>
        <w:contextualSpacing/>
        <w:textAlignment w:val="auto"/>
        <w:rPr>
          <w:rFonts w:cs="Tahoma"/>
          <w:szCs w:val="22"/>
        </w:rPr>
      </w:pPr>
    </w:p>
    <w:p w14:paraId="396E093C" w14:textId="58F89BC7" w:rsidR="00B9666E" w:rsidRPr="00545EC0" w:rsidRDefault="00B9666E" w:rsidP="00B9666E">
      <w:pPr>
        <w:rPr>
          <w:rFonts w:cs="Tahoma"/>
          <w:lang w:eastAsia="en-GB"/>
        </w:rPr>
      </w:pPr>
      <w:r w:rsidRPr="00545EC0">
        <w:rPr>
          <w:rFonts w:cs="Tahoma"/>
          <w:szCs w:val="22"/>
        </w:rPr>
        <w:t>Stroški vira so bili ocenjeni kot izgubljene možnosti drugih storitev, povezanih z obremenjevanjem voda, ki se izvajajo sedaj ali bi se izvajale v prihodnosti, do katerih pride zaradi prekomerne obstoječe obremenitve (odvzemi).</w:t>
      </w:r>
      <w:r w:rsidRPr="00545EC0">
        <w:rPr>
          <w:rFonts w:cs="Tahoma"/>
          <w:lang w:eastAsia="en-GB"/>
        </w:rPr>
        <w:t xml:space="preserve"> Ocena stroškov vira je potekala v treh delih:</w:t>
      </w:r>
    </w:p>
    <w:p w14:paraId="4D651C56" w14:textId="77777777" w:rsidR="00B9666E" w:rsidRPr="00545EC0" w:rsidRDefault="00B9666E" w:rsidP="00DD37C5">
      <w:pPr>
        <w:pStyle w:val="Odstavekseznama"/>
        <w:numPr>
          <w:ilvl w:val="0"/>
          <w:numId w:val="50"/>
        </w:numPr>
        <w:overflowPunct/>
        <w:autoSpaceDE/>
        <w:autoSpaceDN/>
        <w:adjustRightInd/>
        <w:ind w:left="1134" w:hanging="850"/>
        <w:contextualSpacing/>
        <w:textAlignment w:val="auto"/>
        <w:rPr>
          <w:rFonts w:cs="Tahoma"/>
          <w:lang w:eastAsia="en-GB"/>
        </w:rPr>
      </w:pPr>
      <w:r w:rsidRPr="00545EC0">
        <w:rPr>
          <w:rFonts w:cs="Tahoma"/>
          <w:lang w:val="sl-SI" w:eastAsia="en-GB"/>
        </w:rPr>
        <w:t>Ocena manjkajočih količin (sedaj in v prihodnosti</w:t>
      </w:r>
      <w:r w:rsidRPr="00545EC0">
        <w:t>)</w:t>
      </w:r>
    </w:p>
    <w:p w14:paraId="3AFCEB68" w14:textId="77777777" w:rsidR="00B9666E" w:rsidRPr="00545EC0" w:rsidRDefault="00B9666E" w:rsidP="00DD37C5">
      <w:pPr>
        <w:pStyle w:val="Odstavekseznama"/>
        <w:numPr>
          <w:ilvl w:val="0"/>
          <w:numId w:val="50"/>
        </w:numPr>
        <w:overflowPunct/>
        <w:autoSpaceDE/>
        <w:autoSpaceDN/>
        <w:adjustRightInd/>
        <w:ind w:left="1134" w:hanging="850"/>
        <w:contextualSpacing/>
        <w:textAlignment w:val="auto"/>
        <w:rPr>
          <w:rFonts w:cs="Tahoma"/>
          <w:lang w:eastAsia="en-GB"/>
        </w:rPr>
      </w:pPr>
      <w:r w:rsidRPr="00545EC0">
        <w:rPr>
          <w:rFonts w:cs="Tahoma"/>
          <w:lang w:val="sl-SI" w:eastAsia="en-GB"/>
        </w:rPr>
        <w:t xml:space="preserve">Opredelitev vzroka pomanjkanja vode </w:t>
      </w:r>
    </w:p>
    <w:p w14:paraId="13DFB84B" w14:textId="77777777" w:rsidR="00B9666E" w:rsidRPr="00545EC0" w:rsidRDefault="00B9666E" w:rsidP="00DD37C5">
      <w:pPr>
        <w:pStyle w:val="Odstavekseznama"/>
        <w:numPr>
          <w:ilvl w:val="0"/>
          <w:numId w:val="50"/>
        </w:numPr>
        <w:overflowPunct/>
        <w:autoSpaceDE/>
        <w:autoSpaceDN/>
        <w:adjustRightInd/>
        <w:ind w:left="1134" w:hanging="850"/>
        <w:contextualSpacing/>
        <w:textAlignment w:val="auto"/>
        <w:rPr>
          <w:rFonts w:cs="Tahoma"/>
          <w:lang w:eastAsia="en-GB"/>
        </w:rPr>
      </w:pPr>
      <w:r w:rsidRPr="00545EC0">
        <w:rPr>
          <w:rFonts w:cs="Tahoma"/>
          <w:lang w:val="sl-SI" w:eastAsia="en-GB"/>
        </w:rPr>
        <w:t>Denarno vrednotenje posledic izgubljenih možnosti.</w:t>
      </w:r>
    </w:p>
    <w:p w14:paraId="08ADE1FA" w14:textId="77777777" w:rsidR="00B9666E" w:rsidRPr="00545EC0" w:rsidRDefault="00B9666E" w:rsidP="00B9666E">
      <w:pPr>
        <w:rPr>
          <w:rFonts w:cs="Tahoma"/>
          <w:szCs w:val="22"/>
        </w:rPr>
      </w:pPr>
    </w:p>
    <w:p w14:paraId="11C2E74D" w14:textId="547D03E6" w:rsidR="00B9666E" w:rsidRPr="00545EC0" w:rsidRDefault="00B9666E" w:rsidP="00B9666E">
      <w:pPr>
        <w:rPr>
          <w:rFonts w:cs="Tahoma"/>
          <w:szCs w:val="22"/>
        </w:rPr>
      </w:pPr>
      <w:r w:rsidRPr="00545EC0">
        <w:rPr>
          <w:rFonts w:cs="Tahoma"/>
          <w:szCs w:val="22"/>
        </w:rPr>
        <w:t>Na podlagi izvedenih analiz na ravni vodnih teles je bilo ocenjeno, da obstoječi odvzemi v Sloveniji ne povzročajo izgube možnosti drugih storitev, povezanih z obremenjevanjem voda, ki se izvajajo sedaj ali se bodo izvajale v prihodnosti.</w:t>
      </w:r>
    </w:p>
    <w:p w14:paraId="7D302047" w14:textId="77777777" w:rsidR="00B9666E" w:rsidRPr="00545EC0" w:rsidRDefault="00B9666E" w:rsidP="00B9666E">
      <w:pPr>
        <w:rPr>
          <w:rFonts w:cs="Tahoma"/>
          <w:szCs w:val="22"/>
        </w:rPr>
      </w:pPr>
    </w:p>
    <w:p w14:paraId="3A53438C" w14:textId="37B75AFD" w:rsidR="00B9666E" w:rsidRPr="00545EC0" w:rsidRDefault="00B9666E" w:rsidP="00B9666E">
      <w:pPr>
        <w:rPr>
          <w:rFonts w:cs="Tahoma"/>
        </w:rPr>
      </w:pPr>
      <w:r w:rsidRPr="00545EC0">
        <w:rPr>
          <w:rFonts w:cs="Tahoma"/>
        </w:rPr>
        <w:t xml:space="preserve">Na tak način se predpostavi, da je škoda, ki nastane v okolju zaradi obremenjevanja voda, vsaj tako visoka kot stroški ukrepov za varstvo vodnega okolja. </w:t>
      </w:r>
      <w:r w:rsidRPr="00545EC0">
        <w:rPr>
          <w:rFonts w:cs="Tahoma"/>
          <w:szCs w:val="22"/>
        </w:rPr>
        <w:t>Zaradi tega predstavljajo ocenjene vrednosti okoljskih stroškov spodnje vrednosti škode, ki jo izvajanje dejavnosti povzroča</w:t>
      </w:r>
      <w:r w:rsidRPr="00545EC0">
        <w:rPr>
          <w:rFonts w:cs="Tahoma"/>
        </w:rPr>
        <w:t xml:space="preserve"> v okolju. Pri oceni okoljskih stroškov so bili u</w:t>
      </w:r>
      <w:r w:rsidRPr="00545EC0">
        <w:rPr>
          <w:rFonts w:cs="Tahoma"/>
          <w:szCs w:val="22"/>
        </w:rPr>
        <w:t xml:space="preserve">poštevani stroški vseh delov ukrepov (temeljnih in dopolnilnih), ki še niso bili v celoti izvedeni, in bodo zaradi doseganja okoljskih ciljev dokončani v obdobju </w:t>
      </w:r>
      <w:r w:rsidR="004E73B2" w:rsidRPr="00545EC0">
        <w:rPr>
          <w:rFonts w:cs="Tahoma"/>
          <w:szCs w:val="22"/>
        </w:rPr>
        <w:t xml:space="preserve">2021 </w:t>
      </w:r>
      <w:r w:rsidRPr="00545EC0">
        <w:rPr>
          <w:rFonts w:cs="Tahoma"/>
          <w:szCs w:val="22"/>
        </w:rPr>
        <w:t>- 202</w:t>
      </w:r>
      <w:r w:rsidR="004E73B2" w:rsidRPr="00545EC0">
        <w:rPr>
          <w:rFonts w:cs="Tahoma"/>
          <w:szCs w:val="22"/>
        </w:rPr>
        <w:t>7</w:t>
      </w:r>
      <w:r w:rsidRPr="00545EC0">
        <w:rPr>
          <w:rFonts w:cs="Tahoma"/>
          <w:szCs w:val="22"/>
        </w:rPr>
        <w:t>. Upoštevani so bili tudi stroški ukrepov za doseganje dobrega ekološkega stanja na močno preoblikovanih in umetnih vodnih telesih (ne samo za doseganje dobrega ekološkega potenciala).</w:t>
      </w:r>
      <w:r w:rsidRPr="00545EC0">
        <w:rPr>
          <w:rFonts w:cs="Tahoma"/>
        </w:rPr>
        <w:t xml:space="preserve"> </w:t>
      </w:r>
    </w:p>
    <w:p w14:paraId="27532029" w14:textId="77777777" w:rsidR="00B9666E" w:rsidRPr="00545EC0" w:rsidRDefault="00B9666E" w:rsidP="00B9666E">
      <w:pPr>
        <w:rPr>
          <w:rFonts w:cs="Tahoma"/>
          <w:szCs w:val="22"/>
        </w:rPr>
      </w:pPr>
    </w:p>
    <w:p w14:paraId="3B05979E" w14:textId="77777777" w:rsidR="00B9666E" w:rsidRPr="00545EC0" w:rsidRDefault="00B9666E" w:rsidP="00B9666E">
      <w:pPr>
        <w:rPr>
          <w:rFonts w:cs="Tahoma"/>
          <w:szCs w:val="22"/>
        </w:rPr>
      </w:pPr>
      <w:r w:rsidRPr="00545EC0">
        <w:rPr>
          <w:rFonts w:cs="Tahoma"/>
          <w:szCs w:val="22"/>
        </w:rPr>
        <w:t>Pri oceni povračila stroškov so bili upoštevani tudi:</w:t>
      </w:r>
    </w:p>
    <w:p w14:paraId="60965041" w14:textId="6E82F84F" w:rsidR="00B9666E" w:rsidRPr="00545EC0" w:rsidRDefault="0040588B" w:rsidP="00DD37C5">
      <w:pPr>
        <w:numPr>
          <w:ilvl w:val="0"/>
          <w:numId w:val="52"/>
        </w:numPr>
        <w:tabs>
          <w:tab w:val="num" w:pos="567"/>
        </w:tabs>
        <w:overflowPunct/>
        <w:autoSpaceDE/>
        <w:autoSpaceDN/>
        <w:adjustRightInd/>
        <w:ind w:left="567" w:hanging="283"/>
        <w:textAlignment w:val="auto"/>
        <w:rPr>
          <w:rFonts w:cs="Arial"/>
        </w:rPr>
      </w:pPr>
      <w:r w:rsidRPr="00545EC0">
        <w:rPr>
          <w:rFonts w:cs="Arial"/>
        </w:rPr>
        <w:t>F</w:t>
      </w:r>
      <w:r w:rsidR="00B9666E" w:rsidRPr="00545EC0">
        <w:rPr>
          <w:rFonts w:cs="Arial"/>
        </w:rPr>
        <w:t xml:space="preserve">inančni stroški storitev, povezanih z obremenjevanjem voda, in drugih dejavnosti, ki obremenjujejo vode, ki izhajajo iz ukrepov upravljanja voda in se trenutno krijejo iz javnih sredstev. </w:t>
      </w:r>
    </w:p>
    <w:p w14:paraId="0191AEE0" w14:textId="317CE430" w:rsidR="00B9666E" w:rsidRPr="00545EC0" w:rsidRDefault="0040588B" w:rsidP="00DD37C5">
      <w:pPr>
        <w:numPr>
          <w:ilvl w:val="0"/>
          <w:numId w:val="52"/>
        </w:numPr>
        <w:tabs>
          <w:tab w:val="num" w:pos="567"/>
        </w:tabs>
        <w:overflowPunct/>
        <w:autoSpaceDE/>
        <w:autoSpaceDN/>
        <w:adjustRightInd/>
        <w:ind w:left="567" w:hanging="283"/>
        <w:textAlignment w:val="auto"/>
        <w:rPr>
          <w:rFonts w:cs="Arial"/>
        </w:rPr>
      </w:pPr>
      <w:r w:rsidRPr="00545EC0">
        <w:rPr>
          <w:rFonts w:cs="Arial"/>
        </w:rPr>
        <w:t>O</w:t>
      </w:r>
      <w:r w:rsidR="00B9666E" w:rsidRPr="00545EC0">
        <w:rPr>
          <w:rFonts w:cs="Arial"/>
        </w:rPr>
        <w:t>cenjeni del finančnih stroškov, ki jih krijejo povzročitelji obremenitev sami z izvedbo ukrepov za doseganje okoljskih ciljev.</w:t>
      </w:r>
    </w:p>
    <w:p w14:paraId="4CEE7202" w14:textId="77777777" w:rsidR="00B9666E" w:rsidRPr="00545EC0" w:rsidRDefault="00B9666E" w:rsidP="00B9666E">
      <w:pPr>
        <w:rPr>
          <w:rFonts w:cs="Arial"/>
        </w:rPr>
      </w:pPr>
    </w:p>
    <w:p w14:paraId="72989E20" w14:textId="77777777" w:rsidR="00B9666E" w:rsidRPr="00545EC0" w:rsidRDefault="00B9666E" w:rsidP="00B9666E">
      <w:pPr>
        <w:rPr>
          <w:rFonts w:cs="Arial"/>
        </w:rPr>
      </w:pPr>
      <w:r w:rsidRPr="00545EC0">
        <w:rPr>
          <w:rFonts w:cs="Arial"/>
        </w:rPr>
        <w:lastRenderedPageBreak/>
        <w:t xml:space="preserve">Celotnih finančnih stroškov storitev, povezanih z obremenjevanjem voda, zaradi nedostopnosti podatkov ni bilo možno v celoti oceniti, saj </w:t>
      </w:r>
      <w:r w:rsidRPr="00545EC0">
        <w:rPr>
          <w:rFonts w:cs="Arial"/>
          <w:szCs w:val="18"/>
        </w:rPr>
        <w:t>vse storitve, povezane z obremenjevanjem voda, niso javne službe in njihovi podatki o finančnih stroških niso dostopni.</w:t>
      </w:r>
    </w:p>
    <w:p w14:paraId="63F73067" w14:textId="77777777" w:rsidR="00B9666E" w:rsidRPr="00545EC0" w:rsidRDefault="00B9666E" w:rsidP="00B9666E">
      <w:pPr>
        <w:rPr>
          <w:rFonts w:cs="Arial"/>
        </w:rPr>
      </w:pPr>
    </w:p>
    <w:p w14:paraId="74A65467" w14:textId="637552D0" w:rsidR="00B9666E" w:rsidRPr="00545EC0" w:rsidRDefault="00B9666E" w:rsidP="00B9666E">
      <w:pPr>
        <w:rPr>
          <w:rFonts w:cs="Tahoma"/>
        </w:rPr>
      </w:pPr>
      <w:r w:rsidRPr="00545EC0">
        <w:rPr>
          <w:rFonts w:cs="Tahoma"/>
        </w:rPr>
        <w:t>Subvencioniranje dejavnosti, ki jih izvajajo povzročitelji obremenitev, je bilo vključeno v oceno finančnih in okoljskih stroškov. Subvencije so bile večinoma zajete v stroških ukrepov ob upoštevanju, da teh stroškov ne krijejo povzročitelji obrem</w:t>
      </w:r>
      <w:r w:rsidR="00906016" w:rsidRPr="00545EC0">
        <w:rPr>
          <w:rFonts w:cs="Tahoma"/>
        </w:rPr>
        <w:t>enitev sami.</w:t>
      </w:r>
    </w:p>
    <w:p w14:paraId="38C04CD7" w14:textId="77777777" w:rsidR="00B9666E" w:rsidRPr="00545EC0" w:rsidRDefault="00B9666E" w:rsidP="00B9666E">
      <w:pPr>
        <w:pStyle w:val="Naslov4"/>
        <w:ind w:left="1573" w:hanging="1573"/>
        <w:rPr>
          <w:color w:val="auto"/>
        </w:rPr>
      </w:pPr>
      <w:r w:rsidRPr="00545EC0">
        <w:rPr>
          <w:color w:val="auto"/>
        </w:rPr>
        <w:t>Ocena stopnje povračila stroškov</w:t>
      </w:r>
    </w:p>
    <w:p w14:paraId="4450AEEB" w14:textId="4755FF89" w:rsidR="00B9666E" w:rsidRPr="00545EC0" w:rsidRDefault="00B9666E" w:rsidP="00B9666E">
      <w:pPr>
        <w:pStyle w:val="podnaslov0"/>
        <w:rPr>
          <w:b w:val="0"/>
        </w:rPr>
      </w:pPr>
      <w:r w:rsidRPr="00545EC0">
        <w:rPr>
          <w:b w:val="0"/>
        </w:rPr>
        <w:t xml:space="preserve">Analiza obstoječega sistema plačevanja dajatev za rabo vode v Sloveniji je narejena </w:t>
      </w:r>
      <w:r w:rsidR="004E73B2" w:rsidRPr="00545EC0">
        <w:rPr>
          <w:b w:val="0"/>
        </w:rPr>
        <w:t xml:space="preserve">glede na podatke </w:t>
      </w:r>
      <w:r w:rsidRPr="00545EC0">
        <w:rPr>
          <w:b w:val="0"/>
        </w:rPr>
        <w:t>treh sektorj</w:t>
      </w:r>
      <w:r w:rsidR="004E73B2" w:rsidRPr="00545EC0">
        <w:rPr>
          <w:b w:val="0"/>
        </w:rPr>
        <w:t>ev</w:t>
      </w:r>
      <w:r w:rsidRPr="00545EC0">
        <w:rPr>
          <w:b w:val="0"/>
        </w:rPr>
        <w:t xml:space="preserve"> (gospodinjstvo, gospodarstvo in </w:t>
      </w:r>
      <w:r w:rsidR="00C12042" w:rsidRPr="00545EC0">
        <w:rPr>
          <w:b w:val="0"/>
        </w:rPr>
        <w:t>kmetijstvo</w:t>
      </w:r>
      <w:r w:rsidRPr="00545EC0">
        <w:rPr>
          <w:b w:val="0"/>
        </w:rPr>
        <w:t>). Pod sektor gospodinjstva je umeščeno še plačilo okoljskih dajatev zaradi odvajanja komunalne odpadne vode, pod sektor gospodarstva pa še plačilo okoljskih dajatev zaradi odvajanja industrijske odpadne vode.</w:t>
      </w:r>
    </w:p>
    <w:p w14:paraId="66534CE7" w14:textId="77777777" w:rsidR="00B9666E" w:rsidRPr="00545EC0" w:rsidRDefault="00B9666E" w:rsidP="00B9666E">
      <w:pPr>
        <w:rPr>
          <w:rFonts w:cs="Tahoma"/>
          <w:szCs w:val="22"/>
        </w:rPr>
      </w:pPr>
      <w:r w:rsidRPr="00545EC0">
        <w:rPr>
          <w:rFonts w:cs="Tahoma"/>
          <w:szCs w:val="22"/>
        </w:rPr>
        <w:t xml:space="preserve">S stopnjo povračila stroškov se oceni, v kolikšni meri so stroški storitev, povezanih z obremenjevanjem voda, kriti s prispevki (plačili) uporabnikov teh storitev. </w:t>
      </w:r>
    </w:p>
    <w:p w14:paraId="24BA2A76" w14:textId="77777777" w:rsidR="00B9666E" w:rsidRPr="00545EC0" w:rsidRDefault="00B9666E" w:rsidP="00B9666E">
      <w:pPr>
        <w:rPr>
          <w:rFonts w:cs="Tahoma"/>
          <w:szCs w:val="22"/>
        </w:rPr>
      </w:pPr>
    </w:p>
    <w:p w14:paraId="14FBC3F7" w14:textId="2ADA4D33" w:rsidR="00B9666E" w:rsidRPr="00545EC0" w:rsidRDefault="00B9666E" w:rsidP="00B9666E">
      <w:pPr>
        <w:rPr>
          <w:rFonts w:cs="Arial"/>
        </w:rPr>
      </w:pPr>
      <w:r w:rsidRPr="00545EC0">
        <w:rPr>
          <w:rFonts w:cs="Arial"/>
        </w:rPr>
        <w:t>Ocene stroškov in stopenj povračila stroškov so predstavljene po posameznih sektorjih (</w:t>
      </w:r>
      <w:r w:rsidR="004C2B96" w:rsidRPr="00545EC0">
        <w:rPr>
          <w:rFonts w:cs="Arial"/>
        </w:rPr>
        <w:fldChar w:fldCharType="begin"/>
      </w:r>
      <w:r w:rsidR="004C2B96" w:rsidRPr="00545EC0">
        <w:rPr>
          <w:rFonts w:cs="Arial"/>
        </w:rPr>
        <w:instrText xml:space="preserve"> REF _Ref84322884 \h </w:instrText>
      </w:r>
      <w:r w:rsidR="00F37A91" w:rsidRPr="00545EC0">
        <w:rPr>
          <w:rFonts w:cs="Arial"/>
        </w:rPr>
        <w:instrText xml:space="preserve"> \* MERGEFORMAT </w:instrText>
      </w:r>
      <w:r w:rsidR="004C2B96" w:rsidRPr="00545EC0">
        <w:rPr>
          <w:rFonts w:cs="Arial"/>
        </w:rPr>
      </w:r>
      <w:r w:rsidR="004C2B96" w:rsidRPr="00545EC0">
        <w:rPr>
          <w:rFonts w:cs="Arial"/>
        </w:rPr>
        <w:fldChar w:fldCharType="separate"/>
      </w:r>
      <w:r w:rsidR="002F3E43" w:rsidRPr="00545EC0">
        <w:t xml:space="preserve">Preglednica </w:t>
      </w:r>
      <w:r w:rsidR="002F3E43">
        <w:rPr>
          <w:noProof/>
        </w:rPr>
        <w:t>2</w:t>
      </w:r>
      <w:r w:rsidR="002F3E43" w:rsidRPr="00545EC0">
        <w:rPr>
          <w:noProof/>
        </w:rPr>
        <w:noBreakHyphen/>
      </w:r>
      <w:r w:rsidR="002F3E43">
        <w:rPr>
          <w:noProof/>
        </w:rPr>
        <w:t>51</w:t>
      </w:r>
      <w:r w:rsidR="004C2B96" w:rsidRPr="00545EC0">
        <w:rPr>
          <w:rFonts w:cs="Arial"/>
        </w:rPr>
        <w:fldChar w:fldCharType="end"/>
      </w:r>
      <w:r w:rsidRPr="00545EC0">
        <w:rPr>
          <w:rFonts w:cs="Arial"/>
        </w:rPr>
        <w:t>) Izjema sta storitvi raba vode za oskrbo s pitno vodo in odvajanje in čiščenje komunalne odpadne vode</w:t>
      </w:r>
      <w:r w:rsidR="00D94D7A" w:rsidRPr="00545EC0">
        <w:rPr>
          <w:rFonts w:cs="Arial"/>
        </w:rPr>
        <w:t>.</w:t>
      </w:r>
      <w:r w:rsidRPr="00545EC0">
        <w:rPr>
          <w:rFonts w:cs="Arial"/>
        </w:rPr>
        <w:t xml:space="preserve"> V oceno stopnje povračila stroškov so bile vključene ne samo storitve, povezane z obremenjevanjem voda, temveč tudi druge dejavnosti, ki povzročajo obremenjevanje voda in zaradi katerih je treba izvajati ukrepe upravljanja voda. </w:t>
      </w:r>
    </w:p>
    <w:p w14:paraId="19999F11" w14:textId="77777777" w:rsidR="00B9666E" w:rsidRPr="00545EC0" w:rsidRDefault="00B9666E" w:rsidP="00B9666E">
      <w:pPr>
        <w:rPr>
          <w:rFonts w:cs="Arial"/>
        </w:rPr>
      </w:pPr>
    </w:p>
    <w:p w14:paraId="2FC23D17" w14:textId="28ED70FF" w:rsidR="004C2B96" w:rsidRPr="00545EC0" w:rsidRDefault="004C2B96" w:rsidP="00F854EB">
      <w:pPr>
        <w:rPr>
          <w:rFonts w:cs="Arial"/>
        </w:rPr>
      </w:pPr>
      <w:bookmarkStart w:id="421" w:name="_Ref84322884"/>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51</w:t>
        </w:r>
      </w:fldSimple>
      <w:bookmarkEnd w:id="421"/>
      <w:r w:rsidRPr="00545EC0">
        <w:t xml:space="preserve">: </w:t>
      </w:r>
      <w:r w:rsidRPr="00545EC0">
        <w:rPr>
          <w:rFonts w:cs="Arial"/>
        </w:rPr>
        <w:t xml:space="preserve">Zbrana sredstva od vodnih povračil: glede na rabo </w:t>
      </w:r>
      <w:r w:rsidR="00F854EB" w:rsidRPr="00545EC0">
        <w:rPr>
          <w:rFonts w:cs="Arial"/>
        </w:rPr>
        <w:t>in glede na sektorje ter skupaj</w:t>
      </w:r>
    </w:p>
    <w:tbl>
      <w:tblPr>
        <w:tblStyle w:val="Tabelamrea"/>
        <w:tblW w:w="0" w:type="auto"/>
        <w:tblLayout w:type="fixed"/>
        <w:tblLook w:val="04A0" w:firstRow="1" w:lastRow="0" w:firstColumn="1" w:lastColumn="0" w:noHBand="0" w:noVBand="1"/>
      </w:tblPr>
      <w:tblGrid>
        <w:gridCol w:w="1101"/>
        <w:gridCol w:w="5093"/>
        <w:gridCol w:w="3095"/>
      </w:tblGrid>
      <w:tr w:rsidR="003122F4" w:rsidRPr="00545EC0" w14:paraId="6D649D45" w14:textId="77777777" w:rsidTr="00C12042">
        <w:tc>
          <w:tcPr>
            <w:tcW w:w="6194" w:type="dxa"/>
            <w:gridSpan w:val="2"/>
            <w:shd w:val="clear" w:color="auto" w:fill="EEECE1" w:themeFill="background2"/>
          </w:tcPr>
          <w:p w14:paraId="3D0324DF" w14:textId="77777777" w:rsidR="00392769" w:rsidRPr="00545EC0" w:rsidRDefault="00392769" w:rsidP="00C12042">
            <w:pPr>
              <w:spacing w:before="60" w:after="60"/>
              <w:rPr>
                <w:rFonts w:cs="Arial"/>
                <w:sz w:val="18"/>
                <w:szCs w:val="18"/>
              </w:rPr>
            </w:pPr>
            <w:r w:rsidRPr="00545EC0">
              <w:rPr>
                <w:rFonts w:cs="Arial"/>
                <w:sz w:val="18"/>
                <w:szCs w:val="18"/>
              </w:rPr>
              <w:t>Raba opis</w:t>
            </w:r>
          </w:p>
        </w:tc>
        <w:tc>
          <w:tcPr>
            <w:tcW w:w="3095" w:type="dxa"/>
            <w:shd w:val="clear" w:color="auto" w:fill="EEECE1" w:themeFill="background2"/>
          </w:tcPr>
          <w:p w14:paraId="3CAA53FB" w14:textId="77777777" w:rsidR="00392769" w:rsidRPr="00545EC0" w:rsidRDefault="00392769" w:rsidP="00C12042">
            <w:pPr>
              <w:spacing w:before="60" w:after="60"/>
              <w:rPr>
                <w:rFonts w:cs="Arial"/>
                <w:sz w:val="18"/>
                <w:szCs w:val="18"/>
              </w:rPr>
            </w:pPr>
            <w:r w:rsidRPr="00545EC0">
              <w:rPr>
                <w:rFonts w:cs="Arial"/>
                <w:sz w:val="18"/>
                <w:szCs w:val="18"/>
              </w:rPr>
              <w:t>Vrednost [EUR] v letu 2017</w:t>
            </w:r>
          </w:p>
        </w:tc>
      </w:tr>
      <w:tr w:rsidR="003122F4" w:rsidRPr="00545EC0" w14:paraId="7A8FDFB0" w14:textId="77777777" w:rsidTr="00C12042">
        <w:tc>
          <w:tcPr>
            <w:tcW w:w="6194" w:type="dxa"/>
            <w:gridSpan w:val="2"/>
          </w:tcPr>
          <w:p w14:paraId="47F25F25" w14:textId="77777777" w:rsidR="00392769" w:rsidRPr="00545EC0" w:rsidRDefault="00392769" w:rsidP="00C12042">
            <w:pPr>
              <w:spacing w:before="60" w:after="60"/>
              <w:rPr>
                <w:rFonts w:cs="Arial"/>
                <w:sz w:val="18"/>
                <w:szCs w:val="18"/>
              </w:rPr>
            </w:pPr>
            <w:r w:rsidRPr="00545EC0">
              <w:rPr>
                <w:rFonts w:cs="Arial"/>
                <w:sz w:val="18"/>
                <w:szCs w:val="18"/>
              </w:rPr>
              <w:t>GOSPODINJSTVO</w:t>
            </w:r>
          </w:p>
        </w:tc>
        <w:tc>
          <w:tcPr>
            <w:tcW w:w="3095" w:type="dxa"/>
          </w:tcPr>
          <w:p w14:paraId="3838EAAE" w14:textId="77777777" w:rsidR="00392769" w:rsidRPr="00545EC0" w:rsidRDefault="00392769" w:rsidP="00C12042">
            <w:pPr>
              <w:spacing w:before="60" w:after="60"/>
              <w:rPr>
                <w:rFonts w:cs="Arial"/>
                <w:sz w:val="18"/>
                <w:szCs w:val="18"/>
              </w:rPr>
            </w:pPr>
            <w:r w:rsidRPr="00545EC0">
              <w:rPr>
                <w:rFonts w:cs="Arial"/>
                <w:sz w:val="18"/>
                <w:szCs w:val="18"/>
              </w:rPr>
              <w:t>10.546.172</w:t>
            </w:r>
          </w:p>
        </w:tc>
      </w:tr>
      <w:tr w:rsidR="003122F4" w:rsidRPr="00545EC0" w14:paraId="58A1866D" w14:textId="77777777" w:rsidTr="00C12042">
        <w:tc>
          <w:tcPr>
            <w:tcW w:w="1101" w:type="dxa"/>
          </w:tcPr>
          <w:p w14:paraId="7C8551E7" w14:textId="77777777" w:rsidR="00392769" w:rsidRPr="00545EC0" w:rsidRDefault="00392769" w:rsidP="00C12042">
            <w:pPr>
              <w:spacing w:before="60" w:after="60"/>
              <w:rPr>
                <w:rFonts w:cs="Arial"/>
                <w:sz w:val="18"/>
                <w:szCs w:val="18"/>
              </w:rPr>
            </w:pPr>
            <w:r w:rsidRPr="00545EC0">
              <w:rPr>
                <w:rFonts w:cs="Arial"/>
                <w:sz w:val="18"/>
                <w:szCs w:val="18"/>
              </w:rPr>
              <w:t>1</w:t>
            </w:r>
          </w:p>
        </w:tc>
        <w:tc>
          <w:tcPr>
            <w:tcW w:w="5093" w:type="dxa"/>
          </w:tcPr>
          <w:p w14:paraId="21A40B92" w14:textId="77777777" w:rsidR="00392769" w:rsidRPr="00545EC0" w:rsidRDefault="00392769" w:rsidP="00C12042">
            <w:pPr>
              <w:spacing w:before="60" w:after="60"/>
              <w:rPr>
                <w:rFonts w:cs="Arial"/>
                <w:sz w:val="18"/>
                <w:szCs w:val="18"/>
              </w:rPr>
            </w:pPr>
            <w:r w:rsidRPr="00545EC0">
              <w:rPr>
                <w:rFonts w:cs="Arial"/>
                <w:sz w:val="18"/>
                <w:szCs w:val="18"/>
              </w:rPr>
              <w:t>Oskrba s pitno vodo</w:t>
            </w:r>
          </w:p>
        </w:tc>
        <w:tc>
          <w:tcPr>
            <w:tcW w:w="3095" w:type="dxa"/>
          </w:tcPr>
          <w:p w14:paraId="2D5CB53C" w14:textId="77777777" w:rsidR="00392769" w:rsidRPr="00545EC0" w:rsidRDefault="00392769" w:rsidP="00C12042">
            <w:pPr>
              <w:spacing w:before="60" w:after="60"/>
              <w:rPr>
                <w:rFonts w:cs="Arial"/>
                <w:sz w:val="18"/>
                <w:szCs w:val="18"/>
              </w:rPr>
            </w:pPr>
            <w:r w:rsidRPr="00545EC0">
              <w:rPr>
                <w:rFonts w:cs="Arial"/>
                <w:sz w:val="18"/>
                <w:szCs w:val="18"/>
              </w:rPr>
              <w:t>10.546.172</w:t>
            </w:r>
          </w:p>
        </w:tc>
      </w:tr>
      <w:tr w:rsidR="003122F4" w:rsidRPr="00545EC0" w14:paraId="217D6D84" w14:textId="77777777" w:rsidTr="00C12042">
        <w:tc>
          <w:tcPr>
            <w:tcW w:w="6194" w:type="dxa"/>
            <w:gridSpan w:val="2"/>
          </w:tcPr>
          <w:p w14:paraId="47AEF650" w14:textId="77777777" w:rsidR="00392769" w:rsidRPr="00545EC0" w:rsidRDefault="00392769" w:rsidP="00C12042">
            <w:pPr>
              <w:spacing w:before="60" w:after="60"/>
              <w:rPr>
                <w:rFonts w:cs="Arial"/>
                <w:sz w:val="18"/>
                <w:szCs w:val="18"/>
              </w:rPr>
            </w:pPr>
            <w:r w:rsidRPr="00545EC0">
              <w:rPr>
                <w:rFonts w:cs="Arial"/>
                <w:sz w:val="18"/>
                <w:szCs w:val="18"/>
              </w:rPr>
              <w:t xml:space="preserve"> GOSPODARSTVO</w:t>
            </w:r>
          </w:p>
        </w:tc>
        <w:tc>
          <w:tcPr>
            <w:tcW w:w="3095" w:type="dxa"/>
          </w:tcPr>
          <w:p w14:paraId="1E2C386D" w14:textId="77777777" w:rsidR="00392769" w:rsidRPr="00545EC0" w:rsidRDefault="00392769" w:rsidP="00C12042">
            <w:pPr>
              <w:spacing w:before="60" w:after="60"/>
              <w:rPr>
                <w:rFonts w:cs="Arial"/>
                <w:sz w:val="18"/>
                <w:szCs w:val="18"/>
              </w:rPr>
            </w:pPr>
            <w:r w:rsidRPr="00545EC0">
              <w:rPr>
                <w:rFonts w:cs="Arial"/>
                <w:sz w:val="18"/>
                <w:szCs w:val="18"/>
              </w:rPr>
              <w:t>20.974.009</w:t>
            </w:r>
          </w:p>
        </w:tc>
      </w:tr>
      <w:tr w:rsidR="003122F4" w:rsidRPr="00545EC0" w14:paraId="29EADB77" w14:textId="77777777" w:rsidTr="00C12042">
        <w:tc>
          <w:tcPr>
            <w:tcW w:w="1101" w:type="dxa"/>
          </w:tcPr>
          <w:p w14:paraId="63DF121B" w14:textId="77777777" w:rsidR="00392769" w:rsidRPr="00545EC0" w:rsidRDefault="00392769" w:rsidP="00C12042">
            <w:pPr>
              <w:spacing w:before="60" w:after="60"/>
              <w:rPr>
                <w:rFonts w:cs="Arial"/>
                <w:sz w:val="18"/>
                <w:szCs w:val="18"/>
              </w:rPr>
            </w:pPr>
            <w:r w:rsidRPr="00545EC0">
              <w:rPr>
                <w:rFonts w:cs="Arial"/>
                <w:sz w:val="18"/>
                <w:szCs w:val="18"/>
              </w:rPr>
              <w:t>2</w:t>
            </w:r>
          </w:p>
        </w:tc>
        <w:tc>
          <w:tcPr>
            <w:tcW w:w="5093" w:type="dxa"/>
          </w:tcPr>
          <w:p w14:paraId="7FC675A3" w14:textId="77777777" w:rsidR="00392769" w:rsidRPr="00545EC0" w:rsidRDefault="00392769" w:rsidP="00C12042">
            <w:pPr>
              <w:spacing w:before="60" w:after="60"/>
              <w:rPr>
                <w:rFonts w:cs="Arial"/>
                <w:sz w:val="18"/>
                <w:szCs w:val="18"/>
              </w:rPr>
            </w:pPr>
            <w:r w:rsidRPr="00545EC0">
              <w:rPr>
                <w:rFonts w:cs="Arial"/>
                <w:sz w:val="18"/>
                <w:szCs w:val="18"/>
              </w:rPr>
              <w:t>Tehnološki namen</w:t>
            </w:r>
          </w:p>
        </w:tc>
        <w:tc>
          <w:tcPr>
            <w:tcW w:w="3095" w:type="dxa"/>
          </w:tcPr>
          <w:p w14:paraId="7B9BFAA1" w14:textId="77777777" w:rsidR="00392769" w:rsidRPr="00545EC0" w:rsidRDefault="00392769" w:rsidP="00C12042">
            <w:pPr>
              <w:spacing w:before="60" w:after="60"/>
              <w:rPr>
                <w:rFonts w:cs="Arial"/>
                <w:sz w:val="18"/>
                <w:szCs w:val="18"/>
              </w:rPr>
            </w:pPr>
            <w:r w:rsidRPr="00545EC0">
              <w:rPr>
                <w:rFonts w:cs="Arial"/>
                <w:sz w:val="18"/>
                <w:szCs w:val="18"/>
              </w:rPr>
              <w:t>8.901.045</w:t>
            </w:r>
          </w:p>
        </w:tc>
      </w:tr>
      <w:tr w:rsidR="003122F4" w:rsidRPr="00545EC0" w14:paraId="23F12C05" w14:textId="77777777" w:rsidTr="00C12042">
        <w:tc>
          <w:tcPr>
            <w:tcW w:w="1101" w:type="dxa"/>
          </w:tcPr>
          <w:p w14:paraId="31F22A24" w14:textId="77777777" w:rsidR="00392769" w:rsidRPr="00545EC0" w:rsidRDefault="00392769" w:rsidP="00C12042">
            <w:pPr>
              <w:spacing w:before="60" w:after="60"/>
              <w:rPr>
                <w:rFonts w:cs="Arial"/>
                <w:sz w:val="18"/>
                <w:szCs w:val="18"/>
              </w:rPr>
            </w:pPr>
            <w:r w:rsidRPr="00545EC0">
              <w:rPr>
                <w:rFonts w:cs="Arial"/>
                <w:sz w:val="18"/>
                <w:szCs w:val="18"/>
              </w:rPr>
              <w:t>3</w:t>
            </w:r>
          </w:p>
        </w:tc>
        <w:tc>
          <w:tcPr>
            <w:tcW w:w="5093" w:type="dxa"/>
          </w:tcPr>
          <w:p w14:paraId="32476C9D" w14:textId="77777777" w:rsidR="00392769" w:rsidRPr="00545EC0" w:rsidRDefault="00392769" w:rsidP="00C12042">
            <w:pPr>
              <w:spacing w:before="60" w:after="60"/>
              <w:rPr>
                <w:rFonts w:cs="Arial"/>
                <w:sz w:val="18"/>
                <w:szCs w:val="18"/>
              </w:rPr>
            </w:pPr>
            <w:r w:rsidRPr="00545EC0">
              <w:rPr>
                <w:rFonts w:cs="Arial"/>
                <w:sz w:val="18"/>
                <w:szCs w:val="18"/>
              </w:rPr>
              <w:t>Dejavnosti kopališč</w:t>
            </w:r>
          </w:p>
        </w:tc>
        <w:tc>
          <w:tcPr>
            <w:tcW w:w="3095" w:type="dxa"/>
          </w:tcPr>
          <w:p w14:paraId="791E8C16" w14:textId="77777777" w:rsidR="00392769" w:rsidRPr="00545EC0" w:rsidRDefault="00392769" w:rsidP="00C12042">
            <w:pPr>
              <w:spacing w:before="60" w:after="60"/>
              <w:rPr>
                <w:rFonts w:cs="Arial"/>
                <w:sz w:val="18"/>
                <w:szCs w:val="18"/>
              </w:rPr>
            </w:pPr>
            <w:r w:rsidRPr="00545EC0">
              <w:rPr>
                <w:rFonts w:cs="Arial"/>
                <w:sz w:val="18"/>
                <w:szCs w:val="18"/>
              </w:rPr>
              <w:t>578.101</w:t>
            </w:r>
          </w:p>
        </w:tc>
      </w:tr>
      <w:tr w:rsidR="003122F4" w:rsidRPr="00545EC0" w14:paraId="20AD2557" w14:textId="77777777" w:rsidTr="00C12042">
        <w:tc>
          <w:tcPr>
            <w:tcW w:w="1101" w:type="dxa"/>
          </w:tcPr>
          <w:p w14:paraId="7632713D" w14:textId="77777777" w:rsidR="00392769" w:rsidRPr="00545EC0" w:rsidRDefault="00392769" w:rsidP="00C12042">
            <w:pPr>
              <w:spacing w:before="60" w:after="60"/>
              <w:rPr>
                <w:rFonts w:cs="Arial"/>
                <w:sz w:val="18"/>
                <w:szCs w:val="18"/>
              </w:rPr>
            </w:pPr>
            <w:r w:rsidRPr="00545EC0">
              <w:rPr>
                <w:rFonts w:cs="Arial"/>
                <w:sz w:val="18"/>
                <w:szCs w:val="18"/>
              </w:rPr>
              <w:t>4</w:t>
            </w:r>
          </w:p>
        </w:tc>
        <w:tc>
          <w:tcPr>
            <w:tcW w:w="5093" w:type="dxa"/>
          </w:tcPr>
          <w:p w14:paraId="082F1E8F" w14:textId="77777777" w:rsidR="00392769" w:rsidRPr="00545EC0" w:rsidRDefault="00392769" w:rsidP="00C12042">
            <w:pPr>
              <w:spacing w:before="60" w:after="60"/>
              <w:rPr>
                <w:rFonts w:cs="Arial"/>
                <w:sz w:val="18"/>
                <w:szCs w:val="18"/>
              </w:rPr>
            </w:pPr>
            <w:r w:rsidRPr="00545EC0">
              <w:rPr>
                <w:rFonts w:cs="Arial"/>
                <w:sz w:val="18"/>
                <w:szCs w:val="18"/>
              </w:rPr>
              <w:t>Pridobivanje toplote in ogrevanje</w:t>
            </w:r>
          </w:p>
        </w:tc>
        <w:tc>
          <w:tcPr>
            <w:tcW w:w="3095" w:type="dxa"/>
          </w:tcPr>
          <w:p w14:paraId="12B40EEC" w14:textId="77777777" w:rsidR="00392769" w:rsidRPr="00545EC0" w:rsidRDefault="00392769" w:rsidP="00C12042">
            <w:pPr>
              <w:spacing w:before="60" w:after="60"/>
              <w:rPr>
                <w:rFonts w:cs="Arial"/>
                <w:sz w:val="18"/>
                <w:szCs w:val="18"/>
              </w:rPr>
            </w:pPr>
            <w:r w:rsidRPr="00545EC0">
              <w:rPr>
                <w:rFonts w:cs="Arial"/>
                <w:sz w:val="18"/>
                <w:szCs w:val="18"/>
              </w:rPr>
              <w:t>234.871</w:t>
            </w:r>
          </w:p>
        </w:tc>
      </w:tr>
      <w:tr w:rsidR="003122F4" w:rsidRPr="00545EC0" w14:paraId="6483038F" w14:textId="77777777" w:rsidTr="00C12042">
        <w:tc>
          <w:tcPr>
            <w:tcW w:w="1101" w:type="dxa"/>
          </w:tcPr>
          <w:p w14:paraId="2D7E3786" w14:textId="77777777" w:rsidR="00392769" w:rsidRPr="00545EC0" w:rsidRDefault="00392769" w:rsidP="00C12042">
            <w:pPr>
              <w:spacing w:before="60" w:after="60"/>
              <w:rPr>
                <w:rFonts w:cs="Arial"/>
                <w:sz w:val="18"/>
                <w:szCs w:val="18"/>
              </w:rPr>
            </w:pPr>
            <w:r w:rsidRPr="00545EC0">
              <w:rPr>
                <w:rFonts w:cs="Arial"/>
                <w:sz w:val="18"/>
                <w:szCs w:val="18"/>
              </w:rPr>
              <w:t>5</w:t>
            </w:r>
          </w:p>
        </w:tc>
        <w:tc>
          <w:tcPr>
            <w:tcW w:w="5093" w:type="dxa"/>
          </w:tcPr>
          <w:p w14:paraId="5E24DD01" w14:textId="77777777" w:rsidR="00392769" w:rsidRPr="00545EC0" w:rsidRDefault="00392769" w:rsidP="00C12042">
            <w:pPr>
              <w:spacing w:before="60" w:after="60"/>
              <w:rPr>
                <w:rFonts w:cs="Arial"/>
                <w:sz w:val="18"/>
                <w:szCs w:val="18"/>
              </w:rPr>
            </w:pPr>
            <w:r w:rsidRPr="00545EC0">
              <w:rPr>
                <w:rFonts w:cs="Arial"/>
                <w:sz w:val="18"/>
                <w:szCs w:val="18"/>
              </w:rPr>
              <w:t>Športni ribolov v komercialnih ribnikih</w:t>
            </w:r>
          </w:p>
        </w:tc>
        <w:tc>
          <w:tcPr>
            <w:tcW w:w="3095" w:type="dxa"/>
          </w:tcPr>
          <w:p w14:paraId="473F5A96" w14:textId="77777777" w:rsidR="00392769" w:rsidRPr="00545EC0" w:rsidRDefault="00392769" w:rsidP="00C12042">
            <w:pPr>
              <w:spacing w:before="60" w:after="60"/>
              <w:rPr>
                <w:rFonts w:cs="Arial"/>
                <w:sz w:val="18"/>
                <w:szCs w:val="18"/>
              </w:rPr>
            </w:pPr>
            <w:r w:rsidRPr="00545EC0">
              <w:rPr>
                <w:rFonts w:cs="Arial"/>
                <w:sz w:val="18"/>
                <w:szCs w:val="18"/>
              </w:rPr>
              <w:t>7.374</w:t>
            </w:r>
          </w:p>
        </w:tc>
      </w:tr>
      <w:tr w:rsidR="003122F4" w:rsidRPr="00545EC0" w14:paraId="5EB98C83" w14:textId="77777777" w:rsidTr="00C12042">
        <w:tc>
          <w:tcPr>
            <w:tcW w:w="1101" w:type="dxa"/>
          </w:tcPr>
          <w:p w14:paraId="112C6157" w14:textId="77777777" w:rsidR="00392769" w:rsidRPr="00545EC0" w:rsidRDefault="00392769" w:rsidP="00C12042">
            <w:pPr>
              <w:spacing w:before="60" w:after="60"/>
              <w:rPr>
                <w:rFonts w:cs="Arial"/>
                <w:sz w:val="18"/>
                <w:szCs w:val="18"/>
              </w:rPr>
            </w:pPr>
            <w:r w:rsidRPr="00545EC0">
              <w:rPr>
                <w:rFonts w:cs="Arial"/>
                <w:sz w:val="18"/>
                <w:szCs w:val="18"/>
              </w:rPr>
              <w:t>6</w:t>
            </w:r>
          </w:p>
        </w:tc>
        <w:tc>
          <w:tcPr>
            <w:tcW w:w="5093" w:type="dxa"/>
          </w:tcPr>
          <w:p w14:paraId="6E9EF8A8" w14:textId="77777777" w:rsidR="00392769" w:rsidRPr="00545EC0" w:rsidRDefault="00392769" w:rsidP="00C12042">
            <w:pPr>
              <w:spacing w:before="60" w:after="60"/>
              <w:rPr>
                <w:rFonts w:cs="Arial"/>
                <w:sz w:val="18"/>
                <w:szCs w:val="18"/>
              </w:rPr>
            </w:pPr>
            <w:r w:rsidRPr="00545EC0">
              <w:rPr>
                <w:rFonts w:cs="Arial"/>
                <w:sz w:val="18"/>
                <w:szCs w:val="18"/>
              </w:rPr>
              <w:t>Pogon vodnega mlina, žage ali podobne naprave</w:t>
            </w:r>
          </w:p>
        </w:tc>
        <w:tc>
          <w:tcPr>
            <w:tcW w:w="3095" w:type="dxa"/>
          </w:tcPr>
          <w:p w14:paraId="63B62BC2" w14:textId="77777777" w:rsidR="00392769" w:rsidRPr="00545EC0" w:rsidRDefault="00392769" w:rsidP="00C12042">
            <w:pPr>
              <w:spacing w:before="60" w:after="60"/>
              <w:rPr>
                <w:rFonts w:cs="Arial"/>
                <w:sz w:val="18"/>
                <w:szCs w:val="18"/>
              </w:rPr>
            </w:pPr>
            <w:r w:rsidRPr="00545EC0">
              <w:rPr>
                <w:rFonts w:cs="Arial"/>
                <w:sz w:val="18"/>
                <w:szCs w:val="18"/>
              </w:rPr>
              <w:t>22</w:t>
            </w:r>
          </w:p>
        </w:tc>
      </w:tr>
      <w:tr w:rsidR="003122F4" w:rsidRPr="00545EC0" w14:paraId="318A18BB" w14:textId="77777777" w:rsidTr="00C12042">
        <w:tc>
          <w:tcPr>
            <w:tcW w:w="1101" w:type="dxa"/>
          </w:tcPr>
          <w:p w14:paraId="0F507208" w14:textId="77777777" w:rsidR="00392769" w:rsidRPr="00545EC0" w:rsidRDefault="00392769" w:rsidP="00C12042">
            <w:pPr>
              <w:spacing w:before="60" w:after="60"/>
              <w:rPr>
                <w:rFonts w:cs="Arial"/>
                <w:sz w:val="18"/>
                <w:szCs w:val="18"/>
              </w:rPr>
            </w:pPr>
            <w:r w:rsidRPr="00545EC0">
              <w:rPr>
                <w:rFonts w:cs="Arial"/>
                <w:sz w:val="18"/>
                <w:szCs w:val="18"/>
              </w:rPr>
              <w:t>7</w:t>
            </w:r>
          </w:p>
        </w:tc>
        <w:tc>
          <w:tcPr>
            <w:tcW w:w="5093" w:type="dxa"/>
          </w:tcPr>
          <w:p w14:paraId="1C335AB9" w14:textId="77777777" w:rsidR="00392769" w:rsidRPr="00545EC0" w:rsidRDefault="00392769" w:rsidP="00C12042">
            <w:pPr>
              <w:spacing w:before="60" w:after="60"/>
              <w:rPr>
                <w:rFonts w:cs="Arial"/>
                <w:sz w:val="18"/>
                <w:szCs w:val="18"/>
              </w:rPr>
            </w:pPr>
            <w:r w:rsidRPr="00545EC0">
              <w:rPr>
                <w:rFonts w:cs="Arial"/>
                <w:sz w:val="18"/>
                <w:szCs w:val="18"/>
              </w:rPr>
              <w:t>Gojenje sladkovodnih in morskih organizmov</w:t>
            </w:r>
          </w:p>
        </w:tc>
        <w:tc>
          <w:tcPr>
            <w:tcW w:w="3095" w:type="dxa"/>
          </w:tcPr>
          <w:p w14:paraId="792C3F6C" w14:textId="77777777" w:rsidR="00392769" w:rsidRPr="00545EC0" w:rsidRDefault="00392769" w:rsidP="00C12042">
            <w:pPr>
              <w:spacing w:before="60" w:after="60"/>
              <w:rPr>
                <w:rFonts w:cs="Arial"/>
                <w:sz w:val="18"/>
                <w:szCs w:val="18"/>
              </w:rPr>
            </w:pPr>
            <w:r w:rsidRPr="00545EC0">
              <w:rPr>
                <w:rFonts w:cs="Arial"/>
                <w:sz w:val="18"/>
                <w:szCs w:val="18"/>
              </w:rPr>
              <w:t>16.463</w:t>
            </w:r>
          </w:p>
        </w:tc>
      </w:tr>
      <w:tr w:rsidR="003122F4" w:rsidRPr="00545EC0" w14:paraId="558B6755" w14:textId="77777777" w:rsidTr="00C12042">
        <w:tc>
          <w:tcPr>
            <w:tcW w:w="1101" w:type="dxa"/>
          </w:tcPr>
          <w:p w14:paraId="19E39993" w14:textId="77777777" w:rsidR="00392769" w:rsidRPr="00545EC0" w:rsidRDefault="00392769" w:rsidP="00C12042">
            <w:pPr>
              <w:spacing w:before="60" w:after="60"/>
              <w:rPr>
                <w:rFonts w:cs="Arial"/>
                <w:sz w:val="18"/>
                <w:szCs w:val="18"/>
              </w:rPr>
            </w:pPr>
            <w:r w:rsidRPr="00545EC0">
              <w:rPr>
                <w:rFonts w:cs="Arial"/>
                <w:sz w:val="18"/>
                <w:szCs w:val="18"/>
              </w:rPr>
              <w:t>8</w:t>
            </w:r>
          </w:p>
        </w:tc>
        <w:tc>
          <w:tcPr>
            <w:tcW w:w="5093" w:type="dxa"/>
          </w:tcPr>
          <w:p w14:paraId="4B87557F" w14:textId="77777777" w:rsidR="00392769" w:rsidRPr="00545EC0" w:rsidRDefault="00392769" w:rsidP="00C12042">
            <w:pPr>
              <w:spacing w:before="60" w:after="60"/>
              <w:rPr>
                <w:rFonts w:cs="Arial"/>
                <w:sz w:val="18"/>
                <w:szCs w:val="18"/>
              </w:rPr>
            </w:pPr>
            <w:r w:rsidRPr="00545EC0">
              <w:rPr>
                <w:rFonts w:cs="Arial"/>
                <w:sz w:val="18"/>
                <w:szCs w:val="18"/>
              </w:rPr>
              <w:t>Obratovanje pristanišč in vstopno-izstopnih mest</w:t>
            </w:r>
          </w:p>
        </w:tc>
        <w:tc>
          <w:tcPr>
            <w:tcW w:w="3095" w:type="dxa"/>
          </w:tcPr>
          <w:p w14:paraId="21E7D2B6" w14:textId="77777777" w:rsidR="00392769" w:rsidRPr="00545EC0" w:rsidRDefault="00392769" w:rsidP="00C12042">
            <w:pPr>
              <w:spacing w:before="60" w:after="60"/>
              <w:rPr>
                <w:rFonts w:cs="Arial"/>
                <w:sz w:val="18"/>
                <w:szCs w:val="18"/>
              </w:rPr>
            </w:pPr>
            <w:r w:rsidRPr="00545EC0">
              <w:rPr>
                <w:rFonts w:cs="Arial"/>
                <w:sz w:val="18"/>
                <w:szCs w:val="18"/>
              </w:rPr>
              <w:t>737.459</w:t>
            </w:r>
          </w:p>
        </w:tc>
      </w:tr>
      <w:tr w:rsidR="003122F4" w:rsidRPr="00545EC0" w14:paraId="57E9F0CD" w14:textId="77777777" w:rsidTr="00C12042">
        <w:tc>
          <w:tcPr>
            <w:tcW w:w="1101" w:type="dxa"/>
          </w:tcPr>
          <w:p w14:paraId="60081233" w14:textId="77777777" w:rsidR="00392769" w:rsidRPr="00545EC0" w:rsidRDefault="00392769" w:rsidP="00C12042">
            <w:pPr>
              <w:spacing w:before="60" w:after="60"/>
              <w:rPr>
                <w:rFonts w:cs="Arial"/>
                <w:sz w:val="18"/>
                <w:szCs w:val="18"/>
              </w:rPr>
            </w:pPr>
            <w:r w:rsidRPr="00545EC0">
              <w:rPr>
                <w:rFonts w:cs="Arial"/>
                <w:sz w:val="18"/>
                <w:szCs w:val="18"/>
              </w:rPr>
              <w:t>9</w:t>
            </w:r>
          </w:p>
        </w:tc>
        <w:tc>
          <w:tcPr>
            <w:tcW w:w="5093" w:type="dxa"/>
          </w:tcPr>
          <w:p w14:paraId="30AF2511" w14:textId="77777777" w:rsidR="00392769" w:rsidRPr="00545EC0" w:rsidRDefault="00392769" w:rsidP="00C12042">
            <w:pPr>
              <w:spacing w:before="60" w:after="60"/>
              <w:rPr>
                <w:rFonts w:cs="Arial"/>
                <w:sz w:val="18"/>
                <w:szCs w:val="18"/>
              </w:rPr>
            </w:pPr>
            <w:r w:rsidRPr="00545EC0">
              <w:rPr>
                <w:rFonts w:cs="Arial"/>
                <w:sz w:val="18"/>
                <w:szCs w:val="18"/>
              </w:rPr>
              <w:t>Zasneževanje smučišč in drugih površin</w:t>
            </w:r>
          </w:p>
        </w:tc>
        <w:tc>
          <w:tcPr>
            <w:tcW w:w="3095" w:type="dxa"/>
          </w:tcPr>
          <w:p w14:paraId="4A2DBE4A" w14:textId="77777777" w:rsidR="00392769" w:rsidRPr="00545EC0" w:rsidRDefault="00392769" w:rsidP="00C12042">
            <w:pPr>
              <w:spacing w:before="60" w:after="60"/>
              <w:rPr>
                <w:rFonts w:cs="Arial"/>
                <w:sz w:val="18"/>
                <w:szCs w:val="18"/>
              </w:rPr>
            </w:pPr>
            <w:r w:rsidRPr="00545EC0">
              <w:rPr>
                <w:rFonts w:cs="Arial"/>
                <w:sz w:val="18"/>
                <w:szCs w:val="18"/>
              </w:rPr>
              <w:t>47.562</w:t>
            </w:r>
          </w:p>
        </w:tc>
      </w:tr>
      <w:tr w:rsidR="003122F4" w:rsidRPr="00545EC0" w14:paraId="0898B496" w14:textId="77777777" w:rsidTr="00C12042">
        <w:tc>
          <w:tcPr>
            <w:tcW w:w="1101" w:type="dxa"/>
          </w:tcPr>
          <w:p w14:paraId="44C7D318" w14:textId="77777777" w:rsidR="00392769" w:rsidRPr="00545EC0" w:rsidRDefault="00392769" w:rsidP="00C12042">
            <w:pPr>
              <w:spacing w:before="60" w:after="60"/>
              <w:rPr>
                <w:rFonts w:cs="Arial"/>
                <w:sz w:val="18"/>
                <w:szCs w:val="18"/>
              </w:rPr>
            </w:pPr>
            <w:r w:rsidRPr="00545EC0">
              <w:rPr>
                <w:rFonts w:cs="Arial"/>
                <w:sz w:val="18"/>
                <w:szCs w:val="18"/>
              </w:rPr>
              <w:t>10</w:t>
            </w:r>
          </w:p>
        </w:tc>
        <w:tc>
          <w:tcPr>
            <w:tcW w:w="5093" w:type="dxa"/>
          </w:tcPr>
          <w:p w14:paraId="40FA2BC4" w14:textId="77777777" w:rsidR="00392769" w:rsidRPr="00545EC0" w:rsidRDefault="00392769" w:rsidP="00C12042">
            <w:pPr>
              <w:spacing w:before="60" w:after="60"/>
              <w:rPr>
                <w:rFonts w:cs="Arial"/>
                <w:sz w:val="18"/>
                <w:szCs w:val="18"/>
              </w:rPr>
            </w:pPr>
            <w:r w:rsidRPr="00545EC0">
              <w:rPr>
                <w:rFonts w:cs="Arial"/>
                <w:sz w:val="18"/>
                <w:szCs w:val="18"/>
              </w:rPr>
              <w:t>Proizvodnja električne energije</w:t>
            </w:r>
          </w:p>
        </w:tc>
        <w:tc>
          <w:tcPr>
            <w:tcW w:w="3095" w:type="dxa"/>
          </w:tcPr>
          <w:p w14:paraId="586DD532" w14:textId="77777777" w:rsidR="00392769" w:rsidRPr="00545EC0" w:rsidRDefault="00392769" w:rsidP="00C12042">
            <w:pPr>
              <w:spacing w:before="60" w:after="60"/>
              <w:rPr>
                <w:rFonts w:cs="Arial"/>
                <w:sz w:val="18"/>
                <w:szCs w:val="18"/>
              </w:rPr>
            </w:pPr>
            <w:r w:rsidRPr="00545EC0">
              <w:rPr>
                <w:rFonts w:cs="Arial"/>
                <w:sz w:val="18"/>
                <w:szCs w:val="18"/>
              </w:rPr>
              <w:t>9.202.403</w:t>
            </w:r>
          </w:p>
        </w:tc>
      </w:tr>
      <w:tr w:rsidR="003122F4" w:rsidRPr="00545EC0" w14:paraId="49011CD1" w14:textId="77777777" w:rsidTr="00C12042">
        <w:tc>
          <w:tcPr>
            <w:tcW w:w="1101" w:type="dxa"/>
          </w:tcPr>
          <w:p w14:paraId="655494AA" w14:textId="77777777" w:rsidR="00392769" w:rsidRPr="00545EC0" w:rsidRDefault="00392769" w:rsidP="00C12042">
            <w:pPr>
              <w:spacing w:before="60" w:after="60"/>
              <w:rPr>
                <w:rFonts w:cs="Arial"/>
                <w:sz w:val="18"/>
                <w:szCs w:val="18"/>
              </w:rPr>
            </w:pPr>
            <w:r w:rsidRPr="00545EC0">
              <w:rPr>
                <w:rFonts w:cs="Arial"/>
                <w:sz w:val="18"/>
                <w:szCs w:val="18"/>
              </w:rPr>
              <w:t>11</w:t>
            </w:r>
          </w:p>
        </w:tc>
        <w:tc>
          <w:tcPr>
            <w:tcW w:w="5093" w:type="dxa"/>
          </w:tcPr>
          <w:p w14:paraId="78D8241B" w14:textId="77777777" w:rsidR="00392769" w:rsidRPr="00545EC0" w:rsidRDefault="00392769" w:rsidP="00C12042">
            <w:pPr>
              <w:spacing w:before="60" w:after="60"/>
              <w:rPr>
                <w:rFonts w:cs="Arial"/>
                <w:sz w:val="18"/>
                <w:szCs w:val="18"/>
              </w:rPr>
            </w:pPr>
            <w:r w:rsidRPr="00545EC0">
              <w:rPr>
                <w:rFonts w:cs="Arial"/>
                <w:sz w:val="18"/>
                <w:szCs w:val="18"/>
              </w:rPr>
              <w:t>Proizvodnja pijač</w:t>
            </w:r>
          </w:p>
        </w:tc>
        <w:tc>
          <w:tcPr>
            <w:tcW w:w="3095" w:type="dxa"/>
          </w:tcPr>
          <w:p w14:paraId="16EE24A9" w14:textId="77777777" w:rsidR="00392769" w:rsidRPr="00545EC0" w:rsidRDefault="00392769" w:rsidP="00C12042">
            <w:pPr>
              <w:spacing w:before="60" w:after="60"/>
              <w:rPr>
                <w:rFonts w:cs="Arial"/>
                <w:sz w:val="18"/>
                <w:szCs w:val="18"/>
              </w:rPr>
            </w:pPr>
            <w:r w:rsidRPr="00545EC0">
              <w:rPr>
                <w:rFonts w:cs="Arial"/>
                <w:sz w:val="18"/>
                <w:szCs w:val="18"/>
              </w:rPr>
              <w:t>92.240</w:t>
            </w:r>
          </w:p>
        </w:tc>
      </w:tr>
      <w:tr w:rsidR="003122F4" w:rsidRPr="00545EC0" w14:paraId="0BC0D75B" w14:textId="77777777" w:rsidTr="00C12042">
        <w:tc>
          <w:tcPr>
            <w:tcW w:w="1101" w:type="dxa"/>
          </w:tcPr>
          <w:p w14:paraId="4ABB6B52" w14:textId="77777777" w:rsidR="00392769" w:rsidRPr="00545EC0" w:rsidRDefault="00392769" w:rsidP="00C12042">
            <w:pPr>
              <w:spacing w:before="60" w:after="60"/>
              <w:rPr>
                <w:rFonts w:cs="Arial"/>
                <w:sz w:val="18"/>
                <w:szCs w:val="18"/>
              </w:rPr>
            </w:pPr>
            <w:r w:rsidRPr="00545EC0">
              <w:rPr>
                <w:rFonts w:cs="Arial"/>
                <w:sz w:val="18"/>
                <w:szCs w:val="18"/>
              </w:rPr>
              <w:t>12</w:t>
            </w:r>
          </w:p>
        </w:tc>
        <w:tc>
          <w:tcPr>
            <w:tcW w:w="5093" w:type="dxa"/>
          </w:tcPr>
          <w:p w14:paraId="13110A20" w14:textId="77777777" w:rsidR="00392769" w:rsidRPr="00545EC0" w:rsidRDefault="00392769" w:rsidP="00C12042">
            <w:pPr>
              <w:spacing w:before="60" w:after="60"/>
              <w:rPr>
                <w:rFonts w:cs="Arial"/>
                <w:sz w:val="18"/>
                <w:szCs w:val="18"/>
              </w:rPr>
            </w:pPr>
            <w:r w:rsidRPr="00545EC0">
              <w:rPr>
                <w:rFonts w:cs="Arial"/>
                <w:sz w:val="18"/>
                <w:szCs w:val="18"/>
              </w:rPr>
              <w:t>Druga raba mineralne, termalne ali termomineralne vode</w:t>
            </w:r>
          </w:p>
        </w:tc>
        <w:tc>
          <w:tcPr>
            <w:tcW w:w="3095" w:type="dxa"/>
          </w:tcPr>
          <w:p w14:paraId="0FBE1F3B" w14:textId="77777777" w:rsidR="00392769" w:rsidRPr="00545EC0" w:rsidRDefault="00392769" w:rsidP="00C12042">
            <w:pPr>
              <w:spacing w:before="60" w:after="60"/>
              <w:rPr>
                <w:rFonts w:cs="Arial"/>
                <w:sz w:val="18"/>
                <w:szCs w:val="18"/>
              </w:rPr>
            </w:pPr>
            <w:r w:rsidRPr="00545EC0">
              <w:rPr>
                <w:rFonts w:cs="Arial"/>
                <w:sz w:val="18"/>
                <w:szCs w:val="18"/>
              </w:rPr>
              <w:t>2.173</w:t>
            </w:r>
          </w:p>
        </w:tc>
      </w:tr>
      <w:tr w:rsidR="003122F4" w:rsidRPr="00545EC0" w14:paraId="185F370E" w14:textId="77777777" w:rsidTr="00C12042">
        <w:tc>
          <w:tcPr>
            <w:tcW w:w="1101" w:type="dxa"/>
          </w:tcPr>
          <w:p w14:paraId="00126507" w14:textId="77777777" w:rsidR="00392769" w:rsidRPr="00545EC0" w:rsidRDefault="00392769" w:rsidP="00C12042">
            <w:pPr>
              <w:spacing w:before="60" w:after="60"/>
              <w:rPr>
                <w:rFonts w:cs="Arial"/>
                <w:sz w:val="18"/>
                <w:szCs w:val="18"/>
              </w:rPr>
            </w:pPr>
            <w:r w:rsidRPr="00545EC0">
              <w:rPr>
                <w:rFonts w:cs="Arial"/>
                <w:sz w:val="18"/>
                <w:szCs w:val="18"/>
              </w:rPr>
              <w:t>13</w:t>
            </w:r>
          </w:p>
        </w:tc>
        <w:tc>
          <w:tcPr>
            <w:tcW w:w="5093" w:type="dxa"/>
          </w:tcPr>
          <w:p w14:paraId="5CBA5C0A" w14:textId="77777777" w:rsidR="00392769" w:rsidRPr="00545EC0" w:rsidRDefault="00392769" w:rsidP="00C12042">
            <w:pPr>
              <w:spacing w:before="60" w:after="60"/>
              <w:rPr>
                <w:rFonts w:cs="Arial"/>
                <w:sz w:val="18"/>
                <w:szCs w:val="18"/>
              </w:rPr>
            </w:pPr>
            <w:r w:rsidRPr="00545EC0">
              <w:rPr>
                <w:rFonts w:cs="Arial"/>
                <w:sz w:val="18"/>
                <w:szCs w:val="18"/>
              </w:rPr>
              <w:t>Odvzem naplavin</w:t>
            </w:r>
          </w:p>
        </w:tc>
        <w:tc>
          <w:tcPr>
            <w:tcW w:w="3095" w:type="dxa"/>
          </w:tcPr>
          <w:p w14:paraId="7469C2B3" w14:textId="77777777" w:rsidR="00392769" w:rsidRPr="00545EC0" w:rsidRDefault="00392769" w:rsidP="00C12042">
            <w:pPr>
              <w:spacing w:before="60" w:after="60"/>
              <w:rPr>
                <w:rFonts w:cs="Arial"/>
                <w:sz w:val="18"/>
                <w:szCs w:val="18"/>
              </w:rPr>
            </w:pPr>
            <w:r w:rsidRPr="00545EC0">
              <w:rPr>
                <w:rFonts w:cs="Arial"/>
                <w:sz w:val="18"/>
                <w:szCs w:val="18"/>
              </w:rPr>
              <w:t>1.154.296</w:t>
            </w:r>
          </w:p>
        </w:tc>
      </w:tr>
      <w:tr w:rsidR="003122F4" w:rsidRPr="00545EC0" w14:paraId="046863DA" w14:textId="77777777" w:rsidTr="00C12042">
        <w:tc>
          <w:tcPr>
            <w:tcW w:w="1101" w:type="dxa"/>
          </w:tcPr>
          <w:p w14:paraId="17CFC877" w14:textId="77777777" w:rsidR="00392769" w:rsidRPr="00545EC0" w:rsidRDefault="00392769" w:rsidP="00C12042">
            <w:pPr>
              <w:spacing w:before="60" w:after="60"/>
              <w:rPr>
                <w:rFonts w:cs="Arial"/>
                <w:sz w:val="18"/>
                <w:szCs w:val="18"/>
              </w:rPr>
            </w:pPr>
            <w:r w:rsidRPr="00545EC0">
              <w:rPr>
                <w:rFonts w:cs="Arial"/>
                <w:sz w:val="18"/>
                <w:szCs w:val="18"/>
              </w:rPr>
              <w:t>14</w:t>
            </w:r>
          </w:p>
        </w:tc>
        <w:tc>
          <w:tcPr>
            <w:tcW w:w="5093" w:type="dxa"/>
          </w:tcPr>
          <w:p w14:paraId="194A2F6F" w14:textId="77777777" w:rsidR="00392769" w:rsidRPr="00545EC0" w:rsidRDefault="00392769" w:rsidP="00C12042">
            <w:pPr>
              <w:spacing w:before="60" w:after="60"/>
              <w:rPr>
                <w:rFonts w:cs="Arial"/>
                <w:sz w:val="18"/>
                <w:szCs w:val="18"/>
              </w:rPr>
            </w:pPr>
            <w:r w:rsidRPr="00545EC0">
              <w:rPr>
                <w:rFonts w:cs="Arial"/>
                <w:sz w:val="18"/>
                <w:szCs w:val="18"/>
              </w:rPr>
              <w:t>Druga raba vode, ki presega splošno rabo</w:t>
            </w:r>
          </w:p>
        </w:tc>
        <w:tc>
          <w:tcPr>
            <w:tcW w:w="3095" w:type="dxa"/>
          </w:tcPr>
          <w:p w14:paraId="4E0A83A0" w14:textId="77777777" w:rsidR="00392769" w:rsidRPr="00545EC0" w:rsidRDefault="00392769" w:rsidP="00C12042">
            <w:pPr>
              <w:spacing w:before="60" w:after="60"/>
              <w:rPr>
                <w:rFonts w:cs="Arial"/>
                <w:sz w:val="18"/>
                <w:szCs w:val="18"/>
              </w:rPr>
            </w:pPr>
            <w:r w:rsidRPr="00545EC0">
              <w:rPr>
                <w:rFonts w:cs="Arial"/>
                <w:sz w:val="18"/>
                <w:szCs w:val="18"/>
              </w:rPr>
              <w:t>0</w:t>
            </w:r>
          </w:p>
        </w:tc>
      </w:tr>
      <w:tr w:rsidR="003122F4" w:rsidRPr="00545EC0" w14:paraId="040B872A" w14:textId="77777777" w:rsidTr="00C12042">
        <w:tc>
          <w:tcPr>
            <w:tcW w:w="6194" w:type="dxa"/>
            <w:gridSpan w:val="2"/>
          </w:tcPr>
          <w:p w14:paraId="33CB43B0" w14:textId="77777777" w:rsidR="00392769" w:rsidRPr="00545EC0" w:rsidRDefault="00392769" w:rsidP="00C12042">
            <w:pPr>
              <w:spacing w:before="60" w:after="60"/>
              <w:rPr>
                <w:rFonts w:cs="Arial"/>
                <w:sz w:val="18"/>
                <w:szCs w:val="18"/>
              </w:rPr>
            </w:pPr>
            <w:r w:rsidRPr="00545EC0">
              <w:rPr>
                <w:rFonts w:cs="Arial"/>
                <w:sz w:val="18"/>
                <w:szCs w:val="18"/>
              </w:rPr>
              <w:lastRenderedPageBreak/>
              <w:t xml:space="preserve"> KMETIJSTVO</w:t>
            </w:r>
          </w:p>
        </w:tc>
        <w:tc>
          <w:tcPr>
            <w:tcW w:w="3095" w:type="dxa"/>
          </w:tcPr>
          <w:p w14:paraId="17F09832" w14:textId="77777777" w:rsidR="00392769" w:rsidRPr="00545EC0" w:rsidRDefault="00392769" w:rsidP="00C12042">
            <w:pPr>
              <w:spacing w:before="60" w:after="60"/>
              <w:rPr>
                <w:rFonts w:cs="Arial"/>
                <w:sz w:val="18"/>
                <w:szCs w:val="18"/>
              </w:rPr>
            </w:pPr>
            <w:r w:rsidRPr="00545EC0">
              <w:rPr>
                <w:rFonts w:cs="Arial"/>
                <w:sz w:val="18"/>
                <w:szCs w:val="18"/>
              </w:rPr>
              <w:t>44.577</w:t>
            </w:r>
          </w:p>
        </w:tc>
      </w:tr>
      <w:tr w:rsidR="00392769" w:rsidRPr="00545EC0" w14:paraId="1F3200FA" w14:textId="77777777" w:rsidTr="00C12042">
        <w:tc>
          <w:tcPr>
            <w:tcW w:w="1101" w:type="dxa"/>
          </w:tcPr>
          <w:p w14:paraId="494D174C" w14:textId="77777777" w:rsidR="00392769" w:rsidRPr="00545EC0" w:rsidRDefault="00392769" w:rsidP="00C12042">
            <w:pPr>
              <w:spacing w:before="60" w:after="60"/>
              <w:rPr>
                <w:rFonts w:cs="Arial"/>
                <w:sz w:val="18"/>
                <w:szCs w:val="18"/>
              </w:rPr>
            </w:pPr>
            <w:r w:rsidRPr="00545EC0">
              <w:rPr>
                <w:rFonts w:cs="Arial"/>
                <w:sz w:val="18"/>
                <w:szCs w:val="18"/>
              </w:rPr>
              <w:t>15</w:t>
            </w:r>
          </w:p>
        </w:tc>
        <w:tc>
          <w:tcPr>
            <w:tcW w:w="5093" w:type="dxa"/>
          </w:tcPr>
          <w:p w14:paraId="2D838B90" w14:textId="77777777" w:rsidR="00392769" w:rsidRPr="00545EC0" w:rsidRDefault="00392769" w:rsidP="00C12042">
            <w:pPr>
              <w:spacing w:before="60" w:after="60"/>
              <w:rPr>
                <w:rFonts w:cs="Arial"/>
                <w:sz w:val="18"/>
                <w:szCs w:val="18"/>
              </w:rPr>
            </w:pPr>
            <w:r w:rsidRPr="00545EC0">
              <w:rPr>
                <w:rFonts w:cs="Arial"/>
                <w:sz w:val="18"/>
                <w:szCs w:val="18"/>
              </w:rPr>
              <w:t>Namakanje kmetijskih zemljišč ali drugih površin</w:t>
            </w:r>
          </w:p>
        </w:tc>
        <w:tc>
          <w:tcPr>
            <w:tcW w:w="3095" w:type="dxa"/>
          </w:tcPr>
          <w:p w14:paraId="2A8DDBB2" w14:textId="77777777" w:rsidR="00392769" w:rsidRPr="00545EC0" w:rsidRDefault="00392769" w:rsidP="00C12042">
            <w:pPr>
              <w:spacing w:before="60" w:after="60"/>
              <w:rPr>
                <w:rFonts w:cs="Arial"/>
                <w:sz w:val="18"/>
                <w:szCs w:val="18"/>
              </w:rPr>
            </w:pPr>
            <w:r w:rsidRPr="00545EC0">
              <w:rPr>
                <w:rFonts w:cs="Arial"/>
                <w:sz w:val="18"/>
                <w:szCs w:val="18"/>
              </w:rPr>
              <w:t>44.557</w:t>
            </w:r>
          </w:p>
        </w:tc>
      </w:tr>
    </w:tbl>
    <w:p w14:paraId="2CAC5D9F" w14:textId="041998DC" w:rsidR="00B9666E" w:rsidRPr="00545EC0" w:rsidRDefault="00B9666E" w:rsidP="00B9666E">
      <w:pPr>
        <w:rPr>
          <w:rFonts w:cs="Arial"/>
        </w:rPr>
      </w:pPr>
    </w:p>
    <w:p w14:paraId="6509D935" w14:textId="77777777" w:rsidR="00F854EB" w:rsidRPr="00545EC0" w:rsidRDefault="00F854EB" w:rsidP="00B9666E">
      <w:pPr>
        <w:rPr>
          <w:rFonts w:cs="Tahoma"/>
          <w:szCs w:val="20"/>
        </w:rPr>
      </w:pPr>
    </w:p>
    <w:p w14:paraId="105CC1E2" w14:textId="78112123" w:rsidR="00B9666E" w:rsidRPr="00545EC0" w:rsidRDefault="00B9666E" w:rsidP="00B9666E">
      <w:pPr>
        <w:rPr>
          <w:rFonts w:cs="Tahoma"/>
          <w:szCs w:val="20"/>
        </w:rPr>
      </w:pPr>
      <w:r w:rsidRPr="00545EC0">
        <w:rPr>
          <w:rFonts w:cs="Tahoma"/>
          <w:szCs w:val="20"/>
        </w:rPr>
        <w:t>Velik del finančnih stroškov izvajanja storitev</w:t>
      </w:r>
      <w:r w:rsidR="00095533" w:rsidRPr="00545EC0">
        <w:rPr>
          <w:rStyle w:val="Sprotnaopomba-sklic"/>
          <w:rFonts w:cs="Tahoma"/>
          <w:szCs w:val="20"/>
        </w:rPr>
        <w:footnoteReference w:id="5"/>
      </w:r>
      <w:r w:rsidRPr="00545EC0">
        <w:rPr>
          <w:rFonts w:cs="Tahoma"/>
          <w:szCs w:val="20"/>
        </w:rPr>
        <w:t xml:space="preserve"> gospodarskih javnih služb oskrbe s pitno vodo ter odvajanja in čiščenja komunalne odpadne vode krijejo uporabniki storitev. Finančne stroške izvajanja teh storitev, ki jih ne krijejo uporabniki, subvencionirajo občine. Ostali stroški storitev oskrbe s pitno vodo ter odvajanja in čiščenja komunalne odpadne vode, ki izhajajo iz </w:t>
      </w:r>
      <w:r w:rsidRPr="00545EC0">
        <w:rPr>
          <w:rFonts w:cs="Tahoma"/>
        </w:rPr>
        <w:t>Programa ukrepov upravljanja voda 20</w:t>
      </w:r>
      <w:r w:rsidR="00D94D7A" w:rsidRPr="00545EC0">
        <w:rPr>
          <w:rFonts w:cs="Tahoma"/>
        </w:rPr>
        <w:t>21</w:t>
      </w:r>
      <w:r w:rsidRPr="00545EC0">
        <w:rPr>
          <w:rFonts w:cs="Tahoma"/>
        </w:rPr>
        <w:t xml:space="preserve"> - 202</w:t>
      </w:r>
      <w:r w:rsidR="00D94D7A" w:rsidRPr="00545EC0">
        <w:rPr>
          <w:rFonts w:cs="Tahoma"/>
        </w:rPr>
        <w:t>7</w:t>
      </w:r>
      <w:r w:rsidR="00095533" w:rsidRPr="00545EC0">
        <w:rPr>
          <w:rStyle w:val="Sprotnaopomba-sklic"/>
          <w:rFonts w:cs="Tahoma"/>
        </w:rPr>
        <w:footnoteReference w:id="6"/>
      </w:r>
      <w:r w:rsidR="00D94D7A" w:rsidRPr="00545EC0">
        <w:rPr>
          <w:rFonts w:cs="Tahoma"/>
          <w:szCs w:val="20"/>
        </w:rPr>
        <w:t xml:space="preserve"> </w:t>
      </w:r>
      <w:r w:rsidRPr="00545EC0">
        <w:rPr>
          <w:rFonts w:cs="Tahoma"/>
          <w:szCs w:val="20"/>
        </w:rPr>
        <w:t xml:space="preserve">se krijejo iz državnega proračuna, občinskih proračunov in EU skladov. Poleg tega pa del teh stroškov krijejo tudi uporabniki s plačilom komunalnega prispevka. Komunalni prispevek se oblikuje tako, da krije stroške </w:t>
      </w:r>
      <w:r w:rsidRPr="00545EC0">
        <w:rPr>
          <w:rFonts w:cs="Tahoma"/>
        </w:rPr>
        <w:t>gradnje komunalne opreme</w:t>
      </w:r>
      <w:r w:rsidRPr="00545EC0">
        <w:rPr>
          <w:rFonts w:cs="Tahoma"/>
          <w:szCs w:val="20"/>
        </w:rPr>
        <w:t>, ki se ne financirajo iz proračuna občin, državn</w:t>
      </w:r>
      <w:r w:rsidR="00D5428C" w:rsidRPr="00545EC0">
        <w:rPr>
          <w:rFonts w:cs="Tahoma"/>
          <w:szCs w:val="20"/>
        </w:rPr>
        <w:t>ega proračuna ali drugih virov.</w:t>
      </w:r>
    </w:p>
    <w:p w14:paraId="5186AD9A" w14:textId="77777777" w:rsidR="00B9666E" w:rsidRPr="00545EC0" w:rsidRDefault="00B9666E" w:rsidP="00B9666E">
      <w:pPr>
        <w:pStyle w:val="Naslov4"/>
        <w:ind w:left="1573" w:hanging="1573"/>
        <w:rPr>
          <w:color w:val="auto"/>
        </w:rPr>
      </w:pPr>
      <w:r w:rsidRPr="00545EC0">
        <w:rPr>
          <w:color w:val="auto"/>
        </w:rPr>
        <w:t xml:space="preserve">Finančni stroški storitev GJS oskrbe s pitno vodo ter odvajanja in čiščenja komunalne odpadne vode </w:t>
      </w:r>
    </w:p>
    <w:p w14:paraId="36BED71F" w14:textId="77777777" w:rsidR="00B9666E" w:rsidRPr="00545EC0" w:rsidRDefault="00B9666E" w:rsidP="00B9666E">
      <w:pPr>
        <w:tabs>
          <w:tab w:val="num" w:pos="360"/>
          <w:tab w:val="num" w:pos="567"/>
          <w:tab w:val="left" w:pos="9600"/>
        </w:tabs>
        <w:spacing w:before="120"/>
        <w:rPr>
          <w:szCs w:val="20"/>
        </w:rPr>
      </w:pPr>
      <w:bookmarkStart w:id="422" w:name="_Toc405795589"/>
      <w:bookmarkStart w:id="423" w:name="_Toc390945568"/>
      <w:r w:rsidRPr="00545EC0">
        <w:rPr>
          <w:szCs w:val="20"/>
        </w:rPr>
        <w:t>Nizke stopnje povračila stroškov lahko ogrozijo dolgoročno izvajanje storitev na enaki kakovostni in količinski ravni, kot je današnja. Rešitev omenjene težave ni le dvig cen storitev, ampak tudi nadzor nad stroški izvajanja storitev (npr. s pomočjo »benchmarkinga«). Pri tem sta ključna tudi ustrezno obračunavanje amortizacije in namenska uporaba zbranih sredstev.</w:t>
      </w:r>
    </w:p>
    <w:p w14:paraId="524F827F" w14:textId="1F4AD816" w:rsidR="00B9666E" w:rsidRPr="00545EC0" w:rsidRDefault="00B9666E" w:rsidP="00B9666E">
      <w:pPr>
        <w:tabs>
          <w:tab w:val="num" w:pos="360"/>
          <w:tab w:val="num" w:pos="567"/>
          <w:tab w:val="left" w:pos="9600"/>
        </w:tabs>
        <w:spacing w:before="120"/>
        <w:rPr>
          <w:szCs w:val="20"/>
        </w:rPr>
      </w:pPr>
      <w:r w:rsidRPr="00545EC0">
        <w:rPr>
          <w:szCs w:val="20"/>
        </w:rPr>
        <w:t xml:space="preserve">Poleg finančnih stroškov izvajanja storitev GJS oskrbe s pitno vodo ter odvajanja in čiščenja komunalne odpadne vode na obstoječi infrastrukturi so bili ocenjeni tudi finančni stroški storitev, ki izhajajo iz ukrepov iz </w:t>
      </w:r>
      <w:r w:rsidR="003677D9" w:rsidRPr="00545EC0">
        <w:rPr>
          <w:szCs w:val="20"/>
        </w:rPr>
        <w:t xml:space="preserve">7. </w:t>
      </w:r>
      <w:r w:rsidRPr="00545EC0">
        <w:rPr>
          <w:szCs w:val="20"/>
        </w:rPr>
        <w:t xml:space="preserve">poglavja tega načrta in programa ukrepov iz načrta upravljanja z morskim okoljem v skladu s predpisom, ki ureja načrt upravljanja z morskim okoljem. </w:t>
      </w:r>
    </w:p>
    <w:p w14:paraId="4F4E31DB" w14:textId="77777777" w:rsidR="00B9666E" w:rsidRPr="00545EC0" w:rsidRDefault="00B9666E"/>
    <w:p w14:paraId="05DB71BC" w14:textId="205A75DB" w:rsidR="00B9666E" w:rsidRPr="00545EC0" w:rsidRDefault="00B9666E" w:rsidP="003122F4">
      <w:pPr>
        <w:rPr>
          <w:szCs w:val="20"/>
        </w:rPr>
      </w:pPr>
      <w:r w:rsidRPr="00545EC0">
        <w:t xml:space="preserve">Velik del finančnih stroškov krijejo uporabniki storitev, kot je razvidno iz </w:t>
      </w:r>
      <w:r w:rsidR="004C2B96" w:rsidRPr="00545EC0">
        <w:fldChar w:fldCharType="begin"/>
      </w:r>
      <w:r w:rsidR="004C2B96" w:rsidRPr="00545EC0">
        <w:instrText xml:space="preserve"> REF _Ref84322884 \h </w:instrText>
      </w:r>
      <w:r w:rsidR="00F37A91" w:rsidRPr="00545EC0">
        <w:instrText xml:space="preserve"> \* MERGEFORMAT </w:instrText>
      </w:r>
      <w:r w:rsidR="004C2B96" w:rsidRPr="00545EC0">
        <w:fldChar w:fldCharType="separate"/>
      </w:r>
      <w:r w:rsidR="002F3E43" w:rsidRPr="00545EC0">
        <w:t xml:space="preserve">Preglednica </w:t>
      </w:r>
      <w:r w:rsidR="002F3E43">
        <w:t>2</w:t>
      </w:r>
      <w:r w:rsidR="002F3E43" w:rsidRPr="00545EC0">
        <w:noBreakHyphen/>
      </w:r>
      <w:r w:rsidR="002F3E43">
        <w:t>51</w:t>
      </w:r>
      <w:r w:rsidR="004C2B96" w:rsidRPr="00545EC0">
        <w:fldChar w:fldCharType="end"/>
      </w:r>
      <w:r w:rsidRPr="00545EC0">
        <w:t>. Stroške</w:t>
      </w:r>
      <w:r w:rsidRPr="00545EC0">
        <w:rPr>
          <w:szCs w:val="20"/>
        </w:rPr>
        <w:t xml:space="preserve"> izvajanja storitev, vključno s stroški omrežnine, GJS oskrbe s pitno vodo ter odvajanja in čiščenja komunalne odpadne vode, ki jih ne krijejo uporabniki, subvencionirajo občine. Poleg tega pa del teh finančnih stroškov krijejo tudi uporabniki s plačilom komunalnega prispevka. Komunalni prispevek se v skladu s predpisom, ki ureja </w:t>
      </w:r>
      <w:r w:rsidRPr="00545EC0">
        <w:rPr>
          <w:rFonts w:cs="Arial"/>
          <w:szCs w:val="18"/>
        </w:rPr>
        <w:t xml:space="preserve">vsebino programa opremljanja stavbnih zemljišč, </w:t>
      </w:r>
      <w:r w:rsidRPr="00545EC0">
        <w:rPr>
          <w:szCs w:val="20"/>
        </w:rPr>
        <w:t>oblikuje tako, da krije stroške gradnje komunalne opreme, ki se ne financirajo iz proračuna občin, državnega proračuna ali drugih virov.</w:t>
      </w:r>
    </w:p>
    <w:p w14:paraId="72A892B0" w14:textId="2840EBAC" w:rsidR="00B9666E" w:rsidRPr="00545EC0" w:rsidRDefault="00B9666E" w:rsidP="00D5428C">
      <w:pPr>
        <w:tabs>
          <w:tab w:val="num" w:pos="360"/>
          <w:tab w:val="num" w:pos="567"/>
          <w:tab w:val="left" w:pos="9600"/>
        </w:tabs>
        <w:spacing w:before="120"/>
        <w:rPr>
          <w:szCs w:val="20"/>
        </w:rPr>
      </w:pPr>
      <w:r w:rsidRPr="00545EC0">
        <w:rPr>
          <w:szCs w:val="20"/>
        </w:rPr>
        <w:t xml:space="preserve">Povračila finančnih stroškov ostalih storitev, povezanih z obremenjevanjem voda, ni možno v celoti oceniti niti nanj ni možno vplivati, saj vse </w:t>
      </w:r>
      <w:r w:rsidRPr="00545EC0">
        <w:rPr>
          <w:rFonts w:cs="Arial"/>
          <w:szCs w:val="18"/>
        </w:rPr>
        <w:t>storitve, povezane z obremenjevanjem voda, niso javne službe in njihovi podatki o finančnih stroških niso dostopni.</w:t>
      </w:r>
    </w:p>
    <w:p w14:paraId="4810638C" w14:textId="77777777" w:rsidR="00B9666E" w:rsidRPr="00545EC0" w:rsidRDefault="00B9666E" w:rsidP="00B9666E">
      <w:pPr>
        <w:pStyle w:val="Naslov4"/>
        <w:ind w:left="1573" w:hanging="1573"/>
        <w:rPr>
          <w:color w:val="auto"/>
        </w:rPr>
      </w:pPr>
      <w:r w:rsidRPr="00545EC0">
        <w:rPr>
          <w:color w:val="auto"/>
        </w:rPr>
        <w:t>Subvencije</w:t>
      </w:r>
    </w:p>
    <w:p w14:paraId="37C7C435" w14:textId="77777777" w:rsidR="00B9666E" w:rsidRPr="00545EC0" w:rsidRDefault="00B9666E" w:rsidP="00B9666E">
      <w:pPr>
        <w:rPr>
          <w:rFonts w:cs="Arial"/>
        </w:rPr>
      </w:pPr>
      <w:r w:rsidRPr="00545EC0">
        <w:rPr>
          <w:rFonts w:cs="Arial"/>
        </w:rPr>
        <w:t xml:space="preserve">Pri oceni ali storitve s cenami krijejo stroške, ki jih povzročajo, je potrebno upoštevati tudi subvencije. Subvencioniranje lahko poleg plačil dajatev za obremenjevanje voda vpliva na obnašanje </w:t>
      </w:r>
      <w:r w:rsidRPr="00545EC0">
        <w:rPr>
          <w:rFonts w:cs="Arial"/>
        </w:rPr>
        <w:lastRenderedPageBreak/>
        <w:t>povzročiteljev obremenitev. V Ekonomski analizi obremenjevanja voda so obravnavane tako subvencije za spodbujanje delovanja, ki prispeva k doseganju okoljskih ciljev, kot tudi subvencije, ki vplivajo na intenziviranje dejavnosti, ki obremenjujejo vode.</w:t>
      </w:r>
    </w:p>
    <w:p w14:paraId="05BEF0A3" w14:textId="77777777" w:rsidR="00B9666E" w:rsidRPr="00545EC0" w:rsidRDefault="00B9666E" w:rsidP="00B9666E">
      <w:pPr>
        <w:rPr>
          <w:rFonts w:cs="Arial"/>
        </w:rPr>
      </w:pPr>
    </w:p>
    <w:p w14:paraId="0922465B" w14:textId="77777777" w:rsidR="00B9666E" w:rsidRPr="00545EC0" w:rsidRDefault="00B9666E" w:rsidP="00B9666E">
      <w:pPr>
        <w:rPr>
          <w:rFonts w:cs="Arial"/>
        </w:rPr>
      </w:pPr>
      <w:r w:rsidRPr="00545EC0">
        <w:rPr>
          <w:rFonts w:cs="Arial"/>
        </w:rPr>
        <w:t>Kmetijske dejavnosti imajo možnost koriščenja sredstev iz I. stebra skupne kmetijske politike (neposredna plačila) in II. stebra skupne kmetijske politike (Program razvoja podeželja). Pogoj za uveljavljanje pravic do neposrednih plačil je spoštovanje pravil in zahtev navzkrižne skladnosti, ki so predpisane z evropsko in nacionalno zakonodajo in se nanašajo na področje zdravja živali in rastlin, ohranjanja virov pitne vode ter ohranjanje rastlinskih in živalskih habitatov.</w:t>
      </w:r>
    </w:p>
    <w:p w14:paraId="02F1B9D3" w14:textId="77777777" w:rsidR="00B9666E" w:rsidRPr="00545EC0" w:rsidRDefault="00B9666E" w:rsidP="00B9666E">
      <w:pPr>
        <w:rPr>
          <w:rFonts w:cs="Arial"/>
        </w:rPr>
      </w:pPr>
    </w:p>
    <w:p w14:paraId="0E727FF0" w14:textId="77777777" w:rsidR="00B9666E" w:rsidRPr="00545EC0" w:rsidRDefault="00B9666E" w:rsidP="00B9666E">
      <w:pPr>
        <w:rPr>
          <w:rFonts w:cs="Arial"/>
        </w:rPr>
      </w:pPr>
      <w:r w:rsidRPr="00545EC0">
        <w:rPr>
          <w:rFonts w:cs="Arial"/>
        </w:rPr>
        <w:t xml:space="preserve">Sloveniji je v okviru skupne kmetijske politike za obdobje 2014–2020 namenjenih 1.700 mio EUR. </w:t>
      </w:r>
    </w:p>
    <w:p w14:paraId="59A2DB14" w14:textId="77777777" w:rsidR="00B9666E" w:rsidRPr="00545EC0" w:rsidRDefault="00B9666E" w:rsidP="00B9666E">
      <w:pPr>
        <w:rPr>
          <w:rFonts w:cs="Arial"/>
        </w:rPr>
      </w:pPr>
    </w:p>
    <w:p w14:paraId="57BB6448" w14:textId="77777777" w:rsidR="00B9666E" w:rsidRPr="00545EC0" w:rsidRDefault="00B9666E" w:rsidP="00B9666E">
      <w:pPr>
        <w:rPr>
          <w:rFonts w:cs="Arial"/>
          <w:szCs w:val="20"/>
        </w:rPr>
      </w:pPr>
      <w:r w:rsidRPr="00545EC0">
        <w:rPr>
          <w:rFonts w:cs="Arial"/>
        </w:rPr>
        <w:t xml:space="preserve">Poleg evropskih in državnih sredstev obstajajo tudi občinske subvencije za kmetijstvo. Kmetje na najožjih vodovarstvenih območjih pa lahko prejmejo nadomestilo za zmanjšanje dohodka iz kmetijske dejavnosti zaradi prilagoditve ukrepom vodovarstvenega režima. </w:t>
      </w:r>
    </w:p>
    <w:p w14:paraId="4B030C13" w14:textId="77777777" w:rsidR="00B9666E" w:rsidRPr="00545EC0" w:rsidRDefault="00B9666E" w:rsidP="00B9666E">
      <w:pPr>
        <w:rPr>
          <w:rFonts w:cs="Arial"/>
        </w:rPr>
      </w:pPr>
    </w:p>
    <w:p w14:paraId="4EF320A6" w14:textId="77777777" w:rsidR="00B9666E" w:rsidRPr="00545EC0" w:rsidRDefault="00B9666E" w:rsidP="00B9666E">
      <w:pPr>
        <w:rPr>
          <w:rFonts w:cs="Arial"/>
        </w:rPr>
      </w:pPr>
      <w:r w:rsidRPr="00545EC0">
        <w:rPr>
          <w:rFonts w:cs="Arial"/>
        </w:rPr>
        <w:t xml:space="preserve">Za proizvodnjo električne energije iz OVE sta na voljo dva načina podeljevanja podpor, in sicer obratovalna podpora ter zagotovljen odkup. Pogoj za pridobitev podpore je zagotavljanje ekološko sprejemljivega pretoka skladno s predpisi. Pridobitev podpore ni pogojena z uporabo tehnologije, ki bi imela manjše vplive na stanje voda. </w:t>
      </w:r>
    </w:p>
    <w:p w14:paraId="603861C9" w14:textId="77777777" w:rsidR="00B9666E" w:rsidRPr="00545EC0" w:rsidRDefault="00B9666E" w:rsidP="00B9666E">
      <w:pPr>
        <w:rPr>
          <w:rFonts w:cs="Arial"/>
        </w:rPr>
      </w:pPr>
    </w:p>
    <w:p w14:paraId="6E0C41EB" w14:textId="155084E2" w:rsidR="00B9666E" w:rsidRPr="00545EC0" w:rsidRDefault="00B9666E" w:rsidP="00B9666E">
      <w:pPr>
        <w:rPr>
          <w:rFonts w:cs="Arial"/>
        </w:rPr>
      </w:pPr>
      <w:r w:rsidRPr="00545EC0">
        <w:rPr>
          <w:rFonts w:cs="Arial"/>
        </w:rPr>
        <w:t xml:space="preserve">Subvencioniranje GJS oskrbe s pitno vodo ter odvajanja in čiščenja komunalne odpadne vode poteka na dva načina. Prvi način je zagotavljanje sredstev za potrebne investicije v novo infrastrukturo na področju oskrbe s pitno vodo ter odvajanja in čiščenja komunalne odpadne vode iz državnega in občinskih proračunov, Sklada za vode in evropskih skladov. Drug način je subvencioniranje cen oskrbe s pitno vodo ter odvajanja in čiščenja komunalne odpadne vode. Ocenjeno je bilo, da so leta 2014 občine zaradi cen, ki so bile nižje od stroškov, pokrile 19 mio EUR stroškov izvajanja (vključno z omrežnino) GJS oskrbe s pitno vodo ter odvajanja in čiščenja komunalne odpadne </w:t>
      </w:r>
      <w:r w:rsidRPr="00545EC0">
        <w:rPr>
          <w:rFonts w:cs="Arial"/>
          <w:szCs w:val="22"/>
        </w:rPr>
        <w:t>vode.</w:t>
      </w:r>
    </w:p>
    <w:p w14:paraId="6749D5C5" w14:textId="77777777" w:rsidR="00B9666E" w:rsidRPr="00545EC0" w:rsidRDefault="00B9666E" w:rsidP="00B9666E">
      <w:pPr>
        <w:pStyle w:val="Naslov4"/>
        <w:ind w:left="1573" w:hanging="1573"/>
        <w:rPr>
          <w:color w:val="auto"/>
        </w:rPr>
      </w:pPr>
      <w:r w:rsidRPr="00545EC0">
        <w:rPr>
          <w:color w:val="auto"/>
        </w:rPr>
        <w:t>Poraba sredstev, zbranih z dajatvami za obremenjevanje voda</w:t>
      </w:r>
    </w:p>
    <w:bookmarkEnd w:id="422"/>
    <w:bookmarkEnd w:id="423"/>
    <w:p w14:paraId="169ADB15" w14:textId="77777777" w:rsidR="00B9666E" w:rsidRPr="00545EC0" w:rsidRDefault="00B9666E" w:rsidP="00B9666E">
      <w:pPr>
        <w:tabs>
          <w:tab w:val="num" w:pos="360"/>
          <w:tab w:val="num" w:pos="567"/>
          <w:tab w:val="left" w:pos="9600"/>
        </w:tabs>
        <w:spacing w:before="120"/>
        <w:rPr>
          <w:szCs w:val="20"/>
        </w:rPr>
      </w:pPr>
      <w:r w:rsidRPr="00545EC0">
        <w:rPr>
          <w:szCs w:val="20"/>
        </w:rPr>
        <w:t xml:space="preserve">Sredstva, ki se zberejo s plačili dajatev zaradi obremenjevanja voda, predstavljajo del sredstev za doseganje ciljev upravljanja voda, in sicer ciljev doseganja dobrega stanja oziroma dobrega potenciala voda in drugih, z vodami povezanih ekosistemov, zagotavljanja varstva pred škodljivim delovanjem voda, ohranjanja in uravnavanja vodnih količin in spodbujanja trajnostne rabe voda, ki omogoča različne vrste rabe voda ob upoštevanju dolgoročnega varstva razpoložljivih vodnih virov in njihove kakovosti. </w:t>
      </w:r>
    </w:p>
    <w:p w14:paraId="4DD3796A" w14:textId="77777777" w:rsidR="00B9666E" w:rsidRPr="00545EC0" w:rsidRDefault="00B9666E" w:rsidP="00B9666E">
      <w:pPr>
        <w:tabs>
          <w:tab w:val="num" w:pos="360"/>
          <w:tab w:val="num" w:pos="567"/>
          <w:tab w:val="left" w:pos="9600"/>
        </w:tabs>
        <w:spacing w:before="120"/>
        <w:rPr>
          <w:szCs w:val="20"/>
        </w:rPr>
      </w:pPr>
    </w:p>
    <w:p w14:paraId="44E5A79B" w14:textId="549412EC" w:rsidR="00B9666E" w:rsidRPr="00545EC0" w:rsidRDefault="00B9666E" w:rsidP="004168CD">
      <w:pPr>
        <w:pStyle w:val="Sprotnaopomba-besedilo"/>
        <w:jc w:val="both"/>
        <w:rPr>
          <w:rFonts w:eastAsia="Times New Roman"/>
          <w:sz w:val="20"/>
          <w:lang w:val="sl-SI" w:eastAsia="en-US"/>
        </w:rPr>
      </w:pPr>
      <w:r w:rsidRPr="00545EC0">
        <w:rPr>
          <w:rFonts w:eastAsia="Times New Roman"/>
          <w:sz w:val="20"/>
          <w:lang w:val="sl-SI" w:eastAsia="en-US"/>
        </w:rPr>
        <w:t>Namenskost sredstev, ki se zberejo iz naslova okoljske dajatve za onesnaževanje okolja zaradi odvajanja odpadnih voda, je določena za zakonom, ki ureja financiranje občin, in sicer je določeno da se sredstva, zbrana z okoljsko dajatvijo za onesnaževanje okolja, zaradi odvajanja odpadnih voda lahko porabijo za:</w:t>
      </w:r>
    </w:p>
    <w:p w14:paraId="395BC5D1" w14:textId="77777777" w:rsidR="00B9666E" w:rsidRPr="00545EC0" w:rsidRDefault="00B9666E" w:rsidP="00DD37C5">
      <w:pPr>
        <w:numPr>
          <w:ilvl w:val="0"/>
          <w:numId w:val="62"/>
        </w:numPr>
        <w:tabs>
          <w:tab w:val="num" w:pos="360"/>
          <w:tab w:val="num" w:pos="567"/>
          <w:tab w:val="left" w:pos="9600"/>
        </w:tabs>
        <w:overflowPunct/>
        <w:autoSpaceDE/>
        <w:autoSpaceDN/>
        <w:adjustRightInd/>
        <w:spacing w:before="120"/>
        <w:ind w:left="357" w:hanging="357"/>
        <w:textAlignment w:val="auto"/>
        <w:rPr>
          <w:szCs w:val="20"/>
          <w:lang w:eastAsia="en-US"/>
        </w:rPr>
      </w:pPr>
      <w:r w:rsidRPr="00545EC0">
        <w:rPr>
          <w:szCs w:val="20"/>
          <w:lang w:eastAsia="en-US"/>
        </w:rPr>
        <w:t>gradnjo infrastrukture, namenjene izvajanju občinskih obveznih javnih služb varstva okolja v skladu z državnimi operativnimi programi, sprejetimi s predpisi varstva okolja na področju čiščenja in odvajanja odpadnih voda, ravnanja s komunalnimi odpadki in odlaganja odpadkov,</w:t>
      </w:r>
    </w:p>
    <w:p w14:paraId="4CD17FFA" w14:textId="0862B7EB" w:rsidR="00B9666E" w:rsidRPr="00545EC0" w:rsidRDefault="00B9666E" w:rsidP="00DD37C5">
      <w:pPr>
        <w:numPr>
          <w:ilvl w:val="0"/>
          <w:numId w:val="62"/>
        </w:numPr>
        <w:tabs>
          <w:tab w:val="num" w:pos="360"/>
          <w:tab w:val="num" w:pos="567"/>
          <w:tab w:val="left" w:pos="9600"/>
        </w:tabs>
        <w:overflowPunct/>
        <w:autoSpaceDE/>
        <w:autoSpaceDN/>
        <w:adjustRightInd/>
        <w:spacing w:before="120"/>
        <w:ind w:left="357" w:hanging="357"/>
        <w:textAlignment w:val="auto"/>
        <w:rPr>
          <w:szCs w:val="20"/>
          <w:lang w:eastAsia="en-US"/>
        </w:rPr>
      </w:pPr>
      <w:r w:rsidRPr="00545EC0">
        <w:rPr>
          <w:szCs w:val="20"/>
          <w:lang w:eastAsia="en-US"/>
        </w:rPr>
        <w:t>zagotavljanje oskrbovalnih standardov, tehničnih, vzdrževalnih, organizacijskih in drugih ukrepov, predpisanih za izvajanje katerekoli izmed obveznih občinskih gospodarskih javnih služb varstva okolja.</w:t>
      </w:r>
    </w:p>
    <w:p w14:paraId="1C278964" w14:textId="77777777" w:rsidR="00B9666E" w:rsidRPr="00545EC0" w:rsidRDefault="00B9666E" w:rsidP="00B9666E">
      <w:pPr>
        <w:tabs>
          <w:tab w:val="num" w:pos="360"/>
          <w:tab w:val="num" w:pos="567"/>
          <w:tab w:val="left" w:pos="9600"/>
        </w:tabs>
        <w:spacing w:before="120"/>
        <w:rPr>
          <w:szCs w:val="20"/>
          <w:lang w:eastAsia="en-US"/>
        </w:rPr>
      </w:pPr>
      <w:r w:rsidRPr="00545EC0">
        <w:rPr>
          <w:szCs w:val="20"/>
          <w:lang w:eastAsia="en-US"/>
        </w:rPr>
        <w:lastRenderedPageBreak/>
        <w:t xml:space="preserve">Ne glede na to se sredstva, zbrana iz tega naslova, porabljajo za vse občinske gospodarske javne službe varstva okolja in ne le za obvezne občinske gospodarske javne službe varstva okolja iz zakona, ki ureja varstvo okolja, ki vplivajo na doseganje ciljev upravljanja voda. </w:t>
      </w:r>
    </w:p>
    <w:p w14:paraId="33CE8690" w14:textId="77777777" w:rsidR="00B9666E" w:rsidRPr="00545EC0" w:rsidRDefault="00B9666E" w:rsidP="00B9666E">
      <w:pPr>
        <w:tabs>
          <w:tab w:val="num" w:pos="360"/>
          <w:tab w:val="num" w:pos="567"/>
          <w:tab w:val="left" w:pos="9600"/>
        </w:tabs>
        <w:spacing w:before="120"/>
        <w:rPr>
          <w:szCs w:val="20"/>
          <w:lang w:eastAsia="en-US"/>
        </w:rPr>
      </w:pPr>
      <w:r w:rsidRPr="00545EC0">
        <w:rPr>
          <w:szCs w:val="20"/>
          <w:lang w:eastAsia="en-US"/>
        </w:rPr>
        <w:t xml:space="preserve">Namen porabe drugih dajatev za obremenjevanje voda, ki se stekajo v občinske proračune, ni predpisan. Tudi dajatve, ki so priliv Sklada za vode, se ne porabijo v celoti namensko za doseganje ciljev upravljanja voda. </w:t>
      </w:r>
    </w:p>
    <w:p w14:paraId="150D15DC" w14:textId="77777777" w:rsidR="00B9666E" w:rsidRPr="00545EC0" w:rsidRDefault="00B9666E" w:rsidP="00B9666E">
      <w:pPr>
        <w:tabs>
          <w:tab w:val="num" w:pos="360"/>
          <w:tab w:val="num" w:pos="567"/>
          <w:tab w:val="left" w:pos="9600"/>
        </w:tabs>
        <w:spacing w:before="120"/>
        <w:rPr>
          <w:szCs w:val="20"/>
          <w:lang w:eastAsia="en-US"/>
        </w:rPr>
      </w:pPr>
      <w:r w:rsidRPr="00545EC0">
        <w:rPr>
          <w:szCs w:val="20"/>
          <w:lang w:eastAsia="en-US"/>
        </w:rPr>
        <w:t xml:space="preserve">Ciljev upravljanja voda brez zagotovljenih finančnih sredstev ni mogoče doseči. Pomanjkanje finančnih sredstev za upravljanje voda se ne odraža le na visokih škodah zaradi poplav, ampak ima lahko tudi širše posledice za celotno gospodarstvo in družbo. Od dobrega stanja voda je odvisno mnogo gospodarskih dejavnosti, predvsem pa je doseganje ciljev upravljanja voda pomembno za zdravje in kakovost življenja državljanov Slovenije. </w:t>
      </w:r>
    </w:p>
    <w:p w14:paraId="320C60B4" w14:textId="77777777" w:rsidR="00B9666E" w:rsidRPr="00545EC0" w:rsidRDefault="00B9666E" w:rsidP="00B9666E"/>
    <w:p w14:paraId="1FE6B3AE" w14:textId="77777777" w:rsidR="00B9666E" w:rsidRPr="00545EC0" w:rsidRDefault="00B9666E" w:rsidP="00B9666E">
      <w:pPr>
        <w:rPr>
          <w:szCs w:val="20"/>
        </w:rPr>
      </w:pPr>
      <w:r w:rsidRPr="00545EC0">
        <w:rPr>
          <w:szCs w:val="20"/>
        </w:rPr>
        <w:t>Del stroškov gradnje komunalne opreme za oskrbo s pitno vodo ter za odvajanje in čiščenje komunalne odpadne vode krijejo uporabniki s plačilom komunalnega prispevka. Komunalni prispevek se oblikuje tako, da krije stroške, ki se ne financirajo iz proračuna občin, državnega proračuna ali drugih virov. Del komunalnega prispevka, ki se nameni gradnji komunalne infrastrukture za oskrbo s pitno vodo ter za odvajanje in čiščenje komunalne odpadne vode, je bil ocenjen ob upoštevanju preteklih investicijskih odhodkov občin v obdobju 2013 – 2017.</w:t>
      </w:r>
    </w:p>
    <w:p w14:paraId="7087EF54" w14:textId="77777777" w:rsidR="00B9666E" w:rsidRPr="00545EC0" w:rsidRDefault="00B9666E" w:rsidP="00B9666E">
      <w:pPr>
        <w:rPr>
          <w:rFonts w:cs="Arial"/>
        </w:rPr>
      </w:pPr>
    </w:p>
    <w:p w14:paraId="29F5508B" w14:textId="77777777" w:rsidR="00B9666E" w:rsidRPr="00545EC0" w:rsidRDefault="00B9666E" w:rsidP="00B9666E">
      <w:pPr>
        <w:rPr>
          <w:szCs w:val="20"/>
        </w:rPr>
      </w:pPr>
      <w:r w:rsidRPr="00545EC0">
        <w:rPr>
          <w:szCs w:val="20"/>
        </w:rPr>
        <w:t xml:space="preserve">Upoštevan je bil tudi prispevek povzročiteljev obremenitev, ki sami financirajo izvedbo nekaterih ukrepov za doseganje okoljskih ciljev iz Načrta upravljanja voda 2016 – 2021 in osnutka Načrta upravljanja z morskim okoljem 2016 - 2021. </w:t>
      </w:r>
    </w:p>
    <w:p w14:paraId="0B07C8CE" w14:textId="4E366818" w:rsidR="008B541F" w:rsidRPr="00545EC0" w:rsidRDefault="008B541F" w:rsidP="008B541F">
      <w:pPr>
        <w:pStyle w:val="Naslov20"/>
      </w:pPr>
      <w:bookmarkStart w:id="424" w:name="_Toc90261036"/>
      <w:r w:rsidRPr="00545EC0">
        <w:t>Prikaz območij s posebnimi zahtevami</w:t>
      </w:r>
      <w:bookmarkEnd w:id="424"/>
    </w:p>
    <w:p w14:paraId="44AF4926" w14:textId="77777777" w:rsidR="000D7729" w:rsidRPr="00545EC0" w:rsidRDefault="000D7729" w:rsidP="0010797F">
      <w:pPr>
        <w:rPr>
          <w:rFonts w:cs="Arial"/>
        </w:rPr>
      </w:pPr>
      <w:r w:rsidRPr="00545EC0">
        <w:rPr>
          <w:rFonts w:cs="Arial"/>
        </w:rPr>
        <w:t xml:space="preserve">Območja s posebnimi zahtevami so območja, ki jih je potrebno še posebej varovati pred različnimi obremenitvami vodnega okolja. Na teh območjih so z namenom njihovega varovanja vzpostavljeni posebni režimi in/ali dodatni </w:t>
      </w:r>
      <w:r w:rsidR="00E7516C" w:rsidRPr="00545EC0">
        <w:rPr>
          <w:rFonts w:cs="Arial"/>
        </w:rPr>
        <w:t>strožji</w:t>
      </w:r>
      <w:r w:rsidRPr="00545EC0">
        <w:rPr>
          <w:rFonts w:cs="Arial"/>
        </w:rPr>
        <w:t xml:space="preserve"> kriteriji v </w:t>
      </w:r>
      <w:r w:rsidR="00E7516C" w:rsidRPr="00545EC0">
        <w:rPr>
          <w:rFonts w:cs="Arial"/>
        </w:rPr>
        <w:t>primerjavi</w:t>
      </w:r>
      <w:r w:rsidRPr="00545EC0">
        <w:rPr>
          <w:rFonts w:cs="Arial"/>
        </w:rPr>
        <w:t xml:space="preserve"> s kriteriji dobrega kemijskega in ekološkega stanja voda. </w:t>
      </w:r>
    </w:p>
    <w:p w14:paraId="13960721" w14:textId="77777777" w:rsidR="000D7729" w:rsidRPr="00545EC0" w:rsidRDefault="000D7729" w:rsidP="0010797F">
      <w:pPr>
        <w:rPr>
          <w:rFonts w:cs="Arial"/>
        </w:rPr>
      </w:pPr>
    </w:p>
    <w:p w14:paraId="7D9C4C09" w14:textId="77777777" w:rsidR="00EB29DB" w:rsidRPr="00545EC0" w:rsidRDefault="00EB29DB" w:rsidP="00EB29DB">
      <w:pPr>
        <w:rPr>
          <w:rFonts w:cs="Arial"/>
        </w:rPr>
      </w:pPr>
      <w:r w:rsidRPr="00545EC0">
        <w:rPr>
          <w:rFonts w:cs="Arial"/>
        </w:rPr>
        <w:t xml:space="preserve">Na </w:t>
      </w:r>
      <w:r w:rsidR="005F375F" w:rsidRPr="00545EC0">
        <w:rPr>
          <w:rFonts w:cs="Arial"/>
        </w:rPr>
        <w:t>VO</w:t>
      </w:r>
      <w:r w:rsidRPr="00545EC0">
        <w:rPr>
          <w:rFonts w:cs="Arial"/>
        </w:rPr>
        <w:t xml:space="preserve"> Donave so določena naslednja območja s posebnimi zahtevami: </w:t>
      </w:r>
    </w:p>
    <w:p w14:paraId="701DE74F" w14:textId="3AC69AEE" w:rsidR="00EB29DB" w:rsidRPr="00545EC0" w:rsidRDefault="00EB29DB"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kopalne vode, v skladu z predpisom, ki ureja upravljanje kakovosti kopalnih voda in katere določila izhajajo iz Direktive Evropskega parlamenta in Sveta 2006/7/ES z dne 15. februarja 2006 o upravljanju kakovosti kopalnih voda in razveljavitvi Direktive 76/160/EGS</w:t>
      </w:r>
      <w:r w:rsidR="00E15650" w:rsidRPr="00545EC0">
        <w:rPr>
          <w:rFonts w:cs="Arial"/>
          <w:lang w:val="sl-SI"/>
        </w:rPr>
        <w:t xml:space="preserve"> (v nadaljnjem besedilu: kopalna direktiva)</w:t>
      </w:r>
      <w:r w:rsidRPr="00545EC0">
        <w:rPr>
          <w:rFonts w:cs="Arial"/>
          <w:lang w:val="sl-SI"/>
        </w:rPr>
        <w:t>,</w:t>
      </w:r>
    </w:p>
    <w:p w14:paraId="463FAD39" w14:textId="491860BA" w:rsidR="00EB29DB" w:rsidRPr="00545EC0" w:rsidRDefault="00EB29DB"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občutljiva območja v skladu s predpisom, ki ureja emisijo snovi pri odvajanju odpadne vode iz komunalnih čistilnih naprav, ki izhajajo iz Direktive Sveta 91/271/EGS z dne 21. maja 1991 o čiščenju komunalne odpadne vode</w:t>
      </w:r>
      <w:r w:rsidR="00E15650" w:rsidRPr="00545EC0">
        <w:rPr>
          <w:rFonts w:cs="Arial"/>
          <w:lang w:val="sl-SI"/>
        </w:rPr>
        <w:t xml:space="preserve"> (v nadaljnjem besedilu: direktiva o čiščenju komunalne odpadne vode)</w:t>
      </w:r>
      <w:r w:rsidRPr="00545EC0">
        <w:rPr>
          <w:rFonts w:cs="Arial"/>
          <w:lang w:val="sl-SI"/>
        </w:rPr>
        <w:t xml:space="preserve">,  </w:t>
      </w:r>
    </w:p>
    <w:p w14:paraId="13E5305D" w14:textId="313E97AF" w:rsidR="00EB29DB" w:rsidRPr="00545EC0" w:rsidRDefault="00EB29DB"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ranljiva območja v skladu s predpisom, ki ureja varstvo voda pred onesnaževanjem z nitrati iz kmetijskih virov in izhajajo iz Direktive Sveta 91/676/EEC z dne 12. decembra 1991 o varstvu voda pred onesnaževanjem z nitrati iz kmetijskih virov</w:t>
      </w:r>
      <w:r w:rsidR="00E15650" w:rsidRPr="00545EC0">
        <w:rPr>
          <w:rFonts w:cs="Arial"/>
          <w:lang w:val="sl-SI"/>
        </w:rPr>
        <w:t xml:space="preserve"> (v nadaljnjem besedilu: nitratna direktiva)</w:t>
      </w:r>
      <w:r w:rsidRPr="00545EC0">
        <w:rPr>
          <w:rFonts w:cs="Arial"/>
          <w:lang w:val="sl-SI"/>
        </w:rPr>
        <w:t>,</w:t>
      </w:r>
    </w:p>
    <w:p w14:paraId="5A7D0C4B" w14:textId="11496589" w:rsidR="00EB29DB" w:rsidRPr="00545EC0" w:rsidRDefault="00EB29DB"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območja salmonidnih in ciprinidnih voda, v skladu s predpisom ki ureja kakovost površinskih voda za življenje sladkovodnih vrst rib in katere določila izhajajo iz Direktive 2006/44/ES Evropskega Parlamenta in Sveta z dne 6. septembra 2006 o kakovosti sladkih voda, ki jih je treba zavarovati ali izboljšati, da se omogoči življenje rib</w:t>
      </w:r>
      <w:r w:rsidR="00E15650" w:rsidRPr="00545EC0">
        <w:rPr>
          <w:rFonts w:cs="Arial"/>
          <w:lang w:val="sl-SI"/>
        </w:rPr>
        <w:t xml:space="preserve"> (v nadaljnjem besedilu: direktiva o ribah)</w:t>
      </w:r>
      <w:r w:rsidRPr="00545EC0">
        <w:rPr>
          <w:rFonts w:cs="Arial"/>
          <w:lang w:val="sl-SI"/>
        </w:rPr>
        <w:t>,</w:t>
      </w:r>
    </w:p>
    <w:p w14:paraId="0A4D6F0B" w14:textId="3F0EE700" w:rsidR="00EB29DB" w:rsidRPr="00545EC0" w:rsidRDefault="00EB29DB"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zavarovana in varovana območja v skladu s predpisi, ki u</w:t>
      </w:r>
      <w:r w:rsidR="00C20CED" w:rsidRPr="00545EC0">
        <w:rPr>
          <w:rFonts w:cs="Arial"/>
          <w:lang w:val="sl-SI"/>
        </w:rPr>
        <w:t xml:space="preserve">rejajo ohranjanje narave, in </w:t>
      </w:r>
      <w:r w:rsidRPr="00545EC0">
        <w:rPr>
          <w:rFonts w:cs="Arial"/>
          <w:lang w:val="sl-SI"/>
        </w:rPr>
        <w:t xml:space="preserve">izhajajo iz </w:t>
      </w:r>
      <w:r w:rsidR="00C20CED" w:rsidRPr="00545EC0">
        <w:rPr>
          <w:rFonts w:cs="Arial"/>
          <w:lang w:val="sl-SI"/>
        </w:rPr>
        <w:t xml:space="preserve">zakona o </w:t>
      </w:r>
      <w:r w:rsidR="00017295" w:rsidRPr="00545EC0">
        <w:rPr>
          <w:rFonts w:cs="Arial"/>
          <w:lang w:val="sl-SI"/>
        </w:rPr>
        <w:t>ohra</w:t>
      </w:r>
      <w:r w:rsidR="00C20CED" w:rsidRPr="00545EC0">
        <w:rPr>
          <w:rFonts w:cs="Arial"/>
          <w:lang w:val="sl-SI"/>
        </w:rPr>
        <w:t>njanju</w:t>
      </w:r>
      <w:r w:rsidR="00017295" w:rsidRPr="00545EC0">
        <w:rPr>
          <w:rFonts w:cs="Arial"/>
          <w:lang w:val="sl-SI"/>
        </w:rPr>
        <w:t xml:space="preserve"> narave</w:t>
      </w:r>
      <w:r w:rsidRPr="00545EC0">
        <w:rPr>
          <w:rFonts w:cs="Arial"/>
          <w:lang w:val="sl-SI"/>
        </w:rPr>
        <w:t xml:space="preserve">. Določila izhajajo iz Direktive Sveta 79/409/EGS z dne 2. aprila 1979 </w:t>
      </w:r>
      <w:r w:rsidRPr="00545EC0">
        <w:rPr>
          <w:rFonts w:cs="Arial"/>
          <w:lang w:val="sl-SI"/>
        </w:rPr>
        <w:lastRenderedPageBreak/>
        <w:t xml:space="preserve">o ohranjanju prosto živečih ptic </w:t>
      </w:r>
      <w:r w:rsidR="00E15650" w:rsidRPr="00545EC0">
        <w:rPr>
          <w:rFonts w:cs="Arial"/>
          <w:lang w:val="sl-SI"/>
        </w:rPr>
        <w:t xml:space="preserve">(v nadaljnjem besedilu: ptičja direktiva) </w:t>
      </w:r>
      <w:r w:rsidRPr="00545EC0">
        <w:rPr>
          <w:rFonts w:cs="Arial"/>
          <w:lang w:val="sl-SI"/>
        </w:rPr>
        <w:t>in Direktivo Sveta 92/43/EGS z dne 21. maja 1992 o ohranjanju naravnih habitatov ter prosto živečih živalskih in rastlinskih vrst</w:t>
      </w:r>
      <w:r w:rsidR="00E15650" w:rsidRPr="00545EC0">
        <w:rPr>
          <w:rFonts w:cs="Arial"/>
          <w:lang w:val="sl-SI"/>
        </w:rPr>
        <w:t xml:space="preserve"> (v nadaljnjem besedilu: habitatna direktiva)</w:t>
      </w:r>
      <w:r w:rsidRPr="00545EC0">
        <w:rPr>
          <w:rFonts w:cs="Arial"/>
          <w:lang w:val="sl-SI"/>
        </w:rPr>
        <w:t>.</w:t>
      </w:r>
    </w:p>
    <w:p w14:paraId="57A9ABA6" w14:textId="1A9FD129" w:rsidR="00EB29DB" w:rsidRPr="00545EC0" w:rsidRDefault="00EB29DB"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 xml:space="preserve">vodovarstvena območja, v skladu z 74. členom zakona o vodah , ki </w:t>
      </w:r>
      <w:r w:rsidR="00E7516C" w:rsidRPr="00545EC0">
        <w:rPr>
          <w:rFonts w:cs="Arial"/>
          <w:lang w:val="sl-SI"/>
        </w:rPr>
        <w:t>vzpostavlja</w:t>
      </w:r>
      <w:r w:rsidRPr="00545EC0">
        <w:rPr>
          <w:rFonts w:cs="Arial"/>
          <w:lang w:val="sl-SI"/>
        </w:rPr>
        <w:t xml:space="preserve"> režim varstva pitne vod</w:t>
      </w:r>
      <w:r w:rsidR="00401B38" w:rsidRPr="00545EC0">
        <w:rPr>
          <w:rFonts w:cs="Arial"/>
          <w:lang w:val="sl-SI"/>
        </w:rPr>
        <w:t>e. Določila izhajajo iz zahtev v</w:t>
      </w:r>
      <w:r w:rsidRPr="00545EC0">
        <w:rPr>
          <w:rFonts w:cs="Arial"/>
          <w:lang w:val="sl-SI"/>
        </w:rPr>
        <w:t>odne direktive</w:t>
      </w:r>
      <w:r w:rsidR="00B05A5E" w:rsidRPr="00545EC0">
        <w:rPr>
          <w:rFonts w:cs="Arial"/>
          <w:lang w:val="sl-SI"/>
        </w:rPr>
        <w:t xml:space="preserve"> (7. člen)</w:t>
      </w:r>
      <w:r w:rsidRPr="00545EC0">
        <w:rPr>
          <w:rFonts w:cs="Arial"/>
          <w:lang w:val="sl-SI"/>
        </w:rPr>
        <w:t>.</w:t>
      </w:r>
    </w:p>
    <w:p w14:paraId="232AD10E" w14:textId="77777777" w:rsidR="00EB29DB" w:rsidRPr="00545EC0" w:rsidRDefault="00EB29DB"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 xml:space="preserve">ogrožena območja, ki so opredeljena v 83. členu </w:t>
      </w:r>
      <w:r w:rsidR="008546CF" w:rsidRPr="00545EC0">
        <w:rPr>
          <w:rFonts w:cs="Arial"/>
          <w:lang w:val="sl-SI"/>
        </w:rPr>
        <w:t>z</w:t>
      </w:r>
      <w:r w:rsidRPr="00545EC0">
        <w:rPr>
          <w:rFonts w:cs="Arial"/>
          <w:lang w:val="sl-SI"/>
        </w:rPr>
        <w:t>akona o vodah kot območja, ki so ogrožena zaradi poplav (poplavna območja), erozije celinskih voda in morja (erozijska območja), zemeljskih ali hribinskih plazov (plazljiva območja) in snežnih plazov (plazovita območja).</w:t>
      </w:r>
    </w:p>
    <w:p w14:paraId="3CA2C015" w14:textId="77777777" w:rsidR="00EB29DB" w:rsidRPr="00545EC0" w:rsidRDefault="00EB29DB"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 xml:space="preserve">območja varstvenih voda v skladu s predpisi, ki urejajo ribištvo in izhajajo iz </w:t>
      </w:r>
      <w:r w:rsidR="008546CF" w:rsidRPr="00545EC0">
        <w:rPr>
          <w:rFonts w:cs="Arial"/>
          <w:lang w:val="sl-SI"/>
        </w:rPr>
        <w:t>zakona, ki ureja sladkovodno ribištvo in iz zakona, ki ureja morsko ribištvo</w:t>
      </w:r>
      <w:r w:rsidRPr="00545EC0">
        <w:rPr>
          <w:rFonts w:cs="Arial"/>
          <w:lang w:val="sl-SI"/>
        </w:rPr>
        <w:t>.</w:t>
      </w:r>
    </w:p>
    <w:p w14:paraId="4AAFAFBC" w14:textId="77777777" w:rsidR="004D43F4" w:rsidRPr="00545EC0" w:rsidRDefault="004D43F4">
      <w:pPr>
        <w:pStyle w:val="Naslov3"/>
      </w:pPr>
      <w:bookmarkStart w:id="425" w:name="_Ref87815675"/>
      <w:bookmarkStart w:id="426" w:name="_Toc90261037"/>
      <w:r w:rsidRPr="00545EC0">
        <w:t>Vodovarstvena območja</w:t>
      </w:r>
      <w:bookmarkEnd w:id="425"/>
      <w:bookmarkEnd w:id="426"/>
    </w:p>
    <w:p w14:paraId="50F58B6C" w14:textId="4D06911E" w:rsidR="000D7729" w:rsidRPr="00545EC0" w:rsidRDefault="000D7729" w:rsidP="00DE0AD0">
      <w:pPr>
        <w:pStyle w:val="Odstavekseznama"/>
        <w:ind w:left="0"/>
        <w:rPr>
          <w:rFonts w:cs="Arial"/>
          <w:lang w:val="sl-SI"/>
        </w:rPr>
      </w:pPr>
      <w:r w:rsidRPr="00545EC0">
        <w:rPr>
          <w:rFonts w:cs="Arial"/>
          <w:lang w:val="sl-SI"/>
        </w:rPr>
        <w:t>Vodovarstvena območja so glede na</w:t>
      </w:r>
      <w:r w:rsidR="00927C60" w:rsidRPr="00545EC0">
        <w:rPr>
          <w:rFonts w:cs="Arial"/>
          <w:lang w:val="sl-SI"/>
        </w:rPr>
        <w:t xml:space="preserve"> predpis, ki ureja kriterije za določitev vodovarstvenega območja, </w:t>
      </w:r>
      <w:r w:rsidRPr="00545EC0">
        <w:rPr>
          <w:rFonts w:cs="Arial"/>
          <w:lang w:val="sl-SI"/>
        </w:rPr>
        <w:t xml:space="preserve"> </w:t>
      </w:r>
      <w:r w:rsidR="001640C2" w:rsidRPr="00545EC0">
        <w:rPr>
          <w:rFonts w:cs="Arial"/>
          <w:lang w:val="sl-SI"/>
        </w:rPr>
        <w:t>d</w:t>
      </w:r>
      <w:r w:rsidR="001640C2" w:rsidRPr="00545EC0">
        <w:rPr>
          <w:rFonts w:eastAsia="Calibri" w:cs="Arial"/>
          <w:szCs w:val="20"/>
        </w:rPr>
        <w:t>oločena za varovanje vodnih teles, ki se uporabljajo ali so namenjena za odvzem vode za javno oskrbo s pitno vodo.</w:t>
      </w:r>
      <w:r w:rsidR="001640C2" w:rsidRPr="00545EC0" w:rsidDel="001640C2">
        <w:rPr>
          <w:rFonts w:cs="Arial"/>
          <w:lang w:val="sl-SI"/>
        </w:rPr>
        <w:t xml:space="preserve"> </w:t>
      </w:r>
      <w:r w:rsidRPr="00545EC0">
        <w:rPr>
          <w:rFonts w:cs="Arial"/>
          <w:lang w:val="sl-SI"/>
        </w:rPr>
        <w:t>(</w:t>
      </w:r>
      <w:r w:rsidR="00162E83" w:rsidRPr="00545EC0">
        <w:rPr>
          <w:rFonts w:cs="Arial"/>
          <w:i/>
          <w:lang w:val="sl-SI"/>
        </w:rPr>
        <w:t>Publikacijska karta</w:t>
      </w:r>
      <w:r w:rsidR="00611ACA" w:rsidRPr="00545EC0">
        <w:rPr>
          <w:rFonts w:cs="Arial"/>
          <w:i/>
          <w:lang w:val="sl-SI"/>
        </w:rPr>
        <w:t xml:space="preserve"> 10.1</w:t>
      </w:r>
      <w:r w:rsidR="00710B3E" w:rsidRPr="00545EC0">
        <w:rPr>
          <w:rFonts w:cs="Arial"/>
          <w:i/>
          <w:lang w:val="sl-SI"/>
        </w:rPr>
        <w:t xml:space="preserve">: </w:t>
      </w:r>
      <w:r w:rsidRPr="00545EC0">
        <w:rPr>
          <w:rFonts w:cs="Arial"/>
          <w:i/>
          <w:lang w:val="sl-SI"/>
        </w:rPr>
        <w:t>Vodovarstvena območja</w:t>
      </w:r>
      <w:r w:rsidRPr="00545EC0">
        <w:rPr>
          <w:rFonts w:cs="Arial"/>
          <w:lang w:val="sl-SI"/>
        </w:rPr>
        <w:t>).</w:t>
      </w:r>
    </w:p>
    <w:p w14:paraId="76F29D0D" w14:textId="77777777" w:rsidR="000D7729" w:rsidRPr="00545EC0" w:rsidRDefault="000D7729" w:rsidP="00DE0AD0">
      <w:pPr>
        <w:pStyle w:val="Odstavekseznama"/>
        <w:ind w:left="0"/>
        <w:rPr>
          <w:rFonts w:cs="Arial"/>
          <w:lang w:val="sl-SI"/>
        </w:rPr>
      </w:pPr>
    </w:p>
    <w:p w14:paraId="416D6E4F" w14:textId="6CD7ACF9" w:rsidR="00F718E8" w:rsidRPr="00545EC0" w:rsidRDefault="007E33F4" w:rsidP="00DE0AD0">
      <w:pPr>
        <w:pStyle w:val="Odstavekseznama"/>
        <w:ind w:left="0"/>
        <w:rPr>
          <w:rFonts w:cs="Arial"/>
          <w:lang w:val="sl-SI"/>
        </w:rPr>
      </w:pPr>
      <w:r w:rsidRPr="00545EC0">
        <w:rPr>
          <w:rFonts w:cs="Arial"/>
          <w:lang w:val="sl-SI"/>
        </w:rPr>
        <w:t xml:space="preserve">Trenutno je </w:t>
      </w:r>
      <w:r w:rsidR="001640C2" w:rsidRPr="00545EC0">
        <w:rPr>
          <w:rFonts w:cs="Arial"/>
          <w:lang w:val="sl-SI"/>
        </w:rPr>
        <w:t>na območju Slovenije u</w:t>
      </w:r>
      <w:r w:rsidRPr="00545EC0">
        <w:rPr>
          <w:rFonts w:cs="Arial"/>
          <w:lang w:val="sl-SI"/>
        </w:rPr>
        <w:t>veljav</w:t>
      </w:r>
      <w:r w:rsidR="001640C2" w:rsidRPr="00545EC0">
        <w:rPr>
          <w:rFonts w:cs="Arial"/>
          <w:lang w:val="sl-SI"/>
        </w:rPr>
        <w:t>ljenih</w:t>
      </w:r>
      <w:r w:rsidRPr="00545EC0">
        <w:rPr>
          <w:rFonts w:cs="Arial"/>
          <w:lang w:val="sl-SI"/>
        </w:rPr>
        <w:t xml:space="preserve"> 15</w:t>
      </w:r>
      <w:r w:rsidR="000D7729" w:rsidRPr="00545EC0">
        <w:rPr>
          <w:rFonts w:cs="Arial"/>
          <w:lang w:val="sl-SI"/>
        </w:rPr>
        <w:t xml:space="preserve"> </w:t>
      </w:r>
      <w:r w:rsidRPr="00545EC0">
        <w:rPr>
          <w:rFonts w:cs="Arial"/>
          <w:lang w:val="sl-SI"/>
        </w:rPr>
        <w:t>uredb Vlade R</w:t>
      </w:r>
      <w:r w:rsidR="00926EA0" w:rsidRPr="00545EC0">
        <w:rPr>
          <w:rFonts w:cs="Arial"/>
          <w:lang w:val="sl-SI"/>
        </w:rPr>
        <w:t xml:space="preserve">epublike </w:t>
      </w:r>
      <w:r w:rsidRPr="00545EC0">
        <w:rPr>
          <w:rFonts w:cs="Arial"/>
          <w:lang w:val="sl-SI"/>
        </w:rPr>
        <w:t>S</w:t>
      </w:r>
      <w:r w:rsidR="00926EA0" w:rsidRPr="00545EC0">
        <w:rPr>
          <w:rFonts w:cs="Arial"/>
          <w:lang w:val="sl-SI"/>
        </w:rPr>
        <w:t>lovenije</w:t>
      </w:r>
      <w:r w:rsidR="00974001" w:rsidRPr="00545EC0">
        <w:rPr>
          <w:rFonts w:cs="Arial"/>
          <w:lang w:val="sl-SI"/>
        </w:rPr>
        <w:t xml:space="preserve">, ki </w:t>
      </w:r>
      <w:r w:rsidR="00F718E8" w:rsidRPr="00545EC0">
        <w:rPr>
          <w:rFonts w:cs="Arial"/>
          <w:lang w:val="sl-SI"/>
        </w:rPr>
        <w:t>določajo</w:t>
      </w:r>
      <w:r w:rsidR="00974001" w:rsidRPr="00545EC0">
        <w:rPr>
          <w:rFonts w:cs="Arial"/>
          <w:lang w:val="sl-SI"/>
        </w:rPr>
        <w:t xml:space="preserve"> vodovarstvena območja</w:t>
      </w:r>
      <w:r w:rsidR="00F718E8" w:rsidRPr="00545EC0">
        <w:rPr>
          <w:rFonts w:cs="Arial"/>
          <w:lang w:val="sl-SI"/>
        </w:rPr>
        <w:t>.</w:t>
      </w:r>
      <w:r w:rsidR="00974001" w:rsidRPr="00545EC0">
        <w:rPr>
          <w:rFonts w:cs="Arial"/>
          <w:lang w:val="sl-SI"/>
        </w:rPr>
        <w:t xml:space="preserve"> </w:t>
      </w:r>
      <w:r w:rsidR="0087549C" w:rsidRPr="00545EC0">
        <w:rPr>
          <w:rFonts w:cs="Arial"/>
          <w:noProof/>
          <w:szCs w:val="20"/>
        </w:rPr>
        <w:t>Do uveljavitve predpisov Vlade R</w:t>
      </w:r>
      <w:r w:rsidR="00926EA0" w:rsidRPr="00545EC0">
        <w:rPr>
          <w:rFonts w:cs="Arial"/>
          <w:noProof/>
          <w:szCs w:val="20"/>
          <w:lang w:val="sl-SI"/>
        </w:rPr>
        <w:t xml:space="preserve">epublike </w:t>
      </w:r>
      <w:r w:rsidR="0087549C" w:rsidRPr="00545EC0">
        <w:rPr>
          <w:rFonts w:cs="Arial"/>
          <w:noProof/>
          <w:szCs w:val="20"/>
        </w:rPr>
        <w:t>S</w:t>
      </w:r>
      <w:r w:rsidR="00926EA0" w:rsidRPr="00545EC0">
        <w:rPr>
          <w:rFonts w:cs="Arial"/>
          <w:noProof/>
          <w:szCs w:val="20"/>
          <w:lang w:val="sl-SI"/>
        </w:rPr>
        <w:t>lovenije</w:t>
      </w:r>
      <w:r w:rsidR="0087549C" w:rsidRPr="00545EC0">
        <w:rPr>
          <w:rFonts w:cs="Arial"/>
          <w:noProof/>
          <w:szCs w:val="20"/>
        </w:rPr>
        <w:t xml:space="preserve"> se uporabljajo občinski predpisi (praviloma odloki), ki določajo (vodo)varst</w:t>
      </w:r>
      <w:r w:rsidR="00E75CF8" w:rsidRPr="00545EC0">
        <w:rPr>
          <w:rFonts w:cs="Arial"/>
          <w:noProof/>
          <w:szCs w:val="20"/>
        </w:rPr>
        <w:t xml:space="preserve">vene pasove, izdane na podlagi </w:t>
      </w:r>
      <w:r w:rsidR="00E75CF8" w:rsidRPr="00545EC0">
        <w:rPr>
          <w:rFonts w:cs="Arial"/>
          <w:noProof/>
          <w:szCs w:val="20"/>
          <w:lang w:val="sl-SI"/>
        </w:rPr>
        <w:t>z</w:t>
      </w:r>
      <w:r w:rsidR="0087549C" w:rsidRPr="00545EC0">
        <w:rPr>
          <w:rFonts w:cs="Arial"/>
          <w:noProof/>
          <w:szCs w:val="20"/>
        </w:rPr>
        <w:t>akona o vodah. VVO za površinske in podzemne vode niso prikazana ločeno</w:t>
      </w:r>
      <w:r w:rsidR="00DC28AD" w:rsidRPr="00545EC0">
        <w:rPr>
          <w:rFonts w:cs="Arial"/>
          <w:noProof/>
          <w:szCs w:val="20"/>
          <w:lang w:val="sl-SI"/>
        </w:rPr>
        <w:t>.</w:t>
      </w:r>
    </w:p>
    <w:p w14:paraId="55EA9A65" w14:textId="77777777" w:rsidR="004D43F4" w:rsidRPr="00545EC0" w:rsidRDefault="00421B63">
      <w:pPr>
        <w:pStyle w:val="Naslov3"/>
      </w:pPr>
      <w:bookmarkStart w:id="427" w:name="_Toc90261038"/>
      <w:r w:rsidRPr="00545EC0">
        <w:t>Kopalne vode</w:t>
      </w:r>
      <w:bookmarkEnd w:id="427"/>
    </w:p>
    <w:p w14:paraId="243202C3" w14:textId="77777777" w:rsidR="000D7729" w:rsidRPr="00545EC0" w:rsidRDefault="000D7729" w:rsidP="00DE0AD0">
      <w:pPr>
        <w:rPr>
          <w:rFonts w:cs="Arial"/>
          <w:szCs w:val="20"/>
        </w:rPr>
      </w:pPr>
      <w:r w:rsidRPr="00545EC0">
        <w:rPr>
          <w:rFonts w:cs="Arial"/>
          <w:szCs w:val="20"/>
        </w:rPr>
        <w:t>Seznam kopalnih voda</w:t>
      </w:r>
      <w:r w:rsidR="001A208E" w:rsidRPr="00545EC0">
        <w:rPr>
          <w:rFonts w:cs="Arial"/>
          <w:szCs w:val="20"/>
        </w:rPr>
        <w:t>, ki je določen s predpisom, ki ureja upravljanje kakovosti kopalnih voda,</w:t>
      </w:r>
      <w:r w:rsidRPr="00545EC0">
        <w:rPr>
          <w:rFonts w:cs="Arial"/>
          <w:szCs w:val="20"/>
        </w:rPr>
        <w:t xml:space="preserve"> za VO Donave zajema skupno 20 kopalnih voda, pri čemer se jih 30 % nahaja v zgornjem delu porečja Save (kopalne vode na Blejskem in Bohinjskem jezeru ter na Šobčevem bajerju) in 70 % v spodnjem delu porečja Save (kopalne vode na reki Krki in Kolpi). </w:t>
      </w:r>
    </w:p>
    <w:p w14:paraId="2DA0C629" w14:textId="77777777" w:rsidR="000D7729" w:rsidRPr="00545EC0" w:rsidRDefault="000D7729" w:rsidP="00DE0AD0">
      <w:pPr>
        <w:rPr>
          <w:rFonts w:cs="Arial"/>
          <w:szCs w:val="20"/>
        </w:rPr>
      </w:pPr>
      <w:bookmarkStart w:id="428" w:name="_Toc386026177"/>
    </w:p>
    <w:bookmarkEnd w:id="428"/>
    <w:p w14:paraId="0BDEEC23" w14:textId="434FF991" w:rsidR="000D7729" w:rsidRPr="00545EC0" w:rsidRDefault="000D7729" w:rsidP="00DE0AD0">
      <w:pPr>
        <w:rPr>
          <w:rFonts w:cs="Arial"/>
          <w:bCs/>
          <w:kern w:val="32"/>
          <w:szCs w:val="20"/>
        </w:rPr>
      </w:pPr>
      <w:r w:rsidRPr="00545EC0">
        <w:rPr>
          <w:rFonts w:cs="Arial"/>
          <w:szCs w:val="20"/>
        </w:rPr>
        <w:t>Kopalne vode so prikazane na</w:t>
      </w:r>
      <w:r w:rsidR="00611ACA" w:rsidRPr="00545EC0">
        <w:rPr>
          <w:rFonts w:cs="Arial"/>
          <w:szCs w:val="20"/>
        </w:rPr>
        <w:t xml:space="preserve"> publikacijski</w:t>
      </w:r>
      <w:r w:rsidRPr="00545EC0">
        <w:rPr>
          <w:rFonts w:cs="Arial"/>
          <w:szCs w:val="20"/>
        </w:rPr>
        <w:t xml:space="preserve"> karti (</w:t>
      </w:r>
      <w:r w:rsidR="00162E83" w:rsidRPr="00545EC0">
        <w:rPr>
          <w:rFonts w:cs="Arial"/>
          <w:bCs/>
          <w:i/>
          <w:kern w:val="32"/>
          <w:szCs w:val="20"/>
        </w:rPr>
        <w:t>Publikacijska karta</w:t>
      </w:r>
      <w:r w:rsidR="00611ACA" w:rsidRPr="00545EC0">
        <w:rPr>
          <w:rFonts w:cs="Arial"/>
          <w:bCs/>
          <w:i/>
          <w:kern w:val="32"/>
          <w:szCs w:val="20"/>
        </w:rPr>
        <w:t xml:space="preserve"> 10.2</w:t>
      </w:r>
      <w:r w:rsidRPr="00545EC0">
        <w:rPr>
          <w:rFonts w:cs="Arial"/>
          <w:bCs/>
          <w:i/>
          <w:kern w:val="32"/>
          <w:szCs w:val="20"/>
        </w:rPr>
        <w:t>: Kopalne vode</w:t>
      </w:r>
      <w:r w:rsidRPr="00545EC0">
        <w:rPr>
          <w:rFonts w:cs="Arial"/>
          <w:bCs/>
          <w:kern w:val="32"/>
          <w:szCs w:val="20"/>
        </w:rPr>
        <w:t>)</w:t>
      </w:r>
    </w:p>
    <w:p w14:paraId="0215BB02" w14:textId="77777777" w:rsidR="009A3FFA" w:rsidRPr="00545EC0" w:rsidRDefault="009A3FFA">
      <w:pPr>
        <w:pStyle w:val="Naslov3"/>
      </w:pPr>
      <w:bookmarkStart w:id="429" w:name="_Toc90261039"/>
      <w:r w:rsidRPr="00545EC0">
        <w:t>Ogrožena območja</w:t>
      </w:r>
      <w:bookmarkEnd w:id="429"/>
    </w:p>
    <w:p w14:paraId="16B3E95C" w14:textId="0FF9FC86" w:rsidR="00955338" w:rsidRPr="00545EC0" w:rsidRDefault="00955338" w:rsidP="00955338">
      <w:pPr>
        <w:rPr>
          <w:rFonts w:cs="Arial"/>
        </w:rPr>
      </w:pPr>
      <w:r w:rsidRPr="00545EC0">
        <w:rPr>
          <w:rFonts w:cs="Arial"/>
        </w:rPr>
        <w:t>Ogrožena območja se</w:t>
      </w:r>
      <w:r w:rsidR="0040588B" w:rsidRPr="00545EC0">
        <w:rPr>
          <w:rFonts w:cs="Arial"/>
        </w:rPr>
        <w:t xml:space="preserve">, </w:t>
      </w:r>
      <w:r w:rsidR="008546CF" w:rsidRPr="00545EC0">
        <w:rPr>
          <w:rFonts w:cs="Arial"/>
        </w:rPr>
        <w:t xml:space="preserve">v skladu z zakonom o vodah, </w:t>
      </w:r>
      <w:r w:rsidRPr="00545EC0">
        <w:rPr>
          <w:rFonts w:cs="Arial"/>
        </w:rPr>
        <w:t xml:space="preserve">določajo zaradi zagotavljanja varstva pred škodljivim delovanjem voda. Zakon predvideva, da ogrožena območja določi vlada, ob upoštevanju naravnih možnosti, da pride do škodljivega delovanja voda, števila potencialno ogroženih prebivalcev in velikosti možne škode na objektih, zemljiščih in premoženju. Ogrožena območja, ki so podana v nadaljevanju besedila, so </w:t>
      </w:r>
    </w:p>
    <w:p w14:paraId="0F0C39A8" w14:textId="77777777" w:rsidR="00955338" w:rsidRPr="00545EC0" w:rsidRDefault="00955338" w:rsidP="008548F6">
      <w:pPr>
        <w:numPr>
          <w:ilvl w:val="0"/>
          <w:numId w:val="24"/>
        </w:numPr>
        <w:overflowPunct/>
        <w:autoSpaceDE/>
        <w:autoSpaceDN/>
        <w:adjustRightInd/>
        <w:ind w:left="567" w:hanging="283"/>
        <w:contextualSpacing/>
        <w:textAlignment w:val="auto"/>
        <w:rPr>
          <w:rFonts w:cs="Arial"/>
          <w:lang w:eastAsia="x-none"/>
        </w:rPr>
      </w:pPr>
      <w:r w:rsidRPr="00545EC0">
        <w:rPr>
          <w:rFonts w:cs="Arial"/>
          <w:lang w:eastAsia="x-none"/>
        </w:rPr>
        <w:t xml:space="preserve">območja pomembnega vpliva poplav, </w:t>
      </w:r>
    </w:p>
    <w:p w14:paraId="630C943B" w14:textId="77777777" w:rsidR="00955338" w:rsidRPr="00545EC0" w:rsidRDefault="00955338" w:rsidP="008548F6">
      <w:pPr>
        <w:numPr>
          <w:ilvl w:val="0"/>
          <w:numId w:val="24"/>
        </w:numPr>
        <w:overflowPunct/>
        <w:autoSpaceDE/>
        <w:autoSpaceDN/>
        <w:adjustRightInd/>
        <w:ind w:left="567" w:hanging="283"/>
        <w:contextualSpacing/>
        <w:textAlignment w:val="auto"/>
        <w:rPr>
          <w:rFonts w:cs="Arial"/>
          <w:lang w:eastAsia="x-none"/>
        </w:rPr>
      </w:pPr>
      <w:r w:rsidRPr="00545EC0">
        <w:rPr>
          <w:rFonts w:cs="Arial"/>
          <w:lang w:eastAsia="x-none"/>
        </w:rPr>
        <w:t xml:space="preserve">poplavna območja, </w:t>
      </w:r>
    </w:p>
    <w:p w14:paraId="749F9018" w14:textId="77777777" w:rsidR="00955338" w:rsidRPr="00545EC0" w:rsidRDefault="00955338" w:rsidP="008548F6">
      <w:pPr>
        <w:numPr>
          <w:ilvl w:val="0"/>
          <w:numId w:val="24"/>
        </w:numPr>
        <w:overflowPunct/>
        <w:autoSpaceDE/>
        <w:autoSpaceDN/>
        <w:adjustRightInd/>
        <w:ind w:left="567" w:hanging="283"/>
        <w:contextualSpacing/>
        <w:textAlignment w:val="auto"/>
        <w:rPr>
          <w:rFonts w:cs="Arial"/>
          <w:lang w:eastAsia="x-none"/>
        </w:rPr>
      </w:pPr>
      <w:r w:rsidRPr="00545EC0">
        <w:rPr>
          <w:rFonts w:cs="Arial"/>
          <w:lang w:eastAsia="x-none"/>
        </w:rPr>
        <w:t>erozijska območja,</w:t>
      </w:r>
    </w:p>
    <w:p w14:paraId="2867E1CE" w14:textId="035AEDA1" w:rsidR="00955338" w:rsidRPr="00545EC0" w:rsidRDefault="00955338" w:rsidP="008548F6">
      <w:pPr>
        <w:numPr>
          <w:ilvl w:val="0"/>
          <w:numId w:val="24"/>
        </w:numPr>
        <w:overflowPunct/>
        <w:autoSpaceDE/>
        <w:autoSpaceDN/>
        <w:adjustRightInd/>
        <w:ind w:left="567" w:hanging="283"/>
        <w:contextualSpacing/>
        <w:textAlignment w:val="auto"/>
        <w:rPr>
          <w:rFonts w:cs="Arial"/>
          <w:lang w:eastAsia="x-none"/>
        </w:rPr>
      </w:pPr>
      <w:r w:rsidRPr="00545EC0">
        <w:rPr>
          <w:rFonts w:cs="Arial"/>
          <w:lang w:eastAsia="x-none"/>
        </w:rPr>
        <w:t>plazljiva območja</w:t>
      </w:r>
      <w:r w:rsidR="0069159A" w:rsidRPr="00545EC0">
        <w:rPr>
          <w:rFonts w:cs="Arial"/>
          <w:lang w:eastAsia="x-none"/>
        </w:rPr>
        <w:t xml:space="preserve"> ter</w:t>
      </w:r>
      <w:r w:rsidRPr="00545EC0">
        <w:rPr>
          <w:rFonts w:cs="Arial"/>
          <w:lang w:eastAsia="x-none"/>
        </w:rPr>
        <w:t xml:space="preserve"> </w:t>
      </w:r>
    </w:p>
    <w:p w14:paraId="344E63B1" w14:textId="03E48B17" w:rsidR="000D7729" w:rsidRPr="00545EC0" w:rsidRDefault="00955338" w:rsidP="008548F6">
      <w:pPr>
        <w:numPr>
          <w:ilvl w:val="0"/>
          <w:numId w:val="24"/>
        </w:numPr>
        <w:overflowPunct/>
        <w:autoSpaceDE/>
        <w:autoSpaceDN/>
        <w:adjustRightInd/>
        <w:ind w:left="567" w:hanging="283"/>
        <w:contextualSpacing/>
        <w:textAlignment w:val="auto"/>
        <w:rPr>
          <w:rFonts w:cs="Arial"/>
          <w:lang w:eastAsia="x-none"/>
        </w:rPr>
      </w:pPr>
      <w:r w:rsidRPr="00545EC0">
        <w:rPr>
          <w:rFonts w:cs="Arial"/>
          <w:lang w:eastAsia="x-none"/>
        </w:rPr>
        <w:t>plazovita območja</w:t>
      </w:r>
      <w:r w:rsidR="0069159A" w:rsidRPr="00545EC0">
        <w:rPr>
          <w:rFonts w:cs="Arial"/>
          <w:lang w:eastAsia="x-none"/>
        </w:rPr>
        <w:t>.</w:t>
      </w:r>
    </w:p>
    <w:p w14:paraId="3E535E8F" w14:textId="77777777" w:rsidR="00DB36B5" w:rsidRPr="00545EC0" w:rsidRDefault="00DB36B5" w:rsidP="00DB36B5">
      <w:pPr>
        <w:overflowPunct/>
        <w:autoSpaceDE/>
        <w:autoSpaceDN/>
        <w:adjustRightInd/>
        <w:contextualSpacing/>
        <w:textAlignment w:val="auto"/>
        <w:rPr>
          <w:rFonts w:cs="Arial"/>
          <w:lang w:eastAsia="x-none"/>
        </w:rPr>
      </w:pPr>
    </w:p>
    <w:p w14:paraId="1F5F64F3" w14:textId="77777777" w:rsidR="00DB36B5" w:rsidRPr="00545EC0" w:rsidRDefault="00DB36B5" w:rsidP="00DB36B5">
      <w:pPr>
        <w:rPr>
          <w:rFonts w:cs="Arial"/>
          <w:bCs/>
          <w:kern w:val="32"/>
        </w:rPr>
      </w:pPr>
      <w:r w:rsidRPr="00545EC0">
        <w:rPr>
          <w:rFonts w:cs="Arial"/>
          <w:bCs/>
          <w:kern w:val="32"/>
        </w:rPr>
        <w:t xml:space="preserve">Ogrožena območja so prikaza na preliminarnih kartah, in predstavljajo splošno informacijo o lokacijah in obsegu teh območij, in sicer: </w:t>
      </w:r>
    </w:p>
    <w:p w14:paraId="29B07F51" w14:textId="0605A92D" w:rsidR="00DB36B5" w:rsidRPr="00545EC0" w:rsidRDefault="00DB36B5" w:rsidP="00DB36B5">
      <w:pPr>
        <w:rPr>
          <w:rFonts w:cs="Arial"/>
          <w:bCs/>
          <w:kern w:val="32"/>
        </w:rPr>
      </w:pPr>
      <w:r w:rsidRPr="00545EC0">
        <w:rPr>
          <w:rFonts w:cs="Arial"/>
          <w:bCs/>
          <w:i/>
          <w:kern w:val="32"/>
        </w:rPr>
        <w:t>Publikacijska karta</w:t>
      </w:r>
      <w:r w:rsidR="00611ACA" w:rsidRPr="00545EC0">
        <w:rPr>
          <w:rFonts w:cs="Arial"/>
          <w:bCs/>
          <w:i/>
          <w:kern w:val="32"/>
        </w:rPr>
        <w:t xml:space="preserve"> 10.3</w:t>
      </w:r>
      <w:r w:rsidRPr="00545EC0">
        <w:rPr>
          <w:rFonts w:cs="Arial"/>
          <w:bCs/>
          <w:i/>
          <w:kern w:val="32"/>
        </w:rPr>
        <w:t xml:space="preserve">: </w:t>
      </w:r>
      <w:r w:rsidRPr="00545EC0">
        <w:rPr>
          <w:rFonts w:cs="Arial"/>
          <w:i/>
        </w:rPr>
        <w:t>Območja pomembnega vpliva poplav</w:t>
      </w:r>
    </w:p>
    <w:p w14:paraId="73111360" w14:textId="70FF8782" w:rsidR="00DB36B5" w:rsidRPr="00545EC0" w:rsidRDefault="00DB36B5" w:rsidP="00DB36B5">
      <w:pPr>
        <w:rPr>
          <w:rFonts w:cs="Arial"/>
          <w:bCs/>
          <w:i/>
          <w:kern w:val="32"/>
        </w:rPr>
      </w:pPr>
      <w:r w:rsidRPr="00545EC0">
        <w:rPr>
          <w:rFonts w:cs="Arial"/>
          <w:bCs/>
          <w:i/>
          <w:kern w:val="32"/>
        </w:rPr>
        <w:t>Publikacijska karta</w:t>
      </w:r>
      <w:r w:rsidR="00611ACA" w:rsidRPr="00545EC0">
        <w:rPr>
          <w:rFonts w:cs="Arial"/>
          <w:bCs/>
          <w:i/>
          <w:kern w:val="32"/>
        </w:rPr>
        <w:t xml:space="preserve"> 10.4</w:t>
      </w:r>
      <w:r w:rsidRPr="00545EC0">
        <w:rPr>
          <w:rFonts w:cs="Arial"/>
          <w:bCs/>
          <w:i/>
          <w:kern w:val="32"/>
        </w:rPr>
        <w:t>: Poplavna območja – opozorilna karta poplav</w:t>
      </w:r>
    </w:p>
    <w:p w14:paraId="12853AF8" w14:textId="77777777" w:rsidR="00A264BA" w:rsidRPr="00545EC0" w:rsidRDefault="00A264BA" w:rsidP="00DB36B5">
      <w:pPr>
        <w:rPr>
          <w:rFonts w:cs="Arial"/>
          <w:bCs/>
          <w:i/>
          <w:kern w:val="32"/>
        </w:rPr>
      </w:pPr>
    </w:p>
    <w:p w14:paraId="7121389E" w14:textId="77777777" w:rsidR="000D7729" w:rsidRPr="00545EC0" w:rsidRDefault="000D7729" w:rsidP="000277DE">
      <w:pPr>
        <w:pStyle w:val="Naslov4"/>
        <w:rPr>
          <w:color w:val="auto"/>
        </w:rPr>
      </w:pPr>
      <w:bookmarkStart w:id="430" w:name="_Toc419099202"/>
      <w:bookmarkStart w:id="431" w:name="_Toc386026179"/>
      <w:r w:rsidRPr="00545EC0">
        <w:rPr>
          <w:color w:val="auto"/>
        </w:rPr>
        <w:t>Poplavna območja</w:t>
      </w:r>
      <w:bookmarkEnd w:id="430"/>
      <w:bookmarkEnd w:id="431"/>
    </w:p>
    <w:p w14:paraId="3065A183" w14:textId="3F5E8BE4" w:rsidR="003C61AE" w:rsidRPr="00545EC0" w:rsidRDefault="003C61AE" w:rsidP="003C61AE">
      <w:pPr>
        <w:rPr>
          <w:rFonts w:cs="Arial"/>
          <w:szCs w:val="20"/>
          <w:shd w:val="clear" w:color="auto" w:fill="FFFFFF"/>
        </w:rPr>
      </w:pPr>
      <w:bookmarkStart w:id="432" w:name="_Toc419099203"/>
      <w:bookmarkStart w:id="433" w:name="_Toc386026180"/>
      <w:r w:rsidRPr="00545EC0">
        <w:rPr>
          <w:rFonts w:cs="Arial"/>
          <w:szCs w:val="20"/>
          <w:shd w:val="clear" w:color="auto" w:fill="FFFFFF"/>
        </w:rPr>
        <w:lastRenderedPageBreak/>
        <w:t>Za poplavno območje se določijo vodna, priobalna in druga zemljišča, kjer se voda zaradi naravnih dejavnikov občasno prelije izven vodnega zemljišča</w:t>
      </w:r>
      <w:r w:rsidRPr="00545EC0">
        <w:rPr>
          <w:rStyle w:val="Sprotnaopomba-sklic"/>
          <w:rFonts w:cs="Arial"/>
          <w:szCs w:val="20"/>
          <w:shd w:val="clear" w:color="auto" w:fill="FFFFFF"/>
        </w:rPr>
        <w:footnoteReference w:id="7"/>
      </w:r>
      <w:r w:rsidRPr="00545EC0">
        <w:rPr>
          <w:rFonts w:cs="Arial"/>
          <w:szCs w:val="20"/>
          <w:shd w:val="clear" w:color="auto" w:fill="FFFFFF"/>
        </w:rPr>
        <w:t>. Po podatkih poplavnega nevarnostnega potenciala</w:t>
      </w:r>
      <w:r w:rsidRPr="00545EC0">
        <w:rPr>
          <w:rStyle w:val="Sprotnaopomba-sklic"/>
          <w:rFonts w:cs="Arial"/>
          <w:szCs w:val="20"/>
          <w:shd w:val="clear" w:color="auto" w:fill="FFFFFF"/>
        </w:rPr>
        <w:footnoteReference w:id="8"/>
      </w:r>
      <w:r w:rsidRPr="00545EC0">
        <w:rPr>
          <w:rFonts w:cs="Arial"/>
          <w:szCs w:val="20"/>
          <w:shd w:val="clear" w:color="auto" w:fill="FFFFFF"/>
        </w:rPr>
        <w:t>, ki izhaja iz leta 2021 (</w:t>
      </w:r>
      <w:r w:rsidR="008814C8" w:rsidRPr="00545EC0">
        <w:rPr>
          <w:rFonts w:cs="Arial"/>
          <w:szCs w:val="20"/>
          <w:shd w:val="clear" w:color="auto" w:fill="FFFFFF"/>
        </w:rPr>
        <w:fldChar w:fldCharType="begin"/>
      </w:r>
      <w:r w:rsidR="008814C8" w:rsidRPr="00545EC0">
        <w:rPr>
          <w:rFonts w:cs="Arial"/>
          <w:szCs w:val="20"/>
          <w:shd w:val="clear" w:color="auto" w:fill="FFFFFF"/>
        </w:rPr>
        <w:instrText xml:space="preserve"> REF _Ref84323018 \h </w:instrText>
      </w:r>
      <w:r w:rsidR="00F37A91" w:rsidRPr="00545EC0">
        <w:rPr>
          <w:rFonts w:cs="Arial"/>
          <w:szCs w:val="20"/>
          <w:shd w:val="clear" w:color="auto" w:fill="FFFFFF"/>
        </w:rPr>
        <w:instrText xml:space="preserve"> \* MERGEFORMAT </w:instrText>
      </w:r>
      <w:r w:rsidR="008814C8" w:rsidRPr="00545EC0">
        <w:rPr>
          <w:rFonts w:cs="Arial"/>
          <w:szCs w:val="20"/>
          <w:shd w:val="clear" w:color="auto" w:fill="FFFFFF"/>
        </w:rPr>
      </w:r>
      <w:r w:rsidR="008814C8" w:rsidRPr="00545EC0">
        <w:rPr>
          <w:rFonts w:cs="Arial"/>
          <w:szCs w:val="20"/>
          <w:shd w:val="clear" w:color="auto" w:fill="FFFFFF"/>
        </w:rPr>
        <w:fldChar w:fldCharType="separate"/>
      </w:r>
      <w:r w:rsidR="002F3E43" w:rsidRPr="00545EC0">
        <w:t xml:space="preserve">Preglednica </w:t>
      </w:r>
      <w:r w:rsidR="002F3E43">
        <w:rPr>
          <w:noProof/>
        </w:rPr>
        <w:t>2</w:t>
      </w:r>
      <w:r w:rsidR="002F3E43" w:rsidRPr="00545EC0">
        <w:rPr>
          <w:noProof/>
        </w:rPr>
        <w:noBreakHyphen/>
      </w:r>
      <w:r w:rsidR="002F3E43">
        <w:rPr>
          <w:noProof/>
        </w:rPr>
        <w:t>52</w:t>
      </w:r>
      <w:r w:rsidR="008814C8" w:rsidRPr="00545EC0">
        <w:rPr>
          <w:rFonts w:cs="Arial"/>
          <w:szCs w:val="20"/>
          <w:shd w:val="clear" w:color="auto" w:fill="FFFFFF"/>
        </w:rPr>
        <w:fldChar w:fldCharType="end"/>
      </w:r>
      <w:r w:rsidRPr="00545EC0">
        <w:rPr>
          <w:rFonts w:cs="Arial"/>
          <w:szCs w:val="20"/>
          <w:shd w:val="clear" w:color="auto" w:fill="FFFFFF"/>
        </w:rPr>
        <w:t xml:space="preserve">) znaša skupna površina območij poplavljanja v Sloveniji </w:t>
      </w:r>
      <w:r w:rsidR="00B74C90" w:rsidRPr="00545EC0">
        <w:rPr>
          <w:rFonts w:cs="Arial"/>
          <w:szCs w:val="20"/>
          <w:shd w:val="clear" w:color="auto" w:fill="FFFFFF"/>
        </w:rPr>
        <w:t xml:space="preserve">1276 </w:t>
      </w:r>
      <w:r w:rsidRPr="00545EC0">
        <w:rPr>
          <w:rFonts w:cs="Arial"/>
          <w:szCs w:val="20"/>
          <w:shd w:val="clear" w:color="auto" w:fill="FFFFFF"/>
        </w:rPr>
        <w:t>km</w:t>
      </w:r>
      <w:r w:rsidRPr="00545EC0">
        <w:rPr>
          <w:rFonts w:cs="Arial"/>
          <w:szCs w:val="20"/>
          <w:shd w:val="clear" w:color="auto" w:fill="FFFFFF"/>
          <w:vertAlign w:val="superscript"/>
        </w:rPr>
        <w:t>2</w:t>
      </w:r>
      <w:r w:rsidRPr="00545EC0">
        <w:rPr>
          <w:rFonts w:cs="Arial"/>
          <w:szCs w:val="20"/>
          <w:shd w:val="clear" w:color="auto" w:fill="FFFFFF"/>
        </w:rPr>
        <w:t xml:space="preserve">. </w:t>
      </w:r>
      <w:r w:rsidR="00B74C90" w:rsidRPr="00545EC0">
        <w:rPr>
          <w:rFonts w:cs="Arial"/>
          <w:szCs w:val="20"/>
          <w:shd w:val="clear" w:color="auto" w:fill="FFFFFF"/>
        </w:rPr>
        <w:t>Na VO Donava znaša skupna površina poplavljanja 1177 km</w:t>
      </w:r>
      <w:r w:rsidR="00B74C90" w:rsidRPr="00545EC0">
        <w:rPr>
          <w:rFonts w:cs="Arial"/>
          <w:szCs w:val="20"/>
          <w:shd w:val="clear" w:color="auto" w:fill="FFFFFF"/>
          <w:vertAlign w:val="superscript"/>
        </w:rPr>
        <w:t>2</w:t>
      </w:r>
      <w:r w:rsidR="00B74C90" w:rsidRPr="00545EC0">
        <w:rPr>
          <w:rFonts w:cs="Arial"/>
          <w:szCs w:val="20"/>
          <w:shd w:val="clear" w:color="auto" w:fill="FFFFFF"/>
        </w:rPr>
        <w:t>. Največja območja poplavljanja po obsegu so porečje Srednje Save (294 km</w:t>
      </w:r>
      <w:r w:rsidR="00B74C90" w:rsidRPr="00545EC0">
        <w:rPr>
          <w:rFonts w:cs="Arial"/>
          <w:szCs w:val="20"/>
          <w:shd w:val="clear" w:color="auto" w:fill="FFFFFF"/>
          <w:vertAlign w:val="superscript"/>
        </w:rPr>
        <w:t>2</w:t>
      </w:r>
      <w:r w:rsidR="00B74C90" w:rsidRPr="00545EC0">
        <w:rPr>
          <w:rFonts w:cs="Arial"/>
          <w:szCs w:val="20"/>
          <w:shd w:val="clear" w:color="auto" w:fill="FFFFFF"/>
        </w:rPr>
        <w:t>), Drave (277 km</w:t>
      </w:r>
      <w:r w:rsidR="00B74C90" w:rsidRPr="00545EC0">
        <w:rPr>
          <w:rFonts w:cs="Arial"/>
          <w:szCs w:val="20"/>
          <w:shd w:val="clear" w:color="auto" w:fill="FFFFFF"/>
          <w:vertAlign w:val="superscript"/>
        </w:rPr>
        <w:t>2</w:t>
      </w:r>
      <w:r w:rsidR="00B74C90" w:rsidRPr="00545EC0">
        <w:rPr>
          <w:rFonts w:cs="Arial"/>
          <w:szCs w:val="20"/>
          <w:shd w:val="clear" w:color="auto" w:fill="FFFFFF"/>
        </w:rPr>
        <w:t>) in Mure (248 km</w:t>
      </w:r>
      <w:r w:rsidR="00B74C90" w:rsidRPr="00545EC0">
        <w:rPr>
          <w:rFonts w:cs="Arial"/>
          <w:szCs w:val="20"/>
          <w:shd w:val="clear" w:color="auto" w:fill="FFFFFF"/>
          <w:vertAlign w:val="superscript"/>
        </w:rPr>
        <w:t>2</w:t>
      </w:r>
      <w:r w:rsidR="00B74C90" w:rsidRPr="00545EC0">
        <w:rPr>
          <w:rFonts w:cs="Arial"/>
          <w:szCs w:val="20"/>
          <w:shd w:val="clear" w:color="auto" w:fill="FFFFFF"/>
        </w:rPr>
        <w:t xml:space="preserve">). Delež poplavljene površine glede na velikost porečja, pa je najvišji na porečju Mure (17,8 %), Srednje Save (9,7 %) in Drave (8,5 %). </w:t>
      </w:r>
    </w:p>
    <w:p w14:paraId="30169EA7" w14:textId="77777777" w:rsidR="00B74C90" w:rsidRPr="00545EC0" w:rsidRDefault="00B74C90" w:rsidP="003C61AE">
      <w:pPr>
        <w:rPr>
          <w:rFonts w:cs="Arial"/>
          <w:szCs w:val="20"/>
          <w:shd w:val="clear" w:color="auto" w:fill="FFFFFF"/>
        </w:rPr>
      </w:pPr>
    </w:p>
    <w:p w14:paraId="11195010" w14:textId="3D1D403B" w:rsidR="008814C8" w:rsidRPr="00545EC0" w:rsidRDefault="008814C8" w:rsidP="008814C8">
      <w:pPr>
        <w:pStyle w:val="Napis"/>
        <w:rPr>
          <w:szCs w:val="20"/>
        </w:rPr>
      </w:pPr>
      <w:bookmarkStart w:id="434" w:name="_Ref84323018"/>
      <w:r w:rsidRPr="00545EC0">
        <w:t xml:space="preserve">Preglednica </w:t>
      </w:r>
      <w:fldSimple w:instr=" STYLEREF 1 \s ">
        <w:r w:rsidR="002F3E43">
          <w:rPr>
            <w:noProof/>
          </w:rPr>
          <w:t>2</w:t>
        </w:r>
      </w:fldSimple>
      <w:r w:rsidR="001A7511" w:rsidRPr="00545EC0">
        <w:noBreakHyphen/>
      </w:r>
      <w:fldSimple w:instr=" SEQ Preglednica \* ARABIC \s 1 ">
        <w:r w:rsidR="002F3E43">
          <w:rPr>
            <w:noProof/>
          </w:rPr>
          <w:t>52</w:t>
        </w:r>
      </w:fldSimple>
      <w:bookmarkEnd w:id="434"/>
      <w:r w:rsidRPr="00545EC0">
        <w:t>:</w:t>
      </w:r>
      <w:r w:rsidRPr="00545EC0">
        <w:rPr>
          <w:szCs w:val="20"/>
        </w:rPr>
        <w:t xml:space="preserve"> Površina območij poplavljanja na VO Donava po podatkih </w:t>
      </w:r>
      <w:r w:rsidR="0069159A" w:rsidRPr="00545EC0">
        <w:rPr>
          <w:szCs w:val="20"/>
        </w:rPr>
        <w:t>o</w:t>
      </w:r>
      <w:r w:rsidRPr="00545EC0">
        <w:rPr>
          <w:szCs w:val="20"/>
        </w:rPr>
        <w:t xml:space="preserve">pozorilne karte, </w:t>
      </w:r>
      <w:r w:rsidR="0069159A" w:rsidRPr="00545EC0">
        <w:rPr>
          <w:szCs w:val="20"/>
        </w:rPr>
        <w:t>i</w:t>
      </w:r>
      <w:r w:rsidRPr="00545EC0">
        <w:rPr>
          <w:szCs w:val="20"/>
        </w:rPr>
        <w:t xml:space="preserve">ntegralne karte poplavne nevarnosti in </w:t>
      </w:r>
      <w:r w:rsidR="0069159A" w:rsidRPr="00545EC0">
        <w:rPr>
          <w:szCs w:val="20"/>
        </w:rPr>
        <w:t xml:space="preserve">preseka </w:t>
      </w:r>
      <w:r w:rsidRPr="00545EC0">
        <w:rPr>
          <w:szCs w:val="20"/>
        </w:rPr>
        <w:t xml:space="preserve">obeh podatkovnih slojev </w:t>
      </w:r>
    </w:p>
    <w:p w14:paraId="75108FA4" w14:textId="0976325C" w:rsidR="008814C8" w:rsidRPr="00545EC0" w:rsidRDefault="008814C8" w:rsidP="008814C8">
      <w:pPr>
        <w:pStyle w:val="Napis"/>
      </w:pPr>
    </w:p>
    <w:tbl>
      <w:tblPr>
        <w:tblW w:w="5000" w:type="pct"/>
        <w:jc w:val="center"/>
        <w:tblCellMar>
          <w:left w:w="70" w:type="dxa"/>
          <w:right w:w="70" w:type="dxa"/>
        </w:tblCellMar>
        <w:tblLook w:val="04A0" w:firstRow="1" w:lastRow="0" w:firstColumn="1" w:lastColumn="0" w:noHBand="0" w:noVBand="1"/>
      </w:tblPr>
      <w:tblGrid>
        <w:gridCol w:w="1631"/>
        <w:gridCol w:w="1030"/>
        <w:gridCol w:w="1048"/>
        <w:gridCol w:w="927"/>
        <w:gridCol w:w="2878"/>
        <w:gridCol w:w="901"/>
        <w:gridCol w:w="796"/>
      </w:tblGrid>
      <w:tr w:rsidR="003122F4" w:rsidRPr="00545EC0" w14:paraId="1DC8F577" w14:textId="77777777" w:rsidTr="00392769">
        <w:trPr>
          <w:trHeight w:val="1020"/>
          <w:jc w:val="center"/>
        </w:trPr>
        <w:tc>
          <w:tcPr>
            <w:tcW w:w="886"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472E5D8B" w14:textId="77777777" w:rsidR="00B74C90" w:rsidRPr="00545EC0" w:rsidRDefault="00B74C90" w:rsidP="00B506A9">
            <w:pPr>
              <w:spacing w:line="240" w:lineRule="auto"/>
              <w:jc w:val="center"/>
              <w:rPr>
                <w:rFonts w:cs="Arial"/>
                <w:b/>
                <w:bCs/>
                <w:sz w:val="18"/>
                <w:szCs w:val="20"/>
              </w:rPr>
            </w:pPr>
            <w:r w:rsidRPr="00545EC0">
              <w:rPr>
                <w:rFonts w:cs="Arial"/>
                <w:b/>
                <w:bCs/>
                <w:sz w:val="18"/>
                <w:szCs w:val="20"/>
              </w:rPr>
              <w:t>Porečje</w:t>
            </w:r>
          </w:p>
        </w:tc>
        <w:tc>
          <w:tcPr>
            <w:tcW w:w="559" w:type="pct"/>
            <w:tcBorders>
              <w:top w:val="single" w:sz="4" w:space="0" w:color="auto"/>
              <w:left w:val="nil"/>
              <w:bottom w:val="nil"/>
              <w:right w:val="single" w:sz="4" w:space="0" w:color="auto"/>
            </w:tcBorders>
            <w:shd w:val="clear" w:color="auto" w:fill="F2F2F2" w:themeFill="background1" w:themeFillShade="F2"/>
            <w:vAlign w:val="center"/>
            <w:hideMark/>
          </w:tcPr>
          <w:p w14:paraId="58C784AC" w14:textId="77777777" w:rsidR="00B74C90" w:rsidRPr="00545EC0" w:rsidRDefault="00B74C90" w:rsidP="00B506A9">
            <w:pPr>
              <w:spacing w:line="240" w:lineRule="auto"/>
              <w:rPr>
                <w:rFonts w:cs="Arial"/>
                <w:b/>
                <w:bCs/>
                <w:sz w:val="18"/>
                <w:szCs w:val="20"/>
              </w:rPr>
            </w:pPr>
            <w:r w:rsidRPr="00545EC0">
              <w:rPr>
                <w:rFonts w:cs="Arial"/>
                <w:b/>
                <w:bCs/>
                <w:sz w:val="18"/>
                <w:szCs w:val="20"/>
              </w:rPr>
              <w:t xml:space="preserve">Površina </w:t>
            </w:r>
          </w:p>
        </w:tc>
        <w:tc>
          <w:tcPr>
            <w:tcW w:w="1072" w:type="pct"/>
            <w:gridSpan w:val="2"/>
            <w:tcBorders>
              <w:top w:val="single" w:sz="4" w:space="0" w:color="auto"/>
              <w:left w:val="nil"/>
              <w:bottom w:val="single" w:sz="4" w:space="0" w:color="auto"/>
              <w:right w:val="single" w:sz="4" w:space="0" w:color="000000"/>
            </w:tcBorders>
            <w:shd w:val="clear" w:color="auto" w:fill="F2F2F2" w:themeFill="background1" w:themeFillShade="F2"/>
            <w:vAlign w:val="center"/>
            <w:hideMark/>
          </w:tcPr>
          <w:p w14:paraId="793998E4" w14:textId="77777777" w:rsidR="00B74C90" w:rsidRPr="00545EC0" w:rsidRDefault="00B74C90" w:rsidP="00B506A9">
            <w:pPr>
              <w:spacing w:line="240" w:lineRule="auto"/>
              <w:jc w:val="center"/>
              <w:rPr>
                <w:rFonts w:cs="Arial"/>
                <w:b/>
                <w:bCs/>
                <w:sz w:val="18"/>
                <w:szCs w:val="20"/>
              </w:rPr>
            </w:pPr>
            <w:r w:rsidRPr="00545EC0">
              <w:rPr>
                <w:rFonts w:cs="Arial"/>
                <w:b/>
                <w:bCs/>
                <w:sz w:val="18"/>
                <w:szCs w:val="20"/>
              </w:rPr>
              <w:t xml:space="preserve">Površina območij poplavljanja - opozorilna karta poplav 2021 </w:t>
            </w:r>
          </w:p>
        </w:tc>
        <w:tc>
          <w:tcPr>
            <w:tcW w:w="1562" w:type="pct"/>
            <w:tcBorders>
              <w:top w:val="single" w:sz="4" w:space="0" w:color="auto"/>
              <w:left w:val="nil"/>
              <w:bottom w:val="nil"/>
              <w:right w:val="single" w:sz="4" w:space="0" w:color="auto"/>
            </w:tcBorders>
            <w:shd w:val="clear" w:color="auto" w:fill="F2F2F2" w:themeFill="background1" w:themeFillShade="F2"/>
            <w:vAlign w:val="center"/>
            <w:hideMark/>
          </w:tcPr>
          <w:p w14:paraId="31AB5DF0" w14:textId="77777777" w:rsidR="00B74C90" w:rsidRPr="00545EC0" w:rsidRDefault="00B74C90" w:rsidP="00B506A9">
            <w:pPr>
              <w:spacing w:line="240" w:lineRule="auto"/>
              <w:jc w:val="center"/>
              <w:rPr>
                <w:rFonts w:cs="Arial"/>
                <w:b/>
                <w:bCs/>
                <w:sz w:val="18"/>
                <w:szCs w:val="20"/>
              </w:rPr>
            </w:pPr>
            <w:r w:rsidRPr="00545EC0">
              <w:rPr>
                <w:rFonts w:cs="Arial"/>
                <w:b/>
                <w:bCs/>
                <w:sz w:val="18"/>
                <w:szCs w:val="20"/>
              </w:rPr>
              <w:t xml:space="preserve">Površina območij poplavljanja pri pretoku Q500- integralna karta poplavne nevarnosti 2021 </w:t>
            </w:r>
          </w:p>
        </w:tc>
        <w:tc>
          <w:tcPr>
            <w:tcW w:w="921" w:type="pct"/>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63F8473" w14:textId="0092CC9C" w:rsidR="00B74C90" w:rsidRPr="00545EC0" w:rsidRDefault="00B74C90">
            <w:pPr>
              <w:spacing w:line="240" w:lineRule="auto"/>
              <w:jc w:val="center"/>
              <w:rPr>
                <w:rFonts w:cs="Arial"/>
                <w:b/>
                <w:bCs/>
                <w:sz w:val="18"/>
                <w:szCs w:val="20"/>
              </w:rPr>
            </w:pPr>
            <w:r w:rsidRPr="00545EC0">
              <w:rPr>
                <w:rFonts w:cs="Arial"/>
                <w:b/>
                <w:bCs/>
                <w:sz w:val="18"/>
                <w:szCs w:val="20"/>
              </w:rPr>
              <w:t xml:space="preserve">Poplavni nevarnostni potencial - </w:t>
            </w:r>
            <w:r w:rsidR="00173DF4" w:rsidRPr="00545EC0">
              <w:rPr>
                <w:rFonts w:cs="Arial"/>
                <w:b/>
                <w:bCs/>
                <w:sz w:val="18"/>
                <w:szCs w:val="20"/>
              </w:rPr>
              <w:t>presek</w:t>
            </w:r>
            <w:r w:rsidRPr="00545EC0">
              <w:rPr>
                <w:rFonts w:cs="Arial"/>
                <w:b/>
                <w:bCs/>
                <w:sz w:val="18"/>
                <w:szCs w:val="20"/>
              </w:rPr>
              <w:t xml:space="preserve">  2021 </w:t>
            </w:r>
          </w:p>
        </w:tc>
      </w:tr>
      <w:tr w:rsidR="003122F4" w:rsidRPr="00545EC0" w14:paraId="29E7A941" w14:textId="77777777" w:rsidTr="00392769">
        <w:trPr>
          <w:trHeight w:val="300"/>
          <w:jc w:val="center"/>
        </w:trPr>
        <w:tc>
          <w:tcPr>
            <w:tcW w:w="886"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417D86DC" w14:textId="77777777" w:rsidR="00B74C90" w:rsidRPr="00545EC0" w:rsidRDefault="00B74C90" w:rsidP="00B506A9">
            <w:pPr>
              <w:spacing w:line="240" w:lineRule="auto"/>
              <w:rPr>
                <w:rFonts w:cs="Arial"/>
                <w:b/>
                <w:bCs/>
                <w:sz w:val="18"/>
                <w:szCs w:val="20"/>
              </w:rPr>
            </w:pPr>
          </w:p>
        </w:tc>
        <w:tc>
          <w:tcPr>
            <w:tcW w:w="5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7AB7B58" w14:textId="77777777" w:rsidR="00B74C90" w:rsidRPr="00545EC0" w:rsidRDefault="00B74C90" w:rsidP="00B506A9">
            <w:pPr>
              <w:spacing w:line="240" w:lineRule="auto"/>
              <w:jc w:val="center"/>
              <w:rPr>
                <w:rFonts w:cs="Arial"/>
                <w:sz w:val="18"/>
                <w:szCs w:val="20"/>
              </w:rPr>
            </w:pPr>
            <w:r w:rsidRPr="00545EC0">
              <w:rPr>
                <w:rFonts w:cs="Arial"/>
                <w:sz w:val="18"/>
                <w:szCs w:val="20"/>
              </w:rPr>
              <w:t>km2</w:t>
            </w:r>
          </w:p>
        </w:tc>
        <w:tc>
          <w:tcPr>
            <w:tcW w:w="569" w:type="pct"/>
            <w:tcBorders>
              <w:top w:val="nil"/>
              <w:left w:val="nil"/>
              <w:bottom w:val="single" w:sz="4" w:space="0" w:color="auto"/>
              <w:right w:val="single" w:sz="4" w:space="0" w:color="auto"/>
            </w:tcBorders>
            <w:shd w:val="clear" w:color="auto" w:fill="F2F2F2" w:themeFill="background1" w:themeFillShade="F2"/>
            <w:noWrap/>
            <w:vAlign w:val="bottom"/>
            <w:hideMark/>
          </w:tcPr>
          <w:p w14:paraId="58A79524" w14:textId="77777777" w:rsidR="00B74C90" w:rsidRPr="00545EC0" w:rsidRDefault="00B74C90" w:rsidP="00B506A9">
            <w:pPr>
              <w:spacing w:line="240" w:lineRule="auto"/>
              <w:jc w:val="center"/>
              <w:rPr>
                <w:rFonts w:cs="Arial"/>
                <w:sz w:val="18"/>
                <w:szCs w:val="20"/>
              </w:rPr>
            </w:pPr>
            <w:r w:rsidRPr="00545EC0">
              <w:rPr>
                <w:rFonts w:cs="Arial"/>
                <w:sz w:val="18"/>
                <w:szCs w:val="20"/>
              </w:rPr>
              <w:t>km2</w:t>
            </w:r>
          </w:p>
        </w:tc>
        <w:tc>
          <w:tcPr>
            <w:tcW w:w="503" w:type="pct"/>
            <w:tcBorders>
              <w:top w:val="nil"/>
              <w:left w:val="nil"/>
              <w:bottom w:val="single" w:sz="4" w:space="0" w:color="auto"/>
              <w:right w:val="single" w:sz="4" w:space="0" w:color="auto"/>
            </w:tcBorders>
            <w:shd w:val="clear" w:color="auto" w:fill="F2F2F2" w:themeFill="background1" w:themeFillShade="F2"/>
            <w:noWrap/>
            <w:vAlign w:val="bottom"/>
            <w:hideMark/>
          </w:tcPr>
          <w:p w14:paraId="30116C6E" w14:textId="77777777" w:rsidR="00B74C90" w:rsidRPr="00545EC0" w:rsidRDefault="00B74C90" w:rsidP="00B506A9">
            <w:pPr>
              <w:spacing w:line="240" w:lineRule="auto"/>
              <w:jc w:val="center"/>
              <w:rPr>
                <w:rFonts w:cs="Arial"/>
                <w:sz w:val="18"/>
                <w:szCs w:val="20"/>
              </w:rPr>
            </w:pPr>
            <w:r w:rsidRPr="00545EC0">
              <w:rPr>
                <w:rFonts w:cs="Arial"/>
                <w:sz w:val="18"/>
                <w:szCs w:val="20"/>
              </w:rPr>
              <w:t>%</w:t>
            </w:r>
          </w:p>
        </w:tc>
        <w:tc>
          <w:tcPr>
            <w:tcW w:w="1562"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7799673" w14:textId="77777777" w:rsidR="00B74C90" w:rsidRPr="00545EC0" w:rsidRDefault="00B74C90" w:rsidP="00B506A9">
            <w:pPr>
              <w:spacing w:line="240" w:lineRule="auto"/>
              <w:jc w:val="center"/>
              <w:rPr>
                <w:rFonts w:cs="Arial"/>
                <w:sz w:val="18"/>
                <w:szCs w:val="20"/>
              </w:rPr>
            </w:pPr>
            <w:r w:rsidRPr="00545EC0">
              <w:rPr>
                <w:rFonts w:cs="Arial"/>
                <w:sz w:val="18"/>
                <w:szCs w:val="20"/>
              </w:rPr>
              <w:t>km2</w:t>
            </w:r>
          </w:p>
        </w:tc>
        <w:tc>
          <w:tcPr>
            <w:tcW w:w="489" w:type="pct"/>
            <w:tcBorders>
              <w:top w:val="nil"/>
              <w:left w:val="nil"/>
              <w:bottom w:val="single" w:sz="4" w:space="0" w:color="auto"/>
              <w:right w:val="single" w:sz="4" w:space="0" w:color="auto"/>
            </w:tcBorders>
            <w:shd w:val="clear" w:color="auto" w:fill="F2F2F2" w:themeFill="background1" w:themeFillShade="F2"/>
            <w:noWrap/>
            <w:vAlign w:val="bottom"/>
            <w:hideMark/>
          </w:tcPr>
          <w:p w14:paraId="7E8D6F1F" w14:textId="77777777" w:rsidR="00B74C90" w:rsidRPr="00545EC0" w:rsidRDefault="00B74C90" w:rsidP="00B506A9">
            <w:pPr>
              <w:spacing w:line="240" w:lineRule="auto"/>
              <w:jc w:val="center"/>
              <w:rPr>
                <w:rFonts w:cs="Arial"/>
                <w:sz w:val="18"/>
                <w:szCs w:val="20"/>
              </w:rPr>
            </w:pPr>
            <w:r w:rsidRPr="00545EC0">
              <w:rPr>
                <w:rFonts w:cs="Arial"/>
                <w:sz w:val="18"/>
                <w:szCs w:val="20"/>
              </w:rPr>
              <w:t>km2</w:t>
            </w:r>
          </w:p>
        </w:tc>
        <w:tc>
          <w:tcPr>
            <w:tcW w:w="432" w:type="pct"/>
            <w:tcBorders>
              <w:top w:val="nil"/>
              <w:left w:val="nil"/>
              <w:bottom w:val="single" w:sz="4" w:space="0" w:color="auto"/>
              <w:right w:val="single" w:sz="4" w:space="0" w:color="auto"/>
            </w:tcBorders>
            <w:shd w:val="clear" w:color="auto" w:fill="F2F2F2" w:themeFill="background1" w:themeFillShade="F2"/>
            <w:noWrap/>
            <w:vAlign w:val="bottom"/>
            <w:hideMark/>
          </w:tcPr>
          <w:p w14:paraId="12ED050E" w14:textId="77777777" w:rsidR="00B74C90" w:rsidRPr="00545EC0" w:rsidRDefault="00B74C90" w:rsidP="00B506A9">
            <w:pPr>
              <w:spacing w:line="240" w:lineRule="auto"/>
              <w:jc w:val="center"/>
              <w:rPr>
                <w:rFonts w:cs="Arial"/>
                <w:sz w:val="18"/>
                <w:szCs w:val="20"/>
              </w:rPr>
            </w:pPr>
            <w:r w:rsidRPr="00545EC0">
              <w:rPr>
                <w:rFonts w:cs="Arial"/>
                <w:sz w:val="18"/>
                <w:szCs w:val="20"/>
              </w:rPr>
              <w:t>%</w:t>
            </w:r>
          </w:p>
        </w:tc>
      </w:tr>
      <w:tr w:rsidR="003122F4" w:rsidRPr="00545EC0" w14:paraId="45526473" w14:textId="77777777" w:rsidTr="00392769">
        <w:trPr>
          <w:trHeight w:val="300"/>
          <w:jc w:val="center"/>
        </w:trPr>
        <w:tc>
          <w:tcPr>
            <w:tcW w:w="886" w:type="pct"/>
            <w:tcBorders>
              <w:top w:val="nil"/>
              <w:left w:val="single" w:sz="4" w:space="0" w:color="auto"/>
              <w:bottom w:val="single" w:sz="4" w:space="0" w:color="auto"/>
              <w:right w:val="single" w:sz="4" w:space="0" w:color="auto"/>
            </w:tcBorders>
            <w:shd w:val="clear" w:color="000000" w:fill="FFFFFF"/>
            <w:noWrap/>
            <w:vAlign w:val="bottom"/>
            <w:hideMark/>
          </w:tcPr>
          <w:p w14:paraId="3754DACF" w14:textId="77777777" w:rsidR="00B74C90" w:rsidRPr="00545EC0" w:rsidRDefault="00B74C90" w:rsidP="00B506A9">
            <w:pPr>
              <w:spacing w:line="240" w:lineRule="auto"/>
              <w:rPr>
                <w:rFonts w:cs="Arial"/>
                <w:sz w:val="18"/>
                <w:szCs w:val="20"/>
              </w:rPr>
            </w:pPr>
            <w:r w:rsidRPr="00545EC0">
              <w:rPr>
                <w:rFonts w:cs="Arial"/>
                <w:sz w:val="18"/>
                <w:szCs w:val="20"/>
              </w:rPr>
              <w:t>Mura</w:t>
            </w:r>
          </w:p>
        </w:tc>
        <w:tc>
          <w:tcPr>
            <w:tcW w:w="559" w:type="pct"/>
            <w:tcBorders>
              <w:top w:val="nil"/>
              <w:left w:val="nil"/>
              <w:bottom w:val="single" w:sz="4" w:space="0" w:color="auto"/>
              <w:right w:val="single" w:sz="4" w:space="0" w:color="auto"/>
            </w:tcBorders>
            <w:shd w:val="clear" w:color="000000" w:fill="FFFFFF"/>
            <w:noWrap/>
            <w:vAlign w:val="bottom"/>
            <w:hideMark/>
          </w:tcPr>
          <w:p w14:paraId="4D5B19E1" w14:textId="77777777" w:rsidR="00B74C90" w:rsidRPr="00545EC0" w:rsidRDefault="00B74C90" w:rsidP="00B506A9">
            <w:pPr>
              <w:spacing w:line="240" w:lineRule="auto"/>
              <w:jc w:val="center"/>
              <w:rPr>
                <w:rFonts w:cs="Arial"/>
                <w:sz w:val="18"/>
                <w:szCs w:val="20"/>
              </w:rPr>
            </w:pPr>
            <w:r w:rsidRPr="00545EC0">
              <w:rPr>
                <w:rFonts w:cs="Arial"/>
                <w:sz w:val="18"/>
                <w:szCs w:val="20"/>
              </w:rPr>
              <w:t>1391</w:t>
            </w:r>
          </w:p>
        </w:tc>
        <w:tc>
          <w:tcPr>
            <w:tcW w:w="569" w:type="pct"/>
            <w:tcBorders>
              <w:top w:val="nil"/>
              <w:left w:val="nil"/>
              <w:bottom w:val="single" w:sz="4" w:space="0" w:color="auto"/>
              <w:right w:val="single" w:sz="4" w:space="0" w:color="auto"/>
            </w:tcBorders>
            <w:shd w:val="clear" w:color="000000" w:fill="FFFFFF"/>
            <w:noWrap/>
            <w:vAlign w:val="bottom"/>
            <w:hideMark/>
          </w:tcPr>
          <w:p w14:paraId="3AFCAF0B" w14:textId="77777777" w:rsidR="00B74C90" w:rsidRPr="00545EC0" w:rsidRDefault="00B74C90" w:rsidP="00B506A9">
            <w:pPr>
              <w:spacing w:line="240" w:lineRule="auto"/>
              <w:jc w:val="center"/>
              <w:rPr>
                <w:rFonts w:cs="Arial"/>
                <w:sz w:val="18"/>
                <w:szCs w:val="20"/>
              </w:rPr>
            </w:pPr>
            <w:r w:rsidRPr="00545EC0">
              <w:rPr>
                <w:rFonts w:cs="Arial"/>
                <w:sz w:val="18"/>
                <w:szCs w:val="20"/>
              </w:rPr>
              <w:t>231</w:t>
            </w:r>
          </w:p>
        </w:tc>
        <w:tc>
          <w:tcPr>
            <w:tcW w:w="503" w:type="pct"/>
            <w:tcBorders>
              <w:top w:val="nil"/>
              <w:left w:val="nil"/>
              <w:bottom w:val="single" w:sz="4" w:space="0" w:color="auto"/>
              <w:right w:val="single" w:sz="4" w:space="0" w:color="auto"/>
            </w:tcBorders>
            <w:shd w:val="clear" w:color="auto" w:fill="auto"/>
            <w:noWrap/>
            <w:vAlign w:val="bottom"/>
            <w:hideMark/>
          </w:tcPr>
          <w:p w14:paraId="0AD41ED4" w14:textId="77777777" w:rsidR="00B74C90" w:rsidRPr="00545EC0" w:rsidRDefault="00B74C90" w:rsidP="00B506A9">
            <w:pPr>
              <w:spacing w:line="240" w:lineRule="auto"/>
              <w:jc w:val="center"/>
              <w:rPr>
                <w:rFonts w:cs="Arial"/>
                <w:sz w:val="18"/>
                <w:szCs w:val="20"/>
              </w:rPr>
            </w:pPr>
            <w:r w:rsidRPr="00545EC0">
              <w:rPr>
                <w:rFonts w:cs="Arial"/>
                <w:sz w:val="18"/>
                <w:szCs w:val="20"/>
              </w:rPr>
              <w:t>16,6</w:t>
            </w:r>
          </w:p>
        </w:tc>
        <w:tc>
          <w:tcPr>
            <w:tcW w:w="1562" w:type="pct"/>
            <w:tcBorders>
              <w:top w:val="nil"/>
              <w:left w:val="nil"/>
              <w:bottom w:val="single" w:sz="4" w:space="0" w:color="auto"/>
              <w:right w:val="single" w:sz="4" w:space="0" w:color="auto"/>
            </w:tcBorders>
            <w:shd w:val="clear" w:color="000000" w:fill="FFFFFF"/>
            <w:noWrap/>
            <w:vAlign w:val="bottom"/>
            <w:hideMark/>
          </w:tcPr>
          <w:p w14:paraId="06AF58BA" w14:textId="77777777" w:rsidR="00B74C90" w:rsidRPr="00545EC0" w:rsidRDefault="00B74C90" w:rsidP="00B506A9">
            <w:pPr>
              <w:spacing w:line="240" w:lineRule="auto"/>
              <w:jc w:val="center"/>
              <w:rPr>
                <w:rFonts w:cs="Arial"/>
                <w:sz w:val="18"/>
                <w:szCs w:val="20"/>
              </w:rPr>
            </w:pPr>
            <w:r w:rsidRPr="00545EC0">
              <w:rPr>
                <w:rFonts w:cs="Arial"/>
                <w:sz w:val="18"/>
                <w:szCs w:val="20"/>
              </w:rPr>
              <w:t>84</w:t>
            </w:r>
          </w:p>
        </w:tc>
        <w:tc>
          <w:tcPr>
            <w:tcW w:w="489" w:type="pct"/>
            <w:tcBorders>
              <w:top w:val="nil"/>
              <w:left w:val="nil"/>
              <w:bottom w:val="single" w:sz="4" w:space="0" w:color="auto"/>
              <w:right w:val="single" w:sz="4" w:space="0" w:color="auto"/>
            </w:tcBorders>
            <w:shd w:val="clear" w:color="000000" w:fill="FFFFFF"/>
            <w:noWrap/>
            <w:vAlign w:val="bottom"/>
            <w:hideMark/>
          </w:tcPr>
          <w:p w14:paraId="0FEB8368" w14:textId="77777777" w:rsidR="00B74C90" w:rsidRPr="00545EC0" w:rsidRDefault="00B74C90" w:rsidP="00B506A9">
            <w:pPr>
              <w:spacing w:line="240" w:lineRule="auto"/>
              <w:jc w:val="center"/>
              <w:rPr>
                <w:rFonts w:cs="Arial"/>
                <w:sz w:val="18"/>
                <w:szCs w:val="20"/>
              </w:rPr>
            </w:pPr>
            <w:r w:rsidRPr="00545EC0">
              <w:rPr>
                <w:rFonts w:cs="Arial"/>
                <w:sz w:val="18"/>
                <w:szCs w:val="20"/>
              </w:rPr>
              <w:t>248</w:t>
            </w:r>
          </w:p>
        </w:tc>
        <w:tc>
          <w:tcPr>
            <w:tcW w:w="432" w:type="pct"/>
            <w:tcBorders>
              <w:top w:val="nil"/>
              <w:left w:val="nil"/>
              <w:bottom w:val="single" w:sz="4" w:space="0" w:color="auto"/>
              <w:right w:val="single" w:sz="4" w:space="0" w:color="auto"/>
            </w:tcBorders>
            <w:shd w:val="clear" w:color="auto" w:fill="auto"/>
            <w:noWrap/>
            <w:vAlign w:val="bottom"/>
            <w:hideMark/>
          </w:tcPr>
          <w:p w14:paraId="591CEA39" w14:textId="77777777" w:rsidR="00B74C90" w:rsidRPr="00545EC0" w:rsidRDefault="00B74C90" w:rsidP="00B506A9">
            <w:pPr>
              <w:spacing w:line="240" w:lineRule="auto"/>
              <w:jc w:val="center"/>
              <w:rPr>
                <w:rFonts w:cs="Arial"/>
                <w:sz w:val="18"/>
                <w:szCs w:val="20"/>
              </w:rPr>
            </w:pPr>
            <w:r w:rsidRPr="00545EC0">
              <w:rPr>
                <w:rFonts w:cs="Arial"/>
                <w:sz w:val="18"/>
                <w:szCs w:val="20"/>
              </w:rPr>
              <w:t>17,8</w:t>
            </w:r>
          </w:p>
        </w:tc>
      </w:tr>
      <w:tr w:rsidR="003122F4" w:rsidRPr="00545EC0" w14:paraId="7DE64021" w14:textId="77777777" w:rsidTr="00392769">
        <w:trPr>
          <w:trHeight w:val="300"/>
          <w:jc w:val="center"/>
        </w:trPr>
        <w:tc>
          <w:tcPr>
            <w:tcW w:w="886" w:type="pct"/>
            <w:tcBorders>
              <w:top w:val="nil"/>
              <w:left w:val="single" w:sz="4" w:space="0" w:color="auto"/>
              <w:bottom w:val="single" w:sz="4" w:space="0" w:color="auto"/>
              <w:right w:val="single" w:sz="4" w:space="0" w:color="auto"/>
            </w:tcBorders>
            <w:shd w:val="clear" w:color="000000" w:fill="FFFFFF"/>
            <w:noWrap/>
            <w:vAlign w:val="bottom"/>
            <w:hideMark/>
          </w:tcPr>
          <w:p w14:paraId="04E45E28" w14:textId="77777777" w:rsidR="00B74C90" w:rsidRPr="00545EC0" w:rsidRDefault="00B74C90" w:rsidP="00B506A9">
            <w:pPr>
              <w:spacing w:line="240" w:lineRule="auto"/>
              <w:rPr>
                <w:rFonts w:cs="Arial"/>
                <w:sz w:val="18"/>
                <w:szCs w:val="20"/>
              </w:rPr>
            </w:pPr>
            <w:r w:rsidRPr="00545EC0">
              <w:rPr>
                <w:rFonts w:cs="Arial"/>
                <w:sz w:val="18"/>
                <w:szCs w:val="20"/>
              </w:rPr>
              <w:t>Drava</w:t>
            </w:r>
          </w:p>
        </w:tc>
        <w:tc>
          <w:tcPr>
            <w:tcW w:w="559" w:type="pct"/>
            <w:tcBorders>
              <w:top w:val="nil"/>
              <w:left w:val="nil"/>
              <w:bottom w:val="single" w:sz="4" w:space="0" w:color="auto"/>
              <w:right w:val="single" w:sz="4" w:space="0" w:color="auto"/>
            </w:tcBorders>
            <w:shd w:val="clear" w:color="000000" w:fill="FFFFFF"/>
            <w:noWrap/>
            <w:vAlign w:val="bottom"/>
            <w:hideMark/>
          </w:tcPr>
          <w:p w14:paraId="47FCD7DB" w14:textId="77777777" w:rsidR="00B74C90" w:rsidRPr="00545EC0" w:rsidRDefault="00B74C90" w:rsidP="00B506A9">
            <w:pPr>
              <w:spacing w:line="240" w:lineRule="auto"/>
              <w:jc w:val="center"/>
              <w:rPr>
                <w:rFonts w:cs="Arial"/>
                <w:sz w:val="18"/>
                <w:szCs w:val="20"/>
              </w:rPr>
            </w:pPr>
            <w:r w:rsidRPr="00545EC0">
              <w:rPr>
                <w:rFonts w:cs="Arial"/>
                <w:sz w:val="18"/>
                <w:szCs w:val="20"/>
              </w:rPr>
              <w:t>3271</w:t>
            </w:r>
          </w:p>
        </w:tc>
        <w:tc>
          <w:tcPr>
            <w:tcW w:w="569" w:type="pct"/>
            <w:tcBorders>
              <w:top w:val="nil"/>
              <w:left w:val="nil"/>
              <w:bottom w:val="single" w:sz="4" w:space="0" w:color="auto"/>
              <w:right w:val="single" w:sz="4" w:space="0" w:color="auto"/>
            </w:tcBorders>
            <w:shd w:val="clear" w:color="000000" w:fill="FFFFFF"/>
            <w:noWrap/>
            <w:vAlign w:val="bottom"/>
            <w:hideMark/>
          </w:tcPr>
          <w:p w14:paraId="49F1D6A8" w14:textId="77777777" w:rsidR="00B74C90" w:rsidRPr="00545EC0" w:rsidRDefault="00B74C90" w:rsidP="00B506A9">
            <w:pPr>
              <w:spacing w:line="240" w:lineRule="auto"/>
              <w:jc w:val="center"/>
              <w:rPr>
                <w:rFonts w:cs="Arial"/>
                <w:sz w:val="18"/>
                <w:szCs w:val="20"/>
              </w:rPr>
            </w:pPr>
            <w:r w:rsidRPr="00545EC0">
              <w:rPr>
                <w:rFonts w:cs="Arial"/>
                <w:sz w:val="18"/>
                <w:szCs w:val="20"/>
              </w:rPr>
              <w:t>255</w:t>
            </w:r>
          </w:p>
        </w:tc>
        <w:tc>
          <w:tcPr>
            <w:tcW w:w="503" w:type="pct"/>
            <w:tcBorders>
              <w:top w:val="nil"/>
              <w:left w:val="nil"/>
              <w:bottom w:val="single" w:sz="4" w:space="0" w:color="auto"/>
              <w:right w:val="single" w:sz="4" w:space="0" w:color="auto"/>
            </w:tcBorders>
            <w:shd w:val="clear" w:color="auto" w:fill="auto"/>
            <w:noWrap/>
            <w:vAlign w:val="bottom"/>
            <w:hideMark/>
          </w:tcPr>
          <w:p w14:paraId="5DC4CCA9" w14:textId="77777777" w:rsidR="00B74C90" w:rsidRPr="00545EC0" w:rsidRDefault="00B74C90" w:rsidP="00B506A9">
            <w:pPr>
              <w:spacing w:line="240" w:lineRule="auto"/>
              <w:jc w:val="center"/>
              <w:rPr>
                <w:rFonts w:cs="Arial"/>
                <w:sz w:val="18"/>
                <w:szCs w:val="20"/>
              </w:rPr>
            </w:pPr>
            <w:r w:rsidRPr="00545EC0">
              <w:rPr>
                <w:rFonts w:cs="Arial"/>
                <w:sz w:val="18"/>
                <w:szCs w:val="20"/>
              </w:rPr>
              <w:t>7,8</w:t>
            </w:r>
          </w:p>
        </w:tc>
        <w:tc>
          <w:tcPr>
            <w:tcW w:w="1562" w:type="pct"/>
            <w:tcBorders>
              <w:top w:val="nil"/>
              <w:left w:val="nil"/>
              <w:bottom w:val="single" w:sz="4" w:space="0" w:color="auto"/>
              <w:right w:val="single" w:sz="4" w:space="0" w:color="auto"/>
            </w:tcBorders>
            <w:shd w:val="clear" w:color="000000" w:fill="FFFFFF"/>
            <w:noWrap/>
            <w:vAlign w:val="bottom"/>
            <w:hideMark/>
          </w:tcPr>
          <w:p w14:paraId="61EC633B" w14:textId="77777777" w:rsidR="00B74C90" w:rsidRPr="00545EC0" w:rsidRDefault="00B74C90" w:rsidP="00B506A9">
            <w:pPr>
              <w:spacing w:line="240" w:lineRule="auto"/>
              <w:jc w:val="center"/>
              <w:rPr>
                <w:rFonts w:cs="Arial"/>
                <w:sz w:val="18"/>
                <w:szCs w:val="20"/>
              </w:rPr>
            </w:pPr>
            <w:r w:rsidRPr="00545EC0">
              <w:rPr>
                <w:rFonts w:cs="Arial"/>
                <w:sz w:val="18"/>
                <w:szCs w:val="20"/>
              </w:rPr>
              <w:t>132</w:t>
            </w:r>
          </w:p>
        </w:tc>
        <w:tc>
          <w:tcPr>
            <w:tcW w:w="489" w:type="pct"/>
            <w:tcBorders>
              <w:top w:val="nil"/>
              <w:left w:val="nil"/>
              <w:bottom w:val="single" w:sz="4" w:space="0" w:color="auto"/>
              <w:right w:val="single" w:sz="4" w:space="0" w:color="auto"/>
            </w:tcBorders>
            <w:shd w:val="clear" w:color="000000" w:fill="FFFFFF"/>
            <w:noWrap/>
            <w:vAlign w:val="bottom"/>
            <w:hideMark/>
          </w:tcPr>
          <w:p w14:paraId="44A7C798" w14:textId="77777777" w:rsidR="00B74C90" w:rsidRPr="00545EC0" w:rsidRDefault="00B74C90" w:rsidP="00B506A9">
            <w:pPr>
              <w:spacing w:line="240" w:lineRule="auto"/>
              <w:jc w:val="center"/>
              <w:rPr>
                <w:rFonts w:cs="Arial"/>
                <w:sz w:val="18"/>
                <w:szCs w:val="20"/>
              </w:rPr>
            </w:pPr>
            <w:r w:rsidRPr="00545EC0">
              <w:rPr>
                <w:rFonts w:cs="Arial"/>
                <w:sz w:val="18"/>
                <w:szCs w:val="20"/>
              </w:rPr>
              <w:t>277</w:t>
            </w:r>
          </w:p>
        </w:tc>
        <w:tc>
          <w:tcPr>
            <w:tcW w:w="432" w:type="pct"/>
            <w:tcBorders>
              <w:top w:val="nil"/>
              <w:left w:val="nil"/>
              <w:bottom w:val="single" w:sz="4" w:space="0" w:color="auto"/>
              <w:right w:val="single" w:sz="4" w:space="0" w:color="auto"/>
            </w:tcBorders>
            <w:shd w:val="clear" w:color="auto" w:fill="auto"/>
            <w:noWrap/>
            <w:vAlign w:val="bottom"/>
            <w:hideMark/>
          </w:tcPr>
          <w:p w14:paraId="73A0E10A" w14:textId="77777777" w:rsidR="00B74C90" w:rsidRPr="00545EC0" w:rsidRDefault="00B74C90" w:rsidP="00B506A9">
            <w:pPr>
              <w:spacing w:line="240" w:lineRule="auto"/>
              <w:jc w:val="center"/>
              <w:rPr>
                <w:rFonts w:cs="Arial"/>
                <w:sz w:val="18"/>
                <w:szCs w:val="20"/>
              </w:rPr>
            </w:pPr>
            <w:r w:rsidRPr="00545EC0">
              <w:rPr>
                <w:rFonts w:cs="Arial"/>
                <w:sz w:val="18"/>
                <w:szCs w:val="20"/>
              </w:rPr>
              <w:t>8,5</w:t>
            </w:r>
          </w:p>
        </w:tc>
      </w:tr>
      <w:tr w:rsidR="003122F4" w:rsidRPr="00545EC0" w14:paraId="65AD8331" w14:textId="77777777" w:rsidTr="00392769">
        <w:trPr>
          <w:trHeight w:val="300"/>
          <w:jc w:val="center"/>
        </w:trPr>
        <w:tc>
          <w:tcPr>
            <w:tcW w:w="886" w:type="pct"/>
            <w:tcBorders>
              <w:top w:val="nil"/>
              <w:left w:val="single" w:sz="4" w:space="0" w:color="auto"/>
              <w:bottom w:val="single" w:sz="4" w:space="0" w:color="auto"/>
              <w:right w:val="single" w:sz="4" w:space="0" w:color="auto"/>
            </w:tcBorders>
            <w:shd w:val="clear" w:color="000000" w:fill="FFFFFF"/>
            <w:noWrap/>
            <w:vAlign w:val="bottom"/>
            <w:hideMark/>
          </w:tcPr>
          <w:p w14:paraId="053729CD" w14:textId="77777777" w:rsidR="00B74C90" w:rsidRPr="00545EC0" w:rsidRDefault="00B74C90" w:rsidP="00B506A9">
            <w:pPr>
              <w:spacing w:line="240" w:lineRule="auto"/>
              <w:rPr>
                <w:rFonts w:cs="Arial"/>
                <w:sz w:val="18"/>
                <w:szCs w:val="20"/>
              </w:rPr>
            </w:pPr>
            <w:r w:rsidRPr="00545EC0">
              <w:rPr>
                <w:rFonts w:cs="Arial"/>
                <w:sz w:val="18"/>
                <w:szCs w:val="20"/>
              </w:rPr>
              <w:t>Savinja</w:t>
            </w:r>
          </w:p>
        </w:tc>
        <w:tc>
          <w:tcPr>
            <w:tcW w:w="559" w:type="pct"/>
            <w:tcBorders>
              <w:top w:val="nil"/>
              <w:left w:val="nil"/>
              <w:bottom w:val="single" w:sz="4" w:space="0" w:color="auto"/>
              <w:right w:val="single" w:sz="4" w:space="0" w:color="auto"/>
            </w:tcBorders>
            <w:shd w:val="clear" w:color="000000" w:fill="FFFFFF"/>
            <w:noWrap/>
            <w:vAlign w:val="bottom"/>
            <w:hideMark/>
          </w:tcPr>
          <w:p w14:paraId="304B6209" w14:textId="77777777" w:rsidR="00B74C90" w:rsidRPr="00545EC0" w:rsidRDefault="00B74C90" w:rsidP="00B506A9">
            <w:pPr>
              <w:spacing w:line="240" w:lineRule="auto"/>
              <w:jc w:val="center"/>
              <w:rPr>
                <w:rFonts w:cs="Arial"/>
                <w:sz w:val="18"/>
                <w:szCs w:val="20"/>
              </w:rPr>
            </w:pPr>
            <w:r w:rsidRPr="00545EC0">
              <w:rPr>
                <w:rFonts w:cs="Arial"/>
                <w:sz w:val="18"/>
                <w:szCs w:val="20"/>
              </w:rPr>
              <w:t>1853</w:t>
            </w:r>
          </w:p>
        </w:tc>
        <w:tc>
          <w:tcPr>
            <w:tcW w:w="569" w:type="pct"/>
            <w:tcBorders>
              <w:top w:val="nil"/>
              <w:left w:val="nil"/>
              <w:bottom w:val="single" w:sz="4" w:space="0" w:color="auto"/>
              <w:right w:val="single" w:sz="4" w:space="0" w:color="auto"/>
            </w:tcBorders>
            <w:shd w:val="clear" w:color="000000" w:fill="FFFFFF"/>
            <w:noWrap/>
            <w:vAlign w:val="bottom"/>
            <w:hideMark/>
          </w:tcPr>
          <w:p w14:paraId="56FCAE76" w14:textId="77777777" w:rsidR="00B74C90" w:rsidRPr="00545EC0" w:rsidRDefault="00B74C90" w:rsidP="00B506A9">
            <w:pPr>
              <w:spacing w:line="240" w:lineRule="auto"/>
              <w:jc w:val="center"/>
              <w:rPr>
                <w:rFonts w:cs="Arial"/>
                <w:sz w:val="18"/>
                <w:szCs w:val="20"/>
              </w:rPr>
            </w:pPr>
            <w:r w:rsidRPr="00545EC0">
              <w:rPr>
                <w:rFonts w:cs="Arial"/>
                <w:sz w:val="18"/>
                <w:szCs w:val="20"/>
              </w:rPr>
              <w:t>70</w:t>
            </w:r>
          </w:p>
        </w:tc>
        <w:tc>
          <w:tcPr>
            <w:tcW w:w="503" w:type="pct"/>
            <w:tcBorders>
              <w:top w:val="nil"/>
              <w:left w:val="nil"/>
              <w:bottom w:val="single" w:sz="4" w:space="0" w:color="auto"/>
              <w:right w:val="single" w:sz="4" w:space="0" w:color="auto"/>
            </w:tcBorders>
            <w:shd w:val="clear" w:color="auto" w:fill="auto"/>
            <w:noWrap/>
            <w:vAlign w:val="bottom"/>
            <w:hideMark/>
          </w:tcPr>
          <w:p w14:paraId="36BDD1BD" w14:textId="77777777" w:rsidR="00B74C90" w:rsidRPr="00545EC0" w:rsidRDefault="00B74C90" w:rsidP="00B506A9">
            <w:pPr>
              <w:spacing w:line="240" w:lineRule="auto"/>
              <w:jc w:val="center"/>
              <w:rPr>
                <w:rFonts w:cs="Arial"/>
                <w:sz w:val="18"/>
                <w:szCs w:val="20"/>
              </w:rPr>
            </w:pPr>
            <w:r w:rsidRPr="00545EC0">
              <w:rPr>
                <w:rFonts w:cs="Arial"/>
                <w:sz w:val="18"/>
                <w:szCs w:val="20"/>
              </w:rPr>
              <w:t>3,8</w:t>
            </w:r>
          </w:p>
        </w:tc>
        <w:tc>
          <w:tcPr>
            <w:tcW w:w="1562" w:type="pct"/>
            <w:tcBorders>
              <w:top w:val="nil"/>
              <w:left w:val="nil"/>
              <w:bottom w:val="single" w:sz="4" w:space="0" w:color="auto"/>
              <w:right w:val="single" w:sz="4" w:space="0" w:color="auto"/>
            </w:tcBorders>
            <w:shd w:val="clear" w:color="000000" w:fill="FFFFFF"/>
            <w:noWrap/>
            <w:vAlign w:val="bottom"/>
            <w:hideMark/>
          </w:tcPr>
          <w:p w14:paraId="2B241694" w14:textId="77777777" w:rsidR="00B74C90" w:rsidRPr="00545EC0" w:rsidRDefault="00B74C90" w:rsidP="00B506A9">
            <w:pPr>
              <w:spacing w:line="240" w:lineRule="auto"/>
              <w:jc w:val="center"/>
              <w:rPr>
                <w:rFonts w:cs="Arial"/>
                <w:sz w:val="18"/>
                <w:szCs w:val="20"/>
              </w:rPr>
            </w:pPr>
            <w:r w:rsidRPr="00545EC0">
              <w:rPr>
                <w:rFonts w:cs="Arial"/>
                <w:sz w:val="18"/>
                <w:szCs w:val="20"/>
              </w:rPr>
              <w:t>75</w:t>
            </w:r>
          </w:p>
        </w:tc>
        <w:tc>
          <w:tcPr>
            <w:tcW w:w="489" w:type="pct"/>
            <w:tcBorders>
              <w:top w:val="nil"/>
              <w:left w:val="nil"/>
              <w:bottom w:val="single" w:sz="4" w:space="0" w:color="auto"/>
              <w:right w:val="single" w:sz="4" w:space="0" w:color="auto"/>
            </w:tcBorders>
            <w:shd w:val="clear" w:color="000000" w:fill="FFFFFF"/>
            <w:noWrap/>
            <w:vAlign w:val="bottom"/>
            <w:hideMark/>
          </w:tcPr>
          <w:p w14:paraId="2282FA38" w14:textId="77777777" w:rsidR="00B74C90" w:rsidRPr="00545EC0" w:rsidRDefault="00B74C90" w:rsidP="00B506A9">
            <w:pPr>
              <w:spacing w:line="240" w:lineRule="auto"/>
              <w:jc w:val="center"/>
              <w:rPr>
                <w:rFonts w:cs="Arial"/>
                <w:sz w:val="18"/>
                <w:szCs w:val="20"/>
              </w:rPr>
            </w:pPr>
            <w:r w:rsidRPr="00545EC0">
              <w:rPr>
                <w:rFonts w:cs="Arial"/>
                <w:sz w:val="18"/>
                <w:szCs w:val="20"/>
              </w:rPr>
              <w:t>98</w:t>
            </w:r>
          </w:p>
        </w:tc>
        <w:tc>
          <w:tcPr>
            <w:tcW w:w="432" w:type="pct"/>
            <w:tcBorders>
              <w:top w:val="nil"/>
              <w:left w:val="nil"/>
              <w:bottom w:val="single" w:sz="4" w:space="0" w:color="auto"/>
              <w:right w:val="single" w:sz="4" w:space="0" w:color="auto"/>
            </w:tcBorders>
            <w:shd w:val="clear" w:color="auto" w:fill="auto"/>
            <w:noWrap/>
            <w:vAlign w:val="bottom"/>
            <w:hideMark/>
          </w:tcPr>
          <w:p w14:paraId="15C5F0A4" w14:textId="77777777" w:rsidR="00B74C90" w:rsidRPr="00545EC0" w:rsidRDefault="00B74C90" w:rsidP="00B506A9">
            <w:pPr>
              <w:spacing w:line="240" w:lineRule="auto"/>
              <w:jc w:val="center"/>
              <w:rPr>
                <w:rFonts w:cs="Arial"/>
                <w:sz w:val="18"/>
                <w:szCs w:val="20"/>
              </w:rPr>
            </w:pPr>
            <w:r w:rsidRPr="00545EC0">
              <w:rPr>
                <w:rFonts w:cs="Arial"/>
                <w:sz w:val="18"/>
                <w:szCs w:val="20"/>
              </w:rPr>
              <w:t>5,3</w:t>
            </w:r>
          </w:p>
        </w:tc>
      </w:tr>
      <w:tr w:rsidR="003122F4" w:rsidRPr="00545EC0" w14:paraId="3D3DDF7A" w14:textId="77777777" w:rsidTr="00392769">
        <w:trPr>
          <w:trHeight w:val="300"/>
          <w:jc w:val="center"/>
        </w:trPr>
        <w:tc>
          <w:tcPr>
            <w:tcW w:w="886" w:type="pct"/>
            <w:tcBorders>
              <w:top w:val="nil"/>
              <w:left w:val="single" w:sz="4" w:space="0" w:color="auto"/>
              <w:bottom w:val="single" w:sz="4" w:space="0" w:color="auto"/>
              <w:right w:val="single" w:sz="4" w:space="0" w:color="auto"/>
            </w:tcBorders>
            <w:shd w:val="clear" w:color="000000" w:fill="FFFFFF"/>
            <w:noWrap/>
            <w:vAlign w:val="bottom"/>
            <w:hideMark/>
          </w:tcPr>
          <w:p w14:paraId="4C8ED0CE" w14:textId="77777777" w:rsidR="00B74C90" w:rsidRPr="00545EC0" w:rsidRDefault="00B74C90" w:rsidP="00B506A9">
            <w:pPr>
              <w:spacing w:line="240" w:lineRule="auto"/>
              <w:rPr>
                <w:rFonts w:cs="Arial"/>
                <w:sz w:val="18"/>
                <w:szCs w:val="20"/>
              </w:rPr>
            </w:pPr>
            <w:r w:rsidRPr="00545EC0">
              <w:rPr>
                <w:rFonts w:cs="Arial"/>
                <w:sz w:val="18"/>
                <w:szCs w:val="20"/>
              </w:rPr>
              <w:t>Zgornja Sava</w:t>
            </w:r>
          </w:p>
        </w:tc>
        <w:tc>
          <w:tcPr>
            <w:tcW w:w="559" w:type="pct"/>
            <w:tcBorders>
              <w:top w:val="nil"/>
              <w:left w:val="nil"/>
              <w:bottom w:val="single" w:sz="4" w:space="0" w:color="auto"/>
              <w:right w:val="single" w:sz="4" w:space="0" w:color="auto"/>
            </w:tcBorders>
            <w:shd w:val="clear" w:color="000000" w:fill="FFFFFF"/>
            <w:noWrap/>
            <w:vAlign w:val="bottom"/>
            <w:hideMark/>
          </w:tcPr>
          <w:p w14:paraId="1DED5F28" w14:textId="77777777" w:rsidR="00B74C90" w:rsidRPr="00545EC0" w:rsidRDefault="00B74C90" w:rsidP="00B506A9">
            <w:pPr>
              <w:spacing w:line="240" w:lineRule="auto"/>
              <w:jc w:val="center"/>
              <w:rPr>
                <w:rFonts w:cs="Arial"/>
                <w:sz w:val="18"/>
                <w:szCs w:val="20"/>
              </w:rPr>
            </w:pPr>
            <w:r w:rsidRPr="00545EC0">
              <w:rPr>
                <w:rFonts w:cs="Arial"/>
                <w:sz w:val="18"/>
                <w:szCs w:val="20"/>
              </w:rPr>
              <w:t>2174</w:t>
            </w:r>
          </w:p>
        </w:tc>
        <w:tc>
          <w:tcPr>
            <w:tcW w:w="569" w:type="pct"/>
            <w:tcBorders>
              <w:top w:val="nil"/>
              <w:left w:val="nil"/>
              <w:bottom w:val="single" w:sz="4" w:space="0" w:color="auto"/>
              <w:right w:val="single" w:sz="4" w:space="0" w:color="auto"/>
            </w:tcBorders>
            <w:shd w:val="clear" w:color="000000" w:fill="FFFFFF"/>
            <w:noWrap/>
            <w:vAlign w:val="bottom"/>
            <w:hideMark/>
          </w:tcPr>
          <w:p w14:paraId="36683FB9" w14:textId="77777777" w:rsidR="00B74C90" w:rsidRPr="00545EC0" w:rsidRDefault="00B74C90" w:rsidP="00B506A9">
            <w:pPr>
              <w:spacing w:line="240" w:lineRule="auto"/>
              <w:jc w:val="center"/>
              <w:rPr>
                <w:rFonts w:cs="Arial"/>
                <w:sz w:val="18"/>
                <w:szCs w:val="20"/>
              </w:rPr>
            </w:pPr>
            <w:r w:rsidRPr="00545EC0">
              <w:rPr>
                <w:rFonts w:cs="Arial"/>
                <w:sz w:val="18"/>
                <w:szCs w:val="20"/>
              </w:rPr>
              <w:t>31</w:t>
            </w:r>
          </w:p>
        </w:tc>
        <w:tc>
          <w:tcPr>
            <w:tcW w:w="503" w:type="pct"/>
            <w:tcBorders>
              <w:top w:val="nil"/>
              <w:left w:val="nil"/>
              <w:bottom w:val="single" w:sz="4" w:space="0" w:color="auto"/>
              <w:right w:val="single" w:sz="4" w:space="0" w:color="auto"/>
            </w:tcBorders>
            <w:shd w:val="clear" w:color="auto" w:fill="auto"/>
            <w:noWrap/>
            <w:vAlign w:val="bottom"/>
            <w:hideMark/>
          </w:tcPr>
          <w:p w14:paraId="58616CE7" w14:textId="77777777" w:rsidR="00B74C90" w:rsidRPr="00545EC0" w:rsidRDefault="00B74C90" w:rsidP="00B506A9">
            <w:pPr>
              <w:spacing w:line="240" w:lineRule="auto"/>
              <w:jc w:val="center"/>
              <w:rPr>
                <w:rFonts w:cs="Arial"/>
                <w:sz w:val="18"/>
                <w:szCs w:val="20"/>
              </w:rPr>
            </w:pPr>
            <w:r w:rsidRPr="00545EC0">
              <w:rPr>
                <w:rFonts w:cs="Arial"/>
                <w:sz w:val="18"/>
                <w:szCs w:val="20"/>
              </w:rPr>
              <w:t>1,4</w:t>
            </w:r>
          </w:p>
        </w:tc>
        <w:tc>
          <w:tcPr>
            <w:tcW w:w="1562" w:type="pct"/>
            <w:tcBorders>
              <w:top w:val="nil"/>
              <w:left w:val="nil"/>
              <w:bottom w:val="single" w:sz="4" w:space="0" w:color="auto"/>
              <w:right w:val="single" w:sz="4" w:space="0" w:color="auto"/>
            </w:tcBorders>
            <w:shd w:val="clear" w:color="000000" w:fill="FFFFFF"/>
            <w:noWrap/>
            <w:vAlign w:val="bottom"/>
            <w:hideMark/>
          </w:tcPr>
          <w:p w14:paraId="2C9BCBCF" w14:textId="77777777" w:rsidR="00B74C90" w:rsidRPr="00545EC0" w:rsidRDefault="00B74C90" w:rsidP="00B506A9">
            <w:pPr>
              <w:spacing w:line="240" w:lineRule="auto"/>
              <w:jc w:val="center"/>
              <w:rPr>
                <w:rFonts w:cs="Arial"/>
                <w:sz w:val="18"/>
                <w:szCs w:val="20"/>
              </w:rPr>
            </w:pPr>
            <w:r w:rsidRPr="00545EC0">
              <w:rPr>
                <w:rFonts w:cs="Arial"/>
                <w:sz w:val="18"/>
                <w:szCs w:val="20"/>
              </w:rPr>
              <w:t>24</w:t>
            </w:r>
          </w:p>
        </w:tc>
        <w:tc>
          <w:tcPr>
            <w:tcW w:w="489" w:type="pct"/>
            <w:tcBorders>
              <w:top w:val="nil"/>
              <w:left w:val="nil"/>
              <w:bottom w:val="single" w:sz="4" w:space="0" w:color="auto"/>
              <w:right w:val="single" w:sz="4" w:space="0" w:color="auto"/>
            </w:tcBorders>
            <w:shd w:val="clear" w:color="000000" w:fill="FFFFFF"/>
            <w:noWrap/>
            <w:vAlign w:val="bottom"/>
            <w:hideMark/>
          </w:tcPr>
          <w:p w14:paraId="6FE6A1A2" w14:textId="77777777" w:rsidR="00B74C90" w:rsidRPr="00545EC0" w:rsidRDefault="00B74C90" w:rsidP="00B506A9">
            <w:pPr>
              <w:spacing w:line="240" w:lineRule="auto"/>
              <w:jc w:val="center"/>
              <w:rPr>
                <w:rFonts w:cs="Arial"/>
                <w:sz w:val="18"/>
                <w:szCs w:val="20"/>
              </w:rPr>
            </w:pPr>
            <w:r w:rsidRPr="00545EC0">
              <w:rPr>
                <w:rFonts w:cs="Arial"/>
                <w:sz w:val="18"/>
                <w:szCs w:val="20"/>
              </w:rPr>
              <w:t>42</w:t>
            </w:r>
          </w:p>
        </w:tc>
        <w:tc>
          <w:tcPr>
            <w:tcW w:w="432" w:type="pct"/>
            <w:tcBorders>
              <w:top w:val="nil"/>
              <w:left w:val="nil"/>
              <w:bottom w:val="single" w:sz="4" w:space="0" w:color="auto"/>
              <w:right w:val="single" w:sz="4" w:space="0" w:color="auto"/>
            </w:tcBorders>
            <w:shd w:val="clear" w:color="auto" w:fill="auto"/>
            <w:noWrap/>
            <w:vAlign w:val="bottom"/>
            <w:hideMark/>
          </w:tcPr>
          <w:p w14:paraId="7DD3B118" w14:textId="77777777" w:rsidR="00B74C90" w:rsidRPr="00545EC0" w:rsidRDefault="00B74C90" w:rsidP="00B506A9">
            <w:pPr>
              <w:spacing w:line="240" w:lineRule="auto"/>
              <w:jc w:val="center"/>
              <w:rPr>
                <w:rFonts w:cs="Arial"/>
                <w:sz w:val="18"/>
                <w:szCs w:val="20"/>
              </w:rPr>
            </w:pPr>
            <w:r w:rsidRPr="00545EC0">
              <w:rPr>
                <w:rFonts w:cs="Arial"/>
                <w:sz w:val="18"/>
                <w:szCs w:val="20"/>
              </w:rPr>
              <w:t>2,0</w:t>
            </w:r>
          </w:p>
        </w:tc>
      </w:tr>
      <w:tr w:rsidR="003122F4" w:rsidRPr="00545EC0" w14:paraId="4ADDF828" w14:textId="77777777" w:rsidTr="00392769">
        <w:trPr>
          <w:trHeight w:val="300"/>
          <w:jc w:val="center"/>
        </w:trPr>
        <w:tc>
          <w:tcPr>
            <w:tcW w:w="886" w:type="pct"/>
            <w:tcBorders>
              <w:top w:val="nil"/>
              <w:left w:val="single" w:sz="4" w:space="0" w:color="auto"/>
              <w:bottom w:val="single" w:sz="4" w:space="0" w:color="auto"/>
              <w:right w:val="single" w:sz="4" w:space="0" w:color="auto"/>
            </w:tcBorders>
            <w:shd w:val="clear" w:color="000000" w:fill="FFFFFF"/>
            <w:noWrap/>
            <w:vAlign w:val="bottom"/>
            <w:hideMark/>
          </w:tcPr>
          <w:p w14:paraId="09B32B9B" w14:textId="77777777" w:rsidR="00B74C90" w:rsidRPr="00545EC0" w:rsidRDefault="00B74C90" w:rsidP="00B506A9">
            <w:pPr>
              <w:spacing w:line="240" w:lineRule="auto"/>
              <w:rPr>
                <w:rFonts w:cs="Arial"/>
                <w:sz w:val="18"/>
                <w:szCs w:val="20"/>
              </w:rPr>
            </w:pPr>
            <w:r w:rsidRPr="00545EC0">
              <w:rPr>
                <w:rFonts w:cs="Arial"/>
                <w:sz w:val="18"/>
                <w:szCs w:val="20"/>
              </w:rPr>
              <w:t>Srednja Sava</w:t>
            </w:r>
          </w:p>
        </w:tc>
        <w:tc>
          <w:tcPr>
            <w:tcW w:w="559" w:type="pct"/>
            <w:tcBorders>
              <w:top w:val="nil"/>
              <w:left w:val="nil"/>
              <w:bottom w:val="single" w:sz="4" w:space="0" w:color="auto"/>
              <w:right w:val="single" w:sz="4" w:space="0" w:color="auto"/>
            </w:tcBorders>
            <w:shd w:val="clear" w:color="000000" w:fill="FFFFFF"/>
            <w:noWrap/>
            <w:vAlign w:val="bottom"/>
            <w:hideMark/>
          </w:tcPr>
          <w:p w14:paraId="399C9C72" w14:textId="77777777" w:rsidR="00B74C90" w:rsidRPr="00545EC0" w:rsidRDefault="00B74C90" w:rsidP="00B506A9">
            <w:pPr>
              <w:spacing w:line="240" w:lineRule="auto"/>
              <w:jc w:val="center"/>
              <w:rPr>
                <w:rFonts w:cs="Arial"/>
                <w:sz w:val="18"/>
                <w:szCs w:val="20"/>
              </w:rPr>
            </w:pPr>
            <w:r w:rsidRPr="00545EC0">
              <w:rPr>
                <w:rFonts w:cs="Arial"/>
                <w:sz w:val="18"/>
                <w:szCs w:val="20"/>
              </w:rPr>
              <w:t>3044</w:t>
            </w:r>
          </w:p>
        </w:tc>
        <w:tc>
          <w:tcPr>
            <w:tcW w:w="569" w:type="pct"/>
            <w:tcBorders>
              <w:top w:val="nil"/>
              <w:left w:val="nil"/>
              <w:bottom w:val="single" w:sz="4" w:space="0" w:color="auto"/>
              <w:right w:val="single" w:sz="4" w:space="0" w:color="auto"/>
            </w:tcBorders>
            <w:shd w:val="clear" w:color="000000" w:fill="FFFFFF"/>
            <w:noWrap/>
            <w:vAlign w:val="bottom"/>
            <w:hideMark/>
          </w:tcPr>
          <w:p w14:paraId="482A91A9" w14:textId="77777777" w:rsidR="00B74C90" w:rsidRPr="00545EC0" w:rsidRDefault="00B74C90" w:rsidP="00B506A9">
            <w:pPr>
              <w:spacing w:line="240" w:lineRule="auto"/>
              <w:jc w:val="center"/>
              <w:rPr>
                <w:rFonts w:cs="Arial"/>
                <w:sz w:val="18"/>
                <w:szCs w:val="20"/>
              </w:rPr>
            </w:pPr>
            <w:r w:rsidRPr="00545EC0">
              <w:rPr>
                <w:rFonts w:cs="Arial"/>
                <w:sz w:val="18"/>
                <w:szCs w:val="20"/>
              </w:rPr>
              <w:t>263</w:t>
            </w:r>
          </w:p>
        </w:tc>
        <w:tc>
          <w:tcPr>
            <w:tcW w:w="503" w:type="pct"/>
            <w:tcBorders>
              <w:top w:val="nil"/>
              <w:left w:val="nil"/>
              <w:bottom w:val="single" w:sz="4" w:space="0" w:color="auto"/>
              <w:right w:val="single" w:sz="4" w:space="0" w:color="auto"/>
            </w:tcBorders>
            <w:shd w:val="clear" w:color="auto" w:fill="auto"/>
            <w:noWrap/>
            <w:vAlign w:val="bottom"/>
            <w:hideMark/>
          </w:tcPr>
          <w:p w14:paraId="2422EED7" w14:textId="77777777" w:rsidR="00B74C90" w:rsidRPr="00545EC0" w:rsidRDefault="00B74C90" w:rsidP="00B506A9">
            <w:pPr>
              <w:spacing w:line="240" w:lineRule="auto"/>
              <w:jc w:val="center"/>
              <w:rPr>
                <w:rFonts w:cs="Arial"/>
                <w:sz w:val="18"/>
                <w:szCs w:val="20"/>
              </w:rPr>
            </w:pPr>
            <w:r w:rsidRPr="00545EC0">
              <w:rPr>
                <w:rFonts w:cs="Arial"/>
                <w:sz w:val="18"/>
                <w:szCs w:val="20"/>
              </w:rPr>
              <w:t>8,6</w:t>
            </w:r>
          </w:p>
        </w:tc>
        <w:tc>
          <w:tcPr>
            <w:tcW w:w="1562" w:type="pct"/>
            <w:tcBorders>
              <w:top w:val="nil"/>
              <w:left w:val="nil"/>
              <w:bottom w:val="single" w:sz="4" w:space="0" w:color="auto"/>
              <w:right w:val="single" w:sz="4" w:space="0" w:color="auto"/>
            </w:tcBorders>
            <w:shd w:val="clear" w:color="000000" w:fill="FFFFFF"/>
            <w:noWrap/>
            <w:vAlign w:val="bottom"/>
            <w:hideMark/>
          </w:tcPr>
          <w:p w14:paraId="6B317DE7" w14:textId="77777777" w:rsidR="00B74C90" w:rsidRPr="00545EC0" w:rsidRDefault="00B74C90" w:rsidP="00B506A9">
            <w:pPr>
              <w:spacing w:line="240" w:lineRule="auto"/>
              <w:jc w:val="center"/>
              <w:rPr>
                <w:rFonts w:cs="Arial"/>
                <w:sz w:val="18"/>
                <w:szCs w:val="20"/>
              </w:rPr>
            </w:pPr>
            <w:r w:rsidRPr="00545EC0">
              <w:rPr>
                <w:rFonts w:cs="Arial"/>
                <w:sz w:val="18"/>
                <w:szCs w:val="20"/>
              </w:rPr>
              <w:t>165</w:t>
            </w:r>
          </w:p>
        </w:tc>
        <w:tc>
          <w:tcPr>
            <w:tcW w:w="489" w:type="pct"/>
            <w:tcBorders>
              <w:top w:val="nil"/>
              <w:left w:val="nil"/>
              <w:bottom w:val="single" w:sz="4" w:space="0" w:color="auto"/>
              <w:right w:val="single" w:sz="4" w:space="0" w:color="auto"/>
            </w:tcBorders>
            <w:shd w:val="clear" w:color="000000" w:fill="FFFFFF"/>
            <w:noWrap/>
            <w:vAlign w:val="bottom"/>
            <w:hideMark/>
          </w:tcPr>
          <w:p w14:paraId="64B7F1EA" w14:textId="77777777" w:rsidR="00B74C90" w:rsidRPr="00545EC0" w:rsidRDefault="00B74C90" w:rsidP="00B506A9">
            <w:pPr>
              <w:spacing w:line="240" w:lineRule="auto"/>
              <w:jc w:val="center"/>
              <w:rPr>
                <w:rFonts w:cs="Arial"/>
                <w:sz w:val="18"/>
                <w:szCs w:val="20"/>
              </w:rPr>
            </w:pPr>
            <w:r w:rsidRPr="00545EC0">
              <w:rPr>
                <w:rFonts w:cs="Arial"/>
                <w:sz w:val="18"/>
                <w:szCs w:val="20"/>
              </w:rPr>
              <w:t>294</w:t>
            </w:r>
          </w:p>
        </w:tc>
        <w:tc>
          <w:tcPr>
            <w:tcW w:w="432" w:type="pct"/>
            <w:tcBorders>
              <w:top w:val="nil"/>
              <w:left w:val="nil"/>
              <w:bottom w:val="single" w:sz="4" w:space="0" w:color="auto"/>
              <w:right w:val="single" w:sz="4" w:space="0" w:color="auto"/>
            </w:tcBorders>
            <w:shd w:val="clear" w:color="auto" w:fill="auto"/>
            <w:noWrap/>
            <w:vAlign w:val="bottom"/>
            <w:hideMark/>
          </w:tcPr>
          <w:p w14:paraId="7FC88687" w14:textId="77777777" w:rsidR="00B74C90" w:rsidRPr="00545EC0" w:rsidRDefault="00B74C90" w:rsidP="00B506A9">
            <w:pPr>
              <w:spacing w:line="240" w:lineRule="auto"/>
              <w:jc w:val="center"/>
              <w:rPr>
                <w:rFonts w:cs="Arial"/>
                <w:sz w:val="18"/>
                <w:szCs w:val="20"/>
              </w:rPr>
            </w:pPr>
            <w:r w:rsidRPr="00545EC0">
              <w:rPr>
                <w:rFonts w:cs="Arial"/>
                <w:sz w:val="18"/>
                <w:szCs w:val="20"/>
              </w:rPr>
              <w:t>9,7</w:t>
            </w:r>
          </w:p>
        </w:tc>
      </w:tr>
      <w:tr w:rsidR="003122F4" w:rsidRPr="00545EC0" w14:paraId="72726662" w14:textId="77777777" w:rsidTr="00392769">
        <w:trPr>
          <w:trHeight w:val="300"/>
          <w:jc w:val="center"/>
        </w:trPr>
        <w:tc>
          <w:tcPr>
            <w:tcW w:w="886" w:type="pct"/>
            <w:tcBorders>
              <w:top w:val="nil"/>
              <w:left w:val="single" w:sz="4" w:space="0" w:color="auto"/>
              <w:bottom w:val="single" w:sz="4" w:space="0" w:color="auto"/>
              <w:right w:val="single" w:sz="4" w:space="0" w:color="auto"/>
            </w:tcBorders>
            <w:shd w:val="clear" w:color="000000" w:fill="FFFFFF"/>
            <w:noWrap/>
            <w:vAlign w:val="bottom"/>
            <w:hideMark/>
          </w:tcPr>
          <w:p w14:paraId="4085EDD3" w14:textId="77777777" w:rsidR="00B74C90" w:rsidRPr="00545EC0" w:rsidRDefault="00B74C90" w:rsidP="00B506A9">
            <w:pPr>
              <w:spacing w:line="240" w:lineRule="auto"/>
              <w:rPr>
                <w:rFonts w:cs="Arial"/>
                <w:sz w:val="18"/>
                <w:szCs w:val="20"/>
              </w:rPr>
            </w:pPr>
            <w:r w:rsidRPr="00545EC0">
              <w:rPr>
                <w:rFonts w:cs="Arial"/>
                <w:sz w:val="18"/>
                <w:szCs w:val="20"/>
              </w:rPr>
              <w:t>Spodnja Sava</w:t>
            </w:r>
          </w:p>
        </w:tc>
        <w:tc>
          <w:tcPr>
            <w:tcW w:w="559" w:type="pct"/>
            <w:tcBorders>
              <w:top w:val="nil"/>
              <w:left w:val="nil"/>
              <w:bottom w:val="single" w:sz="4" w:space="0" w:color="auto"/>
              <w:right w:val="single" w:sz="4" w:space="0" w:color="auto"/>
            </w:tcBorders>
            <w:shd w:val="clear" w:color="000000" w:fill="FFFFFF"/>
            <w:noWrap/>
            <w:vAlign w:val="bottom"/>
            <w:hideMark/>
          </w:tcPr>
          <w:p w14:paraId="6D018294" w14:textId="77777777" w:rsidR="00B74C90" w:rsidRPr="00545EC0" w:rsidRDefault="00B74C90" w:rsidP="00B506A9">
            <w:pPr>
              <w:spacing w:line="240" w:lineRule="auto"/>
              <w:jc w:val="center"/>
              <w:rPr>
                <w:rFonts w:cs="Arial"/>
                <w:sz w:val="18"/>
                <w:szCs w:val="20"/>
              </w:rPr>
            </w:pPr>
            <w:r w:rsidRPr="00545EC0">
              <w:rPr>
                <w:rFonts w:cs="Arial"/>
                <w:sz w:val="18"/>
                <w:szCs w:val="20"/>
              </w:rPr>
              <w:t>3585</w:t>
            </w:r>
          </w:p>
        </w:tc>
        <w:tc>
          <w:tcPr>
            <w:tcW w:w="569" w:type="pct"/>
            <w:tcBorders>
              <w:top w:val="nil"/>
              <w:left w:val="nil"/>
              <w:bottom w:val="single" w:sz="4" w:space="0" w:color="auto"/>
              <w:right w:val="single" w:sz="4" w:space="0" w:color="auto"/>
            </w:tcBorders>
            <w:shd w:val="clear" w:color="000000" w:fill="FFFFFF"/>
            <w:noWrap/>
            <w:vAlign w:val="bottom"/>
            <w:hideMark/>
          </w:tcPr>
          <w:p w14:paraId="6DFB5A2E" w14:textId="77777777" w:rsidR="00B74C90" w:rsidRPr="00545EC0" w:rsidRDefault="00B74C90" w:rsidP="00B506A9">
            <w:pPr>
              <w:spacing w:line="240" w:lineRule="auto"/>
              <w:jc w:val="center"/>
              <w:rPr>
                <w:rFonts w:cs="Arial"/>
                <w:sz w:val="18"/>
                <w:szCs w:val="20"/>
              </w:rPr>
            </w:pPr>
            <w:r w:rsidRPr="00545EC0">
              <w:rPr>
                <w:rFonts w:cs="Arial"/>
                <w:sz w:val="18"/>
                <w:szCs w:val="20"/>
              </w:rPr>
              <w:t>189</w:t>
            </w:r>
          </w:p>
        </w:tc>
        <w:tc>
          <w:tcPr>
            <w:tcW w:w="503" w:type="pct"/>
            <w:tcBorders>
              <w:top w:val="nil"/>
              <w:left w:val="nil"/>
              <w:bottom w:val="single" w:sz="4" w:space="0" w:color="auto"/>
              <w:right w:val="single" w:sz="4" w:space="0" w:color="auto"/>
            </w:tcBorders>
            <w:shd w:val="clear" w:color="auto" w:fill="auto"/>
            <w:noWrap/>
            <w:vAlign w:val="bottom"/>
            <w:hideMark/>
          </w:tcPr>
          <w:p w14:paraId="5EBF7EA3" w14:textId="77777777" w:rsidR="00B74C90" w:rsidRPr="00545EC0" w:rsidRDefault="00B74C90" w:rsidP="00B506A9">
            <w:pPr>
              <w:spacing w:line="240" w:lineRule="auto"/>
              <w:jc w:val="center"/>
              <w:rPr>
                <w:rFonts w:cs="Arial"/>
                <w:sz w:val="18"/>
                <w:szCs w:val="20"/>
              </w:rPr>
            </w:pPr>
            <w:r w:rsidRPr="00545EC0">
              <w:rPr>
                <w:rFonts w:cs="Arial"/>
                <w:sz w:val="18"/>
                <w:szCs w:val="20"/>
              </w:rPr>
              <w:t>5,3</w:t>
            </w:r>
          </w:p>
        </w:tc>
        <w:tc>
          <w:tcPr>
            <w:tcW w:w="1562" w:type="pct"/>
            <w:tcBorders>
              <w:top w:val="nil"/>
              <w:left w:val="nil"/>
              <w:bottom w:val="single" w:sz="4" w:space="0" w:color="auto"/>
              <w:right w:val="single" w:sz="4" w:space="0" w:color="auto"/>
            </w:tcBorders>
            <w:shd w:val="clear" w:color="000000" w:fill="FFFFFF"/>
            <w:noWrap/>
            <w:vAlign w:val="bottom"/>
            <w:hideMark/>
          </w:tcPr>
          <w:p w14:paraId="736A0AA7" w14:textId="77777777" w:rsidR="00B74C90" w:rsidRPr="00545EC0" w:rsidRDefault="00B74C90" w:rsidP="00B506A9">
            <w:pPr>
              <w:spacing w:line="240" w:lineRule="auto"/>
              <w:jc w:val="center"/>
              <w:rPr>
                <w:rFonts w:cs="Arial"/>
                <w:sz w:val="18"/>
                <w:szCs w:val="20"/>
              </w:rPr>
            </w:pPr>
            <w:r w:rsidRPr="00545EC0">
              <w:rPr>
                <w:rFonts w:cs="Arial"/>
                <w:sz w:val="18"/>
                <w:szCs w:val="20"/>
              </w:rPr>
              <w:t>78</w:t>
            </w:r>
          </w:p>
        </w:tc>
        <w:tc>
          <w:tcPr>
            <w:tcW w:w="489" w:type="pct"/>
            <w:tcBorders>
              <w:top w:val="nil"/>
              <w:left w:val="nil"/>
              <w:bottom w:val="single" w:sz="4" w:space="0" w:color="auto"/>
              <w:right w:val="single" w:sz="4" w:space="0" w:color="auto"/>
            </w:tcBorders>
            <w:shd w:val="clear" w:color="000000" w:fill="FFFFFF"/>
            <w:noWrap/>
            <w:vAlign w:val="bottom"/>
            <w:hideMark/>
          </w:tcPr>
          <w:p w14:paraId="4627A7E5" w14:textId="77777777" w:rsidR="00B74C90" w:rsidRPr="00545EC0" w:rsidRDefault="00B74C90" w:rsidP="00B506A9">
            <w:pPr>
              <w:spacing w:line="240" w:lineRule="auto"/>
              <w:jc w:val="center"/>
              <w:rPr>
                <w:rFonts w:cs="Arial"/>
                <w:sz w:val="18"/>
                <w:szCs w:val="20"/>
              </w:rPr>
            </w:pPr>
            <w:r w:rsidRPr="00545EC0">
              <w:rPr>
                <w:rFonts w:cs="Arial"/>
                <w:sz w:val="18"/>
                <w:szCs w:val="20"/>
              </w:rPr>
              <w:t>203</w:t>
            </w:r>
          </w:p>
        </w:tc>
        <w:tc>
          <w:tcPr>
            <w:tcW w:w="432" w:type="pct"/>
            <w:tcBorders>
              <w:top w:val="nil"/>
              <w:left w:val="nil"/>
              <w:bottom w:val="single" w:sz="4" w:space="0" w:color="auto"/>
              <w:right w:val="single" w:sz="4" w:space="0" w:color="auto"/>
            </w:tcBorders>
            <w:shd w:val="clear" w:color="auto" w:fill="auto"/>
            <w:noWrap/>
            <w:vAlign w:val="bottom"/>
            <w:hideMark/>
          </w:tcPr>
          <w:p w14:paraId="7A60E65D" w14:textId="77777777" w:rsidR="00B74C90" w:rsidRPr="00545EC0" w:rsidRDefault="00B74C90" w:rsidP="00B506A9">
            <w:pPr>
              <w:spacing w:line="240" w:lineRule="auto"/>
              <w:jc w:val="center"/>
              <w:rPr>
                <w:rFonts w:cs="Arial"/>
                <w:sz w:val="18"/>
                <w:szCs w:val="20"/>
              </w:rPr>
            </w:pPr>
            <w:r w:rsidRPr="00545EC0">
              <w:rPr>
                <w:rFonts w:cs="Arial"/>
                <w:sz w:val="18"/>
                <w:szCs w:val="20"/>
              </w:rPr>
              <w:t>5,7</w:t>
            </w:r>
          </w:p>
        </w:tc>
      </w:tr>
      <w:tr w:rsidR="003122F4" w:rsidRPr="00545EC0" w14:paraId="73147660" w14:textId="77777777" w:rsidTr="00392769">
        <w:trPr>
          <w:trHeight w:val="300"/>
          <w:jc w:val="center"/>
        </w:trPr>
        <w:tc>
          <w:tcPr>
            <w:tcW w:w="886" w:type="pct"/>
            <w:tcBorders>
              <w:top w:val="nil"/>
              <w:left w:val="single" w:sz="4" w:space="0" w:color="auto"/>
              <w:bottom w:val="single" w:sz="4" w:space="0" w:color="auto"/>
              <w:right w:val="single" w:sz="4" w:space="0" w:color="auto"/>
            </w:tcBorders>
            <w:shd w:val="clear" w:color="000000" w:fill="FFFFFF"/>
            <w:noWrap/>
            <w:vAlign w:val="bottom"/>
            <w:hideMark/>
          </w:tcPr>
          <w:p w14:paraId="29CEAD52" w14:textId="77777777" w:rsidR="00B74C90" w:rsidRPr="00545EC0" w:rsidRDefault="00B74C90" w:rsidP="00B506A9">
            <w:pPr>
              <w:spacing w:line="240" w:lineRule="auto"/>
              <w:rPr>
                <w:rFonts w:cs="Arial"/>
                <w:sz w:val="18"/>
                <w:szCs w:val="20"/>
              </w:rPr>
            </w:pPr>
            <w:r w:rsidRPr="00545EC0">
              <w:rPr>
                <w:rFonts w:cs="Arial"/>
                <w:sz w:val="18"/>
                <w:szCs w:val="20"/>
              </w:rPr>
              <w:t>Kolpa</w:t>
            </w:r>
          </w:p>
        </w:tc>
        <w:tc>
          <w:tcPr>
            <w:tcW w:w="559" w:type="pct"/>
            <w:tcBorders>
              <w:top w:val="nil"/>
              <w:left w:val="nil"/>
              <w:bottom w:val="single" w:sz="4" w:space="0" w:color="auto"/>
              <w:right w:val="single" w:sz="4" w:space="0" w:color="auto"/>
            </w:tcBorders>
            <w:shd w:val="clear" w:color="000000" w:fill="FFFFFF"/>
            <w:noWrap/>
            <w:vAlign w:val="bottom"/>
            <w:hideMark/>
          </w:tcPr>
          <w:p w14:paraId="78DBF608" w14:textId="77777777" w:rsidR="00B74C90" w:rsidRPr="00545EC0" w:rsidRDefault="00B74C90" w:rsidP="00B506A9">
            <w:pPr>
              <w:spacing w:line="240" w:lineRule="auto"/>
              <w:jc w:val="center"/>
              <w:rPr>
                <w:rFonts w:cs="Arial"/>
                <w:sz w:val="18"/>
                <w:szCs w:val="20"/>
              </w:rPr>
            </w:pPr>
            <w:r w:rsidRPr="00545EC0">
              <w:rPr>
                <w:rFonts w:cs="Arial"/>
                <w:sz w:val="18"/>
                <w:szCs w:val="20"/>
              </w:rPr>
              <w:t>1103</w:t>
            </w:r>
          </w:p>
        </w:tc>
        <w:tc>
          <w:tcPr>
            <w:tcW w:w="569" w:type="pct"/>
            <w:tcBorders>
              <w:top w:val="nil"/>
              <w:left w:val="nil"/>
              <w:bottom w:val="single" w:sz="4" w:space="0" w:color="auto"/>
              <w:right w:val="single" w:sz="4" w:space="0" w:color="auto"/>
            </w:tcBorders>
            <w:shd w:val="clear" w:color="000000" w:fill="FFFFFF"/>
            <w:noWrap/>
            <w:vAlign w:val="bottom"/>
            <w:hideMark/>
          </w:tcPr>
          <w:p w14:paraId="297A898B" w14:textId="77777777" w:rsidR="00B74C90" w:rsidRPr="00545EC0" w:rsidRDefault="00B74C90" w:rsidP="00B506A9">
            <w:pPr>
              <w:spacing w:line="240" w:lineRule="auto"/>
              <w:jc w:val="center"/>
              <w:rPr>
                <w:rFonts w:cs="Arial"/>
                <w:sz w:val="18"/>
                <w:szCs w:val="20"/>
              </w:rPr>
            </w:pPr>
            <w:r w:rsidRPr="00545EC0">
              <w:rPr>
                <w:rFonts w:cs="Arial"/>
                <w:sz w:val="18"/>
                <w:szCs w:val="20"/>
              </w:rPr>
              <w:t>11</w:t>
            </w:r>
          </w:p>
        </w:tc>
        <w:tc>
          <w:tcPr>
            <w:tcW w:w="503" w:type="pct"/>
            <w:tcBorders>
              <w:top w:val="nil"/>
              <w:left w:val="nil"/>
              <w:bottom w:val="single" w:sz="4" w:space="0" w:color="auto"/>
              <w:right w:val="single" w:sz="4" w:space="0" w:color="auto"/>
            </w:tcBorders>
            <w:shd w:val="clear" w:color="auto" w:fill="auto"/>
            <w:noWrap/>
            <w:vAlign w:val="bottom"/>
            <w:hideMark/>
          </w:tcPr>
          <w:p w14:paraId="5CFB5DE7" w14:textId="77777777" w:rsidR="00B74C90" w:rsidRPr="00545EC0" w:rsidRDefault="00B74C90" w:rsidP="00B506A9">
            <w:pPr>
              <w:spacing w:line="240" w:lineRule="auto"/>
              <w:jc w:val="center"/>
              <w:rPr>
                <w:rFonts w:cs="Arial"/>
                <w:sz w:val="18"/>
                <w:szCs w:val="20"/>
              </w:rPr>
            </w:pPr>
            <w:r w:rsidRPr="00545EC0">
              <w:rPr>
                <w:rFonts w:cs="Arial"/>
                <w:sz w:val="18"/>
                <w:szCs w:val="20"/>
              </w:rPr>
              <w:t>1,0</w:t>
            </w:r>
          </w:p>
        </w:tc>
        <w:tc>
          <w:tcPr>
            <w:tcW w:w="1562" w:type="pct"/>
            <w:tcBorders>
              <w:top w:val="nil"/>
              <w:left w:val="nil"/>
              <w:bottom w:val="single" w:sz="4" w:space="0" w:color="auto"/>
              <w:right w:val="single" w:sz="4" w:space="0" w:color="auto"/>
            </w:tcBorders>
            <w:shd w:val="clear" w:color="000000" w:fill="FFFFFF"/>
            <w:noWrap/>
            <w:vAlign w:val="bottom"/>
            <w:hideMark/>
          </w:tcPr>
          <w:p w14:paraId="324E60E7" w14:textId="77777777" w:rsidR="00B74C90" w:rsidRPr="00545EC0" w:rsidRDefault="00B74C90" w:rsidP="00B506A9">
            <w:pPr>
              <w:spacing w:line="240" w:lineRule="auto"/>
              <w:jc w:val="center"/>
              <w:rPr>
                <w:rFonts w:cs="Arial"/>
                <w:sz w:val="18"/>
                <w:szCs w:val="20"/>
              </w:rPr>
            </w:pPr>
            <w:r w:rsidRPr="00545EC0">
              <w:rPr>
                <w:rFonts w:cs="Arial"/>
                <w:sz w:val="18"/>
                <w:szCs w:val="20"/>
              </w:rPr>
              <w:t>7</w:t>
            </w:r>
          </w:p>
        </w:tc>
        <w:tc>
          <w:tcPr>
            <w:tcW w:w="489" w:type="pct"/>
            <w:tcBorders>
              <w:top w:val="nil"/>
              <w:left w:val="nil"/>
              <w:bottom w:val="single" w:sz="4" w:space="0" w:color="auto"/>
              <w:right w:val="single" w:sz="4" w:space="0" w:color="auto"/>
            </w:tcBorders>
            <w:shd w:val="clear" w:color="000000" w:fill="FFFFFF"/>
            <w:noWrap/>
            <w:vAlign w:val="bottom"/>
            <w:hideMark/>
          </w:tcPr>
          <w:p w14:paraId="03E84CAC" w14:textId="77777777" w:rsidR="00B74C90" w:rsidRPr="00545EC0" w:rsidRDefault="00B74C90" w:rsidP="00B506A9">
            <w:pPr>
              <w:spacing w:line="240" w:lineRule="auto"/>
              <w:jc w:val="center"/>
              <w:rPr>
                <w:rFonts w:cs="Arial"/>
                <w:sz w:val="18"/>
                <w:szCs w:val="20"/>
              </w:rPr>
            </w:pPr>
            <w:r w:rsidRPr="00545EC0">
              <w:rPr>
                <w:rFonts w:cs="Arial"/>
                <w:sz w:val="18"/>
                <w:szCs w:val="20"/>
              </w:rPr>
              <w:t>16</w:t>
            </w:r>
          </w:p>
        </w:tc>
        <w:tc>
          <w:tcPr>
            <w:tcW w:w="432" w:type="pct"/>
            <w:tcBorders>
              <w:top w:val="nil"/>
              <w:left w:val="nil"/>
              <w:bottom w:val="single" w:sz="4" w:space="0" w:color="auto"/>
              <w:right w:val="single" w:sz="4" w:space="0" w:color="auto"/>
            </w:tcBorders>
            <w:shd w:val="clear" w:color="auto" w:fill="auto"/>
            <w:noWrap/>
            <w:vAlign w:val="bottom"/>
            <w:hideMark/>
          </w:tcPr>
          <w:p w14:paraId="01D2124B" w14:textId="77777777" w:rsidR="00B74C90" w:rsidRPr="00545EC0" w:rsidRDefault="00B74C90" w:rsidP="00B506A9">
            <w:pPr>
              <w:spacing w:line="240" w:lineRule="auto"/>
              <w:jc w:val="center"/>
              <w:rPr>
                <w:rFonts w:cs="Arial"/>
                <w:sz w:val="18"/>
                <w:szCs w:val="20"/>
              </w:rPr>
            </w:pPr>
            <w:r w:rsidRPr="00545EC0">
              <w:rPr>
                <w:rFonts w:cs="Arial"/>
                <w:sz w:val="18"/>
                <w:szCs w:val="20"/>
              </w:rPr>
              <w:t>1,5</w:t>
            </w:r>
          </w:p>
        </w:tc>
      </w:tr>
      <w:tr w:rsidR="003122F4" w:rsidRPr="00545EC0" w14:paraId="433473BA" w14:textId="77777777" w:rsidTr="00392769">
        <w:trPr>
          <w:trHeight w:val="300"/>
          <w:jc w:val="center"/>
        </w:trPr>
        <w:tc>
          <w:tcPr>
            <w:tcW w:w="886" w:type="pct"/>
            <w:tcBorders>
              <w:top w:val="nil"/>
              <w:left w:val="single" w:sz="4" w:space="0" w:color="auto"/>
              <w:bottom w:val="single" w:sz="4" w:space="0" w:color="auto"/>
              <w:right w:val="single" w:sz="4" w:space="0" w:color="auto"/>
            </w:tcBorders>
            <w:shd w:val="clear" w:color="000000" w:fill="FFFFFF"/>
            <w:noWrap/>
            <w:vAlign w:val="bottom"/>
            <w:hideMark/>
          </w:tcPr>
          <w:p w14:paraId="730E2461" w14:textId="77777777" w:rsidR="00B74C90" w:rsidRPr="00545EC0" w:rsidRDefault="00B74C90" w:rsidP="00B506A9">
            <w:pPr>
              <w:spacing w:line="240" w:lineRule="auto"/>
              <w:rPr>
                <w:rFonts w:cs="Arial"/>
                <w:sz w:val="18"/>
                <w:szCs w:val="20"/>
              </w:rPr>
            </w:pPr>
            <w:r w:rsidRPr="00545EC0">
              <w:rPr>
                <w:rFonts w:cs="Arial"/>
                <w:sz w:val="18"/>
                <w:szCs w:val="20"/>
              </w:rPr>
              <w:t>SKUPAJ</w:t>
            </w:r>
          </w:p>
        </w:tc>
        <w:tc>
          <w:tcPr>
            <w:tcW w:w="559" w:type="pct"/>
            <w:tcBorders>
              <w:top w:val="nil"/>
              <w:left w:val="nil"/>
              <w:bottom w:val="single" w:sz="4" w:space="0" w:color="auto"/>
              <w:right w:val="single" w:sz="4" w:space="0" w:color="auto"/>
            </w:tcBorders>
            <w:shd w:val="clear" w:color="auto" w:fill="auto"/>
            <w:noWrap/>
            <w:vAlign w:val="bottom"/>
            <w:hideMark/>
          </w:tcPr>
          <w:p w14:paraId="00969667" w14:textId="77777777" w:rsidR="00B74C90" w:rsidRPr="00545EC0" w:rsidRDefault="00B74C90" w:rsidP="00B506A9">
            <w:pPr>
              <w:spacing w:line="240" w:lineRule="auto"/>
              <w:jc w:val="center"/>
              <w:rPr>
                <w:rFonts w:cs="Arial"/>
                <w:sz w:val="18"/>
                <w:szCs w:val="20"/>
              </w:rPr>
            </w:pPr>
            <w:r w:rsidRPr="00545EC0">
              <w:rPr>
                <w:rFonts w:cs="Arial"/>
                <w:sz w:val="18"/>
                <w:szCs w:val="20"/>
              </w:rPr>
              <w:t>16421</w:t>
            </w:r>
          </w:p>
        </w:tc>
        <w:tc>
          <w:tcPr>
            <w:tcW w:w="569" w:type="pct"/>
            <w:tcBorders>
              <w:top w:val="nil"/>
              <w:left w:val="nil"/>
              <w:bottom w:val="single" w:sz="4" w:space="0" w:color="auto"/>
              <w:right w:val="single" w:sz="4" w:space="0" w:color="auto"/>
            </w:tcBorders>
            <w:shd w:val="clear" w:color="auto" w:fill="auto"/>
            <w:noWrap/>
            <w:vAlign w:val="bottom"/>
            <w:hideMark/>
          </w:tcPr>
          <w:p w14:paraId="2C1495F5" w14:textId="77777777" w:rsidR="00B74C90" w:rsidRPr="00545EC0" w:rsidRDefault="00B74C90" w:rsidP="00B506A9">
            <w:pPr>
              <w:spacing w:line="240" w:lineRule="auto"/>
              <w:jc w:val="center"/>
              <w:rPr>
                <w:rFonts w:cs="Arial"/>
                <w:sz w:val="18"/>
                <w:szCs w:val="20"/>
              </w:rPr>
            </w:pPr>
            <w:r w:rsidRPr="00545EC0">
              <w:rPr>
                <w:rFonts w:cs="Arial"/>
                <w:sz w:val="18"/>
                <w:szCs w:val="20"/>
              </w:rPr>
              <w:t>1051</w:t>
            </w:r>
          </w:p>
        </w:tc>
        <w:tc>
          <w:tcPr>
            <w:tcW w:w="503" w:type="pct"/>
            <w:tcBorders>
              <w:top w:val="nil"/>
              <w:left w:val="nil"/>
              <w:bottom w:val="single" w:sz="4" w:space="0" w:color="auto"/>
              <w:right w:val="single" w:sz="4" w:space="0" w:color="auto"/>
            </w:tcBorders>
            <w:shd w:val="clear" w:color="auto" w:fill="auto"/>
            <w:noWrap/>
            <w:vAlign w:val="bottom"/>
            <w:hideMark/>
          </w:tcPr>
          <w:p w14:paraId="2CC995BF" w14:textId="77777777" w:rsidR="00B74C90" w:rsidRPr="00545EC0" w:rsidRDefault="00B74C90" w:rsidP="00B506A9">
            <w:pPr>
              <w:spacing w:line="240" w:lineRule="auto"/>
              <w:jc w:val="center"/>
              <w:rPr>
                <w:rFonts w:cs="Arial"/>
                <w:sz w:val="18"/>
                <w:szCs w:val="20"/>
              </w:rPr>
            </w:pPr>
            <w:r w:rsidRPr="00545EC0">
              <w:rPr>
                <w:rFonts w:cs="Arial"/>
                <w:sz w:val="18"/>
                <w:szCs w:val="20"/>
              </w:rPr>
              <w:t>6,4</w:t>
            </w:r>
          </w:p>
        </w:tc>
        <w:tc>
          <w:tcPr>
            <w:tcW w:w="1562" w:type="pct"/>
            <w:tcBorders>
              <w:top w:val="nil"/>
              <w:left w:val="nil"/>
              <w:bottom w:val="single" w:sz="4" w:space="0" w:color="auto"/>
              <w:right w:val="single" w:sz="4" w:space="0" w:color="auto"/>
            </w:tcBorders>
            <w:shd w:val="clear" w:color="auto" w:fill="auto"/>
            <w:noWrap/>
            <w:vAlign w:val="bottom"/>
            <w:hideMark/>
          </w:tcPr>
          <w:p w14:paraId="4C829924" w14:textId="77777777" w:rsidR="00B74C90" w:rsidRPr="00545EC0" w:rsidRDefault="00B74C90" w:rsidP="00B506A9">
            <w:pPr>
              <w:spacing w:line="240" w:lineRule="auto"/>
              <w:jc w:val="center"/>
              <w:rPr>
                <w:rFonts w:cs="Arial"/>
                <w:sz w:val="18"/>
                <w:szCs w:val="20"/>
              </w:rPr>
            </w:pPr>
            <w:r w:rsidRPr="00545EC0">
              <w:rPr>
                <w:rFonts w:cs="Arial"/>
                <w:sz w:val="18"/>
                <w:szCs w:val="20"/>
              </w:rPr>
              <w:t>564</w:t>
            </w:r>
          </w:p>
        </w:tc>
        <w:tc>
          <w:tcPr>
            <w:tcW w:w="489" w:type="pct"/>
            <w:tcBorders>
              <w:top w:val="nil"/>
              <w:left w:val="nil"/>
              <w:bottom w:val="single" w:sz="4" w:space="0" w:color="auto"/>
              <w:right w:val="single" w:sz="4" w:space="0" w:color="auto"/>
            </w:tcBorders>
            <w:shd w:val="clear" w:color="auto" w:fill="auto"/>
            <w:noWrap/>
            <w:vAlign w:val="bottom"/>
            <w:hideMark/>
          </w:tcPr>
          <w:p w14:paraId="4939C69E" w14:textId="77777777" w:rsidR="00B74C90" w:rsidRPr="00545EC0" w:rsidRDefault="00B74C90" w:rsidP="00B506A9">
            <w:pPr>
              <w:spacing w:line="240" w:lineRule="auto"/>
              <w:jc w:val="center"/>
              <w:rPr>
                <w:rFonts w:cs="Arial"/>
                <w:sz w:val="18"/>
                <w:szCs w:val="20"/>
              </w:rPr>
            </w:pPr>
            <w:r w:rsidRPr="00545EC0">
              <w:rPr>
                <w:rFonts w:cs="Arial"/>
                <w:sz w:val="18"/>
                <w:szCs w:val="20"/>
              </w:rPr>
              <w:t>1177</w:t>
            </w:r>
          </w:p>
        </w:tc>
        <w:tc>
          <w:tcPr>
            <w:tcW w:w="432" w:type="pct"/>
            <w:tcBorders>
              <w:top w:val="nil"/>
              <w:left w:val="nil"/>
              <w:bottom w:val="single" w:sz="4" w:space="0" w:color="auto"/>
              <w:right w:val="single" w:sz="4" w:space="0" w:color="auto"/>
            </w:tcBorders>
            <w:shd w:val="clear" w:color="auto" w:fill="auto"/>
            <w:noWrap/>
            <w:vAlign w:val="bottom"/>
            <w:hideMark/>
          </w:tcPr>
          <w:p w14:paraId="48857709" w14:textId="77777777" w:rsidR="00B74C90" w:rsidRPr="00545EC0" w:rsidRDefault="00B74C90" w:rsidP="00B506A9">
            <w:pPr>
              <w:spacing w:line="240" w:lineRule="auto"/>
              <w:jc w:val="center"/>
              <w:rPr>
                <w:rFonts w:cs="Arial"/>
                <w:sz w:val="18"/>
                <w:szCs w:val="20"/>
              </w:rPr>
            </w:pPr>
            <w:r w:rsidRPr="00545EC0">
              <w:rPr>
                <w:rFonts w:cs="Arial"/>
                <w:sz w:val="18"/>
                <w:szCs w:val="20"/>
              </w:rPr>
              <w:t>7,2</w:t>
            </w:r>
          </w:p>
        </w:tc>
      </w:tr>
    </w:tbl>
    <w:p w14:paraId="4E489025" w14:textId="77777777" w:rsidR="00B74C90" w:rsidRPr="00545EC0" w:rsidRDefault="00B74C90" w:rsidP="00B74C90"/>
    <w:p w14:paraId="50CEB2A8" w14:textId="57048D01" w:rsidR="00B74C90" w:rsidRPr="00545EC0" w:rsidRDefault="00B74C90" w:rsidP="00B74C90">
      <w:pPr>
        <w:rPr>
          <w:rFonts w:cs="Arial"/>
        </w:rPr>
      </w:pPr>
      <w:r w:rsidRPr="00545EC0">
        <w:rPr>
          <w:rFonts w:cs="Arial"/>
        </w:rPr>
        <w:t>Za območja poplavljanja se izdelujejo hidrološko-hidravlične študije dosegov, globin in hitrosti 10, 100 in 500-letnih poplav. Podatki iz študij (dosegi 10, 100 in 500-letnih poplav, razredi poplavne nevarnosti in razredi globin vode pri 100-letnih poplavah) se zbirajo v obliki poligonskih podatkovnih slojev in objavljajo na portalu eVode oz. v Vodnem katastru, grafično pa so prikazani tudi na Atlasu voda.</w:t>
      </w:r>
    </w:p>
    <w:p w14:paraId="24A8C15B" w14:textId="77777777" w:rsidR="00B74C90" w:rsidRPr="00545EC0" w:rsidRDefault="00B74C90" w:rsidP="00B74C90">
      <w:pPr>
        <w:rPr>
          <w:rFonts w:cs="Arial"/>
        </w:rPr>
      </w:pPr>
    </w:p>
    <w:p w14:paraId="790E903B" w14:textId="0900A88B" w:rsidR="00B74C90" w:rsidRPr="00545EC0" w:rsidRDefault="00B74C90" w:rsidP="00B74C90">
      <w:pPr>
        <w:rPr>
          <w:rFonts w:cs="Arial"/>
        </w:rPr>
      </w:pPr>
      <w:r w:rsidRPr="00545EC0">
        <w:rPr>
          <w:rFonts w:cs="Arial"/>
        </w:rPr>
        <w:t xml:space="preserve">Za potrebe izvajanja </w:t>
      </w:r>
      <w:r w:rsidR="00E15650" w:rsidRPr="00545EC0">
        <w:rPr>
          <w:rFonts w:cs="Arial"/>
        </w:rPr>
        <w:t xml:space="preserve">Direktiva 2007/60/ES Evropskega parlamenta in Sveta z dne 23. oktobra 2007 o oceni in obvladovanju poplavne ogroženosti (v nadaljnjem besedilu: </w:t>
      </w:r>
      <w:r w:rsidRPr="00545EC0">
        <w:rPr>
          <w:rFonts w:cs="Arial"/>
        </w:rPr>
        <w:t>poplavne direktive</w:t>
      </w:r>
      <w:r w:rsidR="00E15650" w:rsidRPr="00545EC0">
        <w:rPr>
          <w:rFonts w:cs="Arial"/>
        </w:rPr>
        <w:t>)</w:t>
      </w:r>
      <w:r w:rsidRPr="00545EC0">
        <w:rPr>
          <w:rFonts w:cs="Arial"/>
        </w:rPr>
        <w:t xml:space="preserve"> se pripravljajo podatkovni sloji, ki so objavljeni na Atlasu Voda, in sicer:</w:t>
      </w:r>
    </w:p>
    <w:p w14:paraId="3EC00EE9" w14:textId="77777777" w:rsidR="00B74C90" w:rsidRPr="00545EC0" w:rsidRDefault="00B74C90" w:rsidP="00DD37C5">
      <w:pPr>
        <w:numPr>
          <w:ilvl w:val="0"/>
          <w:numId w:val="32"/>
        </w:numPr>
        <w:tabs>
          <w:tab w:val="center" w:pos="426"/>
        </w:tabs>
        <w:ind w:left="426" w:hanging="426"/>
        <w:contextualSpacing/>
        <w:rPr>
          <w:rFonts w:cs="Arial"/>
          <w:lang w:eastAsia="x-none"/>
        </w:rPr>
      </w:pPr>
      <w:r w:rsidRPr="00545EC0">
        <w:rPr>
          <w:rFonts w:cs="Arial"/>
          <w:lang w:eastAsia="x-none"/>
        </w:rPr>
        <w:t xml:space="preserve">iKPN = Integralna karta poplavne nevarnosti </w:t>
      </w:r>
    </w:p>
    <w:p w14:paraId="6908D4A3" w14:textId="77777777" w:rsidR="00B74C90" w:rsidRPr="00545EC0" w:rsidRDefault="00B74C90" w:rsidP="00DD37C5">
      <w:pPr>
        <w:numPr>
          <w:ilvl w:val="0"/>
          <w:numId w:val="32"/>
        </w:numPr>
        <w:tabs>
          <w:tab w:val="center" w:pos="426"/>
        </w:tabs>
        <w:ind w:left="426" w:hanging="426"/>
        <w:contextualSpacing/>
        <w:rPr>
          <w:rFonts w:cs="Arial"/>
          <w:lang w:eastAsia="x-none"/>
        </w:rPr>
      </w:pPr>
      <w:r w:rsidRPr="00545EC0">
        <w:rPr>
          <w:rFonts w:cs="Arial"/>
          <w:lang w:eastAsia="x-none"/>
        </w:rPr>
        <w:t xml:space="preserve">iKRPN = Integralna karta razredov poplavne nevarnosti </w:t>
      </w:r>
    </w:p>
    <w:p w14:paraId="12D262CF" w14:textId="77777777" w:rsidR="00B74C90" w:rsidRPr="00545EC0" w:rsidRDefault="00B74C90" w:rsidP="00DD37C5">
      <w:pPr>
        <w:numPr>
          <w:ilvl w:val="0"/>
          <w:numId w:val="32"/>
        </w:numPr>
        <w:tabs>
          <w:tab w:val="center" w:pos="426"/>
        </w:tabs>
        <w:ind w:left="426" w:hanging="426"/>
        <w:contextualSpacing/>
        <w:rPr>
          <w:rFonts w:cs="Arial"/>
          <w:lang w:eastAsia="x-none"/>
        </w:rPr>
      </w:pPr>
      <w:r w:rsidRPr="00545EC0">
        <w:rPr>
          <w:rFonts w:cs="Arial"/>
          <w:lang w:eastAsia="x-none"/>
        </w:rPr>
        <w:t xml:space="preserve">iKG100 = Integralna karta globin vode pri pretoku Q100 </w:t>
      </w:r>
    </w:p>
    <w:p w14:paraId="09D6B8CB" w14:textId="43C98082" w:rsidR="003C61AE" w:rsidRPr="00545EC0" w:rsidRDefault="00B74C90" w:rsidP="00DD37C5">
      <w:pPr>
        <w:numPr>
          <w:ilvl w:val="0"/>
          <w:numId w:val="32"/>
        </w:numPr>
        <w:tabs>
          <w:tab w:val="center" w:pos="426"/>
        </w:tabs>
        <w:ind w:left="426" w:hanging="426"/>
        <w:contextualSpacing/>
        <w:rPr>
          <w:rFonts w:cs="Arial"/>
          <w:lang w:eastAsia="x-none"/>
        </w:rPr>
      </w:pPr>
      <w:r w:rsidRPr="00545EC0">
        <w:rPr>
          <w:rFonts w:cs="Arial"/>
          <w:lang w:eastAsia="x-none"/>
        </w:rPr>
        <w:t>KPO = Karte poplavne ogroženosti.</w:t>
      </w:r>
    </w:p>
    <w:p w14:paraId="08B8BB00" w14:textId="77777777" w:rsidR="000D7729" w:rsidRPr="00545EC0" w:rsidRDefault="000D7729" w:rsidP="000277DE">
      <w:pPr>
        <w:pStyle w:val="Naslov4"/>
        <w:rPr>
          <w:color w:val="auto"/>
        </w:rPr>
      </w:pPr>
      <w:r w:rsidRPr="00545EC0">
        <w:rPr>
          <w:color w:val="auto"/>
        </w:rPr>
        <w:t>Erozijska območja</w:t>
      </w:r>
      <w:bookmarkEnd w:id="432"/>
      <w:bookmarkEnd w:id="433"/>
    </w:p>
    <w:p w14:paraId="77B49C26" w14:textId="77777777" w:rsidR="00045148" w:rsidRPr="00545EC0" w:rsidRDefault="00045148" w:rsidP="00045148">
      <w:pPr>
        <w:rPr>
          <w:rFonts w:cs="Arial"/>
          <w:szCs w:val="20"/>
        </w:rPr>
      </w:pPr>
      <w:bookmarkStart w:id="435" w:name="_Toc386026181"/>
      <w:r w:rsidRPr="00545EC0">
        <w:rPr>
          <w:rFonts w:cs="Arial"/>
          <w:szCs w:val="20"/>
        </w:rPr>
        <w:lastRenderedPageBreak/>
        <w:t xml:space="preserve">Erozijska območja so območja, ki so stalno ali občasno pod vplivom delovanja površinske, globinske ali bočne erozijske vode. V odvisnosti od stopnje ogroženosti so na erozijskih območjih predvideni strogo varovanje, zahtevni zaščitni ukrepi ali običajni zaščitni ukrepi. </w:t>
      </w:r>
    </w:p>
    <w:p w14:paraId="66D752D7" w14:textId="77777777" w:rsidR="00045148" w:rsidRPr="00545EC0" w:rsidRDefault="00045148" w:rsidP="00045148">
      <w:pPr>
        <w:pStyle w:val="GeoZSVsebina"/>
        <w:spacing w:after="0"/>
        <w:rPr>
          <w:rFonts w:ascii="Arial" w:hAnsi="Arial" w:cs="Arial"/>
          <w:sz w:val="20"/>
          <w:szCs w:val="20"/>
        </w:rPr>
      </w:pPr>
    </w:p>
    <w:p w14:paraId="6D91F7AA" w14:textId="64A236BA" w:rsidR="00045148" w:rsidRPr="00545EC0" w:rsidRDefault="00045148" w:rsidP="00045148">
      <w:pPr>
        <w:pStyle w:val="GeoZSVsebina"/>
        <w:spacing w:after="0"/>
        <w:rPr>
          <w:rFonts w:ascii="Arial" w:hAnsi="Arial" w:cs="Arial"/>
          <w:sz w:val="20"/>
          <w:szCs w:val="20"/>
        </w:rPr>
      </w:pPr>
      <w:r w:rsidRPr="00545EC0">
        <w:rPr>
          <w:rFonts w:ascii="Arial" w:hAnsi="Arial" w:cs="Arial"/>
          <w:sz w:val="20"/>
          <w:szCs w:val="20"/>
        </w:rPr>
        <w:t xml:space="preserve">Na erozijskem območju je </w:t>
      </w:r>
      <w:r w:rsidR="00173DF4" w:rsidRPr="00545EC0">
        <w:rPr>
          <w:rFonts w:ascii="Arial" w:hAnsi="Arial" w:cs="Arial"/>
          <w:sz w:val="20"/>
          <w:szCs w:val="20"/>
        </w:rPr>
        <w:t xml:space="preserve">glede na ZV-1 </w:t>
      </w:r>
      <w:r w:rsidRPr="00545EC0">
        <w:rPr>
          <w:rFonts w:ascii="Arial" w:hAnsi="Arial" w:cs="Arial"/>
          <w:sz w:val="20"/>
          <w:szCs w:val="20"/>
        </w:rPr>
        <w:t>prepovedano:</w:t>
      </w:r>
    </w:p>
    <w:p w14:paraId="13D734BD" w14:textId="77777777" w:rsidR="00045148" w:rsidRPr="00545EC0" w:rsidRDefault="00045148" w:rsidP="00DD37C5">
      <w:pPr>
        <w:pStyle w:val="GeoZSVsebina"/>
        <w:numPr>
          <w:ilvl w:val="0"/>
          <w:numId w:val="81"/>
        </w:numPr>
        <w:spacing w:after="0"/>
        <w:rPr>
          <w:rFonts w:ascii="Arial" w:hAnsi="Arial" w:cs="Arial"/>
          <w:sz w:val="20"/>
          <w:szCs w:val="20"/>
        </w:rPr>
      </w:pPr>
      <w:r w:rsidRPr="00545EC0">
        <w:rPr>
          <w:rFonts w:ascii="Arial" w:hAnsi="Arial" w:cs="Arial"/>
          <w:sz w:val="20"/>
          <w:szCs w:val="20"/>
        </w:rPr>
        <w:t>poseganje v prostor na način, ki pospešuje erozijo in oblikovanje hudournikov,</w:t>
      </w:r>
    </w:p>
    <w:p w14:paraId="420EF36D" w14:textId="77777777" w:rsidR="00045148" w:rsidRPr="00545EC0" w:rsidRDefault="00045148" w:rsidP="00DD37C5">
      <w:pPr>
        <w:pStyle w:val="GeoZSVsebina"/>
        <w:numPr>
          <w:ilvl w:val="0"/>
          <w:numId w:val="81"/>
        </w:numPr>
        <w:spacing w:after="0"/>
        <w:rPr>
          <w:rFonts w:ascii="Arial" w:hAnsi="Arial" w:cs="Arial"/>
          <w:sz w:val="20"/>
          <w:szCs w:val="20"/>
        </w:rPr>
      </w:pPr>
      <w:r w:rsidRPr="00545EC0">
        <w:rPr>
          <w:rFonts w:ascii="Arial" w:hAnsi="Arial" w:cs="Arial"/>
          <w:sz w:val="20"/>
          <w:szCs w:val="20"/>
        </w:rPr>
        <w:t>ogoljevanje površin,</w:t>
      </w:r>
    </w:p>
    <w:p w14:paraId="529D8259" w14:textId="77777777" w:rsidR="00045148" w:rsidRPr="00545EC0" w:rsidRDefault="00045148" w:rsidP="00DD37C5">
      <w:pPr>
        <w:pStyle w:val="GeoZSVsebina"/>
        <w:numPr>
          <w:ilvl w:val="0"/>
          <w:numId w:val="81"/>
        </w:numPr>
        <w:spacing w:after="0"/>
        <w:rPr>
          <w:rFonts w:ascii="Arial" w:hAnsi="Arial" w:cs="Arial"/>
          <w:sz w:val="20"/>
          <w:szCs w:val="20"/>
        </w:rPr>
      </w:pPr>
      <w:r w:rsidRPr="00545EC0">
        <w:rPr>
          <w:rFonts w:ascii="Arial" w:hAnsi="Arial" w:cs="Arial"/>
          <w:sz w:val="20"/>
          <w:szCs w:val="20"/>
        </w:rPr>
        <w:t>krčenje tistih gozdnih sestojev, ki preprečujejo plazenje zemljišč in snežne odeje, uravnavajo odtočne razmere ali kako drugače varujejo nižje ležeča območja pred škodljivimi vplivi erozije,</w:t>
      </w:r>
    </w:p>
    <w:p w14:paraId="7F9E83CB" w14:textId="77777777" w:rsidR="00045148" w:rsidRPr="00545EC0" w:rsidRDefault="00045148" w:rsidP="00DD37C5">
      <w:pPr>
        <w:pStyle w:val="GeoZSVsebina"/>
        <w:numPr>
          <w:ilvl w:val="0"/>
          <w:numId w:val="81"/>
        </w:numPr>
        <w:spacing w:after="0"/>
        <w:rPr>
          <w:rFonts w:ascii="Arial" w:hAnsi="Arial" w:cs="Arial"/>
          <w:sz w:val="20"/>
          <w:szCs w:val="20"/>
        </w:rPr>
      </w:pPr>
      <w:r w:rsidRPr="00545EC0">
        <w:rPr>
          <w:rFonts w:ascii="Arial" w:hAnsi="Arial" w:cs="Arial"/>
          <w:sz w:val="20"/>
          <w:szCs w:val="20"/>
        </w:rPr>
        <w:t>zasipavanje izvirov,</w:t>
      </w:r>
    </w:p>
    <w:p w14:paraId="7F32FF6C" w14:textId="77777777" w:rsidR="00045148" w:rsidRPr="00545EC0" w:rsidRDefault="00045148" w:rsidP="00DD37C5">
      <w:pPr>
        <w:pStyle w:val="GeoZSVsebina"/>
        <w:numPr>
          <w:ilvl w:val="0"/>
          <w:numId w:val="81"/>
        </w:numPr>
        <w:spacing w:after="0"/>
        <w:rPr>
          <w:rFonts w:ascii="Arial" w:hAnsi="Arial" w:cs="Arial"/>
          <w:sz w:val="20"/>
          <w:szCs w:val="20"/>
        </w:rPr>
      </w:pPr>
      <w:r w:rsidRPr="00545EC0">
        <w:rPr>
          <w:rFonts w:ascii="Arial" w:hAnsi="Arial" w:cs="Arial"/>
          <w:sz w:val="20"/>
          <w:szCs w:val="20"/>
        </w:rPr>
        <w:t>nenadzorovano zbiranje ali odvajanje zbranih voda po erozivnih ali plazljivih zemljiščih,</w:t>
      </w:r>
    </w:p>
    <w:p w14:paraId="627DDC07" w14:textId="77777777" w:rsidR="00045148" w:rsidRPr="00545EC0" w:rsidRDefault="00045148" w:rsidP="00DD37C5">
      <w:pPr>
        <w:pStyle w:val="GeoZSVsebina"/>
        <w:numPr>
          <w:ilvl w:val="0"/>
          <w:numId w:val="81"/>
        </w:numPr>
        <w:spacing w:after="0"/>
        <w:rPr>
          <w:rFonts w:ascii="Arial" w:hAnsi="Arial" w:cs="Arial"/>
          <w:sz w:val="20"/>
          <w:szCs w:val="20"/>
        </w:rPr>
      </w:pPr>
      <w:r w:rsidRPr="00545EC0">
        <w:rPr>
          <w:rFonts w:ascii="Arial" w:hAnsi="Arial" w:cs="Arial"/>
          <w:sz w:val="20"/>
          <w:szCs w:val="20"/>
        </w:rPr>
        <w:t>omejevanje pretoka hudourniških voda, pospeševanje erozijske moči voda in slabšanje ravnovesnih razmer,</w:t>
      </w:r>
    </w:p>
    <w:p w14:paraId="116ED3E2" w14:textId="77777777" w:rsidR="00045148" w:rsidRPr="00545EC0" w:rsidRDefault="00045148" w:rsidP="00DD37C5">
      <w:pPr>
        <w:pStyle w:val="GeoZSVsebina"/>
        <w:numPr>
          <w:ilvl w:val="0"/>
          <w:numId w:val="81"/>
        </w:numPr>
        <w:spacing w:after="0"/>
        <w:rPr>
          <w:rFonts w:ascii="Arial" w:hAnsi="Arial" w:cs="Arial"/>
          <w:sz w:val="20"/>
          <w:szCs w:val="20"/>
        </w:rPr>
      </w:pPr>
      <w:r w:rsidRPr="00545EC0">
        <w:rPr>
          <w:rFonts w:ascii="Arial" w:hAnsi="Arial" w:cs="Arial"/>
          <w:sz w:val="20"/>
          <w:szCs w:val="20"/>
        </w:rPr>
        <w:t>odlaganje ali skladiščenje lesa in drugih materialov,</w:t>
      </w:r>
    </w:p>
    <w:p w14:paraId="63C348AF" w14:textId="77777777" w:rsidR="00045148" w:rsidRPr="00545EC0" w:rsidRDefault="00045148" w:rsidP="00DD37C5">
      <w:pPr>
        <w:pStyle w:val="GeoZSVsebina"/>
        <w:numPr>
          <w:ilvl w:val="0"/>
          <w:numId w:val="81"/>
        </w:numPr>
        <w:spacing w:after="0"/>
        <w:rPr>
          <w:rFonts w:ascii="Arial" w:hAnsi="Arial" w:cs="Arial"/>
          <w:sz w:val="20"/>
          <w:szCs w:val="20"/>
        </w:rPr>
      </w:pPr>
      <w:r w:rsidRPr="00545EC0">
        <w:rPr>
          <w:rFonts w:ascii="Arial" w:hAnsi="Arial" w:cs="Arial"/>
          <w:sz w:val="20"/>
          <w:szCs w:val="20"/>
        </w:rPr>
        <w:t>zasipavanje z odkopnim ali odpadnim materialom,</w:t>
      </w:r>
    </w:p>
    <w:p w14:paraId="55C85BA2" w14:textId="3E1A75D5" w:rsidR="00045148" w:rsidRPr="00545EC0" w:rsidRDefault="00045148" w:rsidP="00DD37C5">
      <w:pPr>
        <w:pStyle w:val="GeoZSVsebina"/>
        <w:numPr>
          <w:ilvl w:val="0"/>
          <w:numId w:val="81"/>
        </w:numPr>
        <w:spacing w:after="0"/>
        <w:rPr>
          <w:rFonts w:ascii="Arial" w:hAnsi="Arial" w:cs="Arial"/>
          <w:sz w:val="20"/>
          <w:szCs w:val="20"/>
        </w:rPr>
      </w:pPr>
      <w:r w:rsidRPr="00545EC0">
        <w:rPr>
          <w:rFonts w:ascii="Arial" w:hAnsi="Arial" w:cs="Arial"/>
          <w:sz w:val="20"/>
          <w:szCs w:val="20"/>
        </w:rPr>
        <w:t>odvzemanje naplavin z dna in brežin, razen zaradi zagotavljanja pretočne sposobnosti hudourniške struge</w:t>
      </w:r>
      <w:r w:rsidR="00173DF4" w:rsidRPr="00545EC0">
        <w:rPr>
          <w:rFonts w:ascii="Arial" w:hAnsi="Arial" w:cs="Arial"/>
          <w:sz w:val="20"/>
          <w:szCs w:val="20"/>
        </w:rPr>
        <w:t xml:space="preserve"> ter</w:t>
      </w:r>
    </w:p>
    <w:p w14:paraId="02702B93" w14:textId="77777777" w:rsidR="00045148" w:rsidRPr="00545EC0" w:rsidRDefault="00045148" w:rsidP="00DD37C5">
      <w:pPr>
        <w:pStyle w:val="GeoZSVsebina"/>
        <w:numPr>
          <w:ilvl w:val="0"/>
          <w:numId w:val="81"/>
        </w:numPr>
        <w:spacing w:after="0"/>
        <w:rPr>
          <w:rFonts w:ascii="Arial" w:hAnsi="Arial" w:cs="Arial"/>
          <w:sz w:val="20"/>
          <w:szCs w:val="20"/>
        </w:rPr>
      </w:pPr>
      <w:r w:rsidRPr="00545EC0">
        <w:rPr>
          <w:rFonts w:ascii="Arial" w:hAnsi="Arial" w:cs="Arial"/>
          <w:sz w:val="20"/>
          <w:szCs w:val="20"/>
        </w:rPr>
        <w:t>vlačenje lesa.</w:t>
      </w:r>
    </w:p>
    <w:p w14:paraId="24445216" w14:textId="77777777" w:rsidR="00045148" w:rsidRPr="00545EC0" w:rsidRDefault="00045148" w:rsidP="00045148">
      <w:pPr>
        <w:rPr>
          <w:rFonts w:cs="Arial"/>
          <w:szCs w:val="20"/>
        </w:rPr>
      </w:pPr>
    </w:p>
    <w:p w14:paraId="6C0DEBDC" w14:textId="77777777" w:rsidR="00045148" w:rsidRPr="00545EC0" w:rsidRDefault="00045148" w:rsidP="00045148">
      <w:pPr>
        <w:rPr>
          <w:rFonts w:cs="Arial"/>
          <w:szCs w:val="20"/>
        </w:rPr>
      </w:pPr>
      <w:r w:rsidRPr="00545EC0">
        <w:rPr>
          <w:rFonts w:cs="Arial"/>
          <w:szCs w:val="20"/>
        </w:rPr>
        <w:t xml:space="preserve">Za erozijsko območje se določijo zemljišča, ki so stalno ali občasno pod vplivom površinske, globinske ali bočne erozije vode. Določanje erozijskih območij je namenjeno oceni nevarnostnih razmer na določenem območju, načrtovanju ukrepov za zmanjševanje ogroženosti (gradbeni in negradbeni ukrepi), načrtovanju rabe prostora (priprava državnih in občinskih prostorskih načrtov), načrtovanju ukrepov zaščite in reševanja, osveščanju javnosti in izvajanju mednarodnih obveznosti. </w:t>
      </w:r>
    </w:p>
    <w:p w14:paraId="6D1E4DE8" w14:textId="77777777" w:rsidR="00045148" w:rsidRPr="00545EC0" w:rsidRDefault="00045148" w:rsidP="00045148">
      <w:pPr>
        <w:rPr>
          <w:rFonts w:cs="Arial"/>
          <w:szCs w:val="20"/>
        </w:rPr>
      </w:pPr>
    </w:p>
    <w:p w14:paraId="0E04B487" w14:textId="2453CFD3" w:rsidR="00045148" w:rsidRPr="00545EC0" w:rsidRDefault="00045148" w:rsidP="00045148">
      <w:pPr>
        <w:rPr>
          <w:rFonts w:cs="Arial"/>
          <w:szCs w:val="20"/>
        </w:rPr>
      </w:pPr>
      <w:r w:rsidRPr="00545EC0">
        <w:rPr>
          <w:rFonts w:cs="Arial"/>
          <w:szCs w:val="20"/>
        </w:rPr>
        <w:t>Karta razredov erozijske nevarnosti še ni na razpolago. Razredi erozijske nevarnosti so območja velike, srednje in majhne erozijske nevarnosti. Pogoji in omejitve dejavnosti in rabe prostora pa so podani v Uredbi o pogojih in omejitvah za izvajanje dejavnosti in posegov v prostor na območjih, ogroženih zaradi poplav in z njimi povezane eroz</w:t>
      </w:r>
      <w:r w:rsidR="00EC5C03" w:rsidRPr="00545EC0">
        <w:rPr>
          <w:rFonts w:cs="Arial"/>
          <w:szCs w:val="20"/>
        </w:rPr>
        <w:t>ije celinskih voda in morja.</w:t>
      </w:r>
    </w:p>
    <w:p w14:paraId="118FB6C0" w14:textId="77777777" w:rsidR="00B37560" w:rsidRPr="00545EC0" w:rsidRDefault="00B37560" w:rsidP="00B37560">
      <w:pPr>
        <w:pStyle w:val="podnaslov0"/>
        <w:rPr>
          <w:szCs w:val="20"/>
        </w:rPr>
      </w:pPr>
      <w:r w:rsidRPr="00545EC0">
        <w:rPr>
          <w:szCs w:val="20"/>
        </w:rPr>
        <w:t>Drobirski tokovi in površinska erozija</w:t>
      </w:r>
    </w:p>
    <w:p w14:paraId="1E263F54" w14:textId="187C193B" w:rsidR="00045148" w:rsidRPr="00545EC0" w:rsidRDefault="00045148" w:rsidP="00045148">
      <w:pPr>
        <w:overflowPunct/>
        <w:autoSpaceDE/>
        <w:autoSpaceDN/>
        <w:adjustRightInd/>
        <w:textAlignment w:val="auto"/>
        <w:rPr>
          <w:rFonts w:cs="Arial"/>
          <w:szCs w:val="20"/>
        </w:rPr>
      </w:pPr>
      <w:r w:rsidRPr="00545EC0">
        <w:rPr>
          <w:rFonts w:cs="Arial"/>
          <w:szCs w:val="20"/>
        </w:rPr>
        <w:t>Na področju obravnave drobirskih tokov je bil na Geološkem zavodu Slovenije (v nadaljnjem besedilu: GeoZS) leta 2010 izdelan model, ki je namenjen prostorskemu napovedovanju območij nastanka/sprožitve in transportnih območij drobirskih tokov in predstavlja splošni pregled izpostavljenih območij v Sloveniji ter osnovo za nadaljnje podrobnejše raziskave in analize, tj. Zemljevid dovzetnosti za pojavljanje drobirskih tokov v Sloveniji v merilu 1 : 250.000.</w:t>
      </w:r>
      <w:r w:rsidRPr="00545EC0" w:rsidDel="00AC23DA">
        <w:rPr>
          <w:rFonts w:cs="Arial"/>
          <w:szCs w:val="20"/>
        </w:rPr>
        <w:t xml:space="preserve"> </w:t>
      </w:r>
      <w:r w:rsidRPr="00545EC0">
        <w:rPr>
          <w:rFonts w:cs="Arial"/>
          <w:szCs w:val="20"/>
        </w:rPr>
        <w:t>Za izračun dovzetnosti za pojavljanje tega redkega in zapletenega pobočnega masnega premikanja so bili uporabljeni informacijski sloji, ki opisujejo geologijo (litologija in oddaljenost od prelomnih struktur), intenzivnejše padavine (48-urne padavine), izpeljanke digitalnega modela višin, ki opisujejo geomorfološke značilnosti terena (naklon in ukrivljenost pobočja, energijski potencial povezan z nadmorsko višino), mreže površinskih vodnih tokov (oddaljenost od površinskih tokov, energijski potencial strug) ter lokacije šestnajstih znanih pojavov drobirskih tokov, ki so bile uporabljene za oceno kvalitete modelov dovzetnosti za pojavljanje drobirskih tokov. Pokazal je, da je zelo velika dovzetnost za pojavljanje drobirskih tokov na okoli 4 % površine in velika na okoli 11 % površine ozemlja Slovenije. Po pričakovanju ta območja večinoma pripadajo alpskemu in goratemu svetu severozahodnega in severnega dela Slovenije.</w:t>
      </w:r>
    </w:p>
    <w:p w14:paraId="1C3402C1" w14:textId="77777777" w:rsidR="00A264BA" w:rsidRPr="00545EC0" w:rsidRDefault="00A264BA" w:rsidP="00045148">
      <w:pPr>
        <w:overflowPunct/>
        <w:autoSpaceDE/>
        <w:autoSpaceDN/>
        <w:adjustRightInd/>
        <w:textAlignment w:val="auto"/>
        <w:rPr>
          <w:rFonts w:cs="Arial"/>
          <w:szCs w:val="20"/>
        </w:rPr>
      </w:pPr>
    </w:p>
    <w:p w14:paraId="3C584857" w14:textId="77777777" w:rsidR="00045148" w:rsidRPr="00545EC0" w:rsidRDefault="00045148" w:rsidP="00045148">
      <w:pPr>
        <w:pStyle w:val="Naslov4"/>
        <w:rPr>
          <w:rFonts w:cs="Arial"/>
          <w:color w:val="auto"/>
          <w:szCs w:val="20"/>
        </w:rPr>
      </w:pPr>
      <w:bookmarkStart w:id="436" w:name="_Toc419099204"/>
      <w:r w:rsidRPr="00545EC0">
        <w:rPr>
          <w:rFonts w:cs="Arial"/>
          <w:color w:val="auto"/>
          <w:szCs w:val="20"/>
        </w:rPr>
        <w:t>Plazljiva območja</w:t>
      </w:r>
      <w:bookmarkEnd w:id="435"/>
      <w:bookmarkEnd w:id="436"/>
    </w:p>
    <w:p w14:paraId="21DC0EBE" w14:textId="77777777" w:rsidR="00045148" w:rsidRPr="00545EC0" w:rsidRDefault="00045148" w:rsidP="00045148">
      <w:pPr>
        <w:pStyle w:val="GeoZSVsebina"/>
        <w:spacing w:after="120"/>
        <w:rPr>
          <w:rFonts w:ascii="Arial" w:eastAsiaTheme="minorHAnsi" w:hAnsi="Arial" w:cs="Arial"/>
          <w:snapToGrid/>
          <w:kern w:val="0"/>
          <w:sz w:val="20"/>
          <w:szCs w:val="20"/>
        </w:rPr>
      </w:pPr>
      <w:r w:rsidRPr="00545EC0">
        <w:rPr>
          <w:rFonts w:ascii="Arial" w:eastAsiaTheme="minorHAnsi" w:hAnsi="Arial" w:cs="Arial"/>
          <w:snapToGrid/>
          <w:kern w:val="0"/>
          <w:sz w:val="20"/>
          <w:szCs w:val="20"/>
        </w:rPr>
        <w:lastRenderedPageBreak/>
        <w:t xml:space="preserve">Plazljivo območje je območje, kjer lahko pride do zemeljskih in hribinskih plazov. Na plazljivem območju lastnik zemljišča ali drug posestnik ne sme posegati v zemljišče tako, da bi se zaradi tega pričelo premikanje hribin ali bi se drugače ogrozila stabilnost zemljišča. </w:t>
      </w:r>
    </w:p>
    <w:p w14:paraId="122E6066" w14:textId="6BE0A035" w:rsidR="00045148" w:rsidRPr="00545EC0" w:rsidRDefault="00173DF4" w:rsidP="00045148">
      <w:pPr>
        <w:pStyle w:val="GeoZSVsebina"/>
        <w:spacing w:after="0"/>
        <w:rPr>
          <w:rFonts w:ascii="Arial" w:hAnsi="Arial" w:cs="Arial"/>
          <w:sz w:val="20"/>
          <w:szCs w:val="20"/>
        </w:rPr>
      </w:pPr>
      <w:r w:rsidRPr="00545EC0">
        <w:rPr>
          <w:rFonts w:ascii="Arial" w:hAnsi="Arial" w:cs="Arial"/>
          <w:sz w:val="20"/>
          <w:szCs w:val="20"/>
        </w:rPr>
        <w:t>Na plazljivih območjih je glede na ZV-1 prepovedano:</w:t>
      </w:r>
    </w:p>
    <w:p w14:paraId="1834E693" w14:textId="77777777" w:rsidR="00045148" w:rsidRPr="00545EC0" w:rsidRDefault="00045148" w:rsidP="00DD37C5">
      <w:pPr>
        <w:pStyle w:val="GeoZSVsebina"/>
        <w:numPr>
          <w:ilvl w:val="0"/>
          <w:numId w:val="82"/>
        </w:numPr>
        <w:spacing w:after="0"/>
        <w:rPr>
          <w:rFonts w:ascii="Arial" w:hAnsi="Arial" w:cs="Arial"/>
          <w:sz w:val="20"/>
          <w:szCs w:val="20"/>
        </w:rPr>
      </w:pPr>
      <w:r w:rsidRPr="00545EC0">
        <w:rPr>
          <w:rFonts w:ascii="Arial" w:hAnsi="Arial" w:cs="Arial"/>
          <w:sz w:val="20"/>
          <w:szCs w:val="20"/>
        </w:rPr>
        <w:t>zadrževanje voda, predvsem z gradnjo teras in drugi posegi, ki bi lahko pospešili zamakanje zemljišč,</w:t>
      </w:r>
    </w:p>
    <w:p w14:paraId="407E4DC0" w14:textId="77777777" w:rsidR="00045148" w:rsidRPr="00545EC0" w:rsidRDefault="00045148" w:rsidP="00DD37C5">
      <w:pPr>
        <w:pStyle w:val="GeoZSVsebina"/>
        <w:numPr>
          <w:ilvl w:val="0"/>
          <w:numId w:val="82"/>
        </w:numPr>
        <w:spacing w:after="0"/>
        <w:rPr>
          <w:rFonts w:ascii="Arial" w:hAnsi="Arial" w:cs="Arial"/>
          <w:sz w:val="20"/>
          <w:szCs w:val="20"/>
        </w:rPr>
      </w:pPr>
      <w:r w:rsidRPr="00545EC0">
        <w:rPr>
          <w:rFonts w:ascii="Arial" w:hAnsi="Arial" w:cs="Arial"/>
          <w:sz w:val="20"/>
          <w:szCs w:val="20"/>
        </w:rPr>
        <w:t>poseganje, ki bi lahko povzročilo dodatno zamakanje zemljišča in dvig podzemne vode,</w:t>
      </w:r>
    </w:p>
    <w:p w14:paraId="48798901" w14:textId="77777777" w:rsidR="00045148" w:rsidRPr="00545EC0" w:rsidRDefault="00045148" w:rsidP="00DD37C5">
      <w:pPr>
        <w:pStyle w:val="GeoZSVsebina"/>
        <w:numPr>
          <w:ilvl w:val="0"/>
          <w:numId w:val="82"/>
        </w:numPr>
        <w:spacing w:after="0"/>
        <w:rPr>
          <w:rFonts w:ascii="Arial" w:hAnsi="Arial" w:cs="Arial"/>
          <w:sz w:val="20"/>
          <w:szCs w:val="20"/>
        </w:rPr>
      </w:pPr>
      <w:r w:rsidRPr="00545EC0">
        <w:rPr>
          <w:rFonts w:ascii="Arial" w:hAnsi="Arial" w:cs="Arial"/>
          <w:sz w:val="20"/>
          <w:szCs w:val="20"/>
        </w:rPr>
        <w:t>izvajati zemeljska dela, ki dodatno obremenjujejo zemljišče ali razbremenjujejo podnožje zemljišča,</w:t>
      </w:r>
    </w:p>
    <w:p w14:paraId="7989C56D" w14:textId="77777777" w:rsidR="00045148" w:rsidRPr="00545EC0" w:rsidRDefault="00045148" w:rsidP="00DD37C5">
      <w:pPr>
        <w:pStyle w:val="GeoZSVsebina"/>
        <w:numPr>
          <w:ilvl w:val="0"/>
          <w:numId w:val="82"/>
        </w:numPr>
        <w:spacing w:after="120"/>
        <w:ind w:left="714" w:hanging="357"/>
        <w:rPr>
          <w:rFonts w:ascii="Arial" w:hAnsi="Arial" w:cs="Arial"/>
          <w:sz w:val="20"/>
          <w:szCs w:val="20"/>
        </w:rPr>
      </w:pPr>
      <w:r w:rsidRPr="00545EC0">
        <w:rPr>
          <w:rFonts w:ascii="Arial" w:hAnsi="Arial" w:cs="Arial"/>
          <w:sz w:val="20"/>
          <w:szCs w:val="20"/>
        </w:rPr>
        <w:t>krčenje in večja obnova gozdnih sestojev ter grmovne vegetacije, ki pospešuje plazenje zemljišč.</w:t>
      </w:r>
    </w:p>
    <w:p w14:paraId="6A370472" w14:textId="65626FE0" w:rsidR="00045148" w:rsidRPr="00545EC0" w:rsidRDefault="00045148" w:rsidP="00045148">
      <w:pPr>
        <w:rPr>
          <w:rFonts w:cs="Arial"/>
          <w:szCs w:val="20"/>
        </w:rPr>
      </w:pPr>
      <w:r w:rsidRPr="00545EC0">
        <w:rPr>
          <w:rFonts w:cs="Arial"/>
          <w:szCs w:val="20"/>
        </w:rPr>
        <w:t xml:space="preserve">Do sedaj so bile izdelane opozorilne karte nevarnosti zaradi procesov pobočnega masnega premikanja in erozije v merilu 1:25:000 za 44 občin v Sloveniji, do leta 2023 bo skupno obdelanih 66 občin. Karte prikazujejo stopnje nevarnosti pojavov pobočnega premikanja (zelo velika, velika, srednja, majhna, zelo majhna, zanemarljiva stopnja nevarnosti), za katere so podana navodila uporabniku kart in </w:t>
      </w:r>
      <w:r w:rsidRPr="00545EC0">
        <w:rPr>
          <w:rFonts w:cs="Arial"/>
          <w:bCs/>
          <w:szCs w:val="20"/>
        </w:rPr>
        <w:t>priporočila poseganja na območje</w:t>
      </w:r>
      <w:r w:rsidRPr="00545EC0">
        <w:rPr>
          <w:rFonts w:cs="Arial"/>
          <w:szCs w:val="20"/>
        </w:rPr>
        <w:t>. Opozorilne karte nevarnosti zaradi procesov pobočnega premikanja v merilu 1:25.000 prikazujejo zgolj izvorna območja pobočnih procesov, ne pa tudi območij tran</w:t>
      </w:r>
      <w:r w:rsidR="00D5428C" w:rsidRPr="00545EC0">
        <w:rPr>
          <w:rFonts w:cs="Arial"/>
          <w:szCs w:val="20"/>
        </w:rPr>
        <w:t xml:space="preserve">sporta in odlaganja materiala. </w:t>
      </w:r>
    </w:p>
    <w:p w14:paraId="5BB28618" w14:textId="77777777" w:rsidR="00045148" w:rsidRPr="00545EC0" w:rsidRDefault="00045148" w:rsidP="00045148">
      <w:pPr>
        <w:pStyle w:val="Naslov4"/>
        <w:rPr>
          <w:color w:val="auto"/>
        </w:rPr>
      </w:pPr>
      <w:bookmarkStart w:id="437" w:name="_Toc419099205"/>
      <w:bookmarkStart w:id="438" w:name="_Toc386026182"/>
      <w:r w:rsidRPr="00545EC0">
        <w:rPr>
          <w:color w:val="auto"/>
        </w:rPr>
        <w:t>Plazovita območja</w:t>
      </w:r>
      <w:bookmarkEnd w:id="437"/>
      <w:bookmarkEnd w:id="438"/>
    </w:p>
    <w:p w14:paraId="6ACF2A25" w14:textId="1E174344" w:rsidR="00045148" w:rsidRPr="00545EC0" w:rsidRDefault="00045148" w:rsidP="00045148">
      <w:r w:rsidRPr="00545EC0">
        <w:t>Plazovita območja so območja, kjer zaradi klimatskih in topografskih razlogov redno prihaja do pojava snežnih plazov ali pa obstoja velika verjetnost, da se</w:t>
      </w:r>
      <w:r w:rsidR="00173DF4" w:rsidRPr="00545EC0">
        <w:t xml:space="preserve"> ti</w:t>
      </w:r>
      <w:r w:rsidRPr="00545EC0">
        <w:t xml:space="preserve"> pojavijo.</w:t>
      </w:r>
    </w:p>
    <w:p w14:paraId="2890CF12" w14:textId="77777777" w:rsidR="00045148" w:rsidRPr="00545EC0" w:rsidRDefault="00045148" w:rsidP="00045148"/>
    <w:p w14:paraId="5664A228" w14:textId="57C0BD4B" w:rsidR="00045148" w:rsidRPr="00545EC0" w:rsidRDefault="00045148" w:rsidP="00045148">
      <w:r w:rsidRPr="00545EC0">
        <w:t>Določanje plazovitih območij je namenjeno oceni nevarnostnih razmer na določenem območju, načrtovanju ukrepov za zmanjševanje ogroženosti (gradbeni in negradbeni ukrepi), načrtovanju rabe prostora (priprava državnih in občinskih prostorskih načrtov), načrtovanju ukrepov zaščite in reševanja, osveščanju javnosti in izvajanju mednarodnih obveznosti. Plazovit</w:t>
      </w:r>
      <w:r w:rsidR="00E75CF8" w:rsidRPr="00545EC0">
        <w:t>a območja opredeljuje 89. člen z</w:t>
      </w:r>
      <w:r w:rsidRPr="00545EC0">
        <w:t xml:space="preserve">akona o vodah. </w:t>
      </w:r>
    </w:p>
    <w:p w14:paraId="6DADB058" w14:textId="77777777" w:rsidR="00045148" w:rsidRPr="00545EC0" w:rsidRDefault="00045148" w:rsidP="00045148"/>
    <w:p w14:paraId="5673C7AF" w14:textId="0C6ABEBE" w:rsidR="003C61AE" w:rsidRPr="00545EC0" w:rsidRDefault="00045148" w:rsidP="00D5428C">
      <w:r w:rsidRPr="00545EC0">
        <w:t>Plazovita območja so razvrščena na območja majhne, zmerne in velike ogroženosti. Na plazovitem območju je prepovedano krčenje gozdov, izravnavanje terena ter preusmerjanje snežnih plazov in ustaljenih naravnih poti na porasla, labilna ali drugače ogrožena zemljišča.</w:t>
      </w:r>
    </w:p>
    <w:p w14:paraId="3D962BF9" w14:textId="77777777" w:rsidR="000D7729" w:rsidRPr="00545EC0" w:rsidRDefault="009A3FFA">
      <w:pPr>
        <w:pStyle w:val="Naslov3"/>
      </w:pPr>
      <w:bookmarkStart w:id="439" w:name="_Toc90261040"/>
      <w:r w:rsidRPr="00545EC0">
        <w:t>Občutljiva območja</w:t>
      </w:r>
      <w:bookmarkEnd w:id="439"/>
    </w:p>
    <w:p w14:paraId="32064C55" w14:textId="0459653E" w:rsidR="00BA4F73" w:rsidRPr="00545EC0" w:rsidRDefault="00BA4F73" w:rsidP="00BA4F73">
      <w:pPr>
        <w:pStyle w:val="Alineazaodstavkom"/>
        <w:numPr>
          <w:ilvl w:val="0"/>
          <w:numId w:val="0"/>
        </w:numPr>
        <w:tabs>
          <w:tab w:val="clear" w:pos="540"/>
          <w:tab w:val="clear" w:pos="900"/>
        </w:tabs>
        <w:rPr>
          <w:sz w:val="20"/>
          <w:szCs w:val="16"/>
          <w:lang w:val="sl-SI" w:eastAsia="sl-SI"/>
        </w:rPr>
      </w:pPr>
      <w:r w:rsidRPr="00545EC0">
        <w:rPr>
          <w:sz w:val="20"/>
          <w:szCs w:val="16"/>
          <w:lang w:val="sl-SI" w:eastAsia="sl-SI"/>
        </w:rPr>
        <w:t>Merila občutljivosti so določena s predpisom, ki ureja odvajanje in čiščenje komunalne odpadne vode.</w:t>
      </w:r>
    </w:p>
    <w:p w14:paraId="36AB3185" w14:textId="77777777" w:rsidR="00BA4F73" w:rsidRPr="00545EC0" w:rsidRDefault="00BA4F73" w:rsidP="00BA4F73">
      <w:pPr>
        <w:pStyle w:val="Odstavek"/>
        <w:ind w:firstLine="0"/>
        <w:rPr>
          <w:sz w:val="20"/>
          <w:szCs w:val="16"/>
          <w:lang w:val="sl-SI" w:eastAsia="sl-SI"/>
        </w:rPr>
      </w:pPr>
      <w:r w:rsidRPr="00545EC0">
        <w:rPr>
          <w:sz w:val="20"/>
          <w:szCs w:val="16"/>
          <w:lang w:val="sl-SI" w:eastAsia="sl-SI"/>
        </w:rPr>
        <w:t>Vodno telo površinske vode je občutljivo, če:</w:t>
      </w:r>
    </w:p>
    <w:p w14:paraId="60979095" w14:textId="77777777" w:rsidR="00BA4F73" w:rsidRPr="00545EC0" w:rsidRDefault="00BA4F73" w:rsidP="00BA4F73">
      <w:pPr>
        <w:pStyle w:val="Alineazaodstavkom"/>
        <w:tabs>
          <w:tab w:val="clear" w:pos="540"/>
          <w:tab w:val="clear" w:pos="826"/>
          <w:tab w:val="clear" w:pos="900"/>
          <w:tab w:val="num" w:pos="425"/>
        </w:tabs>
        <w:ind w:left="425" w:hanging="425"/>
        <w:rPr>
          <w:sz w:val="20"/>
          <w:szCs w:val="20"/>
        </w:rPr>
      </w:pPr>
      <w:r w:rsidRPr="00545EC0">
        <w:rPr>
          <w:sz w:val="20"/>
          <w:szCs w:val="20"/>
        </w:rPr>
        <w:t>je mogoče ugotoviti ali pričakovati njegovo evtrofikacijo,</w:t>
      </w:r>
    </w:p>
    <w:p w14:paraId="31929918" w14:textId="77777777" w:rsidR="00BA4F73" w:rsidRPr="00545EC0" w:rsidRDefault="00BA4F73" w:rsidP="00BA4F73">
      <w:pPr>
        <w:pStyle w:val="Alineazaodstavkom"/>
        <w:tabs>
          <w:tab w:val="clear" w:pos="540"/>
          <w:tab w:val="clear" w:pos="826"/>
          <w:tab w:val="clear" w:pos="900"/>
          <w:tab w:val="num" w:pos="425"/>
        </w:tabs>
        <w:ind w:left="425" w:hanging="425"/>
        <w:rPr>
          <w:sz w:val="20"/>
          <w:szCs w:val="20"/>
        </w:rPr>
      </w:pPr>
      <w:r w:rsidRPr="00545EC0">
        <w:rPr>
          <w:sz w:val="20"/>
          <w:szCs w:val="20"/>
        </w:rPr>
        <w:t>se iz tega vodnega telesa površinske vode odvzema površinska voda za oskrbo s pitno vodo ali je namenjeno za oskrbo s pitno vodo in je mogoče zaradi odvajanja komunalne odpadne vode v to vodno telo površinske vode pričakovati preseganje mejne vrednosti nitratov v skladu s predpisom, ki ureja stanje površinskih voda,</w:t>
      </w:r>
    </w:p>
    <w:p w14:paraId="6007F5F3" w14:textId="77777777" w:rsidR="00BA4F73" w:rsidRPr="00545EC0" w:rsidRDefault="00BA4F73" w:rsidP="00BA4F73">
      <w:pPr>
        <w:pStyle w:val="Alineazaodstavkom"/>
        <w:tabs>
          <w:tab w:val="clear" w:pos="540"/>
          <w:tab w:val="clear" w:pos="826"/>
          <w:tab w:val="clear" w:pos="900"/>
          <w:tab w:val="num" w:pos="425"/>
        </w:tabs>
        <w:ind w:left="425" w:hanging="425"/>
        <w:rPr>
          <w:sz w:val="20"/>
          <w:szCs w:val="20"/>
        </w:rPr>
      </w:pPr>
      <w:r w:rsidRPr="00545EC0">
        <w:rPr>
          <w:sz w:val="20"/>
          <w:szCs w:val="20"/>
        </w:rPr>
        <w:t>je pred odvajanjem odpadne vode v to vodno telo površinske vode potrebno strožje čiščenje zaradi zagotavljanja kakovosti kopalne vode v skladu s predpisom, ki ureja upravljanje kakovosti kopalnih voda</w:t>
      </w:r>
      <w:r w:rsidRPr="00545EC0">
        <w:rPr>
          <w:sz w:val="20"/>
          <w:szCs w:val="20"/>
          <w:lang w:val="sl-SI"/>
        </w:rPr>
        <w:t>, ali</w:t>
      </w:r>
    </w:p>
    <w:p w14:paraId="2C734904" w14:textId="77777777" w:rsidR="00BA4F73" w:rsidRPr="00545EC0" w:rsidRDefault="00BA4F73" w:rsidP="00BA4F73">
      <w:pPr>
        <w:pStyle w:val="Alineazaodstavkom"/>
        <w:tabs>
          <w:tab w:val="clear" w:pos="540"/>
          <w:tab w:val="clear" w:pos="826"/>
          <w:tab w:val="clear" w:pos="900"/>
          <w:tab w:val="num" w:pos="425"/>
        </w:tabs>
        <w:ind w:left="425" w:hanging="425"/>
        <w:rPr>
          <w:sz w:val="20"/>
          <w:szCs w:val="20"/>
        </w:rPr>
      </w:pPr>
      <w:r w:rsidRPr="00545EC0">
        <w:rPr>
          <w:sz w:val="20"/>
          <w:szCs w:val="20"/>
          <w:lang w:val="sl-SI"/>
        </w:rPr>
        <w:t>j</w:t>
      </w:r>
      <w:r w:rsidRPr="00545EC0">
        <w:rPr>
          <w:sz w:val="20"/>
          <w:szCs w:val="20"/>
        </w:rPr>
        <w:t>e pred odvajanjem odpadne vode v to vodno telo površinske vode potrebno strožje čiščenje zaradi izpolnjevanja zahtev predpisov, ki urejajo vode in varstvo okolja.</w:t>
      </w:r>
    </w:p>
    <w:p w14:paraId="5DC4DAD8" w14:textId="77777777" w:rsidR="00BA4F73" w:rsidRPr="00545EC0" w:rsidRDefault="00BA4F73" w:rsidP="00BA4F73">
      <w:pPr>
        <w:rPr>
          <w:rFonts w:cs="Arial"/>
          <w:szCs w:val="20"/>
          <w:lang w:eastAsia="en-US"/>
        </w:rPr>
      </w:pPr>
    </w:p>
    <w:p w14:paraId="640C79BE" w14:textId="77777777" w:rsidR="00BA4F73" w:rsidRPr="00545EC0" w:rsidRDefault="00BA4F73" w:rsidP="00BA4F73">
      <w:pPr>
        <w:pStyle w:val="Odstavek"/>
        <w:spacing w:before="0"/>
        <w:ind w:firstLine="0"/>
        <w:rPr>
          <w:sz w:val="20"/>
          <w:szCs w:val="20"/>
        </w:rPr>
      </w:pPr>
      <w:r w:rsidRPr="00545EC0">
        <w:rPr>
          <w:sz w:val="20"/>
          <w:szCs w:val="20"/>
        </w:rPr>
        <w:lastRenderedPageBreak/>
        <w:t>Vodno telo je evtrofno, če je v skladu s predpisom, ki ureja stanje površinskih voda, uvrščeno v razred zmerno, slabo ali zelo slabo ekološko stanje glede na parameter nitrat, fosfor ali glede na modul trofičnost, in je lahko:</w:t>
      </w:r>
      <w:r w:rsidRPr="00545EC0">
        <w:rPr>
          <w:sz w:val="20"/>
          <w:szCs w:val="20"/>
          <w:lang w:val="sl-SI"/>
        </w:rPr>
        <w:t xml:space="preserve"> </w:t>
      </w:r>
      <w:r w:rsidRPr="00545EC0">
        <w:rPr>
          <w:sz w:val="20"/>
          <w:szCs w:val="20"/>
        </w:rPr>
        <w:t>občutljivo območje zaradi evtrofikacije glede na dušik,</w:t>
      </w:r>
      <w:r w:rsidRPr="00545EC0">
        <w:rPr>
          <w:sz w:val="20"/>
          <w:szCs w:val="20"/>
          <w:lang w:val="sl-SI"/>
        </w:rPr>
        <w:t xml:space="preserve"> </w:t>
      </w:r>
      <w:r w:rsidRPr="00545EC0">
        <w:rPr>
          <w:sz w:val="20"/>
          <w:szCs w:val="20"/>
        </w:rPr>
        <w:t>občutljivo območje zaradi evtrofikacije glede na fosfor ali</w:t>
      </w:r>
      <w:r w:rsidRPr="00545EC0">
        <w:rPr>
          <w:sz w:val="20"/>
          <w:szCs w:val="20"/>
          <w:lang w:val="sl-SI"/>
        </w:rPr>
        <w:t xml:space="preserve"> </w:t>
      </w:r>
      <w:r w:rsidRPr="00545EC0">
        <w:rPr>
          <w:sz w:val="20"/>
          <w:szCs w:val="20"/>
        </w:rPr>
        <w:t>občutljivo območje zaradi evtrofikacije glede na dušik in fosfor.</w:t>
      </w:r>
      <w:r w:rsidRPr="00545EC0">
        <w:rPr>
          <w:sz w:val="20"/>
          <w:szCs w:val="20"/>
          <w:lang w:val="sl-SI"/>
        </w:rPr>
        <w:t xml:space="preserve"> </w:t>
      </w:r>
      <w:r w:rsidRPr="00545EC0">
        <w:rPr>
          <w:sz w:val="20"/>
          <w:szCs w:val="20"/>
        </w:rPr>
        <w:t>Površinske vode, ki so občutljive zaradi evtrofikacije, so tudi površinske vode na prispevnem območju Timava dolvodno od Škocjanskih jam in površinske vode na prispevnem območju obale od vtoka Rižane do vtoka Timava, ki niso določene kot samostojna vodna telesa in lahko znatno vplivajo na kakovost podzemne vode na območju razpoklinskih vodonosnikov, vključno s kraškimi, če se ne izvedejo ukrepi za preprečitev ali zmanjšanje vnosa hranil pri odvajanju komunalne odpadne vode v to površinsko vodo. Občutljiva območja in njihova prispevna območja se določijo na podlagi podatkov o:</w:t>
      </w:r>
    </w:p>
    <w:p w14:paraId="4DA74FBB" w14:textId="77777777" w:rsidR="00BA4F73" w:rsidRPr="00545EC0" w:rsidRDefault="00BA4F73" w:rsidP="00BA4F73">
      <w:pPr>
        <w:pStyle w:val="Alineazaodstavkom"/>
        <w:tabs>
          <w:tab w:val="clear" w:pos="540"/>
          <w:tab w:val="clear" w:pos="826"/>
          <w:tab w:val="clear" w:pos="900"/>
          <w:tab w:val="num" w:pos="425"/>
        </w:tabs>
        <w:ind w:left="425" w:hanging="425"/>
        <w:rPr>
          <w:sz w:val="20"/>
          <w:szCs w:val="20"/>
        </w:rPr>
      </w:pPr>
      <w:r w:rsidRPr="00545EC0">
        <w:rPr>
          <w:sz w:val="20"/>
          <w:szCs w:val="20"/>
        </w:rPr>
        <w:t>stanju vodnih teles površinskih voda v skladu s predpisom, ki ureja stanje površinskih voda, in predpisom, ki ureja monitoring stanja površinskih voda, glede na tiste elemente kakovosti, ki kažejo obremenitev s hranili (dušikom in fosforjem),</w:t>
      </w:r>
    </w:p>
    <w:p w14:paraId="26AA8D61" w14:textId="77777777" w:rsidR="00BA4F73" w:rsidRPr="00545EC0" w:rsidRDefault="00BA4F73" w:rsidP="00BA4F73">
      <w:pPr>
        <w:pStyle w:val="Alineazaodstavkom"/>
        <w:tabs>
          <w:tab w:val="clear" w:pos="540"/>
          <w:tab w:val="clear" w:pos="826"/>
          <w:tab w:val="clear" w:pos="900"/>
          <w:tab w:val="num" w:pos="425"/>
        </w:tabs>
        <w:ind w:left="425" w:hanging="425"/>
        <w:rPr>
          <w:sz w:val="20"/>
          <w:szCs w:val="20"/>
        </w:rPr>
      </w:pPr>
      <w:r w:rsidRPr="00545EC0">
        <w:rPr>
          <w:sz w:val="20"/>
          <w:szCs w:val="20"/>
        </w:rPr>
        <w:t>razpoklinskih vodonosnikih, vključno s kraškimi, ,</w:t>
      </w:r>
    </w:p>
    <w:p w14:paraId="77FE90E9" w14:textId="77777777" w:rsidR="00BA4F73" w:rsidRPr="00545EC0" w:rsidRDefault="00BA4F73" w:rsidP="00BA4F73">
      <w:pPr>
        <w:pStyle w:val="Alineazaodstavkom"/>
        <w:tabs>
          <w:tab w:val="clear" w:pos="540"/>
          <w:tab w:val="clear" w:pos="826"/>
          <w:tab w:val="clear" w:pos="900"/>
          <w:tab w:val="num" w:pos="425"/>
        </w:tabs>
        <w:ind w:left="425" w:hanging="425"/>
        <w:rPr>
          <w:sz w:val="20"/>
          <w:szCs w:val="20"/>
        </w:rPr>
      </w:pPr>
      <w:r w:rsidRPr="00545EC0">
        <w:rPr>
          <w:sz w:val="20"/>
          <w:szCs w:val="20"/>
        </w:rPr>
        <w:t>kopalnih vodah in njihovih geografskih mejah v skladu s predpisom, ki ureja upravljanje kakovosti kopalnih voda, in</w:t>
      </w:r>
    </w:p>
    <w:p w14:paraId="7C0A3034" w14:textId="77777777" w:rsidR="00BA4F73" w:rsidRPr="00545EC0" w:rsidRDefault="00BA4F73" w:rsidP="00BA4F73">
      <w:pPr>
        <w:pStyle w:val="Alineazaodstavkom"/>
        <w:tabs>
          <w:tab w:val="clear" w:pos="540"/>
          <w:tab w:val="clear" w:pos="826"/>
          <w:tab w:val="clear" w:pos="900"/>
          <w:tab w:val="num" w:pos="425"/>
        </w:tabs>
        <w:ind w:left="425" w:hanging="425"/>
        <w:rPr>
          <w:sz w:val="20"/>
          <w:szCs w:val="20"/>
        </w:rPr>
      </w:pPr>
      <w:r w:rsidRPr="00545EC0">
        <w:rPr>
          <w:sz w:val="20"/>
          <w:szCs w:val="20"/>
        </w:rPr>
        <w:t>hidrografskih razvodnicah.</w:t>
      </w:r>
    </w:p>
    <w:p w14:paraId="2DE83AF2" w14:textId="77777777" w:rsidR="00BA4F73" w:rsidRPr="00545EC0" w:rsidRDefault="00BA4F73" w:rsidP="00BA4F73">
      <w:pPr>
        <w:pStyle w:val="Alineazaodstavkom"/>
        <w:numPr>
          <w:ilvl w:val="0"/>
          <w:numId w:val="0"/>
        </w:numPr>
        <w:tabs>
          <w:tab w:val="clear" w:pos="540"/>
          <w:tab w:val="left" w:pos="0"/>
        </w:tabs>
        <w:rPr>
          <w:b/>
          <w:lang w:val="sl-SI"/>
        </w:rPr>
      </w:pPr>
    </w:p>
    <w:p w14:paraId="412A19B9" w14:textId="748DB6B7" w:rsidR="00BA4F73" w:rsidRPr="00545EC0" w:rsidRDefault="00BA4F73" w:rsidP="00BA4F73">
      <w:pPr>
        <w:rPr>
          <w:rFonts w:cs="Arial"/>
          <w:szCs w:val="20"/>
          <w:lang w:eastAsia="en-US"/>
        </w:rPr>
      </w:pPr>
      <w:r w:rsidRPr="00545EC0">
        <w:rPr>
          <w:rFonts w:cs="Arial"/>
          <w:szCs w:val="20"/>
          <w:lang w:eastAsia="en-US"/>
        </w:rPr>
        <w:t>Vodna telesa, ki se uvrščajo med občutljiva območja zaradi evtrofikacije ter vodna telesa, ki se uvrščajo med občutljiva območja zaradi kopalnih voda, so določena s</w:t>
      </w:r>
      <w:r w:rsidR="003A4DE7" w:rsidRPr="00545EC0">
        <w:rPr>
          <w:rFonts w:cs="Arial"/>
          <w:szCs w:val="20"/>
          <w:lang w:eastAsia="en-US"/>
        </w:rPr>
        <w:t xml:space="preserve"> predpisom, </w:t>
      </w:r>
      <w:r w:rsidRPr="00545EC0">
        <w:rPr>
          <w:rFonts w:cs="Arial"/>
          <w:szCs w:val="20"/>
          <w:lang w:eastAsia="en-US"/>
        </w:rPr>
        <w:t xml:space="preserve">ki ureja občutljiva območja. </w:t>
      </w:r>
      <w:r w:rsidRPr="00545EC0">
        <w:rPr>
          <w:rFonts w:cs="Arial"/>
          <w:szCs w:val="20"/>
          <w:shd w:val="clear" w:color="auto" w:fill="FFFFFF"/>
        </w:rPr>
        <w:t>Prispevna območja občutljivih območij in njihove geografske meje so določeni na digitalnih podatkovnih slojih v državnem koordinatnem sistemu. </w:t>
      </w:r>
    </w:p>
    <w:p w14:paraId="0729B6D0" w14:textId="77777777" w:rsidR="00BA4F73" w:rsidRPr="00545EC0" w:rsidRDefault="00BA4F73" w:rsidP="00BA4F73">
      <w:pPr>
        <w:rPr>
          <w:rFonts w:cs="Arial"/>
        </w:rPr>
      </w:pPr>
    </w:p>
    <w:p w14:paraId="6656EC8D" w14:textId="6C79225D" w:rsidR="00BA4F73" w:rsidRPr="00545EC0" w:rsidRDefault="00BA4F73" w:rsidP="00BA4F73">
      <w:pPr>
        <w:tabs>
          <w:tab w:val="right" w:pos="9073"/>
        </w:tabs>
        <w:rPr>
          <w:rFonts w:cs="Arial"/>
          <w:bCs/>
          <w:kern w:val="32"/>
        </w:rPr>
      </w:pPr>
      <w:r w:rsidRPr="00545EC0">
        <w:rPr>
          <w:rFonts w:cs="Arial"/>
        </w:rPr>
        <w:t>Občutljiva območja so prikazana na</w:t>
      </w:r>
      <w:r w:rsidR="00611ACA" w:rsidRPr="00545EC0">
        <w:rPr>
          <w:rFonts w:cs="Arial"/>
        </w:rPr>
        <w:t xml:space="preserve"> publikacijski</w:t>
      </w:r>
      <w:r w:rsidRPr="00545EC0">
        <w:rPr>
          <w:rFonts w:cs="Arial"/>
        </w:rPr>
        <w:t xml:space="preserve"> karti (</w:t>
      </w:r>
      <w:r w:rsidRPr="00545EC0">
        <w:rPr>
          <w:rFonts w:cs="Arial"/>
          <w:bCs/>
          <w:i/>
          <w:kern w:val="32"/>
        </w:rPr>
        <w:t>Publikacijska karta</w:t>
      </w:r>
      <w:r w:rsidR="00611ACA" w:rsidRPr="00545EC0">
        <w:rPr>
          <w:rFonts w:cs="Arial"/>
          <w:bCs/>
          <w:i/>
          <w:kern w:val="32"/>
        </w:rPr>
        <w:t xml:space="preserve"> 10.7</w:t>
      </w:r>
      <w:r w:rsidRPr="00545EC0">
        <w:rPr>
          <w:rFonts w:cs="Arial"/>
          <w:bCs/>
          <w:i/>
          <w:kern w:val="32"/>
        </w:rPr>
        <w:t>: Občutljiva območja</w:t>
      </w:r>
      <w:r w:rsidRPr="00545EC0">
        <w:rPr>
          <w:rFonts w:cs="Arial"/>
          <w:bCs/>
          <w:kern w:val="32"/>
        </w:rPr>
        <w:t>).</w:t>
      </w:r>
      <w:r w:rsidRPr="00545EC0">
        <w:rPr>
          <w:rFonts w:cs="Arial"/>
          <w:bCs/>
          <w:kern w:val="32"/>
        </w:rPr>
        <w:tab/>
      </w:r>
    </w:p>
    <w:p w14:paraId="7D74887F" w14:textId="77777777" w:rsidR="000D7729" w:rsidRPr="00545EC0" w:rsidRDefault="009A3FFA">
      <w:pPr>
        <w:pStyle w:val="Naslov3"/>
      </w:pPr>
      <w:bookmarkStart w:id="440" w:name="_Toc90261041"/>
      <w:r w:rsidRPr="00545EC0">
        <w:t>Ranljiva območja</w:t>
      </w:r>
      <w:bookmarkEnd w:id="440"/>
    </w:p>
    <w:p w14:paraId="1AC9E34A" w14:textId="77777777" w:rsidR="00B37560" w:rsidRPr="00545EC0" w:rsidRDefault="00B37560" w:rsidP="00B37560">
      <w:pPr>
        <w:rPr>
          <w:rFonts w:cs="Arial"/>
        </w:rPr>
      </w:pPr>
    </w:p>
    <w:p w14:paraId="4E21434E" w14:textId="55CB06FB" w:rsidR="00B37560" w:rsidRPr="00545EC0" w:rsidRDefault="00B37560" w:rsidP="00B37560">
      <w:pPr>
        <w:rPr>
          <w:rFonts w:cs="Arial"/>
        </w:rPr>
      </w:pPr>
      <w:r w:rsidRPr="00545EC0">
        <w:rPr>
          <w:rFonts w:cs="Arial"/>
        </w:rPr>
        <w:t xml:space="preserve">Zaradi varstva voda pred onesnaževanjem z nitrati je v skladu s predpisom, ki ureja varstvo voda pred onesnaževanjem z nitrati iz kmetijskih virov, je celotno območje Republike Slovenije določeno kot ranljivo območje. Predpis, ki ureja varstvo voda pred onesnaževanjem z nitrati iz kmetijskih virov v slovenski pravni red prenaša zahteve </w:t>
      </w:r>
      <w:r w:rsidR="00E15650" w:rsidRPr="00545EC0">
        <w:rPr>
          <w:rFonts w:cs="Arial"/>
        </w:rPr>
        <w:t>nitratne direktive</w:t>
      </w:r>
      <w:r w:rsidRPr="00545EC0">
        <w:rPr>
          <w:rFonts w:cs="Arial"/>
        </w:rPr>
        <w:t>.</w:t>
      </w:r>
    </w:p>
    <w:p w14:paraId="2E4CC0DE" w14:textId="77777777" w:rsidR="000D7729" w:rsidRPr="00545EC0" w:rsidRDefault="009A3FFA">
      <w:pPr>
        <w:pStyle w:val="Naslov3"/>
      </w:pPr>
      <w:bookmarkStart w:id="441" w:name="_Toc90261042"/>
      <w:r w:rsidRPr="00545EC0">
        <w:t>Območja salmonidnih in ciprinidnih voda</w:t>
      </w:r>
      <w:bookmarkEnd w:id="441"/>
    </w:p>
    <w:p w14:paraId="518FDCFD" w14:textId="7BA77759" w:rsidR="000D7729" w:rsidRPr="00545EC0" w:rsidRDefault="000D7729" w:rsidP="00DE0AD0">
      <w:pPr>
        <w:rPr>
          <w:rFonts w:cs="Arial"/>
        </w:rPr>
      </w:pPr>
      <w:r w:rsidRPr="00545EC0">
        <w:rPr>
          <w:rFonts w:cs="Arial"/>
        </w:rPr>
        <w:t xml:space="preserve">Namen določitve odsekov je zavarovanje delov površinskih voda, za katere se smatra, da so pomembna za življenje sladkovodnih vrst rib. </w:t>
      </w:r>
      <w:r w:rsidR="00E17E83" w:rsidRPr="00545EC0">
        <w:rPr>
          <w:rFonts w:cs="Arial"/>
        </w:rPr>
        <w:t xml:space="preserve">Območja </w:t>
      </w:r>
      <w:r w:rsidRPr="00545EC0">
        <w:rPr>
          <w:rFonts w:cs="Arial"/>
        </w:rPr>
        <w:t>salmonidnih voda so bil</w:t>
      </w:r>
      <w:r w:rsidR="00E17E83" w:rsidRPr="00545EC0">
        <w:rPr>
          <w:rFonts w:cs="Arial"/>
        </w:rPr>
        <w:t>a</w:t>
      </w:r>
      <w:r w:rsidRPr="00545EC0">
        <w:rPr>
          <w:rFonts w:cs="Arial"/>
        </w:rPr>
        <w:t xml:space="preserve"> določen</w:t>
      </w:r>
      <w:r w:rsidR="00E17E83" w:rsidRPr="00545EC0">
        <w:rPr>
          <w:rFonts w:cs="Arial"/>
        </w:rPr>
        <w:t>a</w:t>
      </w:r>
      <w:r w:rsidRPr="00545EC0">
        <w:rPr>
          <w:rFonts w:cs="Arial"/>
        </w:rPr>
        <w:t xml:space="preserve"> z namenom varovanja in omogoč</w:t>
      </w:r>
      <w:r w:rsidR="00E17E83" w:rsidRPr="00545EC0">
        <w:rPr>
          <w:rFonts w:cs="Arial"/>
        </w:rPr>
        <w:t>anja</w:t>
      </w:r>
      <w:r w:rsidRPr="00545EC0">
        <w:rPr>
          <w:rFonts w:cs="Arial"/>
        </w:rPr>
        <w:t xml:space="preserve"> življenj</w:t>
      </w:r>
      <w:r w:rsidR="00E17E83" w:rsidRPr="00545EC0">
        <w:rPr>
          <w:rFonts w:cs="Arial"/>
        </w:rPr>
        <w:t>a</w:t>
      </w:r>
      <w:r w:rsidRPr="00545EC0">
        <w:rPr>
          <w:rFonts w:cs="Arial"/>
        </w:rPr>
        <w:t xml:space="preserve"> salmonidnim vrstam rib, kot so postrvi, sulci in lipani. Po drugi strani </w:t>
      </w:r>
      <w:r w:rsidR="00E17E83" w:rsidRPr="00545EC0">
        <w:rPr>
          <w:rFonts w:cs="Arial"/>
        </w:rPr>
        <w:t xml:space="preserve">so območja </w:t>
      </w:r>
      <w:r w:rsidRPr="00545EC0">
        <w:rPr>
          <w:rFonts w:cs="Arial"/>
        </w:rPr>
        <w:t>ciprinidni</w:t>
      </w:r>
      <w:r w:rsidR="0040588B" w:rsidRPr="00545EC0">
        <w:rPr>
          <w:rFonts w:cs="Arial"/>
        </w:rPr>
        <w:t>h</w:t>
      </w:r>
      <w:r w:rsidRPr="00545EC0">
        <w:rPr>
          <w:rFonts w:cs="Arial"/>
        </w:rPr>
        <w:t xml:space="preserve"> voda določen</w:t>
      </w:r>
      <w:r w:rsidR="00E17E83" w:rsidRPr="00545EC0">
        <w:rPr>
          <w:rFonts w:cs="Arial"/>
        </w:rPr>
        <w:t>a</w:t>
      </w:r>
      <w:r w:rsidRPr="00545EC0">
        <w:rPr>
          <w:rFonts w:cs="Arial"/>
        </w:rPr>
        <w:t xml:space="preserve"> za namene varovanja in omogoč</w:t>
      </w:r>
      <w:r w:rsidR="00E17E83" w:rsidRPr="00545EC0">
        <w:rPr>
          <w:rFonts w:cs="Arial"/>
        </w:rPr>
        <w:t>anja</w:t>
      </w:r>
      <w:r w:rsidRPr="00545EC0">
        <w:rPr>
          <w:rFonts w:cs="Arial"/>
        </w:rPr>
        <w:t xml:space="preserve"> življenj</w:t>
      </w:r>
      <w:r w:rsidR="00E17E83" w:rsidRPr="00545EC0">
        <w:rPr>
          <w:rFonts w:cs="Arial"/>
        </w:rPr>
        <w:t>a</w:t>
      </w:r>
      <w:r w:rsidRPr="00545EC0">
        <w:rPr>
          <w:rFonts w:cs="Arial"/>
        </w:rPr>
        <w:t xml:space="preserve"> ciprinidnim vrstam rib kot so krapi, ščuke itd. Z namenom varovanja se je na teh območjih spremljala kakovost voda, ki mora dosegati zastavljene standarde. Po drugi strani so združbe rib v celinskih vodah eden izmed bioloških elementov kakovosti za vrednotenje ekološkega stanja voda. Zato zgoraj določeni odseki in spremljanje stanja na teh odsekih ne bodo več potrebni, ko bodo razvite in v zakonski okvir sprejete metodologije za vrednotenje stanja voda z ribami.   </w:t>
      </w:r>
    </w:p>
    <w:p w14:paraId="171DB5AC" w14:textId="77777777" w:rsidR="000D7729" w:rsidRPr="00545EC0" w:rsidRDefault="000D7729" w:rsidP="00DE0AD0">
      <w:pPr>
        <w:rPr>
          <w:rFonts w:cs="Arial"/>
        </w:rPr>
      </w:pPr>
    </w:p>
    <w:p w14:paraId="69CF4034" w14:textId="77777777" w:rsidR="000D7729" w:rsidRPr="00545EC0" w:rsidRDefault="000D7729" w:rsidP="00DE0AD0">
      <w:pPr>
        <w:rPr>
          <w:rFonts w:cs="Arial"/>
        </w:rPr>
      </w:pPr>
      <w:r w:rsidRPr="00545EC0">
        <w:rPr>
          <w:rFonts w:cs="Arial"/>
        </w:rPr>
        <w:t xml:space="preserve">S </w:t>
      </w:r>
      <w:r w:rsidR="00927C60" w:rsidRPr="00545EC0">
        <w:rPr>
          <w:rFonts w:cs="Arial"/>
        </w:rPr>
        <w:t>predpisom, ki ureja določitev odsekov površinskih voda, pomembnih za življenje sladkovodnih vrst rib</w:t>
      </w:r>
      <w:r w:rsidRPr="00545EC0">
        <w:rPr>
          <w:rFonts w:cs="Arial"/>
        </w:rPr>
        <w:t xml:space="preserve">, je na VO Donave določenih 14 odsekov rek, ki se razprostirajo na 22 VTPV. Odseki so na podlagi ihtioloških podatkov uvrščeni v devet odsekov salmonidnih voda in pet odsekov ciprinidnih voda. </w:t>
      </w:r>
    </w:p>
    <w:p w14:paraId="4EDEF7FC" w14:textId="77777777" w:rsidR="006835AD" w:rsidRPr="00545EC0" w:rsidRDefault="006835AD" w:rsidP="00DE0AD0">
      <w:pPr>
        <w:rPr>
          <w:rFonts w:cs="Arial"/>
        </w:rPr>
      </w:pPr>
    </w:p>
    <w:p w14:paraId="1CF74F5E" w14:textId="77777777" w:rsidR="000D7729" w:rsidRPr="00545EC0" w:rsidRDefault="009A3FFA">
      <w:pPr>
        <w:pStyle w:val="Naslov3"/>
      </w:pPr>
      <w:bookmarkStart w:id="442" w:name="_Toc90261043"/>
      <w:r w:rsidRPr="00545EC0">
        <w:lastRenderedPageBreak/>
        <w:t>Zavarovana in varovana območja</w:t>
      </w:r>
      <w:bookmarkEnd w:id="442"/>
    </w:p>
    <w:p w14:paraId="700330C3" w14:textId="686D138D" w:rsidR="00CA5785" w:rsidRPr="00545EC0" w:rsidRDefault="00CA5785" w:rsidP="00CA5785">
      <w:pPr>
        <w:rPr>
          <w:rFonts w:cs="Arial"/>
        </w:rPr>
      </w:pPr>
      <w:r w:rsidRPr="00545EC0">
        <w:rPr>
          <w:rFonts w:cs="Arial"/>
        </w:rPr>
        <w:t xml:space="preserve">Za Slovenijo je značilna velika pestrost naravnih </w:t>
      </w:r>
      <w:r w:rsidR="00E17E83" w:rsidRPr="00545EC0">
        <w:rPr>
          <w:rFonts w:cs="Arial"/>
        </w:rPr>
        <w:t xml:space="preserve">pojavov ter vrst in habitatnih tipov, zato je naše naravno okolje tudi zelo pomembno za ohranjanje biotske raznovrstnosti na ravni Evrope. </w:t>
      </w:r>
    </w:p>
    <w:p w14:paraId="45728F1E" w14:textId="77777777" w:rsidR="00CA5785" w:rsidRPr="00545EC0" w:rsidRDefault="00CA5785" w:rsidP="00CA5785">
      <w:pPr>
        <w:rPr>
          <w:rFonts w:cs="Arial"/>
        </w:rPr>
      </w:pPr>
    </w:p>
    <w:p w14:paraId="56E9497D" w14:textId="0EFE8794" w:rsidR="00CA5785" w:rsidRPr="00545EC0" w:rsidRDefault="00E17E83" w:rsidP="00CA5785">
      <w:pPr>
        <w:rPr>
          <w:rFonts w:cs="Arial"/>
        </w:rPr>
      </w:pPr>
      <w:r w:rsidRPr="00545EC0">
        <w:rPr>
          <w:rFonts w:cs="Arial"/>
        </w:rPr>
        <w:t>Območja, ki imajo na podlagi predpisov s področja ohranjanja narave poseben status, so naslednja</w:t>
      </w:r>
      <w:r w:rsidR="00CA5785" w:rsidRPr="00545EC0">
        <w:rPr>
          <w:rFonts w:cs="Arial"/>
        </w:rPr>
        <w:t>:</w:t>
      </w:r>
    </w:p>
    <w:p w14:paraId="4EB52736" w14:textId="55A3E86B" w:rsidR="00CA5785" w:rsidRPr="00545EC0" w:rsidRDefault="00CA5785" w:rsidP="00DD37C5">
      <w:pPr>
        <w:pStyle w:val="Odstavekseznama"/>
        <w:numPr>
          <w:ilvl w:val="0"/>
          <w:numId w:val="91"/>
        </w:numPr>
        <w:tabs>
          <w:tab w:val="left" w:pos="426"/>
        </w:tabs>
        <w:overflowPunct/>
        <w:autoSpaceDE/>
        <w:autoSpaceDN/>
        <w:adjustRightInd/>
        <w:ind w:left="426" w:hanging="426"/>
        <w:contextualSpacing/>
        <w:textAlignment w:val="auto"/>
        <w:rPr>
          <w:rFonts w:cs="Arial"/>
          <w:lang w:val="sl-SI"/>
        </w:rPr>
      </w:pPr>
      <w:r w:rsidRPr="00545EC0">
        <w:rPr>
          <w:rFonts w:cs="Arial"/>
          <w:lang w:val="sl-SI"/>
        </w:rPr>
        <w:t>območja Natura 2000 - posebna varstvena območja, ki so določena s predpisom, ki ureja posebna varstvena območja</w:t>
      </w:r>
      <w:r w:rsidR="00173DF4" w:rsidRPr="00545EC0">
        <w:rPr>
          <w:rFonts w:cs="Arial"/>
          <w:lang w:val="sl-SI"/>
        </w:rPr>
        <w:t>,</w:t>
      </w:r>
    </w:p>
    <w:p w14:paraId="16AE248D" w14:textId="62E19EBA" w:rsidR="00CA5785" w:rsidRPr="00545EC0" w:rsidRDefault="00CA5785" w:rsidP="00DD37C5">
      <w:pPr>
        <w:pStyle w:val="Odstavekseznama"/>
        <w:numPr>
          <w:ilvl w:val="0"/>
          <w:numId w:val="91"/>
        </w:numPr>
        <w:tabs>
          <w:tab w:val="left" w:pos="426"/>
        </w:tabs>
        <w:overflowPunct/>
        <w:autoSpaceDE/>
        <w:autoSpaceDN/>
        <w:adjustRightInd/>
        <w:ind w:left="426" w:hanging="426"/>
        <w:contextualSpacing/>
        <w:textAlignment w:val="auto"/>
        <w:rPr>
          <w:rFonts w:cs="Arial"/>
          <w:lang w:val="sl-SI"/>
        </w:rPr>
      </w:pPr>
      <w:r w:rsidRPr="00545EC0">
        <w:rPr>
          <w:rFonts w:cs="Arial"/>
          <w:lang w:val="sl-SI"/>
        </w:rPr>
        <w:t>ekološko pomembna območja, ki so določena s predpisom, ki ureja ekološko pomembna območja</w:t>
      </w:r>
      <w:r w:rsidR="00173DF4" w:rsidRPr="00545EC0">
        <w:rPr>
          <w:rFonts w:cs="Arial"/>
          <w:lang w:val="sl-SI"/>
        </w:rPr>
        <w:t>,</w:t>
      </w:r>
      <w:r w:rsidRPr="00545EC0">
        <w:rPr>
          <w:rFonts w:cs="Arial"/>
          <w:lang w:val="sl-SI"/>
        </w:rPr>
        <w:t xml:space="preserve"> </w:t>
      </w:r>
    </w:p>
    <w:p w14:paraId="31BCF836" w14:textId="77777777" w:rsidR="00CA5785" w:rsidRPr="00545EC0" w:rsidRDefault="00CA5785" w:rsidP="00DD37C5">
      <w:pPr>
        <w:pStyle w:val="Odstavekseznama"/>
        <w:numPr>
          <w:ilvl w:val="0"/>
          <w:numId w:val="91"/>
        </w:numPr>
        <w:tabs>
          <w:tab w:val="left" w:pos="426"/>
        </w:tabs>
        <w:overflowPunct/>
        <w:autoSpaceDE/>
        <w:autoSpaceDN/>
        <w:adjustRightInd/>
        <w:ind w:left="426" w:hanging="426"/>
        <w:contextualSpacing/>
        <w:textAlignment w:val="auto"/>
        <w:rPr>
          <w:rFonts w:cs="Arial"/>
          <w:lang w:val="sl-SI"/>
        </w:rPr>
      </w:pPr>
      <w:r w:rsidRPr="00545EC0">
        <w:rPr>
          <w:rFonts w:cs="Arial"/>
          <w:lang w:val="sl-SI"/>
        </w:rPr>
        <w:t>zavarovana območja, določena z akti o zavarovanjih in</w:t>
      </w:r>
    </w:p>
    <w:p w14:paraId="398AF1EE" w14:textId="77777777" w:rsidR="00CA5785" w:rsidRPr="00545EC0" w:rsidRDefault="00CA5785" w:rsidP="00DD37C5">
      <w:pPr>
        <w:pStyle w:val="Odstavekseznama"/>
        <w:numPr>
          <w:ilvl w:val="0"/>
          <w:numId w:val="91"/>
        </w:numPr>
        <w:tabs>
          <w:tab w:val="left" w:pos="426"/>
        </w:tabs>
        <w:overflowPunct/>
        <w:autoSpaceDE/>
        <w:autoSpaceDN/>
        <w:adjustRightInd/>
        <w:ind w:left="426" w:hanging="426"/>
        <w:contextualSpacing/>
        <w:textAlignment w:val="auto"/>
        <w:rPr>
          <w:rFonts w:cs="Arial"/>
          <w:lang w:val="sl-SI"/>
        </w:rPr>
      </w:pPr>
      <w:r w:rsidRPr="00545EC0">
        <w:rPr>
          <w:rFonts w:cs="Arial"/>
          <w:lang w:val="sl-SI"/>
        </w:rPr>
        <w:t>območja naravnih vrednot državnega ali lokalnega pomena.</w:t>
      </w:r>
    </w:p>
    <w:p w14:paraId="227007C9" w14:textId="77777777" w:rsidR="00CA5785" w:rsidRPr="00545EC0" w:rsidRDefault="00CA5785" w:rsidP="00CA5785">
      <w:pPr>
        <w:rPr>
          <w:rFonts w:cs="Arial"/>
        </w:rPr>
      </w:pPr>
    </w:p>
    <w:p w14:paraId="511C7337" w14:textId="49559215" w:rsidR="00CA5785" w:rsidRPr="00545EC0" w:rsidRDefault="00FA586F" w:rsidP="003122F4">
      <w:pPr>
        <w:pStyle w:val="Pripombabesedilo"/>
        <w:jc w:val="both"/>
        <w:rPr>
          <w:rFonts w:cs="Arial"/>
        </w:rPr>
      </w:pPr>
      <w:r w:rsidRPr="00545EC0">
        <w:rPr>
          <w:rFonts w:cs="Arial"/>
        </w:rPr>
        <w:t xml:space="preserve">Območja Natura 2000 (posebna varstvena območja) </w:t>
      </w:r>
      <w:r w:rsidRPr="00545EC0">
        <w:rPr>
          <w:lang w:val="sl-SI"/>
        </w:rPr>
        <w:t>so ekološko pomembna območja, ki so na ozemlju Evropske Unije pomembna za ohranitev ali doseganje ugodnega stanja vrst, njihovih habitatov in habitatnih tipov</w:t>
      </w:r>
      <w:r w:rsidR="0040588B" w:rsidRPr="00545EC0">
        <w:rPr>
          <w:lang w:val="sl-SI"/>
        </w:rPr>
        <w:t>.</w:t>
      </w:r>
      <w:r w:rsidRPr="00545EC0">
        <w:rPr>
          <w:lang w:val="sl-SI"/>
        </w:rPr>
        <w:t xml:space="preserve"> </w:t>
      </w:r>
      <w:r w:rsidRPr="00545EC0">
        <w:rPr>
          <w:rFonts w:cs="Arial"/>
        </w:rPr>
        <w:t>Za upravljanje območij Nature 2000 v Sloveniji je temeljni dokument Program upravljanja območij Natura 2000. Program določa podrobne varstvene cilje in ukrepe za vsako od 355 območij Natura 2000 v Sloveniji ter nosilce in finančne vire.</w:t>
      </w:r>
    </w:p>
    <w:p w14:paraId="39487E8E" w14:textId="77777777" w:rsidR="00FA586F" w:rsidRPr="00545EC0" w:rsidRDefault="00FA586F" w:rsidP="00FA586F">
      <w:pPr>
        <w:rPr>
          <w:rFonts w:cs="Arial"/>
        </w:rPr>
      </w:pPr>
    </w:p>
    <w:p w14:paraId="131D91B4" w14:textId="7C2A862A" w:rsidR="00CA5785" w:rsidRPr="00545EC0" w:rsidRDefault="00FA586F" w:rsidP="00CA5785">
      <w:pPr>
        <w:rPr>
          <w:rFonts w:cs="Arial"/>
          <w:i/>
        </w:rPr>
      </w:pPr>
      <w:r w:rsidRPr="00545EC0">
        <w:rPr>
          <w:rFonts w:cs="Arial"/>
        </w:rPr>
        <w:t xml:space="preserve">Na podlagi zakonskih podlag je Slovenija določila območja Natura 2000, ki obsegajo 37 % slovenskega ozemlja in so prikazana na publikacijski karti </w:t>
      </w:r>
      <w:r w:rsidRPr="00545EC0">
        <w:rPr>
          <w:rFonts w:cs="Arial"/>
          <w:i/>
        </w:rPr>
        <w:t>(Publikacijska karta</w:t>
      </w:r>
      <w:r w:rsidR="00231C2B" w:rsidRPr="00545EC0">
        <w:rPr>
          <w:rFonts w:cs="Arial"/>
          <w:i/>
        </w:rPr>
        <w:t xml:space="preserve"> 10.10</w:t>
      </w:r>
      <w:r w:rsidRPr="00545EC0">
        <w:rPr>
          <w:rFonts w:cs="Arial"/>
          <w:i/>
        </w:rPr>
        <w:t xml:space="preserve">: </w:t>
      </w:r>
      <w:r w:rsidRPr="00545EC0">
        <w:rPr>
          <w:i/>
        </w:rPr>
        <w:t>Zavarovana in</w:t>
      </w:r>
      <w:r w:rsidRPr="00545EC0">
        <w:t xml:space="preserve"> </w:t>
      </w:r>
      <w:r w:rsidRPr="00545EC0">
        <w:rPr>
          <w:i/>
        </w:rPr>
        <w:t>varovana območja – območja Natura 2000</w:t>
      </w:r>
      <w:r w:rsidRPr="00545EC0">
        <w:rPr>
          <w:rFonts w:cs="Arial"/>
          <w:i/>
        </w:rPr>
        <w:t>)</w:t>
      </w:r>
      <w:r w:rsidR="00231C2B" w:rsidRPr="00545EC0">
        <w:rPr>
          <w:rFonts w:cs="Arial"/>
          <w:i/>
        </w:rPr>
        <w:t>.</w:t>
      </w:r>
    </w:p>
    <w:p w14:paraId="00B6913C" w14:textId="77777777" w:rsidR="00FA586F" w:rsidRPr="00545EC0" w:rsidRDefault="00FA586F" w:rsidP="00CA5785">
      <w:pPr>
        <w:rPr>
          <w:rFonts w:cs="Arial"/>
        </w:rPr>
      </w:pPr>
    </w:p>
    <w:p w14:paraId="706B542B" w14:textId="43C4ADC1" w:rsidR="00CA5785" w:rsidRPr="00545EC0" w:rsidRDefault="00CA5785" w:rsidP="00CA5785">
      <w:pPr>
        <w:rPr>
          <w:rFonts w:cs="Arial"/>
        </w:rPr>
      </w:pPr>
      <w:r w:rsidRPr="00545EC0">
        <w:rPr>
          <w:rFonts w:cs="Arial"/>
        </w:rPr>
        <w:t>Območja Natura 2000 so sestavni del ekološko pomembnih območij (EPO), tj. območij pomembnih habitatnih tipov, njihovih delov ali večjih ekosistemskih enot, ki pomembno prispevajo k ohranjanju biotske raznovrstnosti. Ekološko pomembna območja pokrivajo 52,2 % Slovenije. (</w:t>
      </w:r>
      <w:r w:rsidRPr="00545EC0">
        <w:rPr>
          <w:rFonts w:cs="Arial"/>
          <w:i/>
        </w:rPr>
        <w:t>Publikacijska karta</w:t>
      </w:r>
      <w:r w:rsidR="00231C2B" w:rsidRPr="00545EC0">
        <w:rPr>
          <w:rFonts w:cs="Arial"/>
          <w:i/>
        </w:rPr>
        <w:t xml:space="preserve"> 10.11</w:t>
      </w:r>
      <w:r w:rsidRPr="00545EC0">
        <w:rPr>
          <w:rFonts w:cs="Arial"/>
          <w:i/>
        </w:rPr>
        <w:t xml:space="preserve">: </w:t>
      </w:r>
      <w:r w:rsidR="00231C2B" w:rsidRPr="00545EC0">
        <w:rPr>
          <w:rFonts w:cs="Arial"/>
          <w:i/>
        </w:rPr>
        <w:t>Zavarovana in varovana območja</w:t>
      </w:r>
      <w:r w:rsidRPr="00545EC0">
        <w:rPr>
          <w:rFonts w:cs="Arial"/>
          <w:i/>
        </w:rPr>
        <w:t xml:space="preserve"> – ekološko pomembna območja</w:t>
      </w:r>
      <w:r w:rsidR="00173DF4" w:rsidRPr="00545EC0">
        <w:rPr>
          <w:rFonts w:cs="Arial"/>
          <w:i/>
        </w:rPr>
        <w:t>)</w:t>
      </w:r>
      <w:r w:rsidR="00231C2B" w:rsidRPr="00545EC0">
        <w:rPr>
          <w:rFonts w:cs="Arial"/>
          <w:i/>
        </w:rPr>
        <w:t>.</w:t>
      </w:r>
      <w:r w:rsidRPr="00545EC0">
        <w:rPr>
          <w:rFonts w:cs="Arial"/>
          <w:i/>
        </w:rPr>
        <w:t xml:space="preserve"> </w:t>
      </w:r>
    </w:p>
    <w:p w14:paraId="6088F526" w14:textId="77777777" w:rsidR="00CA5785" w:rsidRPr="00545EC0" w:rsidRDefault="00CA5785" w:rsidP="00CA5785">
      <w:pPr>
        <w:rPr>
          <w:rFonts w:cs="Arial"/>
        </w:rPr>
      </w:pPr>
    </w:p>
    <w:p w14:paraId="0131927E" w14:textId="77777777" w:rsidR="00CA5785" w:rsidRPr="00545EC0" w:rsidRDefault="00CA5785" w:rsidP="00CA5785">
      <w:pPr>
        <w:rPr>
          <w:rFonts w:cs="Arial"/>
        </w:rPr>
      </w:pPr>
      <w:r w:rsidRPr="00545EC0">
        <w:rPr>
          <w:rFonts w:cs="Arial"/>
        </w:rPr>
        <w:t>Naravna vrednota je poleg redkega, dragocenega ali znamenitega naravnega pojava tudi drug vredni pojav, del žive ali nežive narave, naravno območje ali del naravnega območja, ekosistem, krajina ali oblikovana narava. To so geološki pojavi, minerali in fosili ter njihova nahajališča, površinski in podzemski kraški pojavi, podzemske jame, soteske in tesni ter drugi geomorfološki pojavi, ledeniki in oblike ledeniškega delovanja, izviri, slapovi, brzice, jezera, barja, potoki in reke z obrežji, morska obala, rastlinske in živalske vrste, njihovi izjemni osebki ter njihovi življenjski prostori, ekosistemi, krajina in oblikovana narava (</w:t>
      </w:r>
      <w:r w:rsidRPr="00545EC0">
        <w:rPr>
          <w:rFonts w:cs="Arial"/>
        </w:rPr>
        <w:fldChar w:fldCharType="begin"/>
      </w:r>
      <w:r w:rsidRPr="00545EC0">
        <w:rPr>
          <w:rFonts w:cs="Arial"/>
        </w:rPr>
        <w:instrText xml:space="preserve"> REF _Ref289152994 \h  \* MERGEFORMAT </w:instrText>
      </w:r>
      <w:r w:rsidRPr="00545EC0">
        <w:rPr>
          <w:rFonts w:cs="Arial"/>
        </w:rPr>
      </w:r>
      <w:r w:rsidRPr="00545EC0">
        <w:rPr>
          <w:rFonts w:cs="Arial"/>
        </w:rPr>
        <w:fldChar w:fldCharType="separate"/>
      </w:r>
      <w:r w:rsidR="002F3E43" w:rsidRPr="002F3E43">
        <w:rPr>
          <w:rFonts w:cs="Arial"/>
        </w:rPr>
        <w:t>Slika 2</w:t>
      </w:r>
      <w:r w:rsidR="002F3E43" w:rsidRPr="002F3E43">
        <w:rPr>
          <w:rFonts w:cs="Arial"/>
        </w:rPr>
        <w:noBreakHyphen/>
        <w:t>49</w:t>
      </w:r>
      <w:r w:rsidRPr="00545EC0">
        <w:rPr>
          <w:rFonts w:cs="Arial"/>
        </w:rPr>
        <w:fldChar w:fldCharType="end"/>
      </w:r>
      <w:r w:rsidRPr="00545EC0">
        <w:rPr>
          <w:rFonts w:cs="Arial"/>
        </w:rPr>
        <w:t>).</w:t>
      </w:r>
    </w:p>
    <w:p w14:paraId="65CD9D86" w14:textId="77777777" w:rsidR="00CA5785" w:rsidRPr="00545EC0" w:rsidRDefault="00CA5785" w:rsidP="00CA5785">
      <w:pPr>
        <w:rPr>
          <w:rFonts w:cs="Arial"/>
        </w:rPr>
      </w:pPr>
    </w:p>
    <w:p w14:paraId="1C210EE6" w14:textId="77777777" w:rsidR="00CA5785" w:rsidRPr="00545EC0" w:rsidRDefault="00CA5785" w:rsidP="00CA5785">
      <w:pPr>
        <w:rPr>
          <w:rFonts w:cs="Arial"/>
        </w:rPr>
      </w:pPr>
    </w:p>
    <w:p w14:paraId="06ABDF7C" w14:textId="291C726E" w:rsidR="0084567C" w:rsidRPr="00545EC0" w:rsidRDefault="00CA5785" w:rsidP="003122F4">
      <w:r w:rsidRPr="00545EC0">
        <w:rPr>
          <w:rFonts w:cs="Arial"/>
          <w:noProof/>
        </w:rPr>
        <w:lastRenderedPageBreak/>
        <w:drawing>
          <wp:inline distT="0" distB="0" distL="0" distR="0" wp14:anchorId="64EC5D40" wp14:editId="184443A0">
            <wp:extent cx="5391150" cy="3473493"/>
            <wp:effectExtent l="19050" t="19050" r="19050" b="1270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02359" cy="3480715"/>
                    </a:xfrm>
                    <a:prstGeom prst="rect">
                      <a:avLst/>
                    </a:prstGeom>
                    <a:noFill/>
                    <a:ln w="9525">
                      <a:solidFill>
                        <a:schemeClr val="bg1">
                          <a:lumMod val="85000"/>
                        </a:schemeClr>
                      </a:solidFill>
                    </a:ln>
                  </pic:spPr>
                </pic:pic>
              </a:graphicData>
            </a:graphic>
          </wp:inline>
        </w:drawing>
      </w:r>
      <w:bookmarkStart w:id="443" w:name="_Ref243475115"/>
      <w:bookmarkStart w:id="444" w:name="_Toc245540887"/>
      <w:bookmarkStart w:id="445" w:name="_Toc275949749"/>
    </w:p>
    <w:p w14:paraId="12974F82" w14:textId="7F4D709A" w:rsidR="00CA5785" w:rsidRPr="00545EC0" w:rsidRDefault="00CA5785" w:rsidP="00CA5785">
      <w:pPr>
        <w:pStyle w:val="Napis"/>
      </w:pPr>
      <w:bookmarkStart w:id="446" w:name="_Ref289152994"/>
      <w:bookmarkStart w:id="447" w:name="_Toc419097453"/>
      <w:bookmarkStart w:id="448" w:name="_Toc299420931"/>
      <w:bookmarkStart w:id="449" w:name="_Toc427913944"/>
      <w:r w:rsidRPr="00545EC0">
        <w:t xml:space="preserve">Slika </w:t>
      </w:r>
      <w:fldSimple w:instr=" STYLEREF 1 \s ">
        <w:r w:rsidR="002F3E43">
          <w:rPr>
            <w:noProof/>
          </w:rPr>
          <w:t>2</w:t>
        </w:r>
      </w:fldSimple>
      <w:r w:rsidR="00396E1E" w:rsidRPr="00545EC0">
        <w:noBreakHyphen/>
      </w:r>
      <w:fldSimple w:instr=" SEQ Slika \* ARABIC \s 1 ">
        <w:r w:rsidR="002F3E43">
          <w:rPr>
            <w:noProof/>
          </w:rPr>
          <w:t>49</w:t>
        </w:r>
      </w:fldSimple>
      <w:bookmarkEnd w:id="443"/>
      <w:bookmarkEnd w:id="446"/>
      <w:r w:rsidRPr="00545EC0">
        <w:t>: Delež pojavljanja posameznih zvrsti naravnih vrednot</w:t>
      </w:r>
      <w:bookmarkEnd w:id="444"/>
      <w:r w:rsidRPr="00545EC0">
        <w:t xml:space="preserve"> </w:t>
      </w:r>
      <w:bookmarkEnd w:id="445"/>
      <w:bookmarkEnd w:id="447"/>
      <w:bookmarkEnd w:id="448"/>
      <w:bookmarkEnd w:id="449"/>
    </w:p>
    <w:p w14:paraId="47555B53" w14:textId="77777777" w:rsidR="00D5428C" w:rsidRPr="00545EC0" w:rsidRDefault="00D5428C" w:rsidP="00CA5785">
      <w:pPr>
        <w:rPr>
          <w:rFonts w:cs="Arial"/>
        </w:rPr>
      </w:pPr>
    </w:p>
    <w:p w14:paraId="3480D0BD" w14:textId="77777777" w:rsidR="00FA586F" w:rsidRPr="00545EC0" w:rsidRDefault="00FA586F" w:rsidP="00FA586F">
      <w:pPr>
        <w:rPr>
          <w:rFonts w:cs="Arial"/>
        </w:rPr>
      </w:pPr>
      <w:r w:rsidRPr="00545EC0">
        <w:rPr>
          <w:rFonts w:cs="Arial"/>
        </w:rPr>
        <w:t>Zavarovanje območja je ukrep varstva narave, ki se vzpostavi z aktom o zavarovanju. Zavaruje se lahko:</w:t>
      </w:r>
    </w:p>
    <w:p w14:paraId="4CD4A904" w14:textId="77777777" w:rsidR="00FA586F" w:rsidRPr="00545EC0" w:rsidRDefault="00FA586F" w:rsidP="00DD37C5">
      <w:pPr>
        <w:pStyle w:val="Odstavekseznama"/>
        <w:numPr>
          <w:ilvl w:val="0"/>
          <w:numId w:val="91"/>
        </w:numPr>
        <w:tabs>
          <w:tab w:val="left" w:pos="426"/>
        </w:tabs>
        <w:overflowPunct/>
        <w:autoSpaceDE/>
        <w:autoSpaceDN/>
        <w:adjustRightInd/>
        <w:ind w:left="426" w:hanging="426"/>
        <w:contextualSpacing/>
        <w:textAlignment w:val="auto"/>
        <w:rPr>
          <w:rFonts w:cs="Arial"/>
          <w:lang w:val="sl-SI"/>
        </w:rPr>
      </w:pPr>
      <w:r w:rsidRPr="00545EC0">
        <w:rPr>
          <w:rFonts w:cs="Arial"/>
          <w:lang w:val="sl-SI"/>
        </w:rPr>
        <w:t>naravne vrednote, ekološko pomembna območja, območja Natura 2000</w:t>
      </w:r>
    </w:p>
    <w:p w14:paraId="1564EDCD" w14:textId="77777777" w:rsidR="00FA586F" w:rsidRPr="00545EC0" w:rsidRDefault="00FA586F" w:rsidP="00DD37C5">
      <w:pPr>
        <w:pStyle w:val="Odstavekseznama"/>
        <w:numPr>
          <w:ilvl w:val="0"/>
          <w:numId w:val="91"/>
        </w:numPr>
        <w:tabs>
          <w:tab w:val="left" w:pos="426"/>
        </w:tabs>
        <w:overflowPunct/>
        <w:autoSpaceDE/>
        <w:autoSpaceDN/>
        <w:adjustRightInd/>
        <w:ind w:left="426" w:hanging="426"/>
        <w:contextualSpacing/>
        <w:textAlignment w:val="auto"/>
        <w:rPr>
          <w:rFonts w:cs="Arial"/>
          <w:lang w:val="sl-SI"/>
        </w:rPr>
      </w:pPr>
      <w:r w:rsidRPr="00545EC0">
        <w:rPr>
          <w:rFonts w:cs="Arial"/>
          <w:lang w:val="sl-SI"/>
        </w:rPr>
        <w:t>rastlinske in živalske vrste, njihove izjemne osebke ali populacije,</w:t>
      </w:r>
    </w:p>
    <w:p w14:paraId="5C0381CD" w14:textId="4FE083D4" w:rsidR="00FA586F" w:rsidRPr="00545EC0" w:rsidRDefault="00FA586F" w:rsidP="00DD37C5">
      <w:pPr>
        <w:pStyle w:val="Odstavekseznama"/>
        <w:numPr>
          <w:ilvl w:val="0"/>
          <w:numId w:val="91"/>
        </w:numPr>
        <w:tabs>
          <w:tab w:val="left" w:pos="426"/>
        </w:tabs>
        <w:overflowPunct/>
        <w:autoSpaceDE/>
        <w:autoSpaceDN/>
        <w:adjustRightInd/>
        <w:ind w:left="426" w:hanging="426"/>
        <w:contextualSpacing/>
        <w:textAlignment w:val="auto"/>
        <w:rPr>
          <w:rFonts w:cs="Arial"/>
          <w:lang w:val="sl-SI"/>
        </w:rPr>
      </w:pPr>
      <w:r w:rsidRPr="00545EC0">
        <w:rPr>
          <w:rFonts w:cs="Arial"/>
          <w:lang w:val="sl-SI"/>
        </w:rPr>
        <w:t>minerale in fosile.</w:t>
      </w:r>
    </w:p>
    <w:p w14:paraId="60AE8C50" w14:textId="77777777" w:rsidR="00CA5785" w:rsidRPr="00545EC0" w:rsidRDefault="00CA5785" w:rsidP="00CA5785">
      <w:pPr>
        <w:rPr>
          <w:rFonts w:cs="Arial"/>
        </w:rPr>
      </w:pPr>
      <w:r w:rsidRPr="00545EC0">
        <w:rPr>
          <w:rFonts w:cs="Arial"/>
        </w:rPr>
        <w:t>Zakon o ohranjanju narave opredeljuje širša zavarovana območja, med katera spadajo narodni park, regijski park in krajinski park, ter ožja zavarovana območja: strogi naravni rezervat, naravni rezervat in naravni spomenik. Na zavarovanih območjih veljajo predpisani varstveni režimi.</w:t>
      </w:r>
    </w:p>
    <w:p w14:paraId="2349C6AF" w14:textId="77777777" w:rsidR="00CA5785" w:rsidRPr="00545EC0" w:rsidRDefault="00CA5785" w:rsidP="00CA5785">
      <w:pPr>
        <w:rPr>
          <w:rFonts w:cs="Arial"/>
        </w:rPr>
      </w:pPr>
    </w:p>
    <w:p w14:paraId="6057F772" w14:textId="435EAB6B" w:rsidR="00CA5785" w:rsidRPr="00545EC0" w:rsidRDefault="00CA5785" w:rsidP="00CA5785">
      <w:pPr>
        <w:rPr>
          <w:rFonts w:cs="Arial"/>
        </w:rPr>
      </w:pPr>
      <w:r w:rsidRPr="00545EC0">
        <w:rPr>
          <w:rFonts w:cs="Arial"/>
        </w:rPr>
        <w:t>Delež zavarovanih območij v Sloveniji danes znaša približno 12 %: 1 narodni park, 3 regijski parki, 43 krajinskih parkov, 1 strogi naravni rezervat, 51 naravnih rezervatov in 1.185 naravnih spomenikov, ki so zavarovani z državnimi ali občinskimi akti.</w:t>
      </w:r>
    </w:p>
    <w:p w14:paraId="29BCC262" w14:textId="77777777" w:rsidR="00CA5785" w:rsidRPr="00545EC0" w:rsidRDefault="00CA5785" w:rsidP="00CA5785">
      <w:pPr>
        <w:rPr>
          <w:rFonts w:cs="Arial"/>
        </w:rPr>
      </w:pPr>
    </w:p>
    <w:p w14:paraId="4979E7A4" w14:textId="1EF5FB93" w:rsidR="00CA5785" w:rsidRPr="00545EC0" w:rsidRDefault="00CA5785" w:rsidP="00CA5785">
      <w:pPr>
        <w:rPr>
          <w:rFonts w:cs="Arial"/>
        </w:rPr>
      </w:pPr>
      <w:r w:rsidRPr="00545EC0">
        <w:rPr>
          <w:rFonts w:cs="Arial"/>
        </w:rPr>
        <w:t xml:space="preserve">Podatki za obdobje zadnjih desetih let kažejo na porast deleža zavarovanih območij, pri čemer pomemben delež teh območij predstavlja edini narodni park v Sloveniji, Triglavski narodni park, v obstoječi velikosti razglašen že leta 1981. Zavarovana površina se je v zadnjih letih povečevala med drugim tudi zaradi razglasitve treh večjih parkov; in sicer Notranjskega regijskega parka, Krajinskega parka Goričko in Krajinskega parka Ljubljansko barje. Regijski park Kamniško-Savinjske Alpe pa je trenutno še v ustanavljanju. </w:t>
      </w:r>
    </w:p>
    <w:p w14:paraId="64B867B3" w14:textId="77777777" w:rsidR="00CA5785" w:rsidRPr="00545EC0" w:rsidRDefault="00CA5785" w:rsidP="00CA5785">
      <w:pPr>
        <w:rPr>
          <w:rFonts w:cs="Arial"/>
        </w:rPr>
      </w:pPr>
    </w:p>
    <w:p w14:paraId="116F382A" w14:textId="77777777" w:rsidR="00CA5785" w:rsidRPr="00545EC0" w:rsidRDefault="00CA5785" w:rsidP="00CA5785">
      <w:pPr>
        <w:rPr>
          <w:rFonts w:cs="Arial"/>
        </w:rPr>
      </w:pPr>
      <w:r w:rsidRPr="00545EC0">
        <w:rPr>
          <w:rFonts w:cs="Arial"/>
        </w:rPr>
        <w:t>Zavarovana območja se deloma prekrivajo z varstvenimi območji Natura 2000. Zavzemajo manjšo površino kot območja Natura 2000, imajo pa višjo stopnjo organiziranosti z izdelanimi upravljavskimi načrti in določenimi upravljavci.</w:t>
      </w:r>
    </w:p>
    <w:p w14:paraId="72CA5994" w14:textId="5DC0EB73" w:rsidR="00CA5785" w:rsidRPr="00545EC0" w:rsidRDefault="00FA586F" w:rsidP="00CA5785">
      <w:pPr>
        <w:rPr>
          <w:rFonts w:cs="Arial"/>
        </w:rPr>
      </w:pPr>
      <w:r w:rsidRPr="00545EC0">
        <w:rPr>
          <w:rFonts w:cs="Arial"/>
        </w:rPr>
        <w:t>Zavarovana in varovana območja so prikazana na publikacijskih kartah:</w:t>
      </w:r>
    </w:p>
    <w:p w14:paraId="57DB770E" w14:textId="0669F472" w:rsidR="00CA5785" w:rsidRPr="00545EC0" w:rsidRDefault="00CA5785" w:rsidP="00DD37C5">
      <w:pPr>
        <w:pStyle w:val="Odstavekseznama"/>
        <w:numPr>
          <w:ilvl w:val="0"/>
          <w:numId w:val="91"/>
        </w:numPr>
        <w:tabs>
          <w:tab w:val="left" w:pos="426"/>
        </w:tabs>
        <w:overflowPunct/>
        <w:autoSpaceDE/>
        <w:autoSpaceDN/>
        <w:adjustRightInd/>
        <w:ind w:left="426" w:hanging="426"/>
        <w:contextualSpacing/>
        <w:textAlignment w:val="auto"/>
        <w:rPr>
          <w:rFonts w:cs="Arial"/>
          <w:i/>
          <w:lang w:val="sl-SI"/>
        </w:rPr>
      </w:pPr>
      <w:r w:rsidRPr="00545EC0">
        <w:rPr>
          <w:rFonts w:cs="Arial"/>
          <w:i/>
          <w:lang w:val="sl-SI"/>
        </w:rPr>
        <w:t>Publikacijska karta</w:t>
      </w:r>
      <w:r w:rsidR="00231C2B" w:rsidRPr="00545EC0">
        <w:rPr>
          <w:rFonts w:cs="Arial"/>
          <w:i/>
          <w:lang w:val="sl-SI"/>
        </w:rPr>
        <w:t xml:space="preserve"> 10.10</w:t>
      </w:r>
      <w:r w:rsidRPr="00545EC0">
        <w:rPr>
          <w:rFonts w:cs="Arial"/>
          <w:i/>
          <w:lang w:val="sl-SI"/>
        </w:rPr>
        <w:t xml:space="preserve">: Zavarovana in varovana območja – območja Natura 2000 </w:t>
      </w:r>
    </w:p>
    <w:p w14:paraId="19732A55" w14:textId="29D35E35" w:rsidR="00CA5785" w:rsidRPr="00545EC0" w:rsidRDefault="00CA5785" w:rsidP="00DD37C5">
      <w:pPr>
        <w:pStyle w:val="Odstavekseznama"/>
        <w:numPr>
          <w:ilvl w:val="0"/>
          <w:numId w:val="91"/>
        </w:numPr>
        <w:tabs>
          <w:tab w:val="left" w:pos="426"/>
        </w:tabs>
        <w:overflowPunct/>
        <w:autoSpaceDE/>
        <w:autoSpaceDN/>
        <w:adjustRightInd/>
        <w:ind w:left="426" w:hanging="426"/>
        <w:contextualSpacing/>
        <w:textAlignment w:val="auto"/>
        <w:rPr>
          <w:rFonts w:cs="Arial"/>
          <w:i/>
          <w:lang w:val="sl-SI"/>
        </w:rPr>
      </w:pPr>
      <w:r w:rsidRPr="00545EC0">
        <w:rPr>
          <w:rFonts w:cs="Arial"/>
          <w:i/>
          <w:lang w:val="sl-SI"/>
        </w:rPr>
        <w:t>Publikacijska karta</w:t>
      </w:r>
      <w:r w:rsidR="00231C2B" w:rsidRPr="00545EC0">
        <w:rPr>
          <w:rFonts w:cs="Arial"/>
          <w:i/>
          <w:lang w:val="sl-SI"/>
        </w:rPr>
        <w:t xml:space="preserve"> 10.11</w:t>
      </w:r>
      <w:r w:rsidRPr="00545EC0">
        <w:rPr>
          <w:rFonts w:cs="Arial"/>
          <w:i/>
          <w:lang w:val="sl-SI"/>
        </w:rPr>
        <w:t xml:space="preserve">: zavarovana in varovana območja –  ekološko pomembna območja </w:t>
      </w:r>
    </w:p>
    <w:p w14:paraId="722BB4F9" w14:textId="2CD1D1D9" w:rsidR="00CA5785" w:rsidRPr="00545EC0" w:rsidRDefault="00CA5785" w:rsidP="00DD37C5">
      <w:pPr>
        <w:pStyle w:val="Odstavekseznama"/>
        <w:numPr>
          <w:ilvl w:val="0"/>
          <w:numId w:val="91"/>
        </w:numPr>
        <w:tabs>
          <w:tab w:val="left" w:pos="426"/>
        </w:tabs>
        <w:overflowPunct/>
        <w:autoSpaceDE/>
        <w:autoSpaceDN/>
        <w:adjustRightInd/>
        <w:ind w:left="426" w:hanging="426"/>
        <w:contextualSpacing/>
        <w:textAlignment w:val="auto"/>
        <w:rPr>
          <w:rFonts w:cs="Arial"/>
          <w:i/>
          <w:lang w:val="sl-SI"/>
        </w:rPr>
      </w:pPr>
      <w:r w:rsidRPr="00545EC0">
        <w:rPr>
          <w:rFonts w:cs="Arial"/>
          <w:i/>
          <w:lang w:val="sl-SI"/>
        </w:rPr>
        <w:t>Publikacijska karta</w:t>
      </w:r>
      <w:r w:rsidR="00231C2B" w:rsidRPr="00545EC0">
        <w:rPr>
          <w:rFonts w:cs="Arial"/>
          <w:i/>
          <w:lang w:val="sl-SI"/>
        </w:rPr>
        <w:t xml:space="preserve"> 10.12</w:t>
      </w:r>
      <w:r w:rsidRPr="00545EC0">
        <w:rPr>
          <w:rFonts w:cs="Arial"/>
          <w:i/>
          <w:lang w:val="sl-SI"/>
        </w:rPr>
        <w:t xml:space="preserve">: Zavarovana in varovana območja – zavarovana območja </w:t>
      </w:r>
    </w:p>
    <w:p w14:paraId="11CABA35" w14:textId="086C4D53" w:rsidR="00CA5785" w:rsidRPr="00545EC0" w:rsidRDefault="00CA5785" w:rsidP="00DD37C5">
      <w:pPr>
        <w:pStyle w:val="Odstavekseznama"/>
        <w:numPr>
          <w:ilvl w:val="0"/>
          <w:numId w:val="91"/>
        </w:numPr>
        <w:tabs>
          <w:tab w:val="left" w:pos="426"/>
        </w:tabs>
        <w:overflowPunct/>
        <w:autoSpaceDE/>
        <w:autoSpaceDN/>
        <w:adjustRightInd/>
        <w:ind w:left="426" w:hanging="426"/>
        <w:contextualSpacing/>
        <w:textAlignment w:val="auto"/>
        <w:rPr>
          <w:rFonts w:cs="Arial"/>
        </w:rPr>
      </w:pPr>
      <w:r w:rsidRPr="00545EC0">
        <w:rPr>
          <w:rFonts w:cs="Arial"/>
          <w:i/>
          <w:lang w:val="sl-SI"/>
        </w:rPr>
        <w:t>Publikacijska karta</w:t>
      </w:r>
      <w:r w:rsidR="00231C2B" w:rsidRPr="00545EC0">
        <w:rPr>
          <w:rFonts w:cs="Arial"/>
          <w:i/>
          <w:lang w:val="sl-SI"/>
        </w:rPr>
        <w:t xml:space="preserve"> 10.13</w:t>
      </w:r>
      <w:r w:rsidRPr="00545EC0">
        <w:rPr>
          <w:rFonts w:cs="Arial"/>
          <w:i/>
          <w:lang w:val="sl-SI"/>
        </w:rPr>
        <w:t>: Zavarovana in varovana območja – naravne vrednote</w:t>
      </w:r>
    </w:p>
    <w:p w14:paraId="6DE134F9" w14:textId="77777777" w:rsidR="00CA5785" w:rsidRPr="00545EC0" w:rsidRDefault="00CA5785" w:rsidP="00CA5785">
      <w:pPr>
        <w:rPr>
          <w:rFonts w:cs="Arial"/>
        </w:rPr>
      </w:pPr>
    </w:p>
    <w:p w14:paraId="41E763CC" w14:textId="4D158BB2" w:rsidR="00CA5785" w:rsidRPr="00545EC0" w:rsidRDefault="00CA5785" w:rsidP="00CA5785">
      <w:pPr>
        <w:rPr>
          <w:rFonts w:cs="Arial"/>
        </w:rPr>
      </w:pPr>
      <w:r w:rsidRPr="00545EC0">
        <w:rPr>
          <w:rFonts w:cs="Arial"/>
        </w:rPr>
        <w:t xml:space="preserve">Na VO Donave ekološko pomembna območja segajo na 99 % VTPV, naravne vrednote </w:t>
      </w:r>
      <w:r w:rsidR="00173DF4" w:rsidRPr="00545EC0">
        <w:rPr>
          <w:rFonts w:cs="Arial"/>
        </w:rPr>
        <w:t xml:space="preserve">so </w:t>
      </w:r>
      <w:r w:rsidRPr="00545EC0">
        <w:rPr>
          <w:rFonts w:cs="Arial"/>
        </w:rPr>
        <w:t>na vseh VTPV, zavarovana območja</w:t>
      </w:r>
      <w:r w:rsidR="00173DF4" w:rsidRPr="00545EC0">
        <w:rPr>
          <w:rFonts w:cs="Arial"/>
        </w:rPr>
        <w:t xml:space="preserve"> so</w:t>
      </w:r>
      <w:r w:rsidRPr="00545EC0">
        <w:rPr>
          <w:rFonts w:cs="Arial"/>
        </w:rPr>
        <w:t xml:space="preserve"> na 64 % in območja Natura 2000 na 82 % VTPV.</w:t>
      </w:r>
    </w:p>
    <w:p w14:paraId="46B44738" w14:textId="6B4A9F40" w:rsidR="009A3FFA" w:rsidRPr="00545EC0" w:rsidRDefault="009A3FFA">
      <w:pPr>
        <w:pStyle w:val="Naslov3"/>
      </w:pPr>
      <w:bookmarkStart w:id="450" w:name="_Toc90261044"/>
      <w:r w:rsidRPr="00545EC0">
        <w:t>Območja varstvenih voda v skladu s predpisi, ki urejajo ribištvo</w:t>
      </w:r>
      <w:bookmarkEnd w:id="450"/>
    </w:p>
    <w:p w14:paraId="0D1CF7E1" w14:textId="775F2940" w:rsidR="000D7729" w:rsidRPr="00545EC0" w:rsidRDefault="000D7729" w:rsidP="0010797F">
      <w:pPr>
        <w:rPr>
          <w:rFonts w:cs="Arial"/>
        </w:rPr>
      </w:pPr>
      <w:r w:rsidRPr="00545EC0">
        <w:rPr>
          <w:rFonts w:cs="Arial"/>
        </w:rPr>
        <w:t xml:space="preserve">Območja varstvenih voda pomembna za ribištvo, so določena na podlagi </w:t>
      </w:r>
      <w:r w:rsidR="008546CF" w:rsidRPr="00545EC0">
        <w:rPr>
          <w:rFonts w:cs="Arial"/>
        </w:rPr>
        <w:t xml:space="preserve">zakona, ki ureja sladkovodno ribištvo. </w:t>
      </w:r>
      <w:r w:rsidR="001A208E" w:rsidRPr="00545EC0">
        <w:rPr>
          <w:rFonts w:cs="Arial"/>
        </w:rPr>
        <w:t xml:space="preserve">S predpisom, ki ureja določitev voda posebnega pomena </w:t>
      </w:r>
      <w:r w:rsidR="00FA586F" w:rsidRPr="00545EC0">
        <w:rPr>
          <w:rFonts w:cs="Arial"/>
        </w:rPr>
        <w:t>ter z načinom izvajanja ribiškega upravljanja v njih ,</w:t>
      </w:r>
      <w:r w:rsidR="001A208E" w:rsidRPr="00545EC0">
        <w:rPr>
          <w:rFonts w:cs="Arial"/>
        </w:rPr>
        <w:t xml:space="preserve"> </w:t>
      </w:r>
      <w:r w:rsidRPr="00545EC0">
        <w:rPr>
          <w:rFonts w:cs="Arial"/>
        </w:rPr>
        <w:t xml:space="preserve">so določene vode posebnega pomena; to so vode, ki so z vidika varstva rib </w:t>
      </w:r>
      <w:r w:rsidR="00173DF4" w:rsidRPr="00545EC0">
        <w:rPr>
          <w:rFonts w:cs="Arial"/>
        </w:rPr>
        <w:t xml:space="preserve">ene </w:t>
      </w:r>
      <w:r w:rsidRPr="00545EC0">
        <w:rPr>
          <w:rFonts w:cs="Arial"/>
        </w:rPr>
        <w:t>od najbolj ohranjenih vodnih ekosistemov in so zlasti značilne in ugodne za razvoj ter ohranjanje posameznih domorodnih vrst rib.</w:t>
      </w:r>
    </w:p>
    <w:p w14:paraId="2B5E1F9F" w14:textId="77777777" w:rsidR="000D7729" w:rsidRPr="00545EC0" w:rsidRDefault="000D7729" w:rsidP="0010797F">
      <w:pPr>
        <w:rPr>
          <w:rFonts w:cs="Arial"/>
        </w:rPr>
      </w:pPr>
    </w:p>
    <w:p w14:paraId="54EFE908" w14:textId="77777777" w:rsidR="000D7729" w:rsidRPr="00545EC0" w:rsidRDefault="000D7729" w:rsidP="0010797F">
      <w:pPr>
        <w:rPr>
          <w:rFonts w:cs="Arial"/>
        </w:rPr>
      </w:pPr>
      <w:r w:rsidRPr="00545EC0">
        <w:rPr>
          <w:rFonts w:cs="Arial"/>
        </w:rPr>
        <w:t>Vode posebnega pomena so posamezne vode ali njihovi odseki, ki so izvzeti iz ribiških okolišev. Ribiško upravljanje v vodah posebnega pomena je pod neposrednim nadzorom države; upravljanje v vodah posebnega pomena izvaja Zavod za ribištvo Slovenije. Poteka na podlagi srednjeročnega načrta ribiškega upravljanja v vodah posebnega pomena, ki ga Zavod za ribištvo Slovenije (ZZRS) izdela v skladu z načrtom izvajanja ribiškega upravljanja posameznega ribiškega okoliša (RO), znotraj katerega se nahajajo posamezni revirji voda posebnega pomena. Operativno izvajanje ribiškega upravljanje poteka skladno z letnim načrtom ribiškega upravljanja in z letnim programom dela ZZRS.</w:t>
      </w:r>
    </w:p>
    <w:p w14:paraId="12CBC2AF" w14:textId="77777777" w:rsidR="000D7729" w:rsidRPr="00545EC0" w:rsidRDefault="000D7729" w:rsidP="0010797F">
      <w:pPr>
        <w:rPr>
          <w:rFonts w:cs="Arial"/>
        </w:rPr>
      </w:pPr>
      <w:r w:rsidRPr="00545EC0">
        <w:rPr>
          <w:rFonts w:cs="Arial"/>
        </w:rPr>
        <w:t xml:space="preserve"> </w:t>
      </w:r>
    </w:p>
    <w:p w14:paraId="1390D7B0" w14:textId="77777777" w:rsidR="000D7729" w:rsidRPr="00545EC0" w:rsidRDefault="000D7729" w:rsidP="0010797F">
      <w:pPr>
        <w:rPr>
          <w:rFonts w:cs="Arial"/>
        </w:rPr>
      </w:pPr>
      <w:r w:rsidRPr="00545EC0">
        <w:rPr>
          <w:rFonts w:cs="Arial"/>
        </w:rPr>
        <w:t>Na VO Donave so vode posebnega pomena:</w:t>
      </w:r>
    </w:p>
    <w:p w14:paraId="36AF36CE" w14:textId="35057FD0" w:rsidR="000D7729" w:rsidRPr="00545EC0" w:rsidRDefault="000D7729"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 xml:space="preserve">Radovna od izvira do spodnjega jezu </w:t>
      </w:r>
      <w:r w:rsidR="00173DF4" w:rsidRPr="00545EC0">
        <w:rPr>
          <w:rFonts w:cs="Arial"/>
          <w:lang w:val="sl-SI"/>
        </w:rPr>
        <w:t>h</w:t>
      </w:r>
      <w:r w:rsidRPr="00545EC0">
        <w:rPr>
          <w:rFonts w:cs="Arial"/>
          <w:lang w:val="sl-SI"/>
        </w:rPr>
        <w:t xml:space="preserve">idroelektrarne Vintgar, </w:t>
      </w:r>
    </w:p>
    <w:p w14:paraId="7AD65BB1" w14:textId="77777777" w:rsidR="000D7729" w:rsidRPr="00545EC0" w:rsidRDefault="000D7729"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 xml:space="preserve">Sava Bohinjka od cestnega mostu pod Bohinjsko Bistrico do jezu v Soteski s pritoki, ter Triglavska jezera, </w:t>
      </w:r>
    </w:p>
    <w:p w14:paraId="0C8893DC" w14:textId="77777777" w:rsidR="000D7729" w:rsidRPr="00545EC0" w:rsidRDefault="000D7729"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 xml:space="preserve">Unica od izvira do poniknjenja s pritoki, </w:t>
      </w:r>
    </w:p>
    <w:p w14:paraId="6E9D0A74" w14:textId="77777777" w:rsidR="000D7729" w:rsidRPr="00545EC0" w:rsidRDefault="000D7729"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 xml:space="preserve">Iščica od izvira do mostu v Hauptmancah s pritoki, razen Želimeljščice, </w:t>
      </w:r>
    </w:p>
    <w:p w14:paraId="19A6F270" w14:textId="77777777" w:rsidR="000D7729" w:rsidRPr="00545EC0" w:rsidRDefault="000D7729"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 xml:space="preserve">Sava od izliva Ljubljanice na desnem bregu do mostu v Litiji s pritoki, razen Dolske Mlinščice, </w:t>
      </w:r>
    </w:p>
    <w:p w14:paraId="34AF748D" w14:textId="77777777" w:rsidR="000D7729" w:rsidRPr="00545EC0" w:rsidRDefault="000D7729"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 xml:space="preserve">Kolpa od jezu v Slavskem Lazu do jezu v Dolu pri Starem Trgu s pritoki na levem bregu, </w:t>
      </w:r>
    </w:p>
    <w:p w14:paraId="4A171219" w14:textId="77777777" w:rsidR="000D7729" w:rsidRPr="00545EC0" w:rsidRDefault="000D7729"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 xml:space="preserve">Obrh v Loški dolini s pritoki; Cerkniško jezero od izvira Stržena do črte Retje–Ponikve–Vrata–Zadnji kraj s pritoki, </w:t>
      </w:r>
    </w:p>
    <w:p w14:paraId="721E30DB" w14:textId="77777777" w:rsidR="000D7729" w:rsidRPr="00545EC0" w:rsidRDefault="000D7729"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 xml:space="preserve">Krka od izvirov do jezu elektrarne v Zagradcu s pritoki, razen Višnjice; Višnjica od mostu Krška vas–Trebnja Gorica do izliva v Krko. </w:t>
      </w:r>
    </w:p>
    <w:p w14:paraId="0B45315B" w14:textId="77777777" w:rsidR="000D7729" w:rsidRPr="00545EC0" w:rsidRDefault="000D7729" w:rsidP="0010797F">
      <w:pPr>
        <w:rPr>
          <w:rFonts w:cs="Arial"/>
        </w:rPr>
      </w:pPr>
    </w:p>
    <w:p w14:paraId="788323D5" w14:textId="18FD71E3" w:rsidR="008D7A4E" w:rsidRDefault="000D7729" w:rsidP="0010797F">
      <w:pPr>
        <w:rPr>
          <w:rFonts w:cs="Arial"/>
          <w:bCs/>
          <w:i/>
          <w:kern w:val="32"/>
        </w:rPr>
      </w:pPr>
      <w:r w:rsidRPr="00545EC0">
        <w:rPr>
          <w:rFonts w:cs="Arial"/>
          <w:bCs/>
          <w:kern w:val="32"/>
        </w:rPr>
        <w:t xml:space="preserve">Območja so prikazana na </w:t>
      </w:r>
      <w:r w:rsidR="00231C2B" w:rsidRPr="00545EC0">
        <w:rPr>
          <w:rFonts w:cs="Arial"/>
          <w:bCs/>
          <w:kern w:val="32"/>
        </w:rPr>
        <w:t xml:space="preserve">publikacijski </w:t>
      </w:r>
      <w:r w:rsidRPr="00545EC0">
        <w:rPr>
          <w:rFonts w:cs="Arial"/>
          <w:bCs/>
          <w:kern w:val="32"/>
        </w:rPr>
        <w:t>karti (</w:t>
      </w:r>
      <w:r w:rsidR="00162E83" w:rsidRPr="00545EC0">
        <w:rPr>
          <w:rFonts w:cs="Arial"/>
          <w:bCs/>
          <w:i/>
          <w:kern w:val="32"/>
        </w:rPr>
        <w:t>Publikacijska karta</w:t>
      </w:r>
      <w:r w:rsidR="003A18B6" w:rsidRPr="00545EC0">
        <w:rPr>
          <w:rFonts w:cs="Arial"/>
          <w:bCs/>
          <w:i/>
          <w:kern w:val="32"/>
        </w:rPr>
        <w:t xml:space="preserve"> </w:t>
      </w:r>
      <w:r w:rsidR="00231C2B" w:rsidRPr="00545EC0">
        <w:rPr>
          <w:rFonts w:cs="Arial"/>
          <w:bCs/>
          <w:i/>
          <w:kern w:val="32"/>
        </w:rPr>
        <w:t>10.14</w:t>
      </w:r>
      <w:r w:rsidRPr="00545EC0">
        <w:rPr>
          <w:rFonts w:cs="Arial"/>
          <w:bCs/>
          <w:i/>
          <w:kern w:val="32"/>
        </w:rPr>
        <w:t>: Območja varstvenih voda v skladu s predpisi</w:t>
      </w:r>
      <w:r w:rsidR="00FA586F" w:rsidRPr="00545EC0">
        <w:rPr>
          <w:rFonts w:cs="Arial"/>
          <w:bCs/>
          <w:i/>
          <w:kern w:val="32"/>
        </w:rPr>
        <w:t>,</w:t>
      </w:r>
      <w:r w:rsidRPr="00545EC0">
        <w:rPr>
          <w:rFonts w:cs="Arial"/>
          <w:bCs/>
          <w:i/>
          <w:kern w:val="32"/>
        </w:rPr>
        <w:t xml:space="preserve"> ki urejajo ribištvo)</w:t>
      </w:r>
      <w:r w:rsidR="00363708" w:rsidRPr="00545EC0">
        <w:rPr>
          <w:rFonts w:cs="Arial"/>
          <w:bCs/>
          <w:i/>
          <w:kern w:val="32"/>
        </w:rPr>
        <w:t>.</w:t>
      </w:r>
    </w:p>
    <w:p w14:paraId="063D06E8" w14:textId="77777777" w:rsidR="00F35854" w:rsidRDefault="00F35854" w:rsidP="0010797F">
      <w:pPr>
        <w:rPr>
          <w:rFonts w:cs="Arial"/>
          <w:bCs/>
          <w:i/>
          <w:kern w:val="32"/>
        </w:rPr>
      </w:pPr>
    </w:p>
    <w:p w14:paraId="6E3EB424" w14:textId="6FC3AD8A" w:rsidR="00F35854" w:rsidRPr="002944FE" w:rsidRDefault="00F35854" w:rsidP="0010797F">
      <w:pPr>
        <w:rPr>
          <w:rFonts w:cs="Arial"/>
          <w:b/>
          <w:bCs/>
          <w:i/>
          <w:kern w:val="32"/>
        </w:rPr>
      </w:pPr>
      <w:r w:rsidRPr="002944FE">
        <w:rPr>
          <w:rFonts w:cs="Arial"/>
          <w:b/>
          <w:bCs/>
          <w:i/>
          <w:kern w:val="32"/>
        </w:rPr>
        <w:t>2.4.9</w:t>
      </w:r>
      <w:r w:rsidRPr="002944FE">
        <w:rPr>
          <w:rFonts w:cs="Arial"/>
          <w:b/>
          <w:bCs/>
          <w:i/>
          <w:kern w:val="32"/>
        </w:rPr>
        <w:tab/>
        <w:t>Območja varovalnih gozdov in gozdov s posebnim namenom</w:t>
      </w:r>
    </w:p>
    <w:p w14:paraId="7691BC51" w14:textId="77777777" w:rsidR="00F35854" w:rsidRDefault="00F35854" w:rsidP="0010797F">
      <w:pPr>
        <w:rPr>
          <w:rFonts w:cs="Arial"/>
          <w:bCs/>
          <w:i/>
          <w:kern w:val="32"/>
        </w:rPr>
      </w:pPr>
    </w:p>
    <w:p w14:paraId="756A5D39" w14:textId="77777777" w:rsidR="00F35854" w:rsidRDefault="00F35854" w:rsidP="00F35854">
      <w:pPr>
        <w:rPr>
          <w:rFonts w:cs="Arial"/>
        </w:rPr>
      </w:pPr>
      <w:r>
        <w:rPr>
          <w:rFonts w:cs="Arial"/>
        </w:rPr>
        <w:t xml:space="preserve">Območja varovalnih gozdov in gozdov s posebnim namenom določa </w:t>
      </w:r>
      <w:r w:rsidRPr="00C57F37">
        <w:rPr>
          <w:rFonts w:cs="Arial"/>
        </w:rPr>
        <w:t>Uredba o varovalnih gozdovih in gozdovih s posebnim namenom (Uradni list RS, št. 88/05, 56/07, 29/09, 91/10, 1/13, 39/15 in 191/20)</w:t>
      </w:r>
      <w:r>
        <w:rPr>
          <w:rFonts w:cs="Arial"/>
        </w:rPr>
        <w:t>.</w:t>
      </w:r>
    </w:p>
    <w:p w14:paraId="0C87515E" w14:textId="77777777" w:rsidR="00F35854" w:rsidRDefault="00F35854" w:rsidP="00F35854"/>
    <w:p w14:paraId="3E4927CA" w14:textId="77777777" w:rsidR="00F35854" w:rsidRDefault="00F35854" w:rsidP="00F35854">
      <w:r>
        <w:t>Varovalni gozdovi so gozdovi, ki varujejo zemljišča usadov, izpiranja in krušenja, gozdovi na strmih obronkih ali bregovih voda, gozdovi, ki so izpostavljeni močnemu vetru, gozdovi, ki v hudourniških območjih zadržujejo prenaglo odtekanje vode in zato varujejo zemljišča pred erozijo in plazovi, gozdni pasovi, ki varujejo gozdove in zemljišča pred vetrom, vodo, zameti in plazovi, gozdovi v kmetijski in primestni krajini z izjemno poudarjeno funkcijo ohranjanja biotske raznovrstnosti ter gozdovi na zgornji meji gozdne vegetacije.</w:t>
      </w:r>
    </w:p>
    <w:p w14:paraId="17884368" w14:textId="77777777" w:rsidR="00F35854" w:rsidRDefault="00F35854" w:rsidP="00F35854"/>
    <w:p w14:paraId="618EAA25" w14:textId="77777777" w:rsidR="00F35854" w:rsidRDefault="00F35854" w:rsidP="00F35854">
      <w:r>
        <w:t xml:space="preserve">Gozdovi s posebnim namenom z izjemno poudarjeno raziskovalno funkcijo so gozdni rezervati. To so gozdovi, ki so zaradi svoje razvojne faze in dosedanjega razvoja izjemno pomembni za raziskovanje, </w:t>
      </w:r>
      <w:r>
        <w:lastRenderedPageBreak/>
        <w:t>proučevanje in spremljanje naravnega razvoja gozdov, biotske raznovrstnosti in varstva naravnih vrednot ter kulturne dediščine.</w:t>
      </w:r>
    </w:p>
    <w:p w14:paraId="0CE947A8" w14:textId="77777777" w:rsidR="00F35854" w:rsidRDefault="00F35854" w:rsidP="00F35854"/>
    <w:p w14:paraId="7D32E325" w14:textId="1A270408" w:rsidR="004511D3" w:rsidRDefault="00F35854" w:rsidP="00F35854">
      <w:r w:rsidRPr="00545EC0">
        <w:t xml:space="preserve"> </w:t>
      </w:r>
      <w:r w:rsidR="00B233F0">
        <w:rPr>
          <w:rFonts w:cs="Arial"/>
          <w:noProof/>
        </w:rPr>
        <w:drawing>
          <wp:inline distT="0" distB="0" distL="0" distR="0" wp14:anchorId="65D275A7" wp14:editId="55F88433">
            <wp:extent cx="5581650" cy="394869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ovalni_gozdovi_2020 2.jpg"/>
                    <pic:cNvPicPr/>
                  </pic:nvPicPr>
                  <pic:blipFill>
                    <a:blip r:embed="rId90">
                      <a:extLst>
                        <a:ext uri="{28A0092B-C50C-407E-A947-70E740481C1C}">
                          <a14:useLocalDpi xmlns:a14="http://schemas.microsoft.com/office/drawing/2010/main" val="0"/>
                        </a:ext>
                      </a:extLst>
                    </a:blip>
                    <a:stretch>
                      <a:fillRect/>
                    </a:stretch>
                  </pic:blipFill>
                  <pic:spPr>
                    <a:xfrm>
                      <a:off x="0" y="0"/>
                      <a:ext cx="5581054" cy="3948273"/>
                    </a:xfrm>
                    <a:prstGeom prst="rect">
                      <a:avLst/>
                    </a:prstGeom>
                  </pic:spPr>
                </pic:pic>
              </a:graphicData>
            </a:graphic>
          </wp:inline>
        </w:drawing>
      </w:r>
    </w:p>
    <w:p w14:paraId="6BD5F3B5" w14:textId="6B60856A" w:rsidR="004511D3" w:rsidRPr="00545EC0" w:rsidRDefault="004511D3" w:rsidP="004511D3">
      <w:pPr>
        <w:pStyle w:val="Napis"/>
      </w:pPr>
      <w:r w:rsidRPr="00545EC0">
        <w:t xml:space="preserve">Slika </w:t>
      </w:r>
      <w:fldSimple w:instr=" STYLEREF 1 \s ">
        <w:r>
          <w:rPr>
            <w:noProof/>
          </w:rPr>
          <w:t>2</w:t>
        </w:r>
      </w:fldSimple>
      <w:r w:rsidRPr="00545EC0">
        <w:noBreakHyphen/>
      </w:r>
      <w:r>
        <w:t>50</w:t>
      </w:r>
      <w:r w:rsidRPr="00545EC0">
        <w:t xml:space="preserve">: </w:t>
      </w:r>
      <w:r w:rsidRPr="004511D3">
        <w:t>Območja varovalnih gozdov</w:t>
      </w:r>
      <w:r w:rsidR="00B233F0">
        <w:t xml:space="preserve"> (vir: </w:t>
      </w:r>
      <w:r w:rsidR="00BE6A1F">
        <w:t>ZGS</w:t>
      </w:r>
      <w:r w:rsidR="00B233F0">
        <w:t>)</w:t>
      </w:r>
    </w:p>
    <w:p w14:paraId="1F082F66" w14:textId="2440FA7B" w:rsidR="00F35854" w:rsidRDefault="00F35854" w:rsidP="00F35854">
      <w:pPr>
        <w:rPr>
          <w:rFonts w:cs="Arial"/>
          <w:bCs/>
          <w:i/>
          <w:kern w:val="32"/>
        </w:rPr>
      </w:pPr>
      <w:r w:rsidRPr="00545EC0">
        <w:br w:type="page"/>
      </w:r>
    </w:p>
    <w:p w14:paraId="180F16CD" w14:textId="77777777" w:rsidR="00F35854" w:rsidRDefault="00F35854" w:rsidP="0010797F">
      <w:pPr>
        <w:rPr>
          <w:rFonts w:cs="Arial"/>
          <w:bCs/>
          <w:i/>
          <w:kern w:val="32"/>
        </w:rPr>
      </w:pPr>
    </w:p>
    <w:p w14:paraId="15EA7989" w14:textId="77777777" w:rsidR="00F35854" w:rsidRDefault="00F35854" w:rsidP="0010797F">
      <w:pPr>
        <w:rPr>
          <w:rFonts w:cs="Arial"/>
          <w:bCs/>
          <w:i/>
          <w:kern w:val="32"/>
        </w:rPr>
      </w:pPr>
    </w:p>
    <w:p w14:paraId="5F45460C" w14:textId="77777777" w:rsidR="00F35854" w:rsidRDefault="00F35854" w:rsidP="0010797F">
      <w:pPr>
        <w:rPr>
          <w:rFonts w:cs="Arial"/>
          <w:bCs/>
          <w:i/>
          <w:kern w:val="32"/>
        </w:rPr>
      </w:pPr>
    </w:p>
    <w:p w14:paraId="7F9D2CEC" w14:textId="77777777" w:rsidR="00F35854" w:rsidRDefault="00F35854" w:rsidP="0010797F">
      <w:pPr>
        <w:rPr>
          <w:rFonts w:cs="Arial"/>
          <w:bCs/>
          <w:i/>
          <w:kern w:val="32"/>
        </w:rPr>
      </w:pPr>
    </w:p>
    <w:p w14:paraId="4BD14F85" w14:textId="77777777" w:rsidR="00F35854" w:rsidRDefault="00F35854" w:rsidP="0010797F">
      <w:pPr>
        <w:rPr>
          <w:rFonts w:cs="Arial"/>
          <w:bCs/>
          <w:i/>
          <w:kern w:val="32"/>
        </w:rPr>
      </w:pPr>
    </w:p>
    <w:p w14:paraId="37E48FD6" w14:textId="77777777" w:rsidR="00F35854" w:rsidRDefault="00F35854" w:rsidP="0010797F">
      <w:pPr>
        <w:rPr>
          <w:rFonts w:cs="Arial"/>
          <w:bCs/>
          <w:i/>
          <w:kern w:val="32"/>
        </w:rPr>
      </w:pPr>
    </w:p>
    <w:p w14:paraId="566EDB82" w14:textId="77777777" w:rsidR="00F35854" w:rsidRDefault="00F35854" w:rsidP="0010797F">
      <w:pPr>
        <w:rPr>
          <w:rFonts w:cs="Arial"/>
          <w:bCs/>
          <w:i/>
          <w:kern w:val="32"/>
        </w:rPr>
      </w:pPr>
    </w:p>
    <w:p w14:paraId="75E7F11A" w14:textId="77777777" w:rsidR="00F35854" w:rsidRDefault="00F35854" w:rsidP="0010797F">
      <w:pPr>
        <w:rPr>
          <w:rFonts w:cs="Arial"/>
          <w:bCs/>
          <w:i/>
          <w:kern w:val="32"/>
        </w:rPr>
      </w:pPr>
    </w:p>
    <w:p w14:paraId="5E195B58" w14:textId="77777777" w:rsidR="00F35854" w:rsidRDefault="00F35854" w:rsidP="0010797F">
      <w:pPr>
        <w:rPr>
          <w:rFonts w:cs="Arial"/>
          <w:bCs/>
          <w:i/>
          <w:kern w:val="32"/>
        </w:rPr>
      </w:pPr>
    </w:p>
    <w:p w14:paraId="0DD22433" w14:textId="77777777" w:rsidR="00F35854" w:rsidRDefault="00F35854" w:rsidP="0010797F">
      <w:pPr>
        <w:rPr>
          <w:rFonts w:cs="Arial"/>
          <w:bCs/>
          <w:i/>
          <w:kern w:val="32"/>
        </w:rPr>
      </w:pPr>
    </w:p>
    <w:p w14:paraId="51C37B36" w14:textId="77777777" w:rsidR="00F35854" w:rsidRDefault="00F35854" w:rsidP="0010797F">
      <w:pPr>
        <w:rPr>
          <w:rFonts w:cs="Arial"/>
          <w:bCs/>
          <w:i/>
          <w:kern w:val="32"/>
        </w:rPr>
      </w:pPr>
    </w:p>
    <w:p w14:paraId="535AB9C8" w14:textId="77777777" w:rsidR="00F35854" w:rsidRDefault="00F35854" w:rsidP="0010797F">
      <w:pPr>
        <w:rPr>
          <w:rFonts w:cs="Arial"/>
          <w:bCs/>
          <w:i/>
          <w:kern w:val="32"/>
        </w:rPr>
      </w:pPr>
    </w:p>
    <w:p w14:paraId="442B5A50" w14:textId="77777777" w:rsidR="00F35854" w:rsidRDefault="00F35854" w:rsidP="0010797F">
      <w:pPr>
        <w:rPr>
          <w:rFonts w:cs="Arial"/>
          <w:bCs/>
          <w:i/>
          <w:kern w:val="32"/>
        </w:rPr>
      </w:pPr>
    </w:p>
    <w:p w14:paraId="4E3499D6" w14:textId="77777777" w:rsidR="00F35854" w:rsidRPr="00545EC0" w:rsidRDefault="00F35854" w:rsidP="0010797F">
      <w:pPr>
        <w:rPr>
          <w:rFonts w:cs="Arial"/>
          <w:bCs/>
          <w:i/>
          <w:kern w:val="32"/>
        </w:rPr>
      </w:pPr>
    </w:p>
    <w:p w14:paraId="5A028FEC" w14:textId="77777777" w:rsidR="008567E4" w:rsidRPr="00545EC0" w:rsidRDefault="00E7394C" w:rsidP="003C7C5E">
      <w:pPr>
        <w:pStyle w:val="Naslov10"/>
      </w:pPr>
      <w:r w:rsidRPr="00545EC0">
        <w:br w:type="page"/>
      </w:r>
      <w:bookmarkStart w:id="451" w:name="_Toc90261045"/>
      <w:r w:rsidRPr="00545EC0">
        <w:lastRenderedPageBreak/>
        <w:t>OPIS MONITORINGA IN OCENA STANJA VODNIH TELES POVRŠINSKIH IN PODZEMNIH VODA</w:t>
      </w:r>
      <w:bookmarkEnd w:id="451"/>
    </w:p>
    <w:p w14:paraId="083834A7" w14:textId="5C70AFD4" w:rsidR="00AA23DA" w:rsidRPr="00545EC0" w:rsidRDefault="00AA23DA" w:rsidP="00AA23DA">
      <w:pPr>
        <w:tabs>
          <w:tab w:val="num" w:pos="0"/>
        </w:tabs>
        <w:rPr>
          <w:rFonts w:cs="Arial"/>
        </w:rPr>
      </w:pPr>
    </w:p>
    <w:p w14:paraId="78717D45" w14:textId="53392A3E" w:rsidR="00AA23DA" w:rsidRPr="00545EC0" w:rsidRDefault="00AA23DA" w:rsidP="003122F4">
      <w:pPr>
        <w:tabs>
          <w:tab w:val="num" w:pos="0"/>
        </w:tabs>
        <w:spacing w:line="276" w:lineRule="auto"/>
        <w:rPr>
          <w:rFonts w:cs="Arial"/>
        </w:rPr>
      </w:pPr>
      <w:r w:rsidRPr="00545EC0">
        <w:rPr>
          <w:rFonts w:cs="Arial"/>
        </w:rPr>
        <w:t>V skladu z</w:t>
      </w:r>
      <w:r w:rsidR="00E75CF8" w:rsidRPr="00545EC0">
        <w:rPr>
          <w:rFonts w:cs="Arial"/>
        </w:rPr>
        <w:t xml:space="preserve"> z</w:t>
      </w:r>
      <w:r w:rsidRPr="00545EC0">
        <w:rPr>
          <w:rFonts w:cs="Arial"/>
        </w:rPr>
        <w:t>akonom o varstvu okolja</w:t>
      </w:r>
      <w:r w:rsidR="00E75CF8" w:rsidRPr="00545EC0">
        <w:rPr>
          <w:rFonts w:cs="Arial"/>
        </w:rPr>
        <w:t>,</w:t>
      </w:r>
      <w:r w:rsidRPr="00545EC0">
        <w:rPr>
          <w:rFonts w:cs="Arial"/>
        </w:rPr>
        <w:t xml:space="preserve"> </w:t>
      </w:r>
      <w:r w:rsidR="00E75CF8" w:rsidRPr="00545EC0">
        <w:rPr>
          <w:rFonts w:cs="Arial"/>
        </w:rPr>
        <w:t xml:space="preserve">zakonom o vodah </w:t>
      </w:r>
      <w:r w:rsidRPr="00545EC0">
        <w:rPr>
          <w:rFonts w:cs="Arial"/>
        </w:rPr>
        <w:t>in vrsto podzakonskih aktov so v Sloveniji vzpostavljeni programi monitoringov, ki zagotavljajo skladen in izčrpen pregled stanja voda na posameznem vodnem območju. Programi monitoringov obsegajo:</w:t>
      </w:r>
    </w:p>
    <w:p w14:paraId="34DFB6AE" w14:textId="35A90D50" w:rsidR="00AA23DA" w:rsidRPr="00545EC0" w:rsidRDefault="00AA23DA" w:rsidP="00DD37C5">
      <w:pPr>
        <w:numPr>
          <w:ilvl w:val="0"/>
          <w:numId w:val="55"/>
        </w:numPr>
        <w:tabs>
          <w:tab w:val="num" w:pos="426"/>
        </w:tabs>
        <w:overflowPunct/>
        <w:autoSpaceDE/>
        <w:autoSpaceDN/>
        <w:adjustRightInd/>
        <w:spacing w:line="276" w:lineRule="auto"/>
        <w:ind w:left="426" w:hanging="284"/>
        <w:textAlignment w:val="auto"/>
        <w:rPr>
          <w:rFonts w:cs="Arial"/>
        </w:rPr>
      </w:pPr>
      <w:r w:rsidRPr="00545EC0">
        <w:rPr>
          <w:rFonts w:cs="Arial"/>
        </w:rPr>
        <w:t>spremljanje kemijskega in ekološkega stanja in ekološkega potenciala površinskih voda, vključno s količino ali gladino toka, ki je potrebna za oceno ekološkega in kemijskega stanja ter ekološkega potenciala</w:t>
      </w:r>
      <w:r w:rsidR="008E5671" w:rsidRPr="00545EC0">
        <w:rPr>
          <w:rFonts w:cs="Arial"/>
        </w:rPr>
        <w:t>,</w:t>
      </w:r>
    </w:p>
    <w:p w14:paraId="056FF95F" w14:textId="3170759A" w:rsidR="00AA23DA" w:rsidRPr="00545EC0" w:rsidRDefault="00AA23DA" w:rsidP="00DD37C5">
      <w:pPr>
        <w:numPr>
          <w:ilvl w:val="0"/>
          <w:numId w:val="55"/>
        </w:numPr>
        <w:tabs>
          <w:tab w:val="num" w:pos="426"/>
        </w:tabs>
        <w:overflowPunct/>
        <w:autoSpaceDE/>
        <w:autoSpaceDN/>
        <w:adjustRightInd/>
        <w:spacing w:line="276" w:lineRule="auto"/>
        <w:ind w:left="426" w:hanging="284"/>
        <w:textAlignment w:val="auto"/>
        <w:rPr>
          <w:rFonts w:cs="Arial"/>
        </w:rPr>
      </w:pPr>
      <w:r w:rsidRPr="00545EC0">
        <w:rPr>
          <w:rFonts w:cs="Arial"/>
        </w:rPr>
        <w:t>spremljanje kemijskega in količinskega stanja podzemnih voda</w:t>
      </w:r>
      <w:r w:rsidR="008E5671" w:rsidRPr="00545EC0">
        <w:rPr>
          <w:rFonts w:cs="Arial"/>
        </w:rPr>
        <w:t>,</w:t>
      </w:r>
    </w:p>
    <w:p w14:paraId="33BE61EB" w14:textId="77777777" w:rsidR="00AA23DA" w:rsidRPr="00545EC0" w:rsidRDefault="00AA23DA" w:rsidP="00DD37C5">
      <w:pPr>
        <w:numPr>
          <w:ilvl w:val="0"/>
          <w:numId w:val="56"/>
        </w:numPr>
        <w:tabs>
          <w:tab w:val="num" w:pos="426"/>
        </w:tabs>
        <w:overflowPunct/>
        <w:autoSpaceDE/>
        <w:autoSpaceDN/>
        <w:adjustRightInd/>
        <w:spacing w:line="276" w:lineRule="auto"/>
        <w:ind w:left="426" w:hanging="284"/>
        <w:textAlignment w:val="auto"/>
        <w:rPr>
          <w:rFonts w:cs="Arial"/>
        </w:rPr>
      </w:pPr>
      <w:r w:rsidRPr="00545EC0">
        <w:rPr>
          <w:rFonts w:cs="Arial"/>
        </w:rPr>
        <w:t>spremljanje stanja voda na območjih s posebnimi zahtevami.</w:t>
      </w:r>
    </w:p>
    <w:p w14:paraId="29BF34E3" w14:textId="77777777" w:rsidR="00AA23DA" w:rsidRPr="00545EC0" w:rsidRDefault="00AA23DA" w:rsidP="00AA23DA">
      <w:pPr>
        <w:spacing w:before="120"/>
        <w:rPr>
          <w:rFonts w:cs="Arial"/>
        </w:rPr>
      </w:pPr>
      <w:r w:rsidRPr="00545EC0">
        <w:rPr>
          <w:rFonts w:cs="Arial"/>
        </w:rPr>
        <w:t xml:space="preserve">Na mejnih vodnih telesih so vzpostavljeni tudi bilateralni monitoringi s sosednjimi državami Avstrijo, Madžarsko in Hrvaško. Nekatera merilna mesta so vključena tudi v monitoringe, ki potekajo v okviru mednarodnih konvencij (npr. TNMN - Trans National Monitoring Network v okviru Donavske konvencije). </w:t>
      </w:r>
    </w:p>
    <w:p w14:paraId="3FC40E1F" w14:textId="71090A53" w:rsidR="00AA23DA" w:rsidRPr="00545EC0" w:rsidRDefault="00AA23DA" w:rsidP="00AA23DA">
      <w:pPr>
        <w:spacing w:before="120"/>
        <w:rPr>
          <w:rFonts w:cs="Arial"/>
        </w:rPr>
      </w:pPr>
      <w:r w:rsidRPr="00545EC0">
        <w:rPr>
          <w:rFonts w:cs="Arial"/>
        </w:rPr>
        <w:t xml:space="preserve">Program monitoringa kemijskega in ekološkega stanja voda za obdobje 2016–2021 je objavljen na </w:t>
      </w:r>
      <w:r w:rsidR="00D5428C" w:rsidRPr="00545EC0">
        <w:rPr>
          <w:rFonts w:cs="Arial"/>
        </w:rPr>
        <w:t xml:space="preserve">spletni strani državne uprave </w:t>
      </w:r>
      <w:r w:rsidR="00141004" w:rsidRPr="00545EC0">
        <w:rPr>
          <w:rFonts w:cs="Arial"/>
        </w:rPr>
        <w:t>(</w:t>
      </w:r>
      <w:r w:rsidR="00576FA6" w:rsidRPr="00545EC0">
        <w:rPr>
          <w:rFonts w:cs="Arial"/>
        </w:rPr>
        <w:t>ARSO</w:t>
      </w:r>
      <w:r w:rsidR="00141004" w:rsidRPr="00545EC0">
        <w:rPr>
          <w:rFonts w:cs="Arial"/>
        </w:rPr>
        <w:t xml:space="preserve">, </w:t>
      </w:r>
      <w:r w:rsidR="00576FA6" w:rsidRPr="00545EC0">
        <w:rPr>
          <w:rFonts w:cs="Arial"/>
        </w:rPr>
        <w:t>2021</w:t>
      </w:r>
      <w:r w:rsidR="00141004" w:rsidRPr="00545EC0">
        <w:rPr>
          <w:rFonts w:cs="Arial"/>
        </w:rPr>
        <w:t>b</w:t>
      </w:r>
      <w:r w:rsidR="00576FA6" w:rsidRPr="00545EC0">
        <w:rPr>
          <w:rFonts w:cs="Arial"/>
        </w:rPr>
        <w:t>).</w:t>
      </w:r>
    </w:p>
    <w:p w14:paraId="5F5E8810" w14:textId="77777777" w:rsidR="00AA23DA" w:rsidRPr="00545EC0" w:rsidRDefault="00AA23DA" w:rsidP="00392769">
      <w:pPr>
        <w:pStyle w:val="Naslov20"/>
      </w:pPr>
      <w:bookmarkStart w:id="452" w:name="_Toc427322609"/>
      <w:bookmarkStart w:id="453" w:name="_Toc427867406"/>
      <w:bookmarkStart w:id="454" w:name="_Toc427867492"/>
      <w:bookmarkStart w:id="455" w:name="_Toc75763023"/>
      <w:bookmarkStart w:id="456" w:name="_Toc75763727"/>
      <w:bookmarkStart w:id="457" w:name="_Toc90261046"/>
      <w:r w:rsidRPr="00545EC0">
        <w:t>Opis monitoringa vodnih teles površinskih voda</w:t>
      </w:r>
      <w:bookmarkEnd w:id="452"/>
      <w:bookmarkEnd w:id="453"/>
      <w:bookmarkEnd w:id="454"/>
      <w:r w:rsidRPr="00545EC0">
        <w:t xml:space="preserve"> in ocena stanja površinskih voda</w:t>
      </w:r>
      <w:bookmarkEnd w:id="455"/>
      <w:bookmarkEnd w:id="456"/>
      <w:bookmarkEnd w:id="457"/>
    </w:p>
    <w:p w14:paraId="4896AE9F" w14:textId="77777777" w:rsidR="00AA23DA" w:rsidRPr="00545EC0" w:rsidRDefault="00AA23DA" w:rsidP="00AA23DA">
      <w:pPr>
        <w:rPr>
          <w:rFonts w:cs="Arial"/>
        </w:rPr>
      </w:pPr>
    </w:p>
    <w:p w14:paraId="7611F1D3" w14:textId="57B385F5" w:rsidR="00AA23DA" w:rsidRPr="00545EC0" w:rsidRDefault="00AA23DA" w:rsidP="00806997">
      <w:pPr>
        <w:tabs>
          <w:tab w:val="left" w:pos="1080"/>
        </w:tabs>
        <w:rPr>
          <w:rFonts w:cs="Arial"/>
        </w:rPr>
      </w:pPr>
      <w:r w:rsidRPr="00545EC0">
        <w:rPr>
          <w:rFonts w:cs="Arial"/>
        </w:rPr>
        <w:t>Mreža za spremljanje ekološkega in kemijskega stanja površinskih voda je vzpostavljena v skladu s</w:t>
      </w:r>
      <w:r w:rsidR="003A4DE7" w:rsidRPr="00545EC0">
        <w:rPr>
          <w:rFonts w:cs="Arial"/>
        </w:rPr>
        <w:t xml:space="preserve"> predpisom, ki ureja</w:t>
      </w:r>
      <w:r w:rsidRPr="00545EC0">
        <w:rPr>
          <w:rFonts w:cs="Arial"/>
        </w:rPr>
        <w:t xml:space="preserve"> monit</w:t>
      </w:r>
      <w:r w:rsidR="00EC5C03" w:rsidRPr="00545EC0">
        <w:rPr>
          <w:rFonts w:cs="Arial"/>
        </w:rPr>
        <w:t>oring stanja površinskih voda</w:t>
      </w:r>
      <w:r w:rsidRPr="00545EC0">
        <w:rPr>
          <w:rFonts w:cs="Arial"/>
        </w:rPr>
        <w:t xml:space="preserve">. V skladu z navedenim </w:t>
      </w:r>
      <w:r w:rsidR="003A4DE7" w:rsidRPr="00545EC0">
        <w:rPr>
          <w:rFonts w:cs="Arial"/>
        </w:rPr>
        <w:t xml:space="preserve">predpisom </w:t>
      </w:r>
      <w:r w:rsidRPr="00545EC0">
        <w:rPr>
          <w:rFonts w:cs="Arial"/>
        </w:rPr>
        <w:t>se programi delijo na nadzorni, operativ</w:t>
      </w:r>
      <w:r w:rsidR="00D5428C" w:rsidRPr="00545EC0">
        <w:rPr>
          <w:rFonts w:cs="Arial"/>
        </w:rPr>
        <w:t xml:space="preserve">ni in preiskovalni monitoring. </w:t>
      </w:r>
    </w:p>
    <w:p w14:paraId="29771CB9" w14:textId="77777777" w:rsidR="00AA23DA" w:rsidRPr="00545EC0" w:rsidRDefault="00AA23DA" w:rsidP="00806997">
      <w:pPr>
        <w:tabs>
          <w:tab w:val="left" w:pos="0"/>
        </w:tabs>
        <w:rPr>
          <w:rFonts w:cs="Arial"/>
        </w:rPr>
      </w:pPr>
    </w:p>
    <w:p w14:paraId="59959C6E" w14:textId="77777777" w:rsidR="00AA23DA" w:rsidRPr="00545EC0" w:rsidRDefault="00AA23DA" w:rsidP="00806997">
      <w:pPr>
        <w:rPr>
          <w:rFonts w:cs="Arial"/>
          <w:b/>
        </w:rPr>
      </w:pPr>
      <w:bookmarkStart w:id="458" w:name="_Toc414828137"/>
      <w:bookmarkStart w:id="459" w:name="_Toc234824511"/>
      <w:bookmarkStart w:id="460" w:name="_Toc234650665"/>
      <w:r w:rsidRPr="00545EC0">
        <w:rPr>
          <w:rFonts w:cs="Arial"/>
          <w:b/>
        </w:rPr>
        <w:t>Nadzorni monitoring</w:t>
      </w:r>
      <w:bookmarkEnd w:id="458"/>
      <w:bookmarkEnd w:id="459"/>
      <w:bookmarkEnd w:id="460"/>
      <w:r w:rsidRPr="00545EC0">
        <w:rPr>
          <w:rFonts w:cs="Arial"/>
          <w:b/>
        </w:rPr>
        <w:t xml:space="preserve"> </w:t>
      </w:r>
    </w:p>
    <w:p w14:paraId="5B9EFCC7" w14:textId="77777777" w:rsidR="00AA23DA" w:rsidRPr="00545EC0" w:rsidRDefault="00AA23DA" w:rsidP="00806997">
      <w:pPr>
        <w:rPr>
          <w:rFonts w:cs="Arial"/>
        </w:rPr>
      </w:pPr>
    </w:p>
    <w:p w14:paraId="7D544FCE" w14:textId="77777777" w:rsidR="00AA23DA" w:rsidRPr="00545EC0" w:rsidRDefault="00AA23DA" w:rsidP="00806997">
      <w:pPr>
        <w:tabs>
          <w:tab w:val="num" w:pos="142"/>
        </w:tabs>
        <w:rPr>
          <w:rFonts w:cs="Arial"/>
        </w:rPr>
      </w:pPr>
      <w:r w:rsidRPr="00545EC0">
        <w:rPr>
          <w:rFonts w:cs="Arial"/>
        </w:rPr>
        <w:t xml:space="preserve">V mrežo nadzornega monitoringa so vključena merilna mesta na vseh pomembnih rekah in jezerih, ki zagotavljajo celovito oceno stanja voda na vodnem območju. Rezultati nadzornega monitoringa so primerni tudi za ocenjevanje dolgoročnih sprememb naravnih razmer, za ocenjevanje dolgoročnih sprememb zaradi človekove dejavnosti in kot podpora pri izdelavi programa operativnega monitoringa. </w:t>
      </w:r>
    </w:p>
    <w:p w14:paraId="26869929" w14:textId="77777777" w:rsidR="00AA23DA" w:rsidRPr="00545EC0" w:rsidRDefault="00AA23DA" w:rsidP="00806997">
      <w:pPr>
        <w:suppressAutoHyphens/>
        <w:rPr>
          <w:rFonts w:cs="Arial"/>
        </w:rPr>
      </w:pPr>
      <w:r w:rsidRPr="00545EC0">
        <w:rPr>
          <w:rFonts w:cs="Arial"/>
        </w:rPr>
        <w:t>V obdobju od leta 2014 do 2019 je bil nadzorni monitoring vzpostavljen na vodnih telesih:</w:t>
      </w:r>
    </w:p>
    <w:p w14:paraId="14AE6F06" w14:textId="77777777" w:rsidR="00AA23DA" w:rsidRPr="00545EC0" w:rsidRDefault="00AA23DA" w:rsidP="00DD37C5">
      <w:pPr>
        <w:numPr>
          <w:ilvl w:val="0"/>
          <w:numId w:val="57"/>
        </w:numPr>
        <w:tabs>
          <w:tab w:val="num" w:pos="426"/>
        </w:tabs>
        <w:suppressAutoHyphens/>
        <w:overflowPunct/>
        <w:autoSpaceDE/>
        <w:autoSpaceDN/>
        <w:adjustRightInd/>
        <w:ind w:left="426" w:hanging="284"/>
        <w:textAlignment w:val="auto"/>
        <w:rPr>
          <w:rFonts w:cs="Arial"/>
        </w:rPr>
      </w:pPr>
      <w:r w:rsidRPr="00545EC0">
        <w:rPr>
          <w:rFonts w:cs="Arial"/>
        </w:rPr>
        <w:t>kjer je pretok vode pomemben za vodno območje kot celoto, vključno z vodnimi telesi na velikih rekah, kjer je prispevna površina večja od 2 500 km</w:t>
      </w:r>
      <w:r w:rsidRPr="00545EC0">
        <w:rPr>
          <w:rFonts w:cs="Arial"/>
          <w:vertAlign w:val="superscript"/>
        </w:rPr>
        <w:t>2</w:t>
      </w:r>
      <w:r w:rsidRPr="00545EC0">
        <w:rPr>
          <w:rFonts w:cs="Arial"/>
        </w:rPr>
        <w:t>,</w:t>
      </w:r>
    </w:p>
    <w:p w14:paraId="02E5E458" w14:textId="77777777" w:rsidR="00AA23DA" w:rsidRPr="00545EC0" w:rsidRDefault="00AA23DA" w:rsidP="00DD37C5">
      <w:pPr>
        <w:widowControl w:val="0"/>
        <w:numPr>
          <w:ilvl w:val="0"/>
          <w:numId w:val="57"/>
        </w:numPr>
        <w:tabs>
          <w:tab w:val="num" w:pos="426"/>
          <w:tab w:val="left" w:pos="720"/>
        </w:tabs>
        <w:suppressAutoHyphens/>
        <w:overflowPunct/>
        <w:autoSpaceDE/>
        <w:autoSpaceDN/>
        <w:adjustRightInd/>
        <w:ind w:left="426" w:hanging="284"/>
        <w:textAlignment w:val="auto"/>
        <w:rPr>
          <w:rFonts w:cs="Arial"/>
        </w:rPr>
      </w:pPr>
      <w:r w:rsidRPr="00545EC0">
        <w:rPr>
          <w:rFonts w:cs="Arial"/>
        </w:rPr>
        <w:t>kjer je količina prisotne vode pomembna za vodno območje, vključno z jezeri in vodnimi zbiralniki s površino večjo od 0,5 km</w:t>
      </w:r>
      <w:r w:rsidRPr="00545EC0">
        <w:rPr>
          <w:rFonts w:cs="Arial"/>
          <w:vertAlign w:val="superscript"/>
        </w:rPr>
        <w:t>2</w:t>
      </w:r>
      <w:r w:rsidRPr="00545EC0">
        <w:rPr>
          <w:rFonts w:cs="Arial"/>
        </w:rPr>
        <w:t>,</w:t>
      </w:r>
    </w:p>
    <w:p w14:paraId="4875A90F" w14:textId="77777777" w:rsidR="00AA23DA" w:rsidRPr="00545EC0" w:rsidRDefault="00AA23DA" w:rsidP="00DD37C5">
      <w:pPr>
        <w:numPr>
          <w:ilvl w:val="0"/>
          <w:numId w:val="57"/>
        </w:numPr>
        <w:tabs>
          <w:tab w:val="num" w:pos="426"/>
        </w:tabs>
        <w:suppressAutoHyphens/>
        <w:overflowPunct/>
        <w:autoSpaceDE/>
        <w:autoSpaceDN/>
        <w:adjustRightInd/>
        <w:ind w:left="426" w:hanging="284"/>
        <w:textAlignment w:val="auto"/>
        <w:rPr>
          <w:rFonts w:cs="Arial"/>
        </w:rPr>
      </w:pPr>
      <w:r w:rsidRPr="00545EC0">
        <w:rPr>
          <w:rFonts w:cs="Arial"/>
        </w:rPr>
        <w:t>kjer vodno telo prečka državna meja ali po vodnem telesu teče državna meja in se kemijsko oz. ekološko stanje ugotavlja na podlagi mednarodnih sporazumov,</w:t>
      </w:r>
    </w:p>
    <w:p w14:paraId="64E37AEB" w14:textId="425C6FFC" w:rsidR="00AA23DA" w:rsidRPr="00545EC0" w:rsidRDefault="00AA23DA" w:rsidP="00DD37C5">
      <w:pPr>
        <w:numPr>
          <w:ilvl w:val="0"/>
          <w:numId w:val="57"/>
        </w:numPr>
        <w:tabs>
          <w:tab w:val="num" w:pos="426"/>
        </w:tabs>
        <w:suppressAutoHyphens/>
        <w:overflowPunct/>
        <w:autoSpaceDE/>
        <w:autoSpaceDN/>
        <w:adjustRightInd/>
        <w:ind w:left="426" w:hanging="284"/>
        <w:textAlignment w:val="auto"/>
        <w:rPr>
          <w:rFonts w:cs="Arial"/>
        </w:rPr>
      </w:pPr>
      <w:r w:rsidRPr="00545EC0">
        <w:rPr>
          <w:rFonts w:cs="Arial"/>
        </w:rPr>
        <w:t>kjer je potrebno oceniti obremenitve z onesnaževalom, ki se prenese preko državne meje</w:t>
      </w:r>
      <w:r w:rsidR="008E5671" w:rsidRPr="00545EC0">
        <w:rPr>
          <w:rFonts w:cs="Arial"/>
        </w:rPr>
        <w:t>,</w:t>
      </w:r>
      <w:r w:rsidRPr="00545EC0">
        <w:rPr>
          <w:rFonts w:cs="Arial"/>
        </w:rPr>
        <w:t xml:space="preserve"> in</w:t>
      </w:r>
    </w:p>
    <w:p w14:paraId="05EF6B62" w14:textId="77777777" w:rsidR="00AA23DA" w:rsidRPr="00545EC0" w:rsidRDefault="00AA23DA" w:rsidP="00DD37C5">
      <w:pPr>
        <w:numPr>
          <w:ilvl w:val="0"/>
          <w:numId w:val="57"/>
        </w:numPr>
        <w:tabs>
          <w:tab w:val="num" w:pos="426"/>
        </w:tabs>
        <w:suppressAutoHyphens/>
        <w:overflowPunct/>
        <w:autoSpaceDE/>
        <w:autoSpaceDN/>
        <w:adjustRightInd/>
        <w:ind w:left="426" w:hanging="284"/>
        <w:textAlignment w:val="auto"/>
        <w:rPr>
          <w:rFonts w:cs="Arial"/>
        </w:rPr>
      </w:pPr>
      <w:r w:rsidRPr="00545EC0">
        <w:rPr>
          <w:rFonts w:cs="Arial"/>
        </w:rPr>
        <w:t>ki so z Odločbo Komisije z dne 17. avgusta 2005 o vzpostavitvi registra mest vključena v interkalibracijsko mrežo.</w:t>
      </w:r>
    </w:p>
    <w:p w14:paraId="4CF73231" w14:textId="77777777" w:rsidR="00AA23DA" w:rsidRPr="00545EC0" w:rsidRDefault="00AA23DA" w:rsidP="00806997">
      <w:pPr>
        <w:suppressAutoHyphens/>
        <w:overflowPunct/>
        <w:autoSpaceDE/>
        <w:autoSpaceDN/>
        <w:adjustRightInd/>
        <w:textAlignment w:val="auto"/>
        <w:rPr>
          <w:rFonts w:cs="Arial"/>
        </w:rPr>
      </w:pPr>
    </w:p>
    <w:p w14:paraId="424D665B" w14:textId="77777777" w:rsidR="00AA23DA" w:rsidRPr="00545EC0" w:rsidRDefault="00AA23DA" w:rsidP="00806997">
      <w:pPr>
        <w:suppressAutoHyphens/>
        <w:rPr>
          <w:rFonts w:cs="Arial"/>
        </w:rPr>
      </w:pPr>
      <w:r w:rsidRPr="00545EC0">
        <w:rPr>
          <w:rFonts w:cs="Arial"/>
        </w:rPr>
        <w:t>V mrežo nadzornega monitoringa so vključena tudi referenčna merilna mesta, ki služijo za spremljanje in ocenjevanje dolgoročnih sprememb naravnih razmer.</w:t>
      </w:r>
    </w:p>
    <w:p w14:paraId="2E5C81C2" w14:textId="5E60CB6E" w:rsidR="00AA23DA" w:rsidRPr="00545EC0" w:rsidRDefault="00AA23DA" w:rsidP="00806997">
      <w:pPr>
        <w:tabs>
          <w:tab w:val="num" w:pos="0"/>
        </w:tabs>
        <w:rPr>
          <w:rFonts w:cs="Arial"/>
        </w:rPr>
      </w:pPr>
      <w:r w:rsidRPr="00545EC0">
        <w:rPr>
          <w:rFonts w:cs="Arial"/>
        </w:rPr>
        <w:t>V program nadzornega monitoringa so vključeni splošni fizikalno</w:t>
      </w:r>
      <w:r w:rsidR="008E5671" w:rsidRPr="00545EC0">
        <w:rPr>
          <w:rFonts w:cs="Arial"/>
        </w:rPr>
        <w:t>-</w:t>
      </w:r>
      <w:r w:rsidRPr="00545EC0">
        <w:rPr>
          <w:rFonts w:cs="Arial"/>
        </w:rPr>
        <w:t xml:space="preserve">kemijski in biološki elementi kakovosti, parametri kemijskega stanja (prednostne in prednostne nevarne snovi), ki se odvajajo v </w:t>
      </w:r>
      <w:r w:rsidRPr="00545EC0">
        <w:rPr>
          <w:rFonts w:cs="Arial"/>
        </w:rPr>
        <w:lastRenderedPageBreak/>
        <w:t xml:space="preserve">vode v porečju, posebna onesnaževala, ki se v pomembnih količinah odvajajo v vode v porečju in </w:t>
      </w:r>
      <w:r w:rsidR="00F22933" w:rsidRPr="00545EC0">
        <w:rPr>
          <w:rFonts w:cs="Arial"/>
        </w:rPr>
        <w:t>hidromorfološki elementi kakovosti</w:t>
      </w:r>
      <w:r w:rsidRPr="00545EC0">
        <w:rPr>
          <w:rFonts w:cs="Arial"/>
        </w:rPr>
        <w:t xml:space="preserve">. </w:t>
      </w:r>
    </w:p>
    <w:p w14:paraId="2114F2CD" w14:textId="77777777" w:rsidR="00AA23DA" w:rsidRPr="00545EC0" w:rsidRDefault="00AA23DA" w:rsidP="00806997">
      <w:pPr>
        <w:spacing w:after="120"/>
        <w:rPr>
          <w:rFonts w:cs="Arial"/>
        </w:rPr>
      </w:pPr>
      <w:bookmarkStart w:id="461" w:name="_Toc414828138"/>
      <w:bookmarkStart w:id="462" w:name="_Toc234824512"/>
      <w:bookmarkStart w:id="463" w:name="_Toc234650666"/>
    </w:p>
    <w:p w14:paraId="3BB3695B" w14:textId="77777777" w:rsidR="00AA23DA" w:rsidRPr="00545EC0" w:rsidRDefault="00AA23DA" w:rsidP="00806997">
      <w:pPr>
        <w:rPr>
          <w:rFonts w:cs="Arial"/>
          <w:b/>
        </w:rPr>
      </w:pPr>
      <w:r w:rsidRPr="00545EC0">
        <w:rPr>
          <w:rFonts w:cs="Arial"/>
          <w:b/>
        </w:rPr>
        <w:t>Operativni monitoring</w:t>
      </w:r>
      <w:bookmarkEnd w:id="461"/>
      <w:bookmarkEnd w:id="462"/>
      <w:bookmarkEnd w:id="463"/>
    </w:p>
    <w:p w14:paraId="6CDD9B74" w14:textId="77777777" w:rsidR="00AA23DA" w:rsidRPr="00545EC0" w:rsidRDefault="00AA23DA" w:rsidP="00806997">
      <w:pPr>
        <w:rPr>
          <w:rFonts w:cs="Arial"/>
        </w:rPr>
      </w:pPr>
    </w:p>
    <w:p w14:paraId="0CA1915A" w14:textId="77777777" w:rsidR="00AA23DA" w:rsidRPr="00545EC0" w:rsidRDefault="00AA23DA" w:rsidP="00806997">
      <w:pPr>
        <w:suppressAutoHyphens/>
        <w:rPr>
          <w:rFonts w:cs="Arial"/>
        </w:rPr>
      </w:pPr>
      <w:r w:rsidRPr="00545EC0">
        <w:rPr>
          <w:rFonts w:cs="Arial"/>
        </w:rPr>
        <w:t xml:space="preserve">Operativni monitoring je namenjen ocenjevanju stanja vodnih teles, za katera je bilo na podlagi analize vplivov človekove dejavnosti in rezultatov nadzornega monitoringa ocenjeno, da ne bodo dosegla okoljskih ciljev ter spremljanju učinkov ukrepov za zmanjševanje obremenjevanja. </w:t>
      </w:r>
    </w:p>
    <w:p w14:paraId="2D51E5DD" w14:textId="77777777" w:rsidR="00AA23DA" w:rsidRPr="00545EC0" w:rsidRDefault="00AA23DA" w:rsidP="00806997">
      <w:pPr>
        <w:suppressAutoHyphens/>
        <w:rPr>
          <w:rFonts w:cs="Arial"/>
        </w:rPr>
      </w:pPr>
      <w:r w:rsidRPr="00545EC0">
        <w:rPr>
          <w:rFonts w:cs="Arial"/>
        </w:rPr>
        <w:t>V obdobju 2014 do 2019 se je operativni monitoring izvajal na vodnih telesih površinskih voda:</w:t>
      </w:r>
    </w:p>
    <w:p w14:paraId="39EC23A8" w14:textId="42691E77" w:rsidR="00AA23DA" w:rsidRPr="00545EC0" w:rsidRDefault="00AA23DA" w:rsidP="00DD37C5">
      <w:pPr>
        <w:numPr>
          <w:ilvl w:val="0"/>
          <w:numId w:val="110"/>
        </w:numPr>
        <w:overflowPunct/>
        <w:autoSpaceDE/>
        <w:autoSpaceDN/>
        <w:adjustRightInd/>
        <w:ind w:left="714" w:hanging="357"/>
        <w:textAlignment w:val="auto"/>
        <w:rPr>
          <w:rFonts w:cs="Arial"/>
        </w:rPr>
      </w:pPr>
      <w:r w:rsidRPr="00545EC0">
        <w:rPr>
          <w:rFonts w:cs="Arial"/>
        </w:rPr>
        <w:t>za katera je bilo na podlagi presoje vplivov ali nadzornega spremljanja stanja ugotovljeno, da ne bodo dosegla okoljskih ciljev,</w:t>
      </w:r>
    </w:p>
    <w:p w14:paraId="3320ABBD" w14:textId="77777777" w:rsidR="00AA23DA" w:rsidRPr="00545EC0" w:rsidRDefault="00AA23DA" w:rsidP="00DD37C5">
      <w:pPr>
        <w:numPr>
          <w:ilvl w:val="0"/>
          <w:numId w:val="110"/>
        </w:numPr>
        <w:overflowPunct/>
        <w:autoSpaceDE/>
        <w:autoSpaceDN/>
        <w:adjustRightInd/>
        <w:ind w:left="714" w:hanging="357"/>
        <w:textAlignment w:val="auto"/>
        <w:rPr>
          <w:rFonts w:cs="Arial"/>
        </w:rPr>
      </w:pPr>
      <w:r w:rsidRPr="00545EC0">
        <w:rPr>
          <w:rFonts w:cs="Arial"/>
        </w:rPr>
        <w:t>v katera se odvajajo odpadne vode, ki povzročajo onesnaženost s parametri kemijskega stanja, posebnimi onesnaževali ali splošnimi fizikalno-kemijskimi parametri,</w:t>
      </w:r>
    </w:p>
    <w:p w14:paraId="076944FC" w14:textId="77777777" w:rsidR="00AA23DA" w:rsidRPr="00545EC0" w:rsidRDefault="00AA23DA" w:rsidP="00DD37C5">
      <w:pPr>
        <w:numPr>
          <w:ilvl w:val="0"/>
          <w:numId w:val="110"/>
        </w:numPr>
        <w:overflowPunct/>
        <w:autoSpaceDE/>
        <w:autoSpaceDN/>
        <w:adjustRightInd/>
        <w:ind w:left="714" w:hanging="357"/>
        <w:textAlignment w:val="auto"/>
        <w:rPr>
          <w:rFonts w:cs="Arial"/>
        </w:rPr>
      </w:pPr>
      <w:r w:rsidRPr="00545EC0">
        <w:rPr>
          <w:rFonts w:cs="Arial"/>
        </w:rPr>
        <w:t>ki so ogrožena zaradi pomembnega vpliva razpršenih virov onesnaženja,</w:t>
      </w:r>
    </w:p>
    <w:p w14:paraId="6C882A6C" w14:textId="77777777" w:rsidR="00AA23DA" w:rsidRPr="00545EC0" w:rsidRDefault="00AA23DA" w:rsidP="00DD37C5">
      <w:pPr>
        <w:numPr>
          <w:ilvl w:val="0"/>
          <w:numId w:val="110"/>
        </w:numPr>
        <w:overflowPunct/>
        <w:autoSpaceDE/>
        <w:autoSpaceDN/>
        <w:adjustRightInd/>
        <w:ind w:left="714" w:hanging="357"/>
        <w:textAlignment w:val="auto"/>
        <w:rPr>
          <w:rFonts w:cs="Arial"/>
        </w:rPr>
      </w:pPr>
      <w:r w:rsidRPr="00545EC0">
        <w:rPr>
          <w:rFonts w:cs="Arial"/>
        </w:rPr>
        <w:t>ki so ogrožena zaradi pomembnega vpliva hidromorfoloških obremenitev,</w:t>
      </w:r>
    </w:p>
    <w:p w14:paraId="3ED057E3" w14:textId="261F96BA" w:rsidR="00AA23DA" w:rsidRPr="00545EC0" w:rsidRDefault="00AA23DA" w:rsidP="00DD37C5">
      <w:pPr>
        <w:numPr>
          <w:ilvl w:val="0"/>
          <w:numId w:val="110"/>
        </w:numPr>
        <w:overflowPunct/>
        <w:ind w:left="714" w:hanging="357"/>
        <w:contextualSpacing/>
        <w:textAlignment w:val="auto"/>
        <w:rPr>
          <w:rFonts w:cs="Arial"/>
        </w:rPr>
      </w:pPr>
      <w:r w:rsidRPr="00545EC0">
        <w:rPr>
          <w:rFonts w:cs="Arial"/>
        </w:rPr>
        <w:t xml:space="preserve">za katera je bilo v okviru ocene stanja voda za </w:t>
      </w:r>
      <w:r w:rsidR="00C402C7" w:rsidRPr="00545EC0">
        <w:rPr>
          <w:rFonts w:cs="Arial"/>
        </w:rPr>
        <w:t>predhodni n</w:t>
      </w:r>
      <w:r w:rsidRPr="00545EC0">
        <w:rPr>
          <w:rFonts w:cs="Arial"/>
        </w:rPr>
        <w:t>ačrt upravljanja voda ugotovljeno, da ne dosegajo dobrega kemijskega ali dobrega ekološkega stanja,</w:t>
      </w:r>
    </w:p>
    <w:p w14:paraId="59C87375" w14:textId="77777777" w:rsidR="00AA23DA" w:rsidRPr="00545EC0" w:rsidRDefault="00AA23DA" w:rsidP="00DD37C5">
      <w:pPr>
        <w:numPr>
          <w:ilvl w:val="0"/>
          <w:numId w:val="110"/>
        </w:numPr>
        <w:overflowPunct/>
        <w:ind w:left="714" w:hanging="357"/>
        <w:contextualSpacing/>
        <w:textAlignment w:val="auto"/>
        <w:rPr>
          <w:rFonts w:cs="Arial"/>
        </w:rPr>
      </w:pPr>
      <w:r w:rsidRPr="00545EC0">
        <w:rPr>
          <w:rFonts w:cs="Arial"/>
        </w:rPr>
        <w:t>na katerih se izvajajo ukrepi za zmanjševanje obremenjevanja.</w:t>
      </w:r>
    </w:p>
    <w:p w14:paraId="7A024118" w14:textId="77777777" w:rsidR="00AA23DA" w:rsidRPr="00545EC0" w:rsidRDefault="00AA23DA" w:rsidP="00806997">
      <w:pPr>
        <w:overflowPunct/>
        <w:contextualSpacing/>
        <w:textAlignment w:val="auto"/>
        <w:rPr>
          <w:rFonts w:cs="Arial"/>
        </w:rPr>
      </w:pPr>
    </w:p>
    <w:p w14:paraId="43881DA5" w14:textId="4882DC51" w:rsidR="00AA23DA" w:rsidRPr="00545EC0" w:rsidRDefault="00AA23DA" w:rsidP="00806997">
      <w:pPr>
        <w:rPr>
          <w:rFonts w:cs="Arial"/>
        </w:rPr>
      </w:pPr>
      <w:r w:rsidRPr="00545EC0">
        <w:rPr>
          <w:rFonts w:cs="Arial"/>
        </w:rPr>
        <w:t>Operativni monitoring je potekal najmanj eno leto v obdobju načrta, za oceno vpliva teh obremenitev pa so bili v program vključeni biološki elementi</w:t>
      </w:r>
      <w:r w:rsidR="00F22933" w:rsidRPr="00545EC0">
        <w:rPr>
          <w:rFonts w:cs="Arial"/>
        </w:rPr>
        <w:t xml:space="preserve"> kakovosti</w:t>
      </w:r>
      <w:r w:rsidRPr="00545EC0">
        <w:rPr>
          <w:rFonts w:cs="Arial"/>
        </w:rPr>
        <w:t xml:space="preserve">, ki so najbolj občutljivi na posamezno obremenitev, splošni fizikalno-kemijski in hidrološki parametri, parametri kemijskega stanja, ki se odvajajo v vode v porečju in posebna onesnaževala, ki se odvajajo v vodno telo v pomembnih količinah. </w:t>
      </w:r>
    </w:p>
    <w:p w14:paraId="318EFA78" w14:textId="77777777" w:rsidR="00AA23DA" w:rsidRPr="00545EC0" w:rsidRDefault="00AA23DA" w:rsidP="00806997">
      <w:pPr>
        <w:rPr>
          <w:rFonts w:cs="Arial"/>
        </w:rPr>
      </w:pPr>
    </w:p>
    <w:p w14:paraId="552B9167" w14:textId="77777777" w:rsidR="00AA23DA" w:rsidRPr="00545EC0" w:rsidRDefault="00AA23DA" w:rsidP="00806997">
      <w:pPr>
        <w:rPr>
          <w:rFonts w:cs="Arial"/>
          <w:b/>
        </w:rPr>
      </w:pPr>
      <w:bookmarkStart w:id="464" w:name="_Toc414828139"/>
      <w:bookmarkStart w:id="465" w:name="_Toc234824513"/>
      <w:bookmarkStart w:id="466" w:name="_Toc234650667"/>
      <w:r w:rsidRPr="00545EC0">
        <w:rPr>
          <w:rFonts w:cs="Arial"/>
          <w:b/>
        </w:rPr>
        <w:t>Preiskovalni monitoring</w:t>
      </w:r>
      <w:bookmarkEnd w:id="464"/>
      <w:bookmarkEnd w:id="465"/>
      <w:bookmarkEnd w:id="466"/>
    </w:p>
    <w:p w14:paraId="03760506" w14:textId="77777777" w:rsidR="00AA23DA" w:rsidRPr="00545EC0" w:rsidRDefault="00AA23DA" w:rsidP="00806997">
      <w:pPr>
        <w:rPr>
          <w:rFonts w:cs="Arial"/>
        </w:rPr>
      </w:pPr>
    </w:p>
    <w:p w14:paraId="61AB5A2B" w14:textId="77777777" w:rsidR="00AA23DA" w:rsidRPr="00545EC0" w:rsidRDefault="00AA23DA" w:rsidP="00806997">
      <w:pPr>
        <w:tabs>
          <w:tab w:val="left" w:pos="284"/>
          <w:tab w:val="left" w:pos="426"/>
        </w:tabs>
        <w:rPr>
          <w:rFonts w:cs="Arial"/>
        </w:rPr>
      </w:pPr>
      <w:r w:rsidRPr="00545EC0">
        <w:rPr>
          <w:rFonts w:cs="Arial"/>
        </w:rPr>
        <w:t>Mreža merilnih mest za preiskovalni monitoring ni stalna, pač pa se preiskovalni monitoring izvaja:</w:t>
      </w:r>
    </w:p>
    <w:p w14:paraId="05AF1D29" w14:textId="77777777" w:rsidR="00AA23DA" w:rsidRPr="00545EC0" w:rsidRDefault="00AA23DA" w:rsidP="00DD37C5">
      <w:pPr>
        <w:numPr>
          <w:ilvl w:val="0"/>
          <w:numId w:val="110"/>
        </w:numPr>
        <w:overflowPunct/>
        <w:autoSpaceDE/>
        <w:autoSpaceDN/>
        <w:adjustRightInd/>
        <w:ind w:left="714" w:hanging="357"/>
        <w:textAlignment w:val="auto"/>
        <w:rPr>
          <w:rFonts w:cs="Arial"/>
        </w:rPr>
      </w:pPr>
      <w:r w:rsidRPr="00545EC0">
        <w:rPr>
          <w:rFonts w:cs="Arial"/>
        </w:rPr>
        <w:t xml:space="preserve">če je razlog za kakršnekoli prekoračitve neznan, </w:t>
      </w:r>
    </w:p>
    <w:p w14:paraId="29FE52D6" w14:textId="77777777" w:rsidR="00AA23DA" w:rsidRPr="00545EC0" w:rsidRDefault="00AA23DA" w:rsidP="00DD37C5">
      <w:pPr>
        <w:numPr>
          <w:ilvl w:val="0"/>
          <w:numId w:val="110"/>
        </w:numPr>
        <w:overflowPunct/>
        <w:autoSpaceDE/>
        <w:autoSpaceDN/>
        <w:adjustRightInd/>
        <w:ind w:left="714" w:hanging="357"/>
        <w:textAlignment w:val="auto"/>
        <w:rPr>
          <w:rFonts w:cs="Arial"/>
        </w:rPr>
      </w:pPr>
      <w:r w:rsidRPr="00545EC0">
        <w:rPr>
          <w:rFonts w:cs="Arial"/>
        </w:rPr>
        <w:t xml:space="preserve">da se ugotovi velikost in vpliv naključnega onesnaženja (npr. okoljske nesreče) ter se s tem zagotovi informacije za izdelavo programa ukrepov. </w:t>
      </w:r>
    </w:p>
    <w:p w14:paraId="1CBCA446" w14:textId="77777777" w:rsidR="00AA23DA" w:rsidRPr="00545EC0" w:rsidRDefault="00AA23DA" w:rsidP="00806997">
      <w:pPr>
        <w:rPr>
          <w:rFonts w:cs="Arial"/>
        </w:rPr>
      </w:pPr>
    </w:p>
    <w:p w14:paraId="0BF6E4AE" w14:textId="79483AE7" w:rsidR="00AA23DA" w:rsidRPr="00545EC0" w:rsidRDefault="00AA23DA" w:rsidP="00806997">
      <w:pPr>
        <w:rPr>
          <w:rFonts w:cs="Arial"/>
        </w:rPr>
      </w:pPr>
      <w:r w:rsidRPr="00545EC0">
        <w:rPr>
          <w:rFonts w:cs="Arial"/>
        </w:rPr>
        <w:t xml:space="preserve">Preiskovalni monitoring pod </w:t>
      </w:r>
      <w:r w:rsidR="00C12042" w:rsidRPr="00545EC0">
        <w:rPr>
          <w:rFonts w:cs="Arial"/>
        </w:rPr>
        <w:t>alinejo</w:t>
      </w:r>
      <w:r w:rsidRPr="00545EC0">
        <w:rPr>
          <w:rFonts w:cs="Arial"/>
        </w:rPr>
        <w:t xml:space="preserve"> 1 zagotavlja Agencija R</w:t>
      </w:r>
      <w:r w:rsidR="00926EA0" w:rsidRPr="00545EC0">
        <w:rPr>
          <w:rFonts w:cs="Arial"/>
        </w:rPr>
        <w:t xml:space="preserve">epublike </w:t>
      </w:r>
      <w:r w:rsidRPr="00545EC0">
        <w:rPr>
          <w:rFonts w:cs="Arial"/>
        </w:rPr>
        <w:t>S</w:t>
      </w:r>
      <w:r w:rsidR="00926EA0" w:rsidRPr="00545EC0">
        <w:rPr>
          <w:rFonts w:cs="Arial"/>
        </w:rPr>
        <w:t>lovenije</w:t>
      </w:r>
      <w:r w:rsidRPr="00545EC0">
        <w:rPr>
          <w:rFonts w:cs="Arial"/>
        </w:rPr>
        <w:t xml:space="preserve"> za okolje. V obdobju 2014 do 2019 se je ta monitoring izvajal na območjih, kjer so se v času izvajanja nadzornega ali operativnega monitoringa pojavili indici o problemih, za katere vzrok ni bil znan.</w:t>
      </w:r>
      <w:r w:rsidR="00064574" w:rsidRPr="00545EC0">
        <w:rPr>
          <w:rFonts w:cs="Arial"/>
        </w:rPr>
        <w:t xml:space="preserve"> Na podlagi tovrstnega monitringa se o rezultatih obvesti institucije pristojne za ukrepanje.</w:t>
      </w:r>
    </w:p>
    <w:p w14:paraId="19AF931F" w14:textId="77777777" w:rsidR="00AA23DA" w:rsidRPr="00545EC0" w:rsidRDefault="00AA23DA" w:rsidP="00806997">
      <w:pPr>
        <w:rPr>
          <w:rFonts w:cs="Arial"/>
        </w:rPr>
      </w:pPr>
    </w:p>
    <w:p w14:paraId="7D712A1A" w14:textId="38F27431" w:rsidR="00AA23DA" w:rsidRPr="00545EC0" w:rsidRDefault="00AA23DA" w:rsidP="00806997">
      <w:pPr>
        <w:tabs>
          <w:tab w:val="left" w:pos="709"/>
        </w:tabs>
        <w:rPr>
          <w:rFonts w:cs="Arial"/>
        </w:rPr>
      </w:pPr>
      <w:r w:rsidRPr="00545EC0">
        <w:rPr>
          <w:rFonts w:cs="Arial"/>
        </w:rPr>
        <w:t xml:space="preserve">V primeru okoljskih nesreč </w:t>
      </w:r>
      <w:r w:rsidR="00F22933" w:rsidRPr="00545EC0">
        <w:rPr>
          <w:rFonts w:cs="Arial"/>
        </w:rPr>
        <w:t xml:space="preserve">(alineja 2) </w:t>
      </w:r>
      <w:r w:rsidRPr="00545EC0">
        <w:rPr>
          <w:rFonts w:cs="Arial"/>
        </w:rPr>
        <w:t xml:space="preserve">se obveščanje, alarmiranje ter vodenje in izvajanje zaščite in reševanja izvaja v okviru </w:t>
      </w:r>
      <w:r w:rsidR="00C402C7" w:rsidRPr="00545EC0">
        <w:rPr>
          <w:rFonts w:cs="Arial"/>
        </w:rPr>
        <w:t>m</w:t>
      </w:r>
      <w:r w:rsidRPr="00545EC0">
        <w:rPr>
          <w:rFonts w:cs="Arial"/>
        </w:rPr>
        <w:t>inistrstva</w:t>
      </w:r>
      <w:r w:rsidR="00C402C7" w:rsidRPr="00545EC0">
        <w:rPr>
          <w:rFonts w:cs="Arial"/>
        </w:rPr>
        <w:t>, pristojnega</w:t>
      </w:r>
      <w:r w:rsidRPr="00545EC0">
        <w:rPr>
          <w:rFonts w:cs="Arial"/>
        </w:rPr>
        <w:t xml:space="preserve"> za obrambo. V ta namen deluje Center za obveščanje R</w:t>
      </w:r>
      <w:r w:rsidR="00926EA0" w:rsidRPr="00545EC0">
        <w:rPr>
          <w:rFonts w:cs="Arial"/>
        </w:rPr>
        <w:t xml:space="preserve">epublike </w:t>
      </w:r>
      <w:r w:rsidRPr="00545EC0">
        <w:rPr>
          <w:rFonts w:cs="Arial"/>
        </w:rPr>
        <w:t>S</w:t>
      </w:r>
      <w:r w:rsidR="00926EA0" w:rsidRPr="00545EC0">
        <w:rPr>
          <w:rFonts w:cs="Arial"/>
        </w:rPr>
        <w:t>lovenije</w:t>
      </w:r>
      <w:r w:rsidRPr="00545EC0">
        <w:rPr>
          <w:rFonts w:cs="Arial"/>
        </w:rPr>
        <w:t xml:space="preserve"> (CORS) in 13 regijskih centrov (RC). CORS organizira in izvaja zbiranje in obdelavo podatkov ter jih posreduje RC in javnosti. RC zbirajo podatke o nesrečah in se odzivajo na številki 112. V primeru izrednega onesnaženja voda interventne ukrepe, vključno s preiskovalnim monitoringom (</w:t>
      </w:r>
      <w:r w:rsidR="00C12042" w:rsidRPr="00545EC0">
        <w:rPr>
          <w:rFonts w:cs="Arial"/>
        </w:rPr>
        <w:t>alineja</w:t>
      </w:r>
      <w:r w:rsidRPr="00545EC0">
        <w:rPr>
          <w:rFonts w:cs="Arial"/>
        </w:rPr>
        <w:t xml:space="preserve"> 2), izvede izvajalec državne gospodarske javne službe varstva pred nenadnim onesnaženjem voda, določene po predpisih o vodah. V primeru večje okoljske nesreče se vsi potrebni ukrepi izvedejo skladno z načrti zaščite in reševanja, določenimi s predpisi o varstvu pred naravnimi in drugimi nesrečami. Izmenjava podatkov na mednarodni ravni se izvaja na podlagi mednarodnih pogodb in poteka preko CORS. </w:t>
      </w:r>
    </w:p>
    <w:p w14:paraId="7E57B8AF" w14:textId="77777777" w:rsidR="00581CEA" w:rsidRPr="00545EC0" w:rsidRDefault="00581CEA" w:rsidP="00806997">
      <w:pPr>
        <w:tabs>
          <w:tab w:val="left" w:pos="709"/>
        </w:tabs>
        <w:rPr>
          <w:rFonts w:cs="Arial"/>
        </w:rPr>
      </w:pPr>
    </w:p>
    <w:p w14:paraId="065506D7" w14:textId="77777777" w:rsidR="00581CEA" w:rsidRPr="00545EC0" w:rsidRDefault="00581CEA" w:rsidP="00806997">
      <w:pPr>
        <w:tabs>
          <w:tab w:val="left" w:pos="709"/>
        </w:tabs>
        <w:rPr>
          <w:rFonts w:cs="Arial"/>
        </w:rPr>
      </w:pPr>
    </w:p>
    <w:p w14:paraId="6C14AD6A" w14:textId="77777777" w:rsidR="00D5428C" w:rsidRPr="00545EC0" w:rsidRDefault="00D5428C" w:rsidP="00806997">
      <w:pPr>
        <w:tabs>
          <w:tab w:val="left" w:pos="709"/>
        </w:tabs>
        <w:rPr>
          <w:rFonts w:cs="Arial"/>
        </w:rPr>
      </w:pPr>
    </w:p>
    <w:p w14:paraId="79691C8E" w14:textId="77777777" w:rsidR="00AA23DA" w:rsidRPr="00545EC0" w:rsidRDefault="00AA23DA" w:rsidP="00806997">
      <w:pPr>
        <w:rPr>
          <w:rFonts w:cs="Arial"/>
          <w:b/>
        </w:rPr>
      </w:pPr>
      <w:r w:rsidRPr="00545EC0">
        <w:rPr>
          <w:rFonts w:cs="Arial"/>
          <w:b/>
        </w:rPr>
        <w:t xml:space="preserve">Monitoring dolgoročnih trendov prednostnih snovi </w:t>
      </w:r>
    </w:p>
    <w:p w14:paraId="50797031" w14:textId="77777777" w:rsidR="00AA23DA" w:rsidRPr="00545EC0" w:rsidRDefault="00AA23DA" w:rsidP="00AA23DA">
      <w:pPr>
        <w:spacing w:after="120"/>
        <w:rPr>
          <w:rFonts w:cs="Arial"/>
          <w:b/>
        </w:rPr>
      </w:pPr>
    </w:p>
    <w:p w14:paraId="6D8905FF" w14:textId="35183E1A" w:rsidR="00D5428C" w:rsidRPr="00545EC0" w:rsidRDefault="00AA23DA" w:rsidP="00806997">
      <w:pPr>
        <w:rPr>
          <w:rFonts w:cs="Arial"/>
        </w:rPr>
      </w:pPr>
      <w:r w:rsidRPr="00545EC0">
        <w:rPr>
          <w:rFonts w:cs="Arial"/>
        </w:rPr>
        <w:t xml:space="preserve">Spremljanje dolgoročnih trendov prednostnih in prednostnih nevarnih snovi, ki so nagnjene h kopičenju v sedimentih in/ali organizmih, se je v celinskih vodah izvajalo v sedimentih, v frakciji manjši od 63 </w:t>
      </w:r>
      <w:r w:rsidR="00940BA9" w:rsidRPr="00545EC0">
        <w:rPr>
          <w:rFonts w:cs="Arial"/>
        </w:rPr>
        <w:t>μ</w:t>
      </w:r>
      <w:r w:rsidRPr="00545EC0">
        <w:rPr>
          <w:rFonts w:cs="Arial"/>
        </w:rPr>
        <w:t>m. Monitoring v sedimentih se izvaja vsake tri leta za parametre</w:t>
      </w:r>
      <w:r w:rsidR="00246027" w:rsidRPr="00545EC0">
        <w:rPr>
          <w:rFonts w:cs="Arial"/>
        </w:rPr>
        <w:t>, ki so v Prilogi 1 k predpisu, ki ureja stanje površinskih voda, opred</w:t>
      </w:r>
      <w:r w:rsidR="00776C3B" w:rsidRPr="00545EC0">
        <w:rPr>
          <w:rFonts w:cs="Arial"/>
        </w:rPr>
        <w:t>e</w:t>
      </w:r>
      <w:r w:rsidR="00246027" w:rsidRPr="00545EC0">
        <w:rPr>
          <w:rFonts w:cs="Arial"/>
        </w:rPr>
        <w:t xml:space="preserve">ljeni kot parametri kemijskega stanja za katera je treba zagotoviti spremljanje trenda v sedimentih ali organizmih, in sicer so to </w:t>
      </w:r>
      <w:r w:rsidRPr="00545EC0">
        <w:rPr>
          <w:rFonts w:cs="Arial"/>
        </w:rPr>
        <w:t>di(2-etilheksil)ftalat, C10-C13 kloroalkani, bromirani difeniletri, kadmij</w:t>
      </w:r>
      <w:r w:rsidR="00246027" w:rsidRPr="00545EC0">
        <w:rPr>
          <w:rFonts w:cs="Arial"/>
        </w:rPr>
        <w:t xml:space="preserve"> in njegove spojine</w:t>
      </w:r>
      <w:r w:rsidRPr="00545EC0">
        <w:rPr>
          <w:rFonts w:cs="Arial"/>
        </w:rPr>
        <w:t>, svinec</w:t>
      </w:r>
      <w:r w:rsidR="00246027" w:rsidRPr="00545EC0">
        <w:rPr>
          <w:rFonts w:cs="Arial"/>
        </w:rPr>
        <w:t xml:space="preserve"> in njegove spodjine</w:t>
      </w:r>
      <w:r w:rsidRPr="00545EC0">
        <w:rPr>
          <w:rFonts w:cs="Arial"/>
        </w:rPr>
        <w:t>, živo srebro</w:t>
      </w:r>
      <w:r w:rsidR="00246027" w:rsidRPr="00545EC0">
        <w:rPr>
          <w:rFonts w:cs="Arial"/>
        </w:rPr>
        <w:t xml:space="preserve"> in njegove spojine</w:t>
      </w:r>
      <w:r w:rsidRPr="00545EC0">
        <w:rPr>
          <w:rFonts w:cs="Arial"/>
        </w:rPr>
        <w:t xml:space="preserve">, heksaklorocikloheksan, pentaklorobenzen, heksaklorobenzen, heksaklorobutadien, tributilkositrove spojine, antracen, fluoranten, poliaromatski ogljikovodiki </w:t>
      </w:r>
      <w:r w:rsidR="00246027" w:rsidRPr="00545EC0">
        <w:rPr>
          <w:rFonts w:cs="Arial"/>
        </w:rPr>
        <w:t>(</w:t>
      </w:r>
      <w:r w:rsidRPr="00545EC0">
        <w:rPr>
          <w:rFonts w:cs="Arial"/>
        </w:rPr>
        <w:t>benzo(a)piren, benzo(b)fluoranten, benzo(g,h,i)perilen, benzo(k)fluoranten, indeno(1,2,3-cd)piren</w:t>
      </w:r>
      <w:r w:rsidR="00246027" w:rsidRPr="00545EC0">
        <w:rPr>
          <w:rFonts w:cs="Arial"/>
        </w:rPr>
        <w:t>)</w:t>
      </w:r>
      <w:r w:rsidRPr="00545EC0">
        <w:rPr>
          <w:rFonts w:cs="Arial"/>
        </w:rPr>
        <w:t xml:space="preserve">, tributilkositrove spojine, dikofol, perfluorooktanska kislina in njeni derivati, kvinoksifen, dioksini in dioksinom podobne spojine, heksabromociklo dodekani, </w:t>
      </w:r>
      <w:r w:rsidR="00D5428C" w:rsidRPr="00545EC0">
        <w:rPr>
          <w:rFonts w:cs="Arial"/>
        </w:rPr>
        <w:t>heptaklor in heptaklor epoksid.</w:t>
      </w:r>
    </w:p>
    <w:p w14:paraId="129B5E9A" w14:textId="22A8A12A" w:rsidR="00D5428C" w:rsidRPr="00545EC0" w:rsidRDefault="00AA23DA">
      <w:pPr>
        <w:pStyle w:val="Naslov3"/>
        <w:rPr>
          <w:lang w:val="sl-SI"/>
        </w:rPr>
      </w:pPr>
      <w:bookmarkStart w:id="467" w:name="_Toc75763024"/>
      <w:bookmarkStart w:id="468" w:name="_Toc75763728"/>
      <w:bookmarkStart w:id="469" w:name="_Toc427322610"/>
      <w:bookmarkStart w:id="470" w:name="_Toc427867407"/>
      <w:bookmarkStart w:id="471" w:name="_Toc427867493"/>
      <w:bookmarkStart w:id="472" w:name="_Toc90261047"/>
      <w:r w:rsidRPr="00545EC0">
        <w:t>Opis monitoringa vodnih teles površinskih voda za kemijsko in ekološko stanje</w:t>
      </w:r>
      <w:bookmarkEnd w:id="467"/>
      <w:bookmarkEnd w:id="468"/>
      <w:bookmarkEnd w:id="469"/>
      <w:bookmarkEnd w:id="470"/>
      <w:bookmarkEnd w:id="471"/>
      <w:bookmarkEnd w:id="472"/>
    </w:p>
    <w:p w14:paraId="0A37C979" w14:textId="61640E1B" w:rsidR="00AA23DA" w:rsidRPr="00545EC0" w:rsidRDefault="00AA23DA" w:rsidP="00806997">
      <w:pPr>
        <w:tabs>
          <w:tab w:val="left" w:pos="9900"/>
        </w:tabs>
        <w:rPr>
          <w:rFonts w:cs="Arial"/>
        </w:rPr>
      </w:pPr>
      <w:r w:rsidRPr="00545EC0">
        <w:rPr>
          <w:rFonts w:cs="Arial"/>
        </w:rPr>
        <w:t xml:space="preserve">Spremljanje stanja površinskih voda je potekalo na izbranih lokacijah posameznega vodnega telesa, pri čemer je mreža merilnih/vzorčnih mest za monitoring kemijskega in ekološkega stanja praktično identična. Za spremljanje kemijskega in ekološkega stanja površinskih voda je na posameznem vodnem telesu večinoma izbrano eno merilno mesto, le v primeru, da se stanje na vodnem telesu razlikuje ali da so določene dodatne zahteve zaradi območij s posebnimi zahtevami ali v skladu z bilateralnimi sporazumi in mednarodnimi konvencijami, je na enem vodnem telesu določenih več merilnih mest. </w:t>
      </w:r>
    </w:p>
    <w:p w14:paraId="1938CF32" w14:textId="77777777" w:rsidR="00AA23DA" w:rsidRPr="00545EC0" w:rsidRDefault="00AA23DA" w:rsidP="00806997">
      <w:pPr>
        <w:rPr>
          <w:rFonts w:cs="Arial"/>
        </w:rPr>
      </w:pPr>
    </w:p>
    <w:p w14:paraId="33717965" w14:textId="77777777" w:rsidR="00AA23DA" w:rsidRPr="00545EC0" w:rsidRDefault="00AA23DA" w:rsidP="00806997">
      <w:pPr>
        <w:rPr>
          <w:rFonts w:cs="Arial"/>
        </w:rPr>
      </w:pPr>
      <w:r w:rsidRPr="00545EC0">
        <w:rPr>
          <w:rFonts w:cs="Arial"/>
        </w:rPr>
        <w:t xml:space="preserve">Za potrebe monitoringa na vodnem območju Donave ni bilo določenih skupin vodnih teles. </w:t>
      </w:r>
    </w:p>
    <w:p w14:paraId="234AF56E" w14:textId="77777777" w:rsidR="00AA23DA" w:rsidRPr="00545EC0" w:rsidRDefault="00AA23DA" w:rsidP="00806997">
      <w:pPr>
        <w:rPr>
          <w:rFonts w:cs="Arial"/>
        </w:rPr>
      </w:pPr>
    </w:p>
    <w:p w14:paraId="22C31AF9" w14:textId="22D72486" w:rsidR="00AA23DA" w:rsidRPr="00545EC0" w:rsidRDefault="00AA23DA" w:rsidP="00806997">
      <w:pPr>
        <w:rPr>
          <w:rFonts w:cs="Arial"/>
        </w:rPr>
      </w:pPr>
      <w:r w:rsidRPr="00545EC0">
        <w:rPr>
          <w:rFonts w:cs="Arial"/>
        </w:rPr>
        <w:t xml:space="preserve">Mreža </w:t>
      </w:r>
      <w:r w:rsidR="00F22933" w:rsidRPr="00545EC0">
        <w:rPr>
          <w:rFonts w:cs="Arial"/>
        </w:rPr>
        <w:t xml:space="preserve">merilnih mest </w:t>
      </w:r>
      <w:r w:rsidRPr="00545EC0">
        <w:rPr>
          <w:rFonts w:cs="Arial"/>
        </w:rPr>
        <w:t xml:space="preserve">za spremljanje kemijskega in ekološkega stanja površinskih voda je prikazana na </w:t>
      </w:r>
      <w:r w:rsidR="00940BA9" w:rsidRPr="00545EC0">
        <w:rPr>
          <w:rFonts w:cs="Arial"/>
        </w:rPr>
        <w:t>p</w:t>
      </w:r>
      <w:r w:rsidR="00F854EB" w:rsidRPr="00545EC0">
        <w:rPr>
          <w:rFonts w:cs="Arial"/>
        </w:rPr>
        <w:t xml:space="preserve">ublikacijski </w:t>
      </w:r>
      <w:r w:rsidR="00806997" w:rsidRPr="00545EC0">
        <w:rPr>
          <w:rFonts w:cs="Arial"/>
        </w:rPr>
        <w:t>karti</w:t>
      </w:r>
      <w:r w:rsidR="003A18B6" w:rsidRPr="00545EC0">
        <w:rPr>
          <w:rFonts w:cs="Arial"/>
        </w:rPr>
        <w:t xml:space="preserve"> (Publikacijska karta 11.1</w:t>
      </w:r>
      <w:r w:rsidRPr="00545EC0">
        <w:rPr>
          <w:rFonts w:cs="Arial"/>
          <w:i/>
        </w:rPr>
        <w:t xml:space="preserve">: Mreža merilnih mest za spremljanje </w:t>
      </w:r>
      <w:r w:rsidR="003A18B6" w:rsidRPr="00545EC0">
        <w:rPr>
          <w:rFonts w:cs="Arial"/>
          <w:i/>
        </w:rPr>
        <w:t>kemijskega in ekološkega</w:t>
      </w:r>
      <w:r w:rsidRPr="00545EC0">
        <w:rPr>
          <w:rFonts w:cs="Arial"/>
          <w:i/>
        </w:rPr>
        <w:t xml:space="preserve"> stanja površinskih voda</w:t>
      </w:r>
      <w:r w:rsidR="00D5428C" w:rsidRPr="00545EC0">
        <w:rPr>
          <w:rFonts w:cs="Arial"/>
          <w:i/>
        </w:rPr>
        <w:t>.</w:t>
      </w:r>
      <w:r w:rsidR="00D5428C" w:rsidRPr="00545EC0">
        <w:rPr>
          <w:rFonts w:cs="Arial"/>
        </w:rPr>
        <w:t xml:space="preserve"> </w:t>
      </w:r>
    </w:p>
    <w:p w14:paraId="31EE7DCD" w14:textId="77777777" w:rsidR="00AA23DA" w:rsidRPr="00545EC0" w:rsidRDefault="00AA23DA" w:rsidP="00AA23DA">
      <w:pPr>
        <w:overflowPunct/>
        <w:autoSpaceDE/>
        <w:autoSpaceDN/>
        <w:adjustRightInd/>
        <w:textAlignment w:val="auto"/>
        <w:rPr>
          <w:rFonts w:ascii="Times New Roman" w:hAnsi="Times New Roman" w:cs="Arial"/>
          <w:sz w:val="24"/>
          <w:szCs w:val="24"/>
          <w:lang w:eastAsia="en-US"/>
        </w:rPr>
      </w:pPr>
    </w:p>
    <w:p w14:paraId="255CF5EB" w14:textId="77777777" w:rsidR="00AA23DA" w:rsidRPr="00545EC0" w:rsidRDefault="00AA23DA" w:rsidP="00C402C7">
      <w:pPr>
        <w:pStyle w:val="Naslov4"/>
      </w:pPr>
      <w:bookmarkStart w:id="473" w:name="_Toc414828141"/>
      <w:r w:rsidRPr="00545EC0">
        <w:t xml:space="preserve">Monitoring </w:t>
      </w:r>
      <w:bookmarkStart w:id="474" w:name="_Toc285633604"/>
      <w:r w:rsidRPr="00545EC0">
        <w:t>kemijskega stanja površinskih voda</w:t>
      </w:r>
      <w:bookmarkEnd w:id="473"/>
      <w:r w:rsidRPr="00545EC0">
        <w:t xml:space="preserve"> </w:t>
      </w:r>
      <w:bookmarkEnd w:id="474"/>
    </w:p>
    <w:p w14:paraId="7A53070B" w14:textId="77777777" w:rsidR="00AA23DA" w:rsidRPr="00545EC0" w:rsidRDefault="00AA23DA" w:rsidP="00AA23DA">
      <w:pPr>
        <w:rPr>
          <w:rFonts w:cs="Arial"/>
        </w:rPr>
      </w:pPr>
    </w:p>
    <w:p w14:paraId="0009C387" w14:textId="7E1343B5" w:rsidR="0040588B" w:rsidRPr="00545EC0" w:rsidRDefault="00AA23DA" w:rsidP="00AA23DA">
      <w:pPr>
        <w:pStyle w:val="BesediloAriel11obojestransko"/>
        <w:spacing w:line="276" w:lineRule="auto"/>
        <w:rPr>
          <w:rFonts w:cs="Arial"/>
          <w:szCs w:val="16"/>
          <w:lang w:eastAsia="sl-SI"/>
        </w:rPr>
      </w:pPr>
      <w:r w:rsidRPr="00545EC0">
        <w:rPr>
          <w:rFonts w:cs="Arial"/>
        </w:rPr>
        <w:t xml:space="preserve">Kemijsko stanje površinskih voda predstavlja obremenjenost površinskih voda s prednostnimi in prednostnimi nevarnimi snovmi, za katere so postavljeni enotni okoljski standardi kakovosti. Na ravni </w:t>
      </w:r>
      <w:r w:rsidR="00141004" w:rsidRPr="00545EC0">
        <w:rPr>
          <w:rFonts w:cs="Arial"/>
        </w:rPr>
        <w:t>Evropske unije določen seznam snovi, ki je prenesen v slovenski pravni red s predpisom, ki ureja stanje površinskih voda,</w:t>
      </w:r>
      <w:r w:rsidRPr="00545EC0">
        <w:rPr>
          <w:rFonts w:cs="Arial"/>
        </w:rPr>
        <w:t xml:space="preserve"> je </w:t>
      </w:r>
      <w:r w:rsidR="00141004" w:rsidRPr="00545EC0">
        <w:rPr>
          <w:rFonts w:cs="Arial"/>
        </w:rPr>
        <w:t xml:space="preserve">uvrščenih </w:t>
      </w:r>
      <w:r w:rsidRPr="00545EC0">
        <w:rPr>
          <w:rFonts w:cs="Arial"/>
        </w:rPr>
        <w:t>45 snovi ali skupin snovi, ki so zaradi njihove razširjene uporabe</w:t>
      </w:r>
      <w:r w:rsidR="00C402C7" w:rsidRPr="00545EC0">
        <w:rPr>
          <w:rFonts w:cs="Arial"/>
        </w:rPr>
        <w:t xml:space="preserve"> v Evropski uniji</w:t>
      </w:r>
      <w:r w:rsidRPr="00545EC0">
        <w:rPr>
          <w:rFonts w:cs="Arial"/>
        </w:rPr>
        <w:t xml:space="preserve"> in zaradi ugotovljenih povišanih vsebnosti v površinskih vodah </w:t>
      </w:r>
      <w:r w:rsidR="00C402C7" w:rsidRPr="00545EC0">
        <w:rPr>
          <w:rFonts w:cs="Arial"/>
        </w:rPr>
        <w:t xml:space="preserve">Evropske unije </w:t>
      </w:r>
      <w:r w:rsidRPr="00545EC0">
        <w:rPr>
          <w:rFonts w:cs="Arial"/>
        </w:rPr>
        <w:t xml:space="preserve">določene kot prednostne. </w:t>
      </w:r>
    </w:p>
    <w:p w14:paraId="6722513A" w14:textId="77777777" w:rsidR="00C402C7" w:rsidRPr="00545EC0" w:rsidRDefault="00C402C7" w:rsidP="004168CD">
      <w:pPr>
        <w:pStyle w:val="BesediloAriel11obojestransko"/>
        <w:spacing w:line="276" w:lineRule="auto"/>
        <w:rPr>
          <w:rFonts w:cs="Arial"/>
          <w:szCs w:val="16"/>
          <w:lang w:eastAsia="sl-SI"/>
        </w:rPr>
      </w:pPr>
    </w:p>
    <w:p w14:paraId="3F20F850" w14:textId="441975E8" w:rsidR="00AA23DA" w:rsidRPr="00545EC0" w:rsidRDefault="00AA23DA" w:rsidP="004168CD">
      <w:pPr>
        <w:pStyle w:val="BesediloAriel11obojestransko"/>
        <w:spacing w:line="276" w:lineRule="auto"/>
        <w:rPr>
          <w:rFonts w:cs="Arial"/>
          <w:szCs w:val="16"/>
          <w:lang w:eastAsia="sl-SI"/>
        </w:rPr>
      </w:pPr>
      <w:r w:rsidRPr="00545EC0">
        <w:rPr>
          <w:rFonts w:cs="Arial"/>
          <w:szCs w:val="16"/>
          <w:lang w:eastAsia="sl-SI"/>
        </w:rPr>
        <w:t xml:space="preserve">V program monitoringa kemijskega stanja so bile na čezmejnih vodnih telesih površinskih voda vključene prednostne </w:t>
      </w:r>
      <w:r w:rsidRPr="00545EC0">
        <w:rPr>
          <w:rFonts w:cs="Arial"/>
        </w:rPr>
        <w:t xml:space="preserve">in prednostne nevarne </w:t>
      </w:r>
      <w:r w:rsidRPr="00545EC0">
        <w:rPr>
          <w:rFonts w:cs="Arial"/>
          <w:szCs w:val="16"/>
          <w:lang w:eastAsia="sl-SI"/>
        </w:rPr>
        <w:t xml:space="preserve">snovi </w:t>
      </w:r>
      <w:r w:rsidR="00141004" w:rsidRPr="00545EC0">
        <w:rPr>
          <w:rFonts w:cs="Arial"/>
          <w:szCs w:val="16"/>
          <w:lang w:eastAsia="sl-SI"/>
        </w:rPr>
        <w:t>določene s predpisom, ki ureja stanje površinskih</w:t>
      </w:r>
      <w:r w:rsidR="00776C3B" w:rsidRPr="00545EC0">
        <w:rPr>
          <w:rFonts w:cs="Arial"/>
          <w:szCs w:val="16"/>
          <w:lang w:eastAsia="sl-SI"/>
        </w:rPr>
        <w:t xml:space="preserve"> voda</w:t>
      </w:r>
      <w:r w:rsidRPr="00545EC0">
        <w:rPr>
          <w:rFonts w:cs="Arial"/>
          <w:szCs w:val="16"/>
          <w:lang w:eastAsia="sl-SI"/>
        </w:rPr>
        <w:t xml:space="preserve">, na ostalih merilnih mestih pa so bile v monitoring vključene prednostne </w:t>
      </w:r>
      <w:r w:rsidRPr="00545EC0">
        <w:rPr>
          <w:rFonts w:cs="Arial"/>
        </w:rPr>
        <w:t xml:space="preserve">in prednostne nevarne </w:t>
      </w:r>
      <w:r w:rsidRPr="00545EC0">
        <w:rPr>
          <w:rFonts w:cs="Arial"/>
          <w:szCs w:val="16"/>
          <w:lang w:eastAsia="sl-SI"/>
        </w:rPr>
        <w:t xml:space="preserve">snovi, ki se odvajajo v vodno telo. Za parametre kemijskega stanja, za katere so določeni OSK (okoljski standardi kakovosti) za vodo, se je monitoring izvajal v vodi. Za enajst snovi so okoljski standardi kakovosti določeni kot vrednost parametra kemijskega stanja v organizmih (v nadaljnjem besedilu: OSK organizmi), zato se je monitoring izvajal tudi v organizmih (bioti). Za večino teh snovi so določeni OSK organizmi za ribe, za fluoranten in policiklične aromatske ogljikovodike (PAH-e) pa se OSK za organizme nanaša na rake in mehkužce. </w:t>
      </w:r>
    </w:p>
    <w:p w14:paraId="0FD7000B" w14:textId="77777777" w:rsidR="00141004" w:rsidRPr="00545EC0" w:rsidRDefault="00141004" w:rsidP="00AA23DA">
      <w:pPr>
        <w:pStyle w:val="BesediloAriel11obojestransko"/>
        <w:rPr>
          <w:rFonts w:cs="Arial"/>
          <w:szCs w:val="16"/>
          <w:lang w:eastAsia="sl-SI"/>
        </w:rPr>
      </w:pPr>
    </w:p>
    <w:p w14:paraId="6EE2F6B1" w14:textId="1FCD2890" w:rsidR="00AA23DA" w:rsidRPr="00545EC0" w:rsidRDefault="00AA23DA" w:rsidP="00AA23DA">
      <w:pPr>
        <w:rPr>
          <w:rFonts w:cs="Arial"/>
        </w:rPr>
      </w:pPr>
      <w:r w:rsidRPr="00545EC0">
        <w:rPr>
          <w:rFonts w:cs="Arial"/>
        </w:rPr>
        <w:t xml:space="preserve">Spremljanje dolgoročnih trendov prednostnih snovi, ki so nagnjene h kopičenju v sedimentih in/ali organizmih, se je v površinskih vodah izvajalo v sedimentih, v frakciji manjši od 63 </w:t>
      </w:r>
      <w:r w:rsidR="00940BA9" w:rsidRPr="00545EC0">
        <w:rPr>
          <w:rFonts w:cs="Arial"/>
        </w:rPr>
        <w:t>μm</w:t>
      </w:r>
      <w:r w:rsidRPr="00545EC0">
        <w:rPr>
          <w:rFonts w:cs="Arial"/>
        </w:rPr>
        <w:t xml:space="preserve">. </w:t>
      </w:r>
    </w:p>
    <w:p w14:paraId="141ED825" w14:textId="77777777" w:rsidR="00AA23DA" w:rsidRPr="00545EC0" w:rsidRDefault="00AA23DA" w:rsidP="00AA23DA">
      <w:pPr>
        <w:rPr>
          <w:rFonts w:cs="Arial"/>
        </w:rPr>
      </w:pPr>
    </w:p>
    <w:p w14:paraId="7E56AFDF" w14:textId="77777777" w:rsidR="00AA23DA" w:rsidRPr="00545EC0" w:rsidRDefault="00AA23DA" w:rsidP="00AA23DA">
      <w:pPr>
        <w:rPr>
          <w:rFonts w:cs="Arial"/>
        </w:rPr>
      </w:pPr>
      <w:r w:rsidRPr="00545EC0">
        <w:rPr>
          <w:rFonts w:cs="Arial"/>
        </w:rPr>
        <w:t xml:space="preserve">Nadzorni monitoring kemijskega stanja se je izvajal eno leto v 6-letnem obdobju načrta upravljanja voda. </w:t>
      </w:r>
    </w:p>
    <w:p w14:paraId="5EA5F333" w14:textId="77777777" w:rsidR="00AA23DA" w:rsidRPr="00545EC0" w:rsidRDefault="00AA23DA" w:rsidP="00AA23DA">
      <w:pPr>
        <w:rPr>
          <w:rFonts w:cs="Arial"/>
        </w:rPr>
      </w:pPr>
    </w:p>
    <w:p w14:paraId="1F6FC8AA" w14:textId="77777777" w:rsidR="00AA23DA" w:rsidRPr="00545EC0" w:rsidRDefault="00AA23DA" w:rsidP="00AA23DA">
      <w:pPr>
        <w:rPr>
          <w:rFonts w:cs="Arial"/>
        </w:rPr>
      </w:pPr>
      <w:r w:rsidRPr="00545EC0">
        <w:rPr>
          <w:rFonts w:cs="Arial"/>
        </w:rPr>
        <w:t xml:space="preserve">Operativni monitoring kemijskega stanja se je izvajal ali eno leto, ali dve leti, ali tri leta, ali štiri leta, ali pet let ali pa vseh šest let, odvisno od posameznega primera. Monitoring se je po določenem obdobju prenehal izvajati v primeru, da je bilo na podlagi izvedenega monitoringa ocenjeno dobro kemijsko stanje na podlagi statistično zanesljivega niza podatkov. </w:t>
      </w:r>
    </w:p>
    <w:p w14:paraId="1E71F322" w14:textId="77777777" w:rsidR="00AA23DA" w:rsidRPr="00545EC0" w:rsidRDefault="00AA23DA" w:rsidP="00AA23DA">
      <w:pPr>
        <w:rPr>
          <w:rFonts w:cs="Arial"/>
        </w:rPr>
      </w:pPr>
    </w:p>
    <w:p w14:paraId="14891CDF" w14:textId="77777777" w:rsidR="00AA23DA" w:rsidRPr="00545EC0" w:rsidRDefault="00AA23DA" w:rsidP="00AA23DA">
      <w:pPr>
        <w:rPr>
          <w:rFonts w:cs="Arial"/>
        </w:rPr>
      </w:pPr>
      <w:r w:rsidRPr="00545EC0">
        <w:rPr>
          <w:rFonts w:cs="Arial"/>
        </w:rPr>
        <w:t xml:space="preserve">Preiskovalni monitoring se je izvaja toliko časa, da se je ugotovilo razloge za prekoračitve okoljskih standardov kakovosti. </w:t>
      </w:r>
    </w:p>
    <w:p w14:paraId="6B254F5B" w14:textId="77777777" w:rsidR="00AA23DA" w:rsidRPr="00545EC0" w:rsidRDefault="00AA23DA" w:rsidP="00AA23DA">
      <w:pPr>
        <w:rPr>
          <w:rFonts w:cs="Arial"/>
        </w:rPr>
      </w:pPr>
    </w:p>
    <w:p w14:paraId="023E34FE" w14:textId="10C65A46" w:rsidR="00AA23DA" w:rsidRPr="00545EC0" w:rsidRDefault="00AA23DA" w:rsidP="00D5428C">
      <w:pPr>
        <w:ind w:right="-141"/>
        <w:rPr>
          <w:rFonts w:cs="Arial"/>
        </w:rPr>
      </w:pPr>
      <w:r w:rsidRPr="00545EC0">
        <w:rPr>
          <w:rFonts w:cs="Arial"/>
        </w:rPr>
        <w:t>Meritve parametrov kemijskega stanja v vodi so se izvajale s pogostostjo enkrat mesečno, razen za pesticide</w:t>
      </w:r>
      <w:r w:rsidR="00E1627C" w:rsidRPr="00545EC0">
        <w:rPr>
          <w:rFonts w:cs="Arial"/>
        </w:rPr>
        <w:t xml:space="preserve"> (v nadaljnjem besedilu so pesticidi snovi ki se kot fitofarmacevtska sredstva uporabljajo v kmetijstvu in biocidi, ki se uporabljajo izven kmetijstva, to je v javni higieni, industriji in domovih</w:t>
      </w:r>
      <w:r w:rsidR="00E1627C" w:rsidRPr="00545EC0">
        <w:rPr>
          <w:rFonts w:cs="Arial"/>
          <w:szCs w:val="20"/>
        </w:rPr>
        <w:t>)</w:t>
      </w:r>
      <w:r w:rsidRPr="00545EC0">
        <w:rPr>
          <w:rFonts w:cs="Arial"/>
        </w:rPr>
        <w:t xml:space="preserve"> iz razpršenih virov onesnaženja v operativnem monitoringu, kjer so se meritve izvajale v času uporabe teh sredstev (maj, junij, julij, avgust), tri leta v obdobju načrta upravljanja voda, s čemer </w:t>
      </w:r>
      <w:r w:rsidR="00064574" w:rsidRPr="00545EC0">
        <w:rPr>
          <w:rFonts w:cs="Arial"/>
        </w:rPr>
        <w:t xml:space="preserve">se zagotaavlja </w:t>
      </w:r>
      <w:r w:rsidRPr="00545EC0">
        <w:rPr>
          <w:rFonts w:cs="Arial"/>
        </w:rPr>
        <w:t xml:space="preserve">vsaj 12 rezultatov analiz za oceno stanja. Na merilnih mestih, ki so bila pod vplivom točkovnih virov pesticidov </w:t>
      </w:r>
      <w:r w:rsidR="00776C3B" w:rsidRPr="00545EC0">
        <w:rPr>
          <w:rFonts w:cs="Arial"/>
        </w:rPr>
        <w:t xml:space="preserve">(izraz pesticidi vključuje fitifarmacevtska sredtva in biocidne proizvode) </w:t>
      </w:r>
      <w:r w:rsidRPr="00545EC0">
        <w:rPr>
          <w:rFonts w:cs="Arial"/>
        </w:rPr>
        <w:t>se je monitoring izvajal tudi izven rastne sezone, s pogostostjo 12-krat letno. Meritve parametrov kemijskega stanja v organizmih so se izvajale s pogostostjo enkrat na leto. Interval spremljanja prednostnih in prednostnih nevarnih snovi v organizmih je utemeljen v strokovnih podlagah</w:t>
      </w:r>
      <w:r w:rsidR="00B54CAE" w:rsidRPr="00545EC0">
        <w:rPr>
          <w:rFonts w:cs="Arial"/>
        </w:rPr>
        <w:t xml:space="preserve"> (Durjava, M. in sod. 2020). </w:t>
      </w:r>
    </w:p>
    <w:p w14:paraId="12738308" w14:textId="77777777" w:rsidR="00D5428C" w:rsidRPr="00545EC0" w:rsidRDefault="00D5428C" w:rsidP="00D5428C">
      <w:pPr>
        <w:ind w:right="-141"/>
        <w:rPr>
          <w:rFonts w:cs="Arial"/>
        </w:rPr>
      </w:pPr>
    </w:p>
    <w:p w14:paraId="27839518" w14:textId="406EB038" w:rsidR="00AA23DA" w:rsidRPr="00545EC0" w:rsidRDefault="00AA23DA" w:rsidP="00AA23DA">
      <w:pPr>
        <w:tabs>
          <w:tab w:val="num" w:pos="0"/>
        </w:tabs>
        <w:rPr>
          <w:rFonts w:cs="Arial"/>
        </w:rPr>
      </w:pPr>
      <w:r w:rsidRPr="00545EC0">
        <w:rPr>
          <w:rFonts w:cs="Arial"/>
        </w:rPr>
        <w:t>Pogostost vzorčenja in intervali monitoringa za parametre kemijskega stanja v okviru nadzornega in operativnega monitoringa so razvidn</w:t>
      </w:r>
      <w:r w:rsidR="00940BA9" w:rsidRPr="00545EC0">
        <w:rPr>
          <w:rFonts w:cs="Arial"/>
        </w:rPr>
        <w:t>i</w:t>
      </w:r>
      <w:r w:rsidRPr="00545EC0">
        <w:rPr>
          <w:rFonts w:cs="Arial"/>
        </w:rPr>
        <w:t xml:space="preserve"> iz preglednice</w:t>
      </w:r>
      <w:r w:rsidR="00E55593" w:rsidRPr="00545EC0">
        <w:rPr>
          <w:rFonts w:cs="Arial"/>
        </w:rPr>
        <w:t xml:space="preserve"> (</w:t>
      </w:r>
      <w:r w:rsidRPr="00545EC0">
        <w:rPr>
          <w:rFonts w:cs="Arial"/>
        </w:rPr>
        <w:fldChar w:fldCharType="begin"/>
      </w:r>
      <w:r w:rsidRPr="00545EC0">
        <w:rPr>
          <w:rFonts w:cs="Arial"/>
        </w:rPr>
        <w:instrText xml:space="preserve"> REF _Ref75766082 \h </w:instrText>
      </w:r>
      <w:r w:rsidR="00E55593" w:rsidRPr="00545EC0">
        <w:rPr>
          <w:rFonts w:cs="Arial"/>
        </w:rPr>
        <w:instrText xml:space="preserve"> \* MERGEFORMAT </w:instrText>
      </w:r>
      <w:r w:rsidRPr="00545EC0">
        <w:rPr>
          <w:rFonts w:cs="Arial"/>
        </w:rPr>
      </w:r>
      <w:r w:rsidRPr="00545EC0">
        <w:rPr>
          <w:rFonts w:cs="Arial"/>
        </w:rPr>
        <w:fldChar w:fldCharType="separate"/>
      </w:r>
      <w:r w:rsidR="002F3E43" w:rsidRPr="00545EC0">
        <w:rPr>
          <w:szCs w:val="20"/>
        </w:rPr>
        <w:t xml:space="preserve">Preglednica </w:t>
      </w:r>
      <w:r w:rsidR="002F3E43">
        <w:rPr>
          <w:noProof/>
          <w:szCs w:val="20"/>
        </w:rPr>
        <w:t>3</w:t>
      </w:r>
      <w:r w:rsidR="002F3E43" w:rsidRPr="00545EC0">
        <w:rPr>
          <w:noProof/>
          <w:szCs w:val="20"/>
        </w:rPr>
        <w:noBreakHyphen/>
      </w:r>
      <w:r w:rsidR="002F3E43">
        <w:rPr>
          <w:noProof/>
          <w:szCs w:val="20"/>
        </w:rPr>
        <w:t>1</w:t>
      </w:r>
      <w:r w:rsidRPr="00545EC0">
        <w:rPr>
          <w:rFonts w:cs="Arial"/>
        </w:rPr>
        <w:fldChar w:fldCharType="end"/>
      </w:r>
      <w:r w:rsidRPr="00545EC0">
        <w:rPr>
          <w:rFonts w:cs="Arial"/>
        </w:rPr>
        <w:t>).</w:t>
      </w:r>
    </w:p>
    <w:p w14:paraId="7DFB829F" w14:textId="77777777" w:rsidR="00AA23DA" w:rsidRPr="00545EC0" w:rsidRDefault="00AA23DA" w:rsidP="00AA23DA">
      <w:pPr>
        <w:rPr>
          <w:rFonts w:cs="Arial"/>
        </w:rPr>
      </w:pPr>
    </w:p>
    <w:p w14:paraId="34CF1ADA" w14:textId="3E71D506" w:rsidR="00AA23DA" w:rsidRPr="00545EC0" w:rsidRDefault="00AA23DA" w:rsidP="00AA23DA">
      <w:pPr>
        <w:spacing w:after="60"/>
        <w:rPr>
          <w:szCs w:val="20"/>
        </w:rPr>
      </w:pPr>
      <w:bookmarkStart w:id="475" w:name="_Ref75766082"/>
      <w:r w:rsidRPr="00545EC0">
        <w:rPr>
          <w:szCs w:val="20"/>
        </w:rPr>
        <w:t xml:space="preserve">Preglednica </w:t>
      </w:r>
      <w:r w:rsidR="001A7511" w:rsidRPr="00545EC0">
        <w:rPr>
          <w:szCs w:val="20"/>
        </w:rPr>
        <w:fldChar w:fldCharType="begin"/>
      </w:r>
      <w:r w:rsidR="001A7511" w:rsidRPr="00545EC0">
        <w:rPr>
          <w:szCs w:val="20"/>
        </w:rPr>
        <w:instrText xml:space="preserve"> STYLEREF 1 \s </w:instrText>
      </w:r>
      <w:r w:rsidR="001A7511" w:rsidRPr="00545EC0">
        <w:rPr>
          <w:szCs w:val="20"/>
        </w:rPr>
        <w:fldChar w:fldCharType="separate"/>
      </w:r>
      <w:r w:rsidR="002F3E43">
        <w:rPr>
          <w:noProof/>
          <w:szCs w:val="20"/>
        </w:rPr>
        <w:t>3</w:t>
      </w:r>
      <w:r w:rsidR="001A7511" w:rsidRPr="00545EC0">
        <w:rPr>
          <w:szCs w:val="20"/>
        </w:rPr>
        <w:fldChar w:fldCharType="end"/>
      </w:r>
      <w:r w:rsidR="001A7511" w:rsidRPr="00545EC0">
        <w:rPr>
          <w:szCs w:val="20"/>
        </w:rPr>
        <w:noBreakHyphen/>
      </w:r>
      <w:r w:rsidR="001A7511" w:rsidRPr="00545EC0">
        <w:rPr>
          <w:szCs w:val="20"/>
        </w:rPr>
        <w:fldChar w:fldCharType="begin"/>
      </w:r>
      <w:r w:rsidR="001A7511" w:rsidRPr="00545EC0">
        <w:rPr>
          <w:szCs w:val="20"/>
        </w:rPr>
        <w:instrText xml:space="preserve"> SEQ Preglednica \* ARABIC \s 1 </w:instrText>
      </w:r>
      <w:r w:rsidR="001A7511" w:rsidRPr="00545EC0">
        <w:rPr>
          <w:szCs w:val="20"/>
        </w:rPr>
        <w:fldChar w:fldCharType="separate"/>
      </w:r>
      <w:r w:rsidR="002F3E43">
        <w:rPr>
          <w:noProof/>
          <w:szCs w:val="20"/>
        </w:rPr>
        <w:t>1</w:t>
      </w:r>
      <w:r w:rsidR="001A7511" w:rsidRPr="00545EC0">
        <w:rPr>
          <w:szCs w:val="20"/>
        </w:rPr>
        <w:fldChar w:fldCharType="end"/>
      </w:r>
      <w:bookmarkStart w:id="476" w:name="_Toc75762743"/>
      <w:bookmarkEnd w:id="475"/>
      <w:r w:rsidRPr="00545EC0">
        <w:rPr>
          <w:szCs w:val="20"/>
        </w:rPr>
        <w:t>: Pogostost in interval nadzornega in operativnega monitoringa kemijskega stanja površinskih voda v Sloveniji</w:t>
      </w:r>
      <w:bookmarkEnd w:id="4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1504"/>
        <w:gridCol w:w="1503"/>
        <w:gridCol w:w="2255"/>
        <w:gridCol w:w="2558"/>
      </w:tblGrid>
      <w:tr w:rsidR="003122F4" w:rsidRPr="00545EC0" w14:paraId="65BA1A18" w14:textId="77777777" w:rsidTr="00E55593">
        <w:trPr>
          <w:trHeight w:val="400"/>
        </w:trPr>
        <w:tc>
          <w:tcPr>
            <w:tcW w:w="790" w:type="pct"/>
            <w:vMerge w:val="restart"/>
            <w:shd w:val="clear" w:color="auto" w:fill="E7E6E6"/>
            <w:vAlign w:val="center"/>
          </w:tcPr>
          <w:p w14:paraId="0845F83D" w14:textId="77777777" w:rsidR="00AA23DA" w:rsidRPr="00545EC0" w:rsidRDefault="00AA23DA" w:rsidP="00C402C7">
            <w:pPr>
              <w:spacing w:line="240" w:lineRule="auto"/>
              <w:rPr>
                <w:rFonts w:cs="Arial"/>
                <w:b/>
                <w:sz w:val="18"/>
                <w:szCs w:val="18"/>
              </w:rPr>
            </w:pPr>
            <w:r w:rsidRPr="00545EC0">
              <w:rPr>
                <w:rFonts w:cs="Arial"/>
                <w:b/>
                <w:sz w:val="18"/>
                <w:szCs w:val="18"/>
              </w:rPr>
              <w:t>Parameter</w:t>
            </w:r>
          </w:p>
        </w:tc>
        <w:tc>
          <w:tcPr>
            <w:tcW w:w="1619" w:type="pct"/>
            <w:gridSpan w:val="2"/>
            <w:shd w:val="clear" w:color="auto" w:fill="E7E6E6"/>
            <w:vAlign w:val="center"/>
          </w:tcPr>
          <w:p w14:paraId="7F50E3DE" w14:textId="77777777" w:rsidR="00AA23DA" w:rsidRPr="00545EC0" w:rsidRDefault="00AA23DA" w:rsidP="00C402C7">
            <w:pPr>
              <w:spacing w:line="240" w:lineRule="auto"/>
              <w:rPr>
                <w:rFonts w:cs="Arial"/>
                <w:b/>
                <w:sz w:val="18"/>
                <w:szCs w:val="18"/>
              </w:rPr>
            </w:pPr>
            <w:r w:rsidRPr="00545EC0">
              <w:rPr>
                <w:rFonts w:cs="Arial"/>
                <w:b/>
                <w:sz w:val="18"/>
                <w:szCs w:val="18"/>
              </w:rPr>
              <w:t>Pogostost monitoringa</w:t>
            </w:r>
          </w:p>
        </w:tc>
        <w:tc>
          <w:tcPr>
            <w:tcW w:w="2591" w:type="pct"/>
            <w:gridSpan w:val="2"/>
            <w:shd w:val="clear" w:color="auto" w:fill="E7E6E6"/>
            <w:vAlign w:val="center"/>
          </w:tcPr>
          <w:p w14:paraId="5D42C630" w14:textId="77777777" w:rsidR="00AA23DA" w:rsidRPr="00545EC0" w:rsidRDefault="00AA23DA" w:rsidP="00C402C7">
            <w:pPr>
              <w:spacing w:line="240" w:lineRule="auto"/>
              <w:rPr>
                <w:rFonts w:cs="Arial"/>
                <w:b/>
                <w:sz w:val="18"/>
                <w:szCs w:val="18"/>
              </w:rPr>
            </w:pPr>
            <w:r w:rsidRPr="00545EC0">
              <w:rPr>
                <w:rFonts w:cs="Arial"/>
                <w:b/>
                <w:sz w:val="18"/>
                <w:szCs w:val="18"/>
              </w:rPr>
              <w:t>Interval monitoringa</w:t>
            </w:r>
          </w:p>
        </w:tc>
      </w:tr>
      <w:tr w:rsidR="003122F4" w:rsidRPr="00545EC0" w14:paraId="60E9D3D4" w14:textId="77777777" w:rsidTr="00E55593">
        <w:tc>
          <w:tcPr>
            <w:tcW w:w="790" w:type="pct"/>
            <w:vMerge/>
            <w:shd w:val="clear" w:color="auto" w:fill="E7E6E6"/>
            <w:vAlign w:val="center"/>
          </w:tcPr>
          <w:p w14:paraId="2F87F1D2" w14:textId="77777777" w:rsidR="00AA23DA" w:rsidRPr="00545EC0" w:rsidRDefault="00AA23DA" w:rsidP="00C402C7">
            <w:pPr>
              <w:spacing w:line="240" w:lineRule="auto"/>
              <w:rPr>
                <w:rFonts w:cs="Arial"/>
                <w:b/>
                <w:sz w:val="18"/>
                <w:szCs w:val="18"/>
              </w:rPr>
            </w:pPr>
          </w:p>
        </w:tc>
        <w:tc>
          <w:tcPr>
            <w:tcW w:w="810" w:type="pct"/>
            <w:shd w:val="clear" w:color="auto" w:fill="E7E6E6"/>
            <w:vAlign w:val="center"/>
          </w:tcPr>
          <w:p w14:paraId="0D54DCBC" w14:textId="77777777" w:rsidR="00AA23DA" w:rsidRPr="00545EC0" w:rsidRDefault="00AA23DA" w:rsidP="00C402C7">
            <w:pPr>
              <w:spacing w:line="240" w:lineRule="auto"/>
              <w:rPr>
                <w:rFonts w:cs="Arial"/>
                <w:b/>
                <w:sz w:val="18"/>
                <w:szCs w:val="18"/>
              </w:rPr>
            </w:pPr>
            <w:r w:rsidRPr="00545EC0">
              <w:rPr>
                <w:rFonts w:cs="Arial"/>
                <w:b/>
                <w:sz w:val="18"/>
                <w:szCs w:val="18"/>
              </w:rPr>
              <w:t>Reke</w:t>
            </w:r>
          </w:p>
        </w:tc>
        <w:tc>
          <w:tcPr>
            <w:tcW w:w="809" w:type="pct"/>
            <w:shd w:val="clear" w:color="auto" w:fill="E7E6E6"/>
            <w:vAlign w:val="center"/>
          </w:tcPr>
          <w:p w14:paraId="0BA4CACD" w14:textId="77777777" w:rsidR="00AA23DA" w:rsidRPr="00545EC0" w:rsidRDefault="00AA23DA" w:rsidP="00C402C7">
            <w:pPr>
              <w:spacing w:line="240" w:lineRule="auto"/>
              <w:rPr>
                <w:rFonts w:cs="Arial"/>
                <w:b/>
                <w:sz w:val="18"/>
                <w:szCs w:val="18"/>
              </w:rPr>
            </w:pPr>
            <w:r w:rsidRPr="00545EC0">
              <w:rPr>
                <w:rFonts w:cs="Arial"/>
                <w:b/>
                <w:sz w:val="18"/>
                <w:szCs w:val="18"/>
              </w:rPr>
              <w:t>Jezera</w:t>
            </w:r>
          </w:p>
        </w:tc>
        <w:tc>
          <w:tcPr>
            <w:tcW w:w="1214" w:type="pct"/>
            <w:shd w:val="clear" w:color="auto" w:fill="E7E6E6"/>
            <w:vAlign w:val="center"/>
          </w:tcPr>
          <w:p w14:paraId="4C04DE48" w14:textId="77777777" w:rsidR="00AA23DA" w:rsidRPr="00545EC0" w:rsidRDefault="00AA23DA" w:rsidP="00C402C7">
            <w:pPr>
              <w:spacing w:line="240" w:lineRule="auto"/>
              <w:rPr>
                <w:rFonts w:cs="Arial"/>
                <w:b/>
                <w:sz w:val="18"/>
                <w:szCs w:val="18"/>
              </w:rPr>
            </w:pPr>
            <w:r w:rsidRPr="00545EC0">
              <w:rPr>
                <w:rFonts w:cs="Arial"/>
                <w:b/>
                <w:sz w:val="18"/>
                <w:szCs w:val="18"/>
              </w:rPr>
              <w:t>Nadzorni monitoring</w:t>
            </w:r>
          </w:p>
        </w:tc>
        <w:tc>
          <w:tcPr>
            <w:tcW w:w="1376" w:type="pct"/>
            <w:shd w:val="clear" w:color="auto" w:fill="E7E6E6"/>
            <w:vAlign w:val="center"/>
          </w:tcPr>
          <w:p w14:paraId="71D058C1" w14:textId="77777777" w:rsidR="00AA23DA" w:rsidRPr="00545EC0" w:rsidRDefault="00AA23DA" w:rsidP="00C402C7">
            <w:pPr>
              <w:spacing w:line="240" w:lineRule="auto"/>
              <w:rPr>
                <w:rFonts w:cs="Arial"/>
                <w:b/>
                <w:sz w:val="18"/>
                <w:szCs w:val="18"/>
              </w:rPr>
            </w:pPr>
            <w:r w:rsidRPr="00545EC0">
              <w:rPr>
                <w:rFonts w:cs="Arial"/>
                <w:b/>
                <w:sz w:val="18"/>
                <w:szCs w:val="18"/>
              </w:rPr>
              <w:t>Operativni monitoring</w:t>
            </w:r>
          </w:p>
        </w:tc>
      </w:tr>
      <w:tr w:rsidR="003122F4" w:rsidRPr="00545EC0" w14:paraId="58D24528" w14:textId="77777777" w:rsidTr="00E55593">
        <w:trPr>
          <w:trHeight w:val="810"/>
        </w:trPr>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057065A1" w14:textId="1C99E9A4" w:rsidR="00AA23DA" w:rsidRPr="00545EC0" w:rsidRDefault="00AA23DA" w:rsidP="00C402C7">
            <w:pPr>
              <w:spacing w:line="240" w:lineRule="auto"/>
              <w:jc w:val="left"/>
              <w:rPr>
                <w:rFonts w:cs="Arial"/>
                <w:sz w:val="18"/>
                <w:szCs w:val="18"/>
              </w:rPr>
            </w:pPr>
            <w:r w:rsidRPr="00545EC0">
              <w:rPr>
                <w:rFonts w:cs="Arial"/>
                <w:sz w:val="18"/>
                <w:szCs w:val="18"/>
              </w:rPr>
              <w:t>Prednostne snovi v vodi, razen pesticidov</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43F77D65" w14:textId="77777777" w:rsidR="00AA23DA" w:rsidRPr="00545EC0" w:rsidRDefault="00AA23DA" w:rsidP="00C402C7">
            <w:pPr>
              <w:spacing w:line="240" w:lineRule="auto"/>
              <w:rPr>
                <w:rFonts w:cs="Arial"/>
                <w:sz w:val="18"/>
                <w:szCs w:val="18"/>
              </w:rPr>
            </w:pPr>
            <w:r w:rsidRPr="00545EC0">
              <w:rPr>
                <w:rFonts w:cs="Arial"/>
                <w:sz w:val="18"/>
                <w:szCs w:val="18"/>
              </w:rPr>
              <w:t>12-krat letno</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08927678" w14:textId="77777777" w:rsidR="00AA23DA" w:rsidRPr="00545EC0" w:rsidRDefault="00AA23DA" w:rsidP="00C402C7">
            <w:pPr>
              <w:spacing w:line="240" w:lineRule="auto"/>
              <w:rPr>
                <w:rFonts w:cs="Arial"/>
                <w:sz w:val="18"/>
                <w:szCs w:val="18"/>
              </w:rPr>
            </w:pPr>
            <w:r w:rsidRPr="00545EC0">
              <w:rPr>
                <w:rFonts w:cs="Arial"/>
                <w:sz w:val="18"/>
                <w:szCs w:val="18"/>
              </w:rPr>
              <w:t>12-krat letno</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14:paraId="75D786D9" w14:textId="77777777" w:rsidR="00AA23DA" w:rsidRPr="00545EC0" w:rsidRDefault="00AA23DA" w:rsidP="00C402C7">
            <w:pPr>
              <w:spacing w:line="240" w:lineRule="auto"/>
              <w:jc w:val="left"/>
              <w:rPr>
                <w:rFonts w:cs="Arial"/>
                <w:sz w:val="18"/>
                <w:szCs w:val="18"/>
              </w:rPr>
            </w:pPr>
            <w:r w:rsidRPr="00545EC0">
              <w:rPr>
                <w:rFonts w:cs="Arial"/>
                <w:sz w:val="18"/>
                <w:szCs w:val="18"/>
              </w:rPr>
              <w:t>Najmanj 1-krat v šestih letih</w:t>
            </w:r>
          </w:p>
        </w:tc>
        <w:tc>
          <w:tcPr>
            <w:tcW w:w="1376" w:type="pct"/>
            <w:tcBorders>
              <w:top w:val="single" w:sz="4" w:space="0" w:color="auto"/>
              <w:left w:val="single" w:sz="4" w:space="0" w:color="auto"/>
              <w:bottom w:val="single" w:sz="4" w:space="0" w:color="auto"/>
              <w:right w:val="single" w:sz="4" w:space="0" w:color="auto"/>
            </w:tcBorders>
            <w:shd w:val="clear" w:color="auto" w:fill="auto"/>
            <w:vAlign w:val="center"/>
          </w:tcPr>
          <w:p w14:paraId="685D27F1" w14:textId="77777777" w:rsidR="00AA23DA" w:rsidRPr="00545EC0" w:rsidRDefault="00AA23DA" w:rsidP="00C402C7">
            <w:pPr>
              <w:spacing w:line="240" w:lineRule="auto"/>
              <w:jc w:val="left"/>
              <w:rPr>
                <w:rFonts w:cs="Arial"/>
                <w:sz w:val="18"/>
                <w:szCs w:val="18"/>
              </w:rPr>
            </w:pPr>
            <w:r w:rsidRPr="00545EC0">
              <w:rPr>
                <w:rFonts w:cs="Arial"/>
                <w:sz w:val="18"/>
                <w:szCs w:val="18"/>
              </w:rPr>
              <w:t>Najmanj 1-krat v šestih letih</w:t>
            </w:r>
          </w:p>
        </w:tc>
      </w:tr>
      <w:tr w:rsidR="003122F4" w:rsidRPr="00545EC0" w14:paraId="37D9EBAE" w14:textId="77777777" w:rsidTr="00E55593">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15B3EBFF" w14:textId="77777777" w:rsidR="00AA23DA" w:rsidRPr="00545EC0" w:rsidRDefault="00AA23DA" w:rsidP="00C402C7">
            <w:pPr>
              <w:spacing w:line="240" w:lineRule="auto"/>
              <w:jc w:val="left"/>
              <w:rPr>
                <w:rFonts w:cs="Arial"/>
                <w:sz w:val="18"/>
                <w:szCs w:val="18"/>
              </w:rPr>
            </w:pPr>
            <w:r w:rsidRPr="00545EC0">
              <w:rPr>
                <w:rFonts w:cs="Arial"/>
                <w:sz w:val="18"/>
                <w:szCs w:val="18"/>
              </w:rPr>
              <w:t>Pesticidi v vodi, nadzorni monitoring</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32714EA9" w14:textId="77777777" w:rsidR="00AA23DA" w:rsidRPr="00545EC0" w:rsidRDefault="00AA23DA" w:rsidP="00C402C7">
            <w:pPr>
              <w:spacing w:line="240" w:lineRule="auto"/>
              <w:jc w:val="left"/>
              <w:rPr>
                <w:rFonts w:cs="Arial"/>
                <w:sz w:val="18"/>
                <w:szCs w:val="18"/>
              </w:rPr>
            </w:pPr>
            <w:r w:rsidRPr="00545EC0">
              <w:rPr>
                <w:rFonts w:cs="Arial"/>
                <w:sz w:val="18"/>
                <w:szCs w:val="18"/>
              </w:rPr>
              <w:t>12-krat letno</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3FE365A3" w14:textId="77777777" w:rsidR="00AA23DA" w:rsidRPr="00545EC0" w:rsidRDefault="00AA23DA" w:rsidP="00C402C7">
            <w:pPr>
              <w:spacing w:line="240" w:lineRule="auto"/>
              <w:jc w:val="left"/>
              <w:rPr>
                <w:rFonts w:cs="Arial"/>
                <w:sz w:val="18"/>
                <w:szCs w:val="18"/>
              </w:rPr>
            </w:pPr>
            <w:r w:rsidRPr="00545EC0">
              <w:rPr>
                <w:rFonts w:cs="Arial"/>
                <w:sz w:val="18"/>
                <w:szCs w:val="18"/>
              </w:rPr>
              <w:t>12-krat letno</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14:paraId="11BEF98E" w14:textId="77777777" w:rsidR="00AA23DA" w:rsidRPr="00545EC0" w:rsidRDefault="00AA23DA" w:rsidP="00C402C7">
            <w:pPr>
              <w:spacing w:line="240" w:lineRule="auto"/>
              <w:jc w:val="left"/>
              <w:rPr>
                <w:rFonts w:cs="Arial"/>
                <w:sz w:val="18"/>
                <w:szCs w:val="18"/>
              </w:rPr>
            </w:pPr>
            <w:r w:rsidRPr="00545EC0">
              <w:rPr>
                <w:rFonts w:cs="Arial"/>
                <w:sz w:val="18"/>
                <w:szCs w:val="18"/>
              </w:rPr>
              <w:t>Najmanj 1-krat v šestih letih</w:t>
            </w:r>
          </w:p>
        </w:tc>
        <w:tc>
          <w:tcPr>
            <w:tcW w:w="1376" w:type="pct"/>
            <w:tcBorders>
              <w:top w:val="single" w:sz="4" w:space="0" w:color="auto"/>
              <w:left w:val="single" w:sz="4" w:space="0" w:color="auto"/>
              <w:bottom w:val="single" w:sz="4" w:space="0" w:color="auto"/>
              <w:right w:val="single" w:sz="4" w:space="0" w:color="auto"/>
            </w:tcBorders>
            <w:shd w:val="clear" w:color="auto" w:fill="auto"/>
            <w:vAlign w:val="center"/>
          </w:tcPr>
          <w:p w14:paraId="6678802B" w14:textId="77777777" w:rsidR="00AA23DA" w:rsidRPr="00545EC0" w:rsidRDefault="00AA23DA" w:rsidP="00C402C7">
            <w:pPr>
              <w:spacing w:line="240" w:lineRule="auto"/>
              <w:jc w:val="left"/>
              <w:rPr>
                <w:rFonts w:cs="Arial"/>
                <w:sz w:val="18"/>
                <w:szCs w:val="18"/>
              </w:rPr>
            </w:pPr>
            <w:r w:rsidRPr="00545EC0">
              <w:rPr>
                <w:rFonts w:cs="Arial"/>
                <w:sz w:val="18"/>
                <w:szCs w:val="18"/>
              </w:rPr>
              <w:t>-</w:t>
            </w:r>
          </w:p>
        </w:tc>
      </w:tr>
      <w:tr w:rsidR="003122F4" w:rsidRPr="00545EC0" w14:paraId="0E908930" w14:textId="77777777" w:rsidTr="00E55593">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3E3347EE" w14:textId="77777777" w:rsidR="00AA23DA" w:rsidRPr="00545EC0" w:rsidRDefault="00AA23DA" w:rsidP="00C402C7">
            <w:pPr>
              <w:spacing w:line="240" w:lineRule="auto"/>
              <w:jc w:val="left"/>
              <w:rPr>
                <w:rFonts w:cs="Arial"/>
                <w:sz w:val="18"/>
                <w:szCs w:val="18"/>
              </w:rPr>
            </w:pPr>
            <w:r w:rsidRPr="00545EC0">
              <w:rPr>
                <w:rFonts w:cs="Arial"/>
                <w:sz w:val="18"/>
                <w:szCs w:val="18"/>
              </w:rPr>
              <w:t>Pesticidi v vodi, operativni monitoring</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505B4782" w14:textId="77777777" w:rsidR="00AA23DA" w:rsidRPr="00545EC0" w:rsidRDefault="00AA23DA" w:rsidP="00C402C7">
            <w:pPr>
              <w:spacing w:line="240" w:lineRule="auto"/>
              <w:jc w:val="left"/>
              <w:rPr>
                <w:rFonts w:cs="Arial"/>
                <w:sz w:val="18"/>
                <w:szCs w:val="18"/>
              </w:rPr>
            </w:pPr>
            <w:r w:rsidRPr="00545EC0">
              <w:rPr>
                <w:rFonts w:cs="Arial"/>
                <w:sz w:val="18"/>
                <w:szCs w:val="18"/>
              </w:rPr>
              <w:t>4-krat letno v času aplikacije</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58D31C18" w14:textId="77777777" w:rsidR="00AA23DA" w:rsidRPr="00545EC0" w:rsidRDefault="00AA23DA" w:rsidP="00C402C7">
            <w:pPr>
              <w:spacing w:line="240" w:lineRule="auto"/>
              <w:jc w:val="left"/>
              <w:rPr>
                <w:rFonts w:cs="Arial"/>
                <w:sz w:val="18"/>
                <w:szCs w:val="18"/>
              </w:rPr>
            </w:pPr>
            <w:r w:rsidRPr="00545EC0">
              <w:rPr>
                <w:rFonts w:cs="Arial"/>
                <w:sz w:val="18"/>
                <w:szCs w:val="18"/>
              </w:rPr>
              <w:t>4-krat letno v času aplikacije</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14:paraId="35E9A4B4" w14:textId="77777777" w:rsidR="00AA23DA" w:rsidRPr="00545EC0" w:rsidRDefault="00AA23DA" w:rsidP="00C402C7">
            <w:pPr>
              <w:spacing w:line="240" w:lineRule="auto"/>
              <w:rPr>
                <w:rFonts w:cs="Arial"/>
                <w:sz w:val="18"/>
                <w:szCs w:val="18"/>
              </w:rPr>
            </w:pPr>
            <w:r w:rsidRPr="00545EC0">
              <w:rPr>
                <w:rFonts w:cs="Arial"/>
                <w:sz w:val="18"/>
                <w:szCs w:val="18"/>
              </w:rPr>
              <w:t>-</w:t>
            </w:r>
          </w:p>
        </w:tc>
        <w:tc>
          <w:tcPr>
            <w:tcW w:w="1376" w:type="pct"/>
            <w:tcBorders>
              <w:top w:val="single" w:sz="4" w:space="0" w:color="auto"/>
              <w:left w:val="single" w:sz="4" w:space="0" w:color="auto"/>
              <w:bottom w:val="single" w:sz="4" w:space="0" w:color="auto"/>
              <w:right w:val="single" w:sz="4" w:space="0" w:color="auto"/>
            </w:tcBorders>
            <w:shd w:val="clear" w:color="auto" w:fill="auto"/>
            <w:vAlign w:val="center"/>
          </w:tcPr>
          <w:p w14:paraId="5F605B04" w14:textId="77777777" w:rsidR="00AA23DA" w:rsidRPr="00545EC0" w:rsidRDefault="00AA23DA" w:rsidP="00C402C7">
            <w:pPr>
              <w:spacing w:line="240" w:lineRule="auto"/>
              <w:jc w:val="left"/>
              <w:rPr>
                <w:rFonts w:cs="Arial"/>
                <w:sz w:val="18"/>
                <w:szCs w:val="18"/>
              </w:rPr>
            </w:pPr>
            <w:r w:rsidRPr="00545EC0">
              <w:rPr>
                <w:rFonts w:cs="Arial"/>
                <w:sz w:val="18"/>
                <w:szCs w:val="18"/>
              </w:rPr>
              <w:t>Minimalno 3 leta v obdobju</w:t>
            </w:r>
          </w:p>
        </w:tc>
      </w:tr>
      <w:tr w:rsidR="003122F4" w:rsidRPr="00545EC0" w14:paraId="3238BFC8" w14:textId="77777777" w:rsidTr="00E55593">
        <w:trPr>
          <w:trHeight w:val="779"/>
        </w:trPr>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59EBBD05" w14:textId="77777777" w:rsidR="00AA23DA" w:rsidRPr="00545EC0" w:rsidRDefault="00AA23DA" w:rsidP="00C402C7">
            <w:pPr>
              <w:spacing w:line="240" w:lineRule="auto"/>
              <w:jc w:val="left"/>
              <w:rPr>
                <w:rFonts w:cs="Arial"/>
                <w:sz w:val="18"/>
                <w:szCs w:val="18"/>
              </w:rPr>
            </w:pPr>
            <w:r w:rsidRPr="00545EC0">
              <w:rPr>
                <w:rFonts w:cs="Arial"/>
                <w:sz w:val="18"/>
                <w:szCs w:val="18"/>
              </w:rPr>
              <w:t>Prednostne snovi v organizmih</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43BF46B4" w14:textId="77777777" w:rsidR="00AA23DA" w:rsidRPr="00545EC0" w:rsidRDefault="00AA23DA" w:rsidP="00C402C7">
            <w:pPr>
              <w:spacing w:line="240" w:lineRule="auto"/>
              <w:rPr>
                <w:rFonts w:cs="Arial"/>
                <w:sz w:val="18"/>
                <w:szCs w:val="18"/>
              </w:rPr>
            </w:pPr>
            <w:r w:rsidRPr="00545EC0">
              <w:rPr>
                <w:rFonts w:cs="Arial"/>
                <w:sz w:val="18"/>
                <w:szCs w:val="18"/>
              </w:rPr>
              <w:t>1-krat letno</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1C0831B9" w14:textId="77777777" w:rsidR="00AA23DA" w:rsidRPr="00545EC0" w:rsidRDefault="00AA23DA" w:rsidP="00C402C7">
            <w:pPr>
              <w:spacing w:line="240" w:lineRule="auto"/>
              <w:rPr>
                <w:rFonts w:cs="Arial"/>
                <w:sz w:val="18"/>
                <w:szCs w:val="18"/>
              </w:rPr>
            </w:pPr>
            <w:r w:rsidRPr="00545EC0">
              <w:rPr>
                <w:rFonts w:cs="Arial"/>
                <w:sz w:val="18"/>
                <w:szCs w:val="18"/>
              </w:rPr>
              <w:t>1-krat letno</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14:paraId="016840E1" w14:textId="77777777" w:rsidR="00AA23DA" w:rsidRPr="00545EC0" w:rsidRDefault="00AA23DA" w:rsidP="00C402C7">
            <w:pPr>
              <w:spacing w:line="240" w:lineRule="auto"/>
              <w:jc w:val="left"/>
              <w:rPr>
                <w:rFonts w:cs="Arial"/>
                <w:sz w:val="18"/>
                <w:szCs w:val="18"/>
              </w:rPr>
            </w:pPr>
            <w:r w:rsidRPr="00545EC0">
              <w:rPr>
                <w:rFonts w:cs="Arial"/>
                <w:sz w:val="18"/>
                <w:szCs w:val="18"/>
              </w:rPr>
              <w:t>Najmanj 1-krat v šestih letih</w:t>
            </w:r>
          </w:p>
        </w:tc>
        <w:tc>
          <w:tcPr>
            <w:tcW w:w="1376" w:type="pct"/>
            <w:tcBorders>
              <w:top w:val="single" w:sz="4" w:space="0" w:color="auto"/>
              <w:left w:val="single" w:sz="4" w:space="0" w:color="auto"/>
              <w:bottom w:val="single" w:sz="4" w:space="0" w:color="auto"/>
              <w:right w:val="single" w:sz="4" w:space="0" w:color="auto"/>
            </w:tcBorders>
            <w:shd w:val="clear" w:color="auto" w:fill="auto"/>
            <w:vAlign w:val="center"/>
          </w:tcPr>
          <w:p w14:paraId="178DB3D5" w14:textId="77777777" w:rsidR="00AA23DA" w:rsidRPr="00545EC0" w:rsidRDefault="00AA23DA" w:rsidP="00C402C7">
            <w:pPr>
              <w:spacing w:line="240" w:lineRule="auto"/>
              <w:jc w:val="left"/>
              <w:rPr>
                <w:rFonts w:cs="Arial"/>
                <w:sz w:val="18"/>
                <w:szCs w:val="18"/>
              </w:rPr>
            </w:pPr>
            <w:r w:rsidRPr="00545EC0">
              <w:rPr>
                <w:rFonts w:cs="Arial"/>
                <w:sz w:val="18"/>
                <w:szCs w:val="18"/>
              </w:rPr>
              <w:t xml:space="preserve">Najmanj 1-krat v šestih letih </w:t>
            </w:r>
          </w:p>
        </w:tc>
      </w:tr>
      <w:tr w:rsidR="00AA23DA" w:rsidRPr="00545EC0" w14:paraId="4DE72650" w14:textId="77777777" w:rsidTr="00E55593">
        <w:trPr>
          <w:trHeight w:val="847"/>
        </w:trPr>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462232FC" w14:textId="77777777" w:rsidR="00AA23DA" w:rsidRPr="00545EC0" w:rsidRDefault="00AA23DA" w:rsidP="00C402C7">
            <w:pPr>
              <w:spacing w:line="240" w:lineRule="auto"/>
              <w:jc w:val="left"/>
              <w:rPr>
                <w:rFonts w:cs="Arial"/>
                <w:sz w:val="18"/>
                <w:szCs w:val="18"/>
              </w:rPr>
            </w:pPr>
            <w:r w:rsidRPr="00545EC0">
              <w:rPr>
                <w:rFonts w:cs="Arial"/>
                <w:sz w:val="18"/>
                <w:szCs w:val="18"/>
              </w:rPr>
              <w:t>Prednostne snovi v sedimentu</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290ACF25" w14:textId="77777777" w:rsidR="00AA23DA" w:rsidRPr="00545EC0" w:rsidRDefault="00AA23DA" w:rsidP="00C402C7">
            <w:pPr>
              <w:spacing w:line="240" w:lineRule="auto"/>
              <w:rPr>
                <w:rFonts w:cs="Arial"/>
                <w:sz w:val="18"/>
                <w:szCs w:val="18"/>
              </w:rPr>
            </w:pPr>
            <w:r w:rsidRPr="00545EC0">
              <w:rPr>
                <w:rFonts w:cs="Arial"/>
                <w:sz w:val="18"/>
                <w:szCs w:val="18"/>
              </w:rPr>
              <w:t>1-krat letno</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1EB9754B" w14:textId="77777777" w:rsidR="00AA23DA" w:rsidRPr="00545EC0" w:rsidRDefault="00AA23DA" w:rsidP="00C402C7">
            <w:pPr>
              <w:spacing w:line="240" w:lineRule="auto"/>
              <w:rPr>
                <w:rFonts w:cs="Arial"/>
                <w:sz w:val="18"/>
                <w:szCs w:val="18"/>
              </w:rPr>
            </w:pPr>
            <w:r w:rsidRPr="00545EC0">
              <w:rPr>
                <w:rFonts w:cs="Arial"/>
                <w:sz w:val="18"/>
                <w:szCs w:val="18"/>
              </w:rPr>
              <w:t>1-krat letno</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14:paraId="4BD57039" w14:textId="77777777" w:rsidR="00AA23DA" w:rsidRPr="00545EC0" w:rsidRDefault="00AA23DA" w:rsidP="00C402C7">
            <w:pPr>
              <w:spacing w:line="240" w:lineRule="auto"/>
              <w:jc w:val="left"/>
              <w:rPr>
                <w:rFonts w:cs="Arial"/>
                <w:sz w:val="18"/>
                <w:szCs w:val="18"/>
              </w:rPr>
            </w:pPr>
            <w:r w:rsidRPr="00545EC0">
              <w:rPr>
                <w:rFonts w:cs="Arial"/>
                <w:sz w:val="18"/>
                <w:szCs w:val="18"/>
              </w:rPr>
              <w:t>1-krat na 3 leta na trendnih merilnih mestih</w:t>
            </w:r>
          </w:p>
        </w:tc>
        <w:tc>
          <w:tcPr>
            <w:tcW w:w="1376" w:type="pct"/>
            <w:tcBorders>
              <w:top w:val="single" w:sz="4" w:space="0" w:color="auto"/>
              <w:left w:val="single" w:sz="4" w:space="0" w:color="auto"/>
              <w:bottom w:val="single" w:sz="4" w:space="0" w:color="auto"/>
              <w:right w:val="single" w:sz="4" w:space="0" w:color="auto"/>
            </w:tcBorders>
            <w:shd w:val="clear" w:color="auto" w:fill="auto"/>
            <w:vAlign w:val="center"/>
          </w:tcPr>
          <w:p w14:paraId="563F1A77" w14:textId="77777777" w:rsidR="00AA23DA" w:rsidRPr="00545EC0" w:rsidRDefault="00AA23DA" w:rsidP="00C402C7">
            <w:pPr>
              <w:spacing w:line="240" w:lineRule="auto"/>
              <w:jc w:val="left"/>
              <w:rPr>
                <w:rFonts w:cs="Arial"/>
                <w:sz w:val="18"/>
                <w:szCs w:val="18"/>
              </w:rPr>
            </w:pPr>
            <w:r w:rsidRPr="00545EC0">
              <w:rPr>
                <w:rFonts w:cs="Arial"/>
                <w:sz w:val="18"/>
                <w:szCs w:val="18"/>
              </w:rPr>
              <w:t>1-krat na 3 leta</w:t>
            </w:r>
          </w:p>
        </w:tc>
      </w:tr>
    </w:tbl>
    <w:p w14:paraId="5166C25A" w14:textId="77777777" w:rsidR="00AA23DA" w:rsidRDefault="00AA23DA" w:rsidP="00AA23DA">
      <w:pPr>
        <w:rPr>
          <w:rFonts w:cs="Arial"/>
        </w:rPr>
      </w:pPr>
    </w:p>
    <w:p w14:paraId="234EF340" w14:textId="77777777" w:rsidR="002F3E43" w:rsidRPr="00545EC0" w:rsidRDefault="002F3E43" w:rsidP="00AA23DA">
      <w:pPr>
        <w:rPr>
          <w:rFonts w:cs="Arial"/>
        </w:rPr>
      </w:pPr>
    </w:p>
    <w:p w14:paraId="6E3ADF25" w14:textId="6F9B88C0" w:rsidR="00AA23DA" w:rsidRPr="00545EC0" w:rsidRDefault="00C402C7" w:rsidP="00C402C7">
      <w:pPr>
        <w:pStyle w:val="Naslov4"/>
      </w:pPr>
      <w:r w:rsidRPr="00545EC0">
        <w:rPr>
          <w:lang w:val="sl-SI"/>
        </w:rPr>
        <w:lastRenderedPageBreak/>
        <w:t>M</w:t>
      </w:r>
      <w:r w:rsidR="00AA23DA" w:rsidRPr="00545EC0">
        <w:t xml:space="preserve">onitoring ekološkega stanja površinskih voda </w:t>
      </w:r>
    </w:p>
    <w:p w14:paraId="404D4DB0" w14:textId="198376FE" w:rsidR="00AA23DA" w:rsidRPr="00545EC0" w:rsidRDefault="00AA23DA" w:rsidP="004168CD">
      <w:pPr>
        <w:spacing w:after="120"/>
        <w:rPr>
          <w:rFonts w:cs="Arial"/>
        </w:rPr>
      </w:pPr>
      <w:r w:rsidRPr="00545EC0">
        <w:rPr>
          <w:rFonts w:cs="Arial"/>
        </w:rPr>
        <w:t>V monitoring ekološkega stanja površinskih voda so vključeni biološki elementi kakovosti, ki so specifični za posamezno kategorijo</w:t>
      </w:r>
      <w:r w:rsidR="00F22933" w:rsidRPr="00545EC0">
        <w:rPr>
          <w:rFonts w:cs="Arial"/>
        </w:rPr>
        <w:t xml:space="preserve"> voda</w:t>
      </w:r>
      <w:r w:rsidRPr="00545EC0">
        <w:rPr>
          <w:rFonts w:cs="Arial"/>
        </w:rPr>
        <w:t>, splošni fizikalno-kemijski in hidromorfološki elementi kakovosti, ki podpirajo biološke elemente kakovosti ter posebna onesnaževala, ki se odvajajo v vodno okolje</w:t>
      </w:r>
      <w:r w:rsidR="00655459" w:rsidRPr="00545EC0">
        <w:rPr>
          <w:rFonts w:cs="Arial"/>
        </w:rPr>
        <w:t xml:space="preserve"> v pomembnih količinah</w:t>
      </w:r>
      <w:r w:rsidR="005C28AE" w:rsidRPr="00545EC0">
        <w:rPr>
          <w:rFonts w:cs="Arial"/>
        </w:rPr>
        <w:t>. Pregled bioloških elementov kakovosti za vrednotenje ekološkega stanja vodotokov, jezer in zadrževalnikov skupaj z indeksi za vrednotenje, obremenitvami, ki jih kažejo, in metodologijami vrednotenja je podan v preglednici</w:t>
      </w:r>
      <w:r w:rsidRPr="00545EC0">
        <w:rPr>
          <w:rFonts w:cs="Arial"/>
        </w:rPr>
        <w:t xml:space="preserve"> (</w:t>
      </w:r>
      <w:r w:rsidRPr="00545EC0">
        <w:rPr>
          <w:rFonts w:cs="Arial"/>
        </w:rPr>
        <w:fldChar w:fldCharType="begin"/>
      </w:r>
      <w:r w:rsidRPr="00545EC0">
        <w:rPr>
          <w:rFonts w:cs="Arial"/>
        </w:rPr>
        <w:instrText xml:space="preserve"> REF _Ref75164817 \h  \* MERGEFORMAT </w:instrText>
      </w:r>
      <w:r w:rsidRPr="00545EC0">
        <w:rPr>
          <w:rFonts w:cs="Arial"/>
        </w:rPr>
      </w:r>
      <w:r w:rsidRPr="00545EC0">
        <w:rPr>
          <w:rFonts w:cs="Arial"/>
        </w:rPr>
        <w:fldChar w:fldCharType="separate"/>
      </w:r>
      <w:r w:rsidR="002F3E43" w:rsidRPr="00545EC0">
        <w:t xml:space="preserve">Preglednica </w:t>
      </w:r>
      <w:r w:rsidR="002F3E43">
        <w:t>3</w:t>
      </w:r>
      <w:r w:rsidR="002F3E43" w:rsidRPr="00545EC0">
        <w:noBreakHyphen/>
      </w:r>
      <w:r w:rsidR="002F3E43">
        <w:t>2</w:t>
      </w:r>
      <w:r w:rsidRPr="00545EC0">
        <w:rPr>
          <w:rFonts w:cs="Arial"/>
        </w:rPr>
        <w:fldChar w:fldCharType="end"/>
      </w:r>
      <w:r w:rsidRPr="00545EC0">
        <w:rPr>
          <w:rFonts w:cs="Arial"/>
        </w:rPr>
        <w:t xml:space="preserve">). </w:t>
      </w:r>
    </w:p>
    <w:p w14:paraId="70AA2463" w14:textId="61651F69" w:rsidR="00AA23DA" w:rsidRPr="00545EC0" w:rsidRDefault="00AA23DA" w:rsidP="00AA23DA">
      <w:pPr>
        <w:pStyle w:val="Napis"/>
        <w:spacing w:after="60"/>
      </w:pPr>
      <w:bookmarkStart w:id="477" w:name="_Ref75164817"/>
      <w:bookmarkStart w:id="478" w:name="_Toc75179900"/>
      <w:bookmarkStart w:id="479" w:name="_Toc75762744"/>
      <w:r w:rsidRPr="00545EC0">
        <w:t>Preglednica</w:t>
      </w:r>
      <w:r w:rsidR="00E55593" w:rsidRPr="00545EC0">
        <w:t xml:space="preserve"> </w:t>
      </w:r>
      <w:fldSimple w:instr=" STYLEREF 1 \s ">
        <w:r w:rsidR="002F3E43">
          <w:rPr>
            <w:noProof/>
          </w:rPr>
          <w:t>3</w:t>
        </w:r>
      </w:fldSimple>
      <w:r w:rsidR="001A7511" w:rsidRPr="00545EC0">
        <w:noBreakHyphen/>
      </w:r>
      <w:fldSimple w:instr=" SEQ Preglednica \* ARABIC \s 1 ">
        <w:r w:rsidR="002F3E43">
          <w:rPr>
            <w:noProof/>
          </w:rPr>
          <w:t>2</w:t>
        </w:r>
      </w:fldSimple>
      <w:bookmarkEnd w:id="477"/>
      <w:r w:rsidRPr="00545EC0">
        <w:t>: Pregled bioloških elementov kakovosti za vrednotenje ekološkega stanja vodotokov, jezer in zadrževalnikov skupaj z indeksi za vrednotenje, obremenitvami, ki jih kažejo, in metodologijami vrednotenja</w:t>
      </w:r>
      <w:bookmarkEnd w:id="478"/>
      <w:bookmarkEnd w:id="4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2"/>
        <w:gridCol w:w="1181"/>
        <w:gridCol w:w="2032"/>
        <w:gridCol w:w="1992"/>
        <w:gridCol w:w="2704"/>
      </w:tblGrid>
      <w:tr w:rsidR="003122F4" w:rsidRPr="00545EC0" w14:paraId="1B869007" w14:textId="77777777" w:rsidTr="00392769">
        <w:trPr>
          <w:cantSplit/>
          <w:trHeight w:val="615"/>
          <w:tblHeader/>
        </w:trPr>
        <w:tc>
          <w:tcPr>
            <w:tcW w:w="706" w:type="pct"/>
            <w:shd w:val="clear" w:color="auto" w:fill="E7E6E6"/>
            <w:vAlign w:val="center"/>
            <w:hideMark/>
          </w:tcPr>
          <w:p w14:paraId="4A42E6CC" w14:textId="77777777" w:rsidR="00AA23DA" w:rsidRPr="00545EC0" w:rsidRDefault="00AA23DA" w:rsidP="00C402C7">
            <w:pPr>
              <w:spacing w:line="240" w:lineRule="auto"/>
              <w:jc w:val="center"/>
              <w:rPr>
                <w:rFonts w:cs="Arial"/>
                <w:b/>
                <w:bCs/>
                <w:sz w:val="18"/>
                <w:szCs w:val="20"/>
              </w:rPr>
            </w:pPr>
            <w:r w:rsidRPr="00545EC0">
              <w:rPr>
                <w:rFonts w:cs="Arial"/>
                <w:b/>
                <w:bCs/>
                <w:sz w:val="18"/>
                <w:szCs w:val="20"/>
              </w:rPr>
              <w:t>Kategorija voda</w:t>
            </w:r>
          </w:p>
        </w:tc>
        <w:tc>
          <w:tcPr>
            <w:tcW w:w="641" w:type="pct"/>
            <w:shd w:val="clear" w:color="auto" w:fill="E7E6E6"/>
            <w:vAlign w:val="center"/>
            <w:hideMark/>
          </w:tcPr>
          <w:p w14:paraId="039CEB1E" w14:textId="77777777" w:rsidR="00AA23DA" w:rsidRPr="00545EC0" w:rsidRDefault="00AA23DA" w:rsidP="00C402C7">
            <w:pPr>
              <w:spacing w:line="240" w:lineRule="auto"/>
              <w:jc w:val="center"/>
              <w:rPr>
                <w:rFonts w:cs="Arial"/>
                <w:b/>
                <w:bCs/>
                <w:sz w:val="18"/>
                <w:szCs w:val="20"/>
              </w:rPr>
            </w:pPr>
            <w:r w:rsidRPr="00545EC0">
              <w:rPr>
                <w:rFonts w:cs="Arial"/>
                <w:b/>
                <w:bCs/>
                <w:sz w:val="18"/>
                <w:szCs w:val="20"/>
              </w:rPr>
              <w:t xml:space="preserve">Biološki element </w:t>
            </w:r>
            <w:r w:rsidRPr="00545EC0">
              <w:rPr>
                <w:rFonts w:cs="Arial"/>
                <w:b/>
                <w:bCs/>
                <w:sz w:val="18"/>
                <w:szCs w:val="20"/>
              </w:rPr>
              <w:br/>
              <w:t>kakovosti</w:t>
            </w:r>
          </w:p>
        </w:tc>
        <w:tc>
          <w:tcPr>
            <w:tcW w:w="1103" w:type="pct"/>
            <w:shd w:val="clear" w:color="auto" w:fill="E7E6E6"/>
            <w:vAlign w:val="center"/>
            <w:hideMark/>
          </w:tcPr>
          <w:p w14:paraId="35F48A8F" w14:textId="77777777" w:rsidR="00AA23DA" w:rsidRPr="00545EC0" w:rsidRDefault="00AA23DA" w:rsidP="00C402C7">
            <w:pPr>
              <w:spacing w:line="240" w:lineRule="auto"/>
              <w:jc w:val="center"/>
              <w:rPr>
                <w:rFonts w:cs="Arial"/>
                <w:b/>
                <w:bCs/>
                <w:sz w:val="18"/>
                <w:szCs w:val="20"/>
              </w:rPr>
            </w:pPr>
            <w:r w:rsidRPr="00545EC0">
              <w:rPr>
                <w:rFonts w:cs="Arial"/>
                <w:b/>
                <w:bCs/>
                <w:sz w:val="18"/>
                <w:szCs w:val="20"/>
              </w:rPr>
              <w:t xml:space="preserve">Parameter / </w:t>
            </w:r>
            <w:r w:rsidRPr="00545EC0">
              <w:rPr>
                <w:rFonts w:cs="Arial"/>
                <w:b/>
                <w:bCs/>
                <w:sz w:val="18"/>
                <w:szCs w:val="20"/>
              </w:rPr>
              <w:br/>
              <w:t>metrika</w:t>
            </w:r>
          </w:p>
        </w:tc>
        <w:tc>
          <w:tcPr>
            <w:tcW w:w="1081" w:type="pct"/>
            <w:shd w:val="clear" w:color="auto" w:fill="E7E6E6"/>
            <w:vAlign w:val="center"/>
            <w:hideMark/>
          </w:tcPr>
          <w:p w14:paraId="01744D52" w14:textId="77777777" w:rsidR="00AA23DA" w:rsidRPr="00545EC0" w:rsidRDefault="00AA23DA" w:rsidP="00C402C7">
            <w:pPr>
              <w:spacing w:line="240" w:lineRule="auto"/>
              <w:jc w:val="center"/>
              <w:rPr>
                <w:rFonts w:cs="Arial"/>
                <w:b/>
                <w:bCs/>
                <w:sz w:val="18"/>
                <w:szCs w:val="20"/>
              </w:rPr>
            </w:pPr>
            <w:r w:rsidRPr="00545EC0">
              <w:rPr>
                <w:rFonts w:cs="Arial"/>
                <w:b/>
                <w:bCs/>
                <w:sz w:val="18"/>
                <w:szCs w:val="20"/>
              </w:rPr>
              <w:t>Obremenitev, ki jo kaže posamezna biološka metrika</w:t>
            </w:r>
          </w:p>
        </w:tc>
        <w:tc>
          <w:tcPr>
            <w:tcW w:w="1468" w:type="pct"/>
            <w:shd w:val="clear" w:color="auto" w:fill="E7E6E6"/>
            <w:vAlign w:val="center"/>
            <w:hideMark/>
          </w:tcPr>
          <w:p w14:paraId="65C6ED32" w14:textId="77777777" w:rsidR="00AA23DA" w:rsidRPr="00545EC0" w:rsidRDefault="00AA23DA" w:rsidP="00C402C7">
            <w:pPr>
              <w:spacing w:line="240" w:lineRule="auto"/>
              <w:jc w:val="center"/>
              <w:rPr>
                <w:rFonts w:cs="Arial"/>
                <w:b/>
                <w:bCs/>
                <w:sz w:val="18"/>
                <w:szCs w:val="20"/>
              </w:rPr>
            </w:pPr>
            <w:r w:rsidRPr="00545EC0">
              <w:rPr>
                <w:rFonts w:cs="Arial"/>
                <w:b/>
                <w:bCs/>
                <w:sz w:val="18"/>
                <w:szCs w:val="20"/>
              </w:rPr>
              <w:t>Metodologija*</w:t>
            </w:r>
          </w:p>
        </w:tc>
      </w:tr>
      <w:tr w:rsidR="003122F4" w:rsidRPr="00545EC0" w14:paraId="21EF5EC9" w14:textId="77777777" w:rsidTr="00392769">
        <w:trPr>
          <w:trHeight w:val="750"/>
        </w:trPr>
        <w:tc>
          <w:tcPr>
            <w:tcW w:w="706" w:type="pct"/>
            <w:vMerge w:val="restart"/>
            <w:shd w:val="clear" w:color="auto" w:fill="auto"/>
            <w:hideMark/>
          </w:tcPr>
          <w:p w14:paraId="14501AF6" w14:textId="77777777" w:rsidR="00AA23DA" w:rsidRPr="00545EC0" w:rsidRDefault="00AA23DA" w:rsidP="00C402C7">
            <w:pPr>
              <w:spacing w:line="240" w:lineRule="auto"/>
              <w:jc w:val="center"/>
              <w:rPr>
                <w:rFonts w:cs="Arial"/>
                <w:sz w:val="18"/>
                <w:szCs w:val="20"/>
              </w:rPr>
            </w:pPr>
            <w:r w:rsidRPr="00545EC0">
              <w:rPr>
                <w:rFonts w:cs="Arial"/>
                <w:sz w:val="18"/>
                <w:szCs w:val="20"/>
              </w:rPr>
              <w:t>Vodotoki</w:t>
            </w:r>
          </w:p>
          <w:p w14:paraId="60270E9B" w14:textId="77777777" w:rsidR="00AA23DA" w:rsidRPr="00545EC0" w:rsidRDefault="00AA23DA" w:rsidP="00C402C7">
            <w:pPr>
              <w:spacing w:line="240" w:lineRule="auto"/>
              <w:jc w:val="center"/>
              <w:rPr>
                <w:rFonts w:cs="Arial"/>
                <w:sz w:val="18"/>
                <w:szCs w:val="20"/>
              </w:rPr>
            </w:pPr>
          </w:p>
          <w:p w14:paraId="556835D6" w14:textId="77777777" w:rsidR="00AA23DA" w:rsidRPr="00545EC0" w:rsidRDefault="00AA23DA" w:rsidP="00C402C7">
            <w:pPr>
              <w:spacing w:line="240" w:lineRule="auto"/>
              <w:jc w:val="center"/>
              <w:rPr>
                <w:rFonts w:cs="Arial"/>
                <w:sz w:val="18"/>
                <w:szCs w:val="20"/>
              </w:rPr>
            </w:pPr>
          </w:p>
          <w:p w14:paraId="19E6314E" w14:textId="77777777" w:rsidR="00AA23DA" w:rsidRPr="00545EC0" w:rsidRDefault="00AA23DA" w:rsidP="00C402C7">
            <w:pPr>
              <w:spacing w:line="240" w:lineRule="auto"/>
              <w:jc w:val="center"/>
              <w:rPr>
                <w:rFonts w:cs="Arial"/>
                <w:sz w:val="18"/>
                <w:szCs w:val="20"/>
              </w:rPr>
            </w:pPr>
          </w:p>
          <w:p w14:paraId="2EFE39A8" w14:textId="77777777" w:rsidR="00AA23DA" w:rsidRPr="00545EC0" w:rsidRDefault="00AA23DA" w:rsidP="00C402C7">
            <w:pPr>
              <w:spacing w:line="240" w:lineRule="auto"/>
              <w:jc w:val="center"/>
              <w:rPr>
                <w:rFonts w:cs="Arial"/>
                <w:sz w:val="18"/>
                <w:szCs w:val="20"/>
              </w:rPr>
            </w:pPr>
          </w:p>
          <w:p w14:paraId="69F69DF9" w14:textId="77777777" w:rsidR="00AA23DA" w:rsidRPr="00545EC0" w:rsidRDefault="00AA23DA" w:rsidP="00C402C7">
            <w:pPr>
              <w:spacing w:line="240" w:lineRule="auto"/>
              <w:jc w:val="center"/>
              <w:rPr>
                <w:rFonts w:cs="Arial"/>
                <w:sz w:val="18"/>
                <w:szCs w:val="20"/>
              </w:rPr>
            </w:pPr>
          </w:p>
        </w:tc>
        <w:tc>
          <w:tcPr>
            <w:tcW w:w="641" w:type="pct"/>
            <w:shd w:val="clear" w:color="auto" w:fill="auto"/>
            <w:vAlign w:val="center"/>
            <w:hideMark/>
          </w:tcPr>
          <w:p w14:paraId="35173F49" w14:textId="77777777" w:rsidR="00AA23DA" w:rsidRPr="00545EC0" w:rsidRDefault="00AA23DA" w:rsidP="00C402C7">
            <w:pPr>
              <w:spacing w:line="240" w:lineRule="auto"/>
              <w:jc w:val="left"/>
              <w:rPr>
                <w:rFonts w:cs="Arial"/>
                <w:sz w:val="18"/>
                <w:szCs w:val="20"/>
              </w:rPr>
            </w:pPr>
            <w:r w:rsidRPr="00545EC0">
              <w:rPr>
                <w:rFonts w:cs="Arial"/>
                <w:sz w:val="18"/>
                <w:szCs w:val="20"/>
              </w:rPr>
              <w:t>Fitobentos in makrofiti</w:t>
            </w:r>
          </w:p>
        </w:tc>
        <w:tc>
          <w:tcPr>
            <w:tcW w:w="1103" w:type="pct"/>
            <w:shd w:val="clear" w:color="auto" w:fill="auto"/>
            <w:vAlign w:val="center"/>
            <w:hideMark/>
          </w:tcPr>
          <w:p w14:paraId="57E3A797" w14:textId="77777777" w:rsidR="00AA23DA" w:rsidRPr="00545EC0" w:rsidRDefault="00AA23DA" w:rsidP="00C402C7">
            <w:pPr>
              <w:spacing w:line="240" w:lineRule="auto"/>
              <w:jc w:val="left"/>
              <w:rPr>
                <w:rFonts w:cs="Arial"/>
                <w:sz w:val="18"/>
                <w:szCs w:val="20"/>
              </w:rPr>
            </w:pPr>
            <w:r w:rsidRPr="00545EC0">
              <w:rPr>
                <w:rFonts w:cs="Arial"/>
                <w:sz w:val="18"/>
                <w:szCs w:val="20"/>
              </w:rPr>
              <w:t>Trofični indeks (TI)</w:t>
            </w:r>
          </w:p>
        </w:tc>
        <w:tc>
          <w:tcPr>
            <w:tcW w:w="1081" w:type="pct"/>
            <w:shd w:val="clear" w:color="auto" w:fill="auto"/>
            <w:vAlign w:val="center"/>
            <w:hideMark/>
          </w:tcPr>
          <w:p w14:paraId="53A11E0D" w14:textId="77777777" w:rsidR="00AA23DA" w:rsidRPr="00545EC0" w:rsidRDefault="00AA23DA" w:rsidP="00C402C7">
            <w:pPr>
              <w:spacing w:line="240" w:lineRule="auto"/>
              <w:jc w:val="left"/>
              <w:rPr>
                <w:rFonts w:cs="Arial"/>
                <w:sz w:val="18"/>
                <w:szCs w:val="20"/>
              </w:rPr>
            </w:pPr>
            <w:r w:rsidRPr="00545EC0">
              <w:rPr>
                <w:rFonts w:cs="Arial"/>
                <w:sz w:val="18"/>
                <w:szCs w:val="20"/>
              </w:rPr>
              <w:t>obremenitev s hranili</w:t>
            </w:r>
          </w:p>
        </w:tc>
        <w:tc>
          <w:tcPr>
            <w:tcW w:w="1468" w:type="pct"/>
            <w:shd w:val="clear" w:color="auto" w:fill="auto"/>
            <w:vAlign w:val="center"/>
            <w:hideMark/>
          </w:tcPr>
          <w:p w14:paraId="670ABC86" w14:textId="77777777" w:rsidR="00AA23DA" w:rsidRPr="00545EC0" w:rsidRDefault="00AA23DA" w:rsidP="00C402C7">
            <w:pPr>
              <w:spacing w:line="240" w:lineRule="auto"/>
              <w:jc w:val="left"/>
              <w:rPr>
                <w:rFonts w:cs="Arial"/>
                <w:sz w:val="18"/>
                <w:szCs w:val="20"/>
              </w:rPr>
            </w:pPr>
            <w:r w:rsidRPr="00545EC0">
              <w:rPr>
                <w:rFonts w:cs="Arial"/>
                <w:sz w:val="18"/>
                <w:szCs w:val="20"/>
              </w:rPr>
              <w:t>Metodologija vrednotenja ekološkega stanja vodotokov na podlagi fitobentosa in makrofitov</w:t>
            </w:r>
          </w:p>
        </w:tc>
      </w:tr>
      <w:tr w:rsidR="003122F4" w:rsidRPr="00545EC0" w14:paraId="755C6A31" w14:textId="77777777" w:rsidTr="00392769">
        <w:trPr>
          <w:trHeight w:val="750"/>
        </w:trPr>
        <w:tc>
          <w:tcPr>
            <w:tcW w:w="706" w:type="pct"/>
            <w:vMerge/>
            <w:shd w:val="clear" w:color="auto" w:fill="auto"/>
            <w:vAlign w:val="center"/>
            <w:hideMark/>
          </w:tcPr>
          <w:p w14:paraId="77141364" w14:textId="77777777" w:rsidR="00AA23DA" w:rsidRPr="00545EC0" w:rsidRDefault="00AA23DA" w:rsidP="00C402C7">
            <w:pPr>
              <w:spacing w:line="240" w:lineRule="auto"/>
              <w:jc w:val="left"/>
              <w:rPr>
                <w:rFonts w:cs="Arial"/>
                <w:sz w:val="18"/>
                <w:szCs w:val="20"/>
              </w:rPr>
            </w:pPr>
          </w:p>
        </w:tc>
        <w:tc>
          <w:tcPr>
            <w:tcW w:w="641" w:type="pct"/>
            <w:shd w:val="clear" w:color="auto" w:fill="auto"/>
            <w:vAlign w:val="center"/>
            <w:hideMark/>
          </w:tcPr>
          <w:p w14:paraId="5838E361" w14:textId="77777777" w:rsidR="00AA23DA" w:rsidRPr="00545EC0" w:rsidRDefault="00AA23DA" w:rsidP="00C402C7">
            <w:pPr>
              <w:spacing w:line="240" w:lineRule="auto"/>
              <w:jc w:val="left"/>
              <w:rPr>
                <w:rFonts w:cs="Arial"/>
                <w:sz w:val="18"/>
                <w:szCs w:val="20"/>
              </w:rPr>
            </w:pPr>
            <w:r w:rsidRPr="00545EC0">
              <w:rPr>
                <w:rFonts w:cs="Arial"/>
                <w:sz w:val="18"/>
                <w:szCs w:val="20"/>
              </w:rPr>
              <w:t>Fitobentos in makrofiti</w:t>
            </w:r>
          </w:p>
        </w:tc>
        <w:tc>
          <w:tcPr>
            <w:tcW w:w="1103" w:type="pct"/>
            <w:shd w:val="clear" w:color="auto" w:fill="auto"/>
            <w:vAlign w:val="center"/>
            <w:hideMark/>
          </w:tcPr>
          <w:p w14:paraId="1977EA6A" w14:textId="77777777" w:rsidR="00AA23DA" w:rsidRPr="00545EC0" w:rsidRDefault="00AA23DA" w:rsidP="00C402C7">
            <w:pPr>
              <w:spacing w:line="240" w:lineRule="auto"/>
              <w:jc w:val="left"/>
              <w:rPr>
                <w:rFonts w:cs="Arial"/>
                <w:sz w:val="18"/>
                <w:szCs w:val="20"/>
              </w:rPr>
            </w:pPr>
            <w:r w:rsidRPr="00545EC0">
              <w:rPr>
                <w:rFonts w:cs="Arial"/>
                <w:sz w:val="18"/>
                <w:szCs w:val="20"/>
              </w:rPr>
              <w:t>Saprobni indeks (SI)</w:t>
            </w:r>
          </w:p>
        </w:tc>
        <w:tc>
          <w:tcPr>
            <w:tcW w:w="1081" w:type="pct"/>
            <w:shd w:val="clear" w:color="auto" w:fill="auto"/>
            <w:vAlign w:val="center"/>
            <w:hideMark/>
          </w:tcPr>
          <w:p w14:paraId="2868A6BF" w14:textId="77777777" w:rsidR="00AA23DA" w:rsidRPr="00545EC0" w:rsidRDefault="00AA23DA" w:rsidP="00C402C7">
            <w:pPr>
              <w:spacing w:line="240" w:lineRule="auto"/>
              <w:jc w:val="left"/>
              <w:rPr>
                <w:rFonts w:cs="Arial"/>
                <w:sz w:val="18"/>
                <w:szCs w:val="20"/>
              </w:rPr>
            </w:pPr>
            <w:r w:rsidRPr="00545EC0">
              <w:rPr>
                <w:rFonts w:cs="Arial"/>
                <w:sz w:val="18"/>
                <w:szCs w:val="20"/>
              </w:rPr>
              <w:t>organska obremenitev</w:t>
            </w:r>
          </w:p>
        </w:tc>
        <w:tc>
          <w:tcPr>
            <w:tcW w:w="1468" w:type="pct"/>
            <w:shd w:val="clear" w:color="auto" w:fill="auto"/>
            <w:vAlign w:val="center"/>
            <w:hideMark/>
          </w:tcPr>
          <w:p w14:paraId="51D1B6BE" w14:textId="77777777" w:rsidR="00AA23DA" w:rsidRPr="00545EC0" w:rsidRDefault="00AA23DA" w:rsidP="00C402C7">
            <w:pPr>
              <w:spacing w:line="240" w:lineRule="auto"/>
              <w:jc w:val="left"/>
              <w:rPr>
                <w:rFonts w:cs="Arial"/>
                <w:sz w:val="18"/>
                <w:szCs w:val="20"/>
              </w:rPr>
            </w:pPr>
            <w:r w:rsidRPr="00545EC0">
              <w:rPr>
                <w:rFonts w:cs="Arial"/>
                <w:sz w:val="18"/>
                <w:szCs w:val="20"/>
              </w:rPr>
              <w:t>Metodologija vrednotenja ekološkega stanja vodotokov na podlagi fitobentosa in makrofitov</w:t>
            </w:r>
          </w:p>
        </w:tc>
      </w:tr>
      <w:tr w:rsidR="003122F4" w:rsidRPr="00545EC0" w14:paraId="3C14F7A7" w14:textId="77777777" w:rsidTr="00392769">
        <w:trPr>
          <w:trHeight w:val="750"/>
        </w:trPr>
        <w:tc>
          <w:tcPr>
            <w:tcW w:w="706" w:type="pct"/>
            <w:vMerge/>
            <w:shd w:val="clear" w:color="auto" w:fill="auto"/>
            <w:vAlign w:val="center"/>
            <w:hideMark/>
          </w:tcPr>
          <w:p w14:paraId="7562CB77" w14:textId="77777777" w:rsidR="00AA23DA" w:rsidRPr="00545EC0" w:rsidRDefault="00AA23DA" w:rsidP="00C402C7">
            <w:pPr>
              <w:spacing w:line="240" w:lineRule="auto"/>
              <w:jc w:val="left"/>
              <w:rPr>
                <w:rFonts w:cs="Arial"/>
                <w:sz w:val="18"/>
                <w:szCs w:val="20"/>
              </w:rPr>
            </w:pPr>
          </w:p>
        </w:tc>
        <w:tc>
          <w:tcPr>
            <w:tcW w:w="641" w:type="pct"/>
            <w:shd w:val="clear" w:color="auto" w:fill="auto"/>
            <w:vAlign w:val="center"/>
            <w:hideMark/>
          </w:tcPr>
          <w:p w14:paraId="6A248332" w14:textId="77777777" w:rsidR="00AA23DA" w:rsidRPr="00545EC0" w:rsidRDefault="00AA23DA" w:rsidP="00C402C7">
            <w:pPr>
              <w:spacing w:line="240" w:lineRule="auto"/>
              <w:jc w:val="left"/>
              <w:rPr>
                <w:rFonts w:cs="Arial"/>
                <w:sz w:val="18"/>
                <w:szCs w:val="20"/>
              </w:rPr>
            </w:pPr>
            <w:r w:rsidRPr="00545EC0">
              <w:rPr>
                <w:rFonts w:cs="Arial"/>
                <w:sz w:val="18"/>
                <w:szCs w:val="20"/>
              </w:rPr>
              <w:t>Fitobentos in makrofiti</w:t>
            </w:r>
          </w:p>
        </w:tc>
        <w:tc>
          <w:tcPr>
            <w:tcW w:w="1103" w:type="pct"/>
            <w:shd w:val="clear" w:color="auto" w:fill="auto"/>
            <w:vAlign w:val="center"/>
            <w:hideMark/>
          </w:tcPr>
          <w:p w14:paraId="15CA15D2" w14:textId="77777777" w:rsidR="00AA23DA" w:rsidRPr="00545EC0" w:rsidRDefault="00AA23DA" w:rsidP="00C402C7">
            <w:pPr>
              <w:spacing w:line="240" w:lineRule="auto"/>
              <w:jc w:val="left"/>
              <w:rPr>
                <w:rFonts w:cs="Arial"/>
                <w:sz w:val="18"/>
                <w:szCs w:val="20"/>
              </w:rPr>
            </w:pPr>
            <w:r w:rsidRPr="00545EC0">
              <w:rPr>
                <w:rFonts w:cs="Arial"/>
                <w:sz w:val="18"/>
                <w:szCs w:val="20"/>
              </w:rPr>
              <w:t>Indeks rečnih makrofitov (RMI)</w:t>
            </w:r>
          </w:p>
        </w:tc>
        <w:tc>
          <w:tcPr>
            <w:tcW w:w="1081" w:type="pct"/>
            <w:shd w:val="clear" w:color="auto" w:fill="auto"/>
            <w:vAlign w:val="center"/>
            <w:hideMark/>
          </w:tcPr>
          <w:p w14:paraId="04B3C80C" w14:textId="77777777" w:rsidR="00AA23DA" w:rsidRPr="00545EC0" w:rsidRDefault="00AA23DA" w:rsidP="00C402C7">
            <w:pPr>
              <w:spacing w:line="240" w:lineRule="auto"/>
              <w:jc w:val="left"/>
              <w:rPr>
                <w:rFonts w:cs="Arial"/>
                <w:sz w:val="18"/>
                <w:szCs w:val="20"/>
              </w:rPr>
            </w:pPr>
            <w:r w:rsidRPr="00545EC0">
              <w:rPr>
                <w:rFonts w:cs="Arial"/>
                <w:sz w:val="18"/>
                <w:szCs w:val="20"/>
              </w:rPr>
              <w:t>obremenitev s hranili</w:t>
            </w:r>
          </w:p>
        </w:tc>
        <w:tc>
          <w:tcPr>
            <w:tcW w:w="1468" w:type="pct"/>
            <w:shd w:val="clear" w:color="auto" w:fill="auto"/>
            <w:vAlign w:val="center"/>
            <w:hideMark/>
          </w:tcPr>
          <w:p w14:paraId="000E3507" w14:textId="77777777" w:rsidR="00AA23DA" w:rsidRPr="00545EC0" w:rsidRDefault="00AA23DA" w:rsidP="00C402C7">
            <w:pPr>
              <w:spacing w:line="240" w:lineRule="auto"/>
              <w:jc w:val="left"/>
              <w:rPr>
                <w:rFonts w:cs="Arial"/>
                <w:sz w:val="18"/>
                <w:szCs w:val="20"/>
              </w:rPr>
            </w:pPr>
            <w:r w:rsidRPr="00545EC0">
              <w:rPr>
                <w:rFonts w:cs="Arial"/>
                <w:sz w:val="18"/>
                <w:szCs w:val="20"/>
              </w:rPr>
              <w:t>Metodologija vrednotenja ekološkega stanja vodotokov na podlagi fitobentosa in makrofitov</w:t>
            </w:r>
          </w:p>
        </w:tc>
      </w:tr>
      <w:tr w:rsidR="003122F4" w:rsidRPr="00545EC0" w14:paraId="3B847B96" w14:textId="77777777" w:rsidTr="00392769">
        <w:trPr>
          <w:trHeight w:val="750"/>
        </w:trPr>
        <w:tc>
          <w:tcPr>
            <w:tcW w:w="706" w:type="pct"/>
            <w:vMerge/>
            <w:shd w:val="clear" w:color="auto" w:fill="auto"/>
            <w:vAlign w:val="center"/>
            <w:hideMark/>
          </w:tcPr>
          <w:p w14:paraId="0B6D9EA9" w14:textId="77777777" w:rsidR="00AA23DA" w:rsidRPr="00545EC0" w:rsidRDefault="00AA23DA" w:rsidP="00C402C7">
            <w:pPr>
              <w:spacing w:line="240" w:lineRule="auto"/>
              <w:jc w:val="left"/>
              <w:rPr>
                <w:rFonts w:cs="Arial"/>
                <w:sz w:val="18"/>
                <w:szCs w:val="20"/>
              </w:rPr>
            </w:pPr>
          </w:p>
        </w:tc>
        <w:tc>
          <w:tcPr>
            <w:tcW w:w="641" w:type="pct"/>
            <w:shd w:val="clear" w:color="auto" w:fill="auto"/>
            <w:vAlign w:val="center"/>
            <w:hideMark/>
          </w:tcPr>
          <w:p w14:paraId="076C641C" w14:textId="77777777" w:rsidR="00AA23DA" w:rsidRPr="00545EC0" w:rsidRDefault="00AA23DA" w:rsidP="00C402C7">
            <w:pPr>
              <w:spacing w:line="240" w:lineRule="auto"/>
              <w:jc w:val="left"/>
              <w:rPr>
                <w:rFonts w:cs="Arial"/>
                <w:sz w:val="18"/>
                <w:szCs w:val="20"/>
              </w:rPr>
            </w:pPr>
            <w:r w:rsidRPr="00545EC0">
              <w:rPr>
                <w:rFonts w:cs="Arial"/>
                <w:sz w:val="18"/>
                <w:szCs w:val="20"/>
              </w:rPr>
              <w:t>Bentoški nevretenčarji</w:t>
            </w:r>
          </w:p>
        </w:tc>
        <w:tc>
          <w:tcPr>
            <w:tcW w:w="1103" w:type="pct"/>
            <w:shd w:val="clear" w:color="auto" w:fill="auto"/>
            <w:vAlign w:val="center"/>
            <w:hideMark/>
          </w:tcPr>
          <w:p w14:paraId="644927D0" w14:textId="77777777" w:rsidR="00AA23DA" w:rsidRPr="00545EC0" w:rsidRDefault="00AA23DA" w:rsidP="00C402C7">
            <w:pPr>
              <w:spacing w:line="240" w:lineRule="auto"/>
              <w:jc w:val="left"/>
              <w:rPr>
                <w:rFonts w:cs="Arial"/>
                <w:sz w:val="18"/>
                <w:szCs w:val="20"/>
              </w:rPr>
            </w:pPr>
            <w:r w:rsidRPr="00545EC0">
              <w:rPr>
                <w:rFonts w:cs="Arial"/>
                <w:sz w:val="18"/>
                <w:szCs w:val="20"/>
              </w:rPr>
              <w:t>Slovenska verzija Saprobnega indeksa (SIG3)</w:t>
            </w:r>
          </w:p>
        </w:tc>
        <w:tc>
          <w:tcPr>
            <w:tcW w:w="1081" w:type="pct"/>
            <w:shd w:val="clear" w:color="auto" w:fill="auto"/>
            <w:vAlign w:val="center"/>
            <w:hideMark/>
          </w:tcPr>
          <w:p w14:paraId="658945C1" w14:textId="77777777" w:rsidR="00AA23DA" w:rsidRPr="00545EC0" w:rsidRDefault="00AA23DA" w:rsidP="00C402C7">
            <w:pPr>
              <w:spacing w:line="240" w:lineRule="auto"/>
              <w:jc w:val="left"/>
              <w:rPr>
                <w:rFonts w:cs="Arial"/>
                <w:sz w:val="18"/>
                <w:szCs w:val="20"/>
              </w:rPr>
            </w:pPr>
            <w:r w:rsidRPr="00545EC0">
              <w:rPr>
                <w:rFonts w:cs="Arial"/>
                <w:sz w:val="18"/>
                <w:szCs w:val="20"/>
              </w:rPr>
              <w:t>organska obremenitev</w:t>
            </w:r>
          </w:p>
        </w:tc>
        <w:tc>
          <w:tcPr>
            <w:tcW w:w="1468" w:type="pct"/>
            <w:shd w:val="clear" w:color="auto" w:fill="auto"/>
            <w:vAlign w:val="center"/>
            <w:hideMark/>
          </w:tcPr>
          <w:p w14:paraId="5E45EC3B" w14:textId="77777777" w:rsidR="00AA23DA" w:rsidRPr="00545EC0" w:rsidRDefault="00AA23DA" w:rsidP="00C402C7">
            <w:pPr>
              <w:spacing w:line="240" w:lineRule="auto"/>
              <w:jc w:val="left"/>
              <w:rPr>
                <w:rFonts w:cs="Arial"/>
                <w:sz w:val="18"/>
                <w:szCs w:val="20"/>
              </w:rPr>
            </w:pPr>
            <w:r w:rsidRPr="00545EC0">
              <w:rPr>
                <w:rFonts w:cs="Arial"/>
                <w:sz w:val="18"/>
                <w:szCs w:val="20"/>
              </w:rPr>
              <w:t>Metodologija vrednotenja ekološkega stanja vodotokov na podlagi bentoških nevretenčarjev</w:t>
            </w:r>
          </w:p>
        </w:tc>
      </w:tr>
      <w:tr w:rsidR="003122F4" w:rsidRPr="00545EC0" w14:paraId="781BBDCB" w14:textId="77777777" w:rsidTr="00392769">
        <w:trPr>
          <w:trHeight w:val="750"/>
        </w:trPr>
        <w:tc>
          <w:tcPr>
            <w:tcW w:w="706" w:type="pct"/>
            <w:vMerge/>
            <w:shd w:val="clear" w:color="auto" w:fill="auto"/>
            <w:vAlign w:val="center"/>
            <w:hideMark/>
          </w:tcPr>
          <w:p w14:paraId="6485EF66" w14:textId="77777777" w:rsidR="00AA23DA" w:rsidRPr="00545EC0" w:rsidRDefault="00AA23DA" w:rsidP="00C402C7">
            <w:pPr>
              <w:spacing w:line="240" w:lineRule="auto"/>
              <w:jc w:val="left"/>
              <w:rPr>
                <w:rFonts w:cs="Arial"/>
                <w:sz w:val="18"/>
                <w:szCs w:val="20"/>
              </w:rPr>
            </w:pPr>
          </w:p>
        </w:tc>
        <w:tc>
          <w:tcPr>
            <w:tcW w:w="641" w:type="pct"/>
            <w:shd w:val="clear" w:color="auto" w:fill="auto"/>
            <w:vAlign w:val="center"/>
            <w:hideMark/>
          </w:tcPr>
          <w:p w14:paraId="013E07F5" w14:textId="77777777" w:rsidR="00AA23DA" w:rsidRPr="00545EC0" w:rsidRDefault="00AA23DA" w:rsidP="00C402C7">
            <w:pPr>
              <w:spacing w:line="240" w:lineRule="auto"/>
              <w:jc w:val="left"/>
              <w:rPr>
                <w:rFonts w:cs="Arial"/>
                <w:sz w:val="18"/>
                <w:szCs w:val="20"/>
              </w:rPr>
            </w:pPr>
            <w:r w:rsidRPr="00545EC0">
              <w:rPr>
                <w:rFonts w:cs="Arial"/>
                <w:sz w:val="18"/>
                <w:szCs w:val="20"/>
              </w:rPr>
              <w:t>Bentoški nevretenčarji</w:t>
            </w:r>
          </w:p>
        </w:tc>
        <w:tc>
          <w:tcPr>
            <w:tcW w:w="1103" w:type="pct"/>
            <w:shd w:val="clear" w:color="auto" w:fill="auto"/>
            <w:vAlign w:val="center"/>
            <w:hideMark/>
          </w:tcPr>
          <w:p w14:paraId="43C3E4B2" w14:textId="77777777" w:rsidR="00AA23DA" w:rsidRPr="00545EC0" w:rsidRDefault="00AA23DA" w:rsidP="00C402C7">
            <w:pPr>
              <w:spacing w:line="240" w:lineRule="auto"/>
              <w:jc w:val="left"/>
              <w:rPr>
                <w:rFonts w:cs="Arial"/>
                <w:sz w:val="18"/>
                <w:szCs w:val="20"/>
              </w:rPr>
            </w:pPr>
            <w:r w:rsidRPr="00545EC0">
              <w:rPr>
                <w:rFonts w:cs="Arial"/>
                <w:sz w:val="18"/>
                <w:szCs w:val="20"/>
              </w:rPr>
              <w:t>Slovenski multimetrijski indeks vpliva hidromorfološke spremenjenosti/splošne degradiranosti (SMEIH)</w:t>
            </w:r>
          </w:p>
        </w:tc>
        <w:tc>
          <w:tcPr>
            <w:tcW w:w="1081" w:type="pct"/>
            <w:shd w:val="clear" w:color="auto" w:fill="auto"/>
            <w:vAlign w:val="center"/>
            <w:hideMark/>
          </w:tcPr>
          <w:p w14:paraId="4D295E53" w14:textId="77777777" w:rsidR="00AA23DA" w:rsidRPr="00545EC0" w:rsidRDefault="00AA23DA" w:rsidP="00C402C7">
            <w:pPr>
              <w:spacing w:line="240" w:lineRule="auto"/>
              <w:jc w:val="left"/>
              <w:rPr>
                <w:rFonts w:cs="Arial"/>
                <w:sz w:val="18"/>
                <w:szCs w:val="20"/>
              </w:rPr>
            </w:pPr>
            <w:r w:rsidRPr="00545EC0">
              <w:rPr>
                <w:rFonts w:cs="Arial"/>
                <w:sz w:val="18"/>
                <w:szCs w:val="20"/>
              </w:rPr>
              <w:t>hidromorfološka spremenjenost/splošna degradiranost</w:t>
            </w:r>
          </w:p>
        </w:tc>
        <w:tc>
          <w:tcPr>
            <w:tcW w:w="1468" w:type="pct"/>
            <w:shd w:val="clear" w:color="auto" w:fill="auto"/>
            <w:vAlign w:val="center"/>
            <w:hideMark/>
          </w:tcPr>
          <w:p w14:paraId="47147D67" w14:textId="77777777" w:rsidR="00AA23DA" w:rsidRPr="00545EC0" w:rsidRDefault="00AA23DA" w:rsidP="00C402C7">
            <w:pPr>
              <w:spacing w:line="240" w:lineRule="auto"/>
              <w:jc w:val="left"/>
              <w:rPr>
                <w:rFonts w:cs="Arial"/>
                <w:sz w:val="18"/>
                <w:szCs w:val="20"/>
              </w:rPr>
            </w:pPr>
            <w:r w:rsidRPr="00545EC0">
              <w:rPr>
                <w:rFonts w:cs="Arial"/>
                <w:sz w:val="18"/>
                <w:szCs w:val="20"/>
              </w:rPr>
              <w:t>Metodologija vrednotenja ekološkega stanja vodotokov na podlagi bentoških nevretenčarjev</w:t>
            </w:r>
          </w:p>
        </w:tc>
      </w:tr>
      <w:tr w:rsidR="003122F4" w:rsidRPr="00545EC0" w14:paraId="2622A87B" w14:textId="77777777" w:rsidTr="00392769">
        <w:trPr>
          <w:trHeight w:val="600"/>
        </w:trPr>
        <w:tc>
          <w:tcPr>
            <w:tcW w:w="706" w:type="pct"/>
            <w:vMerge/>
            <w:shd w:val="clear" w:color="auto" w:fill="auto"/>
            <w:vAlign w:val="center"/>
            <w:hideMark/>
          </w:tcPr>
          <w:p w14:paraId="5B4D0BBB" w14:textId="77777777" w:rsidR="00AA23DA" w:rsidRPr="00545EC0" w:rsidRDefault="00AA23DA" w:rsidP="00C402C7">
            <w:pPr>
              <w:spacing w:line="240" w:lineRule="auto"/>
              <w:jc w:val="left"/>
              <w:rPr>
                <w:rFonts w:cs="Arial"/>
                <w:sz w:val="18"/>
                <w:szCs w:val="20"/>
              </w:rPr>
            </w:pPr>
          </w:p>
        </w:tc>
        <w:tc>
          <w:tcPr>
            <w:tcW w:w="641" w:type="pct"/>
            <w:shd w:val="clear" w:color="auto" w:fill="auto"/>
            <w:vAlign w:val="center"/>
            <w:hideMark/>
          </w:tcPr>
          <w:p w14:paraId="35C7EFDB" w14:textId="77777777" w:rsidR="00AA23DA" w:rsidRPr="00545EC0" w:rsidRDefault="00AA23DA" w:rsidP="00C402C7">
            <w:pPr>
              <w:spacing w:line="240" w:lineRule="auto"/>
              <w:jc w:val="left"/>
              <w:rPr>
                <w:rFonts w:cs="Arial"/>
                <w:sz w:val="18"/>
                <w:szCs w:val="20"/>
              </w:rPr>
            </w:pPr>
            <w:r w:rsidRPr="00545EC0">
              <w:rPr>
                <w:rFonts w:cs="Arial"/>
                <w:sz w:val="18"/>
                <w:szCs w:val="20"/>
              </w:rPr>
              <w:t>Ribe</w:t>
            </w:r>
          </w:p>
        </w:tc>
        <w:tc>
          <w:tcPr>
            <w:tcW w:w="1103" w:type="pct"/>
            <w:shd w:val="clear" w:color="auto" w:fill="auto"/>
            <w:vAlign w:val="center"/>
            <w:hideMark/>
          </w:tcPr>
          <w:p w14:paraId="5249861D" w14:textId="77777777" w:rsidR="00AA23DA" w:rsidRPr="00545EC0" w:rsidRDefault="00AA23DA" w:rsidP="00C402C7">
            <w:pPr>
              <w:spacing w:line="240" w:lineRule="auto"/>
              <w:jc w:val="left"/>
              <w:rPr>
                <w:rFonts w:cs="Arial"/>
                <w:sz w:val="18"/>
                <w:szCs w:val="20"/>
              </w:rPr>
            </w:pPr>
            <w:r w:rsidRPr="00545EC0">
              <w:rPr>
                <w:rFonts w:cs="Arial"/>
                <w:sz w:val="18"/>
                <w:szCs w:val="20"/>
              </w:rPr>
              <w:t>Slovenski indeks za vrednotenje ekološkega stanja vodotokov na podlagi rib (SIFAIR)</w:t>
            </w:r>
          </w:p>
        </w:tc>
        <w:tc>
          <w:tcPr>
            <w:tcW w:w="1081" w:type="pct"/>
            <w:shd w:val="clear" w:color="auto" w:fill="auto"/>
            <w:vAlign w:val="center"/>
            <w:hideMark/>
          </w:tcPr>
          <w:p w14:paraId="69AAF367" w14:textId="77777777" w:rsidR="00AA23DA" w:rsidRPr="00545EC0" w:rsidRDefault="00AA23DA" w:rsidP="00C402C7">
            <w:pPr>
              <w:spacing w:line="240" w:lineRule="auto"/>
              <w:jc w:val="left"/>
              <w:rPr>
                <w:rFonts w:cs="Arial"/>
                <w:sz w:val="18"/>
                <w:szCs w:val="20"/>
              </w:rPr>
            </w:pPr>
            <w:r w:rsidRPr="00545EC0">
              <w:rPr>
                <w:rFonts w:cs="Arial"/>
                <w:sz w:val="18"/>
                <w:szCs w:val="20"/>
              </w:rPr>
              <w:t>splošna degradiranost</w:t>
            </w:r>
          </w:p>
        </w:tc>
        <w:tc>
          <w:tcPr>
            <w:tcW w:w="1468" w:type="pct"/>
            <w:shd w:val="clear" w:color="auto" w:fill="auto"/>
            <w:vAlign w:val="center"/>
            <w:hideMark/>
          </w:tcPr>
          <w:p w14:paraId="5E48B3B2" w14:textId="77777777" w:rsidR="00AA23DA" w:rsidRPr="00545EC0" w:rsidRDefault="00AA23DA" w:rsidP="00C402C7">
            <w:pPr>
              <w:spacing w:line="240" w:lineRule="auto"/>
              <w:jc w:val="left"/>
              <w:rPr>
                <w:rFonts w:cs="Arial"/>
                <w:sz w:val="18"/>
                <w:szCs w:val="20"/>
              </w:rPr>
            </w:pPr>
            <w:r w:rsidRPr="00545EC0">
              <w:rPr>
                <w:rFonts w:cs="Arial"/>
                <w:sz w:val="18"/>
                <w:szCs w:val="20"/>
              </w:rPr>
              <w:t>Metodologija vrednotenja ekološkega stanja vodotokov na podlagi rib</w:t>
            </w:r>
          </w:p>
        </w:tc>
      </w:tr>
      <w:tr w:rsidR="003122F4" w:rsidRPr="00545EC0" w14:paraId="28EDF1F6" w14:textId="77777777" w:rsidTr="00392769">
        <w:trPr>
          <w:trHeight w:val="600"/>
        </w:trPr>
        <w:tc>
          <w:tcPr>
            <w:tcW w:w="706" w:type="pct"/>
            <w:vMerge w:val="restart"/>
            <w:shd w:val="clear" w:color="auto" w:fill="auto"/>
            <w:hideMark/>
          </w:tcPr>
          <w:p w14:paraId="1AA630FB" w14:textId="77777777" w:rsidR="00AA23DA" w:rsidRPr="00545EC0" w:rsidRDefault="00AA23DA" w:rsidP="00C402C7">
            <w:pPr>
              <w:spacing w:line="240" w:lineRule="auto"/>
              <w:jc w:val="center"/>
              <w:rPr>
                <w:rFonts w:cs="Arial"/>
                <w:sz w:val="18"/>
                <w:szCs w:val="20"/>
              </w:rPr>
            </w:pPr>
            <w:r w:rsidRPr="00545EC0">
              <w:rPr>
                <w:rFonts w:cs="Arial"/>
                <w:sz w:val="18"/>
                <w:szCs w:val="20"/>
              </w:rPr>
              <w:t>Jezera in zadrževalniki</w:t>
            </w:r>
          </w:p>
          <w:p w14:paraId="74B1CCCB" w14:textId="77777777" w:rsidR="00AA23DA" w:rsidRPr="00545EC0" w:rsidRDefault="00AA23DA" w:rsidP="00C402C7">
            <w:pPr>
              <w:spacing w:line="240" w:lineRule="auto"/>
              <w:jc w:val="center"/>
              <w:rPr>
                <w:rFonts w:cs="Arial"/>
                <w:sz w:val="18"/>
                <w:szCs w:val="20"/>
              </w:rPr>
            </w:pPr>
          </w:p>
          <w:p w14:paraId="640A901D" w14:textId="77777777" w:rsidR="00AA23DA" w:rsidRPr="00545EC0" w:rsidRDefault="00AA23DA" w:rsidP="00C402C7">
            <w:pPr>
              <w:spacing w:line="240" w:lineRule="auto"/>
              <w:jc w:val="center"/>
              <w:rPr>
                <w:rFonts w:cs="Arial"/>
                <w:sz w:val="18"/>
                <w:szCs w:val="20"/>
              </w:rPr>
            </w:pPr>
          </w:p>
          <w:p w14:paraId="044798DB" w14:textId="77777777" w:rsidR="00AA23DA" w:rsidRPr="00545EC0" w:rsidRDefault="00AA23DA" w:rsidP="00C402C7">
            <w:pPr>
              <w:spacing w:line="240" w:lineRule="auto"/>
              <w:jc w:val="center"/>
              <w:rPr>
                <w:rFonts w:cs="Arial"/>
                <w:sz w:val="18"/>
                <w:szCs w:val="20"/>
              </w:rPr>
            </w:pPr>
          </w:p>
          <w:p w14:paraId="49BFC7C0" w14:textId="77777777" w:rsidR="00AA23DA" w:rsidRPr="00545EC0" w:rsidRDefault="00AA23DA" w:rsidP="00C402C7">
            <w:pPr>
              <w:spacing w:line="240" w:lineRule="auto"/>
              <w:jc w:val="center"/>
              <w:rPr>
                <w:rFonts w:cs="Arial"/>
                <w:sz w:val="18"/>
                <w:szCs w:val="20"/>
              </w:rPr>
            </w:pPr>
          </w:p>
        </w:tc>
        <w:tc>
          <w:tcPr>
            <w:tcW w:w="641" w:type="pct"/>
            <w:shd w:val="clear" w:color="auto" w:fill="auto"/>
            <w:vAlign w:val="center"/>
            <w:hideMark/>
          </w:tcPr>
          <w:p w14:paraId="5D5EE172" w14:textId="77777777" w:rsidR="00AA23DA" w:rsidRPr="00545EC0" w:rsidRDefault="00AA23DA" w:rsidP="00C402C7">
            <w:pPr>
              <w:spacing w:line="240" w:lineRule="auto"/>
              <w:jc w:val="left"/>
              <w:rPr>
                <w:rFonts w:cs="Arial"/>
                <w:sz w:val="18"/>
                <w:szCs w:val="20"/>
              </w:rPr>
            </w:pPr>
            <w:r w:rsidRPr="00545EC0">
              <w:rPr>
                <w:rFonts w:cs="Arial"/>
                <w:sz w:val="18"/>
                <w:szCs w:val="20"/>
              </w:rPr>
              <w:t>Fitoplankton</w:t>
            </w:r>
          </w:p>
        </w:tc>
        <w:tc>
          <w:tcPr>
            <w:tcW w:w="1103" w:type="pct"/>
            <w:shd w:val="clear" w:color="auto" w:fill="auto"/>
            <w:vAlign w:val="center"/>
            <w:hideMark/>
          </w:tcPr>
          <w:p w14:paraId="1BFBC44F" w14:textId="77777777" w:rsidR="00AA23DA" w:rsidRPr="00545EC0" w:rsidRDefault="00AA23DA" w:rsidP="00C402C7">
            <w:pPr>
              <w:spacing w:line="240" w:lineRule="auto"/>
              <w:jc w:val="left"/>
              <w:rPr>
                <w:rFonts w:cs="Arial"/>
                <w:sz w:val="18"/>
                <w:szCs w:val="20"/>
              </w:rPr>
            </w:pPr>
            <w:r w:rsidRPr="00545EC0">
              <w:rPr>
                <w:rFonts w:cs="Arial"/>
                <w:sz w:val="18"/>
                <w:szCs w:val="20"/>
              </w:rPr>
              <w:t>Multimetrijski indeks fitoplanktona (MMI_FPL)</w:t>
            </w:r>
          </w:p>
        </w:tc>
        <w:tc>
          <w:tcPr>
            <w:tcW w:w="1081" w:type="pct"/>
            <w:shd w:val="clear" w:color="auto" w:fill="auto"/>
            <w:vAlign w:val="center"/>
            <w:hideMark/>
          </w:tcPr>
          <w:p w14:paraId="24A6C1C6" w14:textId="77777777" w:rsidR="00AA23DA" w:rsidRPr="00545EC0" w:rsidRDefault="00AA23DA" w:rsidP="00C402C7">
            <w:pPr>
              <w:spacing w:line="240" w:lineRule="auto"/>
              <w:jc w:val="left"/>
              <w:rPr>
                <w:rFonts w:cs="Arial"/>
                <w:sz w:val="18"/>
                <w:szCs w:val="20"/>
              </w:rPr>
            </w:pPr>
            <w:r w:rsidRPr="00545EC0">
              <w:rPr>
                <w:rFonts w:cs="Arial"/>
                <w:sz w:val="18"/>
                <w:szCs w:val="20"/>
              </w:rPr>
              <w:t>obremenitev s hranili</w:t>
            </w:r>
          </w:p>
        </w:tc>
        <w:tc>
          <w:tcPr>
            <w:tcW w:w="1468" w:type="pct"/>
            <w:shd w:val="clear" w:color="auto" w:fill="auto"/>
            <w:vAlign w:val="center"/>
            <w:hideMark/>
          </w:tcPr>
          <w:p w14:paraId="2C648FD0" w14:textId="77777777" w:rsidR="00AA23DA" w:rsidRPr="00545EC0" w:rsidRDefault="00AA23DA" w:rsidP="00C402C7">
            <w:pPr>
              <w:spacing w:line="240" w:lineRule="auto"/>
              <w:jc w:val="left"/>
              <w:rPr>
                <w:rFonts w:cs="Arial"/>
                <w:sz w:val="18"/>
                <w:szCs w:val="20"/>
              </w:rPr>
            </w:pPr>
            <w:r w:rsidRPr="00545EC0">
              <w:rPr>
                <w:rFonts w:cs="Arial"/>
                <w:sz w:val="18"/>
                <w:szCs w:val="20"/>
              </w:rPr>
              <w:t>Metodologija vrednotenja ekološkega stanja jezer na podlagi fitoplanktona</w:t>
            </w:r>
          </w:p>
        </w:tc>
      </w:tr>
      <w:tr w:rsidR="003122F4" w:rsidRPr="00545EC0" w14:paraId="4D6E83F3" w14:textId="77777777" w:rsidTr="00392769">
        <w:trPr>
          <w:trHeight w:val="750"/>
        </w:trPr>
        <w:tc>
          <w:tcPr>
            <w:tcW w:w="706" w:type="pct"/>
            <w:vMerge/>
            <w:shd w:val="clear" w:color="auto" w:fill="auto"/>
            <w:vAlign w:val="center"/>
            <w:hideMark/>
          </w:tcPr>
          <w:p w14:paraId="4B682436" w14:textId="77777777" w:rsidR="00AA23DA" w:rsidRPr="00545EC0" w:rsidRDefault="00AA23DA" w:rsidP="00C402C7">
            <w:pPr>
              <w:spacing w:line="240" w:lineRule="auto"/>
              <w:jc w:val="left"/>
              <w:rPr>
                <w:rFonts w:cs="Arial"/>
                <w:sz w:val="18"/>
                <w:szCs w:val="20"/>
              </w:rPr>
            </w:pPr>
          </w:p>
        </w:tc>
        <w:tc>
          <w:tcPr>
            <w:tcW w:w="641" w:type="pct"/>
            <w:shd w:val="clear" w:color="auto" w:fill="auto"/>
            <w:vAlign w:val="center"/>
            <w:hideMark/>
          </w:tcPr>
          <w:p w14:paraId="75420E25" w14:textId="77777777" w:rsidR="00AA23DA" w:rsidRPr="00545EC0" w:rsidRDefault="00AA23DA" w:rsidP="00C402C7">
            <w:pPr>
              <w:spacing w:line="240" w:lineRule="auto"/>
              <w:jc w:val="left"/>
              <w:rPr>
                <w:rFonts w:cs="Arial"/>
                <w:sz w:val="18"/>
                <w:szCs w:val="20"/>
              </w:rPr>
            </w:pPr>
            <w:r w:rsidRPr="00545EC0">
              <w:rPr>
                <w:rFonts w:cs="Arial"/>
                <w:sz w:val="18"/>
                <w:szCs w:val="20"/>
              </w:rPr>
              <w:t>Fitobentos in makrofiti</w:t>
            </w:r>
          </w:p>
        </w:tc>
        <w:tc>
          <w:tcPr>
            <w:tcW w:w="1103" w:type="pct"/>
            <w:shd w:val="clear" w:color="auto" w:fill="auto"/>
            <w:vAlign w:val="center"/>
            <w:hideMark/>
          </w:tcPr>
          <w:p w14:paraId="02259C2E" w14:textId="77777777" w:rsidR="00AA23DA" w:rsidRPr="00545EC0" w:rsidRDefault="00AA23DA" w:rsidP="00C402C7">
            <w:pPr>
              <w:spacing w:line="240" w:lineRule="auto"/>
              <w:jc w:val="left"/>
              <w:rPr>
                <w:rFonts w:cs="Arial"/>
                <w:sz w:val="18"/>
                <w:szCs w:val="20"/>
              </w:rPr>
            </w:pPr>
            <w:r w:rsidRPr="00545EC0">
              <w:rPr>
                <w:rFonts w:cs="Arial"/>
                <w:sz w:val="18"/>
                <w:szCs w:val="20"/>
              </w:rPr>
              <w:t>Trofični indeks (TI)</w:t>
            </w:r>
          </w:p>
        </w:tc>
        <w:tc>
          <w:tcPr>
            <w:tcW w:w="1081" w:type="pct"/>
            <w:shd w:val="clear" w:color="auto" w:fill="auto"/>
            <w:vAlign w:val="center"/>
            <w:hideMark/>
          </w:tcPr>
          <w:p w14:paraId="77E5320D" w14:textId="77777777" w:rsidR="00AA23DA" w:rsidRPr="00545EC0" w:rsidRDefault="00AA23DA" w:rsidP="00C402C7">
            <w:pPr>
              <w:spacing w:line="240" w:lineRule="auto"/>
              <w:jc w:val="left"/>
              <w:rPr>
                <w:rFonts w:cs="Arial"/>
                <w:sz w:val="18"/>
                <w:szCs w:val="20"/>
              </w:rPr>
            </w:pPr>
            <w:r w:rsidRPr="00545EC0">
              <w:rPr>
                <w:rFonts w:cs="Arial"/>
                <w:sz w:val="18"/>
                <w:szCs w:val="20"/>
              </w:rPr>
              <w:t>obremenitev s hranili</w:t>
            </w:r>
          </w:p>
        </w:tc>
        <w:tc>
          <w:tcPr>
            <w:tcW w:w="1468" w:type="pct"/>
            <w:shd w:val="clear" w:color="auto" w:fill="auto"/>
            <w:vAlign w:val="center"/>
            <w:hideMark/>
          </w:tcPr>
          <w:p w14:paraId="2EBE1669" w14:textId="77777777" w:rsidR="00AA23DA" w:rsidRPr="00545EC0" w:rsidRDefault="00AA23DA" w:rsidP="00C402C7">
            <w:pPr>
              <w:spacing w:line="240" w:lineRule="auto"/>
              <w:jc w:val="left"/>
              <w:rPr>
                <w:rFonts w:cs="Arial"/>
                <w:sz w:val="18"/>
                <w:szCs w:val="20"/>
              </w:rPr>
            </w:pPr>
            <w:r w:rsidRPr="00545EC0">
              <w:rPr>
                <w:rFonts w:cs="Arial"/>
                <w:sz w:val="18"/>
                <w:szCs w:val="20"/>
              </w:rPr>
              <w:t>Metodologija vrednotenja ekološkega stanja jezer na podlagi fitobentosa in makrofitov</w:t>
            </w:r>
          </w:p>
        </w:tc>
      </w:tr>
      <w:tr w:rsidR="003122F4" w:rsidRPr="00545EC0" w14:paraId="626F9ACD" w14:textId="77777777" w:rsidTr="00392769">
        <w:trPr>
          <w:trHeight w:val="750"/>
        </w:trPr>
        <w:tc>
          <w:tcPr>
            <w:tcW w:w="706" w:type="pct"/>
            <w:vMerge/>
            <w:shd w:val="clear" w:color="auto" w:fill="auto"/>
            <w:vAlign w:val="center"/>
            <w:hideMark/>
          </w:tcPr>
          <w:p w14:paraId="23C8D7E6" w14:textId="77777777" w:rsidR="00AA23DA" w:rsidRPr="00545EC0" w:rsidRDefault="00AA23DA" w:rsidP="00C402C7">
            <w:pPr>
              <w:spacing w:line="240" w:lineRule="auto"/>
              <w:jc w:val="left"/>
              <w:rPr>
                <w:rFonts w:cs="Arial"/>
                <w:sz w:val="18"/>
                <w:szCs w:val="20"/>
              </w:rPr>
            </w:pPr>
          </w:p>
        </w:tc>
        <w:tc>
          <w:tcPr>
            <w:tcW w:w="641" w:type="pct"/>
            <w:shd w:val="clear" w:color="auto" w:fill="auto"/>
            <w:vAlign w:val="center"/>
            <w:hideMark/>
          </w:tcPr>
          <w:p w14:paraId="6B0F4521" w14:textId="77777777" w:rsidR="00AA23DA" w:rsidRPr="00545EC0" w:rsidRDefault="00AA23DA" w:rsidP="00C402C7">
            <w:pPr>
              <w:spacing w:line="240" w:lineRule="auto"/>
              <w:jc w:val="left"/>
              <w:rPr>
                <w:rFonts w:cs="Arial"/>
                <w:sz w:val="18"/>
                <w:szCs w:val="20"/>
              </w:rPr>
            </w:pPr>
            <w:r w:rsidRPr="00545EC0">
              <w:rPr>
                <w:rFonts w:cs="Arial"/>
                <w:sz w:val="18"/>
                <w:szCs w:val="20"/>
              </w:rPr>
              <w:t>Fitobentos in makrofiti</w:t>
            </w:r>
          </w:p>
        </w:tc>
        <w:tc>
          <w:tcPr>
            <w:tcW w:w="1103" w:type="pct"/>
            <w:shd w:val="clear" w:color="auto" w:fill="auto"/>
            <w:vAlign w:val="center"/>
            <w:hideMark/>
          </w:tcPr>
          <w:p w14:paraId="43DBF421" w14:textId="77777777" w:rsidR="00AA23DA" w:rsidRPr="00545EC0" w:rsidRDefault="00AA23DA" w:rsidP="00C402C7">
            <w:pPr>
              <w:spacing w:line="240" w:lineRule="auto"/>
              <w:jc w:val="left"/>
              <w:rPr>
                <w:rFonts w:cs="Arial"/>
                <w:sz w:val="18"/>
                <w:szCs w:val="20"/>
              </w:rPr>
            </w:pPr>
            <w:r w:rsidRPr="00545EC0">
              <w:rPr>
                <w:rFonts w:cs="Arial"/>
                <w:sz w:val="18"/>
                <w:szCs w:val="20"/>
              </w:rPr>
              <w:t>Slovenski indeks za vrednotenje ekološkega stanja jezerskih ekosistemov na podlagi makrofitov (SMILE)</w:t>
            </w:r>
          </w:p>
        </w:tc>
        <w:tc>
          <w:tcPr>
            <w:tcW w:w="1081" w:type="pct"/>
            <w:shd w:val="clear" w:color="auto" w:fill="auto"/>
            <w:vAlign w:val="center"/>
            <w:hideMark/>
          </w:tcPr>
          <w:p w14:paraId="68317A77" w14:textId="77777777" w:rsidR="00AA23DA" w:rsidRPr="00545EC0" w:rsidRDefault="00AA23DA" w:rsidP="00C402C7">
            <w:pPr>
              <w:spacing w:line="240" w:lineRule="auto"/>
              <w:jc w:val="left"/>
              <w:rPr>
                <w:rFonts w:cs="Arial"/>
                <w:sz w:val="18"/>
                <w:szCs w:val="20"/>
              </w:rPr>
            </w:pPr>
            <w:r w:rsidRPr="00545EC0">
              <w:rPr>
                <w:rFonts w:cs="Arial"/>
                <w:sz w:val="18"/>
                <w:szCs w:val="20"/>
              </w:rPr>
              <w:t>obremenitev s hranili</w:t>
            </w:r>
          </w:p>
        </w:tc>
        <w:tc>
          <w:tcPr>
            <w:tcW w:w="1468" w:type="pct"/>
            <w:shd w:val="clear" w:color="auto" w:fill="auto"/>
            <w:vAlign w:val="center"/>
            <w:hideMark/>
          </w:tcPr>
          <w:p w14:paraId="4D341753" w14:textId="77777777" w:rsidR="00AA23DA" w:rsidRPr="00545EC0" w:rsidRDefault="00AA23DA" w:rsidP="00C402C7">
            <w:pPr>
              <w:spacing w:line="240" w:lineRule="auto"/>
              <w:jc w:val="left"/>
              <w:rPr>
                <w:rFonts w:cs="Arial"/>
                <w:sz w:val="18"/>
                <w:szCs w:val="20"/>
              </w:rPr>
            </w:pPr>
            <w:r w:rsidRPr="00545EC0">
              <w:rPr>
                <w:rFonts w:cs="Arial"/>
                <w:sz w:val="18"/>
                <w:szCs w:val="20"/>
              </w:rPr>
              <w:t>Metodologija vrednotenja ekološkega stanja jezer na podlagi fitobentosa in makrofitov</w:t>
            </w:r>
          </w:p>
        </w:tc>
      </w:tr>
      <w:tr w:rsidR="003122F4" w:rsidRPr="00545EC0" w14:paraId="3F04C03F" w14:textId="77777777" w:rsidTr="00392769">
        <w:trPr>
          <w:trHeight w:val="750"/>
        </w:trPr>
        <w:tc>
          <w:tcPr>
            <w:tcW w:w="706" w:type="pct"/>
            <w:vMerge/>
            <w:shd w:val="clear" w:color="auto" w:fill="auto"/>
            <w:vAlign w:val="center"/>
            <w:hideMark/>
          </w:tcPr>
          <w:p w14:paraId="6E928788" w14:textId="77777777" w:rsidR="00AA23DA" w:rsidRPr="00545EC0" w:rsidRDefault="00AA23DA" w:rsidP="00C402C7">
            <w:pPr>
              <w:spacing w:line="240" w:lineRule="auto"/>
              <w:jc w:val="left"/>
              <w:rPr>
                <w:rFonts w:cs="Arial"/>
                <w:sz w:val="18"/>
                <w:szCs w:val="20"/>
              </w:rPr>
            </w:pPr>
          </w:p>
        </w:tc>
        <w:tc>
          <w:tcPr>
            <w:tcW w:w="641" w:type="pct"/>
            <w:shd w:val="clear" w:color="auto" w:fill="auto"/>
            <w:vAlign w:val="center"/>
            <w:hideMark/>
          </w:tcPr>
          <w:p w14:paraId="06665D2D" w14:textId="77777777" w:rsidR="00AA23DA" w:rsidRPr="00545EC0" w:rsidRDefault="00AA23DA" w:rsidP="00C402C7">
            <w:pPr>
              <w:spacing w:line="240" w:lineRule="auto"/>
              <w:jc w:val="left"/>
              <w:rPr>
                <w:rFonts w:cs="Arial"/>
                <w:sz w:val="18"/>
                <w:szCs w:val="20"/>
              </w:rPr>
            </w:pPr>
            <w:r w:rsidRPr="00545EC0">
              <w:rPr>
                <w:rFonts w:cs="Arial"/>
                <w:sz w:val="18"/>
                <w:szCs w:val="20"/>
              </w:rPr>
              <w:t>Bentoški nevretenčarji</w:t>
            </w:r>
          </w:p>
        </w:tc>
        <w:tc>
          <w:tcPr>
            <w:tcW w:w="1103" w:type="pct"/>
            <w:shd w:val="clear" w:color="auto" w:fill="auto"/>
            <w:vAlign w:val="center"/>
            <w:hideMark/>
          </w:tcPr>
          <w:p w14:paraId="20114910" w14:textId="77777777" w:rsidR="00AA23DA" w:rsidRPr="00545EC0" w:rsidRDefault="00AA23DA" w:rsidP="00C402C7">
            <w:pPr>
              <w:spacing w:line="240" w:lineRule="auto"/>
              <w:jc w:val="left"/>
              <w:rPr>
                <w:rFonts w:cs="Arial"/>
                <w:sz w:val="18"/>
                <w:szCs w:val="20"/>
              </w:rPr>
            </w:pPr>
            <w:r w:rsidRPr="00545EC0">
              <w:rPr>
                <w:rFonts w:cs="Arial"/>
                <w:sz w:val="18"/>
                <w:szCs w:val="20"/>
              </w:rPr>
              <w:t>Indeks bentoških nevretenčarjev litorala jezer (LBI)</w:t>
            </w:r>
          </w:p>
        </w:tc>
        <w:tc>
          <w:tcPr>
            <w:tcW w:w="1081" w:type="pct"/>
            <w:shd w:val="clear" w:color="auto" w:fill="auto"/>
            <w:vAlign w:val="center"/>
            <w:hideMark/>
          </w:tcPr>
          <w:p w14:paraId="522CA9C0" w14:textId="77777777" w:rsidR="00AA23DA" w:rsidRPr="00545EC0" w:rsidRDefault="00AA23DA" w:rsidP="00C402C7">
            <w:pPr>
              <w:spacing w:line="240" w:lineRule="auto"/>
              <w:jc w:val="left"/>
              <w:rPr>
                <w:rFonts w:cs="Arial"/>
                <w:sz w:val="18"/>
                <w:szCs w:val="20"/>
              </w:rPr>
            </w:pPr>
            <w:r w:rsidRPr="00545EC0">
              <w:rPr>
                <w:rFonts w:cs="Arial"/>
                <w:sz w:val="18"/>
                <w:szCs w:val="20"/>
              </w:rPr>
              <w:t>hidromorfološka spremenjenost/splošna degradiranost</w:t>
            </w:r>
          </w:p>
        </w:tc>
        <w:tc>
          <w:tcPr>
            <w:tcW w:w="1468" w:type="pct"/>
            <w:shd w:val="clear" w:color="auto" w:fill="auto"/>
            <w:vAlign w:val="center"/>
            <w:hideMark/>
          </w:tcPr>
          <w:p w14:paraId="16791AC5" w14:textId="77777777" w:rsidR="00AA23DA" w:rsidRPr="00545EC0" w:rsidRDefault="00AA23DA" w:rsidP="00C402C7">
            <w:pPr>
              <w:spacing w:line="240" w:lineRule="auto"/>
              <w:jc w:val="left"/>
              <w:rPr>
                <w:rFonts w:cs="Arial"/>
                <w:sz w:val="18"/>
                <w:szCs w:val="20"/>
              </w:rPr>
            </w:pPr>
            <w:r w:rsidRPr="00545EC0">
              <w:rPr>
                <w:rFonts w:cs="Arial"/>
                <w:sz w:val="18"/>
                <w:szCs w:val="20"/>
              </w:rPr>
              <w:t>Metodologija vrednotenja ekološkega stanja jezer na podlagi bentoških nevretenčarjev</w:t>
            </w:r>
          </w:p>
        </w:tc>
      </w:tr>
      <w:tr w:rsidR="00AA23DA" w:rsidRPr="00545EC0" w14:paraId="3D2E81EC" w14:textId="77777777" w:rsidTr="00392769">
        <w:trPr>
          <w:trHeight w:val="600"/>
        </w:trPr>
        <w:tc>
          <w:tcPr>
            <w:tcW w:w="706" w:type="pct"/>
            <w:vMerge/>
            <w:shd w:val="clear" w:color="auto" w:fill="auto"/>
            <w:vAlign w:val="center"/>
            <w:hideMark/>
          </w:tcPr>
          <w:p w14:paraId="34501212" w14:textId="77777777" w:rsidR="00AA23DA" w:rsidRPr="00545EC0" w:rsidRDefault="00AA23DA" w:rsidP="00C402C7">
            <w:pPr>
              <w:spacing w:line="240" w:lineRule="auto"/>
              <w:jc w:val="left"/>
              <w:rPr>
                <w:rFonts w:cs="Arial"/>
                <w:sz w:val="18"/>
                <w:szCs w:val="20"/>
              </w:rPr>
            </w:pPr>
          </w:p>
        </w:tc>
        <w:tc>
          <w:tcPr>
            <w:tcW w:w="641" w:type="pct"/>
            <w:shd w:val="clear" w:color="auto" w:fill="auto"/>
            <w:vAlign w:val="center"/>
            <w:hideMark/>
          </w:tcPr>
          <w:p w14:paraId="7ED20691" w14:textId="77777777" w:rsidR="00AA23DA" w:rsidRPr="00545EC0" w:rsidRDefault="00AA23DA" w:rsidP="00C402C7">
            <w:pPr>
              <w:spacing w:line="240" w:lineRule="auto"/>
              <w:jc w:val="left"/>
              <w:rPr>
                <w:rFonts w:cs="Arial"/>
                <w:sz w:val="18"/>
                <w:szCs w:val="20"/>
              </w:rPr>
            </w:pPr>
            <w:r w:rsidRPr="00545EC0">
              <w:rPr>
                <w:rFonts w:cs="Arial"/>
                <w:sz w:val="18"/>
                <w:szCs w:val="20"/>
              </w:rPr>
              <w:t>Ribe</w:t>
            </w:r>
          </w:p>
        </w:tc>
        <w:tc>
          <w:tcPr>
            <w:tcW w:w="1103" w:type="pct"/>
            <w:shd w:val="clear" w:color="auto" w:fill="auto"/>
            <w:vAlign w:val="center"/>
            <w:hideMark/>
          </w:tcPr>
          <w:p w14:paraId="5A52D432" w14:textId="77777777" w:rsidR="00AA23DA" w:rsidRPr="00545EC0" w:rsidRDefault="00AA23DA" w:rsidP="00C402C7">
            <w:pPr>
              <w:spacing w:line="240" w:lineRule="auto"/>
              <w:jc w:val="left"/>
              <w:rPr>
                <w:rFonts w:cs="Arial"/>
                <w:sz w:val="18"/>
                <w:szCs w:val="20"/>
              </w:rPr>
            </w:pPr>
            <w:r w:rsidRPr="00545EC0">
              <w:rPr>
                <w:rFonts w:cs="Arial"/>
                <w:sz w:val="18"/>
                <w:szCs w:val="20"/>
              </w:rPr>
              <w:t>Multimetrijski indeks za vrednotenje ekološkega stanja jezer na podlagi rib (SI-LFI)</w:t>
            </w:r>
          </w:p>
        </w:tc>
        <w:tc>
          <w:tcPr>
            <w:tcW w:w="1081" w:type="pct"/>
            <w:shd w:val="clear" w:color="auto" w:fill="auto"/>
            <w:vAlign w:val="center"/>
            <w:hideMark/>
          </w:tcPr>
          <w:p w14:paraId="36A3752E" w14:textId="77777777" w:rsidR="00AA23DA" w:rsidRPr="00545EC0" w:rsidRDefault="00AA23DA" w:rsidP="00C402C7">
            <w:pPr>
              <w:spacing w:line="240" w:lineRule="auto"/>
              <w:jc w:val="left"/>
              <w:rPr>
                <w:rFonts w:cs="Arial"/>
                <w:sz w:val="18"/>
                <w:szCs w:val="20"/>
              </w:rPr>
            </w:pPr>
            <w:r w:rsidRPr="00545EC0">
              <w:rPr>
                <w:rFonts w:cs="Arial"/>
                <w:sz w:val="18"/>
                <w:szCs w:val="20"/>
              </w:rPr>
              <w:t>splošna degradiranost</w:t>
            </w:r>
          </w:p>
        </w:tc>
        <w:tc>
          <w:tcPr>
            <w:tcW w:w="1468" w:type="pct"/>
            <w:shd w:val="clear" w:color="auto" w:fill="auto"/>
            <w:vAlign w:val="center"/>
            <w:hideMark/>
          </w:tcPr>
          <w:p w14:paraId="37D33895" w14:textId="77777777" w:rsidR="00AA23DA" w:rsidRPr="00545EC0" w:rsidRDefault="00AA23DA" w:rsidP="00C402C7">
            <w:pPr>
              <w:spacing w:line="240" w:lineRule="auto"/>
              <w:jc w:val="left"/>
              <w:rPr>
                <w:rFonts w:cs="Arial"/>
                <w:sz w:val="18"/>
                <w:szCs w:val="20"/>
              </w:rPr>
            </w:pPr>
            <w:r w:rsidRPr="00545EC0">
              <w:rPr>
                <w:rFonts w:cs="Arial"/>
                <w:sz w:val="18"/>
                <w:szCs w:val="20"/>
              </w:rPr>
              <w:t>Metodologija vrednotenja ekološkega stanja jezer na podlagi rib</w:t>
            </w:r>
          </w:p>
        </w:tc>
      </w:tr>
    </w:tbl>
    <w:p w14:paraId="41717E7F" w14:textId="6378B59A" w:rsidR="00AA23DA" w:rsidRPr="00545EC0" w:rsidRDefault="00AA23DA" w:rsidP="004168CD">
      <w:pPr>
        <w:spacing w:line="240" w:lineRule="auto"/>
        <w:rPr>
          <w:rFonts w:cs="Arial"/>
          <w:i/>
          <w:iCs/>
          <w:sz w:val="18"/>
          <w:szCs w:val="18"/>
        </w:rPr>
      </w:pPr>
      <w:r w:rsidRPr="00545EC0">
        <w:rPr>
          <w:i/>
          <w:sz w:val="18"/>
          <w:szCs w:val="18"/>
        </w:rPr>
        <w:lastRenderedPageBreak/>
        <w:t xml:space="preserve">*Metodologije vrednotenja ekološkega stanja so </w:t>
      </w:r>
      <w:r w:rsidR="00F22933" w:rsidRPr="00545EC0">
        <w:rPr>
          <w:i/>
          <w:sz w:val="18"/>
          <w:szCs w:val="18"/>
        </w:rPr>
        <w:t xml:space="preserve">objavljene </w:t>
      </w:r>
      <w:r w:rsidRPr="00545EC0">
        <w:rPr>
          <w:i/>
          <w:sz w:val="18"/>
          <w:szCs w:val="18"/>
        </w:rPr>
        <w:t xml:space="preserve"> na spletišču državne uprave https://www.gov.si/teme/stanje-povrsinskih-voda/</w:t>
      </w:r>
    </w:p>
    <w:p w14:paraId="3A0EAE7F" w14:textId="77777777" w:rsidR="00AA23DA" w:rsidRPr="00545EC0" w:rsidRDefault="00AA23DA" w:rsidP="00AA23DA">
      <w:pPr>
        <w:rPr>
          <w:rFonts w:cs="Arial"/>
        </w:rPr>
      </w:pPr>
    </w:p>
    <w:p w14:paraId="3E6B08E4" w14:textId="794C5E99" w:rsidR="00502B66" w:rsidRPr="00545EC0" w:rsidRDefault="00F22933" w:rsidP="00502B66">
      <w:pPr>
        <w:spacing w:after="240"/>
        <w:rPr>
          <w:rFonts w:cs="Arial"/>
        </w:rPr>
      </w:pPr>
      <w:r w:rsidRPr="00545EC0">
        <w:rPr>
          <w:rFonts w:cs="Arial"/>
        </w:rPr>
        <w:t xml:space="preserve">V program nadzornega </w:t>
      </w:r>
      <w:r w:rsidR="00AA23DA" w:rsidRPr="00545EC0">
        <w:rPr>
          <w:rFonts w:cs="Arial"/>
        </w:rPr>
        <w:t xml:space="preserve">monitoringa ekološkega stanja površinskih voda </w:t>
      </w:r>
      <w:r w:rsidR="00FE1006" w:rsidRPr="00545EC0">
        <w:rPr>
          <w:rFonts w:cs="Arial"/>
        </w:rPr>
        <w:t xml:space="preserve">(ARSO, 2021b) </w:t>
      </w:r>
      <w:r w:rsidR="00727089" w:rsidRPr="00545EC0">
        <w:rPr>
          <w:rFonts w:cs="Arial"/>
        </w:rPr>
        <w:t xml:space="preserve">so </w:t>
      </w:r>
      <w:r w:rsidR="00FE1006" w:rsidRPr="00545EC0">
        <w:rPr>
          <w:rFonts w:cs="Arial"/>
        </w:rPr>
        <w:t xml:space="preserve">bili </w:t>
      </w:r>
      <w:r w:rsidR="00AA23DA" w:rsidRPr="00545EC0">
        <w:rPr>
          <w:rFonts w:cs="Arial"/>
        </w:rPr>
        <w:t>vključeni vsi biološki</w:t>
      </w:r>
      <w:r w:rsidR="005C28AE" w:rsidRPr="00545EC0">
        <w:rPr>
          <w:rFonts w:cs="Arial"/>
        </w:rPr>
        <w:t xml:space="preserve"> elementi kakovosti</w:t>
      </w:r>
      <w:r w:rsidR="00502B66" w:rsidRPr="00545EC0">
        <w:rPr>
          <w:rFonts w:cs="Arial"/>
        </w:rPr>
        <w:t>, razen bioloških elementov, ki niso relevantni za določene kategorije in tipe voda, kot je navedeno v nadaljevanju besedila,</w:t>
      </w:r>
      <w:r w:rsidR="00AA23DA" w:rsidRPr="00545EC0">
        <w:rPr>
          <w:rFonts w:cs="Arial"/>
        </w:rPr>
        <w:t xml:space="preserve"> in splošni fizikalno-kemijski elementi kakovosti ter tista posebna onesnaževala, ki se odvajajo v vodno telo v pomembnih količinah. </w:t>
      </w:r>
    </w:p>
    <w:p w14:paraId="6CCDFEA6" w14:textId="6D5DD5A2" w:rsidR="00AA23DA" w:rsidRPr="00545EC0" w:rsidRDefault="00F22933" w:rsidP="00581CEA">
      <w:pPr>
        <w:spacing w:after="120"/>
        <w:rPr>
          <w:rFonts w:cs="Arial"/>
        </w:rPr>
      </w:pPr>
      <w:r w:rsidRPr="00545EC0">
        <w:rPr>
          <w:rFonts w:cs="Arial"/>
        </w:rPr>
        <w:t>V program operativnega</w:t>
      </w:r>
      <w:r w:rsidR="00AA23DA" w:rsidRPr="00545EC0">
        <w:rPr>
          <w:rFonts w:cs="Arial"/>
        </w:rPr>
        <w:t xml:space="preserve"> monitoring</w:t>
      </w:r>
      <w:r w:rsidRPr="00545EC0">
        <w:rPr>
          <w:rFonts w:cs="Arial"/>
        </w:rPr>
        <w:t>a</w:t>
      </w:r>
      <w:r w:rsidR="00AA23DA" w:rsidRPr="00545EC0">
        <w:rPr>
          <w:rFonts w:cs="Arial"/>
        </w:rPr>
        <w:t xml:space="preserve"> ekološkega stanja </w:t>
      </w:r>
      <w:r w:rsidRPr="00545EC0">
        <w:rPr>
          <w:rFonts w:cs="Arial"/>
        </w:rPr>
        <w:t xml:space="preserve">površinskih voda </w:t>
      </w:r>
      <w:r w:rsidR="005C28AE" w:rsidRPr="00545EC0">
        <w:rPr>
          <w:rFonts w:cs="Arial"/>
        </w:rPr>
        <w:t xml:space="preserve">(ARSO, 2021b) </w:t>
      </w:r>
      <w:r w:rsidRPr="00545EC0">
        <w:rPr>
          <w:rFonts w:cs="Arial"/>
        </w:rPr>
        <w:t xml:space="preserve">so </w:t>
      </w:r>
      <w:r w:rsidR="00AA23DA" w:rsidRPr="00545EC0">
        <w:rPr>
          <w:rFonts w:cs="Arial"/>
        </w:rPr>
        <w:t>vključeni vsaj tisti biološki elementi kakovosti</w:t>
      </w:r>
      <w:r w:rsidR="00502B66" w:rsidRPr="00545EC0">
        <w:rPr>
          <w:rFonts w:cs="Arial"/>
        </w:rPr>
        <w:t>,</w:t>
      </w:r>
      <w:r w:rsidR="00AA23DA" w:rsidRPr="00545EC0">
        <w:rPr>
          <w:rFonts w:cs="Arial"/>
        </w:rPr>
        <w:t xml:space="preserve"> </w:t>
      </w:r>
      <w:r w:rsidR="00502B66" w:rsidRPr="00545EC0">
        <w:rPr>
          <w:rFonts w:cs="Arial"/>
        </w:rPr>
        <w:t xml:space="preserve">ki </w:t>
      </w:r>
      <w:r w:rsidR="00AA23DA" w:rsidRPr="00545EC0">
        <w:rPr>
          <w:rFonts w:cs="Arial"/>
        </w:rPr>
        <w:t>so najbolj občutljivi na določeno obremenitev (</w:t>
      </w:r>
      <w:r w:rsidR="00AA23DA" w:rsidRPr="00545EC0">
        <w:rPr>
          <w:rFonts w:cs="Arial"/>
        </w:rPr>
        <w:fldChar w:fldCharType="begin"/>
      </w:r>
      <w:r w:rsidR="00AA23DA" w:rsidRPr="00545EC0">
        <w:rPr>
          <w:rFonts w:cs="Arial"/>
        </w:rPr>
        <w:instrText xml:space="preserve"> REF _Ref75167357 \h  \* MERGEFORMAT </w:instrText>
      </w:r>
      <w:r w:rsidR="00AA23DA" w:rsidRPr="00545EC0">
        <w:rPr>
          <w:rFonts w:cs="Arial"/>
        </w:rPr>
      </w:r>
      <w:r w:rsidR="00AA23DA" w:rsidRPr="00545EC0">
        <w:rPr>
          <w:rFonts w:cs="Arial"/>
        </w:rPr>
        <w:fldChar w:fldCharType="separate"/>
      </w:r>
      <w:r w:rsidR="002F3E43" w:rsidRPr="00545EC0">
        <w:t xml:space="preserve">Preglednica </w:t>
      </w:r>
      <w:r w:rsidR="002F3E43">
        <w:t>3</w:t>
      </w:r>
      <w:r w:rsidR="002F3E43" w:rsidRPr="00545EC0">
        <w:noBreakHyphen/>
      </w:r>
      <w:r w:rsidR="002F3E43">
        <w:t>3</w:t>
      </w:r>
      <w:r w:rsidR="00AA23DA" w:rsidRPr="00545EC0">
        <w:rPr>
          <w:rFonts w:cs="Arial"/>
        </w:rPr>
        <w:fldChar w:fldCharType="end"/>
      </w:r>
      <w:r w:rsidR="00AA23DA" w:rsidRPr="00545EC0">
        <w:rPr>
          <w:rFonts w:cs="Arial"/>
        </w:rPr>
        <w:t xml:space="preserve">), vsi splošni fizikalno-kemijski elementi kakovosti in tista posebna onesnaževala, ki se v vodno telo odvajajo v pomembnih količinah. </w:t>
      </w:r>
    </w:p>
    <w:p w14:paraId="35AF1520" w14:textId="7FC8020F" w:rsidR="00AA23DA" w:rsidRPr="00545EC0" w:rsidRDefault="00AA23DA" w:rsidP="00581CEA">
      <w:pPr>
        <w:spacing w:after="120"/>
      </w:pPr>
      <w:r w:rsidRPr="00545EC0">
        <w:rPr>
          <w:rFonts w:cs="Arial"/>
        </w:rPr>
        <w:t>Za obremenitev s hranili je v vodotokih najbolj občutljiv biološki element fitobentos in makrofiti ter v jezerih fitoplankton</w:t>
      </w:r>
      <w:r w:rsidR="002577CA" w:rsidRPr="00545EC0">
        <w:rPr>
          <w:rFonts w:cs="Arial"/>
        </w:rPr>
        <w:t xml:space="preserve"> (</w:t>
      </w:r>
      <w:r w:rsidR="002577CA" w:rsidRPr="00545EC0">
        <w:rPr>
          <w:rFonts w:cs="Arial"/>
        </w:rPr>
        <w:fldChar w:fldCharType="begin"/>
      </w:r>
      <w:r w:rsidR="002577CA" w:rsidRPr="00545EC0">
        <w:rPr>
          <w:rFonts w:cs="Arial"/>
        </w:rPr>
        <w:instrText xml:space="preserve"> REF _Ref75164817 \h  \* MERGEFORMAT </w:instrText>
      </w:r>
      <w:r w:rsidR="002577CA" w:rsidRPr="00545EC0">
        <w:rPr>
          <w:rFonts w:cs="Arial"/>
        </w:rPr>
      </w:r>
      <w:r w:rsidR="002577CA" w:rsidRPr="00545EC0">
        <w:rPr>
          <w:rFonts w:cs="Arial"/>
        </w:rPr>
        <w:fldChar w:fldCharType="separate"/>
      </w:r>
      <w:r w:rsidR="002F3E43" w:rsidRPr="00545EC0">
        <w:t xml:space="preserve">Preglednica </w:t>
      </w:r>
      <w:r w:rsidR="002F3E43">
        <w:t>3</w:t>
      </w:r>
      <w:r w:rsidR="002F3E43" w:rsidRPr="00545EC0">
        <w:noBreakHyphen/>
      </w:r>
      <w:r w:rsidR="002F3E43">
        <w:t>2</w:t>
      </w:r>
      <w:r w:rsidR="002577CA" w:rsidRPr="00545EC0">
        <w:rPr>
          <w:rFonts w:cs="Arial"/>
        </w:rPr>
        <w:fldChar w:fldCharType="end"/>
      </w:r>
      <w:r w:rsidR="002577CA" w:rsidRPr="00545EC0">
        <w:rPr>
          <w:rFonts w:cs="Arial"/>
        </w:rPr>
        <w:t>)</w:t>
      </w:r>
      <w:r w:rsidRPr="00545EC0">
        <w:rPr>
          <w:rFonts w:cs="Arial"/>
        </w:rPr>
        <w:t xml:space="preserve">. Za organsko obremenitev v vodotokih in hidromorfološko spremenjenost v vodotokih in jezerih je najbolj občutljiv </w:t>
      </w:r>
      <w:r w:rsidR="00C91A0C" w:rsidRPr="00545EC0">
        <w:rPr>
          <w:rFonts w:cs="Arial"/>
        </w:rPr>
        <w:t xml:space="preserve">biološki </w:t>
      </w:r>
      <w:r w:rsidRPr="00545EC0">
        <w:rPr>
          <w:rFonts w:cs="Arial"/>
        </w:rPr>
        <w:t>element bentoški nevretenčarji (</w:t>
      </w:r>
      <w:r w:rsidRPr="00545EC0">
        <w:rPr>
          <w:rFonts w:cs="Arial"/>
        </w:rPr>
        <w:fldChar w:fldCharType="begin"/>
      </w:r>
      <w:r w:rsidRPr="00545EC0">
        <w:rPr>
          <w:rFonts w:cs="Arial"/>
        </w:rPr>
        <w:instrText xml:space="preserve"> REF _Ref75167357 \h  \* MERGEFORMAT </w:instrText>
      </w:r>
      <w:r w:rsidRPr="00545EC0">
        <w:rPr>
          <w:rFonts w:cs="Arial"/>
        </w:rPr>
      </w:r>
      <w:r w:rsidRPr="00545EC0">
        <w:rPr>
          <w:rFonts w:cs="Arial"/>
        </w:rPr>
        <w:fldChar w:fldCharType="separate"/>
      </w:r>
      <w:r w:rsidR="002F3E43" w:rsidRPr="00545EC0">
        <w:t xml:space="preserve">Preglednica </w:t>
      </w:r>
      <w:r w:rsidR="002F3E43">
        <w:t>3</w:t>
      </w:r>
      <w:r w:rsidR="002F3E43" w:rsidRPr="00545EC0">
        <w:noBreakHyphen/>
      </w:r>
      <w:r w:rsidR="002F3E43">
        <w:t>3</w:t>
      </w:r>
      <w:r w:rsidRPr="00545EC0">
        <w:rPr>
          <w:rFonts w:cs="Arial"/>
        </w:rPr>
        <w:fldChar w:fldCharType="end"/>
      </w:r>
      <w:r w:rsidRPr="00545EC0">
        <w:rPr>
          <w:rFonts w:cs="Arial"/>
        </w:rPr>
        <w:t>).</w:t>
      </w:r>
      <w:r w:rsidR="005C28AE" w:rsidRPr="00545EC0">
        <w:rPr>
          <w:rFonts w:cs="Arial"/>
        </w:rPr>
        <w:t xml:space="preserve"> S</w:t>
      </w:r>
      <w:r w:rsidR="005C28AE" w:rsidRPr="00545EC0">
        <w:t xml:space="preserve">tanje hranil in stanje fitoplanktona, ki je med biološkimi elementi kakovosti najbolj občutljiv indikator trofičnosti jezer, se prednostno spremlja tudi v MPVT-jih v kategoriji jezer, saj je obremenitev s hranili (evtrofikacija) ključna obremenitev MPVT-jev </w:t>
      </w:r>
      <w:r w:rsidR="005C28AE" w:rsidRPr="00545EC0">
        <w:rPr>
          <w:rFonts w:cs="Arial"/>
        </w:rPr>
        <w:t>(</w:t>
      </w:r>
      <w:r w:rsidR="005C28AE" w:rsidRPr="00545EC0">
        <w:rPr>
          <w:rFonts w:cs="Arial"/>
        </w:rPr>
        <w:fldChar w:fldCharType="begin"/>
      </w:r>
      <w:r w:rsidR="005C28AE" w:rsidRPr="00545EC0">
        <w:rPr>
          <w:rFonts w:cs="Arial"/>
        </w:rPr>
        <w:instrText xml:space="preserve"> REF _Ref75167357 \h  \* MERGEFORMAT </w:instrText>
      </w:r>
      <w:r w:rsidR="005C28AE" w:rsidRPr="00545EC0">
        <w:rPr>
          <w:rFonts w:cs="Arial"/>
        </w:rPr>
      </w:r>
      <w:r w:rsidR="005C28AE" w:rsidRPr="00545EC0">
        <w:rPr>
          <w:rFonts w:cs="Arial"/>
        </w:rPr>
        <w:fldChar w:fldCharType="separate"/>
      </w:r>
      <w:r w:rsidR="002F3E43" w:rsidRPr="00545EC0">
        <w:t xml:space="preserve">Preglednica </w:t>
      </w:r>
      <w:r w:rsidR="002F3E43">
        <w:t>3</w:t>
      </w:r>
      <w:r w:rsidR="002F3E43" w:rsidRPr="00545EC0">
        <w:noBreakHyphen/>
      </w:r>
      <w:r w:rsidR="002F3E43">
        <w:t>3</w:t>
      </w:r>
      <w:r w:rsidR="005C28AE" w:rsidRPr="00545EC0">
        <w:rPr>
          <w:rFonts w:cs="Arial"/>
        </w:rPr>
        <w:fldChar w:fldCharType="end"/>
      </w:r>
      <w:r w:rsidR="005C28AE" w:rsidRPr="00545EC0">
        <w:rPr>
          <w:rFonts w:cs="Arial"/>
        </w:rPr>
        <w:t>)</w:t>
      </w:r>
      <w:r w:rsidR="005C28AE" w:rsidRPr="00545EC0">
        <w:t>.</w:t>
      </w:r>
    </w:p>
    <w:p w14:paraId="73B24A51" w14:textId="0FE47442" w:rsidR="005C28AE" w:rsidRPr="00545EC0" w:rsidRDefault="005C28AE" w:rsidP="005C28AE">
      <w:pPr>
        <w:widowControl w:val="0"/>
        <w:rPr>
          <w:rFonts w:cs="Arial"/>
          <w:bCs/>
          <w:szCs w:val="20"/>
        </w:rPr>
      </w:pPr>
      <w:r w:rsidRPr="00545EC0">
        <w:rPr>
          <w:rFonts w:cs="Arial"/>
        </w:rPr>
        <w:t>Splošno degradiranost vodotokov se spremlja z biološkim elementom ribe</w:t>
      </w:r>
      <w:r w:rsidR="002577CA" w:rsidRPr="00545EC0">
        <w:rPr>
          <w:rFonts w:cs="Arial"/>
        </w:rPr>
        <w:t xml:space="preserve"> (</w:t>
      </w:r>
      <w:r w:rsidR="002577CA" w:rsidRPr="00545EC0">
        <w:rPr>
          <w:rFonts w:cs="Arial"/>
        </w:rPr>
        <w:fldChar w:fldCharType="begin"/>
      </w:r>
      <w:r w:rsidR="002577CA" w:rsidRPr="00545EC0">
        <w:rPr>
          <w:rFonts w:cs="Arial"/>
        </w:rPr>
        <w:instrText xml:space="preserve"> REF _Ref75164817 \h  \* MERGEFORMAT </w:instrText>
      </w:r>
      <w:r w:rsidR="002577CA" w:rsidRPr="00545EC0">
        <w:rPr>
          <w:rFonts w:cs="Arial"/>
        </w:rPr>
      </w:r>
      <w:r w:rsidR="002577CA" w:rsidRPr="00545EC0">
        <w:rPr>
          <w:rFonts w:cs="Arial"/>
        </w:rPr>
        <w:fldChar w:fldCharType="separate"/>
      </w:r>
      <w:r w:rsidR="002F3E43" w:rsidRPr="00545EC0">
        <w:t xml:space="preserve">Preglednica </w:t>
      </w:r>
      <w:r w:rsidR="002F3E43">
        <w:t>3</w:t>
      </w:r>
      <w:r w:rsidR="002F3E43" w:rsidRPr="00545EC0">
        <w:noBreakHyphen/>
      </w:r>
      <w:r w:rsidR="002F3E43">
        <w:t>2</w:t>
      </w:r>
      <w:r w:rsidR="002577CA" w:rsidRPr="00545EC0">
        <w:rPr>
          <w:rFonts w:cs="Arial"/>
        </w:rPr>
        <w:fldChar w:fldCharType="end"/>
      </w:r>
      <w:r w:rsidR="002577CA" w:rsidRPr="00545EC0">
        <w:rPr>
          <w:rFonts w:cs="Arial"/>
        </w:rPr>
        <w:t>)</w:t>
      </w:r>
      <w:r w:rsidRPr="00545EC0">
        <w:rPr>
          <w:rFonts w:cs="Arial"/>
        </w:rPr>
        <w:t>. Vzorčenje rib je bilo izvedeno v vodotokih hidroekoregije Alpe in Panonska nižina, v vodotokih tipa velike reke in v nekaj vodotokih hidroekoregij Padska nižina in Dinaridi. Razvoj m</w:t>
      </w:r>
      <w:r w:rsidRPr="00545EC0">
        <w:rPr>
          <w:rFonts w:cs="Arial"/>
          <w:bCs/>
          <w:szCs w:val="20"/>
        </w:rPr>
        <w:t xml:space="preserve">etodologije vrednotenja ekološkega stanja vodotokov v hidroekoregijah Padska nižina in Dinaridi na podlagi rib ter metodologija vrednotenja ekološkega stanja velikih rek na podlagi rib poteka po fazah in </w:t>
      </w:r>
      <w:r w:rsidR="002577CA" w:rsidRPr="00545EC0">
        <w:rPr>
          <w:rFonts w:cs="Arial"/>
          <w:bCs/>
          <w:szCs w:val="20"/>
        </w:rPr>
        <w:t>je</w:t>
      </w:r>
      <w:r w:rsidRPr="00545EC0">
        <w:rPr>
          <w:rFonts w:cs="Arial"/>
          <w:bCs/>
          <w:szCs w:val="20"/>
        </w:rPr>
        <w:t xml:space="preserve"> še predmet razvoja v okviru strokovnih podlag.</w:t>
      </w:r>
    </w:p>
    <w:p w14:paraId="01BE1182" w14:textId="77777777" w:rsidR="005C28AE" w:rsidRPr="00545EC0" w:rsidRDefault="005C28AE" w:rsidP="00581CEA"/>
    <w:p w14:paraId="20F8AC2F" w14:textId="49DEC738" w:rsidR="00AA23DA" w:rsidRPr="00545EC0" w:rsidRDefault="00AA23DA" w:rsidP="00581CEA">
      <w:pPr>
        <w:pStyle w:val="Napis"/>
        <w:spacing w:after="60"/>
      </w:pPr>
      <w:bookmarkStart w:id="480" w:name="_Ref75167357"/>
      <w:bookmarkStart w:id="481" w:name="_Toc75179901"/>
      <w:bookmarkStart w:id="482" w:name="_Toc75762745"/>
      <w:r w:rsidRPr="00545EC0">
        <w:t>Preglednica</w:t>
      </w:r>
      <w:r w:rsidR="00E55593" w:rsidRPr="00545EC0">
        <w:t xml:space="preserve"> </w:t>
      </w:r>
      <w:fldSimple w:instr=" STYLEREF 1 \s ">
        <w:r w:rsidR="002F3E43">
          <w:rPr>
            <w:noProof/>
          </w:rPr>
          <w:t>3</w:t>
        </w:r>
      </w:fldSimple>
      <w:r w:rsidR="001A7511" w:rsidRPr="00545EC0">
        <w:noBreakHyphen/>
      </w:r>
      <w:fldSimple w:instr=" SEQ Preglednica \* ARABIC \s 1 ">
        <w:r w:rsidR="002F3E43">
          <w:rPr>
            <w:noProof/>
          </w:rPr>
          <w:t>3</w:t>
        </w:r>
      </w:fldSimple>
      <w:bookmarkEnd w:id="480"/>
      <w:r w:rsidRPr="00545EC0">
        <w:t>: Biološki elementi kakovosti ekološkega stanja, ki so najbolj občutljivi na posamezno obremenitev</w:t>
      </w:r>
      <w:bookmarkEnd w:id="481"/>
      <w:bookmarkEnd w:id="4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3"/>
        <w:gridCol w:w="2556"/>
        <w:gridCol w:w="3538"/>
      </w:tblGrid>
      <w:tr w:rsidR="003122F4" w:rsidRPr="00545EC0" w14:paraId="10598A04" w14:textId="77777777" w:rsidTr="00E55593">
        <w:trPr>
          <w:cantSplit/>
          <w:tblHeader/>
        </w:trPr>
        <w:tc>
          <w:tcPr>
            <w:tcW w:w="1719" w:type="pct"/>
            <w:shd w:val="clear" w:color="auto" w:fill="E7E6E6"/>
            <w:vAlign w:val="center"/>
          </w:tcPr>
          <w:p w14:paraId="7EF246FC" w14:textId="77777777" w:rsidR="00AA23DA" w:rsidRPr="00545EC0" w:rsidRDefault="00AA23DA" w:rsidP="00502B66">
            <w:pPr>
              <w:pStyle w:val="Default"/>
              <w:rPr>
                <w:rFonts w:ascii="Arial" w:hAnsi="Arial" w:cs="Arial"/>
                <w:b/>
                <w:color w:val="auto"/>
                <w:sz w:val="18"/>
                <w:szCs w:val="20"/>
              </w:rPr>
            </w:pPr>
            <w:r w:rsidRPr="00545EC0">
              <w:rPr>
                <w:rFonts w:ascii="Arial" w:hAnsi="Arial" w:cs="Arial"/>
                <w:b/>
                <w:color w:val="auto"/>
                <w:sz w:val="18"/>
                <w:szCs w:val="20"/>
              </w:rPr>
              <w:t>Vrsta obremenitve</w:t>
            </w:r>
          </w:p>
        </w:tc>
        <w:tc>
          <w:tcPr>
            <w:tcW w:w="1376" w:type="pct"/>
            <w:shd w:val="clear" w:color="auto" w:fill="E7E6E6"/>
            <w:vAlign w:val="center"/>
          </w:tcPr>
          <w:p w14:paraId="2F9A2F6D" w14:textId="77777777" w:rsidR="00AA23DA" w:rsidRPr="00545EC0" w:rsidRDefault="00AA23DA" w:rsidP="00502B66">
            <w:pPr>
              <w:pStyle w:val="Default"/>
              <w:ind w:firstLine="49"/>
              <w:rPr>
                <w:rFonts w:ascii="Arial" w:hAnsi="Arial" w:cs="Arial"/>
                <w:b/>
                <w:color w:val="auto"/>
                <w:sz w:val="18"/>
                <w:szCs w:val="20"/>
              </w:rPr>
            </w:pPr>
            <w:r w:rsidRPr="00545EC0">
              <w:rPr>
                <w:rFonts w:ascii="Arial" w:hAnsi="Arial" w:cs="Arial"/>
                <w:b/>
                <w:color w:val="auto"/>
                <w:sz w:val="18"/>
                <w:szCs w:val="20"/>
              </w:rPr>
              <w:t>Element kakovosti</w:t>
            </w:r>
          </w:p>
        </w:tc>
        <w:tc>
          <w:tcPr>
            <w:tcW w:w="1905" w:type="pct"/>
            <w:shd w:val="clear" w:color="auto" w:fill="E7E6E6"/>
            <w:vAlign w:val="center"/>
          </w:tcPr>
          <w:p w14:paraId="491A486E" w14:textId="77777777" w:rsidR="00AA23DA" w:rsidRPr="00545EC0" w:rsidRDefault="00AA23DA" w:rsidP="00502B66">
            <w:pPr>
              <w:pStyle w:val="Default"/>
              <w:rPr>
                <w:rFonts w:ascii="Arial" w:hAnsi="Arial" w:cs="Arial"/>
                <w:b/>
                <w:color w:val="auto"/>
                <w:sz w:val="18"/>
                <w:szCs w:val="20"/>
              </w:rPr>
            </w:pPr>
            <w:r w:rsidRPr="00545EC0">
              <w:rPr>
                <w:rFonts w:ascii="Arial" w:hAnsi="Arial" w:cs="Arial"/>
                <w:b/>
                <w:color w:val="auto"/>
                <w:sz w:val="18"/>
                <w:szCs w:val="20"/>
              </w:rPr>
              <w:t>Parameter / metrika</w:t>
            </w:r>
          </w:p>
        </w:tc>
      </w:tr>
      <w:tr w:rsidR="003122F4" w:rsidRPr="00545EC0" w14:paraId="51C11802" w14:textId="77777777" w:rsidTr="00E55593">
        <w:tc>
          <w:tcPr>
            <w:tcW w:w="5000" w:type="pct"/>
            <w:gridSpan w:val="3"/>
            <w:shd w:val="clear" w:color="auto" w:fill="auto"/>
            <w:vAlign w:val="center"/>
          </w:tcPr>
          <w:p w14:paraId="56107E10" w14:textId="77777777" w:rsidR="00AA23DA" w:rsidRPr="00545EC0" w:rsidRDefault="00AA23DA" w:rsidP="00502B66">
            <w:pPr>
              <w:pStyle w:val="Default"/>
              <w:rPr>
                <w:rFonts w:ascii="Arial" w:hAnsi="Arial" w:cs="Arial"/>
                <w:b/>
                <w:color w:val="auto"/>
                <w:sz w:val="18"/>
                <w:szCs w:val="20"/>
              </w:rPr>
            </w:pPr>
            <w:r w:rsidRPr="00545EC0">
              <w:rPr>
                <w:rFonts w:ascii="Arial" w:hAnsi="Arial" w:cs="Arial"/>
                <w:b/>
                <w:color w:val="auto"/>
                <w:sz w:val="18"/>
                <w:szCs w:val="20"/>
              </w:rPr>
              <w:t>Reke</w:t>
            </w:r>
          </w:p>
        </w:tc>
      </w:tr>
      <w:tr w:rsidR="003122F4" w:rsidRPr="00545EC0" w14:paraId="5594DCB0" w14:textId="77777777" w:rsidTr="00E55593">
        <w:trPr>
          <w:trHeight w:val="510"/>
        </w:trPr>
        <w:tc>
          <w:tcPr>
            <w:tcW w:w="1719" w:type="pct"/>
            <w:shd w:val="clear" w:color="auto" w:fill="auto"/>
            <w:vAlign w:val="center"/>
          </w:tcPr>
          <w:p w14:paraId="77C2E9A7" w14:textId="77777777" w:rsidR="00AA23DA" w:rsidRPr="00545EC0" w:rsidRDefault="00AA23DA" w:rsidP="00502B66">
            <w:pPr>
              <w:pStyle w:val="Default"/>
              <w:rPr>
                <w:rFonts w:ascii="Arial" w:hAnsi="Arial" w:cs="Arial"/>
                <w:color w:val="auto"/>
                <w:sz w:val="18"/>
                <w:szCs w:val="20"/>
              </w:rPr>
            </w:pPr>
            <w:r w:rsidRPr="00545EC0">
              <w:rPr>
                <w:rFonts w:ascii="Arial" w:hAnsi="Arial" w:cs="Arial"/>
                <w:color w:val="auto"/>
                <w:sz w:val="18"/>
                <w:szCs w:val="20"/>
              </w:rPr>
              <w:t>obremenitev s hranili</w:t>
            </w:r>
          </w:p>
        </w:tc>
        <w:tc>
          <w:tcPr>
            <w:tcW w:w="1376" w:type="pct"/>
            <w:shd w:val="clear" w:color="auto" w:fill="auto"/>
            <w:vAlign w:val="center"/>
          </w:tcPr>
          <w:p w14:paraId="0B8A9F36" w14:textId="77777777" w:rsidR="00AA23DA" w:rsidRPr="00545EC0" w:rsidRDefault="00AA23DA" w:rsidP="00502B66">
            <w:pPr>
              <w:pStyle w:val="Default"/>
              <w:rPr>
                <w:rFonts w:ascii="Arial" w:hAnsi="Arial" w:cs="Arial"/>
                <w:color w:val="auto"/>
                <w:sz w:val="18"/>
                <w:szCs w:val="20"/>
              </w:rPr>
            </w:pPr>
            <w:r w:rsidRPr="00545EC0">
              <w:rPr>
                <w:rFonts w:ascii="Arial" w:hAnsi="Arial" w:cs="Arial"/>
                <w:color w:val="auto"/>
                <w:sz w:val="18"/>
                <w:szCs w:val="20"/>
              </w:rPr>
              <w:t>fitobentos in makrofiti</w:t>
            </w:r>
          </w:p>
        </w:tc>
        <w:tc>
          <w:tcPr>
            <w:tcW w:w="1905" w:type="pct"/>
            <w:shd w:val="clear" w:color="auto" w:fill="auto"/>
            <w:vAlign w:val="center"/>
          </w:tcPr>
          <w:p w14:paraId="600A918A" w14:textId="77777777" w:rsidR="00AA23DA" w:rsidRPr="00545EC0" w:rsidRDefault="00AA23DA" w:rsidP="00502B66">
            <w:pPr>
              <w:pStyle w:val="Default"/>
              <w:rPr>
                <w:rFonts w:ascii="Arial" w:hAnsi="Arial" w:cs="Arial"/>
                <w:color w:val="auto"/>
                <w:sz w:val="18"/>
                <w:szCs w:val="20"/>
              </w:rPr>
            </w:pPr>
            <w:r w:rsidRPr="00545EC0">
              <w:rPr>
                <w:rFonts w:ascii="Arial" w:hAnsi="Arial" w:cs="Arial"/>
                <w:color w:val="auto"/>
                <w:sz w:val="18"/>
                <w:szCs w:val="20"/>
              </w:rPr>
              <w:t>Trofični indeks (TI)</w:t>
            </w:r>
          </w:p>
          <w:p w14:paraId="107E3A72" w14:textId="77777777" w:rsidR="00AA23DA" w:rsidRPr="00545EC0" w:rsidRDefault="00AA23DA" w:rsidP="0063783E">
            <w:pPr>
              <w:pStyle w:val="Default"/>
              <w:rPr>
                <w:rFonts w:ascii="Arial" w:hAnsi="Arial" w:cs="Arial"/>
                <w:color w:val="auto"/>
                <w:sz w:val="18"/>
                <w:szCs w:val="20"/>
              </w:rPr>
            </w:pPr>
            <w:r w:rsidRPr="00545EC0">
              <w:rPr>
                <w:rFonts w:ascii="Arial" w:hAnsi="Arial" w:cs="Arial"/>
                <w:color w:val="auto"/>
                <w:sz w:val="18"/>
                <w:szCs w:val="20"/>
              </w:rPr>
              <w:t>Indeks rečnih makrofitov (RMI)</w:t>
            </w:r>
          </w:p>
        </w:tc>
      </w:tr>
      <w:tr w:rsidR="003122F4" w:rsidRPr="00545EC0" w14:paraId="3080EFB2" w14:textId="77777777" w:rsidTr="00E55593">
        <w:trPr>
          <w:trHeight w:val="510"/>
        </w:trPr>
        <w:tc>
          <w:tcPr>
            <w:tcW w:w="1719" w:type="pct"/>
            <w:shd w:val="clear" w:color="auto" w:fill="auto"/>
            <w:vAlign w:val="center"/>
          </w:tcPr>
          <w:p w14:paraId="4AE32B65" w14:textId="77777777" w:rsidR="00AA23DA" w:rsidRPr="00545EC0" w:rsidRDefault="00AA23DA" w:rsidP="00502B66">
            <w:pPr>
              <w:pStyle w:val="Default"/>
              <w:rPr>
                <w:rFonts w:ascii="Arial" w:hAnsi="Arial" w:cs="Arial"/>
                <w:color w:val="auto"/>
                <w:sz w:val="18"/>
                <w:szCs w:val="20"/>
              </w:rPr>
            </w:pPr>
            <w:r w:rsidRPr="00545EC0">
              <w:rPr>
                <w:rFonts w:ascii="Arial" w:hAnsi="Arial" w:cs="Arial"/>
                <w:color w:val="auto"/>
                <w:sz w:val="18"/>
                <w:szCs w:val="20"/>
              </w:rPr>
              <w:t>organska obremenitev</w:t>
            </w:r>
          </w:p>
        </w:tc>
        <w:tc>
          <w:tcPr>
            <w:tcW w:w="1376" w:type="pct"/>
            <w:shd w:val="clear" w:color="auto" w:fill="auto"/>
            <w:vAlign w:val="center"/>
          </w:tcPr>
          <w:p w14:paraId="0804AB45" w14:textId="77777777" w:rsidR="00AA23DA" w:rsidRPr="00545EC0" w:rsidRDefault="00AA23DA" w:rsidP="00502B66">
            <w:pPr>
              <w:pStyle w:val="Default"/>
              <w:rPr>
                <w:rFonts w:ascii="Arial" w:hAnsi="Arial" w:cs="Arial"/>
                <w:color w:val="auto"/>
                <w:sz w:val="18"/>
                <w:szCs w:val="20"/>
              </w:rPr>
            </w:pPr>
            <w:r w:rsidRPr="00545EC0">
              <w:rPr>
                <w:rFonts w:ascii="Arial" w:hAnsi="Arial" w:cs="Arial"/>
                <w:color w:val="auto"/>
                <w:sz w:val="18"/>
                <w:szCs w:val="20"/>
              </w:rPr>
              <w:t>bentoški nevretenčarji</w:t>
            </w:r>
          </w:p>
        </w:tc>
        <w:tc>
          <w:tcPr>
            <w:tcW w:w="1905" w:type="pct"/>
            <w:shd w:val="clear" w:color="auto" w:fill="auto"/>
            <w:vAlign w:val="center"/>
          </w:tcPr>
          <w:p w14:paraId="362B26EC" w14:textId="77777777" w:rsidR="00AA23DA" w:rsidRPr="00545EC0" w:rsidRDefault="00AA23DA" w:rsidP="00502B66">
            <w:pPr>
              <w:pStyle w:val="Default"/>
              <w:rPr>
                <w:rFonts w:ascii="Arial" w:hAnsi="Arial" w:cs="Arial"/>
                <w:color w:val="auto"/>
                <w:sz w:val="18"/>
                <w:szCs w:val="20"/>
              </w:rPr>
            </w:pPr>
            <w:r w:rsidRPr="00545EC0">
              <w:rPr>
                <w:rFonts w:ascii="Arial" w:hAnsi="Arial" w:cs="Arial"/>
                <w:color w:val="auto"/>
                <w:sz w:val="18"/>
                <w:szCs w:val="20"/>
              </w:rPr>
              <w:t>Slovenska verzija saprobnega indeksa (SIG3)</w:t>
            </w:r>
          </w:p>
        </w:tc>
      </w:tr>
      <w:tr w:rsidR="003122F4" w:rsidRPr="00545EC0" w14:paraId="62A7D67F" w14:textId="77777777" w:rsidTr="00E55593">
        <w:trPr>
          <w:trHeight w:val="964"/>
        </w:trPr>
        <w:tc>
          <w:tcPr>
            <w:tcW w:w="1719" w:type="pct"/>
            <w:shd w:val="clear" w:color="auto" w:fill="auto"/>
            <w:vAlign w:val="center"/>
          </w:tcPr>
          <w:p w14:paraId="5D784FD6" w14:textId="77777777" w:rsidR="00AA23DA" w:rsidRPr="00545EC0" w:rsidRDefault="00AA23DA" w:rsidP="00502B66">
            <w:pPr>
              <w:pStyle w:val="Default"/>
              <w:rPr>
                <w:rFonts w:ascii="Arial" w:hAnsi="Arial" w:cs="Arial"/>
                <w:color w:val="auto"/>
                <w:sz w:val="18"/>
                <w:szCs w:val="20"/>
              </w:rPr>
            </w:pPr>
            <w:r w:rsidRPr="00545EC0">
              <w:rPr>
                <w:rFonts w:ascii="Arial" w:hAnsi="Arial" w:cs="Arial"/>
                <w:color w:val="auto"/>
                <w:sz w:val="18"/>
                <w:szCs w:val="20"/>
              </w:rPr>
              <w:t>hidromorfološka spremenjenost</w:t>
            </w:r>
          </w:p>
        </w:tc>
        <w:tc>
          <w:tcPr>
            <w:tcW w:w="1376" w:type="pct"/>
            <w:shd w:val="clear" w:color="auto" w:fill="auto"/>
            <w:vAlign w:val="center"/>
          </w:tcPr>
          <w:p w14:paraId="6B9BAC37" w14:textId="77777777" w:rsidR="00AA23DA" w:rsidRPr="00545EC0" w:rsidRDefault="00AA23DA" w:rsidP="00502B66">
            <w:pPr>
              <w:pStyle w:val="Default"/>
              <w:rPr>
                <w:rFonts w:ascii="Arial" w:hAnsi="Arial" w:cs="Arial"/>
                <w:color w:val="auto"/>
                <w:sz w:val="18"/>
                <w:szCs w:val="20"/>
              </w:rPr>
            </w:pPr>
            <w:r w:rsidRPr="00545EC0">
              <w:rPr>
                <w:rFonts w:ascii="Arial" w:hAnsi="Arial" w:cs="Arial"/>
                <w:color w:val="auto"/>
                <w:sz w:val="18"/>
                <w:szCs w:val="20"/>
              </w:rPr>
              <w:t>bentoški nevretenčarji</w:t>
            </w:r>
          </w:p>
        </w:tc>
        <w:tc>
          <w:tcPr>
            <w:tcW w:w="1905" w:type="pct"/>
            <w:shd w:val="clear" w:color="auto" w:fill="auto"/>
            <w:vAlign w:val="center"/>
          </w:tcPr>
          <w:p w14:paraId="4E2AB443" w14:textId="77777777" w:rsidR="00AA23DA" w:rsidRPr="00545EC0" w:rsidRDefault="00AA23DA" w:rsidP="00502B66">
            <w:pPr>
              <w:pStyle w:val="Default"/>
              <w:rPr>
                <w:rFonts w:ascii="Arial" w:hAnsi="Arial" w:cs="Arial"/>
                <w:color w:val="auto"/>
                <w:sz w:val="18"/>
                <w:szCs w:val="20"/>
              </w:rPr>
            </w:pPr>
            <w:r w:rsidRPr="00545EC0">
              <w:rPr>
                <w:rFonts w:ascii="Arial" w:hAnsi="Arial" w:cs="Arial"/>
                <w:color w:val="auto"/>
                <w:sz w:val="18"/>
                <w:szCs w:val="20"/>
              </w:rPr>
              <w:t>Slovenski multimetrijski indeks</w:t>
            </w:r>
          </w:p>
          <w:p w14:paraId="575258F6" w14:textId="77777777" w:rsidR="00AA23DA" w:rsidRPr="00545EC0" w:rsidRDefault="00AA23DA" w:rsidP="0063783E">
            <w:pPr>
              <w:pStyle w:val="Default"/>
              <w:rPr>
                <w:rFonts w:ascii="Arial" w:hAnsi="Arial" w:cs="Arial"/>
                <w:color w:val="auto"/>
                <w:sz w:val="18"/>
                <w:szCs w:val="20"/>
              </w:rPr>
            </w:pPr>
            <w:r w:rsidRPr="00545EC0">
              <w:rPr>
                <w:rFonts w:ascii="Arial" w:hAnsi="Arial" w:cs="Arial"/>
                <w:color w:val="auto"/>
                <w:sz w:val="18"/>
                <w:szCs w:val="20"/>
              </w:rPr>
              <w:t>vpliva hidromorfološke spremenjenosti/splošne</w:t>
            </w:r>
          </w:p>
          <w:p w14:paraId="0D2BC16B" w14:textId="77777777" w:rsidR="00AA23DA" w:rsidRPr="00545EC0" w:rsidRDefault="00AA23DA" w:rsidP="005C28AE">
            <w:pPr>
              <w:pStyle w:val="Default"/>
              <w:rPr>
                <w:rFonts w:ascii="Arial" w:hAnsi="Arial" w:cs="Arial"/>
                <w:color w:val="auto"/>
                <w:sz w:val="18"/>
                <w:szCs w:val="20"/>
              </w:rPr>
            </w:pPr>
            <w:r w:rsidRPr="00545EC0">
              <w:rPr>
                <w:rFonts w:ascii="Arial" w:hAnsi="Arial" w:cs="Arial"/>
                <w:color w:val="auto"/>
                <w:sz w:val="18"/>
                <w:szCs w:val="20"/>
              </w:rPr>
              <w:t xml:space="preserve">degradiranosti (SMEIH) </w:t>
            </w:r>
          </w:p>
        </w:tc>
      </w:tr>
      <w:tr w:rsidR="003122F4" w:rsidRPr="00545EC0" w14:paraId="3F0830E8" w14:textId="77777777" w:rsidTr="00E55593">
        <w:tc>
          <w:tcPr>
            <w:tcW w:w="5000" w:type="pct"/>
            <w:gridSpan w:val="3"/>
            <w:shd w:val="clear" w:color="auto" w:fill="auto"/>
            <w:vAlign w:val="center"/>
          </w:tcPr>
          <w:p w14:paraId="5BDCC1EB" w14:textId="77777777" w:rsidR="00AA23DA" w:rsidRPr="00545EC0" w:rsidRDefault="00AA23DA" w:rsidP="00502B66">
            <w:pPr>
              <w:pStyle w:val="Default"/>
              <w:rPr>
                <w:rFonts w:ascii="Arial" w:hAnsi="Arial" w:cs="Arial"/>
                <w:b/>
                <w:color w:val="auto"/>
                <w:sz w:val="18"/>
                <w:szCs w:val="20"/>
              </w:rPr>
            </w:pPr>
            <w:r w:rsidRPr="00545EC0">
              <w:rPr>
                <w:rFonts w:ascii="Arial" w:hAnsi="Arial" w:cs="Arial"/>
                <w:b/>
                <w:color w:val="auto"/>
                <w:sz w:val="18"/>
                <w:szCs w:val="20"/>
              </w:rPr>
              <w:t>Jezera</w:t>
            </w:r>
          </w:p>
        </w:tc>
      </w:tr>
      <w:tr w:rsidR="003122F4" w:rsidRPr="00545EC0" w14:paraId="06F3CDA2" w14:textId="77777777" w:rsidTr="00E55593">
        <w:trPr>
          <w:trHeight w:val="510"/>
        </w:trPr>
        <w:tc>
          <w:tcPr>
            <w:tcW w:w="1719" w:type="pct"/>
            <w:shd w:val="clear" w:color="auto" w:fill="auto"/>
            <w:vAlign w:val="center"/>
          </w:tcPr>
          <w:p w14:paraId="38491AA2" w14:textId="77777777" w:rsidR="00AA23DA" w:rsidRPr="00545EC0" w:rsidRDefault="00AA23DA" w:rsidP="00502B66">
            <w:pPr>
              <w:pStyle w:val="Default"/>
              <w:rPr>
                <w:rFonts w:ascii="Arial" w:hAnsi="Arial" w:cs="Arial"/>
                <w:color w:val="auto"/>
                <w:sz w:val="18"/>
                <w:szCs w:val="20"/>
              </w:rPr>
            </w:pPr>
            <w:r w:rsidRPr="00545EC0">
              <w:rPr>
                <w:rFonts w:ascii="Arial" w:hAnsi="Arial" w:cs="Arial"/>
                <w:color w:val="auto"/>
                <w:sz w:val="18"/>
                <w:szCs w:val="20"/>
              </w:rPr>
              <w:t xml:space="preserve">obremenitev s hranili </w:t>
            </w:r>
          </w:p>
        </w:tc>
        <w:tc>
          <w:tcPr>
            <w:tcW w:w="1376" w:type="pct"/>
            <w:shd w:val="clear" w:color="auto" w:fill="auto"/>
            <w:vAlign w:val="center"/>
          </w:tcPr>
          <w:p w14:paraId="678F9756" w14:textId="77777777" w:rsidR="00AA23DA" w:rsidRPr="00545EC0" w:rsidRDefault="00AA23DA" w:rsidP="00502B66">
            <w:pPr>
              <w:pStyle w:val="Default"/>
              <w:rPr>
                <w:rFonts w:ascii="Arial" w:hAnsi="Arial" w:cs="Arial"/>
                <w:color w:val="auto"/>
                <w:sz w:val="18"/>
                <w:szCs w:val="20"/>
              </w:rPr>
            </w:pPr>
            <w:r w:rsidRPr="00545EC0">
              <w:rPr>
                <w:rFonts w:ascii="Arial" w:hAnsi="Arial" w:cs="Arial"/>
                <w:color w:val="auto"/>
                <w:sz w:val="18"/>
                <w:szCs w:val="20"/>
              </w:rPr>
              <w:t>fitoplankton</w:t>
            </w:r>
          </w:p>
        </w:tc>
        <w:tc>
          <w:tcPr>
            <w:tcW w:w="1905" w:type="pct"/>
            <w:shd w:val="clear" w:color="auto" w:fill="auto"/>
            <w:vAlign w:val="center"/>
          </w:tcPr>
          <w:p w14:paraId="0AAD99F5" w14:textId="77777777" w:rsidR="00AA23DA" w:rsidRPr="00545EC0" w:rsidRDefault="00AA23DA" w:rsidP="00502B66">
            <w:pPr>
              <w:pStyle w:val="Default"/>
              <w:rPr>
                <w:rFonts w:ascii="Arial" w:hAnsi="Arial" w:cs="Arial"/>
                <w:color w:val="auto"/>
                <w:sz w:val="18"/>
                <w:szCs w:val="20"/>
              </w:rPr>
            </w:pPr>
            <w:r w:rsidRPr="00545EC0">
              <w:rPr>
                <w:rFonts w:ascii="Arial" w:hAnsi="Arial" w:cs="Arial"/>
                <w:color w:val="auto"/>
                <w:sz w:val="18"/>
                <w:szCs w:val="20"/>
              </w:rPr>
              <w:t>Multimetrijski indeks fitoplanktona</w:t>
            </w:r>
          </w:p>
          <w:p w14:paraId="40F80C11" w14:textId="77777777" w:rsidR="00AA23DA" w:rsidRPr="00545EC0" w:rsidRDefault="00AA23DA" w:rsidP="0063783E">
            <w:pPr>
              <w:pStyle w:val="Default"/>
              <w:rPr>
                <w:rFonts w:ascii="Arial" w:hAnsi="Arial" w:cs="Arial"/>
                <w:color w:val="auto"/>
                <w:sz w:val="18"/>
                <w:szCs w:val="20"/>
              </w:rPr>
            </w:pPr>
            <w:r w:rsidRPr="00545EC0">
              <w:rPr>
                <w:rFonts w:ascii="Arial" w:hAnsi="Arial" w:cs="Arial"/>
                <w:color w:val="auto"/>
                <w:sz w:val="18"/>
                <w:szCs w:val="20"/>
              </w:rPr>
              <w:t>(MMI_FPL)</w:t>
            </w:r>
          </w:p>
        </w:tc>
      </w:tr>
      <w:tr w:rsidR="00AA23DA" w:rsidRPr="00545EC0" w14:paraId="47E6C9DC" w14:textId="77777777" w:rsidTr="00E55593">
        <w:trPr>
          <w:trHeight w:val="510"/>
        </w:trPr>
        <w:tc>
          <w:tcPr>
            <w:tcW w:w="1719" w:type="pct"/>
            <w:shd w:val="clear" w:color="auto" w:fill="auto"/>
            <w:vAlign w:val="center"/>
          </w:tcPr>
          <w:p w14:paraId="08240536" w14:textId="77777777" w:rsidR="00AA23DA" w:rsidRPr="00545EC0" w:rsidRDefault="00AA23DA" w:rsidP="00502B66">
            <w:pPr>
              <w:pStyle w:val="Default"/>
              <w:rPr>
                <w:rFonts w:ascii="Arial" w:hAnsi="Arial" w:cs="Arial"/>
                <w:color w:val="auto"/>
                <w:sz w:val="18"/>
                <w:szCs w:val="20"/>
              </w:rPr>
            </w:pPr>
            <w:r w:rsidRPr="00545EC0">
              <w:rPr>
                <w:rFonts w:ascii="Arial" w:hAnsi="Arial" w:cs="Arial"/>
                <w:color w:val="auto"/>
                <w:sz w:val="18"/>
                <w:szCs w:val="20"/>
              </w:rPr>
              <w:t>hidromorfološka spremenjenost</w:t>
            </w:r>
          </w:p>
        </w:tc>
        <w:tc>
          <w:tcPr>
            <w:tcW w:w="1376" w:type="pct"/>
            <w:shd w:val="clear" w:color="auto" w:fill="auto"/>
            <w:vAlign w:val="center"/>
          </w:tcPr>
          <w:p w14:paraId="68E89E14" w14:textId="77777777" w:rsidR="00AA23DA" w:rsidRPr="00545EC0" w:rsidRDefault="00AA23DA" w:rsidP="00502B66">
            <w:pPr>
              <w:pStyle w:val="Default"/>
              <w:rPr>
                <w:rFonts w:ascii="Arial" w:hAnsi="Arial" w:cs="Arial"/>
                <w:color w:val="auto"/>
                <w:sz w:val="18"/>
                <w:szCs w:val="20"/>
              </w:rPr>
            </w:pPr>
            <w:r w:rsidRPr="00545EC0">
              <w:rPr>
                <w:rFonts w:ascii="Arial" w:hAnsi="Arial" w:cs="Arial"/>
                <w:color w:val="auto"/>
                <w:sz w:val="18"/>
                <w:szCs w:val="20"/>
              </w:rPr>
              <w:t>bentoški nevretenčarji</w:t>
            </w:r>
          </w:p>
        </w:tc>
        <w:tc>
          <w:tcPr>
            <w:tcW w:w="1905" w:type="pct"/>
            <w:shd w:val="clear" w:color="auto" w:fill="auto"/>
            <w:vAlign w:val="center"/>
          </w:tcPr>
          <w:p w14:paraId="3F0542F7" w14:textId="77777777" w:rsidR="00AA23DA" w:rsidRPr="00545EC0" w:rsidRDefault="00AA23DA" w:rsidP="00502B66">
            <w:pPr>
              <w:pStyle w:val="Default"/>
              <w:rPr>
                <w:rFonts w:ascii="Arial" w:hAnsi="Arial" w:cs="Arial"/>
                <w:color w:val="auto"/>
                <w:sz w:val="18"/>
                <w:szCs w:val="20"/>
              </w:rPr>
            </w:pPr>
            <w:r w:rsidRPr="00545EC0">
              <w:rPr>
                <w:rFonts w:ascii="Arial" w:hAnsi="Arial" w:cs="Arial"/>
                <w:color w:val="auto"/>
                <w:sz w:val="18"/>
                <w:szCs w:val="20"/>
              </w:rPr>
              <w:t>Indeks bentoških nevretenčarjev litorala jezer (LBI)</w:t>
            </w:r>
          </w:p>
        </w:tc>
      </w:tr>
    </w:tbl>
    <w:p w14:paraId="0D4940EF" w14:textId="77777777" w:rsidR="00502B66" w:rsidRPr="00545EC0" w:rsidRDefault="00502B66" w:rsidP="00581CEA">
      <w:pPr>
        <w:spacing w:after="120"/>
        <w:rPr>
          <w:rFonts w:cs="Arial"/>
        </w:rPr>
      </w:pPr>
    </w:p>
    <w:p w14:paraId="706D02A7" w14:textId="77777777" w:rsidR="00502B66" w:rsidRPr="004168CD" w:rsidRDefault="00502B66" w:rsidP="00502B66">
      <w:pPr>
        <w:spacing w:after="240"/>
        <w:rPr>
          <w:rFonts w:cs="Arial"/>
          <w:u w:val="single"/>
        </w:rPr>
      </w:pPr>
      <w:r w:rsidRPr="004168CD">
        <w:rPr>
          <w:rFonts w:cs="Arial"/>
          <w:u w:val="single"/>
        </w:rPr>
        <w:t>Obrazložitev za izključitev nekaterih bioloških elementov kakovosti iz programa monitoringa za posamezne kategorije in tipe voda</w:t>
      </w:r>
    </w:p>
    <w:p w14:paraId="12D2E685" w14:textId="77777777" w:rsidR="00AA23DA" w:rsidRPr="00545EC0" w:rsidRDefault="00AA23DA" w:rsidP="00581CEA">
      <w:pPr>
        <w:spacing w:after="120"/>
        <w:rPr>
          <w:rFonts w:cs="Arial"/>
        </w:rPr>
      </w:pPr>
      <w:r w:rsidRPr="00545EC0">
        <w:rPr>
          <w:rFonts w:cs="Arial"/>
        </w:rPr>
        <w:t xml:space="preserve">Fitoplankton se v Sloveniji ne uporablja za vrednotenje ekološkega stanja vodotokov, saj na razvoj združbe fitoplanktona v rekah vplivajo tako prisotnost hranil kakor tudi hidrološke razmere. Vodotoki v Sloveniji v večjem delu predstavljajo povirne dele rek s precej velikimi hitrostmi rečnega toka, zadrževalni čas večjih rečnih akumulacij je v povprečju manjši od 24 ur. Iz navedenega sledi, da fitoplankton ni primeren za vrednotenje ekološkega stanja vodotokov na območju Slovenije. </w:t>
      </w:r>
    </w:p>
    <w:p w14:paraId="3FE22C59" w14:textId="77777777" w:rsidR="00AA23DA" w:rsidRPr="00545EC0" w:rsidRDefault="00AA23DA" w:rsidP="00581CEA">
      <w:pPr>
        <w:rPr>
          <w:rFonts w:cs="Arial"/>
        </w:rPr>
      </w:pPr>
      <w:r w:rsidRPr="00545EC0">
        <w:rPr>
          <w:rFonts w:cs="Arial"/>
        </w:rPr>
        <w:lastRenderedPageBreak/>
        <w:t>Podelement makrofiti (del elementa fitobentos in makrofiti) se uporablja za vrednotenje ekološkega stanja vodotokov v treh hidroekoregijah, in sicer Panonska nižina, Padska nižina in Dinaridi. V hidroekoregiji Alpe makrofiti zaradi naravnih značilnosti rek niso prisotni v vseh tipih rek oz. niso prisotni v dovolj velikem številu, da bi jih lahko uporabili za vrednotenje ekološkega stanja. Makrofite se na vodnem območju Donave spremlja na 14 (od skupaj 17) vzorčnih mestih nadzornega monitoringa. Do odstopanja prihaja zaradi upoštevanja ugotovitve strokovnjakov, da makrofiti niso primerni za vrednotenje ekološkega stanja voda v hidroekoregiji Alpe.</w:t>
      </w:r>
    </w:p>
    <w:p w14:paraId="1D8C076B" w14:textId="77749FCA" w:rsidR="00A909B0" w:rsidRPr="00545EC0" w:rsidRDefault="00A909B0" w:rsidP="00581CEA"/>
    <w:p w14:paraId="78BBD24B" w14:textId="5FF8D38E" w:rsidR="002577CA" w:rsidRPr="004168CD" w:rsidRDefault="002577CA" w:rsidP="00581CEA">
      <w:pPr>
        <w:rPr>
          <w:u w:val="single"/>
        </w:rPr>
      </w:pPr>
      <w:r w:rsidRPr="004168CD">
        <w:rPr>
          <w:u w:val="single"/>
        </w:rPr>
        <w:t>Pogostost vzorčenja in intervali monitoringa posameznih elementov kakovosti ekološkega stanja</w:t>
      </w:r>
    </w:p>
    <w:p w14:paraId="0BE15EA7" w14:textId="77777777" w:rsidR="002577CA" w:rsidRPr="00545EC0" w:rsidRDefault="002577CA" w:rsidP="00581CEA"/>
    <w:p w14:paraId="5CEE05A2" w14:textId="0AF9A3FC" w:rsidR="00AA23DA" w:rsidRPr="00545EC0" w:rsidRDefault="00A909B0" w:rsidP="00581CEA">
      <w:r w:rsidRPr="00545EC0">
        <w:t xml:space="preserve">Nadzorni monitoring se je izvajal na vodnih telesih v skladu s kriteriji, navedenimi v poglavju Nadzorni monitoring, najmanj 1-krat v obdobju 2014-2019. </w:t>
      </w:r>
      <w:r w:rsidR="00AA23DA" w:rsidRPr="00545EC0">
        <w:t xml:space="preserve">Operativni monitoring se je izvajal na vodnih telesih v skladu s kriteriji, navedenimi v poglavju Operativni monitoring, najmanj 2-krat v obdobju 2014-2019. </w:t>
      </w:r>
      <w:r w:rsidR="00AA23DA" w:rsidRPr="00545EC0">
        <w:rPr>
          <w:rFonts w:cs="Arial"/>
        </w:rPr>
        <w:t>Monitoring se je prenehal izvajati v primeru, da je bilo na podlagi rezultatov že izvedenega monitoringa ocenjeno dobro ekološko stanje</w:t>
      </w:r>
      <w:r w:rsidR="00AA23DA" w:rsidRPr="00545EC0">
        <w:t xml:space="preserve">. V operativni monitoring so bili vključeni vsaj tisti elementi kakovosti, ki so občutljivi na prepoznane obremenitve. Monitoring je bil načrtovan </w:t>
      </w:r>
      <w:r w:rsidRPr="00545EC0">
        <w:t>vsako tretje leto</w:t>
      </w:r>
      <w:r w:rsidR="00AA23DA" w:rsidRPr="00545EC0">
        <w:t>, na določenem delu vzorčnih mest pa je bil izveden z drugačnim razmikom, če zaradi hidroloških, meteoroloških ali drugih okoliščin vzorčenja v načrtovanih razmikih ni bilo mogoče izpeljati.</w:t>
      </w:r>
    </w:p>
    <w:p w14:paraId="20D097A9" w14:textId="77777777" w:rsidR="00D048F5" w:rsidRPr="00545EC0" w:rsidRDefault="00D048F5" w:rsidP="00581CEA"/>
    <w:p w14:paraId="325B0BEB" w14:textId="0CF05451" w:rsidR="00AA23DA" w:rsidRPr="00545EC0" w:rsidRDefault="00AA23DA" w:rsidP="00581CEA">
      <w:r w:rsidRPr="00545EC0">
        <w:t>Operativni monitoring fitoplanktona je v zadrževalnikih</w:t>
      </w:r>
      <w:r w:rsidR="00A909B0" w:rsidRPr="00545EC0">
        <w:t xml:space="preserve"> v kategoriji jezera</w:t>
      </w:r>
      <w:r w:rsidRPr="00545EC0">
        <w:t xml:space="preserve"> potekal v skladu s preglednico </w:t>
      </w:r>
      <w:r w:rsidR="009D621E" w:rsidRPr="00545EC0">
        <w:t>(</w:t>
      </w:r>
      <w:r w:rsidR="009D621E" w:rsidRPr="00545EC0">
        <w:fldChar w:fldCharType="begin"/>
      </w:r>
      <w:r w:rsidR="009D621E" w:rsidRPr="00545EC0">
        <w:instrText xml:space="preserve"> REF _Ref90253079 \h </w:instrText>
      </w:r>
      <w:r w:rsidR="00545EC0">
        <w:instrText xml:space="preserve"> \* MERGEFORMAT </w:instrText>
      </w:r>
      <w:r w:rsidR="009D621E" w:rsidRPr="00545EC0">
        <w:fldChar w:fldCharType="separate"/>
      </w:r>
      <w:r w:rsidR="002F3E43" w:rsidRPr="00545EC0">
        <w:t xml:space="preserve">Preglednica </w:t>
      </w:r>
      <w:r w:rsidR="002F3E43">
        <w:rPr>
          <w:noProof/>
        </w:rPr>
        <w:t>3</w:t>
      </w:r>
      <w:r w:rsidR="002F3E43" w:rsidRPr="00545EC0">
        <w:rPr>
          <w:noProof/>
        </w:rPr>
        <w:noBreakHyphen/>
      </w:r>
      <w:r w:rsidR="002F3E43">
        <w:rPr>
          <w:noProof/>
        </w:rPr>
        <w:t>4</w:t>
      </w:r>
      <w:r w:rsidR="009D621E" w:rsidRPr="00545EC0">
        <w:fldChar w:fldCharType="end"/>
      </w:r>
      <w:r w:rsidR="009D621E" w:rsidRPr="00545EC0">
        <w:t xml:space="preserve">) </w:t>
      </w:r>
      <w:r w:rsidRPr="00545EC0">
        <w:t xml:space="preserve">saj je obremenjevanje s hranili najpomembnejša obremenitev stoječih voda v Sloveniji. Monitoring fitobentosa, makrofitov in bentoških nevretenčarjev se je izvedel enkrat v obdobju, saj metodologij vrednotenja ekološkega stanja stoječih vodnih teles primerljivih ekoloških tipov ni, ker </w:t>
      </w:r>
      <w:r w:rsidR="00A909B0" w:rsidRPr="00545EC0">
        <w:t xml:space="preserve"> v </w:t>
      </w:r>
      <w:r w:rsidRPr="00545EC0">
        <w:t>hidroekoregijah Slovenije</w:t>
      </w:r>
      <w:r w:rsidR="00A909B0" w:rsidRPr="00545EC0">
        <w:t>, razen v hidroekoregiji A</w:t>
      </w:r>
      <w:r w:rsidR="009D621E" w:rsidRPr="00545EC0">
        <w:t>l</w:t>
      </w:r>
      <w:r w:rsidR="00A909B0" w:rsidRPr="00545EC0">
        <w:t>pe, ni</w:t>
      </w:r>
      <w:r w:rsidRPr="00545EC0">
        <w:t xml:space="preserve"> naravnih jezer. </w:t>
      </w:r>
    </w:p>
    <w:p w14:paraId="69E4F7B5" w14:textId="77777777" w:rsidR="00AA23DA" w:rsidRPr="00545EC0" w:rsidRDefault="00AA23DA" w:rsidP="00581CEA"/>
    <w:p w14:paraId="0FFFC395" w14:textId="54189E21" w:rsidR="00AA23DA" w:rsidRPr="00545EC0" w:rsidRDefault="00AA23DA" w:rsidP="00581CEA">
      <w:pPr>
        <w:rPr>
          <w:rFonts w:cs="Arial"/>
        </w:rPr>
      </w:pPr>
      <w:r w:rsidRPr="00545EC0">
        <w:rPr>
          <w:rFonts w:cs="Arial"/>
        </w:rPr>
        <w:t xml:space="preserve">V večini primerov je na enem vodnem telesu določeno eno vzorčno mesto. V primeru, da sta na enem vodnem telesu dve ali več vzorčnih mest se ocena ekološkega stanja določi tako, da se izračuna povprečje REK vrednosti (razmerje ekološke kakovosti) </w:t>
      </w:r>
      <w:r w:rsidR="00A909B0" w:rsidRPr="00545EC0">
        <w:rPr>
          <w:rFonts w:cs="Arial"/>
        </w:rPr>
        <w:t xml:space="preserve">vseh vzorčnih mest </w:t>
      </w:r>
      <w:r w:rsidRPr="00545EC0">
        <w:rPr>
          <w:rFonts w:cs="Arial"/>
        </w:rPr>
        <w:t xml:space="preserve">za posamezen biološki element kakovosti oz. povprečje obdobnih statistik </w:t>
      </w:r>
      <w:r w:rsidR="00A909B0" w:rsidRPr="00545EC0">
        <w:rPr>
          <w:rFonts w:cs="Arial"/>
        </w:rPr>
        <w:t xml:space="preserve">vseh vzorčnih mest </w:t>
      </w:r>
      <w:r w:rsidRPr="00545EC0">
        <w:rPr>
          <w:rFonts w:cs="Arial"/>
        </w:rPr>
        <w:t xml:space="preserve">za splošne fizikalno-kemijske elemente kakovosti. </w:t>
      </w:r>
    </w:p>
    <w:p w14:paraId="61FEE306" w14:textId="77777777" w:rsidR="00AA23DA" w:rsidRPr="00545EC0" w:rsidRDefault="00AA23DA" w:rsidP="00581CEA">
      <w:pPr>
        <w:rPr>
          <w:rFonts w:cs="Arial"/>
        </w:rPr>
      </w:pPr>
    </w:p>
    <w:p w14:paraId="5E682897" w14:textId="4D228409" w:rsidR="00AA23DA" w:rsidRPr="00545EC0" w:rsidRDefault="00AA23DA" w:rsidP="00581CEA">
      <w:pPr>
        <w:rPr>
          <w:rFonts w:cs="Arial"/>
        </w:rPr>
      </w:pPr>
      <w:r w:rsidRPr="00545EC0">
        <w:rPr>
          <w:rFonts w:cs="Arial"/>
        </w:rPr>
        <w:t xml:space="preserve">Metodologije za vrednotenje ekološkega stanja voda na podlagi bioloških elementov kakovosti za ekološke tipe, ki nimajo ustreznega interkalibracijskega tipa, so enake kot metodologije za ekološke tipe, ki imajo interkalibracijski tip in so bile vključene v postopek interkalibracije. Za ekološke tipe, ki jim ni bilo mogoče pripisati nobenega od interkalibracijskih tipov, se je mejne vrednosti med razredi ekološkega stanja za posamezne biološke elemente kakovosti določilo glede na </w:t>
      </w:r>
      <w:r w:rsidR="003D5574" w:rsidRPr="00545EC0">
        <w:rPr>
          <w:rFonts w:cs="Arial"/>
        </w:rPr>
        <w:t>interkalibrirane ekološke tipe.</w:t>
      </w:r>
    </w:p>
    <w:p w14:paraId="67D8D2D6" w14:textId="77777777" w:rsidR="002577CA" w:rsidRPr="00545EC0" w:rsidRDefault="002577CA" w:rsidP="00581CEA">
      <w:pPr>
        <w:rPr>
          <w:rFonts w:cs="Arial"/>
        </w:rPr>
      </w:pPr>
    </w:p>
    <w:p w14:paraId="6033B595" w14:textId="214A10E8" w:rsidR="002577CA" w:rsidRPr="00545EC0" w:rsidRDefault="002577CA" w:rsidP="002577CA">
      <w:r w:rsidRPr="00545EC0">
        <w:t>Pogostost vzorčenja in intervali monitoringa posameznih elementov kakovosti ekološkega stanja v okviru nadzornega in operativnega monitoringa so razvidni iz preglednice (</w:t>
      </w:r>
      <w:r w:rsidR="00DC4437" w:rsidRPr="00545EC0">
        <w:fldChar w:fldCharType="begin"/>
      </w:r>
      <w:r w:rsidR="00DC4437" w:rsidRPr="00545EC0">
        <w:instrText xml:space="preserve"> REF _Ref90253079 \h </w:instrText>
      </w:r>
      <w:r w:rsidR="00545EC0">
        <w:instrText xml:space="preserve"> \* MERGEFORMAT </w:instrText>
      </w:r>
      <w:r w:rsidR="00DC4437" w:rsidRPr="00545EC0">
        <w:fldChar w:fldCharType="separate"/>
      </w:r>
      <w:r w:rsidR="002F3E43" w:rsidRPr="00545EC0">
        <w:t xml:space="preserve">Preglednica </w:t>
      </w:r>
      <w:r w:rsidR="002F3E43">
        <w:rPr>
          <w:noProof/>
        </w:rPr>
        <w:t>3</w:t>
      </w:r>
      <w:r w:rsidR="002F3E43" w:rsidRPr="00545EC0">
        <w:rPr>
          <w:noProof/>
        </w:rPr>
        <w:noBreakHyphen/>
      </w:r>
      <w:r w:rsidR="002F3E43">
        <w:rPr>
          <w:noProof/>
        </w:rPr>
        <w:t>4</w:t>
      </w:r>
      <w:r w:rsidR="00DC4437" w:rsidRPr="00545EC0">
        <w:fldChar w:fldCharType="end"/>
      </w:r>
      <w:r w:rsidR="00CC181A">
        <w:rPr>
          <w:b/>
          <w:bCs/>
        </w:rPr>
        <w:t>).</w:t>
      </w:r>
    </w:p>
    <w:p w14:paraId="3AC9FF3A" w14:textId="77777777" w:rsidR="002577CA" w:rsidRPr="00545EC0" w:rsidRDefault="002577CA" w:rsidP="002577CA"/>
    <w:p w14:paraId="725135B3" w14:textId="21460C56" w:rsidR="002577CA" w:rsidRPr="00545EC0" w:rsidRDefault="002577CA" w:rsidP="002577CA">
      <w:bookmarkStart w:id="483" w:name="_Ref90253079"/>
      <w:r w:rsidRPr="00545EC0">
        <w:t xml:space="preserve">Preglednica </w:t>
      </w:r>
      <w:fldSimple w:instr=" STYLEREF 1 \s ">
        <w:r w:rsidR="002F3E43">
          <w:rPr>
            <w:noProof/>
          </w:rPr>
          <w:t>3</w:t>
        </w:r>
      </w:fldSimple>
      <w:r w:rsidR="001A7511" w:rsidRPr="00545EC0">
        <w:noBreakHyphen/>
      </w:r>
      <w:fldSimple w:instr=" SEQ Preglednica \* ARABIC \s 1 ">
        <w:r w:rsidR="002F3E43">
          <w:rPr>
            <w:noProof/>
          </w:rPr>
          <w:t>4</w:t>
        </w:r>
      </w:fldSimple>
      <w:bookmarkEnd w:id="483"/>
      <w:r w:rsidRPr="00545EC0">
        <w:t>: Pogostost in interval nadzornega in operativnega monitoringa ekološkega stanja površinskih voda v Sloveniji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1601"/>
        <w:gridCol w:w="1748"/>
        <w:gridCol w:w="2184"/>
        <w:gridCol w:w="2186"/>
      </w:tblGrid>
      <w:tr w:rsidR="002577CA" w:rsidRPr="00545EC0" w14:paraId="590B074B" w14:textId="77777777" w:rsidTr="002577CA">
        <w:trPr>
          <w:trHeight w:val="400"/>
        </w:trPr>
        <w:tc>
          <w:tcPr>
            <w:tcW w:w="844" w:type="pct"/>
            <w:vMerge w:val="restart"/>
            <w:shd w:val="clear" w:color="auto" w:fill="E7E6E6"/>
            <w:vAlign w:val="center"/>
          </w:tcPr>
          <w:p w14:paraId="308607DE" w14:textId="77777777" w:rsidR="002577CA" w:rsidRPr="00545EC0" w:rsidRDefault="002577CA" w:rsidP="002577CA">
            <w:pPr>
              <w:spacing w:line="240" w:lineRule="auto"/>
              <w:jc w:val="center"/>
              <w:rPr>
                <w:rFonts w:cs="Arial"/>
                <w:b/>
                <w:sz w:val="18"/>
                <w:szCs w:val="20"/>
              </w:rPr>
            </w:pPr>
            <w:r w:rsidRPr="00545EC0">
              <w:rPr>
                <w:rFonts w:cs="Arial"/>
                <w:b/>
                <w:sz w:val="18"/>
                <w:szCs w:val="20"/>
              </w:rPr>
              <w:t>Element kakovosti</w:t>
            </w:r>
          </w:p>
        </w:tc>
        <w:tc>
          <w:tcPr>
            <w:tcW w:w="1803" w:type="pct"/>
            <w:gridSpan w:val="2"/>
            <w:shd w:val="clear" w:color="auto" w:fill="E7E6E6"/>
            <w:vAlign w:val="center"/>
          </w:tcPr>
          <w:p w14:paraId="20E8A272" w14:textId="77777777" w:rsidR="002577CA" w:rsidRPr="00545EC0" w:rsidRDefault="002577CA" w:rsidP="002577CA">
            <w:pPr>
              <w:spacing w:line="240" w:lineRule="auto"/>
              <w:jc w:val="center"/>
              <w:rPr>
                <w:rFonts w:cs="Arial"/>
                <w:b/>
                <w:sz w:val="18"/>
                <w:szCs w:val="20"/>
              </w:rPr>
            </w:pPr>
            <w:r w:rsidRPr="00545EC0">
              <w:rPr>
                <w:rFonts w:cs="Arial"/>
                <w:b/>
                <w:sz w:val="18"/>
                <w:szCs w:val="20"/>
              </w:rPr>
              <w:t>Letna pogostost monitoringa</w:t>
            </w:r>
          </w:p>
        </w:tc>
        <w:tc>
          <w:tcPr>
            <w:tcW w:w="2353" w:type="pct"/>
            <w:gridSpan w:val="2"/>
            <w:shd w:val="clear" w:color="auto" w:fill="E7E6E6"/>
            <w:vAlign w:val="center"/>
          </w:tcPr>
          <w:p w14:paraId="17ACBE3E" w14:textId="77777777" w:rsidR="002577CA" w:rsidRPr="00545EC0" w:rsidRDefault="002577CA" w:rsidP="002577CA">
            <w:pPr>
              <w:spacing w:line="240" w:lineRule="auto"/>
              <w:jc w:val="center"/>
              <w:rPr>
                <w:rFonts w:cs="Arial"/>
                <w:b/>
                <w:sz w:val="18"/>
                <w:szCs w:val="20"/>
              </w:rPr>
            </w:pPr>
            <w:r w:rsidRPr="00545EC0">
              <w:rPr>
                <w:rFonts w:cs="Arial"/>
                <w:b/>
                <w:sz w:val="18"/>
                <w:szCs w:val="20"/>
              </w:rPr>
              <w:t>Interval monitoringa</w:t>
            </w:r>
          </w:p>
        </w:tc>
      </w:tr>
      <w:tr w:rsidR="002577CA" w:rsidRPr="00545EC0" w14:paraId="0CB7730C" w14:textId="77777777" w:rsidTr="002577CA">
        <w:tc>
          <w:tcPr>
            <w:tcW w:w="844" w:type="pct"/>
            <w:vMerge/>
            <w:shd w:val="clear" w:color="auto" w:fill="E7E6E6"/>
            <w:vAlign w:val="center"/>
          </w:tcPr>
          <w:p w14:paraId="1723BFFC" w14:textId="77777777" w:rsidR="002577CA" w:rsidRPr="00545EC0" w:rsidRDefault="002577CA" w:rsidP="002577CA">
            <w:pPr>
              <w:spacing w:line="240" w:lineRule="auto"/>
              <w:jc w:val="center"/>
              <w:rPr>
                <w:rFonts w:cs="Arial"/>
                <w:b/>
                <w:sz w:val="18"/>
                <w:szCs w:val="20"/>
              </w:rPr>
            </w:pPr>
          </w:p>
        </w:tc>
        <w:tc>
          <w:tcPr>
            <w:tcW w:w="862" w:type="pct"/>
            <w:shd w:val="clear" w:color="auto" w:fill="E7E6E6"/>
            <w:vAlign w:val="center"/>
          </w:tcPr>
          <w:p w14:paraId="5188E410" w14:textId="77777777" w:rsidR="002577CA" w:rsidRPr="00545EC0" w:rsidRDefault="002577CA" w:rsidP="002577CA">
            <w:pPr>
              <w:spacing w:line="240" w:lineRule="auto"/>
              <w:jc w:val="center"/>
              <w:rPr>
                <w:rFonts w:cs="Arial"/>
                <w:b/>
                <w:sz w:val="18"/>
                <w:szCs w:val="20"/>
              </w:rPr>
            </w:pPr>
            <w:r w:rsidRPr="00545EC0">
              <w:rPr>
                <w:rFonts w:cs="Arial"/>
                <w:b/>
                <w:sz w:val="18"/>
                <w:szCs w:val="20"/>
              </w:rPr>
              <w:t>Reke</w:t>
            </w:r>
          </w:p>
        </w:tc>
        <w:tc>
          <w:tcPr>
            <w:tcW w:w="941" w:type="pct"/>
            <w:shd w:val="clear" w:color="auto" w:fill="E7E6E6"/>
            <w:vAlign w:val="center"/>
          </w:tcPr>
          <w:p w14:paraId="0BA21886" w14:textId="77777777" w:rsidR="002577CA" w:rsidRPr="00545EC0" w:rsidRDefault="002577CA" w:rsidP="002577CA">
            <w:pPr>
              <w:spacing w:line="240" w:lineRule="auto"/>
              <w:jc w:val="center"/>
              <w:rPr>
                <w:rFonts w:cs="Arial"/>
                <w:b/>
                <w:sz w:val="18"/>
                <w:szCs w:val="20"/>
              </w:rPr>
            </w:pPr>
            <w:r w:rsidRPr="00545EC0">
              <w:rPr>
                <w:rFonts w:cs="Arial"/>
                <w:b/>
                <w:sz w:val="18"/>
                <w:szCs w:val="20"/>
              </w:rPr>
              <w:t>Jezera</w:t>
            </w:r>
          </w:p>
        </w:tc>
        <w:tc>
          <w:tcPr>
            <w:tcW w:w="1176" w:type="pct"/>
            <w:shd w:val="clear" w:color="auto" w:fill="E7E6E6"/>
            <w:vAlign w:val="center"/>
          </w:tcPr>
          <w:p w14:paraId="649396EF" w14:textId="77777777" w:rsidR="002577CA" w:rsidRPr="00545EC0" w:rsidRDefault="002577CA" w:rsidP="002577CA">
            <w:pPr>
              <w:spacing w:line="240" w:lineRule="auto"/>
              <w:jc w:val="center"/>
              <w:rPr>
                <w:rFonts w:cs="Arial"/>
                <w:b/>
                <w:sz w:val="18"/>
                <w:szCs w:val="20"/>
              </w:rPr>
            </w:pPr>
            <w:r w:rsidRPr="00545EC0">
              <w:rPr>
                <w:rFonts w:cs="Arial"/>
                <w:b/>
                <w:sz w:val="18"/>
                <w:szCs w:val="20"/>
              </w:rPr>
              <w:t>Nadzorni monitoring</w:t>
            </w:r>
          </w:p>
        </w:tc>
        <w:tc>
          <w:tcPr>
            <w:tcW w:w="1177" w:type="pct"/>
            <w:shd w:val="clear" w:color="auto" w:fill="E7E6E6"/>
            <w:vAlign w:val="center"/>
          </w:tcPr>
          <w:p w14:paraId="0D1228E4" w14:textId="77777777" w:rsidR="002577CA" w:rsidRPr="00545EC0" w:rsidRDefault="002577CA" w:rsidP="002577CA">
            <w:pPr>
              <w:spacing w:line="240" w:lineRule="auto"/>
              <w:jc w:val="center"/>
              <w:rPr>
                <w:rFonts w:cs="Arial"/>
                <w:b/>
                <w:sz w:val="18"/>
                <w:szCs w:val="20"/>
              </w:rPr>
            </w:pPr>
            <w:r w:rsidRPr="00545EC0">
              <w:rPr>
                <w:rFonts w:cs="Arial"/>
                <w:b/>
                <w:sz w:val="18"/>
                <w:szCs w:val="20"/>
              </w:rPr>
              <w:t>Operativni monitoring</w:t>
            </w:r>
          </w:p>
        </w:tc>
      </w:tr>
      <w:tr w:rsidR="002577CA" w:rsidRPr="00545EC0" w14:paraId="7A755065" w14:textId="77777777" w:rsidTr="002577CA">
        <w:trPr>
          <w:trHeight w:val="510"/>
        </w:trPr>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14:paraId="74C53A05" w14:textId="77777777" w:rsidR="002577CA" w:rsidRPr="00545EC0" w:rsidRDefault="002577CA" w:rsidP="002577CA">
            <w:pPr>
              <w:spacing w:line="240" w:lineRule="auto"/>
              <w:jc w:val="left"/>
              <w:rPr>
                <w:rFonts w:cs="Arial"/>
                <w:sz w:val="18"/>
                <w:szCs w:val="20"/>
              </w:rPr>
            </w:pPr>
            <w:r w:rsidRPr="00545EC0">
              <w:rPr>
                <w:rFonts w:cs="Arial"/>
                <w:sz w:val="18"/>
                <w:szCs w:val="20"/>
              </w:rPr>
              <w:t>Fitoplankton</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4D4FC787" w14:textId="77777777" w:rsidR="002577CA" w:rsidRPr="00545EC0" w:rsidRDefault="002577CA" w:rsidP="002577CA">
            <w:pPr>
              <w:spacing w:line="240" w:lineRule="auto"/>
              <w:rPr>
                <w:rFonts w:cs="Arial"/>
                <w:sz w:val="18"/>
                <w:szCs w:val="20"/>
              </w:rPr>
            </w:pPr>
            <w:r w:rsidRPr="00545EC0">
              <w:rPr>
                <w:rFonts w:cs="Arial"/>
                <w:sz w:val="18"/>
                <w:szCs w:val="20"/>
              </w:rPr>
              <w:t>ni relevantno</w:t>
            </w:r>
          </w:p>
        </w:tc>
        <w:tc>
          <w:tcPr>
            <w:tcW w:w="941" w:type="pct"/>
            <w:tcBorders>
              <w:top w:val="single" w:sz="4" w:space="0" w:color="auto"/>
              <w:left w:val="single" w:sz="4" w:space="0" w:color="auto"/>
              <w:bottom w:val="single" w:sz="4" w:space="0" w:color="auto"/>
              <w:right w:val="single" w:sz="4" w:space="0" w:color="auto"/>
            </w:tcBorders>
            <w:shd w:val="clear" w:color="auto" w:fill="auto"/>
            <w:vAlign w:val="center"/>
          </w:tcPr>
          <w:p w14:paraId="08A66DAC" w14:textId="77777777" w:rsidR="002577CA" w:rsidRPr="00545EC0" w:rsidRDefault="002577CA" w:rsidP="002577CA">
            <w:pPr>
              <w:spacing w:line="240" w:lineRule="auto"/>
              <w:rPr>
                <w:rFonts w:cs="Arial"/>
                <w:sz w:val="18"/>
                <w:szCs w:val="20"/>
              </w:rPr>
            </w:pPr>
            <w:r w:rsidRPr="00545EC0">
              <w:rPr>
                <w:rFonts w:cs="Arial"/>
                <w:sz w:val="18"/>
                <w:szCs w:val="20"/>
              </w:rPr>
              <w:t>4-krat letno</w:t>
            </w:r>
          </w:p>
        </w:tc>
        <w:tc>
          <w:tcPr>
            <w:tcW w:w="1176" w:type="pct"/>
            <w:tcBorders>
              <w:top w:val="single" w:sz="4" w:space="0" w:color="auto"/>
              <w:left w:val="single" w:sz="4" w:space="0" w:color="auto"/>
              <w:bottom w:val="single" w:sz="4" w:space="0" w:color="auto"/>
              <w:right w:val="single" w:sz="4" w:space="0" w:color="auto"/>
            </w:tcBorders>
            <w:shd w:val="clear" w:color="auto" w:fill="auto"/>
            <w:vAlign w:val="center"/>
          </w:tcPr>
          <w:p w14:paraId="73CA1AF9" w14:textId="77777777" w:rsidR="002577CA" w:rsidRPr="00545EC0" w:rsidRDefault="002577CA" w:rsidP="002577CA">
            <w:pPr>
              <w:spacing w:line="240" w:lineRule="auto"/>
              <w:jc w:val="left"/>
              <w:rPr>
                <w:rFonts w:cs="Arial"/>
                <w:sz w:val="18"/>
                <w:szCs w:val="20"/>
              </w:rPr>
            </w:pPr>
            <w:r w:rsidRPr="00545EC0">
              <w:rPr>
                <w:rFonts w:cs="Arial"/>
                <w:sz w:val="18"/>
                <w:szCs w:val="20"/>
              </w:rPr>
              <w:t>Najmanj 3-krat v šestih letih</w:t>
            </w: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14:paraId="2B79CB34" w14:textId="77777777" w:rsidR="002577CA" w:rsidRPr="00545EC0" w:rsidRDefault="002577CA" w:rsidP="002577CA">
            <w:pPr>
              <w:spacing w:line="240" w:lineRule="auto"/>
              <w:jc w:val="left"/>
              <w:rPr>
                <w:rFonts w:cs="Arial"/>
                <w:sz w:val="18"/>
                <w:szCs w:val="20"/>
              </w:rPr>
            </w:pPr>
            <w:r w:rsidRPr="00545EC0">
              <w:rPr>
                <w:rFonts w:cs="Arial"/>
                <w:sz w:val="18"/>
                <w:szCs w:val="20"/>
              </w:rPr>
              <w:t>Najmanj 3-krat v šestih letih</w:t>
            </w:r>
          </w:p>
        </w:tc>
      </w:tr>
      <w:tr w:rsidR="002577CA" w:rsidRPr="00545EC0" w14:paraId="6AC78BDF" w14:textId="77777777" w:rsidTr="002577CA">
        <w:trPr>
          <w:trHeight w:val="510"/>
        </w:trPr>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14:paraId="019A2FFA" w14:textId="77777777" w:rsidR="002577CA" w:rsidRPr="00545EC0" w:rsidRDefault="002577CA" w:rsidP="002577CA">
            <w:pPr>
              <w:spacing w:line="240" w:lineRule="auto"/>
              <w:jc w:val="left"/>
              <w:rPr>
                <w:rFonts w:cs="Arial"/>
                <w:sz w:val="18"/>
                <w:szCs w:val="20"/>
              </w:rPr>
            </w:pPr>
            <w:r w:rsidRPr="00545EC0">
              <w:rPr>
                <w:rFonts w:cs="Arial"/>
                <w:sz w:val="18"/>
                <w:szCs w:val="20"/>
              </w:rPr>
              <w:t>Ostalo vodno rastlinstvo</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132F31E9" w14:textId="77777777" w:rsidR="002577CA" w:rsidRPr="00545EC0" w:rsidRDefault="002577CA" w:rsidP="002577CA">
            <w:pPr>
              <w:spacing w:line="240" w:lineRule="auto"/>
              <w:rPr>
                <w:rFonts w:cs="Arial"/>
                <w:sz w:val="18"/>
                <w:szCs w:val="20"/>
              </w:rPr>
            </w:pPr>
            <w:r w:rsidRPr="00545EC0">
              <w:rPr>
                <w:rFonts w:cs="Arial"/>
                <w:sz w:val="18"/>
                <w:szCs w:val="20"/>
              </w:rPr>
              <w:t xml:space="preserve">1-krat letno </w:t>
            </w:r>
          </w:p>
        </w:tc>
        <w:tc>
          <w:tcPr>
            <w:tcW w:w="941" w:type="pct"/>
            <w:tcBorders>
              <w:top w:val="single" w:sz="4" w:space="0" w:color="auto"/>
              <w:left w:val="single" w:sz="4" w:space="0" w:color="auto"/>
              <w:bottom w:val="single" w:sz="4" w:space="0" w:color="auto"/>
              <w:right w:val="single" w:sz="4" w:space="0" w:color="auto"/>
            </w:tcBorders>
            <w:shd w:val="clear" w:color="auto" w:fill="auto"/>
            <w:vAlign w:val="center"/>
          </w:tcPr>
          <w:p w14:paraId="149A71F1" w14:textId="77777777" w:rsidR="002577CA" w:rsidRPr="00545EC0" w:rsidRDefault="002577CA" w:rsidP="002577CA">
            <w:pPr>
              <w:spacing w:line="240" w:lineRule="auto"/>
              <w:rPr>
                <w:rFonts w:cs="Arial"/>
                <w:sz w:val="18"/>
                <w:szCs w:val="20"/>
              </w:rPr>
            </w:pPr>
            <w:r w:rsidRPr="00545EC0">
              <w:rPr>
                <w:rFonts w:cs="Arial"/>
                <w:sz w:val="18"/>
                <w:szCs w:val="20"/>
              </w:rPr>
              <w:t>1-krat letno</w:t>
            </w:r>
          </w:p>
        </w:tc>
        <w:tc>
          <w:tcPr>
            <w:tcW w:w="1176" w:type="pct"/>
            <w:tcBorders>
              <w:top w:val="single" w:sz="4" w:space="0" w:color="auto"/>
              <w:left w:val="single" w:sz="4" w:space="0" w:color="auto"/>
              <w:bottom w:val="single" w:sz="4" w:space="0" w:color="auto"/>
              <w:right w:val="single" w:sz="4" w:space="0" w:color="auto"/>
            </w:tcBorders>
            <w:shd w:val="clear" w:color="auto" w:fill="auto"/>
            <w:vAlign w:val="center"/>
          </w:tcPr>
          <w:p w14:paraId="0411F5AC" w14:textId="77777777" w:rsidR="002577CA" w:rsidRPr="00545EC0" w:rsidRDefault="002577CA" w:rsidP="002577CA">
            <w:pPr>
              <w:spacing w:line="240" w:lineRule="auto"/>
              <w:jc w:val="left"/>
              <w:rPr>
                <w:rFonts w:cs="Arial"/>
                <w:sz w:val="18"/>
                <w:szCs w:val="20"/>
              </w:rPr>
            </w:pPr>
            <w:r w:rsidRPr="00545EC0">
              <w:rPr>
                <w:rFonts w:cs="Arial"/>
                <w:sz w:val="18"/>
                <w:szCs w:val="20"/>
              </w:rPr>
              <w:t>Najmanj 1-krat v šestih letih</w:t>
            </w: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14:paraId="400A6B6A" w14:textId="77777777" w:rsidR="002577CA" w:rsidRPr="00545EC0" w:rsidRDefault="002577CA" w:rsidP="002577CA">
            <w:pPr>
              <w:spacing w:line="240" w:lineRule="auto"/>
              <w:jc w:val="left"/>
              <w:rPr>
                <w:rFonts w:cs="Arial"/>
                <w:sz w:val="18"/>
                <w:szCs w:val="20"/>
              </w:rPr>
            </w:pPr>
            <w:r w:rsidRPr="00545EC0">
              <w:rPr>
                <w:rFonts w:cs="Arial"/>
                <w:sz w:val="18"/>
                <w:szCs w:val="20"/>
              </w:rPr>
              <w:t>Najmanj 2-krat v šestih letih</w:t>
            </w:r>
          </w:p>
        </w:tc>
      </w:tr>
      <w:tr w:rsidR="002577CA" w:rsidRPr="00545EC0" w14:paraId="44BCA57F" w14:textId="77777777" w:rsidTr="002577CA">
        <w:trPr>
          <w:trHeight w:val="510"/>
        </w:trPr>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14:paraId="044DE1C0" w14:textId="77777777" w:rsidR="002577CA" w:rsidRPr="00545EC0" w:rsidRDefault="002577CA" w:rsidP="002577CA">
            <w:pPr>
              <w:spacing w:line="240" w:lineRule="auto"/>
              <w:jc w:val="left"/>
              <w:rPr>
                <w:rFonts w:cs="Arial"/>
                <w:sz w:val="18"/>
                <w:szCs w:val="20"/>
              </w:rPr>
            </w:pPr>
            <w:r w:rsidRPr="00545EC0">
              <w:rPr>
                <w:rFonts w:cs="Arial"/>
                <w:sz w:val="18"/>
                <w:szCs w:val="20"/>
              </w:rPr>
              <w:lastRenderedPageBreak/>
              <w:t>Bentoški nevretenčarji</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3ADA4044" w14:textId="77777777" w:rsidR="002577CA" w:rsidRPr="00545EC0" w:rsidRDefault="002577CA" w:rsidP="002577CA">
            <w:pPr>
              <w:spacing w:line="240" w:lineRule="auto"/>
              <w:rPr>
                <w:rFonts w:cs="Arial"/>
                <w:sz w:val="18"/>
                <w:szCs w:val="20"/>
              </w:rPr>
            </w:pPr>
            <w:r w:rsidRPr="00545EC0">
              <w:rPr>
                <w:rFonts w:cs="Arial"/>
                <w:sz w:val="18"/>
                <w:szCs w:val="20"/>
              </w:rPr>
              <w:t xml:space="preserve">1-krat letno </w:t>
            </w:r>
          </w:p>
        </w:tc>
        <w:tc>
          <w:tcPr>
            <w:tcW w:w="941" w:type="pct"/>
            <w:tcBorders>
              <w:top w:val="single" w:sz="4" w:space="0" w:color="auto"/>
              <w:left w:val="single" w:sz="4" w:space="0" w:color="auto"/>
              <w:bottom w:val="single" w:sz="4" w:space="0" w:color="auto"/>
              <w:right w:val="single" w:sz="4" w:space="0" w:color="auto"/>
            </w:tcBorders>
            <w:shd w:val="clear" w:color="auto" w:fill="auto"/>
            <w:vAlign w:val="center"/>
          </w:tcPr>
          <w:p w14:paraId="61E04F69" w14:textId="77777777" w:rsidR="002577CA" w:rsidRPr="00545EC0" w:rsidRDefault="002577CA" w:rsidP="002577CA">
            <w:pPr>
              <w:spacing w:line="240" w:lineRule="auto"/>
              <w:rPr>
                <w:rFonts w:cs="Arial"/>
                <w:sz w:val="18"/>
                <w:szCs w:val="20"/>
              </w:rPr>
            </w:pPr>
            <w:r w:rsidRPr="00545EC0">
              <w:rPr>
                <w:rFonts w:cs="Arial"/>
                <w:sz w:val="18"/>
                <w:szCs w:val="20"/>
              </w:rPr>
              <w:t>1-krat letno</w:t>
            </w:r>
          </w:p>
        </w:tc>
        <w:tc>
          <w:tcPr>
            <w:tcW w:w="1176" w:type="pct"/>
            <w:tcBorders>
              <w:top w:val="single" w:sz="4" w:space="0" w:color="auto"/>
              <w:left w:val="single" w:sz="4" w:space="0" w:color="auto"/>
              <w:bottom w:val="single" w:sz="4" w:space="0" w:color="auto"/>
              <w:right w:val="single" w:sz="4" w:space="0" w:color="auto"/>
            </w:tcBorders>
            <w:shd w:val="clear" w:color="auto" w:fill="auto"/>
            <w:vAlign w:val="center"/>
          </w:tcPr>
          <w:p w14:paraId="75535FC2" w14:textId="77777777" w:rsidR="002577CA" w:rsidRPr="00545EC0" w:rsidRDefault="002577CA" w:rsidP="002577CA">
            <w:pPr>
              <w:spacing w:line="240" w:lineRule="auto"/>
              <w:jc w:val="left"/>
              <w:rPr>
                <w:rFonts w:cs="Arial"/>
                <w:sz w:val="18"/>
                <w:szCs w:val="20"/>
              </w:rPr>
            </w:pPr>
            <w:r w:rsidRPr="00545EC0">
              <w:rPr>
                <w:rFonts w:cs="Arial"/>
                <w:sz w:val="18"/>
                <w:szCs w:val="20"/>
              </w:rPr>
              <w:t>Najmanj 1-krat v šestih letih</w:t>
            </w: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14:paraId="1A8D95E8" w14:textId="77777777" w:rsidR="002577CA" w:rsidRPr="00545EC0" w:rsidRDefault="002577CA" w:rsidP="002577CA">
            <w:pPr>
              <w:spacing w:line="240" w:lineRule="auto"/>
              <w:jc w:val="left"/>
              <w:rPr>
                <w:rFonts w:cs="Arial"/>
                <w:sz w:val="18"/>
                <w:szCs w:val="20"/>
              </w:rPr>
            </w:pPr>
            <w:r w:rsidRPr="00545EC0">
              <w:rPr>
                <w:rFonts w:cs="Arial"/>
                <w:sz w:val="18"/>
                <w:szCs w:val="20"/>
              </w:rPr>
              <w:t>Najmanj 2-krat v šestih letih</w:t>
            </w:r>
          </w:p>
        </w:tc>
      </w:tr>
      <w:tr w:rsidR="002577CA" w:rsidRPr="00545EC0" w14:paraId="4EED2D73" w14:textId="77777777" w:rsidTr="002577CA">
        <w:trPr>
          <w:trHeight w:val="510"/>
        </w:trPr>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14:paraId="1425C62A" w14:textId="77777777" w:rsidR="002577CA" w:rsidRPr="00545EC0" w:rsidRDefault="002577CA" w:rsidP="002577CA">
            <w:pPr>
              <w:spacing w:line="240" w:lineRule="auto"/>
              <w:jc w:val="left"/>
              <w:rPr>
                <w:rFonts w:cs="Arial"/>
                <w:sz w:val="18"/>
                <w:szCs w:val="20"/>
              </w:rPr>
            </w:pPr>
            <w:r w:rsidRPr="00545EC0">
              <w:rPr>
                <w:rFonts w:cs="Arial"/>
                <w:sz w:val="18"/>
                <w:szCs w:val="20"/>
              </w:rPr>
              <w:t>Ribe</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0830089C" w14:textId="77777777" w:rsidR="002577CA" w:rsidRPr="00545EC0" w:rsidRDefault="002577CA" w:rsidP="002577CA">
            <w:pPr>
              <w:spacing w:line="240" w:lineRule="auto"/>
              <w:rPr>
                <w:rFonts w:cs="Arial"/>
                <w:sz w:val="18"/>
                <w:szCs w:val="20"/>
              </w:rPr>
            </w:pPr>
            <w:r w:rsidRPr="00545EC0">
              <w:rPr>
                <w:rFonts w:cs="Arial"/>
                <w:sz w:val="18"/>
                <w:szCs w:val="20"/>
              </w:rPr>
              <w:t xml:space="preserve">1-krat letno </w:t>
            </w:r>
          </w:p>
        </w:tc>
        <w:tc>
          <w:tcPr>
            <w:tcW w:w="941" w:type="pct"/>
            <w:tcBorders>
              <w:top w:val="single" w:sz="4" w:space="0" w:color="auto"/>
              <w:left w:val="single" w:sz="4" w:space="0" w:color="auto"/>
              <w:bottom w:val="single" w:sz="4" w:space="0" w:color="auto"/>
              <w:right w:val="single" w:sz="4" w:space="0" w:color="auto"/>
            </w:tcBorders>
            <w:shd w:val="clear" w:color="auto" w:fill="auto"/>
            <w:vAlign w:val="center"/>
          </w:tcPr>
          <w:p w14:paraId="35C709DC" w14:textId="77777777" w:rsidR="002577CA" w:rsidRPr="00545EC0" w:rsidRDefault="002577CA" w:rsidP="002577CA">
            <w:pPr>
              <w:spacing w:line="240" w:lineRule="auto"/>
              <w:rPr>
                <w:rFonts w:cs="Arial"/>
                <w:sz w:val="18"/>
                <w:szCs w:val="20"/>
              </w:rPr>
            </w:pPr>
            <w:r w:rsidRPr="00545EC0">
              <w:rPr>
                <w:rFonts w:cs="Arial"/>
                <w:sz w:val="18"/>
                <w:szCs w:val="20"/>
              </w:rPr>
              <w:t>1-krat letno</w:t>
            </w:r>
          </w:p>
        </w:tc>
        <w:tc>
          <w:tcPr>
            <w:tcW w:w="1176" w:type="pct"/>
            <w:tcBorders>
              <w:top w:val="single" w:sz="4" w:space="0" w:color="auto"/>
              <w:left w:val="single" w:sz="4" w:space="0" w:color="auto"/>
              <w:bottom w:val="single" w:sz="4" w:space="0" w:color="auto"/>
              <w:right w:val="single" w:sz="4" w:space="0" w:color="auto"/>
            </w:tcBorders>
            <w:shd w:val="clear" w:color="auto" w:fill="auto"/>
            <w:vAlign w:val="center"/>
          </w:tcPr>
          <w:p w14:paraId="2FD217D0" w14:textId="77777777" w:rsidR="002577CA" w:rsidRPr="00545EC0" w:rsidRDefault="002577CA" w:rsidP="002577CA">
            <w:pPr>
              <w:spacing w:line="240" w:lineRule="auto"/>
              <w:jc w:val="left"/>
              <w:rPr>
                <w:rFonts w:cs="Arial"/>
                <w:sz w:val="18"/>
                <w:szCs w:val="20"/>
              </w:rPr>
            </w:pPr>
            <w:r w:rsidRPr="00545EC0">
              <w:rPr>
                <w:rFonts w:cs="Arial"/>
                <w:sz w:val="18"/>
                <w:szCs w:val="20"/>
              </w:rPr>
              <w:t>Najmanj 1-krat v šestih letih</w:t>
            </w: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14:paraId="29E846B4" w14:textId="77777777" w:rsidR="002577CA" w:rsidRPr="00545EC0" w:rsidRDefault="002577CA" w:rsidP="002577CA">
            <w:pPr>
              <w:spacing w:line="240" w:lineRule="auto"/>
              <w:jc w:val="left"/>
              <w:rPr>
                <w:rFonts w:cs="Arial"/>
                <w:sz w:val="18"/>
                <w:szCs w:val="20"/>
              </w:rPr>
            </w:pPr>
            <w:r w:rsidRPr="00545EC0">
              <w:rPr>
                <w:rFonts w:cs="Arial"/>
                <w:sz w:val="18"/>
                <w:szCs w:val="20"/>
              </w:rPr>
              <w:t>Najmanj 2-krat v šestih letih</w:t>
            </w:r>
          </w:p>
        </w:tc>
      </w:tr>
      <w:tr w:rsidR="002577CA" w:rsidRPr="00545EC0" w14:paraId="238B7E83" w14:textId="77777777" w:rsidTr="002577CA">
        <w:trPr>
          <w:trHeight w:val="510"/>
        </w:trPr>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14:paraId="7BF5683E" w14:textId="77777777" w:rsidR="002577CA" w:rsidRPr="00545EC0" w:rsidRDefault="002577CA" w:rsidP="002577CA">
            <w:pPr>
              <w:spacing w:line="240" w:lineRule="auto"/>
              <w:jc w:val="left"/>
              <w:rPr>
                <w:rFonts w:cs="Arial"/>
                <w:sz w:val="18"/>
                <w:szCs w:val="20"/>
              </w:rPr>
            </w:pPr>
            <w:r w:rsidRPr="00545EC0">
              <w:rPr>
                <w:rFonts w:cs="Arial"/>
                <w:sz w:val="18"/>
                <w:szCs w:val="20"/>
              </w:rPr>
              <w:t>Splošni fi-ke elementi</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10AD2011" w14:textId="77777777" w:rsidR="002577CA" w:rsidRPr="00545EC0" w:rsidRDefault="002577CA" w:rsidP="002577CA">
            <w:pPr>
              <w:spacing w:line="240" w:lineRule="auto"/>
              <w:rPr>
                <w:rFonts w:cs="Arial"/>
                <w:sz w:val="18"/>
                <w:szCs w:val="20"/>
              </w:rPr>
            </w:pPr>
            <w:r w:rsidRPr="00545EC0">
              <w:rPr>
                <w:rFonts w:cs="Arial"/>
                <w:sz w:val="18"/>
                <w:szCs w:val="20"/>
              </w:rPr>
              <w:t>Najmanj 4-krat letno</w:t>
            </w:r>
          </w:p>
        </w:tc>
        <w:tc>
          <w:tcPr>
            <w:tcW w:w="941" w:type="pct"/>
            <w:tcBorders>
              <w:top w:val="single" w:sz="4" w:space="0" w:color="auto"/>
              <w:left w:val="single" w:sz="4" w:space="0" w:color="auto"/>
              <w:bottom w:val="single" w:sz="4" w:space="0" w:color="auto"/>
              <w:right w:val="single" w:sz="4" w:space="0" w:color="auto"/>
            </w:tcBorders>
            <w:shd w:val="clear" w:color="auto" w:fill="auto"/>
            <w:vAlign w:val="center"/>
          </w:tcPr>
          <w:p w14:paraId="5CB3E44C" w14:textId="77777777" w:rsidR="002577CA" w:rsidRPr="00545EC0" w:rsidRDefault="002577CA" w:rsidP="002577CA">
            <w:pPr>
              <w:spacing w:line="240" w:lineRule="auto"/>
              <w:rPr>
                <w:rFonts w:cs="Arial"/>
                <w:sz w:val="18"/>
                <w:szCs w:val="20"/>
              </w:rPr>
            </w:pPr>
            <w:r w:rsidRPr="00545EC0">
              <w:rPr>
                <w:rFonts w:cs="Arial"/>
                <w:sz w:val="18"/>
                <w:szCs w:val="20"/>
              </w:rPr>
              <w:t>4-krat letno</w:t>
            </w:r>
          </w:p>
        </w:tc>
        <w:tc>
          <w:tcPr>
            <w:tcW w:w="1176" w:type="pct"/>
            <w:tcBorders>
              <w:top w:val="single" w:sz="4" w:space="0" w:color="auto"/>
              <w:left w:val="single" w:sz="4" w:space="0" w:color="auto"/>
              <w:bottom w:val="single" w:sz="4" w:space="0" w:color="auto"/>
              <w:right w:val="single" w:sz="4" w:space="0" w:color="auto"/>
            </w:tcBorders>
            <w:shd w:val="clear" w:color="auto" w:fill="auto"/>
            <w:vAlign w:val="center"/>
          </w:tcPr>
          <w:p w14:paraId="7C4A1351" w14:textId="77777777" w:rsidR="002577CA" w:rsidRPr="00545EC0" w:rsidRDefault="002577CA" w:rsidP="002577CA">
            <w:pPr>
              <w:spacing w:line="240" w:lineRule="auto"/>
              <w:jc w:val="left"/>
              <w:rPr>
                <w:rFonts w:cs="Arial"/>
                <w:sz w:val="18"/>
                <w:szCs w:val="20"/>
              </w:rPr>
            </w:pPr>
            <w:r w:rsidRPr="00545EC0">
              <w:rPr>
                <w:rFonts w:cs="Arial"/>
                <w:sz w:val="18"/>
                <w:szCs w:val="20"/>
              </w:rPr>
              <w:t>Najmanj 1-krat v šestih letih</w:t>
            </w: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14:paraId="40D41737" w14:textId="77777777" w:rsidR="002577CA" w:rsidRPr="00545EC0" w:rsidRDefault="002577CA" w:rsidP="002577CA">
            <w:pPr>
              <w:spacing w:line="240" w:lineRule="auto"/>
              <w:jc w:val="left"/>
              <w:rPr>
                <w:rFonts w:cs="Arial"/>
                <w:sz w:val="18"/>
                <w:szCs w:val="20"/>
              </w:rPr>
            </w:pPr>
            <w:r w:rsidRPr="00545EC0">
              <w:rPr>
                <w:rFonts w:cs="Arial"/>
                <w:sz w:val="18"/>
                <w:szCs w:val="20"/>
              </w:rPr>
              <w:t>Najmanj 2-krat v šestih letih</w:t>
            </w:r>
          </w:p>
        </w:tc>
      </w:tr>
      <w:tr w:rsidR="002577CA" w:rsidRPr="00545EC0" w14:paraId="717DD6B7" w14:textId="77777777" w:rsidTr="002577CA">
        <w:trPr>
          <w:trHeight w:val="510"/>
        </w:trPr>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14:paraId="39811FC9" w14:textId="77777777" w:rsidR="002577CA" w:rsidRPr="00545EC0" w:rsidDel="004F2137" w:rsidRDefault="002577CA" w:rsidP="002577CA">
            <w:pPr>
              <w:spacing w:line="240" w:lineRule="auto"/>
              <w:jc w:val="left"/>
              <w:rPr>
                <w:rFonts w:cs="Arial"/>
                <w:sz w:val="18"/>
                <w:szCs w:val="20"/>
              </w:rPr>
            </w:pPr>
            <w:r w:rsidRPr="00545EC0">
              <w:rPr>
                <w:rFonts w:cs="Arial"/>
                <w:sz w:val="18"/>
                <w:szCs w:val="20"/>
              </w:rPr>
              <w:t>Posebna onesnaževala</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29AD44B4" w14:textId="77777777" w:rsidR="002577CA" w:rsidRPr="00545EC0" w:rsidRDefault="002577CA" w:rsidP="002577CA">
            <w:pPr>
              <w:spacing w:line="240" w:lineRule="auto"/>
              <w:rPr>
                <w:rFonts w:cs="Arial"/>
                <w:sz w:val="18"/>
                <w:szCs w:val="20"/>
              </w:rPr>
            </w:pPr>
            <w:r w:rsidRPr="00545EC0">
              <w:rPr>
                <w:rFonts w:cs="Arial"/>
                <w:sz w:val="18"/>
                <w:szCs w:val="20"/>
              </w:rPr>
              <w:t>Najmanj 4-krat letno</w:t>
            </w:r>
          </w:p>
        </w:tc>
        <w:tc>
          <w:tcPr>
            <w:tcW w:w="941" w:type="pct"/>
            <w:tcBorders>
              <w:top w:val="single" w:sz="4" w:space="0" w:color="auto"/>
              <w:left w:val="single" w:sz="4" w:space="0" w:color="auto"/>
              <w:bottom w:val="single" w:sz="4" w:space="0" w:color="auto"/>
              <w:right w:val="single" w:sz="4" w:space="0" w:color="auto"/>
            </w:tcBorders>
            <w:shd w:val="clear" w:color="auto" w:fill="auto"/>
            <w:vAlign w:val="center"/>
          </w:tcPr>
          <w:p w14:paraId="77316955" w14:textId="77777777" w:rsidR="002577CA" w:rsidRPr="00545EC0" w:rsidRDefault="002577CA" w:rsidP="002577CA">
            <w:pPr>
              <w:spacing w:line="240" w:lineRule="auto"/>
              <w:jc w:val="left"/>
              <w:rPr>
                <w:rFonts w:cs="Arial"/>
                <w:sz w:val="18"/>
                <w:szCs w:val="20"/>
              </w:rPr>
            </w:pPr>
            <w:r w:rsidRPr="00545EC0">
              <w:rPr>
                <w:rFonts w:cs="Arial"/>
                <w:sz w:val="18"/>
                <w:szCs w:val="20"/>
              </w:rPr>
              <w:t>Najmanj 4-krat letno</w:t>
            </w:r>
          </w:p>
        </w:tc>
        <w:tc>
          <w:tcPr>
            <w:tcW w:w="1176" w:type="pct"/>
            <w:tcBorders>
              <w:top w:val="single" w:sz="4" w:space="0" w:color="auto"/>
              <w:left w:val="single" w:sz="4" w:space="0" w:color="auto"/>
              <w:bottom w:val="single" w:sz="4" w:space="0" w:color="auto"/>
              <w:right w:val="single" w:sz="4" w:space="0" w:color="auto"/>
            </w:tcBorders>
            <w:shd w:val="clear" w:color="auto" w:fill="auto"/>
            <w:vAlign w:val="center"/>
          </w:tcPr>
          <w:p w14:paraId="3DA2C7B5" w14:textId="77777777" w:rsidR="002577CA" w:rsidRPr="00545EC0" w:rsidRDefault="002577CA" w:rsidP="002577CA">
            <w:pPr>
              <w:spacing w:line="240" w:lineRule="auto"/>
              <w:jc w:val="left"/>
              <w:rPr>
                <w:rFonts w:cs="Arial"/>
                <w:sz w:val="18"/>
                <w:szCs w:val="20"/>
              </w:rPr>
            </w:pPr>
            <w:r w:rsidRPr="00545EC0">
              <w:rPr>
                <w:rFonts w:cs="Arial"/>
                <w:sz w:val="18"/>
                <w:szCs w:val="20"/>
              </w:rPr>
              <w:t>Najmanj 1-krat v šestih letih</w:t>
            </w: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14:paraId="28D43EE6" w14:textId="77777777" w:rsidR="002577CA" w:rsidRPr="00545EC0" w:rsidRDefault="002577CA" w:rsidP="002577CA">
            <w:pPr>
              <w:spacing w:line="240" w:lineRule="auto"/>
              <w:jc w:val="left"/>
              <w:rPr>
                <w:rFonts w:cs="Arial"/>
                <w:sz w:val="18"/>
                <w:szCs w:val="20"/>
              </w:rPr>
            </w:pPr>
            <w:r w:rsidRPr="00545EC0">
              <w:rPr>
                <w:rFonts w:cs="Arial"/>
                <w:sz w:val="18"/>
                <w:szCs w:val="20"/>
              </w:rPr>
              <w:t>Najmanj 1-krat v šestih letih</w:t>
            </w:r>
          </w:p>
        </w:tc>
      </w:tr>
    </w:tbl>
    <w:p w14:paraId="03A33088" w14:textId="77777777" w:rsidR="002577CA" w:rsidRPr="00545EC0" w:rsidRDefault="002577CA" w:rsidP="002577CA">
      <w:pPr>
        <w:rPr>
          <w:rFonts w:cs="Arial"/>
        </w:rPr>
      </w:pPr>
    </w:p>
    <w:p w14:paraId="041D5D4C" w14:textId="77777777" w:rsidR="002577CA" w:rsidRPr="00545EC0" w:rsidRDefault="002577CA" w:rsidP="00581CEA">
      <w:pPr>
        <w:rPr>
          <w:rFonts w:cs="Arial"/>
        </w:rPr>
      </w:pPr>
    </w:p>
    <w:p w14:paraId="5CEA0B16" w14:textId="77777777" w:rsidR="00AA23DA" w:rsidRPr="00545EC0" w:rsidRDefault="00AA23DA" w:rsidP="00693578">
      <w:pPr>
        <w:pStyle w:val="Naslov3"/>
      </w:pPr>
      <w:bookmarkStart w:id="484" w:name="_Toc171825707"/>
      <w:bookmarkStart w:id="485" w:name="_Toc419099216"/>
      <w:bookmarkStart w:id="486" w:name="_Toc414828143"/>
      <w:bookmarkStart w:id="487" w:name="_Toc427322611"/>
      <w:bookmarkStart w:id="488" w:name="_Toc427867408"/>
      <w:bookmarkStart w:id="489" w:name="_Toc427867494"/>
      <w:bookmarkStart w:id="490" w:name="_Ref429649260"/>
      <w:bookmarkStart w:id="491" w:name="_Toc75763025"/>
      <w:bookmarkStart w:id="492" w:name="_Toc75763729"/>
      <w:bookmarkStart w:id="493" w:name="_Toc90261048"/>
      <w:bookmarkStart w:id="494" w:name="_Ref119911527"/>
      <w:bookmarkStart w:id="495" w:name="_Ref119910840"/>
      <w:bookmarkStart w:id="496" w:name="_Toc107026263"/>
      <w:bookmarkStart w:id="497" w:name="_Toc101076476"/>
      <w:bookmarkStart w:id="498" w:name="_Toc101076370"/>
      <w:bookmarkStart w:id="499" w:name="_Toc101076171"/>
      <w:bookmarkStart w:id="500" w:name="_Toc101076108"/>
      <w:bookmarkStart w:id="501" w:name="_Toc95031616"/>
      <w:r w:rsidRPr="00545EC0">
        <w:t xml:space="preserve">Ocena </w:t>
      </w:r>
      <w:bookmarkEnd w:id="484"/>
      <w:r w:rsidRPr="00545EC0">
        <w:t>kemijskega in ekološkega stanja površinskih voda</w:t>
      </w:r>
      <w:bookmarkEnd w:id="485"/>
      <w:bookmarkEnd w:id="486"/>
      <w:bookmarkEnd w:id="487"/>
      <w:bookmarkEnd w:id="488"/>
      <w:bookmarkEnd w:id="489"/>
      <w:bookmarkEnd w:id="490"/>
      <w:bookmarkEnd w:id="491"/>
      <w:bookmarkEnd w:id="492"/>
      <w:bookmarkEnd w:id="493"/>
    </w:p>
    <w:p w14:paraId="19B829DB" w14:textId="77777777" w:rsidR="00AA23DA" w:rsidRPr="00545EC0" w:rsidRDefault="00AA23DA" w:rsidP="00581CEA">
      <w:pPr>
        <w:rPr>
          <w:rFonts w:cs="Arial"/>
        </w:rPr>
      </w:pPr>
      <w:bookmarkStart w:id="502" w:name="_Toc171825709"/>
      <w:bookmarkStart w:id="503" w:name="_Toc414828144"/>
    </w:p>
    <w:p w14:paraId="492A6863" w14:textId="77777777" w:rsidR="00AA23DA" w:rsidRPr="00545EC0" w:rsidRDefault="00AA23DA" w:rsidP="00C402C7">
      <w:pPr>
        <w:pStyle w:val="Naslov4"/>
      </w:pPr>
      <w:r w:rsidRPr="00545EC0">
        <w:rPr>
          <w:rFonts w:cs="Arial"/>
        </w:rPr>
        <w:t xml:space="preserve">Ocena </w:t>
      </w:r>
      <w:bookmarkEnd w:id="502"/>
      <w:r w:rsidRPr="00545EC0">
        <w:rPr>
          <w:rFonts w:cs="Arial"/>
        </w:rPr>
        <w:t>kemijskega stanja površinskih voda</w:t>
      </w:r>
      <w:bookmarkEnd w:id="503"/>
      <w:r w:rsidRPr="00545EC0">
        <w:rPr>
          <w:rFonts w:cs="Arial"/>
        </w:rPr>
        <w:t xml:space="preserve"> </w:t>
      </w:r>
    </w:p>
    <w:p w14:paraId="7AF36FC9" w14:textId="77777777" w:rsidR="00AA23DA" w:rsidRPr="00545EC0" w:rsidRDefault="00AA23DA" w:rsidP="00581CEA">
      <w:pPr>
        <w:rPr>
          <w:rFonts w:cs="Arial"/>
        </w:rPr>
      </w:pPr>
    </w:p>
    <w:p w14:paraId="68145958" w14:textId="66DA1FA4" w:rsidR="00AA23DA" w:rsidRPr="00545EC0" w:rsidRDefault="00AA23DA" w:rsidP="00581CEA">
      <w:pPr>
        <w:rPr>
          <w:rFonts w:cs="Arial"/>
        </w:rPr>
      </w:pPr>
      <w:r w:rsidRPr="00545EC0">
        <w:rPr>
          <w:rFonts w:cs="Arial"/>
        </w:rPr>
        <w:t>Kemijsko stanje vodnih teles površinskih voda se ugotavlja na podlagi rezultatov kemijskih analiz v vodi in v organizmih (bioti), ki se pridobijo z monitoringom stanja površinskih voda. Kriterije za oceno kemijskega stanja površinskih voda določa</w:t>
      </w:r>
      <w:r w:rsidR="00C91A0C" w:rsidRPr="00545EC0">
        <w:rPr>
          <w:rFonts w:cs="Arial"/>
        </w:rPr>
        <w:t xml:space="preserve"> predpis, ki ureja</w:t>
      </w:r>
      <w:r w:rsidRPr="00545EC0">
        <w:rPr>
          <w:rFonts w:cs="Arial"/>
        </w:rPr>
        <w:t xml:space="preserve"> stanj</w:t>
      </w:r>
      <w:r w:rsidR="00C91A0C" w:rsidRPr="00545EC0">
        <w:rPr>
          <w:rFonts w:cs="Arial"/>
        </w:rPr>
        <w:t>e</w:t>
      </w:r>
      <w:r w:rsidRPr="00545EC0">
        <w:rPr>
          <w:rFonts w:cs="Arial"/>
        </w:rPr>
        <w:t xml:space="preserve"> površinskih voda. Okoljski standardi kakovosti so določeni kot letna povprečna vrednost parametra kemijskega stanja v vodi (v nadaljnjem besedilu: LP-OSK), ki zagotavlja varstvo pred dolgotrajno izpostavljenostjo, in kot največja dovoljena koncentracija parametra kemijskega stanja v vodi (v nadaljnjem besedilu: NDK-OSK), ki preprečuje kratkotrajne posledice onesnaženja. Za parametre, ki so nagnjeni h kopičenju v organizmih, so okoljski standardi kakovosti zaradi varstva pred posrednimi učinki in sekundarnim zastrupljanjem določeni tudi za organizme (v nadaljnjem besedilu: OSK-organizmi). </w:t>
      </w:r>
    </w:p>
    <w:p w14:paraId="6FB47163" w14:textId="77777777" w:rsidR="00AA23DA" w:rsidRPr="00545EC0" w:rsidRDefault="00AA23DA" w:rsidP="00581CEA">
      <w:pPr>
        <w:overflowPunct/>
        <w:autoSpaceDE/>
        <w:autoSpaceDN/>
        <w:adjustRightInd/>
        <w:textAlignment w:val="auto"/>
        <w:rPr>
          <w:rFonts w:cs="Arial"/>
        </w:rPr>
      </w:pPr>
    </w:p>
    <w:p w14:paraId="786EDCCC" w14:textId="77777777" w:rsidR="00AA23DA" w:rsidRPr="00545EC0" w:rsidRDefault="00AA23DA" w:rsidP="00581CEA">
      <w:pPr>
        <w:pStyle w:val="BesediloAriel11obojestransko"/>
      </w:pPr>
      <w:r w:rsidRPr="00545EC0">
        <w:rPr>
          <w:rFonts w:cs="Arial"/>
        </w:rPr>
        <w:t xml:space="preserve">Kemijsko stanje vodnih teles površinskih voda se ugotavlja na posameznem merilnem mestu. Vodno telo površinske vode ima dobro kemijsko stanje, če nobena letna povprečna vrednost parametra kemijskega stanja, izračunana kot aritmetična srednja vrednost koncentracij, izmerjenih v različnih časovnih obdobjih leta, ne presega LP-OSK in če največja izmerjena vrednost parametra kemijskega stanja ni večja od NDK-OSK ter če </w:t>
      </w:r>
      <w:r w:rsidRPr="00545EC0">
        <w:t xml:space="preserve">vrednost parametra kemijskega stanja v organizmih za nobenega od parametrov kemijskega stanja ni večja od OSK organizmi. </w:t>
      </w:r>
      <w:r w:rsidRPr="00545EC0">
        <w:rPr>
          <w:rFonts w:cs="Arial"/>
        </w:rPr>
        <w:t xml:space="preserve">Za vsako oceno kemijskega stanja je podana tudi raven zaupanja, s pomočjo katere na opisni način ovrednotimo verjetnost, s katero ocena odraža dejansko stanje. Podana je s tristopenjsko lestvico: visoka, srednja ali nizka. </w:t>
      </w:r>
    </w:p>
    <w:p w14:paraId="50196549" w14:textId="77777777" w:rsidR="00AA23DA" w:rsidRPr="00545EC0" w:rsidRDefault="00AA23DA" w:rsidP="00581CEA">
      <w:pPr>
        <w:rPr>
          <w:rFonts w:cs="Arial"/>
        </w:rPr>
      </w:pPr>
    </w:p>
    <w:p w14:paraId="4817BA18" w14:textId="6094128F" w:rsidR="003D5574" w:rsidRPr="00545EC0" w:rsidRDefault="00C12042" w:rsidP="00581CEA">
      <w:pPr>
        <w:rPr>
          <w:rFonts w:cs="Arial"/>
        </w:rPr>
      </w:pPr>
      <w:r w:rsidRPr="00545EC0">
        <w:rPr>
          <w:rFonts w:cs="Arial"/>
        </w:rPr>
        <w:t xml:space="preserve">Za vrednotenje kemijskega stanja površinskih voda glede na vsebnost niklja in svinca v vodi je bila po potrebi upoštevana tudi biorazpoložljivost in sicer v skladu </w:t>
      </w:r>
      <w:r w:rsidR="00966E3C" w:rsidRPr="00545EC0">
        <w:rPr>
          <w:rFonts w:cs="Arial"/>
        </w:rPr>
        <w:t>s</w:t>
      </w:r>
      <w:r w:rsidRPr="00545EC0">
        <w:rPr>
          <w:rFonts w:cs="Arial"/>
        </w:rPr>
        <w:t>trokovn</w:t>
      </w:r>
      <w:r w:rsidR="00966E3C" w:rsidRPr="00545EC0">
        <w:rPr>
          <w:rFonts w:cs="Arial"/>
        </w:rPr>
        <w:t>o</w:t>
      </w:r>
      <w:r w:rsidRPr="00545EC0">
        <w:rPr>
          <w:rFonts w:cs="Arial"/>
        </w:rPr>
        <w:t xml:space="preserve"> podlag</w:t>
      </w:r>
      <w:r w:rsidR="00966E3C" w:rsidRPr="00545EC0">
        <w:rPr>
          <w:rFonts w:cs="Arial"/>
        </w:rPr>
        <w:t>o</w:t>
      </w:r>
      <w:r w:rsidRPr="00545EC0">
        <w:rPr>
          <w:rFonts w:cs="Arial"/>
        </w:rPr>
        <w:t xml:space="preserve"> za upoštevanje in vrednotenje biorazpoložljivosti kovin v vodi</w:t>
      </w:r>
      <w:r w:rsidR="00DA52CD" w:rsidRPr="00545EC0">
        <w:rPr>
          <w:rFonts w:cs="Arial"/>
        </w:rPr>
        <w:t xml:space="preserve"> </w:t>
      </w:r>
      <w:r w:rsidRPr="00545EC0">
        <w:rPr>
          <w:rFonts w:cs="Arial"/>
        </w:rPr>
        <w:t>(</w:t>
      </w:r>
      <w:r w:rsidR="00966E3C" w:rsidRPr="00545EC0">
        <w:rPr>
          <w:rFonts w:cs="Arial"/>
        </w:rPr>
        <w:t>Durjava, M. in sod.</w:t>
      </w:r>
      <w:r w:rsidRPr="00545EC0">
        <w:rPr>
          <w:rFonts w:cs="Arial"/>
        </w:rPr>
        <w:t>, 2015).</w:t>
      </w:r>
    </w:p>
    <w:p w14:paraId="4E00F954" w14:textId="77777777" w:rsidR="00AA23DA" w:rsidRPr="00545EC0" w:rsidRDefault="00AA23DA" w:rsidP="00581CEA">
      <w:pPr>
        <w:rPr>
          <w:rFonts w:cs="Arial"/>
        </w:rPr>
      </w:pPr>
    </w:p>
    <w:p w14:paraId="1669F10C" w14:textId="24FF12A7" w:rsidR="00AA23DA" w:rsidRPr="00545EC0" w:rsidRDefault="00AA23DA" w:rsidP="00581CEA">
      <w:pPr>
        <w:rPr>
          <w:rFonts w:cs="Arial"/>
        </w:rPr>
      </w:pPr>
      <w:r w:rsidRPr="00545EC0">
        <w:rPr>
          <w:rFonts w:cs="Arial"/>
        </w:rPr>
        <w:t xml:space="preserve">Za vrednotenje kemijskega stanja celinskih voda (reke, jezera) glede na vsebnost kadmija in živega srebra so bile upoštevane koncentracije naravnega ozadja, ki jih določa </w:t>
      </w:r>
      <w:r w:rsidR="00966E3C" w:rsidRPr="00545EC0">
        <w:rPr>
          <w:rFonts w:cs="Arial"/>
        </w:rPr>
        <w:t xml:space="preserve">predpis, ki ureja </w:t>
      </w:r>
      <w:r w:rsidRPr="00545EC0">
        <w:rPr>
          <w:rFonts w:cs="Arial"/>
        </w:rPr>
        <w:t xml:space="preserve"> stanj</w:t>
      </w:r>
      <w:r w:rsidR="00966E3C" w:rsidRPr="00545EC0">
        <w:rPr>
          <w:rFonts w:cs="Arial"/>
        </w:rPr>
        <w:t>e</w:t>
      </w:r>
      <w:r w:rsidRPr="00545EC0">
        <w:rPr>
          <w:rFonts w:cs="Arial"/>
        </w:rPr>
        <w:t xml:space="preserve"> površinskih voda</w:t>
      </w:r>
      <w:r w:rsidR="00940BA9" w:rsidRPr="00545EC0">
        <w:rPr>
          <w:rFonts w:cs="Arial"/>
        </w:rPr>
        <w:t>.</w:t>
      </w:r>
    </w:p>
    <w:p w14:paraId="7951118D" w14:textId="77777777" w:rsidR="00AA23DA" w:rsidRPr="00545EC0" w:rsidRDefault="00AA23DA" w:rsidP="00581CEA">
      <w:pPr>
        <w:rPr>
          <w:rFonts w:cs="Arial"/>
        </w:rPr>
      </w:pPr>
    </w:p>
    <w:p w14:paraId="361B5744" w14:textId="77777777" w:rsidR="00AA23DA" w:rsidRPr="00545EC0" w:rsidRDefault="00AA23DA" w:rsidP="00581CEA">
      <w:pPr>
        <w:keepNext/>
        <w:rPr>
          <w:rFonts w:cs="Arial"/>
        </w:rPr>
      </w:pPr>
      <w:r w:rsidRPr="00545EC0">
        <w:rPr>
          <w:rFonts w:cs="Arial"/>
        </w:rPr>
        <w:t xml:space="preserve">V oceni kemijskega stanja površinskih voda so upoštevani podatki za obdobje od leta 2014 do 2019. V oceni so zajeti vsi rezultati analiz parametrov, ki imajo mejo določljivosti (LOQ) manjšo ali enako okoljskim standardom kakovosti za dobro kemijsko stanje. Ocena kemijskega stanja za matriks voda je podana na podlagi izvedenih analiz parametrov kemijskega stanja v vodi. Za matriks biota je ocena kemijskega stanja podana na podlagi izvedenih analiz v bioti, pri čemer je za parametra živo srebro (Hg) in bromirane difeniletre (BDE) izvedena ekstrapolacija slabega kemijskega stanja tudi na </w:t>
      </w:r>
      <w:r w:rsidRPr="00545EC0">
        <w:rPr>
          <w:rFonts w:cs="Arial"/>
        </w:rPr>
        <w:lastRenderedPageBreak/>
        <w:t xml:space="preserve">preostala vodna telesa površinskih voda, kjer monitoring ni potekal, saj gre za splošno prisotni onesnaževali, ki sta v bioti prekomerno prisotni tako v Sloveniji kot tudi drugje po Evropi. Za skupno oceno kemijskega stanja sta oceni za matriks voda in biota združeni v eno oceno. Posebej je podana tudi ocena kemijskega stanja za matriks voda in biota skupaj, brez splošno prisotnih snovi (PBT). Splošno prisotne snovi so snovi, katerih uporaba in emisije so bile že pred leti odpravljene, vendar so te snovi zaradi njihovih lastnosti v okolju še vedno prisotne. </w:t>
      </w:r>
      <w:r w:rsidRPr="00545EC0">
        <w:t xml:space="preserve">Nekatere snovi se lahko prenašajo tudi na velike razdalje in so v okolju splošno prisotne. Pri prikazu kemijskega stanja imamo zato države članice možnost, da prikažemo kemijsko stanje brez splošno prisotnih snovi, da se prikaže izboljšanje kakovosti vode, ki je bilo doseženo pri drugih snoveh. </w:t>
      </w:r>
    </w:p>
    <w:p w14:paraId="51EFAE15" w14:textId="77777777" w:rsidR="00AA23DA" w:rsidRPr="00545EC0" w:rsidRDefault="00AA23DA" w:rsidP="00581CEA">
      <w:pPr>
        <w:rPr>
          <w:rFonts w:cs="Arial"/>
        </w:rPr>
      </w:pPr>
    </w:p>
    <w:p w14:paraId="72F6486C" w14:textId="75CEDB03" w:rsidR="00AA23DA" w:rsidRPr="00545EC0" w:rsidRDefault="00AA23DA" w:rsidP="00581CEA">
      <w:pPr>
        <w:rPr>
          <w:rFonts w:cs="Arial"/>
        </w:rPr>
      </w:pPr>
      <w:r w:rsidRPr="00545EC0">
        <w:rPr>
          <w:rFonts w:cs="Arial"/>
        </w:rPr>
        <w:t xml:space="preserve">V nadaljevanju in na </w:t>
      </w:r>
      <w:r w:rsidR="00966E3C" w:rsidRPr="00545EC0">
        <w:rPr>
          <w:rFonts w:cs="Arial"/>
        </w:rPr>
        <w:t xml:space="preserve">publikacijskih </w:t>
      </w:r>
      <w:r w:rsidRPr="00545EC0">
        <w:rPr>
          <w:rFonts w:cs="Arial"/>
        </w:rPr>
        <w:t>kartah je kemijsko stanje površinskih voda prikazano kot:</w:t>
      </w:r>
    </w:p>
    <w:p w14:paraId="484B9BA0" w14:textId="77777777" w:rsidR="00966E3C" w:rsidRPr="004168CD" w:rsidRDefault="00141004" w:rsidP="00DD37C5">
      <w:pPr>
        <w:pStyle w:val="Odstavekseznama"/>
        <w:numPr>
          <w:ilvl w:val="0"/>
          <w:numId w:val="112"/>
        </w:numPr>
        <w:rPr>
          <w:rFonts w:cs="Arial"/>
        </w:rPr>
      </w:pPr>
      <w:r w:rsidRPr="00545EC0">
        <w:rPr>
          <w:rFonts w:cs="Arial"/>
          <w:lang w:val="sl-SI"/>
        </w:rPr>
        <w:t>o</w:t>
      </w:r>
      <w:r w:rsidR="00AA23DA" w:rsidRPr="00545EC0">
        <w:rPr>
          <w:rFonts w:cs="Arial"/>
        </w:rPr>
        <w:t>cena kemijskega stanja vodnih teles površinskih voda za matriks voda za obdobje 2014–2019</w:t>
      </w:r>
      <w:r w:rsidRPr="00545EC0">
        <w:rPr>
          <w:rFonts w:cs="Arial"/>
          <w:lang w:val="sl-SI"/>
        </w:rPr>
        <w:t>,</w:t>
      </w:r>
    </w:p>
    <w:p w14:paraId="26D8C49D" w14:textId="77777777" w:rsidR="00966E3C" w:rsidRPr="004168CD" w:rsidRDefault="00141004" w:rsidP="00DD37C5">
      <w:pPr>
        <w:pStyle w:val="Odstavekseznama"/>
        <w:numPr>
          <w:ilvl w:val="0"/>
          <w:numId w:val="112"/>
        </w:numPr>
        <w:rPr>
          <w:rFonts w:cs="Arial"/>
        </w:rPr>
      </w:pPr>
      <w:r w:rsidRPr="00545EC0">
        <w:rPr>
          <w:rFonts w:cs="Arial"/>
          <w:lang w:val="sl-SI"/>
        </w:rPr>
        <w:t>o</w:t>
      </w:r>
      <w:r w:rsidR="00AA23DA" w:rsidRPr="00545EC0">
        <w:rPr>
          <w:rFonts w:cs="Arial"/>
        </w:rPr>
        <w:t>cena kemijskega stanja vodnih teles površinskih voda za matriks biota za obdobje 2014–2019</w:t>
      </w:r>
      <w:r w:rsidRPr="00545EC0">
        <w:rPr>
          <w:rFonts w:cs="Arial"/>
          <w:lang w:val="sl-SI"/>
        </w:rPr>
        <w:t>,</w:t>
      </w:r>
    </w:p>
    <w:p w14:paraId="2046812C" w14:textId="77777777" w:rsidR="00966E3C" w:rsidRPr="004168CD" w:rsidRDefault="00141004" w:rsidP="00DD37C5">
      <w:pPr>
        <w:pStyle w:val="Odstavekseznama"/>
        <w:numPr>
          <w:ilvl w:val="0"/>
          <w:numId w:val="112"/>
        </w:numPr>
        <w:rPr>
          <w:rFonts w:cs="Arial"/>
        </w:rPr>
      </w:pPr>
      <w:r w:rsidRPr="00545EC0">
        <w:rPr>
          <w:rFonts w:cs="Arial"/>
          <w:lang w:val="sl-SI"/>
        </w:rPr>
        <w:t>o</w:t>
      </w:r>
      <w:r w:rsidR="00AA23DA" w:rsidRPr="00545EC0">
        <w:rPr>
          <w:rFonts w:cs="Arial"/>
        </w:rPr>
        <w:t>cena kemijskega stanja vodnih teles površinskih voda za matriks voda in biota skupaj za obdobje 2014–2019</w:t>
      </w:r>
      <w:r w:rsidRPr="00545EC0">
        <w:rPr>
          <w:rFonts w:cs="Arial"/>
          <w:lang w:val="sl-SI"/>
        </w:rPr>
        <w:t xml:space="preserve"> in</w:t>
      </w:r>
    </w:p>
    <w:p w14:paraId="68C26E85" w14:textId="4BD642D6" w:rsidR="00AA23DA" w:rsidRPr="00545EC0" w:rsidRDefault="00141004" w:rsidP="00DD37C5">
      <w:pPr>
        <w:pStyle w:val="Odstavekseznama"/>
        <w:numPr>
          <w:ilvl w:val="0"/>
          <w:numId w:val="112"/>
        </w:numPr>
        <w:rPr>
          <w:rFonts w:cs="Arial"/>
        </w:rPr>
      </w:pPr>
      <w:r w:rsidRPr="00545EC0">
        <w:rPr>
          <w:rFonts w:cs="Arial"/>
          <w:lang w:val="sl-SI"/>
        </w:rPr>
        <w:t>o</w:t>
      </w:r>
      <w:r w:rsidR="00AA23DA" w:rsidRPr="00545EC0">
        <w:rPr>
          <w:rFonts w:cs="Arial"/>
        </w:rPr>
        <w:t>cena kemijskega stanja vodnih teles površinskih voda za matriks voda in biota skupaj brez splošno prisotnih snovi (PBT) za obdobje 2014–2019</w:t>
      </w:r>
      <w:r w:rsidRPr="00545EC0">
        <w:rPr>
          <w:rFonts w:cs="Arial"/>
          <w:lang w:val="sl-SI"/>
        </w:rPr>
        <w:t>.</w:t>
      </w:r>
    </w:p>
    <w:p w14:paraId="52BDDFCF" w14:textId="687B68B5" w:rsidR="00BB64AE" w:rsidRPr="00545EC0" w:rsidRDefault="00BB64AE" w:rsidP="00581CEA">
      <w:pPr>
        <w:tabs>
          <w:tab w:val="left" w:pos="1567"/>
        </w:tabs>
        <w:rPr>
          <w:rFonts w:cs="Arial"/>
        </w:rPr>
      </w:pPr>
      <w:r w:rsidRPr="00545EC0">
        <w:t>Razvrstitev vodnih teles površinskih voda v razrede kemijskega stanja so podane v preglednicah v prilogi</w:t>
      </w:r>
      <w:r w:rsidR="00BE10BF" w:rsidRPr="00545EC0">
        <w:t xml:space="preserve"> (Priloga </w:t>
      </w:r>
      <w:r w:rsidRPr="00545EC0">
        <w:t>9.11.2</w:t>
      </w:r>
      <w:r w:rsidR="00BE10BF" w:rsidRPr="00545EC0">
        <w:t>)</w:t>
      </w:r>
      <w:r w:rsidRPr="00545EC0">
        <w:t>.</w:t>
      </w:r>
    </w:p>
    <w:p w14:paraId="0616CF9E" w14:textId="77777777" w:rsidR="00AA23DA" w:rsidRPr="00545EC0" w:rsidRDefault="00AA23DA" w:rsidP="00581CEA">
      <w:pPr>
        <w:tabs>
          <w:tab w:val="left" w:pos="1567"/>
        </w:tabs>
        <w:rPr>
          <w:rFonts w:cs="Arial"/>
        </w:rPr>
      </w:pPr>
      <w:r w:rsidRPr="00545EC0">
        <w:rPr>
          <w:rFonts w:cs="Arial"/>
        </w:rPr>
        <w:tab/>
      </w:r>
    </w:p>
    <w:p w14:paraId="34279812" w14:textId="77777777" w:rsidR="00AA23DA" w:rsidRPr="00545EC0" w:rsidRDefault="00AA23DA" w:rsidP="00581CEA">
      <w:pPr>
        <w:rPr>
          <w:rFonts w:cs="Arial"/>
          <w:b/>
        </w:rPr>
      </w:pPr>
      <w:r w:rsidRPr="00545EC0">
        <w:rPr>
          <w:rFonts w:cs="Arial"/>
          <w:b/>
        </w:rPr>
        <w:t>Ocena kemijskega stanja vodnih teles površinskih voda za matriks voda za obdobje 2014–2019</w:t>
      </w:r>
    </w:p>
    <w:p w14:paraId="5D7D6808" w14:textId="77777777" w:rsidR="00AA23DA" w:rsidRPr="00545EC0" w:rsidRDefault="00AA23DA" w:rsidP="00581CEA">
      <w:pPr>
        <w:rPr>
          <w:rFonts w:cs="Arial"/>
        </w:rPr>
      </w:pPr>
    </w:p>
    <w:p w14:paraId="19E0283C" w14:textId="5BBB0802" w:rsidR="00AA23DA" w:rsidRPr="00545EC0" w:rsidRDefault="00AA23DA" w:rsidP="00127B36">
      <w:r w:rsidRPr="00545EC0">
        <w:t>Na vodnem območju Donave je dobro kemijsko stanje v vodi ugotovljeno za 119 (98,3 %) vodnih teles površinskih voda, za dve vodni telesi (1,7 %) je ugotovljeno slabo kemijsko stanje</w:t>
      </w:r>
      <w:r w:rsidR="006B4CEA" w:rsidRPr="00545EC0">
        <w:t xml:space="preserve"> (</w:t>
      </w:r>
      <w:r w:rsidR="006B4CEA" w:rsidRPr="00545EC0">
        <w:fldChar w:fldCharType="begin"/>
      </w:r>
      <w:r w:rsidR="006B4CEA" w:rsidRPr="00545EC0">
        <w:instrText xml:space="preserve"> REF _Ref87017539 \h  \* MERGEFORMAT </w:instrText>
      </w:r>
      <w:r w:rsidR="006B4CEA" w:rsidRPr="00545EC0">
        <w:fldChar w:fldCharType="separate"/>
      </w:r>
      <w:r w:rsidR="002F3E43" w:rsidRPr="00545EC0">
        <w:t xml:space="preserve">Slika </w:t>
      </w:r>
      <w:r w:rsidR="002F3E43">
        <w:rPr>
          <w:noProof/>
        </w:rPr>
        <w:t>3</w:t>
      </w:r>
      <w:r w:rsidR="002F3E43" w:rsidRPr="00545EC0">
        <w:rPr>
          <w:noProof/>
        </w:rPr>
        <w:noBreakHyphen/>
      </w:r>
      <w:r w:rsidR="002F3E43">
        <w:rPr>
          <w:noProof/>
        </w:rPr>
        <w:t>2</w:t>
      </w:r>
      <w:r w:rsidR="006B4CEA" w:rsidRPr="00545EC0">
        <w:fldChar w:fldCharType="end"/>
      </w:r>
      <w:r w:rsidR="006B4CEA" w:rsidRPr="00545EC0">
        <w:t>)</w:t>
      </w:r>
      <w:r w:rsidRPr="00545EC0">
        <w:t xml:space="preserve">. </w:t>
      </w:r>
      <w:r w:rsidRPr="00545EC0">
        <w:rPr>
          <w:rFonts w:cs="Arial"/>
        </w:rPr>
        <w:t xml:space="preserve">Slabo kemijsko stanje v matriksu voda je ocenjeno na Meži zaradi preseganja okoljskega standarda kakovosti za kadmij in svinec ter na Iščici zaradi preseganja okoljskega standarda kakovosti za nikelj. </w:t>
      </w:r>
      <w:r w:rsidR="00BE10BF" w:rsidRPr="00545EC0">
        <w:t xml:space="preserve">Razvrstitev vodnih teles površinskih voda v razreda kemijskega stanja </w:t>
      </w:r>
      <w:r w:rsidR="00CA1351" w:rsidRPr="00545EC0">
        <w:t xml:space="preserve">za matriks voda </w:t>
      </w:r>
      <w:r w:rsidR="00BE10BF" w:rsidRPr="00545EC0">
        <w:t xml:space="preserve">za vodno območje Donave je podana v preglednici v prilogi (Priloga 9.11.2). </w:t>
      </w:r>
    </w:p>
    <w:p w14:paraId="1192B145" w14:textId="77777777" w:rsidR="00BE10BF" w:rsidRPr="00545EC0" w:rsidRDefault="00BE10BF" w:rsidP="00581CEA"/>
    <w:p w14:paraId="2D240A1D" w14:textId="77777777" w:rsidR="002F3E43" w:rsidRPr="00545EC0" w:rsidRDefault="006B4CEA" w:rsidP="002F3E43">
      <w:r w:rsidRPr="00545EC0">
        <w:lastRenderedPageBreak/>
        <w:t xml:space="preserve">Delež vodnih teles v dobrem oziroma v slabem kemijskem stanju </w:t>
      </w:r>
      <w:r w:rsidR="00BE10BF" w:rsidRPr="00545EC0">
        <w:t xml:space="preserve">na območju Slovenije </w:t>
      </w:r>
      <w:r w:rsidR="00432EA2" w:rsidRPr="00545EC0">
        <w:t xml:space="preserve">v ocenjevalnih obdobjih 2006-2008, 2009-2013 in 2014-2019 </w:t>
      </w:r>
      <w:r w:rsidR="00966E3C" w:rsidRPr="004168CD">
        <w:t>je prikazan na sliki (</w:t>
      </w:r>
      <w:r w:rsidR="00966E3C" w:rsidRPr="004168CD">
        <w:fldChar w:fldCharType="begin"/>
      </w:r>
      <w:r w:rsidR="00966E3C" w:rsidRPr="004168CD">
        <w:instrText xml:space="preserve"> REF _Ref84341357 \h  \* MERGEFORMAT </w:instrText>
      </w:r>
      <w:r w:rsidR="00966E3C" w:rsidRPr="004168CD">
        <w:fldChar w:fldCharType="separate"/>
      </w:r>
      <w:r w:rsidR="002F3E43" w:rsidRPr="00545EC0">
        <w:rPr>
          <w:noProof/>
        </w:rPr>
        <w:drawing>
          <wp:inline distT="0" distB="0" distL="0" distR="0" wp14:anchorId="29638DE7" wp14:editId="650E185C">
            <wp:extent cx="4724400" cy="3111061"/>
            <wp:effectExtent l="0" t="0" r="0" b="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26793" cy="3112637"/>
                    </a:xfrm>
                    <a:prstGeom prst="rect">
                      <a:avLst/>
                    </a:prstGeom>
                    <a:noFill/>
                  </pic:spPr>
                </pic:pic>
              </a:graphicData>
            </a:graphic>
          </wp:inline>
        </w:drawing>
      </w:r>
    </w:p>
    <w:p w14:paraId="7B9D5048" w14:textId="77777777" w:rsidR="002F3E43" w:rsidRPr="00545EC0" w:rsidRDefault="002F3E43" w:rsidP="002F3E43">
      <w:r w:rsidRPr="00545EC0">
        <w:rPr>
          <w:noProof/>
        </w:rPr>
        <w:t>Slika</w:t>
      </w:r>
      <w:r w:rsidRPr="00545EC0">
        <w:t xml:space="preserve"> </w:t>
      </w:r>
      <w:r>
        <w:rPr>
          <w:noProof/>
        </w:rPr>
        <w:t>3</w:t>
      </w:r>
      <w:r w:rsidRPr="00545EC0">
        <w:rPr>
          <w:noProof/>
        </w:rPr>
        <w:noBreakHyphen/>
      </w:r>
      <w:r>
        <w:rPr>
          <w:noProof/>
        </w:rPr>
        <w:t>1</w:t>
      </w:r>
      <w:r w:rsidR="00966E3C" w:rsidRPr="004168CD">
        <w:fldChar w:fldCharType="end"/>
      </w:r>
      <w:r w:rsidR="00966E3C" w:rsidRPr="004168CD">
        <w:t xml:space="preserve">). </w:t>
      </w:r>
      <w:r w:rsidR="00432EA2" w:rsidRPr="004168CD">
        <w:t>D</w:t>
      </w:r>
      <w:r w:rsidR="00497D90" w:rsidRPr="004168CD">
        <w:t xml:space="preserve">elež vodnih teles površinskih voda </w:t>
      </w:r>
      <w:r w:rsidR="00432EA2" w:rsidRPr="004168CD">
        <w:t xml:space="preserve">na območju Slovenije </w:t>
      </w:r>
      <w:r w:rsidR="00497D90" w:rsidRPr="004168CD">
        <w:t xml:space="preserve">v slabem kemijskem stanju </w:t>
      </w:r>
      <w:r w:rsidR="00432EA2" w:rsidRPr="004168CD">
        <w:t>za matriks voda za</w:t>
      </w:r>
      <w:r w:rsidR="00AA23DA" w:rsidRPr="004168CD">
        <w:t xml:space="preserve"> obdobj</w:t>
      </w:r>
      <w:r w:rsidR="00432EA2" w:rsidRPr="004168CD">
        <w:t>e</w:t>
      </w:r>
      <w:r w:rsidR="00AA23DA" w:rsidRPr="004168CD">
        <w:t xml:space="preserve"> 2014–2019 </w:t>
      </w:r>
      <w:r w:rsidR="00432EA2" w:rsidRPr="004168CD">
        <w:t>je manjš</w:t>
      </w:r>
      <w:r w:rsidR="00B10C14" w:rsidRPr="00545EC0">
        <w:t>e</w:t>
      </w:r>
      <w:r w:rsidR="00432EA2" w:rsidRPr="00545EC0">
        <w:t xml:space="preserve"> v primerjavi s predhodnim obdobjem 2009-2013 </w:t>
      </w:r>
      <w:r w:rsidR="00966E3C" w:rsidRPr="00545EC0">
        <w:t>(</w:t>
      </w:r>
      <w:r w:rsidR="00966E3C" w:rsidRPr="004168CD">
        <w:fldChar w:fldCharType="begin"/>
      </w:r>
      <w:r w:rsidR="00966E3C" w:rsidRPr="004168CD">
        <w:instrText xml:space="preserve"> REF _Ref84341357 \h  \* MERGEFORMAT </w:instrText>
      </w:r>
      <w:r w:rsidR="00966E3C" w:rsidRPr="004168CD">
        <w:fldChar w:fldCharType="separate"/>
      </w:r>
      <w:r w:rsidRPr="00545EC0">
        <w:rPr>
          <w:noProof/>
        </w:rPr>
        <w:drawing>
          <wp:inline distT="0" distB="0" distL="0" distR="0" wp14:anchorId="29638DE7" wp14:editId="650E185C">
            <wp:extent cx="4724400" cy="3111061"/>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26793" cy="3112637"/>
                    </a:xfrm>
                    <a:prstGeom prst="rect">
                      <a:avLst/>
                    </a:prstGeom>
                    <a:noFill/>
                  </pic:spPr>
                </pic:pic>
              </a:graphicData>
            </a:graphic>
          </wp:inline>
        </w:drawing>
      </w:r>
    </w:p>
    <w:p w14:paraId="69E9B9FA" w14:textId="7B680588" w:rsidR="00B10C14" w:rsidRPr="00545EC0" w:rsidRDefault="002F3E43" w:rsidP="002534FA">
      <w:r w:rsidRPr="00545EC0">
        <w:rPr>
          <w:noProof/>
        </w:rPr>
        <w:t>Slika</w:t>
      </w:r>
      <w:r w:rsidRPr="00545EC0">
        <w:t xml:space="preserve"> </w:t>
      </w:r>
      <w:r>
        <w:rPr>
          <w:noProof/>
        </w:rPr>
        <w:t>3</w:t>
      </w:r>
      <w:r w:rsidRPr="00545EC0">
        <w:rPr>
          <w:noProof/>
        </w:rPr>
        <w:noBreakHyphen/>
      </w:r>
      <w:r>
        <w:rPr>
          <w:noProof/>
        </w:rPr>
        <w:t>1</w:t>
      </w:r>
      <w:r w:rsidR="00966E3C" w:rsidRPr="004168CD">
        <w:fldChar w:fldCharType="end"/>
      </w:r>
      <w:r w:rsidR="00966E3C" w:rsidRPr="004168CD">
        <w:t>)</w:t>
      </w:r>
      <w:r w:rsidR="00805FCE" w:rsidRPr="004168CD">
        <w:t xml:space="preserve"> zaradi doseganja dobrega kemijskega stanja na vodnih telesih morja</w:t>
      </w:r>
      <w:r w:rsidR="00966E3C" w:rsidRPr="004168CD">
        <w:t xml:space="preserve">. </w:t>
      </w:r>
    </w:p>
    <w:p w14:paraId="32E89B9D" w14:textId="77777777" w:rsidR="00B10C14" w:rsidRPr="00545EC0" w:rsidRDefault="00B10C14" w:rsidP="002534FA"/>
    <w:p w14:paraId="104CE2CF" w14:textId="48697859" w:rsidR="00497D90" w:rsidRPr="00545EC0" w:rsidRDefault="00B10C14" w:rsidP="002534FA">
      <w:r w:rsidRPr="00545EC0">
        <w:t xml:space="preserve">V primerjavi z oceno kemijskega stanja za predhodni načrt upravljanja voda se je kemijsko stanje površinskih voda na vodnem območju Donave za matriks voda v obdobju 2014-2019 poslabšalo na dveh vodnih telesih površinskih voda. </w:t>
      </w:r>
      <w:r w:rsidR="00497D90" w:rsidRPr="00545EC0">
        <w:t xml:space="preserve">Kemijsko stanje vodnih teles površinskih voda za matriks voda v Sloveniji je prikazano na publikacijski karti </w:t>
      </w:r>
      <w:r w:rsidR="00497D90" w:rsidRPr="00545EC0">
        <w:rPr>
          <w:i/>
        </w:rPr>
        <w:t xml:space="preserve">(Publikacijska karta 13.2: Ocena kemijskega stanja površinskih voda za matriks voda). </w:t>
      </w:r>
    </w:p>
    <w:p w14:paraId="4774330E" w14:textId="46FB2EFE" w:rsidR="00AA23DA" w:rsidRPr="00545EC0" w:rsidRDefault="00AA23DA" w:rsidP="00581CEA"/>
    <w:p w14:paraId="16C3DDEA" w14:textId="7C18D5FA" w:rsidR="00AA23DA" w:rsidRPr="00545EC0" w:rsidRDefault="00AA23DA" w:rsidP="00581CEA">
      <w:pPr>
        <w:rPr>
          <w:rFonts w:cs="Arial"/>
        </w:rPr>
      </w:pPr>
      <w:r w:rsidRPr="00545EC0">
        <w:rPr>
          <w:rFonts w:cs="Arial"/>
        </w:rPr>
        <w:t xml:space="preserve"> </w:t>
      </w:r>
    </w:p>
    <w:p w14:paraId="73250923" w14:textId="77777777" w:rsidR="00AA23DA" w:rsidRPr="00545EC0" w:rsidRDefault="00AA23DA" w:rsidP="00AA23DA">
      <w:pPr>
        <w:jc w:val="center"/>
        <w:rPr>
          <w:rFonts w:cs="Arial"/>
        </w:rPr>
      </w:pPr>
    </w:p>
    <w:p w14:paraId="68EAB4F5" w14:textId="2D46B099" w:rsidR="00F854EB" w:rsidRPr="00545EC0" w:rsidRDefault="00F854EB" w:rsidP="00F854EB">
      <w:pPr>
        <w:keepNext/>
      </w:pPr>
    </w:p>
    <w:p w14:paraId="338771E2" w14:textId="3254954B" w:rsidR="00B10C14" w:rsidRPr="00545EC0" w:rsidRDefault="00B10C14" w:rsidP="004168CD">
      <w:pPr>
        <w:pStyle w:val="Napis"/>
        <w:jc w:val="center"/>
      </w:pPr>
      <w:bookmarkStart w:id="504" w:name="_Ref84341357"/>
      <w:r w:rsidRPr="00545EC0">
        <w:rPr>
          <w:noProof/>
          <w:lang w:eastAsia="sl-SI"/>
        </w:rPr>
        <w:drawing>
          <wp:inline distT="0" distB="0" distL="0" distR="0" wp14:anchorId="29638DE7" wp14:editId="650E185C">
            <wp:extent cx="4724400" cy="3111061"/>
            <wp:effectExtent l="0" t="0" r="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26793" cy="3112637"/>
                    </a:xfrm>
                    <a:prstGeom prst="rect">
                      <a:avLst/>
                    </a:prstGeom>
                    <a:noFill/>
                  </pic:spPr>
                </pic:pic>
              </a:graphicData>
            </a:graphic>
          </wp:inline>
        </w:drawing>
      </w:r>
    </w:p>
    <w:p w14:paraId="519DE660" w14:textId="0F20F0C7" w:rsidR="00B10C14" w:rsidRPr="00545EC0" w:rsidRDefault="00F854EB" w:rsidP="00F854EB">
      <w:pPr>
        <w:pStyle w:val="Napis"/>
      </w:pPr>
      <w:r w:rsidRPr="00545EC0">
        <w:t xml:space="preserve">Slika </w:t>
      </w:r>
      <w:fldSimple w:instr=" STYLEREF 1 \s ">
        <w:r w:rsidR="002F3E43">
          <w:rPr>
            <w:noProof/>
          </w:rPr>
          <w:t>3</w:t>
        </w:r>
      </w:fldSimple>
      <w:r w:rsidR="00396E1E" w:rsidRPr="00545EC0">
        <w:noBreakHyphen/>
      </w:r>
      <w:fldSimple w:instr=" SEQ Slika \* ARABIC \s 1 ">
        <w:r w:rsidR="002F3E43">
          <w:rPr>
            <w:noProof/>
          </w:rPr>
          <w:t>1</w:t>
        </w:r>
      </w:fldSimple>
      <w:bookmarkEnd w:id="504"/>
      <w:r w:rsidRPr="00545EC0">
        <w:t xml:space="preserve">: </w:t>
      </w:r>
      <w:r w:rsidR="006C4F5A" w:rsidRPr="00545EC0">
        <w:t>Deleži vodnih teles površinskih voda glede na razvrstitev v razred</w:t>
      </w:r>
      <w:r w:rsidR="00805FCE" w:rsidRPr="00545EC0">
        <w:t>a</w:t>
      </w:r>
      <w:r w:rsidR="006C4F5A" w:rsidRPr="00545EC0">
        <w:t xml:space="preserve"> kemijskega stanja za matriks voda za Slovenijo v primerjavi s predhodnim</w:t>
      </w:r>
      <w:r w:rsidR="007351A9" w:rsidRPr="00545EC0">
        <w:t>a</w:t>
      </w:r>
      <w:r w:rsidR="006C4F5A" w:rsidRPr="00545EC0">
        <w:t xml:space="preserve"> načrt</w:t>
      </w:r>
      <w:r w:rsidR="007351A9" w:rsidRPr="00545EC0">
        <w:t>oma</w:t>
      </w:r>
      <w:r w:rsidR="006C4F5A" w:rsidRPr="00545EC0">
        <w:t xml:space="preserve"> </w:t>
      </w:r>
    </w:p>
    <w:p w14:paraId="43156520" w14:textId="77777777" w:rsidR="00B10C14" w:rsidRPr="00545EC0" w:rsidRDefault="00B10C14" w:rsidP="00F854EB">
      <w:pPr>
        <w:pStyle w:val="Napis"/>
      </w:pPr>
    </w:p>
    <w:p w14:paraId="6F0BE5A3" w14:textId="77777777" w:rsidR="00B10C14" w:rsidRPr="004168CD" w:rsidRDefault="00B10C14" w:rsidP="004168CD">
      <w:pPr>
        <w:rPr>
          <w:lang w:eastAsia="x-none"/>
        </w:rPr>
      </w:pPr>
    </w:p>
    <w:p w14:paraId="50E8D56F" w14:textId="111CDDDF" w:rsidR="00F854EB" w:rsidRPr="00545EC0" w:rsidRDefault="00B10C14" w:rsidP="00F854EB">
      <w:pPr>
        <w:keepNext/>
        <w:jc w:val="center"/>
      </w:pPr>
      <w:r w:rsidRPr="00545EC0">
        <w:rPr>
          <w:noProof/>
        </w:rPr>
        <w:drawing>
          <wp:inline distT="0" distB="0" distL="0" distR="0" wp14:anchorId="1AA03255" wp14:editId="4F210CEF">
            <wp:extent cx="4732123" cy="3200213"/>
            <wp:effectExtent l="0" t="0" r="0" b="635"/>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30017" cy="3198789"/>
                    </a:xfrm>
                    <a:prstGeom prst="rect">
                      <a:avLst/>
                    </a:prstGeom>
                    <a:noFill/>
                  </pic:spPr>
                </pic:pic>
              </a:graphicData>
            </a:graphic>
          </wp:inline>
        </w:drawing>
      </w:r>
    </w:p>
    <w:p w14:paraId="776AE099" w14:textId="74EEFB14" w:rsidR="00AA23DA" w:rsidRPr="00545EC0" w:rsidRDefault="00F854EB" w:rsidP="00F854EB">
      <w:pPr>
        <w:pStyle w:val="Napis"/>
      </w:pPr>
      <w:bookmarkStart w:id="505" w:name="_Ref87017539"/>
      <w:r w:rsidRPr="00545EC0">
        <w:t xml:space="preserve">Slika </w:t>
      </w:r>
      <w:fldSimple w:instr=" STYLEREF 1 \s ">
        <w:r w:rsidR="002F3E43">
          <w:rPr>
            <w:noProof/>
          </w:rPr>
          <w:t>3</w:t>
        </w:r>
      </w:fldSimple>
      <w:r w:rsidR="00396E1E" w:rsidRPr="00545EC0">
        <w:noBreakHyphen/>
      </w:r>
      <w:fldSimple w:instr=" SEQ Slika \* ARABIC \s 1 ">
        <w:r w:rsidR="002F3E43">
          <w:rPr>
            <w:noProof/>
          </w:rPr>
          <w:t>2</w:t>
        </w:r>
      </w:fldSimple>
      <w:bookmarkEnd w:id="505"/>
      <w:r w:rsidRPr="00545EC0">
        <w:t xml:space="preserve">: </w:t>
      </w:r>
      <w:r w:rsidR="006C4F5A" w:rsidRPr="00545EC0">
        <w:t xml:space="preserve">Deleži </w:t>
      </w:r>
      <w:r w:rsidRPr="00545EC0">
        <w:t xml:space="preserve">vodnih teles površinskih voda </w:t>
      </w:r>
      <w:r w:rsidR="006C4F5A" w:rsidRPr="00545EC0">
        <w:t xml:space="preserve">glede na razvrstitev </w:t>
      </w:r>
      <w:r w:rsidRPr="00545EC0">
        <w:t>v razred</w:t>
      </w:r>
      <w:r w:rsidR="00805FCE" w:rsidRPr="00545EC0">
        <w:t>a</w:t>
      </w:r>
      <w:r w:rsidRPr="00545EC0">
        <w:t xml:space="preserve"> kemijskega stanja za matriks voda za vodno območje Donave v primerjavi s predhodnimi načrti</w:t>
      </w:r>
    </w:p>
    <w:p w14:paraId="5A373668" w14:textId="77777777" w:rsidR="00AA23DA" w:rsidRPr="00545EC0" w:rsidRDefault="00AA23DA" w:rsidP="00AA23DA">
      <w:pPr>
        <w:rPr>
          <w:rFonts w:cs="Arial"/>
        </w:rPr>
      </w:pPr>
    </w:p>
    <w:p w14:paraId="54C823CE" w14:textId="77777777" w:rsidR="001A0D0D" w:rsidRPr="00545EC0" w:rsidRDefault="001A0D0D" w:rsidP="00AA23DA">
      <w:pPr>
        <w:rPr>
          <w:rFonts w:cs="Arial"/>
        </w:rPr>
      </w:pPr>
    </w:p>
    <w:p w14:paraId="0FD6D6AD" w14:textId="580CD4B0" w:rsidR="00AA23DA" w:rsidRPr="00545EC0" w:rsidRDefault="00AA23DA" w:rsidP="00581CEA">
      <w:pPr>
        <w:rPr>
          <w:rFonts w:cs="Arial"/>
          <w:b/>
        </w:rPr>
      </w:pPr>
      <w:r w:rsidRPr="00545EC0">
        <w:rPr>
          <w:rFonts w:cs="Arial"/>
          <w:b/>
        </w:rPr>
        <w:t>Ocena kemijskega stanja vodnih teles površinskih voda za matriks biota za obdobje 2014–2019</w:t>
      </w:r>
    </w:p>
    <w:p w14:paraId="1D1273CC" w14:textId="77777777" w:rsidR="001A0D0D" w:rsidRPr="00545EC0" w:rsidRDefault="001A0D0D" w:rsidP="00581CEA">
      <w:pPr>
        <w:rPr>
          <w:rFonts w:cs="Arial"/>
          <w:b/>
        </w:rPr>
      </w:pPr>
    </w:p>
    <w:p w14:paraId="71AF55D2" w14:textId="54053FFA" w:rsidR="00BB64AE" w:rsidRPr="00545EC0" w:rsidRDefault="00BD0A29" w:rsidP="00581CEA">
      <w:r w:rsidRPr="00545EC0">
        <w:rPr>
          <w:rFonts w:cs="Arial"/>
        </w:rPr>
        <w:t xml:space="preserve">Meritve parametrov kemijskega stanja </w:t>
      </w:r>
      <w:r w:rsidR="00BC19B9" w:rsidRPr="00545EC0">
        <w:rPr>
          <w:rFonts w:cs="Arial"/>
        </w:rPr>
        <w:t xml:space="preserve">za matriks biota </w:t>
      </w:r>
      <w:r w:rsidRPr="00545EC0">
        <w:rPr>
          <w:rFonts w:cs="Arial"/>
        </w:rPr>
        <w:t>so se izvajale za parametre za keter</w:t>
      </w:r>
      <w:r w:rsidR="007351A9" w:rsidRPr="00545EC0">
        <w:rPr>
          <w:rFonts w:cs="Arial"/>
        </w:rPr>
        <w:t>a</w:t>
      </w:r>
      <w:r w:rsidRPr="00545EC0">
        <w:rPr>
          <w:rFonts w:cs="Arial"/>
        </w:rPr>
        <w:t xml:space="preserve"> so v predpisu, ki ureja stanje površinsk</w:t>
      </w:r>
      <w:r w:rsidR="007351A9" w:rsidRPr="00545EC0">
        <w:rPr>
          <w:rFonts w:cs="Arial"/>
        </w:rPr>
        <w:t>i</w:t>
      </w:r>
      <w:r w:rsidRPr="00545EC0">
        <w:rPr>
          <w:rFonts w:cs="Arial"/>
        </w:rPr>
        <w:t xml:space="preserve">h voda, določeni OSK za organizme. </w:t>
      </w:r>
      <w:r w:rsidR="00BB64AE" w:rsidRPr="00545EC0">
        <w:t xml:space="preserve"> Razvrstitev vodnih teles </w:t>
      </w:r>
      <w:r w:rsidR="00BB64AE" w:rsidRPr="00545EC0">
        <w:lastRenderedPageBreak/>
        <w:t>površinskih voda v razred</w:t>
      </w:r>
      <w:r w:rsidR="007351A9" w:rsidRPr="00545EC0">
        <w:t>a</w:t>
      </w:r>
      <w:r w:rsidR="00BB64AE" w:rsidRPr="00545EC0">
        <w:t xml:space="preserve"> kemijskega stanja za matriks biota je podana v preglednici v prilogi </w:t>
      </w:r>
      <w:r w:rsidR="007351A9" w:rsidRPr="00545EC0">
        <w:t xml:space="preserve">(Priloga </w:t>
      </w:r>
      <w:r w:rsidR="00BB64AE" w:rsidRPr="00545EC0">
        <w:t>9.11.2</w:t>
      </w:r>
      <w:r w:rsidR="007351A9" w:rsidRPr="00545EC0">
        <w:t>)</w:t>
      </w:r>
      <w:r w:rsidR="00BB64AE" w:rsidRPr="00545EC0">
        <w:t xml:space="preserve">. </w:t>
      </w:r>
    </w:p>
    <w:p w14:paraId="30EFC610" w14:textId="77777777" w:rsidR="00BB64AE" w:rsidRPr="00545EC0" w:rsidRDefault="00BB64AE" w:rsidP="00581CEA"/>
    <w:p w14:paraId="658F8F69" w14:textId="43BAEF6E" w:rsidR="00BD0A29" w:rsidRPr="00545EC0" w:rsidRDefault="00AA23DA" w:rsidP="00581CEA">
      <w:pPr>
        <w:rPr>
          <w:rFonts w:cs="Arial"/>
        </w:rPr>
      </w:pPr>
      <w:r w:rsidRPr="00545EC0">
        <w:rPr>
          <w:rFonts w:cs="Arial"/>
        </w:rPr>
        <w:t xml:space="preserve">Ocene kemijskega stanja površinskih voda za matriks biota kažejo, da </w:t>
      </w:r>
      <w:r w:rsidR="00BD0A29" w:rsidRPr="00545EC0">
        <w:rPr>
          <w:rFonts w:cs="Arial"/>
        </w:rPr>
        <w:t xml:space="preserve">sta v Sloveniji podobno kot v vseh evropskih državah, </w:t>
      </w:r>
      <w:r w:rsidRPr="00545EC0">
        <w:rPr>
          <w:rFonts w:cs="Arial"/>
        </w:rPr>
        <w:t xml:space="preserve">snovi, ki povzročata slabo kemijsko stanje vodnih teles površinskih voda </w:t>
      </w:r>
      <w:r w:rsidR="00BC19B9" w:rsidRPr="00545EC0">
        <w:rPr>
          <w:rFonts w:cs="Arial"/>
        </w:rPr>
        <w:t xml:space="preserve">zaradi prseganja OSK </w:t>
      </w:r>
      <w:r w:rsidRPr="00545EC0">
        <w:rPr>
          <w:rFonts w:cs="Arial"/>
        </w:rPr>
        <w:t xml:space="preserve">v bioti, živo srebro in bromirani difeniletri (BDE). </w:t>
      </w:r>
      <w:r w:rsidR="00A73C67" w:rsidRPr="00545EC0">
        <w:rPr>
          <w:rFonts w:cs="Arial"/>
        </w:rPr>
        <w:t xml:space="preserve">Slabo kemijsko stanje zaradi preseganja </w:t>
      </w:r>
      <w:r w:rsidR="007351A9" w:rsidRPr="00545EC0">
        <w:rPr>
          <w:rFonts w:cs="Arial"/>
        </w:rPr>
        <w:t>OSK</w:t>
      </w:r>
      <w:r w:rsidR="00A73C67" w:rsidRPr="00545EC0">
        <w:rPr>
          <w:rFonts w:cs="Arial"/>
        </w:rPr>
        <w:t xml:space="preserve"> za živo srebro v bioti je bilo ugotovljeno za 98,6 % vodnih teles površinskih voda že v predhodnem načrtu upravljanja voda. Živo srebro in bromirani difeniletri </w:t>
      </w:r>
      <w:r w:rsidRPr="00545EC0">
        <w:rPr>
          <w:rFonts w:cs="Arial"/>
        </w:rPr>
        <w:t>sta snovi, ki sodita med splošno prisotna onesnaževala (</w:t>
      </w:r>
      <w:r w:rsidR="00BD0A29" w:rsidRPr="00545EC0">
        <w:rPr>
          <w:rFonts w:cs="Arial"/>
        </w:rPr>
        <w:t xml:space="preserve">t.i. </w:t>
      </w:r>
      <w:r w:rsidRPr="00545EC0">
        <w:rPr>
          <w:rFonts w:cs="Arial"/>
        </w:rPr>
        <w:t>PBT</w:t>
      </w:r>
      <w:r w:rsidR="00BD0A29" w:rsidRPr="00545EC0">
        <w:rPr>
          <w:rFonts w:cs="Arial"/>
        </w:rPr>
        <w:t xml:space="preserve"> onesnaževala</w:t>
      </w:r>
      <w:r w:rsidRPr="00545EC0">
        <w:rPr>
          <w:rFonts w:cs="Arial"/>
        </w:rPr>
        <w:t xml:space="preserve">) in se akumulirata v organizmih. Podobno stanje se kaže v vseh evropskih državah, ki so že izvedle analize teh snovi v ribah. </w:t>
      </w:r>
    </w:p>
    <w:p w14:paraId="22134E25" w14:textId="77777777" w:rsidR="00BD0A29" w:rsidRPr="00545EC0" w:rsidRDefault="00BD0A29" w:rsidP="00581CEA">
      <w:pPr>
        <w:rPr>
          <w:rFonts w:cs="Arial"/>
        </w:rPr>
      </w:pPr>
    </w:p>
    <w:p w14:paraId="3FF67327" w14:textId="67A5592B" w:rsidR="00AA23DA" w:rsidRPr="00545EC0" w:rsidRDefault="00AA23DA" w:rsidP="00581CEA">
      <w:pPr>
        <w:rPr>
          <w:rFonts w:cs="Arial"/>
          <w:i/>
        </w:rPr>
      </w:pPr>
      <w:r w:rsidRPr="00545EC0">
        <w:rPr>
          <w:rFonts w:cs="Arial"/>
        </w:rPr>
        <w:t xml:space="preserve">V Sloveniji </w:t>
      </w:r>
      <w:r w:rsidR="00064574" w:rsidRPr="00545EC0">
        <w:rPr>
          <w:rFonts w:cs="Arial"/>
        </w:rPr>
        <w:t xml:space="preserve">se je </w:t>
      </w:r>
      <w:r w:rsidRPr="00545EC0">
        <w:rPr>
          <w:rFonts w:cs="Arial"/>
        </w:rPr>
        <w:t xml:space="preserve">monitoring v bioti izvajal na 60 vodnih telesih površinskih voda, tako na meddržavnih profilih, na območjih brez vpliva človekovega delovanja kot tudi na onesnaženih območjih. Na vseh merilnih mestih, kjer so se izvedle analize živega srebra in bromiranih difeniletrov, so bila ugotovljena preseganja </w:t>
      </w:r>
      <w:r w:rsidR="00BD0A29" w:rsidRPr="00545EC0">
        <w:rPr>
          <w:rFonts w:cs="Arial"/>
        </w:rPr>
        <w:t>OSK</w:t>
      </w:r>
      <w:r w:rsidRPr="00545EC0">
        <w:rPr>
          <w:rFonts w:cs="Arial"/>
        </w:rPr>
        <w:t xml:space="preserve"> za organizme. </w:t>
      </w:r>
      <w:r w:rsidR="00064574" w:rsidRPr="00545EC0">
        <w:rPr>
          <w:rFonts w:cs="Arial"/>
        </w:rPr>
        <w:t>Glede na navedeno</w:t>
      </w:r>
      <w:r w:rsidR="00BD0A29" w:rsidRPr="00545EC0">
        <w:rPr>
          <w:rFonts w:cs="Arial"/>
        </w:rPr>
        <w:t xml:space="preserve"> </w:t>
      </w:r>
      <w:r w:rsidR="00064574" w:rsidRPr="00545EC0">
        <w:rPr>
          <w:rFonts w:cs="Arial"/>
        </w:rPr>
        <w:t xml:space="preserve">je bila izvedena </w:t>
      </w:r>
      <w:r w:rsidRPr="00545EC0">
        <w:rPr>
          <w:rFonts w:cs="Arial"/>
        </w:rPr>
        <w:t>ekstrapolacij</w:t>
      </w:r>
      <w:r w:rsidR="00064574" w:rsidRPr="00545EC0">
        <w:rPr>
          <w:rFonts w:cs="Arial"/>
        </w:rPr>
        <w:t>a</w:t>
      </w:r>
      <w:r w:rsidRPr="00545EC0">
        <w:rPr>
          <w:rFonts w:cs="Arial"/>
        </w:rPr>
        <w:t xml:space="preserve"> slabega kemijskega stanja za parametra živo srebro in bromirane difeniletre na vsa vodna telesa površinskih voda. Zato je slabo kemijsko stanje v bioti določeno za vsa vodna telesa površinskih voda v Sloveniji</w:t>
      </w:r>
      <w:r w:rsidR="00BC19B9" w:rsidRPr="00545EC0">
        <w:rPr>
          <w:rFonts w:cs="Arial"/>
        </w:rPr>
        <w:t xml:space="preserve"> pri čemer imajo vodna telesa površinsk</w:t>
      </w:r>
      <w:r w:rsidR="00B46A6E" w:rsidRPr="00545EC0">
        <w:rPr>
          <w:rFonts w:cs="Arial"/>
        </w:rPr>
        <w:t>i</w:t>
      </w:r>
      <w:r w:rsidR="00BC19B9" w:rsidRPr="00545EC0">
        <w:rPr>
          <w:rFonts w:cs="Arial"/>
        </w:rPr>
        <w:t>h voda, kjer je bila ocena kemijskega stanja vodnih teles določena z  uporabo pristopa</w:t>
      </w:r>
      <w:r w:rsidRPr="00545EC0">
        <w:rPr>
          <w:rFonts w:cs="Arial"/>
        </w:rPr>
        <w:t xml:space="preserve"> ekstrapolacij</w:t>
      </w:r>
      <w:r w:rsidR="00B46A6E" w:rsidRPr="00545EC0">
        <w:rPr>
          <w:rFonts w:cs="Arial"/>
        </w:rPr>
        <w:t>e</w:t>
      </w:r>
      <w:r w:rsidR="00BC19B9" w:rsidRPr="00545EC0">
        <w:rPr>
          <w:rFonts w:cs="Arial"/>
        </w:rPr>
        <w:t>,</w:t>
      </w:r>
      <w:r w:rsidRPr="00545EC0">
        <w:rPr>
          <w:rFonts w:cs="Arial"/>
        </w:rPr>
        <w:t xml:space="preserve"> </w:t>
      </w:r>
      <w:r w:rsidR="00BC19B9" w:rsidRPr="00545EC0">
        <w:rPr>
          <w:rFonts w:cs="Arial"/>
        </w:rPr>
        <w:t>nizko</w:t>
      </w:r>
      <w:r w:rsidRPr="00545EC0">
        <w:rPr>
          <w:rFonts w:cs="Arial"/>
        </w:rPr>
        <w:t xml:space="preserve"> raven zaupanja. Kemijsko stanje vodnih teles površinskih voda v bioti je prikazano na </w:t>
      </w:r>
      <w:r w:rsidR="00F854EB" w:rsidRPr="00545EC0">
        <w:rPr>
          <w:rFonts w:cs="Arial"/>
        </w:rPr>
        <w:t xml:space="preserve">publikacijski </w:t>
      </w:r>
      <w:r w:rsidRPr="00545EC0">
        <w:rPr>
          <w:rFonts w:cs="Arial"/>
        </w:rPr>
        <w:t xml:space="preserve">karti </w:t>
      </w:r>
      <w:r w:rsidRPr="00545EC0">
        <w:rPr>
          <w:rFonts w:cs="Arial"/>
          <w:i/>
        </w:rPr>
        <w:t>(</w:t>
      </w:r>
      <w:r w:rsidR="00C876D3" w:rsidRPr="00545EC0">
        <w:rPr>
          <w:rFonts w:cs="Arial"/>
          <w:i/>
        </w:rPr>
        <w:t>Publikacijska karta</w:t>
      </w:r>
      <w:r w:rsidR="003A18B6" w:rsidRPr="00545EC0">
        <w:rPr>
          <w:rFonts w:cs="Arial"/>
          <w:i/>
        </w:rPr>
        <w:t xml:space="preserve"> 13.3</w:t>
      </w:r>
      <w:r w:rsidRPr="00545EC0">
        <w:rPr>
          <w:rFonts w:cs="Arial"/>
          <w:i/>
        </w:rPr>
        <w:t>: Ocena kemijskega stanja površinskih voda za matriks biota).</w:t>
      </w:r>
    </w:p>
    <w:p w14:paraId="6CAC83DF" w14:textId="77777777" w:rsidR="00AA23DA" w:rsidRPr="00545EC0" w:rsidRDefault="00AA23DA" w:rsidP="00581CEA">
      <w:pPr>
        <w:rPr>
          <w:rFonts w:cs="Arial"/>
        </w:rPr>
      </w:pPr>
    </w:p>
    <w:p w14:paraId="46F603AA" w14:textId="293D9B5E" w:rsidR="00AA23DA" w:rsidRPr="00545EC0" w:rsidRDefault="00AA23DA" w:rsidP="00581CEA">
      <w:pPr>
        <w:rPr>
          <w:rFonts w:cs="Arial"/>
          <w:szCs w:val="22"/>
        </w:rPr>
      </w:pPr>
      <w:r w:rsidRPr="00545EC0">
        <w:rPr>
          <w:rStyle w:val="jlqj4b"/>
          <w:rFonts w:cs="Arial"/>
          <w:szCs w:val="22"/>
        </w:rPr>
        <w:t xml:space="preserve">Od ostalih snovi, ki imajo določen OSK za organizme, je na vodnem območju Donave presežena še vsebnost dioksinov in dioksinom podobnih snovi v bioti v vodnih telesih Krupa in Lahinja. </w:t>
      </w:r>
      <w:r w:rsidRPr="00545EC0">
        <w:rPr>
          <w:rFonts w:cs="Arial"/>
          <w:szCs w:val="22"/>
        </w:rPr>
        <w:t>Razlog za preseganje standarda kakovosti za dioksine in dioksinom podobne spojine v Krupi in Lahinji so visoke vsebnosti dioksinom podobnih PCB-jev. V skupini dioksinov in dioksinom podobnih spojin se namreč analizira tudi 12 dioksinom podobnih polikloriranih bifenilov (PCB), ki kažejo podobne toksikološke značilnosti kot dioksini in jih označujemo kot »dioksinom podobni PCB«. PCB-ji so se v preteklosti uporabljali v industriji, zaradi stabilnosti in težje razgradljivosti pa so v okolju še vedno prisotni. Vsebnosti ostalih snovi v tej skupini</w:t>
      </w:r>
      <w:r w:rsidR="00BB64AE" w:rsidRPr="00545EC0">
        <w:rPr>
          <w:rFonts w:cs="Arial"/>
          <w:szCs w:val="22"/>
        </w:rPr>
        <w:t>, to so</w:t>
      </w:r>
      <w:r w:rsidRPr="00545EC0">
        <w:rPr>
          <w:rFonts w:cs="Arial"/>
          <w:szCs w:val="22"/>
        </w:rPr>
        <w:t xml:space="preserve"> dibenzodioksinov in polikloriranih dibenzofuranov</w:t>
      </w:r>
      <w:r w:rsidR="00BB64AE" w:rsidRPr="00545EC0">
        <w:rPr>
          <w:rFonts w:cs="Arial"/>
          <w:szCs w:val="22"/>
        </w:rPr>
        <w:t>,</w:t>
      </w:r>
      <w:r w:rsidRPr="00545EC0">
        <w:rPr>
          <w:rFonts w:cs="Arial"/>
          <w:szCs w:val="22"/>
        </w:rPr>
        <w:t xml:space="preserve"> so bile na obeh vodnih telesih prakti</w:t>
      </w:r>
      <w:r w:rsidR="001A0D0D" w:rsidRPr="00545EC0">
        <w:rPr>
          <w:rFonts w:cs="Arial"/>
          <w:szCs w:val="22"/>
        </w:rPr>
        <w:t>čno vse pod mejo določljivosti.</w:t>
      </w:r>
    </w:p>
    <w:p w14:paraId="725836CD" w14:textId="77777777" w:rsidR="001A0D0D" w:rsidRPr="00545EC0" w:rsidRDefault="001A0D0D" w:rsidP="00581CEA">
      <w:pPr>
        <w:rPr>
          <w:rFonts w:cs="Arial"/>
          <w:szCs w:val="22"/>
        </w:rPr>
      </w:pPr>
    </w:p>
    <w:p w14:paraId="3E734DBA" w14:textId="18C7E05F" w:rsidR="00AA23DA" w:rsidRPr="00545EC0" w:rsidRDefault="00AA23DA" w:rsidP="00581CEA">
      <w:pPr>
        <w:rPr>
          <w:rFonts w:cs="Arial"/>
          <w:b/>
        </w:rPr>
      </w:pPr>
      <w:r w:rsidRPr="00545EC0">
        <w:rPr>
          <w:rFonts w:cs="Arial"/>
          <w:b/>
        </w:rPr>
        <w:t>Ocena kemijskega stanja vodnih teles površinskih voda za matriks voda in bi</w:t>
      </w:r>
      <w:r w:rsidR="003D5574" w:rsidRPr="00545EC0">
        <w:rPr>
          <w:rFonts w:cs="Arial"/>
          <w:b/>
        </w:rPr>
        <w:t>ota skupaj za obdobje 2014–2019</w:t>
      </w:r>
    </w:p>
    <w:p w14:paraId="46F7571B" w14:textId="77777777" w:rsidR="001A0D0D" w:rsidRPr="00545EC0" w:rsidRDefault="001A0D0D" w:rsidP="00581CEA">
      <w:pPr>
        <w:rPr>
          <w:rFonts w:cs="Arial"/>
          <w:b/>
        </w:rPr>
      </w:pPr>
    </w:p>
    <w:p w14:paraId="6879A97E" w14:textId="490A6538" w:rsidR="00AA23DA" w:rsidRPr="00545EC0" w:rsidRDefault="00AA23DA" w:rsidP="00581CEA">
      <w:pPr>
        <w:rPr>
          <w:rFonts w:cs="Arial"/>
        </w:rPr>
      </w:pPr>
      <w:r w:rsidRPr="00545EC0">
        <w:rPr>
          <w:rFonts w:cs="Arial"/>
        </w:rPr>
        <w:t>Oceno kemijskega stanja vodnega telesa površinske vode predstavlja skupna ocena za oba matriksa za katera so predpisani okoljski standardi kakovosti, torej za vodo in bioto skupaj, pri čemer prevlada slabša ocena. Ocena kemijskega stanja površinskih voda za matriks voda in biota skupaj izkazuje slabo kemijsko stanje vseh vodnih teles površinskih voda na vodnem območju Donave</w:t>
      </w:r>
      <w:r w:rsidR="00BB64AE" w:rsidRPr="00545EC0">
        <w:rPr>
          <w:rFonts w:cs="Arial"/>
        </w:rPr>
        <w:t xml:space="preserve"> zaradi</w:t>
      </w:r>
      <w:r w:rsidRPr="00545EC0">
        <w:rPr>
          <w:rFonts w:cs="Arial"/>
        </w:rPr>
        <w:t xml:space="preserve"> preseganja okoljskih standardov kakovosti za živo srebro in bromirane difeniletre v bioti oziroma </w:t>
      </w:r>
      <w:r w:rsidR="00BB64AE" w:rsidRPr="00545EC0">
        <w:rPr>
          <w:rFonts w:cs="Arial"/>
        </w:rPr>
        <w:t xml:space="preserve">zaradi </w:t>
      </w:r>
      <w:r w:rsidRPr="00545EC0">
        <w:rPr>
          <w:rFonts w:cs="Arial"/>
        </w:rPr>
        <w:t>ekstrapolacije slabega stanja za ta dva parametra v bioti na vsa vodna telesa površinskih voda.</w:t>
      </w:r>
      <w:r w:rsidR="00BB64AE" w:rsidRPr="00545EC0">
        <w:rPr>
          <w:rFonts w:cs="Arial"/>
        </w:rPr>
        <w:t xml:space="preserve"> </w:t>
      </w:r>
      <w:r w:rsidR="00BB64AE" w:rsidRPr="00545EC0">
        <w:t xml:space="preserve">Razvrstitev vodnih teles površinskih voda v razrede kemijskega stanja za matriks </w:t>
      </w:r>
      <w:r w:rsidR="00135DAE" w:rsidRPr="00545EC0">
        <w:t xml:space="preserve">voda in </w:t>
      </w:r>
      <w:r w:rsidR="00BB64AE" w:rsidRPr="00545EC0">
        <w:t xml:space="preserve">biota </w:t>
      </w:r>
      <w:r w:rsidR="00135DAE" w:rsidRPr="00545EC0">
        <w:t xml:space="preserve">skupaj </w:t>
      </w:r>
      <w:r w:rsidR="00BB64AE" w:rsidRPr="00545EC0">
        <w:rPr>
          <w:rFonts w:cs="Arial"/>
        </w:rPr>
        <w:t xml:space="preserve">je prikazana na publikacijski karti </w:t>
      </w:r>
      <w:r w:rsidR="00BB64AE" w:rsidRPr="00545EC0">
        <w:rPr>
          <w:rFonts w:cs="Arial"/>
          <w:i/>
        </w:rPr>
        <w:t>(Publikacijska karta 13.3a: Ocena kemijskega stanja površinskih voda za matriks voda in biota skupaj)</w:t>
      </w:r>
      <w:r w:rsidR="00BB64AE" w:rsidRPr="00545EC0">
        <w:rPr>
          <w:rFonts w:cs="Arial"/>
        </w:rPr>
        <w:t>.</w:t>
      </w:r>
    </w:p>
    <w:p w14:paraId="1E682735" w14:textId="77777777" w:rsidR="00AA23DA" w:rsidRPr="00545EC0" w:rsidRDefault="00AA23DA" w:rsidP="00581CEA">
      <w:pPr>
        <w:rPr>
          <w:rFonts w:cs="Arial"/>
        </w:rPr>
      </w:pPr>
    </w:p>
    <w:p w14:paraId="467E582C" w14:textId="200BA375" w:rsidR="00A319DA" w:rsidRPr="00545EC0" w:rsidRDefault="00A319DA" w:rsidP="00A319DA">
      <w:pPr>
        <w:pStyle w:val="Napis"/>
        <w:rPr>
          <w:szCs w:val="22"/>
        </w:rPr>
      </w:pPr>
      <w:r w:rsidRPr="00545EC0">
        <w:rPr>
          <w:szCs w:val="22"/>
        </w:rPr>
        <w:t>V preglednici (</w:t>
      </w:r>
      <w:r w:rsidR="003A4EAD" w:rsidRPr="00545EC0">
        <w:rPr>
          <w:szCs w:val="22"/>
        </w:rPr>
        <w:fldChar w:fldCharType="begin"/>
      </w:r>
      <w:r w:rsidR="003A4EAD" w:rsidRPr="00545EC0">
        <w:rPr>
          <w:szCs w:val="22"/>
        </w:rPr>
        <w:instrText xml:space="preserve"> REF _Ref90254557 \h </w:instrText>
      </w:r>
      <w:r w:rsidR="00545EC0">
        <w:rPr>
          <w:szCs w:val="22"/>
        </w:rPr>
        <w:instrText xml:space="preserve"> \* MERGEFORMAT </w:instrText>
      </w:r>
      <w:r w:rsidR="003A4EAD" w:rsidRPr="00545EC0">
        <w:rPr>
          <w:szCs w:val="22"/>
        </w:rPr>
      </w:r>
      <w:r w:rsidR="003A4EAD" w:rsidRPr="00545EC0">
        <w:rPr>
          <w:szCs w:val="22"/>
        </w:rPr>
        <w:fldChar w:fldCharType="separate"/>
      </w:r>
      <w:r w:rsidR="002F3E43" w:rsidRPr="00545EC0">
        <w:rPr>
          <w:szCs w:val="22"/>
        </w:rPr>
        <w:t xml:space="preserve">Preglednica </w:t>
      </w:r>
      <w:r w:rsidR="002F3E43">
        <w:rPr>
          <w:noProof/>
          <w:szCs w:val="22"/>
        </w:rPr>
        <w:t>3</w:t>
      </w:r>
      <w:r w:rsidR="002F3E43" w:rsidRPr="00545EC0">
        <w:rPr>
          <w:noProof/>
          <w:szCs w:val="22"/>
        </w:rPr>
        <w:noBreakHyphen/>
      </w:r>
      <w:r w:rsidR="002F3E43">
        <w:rPr>
          <w:noProof/>
          <w:szCs w:val="22"/>
        </w:rPr>
        <w:t>5</w:t>
      </w:r>
      <w:r w:rsidR="003A4EAD" w:rsidRPr="00545EC0">
        <w:rPr>
          <w:szCs w:val="22"/>
        </w:rPr>
        <w:fldChar w:fldCharType="end"/>
      </w:r>
      <w:r w:rsidRPr="00545EC0">
        <w:rPr>
          <w:szCs w:val="22"/>
        </w:rPr>
        <w:fldChar w:fldCharType="begin"/>
      </w:r>
      <w:r w:rsidRPr="00545EC0">
        <w:rPr>
          <w:szCs w:val="22"/>
        </w:rPr>
        <w:instrText xml:space="preserve"> REF _Ref84323275 \h  \* MERGEFORMAT </w:instrText>
      </w:r>
      <w:r w:rsidRPr="00545EC0">
        <w:rPr>
          <w:szCs w:val="22"/>
        </w:rPr>
      </w:r>
      <w:r w:rsidRPr="00545EC0">
        <w:rPr>
          <w:szCs w:val="22"/>
        </w:rPr>
        <w:fldChar w:fldCharType="separate"/>
      </w:r>
      <w:r w:rsidR="002F3E43">
        <w:rPr>
          <w:b/>
          <w:bCs w:val="0"/>
          <w:szCs w:val="22"/>
        </w:rPr>
        <w:t>Napaka! Vira sklicevanja ni bilo mogoče najti.</w:t>
      </w:r>
      <w:r w:rsidRPr="00545EC0">
        <w:rPr>
          <w:szCs w:val="22"/>
        </w:rPr>
        <w:fldChar w:fldCharType="end"/>
      </w:r>
      <w:r w:rsidRPr="00545EC0">
        <w:rPr>
          <w:szCs w:val="22"/>
        </w:rPr>
        <w:t>) so prikazane prednostne snovi, ki so na vodnem območju Donave razlog za nedoseganje dobrega kemijskega stanja, pri čemer sta izvzeti snovi živo srebro in bromirani difeniletri.</w:t>
      </w:r>
    </w:p>
    <w:p w14:paraId="78096B52" w14:textId="77777777" w:rsidR="00A319DA" w:rsidRPr="00545EC0" w:rsidRDefault="00A319DA" w:rsidP="00A319DA">
      <w:pPr>
        <w:rPr>
          <w:rFonts w:cs="Arial"/>
          <w:sz w:val="18"/>
        </w:rPr>
      </w:pPr>
    </w:p>
    <w:p w14:paraId="1C6712BD" w14:textId="34A9ED50" w:rsidR="00A319DA" w:rsidRPr="00545EC0" w:rsidRDefault="00A319DA" w:rsidP="00A319DA">
      <w:pPr>
        <w:pStyle w:val="Napis"/>
        <w:spacing w:after="60"/>
        <w:rPr>
          <w:szCs w:val="22"/>
        </w:rPr>
      </w:pPr>
      <w:bookmarkStart w:id="506" w:name="_Ref90254557"/>
      <w:r w:rsidRPr="00545EC0">
        <w:rPr>
          <w:szCs w:val="22"/>
        </w:rPr>
        <w:lastRenderedPageBreak/>
        <w:t xml:space="preserve">Preglednica </w:t>
      </w:r>
      <w:r w:rsidR="001A7511" w:rsidRPr="00545EC0">
        <w:rPr>
          <w:szCs w:val="22"/>
        </w:rPr>
        <w:fldChar w:fldCharType="begin"/>
      </w:r>
      <w:r w:rsidR="001A7511" w:rsidRPr="00545EC0">
        <w:rPr>
          <w:szCs w:val="22"/>
        </w:rPr>
        <w:instrText xml:space="preserve"> STYLEREF 1 \s </w:instrText>
      </w:r>
      <w:r w:rsidR="001A7511" w:rsidRPr="00545EC0">
        <w:rPr>
          <w:szCs w:val="22"/>
        </w:rPr>
        <w:fldChar w:fldCharType="separate"/>
      </w:r>
      <w:r w:rsidR="002F3E43">
        <w:rPr>
          <w:noProof/>
          <w:szCs w:val="22"/>
        </w:rPr>
        <w:t>3</w:t>
      </w:r>
      <w:r w:rsidR="001A7511" w:rsidRPr="00545EC0">
        <w:rPr>
          <w:szCs w:val="22"/>
        </w:rPr>
        <w:fldChar w:fldCharType="end"/>
      </w:r>
      <w:r w:rsidR="001A7511" w:rsidRPr="00545EC0">
        <w:rPr>
          <w:szCs w:val="22"/>
        </w:rPr>
        <w:noBreakHyphen/>
      </w:r>
      <w:r w:rsidR="001A7511" w:rsidRPr="00545EC0">
        <w:rPr>
          <w:szCs w:val="22"/>
        </w:rPr>
        <w:fldChar w:fldCharType="begin"/>
      </w:r>
      <w:r w:rsidR="001A7511" w:rsidRPr="00545EC0">
        <w:rPr>
          <w:szCs w:val="22"/>
        </w:rPr>
        <w:instrText xml:space="preserve"> SEQ Preglednica \* ARABIC \s 1 </w:instrText>
      </w:r>
      <w:r w:rsidR="001A7511" w:rsidRPr="00545EC0">
        <w:rPr>
          <w:szCs w:val="22"/>
        </w:rPr>
        <w:fldChar w:fldCharType="separate"/>
      </w:r>
      <w:r w:rsidR="002F3E43">
        <w:rPr>
          <w:noProof/>
          <w:szCs w:val="22"/>
        </w:rPr>
        <w:t>5</w:t>
      </w:r>
      <w:r w:rsidR="001A7511" w:rsidRPr="00545EC0">
        <w:rPr>
          <w:szCs w:val="22"/>
        </w:rPr>
        <w:fldChar w:fldCharType="end"/>
      </w:r>
      <w:bookmarkEnd w:id="506"/>
      <w:r w:rsidRPr="00545EC0">
        <w:rPr>
          <w:szCs w:val="22"/>
        </w:rPr>
        <w:t>: Prednostne snovi, ki so na vodnem območju Donave razlog za nedoseganje dobrega kemijskega stanja vodnih teles (z izjemo Hg in BDE)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2290"/>
        <w:gridCol w:w="1276"/>
        <w:gridCol w:w="992"/>
        <w:gridCol w:w="3510"/>
      </w:tblGrid>
      <w:tr w:rsidR="00A319DA" w:rsidRPr="00545EC0" w14:paraId="2C177B2E" w14:textId="77777777" w:rsidTr="00F338B1">
        <w:trPr>
          <w:trHeight w:val="567"/>
        </w:trPr>
        <w:tc>
          <w:tcPr>
            <w:tcW w:w="656" w:type="pct"/>
            <w:shd w:val="clear" w:color="auto" w:fill="E7E6E6"/>
            <w:vAlign w:val="center"/>
          </w:tcPr>
          <w:p w14:paraId="3946B05B" w14:textId="77777777" w:rsidR="00A319DA" w:rsidRPr="00545EC0" w:rsidRDefault="00A319DA" w:rsidP="00F338B1">
            <w:pPr>
              <w:spacing w:before="60" w:after="60" w:line="240" w:lineRule="auto"/>
              <w:jc w:val="left"/>
              <w:rPr>
                <w:rFonts w:cs="Arial"/>
                <w:b/>
                <w:sz w:val="18"/>
                <w:szCs w:val="20"/>
              </w:rPr>
            </w:pPr>
            <w:r w:rsidRPr="00545EC0">
              <w:rPr>
                <w:rFonts w:cs="Arial"/>
                <w:b/>
                <w:sz w:val="18"/>
                <w:szCs w:val="20"/>
              </w:rPr>
              <w:t>Šifra VT</w:t>
            </w:r>
          </w:p>
        </w:tc>
        <w:tc>
          <w:tcPr>
            <w:tcW w:w="1233" w:type="pct"/>
            <w:shd w:val="clear" w:color="auto" w:fill="E7E6E6"/>
            <w:vAlign w:val="center"/>
          </w:tcPr>
          <w:p w14:paraId="67E868C6" w14:textId="77777777" w:rsidR="00A319DA" w:rsidRPr="00545EC0" w:rsidRDefault="00A319DA" w:rsidP="00F338B1">
            <w:pPr>
              <w:spacing w:before="60" w:after="60" w:line="240" w:lineRule="auto"/>
              <w:jc w:val="left"/>
              <w:rPr>
                <w:rFonts w:cs="Arial"/>
                <w:b/>
                <w:sz w:val="18"/>
                <w:szCs w:val="20"/>
              </w:rPr>
            </w:pPr>
            <w:r w:rsidRPr="00545EC0">
              <w:rPr>
                <w:rFonts w:cs="Arial"/>
                <w:b/>
                <w:sz w:val="18"/>
                <w:szCs w:val="20"/>
              </w:rPr>
              <w:t>Ime VT</w:t>
            </w:r>
          </w:p>
        </w:tc>
        <w:tc>
          <w:tcPr>
            <w:tcW w:w="687" w:type="pct"/>
            <w:shd w:val="clear" w:color="auto" w:fill="E7E6E6"/>
            <w:vAlign w:val="center"/>
          </w:tcPr>
          <w:p w14:paraId="5A086C57" w14:textId="77777777" w:rsidR="00A319DA" w:rsidRPr="00545EC0" w:rsidRDefault="00A319DA" w:rsidP="00F338B1">
            <w:pPr>
              <w:spacing w:before="60" w:after="60" w:line="240" w:lineRule="auto"/>
              <w:jc w:val="left"/>
              <w:rPr>
                <w:rFonts w:cs="Arial"/>
                <w:b/>
                <w:sz w:val="18"/>
                <w:szCs w:val="20"/>
              </w:rPr>
            </w:pPr>
            <w:r w:rsidRPr="00545EC0">
              <w:rPr>
                <w:rFonts w:cs="Arial"/>
                <w:b/>
                <w:sz w:val="18"/>
                <w:szCs w:val="20"/>
              </w:rPr>
              <w:t>Vodotok</w:t>
            </w:r>
          </w:p>
        </w:tc>
        <w:tc>
          <w:tcPr>
            <w:tcW w:w="534" w:type="pct"/>
            <w:shd w:val="clear" w:color="auto" w:fill="E7E6E6"/>
            <w:vAlign w:val="center"/>
          </w:tcPr>
          <w:p w14:paraId="10311B7A" w14:textId="77777777" w:rsidR="00A319DA" w:rsidRPr="00545EC0" w:rsidRDefault="00A319DA" w:rsidP="00F338B1">
            <w:pPr>
              <w:spacing w:before="60" w:after="60" w:line="240" w:lineRule="auto"/>
              <w:jc w:val="left"/>
              <w:rPr>
                <w:rFonts w:cs="Arial"/>
                <w:b/>
                <w:sz w:val="18"/>
                <w:szCs w:val="20"/>
              </w:rPr>
            </w:pPr>
            <w:r w:rsidRPr="00545EC0">
              <w:rPr>
                <w:rFonts w:cs="Arial"/>
                <w:b/>
                <w:sz w:val="18"/>
                <w:szCs w:val="20"/>
              </w:rPr>
              <w:t>Matriks</w:t>
            </w:r>
          </w:p>
        </w:tc>
        <w:tc>
          <w:tcPr>
            <w:tcW w:w="1890" w:type="pct"/>
            <w:shd w:val="clear" w:color="auto" w:fill="E7E6E6"/>
            <w:vAlign w:val="center"/>
          </w:tcPr>
          <w:p w14:paraId="46F7D0F1" w14:textId="77777777" w:rsidR="00A319DA" w:rsidRPr="00545EC0" w:rsidRDefault="00A319DA" w:rsidP="00F338B1">
            <w:pPr>
              <w:spacing w:before="60" w:after="60" w:line="240" w:lineRule="auto"/>
              <w:jc w:val="left"/>
              <w:rPr>
                <w:rFonts w:cs="Arial"/>
                <w:b/>
                <w:sz w:val="18"/>
                <w:szCs w:val="20"/>
              </w:rPr>
            </w:pPr>
            <w:r w:rsidRPr="00545EC0">
              <w:rPr>
                <w:rFonts w:cs="Arial"/>
                <w:b/>
                <w:sz w:val="18"/>
                <w:szCs w:val="20"/>
              </w:rPr>
              <w:t>Prednostna snov, ki je razlog za slabo kemijsko stanje</w:t>
            </w:r>
          </w:p>
        </w:tc>
      </w:tr>
      <w:tr w:rsidR="00A319DA" w:rsidRPr="00545EC0" w14:paraId="40DE27D6" w14:textId="77777777" w:rsidTr="00F338B1">
        <w:trPr>
          <w:trHeight w:val="454"/>
        </w:trPr>
        <w:tc>
          <w:tcPr>
            <w:tcW w:w="656" w:type="pct"/>
            <w:shd w:val="clear" w:color="auto" w:fill="auto"/>
            <w:vAlign w:val="center"/>
          </w:tcPr>
          <w:p w14:paraId="1BDD4E15" w14:textId="77777777" w:rsidR="00A319DA" w:rsidRPr="00545EC0" w:rsidRDefault="00A319DA" w:rsidP="00F338B1">
            <w:pPr>
              <w:spacing w:before="60" w:after="60" w:line="240" w:lineRule="auto"/>
              <w:jc w:val="left"/>
              <w:rPr>
                <w:rFonts w:cs="Arial"/>
                <w:sz w:val="18"/>
                <w:szCs w:val="20"/>
              </w:rPr>
            </w:pPr>
            <w:r w:rsidRPr="00545EC0">
              <w:rPr>
                <w:rFonts w:cs="Arial"/>
                <w:sz w:val="18"/>
                <w:szCs w:val="20"/>
              </w:rPr>
              <w:t>SI32VT30</w:t>
            </w:r>
          </w:p>
        </w:tc>
        <w:tc>
          <w:tcPr>
            <w:tcW w:w="1233" w:type="pct"/>
            <w:shd w:val="clear" w:color="auto" w:fill="auto"/>
            <w:vAlign w:val="center"/>
          </w:tcPr>
          <w:p w14:paraId="14094237" w14:textId="77777777" w:rsidR="00A319DA" w:rsidRPr="00545EC0" w:rsidRDefault="00A319DA" w:rsidP="00F338B1">
            <w:pPr>
              <w:spacing w:before="60" w:after="60" w:line="240" w:lineRule="auto"/>
              <w:jc w:val="left"/>
              <w:rPr>
                <w:rFonts w:cs="Arial"/>
                <w:sz w:val="18"/>
                <w:szCs w:val="20"/>
              </w:rPr>
            </w:pPr>
            <w:r w:rsidRPr="00545EC0">
              <w:rPr>
                <w:rFonts w:cs="Arial"/>
                <w:sz w:val="18"/>
                <w:szCs w:val="20"/>
              </w:rPr>
              <w:t>VT Meža Črna na Koroškem – Dravograd</w:t>
            </w:r>
          </w:p>
        </w:tc>
        <w:tc>
          <w:tcPr>
            <w:tcW w:w="687" w:type="pct"/>
            <w:shd w:val="clear" w:color="auto" w:fill="auto"/>
            <w:vAlign w:val="center"/>
          </w:tcPr>
          <w:p w14:paraId="423DEF81" w14:textId="77777777" w:rsidR="00A319DA" w:rsidRPr="00545EC0" w:rsidRDefault="00A319DA" w:rsidP="00F338B1">
            <w:pPr>
              <w:spacing w:before="60" w:after="60" w:line="240" w:lineRule="auto"/>
              <w:jc w:val="left"/>
              <w:rPr>
                <w:rFonts w:cs="Arial"/>
                <w:sz w:val="18"/>
                <w:szCs w:val="20"/>
              </w:rPr>
            </w:pPr>
            <w:r w:rsidRPr="00545EC0">
              <w:rPr>
                <w:rFonts w:cs="Arial"/>
                <w:sz w:val="18"/>
                <w:szCs w:val="20"/>
              </w:rPr>
              <w:t>MEŽA</w:t>
            </w:r>
          </w:p>
        </w:tc>
        <w:tc>
          <w:tcPr>
            <w:tcW w:w="534" w:type="pct"/>
            <w:shd w:val="clear" w:color="auto" w:fill="auto"/>
            <w:vAlign w:val="center"/>
          </w:tcPr>
          <w:p w14:paraId="5D19F231" w14:textId="77777777" w:rsidR="00A319DA" w:rsidRPr="00545EC0" w:rsidRDefault="00A319DA" w:rsidP="00F338B1">
            <w:pPr>
              <w:spacing w:before="60" w:after="60" w:line="240" w:lineRule="auto"/>
              <w:jc w:val="left"/>
              <w:rPr>
                <w:rFonts w:cs="Arial"/>
                <w:sz w:val="18"/>
                <w:szCs w:val="20"/>
              </w:rPr>
            </w:pPr>
            <w:r w:rsidRPr="00545EC0">
              <w:rPr>
                <w:rFonts w:cs="Arial"/>
                <w:sz w:val="18"/>
                <w:szCs w:val="20"/>
              </w:rPr>
              <w:t>voda</w:t>
            </w:r>
          </w:p>
        </w:tc>
        <w:tc>
          <w:tcPr>
            <w:tcW w:w="1890" w:type="pct"/>
            <w:shd w:val="clear" w:color="auto" w:fill="auto"/>
            <w:vAlign w:val="center"/>
          </w:tcPr>
          <w:p w14:paraId="476D22D5" w14:textId="77777777" w:rsidR="00A319DA" w:rsidRPr="00545EC0" w:rsidRDefault="00A319DA" w:rsidP="00F338B1">
            <w:pPr>
              <w:spacing w:before="60" w:after="60" w:line="240" w:lineRule="auto"/>
              <w:jc w:val="left"/>
              <w:rPr>
                <w:rFonts w:cs="Arial"/>
                <w:sz w:val="18"/>
                <w:szCs w:val="20"/>
              </w:rPr>
            </w:pPr>
            <w:r w:rsidRPr="00545EC0">
              <w:rPr>
                <w:rFonts w:cs="Arial"/>
                <w:sz w:val="18"/>
                <w:szCs w:val="20"/>
              </w:rPr>
              <w:t>kadmij, svinec</w:t>
            </w:r>
          </w:p>
        </w:tc>
      </w:tr>
      <w:tr w:rsidR="00A319DA" w:rsidRPr="00545EC0" w14:paraId="1D4BE67B" w14:textId="77777777" w:rsidTr="00F338B1">
        <w:trPr>
          <w:trHeight w:val="284"/>
        </w:trPr>
        <w:tc>
          <w:tcPr>
            <w:tcW w:w="656" w:type="pct"/>
            <w:shd w:val="clear" w:color="auto" w:fill="auto"/>
            <w:vAlign w:val="center"/>
          </w:tcPr>
          <w:p w14:paraId="25AB0A25" w14:textId="77777777" w:rsidR="00A319DA" w:rsidRPr="00545EC0" w:rsidRDefault="00A319DA" w:rsidP="00F338B1">
            <w:pPr>
              <w:spacing w:before="60" w:after="60" w:line="240" w:lineRule="auto"/>
              <w:jc w:val="left"/>
              <w:rPr>
                <w:rFonts w:cs="Arial"/>
                <w:sz w:val="18"/>
                <w:szCs w:val="20"/>
              </w:rPr>
            </w:pPr>
            <w:r w:rsidRPr="00545EC0">
              <w:rPr>
                <w:rFonts w:cs="Arial"/>
                <w:sz w:val="18"/>
                <w:szCs w:val="20"/>
              </w:rPr>
              <w:t>SI1476VT</w:t>
            </w:r>
          </w:p>
        </w:tc>
        <w:tc>
          <w:tcPr>
            <w:tcW w:w="1233" w:type="pct"/>
            <w:shd w:val="clear" w:color="auto" w:fill="auto"/>
            <w:vAlign w:val="center"/>
          </w:tcPr>
          <w:p w14:paraId="2DB0F945" w14:textId="77777777" w:rsidR="00A319DA" w:rsidRPr="00545EC0" w:rsidRDefault="00A319DA" w:rsidP="00F338B1">
            <w:pPr>
              <w:spacing w:before="60" w:after="60" w:line="240" w:lineRule="auto"/>
              <w:jc w:val="left"/>
              <w:rPr>
                <w:rFonts w:cs="Arial"/>
                <w:sz w:val="18"/>
                <w:szCs w:val="20"/>
              </w:rPr>
            </w:pPr>
            <w:r w:rsidRPr="00545EC0">
              <w:rPr>
                <w:rFonts w:cs="Arial"/>
                <w:sz w:val="18"/>
                <w:szCs w:val="20"/>
              </w:rPr>
              <w:t>VT Iščica</w:t>
            </w:r>
          </w:p>
        </w:tc>
        <w:tc>
          <w:tcPr>
            <w:tcW w:w="687" w:type="pct"/>
            <w:shd w:val="clear" w:color="auto" w:fill="auto"/>
            <w:vAlign w:val="center"/>
          </w:tcPr>
          <w:p w14:paraId="79579F02" w14:textId="77777777" w:rsidR="00A319DA" w:rsidRPr="00545EC0" w:rsidRDefault="00A319DA" w:rsidP="00F338B1">
            <w:pPr>
              <w:spacing w:before="60" w:after="60" w:line="240" w:lineRule="auto"/>
              <w:jc w:val="left"/>
              <w:rPr>
                <w:rFonts w:cs="Arial"/>
                <w:sz w:val="18"/>
                <w:szCs w:val="20"/>
              </w:rPr>
            </w:pPr>
            <w:r w:rsidRPr="00545EC0">
              <w:rPr>
                <w:rFonts w:cs="Arial"/>
                <w:sz w:val="18"/>
                <w:szCs w:val="20"/>
              </w:rPr>
              <w:t>IŠČICA</w:t>
            </w:r>
          </w:p>
        </w:tc>
        <w:tc>
          <w:tcPr>
            <w:tcW w:w="534" w:type="pct"/>
            <w:shd w:val="clear" w:color="auto" w:fill="auto"/>
            <w:vAlign w:val="center"/>
          </w:tcPr>
          <w:p w14:paraId="317C12DA" w14:textId="77777777" w:rsidR="00A319DA" w:rsidRPr="00545EC0" w:rsidRDefault="00A319DA" w:rsidP="00F338B1">
            <w:pPr>
              <w:spacing w:before="60" w:after="60" w:line="240" w:lineRule="auto"/>
              <w:jc w:val="left"/>
              <w:rPr>
                <w:rFonts w:cs="Arial"/>
                <w:sz w:val="18"/>
                <w:szCs w:val="20"/>
              </w:rPr>
            </w:pPr>
            <w:r w:rsidRPr="00545EC0">
              <w:rPr>
                <w:rFonts w:cs="Arial"/>
                <w:sz w:val="18"/>
                <w:szCs w:val="20"/>
              </w:rPr>
              <w:t>voda</w:t>
            </w:r>
          </w:p>
        </w:tc>
        <w:tc>
          <w:tcPr>
            <w:tcW w:w="1890" w:type="pct"/>
            <w:shd w:val="clear" w:color="auto" w:fill="auto"/>
            <w:vAlign w:val="center"/>
          </w:tcPr>
          <w:p w14:paraId="7FEC0A16" w14:textId="77777777" w:rsidR="00A319DA" w:rsidRPr="00545EC0" w:rsidRDefault="00A319DA" w:rsidP="00F338B1">
            <w:pPr>
              <w:spacing w:before="60" w:after="60" w:line="240" w:lineRule="auto"/>
              <w:jc w:val="left"/>
              <w:rPr>
                <w:rFonts w:cs="Arial"/>
                <w:sz w:val="18"/>
                <w:szCs w:val="20"/>
              </w:rPr>
            </w:pPr>
            <w:r w:rsidRPr="00545EC0">
              <w:rPr>
                <w:rFonts w:cs="Arial"/>
                <w:sz w:val="18"/>
                <w:szCs w:val="20"/>
              </w:rPr>
              <w:t>nikelj</w:t>
            </w:r>
          </w:p>
        </w:tc>
      </w:tr>
      <w:tr w:rsidR="00A319DA" w:rsidRPr="00545EC0" w14:paraId="4C669B4B" w14:textId="77777777" w:rsidTr="00F338B1">
        <w:trPr>
          <w:trHeight w:val="236"/>
        </w:trPr>
        <w:tc>
          <w:tcPr>
            <w:tcW w:w="656" w:type="pct"/>
            <w:shd w:val="clear" w:color="auto" w:fill="auto"/>
            <w:vAlign w:val="center"/>
          </w:tcPr>
          <w:p w14:paraId="03D5B329" w14:textId="77777777" w:rsidR="00A319DA" w:rsidRPr="00545EC0" w:rsidRDefault="00A319DA" w:rsidP="00F338B1">
            <w:pPr>
              <w:spacing w:before="60" w:after="60" w:line="240" w:lineRule="auto"/>
              <w:jc w:val="left"/>
              <w:rPr>
                <w:rFonts w:cs="Arial"/>
                <w:sz w:val="18"/>
                <w:szCs w:val="20"/>
              </w:rPr>
            </w:pPr>
            <w:r w:rsidRPr="00545EC0">
              <w:rPr>
                <w:rFonts w:cs="Arial"/>
                <w:sz w:val="18"/>
                <w:szCs w:val="20"/>
              </w:rPr>
              <w:t>SI216VT</w:t>
            </w:r>
          </w:p>
        </w:tc>
        <w:tc>
          <w:tcPr>
            <w:tcW w:w="1233" w:type="pct"/>
            <w:shd w:val="clear" w:color="auto" w:fill="auto"/>
            <w:vAlign w:val="center"/>
          </w:tcPr>
          <w:p w14:paraId="3846E165" w14:textId="77777777" w:rsidR="00A319DA" w:rsidRPr="00545EC0" w:rsidRDefault="00A319DA" w:rsidP="00F338B1">
            <w:pPr>
              <w:spacing w:before="60" w:after="60" w:line="240" w:lineRule="auto"/>
              <w:jc w:val="left"/>
              <w:rPr>
                <w:rFonts w:cs="Arial"/>
                <w:sz w:val="18"/>
                <w:szCs w:val="20"/>
              </w:rPr>
            </w:pPr>
            <w:r w:rsidRPr="00545EC0">
              <w:rPr>
                <w:rFonts w:cs="Arial"/>
                <w:sz w:val="18"/>
                <w:szCs w:val="20"/>
              </w:rPr>
              <w:t>VT Lahinja</w:t>
            </w:r>
          </w:p>
        </w:tc>
        <w:tc>
          <w:tcPr>
            <w:tcW w:w="687" w:type="pct"/>
            <w:shd w:val="clear" w:color="auto" w:fill="auto"/>
            <w:vAlign w:val="center"/>
          </w:tcPr>
          <w:p w14:paraId="1241ADB2" w14:textId="77777777" w:rsidR="00A319DA" w:rsidRPr="00545EC0" w:rsidRDefault="00A319DA" w:rsidP="00F338B1">
            <w:pPr>
              <w:spacing w:before="60" w:after="60" w:line="240" w:lineRule="auto"/>
              <w:jc w:val="left"/>
              <w:rPr>
                <w:rFonts w:cs="Arial"/>
                <w:sz w:val="18"/>
                <w:szCs w:val="20"/>
              </w:rPr>
            </w:pPr>
            <w:r w:rsidRPr="00545EC0">
              <w:rPr>
                <w:rFonts w:cs="Arial"/>
                <w:sz w:val="18"/>
                <w:szCs w:val="20"/>
              </w:rPr>
              <w:t>LAHINJA</w:t>
            </w:r>
          </w:p>
        </w:tc>
        <w:tc>
          <w:tcPr>
            <w:tcW w:w="534" w:type="pct"/>
            <w:shd w:val="clear" w:color="auto" w:fill="auto"/>
            <w:vAlign w:val="center"/>
          </w:tcPr>
          <w:p w14:paraId="7CB13C82" w14:textId="77777777" w:rsidR="00A319DA" w:rsidRPr="00545EC0" w:rsidRDefault="00A319DA" w:rsidP="00F338B1">
            <w:pPr>
              <w:spacing w:before="60" w:after="60" w:line="240" w:lineRule="auto"/>
              <w:jc w:val="left"/>
              <w:rPr>
                <w:rFonts w:cs="Arial"/>
                <w:sz w:val="18"/>
                <w:szCs w:val="20"/>
              </w:rPr>
            </w:pPr>
            <w:r w:rsidRPr="00545EC0">
              <w:rPr>
                <w:rFonts w:cs="Arial"/>
                <w:sz w:val="18"/>
                <w:szCs w:val="20"/>
              </w:rPr>
              <w:t>biota</w:t>
            </w:r>
          </w:p>
        </w:tc>
        <w:tc>
          <w:tcPr>
            <w:tcW w:w="1890" w:type="pct"/>
            <w:shd w:val="clear" w:color="auto" w:fill="auto"/>
            <w:vAlign w:val="center"/>
          </w:tcPr>
          <w:p w14:paraId="366B45EE" w14:textId="77777777" w:rsidR="00A319DA" w:rsidRPr="00545EC0" w:rsidRDefault="00A319DA" w:rsidP="00F338B1">
            <w:pPr>
              <w:spacing w:before="60" w:after="60" w:line="240" w:lineRule="auto"/>
              <w:jc w:val="left"/>
              <w:rPr>
                <w:rFonts w:cs="Arial"/>
                <w:sz w:val="18"/>
                <w:szCs w:val="20"/>
              </w:rPr>
            </w:pPr>
            <w:r w:rsidRPr="00545EC0">
              <w:rPr>
                <w:rFonts w:cs="Arial"/>
                <w:sz w:val="18"/>
                <w:szCs w:val="20"/>
              </w:rPr>
              <w:t>dioksini in dioksinom podobne spojine</w:t>
            </w:r>
          </w:p>
        </w:tc>
      </w:tr>
      <w:tr w:rsidR="00A319DA" w:rsidRPr="00545EC0" w14:paraId="5EA3391F" w14:textId="77777777" w:rsidTr="00F338B1">
        <w:trPr>
          <w:trHeight w:val="112"/>
        </w:trPr>
        <w:tc>
          <w:tcPr>
            <w:tcW w:w="656" w:type="pct"/>
            <w:shd w:val="clear" w:color="auto" w:fill="auto"/>
            <w:vAlign w:val="center"/>
          </w:tcPr>
          <w:p w14:paraId="1760724D" w14:textId="77777777" w:rsidR="00A319DA" w:rsidRPr="00545EC0" w:rsidRDefault="00A319DA" w:rsidP="00F338B1">
            <w:pPr>
              <w:spacing w:before="60" w:after="60" w:line="240" w:lineRule="auto"/>
              <w:jc w:val="left"/>
              <w:rPr>
                <w:rFonts w:cs="Arial"/>
                <w:sz w:val="18"/>
                <w:szCs w:val="20"/>
              </w:rPr>
            </w:pPr>
            <w:r w:rsidRPr="00545EC0">
              <w:rPr>
                <w:rFonts w:cs="Arial"/>
                <w:sz w:val="18"/>
                <w:szCs w:val="20"/>
              </w:rPr>
              <w:t>SI21602VT</w:t>
            </w:r>
          </w:p>
        </w:tc>
        <w:tc>
          <w:tcPr>
            <w:tcW w:w="1233" w:type="pct"/>
            <w:shd w:val="clear" w:color="auto" w:fill="auto"/>
            <w:vAlign w:val="center"/>
          </w:tcPr>
          <w:p w14:paraId="6A0DB695" w14:textId="77777777" w:rsidR="00A319DA" w:rsidRPr="00545EC0" w:rsidRDefault="00A319DA" w:rsidP="00F338B1">
            <w:pPr>
              <w:spacing w:before="60" w:after="60" w:line="240" w:lineRule="auto"/>
              <w:jc w:val="left"/>
              <w:rPr>
                <w:rFonts w:cs="Arial"/>
                <w:sz w:val="18"/>
                <w:szCs w:val="20"/>
              </w:rPr>
            </w:pPr>
            <w:r w:rsidRPr="00545EC0">
              <w:rPr>
                <w:rFonts w:cs="Arial"/>
                <w:sz w:val="18"/>
                <w:szCs w:val="20"/>
              </w:rPr>
              <w:t>VT Krupa</w:t>
            </w:r>
          </w:p>
        </w:tc>
        <w:tc>
          <w:tcPr>
            <w:tcW w:w="687" w:type="pct"/>
            <w:shd w:val="clear" w:color="auto" w:fill="auto"/>
            <w:vAlign w:val="center"/>
          </w:tcPr>
          <w:p w14:paraId="2B225E54" w14:textId="77777777" w:rsidR="00A319DA" w:rsidRPr="00545EC0" w:rsidRDefault="00A319DA" w:rsidP="00F338B1">
            <w:pPr>
              <w:spacing w:before="60" w:after="60" w:line="240" w:lineRule="auto"/>
              <w:jc w:val="left"/>
              <w:rPr>
                <w:rFonts w:cs="Arial"/>
                <w:sz w:val="18"/>
                <w:szCs w:val="20"/>
              </w:rPr>
            </w:pPr>
            <w:r w:rsidRPr="00545EC0">
              <w:rPr>
                <w:rFonts w:cs="Arial"/>
                <w:sz w:val="18"/>
                <w:szCs w:val="20"/>
              </w:rPr>
              <w:t>KRUPA</w:t>
            </w:r>
          </w:p>
        </w:tc>
        <w:tc>
          <w:tcPr>
            <w:tcW w:w="534" w:type="pct"/>
            <w:shd w:val="clear" w:color="auto" w:fill="auto"/>
            <w:vAlign w:val="center"/>
          </w:tcPr>
          <w:p w14:paraId="60897B14" w14:textId="77777777" w:rsidR="00A319DA" w:rsidRPr="00545EC0" w:rsidRDefault="00A319DA" w:rsidP="00F338B1">
            <w:pPr>
              <w:spacing w:before="60" w:after="60" w:line="240" w:lineRule="auto"/>
              <w:jc w:val="left"/>
              <w:rPr>
                <w:rFonts w:cs="Arial"/>
                <w:sz w:val="18"/>
                <w:szCs w:val="20"/>
              </w:rPr>
            </w:pPr>
            <w:r w:rsidRPr="00545EC0">
              <w:rPr>
                <w:rFonts w:cs="Arial"/>
                <w:sz w:val="18"/>
                <w:szCs w:val="20"/>
              </w:rPr>
              <w:t>biota</w:t>
            </w:r>
          </w:p>
        </w:tc>
        <w:tc>
          <w:tcPr>
            <w:tcW w:w="1890" w:type="pct"/>
            <w:shd w:val="clear" w:color="auto" w:fill="auto"/>
            <w:vAlign w:val="center"/>
          </w:tcPr>
          <w:p w14:paraId="1543A1CF" w14:textId="77777777" w:rsidR="00A319DA" w:rsidRPr="00545EC0" w:rsidRDefault="00A319DA" w:rsidP="00F338B1">
            <w:pPr>
              <w:spacing w:before="60" w:after="60" w:line="240" w:lineRule="auto"/>
              <w:jc w:val="left"/>
              <w:rPr>
                <w:rFonts w:cs="Arial"/>
                <w:sz w:val="18"/>
                <w:szCs w:val="20"/>
              </w:rPr>
            </w:pPr>
            <w:r w:rsidRPr="00545EC0">
              <w:rPr>
                <w:rFonts w:cs="Arial"/>
                <w:sz w:val="18"/>
                <w:szCs w:val="20"/>
              </w:rPr>
              <w:t>dioksini in dioksinom podobne spojine</w:t>
            </w:r>
          </w:p>
        </w:tc>
      </w:tr>
    </w:tbl>
    <w:p w14:paraId="36D33992" w14:textId="77777777" w:rsidR="00A319DA" w:rsidRPr="00545EC0" w:rsidRDefault="00A319DA" w:rsidP="00A319DA">
      <w:pPr>
        <w:rPr>
          <w:rFonts w:cs="Arial"/>
          <w:b/>
        </w:rPr>
      </w:pPr>
    </w:p>
    <w:p w14:paraId="77DB61B6" w14:textId="77777777" w:rsidR="00A319DA" w:rsidRPr="00545EC0" w:rsidRDefault="00A319DA" w:rsidP="00581CEA">
      <w:pPr>
        <w:rPr>
          <w:rFonts w:cs="Arial"/>
        </w:rPr>
      </w:pPr>
    </w:p>
    <w:p w14:paraId="364083D8" w14:textId="77777777" w:rsidR="00A319DA" w:rsidRPr="00545EC0" w:rsidRDefault="00A319DA" w:rsidP="00581CEA">
      <w:pPr>
        <w:rPr>
          <w:rFonts w:cs="Arial"/>
        </w:rPr>
      </w:pPr>
    </w:p>
    <w:p w14:paraId="27531883" w14:textId="377FD155" w:rsidR="00AA23DA" w:rsidRPr="00545EC0" w:rsidRDefault="00AA23DA" w:rsidP="00581CEA">
      <w:pPr>
        <w:rPr>
          <w:rFonts w:cs="Arial"/>
          <w:b/>
        </w:rPr>
      </w:pPr>
      <w:r w:rsidRPr="00545EC0">
        <w:rPr>
          <w:rFonts w:cs="Arial"/>
          <w:b/>
        </w:rPr>
        <w:t>Ocena kemijskega stanja vodnih teles površinskih voda za matriks voda in biota skupaj brez splošno prisotnih (</w:t>
      </w:r>
      <w:r w:rsidR="003D5574" w:rsidRPr="00545EC0">
        <w:rPr>
          <w:rFonts w:cs="Arial"/>
          <w:b/>
        </w:rPr>
        <w:t>PBT) snovi za obdobje 2014–2019</w:t>
      </w:r>
    </w:p>
    <w:p w14:paraId="17194167" w14:textId="77777777" w:rsidR="00392769" w:rsidRPr="00545EC0" w:rsidRDefault="00392769" w:rsidP="00581CEA">
      <w:pPr>
        <w:rPr>
          <w:rFonts w:cs="Arial"/>
          <w:b/>
        </w:rPr>
      </w:pPr>
    </w:p>
    <w:p w14:paraId="4CCE5C8C" w14:textId="41B34534" w:rsidR="00135DAE" w:rsidRPr="00545EC0" w:rsidRDefault="00AA23DA" w:rsidP="00581CEA">
      <w:pPr>
        <w:rPr>
          <w:rFonts w:cs="Arial"/>
        </w:rPr>
      </w:pPr>
      <w:r w:rsidRPr="00545EC0">
        <w:rPr>
          <w:rFonts w:cs="Arial"/>
        </w:rPr>
        <w:t>Obstojne, bioakumulativne in strupene snovi, krajše splošno prisotne snovi (</w:t>
      </w:r>
      <w:r w:rsidR="00BB64AE" w:rsidRPr="00545EC0">
        <w:rPr>
          <w:rFonts w:cs="Arial"/>
        </w:rPr>
        <w:t xml:space="preserve">t.i. </w:t>
      </w:r>
      <w:r w:rsidRPr="00545EC0">
        <w:rPr>
          <w:rFonts w:cs="Arial"/>
        </w:rPr>
        <w:t>PBT</w:t>
      </w:r>
      <w:r w:rsidR="00BB64AE" w:rsidRPr="00545EC0">
        <w:rPr>
          <w:rFonts w:cs="Arial"/>
        </w:rPr>
        <w:t xml:space="preserve"> snovi</w:t>
      </w:r>
      <w:r w:rsidRPr="00545EC0">
        <w:rPr>
          <w:rFonts w:cs="Arial"/>
        </w:rPr>
        <w:t xml:space="preserve">), je še desetletja mogoče najti v vodnem okolju v količinah, ki pomenijo znatno tveganje, čeprav so že bili sprejeti obsežni ukrepi za zmanjšanje in odpravo takih emisij. Nekatere snovi se lahko prenašajo tudi na velike razdalje in so v okolju splošno prisotne. </w:t>
      </w:r>
      <w:r w:rsidR="00ED012D" w:rsidRPr="00545EC0">
        <w:rPr>
          <w:rFonts w:cs="Arial"/>
        </w:rPr>
        <w:t xml:space="preserve">Zaradi tega </w:t>
      </w:r>
      <w:r w:rsidR="00E9546E" w:rsidRPr="00545EC0">
        <w:rPr>
          <w:rFonts w:cs="Arial"/>
        </w:rPr>
        <w:t>imamo d</w:t>
      </w:r>
      <w:r w:rsidR="00135DAE" w:rsidRPr="00545EC0">
        <w:rPr>
          <w:rFonts w:cs="Arial"/>
        </w:rPr>
        <w:t>ržave</w:t>
      </w:r>
      <w:r w:rsidR="00ED012D" w:rsidRPr="00545EC0">
        <w:rPr>
          <w:rFonts w:cs="Arial"/>
        </w:rPr>
        <w:t xml:space="preserve"> v skladu z direktivo EU </w:t>
      </w:r>
      <w:r w:rsidR="001F38BE" w:rsidRPr="00545EC0">
        <w:rPr>
          <w:rFonts w:cs="Arial"/>
        </w:rPr>
        <w:t>v zvezi s prednostnimi snovmi na področju vodne politike (</w:t>
      </w:r>
      <w:r w:rsidR="00ED012D" w:rsidRPr="00545EC0">
        <w:rPr>
          <w:rFonts w:cs="Arial"/>
        </w:rPr>
        <w:t>Direk</w:t>
      </w:r>
      <w:r w:rsidR="001F38BE" w:rsidRPr="00545EC0">
        <w:rPr>
          <w:rFonts w:cs="Arial"/>
        </w:rPr>
        <w:t>t</w:t>
      </w:r>
      <w:r w:rsidR="00ED012D" w:rsidRPr="00545EC0">
        <w:rPr>
          <w:rFonts w:cs="Arial"/>
        </w:rPr>
        <w:t>iva 2013/39/EU</w:t>
      </w:r>
      <w:r w:rsidR="001F38BE" w:rsidRPr="00545EC0">
        <w:rPr>
          <w:rFonts w:cs="Arial"/>
        </w:rPr>
        <w:t>)</w:t>
      </w:r>
      <w:r w:rsidR="00ED012D" w:rsidRPr="00545EC0">
        <w:rPr>
          <w:rFonts w:cs="Arial"/>
        </w:rPr>
        <w:t xml:space="preserve"> </w:t>
      </w:r>
      <w:r w:rsidR="00135DAE" w:rsidRPr="00545EC0">
        <w:rPr>
          <w:rFonts w:cs="Arial"/>
        </w:rPr>
        <w:t xml:space="preserve">možnost, da </w:t>
      </w:r>
      <w:r w:rsidR="00ED012D" w:rsidRPr="00545EC0">
        <w:rPr>
          <w:rFonts w:cs="Arial"/>
        </w:rPr>
        <w:t xml:space="preserve">ločeno </w:t>
      </w:r>
      <w:r w:rsidR="00135DAE" w:rsidRPr="00545EC0">
        <w:rPr>
          <w:rFonts w:cs="Arial"/>
        </w:rPr>
        <w:t xml:space="preserve">prikažemo kemijsko stanje </w:t>
      </w:r>
      <w:r w:rsidR="001E3C58" w:rsidRPr="00545EC0">
        <w:rPr>
          <w:rFonts w:cs="Arial"/>
        </w:rPr>
        <w:t xml:space="preserve">vodnih teles površinskih voda </w:t>
      </w:r>
      <w:r w:rsidR="00135DAE" w:rsidRPr="00545EC0">
        <w:rPr>
          <w:rFonts w:cs="Arial"/>
        </w:rPr>
        <w:t>brez splošno prisotnih snovi</w:t>
      </w:r>
      <w:r w:rsidR="00ED012D" w:rsidRPr="00545EC0">
        <w:rPr>
          <w:rFonts w:cs="Arial"/>
        </w:rPr>
        <w:t xml:space="preserve"> (PBT)</w:t>
      </w:r>
      <w:r w:rsidR="001F38BE" w:rsidRPr="00545EC0">
        <w:rPr>
          <w:rFonts w:cs="Arial"/>
        </w:rPr>
        <w:t xml:space="preserve">. </w:t>
      </w:r>
      <w:r w:rsidR="001E3C58" w:rsidRPr="00545EC0">
        <w:rPr>
          <w:rFonts w:cs="Arial"/>
        </w:rPr>
        <w:t>P</w:t>
      </w:r>
      <w:r w:rsidR="001F38BE" w:rsidRPr="00545EC0">
        <w:rPr>
          <w:rFonts w:cs="Arial"/>
        </w:rPr>
        <w:t>rikaz kemijskega stanja brez splošno prisotnih snovi (PBT) določen s predpisom, ki ureja podrobnejšo vsebino in način priprave načrta upravljanja voda, omogoča,</w:t>
      </w:r>
      <w:r w:rsidR="00135DAE" w:rsidRPr="00545EC0">
        <w:rPr>
          <w:rFonts w:cs="Arial"/>
        </w:rPr>
        <w:t xml:space="preserve"> </w:t>
      </w:r>
      <w:r w:rsidR="00ED012D" w:rsidRPr="00545EC0">
        <w:rPr>
          <w:rFonts w:cs="Arial"/>
        </w:rPr>
        <w:t xml:space="preserve">da se </w:t>
      </w:r>
      <w:r w:rsidR="001F38BE" w:rsidRPr="00545EC0">
        <w:rPr>
          <w:rFonts w:cs="Arial"/>
        </w:rPr>
        <w:t xml:space="preserve">bolj </w:t>
      </w:r>
      <w:r w:rsidR="00ED012D" w:rsidRPr="00545EC0">
        <w:rPr>
          <w:rFonts w:cs="Arial"/>
        </w:rPr>
        <w:t>jasno prikaže</w:t>
      </w:r>
      <w:r w:rsidR="001F38BE" w:rsidRPr="00545EC0">
        <w:rPr>
          <w:rFonts w:cs="Arial"/>
        </w:rPr>
        <w:t xml:space="preserve">jo spremembe </w:t>
      </w:r>
      <w:r w:rsidR="00135DAE" w:rsidRPr="00545EC0">
        <w:rPr>
          <w:rFonts w:cs="Arial"/>
        </w:rPr>
        <w:t xml:space="preserve">kemijskega stanja </w:t>
      </w:r>
      <w:r w:rsidR="00ED012D" w:rsidRPr="00545EC0">
        <w:rPr>
          <w:rFonts w:cs="Arial"/>
        </w:rPr>
        <w:t xml:space="preserve">voda, ki </w:t>
      </w:r>
      <w:r w:rsidR="001F38BE" w:rsidRPr="00545EC0">
        <w:rPr>
          <w:rFonts w:cs="Arial"/>
        </w:rPr>
        <w:t>so</w:t>
      </w:r>
      <w:r w:rsidR="00ED012D" w:rsidRPr="00545EC0">
        <w:rPr>
          <w:rFonts w:cs="Arial"/>
        </w:rPr>
        <w:t xml:space="preserve"> bil</w:t>
      </w:r>
      <w:r w:rsidR="001F38BE" w:rsidRPr="00545EC0">
        <w:rPr>
          <w:rFonts w:cs="Arial"/>
        </w:rPr>
        <w:t>e dosežene</w:t>
      </w:r>
      <w:r w:rsidR="00ED012D" w:rsidRPr="00545EC0">
        <w:rPr>
          <w:rFonts w:cs="Arial"/>
        </w:rPr>
        <w:t xml:space="preserve"> </w:t>
      </w:r>
      <w:r w:rsidR="00135DAE" w:rsidRPr="00545EC0">
        <w:rPr>
          <w:rFonts w:cs="Arial"/>
        </w:rPr>
        <w:t>za preostale prednostne snovi.</w:t>
      </w:r>
      <w:r w:rsidR="001F38BE" w:rsidRPr="00545EC0">
        <w:rPr>
          <w:rFonts w:cs="Arial"/>
        </w:rPr>
        <w:t xml:space="preserve"> </w:t>
      </w:r>
    </w:p>
    <w:p w14:paraId="49A21044" w14:textId="77777777" w:rsidR="00135DAE" w:rsidRPr="00545EC0" w:rsidRDefault="00135DAE" w:rsidP="00581CEA">
      <w:pPr>
        <w:rPr>
          <w:rFonts w:cs="Arial"/>
        </w:rPr>
      </w:pPr>
    </w:p>
    <w:p w14:paraId="39E02259" w14:textId="6B932589" w:rsidR="00AA23DA" w:rsidRPr="00545EC0" w:rsidRDefault="00135DAE" w:rsidP="00581CEA">
      <w:pPr>
        <w:rPr>
          <w:rFonts w:cs="Arial"/>
        </w:rPr>
      </w:pPr>
      <w:r w:rsidRPr="00545EC0">
        <w:rPr>
          <w:rFonts w:cs="Arial"/>
        </w:rPr>
        <w:t>Med s</w:t>
      </w:r>
      <w:r w:rsidR="00AA23DA" w:rsidRPr="00545EC0">
        <w:rPr>
          <w:rFonts w:cs="Arial"/>
        </w:rPr>
        <w:t xml:space="preserve">plošno prisotne snovi </w:t>
      </w:r>
      <w:r w:rsidR="00E9546E" w:rsidRPr="00545EC0">
        <w:rPr>
          <w:rFonts w:cs="Arial"/>
        </w:rPr>
        <w:t xml:space="preserve">(PBT) </w:t>
      </w:r>
      <w:r w:rsidRPr="00545EC0">
        <w:rPr>
          <w:rFonts w:cs="Arial"/>
        </w:rPr>
        <w:t>se uvrščajo parametri kemijskega stanja</w:t>
      </w:r>
      <w:r w:rsidR="00AA23DA" w:rsidRPr="00545EC0">
        <w:rPr>
          <w:rFonts w:cs="Arial"/>
        </w:rPr>
        <w:t xml:space="preserve"> bromirani difeniletri, živo srebro, poliaromatski ogljikovodiki, tributilkositrove spojine, perfluorooktan sulfonska kislina in njeni derivati, dioksini</w:t>
      </w:r>
      <w:r w:rsidR="00DA52CD" w:rsidRPr="00545EC0">
        <w:rPr>
          <w:rFonts w:cs="Arial"/>
        </w:rPr>
        <w:t xml:space="preserve"> in dioksinom podobne snovi</w:t>
      </w:r>
      <w:r w:rsidR="00AA23DA" w:rsidRPr="00545EC0">
        <w:rPr>
          <w:rFonts w:cs="Arial"/>
        </w:rPr>
        <w:t xml:space="preserve">, heksabromociklododekan, heptaklor in heptaklorepoksid. </w:t>
      </w:r>
    </w:p>
    <w:p w14:paraId="6692721E" w14:textId="77777777" w:rsidR="00AA23DA" w:rsidRPr="00545EC0" w:rsidRDefault="00AA23DA" w:rsidP="00AA23DA">
      <w:pPr>
        <w:rPr>
          <w:rFonts w:cs="Arial"/>
        </w:rPr>
      </w:pPr>
    </w:p>
    <w:p w14:paraId="1B30D52C" w14:textId="1C71CE60" w:rsidR="00AA23DA" w:rsidRPr="00545EC0" w:rsidRDefault="00AA23DA" w:rsidP="00581CEA">
      <w:pPr>
        <w:pStyle w:val="BesediloAriel11obojestransko"/>
        <w:rPr>
          <w:rFonts w:cs="Arial"/>
          <w:szCs w:val="16"/>
          <w:lang w:eastAsia="sl-SI"/>
        </w:rPr>
      </w:pPr>
      <w:r w:rsidRPr="00545EC0">
        <w:rPr>
          <w:rFonts w:cs="Arial"/>
          <w:szCs w:val="16"/>
          <w:lang w:eastAsia="sl-SI"/>
        </w:rPr>
        <w:t>Ocene kemijskega stanja površinskih voda za matriks voda in biota skupaj brez splošno prisotnih (PBT) snovi na vodnem območju Donave izkazujejo dobro kemijsko stanje za 119 (98,3 %) vodnih teles površinskih voda</w:t>
      </w:r>
      <w:r w:rsidR="00DA52CD" w:rsidRPr="00545EC0">
        <w:rPr>
          <w:rFonts w:cs="Arial"/>
          <w:szCs w:val="16"/>
          <w:lang w:eastAsia="sl-SI"/>
        </w:rPr>
        <w:t>.</w:t>
      </w:r>
      <w:r w:rsidRPr="00545EC0">
        <w:rPr>
          <w:rFonts w:cs="Arial"/>
          <w:szCs w:val="16"/>
          <w:lang w:eastAsia="sl-SI"/>
        </w:rPr>
        <w:t xml:space="preserve"> </w:t>
      </w:r>
      <w:r w:rsidR="00DA52CD" w:rsidRPr="00545EC0">
        <w:rPr>
          <w:rFonts w:cs="Arial"/>
          <w:szCs w:val="16"/>
          <w:lang w:eastAsia="sl-SI"/>
        </w:rPr>
        <w:t>Z</w:t>
      </w:r>
      <w:r w:rsidRPr="00545EC0">
        <w:rPr>
          <w:rFonts w:cs="Arial"/>
          <w:szCs w:val="16"/>
          <w:lang w:eastAsia="sl-SI"/>
        </w:rPr>
        <w:t>a dve vodni telesi (1,7 %) je ugotovljeno slabo kemijsko stanje</w:t>
      </w:r>
      <w:r w:rsidR="00DA52CD" w:rsidRPr="00545EC0">
        <w:rPr>
          <w:rFonts w:cs="Arial"/>
          <w:szCs w:val="16"/>
          <w:lang w:eastAsia="sl-SI"/>
        </w:rPr>
        <w:t xml:space="preserve">. </w:t>
      </w:r>
      <w:r w:rsidR="00A73C67" w:rsidRPr="00545EC0">
        <w:t>Razvrstitev vodnih teles površinskih voda v razrede kemijskega stanja za matriks voda in biota skupaj</w:t>
      </w:r>
      <w:r w:rsidRPr="00545EC0">
        <w:rPr>
          <w:rFonts w:cs="Arial"/>
          <w:szCs w:val="16"/>
          <w:lang w:eastAsia="sl-SI"/>
        </w:rPr>
        <w:t xml:space="preserve"> </w:t>
      </w:r>
      <w:r w:rsidR="00A73C67" w:rsidRPr="00545EC0">
        <w:rPr>
          <w:rFonts w:cs="Arial"/>
          <w:szCs w:val="16"/>
          <w:lang w:eastAsia="sl-SI"/>
        </w:rPr>
        <w:t xml:space="preserve">brez splošno prisotnih (PBT) snovi </w:t>
      </w:r>
      <w:r w:rsidRPr="00545EC0">
        <w:rPr>
          <w:rFonts w:cs="Arial"/>
          <w:szCs w:val="16"/>
          <w:lang w:eastAsia="sl-SI"/>
        </w:rPr>
        <w:t>je prikazan</w:t>
      </w:r>
      <w:r w:rsidR="00DA52CD" w:rsidRPr="00545EC0">
        <w:rPr>
          <w:rFonts w:cs="Arial"/>
          <w:szCs w:val="16"/>
          <w:lang w:eastAsia="sl-SI"/>
        </w:rPr>
        <w:t>a</w:t>
      </w:r>
      <w:r w:rsidRPr="00545EC0">
        <w:rPr>
          <w:rFonts w:cs="Arial"/>
          <w:szCs w:val="16"/>
          <w:lang w:eastAsia="sl-SI"/>
        </w:rPr>
        <w:t xml:space="preserve"> na </w:t>
      </w:r>
      <w:r w:rsidR="002B19AC" w:rsidRPr="00545EC0">
        <w:rPr>
          <w:rFonts w:cs="Arial"/>
          <w:szCs w:val="16"/>
          <w:lang w:eastAsia="sl-SI"/>
        </w:rPr>
        <w:t xml:space="preserve">publikacijski </w:t>
      </w:r>
      <w:r w:rsidRPr="00545EC0">
        <w:rPr>
          <w:rFonts w:cs="Arial"/>
          <w:i/>
          <w:szCs w:val="16"/>
          <w:lang w:eastAsia="sl-SI"/>
        </w:rPr>
        <w:t>karti (</w:t>
      </w:r>
      <w:r w:rsidR="00C876D3" w:rsidRPr="00545EC0">
        <w:rPr>
          <w:rFonts w:cs="Arial"/>
          <w:i/>
          <w:szCs w:val="16"/>
          <w:lang w:eastAsia="sl-SI"/>
        </w:rPr>
        <w:t>Publikacijska karta</w:t>
      </w:r>
      <w:r w:rsidR="003A18B6" w:rsidRPr="00545EC0">
        <w:rPr>
          <w:rFonts w:cs="Arial"/>
          <w:i/>
          <w:szCs w:val="16"/>
          <w:lang w:eastAsia="sl-SI"/>
        </w:rPr>
        <w:t xml:space="preserve"> 13.3b</w:t>
      </w:r>
      <w:r w:rsidRPr="00545EC0">
        <w:rPr>
          <w:rFonts w:cs="Arial"/>
          <w:i/>
          <w:szCs w:val="16"/>
          <w:lang w:eastAsia="sl-SI"/>
        </w:rPr>
        <w:t>: Ocena kemijskega stanja površinskih voda za matriks voda in biota skupaj brez splošno prisotnih (PBT) snovi</w:t>
      </w:r>
      <w:r w:rsidRPr="00545EC0">
        <w:rPr>
          <w:rFonts w:cs="Arial"/>
          <w:szCs w:val="16"/>
          <w:lang w:eastAsia="sl-SI"/>
        </w:rPr>
        <w:t>)</w:t>
      </w:r>
      <w:r w:rsidR="00A73C67" w:rsidRPr="00545EC0">
        <w:rPr>
          <w:rFonts w:cs="Arial"/>
          <w:szCs w:val="16"/>
          <w:lang w:eastAsia="sl-SI"/>
        </w:rPr>
        <w:t xml:space="preserve"> </w:t>
      </w:r>
      <w:r w:rsidR="00A73C67" w:rsidRPr="00545EC0">
        <w:rPr>
          <w:rFonts w:cs="Arial"/>
        </w:rPr>
        <w:t xml:space="preserve">in podana </w:t>
      </w:r>
      <w:r w:rsidR="00A73C67" w:rsidRPr="00545EC0">
        <w:t>v preglednici v prilogi 9.11.2</w:t>
      </w:r>
      <w:r w:rsidRPr="00545EC0">
        <w:rPr>
          <w:rFonts w:cs="Arial"/>
          <w:szCs w:val="16"/>
          <w:lang w:eastAsia="sl-SI"/>
        </w:rPr>
        <w:t xml:space="preserve">. </w:t>
      </w:r>
    </w:p>
    <w:p w14:paraId="3B6EBE85" w14:textId="77777777" w:rsidR="00AA23DA" w:rsidRPr="00545EC0" w:rsidRDefault="00AA23DA" w:rsidP="00581CEA">
      <w:pPr>
        <w:pStyle w:val="BesediloAriel11obojestransko"/>
        <w:rPr>
          <w:rFonts w:cs="Arial"/>
          <w:szCs w:val="16"/>
          <w:lang w:eastAsia="sl-SI"/>
        </w:rPr>
      </w:pPr>
    </w:p>
    <w:p w14:paraId="228FBD60" w14:textId="77777777" w:rsidR="00AA23DA" w:rsidRPr="00545EC0" w:rsidRDefault="00AA23DA" w:rsidP="00581CEA">
      <w:pPr>
        <w:pStyle w:val="BesediloAriel11obojestransko"/>
        <w:rPr>
          <w:rFonts w:cs="Arial"/>
          <w:szCs w:val="16"/>
          <w:lang w:eastAsia="sl-SI"/>
        </w:rPr>
      </w:pPr>
      <w:r w:rsidRPr="00545EC0">
        <w:rPr>
          <w:rFonts w:cs="Arial"/>
          <w:szCs w:val="16"/>
          <w:lang w:eastAsia="sl-SI"/>
        </w:rPr>
        <w:t xml:space="preserve">Slabo kemijsko stanje površinskih voda za matriks voda in biota skupaj brez splošno prisotnih snovi v obdobju 2014–2019 je določeno za: </w:t>
      </w:r>
    </w:p>
    <w:p w14:paraId="7F60C32B" w14:textId="77777777" w:rsidR="00AA23DA" w:rsidRPr="00545EC0" w:rsidRDefault="00AA23DA" w:rsidP="00DD37C5">
      <w:pPr>
        <w:pStyle w:val="Odstavekseznama"/>
        <w:numPr>
          <w:ilvl w:val="0"/>
          <w:numId w:val="59"/>
        </w:numPr>
        <w:overflowPunct/>
        <w:contextualSpacing/>
        <w:textAlignment w:val="auto"/>
        <w:rPr>
          <w:rFonts w:cs="Arial"/>
          <w:lang w:val="sl-SI" w:eastAsia="sl-SI"/>
        </w:rPr>
      </w:pPr>
      <w:r w:rsidRPr="00545EC0">
        <w:rPr>
          <w:rFonts w:cs="Arial"/>
          <w:lang w:val="sl-SI" w:eastAsia="sl-SI"/>
        </w:rPr>
        <w:t xml:space="preserve">vodno telo na Meži zaradi preseganja okoljskega standarda kakovosti za kadmij in svinec v vodi, </w:t>
      </w:r>
    </w:p>
    <w:p w14:paraId="3E2C4AC6" w14:textId="77777777" w:rsidR="00AA23DA" w:rsidRPr="00545EC0" w:rsidRDefault="00AA23DA" w:rsidP="00DD37C5">
      <w:pPr>
        <w:pStyle w:val="BesediloAriel11obojestransko"/>
        <w:numPr>
          <w:ilvl w:val="0"/>
          <w:numId w:val="59"/>
        </w:numPr>
        <w:rPr>
          <w:rFonts w:cs="Arial"/>
          <w:szCs w:val="16"/>
          <w:lang w:eastAsia="sl-SI"/>
        </w:rPr>
      </w:pPr>
      <w:r w:rsidRPr="00545EC0">
        <w:rPr>
          <w:rFonts w:cs="Arial"/>
          <w:szCs w:val="16"/>
          <w:lang w:eastAsia="sl-SI"/>
        </w:rPr>
        <w:t xml:space="preserve">vodno telo na Iščici zaradi preseganja </w:t>
      </w:r>
      <w:r w:rsidRPr="00545EC0">
        <w:rPr>
          <w:rFonts w:cs="Arial"/>
          <w:lang w:eastAsia="sl-SI"/>
        </w:rPr>
        <w:t>okoljskega</w:t>
      </w:r>
      <w:r w:rsidRPr="00545EC0">
        <w:rPr>
          <w:rFonts w:cs="Arial"/>
          <w:szCs w:val="16"/>
          <w:lang w:eastAsia="sl-SI"/>
        </w:rPr>
        <w:t xml:space="preserve"> standarda kakovosti za nikelj v vodi.</w:t>
      </w:r>
    </w:p>
    <w:p w14:paraId="443D5509" w14:textId="77777777" w:rsidR="00AA23DA" w:rsidRPr="00545EC0" w:rsidRDefault="00AA23DA" w:rsidP="00581CEA">
      <w:pPr>
        <w:pStyle w:val="Napis"/>
        <w:rPr>
          <w:sz w:val="22"/>
          <w:szCs w:val="22"/>
        </w:rPr>
      </w:pPr>
    </w:p>
    <w:p w14:paraId="22AAC1AF" w14:textId="72AEB37C" w:rsidR="00AA23DA" w:rsidRPr="00545EC0" w:rsidRDefault="00AA23DA" w:rsidP="00581CEA">
      <w:pPr>
        <w:rPr>
          <w:rFonts w:cs="Arial"/>
          <w:b/>
        </w:rPr>
      </w:pPr>
      <w:r w:rsidRPr="00545EC0">
        <w:rPr>
          <w:rFonts w:cs="Arial"/>
          <w:b/>
        </w:rPr>
        <w:t>Analiza dolgoročnih trendov</w:t>
      </w:r>
    </w:p>
    <w:p w14:paraId="506E0CA8" w14:textId="77777777" w:rsidR="003D5574" w:rsidRPr="00545EC0" w:rsidRDefault="003D5574" w:rsidP="00581CEA">
      <w:pPr>
        <w:rPr>
          <w:rFonts w:cs="Arial"/>
          <w:b/>
        </w:rPr>
      </w:pPr>
    </w:p>
    <w:p w14:paraId="0BD5106C" w14:textId="77777777" w:rsidR="00AA23DA" w:rsidRPr="00545EC0" w:rsidRDefault="00AA23DA" w:rsidP="00581CEA">
      <w:pPr>
        <w:rPr>
          <w:rFonts w:cs="Arial"/>
        </w:rPr>
      </w:pPr>
      <w:r w:rsidRPr="00545EC0">
        <w:rPr>
          <w:rFonts w:cs="Arial"/>
        </w:rPr>
        <w:t>Za analizo trenda je potrebno zadostno število podatkov. Zaenkrat je število rezultatov meritev v sedimentih v Sloveniji premajhno, da bi bilo možno trende ugotavljati z ustrezno zanesljivostjo</w:t>
      </w:r>
    </w:p>
    <w:p w14:paraId="7E3E3716" w14:textId="77777777" w:rsidR="00AA23DA" w:rsidRPr="00545EC0" w:rsidRDefault="00AA23DA" w:rsidP="00581CEA">
      <w:pPr>
        <w:rPr>
          <w:rFonts w:cs="Arial"/>
        </w:rPr>
      </w:pPr>
    </w:p>
    <w:p w14:paraId="2126174B" w14:textId="77777777" w:rsidR="005174B6" w:rsidRPr="00545EC0" w:rsidRDefault="005174B6" w:rsidP="00C402C7">
      <w:pPr>
        <w:pStyle w:val="Naslov4"/>
        <w:rPr>
          <w:rFonts w:cs="Arial"/>
        </w:rPr>
      </w:pPr>
      <w:bookmarkStart w:id="507" w:name="_Toc75781088"/>
      <w:r w:rsidRPr="00545EC0">
        <w:rPr>
          <w:rFonts w:cs="Arial"/>
        </w:rPr>
        <w:lastRenderedPageBreak/>
        <w:t xml:space="preserve">Ocena ekološkega stanja površinskih voda </w:t>
      </w:r>
    </w:p>
    <w:p w14:paraId="4D586499" w14:textId="77777777" w:rsidR="005174B6" w:rsidRPr="00545EC0" w:rsidRDefault="005174B6" w:rsidP="005174B6">
      <w:pPr>
        <w:rPr>
          <w:rFonts w:cs="Arial"/>
          <w:b/>
        </w:rPr>
      </w:pPr>
    </w:p>
    <w:p w14:paraId="53181EF1" w14:textId="09B72C37" w:rsidR="005174B6" w:rsidRPr="00545EC0" w:rsidRDefault="005174B6" w:rsidP="005174B6">
      <w:pPr>
        <w:rPr>
          <w:rFonts w:cs="Arial"/>
        </w:rPr>
      </w:pPr>
      <w:r w:rsidRPr="00545EC0">
        <w:rPr>
          <w:rFonts w:cs="Arial"/>
        </w:rPr>
        <w:t>Vrednotenje ekološkega stanja oz. ekološkega potenciala površinskih voda je bilo izvedeno na podlagi bioloških elementov kakovosti, splošnih fizikalno-kemijskih elementov kakovosti, posebnih onesnaževal in hidromorfoloških elementov kakovosti. Pri kombiniranju posameznih elementov kakovosti za razvrstitev vodnih teles v razrede ekološkega stanja oz. potenciala je bilo uporabljeno pravilo „</w:t>
      </w:r>
      <w:r w:rsidR="00A909B0" w:rsidRPr="00545EC0">
        <w:rPr>
          <w:rFonts w:cs="Arial"/>
        </w:rPr>
        <w:t>naj</w:t>
      </w:r>
      <w:r w:rsidRPr="00545EC0">
        <w:rPr>
          <w:rFonts w:cs="Arial"/>
        </w:rPr>
        <w:t xml:space="preserve">slabši določi stanje”. </w:t>
      </w:r>
      <w:r w:rsidR="00A909B0" w:rsidRPr="00545EC0">
        <w:rPr>
          <w:rFonts w:cs="Arial"/>
        </w:rPr>
        <w:t xml:space="preserve"> V primerih, </w:t>
      </w:r>
      <w:bookmarkStart w:id="508" w:name="_Hlk75338479"/>
      <w:r w:rsidR="00A909B0" w:rsidRPr="00545EC0">
        <w:rPr>
          <w:rFonts w:cs="Arial"/>
        </w:rPr>
        <w:t>ko je</w:t>
      </w:r>
      <w:r w:rsidRPr="00545EC0">
        <w:rPr>
          <w:rFonts w:cs="Arial"/>
        </w:rPr>
        <w:t xml:space="preserve"> razlika </w:t>
      </w:r>
      <w:bookmarkEnd w:id="508"/>
      <w:r w:rsidR="00A909B0" w:rsidRPr="00545EC0">
        <w:rPr>
          <w:rFonts w:cs="Arial"/>
        </w:rPr>
        <w:t xml:space="preserve">v REK vrednostih biološkega elementa kakovosti, ki je določil stanje, in meja med razredi ekološkega stanja </w:t>
      </w:r>
      <w:r w:rsidRPr="00545EC0">
        <w:rPr>
          <w:rFonts w:cs="Arial"/>
        </w:rPr>
        <w:t>znaša 0,05 ali manj</w:t>
      </w:r>
      <w:r w:rsidR="00A909B0" w:rsidRPr="00545EC0">
        <w:rPr>
          <w:rFonts w:cs="Arial"/>
        </w:rPr>
        <w:t xml:space="preserve">, </w:t>
      </w:r>
      <w:r w:rsidR="00064574" w:rsidRPr="00545EC0">
        <w:rPr>
          <w:rFonts w:cs="Arial"/>
        </w:rPr>
        <w:t xml:space="preserve">je </w:t>
      </w:r>
      <w:r w:rsidRPr="00545EC0">
        <w:rPr>
          <w:rFonts w:cs="Arial"/>
        </w:rPr>
        <w:t>za potrditev uvrstitve v razred ekološkega stanja izved</w:t>
      </w:r>
      <w:r w:rsidR="00064574" w:rsidRPr="00545EC0">
        <w:rPr>
          <w:rFonts w:cs="Arial"/>
        </w:rPr>
        <w:t>ena</w:t>
      </w:r>
      <w:r w:rsidRPr="00545EC0">
        <w:rPr>
          <w:rFonts w:cs="Arial"/>
        </w:rPr>
        <w:t xml:space="preserve"> strokovn</w:t>
      </w:r>
      <w:r w:rsidR="00064574" w:rsidRPr="00545EC0">
        <w:rPr>
          <w:rFonts w:cs="Arial"/>
        </w:rPr>
        <w:t>a</w:t>
      </w:r>
      <w:r w:rsidRPr="00545EC0">
        <w:rPr>
          <w:rFonts w:cs="Arial"/>
        </w:rPr>
        <w:t xml:space="preserve"> presoj</w:t>
      </w:r>
      <w:r w:rsidR="00064574" w:rsidRPr="00545EC0">
        <w:rPr>
          <w:rFonts w:cs="Arial"/>
        </w:rPr>
        <w:t>a</w:t>
      </w:r>
      <w:r w:rsidR="002577CA" w:rsidRPr="00545EC0">
        <w:rPr>
          <w:rFonts w:cs="Arial"/>
        </w:rPr>
        <w:t>. Presoja, ki je bila izvedena</w:t>
      </w:r>
      <w:r w:rsidRPr="00545EC0">
        <w:rPr>
          <w:rFonts w:cs="Arial"/>
        </w:rPr>
        <w:t xml:space="preserve"> na podlagi vseh razpoložljivih rezultatov monitoringa tega biološkega elementa kakovosti</w:t>
      </w:r>
      <w:r w:rsidR="002577CA" w:rsidRPr="00545EC0">
        <w:rPr>
          <w:rFonts w:cs="Arial"/>
        </w:rPr>
        <w:t>, je v</w:t>
      </w:r>
      <w:r w:rsidRPr="00545EC0">
        <w:rPr>
          <w:rFonts w:cs="Arial"/>
        </w:rPr>
        <w:t xml:space="preserve"> vseh primerih potrdi</w:t>
      </w:r>
      <w:r w:rsidR="00064574" w:rsidRPr="00545EC0">
        <w:rPr>
          <w:rFonts w:cs="Arial"/>
        </w:rPr>
        <w:t>la</w:t>
      </w:r>
      <w:r w:rsidRPr="00545EC0">
        <w:rPr>
          <w:rFonts w:cs="Arial"/>
        </w:rPr>
        <w:t xml:space="preserve"> ocen</w:t>
      </w:r>
      <w:r w:rsidR="002577CA" w:rsidRPr="00545EC0">
        <w:rPr>
          <w:rFonts w:cs="Arial"/>
        </w:rPr>
        <w:t>o</w:t>
      </w:r>
      <w:r w:rsidRPr="00545EC0">
        <w:rPr>
          <w:rFonts w:cs="Arial"/>
        </w:rPr>
        <w:t xml:space="preserve"> ekološkega stanja, kot jo je določil najslabši biološki element kakovosti.</w:t>
      </w:r>
    </w:p>
    <w:p w14:paraId="5F67E9D4" w14:textId="77777777" w:rsidR="005174B6" w:rsidRPr="00545EC0" w:rsidRDefault="005174B6" w:rsidP="005174B6">
      <w:pPr>
        <w:rPr>
          <w:rFonts w:cs="Arial"/>
        </w:rPr>
      </w:pPr>
    </w:p>
    <w:p w14:paraId="30824188" w14:textId="7608099E" w:rsidR="005174B6" w:rsidRPr="00545EC0" w:rsidRDefault="005174B6" w:rsidP="005174B6">
      <w:pPr>
        <w:rPr>
          <w:rFonts w:cs="Arial"/>
        </w:rPr>
      </w:pPr>
      <w:r w:rsidRPr="00545EC0">
        <w:rPr>
          <w:rFonts w:cs="Arial"/>
        </w:rPr>
        <w:t>V primer</w:t>
      </w:r>
      <w:r w:rsidR="002577CA" w:rsidRPr="00545EC0">
        <w:rPr>
          <w:rFonts w:cs="Arial"/>
        </w:rPr>
        <w:t>ih</w:t>
      </w:r>
      <w:r w:rsidRPr="00545EC0">
        <w:rPr>
          <w:rFonts w:cs="Arial"/>
        </w:rPr>
        <w:t xml:space="preserve">, </w:t>
      </w:r>
      <w:r w:rsidR="002577CA" w:rsidRPr="00545EC0">
        <w:rPr>
          <w:rFonts w:cs="Arial"/>
        </w:rPr>
        <w:t xml:space="preserve">ko </w:t>
      </w:r>
      <w:r w:rsidRPr="00545EC0">
        <w:rPr>
          <w:rFonts w:cs="Arial"/>
        </w:rPr>
        <w:t xml:space="preserve">je bil najslabše ocenjen splošni fizikalno-kemijski element kakovosti, </w:t>
      </w:r>
      <w:r w:rsidR="00064574" w:rsidRPr="00545EC0">
        <w:rPr>
          <w:rFonts w:cs="Arial"/>
        </w:rPr>
        <w:t xml:space="preserve">je bila </w:t>
      </w:r>
      <w:r w:rsidRPr="00545EC0">
        <w:rPr>
          <w:rFonts w:cs="Arial"/>
        </w:rPr>
        <w:t>prav tako izved</w:t>
      </w:r>
      <w:r w:rsidR="00064574" w:rsidRPr="00545EC0">
        <w:rPr>
          <w:rFonts w:cs="Arial"/>
        </w:rPr>
        <w:t>ena</w:t>
      </w:r>
      <w:r w:rsidRPr="00545EC0">
        <w:rPr>
          <w:rFonts w:cs="Arial"/>
        </w:rPr>
        <w:t xml:space="preserve"> presoj</w:t>
      </w:r>
      <w:r w:rsidR="00064574" w:rsidRPr="00545EC0">
        <w:rPr>
          <w:rFonts w:cs="Arial"/>
        </w:rPr>
        <w:t>a</w:t>
      </w:r>
      <w:r w:rsidRPr="00545EC0">
        <w:rPr>
          <w:rFonts w:cs="Arial"/>
        </w:rPr>
        <w:t xml:space="preserve"> vseh razpoložljivih letnih rezultatov monitoringa splošnih fizikalno-kemijskih elementov kakovosti in občutljivih bioloških elementov kakovosti. </w:t>
      </w:r>
      <w:r w:rsidR="002577CA" w:rsidRPr="00545EC0">
        <w:rPr>
          <w:rFonts w:cs="Arial"/>
        </w:rPr>
        <w:t xml:space="preserve">Pri presoji je bil upoštevan odmik </w:t>
      </w:r>
      <w:r w:rsidR="000E57A1" w:rsidRPr="00545EC0">
        <w:rPr>
          <w:rFonts w:cs="Arial"/>
        </w:rPr>
        <w:t>mediane meritev</w:t>
      </w:r>
      <w:r w:rsidR="002577CA" w:rsidRPr="00545EC0">
        <w:rPr>
          <w:rFonts w:cs="Arial"/>
        </w:rPr>
        <w:t xml:space="preserve"> od mejne vrednosti dobro/zmerno ekološko stanje ter trend v REK vrednostih bioloških indeksov občutljivih bioloških elementov kakovosti. </w:t>
      </w:r>
      <w:r w:rsidRPr="00545EC0">
        <w:rPr>
          <w:rFonts w:cs="Arial"/>
        </w:rPr>
        <w:t xml:space="preserve">Na podlagi tako izvedene strokovne presoje ocen ekološkega stanja sta na dveh vodnih telesih narejeni izjemi od </w:t>
      </w:r>
      <w:r w:rsidR="000E57A1" w:rsidRPr="00545EC0">
        <w:rPr>
          <w:rFonts w:cs="Arial"/>
        </w:rPr>
        <w:t xml:space="preserve">načina </w:t>
      </w:r>
      <w:r w:rsidRPr="00545EC0">
        <w:rPr>
          <w:rFonts w:cs="Arial"/>
        </w:rPr>
        <w:t xml:space="preserve">razvrščanja </w:t>
      </w:r>
      <w:r w:rsidR="000E57A1" w:rsidRPr="00545EC0">
        <w:rPr>
          <w:rFonts w:cs="Arial"/>
        </w:rPr>
        <w:t xml:space="preserve">vodnih teles »najslabši določi. Za vodni telesi površinskih voda </w:t>
      </w:r>
      <w:r w:rsidRPr="00545EC0">
        <w:rPr>
          <w:rFonts w:cs="Arial"/>
        </w:rPr>
        <w:t>VT Ljubljanica Moste – Podgrad in VT Dravinja povirje – Zreče</w:t>
      </w:r>
      <w:r w:rsidR="000E57A1" w:rsidRPr="00545EC0">
        <w:rPr>
          <w:rFonts w:cs="Arial"/>
        </w:rPr>
        <w:t xml:space="preserve"> je stanje določeno na podlagi občutljivih bioloških elementov kakovosti</w:t>
      </w:r>
      <w:r w:rsidR="000E4EC4" w:rsidRPr="00545EC0">
        <w:rPr>
          <w:rFonts w:cs="Arial"/>
        </w:rPr>
        <w:t xml:space="preserve"> brez upoštevanja splošnega- fizikalno kemijskega elementa celotni fosfor</w:t>
      </w:r>
      <w:r w:rsidR="000E57A1" w:rsidRPr="00545EC0">
        <w:rPr>
          <w:rFonts w:cs="Arial"/>
        </w:rPr>
        <w:t>.</w:t>
      </w:r>
      <w:r w:rsidRPr="00545EC0">
        <w:rPr>
          <w:rFonts w:cs="Arial"/>
        </w:rPr>
        <w:t xml:space="preserve"> </w:t>
      </w:r>
    </w:p>
    <w:p w14:paraId="1018DE3E" w14:textId="77777777" w:rsidR="005174B6" w:rsidRPr="00545EC0" w:rsidRDefault="005174B6" w:rsidP="005174B6">
      <w:pPr>
        <w:rPr>
          <w:rFonts w:cs="Arial"/>
        </w:rPr>
      </w:pPr>
    </w:p>
    <w:p w14:paraId="2512B037" w14:textId="638CF8BB" w:rsidR="005174B6" w:rsidRPr="00545EC0" w:rsidRDefault="00670A9D" w:rsidP="005174B6">
      <w:pPr>
        <w:rPr>
          <w:rFonts w:cs="Arial"/>
        </w:rPr>
      </w:pPr>
      <w:r w:rsidRPr="00545EC0">
        <w:rPr>
          <w:rFonts w:cs="Arial"/>
        </w:rPr>
        <w:t xml:space="preserve">Ocena ekološkega potenciala </w:t>
      </w:r>
      <w:r w:rsidR="005174B6" w:rsidRPr="00545EC0">
        <w:rPr>
          <w:rFonts w:cs="Arial"/>
        </w:rPr>
        <w:t xml:space="preserve">MPVT vodotokov </w:t>
      </w:r>
      <w:r w:rsidRPr="00545EC0">
        <w:rPr>
          <w:rFonts w:cs="Arial"/>
        </w:rPr>
        <w:t>je</w:t>
      </w:r>
      <w:r w:rsidR="005174B6" w:rsidRPr="00545EC0">
        <w:rPr>
          <w:rFonts w:cs="Arial"/>
        </w:rPr>
        <w:t xml:space="preserve"> bila </w:t>
      </w:r>
      <w:r w:rsidRPr="00545EC0">
        <w:rPr>
          <w:rFonts w:cs="Arial"/>
        </w:rPr>
        <w:t xml:space="preserve">pripravljena </w:t>
      </w:r>
      <w:r w:rsidR="005174B6" w:rsidRPr="00545EC0">
        <w:rPr>
          <w:rFonts w:cs="Arial"/>
        </w:rPr>
        <w:t xml:space="preserve">na enak način kot za </w:t>
      </w:r>
      <w:r w:rsidRPr="00545EC0">
        <w:rPr>
          <w:rFonts w:cs="Arial"/>
        </w:rPr>
        <w:t xml:space="preserve">predhodni </w:t>
      </w:r>
      <w:r w:rsidR="005174B6" w:rsidRPr="00545EC0">
        <w:rPr>
          <w:rFonts w:cs="Arial"/>
        </w:rPr>
        <w:t>načrt upravljanja voda, in sicer na podlagi bioloških in splošnih fizikalno-kemijskih elementov kakovosti ter posebnih onesnaževal. Biološk</w:t>
      </w:r>
      <w:r w:rsidR="00064574" w:rsidRPr="00545EC0">
        <w:rPr>
          <w:rFonts w:cs="Arial"/>
        </w:rPr>
        <w:t>i</w:t>
      </w:r>
      <w:r w:rsidR="005174B6" w:rsidRPr="00545EC0">
        <w:rPr>
          <w:rFonts w:cs="Arial"/>
        </w:rPr>
        <w:t xml:space="preserve"> in splošn</w:t>
      </w:r>
      <w:r w:rsidRPr="00545EC0">
        <w:rPr>
          <w:rFonts w:cs="Arial"/>
        </w:rPr>
        <w:t>i</w:t>
      </w:r>
      <w:r w:rsidR="005174B6" w:rsidRPr="00545EC0">
        <w:rPr>
          <w:rFonts w:cs="Arial"/>
        </w:rPr>
        <w:t>-fizikalno-kemijsk</w:t>
      </w:r>
      <w:r w:rsidR="00064574" w:rsidRPr="00545EC0">
        <w:rPr>
          <w:rFonts w:cs="Arial"/>
        </w:rPr>
        <w:t>i</w:t>
      </w:r>
      <w:r w:rsidR="005174B6" w:rsidRPr="00545EC0">
        <w:rPr>
          <w:rFonts w:cs="Arial"/>
        </w:rPr>
        <w:t xml:space="preserve"> </w:t>
      </w:r>
      <w:r w:rsidR="00064574" w:rsidRPr="00545EC0">
        <w:rPr>
          <w:rFonts w:cs="Arial"/>
        </w:rPr>
        <w:t>el</w:t>
      </w:r>
      <w:r w:rsidR="005174B6" w:rsidRPr="00545EC0">
        <w:rPr>
          <w:rFonts w:cs="Arial"/>
        </w:rPr>
        <w:t>ement</w:t>
      </w:r>
      <w:r w:rsidR="00064574" w:rsidRPr="00545EC0">
        <w:rPr>
          <w:rFonts w:cs="Arial"/>
        </w:rPr>
        <w:t>i</w:t>
      </w:r>
      <w:r w:rsidR="005174B6" w:rsidRPr="00545EC0">
        <w:rPr>
          <w:rFonts w:cs="Arial"/>
        </w:rPr>
        <w:t xml:space="preserve"> kakovosti </w:t>
      </w:r>
      <w:r w:rsidR="00064574" w:rsidRPr="00545EC0">
        <w:rPr>
          <w:rFonts w:cs="Arial"/>
        </w:rPr>
        <w:t xml:space="preserve">so </w:t>
      </w:r>
      <w:r w:rsidR="005174B6" w:rsidRPr="00545EC0">
        <w:rPr>
          <w:rFonts w:cs="Arial"/>
        </w:rPr>
        <w:t>ocen</w:t>
      </w:r>
      <w:r w:rsidR="00064574" w:rsidRPr="00545EC0">
        <w:rPr>
          <w:rFonts w:cs="Arial"/>
        </w:rPr>
        <w:t>jeni</w:t>
      </w:r>
      <w:r w:rsidR="005174B6" w:rsidRPr="00545EC0">
        <w:rPr>
          <w:rFonts w:cs="Arial"/>
        </w:rPr>
        <w:t>na podlagi metodologij za podobna naravna vodna telesa. Pri končni oceni ekološkega potenciala MPVT vodotokov je bila upoštevana za en razred kakovosti boljša ocena indeksa SMEIH, v skladu s strokovno podlago</w:t>
      </w:r>
      <w:r w:rsidR="00DB2D55" w:rsidRPr="00545EC0">
        <w:rPr>
          <w:rFonts w:cs="Arial"/>
        </w:rPr>
        <w:t xml:space="preserve"> (IzVRS, 2010)</w:t>
      </w:r>
      <w:r w:rsidR="005174B6" w:rsidRPr="00545EC0">
        <w:rPr>
          <w:rFonts w:cs="Arial"/>
        </w:rPr>
        <w:t xml:space="preserve">. </w:t>
      </w:r>
      <w:r w:rsidR="00064574" w:rsidRPr="00545EC0">
        <w:rPr>
          <w:rFonts w:cs="Arial"/>
        </w:rPr>
        <w:t xml:space="preserve">Ekološki potencial </w:t>
      </w:r>
      <w:r w:rsidR="005174B6" w:rsidRPr="00545EC0">
        <w:rPr>
          <w:rFonts w:cs="Arial"/>
        </w:rPr>
        <w:t xml:space="preserve">MPVT zadrževalnikov </w:t>
      </w:r>
      <w:r w:rsidR="00064574" w:rsidRPr="00545EC0">
        <w:rPr>
          <w:rFonts w:cs="Arial"/>
        </w:rPr>
        <w:t xml:space="preserve">je </w:t>
      </w:r>
      <w:r w:rsidR="005174B6" w:rsidRPr="00545EC0">
        <w:rPr>
          <w:rFonts w:cs="Arial"/>
        </w:rPr>
        <w:t>ocen</w:t>
      </w:r>
      <w:r w:rsidR="00064574" w:rsidRPr="00545EC0">
        <w:rPr>
          <w:rFonts w:cs="Arial"/>
        </w:rPr>
        <w:t>jen</w:t>
      </w:r>
      <w:r w:rsidR="005174B6" w:rsidRPr="00545EC0">
        <w:rPr>
          <w:rFonts w:cs="Arial"/>
        </w:rPr>
        <w:t xml:space="preserve"> na podlagi prilagojene metodologije za vrednotenje na podlagi fitoplanktona in </w:t>
      </w:r>
      <w:r w:rsidR="000E4EC4" w:rsidRPr="00545EC0">
        <w:rPr>
          <w:rFonts w:cs="Arial"/>
        </w:rPr>
        <w:t xml:space="preserve">na podlagi </w:t>
      </w:r>
      <w:r w:rsidR="005174B6" w:rsidRPr="00545EC0">
        <w:rPr>
          <w:rFonts w:cs="Arial"/>
        </w:rPr>
        <w:t>posebnih onesnaževal.</w:t>
      </w:r>
    </w:p>
    <w:p w14:paraId="58FEF097" w14:textId="77777777" w:rsidR="005174B6" w:rsidRPr="00545EC0" w:rsidRDefault="005174B6" w:rsidP="005174B6">
      <w:pPr>
        <w:rPr>
          <w:rFonts w:cs="Arial"/>
        </w:rPr>
      </w:pPr>
    </w:p>
    <w:p w14:paraId="4760BD0D" w14:textId="4CFEE3A5" w:rsidR="005174B6" w:rsidRPr="00545EC0" w:rsidRDefault="005174B6" w:rsidP="005174B6">
      <w:pPr>
        <w:rPr>
          <w:rFonts w:cs="Arial"/>
        </w:rPr>
      </w:pPr>
      <w:r w:rsidRPr="00545EC0">
        <w:rPr>
          <w:rFonts w:cs="Arial"/>
        </w:rPr>
        <w:t>Pri ocenah ekološkega stanja oz. ekološkega potenciala površinskih voda je podana tudi raven zaupanja, ki je definirana s tristopenjsko lestvico: visoka, srednja ali nizka. Raven zaupanja v končno oceno ekološkega stanja ali potenciala je bila določena na podlagi več kriterijev, ki so bili določeni v povezavi s številom elementov kakovosti, ki so določili oceno ekološkega stanja, številom pridobljenih ocen za različne elemente kakovosti in bližine REK vrednosti mejnim vrednostim med razredi ekološkega stanja. Ocena ekološkega stanja površinskih voda in raven zaupanja v ocene stanja je prikazana na</w:t>
      </w:r>
      <w:r w:rsidR="002B19AC" w:rsidRPr="00545EC0">
        <w:rPr>
          <w:rFonts w:cs="Arial"/>
        </w:rPr>
        <w:t xml:space="preserve"> publikacijski</w:t>
      </w:r>
      <w:r w:rsidRPr="00545EC0">
        <w:rPr>
          <w:rFonts w:cs="Arial"/>
        </w:rPr>
        <w:t xml:space="preserve"> karti </w:t>
      </w:r>
      <w:r w:rsidRPr="00545EC0">
        <w:rPr>
          <w:rFonts w:cs="Arial"/>
          <w:i/>
        </w:rPr>
        <w:t>(</w:t>
      </w:r>
      <w:r w:rsidR="00AB6E53" w:rsidRPr="00545EC0">
        <w:rPr>
          <w:rFonts w:cs="Arial"/>
          <w:i/>
        </w:rPr>
        <w:t>Publikacijska karta</w:t>
      </w:r>
      <w:r w:rsidR="003A18B6" w:rsidRPr="00545EC0">
        <w:rPr>
          <w:rFonts w:cs="Arial"/>
          <w:i/>
        </w:rPr>
        <w:t xml:space="preserve"> 13.4</w:t>
      </w:r>
      <w:r w:rsidRPr="00545EC0">
        <w:rPr>
          <w:rFonts w:cs="Arial"/>
          <w:i/>
        </w:rPr>
        <w:t>: Ocena ekološkega stanja površinskih voda).</w:t>
      </w:r>
      <w:r w:rsidRPr="00545EC0">
        <w:rPr>
          <w:rFonts w:cs="Arial"/>
        </w:rPr>
        <w:t xml:space="preserve"> </w:t>
      </w:r>
    </w:p>
    <w:p w14:paraId="654180A6" w14:textId="77777777" w:rsidR="005174B6" w:rsidRPr="00545EC0" w:rsidRDefault="005174B6" w:rsidP="005174B6">
      <w:pPr>
        <w:rPr>
          <w:rFonts w:cs="Arial"/>
        </w:rPr>
      </w:pPr>
    </w:p>
    <w:p w14:paraId="1CF153D9" w14:textId="6F2C9AB9" w:rsidR="005174B6" w:rsidRPr="00545EC0" w:rsidRDefault="005174B6" w:rsidP="005174B6">
      <w:pPr>
        <w:rPr>
          <w:rFonts w:cs="Arial"/>
        </w:rPr>
      </w:pPr>
      <w:r w:rsidRPr="00545EC0">
        <w:rPr>
          <w:rFonts w:cs="Arial"/>
        </w:rPr>
        <w:t>Del ocene ekološkega stanja površinskih voda je tudi hidrološki režim, ki sodi med hidromorfološke elemente kakovosti. Podatki o pretokih so del državnega hidrološkega monitoringa, ki se izvaja na Agenciji R</w:t>
      </w:r>
      <w:r w:rsidR="00926EA0" w:rsidRPr="00545EC0">
        <w:rPr>
          <w:rFonts w:cs="Arial"/>
        </w:rPr>
        <w:t xml:space="preserve">epublike </w:t>
      </w:r>
      <w:r w:rsidRPr="00545EC0">
        <w:rPr>
          <w:rFonts w:cs="Arial"/>
        </w:rPr>
        <w:t>S</w:t>
      </w:r>
      <w:r w:rsidR="00926EA0" w:rsidRPr="00545EC0">
        <w:rPr>
          <w:rFonts w:cs="Arial"/>
        </w:rPr>
        <w:t>lovenije</w:t>
      </w:r>
      <w:r w:rsidRPr="00545EC0">
        <w:rPr>
          <w:rFonts w:cs="Arial"/>
        </w:rPr>
        <w:t xml:space="preserve"> za okolje. Načrt izvajanja monitoringa je naveden v Programu hidrološkega monitoringa površinskih voda, ki je dostopen na spletni strani Agencije R</w:t>
      </w:r>
      <w:r w:rsidR="00926EA0" w:rsidRPr="00545EC0">
        <w:rPr>
          <w:rFonts w:cs="Arial"/>
        </w:rPr>
        <w:t xml:space="preserve">epublike </w:t>
      </w:r>
      <w:r w:rsidRPr="00545EC0">
        <w:rPr>
          <w:rFonts w:cs="Arial"/>
        </w:rPr>
        <w:t>S</w:t>
      </w:r>
      <w:r w:rsidR="00926EA0" w:rsidRPr="00545EC0">
        <w:rPr>
          <w:rFonts w:cs="Arial"/>
        </w:rPr>
        <w:t>lovenije</w:t>
      </w:r>
      <w:r w:rsidRPr="00545EC0">
        <w:rPr>
          <w:rFonts w:cs="Arial"/>
        </w:rPr>
        <w:t xml:space="preserve"> za okolje</w:t>
      </w:r>
      <w:r w:rsidR="001E4CEF" w:rsidRPr="00545EC0">
        <w:rPr>
          <w:rFonts w:cs="Arial"/>
        </w:rPr>
        <w:t xml:space="preserve"> (ARSO, 2021</w:t>
      </w:r>
      <w:r w:rsidR="00B916AD" w:rsidRPr="00545EC0">
        <w:rPr>
          <w:rFonts w:cs="Arial"/>
        </w:rPr>
        <w:t>a</w:t>
      </w:r>
      <w:r w:rsidR="001E4CEF" w:rsidRPr="00545EC0">
        <w:rPr>
          <w:rFonts w:cs="Arial"/>
        </w:rPr>
        <w:t>).</w:t>
      </w:r>
    </w:p>
    <w:p w14:paraId="021B656D" w14:textId="77777777" w:rsidR="005174B6" w:rsidRPr="00545EC0" w:rsidRDefault="005174B6" w:rsidP="005174B6">
      <w:pPr>
        <w:rPr>
          <w:rFonts w:cs="Arial"/>
        </w:rPr>
      </w:pPr>
    </w:p>
    <w:p w14:paraId="289064AF" w14:textId="778AF08A" w:rsidR="00B84C5E" w:rsidRPr="00545EC0" w:rsidRDefault="005174B6" w:rsidP="004168CD">
      <w:pPr>
        <w:rPr>
          <w:rFonts w:cs="Arial"/>
        </w:rPr>
      </w:pPr>
      <w:r w:rsidRPr="00545EC0">
        <w:rPr>
          <w:rFonts w:cs="Arial"/>
        </w:rPr>
        <w:t xml:space="preserve">Deleži vodnih teles površinskih voda za vodno območje Donave, ki dosegajo/ne dosegajo dobrega ekološkega stanja glede na posamezne obremenitve </w:t>
      </w:r>
      <w:r w:rsidR="004261BF" w:rsidRPr="00545EC0">
        <w:rPr>
          <w:rFonts w:cs="Arial"/>
        </w:rPr>
        <w:t>in primerjava s predhodnim načrtom upravljanja voda</w:t>
      </w:r>
      <w:r w:rsidR="000E4EC4" w:rsidRPr="00545EC0">
        <w:rPr>
          <w:rFonts w:cs="Arial"/>
        </w:rPr>
        <w:t>,</w:t>
      </w:r>
      <w:r w:rsidR="004261BF" w:rsidRPr="00545EC0">
        <w:rPr>
          <w:rFonts w:cs="Arial"/>
        </w:rPr>
        <w:t xml:space="preserve"> je</w:t>
      </w:r>
      <w:r w:rsidRPr="00545EC0">
        <w:rPr>
          <w:rFonts w:cs="Arial"/>
        </w:rPr>
        <w:t xml:space="preserve"> prikazan</w:t>
      </w:r>
      <w:r w:rsidR="004261BF" w:rsidRPr="00545EC0">
        <w:rPr>
          <w:rFonts w:cs="Arial"/>
        </w:rPr>
        <w:t>a</w:t>
      </w:r>
      <w:r w:rsidRPr="00545EC0">
        <w:rPr>
          <w:rFonts w:cs="Arial"/>
        </w:rPr>
        <w:t xml:space="preserve"> na </w:t>
      </w:r>
      <w:r w:rsidR="000E4EC4" w:rsidRPr="00545EC0">
        <w:rPr>
          <w:rFonts w:cs="Arial"/>
        </w:rPr>
        <w:t>sliki (</w:t>
      </w:r>
      <w:r w:rsidR="002527C2" w:rsidRPr="00545EC0">
        <w:rPr>
          <w:rFonts w:cs="Arial"/>
        </w:rPr>
        <w:fldChar w:fldCharType="begin"/>
      </w:r>
      <w:r w:rsidR="002527C2" w:rsidRPr="00545EC0">
        <w:rPr>
          <w:rFonts w:cs="Arial"/>
        </w:rPr>
        <w:instrText xml:space="preserve"> REF _Ref89942203 \h </w:instrText>
      </w:r>
      <w:r w:rsidR="00545EC0">
        <w:rPr>
          <w:rFonts w:cs="Arial"/>
        </w:rPr>
        <w:instrText xml:space="preserve"> \* MERGEFORMAT </w:instrText>
      </w:r>
      <w:r w:rsidR="002527C2" w:rsidRPr="00545EC0">
        <w:rPr>
          <w:rFonts w:cs="Arial"/>
        </w:rPr>
      </w:r>
      <w:r w:rsidR="002527C2" w:rsidRPr="00545EC0">
        <w:rPr>
          <w:rFonts w:cs="Arial"/>
        </w:rPr>
        <w:fldChar w:fldCharType="separate"/>
      </w:r>
      <w:r w:rsidR="002F3E43" w:rsidRPr="00545EC0">
        <w:t xml:space="preserve">Slika </w:t>
      </w:r>
      <w:r w:rsidR="002F3E43">
        <w:rPr>
          <w:noProof/>
        </w:rPr>
        <w:t>3</w:t>
      </w:r>
      <w:r w:rsidR="002F3E43" w:rsidRPr="00545EC0">
        <w:rPr>
          <w:noProof/>
        </w:rPr>
        <w:noBreakHyphen/>
      </w:r>
      <w:r w:rsidR="002F3E43">
        <w:rPr>
          <w:noProof/>
        </w:rPr>
        <w:t>3</w:t>
      </w:r>
      <w:r w:rsidR="002527C2" w:rsidRPr="00545EC0">
        <w:rPr>
          <w:rFonts w:cs="Arial"/>
        </w:rPr>
        <w:fldChar w:fldCharType="end"/>
      </w:r>
      <w:r w:rsidR="000E4EC4" w:rsidRPr="00545EC0">
        <w:rPr>
          <w:rFonts w:cs="Arial"/>
        </w:rPr>
        <w:t>)</w:t>
      </w:r>
      <w:r w:rsidRPr="00545EC0">
        <w:rPr>
          <w:rFonts w:cs="Arial"/>
        </w:rPr>
        <w:fldChar w:fldCharType="begin"/>
      </w:r>
      <w:r w:rsidRPr="00545EC0">
        <w:rPr>
          <w:rFonts w:cs="Arial"/>
        </w:rPr>
        <w:instrText xml:space="preserve"> REF _Ref84855157 \h </w:instrText>
      </w:r>
      <w:r w:rsidR="003122F4" w:rsidRPr="00545EC0">
        <w:rPr>
          <w:rFonts w:cs="Arial"/>
        </w:rPr>
        <w:instrText xml:space="preserve"> \* MERGEFORMAT </w:instrText>
      </w:r>
      <w:r w:rsidRPr="00545EC0">
        <w:rPr>
          <w:rFonts w:cs="Arial"/>
        </w:rPr>
      </w:r>
      <w:r w:rsidRPr="00545EC0">
        <w:rPr>
          <w:rFonts w:cs="Arial"/>
        </w:rPr>
        <w:fldChar w:fldCharType="separate"/>
      </w:r>
      <w:r w:rsidR="002F3E43">
        <w:rPr>
          <w:rFonts w:cs="Arial"/>
          <w:b/>
          <w:bCs/>
        </w:rPr>
        <w:t>Napaka! Vira sklicevanja ni bilo mogoče najti.</w:t>
      </w:r>
      <w:r w:rsidRPr="00545EC0">
        <w:rPr>
          <w:rFonts w:cs="Arial"/>
        </w:rPr>
        <w:fldChar w:fldCharType="end"/>
      </w:r>
      <w:r w:rsidRPr="00545EC0">
        <w:rPr>
          <w:rFonts w:cs="Arial"/>
        </w:rPr>
        <w:t>. Rezultati kažejo, da se v primerjavi s predhodnim načrtom upravljanja voda na vodnem območju Donave zmanjšuje obremenjenost s hranili</w:t>
      </w:r>
      <w:r w:rsidR="004261BF" w:rsidRPr="00545EC0">
        <w:rPr>
          <w:rFonts w:cs="Arial"/>
        </w:rPr>
        <w:t>,</w:t>
      </w:r>
      <w:r w:rsidRPr="00545EC0">
        <w:rPr>
          <w:rFonts w:cs="Arial"/>
        </w:rPr>
        <w:t xml:space="preserve"> organskimi snovmi</w:t>
      </w:r>
      <w:r w:rsidR="004261BF" w:rsidRPr="00545EC0">
        <w:rPr>
          <w:rFonts w:cs="Arial"/>
        </w:rPr>
        <w:t xml:space="preserve"> in posebnimi onesnaževali</w:t>
      </w:r>
      <w:r w:rsidR="00B84C5E" w:rsidRPr="00545EC0">
        <w:rPr>
          <w:rFonts w:cs="Arial"/>
        </w:rPr>
        <w:t xml:space="preserve">. </w:t>
      </w:r>
    </w:p>
    <w:p w14:paraId="7F4E310C" w14:textId="77777777" w:rsidR="00B84C5E" w:rsidRPr="00545EC0" w:rsidRDefault="00B84C5E" w:rsidP="004168CD">
      <w:pPr>
        <w:rPr>
          <w:rFonts w:cs="Arial"/>
        </w:rPr>
      </w:pPr>
    </w:p>
    <w:p w14:paraId="5ADB4D46" w14:textId="76A770B9" w:rsidR="00940BA9" w:rsidRPr="00545EC0" w:rsidRDefault="00B84C5E" w:rsidP="004168CD">
      <w:pPr>
        <w:rPr>
          <w:rFonts w:cs="Arial"/>
        </w:rPr>
      </w:pPr>
      <w:r w:rsidRPr="00545EC0">
        <w:rPr>
          <w:rFonts w:cs="Arial"/>
        </w:rPr>
        <w:t>Kot najpogostejša obremenitev vodnih teles vodotokov z vidika ekološkega stanja je na vodnem območju Donave v obdobju 2014-2019 prepoznana hidromorfološka spremenjenost in splošna degradiranost (</w:t>
      </w:r>
      <w:r w:rsidRPr="00545EC0">
        <w:rPr>
          <w:rFonts w:cs="Arial"/>
        </w:rPr>
        <w:fldChar w:fldCharType="begin"/>
      </w:r>
      <w:r w:rsidRPr="00545EC0">
        <w:rPr>
          <w:rFonts w:cs="Arial"/>
        </w:rPr>
        <w:instrText xml:space="preserve"> REF _Ref89942203 \h </w:instrText>
      </w:r>
      <w:r w:rsidR="00545EC0">
        <w:rPr>
          <w:rFonts w:cs="Arial"/>
        </w:rPr>
        <w:instrText xml:space="preserve"> \* MERGEFORMAT </w:instrText>
      </w:r>
      <w:r w:rsidRPr="00545EC0">
        <w:rPr>
          <w:rFonts w:cs="Arial"/>
        </w:rPr>
      </w:r>
      <w:r w:rsidRPr="00545EC0">
        <w:rPr>
          <w:rFonts w:cs="Arial"/>
        </w:rPr>
        <w:fldChar w:fldCharType="separate"/>
      </w:r>
      <w:r w:rsidR="002F3E43" w:rsidRPr="00545EC0">
        <w:t xml:space="preserve">Slika </w:t>
      </w:r>
      <w:r w:rsidR="002F3E43">
        <w:rPr>
          <w:noProof/>
        </w:rPr>
        <w:t>3</w:t>
      </w:r>
      <w:r w:rsidR="002F3E43" w:rsidRPr="00545EC0">
        <w:rPr>
          <w:noProof/>
        </w:rPr>
        <w:noBreakHyphen/>
      </w:r>
      <w:r w:rsidR="002F3E43">
        <w:rPr>
          <w:noProof/>
        </w:rPr>
        <w:t>3</w:t>
      </w:r>
      <w:r w:rsidRPr="00545EC0">
        <w:rPr>
          <w:rFonts w:cs="Arial"/>
        </w:rPr>
        <w:fldChar w:fldCharType="end"/>
      </w:r>
      <w:r w:rsidRPr="00545EC0">
        <w:rPr>
          <w:rFonts w:cs="Arial"/>
        </w:rPr>
        <w:fldChar w:fldCharType="begin"/>
      </w:r>
      <w:r w:rsidRPr="00545EC0">
        <w:rPr>
          <w:rFonts w:cs="Arial"/>
        </w:rPr>
        <w:instrText xml:space="preserve"> REF _Ref84855157 \h  \* MERGEFORMAT </w:instrText>
      </w:r>
      <w:r w:rsidRPr="00545EC0">
        <w:rPr>
          <w:rFonts w:cs="Arial"/>
        </w:rPr>
      </w:r>
      <w:r w:rsidRPr="00545EC0">
        <w:rPr>
          <w:rFonts w:cs="Arial"/>
        </w:rPr>
        <w:fldChar w:fldCharType="separate"/>
      </w:r>
      <w:r w:rsidR="002F3E43">
        <w:rPr>
          <w:rFonts w:cs="Arial"/>
          <w:b/>
          <w:bCs/>
        </w:rPr>
        <w:t>Napaka! Vira sklicevanja ni bilo mogoče najti.</w:t>
      </w:r>
      <w:r w:rsidRPr="00545EC0">
        <w:rPr>
          <w:rFonts w:cs="Arial"/>
        </w:rPr>
        <w:fldChar w:fldCharType="end"/>
      </w:r>
      <w:r w:rsidRPr="00545EC0">
        <w:rPr>
          <w:rFonts w:cs="Arial"/>
        </w:rPr>
        <w:t>). P</w:t>
      </w:r>
      <w:r w:rsidR="004261BF" w:rsidRPr="00545EC0">
        <w:rPr>
          <w:rFonts w:cs="Arial"/>
        </w:rPr>
        <w:t xml:space="preserve">rimerjava </w:t>
      </w:r>
      <w:r w:rsidR="005174B6" w:rsidRPr="00545EC0">
        <w:rPr>
          <w:rFonts w:cs="Arial"/>
        </w:rPr>
        <w:t>stanj</w:t>
      </w:r>
      <w:r w:rsidR="004261BF" w:rsidRPr="00545EC0">
        <w:rPr>
          <w:rFonts w:cs="Arial"/>
        </w:rPr>
        <w:t>a</w:t>
      </w:r>
      <w:r w:rsidR="005174B6" w:rsidRPr="00545EC0">
        <w:rPr>
          <w:rFonts w:cs="Arial"/>
        </w:rPr>
        <w:t xml:space="preserve"> na podlagi hidromorfološke spremenjenosti in splošne degradiranosti</w:t>
      </w:r>
      <w:r w:rsidR="004261BF" w:rsidRPr="00545EC0">
        <w:rPr>
          <w:rFonts w:cs="Arial"/>
        </w:rPr>
        <w:t xml:space="preserve"> </w:t>
      </w:r>
      <w:r w:rsidRPr="00545EC0">
        <w:rPr>
          <w:rFonts w:cs="Arial"/>
        </w:rPr>
        <w:t>z oceno stanja iz predhodnega načrta upravljanja voda ni podana, ker so ocene v tem načrtu upravlj</w:t>
      </w:r>
      <w:r w:rsidR="00C547EC" w:rsidRPr="00545EC0">
        <w:rPr>
          <w:rFonts w:cs="Arial"/>
        </w:rPr>
        <w:t>a</w:t>
      </w:r>
      <w:r w:rsidRPr="00545EC0">
        <w:rPr>
          <w:rFonts w:cs="Arial"/>
        </w:rPr>
        <w:t>nja voda pripravljen</w:t>
      </w:r>
      <w:r w:rsidR="000E4EC4" w:rsidRPr="00545EC0">
        <w:rPr>
          <w:rFonts w:cs="Arial"/>
        </w:rPr>
        <w:t>e</w:t>
      </w:r>
      <w:r w:rsidRPr="00545EC0">
        <w:rPr>
          <w:rFonts w:cs="Arial"/>
        </w:rPr>
        <w:t xml:space="preserve"> na podlagi </w:t>
      </w:r>
      <w:r w:rsidR="005174B6" w:rsidRPr="00545EC0">
        <w:rPr>
          <w:rFonts w:cs="Arial"/>
        </w:rPr>
        <w:t>nadgra</w:t>
      </w:r>
      <w:r w:rsidR="000E4EC4" w:rsidRPr="00545EC0">
        <w:rPr>
          <w:rFonts w:cs="Arial"/>
        </w:rPr>
        <w:t>jenih</w:t>
      </w:r>
      <w:r w:rsidR="005174B6" w:rsidRPr="00545EC0">
        <w:rPr>
          <w:rFonts w:cs="Arial"/>
        </w:rPr>
        <w:t xml:space="preserve"> in novih metodologij vrednotenja ekološkega stanja</w:t>
      </w:r>
      <w:r w:rsidR="004261BF" w:rsidRPr="00545EC0">
        <w:rPr>
          <w:rFonts w:cs="Arial"/>
        </w:rPr>
        <w:t>. P</w:t>
      </w:r>
      <w:r w:rsidR="005174B6" w:rsidRPr="00545EC0">
        <w:rPr>
          <w:rFonts w:cs="Arial"/>
        </w:rPr>
        <w:t xml:space="preserve">ri pripravi ocen </w:t>
      </w:r>
      <w:r w:rsidR="002527C2" w:rsidRPr="00545EC0">
        <w:rPr>
          <w:rFonts w:cs="Arial"/>
        </w:rPr>
        <w:t xml:space="preserve">na podlagi hidromorfološke spremenjenosti in splošne degradiranosti </w:t>
      </w:r>
      <w:r w:rsidR="005174B6" w:rsidRPr="00545EC0">
        <w:rPr>
          <w:rFonts w:cs="Arial"/>
        </w:rPr>
        <w:t xml:space="preserve">za obdobje 2014–2019 </w:t>
      </w:r>
      <w:r w:rsidR="004261BF" w:rsidRPr="00545EC0">
        <w:rPr>
          <w:rFonts w:cs="Arial"/>
        </w:rPr>
        <w:t xml:space="preserve">so bile </w:t>
      </w:r>
      <w:r w:rsidR="005174B6" w:rsidRPr="00545EC0">
        <w:rPr>
          <w:rFonts w:cs="Arial"/>
        </w:rPr>
        <w:t>uporabljen</w:t>
      </w:r>
      <w:r w:rsidR="00940BA9" w:rsidRPr="00545EC0">
        <w:rPr>
          <w:rFonts w:cs="Arial"/>
        </w:rPr>
        <w:t>e</w:t>
      </w:r>
      <w:r w:rsidR="005174B6" w:rsidRPr="00545EC0">
        <w:rPr>
          <w:rFonts w:cs="Arial"/>
        </w:rPr>
        <w:t xml:space="preserve"> </w:t>
      </w:r>
      <w:r w:rsidR="00940BA9" w:rsidRPr="00545EC0">
        <w:rPr>
          <w:rFonts w:cs="Arial"/>
        </w:rPr>
        <w:t>metodologij</w:t>
      </w:r>
      <w:r w:rsidR="004261BF" w:rsidRPr="00545EC0">
        <w:rPr>
          <w:rFonts w:cs="Arial"/>
        </w:rPr>
        <w:t xml:space="preserve">a </w:t>
      </w:r>
      <w:r w:rsidR="005174B6" w:rsidRPr="00545EC0">
        <w:rPr>
          <w:rFonts w:cs="Arial"/>
        </w:rPr>
        <w:t>vrednotenja ekološkega stanja vodotokov na podlagi rib za hidroekoregiji Alpe in Panonska nižina (za obdobje 2014–2019 je bila prvič podana ocena ekološkega stanja za 5</w:t>
      </w:r>
      <w:r w:rsidR="00B42879" w:rsidRPr="00545EC0">
        <w:rPr>
          <w:rFonts w:cs="Arial"/>
        </w:rPr>
        <w:t>0</w:t>
      </w:r>
      <w:r w:rsidR="005174B6" w:rsidRPr="00545EC0">
        <w:rPr>
          <w:rFonts w:cs="Arial"/>
        </w:rPr>
        <w:t xml:space="preserve"> vodnih teles)</w:t>
      </w:r>
      <w:r w:rsidR="004261BF" w:rsidRPr="00545EC0">
        <w:rPr>
          <w:rFonts w:cs="Arial"/>
        </w:rPr>
        <w:t xml:space="preserve"> in</w:t>
      </w:r>
      <w:r w:rsidR="005174B6" w:rsidRPr="00545EC0">
        <w:rPr>
          <w:rFonts w:cs="Arial"/>
        </w:rPr>
        <w:t xml:space="preserve"> </w:t>
      </w:r>
      <w:r w:rsidR="004261BF" w:rsidRPr="00545EC0">
        <w:rPr>
          <w:rFonts w:cs="Arial"/>
        </w:rPr>
        <w:t>m</w:t>
      </w:r>
      <w:r w:rsidR="005174B6" w:rsidRPr="00545EC0">
        <w:rPr>
          <w:rFonts w:cs="Arial"/>
        </w:rPr>
        <w:t xml:space="preserve">etodologija vrednotenja ekološkega stanja jezer na podlagi rib (prvič </w:t>
      </w:r>
      <w:r w:rsidR="000E4EC4" w:rsidRPr="00545EC0">
        <w:rPr>
          <w:rFonts w:cs="Arial"/>
        </w:rPr>
        <w:t xml:space="preserve">sta </w:t>
      </w:r>
      <w:r w:rsidR="005174B6" w:rsidRPr="00545EC0">
        <w:rPr>
          <w:rFonts w:cs="Arial"/>
        </w:rPr>
        <w:t>podani oceni za 2 vodni telesi jezer)</w:t>
      </w:r>
      <w:r w:rsidR="004261BF" w:rsidRPr="00545EC0">
        <w:rPr>
          <w:rFonts w:cs="Arial"/>
        </w:rPr>
        <w:t>. Dodatno je bila za oceno stanja vodnih teles površinskih voda uporabljena n</w:t>
      </w:r>
      <w:r w:rsidR="005174B6" w:rsidRPr="00545EC0">
        <w:rPr>
          <w:rFonts w:cs="Arial"/>
        </w:rPr>
        <w:t xml:space="preserve">adgrajena </w:t>
      </w:r>
      <w:r w:rsidR="00940BA9" w:rsidRPr="00545EC0">
        <w:rPr>
          <w:rFonts w:cs="Arial"/>
        </w:rPr>
        <w:t>m</w:t>
      </w:r>
      <w:r w:rsidR="005174B6" w:rsidRPr="00545EC0">
        <w:rPr>
          <w:rFonts w:cs="Arial"/>
        </w:rPr>
        <w:t xml:space="preserve">etodologija vrednotenja ekološkega stanja vodotokov na podlagi bentoških nevretenčarjev </w:t>
      </w:r>
      <w:r w:rsidR="000E4EC4" w:rsidRPr="00545EC0">
        <w:rPr>
          <w:rFonts w:cs="Arial"/>
        </w:rPr>
        <w:t>z uporabo</w:t>
      </w:r>
      <w:r w:rsidR="005F03B3" w:rsidRPr="00545EC0">
        <w:rPr>
          <w:rFonts w:cs="Arial"/>
        </w:rPr>
        <w:t xml:space="preserve"> s</w:t>
      </w:r>
      <w:r w:rsidR="004261BF" w:rsidRPr="00545EC0">
        <w:rPr>
          <w:rFonts w:cs="Arial"/>
        </w:rPr>
        <w:t>lovensk</w:t>
      </w:r>
      <w:r w:rsidR="005F03B3" w:rsidRPr="00545EC0">
        <w:rPr>
          <w:rFonts w:cs="Arial"/>
        </w:rPr>
        <w:t>ega multimetrijskega</w:t>
      </w:r>
      <w:r w:rsidR="004261BF" w:rsidRPr="00545EC0">
        <w:rPr>
          <w:rFonts w:cs="Arial"/>
        </w:rPr>
        <w:t xml:space="preserve"> indeks</w:t>
      </w:r>
      <w:r w:rsidR="005F03B3" w:rsidRPr="00545EC0">
        <w:rPr>
          <w:rFonts w:cs="Arial"/>
        </w:rPr>
        <w:t>a</w:t>
      </w:r>
      <w:r w:rsidR="004261BF" w:rsidRPr="00545EC0">
        <w:rPr>
          <w:rFonts w:cs="Arial"/>
        </w:rPr>
        <w:t xml:space="preserve"> hidromorfološke spremenjenosti/splošne degradiranosti </w:t>
      </w:r>
      <w:r w:rsidR="005F03B3" w:rsidRPr="00545EC0">
        <w:rPr>
          <w:rFonts w:cs="Arial"/>
        </w:rPr>
        <w:t xml:space="preserve">(t.i. indeks </w:t>
      </w:r>
      <w:r w:rsidR="005174B6" w:rsidRPr="00545EC0">
        <w:rPr>
          <w:rFonts w:cs="Arial"/>
        </w:rPr>
        <w:t>SMEIH</w:t>
      </w:r>
      <w:r w:rsidR="005F03B3" w:rsidRPr="00545EC0">
        <w:rPr>
          <w:rFonts w:cs="Arial"/>
        </w:rPr>
        <w:t>)</w:t>
      </w:r>
      <w:r w:rsidR="005174B6" w:rsidRPr="00545EC0">
        <w:rPr>
          <w:rFonts w:cs="Arial"/>
        </w:rPr>
        <w:t xml:space="preserve">. </w:t>
      </w:r>
    </w:p>
    <w:p w14:paraId="632DD5EC" w14:textId="77777777" w:rsidR="005F03B3" w:rsidRPr="00545EC0" w:rsidRDefault="005F03B3" w:rsidP="004168CD">
      <w:pPr>
        <w:rPr>
          <w:rFonts w:cs="Arial"/>
        </w:rPr>
      </w:pPr>
    </w:p>
    <w:p w14:paraId="503BB229" w14:textId="3248A159" w:rsidR="002527C2" w:rsidRPr="00545EC0" w:rsidRDefault="002527C2" w:rsidP="002527C2">
      <w:pPr>
        <w:spacing w:after="120"/>
        <w:ind w:right="210"/>
        <w:rPr>
          <w:rFonts w:cs="Arial"/>
          <w:i/>
        </w:rPr>
      </w:pPr>
      <w:r w:rsidRPr="00545EC0">
        <w:rPr>
          <w:rFonts w:cs="Arial"/>
        </w:rPr>
        <w:t xml:space="preserve">Glede na vsebnost posebnih onesnaževal je na vodnem območju Donave v zmerno stanje razvrščenih </w:t>
      </w:r>
      <w:r w:rsidR="00B84C5E" w:rsidRPr="00545EC0">
        <w:rPr>
          <w:rFonts w:cs="Arial"/>
        </w:rPr>
        <w:t>12 %</w:t>
      </w:r>
      <w:r w:rsidRPr="00545EC0">
        <w:rPr>
          <w:rFonts w:cs="Arial"/>
        </w:rPr>
        <w:t xml:space="preserve"> vodnih teles. Največkrat je razlog za zmerno stanje preseganje mejne vrednosti za metolaklor, katerega mejna vrednost je bila presežena predvsem v površinskih vodah severovzhodne Slovenije. Ostali parametri z liste posebnih onesnaževal, ki so na vodnem območju Donave presegali mejne vrednosti, so terbutilazin, kobalt, poliklorirani bifenili, molibden, sulfat in cink. Ocena stanja površinskih voda glede na vsebnost posebnih onesnaževal je prikazana na publikacijski karti </w:t>
      </w:r>
      <w:r w:rsidRPr="00545EC0">
        <w:rPr>
          <w:rFonts w:cs="Arial"/>
          <w:i/>
        </w:rPr>
        <w:t xml:space="preserve">(Publikacijska karta 13.5: Ocena ekološkega stanja površinskih voda glede na vsebnost posebnih onesnaževal) </w:t>
      </w:r>
      <w:r w:rsidRPr="00545EC0">
        <w:rPr>
          <w:rFonts w:cs="Arial"/>
        </w:rPr>
        <w:t xml:space="preserve">in v preglednici v prilogi </w:t>
      </w:r>
      <w:r w:rsidR="00565532" w:rsidRPr="00545EC0">
        <w:rPr>
          <w:rFonts w:cs="Arial"/>
        </w:rPr>
        <w:t xml:space="preserve">(Priloga </w:t>
      </w:r>
      <w:r w:rsidRPr="00545EC0">
        <w:rPr>
          <w:rFonts w:cs="Arial"/>
        </w:rPr>
        <w:t>9.11.2.</w:t>
      </w:r>
      <w:r w:rsidR="00565532" w:rsidRPr="00545EC0">
        <w:rPr>
          <w:rFonts w:cs="Arial"/>
        </w:rPr>
        <w:t>).</w:t>
      </w:r>
    </w:p>
    <w:p w14:paraId="087BCA18" w14:textId="77777777" w:rsidR="002527C2" w:rsidRPr="00545EC0" w:rsidRDefault="002527C2" w:rsidP="004168CD">
      <w:pPr>
        <w:rPr>
          <w:rFonts w:cs="Arial"/>
        </w:rPr>
      </w:pPr>
    </w:p>
    <w:p w14:paraId="7074A59C" w14:textId="77777777" w:rsidR="005F03B3" w:rsidRPr="00545EC0" w:rsidRDefault="005F03B3" w:rsidP="004168CD">
      <w:pPr>
        <w:rPr>
          <w:rFonts w:cs="Arial"/>
        </w:rPr>
      </w:pPr>
    </w:p>
    <w:p w14:paraId="51FEC0EA" w14:textId="77777777" w:rsidR="009B2C8D" w:rsidRPr="00545EC0" w:rsidRDefault="009B2C8D" w:rsidP="004168CD">
      <w:pPr>
        <w:pStyle w:val="Odstavekseznama"/>
        <w:ind w:left="780"/>
        <w:rPr>
          <w:rFonts w:cs="Arial"/>
        </w:rPr>
      </w:pPr>
    </w:p>
    <w:p w14:paraId="1C15D345" w14:textId="77777777" w:rsidR="005174B6" w:rsidRPr="00545EC0" w:rsidRDefault="005174B6" w:rsidP="005174B6">
      <w:pPr>
        <w:tabs>
          <w:tab w:val="left" w:pos="4253"/>
          <w:tab w:val="left" w:pos="4536"/>
          <w:tab w:val="left" w:pos="9354"/>
        </w:tabs>
        <w:ind w:right="-2"/>
        <w:rPr>
          <w:rFonts w:cs="Arial"/>
        </w:rPr>
      </w:pPr>
      <w:bookmarkStart w:id="509" w:name="_Ref414948751"/>
      <w:bookmarkStart w:id="510" w:name="_Toc419097455"/>
      <w:bookmarkStart w:id="511" w:name="_Toc427322739"/>
    </w:p>
    <w:p w14:paraId="0536430E" w14:textId="19372ECC" w:rsidR="00CB2B6D" w:rsidRPr="00545EC0" w:rsidRDefault="005F03B3" w:rsidP="00CB2B6D">
      <w:pPr>
        <w:ind w:right="210"/>
        <w:rPr>
          <w:rFonts w:cs="Arial"/>
        </w:rPr>
      </w:pPr>
      <w:r w:rsidRPr="00545EC0">
        <w:rPr>
          <w:rFonts w:cs="Arial"/>
          <w:noProof/>
        </w:rPr>
        <w:lastRenderedPageBreak/>
        <w:drawing>
          <wp:inline distT="0" distB="0" distL="0" distR="0" wp14:anchorId="5E8FF62A" wp14:editId="20047EE4">
            <wp:extent cx="5879940" cy="4003169"/>
            <wp:effectExtent l="19050" t="19050" r="26035" b="1651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85437" cy="4006911"/>
                    </a:xfrm>
                    <a:prstGeom prst="rect">
                      <a:avLst/>
                    </a:prstGeom>
                    <a:noFill/>
                    <a:ln>
                      <a:solidFill>
                        <a:schemeClr val="bg2"/>
                      </a:solidFill>
                    </a:ln>
                  </pic:spPr>
                </pic:pic>
              </a:graphicData>
            </a:graphic>
          </wp:inline>
        </w:drawing>
      </w:r>
    </w:p>
    <w:p w14:paraId="0DB73553" w14:textId="26799790" w:rsidR="00CB2B6D" w:rsidRPr="00545EC0" w:rsidRDefault="00CB2B6D" w:rsidP="00CB2B6D">
      <w:pPr>
        <w:pStyle w:val="Napis"/>
        <w:rPr>
          <w:bCs w:val="0"/>
          <w:szCs w:val="20"/>
        </w:rPr>
      </w:pPr>
      <w:bookmarkStart w:id="512" w:name="_Ref89942203"/>
      <w:r w:rsidRPr="00545EC0">
        <w:t xml:space="preserve">Slika </w:t>
      </w:r>
      <w:fldSimple w:instr=" STYLEREF 1 \s ">
        <w:r w:rsidR="002F3E43">
          <w:rPr>
            <w:noProof/>
          </w:rPr>
          <w:t>3</w:t>
        </w:r>
      </w:fldSimple>
      <w:r w:rsidR="00396E1E" w:rsidRPr="00545EC0">
        <w:noBreakHyphen/>
      </w:r>
      <w:fldSimple w:instr=" SEQ Slika \* ARABIC \s 1 ">
        <w:r w:rsidR="002F3E43">
          <w:rPr>
            <w:noProof/>
          </w:rPr>
          <w:t>3</w:t>
        </w:r>
      </w:fldSimple>
      <w:bookmarkEnd w:id="512"/>
      <w:r w:rsidRPr="00545EC0">
        <w:t xml:space="preserve">: </w:t>
      </w:r>
      <w:r w:rsidRPr="00545EC0">
        <w:rPr>
          <w:bCs w:val="0"/>
          <w:szCs w:val="20"/>
        </w:rPr>
        <w:t xml:space="preserve">Deleži vodnih teles površinskih voda za vodno območje Donave, ki dosegajo/ne dosegajo dobrega ekološkega stanja </w:t>
      </w:r>
      <w:r w:rsidR="00095A58" w:rsidRPr="00545EC0">
        <w:rPr>
          <w:bCs w:val="0"/>
          <w:szCs w:val="20"/>
        </w:rPr>
        <w:t xml:space="preserve">v obdobju 2009-2015 in 2014-2019 </w:t>
      </w:r>
      <w:r w:rsidRPr="00545EC0">
        <w:rPr>
          <w:bCs w:val="0"/>
          <w:szCs w:val="20"/>
        </w:rPr>
        <w:t>glede na posamezne obremenitve</w:t>
      </w:r>
    </w:p>
    <w:p w14:paraId="48855E55" w14:textId="77777777" w:rsidR="00CB2B6D" w:rsidRPr="00545EC0" w:rsidRDefault="00CB2B6D" w:rsidP="00CB2B6D">
      <w:pPr>
        <w:ind w:right="210"/>
        <w:rPr>
          <w:rFonts w:cs="Arial"/>
        </w:rPr>
      </w:pPr>
    </w:p>
    <w:p w14:paraId="4C791BA7" w14:textId="73ABAB64" w:rsidR="00CB2B6D" w:rsidRPr="00545EC0" w:rsidRDefault="00CB2B6D" w:rsidP="00CB2B6D">
      <w:pPr>
        <w:rPr>
          <w:rFonts w:cs="Arial"/>
        </w:rPr>
      </w:pPr>
      <w:r w:rsidRPr="00545EC0">
        <w:rPr>
          <w:rFonts w:cs="Arial"/>
        </w:rPr>
        <w:t xml:space="preserve">Razvrstitev vodnih teles površinskih voda v razrede ekološkega stanja </w:t>
      </w:r>
      <w:r w:rsidR="00C547EC" w:rsidRPr="00545EC0">
        <w:rPr>
          <w:rFonts w:cs="Arial"/>
        </w:rPr>
        <w:t>zelo dobro, dobro, zmer</w:t>
      </w:r>
      <w:r w:rsidR="007351A9" w:rsidRPr="00545EC0">
        <w:rPr>
          <w:rFonts w:cs="Arial"/>
        </w:rPr>
        <w:t>n</w:t>
      </w:r>
      <w:r w:rsidR="00C547EC" w:rsidRPr="00545EC0">
        <w:rPr>
          <w:rFonts w:cs="Arial"/>
        </w:rPr>
        <w:t xml:space="preserve">o, slabo in zelo slabo </w:t>
      </w:r>
      <w:r w:rsidR="003A6325" w:rsidRPr="00545EC0">
        <w:rPr>
          <w:rFonts w:cs="Arial"/>
        </w:rPr>
        <w:t xml:space="preserve">upoštevajoč obdobje 2014-2019 </w:t>
      </w:r>
      <w:r w:rsidR="005F03B3" w:rsidRPr="00545EC0">
        <w:rPr>
          <w:rFonts w:cs="Arial"/>
        </w:rPr>
        <w:t xml:space="preserve">je podana v preglednici v prilogi </w:t>
      </w:r>
      <w:r w:rsidR="00F44B64" w:rsidRPr="00545EC0">
        <w:rPr>
          <w:rFonts w:cs="Arial"/>
        </w:rPr>
        <w:t xml:space="preserve">(Priloga </w:t>
      </w:r>
      <w:r w:rsidR="005F03B3" w:rsidRPr="00545EC0">
        <w:rPr>
          <w:rFonts w:cs="Arial"/>
        </w:rPr>
        <w:t>9.11.2</w:t>
      </w:r>
      <w:r w:rsidR="00F44B64" w:rsidRPr="00545EC0">
        <w:rPr>
          <w:rFonts w:cs="Arial"/>
        </w:rPr>
        <w:t>)</w:t>
      </w:r>
      <w:r w:rsidR="005F03B3" w:rsidRPr="00545EC0">
        <w:rPr>
          <w:rFonts w:cs="Arial"/>
        </w:rPr>
        <w:t xml:space="preserve">. </w:t>
      </w:r>
      <w:r w:rsidR="00396E1E" w:rsidRPr="00545EC0">
        <w:rPr>
          <w:rFonts w:cs="Arial"/>
        </w:rPr>
        <w:t>D</w:t>
      </w:r>
      <w:r w:rsidR="002527C2" w:rsidRPr="00545EC0">
        <w:rPr>
          <w:rFonts w:cs="Arial"/>
        </w:rPr>
        <w:t>elež</w:t>
      </w:r>
      <w:r w:rsidR="00396E1E" w:rsidRPr="00545EC0">
        <w:rPr>
          <w:rFonts w:cs="Arial"/>
        </w:rPr>
        <w:t>i</w:t>
      </w:r>
      <w:r w:rsidR="002527C2" w:rsidRPr="00545EC0">
        <w:rPr>
          <w:rFonts w:cs="Arial"/>
        </w:rPr>
        <w:t xml:space="preserve"> vodnih teles </w:t>
      </w:r>
      <w:r w:rsidR="00396E1E" w:rsidRPr="00545EC0">
        <w:rPr>
          <w:rFonts w:cs="Arial"/>
        </w:rPr>
        <w:t xml:space="preserve">površinskih voda </w:t>
      </w:r>
      <w:r w:rsidR="002527C2" w:rsidRPr="00545EC0">
        <w:rPr>
          <w:rFonts w:cs="Arial"/>
        </w:rPr>
        <w:t xml:space="preserve">glede na razrede ekološkega stanja </w:t>
      </w:r>
      <w:r w:rsidRPr="00545EC0">
        <w:rPr>
          <w:rFonts w:cs="Arial"/>
        </w:rPr>
        <w:t>za Slovenijo in za vodno območje Donave</w:t>
      </w:r>
      <w:r w:rsidR="002527C2" w:rsidRPr="00545EC0">
        <w:rPr>
          <w:rFonts w:cs="Arial"/>
        </w:rPr>
        <w:t xml:space="preserve"> </w:t>
      </w:r>
      <w:r w:rsidR="00396E1E" w:rsidRPr="00545EC0">
        <w:rPr>
          <w:rFonts w:cs="Arial"/>
        </w:rPr>
        <w:t xml:space="preserve">so podani </w:t>
      </w:r>
      <w:r w:rsidRPr="00545EC0">
        <w:rPr>
          <w:rFonts w:cs="Arial"/>
        </w:rPr>
        <w:t xml:space="preserve">na </w:t>
      </w:r>
      <w:r w:rsidR="007351A9" w:rsidRPr="00545EC0">
        <w:rPr>
          <w:rFonts w:cs="Arial"/>
        </w:rPr>
        <w:t>sliki (</w:t>
      </w:r>
      <w:r w:rsidR="00396E1E" w:rsidRPr="00545EC0">
        <w:rPr>
          <w:rFonts w:cs="Arial"/>
        </w:rPr>
        <w:fldChar w:fldCharType="begin"/>
      </w:r>
      <w:r w:rsidR="00396E1E" w:rsidRPr="00545EC0">
        <w:rPr>
          <w:rFonts w:cs="Arial"/>
        </w:rPr>
        <w:instrText xml:space="preserve"> REF _Ref90258533 \h </w:instrText>
      </w:r>
      <w:r w:rsidR="00545EC0">
        <w:rPr>
          <w:rFonts w:cs="Arial"/>
        </w:rPr>
        <w:instrText xml:space="preserve"> \* MERGEFORMAT </w:instrText>
      </w:r>
      <w:r w:rsidR="00396E1E" w:rsidRPr="00545EC0">
        <w:rPr>
          <w:rFonts w:cs="Arial"/>
        </w:rPr>
      </w:r>
      <w:r w:rsidR="00396E1E" w:rsidRPr="00545EC0">
        <w:rPr>
          <w:rFonts w:cs="Arial"/>
        </w:rPr>
        <w:fldChar w:fldCharType="separate"/>
      </w:r>
      <w:r w:rsidR="002F3E43" w:rsidRPr="00545EC0">
        <w:t xml:space="preserve">Slika </w:t>
      </w:r>
      <w:r w:rsidR="002F3E43">
        <w:rPr>
          <w:noProof/>
        </w:rPr>
        <w:t>3</w:t>
      </w:r>
      <w:r w:rsidR="002F3E43" w:rsidRPr="00545EC0">
        <w:rPr>
          <w:noProof/>
        </w:rPr>
        <w:noBreakHyphen/>
      </w:r>
      <w:r w:rsidR="002F3E43">
        <w:rPr>
          <w:noProof/>
        </w:rPr>
        <w:t>4</w:t>
      </w:r>
      <w:r w:rsidR="00396E1E" w:rsidRPr="00545EC0">
        <w:rPr>
          <w:rFonts w:cs="Arial"/>
        </w:rPr>
        <w:fldChar w:fldCharType="end"/>
      </w:r>
      <w:r w:rsidR="00396E1E" w:rsidRPr="00545EC0">
        <w:rPr>
          <w:rFonts w:cs="Arial"/>
        </w:rPr>
        <w:t xml:space="preserve"> in </w:t>
      </w:r>
      <w:r w:rsidR="007351A9" w:rsidRPr="00545EC0">
        <w:rPr>
          <w:rFonts w:cs="Arial"/>
        </w:rPr>
        <w:fldChar w:fldCharType="begin"/>
      </w:r>
      <w:r w:rsidR="007351A9" w:rsidRPr="00545EC0">
        <w:rPr>
          <w:rFonts w:cs="Arial"/>
        </w:rPr>
        <w:instrText xml:space="preserve"> REF _Ref75170976 \h </w:instrText>
      </w:r>
      <w:r w:rsidR="00545EC0">
        <w:rPr>
          <w:rFonts w:cs="Arial"/>
        </w:rPr>
        <w:instrText xml:space="preserve"> \* MERGEFORMAT </w:instrText>
      </w:r>
      <w:r w:rsidR="007351A9" w:rsidRPr="00545EC0">
        <w:rPr>
          <w:rFonts w:cs="Arial"/>
        </w:rPr>
      </w:r>
      <w:r w:rsidR="007351A9" w:rsidRPr="00545EC0">
        <w:rPr>
          <w:rFonts w:cs="Arial"/>
        </w:rPr>
        <w:fldChar w:fldCharType="separate"/>
      </w:r>
      <w:r w:rsidR="002F3E43" w:rsidRPr="00545EC0">
        <w:t xml:space="preserve">Slika </w:t>
      </w:r>
      <w:r w:rsidR="002F3E43">
        <w:rPr>
          <w:noProof/>
        </w:rPr>
        <w:t>3</w:t>
      </w:r>
      <w:r w:rsidR="002F3E43" w:rsidRPr="00545EC0">
        <w:rPr>
          <w:noProof/>
        </w:rPr>
        <w:noBreakHyphen/>
      </w:r>
      <w:r w:rsidR="002F3E43">
        <w:rPr>
          <w:noProof/>
        </w:rPr>
        <w:t>5</w:t>
      </w:r>
      <w:r w:rsidR="007351A9" w:rsidRPr="00545EC0">
        <w:rPr>
          <w:rFonts w:cs="Arial"/>
        </w:rPr>
        <w:fldChar w:fldCharType="end"/>
      </w:r>
      <w:r w:rsidR="007351A9" w:rsidRPr="00545EC0">
        <w:rPr>
          <w:rFonts w:cs="Arial"/>
        </w:rPr>
        <w:t>)</w:t>
      </w:r>
      <w:r w:rsidRPr="00545EC0">
        <w:rPr>
          <w:rFonts w:cs="Arial"/>
        </w:rPr>
        <w:t xml:space="preserve">. Na ozemlju </w:t>
      </w:r>
      <w:r w:rsidR="00C547EC" w:rsidRPr="00545EC0">
        <w:rPr>
          <w:rFonts w:cs="Arial"/>
        </w:rPr>
        <w:t xml:space="preserve">Republike </w:t>
      </w:r>
      <w:r w:rsidRPr="00545EC0">
        <w:rPr>
          <w:rFonts w:cs="Arial"/>
        </w:rPr>
        <w:t xml:space="preserve">Slovenije je dobro in zelo dobro ekološko stanje/potencial </w:t>
      </w:r>
      <w:r w:rsidR="002446C0" w:rsidRPr="00545EC0">
        <w:rPr>
          <w:rFonts w:cs="Arial"/>
        </w:rPr>
        <w:t xml:space="preserve">upoštevajoč obdobje 2014-2019 </w:t>
      </w:r>
      <w:r w:rsidRPr="00545EC0">
        <w:rPr>
          <w:rFonts w:cs="Arial"/>
        </w:rPr>
        <w:t xml:space="preserve">ugotovljeno za 49,3 % vodnih teles površinskih voda, na vodnem območju Donave pa ta delež znaša 41,3 %. V primerjavi z oceno ekološkega stanja voda v predhodnem načrtu upravljanja voda </w:t>
      </w:r>
      <w:r w:rsidR="00D858AD" w:rsidRPr="00545EC0">
        <w:rPr>
          <w:rFonts w:cs="Arial"/>
        </w:rPr>
        <w:t xml:space="preserve">v Republiki Sloveniji </w:t>
      </w:r>
      <w:r w:rsidR="00F44B64" w:rsidRPr="00545EC0">
        <w:rPr>
          <w:rFonts w:cs="Arial"/>
        </w:rPr>
        <w:t xml:space="preserve">okoli ena petina </w:t>
      </w:r>
      <w:r w:rsidRPr="00545EC0">
        <w:rPr>
          <w:rFonts w:cs="Arial"/>
        </w:rPr>
        <w:t xml:space="preserve">vodnih teles manj </w:t>
      </w:r>
      <w:r w:rsidR="00D858AD" w:rsidRPr="00545EC0">
        <w:rPr>
          <w:rFonts w:cs="Arial"/>
        </w:rPr>
        <w:t xml:space="preserve">ne </w:t>
      </w:r>
      <w:r w:rsidRPr="00545EC0">
        <w:rPr>
          <w:rFonts w:cs="Arial"/>
        </w:rPr>
        <w:t>dosega cilj</w:t>
      </w:r>
      <w:r w:rsidR="00D858AD" w:rsidRPr="00545EC0">
        <w:rPr>
          <w:rFonts w:cs="Arial"/>
        </w:rPr>
        <w:t>a</w:t>
      </w:r>
      <w:r w:rsidRPr="00545EC0">
        <w:rPr>
          <w:rFonts w:cs="Arial"/>
        </w:rPr>
        <w:t xml:space="preserve"> dobro ekološko stanje</w:t>
      </w:r>
      <w:r w:rsidR="002527C2" w:rsidRPr="00545EC0">
        <w:rPr>
          <w:rFonts w:cs="Arial"/>
        </w:rPr>
        <w:t xml:space="preserve"> </w:t>
      </w:r>
      <w:r w:rsidR="00D858AD" w:rsidRPr="00545EC0">
        <w:rPr>
          <w:rFonts w:cs="Arial"/>
        </w:rPr>
        <w:t xml:space="preserve">zaradi </w:t>
      </w:r>
      <w:r w:rsidR="002527C2" w:rsidRPr="00545EC0">
        <w:rPr>
          <w:rFonts w:cs="Arial"/>
        </w:rPr>
        <w:t>ocene stanja na podlagi novih</w:t>
      </w:r>
      <w:r w:rsidR="00B84C5E" w:rsidRPr="00545EC0">
        <w:rPr>
          <w:rFonts w:cs="Arial"/>
        </w:rPr>
        <w:t xml:space="preserve"> ali nadgrajenih</w:t>
      </w:r>
      <w:r w:rsidR="002527C2" w:rsidRPr="00545EC0">
        <w:rPr>
          <w:rFonts w:cs="Arial"/>
        </w:rPr>
        <w:t xml:space="preserve"> metodologij</w:t>
      </w:r>
      <w:r w:rsidRPr="00545EC0">
        <w:rPr>
          <w:rFonts w:cs="Arial"/>
        </w:rPr>
        <w:t xml:space="preserve">. Ocenjena so vsa vodna telesa. </w:t>
      </w:r>
    </w:p>
    <w:p w14:paraId="180E5A68" w14:textId="77777777" w:rsidR="00CB2B6D" w:rsidRPr="00545EC0" w:rsidRDefault="00CB2B6D" w:rsidP="005174B6">
      <w:pPr>
        <w:tabs>
          <w:tab w:val="left" w:pos="4253"/>
          <w:tab w:val="left" w:pos="4536"/>
          <w:tab w:val="left" w:pos="9354"/>
        </w:tabs>
        <w:ind w:right="-2"/>
        <w:rPr>
          <w:rFonts w:cs="Arial"/>
        </w:rPr>
      </w:pPr>
    </w:p>
    <w:p w14:paraId="79AF1302" w14:textId="77777777" w:rsidR="00CB2B6D" w:rsidRPr="00545EC0" w:rsidRDefault="00CB2B6D" w:rsidP="005174B6">
      <w:pPr>
        <w:tabs>
          <w:tab w:val="left" w:pos="4253"/>
          <w:tab w:val="left" w:pos="4536"/>
          <w:tab w:val="left" w:pos="9354"/>
        </w:tabs>
        <w:ind w:right="-2"/>
        <w:rPr>
          <w:rFonts w:cs="Arial"/>
        </w:rPr>
      </w:pPr>
    </w:p>
    <w:p w14:paraId="6EE0F3E5" w14:textId="17256C5A" w:rsidR="005174B6" w:rsidRPr="00545EC0" w:rsidRDefault="00396E1E" w:rsidP="005174B6">
      <w:pPr>
        <w:keepNext/>
        <w:tabs>
          <w:tab w:val="left" w:pos="4253"/>
          <w:tab w:val="left" w:pos="4536"/>
          <w:tab w:val="left" w:pos="9354"/>
        </w:tabs>
        <w:ind w:right="-2"/>
      </w:pPr>
      <w:r w:rsidRPr="00545EC0">
        <w:rPr>
          <w:noProof/>
        </w:rPr>
        <w:lastRenderedPageBreak/>
        <w:drawing>
          <wp:inline distT="0" distB="0" distL="0" distR="0" wp14:anchorId="11BA6C06" wp14:editId="37CEE5EA">
            <wp:extent cx="5251157" cy="3167543"/>
            <wp:effectExtent l="0" t="0" r="6985"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54832" cy="3169760"/>
                    </a:xfrm>
                    <a:prstGeom prst="rect">
                      <a:avLst/>
                    </a:prstGeom>
                    <a:noFill/>
                  </pic:spPr>
                </pic:pic>
              </a:graphicData>
            </a:graphic>
          </wp:inline>
        </w:drawing>
      </w:r>
    </w:p>
    <w:p w14:paraId="74843790" w14:textId="46D7D6B4" w:rsidR="005174B6" w:rsidRPr="00545EC0" w:rsidRDefault="00396E1E" w:rsidP="00396E1E">
      <w:pPr>
        <w:pStyle w:val="Napis"/>
      </w:pPr>
      <w:bookmarkStart w:id="513" w:name="_Ref90258533"/>
      <w:r w:rsidRPr="00545EC0">
        <w:t xml:space="preserve">Slika </w:t>
      </w:r>
      <w:fldSimple w:instr=" STYLEREF 1 \s ">
        <w:r w:rsidR="002F3E43">
          <w:rPr>
            <w:noProof/>
          </w:rPr>
          <w:t>3</w:t>
        </w:r>
      </w:fldSimple>
      <w:r w:rsidRPr="00545EC0">
        <w:noBreakHyphen/>
      </w:r>
      <w:fldSimple w:instr=" SEQ Slika \* ARABIC \s 1 ">
        <w:r w:rsidR="002F3E43">
          <w:rPr>
            <w:noProof/>
          </w:rPr>
          <w:t>4</w:t>
        </w:r>
      </w:fldSimple>
      <w:bookmarkEnd w:id="513"/>
      <w:r w:rsidRPr="00545EC0">
        <w:t>: Deleži vodnih teles površinskih voda v razredih ekološkega stanja za Slovenijo (prikaz za obdobja 2006-2008, 2009-2015 in 2014-2019)</w:t>
      </w:r>
    </w:p>
    <w:p w14:paraId="35890670" w14:textId="77777777" w:rsidR="00396E1E" w:rsidRPr="00545EC0" w:rsidRDefault="00396E1E" w:rsidP="005174B6">
      <w:pPr>
        <w:tabs>
          <w:tab w:val="left" w:pos="4253"/>
          <w:tab w:val="left" w:pos="4536"/>
          <w:tab w:val="left" w:pos="9354"/>
        </w:tabs>
        <w:ind w:right="-2"/>
        <w:rPr>
          <w:rFonts w:cs="Arial"/>
        </w:rPr>
      </w:pPr>
    </w:p>
    <w:p w14:paraId="0F5481BB" w14:textId="23B0F477" w:rsidR="005174B6" w:rsidRPr="00545EC0" w:rsidRDefault="00396E1E" w:rsidP="005174B6">
      <w:pPr>
        <w:tabs>
          <w:tab w:val="left" w:pos="4253"/>
          <w:tab w:val="left" w:pos="4536"/>
          <w:tab w:val="left" w:pos="9354"/>
        </w:tabs>
        <w:ind w:right="-2"/>
        <w:rPr>
          <w:rFonts w:cs="Arial"/>
        </w:rPr>
      </w:pPr>
      <w:r w:rsidRPr="00545EC0">
        <w:rPr>
          <w:noProof/>
        </w:rPr>
        <w:drawing>
          <wp:inline distT="0" distB="0" distL="0" distR="0" wp14:anchorId="569F2E34" wp14:editId="33BC6AD7">
            <wp:extent cx="5390054" cy="3454400"/>
            <wp:effectExtent l="0" t="0" r="1270"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95232" cy="3457719"/>
                    </a:xfrm>
                    <a:prstGeom prst="rect">
                      <a:avLst/>
                    </a:prstGeom>
                    <a:noFill/>
                  </pic:spPr>
                </pic:pic>
              </a:graphicData>
            </a:graphic>
          </wp:inline>
        </w:drawing>
      </w:r>
    </w:p>
    <w:p w14:paraId="68621A4D" w14:textId="2F89163C" w:rsidR="00095A58" w:rsidRPr="00545EC0" w:rsidRDefault="005174B6" w:rsidP="00095A58">
      <w:pPr>
        <w:pStyle w:val="Napis"/>
        <w:rPr>
          <w:bCs w:val="0"/>
          <w:szCs w:val="20"/>
        </w:rPr>
      </w:pPr>
      <w:bookmarkStart w:id="514" w:name="_Ref75170976"/>
      <w:bookmarkStart w:id="515" w:name="_Toc75179876"/>
      <w:bookmarkEnd w:id="509"/>
      <w:bookmarkEnd w:id="510"/>
      <w:bookmarkEnd w:id="511"/>
      <w:r w:rsidRPr="00545EC0">
        <w:t xml:space="preserve">Slika </w:t>
      </w:r>
      <w:fldSimple w:instr=" STYLEREF 1 \s ">
        <w:r w:rsidR="002F3E43">
          <w:rPr>
            <w:noProof/>
          </w:rPr>
          <w:t>3</w:t>
        </w:r>
      </w:fldSimple>
      <w:r w:rsidR="00396E1E" w:rsidRPr="00545EC0">
        <w:noBreakHyphen/>
      </w:r>
      <w:fldSimple w:instr=" SEQ Slika \* ARABIC \s 1 ">
        <w:r w:rsidR="002F3E43">
          <w:rPr>
            <w:noProof/>
          </w:rPr>
          <w:t>5</w:t>
        </w:r>
      </w:fldSimple>
      <w:bookmarkEnd w:id="514"/>
      <w:r w:rsidRPr="00545EC0">
        <w:t xml:space="preserve">: </w:t>
      </w:r>
      <w:bookmarkEnd w:id="515"/>
      <w:r w:rsidR="00396E1E" w:rsidRPr="00545EC0">
        <w:t>Deleži vodnih teles površinskih voda v razredih ekološkega stanja za vodno območje Donave (prikaz za obdobja 2006-2008, 2009-2015 in 2014-2019)</w:t>
      </w:r>
    </w:p>
    <w:p w14:paraId="3801A47F" w14:textId="3B43F5A0" w:rsidR="005174B6" w:rsidRPr="00545EC0" w:rsidRDefault="005174B6" w:rsidP="005174B6">
      <w:pPr>
        <w:pStyle w:val="Napis"/>
      </w:pPr>
    </w:p>
    <w:p w14:paraId="32107381" w14:textId="77777777" w:rsidR="005174B6" w:rsidRPr="00545EC0" w:rsidRDefault="005174B6" w:rsidP="005174B6">
      <w:pPr>
        <w:rPr>
          <w:rFonts w:cs="Arial"/>
        </w:rPr>
      </w:pPr>
    </w:p>
    <w:p w14:paraId="6B516524" w14:textId="7121E15F" w:rsidR="00DD72E7" w:rsidRPr="00545EC0" w:rsidRDefault="00567E32" w:rsidP="00693578">
      <w:pPr>
        <w:pStyle w:val="Naslov3"/>
      </w:pPr>
      <w:bookmarkStart w:id="516" w:name="_Toc90261049"/>
      <w:r w:rsidRPr="00545EC0">
        <w:t>Ocena količinskega stanja površinskih voda in plavin</w:t>
      </w:r>
      <w:bookmarkEnd w:id="507"/>
      <w:bookmarkEnd w:id="516"/>
      <w:r w:rsidRPr="00545EC0">
        <w:t xml:space="preserve"> </w:t>
      </w:r>
    </w:p>
    <w:p w14:paraId="3AA2ADF6" w14:textId="32696213" w:rsidR="005D040A" w:rsidRPr="00545EC0" w:rsidRDefault="005D040A" w:rsidP="00581CEA">
      <w:pPr>
        <w:pStyle w:val="Naslov4"/>
        <w:rPr>
          <w:color w:val="auto"/>
          <w:szCs w:val="26"/>
        </w:rPr>
      </w:pPr>
      <w:r w:rsidRPr="00545EC0">
        <w:rPr>
          <w:color w:val="auto"/>
          <w:szCs w:val="26"/>
        </w:rPr>
        <w:t xml:space="preserve">Količinsko stanje površinskih voda </w:t>
      </w:r>
    </w:p>
    <w:p w14:paraId="0DF89B73" w14:textId="4A7F0EF0" w:rsidR="005D040A" w:rsidRPr="00545EC0" w:rsidRDefault="005D040A" w:rsidP="00581CEA">
      <w:pPr>
        <w:pStyle w:val="Odstavekseznama"/>
        <w:spacing w:after="120"/>
        <w:ind w:left="0"/>
        <w:rPr>
          <w:rFonts w:cs="Arial"/>
          <w:szCs w:val="20"/>
        </w:rPr>
      </w:pPr>
      <w:r w:rsidRPr="00545EC0">
        <w:rPr>
          <w:rFonts w:cs="Arial"/>
          <w:szCs w:val="20"/>
        </w:rPr>
        <w:lastRenderedPageBreak/>
        <w:t>Količinsko stanje površinskih voda se določa iz podatkov državnega hidrološkega monitoringa, ki poteka po Programu hidrološkega monitoringa površinskih</w:t>
      </w:r>
      <w:r w:rsidR="004C00D9" w:rsidRPr="00545EC0">
        <w:rPr>
          <w:rFonts w:cs="Arial"/>
          <w:szCs w:val="20"/>
          <w:lang w:val="sl-SI"/>
        </w:rPr>
        <w:t xml:space="preserve"> voda</w:t>
      </w:r>
      <w:r w:rsidRPr="00545EC0">
        <w:rPr>
          <w:rFonts w:cs="Arial"/>
          <w:szCs w:val="20"/>
        </w:rPr>
        <w:t xml:space="preserve"> </w:t>
      </w:r>
      <w:r w:rsidR="004C00D9" w:rsidRPr="00545EC0">
        <w:rPr>
          <w:rFonts w:cs="Arial"/>
          <w:szCs w:val="20"/>
          <w:lang w:val="sl-SI"/>
        </w:rPr>
        <w:t>(</w:t>
      </w:r>
      <w:r w:rsidRPr="00545EC0">
        <w:rPr>
          <w:rFonts w:cs="Arial"/>
          <w:szCs w:val="20"/>
        </w:rPr>
        <w:t>ARSO, 2021</w:t>
      </w:r>
      <w:r w:rsidR="00B916AD" w:rsidRPr="00545EC0">
        <w:rPr>
          <w:rFonts w:cs="Arial"/>
          <w:szCs w:val="20"/>
          <w:lang w:val="sl-SI"/>
        </w:rPr>
        <w:t>a</w:t>
      </w:r>
      <w:r w:rsidRPr="00545EC0">
        <w:rPr>
          <w:rFonts w:cs="Arial"/>
          <w:szCs w:val="20"/>
          <w:lang w:val="sl-SI"/>
        </w:rPr>
        <w:t xml:space="preserve">). </w:t>
      </w:r>
      <w:r w:rsidRPr="00545EC0">
        <w:rPr>
          <w:rFonts w:cs="Arial"/>
          <w:szCs w:val="20"/>
        </w:rPr>
        <w:t>Pretoki rek v Sloveniji se s časom neprestano spreminjajo in so odraz podnebnega dogajanja, spremembe v pretokih in pretočnih režimih v daljših časovnih obdobjih pa odraz podnebne spremenljivosti. V Sloveniji se količina padavin od zahoda proti vzhodu države zmanjšuje, kar se odraža tudi pri pretokih. Najbolj vodnat je severozahodni del Slovenije, proti vzhodu države vodnatost upada. Najmanjša vodnatost je v severovzhodni Sloveniji, z izjemo Drave in Mure, ki sta tranzitni reki z zaledjem v Avstriji. Za večji del Slovenije sta najbolj sušna meseca julij in avgust. V severni Sloveniji k odtoku v spomladanskih mesecih pomembno prispeva taljenje snega</w:t>
      </w:r>
      <w:r w:rsidR="009B2C8D" w:rsidRPr="00545EC0">
        <w:rPr>
          <w:rFonts w:cs="Arial"/>
          <w:szCs w:val="20"/>
          <w:lang w:val="sl-SI"/>
        </w:rPr>
        <w:t xml:space="preserve"> v visokogorju</w:t>
      </w:r>
      <w:r w:rsidRPr="00545EC0">
        <w:rPr>
          <w:rFonts w:cs="Arial"/>
          <w:szCs w:val="20"/>
        </w:rPr>
        <w:t>. Južni del Slovenije pa je pod močnim vplivom sredozemskega podnebja.</w:t>
      </w:r>
    </w:p>
    <w:p w14:paraId="15703F88" w14:textId="4CD7BBEE" w:rsidR="005D040A" w:rsidRPr="00545EC0" w:rsidRDefault="005D040A" w:rsidP="00581CEA">
      <w:pPr>
        <w:pStyle w:val="Odstavekseznama"/>
        <w:spacing w:after="120"/>
        <w:ind w:left="0"/>
        <w:rPr>
          <w:rFonts w:cs="Arial"/>
          <w:szCs w:val="20"/>
        </w:rPr>
      </w:pPr>
      <w:r w:rsidRPr="00545EC0">
        <w:rPr>
          <w:rFonts w:cs="Arial"/>
          <w:szCs w:val="20"/>
        </w:rPr>
        <w:t>Kazalec letne rečne bilance, ki prikazuje rečno bilanco Slovenije kot celot</w:t>
      </w:r>
      <w:r w:rsidR="0040588B" w:rsidRPr="00545EC0">
        <w:rPr>
          <w:rFonts w:cs="Arial"/>
          <w:szCs w:val="20"/>
          <w:lang w:val="sl-SI"/>
        </w:rPr>
        <w:t>o</w:t>
      </w:r>
      <w:r w:rsidRPr="00545EC0">
        <w:rPr>
          <w:rFonts w:cs="Arial"/>
          <w:szCs w:val="20"/>
        </w:rPr>
        <w:t>, sestavljata dotok in odtok rečne vode na leto</w:t>
      </w:r>
      <w:r w:rsidR="009B2C8D" w:rsidRPr="00545EC0">
        <w:rPr>
          <w:rFonts w:cs="Arial"/>
          <w:szCs w:val="20"/>
          <w:lang w:val="sl-SI"/>
        </w:rPr>
        <w:t xml:space="preserve"> (</w:t>
      </w:r>
      <w:r w:rsidR="009B2C8D" w:rsidRPr="00545EC0">
        <w:rPr>
          <w:rFonts w:cs="Arial"/>
          <w:szCs w:val="20"/>
        </w:rPr>
        <w:fldChar w:fldCharType="begin"/>
      </w:r>
      <w:r w:rsidR="009B2C8D" w:rsidRPr="00545EC0">
        <w:rPr>
          <w:rFonts w:cs="Arial"/>
          <w:szCs w:val="20"/>
        </w:rPr>
        <w:instrText xml:space="preserve"> REF _Ref87018062 \h </w:instrText>
      </w:r>
      <w:r w:rsidR="003122F4" w:rsidRPr="00545EC0">
        <w:rPr>
          <w:rFonts w:cs="Arial"/>
          <w:szCs w:val="20"/>
        </w:rPr>
        <w:instrText xml:space="preserve"> \* MERGEFORMAT </w:instrText>
      </w:r>
      <w:r w:rsidR="009B2C8D" w:rsidRPr="00545EC0">
        <w:rPr>
          <w:rFonts w:cs="Arial"/>
          <w:szCs w:val="20"/>
        </w:rPr>
      </w:r>
      <w:r w:rsidR="009B2C8D" w:rsidRPr="00545EC0">
        <w:rPr>
          <w:rFonts w:cs="Arial"/>
          <w:szCs w:val="20"/>
        </w:rPr>
        <w:fldChar w:fldCharType="separate"/>
      </w:r>
      <w:r w:rsidR="002F3E43" w:rsidRPr="00545EC0">
        <w:t xml:space="preserve">Slika </w:t>
      </w:r>
      <w:r w:rsidR="002F3E43">
        <w:rPr>
          <w:noProof/>
        </w:rPr>
        <w:t>3</w:t>
      </w:r>
      <w:r w:rsidR="002F3E43" w:rsidRPr="00545EC0">
        <w:rPr>
          <w:noProof/>
        </w:rPr>
        <w:noBreakHyphen/>
      </w:r>
      <w:r w:rsidR="002F3E43">
        <w:rPr>
          <w:noProof/>
        </w:rPr>
        <w:t>6</w:t>
      </w:r>
      <w:r w:rsidR="009B2C8D" w:rsidRPr="00545EC0">
        <w:rPr>
          <w:rFonts w:cs="Arial"/>
          <w:szCs w:val="20"/>
        </w:rPr>
        <w:fldChar w:fldCharType="end"/>
      </w:r>
      <w:r w:rsidR="009B2C8D" w:rsidRPr="00545EC0">
        <w:rPr>
          <w:rFonts w:cs="Arial"/>
          <w:szCs w:val="20"/>
          <w:lang w:val="sl-SI"/>
        </w:rPr>
        <w:t>)</w:t>
      </w:r>
      <w:r w:rsidRPr="00545EC0">
        <w:rPr>
          <w:rFonts w:cs="Arial"/>
          <w:szCs w:val="20"/>
        </w:rPr>
        <w:t>. Oba člena izračunamo na podlagi srednjih letnih pretokov (Qs) vodomernih postaj, ki zajamejo večino dotoka in odtoka rečne vode v slovenska porečja oziroma iz njih. Bilanca rečnega pretoka je eden od temeljnih in bolj dinamičnih elementov vodne bilance Slovenije. Meritve pretokov so zanesljive in imajo tradicijo, tako da so zanje na voljo daljši časovni nizi primerljivih podatkov. Ob pravilni oceni neposrednih antropogenih vplivov na rečni režim je rečna bilanca lahko tudi dober kazalec za oceno potencialnega vpliva podnebnih sprememb na količino razpoložljive vode.</w:t>
      </w:r>
    </w:p>
    <w:p w14:paraId="0E41F317" w14:textId="77777777" w:rsidR="005D040A" w:rsidRPr="00545EC0" w:rsidRDefault="005D040A" w:rsidP="00581CEA">
      <w:pPr>
        <w:pStyle w:val="Odstavekseznama"/>
        <w:spacing w:after="120"/>
        <w:ind w:left="0" w:firstLine="431"/>
        <w:rPr>
          <w:rFonts w:cs="Arial"/>
          <w:szCs w:val="20"/>
        </w:rPr>
      </w:pPr>
    </w:p>
    <w:p w14:paraId="298B0755" w14:textId="77777777" w:rsidR="004A151F" w:rsidRPr="00545EC0" w:rsidRDefault="005D040A" w:rsidP="00581CEA">
      <w:pPr>
        <w:pStyle w:val="Odstavekseznama"/>
        <w:keepNext/>
        <w:spacing w:after="120"/>
        <w:ind w:left="0"/>
      </w:pPr>
      <w:r w:rsidRPr="00545EC0">
        <w:rPr>
          <w:noProof/>
          <w:lang w:val="sl-SI" w:eastAsia="sl-SI"/>
        </w:rPr>
        <w:drawing>
          <wp:inline distT="0" distB="0" distL="0" distR="0" wp14:anchorId="3FED05DE" wp14:editId="21E81027">
            <wp:extent cx="5191314" cy="3114675"/>
            <wp:effectExtent l="19050" t="19050" r="28575" b="952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238424" cy="3142940"/>
                    </a:xfrm>
                    <a:prstGeom prst="rect">
                      <a:avLst/>
                    </a:prstGeom>
                    <a:ln>
                      <a:solidFill>
                        <a:schemeClr val="bg1">
                          <a:lumMod val="85000"/>
                        </a:schemeClr>
                      </a:solidFill>
                    </a:ln>
                  </pic:spPr>
                </pic:pic>
              </a:graphicData>
            </a:graphic>
          </wp:inline>
        </w:drawing>
      </w:r>
    </w:p>
    <w:p w14:paraId="3B51960A" w14:textId="535A139D" w:rsidR="005D040A" w:rsidRPr="00545EC0" w:rsidRDefault="004A151F" w:rsidP="00581CEA">
      <w:pPr>
        <w:pStyle w:val="Napis"/>
        <w:rPr>
          <w:szCs w:val="20"/>
        </w:rPr>
      </w:pPr>
      <w:bookmarkStart w:id="517" w:name="_Ref87018062"/>
      <w:r w:rsidRPr="00545EC0">
        <w:t xml:space="preserve">Slika </w:t>
      </w:r>
      <w:fldSimple w:instr=" STYLEREF 1 \s ">
        <w:r w:rsidR="002F3E43">
          <w:rPr>
            <w:noProof/>
          </w:rPr>
          <w:t>3</w:t>
        </w:r>
      </w:fldSimple>
      <w:r w:rsidR="00396E1E" w:rsidRPr="00545EC0">
        <w:noBreakHyphen/>
      </w:r>
      <w:fldSimple w:instr=" SEQ Slika \* ARABIC \s 1 ">
        <w:r w:rsidR="002F3E43">
          <w:rPr>
            <w:noProof/>
          </w:rPr>
          <w:t>6</w:t>
        </w:r>
      </w:fldSimple>
      <w:bookmarkEnd w:id="517"/>
      <w:r w:rsidRPr="00545EC0">
        <w:t xml:space="preserve">: </w:t>
      </w:r>
      <w:r w:rsidRPr="00545EC0">
        <w:rPr>
          <w:szCs w:val="20"/>
        </w:rPr>
        <w:t>Letna rečna bilanca Slovenije (neto odtok kot razlika med skupnim odtokom in dotokom)</w:t>
      </w:r>
    </w:p>
    <w:p w14:paraId="4683AF38" w14:textId="6C4FA777" w:rsidR="005D040A" w:rsidRPr="00545EC0" w:rsidRDefault="005D040A" w:rsidP="00581CEA">
      <w:pPr>
        <w:pStyle w:val="Naslov4"/>
        <w:rPr>
          <w:color w:val="auto"/>
          <w:szCs w:val="26"/>
        </w:rPr>
      </w:pPr>
      <w:r w:rsidRPr="00545EC0">
        <w:rPr>
          <w:color w:val="auto"/>
          <w:szCs w:val="26"/>
        </w:rPr>
        <w:t>Količinsko stanje plavin</w:t>
      </w:r>
    </w:p>
    <w:p w14:paraId="2C2D7AA6" w14:textId="5F466852" w:rsidR="001E2821" w:rsidRPr="00545EC0" w:rsidRDefault="005D040A" w:rsidP="00581CEA">
      <w:pPr>
        <w:pStyle w:val="Odstavekseznama"/>
        <w:ind w:left="0"/>
        <w:rPr>
          <w:rFonts w:cs="Arial"/>
          <w:szCs w:val="20"/>
          <w:lang w:val="sl-SI"/>
        </w:rPr>
      </w:pPr>
      <w:r w:rsidRPr="00545EC0">
        <w:rPr>
          <w:rFonts w:cs="Arial"/>
          <w:szCs w:val="20"/>
        </w:rPr>
        <w:t xml:space="preserve">Plavine oziroma rečni sediment so material, ki ga voda nosi od mesta nastanka do odlagališča. Ob izdatnih padavinah se zemljina iz porečja spira v reke, ob povečani hitrosti vode v rečnem koritu pa se spira in po reki premešča tudi material iz rečnega brega. Premeščanje sedimentov spreminja pokrajino in kot del rečnega transporta predstavlja življenjski prostor rečnim organizmom. Sediment se po reki premešča po rečnem dnu in v suspendirani obliki v vodi. Dinamiki gibanja plavin v vodi se sledi z merjenjem motnosti in vsebnosti suspendiranih snovi, kar je osnova za izračun transporta suspendiranih snovi. Monitoring motnosti in suspendiranih snovi se izvaja na Agenciji Republike </w:t>
      </w:r>
      <w:r w:rsidRPr="00545EC0">
        <w:rPr>
          <w:rFonts w:cs="Arial"/>
          <w:szCs w:val="20"/>
        </w:rPr>
        <w:lastRenderedPageBreak/>
        <w:t xml:space="preserve">Slovenije za okolje in je opredeljen v Programu hidrološkega monitoringa površinskih voda </w:t>
      </w:r>
      <w:r w:rsidR="004C00D9" w:rsidRPr="00545EC0">
        <w:rPr>
          <w:rFonts w:cs="Arial"/>
          <w:szCs w:val="20"/>
          <w:lang w:val="sl-SI"/>
        </w:rPr>
        <w:t>(</w:t>
      </w:r>
      <w:r w:rsidRPr="00545EC0">
        <w:rPr>
          <w:rFonts w:cs="Arial"/>
          <w:szCs w:val="20"/>
        </w:rPr>
        <w:t>ARSO, 2021</w:t>
      </w:r>
      <w:r w:rsidR="00B916AD" w:rsidRPr="00545EC0">
        <w:rPr>
          <w:rFonts w:cs="Arial"/>
          <w:szCs w:val="20"/>
          <w:lang w:val="sl-SI"/>
        </w:rPr>
        <w:t>a</w:t>
      </w:r>
      <w:r w:rsidRPr="00545EC0">
        <w:rPr>
          <w:rFonts w:cs="Arial"/>
          <w:szCs w:val="20"/>
          <w:lang w:val="sl-SI"/>
        </w:rPr>
        <w:t>).</w:t>
      </w:r>
      <w:r w:rsidRPr="00545EC0">
        <w:rPr>
          <w:rFonts w:cs="Arial"/>
          <w:szCs w:val="20"/>
        </w:rPr>
        <w:t xml:space="preserve"> Monitoring prodonosnosti se v okviru državnega hidrološkega monitoringa ne izvaja.</w:t>
      </w:r>
    </w:p>
    <w:p w14:paraId="7F2B72E1" w14:textId="77777777" w:rsidR="00AA23DA" w:rsidRPr="00545EC0" w:rsidRDefault="00AA23DA" w:rsidP="00581CEA">
      <w:pPr>
        <w:rPr>
          <w:rFonts w:cs="Arial"/>
        </w:rPr>
      </w:pPr>
    </w:p>
    <w:p w14:paraId="29936612" w14:textId="77777777" w:rsidR="00AA23DA" w:rsidRPr="00545EC0" w:rsidRDefault="00AA23DA" w:rsidP="00693578">
      <w:pPr>
        <w:pStyle w:val="Naslov3"/>
      </w:pPr>
      <w:bookmarkStart w:id="518" w:name="_Toc414828145"/>
      <w:bookmarkStart w:id="519" w:name="_Toc419099217"/>
      <w:bookmarkStart w:id="520" w:name="_Toc427867410"/>
      <w:bookmarkStart w:id="521" w:name="_Toc427867496"/>
      <w:bookmarkStart w:id="522" w:name="_Toc75763027"/>
      <w:bookmarkStart w:id="523" w:name="_Toc75763733"/>
      <w:bookmarkStart w:id="524" w:name="_Toc90261050"/>
      <w:bookmarkEnd w:id="494"/>
      <w:bookmarkEnd w:id="495"/>
      <w:bookmarkEnd w:id="496"/>
      <w:bookmarkEnd w:id="497"/>
      <w:bookmarkEnd w:id="498"/>
      <w:bookmarkEnd w:id="499"/>
      <w:bookmarkEnd w:id="500"/>
      <w:bookmarkEnd w:id="501"/>
      <w:r w:rsidRPr="00545EC0">
        <w:t xml:space="preserve">Prikaz programov monitoringov in ocena stanja voda na območjih </w:t>
      </w:r>
      <w:bookmarkEnd w:id="518"/>
      <w:bookmarkEnd w:id="519"/>
      <w:bookmarkEnd w:id="520"/>
      <w:bookmarkEnd w:id="521"/>
      <w:r w:rsidRPr="00545EC0">
        <w:t>s posebnimi zahtevami</w:t>
      </w:r>
      <w:bookmarkEnd w:id="522"/>
      <w:bookmarkEnd w:id="523"/>
      <w:bookmarkEnd w:id="524"/>
    </w:p>
    <w:p w14:paraId="16BF77FD" w14:textId="77777777" w:rsidR="00AA23DA" w:rsidRPr="00545EC0" w:rsidRDefault="00AA23DA" w:rsidP="00581CEA">
      <w:pPr>
        <w:rPr>
          <w:rFonts w:cs="Arial"/>
        </w:rPr>
      </w:pPr>
    </w:p>
    <w:p w14:paraId="5DE21115" w14:textId="35253334" w:rsidR="00DD72E7" w:rsidRPr="00545EC0" w:rsidRDefault="00AA23DA" w:rsidP="00581CEA">
      <w:pPr>
        <w:rPr>
          <w:rFonts w:cs="Arial"/>
        </w:rPr>
      </w:pPr>
      <w:r w:rsidRPr="00545EC0">
        <w:rPr>
          <w:rFonts w:cs="Arial"/>
        </w:rPr>
        <w:t xml:space="preserve">Območja s posebnimi zahtevami so območja, ki jih je </w:t>
      </w:r>
      <w:r w:rsidR="00372AC5" w:rsidRPr="00545EC0">
        <w:rPr>
          <w:rFonts w:cs="Arial"/>
        </w:rPr>
        <w:t>treba</w:t>
      </w:r>
      <w:r w:rsidRPr="00545EC0">
        <w:rPr>
          <w:rFonts w:cs="Arial"/>
        </w:rPr>
        <w:t xml:space="preserve"> še posebej varovati pred različnimi obremenitvami. Spremljanje stanja je potekalo na kopalnih vodah in na površinskih vodah, ki se odvzemajo za oskrbo s pitno vodo. V nadaljevanju sta </w:t>
      </w:r>
      <w:r w:rsidR="0084387F" w:rsidRPr="00545EC0">
        <w:rPr>
          <w:rFonts w:cs="Arial"/>
        </w:rPr>
        <w:t xml:space="preserve">povzeta </w:t>
      </w:r>
      <w:r w:rsidRPr="00545EC0">
        <w:rPr>
          <w:rFonts w:cs="Arial"/>
        </w:rPr>
        <w:t>oba programa monitoringa in ocene stanja.</w:t>
      </w:r>
      <w:r w:rsidRPr="00545EC0" w:rsidDel="000F6DA6">
        <w:rPr>
          <w:rFonts w:cs="Arial"/>
        </w:rPr>
        <w:t xml:space="preserve"> </w:t>
      </w:r>
      <w:r w:rsidR="00D17140" w:rsidRPr="00545EC0">
        <w:rPr>
          <w:rFonts w:cs="Arial"/>
        </w:rPr>
        <w:t xml:space="preserve"> </w:t>
      </w:r>
    </w:p>
    <w:p w14:paraId="58A63A6C" w14:textId="2EBB286A" w:rsidR="00AA23DA" w:rsidRPr="00545EC0" w:rsidRDefault="00AA23DA" w:rsidP="00581CEA">
      <w:pPr>
        <w:pStyle w:val="Naslov4"/>
        <w:rPr>
          <w:color w:val="auto"/>
        </w:rPr>
      </w:pPr>
      <w:bookmarkStart w:id="525" w:name="_Toc419099220"/>
      <w:bookmarkStart w:id="526" w:name="_Toc414828153"/>
      <w:bookmarkStart w:id="527" w:name="_Toc75763734"/>
      <w:r w:rsidRPr="00545EC0">
        <w:rPr>
          <w:color w:val="auto"/>
        </w:rPr>
        <w:t>Kakovost kopalnih voda</w:t>
      </w:r>
      <w:bookmarkEnd w:id="525"/>
      <w:bookmarkEnd w:id="526"/>
      <w:bookmarkEnd w:id="527"/>
      <w:r w:rsidRPr="00545EC0">
        <w:rPr>
          <w:color w:val="auto"/>
        </w:rPr>
        <w:t xml:space="preserve"> </w:t>
      </w:r>
    </w:p>
    <w:p w14:paraId="7C1C3885" w14:textId="77777777" w:rsidR="00AA23DA" w:rsidRPr="00545EC0" w:rsidRDefault="00AA23DA" w:rsidP="00581CEA">
      <w:pPr>
        <w:widowControl w:val="0"/>
        <w:tabs>
          <w:tab w:val="left" w:pos="708"/>
          <w:tab w:val="num" w:pos="1021"/>
        </w:tabs>
        <w:suppressAutoHyphens/>
        <w:overflowPunct/>
        <w:autoSpaceDE/>
        <w:autoSpaceDN/>
        <w:adjustRightInd/>
        <w:textAlignment w:val="auto"/>
        <w:rPr>
          <w:rFonts w:cs="Arial"/>
          <w:b/>
          <w:szCs w:val="20"/>
        </w:rPr>
      </w:pPr>
      <w:bookmarkStart w:id="528" w:name="_Toc414828154"/>
      <w:r w:rsidRPr="00545EC0">
        <w:rPr>
          <w:rFonts w:cs="Arial"/>
          <w:b/>
          <w:szCs w:val="20"/>
        </w:rPr>
        <w:t>Program monitoringa kakovosti kopalnih voda</w:t>
      </w:r>
      <w:bookmarkEnd w:id="528"/>
    </w:p>
    <w:p w14:paraId="61B13DC0" w14:textId="77777777" w:rsidR="00AA23DA" w:rsidRPr="00545EC0" w:rsidRDefault="00AA23DA" w:rsidP="00581CEA">
      <w:pPr>
        <w:rPr>
          <w:rFonts w:cs="Arial"/>
        </w:rPr>
      </w:pPr>
    </w:p>
    <w:p w14:paraId="679ADD1E" w14:textId="36461B0A" w:rsidR="00AA23DA" w:rsidRPr="00545EC0" w:rsidRDefault="00AA23DA" w:rsidP="00581CEA">
      <w:r w:rsidRPr="00545EC0">
        <w:rPr>
          <w:rFonts w:cs="Arial"/>
        </w:rPr>
        <w:t>Kakovost vode se je na kopalnih vodah spremljala v skladu z zahtevami kopalne direktive, ki so prenesene v nacionalno zakonodajo</w:t>
      </w:r>
      <w:r w:rsidR="00401B38" w:rsidRPr="00545EC0">
        <w:rPr>
          <w:rFonts w:cs="Arial"/>
        </w:rPr>
        <w:t xml:space="preserve"> s predpisom, ki ureja upravljanje kakovosti kopalnih voda</w:t>
      </w:r>
      <w:r w:rsidRPr="00545EC0">
        <w:rPr>
          <w:rFonts w:cs="Arial"/>
        </w:rPr>
        <w:t xml:space="preserve">. Ta </w:t>
      </w:r>
      <w:r w:rsidRPr="00545EC0">
        <w:t>določa seznam kopalnih voda, kopalno sezono, standarde kakovosti za kopalne vode, naloge monitoringa kakovosti kopalnih voda tekom kopalne sezone, metodologijo razvrščanja kopalnih voda v razrede kakovosti ter načine obveščanja javnosti, z namenom, da se zaščiti zdravje kopalcev.</w:t>
      </w:r>
    </w:p>
    <w:p w14:paraId="747E2913" w14:textId="77777777" w:rsidR="0084387F" w:rsidRPr="00545EC0" w:rsidRDefault="0084387F" w:rsidP="00581CEA"/>
    <w:p w14:paraId="3B21B718" w14:textId="0B5172B4" w:rsidR="00AA23DA" w:rsidRPr="00545EC0" w:rsidRDefault="00AA23DA" w:rsidP="00581CEA">
      <w:pPr>
        <w:rPr>
          <w:rFonts w:cs="Arial"/>
        </w:rPr>
      </w:pPr>
      <w:r w:rsidRPr="00545EC0">
        <w:rPr>
          <w:rFonts w:cs="Arial"/>
        </w:rPr>
        <w:t>Na 19 kopalnih vodah, ki se nahajajo na Blejskem ter Bohinjskem jezeru, Šobčevem bajerju, Krki in Kolpi je spremljanje kakovosti potekalo v času kopalne sezone, ki traja od 15.6. do 31.8. Kakovost vode se je spremljala vsak</w:t>
      </w:r>
      <w:r w:rsidR="0040588B" w:rsidRPr="00545EC0">
        <w:rPr>
          <w:rFonts w:cs="Arial"/>
        </w:rPr>
        <w:t>ih</w:t>
      </w:r>
      <w:r w:rsidRPr="00545EC0">
        <w:rPr>
          <w:rFonts w:cs="Arial"/>
        </w:rPr>
        <w:t xml:space="preserve"> 14 dni, analiziran je bil tudi vzorec vode pred začetkom kopalne sezone. Ob</w:t>
      </w:r>
      <w:r w:rsidRPr="00545EC0">
        <w:rPr>
          <w:rFonts w:cs="Arial"/>
          <w:shd w:val="clear" w:color="auto" w:fill="FFFFFF"/>
        </w:rPr>
        <w:t xml:space="preserve"> vzorčenju vode so bile opravljene terenske meritve ter se je organoleptično ocenila prisotnost vidnih nečistoč, površinsko aktivnih snovi, mineralnih olj, fenolov in pojava cvetenja. V odvzetih vzorcih vode se je v mikrobiološkem laboratoriju ugotavljala prisotnost dveh bakterij v vodi, ki sta pokazatelja morebitnega fekalnega onesnaženja (Escherichia coli, intestinalni enterokoki), ustreznost posameznega vzorca vode pa je bila ocenjena glede na priporočila Nacionalnega inštituta za javno zdravje (NIJZ). </w:t>
      </w:r>
      <w:r w:rsidRPr="00545EC0">
        <w:rPr>
          <w:rFonts w:cs="Arial"/>
        </w:rPr>
        <w:t xml:space="preserve">Mreža merilnih mest za spremljanje kakovosti kopalnih voda je prikazana na </w:t>
      </w:r>
      <w:r w:rsidR="002C09AE" w:rsidRPr="00545EC0">
        <w:rPr>
          <w:rFonts w:cs="Arial"/>
        </w:rPr>
        <w:t xml:space="preserve">publikacijski </w:t>
      </w:r>
      <w:r w:rsidRPr="00545EC0">
        <w:rPr>
          <w:rFonts w:cs="Arial"/>
        </w:rPr>
        <w:t>karti (</w:t>
      </w:r>
      <w:r w:rsidRPr="00545EC0">
        <w:rPr>
          <w:rFonts w:cs="Arial"/>
          <w:i/>
        </w:rPr>
        <w:t>Publikacijska karta</w:t>
      </w:r>
      <w:r w:rsidR="002C09AE" w:rsidRPr="00545EC0">
        <w:rPr>
          <w:rFonts w:cs="Arial"/>
          <w:i/>
        </w:rPr>
        <w:t xml:space="preserve"> 11.4</w:t>
      </w:r>
      <w:r w:rsidRPr="00545EC0">
        <w:rPr>
          <w:rFonts w:cs="Arial"/>
          <w:i/>
        </w:rPr>
        <w:t>: Mreža merilnih mest za spremljanje kakovosti kopalnih voda).</w:t>
      </w:r>
    </w:p>
    <w:p w14:paraId="1779DC7A" w14:textId="77777777" w:rsidR="00AA23DA" w:rsidRPr="00545EC0" w:rsidRDefault="00AA23DA" w:rsidP="00581CEA">
      <w:pPr>
        <w:rPr>
          <w:rFonts w:cs="Arial"/>
        </w:rPr>
      </w:pPr>
    </w:p>
    <w:p w14:paraId="390BF61C" w14:textId="77777777" w:rsidR="00AA23DA" w:rsidRPr="00545EC0" w:rsidRDefault="00AA23DA" w:rsidP="00581CEA">
      <w:pPr>
        <w:widowControl w:val="0"/>
        <w:tabs>
          <w:tab w:val="left" w:pos="708"/>
          <w:tab w:val="num" w:pos="1021"/>
        </w:tabs>
        <w:suppressAutoHyphens/>
        <w:overflowPunct/>
        <w:autoSpaceDE/>
        <w:autoSpaceDN/>
        <w:adjustRightInd/>
        <w:textAlignment w:val="auto"/>
        <w:rPr>
          <w:rFonts w:cs="Arial"/>
          <w:b/>
          <w:szCs w:val="20"/>
        </w:rPr>
      </w:pPr>
      <w:bookmarkStart w:id="529" w:name="_Toc414828155"/>
      <w:r w:rsidRPr="00545EC0">
        <w:rPr>
          <w:rFonts w:cs="Arial"/>
          <w:b/>
          <w:szCs w:val="20"/>
        </w:rPr>
        <w:t>Ocena kakovosti kopalnih voda</w:t>
      </w:r>
      <w:bookmarkEnd w:id="529"/>
    </w:p>
    <w:p w14:paraId="1AED5615" w14:textId="77777777" w:rsidR="00AA23DA" w:rsidRPr="00545EC0" w:rsidRDefault="00AA23DA" w:rsidP="00581CEA">
      <w:pPr>
        <w:rPr>
          <w:rFonts w:cs="Arial"/>
        </w:rPr>
      </w:pPr>
    </w:p>
    <w:p w14:paraId="1E0C292A" w14:textId="4EAA23AE" w:rsidR="00AA23DA" w:rsidRPr="00545EC0" w:rsidRDefault="00AA23DA" w:rsidP="00581CEA">
      <w:pPr>
        <w:pStyle w:val="BesediloAriel11obojestransko"/>
      </w:pPr>
      <w:r w:rsidRPr="00545EC0">
        <w:t xml:space="preserve">Ocena kakovosti kopalnih voda temelji na mikrobiološki kakovosti vode. Po poenoteni metodologiji </w:t>
      </w:r>
      <w:r w:rsidR="00BE57CC" w:rsidRPr="00545EC0">
        <w:t xml:space="preserve">se </w:t>
      </w:r>
      <w:r w:rsidRPr="00545EC0">
        <w:t xml:space="preserve"> kopalne vode razvrsti v enega od štirih razredov kakovosti (odlična, dobra, zadostna in slaba) na osnovi niza podatkov zadnjih štirih kopalnih sezon. Za posamezne razrede kakovosti so določene najvišje dopustne vrednosti obeh bakterij z izračunom 95 oziroma 90 percentila. Za kopanje so primerne tiste kopalne vode, ki so vsaj zadostne kakovosti, v slabi kopalni vodi pa je potrebno kopanje prepovedati in izvesti ukrepe za njeno izboljšanje.</w:t>
      </w:r>
    </w:p>
    <w:p w14:paraId="5393F950" w14:textId="77777777" w:rsidR="00AA23DA" w:rsidRPr="00545EC0" w:rsidRDefault="00AA23DA" w:rsidP="00581CEA">
      <w:pPr>
        <w:rPr>
          <w:rFonts w:cs="Arial"/>
        </w:rPr>
      </w:pPr>
    </w:p>
    <w:p w14:paraId="6ED04FB8" w14:textId="09471536" w:rsidR="00AA23DA" w:rsidRPr="00545EC0" w:rsidRDefault="00AA23DA" w:rsidP="00581CEA">
      <w:pPr>
        <w:rPr>
          <w:rFonts w:cs="Arial"/>
        </w:rPr>
      </w:pPr>
      <w:r w:rsidRPr="00545EC0">
        <w:rPr>
          <w:rFonts w:cs="Arial"/>
        </w:rPr>
        <w:t xml:space="preserve">Na </w:t>
      </w:r>
      <w:r w:rsidR="002C09AE" w:rsidRPr="00545EC0">
        <w:rPr>
          <w:rFonts w:cs="Arial"/>
        </w:rPr>
        <w:t xml:space="preserve">publikacijski </w:t>
      </w:r>
      <w:r w:rsidRPr="00545EC0">
        <w:rPr>
          <w:rFonts w:cs="Arial"/>
        </w:rPr>
        <w:t>karti (</w:t>
      </w:r>
      <w:r w:rsidRPr="00545EC0">
        <w:rPr>
          <w:rFonts w:cs="Arial"/>
          <w:i/>
        </w:rPr>
        <w:t>Publikacijska karta</w:t>
      </w:r>
      <w:r w:rsidR="002C09AE" w:rsidRPr="00545EC0">
        <w:rPr>
          <w:rFonts w:cs="Arial"/>
          <w:i/>
        </w:rPr>
        <w:t xml:space="preserve"> 15.3</w:t>
      </w:r>
      <w:r w:rsidRPr="00545EC0">
        <w:rPr>
          <w:rFonts w:cs="Arial"/>
        </w:rPr>
        <w:t xml:space="preserve">: </w:t>
      </w:r>
      <w:r w:rsidRPr="00545EC0">
        <w:rPr>
          <w:rFonts w:cs="Arial"/>
          <w:i/>
        </w:rPr>
        <w:t>Ocena kakovosti kopalnih voda</w:t>
      </w:r>
      <w:r w:rsidRPr="00545EC0">
        <w:rPr>
          <w:rFonts w:cs="Arial"/>
        </w:rPr>
        <w:t>) je prikazana razvrstitev kakovosti kopalnih voda v letu 2020 (v oceno so vključeni podatki 2017</w:t>
      </w:r>
      <w:r w:rsidR="009B2C8D" w:rsidRPr="00545EC0">
        <w:rPr>
          <w:rFonts w:cs="Arial"/>
        </w:rPr>
        <w:t xml:space="preserve"> </w:t>
      </w:r>
      <w:r w:rsidRPr="00545EC0">
        <w:rPr>
          <w:rFonts w:cs="Arial"/>
        </w:rPr>
        <w:t>-</w:t>
      </w:r>
      <w:r w:rsidR="009B2C8D" w:rsidRPr="00545EC0">
        <w:rPr>
          <w:rFonts w:cs="Arial"/>
        </w:rPr>
        <w:t xml:space="preserve"> </w:t>
      </w:r>
      <w:r w:rsidRPr="00545EC0">
        <w:rPr>
          <w:rFonts w:cs="Arial"/>
        </w:rPr>
        <w:t>2020). Primerjava kakovosti kopalnih voda na vodnem območju Donave v zadnjih treh letih pa je prikazana na sliki (</w:t>
      </w:r>
      <w:r w:rsidR="004A151F" w:rsidRPr="00545EC0">
        <w:rPr>
          <w:rFonts w:cs="Arial"/>
        </w:rPr>
        <w:fldChar w:fldCharType="begin"/>
      </w:r>
      <w:r w:rsidR="004A151F" w:rsidRPr="00545EC0">
        <w:rPr>
          <w:rFonts w:cs="Arial"/>
        </w:rPr>
        <w:instrText xml:space="preserve"> REF _Ref84341747 \h  \* MERGEFORMAT </w:instrText>
      </w:r>
      <w:r w:rsidR="004A151F" w:rsidRPr="00545EC0">
        <w:rPr>
          <w:rFonts w:cs="Arial"/>
        </w:rPr>
      </w:r>
      <w:r w:rsidR="004A151F" w:rsidRPr="00545EC0">
        <w:rPr>
          <w:rFonts w:cs="Arial"/>
        </w:rPr>
        <w:fldChar w:fldCharType="separate"/>
      </w:r>
      <w:r w:rsidR="002F3E43" w:rsidRPr="00545EC0">
        <w:t xml:space="preserve">Slika </w:t>
      </w:r>
      <w:r w:rsidR="002F3E43">
        <w:rPr>
          <w:noProof/>
        </w:rPr>
        <w:t>3</w:t>
      </w:r>
      <w:r w:rsidR="002F3E43" w:rsidRPr="00545EC0">
        <w:rPr>
          <w:noProof/>
        </w:rPr>
        <w:noBreakHyphen/>
      </w:r>
      <w:r w:rsidR="002F3E43">
        <w:rPr>
          <w:noProof/>
        </w:rPr>
        <w:t>7</w:t>
      </w:r>
      <w:r w:rsidR="004A151F" w:rsidRPr="00545EC0">
        <w:rPr>
          <w:rFonts w:cs="Arial"/>
        </w:rPr>
        <w:fldChar w:fldCharType="end"/>
      </w:r>
      <w:r w:rsidR="00D17140" w:rsidRPr="00545EC0">
        <w:rPr>
          <w:rFonts w:cs="Arial"/>
        </w:rPr>
        <w:t>)</w:t>
      </w:r>
      <w:r w:rsidRPr="00545EC0">
        <w:rPr>
          <w:rFonts w:cs="Arial"/>
        </w:rPr>
        <w:t xml:space="preserve">. </w:t>
      </w:r>
    </w:p>
    <w:p w14:paraId="488F47FE" w14:textId="77777777" w:rsidR="00AA23DA" w:rsidRPr="00545EC0" w:rsidRDefault="00AA23DA" w:rsidP="00581CEA">
      <w:pPr>
        <w:rPr>
          <w:rFonts w:cs="Arial"/>
        </w:rPr>
      </w:pPr>
    </w:p>
    <w:p w14:paraId="0E727853" w14:textId="77777777" w:rsidR="004A151F" w:rsidRPr="00545EC0" w:rsidRDefault="00AA23DA" w:rsidP="00581CEA">
      <w:pPr>
        <w:keepNext/>
      </w:pPr>
      <w:r w:rsidRPr="00545EC0">
        <w:rPr>
          <w:noProof/>
        </w:rPr>
        <w:lastRenderedPageBreak/>
        <w:drawing>
          <wp:inline distT="0" distB="0" distL="0" distR="0" wp14:anchorId="60A722C6" wp14:editId="1DDAACCF">
            <wp:extent cx="5267325" cy="2762250"/>
            <wp:effectExtent l="0" t="0" r="9525" b="19050"/>
            <wp:docPr id="134" name="Grafikon 1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3BC9C8BF" w14:textId="671745E5" w:rsidR="00AA23DA" w:rsidRPr="00545EC0" w:rsidRDefault="004A151F" w:rsidP="00581CEA">
      <w:pPr>
        <w:pStyle w:val="Napis"/>
      </w:pPr>
      <w:bookmarkStart w:id="530" w:name="_Ref84341747"/>
      <w:r w:rsidRPr="00545EC0">
        <w:t xml:space="preserve">Slika </w:t>
      </w:r>
      <w:fldSimple w:instr=" STYLEREF 1 \s ">
        <w:r w:rsidR="002F3E43">
          <w:rPr>
            <w:noProof/>
          </w:rPr>
          <w:t>3</w:t>
        </w:r>
      </w:fldSimple>
      <w:r w:rsidR="00396E1E" w:rsidRPr="00545EC0">
        <w:noBreakHyphen/>
      </w:r>
      <w:fldSimple w:instr=" SEQ Slika \* ARABIC \s 1 ">
        <w:r w:rsidR="002F3E43">
          <w:rPr>
            <w:noProof/>
          </w:rPr>
          <w:t>7</w:t>
        </w:r>
      </w:fldSimple>
      <w:bookmarkEnd w:id="530"/>
      <w:r w:rsidRPr="00545EC0">
        <w:t xml:space="preserve">: </w:t>
      </w:r>
      <w:r w:rsidRPr="00545EC0">
        <w:rPr>
          <w:szCs w:val="20"/>
        </w:rPr>
        <w:t>Razvrstitev celinskih kopalnih voda v letih 2018, 2019 in 2020</w:t>
      </w:r>
    </w:p>
    <w:tbl>
      <w:tblPr>
        <w:tblW w:w="0" w:type="auto"/>
        <w:tblLook w:val="04A0" w:firstRow="1" w:lastRow="0" w:firstColumn="1" w:lastColumn="0" w:noHBand="0" w:noVBand="1"/>
      </w:tblPr>
      <w:tblGrid>
        <w:gridCol w:w="9180"/>
      </w:tblGrid>
      <w:tr w:rsidR="003122F4" w:rsidRPr="00545EC0" w14:paraId="3F9D88FF" w14:textId="77777777" w:rsidTr="004C5428">
        <w:tc>
          <w:tcPr>
            <w:tcW w:w="9180" w:type="dxa"/>
            <w:shd w:val="clear" w:color="auto" w:fill="auto"/>
            <w:hideMark/>
          </w:tcPr>
          <w:p w14:paraId="47270953" w14:textId="77777777" w:rsidR="00AA23DA" w:rsidRPr="00545EC0" w:rsidRDefault="00AA23DA" w:rsidP="00581CEA">
            <w:pPr>
              <w:rPr>
                <w:rFonts w:cs="Arial"/>
                <w:szCs w:val="22"/>
                <w:lang w:eastAsia="ja-JP"/>
              </w:rPr>
            </w:pPr>
          </w:p>
        </w:tc>
      </w:tr>
      <w:tr w:rsidR="003122F4" w:rsidRPr="00545EC0" w14:paraId="4A9C410D" w14:textId="77777777" w:rsidTr="004A151F">
        <w:tc>
          <w:tcPr>
            <w:tcW w:w="9180" w:type="dxa"/>
            <w:shd w:val="clear" w:color="auto" w:fill="auto"/>
          </w:tcPr>
          <w:p w14:paraId="199D824B" w14:textId="5AD6B419" w:rsidR="00AA23DA" w:rsidRPr="00545EC0" w:rsidRDefault="00AA23DA" w:rsidP="00581CEA">
            <w:pPr>
              <w:rPr>
                <w:rFonts w:cs="Arial"/>
                <w:szCs w:val="20"/>
                <w:lang w:eastAsia="ja-JP"/>
              </w:rPr>
            </w:pPr>
          </w:p>
        </w:tc>
      </w:tr>
    </w:tbl>
    <w:p w14:paraId="05EAF5A4" w14:textId="5D58DF1D" w:rsidR="00AA23DA" w:rsidRPr="00545EC0" w:rsidRDefault="00AA23DA" w:rsidP="00581CEA">
      <w:r w:rsidRPr="00545EC0">
        <w:t xml:space="preserve">Kakovost kopalnih voda na rekah in jezerih je močno odvisna od hidroloških in meteoroloških razmer. Zaradi nizkega vodostaja ob suši se zaradi močnega poletnega deževja kakovost vode lahko kratkotrajno spremeni, saj je ob obilici dežja spiranje s površin intenzivnejše, možni so prelivi iz preobremenjenega kanalizacijskega sistema ob kopalni vodi in v njenem zaledju. </w:t>
      </w:r>
      <w:r w:rsidRPr="00545EC0">
        <w:rPr>
          <w:rFonts w:cs="Arial"/>
        </w:rPr>
        <w:t xml:space="preserve">Kljub temu so </w:t>
      </w:r>
      <w:r w:rsidRPr="00545EC0">
        <w:t>vse kopalne vode na vodnem območju Donave v zadnjih treh letih ustrezne, saj so razvrščene vsaj kot zadostne oz. slabih kopalnih voda ni določenih. Večina kopalnih voda je odlične ali dobre k</w:t>
      </w:r>
      <w:r w:rsidR="00D17140" w:rsidRPr="00545EC0">
        <w:t>akovosti, le redke so zadostne.</w:t>
      </w:r>
    </w:p>
    <w:p w14:paraId="69174064" w14:textId="7D7C9A1F" w:rsidR="00AA23DA" w:rsidRPr="00545EC0" w:rsidRDefault="00AA23DA" w:rsidP="00581CEA">
      <w:pPr>
        <w:pStyle w:val="Naslov4"/>
        <w:rPr>
          <w:color w:val="auto"/>
        </w:rPr>
      </w:pPr>
      <w:bookmarkStart w:id="531" w:name="_Toc419099221"/>
      <w:bookmarkStart w:id="532" w:name="_Toc414828156"/>
      <w:bookmarkStart w:id="533" w:name="_Toc75763735"/>
      <w:bookmarkStart w:id="534" w:name="_Ref87815510"/>
      <w:r w:rsidRPr="00545EC0">
        <w:rPr>
          <w:color w:val="auto"/>
        </w:rPr>
        <w:t>Kakovost površinskih voda, ki se odvzemajo za oskrbo s pitno vodo</w:t>
      </w:r>
      <w:bookmarkEnd w:id="531"/>
      <w:bookmarkEnd w:id="532"/>
      <w:bookmarkEnd w:id="533"/>
      <w:bookmarkEnd w:id="534"/>
    </w:p>
    <w:p w14:paraId="07AE10AC" w14:textId="7A94F613" w:rsidR="00AA23DA" w:rsidRPr="00545EC0" w:rsidRDefault="00AA23DA" w:rsidP="00581CEA">
      <w:pPr>
        <w:widowControl w:val="0"/>
        <w:tabs>
          <w:tab w:val="left" w:pos="708"/>
          <w:tab w:val="num" w:pos="1021"/>
        </w:tabs>
        <w:suppressAutoHyphens/>
        <w:overflowPunct/>
        <w:autoSpaceDE/>
        <w:autoSpaceDN/>
        <w:adjustRightInd/>
        <w:textAlignment w:val="auto"/>
        <w:rPr>
          <w:rFonts w:cs="Arial"/>
          <w:b/>
          <w:szCs w:val="20"/>
        </w:rPr>
      </w:pPr>
      <w:bookmarkStart w:id="535" w:name="_Toc414828157"/>
      <w:r w:rsidRPr="00545EC0">
        <w:rPr>
          <w:rFonts w:cs="Arial"/>
          <w:b/>
          <w:szCs w:val="20"/>
        </w:rPr>
        <w:t>Prikaz programa monitoringa kakovosti površinskih voda, ki se o</w:t>
      </w:r>
      <w:r w:rsidR="00FB09DE" w:rsidRPr="00545EC0">
        <w:rPr>
          <w:rFonts w:cs="Arial"/>
          <w:b/>
          <w:szCs w:val="20"/>
        </w:rPr>
        <w:t>dvzemajo za oskrbo s pitno vodo</w:t>
      </w:r>
    </w:p>
    <w:p w14:paraId="6714A548" w14:textId="77777777" w:rsidR="00B779C9" w:rsidRPr="00545EC0" w:rsidRDefault="00B779C9" w:rsidP="00581CEA">
      <w:pPr>
        <w:rPr>
          <w:rFonts w:cs="Arial"/>
        </w:rPr>
      </w:pPr>
    </w:p>
    <w:p w14:paraId="3BC23A87" w14:textId="09AB1438" w:rsidR="00AA23DA" w:rsidRPr="00545EC0" w:rsidRDefault="00AA23DA" w:rsidP="00581CEA">
      <w:pPr>
        <w:rPr>
          <w:rFonts w:cs="Arial"/>
          <w:i/>
        </w:rPr>
      </w:pPr>
      <w:r w:rsidRPr="00545EC0">
        <w:rPr>
          <w:rFonts w:cs="Arial"/>
        </w:rPr>
        <w:t>Seznam površinskih voda, ki se odvzemajo za oskrbo s pitno vodo, je bil izdelan na osnovi podatkov iz registra vodnih povračil. V obdobju 2014</w:t>
      </w:r>
      <w:r w:rsidR="009B2C8D" w:rsidRPr="00545EC0">
        <w:rPr>
          <w:rFonts w:cs="Arial"/>
        </w:rPr>
        <w:t xml:space="preserve"> - </w:t>
      </w:r>
      <w:r w:rsidRPr="00545EC0">
        <w:rPr>
          <w:rFonts w:cs="Arial"/>
        </w:rPr>
        <w:t>2019 je monitoring kakovosti površinskih voda, ki se odvzemajo za oskrbo s pitno vodo, na vodnem območju Donave potekal na petih površinskih virih pitne vode. Kakovost površinskih virov pitne vode se spremlja na mestu, kjer se voda odvzema za vodooskrbo, pred kakršnimkoli postopkom obdelave. Mreža merilnih mest za spremljanje kakovosti površinskih voda, ki se odvzemajo za oskrbo s pitno vodo, je prikazana na</w:t>
      </w:r>
      <w:r w:rsidR="002B19AC" w:rsidRPr="00545EC0">
        <w:rPr>
          <w:rFonts w:cs="Arial"/>
        </w:rPr>
        <w:t xml:space="preserve"> publikacijski</w:t>
      </w:r>
      <w:r w:rsidRPr="00545EC0">
        <w:rPr>
          <w:rFonts w:cs="Arial"/>
        </w:rPr>
        <w:t xml:space="preserve"> karti </w:t>
      </w:r>
      <w:r w:rsidRPr="00545EC0">
        <w:rPr>
          <w:rFonts w:cs="Arial"/>
          <w:i/>
        </w:rPr>
        <w:t>(</w:t>
      </w:r>
      <w:r w:rsidR="00C876D3" w:rsidRPr="00545EC0">
        <w:rPr>
          <w:rFonts w:cs="Arial"/>
          <w:i/>
        </w:rPr>
        <w:t>Publikacijska karta</w:t>
      </w:r>
      <w:r w:rsidR="002C09AE" w:rsidRPr="00545EC0">
        <w:rPr>
          <w:rFonts w:cs="Arial"/>
          <w:i/>
        </w:rPr>
        <w:t xml:space="preserve"> 11.5</w:t>
      </w:r>
      <w:r w:rsidRPr="00545EC0">
        <w:rPr>
          <w:rFonts w:cs="Arial"/>
          <w:i/>
        </w:rPr>
        <w:t>: Mreža merilnih mest za spremljanje kakovosti površinskih voda, ki se odvzemajo za oskrbo s pitno vodo).</w:t>
      </w:r>
    </w:p>
    <w:p w14:paraId="254C0EAF" w14:textId="77777777" w:rsidR="00AA23DA" w:rsidRPr="00545EC0" w:rsidRDefault="00AA23DA" w:rsidP="00581CEA">
      <w:pPr>
        <w:tabs>
          <w:tab w:val="left" w:pos="1800"/>
        </w:tabs>
        <w:rPr>
          <w:rFonts w:cs="Arial"/>
        </w:rPr>
      </w:pPr>
    </w:p>
    <w:p w14:paraId="71DC078B" w14:textId="0341315F" w:rsidR="00AA23DA" w:rsidRPr="00545EC0" w:rsidRDefault="00AA23DA" w:rsidP="00581CEA">
      <w:pPr>
        <w:tabs>
          <w:tab w:val="left" w:pos="1800"/>
        </w:tabs>
        <w:rPr>
          <w:rFonts w:cs="Arial"/>
        </w:rPr>
      </w:pPr>
      <w:r w:rsidRPr="00545EC0">
        <w:rPr>
          <w:rFonts w:cs="Arial"/>
        </w:rPr>
        <w:t xml:space="preserve">Pogostost vzorčenja površinskega vira pitne vode ter zahtevane analize so bile v obdobju 2014 – 2019 določene na osnovi zahtev </w:t>
      </w:r>
      <w:r w:rsidR="00E15650" w:rsidRPr="00545EC0">
        <w:rPr>
          <w:rFonts w:cs="Arial"/>
        </w:rPr>
        <w:t>vodne direktive</w:t>
      </w:r>
      <w:r w:rsidRPr="00545EC0">
        <w:rPr>
          <w:rFonts w:cs="Arial"/>
        </w:rPr>
        <w:t xml:space="preserve"> in </w:t>
      </w:r>
      <w:r w:rsidR="003A4DE7" w:rsidRPr="00545EC0">
        <w:rPr>
          <w:rFonts w:cs="Arial"/>
        </w:rPr>
        <w:t xml:space="preserve">predpisa, ki ureja </w:t>
      </w:r>
      <w:r w:rsidRPr="00545EC0">
        <w:rPr>
          <w:rFonts w:cs="Arial"/>
        </w:rPr>
        <w:t>monitoringu stanja površinskih voda</w:t>
      </w:r>
      <w:r w:rsidR="00BC74DD" w:rsidRPr="00545EC0">
        <w:rPr>
          <w:rFonts w:cs="Arial"/>
        </w:rPr>
        <w:t>.</w:t>
      </w:r>
      <w:r w:rsidRPr="00545EC0">
        <w:rPr>
          <w:rFonts w:cs="Arial"/>
        </w:rPr>
        <w:t xml:space="preserve"> Za določitev liste parametrov so bili preverjeni podatki o količinah prednostnih snovi in posebnih onesnaževal, ki se odvajajo v vodna telesa površinskih voda, ki se uporabljajo za preskrbo s pitno vodo, dodatno pa so bili preverjeni tudi podatki o vnosu snovi, ki se nadzorujejo na podlagi </w:t>
      </w:r>
      <w:r w:rsidR="008F0606" w:rsidRPr="00545EC0">
        <w:rPr>
          <w:rFonts w:cs="Arial"/>
        </w:rPr>
        <w:t>predpisa, ki ureja pitno vodo</w:t>
      </w:r>
      <w:r w:rsidRPr="00545EC0">
        <w:rPr>
          <w:rFonts w:cs="Arial"/>
        </w:rPr>
        <w:t>.</w:t>
      </w:r>
    </w:p>
    <w:p w14:paraId="211A53A3" w14:textId="77777777" w:rsidR="00AA23DA" w:rsidRPr="00545EC0" w:rsidRDefault="00AA23DA" w:rsidP="00581CEA">
      <w:pPr>
        <w:tabs>
          <w:tab w:val="left" w:pos="0"/>
        </w:tabs>
        <w:ind w:left="1080" w:hanging="1080"/>
        <w:rPr>
          <w:rFonts w:cs="Arial"/>
        </w:rPr>
      </w:pPr>
    </w:p>
    <w:p w14:paraId="0A075C86" w14:textId="77777777" w:rsidR="00AA23DA" w:rsidRPr="00545EC0" w:rsidRDefault="00AA23DA" w:rsidP="00581CEA">
      <w:pPr>
        <w:widowControl w:val="0"/>
        <w:tabs>
          <w:tab w:val="left" w:pos="708"/>
          <w:tab w:val="num" w:pos="1021"/>
        </w:tabs>
        <w:suppressAutoHyphens/>
        <w:overflowPunct/>
        <w:autoSpaceDE/>
        <w:autoSpaceDN/>
        <w:adjustRightInd/>
        <w:textAlignment w:val="auto"/>
        <w:rPr>
          <w:rFonts w:cs="Arial"/>
          <w:b/>
          <w:szCs w:val="20"/>
        </w:rPr>
      </w:pPr>
      <w:r w:rsidRPr="00545EC0">
        <w:rPr>
          <w:rFonts w:cs="Arial"/>
          <w:b/>
          <w:szCs w:val="20"/>
        </w:rPr>
        <w:t>Ocena kakovosti površinskih voda, ki se odvzemajo za oskrbo s pitno vodo</w:t>
      </w:r>
    </w:p>
    <w:p w14:paraId="57753F05" w14:textId="77777777" w:rsidR="00AA23DA" w:rsidRPr="00545EC0" w:rsidRDefault="00AA23DA" w:rsidP="00581CEA">
      <w:pPr>
        <w:widowControl w:val="0"/>
        <w:tabs>
          <w:tab w:val="left" w:pos="708"/>
          <w:tab w:val="num" w:pos="1021"/>
        </w:tabs>
        <w:suppressAutoHyphens/>
        <w:overflowPunct/>
        <w:autoSpaceDE/>
        <w:autoSpaceDN/>
        <w:adjustRightInd/>
        <w:textAlignment w:val="auto"/>
        <w:rPr>
          <w:rFonts w:cs="Arial"/>
          <w:b/>
          <w:szCs w:val="20"/>
        </w:rPr>
      </w:pPr>
    </w:p>
    <w:p w14:paraId="47FF8173" w14:textId="32000584" w:rsidR="00AA23DA" w:rsidRPr="00545EC0" w:rsidRDefault="00AA23DA" w:rsidP="00581CEA">
      <w:pPr>
        <w:rPr>
          <w:rFonts w:cs="Arial"/>
        </w:rPr>
      </w:pPr>
      <w:r w:rsidRPr="00545EC0">
        <w:rPr>
          <w:rFonts w:cs="Arial"/>
        </w:rPr>
        <w:lastRenderedPageBreak/>
        <w:t>Ocena kakovosti površinskih virov pitne vode v obdobju 2014</w:t>
      </w:r>
      <w:r w:rsidR="009B2C8D" w:rsidRPr="00545EC0">
        <w:rPr>
          <w:rFonts w:cs="Arial"/>
        </w:rPr>
        <w:t xml:space="preserve"> - </w:t>
      </w:r>
      <w:r w:rsidRPr="00545EC0">
        <w:rPr>
          <w:rFonts w:cs="Arial"/>
        </w:rPr>
        <w:t xml:space="preserve">2019 je v prvem koraku izdelana na osnovi fizikalno-kemijskih parametrov, ki so bili spremljani v skladu z zahtevami </w:t>
      </w:r>
      <w:r w:rsidR="00E15650" w:rsidRPr="00545EC0">
        <w:rPr>
          <w:rFonts w:cs="Arial"/>
        </w:rPr>
        <w:t>vodne direktive</w:t>
      </w:r>
      <w:r w:rsidRPr="00545EC0">
        <w:rPr>
          <w:rFonts w:cs="Arial"/>
        </w:rPr>
        <w:t xml:space="preserve"> oziroma </w:t>
      </w:r>
      <w:r w:rsidR="008F0606" w:rsidRPr="00545EC0">
        <w:rPr>
          <w:rFonts w:cs="Arial"/>
        </w:rPr>
        <w:t>na podlagi parametrov določenih s predpisom, ki ureja pitno vodo.</w:t>
      </w:r>
      <w:r w:rsidRPr="00545EC0">
        <w:rPr>
          <w:rFonts w:cs="Arial"/>
        </w:rPr>
        <w:t xml:space="preserve"> Rezultati kažejo, da vsi obravnavani površinski viri pitne vode glede na fizikalno-kemijske parametre, brez predhodne obdelave vode, dosegajo skladnost z zahtevami </w:t>
      </w:r>
      <w:r w:rsidR="008F0606" w:rsidRPr="00545EC0">
        <w:rPr>
          <w:rFonts w:cs="Arial"/>
        </w:rPr>
        <w:t>iz predpisa, ki ureja pitno vodo</w:t>
      </w:r>
      <w:r w:rsidRPr="00545EC0">
        <w:rPr>
          <w:rFonts w:cs="Arial"/>
        </w:rPr>
        <w:t>. Za oceno stanja so bili v nadaljevanju preverjeni tudi rezultati parametrov kemijskega stanja ter posebnih onesnaževal</w:t>
      </w:r>
      <w:r w:rsidR="008F0606" w:rsidRPr="00545EC0">
        <w:rPr>
          <w:rFonts w:cs="Arial"/>
        </w:rPr>
        <w:t xml:space="preserve"> določeni</w:t>
      </w:r>
      <w:r w:rsidRPr="00545EC0">
        <w:rPr>
          <w:rFonts w:cs="Arial"/>
        </w:rPr>
        <w:t xml:space="preserve"> </w:t>
      </w:r>
      <w:r w:rsidR="008F0606" w:rsidRPr="00545EC0">
        <w:rPr>
          <w:rFonts w:cs="Arial"/>
        </w:rPr>
        <w:t xml:space="preserve">s predpisom, ki ureja </w:t>
      </w:r>
      <w:r w:rsidRPr="00545EC0">
        <w:rPr>
          <w:rFonts w:cs="Arial"/>
        </w:rPr>
        <w:t>stanj</w:t>
      </w:r>
      <w:r w:rsidR="008F0606" w:rsidRPr="00545EC0">
        <w:rPr>
          <w:rFonts w:cs="Arial"/>
        </w:rPr>
        <w:t>e</w:t>
      </w:r>
      <w:r w:rsidRPr="00545EC0">
        <w:rPr>
          <w:rFonts w:cs="Arial"/>
        </w:rPr>
        <w:t xml:space="preserve"> površinskih voda in so se spremljali v okviru programa monitoringa. Rezultati kažejo, da v obdobju 2014 </w:t>
      </w:r>
      <w:r w:rsidR="009B2C8D" w:rsidRPr="00545EC0">
        <w:rPr>
          <w:rFonts w:cs="Arial"/>
        </w:rPr>
        <w:t>-</w:t>
      </w:r>
      <w:r w:rsidRPr="00545EC0">
        <w:rPr>
          <w:rFonts w:cs="Arial"/>
        </w:rPr>
        <w:t xml:space="preserve"> 2019 noben parameter kemijskega stanja ni presegal okoljskih standardov kakovosti. Prav tako nobeno posebno onesnaževalo ni presegalo mejne vrednosti za dobro stanje. </w:t>
      </w:r>
    </w:p>
    <w:p w14:paraId="3016026D" w14:textId="77777777" w:rsidR="00AA23DA" w:rsidRPr="00545EC0" w:rsidRDefault="00AA23DA" w:rsidP="00581CEA">
      <w:pPr>
        <w:rPr>
          <w:rFonts w:cs="Arial"/>
        </w:rPr>
      </w:pPr>
    </w:p>
    <w:p w14:paraId="5AF6383F" w14:textId="3FEB2604" w:rsidR="00FB09DE" w:rsidRPr="00545EC0" w:rsidRDefault="00AA23DA" w:rsidP="00581CEA">
      <w:pPr>
        <w:tabs>
          <w:tab w:val="left" w:pos="709"/>
          <w:tab w:val="left" w:pos="1701"/>
        </w:tabs>
        <w:rPr>
          <w:rFonts w:cs="Arial"/>
          <w:i/>
        </w:rPr>
      </w:pPr>
      <w:r w:rsidRPr="00545EC0">
        <w:rPr>
          <w:rFonts w:cs="Arial"/>
        </w:rPr>
        <w:t>Ocena kakovosti površinskih voda, ki se odvzemajo za oskrbo s pitno vodo, je prikazana na</w:t>
      </w:r>
      <w:r w:rsidR="002B19AC" w:rsidRPr="00545EC0">
        <w:rPr>
          <w:rFonts w:cs="Arial"/>
        </w:rPr>
        <w:t xml:space="preserve"> publikacijski</w:t>
      </w:r>
      <w:r w:rsidRPr="00545EC0">
        <w:rPr>
          <w:rFonts w:cs="Arial"/>
        </w:rPr>
        <w:t xml:space="preserve"> karti </w:t>
      </w:r>
      <w:r w:rsidRPr="00545EC0">
        <w:rPr>
          <w:rFonts w:cs="Arial"/>
          <w:i/>
        </w:rPr>
        <w:t>(</w:t>
      </w:r>
      <w:r w:rsidR="00C876D3" w:rsidRPr="00545EC0">
        <w:rPr>
          <w:rFonts w:cs="Arial"/>
          <w:i/>
        </w:rPr>
        <w:t>Publikacijska karta</w:t>
      </w:r>
      <w:r w:rsidR="002C09AE" w:rsidRPr="00545EC0">
        <w:rPr>
          <w:rFonts w:cs="Arial"/>
          <w:i/>
        </w:rPr>
        <w:t xml:space="preserve"> 15.4</w:t>
      </w:r>
      <w:r w:rsidRPr="00545EC0">
        <w:rPr>
          <w:rFonts w:cs="Arial"/>
          <w:i/>
        </w:rPr>
        <w:t>:</w:t>
      </w:r>
      <w:r w:rsidR="008F1E95" w:rsidRPr="00545EC0">
        <w:rPr>
          <w:rFonts w:cs="Arial"/>
          <w:i/>
        </w:rPr>
        <w:t xml:space="preserve"> Ocena kakovosti površinskih voda, ki se odvzemajo za oskrbo s pitno vodo</w:t>
      </w:r>
      <w:r w:rsidRPr="00545EC0">
        <w:rPr>
          <w:rFonts w:cs="Arial"/>
          <w:i/>
        </w:rPr>
        <w:t>)</w:t>
      </w:r>
      <w:bookmarkEnd w:id="535"/>
      <w:r w:rsidR="00FB09DE" w:rsidRPr="00545EC0">
        <w:rPr>
          <w:rFonts w:cs="Arial"/>
          <w:i/>
        </w:rPr>
        <w:t>.</w:t>
      </w:r>
    </w:p>
    <w:p w14:paraId="324300DB" w14:textId="77777777" w:rsidR="00B54CAE" w:rsidRPr="00545EC0" w:rsidRDefault="00B54CAE" w:rsidP="00581CEA">
      <w:pPr>
        <w:tabs>
          <w:tab w:val="left" w:pos="709"/>
          <w:tab w:val="left" w:pos="1701"/>
        </w:tabs>
        <w:rPr>
          <w:rFonts w:cs="Arial"/>
          <w:i/>
        </w:rPr>
      </w:pPr>
    </w:p>
    <w:p w14:paraId="3186BE8A" w14:textId="1DC68D75" w:rsidR="00AA23DA" w:rsidRPr="00545EC0" w:rsidRDefault="00AA23DA" w:rsidP="00581CEA">
      <w:pPr>
        <w:pStyle w:val="Naslov20"/>
      </w:pPr>
      <w:bookmarkStart w:id="536" w:name="_Toc419099222"/>
      <w:bookmarkStart w:id="537" w:name="_Toc414828159"/>
      <w:bookmarkStart w:id="538" w:name="_Toc427322613"/>
      <w:bookmarkStart w:id="539" w:name="_Toc427867411"/>
      <w:bookmarkStart w:id="540" w:name="_Toc427867497"/>
      <w:bookmarkStart w:id="541" w:name="_Toc75763028"/>
      <w:bookmarkStart w:id="542" w:name="_Toc75763736"/>
      <w:bookmarkStart w:id="543" w:name="_Toc90261051"/>
      <w:r w:rsidRPr="00545EC0">
        <w:t>Opis monitoringa vodnih teles podzemnih voda in ocena stanja podzemnih voda</w:t>
      </w:r>
      <w:bookmarkEnd w:id="536"/>
      <w:bookmarkEnd w:id="537"/>
      <w:bookmarkEnd w:id="538"/>
      <w:bookmarkEnd w:id="539"/>
      <w:bookmarkEnd w:id="540"/>
      <w:bookmarkEnd w:id="541"/>
      <w:bookmarkEnd w:id="542"/>
      <w:bookmarkEnd w:id="543"/>
    </w:p>
    <w:p w14:paraId="4A1952E0" w14:textId="3724CF92" w:rsidR="00FB09DE" w:rsidRPr="00545EC0" w:rsidRDefault="00AA23DA" w:rsidP="00693578">
      <w:pPr>
        <w:pStyle w:val="Naslov3"/>
      </w:pPr>
      <w:bookmarkStart w:id="544" w:name="_Toc75763029"/>
      <w:bookmarkStart w:id="545" w:name="_Toc75763737"/>
      <w:bookmarkStart w:id="546" w:name="_Toc90261052"/>
      <w:r w:rsidRPr="00545EC0">
        <w:t>Program monitoringa in ocena količinskega stanja podzemnih voda</w:t>
      </w:r>
      <w:bookmarkEnd w:id="544"/>
      <w:bookmarkEnd w:id="545"/>
      <w:bookmarkEnd w:id="546"/>
    </w:p>
    <w:p w14:paraId="4700097E" w14:textId="77777777" w:rsidR="00436D5B" w:rsidRPr="00545EC0" w:rsidRDefault="00436D5B" w:rsidP="00581CEA">
      <w:pPr>
        <w:pStyle w:val="Naslov4"/>
        <w:rPr>
          <w:color w:val="auto"/>
          <w:szCs w:val="26"/>
        </w:rPr>
      </w:pPr>
      <w:bookmarkStart w:id="547" w:name="_Toc414828161"/>
      <w:bookmarkStart w:id="548" w:name="_Toc75763738"/>
      <w:r w:rsidRPr="00545EC0">
        <w:rPr>
          <w:color w:val="auto"/>
          <w:szCs w:val="26"/>
        </w:rPr>
        <w:t>Merilna mreža za spremljanje količinskega stanja podzemnih voda</w:t>
      </w:r>
    </w:p>
    <w:p w14:paraId="6C275203" w14:textId="70279E34" w:rsidR="00611726" w:rsidRPr="00545EC0" w:rsidRDefault="00611726" w:rsidP="00581CEA">
      <w:pPr>
        <w:spacing w:after="160"/>
        <w:rPr>
          <w:rFonts w:cs="Arial"/>
          <w:szCs w:val="20"/>
        </w:rPr>
      </w:pPr>
      <w:bookmarkStart w:id="549" w:name="_Toc419099224"/>
      <w:bookmarkStart w:id="550" w:name="_Toc414828168"/>
      <w:bookmarkEnd w:id="547"/>
      <w:bookmarkEnd w:id="548"/>
      <w:r w:rsidRPr="00545EC0">
        <w:rPr>
          <w:rFonts w:cs="Arial"/>
          <w:szCs w:val="20"/>
        </w:rPr>
        <w:t xml:space="preserve">Ocena količinskega stanja podzemnih voda temelji na ARSO podatkovnih zbirkah hidrološkega monitoringa podzemnih voda in hidrološkega monitoringa površinskih voda. Skupaj s podatki meteorološkega monitoringa, modeli in prostorskimi podatkovnimi sloji omogočajo oceno vodne bilance in analizo trendov gladin in pretokov. Z analizo podatkov upravljavskih podatkovnih zbirk </w:t>
      </w:r>
      <w:r w:rsidR="0040588B" w:rsidRPr="00545EC0">
        <w:rPr>
          <w:rFonts w:cs="Arial"/>
          <w:szCs w:val="20"/>
        </w:rPr>
        <w:t xml:space="preserve">DRSV </w:t>
      </w:r>
      <w:r w:rsidRPr="00545EC0">
        <w:rPr>
          <w:rFonts w:cs="Arial"/>
          <w:szCs w:val="20"/>
        </w:rPr>
        <w:t>so izdelani tudi preizkusi vpliva odvzemov podzemne vode.</w:t>
      </w:r>
    </w:p>
    <w:p w14:paraId="3B821D99" w14:textId="3B1E372D" w:rsidR="00611726" w:rsidRPr="00545EC0" w:rsidRDefault="00611726" w:rsidP="00581CEA">
      <w:pPr>
        <w:rPr>
          <w:rFonts w:ascii="Arial Narrow" w:hAnsi="Arial Narrow" w:cs="Arial Narrow"/>
        </w:rPr>
      </w:pPr>
      <w:r w:rsidRPr="00545EC0">
        <w:rPr>
          <w:rFonts w:cs="Arial"/>
          <w:szCs w:val="20"/>
        </w:rPr>
        <w:t>Program monitoringa količinskega stanja podzemnih voda se je v obdobju 2014</w:t>
      </w:r>
      <w:r w:rsidR="007C07BC" w:rsidRPr="00545EC0">
        <w:rPr>
          <w:rFonts w:cs="Arial"/>
          <w:szCs w:val="20"/>
        </w:rPr>
        <w:t xml:space="preserve"> - </w:t>
      </w:r>
      <w:r w:rsidRPr="00545EC0">
        <w:rPr>
          <w:rFonts w:cs="Arial"/>
          <w:szCs w:val="20"/>
        </w:rPr>
        <w:t>2019 izvajal na že vzpostavljeni državni merilni mreži v plitvih vodonosnikih, zasnovani na podlagi izbora reprezentativnih lokacij merilnih mest glede na konceptualne hidrogeološke modele in metodologije posameznih preizkusov pri ocenjevanju količinskega stanja podzemnih voda. Zasnova monitoringa je upoštevala tudi kriterije homogenosti podatkovnih nizov preteklih opazovanj in tehnične ustreznosti objektov ter rabe podzemne vode in prostora. Hidrološki monitoring za oceno količinskega stanja podzemnih voda plitvih vodonosnikov na območju celotne Slovenije vključuje 276 merilnih mest podzemnih in površinskih voda</w:t>
      </w:r>
      <w:r w:rsidR="009C7412" w:rsidRPr="00545EC0">
        <w:rPr>
          <w:rFonts w:cs="Arial"/>
          <w:szCs w:val="20"/>
        </w:rPr>
        <w:t xml:space="preserve"> </w:t>
      </w:r>
      <w:r w:rsidR="004E600C" w:rsidRPr="00545EC0">
        <w:rPr>
          <w:rFonts w:cs="Arial"/>
          <w:szCs w:val="20"/>
        </w:rPr>
        <w:t>in je prikazan</w:t>
      </w:r>
      <w:r w:rsidR="009C7412" w:rsidRPr="00545EC0">
        <w:rPr>
          <w:rFonts w:cs="Arial"/>
          <w:szCs w:val="20"/>
        </w:rPr>
        <w:t xml:space="preserve"> na publikacijski karti</w:t>
      </w:r>
      <w:r w:rsidRPr="00545EC0">
        <w:rPr>
          <w:rFonts w:cs="Arial"/>
          <w:szCs w:val="20"/>
        </w:rPr>
        <w:t xml:space="preserve"> </w:t>
      </w:r>
      <w:r w:rsidRPr="00545EC0">
        <w:rPr>
          <w:rFonts w:cs="Arial"/>
          <w:i/>
          <w:szCs w:val="20"/>
        </w:rPr>
        <w:t>(Publikacijska kart</w:t>
      </w:r>
      <w:r w:rsidR="002C09AE" w:rsidRPr="00545EC0">
        <w:rPr>
          <w:rFonts w:cs="Arial"/>
          <w:i/>
          <w:szCs w:val="20"/>
        </w:rPr>
        <w:t>a 12.1</w:t>
      </w:r>
      <w:r w:rsidRPr="00545EC0">
        <w:rPr>
          <w:rFonts w:cs="Arial"/>
          <w:i/>
          <w:szCs w:val="20"/>
        </w:rPr>
        <w:t>: Mreža merilnih mest za spremljanje količinskega stanja podzemnih voda)</w:t>
      </w:r>
      <w:r w:rsidRPr="00545EC0">
        <w:rPr>
          <w:rFonts w:cs="Arial"/>
          <w:szCs w:val="20"/>
        </w:rPr>
        <w:t>, od tega je na vodnem območju Donave 246 merilnih mest.</w:t>
      </w:r>
    </w:p>
    <w:p w14:paraId="2DE14EE0" w14:textId="376AE570" w:rsidR="00436D5B" w:rsidRPr="00545EC0" w:rsidRDefault="00436D5B" w:rsidP="00581CEA">
      <w:pPr>
        <w:pStyle w:val="Naslov4"/>
        <w:rPr>
          <w:color w:val="auto"/>
          <w:szCs w:val="26"/>
        </w:rPr>
      </w:pPr>
      <w:r w:rsidRPr="00545EC0">
        <w:rPr>
          <w:color w:val="auto"/>
          <w:szCs w:val="26"/>
        </w:rPr>
        <w:t>Program monitoringa količinskega stanja podzemnih voda</w:t>
      </w:r>
    </w:p>
    <w:p w14:paraId="31F31403" w14:textId="1FA9697C" w:rsidR="00611726" w:rsidRPr="00545EC0" w:rsidRDefault="00611726" w:rsidP="00581CEA">
      <w:pPr>
        <w:spacing w:beforeLines="120" w:before="288" w:after="120"/>
        <w:rPr>
          <w:rFonts w:cs="Arial"/>
          <w:szCs w:val="20"/>
        </w:rPr>
      </w:pPr>
      <w:r w:rsidRPr="00545EC0">
        <w:rPr>
          <w:rFonts w:cs="Arial"/>
          <w:szCs w:val="20"/>
        </w:rPr>
        <w:t xml:space="preserve">Program državnega monitoringa količinskega stanja podzemnih voda je usmerjen v oceno vodnobilančnih odnosov med obnavljanjem in odvzemanjem podzemnih voda iz plitvih vodonosnikov..  </w:t>
      </w:r>
      <w:r w:rsidR="00BE57CC" w:rsidRPr="00545EC0">
        <w:rPr>
          <w:rFonts w:cs="Arial"/>
          <w:szCs w:val="20"/>
        </w:rPr>
        <w:t>O</w:t>
      </w:r>
      <w:r w:rsidRPr="00545EC0">
        <w:rPr>
          <w:rFonts w:cs="Arial"/>
          <w:szCs w:val="20"/>
        </w:rPr>
        <w:t>cenjevanja vplivov odvzemanja podzemne vode na soodvisne površinske vode in ekosisteme ter na spremembo tokovnih režimov podzemne vode in vdore slanih voda ali voda slabše kakovosti v vodonosnik oziroma podzemno vodno telo se ocen</w:t>
      </w:r>
      <w:r w:rsidR="00BE57CC" w:rsidRPr="00545EC0">
        <w:rPr>
          <w:rFonts w:cs="Arial"/>
          <w:szCs w:val="20"/>
        </w:rPr>
        <w:t>i</w:t>
      </w:r>
      <w:r w:rsidRPr="00545EC0">
        <w:rPr>
          <w:rFonts w:cs="Arial"/>
          <w:szCs w:val="20"/>
        </w:rPr>
        <w:t xml:space="preserve"> </w:t>
      </w:r>
      <w:r w:rsidR="00BE57CC" w:rsidRPr="00545EC0">
        <w:rPr>
          <w:rFonts w:cs="Arial"/>
          <w:szCs w:val="20"/>
        </w:rPr>
        <w:t xml:space="preserve">ob upoštevanju rezultatov </w:t>
      </w:r>
      <w:r w:rsidRPr="00545EC0">
        <w:rPr>
          <w:rFonts w:cs="Arial"/>
          <w:szCs w:val="20"/>
        </w:rPr>
        <w:t xml:space="preserve">monitoringa kemijskega in ekološkega stanja voda in </w:t>
      </w:r>
      <w:r w:rsidR="00BE57CC" w:rsidRPr="00545EC0">
        <w:rPr>
          <w:rFonts w:cs="Arial"/>
          <w:szCs w:val="20"/>
        </w:rPr>
        <w:t xml:space="preserve">rezultatov </w:t>
      </w:r>
      <w:r w:rsidRPr="00545EC0">
        <w:rPr>
          <w:rFonts w:cs="Arial"/>
          <w:szCs w:val="20"/>
        </w:rPr>
        <w:t>hidrološkega monitoringa površinskih voda.</w:t>
      </w:r>
    </w:p>
    <w:p w14:paraId="5553804B" w14:textId="00B0AE49" w:rsidR="00611726" w:rsidRPr="00545EC0" w:rsidRDefault="00611726" w:rsidP="00581CEA">
      <w:pPr>
        <w:spacing w:before="120" w:after="120"/>
        <w:rPr>
          <w:rFonts w:cs="Arial"/>
          <w:szCs w:val="20"/>
        </w:rPr>
      </w:pPr>
      <w:r w:rsidRPr="00545EC0">
        <w:rPr>
          <w:rFonts w:cs="Arial"/>
          <w:szCs w:val="20"/>
        </w:rPr>
        <w:t xml:space="preserve">Na vodnih telesih plitvih vodonosnikov s prevladujočo medzrnsko poroznostjo je bil monitoring </w:t>
      </w:r>
      <w:r w:rsidR="00BE57CC" w:rsidRPr="00545EC0">
        <w:rPr>
          <w:rFonts w:cs="Arial"/>
          <w:szCs w:val="20"/>
        </w:rPr>
        <w:t xml:space="preserve">prednostno </w:t>
      </w:r>
      <w:r w:rsidRPr="00545EC0">
        <w:rPr>
          <w:rFonts w:cs="Arial"/>
          <w:szCs w:val="20"/>
        </w:rPr>
        <w:t xml:space="preserve">usmerjen v ugotavljanje trendov gladin podzemnih voda, na vodnih telesih z razpoklinsko </w:t>
      </w:r>
      <w:r w:rsidRPr="00545EC0">
        <w:rPr>
          <w:rFonts w:cs="Arial"/>
          <w:szCs w:val="20"/>
        </w:rPr>
        <w:lastRenderedPageBreak/>
        <w:t xml:space="preserve">in kraško poroznostjo pa je bil </w:t>
      </w:r>
      <w:r w:rsidR="00BE57CC" w:rsidRPr="00545EC0">
        <w:rPr>
          <w:rFonts w:cs="Arial"/>
          <w:szCs w:val="20"/>
        </w:rPr>
        <w:t xml:space="preserve">monitoring prednostno </w:t>
      </w:r>
      <w:r w:rsidRPr="00545EC0">
        <w:rPr>
          <w:rFonts w:cs="Arial"/>
          <w:szCs w:val="20"/>
        </w:rPr>
        <w:t>usmerjen v ugotavljanje minimalnih iztokov iz vodnih teles. Za oceno minimalnih pretokov na referenčnih izhodnih profilih in za umerjanje vodnobilančnega modela napajanja vodonosnikov, je bil v program monitoringa količinskega stanja podzemnih voda vključen tudi del merilne mreže hidrološkega monitoringa površinskih voda.</w:t>
      </w:r>
    </w:p>
    <w:p w14:paraId="7F6DA8D7" w14:textId="77777777" w:rsidR="00611726" w:rsidRPr="00545EC0" w:rsidRDefault="00611726" w:rsidP="00581CEA">
      <w:pPr>
        <w:spacing w:before="120" w:after="120"/>
        <w:rPr>
          <w:rFonts w:cs="Arial"/>
          <w:szCs w:val="20"/>
        </w:rPr>
      </w:pPr>
      <w:r w:rsidRPr="00545EC0">
        <w:rPr>
          <w:rFonts w:cs="Arial"/>
          <w:szCs w:val="20"/>
        </w:rPr>
        <w:t>V obdobju 2014–2019 so po programu monitoringa količinskega stanja podzemnih voda na vodnih telesih plitvih vodonosnikov s prevladujočo medzrnsko poroznostjo potekale meritve globine do podzemne vode in temperature podzemne vode. V vodonosnikih s kraško in razpoklinsko poroznostjo pa so se izvajale meritve višine vode oziroma pretoka izvirov, temperature vode in specifične električne prevodnosti vode. Pogostost meritev parametrov količinskega stanja podzemnih voda je bila določena glede na hidrodinamski značaj vodnih teles in glede na namen uporabe podatkov monitoringa v nadaljnjih hidrogeoloških analizah in preizkusih količinskega stanja podzemnih voda.</w:t>
      </w:r>
    </w:p>
    <w:p w14:paraId="2CF33A04" w14:textId="77777777" w:rsidR="00611726" w:rsidRPr="00545EC0" w:rsidRDefault="00611726" w:rsidP="00581CEA">
      <w:pPr>
        <w:rPr>
          <w:rFonts w:cs="Arial"/>
          <w:szCs w:val="20"/>
        </w:rPr>
      </w:pPr>
      <w:r w:rsidRPr="00545EC0">
        <w:rPr>
          <w:rFonts w:cs="Arial"/>
          <w:szCs w:val="20"/>
        </w:rPr>
        <w:t>Rezultati izvedenega programa monitoringa količinskega stanja podzemnih voda so bili uporabljeni:</w:t>
      </w:r>
    </w:p>
    <w:p w14:paraId="0A057350" w14:textId="77777777" w:rsidR="00611726" w:rsidRPr="00545EC0" w:rsidRDefault="00611726" w:rsidP="00DD37C5">
      <w:pPr>
        <w:numPr>
          <w:ilvl w:val="0"/>
          <w:numId w:val="125"/>
        </w:numPr>
        <w:overflowPunct/>
        <w:autoSpaceDE/>
        <w:autoSpaceDN/>
        <w:adjustRightInd/>
        <w:textAlignment w:val="auto"/>
        <w:rPr>
          <w:rFonts w:cs="Arial"/>
          <w:szCs w:val="20"/>
        </w:rPr>
      </w:pPr>
      <w:r w:rsidRPr="00545EC0">
        <w:rPr>
          <w:rFonts w:cs="Arial"/>
          <w:szCs w:val="20"/>
        </w:rPr>
        <w:t>za izračune vodne bilance obdobja 1991–2020;</w:t>
      </w:r>
    </w:p>
    <w:p w14:paraId="0E257EF6" w14:textId="77777777" w:rsidR="00611726" w:rsidRPr="00545EC0" w:rsidRDefault="00611726" w:rsidP="00DD37C5">
      <w:pPr>
        <w:numPr>
          <w:ilvl w:val="0"/>
          <w:numId w:val="125"/>
        </w:numPr>
        <w:overflowPunct/>
        <w:autoSpaceDE/>
        <w:autoSpaceDN/>
        <w:adjustRightInd/>
        <w:textAlignment w:val="auto"/>
        <w:rPr>
          <w:rFonts w:cs="Arial"/>
          <w:szCs w:val="20"/>
        </w:rPr>
      </w:pPr>
      <w:r w:rsidRPr="00545EC0">
        <w:rPr>
          <w:rFonts w:cs="Arial"/>
          <w:szCs w:val="20"/>
        </w:rPr>
        <w:t>za analize trenda gladin in iztokov iz plitvih vodonosnikov obdobja 1990–2019 ter</w:t>
      </w:r>
    </w:p>
    <w:p w14:paraId="4F844E00" w14:textId="77777777" w:rsidR="00611726" w:rsidRPr="00545EC0" w:rsidRDefault="00611726" w:rsidP="00DD37C5">
      <w:pPr>
        <w:numPr>
          <w:ilvl w:val="0"/>
          <w:numId w:val="125"/>
        </w:numPr>
        <w:overflowPunct/>
        <w:autoSpaceDE/>
        <w:autoSpaceDN/>
        <w:adjustRightInd/>
        <w:spacing w:after="160"/>
        <w:textAlignment w:val="auto"/>
        <w:rPr>
          <w:rFonts w:cs="Arial"/>
          <w:szCs w:val="20"/>
        </w:rPr>
      </w:pPr>
      <w:r w:rsidRPr="00545EC0">
        <w:rPr>
          <w:rFonts w:cs="Arial"/>
          <w:szCs w:val="20"/>
        </w:rPr>
        <w:t>za primerjavo s povprečnimi odvzemi podzemne vode obdobja 2014–2019.</w:t>
      </w:r>
    </w:p>
    <w:p w14:paraId="21B13D67" w14:textId="77777777" w:rsidR="00611726" w:rsidRPr="00545EC0" w:rsidRDefault="00611726" w:rsidP="00581CEA">
      <w:pPr>
        <w:spacing w:before="160"/>
        <w:rPr>
          <w:rFonts w:cs="Arial"/>
          <w:szCs w:val="20"/>
        </w:rPr>
      </w:pPr>
      <w:r w:rsidRPr="00545EC0">
        <w:rPr>
          <w:rFonts w:cs="Arial"/>
          <w:szCs w:val="20"/>
        </w:rPr>
        <w:t xml:space="preserve">Količinsko stanje podzemnih voda je bilo ocenjeno tudi za napovedovalni obdobji: </w:t>
      </w:r>
    </w:p>
    <w:p w14:paraId="278D655F" w14:textId="77777777" w:rsidR="00611726" w:rsidRPr="00545EC0" w:rsidRDefault="00611726" w:rsidP="00DD37C5">
      <w:pPr>
        <w:numPr>
          <w:ilvl w:val="0"/>
          <w:numId w:val="126"/>
        </w:numPr>
        <w:overflowPunct/>
        <w:autoSpaceDE/>
        <w:autoSpaceDN/>
        <w:adjustRightInd/>
        <w:textAlignment w:val="auto"/>
        <w:rPr>
          <w:rFonts w:cs="Arial"/>
          <w:szCs w:val="20"/>
        </w:rPr>
      </w:pPr>
      <w:r w:rsidRPr="00545EC0">
        <w:rPr>
          <w:rFonts w:cs="Arial"/>
          <w:szCs w:val="20"/>
        </w:rPr>
        <w:t>z oceno ekstrapolacije trenda gladin in iztokov iz plitvih vodonosnikov v obdobju 2020–2027 in</w:t>
      </w:r>
    </w:p>
    <w:p w14:paraId="7676B5E4" w14:textId="77777777" w:rsidR="00611726" w:rsidRPr="00545EC0" w:rsidRDefault="00611726" w:rsidP="00DD37C5">
      <w:pPr>
        <w:numPr>
          <w:ilvl w:val="0"/>
          <w:numId w:val="126"/>
        </w:numPr>
        <w:overflowPunct/>
        <w:autoSpaceDE/>
        <w:autoSpaceDN/>
        <w:adjustRightInd/>
        <w:spacing w:after="160"/>
        <w:textAlignment w:val="auto"/>
        <w:rPr>
          <w:rFonts w:ascii="Arial Narrow" w:hAnsi="Arial Narrow" w:cs="Arial Narrow"/>
        </w:rPr>
      </w:pPr>
      <w:r w:rsidRPr="00545EC0">
        <w:rPr>
          <w:rFonts w:cs="Arial"/>
          <w:szCs w:val="20"/>
        </w:rPr>
        <w:t>z oceno sprememb napajanja plitvih vodonosnikov po scenarijih podnebne spremembe v obdobju 2021–2050 (</w:t>
      </w:r>
      <w:r w:rsidRPr="00545EC0">
        <w:rPr>
          <w:rFonts w:cs="Arial"/>
          <w:szCs w:val="20"/>
        </w:rPr>
        <w:fldChar w:fldCharType="begin"/>
      </w:r>
      <w:r w:rsidRPr="00545EC0">
        <w:rPr>
          <w:rFonts w:cs="Arial"/>
          <w:szCs w:val="20"/>
        </w:rPr>
        <w:instrText xml:space="preserve"> REF _Ref66444882 \h  \* MERGEFORMAT </w:instrText>
      </w:r>
      <w:r w:rsidRPr="00545EC0">
        <w:rPr>
          <w:rFonts w:cs="Arial"/>
          <w:szCs w:val="20"/>
        </w:rPr>
      </w:r>
      <w:r w:rsidRPr="00545EC0">
        <w:rPr>
          <w:rFonts w:cs="Arial"/>
          <w:szCs w:val="20"/>
        </w:rPr>
        <w:fldChar w:fldCharType="separate"/>
      </w:r>
      <w:r w:rsidR="002F3E43" w:rsidRPr="00545EC0">
        <w:rPr>
          <w:rFonts w:cs="Arial"/>
          <w:szCs w:val="20"/>
        </w:rPr>
        <w:t xml:space="preserve">Slika </w:t>
      </w:r>
      <w:r w:rsidR="002F3E43">
        <w:rPr>
          <w:rFonts w:cs="Arial"/>
          <w:noProof/>
          <w:szCs w:val="20"/>
        </w:rPr>
        <w:t>3</w:t>
      </w:r>
      <w:r w:rsidR="002F3E43" w:rsidRPr="00545EC0">
        <w:rPr>
          <w:rFonts w:cs="Arial"/>
          <w:noProof/>
          <w:szCs w:val="20"/>
        </w:rPr>
        <w:noBreakHyphen/>
      </w:r>
      <w:r w:rsidR="002F3E43">
        <w:rPr>
          <w:rFonts w:cs="Arial"/>
          <w:noProof/>
          <w:szCs w:val="20"/>
        </w:rPr>
        <w:t>8</w:t>
      </w:r>
      <w:r w:rsidRPr="00545EC0">
        <w:rPr>
          <w:rFonts w:cs="Arial"/>
          <w:szCs w:val="20"/>
        </w:rPr>
        <w:fldChar w:fldCharType="end"/>
      </w:r>
      <w:r w:rsidRPr="00545EC0">
        <w:rPr>
          <w:rFonts w:cs="Arial"/>
          <w:szCs w:val="20"/>
        </w:rPr>
        <w:t>).</w:t>
      </w:r>
    </w:p>
    <w:p w14:paraId="432CD780" w14:textId="77777777" w:rsidR="00611726" w:rsidRPr="00545EC0" w:rsidRDefault="00611726" w:rsidP="00611726">
      <w:pPr>
        <w:jc w:val="center"/>
      </w:pPr>
      <w:r w:rsidRPr="00545EC0">
        <w:rPr>
          <w:rFonts w:asciiTheme="majorHAnsi" w:hAnsiTheme="majorHAnsi"/>
          <w:b/>
          <w:noProof/>
        </w:rPr>
        <w:drawing>
          <wp:inline distT="0" distB="0" distL="0" distR="0" wp14:anchorId="223EB988" wp14:editId="3532C7F4">
            <wp:extent cx="5474740" cy="2085975"/>
            <wp:effectExtent l="0" t="0" r="0" b="0"/>
            <wp:docPr id="9" name="Slika 9" descr="Grafični prikaz časovnega okvirja uporabljenih podatkov v poročilu. Obdelovalno obdobje: analiza trenda gladin in pretokov - obdobje 1990-2019, analiza vodne bilance - obdobje 1991-2020, analiza odvzemov podzemne vode - 2014-2019. Primerjalno obdobje: analiza vodne bilance - obdobje 1981-2010, analiza trenda pretokov - obdobje 1990-2010, analiza trenda gladin - 1990-2001. Napovedovalno obdobje: ekstrapolacija trendov gladin in pretokov - 2020-2027, napoved napajanja po scenariju podnebne spremembe - 2050." title="Časovni okvir ocenjevanja količinskega stanja podzemnih voda za pripravo NUV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UVIII_Casovni_okvir_kolicinsko_stanje_NOV.jpg"/>
                    <pic:cNvPicPr/>
                  </pic:nvPicPr>
                  <pic:blipFill rotWithShape="1">
                    <a:blip r:embed="rId98" cstate="print">
                      <a:extLst>
                        <a:ext uri="{28A0092B-C50C-407E-A947-70E740481C1C}">
                          <a14:useLocalDpi xmlns:a14="http://schemas.microsoft.com/office/drawing/2010/main" val="0"/>
                        </a:ext>
                      </a:extLst>
                    </a:blip>
                    <a:srcRect/>
                    <a:stretch/>
                  </pic:blipFill>
                  <pic:spPr bwMode="auto">
                    <a:xfrm>
                      <a:off x="0" y="0"/>
                      <a:ext cx="5593043" cy="2131050"/>
                    </a:xfrm>
                    <a:prstGeom prst="rect">
                      <a:avLst/>
                    </a:prstGeom>
                    <a:ln>
                      <a:noFill/>
                    </a:ln>
                    <a:extLst>
                      <a:ext uri="{53640926-AAD7-44D8-BBD7-CCE9431645EC}">
                        <a14:shadowObscured xmlns:a14="http://schemas.microsoft.com/office/drawing/2010/main"/>
                      </a:ext>
                    </a:extLst>
                  </pic:spPr>
                </pic:pic>
              </a:graphicData>
            </a:graphic>
          </wp:inline>
        </w:drawing>
      </w:r>
    </w:p>
    <w:p w14:paraId="2A542417" w14:textId="525EBCFB" w:rsidR="00611726" w:rsidRPr="00545EC0" w:rsidRDefault="00611726" w:rsidP="004A151F">
      <w:pPr>
        <w:spacing w:before="160"/>
        <w:rPr>
          <w:rFonts w:cs="Arial"/>
          <w:szCs w:val="20"/>
        </w:rPr>
      </w:pPr>
      <w:bookmarkStart w:id="551" w:name="_Ref66444882"/>
      <w:r w:rsidRPr="00545EC0">
        <w:rPr>
          <w:rFonts w:cs="Arial"/>
          <w:szCs w:val="20"/>
        </w:rPr>
        <w:t xml:space="preserve">Slika </w:t>
      </w:r>
      <w:r w:rsidR="00396E1E" w:rsidRPr="00545EC0">
        <w:rPr>
          <w:rFonts w:cs="Arial"/>
          <w:szCs w:val="20"/>
        </w:rPr>
        <w:fldChar w:fldCharType="begin"/>
      </w:r>
      <w:r w:rsidR="00396E1E" w:rsidRPr="00545EC0">
        <w:rPr>
          <w:rFonts w:cs="Arial"/>
          <w:szCs w:val="20"/>
        </w:rPr>
        <w:instrText xml:space="preserve"> STYLEREF 1 \s </w:instrText>
      </w:r>
      <w:r w:rsidR="00396E1E" w:rsidRPr="00545EC0">
        <w:rPr>
          <w:rFonts w:cs="Arial"/>
          <w:szCs w:val="20"/>
        </w:rPr>
        <w:fldChar w:fldCharType="separate"/>
      </w:r>
      <w:r w:rsidR="002F3E43">
        <w:rPr>
          <w:rFonts w:cs="Arial"/>
          <w:noProof/>
          <w:szCs w:val="20"/>
        </w:rPr>
        <w:t>3</w:t>
      </w:r>
      <w:r w:rsidR="00396E1E" w:rsidRPr="00545EC0">
        <w:rPr>
          <w:rFonts w:cs="Arial"/>
          <w:szCs w:val="20"/>
        </w:rPr>
        <w:fldChar w:fldCharType="end"/>
      </w:r>
      <w:r w:rsidR="00396E1E" w:rsidRPr="00545EC0">
        <w:rPr>
          <w:rFonts w:cs="Arial"/>
          <w:szCs w:val="20"/>
        </w:rPr>
        <w:noBreakHyphen/>
      </w:r>
      <w:r w:rsidR="00396E1E" w:rsidRPr="00545EC0">
        <w:rPr>
          <w:rFonts w:cs="Arial"/>
          <w:szCs w:val="20"/>
        </w:rPr>
        <w:fldChar w:fldCharType="begin"/>
      </w:r>
      <w:r w:rsidR="00396E1E" w:rsidRPr="00545EC0">
        <w:rPr>
          <w:rFonts w:cs="Arial"/>
          <w:szCs w:val="20"/>
        </w:rPr>
        <w:instrText xml:space="preserve"> SEQ Slika \* ARABIC \s 1 </w:instrText>
      </w:r>
      <w:r w:rsidR="00396E1E" w:rsidRPr="00545EC0">
        <w:rPr>
          <w:rFonts w:cs="Arial"/>
          <w:szCs w:val="20"/>
        </w:rPr>
        <w:fldChar w:fldCharType="separate"/>
      </w:r>
      <w:r w:rsidR="002F3E43">
        <w:rPr>
          <w:rFonts w:cs="Arial"/>
          <w:noProof/>
          <w:szCs w:val="20"/>
        </w:rPr>
        <w:t>8</w:t>
      </w:r>
      <w:r w:rsidR="00396E1E" w:rsidRPr="00545EC0">
        <w:rPr>
          <w:rFonts w:cs="Arial"/>
          <w:szCs w:val="20"/>
        </w:rPr>
        <w:fldChar w:fldCharType="end"/>
      </w:r>
      <w:bookmarkEnd w:id="551"/>
      <w:r w:rsidRPr="00545EC0">
        <w:rPr>
          <w:rFonts w:cs="Arial"/>
          <w:szCs w:val="20"/>
        </w:rPr>
        <w:t>: Časovni okvir ocenjevanja količinskega stanja podzemnih voda za pripravo NUV III</w:t>
      </w:r>
    </w:p>
    <w:p w14:paraId="78F950FB" w14:textId="61CD24FB" w:rsidR="00611726" w:rsidRPr="00545EC0" w:rsidRDefault="00611726" w:rsidP="00392769">
      <w:pPr>
        <w:pStyle w:val="Naslov4"/>
        <w:rPr>
          <w:color w:val="auto"/>
          <w:szCs w:val="26"/>
        </w:rPr>
      </w:pPr>
      <w:r w:rsidRPr="00545EC0">
        <w:rPr>
          <w:color w:val="auto"/>
          <w:szCs w:val="26"/>
        </w:rPr>
        <w:t>Ocena količinskega stanja podzemnih voda</w:t>
      </w:r>
    </w:p>
    <w:p w14:paraId="0FA4AA18" w14:textId="62EC9A5D" w:rsidR="00611726" w:rsidRPr="00545EC0" w:rsidRDefault="00611726" w:rsidP="00581CEA">
      <w:pPr>
        <w:spacing w:after="160"/>
        <w:rPr>
          <w:rFonts w:cs="Arial"/>
          <w:szCs w:val="20"/>
        </w:rPr>
      </w:pPr>
      <w:r w:rsidRPr="00545EC0">
        <w:rPr>
          <w:rFonts w:cs="Arial"/>
          <w:szCs w:val="20"/>
        </w:rPr>
        <w:t xml:space="preserve">Količinsko stanje podzemnih voda se določa na 21 vodnih telesih podzemnih voda na podlagi rezultatov monitoringa parametrov količinskega stanja podzemnih voda </w:t>
      </w:r>
      <w:r w:rsidR="00BE57CC" w:rsidRPr="00545EC0">
        <w:rPr>
          <w:rFonts w:cs="Arial"/>
          <w:szCs w:val="20"/>
        </w:rPr>
        <w:t xml:space="preserve"> in </w:t>
      </w:r>
      <w:r w:rsidRPr="00545EC0">
        <w:rPr>
          <w:rFonts w:cs="Arial"/>
          <w:szCs w:val="20"/>
        </w:rPr>
        <w:t>po postopkih ocenjevanja količinskega stanja skladno s predpisom, ki ureja stanje podzemnih voda.</w:t>
      </w:r>
    </w:p>
    <w:p w14:paraId="3B1E0667" w14:textId="77777777" w:rsidR="00611726" w:rsidRPr="00545EC0" w:rsidRDefault="00611726" w:rsidP="00581CEA">
      <w:pPr>
        <w:spacing w:after="120"/>
        <w:rPr>
          <w:rFonts w:cs="Arial"/>
          <w:szCs w:val="20"/>
        </w:rPr>
      </w:pPr>
      <w:r w:rsidRPr="00545EC0">
        <w:rPr>
          <w:rFonts w:cs="Arial"/>
          <w:szCs w:val="20"/>
        </w:rPr>
        <w:t>Količinsko stanje podzemnih voda v Sloveniji je za posamezna vodna telesa podzemnih voda ocenjeno s štirimi preizkusi:</w:t>
      </w:r>
    </w:p>
    <w:p w14:paraId="09E8734A" w14:textId="29EAC5D1" w:rsidR="00611726" w:rsidRPr="00545EC0" w:rsidRDefault="00BE57CC" w:rsidP="00DD37C5">
      <w:pPr>
        <w:numPr>
          <w:ilvl w:val="0"/>
          <w:numId w:val="127"/>
        </w:numPr>
        <w:overflowPunct/>
        <w:autoSpaceDE/>
        <w:autoSpaceDN/>
        <w:adjustRightInd/>
        <w:textAlignment w:val="auto"/>
        <w:rPr>
          <w:rFonts w:cs="Arial"/>
          <w:szCs w:val="20"/>
        </w:rPr>
      </w:pPr>
      <w:r w:rsidRPr="00545EC0">
        <w:rPr>
          <w:rFonts w:cs="Arial"/>
          <w:szCs w:val="20"/>
        </w:rPr>
        <w:t>P</w:t>
      </w:r>
      <w:r w:rsidR="00611726" w:rsidRPr="00545EC0">
        <w:rPr>
          <w:rFonts w:cs="Arial"/>
          <w:szCs w:val="20"/>
        </w:rPr>
        <w:t>reizkus</w:t>
      </w:r>
      <w:r w:rsidRPr="00545EC0">
        <w:rPr>
          <w:rFonts w:cs="Arial"/>
          <w:szCs w:val="20"/>
        </w:rPr>
        <w:t xml:space="preserve"> 1:</w:t>
      </w:r>
      <w:r w:rsidR="00611726" w:rsidRPr="00545EC0">
        <w:rPr>
          <w:rFonts w:cs="Arial"/>
          <w:szCs w:val="20"/>
        </w:rPr>
        <w:t xml:space="preserve"> vpliv odvzemov podzemne vode na gladine podzemne vode in vodno bilanco;</w:t>
      </w:r>
    </w:p>
    <w:p w14:paraId="359B9781" w14:textId="2EB3A936" w:rsidR="00611726" w:rsidRPr="00545EC0" w:rsidRDefault="00BE57CC" w:rsidP="00DD37C5">
      <w:pPr>
        <w:numPr>
          <w:ilvl w:val="0"/>
          <w:numId w:val="127"/>
        </w:numPr>
        <w:overflowPunct/>
        <w:autoSpaceDE/>
        <w:autoSpaceDN/>
        <w:adjustRightInd/>
        <w:textAlignment w:val="auto"/>
        <w:rPr>
          <w:rFonts w:cs="Arial"/>
          <w:szCs w:val="20"/>
        </w:rPr>
      </w:pPr>
      <w:r w:rsidRPr="00545EC0">
        <w:rPr>
          <w:rFonts w:cs="Arial"/>
          <w:szCs w:val="20"/>
        </w:rPr>
        <w:t>P</w:t>
      </w:r>
      <w:r w:rsidR="00611726" w:rsidRPr="00545EC0">
        <w:rPr>
          <w:rFonts w:cs="Arial"/>
          <w:szCs w:val="20"/>
        </w:rPr>
        <w:t>reizkus</w:t>
      </w:r>
      <w:r w:rsidRPr="00545EC0">
        <w:rPr>
          <w:rFonts w:cs="Arial"/>
          <w:szCs w:val="20"/>
        </w:rPr>
        <w:t xml:space="preserve"> 2:</w:t>
      </w:r>
      <w:r w:rsidR="00611726" w:rsidRPr="00545EC0">
        <w:rPr>
          <w:rFonts w:cs="Arial"/>
          <w:szCs w:val="20"/>
        </w:rPr>
        <w:t xml:space="preserve"> vpliv odvzemov podzemne vode na ekološko stanje površinskih vodnih teles;</w:t>
      </w:r>
    </w:p>
    <w:p w14:paraId="2D0FFD7E" w14:textId="3D6F3EA1" w:rsidR="00611726" w:rsidRPr="00545EC0" w:rsidRDefault="00BE57CC" w:rsidP="00DD37C5">
      <w:pPr>
        <w:numPr>
          <w:ilvl w:val="0"/>
          <w:numId w:val="127"/>
        </w:numPr>
        <w:overflowPunct/>
        <w:autoSpaceDE/>
        <w:autoSpaceDN/>
        <w:adjustRightInd/>
        <w:textAlignment w:val="auto"/>
        <w:rPr>
          <w:rFonts w:cs="Arial"/>
          <w:szCs w:val="20"/>
        </w:rPr>
      </w:pPr>
      <w:r w:rsidRPr="00545EC0">
        <w:rPr>
          <w:rFonts w:cs="Arial"/>
          <w:szCs w:val="20"/>
        </w:rPr>
        <w:t>P</w:t>
      </w:r>
      <w:r w:rsidR="00611726" w:rsidRPr="00545EC0">
        <w:rPr>
          <w:rFonts w:cs="Arial"/>
          <w:szCs w:val="20"/>
        </w:rPr>
        <w:t>reizkus</w:t>
      </w:r>
      <w:r w:rsidRPr="00545EC0">
        <w:rPr>
          <w:rFonts w:cs="Arial"/>
          <w:szCs w:val="20"/>
        </w:rPr>
        <w:t xml:space="preserve"> 3:</w:t>
      </w:r>
      <w:r w:rsidR="00611726" w:rsidRPr="00545EC0">
        <w:rPr>
          <w:rFonts w:cs="Arial"/>
          <w:szCs w:val="20"/>
        </w:rPr>
        <w:t xml:space="preserve"> vpliv odvzemov podzemne vode na kopenske ekosisteme, odvisne od podzemne vode in</w:t>
      </w:r>
    </w:p>
    <w:p w14:paraId="597C8524" w14:textId="6FC2814C" w:rsidR="00611726" w:rsidRPr="00545EC0" w:rsidRDefault="00BE57CC" w:rsidP="00DD37C5">
      <w:pPr>
        <w:numPr>
          <w:ilvl w:val="0"/>
          <w:numId w:val="127"/>
        </w:numPr>
        <w:overflowPunct/>
        <w:autoSpaceDE/>
        <w:autoSpaceDN/>
        <w:adjustRightInd/>
        <w:spacing w:after="120"/>
        <w:textAlignment w:val="auto"/>
        <w:rPr>
          <w:rFonts w:cs="Arial"/>
          <w:szCs w:val="20"/>
        </w:rPr>
      </w:pPr>
      <w:r w:rsidRPr="00545EC0">
        <w:rPr>
          <w:rFonts w:cs="Arial"/>
          <w:szCs w:val="20"/>
        </w:rPr>
        <w:t>P</w:t>
      </w:r>
      <w:r w:rsidR="00611726" w:rsidRPr="00545EC0">
        <w:rPr>
          <w:rFonts w:cs="Arial"/>
          <w:szCs w:val="20"/>
        </w:rPr>
        <w:t>reizkus</w:t>
      </w:r>
      <w:r w:rsidRPr="00545EC0">
        <w:rPr>
          <w:rFonts w:cs="Arial"/>
          <w:szCs w:val="20"/>
        </w:rPr>
        <w:t xml:space="preserve"> 4:</w:t>
      </w:r>
      <w:r w:rsidR="00611726" w:rsidRPr="00545EC0">
        <w:rPr>
          <w:rFonts w:cs="Arial"/>
          <w:szCs w:val="20"/>
        </w:rPr>
        <w:t xml:space="preserve"> vpliv odvzemov podzemne vode na vdore slane vode ali vode slabše kakovosti v vodonosnik.</w:t>
      </w:r>
    </w:p>
    <w:p w14:paraId="190CA307" w14:textId="79872264" w:rsidR="00611726" w:rsidRPr="00545EC0" w:rsidRDefault="00611726" w:rsidP="00581CEA">
      <w:pPr>
        <w:spacing w:after="160"/>
        <w:rPr>
          <w:rFonts w:cs="Arial"/>
          <w:szCs w:val="20"/>
        </w:rPr>
      </w:pPr>
      <w:r w:rsidRPr="00545EC0">
        <w:rPr>
          <w:rFonts w:cs="Arial"/>
          <w:szCs w:val="20"/>
        </w:rPr>
        <w:lastRenderedPageBreak/>
        <w:t>Stopnja zaupanja ocene količinskega stanja po posameznih vodnih telesih podzemne vode je podana s tristopenjsko lestvico</w:t>
      </w:r>
      <w:r w:rsidR="00BE57CC" w:rsidRPr="00545EC0">
        <w:rPr>
          <w:rFonts w:cs="Arial"/>
          <w:szCs w:val="20"/>
        </w:rPr>
        <w:t>, kot je navedeno v poglavju 3.2.1</w:t>
      </w:r>
      <w:r w:rsidR="00B779C9" w:rsidRPr="00545EC0">
        <w:rPr>
          <w:rFonts w:cs="Arial"/>
          <w:szCs w:val="20"/>
        </w:rPr>
        <w:t>.</w:t>
      </w:r>
      <w:r w:rsidR="00BE57CC" w:rsidRPr="00545EC0">
        <w:rPr>
          <w:rFonts w:cs="Arial"/>
          <w:szCs w:val="20"/>
        </w:rPr>
        <w:t>4 tega načrta upravljanja voda</w:t>
      </w:r>
      <w:r w:rsidRPr="00545EC0">
        <w:rPr>
          <w:rFonts w:cs="Arial"/>
          <w:szCs w:val="20"/>
        </w:rPr>
        <w:t>.</w:t>
      </w:r>
    </w:p>
    <w:p w14:paraId="14D6FB11" w14:textId="2A88B37B" w:rsidR="00611726" w:rsidRPr="00545EC0" w:rsidRDefault="00611726" w:rsidP="00581CEA">
      <w:pPr>
        <w:spacing w:before="120" w:after="120"/>
        <w:rPr>
          <w:rFonts w:ascii="Arial Narrow" w:hAnsi="Arial Narrow" w:cs="Arial Narrow"/>
        </w:rPr>
      </w:pPr>
      <w:r w:rsidRPr="00545EC0">
        <w:rPr>
          <w:rFonts w:cs="Arial"/>
          <w:szCs w:val="20"/>
        </w:rPr>
        <w:t xml:space="preserve">Preizkus odvzemov podzemne vode na gladine podzemne vode in vodno bilanco </w:t>
      </w:r>
      <w:r w:rsidR="00BE57CC" w:rsidRPr="00545EC0">
        <w:rPr>
          <w:rFonts w:cs="Arial"/>
          <w:szCs w:val="20"/>
        </w:rPr>
        <w:t xml:space="preserve">(Preiskus 1) </w:t>
      </w:r>
      <w:r w:rsidRPr="00545EC0">
        <w:rPr>
          <w:rFonts w:cs="Arial"/>
          <w:szCs w:val="20"/>
        </w:rPr>
        <w:t xml:space="preserve">je izveden na vseh 18-tih vodnih telesih podzemnih voda na vodnem območju Donave, ostali preizkusi </w:t>
      </w:r>
      <w:r w:rsidR="00BE57CC" w:rsidRPr="00545EC0">
        <w:rPr>
          <w:rFonts w:cs="Arial"/>
          <w:szCs w:val="20"/>
        </w:rPr>
        <w:t xml:space="preserve">(Preizkusi 2 do 4) </w:t>
      </w:r>
      <w:r w:rsidRPr="00545EC0">
        <w:rPr>
          <w:rFonts w:cs="Arial"/>
          <w:szCs w:val="20"/>
        </w:rPr>
        <w:t xml:space="preserve">pa so izvedeni le tam, kjer je ocenjeno tveganje, da učinki rabe podzemne vode vplivajo na stanje </w:t>
      </w:r>
      <w:r w:rsidR="00BE57CC" w:rsidRPr="00545EC0">
        <w:rPr>
          <w:rFonts w:cs="Arial"/>
          <w:szCs w:val="20"/>
        </w:rPr>
        <w:t xml:space="preserve">vodnih teles </w:t>
      </w:r>
      <w:r w:rsidRPr="00545EC0">
        <w:rPr>
          <w:rFonts w:cs="Arial"/>
          <w:szCs w:val="20"/>
        </w:rPr>
        <w:t>površinskih vod</w:t>
      </w:r>
      <w:r w:rsidR="00BE57CC" w:rsidRPr="00545EC0">
        <w:rPr>
          <w:rFonts w:cs="Arial"/>
          <w:szCs w:val="20"/>
        </w:rPr>
        <w:t>a</w:t>
      </w:r>
      <w:r w:rsidRPr="00545EC0">
        <w:rPr>
          <w:rFonts w:cs="Arial"/>
          <w:szCs w:val="20"/>
        </w:rPr>
        <w:t>, na kopenske ekosisteme, ki so odvisni od podzemnih voda ali na vdore slane vode oz. vode slabše kakovosti.</w:t>
      </w:r>
    </w:p>
    <w:p w14:paraId="166A8582" w14:textId="77777777" w:rsidR="00611726" w:rsidRPr="00545EC0" w:rsidRDefault="00611726" w:rsidP="00581CEA">
      <w:pPr>
        <w:spacing w:before="300" w:after="200"/>
        <w:rPr>
          <w:rFonts w:cs="Arial"/>
          <w:b/>
          <w:bCs/>
          <w:szCs w:val="20"/>
        </w:rPr>
      </w:pPr>
      <w:r w:rsidRPr="00545EC0">
        <w:rPr>
          <w:rFonts w:cs="Arial"/>
          <w:b/>
          <w:bCs/>
          <w:szCs w:val="20"/>
        </w:rPr>
        <w:t>Preizkus 1: Vpliv odvzemov podzemne vode na gladine podzemne vode in vodno bilanco</w:t>
      </w:r>
    </w:p>
    <w:p w14:paraId="382BB246" w14:textId="684028C1" w:rsidR="000F34BC" w:rsidRPr="00545EC0" w:rsidRDefault="00611726" w:rsidP="00581CEA">
      <w:r w:rsidRPr="00545EC0">
        <w:t>Prvi preizkus podaja oceno količinskega stanja vodnega telesa podzemne vode</w:t>
      </w:r>
      <w:r w:rsidR="00BE57CC" w:rsidRPr="00545EC0">
        <w:t>.</w:t>
      </w:r>
      <w:r w:rsidRPr="00545EC0">
        <w:t xml:space="preserve"> </w:t>
      </w:r>
      <w:r w:rsidR="00BE57CC" w:rsidRPr="00545EC0">
        <w:t>K</w:t>
      </w:r>
      <w:r w:rsidRPr="00545EC0">
        <w:t>adar dolgoročna povprečna letna količina črpanja podzemne vode ne presega razpoložljive količine podzemne vode</w:t>
      </w:r>
      <w:r w:rsidR="00BE57CC" w:rsidRPr="00545EC0">
        <w:t xml:space="preserve"> je stanje vodnega telesa podzemne vode ocenjeno kot dobro</w:t>
      </w:r>
      <w:r w:rsidRPr="00545EC0">
        <w:t>. Prvi del preizkusa je ločen za plitve odprte vodonosnike in za globoke zaprte vodonosnike in temelji na analizi trenda gladin podzemne vode in pretokov izvirov. Drugi del preizkusa predstavlja vodnobilančno analizo vseh komponent odtoka, kar je izhodišče za oceno obnovljivih in razpoložljivih količin podzemne vode. Vodnobilančni preizkus se zaključi s primerjavo odvzetih črpanih količin podzemne vode z razpoložljivimi količinami podzemne vode.</w:t>
      </w:r>
    </w:p>
    <w:p w14:paraId="6C2019B9" w14:textId="77777777" w:rsidR="000F34BC" w:rsidRPr="00545EC0" w:rsidRDefault="000F34BC" w:rsidP="00581CEA"/>
    <w:p w14:paraId="3693E1A6" w14:textId="77777777" w:rsidR="00611726" w:rsidRPr="00545EC0" w:rsidRDefault="00611726" w:rsidP="00581CEA">
      <w:pPr>
        <w:rPr>
          <w:b/>
        </w:rPr>
      </w:pPr>
      <w:r w:rsidRPr="00545EC0">
        <w:rPr>
          <w:b/>
        </w:rPr>
        <w:t>Odprti plitvi vodonosniki</w:t>
      </w:r>
    </w:p>
    <w:p w14:paraId="2687CD83" w14:textId="77777777" w:rsidR="000F34BC" w:rsidRPr="00545EC0" w:rsidRDefault="000F34BC" w:rsidP="00581CEA"/>
    <w:p w14:paraId="62446AB4" w14:textId="071F340D" w:rsidR="00611726" w:rsidRPr="00545EC0" w:rsidRDefault="00611726" w:rsidP="00581CEA">
      <w:pPr>
        <w:spacing w:after="120"/>
        <w:rPr>
          <w:rFonts w:cs="Arial"/>
          <w:szCs w:val="20"/>
        </w:rPr>
      </w:pPr>
      <w:r w:rsidRPr="00545EC0">
        <w:rPr>
          <w:rFonts w:cs="Arial"/>
          <w:szCs w:val="20"/>
        </w:rPr>
        <w:t>Analiza trenda gladin podzemnih voda je za vodna telesa z medzrnsko poroznostjo v plitvih aluvialnih vodonosnikih izpeljana po štiri-stopenjski shemi pogojev dobrega količinskega stanja. Na analiziranih vodnih telesih so bili pogoji dobrega količinskega stanja izpolnjeni že na drugi stopnji preizkusa trendov. Ekstrapolacija trenda gladin je na 4 izmed 86 merilnih mest na plitvih aluvialnih vodonosnikih izpostavila tveganje znižanja gladine podzemne vode do leta 2027 pod trimesečni minimum gladine podzemne vode referenčnega obdobja. Ta mesta bo potrebno v bodoče podrobneje spremljati. Analiza trenda malih pretokov v povirnih območjih vodnih teles s kraško, razpoklinsko ali mešano poroznostjo pa je zaznala eno tveganje zmanjšanja pretokov do leta 2027 pod mejno vrednost referenčnega obdobja. Glede na rezultate analize trendov gladin in pretokov v obdobju 1990–2019 količinsko stanje podzemnih voda plitvih odprtih vodonosnikov vseh vodnih teles podzemnih voda ocenjujemo</w:t>
      </w:r>
      <w:r w:rsidRPr="00545EC0" w:rsidDel="00EA460F">
        <w:rPr>
          <w:rFonts w:cs="Arial"/>
          <w:szCs w:val="20"/>
        </w:rPr>
        <w:t xml:space="preserve"> </w:t>
      </w:r>
      <w:r w:rsidRPr="00545EC0">
        <w:rPr>
          <w:rFonts w:cs="Arial"/>
          <w:szCs w:val="20"/>
        </w:rPr>
        <w:t xml:space="preserve">kot </w:t>
      </w:r>
      <w:r w:rsidR="007C07BC" w:rsidRPr="00545EC0">
        <w:rPr>
          <w:rFonts w:cs="Arial"/>
          <w:szCs w:val="20"/>
        </w:rPr>
        <w:t xml:space="preserve">dobro </w:t>
      </w:r>
      <w:r w:rsidRPr="00545EC0">
        <w:rPr>
          <w:rFonts w:cs="Arial"/>
          <w:szCs w:val="20"/>
        </w:rPr>
        <w:t>z visoko stopnjo zaupanja.</w:t>
      </w:r>
    </w:p>
    <w:p w14:paraId="75BE6D94" w14:textId="752CF4E2" w:rsidR="00611726" w:rsidRPr="00545EC0" w:rsidRDefault="00611726" w:rsidP="00581CEA">
      <w:pPr>
        <w:spacing w:before="120" w:after="120"/>
        <w:rPr>
          <w:rFonts w:cs="Arial"/>
          <w:szCs w:val="20"/>
        </w:rPr>
      </w:pPr>
      <w:r w:rsidRPr="00545EC0">
        <w:rPr>
          <w:rFonts w:cs="Arial"/>
          <w:szCs w:val="20"/>
        </w:rPr>
        <w:t xml:space="preserve">Vodnobilančni preizkus se je izvedel z izračunom deleža odvzemov podzemne vode od razpoložljive količine podzemne vode. Ocena razpoložljivih količin podzemnih voda za vodnobilančni preizkus v plitvih vodonosnikih temelji na oceni obnovljive količine podzemne vode iz vodne bilance tridesetletnega obdobja 1991–2020 GROWA-SI (30), ki ob upoštevanju potreb </w:t>
      </w:r>
      <w:r w:rsidR="00BE57CC" w:rsidRPr="00545EC0">
        <w:rPr>
          <w:rFonts w:cs="Arial"/>
          <w:szCs w:val="20"/>
        </w:rPr>
        <w:t xml:space="preserve">vodnih </w:t>
      </w:r>
      <w:r w:rsidRPr="00545EC0">
        <w:rPr>
          <w:rFonts w:cs="Arial"/>
          <w:szCs w:val="20"/>
        </w:rPr>
        <w:t>teles površinskih voda in ekosistemov, odvisnih od podzemnih voda, t. i. ekološkega odbitka, omogoča oceno razpoložljive količine podzemne vode.</w:t>
      </w:r>
    </w:p>
    <w:p w14:paraId="257EC014" w14:textId="4475C89F" w:rsidR="00611726" w:rsidRPr="00545EC0" w:rsidRDefault="00611726" w:rsidP="00581CEA">
      <w:pPr>
        <w:pStyle w:val="poroilomonitoring111"/>
        <w:spacing w:before="120" w:after="120"/>
        <w:jc w:val="both"/>
        <w:rPr>
          <w:b w:val="0"/>
          <w:bCs w:val="0"/>
          <w:i w:val="0"/>
          <w:iCs w:val="0"/>
          <w:sz w:val="20"/>
          <w:lang w:val="sl-SI"/>
        </w:rPr>
      </w:pPr>
      <w:r w:rsidRPr="00545EC0">
        <w:rPr>
          <w:b w:val="0"/>
          <w:bCs w:val="0"/>
          <w:i w:val="0"/>
          <w:iCs w:val="0"/>
          <w:sz w:val="20"/>
          <w:lang w:val="sl-SI"/>
        </w:rPr>
        <w:t>Izhodišče ocene razpoložljive količine podzemne vode je izračun povprečne obnovljive količine v sušnem obdobju s povprečenjem šestih najbolj sušnih let obravnavanega obdobja. V obravnavanem tridesetletnem obdobju 1991</w:t>
      </w:r>
      <w:r w:rsidRPr="00545EC0">
        <w:rPr>
          <w:b w:val="0"/>
          <w:i w:val="0"/>
          <w:sz w:val="20"/>
          <w:lang w:val="sl-SI"/>
        </w:rPr>
        <w:t>–</w:t>
      </w:r>
      <w:r w:rsidRPr="00545EC0">
        <w:rPr>
          <w:b w:val="0"/>
          <w:bCs w:val="0"/>
          <w:i w:val="0"/>
          <w:iCs w:val="0"/>
          <w:sz w:val="20"/>
          <w:lang w:val="sl-SI"/>
        </w:rPr>
        <w:t xml:space="preserve">2020 izstopajo sušna leta 2003, </w:t>
      </w:r>
      <w:r w:rsidR="00392769" w:rsidRPr="00545EC0">
        <w:rPr>
          <w:b w:val="0"/>
          <w:bCs w:val="0"/>
          <w:i w:val="0"/>
          <w:iCs w:val="0"/>
          <w:sz w:val="20"/>
          <w:lang w:val="sl-SI"/>
        </w:rPr>
        <w:t>2006, 2007, 2011, 2012 in 2019.</w:t>
      </w:r>
      <w:r w:rsidRPr="00545EC0">
        <w:rPr>
          <w:b w:val="0"/>
          <w:bCs w:val="0"/>
          <w:i w:val="0"/>
          <w:iCs w:val="0"/>
          <w:sz w:val="20"/>
          <w:lang w:val="sl-SI"/>
        </w:rPr>
        <w:t xml:space="preserve"> Povprečje napajanja vodonosnikov teh šestih najbolj sušnih let obdobja 1991</w:t>
      </w:r>
      <w:r w:rsidRPr="00545EC0">
        <w:rPr>
          <w:b w:val="0"/>
          <w:i w:val="0"/>
          <w:sz w:val="20"/>
          <w:lang w:val="sl-SI"/>
        </w:rPr>
        <w:t>–</w:t>
      </w:r>
      <w:r w:rsidRPr="00545EC0">
        <w:rPr>
          <w:b w:val="0"/>
          <w:bCs w:val="0"/>
          <w:i w:val="0"/>
          <w:iCs w:val="0"/>
          <w:sz w:val="20"/>
          <w:lang w:val="sl-SI"/>
        </w:rPr>
        <w:t>2020, izračunanih z modelom GROWA-SI (06), nakazuje na vodnem območju Donave razpon od 35 mm na Goričkem do 432 mm v Julijskih Alpah v porečju Save. V povprečju gre na ozemlju Slovenije za 210 mm sušnega letnega količinskega obnavljanja, kar je 28 % manj v primerjavi z obnovljivo količino podzemne vode obdobja 1991</w:t>
      </w:r>
      <w:r w:rsidRPr="00545EC0">
        <w:rPr>
          <w:b w:val="0"/>
          <w:sz w:val="20"/>
          <w:lang w:val="sl-SI"/>
        </w:rPr>
        <w:t>–</w:t>
      </w:r>
      <w:r w:rsidRPr="00545EC0">
        <w:rPr>
          <w:b w:val="0"/>
          <w:bCs w:val="0"/>
          <w:i w:val="0"/>
          <w:iCs w:val="0"/>
          <w:sz w:val="20"/>
          <w:lang w:val="sl-SI"/>
        </w:rPr>
        <w:t>2020 GROWA-SI (30).</w:t>
      </w:r>
    </w:p>
    <w:p w14:paraId="0A9B75BE" w14:textId="77777777" w:rsidR="00611726" w:rsidRPr="00545EC0" w:rsidRDefault="00611726" w:rsidP="00581CEA">
      <w:pPr>
        <w:spacing w:before="120" w:after="120"/>
        <w:rPr>
          <w:rFonts w:cs="Arial"/>
          <w:szCs w:val="20"/>
        </w:rPr>
      </w:pPr>
      <w:r w:rsidRPr="00545EC0">
        <w:rPr>
          <w:rFonts w:cs="Arial"/>
          <w:szCs w:val="20"/>
        </w:rPr>
        <w:t xml:space="preserve">Iz ocene šestletnega sušnega količinskega obnavljanja podzemne vode se z zmanjšanjem za količino vode za ohranjanje ekološkega stanja površinskih voda in kopenskih ekosistemov, ki je potrebna za </w:t>
      </w:r>
      <w:r w:rsidRPr="00545EC0">
        <w:rPr>
          <w:rFonts w:cs="Arial"/>
          <w:szCs w:val="20"/>
        </w:rPr>
        <w:lastRenderedPageBreak/>
        <w:t>doseganje ciljev ekološke kakovosti, t. i. ekološki odbitek, določi razpoložljiva količina podzemne vode. Delež obnovljivih količin podzemne vode za ohranjanje ekološkega stanja površinskih voda je za območje Slovenije 28 %. Ekološki odbitek, ki izhaja iz razmerja med prostorskim obsegom vodnega telesa in habitatnega tipa ter razmerja med kapilarnim dvigom in izkoristljivim deležem podzemne vode, je največji v VTPodV_1010 Kraška Ljubljanica 50 mm/leto, kar predstavlja 12,4 % obnovljivih količin podzemne vode tega vodnega telesa v obdobju 1991–2020. Povprečni ekološki odbitek za ohranjanje kopenskih ekosistemov, odvisnih od podzemne vode za območje Slovenije predstavlja 2 % obnovljivih količin podzemnih voda (GROWA-SI (30)).</w:t>
      </w:r>
    </w:p>
    <w:p w14:paraId="0900AF87" w14:textId="77777777" w:rsidR="00611726" w:rsidRPr="00545EC0" w:rsidRDefault="00611726" w:rsidP="00581CEA">
      <w:pPr>
        <w:spacing w:before="120" w:after="120"/>
        <w:rPr>
          <w:rFonts w:ascii="Arial Narrow" w:hAnsi="Arial Narrow" w:cs="Arial Narrow"/>
        </w:rPr>
      </w:pPr>
      <w:r w:rsidRPr="00545EC0">
        <w:rPr>
          <w:rFonts w:cs="Arial"/>
          <w:szCs w:val="20"/>
        </w:rPr>
        <w:t>Rezultati podnebnih modelskih simulacij do konca 21. stoletja za Slovenijo sicer predvidevajo znatno povečanje povprečne letne višine padavin, vendar pa kratkoročnejše simulacije z vodnobilančnim modelom GROWA-SI po različnih kombinacijah podnebnih in emisijskih scenarijev iz evropskega projekta ENSEMBLES predvidevajo, da se bodo povprečne letne obnovljive količine podzemne vode, glede na referenčno dolgoletno povprečje 1981–2010 v prihodnjem obdobju 2021–2050 na območju celotne Slovenije spremenile v razponu od –8,7 % do +6,5 %, povprečno za okoli –1 %, na vodnem območju Donave pa povprečno za okoli -1,8 %.</w:t>
      </w:r>
    </w:p>
    <w:p w14:paraId="680BD6C5" w14:textId="77777777" w:rsidR="004A151F" w:rsidRPr="00545EC0" w:rsidRDefault="00611726" w:rsidP="00581CEA">
      <w:pPr>
        <w:keepNext/>
        <w:spacing w:before="120" w:after="120"/>
        <w:jc w:val="center"/>
      </w:pPr>
      <w:r w:rsidRPr="00545EC0">
        <w:rPr>
          <w:noProof/>
        </w:rPr>
        <w:drawing>
          <wp:inline distT="0" distB="0" distL="0" distR="0" wp14:anchorId="192FE711" wp14:editId="38D177A2">
            <wp:extent cx="5665010" cy="2781300"/>
            <wp:effectExtent l="19050" t="19050" r="12065" b="19050"/>
            <wp:docPr id="15" name="Slika 15" descr="Na 2D stolpčnem grafikonu, ki v odstotkih prikazuje odstopanje letnega količinskega obnavljanja podzemne vode plitvih vodonosnikov Slovenije glede na povprečje referenčnega vodnobilančnega obdobja 1981–2010 , je izpostavljeno vodnobilančno obdobje 1991-2020, znotraj tega obdobja pa šest let  z najšibkejšim celoletnim napajanjem (leta: 2003, 2006, 2007, 2011, 2012 in 2019)." title="Izbor šestih let z najšibkejšim celoletnim napajanjem v  vodnobilančnem obdobju 1991–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81_2010bilancno.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728461" cy="2812452"/>
                    </a:xfrm>
                    <a:prstGeom prst="rect">
                      <a:avLst/>
                    </a:prstGeom>
                    <a:ln>
                      <a:solidFill>
                        <a:schemeClr val="bg1">
                          <a:lumMod val="85000"/>
                        </a:schemeClr>
                      </a:solidFill>
                    </a:ln>
                  </pic:spPr>
                </pic:pic>
              </a:graphicData>
            </a:graphic>
          </wp:inline>
        </w:drawing>
      </w:r>
    </w:p>
    <w:p w14:paraId="676282DE" w14:textId="79BE901A" w:rsidR="004A151F" w:rsidRPr="00545EC0" w:rsidRDefault="004A151F" w:rsidP="00581CEA">
      <w:pPr>
        <w:spacing w:before="120" w:after="120"/>
        <w:rPr>
          <w:rFonts w:cs="Arial"/>
          <w:szCs w:val="20"/>
        </w:rPr>
      </w:pPr>
      <w:r w:rsidRPr="00545EC0">
        <w:t xml:space="preserve">Slika </w:t>
      </w:r>
      <w:fldSimple w:instr=" STYLEREF 1 \s ">
        <w:r w:rsidR="002F3E43">
          <w:rPr>
            <w:noProof/>
          </w:rPr>
          <w:t>3</w:t>
        </w:r>
      </w:fldSimple>
      <w:r w:rsidR="00396E1E" w:rsidRPr="00545EC0">
        <w:noBreakHyphen/>
      </w:r>
      <w:fldSimple w:instr=" SEQ Slika \* ARABIC \s 1 ">
        <w:r w:rsidR="002F3E43">
          <w:rPr>
            <w:noProof/>
          </w:rPr>
          <w:t>9</w:t>
        </w:r>
      </w:fldSimple>
      <w:r w:rsidRPr="00545EC0">
        <w:t xml:space="preserve">: </w:t>
      </w:r>
      <w:r w:rsidRPr="00545EC0">
        <w:rPr>
          <w:rFonts w:cs="Arial"/>
          <w:szCs w:val="20"/>
        </w:rPr>
        <w:t>Časovna spremenljivost letnega količinskega obnavljanja podzemne vode v Sloveniji glede na povprečje obdobja 1981–2010 (hidrološko leto 1. november – 31. oktober) in izbor šestih let z najšibkejšim celoletnim napajanjem v obdobju 1991–2020</w:t>
      </w:r>
    </w:p>
    <w:p w14:paraId="32C5D88E" w14:textId="40B0AB34" w:rsidR="000F34BC" w:rsidRPr="00545EC0" w:rsidRDefault="00611726" w:rsidP="00581CEA">
      <w:pPr>
        <w:spacing w:before="120" w:after="120"/>
        <w:rPr>
          <w:rFonts w:cs="Arial"/>
          <w:szCs w:val="20"/>
        </w:rPr>
      </w:pPr>
      <w:r w:rsidRPr="00545EC0">
        <w:rPr>
          <w:rFonts w:cs="Arial"/>
          <w:szCs w:val="20"/>
        </w:rPr>
        <w:t xml:space="preserve">Podatki o odvzemih podzemne vode so bili pridobljeni iz upravljavskih podatkovnih zbirk DRSV. Delež povprečnih letnih črpanih količin podzemne vode po evidenci vodnih povračil </w:t>
      </w:r>
      <w:r w:rsidR="0040588B" w:rsidRPr="00545EC0">
        <w:rPr>
          <w:rFonts w:cs="Arial"/>
          <w:szCs w:val="20"/>
        </w:rPr>
        <w:t xml:space="preserve">DRSV </w:t>
      </w:r>
      <w:r w:rsidRPr="00545EC0">
        <w:rPr>
          <w:rFonts w:cs="Arial"/>
          <w:szCs w:val="20"/>
        </w:rPr>
        <w:t>za obdobje 2014–2019 je bil, glede na rezultate modela napajanja vodonosnikov GROWA-SI in izračuna razpoložljive količine podzemne vode za obdobje 1991–2020, največji na območjih treh aluvialnih vodnih teles: VTPodV_3012 Dravska kotlina (25,9 %), VTPodV_1001 Savska kotlina in Ljubljansko Barje (22,4 %) in VTPodV_4016 Murska kotlina (20,9 %) (</w:t>
      </w:r>
      <w:r w:rsidR="00B20F6F" w:rsidRPr="00545EC0">
        <w:rPr>
          <w:rFonts w:cs="Arial"/>
          <w:szCs w:val="20"/>
        </w:rPr>
        <w:fldChar w:fldCharType="begin"/>
      </w:r>
      <w:r w:rsidR="00B20F6F" w:rsidRPr="00545EC0">
        <w:rPr>
          <w:rFonts w:cs="Arial"/>
          <w:szCs w:val="20"/>
        </w:rPr>
        <w:instrText xml:space="preserve"> REF _Ref84323595 \h </w:instrText>
      </w:r>
      <w:r w:rsidR="00F37A91" w:rsidRPr="00545EC0">
        <w:rPr>
          <w:rFonts w:cs="Arial"/>
          <w:szCs w:val="20"/>
        </w:rPr>
        <w:instrText xml:space="preserve"> \* MERGEFORMAT </w:instrText>
      </w:r>
      <w:r w:rsidR="00B20F6F" w:rsidRPr="00545EC0">
        <w:rPr>
          <w:rFonts w:cs="Arial"/>
          <w:szCs w:val="20"/>
        </w:rPr>
      </w:r>
      <w:r w:rsidR="00B20F6F" w:rsidRPr="00545EC0">
        <w:rPr>
          <w:rFonts w:cs="Arial"/>
          <w:szCs w:val="20"/>
        </w:rPr>
        <w:fldChar w:fldCharType="separate"/>
      </w:r>
      <w:r w:rsidR="002F3E43" w:rsidRPr="00545EC0">
        <w:t xml:space="preserve">Preglednica </w:t>
      </w:r>
      <w:r w:rsidR="002F3E43">
        <w:rPr>
          <w:noProof/>
        </w:rPr>
        <w:t>3</w:t>
      </w:r>
      <w:r w:rsidR="002F3E43" w:rsidRPr="00545EC0">
        <w:rPr>
          <w:noProof/>
        </w:rPr>
        <w:noBreakHyphen/>
      </w:r>
      <w:r w:rsidR="002F3E43">
        <w:rPr>
          <w:noProof/>
        </w:rPr>
        <w:t>6</w:t>
      </w:r>
      <w:r w:rsidR="00B20F6F" w:rsidRPr="00545EC0">
        <w:rPr>
          <w:rFonts w:cs="Arial"/>
          <w:szCs w:val="20"/>
        </w:rPr>
        <w:fldChar w:fldCharType="end"/>
      </w:r>
      <w:r w:rsidRPr="00545EC0">
        <w:rPr>
          <w:rFonts w:cs="Arial"/>
          <w:szCs w:val="20"/>
        </w:rPr>
        <w:t>). Odvzemi so v teh vodnih telesih podzemne vode presegli mejne vrednosti 20 %, ki jo EEA uporablja kot začetno opozorilo količinskega pritiska na vodne vire. Delež odvzemov pa ni večji kot 65 %, kar kot mejno vrednost količinskega pritiska povzema evropski projekt GENESIS. Črpanje vode iz vodonosnikov na vodnem območju Donave v skupni povprečni letni količini 130,8 milijonov m</w:t>
      </w:r>
      <w:r w:rsidRPr="00545EC0">
        <w:rPr>
          <w:rFonts w:cs="Arial"/>
          <w:szCs w:val="20"/>
          <w:vertAlign w:val="superscript"/>
        </w:rPr>
        <w:t>3</w:t>
      </w:r>
      <w:r w:rsidRPr="00545EC0">
        <w:rPr>
          <w:rFonts w:cs="Arial"/>
          <w:szCs w:val="20"/>
        </w:rPr>
        <w:t xml:space="preserve"> predstavlja 4,3 % razpoložljive količine podzemne vode. Količinsko stanje podzemnih voda plitvih odprtih vodonosnikov glede na rezultate vodne bilance z modelom GROWA-SI v obdobju 1991–2020 </w:t>
      </w:r>
      <w:r w:rsidR="00B45387" w:rsidRPr="00545EC0">
        <w:rPr>
          <w:rFonts w:cs="Arial"/>
          <w:szCs w:val="20"/>
        </w:rPr>
        <w:t xml:space="preserve">je </w:t>
      </w:r>
      <w:r w:rsidRPr="00545EC0">
        <w:rPr>
          <w:rFonts w:cs="Arial"/>
          <w:szCs w:val="20"/>
        </w:rPr>
        <w:t>ocenj</w:t>
      </w:r>
      <w:r w:rsidR="00B45387" w:rsidRPr="00545EC0">
        <w:rPr>
          <w:rFonts w:cs="Arial"/>
          <w:szCs w:val="20"/>
        </w:rPr>
        <w:t>eno</w:t>
      </w:r>
      <w:r w:rsidRPr="00545EC0">
        <w:rPr>
          <w:rFonts w:cs="Arial"/>
          <w:szCs w:val="20"/>
        </w:rPr>
        <w:t xml:space="preserve"> </w:t>
      </w:r>
      <w:r w:rsidR="007C07BC" w:rsidRPr="00545EC0">
        <w:rPr>
          <w:rFonts w:cs="Arial"/>
          <w:szCs w:val="20"/>
        </w:rPr>
        <w:t>kot dobro</w:t>
      </w:r>
      <w:r w:rsidRPr="00545EC0">
        <w:rPr>
          <w:rFonts w:cs="Arial"/>
          <w:szCs w:val="20"/>
        </w:rPr>
        <w:t xml:space="preserve"> z visoko stopnjo zaupanja za </w:t>
      </w:r>
      <w:r w:rsidR="004A151F" w:rsidRPr="00545EC0">
        <w:rPr>
          <w:rFonts w:cs="Arial"/>
          <w:szCs w:val="20"/>
        </w:rPr>
        <w:t>vsa vodna telesa podzemne vode.</w:t>
      </w:r>
    </w:p>
    <w:p w14:paraId="080ED5AD" w14:textId="0D39D070" w:rsidR="00B20F6F" w:rsidRPr="00545EC0" w:rsidRDefault="00B20F6F" w:rsidP="00581CEA">
      <w:pPr>
        <w:pStyle w:val="Napis"/>
        <w:spacing w:after="160"/>
        <w:rPr>
          <w:bCs w:val="0"/>
        </w:rPr>
      </w:pPr>
      <w:bookmarkStart w:id="552" w:name="_Ref84323595"/>
      <w:r w:rsidRPr="00545EC0">
        <w:lastRenderedPageBreak/>
        <w:t xml:space="preserve">Preglednica </w:t>
      </w:r>
      <w:fldSimple w:instr=" STYLEREF 1 \s ">
        <w:r w:rsidR="002F3E43">
          <w:rPr>
            <w:noProof/>
          </w:rPr>
          <w:t>3</w:t>
        </w:r>
      </w:fldSimple>
      <w:r w:rsidR="001A7511" w:rsidRPr="00545EC0">
        <w:noBreakHyphen/>
      </w:r>
      <w:fldSimple w:instr=" SEQ Preglednica \* ARABIC \s 1 ">
        <w:r w:rsidR="002F3E43">
          <w:rPr>
            <w:noProof/>
          </w:rPr>
          <w:t>6</w:t>
        </w:r>
      </w:fldSimple>
      <w:bookmarkEnd w:id="552"/>
      <w:r w:rsidRPr="00545EC0">
        <w:t xml:space="preserve">: </w:t>
      </w:r>
      <w:r w:rsidRPr="00545EC0">
        <w:rPr>
          <w:bCs w:val="0"/>
        </w:rPr>
        <w:t>Razmerja med črpanimi količinami podzemne vode (2014–2019) in razpoložljivo količino podzemne vode (1991–2020) v plitvih vodonosnikih vodnih teles podzemne vode na vodnem območju Donave</w:t>
      </w:r>
    </w:p>
    <w:tbl>
      <w:tblPr>
        <w:tblStyle w:val="Tabela-mrea1"/>
        <w:tblW w:w="5000" w:type="pct"/>
        <w:tblLook w:val="01E0" w:firstRow="1" w:lastRow="1" w:firstColumn="1" w:lastColumn="1" w:noHBand="0" w:noVBand="0"/>
      </w:tblPr>
      <w:tblGrid>
        <w:gridCol w:w="3968"/>
        <w:gridCol w:w="1368"/>
        <w:gridCol w:w="1217"/>
        <w:gridCol w:w="1437"/>
        <w:gridCol w:w="1297"/>
      </w:tblGrid>
      <w:tr w:rsidR="003122F4" w:rsidRPr="00545EC0" w14:paraId="541CF787" w14:textId="77777777" w:rsidTr="00B20F6F">
        <w:trPr>
          <w:trHeight w:val="1119"/>
        </w:trPr>
        <w:tc>
          <w:tcPr>
            <w:tcW w:w="2219" w:type="pct"/>
            <w:shd w:val="clear" w:color="auto" w:fill="F2F2F2" w:themeFill="background1" w:themeFillShade="F2"/>
          </w:tcPr>
          <w:p w14:paraId="423282D9" w14:textId="77777777" w:rsidR="00611726" w:rsidRPr="00545EC0" w:rsidRDefault="00611726" w:rsidP="006B6AA0">
            <w:pPr>
              <w:spacing w:before="40" w:after="40" w:line="240" w:lineRule="auto"/>
              <w:rPr>
                <w:rFonts w:cs="Arial"/>
                <w:b/>
                <w:sz w:val="18"/>
                <w:szCs w:val="18"/>
                <w:lang w:val="pl-PL"/>
              </w:rPr>
            </w:pPr>
            <w:r w:rsidRPr="00545EC0">
              <w:rPr>
                <w:rFonts w:cs="Arial"/>
                <w:b/>
                <w:sz w:val="18"/>
                <w:szCs w:val="18"/>
                <w:lang w:val="pl-PL"/>
              </w:rPr>
              <w:t>Vodno telo podzemne vode (šifra in ime)</w:t>
            </w:r>
          </w:p>
        </w:tc>
        <w:tc>
          <w:tcPr>
            <w:tcW w:w="772" w:type="pct"/>
            <w:shd w:val="clear" w:color="auto" w:fill="F2F2F2" w:themeFill="background1" w:themeFillShade="F2"/>
          </w:tcPr>
          <w:p w14:paraId="26D2A7CF" w14:textId="77777777" w:rsidR="00611726" w:rsidRPr="00545EC0" w:rsidRDefault="00611726" w:rsidP="006B6AA0">
            <w:pPr>
              <w:spacing w:before="40" w:after="40" w:line="240" w:lineRule="auto"/>
              <w:jc w:val="right"/>
              <w:rPr>
                <w:rFonts w:cs="Arial"/>
                <w:b/>
                <w:sz w:val="18"/>
                <w:szCs w:val="18"/>
                <w:lang w:val="pl-PL"/>
              </w:rPr>
            </w:pPr>
            <w:r w:rsidRPr="00545EC0">
              <w:rPr>
                <w:rFonts w:cs="Arial"/>
                <w:b/>
                <w:sz w:val="18"/>
                <w:szCs w:val="18"/>
                <w:lang w:val="pl-PL"/>
              </w:rPr>
              <w:t>Razpoložljiva količina podzemne vode v obdobju 1991–2020** (m</w:t>
            </w:r>
            <w:r w:rsidRPr="00545EC0">
              <w:rPr>
                <w:rFonts w:cs="Arial"/>
                <w:b/>
                <w:sz w:val="18"/>
                <w:szCs w:val="18"/>
                <w:vertAlign w:val="superscript"/>
                <w:lang w:val="pl-PL"/>
              </w:rPr>
              <w:t>3</w:t>
            </w:r>
            <w:r w:rsidRPr="00545EC0">
              <w:rPr>
                <w:rFonts w:cs="Arial"/>
                <w:b/>
                <w:sz w:val="18"/>
                <w:szCs w:val="18"/>
                <w:lang w:val="pl-PL"/>
              </w:rPr>
              <w:t>/leto)</w:t>
            </w:r>
          </w:p>
        </w:tc>
        <w:tc>
          <w:tcPr>
            <w:tcW w:w="680" w:type="pct"/>
            <w:shd w:val="clear" w:color="auto" w:fill="F2F2F2" w:themeFill="background1" w:themeFillShade="F2"/>
          </w:tcPr>
          <w:p w14:paraId="7A7C7607" w14:textId="77777777" w:rsidR="00611726" w:rsidRPr="00545EC0" w:rsidRDefault="00611726" w:rsidP="006B6AA0">
            <w:pPr>
              <w:spacing w:before="40" w:after="40" w:line="240" w:lineRule="auto"/>
              <w:jc w:val="right"/>
              <w:rPr>
                <w:rFonts w:cs="Arial"/>
                <w:b/>
                <w:sz w:val="18"/>
                <w:szCs w:val="18"/>
                <w:lang w:val="pl-PL"/>
              </w:rPr>
            </w:pPr>
            <w:r w:rsidRPr="00545EC0">
              <w:rPr>
                <w:rFonts w:cs="Arial"/>
                <w:b/>
                <w:sz w:val="18"/>
                <w:szCs w:val="18"/>
                <w:lang w:val="pl-PL"/>
              </w:rPr>
              <w:t>Črpane količine podzemne vode v obdobju 2014–2019* (m</w:t>
            </w:r>
            <w:r w:rsidRPr="00545EC0">
              <w:rPr>
                <w:rFonts w:cs="Arial"/>
                <w:b/>
                <w:sz w:val="18"/>
                <w:szCs w:val="18"/>
                <w:vertAlign w:val="superscript"/>
                <w:lang w:val="pl-PL"/>
              </w:rPr>
              <w:t>3</w:t>
            </w:r>
            <w:r w:rsidRPr="00545EC0">
              <w:rPr>
                <w:rFonts w:cs="Arial"/>
                <w:b/>
                <w:sz w:val="18"/>
                <w:szCs w:val="18"/>
                <w:lang w:val="pl-PL"/>
              </w:rPr>
              <w:t>/leto)</w:t>
            </w:r>
          </w:p>
        </w:tc>
        <w:tc>
          <w:tcPr>
            <w:tcW w:w="650" w:type="pct"/>
            <w:shd w:val="clear" w:color="auto" w:fill="F2F2F2" w:themeFill="background1" w:themeFillShade="F2"/>
          </w:tcPr>
          <w:p w14:paraId="13C8F5D6" w14:textId="77777777" w:rsidR="00611726" w:rsidRPr="00545EC0" w:rsidRDefault="00611726" w:rsidP="006B6AA0">
            <w:pPr>
              <w:spacing w:before="40" w:after="40" w:line="240" w:lineRule="auto"/>
              <w:jc w:val="right"/>
              <w:rPr>
                <w:rFonts w:cs="Arial"/>
                <w:b/>
                <w:sz w:val="18"/>
                <w:szCs w:val="18"/>
                <w:lang w:val="pl-PL"/>
              </w:rPr>
            </w:pPr>
            <w:r w:rsidRPr="00545EC0">
              <w:rPr>
                <w:rFonts w:cs="Arial"/>
                <w:b/>
                <w:sz w:val="18"/>
                <w:szCs w:val="18"/>
                <w:lang w:val="pl-PL"/>
              </w:rPr>
              <w:t>Količine umetnega napajanja vodonosnikov v obdobju 2014–2019* (m</w:t>
            </w:r>
            <w:r w:rsidRPr="00545EC0">
              <w:rPr>
                <w:rFonts w:cs="Arial"/>
                <w:b/>
                <w:sz w:val="18"/>
                <w:szCs w:val="18"/>
                <w:vertAlign w:val="superscript"/>
                <w:lang w:val="pl-PL"/>
              </w:rPr>
              <w:t>3</w:t>
            </w:r>
            <w:r w:rsidRPr="00545EC0">
              <w:rPr>
                <w:rFonts w:cs="Arial"/>
                <w:b/>
                <w:sz w:val="18"/>
                <w:szCs w:val="18"/>
                <w:lang w:val="pl-PL"/>
              </w:rPr>
              <w:t>/leto)</w:t>
            </w:r>
          </w:p>
        </w:tc>
        <w:tc>
          <w:tcPr>
            <w:tcW w:w="679" w:type="pct"/>
            <w:shd w:val="clear" w:color="auto" w:fill="F2F2F2" w:themeFill="background1" w:themeFillShade="F2"/>
          </w:tcPr>
          <w:p w14:paraId="1F8BDFFF" w14:textId="77777777" w:rsidR="00611726" w:rsidRPr="00545EC0" w:rsidRDefault="00611726" w:rsidP="006B6AA0">
            <w:pPr>
              <w:spacing w:before="40" w:after="40" w:line="240" w:lineRule="auto"/>
              <w:jc w:val="right"/>
              <w:rPr>
                <w:rFonts w:cs="Arial"/>
                <w:b/>
                <w:sz w:val="18"/>
                <w:szCs w:val="18"/>
                <w:lang w:val="pl-PL"/>
              </w:rPr>
            </w:pPr>
            <w:r w:rsidRPr="00545EC0">
              <w:rPr>
                <w:rFonts w:cs="Arial"/>
                <w:b/>
                <w:sz w:val="18"/>
                <w:szCs w:val="18"/>
                <w:lang w:val="pl-PL"/>
              </w:rPr>
              <w:t>Črpane količine podzemne vode / razpoložljiva količina podzemne vode (%)</w:t>
            </w:r>
          </w:p>
        </w:tc>
      </w:tr>
      <w:tr w:rsidR="003122F4" w:rsidRPr="00545EC0" w14:paraId="03A315A0" w14:textId="77777777" w:rsidTr="00B20F6F">
        <w:trPr>
          <w:trHeight w:hRule="exact" w:val="255"/>
        </w:trPr>
        <w:tc>
          <w:tcPr>
            <w:tcW w:w="2219" w:type="pct"/>
          </w:tcPr>
          <w:p w14:paraId="7650D13A" w14:textId="77777777" w:rsidR="00611726" w:rsidRPr="00545EC0" w:rsidRDefault="00611726" w:rsidP="006B6AA0">
            <w:pPr>
              <w:spacing w:line="240" w:lineRule="auto"/>
              <w:rPr>
                <w:rFonts w:cs="Arial"/>
                <w:sz w:val="18"/>
                <w:szCs w:val="18"/>
                <w:lang w:val="sv-SE"/>
              </w:rPr>
            </w:pPr>
            <w:r w:rsidRPr="00545EC0">
              <w:rPr>
                <w:rFonts w:cs="Arial"/>
                <w:sz w:val="18"/>
                <w:szCs w:val="18"/>
                <w:lang w:val="sv-SE"/>
              </w:rPr>
              <w:t>1001 Savska kotlina in Ljubljansko Barje</w:t>
            </w:r>
          </w:p>
        </w:tc>
        <w:tc>
          <w:tcPr>
            <w:tcW w:w="772" w:type="pct"/>
          </w:tcPr>
          <w:p w14:paraId="1577A073" w14:textId="77777777" w:rsidR="00611726" w:rsidRPr="00545EC0" w:rsidRDefault="00611726" w:rsidP="006B6AA0">
            <w:pPr>
              <w:spacing w:line="240" w:lineRule="auto"/>
              <w:rPr>
                <w:rFonts w:cs="Arial"/>
                <w:sz w:val="18"/>
                <w:szCs w:val="18"/>
                <w:lang w:val="sv-SE"/>
              </w:rPr>
            </w:pPr>
            <w:r w:rsidRPr="00545EC0">
              <w:rPr>
                <w:rFonts w:cs="Arial"/>
                <w:sz w:val="18"/>
                <w:szCs w:val="18"/>
                <w:lang w:val="sv-SE"/>
              </w:rPr>
              <w:t>221.403.160</w:t>
            </w:r>
          </w:p>
        </w:tc>
        <w:tc>
          <w:tcPr>
            <w:tcW w:w="680" w:type="pct"/>
          </w:tcPr>
          <w:p w14:paraId="2953115A" w14:textId="77777777" w:rsidR="00611726" w:rsidRPr="00545EC0" w:rsidRDefault="00611726" w:rsidP="006B6AA0">
            <w:pPr>
              <w:spacing w:line="240" w:lineRule="auto"/>
              <w:rPr>
                <w:rFonts w:cs="Arial"/>
                <w:sz w:val="18"/>
                <w:szCs w:val="18"/>
                <w:lang w:val="sv-SE"/>
              </w:rPr>
            </w:pPr>
            <w:r w:rsidRPr="00545EC0">
              <w:rPr>
                <w:rFonts w:cs="Arial"/>
                <w:sz w:val="18"/>
                <w:szCs w:val="18"/>
                <w:lang w:val="sv-SE"/>
              </w:rPr>
              <w:t>49.600.836</w:t>
            </w:r>
          </w:p>
        </w:tc>
        <w:tc>
          <w:tcPr>
            <w:tcW w:w="650" w:type="pct"/>
          </w:tcPr>
          <w:p w14:paraId="72CD7EA9" w14:textId="77777777" w:rsidR="00611726" w:rsidRPr="00545EC0" w:rsidRDefault="00611726" w:rsidP="006B6AA0">
            <w:pPr>
              <w:spacing w:line="240" w:lineRule="auto"/>
              <w:jc w:val="right"/>
              <w:rPr>
                <w:rFonts w:cs="Arial"/>
                <w:sz w:val="18"/>
                <w:szCs w:val="18"/>
              </w:rPr>
            </w:pPr>
            <w:r w:rsidRPr="00545EC0">
              <w:rPr>
                <w:rFonts w:cs="Arial"/>
                <w:sz w:val="18"/>
                <w:szCs w:val="18"/>
              </w:rPr>
              <w:t>-</w:t>
            </w:r>
          </w:p>
        </w:tc>
        <w:tc>
          <w:tcPr>
            <w:tcW w:w="679" w:type="pct"/>
          </w:tcPr>
          <w:p w14:paraId="508118D9" w14:textId="77777777" w:rsidR="00611726" w:rsidRPr="00545EC0" w:rsidRDefault="00611726" w:rsidP="006B6AA0">
            <w:pPr>
              <w:spacing w:line="240" w:lineRule="auto"/>
              <w:jc w:val="right"/>
              <w:rPr>
                <w:rFonts w:cs="Arial"/>
                <w:sz w:val="18"/>
                <w:szCs w:val="18"/>
                <w:lang w:val="sv-SE"/>
              </w:rPr>
            </w:pPr>
            <w:r w:rsidRPr="00545EC0">
              <w:rPr>
                <w:rFonts w:cs="Arial"/>
                <w:sz w:val="18"/>
                <w:szCs w:val="18"/>
                <w:lang w:val="sv-SE"/>
              </w:rPr>
              <w:t>22,4</w:t>
            </w:r>
          </w:p>
        </w:tc>
      </w:tr>
      <w:tr w:rsidR="003122F4" w:rsidRPr="00545EC0" w14:paraId="25657CE2" w14:textId="77777777" w:rsidTr="00B20F6F">
        <w:trPr>
          <w:trHeight w:hRule="exact" w:val="255"/>
        </w:trPr>
        <w:tc>
          <w:tcPr>
            <w:tcW w:w="2219" w:type="pct"/>
          </w:tcPr>
          <w:p w14:paraId="228157F8" w14:textId="77777777" w:rsidR="00611726" w:rsidRPr="00545EC0" w:rsidRDefault="00611726" w:rsidP="006B6AA0">
            <w:pPr>
              <w:spacing w:line="240" w:lineRule="auto"/>
              <w:rPr>
                <w:rFonts w:cs="Arial"/>
                <w:sz w:val="18"/>
                <w:szCs w:val="18"/>
                <w:lang w:val="sv-SE"/>
              </w:rPr>
            </w:pPr>
            <w:r w:rsidRPr="00545EC0">
              <w:rPr>
                <w:rFonts w:cs="Arial"/>
                <w:sz w:val="18"/>
                <w:szCs w:val="18"/>
                <w:lang w:val="sv-SE"/>
              </w:rPr>
              <w:t>1002 Savinjska kotlina</w:t>
            </w:r>
          </w:p>
        </w:tc>
        <w:tc>
          <w:tcPr>
            <w:tcW w:w="772" w:type="pct"/>
          </w:tcPr>
          <w:p w14:paraId="57188B73" w14:textId="77777777" w:rsidR="00611726" w:rsidRPr="00545EC0" w:rsidRDefault="00611726" w:rsidP="006B6AA0">
            <w:pPr>
              <w:spacing w:line="240" w:lineRule="auto"/>
              <w:rPr>
                <w:rFonts w:cs="Arial"/>
                <w:sz w:val="18"/>
                <w:szCs w:val="18"/>
                <w:lang w:val="sv-SE"/>
              </w:rPr>
            </w:pPr>
            <w:r w:rsidRPr="00545EC0">
              <w:rPr>
                <w:rFonts w:cs="Arial"/>
                <w:sz w:val="18"/>
                <w:szCs w:val="18"/>
                <w:lang w:val="sv-SE"/>
              </w:rPr>
              <w:t>20.164.080</w:t>
            </w:r>
          </w:p>
        </w:tc>
        <w:tc>
          <w:tcPr>
            <w:tcW w:w="680" w:type="pct"/>
          </w:tcPr>
          <w:p w14:paraId="63AAAA1E" w14:textId="77777777" w:rsidR="00611726" w:rsidRPr="00545EC0" w:rsidRDefault="00611726" w:rsidP="006B6AA0">
            <w:pPr>
              <w:spacing w:line="240" w:lineRule="auto"/>
              <w:rPr>
                <w:rFonts w:cs="Arial"/>
                <w:sz w:val="18"/>
                <w:szCs w:val="18"/>
                <w:lang w:val="sv-SE"/>
              </w:rPr>
            </w:pPr>
            <w:r w:rsidRPr="00545EC0">
              <w:rPr>
                <w:rFonts w:cs="Arial"/>
                <w:sz w:val="18"/>
                <w:szCs w:val="18"/>
                <w:lang w:val="sv-SE"/>
              </w:rPr>
              <w:t>2.847.899</w:t>
            </w:r>
          </w:p>
        </w:tc>
        <w:tc>
          <w:tcPr>
            <w:tcW w:w="650" w:type="pct"/>
          </w:tcPr>
          <w:p w14:paraId="254D3DF5" w14:textId="77777777" w:rsidR="00611726" w:rsidRPr="00545EC0" w:rsidRDefault="00611726" w:rsidP="006B6AA0">
            <w:pPr>
              <w:spacing w:line="240" w:lineRule="auto"/>
              <w:jc w:val="right"/>
              <w:rPr>
                <w:rFonts w:cs="Arial"/>
                <w:sz w:val="18"/>
                <w:szCs w:val="18"/>
              </w:rPr>
            </w:pPr>
            <w:r w:rsidRPr="00545EC0">
              <w:rPr>
                <w:rFonts w:cs="Arial"/>
                <w:sz w:val="18"/>
                <w:szCs w:val="18"/>
              </w:rPr>
              <w:t>-</w:t>
            </w:r>
          </w:p>
        </w:tc>
        <w:tc>
          <w:tcPr>
            <w:tcW w:w="679" w:type="pct"/>
          </w:tcPr>
          <w:p w14:paraId="1F4E998D" w14:textId="77777777" w:rsidR="00611726" w:rsidRPr="00545EC0" w:rsidRDefault="00611726" w:rsidP="006B6AA0">
            <w:pPr>
              <w:spacing w:line="240" w:lineRule="auto"/>
              <w:jc w:val="right"/>
              <w:rPr>
                <w:rFonts w:cs="Arial"/>
                <w:sz w:val="18"/>
                <w:szCs w:val="18"/>
                <w:lang w:val="sv-SE"/>
              </w:rPr>
            </w:pPr>
            <w:r w:rsidRPr="00545EC0">
              <w:rPr>
                <w:rFonts w:cs="Arial"/>
                <w:sz w:val="18"/>
                <w:szCs w:val="18"/>
                <w:lang w:val="sv-SE"/>
              </w:rPr>
              <w:t>14,1</w:t>
            </w:r>
          </w:p>
        </w:tc>
      </w:tr>
      <w:tr w:rsidR="003122F4" w:rsidRPr="00545EC0" w14:paraId="5B5AF244" w14:textId="77777777" w:rsidTr="00B20F6F">
        <w:trPr>
          <w:trHeight w:hRule="exact" w:val="255"/>
        </w:trPr>
        <w:tc>
          <w:tcPr>
            <w:tcW w:w="2219" w:type="pct"/>
          </w:tcPr>
          <w:p w14:paraId="4174A898" w14:textId="77777777" w:rsidR="00611726" w:rsidRPr="00545EC0" w:rsidRDefault="00611726" w:rsidP="006B6AA0">
            <w:pPr>
              <w:spacing w:line="240" w:lineRule="auto"/>
              <w:rPr>
                <w:rFonts w:cs="Arial"/>
                <w:sz w:val="18"/>
                <w:szCs w:val="18"/>
                <w:lang w:val="sv-SE"/>
              </w:rPr>
            </w:pPr>
            <w:r w:rsidRPr="00545EC0">
              <w:rPr>
                <w:rFonts w:cs="Arial"/>
                <w:sz w:val="18"/>
                <w:szCs w:val="18"/>
                <w:lang w:val="sv-SE"/>
              </w:rPr>
              <w:t>1003 Krška kotlina</w:t>
            </w:r>
          </w:p>
        </w:tc>
        <w:tc>
          <w:tcPr>
            <w:tcW w:w="772" w:type="pct"/>
          </w:tcPr>
          <w:p w14:paraId="3374956D" w14:textId="77777777" w:rsidR="00611726" w:rsidRPr="00545EC0" w:rsidRDefault="00611726" w:rsidP="006B6AA0">
            <w:pPr>
              <w:spacing w:line="240" w:lineRule="auto"/>
              <w:rPr>
                <w:rFonts w:cs="Arial"/>
                <w:sz w:val="18"/>
                <w:szCs w:val="18"/>
                <w:lang w:val="sv-SE"/>
              </w:rPr>
            </w:pPr>
            <w:r w:rsidRPr="00545EC0">
              <w:rPr>
                <w:rFonts w:cs="Arial"/>
                <w:sz w:val="18"/>
                <w:szCs w:val="18"/>
                <w:lang w:val="sv-SE"/>
              </w:rPr>
              <w:t>19.678.974</w:t>
            </w:r>
          </w:p>
        </w:tc>
        <w:tc>
          <w:tcPr>
            <w:tcW w:w="680" w:type="pct"/>
          </w:tcPr>
          <w:p w14:paraId="1A955802" w14:textId="77777777" w:rsidR="00611726" w:rsidRPr="00545EC0" w:rsidRDefault="00611726" w:rsidP="006B6AA0">
            <w:pPr>
              <w:spacing w:line="240" w:lineRule="auto"/>
              <w:rPr>
                <w:rFonts w:cs="Arial"/>
                <w:sz w:val="18"/>
                <w:szCs w:val="18"/>
                <w:lang w:val="sv-SE"/>
              </w:rPr>
            </w:pPr>
            <w:r w:rsidRPr="00545EC0">
              <w:rPr>
                <w:rFonts w:cs="Arial"/>
                <w:sz w:val="18"/>
                <w:szCs w:val="18"/>
                <w:lang w:val="sv-SE"/>
              </w:rPr>
              <w:t>2.603.761</w:t>
            </w:r>
          </w:p>
        </w:tc>
        <w:tc>
          <w:tcPr>
            <w:tcW w:w="650" w:type="pct"/>
          </w:tcPr>
          <w:p w14:paraId="6E5DFD4C" w14:textId="77777777" w:rsidR="00611726" w:rsidRPr="00545EC0" w:rsidRDefault="00611726" w:rsidP="006B6AA0">
            <w:pPr>
              <w:spacing w:line="240" w:lineRule="auto"/>
              <w:jc w:val="right"/>
              <w:rPr>
                <w:rFonts w:cs="Arial"/>
                <w:sz w:val="18"/>
                <w:szCs w:val="18"/>
              </w:rPr>
            </w:pPr>
          </w:p>
        </w:tc>
        <w:tc>
          <w:tcPr>
            <w:tcW w:w="679" w:type="pct"/>
          </w:tcPr>
          <w:p w14:paraId="26CB2BC5" w14:textId="77777777" w:rsidR="00611726" w:rsidRPr="00545EC0" w:rsidRDefault="00611726" w:rsidP="006B6AA0">
            <w:pPr>
              <w:spacing w:line="240" w:lineRule="auto"/>
              <w:jc w:val="right"/>
              <w:rPr>
                <w:rFonts w:cs="Arial"/>
                <w:sz w:val="18"/>
                <w:szCs w:val="18"/>
                <w:lang w:val="sv-SE"/>
              </w:rPr>
            </w:pPr>
            <w:r w:rsidRPr="00545EC0">
              <w:rPr>
                <w:rFonts w:cs="Arial"/>
                <w:sz w:val="18"/>
                <w:szCs w:val="18"/>
                <w:lang w:val="sv-SE"/>
              </w:rPr>
              <w:t>13,2</w:t>
            </w:r>
          </w:p>
        </w:tc>
      </w:tr>
      <w:tr w:rsidR="003122F4" w:rsidRPr="00545EC0" w14:paraId="2F50C762" w14:textId="77777777" w:rsidTr="00B20F6F">
        <w:trPr>
          <w:trHeight w:hRule="exact" w:val="255"/>
        </w:trPr>
        <w:tc>
          <w:tcPr>
            <w:tcW w:w="2219" w:type="pct"/>
          </w:tcPr>
          <w:p w14:paraId="4B0D0267" w14:textId="77777777" w:rsidR="00611726" w:rsidRPr="00545EC0" w:rsidRDefault="00611726" w:rsidP="006B6AA0">
            <w:pPr>
              <w:spacing w:line="240" w:lineRule="auto"/>
              <w:rPr>
                <w:rFonts w:cs="Arial"/>
                <w:sz w:val="18"/>
                <w:szCs w:val="18"/>
                <w:lang w:val="sv-SE"/>
              </w:rPr>
            </w:pPr>
            <w:r w:rsidRPr="00545EC0">
              <w:rPr>
                <w:rFonts w:cs="Arial"/>
                <w:sz w:val="18"/>
                <w:szCs w:val="18"/>
                <w:lang w:val="sv-SE"/>
              </w:rPr>
              <w:t>1004 Julijske Alpe v porečju Save</w:t>
            </w:r>
          </w:p>
        </w:tc>
        <w:tc>
          <w:tcPr>
            <w:tcW w:w="772" w:type="pct"/>
          </w:tcPr>
          <w:p w14:paraId="4D22123E" w14:textId="77777777" w:rsidR="00611726" w:rsidRPr="00545EC0" w:rsidRDefault="00611726" w:rsidP="006B6AA0">
            <w:pPr>
              <w:spacing w:line="240" w:lineRule="auto"/>
              <w:rPr>
                <w:rFonts w:cs="Arial"/>
                <w:sz w:val="18"/>
                <w:szCs w:val="18"/>
                <w:lang w:val="sv-SE"/>
              </w:rPr>
            </w:pPr>
            <w:r w:rsidRPr="00545EC0">
              <w:rPr>
                <w:rFonts w:cs="Arial"/>
                <w:sz w:val="18"/>
                <w:szCs w:val="18"/>
                <w:lang w:val="sv-SE"/>
              </w:rPr>
              <w:t>338.492.669</w:t>
            </w:r>
          </w:p>
        </w:tc>
        <w:tc>
          <w:tcPr>
            <w:tcW w:w="680" w:type="pct"/>
          </w:tcPr>
          <w:p w14:paraId="2F22B2C9" w14:textId="77777777" w:rsidR="00611726" w:rsidRPr="00545EC0" w:rsidRDefault="00611726" w:rsidP="006B6AA0">
            <w:pPr>
              <w:spacing w:line="240" w:lineRule="auto"/>
              <w:rPr>
                <w:rFonts w:cs="Arial"/>
                <w:sz w:val="18"/>
                <w:szCs w:val="18"/>
                <w:lang w:val="sv-SE"/>
              </w:rPr>
            </w:pPr>
            <w:r w:rsidRPr="00545EC0">
              <w:rPr>
                <w:rFonts w:cs="Arial"/>
                <w:sz w:val="18"/>
                <w:szCs w:val="18"/>
                <w:lang w:val="sv-SE"/>
              </w:rPr>
              <w:t>1.510.625</w:t>
            </w:r>
          </w:p>
        </w:tc>
        <w:tc>
          <w:tcPr>
            <w:tcW w:w="650" w:type="pct"/>
          </w:tcPr>
          <w:p w14:paraId="61318FD3" w14:textId="77777777" w:rsidR="00611726" w:rsidRPr="00545EC0" w:rsidRDefault="00611726" w:rsidP="006B6AA0">
            <w:pPr>
              <w:spacing w:line="240" w:lineRule="auto"/>
              <w:jc w:val="right"/>
              <w:rPr>
                <w:rFonts w:cs="Arial"/>
                <w:sz w:val="18"/>
                <w:szCs w:val="18"/>
              </w:rPr>
            </w:pPr>
            <w:r w:rsidRPr="00545EC0">
              <w:rPr>
                <w:rFonts w:cs="Arial"/>
                <w:sz w:val="18"/>
                <w:szCs w:val="18"/>
              </w:rPr>
              <w:t>-</w:t>
            </w:r>
          </w:p>
        </w:tc>
        <w:tc>
          <w:tcPr>
            <w:tcW w:w="679" w:type="pct"/>
          </w:tcPr>
          <w:p w14:paraId="45678471" w14:textId="77777777" w:rsidR="00611726" w:rsidRPr="00545EC0" w:rsidRDefault="00611726" w:rsidP="006B6AA0">
            <w:pPr>
              <w:spacing w:line="240" w:lineRule="auto"/>
              <w:jc w:val="right"/>
              <w:rPr>
                <w:rFonts w:cs="Arial"/>
                <w:sz w:val="18"/>
                <w:szCs w:val="18"/>
                <w:lang w:val="sv-SE"/>
              </w:rPr>
            </w:pPr>
            <w:r w:rsidRPr="00545EC0">
              <w:rPr>
                <w:rFonts w:cs="Arial"/>
                <w:sz w:val="18"/>
                <w:szCs w:val="18"/>
                <w:lang w:val="sv-SE"/>
              </w:rPr>
              <w:t>0,5</w:t>
            </w:r>
          </w:p>
        </w:tc>
      </w:tr>
      <w:tr w:rsidR="003122F4" w:rsidRPr="00545EC0" w14:paraId="05FBD024" w14:textId="77777777" w:rsidTr="00B20F6F">
        <w:trPr>
          <w:trHeight w:hRule="exact" w:val="255"/>
        </w:trPr>
        <w:tc>
          <w:tcPr>
            <w:tcW w:w="2219" w:type="pct"/>
          </w:tcPr>
          <w:p w14:paraId="48FDB665" w14:textId="77777777" w:rsidR="00611726" w:rsidRPr="00545EC0" w:rsidRDefault="00611726" w:rsidP="006B6AA0">
            <w:pPr>
              <w:spacing w:line="240" w:lineRule="auto"/>
              <w:rPr>
                <w:rFonts w:cs="Arial"/>
                <w:sz w:val="18"/>
                <w:szCs w:val="18"/>
                <w:lang w:val="sv-SE"/>
              </w:rPr>
            </w:pPr>
            <w:r w:rsidRPr="00545EC0">
              <w:rPr>
                <w:rFonts w:cs="Arial"/>
                <w:sz w:val="18"/>
                <w:szCs w:val="18"/>
                <w:lang w:val="sv-SE"/>
              </w:rPr>
              <w:t>1005 Karavanke</w:t>
            </w:r>
          </w:p>
        </w:tc>
        <w:tc>
          <w:tcPr>
            <w:tcW w:w="772" w:type="pct"/>
          </w:tcPr>
          <w:p w14:paraId="484B1895" w14:textId="77777777" w:rsidR="00611726" w:rsidRPr="00545EC0" w:rsidRDefault="00611726" w:rsidP="006B6AA0">
            <w:pPr>
              <w:spacing w:line="240" w:lineRule="auto"/>
              <w:rPr>
                <w:rFonts w:cs="Arial"/>
                <w:sz w:val="18"/>
                <w:szCs w:val="18"/>
                <w:lang w:val="sv-SE"/>
              </w:rPr>
            </w:pPr>
            <w:r w:rsidRPr="00545EC0">
              <w:rPr>
                <w:rFonts w:cs="Arial"/>
                <w:sz w:val="18"/>
                <w:szCs w:val="18"/>
                <w:lang w:val="sv-SE"/>
              </w:rPr>
              <w:t>125.820.501</w:t>
            </w:r>
          </w:p>
        </w:tc>
        <w:tc>
          <w:tcPr>
            <w:tcW w:w="680" w:type="pct"/>
          </w:tcPr>
          <w:p w14:paraId="03FAE872" w14:textId="77777777" w:rsidR="00611726" w:rsidRPr="00545EC0" w:rsidRDefault="00611726" w:rsidP="006B6AA0">
            <w:pPr>
              <w:spacing w:line="240" w:lineRule="auto"/>
              <w:rPr>
                <w:rFonts w:cs="Arial"/>
                <w:sz w:val="18"/>
                <w:szCs w:val="18"/>
                <w:lang w:val="sv-SE"/>
              </w:rPr>
            </w:pPr>
            <w:r w:rsidRPr="00545EC0">
              <w:rPr>
                <w:rFonts w:cs="Arial"/>
                <w:sz w:val="18"/>
                <w:szCs w:val="18"/>
                <w:lang w:val="sv-SE"/>
              </w:rPr>
              <w:t>682.520</w:t>
            </w:r>
          </w:p>
        </w:tc>
        <w:tc>
          <w:tcPr>
            <w:tcW w:w="650" w:type="pct"/>
          </w:tcPr>
          <w:p w14:paraId="4BB4087F" w14:textId="77777777" w:rsidR="00611726" w:rsidRPr="00545EC0" w:rsidRDefault="00611726" w:rsidP="006B6AA0">
            <w:pPr>
              <w:spacing w:line="240" w:lineRule="auto"/>
              <w:jc w:val="right"/>
              <w:rPr>
                <w:rFonts w:cs="Arial"/>
                <w:sz w:val="18"/>
                <w:szCs w:val="18"/>
              </w:rPr>
            </w:pPr>
            <w:r w:rsidRPr="00545EC0">
              <w:rPr>
                <w:rFonts w:cs="Arial"/>
                <w:sz w:val="18"/>
                <w:szCs w:val="18"/>
              </w:rPr>
              <w:t>-</w:t>
            </w:r>
          </w:p>
        </w:tc>
        <w:tc>
          <w:tcPr>
            <w:tcW w:w="679" w:type="pct"/>
          </w:tcPr>
          <w:p w14:paraId="54B6DAFC" w14:textId="77777777" w:rsidR="00611726" w:rsidRPr="00545EC0" w:rsidRDefault="00611726" w:rsidP="006B6AA0">
            <w:pPr>
              <w:spacing w:line="240" w:lineRule="auto"/>
              <w:jc w:val="right"/>
              <w:rPr>
                <w:rFonts w:cs="Arial"/>
                <w:sz w:val="18"/>
                <w:szCs w:val="18"/>
                <w:lang w:val="sv-SE"/>
              </w:rPr>
            </w:pPr>
            <w:r w:rsidRPr="00545EC0">
              <w:rPr>
                <w:rFonts w:cs="Arial"/>
                <w:sz w:val="18"/>
                <w:szCs w:val="18"/>
                <w:lang w:val="sv-SE"/>
              </w:rPr>
              <w:t>0,5</w:t>
            </w:r>
          </w:p>
        </w:tc>
      </w:tr>
      <w:tr w:rsidR="003122F4" w:rsidRPr="00545EC0" w14:paraId="4B293A75" w14:textId="77777777" w:rsidTr="00B20F6F">
        <w:trPr>
          <w:trHeight w:hRule="exact" w:val="255"/>
        </w:trPr>
        <w:tc>
          <w:tcPr>
            <w:tcW w:w="2219" w:type="pct"/>
          </w:tcPr>
          <w:p w14:paraId="286C9958" w14:textId="77777777" w:rsidR="00611726" w:rsidRPr="00545EC0" w:rsidRDefault="00611726" w:rsidP="006B6AA0">
            <w:pPr>
              <w:spacing w:line="240" w:lineRule="auto"/>
              <w:rPr>
                <w:rFonts w:cs="Arial"/>
                <w:sz w:val="18"/>
                <w:szCs w:val="18"/>
                <w:lang w:val="sv-SE"/>
              </w:rPr>
            </w:pPr>
            <w:r w:rsidRPr="00545EC0">
              <w:rPr>
                <w:rFonts w:cs="Arial"/>
                <w:sz w:val="18"/>
                <w:szCs w:val="18"/>
                <w:lang w:val="sv-SE"/>
              </w:rPr>
              <w:t>1006 Kamniško-Savinjske Alpe</w:t>
            </w:r>
          </w:p>
        </w:tc>
        <w:tc>
          <w:tcPr>
            <w:tcW w:w="772" w:type="pct"/>
          </w:tcPr>
          <w:p w14:paraId="69439B82" w14:textId="77777777" w:rsidR="00611726" w:rsidRPr="00545EC0" w:rsidRDefault="00611726" w:rsidP="006B6AA0">
            <w:pPr>
              <w:spacing w:line="240" w:lineRule="auto"/>
              <w:rPr>
                <w:rFonts w:cs="Arial"/>
                <w:sz w:val="18"/>
                <w:szCs w:val="18"/>
                <w:lang w:val="sv-SE"/>
              </w:rPr>
            </w:pPr>
            <w:r w:rsidRPr="00545EC0">
              <w:rPr>
                <w:rFonts w:cs="Arial"/>
                <w:sz w:val="18"/>
                <w:szCs w:val="18"/>
                <w:lang w:val="sv-SE"/>
              </w:rPr>
              <w:t>262.596.713</w:t>
            </w:r>
          </w:p>
        </w:tc>
        <w:tc>
          <w:tcPr>
            <w:tcW w:w="680" w:type="pct"/>
          </w:tcPr>
          <w:p w14:paraId="61B1C28F" w14:textId="77777777" w:rsidR="00611726" w:rsidRPr="00545EC0" w:rsidRDefault="00611726" w:rsidP="006B6AA0">
            <w:pPr>
              <w:spacing w:line="240" w:lineRule="auto"/>
              <w:rPr>
                <w:rFonts w:cs="Arial"/>
                <w:sz w:val="18"/>
                <w:szCs w:val="18"/>
                <w:lang w:val="sv-SE"/>
              </w:rPr>
            </w:pPr>
            <w:r w:rsidRPr="00545EC0">
              <w:rPr>
                <w:rFonts w:cs="Arial"/>
                <w:sz w:val="18"/>
                <w:szCs w:val="18"/>
                <w:lang w:val="sv-SE"/>
              </w:rPr>
              <w:t>6.765.793</w:t>
            </w:r>
          </w:p>
        </w:tc>
        <w:tc>
          <w:tcPr>
            <w:tcW w:w="650" w:type="pct"/>
          </w:tcPr>
          <w:p w14:paraId="7B81DD35" w14:textId="77777777" w:rsidR="00611726" w:rsidRPr="00545EC0" w:rsidRDefault="00611726" w:rsidP="006B6AA0">
            <w:pPr>
              <w:spacing w:line="240" w:lineRule="auto"/>
              <w:jc w:val="right"/>
              <w:rPr>
                <w:rFonts w:cs="Arial"/>
                <w:sz w:val="18"/>
                <w:szCs w:val="18"/>
              </w:rPr>
            </w:pPr>
            <w:r w:rsidRPr="00545EC0">
              <w:rPr>
                <w:rFonts w:cs="Arial"/>
                <w:sz w:val="18"/>
                <w:szCs w:val="18"/>
              </w:rPr>
              <w:t>-</w:t>
            </w:r>
          </w:p>
        </w:tc>
        <w:tc>
          <w:tcPr>
            <w:tcW w:w="679" w:type="pct"/>
          </w:tcPr>
          <w:p w14:paraId="401044B9" w14:textId="77777777" w:rsidR="00611726" w:rsidRPr="00545EC0" w:rsidRDefault="00611726" w:rsidP="006B6AA0">
            <w:pPr>
              <w:spacing w:line="240" w:lineRule="auto"/>
              <w:jc w:val="right"/>
              <w:rPr>
                <w:rFonts w:cs="Arial"/>
                <w:sz w:val="18"/>
                <w:szCs w:val="18"/>
                <w:lang w:val="sv-SE"/>
              </w:rPr>
            </w:pPr>
            <w:r w:rsidRPr="00545EC0">
              <w:rPr>
                <w:rFonts w:cs="Arial"/>
                <w:sz w:val="18"/>
                <w:szCs w:val="18"/>
                <w:lang w:val="sv-SE"/>
              </w:rPr>
              <w:t>2,6</w:t>
            </w:r>
          </w:p>
        </w:tc>
      </w:tr>
      <w:tr w:rsidR="003122F4" w:rsidRPr="00545EC0" w14:paraId="4032B579" w14:textId="77777777" w:rsidTr="007C07BC">
        <w:trPr>
          <w:trHeight w:hRule="exact" w:val="603"/>
        </w:trPr>
        <w:tc>
          <w:tcPr>
            <w:tcW w:w="2219" w:type="pct"/>
          </w:tcPr>
          <w:p w14:paraId="07B47EC3" w14:textId="07480B37" w:rsidR="00611726" w:rsidRPr="00545EC0" w:rsidRDefault="00611726" w:rsidP="006B6AA0">
            <w:pPr>
              <w:spacing w:line="240" w:lineRule="auto"/>
              <w:rPr>
                <w:rFonts w:cs="Arial"/>
                <w:sz w:val="18"/>
                <w:szCs w:val="18"/>
                <w:lang w:val="sv-SE"/>
              </w:rPr>
            </w:pPr>
            <w:r w:rsidRPr="00545EC0">
              <w:rPr>
                <w:rFonts w:cs="Arial"/>
                <w:sz w:val="18"/>
                <w:szCs w:val="18"/>
                <w:lang w:val="sv-SE"/>
              </w:rPr>
              <w:t>1007 Cerkljansko, Škofjeloško in Polhograjsko</w:t>
            </w:r>
            <w:r w:rsidR="007C07BC" w:rsidRPr="00545EC0">
              <w:rPr>
                <w:rFonts w:cs="Arial"/>
                <w:sz w:val="18"/>
                <w:szCs w:val="18"/>
                <w:lang w:val="sv-SE"/>
              </w:rPr>
              <w:t xml:space="preserve"> </w:t>
            </w:r>
            <w:r w:rsidRPr="00545EC0">
              <w:rPr>
                <w:rFonts w:cs="Arial"/>
                <w:sz w:val="18"/>
                <w:szCs w:val="18"/>
                <w:lang w:val="sv-SE"/>
              </w:rPr>
              <w:t>hribovje</w:t>
            </w:r>
          </w:p>
        </w:tc>
        <w:tc>
          <w:tcPr>
            <w:tcW w:w="772" w:type="pct"/>
          </w:tcPr>
          <w:p w14:paraId="326FB3AA" w14:textId="77777777" w:rsidR="00611726" w:rsidRPr="00545EC0" w:rsidRDefault="00611726" w:rsidP="006B6AA0">
            <w:pPr>
              <w:spacing w:line="240" w:lineRule="auto"/>
              <w:rPr>
                <w:rFonts w:cs="Arial"/>
                <w:sz w:val="18"/>
                <w:szCs w:val="18"/>
                <w:lang w:val="sv-SE"/>
              </w:rPr>
            </w:pPr>
            <w:r w:rsidRPr="00545EC0">
              <w:rPr>
                <w:rFonts w:cs="Arial"/>
                <w:sz w:val="18"/>
                <w:szCs w:val="18"/>
                <w:lang w:val="sv-SE"/>
              </w:rPr>
              <w:t>212.960.161</w:t>
            </w:r>
          </w:p>
        </w:tc>
        <w:tc>
          <w:tcPr>
            <w:tcW w:w="680" w:type="pct"/>
          </w:tcPr>
          <w:p w14:paraId="024C5CC6" w14:textId="77777777" w:rsidR="00611726" w:rsidRPr="00545EC0" w:rsidRDefault="00611726" w:rsidP="006B6AA0">
            <w:pPr>
              <w:spacing w:line="240" w:lineRule="auto"/>
              <w:rPr>
                <w:rFonts w:cs="Arial"/>
                <w:sz w:val="18"/>
                <w:szCs w:val="18"/>
                <w:lang w:val="sv-SE"/>
              </w:rPr>
            </w:pPr>
            <w:r w:rsidRPr="00545EC0">
              <w:rPr>
                <w:rFonts w:cs="Arial"/>
                <w:sz w:val="18"/>
                <w:szCs w:val="18"/>
                <w:lang w:val="sv-SE"/>
              </w:rPr>
              <w:t>3.534.514</w:t>
            </w:r>
          </w:p>
        </w:tc>
        <w:tc>
          <w:tcPr>
            <w:tcW w:w="650" w:type="pct"/>
          </w:tcPr>
          <w:p w14:paraId="468FCD81" w14:textId="77777777" w:rsidR="00611726" w:rsidRPr="00545EC0" w:rsidRDefault="00611726" w:rsidP="006B6AA0">
            <w:pPr>
              <w:spacing w:line="240" w:lineRule="auto"/>
              <w:jc w:val="right"/>
              <w:rPr>
                <w:rFonts w:cs="Arial"/>
                <w:sz w:val="18"/>
                <w:szCs w:val="18"/>
              </w:rPr>
            </w:pPr>
            <w:r w:rsidRPr="00545EC0">
              <w:rPr>
                <w:rFonts w:cs="Arial"/>
                <w:sz w:val="18"/>
                <w:szCs w:val="18"/>
              </w:rPr>
              <w:t>-</w:t>
            </w:r>
          </w:p>
        </w:tc>
        <w:tc>
          <w:tcPr>
            <w:tcW w:w="679" w:type="pct"/>
          </w:tcPr>
          <w:p w14:paraId="15CBA2D6" w14:textId="77777777" w:rsidR="00611726" w:rsidRPr="00545EC0" w:rsidRDefault="00611726" w:rsidP="006B6AA0">
            <w:pPr>
              <w:spacing w:line="240" w:lineRule="auto"/>
              <w:jc w:val="right"/>
              <w:rPr>
                <w:rFonts w:cs="Arial"/>
                <w:sz w:val="18"/>
                <w:szCs w:val="18"/>
                <w:lang w:val="sv-SE"/>
              </w:rPr>
            </w:pPr>
            <w:r w:rsidRPr="00545EC0">
              <w:rPr>
                <w:rFonts w:cs="Arial"/>
                <w:sz w:val="18"/>
                <w:szCs w:val="18"/>
                <w:lang w:val="sv-SE"/>
              </w:rPr>
              <w:t>1,7</w:t>
            </w:r>
          </w:p>
        </w:tc>
      </w:tr>
      <w:tr w:rsidR="003122F4" w:rsidRPr="00545EC0" w14:paraId="23936C7B" w14:textId="77777777" w:rsidTr="00B20F6F">
        <w:trPr>
          <w:trHeight w:hRule="exact" w:val="255"/>
        </w:trPr>
        <w:tc>
          <w:tcPr>
            <w:tcW w:w="2219" w:type="pct"/>
          </w:tcPr>
          <w:p w14:paraId="7468B29A" w14:textId="77777777" w:rsidR="00611726" w:rsidRPr="00545EC0" w:rsidRDefault="00611726" w:rsidP="006B6AA0">
            <w:pPr>
              <w:spacing w:line="240" w:lineRule="auto"/>
              <w:rPr>
                <w:rFonts w:cs="Arial"/>
                <w:sz w:val="18"/>
                <w:szCs w:val="18"/>
                <w:lang w:val="sv-SE"/>
              </w:rPr>
            </w:pPr>
            <w:r w:rsidRPr="00545EC0">
              <w:rPr>
                <w:rFonts w:cs="Arial"/>
                <w:sz w:val="18"/>
                <w:szCs w:val="18"/>
                <w:lang w:val="sv-SE"/>
              </w:rPr>
              <w:t>1008 Posavsko hribovje do osrednje Sotle</w:t>
            </w:r>
          </w:p>
        </w:tc>
        <w:tc>
          <w:tcPr>
            <w:tcW w:w="772" w:type="pct"/>
          </w:tcPr>
          <w:p w14:paraId="6F98C15E" w14:textId="77777777" w:rsidR="00611726" w:rsidRPr="00545EC0" w:rsidRDefault="00611726" w:rsidP="006B6AA0">
            <w:pPr>
              <w:spacing w:line="240" w:lineRule="auto"/>
              <w:rPr>
                <w:rFonts w:cs="Arial"/>
                <w:sz w:val="18"/>
                <w:szCs w:val="18"/>
                <w:lang w:val="sv-SE"/>
              </w:rPr>
            </w:pPr>
            <w:r w:rsidRPr="00545EC0">
              <w:rPr>
                <w:rFonts w:cs="Arial"/>
                <w:sz w:val="18"/>
                <w:szCs w:val="18"/>
                <w:lang w:val="sv-SE"/>
              </w:rPr>
              <w:t>245.263.218</w:t>
            </w:r>
          </w:p>
        </w:tc>
        <w:tc>
          <w:tcPr>
            <w:tcW w:w="680" w:type="pct"/>
          </w:tcPr>
          <w:p w14:paraId="523F23EA" w14:textId="77777777" w:rsidR="00611726" w:rsidRPr="00545EC0" w:rsidRDefault="00611726" w:rsidP="006B6AA0">
            <w:pPr>
              <w:spacing w:line="240" w:lineRule="auto"/>
              <w:rPr>
                <w:rFonts w:cs="Arial"/>
                <w:sz w:val="18"/>
                <w:szCs w:val="18"/>
                <w:lang w:val="sv-SE"/>
              </w:rPr>
            </w:pPr>
            <w:r w:rsidRPr="00545EC0">
              <w:rPr>
                <w:rFonts w:cs="Arial"/>
                <w:sz w:val="18"/>
                <w:szCs w:val="18"/>
                <w:lang w:val="sv-SE"/>
              </w:rPr>
              <w:t>6.794.722</w:t>
            </w:r>
          </w:p>
        </w:tc>
        <w:tc>
          <w:tcPr>
            <w:tcW w:w="650" w:type="pct"/>
          </w:tcPr>
          <w:p w14:paraId="5B51B015" w14:textId="77777777" w:rsidR="00611726" w:rsidRPr="00545EC0" w:rsidRDefault="00611726" w:rsidP="006B6AA0">
            <w:pPr>
              <w:spacing w:line="240" w:lineRule="auto"/>
              <w:jc w:val="right"/>
              <w:rPr>
                <w:rFonts w:cs="Arial"/>
                <w:sz w:val="18"/>
                <w:szCs w:val="18"/>
              </w:rPr>
            </w:pPr>
            <w:r w:rsidRPr="00545EC0">
              <w:rPr>
                <w:rFonts w:cs="Arial"/>
                <w:sz w:val="18"/>
                <w:szCs w:val="18"/>
              </w:rPr>
              <w:t>-</w:t>
            </w:r>
          </w:p>
        </w:tc>
        <w:tc>
          <w:tcPr>
            <w:tcW w:w="679" w:type="pct"/>
          </w:tcPr>
          <w:p w14:paraId="67DCFAEE" w14:textId="77777777" w:rsidR="00611726" w:rsidRPr="00545EC0" w:rsidRDefault="00611726" w:rsidP="006B6AA0">
            <w:pPr>
              <w:spacing w:line="240" w:lineRule="auto"/>
              <w:jc w:val="right"/>
              <w:rPr>
                <w:rFonts w:cs="Arial"/>
                <w:sz w:val="18"/>
                <w:szCs w:val="18"/>
                <w:lang w:val="sv-SE"/>
              </w:rPr>
            </w:pPr>
            <w:r w:rsidRPr="00545EC0">
              <w:rPr>
                <w:rFonts w:cs="Arial"/>
                <w:sz w:val="18"/>
                <w:szCs w:val="18"/>
                <w:lang w:val="sv-SE"/>
              </w:rPr>
              <w:t>2,8</w:t>
            </w:r>
          </w:p>
        </w:tc>
      </w:tr>
      <w:tr w:rsidR="003122F4" w:rsidRPr="00545EC0" w14:paraId="5D54337C" w14:textId="77777777" w:rsidTr="00B20F6F">
        <w:trPr>
          <w:trHeight w:hRule="exact" w:val="255"/>
        </w:trPr>
        <w:tc>
          <w:tcPr>
            <w:tcW w:w="2219" w:type="pct"/>
          </w:tcPr>
          <w:p w14:paraId="69B5735D" w14:textId="77777777" w:rsidR="00611726" w:rsidRPr="00545EC0" w:rsidRDefault="00611726" w:rsidP="006B6AA0">
            <w:pPr>
              <w:spacing w:line="240" w:lineRule="auto"/>
              <w:rPr>
                <w:rFonts w:cs="Arial"/>
                <w:sz w:val="18"/>
                <w:szCs w:val="18"/>
                <w:lang w:val="pl-PL"/>
              </w:rPr>
            </w:pPr>
            <w:r w:rsidRPr="00545EC0">
              <w:rPr>
                <w:rFonts w:cs="Arial"/>
                <w:sz w:val="18"/>
                <w:szCs w:val="18"/>
                <w:lang w:val="pl-PL"/>
              </w:rPr>
              <w:t>1009 Spodnji del Savinje do Sotle</w:t>
            </w:r>
          </w:p>
        </w:tc>
        <w:tc>
          <w:tcPr>
            <w:tcW w:w="772" w:type="pct"/>
          </w:tcPr>
          <w:p w14:paraId="711797F7" w14:textId="77777777" w:rsidR="00611726" w:rsidRPr="00545EC0" w:rsidRDefault="00611726" w:rsidP="006B6AA0">
            <w:pPr>
              <w:spacing w:line="240" w:lineRule="auto"/>
              <w:rPr>
                <w:rFonts w:cs="Arial"/>
                <w:sz w:val="18"/>
                <w:szCs w:val="18"/>
                <w:lang w:val="sv-SE"/>
              </w:rPr>
            </w:pPr>
            <w:r w:rsidRPr="00545EC0">
              <w:rPr>
                <w:rFonts w:cs="Arial"/>
                <w:sz w:val="18"/>
                <w:szCs w:val="18"/>
                <w:lang w:val="sv-SE"/>
              </w:rPr>
              <w:t>156.813.961</w:t>
            </w:r>
          </w:p>
        </w:tc>
        <w:tc>
          <w:tcPr>
            <w:tcW w:w="680" w:type="pct"/>
          </w:tcPr>
          <w:p w14:paraId="312DCF20" w14:textId="77777777" w:rsidR="00611726" w:rsidRPr="00545EC0" w:rsidRDefault="00611726" w:rsidP="006B6AA0">
            <w:pPr>
              <w:spacing w:line="240" w:lineRule="auto"/>
              <w:rPr>
                <w:rFonts w:cs="Arial"/>
                <w:sz w:val="18"/>
                <w:szCs w:val="18"/>
                <w:lang w:val="sv-SE"/>
              </w:rPr>
            </w:pPr>
            <w:r w:rsidRPr="00545EC0">
              <w:rPr>
                <w:rFonts w:cs="Arial"/>
                <w:sz w:val="18"/>
                <w:szCs w:val="18"/>
                <w:lang w:val="sv-SE"/>
              </w:rPr>
              <w:t>7.503.786</w:t>
            </w:r>
          </w:p>
        </w:tc>
        <w:tc>
          <w:tcPr>
            <w:tcW w:w="650" w:type="pct"/>
          </w:tcPr>
          <w:p w14:paraId="456FC3C9" w14:textId="77777777" w:rsidR="00611726" w:rsidRPr="00545EC0" w:rsidRDefault="00611726" w:rsidP="006B6AA0">
            <w:pPr>
              <w:spacing w:line="240" w:lineRule="auto"/>
              <w:jc w:val="right"/>
              <w:rPr>
                <w:rFonts w:cs="Arial"/>
                <w:sz w:val="18"/>
                <w:szCs w:val="18"/>
              </w:rPr>
            </w:pPr>
            <w:r w:rsidRPr="00545EC0">
              <w:rPr>
                <w:rFonts w:cs="Arial"/>
                <w:sz w:val="18"/>
                <w:szCs w:val="18"/>
              </w:rPr>
              <w:t>-</w:t>
            </w:r>
          </w:p>
        </w:tc>
        <w:tc>
          <w:tcPr>
            <w:tcW w:w="679" w:type="pct"/>
          </w:tcPr>
          <w:p w14:paraId="6BB6C298" w14:textId="77777777" w:rsidR="00611726" w:rsidRPr="00545EC0" w:rsidRDefault="00611726" w:rsidP="006B6AA0">
            <w:pPr>
              <w:spacing w:line="240" w:lineRule="auto"/>
              <w:jc w:val="right"/>
              <w:rPr>
                <w:rFonts w:cs="Arial"/>
                <w:sz w:val="18"/>
                <w:szCs w:val="18"/>
                <w:lang w:val="sv-SE"/>
              </w:rPr>
            </w:pPr>
            <w:r w:rsidRPr="00545EC0">
              <w:rPr>
                <w:rFonts w:cs="Arial"/>
                <w:sz w:val="18"/>
                <w:szCs w:val="18"/>
                <w:lang w:val="sv-SE"/>
              </w:rPr>
              <w:t>4,8</w:t>
            </w:r>
          </w:p>
        </w:tc>
      </w:tr>
      <w:tr w:rsidR="003122F4" w:rsidRPr="00545EC0" w14:paraId="6514D9F1" w14:textId="77777777" w:rsidTr="00B20F6F">
        <w:trPr>
          <w:trHeight w:hRule="exact" w:val="255"/>
        </w:trPr>
        <w:tc>
          <w:tcPr>
            <w:tcW w:w="2219" w:type="pct"/>
          </w:tcPr>
          <w:p w14:paraId="0247F60A" w14:textId="77777777" w:rsidR="00611726" w:rsidRPr="00545EC0" w:rsidRDefault="00611726" w:rsidP="006B6AA0">
            <w:pPr>
              <w:spacing w:line="240" w:lineRule="auto"/>
              <w:rPr>
                <w:rFonts w:cs="Arial"/>
                <w:sz w:val="18"/>
                <w:szCs w:val="18"/>
                <w:lang w:val="pl-PL"/>
              </w:rPr>
            </w:pPr>
            <w:r w:rsidRPr="00545EC0">
              <w:rPr>
                <w:rFonts w:cs="Arial"/>
                <w:sz w:val="18"/>
                <w:szCs w:val="18"/>
                <w:lang w:val="pl-PL"/>
              </w:rPr>
              <w:t>1010 Kraška Ljubljanica</w:t>
            </w:r>
          </w:p>
        </w:tc>
        <w:tc>
          <w:tcPr>
            <w:tcW w:w="772" w:type="pct"/>
          </w:tcPr>
          <w:p w14:paraId="1DB696E1" w14:textId="77777777" w:rsidR="00611726" w:rsidRPr="00545EC0" w:rsidRDefault="00611726" w:rsidP="006B6AA0">
            <w:pPr>
              <w:spacing w:line="240" w:lineRule="auto"/>
              <w:rPr>
                <w:rFonts w:cs="Arial"/>
                <w:sz w:val="18"/>
                <w:szCs w:val="18"/>
                <w:lang w:val="sv-SE"/>
              </w:rPr>
            </w:pPr>
            <w:r w:rsidRPr="00545EC0">
              <w:rPr>
                <w:rFonts w:cs="Arial"/>
                <w:sz w:val="18"/>
                <w:szCs w:val="18"/>
                <w:lang w:val="sv-SE"/>
              </w:rPr>
              <w:t>303.755.271</w:t>
            </w:r>
          </w:p>
        </w:tc>
        <w:tc>
          <w:tcPr>
            <w:tcW w:w="680" w:type="pct"/>
          </w:tcPr>
          <w:p w14:paraId="00C706E4" w14:textId="77777777" w:rsidR="00611726" w:rsidRPr="00545EC0" w:rsidRDefault="00611726" w:rsidP="006B6AA0">
            <w:pPr>
              <w:spacing w:line="240" w:lineRule="auto"/>
              <w:rPr>
                <w:rFonts w:cs="Arial"/>
                <w:sz w:val="18"/>
                <w:szCs w:val="18"/>
                <w:lang w:val="sv-SE"/>
              </w:rPr>
            </w:pPr>
            <w:r w:rsidRPr="00545EC0">
              <w:rPr>
                <w:rFonts w:cs="Arial"/>
                <w:sz w:val="18"/>
                <w:szCs w:val="18"/>
                <w:lang w:val="sv-SE"/>
              </w:rPr>
              <w:t>2.355.408</w:t>
            </w:r>
          </w:p>
        </w:tc>
        <w:tc>
          <w:tcPr>
            <w:tcW w:w="650" w:type="pct"/>
          </w:tcPr>
          <w:p w14:paraId="6E601871" w14:textId="77777777" w:rsidR="00611726" w:rsidRPr="00545EC0" w:rsidRDefault="00611726" w:rsidP="006B6AA0">
            <w:pPr>
              <w:spacing w:line="240" w:lineRule="auto"/>
              <w:jc w:val="right"/>
              <w:rPr>
                <w:rFonts w:cs="Arial"/>
                <w:sz w:val="18"/>
                <w:szCs w:val="18"/>
              </w:rPr>
            </w:pPr>
            <w:r w:rsidRPr="00545EC0">
              <w:rPr>
                <w:rFonts w:cs="Arial"/>
                <w:sz w:val="18"/>
                <w:szCs w:val="18"/>
              </w:rPr>
              <w:t>-</w:t>
            </w:r>
          </w:p>
        </w:tc>
        <w:tc>
          <w:tcPr>
            <w:tcW w:w="679" w:type="pct"/>
          </w:tcPr>
          <w:p w14:paraId="7796890E" w14:textId="77777777" w:rsidR="00611726" w:rsidRPr="00545EC0" w:rsidRDefault="00611726" w:rsidP="006B6AA0">
            <w:pPr>
              <w:spacing w:line="240" w:lineRule="auto"/>
              <w:jc w:val="right"/>
              <w:rPr>
                <w:rFonts w:cs="Arial"/>
                <w:sz w:val="18"/>
                <w:szCs w:val="18"/>
                <w:lang w:val="sv-SE"/>
              </w:rPr>
            </w:pPr>
            <w:r w:rsidRPr="00545EC0">
              <w:rPr>
                <w:rFonts w:cs="Arial"/>
                <w:sz w:val="18"/>
                <w:szCs w:val="18"/>
                <w:lang w:val="sv-SE"/>
              </w:rPr>
              <w:t>0,8</w:t>
            </w:r>
          </w:p>
        </w:tc>
      </w:tr>
      <w:tr w:rsidR="003122F4" w:rsidRPr="00545EC0" w14:paraId="599D977E" w14:textId="77777777" w:rsidTr="00B20F6F">
        <w:trPr>
          <w:trHeight w:hRule="exact" w:val="255"/>
        </w:trPr>
        <w:tc>
          <w:tcPr>
            <w:tcW w:w="2219" w:type="pct"/>
          </w:tcPr>
          <w:p w14:paraId="6BF9D621" w14:textId="77777777" w:rsidR="00611726" w:rsidRPr="00545EC0" w:rsidRDefault="00611726" w:rsidP="006B6AA0">
            <w:pPr>
              <w:spacing w:line="240" w:lineRule="auto"/>
              <w:rPr>
                <w:rFonts w:cs="Arial"/>
                <w:sz w:val="18"/>
                <w:szCs w:val="18"/>
                <w:lang w:val="pl-PL"/>
              </w:rPr>
            </w:pPr>
            <w:r w:rsidRPr="00545EC0">
              <w:rPr>
                <w:rFonts w:cs="Arial"/>
                <w:sz w:val="18"/>
                <w:szCs w:val="18"/>
                <w:lang w:val="pl-PL"/>
              </w:rPr>
              <w:t>1011 Dolenjski kras</w:t>
            </w:r>
          </w:p>
        </w:tc>
        <w:tc>
          <w:tcPr>
            <w:tcW w:w="772" w:type="pct"/>
          </w:tcPr>
          <w:p w14:paraId="6A98992F" w14:textId="77777777" w:rsidR="00611726" w:rsidRPr="00545EC0" w:rsidRDefault="00611726" w:rsidP="006B6AA0">
            <w:pPr>
              <w:spacing w:line="240" w:lineRule="auto"/>
              <w:rPr>
                <w:rFonts w:cs="Arial"/>
                <w:sz w:val="18"/>
                <w:szCs w:val="18"/>
                <w:lang w:val="sv-SE"/>
              </w:rPr>
            </w:pPr>
            <w:r w:rsidRPr="00545EC0">
              <w:rPr>
                <w:rFonts w:cs="Arial"/>
                <w:sz w:val="18"/>
                <w:szCs w:val="18"/>
                <w:lang w:val="sv-SE"/>
              </w:rPr>
              <w:t>670.405.039</w:t>
            </w:r>
          </w:p>
        </w:tc>
        <w:tc>
          <w:tcPr>
            <w:tcW w:w="680" w:type="pct"/>
          </w:tcPr>
          <w:p w14:paraId="7B39A12C" w14:textId="77777777" w:rsidR="00611726" w:rsidRPr="00545EC0" w:rsidRDefault="00611726" w:rsidP="006B6AA0">
            <w:pPr>
              <w:spacing w:line="240" w:lineRule="auto"/>
              <w:rPr>
                <w:rFonts w:cs="Arial"/>
                <w:sz w:val="18"/>
                <w:szCs w:val="18"/>
                <w:lang w:val="sv-SE"/>
              </w:rPr>
            </w:pPr>
            <w:r w:rsidRPr="00545EC0">
              <w:rPr>
                <w:rFonts w:cs="Arial"/>
                <w:sz w:val="18"/>
                <w:szCs w:val="18"/>
                <w:lang w:val="sv-SE"/>
              </w:rPr>
              <w:t>8.616.673</w:t>
            </w:r>
          </w:p>
        </w:tc>
        <w:tc>
          <w:tcPr>
            <w:tcW w:w="650" w:type="pct"/>
          </w:tcPr>
          <w:p w14:paraId="6CE913E9" w14:textId="77777777" w:rsidR="00611726" w:rsidRPr="00545EC0" w:rsidRDefault="00611726" w:rsidP="006B6AA0">
            <w:pPr>
              <w:spacing w:line="240" w:lineRule="auto"/>
              <w:jc w:val="right"/>
              <w:rPr>
                <w:rFonts w:cs="Arial"/>
                <w:sz w:val="18"/>
                <w:szCs w:val="18"/>
              </w:rPr>
            </w:pPr>
            <w:r w:rsidRPr="00545EC0">
              <w:rPr>
                <w:rFonts w:cs="Arial"/>
                <w:sz w:val="18"/>
                <w:szCs w:val="18"/>
              </w:rPr>
              <w:t>-</w:t>
            </w:r>
          </w:p>
        </w:tc>
        <w:tc>
          <w:tcPr>
            <w:tcW w:w="679" w:type="pct"/>
          </w:tcPr>
          <w:p w14:paraId="44ADC64F" w14:textId="77777777" w:rsidR="00611726" w:rsidRPr="00545EC0" w:rsidRDefault="00611726" w:rsidP="006B6AA0">
            <w:pPr>
              <w:spacing w:line="240" w:lineRule="auto"/>
              <w:jc w:val="right"/>
              <w:rPr>
                <w:rFonts w:cs="Arial"/>
                <w:sz w:val="18"/>
                <w:szCs w:val="18"/>
                <w:lang w:val="sv-SE"/>
              </w:rPr>
            </w:pPr>
            <w:r w:rsidRPr="00545EC0">
              <w:rPr>
                <w:rFonts w:cs="Arial"/>
                <w:sz w:val="18"/>
                <w:szCs w:val="18"/>
                <w:lang w:val="sv-SE"/>
              </w:rPr>
              <w:t>1,3</w:t>
            </w:r>
          </w:p>
        </w:tc>
      </w:tr>
      <w:tr w:rsidR="003122F4" w:rsidRPr="00545EC0" w14:paraId="270945F5" w14:textId="77777777" w:rsidTr="00B20F6F">
        <w:trPr>
          <w:trHeight w:hRule="exact" w:val="255"/>
        </w:trPr>
        <w:tc>
          <w:tcPr>
            <w:tcW w:w="2219" w:type="pct"/>
          </w:tcPr>
          <w:p w14:paraId="0DC9B1F7" w14:textId="77777777" w:rsidR="00611726" w:rsidRPr="00545EC0" w:rsidRDefault="00611726" w:rsidP="006B6AA0">
            <w:pPr>
              <w:spacing w:line="240" w:lineRule="auto"/>
              <w:rPr>
                <w:rFonts w:cs="Arial"/>
                <w:sz w:val="18"/>
                <w:szCs w:val="18"/>
                <w:lang w:val="pl-PL"/>
              </w:rPr>
            </w:pPr>
            <w:r w:rsidRPr="00545EC0">
              <w:rPr>
                <w:rFonts w:cs="Arial"/>
                <w:sz w:val="18"/>
                <w:szCs w:val="18"/>
                <w:lang w:val="pl-PL"/>
              </w:rPr>
              <w:t>3012 Dravska kotlina</w:t>
            </w:r>
          </w:p>
        </w:tc>
        <w:tc>
          <w:tcPr>
            <w:tcW w:w="772" w:type="pct"/>
          </w:tcPr>
          <w:p w14:paraId="0DBD0782" w14:textId="77777777" w:rsidR="00611726" w:rsidRPr="00545EC0" w:rsidRDefault="00611726" w:rsidP="006B6AA0">
            <w:pPr>
              <w:spacing w:line="240" w:lineRule="auto"/>
              <w:rPr>
                <w:rFonts w:cs="Arial"/>
                <w:sz w:val="18"/>
                <w:szCs w:val="18"/>
                <w:lang w:val="sv-SE"/>
              </w:rPr>
            </w:pPr>
            <w:r w:rsidRPr="00545EC0">
              <w:rPr>
                <w:rFonts w:cs="Arial"/>
                <w:sz w:val="18"/>
                <w:szCs w:val="18"/>
                <w:lang w:val="sv-SE"/>
              </w:rPr>
              <w:t>77.966.028</w:t>
            </w:r>
          </w:p>
        </w:tc>
        <w:tc>
          <w:tcPr>
            <w:tcW w:w="680" w:type="pct"/>
          </w:tcPr>
          <w:p w14:paraId="27D5B13D" w14:textId="77777777" w:rsidR="00611726" w:rsidRPr="00545EC0" w:rsidRDefault="00611726" w:rsidP="006B6AA0">
            <w:pPr>
              <w:spacing w:line="240" w:lineRule="auto"/>
              <w:rPr>
                <w:rFonts w:cs="Arial"/>
                <w:sz w:val="18"/>
                <w:szCs w:val="18"/>
                <w:lang w:val="sv-SE"/>
              </w:rPr>
            </w:pPr>
            <w:r w:rsidRPr="00545EC0">
              <w:rPr>
                <w:rFonts w:cs="Arial"/>
                <w:sz w:val="18"/>
                <w:szCs w:val="18"/>
                <w:lang w:val="sv-SE"/>
              </w:rPr>
              <w:t>21.367.493</w:t>
            </w:r>
          </w:p>
        </w:tc>
        <w:tc>
          <w:tcPr>
            <w:tcW w:w="650" w:type="pct"/>
          </w:tcPr>
          <w:p w14:paraId="4BFD2EAD" w14:textId="77777777" w:rsidR="00611726" w:rsidRPr="00545EC0" w:rsidRDefault="00611726" w:rsidP="006B6AA0">
            <w:pPr>
              <w:spacing w:line="240" w:lineRule="auto"/>
              <w:jc w:val="right"/>
              <w:rPr>
                <w:rFonts w:cs="Arial"/>
                <w:sz w:val="18"/>
                <w:szCs w:val="18"/>
                <w:lang w:val="sv-SE"/>
              </w:rPr>
            </w:pPr>
            <w:r w:rsidRPr="00545EC0">
              <w:rPr>
                <w:rFonts w:cs="Arial"/>
                <w:sz w:val="18"/>
                <w:szCs w:val="18"/>
                <w:lang w:val="sv-SE"/>
              </w:rPr>
              <w:t>4.624.071</w:t>
            </w:r>
          </w:p>
          <w:p w14:paraId="4AF4818F" w14:textId="77777777" w:rsidR="00611726" w:rsidRPr="00545EC0" w:rsidRDefault="00611726" w:rsidP="006B6AA0">
            <w:pPr>
              <w:spacing w:line="240" w:lineRule="auto"/>
              <w:jc w:val="right"/>
              <w:rPr>
                <w:rFonts w:cs="Arial"/>
                <w:sz w:val="18"/>
                <w:szCs w:val="18"/>
                <w:lang w:val="sv-SE"/>
              </w:rPr>
            </w:pPr>
            <w:r w:rsidRPr="00545EC0">
              <w:rPr>
                <w:rFonts w:cs="Arial"/>
                <w:sz w:val="18"/>
                <w:szCs w:val="18"/>
                <w:lang w:val="sv-SE"/>
              </w:rPr>
              <w:t>--</w:t>
            </w:r>
          </w:p>
        </w:tc>
        <w:tc>
          <w:tcPr>
            <w:tcW w:w="679" w:type="pct"/>
          </w:tcPr>
          <w:p w14:paraId="211B1535" w14:textId="77777777" w:rsidR="00611726" w:rsidRPr="00545EC0" w:rsidRDefault="00611726" w:rsidP="006B6AA0">
            <w:pPr>
              <w:spacing w:line="240" w:lineRule="auto"/>
              <w:jc w:val="right"/>
              <w:rPr>
                <w:rFonts w:cs="Arial"/>
                <w:sz w:val="18"/>
                <w:szCs w:val="18"/>
                <w:lang w:val="sv-SE"/>
              </w:rPr>
            </w:pPr>
            <w:r w:rsidRPr="00545EC0">
              <w:rPr>
                <w:rFonts w:cs="Arial"/>
                <w:sz w:val="18"/>
                <w:szCs w:val="18"/>
                <w:lang w:val="sv-SE"/>
              </w:rPr>
              <w:t>25,9</w:t>
            </w:r>
          </w:p>
        </w:tc>
      </w:tr>
      <w:tr w:rsidR="003122F4" w:rsidRPr="00545EC0" w14:paraId="33C807F9" w14:textId="77777777" w:rsidTr="00B20F6F">
        <w:trPr>
          <w:trHeight w:hRule="exact" w:val="255"/>
        </w:trPr>
        <w:tc>
          <w:tcPr>
            <w:tcW w:w="2219" w:type="pct"/>
          </w:tcPr>
          <w:p w14:paraId="29CD8838" w14:textId="77777777" w:rsidR="00611726" w:rsidRPr="00545EC0" w:rsidRDefault="00611726" w:rsidP="006B6AA0">
            <w:pPr>
              <w:spacing w:line="240" w:lineRule="auto"/>
              <w:rPr>
                <w:rFonts w:cs="Arial"/>
                <w:sz w:val="18"/>
                <w:szCs w:val="18"/>
                <w:lang w:val="pl-PL"/>
              </w:rPr>
            </w:pPr>
            <w:r w:rsidRPr="00545EC0">
              <w:rPr>
                <w:rFonts w:cs="Arial"/>
                <w:sz w:val="18"/>
                <w:szCs w:val="18"/>
                <w:lang w:val="pl-PL"/>
              </w:rPr>
              <w:t>3013 Vzhodne Alpe</w:t>
            </w:r>
          </w:p>
        </w:tc>
        <w:tc>
          <w:tcPr>
            <w:tcW w:w="772" w:type="pct"/>
          </w:tcPr>
          <w:p w14:paraId="4CEF995F" w14:textId="77777777" w:rsidR="00611726" w:rsidRPr="00545EC0" w:rsidRDefault="00611726" w:rsidP="006B6AA0">
            <w:pPr>
              <w:spacing w:line="240" w:lineRule="auto"/>
              <w:rPr>
                <w:rFonts w:cs="Arial"/>
                <w:sz w:val="18"/>
                <w:szCs w:val="18"/>
                <w:lang w:val="sv-SE"/>
              </w:rPr>
            </w:pPr>
            <w:r w:rsidRPr="00545EC0">
              <w:rPr>
                <w:rFonts w:cs="Arial"/>
                <w:sz w:val="18"/>
                <w:szCs w:val="18"/>
                <w:lang w:val="sv-SE"/>
              </w:rPr>
              <w:t>170.109.873</w:t>
            </w:r>
          </w:p>
        </w:tc>
        <w:tc>
          <w:tcPr>
            <w:tcW w:w="680" w:type="pct"/>
          </w:tcPr>
          <w:p w14:paraId="1EDBA0DD" w14:textId="77777777" w:rsidR="00611726" w:rsidRPr="00545EC0" w:rsidRDefault="00611726" w:rsidP="006B6AA0">
            <w:pPr>
              <w:spacing w:line="240" w:lineRule="auto"/>
              <w:rPr>
                <w:rFonts w:cs="Arial"/>
                <w:sz w:val="18"/>
                <w:szCs w:val="18"/>
                <w:lang w:val="sv-SE"/>
              </w:rPr>
            </w:pPr>
            <w:r w:rsidRPr="00545EC0">
              <w:rPr>
                <w:rFonts w:cs="Arial"/>
                <w:sz w:val="18"/>
                <w:szCs w:val="18"/>
                <w:lang w:val="sv-SE"/>
              </w:rPr>
              <w:t>2.129.343</w:t>
            </w:r>
          </w:p>
        </w:tc>
        <w:tc>
          <w:tcPr>
            <w:tcW w:w="650" w:type="pct"/>
          </w:tcPr>
          <w:p w14:paraId="6AB6FF78" w14:textId="77777777" w:rsidR="00611726" w:rsidRPr="00545EC0" w:rsidRDefault="00611726" w:rsidP="006B6AA0">
            <w:pPr>
              <w:spacing w:line="240" w:lineRule="auto"/>
              <w:jc w:val="right"/>
              <w:rPr>
                <w:rFonts w:cs="Arial"/>
                <w:sz w:val="18"/>
                <w:szCs w:val="18"/>
              </w:rPr>
            </w:pPr>
            <w:r w:rsidRPr="00545EC0">
              <w:rPr>
                <w:rFonts w:cs="Arial"/>
                <w:sz w:val="18"/>
                <w:szCs w:val="18"/>
              </w:rPr>
              <w:t>-</w:t>
            </w:r>
          </w:p>
        </w:tc>
        <w:tc>
          <w:tcPr>
            <w:tcW w:w="679" w:type="pct"/>
          </w:tcPr>
          <w:p w14:paraId="09739FD9" w14:textId="77777777" w:rsidR="00611726" w:rsidRPr="00545EC0" w:rsidRDefault="00611726" w:rsidP="006B6AA0">
            <w:pPr>
              <w:spacing w:line="240" w:lineRule="auto"/>
              <w:jc w:val="right"/>
              <w:rPr>
                <w:rFonts w:cs="Arial"/>
                <w:sz w:val="18"/>
                <w:szCs w:val="18"/>
                <w:lang w:val="sv-SE"/>
              </w:rPr>
            </w:pPr>
            <w:r w:rsidRPr="00545EC0">
              <w:rPr>
                <w:rFonts w:cs="Arial"/>
                <w:sz w:val="18"/>
                <w:szCs w:val="18"/>
                <w:lang w:val="sv-SE"/>
              </w:rPr>
              <w:t>1,3</w:t>
            </w:r>
          </w:p>
        </w:tc>
      </w:tr>
      <w:tr w:rsidR="003122F4" w:rsidRPr="00545EC0" w14:paraId="698F06F4" w14:textId="77777777" w:rsidTr="00B20F6F">
        <w:trPr>
          <w:trHeight w:hRule="exact" w:val="255"/>
        </w:trPr>
        <w:tc>
          <w:tcPr>
            <w:tcW w:w="2219" w:type="pct"/>
          </w:tcPr>
          <w:p w14:paraId="1BE6A184" w14:textId="77777777" w:rsidR="00611726" w:rsidRPr="00545EC0" w:rsidRDefault="00611726" w:rsidP="006B6AA0">
            <w:pPr>
              <w:spacing w:line="240" w:lineRule="auto"/>
              <w:rPr>
                <w:rFonts w:cs="Arial"/>
                <w:sz w:val="18"/>
                <w:szCs w:val="18"/>
                <w:lang w:val="pl-PL"/>
              </w:rPr>
            </w:pPr>
            <w:r w:rsidRPr="00545EC0">
              <w:rPr>
                <w:rFonts w:cs="Arial"/>
                <w:sz w:val="18"/>
                <w:szCs w:val="18"/>
                <w:lang w:val="pl-PL"/>
              </w:rPr>
              <w:t>3014 Haloze in Dravinjske gorice</w:t>
            </w:r>
          </w:p>
        </w:tc>
        <w:tc>
          <w:tcPr>
            <w:tcW w:w="772" w:type="pct"/>
          </w:tcPr>
          <w:p w14:paraId="79CF186C" w14:textId="77777777" w:rsidR="00611726" w:rsidRPr="00545EC0" w:rsidRDefault="00611726" w:rsidP="006B6AA0">
            <w:pPr>
              <w:spacing w:line="240" w:lineRule="auto"/>
              <w:rPr>
                <w:rFonts w:cs="Arial"/>
                <w:sz w:val="18"/>
                <w:szCs w:val="18"/>
                <w:lang w:val="sv-SE"/>
              </w:rPr>
            </w:pPr>
            <w:r w:rsidRPr="00545EC0">
              <w:rPr>
                <w:rFonts w:cs="Arial"/>
                <w:sz w:val="18"/>
                <w:szCs w:val="18"/>
                <w:lang w:val="sv-SE"/>
              </w:rPr>
              <w:t>55.736.483</w:t>
            </w:r>
          </w:p>
        </w:tc>
        <w:tc>
          <w:tcPr>
            <w:tcW w:w="680" w:type="pct"/>
          </w:tcPr>
          <w:p w14:paraId="18E8CE6A" w14:textId="77777777" w:rsidR="00611726" w:rsidRPr="00545EC0" w:rsidRDefault="00611726" w:rsidP="006B6AA0">
            <w:pPr>
              <w:spacing w:line="240" w:lineRule="auto"/>
              <w:rPr>
                <w:rFonts w:cs="Arial"/>
                <w:sz w:val="18"/>
                <w:szCs w:val="18"/>
                <w:lang w:val="sv-SE"/>
              </w:rPr>
            </w:pPr>
            <w:r w:rsidRPr="00545EC0">
              <w:rPr>
                <w:rFonts w:cs="Arial"/>
                <w:sz w:val="18"/>
                <w:szCs w:val="18"/>
                <w:lang w:val="sv-SE"/>
              </w:rPr>
              <w:t>2.350.677</w:t>
            </w:r>
          </w:p>
        </w:tc>
        <w:tc>
          <w:tcPr>
            <w:tcW w:w="650" w:type="pct"/>
          </w:tcPr>
          <w:p w14:paraId="364370A1" w14:textId="77777777" w:rsidR="00611726" w:rsidRPr="00545EC0" w:rsidRDefault="00611726" w:rsidP="006B6AA0">
            <w:pPr>
              <w:spacing w:line="240" w:lineRule="auto"/>
              <w:jc w:val="right"/>
              <w:rPr>
                <w:rFonts w:cs="Arial"/>
                <w:sz w:val="18"/>
                <w:szCs w:val="18"/>
              </w:rPr>
            </w:pPr>
            <w:r w:rsidRPr="00545EC0">
              <w:rPr>
                <w:rFonts w:cs="Arial"/>
                <w:sz w:val="18"/>
                <w:szCs w:val="18"/>
              </w:rPr>
              <w:t>-</w:t>
            </w:r>
          </w:p>
        </w:tc>
        <w:tc>
          <w:tcPr>
            <w:tcW w:w="679" w:type="pct"/>
          </w:tcPr>
          <w:p w14:paraId="5444AC33" w14:textId="77777777" w:rsidR="00611726" w:rsidRPr="00545EC0" w:rsidRDefault="00611726" w:rsidP="006B6AA0">
            <w:pPr>
              <w:spacing w:line="240" w:lineRule="auto"/>
              <w:jc w:val="right"/>
              <w:rPr>
                <w:rFonts w:cs="Arial"/>
                <w:sz w:val="18"/>
                <w:szCs w:val="18"/>
                <w:lang w:val="sv-SE"/>
              </w:rPr>
            </w:pPr>
            <w:r w:rsidRPr="00545EC0">
              <w:rPr>
                <w:rFonts w:cs="Arial"/>
                <w:sz w:val="18"/>
                <w:szCs w:val="18"/>
                <w:lang w:val="sv-SE"/>
              </w:rPr>
              <w:t>4,2</w:t>
            </w:r>
          </w:p>
        </w:tc>
      </w:tr>
      <w:tr w:rsidR="003122F4" w:rsidRPr="00545EC0" w14:paraId="66A9F55F" w14:textId="77777777" w:rsidTr="00B20F6F">
        <w:trPr>
          <w:trHeight w:hRule="exact" w:val="255"/>
        </w:trPr>
        <w:tc>
          <w:tcPr>
            <w:tcW w:w="2219" w:type="pct"/>
          </w:tcPr>
          <w:p w14:paraId="2F0AA418" w14:textId="77777777" w:rsidR="00611726" w:rsidRPr="00545EC0" w:rsidRDefault="00611726" w:rsidP="006B6AA0">
            <w:pPr>
              <w:spacing w:line="240" w:lineRule="auto"/>
              <w:rPr>
                <w:rFonts w:cs="Arial"/>
                <w:sz w:val="18"/>
                <w:szCs w:val="18"/>
                <w:lang w:val="pl-PL"/>
              </w:rPr>
            </w:pPr>
            <w:r w:rsidRPr="00545EC0">
              <w:rPr>
                <w:rFonts w:cs="Arial"/>
                <w:sz w:val="18"/>
                <w:szCs w:val="18"/>
                <w:lang w:val="pl-PL"/>
              </w:rPr>
              <w:t>3015 Zahodne Slovenske gorice</w:t>
            </w:r>
          </w:p>
        </w:tc>
        <w:tc>
          <w:tcPr>
            <w:tcW w:w="772" w:type="pct"/>
          </w:tcPr>
          <w:p w14:paraId="4646044F" w14:textId="77777777" w:rsidR="00611726" w:rsidRPr="00545EC0" w:rsidRDefault="00611726" w:rsidP="006B6AA0">
            <w:pPr>
              <w:spacing w:line="240" w:lineRule="auto"/>
              <w:rPr>
                <w:rFonts w:cs="Arial"/>
                <w:sz w:val="18"/>
                <w:szCs w:val="18"/>
                <w:lang w:val="sv-SE"/>
              </w:rPr>
            </w:pPr>
            <w:r w:rsidRPr="00545EC0">
              <w:rPr>
                <w:rFonts w:cs="Arial"/>
                <w:sz w:val="18"/>
                <w:szCs w:val="18"/>
                <w:lang w:val="sv-SE"/>
              </w:rPr>
              <w:t>44.999.217</w:t>
            </w:r>
          </w:p>
        </w:tc>
        <w:tc>
          <w:tcPr>
            <w:tcW w:w="680" w:type="pct"/>
          </w:tcPr>
          <w:p w14:paraId="07203181" w14:textId="77777777" w:rsidR="00611726" w:rsidRPr="00545EC0" w:rsidRDefault="00611726" w:rsidP="006B6AA0">
            <w:pPr>
              <w:spacing w:line="240" w:lineRule="auto"/>
              <w:rPr>
                <w:rFonts w:cs="Arial"/>
                <w:sz w:val="18"/>
                <w:szCs w:val="18"/>
                <w:lang w:val="sv-SE"/>
              </w:rPr>
            </w:pPr>
            <w:r w:rsidRPr="00545EC0">
              <w:rPr>
                <w:rFonts w:cs="Arial"/>
                <w:sz w:val="18"/>
                <w:szCs w:val="18"/>
                <w:lang w:val="sv-SE"/>
              </w:rPr>
              <w:t>612.698</w:t>
            </w:r>
          </w:p>
        </w:tc>
        <w:tc>
          <w:tcPr>
            <w:tcW w:w="650" w:type="pct"/>
          </w:tcPr>
          <w:p w14:paraId="7917DD6E" w14:textId="77777777" w:rsidR="00611726" w:rsidRPr="00545EC0" w:rsidRDefault="00611726" w:rsidP="006B6AA0">
            <w:pPr>
              <w:spacing w:line="240" w:lineRule="auto"/>
              <w:jc w:val="right"/>
              <w:rPr>
                <w:rFonts w:cs="Arial"/>
                <w:sz w:val="18"/>
                <w:szCs w:val="18"/>
              </w:rPr>
            </w:pPr>
            <w:r w:rsidRPr="00545EC0">
              <w:rPr>
                <w:rFonts w:cs="Arial"/>
                <w:sz w:val="18"/>
                <w:szCs w:val="18"/>
              </w:rPr>
              <w:t>-</w:t>
            </w:r>
          </w:p>
        </w:tc>
        <w:tc>
          <w:tcPr>
            <w:tcW w:w="679" w:type="pct"/>
          </w:tcPr>
          <w:p w14:paraId="2396AE50" w14:textId="77777777" w:rsidR="00611726" w:rsidRPr="00545EC0" w:rsidRDefault="00611726" w:rsidP="006B6AA0">
            <w:pPr>
              <w:spacing w:line="240" w:lineRule="auto"/>
              <w:jc w:val="right"/>
              <w:rPr>
                <w:rFonts w:cs="Arial"/>
                <w:sz w:val="18"/>
                <w:szCs w:val="18"/>
                <w:lang w:val="sv-SE"/>
              </w:rPr>
            </w:pPr>
            <w:r w:rsidRPr="00545EC0">
              <w:rPr>
                <w:rFonts w:cs="Arial"/>
                <w:sz w:val="18"/>
                <w:szCs w:val="18"/>
                <w:lang w:val="sv-SE"/>
              </w:rPr>
              <w:t>1,4</w:t>
            </w:r>
          </w:p>
        </w:tc>
      </w:tr>
      <w:tr w:rsidR="003122F4" w:rsidRPr="00545EC0" w14:paraId="2D794A4E" w14:textId="77777777" w:rsidTr="00B20F6F">
        <w:trPr>
          <w:trHeight w:hRule="exact" w:val="255"/>
        </w:trPr>
        <w:tc>
          <w:tcPr>
            <w:tcW w:w="2219" w:type="pct"/>
          </w:tcPr>
          <w:p w14:paraId="21373433" w14:textId="77777777" w:rsidR="00611726" w:rsidRPr="00545EC0" w:rsidRDefault="00611726" w:rsidP="006B6AA0">
            <w:pPr>
              <w:spacing w:line="240" w:lineRule="auto"/>
              <w:rPr>
                <w:rFonts w:cs="Arial"/>
                <w:sz w:val="18"/>
                <w:szCs w:val="18"/>
                <w:lang w:val="pl-PL"/>
              </w:rPr>
            </w:pPr>
            <w:r w:rsidRPr="00545EC0">
              <w:rPr>
                <w:rFonts w:cs="Arial"/>
                <w:sz w:val="18"/>
                <w:szCs w:val="18"/>
                <w:lang w:val="pl-PL"/>
              </w:rPr>
              <w:t>4016 Murska kotlina</w:t>
            </w:r>
          </w:p>
        </w:tc>
        <w:tc>
          <w:tcPr>
            <w:tcW w:w="772" w:type="pct"/>
          </w:tcPr>
          <w:p w14:paraId="5DDA5793" w14:textId="77777777" w:rsidR="00611726" w:rsidRPr="00545EC0" w:rsidRDefault="00611726" w:rsidP="006B6AA0">
            <w:pPr>
              <w:spacing w:line="240" w:lineRule="auto"/>
              <w:rPr>
                <w:rFonts w:cs="Arial"/>
                <w:sz w:val="18"/>
                <w:szCs w:val="18"/>
                <w:lang w:val="sv-SE"/>
              </w:rPr>
            </w:pPr>
            <w:r w:rsidRPr="00545EC0">
              <w:rPr>
                <w:rFonts w:cs="Arial"/>
                <w:sz w:val="18"/>
                <w:szCs w:val="18"/>
                <w:lang w:val="sv-SE"/>
              </w:rPr>
              <w:t>50.701.290</w:t>
            </w:r>
          </w:p>
        </w:tc>
        <w:tc>
          <w:tcPr>
            <w:tcW w:w="680" w:type="pct"/>
          </w:tcPr>
          <w:p w14:paraId="1C5E9472" w14:textId="77777777" w:rsidR="00611726" w:rsidRPr="00545EC0" w:rsidRDefault="00611726" w:rsidP="006B6AA0">
            <w:pPr>
              <w:spacing w:line="240" w:lineRule="auto"/>
              <w:rPr>
                <w:rFonts w:cs="Arial"/>
                <w:sz w:val="18"/>
                <w:szCs w:val="18"/>
                <w:lang w:val="sv-SE"/>
              </w:rPr>
            </w:pPr>
            <w:r w:rsidRPr="00545EC0">
              <w:rPr>
                <w:rFonts w:cs="Arial"/>
                <w:sz w:val="18"/>
                <w:szCs w:val="18"/>
                <w:lang w:val="sv-SE"/>
              </w:rPr>
              <w:t>10.609.688</w:t>
            </w:r>
          </w:p>
        </w:tc>
        <w:tc>
          <w:tcPr>
            <w:tcW w:w="650" w:type="pct"/>
          </w:tcPr>
          <w:p w14:paraId="73719E6C" w14:textId="77777777" w:rsidR="00611726" w:rsidRPr="00545EC0" w:rsidRDefault="00611726" w:rsidP="006B6AA0">
            <w:pPr>
              <w:spacing w:line="240" w:lineRule="auto"/>
              <w:jc w:val="right"/>
              <w:rPr>
                <w:rFonts w:cs="Arial"/>
                <w:sz w:val="18"/>
                <w:szCs w:val="18"/>
              </w:rPr>
            </w:pPr>
            <w:r w:rsidRPr="00545EC0">
              <w:rPr>
                <w:rFonts w:cs="Arial"/>
                <w:sz w:val="18"/>
                <w:szCs w:val="18"/>
              </w:rPr>
              <w:t>-</w:t>
            </w:r>
          </w:p>
        </w:tc>
        <w:tc>
          <w:tcPr>
            <w:tcW w:w="679" w:type="pct"/>
          </w:tcPr>
          <w:p w14:paraId="68D77A3C" w14:textId="77777777" w:rsidR="00611726" w:rsidRPr="00545EC0" w:rsidRDefault="00611726" w:rsidP="006B6AA0">
            <w:pPr>
              <w:spacing w:line="240" w:lineRule="auto"/>
              <w:jc w:val="right"/>
              <w:rPr>
                <w:rFonts w:cs="Arial"/>
                <w:sz w:val="18"/>
                <w:szCs w:val="18"/>
                <w:lang w:val="sv-SE"/>
              </w:rPr>
            </w:pPr>
            <w:r w:rsidRPr="00545EC0">
              <w:rPr>
                <w:rFonts w:cs="Arial"/>
                <w:sz w:val="18"/>
                <w:szCs w:val="18"/>
                <w:lang w:val="sv-SE"/>
              </w:rPr>
              <w:t>20,9</w:t>
            </w:r>
          </w:p>
        </w:tc>
      </w:tr>
      <w:tr w:rsidR="003122F4" w:rsidRPr="00545EC0" w14:paraId="3385AC61" w14:textId="77777777" w:rsidTr="00B20F6F">
        <w:trPr>
          <w:trHeight w:hRule="exact" w:val="255"/>
        </w:trPr>
        <w:tc>
          <w:tcPr>
            <w:tcW w:w="2219" w:type="pct"/>
          </w:tcPr>
          <w:p w14:paraId="21246B81" w14:textId="77777777" w:rsidR="00611726" w:rsidRPr="00545EC0" w:rsidRDefault="00611726" w:rsidP="006B6AA0">
            <w:pPr>
              <w:spacing w:line="240" w:lineRule="auto"/>
              <w:rPr>
                <w:rFonts w:cs="Arial"/>
                <w:sz w:val="18"/>
                <w:szCs w:val="18"/>
                <w:lang w:val="pl-PL"/>
              </w:rPr>
            </w:pPr>
            <w:r w:rsidRPr="00545EC0">
              <w:rPr>
                <w:rFonts w:cs="Arial"/>
                <w:sz w:val="18"/>
                <w:szCs w:val="18"/>
                <w:lang w:val="pl-PL"/>
              </w:rPr>
              <w:t>4017 Vzhodne Slovenske gorice</w:t>
            </w:r>
          </w:p>
        </w:tc>
        <w:tc>
          <w:tcPr>
            <w:tcW w:w="772" w:type="pct"/>
          </w:tcPr>
          <w:p w14:paraId="0D3CED30" w14:textId="77777777" w:rsidR="00611726" w:rsidRPr="00545EC0" w:rsidRDefault="00611726" w:rsidP="006B6AA0">
            <w:pPr>
              <w:spacing w:line="240" w:lineRule="auto"/>
              <w:rPr>
                <w:rFonts w:cs="Arial"/>
                <w:sz w:val="18"/>
                <w:szCs w:val="18"/>
                <w:lang w:val="sv-SE"/>
              </w:rPr>
            </w:pPr>
            <w:r w:rsidRPr="00545EC0">
              <w:rPr>
                <w:rFonts w:cs="Arial"/>
                <w:sz w:val="18"/>
                <w:szCs w:val="18"/>
                <w:lang w:val="sv-SE"/>
              </w:rPr>
              <w:t>14.811.330</w:t>
            </w:r>
          </w:p>
        </w:tc>
        <w:tc>
          <w:tcPr>
            <w:tcW w:w="680" w:type="pct"/>
          </w:tcPr>
          <w:p w14:paraId="7563FC30" w14:textId="77777777" w:rsidR="00611726" w:rsidRPr="00545EC0" w:rsidRDefault="00611726" w:rsidP="006B6AA0">
            <w:pPr>
              <w:spacing w:line="240" w:lineRule="auto"/>
              <w:rPr>
                <w:rFonts w:cs="Arial"/>
                <w:sz w:val="18"/>
                <w:szCs w:val="18"/>
                <w:lang w:val="sv-SE"/>
              </w:rPr>
            </w:pPr>
            <w:r w:rsidRPr="00545EC0">
              <w:rPr>
                <w:rFonts w:cs="Arial"/>
                <w:sz w:val="18"/>
                <w:szCs w:val="18"/>
                <w:lang w:val="sv-SE"/>
              </w:rPr>
              <w:t>683.197</w:t>
            </w:r>
          </w:p>
        </w:tc>
        <w:tc>
          <w:tcPr>
            <w:tcW w:w="650" w:type="pct"/>
          </w:tcPr>
          <w:p w14:paraId="17CEAEA8" w14:textId="77777777" w:rsidR="00611726" w:rsidRPr="00545EC0" w:rsidRDefault="00611726" w:rsidP="006B6AA0">
            <w:pPr>
              <w:spacing w:line="240" w:lineRule="auto"/>
              <w:jc w:val="right"/>
              <w:rPr>
                <w:rFonts w:cs="Arial"/>
                <w:sz w:val="18"/>
                <w:szCs w:val="18"/>
              </w:rPr>
            </w:pPr>
            <w:r w:rsidRPr="00545EC0">
              <w:rPr>
                <w:rFonts w:cs="Arial"/>
                <w:sz w:val="18"/>
                <w:szCs w:val="18"/>
              </w:rPr>
              <w:t>-</w:t>
            </w:r>
          </w:p>
        </w:tc>
        <w:tc>
          <w:tcPr>
            <w:tcW w:w="679" w:type="pct"/>
          </w:tcPr>
          <w:p w14:paraId="6F0F2830" w14:textId="77777777" w:rsidR="00611726" w:rsidRPr="00545EC0" w:rsidRDefault="00611726" w:rsidP="006B6AA0">
            <w:pPr>
              <w:spacing w:line="240" w:lineRule="auto"/>
              <w:jc w:val="right"/>
              <w:rPr>
                <w:rFonts w:cs="Arial"/>
                <w:sz w:val="18"/>
                <w:szCs w:val="18"/>
                <w:lang w:val="sv-SE"/>
              </w:rPr>
            </w:pPr>
            <w:r w:rsidRPr="00545EC0">
              <w:rPr>
                <w:rFonts w:cs="Arial"/>
                <w:sz w:val="18"/>
                <w:szCs w:val="18"/>
                <w:lang w:val="sv-SE"/>
              </w:rPr>
              <w:t>4,6</w:t>
            </w:r>
          </w:p>
        </w:tc>
      </w:tr>
      <w:tr w:rsidR="003122F4" w:rsidRPr="00545EC0" w14:paraId="51D8F7D0" w14:textId="77777777" w:rsidTr="00B20F6F">
        <w:trPr>
          <w:trHeight w:hRule="exact" w:val="255"/>
        </w:trPr>
        <w:tc>
          <w:tcPr>
            <w:tcW w:w="2219" w:type="pct"/>
          </w:tcPr>
          <w:p w14:paraId="2A32D124" w14:textId="77777777" w:rsidR="00611726" w:rsidRPr="00545EC0" w:rsidRDefault="00611726" w:rsidP="006B6AA0">
            <w:pPr>
              <w:spacing w:line="240" w:lineRule="auto"/>
              <w:rPr>
                <w:rFonts w:cs="Arial"/>
                <w:sz w:val="18"/>
                <w:szCs w:val="18"/>
                <w:lang w:val="pl-PL"/>
              </w:rPr>
            </w:pPr>
            <w:r w:rsidRPr="00545EC0">
              <w:rPr>
                <w:rFonts w:cs="Arial"/>
                <w:sz w:val="18"/>
                <w:szCs w:val="18"/>
                <w:lang w:val="pl-PL"/>
              </w:rPr>
              <w:t>4018 Goričko</w:t>
            </w:r>
          </w:p>
        </w:tc>
        <w:tc>
          <w:tcPr>
            <w:tcW w:w="772" w:type="pct"/>
          </w:tcPr>
          <w:p w14:paraId="7A8E2BFD" w14:textId="77777777" w:rsidR="00611726" w:rsidRPr="00545EC0" w:rsidRDefault="00611726" w:rsidP="006B6AA0">
            <w:pPr>
              <w:spacing w:line="240" w:lineRule="auto"/>
              <w:rPr>
                <w:rFonts w:cs="Arial"/>
                <w:sz w:val="18"/>
                <w:szCs w:val="18"/>
                <w:lang w:val="sv-SE"/>
              </w:rPr>
            </w:pPr>
            <w:r w:rsidRPr="00545EC0">
              <w:rPr>
                <w:rFonts w:cs="Arial"/>
                <w:sz w:val="18"/>
                <w:szCs w:val="18"/>
                <w:lang w:val="sv-SE"/>
              </w:rPr>
              <w:t>16.740.011</w:t>
            </w:r>
          </w:p>
        </w:tc>
        <w:tc>
          <w:tcPr>
            <w:tcW w:w="680" w:type="pct"/>
          </w:tcPr>
          <w:p w14:paraId="3B3A87EA" w14:textId="77777777" w:rsidR="00611726" w:rsidRPr="00545EC0" w:rsidRDefault="00611726" w:rsidP="006B6AA0">
            <w:pPr>
              <w:spacing w:line="240" w:lineRule="auto"/>
              <w:rPr>
                <w:rFonts w:cs="Arial"/>
                <w:sz w:val="18"/>
                <w:szCs w:val="18"/>
                <w:lang w:val="sv-SE"/>
              </w:rPr>
            </w:pPr>
            <w:r w:rsidRPr="00545EC0">
              <w:rPr>
                <w:rFonts w:cs="Arial"/>
                <w:sz w:val="18"/>
                <w:szCs w:val="18"/>
                <w:lang w:val="sv-SE"/>
              </w:rPr>
              <w:t>231.843</w:t>
            </w:r>
          </w:p>
        </w:tc>
        <w:tc>
          <w:tcPr>
            <w:tcW w:w="650" w:type="pct"/>
          </w:tcPr>
          <w:p w14:paraId="4F7CF15A" w14:textId="77777777" w:rsidR="00611726" w:rsidRPr="00545EC0" w:rsidRDefault="00611726" w:rsidP="006B6AA0">
            <w:pPr>
              <w:spacing w:line="240" w:lineRule="auto"/>
              <w:jc w:val="right"/>
              <w:rPr>
                <w:rFonts w:cs="Arial"/>
                <w:sz w:val="18"/>
                <w:szCs w:val="18"/>
              </w:rPr>
            </w:pPr>
            <w:r w:rsidRPr="00545EC0">
              <w:rPr>
                <w:rFonts w:cs="Arial"/>
                <w:sz w:val="18"/>
                <w:szCs w:val="18"/>
              </w:rPr>
              <w:t>-</w:t>
            </w:r>
          </w:p>
        </w:tc>
        <w:tc>
          <w:tcPr>
            <w:tcW w:w="679" w:type="pct"/>
          </w:tcPr>
          <w:p w14:paraId="0743DF44" w14:textId="77777777" w:rsidR="00611726" w:rsidRPr="00545EC0" w:rsidRDefault="00611726" w:rsidP="006B6AA0">
            <w:pPr>
              <w:spacing w:line="240" w:lineRule="auto"/>
              <w:jc w:val="right"/>
              <w:rPr>
                <w:rFonts w:cs="Arial"/>
                <w:sz w:val="18"/>
                <w:szCs w:val="18"/>
                <w:lang w:val="sv-SE"/>
              </w:rPr>
            </w:pPr>
            <w:r w:rsidRPr="00545EC0">
              <w:rPr>
                <w:rFonts w:cs="Arial"/>
                <w:sz w:val="18"/>
                <w:szCs w:val="18"/>
                <w:lang w:val="sv-SE"/>
              </w:rPr>
              <w:t>1,4</w:t>
            </w:r>
          </w:p>
        </w:tc>
      </w:tr>
      <w:tr w:rsidR="003122F4" w:rsidRPr="00545EC0" w14:paraId="7AF0B4FF" w14:textId="77777777" w:rsidTr="00C65B68">
        <w:trPr>
          <w:trHeight w:hRule="exact" w:val="377"/>
        </w:trPr>
        <w:tc>
          <w:tcPr>
            <w:tcW w:w="2219" w:type="pct"/>
          </w:tcPr>
          <w:p w14:paraId="0BA7C4AD" w14:textId="77777777" w:rsidR="00611726" w:rsidRPr="00545EC0" w:rsidRDefault="00611726" w:rsidP="006B6AA0">
            <w:pPr>
              <w:spacing w:line="240" w:lineRule="auto"/>
              <w:rPr>
                <w:rFonts w:cs="Arial"/>
                <w:b/>
                <w:sz w:val="18"/>
                <w:szCs w:val="18"/>
                <w:lang w:val="sv-SE"/>
              </w:rPr>
            </w:pPr>
            <w:r w:rsidRPr="00545EC0">
              <w:rPr>
                <w:rFonts w:cs="Arial"/>
                <w:b/>
                <w:sz w:val="18"/>
                <w:szCs w:val="18"/>
                <w:lang w:val="sv-SE"/>
              </w:rPr>
              <w:t>Vodno omočje Donave</w:t>
            </w:r>
          </w:p>
        </w:tc>
        <w:tc>
          <w:tcPr>
            <w:tcW w:w="772" w:type="pct"/>
          </w:tcPr>
          <w:p w14:paraId="3E30D9B8" w14:textId="77777777" w:rsidR="00611726" w:rsidRPr="00545EC0" w:rsidRDefault="00611726" w:rsidP="006B6AA0">
            <w:pPr>
              <w:spacing w:line="240" w:lineRule="auto"/>
              <w:rPr>
                <w:rFonts w:cs="Arial"/>
                <w:b/>
                <w:sz w:val="18"/>
                <w:szCs w:val="18"/>
                <w:lang w:val="sv-SE"/>
              </w:rPr>
            </w:pPr>
            <w:r w:rsidRPr="00545EC0">
              <w:rPr>
                <w:rFonts w:cs="Arial"/>
                <w:b/>
                <w:sz w:val="18"/>
                <w:szCs w:val="18"/>
                <w:lang w:val="sv-SE"/>
              </w:rPr>
              <w:t>3.008.417.979</w:t>
            </w:r>
          </w:p>
        </w:tc>
        <w:tc>
          <w:tcPr>
            <w:tcW w:w="680" w:type="pct"/>
          </w:tcPr>
          <w:p w14:paraId="731D3C83" w14:textId="77777777" w:rsidR="00611726" w:rsidRPr="00545EC0" w:rsidRDefault="00611726" w:rsidP="006B6AA0">
            <w:pPr>
              <w:spacing w:line="240" w:lineRule="auto"/>
              <w:rPr>
                <w:rFonts w:cs="Arial"/>
                <w:b/>
                <w:sz w:val="18"/>
                <w:szCs w:val="18"/>
                <w:lang w:val="sv-SE"/>
              </w:rPr>
            </w:pPr>
            <w:r w:rsidRPr="00545EC0">
              <w:rPr>
                <w:rFonts w:cs="Arial"/>
                <w:b/>
                <w:sz w:val="18"/>
                <w:szCs w:val="18"/>
                <w:lang w:val="sv-SE"/>
              </w:rPr>
              <w:t>130.801.476</w:t>
            </w:r>
          </w:p>
        </w:tc>
        <w:tc>
          <w:tcPr>
            <w:tcW w:w="650" w:type="pct"/>
          </w:tcPr>
          <w:p w14:paraId="43A7512B" w14:textId="77777777" w:rsidR="00611726" w:rsidRPr="00545EC0" w:rsidRDefault="00611726" w:rsidP="006B6AA0">
            <w:pPr>
              <w:spacing w:line="240" w:lineRule="auto"/>
              <w:jc w:val="right"/>
              <w:rPr>
                <w:rFonts w:cs="Arial"/>
                <w:b/>
                <w:sz w:val="18"/>
                <w:szCs w:val="18"/>
                <w:lang w:val="sv-SE"/>
              </w:rPr>
            </w:pPr>
            <w:r w:rsidRPr="00545EC0">
              <w:rPr>
                <w:rFonts w:cs="Arial"/>
                <w:b/>
                <w:sz w:val="18"/>
                <w:szCs w:val="18"/>
                <w:lang w:val="sv-SE"/>
              </w:rPr>
              <w:t>4.624.071</w:t>
            </w:r>
          </w:p>
          <w:p w14:paraId="04E1C7E6" w14:textId="77777777" w:rsidR="00611726" w:rsidRPr="00545EC0" w:rsidRDefault="00611726" w:rsidP="006B6AA0">
            <w:pPr>
              <w:spacing w:line="240" w:lineRule="auto"/>
              <w:jc w:val="right"/>
              <w:rPr>
                <w:rFonts w:cs="Arial"/>
                <w:b/>
                <w:sz w:val="18"/>
                <w:szCs w:val="18"/>
              </w:rPr>
            </w:pPr>
          </w:p>
        </w:tc>
        <w:tc>
          <w:tcPr>
            <w:tcW w:w="679" w:type="pct"/>
          </w:tcPr>
          <w:p w14:paraId="64BE7DE5" w14:textId="77777777" w:rsidR="00611726" w:rsidRPr="00545EC0" w:rsidRDefault="00611726" w:rsidP="006B6AA0">
            <w:pPr>
              <w:spacing w:line="240" w:lineRule="auto"/>
              <w:jc w:val="right"/>
              <w:rPr>
                <w:rFonts w:cs="Arial"/>
                <w:b/>
                <w:sz w:val="18"/>
                <w:szCs w:val="18"/>
                <w:lang w:val="sv-SE"/>
              </w:rPr>
            </w:pPr>
            <w:r w:rsidRPr="00545EC0">
              <w:rPr>
                <w:rFonts w:cs="Arial"/>
                <w:b/>
                <w:sz w:val="18"/>
                <w:szCs w:val="18"/>
                <w:lang w:val="sv-SE"/>
              </w:rPr>
              <w:t>4,3</w:t>
            </w:r>
          </w:p>
        </w:tc>
      </w:tr>
      <w:tr w:rsidR="003122F4" w:rsidRPr="00545EC0" w14:paraId="02EFB779" w14:textId="77777777" w:rsidTr="00C65B68">
        <w:trPr>
          <w:trHeight w:hRule="exact" w:val="425"/>
        </w:trPr>
        <w:tc>
          <w:tcPr>
            <w:tcW w:w="2219" w:type="pct"/>
          </w:tcPr>
          <w:p w14:paraId="7F5C8FAC" w14:textId="77777777" w:rsidR="00611726" w:rsidRPr="00545EC0" w:rsidRDefault="00611726" w:rsidP="006B6AA0">
            <w:pPr>
              <w:spacing w:line="240" w:lineRule="auto"/>
              <w:rPr>
                <w:rFonts w:cs="Arial"/>
                <w:b/>
                <w:bCs/>
                <w:sz w:val="18"/>
                <w:szCs w:val="18"/>
                <w:lang w:val="pl-PL"/>
              </w:rPr>
            </w:pPr>
            <w:r w:rsidRPr="00545EC0">
              <w:rPr>
                <w:rFonts w:cs="Arial"/>
                <w:b/>
                <w:bCs/>
                <w:sz w:val="18"/>
                <w:szCs w:val="18"/>
                <w:lang w:val="pl-PL"/>
              </w:rPr>
              <w:t>Slovenija</w:t>
            </w:r>
          </w:p>
        </w:tc>
        <w:tc>
          <w:tcPr>
            <w:tcW w:w="772" w:type="pct"/>
          </w:tcPr>
          <w:p w14:paraId="1D00AF0D" w14:textId="77777777" w:rsidR="00611726" w:rsidRPr="00545EC0" w:rsidRDefault="00611726" w:rsidP="006B6AA0">
            <w:pPr>
              <w:spacing w:line="240" w:lineRule="auto"/>
              <w:rPr>
                <w:rFonts w:cs="Arial"/>
                <w:b/>
                <w:sz w:val="18"/>
                <w:szCs w:val="18"/>
                <w:lang w:val="sv-SE"/>
              </w:rPr>
            </w:pPr>
            <w:r w:rsidRPr="00545EC0">
              <w:rPr>
                <w:rFonts w:cs="Arial"/>
                <w:b/>
                <w:sz w:val="18"/>
                <w:szCs w:val="18"/>
                <w:lang w:val="sv-SE"/>
              </w:rPr>
              <w:t>4.041.742.249</w:t>
            </w:r>
          </w:p>
        </w:tc>
        <w:tc>
          <w:tcPr>
            <w:tcW w:w="680" w:type="pct"/>
          </w:tcPr>
          <w:p w14:paraId="3E48390D" w14:textId="77777777" w:rsidR="00611726" w:rsidRPr="00545EC0" w:rsidRDefault="00611726" w:rsidP="006B6AA0">
            <w:pPr>
              <w:spacing w:line="240" w:lineRule="auto"/>
              <w:rPr>
                <w:rFonts w:cs="Arial"/>
                <w:b/>
                <w:sz w:val="18"/>
                <w:szCs w:val="18"/>
                <w:lang w:val="sv-SE"/>
              </w:rPr>
            </w:pPr>
            <w:r w:rsidRPr="00545EC0">
              <w:rPr>
                <w:rFonts w:cs="Arial"/>
                <w:b/>
                <w:sz w:val="18"/>
                <w:szCs w:val="18"/>
                <w:lang w:val="sv-SE"/>
              </w:rPr>
              <w:t>134.914.318</w:t>
            </w:r>
          </w:p>
        </w:tc>
        <w:tc>
          <w:tcPr>
            <w:tcW w:w="650" w:type="pct"/>
          </w:tcPr>
          <w:p w14:paraId="73C16B74" w14:textId="77777777" w:rsidR="00611726" w:rsidRPr="00545EC0" w:rsidRDefault="00611726" w:rsidP="006B6AA0">
            <w:pPr>
              <w:spacing w:line="240" w:lineRule="auto"/>
              <w:jc w:val="right"/>
              <w:rPr>
                <w:rFonts w:cs="Arial"/>
                <w:b/>
                <w:sz w:val="18"/>
                <w:szCs w:val="18"/>
                <w:lang w:val="sv-SE"/>
              </w:rPr>
            </w:pPr>
            <w:r w:rsidRPr="00545EC0">
              <w:rPr>
                <w:rFonts w:cs="Arial"/>
                <w:b/>
                <w:sz w:val="18"/>
                <w:szCs w:val="18"/>
                <w:lang w:val="sv-SE"/>
              </w:rPr>
              <w:t>4.624.071</w:t>
            </w:r>
          </w:p>
          <w:p w14:paraId="5E444922" w14:textId="77777777" w:rsidR="00611726" w:rsidRPr="00545EC0" w:rsidRDefault="00611726" w:rsidP="006B6AA0">
            <w:pPr>
              <w:spacing w:line="240" w:lineRule="auto"/>
              <w:jc w:val="right"/>
              <w:rPr>
                <w:rFonts w:cs="Arial"/>
                <w:b/>
                <w:bCs/>
                <w:sz w:val="18"/>
                <w:szCs w:val="18"/>
              </w:rPr>
            </w:pPr>
          </w:p>
        </w:tc>
        <w:tc>
          <w:tcPr>
            <w:tcW w:w="679" w:type="pct"/>
          </w:tcPr>
          <w:p w14:paraId="7CB69143" w14:textId="77777777" w:rsidR="00611726" w:rsidRPr="00545EC0" w:rsidRDefault="00611726" w:rsidP="006B6AA0">
            <w:pPr>
              <w:spacing w:line="240" w:lineRule="auto"/>
              <w:jc w:val="right"/>
              <w:rPr>
                <w:rFonts w:cs="Arial"/>
                <w:b/>
                <w:sz w:val="18"/>
                <w:szCs w:val="18"/>
                <w:lang w:val="sv-SE"/>
              </w:rPr>
            </w:pPr>
            <w:r w:rsidRPr="00545EC0">
              <w:rPr>
                <w:rFonts w:cs="Arial"/>
                <w:b/>
                <w:sz w:val="18"/>
                <w:szCs w:val="18"/>
                <w:lang w:val="sv-SE"/>
              </w:rPr>
              <w:t>3,3</w:t>
            </w:r>
          </w:p>
        </w:tc>
      </w:tr>
    </w:tbl>
    <w:p w14:paraId="57FBDE1F" w14:textId="77777777" w:rsidR="00611726" w:rsidRPr="00545EC0" w:rsidRDefault="00611726" w:rsidP="00611726">
      <w:pPr>
        <w:rPr>
          <w:rFonts w:cs="Arial"/>
          <w:i/>
          <w:sz w:val="18"/>
        </w:rPr>
      </w:pPr>
      <w:r w:rsidRPr="00545EC0">
        <w:rPr>
          <w:rFonts w:cs="Arial"/>
          <w:i/>
          <w:sz w:val="18"/>
        </w:rPr>
        <w:t>Opomba: * Črpane količine podzemne vode po DRSV evidenci vodnih povračil v obdobju 2014–2019</w:t>
      </w:r>
    </w:p>
    <w:p w14:paraId="7485301D" w14:textId="77777777" w:rsidR="00611726" w:rsidRPr="00545EC0" w:rsidRDefault="00611726" w:rsidP="00611726">
      <w:pPr>
        <w:ind w:left="910" w:hanging="190"/>
        <w:rPr>
          <w:rFonts w:cs="Arial"/>
          <w:i/>
          <w:sz w:val="18"/>
        </w:rPr>
      </w:pPr>
      <w:r w:rsidRPr="00545EC0">
        <w:rPr>
          <w:rFonts w:cs="Arial"/>
          <w:i/>
          <w:sz w:val="18"/>
        </w:rPr>
        <w:t>** Razpoložljiva količina podzemne vode = (z modelom GROWA-SI ocenjena obnovljiva količina podzemne vode tridesetletnega obdobja 1991-2020) – (količina podzemne vode za ohranjanje ekološkega stanja površinskih voda) - (količina podzemne vode za ohranjanje KEOPV)</w:t>
      </w:r>
    </w:p>
    <w:p w14:paraId="3493B51B" w14:textId="77777777" w:rsidR="00611726" w:rsidRPr="00545EC0" w:rsidRDefault="00611726" w:rsidP="00581CEA">
      <w:pPr>
        <w:spacing w:before="200" w:after="120"/>
        <w:rPr>
          <w:rFonts w:cs="Arial"/>
          <w:b/>
          <w:szCs w:val="20"/>
        </w:rPr>
      </w:pPr>
      <w:bookmarkStart w:id="553" w:name="_Toc412544174"/>
      <w:bookmarkStart w:id="554" w:name="_Toc412544153"/>
      <w:r w:rsidRPr="00545EC0">
        <w:rPr>
          <w:rFonts w:cs="Arial"/>
          <w:b/>
          <w:szCs w:val="20"/>
        </w:rPr>
        <w:t>Globoki termalni vodonosniki</w:t>
      </w:r>
      <w:bookmarkEnd w:id="553"/>
    </w:p>
    <w:p w14:paraId="2197AE4B" w14:textId="77777777" w:rsidR="00611726" w:rsidRPr="00545EC0" w:rsidRDefault="00611726" w:rsidP="00581CEA">
      <w:pPr>
        <w:spacing w:after="240"/>
        <w:rPr>
          <w:rFonts w:ascii="Arial Narrow" w:hAnsi="Arial Narrow" w:cs="Arial Narrow"/>
        </w:rPr>
      </w:pPr>
      <w:r w:rsidRPr="00545EC0">
        <w:rPr>
          <w:rFonts w:cs="Arial"/>
          <w:szCs w:val="20"/>
        </w:rPr>
        <w:t>V globokih termalnih vodonosnikih SV Slovenije se, na podlagi rezultatov indikativnih meritev Geološkega zavoda Slovenije v obdobju 2009–2019 na dveh vrtinah, izkazuje statistično značilno zniževanje piezometrične gladine podzemne vode v vrtini Do-1 v Dobrovniku in vrtini V-66 v Petanjcih. V letu 2019 so bile glede na obdobje 2009–2019 izmerjene najnižje piezometrične gladine v obeh vrtinah (</w:t>
      </w:r>
      <w:r w:rsidRPr="00545EC0">
        <w:rPr>
          <w:rFonts w:cs="Arial"/>
          <w:szCs w:val="20"/>
        </w:rPr>
        <w:fldChar w:fldCharType="begin"/>
      </w:r>
      <w:r w:rsidRPr="00545EC0">
        <w:rPr>
          <w:rFonts w:cs="Arial"/>
          <w:szCs w:val="20"/>
        </w:rPr>
        <w:instrText xml:space="preserve"> REF _Ref66694411 \h  \* MERGEFORMAT </w:instrText>
      </w:r>
      <w:r w:rsidRPr="00545EC0">
        <w:rPr>
          <w:rFonts w:cs="Arial"/>
          <w:szCs w:val="20"/>
        </w:rPr>
      </w:r>
      <w:r w:rsidRPr="00545EC0">
        <w:rPr>
          <w:rFonts w:cs="Arial"/>
          <w:szCs w:val="20"/>
        </w:rPr>
        <w:fldChar w:fldCharType="separate"/>
      </w:r>
      <w:r w:rsidR="002F3E43" w:rsidRPr="00545EC0">
        <w:rPr>
          <w:rFonts w:cs="Arial"/>
          <w:szCs w:val="20"/>
        </w:rPr>
        <w:t xml:space="preserve">Slika </w:t>
      </w:r>
      <w:r w:rsidR="002F3E43">
        <w:rPr>
          <w:rFonts w:cs="Arial"/>
          <w:noProof/>
          <w:szCs w:val="20"/>
        </w:rPr>
        <w:t>3</w:t>
      </w:r>
      <w:r w:rsidR="002F3E43" w:rsidRPr="00545EC0">
        <w:rPr>
          <w:rFonts w:cs="Arial"/>
          <w:noProof/>
          <w:szCs w:val="20"/>
        </w:rPr>
        <w:noBreakHyphen/>
      </w:r>
      <w:r w:rsidR="002F3E43">
        <w:rPr>
          <w:rFonts w:cs="Arial"/>
          <w:noProof/>
          <w:szCs w:val="20"/>
        </w:rPr>
        <w:t>10</w:t>
      </w:r>
      <w:r w:rsidRPr="00545EC0">
        <w:rPr>
          <w:rFonts w:cs="Arial"/>
          <w:szCs w:val="20"/>
        </w:rPr>
        <w:fldChar w:fldCharType="end"/>
      </w:r>
      <w:r w:rsidRPr="00545EC0">
        <w:rPr>
          <w:rFonts w:cs="Arial"/>
          <w:szCs w:val="20"/>
        </w:rPr>
        <w:t>).</w:t>
      </w:r>
    </w:p>
    <w:p w14:paraId="530632C9" w14:textId="5643693D" w:rsidR="00611726" w:rsidRPr="00545EC0" w:rsidRDefault="00A03437" w:rsidP="00634A51">
      <w:pPr>
        <w:spacing w:after="240"/>
        <w:ind w:left="284"/>
        <w:rPr>
          <w:rFonts w:ascii="Arial Narrow" w:hAnsi="Arial Narrow" w:cs="Arial Narrow"/>
        </w:rPr>
      </w:pPr>
      <w:r w:rsidRPr="00545EC0">
        <w:rPr>
          <w:rFonts w:ascii="Arial Narrow" w:hAnsi="Arial Narrow" w:cs="Arial Narrow"/>
          <w:noProof/>
        </w:rPr>
        <w:lastRenderedPageBreak/>
        <w:drawing>
          <wp:inline distT="0" distB="0" distL="0" distR="0" wp14:anchorId="65660277" wp14:editId="4E0026BD">
            <wp:extent cx="2739865" cy="1785257"/>
            <wp:effectExtent l="19050" t="19050" r="22860" b="24765"/>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739865" cy="1785257"/>
                    </a:xfrm>
                    <a:prstGeom prst="rect">
                      <a:avLst/>
                    </a:prstGeom>
                    <a:noFill/>
                    <a:ln>
                      <a:solidFill>
                        <a:schemeClr val="bg1">
                          <a:lumMod val="95000"/>
                        </a:schemeClr>
                      </a:solidFill>
                    </a:ln>
                  </pic:spPr>
                </pic:pic>
              </a:graphicData>
            </a:graphic>
          </wp:inline>
        </w:drawing>
      </w:r>
      <w:r w:rsidRPr="00545EC0">
        <w:rPr>
          <w:rFonts w:ascii="Arial Narrow" w:hAnsi="Arial Narrow" w:cs="Arial Narrow"/>
          <w:noProof/>
        </w:rPr>
        <w:drawing>
          <wp:inline distT="0" distB="0" distL="0" distR="0" wp14:anchorId="0F5E01F2" wp14:editId="4B1F3508">
            <wp:extent cx="2722240" cy="1774372"/>
            <wp:effectExtent l="19050" t="19050" r="21590" b="1651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756023" cy="1796392"/>
                    </a:xfrm>
                    <a:prstGeom prst="rect">
                      <a:avLst/>
                    </a:prstGeom>
                    <a:noFill/>
                    <a:ln>
                      <a:solidFill>
                        <a:schemeClr val="bg1">
                          <a:lumMod val="95000"/>
                        </a:schemeClr>
                      </a:solidFill>
                    </a:ln>
                  </pic:spPr>
                </pic:pic>
              </a:graphicData>
            </a:graphic>
          </wp:inline>
        </w:drawing>
      </w:r>
    </w:p>
    <w:p w14:paraId="2FD7240F" w14:textId="68CD601C" w:rsidR="00611726" w:rsidRPr="00545EC0" w:rsidRDefault="00611726" w:rsidP="00581CEA">
      <w:pPr>
        <w:spacing w:after="240"/>
        <w:rPr>
          <w:rFonts w:cs="Arial"/>
          <w:szCs w:val="20"/>
        </w:rPr>
      </w:pPr>
      <w:bookmarkStart w:id="555" w:name="_Ref66694411"/>
      <w:r w:rsidRPr="00545EC0">
        <w:rPr>
          <w:rFonts w:cs="Arial"/>
          <w:szCs w:val="20"/>
        </w:rPr>
        <w:t xml:space="preserve">Slika </w:t>
      </w:r>
      <w:r w:rsidR="00396E1E" w:rsidRPr="00545EC0">
        <w:rPr>
          <w:rFonts w:cs="Arial"/>
          <w:szCs w:val="20"/>
        </w:rPr>
        <w:fldChar w:fldCharType="begin"/>
      </w:r>
      <w:r w:rsidR="00396E1E" w:rsidRPr="00545EC0">
        <w:rPr>
          <w:rFonts w:cs="Arial"/>
          <w:szCs w:val="20"/>
        </w:rPr>
        <w:instrText xml:space="preserve"> STYLEREF 1 \s </w:instrText>
      </w:r>
      <w:r w:rsidR="00396E1E" w:rsidRPr="00545EC0">
        <w:rPr>
          <w:rFonts w:cs="Arial"/>
          <w:szCs w:val="20"/>
        </w:rPr>
        <w:fldChar w:fldCharType="separate"/>
      </w:r>
      <w:r w:rsidR="002F3E43">
        <w:rPr>
          <w:rFonts w:cs="Arial"/>
          <w:noProof/>
          <w:szCs w:val="20"/>
        </w:rPr>
        <w:t>3</w:t>
      </w:r>
      <w:r w:rsidR="00396E1E" w:rsidRPr="00545EC0">
        <w:rPr>
          <w:rFonts w:cs="Arial"/>
          <w:szCs w:val="20"/>
        </w:rPr>
        <w:fldChar w:fldCharType="end"/>
      </w:r>
      <w:r w:rsidR="00396E1E" w:rsidRPr="00545EC0">
        <w:rPr>
          <w:rFonts w:cs="Arial"/>
          <w:szCs w:val="20"/>
        </w:rPr>
        <w:noBreakHyphen/>
      </w:r>
      <w:r w:rsidR="00396E1E" w:rsidRPr="00545EC0">
        <w:rPr>
          <w:rFonts w:cs="Arial"/>
          <w:szCs w:val="20"/>
        </w:rPr>
        <w:fldChar w:fldCharType="begin"/>
      </w:r>
      <w:r w:rsidR="00396E1E" w:rsidRPr="00545EC0">
        <w:rPr>
          <w:rFonts w:cs="Arial"/>
          <w:szCs w:val="20"/>
        </w:rPr>
        <w:instrText xml:space="preserve"> SEQ Slika \* ARABIC \s 1 </w:instrText>
      </w:r>
      <w:r w:rsidR="00396E1E" w:rsidRPr="00545EC0">
        <w:rPr>
          <w:rFonts w:cs="Arial"/>
          <w:szCs w:val="20"/>
        </w:rPr>
        <w:fldChar w:fldCharType="separate"/>
      </w:r>
      <w:r w:rsidR="002F3E43">
        <w:rPr>
          <w:rFonts w:cs="Arial"/>
          <w:noProof/>
          <w:szCs w:val="20"/>
        </w:rPr>
        <w:t>10</w:t>
      </w:r>
      <w:r w:rsidR="00396E1E" w:rsidRPr="00545EC0">
        <w:rPr>
          <w:rFonts w:cs="Arial"/>
          <w:szCs w:val="20"/>
        </w:rPr>
        <w:fldChar w:fldCharType="end"/>
      </w:r>
      <w:bookmarkEnd w:id="555"/>
      <w:r w:rsidRPr="00545EC0">
        <w:rPr>
          <w:rFonts w:cs="Arial"/>
          <w:szCs w:val="20"/>
        </w:rPr>
        <w:t>: Mesečna povprečja piezometrične gladine podzemne vode v opazovalni vrtini Do-1 (Dobrovnik) in V-66 (Petanjci) v obdobju 2009–2019 (Vir podatkov: Geološki zavod Slovenije)</w:t>
      </w:r>
    </w:p>
    <w:p w14:paraId="6B8F2186" w14:textId="77777777" w:rsidR="00611726" w:rsidRPr="00545EC0" w:rsidRDefault="00611726" w:rsidP="00581CEA">
      <w:pPr>
        <w:pStyle w:val="poroilomonitoring111"/>
        <w:spacing w:before="120" w:after="120"/>
        <w:jc w:val="both"/>
        <w:rPr>
          <w:b w:val="0"/>
          <w:bCs w:val="0"/>
          <w:i w:val="0"/>
          <w:iCs w:val="0"/>
          <w:sz w:val="20"/>
          <w:lang w:val="sl-SI"/>
        </w:rPr>
      </w:pPr>
      <w:r w:rsidRPr="00545EC0">
        <w:rPr>
          <w:b w:val="0"/>
          <w:bCs w:val="0"/>
          <w:i w:val="0"/>
          <w:iCs w:val="0"/>
          <w:sz w:val="20"/>
          <w:lang w:val="sl-SI"/>
        </w:rPr>
        <w:t>Hidrogeološka simulacija z modelom vodne bilance naravnega stanja geotermalnega vodonosnika Murske formacije, ki jo je v letih 2014</w:t>
      </w:r>
      <w:r w:rsidRPr="00545EC0">
        <w:rPr>
          <w:b w:val="0"/>
          <w:sz w:val="20"/>
          <w:lang w:val="sl-SI"/>
        </w:rPr>
        <w:t>–</w:t>
      </w:r>
      <w:r w:rsidRPr="00545EC0">
        <w:rPr>
          <w:b w:val="0"/>
          <w:bCs w:val="0"/>
          <w:i w:val="0"/>
          <w:iCs w:val="0"/>
          <w:sz w:val="20"/>
          <w:lang w:val="sl-SI"/>
        </w:rPr>
        <w:t>2019 izvedel Geološki zavod Slovenije, nakazuje letno napajanje okoli 5,6 milijona m</w:t>
      </w:r>
      <w:r w:rsidRPr="00545EC0">
        <w:rPr>
          <w:b w:val="0"/>
          <w:bCs w:val="0"/>
          <w:i w:val="0"/>
          <w:iCs w:val="0"/>
          <w:sz w:val="20"/>
          <w:vertAlign w:val="superscript"/>
          <w:lang w:val="sl-SI"/>
        </w:rPr>
        <w:t>3</w:t>
      </w:r>
      <w:r w:rsidRPr="00545EC0">
        <w:rPr>
          <w:b w:val="0"/>
          <w:bCs w:val="0"/>
          <w:i w:val="0"/>
          <w:iCs w:val="0"/>
          <w:sz w:val="20"/>
          <w:lang w:val="sl-SI"/>
        </w:rPr>
        <w:t>. Povprečni odvzemi termalne podzemne vode so bili v obdobju 2014</w:t>
      </w:r>
      <w:r w:rsidRPr="00545EC0">
        <w:rPr>
          <w:b w:val="0"/>
          <w:sz w:val="20"/>
          <w:lang w:val="sl-SI"/>
        </w:rPr>
        <w:t>–</w:t>
      </w:r>
      <w:r w:rsidRPr="00545EC0">
        <w:rPr>
          <w:b w:val="0"/>
          <w:bCs w:val="0"/>
          <w:i w:val="0"/>
          <w:iCs w:val="0"/>
          <w:sz w:val="20"/>
          <w:lang w:val="sl-SI"/>
        </w:rPr>
        <w:t>2019 okoli 2,5 milijona m</w:t>
      </w:r>
      <w:r w:rsidRPr="00545EC0">
        <w:rPr>
          <w:b w:val="0"/>
          <w:bCs w:val="0"/>
          <w:i w:val="0"/>
          <w:iCs w:val="0"/>
          <w:sz w:val="20"/>
          <w:vertAlign w:val="superscript"/>
          <w:lang w:val="sl-SI"/>
        </w:rPr>
        <w:t>3</w:t>
      </w:r>
      <w:r w:rsidRPr="00545EC0">
        <w:rPr>
          <w:b w:val="0"/>
          <w:bCs w:val="0"/>
          <w:i w:val="0"/>
          <w:iCs w:val="0"/>
          <w:sz w:val="20"/>
          <w:lang w:val="sl-SI"/>
        </w:rPr>
        <w:t xml:space="preserve"> letno, kar predstavlja 44 % z modelom ocenjenih letno obnovljivih količin termalne podzemne vode.</w:t>
      </w:r>
    </w:p>
    <w:p w14:paraId="6D05F5DB" w14:textId="54A4C4C7" w:rsidR="00611726" w:rsidRPr="00545EC0" w:rsidRDefault="00611726" w:rsidP="00581CEA">
      <w:pPr>
        <w:pStyle w:val="poroilomonitoring111"/>
        <w:spacing w:before="120" w:after="120"/>
        <w:jc w:val="both"/>
        <w:rPr>
          <w:rFonts w:ascii="Arial Narrow" w:hAnsi="Arial Narrow" w:cs="Arial Narrow"/>
          <w:b w:val="0"/>
          <w:bCs w:val="0"/>
          <w:i w:val="0"/>
          <w:iCs w:val="0"/>
          <w:lang w:val="sl-SI"/>
        </w:rPr>
      </w:pPr>
      <w:r w:rsidRPr="00545EC0">
        <w:rPr>
          <w:b w:val="0"/>
          <w:bCs w:val="0"/>
          <w:i w:val="0"/>
          <w:iCs w:val="0"/>
          <w:sz w:val="20"/>
          <w:lang w:val="sl-SI"/>
        </w:rPr>
        <w:t xml:space="preserve">Kljub indikacijam o zniževanju piezometrične gladine podzemne vode, ki so bile evidentirane v nekaterih študijah in raziskavah, in glede na trenutno z modelom naravnega stanja izračunano pozitivno vodno bilanco, količinsko stanje podzemne vode v globokem vodonosniku vodnega telesa VTPodV_4016 Murska kotlina glede na osnovni vodnobilančni kriterij opredeljujemo kot </w:t>
      </w:r>
      <w:r w:rsidR="007C07BC" w:rsidRPr="00545EC0">
        <w:rPr>
          <w:b w:val="0"/>
          <w:bCs w:val="0"/>
          <w:i w:val="0"/>
          <w:iCs w:val="0"/>
          <w:sz w:val="20"/>
          <w:lang w:val="sl-SI"/>
        </w:rPr>
        <w:t>dobro</w:t>
      </w:r>
      <w:r w:rsidRPr="00545EC0">
        <w:rPr>
          <w:b w:val="0"/>
          <w:bCs w:val="0"/>
          <w:i w:val="0"/>
          <w:iCs w:val="0"/>
          <w:sz w:val="20"/>
          <w:lang w:val="sl-SI"/>
        </w:rPr>
        <w:t>. Stopnja zaupanja ocene je glede na kriterije smernic za poročanje srednja</w:t>
      </w:r>
      <w:r w:rsidR="00B64EB9" w:rsidRPr="00545EC0">
        <w:rPr>
          <w:b w:val="0"/>
          <w:bCs w:val="0"/>
          <w:i w:val="0"/>
          <w:iCs w:val="0"/>
          <w:sz w:val="20"/>
          <w:lang w:val="sl-SI"/>
        </w:rPr>
        <w:t>.</w:t>
      </w:r>
      <w:r w:rsidRPr="00545EC0">
        <w:rPr>
          <w:b w:val="0"/>
          <w:bCs w:val="0"/>
          <w:i w:val="0"/>
          <w:iCs w:val="0"/>
          <w:sz w:val="20"/>
          <w:lang w:val="sl-SI"/>
        </w:rPr>
        <w:t>.</w:t>
      </w:r>
    </w:p>
    <w:bookmarkEnd w:id="554"/>
    <w:p w14:paraId="18B5CD38" w14:textId="77777777" w:rsidR="00611726" w:rsidRPr="00545EC0" w:rsidRDefault="00611726" w:rsidP="00581CEA">
      <w:pPr>
        <w:spacing w:before="240" w:after="200"/>
        <w:rPr>
          <w:rFonts w:cs="Arial"/>
          <w:b/>
          <w:bCs/>
          <w:szCs w:val="20"/>
        </w:rPr>
      </w:pPr>
      <w:r w:rsidRPr="00545EC0">
        <w:rPr>
          <w:rFonts w:cs="Arial"/>
          <w:b/>
          <w:bCs/>
          <w:szCs w:val="20"/>
        </w:rPr>
        <w:t>Preizkus 2: Vpliv odvzemov podzemne vode na ekološko stanje površinskih vodnih teles</w:t>
      </w:r>
    </w:p>
    <w:p w14:paraId="118E9E29" w14:textId="04534519" w:rsidR="00611726" w:rsidRPr="00545EC0" w:rsidRDefault="00611726" w:rsidP="00581CEA">
      <w:pPr>
        <w:rPr>
          <w:rFonts w:cs="Arial"/>
          <w:szCs w:val="20"/>
        </w:rPr>
      </w:pPr>
      <w:r w:rsidRPr="00545EC0">
        <w:rPr>
          <w:rFonts w:cs="Arial"/>
          <w:szCs w:val="20"/>
        </w:rPr>
        <w:t xml:space="preserve">Preizkus vpliva odvzemov podzemne vode na stanje površinskih voda je izveden z analizo vpliva črpanja podzemne vode na vodno telo površinske vode s slabim ekološkim stanjem (oceni: slabo in zelo slabo). Postopek na </w:t>
      </w:r>
      <w:r w:rsidR="00B64EB9" w:rsidRPr="00545EC0">
        <w:rPr>
          <w:rFonts w:cs="Arial"/>
          <w:szCs w:val="20"/>
        </w:rPr>
        <w:t xml:space="preserve">vodnih </w:t>
      </w:r>
      <w:r w:rsidRPr="00545EC0">
        <w:rPr>
          <w:rFonts w:cs="Arial"/>
          <w:szCs w:val="20"/>
        </w:rPr>
        <w:t>telesih</w:t>
      </w:r>
      <w:r w:rsidR="00B64EB9" w:rsidRPr="00545EC0">
        <w:rPr>
          <w:rFonts w:cs="Arial"/>
          <w:szCs w:val="20"/>
        </w:rPr>
        <w:t xml:space="preserve"> površinskih voda</w:t>
      </w:r>
      <w:r w:rsidRPr="00545EC0">
        <w:rPr>
          <w:rFonts w:cs="Arial"/>
          <w:szCs w:val="20"/>
        </w:rPr>
        <w:t xml:space="preserve"> s slabim ekološkim stanjem zajema presojo dveh pogojev:</w:t>
      </w:r>
    </w:p>
    <w:p w14:paraId="275642F1" w14:textId="77777777" w:rsidR="00611726" w:rsidRPr="00545EC0" w:rsidRDefault="00611726" w:rsidP="00DD37C5">
      <w:pPr>
        <w:numPr>
          <w:ilvl w:val="0"/>
          <w:numId w:val="128"/>
        </w:numPr>
        <w:overflowPunct/>
        <w:jc w:val="left"/>
        <w:textAlignment w:val="auto"/>
        <w:rPr>
          <w:rFonts w:cs="Arial"/>
          <w:szCs w:val="20"/>
        </w:rPr>
      </w:pPr>
      <w:r w:rsidRPr="00545EC0">
        <w:rPr>
          <w:rFonts w:cs="Arial"/>
          <w:szCs w:val="20"/>
        </w:rPr>
        <w:t>delež vseh odvzemov mora biti manjši od 10 % količine srednjega pretoka površinske vode (Q</w:t>
      </w:r>
      <w:r w:rsidRPr="00545EC0">
        <w:rPr>
          <w:rFonts w:cs="Arial"/>
          <w:szCs w:val="20"/>
          <w:vertAlign w:val="subscript"/>
        </w:rPr>
        <w:t>s</w:t>
      </w:r>
      <w:r w:rsidRPr="00545EC0">
        <w:rPr>
          <w:rFonts w:cs="Arial"/>
          <w:szCs w:val="20"/>
        </w:rPr>
        <w:t>), pri čemer mora biti delež odvzemov podzemne vode manjši od polovice;</w:t>
      </w:r>
    </w:p>
    <w:p w14:paraId="3352EC4C" w14:textId="77777777" w:rsidR="00611726" w:rsidRPr="00545EC0" w:rsidRDefault="00611726" w:rsidP="00DD37C5">
      <w:pPr>
        <w:numPr>
          <w:ilvl w:val="0"/>
          <w:numId w:val="128"/>
        </w:numPr>
        <w:overflowPunct/>
        <w:jc w:val="left"/>
        <w:textAlignment w:val="auto"/>
        <w:rPr>
          <w:rFonts w:cs="Arial"/>
          <w:szCs w:val="20"/>
        </w:rPr>
      </w:pPr>
      <w:r w:rsidRPr="00545EC0">
        <w:rPr>
          <w:rFonts w:cs="Arial"/>
          <w:szCs w:val="20"/>
        </w:rPr>
        <w:t>delež odvzemov podzemne vode mora biti manjši od 10 % povprečnega obnavljanja podzemne vode v referenčnem obdobju 1981–2010.</w:t>
      </w:r>
    </w:p>
    <w:p w14:paraId="0F3FE3CC" w14:textId="2939FB57" w:rsidR="00611726" w:rsidRPr="00545EC0" w:rsidRDefault="00611726" w:rsidP="00581CEA">
      <w:pPr>
        <w:spacing w:before="160" w:after="160"/>
        <w:rPr>
          <w:rFonts w:cs="Arial"/>
          <w:szCs w:val="20"/>
        </w:rPr>
      </w:pPr>
      <w:r w:rsidRPr="00545EC0">
        <w:rPr>
          <w:rFonts w:cs="Arial"/>
          <w:szCs w:val="20"/>
        </w:rPr>
        <w:t>Preizkus vpliva odvzemov podzemne vode je izveden na 20 vodnih telesih površinsk</w:t>
      </w:r>
      <w:r w:rsidR="00B64EB9" w:rsidRPr="00545EC0">
        <w:rPr>
          <w:rFonts w:cs="Arial"/>
          <w:szCs w:val="20"/>
        </w:rPr>
        <w:t>ih</w:t>
      </w:r>
      <w:r w:rsidRPr="00545EC0">
        <w:rPr>
          <w:rFonts w:cs="Arial"/>
          <w:szCs w:val="20"/>
        </w:rPr>
        <w:t xml:space="preserve"> vod</w:t>
      </w:r>
      <w:r w:rsidR="00B64EB9" w:rsidRPr="00545EC0">
        <w:rPr>
          <w:rFonts w:cs="Arial"/>
          <w:szCs w:val="20"/>
        </w:rPr>
        <w:t>a</w:t>
      </w:r>
      <w:r w:rsidRPr="00545EC0">
        <w:rPr>
          <w:rFonts w:cs="Arial"/>
          <w:szCs w:val="20"/>
        </w:rPr>
        <w:t>, za katere je bilo na vodnem območju Donave za obdobje 2014–2019 ocenjeno slabo ekološko stanje. Pri presoji so bili uporabljeni podatki o odvzemih podzemne vode iz upravljavskih zbirk podatkov DRSV za obdobje 2014–2019 in podatki o povprečnih letnih pretokih (Q</w:t>
      </w:r>
      <w:r w:rsidRPr="00545EC0">
        <w:rPr>
          <w:rFonts w:cs="Arial"/>
          <w:szCs w:val="20"/>
          <w:vertAlign w:val="subscript"/>
        </w:rPr>
        <w:t>s</w:t>
      </w:r>
      <w:r w:rsidRPr="00545EC0">
        <w:rPr>
          <w:rFonts w:cs="Arial"/>
          <w:szCs w:val="20"/>
        </w:rPr>
        <w:t>) obdobja 1981–2010 ter rezultati regionalnega vodnobilančnega modela GROWA-SI o obnovljivih količinah podzemne vode v referenčnem obdobju 1981–2010.</w:t>
      </w:r>
    </w:p>
    <w:p w14:paraId="2112C7D4" w14:textId="2C7D8662" w:rsidR="00611726" w:rsidRPr="00545EC0" w:rsidRDefault="00611726" w:rsidP="00581CEA">
      <w:pPr>
        <w:spacing w:before="160" w:after="160"/>
        <w:rPr>
          <w:rFonts w:cs="Arial"/>
          <w:szCs w:val="20"/>
        </w:rPr>
      </w:pPr>
      <w:r w:rsidRPr="00545EC0">
        <w:rPr>
          <w:rFonts w:cs="Arial"/>
          <w:szCs w:val="20"/>
        </w:rPr>
        <w:t>Najvišje vrednosti deleža vseh odvzemov voda od srednjega pretoka (Q</w:t>
      </w:r>
      <w:r w:rsidRPr="00545EC0">
        <w:rPr>
          <w:rFonts w:cs="Arial"/>
          <w:szCs w:val="20"/>
          <w:vertAlign w:val="subscript"/>
        </w:rPr>
        <w:t>s</w:t>
      </w:r>
      <w:r w:rsidRPr="00545EC0">
        <w:rPr>
          <w:rFonts w:cs="Arial"/>
          <w:szCs w:val="20"/>
        </w:rPr>
        <w:t>) so v VT Hudinja povirje – Nova Cerkev (12,8 %), največji delež odvzemov podzemne vode od povprečnega obnavljanja podzemne vode v referenčnem obdobju 1981–2010 pa je v VT Kamniška Bistrica Stahovica – Študa in sicer 5,4 %. Pri nobenem obravnavanem vodnem telesu površinskih voda odvzemi podzemne vode ne povzročajo slabega ekološkega stanja. Za oba presojana pogoja so vrednosti pod mejnimi 10 % v večini vodnih teles površinskih voda. Za VT Hudinja povirje – Nova Cerkev, kjer je vrednost praga presežena, ker je vseh odvzemov več kot 10 % Q</w:t>
      </w:r>
      <w:r w:rsidRPr="00545EC0">
        <w:rPr>
          <w:rFonts w:cs="Arial"/>
          <w:szCs w:val="20"/>
          <w:vertAlign w:val="subscript"/>
        </w:rPr>
        <w:t>s</w:t>
      </w:r>
      <w:r w:rsidRPr="00545EC0">
        <w:rPr>
          <w:rFonts w:cs="Arial"/>
          <w:szCs w:val="20"/>
        </w:rPr>
        <w:t xml:space="preserve">, pa je zadoščeno drugi stopnji preizkusa, kjer </w:t>
      </w:r>
      <w:r w:rsidRPr="00545EC0">
        <w:rPr>
          <w:rFonts w:cs="Arial"/>
          <w:szCs w:val="20"/>
        </w:rPr>
        <w:lastRenderedPageBreak/>
        <w:t>odvzemi podzemne vode ne predstavljajo večine (&gt; 50 %) odvzemov iz vodonosnika (</w:t>
      </w:r>
      <w:r w:rsidR="00C65B68" w:rsidRPr="00545EC0">
        <w:rPr>
          <w:rFonts w:cs="Arial"/>
          <w:szCs w:val="20"/>
        </w:rPr>
        <w:fldChar w:fldCharType="begin"/>
      </w:r>
      <w:r w:rsidR="00C65B68" w:rsidRPr="00545EC0">
        <w:rPr>
          <w:rFonts w:cs="Arial"/>
          <w:szCs w:val="20"/>
        </w:rPr>
        <w:instrText xml:space="preserve"> REF _Ref84323765 \h </w:instrText>
      </w:r>
      <w:r w:rsidR="00F37A91" w:rsidRPr="00545EC0">
        <w:rPr>
          <w:rFonts w:cs="Arial"/>
          <w:szCs w:val="20"/>
        </w:rPr>
        <w:instrText xml:space="preserve"> \* MERGEFORMAT </w:instrText>
      </w:r>
      <w:r w:rsidR="00C65B68" w:rsidRPr="00545EC0">
        <w:rPr>
          <w:rFonts w:cs="Arial"/>
          <w:szCs w:val="20"/>
        </w:rPr>
      </w:r>
      <w:r w:rsidR="00C65B68" w:rsidRPr="00545EC0">
        <w:rPr>
          <w:rFonts w:cs="Arial"/>
          <w:szCs w:val="20"/>
        </w:rPr>
        <w:fldChar w:fldCharType="separate"/>
      </w:r>
      <w:r w:rsidR="002F3E43" w:rsidRPr="00545EC0">
        <w:t xml:space="preserve">Preglednica </w:t>
      </w:r>
      <w:r w:rsidR="002F3E43">
        <w:rPr>
          <w:noProof/>
        </w:rPr>
        <w:t>3</w:t>
      </w:r>
      <w:r w:rsidR="002F3E43" w:rsidRPr="00545EC0">
        <w:rPr>
          <w:noProof/>
        </w:rPr>
        <w:noBreakHyphen/>
      </w:r>
      <w:r w:rsidR="002F3E43">
        <w:rPr>
          <w:noProof/>
        </w:rPr>
        <w:t>7</w:t>
      </w:r>
      <w:r w:rsidR="00C65B68" w:rsidRPr="00545EC0">
        <w:rPr>
          <w:rFonts w:cs="Arial"/>
          <w:szCs w:val="20"/>
        </w:rPr>
        <w:fldChar w:fldCharType="end"/>
      </w:r>
      <w:r w:rsidRPr="00545EC0">
        <w:rPr>
          <w:rFonts w:cs="Arial"/>
          <w:szCs w:val="20"/>
        </w:rPr>
        <w:t>).</w:t>
      </w:r>
    </w:p>
    <w:p w14:paraId="6888C4C3" w14:textId="38804577" w:rsidR="00611726" w:rsidRPr="00545EC0" w:rsidRDefault="00611726" w:rsidP="00581CEA">
      <w:pPr>
        <w:spacing w:before="160" w:after="160"/>
        <w:rPr>
          <w:rFonts w:ascii="Arial Narrow" w:hAnsi="Arial Narrow"/>
          <w:bCs/>
        </w:rPr>
      </w:pPr>
      <w:r w:rsidRPr="00545EC0">
        <w:rPr>
          <w:rFonts w:cs="Arial"/>
          <w:bCs/>
          <w:szCs w:val="20"/>
        </w:rPr>
        <w:t xml:space="preserve">Količinsko stanje podzemne vode je po tem preizkusu ocenjeno kot </w:t>
      </w:r>
      <w:r w:rsidR="007C07BC" w:rsidRPr="00545EC0">
        <w:rPr>
          <w:rFonts w:cs="Arial"/>
          <w:bCs/>
          <w:szCs w:val="20"/>
        </w:rPr>
        <w:t>dobro</w:t>
      </w:r>
      <w:r w:rsidRPr="00545EC0">
        <w:rPr>
          <w:rFonts w:cs="Arial"/>
          <w:bCs/>
          <w:szCs w:val="20"/>
        </w:rPr>
        <w:t xml:space="preserve"> s srednjo stopnjo zaupanja. Stopnja zaupanja rezultatov preizkusa je ocenjena kot srednja predvsem zaradi nezadostnega poznavanja hidravličnih odnosov med površinskimi in podzemnimi vodami..</w:t>
      </w:r>
    </w:p>
    <w:p w14:paraId="4E0B6275" w14:textId="48D85A8A" w:rsidR="00C65B68" w:rsidRPr="00545EC0" w:rsidRDefault="00C65B68" w:rsidP="00B64EB9">
      <w:pPr>
        <w:pStyle w:val="Napis"/>
      </w:pPr>
      <w:bookmarkStart w:id="556" w:name="_Ref84323765"/>
      <w:r w:rsidRPr="00545EC0">
        <w:t xml:space="preserve">Preglednica </w:t>
      </w:r>
      <w:fldSimple w:instr=" STYLEREF 1 \s ">
        <w:r w:rsidR="002F3E43">
          <w:rPr>
            <w:noProof/>
          </w:rPr>
          <w:t>3</w:t>
        </w:r>
      </w:fldSimple>
      <w:r w:rsidR="001A7511" w:rsidRPr="00545EC0">
        <w:noBreakHyphen/>
      </w:r>
      <w:fldSimple w:instr=" SEQ Preglednica \* ARABIC \s 1 ">
        <w:r w:rsidR="002F3E43">
          <w:rPr>
            <w:noProof/>
          </w:rPr>
          <w:t>7</w:t>
        </w:r>
      </w:fldSimple>
      <w:bookmarkEnd w:id="556"/>
      <w:r w:rsidRPr="00545EC0">
        <w:t xml:space="preserve">: Analiza vpliva odvzema podzemne vode na ekološko stanje površinskih voda na vodnem območju </w:t>
      </w:r>
      <w:r w:rsidR="007C07BC" w:rsidRPr="00545EC0">
        <w:t>Donave</w:t>
      </w:r>
    </w:p>
    <w:tbl>
      <w:tblPr>
        <w:tblW w:w="5000" w:type="pct"/>
        <w:tblLayout w:type="fixed"/>
        <w:tblCellMar>
          <w:left w:w="70" w:type="dxa"/>
          <w:right w:w="70" w:type="dxa"/>
        </w:tblCellMar>
        <w:tblLook w:val="04A0" w:firstRow="1" w:lastRow="0" w:firstColumn="1" w:lastColumn="0" w:noHBand="0" w:noVBand="1"/>
      </w:tblPr>
      <w:tblGrid>
        <w:gridCol w:w="496"/>
        <w:gridCol w:w="1275"/>
        <w:gridCol w:w="2410"/>
        <w:gridCol w:w="1135"/>
        <w:gridCol w:w="991"/>
        <w:gridCol w:w="1848"/>
        <w:gridCol w:w="1056"/>
      </w:tblGrid>
      <w:tr w:rsidR="00B64EB9" w:rsidRPr="00545EC0" w14:paraId="1BC669B8" w14:textId="77777777" w:rsidTr="00B64EB9">
        <w:trPr>
          <w:trHeight w:val="1380"/>
        </w:trPr>
        <w:tc>
          <w:tcPr>
            <w:tcW w:w="269"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66711D07" w14:textId="77777777" w:rsidR="00B64EB9" w:rsidRPr="00545EC0" w:rsidRDefault="00B64EB9" w:rsidP="00B64EB9">
            <w:pPr>
              <w:overflowPunct/>
              <w:autoSpaceDE/>
              <w:autoSpaceDN/>
              <w:adjustRightInd/>
              <w:spacing w:line="240" w:lineRule="auto"/>
              <w:jc w:val="left"/>
              <w:textAlignment w:val="auto"/>
              <w:rPr>
                <w:rFonts w:cs="Arial"/>
                <w:b/>
                <w:bCs/>
                <w:color w:val="000000"/>
                <w:sz w:val="18"/>
                <w:szCs w:val="18"/>
              </w:rPr>
            </w:pPr>
            <w:r w:rsidRPr="00545EC0">
              <w:rPr>
                <w:rFonts w:cs="Arial"/>
                <w:b/>
                <w:bCs/>
                <w:iCs/>
                <w:color w:val="000000"/>
                <w:sz w:val="18"/>
                <w:szCs w:val="18"/>
                <w:lang w:val="pl-PL"/>
              </w:rPr>
              <w:t>Zap. št.</w:t>
            </w:r>
          </w:p>
        </w:tc>
        <w:tc>
          <w:tcPr>
            <w:tcW w:w="692" w:type="pct"/>
            <w:tcBorders>
              <w:top w:val="single" w:sz="4" w:space="0" w:color="auto"/>
              <w:left w:val="nil"/>
              <w:bottom w:val="single" w:sz="4" w:space="0" w:color="auto"/>
              <w:right w:val="single" w:sz="4" w:space="0" w:color="auto"/>
            </w:tcBorders>
            <w:shd w:val="clear" w:color="000000" w:fill="F2F2F2"/>
            <w:noWrap/>
            <w:vAlign w:val="center"/>
            <w:hideMark/>
          </w:tcPr>
          <w:p w14:paraId="1C737F58" w14:textId="77777777" w:rsidR="00B64EB9" w:rsidRPr="00545EC0" w:rsidRDefault="00B64EB9" w:rsidP="00B64EB9">
            <w:pPr>
              <w:overflowPunct/>
              <w:autoSpaceDE/>
              <w:autoSpaceDN/>
              <w:adjustRightInd/>
              <w:spacing w:line="240" w:lineRule="auto"/>
              <w:jc w:val="left"/>
              <w:textAlignment w:val="auto"/>
              <w:rPr>
                <w:rFonts w:cs="Arial"/>
                <w:b/>
                <w:bCs/>
                <w:color w:val="000000"/>
                <w:sz w:val="18"/>
                <w:szCs w:val="18"/>
              </w:rPr>
            </w:pPr>
            <w:r w:rsidRPr="00545EC0">
              <w:rPr>
                <w:rFonts w:cs="Arial"/>
                <w:b/>
                <w:bCs/>
                <w:color w:val="000000"/>
                <w:sz w:val="18"/>
                <w:szCs w:val="18"/>
                <w:lang w:val="pt-BR"/>
              </w:rPr>
              <w:t>Vodno telo podzemne vode (šifra)</w:t>
            </w:r>
          </w:p>
        </w:tc>
        <w:tc>
          <w:tcPr>
            <w:tcW w:w="1308" w:type="pct"/>
            <w:tcBorders>
              <w:top w:val="single" w:sz="4" w:space="0" w:color="auto"/>
              <w:left w:val="nil"/>
              <w:bottom w:val="single" w:sz="4" w:space="0" w:color="auto"/>
              <w:right w:val="single" w:sz="4" w:space="0" w:color="auto"/>
            </w:tcBorders>
            <w:shd w:val="clear" w:color="000000" w:fill="F2F2F2"/>
            <w:noWrap/>
            <w:vAlign w:val="center"/>
            <w:hideMark/>
          </w:tcPr>
          <w:p w14:paraId="15E918BB" w14:textId="77777777" w:rsidR="00B64EB9" w:rsidRPr="00545EC0" w:rsidRDefault="00B64EB9" w:rsidP="00B64EB9">
            <w:pPr>
              <w:overflowPunct/>
              <w:autoSpaceDE/>
              <w:autoSpaceDN/>
              <w:adjustRightInd/>
              <w:spacing w:line="240" w:lineRule="auto"/>
              <w:jc w:val="left"/>
              <w:textAlignment w:val="auto"/>
              <w:rPr>
                <w:rFonts w:cs="Arial"/>
                <w:b/>
                <w:bCs/>
                <w:color w:val="000000"/>
                <w:sz w:val="18"/>
                <w:szCs w:val="18"/>
              </w:rPr>
            </w:pPr>
            <w:r w:rsidRPr="00545EC0">
              <w:rPr>
                <w:rFonts w:cs="Arial"/>
                <w:b/>
                <w:bCs/>
                <w:color w:val="000000"/>
                <w:sz w:val="18"/>
                <w:szCs w:val="18"/>
                <w:lang w:val="pt-BR"/>
              </w:rPr>
              <w:t>Vodno telo površinske vode (šifra in ime)</w:t>
            </w:r>
          </w:p>
        </w:tc>
        <w:tc>
          <w:tcPr>
            <w:tcW w:w="616" w:type="pct"/>
            <w:tcBorders>
              <w:top w:val="single" w:sz="4" w:space="0" w:color="auto"/>
              <w:left w:val="nil"/>
              <w:bottom w:val="single" w:sz="4" w:space="0" w:color="auto"/>
              <w:right w:val="single" w:sz="4" w:space="0" w:color="auto"/>
            </w:tcBorders>
            <w:shd w:val="clear" w:color="000000" w:fill="F2F2F2"/>
            <w:vAlign w:val="center"/>
            <w:hideMark/>
          </w:tcPr>
          <w:p w14:paraId="2A667588" w14:textId="1412F65C" w:rsidR="00B64EB9" w:rsidRPr="00545EC0" w:rsidRDefault="00B64EB9" w:rsidP="00B64EB9">
            <w:pPr>
              <w:overflowPunct/>
              <w:autoSpaceDE/>
              <w:autoSpaceDN/>
              <w:adjustRightInd/>
              <w:spacing w:line="240" w:lineRule="auto"/>
              <w:jc w:val="center"/>
              <w:textAlignment w:val="auto"/>
              <w:rPr>
                <w:rFonts w:cs="Arial"/>
                <w:b/>
                <w:bCs/>
                <w:color w:val="000000"/>
                <w:sz w:val="18"/>
                <w:szCs w:val="18"/>
              </w:rPr>
            </w:pPr>
            <w:r w:rsidRPr="00545EC0">
              <w:rPr>
                <w:rFonts w:cs="Arial"/>
                <w:b/>
                <w:bCs/>
                <w:color w:val="000000"/>
                <w:sz w:val="18"/>
                <w:szCs w:val="18"/>
                <w:lang w:val="sv-SE"/>
              </w:rPr>
              <w:t>Pogoj 1*</w:t>
            </w:r>
          </w:p>
        </w:tc>
        <w:tc>
          <w:tcPr>
            <w:tcW w:w="538" w:type="pct"/>
            <w:tcBorders>
              <w:top w:val="single" w:sz="4" w:space="0" w:color="auto"/>
              <w:left w:val="nil"/>
              <w:bottom w:val="single" w:sz="4" w:space="0" w:color="auto"/>
              <w:right w:val="single" w:sz="4" w:space="0" w:color="auto"/>
            </w:tcBorders>
            <w:shd w:val="clear" w:color="000000" w:fill="F2F2F2"/>
            <w:vAlign w:val="center"/>
            <w:hideMark/>
          </w:tcPr>
          <w:p w14:paraId="37B7B3B4" w14:textId="03209579" w:rsidR="00B64EB9" w:rsidRPr="00545EC0" w:rsidRDefault="00B64EB9" w:rsidP="00B64EB9">
            <w:pPr>
              <w:overflowPunct/>
              <w:autoSpaceDE/>
              <w:autoSpaceDN/>
              <w:adjustRightInd/>
              <w:spacing w:line="240" w:lineRule="auto"/>
              <w:jc w:val="center"/>
              <w:textAlignment w:val="auto"/>
              <w:rPr>
                <w:rFonts w:cs="Arial"/>
                <w:b/>
                <w:bCs/>
                <w:color w:val="000000"/>
                <w:sz w:val="18"/>
                <w:szCs w:val="18"/>
              </w:rPr>
            </w:pPr>
            <w:r w:rsidRPr="00545EC0">
              <w:rPr>
                <w:rFonts w:cs="Arial"/>
                <w:b/>
                <w:bCs/>
                <w:color w:val="000000"/>
                <w:sz w:val="18"/>
                <w:szCs w:val="18"/>
                <w:lang w:val="sv-SE"/>
              </w:rPr>
              <w:t>Pogoj 2**</w:t>
            </w:r>
          </w:p>
        </w:tc>
        <w:tc>
          <w:tcPr>
            <w:tcW w:w="1003" w:type="pct"/>
            <w:tcBorders>
              <w:top w:val="single" w:sz="4" w:space="0" w:color="auto"/>
              <w:left w:val="nil"/>
              <w:bottom w:val="single" w:sz="4" w:space="0" w:color="auto"/>
              <w:right w:val="single" w:sz="4" w:space="0" w:color="auto"/>
            </w:tcBorders>
            <w:shd w:val="clear" w:color="000000" w:fill="F2F2F2"/>
            <w:vAlign w:val="center"/>
            <w:hideMark/>
          </w:tcPr>
          <w:p w14:paraId="1D75DD4E" w14:textId="77777777" w:rsidR="00B64EB9" w:rsidRPr="00545EC0" w:rsidRDefault="00B64EB9" w:rsidP="00B64EB9">
            <w:pPr>
              <w:overflowPunct/>
              <w:autoSpaceDE/>
              <w:autoSpaceDN/>
              <w:adjustRightInd/>
              <w:spacing w:line="240" w:lineRule="auto"/>
              <w:jc w:val="left"/>
              <w:textAlignment w:val="auto"/>
              <w:rPr>
                <w:rFonts w:cs="Arial"/>
                <w:b/>
                <w:bCs/>
                <w:color w:val="000000"/>
                <w:sz w:val="18"/>
                <w:szCs w:val="18"/>
              </w:rPr>
            </w:pPr>
            <w:r w:rsidRPr="00545EC0">
              <w:rPr>
                <w:rFonts w:cs="Arial"/>
                <w:b/>
                <w:bCs/>
                <w:iCs/>
                <w:color w:val="000000"/>
                <w:sz w:val="18"/>
                <w:szCs w:val="18"/>
                <w:lang w:val="sv-SE"/>
              </w:rPr>
              <w:t>Ali so izpolnjeni kriteriji dobrega količinskega stanja, da odvzemi podzemne vode ne povzročajo slabega ekološkega stanja površinskih voda?</w:t>
            </w:r>
          </w:p>
        </w:tc>
        <w:tc>
          <w:tcPr>
            <w:tcW w:w="573" w:type="pct"/>
            <w:tcBorders>
              <w:top w:val="single" w:sz="4" w:space="0" w:color="auto"/>
              <w:left w:val="nil"/>
              <w:bottom w:val="single" w:sz="4" w:space="0" w:color="auto"/>
              <w:right w:val="single" w:sz="4" w:space="0" w:color="auto"/>
            </w:tcBorders>
            <w:shd w:val="clear" w:color="000000" w:fill="F2F2F2"/>
            <w:vAlign w:val="center"/>
            <w:hideMark/>
          </w:tcPr>
          <w:p w14:paraId="4DB7B5CD" w14:textId="77777777" w:rsidR="00B64EB9" w:rsidRPr="00545EC0" w:rsidRDefault="00B64EB9" w:rsidP="00B64EB9">
            <w:pPr>
              <w:overflowPunct/>
              <w:autoSpaceDE/>
              <w:autoSpaceDN/>
              <w:adjustRightInd/>
              <w:spacing w:line="240" w:lineRule="auto"/>
              <w:jc w:val="left"/>
              <w:textAlignment w:val="auto"/>
              <w:rPr>
                <w:rFonts w:cs="Arial"/>
                <w:b/>
                <w:bCs/>
                <w:color w:val="000000"/>
                <w:sz w:val="18"/>
                <w:szCs w:val="18"/>
              </w:rPr>
            </w:pPr>
            <w:r w:rsidRPr="00545EC0">
              <w:rPr>
                <w:rFonts w:cs="Arial"/>
                <w:b/>
                <w:bCs/>
                <w:iCs/>
                <w:color w:val="000000"/>
                <w:sz w:val="18"/>
                <w:szCs w:val="18"/>
              </w:rPr>
              <w:t>Stopnja zaupanja</w:t>
            </w:r>
          </w:p>
        </w:tc>
      </w:tr>
      <w:tr w:rsidR="00B64EB9" w:rsidRPr="00545EC0" w14:paraId="57610F49" w14:textId="77777777" w:rsidTr="00B64EB9">
        <w:trPr>
          <w:trHeight w:val="290"/>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14:paraId="25D26F11" w14:textId="77777777" w:rsidR="00B64EB9" w:rsidRPr="00545EC0" w:rsidRDefault="00B64EB9" w:rsidP="00B64EB9">
            <w:pPr>
              <w:overflowPunct/>
              <w:autoSpaceDE/>
              <w:autoSpaceDN/>
              <w:adjustRightInd/>
              <w:spacing w:line="240" w:lineRule="auto"/>
              <w:jc w:val="right"/>
              <w:textAlignment w:val="auto"/>
              <w:rPr>
                <w:rFonts w:cs="Arial"/>
                <w:color w:val="000000"/>
                <w:sz w:val="18"/>
                <w:szCs w:val="18"/>
              </w:rPr>
            </w:pPr>
            <w:r w:rsidRPr="00545EC0">
              <w:rPr>
                <w:rFonts w:cs="Arial"/>
                <w:color w:val="000000"/>
                <w:sz w:val="18"/>
                <w:szCs w:val="18"/>
              </w:rPr>
              <w:t>1</w:t>
            </w:r>
          </w:p>
        </w:tc>
        <w:tc>
          <w:tcPr>
            <w:tcW w:w="692" w:type="pct"/>
            <w:tcBorders>
              <w:top w:val="nil"/>
              <w:left w:val="nil"/>
              <w:bottom w:val="single" w:sz="4" w:space="0" w:color="auto"/>
              <w:right w:val="single" w:sz="4" w:space="0" w:color="auto"/>
            </w:tcBorders>
            <w:shd w:val="clear" w:color="auto" w:fill="auto"/>
            <w:noWrap/>
            <w:vAlign w:val="bottom"/>
            <w:hideMark/>
          </w:tcPr>
          <w:p w14:paraId="14FBB3FF" w14:textId="77777777" w:rsidR="00B64EB9" w:rsidRPr="00545EC0" w:rsidRDefault="00B64EB9" w:rsidP="00B64EB9">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rPr>
              <w:t>1001, 1005, 1006</w:t>
            </w:r>
          </w:p>
        </w:tc>
        <w:tc>
          <w:tcPr>
            <w:tcW w:w="1308" w:type="pct"/>
            <w:tcBorders>
              <w:top w:val="nil"/>
              <w:left w:val="nil"/>
              <w:bottom w:val="single" w:sz="4" w:space="0" w:color="auto"/>
              <w:right w:val="single" w:sz="4" w:space="0" w:color="auto"/>
            </w:tcBorders>
            <w:shd w:val="clear" w:color="auto" w:fill="auto"/>
            <w:noWrap/>
            <w:vAlign w:val="bottom"/>
            <w:hideMark/>
          </w:tcPr>
          <w:p w14:paraId="173508CB" w14:textId="77777777" w:rsidR="00B64EB9" w:rsidRPr="00545EC0" w:rsidRDefault="00B64EB9" w:rsidP="00B64EB9">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lang w:val="sv-SE"/>
              </w:rPr>
              <w:t xml:space="preserve">116VT7 Kokra Preddvor – Kranj </w:t>
            </w:r>
          </w:p>
        </w:tc>
        <w:tc>
          <w:tcPr>
            <w:tcW w:w="616" w:type="pct"/>
            <w:tcBorders>
              <w:top w:val="nil"/>
              <w:left w:val="nil"/>
              <w:bottom w:val="single" w:sz="4" w:space="0" w:color="auto"/>
              <w:right w:val="single" w:sz="4" w:space="0" w:color="auto"/>
            </w:tcBorders>
            <w:shd w:val="clear" w:color="000000" w:fill="FFFFFF"/>
            <w:vAlign w:val="center"/>
            <w:hideMark/>
          </w:tcPr>
          <w:p w14:paraId="689F0E56" w14:textId="77777777" w:rsidR="00B64EB9" w:rsidRPr="00545EC0" w:rsidRDefault="00B64EB9" w:rsidP="00B64EB9">
            <w:pPr>
              <w:overflowPunct/>
              <w:autoSpaceDE/>
              <w:autoSpaceDN/>
              <w:adjustRightInd/>
              <w:spacing w:line="240" w:lineRule="auto"/>
              <w:jc w:val="center"/>
              <w:textAlignment w:val="auto"/>
              <w:rPr>
                <w:rFonts w:cs="Arial"/>
                <w:b/>
                <w:bCs/>
                <w:color w:val="000000"/>
                <w:sz w:val="18"/>
                <w:szCs w:val="18"/>
              </w:rPr>
            </w:pPr>
            <w:r w:rsidRPr="00545EC0">
              <w:rPr>
                <w:rFonts w:cs="Arial"/>
                <w:b/>
                <w:bCs/>
                <w:color w:val="000000"/>
                <w:sz w:val="18"/>
                <w:szCs w:val="18"/>
              </w:rPr>
              <w:sym w:font="Wingdings" w:char="F0FC"/>
            </w:r>
          </w:p>
        </w:tc>
        <w:tc>
          <w:tcPr>
            <w:tcW w:w="538" w:type="pct"/>
            <w:tcBorders>
              <w:top w:val="nil"/>
              <w:left w:val="nil"/>
              <w:bottom w:val="single" w:sz="4" w:space="0" w:color="auto"/>
              <w:right w:val="single" w:sz="4" w:space="0" w:color="auto"/>
            </w:tcBorders>
            <w:shd w:val="clear" w:color="000000" w:fill="FFFFFF"/>
            <w:noWrap/>
            <w:vAlign w:val="center"/>
            <w:hideMark/>
          </w:tcPr>
          <w:p w14:paraId="38F5FB18" w14:textId="77777777" w:rsidR="00B64EB9" w:rsidRPr="00545EC0" w:rsidRDefault="00B64EB9" w:rsidP="00B64EB9">
            <w:pPr>
              <w:overflowPunct/>
              <w:autoSpaceDE/>
              <w:autoSpaceDN/>
              <w:adjustRightInd/>
              <w:spacing w:line="240" w:lineRule="auto"/>
              <w:jc w:val="center"/>
              <w:textAlignment w:val="auto"/>
              <w:rPr>
                <w:rFonts w:cs="Arial"/>
                <w:b/>
                <w:bCs/>
                <w:color w:val="000000"/>
                <w:sz w:val="18"/>
                <w:szCs w:val="18"/>
              </w:rPr>
            </w:pPr>
            <w:r w:rsidRPr="00545EC0">
              <w:rPr>
                <w:rFonts w:cs="Arial"/>
                <w:b/>
                <w:bCs/>
                <w:color w:val="000000"/>
                <w:sz w:val="18"/>
                <w:szCs w:val="18"/>
              </w:rPr>
              <w:sym w:font="Wingdings" w:char="F0FC"/>
            </w:r>
          </w:p>
        </w:tc>
        <w:tc>
          <w:tcPr>
            <w:tcW w:w="1003" w:type="pct"/>
            <w:tcBorders>
              <w:top w:val="nil"/>
              <w:left w:val="nil"/>
              <w:bottom w:val="single" w:sz="4" w:space="0" w:color="auto"/>
              <w:right w:val="single" w:sz="4" w:space="0" w:color="auto"/>
            </w:tcBorders>
            <w:shd w:val="clear" w:color="000000" w:fill="FFFFFF"/>
            <w:vAlign w:val="center"/>
            <w:hideMark/>
          </w:tcPr>
          <w:p w14:paraId="4FAE993D" w14:textId="77777777" w:rsidR="00B64EB9" w:rsidRPr="00545EC0" w:rsidRDefault="00B64EB9" w:rsidP="00B64EB9">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rPr>
              <w:t>DA</w:t>
            </w:r>
          </w:p>
        </w:tc>
        <w:tc>
          <w:tcPr>
            <w:tcW w:w="573" w:type="pct"/>
            <w:tcBorders>
              <w:top w:val="nil"/>
              <w:left w:val="nil"/>
              <w:bottom w:val="single" w:sz="4" w:space="0" w:color="auto"/>
              <w:right w:val="single" w:sz="4" w:space="0" w:color="auto"/>
            </w:tcBorders>
            <w:shd w:val="clear" w:color="000000" w:fill="FFFFFF"/>
            <w:noWrap/>
            <w:vAlign w:val="center"/>
            <w:hideMark/>
          </w:tcPr>
          <w:p w14:paraId="7839AAF9" w14:textId="77777777" w:rsidR="00B64EB9" w:rsidRPr="00545EC0" w:rsidRDefault="00B64EB9" w:rsidP="00B64EB9">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rPr>
              <w:t>srednja</w:t>
            </w:r>
          </w:p>
        </w:tc>
      </w:tr>
      <w:tr w:rsidR="00B64EB9" w:rsidRPr="00545EC0" w14:paraId="7BE38B2C" w14:textId="77777777" w:rsidTr="00B64EB9">
        <w:trPr>
          <w:trHeight w:val="290"/>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14:paraId="419454E3" w14:textId="77777777" w:rsidR="00B64EB9" w:rsidRPr="00545EC0" w:rsidRDefault="00B64EB9" w:rsidP="00B64EB9">
            <w:pPr>
              <w:overflowPunct/>
              <w:autoSpaceDE/>
              <w:autoSpaceDN/>
              <w:adjustRightInd/>
              <w:spacing w:line="240" w:lineRule="auto"/>
              <w:jc w:val="right"/>
              <w:textAlignment w:val="auto"/>
              <w:rPr>
                <w:rFonts w:cs="Arial"/>
                <w:color w:val="000000"/>
                <w:sz w:val="18"/>
                <w:szCs w:val="18"/>
              </w:rPr>
            </w:pPr>
            <w:r w:rsidRPr="00545EC0">
              <w:rPr>
                <w:rFonts w:cs="Arial"/>
                <w:color w:val="000000"/>
                <w:sz w:val="18"/>
                <w:szCs w:val="18"/>
              </w:rPr>
              <w:t>2</w:t>
            </w:r>
          </w:p>
        </w:tc>
        <w:tc>
          <w:tcPr>
            <w:tcW w:w="692" w:type="pct"/>
            <w:tcBorders>
              <w:top w:val="nil"/>
              <w:left w:val="nil"/>
              <w:bottom w:val="single" w:sz="4" w:space="0" w:color="auto"/>
              <w:right w:val="single" w:sz="4" w:space="0" w:color="auto"/>
            </w:tcBorders>
            <w:shd w:val="clear" w:color="auto" w:fill="auto"/>
            <w:noWrap/>
            <w:vAlign w:val="bottom"/>
            <w:hideMark/>
          </w:tcPr>
          <w:p w14:paraId="72895B7C" w14:textId="77777777" w:rsidR="00B64EB9" w:rsidRPr="00545EC0" w:rsidRDefault="00B64EB9" w:rsidP="00B64EB9">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rPr>
              <w:t>1007</w:t>
            </w:r>
          </w:p>
        </w:tc>
        <w:tc>
          <w:tcPr>
            <w:tcW w:w="1308" w:type="pct"/>
            <w:tcBorders>
              <w:top w:val="nil"/>
              <w:left w:val="nil"/>
              <w:bottom w:val="single" w:sz="4" w:space="0" w:color="auto"/>
              <w:right w:val="single" w:sz="4" w:space="0" w:color="auto"/>
            </w:tcBorders>
            <w:shd w:val="clear" w:color="auto" w:fill="auto"/>
            <w:noWrap/>
            <w:vAlign w:val="bottom"/>
            <w:hideMark/>
          </w:tcPr>
          <w:p w14:paraId="1A8787C7" w14:textId="77777777" w:rsidR="00B64EB9" w:rsidRPr="00545EC0" w:rsidRDefault="00B64EB9" w:rsidP="00B64EB9">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lang w:val="sv-SE"/>
              </w:rPr>
              <w:t>121VT Poljanska Sora</w:t>
            </w:r>
          </w:p>
        </w:tc>
        <w:tc>
          <w:tcPr>
            <w:tcW w:w="616" w:type="pct"/>
            <w:tcBorders>
              <w:top w:val="nil"/>
              <w:left w:val="nil"/>
              <w:bottom w:val="single" w:sz="4" w:space="0" w:color="auto"/>
              <w:right w:val="single" w:sz="4" w:space="0" w:color="auto"/>
            </w:tcBorders>
            <w:shd w:val="clear" w:color="000000" w:fill="FFFFFF"/>
            <w:vAlign w:val="center"/>
            <w:hideMark/>
          </w:tcPr>
          <w:p w14:paraId="5C70AE24" w14:textId="77777777" w:rsidR="00B64EB9" w:rsidRPr="00545EC0" w:rsidRDefault="00B64EB9" w:rsidP="00B64EB9">
            <w:pPr>
              <w:overflowPunct/>
              <w:autoSpaceDE/>
              <w:autoSpaceDN/>
              <w:adjustRightInd/>
              <w:spacing w:line="240" w:lineRule="auto"/>
              <w:jc w:val="center"/>
              <w:textAlignment w:val="auto"/>
              <w:rPr>
                <w:rFonts w:cs="Arial"/>
                <w:b/>
                <w:bCs/>
                <w:color w:val="000000"/>
                <w:sz w:val="18"/>
                <w:szCs w:val="18"/>
              </w:rPr>
            </w:pPr>
            <w:r w:rsidRPr="00545EC0">
              <w:rPr>
                <w:rFonts w:cs="Arial"/>
                <w:b/>
                <w:bCs/>
                <w:color w:val="000000"/>
                <w:sz w:val="18"/>
                <w:szCs w:val="18"/>
              </w:rPr>
              <w:sym w:font="Wingdings" w:char="F0FC"/>
            </w:r>
          </w:p>
        </w:tc>
        <w:tc>
          <w:tcPr>
            <w:tcW w:w="538" w:type="pct"/>
            <w:tcBorders>
              <w:top w:val="nil"/>
              <w:left w:val="nil"/>
              <w:bottom w:val="single" w:sz="4" w:space="0" w:color="auto"/>
              <w:right w:val="single" w:sz="4" w:space="0" w:color="auto"/>
            </w:tcBorders>
            <w:shd w:val="clear" w:color="000000" w:fill="FFFFFF"/>
            <w:noWrap/>
            <w:vAlign w:val="center"/>
            <w:hideMark/>
          </w:tcPr>
          <w:p w14:paraId="69D5748A" w14:textId="77777777" w:rsidR="00B64EB9" w:rsidRPr="00545EC0" w:rsidRDefault="00B64EB9" w:rsidP="00B64EB9">
            <w:pPr>
              <w:overflowPunct/>
              <w:autoSpaceDE/>
              <w:autoSpaceDN/>
              <w:adjustRightInd/>
              <w:spacing w:line="240" w:lineRule="auto"/>
              <w:jc w:val="center"/>
              <w:textAlignment w:val="auto"/>
              <w:rPr>
                <w:rFonts w:cs="Arial"/>
                <w:b/>
                <w:bCs/>
                <w:color w:val="000000"/>
                <w:sz w:val="18"/>
                <w:szCs w:val="18"/>
              </w:rPr>
            </w:pPr>
            <w:r w:rsidRPr="00545EC0">
              <w:rPr>
                <w:rFonts w:cs="Arial"/>
                <w:b/>
                <w:bCs/>
                <w:color w:val="000000"/>
                <w:sz w:val="18"/>
                <w:szCs w:val="18"/>
              </w:rPr>
              <w:sym w:font="Wingdings" w:char="F0FC"/>
            </w:r>
          </w:p>
        </w:tc>
        <w:tc>
          <w:tcPr>
            <w:tcW w:w="1003" w:type="pct"/>
            <w:tcBorders>
              <w:top w:val="nil"/>
              <w:left w:val="nil"/>
              <w:bottom w:val="single" w:sz="4" w:space="0" w:color="auto"/>
              <w:right w:val="single" w:sz="4" w:space="0" w:color="auto"/>
            </w:tcBorders>
            <w:shd w:val="clear" w:color="000000" w:fill="FFFFFF"/>
            <w:vAlign w:val="center"/>
            <w:hideMark/>
          </w:tcPr>
          <w:p w14:paraId="3CE4CDB1" w14:textId="77777777" w:rsidR="00B64EB9" w:rsidRPr="00545EC0" w:rsidRDefault="00B64EB9" w:rsidP="00B64EB9">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rPr>
              <w:t>DA</w:t>
            </w:r>
          </w:p>
        </w:tc>
        <w:tc>
          <w:tcPr>
            <w:tcW w:w="573" w:type="pct"/>
            <w:tcBorders>
              <w:top w:val="nil"/>
              <w:left w:val="nil"/>
              <w:bottom w:val="single" w:sz="4" w:space="0" w:color="auto"/>
              <w:right w:val="single" w:sz="4" w:space="0" w:color="auto"/>
            </w:tcBorders>
            <w:shd w:val="clear" w:color="000000" w:fill="FFFFFF"/>
            <w:noWrap/>
            <w:vAlign w:val="center"/>
            <w:hideMark/>
          </w:tcPr>
          <w:p w14:paraId="30B3C6EF" w14:textId="77777777" w:rsidR="00B64EB9" w:rsidRPr="00545EC0" w:rsidRDefault="00B64EB9" w:rsidP="00B64EB9">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rPr>
              <w:t>srednja</w:t>
            </w:r>
          </w:p>
        </w:tc>
      </w:tr>
      <w:tr w:rsidR="00B64EB9" w:rsidRPr="00545EC0" w14:paraId="68C5A3BA" w14:textId="77777777" w:rsidTr="00B64EB9">
        <w:trPr>
          <w:trHeight w:val="290"/>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14:paraId="635F1AB5" w14:textId="77777777" w:rsidR="00B64EB9" w:rsidRPr="00545EC0" w:rsidRDefault="00B64EB9" w:rsidP="00B64EB9">
            <w:pPr>
              <w:overflowPunct/>
              <w:autoSpaceDE/>
              <w:autoSpaceDN/>
              <w:adjustRightInd/>
              <w:spacing w:line="240" w:lineRule="auto"/>
              <w:jc w:val="right"/>
              <w:textAlignment w:val="auto"/>
              <w:rPr>
                <w:rFonts w:cs="Arial"/>
                <w:color w:val="000000"/>
                <w:sz w:val="18"/>
                <w:szCs w:val="18"/>
              </w:rPr>
            </w:pPr>
            <w:r w:rsidRPr="00545EC0">
              <w:rPr>
                <w:rFonts w:cs="Arial"/>
                <w:color w:val="000000"/>
                <w:sz w:val="18"/>
                <w:szCs w:val="18"/>
              </w:rPr>
              <w:t>3</w:t>
            </w:r>
          </w:p>
        </w:tc>
        <w:tc>
          <w:tcPr>
            <w:tcW w:w="692" w:type="pct"/>
            <w:tcBorders>
              <w:top w:val="nil"/>
              <w:left w:val="nil"/>
              <w:bottom w:val="single" w:sz="4" w:space="0" w:color="auto"/>
              <w:right w:val="single" w:sz="4" w:space="0" w:color="auto"/>
            </w:tcBorders>
            <w:shd w:val="clear" w:color="auto" w:fill="auto"/>
            <w:noWrap/>
            <w:vAlign w:val="bottom"/>
            <w:hideMark/>
          </w:tcPr>
          <w:p w14:paraId="52907808" w14:textId="77777777" w:rsidR="00B64EB9" w:rsidRPr="00545EC0" w:rsidRDefault="00B64EB9" w:rsidP="00B64EB9">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rPr>
              <w:t>1001, 1007</w:t>
            </w:r>
          </w:p>
        </w:tc>
        <w:tc>
          <w:tcPr>
            <w:tcW w:w="1308" w:type="pct"/>
            <w:tcBorders>
              <w:top w:val="nil"/>
              <w:left w:val="nil"/>
              <w:bottom w:val="single" w:sz="4" w:space="0" w:color="auto"/>
              <w:right w:val="single" w:sz="4" w:space="0" w:color="auto"/>
            </w:tcBorders>
            <w:shd w:val="clear" w:color="auto" w:fill="auto"/>
            <w:noWrap/>
            <w:vAlign w:val="bottom"/>
            <w:hideMark/>
          </w:tcPr>
          <w:p w14:paraId="0B59A26D" w14:textId="77777777" w:rsidR="00B64EB9" w:rsidRPr="00545EC0" w:rsidRDefault="00B64EB9" w:rsidP="00B64EB9">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lang w:val="sv-SE"/>
              </w:rPr>
              <w:t>122VT Selška Sora</w:t>
            </w:r>
          </w:p>
        </w:tc>
        <w:tc>
          <w:tcPr>
            <w:tcW w:w="616" w:type="pct"/>
            <w:tcBorders>
              <w:top w:val="nil"/>
              <w:left w:val="nil"/>
              <w:bottom w:val="single" w:sz="4" w:space="0" w:color="auto"/>
              <w:right w:val="single" w:sz="4" w:space="0" w:color="auto"/>
            </w:tcBorders>
            <w:shd w:val="clear" w:color="000000" w:fill="FFFFFF"/>
            <w:vAlign w:val="center"/>
            <w:hideMark/>
          </w:tcPr>
          <w:p w14:paraId="08B8E912" w14:textId="77777777" w:rsidR="00B64EB9" w:rsidRPr="00545EC0" w:rsidRDefault="00B64EB9" w:rsidP="00B64EB9">
            <w:pPr>
              <w:overflowPunct/>
              <w:autoSpaceDE/>
              <w:autoSpaceDN/>
              <w:adjustRightInd/>
              <w:spacing w:line="240" w:lineRule="auto"/>
              <w:jc w:val="center"/>
              <w:textAlignment w:val="auto"/>
              <w:rPr>
                <w:rFonts w:cs="Arial"/>
                <w:b/>
                <w:bCs/>
                <w:color w:val="000000"/>
                <w:sz w:val="18"/>
                <w:szCs w:val="18"/>
              </w:rPr>
            </w:pPr>
            <w:r w:rsidRPr="00545EC0">
              <w:rPr>
                <w:rFonts w:cs="Arial"/>
                <w:b/>
                <w:bCs/>
                <w:color w:val="000000"/>
                <w:sz w:val="18"/>
                <w:szCs w:val="18"/>
              </w:rPr>
              <w:sym w:font="Wingdings" w:char="F0FC"/>
            </w:r>
          </w:p>
        </w:tc>
        <w:tc>
          <w:tcPr>
            <w:tcW w:w="538" w:type="pct"/>
            <w:tcBorders>
              <w:top w:val="nil"/>
              <w:left w:val="nil"/>
              <w:bottom w:val="single" w:sz="4" w:space="0" w:color="auto"/>
              <w:right w:val="single" w:sz="4" w:space="0" w:color="auto"/>
            </w:tcBorders>
            <w:shd w:val="clear" w:color="000000" w:fill="FFFFFF"/>
            <w:noWrap/>
            <w:vAlign w:val="center"/>
            <w:hideMark/>
          </w:tcPr>
          <w:p w14:paraId="38D2173B" w14:textId="77777777" w:rsidR="00B64EB9" w:rsidRPr="00545EC0" w:rsidRDefault="00B64EB9" w:rsidP="00B64EB9">
            <w:pPr>
              <w:overflowPunct/>
              <w:autoSpaceDE/>
              <w:autoSpaceDN/>
              <w:adjustRightInd/>
              <w:spacing w:line="240" w:lineRule="auto"/>
              <w:jc w:val="center"/>
              <w:textAlignment w:val="auto"/>
              <w:rPr>
                <w:rFonts w:cs="Arial"/>
                <w:b/>
                <w:bCs/>
                <w:color w:val="000000"/>
                <w:sz w:val="18"/>
                <w:szCs w:val="18"/>
              </w:rPr>
            </w:pPr>
            <w:r w:rsidRPr="00545EC0">
              <w:rPr>
                <w:rFonts w:cs="Arial"/>
                <w:b/>
                <w:bCs/>
                <w:color w:val="000000"/>
                <w:sz w:val="18"/>
                <w:szCs w:val="18"/>
              </w:rPr>
              <w:sym w:font="Wingdings" w:char="F0FC"/>
            </w:r>
          </w:p>
        </w:tc>
        <w:tc>
          <w:tcPr>
            <w:tcW w:w="1003" w:type="pct"/>
            <w:tcBorders>
              <w:top w:val="nil"/>
              <w:left w:val="nil"/>
              <w:bottom w:val="single" w:sz="4" w:space="0" w:color="auto"/>
              <w:right w:val="single" w:sz="4" w:space="0" w:color="auto"/>
            </w:tcBorders>
            <w:shd w:val="clear" w:color="000000" w:fill="FFFFFF"/>
            <w:vAlign w:val="center"/>
            <w:hideMark/>
          </w:tcPr>
          <w:p w14:paraId="6ED1F50B" w14:textId="77777777" w:rsidR="00B64EB9" w:rsidRPr="00545EC0" w:rsidRDefault="00B64EB9" w:rsidP="00B64EB9">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rPr>
              <w:t>DA</w:t>
            </w:r>
          </w:p>
        </w:tc>
        <w:tc>
          <w:tcPr>
            <w:tcW w:w="573" w:type="pct"/>
            <w:tcBorders>
              <w:top w:val="nil"/>
              <w:left w:val="nil"/>
              <w:bottom w:val="single" w:sz="4" w:space="0" w:color="auto"/>
              <w:right w:val="single" w:sz="4" w:space="0" w:color="auto"/>
            </w:tcBorders>
            <w:shd w:val="clear" w:color="000000" w:fill="FFFFFF"/>
            <w:noWrap/>
            <w:vAlign w:val="center"/>
            <w:hideMark/>
          </w:tcPr>
          <w:p w14:paraId="07B29332" w14:textId="77777777" w:rsidR="00B64EB9" w:rsidRPr="00545EC0" w:rsidRDefault="00B64EB9" w:rsidP="00B64EB9">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rPr>
              <w:t>srednja</w:t>
            </w:r>
          </w:p>
        </w:tc>
      </w:tr>
      <w:tr w:rsidR="00B64EB9" w:rsidRPr="00545EC0" w14:paraId="03F3B51B" w14:textId="77777777" w:rsidTr="00B64EB9">
        <w:trPr>
          <w:trHeight w:val="290"/>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14:paraId="01270A1D" w14:textId="77777777" w:rsidR="00B64EB9" w:rsidRPr="00545EC0" w:rsidRDefault="00B64EB9" w:rsidP="00B64EB9">
            <w:pPr>
              <w:overflowPunct/>
              <w:autoSpaceDE/>
              <w:autoSpaceDN/>
              <w:adjustRightInd/>
              <w:spacing w:line="240" w:lineRule="auto"/>
              <w:jc w:val="right"/>
              <w:textAlignment w:val="auto"/>
              <w:rPr>
                <w:rFonts w:cs="Arial"/>
                <w:color w:val="000000"/>
                <w:sz w:val="18"/>
                <w:szCs w:val="18"/>
              </w:rPr>
            </w:pPr>
            <w:r w:rsidRPr="00545EC0">
              <w:rPr>
                <w:rFonts w:cs="Arial"/>
                <w:color w:val="000000"/>
                <w:sz w:val="18"/>
                <w:szCs w:val="18"/>
              </w:rPr>
              <w:t>4</w:t>
            </w:r>
          </w:p>
        </w:tc>
        <w:tc>
          <w:tcPr>
            <w:tcW w:w="692" w:type="pct"/>
            <w:tcBorders>
              <w:top w:val="nil"/>
              <w:left w:val="nil"/>
              <w:bottom w:val="single" w:sz="4" w:space="0" w:color="auto"/>
              <w:right w:val="single" w:sz="4" w:space="0" w:color="auto"/>
            </w:tcBorders>
            <w:shd w:val="clear" w:color="auto" w:fill="auto"/>
            <w:noWrap/>
            <w:vAlign w:val="bottom"/>
            <w:hideMark/>
          </w:tcPr>
          <w:p w14:paraId="51BBB175" w14:textId="77777777" w:rsidR="00B64EB9" w:rsidRPr="00545EC0" w:rsidRDefault="00B64EB9" w:rsidP="00B64EB9">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rPr>
              <w:t>1001, 1007</w:t>
            </w:r>
          </w:p>
        </w:tc>
        <w:tc>
          <w:tcPr>
            <w:tcW w:w="1308" w:type="pct"/>
            <w:tcBorders>
              <w:top w:val="nil"/>
              <w:left w:val="nil"/>
              <w:bottom w:val="single" w:sz="4" w:space="0" w:color="auto"/>
              <w:right w:val="single" w:sz="4" w:space="0" w:color="auto"/>
            </w:tcBorders>
            <w:shd w:val="clear" w:color="auto" w:fill="auto"/>
            <w:noWrap/>
            <w:vAlign w:val="bottom"/>
            <w:hideMark/>
          </w:tcPr>
          <w:p w14:paraId="2893B4D1" w14:textId="77777777" w:rsidR="00B64EB9" w:rsidRPr="00545EC0" w:rsidRDefault="00B64EB9" w:rsidP="00B64EB9">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lang w:val="sv-SE"/>
              </w:rPr>
              <w:t>123VT Sora</w:t>
            </w:r>
          </w:p>
        </w:tc>
        <w:tc>
          <w:tcPr>
            <w:tcW w:w="616" w:type="pct"/>
            <w:tcBorders>
              <w:top w:val="nil"/>
              <w:left w:val="nil"/>
              <w:bottom w:val="single" w:sz="4" w:space="0" w:color="auto"/>
              <w:right w:val="single" w:sz="4" w:space="0" w:color="auto"/>
            </w:tcBorders>
            <w:shd w:val="clear" w:color="000000" w:fill="FFFFFF"/>
            <w:vAlign w:val="center"/>
            <w:hideMark/>
          </w:tcPr>
          <w:p w14:paraId="458C76AA" w14:textId="77777777" w:rsidR="00B64EB9" w:rsidRPr="00545EC0" w:rsidRDefault="00B64EB9" w:rsidP="00B64EB9">
            <w:pPr>
              <w:overflowPunct/>
              <w:autoSpaceDE/>
              <w:autoSpaceDN/>
              <w:adjustRightInd/>
              <w:spacing w:line="240" w:lineRule="auto"/>
              <w:jc w:val="center"/>
              <w:textAlignment w:val="auto"/>
              <w:rPr>
                <w:rFonts w:cs="Arial"/>
                <w:b/>
                <w:bCs/>
                <w:color w:val="000000"/>
                <w:sz w:val="18"/>
                <w:szCs w:val="18"/>
              </w:rPr>
            </w:pPr>
            <w:r w:rsidRPr="00545EC0">
              <w:rPr>
                <w:rFonts w:cs="Arial"/>
                <w:b/>
                <w:bCs/>
                <w:color w:val="000000"/>
                <w:sz w:val="18"/>
                <w:szCs w:val="18"/>
              </w:rPr>
              <w:sym w:font="Wingdings" w:char="F0FC"/>
            </w:r>
          </w:p>
        </w:tc>
        <w:tc>
          <w:tcPr>
            <w:tcW w:w="538" w:type="pct"/>
            <w:tcBorders>
              <w:top w:val="nil"/>
              <w:left w:val="nil"/>
              <w:bottom w:val="single" w:sz="4" w:space="0" w:color="auto"/>
              <w:right w:val="single" w:sz="4" w:space="0" w:color="auto"/>
            </w:tcBorders>
            <w:shd w:val="clear" w:color="000000" w:fill="FFFFFF"/>
            <w:noWrap/>
            <w:vAlign w:val="center"/>
            <w:hideMark/>
          </w:tcPr>
          <w:p w14:paraId="38B12F33" w14:textId="77777777" w:rsidR="00B64EB9" w:rsidRPr="00545EC0" w:rsidRDefault="00B64EB9" w:rsidP="00B64EB9">
            <w:pPr>
              <w:overflowPunct/>
              <w:autoSpaceDE/>
              <w:autoSpaceDN/>
              <w:adjustRightInd/>
              <w:spacing w:line="240" w:lineRule="auto"/>
              <w:jc w:val="center"/>
              <w:textAlignment w:val="auto"/>
              <w:rPr>
                <w:rFonts w:cs="Arial"/>
                <w:b/>
                <w:bCs/>
                <w:color w:val="000000"/>
                <w:sz w:val="18"/>
                <w:szCs w:val="18"/>
              </w:rPr>
            </w:pPr>
            <w:r w:rsidRPr="00545EC0">
              <w:rPr>
                <w:rFonts w:cs="Arial"/>
                <w:b/>
                <w:bCs/>
                <w:color w:val="000000"/>
                <w:sz w:val="18"/>
                <w:szCs w:val="18"/>
              </w:rPr>
              <w:sym w:font="Wingdings" w:char="F0FC"/>
            </w:r>
          </w:p>
        </w:tc>
        <w:tc>
          <w:tcPr>
            <w:tcW w:w="1003" w:type="pct"/>
            <w:tcBorders>
              <w:top w:val="nil"/>
              <w:left w:val="nil"/>
              <w:bottom w:val="single" w:sz="4" w:space="0" w:color="auto"/>
              <w:right w:val="single" w:sz="4" w:space="0" w:color="auto"/>
            </w:tcBorders>
            <w:shd w:val="clear" w:color="000000" w:fill="FFFFFF"/>
            <w:vAlign w:val="center"/>
            <w:hideMark/>
          </w:tcPr>
          <w:p w14:paraId="006C9066" w14:textId="77777777" w:rsidR="00B64EB9" w:rsidRPr="00545EC0" w:rsidRDefault="00B64EB9" w:rsidP="00B64EB9">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rPr>
              <w:t>DA</w:t>
            </w:r>
          </w:p>
        </w:tc>
        <w:tc>
          <w:tcPr>
            <w:tcW w:w="573" w:type="pct"/>
            <w:tcBorders>
              <w:top w:val="nil"/>
              <w:left w:val="nil"/>
              <w:bottom w:val="single" w:sz="4" w:space="0" w:color="auto"/>
              <w:right w:val="single" w:sz="4" w:space="0" w:color="auto"/>
            </w:tcBorders>
            <w:shd w:val="clear" w:color="000000" w:fill="FFFFFF"/>
            <w:noWrap/>
            <w:vAlign w:val="center"/>
            <w:hideMark/>
          </w:tcPr>
          <w:p w14:paraId="5FEC3680" w14:textId="77777777" w:rsidR="00B64EB9" w:rsidRPr="00545EC0" w:rsidRDefault="00B64EB9" w:rsidP="00B64EB9">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rPr>
              <w:t>srednja</w:t>
            </w:r>
          </w:p>
        </w:tc>
      </w:tr>
      <w:tr w:rsidR="00B64EB9" w:rsidRPr="00545EC0" w14:paraId="77B9F88B" w14:textId="77777777" w:rsidTr="00B64EB9">
        <w:trPr>
          <w:trHeight w:val="290"/>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14:paraId="37777B44" w14:textId="77777777" w:rsidR="00B64EB9" w:rsidRPr="00545EC0" w:rsidRDefault="00B64EB9" w:rsidP="00B64EB9">
            <w:pPr>
              <w:overflowPunct/>
              <w:autoSpaceDE/>
              <w:autoSpaceDN/>
              <w:adjustRightInd/>
              <w:spacing w:line="240" w:lineRule="auto"/>
              <w:jc w:val="right"/>
              <w:textAlignment w:val="auto"/>
              <w:rPr>
                <w:rFonts w:cs="Arial"/>
                <w:color w:val="000000"/>
                <w:sz w:val="18"/>
                <w:szCs w:val="18"/>
              </w:rPr>
            </w:pPr>
            <w:r w:rsidRPr="00545EC0">
              <w:rPr>
                <w:rFonts w:cs="Arial"/>
                <w:color w:val="000000"/>
                <w:sz w:val="18"/>
                <w:szCs w:val="18"/>
              </w:rPr>
              <w:t>5</w:t>
            </w:r>
          </w:p>
        </w:tc>
        <w:tc>
          <w:tcPr>
            <w:tcW w:w="692" w:type="pct"/>
            <w:tcBorders>
              <w:top w:val="nil"/>
              <w:left w:val="nil"/>
              <w:bottom w:val="single" w:sz="4" w:space="0" w:color="auto"/>
              <w:right w:val="single" w:sz="4" w:space="0" w:color="auto"/>
            </w:tcBorders>
            <w:shd w:val="clear" w:color="auto" w:fill="auto"/>
            <w:noWrap/>
            <w:vAlign w:val="bottom"/>
            <w:hideMark/>
          </w:tcPr>
          <w:p w14:paraId="7DC0AADA" w14:textId="77777777" w:rsidR="00B64EB9" w:rsidRPr="00545EC0" w:rsidRDefault="00B64EB9" w:rsidP="00B64EB9">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rPr>
              <w:t>1001, 1006, 1008</w:t>
            </w:r>
          </w:p>
        </w:tc>
        <w:tc>
          <w:tcPr>
            <w:tcW w:w="1308" w:type="pct"/>
            <w:tcBorders>
              <w:top w:val="nil"/>
              <w:left w:val="nil"/>
              <w:bottom w:val="single" w:sz="4" w:space="0" w:color="auto"/>
              <w:right w:val="single" w:sz="4" w:space="0" w:color="auto"/>
            </w:tcBorders>
            <w:shd w:val="clear" w:color="auto" w:fill="auto"/>
            <w:noWrap/>
            <w:vAlign w:val="bottom"/>
            <w:hideMark/>
          </w:tcPr>
          <w:p w14:paraId="63677484" w14:textId="77777777" w:rsidR="00B64EB9" w:rsidRPr="00545EC0" w:rsidRDefault="00B64EB9" w:rsidP="00B64EB9">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lang w:val="sv-SE"/>
              </w:rPr>
              <w:t>132VT5 Kamniška Bistrica Stahovica – Študa</w:t>
            </w:r>
          </w:p>
        </w:tc>
        <w:tc>
          <w:tcPr>
            <w:tcW w:w="616" w:type="pct"/>
            <w:tcBorders>
              <w:top w:val="nil"/>
              <w:left w:val="nil"/>
              <w:bottom w:val="single" w:sz="4" w:space="0" w:color="auto"/>
              <w:right w:val="single" w:sz="4" w:space="0" w:color="auto"/>
            </w:tcBorders>
            <w:shd w:val="clear" w:color="000000" w:fill="FFFFFF"/>
            <w:vAlign w:val="center"/>
            <w:hideMark/>
          </w:tcPr>
          <w:p w14:paraId="12EDC772" w14:textId="77777777" w:rsidR="00B64EB9" w:rsidRPr="00545EC0" w:rsidRDefault="00B64EB9" w:rsidP="00B64EB9">
            <w:pPr>
              <w:overflowPunct/>
              <w:autoSpaceDE/>
              <w:autoSpaceDN/>
              <w:adjustRightInd/>
              <w:spacing w:line="240" w:lineRule="auto"/>
              <w:jc w:val="center"/>
              <w:textAlignment w:val="auto"/>
              <w:rPr>
                <w:rFonts w:cs="Arial"/>
                <w:b/>
                <w:bCs/>
                <w:color w:val="000000"/>
                <w:sz w:val="18"/>
                <w:szCs w:val="18"/>
              </w:rPr>
            </w:pPr>
            <w:r w:rsidRPr="00545EC0">
              <w:rPr>
                <w:rFonts w:cs="Arial"/>
                <w:b/>
                <w:bCs/>
                <w:color w:val="000000"/>
                <w:sz w:val="18"/>
                <w:szCs w:val="18"/>
              </w:rPr>
              <w:sym w:font="Wingdings" w:char="F0FC"/>
            </w:r>
          </w:p>
        </w:tc>
        <w:tc>
          <w:tcPr>
            <w:tcW w:w="538" w:type="pct"/>
            <w:tcBorders>
              <w:top w:val="nil"/>
              <w:left w:val="nil"/>
              <w:bottom w:val="single" w:sz="4" w:space="0" w:color="auto"/>
              <w:right w:val="single" w:sz="4" w:space="0" w:color="auto"/>
            </w:tcBorders>
            <w:shd w:val="clear" w:color="000000" w:fill="FFFFFF"/>
            <w:noWrap/>
            <w:vAlign w:val="center"/>
            <w:hideMark/>
          </w:tcPr>
          <w:p w14:paraId="47090B93" w14:textId="77777777" w:rsidR="00B64EB9" w:rsidRPr="00545EC0" w:rsidRDefault="00B64EB9" w:rsidP="00B64EB9">
            <w:pPr>
              <w:overflowPunct/>
              <w:autoSpaceDE/>
              <w:autoSpaceDN/>
              <w:adjustRightInd/>
              <w:spacing w:line="240" w:lineRule="auto"/>
              <w:jc w:val="center"/>
              <w:textAlignment w:val="auto"/>
              <w:rPr>
                <w:rFonts w:cs="Arial"/>
                <w:b/>
                <w:bCs/>
                <w:color w:val="000000"/>
                <w:sz w:val="18"/>
                <w:szCs w:val="18"/>
              </w:rPr>
            </w:pPr>
            <w:r w:rsidRPr="00545EC0">
              <w:rPr>
                <w:rFonts w:cs="Arial"/>
                <w:b/>
                <w:bCs/>
                <w:color w:val="000000"/>
                <w:sz w:val="18"/>
                <w:szCs w:val="18"/>
              </w:rPr>
              <w:sym w:font="Wingdings" w:char="F0FC"/>
            </w:r>
          </w:p>
        </w:tc>
        <w:tc>
          <w:tcPr>
            <w:tcW w:w="1003" w:type="pct"/>
            <w:tcBorders>
              <w:top w:val="nil"/>
              <w:left w:val="nil"/>
              <w:bottom w:val="single" w:sz="4" w:space="0" w:color="auto"/>
              <w:right w:val="single" w:sz="4" w:space="0" w:color="auto"/>
            </w:tcBorders>
            <w:shd w:val="clear" w:color="000000" w:fill="FFFFFF"/>
            <w:vAlign w:val="center"/>
            <w:hideMark/>
          </w:tcPr>
          <w:p w14:paraId="410DD1DB" w14:textId="77777777" w:rsidR="00B64EB9" w:rsidRPr="00545EC0" w:rsidRDefault="00B64EB9" w:rsidP="00B64EB9">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rPr>
              <w:t>DA</w:t>
            </w:r>
          </w:p>
        </w:tc>
        <w:tc>
          <w:tcPr>
            <w:tcW w:w="573" w:type="pct"/>
            <w:tcBorders>
              <w:top w:val="nil"/>
              <w:left w:val="nil"/>
              <w:bottom w:val="single" w:sz="4" w:space="0" w:color="auto"/>
              <w:right w:val="single" w:sz="4" w:space="0" w:color="auto"/>
            </w:tcBorders>
            <w:shd w:val="clear" w:color="000000" w:fill="FFFFFF"/>
            <w:noWrap/>
            <w:vAlign w:val="center"/>
            <w:hideMark/>
          </w:tcPr>
          <w:p w14:paraId="4A389507" w14:textId="77777777" w:rsidR="00B64EB9" w:rsidRPr="00545EC0" w:rsidRDefault="00B64EB9" w:rsidP="00B64EB9">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rPr>
              <w:t>srednja</w:t>
            </w:r>
          </w:p>
        </w:tc>
      </w:tr>
      <w:tr w:rsidR="00B64EB9" w:rsidRPr="00545EC0" w14:paraId="477C5D16" w14:textId="77777777" w:rsidTr="00B64EB9">
        <w:trPr>
          <w:trHeight w:val="290"/>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14:paraId="3480E5E2" w14:textId="77777777" w:rsidR="00B64EB9" w:rsidRPr="00545EC0" w:rsidRDefault="00B64EB9" w:rsidP="00B64EB9">
            <w:pPr>
              <w:overflowPunct/>
              <w:autoSpaceDE/>
              <w:autoSpaceDN/>
              <w:adjustRightInd/>
              <w:spacing w:line="240" w:lineRule="auto"/>
              <w:jc w:val="right"/>
              <w:textAlignment w:val="auto"/>
              <w:rPr>
                <w:rFonts w:cs="Arial"/>
                <w:color w:val="000000"/>
                <w:sz w:val="18"/>
                <w:szCs w:val="18"/>
              </w:rPr>
            </w:pPr>
            <w:r w:rsidRPr="00545EC0">
              <w:rPr>
                <w:rFonts w:cs="Arial"/>
                <w:color w:val="000000"/>
                <w:sz w:val="18"/>
                <w:szCs w:val="18"/>
              </w:rPr>
              <w:t>6</w:t>
            </w:r>
          </w:p>
        </w:tc>
        <w:tc>
          <w:tcPr>
            <w:tcW w:w="692" w:type="pct"/>
            <w:tcBorders>
              <w:top w:val="nil"/>
              <w:left w:val="nil"/>
              <w:bottom w:val="single" w:sz="4" w:space="0" w:color="auto"/>
              <w:right w:val="single" w:sz="4" w:space="0" w:color="auto"/>
            </w:tcBorders>
            <w:shd w:val="clear" w:color="auto" w:fill="auto"/>
            <w:noWrap/>
            <w:vAlign w:val="bottom"/>
            <w:hideMark/>
          </w:tcPr>
          <w:p w14:paraId="4FFFCC78" w14:textId="77777777" w:rsidR="00B64EB9" w:rsidRPr="00545EC0" w:rsidRDefault="00B64EB9" w:rsidP="00B64EB9">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rPr>
              <w:t>1001,1006, 1008</w:t>
            </w:r>
          </w:p>
        </w:tc>
        <w:tc>
          <w:tcPr>
            <w:tcW w:w="1308" w:type="pct"/>
            <w:tcBorders>
              <w:top w:val="nil"/>
              <w:left w:val="nil"/>
              <w:bottom w:val="single" w:sz="4" w:space="0" w:color="auto"/>
              <w:right w:val="single" w:sz="4" w:space="0" w:color="auto"/>
            </w:tcBorders>
            <w:shd w:val="clear" w:color="auto" w:fill="auto"/>
            <w:noWrap/>
            <w:vAlign w:val="bottom"/>
            <w:hideMark/>
          </w:tcPr>
          <w:p w14:paraId="2353E85E" w14:textId="77777777" w:rsidR="00B64EB9" w:rsidRPr="00545EC0" w:rsidRDefault="00B64EB9" w:rsidP="00B64EB9">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lang w:val="sv-SE"/>
              </w:rPr>
              <w:t>132VT7 Kamniška Bistrica Študa – Dol</w:t>
            </w:r>
          </w:p>
        </w:tc>
        <w:tc>
          <w:tcPr>
            <w:tcW w:w="616" w:type="pct"/>
            <w:tcBorders>
              <w:top w:val="nil"/>
              <w:left w:val="nil"/>
              <w:bottom w:val="single" w:sz="4" w:space="0" w:color="auto"/>
              <w:right w:val="single" w:sz="4" w:space="0" w:color="auto"/>
            </w:tcBorders>
            <w:shd w:val="clear" w:color="000000" w:fill="FFFFFF"/>
            <w:vAlign w:val="center"/>
            <w:hideMark/>
          </w:tcPr>
          <w:p w14:paraId="650630A4" w14:textId="77777777" w:rsidR="00B64EB9" w:rsidRPr="00545EC0" w:rsidRDefault="00B64EB9" w:rsidP="00B64EB9">
            <w:pPr>
              <w:overflowPunct/>
              <w:autoSpaceDE/>
              <w:autoSpaceDN/>
              <w:adjustRightInd/>
              <w:spacing w:line="240" w:lineRule="auto"/>
              <w:jc w:val="center"/>
              <w:textAlignment w:val="auto"/>
              <w:rPr>
                <w:rFonts w:cs="Arial"/>
                <w:b/>
                <w:bCs/>
                <w:color w:val="000000"/>
                <w:sz w:val="18"/>
                <w:szCs w:val="18"/>
              </w:rPr>
            </w:pPr>
            <w:r w:rsidRPr="00545EC0">
              <w:rPr>
                <w:rFonts w:cs="Arial"/>
                <w:b/>
                <w:bCs/>
                <w:color w:val="000000"/>
                <w:sz w:val="18"/>
                <w:szCs w:val="18"/>
              </w:rPr>
              <w:sym w:font="Wingdings" w:char="F0FC"/>
            </w:r>
          </w:p>
        </w:tc>
        <w:tc>
          <w:tcPr>
            <w:tcW w:w="538" w:type="pct"/>
            <w:tcBorders>
              <w:top w:val="nil"/>
              <w:left w:val="nil"/>
              <w:bottom w:val="single" w:sz="4" w:space="0" w:color="auto"/>
              <w:right w:val="single" w:sz="4" w:space="0" w:color="auto"/>
            </w:tcBorders>
            <w:shd w:val="clear" w:color="000000" w:fill="FFFFFF"/>
            <w:noWrap/>
            <w:vAlign w:val="center"/>
            <w:hideMark/>
          </w:tcPr>
          <w:p w14:paraId="39850342" w14:textId="77777777" w:rsidR="00B64EB9" w:rsidRPr="00545EC0" w:rsidRDefault="00B64EB9" w:rsidP="00B64EB9">
            <w:pPr>
              <w:overflowPunct/>
              <w:autoSpaceDE/>
              <w:autoSpaceDN/>
              <w:adjustRightInd/>
              <w:spacing w:line="240" w:lineRule="auto"/>
              <w:jc w:val="center"/>
              <w:textAlignment w:val="auto"/>
              <w:rPr>
                <w:rFonts w:cs="Arial"/>
                <w:b/>
                <w:bCs/>
                <w:color w:val="000000"/>
                <w:sz w:val="18"/>
                <w:szCs w:val="18"/>
              </w:rPr>
            </w:pPr>
            <w:r w:rsidRPr="00545EC0">
              <w:rPr>
                <w:rFonts w:cs="Arial"/>
                <w:b/>
                <w:bCs/>
                <w:color w:val="000000"/>
                <w:sz w:val="18"/>
                <w:szCs w:val="18"/>
              </w:rPr>
              <w:sym w:font="Wingdings" w:char="F0FC"/>
            </w:r>
          </w:p>
        </w:tc>
        <w:tc>
          <w:tcPr>
            <w:tcW w:w="1003" w:type="pct"/>
            <w:tcBorders>
              <w:top w:val="nil"/>
              <w:left w:val="nil"/>
              <w:bottom w:val="single" w:sz="4" w:space="0" w:color="auto"/>
              <w:right w:val="single" w:sz="4" w:space="0" w:color="auto"/>
            </w:tcBorders>
            <w:shd w:val="clear" w:color="000000" w:fill="FFFFFF"/>
            <w:vAlign w:val="center"/>
            <w:hideMark/>
          </w:tcPr>
          <w:p w14:paraId="3EDAC23C" w14:textId="77777777" w:rsidR="00B64EB9" w:rsidRPr="00545EC0" w:rsidRDefault="00B64EB9" w:rsidP="00B64EB9">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rPr>
              <w:t>DA</w:t>
            </w:r>
          </w:p>
        </w:tc>
        <w:tc>
          <w:tcPr>
            <w:tcW w:w="573" w:type="pct"/>
            <w:tcBorders>
              <w:top w:val="nil"/>
              <w:left w:val="nil"/>
              <w:bottom w:val="single" w:sz="4" w:space="0" w:color="auto"/>
              <w:right w:val="single" w:sz="4" w:space="0" w:color="auto"/>
            </w:tcBorders>
            <w:shd w:val="clear" w:color="000000" w:fill="FFFFFF"/>
            <w:noWrap/>
            <w:vAlign w:val="center"/>
            <w:hideMark/>
          </w:tcPr>
          <w:p w14:paraId="695A47AB" w14:textId="77777777" w:rsidR="00B64EB9" w:rsidRPr="00545EC0" w:rsidRDefault="00B64EB9" w:rsidP="00B64EB9">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rPr>
              <w:t>srednja</w:t>
            </w:r>
          </w:p>
        </w:tc>
      </w:tr>
      <w:tr w:rsidR="00B64EB9" w:rsidRPr="00545EC0" w14:paraId="25C0BE0A" w14:textId="77777777" w:rsidTr="00B64EB9">
        <w:trPr>
          <w:trHeight w:val="290"/>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14:paraId="090BF966" w14:textId="77777777" w:rsidR="00B64EB9" w:rsidRPr="00545EC0" w:rsidRDefault="00B64EB9" w:rsidP="00B64EB9">
            <w:pPr>
              <w:overflowPunct/>
              <w:autoSpaceDE/>
              <w:autoSpaceDN/>
              <w:adjustRightInd/>
              <w:spacing w:line="240" w:lineRule="auto"/>
              <w:jc w:val="right"/>
              <w:textAlignment w:val="auto"/>
              <w:rPr>
                <w:rFonts w:cs="Arial"/>
                <w:color w:val="000000"/>
                <w:sz w:val="18"/>
                <w:szCs w:val="18"/>
              </w:rPr>
            </w:pPr>
            <w:r w:rsidRPr="00545EC0">
              <w:rPr>
                <w:rFonts w:cs="Arial"/>
                <w:color w:val="000000"/>
                <w:sz w:val="18"/>
                <w:szCs w:val="18"/>
              </w:rPr>
              <w:t>7</w:t>
            </w:r>
          </w:p>
        </w:tc>
        <w:tc>
          <w:tcPr>
            <w:tcW w:w="692" w:type="pct"/>
            <w:tcBorders>
              <w:top w:val="nil"/>
              <w:left w:val="nil"/>
              <w:bottom w:val="single" w:sz="4" w:space="0" w:color="auto"/>
              <w:right w:val="single" w:sz="4" w:space="0" w:color="auto"/>
            </w:tcBorders>
            <w:shd w:val="clear" w:color="auto" w:fill="auto"/>
            <w:noWrap/>
            <w:vAlign w:val="bottom"/>
            <w:hideMark/>
          </w:tcPr>
          <w:p w14:paraId="2B6B80D1" w14:textId="77777777" w:rsidR="00B64EB9" w:rsidRPr="00545EC0" w:rsidRDefault="00B64EB9" w:rsidP="00B64EB9">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rPr>
              <w:t>1001, 1007, 1010</w:t>
            </w:r>
          </w:p>
        </w:tc>
        <w:tc>
          <w:tcPr>
            <w:tcW w:w="1308" w:type="pct"/>
            <w:tcBorders>
              <w:top w:val="nil"/>
              <w:left w:val="nil"/>
              <w:bottom w:val="single" w:sz="4" w:space="0" w:color="auto"/>
              <w:right w:val="single" w:sz="4" w:space="0" w:color="auto"/>
            </w:tcBorders>
            <w:shd w:val="clear" w:color="auto" w:fill="auto"/>
            <w:noWrap/>
            <w:vAlign w:val="bottom"/>
            <w:hideMark/>
          </w:tcPr>
          <w:p w14:paraId="5639A5B2" w14:textId="77777777" w:rsidR="00B64EB9" w:rsidRPr="00545EC0" w:rsidRDefault="00B64EB9" w:rsidP="00B64EB9">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lang w:val="sv-SE"/>
              </w:rPr>
              <w:t xml:space="preserve">144VT2 Pivka Prestranek – Postojnska jama </w:t>
            </w:r>
          </w:p>
        </w:tc>
        <w:tc>
          <w:tcPr>
            <w:tcW w:w="616" w:type="pct"/>
            <w:tcBorders>
              <w:top w:val="nil"/>
              <w:left w:val="nil"/>
              <w:bottom w:val="single" w:sz="4" w:space="0" w:color="auto"/>
              <w:right w:val="single" w:sz="4" w:space="0" w:color="auto"/>
            </w:tcBorders>
            <w:shd w:val="clear" w:color="000000" w:fill="FFFFFF"/>
            <w:vAlign w:val="center"/>
            <w:hideMark/>
          </w:tcPr>
          <w:p w14:paraId="7C967A59" w14:textId="77777777" w:rsidR="00B64EB9" w:rsidRPr="00545EC0" w:rsidRDefault="00B64EB9" w:rsidP="00B64EB9">
            <w:pPr>
              <w:overflowPunct/>
              <w:autoSpaceDE/>
              <w:autoSpaceDN/>
              <w:adjustRightInd/>
              <w:spacing w:line="240" w:lineRule="auto"/>
              <w:jc w:val="center"/>
              <w:textAlignment w:val="auto"/>
              <w:rPr>
                <w:rFonts w:cs="Arial"/>
                <w:b/>
                <w:bCs/>
                <w:color w:val="000000"/>
                <w:sz w:val="18"/>
                <w:szCs w:val="18"/>
              </w:rPr>
            </w:pPr>
            <w:r w:rsidRPr="00545EC0">
              <w:rPr>
                <w:rFonts w:cs="Arial"/>
                <w:b/>
                <w:bCs/>
                <w:color w:val="000000"/>
                <w:sz w:val="18"/>
                <w:szCs w:val="18"/>
              </w:rPr>
              <w:sym w:font="Wingdings" w:char="F0FC"/>
            </w:r>
          </w:p>
        </w:tc>
        <w:tc>
          <w:tcPr>
            <w:tcW w:w="538" w:type="pct"/>
            <w:tcBorders>
              <w:top w:val="nil"/>
              <w:left w:val="nil"/>
              <w:bottom w:val="single" w:sz="4" w:space="0" w:color="auto"/>
              <w:right w:val="single" w:sz="4" w:space="0" w:color="auto"/>
            </w:tcBorders>
            <w:shd w:val="clear" w:color="000000" w:fill="FFFFFF"/>
            <w:noWrap/>
            <w:vAlign w:val="center"/>
            <w:hideMark/>
          </w:tcPr>
          <w:p w14:paraId="33E09C9F" w14:textId="77777777" w:rsidR="00B64EB9" w:rsidRPr="00545EC0" w:rsidRDefault="00B64EB9" w:rsidP="00B64EB9">
            <w:pPr>
              <w:overflowPunct/>
              <w:autoSpaceDE/>
              <w:autoSpaceDN/>
              <w:adjustRightInd/>
              <w:spacing w:line="240" w:lineRule="auto"/>
              <w:jc w:val="center"/>
              <w:textAlignment w:val="auto"/>
              <w:rPr>
                <w:rFonts w:cs="Arial"/>
                <w:b/>
                <w:bCs/>
                <w:color w:val="000000"/>
                <w:sz w:val="18"/>
                <w:szCs w:val="18"/>
              </w:rPr>
            </w:pPr>
            <w:r w:rsidRPr="00545EC0">
              <w:rPr>
                <w:rFonts w:cs="Arial"/>
                <w:b/>
                <w:bCs/>
                <w:color w:val="000000"/>
                <w:sz w:val="18"/>
                <w:szCs w:val="18"/>
              </w:rPr>
              <w:sym w:font="Wingdings" w:char="F0FC"/>
            </w:r>
          </w:p>
        </w:tc>
        <w:tc>
          <w:tcPr>
            <w:tcW w:w="1003" w:type="pct"/>
            <w:tcBorders>
              <w:top w:val="nil"/>
              <w:left w:val="nil"/>
              <w:bottom w:val="single" w:sz="4" w:space="0" w:color="auto"/>
              <w:right w:val="single" w:sz="4" w:space="0" w:color="auto"/>
            </w:tcBorders>
            <w:shd w:val="clear" w:color="000000" w:fill="FFFFFF"/>
            <w:vAlign w:val="center"/>
            <w:hideMark/>
          </w:tcPr>
          <w:p w14:paraId="4AE55601" w14:textId="77777777" w:rsidR="00B64EB9" w:rsidRPr="00545EC0" w:rsidRDefault="00B64EB9" w:rsidP="00B64EB9">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rPr>
              <w:t>DA</w:t>
            </w:r>
          </w:p>
        </w:tc>
        <w:tc>
          <w:tcPr>
            <w:tcW w:w="573" w:type="pct"/>
            <w:tcBorders>
              <w:top w:val="nil"/>
              <w:left w:val="nil"/>
              <w:bottom w:val="single" w:sz="4" w:space="0" w:color="auto"/>
              <w:right w:val="single" w:sz="4" w:space="0" w:color="auto"/>
            </w:tcBorders>
            <w:shd w:val="clear" w:color="000000" w:fill="FFFFFF"/>
            <w:noWrap/>
            <w:vAlign w:val="center"/>
            <w:hideMark/>
          </w:tcPr>
          <w:p w14:paraId="5B2140D3" w14:textId="77777777" w:rsidR="00B64EB9" w:rsidRPr="00545EC0" w:rsidRDefault="00B64EB9" w:rsidP="00B64EB9">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rPr>
              <w:t>srednja</w:t>
            </w:r>
          </w:p>
        </w:tc>
      </w:tr>
      <w:tr w:rsidR="00B64EB9" w:rsidRPr="00545EC0" w14:paraId="00F7CB9E" w14:textId="77777777" w:rsidTr="00B64EB9">
        <w:trPr>
          <w:trHeight w:val="290"/>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14:paraId="6E4741DF" w14:textId="77777777" w:rsidR="00B64EB9" w:rsidRPr="00545EC0" w:rsidRDefault="00B64EB9" w:rsidP="00B64EB9">
            <w:pPr>
              <w:overflowPunct/>
              <w:autoSpaceDE/>
              <w:autoSpaceDN/>
              <w:adjustRightInd/>
              <w:spacing w:line="240" w:lineRule="auto"/>
              <w:jc w:val="right"/>
              <w:textAlignment w:val="auto"/>
              <w:rPr>
                <w:rFonts w:cs="Arial"/>
                <w:color w:val="000000"/>
                <w:sz w:val="18"/>
                <w:szCs w:val="18"/>
              </w:rPr>
            </w:pPr>
            <w:r w:rsidRPr="00545EC0">
              <w:rPr>
                <w:rFonts w:cs="Arial"/>
                <w:color w:val="000000"/>
                <w:sz w:val="18"/>
                <w:szCs w:val="18"/>
              </w:rPr>
              <w:t>8</w:t>
            </w:r>
          </w:p>
        </w:tc>
        <w:tc>
          <w:tcPr>
            <w:tcW w:w="692" w:type="pct"/>
            <w:tcBorders>
              <w:top w:val="nil"/>
              <w:left w:val="nil"/>
              <w:bottom w:val="single" w:sz="4" w:space="0" w:color="auto"/>
              <w:right w:val="single" w:sz="4" w:space="0" w:color="auto"/>
            </w:tcBorders>
            <w:shd w:val="clear" w:color="auto" w:fill="auto"/>
            <w:noWrap/>
            <w:vAlign w:val="bottom"/>
            <w:hideMark/>
          </w:tcPr>
          <w:p w14:paraId="3EB709B7" w14:textId="77777777" w:rsidR="00B64EB9" w:rsidRPr="00545EC0" w:rsidRDefault="00B64EB9" w:rsidP="00B64EB9">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rPr>
              <w:t>1007</w:t>
            </w:r>
          </w:p>
        </w:tc>
        <w:tc>
          <w:tcPr>
            <w:tcW w:w="1308" w:type="pct"/>
            <w:tcBorders>
              <w:top w:val="nil"/>
              <w:left w:val="nil"/>
              <w:bottom w:val="single" w:sz="4" w:space="0" w:color="auto"/>
              <w:right w:val="single" w:sz="4" w:space="0" w:color="auto"/>
            </w:tcBorders>
            <w:shd w:val="clear" w:color="auto" w:fill="auto"/>
            <w:noWrap/>
            <w:vAlign w:val="bottom"/>
            <w:hideMark/>
          </w:tcPr>
          <w:p w14:paraId="0EFC7525" w14:textId="77777777" w:rsidR="00B64EB9" w:rsidRPr="00545EC0" w:rsidRDefault="00B64EB9" w:rsidP="00B64EB9">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lang w:val="sv-SE"/>
              </w:rPr>
              <w:t>148VT3 Gradaščica z Veliko Božno</w:t>
            </w:r>
          </w:p>
        </w:tc>
        <w:tc>
          <w:tcPr>
            <w:tcW w:w="616" w:type="pct"/>
            <w:tcBorders>
              <w:top w:val="nil"/>
              <w:left w:val="nil"/>
              <w:bottom w:val="single" w:sz="4" w:space="0" w:color="auto"/>
              <w:right w:val="single" w:sz="4" w:space="0" w:color="auto"/>
            </w:tcBorders>
            <w:shd w:val="clear" w:color="000000" w:fill="FFFFFF"/>
            <w:vAlign w:val="center"/>
            <w:hideMark/>
          </w:tcPr>
          <w:p w14:paraId="0626C0BF" w14:textId="77777777" w:rsidR="00B64EB9" w:rsidRPr="00545EC0" w:rsidRDefault="00B64EB9" w:rsidP="00B64EB9">
            <w:pPr>
              <w:overflowPunct/>
              <w:autoSpaceDE/>
              <w:autoSpaceDN/>
              <w:adjustRightInd/>
              <w:spacing w:line="240" w:lineRule="auto"/>
              <w:jc w:val="center"/>
              <w:textAlignment w:val="auto"/>
              <w:rPr>
                <w:rFonts w:cs="Arial"/>
                <w:b/>
                <w:bCs/>
                <w:color w:val="000000"/>
                <w:sz w:val="18"/>
                <w:szCs w:val="18"/>
              </w:rPr>
            </w:pPr>
            <w:r w:rsidRPr="00545EC0">
              <w:rPr>
                <w:rFonts w:cs="Arial"/>
                <w:b/>
                <w:bCs/>
                <w:color w:val="000000"/>
                <w:sz w:val="18"/>
                <w:szCs w:val="18"/>
              </w:rPr>
              <w:sym w:font="Wingdings" w:char="F0FC"/>
            </w:r>
          </w:p>
        </w:tc>
        <w:tc>
          <w:tcPr>
            <w:tcW w:w="538" w:type="pct"/>
            <w:tcBorders>
              <w:top w:val="nil"/>
              <w:left w:val="nil"/>
              <w:bottom w:val="single" w:sz="4" w:space="0" w:color="auto"/>
              <w:right w:val="single" w:sz="4" w:space="0" w:color="auto"/>
            </w:tcBorders>
            <w:shd w:val="clear" w:color="000000" w:fill="FFFFFF"/>
            <w:noWrap/>
            <w:vAlign w:val="center"/>
            <w:hideMark/>
          </w:tcPr>
          <w:p w14:paraId="17BD0AA0" w14:textId="77777777" w:rsidR="00B64EB9" w:rsidRPr="00545EC0" w:rsidRDefault="00B64EB9" w:rsidP="00B64EB9">
            <w:pPr>
              <w:overflowPunct/>
              <w:autoSpaceDE/>
              <w:autoSpaceDN/>
              <w:adjustRightInd/>
              <w:spacing w:line="240" w:lineRule="auto"/>
              <w:jc w:val="center"/>
              <w:textAlignment w:val="auto"/>
              <w:rPr>
                <w:rFonts w:cs="Arial"/>
                <w:b/>
                <w:bCs/>
                <w:color w:val="000000"/>
                <w:sz w:val="18"/>
                <w:szCs w:val="18"/>
              </w:rPr>
            </w:pPr>
            <w:r w:rsidRPr="00545EC0">
              <w:rPr>
                <w:rFonts w:cs="Arial"/>
                <w:b/>
                <w:bCs/>
                <w:color w:val="000000"/>
                <w:sz w:val="18"/>
                <w:szCs w:val="18"/>
              </w:rPr>
              <w:sym w:font="Wingdings" w:char="F0FC"/>
            </w:r>
          </w:p>
        </w:tc>
        <w:tc>
          <w:tcPr>
            <w:tcW w:w="1003" w:type="pct"/>
            <w:tcBorders>
              <w:top w:val="nil"/>
              <w:left w:val="nil"/>
              <w:bottom w:val="single" w:sz="4" w:space="0" w:color="auto"/>
              <w:right w:val="single" w:sz="4" w:space="0" w:color="auto"/>
            </w:tcBorders>
            <w:shd w:val="clear" w:color="000000" w:fill="FFFFFF"/>
            <w:vAlign w:val="center"/>
            <w:hideMark/>
          </w:tcPr>
          <w:p w14:paraId="4A4D482F" w14:textId="77777777" w:rsidR="00B64EB9" w:rsidRPr="00545EC0" w:rsidRDefault="00B64EB9" w:rsidP="00B64EB9">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rPr>
              <w:t>DA</w:t>
            </w:r>
          </w:p>
        </w:tc>
        <w:tc>
          <w:tcPr>
            <w:tcW w:w="573" w:type="pct"/>
            <w:tcBorders>
              <w:top w:val="nil"/>
              <w:left w:val="nil"/>
              <w:bottom w:val="single" w:sz="4" w:space="0" w:color="auto"/>
              <w:right w:val="single" w:sz="4" w:space="0" w:color="auto"/>
            </w:tcBorders>
            <w:shd w:val="clear" w:color="000000" w:fill="FFFFFF"/>
            <w:noWrap/>
            <w:vAlign w:val="center"/>
            <w:hideMark/>
          </w:tcPr>
          <w:p w14:paraId="11D7056C" w14:textId="77777777" w:rsidR="00B64EB9" w:rsidRPr="00545EC0" w:rsidRDefault="00B64EB9" w:rsidP="00B64EB9">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rPr>
              <w:t>srednja</w:t>
            </w:r>
          </w:p>
        </w:tc>
      </w:tr>
      <w:tr w:rsidR="00B64EB9" w:rsidRPr="00545EC0" w14:paraId="2E9AB014" w14:textId="77777777" w:rsidTr="00B64EB9">
        <w:trPr>
          <w:trHeight w:val="290"/>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14:paraId="3D4B1589" w14:textId="77777777" w:rsidR="00B64EB9" w:rsidRPr="00545EC0" w:rsidRDefault="00B64EB9" w:rsidP="00B64EB9">
            <w:pPr>
              <w:overflowPunct/>
              <w:autoSpaceDE/>
              <w:autoSpaceDN/>
              <w:adjustRightInd/>
              <w:spacing w:line="240" w:lineRule="auto"/>
              <w:jc w:val="right"/>
              <w:textAlignment w:val="auto"/>
              <w:rPr>
                <w:rFonts w:cs="Arial"/>
                <w:color w:val="000000"/>
                <w:sz w:val="18"/>
                <w:szCs w:val="18"/>
              </w:rPr>
            </w:pPr>
            <w:r w:rsidRPr="00545EC0">
              <w:rPr>
                <w:rFonts w:cs="Arial"/>
                <w:color w:val="000000"/>
                <w:sz w:val="18"/>
                <w:szCs w:val="18"/>
              </w:rPr>
              <w:t>9</w:t>
            </w:r>
          </w:p>
        </w:tc>
        <w:tc>
          <w:tcPr>
            <w:tcW w:w="692" w:type="pct"/>
            <w:tcBorders>
              <w:top w:val="nil"/>
              <w:left w:val="nil"/>
              <w:bottom w:val="single" w:sz="4" w:space="0" w:color="auto"/>
              <w:right w:val="single" w:sz="4" w:space="0" w:color="auto"/>
            </w:tcBorders>
            <w:shd w:val="clear" w:color="auto" w:fill="auto"/>
            <w:noWrap/>
            <w:vAlign w:val="bottom"/>
            <w:hideMark/>
          </w:tcPr>
          <w:p w14:paraId="0485F7E6" w14:textId="77777777" w:rsidR="00B64EB9" w:rsidRPr="00545EC0" w:rsidRDefault="00B64EB9" w:rsidP="00B64EB9">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rPr>
              <w:t>1001, 1007</w:t>
            </w:r>
          </w:p>
        </w:tc>
        <w:tc>
          <w:tcPr>
            <w:tcW w:w="1308" w:type="pct"/>
            <w:tcBorders>
              <w:top w:val="nil"/>
              <w:left w:val="nil"/>
              <w:bottom w:val="single" w:sz="4" w:space="0" w:color="auto"/>
              <w:right w:val="single" w:sz="4" w:space="0" w:color="auto"/>
            </w:tcBorders>
            <w:shd w:val="clear" w:color="auto" w:fill="auto"/>
            <w:noWrap/>
            <w:vAlign w:val="bottom"/>
            <w:hideMark/>
          </w:tcPr>
          <w:p w14:paraId="2283EA4E" w14:textId="77777777" w:rsidR="00B64EB9" w:rsidRPr="00545EC0" w:rsidRDefault="00B64EB9" w:rsidP="00B64EB9">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lang w:val="sv-SE"/>
              </w:rPr>
              <w:t>14VT77 Ljubljanica povirje – Ljubljana</w:t>
            </w:r>
          </w:p>
        </w:tc>
        <w:tc>
          <w:tcPr>
            <w:tcW w:w="616" w:type="pct"/>
            <w:tcBorders>
              <w:top w:val="nil"/>
              <w:left w:val="nil"/>
              <w:bottom w:val="single" w:sz="4" w:space="0" w:color="auto"/>
              <w:right w:val="single" w:sz="4" w:space="0" w:color="auto"/>
            </w:tcBorders>
            <w:shd w:val="clear" w:color="000000" w:fill="FFFFFF"/>
            <w:vAlign w:val="center"/>
            <w:hideMark/>
          </w:tcPr>
          <w:p w14:paraId="39C06B35" w14:textId="77777777" w:rsidR="00B64EB9" w:rsidRPr="00545EC0" w:rsidRDefault="00B64EB9" w:rsidP="00B64EB9">
            <w:pPr>
              <w:overflowPunct/>
              <w:autoSpaceDE/>
              <w:autoSpaceDN/>
              <w:adjustRightInd/>
              <w:spacing w:line="240" w:lineRule="auto"/>
              <w:jc w:val="center"/>
              <w:textAlignment w:val="auto"/>
              <w:rPr>
                <w:rFonts w:cs="Arial"/>
                <w:b/>
                <w:bCs/>
                <w:color w:val="000000"/>
                <w:sz w:val="18"/>
                <w:szCs w:val="18"/>
              </w:rPr>
            </w:pPr>
            <w:r w:rsidRPr="00545EC0">
              <w:rPr>
                <w:rFonts w:cs="Arial"/>
                <w:b/>
                <w:bCs/>
                <w:color w:val="000000"/>
                <w:sz w:val="18"/>
                <w:szCs w:val="18"/>
              </w:rPr>
              <w:sym w:font="Wingdings" w:char="F0FC"/>
            </w:r>
          </w:p>
        </w:tc>
        <w:tc>
          <w:tcPr>
            <w:tcW w:w="538" w:type="pct"/>
            <w:tcBorders>
              <w:top w:val="nil"/>
              <w:left w:val="nil"/>
              <w:bottom w:val="single" w:sz="4" w:space="0" w:color="auto"/>
              <w:right w:val="single" w:sz="4" w:space="0" w:color="auto"/>
            </w:tcBorders>
            <w:shd w:val="clear" w:color="000000" w:fill="FFFFFF"/>
            <w:noWrap/>
            <w:vAlign w:val="center"/>
            <w:hideMark/>
          </w:tcPr>
          <w:p w14:paraId="25DDA4ED" w14:textId="77777777" w:rsidR="00B64EB9" w:rsidRPr="00545EC0" w:rsidRDefault="00B64EB9" w:rsidP="00B64EB9">
            <w:pPr>
              <w:overflowPunct/>
              <w:autoSpaceDE/>
              <w:autoSpaceDN/>
              <w:adjustRightInd/>
              <w:spacing w:line="240" w:lineRule="auto"/>
              <w:jc w:val="center"/>
              <w:textAlignment w:val="auto"/>
              <w:rPr>
                <w:rFonts w:cs="Arial"/>
                <w:b/>
                <w:bCs/>
                <w:color w:val="000000"/>
                <w:sz w:val="18"/>
                <w:szCs w:val="18"/>
              </w:rPr>
            </w:pPr>
            <w:r w:rsidRPr="00545EC0">
              <w:rPr>
                <w:rFonts w:cs="Arial"/>
                <w:b/>
                <w:bCs/>
                <w:color w:val="000000"/>
                <w:sz w:val="18"/>
                <w:szCs w:val="18"/>
              </w:rPr>
              <w:sym w:font="Wingdings" w:char="F0FC"/>
            </w:r>
          </w:p>
        </w:tc>
        <w:tc>
          <w:tcPr>
            <w:tcW w:w="1003" w:type="pct"/>
            <w:tcBorders>
              <w:top w:val="nil"/>
              <w:left w:val="nil"/>
              <w:bottom w:val="single" w:sz="4" w:space="0" w:color="auto"/>
              <w:right w:val="single" w:sz="4" w:space="0" w:color="auto"/>
            </w:tcBorders>
            <w:shd w:val="clear" w:color="000000" w:fill="FFFFFF"/>
            <w:vAlign w:val="center"/>
            <w:hideMark/>
          </w:tcPr>
          <w:p w14:paraId="430CD550" w14:textId="77777777" w:rsidR="00B64EB9" w:rsidRPr="00545EC0" w:rsidRDefault="00B64EB9" w:rsidP="00B64EB9">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rPr>
              <w:t>DA</w:t>
            </w:r>
          </w:p>
        </w:tc>
        <w:tc>
          <w:tcPr>
            <w:tcW w:w="573" w:type="pct"/>
            <w:tcBorders>
              <w:top w:val="nil"/>
              <w:left w:val="nil"/>
              <w:bottom w:val="single" w:sz="4" w:space="0" w:color="auto"/>
              <w:right w:val="single" w:sz="4" w:space="0" w:color="auto"/>
            </w:tcBorders>
            <w:shd w:val="clear" w:color="000000" w:fill="FFFFFF"/>
            <w:noWrap/>
            <w:vAlign w:val="center"/>
            <w:hideMark/>
          </w:tcPr>
          <w:p w14:paraId="5E604743" w14:textId="77777777" w:rsidR="00B64EB9" w:rsidRPr="00545EC0" w:rsidRDefault="00B64EB9" w:rsidP="00B64EB9">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rPr>
              <w:t>srednja</w:t>
            </w:r>
          </w:p>
        </w:tc>
      </w:tr>
      <w:tr w:rsidR="00B64EB9" w:rsidRPr="00545EC0" w14:paraId="26E0C8D6" w14:textId="77777777" w:rsidTr="00B64EB9">
        <w:trPr>
          <w:trHeight w:val="290"/>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14:paraId="7F61C7D4" w14:textId="77777777" w:rsidR="00B64EB9" w:rsidRPr="00545EC0" w:rsidRDefault="00B64EB9" w:rsidP="00B64EB9">
            <w:pPr>
              <w:overflowPunct/>
              <w:autoSpaceDE/>
              <w:autoSpaceDN/>
              <w:adjustRightInd/>
              <w:spacing w:line="240" w:lineRule="auto"/>
              <w:jc w:val="right"/>
              <w:textAlignment w:val="auto"/>
              <w:rPr>
                <w:rFonts w:cs="Arial"/>
                <w:color w:val="000000"/>
                <w:sz w:val="18"/>
                <w:szCs w:val="18"/>
              </w:rPr>
            </w:pPr>
            <w:r w:rsidRPr="00545EC0">
              <w:rPr>
                <w:rFonts w:cs="Arial"/>
                <w:color w:val="000000"/>
                <w:sz w:val="18"/>
                <w:szCs w:val="18"/>
              </w:rPr>
              <w:t>10</w:t>
            </w:r>
          </w:p>
        </w:tc>
        <w:tc>
          <w:tcPr>
            <w:tcW w:w="692" w:type="pct"/>
            <w:tcBorders>
              <w:top w:val="nil"/>
              <w:left w:val="nil"/>
              <w:bottom w:val="single" w:sz="4" w:space="0" w:color="auto"/>
              <w:right w:val="single" w:sz="4" w:space="0" w:color="auto"/>
            </w:tcBorders>
            <w:shd w:val="clear" w:color="auto" w:fill="auto"/>
            <w:noWrap/>
            <w:vAlign w:val="bottom"/>
            <w:hideMark/>
          </w:tcPr>
          <w:p w14:paraId="653C04AD" w14:textId="77777777" w:rsidR="00B64EB9" w:rsidRPr="00545EC0" w:rsidRDefault="00B64EB9" w:rsidP="00B64EB9">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rPr>
              <w:t>1009</w:t>
            </w:r>
          </w:p>
        </w:tc>
        <w:tc>
          <w:tcPr>
            <w:tcW w:w="1308" w:type="pct"/>
            <w:tcBorders>
              <w:top w:val="nil"/>
              <w:left w:val="nil"/>
              <w:bottom w:val="single" w:sz="4" w:space="0" w:color="auto"/>
              <w:right w:val="single" w:sz="4" w:space="0" w:color="auto"/>
            </w:tcBorders>
            <w:shd w:val="clear" w:color="auto" w:fill="auto"/>
            <w:noWrap/>
            <w:vAlign w:val="bottom"/>
            <w:hideMark/>
          </w:tcPr>
          <w:p w14:paraId="4A8C5A02" w14:textId="77777777" w:rsidR="00B64EB9" w:rsidRPr="00545EC0" w:rsidRDefault="00B64EB9" w:rsidP="00B64EB9">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lang w:val="sv-SE"/>
              </w:rPr>
              <w:t>162VT3 Paka povirje – Velenje</w:t>
            </w:r>
          </w:p>
        </w:tc>
        <w:tc>
          <w:tcPr>
            <w:tcW w:w="616" w:type="pct"/>
            <w:tcBorders>
              <w:top w:val="nil"/>
              <w:left w:val="nil"/>
              <w:bottom w:val="single" w:sz="4" w:space="0" w:color="auto"/>
              <w:right w:val="single" w:sz="4" w:space="0" w:color="auto"/>
            </w:tcBorders>
            <w:shd w:val="clear" w:color="000000" w:fill="FFFFFF"/>
            <w:vAlign w:val="center"/>
            <w:hideMark/>
          </w:tcPr>
          <w:p w14:paraId="0565CD8E" w14:textId="77777777" w:rsidR="00B64EB9" w:rsidRPr="00545EC0" w:rsidRDefault="00B64EB9" w:rsidP="00B64EB9">
            <w:pPr>
              <w:overflowPunct/>
              <w:autoSpaceDE/>
              <w:autoSpaceDN/>
              <w:adjustRightInd/>
              <w:spacing w:line="240" w:lineRule="auto"/>
              <w:jc w:val="center"/>
              <w:textAlignment w:val="auto"/>
              <w:rPr>
                <w:rFonts w:cs="Arial"/>
                <w:b/>
                <w:bCs/>
                <w:color w:val="000000"/>
                <w:sz w:val="18"/>
                <w:szCs w:val="18"/>
              </w:rPr>
            </w:pPr>
            <w:r w:rsidRPr="00545EC0">
              <w:rPr>
                <w:rFonts w:cs="Arial"/>
                <w:b/>
                <w:bCs/>
                <w:color w:val="000000"/>
                <w:sz w:val="18"/>
                <w:szCs w:val="18"/>
              </w:rPr>
              <w:sym w:font="Wingdings" w:char="F0FC"/>
            </w:r>
          </w:p>
        </w:tc>
        <w:tc>
          <w:tcPr>
            <w:tcW w:w="538" w:type="pct"/>
            <w:tcBorders>
              <w:top w:val="nil"/>
              <w:left w:val="nil"/>
              <w:bottom w:val="single" w:sz="4" w:space="0" w:color="auto"/>
              <w:right w:val="single" w:sz="4" w:space="0" w:color="auto"/>
            </w:tcBorders>
            <w:shd w:val="clear" w:color="000000" w:fill="FFFFFF"/>
            <w:noWrap/>
            <w:vAlign w:val="center"/>
            <w:hideMark/>
          </w:tcPr>
          <w:p w14:paraId="2D8B775C" w14:textId="77777777" w:rsidR="00B64EB9" w:rsidRPr="00545EC0" w:rsidRDefault="00B64EB9" w:rsidP="00B64EB9">
            <w:pPr>
              <w:overflowPunct/>
              <w:autoSpaceDE/>
              <w:autoSpaceDN/>
              <w:adjustRightInd/>
              <w:spacing w:line="240" w:lineRule="auto"/>
              <w:jc w:val="center"/>
              <w:textAlignment w:val="auto"/>
              <w:rPr>
                <w:rFonts w:cs="Arial"/>
                <w:b/>
                <w:bCs/>
                <w:color w:val="000000"/>
                <w:sz w:val="18"/>
                <w:szCs w:val="18"/>
              </w:rPr>
            </w:pPr>
            <w:r w:rsidRPr="00545EC0">
              <w:rPr>
                <w:rFonts w:cs="Arial"/>
                <w:b/>
                <w:bCs/>
                <w:color w:val="000000"/>
                <w:sz w:val="18"/>
                <w:szCs w:val="18"/>
              </w:rPr>
              <w:sym w:font="Wingdings" w:char="F0FC"/>
            </w:r>
          </w:p>
        </w:tc>
        <w:tc>
          <w:tcPr>
            <w:tcW w:w="1003" w:type="pct"/>
            <w:tcBorders>
              <w:top w:val="nil"/>
              <w:left w:val="nil"/>
              <w:bottom w:val="single" w:sz="4" w:space="0" w:color="auto"/>
              <w:right w:val="single" w:sz="4" w:space="0" w:color="auto"/>
            </w:tcBorders>
            <w:shd w:val="clear" w:color="000000" w:fill="FFFFFF"/>
            <w:vAlign w:val="center"/>
            <w:hideMark/>
          </w:tcPr>
          <w:p w14:paraId="5A6ED5CB" w14:textId="77777777" w:rsidR="00B64EB9" w:rsidRPr="00545EC0" w:rsidRDefault="00B64EB9" w:rsidP="00B64EB9">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rPr>
              <w:t>DA</w:t>
            </w:r>
          </w:p>
        </w:tc>
        <w:tc>
          <w:tcPr>
            <w:tcW w:w="573" w:type="pct"/>
            <w:tcBorders>
              <w:top w:val="nil"/>
              <w:left w:val="nil"/>
              <w:bottom w:val="single" w:sz="4" w:space="0" w:color="auto"/>
              <w:right w:val="single" w:sz="4" w:space="0" w:color="auto"/>
            </w:tcBorders>
            <w:shd w:val="clear" w:color="000000" w:fill="FFFFFF"/>
            <w:noWrap/>
            <w:vAlign w:val="center"/>
            <w:hideMark/>
          </w:tcPr>
          <w:p w14:paraId="690CB0A0" w14:textId="77777777" w:rsidR="00B64EB9" w:rsidRPr="00545EC0" w:rsidRDefault="00B64EB9" w:rsidP="00B64EB9">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rPr>
              <w:t>srednja</w:t>
            </w:r>
          </w:p>
        </w:tc>
      </w:tr>
      <w:tr w:rsidR="00B64EB9" w:rsidRPr="00545EC0" w14:paraId="4033C3B3" w14:textId="77777777" w:rsidTr="00B64EB9">
        <w:trPr>
          <w:trHeight w:val="290"/>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14:paraId="18858400" w14:textId="77777777" w:rsidR="00B64EB9" w:rsidRPr="00545EC0" w:rsidRDefault="00B64EB9" w:rsidP="00B64EB9">
            <w:pPr>
              <w:overflowPunct/>
              <w:autoSpaceDE/>
              <w:autoSpaceDN/>
              <w:adjustRightInd/>
              <w:spacing w:line="240" w:lineRule="auto"/>
              <w:jc w:val="right"/>
              <w:textAlignment w:val="auto"/>
              <w:rPr>
                <w:rFonts w:cs="Arial"/>
                <w:color w:val="000000"/>
                <w:sz w:val="18"/>
                <w:szCs w:val="18"/>
              </w:rPr>
            </w:pPr>
            <w:r w:rsidRPr="00545EC0">
              <w:rPr>
                <w:rFonts w:cs="Arial"/>
                <w:color w:val="000000"/>
                <w:sz w:val="18"/>
                <w:szCs w:val="18"/>
              </w:rPr>
              <w:t>11</w:t>
            </w:r>
          </w:p>
        </w:tc>
        <w:tc>
          <w:tcPr>
            <w:tcW w:w="692" w:type="pct"/>
            <w:tcBorders>
              <w:top w:val="nil"/>
              <w:left w:val="nil"/>
              <w:bottom w:val="single" w:sz="4" w:space="0" w:color="auto"/>
              <w:right w:val="single" w:sz="4" w:space="0" w:color="auto"/>
            </w:tcBorders>
            <w:shd w:val="clear" w:color="auto" w:fill="auto"/>
            <w:noWrap/>
            <w:vAlign w:val="bottom"/>
            <w:hideMark/>
          </w:tcPr>
          <w:p w14:paraId="5525A7B3" w14:textId="77777777" w:rsidR="00B64EB9" w:rsidRPr="00545EC0" w:rsidRDefault="00B64EB9" w:rsidP="00B64EB9">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rPr>
              <w:t>1009</w:t>
            </w:r>
          </w:p>
        </w:tc>
        <w:tc>
          <w:tcPr>
            <w:tcW w:w="1308" w:type="pct"/>
            <w:tcBorders>
              <w:top w:val="nil"/>
              <w:left w:val="nil"/>
              <w:bottom w:val="single" w:sz="4" w:space="0" w:color="auto"/>
              <w:right w:val="single" w:sz="4" w:space="0" w:color="auto"/>
            </w:tcBorders>
            <w:shd w:val="clear" w:color="auto" w:fill="auto"/>
            <w:noWrap/>
            <w:vAlign w:val="bottom"/>
            <w:hideMark/>
          </w:tcPr>
          <w:p w14:paraId="209F649B" w14:textId="77777777" w:rsidR="00B64EB9" w:rsidRPr="00545EC0" w:rsidRDefault="00B64EB9" w:rsidP="00B64EB9">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lang w:val="sv-SE"/>
              </w:rPr>
              <w:t>1688VT1 Hudinja povirje – Nova Cerkev</w:t>
            </w:r>
          </w:p>
        </w:tc>
        <w:tc>
          <w:tcPr>
            <w:tcW w:w="616" w:type="pct"/>
            <w:tcBorders>
              <w:top w:val="nil"/>
              <w:left w:val="nil"/>
              <w:bottom w:val="single" w:sz="4" w:space="0" w:color="auto"/>
              <w:right w:val="single" w:sz="4" w:space="0" w:color="auto"/>
            </w:tcBorders>
            <w:shd w:val="clear" w:color="000000" w:fill="FFFFFF"/>
            <w:vAlign w:val="center"/>
            <w:hideMark/>
          </w:tcPr>
          <w:p w14:paraId="1DE35B56" w14:textId="77777777" w:rsidR="00B64EB9" w:rsidRPr="00545EC0" w:rsidRDefault="00B64EB9" w:rsidP="00B64EB9">
            <w:pPr>
              <w:overflowPunct/>
              <w:autoSpaceDE/>
              <w:autoSpaceDN/>
              <w:adjustRightInd/>
              <w:spacing w:line="240" w:lineRule="auto"/>
              <w:jc w:val="center"/>
              <w:textAlignment w:val="auto"/>
              <w:rPr>
                <w:rFonts w:cs="Arial"/>
                <w:b/>
                <w:bCs/>
                <w:color w:val="000000"/>
                <w:sz w:val="18"/>
                <w:szCs w:val="18"/>
              </w:rPr>
            </w:pPr>
            <w:r w:rsidRPr="00545EC0">
              <w:rPr>
                <w:rFonts w:cs="Arial"/>
                <w:b/>
                <w:bCs/>
                <w:color w:val="000000"/>
                <w:sz w:val="18"/>
                <w:szCs w:val="18"/>
                <w:lang w:val="sv-SE"/>
              </w:rPr>
              <w:sym w:font="Wingdings 2" w:char="F054"/>
            </w:r>
          </w:p>
        </w:tc>
        <w:tc>
          <w:tcPr>
            <w:tcW w:w="538" w:type="pct"/>
            <w:tcBorders>
              <w:top w:val="nil"/>
              <w:left w:val="nil"/>
              <w:bottom w:val="single" w:sz="4" w:space="0" w:color="auto"/>
              <w:right w:val="single" w:sz="4" w:space="0" w:color="auto"/>
            </w:tcBorders>
            <w:shd w:val="clear" w:color="000000" w:fill="FFFFFF"/>
            <w:noWrap/>
            <w:vAlign w:val="center"/>
            <w:hideMark/>
          </w:tcPr>
          <w:p w14:paraId="3633C198" w14:textId="77777777" w:rsidR="00B64EB9" w:rsidRPr="00545EC0" w:rsidRDefault="00B64EB9" w:rsidP="00B64EB9">
            <w:pPr>
              <w:overflowPunct/>
              <w:autoSpaceDE/>
              <w:autoSpaceDN/>
              <w:adjustRightInd/>
              <w:spacing w:line="240" w:lineRule="auto"/>
              <w:jc w:val="center"/>
              <w:textAlignment w:val="auto"/>
              <w:rPr>
                <w:rFonts w:cs="Arial"/>
                <w:b/>
                <w:bCs/>
                <w:color w:val="000000"/>
                <w:sz w:val="18"/>
                <w:szCs w:val="18"/>
              </w:rPr>
            </w:pPr>
            <w:r w:rsidRPr="00545EC0">
              <w:rPr>
                <w:rFonts w:cs="Arial"/>
                <w:b/>
                <w:bCs/>
                <w:color w:val="000000"/>
                <w:sz w:val="18"/>
                <w:szCs w:val="18"/>
              </w:rPr>
              <w:sym w:font="Wingdings" w:char="F0FC"/>
            </w:r>
          </w:p>
        </w:tc>
        <w:tc>
          <w:tcPr>
            <w:tcW w:w="1003" w:type="pct"/>
            <w:tcBorders>
              <w:top w:val="nil"/>
              <w:left w:val="nil"/>
              <w:bottom w:val="single" w:sz="4" w:space="0" w:color="auto"/>
              <w:right w:val="single" w:sz="4" w:space="0" w:color="auto"/>
            </w:tcBorders>
            <w:shd w:val="clear" w:color="000000" w:fill="FFFFFF"/>
            <w:vAlign w:val="center"/>
            <w:hideMark/>
          </w:tcPr>
          <w:p w14:paraId="7A96A567" w14:textId="77777777" w:rsidR="00B64EB9" w:rsidRPr="00545EC0" w:rsidRDefault="00B64EB9" w:rsidP="00B64EB9">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rPr>
              <w:t>DA</w:t>
            </w:r>
          </w:p>
        </w:tc>
        <w:tc>
          <w:tcPr>
            <w:tcW w:w="573" w:type="pct"/>
            <w:tcBorders>
              <w:top w:val="nil"/>
              <w:left w:val="nil"/>
              <w:bottom w:val="single" w:sz="4" w:space="0" w:color="auto"/>
              <w:right w:val="single" w:sz="4" w:space="0" w:color="auto"/>
            </w:tcBorders>
            <w:shd w:val="clear" w:color="000000" w:fill="FFFFFF"/>
            <w:noWrap/>
            <w:vAlign w:val="center"/>
            <w:hideMark/>
          </w:tcPr>
          <w:p w14:paraId="005461AC" w14:textId="77777777" w:rsidR="00B64EB9" w:rsidRPr="00545EC0" w:rsidRDefault="00B64EB9" w:rsidP="00B64EB9">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rPr>
              <w:t>srednja</w:t>
            </w:r>
          </w:p>
        </w:tc>
      </w:tr>
      <w:tr w:rsidR="00B64EB9" w:rsidRPr="00545EC0" w14:paraId="53B71C6C" w14:textId="77777777" w:rsidTr="00B64EB9">
        <w:trPr>
          <w:trHeight w:val="290"/>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14:paraId="1CE7770F" w14:textId="77777777" w:rsidR="00B64EB9" w:rsidRPr="00545EC0" w:rsidRDefault="00B64EB9" w:rsidP="00B64EB9">
            <w:pPr>
              <w:overflowPunct/>
              <w:autoSpaceDE/>
              <w:autoSpaceDN/>
              <w:adjustRightInd/>
              <w:spacing w:line="240" w:lineRule="auto"/>
              <w:jc w:val="right"/>
              <w:textAlignment w:val="auto"/>
              <w:rPr>
                <w:rFonts w:cs="Arial"/>
                <w:color w:val="000000"/>
                <w:sz w:val="18"/>
                <w:szCs w:val="18"/>
              </w:rPr>
            </w:pPr>
            <w:r w:rsidRPr="00545EC0">
              <w:rPr>
                <w:rFonts w:cs="Arial"/>
                <w:color w:val="000000"/>
                <w:sz w:val="18"/>
                <w:szCs w:val="18"/>
              </w:rPr>
              <w:t>12</w:t>
            </w:r>
          </w:p>
        </w:tc>
        <w:tc>
          <w:tcPr>
            <w:tcW w:w="692" w:type="pct"/>
            <w:tcBorders>
              <w:top w:val="nil"/>
              <w:left w:val="nil"/>
              <w:bottom w:val="single" w:sz="4" w:space="0" w:color="auto"/>
              <w:right w:val="single" w:sz="4" w:space="0" w:color="auto"/>
            </w:tcBorders>
            <w:shd w:val="clear" w:color="auto" w:fill="auto"/>
            <w:noWrap/>
            <w:vAlign w:val="bottom"/>
            <w:hideMark/>
          </w:tcPr>
          <w:p w14:paraId="76CF31D1" w14:textId="77777777" w:rsidR="00B64EB9" w:rsidRPr="00545EC0" w:rsidRDefault="00B64EB9" w:rsidP="00B64EB9">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rPr>
              <w:t>1011</w:t>
            </w:r>
          </w:p>
        </w:tc>
        <w:tc>
          <w:tcPr>
            <w:tcW w:w="1308" w:type="pct"/>
            <w:tcBorders>
              <w:top w:val="nil"/>
              <w:left w:val="nil"/>
              <w:bottom w:val="single" w:sz="4" w:space="0" w:color="auto"/>
              <w:right w:val="single" w:sz="4" w:space="0" w:color="auto"/>
            </w:tcBorders>
            <w:shd w:val="clear" w:color="auto" w:fill="auto"/>
            <w:noWrap/>
            <w:vAlign w:val="bottom"/>
            <w:hideMark/>
          </w:tcPr>
          <w:p w14:paraId="05B7280C" w14:textId="77777777" w:rsidR="00B64EB9" w:rsidRPr="00545EC0" w:rsidRDefault="00B64EB9" w:rsidP="00B64EB9">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lang w:val="sv-SE"/>
              </w:rPr>
              <w:t>186VT3 Temenica I</w:t>
            </w:r>
          </w:p>
        </w:tc>
        <w:tc>
          <w:tcPr>
            <w:tcW w:w="616" w:type="pct"/>
            <w:tcBorders>
              <w:top w:val="nil"/>
              <w:left w:val="nil"/>
              <w:bottom w:val="single" w:sz="4" w:space="0" w:color="auto"/>
              <w:right w:val="single" w:sz="4" w:space="0" w:color="auto"/>
            </w:tcBorders>
            <w:shd w:val="clear" w:color="000000" w:fill="FFFFFF"/>
            <w:vAlign w:val="center"/>
            <w:hideMark/>
          </w:tcPr>
          <w:p w14:paraId="5E881745" w14:textId="77777777" w:rsidR="00B64EB9" w:rsidRPr="00545EC0" w:rsidRDefault="00B64EB9" w:rsidP="00B64EB9">
            <w:pPr>
              <w:overflowPunct/>
              <w:autoSpaceDE/>
              <w:autoSpaceDN/>
              <w:adjustRightInd/>
              <w:spacing w:line="240" w:lineRule="auto"/>
              <w:jc w:val="center"/>
              <w:textAlignment w:val="auto"/>
              <w:rPr>
                <w:rFonts w:cs="Arial"/>
                <w:b/>
                <w:bCs/>
                <w:color w:val="000000"/>
                <w:sz w:val="18"/>
                <w:szCs w:val="18"/>
              </w:rPr>
            </w:pPr>
            <w:r w:rsidRPr="00545EC0">
              <w:rPr>
                <w:rFonts w:cs="Arial"/>
                <w:b/>
                <w:bCs/>
                <w:color w:val="000000"/>
                <w:sz w:val="18"/>
                <w:szCs w:val="18"/>
              </w:rPr>
              <w:sym w:font="Wingdings" w:char="F0FC"/>
            </w:r>
          </w:p>
        </w:tc>
        <w:tc>
          <w:tcPr>
            <w:tcW w:w="538" w:type="pct"/>
            <w:tcBorders>
              <w:top w:val="nil"/>
              <w:left w:val="nil"/>
              <w:bottom w:val="single" w:sz="4" w:space="0" w:color="auto"/>
              <w:right w:val="single" w:sz="4" w:space="0" w:color="auto"/>
            </w:tcBorders>
            <w:shd w:val="clear" w:color="000000" w:fill="FFFFFF"/>
            <w:noWrap/>
            <w:vAlign w:val="center"/>
            <w:hideMark/>
          </w:tcPr>
          <w:p w14:paraId="25F193C6" w14:textId="77777777" w:rsidR="00B64EB9" w:rsidRPr="00545EC0" w:rsidRDefault="00B64EB9" w:rsidP="00B64EB9">
            <w:pPr>
              <w:overflowPunct/>
              <w:autoSpaceDE/>
              <w:autoSpaceDN/>
              <w:adjustRightInd/>
              <w:spacing w:line="240" w:lineRule="auto"/>
              <w:jc w:val="center"/>
              <w:textAlignment w:val="auto"/>
              <w:rPr>
                <w:rFonts w:cs="Arial"/>
                <w:b/>
                <w:bCs/>
                <w:color w:val="000000"/>
                <w:sz w:val="18"/>
                <w:szCs w:val="18"/>
              </w:rPr>
            </w:pPr>
            <w:r w:rsidRPr="00545EC0">
              <w:rPr>
                <w:rFonts w:cs="Arial"/>
                <w:b/>
                <w:bCs/>
                <w:color w:val="000000"/>
                <w:sz w:val="18"/>
                <w:szCs w:val="18"/>
              </w:rPr>
              <w:sym w:font="Wingdings" w:char="F0FC"/>
            </w:r>
          </w:p>
        </w:tc>
        <w:tc>
          <w:tcPr>
            <w:tcW w:w="1003" w:type="pct"/>
            <w:tcBorders>
              <w:top w:val="nil"/>
              <w:left w:val="nil"/>
              <w:bottom w:val="single" w:sz="4" w:space="0" w:color="auto"/>
              <w:right w:val="single" w:sz="4" w:space="0" w:color="auto"/>
            </w:tcBorders>
            <w:shd w:val="clear" w:color="000000" w:fill="FFFFFF"/>
            <w:vAlign w:val="center"/>
            <w:hideMark/>
          </w:tcPr>
          <w:p w14:paraId="3FBEE760" w14:textId="77777777" w:rsidR="00B64EB9" w:rsidRPr="00545EC0" w:rsidRDefault="00B64EB9" w:rsidP="00B64EB9">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rPr>
              <w:t>DA</w:t>
            </w:r>
          </w:p>
        </w:tc>
        <w:tc>
          <w:tcPr>
            <w:tcW w:w="573" w:type="pct"/>
            <w:tcBorders>
              <w:top w:val="nil"/>
              <w:left w:val="nil"/>
              <w:bottom w:val="single" w:sz="4" w:space="0" w:color="auto"/>
              <w:right w:val="single" w:sz="4" w:space="0" w:color="auto"/>
            </w:tcBorders>
            <w:shd w:val="clear" w:color="000000" w:fill="FFFFFF"/>
            <w:noWrap/>
            <w:vAlign w:val="center"/>
            <w:hideMark/>
          </w:tcPr>
          <w:p w14:paraId="19BF1C8D" w14:textId="77777777" w:rsidR="00B64EB9" w:rsidRPr="00545EC0" w:rsidRDefault="00B64EB9" w:rsidP="00B64EB9">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rPr>
              <w:t>srednja</w:t>
            </w:r>
          </w:p>
        </w:tc>
      </w:tr>
      <w:tr w:rsidR="00B64EB9" w:rsidRPr="00545EC0" w14:paraId="1E385E33" w14:textId="77777777" w:rsidTr="00B64EB9">
        <w:trPr>
          <w:trHeight w:val="290"/>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14:paraId="32CA34DA" w14:textId="77777777" w:rsidR="00B64EB9" w:rsidRPr="00545EC0" w:rsidRDefault="00B64EB9" w:rsidP="00B64EB9">
            <w:pPr>
              <w:overflowPunct/>
              <w:autoSpaceDE/>
              <w:autoSpaceDN/>
              <w:adjustRightInd/>
              <w:spacing w:line="240" w:lineRule="auto"/>
              <w:jc w:val="right"/>
              <w:textAlignment w:val="auto"/>
              <w:rPr>
                <w:rFonts w:cs="Arial"/>
                <w:color w:val="000000"/>
                <w:sz w:val="18"/>
                <w:szCs w:val="18"/>
              </w:rPr>
            </w:pPr>
            <w:r w:rsidRPr="00545EC0">
              <w:rPr>
                <w:rFonts w:cs="Arial"/>
                <w:color w:val="000000"/>
                <w:sz w:val="18"/>
                <w:szCs w:val="18"/>
              </w:rPr>
              <w:t>13</w:t>
            </w:r>
          </w:p>
        </w:tc>
        <w:tc>
          <w:tcPr>
            <w:tcW w:w="692" w:type="pct"/>
            <w:tcBorders>
              <w:top w:val="nil"/>
              <w:left w:val="nil"/>
              <w:bottom w:val="single" w:sz="4" w:space="0" w:color="auto"/>
              <w:right w:val="single" w:sz="4" w:space="0" w:color="auto"/>
            </w:tcBorders>
            <w:shd w:val="clear" w:color="auto" w:fill="auto"/>
            <w:noWrap/>
            <w:vAlign w:val="bottom"/>
            <w:hideMark/>
          </w:tcPr>
          <w:p w14:paraId="125A4BF7" w14:textId="77777777" w:rsidR="00B64EB9" w:rsidRPr="00545EC0" w:rsidRDefault="00B64EB9" w:rsidP="00B64EB9">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rPr>
              <w:t>1011</w:t>
            </w:r>
          </w:p>
        </w:tc>
        <w:tc>
          <w:tcPr>
            <w:tcW w:w="1308" w:type="pct"/>
            <w:tcBorders>
              <w:top w:val="nil"/>
              <w:left w:val="nil"/>
              <w:bottom w:val="single" w:sz="4" w:space="0" w:color="auto"/>
              <w:right w:val="single" w:sz="4" w:space="0" w:color="auto"/>
            </w:tcBorders>
            <w:shd w:val="clear" w:color="auto" w:fill="auto"/>
            <w:noWrap/>
            <w:vAlign w:val="bottom"/>
            <w:hideMark/>
          </w:tcPr>
          <w:p w14:paraId="2D21021F" w14:textId="77777777" w:rsidR="00B64EB9" w:rsidRPr="00545EC0" w:rsidRDefault="00B64EB9" w:rsidP="00B64EB9">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lang w:val="sv-SE"/>
              </w:rPr>
              <w:t>21332VT Rinža</w:t>
            </w:r>
          </w:p>
        </w:tc>
        <w:tc>
          <w:tcPr>
            <w:tcW w:w="616" w:type="pct"/>
            <w:tcBorders>
              <w:top w:val="nil"/>
              <w:left w:val="nil"/>
              <w:bottom w:val="single" w:sz="4" w:space="0" w:color="auto"/>
              <w:right w:val="single" w:sz="4" w:space="0" w:color="auto"/>
            </w:tcBorders>
            <w:shd w:val="clear" w:color="000000" w:fill="FFFFFF"/>
            <w:vAlign w:val="center"/>
            <w:hideMark/>
          </w:tcPr>
          <w:p w14:paraId="665B2C5C" w14:textId="77777777" w:rsidR="00B64EB9" w:rsidRPr="00545EC0" w:rsidRDefault="00B64EB9" w:rsidP="00B64EB9">
            <w:pPr>
              <w:overflowPunct/>
              <w:autoSpaceDE/>
              <w:autoSpaceDN/>
              <w:adjustRightInd/>
              <w:spacing w:line="240" w:lineRule="auto"/>
              <w:jc w:val="center"/>
              <w:textAlignment w:val="auto"/>
              <w:rPr>
                <w:rFonts w:cs="Arial"/>
                <w:b/>
                <w:bCs/>
                <w:color w:val="000000"/>
                <w:sz w:val="18"/>
                <w:szCs w:val="18"/>
              </w:rPr>
            </w:pPr>
            <w:r w:rsidRPr="00545EC0">
              <w:rPr>
                <w:rFonts w:cs="Arial"/>
                <w:b/>
                <w:bCs/>
                <w:color w:val="000000"/>
                <w:sz w:val="18"/>
                <w:szCs w:val="18"/>
              </w:rPr>
              <w:sym w:font="Wingdings" w:char="F0FC"/>
            </w:r>
          </w:p>
        </w:tc>
        <w:tc>
          <w:tcPr>
            <w:tcW w:w="538" w:type="pct"/>
            <w:tcBorders>
              <w:top w:val="nil"/>
              <w:left w:val="nil"/>
              <w:bottom w:val="single" w:sz="4" w:space="0" w:color="auto"/>
              <w:right w:val="single" w:sz="4" w:space="0" w:color="auto"/>
            </w:tcBorders>
            <w:shd w:val="clear" w:color="000000" w:fill="FFFFFF"/>
            <w:noWrap/>
            <w:vAlign w:val="center"/>
            <w:hideMark/>
          </w:tcPr>
          <w:p w14:paraId="52C1C21A" w14:textId="77777777" w:rsidR="00B64EB9" w:rsidRPr="00545EC0" w:rsidRDefault="00B64EB9" w:rsidP="00B64EB9">
            <w:pPr>
              <w:overflowPunct/>
              <w:autoSpaceDE/>
              <w:autoSpaceDN/>
              <w:adjustRightInd/>
              <w:spacing w:line="240" w:lineRule="auto"/>
              <w:jc w:val="center"/>
              <w:textAlignment w:val="auto"/>
              <w:rPr>
                <w:rFonts w:cs="Arial"/>
                <w:b/>
                <w:bCs/>
                <w:color w:val="000000"/>
                <w:sz w:val="18"/>
                <w:szCs w:val="18"/>
              </w:rPr>
            </w:pPr>
            <w:r w:rsidRPr="00545EC0">
              <w:rPr>
                <w:rFonts w:cs="Arial"/>
                <w:b/>
                <w:bCs/>
                <w:color w:val="000000"/>
                <w:sz w:val="18"/>
                <w:szCs w:val="18"/>
              </w:rPr>
              <w:sym w:font="Wingdings" w:char="F0FC"/>
            </w:r>
          </w:p>
        </w:tc>
        <w:tc>
          <w:tcPr>
            <w:tcW w:w="1003" w:type="pct"/>
            <w:tcBorders>
              <w:top w:val="nil"/>
              <w:left w:val="nil"/>
              <w:bottom w:val="single" w:sz="4" w:space="0" w:color="auto"/>
              <w:right w:val="single" w:sz="4" w:space="0" w:color="auto"/>
            </w:tcBorders>
            <w:shd w:val="clear" w:color="000000" w:fill="FFFFFF"/>
            <w:vAlign w:val="center"/>
            <w:hideMark/>
          </w:tcPr>
          <w:p w14:paraId="6E4042DF" w14:textId="77777777" w:rsidR="00B64EB9" w:rsidRPr="00545EC0" w:rsidRDefault="00B64EB9" w:rsidP="00B64EB9">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rPr>
              <w:t>DA</w:t>
            </w:r>
          </w:p>
        </w:tc>
        <w:tc>
          <w:tcPr>
            <w:tcW w:w="573" w:type="pct"/>
            <w:tcBorders>
              <w:top w:val="nil"/>
              <w:left w:val="nil"/>
              <w:bottom w:val="single" w:sz="4" w:space="0" w:color="auto"/>
              <w:right w:val="single" w:sz="4" w:space="0" w:color="auto"/>
            </w:tcBorders>
            <w:shd w:val="clear" w:color="000000" w:fill="FFFFFF"/>
            <w:noWrap/>
            <w:vAlign w:val="center"/>
            <w:hideMark/>
          </w:tcPr>
          <w:p w14:paraId="325266A4" w14:textId="77777777" w:rsidR="00B64EB9" w:rsidRPr="00545EC0" w:rsidRDefault="00B64EB9" w:rsidP="00B64EB9">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rPr>
              <w:t>srednja</w:t>
            </w:r>
          </w:p>
        </w:tc>
      </w:tr>
      <w:tr w:rsidR="00B64EB9" w:rsidRPr="00545EC0" w14:paraId="2666C6D8" w14:textId="77777777" w:rsidTr="00B64EB9">
        <w:trPr>
          <w:trHeight w:val="290"/>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14:paraId="73827BFA" w14:textId="77777777" w:rsidR="00B64EB9" w:rsidRPr="00545EC0" w:rsidRDefault="00B64EB9" w:rsidP="00B64EB9">
            <w:pPr>
              <w:overflowPunct/>
              <w:autoSpaceDE/>
              <w:autoSpaceDN/>
              <w:adjustRightInd/>
              <w:spacing w:line="240" w:lineRule="auto"/>
              <w:jc w:val="right"/>
              <w:textAlignment w:val="auto"/>
              <w:rPr>
                <w:rFonts w:cs="Arial"/>
                <w:color w:val="000000"/>
                <w:sz w:val="18"/>
                <w:szCs w:val="18"/>
              </w:rPr>
            </w:pPr>
            <w:r w:rsidRPr="00545EC0">
              <w:rPr>
                <w:rFonts w:cs="Arial"/>
                <w:color w:val="000000"/>
                <w:sz w:val="18"/>
                <w:szCs w:val="18"/>
              </w:rPr>
              <w:t>14</w:t>
            </w:r>
          </w:p>
        </w:tc>
        <w:tc>
          <w:tcPr>
            <w:tcW w:w="692" w:type="pct"/>
            <w:tcBorders>
              <w:top w:val="nil"/>
              <w:left w:val="nil"/>
              <w:bottom w:val="single" w:sz="4" w:space="0" w:color="auto"/>
              <w:right w:val="single" w:sz="4" w:space="0" w:color="auto"/>
            </w:tcBorders>
            <w:shd w:val="clear" w:color="auto" w:fill="auto"/>
            <w:noWrap/>
            <w:vAlign w:val="bottom"/>
            <w:hideMark/>
          </w:tcPr>
          <w:p w14:paraId="6FDB2186" w14:textId="77777777" w:rsidR="00B64EB9" w:rsidRPr="00545EC0" w:rsidRDefault="00B64EB9" w:rsidP="00B64EB9">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rPr>
              <w:t>3013</w:t>
            </w:r>
          </w:p>
        </w:tc>
        <w:tc>
          <w:tcPr>
            <w:tcW w:w="1308" w:type="pct"/>
            <w:tcBorders>
              <w:top w:val="nil"/>
              <w:left w:val="nil"/>
              <w:bottom w:val="single" w:sz="4" w:space="0" w:color="auto"/>
              <w:right w:val="single" w:sz="4" w:space="0" w:color="auto"/>
            </w:tcBorders>
            <w:shd w:val="clear" w:color="auto" w:fill="auto"/>
            <w:noWrap/>
            <w:vAlign w:val="bottom"/>
            <w:hideMark/>
          </w:tcPr>
          <w:p w14:paraId="44A20DB0" w14:textId="77777777" w:rsidR="00B64EB9" w:rsidRPr="00545EC0" w:rsidRDefault="00B64EB9" w:rsidP="00B64EB9">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lang w:val="sv-SE"/>
              </w:rPr>
              <w:t>322VT7 Mislinja Slovenj Gradec – Otiški vrh</w:t>
            </w:r>
          </w:p>
        </w:tc>
        <w:tc>
          <w:tcPr>
            <w:tcW w:w="616" w:type="pct"/>
            <w:tcBorders>
              <w:top w:val="nil"/>
              <w:left w:val="nil"/>
              <w:bottom w:val="single" w:sz="4" w:space="0" w:color="auto"/>
              <w:right w:val="single" w:sz="4" w:space="0" w:color="auto"/>
            </w:tcBorders>
            <w:shd w:val="clear" w:color="000000" w:fill="FFFFFF"/>
            <w:vAlign w:val="center"/>
            <w:hideMark/>
          </w:tcPr>
          <w:p w14:paraId="17F3E418" w14:textId="77777777" w:rsidR="00B64EB9" w:rsidRPr="00545EC0" w:rsidRDefault="00B64EB9" w:rsidP="00B64EB9">
            <w:pPr>
              <w:overflowPunct/>
              <w:autoSpaceDE/>
              <w:autoSpaceDN/>
              <w:adjustRightInd/>
              <w:spacing w:line="240" w:lineRule="auto"/>
              <w:jc w:val="center"/>
              <w:textAlignment w:val="auto"/>
              <w:rPr>
                <w:rFonts w:cs="Arial"/>
                <w:b/>
                <w:bCs/>
                <w:color w:val="000000"/>
                <w:sz w:val="18"/>
                <w:szCs w:val="18"/>
              </w:rPr>
            </w:pPr>
            <w:r w:rsidRPr="00545EC0">
              <w:rPr>
                <w:rFonts w:cs="Arial"/>
                <w:b/>
                <w:bCs/>
                <w:color w:val="000000"/>
                <w:sz w:val="18"/>
                <w:szCs w:val="18"/>
              </w:rPr>
              <w:sym w:font="Wingdings" w:char="F0FC"/>
            </w:r>
          </w:p>
        </w:tc>
        <w:tc>
          <w:tcPr>
            <w:tcW w:w="538" w:type="pct"/>
            <w:tcBorders>
              <w:top w:val="nil"/>
              <w:left w:val="nil"/>
              <w:bottom w:val="single" w:sz="4" w:space="0" w:color="auto"/>
              <w:right w:val="single" w:sz="4" w:space="0" w:color="auto"/>
            </w:tcBorders>
            <w:shd w:val="clear" w:color="000000" w:fill="FFFFFF"/>
            <w:noWrap/>
            <w:vAlign w:val="center"/>
            <w:hideMark/>
          </w:tcPr>
          <w:p w14:paraId="02822751" w14:textId="77777777" w:rsidR="00B64EB9" w:rsidRPr="00545EC0" w:rsidRDefault="00B64EB9" w:rsidP="00B64EB9">
            <w:pPr>
              <w:overflowPunct/>
              <w:autoSpaceDE/>
              <w:autoSpaceDN/>
              <w:adjustRightInd/>
              <w:spacing w:line="240" w:lineRule="auto"/>
              <w:jc w:val="center"/>
              <w:textAlignment w:val="auto"/>
              <w:rPr>
                <w:rFonts w:cs="Arial"/>
                <w:b/>
                <w:bCs/>
                <w:color w:val="000000"/>
                <w:sz w:val="18"/>
                <w:szCs w:val="18"/>
              </w:rPr>
            </w:pPr>
            <w:r w:rsidRPr="00545EC0">
              <w:rPr>
                <w:rFonts w:cs="Arial"/>
                <w:b/>
                <w:bCs/>
                <w:color w:val="000000"/>
                <w:sz w:val="18"/>
                <w:szCs w:val="18"/>
              </w:rPr>
              <w:sym w:font="Wingdings" w:char="F0FC"/>
            </w:r>
          </w:p>
        </w:tc>
        <w:tc>
          <w:tcPr>
            <w:tcW w:w="1003" w:type="pct"/>
            <w:tcBorders>
              <w:top w:val="nil"/>
              <w:left w:val="nil"/>
              <w:bottom w:val="single" w:sz="4" w:space="0" w:color="auto"/>
              <w:right w:val="single" w:sz="4" w:space="0" w:color="auto"/>
            </w:tcBorders>
            <w:shd w:val="clear" w:color="000000" w:fill="FFFFFF"/>
            <w:vAlign w:val="center"/>
            <w:hideMark/>
          </w:tcPr>
          <w:p w14:paraId="562B038D" w14:textId="77777777" w:rsidR="00B64EB9" w:rsidRPr="00545EC0" w:rsidRDefault="00B64EB9" w:rsidP="00B64EB9">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rPr>
              <w:t>DA</w:t>
            </w:r>
          </w:p>
        </w:tc>
        <w:tc>
          <w:tcPr>
            <w:tcW w:w="573" w:type="pct"/>
            <w:tcBorders>
              <w:top w:val="nil"/>
              <w:left w:val="nil"/>
              <w:bottom w:val="single" w:sz="4" w:space="0" w:color="auto"/>
              <w:right w:val="single" w:sz="4" w:space="0" w:color="auto"/>
            </w:tcBorders>
            <w:shd w:val="clear" w:color="000000" w:fill="FFFFFF"/>
            <w:noWrap/>
            <w:vAlign w:val="center"/>
            <w:hideMark/>
          </w:tcPr>
          <w:p w14:paraId="4B3409BF" w14:textId="77777777" w:rsidR="00B64EB9" w:rsidRPr="00545EC0" w:rsidRDefault="00B64EB9" w:rsidP="00B64EB9">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rPr>
              <w:t>srednja</w:t>
            </w:r>
          </w:p>
        </w:tc>
      </w:tr>
      <w:tr w:rsidR="00B64EB9" w:rsidRPr="00545EC0" w14:paraId="65AF6905" w14:textId="77777777" w:rsidTr="00B64EB9">
        <w:trPr>
          <w:trHeight w:val="290"/>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14:paraId="4FE719DE" w14:textId="77777777" w:rsidR="00B64EB9" w:rsidRPr="00545EC0" w:rsidRDefault="00B64EB9" w:rsidP="00B64EB9">
            <w:pPr>
              <w:overflowPunct/>
              <w:autoSpaceDE/>
              <w:autoSpaceDN/>
              <w:adjustRightInd/>
              <w:spacing w:line="240" w:lineRule="auto"/>
              <w:jc w:val="right"/>
              <w:textAlignment w:val="auto"/>
              <w:rPr>
                <w:rFonts w:cs="Arial"/>
                <w:color w:val="000000"/>
                <w:sz w:val="18"/>
                <w:szCs w:val="18"/>
              </w:rPr>
            </w:pPr>
            <w:r w:rsidRPr="00545EC0">
              <w:rPr>
                <w:rFonts w:cs="Arial"/>
                <w:color w:val="000000"/>
                <w:sz w:val="18"/>
                <w:szCs w:val="18"/>
              </w:rPr>
              <w:t>15</w:t>
            </w:r>
          </w:p>
        </w:tc>
        <w:tc>
          <w:tcPr>
            <w:tcW w:w="692" w:type="pct"/>
            <w:tcBorders>
              <w:top w:val="nil"/>
              <w:left w:val="nil"/>
              <w:bottom w:val="single" w:sz="4" w:space="0" w:color="auto"/>
              <w:right w:val="single" w:sz="4" w:space="0" w:color="auto"/>
            </w:tcBorders>
            <w:shd w:val="clear" w:color="auto" w:fill="auto"/>
            <w:noWrap/>
            <w:vAlign w:val="bottom"/>
            <w:hideMark/>
          </w:tcPr>
          <w:p w14:paraId="6FD84BD6" w14:textId="77777777" w:rsidR="00B64EB9" w:rsidRPr="00545EC0" w:rsidRDefault="00B64EB9" w:rsidP="00B64EB9">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rPr>
              <w:t>1005, 1006, 3013</w:t>
            </w:r>
          </w:p>
        </w:tc>
        <w:tc>
          <w:tcPr>
            <w:tcW w:w="1308" w:type="pct"/>
            <w:tcBorders>
              <w:top w:val="nil"/>
              <w:left w:val="nil"/>
              <w:bottom w:val="single" w:sz="4" w:space="0" w:color="auto"/>
              <w:right w:val="single" w:sz="4" w:space="0" w:color="auto"/>
            </w:tcBorders>
            <w:shd w:val="clear" w:color="auto" w:fill="auto"/>
            <w:noWrap/>
            <w:vAlign w:val="bottom"/>
            <w:hideMark/>
          </w:tcPr>
          <w:p w14:paraId="57E24A0D" w14:textId="77777777" w:rsidR="00B64EB9" w:rsidRPr="00545EC0" w:rsidRDefault="00B64EB9" w:rsidP="00B64EB9">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lang w:val="sv-SE"/>
              </w:rPr>
              <w:t>32VT30 Meža Črna na Koroškem – Dravograd</w:t>
            </w:r>
          </w:p>
        </w:tc>
        <w:tc>
          <w:tcPr>
            <w:tcW w:w="616" w:type="pct"/>
            <w:tcBorders>
              <w:top w:val="nil"/>
              <w:left w:val="nil"/>
              <w:bottom w:val="single" w:sz="4" w:space="0" w:color="auto"/>
              <w:right w:val="single" w:sz="4" w:space="0" w:color="auto"/>
            </w:tcBorders>
            <w:shd w:val="clear" w:color="000000" w:fill="FFFFFF"/>
            <w:vAlign w:val="center"/>
            <w:hideMark/>
          </w:tcPr>
          <w:p w14:paraId="1F3FB190" w14:textId="77777777" w:rsidR="00B64EB9" w:rsidRPr="00545EC0" w:rsidRDefault="00B64EB9" w:rsidP="00B64EB9">
            <w:pPr>
              <w:overflowPunct/>
              <w:autoSpaceDE/>
              <w:autoSpaceDN/>
              <w:adjustRightInd/>
              <w:spacing w:line="240" w:lineRule="auto"/>
              <w:jc w:val="center"/>
              <w:textAlignment w:val="auto"/>
              <w:rPr>
                <w:rFonts w:cs="Arial"/>
                <w:b/>
                <w:bCs/>
                <w:color w:val="000000"/>
                <w:sz w:val="18"/>
                <w:szCs w:val="18"/>
              </w:rPr>
            </w:pPr>
            <w:r w:rsidRPr="00545EC0">
              <w:rPr>
                <w:rFonts w:cs="Arial"/>
                <w:b/>
                <w:bCs/>
                <w:color w:val="000000"/>
                <w:sz w:val="18"/>
                <w:szCs w:val="18"/>
              </w:rPr>
              <w:sym w:font="Wingdings" w:char="F0FC"/>
            </w:r>
          </w:p>
        </w:tc>
        <w:tc>
          <w:tcPr>
            <w:tcW w:w="538" w:type="pct"/>
            <w:tcBorders>
              <w:top w:val="nil"/>
              <w:left w:val="nil"/>
              <w:bottom w:val="single" w:sz="4" w:space="0" w:color="auto"/>
              <w:right w:val="single" w:sz="4" w:space="0" w:color="auto"/>
            </w:tcBorders>
            <w:shd w:val="clear" w:color="000000" w:fill="FFFFFF"/>
            <w:noWrap/>
            <w:vAlign w:val="center"/>
            <w:hideMark/>
          </w:tcPr>
          <w:p w14:paraId="698B96CF" w14:textId="77777777" w:rsidR="00B64EB9" w:rsidRPr="00545EC0" w:rsidRDefault="00B64EB9" w:rsidP="00B64EB9">
            <w:pPr>
              <w:overflowPunct/>
              <w:autoSpaceDE/>
              <w:autoSpaceDN/>
              <w:adjustRightInd/>
              <w:spacing w:line="240" w:lineRule="auto"/>
              <w:jc w:val="center"/>
              <w:textAlignment w:val="auto"/>
              <w:rPr>
                <w:rFonts w:cs="Arial"/>
                <w:b/>
                <w:bCs/>
                <w:color w:val="000000"/>
                <w:sz w:val="18"/>
                <w:szCs w:val="18"/>
              </w:rPr>
            </w:pPr>
            <w:r w:rsidRPr="00545EC0">
              <w:rPr>
                <w:rFonts w:cs="Arial"/>
                <w:b/>
                <w:bCs/>
                <w:color w:val="000000"/>
                <w:sz w:val="18"/>
                <w:szCs w:val="18"/>
              </w:rPr>
              <w:sym w:font="Wingdings" w:char="F0FC"/>
            </w:r>
          </w:p>
        </w:tc>
        <w:tc>
          <w:tcPr>
            <w:tcW w:w="1003" w:type="pct"/>
            <w:tcBorders>
              <w:top w:val="nil"/>
              <w:left w:val="nil"/>
              <w:bottom w:val="single" w:sz="4" w:space="0" w:color="auto"/>
              <w:right w:val="single" w:sz="4" w:space="0" w:color="auto"/>
            </w:tcBorders>
            <w:shd w:val="clear" w:color="000000" w:fill="FFFFFF"/>
            <w:vAlign w:val="center"/>
            <w:hideMark/>
          </w:tcPr>
          <w:p w14:paraId="2B257790" w14:textId="77777777" w:rsidR="00B64EB9" w:rsidRPr="00545EC0" w:rsidRDefault="00B64EB9" w:rsidP="00B64EB9">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rPr>
              <w:t>DA</w:t>
            </w:r>
          </w:p>
        </w:tc>
        <w:tc>
          <w:tcPr>
            <w:tcW w:w="573" w:type="pct"/>
            <w:tcBorders>
              <w:top w:val="nil"/>
              <w:left w:val="nil"/>
              <w:bottom w:val="single" w:sz="4" w:space="0" w:color="auto"/>
              <w:right w:val="single" w:sz="4" w:space="0" w:color="auto"/>
            </w:tcBorders>
            <w:shd w:val="clear" w:color="000000" w:fill="FFFFFF"/>
            <w:noWrap/>
            <w:vAlign w:val="center"/>
            <w:hideMark/>
          </w:tcPr>
          <w:p w14:paraId="5768AC86" w14:textId="77777777" w:rsidR="00B64EB9" w:rsidRPr="00545EC0" w:rsidRDefault="00B64EB9" w:rsidP="00B64EB9">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rPr>
              <w:t>srednja</w:t>
            </w:r>
          </w:p>
        </w:tc>
      </w:tr>
      <w:tr w:rsidR="00B64EB9" w:rsidRPr="00545EC0" w14:paraId="1F38061D" w14:textId="77777777" w:rsidTr="00B64EB9">
        <w:trPr>
          <w:trHeight w:val="290"/>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14:paraId="155CC494" w14:textId="77777777" w:rsidR="00B64EB9" w:rsidRPr="00545EC0" w:rsidRDefault="00B64EB9" w:rsidP="00B64EB9">
            <w:pPr>
              <w:overflowPunct/>
              <w:autoSpaceDE/>
              <w:autoSpaceDN/>
              <w:adjustRightInd/>
              <w:spacing w:line="240" w:lineRule="auto"/>
              <w:jc w:val="right"/>
              <w:textAlignment w:val="auto"/>
              <w:rPr>
                <w:rFonts w:cs="Arial"/>
                <w:color w:val="000000"/>
                <w:sz w:val="18"/>
                <w:szCs w:val="18"/>
              </w:rPr>
            </w:pPr>
            <w:r w:rsidRPr="00545EC0">
              <w:rPr>
                <w:rFonts w:cs="Arial"/>
                <w:color w:val="000000"/>
                <w:sz w:val="18"/>
                <w:szCs w:val="18"/>
              </w:rPr>
              <w:t>16</w:t>
            </w:r>
          </w:p>
        </w:tc>
        <w:tc>
          <w:tcPr>
            <w:tcW w:w="692" w:type="pct"/>
            <w:tcBorders>
              <w:top w:val="nil"/>
              <w:left w:val="nil"/>
              <w:bottom w:val="single" w:sz="4" w:space="0" w:color="auto"/>
              <w:right w:val="single" w:sz="4" w:space="0" w:color="auto"/>
            </w:tcBorders>
            <w:shd w:val="clear" w:color="auto" w:fill="auto"/>
            <w:noWrap/>
            <w:vAlign w:val="bottom"/>
            <w:hideMark/>
          </w:tcPr>
          <w:p w14:paraId="22EE1A7D" w14:textId="77777777" w:rsidR="00B64EB9" w:rsidRPr="00545EC0" w:rsidRDefault="00B64EB9" w:rsidP="00B64EB9">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rPr>
              <w:t>3013, 3014</w:t>
            </w:r>
          </w:p>
        </w:tc>
        <w:tc>
          <w:tcPr>
            <w:tcW w:w="1308" w:type="pct"/>
            <w:tcBorders>
              <w:top w:val="nil"/>
              <w:left w:val="nil"/>
              <w:bottom w:val="single" w:sz="4" w:space="0" w:color="auto"/>
              <w:right w:val="single" w:sz="4" w:space="0" w:color="auto"/>
            </w:tcBorders>
            <w:shd w:val="clear" w:color="auto" w:fill="auto"/>
            <w:noWrap/>
            <w:vAlign w:val="bottom"/>
            <w:hideMark/>
          </w:tcPr>
          <w:p w14:paraId="237AF425" w14:textId="77777777" w:rsidR="00B64EB9" w:rsidRPr="00545EC0" w:rsidRDefault="00B64EB9" w:rsidP="00B64EB9">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lang w:val="sv-SE"/>
              </w:rPr>
              <w:t>364VT7 Ložnica Slovenska Bistrica – Pečke</w:t>
            </w:r>
          </w:p>
        </w:tc>
        <w:tc>
          <w:tcPr>
            <w:tcW w:w="616" w:type="pct"/>
            <w:tcBorders>
              <w:top w:val="nil"/>
              <w:left w:val="nil"/>
              <w:bottom w:val="single" w:sz="4" w:space="0" w:color="auto"/>
              <w:right w:val="single" w:sz="4" w:space="0" w:color="auto"/>
            </w:tcBorders>
            <w:shd w:val="clear" w:color="000000" w:fill="FFFFFF"/>
            <w:vAlign w:val="center"/>
            <w:hideMark/>
          </w:tcPr>
          <w:p w14:paraId="3EF4F4E6" w14:textId="77777777" w:rsidR="00B64EB9" w:rsidRPr="00545EC0" w:rsidRDefault="00B64EB9" w:rsidP="00B64EB9">
            <w:pPr>
              <w:overflowPunct/>
              <w:autoSpaceDE/>
              <w:autoSpaceDN/>
              <w:adjustRightInd/>
              <w:spacing w:line="240" w:lineRule="auto"/>
              <w:jc w:val="center"/>
              <w:textAlignment w:val="auto"/>
              <w:rPr>
                <w:rFonts w:cs="Arial"/>
                <w:b/>
                <w:bCs/>
                <w:color w:val="000000"/>
                <w:sz w:val="18"/>
                <w:szCs w:val="18"/>
              </w:rPr>
            </w:pPr>
            <w:r w:rsidRPr="00545EC0">
              <w:rPr>
                <w:rFonts w:cs="Arial"/>
                <w:b/>
                <w:bCs/>
                <w:color w:val="000000"/>
                <w:sz w:val="18"/>
                <w:szCs w:val="18"/>
              </w:rPr>
              <w:sym w:font="Wingdings" w:char="F0FC"/>
            </w:r>
          </w:p>
        </w:tc>
        <w:tc>
          <w:tcPr>
            <w:tcW w:w="538" w:type="pct"/>
            <w:tcBorders>
              <w:top w:val="nil"/>
              <w:left w:val="nil"/>
              <w:bottom w:val="single" w:sz="4" w:space="0" w:color="auto"/>
              <w:right w:val="single" w:sz="4" w:space="0" w:color="auto"/>
            </w:tcBorders>
            <w:shd w:val="clear" w:color="000000" w:fill="FFFFFF"/>
            <w:noWrap/>
            <w:vAlign w:val="center"/>
            <w:hideMark/>
          </w:tcPr>
          <w:p w14:paraId="56640401" w14:textId="77777777" w:rsidR="00B64EB9" w:rsidRPr="00545EC0" w:rsidRDefault="00B64EB9" w:rsidP="00B64EB9">
            <w:pPr>
              <w:overflowPunct/>
              <w:autoSpaceDE/>
              <w:autoSpaceDN/>
              <w:adjustRightInd/>
              <w:spacing w:line="240" w:lineRule="auto"/>
              <w:jc w:val="center"/>
              <w:textAlignment w:val="auto"/>
              <w:rPr>
                <w:rFonts w:cs="Arial"/>
                <w:b/>
                <w:bCs/>
                <w:color w:val="000000"/>
                <w:sz w:val="18"/>
                <w:szCs w:val="18"/>
              </w:rPr>
            </w:pPr>
            <w:r w:rsidRPr="00545EC0">
              <w:rPr>
                <w:rFonts w:cs="Arial"/>
                <w:b/>
                <w:bCs/>
                <w:color w:val="000000"/>
                <w:sz w:val="18"/>
                <w:szCs w:val="18"/>
              </w:rPr>
              <w:sym w:font="Wingdings" w:char="F0FC"/>
            </w:r>
          </w:p>
        </w:tc>
        <w:tc>
          <w:tcPr>
            <w:tcW w:w="1003" w:type="pct"/>
            <w:tcBorders>
              <w:top w:val="nil"/>
              <w:left w:val="nil"/>
              <w:bottom w:val="single" w:sz="4" w:space="0" w:color="auto"/>
              <w:right w:val="single" w:sz="4" w:space="0" w:color="auto"/>
            </w:tcBorders>
            <w:shd w:val="clear" w:color="000000" w:fill="FFFFFF"/>
            <w:vAlign w:val="center"/>
            <w:hideMark/>
          </w:tcPr>
          <w:p w14:paraId="55FA7C25" w14:textId="77777777" w:rsidR="00B64EB9" w:rsidRPr="00545EC0" w:rsidRDefault="00B64EB9" w:rsidP="00B64EB9">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rPr>
              <w:t>DA</w:t>
            </w:r>
          </w:p>
        </w:tc>
        <w:tc>
          <w:tcPr>
            <w:tcW w:w="573" w:type="pct"/>
            <w:tcBorders>
              <w:top w:val="nil"/>
              <w:left w:val="nil"/>
              <w:bottom w:val="single" w:sz="4" w:space="0" w:color="auto"/>
              <w:right w:val="single" w:sz="4" w:space="0" w:color="auto"/>
            </w:tcBorders>
            <w:shd w:val="clear" w:color="000000" w:fill="FFFFFF"/>
            <w:noWrap/>
            <w:vAlign w:val="center"/>
            <w:hideMark/>
          </w:tcPr>
          <w:p w14:paraId="057972DC" w14:textId="77777777" w:rsidR="00B64EB9" w:rsidRPr="00545EC0" w:rsidRDefault="00B64EB9" w:rsidP="00B64EB9">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rPr>
              <w:t>srednja</w:t>
            </w:r>
          </w:p>
        </w:tc>
      </w:tr>
      <w:tr w:rsidR="00B64EB9" w:rsidRPr="00545EC0" w14:paraId="42CD2AD1" w14:textId="77777777" w:rsidTr="00B64EB9">
        <w:trPr>
          <w:trHeight w:val="290"/>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14:paraId="434F561C" w14:textId="77777777" w:rsidR="00B64EB9" w:rsidRPr="00545EC0" w:rsidRDefault="00B64EB9" w:rsidP="00B64EB9">
            <w:pPr>
              <w:overflowPunct/>
              <w:autoSpaceDE/>
              <w:autoSpaceDN/>
              <w:adjustRightInd/>
              <w:spacing w:line="240" w:lineRule="auto"/>
              <w:jc w:val="right"/>
              <w:textAlignment w:val="auto"/>
              <w:rPr>
                <w:rFonts w:cs="Arial"/>
                <w:color w:val="000000"/>
                <w:sz w:val="18"/>
                <w:szCs w:val="18"/>
              </w:rPr>
            </w:pPr>
            <w:r w:rsidRPr="00545EC0">
              <w:rPr>
                <w:rFonts w:cs="Arial"/>
                <w:color w:val="000000"/>
                <w:sz w:val="18"/>
                <w:szCs w:val="18"/>
              </w:rPr>
              <w:t>17</w:t>
            </w:r>
          </w:p>
        </w:tc>
        <w:tc>
          <w:tcPr>
            <w:tcW w:w="692" w:type="pct"/>
            <w:tcBorders>
              <w:top w:val="nil"/>
              <w:left w:val="nil"/>
              <w:bottom w:val="single" w:sz="4" w:space="0" w:color="auto"/>
              <w:right w:val="single" w:sz="4" w:space="0" w:color="auto"/>
            </w:tcBorders>
            <w:shd w:val="clear" w:color="auto" w:fill="auto"/>
            <w:noWrap/>
            <w:vAlign w:val="bottom"/>
            <w:hideMark/>
          </w:tcPr>
          <w:p w14:paraId="55A74643" w14:textId="77777777" w:rsidR="00B64EB9" w:rsidRPr="00545EC0" w:rsidRDefault="00B64EB9" w:rsidP="00B64EB9">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rPr>
              <w:t>3015</w:t>
            </w:r>
          </w:p>
        </w:tc>
        <w:tc>
          <w:tcPr>
            <w:tcW w:w="1308" w:type="pct"/>
            <w:tcBorders>
              <w:top w:val="nil"/>
              <w:left w:val="nil"/>
              <w:bottom w:val="single" w:sz="4" w:space="0" w:color="auto"/>
              <w:right w:val="single" w:sz="4" w:space="0" w:color="auto"/>
            </w:tcBorders>
            <w:shd w:val="clear" w:color="auto" w:fill="auto"/>
            <w:noWrap/>
            <w:vAlign w:val="bottom"/>
            <w:hideMark/>
          </w:tcPr>
          <w:p w14:paraId="0D3F6D3B" w14:textId="77777777" w:rsidR="00B64EB9" w:rsidRPr="00545EC0" w:rsidRDefault="00B64EB9" w:rsidP="00B64EB9">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lang w:val="sv-SE"/>
              </w:rPr>
              <w:t>38VT33 Pesnica državna meja – zadrževalnik Perniško jezero</w:t>
            </w:r>
          </w:p>
        </w:tc>
        <w:tc>
          <w:tcPr>
            <w:tcW w:w="616" w:type="pct"/>
            <w:tcBorders>
              <w:top w:val="nil"/>
              <w:left w:val="nil"/>
              <w:bottom w:val="single" w:sz="4" w:space="0" w:color="auto"/>
              <w:right w:val="single" w:sz="4" w:space="0" w:color="auto"/>
            </w:tcBorders>
            <w:shd w:val="clear" w:color="000000" w:fill="FFFFFF"/>
            <w:vAlign w:val="center"/>
            <w:hideMark/>
          </w:tcPr>
          <w:p w14:paraId="554E31B2" w14:textId="77777777" w:rsidR="00B64EB9" w:rsidRPr="00545EC0" w:rsidRDefault="00B64EB9" w:rsidP="00B64EB9">
            <w:pPr>
              <w:overflowPunct/>
              <w:autoSpaceDE/>
              <w:autoSpaceDN/>
              <w:adjustRightInd/>
              <w:spacing w:line="240" w:lineRule="auto"/>
              <w:jc w:val="center"/>
              <w:textAlignment w:val="auto"/>
              <w:rPr>
                <w:rFonts w:cs="Arial"/>
                <w:b/>
                <w:bCs/>
                <w:color w:val="000000"/>
                <w:sz w:val="18"/>
                <w:szCs w:val="18"/>
              </w:rPr>
            </w:pPr>
            <w:r w:rsidRPr="00545EC0">
              <w:rPr>
                <w:rFonts w:cs="Arial"/>
                <w:b/>
                <w:bCs/>
                <w:color w:val="000000"/>
                <w:sz w:val="18"/>
                <w:szCs w:val="18"/>
              </w:rPr>
              <w:sym w:font="Wingdings" w:char="F0FC"/>
            </w:r>
          </w:p>
        </w:tc>
        <w:tc>
          <w:tcPr>
            <w:tcW w:w="538" w:type="pct"/>
            <w:tcBorders>
              <w:top w:val="nil"/>
              <w:left w:val="nil"/>
              <w:bottom w:val="single" w:sz="4" w:space="0" w:color="auto"/>
              <w:right w:val="single" w:sz="4" w:space="0" w:color="auto"/>
            </w:tcBorders>
            <w:shd w:val="clear" w:color="000000" w:fill="FFFFFF"/>
            <w:noWrap/>
            <w:vAlign w:val="center"/>
            <w:hideMark/>
          </w:tcPr>
          <w:p w14:paraId="33D55B85" w14:textId="77777777" w:rsidR="00B64EB9" w:rsidRPr="00545EC0" w:rsidRDefault="00B64EB9" w:rsidP="00B64EB9">
            <w:pPr>
              <w:overflowPunct/>
              <w:autoSpaceDE/>
              <w:autoSpaceDN/>
              <w:adjustRightInd/>
              <w:spacing w:line="240" w:lineRule="auto"/>
              <w:jc w:val="center"/>
              <w:textAlignment w:val="auto"/>
              <w:rPr>
                <w:rFonts w:cs="Arial"/>
                <w:b/>
                <w:bCs/>
                <w:color w:val="000000"/>
                <w:sz w:val="18"/>
                <w:szCs w:val="18"/>
              </w:rPr>
            </w:pPr>
            <w:r w:rsidRPr="00545EC0">
              <w:rPr>
                <w:rFonts w:cs="Arial"/>
                <w:b/>
                <w:bCs/>
                <w:color w:val="000000"/>
                <w:sz w:val="18"/>
                <w:szCs w:val="18"/>
              </w:rPr>
              <w:sym w:font="Wingdings" w:char="F0FC"/>
            </w:r>
          </w:p>
        </w:tc>
        <w:tc>
          <w:tcPr>
            <w:tcW w:w="1003" w:type="pct"/>
            <w:tcBorders>
              <w:top w:val="nil"/>
              <w:left w:val="nil"/>
              <w:bottom w:val="single" w:sz="4" w:space="0" w:color="auto"/>
              <w:right w:val="single" w:sz="4" w:space="0" w:color="auto"/>
            </w:tcBorders>
            <w:shd w:val="clear" w:color="000000" w:fill="FFFFFF"/>
            <w:vAlign w:val="center"/>
            <w:hideMark/>
          </w:tcPr>
          <w:p w14:paraId="1B24DFB3" w14:textId="77777777" w:rsidR="00B64EB9" w:rsidRPr="00545EC0" w:rsidRDefault="00B64EB9" w:rsidP="00B64EB9">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rPr>
              <w:t>DA</w:t>
            </w:r>
          </w:p>
        </w:tc>
        <w:tc>
          <w:tcPr>
            <w:tcW w:w="573" w:type="pct"/>
            <w:tcBorders>
              <w:top w:val="nil"/>
              <w:left w:val="nil"/>
              <w:bottom w:val="single" w:sz="4" w:space="0" w:color="auto"/>
              <w:right w:val="single" w:sz="4" w:space="0" w:color="auto"/>
            </w:tcBorders>
            <w:shd w:val="clear" w:color="000000" w:fill="FFFFFF"/>
            <w:noWrap/>
            <w:vAlign w:val="center"/>
            <w:hideMark/>
          </w:tcPr>
          <w:p w14:paraId="70A69C75" w14:textId="77777777" w:rsidR="00B64EB9" w:rsidRPr="00545EC0" w:rsidRDefault="00B64EB9" w:rsidP="00B64EB9">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rPr>
              <w:t>srednja</w:t>
            </w:r>
          </w:p>
        </w:tc>
      </w:tr>
      <w:tr w:rsidR="00B64EB9" w:rsidRPr="00545EC0" w14:paraId="0EA7D1DF" w14:textId="77777777" w:rsidTr="00B64EB9">
        <w:trPr>
          <w:trHeight w:val="290"/>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14:paraId="53F06692" w14:textId="77777777" w:rsidR="00B64EB9" w:rsidRPr="00545EC0" w:rsidRDefault="00B64EB9" w:rsidP="00B64EB9">
            <w:pPr>
              <w:overflowPunct/>
              <w:autoSpaceDE/>
              <w:autoSpaceDN/>
              <w:adjustRightInd/>
              <w:spacing w:line="240" w:lineRule="auto"/>
              <w:jc w:val="right"/>
              <w:textAlignment w:val="auto"/>
              <w:rPr>
                <w:rFonts w:cs="Arial"/>
                <w:color w:val="000000"/>
                <w:sz w:val="18"/>
                <w:szCs w:val="18"/>
              </w:rPr>
            </w:pPr>
            <w:r w:rsidRPr="00545EC0">
              <w:rPr>
                <w:rFonts w:cs="Arial"/>
                <w:color w:val="000000"/>
                <w:sz w:val="18"/>
                <w:szCs w:val="18"/>
              </w:rPr>
              <w:t>18</w:t>
            </w:r>
          </w:p>
        </w:tc>
        <w:tc>
          <w:tcPr>
            <w:tcW w:w="692" w:type="pct"/>
            <w:tcBorders>
              <w:top w:val="nil"/>
              <w:left w:val="nil"/>
              <w:bottom w:val="single" w:sz="4" w:space="0" w:color="auto"/>
              <w:right w:val="single" w:sz="4" w:space="0" w:color="auto"/>
            </w:tcBorders>
            <w:shd w:val="clear" w:color="auto" w:fill="auto"/>
            <w:noWrap/>
            <w:vAlign w:val="bottom"/>
            <w:hideMark/>
          </w:tcPr>
          <w:p w14:paraId="489BD64A" w14:textId="77777777" w:rsidR="00B64EB9" w:rsidRPr="00545EC0" w:rsidRDefault="00B64EB9" w:rsidP="00B64EB9">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rPr>
              <w:t>4018</w:t>
            </w:r>
          </w:p>
        </w:tc>
        <w:tc>
          <w:tcPr>
            <w:tcW w:w="1308" w:type="pct"/>
            <w:tcBorders>
              <w:top w:val="nil"/>
              <w:left w:val="nil"/>
              <w:bottom w:val="single" w:sz="4" w:space="0" w:color="auto"/>
              <w:right w:val="single" w:sz="4" w:space="0" w:color="auto"/>
            </w:tcBorders>
            <w:shd w:val="clear" w:color="auto" w:fill="auto"/>
            <w:noWrap/>
            <w:vAlign w:val="bottom"/>
            <w:hideMark/>
          </w:tcPr>
          <w:p w14:paraId="1D78BA43" w14:textId="77777777" w:rsidR="00B64EB9" w:rsidRPr="00545EC0" w:rsidRDefault="00B64EB9" w:rsidP="00B64EB9">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lang w:val="sv-SE"/>
              </w:rPr>
              <w:t>432VT Kučnica</w:t>
            </w:r>
          </w:p>
        </w:tc>
        <w:tc>
          <w:tcPr>
            <w:tcW w:w="616" w:type="pct"/>
            <w:tcBorders>
              <w:top w:val="nil"/>
              <w:left w:val="nil"/>
              <w:bottom w:val="single" w:sz="4" w:space="0" w:color="auto"/>
              <w:right w:val="single" w:sz="4" w:space="0" w:color="auto"/>
            </w:tcBorders>
            <w:shd w:val="clear" w:color="000000" w:fill="FFFFFF"/>
            <w:vAlign w:val="center"/>
            <w:hideMark/>
          </w:tcPr>
          <w:p w14:paraId="3B8E6CF7" w14:textId="77777777" w:rsidR="00B64EB9" w:rsidRPr="00545EC0" w:rsidRDefault="00B64EB9" w:rsidP="00B64EB9">
            <w:pPr>
              <w:overflowPunct/>
              <w:autoSpaceDE/>
              <w:autoSpaceDN/>
              <w:adjustRightInd/>
              <w:spacing w:line="240" w:lineRule="auto"/>
              <w:jc w:val="center"/>
              <w:textAlignment w:val="auto"/>
              <w:rPr>
                <w:rFonts w:cs="Arial"/>
                <w:b/>
                <w:bCs/>
                <w:color w:val="000000"/>
                <w:sz w:val="18"/>
                <w:szCs w:val="18"/>
              </w:rPr>
            </w:pPr>
            <w:r w:rsidRPr="00545EC0">
              <w:rPr>
                <w:rFonts w:cs="Arial"/>
                <w:b/>
                <w:bCs/>
                <w:color w:val="000000"/>
                <w:sz w:val="18"/>
                <w:szCs w:val="18"/>
              </w:rPr>
              <w:sym w:font="Wingdings" w:char="F0FC"/>
            </w:r>
          </w:p>
        </w:tc>
        <w:tc>
          <w:tcPr>
            <w:tcW w:w="538" w:type="pct"/>
            <w:tcBorders>
              <w:top w:val="nil"/>
              <w:left w:val="nil"/>
              <w:bottom w:val="single" w:sz="4" w:space="0" w:color="auto"/>
              <w:right w:val="single" w:sz="4" w:space="0" w:color="auto"/>
            </w:tcBorders>
            <w:shd w:val="clear" w:color="000000" w:fill="FFFFFF"/>
            <w:noWrap/>
            <w:vAlign w:val="center"/>
            <w:hideMark/>
          </w:tcPr>
          <w:p w14:paraId="61F7044A" w14:textId="77777777" w:rsidR="00B64EB9" w:rsidRPr="00545EC0" w:rsidRDefault="00B64EB9" w:rsidP="00B64EB9">
            <w:pPr>
              <w:overflowPunct/>
              <w:autoSpaceDE/>
              <w:autoSpaceDN/>
              <w:adjustRightInd/>
              <w:spacing w:line="240" w:lineRule="auto"/>
              <w:jc w:val="center"/>
              <w:textAlignment w:val="auto"/>
              <w:rPr>
                <w:rFonts w:cs="Arial"/>
                <w:b/>
                <w:bCs/>
                <w:color w:val="000000"/>
                <w:sz w:val="18"/>
                <w:szCs w:val="18"/>
              </w:rPr>
            </w:pPr>
            <w:r w:rsidRPr="00545EC0">
              <w:rPr>
                <w:rFonts w:cs="Arial"/>
                <w:b/>
                <w:bCs/>
                <w:color w:val="000000"/>
                <w:sz w:val="18"/>
                <w:szCs w:val="18"/>
              </w:rPr>
              <w:sym w:font="Wingdings" w:char="F0FC"/>
            </w:r>
          </w:p>
        </w:tc>
        <w:tc>
          <w:tcPr>
            <w:tcW w:w="1003" w:type="pct"/>
            <w:tcBorders>
              <w:top w:val="nil"/>
              <w:left w:val="nil"/>
              <w:bottom w:val="single" w:sz="4" w:space="0" w:color="auto"/>
              <w:right w:val="single" w:sz="4" w:space="0" w:color="auto"/>
            </w:tcBorders>
            <w:shd w:val="clear" w:color="000000" w:fill="FFFFFF"/>
            <w:vAlign w:val="center"/>
            <w:hideMark/>
          </w:tcPr>
          <w:p w14:paraId="5C6C6C70" w14:textId="77777777" w:rsidR="00B64EB9" w:rsidRPr="00545EC0" w:rsidRDefault="00B64EB9" w:rsidP="00B64EB9">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rPr>
              <w:t>DA</w:t>
            </w:r>
          </w:p>
        </w:tc>
        <w:tc>
          <w:tcPr>
            <w:tcW w:w="573" w:type="pct"/>
            <w:tcBorders>
              <w:top w:val="nil"/>
              <w:left w:val="nil"/>
              <w:bottom w:val="single" w:sz="4" w:space="0" w:color="auto"/>
              <w:right w:val="single" w:sz="4" w:space="0" w:color="auto"/>
            </w:tcBorders>
            <w:shd w:val="clear" w:color="000000" w:fill="FFFFFF"/>
            <w:noWrap/>
            <w:vAlign w:val="center"/>
            <w:hideMark/>
          </w:tcPr>
          <w:p w14:paraId="4688F18F" w14:textId="77777777" w:rsidR="00B64EB9" w:rsidRPr="00545EC0" w:rsidRDefault="00B64EB9" w:rsidP="00B64EB9">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rPr>
              <w:t>srednja</w:t>
            </w:r>
          </w:p>
        </w:tc>
      </w:tr>
      <w:tr w:rsidR="00B64EB9" w:rsidRPr="00545EC0" w14:paraId="7B350558" w14:textId="77777777" w:rsidTr="00B64EB9">
        <w:trPr>
          <w:trHeight w:val="290"/>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14:paraId="572B0019" w14:textId="77777777" w:rsidR="00B64EB9" w:rsidRPr="00545EC0" w:rsidRDefault="00B64EB9" w:rsidP="00B64EB9">
            <w:pPr>
              <w:overflowPunct/>
              <w:autoSpaceDE/>
              <w:autoSpaceDN/>
              <w:adjustRightInd/>
              <w:spacing w:line="240" w:lineRule="auto"/>
              <w:jc w:val="right"/>
              <w:textAlignment w:val="auto"/>
              <w:rPr>
                <w:rFonts w:cs="Arial"/>
                <w:color w:val="000000"/>
                <w:sz w:val="18"/>
                <w:szCs w:val="18"/>
              </w:rPr>
            </w:pPr>
            <w:r w:rsidRPr="00545EC0">
              <w:rPr>
                <w:rFonts w:cs="Arial"/>
                <w:color w:val="000000"/>
                <w:sz w:val="18"/>
                <w:szCs w:val="18"/>
              </w:rPr>
              <w:t>19</w:t>
            </w:r>
          </w:p>
        </w:tc>
        <w:tc>
          <w:tcPr>
            <w:tcW w:w="692" w:type="pct"/>
            <w:tcBorders>
              <w:top w:val="nil"/>
              <w:left w:val="nil"/>
              <w:bottom w:val="single" w:sz="4" w:space="0" w:color="auto"/>
              <w:right w:val="single" w:sz="4" w:space="0" w:color="auto"/>
            </w:tcBorders>
            <w:shd w:val="clear" w:color="auto" w:fill="auto"/>
            <w:noWrap/>
            <w:vAlign w:val="bottom"/>
            <w:hideMark/>
          </w:tcPr>
          <w:p w14:paraId="27AF9FBE" w14:textId="77777777" w:rsidR="00B64EB9" w:rsidRPr="00545EC0" w:rsidRDefault="00B64EB9" w:rsidP="00B64EB9">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rPr>
              <w:t>4017</w:t>
            </w:r>
          </w:p>
        </w:tc>
        <w:tc>
          <w:tcPr>
            <w:tcW w:w="1308" w:type="pct"/>
            <w:tcBorders>
              <w:top w:val="nil"/>
              <w:left w:val="nil"/>
              <w:bottom w:val="single" w:sz="4" w:space="0" w:color="auto"/>
              <w:right w:val="single" w:sz="4" w:space="0" w:color="auto"/>
            </w:tcBorders>
            <w:shd w:val="clear" w:color="auto" w:fill="auto"/>
            <w:noWrap/>
            <w:vAlign w:val="bottom"/>
            <w:hideMark/>
          </w:tcPr>
          <w:p w14:paraId="178FFBA4" w14:textId="77777777" w:rsidR="00B64EB9" w:rsidRPr="00545EC0" w:rsidRDefault="00B64EB9" w:rsidP="00B64EB9">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lang w:val="sv-SE"/>
              </w:rPr>
              <w:t>434VT51 Ščavnica povirje – zadrževalnik Gajševsko jezero</w:t>
            </w:r>
          </w:p>
        </w:tc>
        <w:tc>
          <w:tcPr>
            <w:tcW w:w="616" w:type="pct"/>
            <w:tcBorders>
              <w:top w:val="nil"/>
              <w:left w:val="nil"/>
              <w:bottom w:val="single" w:sz="4" w:space="0" w:color="auto"/>
              <w:right w:val="single" w:sz="4" w:space="0" w:color="auto"/>
            </w:tcBorders>
            <w:shd w:val="clear" w:color="000000" w:fill="FFFFFF"/>
            <w:vAlign w:val="center"/>
            <w:hideMark/>
          </w:tcPr>
          <w:p w14:paraId="09B57E3A" w14:textId="77777777" w:rsidR="00B64EB9" w:rsidRPr="00545EC0" w:rsidRDefault="00B64EB9" w:rsidP="00B64EB9">
            <w:pPr>
              <w:overflowPunct/>
              <w:autoSpaceDE/>
              <w:autoSpaceDN/>
              <w:adjustRightInd/>
              <w:spacing w:line="240" w:lineRule="auto"/>
              <w:jc w:val="center"/>
              <w:textAlignment w:val="auto"/>
              <w:rPr>
                <w:rFonts w:cs="Arial"/>
                <w:b/>
                <w:bCs/>
                <w:color w:val="000000"/>
                <w:sz w:val="18"/>
                <w:szCs w:val="18"/>
              </w:rPr>
            </w:pPr>
            <w:r w:rsidRPr="00545EC0">
              <w:rPr>
                <w:rFonts w:cs="Arial"/>
                <w:b/>
                <w:bCs/>
                <w:color w:val="000000"/>
                <w:sz w:val="18"/>
                <w:szCs w:val="18"/>
              </w:rPr>
              <w:sym w:font="Wingdings" w:char="F0FC"/>
            </w:r>
          </w:p>
        </w:tc>
        <w:tc>
          <w:tcPr>
            <w:tcW w:w="538" w:type="pct"/>
            <w:tcBorders>
              <w:top w:val="nil"/>
              <w:left w:val="nil"/>
              <w:bottom w:val="single" w:sz="4" w:space="0" w:color="auto"/>
              <w:right w:val="single" w:sz="4" w:space="0" w:color="auto"/>
            </w:tcBorders>
            <w:shd w:val="clear" w:color="000000" w:fill="FFFFFF"/>
            <w:noWrap/>
            <w:vAlign w:val="center"/>
            <w:hideMark/>
          </w:tcPr>
          <w:p w14:paraId="12B81AAA" w14:textId="77777777" w:rsidR="00B64EB9" w:rsidRPr="00545EC0" w:rsidRDefault="00B64EB9" w:rsidP="00B64EB9">
            <w:pPr>
              <w:overflowPunct/>
              <w:autoSpaceDE/>
              <w:autoSpaceDN/>
              <w:adjustRightInd/>
              <w:spacing w:line="240" w:lineRule="auto"/>
              <w:jc w:val="center"/>
              <w:textAlignment w:val="auto"/>
              <w:rPr>
                <w:rFonts w:cs="Arial"/>
                <w:b/>
                <w:bCs/>
                <w:color w:val="000000"/>
                <w:sz w:val="18"/>
                <w:szCs w:val="18"/>
              </w:rPr>
            </w:pPr>
            <w:r w:rsidRPr="00545EC0">
              <w:rPr>
                <w:rFonts w:cs="Arial"/>
                <w:b/>
                <w:bCs/>
                <w:color w:val="000000"/>
                <w:sz w:val="18"/>
                <w:szCs w:val="18"/>
              </w:rPr>
              <w:sym w:font="Wingdings" w:char="F0FC"/>
            </w:r>
          </w:p>
        </w:tc>
        <w:tc>
          <w:tcPr>
            <w:tcW w:w="1003" w:type="pct"/>
            <w:tcBorders>
              <w:top w:val="nil"/>
              <w:left w:val="nil"/>
              <w:bottom w:val="single" w:sz="4" w:space="0" w:color="auto"/>
              <w:right w:val="single" w:sz="4" w:space="0" w:color="auto"/>
            </w:tcBorders>
            <w:shd w:val="clear" w:color="000000" w:fill="FFFFFF"/>
            <w:vAlign w:val="center"/>
            <w:hideMark/>
          </w:tcPr>
          <w:p w14:paraId="3BE3A9F3" w14:textId="77777777" w:rsidR="00B64EB9" w:rsidRPr="00545EC0" w:rsidRDefault="00B64EB9" w:rsidP="00B64EB9">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rPr>
              <w:t>DA</w:t>
            </w:r>
          </w:p>
        </w:tc>
        <w:tc>
          <w:tcPr>
            <w:tcW w:w="573" w:type="pct"/>
            <w:tcBorders>
              <w:top w:val="nil"/>
              <w:left w:val="nil"/>
              <w:bottom w:val="single" w:sz="4" w:space="0" w:color="auto"/>
              <w:right w:val="single" w:sz="4" w:space="0" w:color="auto"/>
            </w:tcBorders>
            <w:shd w:val="clear" w:color="000000" w:fill="FFFFFF"/>
            <w:noWrap/>
            <w:vAlign w:val="center"/>
            <w:hideMark/>
          </w:tcPr>
          <w:p w14:paraId="27FB9FFA" w14:textId="77777777" w:rsidR="00B64EB9" w:rsidRPr="00545EC0" w:rsidRDefault="00B64EB9" w:rsidP="00B64EB9">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rPr>
              <w:t>srednja</w:t>
            </w:r>
          </w:p>
        </w:tc>
      </w:tr>
      <w:tr w:rsidR="00B64EB9" w:rsidRPr="00545EC0" w14:paraId="4D89067A" w14:textId="77777777" w:rsidTr="00B64EB9">
        <w:trPr>
          <w:trHeight w:val="290"/>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14:paraId="3C1B04C5" w14:textId="77777777" w:rsidR="00B64EB9" w:rsidRPr="00545EC0" w:rsidRDefault="00B64EB9" w:rsidP="00B64EB9">
            <w:pPr>
              <w:overflowPunct/>
              <w:autoSpaceDE/>
              <w:autoSpaceDN/>
              <w:adjustRightInd/>
              <w:spacing w:line="240" w:lineRule="auto"/>
              <w:jc w:val="right"/>
              <w:textAlignment w:val="auto"/>
              <w:rPr>
                <w:rFonts w:cs="Arial"/>
                <w:color w:val="000000"/>
                <w:sz w:val="18"/>
                <w:szCs w:val="18"/>
              </w:rPr>
            </w:pPr>
            <w:r w:rsidRPr="00545EC0">
              <w:rPr>
                <w:rFonts w:cs="Arial"/>
                <w:color w:val="000000"/>
                <w:sz w:val="18"/>
                <w:szCs w:val="18"/>
              </w:rPr>
              <w:t>20</w:t>
            </w:r>
          </w:p>
        </w:tc>
        <w:tc>
          <w:tcPr>
            <w:tcW w:w="692" w:type="pct"/>
            <w:tcBorders>
              <w:top w:val="nil"/>
              <w:left w:val="nil"/>
              <w:bottom w:val="single" w:sz="4" w:space="0" w:color="auto"/>
              <w:right w:val="single" w:sz="4" w:space="0" w:color="auto"/>
            </w:tcBorders>
            <w:shd w:val="clear" w:color="auto" w:fill="auto"/>
            <w:noWrap/>
            <w:vAlign w:val="bottom"/>
            <w:hideMark/>
          </w:tcPr>
          <w:p w14:paraId="7392C085" w14:textId="77777777" w:rsidR="00B64EB9" w:rsidRPr="00545EC0" w:rsidRDefault="00B64EB9" w:rsidP="00B64EB9">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rPr>
              <w:t>4016, 4018</w:t>
            </w:r>
          </w:p>
        </w:tc>
        <w:tc>
          <w:tcPr>
            <w:tcW w:w="1308" w:type="pct"/>
            <w:tcBorders>
              <w:top w:val="nil"/>
              <w:left w:val="nil"/>
              <w:bottom w:val="single" w:sz="4" w:space="0" w:color="auto"/>
              <w:right w:val="single" w:sz="4" w:space="0" w:color="auto"/>
            </w:tcBorders>
            <w:shd w:val="clear" w:color="auto" w:fill="auto"/>
            <w:noWrap/>
            <w:vAlign w:val="bottom"/>
            <w:hideMark/>
          </w:tcPr>
          <w:p w14:paraId="5FF0AF0B" w14:textId="77777777" w:rsidR="00B64EB9" w:rsidRPr="00545EC0" w:rsidRDefault="00B64EB9" w:rsidP="00B64EB9">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lang w:val="sv-SE"/>
              </w:rPr>
              <w:t>4426VT2 Kobiljanski potok državna meja – Ledava</w:t>
            </w:r>
          </w:p>
        </w:tc>
        <w:tc>
          <w:tcPr>
            <w:tcW w:w="616" w:type="pct"/>
            <w:tcBorders>
              <w:top w:val="nil"/>
              <w:left w:val="nil"/>
              <w:bottom w:val="single" w:sz="4" w:space="0" w:color="auto"/>
              <w:right w:val="single" w:sz="4" w:space="0" w:color="auto"/>
            </w:tcBorders>
            <w:shd w:val="clear" w:color="000000" w:fill="FFFFFF"/>
            <w:vAlign w:val="center"/>
            <w:hideMark/>
          </w:tcPr>
          <w:p w14:paraId="2F781516" w14:textId="77777777" w:rsidR="00B64EB9" w:rsidRPr="00545EC0" w:rsidRDefault="00B64EB9" w:rsidP="00B64EB9">
            <w:pPr>
              <w:overflowPunct/>
              <w:autoSpaceDE/>
              <w:autoSpaceDN/>
              <w:adjustRightInd/>
              <w:spacing w:line="240" w:lineRule="auto"/>
              <w:jc w:val="center"/>
              <w:textAlignment w:val="auto"/>
              <w:rPr>
                <w:rFonts w:cs="Arial"/>
                <w:b/>
                <w:bCs/>
                <w:color w:val="000000"/>
                <w:sz w:val="18"/>
                <w:szCs w:val="18"/>
              </w:rPr>
            </w:pPr>
            <w:r w:rsidRPr="00545EC0">
              <w:rPr>
                <w:rFonts w:cs="Arial"/>
                <w:b/>
                <w:bCs/>
                <w:color w:val="000000"/>
                <w:sz w:val="18"/>
                <w:szCs w:val="18"/>
              </w:rPr>
              <w:sym w:font="Wingdings" w:char="F0FC"/>
            </w:r>
          </w:p>
        </w:tc>
        <w:tc>
          <w:tcPr>
            <w:tcW w:w="538" w:type="pct"/>
            <w:tcBorders>
              <w:top w:val="nil"/>
              <w:left w:val="nil"/>
              <w:bottom w:val="single" w:sz="4" w:space="0" w:color="auto"/>
              <w:right w:val="single" w:sz="4" w:space="0" w:color="auto"/>
            </w:tcBorders>
            <w:shd w:val="clear" w:color="000000" w:fill="FFFFFF"/>
            <w:noWrap/>
            <w:vAlign w:val="center"/>
            <w:hideMark/>
          </w:tcPr>
          <w:p w14:paraId="2CCDA989" w14:textId="77777777" w:rsidR="00B64EB9" w:rsidRPr="00545EC0" w:rsidRDefault="00B64EB9" w:rsidP="00B64EB9">
            <w:pPr>
              <w:overflowPunct/>
              <w:autoSpaceDE/>
              <w:autoSpaceDN/>
              <w:adjustRightInd/>
              <w:spacing w:line="240" w:lineRule="auto"/>
              <w:jc w:val="center"/>
              <w:textAlignment w:val="auto"/>
              <w:rPr>
                <w:rFonts w:cs="Arial"/>
                <w:b/>
                <w:bCs/>
                <w:color w:val="000000"/>
                <w:sz w:val="18"/>
                <w:szCs w:val="18"/>
              </w:rPr>
            </w:pPr>
            <w:r w:rsidRPr="00545EC0">
              <w:rPr>
                <w:rFonts w:cs="Arial"/>
                <w:b/>
                <w:bCs/>
                <w:color w:val="000000"/>
                <w:sz w:val="18"/>
                <w:szCs w:val="18"/>
              </w:rPr>
              <w:sym w:font="Wingdings" w:char="F0FC"/>
            </w:r>
          </w:p>
        </w:tc>
        <w:tc>
          <w:tcPr>
            <w:tcW w:w="1003" w:type="pct"/>
            <w:tcBorders>
              <w:top w:val="nil"/>
              <w:left w:val="nil"/>
              <w:bottom w:val="single" w:sz="4" w:space="0" w:color="auto"/>
              <w:right w:val="single" w:sz="4" w:space="0" w:color="auto"/>
            </w:tcBorders>
            <w:shd w:val="clear" w:color="000000" w:fill="FFFFFF"/>
            <w:vAlign w:val="center"/>
            <w:hideMark/>
          </w:tcPr>
          <w:p w14:paraId="68EDBD9D" w14:textId="77777777" w:rsidR="00B64EB9" w:rsidRPr="00545EC0" w:rsidRDefault="00B64EB9" w:rsidP="00B64EB9">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rPr>
              <w:t>DA</w:t>
            </w:r>
          </w:p>
        </w:tc>
        <w:tc>
          <w:tcPr>
            <w:tcW w:w="573" w:type="pct"/>
            <w:tcBorders>
              <w:top w:val="nil"/>
              <w:left w:val="nil"/>
              <w:bottom w:val="single" w:sz="4" w:space="0" w:color="auto"/>
              <w:right w:val="single" w:sz="4" w:space="0" w:color="auto"/>
            </w:tcBorders>
            <w:shd w:val="clear" w:color="000000" w:fill="FFFFFF"/>
            <w:noWrap/>
            <w:vAlign w:val="center"/>
            <w:hideMark/>
          </w:tcPr>
          <w:p w14:paraId="03902FDE" w14:textId="77777777" w:rsidR="00B64EB9" w:rsidRPr="00545EC0" w:rsidRDefault="00B64EB9" w:rsidP="00B64EB9">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rPr>
              <w:t>srednja</w:t>
            </w:r>
          </w:p>
        </w:tc>
      </w:tr>
    </w:tbl>
    <w:p w14:paraId="75DE234B" w14:textId="77777777" w:rsidR="00B64EB9" w:rsidRPr="00545EC0" w:rsidRDefault="00B64EB9" w:rsidP="00B64EB9">
      <w:pPr>
        <w:spacing w:line="240" w:lineRule="auto"/>
        <w:rPr>
          <w:rFonts w:cs="Arial"/>
          <w:i/>
          <w:sz w:val="18"/>
          <w:szCs w:val="18"/>
        </w:rPr>
      </w:pPr>
      <w:r w:rsidRPr="00545EC0">
        <w:rPr>
          <w:rFonts w:cs="Arial"/>
          <w:i/>
          <w:sz w:val="18"/>
          <w:szCs w:val="18"/>
        </w:rPr>
        <w:t xml:space="preserve">Legenda: </w:t>
      </w:r>
    </w:p>
    <w:p w14:paraId="6F9FBD87" w14:textId="3E84804E" w:rsidR="00B64EB9" w:rsidRPr="00545EC0" w:rsidRDefault="00B64EB9" w:rsidP="00B64EB9">
      <w:pPr>
        <w:spacing w:line="240" w:lineRule="auto"/>
        <w:rPr>
          <w:rFonts w:cs="Arial"/>
          <w:bCs/>
          <w:i/>
          <w:color w:val="000000"/>
          <w:sz w:val="18"/>
          <w:szCs w:val="18"/>
          <w:lang w:val="sv-SE"/>
        </w:rPr>
      </w:pPr>
      <w:r w:rsidRPr="00545EC0">
        <w:rPr>
          <w:rFonts w:cs="Arial"/>
          <w:bCs/>
          <w:i/>
          <w:sz w:val="18"/>
          <w:szCs w:val="18"/>
        </w:rPr>
        <w:t xml:space="preserve">* Pogoj 1: </w:t>
      </w:r>
      <w:r w:rsidRPr="00545EC0">
        <w:rPr>
          <w:rFonts w:cs="Arial"/>
          <w:bCs/>
          <w:i/>
          <w:color w:val="000000"/>
          <w:sz w:val="18"/>
          <w:szCs w:val="18"/>
          <w:lang w:val="sv-SE"/>
        </w:rPr>
        <w:t>Delež vseh odvzemov od srednjega pretoka površinske vode (Q</w:t>
      </w:r>
      <w:r w:rsidRPr="00545EC0">
        <w:rPr>
          <w:rFonts w:cs="Arial"/>
          <w:bCs/>
          <w:i/>
          <w:color w:val="000000"/>
          <w:sz w:val="18"/>
          <w:szCs w:val="18"/>
          <w:vertAlign w:val="subscript"/>
          <w:lang w:val="sv-SE"/>
        </w:rPr>
        <w:t>s</w:t>
      </w:r>
      <w:r w:rsidRPr="00545EC0">
        <w:rPr>
          <w:rFonts w:cs="Arial"/>
          <w:bCs/>
          <w:i/>
          <w:color w:val="000000"/>
          <w:sz w:val="18"/>
          <w:szCs w:val="18"/>
          <w:lang w:val="sv-SE"/>
        </w:rPr>
        <w:t>) je &lt; 10 %</w:t>
      </w:r>
    </w:p>
    <w:p w14:paraId="7C3AFFC2" w14:textId="70140B4C" w:rsidR="00B64EB9" w:rsidRPr="00545EC0" w:rsidRDefault="00B64EB9" w:rsidP="00B64EB9">
      <w:pPr>
        <w:spacing w:line="240" w:lineRule="auto"/>
        <w:rPr>
          <w:rFonts w:cs="Arial"/>
          <w:bCs/>
          <w:i/>
          <w:color w:val="000000"/>
          <w:sz w:val="18"/>
          <w:szCs w:val="18"/>
          <w:lang w:val="sv-SE"/>
        </w:rPr>
      </w:pPr>
      <w:r w:rsidRPr="00545EC0">
        <w:rPr>
          <w:rFonts w:cs="Arial"/>
          <w:bCs/>
          <w:i/>
          <w:color w:val="000000"/>
          <w:sz w:val="18"/>
          <w:szCs w:val="18"/>
          <w:lang w:val="sv-SE"/>
        </w:rPr>
        <w:t>** Pogoj 2: Delež odvzemov podzemne vode od povprečnega obnavljanja podzemne vode v obdobju 1981–2010 je &lt; 10 %</w:t>
      </w:r>
    </w:p>
    <w:p w14:paraId="6D291DA4" w14:textId="2112E419" w:rsidR="00B64EB9" w:rsidRPr="00545EC0" w:rsidRDefault="00B64EB9" w:rsidP="00B64EB9">
      <w:pPr>
        <w:spacing w:line="240" w:lineRule="auto"/>
        <w:rPr>
          <w:rFonts w:cs="Arial"/>
          <w:bCs/>
          <w:i/>
          <w:sz w:val="18"/>
          <w:szCs w:val="18"/>
        </w:rPr>
      </w:pPr>
      <w:r w:rsidRPr="00545EC0">
        <w:rPr>
          <w:rFonts w:cs="Arial"/>
          <w:b/>
          <w:sz w:val="18"/>
          <w:szCs w:val="18"/>
        </w:rPr>
        <w:sym w:font="Wingdings" w:char="F0FC"/>
      </w:r>
      <w:r w:rsidRPr="00545EC0">
        <w:rPr>
          <w:rFonts w:cs="Arial"/>
          <w:i/>
          <w:sz w:val="18"/>
          <w:szCs w:val="18"/>
          <w:lang w:val="sv-SE"/>
        </w:rPr>
        <w:t xml:space="preserve">pogoj je izpolnjen, </w:t>
      </w:r>
      <w:r w:rsidRPr="00545EC0">
        <w:rPr>
          <w:rFonts w:cs="Arial"/>
          <w:i/>
          <w:sz w:val="18"/>
          <w:szCs w:val="18"/>
          <w:lang w:val="sv-SE"/>
        </w:rPr>
        <w:sym w:font="Wingdings 2" w:char="F054"/>
      </w:r>
      <w:r w:rsidRPr="00545EC0">
        <w:rPr>
          <w:rFonts w:cs="Arial"/>
          <w:i/>
          <w:sz w:val="18"/>
          <w:szCs w:val="18"/>
          <w:lang w:val="sv-SE"/>
        </w:rPr>
        <w:t xml:space="preserve"> pogoj ni izpolnjen</w:t>
      </w:r>
    </w:p>
    <w:p w14:paraId="5E36E3B8" w14:textId="77777777" w:rsidR="00B64EB9" w:rsidRPr="00545EC0" w:rsidRDefault="00B64EB9" w:rsidP="00581CEA">
      <w:pPr>
        <w:spacing w:before="240" w:after="200"/>
        <w:rPr>
          <w:rFonts w:cs="Arial"/>
          <w:b/>
          <w:bCs/>
          <w:szCs w:val="20"/>
        </w:rPr>
      </w:pPr>
    </w:p>
    <w:p w14:paraId="4E63ED75" w14:textId="77777777" w:rsidR="00611726" w:rsidRPr="00545EC0" w:rsidRDefault="00611726" w:rsidP="00581CEA">
      <w:pPr>
        <w:spacing w:before="240" w:after="200"/>
        <w:rPr>
          <w:rFonts w:cs="Arial"/>
          <w:b/>
          <w:bCs/>
          <w:szCs w:val="20"/>
        </w:rPr>
      </w:pPr>
      <w:r w:rsidRPr="00545EC0">
        <w:rPr>
          <w:rFonts w:cs="Arial"/>
          <w:b/>
          <w:bCs/>
          <w:szCs w:val="20"/>
        </w:rPr>
        <w:lastRenderedPageBreak/>
        <w:t>Preizkus 3: Vpliv odvzemov podzemne vode na kopenske ekosisteme, odvisne od podzemne vode</w:t>
      </w:r>
    </w:p>
    <w:p w14:paraId="6A998FF2" w14:textId="77777777" w:rsidR="00611726" w:rsidRPr="00545EC0" w:rsidRDefault="00611726" w:rsidP="00581CEA">
      <w:pPr>
        <w:spacing w:before="120" w:after="120"/>
        <w:rPr>
          <w:rFonts w:cs="Arial"/>
          <w:szCs w:val="20"/>
        </w:rPr>
      </w:pPr>
      <w:r w:rsidRPr="00545EC0">
        <w:rPr>
          <w:rFonts w:cs="Arial"/>
          <w:szCs w:val="20"/>
        </w:rPr>
        <w:t>Preizkus vpliva odvzemov podzemne vode na kopenske ekosisteme odvisne od podzemne vode - KEOPV, je izveden z analizo količinskega pritiska oz. s primerjavo odvzemov podzemne vode in napajanja vodonosnikov na hidrološkem vplivnem območju habitata, z mejno vrednostjo 5 %.</w:t>
      </w:r>
    </w:p>
    <w:p w14:paraId="20342D14" w14:textId="66993557" w:rsidR="00611726" w:rsidRPr="00545EC0" w:rsidRDefault="00611726" w:rsidP="00581CEA">
      <w:pPr>
        <w:spacing w:before="120" w:after="120"/>
        <w:rPr>
          <w:rFonts w:cs="Arial"/>
          <w:szCs w:val="20"/>
        </w:rPr>
      </w:pPr>
      <w:r w:rsidRPr="00545EC0">
        <w:rPr>
          <w:rFonts w:cs="Arial"/>
          <w:szCs w:val="20"/>
        </w:rPr>
        <w:t>Na devetih telesih podzemne vode imamo kopenske ekosisteme z gozdnimi habitati, katerih ohranjenost je odvisna od višine podzemne vode in so opredeljeni kot ogroženi oz. poškodovani (</w:t>
      </w:r>
      <w:r w:rsidR="00706EBE" w:rsidRPr="00545EC0">
        <w:rPr>
          <w:rFonts w:cs="Arial"/>
          <w:szCs w:val="20"/>
        </w:rPr>
        <w:fldChar w:fldCharType="begin"/>
      </w:r>
      <w:r w:rsidR="00706EBE" w:rsidRPr="00545EC0">
        <w:rPr>
          <w:rFonts w:cs="Arial"/>
          <w:szCs w:val="20"/>
        </w:rPr>
        <w:instrText xml:space="preserve"> REF _Ref84324069 \h </w:instrText>
      </w:r>
      <w:r w:rsidR="00F37A91" w:rsidRPr="00545EC0">
        <w:rPr>
          <w:rFonts w:cs="Arial"/>
          <w:szCs w:val="20"/>
        </w:rPr>
        <w:instrText xml:space="preserve"> \* MERGEFORMAT </w:instrText>
      </w:r>
      <w:r w:rsidR="00706EBE" w:rsidRPr="00545EC0">
        <w:rPr>
          <w:rFonts w:cs="Arial"/>
          <w:szCs w:val="20"/>
        </w:rPr>
      </w:r>
      <w:r w:rsidR="00706EBE" w:rsidRPr="00545EC0">
        <w:rPr>
          <w:rFonts w:cs="Arial"/>
          <w:szCs w:val="20"/>
        </w:rPr>
        <w:fldChar w:fldCharType="separate"/>
      </w:r>
      <w:r w:rsidR="002F3E43" w:rsidRPr="00545EC0">
        <w:t xml:space="preserve">Preglednica </w:t>
      </w:r>
      <w:r w:rsidR="002F3E43">
        <w:rPr>
          <w:noProof/>
        </w:rPr>
        <w:t>3</w:t>
      </w:r>
      <w:r w:rsidR="002F3E43" w:rsidRPr="00545EC0">
        <w:rPr>
          <w:noProof/>
        </w:rPr>
        <w:noBreakHyphen/>
      </w:r>
      <w:r w:rsidR="002F3E43">
        <w:rPr>
          <w:noProof/>
        </w:rPr>
        <w:t>8</w:t>
      </w:r>
      <w:r w:rsidR="00706EBE" w:rsidRPr="00545EC0">
        <w:rPr>
          <w:rFonts w:cs="Arial"/>
          <w:szCs w:val="20"/>
        </w:rPr>
        <w:fldChar w:fldCharType="end"/>
      </w:r>
      <w:r w:rsidRPr="00545EC0">
        <w:rPr>
          <w:rFonts w:cs="Arial"/>
          <w:szCs w:val="20"/>
        </w:rPr>
        <w:t>). Od teh so le na štirih evidentirani odvzemi: Sava Medvode – Kresnice, Krakovski gozd, Boreci in Mura 1. Odstotek odvzemov je glede na povprečne obnovljive količine podzemne vode obdobja 1991–2020 na omenjenih območjih 0,1 % (vplivno območje ekosistema Sava Medvode – Kresnice), 0,5 % (vplivno območje ekosistema Krakovski gozd), 2 % (vplivno območje ekosistema Boreci) in 3 % (vplivno območje ekosistema Mura 1), torej je na vseh štirih območjih pod mejno vrednostjo 5 %.</w:t>
      </w:r>
    </w:p>
    <w:p w14:paraId="0CB21CE7" w14:textId="2BF5ACAA" w:rsidR="00611726" w:rsidRPr="00545EC0" w:rsidRDefault="00611726" w:rsidP="00581CEA">
      <w:pPr>
        <w:spacing w:before="120" w:after="120"/>
        <w:rPr>
          <w:rFonts w:ascii="Arial Narrow" w:hAnsi="Arial Narrow" w:cs="Arial Narrow"/>
        </w:rPr>
      </w:pPr>
      <w:r w:rsidRPr="00545EC0">
        <w:rPr>
          <w:rFonts w:cs="Arial"/>
          <w:szCs w:val="20"/>
        </w:rPr>
        <w:t xml:space="preserve">Ocena preizkusa ne odkriva znatnega vpliva črpanja podzemne vode na obravnavane kopenske ekosisteme, kar zagotavlja oceno količinskega stanja kot </w:t>
      </w:r>
      <w:r w:rsidR="007C07BC" w:rsidRPr="00545EC0">
        <w:rPr>
          <w:rFonts w:cs="Arial"/>
          <w:szCs w:val="20"/>
        </w:rPr>
        <w:t>dobro</w:t>
      </w:r>
      <w:r w:rsidRPr="00545EC0">
        <w:rPr>
          <w:rFonts w:cs="Arial"/>
          <w:szCs w:val="20"/>
        </w:rPr>
        <w:t xml:space="preserve">, vendar ima preizkus srednjo stopnjo zaupanja, predvsem zaradi pomanjkanja informacij o mejnih vrednostih gladine podzemne vode za ohranjanje habitata in pomanjkanja podatkov o gladini podzemne vode na nekaterih območjih </w:t>
      </w:r>
      <w:r w:rsidR="001A7511" w:rsidRPr="00545EC0">
        <w:rPr>
          <w:rFonts w:cs="Arial"/>
          <w:szCs w:val="20"/>
        </w:rPr>
        <w:t>kopenske ekosisteme, odvisne od podzemnih voda</w:t>
      </w:r>
      <w:r w:rsidRPr="00545EC0">
        <w:rPr>
          <w:rFonts w:cs="Arial"/>
          <w:szCs w:val="20"/>
        </w:rPr>
        <w:t>.</w:t>
      </w:r>
    </w:p>
    <w:p w14:paraId="2679588D" w14:textId="2BE35541" w:rsidR="00706EBE" w:rsidRPr="00545EC0" w:rsidRDefault="00706EBE" w:rsidP="001A7511">
      <w:pPr>
        <w:pStyle w:val="Napis"/>
        <w:spacing w:before="160"/>
        <w:rPr>
          <w:bCs w:val="0"/>
          <w:lang w:eastAsia="en-US"/>
        </w:rPr>
      </w:pPr>
      <w:bookmarkStart w:id="557" w:name="_Ref84324069"/>
      <w:bookmarkStart w:id="558" w:name="_Toc412453245"/>
      <w:r w:rsidRPr="00545EC0">
        <w:t xml:space="preserve">Preglednica </w:t>
      </w:r>
      <w:fldSimple w:instr=" STYLEREF 1 \s ">
        <w:r w:rsidR="002F3E43">
          <w:rPr>
            <w:noProof/>
          </w:rPr>
          <w:t>3</w:t>
        </w:r>
      </w:fldSimple>
      <w:r w:rsidR="001A7511" w:rsidRPr="00545EC0">
        <w:noBreakHyphen/>
      </w:r>
      <w:fldSimple w:instr=" SEQ Preglednica \* ARABIC \s 1 ">
        <w:r w:rsidR="002F3E43">
          <w:rPr>
            <w:noProof/>
          </w:rPr>
          <w:t>8</w:t>
        </w:r>
      </w:fldSimple>
      <w:bookmarkEnd w:id="557"/>
      <w:r w:rsidRPr="00545EC0">
        <w:t xml:space="preserve">: </w:t>
      </w:r>
      <w:r w:rsidRPr="00545EC0">
        <w:rPr>
          <w:bCs w:val="0"/>
          <w:lang w:eastAsia="en-US"/>
        </w:rPr>
        <w:t xml:space="preserve">Preizkus vpliva odvzemov podzemne vode na kopenske ekosisteme, odvisne od podzemnih voda (KEOPV) na vodnem območju Donave </w:t>
      </w:r>
    </w:p>
    <w:tbl>
      <w:tblPr>
        <w:tblW w:w="8931" w:type="dxa"/>
        <w:tblInd w:w="55" w:type="dxa"/>
        <w:tblCellMar>
          <w:left w:w="70" w:type="dxa"/>
          <w:right w:w="70" w:type="dxa"/>
        </w:tblCellMar>
        <w:tblLook w:val="04A0" w:firstRow="1" w:lastRow="0" w:firstColumn="1" w:lastColumn="0" w:noHBand="0" w:noVBand="1"/>
      </w:tblPr>
      <w:tblGrid>
        <w:gridCol w:w="701"/>
        <w:gridCol w:w="1157"/>
        <w:gridCol w:w="2835"/>
        <w:gridCol w:w="1701"/>
        <w:gridCol w:w="1626"/>
        <w:gridCol w:w="911"/>
      </w:tblGrid>
      <w:tr w:rsidR="001A7511" w:rsidRPr="00545EC0" w14:paraId="7751229E" w14:textId="77777777" w:rsidTr="001A7511">
        <w:trPr>
          <w:trHeight w:val="1250"/>
        </w:trPr>
        <w:tc>
          <w:tcPr>
            <w:tcW w:w="701" w:type="dxa"/>
            <w:tcBorders>
              <w:top w:val="single" w:sz="4" w:space="0" w:color="auto"/>
              <w:left w:val="single" w:sz="4" w:space="0" w:color="auto"/>
              <w:bottom w:val="single" w:sz="4" w:space="0" w:color="auto"/>
              <w:right w:val="single" w:sz="4" w:space="0" w:color="auto"/>
            </w:tcBorders>
            <w:shd w:val="clear" w:color="000000" w:fill="F2F2F2"/>
            <w:vAlign w:val="center"/>
            <w:hideMark/>
          </w:tcPr>
          <w:bookmarkEnd w:id="558"/>
          <w:p w14:paraId="7DD47C18" w14:textId="77777777" w:rsidR="001A7511" w:rsidRPr="00545EC0" w:rsidRDefault="001A7511" w:rsidP="001A7511">
            <w:pPr>
              <w:overflowPunct/>
              <w:autoSpaceDE/>
              <w:autoSpaceDN/>
              <w:adjustRightInd/>
              <w:spacing w:line="240" w:lineRule="auto"/>
              <w:jc w:val="center"/>
              <w:textAlignment w:val="auto"/>
              <w:rPr>
                <w:rFonts w:cs="Arial"/>
                <w:b/>
                <w:bCs/>
                <w:color w:val="000000"/>
                <w:sz w:val="18"/>
                <w:szCs w:val="18"/>
              </w:rPr>
            </w:pPr>
            <w:r w:rsidRPr="00545EC0">
              <w:rPr>
                <w:rFonts w:cs="Arial"/>
                <w:b/>
                <w:bCs/>
                <w:iCs/>
                <w:color w:val="000000"/>
                <w:sz w:val="18"/>
                <w:szCs w:val="18"/>
                <w:lang w:eastAsia="en-US"/>
              </w:rPr>
              <w:t>Zap. št.</w:t>
            </w:r>
          </w:p>
        </w:tc>
        <w:tc>
          <w:tcPr>
            <w:tcW w:w="1157" w:type="dxa"/>
            <w:tcBorders>
              <w:top w:val="single" w:sz="4" w:space="0" w:color="auto"/>
              <w:left w:val="nil"/>
              <w:bottom w:val="single" w:sz="4" w:space="0" w:color="auto"/>
              <w:right w:val="single" w:sz="4" w:space="0" w:color="auto"/>
            </w:tcBorders>
            <w:shd w:val="clear" w:color="000000" w:fill="F2F2F2"/>
            <w:vAlign w:val="center"/>
            <w:hideMark/>
          </w:tcPr>
          <w:p w14:paraId="5BA98F7D" w14:textId="77777777" w:rsidR="001A7511" w:rsidRPr="00545EC0" w:rsidRDefault="001A7511" w:rsidP="001A7511">
            <w:pPr>
              <w:overflowPunct/>
              <w:autoSpaceDE/>
              <w:autoSpaceDN/>
              <w:adjustRightInd/>
              <w:spacing w:line="240" w:lineRule="auto"/>
              <w:jc w:val="center"/>
              <w:textAlignment w:val="auto"/>
              <w:rPr>
                <w:rFonts w:cs="Arial"/>
                <w:b/>
                <w:bCs/>
                <w:color w:val="000000"/>
                <w:sz w:val="18"/>
                <w:szCs w:val="18"/>
              </w:rPr>
            </w:pPr>
            <w:r w:rsidRPr="00545EC0">
              <w:rPr>
                <w:rFonts w:cs="Arial"/>
                <w:b/>
                <w:bCs/>
                <w:iCs/>
                <w:color w:val="000000"/>
                <w:sz w:val="18"/>
                <w:szCs w:val="18"/>
                <w:lang w:eastAsia="en-US"/>
              </w:rPr>
              <w:t>Vodno telo podzemne vode (šifra)</w:t>
            </w:r>
          </w:p>
        </w:tc>
        <w:tc>
          <w:tcPr>
            <w:tcW w:w="2835" w:type="dxa"/>
            <w:tcBorders>
              <w:top w:val="single" w:sz="4" w:space="0" w:color="auto"/>
              <w:left w:val="nil"/>
              <w:bottom w:val="single" w:sz="4" w:space="0" w:color="auto"/>
              <w:right w:val="single" w:sz="4" w:space="0" w:color="auto"/>
            </w:tcBorders>
            <w:shd w:val="clear" w:color="000000" w:fill="F2F2F2"/>
            <w:vAlign w:val="center"/>
            <w:hideMark/>
          </w:tcPr>
          <w:p w14:paraId="12F2A879" w14:textId="77777777" w:rsidR="001A7511" w:rsidRPr="00545EC0" w:rsidRDefault="001A7511" w:rsidP="001A7511">
            <w:pPr>
              <w:overflowPunct/>
              <w:autoSpaceDE/>
              <w:autoSpaceDN/>
              <w:adjustRightInd/>
              <w:spacing w:line="240" w:lineRule="auto"/>
              <w:jc w:val="left"/>
              <w:textAlignment w:val="auto"/>
              <w:rPr>
                <w:rFonts w:cs="Arial"/>
                <w:b/>
                <w:bCs/>
                <w:color w:val="000000"/>
                <w:sz w:val="18"/>
                <w:szCs w:val="18"/>
              </w:rPr>
            </w:pPr>
            <w:r w:rsidRPr="00545EC0">
              <w:rPr>
                <w:rFonts w:cs="Arial"/>
                <w:b/>
                <w:bCs/>
                <w:iCs/>
                <w:color w:val="000000"/>
                <w:sz w:val="18"/>
                <w:szCs w:val="18"/>
                <w:lang w:eastAsia="en-US"/>
              </w:rPr>
              <w:t xml:space="preserve">Ime območja (Natura 2000) </w:t>
            </w:r>
          </w:p>
        </w:tc>
        <w:tc>
          <w:tcPr>
            <w:tcW w:w="1701" w:type="dxa"/>
            <w:tcBorders>
              <w:top w:val="single" w:sz="4" w:space="0" w:color="auto"/>
              <w:left w:val="nil"/>
              <w:bottom w:val="single" w:sz="4" w:space="0" w:color="auto"/>
              <w:right w:val="single" w:sz="4" w:space="0" w:color="auto"/>
            </w:tcBorders>
            <w:shd w:val="clear" w:color="000000" w:fill="F2F2F2"/>
            <w:vAlign w:val="center"/>
            <w:hideMark/>
          </w:tcPr>
          <w:p w14:paraId="0235D951" w14:textId="77777777" w:rsidR="001A7511" w:rsidRPr="00545EC0" w:rsidRDefault="001A7511" w:rsidP="001A7511">
            <w:pPr>
              <w:overflowPunct/>
              <w:autoSpaceDE/>
              <w:autoSpaceDN/>
              <w:adjustRightInd/>
              <w:spacing w:line="240" w:lineRule="auto"/>
              <w:jc w:val="center"/>
              <w:textAlignment w:val="auto"/>
              <w:rPr>
                <w:rFonts w:cs="Arial"/>
                <w:b/>
                <w:bCs/>
                <w:color w:val="000000"/>
                <w:sz w:val="18"/>
                <w:szCs w:val="18"/>
              </w:rPr>
            </w:pPr>
            <w:r w:rsidRPr="00545EC0">
              <w:rPr>
                <w:rFonts w:cs="Arial"/>
                <w:b/>
                <w:bCs/>
                <w:iCs/>
                <w:color w:val="000000"/>
                <w:sz w:val="18"/>
                <w:szCs w:val="18"/>
                <w:lang w:eastAsia="en-US"/>
              </w:rPr>
              <w:t>Pogoj: Odvzem je &lt; 5 % napajanja območja gozdnega habitata in zaledja</w:t>
            </w:r>
          </w:p>
        </w:tc>
        <w:tc>
          <w:tcPr>
            <w:tcW w:w="1626" w:type="dxa"/>
            <w:tcBorders>
              <w:top w:val="single" w:sz="4" w:space="0" w:color="auto"/>
              <w:left w:val="nil"/>
              <w:bottom w:val="single" w:sz="4" w:space="0" w:color="auto"/>
              <w:right w:val="single" w:sz="4" w:space="0" w:color="auto"/>
            </w:tcBorders>
            <w:shd w:val="clear" w:color="000000" w:fill="F2F2F2"/>
            <w:vAlign w:val="center"/>
            <w:hideMark/>
          </w:tcPr>
          <w:p w14:paraId="66DEA41B" w14:textId="77777777" w:rsidR="001A7511" w:rsidRPr="00545EC0" w:rsidRDefault="001A7511" w:rsidP="001A7511">
            <w:pPr>
              <w:overflowPunct/>
              <w:autoSpaceDE/>
              <w:autoSpaceDN/>
              <w:adjustRightInd/>
              <w:spacing w:line="240" w:lineRule="auto"/>
              <w:jc w:val="left"/>
              <w:textAlignment w:val="auto"/>
              <w:rPr>
                <w:rFonts w:cs="Arial"/>
                <w:b/>
                <w:bCs/>
                <w:color w:val="000000"/>
                <w:sz w:val="18"/>
                <w:szCs w:val="18"/>
              </w:rPr>
            </w:pPr>
            <w:r w:rsidRPr="00545EC0">
              <w:rPr>
                <w:rFonts w:cs="Arial"/>
                <w:b/>
                <w:bCs/>
                <w:iCs/>
                <w:color w:val="000000"/>
                <w:sz w:val="18"/>
                <w:szCs w:val="18"/>
                <w:lang w:eastAsia="en-US"/>
              </w:rPr>
              <w:t>Ali je izpolnjen kriterij dobrega količinskega stanja, da odvzemi podzemne vode ne vplivajo na KEOPV?</w:t>
            </w:r>
          </w:p>
        </w:tc>
        <w:tc>
          <w:tcPr>
            <w:tcW w:w="911" w:type="dxa"/>
            <w:tcBorders>
              <w:top w:val="single" w:sz="4" w:space="0" w:color="auto"/>
              <w:left w:val="nil"/>
              <w:bottom w:val="single" w:sz="4" w:space="0" w:color="auto"/>
              <w:right w:val="single" w:sz="4" w:space="0" w:color="auto"/>
            </w:tcBorders>
            <w:shd w:val="clear" w:color="000000" w:fill="F2F2F2"/>
            <w:vAlign w:val="center"/>
            <w:hideMark/>
          </w:tcPr>
          <w:p w14:paraId="064A9C0C" w14:textId="77777777" w:rsidR="001A7511" w:rsidRPr="00545EC0" w:rsidRDefault="001A7511" w:rsidP="001A7511">
            <w:pPr>
              <w:overflowPunct/>
              <w:autoSpaceDE/>
              <w:autoSpaceDN/>
              <w:adjustRightInd/>
              <w:spacing w:line="240" w:lineRule="auto"/>
              <w:jc w:val="left"/>
              <w:textAlignment w:val="auto"/>
              <w:rPr>
                <w:rFonts w:cs="Arial"/>
                <w:b/>
                <w:bCs/>
                <w:color w:val="000000"/>
                <w:sz w:val="18"/>
                <w:szCs w:val="18"/>
              </w:rPr>
            </w:pPr>
            <w:r w:rsidRPr="00545EC0">
              <w:rPr>
                <w:rFonts w:cs="Arial"/>
                <w:b/>
                <w:bCs/>
                <w:iCs/>
                <w:color w:val="000000"/>
                <w:sz w:val="18"/>
                <w:szCs w:val="18"/>
                <w:lang w:eastAsia="en-US"/>
              </w:rPr>
              <w:t>Stopnja zaupanja</w:t>
            </w:r>
          </w:p>
        </w:tc>
      </w:tr>
      <w:tr w:rsidR="001A7511" w:rsidRPr="00545EC0" w14:paraId="1F9ED4B2" w14:textId="77777777" w:rsidTr="001A7511">
        <w:trPr>
          <w:trHeight w:val="29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7EA9F251"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1</w:t>
            </w:r>
          </w:p>
        </w:tc>
        <w:tc>
          <w:tcPr>
            <w:tcW w:w="1157" w:type="dxa"/>
            <w:tcBorders>
              <w:top w:val="nil"/>
              <w:left w:val="nil"/>
              <w:bottom w:val="single" w:sz="4" w:space="0" w:color="auto"/>
              <w:right w:val="single" w:sz="4" w:space="0" w:color="auto"/>
            </w:tcBorders>
            <w:shd w:val="clear" w:color="auto" w:fill="auto"/>
            <w:noWrap/>
            <w:vAlign w:val="bottom"/>
            <w:hideMark/>
          </w:tcPr>
          <w:p w14:paraId="58C2156B"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1001</w:t>
            </w:r>
          </w:p>
        </w:tc>
        <w:tc>
          <w:tcPr>
            <w:tcW w:w="2835" w:type="dxa"/>
            <w:tcBorders>
              <w:top w:val="nil"/>
              <w:left w:val="nil"/>
              <w:bottom w:val="single" w:sz="4" w:space="0" w:color="auto"/>
              <w:right w:val="single" w:sz="4" w:space="0" w:color="auto"/>
            </w:tcBorders>
            <w:shd w:val="clear" w:color="auto" w:fill="auto"/>
            <w:noWrap/>
            <w:vAlign w:val="bottom"/>
            <w:hideMark/>
          </w:tcPr>
          <w:p w14:paraId="28BC9DC9" w14:textId="77777777" w:rsidR="001A7511" w:rsidRPr="00545EC0" w:rsidRDefault="001A7511" w:rsidP="001A7511">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lang w:eastAsia="en-US"/>
              </w:rPr>
              <w:t>Sava Medvode – Kresnice</w:t>
            </w:r>
          </w:p>
        </w:tc>
        <w:tc>
          <w:tcPr>
            <w:tcW w:w="1701" w:type="dxa"/>
            <w:tcBorders>
              <w:top w:val="nil"/>
              <w:left w:val="nil"/>
              <w:bottom w:val="single" w:sz="4" w:space="0" w:color="auto"/>
              <w:right w:val="single" w:sz="4" w:space="0" w:color="auto"/>
            </w:tcBorders>
            <w:shd w:val="clear" w:color="auto" w:fill="auto"/>
            <w:vAlign w:val="center"/>
            <w:hideMark/>
          </w:tcPr>
          <w:p w14:paraId="66FE01C8" w14:textId="77777777" w:rsidR="001A7511" w:rsidRPr="00545EC0" w:rsidRDefault="001A7511" w:rsidP="001A7511">
            <w:pPr>
              <w:overflowPunct/>
              <w:autoSpaceDE/>
              <w:autoSpaceDN/>
              <w:adjustRightInd/>
              <w:spacing w:line="240" w:lineRule="auto"/>
              <w:jc w:val="center"/>
              <w:textAlignment w:val="auto"/>
              <w:rPr>
                <w:rFonts w:ascii="Wingdings" w:hAnsi="Wingdings" w:cs="Calibri"/>
                <w:b/>
                <w:bCs/>
                <w:color w:val="000000"/>
                <w:sz w:val="18"/>
                <w:szCs w:val="18"/>
              </w:rPr>
            </w:pPr>
            <w:r w:rsidRPr="00545EC0">
              <w:rPr>
                <w:rFonts w:ascii="Wingdings" w:hAnsi="Wingdings" w:cs="Calibri"/>
                <w:b/>
                <w:bCs/>
                <w:color w:val="000000"/>
                <w:sz w:val="18"/>
                <w:szCs w:val="18"/>
              </w:rPr>
              <w:sym w:font="Wingdings" w:char="F0FC"/>
            </w:r>
          </w:p>
        </w:tc>
        <w:tc>
          <w:tcPr>
            <w:tcW w:w="1626" w:type="dxa"/>
            <w:tcBorders>
              <w:top w:val="nil"/>
              <w:left w:val="nil"/>
              <w:bottom w:val="single" w:sz="4" w:space="0" w:color="auto"/>
              <w:right w:val="single" w:sz="4" w:space="0" w:color="auto"/>
            </w:tcBorders>
            <w:shd w:val="clear" w:color="auto" w:fill="auto"/>
            <w:vAlign w:val="center"/>
            <w:hideMark/>
          </w:tcPr>
          <w:p w14:paraId="399746B9"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DA</w:t>
            </w:r>
          </w:p>
        </w:tc>
        <w:tc>
          <w:tcPr>
            <w:tcW w:w="911" w:type="dxa"/>
            <w:tcBorders>
              <w:top w:val="nil"/>
              <w:left w:val="nil"/>
              <w:bottom w:val="single" w:sz="4" w:space="0" w:color="auto"/>
              <w:right w:val="single" w:sz="4" w:space="0" w:color="auto"/>
            </w:tcBorders>
            <w:shd w:val="clear" w:color="auto" w:fill="auto"/>
            <w:vAlign w:val="center"/>
            <w:hideMark/>
          </w:tcPr>
          <w:p w14:paraId="7B8104B7"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srednja</w:t>
            </w:r>
          </w:p>
        </w:tc>
      </w:tr>
      <w:tr w:rsidR="001A7511" w:rsidRPr="00545EC0" w14:paraId="69174938" w14:textId="77777777" w:rsidTr="001A7511">
        <w:trPr>
          <w:trHeight w:val="29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2B528004"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2</w:t>
            </w:r>
          </w:p>
        </w:tc>
        <w:tc>
          <w:tcPr>
            <w:tcW w:w="1157" w:type="dxa"/>
            <w:tcBorders>
              <w:top w:val="nil"/>
              <w:left w:val="nil"/>
              <w:bottom w:val="single" w:sz="4" w:space="0" w:color="auto"/>
              <w:right w:val="single" w:sz="4" w:space="0" w:color="auto"/>
            </w:tcBorders>
            <w:shd w:val="clear" w:color="auto" w:fill="auto"/>
            <w:noWrap/>
            <w:vAlign w:val="bottom"/>
            <w:hideMark/>
          </w:tcPr>
          <w:p w14:paraId="1705DAA5"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1006</w:t>
            </w:r>
          </w:p>
        </w:tc>
        <w:tc>
          <w:tcPr>
            <w:tcW w:w="2835" w:type="dxa"/>
            <w:tcBorders>
              <w:top w:val="nil"/>
              <w:left w:val="nil"/>
              <w:bottom w:val="single" w:sz="4" w:space="0" w:color="auto"/>
              <w:right w:val="single" w:sz="4" w:space="0" w:color="auto"/>
            </w:tcBorders>
            <w:shd w:val="clear" w:color="auto" w:fill="auto"/>
            <w:noWrap/>
            <w:vAlign w:val="bottom"/>
            <w:hideMark/>
          </w:tcPr>
          <w:p w14:paraId="56A1A077" w14:textId="77777777" w:rsidR="001A7511" w:rsidRPr="00545EC0" w:rsidRDefault="001A7511" w:rsidP="001A7511">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lang w:eastAsia="en-US"/>
              </w:rPr>
              <w:t>Savinja Grušovlje – Petrovče</w:t>
            </w:r>
          </w:p>
        </w:tc>
        <w:tc>
          <w:tcPr>
            <w:tcW w:w="1701" w:type="dxa"/>
            <w:tcBorders>
              <w:top w:val="nil"/>
              <w:left w:val="nil"/>
              <w:bottom w:val="single" w:sz="4" w:space="0" w:color="auto"/>
              <w:right w:val="single" w:sz="4" w:space="0" w:color="auto"/>
            </w:tcBorders>
            <w:shd w:val="clear" w:color="auto" w:fill="auto"/>
            <w:vAlign w:val="center"/>
            <w:hideMark/>
          </w:tcPr>
          <w:p w14:paraId="1195DBBC" w14:textId="77777777" w:rsidR="001A7511" w:rsidRPr="00545EC0" w:rsidRDefault="001A7511" w:rsidP="001A7511">
            <w:pPr>
              <w:overflowPunct/>
              <w:autoSpaceDE/>
              <w:autoSpaceDN/>
              <w:adjustRightInd/>
              <w:spacing w:line="240" w:lineRule="auto"/>
              <w:jc w:val="center"/>
              <w:textAlignment w:val="auto"/>
              <w:rPr>
                <w:rFonts w:ascii="Wingdings" w:hAnsi="Wingdings" w:cs="Calibri"/>
                <w:b/>
                <w:bCs/>
                <w:color w:val="000000"/>
                <w:sz w:val="18"/>
                <w:szCs w:val="18"/>
              </w:rPr>
            </w:pPr>
            <w:r w:rsidRPr="00545EC0">
              <w:rPr>
                <w:rFonts w:ascii="Wingdings" w:hAnsi="Wingdings" w:cs="Calibri"/>
                <w:b/>
                <w:bCs/>
                <w:color w:val="000000"/>
                <w:sz w:val="18"/>
                <w:szCs w:val="18"/>
              </w:rPr>
              <w:sym w:font="Wingdings" w:char="F0FC"/>
            </w:r>
          </w:p>
        </w:tc>
        <w:tc>
          <w:tcPr>
            <w:tcW w:w="1626" w:type="dxa"/>
            <w:tcBorders>
              <w:top w:val="nil"/>
              <w:left w:val="nil"/>
              <w:bottom w:val="single" w:sz="4" w:space="0" w:color="auto"/>
              <w:right w:val="single" w:sz="4" w:space="0" w:color="auto"/>
            </w:tcBorders>
            <w:shd w:val="clear" w:color="auto" w:fill="auto"/>
            <w:vAlign w:val="center"/>
            <w:hideMark/>
          </w:tcPr>
          <w:p w14:paraId="3D1B815B"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DA</w:t>
            </w:r>
          </w:p>
        </w:tc>
        <w:tc>
          <w:tcPr>
            <w:tcW w:w="911" w:type="dxa"/>
            <w:tcBorders>
              <w:top w:val="nil"/>
              <w:left w:val="nil"/>
              <w:bottom w:val="single" w:sz="4" w:space="0" w:color="auto"/>
              <w:right w:val="single" w:sz="4" w:space="0" w:color="auto"/>
            </w:tcBorders>
            <w:shd w:val="clear" w:color="auto" w:fill="auto"/>
            <w:vAlign w:val="center"/>
            <w:hideMark/>
          </w:tcPr>
          <w:p w14:paraId="633E5387"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srednja</w:t>
            </w:r>
          </w:p>
        </w:tc>
      </w:tr>
      <w:tr w:rsidR="001A7511" w:rsidRPr="00545EC0" w14:paraId="78391141" w14:textId="77777777" w:rsidTr="001A7511">
        <w:trPr>
          <w:trHeight w:val="29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3D60C7C1"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3</w:t>
            </w:r>
          </w:p>
        </w:tc>
        <w:tc>
          <w:tcPr>
            <w:tcW w:w="1157" w:type="dxa"/>
            <w:tcBorders>
              <w:top w:val="nil"/>
              <w:left w:val="nil"/>
              <w:bottom w:val="single" w:sz="4" w:space="0" w:color="auto"/>
              <w:right w:val="single" w:sz="4" w:space="0" w:color="auto"/>
            </w:tcBorders>
            <w:shd w:val="clear" w:color="auto" w:fill="auto"/>
            <w:noWrap/>
            <w:vAlign w:val="bottom"/>
            <w:hideMark/>
          </w:tcPr>
          <w:p w14:paraId="44DC0BDB"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1008</w:t>
            </w:r>
          </w:p>
        </w:tc>
        <w:tc>
          <w:tcPr>
            <w:tcW w:w="2835" w:type="dxa"/>
            <w:tcBorders>
              <w:top w:val="nil"/>
              <w:left w:val="nil"/>
              <w:bottom w:val="single" w:sz="4" w:space="0" w:color="auto"/>
              <w:right w:val="single" w:sz="4" w:space="0" w:color="auto"/>
            </w:tcBorders>
            <w:shd w:val="clear" w:color="auto" w:fill="auto"/>
            <w:noWrap/>
            <w:vAlign w:val="bottom"/>
            <w:hideMark/>
          </w:tcPr>
          <w:p w14:paraId="48BFBB1B" w14:textId="77777777" w:rsidR="001A7511" w:rsidRPr="00545EC0" w:rsidRDefault="001A7511" w:rsidP="001A7511">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lang w:eastAsia="en-US"/>
              </w:rPr>
              <w:t>Sava Medvode – Kresnice</w:t>
            </w:r>
          </w:p>
        </w:tc>
        <w:tc>
          <w:tcPr>
            <w:tcW w:w="1701" w:type="dxa"/>
            <w:tcBorders>
              <w:top w:val="nil"/>
              <w:left w:val="nil"/>
              <w:bottom w:val="single" w:sz="4" w:space="0" w:color="auto"/>
              <w:right w:val="single" w:sz="4" w:space="0" w:color="auto"/>
            </w:tcBorders>
            <w:shd w:val="clear" w:color="auto" w:fill="auto"/>
            <w:vAlign w:val="center"/>
            <w:hideMark/>
          </w:tcPr>
          <w:p w14:paraId="7E79DFE2" w14:textId="77777777" w:rsidR="001A7511" w:rsidRPr="00545EC0" w:rsidRDefault="001A7511" w:rsidP="001A7511">
            <w:pPr>
              <w:overflowPunct/>
              <w:autoSpaceDE/>
              <w:autoSpaceDN/>
              <w:adjustRightInd/>
              <w:spacing w:line="240" w:lineRule="auto"/>
              <w:jc w:val="center"/>
              <w:textAlignment w:val="auto"/>
              <w:rPr>
                <w:rFonts w:ascii="Wingdings" w:hAnsi="Wingdings" w:cs="Calibri"/>
                <w:b/>
                <w:bCs/>
                <w:color w:val="000000"/>
                <w:sz w:val="18"/>
                <w:szCs w:val="18"/>
              </w:rPr>
            </w:pPr>
            <w:r w:rsidRPr="00545EC0">
              <w:rPr>
                <w:rFonts w:ascii="Wingdings" w:hAnsi="Wingdings" w:cs="Calibri"/>
                <w:b/>
                <w:bCs/>
                <w:color w:val="000000"/>
                <w:sz w:val="18"/>
                <w:szCs w:val="18"/>
              </w:rPr>
              <w:sym w:font="Wingdings" w:char="F0FC"/>
            </w:r>
          </w:p>
        </w:tc>
        <w:tc>
          <w:tcPr>
            <w:tcW w:w="1626" w:type="dxa"/>
            <w:tcBorders>
              <w:top w:val="nil"/>
              <w:left w:val="nil"/>
              <w:bottom w:val="single" w:sz="4" w:space="0" w:color="auto"/>
              <w:right w:val="single" w:sz="4" w:space="0" w:color="auto"/>
            </w:tcBorders>
            <w:shd w:val="clear" w:color="auto" w:fill="auto"/>
            <w:vAlign w:val="center"/>
            <w:hideMark/>
          </w:tcPr>
          <w:p w14:paraId="248EE294"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DA</w:t>
            </w:r>
          </w:p>
        </w:tc>
        <w:tc>
          <w:tcPr>
            <w:tcW w:w="911" w:type="dxa"/>
            <w:tcBorders>
              <w:top w:val="nil"/>
              <w:left w:val="nil"/>
              <w:bottom w:val="single" w:sz="4" w:space="0" w:color="auto"/>
              <w:right w:val="single" w:sz="4" w:space="0" w:color="auto"/>
            </w:tcBorders>
            <w:shd w:val="clear" w:color="auto" w:fill="auto"/>
            <w:vAlign w:val="center"/>
            <w:hideMark/>
          </w:tcPr>
          <w:p w14:paraId="18971CD0"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srednja</w:t>
            </w:r>
          </w:p>
        </w:tc>
      </w:tr>
      <w:tr w:rsidR="001A7511" w:rsidRPr="00545EC0" w14:paraId="0E817EC1" w14:textId="77777777" w:rsidTr="001A7511">
        <w:trPr>
          <w:trHeight w:val="29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4057E592"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4</w:t>
            </w:r>
          </w:p>
        </w:tc>
        <w:tc>
          <w:tcPr>
            <w:tcW w:w="1157" w:type="dxa"/>
            <w:tcBorders>
              <w:top w:val="nil"/>
              <w:left w:val="nil"/>
              <w:bottom w:val="single" w:sz="4" w:space="0" w:color="auto"/>
              <w:right w:val="single" w:sz="4" w:space="0" w:color="auto"/>
            </w:tcBorders>
            <w:shd w:val="clear" w:color="auto" w:fill="auto"/>
            <w:noWrap/>
            <w:vAlign w:val="bottom"/>
            <w:hideMark/>
          </w:tcPr>
          <w:p w14:paraId="070EEEBB"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1008</w:t>
            </w:r>
          </w:p>
        </w:tc>
        <w:tc>
          <w:tcPr>
            <w:tcW w:w="2835" w:type="dxa"/>
            <w:tcBorders>
              <w:top w:val="nil"/>
              <w:left w:val="nil"/>
              <w:bottom w:val="single" w:sz="4" w:space="0" w:color="auto"/>
              <w:right w:val="single" w:sz="4" w:space="0" w:color="auto"/>
            </w:tcBorders>
            <w:shd w:val="clear" w:color="auto" w:fill="auto"/>
            <w:noWrap/>
            <w:vAlign w:val="bottom"/>
            <w:hideMark/>
          </w:tcPr>
          <w:p w14:paraId="62E9237E" w14:textId="77777777" w:rsidR="001A7511" w:rsidRPr="00545EC0" w:rsidRDefault="001A7511" w:rsidP="001A7511">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lang w:eastAsia="en-US"/>
              </w:rPr>
              <w:t>Dobrava – Jovsi</w:t>
            </w:r>
          </w:p>
        </w:tc>
        <w:tc>
          <w:tcPr>
            <w:tcW w:w="1701" w:type="dxa"/>
            <w:tcBorders>
              <w:top w:val="nil"/>
              <w:left w:val="nil"/>
              <w:bottom w:val="single" w:sz="4" w:space="0" w:color="auto"/>
              <w:right w:val="single" w:sz="4" w:space="0" w:color="auto"/>
            </w:tcBorders>
            <w:shd w:val="clear" w:color="auto" w:fill="auto"/>
            <w:vAlign w:val="center"/>
            <w:hideMark/>
          </w:tcPr>
          <w:p w14:paraId="25039562" w14:textId="77777777" w:rsidR="001A7511" w:rsidRPr="00545EC0" w:rsidRDefault="001A7511" w:rsidP="001A7511">
            <w:pPr>
              <w:overflowPunct/>
              <w:autoSpaceDE/>
              <w:autoSpaceDN/>
              <w:adjustRightInd/>
              <w:spacing w:line="240" w:lineRule="auto"/>
              <w:jc w:val="center"/>
              <w:textAlignment w:val="auto"/>
              <w:rPr>
                <w:rFonts w:ascii="Wingdings" w:hAnsi="Wingdings" w:cs="Calibri"/>
                <w:b/>
                <w:bCs/>
                <w:color w:val="000000"/>
                <w:sz w:val="18"/>
                <w:szCs w:val="18"/>
              </w:rPr>
            </w:pPr>
            <w:r w:rsidRPr="00545EC0">
              <w:rPr>
                <w:rFonts w:ascii="Wingdings" w:hAnsi="Wingdings" w:cs="Calibri"/>
                <w:b/>
                <w:bCs/>
                <w:color w:val="000000"/>
                <w:sz w:val="18"/>
                <w:szCs w:val="18"/>
              </w:rPr>
              <w:sym w:font="Wingdings" w:char="F0FC"/>
            </w:r>
          </w:p>
        </w:tc>
        <w:tc>
          <w:tcPr>
            <w:tcW w:w="1626" w:type="dxa"/>
            <w:tcBorders>
              <w:top w:val="nil"/>
              <w:left w:val="nil"/>
              <w:bottom w:val="single" w:sz="4" w:space="0" w:color="auto"/>
              <w:right w:val="single" w:sz="4" w:space="0" w:color="auto"/>
            </w:tcBorders>
            <w:shd w:val="clear" w:color="auto" w:fill="auto"/>
            <w:vAlign w:val="center"/>
            <w:hideMark/>
          </w:tcPr>
          <w:p w14:paraId="158686B4"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DA</w:t>
            </w:r>
          </w:p>
        </w:tc>
        <w:tc>
          <w:tcPr>
            <w:tcW w:w="911" w:type="dxa"/>
            <w:tcBorders>
              <w:top w:val="nil"/>
              <w:left w:val="nil"/>
              <w:bottom w:val="single" w:sz="4" w:space="0" w:color="auto"/>
              <w:right w:val="single" w:sz="4" w:space="0" w:color="auto"/>
            </w:tcBorders>
            <w:shd w:val="clear" w:color="auto" w:fill="auto"/>
            <w:vAlign w:val="center"/>
            <w:hideMark/>
          </w:tcPr>
          <w:p w14:paraId="64EA6069"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srednja</w:t>
            </w:r>
          </w:p>
        </w:tc>
      </w:tr>
      <w:tr w:rsidR="001A7511" w:rsidRPr="00545EC0" w14:paraId="262486F4" w14:textId="77777777" w:rsidTr="001A7511">
        <w:trPr>
          <w:trHeight w:val="29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18E86717"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5</w:t>
            </w:r>
          </w:p>
        </w:tc>
        <w:tc>
          <w:tcPr>
            <w:tcW w:w="1157" w:type="dxa"/>
            <w:tcBorders>
              <w:top w:val="nil"/>
              <w:left w:val="nil"/>
              <w:bottom w:val="single" w:sz="4" w:space="0" w:color="auto"/>
              <w:right w:val="single" w:sz="4" w:space="0" w:color="auto"/>
            </w:tcBorders>
            <w:shd w:val="clear" w:color="auto" w:fill="auto"/>
            <w:noWrap/>
            <w:vAlign w:val="bottom"/>
            <w:hideMark/>
          </w:tcPr>
          <w:p w14:paraId="26C7A0F1"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1011</w:t>
            </w:r>
          </w:p>
        </w:tc>
        <w:tc>
          <w:tcPr>
            <w:tcW w:w="2835" w:type="dxa"/>
            <w:tcBorders>
              <w:top w:val="nil"/>
              <w:left w:val="nil"/>
              <w:bottom w:val="single" w:sz="4" w:space="0" w:color="auto"/>
              <w:right w:val="single" w:sz="4" w:space="0" w:color="auto"/>
            </w:tcBorders>
            <w:shd w:val="clear" w:color="auto" w:fill="auto"/>
            <w:noWrap/>
            <w:vAlign w:val="bottom"/>
            <w:hideMark/>
          </w:tcPr>
          <w:p w14:paraId="5376113F" w14:textId="77777777" w:rsidR="001A7511" w:rsidRPr="00545EC0" w:rsidRDefault="001A7511" w:rsidP="001A7511">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lang w:eastAsia="en-US"/>
              </w:rPr>
              <w:t>Krakovski gozd</w:t>
            </w:r>
          </w:p>
        </w:tc>
        <w:tc>
          <w:tcPr>
            <w:tcW w:w="1701" w:type="dxa"/>
            <w:tcBorders>
              <w:top w:val="nil"/>
              <w:left w:val="nil"/>
              <w:bottom w:val="single" w:sz="4" w:space="0" w:color="auto"/>
              <w:right w:val="single" w:sz="4" w:space="0" w:color="auto"/>
            </w:tcBorders>
            <w:shd w:val="clear" w:color="auto" w:fill="auto"/>
            <w:vAlign w:val="center"/>
            <w:hideMark/>
          </w:tcPr>
          <w:p w14:paraId="7380739A" w14:textId="77777777" w:rsidR="001A7511" w:rsidRPr="00545EC0" w:rsidRDefault="001A7511" w:rsidP="001A7511">
            <w:pPr>
              <w:overflowPunct/>
              <w:autoSpaceDE/>
              <w:autoSpaceDN/>
              <w:adjustRightInd/>
              <w:spacing w:line="240" w:lineRule="auto"/>
              <w:jc w:val="center"/>
              <w:textAlignment w:val="auto"/>
              <w:rPr>
                <w:rFonts w:ascii="Wingdings" w:hAnsi="Wingdings" w:cs="Calibri"/>
                <w:b/>
                <w:bCs/>
                <w:color w:val="000000"/>
                <w:sz w:val="18"/>
                <w:szCs w:val="18"/>
              </w:rPr>
            </w:pPr>
            <w:r w:rsidRPr="00545EC0">
              <w:rPr>
                <w:rFonts w:ascii="Wingdings" w:hAnsi="Wingdings" w:cs="Calibri"/>
                <w:b/>
                <w:bCs/>
                <w:color w:val="000000"/>
                <w:sz w:val="18"/>
                <w:szCs w:val="18"/>
              </w:rPr>
              <w:sym w:font="Wingdings" w:char="F0FC"/>
            </w:r>
          </w:p>
        </w:tc>
        <w:tc>
          <w:tcPr>
            <w:tcW w:w="1626" w:type="dxa"/>
            <w:tcBorders>
              <w:top w:val="nil"/>
              <w:left w:val="nil"/>
              <w:bottom w:val="single" w:sz="4" w:space="0" w:color="auto"/>
              <w:right w:val="single" w:sz="4" w:space="0" w:color="auto"/>
            </w:tcBorders>
            <w:shd w:val="clear" w:color="auto" w:fill="auto"/>
            <w:vAlign w:val="center"/>
            <w:hideMark/>
          </w:tcPr>
          <w:p w14:paraId="21DFD35B"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DA</w:t>
            </w:r>
          </w:p>
        </w:tc>
        <w:tc>
          <w:tcPr>
            <w:tcW w:w="911" w:type="dxa"/>
            <w:tcBorders>
              <w:top w:val="nil"/>
              <w:left w:val="nil"/>
              <w:bottom w:val="single" w:sz="4" w:space="0" w:color="auto"/>
              <w:right w:val="single" w:sz="4" w:space="0" w:color="auto"/>
            </w:tcBorders>
            <w:shd w:val="clear" w:color="auto" w:fill="auto"/>
            <w:vAlign w:val="center"/>
            <w:hideMark/>
          </w:tcPr>
          <w:p w14:paraId="22BC2001"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srednja</w:t>
            </w:r>
          </w:p>
        </w:tc>
      </w:tr>
      <w:tr w:rsidR="001A7511" w:rsidRPr="00545EC0" w14:paraId="66BEBA95" w14:textId="77777777" w:rsidTr="001A7511">
        <w:trPr>
          <w:trHeight w:val="29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625A0825"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6</w:t>
            </w:r>
          </w:p>
        </w:tc>
        <w:tc>
          <w:tcPr>
            <w:tcW w:w="1157" w:type="dxa"/>
            <w:tcBorders>
              <w:top w:val="nil"/>
              <w:left w:val="nil"/>
              <w:bottom w:val="single" w:sz="4" w:space="0" w:color="auto"/>
              <w:right w:val="single" w:sz="4" w:space="0" w:color="auto"/>
            </w:tcBorders>
            <w:shd w:val="clear" w:color="auto" w:fill="auto"/>
            <w:noWrap/>
            <w:vAlign w:val="bottom"/>
            <w:hideMark/>
          </w:tcPr>
          <w:p w14:paraId="32F7548D"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3012</w:t>
            </w:r>
          </w:p>
        </w:tc>
        <w:tc>
          <w:tcPr>
            <w:tcW w:w="2835" w:type="dxa"/>
            <w:tcBorders>
              <w:top w:val="nil"/>
              <w:left w:val="nil"/>
              <w:bottom w:val="single" w:sz="4" w:space="0" w:color="auto"/>
              <w:right w:val="single" w:sz="4" w:space="0" w:color="auto"/>
            </w:tcBorders>
            <w:shd w:val="clear" w:color="auto" w:fill="auto"/>
            <w:noWrap/>
            <w:vAlign w:val="bottom"/>
            <w:hideMark/>
          </w:tcPr>
          <w:p w14:paraId="55736848" w14:textId="77777777" w:rsidR="001A7511" w:rsidRPr="00545EC0" w:rsidRDefault="001A7511" w:rsidP="001A7511">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lang w:eastAsia="en-US"/>
              </w:rPr>
              <w:t>Drava 1</w:t>
            </w:r>
          </w:p>
        </w:tc>
        <w:tc>
          <w:tcPr>
            <w:tcW w:w="1701" w:type="dxa"/>
            <w:tcBorders>
              <w:top w:val="nil"/>
              <w:left w:val="nil"/>
              <w:bottom w:val="single" w:sz="4" w:space="0" w:color="auto"/>
              <w:right w:val="single" w:sz="4" w:space="0" w:color="auto"/>
            </w:tcBorders>
            <w:shd w:val="clear" w:color="auto" w:fill="auto"/>
            <w:vAlign w:val="center"/>
            <w:hideMark/>
          </w:tcPr>
          <w:p w14:paraId="477481CD" w14:textId="77777777" w:rsidR="001A7511" w:rsidRPr="00545EC0" w:rsidRDefault="001A7511" w:rsidP="001A7511">
            <w:pPr>
              <w:overflowPunct/>
              <w:autoSpaceDE/>
              <w:autoSpaceDN/>
              <w:adjustRightInd/>
              <w:spacing w:line="240" w:lineRule="auto"/>
              <w:jc w:val="center"/>
              <w:textAlignment w:val="auto"/>
              <w:rPr>
                <w:rFonts w:ascii="Wingdings" w:hAnsi="Wingdings" w:cs="Calibri"/>
                <w:b/>
                <w:bCs/>
                <w:color w:val="000000"/>
                <w:sz w:val="18"/>
                <w:szCs w:val="18"/>
              </w:rPr>
            </w:pPr>
            <w:r w:rsidRPr="00545EC0">
              <w:rPr>
                <w:rFonts w:ascii="Wingdings" w:hAnsi="Wingdings" w:cs="Calibri"/>
                <w:b/>
                <w:bCs/>
                <w:color w:val="000000"/>
                <w:sz w:val="18"/>
                <w:szCs w:val="18"/>
              </w:rPr>
              <w:sym w:font="Wingdings" w:char="F0FC"/>
            </w:r>
          </w:p>
        </w:tc>
        <w:tc>
          <w:tcPr>
            <w:tcW w:w="1626" w:type="dxa"/>
            <w:tcBorders>
              <w:top w:val="nil"/>
              <w:left w:val="nil"/>
              <w:bottom w:val="single" w:sz="4" w:space="0" w:color="auto"/>
              <w:right w:val="single" w:sz="4" w:space="0" w:color="auto"/>
            </w:tcBorders>
            <w:shd w:val="clear" w:color="auto" w:fill="auto"/>
            <w:vAlign w:val="center"/>
            <w:hideMark/>
          </w:tcPr>
          <w:p w14:paraId="5BA461AC"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DA</w:t>
            </w:r>
          </w:p>
        </w:tc>
        <w:tc>
          <w:tcPr>
            <w:tcW w:w="911" w:type="dxa"/>
            <w:tcBorders>
              <w:top w:val="nil"/>
              <w:left w:val="nil"/>
              <w:bottom w:val="single" w:sz="4" w:space="0" w:color="auto"/>
              <w:right w:val="single" w:sz="4" w:space="0" w:color="auto"/>
            </w:tcBorders>
            <w:shd w:val="clear" w:color="auto" w:fill="auto"/>
            <w:vAlign w:val="center"/>
            <w:hideMark/>
          </w:tcPr>
          <w:p w14:paraId="4C43F945"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srednja</w:t>
            </w:r>
          </w:p>
        </w:tc>
      </w:tr>
      <w:tr w:rsidR="001A7511" w:rsidRPr="00545EC0" w14:paraId="13F33A1B" w14:textId="77777777" w:rsidTr="001A7511">
        <w:trPr>
          <w:trHeight w:val="29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3E08E342"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7</w:t>
            </w:r>
          </w:p>
        </w:tc>
        <w:tc>
          <w:tcPr>
            <w:tcW w:w="1157" w:type="dxa"/>
            <w:tcBorders>
              <w:top w:val="nil"/>
              <w:left w:val="nil"/>
              <w:bottom w:val="single" w:sz="4" w:space="0" w:color="auto"/>
              <w:right w:val="single" w:sz="4" w:space="0" w:color="auto"/>
            </w:tcBorders>
            <w:shd w:val="clear" w:color="auto" w:fill="auto"/>
            <w:noWrap/>
            <w:vAlign w:val="bottom"/>
            <w:hideMark/>
          </w:tcPr>
          <w:p w14:paraId="760341DA"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3012</w:t>
            </w:r>
          </w:p>
        </w:tc>
        <w:tc>
          <w:tcPr>
            <w:tcW w:w="2835" w:type="dxa"/>
            <w:tcBorders>
              <w:top w:val="nil"/>
              <w:left w:val="nil"/>
              <w:bottom w:val="single" w:sz="4" w:space="0" w:color="auto"/>
              <w:right w:val="single" w:sz="4" w:space="0" w:color="auto"/>
            </w:tcBorders>
            <w:shd w:val="clear" w:color="auto" w:fill="auto"/>
            <w:noWrap/>
            <w:vAlign w:val="bottom"/>
            <w:hideMark/>
          </w:tcPr>
          <w:p w14:paraId="76023118" w14:textId="77777777" w:rsidR="001A7511" w:rsidRPr="00545EC0" w:rsidRDefault="001A7511" w:rsidP="001A7511">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lang w:eastAsia="en-US"/>
              </w:rPr>
              <w:t>Drava 2</w:t>
            </w:r>
          </w:p>
        </w:tc>
        <w:tc>
          <w:tcPr>
            <w:tcW w:w="1701" w:type="dxa"/>
            <w:tcBorders>
              <w:top w:val="nil"/>
              <w:left w:val="nil"/>
              <w:bottom w:val="single" w:sz="4" w:space="0" w:color="auto"/>
              <w:right w:val="single" w:sz="4" w:space="0" w:color="auto"/>
            </w:tcBorders>
            <w:shd w:val="clear" w:color="auto" w:fill="auto"/>
            <w:vAlign w:val="center"/>
            <w:hideMark/>
          </w:tcPr>
          <w:p w14:paraId="4D224AF2" w14:textId="77777777" w:rsidR="001A7511" w:rsidRPr="00545EC0" w:rsidRDefault="001A7511" w:rsidP="001A7511">
            <w:pPr>
              <w:overflowPunct/>
              <w:autoSpaceDE/>
              <w:autoSpaceDN/>
              <w:adjustRightInd/>
              <w:spacing w:line="240" w:lineRule="auto"/>
              <w:jc w:val="center"/>
              <w:textAlignment w:val="auto"/>
              <w:rPr>
                <w:rFonts w:ascii="Wingdings" w:hAnsi="Wingdings" w:cs="Calibri"/>
                <w:b/>
                <w:bCs/>
                <w:color w:val="000000"/>
                <w:sz w:val="18"/>
                <w:szCs w:val="18"/>
              </w:rPr>
            </w:pPr>
            <w:r w:rsidRPr="00545EC0">
              <w:rPr>
                <w:rFonts w:ascii="Wingdings" w:hAnsi="Wingdings" w:cs="Calibri"/>
                <w:b/>
                <w:bCs/>
                <w:color w:val="000000"/>
                <w:sz w:val="18"/>
                <w:szCs w:val="18"/>
              </w:rPr>
              <w:sym w:font="Wingdings" w:char="F0FC"/>
            </w:r>
          </w:p>
        </w:tc>
        <w:tc>
          <w:tcPr>
            <w:tcW w:w="1626" w:type="dxa"/>
            <w:tcBorders>
              <w:top w:val="nil"/>
              <w:left w:val="nil"/>
              <w:bottom w:val="single" w:sz="4" w:space="0" w:color="auto"/>
              <w:right w:val="single" w:sz="4" w:space="0" w:color="auto"/>
            </w:tcBorders>
            <w:shd w:val="clear" w:color="auto" w:fill="auto"/>
            <w:vAlign w:val="center"/>
            <w:hideMark/>
          </w:tcPr>
          <w:p w14:paraId="37A20F0A"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DA</w:t>
            </w:r>
          </w:p>
        </w:tc>
        <w:tc>
          <w:tcPr>
            <w:tcW w:w="911" w:type="dxa"/>
            <w:tcBorders>
              <w:top w:val="nil"/>
              <w:left w:val="nil"/>
              <w:bottom w:val="single" w:sz="4" w:space="0" w:color="auto"/>
              <w:right w:val="single" w:sz="4" w:space="0" w:color="auto"/>
            </w:tcBorders>
            <w:shd w:val="clear" w:color="auto" w:fill="auto"/>
            <w:vAlign w:val="center"/>
            <w:hideMark/>
          </w:tcPr>
          <w:p w14:paraId="5F27C667"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srednja</w:t>
            </w:r>
          </w:p>
        </w:tc>
      </w:tr>
      <w:tr w:rsidR="001A7511" w:rsidRPr="00545EC0" w14:paraId="6C31E68B" w14:textId="77777777" w:rsidTr="001A7511">
        <w:trPr>
          <w:trHeight w:val="29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7508EBBB"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8</w:t>
            </w:r>
          </w:p>
        </w:tc>
        <w:tc>
          <w:tcPr>
            <w:tcW w:w="1157" w:type="dxa"/>
            <w:tcBorders>
              <w:top w:val="nil"/>
              <w:left w:val="nil"/>
              <w:bottom w:val="single" w:sz="4" w:space="0" w:color="auto"/>
              <w:right w:val="single" w:sz="4" w:space="0" w:color="auto"/>
            </w:tcBorders>
            <w:shd w:val="clear" w:color="auto" w:fill="auto"/>
            <w:noWrap/>
            <w:vAlign w:val="bottom"/>
            <w:hideMark/>
          </w:tcPr>
          <w:p w14:paraId="72486189"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3015</w:t>
            </w:r>
          </w:p>
        </w:tc>
        <w:tc>
          <w:tcPr>
            <w:tcW w:w="2835" w:type="dxa"/>
            <w:tcBorders>
              <w:top w:val="nil"/>
              <w:left w:val="nil"/>
              <w:bottom w:val="single" w:sz="4" w:space="0" w:color="auto"/>
              <w:right w:val="single" w:sz="4" w:space="0" w:color="auto"/>
            </w:tcBorders>
            <w:shd w:val="clear" w:color="auto" w:fill="auto"/>
            <w:noWrap/>
            <w:vAlign w:val="bottom"/>
            <w:hideMark/>
          </w:tcPr>
          <w:p w14:paraId="5DD2C7AB" w14:textId="77777777" w:rsidR="001A7511" w:rsidRPr="00545EC0" w:rsidRDefault="001A7511" w:rsidP="001A7511">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lang w:eastAsia="en-US"/>
              </w:rPr>
              <w:t>Dobrava</w:t>
            </w:r>
          </w:p>
        </w:tc>
        <w:tc>
          <w:tcPr>
            <w:tcW w:w="1701" w:type="dxa"/>
            <w:tcBorders>
              <w:top w:val="nil"/>
              <w:left w:val="nil"/>
              <w:bottom w:val="single" w:sz="4" w:space="0" w:color="auto"/>
              <w:right w:val="single" w:sz="4" w:space="0" w:color="auto"/>
            </w:tcBorders>
            <w:shd w:val="clear" w:color="auto" w:fill="auto"/>
            <w:vAlign w:val="center"/>
            <w:hideMark/>
          </w:tcPr>
          <w:p w14:paraId="7A42D18B" w14:textId="77777777" w:rsidR="001A7511" w:rsidRPr="00545EC0" w:rsidRDefault="001A7511" w:rsidP="001A7511">
            <w:pPr>
              <w:overflowPunct/>
              <w:autoSpaceDE/>
              <w:autoSpaceDN/>
              <w:adjustRightInd/>
              <w:spacing w:line="240" w:lineRule="auto"/>
              <w:jc w:val="center"/>
              <w:textAlignment w:val="auto"/>
              <w:rPr>
                <w:rFonts w:ascii="Wingdings" w:hAnsi="Wingdings" w:cs="Calibri"/>
                <w:b/>
                <w:bCs/>
                <w:color w:val="000000"/>
                <w:sz w:val="18"/>
                <w:szCs w:val="18"/>
              </w:rPr>
            </w:pPr>
            <w:r w:rsidRPr="00545EC0">
              <w:rPr>
                <w:rFonts w:ascii="Wingdings" w:hAnsi="Wingdings" w:cs="Calibri"/>
                <w:b/>
                <w:bCs/>
                <w:color w:val="000000"/>
                <w:sz w:val="18"/>
                <w:szCs w:val="18"/>
              </w:rPr>
              <w:sym w:font="Wingdings" w:char="F0FC"/>
            </w:r>
          </w:p>
        </w:tc>
        <w:tc>
          <w:tcPr>
            <w:tcW w:w="1626" w:type="dxa"/>
            <w:tcBorders>
              <w:top w:val="nil"/>
              <w:left w:val="nil"/>
              <w:bottom w:val="single" w:sz="4" w:space="0" w:color="auto"/>
              <w:right w:val="single" w:sz="4" w:space="0" w:color="auto"/>
            </w:tcBorders>
            <w:shd w:val="clear" w:color="auto" w:fill="auto"/>
            <w:vAlign w:val="center"/>
            <w:hideMark/>
          </w:tcPr>
          <w:p w14:paraId="706DCD4F"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DA</w:t>
            </w:r>
          </w:p>
        </w:tc>
        <w:tc>
          <w:tcPr>
            <w:tcW w:w="911" w:type="dxa"/>
            <w:tcBorders>
              <w:top w:val="nil"/>
              <w:left w:val="nil"/>
              <w:bottom w:val="single" w:sz="4" w:space="0" w:color="auto"/>
              <w:right w:val="single" w:sz="4" w:space="0" w:color="auto"/>
            </w:tcBorders>
            <w:shd w:val="clear" w:color="auto" w:fill="auto"/>
            <w:vAlign w:val="center"/>
            <w:hideMark/>
          </w:tcPr>
          <w:p w14:paraId="3F6A4DA7"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srednja</w:t>
            </w:r>
          </w:p>
        </w:tc>
      </w:tr>
      <w:tr w:rsidR="001A7511" w:rsidRPr="00545EC0" w14:paraId="3586E7D7" w14:textId="77777777" w:rsidTr="001A7511">
        <w:trPr>
          <w:trHeight w:val="29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51664B65"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9</w:t>
            </w:r>
          </w:p>
        </w:tc>
        <w:tc>
          <w:tcPr>
            <w:tcW w:w="1157" w:type="dxa"/>
            <w:tcBorders>
              <w:top w:val="nil"/>
              <w:left w:val="nil"/>
              <w:bottom w:val="single" w:sz="4" w:space="0" w:color="auto"/>
              <w:right w:val="single" w:sz="4" w:space="0" w:color="auto"/>
            </w:tcBorders>
            <w:shd w:val="clear" w:color="auto" w:fill="auto"/>
            <w:noWrap/>
            <w:vAlign w:val="bottom"/>
            <w:hideMark/>
          </w:tcPr>
          <w:p w14:paraId="5C6746EB"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4016</w:t>
            </w:r>
          </w:p>
        </w:tc>
        <w:tc>
          <w:tcPr>
            <w:tcW w:w="2835" w:type="dxa"/>
            <w:tcBorders>
              <w:top w:val="nil"/>
              <w:left w:val="nil"/>
              <w:bottom w:val="single" w:sz="4" w:space="0" w:color="auto"/>
              <w:right w:val="single" w:sz="4" w:space="0" w:color="auto"/>
            </w:tcBorders>
            <w:shd w:val="clear" w:color="auto" w:fill="auto"/>
            <w:noWrap/>
            <w:vAlign w:val="bottom"/>
            <w:hideMark/>
          </w:tcPr>
          <w:p w14:paraId="01188E6D" w14:textId="77777777" w:rsidR="001A7511" w:rsidRPr="00545EC0" w:rsidRDefault="001A7511" w:rsidP="001A7511">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lang w:eastAsia="en-US"/>
              </w:rPr>
              <w:t>Mura 1</w:t>
            </w:r>
          </w:p>
        </w:tc>
        <w:tc>
          <w:tcPr>
            <w:tcW w:w="1701" w:type="dxa"/>
            <w:tcBorders>
              <w:top w:val="nil"/>
              <w:left w:val="nil"/>
              <w:bottom w:val="single" w:sz="4" w:space="0" w:color="auto"/>
              <w:right w:val="single" w:sz="4" w:space="0" w:color="auto"/>
            </w:tcBorders>
            <w:shd w:val="clear" w:color="auto" w:fill="auto"/>
            <w:vAlign w:val="center"/>
            <w:hideMark/>
          </w:tcPr>
          <w:p w14:paraId="261C920A" w14:textId="77777777" w:rsidR="001A7511" w:rsidRPr="00545EC0" w:rsidRDefault="001A7511" w:rsidP="001A7511">
            <w:pPr>
              <w:overflowPunct/>
              <w:autoSpaceDE/>
              <w:autoSpaceDN/>
              <w:adjustRightInd/>
              <w:spacing w:line="240" w:lineRule="auto"/>
              <w:jc w:val="center"/>
              <w:textAlignment w:val="auto"/>
              <w:rPr>
                <w:rFonts w:ascii="Wingdings" w:hAnsi="Wingdings" w:cs="Calibri"/>
                <w:b/>
                <w:bCs/>
                <w:color w:val="000000"/>
                <w:sz w:val="18"/>
                <w:szCs w:val="18"/>
              </w:rPr>
            </w:pPr>
            <w:r w:rsidRPr="00545EC0">
              <w:rPr>
                <w:rFonts w:ascii="Wingdings" w:hAnsi="Wingdings" w:cs="Calibri"/>
                <w:b/>
                <w:bCs/>
                <w:color w:val="000000"/>
                <w:sz w:val="18"/>
                <w:szCs w:val="18"/>
              </w:rPr>
              <w:sym w:font="Wingdings" w:char="F0FC"/>
            </w:r>
          </w:p>
        </w:tc>
        <w:tc>
          <w:tcPr>
            <w:tcW w:w="1626" w:type="dxa"/>
            <w:tcBorders>
              <w:top w:val="nil"/>
              <w:left w:val="nil"/>
              <w:bottom w:val="single" w:sz="4" w:space="0" w:color="auto"/>
              <w:right w:val="single" w:sz="4" w:space="0" w:color="auto"/>
            </w:tcBorders>
            <w:shd w:val="clear" w:color="auto" w:fill="auto"/>
            <w:vAlign w:val="center"/>
            <w:hideMark/>
          </w:tcPr>
          <w:p w14:paraId="311B4414"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DA</w:t>
            </w:r>
          </w:p>
        </w:tc>
        <w:tc>
          <w:tcPr>
            <w:tcW w:w="911" w:type="dxa"/>
            <w:tcBorders>
              <w:top w:val="nil"/>
              <w:left w:val="nil"/>
              <w:bottom w:val="single" w:sz="4" w:space="0" w:color="auto"/>
              <w:right w:val="single" w:sz="4" w:space="0" w:color="auto"/>
            </w:tcBorders>
            <w:shd w:val="clear" w:color="auto" w:fill="auto"/>
            <w:vAlign w:val="center"/>
            <w:hideMark/>
          </w:tcPr>
          <w:p w14:paraId="7E0F8C50"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srednja</w:t>
            </w:r>
          </w:p>
        </w:tc>
      </w:tr>
      <w:tr w:rsidR="001A7511" w:rsidRPr="00545EC0" w14:paraId="65FF3D9A" w14:textId="77777777" w:rsidTr="001A7511">
        <w:trPr>
          <w:trHeight w:val="29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1378EE43"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10</w:t>
            </w:r>
          </w:p>
        </w:tc>
        <w:tc>
          <w:tcPr>
            <w:tcW w:w="1157" w:type="dxa"/>
            <w:tcBorders>
              <w:top w:val="nil"/>
              <w:left w:val="nil"/>
              <w:bottom w:val="single" w:sz="4" w:space="0" w:color="auto"/>
              <w:right w:val="single" w:sz="4" w:space="0" w:color="auto"/>
            </w:tcBorders>
            <w:shd w:val="clear" w:color="auto" w:fill="auto"/>
            <w:noWrap/>
            <w:vAlign w:val="bottom"/>
            <w:hideMark/>
          </w:tcPr>
          <w:p w14:paraId="21593AF0"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4016</w:t>
            </w:r>
          </w:p>
        </w:tc>
        <w:tc>
          <w:tcPr>
            <w:tcW w:w="2835" w:type="dxa"/>
            <w:tcBorders>
              <w:top w:val="nil"/>
              <w:left w:val="nil"/>
              <w:bottom w:val="single" w:sz="4" w:space="0" w:color="auto"/>
              <w:right w:val="single" w:sz="4" w:space="0" w:color="auto"/>
            </w:tcBorders>
            <w:shd w:val="clear" w:color="auto" w:fill="auto"/>
            <w:noWrap/>
            <w:vAlign w:val="bottom"/>
            <w:hideMark/>
          </w:tcPr>
          <w:p w14:paraId="7736BE4F" w14:textId="77777777" w:rsidR="001A7511" w:rsidRPr="00545EC0" w:rsidRDefault="001A7511" w:rsidP="001A7511">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lang w:eastAsia="en-US"/>
              </w:rPr>
              <w:t>Mura 2</w:t>
            </w:r>
          </w:p>
        </w:tc>
        <w:tc>
          <w:tcPr>
            <w:tcW w:w="1701" w:type="dxa"/>
            <w:tcBorders>
              <w:top w:val="nil"/>
              <w:left w:val="nil"/>
              <w:bottom w:val="single" w:sz="4" w:space="0" w:color="auto"/>
              <w:right w:val="single" w:sz="4" w:space="0" w:color="auto"/>
            </w:tcBorders>
            <w:shd w:val="clear" w:color="auto" w:fill="auto"/>
            <w:vAlign w:val="center"/>
            <w:hideMark/>
          </w:tcPr>
          <w:p w14:paraId="0A2FD497" w14:textId="77777777" w:rsidR="001A7511" w:rsidRPr="00545EC0" w:rsidRDefault="001A7511" w:rsidP="001A7511">
            <w:pPr>
              <w:overflowPunct/>
              <w:autoSpaceDE/>
              <w:autoSpaceDN/>
              <w:adjustRightInd/>
              <w:spacing w:line="240" w:lineRule="auto"/>
              <w:jc w:val="center"/>
              <w:textAlignment w:val="auto"/>
              <w:rPr>
                <w:rFonts w:ascii="Wingdings" w:hAnsi="Wingdings" w:cs="Calibri"/>
                <w:b/>
                <w:bCs/>
                <w:color w:val="000000"/>
                <w:sz w:val="18"/>
                <w:szCs w:val="18"/>
              </w:rPr>
            </w:pPr>
            <w:r w:rsidRPr="00545EC0">
              <w:rPr>
                <w:rFonts w:ascii="Wingdings" w:hAnsi="Wingdings" w:cs="Calibri"/>
                <w:b/>
                <w:bCs/>
                <w:color w:val="000000"/>
                <w:sz w:val="18"/>
                <w:szCs w:val="18"/>
              </w:rPr>
              <w:sym w:font="Wingdings" w:char="F0FC"/>
            </w:r>
          </w:p>
        </w:tc>
        <w:tc>
          <w:tcPr>
            <w:tcW w:w="1626" w:type="dxa"/>
            <w:tcBorders>
              <w:top w:val="nil"/>
              <w:left w:val="nil"/>
              <w:bottom w:val="single" w:sz="4" w:space="0" w:color="auto"/>
              <w:right w:val="single" w:sz="4" w:space="0" w:color="auto"/>
            </w:tcBorders>
            <w:shd w:val="clear" w:color="auto" w:fill="auto"/>
            <w:vAlign w:val="center"/>
            <w:hideMark/>
          </w:tcPr>
          <w:p w14:paraId="67FB49F1"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DA</w:t>
            </w:r>
          </w:p>
        </w:tc>
        <w:tc>
          <w:tcPr>
            <w:tcW w:w="911" w:type="dxa"/>
            <w:tcBorders>
              <w:top w:val="nil"/>
              <w:left w:val="nil"/>
              <w:bottom w:val="single" w:sz="4" w:space="0" w:color="auto"/>
              <w:right w:val="single" w:sz="4" w:space="0" w:color="auto"/>
            </w:tcBorders>
            <w:shd w:val="clear" w:color="auto" w:fill="auto"/>
            <w:vAlign w:val="center"/>
            <w:hideMark/>
          </w:tcPr>
          <w:p w14:paraId="2E509F62"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srednja</w:t>
            </w:r>
          </w:p>
        </w:tc>
      </w:tr>
      <w:tr w:rsidR="001A7511" w:rsidRPr="00545EC0" w14:paraId="43D892FA" w14:textId="77777777" w:rsidTr="001A7511">
        <w:trPr>
          <w:trHeight w:val="29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0BEB3655"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11</w:t>
            </w:r>
          </w:p>
        </w:tc>
        <w:tc>
          <w:tcPr>
            <w:tcW w:w="1157" w:type="dxa"/>
            <w:tcBorders>
              <w:top w:val="nil"/>
              <w:left w:val="nil"/>
              <w:bottom w:val="single" w:sz="4" w:space="0" w:color="auto"/>
              <w:right w:val="single" w:sz="4" w:space="0" w:color="auto"/>
            </w:tcBorders>
            <w:shd w:val="clear" w:color="auto" w:fill="auto"/>
            <w:noWrap/>
            <w:vAlign w:val="bottom"/>
            <w:hideMark/>
          </w:tcPr>
          <w:p w14:paraId="5990183E"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4016</w:t>
            </w:r>
          </w:p>
        </w:tc>
        <w:tc>
          <w:tcPr>
            <w:tcW w:w="2835" w:type="dxa"/>
            <w:tcBorders>
              <w:top w:val="nil"/>
              <w:left w:val="nil"/>
              <w:bottom w:val="single" w:sz="4" w:space="0" w:color="auto"/>
              <w:right w:val="single" w:sz="4" w:space="0" w:color="auto"/>
            </w:tcBorders>
            <w:shd w:val="clear" w:color="auto" w:fill="auto"/>
            <w:noWrap/>
            <w:vAlign w:val="bottom"/>
            <w:hideMark/>
          </w:tcPr>
          <w:p w14:paraId="07FEF9AA" w14:textId="77777777" w:rsidR="001A7511" w:rsidRPr="00545EC0" w:rsidRDefault="001A7511" w:rsidP="001A7511">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lang w:eastAsia="en-US"/>
              </w:rPr>
              <w:t>Murska šuma</w:t>
            </w:r>
          </w:p>
        </w:tc>
        <w:tc>
          <w:tcPr>
            <w:tcW w:w="1701" w:type="dxa"/>
            <w:tcBorders>
              <w:top w:val="nil"/>
              <w:left w:val="nil"/>
              <w:bottom w:val="single" w:sz="4" w:space="0" w:color="auto"/>
              <w:right w:val="single" w:sz="4" w:space="0" w:color="auto"/>
            </w:tcBorders>
            <w:shd w:val="clear" w:color="auto" w:fill="auto"/>
            <w:vAlign w:val="center"/>
            <w:hideMark/>
          </w:tcPr>
          <w:p w14:paraId="5BBC9AE4" w14:textId="77777777" w:rsidR="001A7511" w:rsidRPr="00545EC0" w:rsidRDefault="001A7511" w:rsidP="001A7511">
            <w:pPr>
              <w:overflowPunct/>
              <w:autoSpaceDE/>
              <w:autoSpaceDN/>
              <w:adjustRightInd/>
              <w:spacing w:line="240" w:lineRule="auto"/>
              <w:jc w:val="center"/>
              <w:textAlignment w:val="auto"/>
              <w:rPr>
                <w:rFonts w:ascii="Wingdings" w:hAnsi="Wingdings" w:cs="Calibri"/>
                <w:b/>
                <w:bCs/>
                <w:color w:val="000000"/>
                <w:sz w:val="18"/>
                <w:szCs w:val="18"/>
              </w:rPr>
            </w:pPr>
            <w:r w:rsidRPr="00545EC0">
              <w:rPr>
                <w:rFonts w:ascii="Wingdings" w:hAnsi="Wingdings" w:cs="Calibri"/>
                <w:b/>
                <w:bCs/>
                <w:color w:val="000000"/>
                <w:sz w:val="18"/>
                <w:szCs w:val="18"/>
              </w:rPr>
              <w:sym w:font="Wingdings" w:char="F0FC"/>
            </w:r>
          </w:p>
        </w:tc>
        <w:tc>
          <w:tcPr>
            <w:tcW w:w="1626" w:type="dxa"/>
            <w:tcBorders>
              <w:top w:val="nil"/>
              <w:left w:val="nil"/>
              <w:bottom w:val="single" w:sz="4" w:space="0" w:color="auto"/>
              <w:right w:val="single" w:sz="4" w:space="0" w:color="auto"/>
            </w:tcBorders>
            <w:shd w:val="clear" w:color="auto" w:fill="auto"/>
            <w:vAlign w:val="center"/>
            <w:hideMark/>
          </w:tcPr>
          <w:p w14:paraId="6D8EF624"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DA</w:t>
            </w:r>
          </w:p>
        </w:tc>
        <w:tc>
          <w:tcPr>
            <w:tcW w:w="911" w:type="dxa"/>
            <w:tcBorders>
              <w:top w:val="nil"/>
              <w:left w:val="nil"/>
              <w:bottom w:val="single" w:sz="4" w:space="0" w:color="auto"/>
              <w:right w:val="single" w:sz="4" w:space="0" w:color="auto"/>
            </w:tcBorders>
            <w:shd w:val="clear" w:color="auto" w:fill="auto"/>
            <w:vAlign w:val="center"/>
            <w:hideMark/>
          </w:tcPr>
          <w:p w14:paraId="2085B0B3"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srednja</w:t>
            </w:r>
          </w:p>
        </w:tc>
      </w:tr>
      <w:tr w:rsidR="001A7511" w:rsidRPr="00545EC0" w14:paraId="0C0863C5" w14:textId="77777777" w:rsidTr="001A7511">
        <w:trPr>
          <w:trHeight w:val="29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668B5364"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12</w:t>
            </w:r>
          </w:p>
        </w:tc>
        <w:tc>
          <w:tcPr>
            <w:tcW w:w="1157" w:type="dxa"/>
            <w:tcBorders>
              <w:top w:val="nil"/>
              <w:left w:val="nil"/>
              <w:bottom w:val="single" w:sz="4" w:space="0" w:color="auto"/>
              <w:right w:val="single" w:sz="4" w:space="0" w:color="auto"/>
            </w:tcBorders>
            <w:shd w:val="clear" w:color="auto" w:fill="auto"/>
            <w:noWrap/>
            <w:vAlign w:val="bottom"/>
            <w:hideMark/>
          </w:tcPr>
          <w:p w14:paraId="0A0B039D"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4017</w:t>
            </w:r>
          </w:p>
        </w:tc>
        <w:tc>
          <w:tcPr>
            <w:tcW w:w="2835" w:type="dxa"/>
            <w:tcBorders>
              <w:top w:val="nil"/>
              <w:left w:val="nil"/>
              <w:bottom w:val="single" w:sz="4" w:space="0" w:color="auto"/>
              <w:right w:val="single" w:sz="4" w:space="0" w:color="auto"/>
            </w:tcBorders>
            <w:shd w:val="clear" w:color="auto" w:fill="auto"/>
            <w:noWrap/>
            <w:vAlign w:val="bottom"/>
            <w:hideMark/>
          </w:tcPr>
          <w:p w14:paraId="6396612B" w14:textId="77777777" w:rsidR="001A7511" w:rsidRPr="00545EC0" w:rsidRDefault="001A7511" w:rsidP="001A7511">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lang w:eastAsia="en-US"/>
              </w:rPr>
              <w:t>Boreci</w:t>
            </w:r>
          </w:p>
        </w:tc>
        <w:tc>
          <w:tcPr>
            <w:tcW w:w="1701" w:type="dxa"/>
            <w:tcBorders>
              <w:top w:val="nil"/>
              <w:left w:val="nil"/>
              <w:bottom w:val="single" w:sz="4" w:space="0" w:color="auto"/>
              <w:right w:val="single" w:sz="4" w:space="0" w:color="auto"/>
            </w:tcBorders>
            <w:shd w:val="clear" w:color="auto" w:fill="auto"/>
            <w:vAlign w:val="center"/>
            <w:hideMark/>
          </w:tcPr>
          <w:p w14:paraId="1B1AA53C" w14:textId="77777777" w:rsidR="001A7511" w:rsidRPr="00545EC0" w:rsidRDefault="001A7511" w:rsidP="001A7511">
            <w:pPr>
              <w:overflowPunct/>
              <w:autoSpaceDE/>
              <w:autoSpaceDN/>
              <w:adjustRightInd/>
              <w:spacing w:line="240" w:lineRule="auto"/>
              <w:jc w:val="center"/>
              <w:textAlignment w:val="auto"/>
              <w:rPr>
                <w:rFonts w:ascii="Wingdings" w:hAnsi="Wingdings" w:cs="Calibri"/>
                <w:b/>
                <w:bCs/>
                <w:color w:val="000000"/>
                <w:sz w:val="18"/>
                <w:szCs w:val="18"/>
              </w:rPr>
            </w:pPr>
            <w:r w:rsidRPr="00545EC0">
              <w:rPr>
                <w:rFonts w:ascii="Wingdings" w:hAnsi="Wingdings" w:cs="Calibri"/>
                <w:b/>
                <w:bCs/>
                <w:color w:val="000000"/>
                <w:sz w:val="18"/>
                <w:szCs w:val="18"/>
              </w:rPr>
              <w:sym w:font="Wingdings" w:char="F0FC"/>
            </w:r>
          </w:p>
        </w:tc>
        <w:tc>
          <w:tcPr>
            <w:tcW w:w="1626" w:type="dxa"/>
            <w:tcBorders>
              <w:top w:val="nil"/>
              <w:left w:val="nil"/>
              <w:bottom w:val="single" w:sz="4" w:space="0" w:color="auto"/>
              <w:right w:val="single" w:sz="4" w:space="0" w:color="auto"/>
            </w:tcBorders>
            <w:shd w:val="clear" w:color="auto" w:fill="auto"/>
            <w:vAlign w:val="center"/>
            <w:hideMark/>
          </w:tcPr>
          <w:p w14:paraId="6841B6E0"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DA</w:t>
            </w:r>
          </w:p>
        </w:tc>
        <w:tc>
          <w:tcPr>
            <w:tcW w:w="911" w:type="dxa"/>
            <w:tcBorders>
              <w:top w:val="nil"/>
              <w:left w:val="nil"/>
              <w:bottom w:val="single" w:sz="4" w:space="0" w:color="auto"/>
              <w:right w:val="single" w:sz="4" w:space="0" w:color="auto"/>
            </w:tcBorders>
            <w:shd w:val="clear" w:color="auto" w:fill="auto"/>
            <w:vAlign w:val="center"/>
            <w:hideMark/>
          </w:tcPr>
          <w:p w14:paraId="3C11A58A"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srednja</w:t>
            </w:r>
          </w:p>
        </w:tc>
      </w:tr>
      <w:tr w:rsidR="001A7511" w:rsidRPr="00545EC0" w14:paraId="5725A777" w14:textId="77777777" w:rsidTr="001A7511">
        <w:trPr>
          <w:trHeight w:val="29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38E83EBB"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13</w:t>
            </w:r>
          </w:p>
        </w:tc>
        <w:tc>
          <w:tcPr>
            <w:tcW w:w="1157" w:type="dxa"/>
            <w:tcBorders>
              <w:top w:val="nil"/>
              <w:left w:val="nil"/>
              <w:bottom w:val="single" w:sz="4" w:space="0" w:color="auto"/>
              <w:right w:val="single" w:sz="4" w:space="0" w:color="auto"/>
            </w:tcBorders>
            <w:shd w:val="clear" w:color="auto" w:fill="auto"/>
            <w:noWrap/>
            <w:vAlign w:val="bottom"/>
            <w:hideMark/>
          </w:tcPr>
          <w:p w14:paraId="40BB4E52"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4017</w:t>
            </w:r>
          </w:p>
        </w:tc>
        <w:tc>
          <w:tcPr>
            <w:tcW w:w="2835" w:type="dxa"/>
            <w:tcBorders>
              <w:top w:val="nil"/>
              <w:left w:val="nil"/>
              <w:bottom w:val="single" w:sz="4" w:space="0" w:color="auto"/>
              <w:right w:val="single" w:sz="4" w:space="0" w:color="auto"/>
            </w:tcBorders>
            <w:shd w:val="clear" w:color="auto" w:fill="auto"/>
            <w:noWrap/>
            <w:vAlign w:val="bottom"/>
            <w:hideMark/>
          </w:tcPr>
          <w:p w14:paraId="6CB87714" w14:textId="77777777" w:rsidR="001A7511" w:rsidRPr="00545EC0" w:rsidRDefault="001A7511" w:rsidP="001A7511">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lang w:eastAsia="en-US"/>
              </w:rPr>
              <w:t>Grabonoš</w:t>
            </w:r>
          </w:p>
        </w:tc>
        <w:tc>
          <w:tcPr>
            <w:tcW w:w="1701" w:type="dxa"/>
            <w:tcBorders>
              <w:top w:val="nil"/>
              <w:left w:val="nil"/>
              <w:bottom w:val="single" w:sz="4" w:space="0" w:color="auto"/>
              <w:right w:val="single" w:sz="4" w:space="0" w:color="auto"/>
            </w:tcBorders>
            <w:shd w:val="clear" w:color="auto" w:fill="auto"/>
            <w:vAlign w:val="center"/>
            <w:hideMark/>
          </w:tcPr>
          <w:p w14:paraId="7BBD2B8E" w14:textId="77777777" w:rsidR="001A7511" w:rsidRPr="00545EC0" w:rsidRDefault="001A7511" w:rsidP="001A7511">
            <w:pPr>
              <w:overflowPunct/>
              <w:autoSpaceDE/>
              <w:autoSpaceDN/>
              <w:adjustRightInd/>
              <w:spacing w:line="240" w:lineRule="auto"/>
              <w:jc w:val="center"/>
              <w:textAlignment w:val="auto"/>
              <w:rPr>
                <w:rFonts w:ascii="Wingdings" w:hAnsi="Wingdings" w:cs="Calibri"/>
                <w:b/>
                <w:bCs/>
                <w:color w:val="000000"/>
                <w:sz w:val="18"/>
                <w:szCs w:val="18"/>
              </w:rPr>
            </w:pPr>
            <w:r w:rsidRPr="00545EC0">
              <w:rPr>
                <w:rFonts w:ascii="Wingdings" w:hAnsi="Wingdings" w:cs="Calibri"/>
                <w:b/>
                <w:bCs/>
                <w:color w:val="000000"/>
                <w:sz w:val="18"/>
                <w:szCs w:val="18"/>
              </w:rPr>
              <w:sym w:font="Wingdings" w:char="F0FC"/>
            </w:r>
          </w:p>
        </w:tc>
        <w:tc>
          <w:tcPr>
            <w:tcW w:w="1626" w:type="dxa"/>
            <w:tcBorders>
              <w:top w:val="nil"/>
              <w:left w:val="nil"/>
              <w:bottom w:val="single" w:sz="4" w:space="0" w:color="auto"/>
              <w:right w:val="single" w:sz="4" w:space="0" w:color="auto"/>
            </w:tcBorders>
            <w:shd w:val="clear" w:color="auto" w:fill="auto"/>
            <w:vAlign w:val="center"/>
            <w:hideMark/>
          </w:tcPr>
          <w:p w14:paraId="233CD901"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DA</w:t>
            </w:r>
          </w:p>
        </w:tc>
        <w:tc>
          <w:tcPr>
            <w:tcW w:w="911" w:type="dxa"/>
            <w:tcBorders>
              <w:top w:val="nil"/>
              <w:left w:val="nil"/>
              <w:bottom w:val="single" w:sz="4" w:space="0" w:color="auto"/>
              <w:right w:val="single" w:sz="4" w:space="0" w:color="auto"/>
            </w:tcBorders>
            <w:shd w:val="clear" w:color="auto" w:fill="auto"/>
            <w:vAlign w:val="center"/>
            <w:hideMark/>
          </w:tcPr>
          <w:p w14:paraId="705DBCEC"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srednja</w:t>
            </w:r>
          </w:p>
        </w:tc>
      </w:tr>
      <w:tr w:rsidR="001A7511" w:rsidRPr="00545EC0" w14:paraId="5A72E3A1" w14:textId="77777777" w:rsidTr="001A7511">
        <w:trPr>
          <w:trHeight w:val="29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5A965220"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14</w:t>
            </w:r>
          </w:p>
        </w:tc>
        <w:tc>
          <w:tcPr>
            <w:tcW w:w="1157" w:type="dxa"/>
            <w:tcBorders>
              <w:top w:val="nil"/>
              <w:left w:val="nil"/>
              <w:bottom w:val="single" w:sz="4" w:space="0" w:color="auto"/>
              <w:right w:val="single" w:sz="4" w:space="0" w:color="auto"/>
            </w:tcBorders>
            <w:shd w:val="clear" w:color="auto" w:fill="auto"/>
            <w:noWrap/>
            <w:vAlign w:val="bottom"/>
            <w:hideMark/>
          </w:tcPr>
          <w:p w14:paraId="53D983EB"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4018</w:t>
            </w:r>
          </w:p>
        </w:tc>
        <w:tc>
          <w:tcPr>
            <w:tcW w:w="2835" w:type="dxa"/>
            <w:tcBorders>
              <w:top w:val="nil"/>
              <w:left w:val="nil"/>
              <w:bottom w:val="single" w:sz="4" w:space="0" w:color="auto"/>
              <w:right w:val="single" w:sz="4" w:space="0" w:color="auto"/>
            </w:tcBorders>
            <w:shd w:val="clear" w:color="auto" w:fill="auto"/>
            <w:noWrap/>
            <w:vAlign w:val="bottom"/>
            <w:hideMark/>
          </w:tcPr>
          <w:p w14:paraId="5AA6B698" w14:textId="77777777" w:rsidR="001A7511" w:rsidRPr="00545EC0" w:rsidRDefault="001A7511" w:rsidP="001A7511">
            <w:pPr>
              <w:overflowPunct/>
              <w:autoSpaceDE/>
              <w:autoSpaceDN/>
              <w:adjustRightInd/>
              <w:spacing w:line="240" w:lineRule="auto"/>
              <w:jc w:val="left"/>
              <w:textAlignment w:val="auto"/>
              <w:rPr>
                <w:rFonts w:cs="Arial"/>
                <w:color w:val="000000"/>
                <w:sz w:val="18"/>
                <w:szCs w:val="18"/>
              </w:rPr>
            </w:pPr>
            <w:r w:rsidRPr="00545EC0">
              <w:rPr>
                <w:rFonts w:cs="Arial"/>
                <w:color w:val="000000"/>
                <w:sz w:val="18"/>
                <w:szCs w:val="18"/>
                <w:lang w:eastAsia="en-US"/>
              </w:rPr>
              <w:t>Goričko</w:t>
            </w:r>
          </w:p>
        </w:tc>
        <w:tc>
          <w:tcPr>
            <w:tcW w:w="1701" w:type="dxa"/>
            <w:tcBorders>
              <w:top w:val="nil"/>
              <w:left w:val="nil"/>
              <w:bottom w:val="single" w:sz="4" w:space="0" w:color="auto"/>
              <w:right w:val="single" w:sz="4" w:space="0" w:color="auto"/>
            </w:tcBorders>
            <w:shd w:val="clear" w:color="auto" w:fill="auto"/>
            <w:vAlign w:val="center"/>
            <w:hideMark/>
          </w:tcPr>
          <w:p w14:paraId="48B7D875" w14:textId="77777777" w:rsidR="001A7511" w:rsidRPr="00545EC0" w:rsidRDefault="001A7511" w:rsidP="001A7511">
            <w:pPr>
              <w:overflowPunct/>
              <w:autoSpaceDE/>
              <w:autoSpaceDN/>
              <w:adjustRightInd/>
              <w:spacing w:line="240" w:lineRule="auto"/>
              <w:jc w:val="center"/>
              <w:textAlignment w:val="auto"/>
              <w:rPr>
                <w:rFonts w:ascii="Wingdings" w:hAnsi="Wingdings" w:cs="Calibri"/>
                <w:b/>
                <w:bCs/>
                <w:color w:val="000000"/>
                <w:sz w:val="18"/>
                <w:szCs w:val="18"/>
              </w:rPr>
            </w:pPr>
            <w:r w:rsidRPr="00545EC0">
              <w:rPr>
                <w:rFonts w:ascii="Wingdings" w:hAnsi="Wingdings" w:cs="Calibri"/>
                <w:b/>
                <w:bCs/>
                <w:color w:val="000000"/>
                <w:sz w:val="18"/>
                <w:szCs w:val="18"/>
              </w:rPr>
              <w:sym w:font="Wingdings" w:char="F0FC"/>
            </w:r>
          </w:p>
        </w:tc>
        <w:tc>
          <w:tcPr>
            <w:tcW w:w="1626" w:type="dxa"/>
            <w:tcBorders>
              <w:top w:val="nil"/>
              <w:left w:val="nil"/>
              <w:bottom w:val="single" w:sz="4" w:space="0" w:color="auto"/>
              <w:right w:val="single" w:sz="4" w:space="0" w:color="auto"/>
            </w:tcBorders>
            <w:shd w:val="clear" w:color="auto" w:fill="auto"/>
            <w:vAlign w:val="center"/>
            <w:hideMark/>
          </w:tcPr>
          <w:p w14:paraId="4FF7E847"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DA</w:t>
            </w:r>
          </w:p>
        </w:tc>
        <w:tc>
          <w:tcPr>
            <w:tcW w:w="911" w:type="dxa"/>
            <w:tcBorders>
              <w:top w:val="nil"/>
              <w:left w:val="nil"/>
              <w:bottom w:val="single" w:sz="4" w:space="0" w:color="auto"/>
              <w:right w:val="single" w:sz="4" w:space="0" w:color="auto"/>
            </w:tcBorders>
            <w:shd w:val="clear" w:color="auto" w:fill="auto"/>
            <w:vAlign w:val="center"/>
            <w:hideMark/>
          </w:tcPr>
          <w:p w14:paraId="7496DB95" w14:textId="77777777" w:rsidR="001A7511" w:rsidRPr="00545EC0" w:rsidRDefault="001A7511" w:rsidP="001A7511">
            <w:pPr>
              <w:overflowPunct/>
              <w:autoSpaceDE/>
              <w:autoSpaceDN/>
              <w:adjustRightInd/>
              <w:spacing w:line="240" w:lineRule="auto"/>
              <w:jc w:val="center"/>
              <w:textAlignment w:val="auto"/>
              <w:rPr>
                <w:rFonts w:cs="Arial"/>
                <w:color w:val="000000"/>
                <w:sz w:val="18"/>
                <w:szCs w:val="18"/>
              </w:rPr>
            </w:pPr>
            <w:r w:rsidRPr="00545EC0">
              <w:rPr>
                <w:rFonts w:cs="Arial"/>
                <w:color w:val="000000"/>
                <w:sz w:val="18"/>
                <w:szCs w:val="18"/>
                <w:lang w:eastAsia="en-US"/>
              </w:rPr>
              <w:t>srednja</w:t>
            </w:r>
          </w:p>
        </w:tc>
      </w:tr>
    </w:tbl>
    <w:p w14:paraId="7E352859" w14:textId="6CEAF09A" w:rsidR="001A7511" w:rsidRPr="00545EC0" w:rsidRDefault="001A7511" w:rsidP="001A7511">
      <w:pPr>
        <w:spacing w:line="276" w:lineRule="auto"/>
        <w:rPr>
          <w:rFonts w:cs="Arial"/>
          <w:b/>
          <w:bCs/>
          <w:szCs w:val="20"/>
        </w:rPr>
      </w:pPr>
      <w:r w:rsidRPr="00545EC0">
        <w:rPr>
          <w:rFonts w:cs="Arial"/>
          <w:i/>
          <w:sz w:val="18"/>
          <w:szCs w:val="18"/>
        </w:rPr>
        <w:t xml:space="preserve">Legenda: </w:t>
      </w:r>
      <w:r w:rsidRPr="00545EC0">
        <w:rPr>
          <w:rFonts w:cs="Arial"/>
          <w:b/>
          <w:sz w:val="18"/>
          <w:szCs w:val="18"/>
        </w:rPr>
        <w:sym w:font="Wingdings" w:char="F0FC"/>
      </w:r>
      <w:r w:rsidRPr="00545EC0">
        <w:rPr>
          <w:rFonts w:cs="Arial"/>
          <w:i/>
          <w:sz w:val="18"/>
          <w:szCs w:val="18"/>
        </w:rPr>
        <w:t xml:space="preserve"> pogoj je izpolnjen</w:t>
      </w:r>
    </w:p>
    <w:p w14:paraId="5859C821" w14:textId="77777777" w:rsidR="001A7511" w:rsidRPr="00545EC0" w:rsidRDefault="001A7511" w:rsidP="00611726">
      <w:pPr>
        <w:spacing w:before="240" w:after="200" w:line="276" w:lineRule="auto"/>
        <w:rPr>
          <w:rFonts w:cs="Arial"/>
          <w:b/>
          <w:bCs/>
          <w:szCs w:val="20"/>
        </w:rPr>
      </w:pPr>
    </w:p>
    <w:p w14:paraId="6F00D161" w14:textId="77777777" w:rsidR="00611726" w:rsidRPr="00545EC0" w:rsidRDefault="00611726" w:rsidP="00611726">
      <w:pPr>
        <w:spacing w:before="240" w:after="200" w:line="276" w:lineRule="auto"/>
        <w:rPr>
          <w:rFonts w:cs="Arial"/>
          <w:b/>
          <w:bCs/>
          <w:szCs w:val="20"/>
        </w:rPr>
      </w:pPr>
      <w:r w:rsidRPr="00545EC0">
        <w:rPr>
          <w:rFonts w:cs="Arial"/>
          <w:b/>
          <w:bCs/>
          <w:szCs w:val="20"/>
        </w:rPr>
        <w:t>Preizkus 4: Vpliv odvzemov podzemne vode na vdore slane vode ali vode slabše kakovosti</w:t>
      </w:r>
    </w:p>
    <w:p w14:paraId="0D6D6CDA" w14:textId="77777777" w:rsidR="00611726" w:rsidRPr="00545EC0" w:rsidRDefault="00611726" w:rsidP="00581CEA">
      <w:pPr>
        <w:rPr>
          <w:rFonts w:cs="Arial"/>
          <w:szCs w:val="20"/>
        </w:rPr>
      </w:pPr>
      <w:r w:rsidRPr="00545EC0">
        <w:rPr>
          <w:rFonts w:cs="Arial"/>
          <w:szCs w:val="20"/>
        </w:rPr>
        <w:lastRenderedPageBreak/>
        <w:t>Preizkus vpliva odvzemov podzemne vode na vdore slane vode ali vode slabše kakovosti je bil izveden za drugi vodonosnik vodnega telesa podzemne vode VTPodV_3012 Dravska kotlina na območju črpališč komunale Ptuj in Slovenska Bistrica. Preizkus vpliva odvzemov podzemne vode na vdore slane vode ali vode slabše kakovosti temelji na izpolnjevanju štirih pogojev:</w:t>
      </w:r>
    </w:p>
    <w:p w14:paraId="39F5AF5A" w14:textId="2F929B6A" w:rsidR="00611726" w:rsidRPr="00545EC0" w:rsidRDefault="00611726" w:rsidP="00DD37C5">
      <w:pPr>
        <w:numPr>
          <w:ilvl w:val="0"/>
          <w:numId w:val="58"/>
        </w:numPr>
        <w:overflowPunct/>
        <w:autoSpaceDE/>
        <w:autoSpaceDN/>
        <w:adjustRightInd/>
        <w:textAlignment w:val="auto"/>
        <w:rPr>
          <w:rFonts w:cs="Arial"/>
          <w:szCs w:val="20"/>
        </w:rPr>
      </w:pPr>
      <w:r w:rsidRPr="00545EC0">
        <w:rPr>
          <w:rFonts w:cs="Arial"/>
          <w:szCs w:val="20"/>
        </w:rPr>
        <w:t xml:space="preserve">povprečne količine odvzema podzemne vode obdobja </w:t>
      </w:r>
      <w:r w:rsidR="00036DE6" w:rsidRPr="00545EC0">
        <w:rPr>
          <w:rFonts w:cs="Arial"/>
          <w:szCs w:val="20"/>
        </w:rPr>
        <w:t xml:space="preserve">se primerja </w:t>
      </w:r>
      <w:r w:rsidRPr="00545EC0">
        <w:rPr>
          <w:rFonts w:cs="Arial"/>
          <w:szCs w:val="20"/>
        </w:rPr>
        <w:t>s srednjo dolgoletno obnovljivo količino podzemne vode vodonosnika, količine odvzema morajo biti manjše od 10 % obnovljive količine;</w:t>
      </w:r>
    </w:p>
    <w:p w14:paraId="2154E677" w14:textId="77777777" w:rsidR="00611726" w:rsidRPr="00545EC0" w:rsidRDefault="00611726" w:rsidP="00DD37C5">
      <w:pPr>
        <w:numPr>
          <w:ilvl w:val="0"/>
          <w:numId w:val="58"/>
        </w:numPr>
        <w:overflowPunct/>
        <w:autoSpaceDE/>
        <w:autoSpaceDN/>
        <w:adjustRightInd/>
        <w:textAlignment w:val="auto"/>
        <w:rPr>
          <w:rFonts w:cs="Arial"/>
          <w:szCs w:val="20"/>
        </w:rPr>
      </w:pPr>
      <w:r w:rsidRPr="00545EC0">
        <w:rPr>
          <w:rFonts w:cs="Arial"/>
          <w:szCs w:val="20"/>
        </w:rPr>
        <w:t>povprečna dolgoletna vrednost specifične električne prevodnosti mora biti pod vrednostjo parametra za pitno vodo;</w:t>
      </w:r>
    </w:p>
    <w:p w14:paraId="511A23BE" w14:textId="77777777" w:rsidR="00611726" w:rsidRPr="00545EC0" w:rsidRDefault="00611726" w:rsidP="00DD37C5">
      <w:pPr>
        <w:numPr>
          <w:ilvl w:val="0"/>
          <w:numId w:val="58"/>
        </w:numPr>
        <w:overflowPunct/>
        <w:autoSpaceDE/>
        <w:autoSpaceDN/>
        <w:adjustRightInd/>
        <w:textAlignment w:val="auto"/>
        <w:rPr>
          <w:rFonts w:cs="Arial"/>
          <w:szCs w:val="20"/>
        </w:rPr>
      </w:pPr>
      <w:r w:rsidRPr="00545EC0">
        <w:rPr>
          <w:rFonts w:cs="Arial"/>
          <w:szCs w:val="20"/>
        </w:rPr>
        <w:t xml:space="preserve">povprečna dolgoletna vrednost specifične električne prevodnosti mora biti pod srednjo vrednostjo naravnega ozadja vodnih teles podzemne vode s primerljivo poroznostjo in </w:t>
      </w:r>
    </w:p>
    <w:p w14:paraId="72DA18EC" w14:textId="77777777" w:rsidR="00611726" w:rsidRPr="00545EC0" w:rsidRDefault="00611726" w:rsidP="00DD37C5">
      <w:pPr>
        <w:numPr>
          <w:ilvl w:val="0"/>
          <w:numId w:val="58"/>
        </w:numPr>
        <w:overflowPunct/>
        <w:autoSpaceDE/>
        <w:autoSpaceDN/>
        <w:adjustRightInd/>
        <w:textAlignment w:val="auto"/>
        <w:rPr>
          <w:rFonts w:cs="Arial"/>
          <w:szCs w:val="20"/>
        </w:rPr>
      </w:pPr>
      <w:r w:rsidRPr="00545EC0">
        <w:rPr>
          <w:rFonts w:cs="Arial"/>
          <w:szCs w:val="20"/>
        </w:rPr>
        <w:t>trendi indikativnih parametrov vdora vode slabše kakovosti (nitrat, specifična električna prevodnost) ne smejo biti statistično značilno naraščajoči.</w:t>
      </w:r>
    </w:p>
    <w:p w14:paraId="33FAFAF7" w14:textId="0AEDC5B6" w:rsidR="00611726" w:rsidRPr="00545EC0" w:rsidRDefault="00611726" w:rsidP="003122F4">
      <w:r w:rsidRPr="00545EC0">
        <w:t xml:space="preserve">Razmerje med odvzemi (povprečje obdobja 2014–2019) podzemne vode na območju VTPodV_3012 Dravska kotlina v črpališčih </w:t>
      </w:r>
      <w:r w:rsidR="00B45387" w:rsidRPr="00545EC0">
        <w:t xml:space="preserve">Komunalnega podjetja </w:t>
      </w:r>
      <w:r w:rsidRPr="00545EC0">
        <w:t>Ptuj</w:t>
      </w:r>
      <w:r w:rsidR="00B45387" w:rsidRPr="00545EC0">
        <w:t xml:space="preserve"> d.d.</w:t>
      </w:r>
      <w:r w:rsidRPr="00545EC0">
        <w:t xml:space="preserve"> in </w:t>
      </w:r>
      <w:r w:rsidR="00B45387" w:rsidRPr="00545EC0">
        <w:t xml:space="preserve">Komunale </w:t>
      </w:r>
      <w:r w:rsidRPr="00545EC0">
        <w:t xml:space="preserve">Slovenska Bistrica </w:t>
      </w:r>
      <w:r w:rsidR="00B45387" w:rsidRPr="00545EC0">
        <w:t xml:space="preserve">d.o.o. </w:t>
      </w:r>
      <w:r w:rsidRPr="00545EC0">
        <w:t>in z vodnobilančnim modelom ocenjeno povprečno obdobno obnovljivo količino podzemne vode, znaša približno 5 %, kar ne presega mejnih 10 %. Preizkus ne kaže preseganja vsebnosti parametra SEP, ki bi ogrožali rabo vode za javno oskrbo s pitno vodo, prav tako ni preseženo naravno ozadje SEP. Trend časovne vrste obdobja 2008–2019 za specifično električno prevodnost in nitrat pa je statistično značilno naraščajoč.</w:t>
      </w:r>
    </w:p>
    <w:p w14:paraId="16266822" w14:textId="77777777" w:rsidR="00926EA0" w:rsidRPr="00545EC0" w:rsidRDefault="00926EA0" w:rsidP="003122F4">
      <w:bookmarkStart w:id="559" w:name="_Ref84324149"/>
    </w:p>
    <w:p w14:paraId="2415EA45" w14:textId="664B1AA5" w:rsidR="00706EBE" w:rsidRPr="00545EC0" w:rsidRDefault="00B45387" w:rsidP="00B45387">
      <w:pPr>
        <w:pStyle w:val="Napis"/>
      </w:pPr>
      <w:bookmarkStart w:id="560" w:name="_Ref90044839"/>
      <w:bookmarkStart w:id="561" w:name="_Ref90044938"/>
      <w:bookmarkEnd w:id="559"/>
      <w:r w:rsidRPr="00545EC0">
        <w:t>Preglednica</w:t>
      </w:r>
      <w:bookmarkEnd w:id="560"/>
      <w:r w:rsidRPr="00545EC0">
        <w:t xml:space="preserve"> </w:t>
      </w:r>
      <w:fldSimple w:instr=" STYLEREF 1 \s ">
        <w:r w:rsidR="002F3E43">
          <w:rPr>
            <w:noProof/>
          </w:rPr>
          <w:t>3</w:t>
        </w:r>
      </w:fldSimple>
      <w:r w:rsidR="001A7511" w:rsidRPr="00545EC0">
        <w:noBreakHyphen/>
      </w:r>
      <w:fldSimple w:instr=" SEQ Preglednica \* ARABIC \s 1 ">
        <w:r w:rsidR="002F3E43">
          <w:rPr>
            <w:noProof/>
          </w:rPr>
          <w:t>9</w:t>
        </w:r>
      </w:fldSimple>
      <w:bookmarkEnd w:id="561"/>
      <w:r w:rsidRPr="00545EC0">
        <w:t xml:space="preserve">: </w:t>
      </w:r>
      <w:r w:rsidR="00706EBE" w:rsidRPr="00545EC0">
        <w:t>Preizkus vpliva črpanja podzemne vode na vdore slane vode ali druge vode slabše kako</w:t>
      </w:r>
      <w:r w:rsidR="00EC21C0" w:rsidRPr="00545EC0">
        <w:t xml:space="preserve">vosti na vodnem območju Donave </w:t>
      </w:r>
    </w:p>
    <w:tbl>
      <w:tblPr>
        <w:tblStyle w:val="Tabela-mrea1"/>
        <w:tblW w:w="5000" w:type="pct"/>
        <w:tblLook w:val="04A0" w:firstRow="1" w:lastRow="0" w:firstColumn="1" w:lastColumn="0" w:noHBand="0" w:noVBand="1"/>
        <w:tblDescription w:val="Preizkus vpliva črpanja podzemne vode na vdore slane vode ali druge vode slabše kakovosti"/>
      </w:tblPr>
      <w:tblGrid>
        <w:gridCol w:w="593"/>
        <w:gridCol w:w="836"/>
        <w:gridCol w:w="1252"/>
        <w:gridCol w:w="1181"/>
        <w:gridCol w:w="1252"/>
        <w:gridCol w:w="1530"/>
        <w:gridCol w:w="1828"/>
        <w:gridCol w:w="815"/>
      </w:tblGrid>
      <w:tr w:rsidR="003122F4" w:rsidRPr="00545EC0" w14:paraId="64BAA5B8" w14:textId="77777777" w:rsidTr="00EC21C0">
        <w:trPr>
          <w:cantSplit/>
          <w:trHeight w:val="2097"/>
        </w:trPr>
        <w:tc>
          <w:tcPr>
            <w:tcW w:w="319" w:type="pct"/>
            <w:shd w:val="clear" w:color="auto" w:fill="F2F2F2" w:themeFill="background1" w:themeFillShade="F2"/>
            <w:textDirection w:val="btLr"/>
          </w:tcPr>
          <w:p w14:paraId="0038ED8C" w14:textId="77777777" w:rsidR="00611726" w:rsidRPr="00545EC0" w:rsidRDefault="00611726" w:rsidP="00EC21C0">
            <w:pPr>
              <w:spacing w:after="40"/>
              <w:ind w:left="113" w:right="113"/>
              <w:jc w:val="center"/>
              <w:rPr>
                <w:rFonts w:eastAsiaTheme="minorHAnsi" w:cs="Arial"/>
                <w:b/>
                <w:iCs/>
                <w:sz w:val="18"/>
                <w:lang w:val="pl-PL"/>
              </w:rPr>
            </w:pPr>
            <w:r w:rsidRPr="00545EC0">
              <w:rPr>
                <w:rFonts w:eastAsiaTheme="minorHAnsi" w:cs="Arial"/>
                <w:b/>
                <w:iCs/>
                <w:sz w:val="18"/>
                <w:lang w:val="pl-PL"/>
              </w:rPr>
              <w:t>Zap. št.</w:t>
            </w:r>
          </w:p>
        </w:tc>
        <w:tc>
          <w:tcPr>
            <w:tcW w:w="450" w:type="pct"/>
            <w:shd w:val="clear" w:color="auto" w:fill="F2F2F2" w:themeFill="background1" w:themeFillShade="F2"/>
            <w:textDirection w:val="btLr"/>
          </w:tcPr>
          <w:p w14:paraId="22FDCA2F" w14:textId="77777777" w:rsidR="00611726" w:rsidRPr="00545EC0" w:rsidRDefault="00611726" w:rsidP="00EC21C0">
            <w:pPr>
              <w:spacing w:after="40"/>
              <w:ind w:left="113" w:right="113"/>
              <w:jc w:val="center"/>
              <w:rPr>
                <w:rFonts w:eastAsiaTheme="minorHAnsi" w:cs="Arial"/>
                <w:b/>
                <w:iCs/>
                <w:sz w:val="18"/>
                <w:lang w:val="pl-PL"/>
              </w:rPr>
            </w:pPr>
            <w:r w:rsidRPr="00545EC0">
              <w:rPr>
                <w:rFonts w:eastAsiaTheme="minorHAnsi" w:cs="Arial"/>
                <w:b/>
                <w:iCs/>
                <w:sz w:val="18"/>
                <w:lang w:val="pl-PL"/>
              </w:rPr>
              <w:t>Vodno telo podzemnevode (šifra)</w:t>
            </w:r>
          </w:p>
        </w:tc>
        <w:tc>
          <w:tcPr>
            <w:tcW w:w="674" w:type="pct"/>
            <w:shd w:val="clear" w:color="auto" w:fill="F2F2F2" w:themeFill="background1" w:themeFillShade="F2"/>
            <w:textDirection w:val="btLr"/>
          </w:tcPr>
          <w:p w14:paraId="7D423AFF" w14:textId="77777777" w:rsidR="00611726" w:rsidRPr="00545EC0" w:rsidRDefault="00611726" w:rsidP="00EC21C0">
            <w:pPr>
              <w:spacing w:after="40"/>
              <w:ind w:left="113" w:right="113"/>
              <w:jc w:val="center"/>
              <w:rPr>
                <w:rFonts w:eastAsiaTheme="minorHAnsi" w:cs="Arial"/>
                <w:b/>
                <w:iCs/>
                <w:sz w:val="18"/>
                <w:lang w:val="pl-PL"/>
              </w:rPr>
            </w:pPr>
            <w:r w:rsidRPr="00545EC0">
              <w:rPr>
                <w:rFonts w:eastAsiaTheme="minorHAnsi" w:cs="Arial"/>
                <w:b/>
                <w:iCs/>
                <w:sz w:val="18"/>
                <w:lang w:val="pl-PL"/>
              </w:rPr>
              <w:t>Pogoj 1</w:t>
            </w:r>
          </w:p>
          <w:p w14:paraId="70DE53A0" w14:textId="77777777" w:rsidR="00611726" w:rsidRPr="00545EC0" w:rsidRDefault="00611726" w:rsidP="00EC21C0">
            <w:pPr>
              <w:spacing w:after="40"/>
              <w:ind w:left="113" w:right="113"/>
              <w:jc w:val="center"/>
              <w:rPr>
                <w:rFonts w:eastAsiaTheme="minorHAnsi" w:cs="Arial"/>
                <w:b/>
                <w:iCs/>
                <w:sz w:val="18"/>
                <w:lang w:val="pl-PL"/>
              </w:rPr>
            </w:pPr>
            <w:r w:rsidRPr="00545EC0">
              <w:rPr>
                <w:rFonts w:eastAsiaTheme="minorHAnsi" w:cs="Arial"/>
                <w:b/>
                <w:iCs/>
                <w:sz w:val="18"/>
                <w:lang w:val="pl-PL"/>
              </w:rPr>
              <w:t>Odvzem je &lt; 10 % obnovljivih količin</w:t>
            </w:r>
          </w:p>
        </w:tc>
        <w:tc>
          <w:tcPr>
            <w:tcW w:w="636" w:type="pct"/>
            <w:shd w:val="clear" w:color="auto" w:fill="F2F2F2" w:themeFill="background1" w:themeFillShade="F2"/>
            <w:textDirection w:val="btLr"/>
          </w:tcPr>
          <w:p w14:paraId="1C3B1F3B" w14:textId="77777777" w:rsidR="00611726" w:rsidRPr="00545EC0" w:rsidRDefault="00611726" w:rsidP="00EC21C0">
            <w:pPr>
              <w:spacing w:after="40"/>
              <w:ind w:left="113" w:right="113"/>
              <w:jc w:val="center"/>
              <w:rPr>
                <w:rFonts w:eastAsiaTheme="minorHAnsi" w:cs="Arial"/>
                <w:b/>
                <w:iCs/>
                <w:sz w:val="18"/>
                <w:lang w:val="pl-PL"/>
              </w:rPr>
            </w:pPr>
            <w:r w:rsidRPr="00545EC0">
              <w:rPr>
                <w:rFonts w:eastAsiaTheme="minorHAnsi" w:cs="Arial"/>
                <w:b/>
                <w:iCs/>
                <w:sz w:val="18"/>
                <w:lang w:val="pl-PL"/>
              </w:rPr>
              <w:t>Pogoj 2</w:t>
            </w:r>
          </w:p>
          <w:p w14:paraId="2329E8E3" w14:textId="77777777" w:rsidR="00611726" w:rsidRPr="00545EC0" w:rsidRDefault="00611726" w:rsidP="00EC21C0">
            <w:pPr>
              <w:spacing w:after="40"/>
              <w:ind w:left="113" w:right="113"/>
              <w:jc w:val="center"/>
              <w:rPr>
                <w:rFonts w:eastAsiaTheme="minorHAnsi" w:cs="Arial"/>
                <w:b/>
                <w:iCs/>
                <w:sz w:val="18"/>
                <w:lang w:val="pl-PL"/>
              </w:rPr>
            </w:pPr>
            <w:r w:rsidRPr="00545EC0">
              <w:rPr>
                <w:rFonts w:eastAsiaTheme="minorHAnsi" w:cs="Arial"/>
                <w:b/>
                <w:iCs/>
                <w:sz w:val="18"/>
                <w:lang w:val="pl-PL"/>
              </w:rPr>
              <w:t>Ni presežena meja SEP kakovosti pitne vode</w:t>
            </w:r>
          </w:p>
        </w:tc>
        <w:tc>
          <w:tcPr>
            <w:tcW w:w="674" w:type="pct"/>
            <w:shd w:val="clear" w:color="auto" w:fill="F2F2F2" w:themeFill="background1" w:themeFillShade="F2"/>
            <w:textDirection w:val="btLr"/>
          </w:tcPr>
          <w:p w14:paraId="19D806C3" w14:textId="77777777" w:rsidR="00611726" w:rsidRPr="00545EC0" w:rsidRDefault="00611726" w:rsidP="00EC21C0">
            <w:pPr>
              <w:spacing w:after="40"/>
              <w:ind w:left="113" w:right="113"/>
              <w:jc w:val="center"/>
              <w:rPr>
                <w:rFonts w:eastAsiaTheme="minorHAnsi" w:cs="Arial"/>
                <w:b/>
                <w:iCs/>
                <w:sz w:val="18"/>
                <w:lang w:val="pl-PL"/>
              </w:rPr>
            </w:pPr>
            <w:r w:rsidRPr="00545EC0">
              <w:rPr>
                <w:rFonts w:eastAsiaTheme="minorHAnsi" w:cs="Arial"/>
                <w:b/>
                <w:iCs/>
                <w:sz w:val="18"/>
                <w:lang w:val="pl-PL"/>
              </w:rPr>
              <w:t>Pogoj 3</w:t>
            </w:r>
          </w:p>
          <w:p w14:paraId="0F882675" w14:textId="77777777" w:rsidR="00611726" w:rsidRPr="00545EC0" w:rsidRDefault="00611726" w:rsidP="00EC21C0">
            <w:pPr>
              <w:spacing w:after="40"/>
              <w:ind w:left="113" w:right="113"/>
              <w:jc w:val="center"/>
              <w:rPr>
                <w:rFonts w:eastAsiaTheme="minorHAnsi" w:cs="Arial"/>
                <w:b/>
                <w:iCs/>
                <w:sz w:val="18"/>
                <w:lang w:val="pl-PL"/>
              </w:rPr>
            </w:pPr>
            <w:r w:rsidRPr="00545EC0">
              <w:rPr>
                <w:rFonts w:eastAsiaTheme="minorHAnsi" w:cs="Arial"/>
                <w:b/>
                <w:iCs/>
                <w:sz w:val="18"/>
                <w:lang w:val="pl-PL"/>
              </w:rPr>
              <w:t>Ni presežena meja SEP naravnega ozadja</w:t>
            </w:r>
          </w:p>
        </w:tc>
        <w:tc>
          <w:tcPr>
            <w:tcW w:w="824" w:type="pct"/>
            <w:shd w:val="clear" w:color="auto" w:fill="F2F2F2" w:themeFill="background1" w:themeFillShade="F2"/>
            <w:textDirection w:val="btLr"/>
          </w:tcPr>
          <w:p w14:paraId="75381225" w14:textId="77777777" w:rsidR="00611726" w:rsidRPr="00545EC0" w:rsidRDefault="00611726" w:rsidP="00EC21C0">
            <w:pPr>
              <w:spacing w:after="40"/>
              <w:ind w:left="113" w:right="113"/>
              <w:jc w:val="center"/>
              <w:rPr>
                <w:rFonts w:eastAsiaTheme="minorHAnsi" w:cs="Arial"/>
                <w:b/>
                <w:iCs/>
                <w:sz w:val="18"/>
                <w:lang w:val="pl-PL"/>
              </w:rPr>
            </w:pPr>
            <w:r w:rsidRPr="00545EC0">
              <w:rPr>
                <w:rFonts w:eastAsiaTheme="minorHAnsi" w:cs="Arial"/>
                <w:b/>
                <w:iCs/>
                <w:sz w:val="18"/>
                <w:lang w:val="pl-PL"/>
              </w:rPr>
              <w:t>Pogoj 4</w:t>
            </w:r>
          </w:p>
          <w:p w14:paraId="031D05C3" w14:textId="77777777" w:rsidR="00611726" w:rsidRPr="00545EC0" w:rsidRDefault="00611726" w:rsidP="00EC21C0">
            <w:pPr>
              <w:spacing w:after="40"/>
              <w:ind w:left="113" w:right="113"/>
              <w:jc w:val="center"/>
              <w:rPr>
                <w:rFonts w:eastAsiaTheme="minorHAnsi" w:cs="Arial"/>
                <w:b/>
                <w:iCs/>
                <w:sz w:val="18"/>
                <w:lang w:val="pl-PL"/>
              </w:rPr>
            </w:pPr>
            <w:r w:rsidRPr="00545EC0">
              <w:rPr>
                <w:rFonts w:eastAsiaTheme="minorHAnsi" w:cs="Arial"/>
                <w:b/>
                <w:iCs/>
                <w:sz w:val="18"/>
                <w:lang w:val="pl-PL"/>
              </w:rPr>
              <w:t>Ni statistično značilnega naraščajočega trenda i.p.* (α = 0,05)</w:t>
            </w:r>
          </w:p>
        </w:tc>
        <w:tc>
          <w:tcPr>
            <w:tcW w:w="984" w:type="pct"/>
            <w:shd w:val="clear" w:color="auto" w:fill="F2F2F2" w:themeFill="background1" w:themeFillShade="F2"/>
            <w:textDirection w:val="btLr"/>
          </w:tcPr>
          <w:p w14:paraId="0B72C81C" w14:textId="77777777" w:rsidR="00611726" w:rsidRPr="00545EC0" w:rsidRDefault="00611726" w:rsidP="00EC21C0">
            <w:pPr>
              <w:spacing w:after="40"/>
              <w:ind w:left="113" w:right="113"/>
              <w:jc w:val="center"/>
              <w:rPr>
                <w:rFonts w:eastAsiaTheme="minorHAnsi" w:cs="Arial"/>
                <w:b/>
                <w:iCs/>
                <w:sz w:val="18"/>
                <w:lang w:val="pl-PL"/>
              </w:rPr>
            </w:pPr>
            <w:r w:rsidRPr="00545EC0">
              <w:rPr>
                <w:rFonts w:eastAsiaTheme="minorHAnsi" w:cs="Arial"/>
                <w:b/>
                <w:iCs/>
                <w:sz w:val="18"/>
                <w:lang w:val="pl-PL"/>
              </w:rPr>
              <w:t>Ali so izpolnjeni kriteriji dobrega količinskega stanja, da odvzemi podzemne vode ne povzročajo vdora slane vode?</w:t>
            </w:r>
          </w:p>
        </w:tc>
        <w:tc>
          <w:tcPr>
            <w:tcW w:w="439" w:type="pct"/>
            <w:shd w:val="clear" w:color="auto" w:fill="F2F2F2" w:themeFill="background1" w:themeFillShade="F2"/>
            <w:textDirection w:val="btLr"/>
          </w:tcPr>
          <w:p w14:paraId="4D738B7A" w14:textId="77777777" w:rsidR="00611726" w:rsidRPr="00545EC0" w:rsidRDefault="00611726" w:rsidP="00EC21C0">
            <w:pPr>
              <w:spacing w:after="40"/>
              <w:ind w:left="113" w:right="113"/>
              <w:jc w:val="center"/>
              <w:rPr>
                <w:rFonts w:eastAsiaTheme="minorHAnsi" w:cs="Arial"/>
                <w:b/>
                <w:iCs/>
                <w:sz w:val="18"/>
                <w:lang w:val="pl-PL"/>
              </w:rPr>
            </w:pPr>
            <w:r w:rsidRPr="00545EC0">
              <w:rPr>
                <w:rFonts w:eastAsiaTheme="minorHAnsi" w:cs="Arial"/>
                <w:b/>
                <w:iCs/>
                <w:sz w:val="18"/>
                <w:lang w:val="pl-PL"/>
              </w:rPr>
              <w:t>Stopnja zaupanja</w:t>
            </w:r>
          </w:p>
        </w:tc>
      </w:tr>
      <w:tr w:rsidR="000E1CC2" w:rsidRPr="00545EC0" w14:paraId="0F9A20E0" w14:textId="77777777" w:rsidTr="00EC21C0">
        <w:trPr>
          <w:trHeight w:hRule="exact" w:val="340"/>
        </w:trPr>
        <w:tc>
          <w:tcPr>
            <w:tcW w:w="319" w:type="pct"/>
          </w:tcPr>
          <w:p w14:paraId="67746FAA" w14:textId="77777777" w:rsidR="000E1CC2" w:rsidRPr="00545EC0" w:rsidRDefault="000E1CC2" w:rsidP="00FC3120">
            <w:pPr>
              <w:jc w:val="center"/>
              <w:rPr>
                <w:rFonts w:cs="Arial"/>
                <w:sz w:val="18"/>
                <w:szCs w:val="18"/>
              </w:rPr>
            </w:pPr>
            <w:r w:rsidRPr="00545EC0">
              <w:rPr>
                <w:rFonts w:cs="Arial"/>
                <w:sz w:val="18"/>
                <w:szCs w:val="18"/>
              </w:rPr>
              <w:t>1</w:t>
            </w:r>
          </w:p>
        </w:tc>
        <w:tc>
          <w:tcPr>
            <w:tcW w:w="450" w:type="pct"/>
          </w:tcPr>
          <w:p w14:paraId="78ECB534" w14:textId="77777777" w:rsidR="000E1CC2" w:rsidRPr="00545EC0" w:rsidRDefault="000E1CC2" w:rsidP="00FC3120">
            <w:pPr>
              <w:jc w:val="center"/>
              <w:rPr>
                <w:rFonts w:cs="Arial"/>
                <w:sz w:val="18"/>
                <w:szCs w:val="18"/>
              </w:rPr>
            </w:pPr>
            <w:r w:rsidRPr="00545EC0">
              <w:rPr>
                <w:rFonts w:cs="Arial"/>
                <w:sz w:val="18"/>
                <w:szCs w:val="18"/>
              </w:rPr>
              <w:t>3012</w:t>
            </w:r>
          </w:p>
        </w:tc>
        <w:tc>
          <w:tcPr>
            <w:tcW w:w="674" w:type="pct"/>
          </w:tcPr>
          <w:p w14:paraId="2BF09409" w14:textId="6064417A" w:rsidR="000E1CC2" w:rsidRPr="00545EC0" w:rsidRDefault="000E1CC2" w:rsidP="00FC3120">
            <w:pPr>
              <w:jc w:val="center"/>
              <w:rPr>
                <w:b/>
                <w:sz w:val="18"/>
                <w:szCs w:val="18"/>
              </w:rPr>
            </w:pPr>
            <w:r w:rsidRPr="00545EC0">
              <w:rPr>
                <w:rFonts w:cs="Arial"/>
                <w:b/>
                <w:sz w:val="18"/>
                <w:szCs w:val="18"/>
              </w:rPr>
              <w:sym w:font="Wingdings" w:char="F0FC"/>
            </w:r>
          </w:p>
        </w:tc>
        <w:tc>
          <w:tcPr>
            <w:tcW w:w="636" w:type="pct"/>
          </w:tcPr>
          <w:p w14:paraId="476BF8C2" w14:textId="4A0D8C6E" w:rsidR="000E1CC2" w:rsidRPr="00545EC0" w:rsidRDefault="000E1CC2" w:rsidP="00FC3120">
            <w:pPr>
              <w:jc w:val="center"/>
              <w:rPr>
                <w:b/>
                <w:sz w:val="18"/>
                <w:szCs w:val="18"/>
              </w:rPr>
            </w:pPr>
            <w:r w:rsidRPr="00545EC0">
              <w:rPr>
                <w:rFonts w:cs="Arial"/>
                <w:b/>
                <w:sz w:val="18"/>
                <w:szCs w:val="18"/>
              </w:rPr>
              <w:sym w:font="Wingdings" w:char="F0FC"/>
            </w:r>
          </w:p>
        </w:tc>
        <w:tc>
          <w:tcPr>
            <w:tcW w:w="674" w:type="pct"/>
          </w:tcPr>
          <w:p w14:paraId="1432FC00" w14:textId="6B4D61A1" w:rsidR="000E1CC2" w:rsidRPr="00545EC0" w:rsidRDefault="000E1CC2" w:rsidP="00FC3120">
            <w:pPr>
              <w:jc w:val="center"/>
              <w:rPr>
                <w:b/>
                <w:sz w:val="18"/>
                <w:szCs w:val="18"/>
              </w:rPr>
            </w:pPr>
            <w:r w:rsidRPr="00545EC0">
              <w:rPr>
                <w:rFonts w:cs="Arial"/>
                <w:b/>
                <w:sz w:val="18"/>
                <w:szCs w:val="18"/>
              </w:rPr>
              <w:sym w:font="Wingdings" w:char="F0FC"/>
            </w:r>
          </w:p>
        </w:tc>
        <w:tc>
          <w:tcPr>
            <w:tcW w:w="824" w:type="pct"/>
          </w:tcPr>
          <w:p w14:paraId="02FA5775" w14:textId="77777777" w:rsidR="000E1CC2" w:rsidRPr="00545EC0" w:rsidRDefault="000E1CC2" w:rsidP="00FC3120">
            <w:pPr>
              <w:jc w:val="center"/>
              <w:rPr>
                <w:sz w:val="18"/>
                <w:szCs w:val="18"/>
              </w:rPr>
            </w:pPr>
            <w:r w:rsidRPr="00545EC0">
              <w:rPr>
                <w:rFonts w:ascii="Cambria" w:hAnsi="Cambria" w:cs="Arial"/>
                <w:sz w:val="18"/>
                <w:szCs w:val="18"/>
                <w:lang w:val="sv-SE"/>
              </w:rPr>
              <w:sym w:font="Wingdings 2" w:char="F054"/>
            </w:r>
          </w:p>
        </w:tc>
        <w:tc>
          <w:tcPr>
            <w:tcW w:w="984" w:type="pct"/>
          </w:tcPr>
          <w:p w14:paraId="58F9D39B" w14:textId="77777777" w:rsidR="000E1CC2" w:rsidRPr="00545EC0" w:rsidRDefault="000E1CC2" w:rsidP="00FC3120">
            <w:pPr>
              <w:jc w:val="center"/>
              <w:rPr>
                <w:rFonts w:cs="Arial"/>
                <w:sz w:val="18"/>
                <w:szCs w:val="18"/>
              </w:rPr>
            </w:pPr>
            <w:r w:rsidRPr="00545EC0">
              <w:rPr>
                <w:rFonts w:cs="Arial"/>
                <w:sz w:val="18"/>
                <w:szCs w:val="18"/>
              </w:rPr>
              <w:t>NE</w:t>
            </w:r>
          </w:p>
        </w:tc>
        <w:tc>
          <w:tcPr>
            <w:tcW w:w="439" w:type="pct"/>
          </w:tcPr>
          <w:p w14:paraId="0337D2AE" w14:textId="77777777" w:rsidR="000E1CC2" w:rsidRPr="00545EC0" w:rsidRDefault="000E1CC2" w:rsidP="00FC3120">
            <w:pPr>
              <w:jc w:val="center"/>
              <w:rPr>
                <w:rFonts w:cs="Arial"/>
                <w:sz w:val="18"/>
                <w:szCs w:val="18"/>
              </w:rPr>
            </w:pPr>
            <w:r w:rsidRPr="00545EC0">
              <w:rPr>
                <w:rFonts w:cs="Arial"/>
                <w:sz w:val="18"/>
                <w:szCs w:val="18"/>
              </w:rPr>
              <w:t>srednja</w:t>
            </w:r>
          </w:p>
        </w:tc>
      </w:tr>
    </w:tbl>
    <w:p w14:paraId="26EBE5AE" w14:textId="251CC80D" w:rsidR="00611726" w:rsidRPr="00545EC0" w:rsidRDefault="00EC21C0" w:rsidP="00611726">
      <w:pPr>
        <w:spacing w:before="80"/>
        <w:rPr>
          <w:rFonts w:cs="Arial"/>
          <w:bCs/>
          <w:i/>
          <w:sz w:val="18"/>
          <w:lang w:val="pl-PL"/>
        </w:rPr>
      </w:pPr>
      <w:r w:rsidRPr="00545EC0">
        <w:rPr>
          <w:rFonts w:cs="Arial"/>
          <w:i/>
          <w:sz w:val="18"/>
          <w:szCs w:val="18"/>
        </w:rPr>
        <w:t xml:space="preserve">Legenda: </w:t>
      </w:r>
      <w:r w:rsidR="000E1CC2" w:rsidRPr="00545EC0">
        <w:rPr>
          <w:rFonts w:cs="Arial"/>
          <w:b/>
          <w:sz w:val="18"/>
          <w:szCs w:val="18"/>
        </w:rPr>
        <w:sym w:font="Wingdings" w:char="F0FC"/>
      </w:r>
      <w:r w:rsidRPr="00545EC0">
        <w:rPr>
          <w:rFonts w:cs="Arial"/>
          <w:i/>
          <w:sz w:val="18"/>
          <w:szCs w:val="18"/>
        </w:rPr>
        <w:t xml:space="preserve">pogoj je izpolnjen, </w:t>
      </w:r>
      <w:r w:rsidRPr="00545EC0">
        <w:rPr>
          <w:rFonts w:cs="Arial"/>
          <w:i/>
          <w:sz w:val="18"/>
          <w:szCs w:val="18"/>
          <w:lang w:val="sv-SE"/>
        </w:rPr>
        <w:sym w:font="Wingdings 2" w:char="F054"/>
      </w:r>
      <w:r w:rsidRPr="00545EC0">
        <w:rPr>
          <w:rFonts w:cs="Arial"/>
          <w:i/>
          <w:sz w:val="18"/>
          <w:szCs w:val="18"/>
        </w:rPr>
        <w:t xml:space="preserve"> pogoj ni izpolnjen</w:t>
      </w:r>
      <w:r w:rsidR="000E1CC2" w:rsidRPr="00545EC0">
        <w:rPr>
          <w:rFonts w:cs="Arial"/>
          <w:i/>
          <w:sz w:val="18"/>
          <w:szCs w:val="18"/>
        </w:rPr>
        <w:t xml:space="preserve">; </w:t>
      </w:r>
      <w:r w:rsidR="00611726" w:rsidRPr="00545EC0">
        <w:rPr>
          <w:rFonts w:cs="Arial"/>
          <w:bCs/>
          <w:i/>
          <w:sz w:val="18"/>
          <w:lang w:val="pl-PL"/>
        </w:rPr>
        <w:t>Opomba: * i.p.</w:t>
      </w:r>
      <w:r w:rsidR="00611726" w:rsidRPr="00545EC0">
        <w:rPr>
          <w:rFonts w:cs="Arial"/>
          <w:bCs/>
          <w:i/>
          <w:sz w:val="18"/>
          <w:lang w:val="pt-BR"/>
        </w:rPr>
        <w:t xml:space="preserve"> </w:t>
      </w:r>
      <w:r w:rsidR="00611726" w:rsidRPr="00545EC0">
        <w:rPr>
          <w:rFonts w:cs="Arial"/>
          <w:bCs/>
          <w:i/>
          <w:sz w:val="18"/>
          <w:lang w:val="pl-PL"/>
        </w:rPr>
        <w:t>– indikativni parameter</w:t>
      </w:r>
    </w:p>
    <w:p w14:paraId="68893000" w14:textId="77777777" w:rsidR="007C07BC" w:rsidRPr="00545EC0" w:rsidRDefault="007C07BC" w:rsidP="00611726">
      <w:pPr>
        <w:spacing w:before="80"/>
        <w:rPr>
          <w:rFonts w:cs="Arial"/>
          <w:i/>
          <w:sz w:val="18"/>
          <w:lang w:val="sv-SE"/>
        </w:rPr>
      </w:pPr>
    </w:p>
    <w:p w14:paraId="1DF97286" w14:textId="53557895" w:rsidR="00611726" w:rsidRPr="00545EC0" w:rsidRDefault="00611726" w:rsidP="00581CEA">
      <w:pPr>
        <w:spacing w:before="120" w:after="120"/>
        <w:rPr>
          <w:rFonts w:cs="Arial"/>
          <w:szCs w:val="20"/>
        </w:rPr>
      </w:pPr>
      <w:r w:rsidRPr="00545EC0">
        <w:rPr>
          <w:rFonts w:cs="Arial"/>
          <w:szCs w:val="20"/>
        </w:rPr>
        <w:t>Ocena preizkusa vpliva črpanja podzemne vode na vdore slane vode ali druge vode slabše kakovosti v vodnem telesu VTPodV_3012 Dravska kotlina je pokazala, da četrti pogoj preizkusa zaradi statistično značilnega trenda naraščanja indikativnih parametrov SEP in nitrata na merilnem</w:t>
      </w:r>
      <w:r w:rsidR="00127B36" w:rsidRPr="00545EC0">
        <w:rPr>
          <w:rFonts w:cs="Arial"/>
          <w:szCs w:val="20"/>
        </w:rPr>
        <w:t xml:space="preserve"> mestu Skorba VG-3 ni izpolnjen (</w:t>
      </w:r>
      <w:r w:rsidR="00127B36" w:rsidRPr="00545EC0">
        <w:rPr>
          <w:rFonts w:cs="Arial"/>
          <w:szCs w:val="20"/>
        </w:rPr>
        <w:fldChar w:fldCharType="begin"/>
      </w:r>
      <w:r w:rsidR="00127B36" w:rsidRPr="00545EC0">
        <w:rPr>
          <w:rFonts w:cs="Arial"/>
          <w:szCs w:val="20"/>
        </w:rPr>
        <w:instrText xml:space="preserve"> REF _Ref90044938 \h </w:instrText>
      </w:r>
      <w:r w:rsidR="00545EC0">
        <w:rPr>
          <w:rFonts w:cs="Arial"/>
          <w:szCs w:val="20"/>
        </w:rPr>
        <w:instrText xml:space="preserve"> \* MERGEFORMAT </w:instrText>
      </w:r>
      <w:r w:rsidR="00127B36" w:rsidRPr="00545EC0">
        <w:rPr>
          <w:rFonts w:cs="Arial"/>
          <w:szCs w:val="20"/>
        </w:rPr>
      </w:r>
      <w:r w:rsidR="00127B36" w:rsidRPr="00545EC0">
        <w:rPr>
          <w:rFonts w:cs="Arial"/>
          <w:szCs w:val="20"/>
        </w:rPr>
        <w:fldChar w:fldCharType="separate"/>
      </w:r>
      <w:r w:rsidR="002F3E43" w:rsidRPr="00545EC0">
        <w:t xml:space="preserve">Preglednica </w:t>
      </w:r>
      <w:r w:rsidR="002F3E43">
        <w:rPr>
          <w:noProof/>
        </w:rPr>
        <w:t>3</w:t>
      </w:r>
      <w:r w:rsidR="002F3E43" w:rsidRPr="00545EC0">
        <w:rPr>
          <w:noProof/>
        </w:rPr>
        <w:noBreakHyphen/>
      </w:r>
      <w:r w:rsidR="002F3E43">
        <w:rPr>
          <w:noProof/>
        </w:rPr>
        <w:t>9</w:t>
      </w:r>
      <w:r w:rsidR="00127B36" w:rsidRPr="00545EC0">
        <w:rPr>
          <w:rFonts w:cs="Arial"/>
          <w:szCs w:val="20"/>
        </w:rPr>
        <w:fldChar w:fldCharType="end"/>
      </w:r>
      <w:r w:rsidR="00127B36" w:rsidRPr="00545EC0">
        <w:rPr>
          <w:rFonts w:cs="Arial"/>
          <w:szCs w:val="20"/>
        </w:rPr>
        <w:t xml:space="preserve">). </w:t>
      </w:r>
      <w:r w:rsidRPr="00545EC0">
        <w:rPr>
          <w:rFonts w:cs="Arial"/>
          <w:szCs w:val="20"/>
        </w:rPr>
        <w:t>Vdor vode slabše kakovosti v obravnavano vodno telo podzemne vode potrjujeta tudi dva dodatna kazalca – statistično značilen trend povečevanja skupnih količin črpanja podzemne vode v obdobju 2008</w:t>
      </w:r>
      <w:r w:rsidRPr="00545EC0">
        <w:rPr>
          <w:rFonts w:cs="Arial"/>
          <w:iCs/>
          <w:szCs w:val="20"/>
        </w:rPr>
        <w:t>–</w:t>
      </w:r>
      <w:r w:rsidRPr="00545EC0">
        <w:rPr>
          <w:rFonts w:cs="Arial"/>
          <w:szCs w:val="20"/>
        </w:rPr>
        <w:t xml:space="preserve">2019 v črpališčih, ki so v upravljanju </w:t>
      </w:r>
      <w:r w:rsidR="0059464F" w:rsidRPr="00545EC0">
        <w:rPr>
          <w:rFonts w:cs="Arial"/>
          <w:szCs w:val="20"/>
        </w:rPr>
        <w:t>Komunalnega</w:t>
      </w:r>
      <w:r w:rsidRPr="00545EC0">
        <w:rPr>
          <w:rFonts w:cs="Arial"/>
          <w:szCs w:val="20"/>
        </w:rPr>
        <w:t xml:space="preserve"> podjetja Ptuj d. d. in preseganje naravnega ozadja (2 mg/L NO</w:t>
      </w:r>
      <w:r w:rsidRPr="00545EC0">
        <w:rPr>
          <w:rFonts w:cs="Arial"/>
          <w:szCs w:val="20"/>
          <w:vertAlign w:val="subscript"/>
        </w:rPr>
        <w:t>3</w:t>
      </w:r>
      <w:r w:rsidRPr="00545EC0">
        <w:rPr>
          <w:rFonts w:cs="Arial"/>
          <w:szCs w:val="20"/>
          <w:vertAlign w:val="superscript"/>
        </w:rPr>
        <w:t>-</w:t>
      </w:r>
      <w:r w:rsidRPr="00545EC0">
        <w:rPr>
          <w:rFonts w:cs="Arial"/>
          <w:szCs w:val="20"/>
        </w:rPr>
        <w:t>) vsebnosti nitrata v podzemni vodi na merilnih mestih Skorba VG-3 in DEV-1/99. Stopnja zaupanja ocene je srednja zaradi nezadostnega poznavanja hidrogeoloških razmer na območju raziskav.</w:t>
      </w:r>
    </w:p>
    <w:p w14:paraId="05AB49FD" w14:textId="2660EBF4" w:rsidR="00611726" w:rsidRPr="00545EC0" w:rsidRDefault="00611726" w:rsidP="00581CEA">
      <w:pPr>
        <w:spacing w:before="120" w:after="120"/>
        <w:rPr>
          <w:rFonts w:ascii="Arial Narrow" w:hAnsi="Arial Narrow" w:cs="Arial"/>
        </w:rPr>
      </w:pPr>
      <w:r w:rsidRPr="00545EC0">
        <w:rPr>
          <w:rFonts w:cs="Arial"/>
          <w:szCs w:val="20"/>
        </w:rPr>
        <w:t xml:space="preserve">Količinsko stanje podzemne vode se po tem preizkusu za vodno telo podzemne vode VTPodV_3012 Dravska kotlina ocenjuje kot </w:t>
      </w:r>
      <w:r w:rsidR="007C07BC" w:rsidRPr="00545EC0">
        <w:rPr>
          <w:rFonts w:cs="Arial"/>
          <w:szCs w:val="20"/>
        </w:rPr>
        <w:t>slabo</w:t>
      </w:r>
      <w:r w:rsidRPr="00545EC0">
        <w:rPr>
          <w:rFonts w:cs="Arial"/>
          <w:szCs w:val="20"/>
        </w:rPr>
        <w:t>.</w:t>
      </w:r>
    </w:p>
    <w:p w14:paraId="17421115" w14:textId="473A5603" w:rsidR="00611726" w:rsidRPr="00545EC0" w:rsidRDefault="00611726" w:rsidP="00581CEA">
      <w:pPr>
        <w:spacing w:before="120" w:after="120"/>
        <w:rPr>
          <w:rFonts w:cs="Arial"/>
          <w:szCs w:val="20"/>
        </w:rPr>
      </w:pPr>
      <w:r w:rsidRPr="00545EC0">
        <w:rPr>
          <w:rFonts w:cs="Arial"/>
          <w:szCs w:val="20"/>
        </w:rPr>
        <w:t>.</w:t>
      </w:r>
    </w:p>
    <w:p w14:paraId="5C95FF82" w14:textId="5CDF10BE" w:rsidR="00611726" w:rsidRPr="00545EC0" w:rsidRDefault="00611726" w:rsidP="00392769">
      <w:pPr>
        <w:pStyle w:val="Naslov4"/>
        <w:rPr>
          <w:color w:val="auto"/>
          <w:szCs w:val="26"/>
        </w:rPr>
      </w:pPr>
      <w:r w:rsidRPr="00545EC0">
        <w:rPr>
          <w:color w:val="auto"/>
          <w:szCs w:val="26"/>
        </w:rPr>
        <w:t>Stopnja zaupanja ocene količinskega stanja podzemnih voda</w:t>
      </w:r>
    </w:p>
    <w:p w14:paraId="017816DE" w14:textId="77777777" w:rsidR="00611726" w:rsidRPr="00545EC0" w:rsidRDefault="00611726" w:rsidP="00581CEA">
      <w:pPr>
        <w:rPr>
          <w:rFonts w:cs="Arial"/>
          <w:szCs w:val="20"/>
        </w:rPr>
      </w:pPr>
      <w:r w:rsidRPr="00545EC0">
        <w:rPr>
          <w:rFonts w:cs="Arial"/>
          <w:szCs w:val="20"/>
        </w:rPr>
        <w:lastRenderedPageBreak/>
        <w:t>Stopnja zaupanja ocene količinskega stanja je po posameznih vodnih telesih podzemnih voda podana s tristopenjsko lestvico:</w:t>
      </w:r>
    </w:p>
    <w:p w14:paraId="7711E0B1" w14:textId="77777777" w:rsidR="00611726" w:rsidRPr="00545EC0" w:rsidRDefault="00611726" w:rsidP="00DD37C5">
      <w:pPr>
        <w:numPr>
          <w:ilvl w:val="0"/>
          <w:numId w:val="95"/>
        </w:numPr>
        <w:overflowPunct/>
        <w:textAlignment w:val="auto"/>
        <w:rPr>
          <w:rFonts w:cs="Arial"/>
          <w:szCs w:val="20"/>
        </w:rPr>
      </w:pPr>
      <w:r w:rsidRPr="00545EC0">
        <w:rPr>
          <w:rFonts w:cs="Arial"/>
          <w:szCs w:val="20"/>
        </w:rPr>
        <w:t>nizka stopnja zaupanja (N): brez podatkov monitoringa ali brez poznavanja hidrološkega sistema;</w:t>
      </w:r>
    </w:p>
    <w:p w14:paraId="03E5E04A" w14:textId="77777777" w:rsidR="00611726" w:rsidRPr="00545EC0" w:rsidRDefault="00611726" w:rsidP="00DD37C5">
      <w:pPr>
        <w:numPr>
          <w:ilvl w:val="0"/>
          <w:numId w:val="95"/>
        </w:numPr>
        <w:overflowPunct/>
        <w:textAlignment w:val="auto"/>
        <w:rPr>
          <w:rFonts w:cs="Arial"/>
          <w:szCs w:val="20"/>
        </w:rPr>
      </w:pPr>
      <w:r w:rsidRPr="00545EC0">
        <w:rPr>
          <w:rFonts w:cs="Arial"/>
          <w:szCs w:val="20"/>
        </w:rPr>
        <w:t>srednja stopnja zaupanja (S): omejeni podatki monitoringa in velik pomen strokovne presoje;</w:t>
      </w:r>
    </w:p>
    <w:p w14:paraId="24DA2ACF" w14:textId="77777777" w:rsidR="00611726" w:rsidRPr="00545EC0" w:rsidRDefault="00611726" w:rsidP="00DD37C5">
      <w:pPr>
        <w:numPr>
          <w:ilvl w:val="0"/>
          <w:numId w:val="95"/>
        </w:numPr>
        <w:overflowPunct/>
        <w:spacing w:before="100" w:beforeAutospacing="1" w:after="120"/>
        <w:textAlignment w:val="auto"/>
        <w:rPr>
          <w:rFonts w:cs="Arial"/>
          <w:szCs w:val="20"/>
        </w:rPr>
      </w:pPr>
      <w:r w:rsidRPr="00545EC0">
        <w:rPr>
          <w:rFonts w:cs="Arial"/>
          <w:szCs w:val="20"/>
        </w:rPr>
        <w:t>visoka stopnja zaupanja (V): dobri podatki monitoringa in dober konceptualni model; razumevanje hidrološkega sistema temelji na poznavanju naravnih značilnosti in antropogenih pritiskov.</w:t>
      </w:r>
    </w:p>
    <w:p w14:paraId="110F2A4F" w14:textId="79167A69" w:rsidR="00392769" w:rsidRPr="00545EC0" w:rsidRDefault="00611726" w:rsidP="001A7511">
      <w:r w:rsidRPr="00545EC0">
        <w:rPr>
          <w:rFonts w:cs="Arial"/>
          <w:szCs w:val="20"/>
        </w:rPr>
        <w:t xml:space="preserve">Od skupno 18 vodnih teles podzemne vode so tri </w:t>
      </w:r>
      <w:r w:rsidR="001A7511" w:rsidRPr="00545EC0">
        <w:rPr>
          <w:rFonts w:cs="Arial"/>
          <w:szCs w:val="20"/>
        </w:rPr>
        <w:t xml:space="preserve">vodna telesa podzemnih voda ocenjena </w:t>
      </w:r>
      <w:r w:rsidRPr="00545EC0">
        <w:rPr>
          <w:rFonts w:cs="Arial"/>
          <w:szCs w:val="20"/>
        </w:rPr>
        <w:t xml:space="preserve">z visoko </w:t>
      </w:r>
      <w:r w:rsidR="001A7511" w:rsidRPr="00545EC0">
        <w:rPr>
          <w:rFonts w:cs="Arial"/>
          <w:szCs w:val="20"/>
        </w:rPr>
        <w:t xml:space="preserve">stopnjo zaupanja </w:t>
      </w:r>
      <w:r w:rsidRPr="00545EC0">
        <w:rPr>
          <w:rFonts w:cs="Arial"/>
          <w:szCs w:val="20"/>
        </w:rPr>
        <w:t xml:space="preserve">in petnajst </w:t>
      </w:r>
      <w:r w:rsidR="001A7511" w:rsidRPr="00545EC0">
        <w:rPr>
          <w:rFonts w:cs="Arial"/>
          <w:szCs w:val="20"/>
        </w:rPr>
        <w:t xml:space="preserve">vodnih teles podzemnih voda </w:t>
      </w:r>
      <w:r w:rsidRPr="00545EC0">
        <w:rPr>
          <w:rFonts w:cs="Arial"/>
          <w:szCs w:val="20"/>
        </w:rPr>
        <w:t>s srednjo stopnjo zaupanja</w:t>
      </w:r>
      <w:r w:rsidR="001A7511" w:rsidRPr="00545EC0">
        <w:rPr>
          <w:rFonts w:cs="Arial"/>
          <w:szCs w:val="20"/>
        </w:rPr>
        <w:t xml:space="preserve"> (</w:t>
      </w:r>
      <w:r w:rsidR="001A7511" w:rsidRPr="00545EC0">
        <w:rPr>
          <w:rFonts w:cs="Arial"/>
          <w:szCs w:val="20"/>
        </w:rPr>
        <w:fldChar w:fldCharType="begin"/>
      </w:r>
      <w:r w:rsidR="001A7511" w:rsidRPr="00545EC0">
        <w:rPr>
          <w:rFonts w:cs="Arial"/>
          <w:szCs w:val="20"/>
        </w:rPr>
        <w:instrText xml:space="preserve"> REF _Ref90244373 \h </w:instrText>
      </w:r>
      <w:r w:rsidR="00545EC0">
        <w:rPr>
          <w:rFonts w:cs="Arial"/>
          <w:szCs w:val="20"/>
        </w:rPr>
        <w:instrText xml:space="preserve"> \* MERGEFORMAT </w:instrText>
      </w:r>
      <w:r w:rsidR="001A7511" w:rsidRPr="00545EC0">
        <w:rPr>
          <w:rFonts w:cs="Arial"/>
          <w:szCs w:val="20"/>
        </w:rPr>
      </w:r>
      <w:r w:rsidR="001A7511" w:rsidRPr="00545EC0">
        <w:rPr>
          <w:rFonts w:cs="Arial"/>
          <w:szCs w:val="20"/>
        </w:rPr>
        <w:fldChar w:fldCharType="separate"/>
      </w:r>
      <w:r w:rsidR="002F3E43" w:rsidRPr="00545EC0">
        <w:t xml:space="preserve">Preglednica </w:t>
      </w:r>
      <w:r w:rsidR="002F3E43">
        <w:rPr>
          <w:noProof/>
        </w:rPr>
        <w:t>3</w:t>
      </w:r>
      <w:r w:rsidR="002F3E43" w:rsidRPr="00545EC0">
        <w:rPr>
          <w:noProof/>
        </w:rPr>
        <w:noBreakHyphen/>
      </w:r>
      <w:r w:rsidR="002F3E43">
        <w:rPr>
          <w:noProof/>
        </w:rPr>
        <w:t>10</w:t>
      </w:r>
      <w:r w:rsidR="001A7511" w:rsidRPr="00545EC0">
        <w:rPr>
          <w:rFonts w:cs="Arial"/>
          <w:szCs w:val="20"/>
        </w:rPr>
        <w:fldChar w:fldCharType="end"/>
      </w:r>
      <w:r w:rsidR="001A7511" w:rsidRPr="00545EC0">
        <w:rPr>
          <w:rFonts w:cs="Arial"/>
          <w:szCs w:val="20"/>
        </w:rPr>
        <w:t>)</w:t>
      </w:r>
      <w:r w:rsidRPr="00545EC0">
        <w:rPr>
          <w:rFonts w:cs="Arial"/>
          <w:szCs w:val="20"/>
        </w:rPr>
        <w:t>.</w:t>
      </w:r>
      <w:r w:rsidR="001A7511" w:rsidRPr="00545EC0">
        <w:rPr>
          <w:rFonts w:cs="Arial"/>
          <w:szCs w:val="20"/>
        </w:rPr>
        <w:t xml:space="preserve"> S</w:t>
      </w:r>
      <w:r w:rsidRPr="00545EC0">
        <w:rPr>
          <w:rFonts w:cs="Arial"/>
          <w:szCs w:val="20"/>
        </w:rPr>
        <w:t xml:space="preserve">rednje stopnje zaupanja </w:t>
      </w:r>
      <w:r w:rsidR="001A7511" w:rsidRPr="00545EC0">
        <w:rPr>
          <w:rFonts w:cs="Arial"/>
          <w:szCs w:val="20"/>
        </w:rPr>
        <w:t xml:space="preserve">v oceno stanja vodnih teles podzemnih voda je ocenjena </w:t>
      </w:r>
      <w:r w:rsidRPr="00545EC0">
        <w:rPr>
          <w:rFonts w:cs="Arial"/>
          <w:szCs w:val="20"/>
        </w:rPr>
        <w:t>predvsem</w:t>
      </w:r>
      <w:r w:rsidR="00D97D42" w:rsidRPr="00545EC0">
        <w:rPr>
          <w:rFonts w:cs="Arial"/>
          <w:szCs w:val="20"/>
        </w:rPr>
        <w:t xml:space="preserve"> pri izvedbi</w:t>
      </w:r>
      <w:r w:rsidRPr="00545EC0">
        <w:rPr>
          <w:rFonts w:cs="Arial"/>
          <w:szCs w:val="20"/>
        </w:rPr>
        <w:t xml:space="preserve"> preizkus</w:t>
      </w:r>
      <w:r w:rsidR="00D97D42" w:rsidRPr="00545EC0">
        <w:rPr>
          <w:rFonts w:cs="Arial"/>
          <w:szCs w:val="20"/>
        </w:rPr>
        <w:t>ov</w:t>
      </w:r>
      <w:r w:rsidRPr="00545EC0">
        <w:rPr>
          <w:rFonts w:cs="Arial"/>
          <w:szCs w:val="20"/>
        </w:rPr>
        <w:t xml:space="preserve"> </w:t>
      </w:r>
      <w:r w:rsidR="00D97D42" w:rsidRPr="00545EC0">
        <w:rPr>
          <w:rFonts w:cs="Arial"/>
          <w:szCs w:val="20"/>
        </w:rPr>
        <w:t xml:space="preserve">2  do 4, to je pri preizkusih </w:t>
      </w:r>
      <w:r w:rsidRPr="00545EC0">
        <w:rPr>
          <w:rFonts w:cs="Arial"/>
          <w:szCs w:val="20"/>
        </w:rPr>
        <w:t xml:space="preserve">vpliva odvzemov podzemne vode na ekološko stanje površinskih voda, na kopenske ekosisteme, ki so povezani s podzemno vodo, ter na </w:t>
      </w:r>
      <w:r w:rsidRPr="00545EC0">
        <w:t>vdore slane vode ali vode slabše kakovosti. V primeru teh preizkusov je zaupanje znižano zaradi slabšega poznavanja hidrogeoloških konceptov. V primeru VTPodV_4016 Murska kotlina je stopnja zaupanja vodnobilančnega preizkusa srednja predvsem zaradi omejenih podatkov meritev piezometrični</w:t>
      </w:r>
      <w:bookmarkStart w:id="562" w:name="_Ref84324281"/>
      <w:r w:rsidR="00581CEA" w:rsidRPr="00545EC0">
        <w:t>h gladin v globokem vodonosniku.</w:t>
      </w:r>
    </w:p>
    <w:bookmarkEnd w:id="562"/>
    <w:p w14:paraId="5E37F6D9" w14:textId="77777777" w:rsidR="001A7511" w:rsidRPr="00545EC0" w:rsidRDefault="001A7511" w:rsidP="001A7511"/>
    <w:p w14:paraId="5BA485F5" w14:textId="4606C940" w:rsidR="00F90089" w:rsidRPr="00545EC0" w:rsidRDefault="001A7511" w:rsidP="001A7511">
      <w:pPr>
        <w:pStyle w:val="Napis"/>
      </w:pPr>
      <w:bookmarkStart w:id="563" w:name="_Ref90244373"/>
      <w:r w:rsidRPr="00545EC0">
        <w:t xml:space="preserve">Preglednica </w:t>
      </w:r>
      <w:fldSimple w:instr=" STYLEREF 1 \s ">
        <w:r w:rsidR="002F3E43">
          <w:rPr>
            <w:noProof/>
          </w:rPr>
          <w:t>3</w:t>
        </w:r>
      </w:fldSimple>
      <w:r w:rsidRPr="00545EC0">
        <w:noBreakHyphen/>
      </w:r>
      <w:fldSimple w:instr=" SEQ Preglednica \* ARABIC \s 1 ">
        <w:r w:rsidR="002F3E43">
          <w:rPr>
            <w:noProof/>
          </w:rPr>
          <w:t>10</w:t>
        </w:r>
      </w:fldSimple>
      <w:bookmarkEnd w:id="563"/>
      <w:r w:rsidRPr="00545EC0">
        <w:t xml:space="preserve">: </w:t>
      </w:r>
      <w:r w:rsidR="00F90089" w:rsidRPr="00545EC0">
        <w:t>Stopnja zaupanja ocene količinskega stanja podzemnih voda po posameznih vodnih telesih podzemne vode na vodnem območju Donave in glede na posamezne preizkuse</w:t>
      </w:r>
    </w:p>
    <w:tbl>
      <w:tblPr>
        <w:tblStyle w:val="Tabela-mrea1"/>
        <w:tblW w:w="5000" w:type="pct"/>
        <w:tblLook w:val="01E0" w:firstRow="1" w:lastRow="1" w:firstColumn="1" w:lastColumn="1" w:noHBand="0" w:noVBand="0"/>
      </w:tblPr>
      <w:tblGrid>
        <w:gridCol w:w="3978"/>
        <w:gridCol w:w="1062"/>
        <w:gridCol w:w="1062"/>
        <w:gridCol w:w="1062"/>
        <w:gridCol w:w="1062"/>
        <w:gridCol w:w="1061"/>
      </w:tblGrid>
      <w:tr w:rsidR="003122F4" w:rsidRPr="00545EC0" w14:paraId="1FE66E74" w14:textId="77777777" w:rsidTr="001A7511">
        <w:trPr>
          <w:trHeight w:val="1204"/>
        </w:trPr>
        <w:tc>
          <w:tcPr>
            <w:tcW w:w="2141" w:type="pct"/>
            <w:shd w:val="clear" w:color="auto" w:fill="F2F2F2" w:themeFill="background1" w:themeFillShade="F2"/>
            <w:vAlign w:val="center"/>
          </w:tcPr>
          <w:p w14:paraId="4D25D09D" w14:textId="77777777" w:rsidR="00611726" w:rsidRPr="00545EC0" w:rsidRDefault="00611726" w:rsidP="001A7511">
            <w:pPr>
              <w:spacing w:beforeLines="40" w:before="96" w:afterLines="40" w:after="96" w:line="240" w:lineRule="auto"/>
              <w:jc w:val="center"/>
              <w:rPr>
                <w:rFonts w:cs="Arial"/>
                <w:b/>
                <w:iCs/>
                <w:sz w:val="18"/>
                <w:szCs w:val="18"/>
                <w:lang w:val="pl-PL"/>
              </w:rPr>
            </w:pPr>
            <w:r w:rsidRPr="00545EC0">
              <w:rPr>
                <w:rFonts w:cs="Arial"/>
                <w:b/>
                <w:iCs/>
                <w:sz w:val="18"/>
                <w:szCs w:val="18"/>
                <w:lang w:val="pl-PL"/>
              </w:rPr>
              <w:t>Vodno telo podzemne vode (šifra in ime)</w:t>
            </w:r>
          </w:p>
        </w:tc>
        <w:tc>
          <w:tcPr>
            <w:tcW w:w="572" w:type="pct"/>
            <w:shd w:val="clear" w:color="auto" w:fill="F2F2F2" w:themeFill="background1" w:themeFillShade="F2"/>
            <w:vAlign w:val="center"/>
          </w:tcPr>
          <w:p w14:paraId="3EC0F406" w14:textId="42D569F3" w:rsidR="00611726" w:rsidRPr="00545EC0" w:rsidRDefault="00611726" w:rsidP="001A7511">
            <w:pPr>
              <w:spacing w:beforeLines="40" w:before="96" w:afterLines="40" w:after="96" w:line="240" w:lineRule="auto"/>
              <w:jc w:val="center"/>
              <w:rPr>
                <w:rFonts w:cs="Arial"/>
                <w:b/>
                <w:iCs/>
                <w:sz w:val="18"/>
                <w:szCs w:val="18"/>
                <w:lang w:val="pl-PL"/>
              </w:rPr>
            </w:pPr>
            <w:r w:rsidRPr="00545EC0">
              <w:rPr>
                <w:rFonts w:cs="Arial"/>
                <w:b/>
                <w:iCs/>
                <w:sz w:val="18"/>
                <w:szCs w:val="18"/>
                <w:lang w:val="pl-PL"/>
              </w:rPr>
              <w:t>Preizkus 1</w:t>
            </w:r>
          </w:p>
        </w:tc>
        <w:tc>
          <w:tcPr>
            <w:tcW w:w="572" w:type="pct"/>
            <w:shd w:val="clear" w:color="auto" w:fill="F2F2F2" w:themeFill="background1" w:themeFillShade="F2"/>
            <w:vAlign w:val="center"/>
          </w:tcPr>
          <w:p w14:paraId="0B5E4D9E" w14:textId="104E5DA8" w:rsidR="00611726" w:rsidRPr="00545EC0" w:rsidRDefault="00611726" w:rsidP="001A7511">
            <w:pPr>
              <w:spacing w:beforeLines="40" w:before="96" w:afterLines="40" w:after="96" w:line="240" w:lineRule="auto"/>
              <w:jc w:val="center"/>
              <w:rPr>
                <w:rFonts w:cs="Arial"/>
                <w:b/>
                <w:iCs/>
                <w:sz w:val="18"/>
                <w:szCs w:val="18"/>
                <w:lang w:val="pl-PL"/>
              </w:rPr>
            </w:pPr>
            <w:r w:rsidRPr="00545EC0">
              <w:rPr>
                <w:rFonts w:cs="Arial"/>
                <w:b/>
                <w:iCs/>
                <w:sz w:val="18"/>
                <w:szCs w:val="18"/>
                <w:lang w:val="pl-PL"/>
              </w:rPr>
              <w:t>Preizkus 2</w:t>
            </w:r>
          </w:p>
        </w:tc>
        <w:tc>
          <w:tcPr>
            <w:tcW w:w="572" w:type="pct"/>
            <w:shd w:val="clear" w:color="auto" w:fill="F2F2F2" w:themeFill="background1" w:themeFillShade="F2"/>
            <w:vAlign w:val="center"/>
          </w:tcPr>
          <w:p w14:paraId="3BD46C28" w14:textId="296BA95C" w:rsidR="00611726" w:rsidRPr="00545EC0" w:rsidRDefault="00611726" w:rsidP="001A7511">
            <w:pPr>
              <w:spacing w:beforeLines="40" w:before="96" w:afterLines="40" w:after="96" w:line="240" w:lineRule="auto"/>
              <w:jc w:val="center"/>
              <w:rPr>
                <w:rFonts w:cs="Arial"/>
                <w:b/>
                <w:iCs/>
                <w:sz w:val="18"/>
                <w:szCs w:val="18"/>
                <w:lang w:val="pl-PL"/>
              </w:rPr>
            </w:pPr>
            <w:r w:rsidRPr="00545EC0">
              <w:rPr>
                <w:rFonts w:cs="Arial"/>
                <w:b/>
                <w:iCs/>
                <w:sz w:val="18"/>
                <w:szCs w:val="18"/>
                <w:lang w:val="pl-PL"/>
              </w:rPr>
              <w:t>Preizkus 3</w:t>
            </w:r>
          </w:p>
        </w:tc>
        <w:tc>
          <w:tcPr>
            <w:tcW w:w="572" w:type="pct"/>
            <w:shd w:val="clear" w:color="auto" w:fill="F2F2F2" w:themeFill="background1" w:themeFillShade="F2"/>
            <w:vAlign w:val="center"/>
          </w:tcPr>
          <w:p w14:paraId="5F46187D" w14:textId="224CF229" w:rsidR="00611726" w:rsidRPr="00545EC0" w:rsidRDefault="00611726" w:rsidP="001A7511">
            <w:pPr>
              <w:spacing w:beforeLines="40" w:before="96" w:afterLines="40" w:after="96" w:line="240" w:lineRule="auto"/>
              <w:jc w:val="center"/>
              <w:rPr>
                <w:rFonts w:cs="Arial"/>
                <w:b/>
                <w:iCs/>
                <w:sz w:val="18"/>
                <w:szCs w:val="18"/>
                <w:lang w:val="pl-PL"/>
              </w:rPr>
            </w:pPr>
            <w:r w:rsidRPr="00545EC0">
              <w:rPr>
                <w:rFonts w:cs="Arial"/>
                <w:b/>
                <w:iCs/>
                <w:sz w:val="18"/>
                <w:szCs w:val="18"/>
                <w:lang w:val="pl-PL"/>
              </w:rPr>
              <w:t>Preizkus 4</w:t>
            </w:r>
          </w:p>
        </w:tc>
        <w:tc>
          <w:tcPr>
            <w:tcW w:w="572" w:type="pct"/>
            <w:shd w:val="clear" w:color="auto" w:fill="F2F2F2" w:themeFill="background1" w:themeFillShade="F2"/>
            <w:vAlign w:val="center"/>
          </w:tcPr>
          <w:p w14:paraId="1F266B13" w14:textId="77777777" w:rsidR="00611726" w:rsidRPr="00545EC0" w:rsidRDefault="00611726" w:rsidP="001A7511">
            <w:pPr>
              <w:spacing w:beforeLines="40" w:before="96" w:afterLines="40" w:after="96" w:line="240" w:lineRule="auto"/>
              <w:jc w:val="center"/>
              <w:rPr>
                <w:rFonts w:cs="Arial"/>
                <w:b/>
                <w:iCs/>
                <w:sz w:val="18"/>
                <w:szCs w:val="18"/>
                <w:lang w:val="pl-PL"/>
              </w:rPr>
            </w:pPr>
            <w:r w:rsidRPr="00545EC0">
              <w:rPr>
                <w:rFonts w:cs="Arial"/>
                <w:b/>
                <w:iCs/>
                <w:sz w:val="18"/>
                <w:szCs w:val="18"/>
                <w:lang w:val="pl-PL"/>
              </w:rPr>
              <w:t>Skupna ocena stopnje zaupanja</w:t>
            </w:r>
          </w:p>
        </w:tc>
      </w:tr>
      <w:tr w:rsidR="003122F4" w:rsidRPr="00545EC0" w14:paraId="51FC9D36" w14:textId="77777777" w:rsidTr="001A7511">
        <w:trPr>
          <w:trHeight w:val="255"/>
        </w:trPr>
        <w:tc>
          <w:tcPr>
            <w:tcW w:w="2141" w:type="pct"/>
          </w:tcPr>
          <w:p w14:paraId="6628149B" w14:textId="77777777" w:rsidR="00611726" w:rsidRPr="00545EC0" w:rsidRDefault="00611726" w:rsidP="001A7511">
            <w:pPr>
              <w:spacing w:before="40" w:line="240" w:lineRule="auto"/>
              <w:rPr>
                <w:rFonts w:cs="Arial"/>
                <w:sz w:val="18"/>
                <w:szCs w:val="18"/>
                <w:lang w:val="sv-SE"/>
              </w:rPr>
            </w:pPr>
            <w:r w:rsidRPr="00545EC0">
              <w:rPr>
                <w:rFonts w:cs="Arial"/>
                <w:sz w:val="18"/>
                <w:szCs w:val="18"/>
                <w:lang w:val="sv-SE"/>
              </w:rPr>
              <w:t>1001 Savska kotlina in Ljubljansko Barje</w:t>
            </w:r>
          </w:p>
        </w:tc>
        <w:tc>
          <w:tcPr>
            <w:tcW w:w="572" w:type="pct"/>
          </w:tcPr>
          <w:p w14:paraId="2AAB6E8E" w14:textId="77777777" w:rsidR="00611726" w:rsidRPr="00545EC0" w:rsidRDefault="00611726" w:rsidP="001A7511">
            <w:pPr>
              <w:spacing w:before="40" w:line="240" w:lineRule="auto"/>
              <w:jc w:val="center"/>
              <w:rPr>
                <w:rFonts w:cs="Arial"/>
                <w:sz w:val="18"/>
                <w:szCs w:val="18"/>
                <w:lang w:val="sv-SE"/>
              </w:rPr>
            </w:pPr>
            <w:r w:rsidRPr="00545EC0">
              <w:rPr>
                <w:rFonts w:cs="Arial"/>
                <w:sz w:val="18"/>
                <w:szCs w:val="18"/>
                <w:lang w:val="sv-SE"/>
              </w:rPr>
              <w:t>V</w:t>
            </w:r>
          </w:p>
        </w:tc>
        <w:tc>
          <w:tcPr>
            <w:tcW w:w="572" w:type="pct"/>
          </w:tcPr>
          <w:p w14:paraId="0DBCF4D0" w14:textId="77777777" w:rsidR="00611726" w:rsidRPr="00545EC0" w:rsidRDefault="00611726" w:rsidP="001A7511">
            <w:pPr>
              <w:spacing w:before="40" w:line="240" w:lineRule="auto"/>
              <w:jc w:val="center"/>
              <w:rPr>
                <w:rFonts w:cs="Arial"/>
                <w:sz w:val="18"/>
                <w:szCs w:val="18"/>
              </w:rPr>
            </w:pPr>
            <w:r w:rsidRPr="00545EC0">
              <w:rPr>
                <w:rFonts w:cs="Arial"/>
                <w:sz w:val="18"/>
                <w:szCs w:val="18"/>
              </w:rPr>
              <w:t>S</w:t>
            </w:r>
          </w:p>
        </w:tc>
        <w:tc>
          <w:tcPr>
            <w:tcW w:w="572" w:type="pct"/>
          </w:tcPr>
          <w:p w14:paraId="25087E05" w14:textId="77777777" w:rsidR="00611726" w:rsidRPr="00545EC0" w:rsidRDefault="00611726" w:rsidP="001A7511">
            <w:pPr>
              <w:spacing w:before="40" w:line="240" w:lineRule="auto"/>
              <w:jc w:val="center"/>
              <w:rPr>
                <w:rFonts w:cs="Arial"/>
                <w:sz w:val="18"/>
                <w:szCs w:val="18"/>
                <w:lang w:val="sv-SE"/>
              </w:rPr>
            </w:pPr>
            <w:r w:rsidRPr="00545EC0">
              <w:rPr>
                <w:rFonts w:cs="Arial"/>
                <w:sz w:val="18"/>
                <w:szCs w:val="18"/>
                <w:lang w:val="sv-SE"/>
              </w:rPr>
              <w:t>S</w:t>
            </w:r>
          </w:p>
        </w:tc>
        <w:tc>
          <w:tcPr>
            <w:tcW w:w="572" w:type="pct"/>
          </w:tcPr>
          <w:p w14:paraId="51D750F8" w14:textId="77777777" w:rsidR="00611726" w:rsidRPr="00545EC0" w:rsidRDefault="00611726" w:rsidP="001A7511">
            <w:pPr>
              <w:spacing w:before="40" w:line="240" w:lineRule="auto"/>
              <w:jc w:val="center"/>
              <w:rPr>
                <w:rFonts w:cs="Arial"/>
                <w:sz w:val="18"/>
                <w:szCs w:val="18"/>
              </w:rPr>
            </w:pPr>
            <w:r w:rsidRPr="00545EC0">
              <w:rPr>
                <w:rFonts w:cs="Arial"/>
                <w:sz w:val="18"/>
                <w:szCs w:val="18"/>
              </w:rPr>
              <w:t>-</w:t>
            </w:r>
          </w:p>
        </w:tc>
        <w:tc>
          <w:tcPr>
            <w:tcW w:w="572" w:type="pct"/>
          </w:tcPr>
          <w:p w14:paraId="4C4A1B0D" w14:textId="77777777" w:rsidR="00611726" w:rsidRPr="00545EC0" w:rsidRDefault="00611726" w:rsidP="001A7511">
            <w:pPr>
              <w:spacing w:before="40" w:line="240" w:lineRule="auto"/>
              <w:jc w:val="center"/>
              <w:rPr>
                <w:rFonts w:cs="Arial"/>
                <w:b/>
                <w:sz w:val="18"/>
                <w:szCs w:val="18"/>
                <w:lang w:val="sv-SE"/>
              </w:rPr>
            </w:pPr>
            <w:r w:rsidRPr="00545EC0">
              <w:rPr>
                <w:rFonts w:cs="Arial"/>
                <w:b/>
                <w:sz w:val="18"/>
                <w:szCs w:val="18"/>
                <w:lang w:val="sv-SE"/>
              </w:rPr>
              <w:t>S</w:t>
            </w:r>
          </w:p>
        </w:tc>
      </w:tr>
      <w:tr w:rsidR="003122F4" w:rsidRPr="00545EC0" w14:paraId="53033C87" w14:textId="77777777" w:rsidTr="001A7511">
        <w:trPr>
          <w:trHeight w:val="255"/>
        </w:trPr>
        <w:tc>
          <w:tcPr>
            <w:tcW w:w="2141" w:type="pct"/>
          </w:tcPr>
          <w:p w14:paraId="6327F223" w14:textId="77777777" w:rsidR="00611726" w:rsidRPr="00545EC0" w:rsidRDefault="00611726" w:rsidP="001A7511">
            <w:pPr>
              <w:spacing w:before="40" w:line="240" w:lineRule="auto"/>
              <w:rPr>
                <w:rFonts w:cs="Arial"/>
                <w:sz w:val="18"/>
                <w:szCs w:val="18"/>
                <w:lang w:val="sv-SE"/>
              </w:rPr>
            </w:pPr>
            <w:r w:rsidRPr="00545EC0">
              <w:rPr>
                <w:rFonts w:cs="Arial"/>
                <w:sz w:val="18"/>
                <w:szCs w:val="18"/>
                <w:lang w:val="sv-SE"/>
              </w:rPr>
              <w:t>1002 Savinjska kotlina</w:t>
            </w:r>
          </w:p>
        </w:tc>
        <w:tc>
          <w:tcPr>
            <w:tcW w:w="572" w:type="pct"/>
          </w:tcPr>
          <w:p w14:paraId="0E811A89" w14:textId="77777777" w:rsidR="00611726" w:rsidRPr="00545EC0" w:rsidRDefault="00611726" w:rsidP="001A7511">
            <w:pPr>
              <w:spacing w:before="40" w:line="240" w:lineRule="auto"/>
              <w:jc w:val="center"/>
              <w:rPr>
                <w:rFonts w:cs="Arial"/>
                <w:sz w:val="18"/>
                <w:szCs w:val="18"/>
                <w:lang w:val="sv-SE"/>
              </w:rPr>
            </w:pPr>
            <w:r w:rsidRPr="00545EC0">
              <w:rPr>
                <w:rFonts w:cs="Arial"/>
                <w:sz w:val="18"/>
                <w:szCs w:val="18"/>
                <w:lang w:val="sv-SE"/>
              </w:rPr>
              <w:t>V</w:t>
            </w:r>
          </w:p>
        </w:tc>
        <w:tc>
          <w:tcPr>
            <w:tcW w:w="572" w:type="pct"/>
          </w:tcPr>
          <w:p w14:paraId="09E3A9E1" w14:textId="77777777" w:rsidR="00611726" w:rsidRPr="00545EC0" w:rsidRDefault="00611726" w:rsidP="001A7511">
            <w:pPr>
              <w:spacing w:before="40" w:line="240" w:lineRule="auto"/>
              <w:jc w:val="center"/>
              <w:rPr>
                <w:rFonts w:cs="Arial"/>
                <w:sz w:val="18"/>
                <w:szCs w:val="18"/>
              </w:rPr>
            </w:pPr>
            <w:r w:rsidRPr="00545EC0">
              <w:rPr>
                <w:rFonts w:cs="Arial"/>
                <w:sz w:val="18"/>
                <w:szCs w:val="18"/>
              </w:rPr>
              <w:t>-</w:t>
            </w:r>
          </w:p>
        </w:tc>
        <w:tc>
          <w:tcPr>
            <w:tcW w:w="572" w:type="pct"/>
          </w:tcPr>
          <w:p w14:paraId="7DF8C160" w14:textId="77777777" w:rsidR="00611726" w:rsidRPr="00545EC0" w:rsidRDefault="00611726" w:rsidP="001A7511">
            <w:pPr>
              <w:spacing w:before="40" w:line="240" w:lineRule="auto"/>
              <w:jc w:val="center"/>
              <w:rPr>
                <w:rFonts w:cs="Arial"/>
                <w:sz w:val="18"/>
                <w:szCs w:val="18"/>
              </w:rPr>
            </w:pPr>
            <w:r w:rsidRPr="00545EC0">
              <w:rPr>
                <w:rFonts w:cs="Arial"/>
                <w:sz w:val="18"/>
                <w:szCs w:val="18"/>
              </w:rPr>
              <w:t>-</w:t>
            </w:r>
          </w:p>
        </w:tc>
        <w:tc>
          <w:tcPr>
            <w:tcW w:w="572" w:type="pct"/>
          </w:tcPr>
          <w:p w14:paraId="4B1F7942" w14:textId="77777777" w:rsidR="00611726" w:rsidRPr="00545EC0" w:rsidRDefault="00611726" w:rsidP="001A7511">
            <w:pPr>
              <w:spacing w:before="40" w:line="240" w:lineRule="auto"/>
              <w:jc w:val="center"/>
              <w:rPr>
                <w:rFonts w:cs="Arial"/>
                <w:sz w:val="18"/>
                <w:szCs w:val="18"/>
              </w:rPr>
            </w:pPr>
            <w:r w:rsidRPr="00545EC0">
              <w:rPr>
                <w:rFonts w:cs="Arial"/>
                <w:sz w:val="18"/>
                <w:szCs w:val="18"/>
              </w:rPr>
              <w:t>-</w:t>
            </w:r>
          </w:p>
        </w:tc>
        <w:tc>
          <w:tcPr>
            <w:tcW w:w="572" w:type="pct"/>
          </w:tcPr>
          <w:p w14:paraId="117BBCB6" w14:textId="77777777" w:rsidR="00611726" w:rsidRPr="00545EC0" w:rsidRDefault="00611726" w:rsidP="001A7511">
            <w:pPr>
              <w:spacing w:before="40" w:line="240" w:lineRule="auto"/>
              <w:jc w:val="center"/>
              <w:rPr>
                <w:rFonts w:cs="Arial"/>
                <w:b/>
                <w:sz w:val="18"/>
                <w:szCs w:val="18"/>
              </w:rPr>
            </w:pPr>
            <w:r w:rsidRPr="00545EC0">
              <w:rPr>
                <w:rFonts w:cs="Arial"/>
                <w:b/>
                <w:sz w:val="18"/>
                <w:szCs w:val="18"/>
              </w:rPr>
              <w:t>V</w:t>
            </w:r>
          </w:p>
        </w:tc>
      </w:tr>
      <w:tr w:rsidR="003122F4" w:rsidRPr="00545EC0" w14:paraId="55460F2E" w14:textId="77777777" w:rsidTr="001A7511">
        <w:trPr>
          <w:trHeight w:val="255"/>
        </w:trPr>
        <w:tc>
          <w:tcPr>
            <w:tcW w:w="2141" w:type="pct"/>
          </w:tcPr>
          <w:p w14:paraId="3E35D98A" w14:textId="77777777" w:rsidR="00611726" w:rsidRPr="00545EC0" w:rsidRDefault="00611726" w:rsidP="001A7511">
            <w:pPr>
              <w:spacing w:before="40" w:line="240" w:lineRule="auto"/>
              <w:rPr>
                <w:rFonts w:cs="Arial"/>
                <w:sz w:val="18"/>
                <w:szCs w:val="18"/>
                <w:lang w:val="sv-SE"/>
              </w:rPr>
            </w:pPr>
            <w:r w:rsidRPr="00545EC0">
              <w:rPr>
                <w:rFonts w:cs="Arial"/>
                <w:sz w:val="18"/>
                <w:szCs w:val="18"/>
                <w:lang w:val="sv-SE"/>
              </w:rPr>
              <w:t>1003 Krška kotlina</w:t>
            </w:r>
          </w:p>
        </w:tc>
        <w:tc>
          <w:tcPr>
            <w:tcW w:w="572" w:type="pct"/>
          </w:tcPr>
          <w:p w14:paraId="32E75C73" w14:textId="77777777" w:rsidR="00611726" w:rsidRPr="00545EC0" w:rsidRDefault="00611726" w:rsidP="001A7511">
            <w:pPr>
              <w:spacing w:before="40" w:line="240" w:lineRule="auto"/>
              <w:jc w:val="center"/>
              <w:rPr>
                <w:rFonts w:cs="Arial"/>
                <w:sz w:val="18"/>
                <w:szCs w:val="18"/>
                <w:lang w:val="sv-SE"/>
              </w:rPr>
            </w:pPr>
            <w:r w:rsidRPr="00545EC0">
              <w:rPr>
                <w:rFonts w:cs="Arial"/>
                <w:sz w:val="18"/>
                <w:szCs w:val="18"/>
                <w:lang w:val="sv-SE"/>
              </w:rPr>
              <w:t>V</w:t>
            </w:r>
          </w:p>
        </w:tc>
        <w:tc>
          <w:tcPr>
            <w:tcW w:w="572" w:type="pct"/>
          </w:tcPr>
          <w:p w14:paraId="70D26F08" w14:textId="77777777" w:rsidR="00611726" w:rsidRPr="00545EC0" w:rsidRDefault="00611726" w:rsidP="001A7511">
            <w:pPr>
              <w:spacing w:before="40" w:line="240" w:lineRule="auto"/>
              <w:jc w:val="center"/>
              <w:rPr>
                <w:rFonts w:cs="Arial"/>
                <w:sz w:val="18"/>
                <w:szCs w:val="18"/>
              </w:rPr>
            </w:pPr>
            <w:r w:rsidRPr="00545EC0">
              <w:rPr>
                <w:rFonts w:cs="Arial"/>
                <w:sz w:val="18"/>
                <w:szCs w:val="18"/>
              </w:rPr>
              <w:t>-</w:t>
            </w:r>
          </w:p>
        </w:tc>
        <w:tc>
          <w:tcPr>
            <w:tcW w:w="572" w:type="pct"/>
          </w:tcPr>
          <w:p w14:paraId="53FA7C24" w14:textId="77777777" w:rsidR="00611726" w:rsidRPr="00545EC0" w:rsidRDefault="00611726" w:rsidP="001A7511">
            <w:pPr>
              <w:spacing w:before="40" w:line="240" w:lineRule="auto"/>
              <w:jc w:val="center"/>
              <w:rPr>
                <w:rFonts w:cs="Arial"/>
                <w:sz w:val="18"/>
                <w:szCs w:val="18"/>
              </w:rPr>
            </w:pPr>
            <w:r w:rsidRPr="00545EC0">
              <w:rPr>
                <w:rFonts w:cs="Arial"/>
                <w:sz w:val="18"/>
                <w:szCs w:val="18"/>
              </w:rPr>
              <w:t>-</w:t>
            </w:r>
          </w:p>
        </w:tc>
        <w:tc>
          <w:tcPr>
            <w:tcW w:w="572" w:type="pct"/>
          </w:tcPr>
          <w:p w14:paraId="4B79630B" w14:textId="77777777" w:rsidR="00611726" w:rsidRPr="00545EC0" w:rsidRDefault="00611726" w:rsidP="001A7511">
            <w:pPr>
              <w:spacing w:before="40" w:line="240" w:lineRule="auto"/>
              <w:jc w:val="center"/>
              <w:rPr>
                <w:rFonts w:cs="Arial"/>
                <w:sz w:val="18"/>
                <w:szCs w:val="18"/>
              </w:rPr>
            </w:pPr>
            <w:r w:rsidRPr="00545EC0">
              <w:rPr>
                <w:rFonts w:cs="Arial"/>
                <w:sz w:val="18"/>
                <w:szCs w:val="18"/>
              </w:rPr>
              <w:t>-</w:t>
            </w:r>
          </w:p>
        </w:tc>
        <w:tc>
          <w:tcPr>
            <w:tcW w:w="572" w:type="pct"/>
          </w:tcPr>
          <w:p w14:paraId="0AD98167" w14:textId="77777777" w:rsidR="00611726" w:rsidRPr="00545EC0" w:rsidRDefault="00611726" w:rsidP="001A7511">
            <w:pPr>
              <w:spacing w:before="40" w:line="240" w:lineRule="auto"/>
              <w:jc w:val="center"/>
              <w:rPr>
                <w:rFonts w:cs="Arial"/>
                <w:b/>
                <w:sz w:val="18"/>
                <w:szCs w:val="18"/>
              </w:rPr>
            </w:pPr>
            <w:r w:rsidRPr="00545EC0">
              <w:rPr>
                <w:rFonts w:cs="Arial"/>
                <w:b/>
                <w:sz w:val="18"/>
                <w:szCs w:val="18"/>
              </w:rPr>
              <w:t>V</w:t>
            </w:r>
          </w:p>
        </w:tc>
      </w:tr>
      <w:tr w:rsidR="003122F4" w:rsidRPr="00545EC0" w14:paraId="694479DF" w14:textId="77777777" w:rsidTr="001A7511">
        <w:trPr>
          <w:trHeight w:val="255"/>
        </w:trPr>
        <w:tc>
          <w:tcPr>
            <w:tcW w:w="2141" w:type="pct"/>
          </w:tcPr>
          <w:p w14:paraId="7BC12B7A" w14:textId="77777777" w:rsidR="00611726" w:rsidRPr="00545EC0" w:rsidRDefault="00611726" w:rsidP="001A7511">
            <w:pPr>
              <w:spacing w:before="40" w:line="240" w:lineRule="auto"/>
              <w:rPr>
                <w:rFonts w:cs="Arial"/>
                <w:sz w:val="18"/>
                <w:szCs w:val="18"/>
                <w:lang w:val="sv-SE"/>
              </w:rPr>
            </w:pPr>
            <w:r w:rsidRPr="00545EC0">
              <w:rPr>
                <w:rFonts w:cs="Arial"/>
                <w:sz w:val="18"/>
                <w:szCs w:val="18"/>
                <w:lang w:val="sv-SE"/>
              </w:rPr>
              <w:t>1004 Julijske Alpe v porečju Save</w:t>
            </w:r>
          </w:p>
        </w:tc>
        <w:tc>
          <w:tcPr>
            <w:tcW w:w="572" w:type="pct"/>
          </w:tcPr>
          <w:p w14:paraId="3CADEA5F" w14:textId="77777777" w:rsidR="00611726" w:rsidRPr="00545EC0" w:rsidRDefault="00611726" w:rsidP="001A7511">
            <w:pPr>
              <w:spacing w:before="40" w:line="240" w:lineRule="auto"/>
              <w:jc w:val="center"/>
              <w:rPr>
                <w:rFonts w:cs="Arial"/>
                <w:sz w:val="18"/>
                <w:szCs w:val="18"/>
                <w:lang w:val="sv-SE"/>
              </w:rPr>
            </w:pPr>
            <w:r w:rsidRPr="00545EC0">
              <w:rPr>
                <w:rFonts w:cs="Arial"/>
                <w:sz w:val="18"/>
                <w:szCs w:val="18"/>
                <w:lang w:val="sv-SE"/>
              </w:rPr>
              <w:t>V</w:t>
            </w:r>
          </w:p>
        </w:tc>
        <w:tc>
          <w:tcPr>
            <w:tcW w:w="572" w:type="pct"/>
          </w:tcPr>
          <w:p w14:paraId="77050C82" w14:textId="77777777" w:rsidR="00611726" w:rsidRPr="00545EC0" w:rsidRDefault="00611726" w:rsidP="001A7511">
            <w:pPr>
              <w:spacing w:before="40" w:line="240" w:lineRule="auto"/>
              <w:jc w:val="center"/>
              <w:rPr>
                <w:rFonts w:cs="Arial"/>
                <w:sz w:val="18"/>
                <w:szCs w:val="18"/>
              </w:rPr>
            </w:pPr>
            <w:r w:rsidRPr="00545EC0">
              <w:rPr>
                <w:rFonts w:cs="Arial"/>
                <w:sz w:val="18"/>
                <w:szCs w:val="18"/>
              </w:rPr>
              <w:t>-</w:t>
            </w:r>
          </w:p>
        </w:tc>
        <w:tc>
          <w:tcPr>
            <w:tcW w:w="572" w:type="pct"/>
          </w:tcPr>
          <w:p w14:paraId="17BDDACE" w14:textId="77777777" w:rsidR="00611726" w:rsidRPr="00545EC0" w:rsidRDefault="00611726" w:rsidP="001A7511">
            <w:pPr>
              <w:spacing w:before="40" w:line="240" w:lineRule="auto"/>
              <w:jc w:val="center"/>
              <w:rPr>
                <w:rFonts w:cs="Arial"/>
                <w:sz w:val="18"/>
                <w:szCs w:val="18"/>
                <w:lang w:val="sv-SE"/>
              </w:rPr>
            </w:pPr>
            <w:r w:rsidRPr="00545EC0">
              <w:rPr>
                <w:rFonts w:cs="Arial"/>
                <w:sz w:val="18"/>
                <w:szCs w:val="18"/>
                <w:lang w:val="sv-SE"/>
              </w:rPr>
              <w:t>-</w:t>
            </w:r>
          </w:p>
        </w:tc>
        <w:tc>
          <w:tcPr>
            <w:tcW w:w="572" w:type="pct"/>
          </w:tcPr>
          <w:p w14:paraId="697FC2D0" w14:textId="77777777" w:rsidR="00611726" w:rsidRPr="00545EC0" w:rsidRDefault="00611726" w:rsidP="001A7511">
            <w:pPr>
              <w:spacing w:before="40" w:line="240" w:lineRule="auto"/>
              <w:jc w:val="center"/>
              <w:rPr>
                <w:rFonts w:cs="Arial"/>
                <w:sz w:val="18"/>
                <w:szCs w:val="18"/>
              </w:rPr>
            </w:pPr>
            <w:r w:rsidRPr="00545EC0">
              <w:rPr>
                <w:rFonts w:cs="Arial"/>
                <w:sz w:val="18"/>
                <w:szCs w:val="18"/>
              </w:rPr>
              <w:t>-</w:t>
            </w:r>
          </w:p>
        </w:tc>
        <w:tc>
          <w:tcPr>
            <w:tcW w:w="572" w:type="pct"/>
          </w:tcPr>
          <w:p w14:paraId="65618552" w14:textId="77777777" w:rsidR="00611726" w:rsidRPr="00545EC0" w:rsidRDefault="00611726" w:rsidP="001A7511">
            <w:pPr>
              <w:spacing w:before="40" w:line="240" w:lineRule="auto"/>
              <w:jc w:val="center"/>
              <w:rPr>
                <w:rFonts w:cs="Arial"/>
                <w:b/>
                <w:sz w:val="18"/>
                <w:szCs w:val="18"/>
                <w:lang w:val="sv-SE"/>
              </w:rPr>
            </w:pPr>
            <w:r w:rsidRPr="00545EC0">
              <w:rPr>
                <w:rFonts w:cs="Arial"/>
                <w:b/>
                <w:sz w:val="18"/>
                <w:szCs w:val="18"/>
                <w:lang w:val="sv-SE"/>
              </w:rPr>
              <w:t>V</w:t>
            </w:r>
          </w:p>
        </w:tc>
      </w:tr>
      <w:tr w:rsidR="003122F4" w:rsidRPr="00545EC0" w14:paraId="30D8E47B" w14:textId="77777777" w:rsidTr="001A7511">
        <w:trPr>
          <w:trHeight w:val="255"/>
        </w:trPr>
        <w:tc>
          <w:tcPr>
            <w:tcW w:w="2141" w:type="pct"/>
          </w:tcPr>
          <w:p w14:paraId="03044D1D" w14:textId="77777777" w:rsidR="00611726" w:rsidRPr="00545EC0" w:rsidRDefault="00611726" w:rsidP="001A7511">
            <w:pPr>
              <w:spacing w:before="40" w:line="240" w:lineRule="auto"/>
              <w:rPr>
                <w:rFonts w:cs="Arial"/>
                <w:sz w:val="18"/>
                <w:szCs w:val="18"/>
                <w:lang w:val="sv-SE"/>
              </w:rPr>
            </w:pPr>
            <w:r w:rsidRPr="00545EC0">
              <w:rPr>
                <w:rFonts w:cs="Arial"/>
                <w:sz w:val="18"/>
                <w:szCs w:val="18"/>
                <w:lang w:val="sv-SE"/>
              </w:rPr>
              <w:t>1005 Karavanke</w:t>
            </w:r>
          </w:p>
        </w:tc>
        <w:tc>
          <w:tcPr>
            <w:tcW w:w="572" w:type="pct"/>
          </w:tcPr>
          <w:p w14:paraId="570EF0A1" w14:textId="77777777" w:rsidR="00611726" w:rsidRPr="00545EC0" w:rsidRDefault="00611726" w:rsidP="001A7511">
            <w:pPr>
              <w:spacing w:before="40" w:line="240" w:lineRule="auto"/>
              <w:jc w:val="center"/>
              <w:rPr>
                <w:rFonts w:cs="Arial"/>
                <w:sz w:val="18"/>
                <w:szCs w:val="18"/>
                <w:lang w:val="sv-SE"/>
              </w:rPr>
            </w:pPr>
            <w:r w:rsidRPr="00545EC0">
              <w:rPr>
                <w:rFonts w:cs="Arial"/>
                <w:sz w:val="18"/>
                <w:szCs w:val="18"/>
                <w:lang w:val="sv-SE"/>
              </w:rPr>
              <w:t>V</w:t>
            </w:r>
          </w:p>
        </w:tc>
        <w:tc>
          <w:tcPr>
            <w:tcW w:w="572" w:type="pct"/>
          </w:tcPr>
          <w:p w14:paraId="733238F0" w14:textId="77777777" w:rsidR="00611726" w:rsidRPr="00545EC0" w:rsidRDefault="00611726" w:rsidP="001A7511">
            <w:pPr>
              <w:spacing w:before="40" w:line="240" w:lineRule="auto"/>
              <w:jc w:val="center"/>
              <w:rPr>
                <w:rFonts w:cs="Arial"/>
                <w:sz w:val="18"/>
                <w:szCs w:val="18"/>
                <w:lang w:val="sv-SE"/>
              </w:rPr>
            </w:pPr>
            <w:r w:rsidRPr="00545EC0">
              <w:rPr>
                <w:rFonts w:cs="Arial"/>
                <w:sz w:val="18"/>
                <w:szCs w:val="18"/>
                <w:lang w:val="sv-SE"/>
              </w:rPr>
              <w:t>S</w:t>
            </w:r>
          </w:p>
        </w:tc>
        <w:tc>
          <w:tcPr>
            <w:tcW w:w="572" w:type="pct"/>
          </w:tcPr>
          <w:p w14:paraId="68BF47F8" w14:textId="77777777" w:rsidR="00611726" w:rsidRPr="00545EC0" w:rsidRDefault="00611726" w:rsidP="001A7511">
            <w:pPr>
              <w:spacing w:before="40" w:line="240" w:lineRule="auto"/>
              <w:jc w:val="center"/>
              <w:rPr>
                <w:rFonts w:cs="Arial"/>
                <w:sz w:val="18"/>
                <w:szCs w:val="18"/>
              </w:rPr>
            </w:pPr>
            <w:r w:rsidRPr="00545EC0">
              <w:rPr>
                <w:rFonts w:cs="Arial"/>
                <w:sz w:val="18"/>
                <w:szCs w:val="18"/>
              </w:rPr>
              <w:t>-</w:t>
            </w:r>
          </w:p>
        </w:tc>
        <w:tc>
          <w:tcPr>
            <w:tcW w:w="572" w:type="pct"/>
          </w:tcPr>
          <w:p w14:paraId="0D38EDCF" w14:textId="77777777" w:rsidR="00611726" w:rsidRPr="00545EC0" w:rsidRDefault="00611726" w:rsidP="001A7511">
            <w:pPr>
              <w:spacing w:before="40" w:line="240" w:lineRule="auto"/>
              <w:jc w:val="center"/>
              <w:rPr>
                <w:rFonts w:cs="Arial"/>
                <w:sz w:val="18"/>
                <w:szCs w:val="18"/>
              </w:rPr>
            </w:pPr>
            <w:r w:rsidRPr="00545EC0">
              <w:rPr>
                <w:rFonts w:cs="Arial"/>
                <w:sz w:val="18"/>
                <w:szCs w:val="18"/>
              </w:rPr>
              <w:t>-</w:t>
            </w:r>
          </w:p>
        </w:tc>
        <w:tc>
          <w:tcPr>
            <w:tcW w:w="572" w:type="pct"/>
          </w:tcPr>
          <w:p w14:paraId="5C07C336" w14:textId="77777777" w:rsidR="00611726" w:rsidRPr="00545EC0" w:rsidRDefault="00611726" w:rsidP="001A7511">
            <w:pPr>
              <w:spacing w:before="40" w:line="240" w:lineRule="auto"/>
              <w:jc w:val="center"/>
              <w:rPr>
                <w:rFonts w:cs="Arial"/>
                <w:b/>
                <w:sz w:val="18"/>
                <w:szCs w:val="18"/>
              </w:rPr>
            </w:pPr>
            <w:r w:rsidRPr="00545EC0">
              <w:rPr>
                <w:rFonts w:cs="Arial"/>
                <w:b/>
                <w:sz w:val="18"/>
                <w:szCs w:val="18"/>
              </w:rPr>
              <w:t>S</w:t>
            </w:r>
          </w:p>
        </w:tc>
      </w:tr>
      <w:tr w:rsidR="003122F4" w:rsidRPr="00545EC0" w14:paraId="61FB5B3F" w14:textId="77777777" w:rsidTr="001A7511">
        <w:trPr>
          <w:trHeight w:val="255"/>
        </w:trPr>
        <w:tc>
          <w:tcPr>
            <w:tcW w:w="2141" w:type="pct"/>
          </w:tcPr>
          <w:p w14:paraId="0BC211D0" w14:textId="77777777" w:rsidR="00611726" w:rsidRPr="00545EC0" w:rsidRDefault="00611726" w:rsidP="001A7511">
            <w:pPr>
              <w:spacing w:before="40" w:line="240" w:lineRule="auto"/>
              <w:rPr>
                <w:rFonts w:cs="Arial"/>
                <w:sz w:val="18"/>
                <w:szCs w:val="18"/>
                <w:lang w:val="sv-SE"/>
              </w:rPr>
            </w:pPr>
            <w:r w:rsidRPr="00545EC0">
              <w:rPr>
                <w:rFonts w:cs="Arial"/>
                <w:sz w:val="18"/>
                <w:szCs w:val="18"/>
                <w:lang w:val="sv-SE"/>
              </w:rPr>
              <w:t>1006 Kamniško-Savinjske Alpe</w:t>
            </w:r>
          </w:p>
        </w:tc>
        <w:tc>
          <w:tcPr>
            <w:tcW w:w="572" w:type="pct"/>
          </w:tcPr>
          <w:p w14:paraId="2F3204D9" w14:textId="77777777" w:rsidR="00611726" w:rsidRPr="00545EC0" w:rsidRDefault="00611726" w:rsidP="001A7511">
            <w:pPr>
              <w:spacing w:before="40" w:line="240" w:lineRule="auto"/>
              <w:jc w:val="center"/>
              <w:rPr>
                <w:rFonts w:cs="Arial"/>
                <w:sz w:val="18"/>
                <w:szCs w:val="18"/>
                <w:lang w:val="sv-SE"/>
              </w:rPr>
            </w:pPr>
            <w:r w:rsidRPr="00545EC0">
              <w:rPr>
                <w:rFonts w:cs="Arial"/>
                <w:sz w:val="18"/>
                <w:szCs w:val="18"/>
                <w:lang w:val="sv-SE"/>
              </w:rPr>
              <w:t>V</w:t>
            </w:r>
          </w:p>
        </w:tc>
        <w:tc>
          <w:tcPr>
            <w:tcW w:w="572" w:type="pct"/>
          </w:tcPr>
          <w:p w14:paraId="2CF0B9B9" w14:textId="77777777" w:rsidR="00611726" w:rsidRPr="00545EC0" w:rsidRDefault="00611726" w:rsidP="001A7511">
            <w:pPr>
              <w:spacing w:before="40" w:line="240" w:lineRule="auto"/>
              <w:jc w:val="center"/>
              <w:rPr>
                <w:rFonts w:cs="Arial"/>
                <w:sz w:val="18"/>
                <w:szCs w:val="18"/>
                <w:lang w:val="sv-SE"/>
              </w:rPr>
            </w:pPr>
            <w:r w:rsidRPr="00545EC0">
              <w:rPr>
                <w:rFonts w:cs="Arial"/>
                <w:sz w:val="18"/>
                <w:szCs w:val="18"/>
                <w:lang w:val="sv-SE"/>
              </w:rPr>
              <w:t>S</w:t>
            </w:r>
          </w:p>
        </w:tc>
        <w:tc>
          <w:tcPr>
            <w:tcW w:w="572" w:type="pct"/>
          </w:tcPr>
          <w:p w14:paraId="2A11AD39" w14:textId="77777777" w:rsidR="00611726" w:rsidRPr="00545EC0" w:rsidRDefault="00611726" w:rsidP="001A7511">
            <w:pPr>
              <w:spacing w:before="40" w:line="240" w:lineRule="auto"/>
              <w:jc w:val="center"/>
              <w:rPr>
                <w:rFonts w:cs="Arial"/>
                <w:sz w:val="18"/>
                <w:szCs w:val="18"/>
              </w:rPr>
            </w:pPr>
            <w:r w:rsidRPr="00545EC0">
              <w:rPr>
                <w:rFonts w:cs="Arial"/>
                <w:sz w:val="18"/>
                <w:szCs w:val="18"/>
              </w:rPr>
              <w:t>S</w:t>
            </w:r>
          </w:p>
        </w:tc>
        <w:tc>
          <w:tcPr>
            <w:tcW w:w="572" w:type="pct"/>
          </w:tcPr>
          <w:p w14:paraId="032F3455" w14:textId="77777777" w:rsidR="00611726" w:rsidRPr="00545EC0" w:rsidRDefault="00611726" w:rsidP="001A7511">
            <w:pPr>
              <w:spacing w:before="40" w:line="240" w:lineRule="auto"/>
              <w:jc w:val="center"/>
              <w:rPr>
                <w:rFonts w:cs="Arial"/>
                <w:sz w:val="18"/>
                <w:szCs w:val="18"/>
              </w:rPr>
            </w:pPr>
            <w:r w:rsidRPr="00545EC0">
              <w:rPr>
                <w:rFonts w:cs="Arial"/>
                <w:sz w:val="18"/>
                <w:szCs w:val="18"/>
              </w:rPr>
              <w:t>-</w:t>
            </w:r>
          </w:p>
        </w:tc>
        <w:tc>
          <w:tcPr>
            <w:tcW w:w="572" w:type="pct"/>
          </w:tcPr>
          <w:p w14:paraId="44F76570" w14:textId="77777777" w:rsidR="00611726" w:rsidRPr="00545EC0" w:rsidRDefault="00611726" w:rsidP="001A7511">
            <w:pPr>
              <w:spacing w:before="40" w:line="240" w:lineRule="auto"/>
              <w:jc w:val="center"/>
              <w:rPr>
                <w:rFonts w:cs="Arial"/>
                <w:b/>
                <w:sz w:val="18"/>
                <w:szCs w:val="18"/>
                <w:lang w:val="sv-SE"/>
              </w:rPr>
            </w:pPr>
            <w:r w:rsidRPr="00545EC0">
              <w:rPr>
                <w:rFonts w:cs="Arial"/>
                <w:b/>
                <w:sz w:val="18"/>
                <w:szCs w:val="18"/>
                <w:lang w:val="sv-SE"/>
              </w:rPr>
              <w:t>S</w:t>
            </w:r>
          </w:p>
        </w:tc>
      </w:tr>
      <w:tr w:rsidR="003122F4" w:rsidRPr="00545EC0" w14:paraId="1689E13B" w14:textId="77777777" w:rsidTr="001A7511">
        <w:trPr>
          <w:trHeight w:val="255"/>
        </w:trPr>
        <w:tc>
          <w:tcPr>
            <w:tcW w:w="2141" w:type="pct"/>
          </w:tcPr>
          <w:p w14:paraId="02E85D67" w14:textId="77777777" w:rsidR="00611726" w:rsidRPr="00545EC0" w:rsidRDefault="00611726" w:rsidP="001A7511">
            <w:pPr>
              <w:spacing w:before="40" w:line="240" w:lineRule="auto"/>
              <w:rPr>
                <w:rFonts w:cs="Arial"/>
                <w:sz w:val="18"/>
                <w:szCs w:val="18"/>
                <w:lang w:val="sv-SE"/>
              </w:rPr>
            </w:pPr>
            <w:r w:rsidRPr="00545EC0">
              <w:rPr>
                <w:rFonts w:cs="Arial"/>
                <w:sz w:val="18"/>
                <w:szCs w:val="18"/>
                <w:lang w:val="sv-SE"/>
              </w:rPr>
              <w:t>1007 Cerkljansko, Škofjeloško in Polhograjsko hribovje</w:t>
            </w:r>
          </w:p>
        </w:tc>
        <w:tc>
          <w:tcPr>
            <w:tcW w:w="572" w:type="pct"/>
          </w:tcPr>
          <w:p w14:paraId="2753DFE8" w14:textId="77777777" w:rsidR="00611726" w:rsidRPr="00545EC0" w:rsidRDefault="00611726" w:rsidP="001A7511">
            <w:pPr>
              <w:spacing w:before="40" w:line="240" w:lineRule="auto"/>
              <w:jc w:val="center"/>
              <w:rPr>
                <w:rFonts w:cs="Arial"/>
                <w:sz w:val="18"/>
                <w:szCs w:val="18"/>
                <w:lang w:val="sv-SE"/>
              </w:rPr>
            </w:pPr>
            <w:r w:rsidRPr="00545EC0">
              <w:rPr>
                <w:rFonts w:cs="Arial"/>
                <w:sz w:val="18"/>
                <w:szCs w:val="18"/>
                <w:lang w:val="sv-SE"/>
              </w:rPr>
              <w:t>V</w:t>
            </w:r>
          </w:p>
        </w:tc>
        <w:tc>
          <w:tcPr>
            <w:tcW w:w="572" w:type="pct"/>
          </w:tcPr>
          <w:p w14:paraId="57C1968E" w14:textId="77777777" w:rsidR="00611726" w:rsidRPr="00545EC0" w:rsidRDefault="00611726" w:rsidP="001A7511">
            <w:pPr>
              <w:spacing w:before="40" w:line="240" w:lineRule="auto"/>
              <w:jc w:val="center"/>
              <w:rPr>
                <w:rFonts w:cs="Arial"/>
                <w:sz w:val="18"/>
                <w:szCs w:val="18"/>
              </w:rPr>
            </w:pPr>
            <w:r w:rsidRPr="00545EC0">
              <w:rPr>
                <w:rFonts w:cs="Arial"/>
                <w:sz w:val="18"/>
                <w:szCs w:val="18"/>
              </w:rPr>
              <w:t>S</w:t>
            </w:r>
          </w:p>
        </w:tc>
        <w:tc>
          <w:tcPr>
            <w:tcW w:w="572" w:type="pct"/>
          </w:tcPr>
          <w:p w14:paraId="38B9BD2C" w14:textId="77777777" w:rsidR="00611726" w:rsidRPr="00545EC0" w:rsidRDefault="00611726" w:rsidP="001A7511">
            <w:pPr>
              <w:spacing w:before="40" w:line="240" w:lineRule="auto"/>
              <w:jc w:val="center"/>
              <w:rPr>
                <w:rFonts w:cs="Arial"/>
                <w:sz w:val="18"/>
                <w:szCs w:val="18"/>
              </w:rPr>
            </w:pPr>
            <w:r w:rsidRPr="00545EC0">
              <w:rPr>
                <w:rFonts w:cs="Arial"/>
                <w:sz w:val="18"/>
                <w:szCs w:val="18"/>
              </w:rPr>
              <w:t>-</w:t>
            </w:r>
          </w:p>
        </w:tc>
        <w:tc>
          <w:tcPr>
            <w:tcW w:w="572" w:type="pct"/>
          </w:tcPr>
          <w:p w14:paraId="489B16ED" w14:textId="77777777" w:rsidR="00611726" w:rsidRPr="00545EC0" w:rsidRDefault="00611726" w:rsidP="001A7511">
            <w:pPr>
              <w:spacing w:before="40" w:line="240" w:lineRule="auto"/>
              <w:jc w:val="center"/>
              <w:rPr>
                <w:rFonts w:cs="Arial"/>
                <w:sz w:val="18"/>
                <w:szCs w:val="18"/>
              </w:rPr>
            </w:pPr>
            <w:r w:rsidRPr="00545EC0">
              <w:rPr>
                <w:rFonts w:cs="Arial"/>
                <w:sz w:val="18"/>
                <w:szCs w:val="18"/>
              </w:rPr>
              <w:t>-</w:t>
            </w:r>
          </w:p>
        </w:tc>
        <w:tc>
          <w:tcPr>
            <w:tcW w:w="572" w:type="pct"/>
          </w:tcPr>
          <w:p w14:paraId="00CB690E" w14:textId="77777777" w:rsidR="00611726" w:rsidRPr="00545EC0" w:rsidRDefault="00611726" w:rsidP="001A7511">
            <w:pPr>
              <w:spacing w:before="40" w:line="240" w:lineRule="auto"/>
              <w:jc w:val="center"/>
              <w:rPr>
                <w:rFonts w:cs="Arial"/>
                <w:b/>
                <w:sz w:val="18"/>
                <w:szCs w:val="18"/>
              </w:rPr>
            </w:pPr>
            <w:r w:rsidRPr="00545EC0">
              <w:rPr>
                <w:rFonts w:cs="Arial"/>
                <w:b/>
                <w:sz w:val="18"/>
                <w:szCs w:val="18"/>
              </w:rPr>
              <w:t>S</w:t>
            </w:r>
          </w:p>
        </w:tc>
      </w:tr>
      <w:tr w:rsidR="003122F4" w:rsidRPr="00545EC0" w14:paraId="5C88931C" w14:textId="77777777" w:rsidTr="001A7511">
        <w:trPr>
          <w:trHeight w:val="255"/>
        </w:trPr>
        <w:tc>
          <w:tcPr>
            <w:tcW w:w="2141" w:type="pct"/>
          </w:tcPr>
          <w:p w14:paraId="42924F2E" w14:textId="77777777" w:rsidR="00611726" w:rsidRPr="00545EC0" w:rsidRDefault="00611726" w:rsidP="001A7511">
            <w:pPr>
              <w:spacing w:before="40" w:line="240" w:lineRule="auto"/>
              <w:rPr>
                <w:rFonts w:cs="Arial"/>
                <w:sz w:val="18"/>
                <w:szCs w:val="18"/>
                <w:lang w:val="sv-SE"/>
              </w:rPr>
            </w:pPr>
            <w:r w:rsidRPr="00545EC0">
              <w:rPr>
                <w:rFonts w:cs="Arial"/>
                <w:sz w:val="18"/>
                <w:szCs w:val="18"/>
                <w:lang w:val="sv-SE"/>
              </w:rPr>
              <w:t>1008 Posavsko hribovje do osrednje Sotle</w:t>
            </w:r>
          </w:p>
        </w:tc>
        <w:tc>
          <w:tcPr>
            <w:tcW w:w="572" w:type="pct"/>
          </w:tcPr>
          <w:p w14:paraId="01F46647" w14:textId="77777777" w:rsidR="00611726" w:rsidRPr="00545EC0" w:rsidRDefault="00611726" w:rsidP="001A7511">
            <w:pPr>
              <w:spacing w:before="40" w:line="240" w:lineRule="auto"/>
              <w:jc w:val="center"/>
              <w:rPr>
                <w:rFonts w:cs="Arial"/>
                <w:sz w:val="18"/>
                <w:szCs w:val="18"/>
                <w:lang w:val="sv-SE"/>
              </w:rPr>
            </w:pPr>
            <w:r w:rsidRPr="00545EC0">
              <w:rPr>
                <w:rFonts w:cs="Arial"/>
                <w:sz w:val="18"/>
                <w:szCs w:val="18"/>
                <w:lang w:val="sv-SE"/>
              </w:rPr>
              <w:t>V</w:t>
            </w:r>
          </w:p>
        </w:tc>
        <w:tc>
          <w:tcPr>
            <w:tcW w:w="572" w:type="pct"/>
          </w:tcPr>
          <w:p w14:paraId="18046366" w14:textId="77777777" w:rsidR="00611726" w:rsidRPr="00545EC0" w:rsidRDefault="00611726" w:rsidP="001A7511">
            <w:pPr>
              <w:spacing w:before="40" w:line="240" w:lineRule="auto"/>
              <w:jc w:val="center"/>
              <w:rPr>
                <w:rFonts w:cs="Arial"/>
                <w:sz w:val="18"/>
                <w:szCs w:val="18"/>
              </w:rPr>
            </w:pPr>
            <w:r w:rsidRPr="00545EC0">
              <w:rPr>
                <w:rFonts w:cs="Arial"/>
                <w:sz w:val="18"/>
                <w:szCs w:val="18"/>
              </w:rPr>
              <w:t>S</w:t>
            </w:r>
          </w:p>
        </w:tc>
        <w:tc>
          <w:tcPr>
            <w:tcW w:w="572" w:type="pct"/>
          </w:tcPr>
          <w:p w14:paraId="7B65FCF8" w14:textId="77777777" w:rsidR="00611726" w:rsidRPr="00545EC0" w:rsidRDefault="00611726" w:rsidP="001A7511">
            <w:pPr>
              <w:spacing w:before="40" w:line="240" w:lineRule="auto"/>
              <w:jc w:val="center"/>
              <w:rPr>
                <w:rFonts w:cs="Arial"/>
                <w:sz w:val="18"/>
                <w:szCs w:val="18"/>
                <w:lang w:val="sv-SE"/>
              </w:rPr>
            </w:pPr>
            <w:r w:rsidRPr="00545EC0">
              <w:rPr>
                <w:rFonts w:cs="Arial"/>
                <w:sz w:val="18"/>
                <w:szCs w:val="18"/>
                <w:lang w:val="sv-SE"/>
              </w:rPr>
              <w:t>S</w:t>
            </w:r>
          </w:p>
        </w:tc>
        <w:tc>
          <w:tcPr>
            <w:tcW w:w="572" w:type="pct"/>
          </w:tcPr>
          <w:p w14:paraId="12A6C0CA" w14:textId="77777777" w:rsidR="00611726" w:rsidRPr="00545EC0" w:rsidRDefault="00611726" w:rsidP="001A7511">
            <w:pPr>
              <w:spacing w:before="40" w:line="240" w:lineRule="auto"/>
              <w:jc w:val="center"/>
              <w:rPr>
                <w:rFonts w:cs="Arial"/>
                <w:sz w:val="18"/>
                <w:szCs w:val="18"/>
              </w:rPr>
            </w:pPr>
            <w:r w:rsidRPr="00545EC0">
              <w:rPr>
                <w:rFonts w:cs="Arial"/>
                <w:sz w:val="18"/>
                <w:szCs w:val="18"/>
              </w:rPr>
              <w:t>-</w:t>
            </w:r>
          </w:p>
        </w:tc>
        <w:tc>
          <w:tcPr>
            <w:tcW w:w="572" w:type="pct"/>
          </w:tcPr>
          <w:p w14:paraId="223EC141" w14:textId="77777777" w:rsidR="00611726" w:rsidRPr="00545EC0" w:rsidRDefault="00611726" w:rsidP="001A7511">
            <w:pPr>
              <w:spacing w:before="40" w:line="240" w:lineRule="auto"/>
              <w:jc w:val="center"/>
              <w:rPr>
                <w:rFonts w:cs="Arial"/>
                <w:b/>
                <w:sz w:val="18"/>
                <w:szCs w:val="18"/>
                <w:lang w:val="sv-SE"/>
              </w:rPr>
            </w:pPr>
            <w:r w:rsidRPr="00545EC0">
              <w:rPr>
                <w:rFonts w:cs="Arial"/>
                <w:b/>
                <w:sz w:val="18"/>
                <w:szCs w:val="18"/>
                <w:lang w:val="sv-SE"/>
              </w:rPr>
              <w:t>S</w:t>
            </w:r>
          </w:p>
        </w:tc>
      </w:tr>
      <w:tr w:rsidR="003122F4" w:rsidRPr="00545EC0" w14:paraId="74973023" w14:textId="77777777" w:rsidTr="001A7511">
        <w:trPr>
          <w:trHeight w:val="255"/>
        </w:trPr>
        <w:tc>
          <w:tcPr>
            <w:tcW w:w="2141" w:type="pct"/>
          </w:tcPr>
          <w:p w14:paraId="7E80715C" w14:textId="77777777" w:rsidR="00611726" w:rsidRPr="00545EC0" w:rsidRDefault="00611726" w:rsidP="001A7511">
            <w:pPr>
              <w:spacing w:before="40" w:line="240" w:lineRule="auto"/>
              <w:rPr>
                <w:rFonts w:cs="Arial"/>
                <w:sz w:val="18"/>
                <w:szCs w:val="18"/>
                <w:lang w:val="pl-PL"/>
              </w:rPr>
            </w:pPr>
            <w:r w:rsidRPr="00545EC0">
              <w:rPr>
                <w:rFonts w:cs="Arial"/>
                <w:sz w:val="18"/>
                <w:szCs w:val="18"/>
                <w:lang w:val="pl-PL"/>
              </w:rPr>
              <w:t>1009 Spodnji del Savinje do Sotle</w:t>
            </w:r>
          </w:p>
        </w:tc>
        <w:tc>
          <w:tcPr>
            <w:tcW w:w="572" w:type="pct"/>
          </w:tcPr>
          <w:p w14:paraId="2089CE9C" w14:textId="77777777" w:rsidR="00611726" w:rsidRPr="00545EC0" w:rsidRDefault="00611726" w:rsidP="001A7511">
            <w:pPr>
              <w:spacing w:before="40" w:line="240" w:lineRule="auto"/>
              <w:jc w:val="center"/>
              <w:rPr>
                <w:rFonts w:cs="Arial"/>
                <w:sz w:val="18"/>
                <w:szCs w:val="18"/>
                <w:lang w:val="sv-SE"/>
              </w:rPr>
            </w:pPr>
            <w:r w:rsidRPr="00545EC0">
              <w:rPr>
                <w:rFonts w:cs="Arial"/>
                <w:sz w:val="18"/>
                <w:szCs w:val="18"/>
                <w:lang w:val="sv-SE"/>
              </w:rPr>
              <w:t>V</w:t>
            </w:r>
          </w:p>
        </w:tc>
        <w:tc>
          <w:tcPr>
            <w:tcW w:w="572" w:type="pct"/>
          </w:tcPr>
          <w:p w14:paraId="61C7F7A2" w14:textId="77777777" w:rsidR="00611726" w:rsidRPr="00545EC0" w:rsidRDefault="00611726" w:rsidP="001A7511">
            <w:pPr>
              <w:spacing w:before="40" w:line="240" w:lineRule="auto"/>
              <w:jc w:val="center"/>
              <w:rPr>
                <w:rFonts w:cs="Arial"/>
                <w:sz w:val="18"/>
                <w:szCs w:val="18"/>
              </w:rPr>
            </w:pPr>
            <w:r w:rsidRPr="00545EC0">
              <w:rPr>
                <w:rFonts w:cs="Arial"/>
                <w:sz w:val="18"/>
                <w:szCs w:val="18"/>
              </w:rPr>
              <w:t>S</w:t>
            </w:r>
          </w:p>
        </w:tc>
        <w:tc>
          <w:tcPr>
            <w:tcW w:w="572" w:type="pct"/>
          </w:tcPr>
          <w:p w14:paraId="4F73EE32" w14:textId="77777777" w:rsidR="00611726" w:rsidRPr="00545EC0" w:rsidRDefault="00611726" w:rsidP="001A7511">
            <w:pPr>
              <w:spacing w:before="40" w:line="240" w:lineRule="auto"/>
              <w:jc w:val="center"/>
              <w:rPr>
                <w:rFonts w:cs="Arial"/>
                <w:sz w:val="18"/>
                <w:szCs w:val="18"/>
              </w:rPr>
            </w:pPr>
            <w:r w:rsidRPr="00545EC0">
              <w:rPr>
                <w:rFonts w:cs="Arial"/>
                <w:sz w:val="18"/>
                <w:szCs w:val="18"/>
              </w:rPr>
              <w:t>-</w:t>
            </w:r>
          </w:p>
        </w:tc>
        <w:tc>
          <w:tcPr>
            <w:tcW w:w="572" w:type="pct"/>
          </w:tcPr>
          <w:p w14:paraId="2D85E708" w14:textId="77777777" w:rsidR="00611726" w:rsidRPr="00545EC0" w:rsidRDefault="00611726" w:rsidP="001A7511">
            <w:pPr>
              <w:spacing w:before="40" w:line="240" w:lineRule="auto"/>
              <w:jc w:val="center"/>
              <w:rPr>
                <w:rFonts w:cs="Arial"/>
                <w:sz w:val="18"/>
                <w:szCs w:val="18"/>
              </w:rPr>
            </w:pPr>
            <w:r w:rsidRPr="00545EC0">
              <w:rPr>
                <w:rFonts w:cs="Arial"/>
                <w:sz w:val="18"/>
                <w:szCs w:val="18"/>
              </w:rPr>
              <w:t>-</w:t>
            </w:r>
          </w:p>
        </w:tc>
        <w:tc>
          <w:tcPr>
            <w:tcW w:w="572" w:type="pct"/>
          </w:tcPr>
          <w:p w14:paraId="04FCE2D8" w14:textId="77777777" w:rsidR="00611726" w:rsidRPr="00545EC0" w:rsidRDefault="00611726" w:rsidP="001A7511">
            <w:pPr>
              <w:spacing w:before="40" w:line="240" w:lineRule="auto"/>
              <w:jc w:val="center"/>
              <w:rPr>
                <w:rFonts w:cs="Arial"/>
                <w:b/>
                <w:sz w:val="18"/>
                <w:szCs w:val="18"/>
              </w:rPr>
            </w:pPr>
            <w:r w:rsidRPr="00545EC0">
              <w:rPr>
                <w:rFonts w:cs="Arial"/>
                <w:b/>
                <w:sz w:val="18"/>
                <w:szCs w:val="18"/>
              </w:rPr>
              <w:t>S</w:t>
            </w:r>
          </w:p>
        </w:tc>
      </w:tr>
      <w:tr w:rsidR="003122F4" w:rsidRPr="00545EC0" w14:paraId="390C162A" w14:textId="77777777" w:rsidTr="001A7511">
        <w:trPr>
          <w:trHeight w:val="255"/>
        </w:trPr>
        <w:tc>
          <w:tcPr>
            <w:tcW w:w="2141" w:type="pct"/>
          </w:tcPr>
          <w:p w14:paraId="671EAD57" w14:textId="77777777" w:rsidR="00611726" w:rsidRPr="00545EC0" w:rsidRDefault="00611726" w:rsidP="001A7511">
            <w:pPr>
              <w:spacing w:before="40" w:line="240" w:lineRule="auto"/>
              <w:rPr>
                <w:rFonts w:cs="Arial"/>
                <w:sz w:val="18"/>
                <w:szCs w:val="18"/>
                <w:lang w:val="pl-PL"/>
              </w:rPr>
            </w:pPr>
            <w:r w:rsidRPr="00545EC0">
              <w:rPr>
                <w:rFonts w:cs="Arial"/>
                <w:sz w:val="18"/>
                <w:szCs w:val="18"/>
                <w:lang w:val="pl-PL"/>
              </w:rPr>
              <w:t>1010 Kraška Ljubljanica</w:t>
            </w:r>
          </w:p>
        </w:tc>
        <w:tc>
          <w:tcPr>
            <w:tcW w:w="572" w:type="pct"/>
          </w:tcPr>
          <w:p w14:paraId="1EECE1C3" w14:textId="77777777" w:rsidR="00611726" w:rsidRPr="00545EC0" w:rsidRDefault="00611726" w:rsidP="001A7511">
            <w:pPr>
              <w:spacing w:before="40" w:line="240" w:lineRule="auto"/>
              <w:jc w:val="center"/>
              <w:rPr>
                <w:rFonts w:cs="Arial"/>
                <w:sz w:val="18"/>
                <w:szCs w:val="18"/>
                <w:lang w:val="sv-SE"/>
              </w:rPr>
            </w:pPr>
            <w:r w:rsidRPr="00545EC0">
              <w:rPr>
                <w:rFonts w:cs="Arial"/>
                <w:sz w:val="18"/>
                <w:szCs w:val="18"/>
                <w:lang w:val="sv-SE"/>
              </w:rPr>
              <w:t>V</w:t>
            </w:r>
          </w:p>
        </w:tc>
        <w:tc>
          <w:tcPr>
            <w:tcW w:w="572" w:type="pct"/>
          </w:tcPr>
          <w:p w14:paraId="009DB2B0" w14:textId="77777777" w:rsidR="00611726" w:rsidRPr="00545EC0" w:rsidRDefault="00611726" w:rsidP="001A7511">
            <w:pPr>
              <w:spacing w:before="40" w:line="240" w:lineRule="auto"/>
              <w:jc w:val="center"/>
              <w:rPr>
                <w:rFonts w:cs="Arial"/>
                <w:sz w:val="18"/>
                <w:szCs w:val="18"/>
                <w:lang w:val="sv-SE"/>
              </w:rPr>
            </w:pPr>
            <w:r w:rsidRPr="00545EC0">
              <w:rPr>
                <w:rFonts w:cs="Arial"/>
                <w:sz w:val="18"/>
                <w:szCs w:val="18"/>
                <w:lang w:val="sv-SE"/>
              </w:rPr>
              <w:t>S</w:t>
            </w:r>
          </w:p>
        </w:tc>
        <w:tc>
          <w:tcPr>
            <w:tcW w:w="572" w:type="pct"/>
          </w:tcPr>
          <w:p w14:paraId="3CDCA9EF" w14:textId="77777777" w:rsidR="00611726" w:rsidRPr="00545EC0" w:rsidRDefault="00611726" w:rsidP="001A7511">
            <w:pPr>
              <w:spacing w:before="40" w:line="240" w:lineRule="auto"/>
              <w:jc w:val="center"/>
              <w:rPr>
                <w:rFonts w:cs="Arial"/>
                <w:sz w:val="18"/>
                <w:szCs w:val="18"/>
              </w:rPr>
            </w:pPr>
            <w:r w:rsidRPr="00545EC0">
              <w:rPr>
                <w:rFonts w:cs="Arial"/>
                <w:sz w:val="18"/>
                <w:szCs w:val="18"/>
              </w:rPr>
              <w:t>-</w:t>
            </w:r>
          </w:p>
        </w:tc>
        <w:tc>
          <w:tcPr>
            <w:tcW w:w="572" w:type="pct"/>
          </w:tcPr>
          <w:p w14:paraId="786FFECD" w14:textId="77777777" w:rsidR="00611726" w:rsidRPr="00545EC0" w:rsidRDefault="00611726" w:rsidP="001A7511">
            <w:pPr>
              <w:spacing w:before="40" w:line="240" w:lineRule="auto"/>
              <w:jc w:val="center"/>
              <w:rPr>
                <w:rFonts w:cs="Arial"/>
                <w:sz w:val="18"/>
                <w:szCs w:val="18"/>
              </w:rPr>
            </w:pPr>
            <w:r w:rsidRPr="00545EC0">
              <w:rPr>
                <w:rFonts w:cs="Arial"/>
                <w:sz w:val="18"/>
                <w:szCs w:val="18"/>
              </w:rPr>
              <w:t>-</w:t>
            </w:r>
          </w:p>
        </w:tc>
        <w:tc>
          <w:tcPr>
            <w:tcW w:w="572" w:type="pct"/>
          </w:tcPr>
          <w:p w14:paraId="7B8F06FD" w14:textId="77777777" w:rsidR="00611726" w:rsidRPr="00545EC0" w:rsidRDefault="00611726" w:rsidP="001A7511">
            <w:pPr>
              <w:spacing w:before="40" w:line="240" w:lineRule="auto"/>
              <w:jc w:val="center"/>
              <w:rPr>
                <w:rFonts w:cs="Arial"/>
                <w:b/>
                <w:sz w:val="18"/>
                <w:szCs w:val="18"/>
              </w:rPr>
            </w:pPr>
            <w:r w:rsidRPr="00545EC0">
              <w:rPr>
                <w:rFonts w:cs="Arial"/>
                <w:b/>
                <w:sz w:val="18"/>
                <w:szCs w:val="18"/>
              </w:rPr>
              <w:t>S</w:t>
            </w:r>
          </w:p>
        </w:tc>
      </w:tr>
      <w:tr w:rsidR="003122F4" w:rsidRPr="00545EC0" w14:paraId="525C4AF0" w14:textId="77777777" w:rsidTr="001A7511">
        <w:trPr>
          <w:trHeight w:val="255"/>
        </w:trPr>
        <w:tc>
          <w:tcPr>
            <w:tcW w:w="2141" w:type="pct"/>
          </w:tcPr>
          <w:p w14:paraId="1FBB25A6" w14:textId="77777777" w:rsidR="00611726" w:rsidRPr="00545EC0" w:rsidRDefault="00611726" w:rsidP="001A7511">
            <w:pPr>
              <w:spacing w:before="40" w:line="240" w:lineRule="auto"/>
              <w:rPr>
                <w:rFonts w:cs="Arial"/>
                <w:sz w:val="18"/>
                <w:szCs w:val="18"/>
                <w:lang w:val="pl-PL"/>
              </w:rPr>
            </w:pPr>
            <w:r w:rsidRPr="00545EC0">
              <w:rPr>
                <w:rFonts w:cs="Arial"/>
                <w:sz w:val="18"/>
                <w:szCs w:val="18"/>
                <w:lang w:val="pl-PL"/>
              </w:rPr>
              <w:t>1011 Dolenjski kras</w:t>
            </w:r>
          </w:p>
        </w:tc>
        <w:tc>
          <w:tcPr>
            <w:tcW w:w="572" w:type="pct"/>
          </w:tcPr>
          <w:p w14:paraId="69A0035B" w14:textId="77777777" w:rsidR="00611726" w:rsidRPr="00545EC0" w:rsidRDefault="00611726" w:rsidP="001A7511">
            <w:pPr>
              <w:spacing w:before="40" w:line="240" w:lineRule="auto"/>
              <w:jc w:val="center"/>
              <w:rPr>
                <w:rFonts w:cs="Arial"/>
                <w:sz w:val="18"/>
                <w:szCs w:val="18"/>
                <w:lang w:val="sv-SE"/>
              </w:rPr>
            </w:pPr>
            <w:r w:rsidRPr="00545EC0">
              <w:rPr>
                <w:rFonts w:cs="Arial"/>
                <w:sz w:val="18"/>
                <w:szCs w:val="18"/>
                <w:lang w:val="sv-SE"/>
              </w:rPr>
              <w:t>V</w:t>
            </w:r>
          </w:p>
        </w:tc>
        <w:tc>
          <w:tcPr>
            <w:tcW w:w="572" w:type="pct"/>
          </w:tcPr>
          <w:p w14:paraId="3AADA0C9" w14:textId="77777777" w:rsidR="00611726" w:rsidRPr="00545EC0" w:rsidRDefault="00611726" w:rsidP="001A7511">
            <w:pPr>
              <w:spacing w:before="40" w:line="240" w:lineRule="auto"/>
              <w:jc w:val="center"/>
              <w:rPr>
                <w:rFonts w:cs="Arial"/>
                <w:sz w:val="18"/>
                <w:szCs w:val="18"/>
                <w:lang w:val="sv-SE"/>
              </w:rPr>
            </w:pPr>
            <w:r w:rsidRPr="00545EC0">
              <w:rPr>
                <w:rFonts w:cs="Arial"/>
                <w:sz w:val="18"/>
                <w:szCs w:val="18"/>
                <w:lang w:val="sv-SE"/>
              </w:rPr>
              <w:t>S</w:t>
            </w:r>
          </w:p>
        </w:tc>
        <w:tc>
          <w:tcPr>
            <w:tcW w:w="572" w:type="pct"/>
          </w:tcPr>
          <w:p w14:paraId="31FE19FC" w14:textId="77777777" w:rsidR="00611726" w:rsidRPr="00545EC0" w:rsidRDefault="00611726" w:rsidP="001A7511">
            <w:pPr>
              <w:spacing w:before="40" w:line="240" w:lineRule="auto"/>
              <w:jc w:val="center"/>
              <w:rPr>
                <w:rFonts w:cs="Arial"/>
                <w:sz w:val="18"/>
                <w:szCs w:val="18"/>
              </w:rPr>
            </w:pPr>
            <w:r w:rsidRPr="00545EC0">
              <w:rPr>
                <w:rFonts w:cs="Arial"/>
                <w:sz w:val="18"/>
                <w:szCs w:val="18"/>
              </w:rPr>
              <w:t>S</w:t>
            </w:r>
          </w:p>
        </w:tc>
        <w:tc>
          <w:tcPr>
            <w:tcW w:w="572" w:type="pct"/>
          </w:tcPr>
          <w:p w14:paraId="7C379FA7" w14:textId="77777777" w:rsidR="00611726" w:rsidRPr="00545EC0" w:rsidRDefault="00611726" w:rsidP="001A7511">
            <w:pPr>
              <w:spacing w:before="40" w:line="240" w:lineRule="auto"/>
              <w:jc w:val="center"/>
              <w:rPr>
                <w:rFonts w:cs="Arial"/>
                <w:sz w:val="18"/>
                <w:szCs w:val="18"/>
              </w:rPr>
            </w:pPr>
            <w:r w:rsidRPr="00545EC0">
              <w:rPr>
                <w:rFonts w:cs="Arial"/>
                <w:sz w:val="18"/>
                <w:szCs w:val="18"/>
              </w:rPr>
              <w:t>-</w:t>
            </w:r>
          </w:p>
        </w:tc>
        <w:tc>
          <w:tcPr>
            <w:tcW w:w="572" w:type="pct"/>
          </w:tcPr>
          <w:p w14:paraId="7CF4B1F7" w14:textId="77777777" w:rsidR="00611726" w:rsidRPr="00545EC0" w:rsidRDefault="00611726" w:rsidP="001A7511">
            <w:pPr>
              <w:spacing w:before="40" w:line="240" w:lineRule="auto"/>
              <w:jc w:val="center"/>
              <w:rPr>
                <w:rFonts w:cs="Arial"/>
                <w:b/>
                <w:sz w:val="18"/>
                <w:szCs w:val="18"/>
              </w:rPr>
            </w:pPr>
            <w:r w:rsidRPr="00545EC0">
              <w:rPr>
                <w:rFonts w:cs="Arial"/>
                <w:b/>
                <w:sz w:val="18"/>
                <w:szCs w:val="18"/>
              </w:rPr>
              <w:t>S</w:t>
            </w:r>
          </w:p>
        </w:tc>
      </w:tr>
      <w:tr w:rsidR="003122F4" w:rsidRPr="00545EC0" w14:paraId="5D2E2830" w14:textId="77777777" w:rsidTr="001A7511">
        <w:trPr>
          <w:trHeight w:val="255"/>
        </w:trPr>
        <w:tc>
          <w:tcPr>
            <w:tcW w:w="2141" w:type="pct"/>
          </w:tcPr>
          <w:p w14:paraId="39B3BCEB" w14:textId="77777777" w:rsidR="00611726" w:rsidRPr="00545EC0" w:rsidRDefault="00611726" w:rsidP="001A7511">
            <w:pPr>
              <w:spacing w:before="40" w:line="240" w:lineRule="auto"/>
              <w:rPr>
                <w:rFonts w:cs="Arial"/>
                <w:sz w:val="18"/>
                <w:szCs w:val="18"/>
                <w:lang w:val="pl-PL"/>
              </w:rPr>
            </w:pPr>
            <w:r w:rsidRPr="00545EC0">
              <w:rPr>
                <w:rFonts w:cs="Arial"/>
                <w:sz w:val="18"/>
                <w:szCs w:val="18"/>
                <w:lang w:val="pl-PL"/>
              </w:rPr>
              <w:t>3012 Dravska kotlina</w:t>
            </w:r>
          </w:p>
        </w:tc>
        <w:tc>
          <w:tcPr>
            <w:tcW w:w="572" w:type="pct"/>
          </w:tcPr>
          <w:p w14:paraId="3F635425" w14:textId="77777777" w:rsidR="00611726" w:rsidRPr="00545EC0" w:rsidRDefault="00611726" w:rsidP="001A7511">
            <w:pPr>
              <w:spacing w:before="40" w:line="240" w:lineRule="auto"/>
              <w:jc w:val="center"/>
              <w:rPr>
                <w:rFonts w:cs="Arial"/>
                <w:sz w:val="18"/>
                <w:szCs w:val="18"/>
                <w:lang w:val="sv-SE"/>
              </w:rPr>
            </w:pPr>
            <w:r w:rsidRPr="00545EC0">
              <w:rPr>
                <w:rFonts w:cs="Arial"/>
                <w:sz w:val="18"/>
                <w:szCs w:val="18"/>
                <w:lang w:val="sv-SE"/>
              </w:rPr>
              <w:t>V</w:t>
            </w:r>
          </w:p>
        </w:tc>
        <w:tc>
          <w:tcPr>
            <w:tcW w:w="572" w:type="pct"/>
          </w:tcPr>
          <w:p w14:paraId="609FE1F0" w14:textId="77777777" w:rsidR="00611726" w:rsidRPr="00545EC0" w:rsidRDefault="00611726" w:rsidP="001A7511">
            <w:pPr>
              <w:spacing w:before="40" w:line="240" w:lineRule="auto"/>
              <w:jc w:val="center"/>
              <w:rPr>
                <w:rFonts w:cs="Arial"/>
                <w:sz w:val="18"/>
                <w:szCs w:val="18"/>
                <w:lang w:val="sv-SE"/>
              </w:rPr>
            </w:pPr>
            <w:r w:rsidRPr="00545EC0">
              <w:rPr>
                <w:rFonts w:cs="Arial"/>
                <w:sz w:val="18"/>
                <w:szCs w:val="18"/>
                <w:lang w:val="sv-SE"/>
              </w:rPr>
              <w:t>-</w:t>
            </w:r>
          </w:p>
        </w:tc>
        <w:tc>
          <w:tcPr>
            <w:tcW w:w="572" w:type="pct"/>
          </w:tcPr>
          <w:p w14:paraId="70AB8D80" w14:textId="77777777" w:rsidR="00611726" w:rsidRPr="00545EC0" w:rsidRDefault="00611726" w:rsidP="001A7511">
            <w:pPr>
              <w:spacing w:before="40" w:line="240" w:lineRule="auto"/>
              <w:jc w:val="center"/>
              <w:rPr>
                <w:rFonts w:cs="Arial"/>
                <w:sz w:val="18"/>
                <w:szCs w:val="18"/>
                <w:lang w:val="sv-SE"/>
              </w:rPr>
            </w:pPr>
            <w:r w:rsidRPr="00545EC0">
              <w:rPr>
                <w:rFonts w:cs="Arial"/>
                <w:sz w:val="18"/>
                <w:szCs w:val="18"/>
                <w:lang w:val="sv-SE"/>
              </w:rPr>
              <w:t>S</w:t>
            </w:r>
          </w:p>
        </w:tc>
        <w:tc>
          <w:tcPr>
            <w:tcW w:w="572" w:type="pct"/>
          </w:tcPr>
          <w:p w14:paraId="00605520" w14:textId="77777777" w:rsidR="00611726" w:rsidRPr="00545EC0" w:rsidRDefault="00611726" w:rsidP="001A7511">
            <w:pPr>
              <w:spacing w:before="40" w:line="240" w:lineRule="auto"/>
              <w:jc w:val="center"/>
              <w:rPr>
                <w:rFonts w:cs="Arial"/>
                <w:sz w:val="18"/>
                <w:szCs w:val="18"/>
              </w:rPr>
            </w:pPr>
            <w:r w:rsidRPr="00545EC0">
              <w:rPr>
                <w:rFonts w:cs="Arial"/>
                <w:sz w:val="18"/>
                <w:szCs w:val="18"/>
              </w:rPr>
              <w:t>S</w:t>
            </w:r>
          </w:p>
        </w:tc>
        <w:tc>
          <w:tcPr>
            <w:tcW w:w="572" w:type="pct"/>
          </w:tcPr>
          <w:p w14:paraId="0AAE5637" w14:textId="77777777" w:rsidR="00611726" w:rsidRPr="00545EC0" w:rsidRDefault="00611726" w:rsidP="001A7511">
            <w:pPr>
              <w:spacing w:before="40" w:line="240" w:lineRule="auto"/>
              <w:jc w:val="center"/>
              <w:rPr>
                <w:rFonts w:cs="Arial"/>
                <w:b/>
                <w:sz w:val="18"/>
                <w:szCs w:val="18"/>
              </w:rPr>
            </w:pPr>
            <w:r w:rsidRPr="00545EC0">
              <w:rPr>
                <w:rFonts w:cs="Arial"/>
                <w:b/>
                <w:sz w:val="18"/>
                <w:szCs w:val="18"/>
              </w:rPr>
              <w:t>S</w:t>
            </w:r>
          </w:p>
        </w:tc>
      </w:tr>
      <w:tr w:rsidR="003122F4" w:rsidRPr="00545EC0" w14:paraId="0966D072" w14:textId="77777777" w:rsidTr="001A7511">
        <w:trPr>
          <w:trHeight w:val="255"/>
        </w:trPr>
        <w:tc>
          <w:tcPr>
            <w:tcW w:w="2141" w:type="pct"/>
          </w:tcPr>
          <w:p w14:paraId="4EC8A819" w14:textId="77777777" w:rsidR="00611726" w:rsidRPr="00545EC0" w:rsidRDefault="00611726" w:rsidP="001A7511">
            <w:pPr>
              <w:spacing w:before="40" w:line="240" w:lineRule="auto"/>
              <w:rPr>
                <w:rFonts w:cs="Arial"/>
                <w:sz w:val="18"/>
                <w:szCs w:val="18"/>
                <w:lang w:val="pl-PL"/>
              </w:rPr>
            </w:pPr>
            <w:r w:rsidRPr="00545EC0">
              <w:rPr>
                <w:rFonts w:cs="Arial"/>
                <w:sz w:val="18"/>
                <w:szCs w:val="18"/>
                <w:lang w:val="pl-PL"/>
              </w:rPr>
              <w:t>3013 Vzhodne Alpe</w:t>
            </w:r>
          </w:p>
        </w:tc>
        <w:tc>
          <w:tcPr>
            <w:tcW w:w="572" w:type="pct"/>
          </w:tcPr>
          <w:p w14:paraId="02E59C81" w14:textId="77777777" w:rsidR="00611726" w:rsidRPr="00545EC0" w:rsidRDefault="00611726" w:rsidP="001A7511">
            <w:pPr>
              <w:spacing w:before="40" w:line="240" w:lineRule="auto"/>
              <w:jc w:val="center"/>
              <w:rPr>
                <w:rFonts w:cs="Arial"/>
                <w:sz w:val="18"/>
                <w:szCs w:val="18"/>
                <w:lang w:val="sv-SE"/>
              </w:rPr>
            </w:pPr>
            <w:r w:rsidRPr="00545EC0">
              <w:rPr>
                <w:rFonts w:cs="Arial"/>
                <w:sz w:val="18"/>
                <w:szCs w:val="18"/>
                <w:lang w:val="sv-SE"/>
              </w:rPr>
              <w:t>V</w:t>
            </w:r>
          </w:p>
        </w:tc>
        <w:tc>
          <w:tcPr>
            <w:tcW w:w="572" w:type="pct"/>
          </w:tcPr>
          <w:p w14:paraId="3DB1B709" w14:textId="77777777" w:rsidR="00611726" w:rsidRPr="00545EC0" w:rsidRDefault="00611726" w:rsidP="001A7511">
            <w:pPr>
              <w:spacing w:before="40" w:line="240" w:lineRule="auto"/>
              <w:jc w:val="center"/>
              <w:rPr>
                <w:rFonts w:cs="Arial"/>
                <w:sz w:val="18"/>
                <w:szCs w:val="18"/>
                <w:lang w:val="sv-SE"/>
              </w:rPr>
            </w:pPr>
            <w:r w:rsidRPr="00545EC0">
              <w:rPr>
                <w:rFonts w:cs="Arial"/>
                <w:sz w:val="18"/>
                <w:szCs w:val="18"/>
                <w:lang w:val="sv-SE"/>
              </w:rPr>
              <w:t>S</w:t>
            </w:r>
          </w:p>
        </w:tc>
        <w:tc>
          <w:tcPr>
            <w:tcW w:w="572" w:type="pct"/>
          </w:tcPr>
          <w:p w14:paraId="65C7BA9F" w14:textId="77777777" w:rsidR="00611726" w:rsidRPr="00545EC0" w:rsidRDefault="00611726" w:rsidP="001A7511">
            <w:pPr>
              <w:spacing w:before="40" w:line="240" w:lineRule="auto"/>
              <w:jc w:val="center"/>
              <w:rPr>
                <w:rFonts w:cs="Arial"/>
                <w:sz w:val="18"/>
                <w:szCs w:val="18"/>
              </w:rPr>
            </w:pPr>
            <w:r w:rsidRPr="00545EC0">
              <w:rPr>
                <w:rFonts w:cs="Arial"/>
                <w:sz w:val="18"/>
                <w:szCs w:val="18"/>
              </w:rPr>
              <w:t>-</w:t>
            </w:r>
          </w:p>
        </w:tc>
        <w:tc>
          <w:tcPr>
            <w:tcW w:w="572" w:type="pct"/>
          </w:tcPr>
          <w:p w14:paraId="3A4F5B40" w14:textId="77777777" w:rsidR="00611726" w:rsidRPr="00545EC0" w:rsidRDefault="00611726" w:rsidP="001A7511">
            <w:pPr>
              <w:spacing w:before="40" w:line="240" w:lineRule="auto"/>
              <w:jc w:val="center"/>
              <w:rPr>
                <w:rFonts w:cs="Arial"/>
                <w:sz w:val="18"/>
                <w:szCs w:val="18"/>
              </w:rPr>
            </w:pPr>
            <w:r w:rsidRPr="00545EC0">
              <w:rPr>
                <w:rFonts w:cs="Arial"/>
                <w:sz w:val="18"/>
                <w:szCs w:val="18"/>
              </w:rPr>
              <w:t>-</w:t>
            </w:r>
          </w:p>
        </w:tc>
        <w:tc>
          <w:tcPr>
            <w:tcW w:w="572" w:type="pct"/>
          </w:tcPr>
          <w:p w14:paraId="116C78E6" w14:textId="77777777" w:rsidR="00611726" w:rsidRPr="00545EC0" w:rsidRDefault="00611726" w:rsidP="001A7511">
            <w:pPr>
              <w:spacing w:before="40" w:line="240" w:lineRule="auto"/>
              <w:jc w:val="center"/>
              <w:rPr>
                <w:rFonts w:cs="Arial"/>
                <w:b/>
                <w:sz w:val="18"/>
                <w:szCs w:val="18"/>
              </w:rPr>
            </w:pPr>
            <w:r w:rsidRPr="00545EC0">
              <w:rPr>
                <w:rFonts w:cs="Arial"/>
                <w:b/>
                <w:sz w:val="18"/>
                <w:szCs w:val="18"/>
              </w:rPr>
              <w:t>S</w:t>
            </w:r>
          </w:p>
        </w:tc>
      </w:tr>
      <w:tr w:rsidR="003122F4" w:rsidRPr="00545EC0" w14:paraId="1D866E2C" w14:textId="77777777" w:rsidTr="001A7511">
        <w:trPr>
          <w:trHeight w:val="255"/>
        </w:trPr>
        <w:tc>
          <w:tcPr>
            <w:tcW w:w="2141" w:type="pct"/>
          </w:tcPr>
          <w:p w14:paraId="4857646E" w14:textId="77777777" w:rsidR="00611726" w:rsidRPr="00545EC0" w:rsidRDefault="00611726" w:rsidP="001A7511">
            <w:pPr>
              <w:spacing w:before="40" w:line="240" w:lineRule="auto"/>
              <w:rPr>
                <w:rFonts w:cs="Arial"/>
                <w:sz w:val="18"/>
                <w:szCs w:val="18"/>
                <w:lang w:val="pl-PL"/>
              </w:rPr>
            </w:pPr>
            <w:r w:rsidRPr="00545EC0">
              <w:rPr>
                <w:rFonts w:cs="Arial"/>
                <w:sz w:val="18"/>
                <w:szCs w:val="18"/>
                <w:lang w:val="pl-PL"/>
              </w:rPr>
              <w:t>3014 Haloze in Dravinjske gorice</w:t>
            </w:r>
          </w:p>
        </w:tc>
        <w:tc>
          <w:tcPr>
            <w:tcW w:w="572" w:type="pct"/>
          </w:tcPr>
          <w:p w14:paraId="5BB4A095" w14:textId="77777777" w:rsidR="00611726" w:rsidRPr="00545EC0" w:rsidRDefault="00611726" w:rsidP="001A7511">
            <w:pPr>
              <w:spacing w:before="40" w:line="240" w:lineRule="auto"/>
              <w:jc w:val="center"/>
              <w:rPr>
                <w:rFonts w:cs="Arial"/>
                <w:sz w:val="18"/>
                <w:szCs w:val="18"/>
                <w:lang w:val="sv-SE"/>
              </w:rPr>
            </w:pPr>
            <w:r w:rsidRPr="00545EC0">
              <w:rPr>
                <w:rFonts w:cs="Arial"/>
                <w:sz w:val="18"/>
                <w:szCs w:val="18"/>
                <w:lang w:val="sv-SE"/>
              </w:rPr>
              <w:t>V</w:t>
            </w:r>
          </w:p>
        </w:tc>
        <w:tc>
          <w:tcPr>
            <w:tcW w:w="572" w:type="pct"/>
          </w:tcPr>
          <w:p w14:paraId="3B815F0D" w14:textId="77777777" w:rsidR="00611726" w:rsidRPr="00545EC0" w:rsidRDefault="00611726" w:rsidP="001A7511">
            <w:pPr>
              <w:spacing w:before="40" w:line="240" w:lineRule="auto"/>
              <w:jc w:val="center"/>
              <w:rPr>
                <w:rFonts w:cs="Arial"/>
                <w:sz w:val="18"/>
                <w:szCs w:val="18"/>
                <w:lang w:val="sv-SE"/>
              </w:rPr>
            </w:pPr>
            <w:r w:rsidRPr="00545EC0">
              <w:rPr>
                <w:rFonts w:cs="Arial"/>
                <w:sz w:val="18"/>
                <w:szCs w:val="18"/>
                <w:lang w:val="sv-SE"/>
              </w:rPr>
              <w:t>S</w:t>
            </w:r>
          </w:p>
        </w:tc>
        <w:tc>
          <w:tcPr>
            <w:tcW w:w="572" w:type="pct"/>
          </w:tcPr>
          <w:p w14:paraId="6D285747" w14:textId="77777777" w:rsidR="00611726" w:rsidRPr="00545EC0" w:rsidRDefault="00611726" w:rsidP="001A7511">
            <w:pPr>
              <w:spacing w:before="40" w:line="240" w:lineRule="auto"/>
              <w:jc w:val="center"/>
              <w:rPr>
                <w:rFonts w:cs="Arial"/>
                <w:sz w:val="18"/>
                <w:szCs w:val="18"/>
              </w:rPr>
            </w:pPr>
            <w:r w:rsidRPr="00545EC0">
              <w:rPr>
                <w:rFonts w:cs="Arial"/>
                <w:sz w:val="18"/>
                <w:szCs w:val="18"/>
              </w:rPr>
              <w:t>-</w:t>
            </w:r>
          </w:p>
        </w:tc>
        <w:tc>
          <w:tcPr>
            <w:tcW w:w="572" w:type="pct"/>
          </w:tcPr>
          <w:p w14:paraId="3FA92BAA" w14:textId="77777777" w:rsidR="00611726" w:rsidRPr="00545EC0" w:rsidRDefault="00611726" w:rsidP="001A7511">
            <w:pPr>
              <w:spacing w:before="40" w:line="240" w:lineRule="auto"/>
              <w:jc w:val="center"/>
              <w:rPr>
                <w:rFonts w:cs="Arial"/>
                <w:sz w:val="18"/>
                <w:szCs w:val="18"/>
              </w:rPr>
            </w:pPr>
            <w:r w:rsidRPr="00545EC0">
              <w:rPr>
                <w:rFonts w:cs="Arial"/>
                <w:sz w:val="18"/>
                <w:szCs w:val="18"/>
              </w:rPr>
              <w:t>-</w:t>
            </w:r>
          </w:p>
        </w:tc>
        <w:tc>
          <w:tcPr>
            <w:tcW w:w="572" w:type="pct"/>
          </w:tcPr>
          <w:p w14:paraId="57FCEFC0" w14:textId="77777777" w:rsidR="00611726" w:rsidRPr="00545EC0" w:rsidRDefault="00611726" w:rsidP="001A7511">
            <w:pPr>
              <w:spacing w:before="40" w:line="240" w:lineRule="auto"/>
              <w:jc w:val="center"/>
              <w:rPr>
                <w:rFonts w:cs="Arial"/>
                <w:b/>
                <w:sz w:val="18"/>
                <w:szCs w:val="18"/>
              </w:rPr>
            </w:pPr>
            <w:r w:rsidRPr="00545EC0">
              <w:rPr>
                <w:rFonts w:cs="Arial"/>
                <w:b/>
                <w:sz w:val="18"/>
                <w:szCs w:val="18"/>
              </w:rPr>
              <w:t>S</w:t>
            </w:r>
          </w:p>
        </w:tc>
      </w:tr>
      <w:tr w:rsidR="003122F4" w:rsidRPr="00545EC0" w14:paraId="71375254" w14:textId="77777777" w:rsidTr="001A7511">
        <w:trPr>
          <w:trHeight w:val="255"/>
        </w:trPr>
        <w:tc>
          <w:tcPr>
            <w:tcW w:w="2141" w:type="pct"/>
          </w:tcPr>
          <w:p w14:paraId="493D4428" w14:textId="77777777" w:rsidR="00611726" w:rsidRPr="00545EC0" w:rsidRDefault="00611726" w:rsidP="001A7511">
            <w:pPr>
              <w:spacing w:before="40" w:line="240" w:lineRule="auto"/>
              <w:rPr>
                <w:rFonts w:cs="Arial"/>
                <w:sz w:val="18"/>
                <w:szCs w:val="18"/>
                <w:lang w:val="pl-PL"/>
              </w:rPr>
            </w:pPr>
            <w:r w:rsidRPr="00545EC0">
              <w:rPr>
                <w:rFonts w:cs="Arial"/>
                <w:sz w:val="18"/>
                <w:szCs w:val="18"/>
                <w:lang w:val="pl-PL"/>
              </w:rPr>
              <w:t>3015 Zahodne Slovenske gorice</w:t>
            </w:r>
          </w:p>
        </w:tc>
        <w:tc>
          <w:tcPr>
            <w:tcW w:w="572" w:type="pct"/>
          </w:tcPr>
          <w:p w14:paraId="4E6C98E2" w14:textId="77777777" w:rsidR="00611726" w:rsidRPr="00545EC0" w:rsidRDefault="00611726" w:rsidP="001A7511">
            <w:pPr>
              <w:spacing w:before="40" w:line="240" w:lineRule="auto"/>
              <w:jc w:val="center"/>
              <w:rPr>
                <w:rFonts w:cs="Arial"/>
                <w:sz w:val="18"/>
                <w:szCs w:val="18"/>
                <w:lang w:val="sv-SE"/>
              </w:rPr>
            </w:pPr>
            <w:r w:rsidRPr="00545EC0">
              <w:rPr>
                <w:rFonts w:cs="Arial"/>
                <w:sz w:val="18"/>
                <w:szCs w:val="18"/>
                <w:lang w:val="sv-SE"/>
              </w:rPr>
              <w:t>V</w:t>
            </w:r>
          </w:p>
        </w:tc>
        <w:tc>
          <w:tcPr>
            <w:tcW w:w="572" w:type="pct"/>
          </w:tcPr>
          <w:p w14:paraId="3731F496" w14:textId="77777777" w:rsidR="00611726" w:rsidRPr="00545EC0" w:rsidRDefault="00611726" w:rsidP="001A7511">
            <w:pPr>
              <w:spacing w:before="40" w:line="240" w:lineRule="auto"/>
              <w:jc w:val="center"/>
              <w:rPr>
                <w:rFonts w:cs="Arial"/>
                <w:sz w:val="18"/>
                <w:szCs w:val="18"/>
                <w:lang w:val="sv-SE"/>
              </w:rPr>
            </w:pPr>
            <w:r w:rsidRPr="00545EC0">
              <w:rPr>
                <w:rFonts w:cs="Arial"/>
                <w:sz w:val="18"/>
                <w:szCs w:val="18"/>
                <w:lang w:val="sv-SE"/>
              </w:rPr>
              <w:t>S</w:t>
            </w:r>
          </w:p>
        </w:tc>
        <w:tc>
          <w:tcPr>
            <w:tcW w:w="572" w:type="pct"/>
          </w:tcPr>
          <w:p w14:paraId="1280FA35" w14:textId="77777777" w:rsidR="00611726" w:rsidRPr="00545EC0" w:rsidRDefault="00611726" w:rsidP="001A7511">
            <w:pPr>
              <w:spacing w:before="40" w:line="240" w:lineRule="auto"/>
              <w:jc w:val="center"/>
              <w:rPr>
                <w:rFonts w:cs="Arial"/>
                <w:sz w:val="18"/>
                <w:szCs w:val="18"/>
              </w:rPr>
            </w:pPr>
            <w:r w:rsidRPr="00545EC0">
              <w:rPr>
                <w:rFonts w:cs="Arial"/>
                <w:sz w:val="18"/>
                <w:szCs w:val="18"/>
              </w:rPr>
              <w:t>S</w:t>
            </w:r>
          </w:p>
        </w:tc>
        <w:tc>
          <w:tcPr>
            <w:tcW w:w="572" w:type="pct"/>
          </w:tcPr>
          <w:p w14:paraId="790B8350" w14:textId="77777777" w:rsidR="00611726" w:rsidRPr="00545EC0" w:rsidRDefault="00611726" w:rsidP="001A7511">
            <w:pPr>
              <w:spacing w:before="40" w:line="240" w:lineRule="auto"/>
              <w:jc w:val="center"/>
              <w:rPr>
                <w:rFonts w:cs="Arial"/>
                <w:sz w:val="18"/>
                <w:szCs w:val="18"/>
              </w:rPr>
            </w:pPr>
            <w:r w:rsidRPr="00545EC0">
              <w:rPr>
                <w:rFonts w:cs="Arial"/>
                <w:sz w:val="18"/>
                <w:szCs w:val="18"/>
              </w:rPr>
              <w:t>-</w:t>
            </w:r>
          </w:p>
        </w:tc>
        <w:tc>
          <w:tcPr>
            <w:tcW w:w="572" w:type="pct"/>
          </w:tcPr>
          <w:p w14:paraId="49B99FE1" w14:textId="77777777" w:rsidR="00611726" w:rsidRPr="00545EC0" w:rsidRDefault="00611726" w:rsidP="001A7511">
            <w:pPr>
              <w:spacing w:before="40" w:line="240" w:lineRule="auto"/>
              <w:jc w:val="center"/>
              <w:rPr>
                <w:rFonts w:cs="Arial"/>
                <w:b/>
                <w:sz w:val="18"/>
                <w:szCs w:val="18"/>
              </w:rPr>
            </w:pPr>
            <w:r w:rsidRPr="00545EC0">
              <w:rPr>
                <w:rFonts w:cs="Arial"/>
                <w:b/>
                <w:sz w:val="18"/>
                <w:szCs w:val="18"/>
              </w:rPr>
              <w:t>S</w:t>
            </w:r>
          </w:p>
        </w:tc>
      </w:tr>
      <w:tr w:rsidR="003122F4" w:rsidRPr="00545EC0" w14:paraId="6F5E5D38" w14:textId="77777777" w:rsidTr="001A7511">
        <w:trPr>
          <w:trHeight w:val="255"/>
        </w:trPr>
        <w:tc>
          <w:tcPr>
            <w:tcW w:w="2141" w:type="pct"/>
          </w:tcPr>
          <w:p w14:paraId="725E4751" w14:textId="77777777" w:rsidR="00611726" w:rsidRPr="00545EC0" w:rsidRDefault="00611726" w:rsidP="001A7511">
            <w:pPr>
              <w:spacing w:before="40" w:line="240" w:lineRule="auto"/>
              <w:rPr>
                <w:rFonts w:cs="Arial"/>
                <w:sz w:val="18"/>
                <w:szCs w:val="18"/>
                <w:lang w:val="pl-PL"/>
              </w:rPr>
            </w:pPr>
            <w:r w:rsidRPr="00545EC0">
              <w:rPr>
                <w:rFonts w:cs="Arial"/>
                <w:sz w:val="18"/>
                <w:szCs w:val="18"/>
                <w:lang w:val="pl-PL"/>
              </w:rPr>
              <w:t>4016 Murska kotlina</w:t>
            </w:r>
          </w:p>
        </w:tc>
        <w:tc>
          <w:tcPr>
            <w:tcW w:w="572" w:type="pct"/>
          </w:tcPr>
          <w:p w14:paraId="25E2D05C" w14:textId="77777777" w:rsidR="00611726" w:rsidRPr="00545EC0" w:rsidRDefault="00611726" w:rsidP="001A7511">
            <w:pPr>
              <w:spacing w:before="40" w:line="240" w:lineRule="auto"/>
              <w:jc w:val="center"/>
              <w:rPr>
                <w:rFonts w:cs="Arial"/>
                <w:sz w:val="18"/>
                <w:szCs w:val="18"/>
                <w:lang w:val="sv-SE"/>
              </w:rPr>
            </w:pPr>
            <w:r w:rsidRPr="00545EC0">
              <w:rPr>
                <w:rFonts w:cs="Arial"/>
                <w:sz w:val="18"/>
                <w:szCs w:val="18"/>
                <w:lang w:val="sv-SE"/>
              </w:rPr>
              <w:t>S</w:t>
            </w:r>
          </w:p>
        </w:tc>
        <w:tc>
          <w:tcPr>
            <w:tcW w:w="572" w:type="pct"/>
          </w:tcPr>
          <w:p w14:paraId="09601C7D" w14:textId="77777777" w:rsidR="00611726" w:rsidRPr="00545EC0" w:rsidRDefault="00611726" w:rsidP="001A7511">
            <w:pPr>
              <w:spacing w:before="40" w:line="240" w:lineRule="auto"/>
              <w:jc w:val="center"/>
              <w:rPr>
                <w:rFonts w:cs="Arial"/>
                <w:sz w:val="18"/>
                <w:szCs w:val="18"/>
                <w:lang w:val="sv-SE"/>
              </w:rPr>
            </w:pPr>
            <w:r w:rsidRPr="00545EC0">
              <w:rPr>
                <w:rFonts w:cs="Arial"/>
                <w:sz w:val="18"/>
                <w:szCs w:val="18"/>
                <w:lang w:val="sv-SE"/>
              </w:rPr>
              <w:t>S</w:t>
            </w:r>
          </w:p>
        </w:tc>
        <w:tc>
          <w:tcPr>
            <w:tcW w:w="572" w:type="pct"/>
          </w:tcPr>
          <w:p w14:paraId="47318A54" w14:textId="77777777" w:rsidR="00611726" w:rsidRPr="00545EC0" w:rsidRDefault="00611726" w:rsidP="001A7511">
            <w:pPr>
              <w:spacing w:before="40" w:line="240" w:lineRule="auto"/>
              <w:jc w:val="center"/>
              <w:rPr>
                <w:rFonts w:cs="Arial"/>
                <w:sz w:val="18"/>
                <w:szCs w:val="18"/>
                <w:lang w:val="sv-SE"/>
              </w:rPr>
            </w:pPr>
            <w:r w:rsidRPr="00545EC0">
              <w:rPr>
                <w:rFonts w:cs="Arial"/>
                <w:sz w:val="18"/>
                <w:szCs w:val="18"/>
                <w:lang w:val="sv-SE"/>
              </w:rPr>
              <w:t>S</w:t>
            </w:r>
          </w:p>
        </w:tc>
        <w:tc>
          <w:tcPr>
            <w:tcW w:w="572" w:type="pct"/>
          </w:tcPr>
          <w:p w14:paraId="529484B8" w14:textId="77777777" w:rsidR="00611726" w:rsidRPr="00545EC0" w:rsidRDefault="00611726" w:rsidP="001A7511">
            <w:pPr>
              <w:spacing w:before="40" w:line="240" w:lineRule="auto"/>
              <w:jc w:val="center"/>
              <w:rPr>
                <w:rFonts w:cs="Arial"/>
                <w:sz w:val="18"/>
                <w:szCs w:val="18"/>
              </w:rPr>
            </w:pPr>
            <w:r w:rsidRPr="00545EC0">
              <w:rPr>
                <w:rFonts w:cs="Arial"/>
                <w:sz w:val="18"/>
                <w:szCs w:val="18"/>
              </w:rPr>
              <w:t>-</w:t>
            </w:r>
          </w:p>
        </w:tc>
        <w:tc>
          <w:tcPr>
            <w:tcW w:w="572" w:type="pct"/>
          </w:tcPr>
          <w:p w14:paraId="26B45645" w14:textId="77777777" w:rsidR="00611726" w:rsidRPr="00545EC0" w:rsidRDefault="00611726" w:rsidP="001A7511">
            <w:pPr>
              <w:spacing w:before="40" w:line="240" w:lineRule="auto"/>
              <w:jc w:val="center"/>
              <w:rPr>
                <w:rFonts w:cs="Arial"/>
                <w:b/>
                <w:sz w:val="18"/>
                <w:szCs w:val="18"/>
              </w:rPr>
            </w:pPr>
            <w:r w:rsidRPr="00545EC0">
              <w:rPr>
                <w:rFonts w:cs="Arial"/>
                <w:b/>
                <w:sz w:val="18"/>
                <w:szCs w:val="18"/>
              </w:rPr>
              <w:t>S</w:t>
            </w:r>
          </w:p>
        </w:tc>
      </w:tr>
      <w:tr w:rsidR="003122F4" w:rsidRPr="00545EC0" w14:paraId="0A757497" w14:textId="77777777" w:rsidTr="001A7511">
        <w:trPr>
          <w:trHeight w:val="255"/>
        </w:trPr>
        <w:tc>
          <w:tcPr>
            <w:tcW w:w="2141" w:type="pct"/>
          </w:tcPr>
          <w:p w14:paraId="122B2A7A" w14:textId="77777777" w:rsidR="00611726" w:rsidRPr="00545EC0" w:rsidRDefault="00611726" w:rsidP="001A7511">
            <w:pPr>
              <w:spacing w:before="40" w:line="240" w:lineRule="auto"/>
              <w:rPr>
                <w:rFonts w:cs="Arial"/>
                <w:sz w:val="18"/>
                <w:szCs w:val="18"/>
                <w:lang w:val="pl-PL"/>
              </w:rPr>
            </w:pPr>
            <w:r w:rsidRPr="00545EC0">
              <w:rPr>
                <w:rFonts w:cs="Arial"/>
                <w:sz w:val="18"/>
                <w:szCs w:val="18"/>
                <w:lang w:val="pl-PL"/>
              </w:rPr>
              <w:t>4017 Vzhodne Slovenske gorice</w:t>
            </w:r>
          </w:p>
        </w:tc>
        <w:tc>
          <w:tcPr>
            <w:tcW w:w="572" w:type="pct"/>
          </w:tcPr>
          <w:p w14:paraId="1D094AD6" w14:textId="77777777" w:rsidR="00611726" w:rsidRPr="00545EC0" w:rsidRDefault="00611726" w:rsidP="001A7511">
            <w:pPr>
              <w:spacing w:before="40" w:line="240" w:lineRule="auto"/>
              <w:jc w:val="center"/>
              <w:rPr>
                <w:rFonts w:cs="Arial"/>
                <w:sz w:val="18"/>
                <w:szCs w:val="18"/>
                <w:lang w:val="sv-SE"/>
              </w:rPr>
            </w:pPr>
            <w:r w:rsidRPr="00545EC0">
              <w:rPr>
                <w:rFonts w:cs="Arial"/>
                <w:sz w:val="18"/>
                <w:szCs w:val="18"/>
                <w:lang w:val="sv-SE"/>
              </w:rPr>
              <w:t>V</w:t>
            </w:r>
          </w:p>
        </w:tc>
        <w:tc>
          <w:tcPr>
            <w:tcW w:w="572" w:type="pct"/>
          </w:tcPr>
          <w:p w14:paraId="0888B648" w14:textId="77777777" w:rsidR="00611726" w:rsidRPr="00545EC0" w:rsidRDefault="00611726" w:rsidP="001A7511">
            <w:pPr>
              <w:spacing w:before="40" w:line="240" w:lineRule="auto"/>
              <w:jc w:val="center"/>
              <w:rPr>
                <w:rFonts w:cs="Arial"/>
                <w:sz w:val="18"/>
                <w:szCs w:val="18"/>
                <w:lang w:val="sv-SE"/>
              </w:rPr>
            </w:pPr>
            <w:r w:rsidRPr="00545EC0">
              <w:rPr>
                <w:rFonts w:cs="Arial"/>
                <w:sz w:val="18"/>
                <w:szCs w:val="18"/>
                <w:lang w:val="sv-SE"/>
              </w:rPr>
              <w:t>S</w:t>
            </w:r>
          </w:p>
        </w:tc>
        <w:tc>
          <w:tcPr>
            <w:tcW w:w="572" w:type="pct"/>
          </w:tcPr>
          <w:p w14:paraId="7FC5A704" w14:textId="77777777" w:rsidR="00611726" w:rsidRPr="00545EC0" w:rsidRDefault="00611726" w:rsidP="001A7511">
            <w:pPr>
              <w:spacing w:before="40" w:line="240" w:lineRule="auto"/>
              <w:jc w:val="center"/>
              <w:rPr>
                <w:rFonts w:cs="Arial"/>
                <w:sz w:val="18"/>
                <w:szCs w:val="18"/>
                <w:lang w:val="sv-SE"/>
              </w:rPr>
            </w:pPr>
            <w:r w:rsidRPr="00545EC0">
              <w:rPr>
                <w:rFonts w:cs="Arial"/>
                <w:sz w:val="18"/>
                <w:szCs w:val="18"/>
                <w:lang w:val="sv-SE"/>
              </w:rPr>
              <w:t>S</w:t>
            </w:r>
          </w:p>
        </w:tc>
        <w:tc>
          <w:tcPr>
            <w:tcW w:w="572" w:type="pct"/>
          </w:tcPr>
          <w:p w14:paraId="5CA553DD" w14:textId="77777777" w:rsidR="00611726" w:rsidRPr="00545EC0" w:rsidRDefault="00611726" w:rsidP="001A7511">
            <w:pPr>
              <w:spacing w:before="40" w:line="240" w:lineRule="auto"/>
              <w:jc w:val="center"/>
              <w:rPr>
                <w:rFonts w:cs="Arial"/>
                <w:sz w:val="18"/>
                <w:szCs w:val="18"/>
              </w:rPr>
            </w:pPr>
            <w:r w:rsidRPr="00545EC0">
              <w:rPr>
                <w:rFonts w:cs="Arial"/>
                <w:sz w:val="18"/>
                <w:szCs w:val="18"/>
              </w:rPr>
              <w:t>-</w:t>
            </w:r>
          </w:p>
        </w:tc>
        <w:tc>
          <w:tcPr>
            <w:tcW w:w="572" w:type="pct"/>
          </w:tcPr>
          <w:p w14:paraId="4D8F3873" w14:textId="77777777" w:rsidR="00611726" w:rsidRPr="00545EC0" w:rsidRDefault="00611726" w:rsidP="001A7511">
            <w:pPr>
              <w:spacing w:before="40" w:line="240" w:lineRule="auto"/>
              <w:jc w:val="center"/>
              <w:rPr>
                <w:rFonts w:cs="Arial"/>
                <w:b/>
                <w:sz w:val="18"/>
                <w:szCs w:val="18"/>
              </w:rPr>
            </w:pPr>
            <w:r w:rsidRPr="00545EC0">
              <w:rPr>
                <w:rFonts w:cs="Arial"/>
                <w:b/>
                <w:sz w:val="18"/>
                <w:szCs w:val="18"/>
              </w:rPr>
              <w:t>S</w:t>
            </w:r>
          </w:p>
        </w:tc>
      </w:tr>
      <w:tr w:rsidR="003122F4" w:rsidRPr="00545EC0" w14:paraId="5417BF37" w14:textId="77777777" w:rsidTr="001A7511">
        <w:trPr>
          <w:trHeight w:val="255"/>
        </w:trPr>
        <w:tc>
          <w:tcPr>
            <w:tcW w:w="2141" w:type="pct"/>
          </w:tcPr>
          <w:p w14:paraId="57066C0B" w14:textId="77777777" w:rsidR="00611726" w:rsidRPr="00545EC0" w:rsidRDefault="00611726" w:rsidP="001A7511">
            <w:pPr>
              <w:spacing w:before="40" w:line="240" w:lineRule="auto"/>
              <w:rPr>
                <w:rFonts w:cs="Arial"/>
                <w:sz w:val="18"/>
                <w:szCs w:val="18"/>
                <w:lang w:val="pl-PL"/>
              </w:rPr>
            </w:pPr>
            <w:r w:rsidRPr="00545EC0">
              <w:rPr>
                <w:rFonts w:cs="Arial"/>
                <w:sz w:val="18"/>
                <w:szCs w:val="18"/>
                <w:lang w:val="pl-PL"/>
              </w:rPr>
              <w:t>4018 Goričko</w:t>
            </w:r>
          </w:p>
        </w:tc>
        <w:tc>
          <w:tcPr>
            <w:tcW w:w="572" w:type="pct"/>
          </w:tcPr>
          <w:p w14:paraId="2C6BBBC3" w14:textId="77777777" w:rsidR="00611726" w:rsidRPr="00545EC0" w:rsidRDefault="00611726" w:rsidP="001A7511">
            <w:pPr>
              <w:spacing w:before="40" w:line="240" w:lineRule="auto"/>
              <w:jc w:val="center"/>
              <w:rPr>
                <w:rFonts w:cs="Arial"/>
                <w:sz w:val="18"/>
                <w:szCs w:val="18"/>
                <w:lang w:val="sv-SE"/>
              </w:rPr>
            </w:pPr>
            <w:r w:rsidRPr="00545EC0">
              <w:rPr>
                <w:rFonts w:cs="Arial"/>
                <w:sz w:val="18"/>
                <w:szCs w:val="18"/>
                <w:lang w:val="sv-SE"/>
              </w:rPr>
              <w:t>V</w:t>
            </w:r>
          </w:p>
        </w:tc>
        <w:tc>
          <w:tcPr>
            <w:tcW w:w="572" w:type="pct"/>
          </w:tcPr>
          <w:p w14:paraId="3C0EF28B" w14:textId="77777777" w:rsidR="00611726" w:rsidRPr="00545EC0" w:rsidRDefault="00611726" w:rsidP="001A7511">
            <w:pPr>
              <w:spacing w:before="40" w:line="240" w:lineRule="auto"/>
              <w:jc w:val="center"/>
              <w:rPr>
                <w:rFonts w:cs="Arial"/>
                <w:sz w:val="18"/>
                <w:szCs w:val="18"/>
                <w:lang w:val="sv-SE"/>
              </w:rPr>
            </w:pPr>
            <w:r w:rsidRPr="00545EC0">
              <w:rPr>
                <w:rFonts w:cs="Arial"/>
                <w:sz w:val="18"/>
                <w:szCs w:val="18"/>
                <w:lang w:val="sv-SE"/>
              </w:rPr>
              <w:t>S</w:t>
            </w:r>
          </w:p>
        </w:tc>
        <w:tc>
          <w:tcPr>
            <w:tcW w:w="572" w:type="pct"/>
          </w:tcPr>
          <w:p w14:paraId="247B9C02" w14:textId="77777777" w:rsidR="00611726" w:rsidRPr="00545EC0" w:rsidRDefault="00611726" w:rsidP="001A7511">
            <w:pPr>
              <w:spacing w:before="40" w:line="240" w:lineRule="auto"/>
              <w:jc w:val="center"/>
              <w:rPr>
                <w:rFonts w:cs="Arial"/>
                <w:sz w:val="18"/>
                <w:szCs w:val="18"/>
              </w:rPr>
            </w:pPr>
            <w:r w:rsidRPr="00545EC0">
              <w:rPr>
                <w:rFonts w:cs="Arial"/>
                <w:sz w:val="18"/>
                <w:szCs w:val="18"/>
              </w:rPr>
              <w:t>S</w:t>
            </w:r>
          </w:p>
        </w:tc>
        <w:tc>
          <w:tcPr>
            <w:tcW w:w="572" w:type="pct"/>
          </w:tcPr>
          <w:p w14:paraId="351CC694" w14:textId="77777777" w:rsidR="00611726" w:rsidRPr="00545EC0" w:rsidRDefault="00611726" w:rsidP="001A7511">
            <w:pPr>
              <w:spacing w:before="40" w:line="240" w:lineRule="auto"/>
              <w:jc w:val="center"/>
              <w:rPr>
                <w:rFonts w:cs="Arial"/>
                <w:sz w:val="18"/>
                <w:szCs w:val="18"/>
              </w:rPr>
            </w:pPr>
            <w:r w:rsidRPr="00545EC0">
              <w:rPr>
                <w:rFonts w:cs="Arial"/>
                <w:sz w:val="18"/>
                <w:szCs w:val="18"/>
              </w:rPr>
              <w:t>-</w:t>
            </w:r>
          </w:p>
        </w:tc>
        <w:tc>
          <w:tcPr>
            <w:tcW w:w="572" w:type="pct"/>
          </w:tcPr>
          <w:p w14:paraId="2BFAEB0B" w14:textId="77777777" w:rsidR="00611726" w:rsidRPr="00545EC0" w:rsidRDefault="00611726" w:rsidP="001A7511">
            <w:pPr>
              <w:spacing w:before="40" w:line="240" w:lineRule="auto"/>
              <w:jc w:val="center"/>
              <w:rPr>
                <w:rFonts w:cs="Arial"/>
                <w:b/>
                <w:sz w:val="18"/>
                <w:szCs w:val="18"/>
              </w:rPr>
            </w:pPr>
            <w:r w:rsidRPr="00545EC0">
              <w:rPr>
                <w:rFonts w:cs="Arial"/>
                <w:b/>
                <w:sz w:val="18"/>
                <w:szCs w:val="18"/>
              </w:rPr>
              <w:t>S</w:t>
            </w:r>
          </w:p>
        </w:tc>
      </w:tr>
    </w:tbl>
    <w:p w14:paraId="23ADF30A" w14:textId="77777777" w:rsidR="00611726" w:rsidRPr="00545EC0" w:rsidRDefault="00611726" w:rsidP="00611726">
      <w:pPr>
        <w:rPr>
          <w:rFonts w:cs="Arial"/>
          <w:i/>
          <w:sz w:val="18"/>
          <w:szCs w:val="18"/>
        </w:rPr>
      </w:pPr>
      <w:r w:rsidRPr="00545EC0">
        <w:rPr>
          <w:rFonts w:cs="Arial"/>
          <w:i/>
          <w:sz w:val="18"/>
          <w:szCs w:val="18"/>
        </w:rPr>
        <w:t xml:space="preserve">Opombe: </w:t>
      </w:r>
      <w:r w:rsidRPr="00545EC0">
        <w:rPr>
          <w:rFonts w:cs="Arial"/>
          <w:i/>
          <w:sz w:val="18"/>
          <w:szCs w:val="18"/>
        </w:rPr>
        <w:tab/>
        <w:t>V – visoka stopnja zaupanja; S – srednja stopnja zaupanja; N – nizka stopnja zaupanja, - – preizkus za dano vodno telo ni relevanten</w:t>
      </w:r>
    </w:p>
    <w:p w14:paraId="63519036" w14:textId="614961E9" w:rsidR="00611726" w:rsidRPr="00545EC0" w:rsidRDefault="00611726" w:rsidP="00392769">
      <w:pPr>
        <w:pStyle w:val="Naslov4"/>
        <w:rPr>
          <w:color w:val="auto"/>
          <w:szCs w:val="26"/>
        </w:rPr>
      </w:pPr>
      <w:r w:rsidRPr="00545EC0">
        <w:rPr>
          <w:color w:val="auto"/>
          <w:szCs w:val="26"/>
        </w:rPr>
        <w:t>Skupna ocena količinskega stanja podzemnih voda</w:t>
      </w:r>
    </w:p>
    <w:p w14:paraId="4B164FB1" w14:textId="75316A95" w:rsidR="00611726" w:rsidRPr="00545EC0" w:rsidRDefault="00611726" w:rsidP="00581CEA">
      <w:pPr>
        <w:spacing w:before="240" w:after="120"/>
        <w:rPr>
          <w:rFonts w:cs="Arial"/>
          <w:szCs w:val="20"/>
        </w:rPr>
      </w:pPr>
      <w:r w:rsidRPr="00545EC0">
        <w:rPr>
          <w:rFonts w:cs="Arial"/>
          <w:szCs w:val="20"/>
        </w:rPr>
        <w:t xml:space="preserve">Na podlagi rezultatov izvedenih preizkusov predpisanega postopka ocenjevanja količinskega stanja </w:t>
      </w:r>
      <w:r w:rsidR="00D97D42" w:rsidRPr="00545EC0">
        <w:rPr>
          <w:rFonts w:cs="Arial"/>
          <w:szCs w:val="20"/>
        </w:rPr>
        <w:t xml:space="preserve">vodnih teles </w:t>
      </w:r>
      <w:r w:rsidRPr="00545EC0">
        <w:rPr>
          <w:rFonts w:cs="Arial"/>
          <w:szCs w:val="20"/>
        </w:rPr>
        <w:t xml:space="preserve">podzemnih voda, se količinsko stanje v ocenjevalnem obdobju 2014–2019 v </w:t>
      </w:r>
      <w:r w:rsidRPr="00545EC0">
        <w:rPr>
          <w:rFonts w:cs="Arial"/>
          <w:szCs w:val="20"/>
        </w:rPr>
        <w:lastRenderedPageBreak/>
        <w:t xml:space="preserve">vodonosnikih 17 vodnih teles podzemnih voda na vodnem območju Donave ocenjuje s skupno oceno </w:t>
      </w:r>
      <w:r w:rsidR="007C07BC" w:rsidRPr="00545EC0">
        <w:rPr>
          <w:rFonts w:cs="Arial"/>
          <w:szCs w:val="20"/>
        </w:rPr>
        <w:t>dobro</w:t>
      </w:r>
      <w:r w:rsidRPr="00545EC0">
        <w:rPr>
          <w:rFonts w:cs="Arial"/>
          <w:szCs w:val="20"/>
        </w:rPr>
        <w:t xml:space="preserve">. Izjema je vodno telo podzemne vode VTpodV_3012 Dravska kotlina, kjer je bilo zaradi neizpolnjevanja kriterijev dobrega količinskega stanja, s preizkusom vpliva odvzemov podzemne vode na vdore slane vode ali vode slabše kakovosti, stanje ocenjeno kot </w:t>
      </w:r>
      <w:r w:rsidR="007C07BC" w:rsidRPr="00545EC0">
        <w:rPr>
          <w:rFonts w:cs="Arial"/>
          <w:szCs w:val="20"/>
        </w:rPr>
        <w:t>slabo</w:t>
      </w:r>
      <w:r w:rsidRPr="00545EC0">
        <w:rPr>
          <w:rFonts w:cs="Arial"/>
          <w:szCs w:val="20"/>
        </w:rPr>
        <w:t>. (</w:t>
      </w:r>
      <w:r w:rsidRPr="00545EC0">
        <w:rPr>
          <w:rFonts w:cs="Arial"/>
          <w:i/>
          <w:szCs w:val="20"/>
        </w:rPr>
        <w:t>Publikacijska karta</w:t>
      </w:r>
      <w:r w:rsidR="002B19AC" w:rsidRPr="00545EC0">
        <w:rPr>
          <w:rFonts w:cs="Arial"/>
          <w:i/>
          <w:szCs w:val="20"/>
        </w:rPr>
        <w:t xml:space="preserve"> 14.1</w:t>
      </w:r>
      <w:r w:rsidRPr="00545EC0">
        <w:rPr>
          <w:rFonts w:cs="Arial"/>
          <w:i/>
          <w:szCs w:val="20"/>
        </w:rPr>
        <w:t>: Ocena količinskega stanja podzemnih voda</w:t>
      </w:r>
      <w:r w:rsidRPr="00545EC0">
        <w:rPr>
          <w:rFonts w:cs="Arial"/>
          <w:szCs w:val="20"/>
        </w:rPr>
        <w:t>,</w:t>
      </w:r>
      <w:r w:rsidR="00581CEA" w:rsidRPr="00545EC0">
        <w:rPr>
          <w:rFonts w:cs="Arial"/>
          <w:szCs w:val="20"/>
        </w:rPr>
        <w:t xml:space="preserve"> </w:t>
      </w:r>
      <w:r w:rsidR="00282CF5" w:rsidRPr="00545EC0">
        <w:rPr>
          <w:rFonts w:cs="Arial"/>
          <w:szCs w:val="20"/>
        </w:rPr>
        <w:fldChar w:fldCharType="begin"/>
      </w:r>
      <w:r w:rsidR="00282CF5" w:rsidRPr="00545EC0">
        <w:rPr>
          <w:rFonts w:cs="Arial"/>
          <w:szCs w:val="20"/>
        </w:rPr>
        <w:instrText xml:space="preserve"> REF _Ref84324414 \h </w:instrText>
      </w:r>
      <w:r w:rsidR="00F37A91" w:rsidRPr="00545EC0">
        <w:rPr>
          <w:rFonts w:cs="Arial"/>
          <w:szCs w:val="20"/>
        </w:rPr>
        <w:instrText xml:space="preserve"> \* MERGEFORMAT </w:instrText>
      </w:r>
      <w:r w:rsidR="00282CF5" w:rsidRPr="00545EC0">
        <w:rPr>
          <w:rFonts w:cs="Arial"/>
          <w:szCs w:val="20"/>
        </w:rPr>
      </w:r>
      <w:r w:rsidR="00282CF5" w:rsidRPr="00545EC0">
        <w:rPr>
          <w:rFonts w:cs="Arial"/>
          <w:szCs w:val="20"/>
        </w:rPr>
        <w:fldChar w:fldCharType="separate"/>
      </w:r>
      <w:r w:rsidR="002F3E43" w:rsidRPr="00545EC0">
        <w:t xml:space="preserve">Preglednica </w:t>
      </w:r>
      <w:r w:rsidR="002F3E43">
        <w:rPr>
          <w:noProof/>
        </w:rPr>
        <w:t>3</w:t>
      </w:r>
      <w:r w:rsidR="002F3E43" w:rsidRPr="00545EC0">
        <w:rPr>
          <w:noProof/>
        </w:rPr>
        <w:noBreakHyphen/>
      </w:r>
      <w:r w:rsidR="002F3E43">
        <w:rPr>
          <w:noProof/>
        </w:rPr>
        <w:t>11</w:t>
      </w:r>
      <w:r w:rsidR="00282CF5" w:rsidRPr="00545EC0">
        <w:rPr>
          <w:rFonts w:cs="Arial"/>
          <w:szCs w:val="20"/>
        </w:rPr>
        <w:fldChar w:fldCharType="end"/>
      </w:r>
      <w:r w:rsidRPr="00545EC0">
        <w:rPr>
          <w:rFonts w:cs="Arial"/>
          <w:szCs w:val="20"/>
        </w:rPr>
        <w:t>).</w:t>
      </w:r>
    </w:p>
    <w:p w14:paraId="31FC1E9B" w14:textId="77777777" w:rsidR="00611726" w:rsidRPr="00545EC0" w:rsidRDefault="00611726" w:rsidP="00581CEA">
      <w:pPr>
        <w:spacing w:before="120" w:after="120"/>
        <w:rPr>
          <w:rFonts w:cs="Arial"/>
          <w:szCs w:val="20"/>
        </w:rPr>
      </w:pPr>
      <w:r w:rsidRPr="00545EC0">
        <w:rPr>
          <w:rFonts w:cs="Arial"/>
          <w:szCs w:val="20"/>
        </w:rPr>
        <w:t>Vodnobilančni preizkus na podlagi primerjave odvzemov z razpoložljivo količino podzemne vode plitvih vodonosnikov izkazuje, da se na vodnem območju Donave letno črpa 4,3 % razpoložljive podzemne vode. Največji deleži črpanja glede na razpoložljive količine podzemne vode so v VTPodV_3012 Dravska kotlina (25,9 %), VTpodV_1001 Savska kotlina in Ljubljansko Barje (22,4 %) ter VTPodV_4016 Murska kotlina (20,9 %). Analiza trenda gladin podzemne vode pri ekstrapolaciji za obdobje do leta 2027 nakazuje nekaj območij z manjšim tveganjem za ohranjanje dobrega količinskega stanja, ki jih bo potrebno tudi v bodoče podrobneje spremljati.</w:t>
      </w:r>
    </w:p>
    <w:p w14:paraId="302EE9F7" w14:textId="69C856E4" w:rsidR="00611726" w:rsidRPr="00545EC0" w:rsidRDefault="00611726" w:rsidP="00581CEA">
      <w:pPr>
        <w:spacing w:before="240" w:after="120"/>
        <w:rPr>
          <w:rFonts w:cs="Arial"/>
          <w:szCs w:val="20"/>
        </w:rPr>
      </w:pPr>
      <w:r w:rsidRPr="00545EC0">
        <w:rPr>
          <w:rFonts w:cs="Arial"/>
          <w:szCs w:val="20"/>
        </w:rPr>
        <w:t>Po preizkusu vpliva odvzemov podzemne vode na ekološko stanje površinskih vodnih teles za območja rek, kjer je bilo ugotovljeno slabo stanje, črpanje podzemne vode ne povzroča slabega ekološkega stanja</w:t>
      </w:r>
      <w:r w:rsidR="00D97D42" w:rsidRPr="00545EC0">
        <w:rPr>
          <w:rFonts w:cs="Arial"/>
          <w:szCs w:val="20"/>
        </w:rPr>
        <w:t>.</w:t>
      </w:r>
    </w:p>
    <w:p w14:paraId="12D2716A" w14:textId="77777777" w:rsidR="00611726" w:rsidRPr="00545EC0" w:rsidRDefault="00611726" w:rsidP="00581CEA">
      <w:pPr>
        <w:spacing w:before="120" w:after="120"/>
        <w:rPr>
          <w:rFonts w:cs="Arial"/>
          <w:szCs w:val="20"/>
        </w:rPr>
      </w:pPr>
      <w:r w:rsidRPr="00545EC0">
        <w:rPr>
          <w:rFonts w:cs="Arial"/>
          <w:szCs w:val="20"/>
        </w:rPr>
        <w:t>Pri analizi vpliva odvzemov podzemne vode na kopenske ekosisteme odvisne od podzemne vode izračunani kazalci ne kažejo, da so kopenski ekosistemi ogroženi ali poškodovani zaradi črpanja podzemne vode.</w:t>
      </w:r>
    </w:p>
    <w:p w14:paraId="2E55AA54" w14:textId="77777777" w:rsidR="00611726" w:rsidRPr="00545EC0" w:rsidRDefault="00611726" w:rsidP="00581CEA">
      <w:pPr>
        <w:spacing w:after="120"/>
        <w:rPr>
          <w:rFonts w:cs="Arial"/>
          <w:szCs w:val="20"/>
        </w:rPr>
      </w:pPr>
      <w:r w:rsidRPr="00545EC0">
        <w:rPr>
          <w:rFonts w:cs="Arial"/>
          <w:szCs w:val="20"/>
        </w:rPr>
        <w:t>Preizkus vpliva odvzemov podzemne vode na vdore vode slabše kakovosti je bil opravljen za VTpodV_3012 Dravska kotlina, kjer na treh merilnih mestih v spodnjem pliocenskem vodonosniku beležimo preseganje naravnega ozadja vsebnosti nitrata v podzemni vodi, na enem pa statistično značilen trend naraščanja indikativnih parametrov SEP in nitrata v spodnjem pliocenskem vodonosniku. Predvidevamo, da je vzrok za nedoseganje pogojev preizkusa vdora vode slabše kakovosti v spodnji pliocenski vodonosnik prekomerno črpanje podzemne vode iz tega vodonosnika.</w:t>
      </w:r>
    </w:p>
    <w:p w14:paraId="19A7FF5A" w14:textId="1615265D" w:rsidR="00581CEA" w:rsidRPr="00545EC0" w:rsidRDefault="00611726" w:rsidP="00581CEA">
      <w:pPr>
        <w:spacing w:after="120"/>
        <w:rPr>
          <w:rFonts w:cs="Arial"/>
          <w:szCs w:val="20"/>
        </w:rPr>
      </w:pPr>
      <w:r w:rsidRPr="00545EC0">
        <w:rPr>
          <w:rFonts w:cs="Arial"/>
          <w:szCs w:val="20"/>
        </w:rPr>
        <w:t xml:space="preserve">Na območju globokega termalnega vodonosnika v Murski kotlini dosedanje hidrogeološke bilančne analize nakazujejo na počasno količinsko obnavljanje teh vodonosnikov in na zniževanje gladin termalne podzemne vode. Odvzemi termalne vode predstavljajo 44 % z modelom ocenjenega napajanja globokega vodonosnika. Stopnja zaupanja je srednja, ker so za oceno trenda uporabljeni le podatki indikativnih meritev, ocena napajanja pa temelji na modelu naravnega stanja. </w:t>
      </w:r>
    </w:p>
    <w:p w14:paraId="2D1EDB75" w14:textId="221B40C5" w:rsidR="00282CF5" w:rsidRPr="00545EC0" w:rsidRDefault="00282CF5" w:rsidP="00282CF5">
      <w:pPr>
        <w:pStyle w:val="Napis"/>
      </w:pPr>
      <w:bookmarkStart w:id="564" w:name="_Ref84324414"/>
      <w:r w:rsidRPr="00545EC0">
        <w:t xml:space="preserve">Preglednica </w:t>
      </w:r>
      <w:fldSimple w:instr=" STYLEREF 1 \s ">
        <w:r w:rsidR="002F3E43">
          <w:rPr>
            <w:noProof/>
          </w:rPr>
          <w:t>3</w:t>
        </w:r>
      </w:fldSimple>
      <w:r w:rsidR="001A7511" w:rsidRPr="00545EC0">
        <w:noBreakHyphen/>
      </w:r>
      <w:fldSimple w:instr=" SEQ Preglednica \* ARABIC \s 1 ">
        <w:r w:rsidR="002F3E43">
          <w:rPr>
            <w:noProof/>
          </w:rPr>
          <w:t>11</w:t>
        </w:r>
      </w:fldSimple>
      <w:bookmarkEnd w:id="564"/>
      <w:r w:rsidRPr="00545EC0">
        <w:t>: Skupna ocena količinskega stanja podzemnih voda na vodnem območju Donave (pomen simbolov v tabeli:</w:t>
      </w:r>
      <w:r w:rsidRPr="00545EC0">
        <w:rPr>
          <w:rFonts w:asciiTheme="majorHAnsi" w:hAnsiTheme="majorHAnsi"/>
        </w:rPr>
        <w:t xml:space="preserve"> </w:t>
      </w:r>
      <w:r w:rsidR="006A274E" w:rsidRPr="00545EC0">
        <w:rPr>
          <w:b/>
          <w:sz w:val="18"/>
        </w:rPr>
        <w:sym w:font="Wingdings" w:char="F0FC"/>
      </w:r>
      <w:r w:rsidRPr="00545EC0">
        <w:t>pogoj je izpolnjen,</w:t>
      </w:r>
      <w:r w:rsidRPr="00545EC0">
        <w:rPr>
          <w:rFonts w:ascii="Arial Narrow" w:hAnsi="Arial Narrow"/>
          <w:sz w:val="24"/>
          <w:szCs w:val="24"/>
        </w:rPr>
        <w:t xml:space="preserve"> </w:t>
      </w:r>
      <w:r w:rsidRPr="00545EC0">
        <w:rPr>
          <w:rFonts w:asciiTheme="majorHAnsi" w:hAnsiTheme="majorHAnsi"/>
          <w:sz w:val="24"/>
          <w:szCs w:val="24"/>
          <w:lang w:val="sv-SE"/>
        </w:rPr>
        <w:sym w:font="Wingdings 2" w:char="F054"/>
      </w:r>
      <w:r w:rsidRPr="00545EC0">
        <w:rPr>
          <w:rFonts w:asciiTheme="majorHAnsi" w:hAnsiTheme="majorHAnsi"/>
        </w:rPr>
        <w:t xml:space="preserve"> </w:t>
      </w:r>
      <w:r w:rsidRPr="00545EC0">
        <w:t>pogoj ni izpolnjen)</w:t>
      </w:r>
    </w:p>
    <w:tbl>
      <w:tblPr>
        <w:tblStyle w:val="Tabela-mrea1"/>
        <w:tblW w:w="5000" w:type="pct"/>
        <w:tblLayout w:type="fixed"/>
        <w:tblLook w:val="01E0" w:firstRow="1" w:lastRow="1" w:firstColumn="1" w:lastColumn="1" w:noHBand="0" w:noVBand="0"/>
      </w:tblPr>
      <w:tblGrid>
        <w:gridCol w:w="4345"/>
        <w:gridCol w:w="569"/>
        <w:gridCol w:w="637"/>
        <w:gridCol w:w="507"/>
        <w:gridCol w:w="571"/>
        <w:gridCol w:w="1561"/>
        <w:gridCol w:w="1097"/>
      </w:tblGrid>
      <w:tr w:rsidR="003122F4" w:rsidRPr="00545EC0" w14:paraId="7ACDF6DD" w14:textId="77777777" w:rsidTr="005303E5">
        <w:trPr>
          <w:trHeight w:val="1134"/>
        </w:trPr>
        <w:tc>
          <w:tcPr>
            <w:tcW w:w="4345" w:type="dxa"/>
            <w:shd w:val="clear" w:color="auto" w:fill="F2F2F2" w:themeFill="background1" w:themeFillShade="F2"/>
          </w:tcPr>
          <w:p w14:paraId="6FE43497" w14:textId="77777777" w:rsidR="00611726" w:rsidRPr="00545EC0" w:rsidRDefault="00611726" w:rsidP="00FC3120">
            <w:pPr>
              <w:rPr>
                <w:rFonts w:cs="Arial"/>
                <w:b/>
                <w:sz w:val="18"/>
                <w:szCs w:val="18"/>
              </w:rPr>
            </w:pPr>
            <w:r w:rsidRPr="00545EC0">
              <w:rPr>
                <w:rFonts w:cs="Arial"/>
                <w:b/>
                <w:sz w:val="18"/>
                <w:szCs w:val="18"/>
              </w:rPr>
              <w:t>Vodno telo podzemne vode (šifra in ime)</w:t>
            </w:r>
          </w:p>
        </w:tc>
        <w:tc>
          <w:tcPr>
            <w:tcW w:w="569" w:type="dxa"/>
            <w:shd w:val="clear" w:color="auto" w:fill="F2F2F2" w:themeFill="background1" w:themeFillShade="F2"/>
            <w:textDirection w:val="btLr"/>
          </w:tcPr>
          <w:p w14:paraId="20C28523" w14:textId="77777777" w:rsidR="00611726" w:rsidRPr="00545EC0" w:rsidRDefault="00611726" w:rsidP="00FC3120">
            <w:pPr>
              <w:ind w:left="113" w:right="113"/>
              <w:rPr>
                <w:rFonts w:cs="Arial"/>
                <w:b/>
                <w:sz w:val="18"/>
                <w:szCs w:val="18"/>
              </w:rPr>
            </w:pPr>
            <w:r w:rsidRPr="00545EC0">
              <w:rPr>
                <w:rFonts w:cs="Arial"/>
                <w:b/>
                <w:sz w:val="18"/>
                <w:szCs w:val="18"/>
              </w:rPr>
              <w:t>Preizkus 1</w:t>
            </w:r>
          </w:p>
        </w:tc>
        <w:tc>
          <w:tcPr>
            <w:tcW w:w="637" w:type="dxa"/>
            <w:shd w:val="clear" w:color="auto" w:fill="F2F2F2" w:themeFill="background1" w:themeFillShade="F2"/>
            <w:textDirection w:val="btLr"/>
          </w:tcPr>
          <w:p w14:paraId="617A41FD" w14:textId="77777777" w:rsidR="00611726" w:rsidRPr="00545EC0" w:rsidRDefault="00611726" w:rsidP="00FC3120">
            <w:pPr>
              <w:ind w:left="113" w:right="113"/>
              <w:rPr>
                <w:rFonts w:cs="Arial"/>
                <w:b/>
                <w:sz w:val="18"/>
                <w:szCs w:val="18"/>
              </w:rPr>
            </w:pPr>
            <w:r w:rsidRPr="00545EC0">
              <w:rPr>
                <w:rFonts w:cs="Arial"/>
                <w:b/>
                <w:sz w:val="18"/>
                <w:szCs w:val="18"/>
              </w:rPr>
              <w:t>Preizkus 2</w:t>
            </w:r>
          </w:p>
        </w:tc>
        <w:tc>
          <w:tcPr>
            <w:tcW w:w="507" w:type="dxa"/>
            <w:shd w:val="clear" w:color="auto" w:fill="F2F2F2" w:themeFill="background1" w:themeFillShade="F2"/>
            <w:textDirection w:val="btLr"/>
          </w:tcPr>
          <w:p w14:paraId="2A42828B" w14:textId="77777777" w:rsidR="00611726" w:rsidRPr="00545EC0" w:rsidRDefault="00611726" w:rsidP="00FC3120">
            <w:pPr>
              <w:ind w:left="113" w:right="113"/>
              <w:rPr>
                <w:rFonts w:cs="Arial"/>
                <w:b/>
                <w:sz w:val="18"/>
                <w:szCs w:val="18"/>
              </w:rPr>
            </w:pPr>
            <w:r w:rsidRPr="00545EC0">
              <w:rPr>
                <w:rFonts w:cs="Arial"/>
                <w:b/>
                <w:sz w:val="18"/>
                <w:szCs w:val="18"/>
              </w:rPr>
              <w:t>Preizkus 3</w:t>
            </w:r>
          </w:p>
        </w:tc>
        <w:tc>
          <w:tcPr>
            <w:tcW w:w="571" w:type="dxa"/>
            <w:shd w:val="clear" w:color="auto" w:fill="F2F2F2" w:themeFill="background1" w:themeFillShade="F2"/>
            <w:textDirection w:val="btLr"/>
          </w:tcPr>
          <w:p w14:paraId="5496DD18" w14:textId="77777777" w:rsidR="00611726" w:rsidRPr="00545EC0" w:rsidRDefault="00611726" w:rsidP="00FC3120">
            <w:pPr>
              <w:ind w:left="113" w:right="113"/>
              <w:rPr>
                <w:rFonts w:cs="Arial"/>
                <w:b/>
                <w:sz w:val="18"/>
                <w:szCs w:val="18"/>
              </w:rPr>
            </w:pPr>
            <w:r w:rsidRPr="00545EC0">
              <w:rPr>
                <w:rFonts w:cs="Arial"/>
                <w:b/>
                <w:sz w:val="18"/>
                <w:szCs w:val="18"/>
              </w:rPr>
              <w:t>Preizkus 4</w:t>
            </w:r>
          </w:p>
        </w:tc>
        <w:tc>
          <w:tcPr>
            <w:tcW w:w="1561" w:type="dxa"/>
            <w:shd w:val="clear" w:color="auto" w:fill="F2F2F2" w:themeFill="background1" w:themeFillShade="F2"/>
          </w:tcPr>
          <w:p w14:paraId="3AACD050" w14:textId="77777777" w:rsidR="00611726" w:rsidRPr="00545EC0" w:rsidRDefault="00611726" w:rsidP="00FC3120">
            <w:pPr>
              <w:jc w:val="center"/>
              <w:rPr>
                <w:rFonts w:cs="Arial"/>
                <w:b/>
                <w:sz w:val="18"/>
                <w:szCs w:val="18"/>
              </w:rPr>
            </w:pPr>
            <w:r w:rsidRPr="00545EC0">
              <w:rPr>
                <w:rFonts w:cs="Arial"/>
                <w:b/>
                <w:sz w:val="18"/>
                <w:szCs w:val="18"/>
              </w:rPr>
              <w:t>Stopnja zaupanja</w:t>
            </w:r>
          </w:p>
        </w:tc>
        <w:tc>
          <w:tcPr>
            <w:tcW w:w="1097" w:type="dxa"/>
            <w:shd w:val="clear" w:color="auto" w:fill="F2F2F2" w:themeFill="background1" w:themeFillShade="F2"/>
          </w:tcPr>
          <w:p w14:paraId="12C06ACD" w14:textId="77777777" w:rsidR="00611726" w:rsidRPr="00545EC0" w:rsidRDefault="00611726" w:rsidP="00FC3120">
            <w:pPr>
              <w:jc w:val="center"/>
              <w:rPr>
                <w:rFonts w:cs="Arial"/>
                <w:b/>
                <w:sz w:val="18"/>
                <w:szCs w:val="18"/>
                <w:lang w:val="pl-PL"/>
              </w:rPr>
            </w:pPr>
            <w:r w:rsidRPr="00545EC0">
              <w:rPr>
                <w:rFonts w:cs="Arial"/>
                <w:b/>
                <w:sz w:val="18"/>
                <w:szCs w:val="18"/>
                <w:lang w:val="pl-PL"/>
              </w:rPr>
              <w:t>Ocena stanja</w:t>
            </w:r>
          </w:p>
        </w:tc>
      </w:tr>
      <w:tr w:rsidR="005303E5" w:rsidRPr="00545EC0" w14:paraId="5F110458" w14:textId="77777777" w:rsidTr="005303E5">
        <w:trPr>
          <w:trHeight w:hRule="exact" w:val="340"/>
        </w:trPr>
        <w:tc>
          <w:tcPr>
            <w:tcW w:w="4345" w:type="dxa"/>
          </w:tcPr>
          <w:p w14:paraId="4A84658F" w14:textId="77777777" w:rsidR="005303E5" w:rsidRPr="00545EC0" w:rsidRDefault="005303E5" w:rsidP="00FC3120">
            <w:pPr>
              <w:rPr>
                <w:rFonts w:cs="Arial"/>
                <w:sz w:val="18"/>
                <w:szCs w:val="18"/>
                <w:lang w:val="sv-SE"/>
              </w:rPr>
            </w:pPr>
            <w:r w:rsidRPr="00545EC0">
              <w:rPr>
                <w:rFonts w:cs="Arial"/>
                <w:sz w:val="18"/>
                <w:szCs w:val="18"/>
                <w:lang w:val="sv-SE"/>
              </w:rPr>
              <w:t>1001 Savska kotlina in Ljubljansko Barje</w:t>
            </w:r>
          </w:p>
        </w:tc>
        <w:tc>
          <w:tcPr>
            <w:tcW w:w="569" w:type="dxa"/>
          </w:tcPr>
          <w:p w14:paraId="543900BB" w14:textId="3DE3ADDF" w:rsidR="005303E5" w:rsidRPr="00545EC0" w:rsidRDefault="005303E5" w:rsidP="00FC3120">
            <w:pPr>
              <w:jc w:val="center"/>
              <w:rPr>
                <w:sz w:val="18"/>
                <w:szCs w:val="18"/>
              </w:rPr>
            </w:pPr>
            <w:r w:rsidRPr="00545EC0">
              <w:rPr>
                <w:rFonts w:cs="Arial"/>
              </w:rPr>
              <w:sym w:font="Wingdings" w:char="F0FC"/>
            </w:r>
          </w:p>
        </w:tc>
        <w:tc>
          <w:tcPr>
            <w:tcW w:w="637" w:type="dxa"/>
          </w:tcPr>
          <w:p w14:paraId="29DDE159" w14:textId="52AFCCA4" w:rsidR="005303E5" w:rsidRPr="00545EC0" w:rsidRDefault="005303E5" w:rsidP="00FC3120">
            <w:pPr>
              <w:jc w:val="center"/>
              <w:rPr>
                <w:rFonts w:cs="Arial"/>
                <w:sz w:val="18"/>
                <w:szCs w:val="18"/>
              </w:rPr>
            </w:pPr>
            <w:r w:rsidRPr="00545EC0">
              <w:rPr>
                <w:rFonts w:cs="Arial"/>
              </w:rPr>
              <w:sym w:font="Wingdings" w:char="F0FC"/>
            </w:r>
          </w:p>
        </w:tc>
        <w:tc>
          <w:tcPr>
            <w:tcW w:w="507" w:type="dxa"/>
          </w:tcPr>
          <w:p w14:paraId="401ADDE3" w14:textId="6F83BFAB" w:rsidR="005303E5" w:rsidRPr="00545EC0" w:rsidRDefault="005303E5" w:rsidP="00FC3120">
            <w:pPr>
              <w:jc w:val="center"/>
              <w:rPr>
                <w:rFonts w:cs="Arial"/>
                <w:sz w:val="18"/>
                <w:szCs w:val="18"/>
                <w:lang w:val="sv-SE"/>
              </w:rPr>
            </w:pPr>
            <w:r w:rsidRPr="00545EC0">
              <w:rPr>
                <w:rFonts w:cs="Arial"/>
              </w:rPr>
              <w:sym w:font="Wingdings" w:char="F0FC"/>
            </w:r>
          </w:p>
        </w:tc>
        <w:tc>
          <w:tcPr>
            <w:tcW w:w="571" w:type="dxa"/>
          </w:tcPr>
          <w:p w14:paraId="61BF1D09" w14:textId="77777777" w:rsidR="005303E5" w:rsidRPr="00545EC0" w:rsidRDefault="005303E5" w:rsidP="00FC3120">
            <w:pPr>
              <w:rPr>
                <w:rFonts w:cs="Arial"/>
                <w:sz w:val="18"/>
                <w:szCs w:val="18"/>
                <w:lang w:val="sv-SE"/>
              </w:rPr>
            </w:pPr>
          </w:p>
        </w:tc>
        <w:tc>
          <w:tcPr>
            <w:tcW w:w="1561" w:type="dxa"/>
          </w:tcPr>
          <w:p w14:paraId="7BC9DEB9" w14:textId="77777777" w:rsidR="005303E5" w:rsidRPr="00545EC0" w:rsidRDefault="005303E5" w:rsidP="00FC3120">
            <w:pPr>
              <w:jc w:val="center"/>
              <w:rPr>
                <w:rFonts w:cs="Arial"/>
                <w:sz w:val="18"/>
                <w:szCs w:val="18"/>
                <w:lang w:val="pl-PL"/>
              </w:rPr>
            </w:pPr>
            <w:r w:rsidRPr="00545EC0">
              <w:rPr>
                <w:rFonts w:cs="Arial"/>
                <w:sz w:val="18"/>
                <w:szCs w:val="18"/>
                <w:lang w:val="pl-PL"/>
              </w:rPr>
              <w:t>srednja stopnja</w:t>
            </w:r>
          </w:p>
        </w:tc>
        <w:tc>
          <w:tcPr>
            <w:tcW w:w="1097" w:type="dxa"/>
          </w:tcPr>
          <w:p w14:paraId="0A725419" w14:textId="77777777" w:rsidR="005303E5" w:rsidRPr="00545EC0" w:rsidRDefault="005303E5" w:rsidP="00FC3120">
            <w:pPr>
              <w:jc w:val="center"/>
              <w:rPr>
                <w:rFonts w:cs="Arial"/>
                <w:sz w:val="18"/>
                <w:szCs w:val="18"/>
              </w:rPr>
            </w:pPr>
            <w:r w:rsidRPr="00545EC0">
              <w:rPr>
                <w:rFonts w:cs="Arial"/>
                <w:sz w:val="18"/>
                <w:szCs w:val="18"/>
              </w:rPr>
              <w:t>DOBRO</w:t>
            </w:r>
          </w:p>
        </w:tc>
      </w:tr>
      <w:tr w:rsidR="005303E5" w:rsidRPr="00545EC0" w14:paraId="07BED569" w14:textId="77777777" w:rsidTr="005303E5">
        <w:trPr>
          <w:trHeight w:hRule="exact" w:val="340"/>
        </w:trPr>
        <w:tc>
          <w:tcPr>
            <w:tcW w:w="4345" w:type="dxa"/>
          </w:tcPr>
          <w:p w14:paraId="2AE085D4" w14:textId="77777777" w:rsidR="005303E5" w:rsidRPr="00545EC0" w:rsidRDefault="005303E5" w:rsidP="00FC3120">
            <w:pPr>
              <w:rPr>
                <w:rFonts w:cs="Arial"/>
                <w:sz w:val="18"/>
                <w:szCs w:val="18"/>
                <w:lang w:val="sv-SE"/>
              </w:rPr>
            </w:pPr>
            <w:r w:rsidRPr="00545EC0">
              <w:rPr>
                <w:rFonts w:cs="Arial"/>
                <w:sz w:val="18"/>
                <w:szCs w:val="18"/>
                <w:lang w:val="sv-SE"/>
              </w:rPr>
              <w:t>1002 Savinjska kotlina</w:t>
            </w:r>
          </w:p>
        </w:tc>
        <w:tc>
          <w:tcPr>
            <w:tcW w:w="569" w:type="dxa"/>
          </w:tcPr>
          <w:p w14:paraId="027AD20A" w14:textId="0F1BC302" w:rsidR="005303E5" w:rsidRPr="00545EC0" w:rsidRDefault="005303E5" w:rsidP="00FC3120">
            <w:pPr>
              <w:jc w:val="center"/>
              <w:rPr>
                <w:sz w:val="18"/>
                <w:szCs w:val="18"/>
              </w:rPr>
            </w:pPr>
            <w:r w:rsidRPr="00545EC0">
              <w:rPr>
                <w:rFonts w:cs="Arial"/>
              </w:rPr>
              <w:sym w:font="Wingdings" w:char="F0FC"/>
            </w:r>
          </w:p>
        </w:tc>
        <w:tc>
          <w:tcPr>
            <w:tcW w:w="637" w:type="dxa"/>
          </w:tcPr>
          <w:p w14:paraId="3CD869B4" w14:textId="77777777" w:rsidR="005303E5" w:rsidRPr="00545EC0" w:rsidRDefault="005303E5" w:rsidP="00FC3120">
            <w:pPr>
              <w:jc w:val="center"/>
              <w:rPr>
                <w:rFonts w:cs="Arial"/>
                <w:sz w:val="18"/>
                <w:szCs w:val="18"/>
              </w:rPr>
            </w:pPr>
          </w:p>
        </w:tc>
        <w:tc>
          <w:tcPr>
            <w:tcW w:w="507" w:type="dxa"/>
          </w:tcPr>
          <w:p w14:paraId="555BEE57" w14:textId="77777777" w:rsidR="005303E5" w:rsidRPr="00545EC0" w:rsidRDefault="005303E5" w:rsidP="00FC3120">
            <w:pPr>
              <w:jc w:val="center"/>
              <w:rPr>
                <w:rFonts w:cs="Arial"/>
                <w:sz w:val="18"/>
                <w:szCs w:val="18"/>
                <w:lang w:val="pl-PL"/>
              </w:rPr>
            </w:pPr>
          </w:p>
        </w:tc>
        <w:tc>
          <w:tcPr>
            <w:tcW w:w="571" w:type="dxa"/>
          </w:tcPr>
          <w:p w14:paraId="42D3692E" w14:textId="77777777" w:rsidR="005303E5" w:rsidRPr="00545EC0" w:rsidRDefault="005303E5" w:rsidP="00FC3120">
            <w:pPr>
              <w:jc w:val="center"/>
              <w:rPr>
                <w:rFonts w:cs="Arial"/>
                <w:sz w:val="18"/>
                <w:szCs w:val="18"/>
                <w:lang w:val="pl-PL"/>
              </w:rPr>
            </w:pPr>
          </w:p>
        </w:tc>
        <w:tc>
          <w:tcPr>
            <w:tcW w:w="1561" w:type="dxa"/>
          </w:tcPr>
          <w:p w14:paraId="4376E0ED" w14:textId="77777777" w:rsidR="005303E5" w:rsidRPr="00545EC0" w:rsidRDefault="005303E5" w:rsidP="00FC3120">
            <w:pPr>
              <w:jc w:val="center"/>
              <w:rPr>
                <w:rFonts w:cs="Arial"/>
                <w:sz w:val="18"/>
                <w:szCs w:val="18"/>
                <w:lang w:val="pl-PL"/>
              </w:rPr>
            </w:pPr>
            <w:r w:rsidRPr="00545EC0">
              <w:rPr>
                <w:rFonts w:cs="Arial"/>
                <w:sz w:val="18"/>
                <w:szCs w:val="18"/>
                <w:lang w:val="pl-PL"/>
              </w:rPr>
              <w:t>visoka stopnja</w:t>
            </w:r>
          </w:p>
        </w:tc>
        <w:tc>
          <w:tcPr>
            <w:tcW w:w="1097" w:type="dxa"/>
          </w:tcPr>
          <w:p w14:paraId="429FCE6C" w14:textId="77777777" w:rsidR="005303E5" w:rsidRPr="00545EC0" w:rsidRDefault="005303E5" w:rsidP="00FC3120">
            <w:pPr>
              <w:jc w:val="center"/>
              <w:rPr>
                <w:rFonts w:cs="Arial"/>
                <w:sz w:val="18"/>
                <w:szCs w:val="18"/>
              </w:rPr>
            </w:pPr>
            <w:r w:rsidRPr="00545EC0">
              <w:rPr>
                <w:rFonts w:cs="Arial"/>
                <w:sz w:val="18"/>
                <w:szCs w:val="18"/>
              </w:rPr>
              <w:t>DOBRO</w:t>
            </w:r>
          </w:p>
        </w:tc>
      </w:tr>
      <w:tr w:rsidR="005303E5" w:rsidRPr="00545EC0" w14:paraId="6D184B74" w14:textId="77777777" w:rsidTr="005303E5">
        <w:trPr>
          <w:trHeight w:hRule="exact" w:val="340"/>
        </w:trPr>
        <w:tc>
          <w:tcPr>
            <w:tcW w:w="4345" w:type="dxa"/>
          </w:tcPr>
          <w:p w14:paraId="3F0DDE42" w14:textId="77777777" w:rsidR="005303E5" w:rsidRPr="00545EC0" w:rsidRDefault="005303E5" w:rsidP="00FC3120">
            <w:pPr>
              <w:rPr>
                <w:rFonts w:cs="Arial"/>
                <w:sz w:val="18"/>
                <w:szCs w:val="18"/>
                <w:lang w:val="sv-SE"/>
              </w:rPr>
            </w:pPr>
            <w:r w:rsidRPr="00545EC0">
              <w:rPr>
                <w:rFonts w:cs="Arial"/>
                <w:sz w:val="18"/>
                <w:szCs w:val="18"/>
                <w:lang w:val="sv-SE"/>
              </w:rPr>
              <w:t>1003 Krška kotlina</w:t>
            </w:r>
          </w:p>
        </w:tc>
        <w:tc>
          <w:tcPr>
            <w:tcW w:w="569" w:type="dxa"/>
          </w:tcPr>
          <w:p w14:paraId="12145DE6" w14:textId="37F4FC04" w:rsidR="005303E5" w:rsidRPr="00545EC0" w:rsidRDefault="005303E5" w:rsidP="00FC3120">
            <w:pPr>
              <w:jc w:val="center"/>
              <w:rPr>
                <w:sz w:val="18"/>
                <w:szCs w:val="18"/>
              </w:rPr>
            </w:pPr>
            <w:r w:rsidRPr="00545EC0">
              <w:rPr>
                <w:rFonts w:cs="Arial"/>
              </w:rPr>
              <w:sym w:font="Wingdings" w:char="F0FC"/>
            </w:r>
          </w:p>
        </w:tc>
        <w:tc>
          <w:tcPr>
            <w:tcW w:w="637" w:type="dxa"/>
          </w:tcPr>
          <w:p w14:paraId="326304D1" w14:textId="77777777" w:rsidR="005303E5" w:rsidRPr="00545EC0" w:rsidRDefault="005303E5" w:rsidP="00FC3120">
            <w:pPr>
              <w:jc w:val="center"/>
              <w:rPr>
                <w:rFonts w:cs="Arial"/>
                <w:sz w:val="18"/>
                <w:szCs w:val="18"/>
              </w:rPr>
            </w:pPr>
          </w:p>
        </w:tc>
        <w:tc>
          <w:tcPr>
            <w:tcW w:w="507" w:type="dxa"/>
          </w:tcPr>
          <w:p w14:paraId="1BBC8B9D" w14:textId="77777777" w:rsidR="005303E5" w:rsidRPr="00545EC0" w:rsidRDefault="005303E5" w:rsidP="00FC3120">
            <w:pPr>
              <w:jc w:val="center"/>
              <w:rPr>
                <w:rFonts w:cs="Arial"/>
                <w:sz w:val="18"/>
                <w:szCs w:val="18"/>
                <w:lang w:val="pl-PL"/>
              </w:rPr>
            </w:pPr>
          </w:p>
        </w:tc>
        <w:tc>
          <w:tcPr>
            <w:tcW w:w="571" w:type="dxa"/>
          </w:tcPr>
          <w:p w14:paraId="2B44B6AA" w14:textId="77777777" w:rsidR="005303E5" w:rsidRPr="00545EC0" w:rsidRDefault="005303E5" w:rsidP="00FC3120">
            <w:pPr>
              <w:jc w:val="center"/>
              <w:rPr>
                <w:rFonts w:cs="Arial"/>
                <w:sz w:val="18"/>
                <w:szCs w:val="18"/>
                <w:lang w:val="pl-PL"/>
              </w:rPr>
            </w:pPr>
          </w:p>
        </w:tc>
        <w:tc>
          <w:tcPr>
            <w:tcW w:w="1561" w:type="dxa"/>
          </w:tcPr>
          <w:p w14:paraId="06206D2E" w14:textId="77777777" w:rsidR="005303E5" w:rsidRPr="00545EC0" w:rsidRDefault="005303E5" w:rsidP="00FC3120">
            <w:pPr>
              <w:jc w:val="center"/>
              <w:rPr>
                <w:rFonts w:cs="Arial"/>
                <w:sz w:val="18"/>
                <w:szCs w:val="18"/>
                <w:lang w:val="pl-PL"/>
              </w:rPr>
            </w:pPr>
            <w:r w:rsidRPr="00545EC0">
              <w:rPr>
                <w:rFonts w:cs="Arial"/>
                <w:sz w:val="18"/>
                <w:szCs w:val="18"/>
                <w:lang w:val="pl-PL"/>
              </w:rPr>
              <w:t>visoka stopnja</w:t>
            </w:r>
          </w:p>
        </w:tc>
        <w:tc>
          <w:tcPr>
            <w:tcW w:w="1097" w:type="dxa"/>
          </w:tcPr>
          <w:p w14:paraId="250933E3" w14:textId="77777777" w:rsidR="005303E5" w:rsidRPr="00545EC0" w:rsidRDefault="005303E5" w:rsidP="00FC3120">
            <w:pPr>
              <w:jc w:val="center"/>
              <w:rPr>
                <w:rFonts w:cs="Arial"/>
                <w:sz w:val="18"/>
                <w:szCs w:val="18"/>
              </w:rPr>
            </w:pPr>
            <w:r w:rsidRPr="00545EC0">
              <w:rPr>
                <w:rFonts w:cs="Arial"/>
                <w:sz w:val="18"/>
                <w:szCs w:val="18"/>
              </w:rPr>
              <w:t>DOBRO</w:t>
            </w:r>
          </w:p>
        </w:tc>
      </w:tr>
      <w:tr w:rsidR="005303E5" w:rsidRPr="00545EC0" w14:paraId="6FDD5A61" w14:textId="77777777" w:rsidTr="005303E5">
        <w:trPr>
          <w:trHeight w:hRule="exact" w:val="340"/>
        </w:trPr>
        <w:tc>
          <w:tcPr>
            <w:tcW w:w="4345" w:type="dxa"/>
          </w:tcPr>
          <w:p w14:paraId="58137FA0" w14:textId="77777777" w:rsidR="005303E5" w:rsidRPr="00545EC0" w:rsidRDefault="005303E5" w:rsidP="00FC3120">
            <w:pPr>
              <w:rPr>
                <w:rFonts w:cs="Arial"/>
                <w:sz w:val="18"/>
                <w:szCs w:val="18"/>
                <w:lang w:val="sv-SE"/>
              </w:rPr>
            </w:pPr>
            <w:r w:rsidRPr="00545EC0">
              <w:rPr>
                <w:rFonts w:cs="Arial"/>
                <w:sz w:val="18"/>
                <w:szCs w:val="18"/>
                <w:lang w:val="sv-SE"/>
              </w:rPr>
              <w:t>1004 Julijske Alpe v porečju Save</w:t>
            </w:r>
          </w:p>
        </w:tc>
        <w:tc>
          <w:tcPr>
            <w:tcW w:w="569" w:type="dxa"/>
          </w:tcPr>
          <w:p w14:paraId="7F13F8E9" w14:textId="4010CACE" w:rsidR="005303E5" w:rsidRPr="00545EC0" w:rsidRDefault="005303E5" w:rsidP="00FC3120">
            <w:pPr>
              <w:jc w:val="center"/>
              <w:rPr>
                <w:sz w:val="18"/>
                <w:szCs w:val="18"/>
              </w:rPr>
            </w:pPr>
            <w:r w:rsidRPr="00545EC0">
              <w:rPr>
                <w:rFonts w:cs="Arial"/>
              </w:rPr>
              <w:sym w:font="Wingdings" w:char="F0FC"/>
            </w:r>
          </w:p>
        </w:tc>
        <w:tc>
          <w:tcPr>
            <w:tcW w:w="637" w:type="dxa"/>
          </w:tcPr>
          <w:p w14:paraId="3C40F00A" w14:textId="77777777" w:rsidR="005303E5" w:rsidRPr="00545EC0" w:rsidRDefault="005303E5" w:rsidP="00FC3120">
            <w:pPr>
              <w:jc w:val="center"/>
              <w:rPr>
                <w:rFonts w:cs="Arial"/>
                <w:sz w:val="18"/>
                <w:szCs w:val="18"/>
              </w:rPr>
            </w:pPr>
          </w:p>
        </w:tc>
        <w:tc>
          <w:tcPr>
            <w:tcW w:w="507" w:type="dxa"/>
          </w:tcPr>
          <w:p w14:paraId="224590F8" w14:textId="77777777" w:rsidR="005303E5" w:rsidRPr="00545EC0" w:rsidRDefault="005303E5" w:rsidP="00FC3120">
            <w:pPr>
              <w:jc w:val="center"/>
              <w:rPr>
                <w:rFonts w:cs="Arial"/>
                <w:sz w:val="18"/>
                <w:szCs w:val="18"/>
                <w:lang w:val="da-DK"/>
              </w:rPr>
            </w:pPr>
          </w:p>
        </w:tc>
        <w:tc>
          <w:tcPr>
            <w:tcW w:w="571" w:type="dxa"/>
          </w:tcPr>
          <w:p w14:paraId="61D72BB2" w14:textId="77777777" w:rsidR="005303E5" w:rsidRPr="00545EC0" w:rsidRDefault="005303E5" w:rsidP="00FC3120">
            <w:pPr>
              <w:jc w:val="center"/>
              <w:rPr>
                <w:rFonts w:cs="Arial"/>
                <w:sz w:val="18"/>
                <w:szCs w:val="18"/>
                <w:lang w:val="da-DK"/>
              </w:rPr>
            </w:pPr>
          </w:p>
        </w:tc>
        <w:tc>
          <w:tcPr>
            <w:tcW w:w="1561" w:type="dxa"/>
          </w:tcPr>
          <w:p w14:paraId="16B42EF2" w14:textId="77777777" w:rsidR="005303E5" w:rsidRPr="00545EC0" w:rsidRDefault="005303E5" w:rsidP="00FC3120">
            <w:pPr>
              <w:jc w:val="center"/>
              <w:rPr>
                <w:rFonts w:cs="Arial"/>
                <w:sz w:val="18"/>
                <w:szCs w:val="18"/>
                <w:lang w:val="pl-PL"/>
              </w:rPr>
            </w:pPr>
            <w:r w:rsidRPr="00545EC0">
              <w:rPr>
                <w:rFonts w:cs="Arial"/>
                <w:sz w:val="18"/>
                <w:szCs w:val="18"/>
                <w:lang w:val="pl-PL"/>
              </w:rPr>
              <w:t>visoka stopnja</w:t>
            </w:r>
          </w:p>
        </w:tc>
        <w:tc>
          <w:tcPr>
            <w:tcW w:w="1097" w:type="dxa"/>
          </w:tcPr>
          <w:p w14:paraId="1979C73E" w14:textId="77777777" w:rsidR="005303E5" w:rsidRPr="00545EC0" w:rsidRDefault="005303E5" w:rsidP="00FC3120">
            <w:pPr>
              <w:jc w:val="center"/>
              <w:rPr>
                <w:rFonts w:cs="Arial"/>
                <w:sz w:val="18"/>
                <w:szCs w:val="18"/>
              </w:rPr>
            </w:pPr>
            <w:r w:rsidRPr="00545EC0">
              <w:rPr>
                <w:rFonts w:cs="Arial"/>
                <w:sz w:val="18"/>
                <w:szCs w:val="18"/>
              </w:rPr>
              <w:t>DOBRO</w:t>
            </w:r>
          </w:p>
        </w:tc>
      </w:tr>
      <w:tr w:rsidR="005303E5" w:rsidRPr="00545EC0" w14:paraId="72FDEE85" w14:textId="77777777" w:rsidTr="005303E5">
        <w:trPr>
          <w:trHeight w:hRule="exact" w:val="340"/>
        </w:trPr>
        <w:tc>
          <w:tcPr>
            <w:tcW w:w="4345" w:type="dxa"/>
          </w:tcPr>
          <w:p w14:paraId="19E138AC" w14:textId="77777777" w:rsidR="005303E5" w:rsidRPr="00545EC0" w:rsidRDefault="005303E5" w:rsidP="00FC3120">
            <w:pPr>
              <w:rPr>
                <w:rFonts w:cs="Arial"/>
                <w:sz w:val="18"/>
                <w:szCs w:val="18"/>
                <w:lang w:val="sv-SE"/>
              </w:rPr>
            </w:pPr>
            <w:r w:rsidRPr="00545EC0">
              <w:rPr>
                <w:rFonts w:cs="Arial"/>
                <w:sz w:val="18"/>
                <w:szCs w:val="18"/>
                <w:lang w:val="sv-SE"/>
              </w:rPr>
              <w:t>1005 Karavanke</w:t>
            </w:r>
          </w:p>
        </w:tc>
        <w:tc>
          <w:tcPr>
            <w:tcW w:w="569" w:type="dxa"/>
          </w:tcPr>
          <w:p w14:paraId="7047D481" w14:textId="601F0B37" w:rsidR="005303E5" w:rsidRPr="00545EC0" w:rsidRDefault="005303E5" w:rsidP="00FC3120">
            <w:pPr>
              <w:jc w:val="center"/>
              <w:rPr>
                <w:sz w:val="18"/>
                <w:szCs w:val="18"/>
              </w:rPr>
            </w:pPr>
            <w:r w:rsidRPr="00545EC0">
              <w:rPr>
                <w:rFonts w:cs="Arial"/>
              </w:rPr>
              <w:sym w:font="Wingdings" w:char="F0FC"/>
            </w:r>
          </w:p>
        </w:tc>
        <w:tc>
          <w:tcPr>
            <w:tcW w:w="637" w:type="dxa"/>
          </w:tcPr>
          <w:p w14:paraId="0EB057A5" w14:textId="09B8F8FD" w:rsidR="005303E5" w:rsidRPr="00545EC0" w:rsidRDefault="005303E5" w:rsidP="00FC3120">
            <w:pPr>
              <w:jc w:val="center"/>
              <w:rPr>
                <w:rFonts w:cs="Arial"/>
                <w:sz w:val="18"/>
                <w:szCs w:val="18"/>
                <w:lang w:val="pl-PL"/>
              </w:rPr>
            </w:pPr>
            <w:r w:rsidRPr="00545EC0">
              <w:rPr>
                <w:rFonts w:cs="Arial"/>
              </w:rPr>
              <w:sym w:font="Wingdings" w:char="F0FC"/>
            </w:r>
          </w:p>
        </w:tc>
        <w:tc>
          <w:tcPr>
            <w:tcW w:w="507" w:type="dxa"/>
          </w:tcPr>
          <w:p w14:paraId="1E1F154F" w14:textId="77777777" w:rsidR="005303E5" w:rsidRPr="00545EC0" w:rsidRDefault="005303E5" w:rsidP="00FC3120">
            <w:pPr>
              <w:jc w:val="center"/>
              <w:rPr>
                <w:rFonts w:cs="Arial"/>
                <w:sz w:val="18"/>
                <w:szCs w:val="18"/>
                <w:lang w:val="pl-PL"/>
              </w:rPr>
            </w:pPr>
          </w:p>
        </w:tc>
        <w:tc>
          <w:tcPr>
            <w:tcW w:w="571" w:type="dxa"/>
          </w:tcPr>
          <w:p w14:paraId="29812C4D" w14:textId="77777777" w:rsidR="005303E5" w:rsidRPr="00545EC0" w:rsidRDefault="005303E5" w:rsidP="00FC3120">
            <w:pPr>
              <w:jc w:val="center"/>
              <w:rPr>
                <w:rFonts w:cs="Arial"/>
                <w:sz w:val="18"/>
                <w:szCs w:val="18"/>
                <w:lang w:val="pl-PL"/>
              </w:rPr>
            </w:pPr>
          </w:p>
        </w:tc>
        <w:tc>
          <w:tcPr>
            <w:tcW w:w="1561" w:type="dxa"/>
          </w:tcPr>
          <w:p w14:paraId="5B8D4D14" w14:textId="77777777" w:rsidR="005303E5" w:rsidRPr="00545EC0" w:rsidRDefault="005303E5" w:rsidP="00FC3120">
            <w:pPr>
              <w:jc w:val="center"/>
              <w:rPr>
                <w:rFonts w:cs="Arial"/>
                <w:sz w:val="18"/>
                <w:szCs w:val="18"/>
                <w:lang w:val="pl-PL"/>
              </w:rPr>
            </w:pPr>
            <w:r w:rsidRPr="00545EC0">
              <w:rPr>
                <w:rFonts w:cs="Arial"/>
                <w:sz w:val="18"/>
                <w:szCs w:val="18"/>
                <w:lang w:val="pl-PL"/>
              </w:rPr>
              <w:t>srednja stopnja</w:t>
            </w:r>
          </w:p>
        </w:tc>
        <w:tc>
          <w:tcPr>
            <w:tcW w:w="1097" w:type="dxa"/>
          </w:tcPr>
          <w:p w14:paraId="56D2E091" w14:textId="77777777" w:rsidR="005303E5" w:rsidRPr="00545EC0" w:rsidRDefault="005303E5" w:rsidP="00FC3120">
            <w:pPr>
              <w:jc w:val="center"/>
              <w:rPr>
                <w:rFonts w:cs="Arial"/>
                <w:sz w:val="18"/>
                <w:szCs w:val="18"/>
              </w:rPr>
            </w:pPr>
            <w:r w:rsidRPr="00545EC0">
              <w:rPr>
                <w:rFonts w:cs="Arial"/>
                <w:sz w:val="18"/>
                <w:szCs w:val="18"/>
              </w:rPr>
              <w:t>DOBRO</w:t>
            </w:r>
          </w:p>
        </w:tc>
      </w:tr>
      <w:tr w:rsidR="005303E5" w:rsidRPr="00545EC0" w14:paraId="66ED1B9D" w14:textId="77777777" w:rsidTr="005303E5">
        <w:trPr>
          <w:trHeight w:hRule="exact" w:val="340"/>
        </w:trPr>
        <w:tc>
          <w:tcPr>
            <w:tcW w:w="4345" w:type="dxa"/>
          </w:tcPr>
          <w:p w14:paraId="12B447F9" w14:textId="77777777" w:rsidR="005303E5" w:rsidRPr="00545EC0" w:rsidRDefault="005303E5" w:rsidP="00FC3120">
            <w:pPr>
              <w:rPr>
                <w:rFonts w:cs="Arial"/>
                <w:sz w:val="18"/>
                <w:szCs w:val="18"/>
                <w:lang w:val="sv-SE"/>
              </w:rPr>
            </w:pPr>
            <w:r w:rsidRPr="00545EC0">
              <w:rPr>
                <w:rFonts w:cs="Arial"/>
                <w:sz w:val="18"/>
                <w:szCs w:val="18"/>
                <w:lang w:val="sv-SE"/>
              </w:rPr>
              <w:t>1006 Kamniško-Savinjske Alpe</w:t>
            </w:r>
          </w:p>
        </w:tc>
        <w:tc>
          <w:tcPr>
            <w:tcW w:w="569" w:type="dxa"/>
          </w:tcPr>
          <w:p w14:paraId="2939E543" w14:textId="2F19C14B" w:rsidR="005303E5" w:rsidRPr="00545EC0" w:rsidRDefault="005303E5" w:rsidP="00FC3120">
            <w:pPr>
              <w:jc w:val="center"/>
              <w:rPr>
                <w:sz w:val="18"/>
                <w:szCs w:val="18"/>
              </w:rPr>
            </w:pPr>
            <w:r w:rsidRPr="00545EC0">
              <w:rPr>
                <w:rFonts w:cs="Arial"/>
              </w:rPr>
              <w:sym w:font="Wingdings" w:char="F0FC"/>
            </w:r>
          </w:p>
        </w:tc>
        <w:tc>
          <w:tcPr>
            <w:tcW w:w="637" w:type="dxa"/>
          </w:tcPr>
          <w:p w14:paraId="2D1D11F5" w14:textId="3AF113B0" w:rsidR="005303E5" w:rsidRPr="00545EC0" w:rsidRDefault="005303E5" w:rsidP="00FC3120">
            <w:pPr>
              <w:jc w:val="center"/>
              <w:rPr>
                <w:rFonts w:cs="Arial"/>
                <w:sz w:val="18"/>
                <w:szCs w:val="18"/>
                <w:lang w:val="pl-PL"/>
              </w:rPr>
            </w:pPr>
            <w:r w:rsidRPr="00545EC0">
              <w:rPr>
                <w:rFonts w:cs="Arial"/>
              </w:rPr>
              <w:sym w:font="Wingdings" w:char="F0FC"/>
            </w:r>
          </w:p>
        </w:tc>
        <w:tc>
          <w:tcPr>
            <w:tcW w:w="507" w:type="dxa"/>
          </w:tcPr>
          <w:p w14:paraId="4F46BCF1" w14:textId="385CEC80" w:rsidR="005303E5" w:rsidRPr="00545EC0" w:rsidRDefault="005303E5" w:rsidP="00FC3120">
            <w:pPr>
              <w:jc w:val="center"/>
              <w:rPr>
                <w:rFonts w:cs="Arial"/>
                <w:sz w:val="18"/>
                <w:szCs w:val="18"/>
                <w:lang w:val="pl-PL"/>
              </w:rPr>
            </w:pPr>
            <w:r w:rsidRPr="00545EC0">
              <w:rPr>
                <w:rFonts w:cs="Arial"/>
              </w:rPr>
              <w:sym w:font="Wingdings" w:char="F0FC"/>
            </w:r>
          </w:p>
        </w:tc>
        <w:tc>
          <w:tcPr>
            <w:tcW w:w="571" w:type="dxa"/>
          </w:tcPr>
          <w:p w14:paraId="67CB5AB1" w14:textId="77777777" w:rsidR="005303E5" w:rsidRPr="00545EC0" w:rsidRDefault="005303E5" w:rsidP="00FC3120">
            <w:pPr>
              <w:jc w:val="center"/>
              <w:rPr>
                <w:rFonts w:cs="Arial"/>
                <w:sz w:val="18"/>
                <w:szCs w:val="18"/>
                <w:lang w:val="pl-PL"/>
              </w:rPr>
            </w:pPr>
          </w:p>
        </w:tc>
        <w:tc>
          <w:tcPr>
            <w:tcW w:w="1561" w:type="dxa"/>
          </w:tcPr>
          <w:p w14:paraId="7F631CC7" w14:textId="77777777" w:rsidR="005303E5" w:rsidRPr="00545EC0" w:rsidRDefault="005303E5" w:rsidP="00FC3120">
            <w:pPr>
              <w:jc w:val="center"/>
              <w:rPr>
                <w:rFonts w:cs="Arial"/>
                <w:sz w:val="18"/>
                <w:szCs w:val="18"/>
                <w:lang w:val="pl-PL"/>
              </w:rPr>
            </w:pPr>
            <w:r w:rsidRPr="00545EC0">
              <w:rPr>
                <w:rFonts w:cs="Arial"/>
                <w:sz w:val="18"/>
                <w:szCs w:val="18"/>
                <w:lang w:val="pl-PL"/>
              </w:rPr>
              <w:t>srednja stopnja</w:t>
            </w:r>
          </w:p>
        </w:tc>
        <w:tc>
          <w:tcPr>
            <w:tcW w:w="1097" w:type="dxa"/>
          </w:tcPr>
          <w:p w14:paraId="1853EE63" w14:textId="77777777" w:rsidR="005303E5" w:rsidRPr="00545EC0" w:rsidRDefault="005303E5" w:rsidP="00FC3120">
            <w:pPr>
              <w:jc w:val="center"/>
              <w:rPr>
                <w:rFonts w:cs="Arial"/>
                <w:sz w:val="18"/>
                <w:szCs w:val="18"/>
              </w:rPr>
            </w:pPr>
            <w:r w:rsidRPr="00545EC0">
              <w:rPr>
                <w:rFonts w:cs="Arial"/>
                <w:sz w:val="18"/>
                <w:szCs w:val="18"/>
              </w:rPr>
              <w:t>DOBRO</w:t>
            </w:r>
          </w:p>
        </w:tc>
      </w:tr>
      <w:tr w:rsidR="005303E5" w:rsidRPr="00545EC0" w14:paraId="66594679" w14:textId="77777777" w:rsidTr="005303E5">
        <w:trPr>
          <w:trHeight w:hRule="exact" w:val="666"/>
        </w:trPr>
        <w:tc>
          <w:tcPr>
            <w:tcW w:w="4345" w:type="dxa"/>
          </w:tcPr>
          <w:p w14:paraId="31493319" w14:textId="77777777" w:rsidR="005303E5" w:rsidRPr="00545EC0" w:rsidRDefault="005303E5" w:rsidP="00FC3120">
            <w:pPr>
              <w:rPr>
                <w:rFonts w:cs="Arial"/>
                <w:sz w:val="18"/>
                <w:szCs w:val="18"/>
                <w:lang w:val="sv-SE"/>
              </w:rPr>
            </w:pPr>
            <w:r w:rsidRPr="00545EC0">
              <w:rPr>
                <w:rFonts w:cs="Arial"/>
                <w:sz w:val="18"/>
                <w:szCs w:val="18"/>
                <w:lang w:val="sv-SE"/>
              </w:rPr>
              <w:t>1007 Cerkljansko, Škofjeloško in Polhograjsko hribovje</w:t>
            </w:r>
          </w:p>
        </w:tc>
        <w:tc>
          <w:tcPr>
            <w:tcW w:w="569" w:type="dxa"/>
          </w:tcPr>
          <w:p w14:paraId="603A107C" w14:textId="5189429A" w:rsidR="005303E5" w:rsidRPr="00545EC0" w:rsidRDefault="005303E5" w:rsidP="00FC3120">
            <w:pPr>
              <w:jc w:val="center"/>
              <w:rPr>
                <w:sz w:val="18"/>
                <w:szCs w:val="18"/>
              </w:rPr>
            </w:pPr>
            <w:r w:rsidRPr="00545EC0">
              <w:rPr>
                <w:rFonts w:cs="Arial"/>
              </w:rPr>
              <w:sym w:font="Wingdings" w:char="F0FC"/>
            </w:r>
          </w:p>
        </w:tc>
        <w:tc>
          <w:tcPr>
            <w:tcW w:w="637" w:type="dxa"/>
          </w:tcPr>
          <w:p w14:paraId="2E974D0C" w14:textId="37CDDF62" w:rsidR="005303E5" w:rsidRPr="00545EC0" w:rsidRDefault="005303E5" w:rsidP="00FC3120">
            <w:pPr>
              <w:jc w:val="center"/>
              <w:rPr>
                <w:rFonts w:cs="Arial"/>
                <w:sz w:val="18"/>
                <w:szCs w:val="18"/>
              </w:rPr>
            </w:pPr>
            <w:r w:rsidRPr="00545EC0">
              <w:rPr>
                <w:rFonts w:cs="Arial"/>
              </w:rPr>
              <w:sym w:font="Wingdings" w:char="F0FC"/>
            </w:r>
          </w:p>
        </w:tc>
        <w:tc>
          <w:tcPr>
            <w:tcW w:w="507" w:type="dxa"/>
          </w:tcPr>
          <w:p w14:paraId="7D73A3B1" w14:textId="77777777" w:rsidR="005303E5" w:rsidRPr="00545EC0" w:rsidRDefault="005303E5" w:rsidP="00FC3120">
            <w:pPr>
              <w:jc w:val="center"/>
              <w:rPr>
                <w:rFonts w:cs="Arial"/>
                <w:sz w:val="18"/>
                <w:szCs w:val="18"/>
                <w:lang w:val="sv-SE"/>
              </w:rPr>
            </w:pPr>
          </w:p>
        </w:tc>
        <w:tc>
          <w:tcPr>
            <w:tcW w:w="571" w:type="dxa"/>
          </w:tcPr>
          <w:p w14:paraId="585BB170" w14:textId="77777777" w:rsidR="005303E5" w:rsidRPr="00545EC0" w:rsidRDefault="005303E5" w:rsidP="00FC3120">
            <w:pPr>
              <w:jc w:val="center"/>
              <w:rPr>
                <w:rFonts w:cs="Arial"/>
                <w:sz w:val="18"/>
                <w:szCs w:val="18"/>
                <w:lang w:val="sv-SE"/>
              </w:rPr>
            </w:pPr>
          </w:p>
        </w:tc>
        <w:tc>
          <w:tcPr>
            <w:tcW w:w="1561" w:type="dxa"/>
          </w:tcPr>
          <w:p w14:paraId="50B3045B" w14:textId="77777777" w:rsidR="005303E5" w:rsidRPr="00545EC0" w:rsidRDefault="005303E5" w:rsidP="00FC3120">
            <w:pPr>
              <w:jc w:val="center"/>
              <w:rPr>
                <w:rFonts w:cs="Arial"/>
                <w:sz w:val="18"/>
                <w:szCs w:val="18"/>
                <w:lang w:val="pl-PL"/>
              </w:rPr>
            </w:pPr>
            <w:r w:rsidRPr="00545EC0">
              <w:rPr>
                <w:rFonts w:cs="Arial"/>
                <w:sz w:val="18"/>
                <w:szCs w:val="18"/>
                <w:lang w:val="pl-PL"/>
              </w:rPr>
              <w:t>visoka stopnja</w:t>
            </w:r>
          </w:p>
        </w:tc>
        <w:tc>
          <w:tcPr>
            <w:tcW w:w="1097" w:type="dxa"/>
          </w:tcPr>
          <w:p w14:paraId="7EBAFBC2" w14:textId="77777777" w:rsidR="005303E5" w:rsidRPr="00545EC0" w:rsidRDefault="005303E5" w:rsidP="00FC3120">
            <w:pPr>
              <w:jc w:val="center"/>
              <w:rPr>
                <w:rFonts w:cs="Arial"/>
                <w:sz w:val="18"/>
                <w:szCs w:val="18"/>
              </w:rPr>
            </w:pPr>
            <w:r w:rsidRPr="00545EC0">
              <w:rPr>
                <w:rFonts w:cs="Arial"/>
                <w:sz w:val="18"/>
                <w:szCs w:val="18"/>
              </w:rPr>
              <w:t>DOBRO</w:t>
            </w:r>
          </w:p>
        </w:tc>
      </w:tr>
      <w:tr w:rsidR="005303E5" w:rsidRPr="00545EC0" w14:paraId="655F02D6" w14:textId="77777777" w:rsidTr="005303E5">
        <w:trPr>
          <w:trHeight w:hRule="exact" w:val="340"/>
        </w:trPr>
        <w:tc>
          <w:tcPr>
            <w:tcW w:w="4345" w:type="dxa"/>
          </w:tcPr>
          <w:p w14:paraId="09F179AF" w14:textId="77777777" w:rsidR="005303E5" w:rsidRPr="00545EC0" w:rsidRDefault="005303E5" w:rsidP="00FC3120">
            <w:pPr>
              <w:rPr>
                <w:rFonts w:cs="Arial"/>
                <w:sz w:val="18"/>
                <w:szCs w:val="18"/>
                <w:lang w:val="sv-SE"/>
              </w:rPr>
            </w:pPr>
            <w:r w:rsidRPr="00545EC0">
              <w:rPr>
                <w:rFonts w:cs="Arial"/>
                <w:sz w:val="18"/>
                <w:szCs w:val="18"/>
                <w:lang w:val="sv-SE"/>
              </w:rPr>
              <w:t>1008 Posavsko hribovje do osrednje Sotle</w:t>
            </w:r>
          </w:p>
        </w:tc>
        <w:tc>
          <w:tcPr>
            <w:tcW w:w="569" w:type="dxa"/>
          </w:tcPr>
          <w:p w14:paraId="0FD5ED5E" w14:textId="67DBB98C" w:rsidR="005303E5" w:rsidRPr="00545EC0" w:rsidRDefault="005303E5" w:rsidP="00FC3120">
            <w:pPr>
              <w:jc w:val="center"/>
              <w:rPr>
                <w:sz w:val="18"/>
                <w:szCs w:val="18"/>
              </w:rPr>
            </w:pPr>
            <w:r w:rsidRPr="00545EC0">
              <w:rPr>
                <w:rFonts w:cs="Arial"/>
              </w:rPr>
              <w:sym w:font="Wingdings" w:char="F0FC"/>
            </w:r>
          </w:p>
        </w:tc>
        <w:tc>
          <w:tcPr>
            <w:tcW w:w="637" w:type="dxa"/>
          </w:tcPr>
          <w:p w14:paraId="1CFFEADE" w14:textId="60543C2E" w:rsidR="005303E5" w:rsidRPr="00545EC0" w:rsidRDefault="005303E5" w:rsidP="00FC3120">
            <w:pPr>
              <w:jc w:val="center"/>
              <w:rPr>
                <w:rFonts w:cs="Arial"/>
                <w:sz w:val="18"/>
                <w:szCs w:val="18"/>
              </w:rPr>
            </w:pPr>
            <w:r w:rsidRPr="00545EC0">
              <w:rPr>
                <w:rFonts w:cs="Arial"/>
              </w:rPr>
              <w:sym w:font="Wingdings" w:char="F0FC"/>
            </w:r>
          </w:p>
        </w:tc>
        <w:tc>
          <w:tcPr>
            <w:tcW w:w="507" w:type="dxa"/>
          </w:tcPr>
          <w:p w14:paraId="20E21793" w14:textId="2F7C5AE5" w:rsidR="005303E5" w:rsidRPr="00545EC0" w:rsidRDefault="005303E5" w:rsidP="00FC3120">
            <w:pPr>
              <w:jc w:val="center"/>
              <w:rPr>
                <w:rFonts w:cs="Arial"/>
                <w:sz w:val="18"/>
                <w:szCs w:val="18"/>
                <w:lang w:val="sv-SE"/>
              </w:rPr>
            </w:pPr>
            <w:r w:rsidRPr="00545EC0">
              <w:rPr>
                <w:rFonts w:cs="Arial"/>
              </w:rPr>
              <w:sym w:font="Wingdings" w:char="F0FC"/>
            </w:r>
          </w:p>
        </w:tc>
        <w:tc>
          <w:tcPr>
            <w:tcW w:w="571" w:type="dxa"/>
          </w:tcPr>
          <w:p w14:paraId="1CAF1C79" w14:textId="77777777" w:rsidR="005303E5" w:rsidRPr="00545EC0" w:rsidRDefault="005303E5" w:rsidP="00FC3120">
            <w:pPr>
              <w:jc w:val="center"/>
              <w:rPr>
                <w:rFonts w:cs="Arial"/>
                <w:sz w:val="18"/>
                <w:szCs w:val="18"/>
                <w:lang w:val="sv-SE"/>
              </w:rPr>
            </w:pPr>
          </w:p>
        </w:tc>
        <w:tc>
          <w:tcPr>
            <w:tcW w:w="1561" w:type="dxa"/>
          </w:tcPr>
          <w:p w14:paraId="04E41F09" w14:textId="77777777" w:rsidR="005303E5" w:rsidRPr="00545EC0" w:rsidRDefault="005303E5" w:rsidP="00FC3120">
            <w:pPr>
              <w:jc w:val="center"/>
              <w:rPr>
                <w:rFonts w:cs="Arial"/>
                <w:sz w:val="18"/>
                <w:szCs w:val="18"/>
                <w:lang w:val="pl-PL"/>
              </w:rPr>
            </w:pPr>
            <w:r w:rsidRPr="00545EC0">
              <w:rPr>
                <w:rFonts w:cs="Arial"/>
                <w:sz w:val="18"/>
                <w:szCs w:val="18"/>
                <w:lang w:val="pl-PL"/>
              </w:rPr>
              <w:t>srednja stopnja</w:t>
            </w:r>
          </w:p>
        </w:tc>
        <w:tc>
          <w:tcPr>
            <w:tcW w:w="1097" w:type="dxa"/>
          </w:tcPr>
          <w:p w14:paraId="3E873DEA" w14:textId="77777777" w:rsidR="005303E5" w:rsidRPr="00545EC0" w:rsidRDefault="005303E5" w:rsidP="00FC3120">
            <w:pPr>
              <w:jc w:val="center"/>
              <w:rPr>
                <w:rFonts w:cs="Arial"/>
                <w:sz w:val="18"/>
                <w:szCs w:val="18"/>
              </w:rPr>
            </w:pPr>
            <w:r w:rsidRPr="00545EC0">
              <w:rPr>
                <w:rFonts w:cs="Arial"/>
                <w:sz w:val="18"/>
                <w:szCs w:val="18"/>
              </w:rPr>
              <w:t>DOBRO</w:t>
            </w:r>
          </w:p>
        </w:tc>
      </w:tr>
      <w:tr w:rsidR="005303E5" w:rsidRPr="00545EC0" w14:paraId="7E162C36" w14:textId="77777777" w:rsidTr="005303E5">
        <w:trPr>
          <w:trHeight w:hRule="exact" w:val="340"/>
        </w:trPr>
        <w:tc>
          <w:tcPr>
            <w:tcW w:w="4345" w:type="dxa"/>
          </w:tcPr>
          <w:p w14:paraId="08FCBADD" w14:textId="77777777" w:rsidR="005303E5" w:rsidRPr="00545EC0" w:rsidRDefault="005303E5" w:rsidP="00FC3120">
            <w:pPr>
              <w:rPr>
                <w:rFonts w:cs="Arial"/>
                <w:sz w:val="18"/>
                <w:szCs w:val="18"/>
                <w:lang w:val="pl-PL"/>
              </w:rPr>
            </w:pPr>
            <w:r w:rsidRPr="00545EC0">
              <w:rPr>
                <w:rFonts w:cs="Arial"/>
                <w:sz w:val="18"/>
                <w:szCs w:val="18"/>
                <w:lang w:val="pl-PL"/>
              </w:rPr>
              <w:lastRenderedPageBreak/>
              <w:t>1009 Spodnji del Savinje do Sotle</w:t>
            </w:r>
          </w:p>
        </w:tc>
        <w:tc>
          <w:tcPr>
            <w:tcW w:w="569" w:type="dxa"/>
          </w:tcPr>
          <w:p w14:paraId="62997212" w14:textId="49A0800E" w:rsidR="005303E5" w:rsidRPr="00545EC0" w:rsidRDefault="005303E5" w:rsidP="00FC3120">
            <w:pPr>
              <w:jc w:val="center"/>
              <w:rPr>
                <w:sz w:val="18"/>
                <w:szCs w:val="18"/>
              </w:rPr>
            </w:pPr>
            <w:r w:rsidRPr="00545EC0">
              <w:rPr>
                <w:rFonts w:cs="Arial"/>
              </w:rPr>
              <w:sym w:font="Wingdings" w:char="F0FC"/>
            </w:r>
          </w:p>
        </w:tc>
        <w:tc>
          <w:tcPr>
            <w:tcW w:w="637" w:type="dxa"/>
          </w:tcPr>
          <w:p w14:paraId="33BA08D0" w14:textId="77F67D9D" w:rsidR="005303E5" w:rsidRPr="00545EC0" w:rsidRDefault="005303E5" w:rsidP="00FC3120">
            <w:pPr>
              <w:jc w:val="center"/>
              <w:rPr>
                <w:rFonts w:cs="Arial"/>
                <w:sz w:val="18"/>
                <w:szCs w:val="18"/>
              </w:rPr>
            </w:pPr>
            <w:r w:rsidRPr="00545EC0">
              <w:rPr>
                <w:rFonts w:cs="Arial"/>
              </w:rPr>
              <w:sym w:font="Wingdings" w:char="F0FC"/>
            </w:r>
          </w:p>
        </w:tc>
        <w:tc>
          <w:tcPr>
            <w:tcW w:w="507" w:type="dxa"/>
          </w:tcPr>
          <w:p w14:paraId="02F0D91A" w14:textId="50B7C43A" w:rsidR="005303E5" w:rsidRPr="00545EC0" w:rsidRDefault="005303E5" w:rsidP="00FC3120">
            <w:pPr>
              <w:jc w:val="center"/>
              <w:rPr>
                <w:rFonts w:cs="Arial"/>
                <w:sz w:val="18"/>
                <w:szCs w:val="18"/>
                <w:lang w:val="pl-PL"/>
              </w:rPr>
            </w:pPr>
            <w:r w:rsidRPr="00545EC0">
              <w:rPr>
                <w:rFonts w:cs="Arial"/>
              </w:rPr>
              <w:sym w:font="Wingdings" w:char="F0FC"/>
            </w:r>
          </w:p>
        </w:tc>
        <w:tc>
          <w:tcPr>
            <w:tcW w:w="571" w:type="dxa"/>
          </w:tcPr>
          <w:p w14:paraId="6CC55D22" w14:textId="77777777" w:rsidR="005303E5" w:rsidRPr="00545EC0" w:rsidRDefault="005303E5" w:rsidP="00FC3120">
            <w:pPr>
              <w:jc w:val="center"/>
              <w:rPr>
                <w:rFonts w:cs="Arial"/>
                <w:sz w:val="18"/>
                <w:szCs w:val="18"/>
                <w:lang w:val="pl-PL"/>
              </w:rPr>
            </w:pPr>
          </w:p>
        </w:tc>
        <w:tc>
          <w:tcPr>
            <w:tcW w:w="1561" w:type="dxa"/>
          </w:tcPr>
          <w:p w14:paraId="6A92E560" w14:textId="77777777" w:rsidR="005303E5" w:rsidRPr="00545EC0" w:rsidRDefault="005303E5" w:rsidP="00FC3120">
            <w:pPr>
              <w:jc w:val="center"/>
              <w:rPr>
                <w:rFonts w:cs="Arial"/>
                <w:sz w:val="18"/>
                <w:szCs w:val="18"/>
                <w:lang w:val="pl-PL"/>
              </w:rPr>
            </w:pPr>
            <w:r w:rsidRPr="00545EC0">
              <w:rPr>
                <w:rFonts w:cs="Arial"/>
                <w:sz w:val="18"/>
                <w:szCs w:val="18"/>
                <w:lang w:val="pl-PL"/>
              </w:rPr>
              <w:t>visoka stopnja</w:t>
            </w:r>
          </w:p>
        </w:tc>
        <w:tc>
          <w:tcPr>
            <w:tcW w:w="1097" w:type="dxa"/>
          </w:tcPr>
          <w:p w14:paraId="20768698" w14:textId="77777777" w:rsidR="005303E5" w:rsidRPr="00545EC0" w:rsidRDefault="005303E5" w:rsidP="00FC3120">
            <w:pPr>
              <w:jc w:val="center"/>
              <w:rPr>
                <w:rFonts w:cs="Arial"/>
                <w:sz w:val="18"/>
                <w:szCs w:val="18"/>
              </w:rPr>
            </w:pPr>
            <w:r w:rsidRPr="00545EC0">
              <w:rPr>
                <w:rFonts w:cs="Arial"/>
                <w:sz w:val="18"/>
                <w:szCs w:val="18"/>
              </w:rPr>
              <w:t>DOBRO</w:t>
            </w:r>
          </w:p>
        </w:tc>
      </w:tr>
      <w:tr w:rsidR="005303E5" w:rsidRPr="00545EC0" w14:paraId="14557D06" w14:textId="77777777" w:rsidTr="005303E5">
        <w:trPr>
          <w:trHeight w:hRule="exact" w:val="340"/>
        </w:trPr>
        <w:tc>
          <w:tcPr>
            <w:tcW w:w="4345" w:type="dxa"/>
          </w:tcPr>
          <w:p w14:paraId="33AB2042" w14:textId="77777777" w:rsidR="005303E5" w:rsidRPr="00545EC0" w:rsidRDefault="005303E5" w:rsidP="00FC3120">
            <w:pPr>
              <w:rPr>
                <w:rFonts w:cs="Arial"/>
                <w:sz w:val="18"/>
                <w:szCs w:val="18"/>
                <w:lang w:val="pl-PL"/>
              </w:rPr>
            </w:pPr>
            <w:r w:rsidRPr="00545EC0">
              <w:rPr>
                <w:rFonts w:cs="Arial"/>
                <w:sz w:val="18"/>
                <w:szCs w:val="18"/>
                <w:lang w:val="pl-PL"/>
              </w:rPr>
              <w:t>1010 Kraška Ljubljanica</w:t>
            </w:r>
          </w:p>
        </w:tc>
        <w:tc>
          <w:tcPr>
            <w:tcW w:w="569" w:type="dxa"/>
          </w:tcPr>
          <w:p w14:paraId="47015B91" w14:textId="77592562" w:rsidR="005303E5" w:rsidRPr="00545EC0" w:rsidRDefault="005303E5" w:rsidP="00FC3120">
            <w:pPr>
              <w:jc w:val="center"/>
              <w:rPr>
                <w:sz w:val="18"/>
                <w:szCs w:val="18"/>
              </w:rPr>
            </w:pPr>
            <w:r w:rsidRPr="00545EC0">
              <w:rPr>
                <w:rFonts w:cs="Arial"/>
              </w:rPr>
              <w:sym w:font="Wingdings" w:char="F0FC"/>
            </w:r>
          </w:p>
        </w:tc>
        <w:tc>
          <w:tcPr>
            <w:tcW w:w="637" w:type="dxa"/>
          </w:tcPr>
          <w:p w14:paraId="1A22B07B" w14:textId="4F367CED" w:rsidR="005303E5" w:rsidRPr="00545EC0" w:rsidRDefault="005303E5" w:rsidP="00FC3120">
            <w:pPr>
              <w:jc w:val="center"/>
              <w:rPr>
                <w:rFonts w:cs="Arial"/>
                <w:sz w:val="18"/>
                <w:szCs w:val="18"/>
                <w:lang w:val="pl-PL"/>
              </w:rPr>
            </w:pPr>
            <w:r w:rsidRPr="00545EC0">
              <w:rPr>
                <w:rFonts w:cs="Arial"/>
              </w:rPr>
              <w:sym w:font="Wingdings" w:char="F0FC"/>
            </w:r>
          </w:p>
        </w:tc>
        <w:tc>
          <w:tcPr>
            <w:tcW w:w="507" w:type="dxa"/>
          </w:tcPr>
          <w:p w14:paraId="3FD91A40" w14:textId="34EFD863" w:rsidR="005303E5" w:rsidRPr="00545EC0" w:rsidRDefault="005303E5" w:rsidP="00FC3120">
            <w:pPr>
              <w:jc w:val="center"/>
              <w:rPr>
                <w:rFonts w:cs="Arial"/>
                <w:sz w:val="18"/>
                <w:szCs w:val="18"/>
                <w:lang w:val="pl-PL"/>
              </w:rPr>
            </w:pPr>
            <w:r w:rsidRPr="00545EC0">
              <w:rPr>
                <w:rFonts w:cs="Arial"/>
              </w:rPr>
              <w:sym w:font="Wingdings" w:char="F0FC"/>
            </w:r>
          </w:p>
        </w:tc>
        <w:tc>
          <w:tcPr>
            <w:tcW w:w="571" w:type="dxa"/>
          </w:tcPr>
          <w:p w14:paraId="06D0F29A" w14:textId="77777777" w:rsidR="005303E5" w:rsidRPr="00545EC0" w:rsidRDefault="005303E5" w:rsidP="00FC3120">
            <w:pPr>
              <w:jc w:val="center"/>
              <w:rPr>
                <w:rFonts w:cs="Arial"/>
                <w:sz w:val="18"/>
                <w:szCs w:val="18"/>
                <w:lang w:val="pl-PL"/>
              </w:rPr>
            </w:pPr>
          </w:p>
        </w:tc>
        <w:tc>
          <w:tcPr>
            <w:tcW w:w="1561" w:type="dxa"/>
          </w:tcPr>
          <w:p w14:paraId="18F7C042" w14:textId="77777777" w:rsidR="005303E5" w:rsidRPr="00545EC0" w:rsidRDefault="005303E5" w:rsidP="00FC3120">
            <w:pPr>
              <w:jc w:val="center"/>
              <w:rPr>
                <w:rFonts w:cs="Arial"/>
                <w:sz w:val="18"/>
                <w:szCs w:val="18"/>
                <w:lang w:val="pl-PL"/>
              </w:rPr>
            </w:pPr>
            <w:r w:rsidRPr="00545EC0">
              <w:rPr>
                <w:rFonts w:cs="Arial"/>
                <w:sz w:val="18"/>
                <w:szCs w:val="18"/>
                <w:lang w:val="pl-PL"/>
              </w:rPr>
              <w:t>srednja stopnja</w:t>
            </w:r>
          </w:p>
        </w:tc>
        <w:tc>
          <w:tcPr>
            <w:tcW w:w="1097" w:type="dxa"/>
          </w:tcPr>
          <w:p w14:paraId="7397744C" w14:textId="77777777" w:rsidR="005303E5" w:rsidRPr="00545EC0" w:rsidRDefault="005303E5" w:rsidP="00FC3120">
            <w:pPr>
              <w:jc w:val="center"/>
              <w:rPr>
                <w:rFonts w:cs="Arial"/>
                <w:sz w:val="18"/>
                <w:szCs w:val="18"/>
              </w:rPr>
            </w:pPr>
            <w:r w:rsidRPr="00545EC0">
              <w:rPr>
                <w:rFonts w:cs="Arial"/>
                <w:sz w:val="18"/>
                <w:szCs w:val="18"/>
              </w:rPr>
              <w:t>DOBRO</w:t>
            </w:r>
          </w:p>
        </w:tc>
      </w:tr>
      <w:tr w:rsidR="005303E5" w:rsidRPr="00545EC0" w14:paraId="608B1846" w14:textId="77777777" w:rsidTr="005303E5">
        <w:trPr>
          <w:trHeight w:hRule="exact" w:val="340"/>
        </w:trPr>
        <w:tc>
          <w:tcPr>
            <w:tcW w:w="4345" w:type="dxa"/>
          </w:tcPr>
          <w:p w14:paraId="2EAA1AEF" w14:textId="77777777" w:rsidR="005303E5" w:rsidRPr="00545EC0" w:rsidRDefault="005303E5" w:rsidP="00FC3120">
            <w:pPr>
              <w:rPr>
                <w:rFonts w:cs="Arial"/>
                <w:sz w:val="18"/>
                <w:szCs w:val="18"/>
                <w:lang w:val="pl-PL"/>
              </w:rPr>
            </w:pPr>
            <w:r w:rsidRPr="00545EC0">
              <w:rPr>
                <w:rFonts w:cs="Arial"/>
                <w:sz w:val="18"/>
                <w:szCs w:val="18"/>
                <w:lang w:val="pl-PL"/>
              </w:rPr>
              <w:t>1011 Dolenjski kras</w:t>
            </w:r>
          </w:p>
        </w:tc>
        <w:tc>
          <w:tcPr>
            <w:tcW w:w="569" w:type="dxa"/>
          </w:tcPr>
          <w:p w14:paraId="4ED80ECD" w14:textId="30F08BAB" w:rsidR="005303E5" w:rsidRPr="00545EC0" w:rsidRDefault="005303E5" w:rsidP="00FC3120">
            <w:pPr>
              <w:jc w:val="center"/>
              <w:rPr>
                <w:sz w:val="18"/>
                <w:szCs w:val="18"/>
              </w:rPr>
            </w:pPr>
            <w:r w:rsidRPr="00545EC0">
              <w:rPr>
                <w:rFonts w:cs="Arial"/>
              </w:rPr>
              <w:sym w:font="Wingdings" w:char="F0FC"/>
            </w:r>
          </w:p>
        </w:tc>
        <w:tc>
          <w:tcPr>
            <w:tcW w:w="637" w:type="dxa"/>
          </w:tcPr>
          <w:p w14:paraId="51BCAF5B" w14:textId="1A903A98" w:rsidR="005303E5" w:rsidRPr="00545EC0" w:rsidRDefault="005303E5" w:rsidP="00FC3120">
            <w:pPr>
              <w:jc w:val="center"/>
              <w:rPr>
                <w:rFonts w:cs="Arial"/>
                <w:sz w:val="18"/>
                <w:szCs w:val="18"/>
                <w:lang w:val="pl-PL"/>
              </w:rPr>
            </w:pPr>
            <w:r w:rsidRPr="00545EC0">
              <w:rPr>
                <w:rFonts w:cs="Arial"/>
              </w:rPr>
              <w:sym w:font="Wingdings" w:char="F0FC"/>
            </w:r>
          </w:p>
        </w:tc>
        <w:tc>
          <w:tcPr>
            <w:tcW w:w="507" w:type="dxa"/>
          </w:tcPr>
          <w:p w14:paraId="4EA00A94" w14:textId="585F19A4" w:rsidR="005303E5" w:rsidRPr="00545EC0" w:rsidRDefault="005303E5" w:rsidP="00FC3120">
            <w:pPr>
              <w:jc w:val="center"/>
              <w:rPr>
                <w:rFonts w:cs="Arial"/>
                <w:sz w:val="18"/>
                <w:szCs w:val="18"/>
                <w:lang w:val="pl-PL"/>
              </w:rPr>
            </w:pPr>
            <w:r w:rsidRPr="00545EC0">
              <w:rPr>
                <w:rFonts w:cs="Arial"/>
              </w:rPr>
              <w:sym w:font="Wingdings" w:char="F0FC"/>
            </w:r>
          </w:p>
        </w:tc>
        <w:tc>
          <w:tcPr>
            <w:tcW w:w="571" w:type="dxa"/>
          </w:tcPr>
          <w:p w14:paraId="6CC2A568" w14:textId="77777777" w:rsidR="005303E5" w:rsidRPr="00545EC0" w:rsidRDefault="005303E5" w:rsidP="00FC3120">
            <w:pPr>
              <w:jc w:val="center"/>
              <w:rPr>
                <w:rFonts w:cs="Arial"/>
                <w:sz w:val="18"/>
                <w:szCs w:val="18"/>
                <w:lang w:val="pl-PL"/>
              </w:rPr>
            </w:pPr>
          </w:p>
        </w:tc>
        <w:tc>
          <w:tcPr>
            <w:tcW w:w="1561" w:type="dxa"/>
          </w:tcPr>
          <w:p w14:paraId="0250783A" w14:textId="77777777" w:rsidR="005303E5" w:rsidRPr="00545EC0" w:rsidRDefault="005303E5" w:rsidP="00FC3120">
            <w:pPr>
              <w:jc w:val="center"/>
              <w:rPr>
                <w:rFonts w:cs="Arial"/>
                <w:sz w:val="18"/>
                <w:szCs w:val="18"/>
                <w:lang w:val="pl-PL"/>
              </w:rPr>
            </w:pPr>
            <w:r w:rsidRPr="00545EC0">
              <w:rPr>
                <w:rFonts w:cs="Arial"/>
                <w:sz w:val="18"/>
                <w:szCs w:val="18"/>
                <w:lang w:val="pl-PL"/>
              </w:rPr>
              <w:t>srednja stopnja</w:t>
            </w:r>
          </w:p>
        </w:tc>
        <w:tc>
          <w:tcPr>
            <w:tcW w:w="1097" w:type="dxa"/>
          </w:tcPr>
          <w:p w14:paraId="6420FCB2" w14:textId="77777777" w:rsidR="005303E5" w:rsidRPr="00545EC0" w:rsidRDefault="005303E5" w:rsidP="00FC3120">
            <w:pPr>
              <w:jc w:val="center"/>
              <w:rPr>
                <w:rFonts w:cs="Arial"/>
                <w:sz w:val="18"/>
                <w:szCs w:val="18"/>
              </w:rPr>
            </w:pPr>
            <w:r w:rsidRPr="00545EC0">
              <w:rPr>
                <w:rFonts w:cs="Arial"/>
                <w:sz w:val="18"/>
                <w:szCs w:val="18"/>
              </w:rPr>
              <w:t>DOBRO</w:t>
            </w:r>
          </w:p>
        </w:tc>
      </w:tr>
      <w:tr w:rsidR="005303E5" w:rsidRPr="00545EC0" w14:paraId="662735AC" w14:textId="77777777" w:rsidTr="005303E5">
        <w:trPr>
          <w:trHeight w:hRule="exact" w:val="340"/>
        </w:trPr>
        <w:tc>
          <w:tcPr>
            <w:tcW w:w="4345" w:type="dxa"/>
          </w:tcPr>
          <w:p w14:paraId="532F1D94" w14:textId="77777777" w:rsidR="005303E5" w:rsidRPr="00545EC0" w:rsidRDefault="005303E5" w:rsidP="00FC3120">
            <w:pPr>
              <w:rPr>
                <w:rFonts w:cs="Arial"/>
                <w:sz w:val="18"/>
                <w:szCs w:val="18"/>
                <w:lang w:val="pl-PL"/>
              </w:rPr>
            </w:pPr>
            <w:r w:rsidRPr="00545EC0">
              <w:rPr>
                <w:rFonts w:cs="Arial"/>
                <w:sz w:val="18"/>
                <w:szCs w:val="18"/>
                <w:lang w:val="pl-PL"/>
              </w:rPr>
              <w:t>3012 Dravska kotlina</w:t>
            </w:r>
          </w:p>
        </w:tc>
        <w:tc>
          <w:tcPr>
            <w:tcW w:w="569" w:type="dxa"/>
          </w:tcPr>
          <w:p w14:paraId="518EA309" w14:textId="671F2138" w:rsidR="005303E5" w:rsidRPr="00545EC0" w:rsidRDefault="005303E5" w:rsidP="00FC3120">
            <w:pPr>
              <w:jc w:val="center"/>
              <w:rPr>
                <w:sz w:val="18"/>
                <w:szCs w:val="18"/>
              </w:rPr>
            </w:pPr>
            <w:r w:rsidRPr="00545EC0">
              <w:rPr>
                <w:rFonts w:cs="Arial"/>
              </w:rPr>
              <w:sym w:font="Wingdings" w:char="F0FC"/>
            </w:r>
          </w:p>
        </w:tc>
        <w:tc>
          <w:tcPr>
            <w:tcW w:w="637" w:type="dxa"/>
          </w:tcPr>
          <w:p w14:paraId="68117C2A" w14:textId="77777777" w:rsidR="005303E5" w:rsidRPr="00545EC0" w:rsidRDefault="005303E5" w:rsidP="00FC3120">
            <w:pPr>
              <w:jc w:val="center"/>
              <w:rPr>
                <w:rFonts w:cs="Arial"/>
                <w:sz w:val="18"/>
                <w:szCs w:val="18"/>
                <w:lang w:val="pl-PL"/>
              </w:rPr>
            </w:pPr>
          </w:p>
        </w:tc>
        <w:tc>
          <w:tcPr>
            <w:tcW w:w="507" w:type="dxa"/>
          </w:tcPr>
          <w:p w14:paraId="01D546AE" w14:textId="451FD340" w:rsidR="005303E5" w:rsidRPr="00545EC0" w:rsidRDefault="005303E5" w:rsidP="00FC3120">
            <w:pPr>
              <w:jc w:val="center"/>
              <w:rPr>
                <w:rFonts w:cs="Arial"/>
                <w:sz w:val="18"/>
                <w:szCs w:val="18"/>
                <w:lang w:val="pl-PL"/>
              </w:rPr>
            </w:pPr>
            <w:r w:rsidRPr="00545EC0">
              <w:rPr>
                <w:rFonts w:cs="Arial"/>
              </w:rPr>
              <w:sym w:font="Wingdings" w:char="F0FC"/>
            </w:r>
          </w:p>
        </w:tc>
        <w:tc>
          <w:tcPr>
            <w:tcW w:w="571" w:type="dxa"/>
          </w:tcPr>
          <w:p w14:paraId="6E053881" w14:textId="77777777" w:rsidR="005303E5" w:rsidRPr="00545EC0" w:rsidRDefault="005303E5" w:rsidP="00FC3120">
            <w:pPr>
              <w:jc w:val="center"/>
              <w:rPr>
                <w:rFonts w:cs="Arial"/>
                <w:sz w:val="18"/>
                <w:szCs w:val="18"/>
                <w:lang w:val="pl-PL"/>
              </w:rPr>
            </w:pPr>
            <w:r w:rsidRPr="00545EC0">
              <w:rPr>
                <w:rFonts w:ascii="Cambria" w:hAnsi="Cambria" w:cs="Arial"/>
                <w:b/>
                <w:sz w:val="18"/>
                <w:szCs w:val="18"/>
                <w:lang w:val="sv-SE"/>
              </w:rPr>
              <w:sym w:font="Wingdings 2" w:char="F054"/>
            </w:r>
          </w:p>
        </w:tc>
        <w:tc>
          <w:tcPr>
            <w:tcW w:w="1561" w:type="dxa"/>
          </w:tcPr>
          <w:p w14:paraId="5955AF04" w14:textId="77777777" w:rsidR="005303E5" w:rsidRPr="00545EC0" w:rsidRDefault="005303E5" w:rsidP="00FC3120">
            <w:pPr>
              <w:jc w:val="center"/>
              <w:rPr>
                <w:rFonts w:cs="Arial"/>
                <w:sz w:val="18"/>
                <w:szCs w:val="18"/>
                <w:lang w:val="pl-PL"/>
              </w:rPr>
            </w:pPr>
            <w:r w:rsidRPr="00545EC0">
              <w:rPr>
                <w:rFonts w:cs="Arial"/>
                <w:sz w:val="18"/>
                <w:szCs w:val="18"/>
                <w:lang w:val="pl-PL"/>
              </w:rPr>
              <w:t>srednja stopnja</w:t>
            </w:r>
          </w:p>
        </w:tc>
        <w:tc>
          <w:tcPr>
            <w:tcW w:w="1097" w:type="dxa"/>
          </w:tcPr>
          <w:p w14:paraId="47280A7D" w14:textId="77777777" w:rsidR="005303E5" w:rsidRPr="00545EC0" w:rsidRDefault="005303E5" w:rsidP="00FC3120">
            <w:pPr>
              <w:jc w:val="center"/>
              <w:rPr>
                <w:rFonts w:cs="Arial"/>
                <w:sz w:val="18"/>
                <w:szCs w:val="18"/>
              </w:rPr>
            </w:pPr>
            <w:r w:rsidRPr="00545EC0">
              <w:rPr>
                <w:rFonts w:cs="Arial"/>
                <w:sz w:val="18"/>
                <w:szCs w:val="18"/>
              </w:rPr>
              <w:t>SLABO</w:t>
            </w:r>
          </w:p>
        </w:tc>
      </w:tr>
      <w:tr w:rsidR="005303E5" w:rsidRPr="00545EC0" w14:paraId="3F94814A" w14:textId="77777777" w:rsidTr="005303E5">
        <w:trPr>
          <w:trHeight w:hRule="exact" w:val="340"/>
        </w:trPr>
        <w:tc>
          <w:tcPr>
            <w:tcW w:w="4345" w:type="dxa"/>
          </w:tcPr>
          <w:p w14:paraId="094306A4" w14:textId="77777777" w:rsidR="005303E5" w:rsidRPr="00545EC0" w:rsidRDefault="005303E5" w:rsidP="00FC3120">
            <w:pPr>
              <w:rPr>
                <w:rFonts w:cs="Arial"/>
                <w:sz w:val="18"/>
                <w:szCs w:val="18"/>
                <w:lang w:val="pl-PL"/>
              </w:rPr>
            </w:pPr>
            <w:r w:rsidRPr="00545EC0">
              <w:rPr>
                <w:rFonts w:cs="Arial"/>
                <w:sz w:val="18"/>
                <w:szCs w:val="18"/>
                <w:lang w:val="pl-PL"/>
              </w:rPr>
              <w:t>3013 Vzhodne Alpe</w:t>
            </w:r>
          </w:p>
        </w:tc>
        <w:tc>
          <w:tcPr>
            <w:tcW w:w="569" w:type="dxa"/>
          </w:tcPr>
          <w:p w14:paraId="6B627E6B" w14:textId="2BB06188" w:rsidR="005303E5" w:rsidRPr="00545EC0" w:rsidRDefault="005303E5" w:rsidP="00FC3120">
            <w:pPr>
              <w:jc w:val="center"/>
              <w:rPr>
                <w:sz w:val="18"/>
                <w:szCs w:val="18"/>
              </w:rPr>
            </w:pPr>
            <w:r w:rsidRPr="00545EC0">
              <w:rPr>
                <w:rFonts w:cs="Arial"/>
              </w:rPr>
              <w:sym w:font="Wingdings" w:char="F0FC"/>
            </w:r>
          </w:p>
        </w:tc>
        <w:tc>
          <w:tcPr>
            <w:tcW w:w="637" w:type="dxa"/>
          </w:tcPr>
          <w:p w14:paraId="3C98BB98" w14:textId="508AA60A" w:rsidR="005303E5" w:rsidRPr="00545EC0" w:rsidRDefault="005303E5" w:rsidP="00FC3120">
            <w:pPr>
              <w:jc w:val="center"/>
              <w:rPr>
                <w:rFonts w:cs="Arial"/>
                <w:sz w:val="18"/>
                <w:szCs w:val="18"/>
                <w:lang w:val="pl-PL"/>
              </w:rPr>
            </w:pPr>
            <w:r w:rsidRPr="00545EC0">
              <w:rPr>
                <w:rFonts w:cs="Arial"/>
              </w:rPr>
              <w:sym w:font="Wingdings" w:char="F0FC"/>
            </w:r>
          </w:p>
        </w:tc>
        <w:tc>
          <w:tcPr>
            <w:tcW w:w="507" w:type="dxa"/>
          </w:tcPr>
          <w:p w14:paraId="4A617F46" w14:textId="77777777" w:rsidR="005303E5" w:rsidRPr="00545EC0" w:rsidRDefault="005303E5" w:rsidP="00FC3120">
            <w:pPr>
              <w:jc w:val="center"/>
              <w:rPr>
                <w:rFonts w:cs="Arial"/>
                <w:sz w:val="18"/>
                <w:szCs w:val="18"/>
                <w:lang w:val="pl-PL"/>
              </w:rPr>
            </w:pPr>
          </w:p>
        </w:tc>
        <w:tc>
          <w:tcPr>
            <w:tcW w:w="571" w:type="dxa"/>
          </w:tcPr>
          <w:p w14:paraId="195C7E18" w14:textId="77777777" w:rsidR="005303E5" w:rsidRPr="00545EC0" w:rsidRDefault="005303E5" w:rsidP="00FC3120">
            <w:pPr>
              <w:jc w:val="center"/>
              <w:rPr>
                <w:rFonts w:cs="Arial"/>
                <w:sz w:val="18"/>
                <w:szCs w:val="18"/>
                <w:lang w:val="pl-PL"/>
              </w:rPr>
            </w:pPr>
          </w:p>
        </w:tc>
        <w:tc>
          <w:tcPr>
            <w:tcW w:w="1561" w:type="dxa"/>
          </w:tcPr>
          <w:p w14:paraId="0C5E1425" w14:textId="77777777" w:rsidR="005303E5" w:rsidRPr="00545EC0" w:rsidRDefault="005303E5" w:rsidP="00FC3120">
            <w:pPr>
              <w:jc w:val="center"/>
              <w:rPr>
                <w:rFonts w:cs="Arial"/>
                <w:sz w:val="18"/>
                <w:szCs w:val="18"/>
                <w:lang w:val="pl-PL"/>
              </w:rPr>
            </w:pPr>
            <w:r w:rsidRPr="00545EC0">
              <w:rPr>
                <w:rFonts w:cs="Arial"/>
                <w:sz w:val="18"/>
                <w:szCs w:val="18"/>
                <w:lang w:val="pl-PL"/>
              </w:rPr>
              <w:t>srednja stopnja</w:t>
            </w:r>
          </w:p>
        </w:tc>
        <w:tc>
          <w:tcPr>
            <w:tcW w:w="1097" w:type="dxa"/>
          </w:tcPr>
          <w:p w14:paraId="1037967A" w14:textId="77777777" w:rsidR="005303E5" w:rsidRPr="00545EC0" w:rsidRDefault="005303E5" w:rsidP="00FC3120">
            <w:pPr>
              <w:jc w:val="center"/>
              <w:rPr>
                <w:rFonts w:cs="Arial"/>
                <w:sz w:val="18"/>
                <w:szCs w:val="18"/>
              </w:rPr>
            </w:pPr>
            <w:r w:rsidRPr="00545EC0">
              <w:rPr>
                <w:rFonts w:cs="Arial"/>
                <w:sz w:val="18"/>
                <w:szCs w:val="18"/>
              </w:rPr>
              <w:t>DOBRO</w:t>
            </w:r>
          </w:p>
        </w:tc>
      </w:tr>
      <w:tr w:rsidR="005303E5" w:rsidRPr="00545EC0" w14:paraId="41654181" w14:textId="77777777" w:rsidTr="005303E5">
        <w:trPr>
          <w:trHeight w:hRule="exact" w:val="340"/>
        </w:trPr>
        <w:tc>
          <w:tcPr>
            <w:tcW w:w="4345" w:type="dxa"/>
          </w:tcPr>
          <w:p w14:paraId="3F30CBD9" w14:textId="77777777" w:rsidR="005303E5" w:rsidRPr="00545EC0" w:rsidRDefault="005303E5" w:rsidP="00FC3120">
            <w:pPr>
              <w:rPr>
                <w:rFonts w:cs="Arial"/>
                <w:sz w:val="18"/>
                <w:szCs w:val="18"/>
                <w:lang w:val="en-GB"/>
              </w:rPr>
            </w:pPr>
            <w:r w:rsidRPr="00545EC0">
              <w:rPr>
                <w:rFonts w:cs="Arial"/>
                <w:sz w:val="18"/>
                <w:szCs w:val="18"/>
                <w:lang w:val="en-GB"/>
              </w:rPr>
              <w:t xml:space="preserve">3014 </w:t>
            </w:r>
            <w:r w:rsidRPr="00545EC0">
              <w:rPr>
                <w:rFonts w:cs="Arial"/>
                <w:sz w:val="18"/>
                <w:szCs w:val="18"/>
              </w:rPr>
              <w:t>Haloze in Dravinjske gorice</w:t>
            </w:r>
          </w:p>
        </w:tc>
        <w:tc>
          <w:tcPr>
            <w:tcW w:w="569" w:type="dxa"/>
          </w:tcPr>
          <w:p w14:paraId="4E09271D" w14:textId="4626DB89" w:rsidR="005303E5" w:rsidRPr="00545EC0" w:rsidRDefault="005303E5" w:rsidP="00FC3120">
            <w:pPr>
              <w:jc w:val="center"/>
              <w:rPr>
                <w:sz w:val="18"/>
                <w:szCs w:val="18"/>
              </w:rPr>
            </w:pPr>
            <w:r w:rsidRPr="00545EC0">
              <w:rPr>
                <w:rFonts w:cs="Arial"/>
              </w:rPr>
              <w:sym w:font="Wingdings" w:char="F0FC"/>
            </w:r>
          </w:p>
        </w:tc>
        <w:tc>
          <w:tcPr>
            <w:tcW w:w="637" w:type="dxa"/>
          </w:tcPr>
          <w:p w14:paraId="502E50DC" w14:textId="0218741A" w:rsidR="005303E5" w:rsidRPr="00545EC0" w:rsidRDefault="005303E5" w:rsidP="00FC3120">
            <w:pPr>
              <w:jc w:val="center"/>
              <w:rPr>
                <w:rFonts w:cs="Arial"/>
                <w:sz w:val="18"/>
                <w:szCs w:val="18"/>
                <w:lang w:val="pl-PL"/>
              </w:rPr>
            </w:pPr>
            <w:r w:rsidRPr="00545EC0">
              <w:rPr>
                <w:rFonts w:cs="Arial"/>
              </w:rPr>
              <w:sym w:font="Wingdings" w:char="F0FC"/>
            </w:r>
          </w:p>
        </w:tc>
        <w:tc>
          <w:tcPr>
            <w:tcW w:w="507" w:type="dxa"/>
          </w:tcPr>
          <w:p w14:paraId="1BE0F326" w14:textId="77777777" w:rsidR="005303E5" w:rsidRPr="00545EC0" w:rsidRDefault="005303E5" w:rsidP="00FC3120">
            <w:pPr>
              <w:jc w:val="center"/>
              <w:rPr>
                <w:rFonts w:cs="Arial"/>
                <w:sz w:val="18"/>
                <w:szCs w:val="18"/>
                <w:lang w:val="en-GB"/>
              </w:rPr>
            </w:pPr>
          </w:p>
        </w:tc>
        <w:tc>
          <w:tcPr>
            <w:tcW w:w="571" w:type="dxa"/>
          </w:tcPr>
          <w:p w14:paraId="1FDCA983" w14:textId="77777777" w:rsidR="005303E5" w:rsidRPr="00545EC0" w:rsidRDefault="005303E5" w:rsidP="00FC3120">
            <w:pPr>
              <w:jc w:val="center"/>
              <w:rPr>
                <w:rFonts w:cs="Arial"/>
                <w:sz w:val="18"/>
                <w:szCs w:val="18"/>
                <w:lang w:val="en-GB"/>
              </w:rPr>
            </w:pPr>
          </w:p>
        </w:tc>
        <w:tc>
          <w:tcPr>
            <w:tcW w:w="1561" w:type="dxa"/>
          </w:tcPr>
          <w:p w14:paraId="6F5FBC9C" w14:textId="77777777" w:rsidR="005303E5" w:rsidRPr="00545EC0" w:rsidRDefault="005303E5" w:rsidP="00FC3120">
            <w:pPr>
              <w:jc w:val="center"/>
              <w:rPr>
                <w:rFonts w:cs="Arial"/>
                <w:sz w:val="18"/>
                <w:szCs w:val="18"/>
                <w:lang w:val="pl-PL"/>
              </w:rPr>
            </w:pPr>
            <w:r w:rsidRPr="00545EC0">
              <w:rPr>
                <w:rFonts w:cs="Arial"/>
                <w:sz w:val="18"/>
                <w:szCs w:val="18"/>
                <w:lang w:val="pl-PL"/>
              </w:rPr>
              <w:t>srednja stopnja</w:t>
            </w:r>
          </w:p>
        </w:tc>
        <w:tc>
          <w:tcPr>
            <w:tcW w:w="1097" w:type="dxa"/>
          </w:tcPr>
          <w:p w14:paraId="46D3AB73" w14:textId="77777777" w:rsidR="005303E5" w:rsidRPr="00545EC0" w:rsidRDefault="005303E5" w:rsidP="00FC3120">
            <w:pPr>
              <w:jc w:val="center"/>
              <w:rPr>
                <w:rFonts w:cs="Arial"/>
                <w:sz w:val="18"/>
                <w:szCs w:val="18"/>
              </w:rPr>
            </w:pPr>
            <w:r w:rsidRPr="00545EC0">
              <w:rPr>
                <w:rFonts w:cs="Arial"/>
                <w:sz w:val="18"/>
                <w:szCs w:val="18"/>
              </w:rPr>
              <w:t>DOBRO</w:t>
            </w:r>
          </w:p>
        </w:tc>
      </w:tr>
      <w:tr w:rsidR="005303E5" w:rsidRPr="00545EC0" w14:paraId="3E6E9105" w14:textId="77777777" w:rsidTr="005303E5">
        <w:trPr>
          <w:trHeight w:hRule="exact" w:val="340"/>
        </w:trPr>
        <w:tc>
          <w:tcPr>
            <w:tcW w:w="4345" w:type="dxa"/>
          </w:tcPr>
          <w:p w14:paraId="648ECCD3" w14:textId="77777777" w:rsidR="005303E5" w:rsidRPr="00545EC0" w:rsidRDefault="005303E5" w:rsidP="00FC3120">
            <w:pPr>
              <w:rPr>
                <w:rFonts w:cs="Arial"/>
                <w:sz w:val="18"/>
                <w:szCs w:val="18"/>
                <w:lang w:val="pl-PL"/>
              </w:rPr>
            </w:pPr>
            <w:r w:rsidRPr="00545EC0">
              <w:rPr>
                <w:rFonts w:cs="Arial"/>
                <w:sz w:val="18"/>
                <w:szCs w:val="18"/>
                <w:lang w:val="pl-PL"/>
              </w:rPr>
              <w:t>3015 Zahodne Slovenske gorice</w:t>
            </w:r>
          </w:p>
        </w:tc>
        <w:tc>
          <w:tcPr>
            <w:tcW w:w="569" w:type="dxa"/>
          </w:tcPr>
          <w:p w14:paraId="5554A81F" w14:textId="160BE921" w:rsidR="005303E5" w:rsidRPr="00545EC0" w:rsidRDefault="005303E5" w:rsidP="00FC3120">
            <w:pPr>
              <w:jc w:val="center"/>
              <w:rPr>
                <w:sz w:val="18"/>
                <w:szCs w:val="18"/>
              </w:rPr>
            </w:pPr>
            <w:r w:rsidRPr="00545EC0">
              <w:rPr>
                <w:rFonts w:cs="Arial"/>
              </w:rPr>
              <w:sym w:font="Wingdings" w:char="F0FC"/>
            </w:r>
          </w:p>
        </w:tc>
        <w:tc>
          <w:tcPr>
            <w:tcW w:w="637" w:type="dxa"/>
          </w:tcPr>
          <w:p w14:paraId="2BC29590" w14:textId="2496074F" w:rsidR="005303E5" w:rsidRPr="00545EC0" w:rsidRDefault="005303E5" w:rsidP="00FC3120">
            <w:pPr>
              <w:jc w:val="center"/>
              <w:rPr>
                <w:rFonts w:cs="Arial"/>
                <w:sz w:val="18"/>
                <w:szCs w:val="18"/>
                <w:lang w:val="pl-PL"/>
              </w:rPr>
            </w:pPr>
            <w:r w:rsidRPr="00545EC0">
              <w:rPr>
                <w:rFonts w:cs="Arial"/>
              </w:rPr>
              <w:sym w:font="Wingdings" w:char="F0FC"/>
            </w:r>
          </w:p>
        </w:tc>
        <w:tc>
          <w:tcPr>
            <w:tcW w:w="507" w:type="dxa"/>
          </w:tcPr>
          <w:p w14:paraId="62F08928" w14:textId="39384EE1" w:rsidR="005303E5" w:rsidRPr="00545EC0" w:rsidRDefault="005303E5" w:rsidP="00FC3120">
            <w:pPr>
              <w:jc w:val="center"/>
              <w:rPr>
                <w:rFonts w:cs="Arial"/>
                <w:sz w:val="18"/>
                <w:szCs w:val="18"/>
                <w:lang w:val="pl-PL"/>
              </w:rPr>
            </w:pPr>
            <w:r w:rsidRPr="00545EC0">
              <w:rPr>
                <w:rFonts w:cs="Arial"/>
              </w:rPr>
              <w:sym w:font="Wingdings" w:char="F0FC"/>
            </w:r>
          </w:p>
        </w:tc>
        <w:tc>
          <w:tcPr>
            <w:tcW w:w="571" w:type="dxa"/>
          </w:tcPr>
          <w:p w14:paraId="40CAA730" w14:textId="77777777" w:rsidR="005303E5" w:rsidRPr="00545EC0" w:rsidRDefault="005303E5" w:rsidP="00FC3120">
            <w:pPr>
              <w:jc w:val="center"/>
              <w:rPr>
                <w:rFonts w:cs="Arial"/>
                <w:sz w:val="18"/>
                <w:szCs w:val="18"/>
                <w:lang w:val="pl-PL"/>
              </w:rPr>
            </w:pPr>
          </w:p>
        </w:tc>
        <w:tc>
          <w:tcPr>
            <w:tcW w:w="1561" w:type="dxa"/>
          </w:tcPr>
          <w:p w14:paraId="397CA63E" w14:textId="77777777" w:rsidR="005303E5" w:rsidRPr="00545EC0" w:rsidRDefault="005303E5" w:rsidP="00FC3120">
            <w:pPr>
              <w:jc w:val="center"/>
              <w:rPr>
                <w:rFonts w:cs="Arial"/>
                <w:sz w:val="18"/>
                <w:szCs w:val="18"/>
                <w:lang w:val="pl-PL"/>
              </w:rPr>
            </w:pPr>
            <w:r w:rsidRPr="00545EC0">
              <w:rPr>
                <w:rFonts w:cs="Arial"/>
                <w:sz w:val="18"/>
                <w:szCs w:val="18"/>
                <w:lang w:val="pl-PL"/>
              </w:rPr>
              <w:t>srednja stopnja</w:t>
            </w:r>
          </w:p>
        </w:tc>
        <w:tc>
          <w:tcPr>
            <w:tcW w:w="1097" w:type="dxa"/>
          </w:tcPr>
          <w:p w14:paraId="7E026F23" w14:textId="77777777" w:rsidR="005303E5" w:rsidRPr="00545EC0" w:rsidRDefault="005303E5" w:rsidP="00FC3120">
            <w:pPr>
              <w:jc w:val="center"/>
              <w:rPr>
                <w:rFonts w:cs="Arial"/>
                <w:sz w:val="18"/>
                <w:szCs w:val="18"/>
              </w:rPr>
            </w:pPr>
            <w:r w:rsidRPr="00545EC0">
              <w:rPr>
                <w:rFonts w:cs="Arial"/>
                <w:sz w:val="18"/>
                <w:szCs w:val="18"/>
              </w:rPr>
              <w:t>DOBRO</w:t>
            </w:r>
          </w:p>
        </w:tc>
      </w:tr>
      <w:tr w:rsidR="005303E5" w:rsidRPr="00545EC0" w14:paraId="531AB891" w14:textId="77777777" w:rsidTr="005303E5">
        <w:trPr>
          <w:trHeight w:hRule="exact" w:val="340"/>
        </w:trPr>
        <w:tc>
          <w:tcPr>
            <w:tcW w:w="4345" w:type="dxa"/>
          </w:tcPr>
          <w:p w14:paraId="32BE37AC" w14:textId="77777777" w:rsidR="005303E5" w:rsidRPr="00545EC0" w:rsidRDefault="005303E5" w:rsidP="00FC3120">
            <w:pPr>
              <w:rPr>
                <w:rFonts w:cs="Arial"/>
                <w:sz w:val="18"/>
                <w:szCs w:val="18"/>
                <w:lang w:val="pl-PL"/>
              </w:rPr>
            </w:pPr>
            <w:r w:rsidRPr="00545EC0">
              <w:rPr>
                <w:rFonts w:cs="Arial"/>
                <w:sz w:val="18"/>
                <w:szCs w:val="18"/>
                <w:lang w:val="pl-PL"/>
              </w:rPr>
              <w:t>4016 Murska kotlina</w:t>
            </w:r>
          </w:p>
        </w:tc>
        <w:tc>
          <w:tcPr>
            <w:tcW w:w="569" w:type="dxa"/>
          </w:tcPr>
          <w:p w14:paraId="466A8691" w14:textId="00A0E631" w:rsidR="005303E5" w:rsidRPr="00545EC0" w:rsidRDefault="005303E5" w:rsidP="00FC3120">
            <w:pPr>
              <w:spacing w:before="40"/>
              <w:jc w:val="center"/>
              <w:rPr>
                <w:rFonts w:cs="Arial"/>
                <w:sz w:val="18"/>
                <w:szCs w:val="18"/>
                <w:lang w:val="pl-PL"/>
              </w:rPr>
            </w:pPr>
            <w:r w:rsidRPr="00545EC0">
              <w:rPr>
                <w:rFonts w:cs="Arial"/>
              </w:rPr>
              <w:sym w:font="Wingdings" w:char="F0FC"/>
            </w:r>
          </w:p>
        </w:tc>
        <w:tc>
          <w:tcPr>
            <w:tcW w:w="637" w:type="dxa"/>
          </w:tcPr>
          <w:p w14:paraId="7FB954A5" w14:textId="502211FB" w:rsidR="005303E5" w:rsidRPr="00545EC0" w:rsidRDefault="005303E5" w:rsidP="00FC3120">
            <w:pPr>
              <w:jc w:val="center"/>
              <w:rPr>
                <w:rFonts w:cs="Arial"/>
                <w:sz w:val="18"/>
                <w:szCs w:val="18"/>
                <w:lang w:val="pl-PL"/>
              </w:rPr>
            </w:pPr>
            <w:r w:rsidRPr="00545EC0">
              <w:rPr>
                <w:rFonts w:cs="Arial"/>
              </w:rPr>
              <w:sym w:font="Wingdings" w:char="F0FC"/>
            </w:r>
          </w:p>
        </w:tc>
        <w:tc>
          <w:tcPr>
            <w:tcW w:w="507" w:type="dxa"/>
          </w:tcPr>
          <w:p w14:paraId="03F13455" w14:textId="130EC515" w:rsidR="005303E5" w:rsidRPr="00545EC0" w:rsidRDefault="005303E5" w:rsidP="00FC3120">
            <w:pPr>
              <w:jc w:val="center"/>
              <w:rPr>
                <w:rFonts w:cs="Arial"/>
                <w:sz w:val="18"/>
                <w:szCs w:val="18"/>
                <w:lang w:val="pl-PL"/>
              </w:rPr>
            </w:pPr>
            <w:r w:rsidRPr="00545EC0">
              <w:rPr>
                <w:rFonts w:cs="Arial"/>
              </w:rPr>
              <w:sym w:font="Wingdings" w:char="F0FC"/>
            </w:r>
          </w:p>
        </w:tc>
        <w:tc>
          <w:tcPr>
            <w:tcW w:w="571" w:type="dxa"/>
          </w:tcPr>
          <w:p w14:paraId="5771540E" w14:textId="77777777" w:rsidR="005303E5" w:rsidRPr="00545EC0" w:rsidRDefault="005303E5" w:rsidP="00FC3120">
            <w:pPr>
              <w:jc w:val="center"/>
              <w:rPr>
                <w:rFonts w:cs="Arial"/>
                <w:sz w:val="18"/>
                <w:szCs w:val="18"/>
                <w:lang w:val="pl-PL"/>
              </w:rPr>
            </w:pPr>
          </w:p>
        </w:tc>
        <w:tc>
          <w:tcPr>
            <w:tcW w:w="1561" w:type="dxa"/>
          </w:tcPr>
          <w:p w14:paraId="31B27940" w14:textId="77777777" w:rsidR="005303E5" w:rsidRPr="00545EC0" w:rsidRDefault="005303E5" w:rsidP="00FC3120">
            <w:pPr>
              <w:jc w:val="center"/>
              <w:rPr>
                <w:rFonts w:cs="Arial"/>
                <w:sz w:val="18"/>
                <w:szCs w:val="18"/>
                <w:lang w:val="pl-PL"/>
              </w:rPr>
            </w:pPr>
            <w:r w:rsidRPr="00545EC0">
              <w:rPr>
                <w:rFonts w:cs="Arial"/>
                <w:sz w:val="18"/>
                <w:szCs w:val="18"/>
                <w:lang w:val="pl-PL"/>
              </w:rPr>
              <w:t>srednja stopnja</w:t>
            </w:r>
          </w:p>
        </w:tc>
        <w:tc>
          <w:tcPr>
            <w:tcW w:w="1097" w:type="dxa"/>
          </w:tcPr>
          <w:p w14:paraId="26E24FC3" w14:textId="77777777" w:rsidR="005303E5" w:rsidRPr="00545EC0" w:rsidRDefault="005303E5" w:rsidP="00FC3120">
            <w:pPr>
              <w:jc w:val="center"/>
              <w:rPr>
                <w:rFonts w:cs="Arial"/>
                <w:sz w:val="18"/>
                <w:szCs w:val="18"/>
              </w:rPr>
            </w:pPr>
            <w:r w:rsidRPr="00545EC0">
              <w:rPr>
                <w:rFonts w:cs="Arial"/>
                <w:sz w:val="18"/>
                <w:szCs w:val="18"/>
              </w:rPr>
              <w:t>DOBRO</w:t>
            </w:r>
          </w:p>
        </w:tc>
      </w:tr>
      <w:tr w:rsidR="005303E5" w:rsidRPr="00545EC0" w14:paraId="6CA8E73C" w14:textId="77777777" w:rsidTr="005303E5">
        <w:trPr>
          <w:trHeight w:hRule="exact" w:val="340"/>
        </w:trPr>
        <w:tc>
          <w:tcPr>
            <w:tcW w:w="4345" w:type="dxa"/>
          </w:tcPr>
          <w:p w14:paraId="43276C84" w14:textId="77777777" w:rsidR="005303E5" w:rsidRPr="00545EC0" w:rsidRDefault="005303E5" w:rsidP="00FC3120">
            <w:pPr>
              <w:rPr>
                <w:rFonts w:cs="Arial"/>
                <w:sz w:val="18"/>
                <w:szCs w:val="18"/>
                <w:lang w:val="pl-PL"/>
              </w:rPr>
            </w:pPr>
            <w:r w:rsidRPr="00545EC0">
              <w:rPr>
                <w:rFonts w:cs="Arial"/>
                <w:sz w:val="18"/>
                <w:szCs w:val="18"/>
                <w:lang w:val="pl-PL"/>
              </w:rPr>
              <w:t>4017 Vzhodne Slovenske gorice</w:t>
            </w:r>
          </w:p>
        </w:tc>
        <w:tc>
          <w:tcPr>
            <w:tcW w:w="569" w:type="dxa"/>
          </w:tcPr>
          <w:p w14:paraId="5A7AD5A0" w14:textId="4B9A3C2F" w:rsidR="005303E5" w:rsidRPr="00545EC0" w:rsidRDefault="005303E5" w:rsidP="00FC3120">
            <w:pPr>
              <w:jc w:val="center"/>
              <w:rPr>
                <w:sz w:val="18"/>
                <w:szCs w:val="18"/>
              </w:rPr>
            </w:pPr>
            <w:r w:rsidRPr="00545EC0">
              <w:rPr>
                <w:rFonts w:cs="Arial"/>
              </w:rPr>
              <w:sym w:font="Wingdings" w:char="F0FC"/>
            </w:r>
          </w:p>
        </w:tc>
        <w:tc>
          <w:tcPr>
            <w:tcW w:w="637" w:type="dxa"/>
          </w:tcPr>
          <w:p w14:paraId="35623484" w14:textId="3B89FE25" w:rsidR="005303E5" w:rsidRPr="00545EC0" w:rsidRDefault="005303E5" w:rsidP="00FC3120">
            <w:pPr>
              <w:jc w:val="center"/>
              <w:rPr>
                <w:rFonts w:cs="Arial"/>
                <w:sz w:val="18"/>
                <w:szCs w:val="18"/>
                <w:lang w:val="pl-PL"/>
              </w:rPr>
            </w:pPr>
            <w:r w:rsidRPr="00545EC0">
              <w:rPr>
                <w:rFonts w:cs="Arial"/>
              </w:rPr>
              <w:sym w:font="Wingdings" w:char="F0FC"/>
            </w:r>
          </w:p>
        </w:tc>
        <w:tc>
          <w:tcPr>
            <w:tcW w:w="507" w:type="dxa"/>
          </w:tcPr>
          <w:p w14:paraId="13857A2E" w14:textId="23BED7B9" w:rsidR="005303E5" w:rsidRPr="00545EC0" w:rsidRDefault="005303E5" w:rsidP="00FC3120">
            <w:pPr>
              <w:jc w:val="center"/>
              <w:rPr>
                <w:rFonts w:cs="Arial"/>
                <w:sz w:val="18"/>
                <w:szCs w:val="18"/>
                <w:lang w:val="pl-PL"/>
              </w:rPr>
            </w:pPr>
            <w:r w:rsidRPr="00545EC0">
              <w:rPr>
                <w:rFonts w:cs="Arial"/>
              </w:rPr>
              <w:sym w:font="Wingdings" w:char="F0FC"/>
            </w:r>
          </w:p>
        </w:tc>
        <w:tc>
          <w:tcPr>
            <w:tcW w:w="571" w:type="dxa"/>
          </w:tcPr>
          <w:p w14:paraId="02AD0278" w14:textId="77777777" w:rsidR="005303E5" w:rsidRPr="00545EC0" w:rsidRDefault="005303E5" w:rsidP="00FC3120">
            <w:pPr>
              <w:jc w:val="center"/>
              <w:rPr>
                <w:rFonts w:cs="Arial"/>
                <w:sz w:val="18"/>
                <w:szCs w:val="18"/>
                <w:lang w:val="pl-PL"/>
              </w:rPr>
            </w:pPr>
          </w:p>
        </w:tc>
        <w:tc>
          <w:tcPr>
            <w:tcW w:w="1561" w:type="dxa"/>
          </w:tcPr>
          <w:p w14:paraId="42445B35" w14:textId="77777777" w:rsidR="005303E5" w:rsidRPr="00545EC0" w:rsidRDefault="005303E5" w:rsidP="00FC3120">
            <w:pPr>
              <w:jc w:val="center"/>
              <w:rPr>
                <w:rFonts w:cs="Arial"/>
                <w:sz w:val="18"/>
                <w:szCs w:val="18"/>
                <w:lang w:val="pl-PL"/>
              </w:rPr>
            </w:pPr>
            <w:r w:rsidRPr="00545EC0">
              <w:rPr>
                <w:rFonts w:cs="Arial"/>
                <w:sz w:val="18"/>
                <w:szCs w:val="18"/>
                <w:lang w:val="pl-PL"/>
              </w:rPr>
              <w:t>srednja stopnja</w:t>
            </w:r>
          </w:p>
        </w:tc>
        <w:tc>
          <w:tcPr>
            <w:tcW w:w="1097" w:type="dxa"/>
          </w:tcPr>
          <w:p w14:paraId="536BE123" w14:textId="77777777" w:rsidR="005303E5" w:rsidRPr="00545EC0" w:rsidRDefault="005303E5" w:rsidP="00FC3120">
            <w:pPr>
              <w:jc w:val="center"/>
              <w:rPr>
                <w:rFonts w:cs="Arial"/>
                <w:sz w:val="18"/>
                <w:szCs w:val="18"/>
              </w:rPr>
            </w:pPr>
            <w:r w:rsidRPr="00545EC0">
              <w:rPr>
                <w:rFonts w:cs="Arial"/>
                <w:sz w:val="18"/>
                <w:szCs w:val="18"/>
              </w:rPr>
              <w:t>DOBRO</w:t>
            </w:r>
          </w:p>
        </w:tc>
      </w:tr>
      <w:tr w:rsidR="005303E5" w:rsidRPr="00545EC0" w14:paraId="1E6ABB05" w14:textId="77777777" w:rsidTr="005303E5">
        <w:trPr>
          <w:trHeight w:hRule="exact" w:val="340"/>
        </w:trPr>
        <w:tc>
          <w:tcPr>
            <w:tcW w:w="4345" w:type="dxa"/>
          </w:tcPr>
          <w:p w14:paraId="26BBDBBD" w14:textId="77777777" w:rsidR="005303E5" w:rsidRPr="00545EC0" w:rsidRDefault="005303E5" w:rsidP="00FC3120">
            <w:pPr>
              <w:rPr>
                <w:rFonts w:cs="Arial"/>
                <w:sz w:val="18"/>
                <w:szCs w:val="18"/>
                <w:lang w:val="pl-PL"/>
              </w:rPr>
            </w:pPr>
            <w:r w:rsidRPr="00545EC0">
              <w:rPr>
                <w:rFonts w:cs="Arial"/>
                <w:sz w:val="18"/>
                <w:szCs w:val="18"/>
                <w:lang w:val="pl-PL"/>
              </w:rPr>
              <w:t>4018 Goričko</w:t>
            </w:r>
          </w:p>
        </w:tc>
        <w:tc>
          <w:tcPr>
            <w:tcW w:w="569" w:type="dxa"/>
          </w:tcPr>
          <w:p w14:paraId="0FE9AD91" w14:textId="63AC926B" w:rsidR="005303E5" w:rsidRPr="00545EC0" w:rsidRDefault="005303E5" w:rsidP="00FC3120">
            <w:pPr>
              <w:jc w:val="center"/>
              <w:rPr>
                <w:sz w:val="18"/>
                <w:szCs w:val="18"/>
              </w:rPr>
            </w:pPr>
            <w:r w:rsidRPr="00545EC0">
              <w:rPr>
                <w:rFonts w:cs="Arial"/>
              </w:rPr>
              <w:sym w:font="Wingdings" w:char="F0FC"/>
            </w:r>
          </w:p>
        </w:tc>
        <w:tc>
          <w:tcPr>
            <w:tcW w:w="637" w:type="dxa"/>
          </w:tcPr>
          <w:p w14:paraId="12B4473B" w14:textId="4B585536" w:rsidR="005303E5" w:rsidRPr="00545EC0" w:rsidRDefault="005303E5" w:rsidP="00FC3120">
            <w:pPr>
              <w:jc w:val="center"/>
              <w:rPr>
                <w:rFonts w:cs="Arial"/>
                <w:sz w:val="18"/>
                <w:szCs w:val="18"/>
                <w:lang w:val="pl-PL"/>
              </w:rPr>
            </w:pPr>
            <w:r w:rsidRPr="00545EC0">
              <w:rPr>
                <w:rFonts w:cs="Arial"/>
              </w:rPr>
              <w:sym w:font="Wingdings" w:char="F0FC"/>
            </w:r>
          </w:p>
        </w:tc>
        <w:tc>
          <w:tcPr>
            <w:tcW w:w="507" w:type="dxa"/>
          </w:tcPr>
          <w:p w14:paraId="291D54B6" w14:textId="5A8F324B" w:rsidR="005303E5" w:rsidRPr="00545EC0" w:rsidRDefault="005303E5" w:rsidP="00FC3120">
            <w:pPr>
              <w:jc w:val="center"/>
              <w:rPr>
                <w:rFonts w:cs="Arial"/>
                <w:sz w:val="18"/>
                <w:szCs w:val="18"/>
                <w:lang w:val="pl-PL"/>
              </w:rPr>
            </w:pPr>
            <w:r w:rsidRPr="00545EC0">
              <w:rPr>
                <w:rFonts w:cs="Arial"/>
              </w:rPr>
              <w:sym w:font="Wingdings" w:char="F0FC"/>
            </w:r>
          </w:p>
        </w:tc>
        <w:tc>
          <w:tcPr>
            <w:tcW w:w="571" w:type="dxa"/>
          </w:tcPr>
          <w:p w14:paraId="65479F62" w14:textId="77777777" w:rsidR="005303E5" w:rsidRPr="00545EC0" w:rsidRDefault="005303E5" w:rsidP="00FC3120">
            <w:pPr>
              <w:jc w:val="center"/>
              <w:rPr>
                <w:rFonts w:cs="Arial"/>
                <w:sz w:val="18"/>
                <w:szCs w:val="18"/>
                <w:lang w:val="pl-PL"/>
              </w:rPr>
            </w:pPr>
          </w:p>
        </w:tc>
        <w:tc>
          <w:tcPr>
            <w:tcW w:w="1561" w:type="dxa"/>
          </w:tcPr>
          <w:p w14:paraId="07BA6792" w14:textId="77777777" w:rsidR="005303E5" w:rsidRPr="00545EC0" w:rsidRDefault="005303E5" w:rsidP="00FC3120">
            <w:pPr>
              <w:jc w:val="center"/>
              <w:rPr>
                <w:rFonts w:cs="Arial"/>
                <w:sz w:val="18"/>
                <w:szCs w:val="18"/>
                <w:lang w:val="pl-PL"/>
              </w:rPr>
            </w:pPr>
            <w:r w:rsidRPr="00545EC0">
              <w:rPr>
                <w:rFonts w:cs="Arial"/>
                <w:sz w:val="18"/>
                <w:szCs w:val="18"/>
                <w:lang w:val="pl-PL"/>
              </w:rPr>
              <w:t>srednja stopnja</w:t>
            </w:r>
          </w:p>
        </w:tc>
        <w:tc>
          <w:tcPr>
            <w:tcW w:w="1097" w:type="dxa"/>
          </w:tcPr>
          <w:p w14:paraId="1523EDE9" w14:textId="77777777" w:rsidR="005303E5" w:rsidRPr="00545EC0" w:rsidRDefault="005303E5" w:rsidP="00FC3120">
            <w:pPr>
              <w:jc w:val="center"/>
              <w:rPr>
                <w:rFonts w:cs="Arial"/>
                <w:sz w:val="18"/>
                <w:szCs w:val="18"/>
              </w:rPr>
            </w:pPr>
            <w:r w:rsidRPr="00545EC0">
              <w:rPr>
                <w:rFonts w:cs="Arial"/>
                <w:sz w:val="18"/>
                <w:szCs w:val="18"/>
              </w:rPr>
              <w:t>DOBRO</w:t>
            </w:r>
          </w:p>
        </w:tc>
      </w:tr>
    </w:tbl>
    <w:p w14:paraId="3E594942" w14:textId="5082C02C" w:rsidR="00611726" w:rsidRPr="00545EC0" w:rsidRDefault="00611726" w:rsidP="00AA23DA">
      <w:pPr>
        <w:rPr>
          <w:rFonts w:cs="Arial"/>
          <w:i/>
        </w:rPr>
      </w:pPr>
      <w:r w:rsidRPr="00545EC0">
        <w:rPr>
          <w:rFonts w:cs="Arial"/>
          <w:bCs/>
          <w:i/>
          <w:sz w:val="16"/>
          <w:lang w:val="pl-PL"/>
        </w:rPr>
        <w:t>Legenda</w:t>
      </w:r>
      <w:r w:rsidRPr="00545EC0">
        <w:rPr>
          <w:rFonts w:cs="Arial"/>
          <w:bCs/>
          <w:i/>
          <w:lang w:val="pl-PL"/>
        </w:rPr>
        <w:t>:</w:t>
      </w:r>
      <w:r w:rsidRPr="00545EC0">
        <w:rPr>
          <w:rFonts w:asciiTheme="majorHAnsi" w:hAnsiTheme="majorHAnsi" w:cs="Arial"/>
          <w:i/>
        </w:rPr>
        <w:t xml:space="preserve"> </w:t>
      </w:r>
      <w:r w:rsidR="005303E5" w:rsidRPr="00545EC0">
        <w:rPr>
          <w:rFonts w:cs="Arial"/>
          <w:i/>
        </w:rPr>
        <w:sym w:font="Wingdings" w:char="F0FC"/>
      </w:r>
      <w:r w:rsidRPr="00545EC0">
        <w:rPr>
          <w:rFonts w:asciiTheme="majorHAnsi" w:hAnsiTheme="majorHAnsi" w:cs="Arial"/>
          <w:i/>
          <w:sz w:val="16"/>
          <w:lang w:val="sv-SE"/>
        </w:rPr>
        <w:t xml:space="preserve"> </w:t>
      </w:r>
      <w:r w:rsidRPr="00545EC0">
        <w:rPr>
          <w:rFonts w:cs="Arial"/>
          <w:i/>
          <w:sz w:val="16"/>
          <w:lang w:val="sv-SE"/>
        </w:rPr>
        <w:t>pogoj je izpolnjen,</w:t>
      </w:r>
      <w:r w:rsidRPr="00545EC0">
        <w:rPr>
          <w:rFonts w:asciiTheme="majorHAnsi" w:hAnsiTheme="majorHAnsi" w:cs="Arial"/>
          <w:i/>
          <w:sz w:val="16"/>
          <w:lang w:val="sv-SE"/>
        </w:rPr>
        <w:t xml:space="preserve"> </w:t>
      </w:r>
      <w:r w:rsidRPr="00545EC0">
        <w:rPr>
          <w:rFonts w:asciiTheme="majorHAnsi" w:hAnsiTheme="majorHAnsi" w:cs="Arial"/>
          <w:i/>
          <w:lang w:val="sv-SE"/>
        </w:rPr>
        <w:sym w:font="Wingdings 2" w:char="F054"/>
      </w:r>
      <w:r w:rsidRPr="00545EC0">
        <w:rPr>
          <w:rFonts w:asciiTheme="majorHAnsi" w:hAnsiTheme="majorHAnsi" w:cs="Arial"/>
          <w:i/>
          <w:sz w:val="16"/>
          <w:lang w:val="sv-SE"/>
        </w:rPr>
        <w:t xml:space="preserve"> </w:t>
      </w:r>
      <w:r w:rsidRPr="00545EC0">
        <w:rPr>
          <w:rFonts w:cs="Arial"/>
          <w:i/>
          <w:sz w:val="16"/>
          <w:lang w:val="sv-SE"/>
        </w:rPr>
        <w:t>pogoj ni izpolnjen</w:t>
      </w:r>
    </w:p>
    <w:p w14:paraId="0D2F56F3" w14:textId="77777777" w:rsidR="00611726" w:rsidRPr="00545EC0" w:rsidRDefault="00611726" w:rsidP="00AA23DA">
      <w:pPr>
        <w:rPr>
          <w:rFonts w:cs="Arial"/>
        </w:rPr>
      </w:pPr>
    </w:p>
    <w:p w14:paraId="2AB68511" w14:textId="06F8CF6E" w:rsidR="00537C3E" w:rsidRPr="00545EC0" w:rsidRDefault="00AA23DA">
      <w:pPr>
        <w:pStyle w:val="Naslov3"/>
      </w:pPr>
      <w:bookmarkStart w:id="565" w:name="_Toc75763030"/>
      <w:bookmarkStart w:id="566" w:name="_Toc75763743"/>
      <w:bookmarkStart w:id="567" w:name="_Toc90261053"/>
      <w:bookmarkEnd w:id="549"/>
      <w:bookmarkEnd w:id="550"/>
      <w:r w:rsidRPr="00545EC0">
        <w:t>Program monitoringa in ocena kemijskega stanja podzemne vod</w:t>
      </w:r>
      <w:bookmarkEnd w:id="565"/>
      <w:bookmarkEnd w:id="566"/>
      <w:r w:rsidRPr="00545EC0">
        <w:t>e</w:t>
      </w:r>
      <w:bookmarkStart w:id="568" w:name="_Toc414828169"/>
      <w:bookmarkEnd w:id="567"/>
    </w:p>
    <w:p w14:paraId="374E3D84" w14:textId="397F83B1" w:rsidR="00537C3E" w:rsidRPr="00545EC0" w:rsidRDefault="00AA23DA" w:rsidP="00392769">
      <w:pPr>
        <w:pStyle w:val="Naslov4"/>
        <w:rPr>
          <w:color w:val="auto"/>
          <w:szCs w:val="26"/>
        </w:rPr>
      </w:pPr>
      <w:bookmarkStart w:id="569" w:name="_Toc75763744"/>
      <w:r w:rsidRPr="00545EC0">
        <w:rPr>
          <w:color w:val="auto"/>
          <w:szCs w:val="26"/>
        </w:rPr>
        <w:t xml:space="preserve">Mreža </w:t>
      </w:r>
      <w:r w:rsidR="00C20CED" w:rsidRPr="00545EC0">
        <w:rPr>
          <w:color w:val="auto"/>
          <w:szCs w:val="26"/>
          <w:lang w:val="sl-SI"/>
        </w:rPr>
        <w:t xml:space="preserve">merilnih mest </w:t>
      </w:r>
      <w:r w:rsidRPr="00545EC0">
        <w:rPr>
          <w:color w:val="auto"/>
          <w:szCs w:val="26"/>
        </w:rPr>
        <w:t>za spremljanje kemijskega stanja podzemne vode</w:t>
      </w:r>
      <w:bookmarkEnd w:id="568"/>
      <w:bookmarkEnd w:id="569"/>
    </w:p>
    <w:p w14:paraId="5FD777A0" w14:textId="77777777" w:rsidR="00AA23DA" w:rsidRPr="00545EC0" w:rsidRDefault="00AA23DA" w:rsidP="00392769">
      <w:pPr>
        <w:tabs>
          <w:tab w:val="left" w:pos="1080"/>
        </w:tabs>
        <w:rPr>
          <w:rFonts w:cs="Arial"/>
        </w:rPr>
      </w:pPr>
      <w:r w:rsidRPr="00545EC0">
        <w:rPr>
          <w:rFonts w:cs="Arial"/>
        </w:rPr>
        <w:t>Mreža za monitoring kemijskega stanja podzemne vode se deli na nadzorni in operativni monitoring.</w:t>
      </w:r>
    </w:p>
    <w:p w14:paraId="681510AF" w14:textId="77777777" w:rsidR="00AA23DA" w:rsidRPr="00545EC0" w:rsidRDefault="00AA23DA" w:rsidP="00392769">
      <w:pPr>
        <w:tabs>
          <w:tab w:val="left" w:pos="1080"/>
        </w:tabs>
        <w:rPr>
          <w:rFonts w:cs="Arial"/>
        </w:rPr>
      </w:pPr>
    </w:p>
    <w:p w14:paraId="0B2E086E" w14:textId="521FAD7A" w:rsidR="00AA23DA" w:rsidRPr="00545EC0" w:rsidRDefault="00AA23DA" w:rsidP="00392769">
      <w:pPr>
        <w:tabs>
          <w:tab w:val="left" w:pos="1080"/>
        </w:tabs>
        <w:rPr>
          <w:rFonts w:cs="Arial"/>
        </w:rPr>
      </w:pPr>
      <w:r w:rsidRPr="00545EC0">
        <w:rPr>
          <w:rFonts w:cs="Arial"/>
        </w:rPr>
        <w:t xml:space="preserve">Nadzorni monitoring se izvaja vsaj enkrat v vsakem obdobju načrta upravljanja z vodami. V program nadzornega monitoringa so vključena vsa vodna telesa podzemne vode. Spremljajo se osnovni parametri ter parametri, zaradi katerih obstaja tveganje, da vodno telo ne bo doseglo dobrega stanja. V vzorcih podzemne vode se večkrat letno analizira široka paleta onesnaževal z namenom, da se zagotovi skladen in izčrpen pregled kemijskega stanja vseh teles podzemne vode in da se v podzemni vodi zazna pojav dolgoročnih trendov naraščanja vsebnosti onesnaževal, ki jih povzroči človek. </w:t>
      </w:r>
    </w:p>
    <w:p w14:paraId="00062B4C" w14:textId="77777777" w:rsidR="00AA23DA" w:rsidRPr="00545EC0" w:rsidRDefault="00AA23DA" w:rsidP="00392769">
      <w:pPr>
        <w:rPr>
          <w:rFonts w:cs="Arial"/>
        </w:rPr>
      </w:pPr>
    </w:p>
    <w:p w14:paraId="07B7B317" w14:textId="21647C86" w:rsidR="00AA23DA" w:rsidRPr="00545EC0" w:rsidRDefault="00AA23DA" w:rsidP="00392769">
      <w:pPr>
        <w:rPr>
          <w:rFonts w:cs="Arial"/>
        </w:rPr>
      </w:pPr>
      <w:r w:rsidRPr="00545EC0">
        <w:rPr>
          <w:rFonts w:cs="Arial"/>
        </w:rPr>
        <w:t>Operativni monitoring se izvaja vsako leto, razen v letu, ko je na programu nadzorno spremljanje kakovosti podzemne vode. Cilj operativnega monitoringa je določitev kemijskega stanja tistih vodnih teles, za katera je bilo ugotovljeno, da so ogrožena in z namenom, da se pravočasno ugotovi dolgoročni trend naraščanja koncentracij onesnaževal, ki jih povzročijo človekove dejavnosti. V tem času je torej pozornost usmerjena predvsem na tista vodna telesa, za katere je bilo z analizo tveganja ugotovljeno, da ne bodo dosegla okoljskih ciljev v predpisanem roku. Letno se tako spremlja stanje podzemne vode v aluvialnih vodonosnikih, ki so pomemben vir pitne vode. V operativni monitoring so stalno vključena tudi vodna telesa v vodonosnikih z visoko ranljivostjo in hitrim razširjanjem onesnaženja</w:t>
      </w:r>
      <w:r w:rsidR="0059464F" w:rsidRPr="00545EC0">
        <w:rPr>
          <w:rFonts w:cs="Arial"/>
        </w:rPr>
        <w:t>,</w:t>
      </w:r>
      <w:r w:rsidRPr="00545EC0">
        <w:rPr>
          <w:rFonts w:cs="Arial"/>
        </w:rPr>
        <w:t xml:space="preserve"> kot so na primer vodonosniki s kraško in razpoklinsko poroznostjo..</w:t>
      </w:r>
    </w:p>
    <w:p w14:paraId="2D5E40D7" w14:textId="77777777" w:rsidR="00AA23DA" w:rsidRPr="00545EC0" w:rsidRDefault="00AA23DA" w:rsidP="00392769">
      <w:pPr>
        <w:rPr>
          <w:rFonts w:cs="Arial"/>
        </w:rPr>
      </w:pPr>
    </w:p>
    <w:p w14:paraId="1D46525F" w14:textId="11379D61" w:rsidR="00AA23DA" w:rsidRPr="00545EC0" w:rsidRDefault="00AA23DA" w:rsidP="00392769">
      <w:pPr>
        <w:rPr>
          <w:rFonts w:cs="Arial"/>
          <w:i/>
        </w:rPr>
      </w:pPr>
      <w:r w:rsidRPr="00545EC0">
        <w:rPr>
          <w:rFonts w:cs="Arial"/>
        </w:rPr>
        <w:t>Mreža merilnih mest za spremljanje kemijskega stanja podzemne vode je bila zasnovana na podlagi konceptualnih modelov vodnih teles podzemne vode, hidrogeoloških značilnosti vodonosnikov in glede na problematiko onesnaženja. Mreža merilnih mest za spremljanje kemijskega stanja podzemnih voda je prikazana na</w:t>
      </w:r>
      <w:r w:rsidR="002B19AC" w:rsidRPr="00545EC0">
        <w:rPr>
          <w:rFonts w:cs="Arial"/>
        </w:rPr>
        <w:t xml:space="preserve"> publikacijski </w:t>
      </w:r>
      <w:r w:rsidRPr="00545EC0">
        <w:rPr>
          <w:rFonts w:cs="Arial"/>
        </w:rPr>
        <w:t>karti (</w:t>
      </w:r>
      <w:r w:rsidR="00C876D3" w:rsidRPr="00545EC0">
        <w:rPr>
          <w:rFonts w:cs="Arial"/>
          <w:i/>
        </w:rPr>
        <w:t>Publikacijska karta</w:t>
      </w:r>
      <w:r w:rsidR="002B19AC" w:rsidRPr="00545EC0">
        <w:rPr>
          <w:rFonts w:cs="Arial"/>
          <w:i/>
        </w:rPr>
        <w:t xml:space="preserve"> 12.2</w:t>
      </w:r>
      <w:r w:rsidRPr="00545EC0">
        <w:rPr>
          <w:rFonts w:cs="Arial"/>
          <w:i/>
        </w:rPr>
        <w:t>: Mreža merilnih mest za spremljanje kem</w:t>
      </w:r>
      <w:r w:rsidR="008D4C6E" w:rsidRPr="00545EC0">
        <w:rPr>
          <w:rFonts w:cs="Arial"/>
          <w:i/>
        </w:rPr>
        <w:t>ijskega stanja podzemnih voda).</w:t>
      </w:r>
    </w:p>
    <w:p w14:paraId="2DD2C471" w14:textId="77777777" w:rsidR="00AA23DA" w:rsidRPr="00545EC0" w:rsidRDefault="00AA23DA" w:rsidP="0061507B">
      <w:pPr>
        <w:pStyle w:val="Naslov4"/>
        <w:rPr>
          <w:color w:val="auto"/>
          <w:szCs w:val="26"/>
        </w:rPr>
      </w:pPr>
      <w:bookmarkStart w:id="570" w:name="_Toc75763745"/>
      <w:r w:rsidRPr="00545EC0">
        <w:rPr>
          <w:color w:val="auto"/>
          <w:szCs w:val="26"/>
        </w:rPr>
        <w:t>Program monitoringa kemijskega stanja podzemne vode</w:t>
      </w:r>
      <w:bookmarkEnd w:id="570"/>
    </w:p>
    <w:p w14:paraId="09C6EE8B" w14:textId="77777777" w:rsidR="00AA23DA" w:rsidRPr="00545EC0" w:rsidRDefault="00AA23DA" w:rsidP="00392769">
      <w:pPr>
        <w:rPr>
          <w:rFonts w:cs="Arial"/>
        </w:rPr>
      </w:pPr>
      <w:r w:rsidRPr="00545EC0">
        <w:rPr>
          <w:rFonts w:cs="Arial"/>
        </w:rPr>
        <w:t xml:space="preserve">Monitoring kemijskega stanja vodnih teles podzemne vode je potekal v celotnem obdobju načrta. V obdobju 2014-2019 se je v letu 2016 izvajal program nadzornega monitoringa na vseh vodnih telesih in na vseh merilnih mestih. V ostalih letih je potekal program operativnega spremljanja stanja. Mrežo </w:t>
      </w:r>
      <w:r w:rsidRPr="00545EC0">
        <w:rPr>
          <w:rFonts w:cs="Arial"/>
        </w:rPr>
        <w:lastRenderedPageBreak/>
        <w:t xml:space="preserve">merilnih mest za spremljanje kemijskega stanja podzemne vode sestavljajo avtomatske merilne postaje, vrtine, črpališča pitne vode, črpališča za tehnološko vodo, privatni vodnjaki in izviri. </w:t>
      </w:r>
    </w:p>
    <w:p w14:paraId="2FBA1144" w14:textId="77777777" w:rsidR="00AA23DA" w:rsidRPr="00545EC0" w:rsidRDefault="00AA23DA" w:rsidP="00392769">
      <w:pPr>
        <w:rPr>
          <w:rFonts w:cs="Arial"/>
        </w:rPr>
      </w:pPr>
    </w:p>
    <w:p w14:paraId="103539D5" w14:textId="6B03BFC4" w:rsidR="00AA23DA" w:rsidRPr="00545EC0" w:rsidRDefault="00AA23DA" w:rsidP="00392769">
      <w:pPr>
        <w:rPr>
          <w:rFonts w:cs="Arial"/>
          <w:szCs w:val="22"/>
        </w:rPr>
      </w:pPr>
      <w:r w:rsidRPr="00545EC0">
        <w:rPr>
          <w:rFonts w:cs="Arial"/>
          <w:szCs w:val="22"/>
        </w:rPr>
        <w:t xml:space="preserve">V primerjavi s </w:t>
      </w:r>
      <w:r w:rsidR="0084387F" w:rsidRPr="00545EC0">
        <w:rPr>
          <w:rFonts w:cs="Arial"/>
          <w:szCs w:val="22"/>
        </w:rPr>
        <w:t xml:space="preserve">predhodnimi načrti upravljanja voda </w:t>
      </w:r>
      <w:r w:rsidRPr="00545EC0">
        <w:rPr>
          <w:rFonts w:cs="Arial"/>
          <w:szCs w:val="22"/>
        </w:rPr>
        <w:t>(</w:t>
      </w:r>
      <w:r w:rsidR="0084387F" w:rsidRPr="00545EC0">
        <w:rPr>
          <w:rFonts w:cs="Arial"/>
          <w:szCs w:val="22"/>
        </w:rPr>
        <w:t>t.i.</w:t>
      </w:r>
      <w:r w:rsidRPr="00545EC0">
        <w:rPr>
          <w:rFonts w:cs="Arial"/>
          <w:szCs w:val="22"/>
        </w:rPr>
        <w:t xml:space="preserve"> NUV I in NUV II) je mreži </w:t>
      </w:r>
      <w:r w:rsidR="0084387F" w:rsidRPr="00545EC0">
        <w:rPr>
          <w:rFonts w:cs="Arial"/>
          <w:szCs w:val="22"/>
        </w:rPr>
        <w:t xml:space="preserve">merilnih mest </w:t>
      </w:r>
      <w:r w:rsidRPr="00545EC0">
        <w:rPr>
          <w:rFonts w:cs="Arial"/>
          <w:szCs w:val="22"/>
        </w:rPr>
        <w:t xml:space="preserve">za </w:t>
      </w:r>
      <w:r w:rsidR="0084387F" w:rsidRPr="00545EC0">
        <w:rPr>
          <w:rFonts w:cs="Arial"/>
          <w:szCs w:val="22"/>
        </w:rPr>
        <w:t>ta  načrt</w:t>
      </w:r>
      <w:r w:rsidRPr="00545EC0">
        <w:rPr>
          <w:rFonts w:cs="Arial"/>
          <w:szCs w:val="22"/>
        </w:rPr>
        <w:t xml:space="preserve">  </w:t>
      </w:r>
      <w:r w:rsidR="0084387F" w:rsidRPr="00545EC0">
        <w:rPr>
          <w:rFonts w:cs="Arial"/>
          <w:szCs w:val="22"/>
        </w:rPr>
        <w:t xml:space="preserve">zajemala </w:t>
      </w:r>
      <w:r w:rsidRPr="00545EC0">
        <w:rPr>
          <w:rFonts w:cs="Arial"/>
          <w:szCs w:val="22"/>
        </w:rPr>
        <w:t>več merilnih mest, kar je razvidno iz preglednice (</w:t>
      </w:r>
      <w:r w:rsidR="001000DC" w:rsidRPr="00545EC0">
        <w:rPr>
          <w:rFonts w:cs="Arial"/>
          <w:szCs w:val="22"/>
        </w:rPr>
        <w:fldChar w:fldCharType="begin"/>
      </w:r>
      <w:r w:rsidR="001000DC" w:rsidRPr="00545EC0">
        <w:rPr>
          <w:rFonts w:cs="Arial"/>
          <w:szCs w:val="22"/>
        </w:rPr>
        <w:instrText xml:space="preserve"> REF _Ref75766710 \h  \* MERGEFORMAT </w:instrText>
      </w:r>
      <w:r w:rsidR="001000DC" w:rsidRPr="00545EC0">
        <w:rPr>
          <w:rFonts w:cs="Arial"/>
          <w:szCs w:val="22"/>
        </w:rPr>
      </w:r>
      <w:r w:rsidR="001000DC" w:rsidRPr="00545EC0">
        <w:rPr>
          <w:rFonts w:cs="Arial"/>
          <w:szCs w:val="22"/>
        </w:rPr>
        <w:fldChar w:fldCharType="separate"/>
      </w:r>
      <w:r w:rsidR="002F3E43" w:rsidRPr="00545EC0">
        <w:t xml:space="preserve">Preglednica </w:t>
      </w:r>
      <w:r w:rsidR="002F3E43">
        <w:rPr>
          <w:noProof/>
        </w:rPr>
        <w:t>3</w:t>
      </w:r>
      <w:r w:rsidR="002F3E43" w:rsidRPr="00545EC0">
        <w:rPr>
          <w:noProof/>
        </w:rPr>
        <w:noBreakHyphen/>
      </w:r>
      <w:r w:rsidR="002F3E43">
        <w:rPr>
          <w:noProof/>
        </w:rPr>
        <w:t>12</w:t>
      </w:r>
      <w:r w:rsidR="001000DC" w:rsidRPr="00545EC0">
        <w:rPr>
          <w:rFonts w:cs="Arial"/>
          <w:szCs w:val="22"/>
        </w:rPr>
        <w:fldChar w:fldCharType="end"/>
      </w:r>
      <w:r w:rsidRPr="00545EC0">
        <w:rPr>
          <w:rFonts w:cs="Arial"/>
          <w:szCs w:val="22"/>
        </w:rPr>
        <w:t>).</w:t>
      </w:r>
    </w:p>
    <w:p w14:paraId="64F84D39" w14:textId="77777777" w:rsidR="00AA23DA" w:rsidRPr="00545EC0" w:rsidRDefault="00AA23DA" w:rsidP="00392769">
      <w:pPr>
        <w:rPr>
          <w:rFonts w:cs="Arial"/>
        </w:rPr>
      </w:pPr>
      <w:bookmarkStart w:id="571" w:name="_Ref414950599"/>
    </w:p>
    <w:p w14:paraId="24B765AE" w14:textId="67D90B8F" w:rsidR="00AA23DA" w:rsidRPr="00545EC0" w:rsidRDefault="00AA23DA" w:rsidP="00392769">
      <w:pPr>
        <w:pStyle w:val="Napis"/>
        <w:spacing w:after="60"/>
        <w:rPr>
          <w:b/>
        </w:rPr>
      </w:pPr>
      <w:bookmarkStart w:id="572" w:name="_Ref75766710"/>
      <w:bookmarkStart w:id="573" w:name="_Toc436392261"/>
      <w:bookmarkStart w:id="574" w:name="_Toc75762754"/>
      <w:bookmarkEnd w:id="571"/>
      <w:r w:rsidRPr="00545EC0">
        <w:t xml:space="preserve">Preglednica </w:t>
      </w:r>
      <w:fldSimple w:instr=" STYLEREF 1 \s ">
        <w:r w:rsidR="002F3E43">
          <w:rPr>
            <w:noProof/>
          </w:rPr>
          <w:t>3</w:t>
        </w:r>
      </w:fldSimple>
      <w:r w:rsidR="001A7511" w:rsidRPr="00545EC0">
        <w:noBreakHyphen/>
      </w:r>
      <w:fldSimple w:instr=" SEQ Preglednica \* ARABIC \s 1 ">
        <w:r w:rsidR="002F3E43">
          <w:rPr>
            <w:noProof/>
          </w:rPr>
          <w:t>12</w:t>
        </w:r>
      </w:fldSimple>
      <w:bookmarkEnd w:id="572"/>
      <w:r w:rsidRPr="00545EC0">
        <w:t>:</w:t>
      </w:r>
      <w:r w:rsidRPr="00545EC0">
        <w:rPr>
          <w:lang w:val="de-DE"/>
        </w:rPr>
        <w:t xml:space="preserve"> </w:t>
      </w:r>
      <w:r w:rsidRPr="00545EC0">
        <w:t>Mreža merilnih mest za prvi, drugi in tretji načrt upravljanja voda</w:t>
      </w:r>
      <w:bookmarkEnd w:id="573"/>
      <w:bookmarkEnd w:id="5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91"/>
        <w:gridCol w:w="4361"/>
        <w:gridCol w:w="841"/>
        <w:gridCol w:w="706"/>
        <w:gridCol w:w="706"/>
        <w:gridCol w:w="706"/>
      </w:tblGrid>
      <w:tr w:rsidR="003122F4" w:rsidRPr="00545EC0" w14:paraId="07F5ACBE" w14:textId="77777777" w:rsidTr="001000DC">
        <w:trPr>
          <w:cantSplit/>
          <w:trHeight w:val="1448"/>
        </w:trPr>
        <w:tc>
          <w:tcPr>
            <w:tcW w:w="557" w:type="pct"/>
            <w:shd w:val="clear" w:color="auto" w:fill="E7E6E6"/>
            <w:noWrap/>
            <w:vAlign w:val="bottom"/>
            <w:hideMark/>
          </w:tcPr>
          <w:p w14:paraId="2AC4778A" w14:textId="77777777" w:rsidR="00AA23DA" w:rsidRPr="00545EC0" w:rsidRDefault="00AA23DA" w:rsidP="00392769">
            <w:pPr>
              <w:jc w:val="left"/>
              <w:rPr>
                <w:rFonts w:cs="Arial"/>
                <w:b/>
                <w:sz w:val="18"/>
                <w:szCs w:val="18"/>
              </w:rPr>
            </w:pPr>
            <w:r w:rsidRPr="00545EC0">
              <w:rPr>
                <w:rFonts w:cs="Arial"/>
                <w:b/>
                <w:bCs/>
                <w:sz w:val="18"/>
                <w:szCs w:val="18"/>
              </w:rPr>
              <w:t>Šifra vodnega telesa</w:t>
            </w:r>
          </w:p>
        </w:tc>
        <w:tc>
          <w:tcPr>
            <w:tcW w:w="2712" w:type="pct"/>
            <w:shd w:val="clear" w:color="auto" w:fill="E7E6E6"/>
            <w:noWrap/>
            <w:vAlign w:val="bottom"/>
            <w:hideMark/>
          </w:tcPr>
          <w:p w14:paraId="4E2AACDE" w14:textId="77777777" w:rsidR="00AA23DA" w:rsidRPr="00545EC0" w:rsidRDefault="00AA23DA" w:rsidP="00392769">
            <w:pPr>
              <w:jc w:val="left"/>
              <w:rPr>
                <w:rFonts w:cs="Arial"/>
                <w:b/>
                <w:sz w:val="18"/>
                <w:szCs w:val="18"/>
              </w:rPr>
            </w:pPr>
            <w:r w:rsidRPr="00545EC0">
              <w:rPr>
                <w:rFonts w:cs="Arial"/>
                <w:b/>
                <w:bCs/>
                <w:sz w:val="18"/>
                <w:szCs w:val="18"/>
              </w:rPr>
              <w:t>Ime vodnega telesa</w:t>
            </w:r>
          </w:p>
        </w:tc>
        <w:tc>
          <w:tcPr>
            <w:tcW w:w="524" w:type="pct"/>
            <w:shd w:val="clear" w:color="auto" w:fill="E7E6E6"/>
            <w:vAlign w:val="bottom"/>
          </w:tcPr>
          <w:p w14:paraId="5636A247" w14:textId="77777777" w:rsidR="00AA23DA" w:rsidRPr="00545EC0" w:rsidRDefault="00AA23DA" w:rsidP="00392769">
            <w:pPr>
              <w:jc w:val="center"/>
              <w:rPr>
                <w:rFonts w:cs="Arial"/>
                <w:b/>
                <w:sz w:val="18"/>
                <w:szCs w:val="18"/>
              </w:rPr>
            </w:pPr>
            <w:r w:rsidRPr="00545EC0">
              <w:rPr>
                <w:rFonts w:cs="Arial"/>
                <w:b/>
                <w:sz w:val="18"/>
                <w:szCs w:val="18"/>
              </w:rPr>
              <w:t>Povodje</w:t>
            </w:r>
          </w:p>
        </w:tc>
        <w:tc>
          <w:tcPr>
            <w:tcW w:w="403" w:type="pct"/>
            <w:shd w:val="clear" w:color="auto" w:fill="E7E6E6"/>
            <w:noWrap/>
            <w:textDirection w:val="btLr"/>
            <w:vAlign w:val="bottom"/>
            <w:hideMark/>
          </w:tcPr>
          <w:p w14:paraId="08FC71A3" w14:textId="77777777" w:rsidR="00AA23DA" w:rsidRPr="00545EC0" w:rsidRDefault="00AA23DA" w:rsidP="00392769">
            <w:pPr>
              <w:ind w:left="113" w:right="113"/>
              <w:jc w:val="left"/>
              <w:rPr>
                <w:rFonts w:cs="Arial"/>
                <w:b/>
                <w:sz w:val="18"/>
                <w:szCs w:val="18"/>
              </w:rPr>
            </w:pPr>
            <w:r w:rsidRPr="00545EC0">
              <w:rPr>
                <w:rFonts w:cs="Arial"/>
                <w:b/>
                <w:sz w:val="18"/>
                <w:szCs w:val="18"/>
              </w:rPr>
              <w:t xml:space="preserve">NUV I </w:t>
            </w:r>
          </w:p>
          <w:p w14:paraId="57A026A5" w14:textId="77777777" w:rsidR="00AA23DA" w:rsidRPr="00545EC0" w:rsidRDefault="00AA23DA" w:rsidP="00392769">
            <w:pPr>
              <w:ind w:left="113" w:right="113"/>
              <w:jc w:val="left"/>
              <w:rPr>
                <w:rFonts w:cs="Arial"/>
                <w:b/>
                <w:sz w:val="18"/>
                <w:szCs w:val="18"/>
              </w:rPr>
            </w:pPr>
            <w:r w:rsidRPr="00545EC0">
              <w:rPr>
                <w:rFonts w:cs="Arial"/>
                <w:b/>
                <w:sz w:val="18"/>
                <w:szCs w:val="18"/>
              </w:rPr>
              <w:t>(2009-2015)</w:t>
            </w:r>
          </w:p>
        </w:tc>
        <w:tc>
          <w:tcPr>
            <w:tcW w:w="403" w:type="pct"/>
            <w:shd w:val="clear" w:color="auto" w:fill="E7E6E6"/>
            <w:noWrap/>
            <w:textDirection w:val="btLr"/>
            <w:vAlign w:val="bottom"/>
            <w:hideMark/>
          </w:tcPr>
          <w:p w14:paraId="35F77D21" w14:textId="77777777" w:rsidR="00AA23DA" w:rsidRPr="00545EC0" w:rsidRDefault="00AA23DA" w:rsidP="00392769">
            <w:pPr>
              <w:ind w:left="113" w:right="113"/>
              <w:jc w:val="left"/>
              <w:rPr>
                <w:rFonts w:cs="Arial"/>
                <w:b/>
                <w:sz w:val="18"/>
                <w:szCs w:val="18"/>
              </w:rPr>
            </w:pPr>
            <w:r w:rsidRPr="00545EC0">
              <w:rPr>
                <w:rFonts w:cs="Arial"/>
                <w:b/>
                <w:sz w:val="18"/>
                <w:szCs w:val="18"/>
              </w:rPr>
              <w:t xml:space="preserve">NUV II </w:t>
            </w:r>
          </w:p>
          <w:p w14:paraId="7288381F" w14:textId="77777777" w:rsidR="00AA23DA" w:rsidRPr="00545EC0" w:rsidRDefault="00AA23DA" w:rsidP="00392769">
            <w:pPr>
              <w:ind w:left="113" w:right="113"/>
              <w:jc w:val="left"/>
              <w:rPr>
                <w:rFonts w:cs="Arial"/>
                <w:b/>
                <w:sz w:val="18"/>
                <w:szCs w:val="18"/>
              </w:rPr>
            </w:pPr>
            <w:r w:rsidRPr="00545EC0">
              <w:rPr>
                <w:rFonts w:cs="Arial"/>
                <w:b/>
                <w:sz w:val="18"/>
                <w:szCs w:val="18"/>
              </w:rPr>
              <w:t>(2016-2021)</w:t>
            </w:r>
          </w:p>
        </w:tc>
        <w:tc>
          <w:tcPr>
            <w:tcW w:w="403" w:type="pct"/>
            <w:shd w:val="clear" w:color="auto" w:fill="E7E6E6"/>
            <w:noWrap/>
            <w:textDirection w:val="btLr"/>
            <w:vAlign w:val="bottom"/>
            <w:hideMark/>
          </w:tcPr>
          <w:p w14:paraId="6EDDF4FF" w14:textId="77777777" w:rsidR="00AA23DA" w:rsidRPr="00545EC0" w:rsidRDefault="00AA23DA" w:rsidP="00392769">
            <w:pPr>
              <w:ind w:left="113" w:right="113"/>
              <w:jc w:val="left"/>
              <w:rPr>
                <w:rFonts w:cs="Arial"/>
                <w:b/>
                <w:sz w:val="18"/>
                <w:szCs w:val="18"/>
              </w:rPr>
            </w:pPr>
            <w:r w:rsidRPr="00545EC0">
              <w:rPr>
                <w:rFonts w:cs="Arial"/>
                <w:b/>
                <w:sz w:val="18"/>
                <w:szCs w:val="18"/>
              </w:rPr>
              <w:t xml:space="preserve">NUV III </w:t>
            </w:r>
          </w:p>
          <w:p w14:paraId="540CBE84" w14:textId="77777777" w:rsidR="00AA23DA" w:rsidRPr="00545EC0" w:rsidRDefault="00AA23DA" w:rsidP="00392769">
            <w:pPr>
              <w:ind w:left="113" w:right="113"/>
              <w:jc w:val="left"/>
              <w:rPr>
                <w:rFonts w:cs="Arial"/>
                <w:b/>
                <w:sz w:val="18"/>
                <w:szCs w:val="18"/>
              </w:rPr>
            </w:pPr>
            <w:r w:rsidRPr="00545EC0">
              <w:rPr>
                <w:rFonts w:cs="Arial"/>
                <w:b/>
                <w:sz w:val="18"/>
                <w:szCs w:val="18"/>
              </w:rPr>
              <w:t>(2022-2027)</w:t>
            </w:r>
          </w:p>
        </w:tc>
      </w:tr>
      <w:tr w:rsidR="003122F4" w:rsidRPr="00545EC0" w14:paraId="190A025B" w14:textId="77777777" w:rsidTr="001000DC">
        <w:trPr>
          <w:trHeight w:val="284"/>
        </w:trPr>
        <w:tc>
          <w:tcPr>
            <w:tcW w:w="557" w:type="pct"/>
            <w:shd w:val="clear" w:color="auto" w:fill="auto"/>
            <w:noWrap/>
            <w:vAlign w:val="center"/>
            <w:hideMark/>
          </w:tcPr>
          <w:p w14:paraId="76F09FE1" w14:textId="77777777" w:rsidR="00AA23DA" w:rsidRPr="00545EC0" w:rsidRDefault="00AA23DA" w:rsidP="00392769">
            <w:pPr>
              <w:jc w:val="center"/>
              <w:rPr>
                <w:rFonts w:cs="Arial"/>
                <w:sz w:val="18"/>
                <w:szCs w:val="18"/>
              </w:rPr>
            </w:pPr>
            <w:r w:rsidRPr="00545EC0">
              <w:rPr>
                <w:rFonts w:cs="Arial"/>
                <w:sz w:val="18"/>
                <w:szCs w:val="18"/>
              </w:rPr>
              <w:t>1001</w:t>
            </w:r>
          </w:p>
        </w:tc>
        <w:tc>
          <w:tcPr>
            <w:tcW w:w="2712" w:type="pct"/>
            <w:shd w:val="clear" w:color="auto" w:fill="auto"/>
            <w:noWrap/>
            <w:vAlign w:val="center"/>
            <w:hideMark/>
          </w:tcPr>
          <w:p w14:paraId="0832770C" w14:textId="77777777" w:rsidR="00AA23DA" w:rsidRPr="00545EC0" w:rsidRDefault="00AA23DA" w:rsidP="00392769">
            <w:pPr>
              <w:jc w:val="left"/>
              <w:rPr>
                <w:rFonts w:cs="Arial"/>
                <w:sz w:val="18"/>
                <w:szCs w:val="18"/>
              </w:rPr>
            </w:pPr>
            <w:r w:rsidRPr="00545EC0">
              <w:rPr>
                <w:rFonts w:cs="Arial"/>
                <w:sz w:val="18"/>
                <w:szCs w:val="18"/>
              </w:rPr>
              <w:t>Savska kotlina in Ljubljansko Barje</w:t>
            </w:r>
          </w:p>
        </w:tc>
        <w:tc>
          <w:tcPr>
            <w:tcW w:w="524" w:type="pct"/>
            <w:vAlign w:val="center"/>
          </w:tcPr>
          <w:p w14:paraId="130DC807" w14:textId="77777777" w:rsidR="00AA23DA" w:rsidRPr="00545EC0" w:rsidRDefault="00AA23DA" w:rsidP="00392769">
            <w:pPr>
              <w:jc w:val="center"/>
              <w:rPr>
                <w:rFonts w:cs="Arial"/>
                <w:sz w:val="18"/>
                <w:szCs w:val="18"/>
              </w:rPr>
            </w:pPr>
            <w:r w:rsidRPr="00545EC0">
              <w:rPr>
                <w:rFonts w:cs="Arial"/>
                <w:sz w:val="18"/>
                <w:szCs w:val="18"/>
              </w:rPr>
              <w:t>Donava</w:t>
            </w:r>
          </w:p>
        </w:tc>
        <w:tc>
          <w:tcPr>
            <w:tcW w:w="403" w:type="pct"/>
            <w:shd w:val="clear" w:color="auto" w:fill="auto"/>
            <w:noWrap/>
            <w:vAlign w:val="center"/>
            <w:hideMark/>
          </w:tcPr>
          <w:p w14:paraId="12BF5EA8" w14:textId="77777777" w:rsidR="00AA23DA" w:rsidRPr="00545EC0" w:rsidRDefault="00AA23DA" w:rsidP="00392769">
            <w:pPr>
              <w:jc w:val="center"/>
              <w:rPr>
                <w:rFonts w:cs="Arial"/>
                <w:sz w:val="18"/>
                <w:szCs w:val="18"/>
              </w:rPr>
            </w:pPr>
            <w:r w:rsidRPr="00545EC0">
              <w:rPr>
                <w:rFonts w:cs="Arial"/>
                <w:sz w:val="18"/>
                <w:szCs w:val="18"/>
              </w:rPr>
              <w:t>19</w:t>
            </w:r>
          </w:p>
        </w:tc>
        <w:tc>
          <w:tcPr>
            <w:tcW w:w="403" w:type="pct"/>
            <w:shd w:val="clear" w:color="auto" w:fill="auto"/>
            <w:noWrap/>
            <w:vAlign w:val="center"/>
            <w:hideMark/>
          </w:tcPr>
          <w:p w14:paraId="529F09A7" w14:textId="77777777" w:rsidR="00AA23DA" w:rsidRPr="00545EC0" w:rsidRDefault="00AA23DA" w:rsidP="00392769">
            <w:pPr>
              <w:jc w:val="center"/>
              <w:rPr>
                <w:rFonts w:cs="Arial"/>
                <w:sz w:val="18"/>
                <w:szCs w:val="18"/>
              </w:rPr>
            </w:pPr>
            <w:r w:rsidRPr="00545EC0">
              <w:rPr>
                <w:rFonts w:cs="Arial"/>
                <w:sz w:val="18"/>
                <w:szCs w:val="18"/>
              </w:rPr>
              <w:t>37</w:t>
            </w:r>
          </w:p>
        </w:tc>
        <w:tc>
          <w:tcPr>
            <w:tcW w:w="403" w:type="pct"/>
            <w:shd w:val="clear" w:color="auto" w:fill="auto"/>
            <w:noWrap/>
            <w:vAlign w:val="center"/>
            <w:hideMark/>
          </w:tcPr>
          <w:p w14:paraId="3A423578" w14:textId="77777777" w:rsidR="00AA23DA" w:rsidRPr="00545EC0" w:rsidRDefault="00AA23DA" w:rsidP="00392769">
            <w:pPr>
              <w:jc w:val="center"/>
              <w:rPr>
                <w:rFonts w:cs="Arial"/>
                <w:sz w:val="18"/>
                <w:szCs w:val="18"/>
              </w:rPr>
            </w:pPr>
            <w:r w:rsidRPr="00545EC0">
              <w:rPr>
                <w:rFonts w:cs="Arial"/>
                <w:sz w:val="18"/>
                <w:szCs w:val="18"/>
              </w:rPr>
              <w:t>56</w:t>
            </w:r>
          </w:p>
        </w:tc>
      </w:tr>
      <w:tr w:rsidR="003122F4" w:rsidRPr="00545EC0" w14:paraId="5D0DA802" w14:textId="77777777" w:rsidTr="001000DC">
        <w:trPr>
          <w:trHeight w:val="284"/>
        </w:trPr>
        <w:tc>
          <w:tcPr>
            <w:tcW w:w="557" w:type="pct"/>
            <w:shd w:val="clear" w:color="auto" w:fill="auto"/>
            <w:noWrap/>
            <w:vAlign w:val="center"/>
            <w:hideMark/>
          </w:tcPr>
          <w:p w14:paraId="300914A8" w14:textId="77777777" w:rsidR="00AA23DA" w:rsidRPr="00545EC0" w:rsidRDefault="00AA23DA" w:rsidP="00392769">
            <w:pPr>
              <w:jc w:val="center"/>
              <w:rPr>
                <w:rFonts w:cs="Arial"/>
                <w:sz w:val="18"/>
                <w:szCs w:val="18"/>
              </w:rPr>
            </w:pPr>
            <w:r w:rsidRPr="00545EC0">
              <w:rPr>
                <w:rFonts w:cs="Arial"/>
                <w:sz w:val="18"/>
                <w:szCs w:val="18"/>
              </w:rPr>
              <w:t>1002</w:t>
            </w:r>
          </w:p>
        </w:tc>
        <w:tc>
          <w:tcPr>
            <w:tcW w:w="2712" w:type="pct"/>
            <w:shd w:val="clear" w:color="auto" w:fill="auto"/>
            <w:noWrap/>
            <w:vAlign w:val="center"/>
            <w:hideMark/>
          </w:tcPr>
          <w:p w14:paraId="676A4254" w14:textId="77777777" w:rsidR="00AA23DA" w:rsidRPr="00545EC0" w:rsidRDefault="00AA23DA" w:rsidP="00392769">
            <w:pPr>
              <w:jc w:val="left"/>
              <w:rPr>
                <w:rFonts w:cs="Arial"/>
                <w:sz w:val="18"/>
                <w:szCs w:val="18"/>
              </w:rPr>
            </w:pPr>
            <w:r w:rsidRPr="00545EC0">
              <w:rPr>
                <w:rFonts w:cs="Arial"/>
                <w:sz w:val="18"/>
                <w:szCs w:val="18"/>
              </w:rPr>
              <w:t>Savinjska kotlina</w:t>
            </w:r>
          </w:p>
        </w:tc>
        <w:tc>
          <w:tcPr>
            <w:tcW w:w="524" w:type="pct"/>
            <w:vAlign w:val="center"/>
          </w:tcPr>
          <w:p w14:paraId="727F6D6D" w14:textId="77777777" w:rsidR="00AA23DA" w:rsidRPr="00545EC0" w:rsidRDefault="00AA23DA" w:rsidP="00392769">
            <w:pPr>
              <w:jc w:val="center"/>
              <w:rPr>
                <w:rFonts w:cs="Arial"/>
                <w:sz w:val="18"/>
                <w:szCs w:val="18"/>
              </w:rPr>
            </w:pPr>
            <w:r w:rsidRPr="00545EC0">
              <w:rPr>
                <w:rFonts w:cs="Arial"/>
                <w:sz w:val="18"/>
                <w:szCs w:val="18"/>
              </w:rPr>
              <w:t>Donava</w:t>
            </w:r>
          </w:p>
        </w:tc>
        <w:tc>
          <w:tcPr>
            <w:tcW w:w="403" w:type="pct"/>
            <w:shd w:val="clear" w:color="auto" w:fill="auto"/>
            <w:noWrap/>
            <w:vAlign w:val="center"/>
            <w:hideMark/>
          </w:tcPr>
          <w:p w14:paraId="1D95D16E" w14:textId="77777777" w:rsidR="00AA23DA" w:rsidRPr="00545EC0" w:rsidRDefault="00AA23DA" w:rsidP="00392769">
            <w:pPr>
              <w:jc w:val="center"/>
              <w:rPr>
                <w:rFonts w:cs="Arial"/>
                <w:sz w:val="18"/>
                <w:szCs w:val="18"/>
              </w:rPr>
            </w:pPr>
            <w:r w:rsidRPr="00545EC0">
              <w:rPr>
                <w:rFonts w:cs="Arial"/>
                <w:sz w:val="18"/>
                <w:szCs w:val="18"/>
              </w:rPr>
              <w:t>6</w:t>
            </w:r>
          </w:p>
        </w:tc>
        <w:tc>
          <w:tcPr>
            <w:tcW w:w="403" w:type="pct"/>
            <w:shd w:val="clear" w:color="auto" w:fill="auto"/>
            <w:noWrap/>
            <w:vAlign w:val="center"/>
            <w:hideMark/>
          </w:tcPr>
          <w:p w14:paraId="179032EB" w14:textId="77777777" w:rsidR="00AA23DA" w:rsidRPr="00545EC0" w:rsidRDefault="00AA23DA" w:rsidP="00392769">
            <w:pPr>
              <w:jc w:val="center"/>
              <w:rPr>
                <w:rFonts w:cs="Arial"/>
                <w:sz w:val="18"/>
                <w:szCs w:val="18"/>
              </w:rPr>
            </w:pPr>
            <w:r w:rsidRPr="00545EC0">
              <w:rPr>
                <w:rFonts w:cs="Arial"/>
                <w:sz w:val="18"/>
                <w:szCs w:val="18"/>
              </w:rPr>
              <w:t>11</w:t>
            </w:r>
          </w:p>
        </w:tc>
        <w:tc>
          <w:tcPr>
            <w:tcW w:w="403" w:type="pct"/>
            <w:shd w:val="clear" w:color="auto" w:fill="auto"/>
            <w:noWrap/>
            <w:vAlign w:val="center"/>
            <w:hideMark/>
          </w:tcPr>
          <w:p w14:paraId="11FE1F91" w14:textId="77777777" w:rsidR="00AA23DA" w:rsidRPr="00545EC0" w:rsidRDefault="00AA23DA" w:rsidP="00392769">
            <w:pPr>
              <w:jc w:val="center"/>
              <w:rPr>
                <w:rFonts w:cs="Arial"/>
                <w:sz w:val="18"/>
                <w:szCs w:val="18"/>
              </w:rPr>
            </w:pPr>
            <w:r w:rsidRPr="00545EC0">
              <w:rPr>
                <w:rFonts w:cs="Arial"/>
                <w:sz w:val="18"/>
                <w:szCs w:val="18"/>
              </w:rPr>
              <w:t>15</w:t>
            </w:r>
          </w:p>
        </w:tc>
      </w:tr>
      <w:tr w:rsidR="003122F4" w:rsidRPr="00545EC0" w14:paraId="49632D5B" w14:textId="77777777" w:rsidTr="001000DC">
        <w:trPr>
          <w:trHeight w:val="284"/>
        </w:trPr>
        <w:tc>
          <w:tcPr>
            <w:tcW w:w="557" w:type="pct"/>
            <w:shd w:val="clear" w:color="auto" w:fill="auto"/>
            <w:noWrap/>
            <w:vAlign w:val="center"/>
            <w:hideMark/>
          </w:tcPr>
          <w:p w14:paraId="6FF3469D" w14:textId="77777777" w:rsidR="00AA23DA" w:rsidRPr="00545EC0" w:rsidRDefault="00AA23DA" w:rsidP="00392769">
            <w:pPr>
              <w:jc w:val="center"/>
              <w:rPr>
                <w:rFonts w:cs="Arial"/>
                <w:sz w:val="18"/>
                <w:szCs w:val="18"/>
              </w:rPr>
            </w:pPr>
            <w:r w:rsidRPr="00545EC0">
              <w:rPr>
                <w:rFonts w:cs="Arial"/>
                <w:sz w:val="18"/>
                <w:szCs w:val="18"/>
              </w:rPr>
              <w:t>1003</w:t>
            </w:r>
          </w:p>
        </w:tc>
        <w:tc>
          <w:tcPr>
            <w:tcW w:w="2712" w:type="pct"/>
            <w:shd w:val="clear" w:color="auto" w:fill="auto"/>
            <w:noWrap/>
            <w:vAlign w:val="center"/>
            <w:hideMark/>
          </w:tcPr>
          <w:p w14:paraId="62E8F8D5" w14:textId="77777777" w:rsidR="00AA23DA" w:rsidRPr="00545EC0" w:rsidRDefault="00AA23DA" w:rsidP="00392769">
            <w:pPr>
              <w:jc w:val="left"/>
              <w:rPr>
                <w:rFonts w:cs="Arial"/>
                <w:sz w:val="18"/>
                <w:szCs w:val="18"/>
              </w:rPr>
            </w:pPr>
            <w:r w:rsidRPr="00545EC0">
              <w:rPr>
                <w:rFonts w:cs="Arial"/>
                <w:sz w:val="18"/>
                <w:szCs w:val="18"/>
              </w:rPr>
              <w:t>Krška kotlina</w:t>
            </w:r>
          </w:p>
        </w:tc>
        <w:tc>
          <w:tcPr>
            <w:tcW w:w="524" w:type="pct"/>
            <w:vAlign w:val="center"/>
          </w:tcPr>
          <w:p w14:paraId="1E9EF0B4" w14:textId="77777777" w:rsidR="00AA23DA" w:rsidRPr="00545EC0" w:rsidRDefault="00AA23DA" w:rsidP="00392769">
            <w:pPr>
              <w:jc w:val="center"/>
              <w:rPr>
                <w:rFonts w:cs="Arial"/>
                <w:sz w:val="18"/>
                <w:szCs w:val="18"/>
              </w:rPr>
            </w:pPr>
            <w:r w:rsidRPr="00545EC0">
              <w:rPr>
                <w:rFonts w:cs="Arial"/>
                <w:sz w:val="18"/>
                <w:szCs w:val="18"/>
              </w:rPr>
              <w:t>Donava</w:t>
            </w:r>
          </w:p>
        </w:tc>
        <w:tc>
          <w:tcPr>
            <w:tcW w:w="403" w:type="pct"/>
            <w:shd w:val="clear" w:color="auto" w:fill="auto"/>
            <w:noWrap/>
            <w:vAlign w:val="center"/>
            <w:hideMark/>
          </w:tcPr>
          <w:p w14:paraId="5284DD64" w14:textId="77777777" w:rsidR="00AA23DA" w:rsidRPr="00545EC0" w:rsidRDefault="00AA23DA" w:rsidP="00392769">
            <w:pPr>
              <w:jc w:val="center"/>
              <w:rPr>
                <w:rFonts w:cs="Arial"/>
                <w:sz w:val="18"/>
                <w:szCs w:val="18"/>
              </w:rPr>
            </w:pPr>
            <w:r w:rsidRPr="00545EC0">
              <w:rPr>
                <w:rFonts w:cs="Arial"/>
                <w:sz w:val="18"/>
                <w:szCs w:val="18"/>
              </w:rPr>
              <w:t>7</w:t>
            </w:r>
          </w:p>
        </w:tc>
        <w:tc>
          <w:tcPr>
            <w:tcW w:w="403" w:type="pct"/>
            <w:shd w:val="clear" w:color="auto" w:fill="auto"/>
            <w:noWrap/>
            <w:vAlign w:val="center"/>
            <w:hideMark/>
          </w:tcPr>
          <w:p w14:paraId="4E2E216A" w14:textId="77777777" w:rsidR="00AA23DA" w:rsidRPr="00545EC0" w:rsidRDefault="00AA23DA" w:rsidP="00392769">
            <w:pPr>
              <w:jc w:val="center"/>
              <w:rPr>
                <w:rFonts w:cs="Arial"/>
                <w:sz w:val="18"/>
                <w:szCs w:val="18"/>
              </w:rPr>
            </w:pPr>
            <w:r w:rsidRPr="00545EC0">
              <w:rPr>
                <w:rFonts w:cs="Arial"/>
                <w:sz w:val="18"/>
                <w:szCs w:val="18"/>
              </w:rPr>
              <w:t>11</w:t>
            </w:r>
          </w:p>
        </w:tc>
        <w:tc>
          <w:tcPr>
            <w:tcW w:w="403" w:type="pct"/>
            <w:shd w:val="clear" w:color="auto" w:fill="auto"/>
            <w:noWrap/>
            <w:vAlign w:val="center"/>
            <w:hideMark/>
          </w:tcPr>
          <w:p w14:paraId="5AC4C269" w14:textId="77777777" w:rsidR="00AA23DA" w:rsidRPr="00545EC0" w:rsidRDefault="00AA23DA" w:rsidP="00392769">
            <w:pPr>
              <w:jc w:val="center"/>
              <w:rPr>
                <w:rFonts w:cs="Arial"/>
                <w:sz w:val="18"/>
                <w:szCs w:val="18"/>
              </w:rPr>
            </w:pPr>
            <w:r w:rsidRPr="00545EC0">
              <w:rPr>
                <w:rFonts w:cs="Arial"/>
                <w:sz w:val="18"/>
                <w:szCs w:val="18"/>
              </w:rPr>
              <w:t>14</w:t>
            </w:r>
          </w:p>
        </w:tc>
      </w:tr>
      <w:tr w:rsidR="003122F4" w:rsidRPr="00545EC0" w14:paraId="41A0E24E" w14:textId="77777777" w:rsidTr="001000DC">
        <w:trPr>
          <w:trHeight w:val="284"/>
        </w:trPr>
        <w:tc>
          <w:tcPr>
            <w:tcW w:w="557" w:type="pct"/>
            <w:shd w:val="clear" w:color="auto" w:fill="auto"/>
            <w:noWrap/>
            <w:vAlign w:val="center"/>
            <w:hideMark/>
          </w:tcPr>
          <w:p w14:paraId="7CCFD585" w14:textId="77777777" w:rsidR="00AA23DA" w:rsidRPr="00545EC0" w:rsidRDefault="00AA23DA" w:rsidP="00392769">
            <w:pPr>
              <w:jc w:val="center"/>
              <w:rPr>
                <w:rFonts w:cs="Arial"/>
                <w:sz w:val="18"/>
                <w:szCs w:val="18"/>
              </w:rPr>
            </w:pPr>
            <w:r w:rsidRPr="00545EC0">
              <w:rPr>
                <w:rFonts w:cs="Arial"/>
                <w:sz w:val="18"/>
                <w:szCs w:val="18"/>
              </w:rPr>
              <w:t>1004</w:t>
            </w:r>
          </w:p>
        </w:tc>
        <w:tc>
          <w:tcPr>
            <w:tcW w:w="2712" w:type="pct"/>
            <w:shd w:val="clear" w:color="auto" w:fill="auto"/>
            <w:noWrap/>
            <w:vAlign w:val="center"/>
            <w:hideMark/>
          </w:tcPr>
          <w:p w14:paraId="4C3F4ADF" w14:textId="77777777" w:rsidR="00AA23DA" w:rsidRPr="00545EC0" w:rsidRDefault="00AA23DA" w:rsidP="00392769">
            <w:pPr>
              <w:jc w:val="left"/>
              <w:rPr>
                <w:rFonts w:cs="Arial"/>
                <w:sz w:val="18"/>
                <w:szCs w:val="18"/>
              </w:rPr>
            </w:pPr>
            <w:r w:rsidRPr="00545EC0">
              <w:rPr>
                <w:rFonts w:cs="Arial"/>
                <w:sz w:val="18"/>
                <w:szCs w:val="18"/>
              </w:rPr>
              <w:t>Julijske Alpe v porečju Save</w:t>
            </w:r>
          </w:p>
        </w:tc>
        <w:tc>
          <w:tcPr>
            <w:tcW w:w="524" w:type="pct"/>
            <w:vAlign w:val="center"/>
          </w:tcPr>
          <w:p w14:paraId="33283B15" w14:textId="77777777" w:rsidR="00AA23DA" w:rsidRPr="00545EC0" w:rsidRDefault="00AA23DA" w:rsidP="00392769">
            <w:pPr>
              <w:jc w:val="center"/>
              <w:rPr>
                <w:rFonts w:cs="Arial"/>
                <w:sz w:val="18"/>
                <w:szCs w:val="18"/>
              </w:rPr>
            </w:pPr>
            <w:r w:rsidRPr="00545EC0">
              <w:rPr>
                <w:rFonts w:cs="Arial"/>
                <w:sz w:val="18"/>
                <w:szCs w:val="18"/>
              </w:rPr>
              <w:t>Donava</w:t>
            </w:r>
          </w:p>
        </w:tc>
        <w:tc>
          <w:tcPr>
            <w:tcW w:w="403" w:type="pct"/>
            <w:shd w:val="clear" w:color="auto" w:fill="auto"/>
            <w:noWrap/>
            <w:vAlign w:val="center"/>
            <w:hideMark/>
          </w:tcPr>
          <w:p w14:paraId="296F67F3" w14:textId="77777777" w:rsidR="00AA23DA" w:rsidRPr="00545EC0" w:rsidRDefault="00AA23DA" w:rsidP="00392769">
            <w:pPr>
              <w:jc w:val="center"/>
              <w:rPr>
                <w:rFonts w:cs="Arial"/>
                <w:sz w:val="18"/>
                <w:szCs w:val="18"/>
              </w:rPr>
            </w:pPr>
            <w:r w:rsidRPr="00545EC0">
              <w:rPr>
                <w:rFonts w:cs="Arial"/>
                <w:sz w:val="18"/>
                <w:szCs w:val="18"/>
              </w:rPr>
              <w:t>5</w:t>
            </w:r>
          </w:p>
        </w:tc>
        <w:tc>
          <w:tcPr>
            <w:tcW w:w="403" w:type="pct"/>
            <w:shd w:val="clear" w:color="auto" w:fill="auto"/>
            <w:noWrap/>
            <w:vAlign w:val="center"/>
            <w:hideMark/>
          </w:tcPr>
          <w:p w14:paraId="31F3AE85" w14:textId="77777777" w:rsidR="00AA23DA" w:rsidRPr="00545EC0" w:rsidRDefault="00AA23DA" w:rsidP="00392769">
            <w:pPr>
              <w:jc w:val="center"/>
              <w:rPr>
                <w:rFonts w:cs="Arial"/>
                <w:sz w:val="18"/>
                <w:szCs w:val="18"/>
              </w:rPr>
            </w:pPr>
            <w:r w:rsidRPr="00545EC0">
              <w:rPr>
                <w:rFonts w:cs="Arial"/>
                <w:sz w:val="18"/>
                <w:szCs w:val="18"/>
              </w:rPr>
              <w:t>5</w:t>
            </w:r>
          </w:p>
        </w:tc>
        <w:tc>
          <w:tcPr>
            <w:tcW w:w="403" w:type="pct"/>
            <w:shd w:val="clear" w:color="auto" w:fill="auto"/>
            <w:noWrap/>
            <w:vAlign w:val="center"/>
            <w:hideMark/>
          </w:tcPr>
          <w:p w14:paraId="6C7AE49A" w14:textId="77777777" w:rsidR="00AA23DA" w:rsidRPr="00545EC0" w:rsidRDefault="00AA23DA" w:rsidP="00392769">
            <w:pPr>
              <w:jc w:val="center"/>
              <w:rPr>
                <w:rFonts w:cs="Arial"/>
                <w:sz w:val="18"/>
                <w:szCs w:val="18"/>
              </w:rPr>
            </w:pPr>
            <w:r w:rsidRPr="00545EC0">
              <w:rPr>
                <w:rFonts w:cs="Arial"/>
                <w:sz w:val="18"/>
                <w:szCs w:val="18"/>
              </w:rPr>
              <w:t>5</w:t>
            </w:r>
          </w:p>
        </w:tc>
      </w:tr>
      <w:tr w:rsidR="003122F4" w:rsidRPr="00545EC0" w14:paraId="112A4BF3" w14:textId="77777777" w:rsidTr="001000DC">
        <w:trPr>
          <w:trHeight w:val="284"/>
        </w:trPr>
        <w:tc>
          <w:tcPr>
            <w:tcW w:w="557" w:type="pct"/>
            <w:shd w:val="clear" w:color="auto" w:fill="auto"/>
            <w:noWrap/>
            <w:vAlign w:val="center"/>
            <w:hideMark/>
          </w:tcPr>
          <w:p w14:paraId="541695A3" w14:textId="77777777" w:rsidR="00AA23DA" w:rsidRPr="00545EC0" w:rsidRDefault="00AA23DA" w:rsidP="00392769">
            <w:pPr>
              <w:jc w:val="center"/>
              <w:rPr>
                <w:rFonts w:cs="Arial"/>
                <w:sz w:val="18"/>
                <w:szCs w:val="18"/>
              </w:rPr>
            </w:pPr>
            <w:r w:rsidRPr="00545EC0">
              <w:rPr>
                <w:rFonts w:cs="Arial"/>
                <w:sz w:val="18"/>
                <w:szCs w:val="18"/>
              </w:rPr>
              <w:t>1005</w:t>
            </w:r>
          </w:p>
        </w:tc>
        <w:tc>
          <w:tcPr>
            <w:tcW w:w="2712" w:type="pct"/>
            <w:shd w:val="clear" w:color="auto" w:fill="auto"/>
            <w:noWrap/>
            <w:vAlign w:val="center"/>
            <w:hideMark/>
          </w:tcPr>
          <w:p w14:paraId="01777D1D" w14:textId="77777777" w:rsidR="00AA23DA" w:rsidRPr="00545EC0" w:rsidRDefault="00AA23DA" w:rsidP="00392769">
            <w:pPr>
              <w:jc w:val="left"/>
              <w:rPr>
                <w:rFonts w:cs="Arial"/>
                <w:sz w:val="18"/>
                <w:szCs w:val="18"/>
              </w:rPr>
            </w:pPr>
            <w:r w:rsidRPr="00545EC0">
              <w:rPr>
                <w:rFonts w:cs="Arial"/>
                <w:sz w:val="18"/>
                <w:szCs w:val="18"/>
              </w:rPr>
              <w:t>Karavanke</w:t>
            </w:r>
          </w:p>
        </w:tc>
        <w:tc>
          <w:tcPr>
            <w:tcW w:w="524" w:type="pct"/>
            <w:vAlign w:val="center"/>
          </w:tcPr>
          <w:p w14:paraId="60076E6A" w14:textId="77777777" w:rsidR="00AA23DA" w:rsidRPr="00545EC0" w:rsidRDefault="00AA23DA" w:rsidP="00392769">
            <w:pPr>
              <w:jc w:val="center"/>
              <w:rPr>
                <w:rFonts w:cs="Arial"/>
                <w:sz w:val="18"/>
                <w:szCs w:val="18"/>
              </w:rPr>
            </w:pPr>
            <w:r w:rsidRPr="00545EC0">
              <w:rPr>
                <w:rFonts w:cs="Arial"/>
                <w:sz w:val="18"/>
                <w:szCs w:val="18"/>
              </w:rPr>
              <w:t>Donava</w:t>
            </w:r>
          </w:p>
        </w:tc>
        <w:tc>
          <w:tcPr>
            <w:tcW w:w="403" w:type="pct"/>
            <w:shd w:val="clear" w:color="auto" w:fill="auto"/>
            <w:noWrap/>
            <w:vAlign w:val="center"/>
            <w:hideMark/>
          </w:tcPr>
          <w:p w14:paraId="1823D125" w14:textId="77777777" w:rsidR="00AA23DA" w:rsidRPr="00545EC0" w:rsidRDefault="00AA23DA" w:rsidP="00392769">
            <w:pPr>
              <w:jc w:val="center"/>
              <w:rPr>
                <w:rFonts w:cs="Arial"/>
                <w:sz w:val="18"/>
                <w:szCs w:val="18"/>
              </w:rPr>
            </w:pPr>
            <w:r w:rsidRPr="00545EC0">
              <w:rPr>
                <w:rFonts w:cs="Arial"/>
                <w:sz w:val="18"/>
                <w:szCs w:val="18"/>
              </w:rPr>
              <w:t>3</w:t>
            </w:r>
          </w:p>
        </w:tc>
        <w:tc>
          <w:tcPr>
            <w:tcW w:w="403" w:type="pct"/>
            <w:shd w:val="clear" w:color="auto" w:fill="auto"/>
            <w:noWrap/>
            <w:vAlign w:val="center"/>
            <w:hideMark/>
          </w:tcPr>
          <w:p w14:paraId="311B4851" w14:textId="77777777" w:rsidR="00AA23DA" w:rsidRPr="00545EC0" w:rsidRDefault="00AA23DA" w:rsidP="00392769">
            <w:pPr>
              <w:jc w:val="center"/>
              <w:rPr>
                <w:rFonts w:cs="Arial"/>
                <w:sz w:val="18"/>
                <w:szCs w:val="18"/>
              </w:rPr>
            </w:pPr>
            <w:r w:rsidRPr="00545EC0">
              <w:rPr>
                <w:rFonts w:cs="Arial"/>
                <w:sz w:val="18"/>
                <w:szCs w:val="18"/>
              </w:rPr>
              <w:t>4</w:t>
            </w:r>
          </w:p>
        </w:tc>
        <w:tc>
          <w:tcPr>
            <w:tcW w:w="403" w:type="pct"/>
            <w:shd w:val="clear" w:color="auto" w:fill="auto"/>
            <w:noWrap/>
            <w:vAlign w:val="center"/>
            <w:hideMark/>
          </w:tcPr>
          <w:p w14:paraId="7EB21706" w14:textId="77777777" w:rsidR="00AA23DA" w:rsidRPr="00545EC0" w:rsidRDefault="00AA23DA" w:rsidP="00392769">
            <w:pPr>
              <w:jc w:val="center"/>
              <w:rPr>
                <w:rFonts w:cs="Arial"/>
                <w:sz w:val="18"/>
                <w:szCs w:val="18"/>
              </w:rPr>
            </w:pPr>
            <w:r w:rsidRPr="00545EC0">
              <w:rPr>
                <w:rFonts w:cs="Arial"/>
                <w:sz w:val="18"/>
                <w:szCs w:val="18"/>
              </w:rPr>
              <w:t>4</w:t>
            </w:r>
          </w:p>
        </w:tc>
      </w:tr>
      <w:tr w:rsidR="003122F4" w:rsidRPr="00545EC0" w14:paraId="78C9C0B1" w14:textId="77777777" w:rsidTr="001000DC">
        <w:trPr>
          <w:trHeight w:val="284"/>
        </w:trPr>
        <w:tc>
          <w:tcPr>
            <w:tcW w:w="557" w:type="pct"/>
            <w:shd w:val="clear" w:color="auto" w:fill="auto"/>
            <w:noWrap/>
            <w:vAlign w:val="center"/>
            <w:hideMark/>
          </w:tcPr>
          <w:p w14:paraId="1EB06C0A" w14:textId="77777777" w:rsidR="00AA23DA" w:rsidRPr="00545EC0" w:rsidRDefault="00AA23DA" w:rsidP="00392769">
            <w:pPr>
              <w:jc w:val="center"/>
              <w:rPr>
                <w:rFonts w:cs="Arial"/>
                <w:sz w:val="18"/>
                <w:szCs w:val="18"/>
              </w:rPr>
            </w:pPr>
            <w:r w:rsidRPr="00545EC0">
              <w:rPr>
                <w:rFonts w:cs="Arial"/>
                <w:sz w:val="18"/>
                <w:szCs w:val="18"/>
              </w:rPr>
              <w:t>1006</w:t>
            </w:r>
          </w:p>
        </w:tc>
        <w:tc>
          <w:tcPr>
            <w:tcW w:w="2712" w:type="pct"/>
            <w:shd w:val="clear" w:color="auto" w:fill="auto"/>
            <w:noWrap/>
            <w:vAlign w:val="center"/>
            <w:hideMark/>
          </w:tcPr>
          <w:p w14:paraId="712D8F66" w14:textId="77777777" w:rsidR="00AA23DA" w:rsidRPr="00545EC0" w:rsidRDefault="00AA23DA" w:rsidP="00392769">
            <w:pPr>
              <w:jc w:val="left"/>
              <w:rPr>
                <w:rFonts w:cs="Arial"/>
                <w:sz w:val="18"/>
                <w:szCs w:val="18"/>
              </w:rPr>
            </w:pPr>
            <w:r w:rsidRPr="00545EC0">
              <w:rPr>
                <w:rFonts w:cs="Arial"/>
                <w:sz w:val="18"/>
                <w:szCs w:val="18"/>
              </w:rPr>
              <w:t>Kamniško-Savinjske Alpe</w:t>
            </w:r>
          </w:p>
        </w:tc>
        <w:tc>
          <w:tcPr>
            <w:tcW w:w="524" w:type="pct"/>
            <w:vAlign w:val="center"/>
          </w:tcPr>
          <w:p w14:paraId="7BE33F1A" w14:textId="77777777" w:rsidR="00AA23DA" w:rsidRPr="00545EC0" w:rsidRDefault="00AA23DA" w:rsidP="00392769">
            <w:pPr>
              <w:jc w:val="center"/>
              <w:rPr>
                <w:rFonts w:cs="Arial"/>
                <w:sz w:val="18"/>
                <w:szCs w:val="18"/>
              </w:rPr>
            </w:pPr>
            <w:r w:rsidRPr="00545EC0">
              <w:rPr>
                <w:rFonts w:cs="Arial"/>
                <w:sz w:val="18"/>
                <w:szCs w:val="18"/>
              </w:rPr>
              <w:t>Donava</w:t>
            </w:r>
          </w:p>
        </w:tc>
        <w:tc>
          <w:tcPr>
            <w:tcW w:w="403" w:type="pct"/>
            <w:shd w:val="clear" w:color="auto" w:fill="auto"/>
            <w:noWrap/>
            <w:vAlign w:val="center"/>
            <w:hideMark/>
          </w:tcPr>
          <w:p w14:paraId="57F8BCCF" w14:textId="77777777" w:rsidR="00AA23DA" w:rsidRPr="00545EC0" w:rsidRDefault="00AA23DA" w:rsidP="00392769">
            <w:pPr>
              <w:jc w:val="center"/>
              <w:rPr>
                <w:rFonts w:cs="Arial"/>
                <w:sz w:val="18"/>
                <w:szCs w:val="18"/>
              </w:rPr>
            </w:pPr>
            <w:r w:rsidRPr="00545EC0">
              <w:rPr>
                <w:rFonts w:cs="Arial"/>
                <w:sz w:val="18"/>
                <w:szCs w:val="18"/>
              </w:rPr>
              <w:t>5</w:t>
            </w:r>
          </w:p>
        </w:tc>
        <w:tc>
          <w:tcPr>
            <w:tcW w:w="403" w:type="pct"/>
            <w:shd w:val="clear" w:color="auto" w:fill="auto"/>
            <w:noWrap/>
            <w:vAlign w:val="center"/>
            <w:hideMark/>
          </w:tcPr>
          <w:p w14:paraId="7C702E7B" w14:textId="77777777" w:rsidR="00AA23DA" w:rsidRPr="00545EC0" w:rsidRDefault="00AA23DA" w:rsidP="00392769">
            <w:pPr>
              <w:jc w:val="center"/>
              <w:rPr>
                <w:rFonts w:cs="Arial"/>
                <w:sz w:val="18"/>
                <w:szCs w:val="18"/>
              </w:rPr>
            </w:pPr>
            <w:r w:rsidRPr="00545EC0">
              <w:rPr>
                <w:rFonts w:cs="Arial"/>
                <w:sz w:val="18"/>
                <w:szCs w:val="18"/>
              </w:rPr>
              <w:t>8</w:t>
            </w:r>
          </w:p>
        </w:tc>
        <w:tc>
          <w:tcPr>
            <w:tcW w:w="403" w:type="pct"/>
            <w:shd w:val="clear" w:color="auto" w:fill="auto"/>
            <w:noWrap/>
            <w:vAlign w:val="center"/>
            <w:hideMark/>
          </w:tcPr>
          <w:p w14:paraId="76B42A5A" w14:textId="77777777" w:rsidR="00AA23DA" w:rsidRPr="00545EC0" w:rsidRDefault="00AA23DA" w:rsidP="00392769">
            <w:pPr>
              <w:jc w:val="center"/>
              <w:rPr>
                <w:rFonts w:cs="Arial"/>
                <w:sz w:val="18"/>
                <w:szCs w:val="18"/>
              </w:rPr>
            </w:pPr>
            <w:r w:rsidRPr="00545EC0">
              <w:rPr>
                <w:rFonts w:cs="Arial"/>
                <w:sz w:val="18"/>
                <w:szCs w:val="18"/>
              </w:rPr>
              <w:t>8</w:t>
            </w:r>
          </w:p>
        </w:tc>
      </w:tr>
      <w:tr w:rsidR="003122F4" w:rsidRPr="00545EC0" w14:paraId="20F9E0DC" w14:textId="77777777" w:rsidTr="001000DC">
        <w:trPr>
          <w:trHeight w:val="284"/>
        </w:trPr>
        <w:tc>
          <w:tcPr>
            <w:tcW w:w="557" w:type="pct"/>
            <w:shd w:val="clear" w:color="auto" w:fill="auto"/>
            <w:noWrap/>
            <w:vAlign w:val="center"/>
            <w:hideMark/>
          </w:tcPr>
          <w:p w14:paraId="6EF24C32" w14:textId="77777777" w:rsidR="00AA23DA" w:rsidRPr="00545EC0" w:rsidRDefault="00AA23DA" w:rsidP="00392769">
            <w:pPr>
              <w:jc w:val="center"/>
              <w:rPr>
                <w:rFonts w:cs="Arial"/>
                <w:sz w:val="18"/>
                <w:szCs w:val="18"/>
              </w:rPr>
            </w:pPr>
            <w:r w:rsidRPr="00545EC0">
              <w:rPr>
                <w:rFonts w:cs="Arial"/>
                <w:sz w:val="18"/>
                <w:szCs w:val="18"/>
              </w:rPr>
              <w:t>1007</w:t>
            </w:r>
          </w:p>
        </w:tc>
        <w:tc>
          <w:tcPr>
            <w:tcW w:w="2712" w:type="pct"/>
            <w:shd w:val="clear" w:color="auto" w:fill="auto"/>
            <w:noWrap/>
            <w:vAlign w:val="center"/>
            <w:hideMark/>
          </w:tcPr>
          <w:p w14:paraId="60620AC8" w14:textId="77777777" w:rsidR="00AA23DA" w:rsidRPr="00545EC0" w:rsidRDefault="00AA23DA" w:rsidP="00392769">
            <w:pPr>
              <w:jc w:val="left"/>
              <w:rPr>
                <w:rFonts w:cs="Arial"/>
                <w:sz w:val="18"/>
                <w:szCs w:val="18"/>
              </w:rPr>
            </w:pPr>
            <w:r w:rsidRPr="00545EC0">
              <w:rPr>
                <w:rFonts w:cs="Arial"/>
                <w:sz w:val="18"/>
                <w:szCs w:val="18"/>
              </w:rPr>
              <w:t>Cerkljansko, Škofjeloško in Polhograjsko hribovje</w:t>
            </w:r>
          </w:p>
        </w:tc>
        <w:tc>
          <w:tcPr>
            <w:tcW w:w="524" w:type="pct"/>
            <w:vAlign w:val="center"/>
          </w:tcPr>
          <w:p w14:paraId="2C4474CC" w14:textId="77777777" w:rsidR="00AA23DA" w:rsidRPr="00545EC0" w:rsidRDefault="00AA23DA" w:rsidP="00392769">
            <w:pPr>
              <w:jc w:val="center"/>
              <w:rPr>
                <w:rFonts w:cs="Arial"/>
                <w:sz w:val="18"/>
                <w:szCs w:val="18"/>
              </w:rPr>
            </w:pPr>
            <w:r w:rsidRPr="00545EC0">
              <w:rPr>
                <w:rFonts w:cs="Arial"/>
                <w:sz w:val="18"/>
                <w:szCs w:val="18"/>
              </w:rPr>
              <w:t>Donava</w:t>
            </w:r>
          </w:p>
        </w:tc>
        <w:tc>
          <w:tcPr>
            <w:tcW w:w="403" w:type="pct"/>
            <w:shd w:val="clear" w:color="auto" w:fill="auto"/>
            <w:noWrap/>
            <w:vAlign w:val="center"/>
            <w:hideMark/>
          </w:tcPr>
          <w:p w14:paraId="59417D4A" w14:textId="77777777" w:rsidR="00AA23DA" w:rsidRPr="00545EC0" w:rsidRDefault="00AA23DA" w:rsidP="00392769">
            <w:pPr>
              <w:jc w:val="center"/>
              <w:rPr>
                <w:rFonts w:cs="Arial"/>
                <w:sz w:val="18"/>
                <w:szCs w:val="18"/>
              </w:rPr>
            </w:pPr>
            <w:r w:rsidRPr="00545EC0">
              <w:rPr>
                <w:rFonts w:cs="Arial"/>
                <w:sz w:val="18"/>
                <w:szCs w:val="18"/>
              </w:rPr>
              <w:t>2</w:t>
            </w:r>
          </w:p>
        </w:tc>
        <w:tc>
          <w:tcPr>
            <w:tcW w:w="403" w:type="pct"/>
            <w:shd w:val="clear" w:color="auto" w:fill="auto"/>
            <w:noWrap/>
            <w:vAlign w:val="center"/>
            <w:hideMark/>
          </w:tcPr>
          <w:p w14:paraId="40706F27" w14:textId="77777777" w:rsidR="00AA23DA" w:rsidRPr="00545EC0" w:rsidRDefault="00AA23DA" w:rsidP="00392769">
            <w:pPr>
              <w:jc w:val="center"/>
              <w:rPr>
                <w:rFonts w:cs="Arial"/>
                <w:sz w:val="18"/>
                <w:szCs w:val="18"/>
              </w:rPr>
            </w:pPr>
            <w:r w:rsidRPr="00545EC0">
              <w:rPr>
                <w:rFonts w:cs="Arial"/>
                <w:sz w:val="18"/>
                <w:szCs w:val="18"/>
              </w:rPr>
              <w:t>3</w:t>
            </w:r>
          </w:p>
        </w:tc>
        <w:tc>
          <w:tcPr>
            <w:tcW w:w="403" w:type="pct"/>
            <w:shd w:val="clear" w:color="auto" w:fill="auto"/>
            <w:noWrap/>
            <w:vAlign w:val="center"/>
            <w:hideMark/>
          </w:tcPr>
          <w:p w14:paraId="3464FAE5" w14:textId="77777777" w:rsidR="00AA23DA" w:rsidRPr="00545EC0" w:rsidRDefault="00AA23DA" w:rsidP="00392769">
            <w:pPr>
              <w:jc w:val="center"/>
              <w:rPr>
                <w:rFonts w:cs="Arial"/>
                <w:sz w:val="18"/>
                <w:szCs w:val="18"/>
              </w:rPr>
            </w:pPr>
            <w:r w:rsidRPr="00545EC0">
              <w:rPr>
                <w:rFonts w:cs="Arial"/>
                <w:sz w:val="18"/>
                <w:szCs w:val="18"/>
              </w:rPr>
              <w:t>3</w:t>
            </w:r>
          </w:p>
        </w:tc>
      </w:tr>
      <w:tr w:rsidR="003122F4" w:rsidRPr="00545EC0" w14:paraId="40816BFA" w14:textId="77777777" w:rsidTr="001000DC">
        <w:trPr>
          <w:trHeight w:val="284"/>
        </w:trPr>
        <w:tc>
          <w:tcPr>
            <w:tcW w:w="557" w:type="pct"/>
            <w:shd w:val="clear" w:color="auto" w:fill="auto"/>
            <w:noWrap/>
            <w:vAlign w:val="center"/>
            <w:hideMark/>
          </w:tcPr>
          <w:p w14:paraId="2D341E35" w14:textId="77777777" w:rsidR="00AA23DA" w:rsidRPr="00545EC0" w:rsidRDefault="00AA23DA" w:rsidP="00392769">
            <w:pPr>
              <w:jc w:val="center"/>
              <w:rPr>
                <w:rFonts w:cs="Arial"/>
                <w:sz w:val="18"/>
                <w:szCs w:val="18"/>
              </w:rPr>
            </w:pPr>
            <w:r w:rsidRPr="00545EC0">
              <w:rPr>
                <w:rFonts w:cs="Arial"/>
                <w:sz w:val="18"/>
                <w:szCs w:val="18"/>
              </w:rPr>
              <w:t>1008</w:t>
            </w:r>
          </w:p>
        </w:tc>
        <w:tc>
          <w:tcPr>
            <w:tcW w:w="2712" w:type="pct"/>
            <w:shd w:val="clear" w:color="auto" w:fill="auto"/>
            <w:noWrap/>
            <w:vAlign w:val="center"/>
            <w:hideMark/>
          </w:tcPr>
          <w:p w14:paraId="43779944" w14:textId="77777777" w:rsidR="00AA23DA" w:rsidRPr="00545EC0" w:rsidRDefault="00AA23DA" w:rsidP="00392769">
            <w:pPr>
              <w:jc w:val="left"/>
              <w:rPr>
                <w:rFonts w:cs="Arial"/>
                <w:sz w:val="18"/>
                <w:szCs w:val="18"/>
              </w:rPr>
            </w:pPr>
            <w:r w:rsidRPr="00545EC0">
              <w:rPr>
                <w:rFonts w:cs="Arial"/>
                <w:sz w:val="18"/>
                <w:szCs w:val="18"/>
              </w:rPr>
              <w:t>Posavsko hribovje do osrednje Sotle</w:t>
            </w:r>
          </w:p>
        </w:tc>
        <w:tc>
          <w:tcPr>
            <w:tcW w:w="524" w:type="pct"/>
            <w:vAlign w:val="center"/>
          </w:tcPr>
          <w:p w14:paraId="5E3FA084" w14:textId="77777777" w:rsidR="00AA23DA" w:rsidRPr="00545EC0" w:rsidRDefault="00AA23DA" w:rsidP="00392769">
            <w:pPr>
              <w:jc w:val="center"/>
              <w:rPr>
                <w:rFonts w:cs="Arial"/>
                <w:sz w:val="18"/>
                <w:szCs w:val="18"/>
              </w:rPr>
            </w:pPr>
            <w:r w:rsidRPr="00545EC0">
              <w:rPr>
                <w:rFonts w:cs="Arial"/>
                <w:sz w:val="18"/>
                <w:szCs w:val="18"/>
              </w:rPr>
              <w:t>Donava</w:t>
            </w:r>
          </w:p>
        </w:tc>
        <w:tc>
          <w:tcPr>
            <w:tcW w:w="403" w:type="pct"/>
            <w:shd w:val="clear" w:color="auto" w:fill="auto"/>
            <w:noWrap/>
            <w:vAlign w:val="center"/>
            <w:hideMark/>
          </w:tcPr>
          <w:p w14:paraId="49FDC77D" w14:textId="77777777" w:rsidR="00AA23DA" w:rsidRPr="00545EC0" w:rsidRDefault="00AA23DA" w:rsidP="00392769">
            <w:pPr>
              <w:jc w:val="center"/>
              <w:rPr>
                <w:rFonts w:cs="Arial"/>
                <w:sz w:val="18"/>
                <w:szCs w:val="18"/>
              </w:rPr>
            </w:pPr>
            <w:r w:rsidRPr="00545EC0">
              <w:rPr>
                <w:rFonts w:cs="Arial"/>
                <w:sz w:val="18"/>
                <w:szCs w:val="18"/>
              </w:rPr>
              <w:t>2</w:t>
            </w:r>
          </w:p>
        </w:tc>
        <w:tc>
          <w:tcPr>
            <w:tcW w:w="403" w:type="pct"/>
            <w:shd w:val="clear" w:color="auto" w:fill="auto"/>
            <w:noWrap/>
            <w:vAlign w:val="center"/>
            <w:hideMark/>
          </w:tcPr>
          <w:p w14:paraId="27DAD097" w14:textId="77777777" w:rsidR="00AA23DA" w:rsidRPr="00545EC0" w:rsidRDefault="00AA23DA" w:rsidP="00392769">
            <w:pPr>
              <w:jc w:val="center"/>
              <w:rPr>
                <w:rFonts w:cs="Arial"/>
                <w:sz w:val="18"/>
                <w:szCs w:val="18"/>
              </w:rPr>
            </w:pPr>
            <w:r w:rsidRPr="00545EC0">
              <w:rPr>
                <w:rFonts w:cs="Arial"/>
                <w:sz w:val="18"/>
                <w:szCs w:val="18"/>
              </w:rPr>
              <w:t>5</w:t>
            </w:r>
          </w:p>
        </w:tc>
        <w:tc>
          <w:tcPr>
            <w:tcW w:w="403" w:type="pct"/>
            <w:shd w:val="clear" w:color="auto" w:fill="auto"/>
            <w:noWrap/>
            <w:vAlign w:val="center"/>
            <w:hideMark/>
          </w:tcPr>
          <w:p w14:paraId="108103F4" w14:textId="77777777" w:rsidR="00AA23DA" w:rsidRPr="00545EC0" w:rsidRDefault="00AA23DA" w:rsidP="00392769">
            <w:pPr>
              <w:jc w:val="center"/>
              <w:rPr>
                <w:rFonts w:cs="Arial"/>
                <w:sz w:val="18"/>
                <w:szCs w:val="18"/>
              </w:rPr>
            </w:pPr>
            <w:r w:rsidRPr="00545EC0">
              <w:rPr>
                <w:rFonts w:cs="Arial"/>
                <w:sz w:val="18"/>
                <w:szCs w:val="18"/>
              </w:rPr>
              <w:t>5</w:t>
            </w:r>
          </w:p>
        </w:tc>
      </w:tr>
      <w:tr w:rsidR="003122F4" w:rsidRPr="00545EC0" w14:paraId="68BE34C4" w14:textId="77777777" w:rsidTr="001000DC">
        <w:trPr>
          <w:trHeight w:val="284"/>
        </w:trPr>
        <w:tc>
          <w:tcPr>
            <w:tcW w:w="557" w:type="pct"/>
            <w:shd w:val="clear" w:color="auto" w:fill="auto"/>
            <w:noWrap/>
            <w:vAlign w:val="center"/>
            <w:hideMark/>
          </w:tcPr>
          <w:p w14:paraId="40182279" w14:textId="77777777" w:rsidR="00AA23DA" w:rsidRPr="00545EC0" w:rsidRDefault="00AA23DA" w:rsidP="00392769">
            <w:pPr>
              <w:jc w:val="center"/>
              <w:rPr>
                <w:rFonts w:cs="Arial"/>
                <w:sz w:val="18"/>
                <w:szCs w:val="18"/>
              </w:rPr>
            </w:pPr>
            <w:r w:rsidRPr="00545EC0">
              <w:rPr>
                <w:rFonts w:cs="Arial"/>
                <w:sz w:val="18"/>
                <w:szCs w:val="18"/>
              </w:rPr>
              <w:t>1009</w:t>
            </w:r>
          </w:p>
        </w:tc>
        <w:tc>
          <w:tcPr>
            <w:tcW w:w="2712" w:type="pct"/>
            <w:shd w:val="clear" w:color="auto" w:fill="auto"/>
            <w:noWrap/>
            <w:vAlign w:val="center"/>
            <w:hideMark/>
          </w:tcPr>
          <w:p w14:paraId="78EF4ED3" w14:textId="77777777" w:rsidR="00AA23DA" w:rsidRPr="00545EC0" w:rsidRDefault="00AA23DA" w:rsidP="00392769">
            <w:pPr>
              <w:jc w:val="left"/>
              <w:rPr>
                <w:rFonts w:cs="Arial"/>
                <w:sz w:val="18"/>
                <w:szCs w:val="18"/>
              </w:rPr>
            </w:pPr>
            <w:r w:rsidRPr="00545EC0">
              <w:rPr>
                <w:rFonts w:cs="Arial"/>
                <w:sz w:val="18"/>
                <w:szCs w:val="18"/>
              </w:rPr>
              <w:t>Spodnji del Savinje do Sotle</w:t>
            </w:r>
          </w:p>
        </w:tc>
        <w:tc>
          <w:tcPr>
            <w:tcW w:w="524" w:type="pct"/>
            <w:vAlign w:val="center"/>
          </w:tcPr>
          <w:p w14:paraId="0FAFF0D0" w14:textId="77777777" w:rsidR="00AA23DA" w:rsidRPr="00545EC0" w:rsidRDefault="00AA23DA" w:rsidP="00392769">
            <w:pPr>
              <w:jc w:val="center"/>
              <w:rPr>
                <w:rFonts w:cs="Arial"/>
                <w:sz w:val="18"/>
                <w:szCs w:val="18"/>
              </w:rPr>
            </w:pPr>
            <w:r w:rsidRPr="00545EC0">
              <w:rPr>
                <w:rFonts w:cs="Arial"/>
                <w:sz w:val="18"/>
                <w:szCs w:val="18"/>
              </w:rPr>
              <w:t>Donava</w:t>
            </w:r>
          </w:p>
        </w:tc>
        <w:tc>
          <w:tcPr>
            <w:tcW w:w="403" w:type="pct"/>
            <w:shd w:val="clear" w:color="auto" w:fill="auto"/>
            <w:noWrap/>
            <w:vAlign w:val="center"/>
            <w:hideMark/>
          </w:tcPr>
          <w:p w14:paraId="6BB60E49" w14:textId="77777777" w:rsidR="00AA23DA" w:rsidRPr="00545EC0" w:rsidRDefault="00AA23DA" w:rsidP="00392769">
            <w:pPr>
              <w:jc w:val="center"/>
              <w:rPr>
                <w:rFonts w:cs="Arial"/>
                <w:sz w:val="18"/>
                <w:szCs w:val="18"/>
              </w:rPr>
            </w:pPr>
            <w:r w:rsidRPr="00545EC0">
              <w:rPr>
                <w:rFonts w:cs="Arial"/>
                <w:sz w:val="18"/>
                <w:szCs w:val="18"/>
              </w:rPr>
              <w:t>3</w:t>
            </w:r>
          </w:p>
        </w:tc>
        <w:tc>
          <w:tcPr>
            <w:tcW w:w="403" w:type="pct"/>
            <w:shd w:val="clear" w:color="auto" w:fill="auto"/>
            <w:noWrap/>
            <w:vAlign w:val="center"/>
            <w:hideMark/>
          </w:tcPr>
          <w:p w14:paraId="424F0599" w14:textId="77777777" w:rsidR="00AA23DA" w:rsidRPr="00545EC0" w:rsidRDefault="00AA23DA" w:rsidP="00392769">
            <w:pPr>
              <w:jc w:val="center"/>
              <w:rPr>
                <w:rFonts w:cs="Arial"/>
                <w:sz w:val="18"/>
                <w:szCs w:val="18"/>
              </w:rPr>
            </w:pPr>
            <w:r w:rsidRPr="00545EC0">
              <w:rPr>
                <w:rFonts w:cs="Arial"/>
                <w:sz w:val="18"/>
                <w:szCs w:val="18"/>
              </w:rPr>
              <w:t>4</w:t>
            </w:r>
          </w:p>
        </w:tc>
        <w:tc>
          <w:tcPr>
            <w:tcW w:w="403" w:type="pct"/>
            <w:shd w:val="clear" w:color="auto" w:fill="auto"/>
            <w:noWrap/>
            <w:vAlign w:val="center"/>
            <w:hideMark/>
          </w:tcPr>
          <w:p w14:paraId="6C969AD1" w14:textId="77777777" w:rsidR="00AA23DA" w:rsidRPr="00545EC0" w:rsidRDefault="00AA23DA" w:rsidP="00392769">
            <w:pPr>
              <w:jc w:val="center"/>
              <w:rPr>
                <w:rFonts w:cs="Arial"/>
                <w:sz w:val="18"/>
                <w:szCs w:val="18"/>
              </w:rPr>
            </w:pPr>
            <w:r w:rsidRPr="00545EC0">
              <w:rPr>
                <w:rFonts w:cs="Arial"/>
                <w:sz w:val="18"/>
                <w:szCs w:val="18"/>
              </w:rPr>
              <w:t>4</w:t>
            </w:r>
          </w:p>
        </w:tc>
      </w:tr>
      <w:tr w:rsidR="003122F4" w:rsidRPr="00545EC0" w14:paraId="668479E0" w14:textId="77777777" w:rsidTr="001000DC">
        <w:trPr>
          <w:trHeight w:val="284"/>
        </w:trPr>
        <w:tc>
          <w:tcPr>
            <w:tcW w:w="557" w:type="pct"/>
            <w:shd w:val="clear" w:color="auto" w:fill="auto"/>
            <w:noWrap/>
            <w:vAlign w:val="center"/>
            <w:hideMark/>
          </w:tcPr>
          <w:p w14:paraId="63FB322C" w14:textId="77777777" w:rsidR="00AA23DA" w:rsidRPr="00545EC0" w:rsidRDefault="00AA23DA" w:rsidP="00392769">
            <w:pPr>
              <w:jc w:val="center"/>
              <w:rPr>
                <w:rFonts w:cs="Arial"/>
                <w:sz w:val="18"/>
                <w:szCs w:val="18"/>
              </w:rPr>
            </w:pPr>
            <w:r w:rsidRPr="00545EC0">
              <w:rPr>
                <w:rFonts w:cs="Arial"/>
                <w:sz w:val="18"/>
                <w:szCs w:val="18"/>
              </w:rPr>
              <w:t>1010</w:t>
            </w:r>
          </w:p>
        </w:tc>
        <w:tc>
          <w:tcPr>
            <w:tcW w:w="2712" w:type="pct"/>
            <w:shd w:val="clear" w:color="auto" w:fill="auto"/>
            <w:noWrap/>
            <w:vAlign w:val="center"/>
            <w:hideMark/>
          </w:tcPr>
          <w:p w14:paraId="36C09C33" w14:textId="77777777" w:rsidR="00AA23DA" w:rsidRPr="00545EC0" w:rsidRDefault="00AA23DA" w:rsidP="00392769">
            <w:pPr>
              <w:jc w:val="left"/>
              <w:rPr>
                <w:rFonts w:cs="Arial"/>
                <w:sz w:val="18"/>
                <w:szCs w:val="18"/>
              </w:rPr>
            </w:pPr>
            <w:r w:rsidRPr="00545EC0">
              <w:rPr>
                <w:rFonts w:cs="Arial"/>
                <w:sz w:val="18"/>
                <w:szCs w:val="18"/>
              </w:rPr>
              <w:t>Kraška Ljubljanica</w:t>
            </w:r>
          </w:p>
        </w:tc>
        <w:tc>
          <w:tcPr>
            <w:tcW w:w="524" w:type="pct"/>
            <w:vAlign w:val="center"/>
          </w:tcPr>
          <w:p w14:paraId="16351EAE" w14:textId="77777777" w:rsidR="00AA23DA" w:rsidRPr="00545EC0" w:rsidRDefault="00AA23DA" w:rsidP="00392769">
            <w:pPr>
              <w:jc w:val="center"/>
              <w:rPr>
                <w:rFonts w:cs="Arial"/>
                <w:sz w:val="18"/>
                <w:szCs w:val="18"/>
              </w:rPr>
            </w:pPr>
            <w:r w:rsidRPr="00545EC0">
              <w:rPr>
                <w:rFonts w:cs="Arial"/>
                <w:sz w:val="18"/>
                <w:szCs w:val="18"/>
              </w:rPr>
              <w:t>Donava</w:t>
            </w:r>
          </w:p>
        </w:tc>
        <w:tc>
          <w:tcPr>
            <w:tcW w:w="403" w:type="pct"/>
            <w:shd w:val="clear" w:color="auto" w:fill="auto"/>
            <w:noWrap/>
            <w:vAlign w:val="center"/>
            <w:hideMark/>
          </w:tcPr>
          <w:p w14:paraId="0EE6BE00" w14:textId="77777777" w:rsidR="00AA23DA" w:rsidRPr="00545EC0" w:rsidRDefault="00AA23DA" w:rsidP="00392769">
            <w:pPr>
              <w:jc w:val="center"/>
              <w:rPr>
                <w:rFonts w:cs="Arial"/>
                <w:sz w:val="18"/>
                <w:szCs w:val="18"/>
              </w:rPr>
            </w:pPr>
            <w:r w:rsidRPr="00545EC0">
              <w:rPr>
                <w:rFonts w:cs="Arial"/>
                <w:sz w:val="18"/>
                <w:szCs w:val="18"/>
              </w:rPr>
              <w:t>4</w:t>
            </w:r>
          </w:p>
        </w:tc>
        <w:tc>
          <w:tcPr>
            <w:tcW w:w="403" w:type="pct"/>
            <w:shd w:val="clear" w:color="auto" w:fill="auto"/>
            <w:noWrap/>
            <w:vAlign w:val="center"/>
            <w:hideMark/>
          </w:tcPr>
          <w:p w14:paraId="4513AFBC" w14:textId="77777777" w:rsidR="00AA23DA" w:rsidRPr="00545EC0" w:rsidRDefault="00AA23DA" w:rsidP="00392769">
            <w:pPr>
              <w:jc w:val="center"/>
              <w:rPr>
                <w:rFonts w:cs="Arial"/>
                <w:sz w:val="18"/>
                <w:szCs w:val="18"/>
              </w:rPr>
            </w:pPr>
            <w:r w:rsidRPr="00545EC0">
              <w:rPr>
                <w:rFonts w:cs="Arial"/>
                <w:sz w:val="18"/>
                <w:szCs w:val="18"/>
              </w:rPr>
              <w:t>6</w:t>
            </w:r>
          </w:p>
        </w:tc>
        <w:tc>
          <w:tcPr>
            <w:tcW w:w="403" w:type="pct"/>
            <w:shd w:val="clear" w:color="auto" w:fill="auto"/>
            <w:noWrap/>
            <w:vAlign w:val="center"/>
            <w:hideMark/>
          </w:tcPr>
          <w:p w14:paraId="1F499FCF" w14:textId="77777777" w:rsidR="00AA23DA" w:rsidRPr="00545EC0" w:rsidRDefault="00AA23DA" w:rsidP="00392769">
            <w:pPr>
              <w:jc w:val="center"/>
              <w:rPr>
                <w:rFonts w:cs="Arial"/>
                <w:sz w:val="18"/>
                <w:szCs w:val="18"/>
              </w:rPr>
            </w:pPr>
            <w:r w:rsidRPr="00545EC0">
              <w:rPr>
                <w:rFonts w:cs="Arial"/>
                <w:sz w:val="18"/>
                <w:szCs w:val="18"/>
              </w:rPr>
              <w:t>7</w:t>
            </w:r>
          </w:p>
        </w:tc>
      </w:tr>
      <w:tr w:rsidR="003122F4" w:rsidRPr="00545EC0" w14:paraId="18385D7E" w14:textId="77777777" w:rsidTr="001000DC">
        <w:trPr>
          <w:trHeight w:val="284"/>
        </w:trPr>
        <w:tc>
          <w:tcPr>
            <w:tcW w:w="557" w:type="pct"/>
            <w:shd w:val="clear" w:color="auto" w:fill="auto"/>
            <w:noWrap/>
            <w:vAlign w:val="center"/>
            <w:hideMark/>
          </w:tcPr>
          <w:p w14:paraId="034470A1" w14:textId="77777777" w:rsidR="00AA23DA" w:rsidRPr="00545EC0" w:rsidRDefault="00AA23DA" w:rsidP="00392769">
            <w:pPr>
              <w:jc w:val="center"/>
              <w:rPr>
                <w:rFonts w:cs="Arial"/>
                <w:sz w:val="18"/>
                <w:szCs w:val="18"/>
              </w:rPr>
            </w:pPr>
            <w:r w:rsidRPr="00545EC0">
              <w:rPr>
                <w:rFonts w:cs="Arial"/>
                <w:sz w:val="18"/>
                <w:szCs w:val="18"/>
              </w:rPr>
              <w:t>1011</w:t>
            </w:r>
          </w:p>
        </w:tc>
        <w:tc>
          <w:tcPr>
            <w:tcW w:w="2712" w:type="pct"/>
            <w:shd w:val="clear" w:color="auto" w:fill="auto"/>
            <w:noWrap/>
            <w:vAlign w:val="center"/>
            <w:hideMark/>
          </w:tcPr>
          <w:p w14:paraId="73A17354" w14:textId="77777777" w:rsidR="00AA23DA" w:rsidRPr="00545EC0" w:rsidRDefault="00AA23DA" w:rsidP="00392769">
            <w:pPr>
              <w:jc w:val="left"/>
              <w:rPr>
                <w:rFonts w:cs="Arial"/>
                <w:sz w:val="18"/>
                <w:szCs w:val="18"/>
              </w:rPr>
            </w:pPr>
            <w:r w:rsidRPr="00545EC0">
              <w:rPr>
                <w:rFonts w:cs="Arial"/>
                <w:sz w:val="18"/>
                <w:szCs w:val="18"/>
              </w:rPr>
              <w:t>Dolenjski kras</w:t>
            </w:r>
          </w:p>
        </w:tc>
        <w:tc>
          <w:tcPr>
            <w:tcW w:w="524" w:type="pct"/>
            <w:vAlign w:val="center"/>
          </w:tcPr>
          <w:p w14:paraId="13D2491E" w14:textId="77777777" w:rsidR="00AA23DA" w:rsidRPr="00545EC0" w:rsidRDefault="00AA23DA" w:rsidP="00392769">
            <w:pPr>
              <w:jc w:val="center"/>
              <w:rPr>
                <w:rFonts w:cs="Arial"/>
                <w:sz w:val="18"/>
                <w:szCs w:val="18"/>
              </w:rPr>
            </w:pPr>
            <w:r w:rsidRPr="00545EC0">
              <w:rPr>
                <w:rFonts w:cs="Arial"/>
                <w:sz w:val="18"/>
                <w:szCs w:val="18"/>
              </w:rPr>
              <w:t>Donava</w:t>
            </w:r>
          </w:p>
        </w:tc>
        <w:tc>
          <w:tcPr>
            <w:tcW w:w="403" w:type="pct"/>
            <w:shd w:val="clear" w:color="auto" w:fill="auto"/>
            <w:noWrap/>
            <w:vAlign w:val="center"/>
            <w:hideMark/>
          </w:tcPr>
          <w:p w14:paraId="054BC803" w14:textId="77777777" w:rsidR="00AA23DA" w:rsidRPr="00545EC0" w:rsidRDefault="00AA23DA" w:rsidP="00392769">
            <w:pPr>
              <w:jc w:val="center"/>
              <w:rPr>
                <w:rFonts w:cs="Arial"/>
                <w:sz w:val="18"/>
                <w:szCs w:val="18"/>
              </w:rPr>
            </w:pPr>
            <w:r w:rsidRPr="00545EC0">
              <w:rPr>
                <w:rFonts w:cs="Arial"/>
                <w:sz w:val="18"/>
                <w:szCs w:val="18"/>
              </w:rPr>
              <w:t>7</w:t>
            </w:r>
          </w:p>
        </w:tc>
        <w:tc>
          <w:tcPr>
            <w:tcW w:w="403" w:type="pct"/>
            <w:shd w:val="clear" w:color="auto" w:fill="auto"/>
            <w:noWrap/>
            <w:vAlign w:val="center"/>
            <w:hideMark/>
          </w:tcPr>
          <w:p w14:paraId="4744D2D6" w14:textId="77777777" w:rsidR="00AA23DA" w:rsidRPr="00545EC0" w:rsidRDefault="00AA23DA" w:rsidP="00392769">
            <w:pPr>
              <w:jc w:val="center"/>
              <w:rPr>
                <w:rFonts w:cs="Arial"/>
                <w:sz w:val="18"/>
                <w:szCs w:val="18"/>
              </w:rPr>
            </w:pPr>
            <w:r w:rsidRPr="00545EC0">
              <w:rPr>
                <w:rFonts w:cs="Arial"/>
                <w:sz w:val="18"/>
                <w:szCs w:val="18"/>
              </w:rPr>
              <w:t>17</w:t>
            </w:r>
          </w:p>
        </w:tc>
        <w:tc>
          <w:tcPr>
            <w:tcW w:w="403" w:type="pct"/>
            <w:shd w:val="clear" w:color="auto" w:fill="auto"/>
            <w:noWrap/>
            <w:vAlign w:val="center"/>
            <w:hideMark/>
          </w:tcPr>
          <w:p w14:paraId="36593AFA" w14:textId="77777777" w:rsidR="00AA23DA" w:rsidRPr="00545EC0" w:rsidRDefault="00AA23DA" w:rsidP="00392769">
            <w:pPr>
              <w:jc w:val="center"/>
              <w:rPr>
                <w:rFonts w:cs="Arial"/>
                <w:sz w:val="18"/>
                <w:szCs w:val="18"/>
              </w:rPr>
            </w:pPr>
            <w:r w:rsidRPr="00545EC0">
              <w:rPr>
                <w:rFonts w:cs="Arial"/>
                <w:sz w:val="18"/>
                <w:szCs w:val="18"/>
              </w:rPr>
              <w:t>22</w:t>
            </w:r>
          </w:p>
        </w:tc>
      </w:tr>
      <w:tr w:rsidR="003122F4" w:rsidRPr="00545EC0" w14:paraId="6748D093" w14:textId="77777777" w:rsidTr="001000DC">
        <w:trPr>
          <w:trHeight w:val="284"/>
        </w:trPr>
        <w:tc>
          <w:tcPr>
            <w:tcW w:w="557" w:type="pct"/>
            <w:shd w:val="clear" w:color="auto" w:fill="auto"/>
            <w:noWrap/>
            <w:vAlign w:val="center"/>
            <w:hideMark/>
          </w:tcPr>
          <w:p w14:paraId="456767FD" w14:textId="77777777" w:rsidR="00AA23DA" w:rsidRPr="00545EC0" w:rsidRDefault="00AA23DA" w:rsidP="00392769">
            <w:pPr>
              <w:jc w:val="center"/>
              <w:rPr>
                <w:rFonts w:cs="Arial"/>
                <w:sz w:val="18"/>
                <w:szCs w:val="18"/>
              </w:rPr>
            </w:pPr>
            <w:r w:rsidRPr="00545EC0">
              <w:rPr>
                <w:rFonts w:cs="Arial"/>
                <w:sz w:val="18"/>
                <w:szCs w:val="18"/>
              </w:rPr>
              <w:t>3012</w:t>
            </w:r>
          </w:p>
        </w:tc>
        <w:tc>
          <w:tcPr>
            <w:tcW w:w="2712" w:type="pct"/>
            <w:shd w:val="clear" w:color="auto" w:fill="auto"/>
            <w:noWrap/>
            <w:vAlign w:val="center"/>
            <w:hideMark/>
          </w:tcPr>
          <w:p w14:paraId="2B0D3E1C" w14:textId="77777777" w:rsidR="00AA23DA" w:rsidRPr="00545EC0" w:rsidRDefault="00AA23DA" w:rsidP="00392769">
            <w:pPr>
              <w:jc w:val="left"/>
              <w:rPr>
                <w:rFonts w:cs="Arial"/>
                <w:sz w:val="18"/>
                <w:szCs w:val="18"/>
              </w:rPr>
            </w:pPr>
            <w:r w:rsidRPr="00545EC0">
              <w:rPr>
                <w:rFonts w:cs="Arial"/>
                <w:sz w:val="18"/>
                <w:szCs w:val="18"/>
              </w:rPr>
              <w:t>Dravska kotlina</w:t>
            </w:r>
          </w:p>
        </w:tc>
        <w:tc>
          <w:tcPr>
            <w:tcW w:w="524" w:type="pct"/>
            <w:vAlign w:val="center"/>
          </w:tcPr>
          <w:p w14:paraId="361492E9" w14:textId="77777777" w:rsidR="00AA23DA" w:rsidRPr="00545EC0" w:rsidRDefault="00AA23DA" w:rsidP="00392769">
            <w:pPr>
              <w:jc w:val="center"/>
              <w:rPr>
                <w:rFonts w:cs="Arial"/>
                <w:sz w:val="18"/>
                <w:szCs w:val="18"/>
              </w:rPr>
            </w:pPr>
            <w:r w:rsidRPr="00545EC0">
              <w:rPr>
                <w:rFonts w:cs="Arial"/>
                <w:sz w:val="18"/>
                <w:szCs w:val="18"/>
              </w:rPr>
              <w:t>Donava</w:t>
            </w:r>
          </w:p>
        </w:tc>
        <w:tc>
          <w:tcPr>
            <w:tcW w:w="403" w:type="pct"/>
            <w:shd w:val="clear" w:color="auto" w:fill="auto"/>
            <w:noWrap/>
            <w:vAlign w:val="center"/>
            <w:hideMark/>
          </w:tcPr>
          <w:p w14:paraId="4E54CD36" w14:textId="77777777" w:rsidR="00AA23DA" w:rsidRPr="00545EC0" w:rsidRDefault="00AA23DA" w:rsidP="00392769">
            <w:pPr>
              <w:jc w:val="center"/>
              <w:rPr>
                <w:rFonts w:cs="Arial"/>
                <w:sz w:val="18"/>
                <w:szCs w:val="18"/>
              </w:rPr>
            </w:pPr>
            <w:r w:rsidRPr="00545EC0">
              <w:rPr>
                <w:rFonts w:cs="Arial"/>
                <w:sz w:val="18"/>
                <w:szCs w:val="18"/>
              </w:rPr>
              <w:t>10</w:t>
            </w:r>
          </w:p>
        </w:tc>
        <w:tc>
          <w:tcPr>
            <w:tcW w:w="403" w:type="pct"/>
            <w:shd w:val="clear" w:color="auto" w:fill="auto"/>
            <w:noWrap/>
            <w:vAlign w:val="center"/>
            <w:hideMark/>
          </w:tcPr>
          <w:p w14:paraId="26515EEB" w14:textId="77777777" w:rsidR="00AA23DA" w:rsidRPr="00545EC0" w:rsidRDefault="00AA23DA" w:rsidP="00392769">
            <w:pPr>
              <w:jc w:val="center"/>
              <w:rPr>
                <w:rFonts w:cs="Arial"/>
                <w:sz w:val="18"/>
                <w:szCs w:val="18"/>
              </w:rPr>
            </w:pPr>
            <w:r w:rsidRPr="00545EC0">
              <w:rPr>
                <w:rFonts w:cs="Arial"/>
                <w:sz w:val="18"/>
                <w:szCs w:val="18"/>
              </w:rPr>
              <w:t>20</w:t>
            </w:r>
          </w:p>
        </w:tc>
        <w:tc>
          <w:tcPr>
            <w:tcW w:w="403" w:type="pct"/>
            <w:shd w:val="clear" w:color="auto" w:fill="auto"/>
            <w:noWrap/>
            <w:vAlign w:val="center"/>
            <w:hideMark/>
          </w:tcPr>
          <w:p w14:paraId="1AB33018" w14:textId="77777777" w:rsidR="00AA23DA" w:rsidRPr="00545EC0" w:rsidRDefault="00AA23DA" w:rsidP="00392769">
            <w:pPr>
              <w:jc w:val="center"/>
              <w:rPr>
                <w:rFonts w:cs="Arial"/>
                <w:sz w:val="18"/>
                <w:szCs w:val="18"/>
              </w:rPr>
            </w:pPr>
            <w:r w:rsidRPr="00545EC0">
              <w:rPr>
                <w:rFonts w:cs="Arial"/>
                <w:sz w:val="18"/>
                <w:szCs w:val="18"/>
              </w:rPr>
              <w:t>28</w:t>
            </w:r>
          </w:p>
        </w:tc>
      </w:tr>
      <w:tr w:rsidR="003122F4" w:rsidRPr="00545EC0" w14:paraId="27439DF6" w14:textId="77777777" w:rsidTr="001000DC">
        <w:trPr>
          <w:trHeight w:val="284"/>
        </w:trPr>
        <w:tc>
          <w:tcPr>
            <w:tcW w:w="557" w:type="pct"/>
            <w:shd w:val="clear" w:color="auto" w:fill="auto"/>
            <w:noWrap/>
            <w:vAlign w:val="center"/>
            <w:hideMark/>
          </w:tcPr>
          <w:p w14:paraId="6F7678A8" w14:textId="77777777" w:rsidR="00AA23DA" w:rsidRPr="00545EC0" w:rsidRDefault="00AA23DA" w:rsidP="00392769">
            <w:pPr>
              <w:jc w:val="center"/>
              <w:rPr>
                <w:rFonts w:cs="Arial"/>
                <w:sz w:val="18"/>
                <w:szCs w:val="18"/>
              </w:rPr>
            </w:pPr>
            <w:r w:rsidRPr="00545EC0">
              <w:rPr>
                <w:rFonts w:cs="Arial"/>
                <w:sz w:val="18"/>
                <w:szCs w:val="18"/>
              </w:rPr>
              <w:t>3013</w:t>
            </w:r>
          </w:p>
        </w:tc>
        <w:tc>
          <w:tcPr>
            <w:tcW w:w="2712" w:type="pct"/>
            <w:shd w:val="clear" w:color="auto" w:fill="auto"/>
            <w:noWrap/>
            <w:vAlign w:val="center"/>
            <w:hideMark/>
          </w:tcPr>
          <w:p w14:paraId="2EFFBC65" w14:textId="77777777" w:rsidR="00AA23DA" w:rsidRPr="00545EC0" w:rsidRDefault="00AA23DA" w:rsidP="00392769">
            <w:pPr>
              <w:jc w:val="left"/>
              <w:rPr>
                <w:rFonts w:cs="Arial"/>
                <w:sz w:val="18"/>
                <w:szCs w:val="18"/>
              </w:rPr>
            </w:pPr>
            <w:r w:rsidRPr="00545EC0">
              <w:rPr>
                <w:rFonts w:cs="Arial"/>
                <w:sz w:val="18"/>
                <w:szCs w:val="18"/>
              </w:rPr>
              <w:t>Vzhodne Alpe</w:t>
            </w:r>
          </w:p>
        </w:tc>
        <w:tc>
          <w:tcPr>
            <w:tcW w:w="524" w:type="pct"/>
            <w:vAlign w:val="center"/>
          </w:tcPr>
          <w:p w14:paraId="23EB2FCE" w14:textId="77777777" w:rsidR="00AA23DA" w:rsidRPr="00545EC0" w:rsidRDefault="00AA23DA" w:rsidP="00392769">
            <w:pPr>
              <w:jc w:val="center"/>
              <w:rPr>
                <w:rFonts w:cs="Arial"/>
                <w:sz w:val="18"/>
                <w:szCs w:val="18"/>
              </w:rPr>
            </w:pPr>
            <w:r w:rsidRPr="00545EC0">
              <w:rPr>
                <w:rFonts w:cs="Arial"/>
                <w:sz w:val="18"/>
                <w:szCs w:val="18"/>
              </w:rPr>
              <w:t>Donava</w:t>
            </w:r>
          </w:p>
        </w:tc>
        <w:tc>
          <w:tcPr>
            <w:tcW w:w="403" w:type="pct"/>
            <w:shd w:val="clear" w:color="auto" w:fill="auto"/>
            <w:noWrap/>
            <w:vAlign w:val="center"/>
            <w:hideMark/>
          </w:tcPr>
          <w:p w14:paraId="1095C5C2" w14:textId="77777777" w:rsidR="00AA23DA" w:rsidRPr="00545EC0" w:rsidRDefault="00AA23DA" w:rsidP="00392769">
            <w:pPr>
              <w:jc w:val="center"/>
              <w:rPr>
                <w:rFonts w:cs="Arial"/>
                <w:sz w:val="18"/>
                <w:szCs w:val="18"/>
              </w:rPr>
            </w:pPr>
            <w:r w:rsidRPr="00545EC0">
              <w:rPr>
                <w:rFonts w:cs="Arial"/>
                <w:sz w:val="18"/>
                <w:szCs w:val="18"/>
              </w:rPr>
              <w:t>2</w:t>
            </w:r>
          </w:p>
        </w:tc>
        <w:tc>
          <w:tcPr>
            <w:tcW w:w="403" w:type="pct"/>
            <w:shd w:val="clear" w:color="auto" w:fill="auto"/>
            <w:noWrap/>
            <w:vAlign w:val="center"/>
            <w:hideMark/>
          </w:tcPr>
          <w:p w14:paraId="5CD067BC" w14:textId="77777777" w:rsidR="00AA23DA" w:rsidRPr="00545EC0" w:rsidRDefault="00AA23DA" w:rsidP="00392769">
            <w:pPr>
              <w:jc w:val="center"/>
              <w:rPr>
                <w:rFonts w:cs="Arial"/>
                <w:sz w:val="18"/>
                <w:szCs w:val="18"/>
              </w:rPr>
            </w:pPr>
            <w:r w:rsidRPr="00545EC0">
              <w:rPr>
                <w:rFonts w:cs="Arial"/>
                <w:sz w:val="18"/>
                <w:szCs w:val="18"/>
              </w:rPr>
              <w:t>4</w:t>
            </w:r>
          </w:p>
        </w:tc>
        <w:tc>
          <w:tcPr>
            <w:tcW w:w="403" w:type="pct"/>
            <w:shd w:val="clear" w:color="auto" w:fill="auto"/>
            <w:noWrap/>
            <w:vAlign w:val="center"/>
            <w:hideMark/>
          </w:tcPr>
          <w:p w14:paraId="42288358" w14:textId="77777777" w:rsidR="00AA23DA" w:rsidRPr="00545EC0" w:rsidRDefault="00AA23DA" w:rsidP="00392769">
            <w:pPr>
              <w:jc w:val="center"/>
              <w:rPr>
                <w:rFonts w:cs="Arial"/>
                <w:sz w:val="18"/>
                <w:szCs w:val="18"/>
              </w:rPr>
            </w:pPr>
            <w:r w:rsidRPr="00545EC0">
              <w:rPr>
                <w:rFonts w:cs="Arial"/>
                <w:sz w:val="18"/>
                <w:szCs w:val="18"/>
              </w:rPr>
              <w:t>4</w:t>
            </w:r>
          </w:p>
        </w:tc>
      </w:tr>
      <w:tr w:rsidR="003122F4" w:rsidRPr="00545EC0" w14:paraId="5B489462" w14:textId="77777777" w:rsidTr="001000DC">
        <w:trPr>
          <w:trHeight w:val="284"/>
        </w:trPr>
        <w:tc>
          <w:tcPr>
            <w:tcW w:w="557" w:type="pct"/>
            <w:shd w:val="clear" w:color="auto" w:fill="auto"/>
            <w:noWrap/>
            <w:vAlign w:val="center"/>
            <w:hideMark/>
          </w:tcPr>
          <w:p w14:paraId="680FBBC9" w14:textId="77777777" w:rsidR="00AA23DA" w:rsidRPr="00545EC0" w:rsidRDefault="00AA23DA" w:rsidP="00392769">
            <w:pPr>
              <w:jc w:val="center"/>
              <w:rPr>
                <w:rFonts w:cs="Arial"/>
                <w:sz w:val="18"/>
                <w:szCs w:val="18"/>
              </w:rPr>
            </w:pPr>
            <w:r w:rsidRPr="00545EC0">
              <w:rPr>
                <w:rFonts w:cs="Arial"/>
                <w:sz w:val="18"/>
                <w:szCs w:val="18"/>
              </w:rPr>
              <w:t>3014</w:t>
            </w:r>
          </w:p>
        </w:tc>
        <w:tc>
          <w:tcPr>
            <w:tcW w:w="2712" w:type="pct"/>
            <w:shd w:val="clear" w:color="auto" w:fill="auto"/>
            <w:noWrap/>
            <w:vAlign w:val="center"/>
            <w:hideMark/>
          </w:tcPr>
          <w:p w14:paraId="3EA3EA8E" w14:textId="77777777" w:rsidR="00AA23DA" w:rsidRPr="00545EC0" w:rsidRDefault="00AA23DA" w:rsidP="00392769">
            <w:pPr>
              <w:jc w:val="left"/>
              <w:rPr>
                <w:rFonts w:cs="Arial"/>
                <w:sz w:val="18"/>
                <w:szCs w:val="18"/>
              </w:rPr>
            </w:pPr>
            <w:r w:rsidRPr="00545EC0">
              <w:rPr>
                <w:rFonts w:cs="Arial"/>
                <w:sz w:val="18"/>
                <w:szCs w:val="18"/>
              </w:rPr>
              <w:t>Haloze in Dravinjske gorice</w:t>
            </w:r>
          </w:p>
        </w:tc>
        <w:tc>
          <w:tcPr>
            <w:tcW w:w="524" w:type="pct"/>
            <w:vAlign w:val="center"/>
          </w:tcPr>
          <w:p w14:paraId="316A2FF0" w14:textId="77777777" w:rsidR="00AA23DA" w:rsidRPr="00545EC0" w:rsidRDefault="00AA23DA" w:rsidP="00392769">
            <w:pPr>
              <w:jc w:val="center"/>
              <w:rPr>
                <w:rFonts w:cs="Arial"/>
                <w:sz w:val="18"/>
                <w:szCs w:val="18"/>
              </w:rPr>
            </w:pPr>
            <w:r w:rsidRPr="00545EC0">
              <w:rPr>
                <w:rFonts w:cs="Arial"/>
                <w:sz w:val="18"/>
                <w:szCs w:val="18"/>
              </w:rPr>
              <w:t>Donava</w:t>
            </w:r>
          </w:p>
        </w:tc>
        <w:tc>
          <w:tcPr>
            <w:tcW w:w="403" w:type="pct"/>
            <w:shd w:val="clear" w:color="auto" w:fill="auto"/>
            <w:noWrap/>
            <w:vAlign w:val="center"/>
            <w:hideMark/>
          </w:tcPr>
          <w:p w14:paraId="51BDE8AC" w14:textId="77777777" w:rsidR="00AA23DA" w:rsidRPr="00545EC0" w:rsidRDefault="00AA23DA" w:rsidP="00392769">
            <w:pPr>
              <w:jc w:val="center"/>
              <w:rPr>
                <w:rFonts w:cs="Arial"/>
                <w:sz w:val="18"/>
                <w:szCs w:val="18"/>
              </w:rPr>
            </w:pPr>
            <w:r w:rsidRPr="00545EC0">
              <w:rPr>
                <w:rFonts w:cs="Arial"/>
                <w:sz w:val="18"/>
                <w:szCs w:val="18"/>
              </w:rPr>
              <w:t>3</w:t>
            </w:r>
          </w:p>
        </w:tc>
        <w:tc>
          <w:tcPr>
            <w:tcW w:w="403" w:type="pct"/>
            <w:shd w:val="clear" w:color="auto" w:fill="auto"/>
            <w:noWrap/>
            <w:vAlign w:val="center"/>
            <w:hideMark/>
          </w:tcPr>
          <w:p w14:paraId="7D93EA31" w14:textId="77777777" w:rsidR="00AA23DA" w:rsidRPr="00545EC0" w:rsidRDefault="00AA23DA" w:rsidP="00392769">
            <w:pPr>
              <w:jc w:val="center"/>
              <w:rPr>
                <w:rFonts w:cs="Arial"/>
                <w:sz w:val="18"/>
                <w:szCs w:val="18"/>
              </w:rPr>
            </w:pPr>
            <w:r w:rsidRPr="00545EC0">
              <w:rPr>
                <w:rFonts w:cs="Arial"/>
                <w:sz w:val="18"/>
                <w:szCs w:val="18"/>
              </w:rPr>
              <w:t>3</w:t>
            </w:r>
          </w:p>
        </w:tc>
        <w:tc>
          <w:tcPr>
            <w:tcW w:w="403" w:type="pct"/>
            <w:shd w:val="clear" w:color="auto" w:fill="auto"/>
            <w:noWrap/>
            <w:vAlign w:val="center"/>
            <w:hideMark/>
          </w:tcPr>
          <w:p w14:paraId="2E8C6698" w14:textId="77777777" w:rsidR="00AA23DA" w:rsidRPr="00545EC0" w:rsidRDefault="00AA23DA" w:rsidP="00392769">
            <w:pPr>
              <w:jc w:val="center"/>
              <w:rPr>
                <w:rFonts w:cs="Arial"/>
                <w:sz w:val="18"/>
                <w:szCs w:val="18"/>
              </w:rPr>
            </w:pPr>
            <w:r w:rsidRPr="00545EC0">
              <w:rPr>
                <w:rFonts w:cs="Arial"/>
                <w:sz w:val="18"/>
                <w:szCs w:val="18"/>
              </w:rPr>
              <w:t>3</w:t>
            </w:r>
          </w:p>
        </w:tc>
      </w:tr>
      <w:tr w:rsidR="003122F4" w:rsidRPr="00545EC0" w14:paraId="519FB203" w14:textId="77777777" w:rsidTr="001000DC">
        <w:trPr>
          <w:trHeight w:val="284"/>
        </w:trPr>
        <w:tc>
          <w:tcPr>
            <w:tcW w:w="557" w:type="pct"/>
            <w:shd w:val="clear" w:color="auto" w:fill="auto"/>
            <w:noWrap/>
            <w:vAlign w:val="center"/>
            <w:hideMark/>
          </w:tcPr>
          <w:p w14:paraId="0A71522A" w14:textId="77777777" w:rsidR="00AA23DA" w:rsidRPr="00545EC0" w:rsidRDefault="00AA23DA" w:rsidP="00392769">
            <w:pPr>
              <w:jc w:val="center"/>
              <w:rPr>
                <w:rFonts w:cs="Arial"/>
                <w:sz w:val="18"/>
                <w:szCs w:val="18"/>
              </w:rPr>
            </w:pPr>
            <w:r w:rsidRPr="00545EC0">
              <w:rPr>
                <w:rFonts w:cs="Arial"/>
                <w:sz w:val="18"/>
                <w:szCs w:val="18"/>
              </w:rPr>
              <w:t>3015</w:t>
            </w:r>
          </w:p>
        </w:tc>
        <w:tc>
          <w:tcPr>
            <w:tcW w:w="2712" w:type="pct"/>
            <w:shd w:val="clear" w:color="auto" w:fill="auto"/>
            <w:noWrap/>
            <w:vAlign w:val="center"/>
            <w:hideMark/>
          </w:tcPr>
          <w:p w14:paraId="3869D193" w14:textId="77777777" w:rsidR="00AA23DA" w:rsidRPr="00545EC0" w:rsidRDefault="00AA23DA" w:rsidP="00392769">
            <w:pPr>
              <w:jc w:val="left"/>
              <w:rPr>
                <w:rFonts w:cs="Arial"/>
                <w:sz w:val="18"/>
                <w:szCs w:val="18"/>
              </w:rPr>
            </w:pPr>
            <w:r w:rsidRPr="00545EC0">
              <w:rPr>
                <w:rFonts w:cs="Arial"/>
                <w:sz w:val="18"/>
                <w:szCs w:val="18"/>
              </w:rPr>
              <w:t>Zahodne Slovenske gorice</w:t>
            </w:r>
          </w:p>
        </w:tc>
        <w:tc>
          <w:tcPr>
            <w:tcW w:w="524" w:type="pct"/>
            <w:vAlign w:val="center"/>
          </w:tcPr>
          <w:p w14:paraId="4E99D6B5" w14:textId="77777777" w:rsidR="00AA23DA" w:rsidRPr="00545EC0" w:rsidRDefault="00AA23DA" w:rsidP="00392769">
            <w:pPr>
              <w:jc w:val="center"/>
              <w:rPr>
                <w:rFonts w:cs="Arial"/>
                <w:sz w:val="18"/>
                <w:szCs w:val="18"/>
              </w:rPr>
            </w:pPr>
            <w:r w:rsidRPr="00545EC0">
              <w:rPr>
                <w:rFonts w:cs="Arial"/>
                <w:sz w:val="18"/>
                <w:szCs w:val="18"/>
              </w:rPr>
              <w:t>Donava</w:t>
            </w:r>
          </w:p>
        </w:tc>
        <w:tc>
          <w:tcPr>
            <w:tcW w:w="403" w:type="pct"/>
            <w:shd w:val="clear" w:color="auto" w:fill="auto"/>
            <w:noWrap/>
            <w:vAlign w:val="center"/>
            <w:hideMark/>
          </w:tcPr>
          <w:p w14:paraId="7ECEC394" w14:textId="77777777" w:rsidR="00AA23DA" w:rsidRPr="00545EC0" w:rsidRDefault="00AA23DA" w:rsidP="00392769">
            <w:pPr>
              <w:jc w:val="center"/>
              <w:rPr>
                <w:rFonts w:cs="Arial"/>
                <w:sz w:val="18"/>
                <w:szCs w:val="18"/>
              </w:rPr>
            </w:pPr>
            <w:r w:rsidRPr="00545EC0">
              <w:rPr>
                <w:rFonts w:cs="Arial"/>
                <w:sz w:val="18"/>
                <w:szCs w:val="18"/>
              </w:rPr>
              <w:t>2</w:t>
            </w:r>
          </w:p>
        </w:tc>
        <w:tc>
          <w:tcPr>
            <w:tcW w:w="403" w:type="pct"/>
            <w:shd w:val="clear" w:color="auto" w:fill="auto"/>
            <w:noWrap/>
            <w:vAlign w:val="center"/>
            <w:hideMark/>
          </w:tcPr>
          <w:p w14:paraId="5D31FF32" w14:textId="77777777" w:rsidR="00AA23DA" w:rsidRPr="00545EC0" w:rsidRDefault="00AA23DA" w:rsidP="00392769">
            <w:pPr>
              <w:jc w:val="center"/>
              <w:rPr>
                <w:rFonts w:cs="Arial"/>
                <w:sz w:val="18"/>
                <w:szCs w:val="18"/>
              </w:rPr>
            </w:pPr>
            <w:r w:rsidRPr="00545EC0">
              <w:rPr>
                <w:rFonts w:cs="Arial"/>
                <w:sz w:val="18"/>
                <w:szCs w:val="18"/>
              </w:rPr>
              <w:t>3</w:t>
            </w:r>
          </w:p>
        </w:tc>
        <w:tc>
          <w:tcPr>
            <w:tcW w:w="403" w:type="pct"/>
            <w:shd w:val="clear" w:color="auto" w:fill="auto"/>
            <w:noWrap/>
            <w:vAlign w:val="center"/>
            <w:hideMark/>
          </w:tcPr>
          <w:p w14:paraId="621819B9" w14:textId="77777777" w:rsidR="00AA23DA" w:rsidRPr="00545EC0" w:rsidRDefault="00AA23DA" w:rsidP="00392769">
            <w:pPr>
              <w:jc w:val="center"/>
              <w:rPr>
                <w:rFonts w:cs="Arial"/>
                <w:sz w:val="18"/>
                <w:szCs w:val="18"/>
              </w:rPr>
            </w:pPr>
            <w:r w:rsidRPr="00545EC0">
              <w:rPr>
                <w:rFonts w:cs="Arial"/>
                <w:sz w:val="18"/>
                <w:szCs w:val="18"/>
              </w:rPr>
              <w:t>2</w:t>
            </w:r>
          </w:p>
        </w:tc>
      </w:tr>
      <w:tr w:rsidR="003122F4" w:rsidRPr="00545EC0" w14:paraId="4209812A" w14:textId="77777777" w:rsidTr="001000DC">
        <w:trPr>
          <w:trHeight w:val="284"/>
        </w:trPr>
        <w:tc>
          <w:tcPr>
            <w:tcW w:w="557" w:type="pct"/>
            <w:shd w:val="clear" w:color="auto" w:fill="auto"/>
            <w:noWrap/>
            <w:vAlign w:val="center"/>
            <w:hideMark/>
          </w:tcPr>
          <w:p w14:paraId="767CF4D4" w14:textId="77777777" w:rsidR="00AA23DA" w:rsidRPr="00545EC0" w:rsidRDefault="00AA23DA" w:rsidP="00392769">
            <w:pPr>
              <w:jc w:val="center"/>
              <w:rPr>
                <w:rFonts w:cs="Arial"/>
                <w:sz w:val="18"/>
                <w:szCs w:val="18"/>
              </w:rPr>
            </w:pPr>
            <w:r w:rsidRPr="00545EC0">
              <w:rPr>
                <w:rFonts w:cs="Arial"/>
                <w:sz w:val="18"/>
                <w:szCs w:val="18"/>
              </w:rPr>
              <w:t>4016</w:t>
            </w:r>
          </w:p>
        </w:tc>
        <w:tc>
          <w:tcPr>
            <w:tcW w:w="2712" w:type="pct"/>
            <w:shd w:val="clear" w:color="auto" w:fill="auto"/>
            <w:noWrap/>
            <w:vAlign w:val="center"/>
            <w:hideMark/>
          </w:tcPr>
          <w:p w14:paraId="32C95DC1" w14:textId="77777777" w:rsidR="00AA23DA" w:rsidRPr="00545EC0" w:rsidRDefault="00AA23DA" w:rsidP="00392769">
            <w:pPr>
              <w:jc w:val="left"/>
              <w:rPr>
                <w:rFonts w:cs="Arial"/>
                <w:sz w:val="18"/>
                <w:szCs w:val="18"/>
              </w:rPr>
            </w:pPr>
            <w:r w:rsidRPr="00545EC0">
              <w:rPr>
                <w:rFonts w:cs="Arial"/>
                <w:sz w:val="18"/>
                <w:szCs w:val="18"/>
              </w:rPr>
              <w:t>Murska kotlina</w:t>
            </w:r>
          </w:p>
        </w:tc>
        <w:tc>
          <w:tcPr>
            <w:tcW w:w="524" w:type="pct"/>
            <w:vAlign w:val="center"/>
          </w:tcPr>
          <w:p w14:paraId="721E8ECD" w14:textId="77777777" w:rsidR="00AA23DA" w:rsidRPr="00545EC0" w:rsidRDefault="00AA23DA" w:rsidP="00392769">
            <w:pPr>
              <w:jc w:val="center"/>
              <w:rPr>
                <w:rFonts w:cs="Arial"/>
                <w:sz w:val="18"/>
                <w:szCs w:val="18"/>
              </w:rPr>
            </w:pPr>
            <w:r w:rsidRPr="00545EC0">
              <w:rPr>
                <w:rFonts w:cs="Arial"/>
                <w:sz w:val="18"/>
                <w:szCs w:val="18"/>
              </w:rPr>
              <w:t>Donava</w:t>
            </w:r>
          </w:p>
        </w:tc>
        <w:tc>
          <w:tcPr>
            <w:tcW w:w="403" w:type="pct"/>
            <w:shd w:val="clear" w:color="auto" w:fill="auto"/>
            <w:noWrap/>
            <w:vAlign w:val="center"/>
            <w:hideMark/>
          </w:tcPr>
          <w:p w14:paraId="19593893" w14:textId="77777777" w:rsidR="00AA23DA" w:rsidRPr="00545EC0" w:rsidRDefault="00AA23DA" w:rsidP="00392769">
            <w:pPr>
              <w:jc w:val="center"/>
              <w:rPr>
                <w:rFonts w:cs="Arial"/>
                <w:sz w:val="18"/>
                <w:szCs w:val="18"/>
              </w:rPr>
            </w:pPr>
            <w:r w:rsidRPr="00545EC0">
              <w:rPr>
                <w:rFonts w:cs="Arial"/>
                <w:sz w:val="18"/>
                <w:szCs w:val="18"/>
              </w:rPr>
              <w:t>9</w:t>
            </w:r>
          </w:p>
        </w:tc>
        <w:tc>
          <w:tcPr>
            <w:tcW w:w="403" w:type="pct"/>
            <w:shd w:val="clear" w:color="auto" w:fill="auto"/>
            <w:noWrap/>
            <w:vAlign w:val="center"/>
            <w:hideMark/>
          </w:tcPr>
          <w:p w14:paraId="0EDC1AAD" w14:textId="77777777" w:rsidR="00AA23DA" w:rsidRPr="00545EC0" w:rsidRDefault="00AA23DA" w:rsidP="00392769">
            <w:pPr>
              <w:jc w:val="center"/>
              <w:rPr>
                <w:rFonts w:cs="Arial"/>
                <w:sz w:val="18"/>
                <w:szCs w:val="18"/>
              </w:rPr>
            </w:pPr>
            <w:r w:rsidRPr="00545EC0">
              <w:rPr>
                <w:rFonts w:cs="Arial"/>
                <w:sz w:val="18"/>
                <w:szCs w:val="18"/>
              </w:rPr>
              <w:t>13</w:t>
            </w:r>
          </w:p>
        </w:tc>
        <w:tc>
          <w:tcPr>
            <w:tcW w:w="403" w:type="pct"/>
            <w:shd w:val="clear" w:color="auto" w:fill="auto"/>
            <w:noWrap/>
            <w:vAlign w:val="center"/>
            <w:hideMark/>
          </w:tcPr>
          <w:p w14:paraId="2CF805F6" w14:textId="77777777" w:rsidR="00AA23DA" w:rsidRPr="00545EC0" w:rsidRDefault="00AA23DA" w:rsidP="00392769">
            <w:pPr>
              <w:jc w:val="center"/>
              <w:rPr>
                <w:rFonts w:cs="Arial"/>
                <w:sz w:val="18"/>
                <w:szCs w:val="18"/>
              </w:rPr>
            </w:pPr>
            <w:r w:rsidRPr="00545EC0">
              <w:rPr>
                <w:rFonts w:cs="Arial"/>
                <w:sz w:val="18"/>
                <w:szCs w:val="18"/>
              </w:rPr>
              <w:t>17</w:t>
            </w:r>
          </w:p>
        </w:tc>
      </w:tr>
      <w:tr w:rsidR="003122F4" w:rsidRPr="00545EC0" w14:paraId="3203643B" w14:textId="77777777" w:rsidTr="001000DC">
        <w:trPr>
          <w:trHeight w:val="284"/>
        </w:trPr>
        <w:tc>
          <w:tcPr>
            <w:tcW w:w="557" w:type="pct"/>
            <w:shd w:val="clear" w:color="auto" w:fill="auto"/>
            <w:noWrap/>
            <w:vAlign w:val="center"/>
            <w:hideMark/>
          </w:tcPr>
          <w:p w14:paraId="01ACF716" w14:textId="77777777" w:rsidR="00AA23DA" w:rsidRPr="00545EC0" w:rsidRDefault="00AA23DA" w:rsidP="00392769">
            <w:pPr>
              <w:jc w:val="center"/>
              <w:rPr>
                <w:rFonts w:cs="Arial"/>
                <w:sz w:val="18"/>
                <w:szCs w:val="18"/>
              </w:rPr>
            </w:pPr>
            <w:r w:rsidRPr="00545EC0">
              <w:rPr>
                <w:rFonts w:cs="Arial"/>
                <w:sz w:val="18"/>
                <w:szCs w:val="18"/>
              </w:rPr>
              <w:t>4017</w:t>
            </w:r>
          </w:p>
        </w:tc>
        <w:tc>
          <w:tcPr>
            <w:tcW w:w="2712" w:type="pct"/>
            <w:shd w:val="clear" w:color="auto" w:fill="auto"/>
            <w:noWrap/>
            <w:vAlign w:val="center"/>
            <w:hideMark/>
          </w:tcPr>
          <w:p w14:paraId="638FBDC3" w14:textId="77777777" w:rsidR="00AA23DA" w:rsidRPr="00545EC0" w:rsidRDefault="00AA23DA" w:rsidP="00392769">
            <w:pPr>
              <w:jc w:val="left"/>
              <w:rPr>
                <w:rFonts w:cs="Arial"/>
                <w:sz w:val="18"/>
                <w:szCs w:val="18"/>
              </w:rPr>
            </w:pPr>
            <w:r w:rsidRPr="00545EC0">
              <w:rPr>
                <w:rFonts w:cs="Arial"/>
                <w:sz w:val="18"/>
                <w:szCs w:val="18"/>
              </w:rPr>
              <w:t>Vzhodne Slovenske gorice</w:t>
            </w:r>
          </w:p>
        </w:tc>
        <w:tc>
          <w:tcPr>
            <w:tcW w:w="524" w:type="pct"/>
            <w:vAlign w:val="center"/>
          </w:tcPr>
          <w:p w14:paraId="1C6FD995" w14:textId="77777777" w:rsidR="00AA23DA" w:rsidRPr="00545EC0" w:rsidRDefault="00AA23DA" w:rsidP="00392769">
            <w:pPr>
              <w:jc w:val="center"/>
              <w:rPr>
                <w:rFonts w:cs="Arial"/>
                <w:sz w:val="18"/>
                <w:szCs w:val="18"/>
              </w:rPr>
            </w:pPr>
            <w:r w:rsidRPr="00545EC0">
              <w:rPr>
                <w:rFonts w:cs="Arial"/>
                <w:sz w:val="18"/>
                <w:szCs w:val="18"/>
              </w:rPr>
              <w:t>Donava</w:t>
            </w:r>
          </w:p>
        </w:tc>
        <w:tc>
          <w:tcPr>
            <w:tcW w:w="403" w:type="pct"/>
            <w:shd w:val="clear" w:color="auto" w:fill="auto"/>
            <w:noWrap/>
            <w:vAlign w:val="center"/>
            <w:hideMark/>
          </w:tcPr>
          <w:p w14:paraId="09FAD74A" w14:textId="77777777" w:rsidR="00AA23DA" w:rsidRPr="00545EC0" w:rsidRDefault="00AA23DA" w:rsidP="00392769">
            <w:pPr>
              <w:jc w:val="center"/>
              <w:rPr>
                <w:rFonts w:cs="Arial"/>
                <w:sz w:val="18"/>
                <w:szCs w:val="18"/>
              </w:rPr>
            </w:pPr>
            <w:r w:rsidRPr="00545EC0">
              <w:rPr>
                <w:rFonts w:cs="Arial"/>
                <w:sz w:val="18"/>
                <w:szCs w:val="18"/>
              </w:rPr>
              <w:t>2</w:t>
            </w:r>
          </w:p>
        </w:tc>
        <w:tc>
          <w:tcPr>
            <w:tcW w:w="403" w:type="pct"/>
            <w:shd w:val="clear" w:color="auto" w:fill="auto"/>
            <w:noWrap/>
            <w:vAlign w:val="center"/>
            <w:hideMark/>
          </w:tcPr>
          <w:p w14:paraId="7721E129" w14:textId="77777777" w:rsidR="00AA23DA" w:rsidRPr="00545EC0" w:rsidRDefault="00AA23DA" w:rsidP="00392769">
            <w:pPr>
              <w:jc w:val="center"/>
              <w:rPr>
                <w:rFonts w:cs="Arial"/>
                <w:sz w:val="18"/>
                <w:szCs w:val="18"/>
              </w:rPr>
            </w:pPr>
            <w:r w:rsidRPr="00545EC0">
              <w:rPr>
                <w:rFonts w:cs="Arial"/>
                <w:sz w:val="18"/>
                <w:szCs w:val="18"/>
              </w:rPr>
              <w:t>4</w:t>
            </w:r>
          </w:p>
        </w:tc>
        <w:tc>
          <w:tcPr>
            <w:tcW w:w="403" w:type="pct"/>
            <w:shd w:val="clear" w:color="auto" w:fill="auto"/>
            <w:noWrap/>
            <w:vAlign w:val="center"/>
            <w:hideMark/>
          </w:tcPr>
          <w:p w14:paraId="69C7D355" w14:textId="77777777" w:rsidR="00AA23DA" w:rsidRPr="00545EC0" w:rsidRDefault="00AA23DA" w:rsidP="00392769">
            <w:pPr>
              <w:jc w:val="center"/>
              <w:rPr>
                <w:rFonts w:cs="Arial"/>
                <w:sz w:val="18"/>
                <w:szCs w:val="18"/>
              </w:rPr>
            </w:pPr>
            <w:r w:rsidRPr="00545EC0">
              <w:rPr>
                <w:rFonts w:cs="Arial"/>
                <w:sz w:val="18"/>
                <w:szCs w:val="18"/>
              </w:rPr>
              <w:t>4</w:t>
            </w:r>
          </w:p>
        </w:tc>
      </w:tr>
      <w:tr w:rsidR="003122F4" w:rsidRPr="00545EC0" w14:paraId="6BFFA1DD" w14:textId="77777777" w:rsidTr="001000DC">
        <w:trPr>
          <w:trHeight w:val="284"/>
        </w:trPr>
        <w:tc>
          <w:tcPr>
            <w:tcW w:w="557" w:type="pct"/>
            <w:shd w:val="clear" w:color="auto" w:fill="auto"/>
            <w:noWrap/>
            <w:vAlign w:val="center"/>
            <w:hideMark/>
          </w:tcPr>
          <w:p w14:paraId="47290B0B" w14:textId="77777777" w:rsidR="00AA23DA" w:rsidRPr="00545EC0" w:rsidRDefault="00AA23DA" w:rsidP="00392769">
            <w:pPr>
              <w:jc w:val="center"/>
              <w:rPr>
                <w:rFonts w:cs="Arial"/>
                <w:sz w:val="18"/>
                <w:szCs w:val="18"/>
              </w:rPr>
            </w:pPr>
            <w:r w:rsidRPr="00545EC0">
              <w:rPr>
                <w:rFonts w:cs="Arial"/>
                <w:sz w:val="18"/>
                <w:szCs w:val="18"/>
              </w:rPr>
              <w:t>4018</w:t>
            </w:r>
          </w:p>
        </w:tc>
        <w:tc>
          <w:tcPr>
            <w:tcW w:w="2712" w:type="pct"/>
            <w:shd w:val="clear" w:color="auto" w:fill="auto"/>
            <w:noWrap/>
            <w:vAlign w:val="center"/>
            <w:hideMark/>
          </w:tcPr>
          <w:p w14:paraId="0C997626" w14:textId="77777777" w:rsidR="00AA23DA" w:rsidRPr="00545EC0" w:rsidRDefault="00AA23DA" w:rsidP="00392769">
            <w:pPr>
              <w:jc w:val="left"/>
              <w:rPr>
                <w:rFonts w:cs="Arial"/>
                <w:sz w:val="18"/>
                <w:szCs w:val="18"/>
              </w:rPr>
            </w:pPr>
            <w:r w:rsidRPr="00545EC0">
              <w:rPr>
                <w:rFonts w:cs="Arial"/>
                <w:sz w:val="18"/>
                <w:szCs w:val="18"/>
              </w:rPr>
              <w:t>Goričko</w:t>
            </w:r>
          </w:p>
        </w:tc>
        <w:tc>
          <w:tcPr>
            <w:tcW w:w="524" w:type="pct"/>
            <w:vAlign w:val="center"/>
          </w:tcPr>
          <w:p w14:paraId="7656386A" w14:textId="77777777" w:rsidR="00AA23DA" w:rsidRPr="00545EC0" w:rsidRDefault="00AA23DA" w:rsidP="00392769">
            <w:pPr>
              <w:jc w:val="center"/>
              <w:rPr>
                <w:rFonts w:cs="Arial"/>
                <w:sz w:val="18"/>
                <w:szCs w:val="18"/>
              </w:rPr>
            </w:pPr>
            <w:r w:rsidRPr="00545EC0">
              <w:rPr>
                <w:rFonts w:cs="Arial"/>
                <w:sz w:val="18"/>
                <w:szCs w:val="18"/>
              </w:rPr>
              <w:t>Donava</w:t>
            </w:r>
          </w:p>
        </w:tc>
        <w:tc>
          <w:tcPr>
            <w:tcW w:w="403" w:type="pct"/>
            <w:shd w:val="clear" w:color="auto" w:fill="auto"/>
            <w:noWrap/>
            <w:vAlign w:val="center"/>
            <w:hideMark/>
          </w:tcPr>
          <w:p w14:paraId="64BF2594" w14:textId="77777777" w:rsidR="00AA23DA" w:rsidRPr="00545EC0" w:rsidRDefault="00AA23DA" w:rsidP="00392769">
            <w:pPr>
              <w:jc w:val="center"/>
              <w:rPr>
                <w:rFonts w:cs="Arial"/>
                <w:sz w:val="18"/>
                <w:szCs w:val="18"/>
              </w:rPr>
            </w:pPr>
            <w:r w:rsidRPr="00545EC0">
              <w:rPr>
                <w:rFonts w:cs="Arial"/>
                <w:sz w:val="18"/>
                <w:szCs w:val="18"/>
              </w:rPr>
              <w:t>2</w:t>
            </w:r>
          </w:p>
        </w:tc>
        <w:tc>
          <w:tcPr>
            <w:tcW w:w="403" w:type="pct"/>
            <w:shd w:val="clear" w:color="auto" w:fill="auto"/>
            <w:noWrap/>
            <w:vAlign w:val="center"/>
            <w:hideMark/>
          </w:tcPr>
          <w:p w14:paraId="14118E56" w14:textId="77777777" w:rsidR="00AA23DA" w:rsidRPr="00545EC0" w:rsidRDefault="00AA23DA" w:rsidP="00392769">
            <w:pPr>
              <w:jc w:val="center"/>
              <w:rPr>
                <w:rFonts w:cs="Arial"/>
                <w:sz w:val="18"/>
                <w:szCs w:val="18"/>
              </w:rPr>
            </w:pPr>
            <w:r w:rsidRPr="00545EC0">
              <w:rPr>
                <w:rFonts w:cs="Arial"/>
                <w:sz w:val="18"/>
                <w:szCs w:val="18"/>
              </w:rPr>
              <w:t>2</w:t>
            </w:r>
          </w:p>
        </w:tc>
        <w:tc>
          <w:tcPr>
            <w:tcW w:w="403" w:type="pct"/>
            <w:shd w:val="clear" w:color="auto" w:fill="auto"/>
            <w:noWrap/>
            <w:vAlign w:val="center"/>
            <w:hideMark/>
          </w:tcPr>
          <w:p w14:paraId="008E3E7B" w14:textId="77777777" w:rsidR="00AA23DA" w:rsidRPr="00545EC0" w:rsidRDefault="00AA23DA" w:rsidP="00392769">
            <w:pPr>
              <w:jc w:val="center"/>
              <w:rPr>
                <w:rFonts w:cs="Arial"/>
                <w:sz w:val="18"/>
                <w:szCs w:val="18"/>
              </w:rPr>
            </w:pPr>
            <w:r w:rsidRPr="00545EC0">
              <w:rPr>
                <w:rFonts w:cs="Arial"/>
                <w:sz w:val="18"/>
                <w:szCs w:val="18"/>
              </w:rPr>
              <w:t>2</w:t>
            </w:r>
          </w:p>
        </w:tc>
      </w:tr>
      <w:tr w:rsidR="00AA23DA" w:rsidRPr="00545EC0" w14:paraId="07C10A0D" w14:textId="77777777" w:rsidTr="001000DC">
        <w:trPr>
          <w:trHeight w:val="284"/>
        </w:trPr>
        <w:tc>
          <w:tcPr>
            <w:tcW w:w="3792" w:type="pct"/>
            <w:gridSpan w:val="3"/>
            <w:shd w:val="clear" w:color="auto" w:fill="auto"/>
            <w:noWrap/>
            <w:vAlign w:val="center"/>
            <w:hideMark/>
          </w:tcPr>
          <w:p w14:paraId="48F1896E" w14:textId="77777777" w:rsidR="00AA23DA" w:rsidRPr="00545EC0" w:rsidRDefault="00AA23DA" w:rsidP="00392769">
            <w:pPr>
              <w:jc w:val="right"/>
              <w:rPr>
                <w:rFonts w:cs="Arial"/>
                <w:sz w:val="18"/>
                <w:szCs w:val="18"/>
              </w:rPr>
            </w:pPr>
            <w:r w:rsidRPr="00545EC0">
              <w:rPr>
                <w:rFonts w:cs="Arial"/>
                <w:sz w:val="18"/>
                <w:szCs w:val="18"/>
              </w:rPr>
              <w:t>SKUPAJ</w:t>
            </w:r>
          </w:p>
        </w:tc>
        <w:tc>
          <w:tcPr>
            <w:tcW w:w="403" w:type="pct"/>
            <w:shd w:val="clear" w:color="auto" w:fill="auto"/>
            <w:noWrap/>
            <w:vAlign w:val="center"/>
            <w:hideMark/>
          </w:tcPr>
          <w:p w14:paraId="753226C9" w14:textId="77777777" w:rsidR="00AA23DA" w:rsidRPr="00545EC0" w:rsidRDefault="00AA23DA" w:rsidP="00392769">
            <w:pPr>
              <w:jc w:val="center"/>
              <w:rPr>
                <w:rFonts w:cs="Arial"/>
                <w:sz w:val="18"/>
                <w:szCs w:val="18"/>
              </w:rPr>
            </w:pPr>
            <w:r w:rsidRPr="00545EC0">
              <w:rPr>
                <w:rFonts w:cs="Arial"/>
                <w:sz w:val="18"/>
                <w:szCs w:val="18"/>
              </w:rPr>
              <w:t>93</w:t>
            </w:r>
          </w:p>
        </w:tc>
        <w:tc>
          <w:tcPr>
            <w:tcW w:w="403" w:type="pct"/>
            <w:shd w:val="clear" w:color="auto" w:fill="auto"/>
            <w:noWrap/>
            <w:vAlign w:val="center"/>
            <w:hideMark/>
          </w:tcPr>
          <w:p w14:paraId="2006E774" w14:textId="77777777" w:rsidR="00AA23DA" w:rsidRPr="00545EC0" w:rsidRDefault="00AA23DA" w:rsidP="00392769">
            <w:pPr>
              <w:jc w:val="center"/>
              <w:rPr>
                <w:rFonts w:cs="Arial"/>
                <w:sz w:val="18"/>
                <w:szCs w:val="18"/>
              </w:rPr>
            </w:pPr>
            <w:r w:rsidRPr="00545EC0">
              <w:rPr>
                <w:rFonts w:cs="Arial"/>
                <w:sz w:val="18"/>
                <w:szCs w:val="18"/>
              </w:rPr>
              <w:t>160</w:t>
            </w:r>
          </w:p>
        </w:tc>
        <w:tc>
          <w:tcPr>
            <w:tcW w:w="403" w:type="pct"/>
            <w:shd w:val="clear" w:color="auto" w:fill="auto"/>
            <w:noWrap/>
            <w:vAlign w:val="center"/>
            <w:hideMark/>
          </w:tcPr>
          <w:p w14:paraId="43EA1F56" w14:textId="77777777" w:rsidR="00AA23DA" w:rsidRPr="00545EC0" w:rsidRDefault="00AA23DA" w:rsidP="00392769">
            <w:pPr>
              <w:jc w:val="center"/>
              <w:rPr>
                <w:rFonts w:cs="Arial"/>
                <w:sz w:val="18"/>
                <w:szCs w:val="18"/>
              </w:rPr>
            </w:pPr>
            <w:r w:rsidRPr="00545EC0">
              <w:rPr>
                <w:rFonts w:cs="Arial"/>
                <w:sz w:val="18"/>
                <w:szCs w:val="18"/>
              </w:rPr>
              <w:t>203</w:t>
            </w:r>
          </w:p>
        </w:tc>
      </w:tr>
    </w:tbl>
    <w:p w14:paraId="13AB461A" w14:textId="77777777" w:rsidR="00AA23DA" w:rsidRPr="00545EC0" w:rsidRDefault="00AA23DA" w:rsidP="00392769">
      <w:pPr>
        <w:rPr>
          <w:rFonts w:cs="Arial"/>
          <w:szCs w:val="22"/>
        </w:rPr>
      </w:pPr>
    </w:p>
    <w:p w14:paraId="2CAD21D2" w14:textId="77777777" w:rsidR="00AA23DA" w:rsidRPr="00545EC0" w:rsidRDefault="00AA23DA" w:rsidP="00392769">
      <w:pPr>
        <w:rPr>
          <w:rFonts w:cs="Arial"/>
        </w:rPr>
      </w:pPr>
      <w:r w:rsidRPr="00545EC0">
        <w:rPr>
          <w:rFonts w:cs="Arial"/>
        </w:rPr>
        <w:t>Mreža je gostejša na aluvialnih vodnih telesih, ki so zaradi intenzivnih človekovih dejavnosti (kmetijstvo, urbanizacija, industrija….) bolj obremenjena. Gostota mreže na ostalih vodnih telesih je manjša.</w:t>
      </w:r>
    </w:p>
    <w:p w14:paraId="08F74EFB" w14:textId="77777777" w:rsidR="00AA23DA" w:rsidRPr="00545EC0" w:rsidRDefault="00AA23DA" w:rsidP="00392769">
      <w:pPr>
        <w:rPr>
          <w:rFonts w:cs="Arial"/>
        </w:rPr>
      </w:pPr>
    </w:p>
    <w:p w14:paraId="129DB6EC" w14:textId="43BFFECB" w:rsidR="00AA23DA" w:rsidRPr="00545EC0" w:rsidRDefault="00AA23DA" w:rsidP="00392769">
      <w:pPr>
        <w:rPr>
          <w:rFonts w:cs="Arial"/>
        </w:rPr>
      </w:pPr>
      <w:r w:rsidRPr="00545EC0">
        <w:rPr>
          <w:rFonts w:cs="Arial"/>
        </w:rPr>
        <w:t>Pogostost vzorčenja na aluvialnih ter na kraških in razpoklinskih vodonosnikih je bila 2-krat letno. V vzorcih je bilo analiziranih do 180 parametrov</w:t>
      </w:r>
      <w:r w:rsidR="00D97D42" w:rsidRPr="00545EC0">
        <w:rPr>
          <w:rFonts w:cs="Arial"/>
        </w:rPr>
        <w:t>.</w:t>
      </w:r>
      <w:r w:rsidRPr="00545EC0">
        <w:rPr>
          <w:rFonts w:cs="Arial"/>
        </w:rPr>
        <w:t>. Minimalni izbor je obsegal osnovne fizikalne in kemijske parametre ter kovine. V nadzornem monitoringu v letu 2016 pa je bil v program vključen najširši nabor parametrov. Glavne skupine analiziranih parametrov so sledeče:</w:t>
      </w:r>
    </w:p>
    <w:p w14:paraId="477F3701" w14:textId="09E0AA48" w:rsidR="00AA23DA" w:rsidRPr="00545EC0" w:rsidRDefault="00C761C2" w:rsidP="00DD37C5">
      <w:pPr>
        <w:numPr>
          <w:ilvl w:val="0"/>
          <w:numId w:val="103"/>
        </w:numPr>
        <w:overflowPunct/>
        <w:autoSpaceDE/>
        <w:autoSpaceDN/>
        <w:adjustRightInd/>
        <w:spacing w:line="240" w:lineRule="auto"/>
        <w:contextualSpacing/>
        <w:textAlignment w:val="auto"/>
        <w:rPr>
          <w:rFonts w:cs="Arial"/>
        </w:rPr>
      </w:pPr>
      <w:r w:rsidRPr="00545EC0">
        <w:rPr>
          <w:rFonts w:cs="Arial"/>
        </w:rPr>
        <w:t>o</w:t>
      </w:r>
      <w:r w:rsidR="00AA23DA" w:rsidRPr="00545EC0">
        <w:rPr>
          <w:rFonts w:cs="Arial"/>
        </w:rPr>
        <w:t>snovni fizikalni in kemijski parametri</w:t>
      </w:r>
      <w:r w:rsidR="00164188" w:rsidRPr="00545EC0">
        <w:rPr>
          <w:rFonts w:cs="Arial"/>
        </w:rPr>
        <w:t>,</w:t>
      </w:r>
    </w:p>
    <w:p w14:paraId="766DEED6" w14:textId="0AF14B2D" w:rsidR="00AA23DA" w:rsidRPr="00545EC0" w:rsidRDefault="00C761C2" w:rsidP="00DD37C5">
      <w:pPr>
        <w:numPr>
          <w:ilvl w:val="0"/>
          <w:numId w:val="103"/>
        </w:numPr>
        <w:overflowPunct/>
        <w:autoSpaceDE/>
        <w:autoSpaceDN/>
        <w:adjustRightInd/>
        <w:spacing w:line="240" w:lineRule="auto"/>
        <w:contextualSpacing/>
        <w:textAlignment w:val="auto"/>
        <w:rPr>
          <w:rFonts w:cs="Arial"/>
        </w:rPr>
      </w:pPr>
      <w:r w:rsidRPr="00545EC0">
        <w:rPr>
          <w:rFonts w:cs="Arial"/>
        </w:rPr>
        <w:t>s</w:t>
      </w:r>
      <w:r w:rsidR="00AA23DA" w:rsidRPr="00545EC0">
        <w:rPr>
          <w:rFonts w:cs="Arial"/>
        </w:rPr>
        <w:t>kupinski parametri onesnaženja (PCB)</w:t>
      </w:r>
      <w:r w:rsidR="00164188" w:rsidRPr="00545EC0">
        <w:rPr>
          <w:rFonts w:cs="Arial"/>
        </w:rPr>
        <w:t>,</w:t>
      </w:r>
    </w:p>
    <w:p w14:paraId="727080E6" w14:textId="65DDA79B" w:rsidR="00AA23DA" w:rsidRPr="00545EC0" w:rsidRDefault="00C761C2" w:rsidP="00DD37C5">
      <w:pPr>
        <w:numPr>
          <w:ilvl w:val="0"/>
          <w:numId w:val="103"/>
        </w:numPr>
        <w:overflowPunct/>
        <w:autoSpaceDE/>
        <w:autoSpaceDN/>
        <w:adjustRightInd/>
        <w:spacing w:line="240" w:lineRule="auto"/>
        <w:contextualSpacing/>
        <w:textAlignment w:val="auto"/>
        <w:rPr>
          <w:rFonts w:cs="Arial"/>
        </w:rPr>
      </w:pPr>
      <w:r w:rsidRPr="00545EC0">
        <w:rPr>
          <w:rFonts w:cs="Arial"/>
        </w:rPr>
        <w:t>k</w:t>
      </w:r>
      <w:r w:rsidR="00AA23DA" w:rsidRPr="00545EC0">
        <w:rPr>
          <w:rFonts w:cs="Arial"/>
        </w:rPr>
        <w:t>ovine</w:t>
      </w:r>
      <w:r w:rsidR="00164188" w:rsidRPr="00545EC0">
        <w:rPr>
          <w:rFonts w:cs="Arial"/>
        </w:rPr>
        <w:t>,</w:t>
      </w:r>
    </w:p>
    <w:p w14:paraId="610DECD1" w14:textId="0373D03C" w:rsidR="00AA23DA" w:rsidRPr="00545EC0" w:rsidRDefault="00C761C2" w:rsidP="00DD37C5">
      <w:pPr>
        <w:numPr>
          <w:ilvl w:val="0"/>
          <w:numId w:val="103"/>
        </w:numPr>
        <w:overflowPunct/>
        <w:autoSpaceDE/>
        <w:autoSpaceDN/>
        <w:adjustRightInd/>
        <w:spacing w:line="240" w:lineRule="auto"/>
        <w:contextualSpacing/>
        <w:textAlignment w:val="auto"/>
        <w:rPr>
          <w:rFonts w:cs="Arial"/>
        </w:rPr>
      </w:pPr>
      <w:r w:rsidRPr="00545EC0">
        <w:rPr>
          <w:rFonts w:cs="Arial"/>
        </w:rPr>
        <w:t>p</w:t>
      </w:r>
      <w:r w:rsidR="00AA23DA" w:rsidRPr="00545EC0">
        <w:rPr>
          <w:rFonts w:cs="Arial"/>
        </w:rPr>
        <w:t>esticidi</w:t>
      </w:r>
      <w:r w:rsidR="00E1627C" w:rsidRPr="00545EC0">
        <w:rPr>
          <w:rFonts w:cs="Arial"/>
        </w:rPr>
        <w:t xml:space="preserve"> (fitofarmacevtska sredstva in biocidi)</w:t>
      </w:r>
      <w:r w:rsidR="00164188" w:rsidRPr="00545EC0">
        <w:rPr>
          <w:rFonts w:cs="Arial"/>
        </w:rPr>
        <w:t xml:space="preserve"> in</w:t>
      </w:r>
    </w:p>
    <w:p w14:paraId="6E42F21A" w14:textId="0D0848FE" w:rsidR="00AA23DA" w:rsidRPr="00545EC0" w:rsidRDefault="00C761C2" w:rsidP="00DD37C5">
      <w:pPr>
        <w:numPr>
          <w:ilvl w:val="0"/>
          <w:numId w:val="103"/>
        </w:numPr>
        <w:overflowPunct/>
        <w:autoSpaceDE/>
        <w:autoSpaceDN/>
        <w:adjustRightInd/>
        <w:spacing w:line="240" w:lineRule="auto"/>
        <w:contextualSpacing/>
        <w:textAlignment w:val="auto"/>
        <w:rPr>
          <w:rFonts w:cs="Arial"/>
        </w:rPr>
      </w:pPr>
      <w:r w:rsidRPr="00545EC0">
        <w:rPr>
          <w:rFonts w:cs="Arial"/>
        </w:rPr>
        <w:t>l</w:t>
      </w:r>
      <w:r w:rsidR="00AA23DA" w:rsidRPr="00545EC0">
        <w:rPr>
          <w:rFonts w:cs="Arial"/>
        </w:rPr>
        <w:t>ahkohlapni halogenirani ogljikovodiki (LHCH)</w:t>
      </w:r>
      <w:r w:rsidR="00164188" w:rsidRPr="00545EC0">
        <w:rPr>
          <w:rFonts w:cs="Arial"/>
        </w:rPr>
        <w:t>.</w:t>
      </w:r>
    </w:p>
    <w:p w14:paraId="194ECA08" w14:textId="77777777" w:rsidR="00AA23DA" w:rsidRPr="00545EC0" w:rsidRDefault="00AA23DA" w:rsidP="00392769">
      <w:pPr>
        <w:rPr>
          <w:rFonts w:cs="Arial"/>
        </w:rPr>
      </w:pPr>
    </w:p>
    <w:p w14:paraId="403C1E69" w14:textId="498F8556" w:rsidR="00AA23DA" w:rsidRPr="00545EC0" w:rsidRDefault="00AA23DA" w:rsidP="00392769">
      <w:pPr>
        <w:rPr>
          <w:rFonts w:cs="Arial"/>
        </w:rPr>
      </w:pPr>
      <w:r w:rsidRPr="00545EC0">
        <w:rPr>
          <w:rFonts w:cs="Arial"/>
        </w:rPr>
        <w:t xml:space="preserve">Od leta 2014 </w:t>
      </w:r>
      <w:r w:rsidR="00064574" w:rsidRPr="00545EC0">
        <w:rPr>
          <w:rFonts w:cs="Arial"/>
        </w:rPr>
        <w:t xml:space="preserve">se </w:t>
      </w:r>
      <w:r w:rsidRPr="00545EC0">
        <w:rPr>
          <w:rFonts w:cs="Arial"/>
        </w:rPr>
        <w:t xml:space="preserve">v nabor parametrov </w:t>
      </w:r>
      <w:r w:rsidR="00064574" w:rsidRPr="00545EC0">
        <w:rPr>
          <w:rFonts w:cs="Arial"/>
        </w:rPr>
        <w:t>za spremljanje stanja voda</w:t>
      </w:r>
      <w:r w:rsidR="00D97D42" w:rsidRPr="00545EC0">
        <w:rPr>
          <w:rFonts w:cs="Arial"/>
        </w:rPr>
        <w:t xml:space="preserve"> </w:t>
      </w:r>
      <w:r w:rsidRPr="00545EC0">
        <w:rPr>
          <w:rFonts w:cs="Arial"/>
        </w:rPr>
        <w:t>vključ</w:t>
      </w:r>
      <w:r w:rsidR="00064574" w:rsidRPr="00545EC0">
        <w:rPr>
          <w:rFonts w:cs="Arial"/>
        </w:rPr>
        <w:t>uje</w:t>
      </w:r>
      <w:r w:rsidRPr="00545EC0">
        <w:rPr>
          <w:rFonts w:cs="Arial"/>
        </w:rPr>
        <w:t xml:space="preserve"> tudi novodobna onesnaževala (</w:t>
      </w:r>
      <w:r w:rsidR="00064574" w:rsidRPr="00545EC0">
        <w:rPr>
          <w:rFonts w:cs="Arial"/>
        </w:rPr>
        <w:t xml:space="preserve">na primer </w:t>
      </w:r>
      <w:r w:rsidRPr="00545EC0">
        <w:rPr>
          <w:rFonts w:cs="Arial"/>
        </w:rPr>
        <w:t>ostank</w:t>
      </w:r>
      <w:r w:rsidR="002B3224" w:rsidRPr="00545EC0">
        <w:rPr>
          <w:rFonts w:cs="Arial"/>
        </w:rPr>
        <w:t>e</w:t>
      </w:r>
      <w:r w:rsidRPr="00545EC0">
        <w:rPr>
          <w:rFonts w:cs="Arial"/>
        </w:rPr>
        <w:t xml:space="preserve"> zdravil, </w:t>
      </w:r>
      <w:r w:rsidR="00C761C2" w:rsidRPr="00545EC0">
        <w:rPr>
          <w:rFonts w:cs="Arial"/>
        </w:rPr>
        <w:t>perfluorooktan sulfonat</w:t>
      </w:r>
      <w:r w:rsidR="002B3224" w:rsidRPr="00545EC0">
        <w:rPr>
          <w:rFonts w:cs="Arial"/>
        </w:rPr>
        <w:t>e</w:t>
      </w:r>
      <w:r w:rsidR="0059464F" w:rsidRPr="00545EC0">
        <w:rPr>
          <w:rFonts w:cs="Arial"/>
        </w:rPr>
        <w:t>.</w:t>
      </w:r>
      <w:r w:rsidRPr="00545EC0">
        <w:rPr>
          <w:rFonts w:cs="Arial"/>
        </w:rPr>
        <w:t>..).</w:t>
      </w:r>
    </w:p>
    <w:p w14:paraId="65D8868B" w14:textId="342E9481" w:rsidR="00AA23DA" w:rsidRPr="00545EC0" w:rsidRDefault="00AA23DA" w:rsidP="0061507B">
      <w:pPr>
        <w:pStyle w:val="Naslov4"/>
        <w:rPr>
          <w:color w:val="auto"/>
          <w:szCs w:val="26"/>
        </w:rPr>
      </w:pPr>
      <w:bookmarkStart w:id="575" w:name="_Toc75763746"/>
      <w:r w:rsidRPr="00545EC0">
        <w:rPr>
          <w:color w:val="auto"/>
          <w:szCs w:val="26"/>
        </w:rPr>
        <w:lastRenderedPageBreak/>
        <w:t>Ocena kemijskega stanja podzemne vode</w:t>
      </w:r>
      <w:bookmarkEnd w:id="575"/>
    </w:p>
    <w:p w14:paraId="3EAE7FB4" w14:textId="577BA396" w:rsidR="00AA23DA" w:rsidRPr="00545EC0" w:rsidRDefault="00AA23DA" w:rsidP="00AA23DA">
      <w:pPr>
        <w:rPr>
          <w:rFonts w:cs="Arial"/>
        </w:rPr>
      </w:pPr>
      <w:r w:rsidRPr="00545EC0">
        <w:rPr>
          <w:rFonts w:cs="Arial"/>
        </w:rPr>
        <w:t xml:space="preserve">Kemijsko stanje podzemne vode je ocenjeno v skladu s kriteriji za oceno kemijskega stanja </w:t>
      </w:r>
      <w:r w:rsidR="002B3224" w:rsidRPr="00545EC0">
        <w:rPr>
          <w:rFonts w:cs="Arial"/>
        </w:rPr>
        <w:t xml:space="preserve">iz predpisa, ki ureja </w:t>
      </w:r>
      <w:r w:rsidRPr="00545EC0">
        <w:rPr>
          <w:rFonts w:cs="Arial"/>
        </w:rPr>
        <w:t>stanj</w:t>
      </w:r>
      <w:r w:rsidR="002B3224" w:rsidRPr="00545EC0">
        <w:rPr>
          <w:rFonts w:cs="Arial"/>
        </w:rPr>
        <w:t>e</w:t>
      </w:r>
      <w:r w:rsidRPr="00545EC0">
        <w:rPr>
          <w:rFonts w:cs="Arial"/>
        </w:rPr>
        <w:t xml:space="preserve"> podzemnih voda</w:t>
      </w:r>
      <w:r w:rsidR="0059464F" w:rsidRPr="00545EC0">
        <w:rPr>
          <w:rFonts w:cs="Arial"/>
        </w:rPr>
        <w:t>.</w:t>
      </w:r>
      <w:r w:rsidRPr="00545EC0">
        <w:rPr>
          <w:rFonts w:cs="Arial"/>
        </w:rPr>
        <w:t xml:space="preserve"> </w:t>
      </w:r>
    </w:p>
    <w:p w14:paraId="4765E3DF" w14:textId="77777777" w:rsidR="00AA23DA" w:rsidRPr="00545EC0" w:rsidRDefault="00AA23DA" w:rsidP="00AA23DA">
      <w:pPr>
        <w:rPr>
          <w:rFonts w:cs="Arial"/>
        </w:rPr>
      </w:pPr>
    </w:p>
    <w:p w14:paraId="2AE3C6CB" w14:textId="77777777" w:rsidR="00AA23DA" w:rsidRPr="00545EC0" w:rsidRDefault="00AA23DA" w:rsidP="0059464F">
      <w:pPr>
        <w:spacing w:line="276" w:lineRule="auto"/>
        <w:rPr>
          <w:rFonts w:cs="Arial"/>
        </w:rPr>
      </w:pPr>
      <w:r w:rsidRPr="00545EC0">
        <w:rPr>
          <w:rFonts w:cs="Arial"/>
        </w:rPr>
        <w:t>Vodno telo podzemne vode je bilo ocenjeno z dobrim kemijskim stanjem, če:</w:t>
      </w:r>
    </w:p>
    <w:p w14:paraId="7F4E18FB" w14:textId="77777777" w:rsidR="00AA23DA" w:rsidRPr="00545EC0" w:rsidRDefault="00AA23DA" w:rsidP="0059464F">
      <w:pPr>
        <w:numPr>
          <w:ilvl w:val="0"/>
          <w:numId w:val="25"/>
        </w:numPr>
        <w:tabs>
          <w:tab w:val="num" w:pos="284"/>
        </w:tabs>
        <w:overflowPunct/>
        <w:autoSpaceDE/>
        <w:autoSpaceDN/>
        <w:adjustRightInd/>
        <w:spacing w:line="276" w:lineRule="auto"/>
        <w:ind w:left="284" w:hanging="284"/>
        <w:textAlignment w:val="auto"/>
        <w:rPr>
          <w:rFonts w:cs="Arial"/>
        </w:rPr>
      </w:pPr>
      <w:r w:rsidRPr="00545EC0">
        <w:rPr>
          <w:rFonts w:cs="Arial"/>
        </w:rPr>
        <w:t>je bila kemijska sestava podzemne vode takšna, da na nobenem merilnem mestu letna aritmetična srednja vrednost nobenega izmed parametrov podzemne vode ni presegla standardov kakovosti in vrednosti praga,</w:t>
      </w:r>
    </w:p>
    <w:p w14:paraId="72216112" w14:textId="77777777" w:rsidR="00AA23DA" w:rsidRPr="00545EC0" w:rsidRDefault="00AA23DA" w:rsidP="0059464F">
      <w:pPr>
        <w:numPr>
          <w:ilvl w:val="0"/>
          <w:numId w:val="25"/>
        </w:numPr>
        <w:tabs>
          <w:tab w:val="num" w:pos="284"/>
        </w:tabs>
        <w:overflowPunct/>
        <w:autoSpaceDE/>
        <w:autoSpaceDN/>
        <w:adjustRightInd/>
        <w:spacing w:line="276" w:lineRule="auto"/>
        <w:ind w:left="284" w:hanging="284"/>
        <w:textAlignment w:val="auto"/>
        <w:rPr>
          <w:rFonts w:cs="Arial"/>
        </w:rPr>
      </w:pPr>
      <w:r w:rsidRPr="00545EC0">
        <w:rPr>
          <w:rFonts w:cs="Arial"/>
        </w:rPr>
        <w:t>koncentracije onesnaževal ne:</w:t>
      </w:r>
    </w:p>
    <w:p w14:paraId="0595F48A" w14:textId="77777777" w:rsidR="00AA23DA" w:rsidRPr="00545EC0" w:rsidRDefault="00AA23DA" w:rsidP="0059464F">
      <w:pPr>
        <w:numPr>
          <w:ilvl w:val="1"/>
          <w:numId w:val="26"/>
        </w:numPr>
        <w:tabs>
          <w:tab w:val="num" w:pos="567"/>
        </w:tabs>
        <w:overflowPunct/>
        <w:autoSpaceDE/>
        <w:autoSpaceDN/>
        <w:adjustRightInd/>
        <w:spacing w:line="276" w:lineRule="auto"/>
        <w:ind w:left="567" w:hanging="283"/>
        <w:textAlignment w:val="auto"/>
        <w:rPr>
          <w:rFonts w:cs="Arial"/>
        </w:rPr>
      </w:pPr>
      <w:r w:rsidRPr="00545EC0">
        <w:rPr>
          <w:rFonts w:cs="Arial"/>
        </w:rPr>
        <w:t>izkazujejo vdorov morske vode ali drugih vdorov vode slabe kakovosti v vodno telo podzemne vode,</w:t>
      </w:r>
    </w:p>
    <w:p w14:paraId="64D3157E" w14:textId="77777777" w:rsidR="00AA23DA" w:rsidRPr="00545EC0" w:rsidRDefault="00AA23DA" w:rsidP="0059464F">
      <w:pPr>
        <w:numPr>
          <w:ilvl w:val="1"/>
          <w:numId w:val="26"/>
        </w:numPr>
        <w:tabs>
          <w:tab w:val="num" w:pos="567"/>
        </w:tabs>
        <w:overflowPunct/>
        <w:autoSpaceDE/>
        <w:autoSpaceDN/>
        <w:adjustRightInd/>
        <w:spacing w:line="276" w:lineRule="auto"/>
        <w:ind w:left="567" w:hanging="283"/>
        <w:textAlignment w:val="auto"/>
        <w:rPr>
          <w:rFonts w:cs="Arial"/>
        </w:rPr>
      </w:pPr>
      <w:r w:rsidRPr="00545EC0">
        <w:rPr>
          <w:rFonts w:cs="Arial"/>
        </w:rPr>
        <w:t xml:space="preserve">poslabšajo ekološkega in kemijskega stanja površinskih voda, ki so povezane z vodnim telesom podzemne vode, </w:t>
      </w:r>
    </w:p>
    <w:p w14:paraId="10EC67EE" w14:textId="07261D88" w:rsidR="00AA23DA" w:rsidRPr="00545EC0" w:rsidRDefault="00AA23DA" w:rsidP="0059464F">
      <w:pPr>
        <w:numPr>
          <w:ilvl w:val="1"/>
          <w:numId w:val="26"/>
        </w:numPr>
        <w:tabs>
          <w:tab w:val="num" w:pos="567"/>
        </w:tabs>
        <w:overflowPunct/>
        <w:autoSpaceDE/>
        <w:autoSpaceDN/>
        <w:adjustRightInd/>
        <w:spacing w:line="276" w:lineRule="auto"/>
        <w:ind w:left="567" w:hanging="283"/>
        <w:textAlignment w:val="auto"/>
        <w:rPr>
          <w:rFonts w:cs="Arial"/>
        </w:rPr>
      </w:pPr>
      <w:r w:rsidRPr="00545EC0">
        <w:rPr>
          <w:rFonts w:cs="Arial"/>
        </w:rPr>
        <w:t>poškodujejo vodnih in kopenskih ekosistemov, ki so neposredno odvisni od telesa podzemne vode</w:t>
      </w:r>
      <w:r w:rsidR="00164188" w:rsidRPr="00545EC0">
        <w:rPr>
          <w:rFonts w:cs="Arial"/>
        </w:rPr>
        <w:t xml:space="preserve"> in</w:t>
      </w:r>
    </w:p>
    <w:p w14:paraId="585BD12D" w14:textId="77777777" w:rsidR="00AA23DA" w:rsidRPr="00545EC0" w:rsidRDefault="00AA23DA" w:rsidP="0059464F">
      <w:pPr>
        <w:numPr>
          <w:ilvl w:val="1"/>
          <w:numId w:val="26"/>
        </w:numPr>
        <w:tabs>
          <w:tab w:val="num" w:pos="567"/>
        </w:tabs>
        <w:overflowPunct/>
        <w:autoSpaceDE/>
        <w:autoSpaceDN/>
        <w:adjustRightInd/>
        <w:spacing w:line="276" w:lineRule="auto"/>
        <w:ind w:left="567" w:hanging="283"/>
        <w:textAlignment w:val="auto"/>
        <w:rPr>
          <w:rFonts w:cs="Arial"/>
        </w:rPr>
      </w:pPr>
      <w:r w:rsidRPr="00545EC0">
        <w:rPr>
          <w:rFonts w:cs="Arial"/>
        </w:rPr>
        <w:t>povzročajo višje stopnje obdelave vira pitne vode.</w:t>
      </w:r>
    </w:p>
    <w:p w14:paraId="5574A2A2" w14:textId="77777777" w:rsidR="00AA23DA" w:rsidRPr="00545EC0" w:rsidRDefault="00AA23DA" w:rsidP="0059464F">
      <w:pPr>
        <w:spacing w:line="240" w:lineRule="auto"/>
        <w:rPr>
          <w:rFonts w:cs="Arial"/>
        </w:rPr>
      </w:pPr>
    </w:p>
    <w:p w14:paraId="76900148" w14:textId="53AA54B0" w:rsidR="00AA23DA" w:rsidRPr="00545EC0" w:rsidRDefault="00AA23DA" w:rsidP="00AA23DA">
      <w:pPr>
        <w:rPr>
          <w:rFonts w:cs="Arial"/>
        </w:rPr>
      </w:pPr>
      <w:r w:rsidRPr="00545EC0">
        <w:rPr>
          <w:rFonts w:cs="Arial"/>
        </w:rPr>
        <w:t xml:space="preserve">V kolikor je vodno telo ustrezalo vsem zahtevam iz druge </w:t>
      </w:r>
      <w:r w:rsidR="00C12042" w:rsidRPr="00545EC0">
        <w:rPr>
          <w:rFonts w:cs="Arial"/>
        </w:rPr>
        <w:t>alineje</w:t>
      </w:r>
      <w:r w:rsidRPr="00545EC0">
        <w:rPr>
          <w:rFonts w:cs="Arial"/>
        </w:rPr>
        <w:t xml:space="preserve"> prejšnjega odstavka, vrednost standarda kakovosti oz. vrednost praga pa je bila presežena na enem ali več merilnih mestih, </w:t>
      </w:r>
      <w:r w:rsidR="00E847C8" w:rsidRPr="00545EC0">
        <w:rPr>
          <w:rFonts w:cs="Arial"/>
        </w:rPr>
        <w:t xml:space="preserve">je bil </w:t>
      </w:r>
      <w:r w:rsidRPr="00545EC0">
        <w:rPr>
          <w:rFonts w:cs="Arial"/>
        </w:rPr>
        <w:t>izved</w:t>
      </w:r>
      <w:r w:rsidR="00E847C8" w:rsidRPr="00545EC0">
        <w:rPr>
          <w:rFonts w:cs="Arial"/>
        </w:rPr>
        <w:t>en</w:t>
      </w:r>
      <w:r w:rsidRPr="00545EC0">
        <w:rPr>
          <w:rFonts w:cs="Arial"/>
        </w:rPr>
        <w:t xml:space="preserve"> test t. i. splošne ocene kemijskega stanja. S testom splošnega ugotavljanja kemijskega stanja vodnega telesa podzemne vode kot celote, </w:t>
      </w:r>
      <w:r w:rsidR="00E847C8" w:rsidRPr="00545EC0">
        <w:rPr>
          <w:rFonts w:cs="Arial"/>
        </w:rPr>
        <w:t xml:space="preserve">je </w:t>
      </w:r>
      <w:r w:rsidRPr="00545EC0">
        <w:rPr>
          <w:rFonts w:cs="Arial"/>
        </w:rPr>
        <w:t>ocen</w:t>
      </w:r>
      <w:r w:rsidR="00E847C8" w:rsidRPr="00545EC0">
        <w:rPr>
          <w:rFonts w:cs="Arial"/>
        </w:rPr>
        <w:t>jen</w:t>
      </w:r>
      <w:r w:rsidRPr="00545EC0">
        <w:rPr>
          <w:rFonts w:cs="Arial"/>
        </w:rPr>
        <w:t xml:space="preserve"> obseg vodnega telesa podzemne vode s preseženimi standardi kakovosti in vrednostmi praga. Sprejemljivo preseganje standardov kakovosti oz. vrednosti praga je do 30% obsega celotnega vodnega telesa.</w:t>
      </w:r>
    </w:p>
    <w:p w14:paraId="0D8E1E98" w14:textId="77777777" w:rsidR="00AA23DA" w:rsidRPr="00545EC0" w:rsidRDefault="00AA23DA" w:rsidP="00AA23DA">
      <w:pPr>
        <w:rPr>
          <w:rFonts w:cs="Arial"/>
        </w:rPr>
      </w:pPr>
    </w:p>
    <w:p w14:paraId="2038753A" w14:textId="29465885" w:rsidR="00AA23DA" w:rsidRPr="00545EC0" w:rsidRDefault="00AA23DA" w:rsidP="00AA23DA">
      <w:pPr>
        <w:rPr>
          <w:rFonts w:cs="Arial"/>
        </w:rPr>
      </w:pPr>
      <w:r w:rsidRPr="00545EC0">
        <w:rPr>
          <w:rFonts w:cs="Arial"/>
        </w:rPr>
        <w:t xml:space="preserve">Vrednosti praga so določene v </w:t>
      </w:r>
      <w:r w:rsidR="0041257D" w:rsidRPr="00545EC0">
        <w:rPr>
          <w:rFonts w:cs="Arial"/>
        </w:rPr>
        <w:t xml:space="preserve">predpisu, ki ureja </w:t>
      </w:r>
      <w:r w:rsidRPr="00545EC0">
        <w:rPr>
          <w:rFonts w:cs="Arial"/>
        </w:rPr>
        <w:t>stanj</w:t>
      </w:r>
      <w:r w:rsidR="0041257D" w:rsidRPr="00545EC0">
        <w:rPr>
          <w:rFonts w:cs="Arial"/>
        </w:rPr>
        <w:t>e</w:t>
      </w:r>
      <w:r w:rsidRPr="00545EC0">
        <w:rPr>
          <w:rFonts w:cs="Arial"/>
        </w:rPr>
        <w:t xml:space="preserve"> podzemnih voda. Pri določitvi parametrov vrednosti praga je bil upoštevan minimalni seznam snovi iz </w:t>
      </w:r>
      <w:r w:rsidR="00BC4DA6" w:rsidRPr="00545EC0">
        <w:rPr>
          <w:rFonts w:cs="Arial"/>
        </w:rPr>
        <w:t xml:space="preserve">priloge 1 (del B) predpisa, ki ureja stanje podzemnih voda. </w:t>
      </w:r>
      <w:r w:rsidRPr="00545EC0">
        <w:rPr>
          <w:rFonts w:cs="Arial"/>
        </w:rPr>
        <w:t>Podlaga za določitev vrednosti praga je varstvo oz. raba podzemne vode kot vira pitne vode, zato so bil</w:t>
      </w:r>
      <w:r w:rsidR="00BC4DA6" w:rsidRPr="00545EC0">
        <w:rPr>
          <w:rFonts w:cs="Arial"/>
        </w:rPr>
        <w:t>e</w:t>
      </w:r>
      <w:r w:rsidRPr="00545EC0">
        <w:rPr>
          <w:rFonts w:cs="Arial"/>
        </w:rPr>
        <w:t xml:space="preserve"> </w:t>
      </w:r>
      <w:r w:rsidR="00BC4DA6" w:rsidRPr="00545EC0">
        <w:rPr>
          <w:rFonts w:cs="Arial"/>
        </w:rPr>
        <w:t xml:space="preserve"> kot vrednosti praga</w:t>
      </w:r>
      <w:r w:rsidRPr="00545EC0">
        <w:rPr>
          <w:rFonts w:cs="Arial"/>
        </w:rPr>
        <w:t xml:space="preserve"> v večji meri privzete mejne vrednosti </w:t>
      </w:r>
      <w:r w:rsidR="00BC4DA6" w:rsidRPr="00545EC0">
        <w:rPr>
          <w:rFonts w:cs="Arial"/>
        </w:rPr>
        <w:t xml:space="preserve">iz predpisa, ki ureja pitno vodo </w:t>
      </w:r>
      <w:r w:rsidRPr="00545EC0">
        <w:rPr>
          <w:rFonts w:cs="Arial"/>
        </w:rPr>
        <w:t xml:space="preserve">ali strožje. </w:t>
      </w:r>
    </w:p>
    <w:p w14:paraId="30F5FAE7" w14:textId="77777777" w:rsidR="00AA23DA" w:rsidRPr="00545EC0" w:rsidRDefault="00AA23DA" w:rsidP="00AA23DA">
      <w:pPr>
        <w:rPr>
          <w:rFonts w:cs="Arial"/>
        </w:rPr>
      </w:pPr>
    </w:p>
    <w:p w14:paraId="67A738AC" w14:textId="77777777" w:rsidR="00AA23DA" w:rsidRPr="00545EC0" w:rsidRDefault="00AA23DA" w:rsidP="00AA23DA">
      <w:pPr>
        <w:rPr>
          <w:rFonts w:cs="Arial"/>
        </w:rPr>
      </w:pPr>
      <w:r w:rsidRPr="00545EC0">
        <w:rPr>
          <w:rFonts w:cs="Arial"/>
        </w:rPr>
        <w:t>Pri oceni kemijskega stanja podzemne vode je podana tudi raven zaupanja ocene stanja vodnih teles podzemne vode. Z ravnijo zaupanja glede na celovito poznavanje problematike opredelimo zanesljivost ocene, ki jo izkazujejo podatki.</w:t>
      </w:r>
    </w:p>
    <w:p w14:paraId="655CE69D" w14:textId="77777777" w:rsidR="0041257D" w:rsidRPr="00545EC0" w:rsidRDefault="0041257D" w:rsidP="00AA23DA">
      <w:pPr>
        <w:rPr>
          <w:rFonts w:cs="Arial"/>
        </w:rPr>
      </w:pPr>
    </w:p>
    <w:p w14:paraId="153606A3" w14:textId="51C1FD01" w:rsidR="00AA23DA" w:rsidRPr="00545EC0" w:rsidRDefault="00AA23DA" w:rsidP="00AA23DA">
      <w:pPr>
        <w:rPr>
          <w:rFonts w:cs="Arial"/>
        </w:rPr>
      </w:pPr>
      <w:r w:rsidRPr="00545EC0">
        <w:rPr>
          <w:rFonts w:cs="Arial"/>
        </w:rPr>
        <w:t xml:space="preserve">Raven zaupanja ocene kemijskega stanja podzemne vode </w:t>
      </w:r>
      <w:r w:rsidR="00E847C8" w:rsidRPr="00545EC0">
        <w:rPr>
          <w:rFonts w:cs="Arial"/>
        </w:rPr>
        <w:t xml:space="preserve">je </w:t>
      </w:r>
      <w:r w:rsidRPr="00545EC0">
        <w:rPr>
          <w:rFonts w:cs="Arial"/>
        </w:rPr>
        <w:t>definira</w:t>
      </w:r>
      <w:r w:rsidR="00E847C8" w:rsidRPr="00545EC0">
        <w:rPr>
          <w:rFonts w:cs="Arial"/>
        </w:rPr>
        <w:t>na</w:t>
      </w:r>
      <w:r w:rsidRPr="00545EC0">
        <w:rPr>
          <w:rFonts w:cs="Arial"/>
        </w:rPr>
        <w:t xml:space="preserve"> s tristopenjsko lestvico: visoka, srednja ali nizka. Visoka raven zaupanja pomeni, da je ocena stanja zelo zanesljiva. Srednja in nizka raven zaupanja pa pomenita, da bodo potrebne dodatne meritve, novi, namenski hidrogeološki objekti in daljši nizi podatkov s katerimi bo ocena stanja dokončno potrjena. Pri vrednotenju slabše izdatnih in nezveznih vodonosnikov pa širitev mreže in ponavljanje meritev ni smiselno.</w:t>
      </w:r>
    </w:p>
    <w:p w14:paraId="3807F877" w14:textId="77777777" w:rsidR="0041257D" w:rsidRPr="00545EC0" w:rsidRDefault="0041257D" w:rsidP="00AA23DA">
      <w:pPr>
        <w:rPr>
          <w:rFonts w:cs="Arial"/>
        </w:rPr>
      </w:pPr>
    </w:p>
    <w:p w14:paraId="54A9611F" w14:textId="60688F04" w:rsidR="00AA23DA" w:rsidRPr="00545EC0" w:rsidRDefault="00AA23DA" w:rsidP="00AA23DA">
      <w:pPr>
        <w:rPr>
          <w:rFonts w:cs="Arial"/>
          <w:i/>
        </w:rPr>
      </w:pPr>
      <w:r w:rsidRPr="00545EC0">
        <w:rPr>
          <w:rFonts w:cs="Arial"/>
        </w:rPr>
        <w:t xml:space="preserve">Ocena kemijskega stanja vodnih teles podzemnih voda na vodnem območju Donave za obdobje 2014-2019 je prikazana v </w:t>
      </w:r>
      <w:r w:rsidR="00164188" w:rsidRPr="00545EC0">
        <w:rPr>
          <w:rFonts w:cs="Arial"/>
        </w:rPr>
        <w:t>preglednici (</w:t>
      </w:r>
      <w:r w:rsidR="001766FB" w:rsidRPr="00545EC0">
        <w:rPr>
          <w:rFonts w:cs="Arial"/>
        </w:rPr>
        <w:fldChar w:fldCharType="begin"/>
      </w:r>
      <w:r w:rsidR="001766FB" w:rsidRPr="00545EC0">
        <w:rPr>
          <w:rFonts w:cs="Arial"/>
        </w:rPr>
        <w:instrText xml:space="preserve"> REF _Ref75766739 \h  \* MERGEFORMAT </w:instrText>
      </w:r>
      <w:r w:rsidR="001766FB" w:rsidRPr="00545EC0">
        <w:rPr>
          <w:rFonts w:cs="Arial"/>
        </w:rPr>
      </w:r>
      <w:r w:rsidR="001766FB" w:rsidRPr="00545EC0">
        <w:rPr>
          <w:rFonts w:cs="Arial"/>
        </w:rPr>
        <w:fldChar w:fldCharType="separate"/>
      </w:r>
      <w:r w:rsidR="002F3E43" w:rsidRPr="00545EC0">
        <w:t xml:space="preserve">Preglednica </w:t>
      </w:r>
      <w:r w:rsidR="002F3E43">
        <w:rPr>
          <w:noProof/>
        </w:rPr>
        <w:t>3</w:t>
      </w:r>
      <w:r w:rsidR="002F3E43" w:rsidRPr="00545EC0">
        <w:rPr>
          <w:noProof/>
        </w:rPr>
        <w:noBreakHyphen/>
      </w:r>
      <w:r w:rsidR="002F3E43">
        <w:rPr>
          <w:noProof/>
        </w:rPr>
        <w:t>13</w:t>
      </w:r>
      <w:r w:rsidR="001766FB" w:rsidRPr="00545EC0">
        <w:rPr>
          <w:rFonts w:cs="Arial"/>
        </w:rPr>
        <w:fldChar w:fldCharType="end"/>
      </w:r>
      <w:r w:rsidR="00164188" w:rsidRPr="00545EC0">
        <w:rPr>
          <w:rFonts w:cs="Arial"/>
        </w:rPr>
        <w:t>)</w:t>
      </w:r>
      <w:r w:rsidRPr="00545EC0">
        <w:rPr>
          <w:rFonts w:cs="Arial"/>
        </w:rPr>
        <w:t xml:space="preserve"> in na</w:t>
      </w:r>
      <w:r w:rsidR="002B19AC" w:rsidRPr="00545EC0">
        <w:rPr>
          <w:rFonts w:cs="Arial"/>
        </w:rPr>
        <w:t xml:space="preserve"> publikacijski</w:t>
      </w:r>
      <w:r w:rsidRPr="00545EC0">
        <w:rPr>
          <w:rFonts w:cs="Arial"/>
        </w:rPr>
        <w:t xml:space="preserve"> karti</w:t>
      </w:r>
      <w:r w:rsidR="00164188" w:rsidRPr="00545EC0">
        <w:rPr>
          <w:rFonts w:cs="Arial"/>
        </w:rPr>
        <w:t xml:space="preserve"> </w:t>
      </w:r>
      <w:r w:rsidR="00164188" w:rsidRPr="00545EC0">
        <w:rPr>
          <w:rFonts w:cs="Arial"/>
          <w:i/>
        </w:rPr>
        <w:t>(Publikacijska karta</w:t>
      </w:r>
      <w:r w:rsidR="002B19AC" w:rsidRPr="00545EC0">
        <w:rPr>
          <w:rFonts w:cs="Arial"/>
          <w:i/>
        </w:rPr>
        <w:t xml:space="preserve"> 14.2</w:t>
      </w:r>
      <w:r w:rsidR="00164188" w:rsidRPr="00545EC0">
        <w:rPr>
          <w:rFonts w:cs="Arial"/>
          <w:i/>
        </w:rPr>
        <w:t>: Ocena kemijskega stanja podzemne vode).</w:t>
      </w:r>
    </w:p>
    <w:p w14:paraId="7094C3F2" w14:textId="77777777" w:rsidR="00AA23DA" w:rsidRPr="00545EC0" w:rsidRDefault="00AA23DA" w:rsidP="00AA23DA">
      <w:pPr>
        <w:rPr>
          <w:rFonts w:cs="Arial"/>
        </w:rPr>
      </w:pPr>
    </w:p>
    <w:p w14:paraId="162E1EF1" w14:textId="44E433FB" w:rsidR="00AA23DA" w:rsidRPr="00545EC0" w:rsidRDefault="00AA23DA" w:rsidP="00AA23DA">
      <w:pPr>
        <w:pStyle w:val="Napis"/>
        <w:spacing w:after="60"/>
        <w:rPr>
          <w:lang w:eastAsia="ja-JP"/>
        </w:rPr>
      </w:pPr>
      <w:bookmarkStart w:id="576" w:name="_Ref75766739"/>
      <w:bookmarkStart w:id="577" w:name="_Toc75762755"/>
      <w:r w:rsidRPr="00545EC0">
        <w:t xml:space="preserve">Preglednica </w:t>
      </w:r>
      <w:fldSimple w:instr=" STYLEREF 1 \s ">
        <w:r w:rsidR="002F3E43">
          <w:rPr>
            <w:noProof/>
          </w:rPr>
          <w:t>3</w:t>
        </w:r>
      </w:fldSimple>
      <w:r w:rsidR="001A7511" w:rsidRPr="00545EC0">
        <w:noBreakHyphen/>
      </w:r>
      <w:fldSimple w:instr=" SEQ Preglednica \* ARABIC \s 1 ">
        <w:r w:rsidR="002F3E43">
          <w:rPr>
            <w:noProof/>
          </w:rPr>
          <w:t>13</w:t>
        </w:r>
      </w:fldSimple>
      <w:bookmarkEnd w:id="576"/>
      <w:r w:rsidRPr="00545EC0">
        <w:t xml:space="preserve">: </w:t>
      </w:r>
      <w:r w:rsidRPr="00545EC0">
        <w:rPr>
          <w:snapToGrid w:val="0"/>
        </w:rPr>
        <w:t>Ocena kemijskega stanja podzemne vode</w:t>
      </w:r>
      <w:bookmarkEnd w:id="577"/>
      <w:r w:rsidRPr="00545EC0">
        <w:rPr>
          <w:snapToGrid w:val="0"/>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88"/>
        <w:gridCol w:w="2693"/>
        <w:gridCol w:w="1276"/>
        <w:gridCol w:w="1134"/>
        <w:gridCol w:w="1134"/>
        <w:gridCol w:w="1837"/>
      </w:tblGrid>
      <w:tr w:rsidR="003122F4" w:rsidRPr="00545EC0" w14:paraId="3635E1FB" w14:textId="77777777" w:rsidTr="00592E13">
        <w:trPr>
          <w:trHeight w:val="765"/>
          <w:tblHeader/>
        </w:trPr>
        <w:tc>
          <w:tcPr>
            <w:tcW w:w="988" w:type="dxa"/>
            <w:shd w:val="clear" w:color="auto" w:fill="F2F2F2" w:themeFill="background1" w:themeFillShade="F2"/>
            <w:vAlign w:val="center"/>
            <w:hideMark/>
          </w:tcPr>
          <w:p w14:paraId="0265C485" w14:textId="77777777" w:rsidR="00AA23DA" w:rsidRPr="00545EC0" w:rsidRDefault="00AA23DA" w:rsidP="00E44DAA">
            <w:pPr>
              <w:spacing w:line="240" w:lineRule="auto"/>
              <w:jc w:val="center"/>
              <w:rPr>
                <w:rFonts w:cs="Arial"/>
                <w:b/>
                <w:bCs/>
                <w:sz w:val="18"/>
                <w:szCs w:val="18"/>
              </w:rPr>
            </w:pPr>
            <w:r w:rsidRPr="00545EC0">
              <w:rPr>
                <w:rFonts w:cs="Arial"/>
                <w:b/>
                <w:bCs/>
                <w:sz w:val="18"/>
                <w:szCs w:val="18"/>
              </w:rPr>
              <w:t>Šifra vodnega telesa</w:t>
            </w:r>
          </w:p>
        </w:tc>
        <w:tc>
          <w:tcPr>
            <w:tcW w:w="2693" w:type="dxa"/>
            <w:shd w:val="clear" w:color="auto" w:fill="F2F2F2" w:themeFill="background1" w:themeFillShade="F2"/>
            <w:vAlign w:val="center"/>
            <w:hideMark/>
          </w:tcPr>
          <w:p w14:paraId="1530C1F0" w14:textId="77777777" w:rsidR="00AA23DA" w:rsidRPr="00545EC0" w:rsidRDefault="00AA23DA" w:rsidP="00E44DAA">
            <w:pPr>
              <w:spacing w:line="240" w:lineRule="auto"/>
              <w:rPr>
                <w:rFonts w:cs="Arial"/>
                <w:b/>
                <w:bCs/>
                <w:sz w:val="18"/>
                <w:szCs w:val="18"/>
              </w:rPr>
            </w:pPr>
            <w:r w:rsidRPr="00545EC0">
              <w:rPr>
                <w:rFonts w:cs="Arial"/>
                <w:b/>
                <w:bCs/>
                <w:sz w:val="18"/>
                <w:szCs w:val="18"/>
              </w:rPr>
              <w:t>Ime vodnega telesa</w:t>
            </w:r>
          </w:p>
        </w:tc>
        <w:tc>
          <w:tcPr>
            <w:tcW w:w="1276" w:type="dxa"/>
            <w:tcBorders>
              <w:right w:val="single" w:sz="4" w:space="0" w:color="auto"/>
            </w:tcBorders>
            <w:shd w:val="clear" w:color="auto" w:fill="F2F2F2" w:themeFill="background1" w:themeFillShade="F2"/>
            <w:noWrap/>
            <w:vAlign w:val="center"/>
            <w:hideMark/>
          </w:tcPr>
          <w:p w14:paraId="0A8CE0B2" w14:textId="77777777" w:rsidR="00AA23DA" w:rsidRPr="00545EC0" w:rsidRDefault="00AA23DA" w:rsidP="00E44DAA">
            <w:pPr>
              <w:spacing w:line="240" w:lineRule="auto"/>
              <w:jc w:val="center"/>
              <w:rPr>
                <w:rFonts w:cs="Arial"/>
                <w:b/>
                <w:bCs/>
                <w:sz w:val="18"/>
                <w:szCs w:val="18"/>
              </w:rPr>
            </w:pPr>
            <w:r w:rsidRPr="00545EC0">
              <w:rPr>
                <w:rFonts w:cs="Arial"/>
                <w:b/>
                <w:bCs/>
                <w:sz w:val="18"/>
                <w:szCs w:val="18"/>
              </w:rPr>
              <w:t>Obdobje</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994C23D" w14:textId="77777777" w:rsidR="00AA23DA" w:rsidRPr="00545EC0" w:rsidRDefault="00AA23DA" w:rsidP="00E44DAA">
            <w:pPr>
              <w:spacing w:line="240" w:lineRule="auto"/>
              <w:jc w:val="center"/>
              <w:rPr>
                <w:rFonts w:cs="Arial"/>
                <w:b/>
                <w:bCs/>
                <w:sz w:val="18"/>
                <w:szCs w:val="18"/>
              </w:rPr>
            </w:pPr>
            <w:r w:rsidRPr="00545EC0">
              <w:rPr>
                <w:rFonts w:cs="Arial"/>
                <w:b/>
                <w:bCs/>
                <w:sz w:val="18"/>
                <w:szCs w:val="18"/>
              </w:rPr>
              <w:t>Kemijsko stanje</w:t>
            </w:r>
          </w:p>
        </w:tc>
        <w:tc>
          <w:tcPr>
            <w:tcW w:w="1134" w:type="dxa"/>
            <w:tcBorders>
              <w:left w:val="single" w:sz="4" w:space="0" w:color="auto"/>
            </w:tcBorders>
            <w:shd w:val="clear" w:color="auto" w:fill="F2F2F2" w:themeFill="background1" w:themeFillShade="F2"/>
            <w:vAlign w:val="center"/>
            <w:hideMark/>
          </w:tcPr>
          <w:p w14:paraId="3AEC7321" w14:textId="77777777" w:rsidR="00AA23DA" w:rsidRPr="00545EC0" w:rsidRDefault="00AA23DA" w:rsidP="00E44DAA">
            <w:pPr>
              <w:spacing w:line="240" w:lineRule="auto"/>
              <w:jc w:val="center"/>
              <w:rPr>
                <w:rFonts w:cs="Arial"/>
                <w:b/>
                <w:bCs/>
                <w:sz w:val="18"/>
                <w:szCs w:val="18"/>
              </w:rPr>
            </w:pPr>
            <w:r w:rsidRPr="00545EC0">
              <w:rPr>
                <w:rFonts w:cs="Arial"/>
                <w:b/>
                <w:bCs/>
                <w:sz w:val="18"/>
                <w:szCs w:val="18"/>
              </w:rPr>
              <w:t>Raven zaupanja</w:t>
            </w:r>
          </w:p>
        </w:tc>
        <w:tc>
          <w:tcPr>
            <w:tcW w:w="1837" w:type="dxa"/>
            <w:shd w:val="clear" w:color="auto" w:fill="F2F2F2" w:themeFill="background1" w:themeFillShade="F2"/>
            <w:vAlign w:val="center"/>
            <w:hideMark/>
          </w:tcPr>
          <w:p w14:paraId="1C099215" w14:textId="77777777" w:rsidR="00AA23DA" w:rsidRPr="00545EC0" w:rsidRDefault="00AA23DA" w:rsidP="00E44DAA">
            <w:pPr>
              <w:spacing w:line="240" w:lineRule="auto"/>
              <w:jc w:val="center"/>
              <w:rPr>
                <w:rFonts w:cs="Arial"/>
                <w:b/>
                <w:bCs/>
                <w:sz w:val="18"/>
                <w:szCs w:val="18"/>
              </w:rPr>
            </w:pPr>
            <w:r w:rsidRPr="00545EC0">
              <w:rPr>
                <w:rFonts w:cs="Arial"/>
                <w:b/>
                <w:bCs/>
                <w:sz w:val="18"/>
                <w:szCs w:val="18"/>
              </w:rPr>
              <w:t>Razlog za slabo kemijsko stanje</w:t>
            </w:r>
          </w:p>
        </w:tc>
      </w:tr>
      <w:tr w:rsidR="003122F4" w:rsidRPr="00545EC0" w14:paraId="680601C6" w14:textId="77777777" w:rsidTr="001766FB">
        <w:trPr>
          <w:trHeight w:val="510"/>
        </w:trPr>
        <w:tc>
          <w:tcPr>
            <w:tcW w:w="988" w:type="dxa"/>
            <w:shd w:val="clear" w:color="000000" w:fill="FFFFFF"/>
            <w:noWrap/>
            <w:vAlign w:val="center"/>
          </w:tcPr>
          <w:p w14:paraId="4C2B366B" w14:textId="77777777" w:rsidR="00AA23DA" w:rsidRPr="00545EC0" w:rsidRDefault="00AA23DA" w:rsidP="00E44DAA">
            <w:pPr>
              <w:spacing w:line="240" w:lineRule="auto"/>
              <w:jc w:val="center"/>
              <w:rPr>
                <w:rFonts w:cs="Arial"/>
                <w:sz w:val="18"/>
                <w:szCs w:val="18"/>
              </w:rPr>
            </w:pPr>
            <w:r w:rsidRPr="00545EC0">
              <w:rPr>
                <w:rFonts w:cs="Arial"/>
                <w:sz w:val="18"/>
                <w:szCs w:val="18"/>
              </w:rPr>
              <w:lastRenderedPageBreak/>
              <w:t>1001</w:t>
            </w:r>
          </w:p>
        </w:tc>
        <w:tc>
          <w:tcPr>
            <w:tcW w:w="2693" w:type="dxa"/>
            <w:shd w:val="clear" w:color="000000" w:fill="FFFFFF"/>
            <w:noWrap/>
            <w:vAlign w:val="center"/>
          </w:tcPr>
          <w:p w14:paraId="30D397B7" w14:textId="77777777" w:rsidR="00AA23DA" w:rsidRPr="00545EC0" w:rsidRDefault="00AA23DA" w:rsidP="00E44DAA">
            <w:pPr>
              <w:spacing w:line="240" w:lineRule="auto"/>
              <w:jc w:val="left"/>
              <w:rPr>
                <w:rFonts w:cs="Arial"/>
                <w:sz w:val="18"/>
                <w:szCs w:val="18"/>
              </w:rPr>
            </w:pPr>
            <w:r w:rsidRPr="00545EC0">
              <w:rPr>
                <w:rFonts w:cs="Arial"/>
                <w:sz w:val="18"/>
                <w:szCs w:val="18"/>
                <w:lang w:val="de-DE"/>
              </w:rPr>
              <w:t>Savska</w:t>
            </w:r>
            <w:r w:rsidRPr="00545EC0">
              <w:rPr>
                <w:rFonts w:cs="Arial"/>
                <w:sz w:val="18"/>
                <w:szCs w:val="18"/>
              </w:rPr>
              <w:t xml:space="preserve"> kotlina</w:t>
            </w:r>
            <w:r w:rsidRPr="00545EC0">
              <w:rPr>
                <w:rFonts w:cs="Arial"/>
                <w:sz w:val="18"/>
                <w:szCs w:val="18"/>
                <w:lang w:val="de-DE"/>
              </w:rPr>
              <w:t xml:space="preserve"> in Ljubljansko Barje</w:t>
            </w:r>
          </w:p>
        </w:tc>
        <w:tc>
          <w:tcPr>
            <w:tcW w:w="1276" w:type="dxa"/>
            <w:shd w:val="clear" w:color="auto" w:fill="auto"/>
            <w:noWrap/>
            <w:vAlign w:val="center"/>
          </w:tcPr>
          <w:p w14:paraId="40701016" w14:textId="77777777" w:rsidR="00AA23DA" w:rsidRPr="00545EC0" w:rsidRDefault="00AA23DA" w:rsidP="00E44DAA">
            <w:pPr>
              <w:spacing w:line="240" w:lineRule="auto"/>
              <w:jc w:val="center"/>
              <w:rPr>
                <w:rFonts w:cs="Arial"/>
                <w:sz w:val="18"/>
                <w:szCs w:val="18"/>
              </w:rPr>
            </w:pPr>
            <w:r w:rsidRPr="00545EC0">
              <w:rPr>
                <w:rFonts w:cs="Arial"/>
                <w:sz w:val="18"/>
                <w:szCs w:val="18"/>
              </w:rPr>
              <w:t>2014–2019</w:t>
            </w:r>
          </w:p>
        </w:tc>
        <w:tc>
          <w:tcPr>
            <w:tcW w:w="1134" w:type="dxa"/>
            <w:tcBorders>
              <w:top w:val="single" w:sz="4" w:space="0" w:color="auto"/>
            </w:tcBorders>
            <w:shd w:val="clear" w:color="auto" w:fill="FFFFFF" w:themeFill="background1"/>
            <w:noWrap/>
            <w:vAlign w:val="center"/>
          </w:tcPr>
          <w:p w14:paraId="2625F635" w14:textId="77777777" w:rsidR="00AA23DA" w:rsidRPr="00545EC0" w:rsidRDefault="00AA23DA" w:rsidP="00E44DAA">
            <w:pPr>
              <w:spacing w:line="240" w:lineRule="auto"/>
              <w:jc w:val="center"/>
              <w:rPr>
                <w:rFonts w:cs="Arial"/>
                <w:bCs/>
                <w:sz w:val="18"/>
                <w:szCs w:val="18"/>
              </w:rPr>
            </w:pPr>
            <w:r w:rsidRPr="00545EC0">
              <w:rPr>
                <w:rFonts w:cs="Arial"/>
                <w:sz w:val="18"/>
                <w:szCs w:val="18"/>
              </w:rPr>
              <w:t>DOBRO</w:t>
            </w:r>
          </w:p>
        </w:tc>
        <w:tc>
          <w:tcPr>
            <w:tcW w:w="1134" w:type="dxa"/>
            <w:shd w:val="clear" w:color="auto" w:fill="auto"/>
            <w:noWrap/>
            <w:vAlign w:val="center"/>
          </w:tcPr>
          <w:p w14:paraId="19631D68" w14:textId="77777777" w:rsidR="00AA23DA" w:rsidRPr="00545EC0" w:rsidRDefault="00AA23DA" w:rsidP="00E44DAA">
            <w:pPr>
              <w:spacing w:line="240" w:lineRule="auto"/>
              <w:jc w:val="center"/>
              <w:rPr>
                <w:rFonts w:cs="Arial"/>
                <w:sz w:val="18"/>
                <w:szCs w:val="18"/>
              </w:rPr>
            </w:pPr>
            <w:r w:rsidRPr="00545EC0">
              <w:rPr>
                <w:rFonts w:cs="Arial"/>
                <w:sz w:val="18"/>
                <w:szCs w:val="18"/>
              </w:rPr>
              <w:t>srednja</w:t>
            </w:r>
          </w:p>
        </w:tc>
        <w:tc>
          <w:tcPr>
            <w:tcW w:w="1837" w:type="dxa"/>
            <w:shd w:val="clear" w:color="auto" w:fill="auto"/>
            <w:noWrap/>
            <w:vAlign w:val="center"/>
          </w:tcPr>
          <w:p w14:paraId="0A6BE392" w14:textId="77777777" w:rsidR="00AA23DA" w:rsidRPr="00545EC0" w:rsidRDefault="00AA23DA" w:rsidP="00E44DAA">
            <w:pPr>
              <w:spacing w:line="240" w:lineRule="auto"/>
              <w:jc w:val="center"/>
              <w:rPr>
                <w:rFonts w:cs="Arial"/>
                <w:sz w:val="18"/>
                <w:szCs w:val="18"/>
              </w:rPr>
            </w:pPr>
          </w:p>
        </w:tc>
      </w:tr>
      <w:tr w:rsidR="003122F4" w:rsidRPr="00545EC0" w14:paraId="08070B3C" w14:textId="77777777" w:rsidTr="001766FB">
        <w:trPr>
          <w:trHeight w:val="284"/>
        </w:trPr>
        <w:tc>
          <w:tcPr>
            <w:tcW w:w="988" w:type="dxa"/>
            <w:shd w:val="clear" w:color="000000" w:fill="FFFFFF"/>
            <w:noWrap/>
            <w:vAlign w:val="center"/>
          </w:tcPr>
          <w:p w14:paraId="497EE970" w14:textId="77777777" w:rsidR="00AA23DA" w:rsidRPr="00545EC0" w:rsidRDefault="00AA23DA" w:rsidP="00E44DAA">
            <w:pPr>
              <w:spacing w:line="240" w:lineRule="auto"/>
              <w:jc w:val="center"/>
              <w:rPr>
                <w:rFonts w:cs="Arial"/>
                <w:sz w:val="18"/>
                <w:szCs w:val="18"/>
              </w:rPr>
            </w:pPr>
            <w:r w:rsidRPr="00545EC0">
              <w:rPr>
                <w:rFonts w:cs="Arial"/>
                <w:sz w:val="18"/>
                <w:szCs w:val="18"/>
              </w:rPr>
              <w:t>1002</w:t>
            </w:r>
          </w:p>
        </w:tc>
        <w:tc>
          <w:tcPr>
            <w:tcW w:w="2693" w:type="dxa"/>
            <w:shd w:val="clear" w:color="000000" w:fill="FFFFFF"/>
            <w:noWrap/>
            <w:vAlign w:val="center"/>
          </w:tcPr>
          <w:p w14:paraId="24CE45BB" w14:textId="77777777" w:rsidR="00AA23DA" w:rsidRPr="00545EC0" w:rsidRDefault="00AA23DA" w:rsidP="00E44DAA">
            <w:pPr>
              <w:spacing w:line="240" w:lineRule="auto"/>
              <w:jc w:val="left"/>
              <w:rPr>
                <w:rFonts w:cs="Arial"/>
                <w:sz w:val="18"/>
                <w:szCs w:val="18"/>
              </w:rPr>
            </w:pPr>
            <w:r w:rsidRPr="00545EC0">
              <w:rPr>
                <w:rFonts w:cs="Arial"/>
                <w:sz w:val="18"/>
                <w:szCs w:val="18"/>
              </w:rPr>
              <w:t>Savinjska kotlina</w:t>
            </w:r>
          </w:p>
        </w:tc>
        <w:tc>
          <w:tcPr>
            <w:tcW w:w="1276" w:type="dxa"/>
            <w:shd w:val="clear" w:color="auto" w:fill="auto"/>
            <w:noWrap/>
            <w:vAlign w:val="center"/>
          </w:tcPr>
          <w:p w14:paraId="1855DAD2" w14:textId="77777777" w:rsidR="00AA23DA" w:rsidRPr="00545EC0" w:rsidRDefault="00AA23DA" w:rsidP="00E44DAA">
            <w:pPr>
              <w:spacing w:line="240" w:lineRule="auto"/>
              <w:jc w:val="center"/>
              <w:rPr>
                <w:rFonts w:cs="Arial"/>
                <w:sz w:val="18"/>
                <w:szCs w:val="18"/>
              </w:rPr>
            </w:pPr>
            <w:r w:rsidRPr="00545EC0">
              <w:rPr>
                <w:rFonts w:cs="Arial"/>
                <w:sz w:val="18"/>
                <w:szCs w:val="18"/>
              </w:rPr>
              <w:t>2014–2019</w:t>
            </w:r>
          </w:p>
        </w:tc>
        <w:tc>
          <w:tcPr>
            <w:tcW w:w="1134" w:type="dxa"/>
            <w:shd w:val="clear" w:color="auto" w:fill="FFFFFF" w:themeFill="background1"/>
            <w:noWrap/>
            <w:vAlign w:val="center"/>
          </w:tcPr>
          <w:p w14:paraId="30B8737F" w14:textId="77777777" w:rsidR="00AA23DA" w:rsidRPr="00545EC0" w:rsidRDefault="00AA23DA" w:rsidP="00E44DAA">
            <w:pPr>
              <w:spacing w:line="240" w:lineRule="auto"/>
              <w:jc w:val="center"/>
              <w:rPr>
                <w:rFonts w:cs="Arial"/>
                <w:bCs/>
                <w:sz w:val="18"/>
                <w:szCs w:val="18"/>
              </w:rPr>
            </w:pPr>
            <w:r w:rsidRPr="00545EC0">
              <w:rPr>
                <w:rFonts w:cs="Arial"/>
                <w:sz w:val="18"/>
                <w:szCs w:val="18"/>
              </w:rPr>
              <w:t>SLABO</w:t>
            </w:r>
          </w:p>
        </w:tc>
        <w:tc>
          <w:tcPr>
            <w:tcW w:w="1134" w:type="dxa"/>
            <w:shd w:val="clear" w:color="auto" w:fill="auto"/>
            <w:noWrap/>
            <w:vAlign w:val="center"/>
          </w:tcPr>
          <w:p w14:paraId="2F33945F" w14:textId="77777777" w:rsidR="00AA23DA" w:rsidRPr="00545EC0" w:rsidRDefault="00AA23DA" w:rsidP="00E44DAA">
            <w:pPr>
              <w:spacing w:line="240" w:lineRule="auto"/>
              <w:jc w:val="center"/>
              <w:rPr>
                <w:rFonts w:cs="Arial"/>
                <w:sz w:val="18"/>
                <w:szCs w:val="18"/>
              </w:rPr>
            </w:pPr>
            <w:r w:rsidRPr="00545EC0">
              <w:rPr>
                <w:rFonts w:cs="Arial"/>
                <w:sz w:val="18"/>
                <w:szCs w:val="18"/>
              </w:rPr>
              <w:t>visoka</w:t>
            </w:r>
          </w:p>
        </w:tc>
        <w:tc>
          <w:tcPr>
            <w:tcW w:w="1837" w:type="dxa"/>
            <w:shd w:val="clear" w:color="auto" w:fill="auto"/>
            <w:noWrap/>
            <w:vAlign w:val="center"/>
          </w:tcPr>
          <w:p w14:paraId="68CFD40E" w14:textId="77777777" w:rsidR="00AA23DA" w:rsidRPr="00545EC0" w:rsidRDefault="00AA23DA" w:rsidP="00E44DAA">
            <w:pPr>
              <w:spacing w:line="240" w:lineRule="auto"/>
              <w:jc w:val="center"/>
              <w:rPr>
                <w:rFonts w:cs="Arial"/>
                <w:sz w:val="18"/>
                <w:szCs w:val="18"/>
              </w:rPr>
            </w:pPr>
            <w:r w:rsidRPr="00545EC0">
              <w:rPr>
                <w:rFonts w:cs="Arial"/>
                <w:sz w:val="18"/>
                <w:szCs w:val="18"/>
              </w:rPr>
              <w:t>nitrat</w:t>
            </w:r>
          </w:p>
        </w:tc>
      </w:tr>
      <w:tr w:rsidR="003122F4" w:rsidRPr="00545EC0" w14:paraId="09CDA003" w14:textId="77777777" w:rsidTr="001766FB">
        <w:trPr>
          <w:trHeight w:val="284"/>
        </w:trPr>
        <w:tc>
          <w:tcPr>
            <w:tcW w:w="988" w:type="dxa"/>
            <w:shd w:val="clear" w:color="000000" w:fill="FFFFFF"/>
            <w:noWrap/>
            <w:vAlign w:val="center"/>
          </w:tcPr>
          <w:p w14:paraId="1146B0BA" w14:textId="77777777" w:rsidR="00AA23DA" w:rsidRPr="00545EC0" w:rsidRDefault="00AA23DA" w:rsidP="00E44DAA">
            <w:pPr>
              <w:spacing w:line="240" w:lineRule="auto"/>
              <w:jc w:val="center"/>
              <w:rPr>
                <w:rFonts w:cs="Arial"/>
                <w:sz w:val="18"/>
                <w:szCs w:val="18"/>
              </w:rPr>
            </w:pPr>
            <w:r w:rsidRPr="00545EC0">
              <w:rPr>
                <w:rFonts w:cs="Arial"/>
                <w:sz w:val="18"/>
                <w:szCs w:val="18"/>
              </w:rPr>
              <w:t>1003</w:t>
            </w:r>
          </w:p>
        </w:tc>
        <w:tc>
          <w:tcPr>
            <w:tcW w:w="2693" w:type="dxa"/>
            <w:shd w:val="clear" w:color="000000" w:fill="FFFFFF"/>
            <w:noWrap/>
            <w:vAlign w:val="center"/>
          </w:tcPr>
          <w:p w14:paraId="5FF67E53" w14:textId="77777777" w:rsidR="00AA23DA" w:rsidRPr="00545EC0" w:rsidRDefault="00AA23DA" w:rsidP="00E44DAA">
            <w:pPr>
              <w:spacing w:line="240" w:lineRule="auto"/>
              <w:jc w:val="left"/>
              <w:rPr>
                <w:rFonts w:cs="Arial"/>
                <w:sz w:val="18"/>
                <w:szCs w:val="18"/>
              </w:rPr>
            </w:pPr>
            <w:r w:rsidRPr="00545EC0">
              <w:rPr>
                <w:rFonts w:cs="Arial"/>
                <w:sz w:val="18"/>
                <w:szCs w:val="18"/>
              </w:rPr>
              <w:t>Krška kotlina</w:t>
            </w:r>
          </w:p>
        </w:tc>
        <w:tc>
          <w:tcPr>
            <w:tcW w:w="1276" w:type="dxa"/>
            <w:shd w:val="clear" w:color="auto" w:fill="auto"/>
            <w:noWrap/>
            <w:vAlign w:val="center"/>
          </w:tcPr>
          <w:p w14:paraId="0E591D2F" w14:textId="77777777" w:rsidR="00AA23DA" w:rsidRPr="00545EC0" w:rsidRDefault="00AA23DA" w:rsidP="00E44DAA">
            <w:pPr>
              <w:spacing w:line="240" w:lineRule="auto"/>
              <w:jc w:val="center"/>
              <w:rPr>
                <w:rFonts w:cs="Arial"/>
                <w:sz w:val="18"/>
                <w:szCs w:val="18"/>
              </w:rPr>
            </w:pPr>
            <w:r w:rsidRPr="00545EC0">
              <w:rPr>
                <w:rFonts w:cs="Arial"/>
                <w:sz w:val="18"/>
                <w:szCs w:val="18"/>
              </w:rPr>
              <w:t>2014–2019</w:t>
            </w:r>
          </w:p>
        </w:tc>
        <w:tc>
          <w:tcPr>
            <w:tcW w:w="1134" w:type="dxa"/>
            <w:shd w:val="clear" w:color="auto" w:fill="FFFFFF" w:themeFill="background1"/>
            <w:noWrap/>
            <w:vAlign w:val="center"/>
          </w:tcPr>
          <w:p w14:paraId="0BC13E30" w14:textId="77777777" w:rsidR="00AA23DA" w:rsidRPr="00545EC0" w:rsidRDefault="00AA23DA" w:rsidP="00E44DAA">
            <w:pPr>
              <w:spacing w:line="240" w:lineRule="auto"/>
              <w:jc w:val="center"/>
              <w:rPr>
                <w:rFonts w:cs="Arial"/>
                <w:bCs/>
                <w:sz w:val="18"/>
                <w:szCs w:val="18"/>
              </w:rPr>
            </w:pPr>
            <w:r w:rsidRPr="00545EC0">
              <w:rPr>
                <w:rFonts w:cs="Arial"/>
                <w:sz w:val="18"/>
                <w:szCs w:val="18"/>
              </w:rPr>
              <w:t>DOBRO</w:t>
            </w:r>
          </w:p>
        </w:tc>
        <w:tc>
          <w:tcPr>
            <w:tcW w:w="1134" w:type="dxa"/>
            <w:shd w:val="clear" w:color="auto" w:fill="auto"/>
            <w:noWrap/>
            <w:vAlign w:val="center"/>
          </w:tcPr>
          <w:p w14:paraId="0F7B6E10" w14:textId="77777777" w:rsidR="00AA23DA" w:rsidRPr="00545EC0" w:rsidRDefault="00AA23DA" w:rsidP="00E44DAA">
            <w:pPr>
              <w:spacing w:line="240" w:lineRule="auto"/>
              <w:jc w:val="center"/>
              <w:rPr>
                <w:rFonts w:cs="Arial"/>
                <w:sz w:val="18"/>
                <w:szCs w:val="18"/>
              </w:rPr>
            </w:pPr>
            <w:r w:rsidRPr="00545EC0">
              <w:rPr>
                <w:rFonts w:cs="Arial"/>
                <w:sz w:val="18"/>
                <w:szCs w:val="18"/>
              </w:rPr>
              <w:t>srednja</w:t>
            </w:r>
          </w:p>
        </w:tc>
        <w:tc>
          <w:tcPr>
            <w:tcW w:w="1837" w:type="dxa"/>
            <w:shd w:val="clear" w:color="auto" w:fill="auto"/>
            <w:noWrap/>
            <w:vAlign w:val="center"/>
          </w:tcPr>
          <w:p w14:paraId="0D3A1F40" w14:textId="77777777" w:rsidR="00AA23DA" w:rsidRPr="00545EC0" w:rsidRDefault="00AA23DA" w:rsidP="00E44DAA">
            <w:pPr>
              <w:spacing w:line="240" w:lineRule="auto"/>
              <w:jc w:val="center"/>
              <w:rPr>
                <w:rFonts w:cs="Arial"/>
                <w:sz w:val="18"/>
                <w:szCs w:val="18"/>
              </w:rPr>
            </w:pPr>
          </w:p>
        </w:tc>
      </w:tr>
      <w:tr w:rsidR="003122F4" w:rsidRPr="00545EC0" w14:paraId="487A04FA" w14:textId="77777777" w:rsidTr="001766FB">
        <w:trPr>
          <w:trHeight w:val="284"/>
        </w:trPr>
        <w:tc>
          <w:tcPr>
            <w:tcW w:w="988" w:type="dxa"/>
            <w:shd w:val="clear" w:color="000000" w:fill="FFFFFF"/>
            <w:noWrap/>
            <w:vAlign w:val="center"/>
          </w:tcPr>
          <w:p w14:paraId="30804AB0" w14:textId="77777777" w:rsidR="00AA23DA" w:rsidRPr="00545EC0" w:rsidRDefault="00AA23DA" w:rsidP="00E44DAA">
            <w:pPr>
              <w:spacing w:line="240" w:lineRule="auto"/>
              <w:jc w:val="center"/>
              <w:rPr>
                <w:rFonts w:cs="Arial"/>
                <w:sz w:val="18"/>
                <w:szCs w:val="18"/>
              </w:rPr>
            </w:pPr>
            <w:r w:rsidRPr="00545EC0">
              <w:rPr>
                <w:rFonts w:cs="Arial"/>
                <w:sz w:val="18"/>
                <w:szCs w:val="18"/>
              </w:rPr>
              <w:t>1004</w:t>
            </w:r>
          </w:p>
        </w:tc>
        <w:tc>
          <w:tcPr>
            <w:tcW w:w="2693" w:type="dxa"/>
            <w:shd w:val="clear" w:color="000000" w:fill="FFFFFF"/>
            <w:noWrap/>
            <w:vAlign w:val="center"/>
          </w:tcPr>
          <w:p w14:paraId="44BE133C" w14:textId="77777777" w:rsidR="00AA23DA" w:rsidRPr="00545EC0" w:rsidRDefault="00AA23DA" w:rsidP="00E44DAA">
            <w:pPr>
              <w:spacing w:line="240" w:lineRule="auto"/>
              <w:jc w:val="left"/>
              <w:rPr>
                <w:rFonts w:cs="Arial"/>
                <w:sz w:val="18"/>
                <w:szCs w:val="18"/>
              </w:rPr>
            </w:pPr>
            <w:r w:rsidRPr="00545EC0">
              <w:rPr>
                <w:rFonts w:cs="Arial"/>
                <w:sz w:val="18"/>
                <w:szCs w:val="18"/>
              </w:rPr>
              <w:t>Julijske Alpe v porečju Save</w:t>
            </w:r>
          </w:p>
        </w:tc>
        <w:tc>
          <w:tcPr>
            <w:tcW w:w="1276" w:type="dxa"/>
            <w:shd w:val="clear" w:color="auto" w:fill="auto"/>
            <w:noWrap/>
            <w:vAlign w:val="center"/>
          </w:tcPr>
          <w:p w14:paraId="4AF4C1B5" w14:textId="77777777" w:rsidR="00AA23DA" w:rsidRPr="00545EC0" w:rsidRDefault="00AA23DA" w:rsidP="00E44DAA">
            <w:pPr>
              <w:spacing w:line="240" w:lineRule="auto"/>
              <w:jc w:val="center"/>
              <w:rPr>
                <w:rFonts w:cs="Arial"/>
                <w:sz w:val="18"/>
                <w:szCs w:val="18"/>
              </w:rPr>
            </w:pPr>
            <w:r w:rsidRPr="00545EC0">
              <w:rPr>
                <w:rFonts w:cs="Arial"/>
                <w:sz w:val="18"/>
                <w:szCs w:val="18"/>
              </w:rPr>
              <w:t>2014–2019</w:t>
            </w:r>
          </w:p>
        </w:tc>
        <w:tc>
          <w:tcPr>
            <w:tcW w:w="1134" w:type="dxa"/>
            <w:shd w:val="clear" w:color="auto" w:fill="FFFFFF" w:themeFill="background1"/>
            <w:noWrap/>
            <w:vAlign w:val="center"/>
          </w:tcPr>
          <w:p w14:paraId="2AB81F96" w14:textId="77777777" w:rsidR="00AA23DA" w:rsidRPr="00545EC0" w:rsidRDefault="00AA23DA" w:rsidP="00E44DAA">
            <w:pPr>
              <w:spacing w:line="240" w:lineRule="auto"/>
              <w:jc w:val="center"/>
              <w:rPr>
                <w:rFonts w:cs="Arial"/>
                <w:bCs/>
                <w:sz w:val="18"/>
                <w:szCs w:val="18"/>
              </w:rPr>
            </w:pPr>
            <w:r w:rsidRPr="00545EC0">
              <w:rPr>
                <w:rFonts w:cs="Arial"/>
                <w:sz w:val="18"/>
                <w:szCs w:val="18"/>
              </w:rPr>
              <w:t>DOBRO</w:t>
            </w:r>
          </w:p>
        </w:tc>
        <w:tc>
          <w:tcPr>
            <w:tcW w:w="1134" w:type="dxa"/>
            <w:shd w:val="clear" w:color="auto" w:fill="auto"/>
            <w:noWrap/>
            <w:vAlign w:val="center"/>
          </w:tcPr>
          <w:p w14:paraId="74A0875E" w14:textId="77777777" w:rsidR="00AA23DA" w:rsidRPr="00545EC0" w:rsidRDefault="00AA23DA" w:rsidP="00E44DAA">
            <w:pPr>
              <w:spacing w:line="240" w:lineRule="auto"/>
              <w:jc w:val="center"/>
              <w:rPr>
                <w:rFonts w:cs="Arial"/>
                <w:sz w:val="18"/>
                <w:szCs w:val="18"/>
              </w:rPr>
            </w:pPr>
            <w:r w:rsidRPr="00545EC0">
              <w:rPr>
                <w:rFonts w:cs="Arial"/>
                <w:sz w:val="18"/>
                <w:szCs w:val="18"/>
              </w:rPr>
              <w:t>visoka</w:t>
            </w:r>
          </w:p>
        </w:tc>
        <w:tc>
          <w:tcPr>
            <w:tcW w:w="1837" w:type="dxa"/>
            <w:shd w:val="clear" w:color="auto" w:fill="auto"/>
            <w:noWrap/>
            <w:vAlign w:val="center"/>
          </w:tcPr>
          <w:p w14:paraId="4D762519" w14:textId="77777777" w:rsidR="00AA23DA" w:rsidRPr="00545EC0" w:rsidRDefault="00AA23DA" w:rsidP="00E44DAA">
            <w:pPr>
              <w:spacing w:line="240" w:lineRule="auto"/>
              <w:jc w:val="center"/>
              <w:rPr>
                <w:rFonts w:cs="Arial"/>
                <w:sz w:val="18"/>
                <w:szCs w:val="18"/>
              </w:rPr>
            </w:pPr>
          </w:p>
        </w:tc>
      </w:tr>
      <w:tr w:rsidR="003122F4" w:rsidRPr="00545EC0" w14:paraId="4B3EA6BB" w14:textId="77777777" w:rsidTr="001766FB">
        <w:trPr>
          <w:trHeight w:val="284"/>
        </w:trPr>
        <w:tc>
          <w:tcPr>
            <w:tcW w:w="988" w:type="dxa"/>
            <w:shd w:val="clear" w:color="000000" w:fill="FFFFFF"/>
            <w:noWrap/>
            <w:vAlign w:val="center"/>
          </w:tcPr>
          <w:p w14:paraId="0C1DBCF2" w14:textId="77777777" w:rsidR="00AA23DA" w:rsidRPr="00545EC0" w:rsidRDefault="00AA23DA" w:rsidP="00E44DAA">
            <w:pPr>
              <w:spacing w:line="240" w:lineRule="auto"/>
              <w:jc w:val="center"/>
              <w:rPr>
                <w:rFonts w:cs="Arial"/>
                <w:sz w:val="18"/>
                <w:szCs w:val="18"/>
              </w:rPr>
            </w:pPr>
            <w:r w:rsidRPr="00545EC0">
              <w:rPr>
                <w:rFonts w:cs="Arial"/>
                <w:sz w:val="18"/>
                <w:szCs w:val="18"/>
              </w:rPr>
              <w:t>1005</w:t>
            </w:r>
          </w:p>
        </w:tc>
        <w:tc>
          <w:tcPr>
            <w:tcW w:w="2693" w:type="dxa"/>
            <w:shd w:val="clear" w:color="000000" w:fill="FFFFFF"/>
            <w:noWrap/>
            <w:vAlign w:val="center"/>
          </w:tcPr>
          <w:p w14:paraId="6BE64662" w14:textId="77777777" w:rsidR="00AA23DA" w:rsidRPr="00545EC0" w:rsidRDefault="00AA23DA" w:rsidP="00E44DAA">
            <w:pPr>
              <w:spacing w:line="240" w:lineRule="auto"/>
              <w:jc w:val="left"/>
              <w:rPr>
                <w:rFonts w:cs="Arial"/>
                <w:sz w:val="18"/>
                <w:szCs w:val="18"/>
              </w:rPr>
            </w:pPr>
            <w:r w:rsidRPr="00545EC0">
              <w:rPr>
                <w:rFonts w:cs="Arial"/>
                <w:sz w:val="18"/>
                <w:szCs w:val="18"/>
              </w:rPr>
              <w:t>Karavanke</w:t>
            </w:r>
          </w:p>
        </w:tc>
        <w:tc>
          <w:tcPr>
            <w:tcW w:w="1276" w:type="dxa"/>
            <w:shd w:val="clear" w:color="auto" w:fill="auto"/>
            <w:noWrap/>
            <w:vAlign w:val="center"/>
          </w:tcPr>
          <w:p w14:paraId="7C271FD3" w14:textId="77777777" w:rsidR="00AA23DA" w:rsidRPr="00545EC0" w:rsidRDefault="00AA23DA" w:rsidP="00E44DAA">
            <w:pPr>
              <w:spacing w:line="240" w:lineRule="auto"/>
              <w:jc w:val="center"/>
              <w:rPr>
                <w:rFonts w:cs="Arial"/>
                <w:sz w:val="18"/>
                <w:szCs w:val="18"/>
              </w:rPr>
            </w:pPr>
            <w:r w:rsidRPr="00545EC0">
              <w:rPr>
                <w:rFonts w:cs="Arial"/>
                <w:sz w:val="18"/>
                <w:szCs w:val="18"/>
              </w:rPr>
              <w:t>2014–2019</w:t>
            </w:r>
          </w:p>
        </w:tc>
        <w:tc>
          <w:tcPr>
            <w:tcW w:w="1134" w:type="dxa"/>
            <w:shd w:val="clear" w:color="auto" w:fill="FFFFFF" w:themeFill="background1"/>
            <w:noWrap/>
            <w:vAlign w:val="center"/>
          </w:tcPr>
          <w:p w14:paraId="03FCD605" w14:textId="77777777" w:rsidR="00AA23DA" w:rsidRPr="00545EC0" w:rsidRDefault="00AA23DA" w:rsidP="00E44DAA">
            <w:pPr>
              <w:spacing w:line="240" w:lineRule="auto"/>
              <w:jc w:val="center"/>
              <w:rPr>
                <w:rFonts w:cs="Arial"/>
                <w:bCs/>
                <w:sz w:val="18"/>
                <w:szCs w:val="18"/>
              </w:rPr>
            </w:pPr>
            <w:r w:rsidRPr="00545EC0">
              <w:rPr>
                <w:rFonts w:cs="Arial"/>
                <w:sz w:val="18"/>
                <w:szCs w:val="18"/>
              </w:rPr>
              <w:t>DOBRO</w:t>
            </w:r>
          </w:p>
        </w:tc>
        <w:tc>
          <w:tcPr>
            <w:tcW w:w="1134" w:type="dxa"/>
            <w:shd w:val="clear" w:color="auto" w:fill="auto"/>
            <w:noWrap/>
            <w:vAlign w:val="center"/>
          </w:tcPr>
          <w:p w14:paraId="15AB34BE" w14:textId="77777777" w:rsidR="00AA23DA" w:rsidRPr="00545EC0" w:rsidRDefault="00AA23DA" w:rsidP="00E44DAA">
            <w:pPr>
              <w:spacing w:line="240" w:lineRule="auto"/>
              <w:jc w:val="center"/>
              <w:rPr>
                <w:rFonts w:cs="Arial"/>
                <w:sz w:val="18"/>
                <w:szCs w:val="18"/>
              </w:rPr>
            </w:pPr>
            <w:r w:rsidRPr="00545EC0">
              <w:rPr>
                <w:rFonts w:cs="Arial"/>
                <w:sz w:val="18"/>
                <w:szCs w:val="18"/>
              </w:rPr>
              <w:t>visoka</w:t>
            </w:r>
          </w:p>
        </w:tc>
        <w:tc>
          <w:tcPr>
            <w:tcW w:w="1837" w:type="dxa"/>
            <w:shd w:val="clear" w:color="auto" w:fill="auto"/>
            <w:noWrap/>
            <w:vAlign w:val="center"/>
          </w:tcPr>
          <w:p w14:paraId="641315F8" w14:textId="77777777" w:rsidR="00AA23DA" w:rsidRPr="00545EC0" w:rsidRDefault="00AA23DA" w:rsidP="00E44DAA">
            <w:pPr>
              <w:spacing w:line="240" w:lineRule="auto"/>
              <w:jc w:val="center"/>
              <w:rPr>
                <w:rFonts w:cs="Arial"/>
                <w:sz w:val="18"/>
                <w:szCs w:val="18"/>
              </w:rPr>
            </w:pPr>
          </w:p>
        </w:tc>
      </w:tr>
      <w:tr w:rsidR="003122F4" w:rsidRPr="00545EC0" w14:paraId="22F1AC2B" w14:textId="77777777" w:rsidTr="001766FB">
        <w:trPr>
          <w:trHeight w:val="284"/>
        </w:trPr>
        <w:tc>
          <w:tcPr>
            <w:tcW w:w="988" w:type="dxa"/>
            <w:shd w:val="clear" w:color="000000" w:fill="FFFFFF"/>
            <w:noWrap/>
            <w:vAlign w:val="center"/>
          </w:tcPr>
          <w:p w14:paraId="3D8F3365" w14:textId="77777777" w:rsidR="00AA23DA" w:rsidRPr="00545EC0" w:rsidRDefault="00AA23DA" w:rsidP="00E44DAA">
            <w:pPr>
              <w:spacing w:line="240" w:lineRule="auto"/>
              <w:jc w:val="center"/>
              <w:rPr>
                <w:rFonts w:cs="Arial"/>
                <w:sz w:val="18"/>
                <w:szCs w:val="18"/>
              </w:rPr>
            </w:pPr>
            <w:r w:rsidRPr="00545EC0">
              <w:rPr>
                <w:rFonts w:cs="Arial"/>
                <w:sz w:val="18"/>
                <w:szCs w:val="18"/>
              </w:rPr>
              <w:t>1006</w:t>
            </w:r>
          </w:p>
        </w:tc>
        <w:tc>
          <w:tcPr>
            <w:tcW w:w="2693" w:type="dxa"/>
            <w:shd w:val="clear" w:color="000000" w:fill="FFFFFF"/>
            <w:noWrap/>
            <w:vAlign w:val="center"/>
          </w:tcPr>
          <w:p w14:paraId="39B36CE7" w14:textId="77777777" w:rsidR="00AA23DA" w:rsidRPr="00545EC0" w:rsidRDefault="00AA23DA" w:rsidP="00E44DAA">
            <w:pPr>
              <w:spacing w:line="240" w:lineRule="auto"/>
              <w:jc w:val="left"/>
              <w:rPr>
                <w:rFonts w:cs="Arial"/>
                <w:sz w:val="18"/>
                <w:szCs w:val="18"/>
              </w:rPr>
            </w:pPr>
            <w:r w:rsidRPr="00545EC0">
              <w:rPr>
                <w:rFonts w:cs="Arial"/>
                <w:sz w:val="18"/>
                <w:szCs w:val="18"/>
              </w:rPr>
              <w:t>Kamniško-Savinjske Alpe</w:t>
            </w:r>
          </w:p>
        </w:tc>
        <w:tc>
          <w:tcPr>
            <w:tcW w:w="1276" w:type="dxa"/>
            <w:shd w:val="clear" w:color="auto" w:fill="auto"/>
            <w:noWrap/>
            <w:vAlign w:val="center"/>
          </w:tcPr>
          <w:p w14:paraId="3365B123" w14:textId="77777777" w:rsidR="00AA23DA" w:rsidRPr="00545EC0" w:rsidRDefault="00AA23DA" w:rsidP="00E44DAA">
            <w:pPr>
              <w:spacing w:line="240" w:lineRule="auto"/>
              <w:jc w:val="center"/>
              <w:rPr>
                <w:rFonts w:cs="Arial"/>
                <w:sz w:val="18"/>
                <w:szCs w:val="18"/>
              </w:rPr>
            </w:pPr>
            <w:r w:rsidRPr="00545EC0">
              <w:rPr>
                <w:rFonts w:cs="Arial"/>
                <w:sz w:val="18"/>
                <w:szCs w:val="18"/>
              </w:rPr>
              <w:t>2014–2019</w:t>
            </w:r>
          </w:p>
        </w:tc>
        <w:tc>
          <w:tcPr>
            <w:tcW w:w="1134" w:type="dxa"/>
            <w:shd w:val="clear" w:color="auto" w:fill="FFFFFF" w:themeFill="background1"/>
            <w:noWrap/>
            <w:vAlign w:val="center"/>
          </w:tcPr>
          <w:p w14:paraId="5F494FAC" w14:textId="77777777" w:rsidR="00AA23DA" w:rsidRPr="00545EC0" w:rsidRDefault="00AA23DA" w:rsidP="00E44DAA">
            <w:pPr>
              <w:spacing w:line="240" w:lineRule="auto"/>
              <w:jc w:val="center"/>
              <w:rPr>
                <w:rFonts w:cs="Arial"/>
                <w:bCs/>
                <w:sz w:val="18"/>
                <w:szCs w:val="18"/>
              </w:rPr>
            </w:pPr>
            <w:r w:rsidRPr="00545EC0">
              <w:rPr>
                <w:rFonts w:cs="Arial"/>
                <w:sz w:val="18"/>
                <w:szCs w:val="18"/>
              </w:rPr>
              <w:t>DOBRO</w:t>
            </w:r>
          </w:p>
        </w:tc>
        <w:tc>
          <w:tcPr>
            <w:tcW w:w="1134" w:type="dxa"/>
            <w:shd w:val="clear" w:color="auto" w:fill="auto"/>
            <w:noWrap/>
            <w:vAlign w:val="center"/>
          </w:tcPr>
          <w:p w14:paraId="1A827006" w14:textId="77777777" w:rsidR="00AA23DA" w:rsidRPr="00545EC0" w:rsidRDefault="00AA23DA" w:rsidP="00E44DAA">
            <w:pPr>
              <w:spacing w:line="240" w:lineRule="auto"/>
              <w:jc w:val="center"/>
              <w:rPr>
                <w:rFonts w:cs="Arial"/>
                <w:sz w:val="18"/>
                <w:szCs w:val="18"/>
              </w:rPr>
            </w:pPr>
            <w:r w:rsidRPr="00545EC0">
              <w:rPr>
                <w:rFonts w:cs="Arial"/>
                <w:sz w:val="18"/>
                <w:szCs w:val="18"/>
              </w:rPr>
              <w:t>visoka</w:t>
            </w:r>
          </w:p>
        </w:tc>
        <w:tc>
          <w:tcPr>
            <w:tcW w:w="1837" w:type="dxa"/>
            <w:shd w:val="clear" w:color="auto" w:fill="auto"/>
            <w:noWrap/>
            <w:vAlign w:val="center"/>
          </w:tcPr>
          <w:p w14:paraId="1910574C" w14:textId="77777777" w:rsidR="00AA23DA" w:rsidRPr="00545EC0" w:rsidRDefault="00AA23DA" w:rsidP="00E44DAA">
            <w:pPr>
              <w:spacing w:line="240" w:lineRule="auto"/>
              <w:jc w:val="center"/>
              <w:rPr>
                <w:rFonts w:cs="Arial"/>
                <w:sz w:val="18"/>
                <w:szCs w:val="18"/>
              </w:rPr>
            </w:pPr>
          </w:p>
        </w:tc>
      </w:tr>
      <w:tr w:rsidR="003122F4" w:rsidRPr="00545EC0" w14:paraId="382E8690" w14:textId="77777777" w:rsidTr="001766FB">
        <w:trPr>
          <w:trHeight w:val="510"/>
        </w:trPr>
        <w:tc>
          <w:tcPr>
            <w:tcW w:w="988" w:type="dxa"/>
            <w:shd w:val="clear" w:color="000000" w:fill="FFFFFF"/>
            <w:noWrap/>
            <w:vAlign w:val="center"/>
          </w:tcPr>
          <w:p w14:paraId="2C66B1E2" w14:textId="77777777" w:rsidR="00AA23DA" w:rsidRPr="00545EC0" w:rsidRDefault="00AA23DA" w:rsidP="00E44DAA">
            <w:pPr>
              <w:spacing w:line="240" w:lineRule="auto"/>
              <w:jc w:val="center"/>
              <w:rPr>
                <w:rFonts w:cs="Arial"/>
                <w:sz w:val="18"/>
                <w:szCs w:val="18"/>
              </w:rPr>
            </w:pPr>
            <w:r w:rsidRPr="00545EC0">
              <w:rPr>
                <w:rFonts w:cs="Arial"/>
                <w:sz w:val="18"/>
                <w:szCs w:val="18"/>
              </w:rPr>
              <w:t>1007</w:t>
            </w:r>
          </w:p>
        </w:tc>
        <w:tc>
          <w:tcPr>
            <w:tcW w:w="2693" w:type="dxa"/>
            <w:shd w:val="clear" w:color="000000" w:fill="FFFFFF"/>
            <w:noWrap/>
            <w:vAlign w:val="center"/>
          </w:tcPr>
          <w:p w14:paraId="7AC2F0C8" w14:textId="77777777" w:rsidR="00AA23DA" w:rsidRPr="00545EC0" w:rsidRDefault="00AA23DA" w:rsidP="00E44DAA">
            <w:pPr>
              <w:spacing w:line="240" w:lineRule="auto"/>
              <w:jc w:val="left"/>
              <w:rPr>
                <w:rFonts w:cs="Arial"/>
                <w:sz w:val="18"/>
                <w:szCs w:val="18"/>
              </w:rPr>
            </w:pPr>
            <w:r w:rsidRPr="00545EC0">
              <w:rPr>
                <w:rFonts w:cs="Arial"/>
                <w:sz w:val="18"/>
                <w:szCs w:val="18"/>
              </w:rPr>
              <w:t>Cerkljansko, Škofjeloško in Polhograjsko hribovje</w:t>
            </w:r>
          </w:p>
        </w:tc>
        <w:tc>
          <w:tcPr>
            <w:tcW w:w="1276" w:type="dxa"/>
            <w:shd w:val="clear" w:color="auto" w:fill="auto"/>
            <w:noWrap/>
            <w:vAlign w:val="center"/>
          </w:tcPr>
          <w:p w14:paraId="239C2603" w14:textId="77777777" w:rsidR="00AA23DA" w:rsidRPr="00545EC0" w:rsidRDefault="00AA23DA" w:rsidP="00E44DAA">
            <w:pPr>
              <w:spacing w:line="240" w:lineRule="auto"/>
              <w:jc w:val="center"/>
              <w:rPr>
                <w:rFonts w:cs="Arial"/>
                <w:sz w:val="18"/>
                <w:szCs w:val="18"/>
              </w:rPr>
            </w:pPr>
            <w:r w:rsidRPr="00545EC0">
              <w:rPr>
                <w:rFonts w:cs="Arial"/>
                <w:sz w:val="18"/>
                <w:szCs w:val="18"/>
              </w:rPr>
              <w:t>2014–2019</w:t>
            </w:r>
          </w:p>
        </w:tc>
        <w:tc>
          <w:tcPr>
            <w:tcW w:w="1134" w:type="dxa"/>
            <w:shd w:val="clear" w:color="auto" w:fill="FFFFFF" w:themeFill="background1"/>
            <w:noWrap/>
            <w:vAlign w:val="center"/>
          </w:tcPr>
          <w:p w14:paraId="386B1695" w14:textId="77777777" w:rsidR="00AA23DA" w:rsidRPr="00545EC0" w:rsidRDefault="00AA23DA" w:rsidP="00E44DAA">
            <w:pPr>
              <w:spacing w:line="240" w:lineRule="auto"/>
              <w:jc w:val="center"/>
              <w:rPr>
                <w:rFonts w:cs="Arial"/>
                <w:bCs/>
                <w:sz w:val="18"/>
                <w:szCs w:val="18"/>
              </w:rPr>
            </w:pPr>
            <w:r w:rsidRPr="00545EC0">
              <w:rPr>
                <w:rFonts w:cs="Arial"/>
                <w:sz w:val="18"/>
                <w:szCs w:val="18"/>
              </w:rPr>
              <w:t>DOBRO</w:t>
            </w:r>
          </w:p>
        </w:tc>
        <w:tc>
          <w:tcPr>
            <w:tcW w:w="1134" w:type="dxa"/>
            <w:shd w:val="clear" w:color="auto" w:fill="auto"/>
            <w:noWrap/>
            <w:vAlign w:val="center"/>
          </w:tcPr>
          <w:p w14:paraId="7F4E35A1" w14:textId="77777777" w:rsidR="00AA23DA" w:rsidRPr="00545EC0" w:rsidRDefault="00AA23DA" w:rsidP="00E44DAA">
            <w:pPr>
              <w:spacing w:line="240" w:lineRule="auto"/>
              <w:jc w:val="center"/>
              <w:rPr>
                <w:rFonts w:cs="Arial"/>
                <w:sz w:val="18"/>
                <w:szCs w:val="18"/>
              </w:rPr>
            </w:pPr>
            <w:r w:rsidRPr="00545EC0">
              <w:rPr>
                <w:rFonts w:cs="Arial"/>
                <w:sz w:val="18"/>
                <w:szCs w:val="18"/>
              </w:rPr>
              <w:t>srednja</w:t>
            </w:r>
          </w:p>
        </w:tc>
        <w:tc>
          <w:tcPr>
            <w:tcW w:w="1837" w:type="dxa"/>
            <w:shd w:val="clear" w:color="auto" w:fill="auto"/>
            <w:noWrap/>
            <w:vAlign w:val="center"/>
          </w:tcPr>
          <w:p w14:paraId="766C6A14" w14:textId="77777777" w:rsidR="00AA23DA" w:rsidRPr="00545EC0" w:rsidRDefault="00AA23DA" w:rsidP="00E44DAA">
            <w:pPr>
              <w:spacing w:line="240" w:lineRule="auto"/>
              <w:jc w:val="center"/>
              <w:rPr>
                <w:rFonts w:cs="Arial"/>
                <w:sz w:val="18"/>
                <w:szCs w:val="18"/>
              </w:rPr>
            </w:pPr>
          </w:p>
        </w:tc>
      </w:tr>
      <w:tr w:rsidR="003122F4" w:rsidRPr="00545EC0" w14:paraId="6D647F9B" w14:textId="77777777" w:rsidTr="001766FB">
        <w:trPr>
          <w:trHeight w:val="510"/>
        </w:trPr>
        <w:tc>
          <w:tcPr>
            <w:tcW w:w="988" w:type="dxa"/>
            <w:shd w:val="clear" w:color="000000" w:fill="FFFFFF"/>
            <w:noWrap/>
            <w:vAlign w:val="center"/>
          </w:tcPr>
          <w:p w14:paraId="6BED218B" w14:textId="77777777" w:rsidR="00AA23DA" w:rsidRPr="00545EC0" w:rsidRDefault="00AA23DA" w:rsidP="00E44DAA">
            <w:pPr>
              <w:spacing w:line="240" w:lineRule="auto"/>
              <w:jc w:val="center"/>
              <w:rPr>
                <w:rFonts w:cs="Arial"/>
                <w:sz w:val="18"/>
                <w:szCs w:val="18"/>
              </w:rPr>
            </w:pPr>
            <w:r w:rsidRPr="00545EC0">
              <w:rPr>
                <w:rFonts w:cs="Arial"/>
                <w:sz w:val="18"/>
                <w:szCs w:val="18"/>
              </w:rPr>
              <w:t>1008</w:t>
            </w:r>
          </w:p>
        </w:tc>
        <w:tc>
          <w:tcPr>
            <w:tcW w:w="2693" w:type="dxa"/>
            <w:shd w:val="clear" w:color="000000" w:fill="FFFFFF"/>
            <w:noWrap/>
            <w:vAlign w:val="center"/>
          </w:tcPr>
          <w:p w14:paraId="032CCC88" w14:textId="77777777" w:rsidR="00AA23DA" w:rsidRPr="00545EC0" w:rsidRDefault="00AA23DA" w:rsidP="00E44DAA">
            <w:pPr>
              <w:spacing w:line="240" w:lineRule="auto"/>
              <w:jc w:val="left"/>
              <w:rPr>
                <w:rFonts w:cs="Arial"/>
                <w:sz w:val="18"/>
                <w:szCs w:val="18"/>
              </w:rPr>
            </w:pPr>
            <w:r w:rsidRPr="00545EC0">
              <w:rPr>
                <w:rFonts w:cs="Arial"/>
                <w:sz w:val="18"/>
                <w:szCs w:val="18"/>
              </w:rPr>
              <w:t>Posavsko hribovje do osrednje Sotle</w:t>
            </w:r>
          </w:p>
        </w:tc>
        <w:tc>
          <w:tcPr>
            <w:tcW w:w="1276" w:type="dxa"/>
            <w:shd w:val="clear" w:color="auto" w:fill="auto"/>
            <w:noWrap/>
            <w:vAlign w:val="center"/>
          </w:tcPr>
          <w:p w14:paraId="68AF3A9F" w14:textId="77777777" w:rsidR="00AA23DA" w:rsidRPr="00545EC0" w:rsidRDefault="00AA23DA" w:rsidP="00E44DAA">
            <w:pPr>
              <w:spacing w:line="240" w:lineRule="auto"/>
              <w:jc w:val="center"/>
              <w:rPr>
                <w:rFonts w:cs="Arial"/>
                <w:sz w:val="18"/>
                <w:szCs w:val="18"/>
              </w:rPr>
            </w:pPr>
            <w:r w:rsidRPr="00545EC0">
              <w:rPr>
                <w:rFonts w:cs="Arial"/>
                <w:sz w:val="18"/>
                <w:szCs w:val="18"/>
              </w:rPr>
              <w:t>2014–2019</w:t>
            </w:r>
          </w:p>
        </w:tc>
        <w:tc>
          <w:tcPr>
            <w:tcW w:w="1134" w:type="dxa"/>
            <w:shd w:val="clear" w:color="auto" w:fill="FFFFFF" w:themeFill="background1"/>
            <w:noWrap/>
            <w:vAlign w:val="center"/>
          </w:tcPr>
          <w:p w14:paraId="2568CEF7" w14:textId="77777777" w:rsidR="00AA23DA" w:rsidRPr="00545EC0" w:rsidRDefault="00AA23DA" w:rsidP="00E44DAA">
            <w:pPr>
              <w:spacing w:line="240" w:lineRule="auto"/>
              <w:jc w:val="center"/>
              <w:rPr>
                <w:rFonts w:cs="Arial"/>
                <w:bCs/>
                <w:sz w:val="18"/>
                <w:szCs w:val="18"/>
              </w:rPr>
            </w:pPr>
            <w:r w:rsidRPr="00545EC0">
              <w:rPr>
                <w:rFonts w:cs="Arial"/>
                <w:sz w:val="18"/>
                <w:szCs w:val="18"/>
              </w:rPr>
              <w:t>DOBRO</w:t>
            </w:r>
          </w:p>
        </w:tc>
        <w:tc>
          <w:tcPr>
            <w:tcW w:w="1134" w:type="dxa"/>
            <w:shd w:val="clear" w:color="auto" w:fill="auto"/>
            <w:noWrap/>
            <w:vAlign w:val="center"/>
          </w:tcPr>
          <w:p w14:paraId="40D8A51C" w14:textId="77777777" w:rsidR="00AA23DA" w:rsidRPr="00545EC0" w:rsidRDefault="00AA23DA" w:rsidP="00E44DAA">
            <w:pPr>
              <w:spacing w:line="240" w:lineRule="auto"/>
              <w:jc w:val="center"/>
              <w:rPr>
                <w:rFonts w:cs="Arial"/>
                <w:sz w:val="18"/>
                <w:szCs w:val="18"/>
              </w:rPr>
            </w:pPr>
            <w:r w:rsidRPr="00545EC0">
              <w:rPr>
                <w:rFonts w:cs="Arial"/>
                <w:sz w:val="18"/>
                <w:szCs w:val="18"/>
              </w:rPr>
              <w:t>srednja</w:t>
            </w:r>
          </w:p>
        </w:tc>
        <w:tc>
          <w:tcPr>
            <w:tcW w:w="1837" w:type="dxa"/>
            <w:shd w:val="clear" w:color="auto" w:fill="auto"/>
            <w:noWrap/>
            <w:vAlign w:val="center"/>
          </w:tcPr>
          <w:p w14:paraId="5242F2AC" w14:textId="77777777" w:rsidR="00AA23DA" w:rsidRPr="00545EC0" w:rsidRDefault="00AA23DA" w:rsidP="00E44DAA">
            <w:pPr>
              <w:spacing w:line="240" w:lineRule="auto"/>
              <w:jc w:val="center"/>
              <w:rPr>
                <w:rFonts w:cs="Arial"/>
                <w:sz w:val="18"/>
                <w:szCs w:val="18"/>
              </w:rPr>
            </w:pPr>
          </w:p>
        </w:tc>
      </w:tr>
      <w:tr w:rsidR="003122F4" w:rsidRPr="00545EC0" w14:paraId="2903CE1E" w14:textId="77777777" w:rsidTr="001766FB">
        <w:trPr>
          <w:trHeight w:val="284"/>
        </w:trPr>
        <w:tc>
          <w:tcPr>
            <w:tcW w:w="988" w:type="dxa"/>
            <w:shd w:val="clear" w:color="000000" w:fill="FFFFFF"/>
            <w:noWrap/>
            <w:vAlign w:val="center"/>
          </w:tcPr>
          <w:p w14:paraId="43805651" w14:textId="77777777" w:rsidR="00AA23DA" w:rsidRPr="00545EC0" w:rsidRDefault="00AA23DA" w:rsidP="00E44DAA">
            <w:pPr>
              <w:spacing w:line="240" w:lineRule="auto"/>
              <w:jc w:val="center"/>
              <w:rPr>
                <w:rFonts w:cs="Arial"/>
                <w:sz w:val="18"/>
                <w:szCs w:val="18"/>
              </w:rPr>
            </w:pPr>
            <w:r w:rsidRPr="00545EC0">
              <w:rPr>
                <w:rFonts w:cs="Arial"/>
                <w:sz w:val="18"/>
                <w:szCs w:val="18"/>
              </w:rPr>
              <w:t>1009</w:t>
            </w:r>
          </w:p>
        </w:tc>
        <w:tc>
          <w:tcPr>
            <w:tcW w:w="2693" w:type="dxa"/>
            <w:shd w:val="clear" w:color="000000" w:fill="FFFFFF"/>
            <w:noWrap/>
            <w:vAlign w:val="center"/>
          </w:tcPr>
          <w:p w14:paraId="2D7C48C1" w14:textId="77777777" w:rsidR="00AA23DA" w:rsidRPr="00545EC0" w:rsidRDefault="00AA23DA" w:rsidP="00E44DAA">
            <w:pPr>
              <w:spacing w:line="240" w:lineRule="auto"/>
              <w:jc w:val="left"/>
              <w:rPr>
                <w:rFonts w:cs="Arial"/>
                <w:sz w:val="18"/>
                <w:szCs w:val="18"/>
              </w:rPr>
            </w:pPr>
            <w:r w:rsidRPr="00545EC0">
              <w:rPr>
                <w:rFonts w:cs="Arial"/>
                <w:sz w:val="18"/>
                <w:szCs w:val="18"/>
              </w:rPr>
              <w:t>Spodnji del Savinje do Sotle</w:t>
            </w:r>
          </w:p>
        </w:tc>
        <w:tc>
          <w:tcPr>
            <w:tcW w:w="1276" w:type="dxa"/>
            <w:shd w:val="clear" w:color="auto" w:fill="auto"/>
            <w:noWrap/>
            <w:vAlign w:val="center"/>
          </w:tcPr>
          <w:p w14:paraId="13FFDA19" w14:textId="77777777" w:rsidR="00AA23DA" w:rsidRPr="00545EC0" w:rsidRDefault="00AA23DA" w:rsidP="00E44DAA">
            <w:pPr>
              <w:spacing w:line="240" w:lineRule="auto"/>
              <w:jc w:val="center"/>
              <w:rPr>
                <w:rFonts w:cs="Arial"/>
                <w:sz w:val="18"/>
                <w:szCs w:val="18"/>
              </w:rPr>
            </w:pPr>
            <w:r w:rsidRPr="00545EC0">
              <w:rPr>
                <w:rFonts w:cs="Arial"/>
                <w:sz w:val="18"/>
                <w:szCs w:val="18"/>
              </w:rPr>
              <w:t>2014–2019</w:t>
            </w:r>
          </w:p>
        </w:tc>
        <w:tc>
          <w:tcPr>
            <w:tcW w:w="1134" w:type="dxa"/>
            <w:shd w:val="clear" w:color="auto" w:fill="FFFFFF" w:themeFill="background1"/>
            <w:noWrap/>
            <w:vAlign w:val="center"/>
          </w:tcPr>
          <w:p w14:paraId="595EBD95" w14:textId="77777777" w:rsidR="00AA23DA" w:rsidRPr="00545EC0" w:rsidRDefault="00AA23DA" w:rsidP="00E44DAA">
            <w:pPr>
              <w:spacing w:line="240" w:lineRule="auto"/>
              <w:jc w:val="center"/>
              <w:rPr>
                <w:rFonts w:cs="Arial"/>
                <w:bCs/>
                <w:sz w:val="18"/>
                <w:szCs w:val="18"/>
              </w:rPr>
            </w:pPr>
            <w:r w:rsidRPr="00545EC0">
              <w:rPr>
                <w:rFonts w:cs="Arial"/>
                <w:sz w:val="18"/>
                <w:szCs w:val="18"/>
              </w:rPr>
              <w:t>DOBRO</w:t>
            </w:r>
          </w:p>
        </w:tc>
        <w:tc>
          <w:tcPr>
            <w:tcW w:w="1134" w:type="dxa"/>
            <w:shd w:val="clear" w:color="auto" w:fill="auto"/>
            <w:noWrap/>
            <w:vAlign w:val="center"/>
          </w:tcPr>
          <w:p w14:paraId="229BE86E" w14:textId="77777777" w:rsidR="00AA23DA" w:rsidRPr="00545EC0" w:rsidRDefault="00AA23DA" w:rsidP="00E44DAA">
            <w:pPr>
              <w:spacing w:line="240" w:lineRule="auto"/>
              <w:jc w:val="center"/>
              <w:rPr>
                <w:rFonts w:cs="Arial"/>
                <w:sz w:val="18"/>
                <w:szCs w:val="18"/>
              </w:rPr>
            </w:pPr>
            <w:r w:rsidRPr="00545EC0">
              <w:rPr>
                <w:rFonts w:cs="Arial"/>
                <w:sz w:val="18"/>
                <w:szCs w:val="18"/>
              </w:rPr>
              <w:t>srednja</w:t>
            </w:r>
          </w:p>
        </w:tc>
        <w:tc>
          <w:tcPr>
            <w:tcW w:w="1837" w:type="dxa"/>
            <w:shd w:val="clear" w:color="auto" w:fill="auto"/>
            <w:noWrap/>
            <w:vAlign w:val="center"/>
          </w:tcPr>
          <w:p w14:paraId="52307BA2" w14:textId="77777777" w:rsidR="00AA23DA" w:rsidRPr="00545EC0" w:rsidRDefault="00AA23DA" w:rsidP="00E44DAA">
            <w:pPr>
              <w:spacing w:line="240" w:lineRule="auto"/>
              <w:jc w:val="center"/>
              <w:rPr>
                <w:rFonts w:cs="Arial"/>
                <w:sz w:val="18"/>
                <w:szCs w:val="18"/>
              </w:rPr>
            </w:pPr>
          </w:p>
        </w:tc>
      </w:tr>
      <w:tr w:rsidR="003122F4" w:rsidRPr="00545EC0" w14:paraId="6D8EB200" w14:textId="77777777" w:rsidTr="001766FB">
        <w:trPr>
          <w:trHeight w:val="284"/>
        </w:trPr>
        <w:tc>
          <w:tcPr>
            <w:tcW w:w="988" w:type="dxa"/>
            <w:shd w:val="clear" w:color="000000" w:fill="FFFFFF"/>
            <w:noWrap/>
            <w:vAlign w:val="center"/>
          </w:tcPr>
          <w:p w14:paraId="12072DB1" w14:textId="77777777" w:rsidR="00AA23DA" w:rsidRPr="00545EC0" w:rsidRDefault="00AA23DA" w:rsidP="00E44DAA">
            <w:pPr>
              <w:spacing w:line="240" w:lineRule="auto"/>
              <w:jc w:val="center"/>
              <w:rPr>
                <w:rFonts w:cs="Arial"/>
                <w:sz w:val="18"/>
                <w:szCs w:val="18"/>
              </w:rPr>
            </w:pPr>
            <w:r w:rsidRPr="00545EC0">
              <w:rPr>
                <w:rFonts w:cs="Arial"/>
                <w:sz w:val="18"/>
                <w:szCs w:val="18"/>
              </w:rPr>
              <w:t>1010</w:t>
            </w:r>
          </w:p>
        </w:tc>
        <w:tc>
          <w:tcPr>
            <w:tcW w:w="2693" w:type="dxa"/>
            <w:shd w:val="clear" w:color="000000" w:fill="FFFFFF"/>
            <w:noWrap/>
            <w:vAlign w:val="center"/>
          </w:tcPr>
          <w:p w14:paraId="38709C25" w14:textId="77777777" w:rsidR="00AA23DA" w:rsidRPr="00545EC0" w:rsidRDefault="00AA23DA" w:rsidP="00E44DAA">
            <w:pPr>
              <w:spacing w:line="240" w:lineRule="auto"/>
              <w:jc w:val="left"/>
              <w:rPr>
                <w:rFonts w:cs="Arial"/>
                <w:sz w:val="18"/>
                <w:szCs w:val="18"/>
              </w:rPr>
            </w:pPr>
            <w:r w:rsidRPr="00545EC0">
              <w:rPr>
                <w:rFonts w:cs="Arial"/>
                <w:sz w:val="18"/>
                <w:szCs w:val="18"/>
              </w:rPr>
              <w:t>Kraška Ljubljanica</w:t>
            </w:r>
          </w:p>
        </w:tc>
        <w:tc>
          <w:tcPr>
            <w:tcW w:w="1276" w:type="dxa"/>
            <w:shd w:val="clear" w:color="auto" w:fill="auto"/>
            <w:noWrap/>
            <w:vAlign w:val="center"/>
          </w:tcPr>
          <w:p w14:paraId="5322FDCC" w14:textId="77777777" w:rsidR="00AA23DA" w:rsidRPr="00545EC0" w:rsidRDefault="00AA23DA" w:rsidP="00E44DAA">
            <w:pPr>
              <w:spacing w:line="240" w:lineRule="auto"/>
              <w:jc w:val="center"/>
              <w:rPr>
                <w:rFonts w:cs="Arial"/>
                <w:sz w:val="18"/>
                <w:szCs w:val="18"/>
              </w:rPr>
            </w:pPr>
            <w:r w:rsidRPr="00545EC0">
              <w:rPr>
                <w:rFonts w:cs="Arial"/>
                <w:sz w:val="18"/>
                <w:szCs w:val="18"/>
              </w:rPr>
              <w:t>2014–2019</w:t>
            </w:r>
          </w:p>
        </w:tc>
        <w:tc>
          <w:tcPr>
            <w:tcW w:w="1134" w:type="dxa"/>
            <w:shd w:val="clear" w:color="auto" w:fill="FFFFFF" w:themeFill="background1"/>
            <w:noWrap/>
            <w:vAlign w:val="center"/>
          </w:tcPr>
          <w:p w14:paraId="006F6A75" w14:textId="77777777" w:rsidR="00AA23DA" w:rsidRPr="00545EC0" w:rsidRDefault="00AA23DA" w:rsidP="00E44DAA">
            <w:pPr>
              <w:spacing w:line="240" w:lineRule="auto"/>
              <w:jc w:val="center"/>
              <w:rPr>
                <w:rFonts w:cs="Arial"/>
                <w:bCs/>
                <w:sz w:val="18"/>
                <w:szCs w:val="18"/>
              </w:rPr>
            </w:pPr>
            <w:r w:rsidRPr="00545EC0">
              <w:rPr>
                <w:rFonts w:cs="Arial"/>
                <w:sz w:val="18"/>
                <w:szCs w:val="18"/>
              </w:rPr>
              <w:t>DOBRO</w:t>
            </w:r>
          </w:p>
        </w:tc>
        <w:tc>
          <w:tcPr>
            <w:tcW w:w="1134" w:type="dxa"/>
            <w:shd w:val="clear" w:color="auto" w:fill="auto"/>
            <w:noWrap/>
            <w:vAlign w:val="center"/>
          </w:tcPr>
          <w:p w14:paraId="4D53BAD5" w14:textId="77777777" w:rsidR="00AA23DA" w:rsidRPr="00545EC0" w:rsidRDefault="00AA23DA" w:rsidP="00E44DAA">
            <w:pPr>
              <w:spacing w:line="240" w:lineRule="auto"/>
              <w:jc w:val="center"/>
              <w:rPr>
                <w:rFonts w:cs="Arial"/>
                <w:sz w:val="18"/>
                <w:szCs w:val="18"/>
              </w:rPr>
            </w:pPr>
            <w:r w:rsidRPr="00545EC0">
              <w:rPr>
                <w:rFonts w:cs="Arial"/>
                <w:sz w:val="18"/>
                <w:szCs w:val="18"/>
              </w:rPr>
              <w:t>srednja</w:t>
            </w:r>
          </w:p>
        </w:tc>
        <w:tc>
          <w:tcPr>
            <w:tcW w:w="1837" w:type="dxa"/>
            <w:shd w:val="clear" w:color="auto" w:fill="auto"/>
            <w:noWrap/>
            <w:vAlign w:val="center"/>
          </w:tcPr>
          <w:p w14:paraId="20335D4A" w14:textId="77777777" w:rsidR="00AA23DA" w:rsidRPr="00545EC0" w:rsidRDefault="00AA23DA" w:rsidP="00E44DAA">
            <w:pPr>
              <w:spacing w:line="240" w:lineRule="auto"/>
              <w:jc w:val="center"/>
              <w:rPr>
                <w:rFonts w:cs="Arial"/>
                <w:sz w:val="18"/>
                <w:szCs w:val="18"/>
              </w:rPr>
            </w:pPr>
          </w:p>
        </w:tc>
      </w:tr>
      <w:tr w:rsidR="003122F4" w:rsidRPr="00545EC0" w14:paraId="748D3068" w14:textId="77777777" w:rsidTr="001766FB">
        <w:trPr>
          <w:trHeight w:val="284"/>
        </w:trPr>
        <w:tc>
          <w:tcPr>
            <w:tcW w:w="988" w:type="dxa"/>
            <w:shd w:val="clear" w:color="000000" w:fill="FFFFFF"/>
            <w:noWrap/>
            <w:vAlign w:val="center"/>
          </w:tcPr>
          <w:p w14:paraId="164FAD34" w14:textId="77777777" w:rsidR="00AA23DA" w:rsidRPr="00545EC0" w:rsidRDefault="00AA23DA" w:rsidP="00E44DAA">
            <w:pPr>
              <w:spacing w:line="240" w:lineRule="auto"/>
              <w:jc w:val="center"/>
              <w:rPr>
                <w:rFonts w:cs="Arial"/>
                <w:sz w:val="18"/>
                <w:szCs w:val="18"/>
              </w:rPr>
            </w:pPr>
            <w:r w:rsidRPr="00545EC0">
              <w:rPr>
                <w:rFonts w:cs="Arial"/>
                <w:sz w:val="18"/>
                <w:szCs w:val="18"/>
              </w:rPr>
              <w:t>1011</w:t>
            </w:r>
          </w:p>
        </w:tc>
        <w:tc>
          <w:tcPr>
            <w:tcW w:w="2693" w:type="dxa"/>
            <w:shd w:val="clear" w:color="000000" w:fill="FFFFFF"/>
            <w:noWrap/>
            <w:vAlign w:val="center"/>
          </w:tcPr>
          <w:p w14:paraId="09B45978" w14:textId="77777777" w:rsidR="00AA23DA" w:rsidRPr="00545EC0" w:rsidRDefault="00AA23DA" w:rsidP="00E44DAA">
            <w:pPr>
              <w:spacing w:line="240" w:lineRule="auto"/>
              <w:jc w:val="left"/>
              <w:rPr>
                <w:rFonts w:cs="Arial"/>
                <w:sz w:val="18"/>
                <w:szCs w:val="18"/>
              </w:rPr>
            </w:pPr>
            <w:r w:rsidRPr="00545EC0">
              <w:rPr>
                <w:rFonts w:cs="Arial"/>
                <w:sz w:val="18"/>
                <w:szCs w:val="18"/>
              </w:rPr>
              <w:t>Dolenjski kras</w:t>
            </w:r>
          </w:p>
        </w:tc>
        <w:tc>
          <w:tcPr>
            <w:tcW w:w="1276" w:type="dxa"/>
            <w:shd w:val="clear" w:color="auto" w:fill="auto"/>
            <w:noWrap/>
            <w:vAlign w:val="center"/>
          </w:tcPr>
          <w:p w14:paraId="66D8FF32" w14:textId="77777777" w:rsidR="00AA23DA" w:rsidRPr="00545EC0" w:rsidRDefault="00AA23DA" w:rsidP="00E44DAA">
            <w:pPr>
              <w:spacing w:line="240" w:lineRule="auto"/>
              <w:jc w:val="center"/>
              <w:rPr>
                <w:rFonts w:cs="Arial"/>
                <w:sz w:val="18"/>
                <w:szCs w:val="18"/>
              </w:rPr>
            </w:pPr>
            <w:r w:rsidRPr="00545EC0">
              <w:rPr>
                <w:rFonts w:cs="Arial"/>
                <w:sz w:val="18"/>
                <w:szCs w:val="18"/>
              </w:rPr>
              <w:t>2014–2019</w:t>
            </w:r>
          </w:p>
        </w:tc>
        <w:tc>
          <w:tcPr>
            <w:tcW w:w="1134" w:type="dxa"/>
            <w:shd w:val="clear" w:color="auto" w:fill="FFFFFF" w:themeFill="background1"/>
            <w:noWrap/>
            <w:vAlign w:val="center"/>
          </w:tcPr>
          <w:p w14:paraId="2DC3209E" w14:textId="77777777" w:rsidR="00AA23DA" w:rsidRPr="00545EC0" w:rsidRDefault="00AA23DA" w:rsidP="00E44DAA">
            <w:pPr>
              <w:spacing w:line="240" w:lineRule="auto"/>
              <w:jc w:val="center"/>
              <w:rPr>
                <w:rFonts w:cs="Arial"/>
                <w:bCs/>
                <w:sz w:val="18"/>
                <w:szCs w:val="18"/>
              </w:rPr>
            </w:pPr>
            <w:r w:rsidRPr="00545EC0">
              <w:rPr>
                <w:rFonts w:cs="Arial"/>
                <w:sz w:val="18"/>
                <w:szCs w:val="18"/>
              </w:rPr>
              <w:t>DOBRO</w:t>
            </w:r>
          </w:p>
        </w:tc>
        <w:tc>
          <w:tcPr>
            <w:tcW w:w="1134" w:type="dxa"/>
            <w:shd w:val="clear" w:color="auto" w:fill="auto"/>
            <w:noWrap/>
            <w:vAlign w:val="center"/>
          </w:tcPr>
          <w:p w14:paraId="31C7261D" w14:textId="77777777" w:rsidR="00AA23DA" w:rsidRPr="00545EC0" w:rsidRDefault="00AA23DA" w:rsidP="00E44DAA">
            <w:pPr>
              <w:spacing w:line="240" w:lineRule="auto"/>
              <w:jc w:val="center"/>
              <w:rPr>
                <w:rFonts w:cs="Arial"/>
                <w:sz w:val="18"/>
                <w:szCs w:val="18"/>
              </w:rPr>
            </w:pPr>
            <w:r w:rsidRPr="00545EC0">
              <w:rPr>
                <w:rFonts w:cs="Arial"/>
                <w:sz w:val="18"/>
                <w:szCs w:val="18"/>
              </w:rPr>
              <w:t>srednja</w:t>
            </w:r>
          </w:p>
        </w:tc>
        <w:tc>
          <w:tcPr>
            <w:tcW w:w="1837" w:type="dxa"/>
            <w:shd w:val="clear" w:color="auto" w:fill="auto"/>
            <w:noWrap/>
            <w:vAlign w:val="center"/>
          </w:tcPr>
          <w:p w14:paraId="400E02C6" w14:textId="77777777" w:rsidR="00AA23DA" w:rsidRPr="00545EC0" w:rsidRDefault="00AA23DA" w:rsidP="00E44DAA">
            <w:pPr>
              <w:spacing w:line="240" w:lineRule="auto"/>
              <w:jc w:val="center"/>
              <w:rPr>
                <w:rFonts w:cs="Arial"/>
                <w:sz w:val="18"/>
                <w:szCs w:val="18"/>
              </w:rPr>
            </w:pPr>
          </w:p>
        </w:tc>
      </w:tr>
      <w:tr w:rsidR="003122F4" w:rsidRPr="00545EC0" w14:paraId="1C8CFD3D" w14:textId="77777777" w:rsidTr="001766FB">
        <w:trPr>
          <w:trHeight w:val="284"/>
        </w:trPr>
        <w:tc>
          <w:tcPr>
            <w:tcW w:w="988" w:type="dxa"/>
            <w:shd w:val="clear" w:color="000000" w:fill="FFFFFF"/>
            <w:noWrap/>
            <w:vAlign w:val="center"/>
          </w:tcPr>
          <w:p w14:paraId="6786F4BF" w14:textId="77777777" w:rsidR="00AA23DA" w:rsidRPr="00545EC0" w:rsidRDefault="00AA23DA" w:rsidP="00E44DAA">
            <w:pPr>
              <w:spacing w:line="240" w:lineRule="auto"/>
              <w:jc w:val="center"/>
              <w:rPr>
                <w:rFonts w:cs="Arial"/>
                <w:sz w:val="18"/>
                <w:szCs w:val="18"/>
              </w:rPr>
            </w:pPr>
            <w:r w:rsidRPr="00545EC0">
              <w:rPr>
                <w:rFonts w:cs="Arial"/>
                <w:sz w:val="18"/>
                <w:szCs w:val="18"/>
              </w:rPr>
              <w:t>3012</w:t>
            </w:r>
          </w:p>
        </w:tc>
        <w:tc>
          <w:tcPr>
            <w:tcW w:w="2693" w:type="dxa"/>
            <w:shd w:val="clear" w:color="000000" w:fill="FFFFFF"/>
            <w:noWrap/>
            <w:vAlign w:val="center"/>
          </w:tcPr>
          <w:p w14:paraId="3F68440A" w14:textId="77777777" w:rsidR="00AA23DA" w:rsidRPr="00545EC0" w:rsidRDefault="00AA23DA" w:rsidP="00E44DAA">
            <w:pPr>
              <w:spacing w:line="240" w:lineRule="auto"/>
              <w:jc w:val="left"/>
              <w:rPr>
                <w:rFonts w:cs="Arial"/>
                <w:sz w:val="18"/>
                <w:szCs w:val="18"/>
              </w:rPr>
            </w:pPr>
            <w:r w:rsidRPr="00545EC0">
              <w:rPr>
                <w:rFonts w:cs="Arial"/>
                <w:sz w:val="18"/>
                <w:szCs w:val="18"/>
              </w:rPr>
              <w:t>Dravska kotlina</w:t>
            </w:r>
          </w:p>
        </w:tc>
        <w:tc>
          <w:tcPr>
            <w:tcW w:w="1276" w:type="dxa"/>
            <w:shd w:val="clear" w:color="auto" w:fill="auto"/>
            <w:noWrap/>
            <w:vAlign w:val="center"/>
          </w:tcPr>
          <w:p w14:paraId="1E0708C1" w14:textId="77777777" w:rsidR="00AA23DA" w:rsidRPr="00545EC0" w:rsidRDefault="00AA23DA" w:rsidP="00E44DAA">
            <w:pPr>
              <w:spacing w:line="240" w:lineRule="auto"/>
              <w:jc w:val="center"/>
              <w:rPr>
                <w:rFonts w:cs="Arial"/>
                <w:sz w:val="18"/>
                <w:szCs w:val="18"/>
              </w:rPr>
            </w:pPr>
            <w:r w:rsidRPr="00545EC0">
              <w:rPr>
                <w:rFonts w:cs="Arial"/>
                <w:sz w:val="18"/>
                <w:szCs w:val="18"/>
              </w:rPr>
              <w:t>2014–2019</w:t>
            </w:r>
          </w:p>
        </w:tc>
        <w:tc>
          <w:tcPr>
            <w:tcW w:w="1134" w:type="dxa"/>
            <w:shd w:val="clear" w:color="auto" w:fill="FFFFFF" w:themeFill="background1"/>
            <w:noWrap/>
            <w:vAlign w:val="center"/>
          </w:tcPr>
          <w:p w14:paraId="0EE794C8" w14:textId="77777777" w:rsidR="00AA23DA" w:rsidRPr="00545EC0" w:rsidRDefault="00AA23DA" w:rsidP="00E44DAA">
            <w:pPr>
              <w:spacing w:line="240" w:lineRule="auto"/>
              <w:jc w:val="center"/>
              <w:rPr>
                <w:rFonts w:cs="Arial"/>
                <w:bCs/>
                <w:sz w:val="18"/>
                <w:szCs w:val="18"/>
              </w:rPr>
            </w:pPr>
            <w:r w:rsidRPr="00545EC0">
              <w:rPr>
                <w:rFonts w:cs="Arial"/>
                <w:sz w:val="18"/>
                <w:szCs w:val="18"/>
              </w:rPr>
              <w:t>SLABO</w:t>
            </w:r>
          </w:p>
        </w:tc>
        <w:tc>
          <w:tcPr>
            <w:tcW w:w="1134" w:type="dxa"/>
            <w:shd w:val="clear" w:color="auto" w:fill="auto"/>
            <w:noWrap/>
            <w:vAlign w:val="center"/>
          </w:tcPr>
          <w:p w14:paraId="654366C4" w14:textId="77777777" w:rsidR="00AA23DA" w:rsidRPr="00545EC0" w:rsidRDefault="00AA23DA" w:rsidP="00E44DAA">
            <w:pPr>
              <w:spacing w:line="240" w:lineRule="auto"/>
              <w:jc w:val="center"/>
              <w:rPr>
                <w:rFonts w:cs="Arial"/>
                <w:sz w:val="18"/>
                <w:szCs w:val="18"/>
              </w:rPr>
            </w:pPr>
            <w:r w:rsidRPr="00545EC0">
              <w:rPr>
                <w:rFonts w:cs="Arial"/>
                <w:sz w:val="18"/>
                <w:szCs w:val="18"/>
              </w:rPr>
              <w:t>visoka</w:t>
            </w:r>
          </w:p>
        </w:tc>
        <w:tc>
          <w:tcPr>
            <w:tcW w:w="1837" w:type="dxa"/>
            <w:shd w:val="clear" w:color="auto" w:fill="auto"/>
            <w:noWrap/>
            <w:vAlign w:val="center"/>
          </w:tcPr>
          <w:p w14:paraId="65CA4A30" w14:textId="77777777" w:rsidR="00AA23DA" w:rsidRPr="00545EC0" w:rsidRDefault="00AA23DA" w:rsidP="00E44DAA">
            <w:pPr>
              <w:spacing w:line="240" w:lineRule="auto"/>
              <w:jc w:val="center"/>
              <w:rPr>
                <w:rFonts w:cs="Arial"/>
                <w:sz w:val="18"/>
                <w:szCs w:val="18"/>
              </w:rPr>
            </w:pPr>
            <w:r w:rsidRPr="00545EC0">
              <w:rPr>
                <w:rFonts w:cs="Arial"/>
                <w:sz w:val="18"/>
                <w:szCs w:val="18"/>
              </w:rPr>
              <w:t>nitrat, atrazin</w:t>
            </w:r>
          </w:p>
        </w:tc>
      </w:tr>
      <w:tr w:rsidR="003122F4" w:rsidRPr="00545EC0" w14:paraId="288FBE0E" w14:textId="77777777" w:rsidTr="001766FB">
        <w:trPr>
          <w:trHeight w:val="284"/>
        </w:trPr>
        <w:tc>
          <w:tcPr>
            <w:tcW w:w="988" w:type="dxa"/>
            <w:shd w:val="clear" w:color="000000" w:fill="FFFFFF"/>
            <w:noWrap/>
            <w:vAlign w:val="center"/>
          </w:tcPr>
          <w:p w14:paraId="67DBD2EB" w14:textId="77777777" w:rsidR="00AA23DA" w:rsidRPr="00545EC0" w:rsidRDefault="00AA23DA" w:rsidP="00E44DAA">
            <w:pPr>
              <w:spacing w:line="240" w:lineRule="auto"/>
              <w:jc w:val="center"/>
              <w:rPr>
                <w:rFonts w:cs="Arial"/>
                <w:sz w:val="18"/>
                <w:szCs w:val="18"/>
              </w:rPr>
            </w:pPr>
            <w:r w:rsidRPr="00545EC0">
              <w:rPr>
                <w:rFonts w:cs="Arial"/>
                <w:sz w:val="18"/>
                <w:szCs w:val="18"/>
              </w:rPr>
              <w:t>3013</w:t>
            </w:r>
          </w:p>
        </w:tc>
        <w:tc>
          <w:tcPr>
            <w:tcW w:w="2693" w:type="dxa"/>
            <w:shd w:val="clear" w:color="000000" w:fill="FFFFFF"/>
            <w:noWrap/>
            <w:vAlign w:val="center"/>
          </w:tcPr>
          <w:p w14:paraId="77375F54" w14:textId="77777777" w:rsidR="00AA23DA" w:rsidRPr="00545EC0" w:rsidRDefault="00AA23DA" w:rsidP="00E44DAA">
            <w:pPr>
              <w:spacing w:line="240" w:lineRule="auto"/>
              <w:jc w:val="left"/>
              <w:rPr>
                <w:rFonts w:cs="Arial"/>
                <w:sz w:val="18"/>
                <w:szCs w:val="18"/>
              </w:rPr>
            </w:pPr>
            <w:r w:rsidRPr="00545EC0">
              <w:rPr>
                <w:rFonts w:cs="Arial"/>
                <w:sz w:val="18"/>
                <w:szCs w:val="18"/>
              </w:rPr>
              <w:t>Vzhodne Alpe</w:t>
            </w:r>
          </w:p>
        </w:tc>
        <w:tc>
          <w:tcPr>
            <w:tcW w:w="1276" w:type="dxa"/>
            <w:shd w:val="clear" w:color="auto" w:fill="auto"/>
            <w:noWrap/>
            <w:vAlign w:val="center"/>
          </w:tcPr>
          <w:p w14:paraId="2251112E" w14:textId="77777777" w:rsidR="00AA23DA" w:rsidRPr="00545EC0" w:rsidRDefault="00AA23DA" w:rsidP="00E44DAA">
            <w:pPr>
              <w:spacing w:line="240" w:lineRule="auto"/>
              <w:jc w:val="center"/>
              <w:rPr>
                <w:rFonts w:cs="Arial"/>
                <w:sz w:val="18"/>
                <w:szCs w:val="18"/>
              </w:rPr>
            </w:pPr>
            <w:r w:rsidRPr="00545EC0">
              <w:rPr>
                <w:rFonts w:cs="Arial"/>
                <w:sz w:val="18"/>
                <w:szCs w:val="18"/>
              </w:rPr>
              <w:t>2014–2019</w:t>
            </w:r>
          </w:p>
        </w:tc>
        <w:tc>
          <w:tcPr>
            <w:tcW w:w="1134" w:type="dxa"/>
            <w:shd w:val="clear" w:color="auto" w:fill="FFFFFF" w:themeFill="background1"/>
            <w:noWrap/>
            <w:vAlign w:val="center"/>
          </w:tcPr>
          <w:p w14:paraId="1B0CC856" w14:textId="77777777" w:rsidR="00AA23DA" w:rsidRPr="00545EC0" w:rsidRDefault="00AA23DA" w:rsidP="00E44DAA">
            <w:pPr>
              <w:spacing w:line="240" w:lineRule="auto"/>
              <w:jc w:val="center"/>
              <w:rPr>
                <w:rFonts w:cs="Arial"/>
                <w:bCs/>
                <w:sz w:val="18"/>
                <w:szCs w:val="18"/>
              </w:rPr>
            </w:pPr>
            <w:r w:rsidRPr="00545EC0">
              <w:rPr>
                <w:rFonts w:cs="Arial"/>
                <w:sz w:val="18"/>
                <w:szCs w:val="18"/>
              </w:rPr>
              <w:t>DOBRO</w:t>
            </w:r>
          </w:p>
        </w:tc>
        <w:tc>
          <w:tcPr>
            <w:tcW w:w="1134" w:type="dxa"/>
            <w:shd w:val="clear" w:color="auto" w:fill="auto"/>
            <w:noWrap/>
            <w:vAlign w:val="center"/>
          </w:tcPr>
          <w:p w14:paraId="546E4EAD" w14:textId="77777777" w:rsidR="00AA23DA" w:rsidRPr="00545EC0" w:rsidRDefault="00AA23DA" w:rsidP="00E44DAA">
            <w:pPr>
              <w:spacing w:line="240" w:lineRule="auto"/>
              <w:jc w:val="center"/>
              <w:rPr>
                <w:rFonts w:cs="Arial"/>
                <w:sz w:val="18"/>
                <w:szCs w:val="18"/>
              </w:rPr>
            </w:pPr>
            <w:r w:rsidRPr="00545EC0">
              <w:rPr>
                <w:rFonts w:cs="Arial"/>
                <w:sz w:val="18"/>
                <w:szCs w:val="18"/>
              </w:rPr>
              <w:t>srednja</w:t>
            </w:r>
          </w:p>
        </w:tc>
        <w:tc>
          <w:tcPr>
            <w:tcW w:w="1837" w:type="dxa"/>
            <w:shd w:val="clear" w:color="auto" w:fill="auto"/>
            <w:noWrap/>
            <w:vAlign w:val="center"/>
          </w:tcPr>
          <w:p w14:paraId="26CD2EF9" w14:textId="77777777" w:rsidR="00AA23DA" w:rsidRPr="00545EC0" w:rsidRDefault="00AA23DA" w:rsidP="00E44DAA">
            <w:pPr>
              <w:spacing w:line="240" w:lineRule="auto"/>
              <w:jc w:val="center"/>
              <w:rPr>
                <w:rFonts w:cs="Arial"/>
                <w:sz w:val="18"/>
                <w:szCs w:val="18"/>
              </w:rPr>
            </w:pPr>
          </w:p>
        </w:tc>
      </w:tr>
      <w:tr w:rsidR="003122F4" w:rsidRPr="00545EC0" w14:paraId="66F955C8" w14:textId="77777777" w:rsidTr="001766FB">
        <w:trPr>
          <w:trHeight w:val="284"/>
        </w:trPr>
        <w:tc>
          <w:tcPr>
            <w:tcW w:w="988" w:type="dxa"/>
            <w:shd w:val="clear" w:color="000000" w:fill="FFFFFF"/>
            <w:noWrap/>
            <w:vAlign w:val="center"/>
          </w:tcPr>
          <w:p w14:paraId="2D7AF062" w14:textId="77777777" w:rsidR="00AA23DA" w:rsidRPr="00545EC0" w:rsidRDefault="00AA23DA" w:rsidP="00E44DAA">
            <w:pPr>
              <w:spacing w:line="240" w:lineRule="auto"/>
              <w:jc w:val="center"/>
              <w:rPr>
                <w:rFonts w:cs="Arial"/>
                <w:sz w:val="18"/>
                <w:szCs w:val="18"/>
              </w:rPr>
            </w:pPr>
            <w:r w:rsidRPr="00545EC0">
              <w:rPr>
                <w:rFonts w:cs="Arial"/>
                <w:sz w:val="18"/>
                <w:szCs w:val="18"/>
              </w:rPr>
              <w:t>3014</w:t>
            </w:r>
          </w:p>
        </w:tc>
        <w:tc>
          <w:tcPr>
            <w:tcW w:w="2693" w:type="dxa"/>
            <w:shd w:val="clear" w:color="000000" w:fill="FFFFFF"/>
            <w:noWrap/>
            <w:vAlign w:val="center"/>
          </w:tcPr>
          <w:p w14:paraId="6064BC83" w14:textId="77777777" w:rsidR="00AA23DA" w:rsidRPr="00545EC0" w:rsidRDefault="00AA23DA" w:rsidP="00E44DAA">
            <w:pPr>
              <w:spacing w:line="240" w:lineRule="auto"/>
              <w:jc w:val="left"/>
              <w:rPr>
                <w:rFonts w:cs="Arial"/>
                <w:sz w:val="18"/>
                <w:szCs w:val="18"/>
              </w:rPr>
            </w:pPr>
            <w:r w:rsidRPr="00545EC0">
              <w:rPr>
                <w:rFonts w:cs="Arial"/>
                <w:sz w:val="18"/>
                <w:szCs w:val="18"/>
              </w:rPr>
              <w:t>Haloze in Dravinjske gorice</w:t>
            </w:r>
          </w:p>
        </w:tc>
        <w:tc>
          <w:tcPr>
            <w:tcW w:w="1276" w:type="dxa"/>
            <w:shd w:val="clear" w:color="auto" w:fill="auto"/>
            <w:noWrap/>
            <w:vAlign w:val="center"/>
          </w:tcPr>
          <w:p w14:paraId="13A0D06C" w14:textId="77777777" w:rsidR="00AA23DA" w:rsidRPr="00545EC0" w:rsidRDefault="00AA23DA" w:rsidP="00E44DAA">
            <w:pPr>
              <w:spacing w:line="240" w:lineRule="auto"/>
              <w:jc w:val="center"/>
              <w:rPr>
                <w:rFonts w:cs="Arial"/>
                <w:sz w:val="18"/>
                <w:szCs w:val="18"/>
              </w:rPr>
            </w:pPr>
            <w:r w:rsidRPr="00545EC0">
              <w:rPr>
                <w:rFonts w:cs="Arial"/>
                <w:sz w:val="18"/>
                <w:szCs w:val="18"/>
              </w:rPr>
              <w:t>2014–2019</w:t>
            </w:r>
          </w:p>
        </w:tc>
        <w:tc>
          <w:tcPr>
            <w:tcW w:w="1134" w:type="dxa"/>
            <w:shd w:val="clear" w:color="auto" w:fill="FFFFFF" w:themeFill="background1"/>
            <w:noWrap/>
            <w:vAlign w:val="center"/>
          </w:tcPr>
          <w:p w14:paraId="1B68891E" w14:textId="77777777" w:rsidR="00AA23DA" w:rsidRPr="00545EC0" w:rsidRDefault="00AA23DA" w:rsidP="00E44DAA">
            <w:pPr>
              <w:spacing w:line="240" w:lineRule="auto"/>
              <w:jc w:val="center"/>
              <w:rPr>
                <w:rFonts w:cs="Arial"/>
                <w:bCs/>
                <w:sz w:val="18"/>
                <w:szCs w:val="18"/>
              </w:rPr>
            </w:pPr>
            <w:r w:rsidRPr="00545EC0">
              <w:rPr>
                <w:rFonts w:cs="Arial"/>
                <w:sz w:val="18"/>
                <w:szCs w:val="18"/>
              </w:rPr>
              <w:t>DOBRO</w:t>
            </w:r>
          </w:p>
        </w:tc>
        <w:tc>
          <w:tcPr>
            <w:tcW w:w="1134" w:type="dxa"/>
            <w:shd w:val="clear" w:color="auto" w:fill="auto"/>
            <w:noWrap/>
            <w:vAlign w:val="center"/>
          </w:tcPr>
          <w:p w14:paraId="1460FB20" w14:textId="77777777" w:rsidR="00AA23DA" w:rsidRPr="00545EC0" w:rsidRDefault="00AA23DA" w:rsidP="00E44DAA">
            <w:pPr>
              <w:spacing w:line="240" w:lineRule="auto"/>
              <w:jc w:val="center"/>
              <w:rPr>
                <w:rFonts w:cs="Arial"/>
                <w:sz w:val="18"/>
                <w:szCs w:val="18"/>
              </w:rPr>
            </w:pPr>
            <w:r w:rsidRPr="00545EC0">
              <w:rPr>
                <w:rFonts w:cs="Arial"/>
                <w:sz w:val="18"/>
                <w:szCs w:val="18"/>
              </w:rPr>
              <w:t>srednja</w:t>
            </w:r>
          </w:p>
        </w:tc>
        <w:tc>
          <w:tcPr>
            <w:tcW w:w="1837" w:type="dxa"/>
            <w:shd w:val="clear" w:color="auto" w:fill="auto"/>
            <w:noWrap/>
            <w:vAlign w:val="center"/>
          </w:tcPr>
          <w:p w14:paraId="678EA914" w14:textId="77777777" w:rsidR="00AA23DA" w:rsidRPr="00545EC0" w:rsidRDefault="00AA23DA" w:rsidP="00E44DAA">
            <w:pPr>
              <w:spacing w:line="240" w:lineRule="auto"/>
              <w:jc w:val="center"/>
              <w:rPr>
                <w:rFonts w:cs="Arial"/>
                <w:sz w:val="18"/>
                <w:szCs w:val="18"/>
              </w:rPr>
            </w:pPr>
          </w:p>
        </w:tc>
      </w:tr>
      <w:tr w:rsidR="003122F4" w:rsidRPr="00545EC0" w14:paraId="3E6619D3" w14:textId="77777777" w:rsidTr="001766FB">
        <w:trPr>
          <w:trHeight w:val="284"/>
        </w:trPr>
        <w:tc>
          <w:tcPr>
            <w:tcW w:w="988" w:type="dxa"/>
            <w:shd w:val="clear" w:color="000000" w:fill="FFFFFF"/>
            <w:noWrap/>
            <w:vAlign w:val="center"/>
          </w:tcPr>
          <w:p w14:paraId="065CBA9E" w14:textId="77777777" w:rsidR="00AA23DA" w:rsidRPr="00545EC0" w:rsidRDefault="00AA23DA" w:rsidP="00E44DAA">
            <w:pPr>
              <w:spacing w:line="240" w:lineRule="auto"/>
              <w:jc w:val="center"/>
              <w:rPr>
                <w:rFonts w:cs="Arial"/>
                <w:sz w:val="18"/>
                <w:szCs w:val="18"/>
              </w:rPr>
            </w:pPr>
            <w:r w:rsidRPr="00545EC0">
              <w:rPr>
                <w:rFonts w:cs="Arial"/>
                <w:sz w:val="18"/>
                <w:szCs w:val="18"/>
              </w:rPr>
              <w:t>3015</w:t>
            </w:r>
          </w:p>
        </w:tc>
        <w:tc>
          <w:tcPr>
            <w:tcW w:w="2693" w:type="dxa"/>
            <w:shd w:val="clear" w:color="000000" w:fill="FFFFFF"/>
            <w:noWrap/>
            <w:vAlign w:val="center"/>
          </w:tcPr>
          <w:p w14:paraId="2E6FF486" w14:textId="77777777" w:rsidR="00AA23DA" w:rsidRPr="00545EC0" w:rsidRDefault="00AA23DA" w:rsidP="00E44DAA">
            <w:pPr>
              <w:spacing w:line="240" w:lineRule="auto"/>
              <w:jc w:val="left"/>
              <w:rPr>
                <w:rFonts w:cs="Arial"/>
                <w:sz w:val="18"/>
                <w:szCs w:val="18"/>
              </w:rPr>
            </w:pPr>
            <w:r w:rsidRPr="00545EC0">
              <w:rPr>
                <w:rFonts w:cs="Arial"/>
                <w:sz w:val="18"/>
                <w:szCs w:val="18"/>
              </w:rPr>
              <w:t>Zahodne Slovenske gorice</w:t>
            </w:r>
          </w:p>
        </w:tc>
        <w:tc>
          <w:tcPr>
            <w:tcW w:w="1276" w:type="dxa"/>
            <w:shd w:val="clear" w:color="auto" w:fill="auto"/>
            <w:noWrap/>
            <w:vAlign w:val="center"/>
          </w:tcPr>
          <w:p w14:paraId="18048A34" w14:textId="77777777" w:rsidR="00AA23DA" w:rsidRPr="00545EC0" w:rsidRDefault="00AA23DA" w:rsidP="00E44DAA">
            <w:pPr>
              <w:spacing w:line="240" w:lineRule="auto"/>
              <w:jc w:val="center"/>
              <w:rPr>
                <w:rFonts w:cs="Arial"/>
                <w:sz w:val="18"/>
                <w:szCs w:val="18"/>
              </w:rPr>
            </w:pPr>
            <w:r w:rsidRPr="00545EC0">
              <w:rPr>
                <w:rFonts w:cs="Arial"/>
                <w:sz w:val="18"/>
                <w:szCs w:val="18"/>
              </w:rPr>
              <w:t>2014–2019</w:t>
            </w:r>
          </w:p>
        </w:tc>
        <w:tc>
          <w:tcPr>
            <w:tcW w:w="1134" w:type="dxa"/>
            <w:shd w:val="clear" w:color="auto" w:fill="FFFFFF" w:themeFill="background1"/>
            <w:noWrap/>
            <w:vAlign w:val="center"/>
          </w:tcPr>
          <w:p w14:paraId="0136B859" w14:textId="77777777" w:rsidR="00AA23DA" w:rsidRPr="00545EC0" w:rsidRDefault="00AA23DA" w:rsidP="00E44DAA">
            <w:pPr>
              <w:spacing w:line="240" w:lineRule="auto"/>
              <w:jc w:val="center"/>
              <w:rPr>
                <w:rFonts w:cs="Arial"/>
                <w:bCs/>
                <w:sz w:val="18"/>
                <w:szCs w:val="18"/>
              </w:rPr>
            </w:pPr>
            <w:r w:rsidRPr="00545EC0">
              <w:rPr>
                <w:rFonts w:cs="Arial"/>
                <w:sz w:val="18"/>
                <w:szCs w:val="18"/>
              </w:rPr>
              <w:t>DOBRO</w:t>
            </w:r>
          </w:p>
        </w:tc>
        <w:tc>
          <w:tcPr>
            <w:tcW w:w="1134" w:type="dxa"/>
            <w:shd w:val="clear" w:color="auto" w:fill="auto"/>
            <w:noWrap/>
            <w:vAlign w:val="center"/>
          </w:tcPr>
          <w:p w14:paraId="2B4ADE70" w14:textId="77777777" w:rsidR="00AA23DA" w:rsidRPr="00545EC0" w:rsidRDefault="00AA23DA" w:rsidP="00E44DAA">
            <w:pPr>
              <w:spacing w:line="240" w:lineRule="auto"/>
              <w:jc w:val="center"/>
              <w:rPr>
                <w:rFonts w:cs="Arial"/>
                <w:sz w:val="18"/>
                <w:szCs w:val="18"/>
              </w:rPr>
            </w:pPr>
            <w:r w:rsidRPr="00545EC0">
              <w:rPr>
                <w:rFonts w:cs="Arial"/>
                <w:sz w:val="18"/>
                <w:szCs w:val="18"/>
              </w:rPr>
              <w:t>srednja</w:t>
            </w:r>
          </w:p>
        </w:tc>
        <w:tc>
          <w:tcPr>
            <w:tcW w:w="1837" w:type="dxa"/>
            <w:shd w:val="clear" w:color="auto" w:fill="auto"/>
            <w:noWrap/>
            <w:vAlign w:val="center"/>
          </w:tcPr>
          <w:p w14:paraId="724439B0" w14:textId="77777777" w:rsidR="00AA23DA" w:rsidRPr="00545EC0" w:rsidRDefault="00AA23DA" w:rsidP="00E44DAA">
            <w:pPr>
              <w:spacing w:line="240" w:lineRule="auto"/>
              <w:jc w:val="center"/>
              <w:rPr>
                <w:rFonts w:cs="Arial"/>
                <w:sz w:val="18"/>
                <w:szCs w:val="18"/>
              </w:rPr>
            </w:pPr>
          </w:p>
        </w:tc>
      </w:tr>
      <w:tr w:rsidR="003122F4" w:rsidRPr="00545EC0" w14:paraId="1FB41D22" w14:textId="77777777" w:rsidTr="001766FB">
        <w:trPr>
          <w:trHeight w:val="284"/>
        </w:trPr>
        <w:tc>
          <w:tcPr>
            <w:tcW w:w="988" w:type="dxa"/>
            <w:shd w:val="clear" w:color="000000" w:fill="FFFFFF"/>
            <w:noWrap/>
            <w:vAlign w:val="center"/>
          </w:tcPr>
          <w:p w14:paraId="6DF97FB4" w14:textId="77777777" w:rsidR="00AA23DA" w:rsidRPr="00545EC0" w:rsidRDefault="00AA23DA" w:rsidP="00E44DAA">
            <w:pPr>
              <w:spacing w:line="240" w:lineRule="auto"/>
              <w:jc w:val="center"/>
              <w:rPr>
                <w:rFonts w:cs="Arial"/>
                <w:sz w:val="18"/>
                <w:szCs w:val="18"/>
              </w:rPr>
            </w:pPr>
            <w:r w:rsidRPr="00545EC0">
              <w:rPr>
                <w:rFonts w:cs="Arial"/>
                <w:sz w:val="18"/>
                <w:szCs w:val="18"/>
              </w:rPr>
              <w:t>4016</w:t>
            </w:r>
          </w:p>
        </w:tc>
        <w:tc>
          <w:tcPr>
            <w:tcW w:w="2693" w:type="dxa"/>
            <w:shd w:val="clear" w:color="000000" w:fill="FFFFFF"/>
            <w:noWrap/>
            <w:vAlign w:val="center"/>
          </w:tcPr>
          <w:p w14:paraId="17A5043E" w14:textId="77777777" w:rsidR="00AA23DA" w:rsidRPr="00545EC0" w:rsidRDefault="00AA23DA" w:rsidP="00E44DAA">
            <w:pPr>
              <w:spacing w:line="240" w:lineRule="auto"/>
              <w:jc w:val="left"/>
              <w:rPr>
                <w:rFonts w:cs="Arial"/>
                <w:sz w:val="18"/>
                <w:szCs w:val="18"/>
              </w:rPr>
            </w:pPr>
            <w:r w:rsidRPr="00545EC0">
              <w:rPr>
                <w:rFonts w:cs="Arial"/>
                <w:sz w:val="18"/>
                <w:szCs w:val="18"/>
              </w:rPr>
              <w:t>Murska kotlina</w:t>
            </w:r>
          </w:p>
        </w:tc>
        <w:tc>
          <w:tcPr>
            <w:tcW w:w="1276" w:type="dxa"/>
            <w:shd w:val="clear" w:color="auto" w:fill="auto"/>
            <w:noWrap/>
            <w:vAlign w:val="center"/>
          </w:tcPr>
          <w:p w14:paraId="30A08EEC" w14:textId="77777777" w:rsidR="00AA23DA" w:rsidRPr="00545EC0" w:rsidRDefault="00AA23DA" w:rsidP="00E44DAA">
            <w:pPr>
              <w:spacing w:line="240" w:lineRule="auto"/>
              <w:jc w:val="center"/>
              <w:rPr>
                <w:rFonts w:cs="Arial"/>
                <w:sz w:val="18"/>
                <w:szCs w:val="18"/>
              </w:rPr>
            </w:pPr>
            <w:r w:rsidRPr="00545EC0">
              <w:rPr>
                <w:rFonts w:cs="Arial"/>
                <w:sz w:val="18"/>
                <w:szCs w:val="18"/>
              </w:rPr>
              <w:t>2014–2019</w:t>
            </w:r>
          </w:p>
        </w:tc>
        <w:tc>
          <w:tcPr>
            <w:tcW w:w="1134" w:type="dxa"/>
            <w:shd w:val="clear" w:color="auto" w:fill="FFFFFF" w:themeFill="background1"/>
            <w:noWrap/>
            <w:vAlign w:val="center"/>
          </w:tcPr>
          <w:p w14:paraId="1A97C9C1" w14:textId="77777777" w:rsidR="00AA23DA" w:rsidRPr="00545EC0" w:rsidRDefault="00AA23DA" w:rsidP="00E44DAA">
            <w:pPr>
              <w:spacing w:line="240" w:lineRule="auto"/>
              <w:jc w:val="center"/>
              <w:rPr>
                <w:rFonts w:cs="Arial"/>
                <w:bCs/>
                <w:sz w:val="18"/>
                <w:szCs w:val="18"/>
              </w:rPr>
            </w:pPr>
            <w:r w:rsidRPr="00545EC0">
              <w:rPr>
                <w:rFonts w:cs="Arial"/>
                <w:sz w:val="18"/>
                <w:szCs w:val="18"/>
              </w:rPr>
              <w:t>SLABO</w:t>
            </w:r>
          </w:p>
        </w:tc>
        <w:tc>
          <w:tcPr>
            <w:tcW w:w="1134" w:type="dxa"/>
            <w:shd w:val="clear" w:color="auto" w:fill="auto"/>
            <w:noWrap/>
            <w:vAlign w:val="center"/>
          </w:tcPr>
          <w:p w14:paraId="4C23B8AB" w14:textId="77777777" w:rsidR="00AA23DA" w:rsidRPr="00545EC0" w:rsidRDefault="00AA23DA" w:rsidP="00E44DAA">
            <w:pPr>
              <w:spacing w:line="240" w:lineRule="auto"/>
              <w:jc w:val="center"/>
              <w:rPr>
                <w:rFonts w:cs="Arial"/>
                <w:sz w:val="18"/>
                <w:szCs w:val="18"/>
              </w:rPr>
            </w:pPr>
            <w:r w:rsidRPr="00545EC0">
              <w:rPr>
                <w:rFonts w:cs="Arial"/>
                <w:sz w:val="18"/>
                <w:szCs w:val="18"/>
              </w:rPr>
              <w:t>visoka</w:t>
            </w:r>
          </w:p>
        </w:tc>
        <w:tc>
          <w:tcPr>
            <w:tcW w:w="1837" w:type="dxa"/>
            <w:shd w:val="clear" w:color="auto" w:fill="auto"/>
            <w:noWrap/>
            <w:vAlign w:val="center"/>
          </w:tcPr>
          <w:p w14:paraId="117063DF" w14:textId="77777777" w:rsidR="00AA23DA" w:rsidRPr="00545EC0" w:rsidRDefault="00AA23DA" w:rsidP="00E44DAA">
            <w:pPr>
              <w:spacing w:line="240" w:lineRule="auto"/>
              <w:jc w:val="center"/>
              <w:rPr>
                <w:rFonts w:cs="Arial"/>
                <w:sz w:val="18"/>
                <w:szCs w:val="18"/>
              </w:rPr>
            </w:pPr>
            <w:r w:rsidRPr="00545EC0">
              <w:rPr>
                <w:rFonts w:cs="Arial"/>
                <w:sz w:val="18"/>
                <w:szCs w:val="18"/>
              </w:rPr>
              <w:t>nitrat</w:t>
            </w:r>
          </w:p>
        </w:tc>
      </w:tr>
      <w:tr w:rsidR="003122F4" w:rsidRPr="00545EC0" w14:paraId="321669D1" w14:textId="77777777" w:rsidTr="001766FB">
        <w:trPr>
          <w:trHeight w:val="284"/>
        </w:trPr>
        <w:tc>
          <w:tcPr>
            <w:tcW w:w="988" w:type="dxa"/>
            <w:shd w:val="clear" w:color="000000" w:fill="FFFFFF"/>
            <w:noWrap/>
            <w:vAlign w:val="center"/>
          </w:tcPr>
          <w:p w14:paraId="5BCE60E4" w14:textId="77777777" w:rsidR="00AA23DA" w:rsidRPr="00545EC0" w:rsidRDefault="00AA23DA" w:rsidP="00E44DAA">
            <w:pPr>
              <w:spacing w:line="240" w:lineRule="auto"/>
              <w:jc w:val="center"/>
              <w:rPr>
                <w:rFonts w:cs="Arial"/>
                <w:sz w:val="18"/>
                <w:szCs w:val="18"/>
              </w:rPr>
            </w:pPr>
            <w:r w:rsidRPr="00545EC0">
              <w:rPr>
                <w:rFonts w:cs="Arial"/>
                <w:sz w:val="18"/>
                <w:szCs w:val="18"/>
              </w:rPr>
              <w:t>4017</w:t>
            </w:r>
          </w:p>
        </w:tc>
        <w:tc>
          <w:tcPr>
            <w:tcW w:w="2693" w:type="dxa"/>
            <w:shd w:val="clear" w:color="000000" w:fill="FFFFFF"/>
            <w:noWrap/>
            <w:vAlign w:val="center"/>
          </w:tcPr>
          <w:p w14:paraId="1767E5DE" w14:textId="77777777" w:rsidR="00AA23DA" w:rsidRPr="00545EC0" w:rsidRDefault="00AA23DA" w:rsidP="00E44DAA">
            <w:pPr>
              <w:spacing w:line="240" w:lineRule="auto"/>
              <w:jc w:val="left"/>
              <w:rPr>
                <w:rFonts w:cs="Arial"/>
                <w:sz w:val="18"/>
                <w:szCs w:val="18"/>
              </w:rPr>
            </w:pPr>
            <w:r w:rsidRPr="00545EC0">
              <w:rPr>
                <w:rFonts w:cs="Arial"/>
                <w:sz w:val="18"/>
                <w:szCs w:val="18"/>
              </w:rPr>
              <w:t>Vzhodne Slovenske gorice</w:t>
            </w:r>
          </w:p>
        </w:tc>
        <w:tc>
          <w:tcPr>
            <w:tcW w:w="1276" w:type="dxa"/>
            <w:shd w:val="clear" w:color="auto" w:fill="auto"/>
            <w:noWrap/>
            <w:vAlign w:val="center"/>
          </w:tcPr>
          <w:p w14:paraId="07EA43BA" w14:textId="77777777" w:rsidR="00AA23DA" w:rsidRPr="00545EC0" w:rsidRDefault="00AA23DA" w:rsidP="00E44DAA">
            <w:pPr>
              <w:spacing w:line="240" w:lineRule="auto"/>
              <w:jc w:val="center"/>
              <w:rPr>
                <w:rFonts w:cs="Arial"/>
                <w:sz w:val="18"/>
                <w:szCs w:val="18"/>
              </w:rPr>
            </w:pPr>
            <w:r w:rsidRPr="00545EC0">
              <w:rPr>
                <w:rFonts w:cs="Arial"/>
                <w:sz w:val="18"/>
                <w:szCs w:val="18"/>
              </w:rPr>
              <w:t>2014–2019</w:t>
            </w:r>
          </w:p>
        </w:tc>
        <w:tc>
          <w:tcPr>
            <w:tcW w:w="1134" w:type="dxa"/>
            <w:shd w:val="clear" w:color="auto" w:fill="FFFFFF" w:themeFill="background1"/>
            <w:noWrap/>
            <w:vAlign w:val="center"/>
          </w:tcPr>
          <w:p w14:paraId="4134F463" w14:textId="77777777" w:rsidR="00AA23DA" w:rsidRPr="00545EC0" w:rsidRDefault="00AA23DA" w:rsidP="00E44DAA">
            <w:pPr>
              <w:spacing w:line="240" w:lineRule="auto"/>
              <w:jc w:val="center"/>
              <w:rPr>
                <w:rFonts w:cs="Arial"/>
                <w:bCs/>
                <w:sz w:val="18"/>
                <w:szCs w:val="18"/>
              </w:rPr>
            </w:pPr>
            <w:r w:rsidRPr="00545EC0">
              <w:rPr>
                <w:rFonts w:cs="Arial"/>
                <w:sz w:val="18"/>
                <w:szCs w:val="18"/>
              </w:rPr>
              <w:t>DOBRO</w:t>
            </w:r>
          </w:p>
        </w:tc>
        <w:tc>
          <w:tcPr>
            <w:tcW w:w="1134" w:type="dxa"/>
            <w:shd w:val="clear" w:color="auto" w:fill="auto"/>
            <w:noWrap/>
            <w:vAlign w:val="center"/>
          </w:tcPr>
          <w:p w14:paraId="27904E30" w14:textId="77777777" w:rsidR="00AA23DA" w:rsidRPr="00545EC0" w:rsidRDefault="00AA23DA" w:rsidP="00E44DAA">
            <w:pPr>
              <w:spacing w:line="240" w:lineRule="auto"/>
              <w:jc w:val="center"/>
              <w:rPr>
                <w:rFonts w:cs="Arial"/>
                <w:sz w:val="18"/>
                <w:szCs w:val="18"/>
              </w:rPr>
            </w:pPr>
            <w:r w:rsidRPr="00545EC0">
              <w:rPr>
                <w:rFonts w:cs="Arial"/>
                <w:sz w:val="18"/>
                <w:szCs w:val="18"/>
              </w:rPr>
              <w:t>srednja</w:t>
            </w:r>
          </w:p>
        </w:tc>
        <w:tc>
          <w:tcPr>
            <w:tcW w:w="1837" w:type="dxa"/>
            <w:shd w:val="clear" w:color="auto" w:fill="auto"/>
            <w:noWrap/>
            <w:vAlign w:val="center"/>
          </w:tcPr>
          <w:p w14:paraId="66144135" w14:textId="77777777" w:rsidR="00AA23DA" w:rsidRPr="00545EC0" w:rsidRDefault="00AA23DA" w:rsidP="00E44DAA">
            <w:pPr>
              <w:spacing w:line="240" w:lineRule="auto"/>
              <w:jc w:val="center"/>
              <w:rPr>
                <w:rFonts w:cs="Arial"/>
                <w:sz w:val="18"/>
                <w:szCs w:val="18"/>
              </w:rPr>
            </w:pPr>
          </w:p>
        </w:tc>
      </w:tr>
      <w:tr w:rsidR="003122F4" w:rsidRPr="00545EC0" w14:paraId="0251887B" w14:textId="77777777" w:rsidTr="001766FB">
        <w:trPr>
          <w:trHeight w:val="284"/>
        </w:trPr>
        <w:tc>
          <w:tcPr>
            <w:tcW w:w="988" w:type="dxa"/>
            <w:shd w:val="clear" w:color="000000" w:fill="FFFFFF"/>
            <w:noWrap/>
            <w:vAlign w:val="center"/>
          </w:tcPr>
          <w:p w14:paraId="20E64F6B" w14:textId="77777777" w:rsidR="00AA23DA" w:rsidRPr="00545EC0" w:rsidRDefault="00AA23DA" w:rsidP="00E44DAA">
            <w:pPr>
              <w:spacing w:line="240" w:lineRule="auto"/>
              <w:jc w:val="center"/>
              <w:rPr>
                <w:rFonts w:cs="Arial"/>
                <w:sz w:val="18"/>
                <w:szCs w:val="18"/>
              </w:rPr>
            </w:pPr>
            <w:r w:rsidRPr="00545EC0">
              <w:rPr>
                <w:rFonts w:cs="Arial"/>
                <w:sz w:val="18"/>
                <w:szCs w:val="18"/>
              </w:rPr>
              <w:t>4018</w:t>
            </w:r>
          </w:p>
        </w:tc>
        <w:tc>
          <w:tcPr>
            <w:tcW w:w="2693" w:type="dxa"/>
            <w:shd w:val="clear" w:color="000000" w:fill="FFFFFF"/>
            <w:noWrap/>
            <w:vAlign w:val="center"/>
          </w:tcPr>
          <w:p w14:paraId="3E818334" w14:textId="77777777" w:rsidR="00AA23DA" w:rsidRPr="00545EC0" w:rsidRDefault="00AA23DA" w:rsidP="00E44DAA">
            <w:pPr>
              <w:spacing w:line="240" w:lineRule="auto"/>
              <w:jc w:val="left"/>
              <w:rPr>
                <w:rFonts w:cs="Arial"/>
                <w:sz w:val="18"/>
                <w:szCs w:val="18"/>
              </w:rPr>
            </w:pPr>
            <w:r w:rsidRPr="00545EC0">
              <w:rPr>
                <w:rFonts w:cs="Arial"/>
                <w:sz w:val="18"/>
                <w:szCs w:val="18"/>
              </w:rPr>
              <w:t>Goričko</w:t>
            </w:r>
          </w:p>
        </w:tc>
        <w:tc>
          <w:tcPr>
            <w:tcW w:w="1276" w:type="dxa"/>
            <w:shd w:val="clear" w:color="auto" w:fill="auto"/>
            <w:noWrap/>
            <w:vAlign w:val="center"/>
          </w:tcPr>
          <w:p w14:paraId="099338BC" w14:textId="77777777" w:rsidR="00AA23DA" w:rsidRPr="00545EC0" w:rsidRDefault="00AA23DA" w:rsidP="00E44DAA">
            <w:pPr>
              <w:spacing w:line="240" w:lineRule="auto"/>
              <w:jc w:val="center"/>
              <w:rPr>
                <w:rFonts w:cs="Arial"/>
                <w:sz w:val="18"/>
                <w:szCs w:val="18"/>
              </w:rPr>
            </w:pPr>
            <w:r w:rsidRPr="00545EC0">
              <w:rPr>
                <w:rFonts w:cs="Arial"/>
                <w:sz w:val="18"/>
                <w:szCs w:val="18"/>
              </w:rPr>
              <w:t>2014–2019</w:t>
            </w:r>
          </w:p>
        </w:tc>
        <w:tc>
          <w:tcPr>
            <w:tcW w:w="1134" w:type="dxa"/>
            <w:shd w:val="clear" w:color="auto" w:fill="FFFFFF" w:themeFill="background1"/>
            <w:noWrap/>
            <w:vAlign w:val="center"/>
          </w:tcPr>
          <w:p w14:paraId="6FF44BC7" w14:textId="77777777" w:rsidR="00AA23DA" w:rsidRPr="00545EC0" w:rsidRDefault="00AA23DA" w:rsidP="00E44DAA">
            <w:pPr>
              <w:spacing w:line="240" w:lineRule="auto"/>
              <w:jc w:val="center"/>
              <w:rPr>
                <w:rFonts w:cs="Arial"/>
                <w:bCs/>
                <w:sz w:val="18"/>
                <w:szCs w:val="18"/>
              </w:rPr>
            </w:pPr>
            <w:r w:rsidRPr="00545EC0">
              <w:rPr>
                <w:rFonts w:cs="Arial"/>
                <w:sz w:val="18"/>
                <w:szCs w:val="18"/>
              </w:rPr>
              <w:t>DOBRO</w:t>
            </w:r>
          </w:p>
        </w:tc>
        <w:tc>
          <w:tcPr>
            <w:tcW w:w="1134" w:type="dxa"/>
            <w:shd w:val="clear" w:color="auto" w:fill="auto"/>
            <w:noWrap/>
            <w:vAlign w:val="center"/>
          </w:tcPr>
          <w:p w14:paraId="0A0BF613" w14:textId="77777777" w:rsidR="00AA23DA" w:rsidRPr="00545EC0" w:rsidRDefault="00AA23DA" w:rsidP="00E44DAA">
            <w:pPr>
              <w:spacing w:line="240" w:lineRule="auto"/>
              <w:jc w:val="center"/>
              <w:rPr>
                <w:rFonts w:cs="Arial"/>
                <w:sz w:val="18"/>
                <w:szCs w:val="18"/>
              </w:rPr>
            </w:pPr>
            <w:r w:rsidRPr="00545EC0">
              <w:rPr>
                <w:rFonts w:cs="Arial"/>
                <w:sz w:val="18"/>
                <w:szCs w:val="18"/>
              </w:rPr>
              <w:t>srednja</w:t>
            </w:r>
          </w:p>
        </w:tc>
        <w:tc>
          <w:tcPr>
            <w:tcW w:w="1837" w:type="dxa"/>
            <w:shd w:val="clear" w:color="auto" w:fill="auto"/>
            <w:noWrap/>
            <w:vAlign w:val="center"/>
          </w:tcPr>
          <w:p w14:paraId="07EBF638" w14:textId="77777777" w:rsidR="00AA23DA" w:rsidRPr="00545EC0" w:rsidRDefault="00AA23DA" w:rsidP="00E44DAA">
            <w:pPr>
              <w:spacing w:line="240" w:lineRule="auto"/>
              <w:jc w:val="center"/>
              <w:rPr>
                <w:rFonts w:cs="Arial"/>
                <w:sz w:val="18"/>
                <w:szCs w:val="18"/>
              </w:rPr>
            </w:pPr>
          </w:p>
        </w:tc>
      </w:tr>
    </w:tbl>
    <w:p w14:paraId="0CED8AC3" w14:textId="77777777" w:rsidR="00AA23DA" w:rsidRPr="00545EC0" w:rsidRDefault="00AA23DA" w:rsidP="00AA23DA">
      <w:pPr>
        <w:overflowPunct/>
        <w:autoSpaceDE/>
        <w:autoSpaceDN/>
        <w:adjustRightInd/>
        <w:jc w:val="left"/>
        <w:textAlignment w:val="auto"/>
        <w:rPr>
          <w:rFonts w:cs="Arial"/>
        </w:rPr>
      </w:pPr>
    </w:p>
    <w:p w14:paraId="0FF1178A" w14:textId="674A2F87" w:rsidR="00AA23DA" w:rsidRPr="00545EC0" w:rsidRDefault="00E847C8" w:rsidP="00AA23DA">
      <w:pPr>
        <w:rPr>
          <w:rFonts w:cs="Arial"/>
          <w:szCs w:val="22"/>
        </w:rPr>
      </w:pPr>
      <w:r w:rsidRPr="00545EC0">
        <w:rPr>
          <w:rFonts w:cs="Arial"/>
        </w:rPr>
        <w:t>Na podlagi monito</w:t>
      </w:r>
      <w:r w:rsidR="0059464F" w:rsidRPr="00545EC0">
        <w:rPr>
          <w:rFonts w:cs="Arial"/>
        </w:rPr>
        <w:t>r</w:t>
      </w:r>
      <w:r w:rsidRPr="00545EC0">
        <w:rPr>
          <w:rFonts w:cs="Arial"/>
        </w:rPr>
        <w:t>inga stanja podzemnih voda v obdobju 2014-2019 je</w:t>
      </w:r>
      <w:r w:rsidR="00AA23DA" w:rsidRPr="00545EC0">
        <w:rPr>
          <w:rFonts w:cs="Arial"/>
        </w:rPr>
        <w:t xml:space="preserve"> slabo kemijsko stanje določ</w:t>
      </w:r>
      <w:r w:rsidRPr="00545EC0">
        <w:rPr>
          <w:rFonts w:cs="Arial"/>
        </w:rPr>
        <w:t>eno</w:t>
      </w:r>
      <w:r w:rsidR="00AA23DA" w:rsidRPr="00545EC0">
        <w:rPr>
          <w:rFonts w:cs="Arial"/>
        </w:rPr>
        <w:t xml:space="preserve"> za tri vodna telesa in sicer za Dravsko, Mursko in Savinjsko kotlino. </w:t>
      </w:r>
      <w:r w:rsidR="00AA23DA" w:rsidRPr="00545EC0">
        <w:rPr>
          <w:rFonts w:cs="Arial"/>
          <w:szCs w:val="22"/>
        </w:rPr>
        <w:t xml:space="preserve">Vzrok za slabo kemijsko stanje v vseh </w:t>
      </w:r>
      <w:r w:rsidRPr="00545EC0">
        <w:rPr>
          <w:rFonts w:cs="Arial"/>
          <w:szCs w:val="22"/>
        </w:rPr>
        <w:t xml:space="preserve">treh </w:t>
      </w:r>
      <w:r w:rsidR="00AA23DA" w:rsidRPr="00545EC0">
        <w:rPr>
          <w:rFonts w:cs="Arial"/>
          <w:szCs w:val="22"/>
        </w:rPr>
        <w:t xml:space="preserve">vodnih telesih </w:t>
      </w:r>
      <w:r w:rsidRPr="00545EC0">
        <w:rPr>
          <w:rFonts w:cs="Arial"/>
          <w:szCs w:val="22"/>
        </w:rPr>
        <w:t xml:space="preserve">podzemnih voda </w:t>
      </w:r>
      <w:r w:rsidR="00AA23DA" w:rsidRPr="00545EC0">
        <w:rPr>
          <w:rFonts w:cs="Arial"/>
          <w:szCs w:val="22"/>
        </w:rPr>
        <w:t xml:space="preserve">je nitrat. Na Dravski kotlini je </w:t>
      </w:r>
      <w:r w:rsidRPr="00545EC0">
        <w:rPr>
          <w:rFonts w:cs="Arial"/>
          <w:szCs w:val="22"/>
        </w:rPr>
        <w:t xml:space="preserve">poleg nitrata </w:t>
      </w:r>
      <w:r w:rsidR="00AA23DA" w:rsidRPr="00545EC0">
        <w:rPr>
          <w:rFonts w:cs="Arial"/>
          <w:szCs w:val="22"/>
        </w:rPr>
        <w:t xml:space="preserve">vzrok za slabo kemijsko stanje tudi atrazin. </w:t>
      </w:r>
    </w:p>
    <w:p w14:paraId="24D3C87F" w14:textId="77777777" w:rsidR="0041257D" w:rsidRPr="00545EC0" w:rsidRDefault="0041257D" w:rsidP="00AA23DA">
      <w:pPr>
        <w:rPr>
          <w:rFonts w:cs="Arial"/>
        </w:rPr>
      </w:pPr>
    </w:p>
    <w:p w14:paraId="2F20B22F" w14:textId="0DD5492D" w:rsidR="00AA23DA" w:rsidRPr="00545EC0" w:rsidRDefault="00AA23DA" w:rsidP="00AA23DA">
      <w:pPr>
        <w:rPr>
          <w:rFonts w:cs="Arial"/>
        </w:rPr>
      </w:pPr>
      <w:r w:rsidRPr="00545EC0">
        <w:rPr>
          <w:rFonts w:cs="Arial"/>
        </w:rPr>
        <w:t>Kemijsko stanje podzemne vode je za posamezna vodna telesa ocenjeno s štirimi preizkusi:</w:t>
      </w:r>
    </w:p>
    <w:p w14:paraId="14609459" w14:textId="5633041F" w:rsidR="00AA23DA" w:rsidRPr="00545EC0" w:rsidRDefault="00D97D42" w:rsidP="00DD37C5">
      <w:pPr>
        <w:numPr>
          <w:ilvl w:val="0"/>
          <w:numId w:val="129"/>
        </w:numPr>
        <w:overflowPunct/>
        <w:autoSpaceDE/>
        <w:autoSpaceDN/>
        <w:adjustRightInd/>
        <w:spacing w:before="60" w:line="240" w:lineRule="auto"/>
        <w:textAlignment w:val="auto"/>
        <w:rPr>
          <w:rFonts w:cs="Arial"/>
        </w:rPr>
      </w:pPr>
      <w:r w:rsidRPr="00545EC0">
        <w:rPr>
          <w:rFonts w:cs="Arial"/>
        </w:rPr>
        <w:t>P</w:t>
      </w:r>
      <w:r w:rsidR="00AA23DA" w:rsidRPr="00545EC0">
        <w:rPr>
          <w:rFonts w:cs="Arial"/>
        </w:rPr>
        <w:t>reizkus</w:t>
      </w:r>
      <w:r w:rsidRPr="00545EC0">
        <w:rPr>
          <w:rFonts w:cs="Arial"/>
        </w:rPr>
        <w:t xml:space="preserve"> 1:</w:t>
      </w:r>
      <w:r w:rsidR="00AA23DA" w:rsidRPr="00545EC0">
        <w:rPr>
          <w:rFonts w:cs="Arial"/>
        </w:rPr>
        <w:t xml:space="preserve"> vdor slane vode ali druge vrste vdor vode slabe kakovosti</w:t>
      </w:r>
    </w:p>
    <w:p w14:paraId="5827DF4D" w14:textId="616CAE65" w:rsidR="00AA23DA" w:rsidRPr="00545EC0" w:rsidRDefault="00D97D42" w:rsidP="00DD37C5">
      <w:pPr>
        <w:numPr>
          <w:ilvl w:val="0"/>
          <w:numId w:val="129"/>
        </w:numPr>
        <w:overflowPunct/>
        <w:autoSpaceDE/>
        <w:autoSpaceDN/>
        <w:adjustRightInd/>
        <w:spacing w:before="60" w:line="240" w:lineRule="auto"/>
        <w:textAlignment w:val="auto"/>
        <w:rPr>
          <w:rFonts w:cs="Arial"/>
        </w:rPr>
      </w:pPr>
      <w:r w:rsidRPr="00545EC0">
        <w:rPr>
          <w:rFonts w:cs="Arial"/>
        </w:rPr>
        <w:t>P</w:t>
      </w:r>
      <w:r w:rsidR="00AA23DA" w:rsidRPr="00545EC0">
        <w:rPr>
          <w:rFonts w:cs="Arial"/>
        </w:rPr>
        <w:t>reizkus</w:t>
      </w:r>
      <w:r w:rsidRPr="00545EC0">
        <w:rPr>
          <w:rFonts w:cs="Arial"/>
        </w:rPr>
        <w:t xml:space="preserve"> 2:</w:t>
      </w:r>
      <w:r w:rsidR="00AA23DA" w:rsidRPr="00545EC0">
        <w:rPr>
          <w:rFonts w:cs="Arial"/>
        </w:rPr>
        <w:t xml:space="preserve"> vpliv na kemijsko in ekološko stanje površinskih voda,</w:t>
      </w:r>
    </w:p>
    <w:p w14:paraId="0CAE81AD" w14:textId="2A83C5CD" w:rsidR="00AA23DA" w:rsidRPr="00545EC0" w:rsidRDefault="00D97D42" w:rsidP="00DD37C5">
      <w:pPr>
        <w:numPr>
          <w:ilvl w:val="0"/>
          <w:numId w:val="129"/>
        </w:numPr>
        <w:overflowPunct/>
        <w:autoSpaceDE/>
        <w:autoSpaceDN/>
        <w:adjustRightInd/>
        <w:spacing w:before="60" w:line="240" w:lineRule="auto"/>
        <w:textAlignment w:val="auto"/>
        <w:rPr>
          <w:rFonts w:cs="Arial"/>
        </w:rPr>
      </w:pPr>
      <w:r w:rsidRPr="00545EC0">
        <w:rPr>
          <w:rFonts w:cs="Arial"/>
        </w:rPr>
        <w:t>P</w:t>
      </w:r>
      <w:r w:rsidR="00AA23DA" w:rsidRPr="00545EC0">
        <w:rPr>
          <w:rFonts w:cs="Arial"/>
        </w:rPr>
        <w:t>reizkus</w:t>
      </w:r>
      <w:r w:rsidRPr="00545EC0">
        <w:rPr>
          <w:rFonts w:cs="Arial"/>
        </w:rPr>
        <w:t xml:space="preserve"> 3:</w:t>
      </w:r>
      <w:r w:rsidR="00AA23DA" w:rsidRPr="00545EC0">
        <w:rPr>
          <w:rFonts w:cs="Arial"/>
        </w:rPr>
        <w:t xml:space="preserve"> vpliv na vodne in kopenske ekosisteme, odvisne od podzemne vode in</w:t>
      </w:r>
    </w:p>
    <w:p w14:paraId="1DB18CE9" w14:textId="147FDCC2" w:rsidR="00AA23DA" w:rsidRPr="00545EC0" w:rsidRDefault="00D97D42" w:rsidP="00DD37C5">
      <w:pPr>
        <w:numPr>
          <w:ilvl w:val="0"/>
          <w:numId w:val="129"/>
        </w:numPr>
        <w:overflowPunct/>
        <w:autoSpaceDE/>
        <w:autoSpaceDN/>
        <w:adjustRightInd/>
        <w:spacing w:before="60" w:line="240" w:lineRule="auto"/>
        <w:textAlignment w:val="auto"/>
        <w:rPr>
          <w:rFonts w:cs="Arial"/>
        </w:rPr>
      </w:pPr>
      <w:r w:rsidRPr="00545EC0">
        <w:rPr>
          <w:rFonts w:cs="Arial"/>
        </w:rPr>
        <w:t>P</w:t>
      </w:r>
      <w:r w:rsidR="00AA23DA" w:rsidRPr="00545EC0">
        <w:rPr>
          <w:rFonts w:cs="Arial"/>
        </w:rPr>
        <w:t>reizkus</w:t>
      </w:r>
      <w:r w:rsidRPr="00545EC0">
        <w:rPr>
          <w:rFonts w:cs="Arial"/>
        </w:rPr>
        <w:t xml:space="preserve"> 4:</w:t>
      </w:r>
      <w:r w:rsidR="00AA23DA" w:rsidRPr="00545EC0">
        <w:rPr>
          <w:rFonts w:cs="Arial"/>
        </w:rPr>
        <w:t xml:space="preserve"> vpliv na slabšanje kakovosti pitne vode.</w:t>
      </w:r>
    </w:p>
    <w:p w14:paraId="3F778FED" w14:textId="77777777" w:rsidR="00AA23DA" w:rsidRPr="00545EC0" w:rsidRDefault="00AA23DA" w:rsidP="00AA23DA">
      <w:pPr>
        <w:spacing w:before="60"/>
        <w:rPr>
          <w:rFonts w:cs="Arial"/>
        </w:rPr>
      </w:pPr>
      <w:r w:rsidRPr="00545EC0">
        <w:rPr>
          <w:rFonts w:cs="Arial"/>
        </w:rPr>
        <w:t>Preizkusi so bili izvedeni na tistih vodnih telesih, kjer je ocenjeno tveganje, da bi kemijsko stanje podzemne vode lahko vplivalo na stanje površinskih vodnih teles, na kopenske ekosisteme, ki so odvisni od podzemnih voda, na vdore slane vode ali na slabšanje kakovosti pitne vode.</w:t>
      </w:r>
    </w:p>
    <w:p w14:paraId="68D9434C" w14:textId="77777777" w:rsidR="00AA23DA" w:rsidRPr="00545EC0" w:rsidRDefault="00AA23DA" w:rsidP="00AA23DA">
      <w:pPr>
        <w:rPr>
          <w:rFonts w:cs="Arial"/>
        </w:rPr>
      </w:pPr>
    </w:p>
    <w:p w14:paraId="71F7B065" w14:textId="77777777" w:rsidR="00AA23DA" w:rsidRPr="00545EC0" w:rsidRDefault="00AA23DA" w:rsidP="00AA23DA">
      <w:pPr>
        <w:rPr>
          <w:rFonts w:cs="Arial"/>
          <w:b/>
        </w:rPr>
      </w:pPr>
      <w:r w:rsidRPr="00545EC0">
        <w:rPr>
          <w:rFonts w:cs="Arial"/>
          <w:b/>
        </w:rPr>
        <w:t>Preizkus 1: Vdor slane vode ali druge vrste vdor vode slabe kakovosti</w:t>
      </w:r>
    </w:p>
    <w:p w14:paraId="46370136" w14:textId="77777777" w:rsidR="00AA23DA" w:rsidRPr="00545EC0" w:rsidRDefault="00AA23DA" w:rsidP="00AA23DA">
      <w:pPr>
        <w:rPr>
          <w:rFonts w:cs="Arial"/>
        </w:rPr>
      </w:pPr>
    </w:p>
    <w:p w14:paraId="47364B75" w14:textId="77777777" w:rsidR="00AA23DA" w:rsidRPr="00545EC0" w:rsidRDefault="00AA23DA" w:rsidP="00AA23DA">
      <w:pPr>
        <w:rPr>
          <w:rFonts w:cs="Arial"/>
          <w:snapToGrid w:val="0"/>
          <w:szCs w:val="22"/>
          <w:u w:val="single"/>
        </w:rPr>
      </w:pPr>
      <w:r w:rsidRPr="00545EC0">
        <w:rPr>
          <w:rFonts w:cs="Arial"/>
          <w:snapToGrid w:val="0"/>
          <w:szCs w:val="22"/>
          <w:u w:val="single"/>
        </w:rPr>
        <w:t>Vodno telo Dravska kotlina</w:t>
      </w:r>
    </w:p>
    <w:p w14:paraId="08F9B55A" w14:textId="77777777" w:rsidR="00AA23DA" w:rsidRPr="00545EC0" w:rsidRDefault="00AA23DA" w:rsidP="00AA23DA">
      <w:pPr>
        <w:rPr>
          <w:rFonts w:cs="Arial"/>
          <w:snapToGrid w:val="0"/>
          <w:szCs w:val="22"/>
        </w:rPr>
      </w:pPr>
    </w:p>
    <w:p w14:paraId="6EAEFC1C" w14:textId="77777777" w:rsidR="00AA23DA" w:rsidRPr="00545EC0" w:rsidRDefault="00AA23DA" w:rsidP="00AA23DA">
      <w:pPr>
        <w:rPr>
          <w:rFonts w:cs="Arial"/>
          <w:szCs w:val="22"/>
        </w:rPr>
      </w:pPr>
      <w:r w:rsidRPr="00545EC0">
        <w:rPr>
          <w:rFonts w:cs="Arial"/>
          <w:szCs w:val="22"/>
        </w:rPr>
        <w:t xml:space="preserve">Za vodno telo podzemne vode Dravska kotlina je bilo določeno slabo količinsko stanje zaradi vpliva črpanja na vdor vode slabše kakovosti. </w:t>
      </w:r>
    </w:p>
    <w:p w14:paraId="4A0AA3C6" w14:textId="4A64E97C" w:rsidR="00AA23DA" w:rsidRPr="00545EC0" w:rsidRDefault="00AA23DA" w:rsidP="00AA23DA">
      <w:pPr>
        <w:rPr>
          <w:rFonts w:cs="Arial"/>
          <w:snapToGrid w:val="0"/>
          <w:szCs w:val="22"/>
        </w:rPr>
      </w:pPr>
      <w:r w:rsidRPr="00545EC0">
        <w:rPr>
          <w:rFonts w:cs="Arial"/>
          <w:snapToGrid w:val="0"/>
          <w:szCs w:val="22"/>
        </w:rPr>
        <w:t xml:space="preserve">Vpliv vdora vode slabše kakovosti </w:t>
      </w:r>
      <w:r w:rsidR="00E847C8" w:rsidRPr="00545EC0">
        <w:rPr>
          <w:rFonts w:cs="Arial"/>
          <w:snapToGrid w:val="0"/>
          <w:szCs w:val="22"/>
        </w:rPr>
        <w:t>se je ugotavljal</w:t>
      </w:r>
      <w:r w:rsidRPr="00545EC0">
        <w:rPr>
          <w:rFonts w:cs="Arial"/>
          <w:snapToGrid w:val="0"/>
          <w:szCs w:val="22"/>
        </w:rPr>
        <w:t xml:space="preserve"> tudi s preverjanjem vsebnosti nitrata in oceno trenda, v globokem, pliocenskem vodonosniku črpališča Skorba. </w:t>
      </w:r>
    </w:p>
    <w:p w14:paraId="1539C876" w14:textId="77777777" w:rsidR="00AA23DA" w:rsidRPr="00545EC0" w:rsidRDefault="00AA23DA" w:rsidP="00AA23DA">
      <w:pPr>
        <w:rPr>
          <w:rFonts w:cs="Arial"/>
          <w:snapToGrid w:val="0"/>
          <w:szCs w:val="22"/>
        </w:rPr>
      </w:pPr>
    </w:p>
    <w:p w14:paraId="64CC0F10" w14:textId="3399AE41" w:rsidR="00AA23DA" w:rsidRPr="00545EC0" w:rsidRDefault="00AA23DA" w:rsidP="00AA23DA">
      <w:pPr>
        <w:rPr>
          <w:rFonts w:cs="Arial"/>
          <w:snapToGrid w:val="0"/>
          <w:szCs w:val="22"/>
        </w:rPr>
      </w:pPr>
      <w:r w:rsidRPr="00545EC0">
        <w:rPr>
          <w:rFonts w:cs="Arial"/>
          <w:snapToGrid w:val="0"/>
          <w:szCs w:val="22"/>
        </w:rPr>
        <w:lastRenderedPageBreak/>
        <w:t xml:space="preserve">V črpališču Skorba </w:t>
      </w:r>
      <w:r w:rsidR="00036DE6" w:rsidRPr="00545EC0">
        <w:rPr>
          <w:rFonts w:cs="Arial"/>
          <w:snapToGrid w:val="0"/>
          <w:szCs w:val="22"/>
        </w:rPr>
        <w:t xml:space="preserve">se </w:t>
      </w:r>
      <w:r w:rsidRPr="00545EC0">
        <w:rPr>
          <w:rFonts w:cs="Arial"/>
          <w:snapToGrid w:val="0"/>
          <w:szCs w:val="22"/>
        </w:rPr>
        <w:t>že vrsto let ugotavlja onesnaženje plitvega, kvartarnega vodonosnika z visokimi vsebnostmi nitratov. Rezultati so pokazali, da je onesnažen tudi globoki, pliocenski vodonosnik. V letu 2019 je bila vsebnost nitrata v globokem vodonosniku prvič višja od vsebnosti nitrata v plitvem vodonosniku (</w:t>
      </w:r>
      <w:r w:rsidRPr="00545EC0">
        <w:rPr>
          <w:rFonts w:cs="Arial"/>
          <w:snapToGrid w:val="0"/>
          <w:szCs w:val="22"/>
        </w:rPr>
        <w:fldChar w:fldCharType="begin"/>
      </w:r>
      <w:r w:rsidRPr="00545EC0">
        <w:rPr>
          <w:rFonts w:cs="Arial"/>
          <w:snapToGrid w:val="0"/>
          <w:szCs w:val="22"/>
        </w:rPr>
        <w:instrText xml:space="preserve"> REF _Ref75767191 \h  \* MERGEFORMAT </w:instrText>
      </w:r>
      <w:r w:rsidRPr="00545EC0">
        <w:rPr>
          <w:rFonts w:cs="Arial"/>
          <w:snapToGrid w:val="0"/>
          <w:szCs w:val="22"/>
        </w:rPr>
      </w:r>
      <w:r w:rsidRPr="00545EC0">
        <w:rPr>
          <w:rFonts w:cs="Arial"/>
          <w:snapToGrid w:val="0"/>
          <w:szCs w:val="22"/>
        </w:rPr>
        <w:fldChar w:fldCharType="separate"/>
      </w:r>
      <w:r w:rsidR="002F3E43" w:rsidRPr="00545EC0">
        <w:t xml:space="preserve">Slika </w:t>
      </w:r>
      <w:r w:rsidR="002F3E43">
        <w:rPr>
          <w:noProof/>
        </w:rPr>
        <w:t>3</w:t>
      </w:r>
      <w:r w:rsidR="002F3E43" w:rsidRPr="00545EC0">
        <w:rPr>
          <w:noProof/>
        </w:rPr>
        <w:noBreakHyphen/>
      </w:r>
      <w:r w:rsidR="002F3E43">
        <w:rPr>
          <w:noProof/>
        </w:rPr>
        <w:t>11</w:t>
      </w:r>
      <w:r w:rsidRPr="00545EC0">
        <w:rPr>
          <w:rFonts w:cs="Arial"/>
          <w:snapToGrid w:val="0"/>
          <w:szCs w:val="22"/>
        </w:rPr>
        <w:fldChar w:fldCharType="end"/>
      </w:r>
      <w:r w:rsidRPr="00545EC0">
        <w:rPr>
          <w:rFonts w:cs="Arial"/>
          <w:snapToGrid w:val="0"/>
          <w:szCs w:val="22"/>
        </w:rPr>
        <w:t xml:space="preserve">). </w:t>
      </w:r>
    </w:p>
    <w:p w14:paraId="4D7844C4" w14:textId="77777777" w:rsidR="00562302" w:rsidRPr="00545EC0" w:rsidRDefault="00562302" w:rsidP="00AA23DA">
      <w:pPr>
        <w:rPr>
          <w:rFonts w:cs="Arial"/>
          <w:snapToGrid w:val="0"/>
          <w:szCs w:val="22"/>
        </w:rPr>
      </w:pPr>
    </w:p>
    <w:p w14:paraId="036ABB7F" w14:textId="71B5268F" w:rsidR="00AA23DA" w:rsidRPr="00545EC0" w:rsidRDefault="00AA23DA" w:rsidP="004168CD">
      <w:pPr>
        <w:jc w:val="center"/>
        <w:rPr>
          <w:rFonts w:cs="Arial"/>
          <w:snapToGrid w:val="0"/>
          <w:szCs w:val="22"/>
        </w:rPr>
      </w:pPr>
      <w:r w:rsidRPr="00545EC0">
        <w:rPr>
          <w:rFonts w:cs="Arial"/>
          <w:noProof/>
          <w:szCs w:val="22"/>
        </w:rPr>
        <w:drawing>
          <wp:inline distT="0" distB="0" distL="0" distR="0" wp14:anchorId="67F2C7A4" wp14:editId="58762703">
            <wp:extent cx="4470400" cy="2928343"/>
            <wp:effectExtent l="19050" t="19050" r="25400" b="24765"/>
            <wp:docPr id="127" name="Slik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480419" cy="2934906"/>
                    </a:xfrm>
                    <a:prstGeom prst="rect">
                      <a:avLst/>
                    </a:prstGeom>
                    <a:noFill/>
                    <a:ln>
                      <a:solidFill>
                        <a:schemeClr val="bg1">
                          <a:lumMod val="85000"/>
                        </a:schemeClr>
                      </a:solidFill>
                    </a:ln>
                  </pic:spPr>
                </pic:pic>
              </a:graphicData>
            </a:graphic>
          </wp:inline>
        </w:drawing>
      </w:r>
    </w:p>
    <w:p w14:paraId="30A7B315" w14:textId="03A87E11" w:rsidR="00AA23DA" w:rsidRPr="00545EC0" w:rsidRDefault="00AA23DA" w:rsidP="00AA23DA">
      <w:pPr>
        <w:pStyle w:val="Napis"/>
      </w:pPr>
      <w:bookmarkStart w:id="578" w:name="_Ref75767191"/>
      <w:bookmarkStart w:id="579" w:name="_Toc75765698"/>
      <w:r w:rsidRPr="00545EC0">
        <w:t xml:space="preserve">Slika </w:t>
      </w:r>
      <w:fldSimple w:instr=" STYLEREF 1 \s ">
        <w:r w:rsidR="002F3E43">
          <w:rPr>
            <w:noProof/>
          </w:rPr>
          <w:t>3</w:t>
        </w:r>
      </w:fldSimple>
      <w:r w:rsidR="00396E1E" w:rsidRPr="00545EC0">
        <w:noBreakHyphen/>
      </w:r>
      <w:fldSimple w:instr=" SEQ Slika \* ARABIC \s 1 ">
        <w:r w:rsidR="002F3E43">
          <w:rPr>
            <w:noProof/>
          </w:rPr>
          <w:t>11</w:t>
        </w:r>
      </w:fldSimple>
      <w:bookmarkEnd w:id="578"/>
      <w:r w:rsidRPr="00545EC0">
        <w:t>: Onesnaženje globokega in plitvega vodonosnika v črpališču Skorba</w:t>
      </w:r>
      <w:bookmarkEnd w:id="579"/>
    </w:p>
    <w:p w14:paraId="2C8DEC18" w14:textId="77777777" w:rsidR="00AA23DA" w:rsidRPr="00545EC0" w:rsidRDefault="00AA23DA" w:rsidP="00AA23DA">
      <w:pPr>
        <w:rPr>
          <w:rFonts w:cs="Arial"/>
          <w:snapToGrid w:val="0"/>
          <w:szCs w:val="22"/>
        </w:rPr>
      </w:pPr>
    </w:p>
    <w:p w14:paraId="5BA728C9" w14:textId="1890310C" w:rsidR="00AA23DA" w:rsidRPr="00545EC0" w:rsidRDefault="00AA23DA" w:rsidP="00AA23DA">
      <w:pPr>
        <w:rPr>
          <w:rFonts w:cs="Arial"/>
          <w:snapToGrid w:val="0"/>
          <w:szCs w:val="22"/>
        </w:rPr>
      </w:pPr>
      <w:r w:rsidRPr="00545EC0">
        <w:rPr>
          <w:rFonts w:cs="Arial"/>
          <w:snapToGrid w:val="0"/>
          <w:szCs w:val="22"/>
        </w:rPr>
        <w:t xml:space="preserve">V globoki vrtini VG-3 namreč beležimo statistično značilno naraščanje vsebnosti nitrata, prav tako narašča tudi električna prevodnost </w:t>
      </w:r>
      <w:r w:rsidR="00164188" w:rsidRPr="00545EC0">
        <w:rPr>
          <w:rFonts w:cs="Arial"/>
          <w:snapToGrid w:val="0"/>
          <w:szCs w:val="22"/>
        </w:rPr>
        <w:t>(</w:t>
      </w:r>
      <w:r w:rsidR="00164188" w:rsidRPr="00545EC0">
        <w:rPr>
          <w:rFonts w:cs="Arial"/>
          <w:snapToGrid w:val="0"/>
          <w:szCs w:val="22"/>
        </w:rPr>
        <w:fldChar w:fldCharType="begin"/>
      </w:r>
      <w:r w:rsidR="00164188" w:rsidRPr="00545EC0">
        <w:rPr>
          <w:rFonts w:cs="Arial"/>
          <w:snapToGrid w:val="0"/>
          <w:szCs w:val="22"/>
        </w:rPr>
        <w:instrText xml:space="preserve"> REF _Ref87343972 \h </w:instrText>
      </w:r>
      <w:r w:rsidR="003122F4" w:rsidRPr="00545EC0">
        <w:rPr>
          <w:rFonts w:cs="Arial"/>
          <w:snapToGrid w:val="0"/>
          <w:szCs w:val="22"/>
        </w:rPr>
        <w:instrText xml:space="preserve"> \* MERGEFORMAT </w:instrText>
      </w:r>
      <w:r w:rsidR="00164188" w:rsidRPr="00545EC0">
        <w:rPr>
          <w:rFonts w:cs="Arial"/>
          <w:snapToGrid w:val="0"/>
          <w:szCs w:val="22"/>
        </w:rPr>
      </w:r>
      <w:r w:rsidR="00164188" w:rsidRPr="00545EC0">
        <w:rPr>
          <w:rFonts w:cs="Arial"/>
          <w:snapToGrid w:val="0"/>
          <w:szCs w:val="22"/>
        </w:rPr>
        <w:fldChar w:fldCharType="separate"/>
      </w:r>
      <w:r w:rsidR="002F3E43" w:rsidRPr="00545EC0">
        <w:t xml:space="preserve">Slika </w:t>
      </w:r>
      <w:r w:rsidR="002F3E43">
        <w:rPr>
          <w:noProof/>
        </w:rPr>
        <w:t>3</w:t>
      </w:r>
      <w:r w:rsidR="002F3E43" w:rsidRPr="00545EC0">
        <w:rPr>
          <w:noProof/>
        </w:rPr>
        <w:noBreakHyphen/>
      </w:r>
      <w:r w:rsidR="002F3E43">
        <w:rPr>
          <w:noProof/>
        </w:rPr>
        <w:t>12</w:t>
      </w:r>
      <w:r w:rsidR="00164188" w:rsidRPr="00545EC0">
        <w:rPr>
          <w:rFonts w:cs="Arial"/>
          <w:snapToGrid w:val="0"/>
          <w:szCs w:val="22"/>
        </w:rPr>
        <w:fldChar w:fldCharType="end"/>
      </w:r>
      <w:r w:rsidR="00164188" w:rsidRPr="00545EC0">
        <w:rPr>
          <w:rFonts w:cs="Arial"/>
          <w:snapToGrid w:val="0"/>
          <w:szCs w:val="22"/>
        </w:rPr>
        <w:t>).</w:t>
      </w:r>
    </w:p>
    <w:p w14:paraId="36D49F94" w14:textId="77777777" w:rsidR="00AA23DA" w:rsidRPr="00545EC0" w:rsidRDefault="00AA23DA" w:rsidP="00AA23DA">
      <w:pPr>
        <w:rPr>
          <w:rFonts w:cs="Arial"/>
          <w:snapToGrid w:val="0"/>
          <w:szCs w:val="22"/>
        </w:rPr>
      </w:pPr>
    </w:p>
    <w:p w14:paraId="2357F970" w14:textId="4922AA99" w:rsidR="00882CB9" w:rsidRPr="00545EC0" w:rsidRDefault="00AA23DA" w:rsidP="00882CB9">
      <w:pPr>
        <w:keepNext/>
      </w:pPr>
      <w:r w:rsidRPr="00545EC0">
        <w:rPr>
          <w:rFonts w:cs="Arial"/>
          <w:noProof/>
          <w:szCs w:val="22"/>
        </w:rPr>
        <w:drawing>
          <wp:inline distT="0" distB="0" distL="0" distR="0" wp14:anchorId="67E1D7F6" wp14:editId="7ADD09B0">
            <wp:extent cx="2667000" cy="1741098"/>
            <wp:effectExtent l="19050" t="19050" r="19050" b="12065"/>
            <wp:docPr id="126" name="Slik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668366" cy="1741990"/>
                    </a:xfrm>
                    <a:prstGeom prst="rect">
                      <a:avLst/>
                    </a:prstGeom>
                    <a:noFill/>
                    <a:ln>
                      <a:solidFill>
                        <a:schemeClr val="bg1">
                          <a:lumMod val="85000"/>
                        </a:schemeClr>
                      </a:solidFill>
                    </a:ln>
                  </pic:spPr>
                </pic:pic>
              </a:graphicData>
            </a:graphic>
          </wp:inline>
        </w:drawing>
      </w:r>
      <w:r w:rsidR="00882CB9" w:rsidRPr="00545EC0">
        <w:rPr>
          <w:rFonts w:cs="Arial"/>
          <w:noProof/>
          <w:szCs w:val="22"/>
        </w:rPr>
        <w:drawing>
          <wp:inline distT="0" distB="0" distL="0" distR="0" wp14:anchorId="51F791E3" wp14:editId="773226C6">
            <wp:extent cx="2896481" cy="1739900"/>
            <wp:effectExtent l="19050" t="19050" r="18415" b="12700"/>
            <wp:docPr id="125" name="Slik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900635" cy="1742395"/>
                    </a:xfrm>
                    <a:prstGeom prst="rect">
                      <a:avLst/>
                    </a:prstGeom>
                    <a:noFill/>
                    <a:ln>
                      <a:solidFill>
                        <a:schemeClr val="bg1">
                          <a:lumMod val="85000"/>
                        </a:schemeClr>
                      </a:solidFill>
                    </a:ln>
                  </pic:spPr>
                </pic:pic>
              </a:graphicData>
            </a:graphic>
          </wp:inline>
        </w:drawing>
      </w:r>
    </w:p>
    <w:p w14:paraId="0109076C" w14:textId="67011544" w:rsidR="00882CB9" w:rsidRPr="00545EC0" w:rsidRDefault="00882CB9" w:rsidP="00882CB9">
      <w:pPr>
        <w:pStyle w:val="Napis"/>
      </w:pPr>
      <w:bookmarkStart w:id="580" w:name="_Ref87343972"/>
      <w:r w:rsidRPr="00545EC0">
        <w:t xml:space="preserve">Slika </w:t>
      </w:r>
      <w:fldSimple w:instr=" STYLEREF 1 \s ">
        <w:r w:rsidR="002F3E43">
          <w:rPr>
            <w:noProof/>
          </w:rPr>
          <w:t>3</w:t>
        </w:r>
      </w:fldSimple>
      <w:r w:rsidR="00396E1E" w:rsidRPr="00545EC0">
        <w:noBreakHyphen/>
      </w:r>
      <w:fldSimple w:instr=" SEQ Slika \* ARABIC \s 1 ">
        <w:r w:rsidR="002F3E43">
          <w:rPr>
            <w:noProof/>
          </w:rPr>
          <w:t>12</w:t>
        </w:r>
      </w:fldSimple>
      <w:bookmarkEnd w:id="580"/>
      <w:r w:rsidRPr="00545EC0">
        <w:t>: Statistično značilen trend naraščanja nitrata in naraščanja električne prevodnosti v globokem vodnjaku VG-3 na črpališču Skorba</w:t>
      </w:r>
    </w:p>
    <w:p w14:paraId="2AC2F399" w14:textId="7238C080" w:rsidR="00AA23DA" w:rsidRPr="00545EC0" w:rsidRDefault="00AA23DA" w:rsidP="00AA23DA">
      <w:pPr>
        <w:rPr>
          <w:rFonts w:cs="Arial"/>
          <w:snapToGrid w:val="0"/>
          <w:szCs w:val="22"/>
        </w:rPr>
      </w:pPr>
      <w:r w:rsidRPr="00545EC0">
        <w:rPr>
          <w:rFonts w:cs="Arial"/>
          <w:noProof/>
          <w:snapToGrid w:val="0"/>
          <w:szCs w:val="22"/>
        </w:rPr>
        <w:t xml:space="preserve">   </w:t>
      </w:r>
    </w:p>
    <w:p w14:paraId="1407F852" w14:textId="4F0CA812" w:rsidR="00AA23DA" w:rsidRPr="00545EC0" w:rsidRDefault="00AA23DA" w:rsidP="00AA23DA">
      <w:pPr>
        <w:rPr>
          <w:rFonts w:cs="Arial"/>
          <w:szCs w:val="22"/>
        </w:rPr>
      </w:pPr>
      <w:r w:rsidRPr="00545EC0">
        <w:rPr>
          <w:rFonts w:cs="Arial"/>
          <w:szCs w:val="22"/>
        </w:rPr>
        <w:t xml:space="preserve">Zaradi suma vdora vode slabše kvalitete iz plitvega, v globoki vodonosnik in zaradi ugotavljanja prostorske porazdelitve onesnaženja, </w:t>
      </w:r>
      <w:r w:rsidR="00E847C8" w:rsidRPr="00545EC0">
        <w:rPr>
          <w:rFonts w:cs="Arial"/>
          <w:szCs w:val="22"/>
        </w:rPr>
        <w:t xml:space="preserve">je bila </w:t>
      </w:r>
      <w:r w:rsidRPr="00545EC0">
        <w:rPr>
          <w:rFonts w:cs="Arial"/>
          <w:szCs w:val="22"/>
        </w:rPr>
        <w:t>v letu 2018 meriln</w:t>
      </w:r>
      <w:r w:rsidR="00D97D42" w:rsidRPr="00545EC0">
        <w:rPr>
          <w:rFonts w:cs="Arial"/>
          <w:szCs w:val="22"/>
        </w:rPr>
        <w:t>a</w:t>
      </w:r>
      <w:r w:rsidRPr="00545EC0">
        <w:rPr>
          <w:rFonts w:cs="Arial"/>
          <w:szCs w:val="22"/>
        </w:rPr>
        <w:t xml:space="preserve"> mrež</w:t>
      </w:r>
      <w:r w:rsidR="00D97D42" w:rsidRPr="00545EC0">
        <w:rPr>
          <w:rFonts w:cs="Arial"/>
          <w:szCs w:val="22"/>
        </w:rPr>
        <w:t>a</w:t>
      </w:r>
      <w:r w:rsidR="00E847C8" w:rsidRPr="00545EC0">
        <w:rPr>
          <w:rFonts w:cs="Arial"/>
          <w:szCs w:val="22"/>
        </w:rPr>
        <w:t xml:space="preserve"> razširjena</w:t>
      </w:r>
      <w:r w:rsidRPr="00545EC0">
        <w:rPr>
          <w:rFonts w:cs="Arial"/>
          <w:szCs w:val="22"/>
        </w:rPr>
        <w:t xml:space="preserve">. V program monitoringa </w:t>
      </w:r>
      <w:r w:rsidR="00E847C8" w:rsidRPr="00545EC0">
        <w:rPr>
          <w:rFonts w:cs="Arial"/>
          <w:szCs w:val="22"/>
        </w:rPr>
        <w:t>sta bila vključena</w:t>
      </w:r>
      <w:r w:rsidRPr="00545EC0">
        <w:rPr>
          <w:rFonts w:cs="Arial"/>
          <w:szCs w:val="22"/>
        </w:rPr>
        <w:t xml:space="preserve"> 200 m globoki vodnjak Skorba VG-4 in globok</w:t>
      </w:r>
      <w:r w:rsidR="00E847C8" w:rsidRPr="00545EC0">
        <w:rPr>
          <w:rFonts w:cs="Arial"/>
          <w:szCs w:val="22"/>
        </w:rPr>
        <w:t>a</w:t>
      </w:r>
      <w:r w:rsidRPr="00545EC0">
        <w:rPr>
          <w:rFonts w:cs="Arial"/>
          <w:szCs w:val="22"/>
        </w:rPr>
        <w:t xml:space="preserve"> vrtino v Lancovi vasi GLV-1/00. Meritve nitratov in električne prevodnosti v teh objektih globokega pliocenskega vodonosnika so pokazale, da onesnaženje v njem ni povsod enako obsežn</w:t>
      </w:r>
      <w:r w:rsidR="0059464F" w:rsidRPr="00545EC0">
        <w:rPr>
          <w:rFonts w:cs="Arial"/>
          <w:szCs w:val="22"/>
        </w:rPr>
        <w:t>o in ni enakomerno porazdeljeno</w:t>
      </w:r>
      <w:r w:rsidRPr="00545EC0">
        <w:rPr>
          <w:rFonts w:cs="Arial"/>
          <w:szCs w:val="22"/>
        </w:rPr>
        <w:t>.</w:t>
      </w:r>
    </w:p>
    <w:p w14:paraId="10CE1D10" w14:textId="77777777" w:rsidR="00AA23DA" w:rsidRPr="00545EC0" w:rsidRDefault="00AA23DA" w:rsidP="00AA23DA">
      <w:pPr>
        <w:rPr>
          <w:rFonts w:cs="Arial"/>
        </w:rPr>
      </w:pPr>
    </w:p>
    <w:p w14:paraId="1776948F" w14:textId="0D889A35" w:rsidR="00164188" w:rsidRPr="00545EC0" w:rsidRDefault="00164188" w:rsidP="003122F4">
      <w:r w:rsidRPr="00545EC0">
        <w:t>K</w:t>
      </w:r>
      <w:r w:rsidR="00AA23DA" w:rsidRPr="00545EC0">
        <w:t xml:space="preserve">emijsko stanje vodnega telesa podzemne vode Dravska kotlina </w:t>
      </w:r>
      <w:r w:rsidRPr="00545EC0">
        <w:t xml:space="preserve">je bilo </w:t>
      </w:r>
      <w:r w:rsidR="00AA23DA" w:rsidRPr="00545EC0">
        <w:t xml:space="preserve">ocenjeno kot slabo zaradi slabe kvalitete plitvega, kvartarnega vodonosnika in zaradi vdora vode slabše kvalitete v globoki, </w:t>
      </w:r>
      <w:r w:rsidR="00AA23DA" w:rsidRPr="00545EC0">
        <w:lastRenderedPageBreak/>
        <w:t>pliocenski vodonosnik, na kar kažejo statistično značilno naraščajoče vsebnosti nitrata in električne prevodnosti v vrtini VG-3.</w:t>
      </w:r>
    </w:p>
    <w:p w14:paraId="6EE928AD" w14:textId="77777777" w:rsidR="00164188" w:rsidRPr="00545EC0" w:rsidRDefault="00164188" w:rsidP="003122F4"/>
    <w:p w14:paraId="6586C33A" w14:textId="4C909C0D" w:rsidR="00AA23DA" w:rsidRPr="00545EC0" w:rsidRDefault="00AA23DA" w:rsidP="003122F4">
      <w:pPr>
        <w:spacing w:before="120" w:after="120"/>
        <w:rPr>
          <w:rFonts w:cs="Arial"/>
        </w:rPr>
      </w:pPr>
      <w:r w:rsidRPr="00545EC0">
        <w:rPr>
          <w:rFonts w:cs="Arial"/>
          <w:b/>
          <w:snapToGrid w:val="0"/>
          <w:szCs w:val="22"/>
        </w:rPr>
        <w:t>Preizkus 2: Vpliv podzemne vode na kemijsko in ekološko stanje površinskih voda</w:t>
      </w:r>
    </w:p>
    <w:p w14:paraId="0437F86E" w14:textId="62805590" w:rsidR="00537C3E" w:rsidRPr="00545EC0" w:rsidRDefault="00AA23DA" w:rsidP="00AA23DA">
      <w:pPr>
        <w:rPr>
          <w:rFonts w:cs="Arial"/>
          <w:b/>
          <w:snapToGrid w:val="0"/>
          <w:szCs w:val="22"/>
        </w:rPr>
      </w:pPr>
      <w:r w:rsidRPr="00545EC0">
        <w:rPr>
          <w:rFonts w:cs="Arial"/>
          <w:snapToGrid w:val="0"/>
          <w:szCs w:val="22"/>
        </w:rPr>
        <w:t xml:space="preserve">Zaradi možnega vpliva podzemne vode na kemijsko stanje površinskih voda </w:t>
      </w:r>
      <w:r w:rsidR="00E847C8" w:rsidRPr="00545EC0">
        <w:rPr>
          <w:rFonts w:cs="Arial"/>
          <w:snapToGrid w:val="0"/>
          <w:szCs w:val="22"/>
        </w:rPr>
        <w:t xml:space="preserve">se </w:t>
      </w:r>
      <w:r w:rsidRPr="00545EC0">
        <w:rPr>
          <w:rFonts w:cs="Arial"/>
          <w:snapToGrid w:val="0"/>
          <w:szCs w:val="22"/>
        </w:rPr>
        <w:t xml:space="preserve">vsa merilna mesta na podzemnih vodah na območju Donave vrednoti po </w:t>
      </w:r>
      <w:r w:rsidR="00E847C8" w:rsidRPr="00545EC0">
        <w:rPr>
          <w:rFonts w:cs="Arial"/>
          <w:snapToGrid w:val="0"/>
          <w:szCs w:val="22"/>
        </w:rPr>
        <w:t xml:space="preserve">predpisu, ki ureja </w:t>
      </w:r>
      <w:r w:rsidRPr="00545EC0">
        <w:rPr>
          <w:rFonts w:cs="Arial"/>
          <w:snapToGrid w:val="0"/>
          <w:szCs w:val="22"/>
        </w:rPr>
        <w:t>stanj</w:t>
      </w:r>
      <w:r w:rsidR="00E847C8" w:rsidRPr="00545EC0">
        <w:rPr>
          <w:rFonts w:cs="Arial"/>
          <w:snapToGrid w:val="0"/>
          <w:szCs w:val="22"/>
        </w:rPr>
        <w:t>e</w:t>
      </w:r>
      <w:r w:rsidRPr="00545EC0">
        <w:rPr>
          <w:rFonts w:cs="Arial"/>
          <w:snapToGrid w:val="0"/>
          <w:szCs w:val="22"/>
        </w:rPr>
        <w:t xml:space="preserve"> površinskih voda tako za parametre kemijskega </w:t>
      </w:r>
      <w:r w:rsidR="00E847C8" w:rsidRPr="00545EC0">
        <w:rPr>
          <w:rFonts w:cs="Arial"/>
          <w:snapToGrid w:val="0"/>
          <w:szCs w:val="22"/>
        </w:rPr>
        <w:t xml:space="preserve">stanja </w:t>
      </w:r>
      <w:r w:rsidRPr="00545EC0">
        <w:rPr>
          <w:rFonts w:cs="Arial"/>
          <w:snapToGrid w:val="0"/>
          <w:szCs w:val="22"/>
        </w:rPr>
        <w:t xml:space="preserve">kot tudi </w:t>
      </w:r>
      <w:r w:rsidR="00E847C8" w:rsidRPr="00545EC0">
        <w:rPr>
          <w:rFonts w:cs="Arial"/>
          <w:snapToGrid w:val="0"/>
          <w:szCs w:val="22"/>
        </w:rPr>
        <w:t xml:space="preserve">za parametre </w:t>
      </w:r>
      <w:r w:rsidRPr="00545EC0">
        <w:rPr>
          <w:rFonts w:cs="Arial"/>
          <w:snapToGrid w:val="0"/>
          <w:szCs w:val="22"/>
        </w:rPr>
        <w:t>ekološkega stanja.</w:t>
      </w:r>
    </w:p>
    <w:p w14:paraId="72423F0B" w14:textId="77777777" w:rsidR="00537C3E" w:rsidRPr="00545EC0" w:rsidRDefault="00537C3E" w:rsidP="00AA23DA">
      <w:pPr>
        <w:rPr>
          <w:rFonts w:cs="Arial"/>
          <w:b/>
          <w:snapToGrid w:val="0"/>
          <w:szCs w:val="22"/>
        </w:rPr>
      </w:pPr>
    </w:p>
    <w:p w14:paraId="67F8DF29" w14:textId="55A8DAEE" w:rsidR="00AA23DA" w:rsidRPr="00545EC0" w:rsidRDefault="00C20CED" w:rsidP="00AA23DA">
      <w:pPr>
        <w:rPr>
          <w:rFonts w:cs="Arial"/>
          <w:b/>
          <w:snapToGrid w:val="0"/>
          <w:szCs w:val="22"/>
          <w:u w:val="single"/>
        </w:rPr>
      </w:pPr>
      <w:r w:rsidRPr="00545EC0">
        <w:rPr>
          <w:rFonts w:cs="Arial"/>
          <w:b/>
          <w:snapToGrid w:val="0"/>
          <w:szCs w:val="22"/>
          <w:u w:val="single"/>
        </w:rPr>
        <w:t>Kemijsko stanje</w:t>
      </w:r>
    </w:p>
    <w:p w14:paraId="51962852" w14:textId="77777777" w:rsidR="00AA23DA" w:rsidRPr="00545EC0" w:rsidRDefault="00AA23DA" w:rsidP="00AA23DA">
      <w:pPr>
        <w:rPr>
          <w:rFonts w:cs="Arial"/>
          <w:snapToGrid w:val="0"/>
          <w:szCs w:val="22"/>
        </w:rPr>
      </w:pPr>
    </w:p>
    <w:p w14:paraId="3F05D1DB" w14:textId="1C4611C3" w:rsidR="00AA23DA" w:rsidRPr="00545EC0" w:rsidRDefault="00AA23DA" w:rsidP="008D4C6E">
      <w:pPr>
        <w:rPr>
          <w:rFonts w:cs="Arial"/>
          <w:snapToGrid w:val="0"/>
          <w:szCs w:val="22"/>
        </w:rPr>
      </w:pPr>
      <w:r w:rsidRPr="00545EC0">
        <w:rPr>
          <w:rFonts w:cs="Arial"/>
          <w:snapToGrid w:val="0"/>
          <w:szCs w:val="20"/>
        </w:rPr>
        <w:t xml:space="preserve">Kemijsko stanje površinskih voda v matriksu voda je </w:t>
      </w:r>
      <w:r w:rsidR="00D97D42" w:rsidRPr="00545EC0">
        <w:rPr>
          <w:rFonts w:cs="Arial"/>
          <w:snapToGrid w:val="0"/>
          <w:szCs w:val="20"/>
        </w:rPr>
        <w:t xml:space="preserve">podano v poglavju 3.1.2.1 tega načrta upravljanja voda. </w:t>
      </w:r>
      <w:r w:rsidR="00D97D42" w:rsidRPr="00545EC0">
        <w:rPr>
          <w:rFonts w:cs="Arial"/>
          <w:snapToGrid w:val="0"/>
          <w:szCs w:val="22"/>
        </w:rPr>
        <w:t>N</w:t>
      </w:r>
      <w:r w:rsidRPr="00545EC0">
        <w:rPr>
          <w:rFonts w:cs="Arial"/>
          <w:snapToGrid w:val="0"/>
          <w:szCs w:val="22"/>
        </w:rPr>
        <w:t xml:space="preserve">a prispevnih zaledjih vodnih teles površinskih voda s slabim kemijskim stanjem se nahajajo tri </w:t>
      </w:r>
      <w:r w:rsidRPr="00545EC0">
        <w:rPr>
          <w:rFonts w:cs="Arial"/>
          <w:snapToGrid w:val="0"/>
          <w:szCs w:val="20"/>
        </w:rPr>
        <w:t>merilna mesta v podzemni vodi, ki so prikazana v preglednici (</w:t>
      </w:r>
      <w:r w:rsidR="00E24A46" w:rsidRPr="00545EC0">
        <w:rPr>
          <w:rFonts w:cs="Arial"/>
          <w:snapToGrid w:val="0"/>
          <w:szCs w:val="20"/>
        </w:rPr>
        <w:fldChar w:fldCharType="begin"/>
      </w:r>
      <w:r w:rsidR="00E24A46" w:rsidRPr="00545EC0">
        <w:rPr>
          <w:rFonts w:cs="Arial"/>
          <w:snapToGrid w:val="0"/>
          <w:szCs w:val="20"/>
        </w:rPr>
        <w:instrText xml:space="preserve"> REF _Ref75766783 \h  \* MERGEFORMAT </w:instrText>
      </w:r>
      <w:r w:rsidR="00E24A46" w:rsidRPr="00545EC0">
        <w:rPr>
          <w:rFonts w:cs="Arial"/>
          <w:snapToGrid w:val="0"/>
          <w:szCs w:val="20"/>
        </w:rPr>
      </w:r>
      <w:r w:rsidR="00E24A46" w:rsidRPr="00545EC0">
        <w:rPr>
          <w:rFonts w:cs="Arial"/>
          <w:snapToGrid w:val="0"/>
          <w:szCs w:val="20"/>
        </w:rPr>
        <w:fldChar w:fldCharType="separate"/>
      </w:r>
      <w:r w:rsidR="002F3E43" w:rsidRPr="00545EC0">
        <w:rPr>
          <w:szCs w:val="20"/>
        </w:rPr>
        <w:t xml:space="preserve">Preglednica </w:t>
      </w:r>
      <w:r w:rsidR="002F3E43">
        <w:rPr>
          <w:noProof/>
          <w:szCs w:val="20"/>
        </w:rPr>
        <w:t>3</w:t>
      </w:r>
      <w:r w:rsidR="002F3E43" w:rsidRPr="00545EC0">
        <w:rPr>
          <w:noProof/>
          <w:szCs w:val="20"/>
        </w:rPr>
        <w:noBreakHyphen/>
      </w:r>
      <w:r w:rsidR="002F3E43">
        <w:rPr>
          <w:noProof/>
          <w:szCs w:val="20"/>
        </w:rPr>
        <w:t>14</w:t>
      </w:r>
      <w:r w:rsidR="00E24A46" w:rsidRPr="00545EC0">
        <w:rPr>
          <w:rFonts w:cs="Arial"/>
          <w:snapToGrid w:val="0"/>
          <w:szCs w:val="20"/>
        </w:rPr>
        <w:fldChar w:fldCharType="end"/>
      </w:r>
      <w:r w:rsidRPr="00545EC0">
        <w:rPr>
          <w:rFonts w:cs="Arial"/>
          <w:snapToGrid w:val="0"/>
          <w:szCs w:val="20"/>
        </w:rPr>
        <w:t>) skupaj s</w:t>
      </w:r>
      <w:r w:rsidRPr="00545EC0">
        <w:rPr>
          <w:rFonts w:cs="Arial"/>
          <w:snapToGrid w:val="0"/>
          <w:szCs w:val="22"/>
        </w:rPr>
        <w:t xml:space="preserve"> povprečnimi letnimi vsebnostmi parametrov, ki so vzrok za slabo kemijsko stanje površinskih voda. </w:t>
      </w:r>
    </w:p>
    <w:p w14:paraId="5D508657" w14:textId="77777777" w:rsidR="00AA23DA" w:rsidRPr="00545EC0" w:rsidRDefault="00AA23DA" w:rsidP="00AA23DA">
      <w:pPr>
        <w:rPr>
          <w:rFonts w:cs="Arial"/>
          <w:snapToGrid w:val="0"/>
          <w:szCs w:val="22"/>
        </w:rPr>
      </w:pPr>
    </w:p>
    <w:p w14:paraId="753E9D5B" w14:textId="0AEED1DA" w:rsidR="00AA23DA" w:rsidRPr="00545EC0" w:rsidRDefault="00AA23DA" w:rsidP="00AA23DA">
      <w:pPr>
        <w:pStyle w:val="Napis"/>
        <w:spacing w:after="60"/>
        <w:rPr>
          <w:snapToGrid w:val="0"/>
          <w:szCs w:val="20"/>
        </w:rPr>
      </w:pPr>
      <w:bookmarkStart w:id="581" w:name="_Ref75766783"/>
      <w:bookmarkStart w:id="582" w:name="_Toc75762757"/>
      <w:r w:rsidRPr="00545EC0">
        <w:rPr>
          <w:szCs w:val="20"/>
        </w:rPr>
        <w:t xml:space="preserve">Preglednica </w:t>
      </w:r>
      <w:r w:rsidR="001A7511" w:rsidRPr="00545EC0">
        <w:rPr>
          <w:szCs w:val="20"/>
        </w:rPr>
        <w:fldChar w:fldCharType="begin"/>
      </w:r>
      <w:r w:rsidR="001A7511" w:rsidRPr="00545EC0">
        <w:rPr>
          <w:szCs w:val="20"/>
        </w:rPr>
        <w:instrText xml:space="preserve"> STYLEREF 1 \s </w:instrText>
      </w:r>
      <w:r w:rsidR="001A7511" w:rsidRPr="00545EC0">
        <w:rPr>
          <w:szCs w:val="20"/>
        </w:rPr>
        <w:fldChar w:fldCharType="separate"/>
      </w:r>
      <w:r w:rsidR="002F3E43">
        <w:rPr>
          <w:noProof/>
          <w:szCs w:val="20"/>
        </w:rPr>
        <w:t>3</w:t>
      </w:r>
      <w:r w:rsidR="001A7511" w:rsidRPr="00545EC0">
        <w:rPr>
          <w:szCs w:val="20"/>
        </w:rPr>
        <w:fldChar w:fldCharType="end"/>
      </w:r>
      <w:r w:rsidR="001A7511" w:rsidRPr="00545EC0">
        <w:rPr>
          <w:szCs w:val="20"/>
        </w:rPr>
        <w:noBreakHyphen/>
      </w:r>
      <w:r w:rsidR="001A7511" w:rsidRPr="00545EC0">
        <w:rPr>
          <w:szCs w:val="20"/>
        </w:rPr>
        <w:fldChar w:fldCharType="begin"/>
      </w:r>
      <w:r w:rsidR="001A7511" w:rsidRPr="00545EC0">
        <w:rPr>
          <w:szCs w:val="20"/>
        </w:rPr>
        <w:instrText xml:space="preserve"> SEQ Preglednica \* ARABIC \s 1 </w:instrText>
      </w:r>
      <w:r w:rsidR="001A7511" w:rsidRPr="00545EC0">
        <w:rPr>
          <w:szCs w:val="20"/>
        </w:rPr>
        <w:fldChar w:fldCharType="separate"/>
      </w:r>
      <w:r w:rsidR="002F3E43">
        <w:rPr>
          <w:noProof/>
          <w:szCs w:val="20"/>
        </w:rPr>
        <w:t>14</w:t>
      </w:r>
      <w:r w:rsidR="001A7511" w:rsidRPr="00545EC0">
        <w:rPr>
          <w:szCs w:val="20"/>
        </w:rPr>
        <w:fldChar w:fldCharType="end"/>
      </w:r>
      <w:bookmarkEnd w:id="581"/>
      <w:r w:rsidRPr="00545EC0">
        <w:rPr>
          <w:szCs w:val="20"/>
        </w:rPr>
        <w:t xml:space="preserve">: </w:t>
      </w:r>
      <w:bookmarkEnd w:id="582"/>
      <w:r w:rsidRPr="00545EC0">
        <w:rPr>
          <w:szCs w:val="20"/>
        </w:rPr>
        <w:t xml:space="preserve">Merilna mesta podzemne vode, ki se nahajajo v prispevnih </w:t>
      </w:r>
      <w:r w:rsidR="00C12042" w:rsidRPr="00545EC0">
        <w:rPr>
          <w:szCs w:val="20"/>
        </w:rPr>
        <w:t>zalednih</w:t>
      </w:r>
      <w:r w:rsidRPr="00545EC0">
        <w:rPr>
          <w:szCs w:val="20"/>
        </w:rPr>
        <w:t xml:space="preserve"> vodnih teles površinskih voda s slabim kemijskim stanjem</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23"/>
        <w:gridCol w:w="2693"/>
        <w:gridCol w:w="850"/>
        <w:gridCol w:w="709"/>
        <w:gridCol w:w="992"/>
      </w:tblGrid>
      <w:tr w:rsidR="003122F4" w:rsidRPr="00545EC0" w14:paraId="59265C82" w14:textId="77777777" w:rsidTr="004C5428">
        <w:trPr>
          <w:trHeight w:val="20"/>
        </w:trPr>
        <w:tc>
          <w:tcPr>
            <w:tcW w:w="3823" w:type="dxa"/>
            <w:shd w:val="clear" w:color="auto" w:fill="E7E6E6"/>
            <w:vAlign w:val="center"/>
          </w:tcPr>
          <w:p w14:paraId="7E279F85" w14:textId="77777777" w:rsidR="00AA23DA" w:rsidRPr="00545EC0" w:rsidRDefault="00AA23DA" w:rsidP="004C5428">
            <w:pPr>
              <w:jc w:val="left"/>
              <w:rPr>
                <w:rFonts w:cs="Arial"/>
                <w:b/>
                <w:sz w:val="18"/>
                <w:szCs w:val="22"/>
              </w:rPr>
            </w:pPr>
            <w:r w:rsidRPr="00545EC0">
              <w:rPr>
                <w:rFonts w:cs="Arial"/>
                <w:b/>
                <w:bCs/>
                <w:sz w:val="18"/>
              </w:rPr>
              <w:t>Ime vodnega telesa</w:t>
            </w:r>
          </w:p>
        </w:tc>
        <w:tc>
          <w:tcPr>
            <w:tcW w:w="2693" w:type="dxa"/>
            <w:shd w:val="clear" w:color="auto" w:fill="E7E6E6"/>
            <w:noWrap/>
            <w:vAlign w:val="center"/>
            <w:hideMark/>
          </w:tcPr>
          <w:p w14:paraId="511FAE12" w14:textId="77777777" w:rsidR="00AA23DA" w:rsidRPr="00545EC0" w:rsidRDefault="00AA23DA" w:rsidP="004C5428">
            <w:pPr>
              <w:jc w:val="left"/>
              <w:rPr>
                <w:rFonts w:cs="Arial"/>
                <w:b/>
                <w:sz w:val="18"/>
                <w:szCs w:val="22"/>
              </w:rPr>
            </w:pPr>
            <w:r w:rsidRPr="00545EC0">
              <w:rPr>
                <w:rFonts w:cs="Arial"/>
                <w:b/>
                <w:sz w:val="18"/>
                <w:szCs w:val="22"/>
              </w:rPr>
              <w:t>Merilno mesto na podzemni vodi</w:t>
            </w:r>
          </w:p>
        </w:tc>
        <w:tc>
          <w:tcPr>
            <w:tcW w:w="850" w:type="dxa"/>
            <w:shd w:val="clear" w:color="auto" w:fill="E7E6E6"/>
            <w:noWrap/>
            <w:vAlign w:val="center"/>
            <w:hideMark/>
          </w:tcPr>
          <w:p w14:paraId="4765D303" w14:textId="77777777" w:rsidR="00AA23DA" w:rsidRPr="00545EC0" w:rsidRDefault="00AA23DA" w:rsidP="004C5428">
            <w:pPr>
              <w:jc w:val="center"/>
              <w:rPr>
                <w:rFonts w:cs="Arial"/>
                <w:b/>
                <w:sz w:val="18"/>
                <w:szCs w:val="22"/>
              </w:rPr>
            </w:pPr>
            <w:r w:rsidRPr="00545EC0">
              <w:rPr>
                <w:rFonts w:cs="Arial"/>
                <w:b/>
                <w:sz w:val="18"/>
                <w:szCs w:val="22"/>
              </w:rPr>
              <w:t>Kadmij</w:t>
            </w:r>
          </w:p>
        </w:tc>
        <w:tc>
          <w:tcPr>
            <w:tcW w:w="709" w:type="dxa"/>
            <w:shd w:val="clear" w:color="auto" w:fill="E7E6E6"/>
            <w:noWrap/>
            <w:vAlign w:val="center"/>
            <w:hideMark/>
          </w:tcPr>
          <w:p w14:paraId="285CF834" w14:textId="77777777" w:rsidR="00AA23DA" w:rsidRPr="00545EC0" w:rsidRDefault="00AA23DA" w:rsidP="004C5428">
            <w:pPr>
              <w:jc w:val="center"/>
              <w:rPr>
                <w:rFonts w:cs="Arial"/>
                <w:b/>
                <w:sz w:val="18"/>
                <w:szCs w:val="22"/>
              </w:rPr>
            </w:pPr>
            <w:r w:rsidRPr="00545EC0">
              <w:rPr>
                <w:rFonts w:cs="Arial"/>
                <w:b/>
                <w:sz w:val="18"/>
                <w:szCs w:val="22"/>
              </w:rPr>
              <w:t>Nikelj</w:t>
            </w:r>
          </w:p>
        </w:tc>
        <w:tc>
          <w:tcPr>
            <w:tcW w:w="992" w:type="dxa"/>
            <w:shd w:val="clear" w:color="auto" w:fill="E7E6E6"/>
            <w:noWrap/>
            <w:vAlign w:val="center"/>
            <w:hideMark/>
          </w:tcPr>
          <w:p w14:paraId="11AA9BC4" w14:textId="77777777" w:rsidR="00AA23DA" w:rsidRPr="00545EC0" w:rsidRDefault="00AA23DA" w:rsidP="004C5428">
            <w:pPr>
              <w:jc w:val="center"/>
              <w:rPr>
                <w:rFonts w:cs="Arial"/>
                <w:b/>
                <w:sz w:val="18"/>
                <w:szCs w:val="22"/>
              </w:rPr>
            </w:pPr>
            <w:r w:rsidRPr="00545EC0">
              <w:rPr>
                <w:rFonts w:cs="Arial"/>
                <w:b/>
                <w:sz w:val="18"/>
                <w:szCs w:val="22"/>
              </w:rPr>
              <w:t>Svinec</w:t>
            </w:r>
          </w:p>
        </w:tc>
      </w:tr>
      <w:tr w:rsidR="003122F4" w:rsidRPr="00545EC0" w14:paraId="4ABE27A8" w14:textId="77777777" w:rsidTr="004C5428">
        <w:trPr>
          <w:trHeight w:val="284"/>
        </w:trPr>
        <w:tc>
          <w:tcPr>
            <w:tcW w:w="3823" w:type="dxa"/>
            <w:shd w:val="clear" w:color="auto" w:fill="auto"/>
            <w:vAlign w:val="center"/>
          </w:tcPr>
          <w:p w14:paraId="2FB7CACF" w14:textId="77777777" w:rsidR="00AA23DA" w:rsidRPr="00545EC0" w:rsidRDefault="00AA23DA" w:rsidP="004C5428">
            <w:pPr>
              <w:jc w:val="left"/>
              <w:rPr>
                <w:rFonts w:cs="Arial"/>
                <w:sz w:val="18"/>
                <w:szCs w:val="22"/>
              </w:rPr>
            </w:pPr>
            <w:r w:rsidRPr="00545EC0">
              <w:rPr>
                <w:rFonts w:cs="Arial"/>
                <w:sz w:val="18"/>
              </w:rPr>
              <w:t>VT Meža Črna na Koroškem – Dravograd</w:t>
            </w:r>
          </w:p>
        </w:tc>
        <w:tc>
          <w:tcPr>
            <w:tcW w:w="2693" w:type="dxa"/>
            <w:shd w:val="clear" w:color="auto" w:fill="auto"/>
            <w:noWrap/>
            <w:vAlign w:val="center"/>
            <w:hideMark/>
          </w:tcPr>
          <w:p w14:paraId="38EC2A09" w14:textId="77777777" w:rsidR="00AA23DA" w:rsidRPr="00545EC0" w:rsidRDefault="00AA23DA" w:rsidP="004C5428">
            <w:pPr>
              <w:jc w:val="left"/>
              <w:rPr>
                <w:rFonts w:cs="Arial"/>
                <w:sz w:val="18"/>
                <w:szCs w:val="22"/>
              </w:rPr>
            </w:pPr>
            <w:r w:rsidRPr="00545EC0">
              <w:rPr>
                <w:rFonts w:cs="Arial"/>
                <w:sz w:val="18"/>
                <w:szCs w:val="22"/>
              </w:rPr>
              <w:t>ŠUMEC</w:t>
            </w:r>
          </w:p>
        </w:tc>
        <w:tc>
          <w:tcPr>
            <w:tcW w:w="850" w:type="dxa"/>
            <w:shd w:val="clear" w:color="auto" w:fill="auto"/>
            <w:noWrap/>
            <w:vAlign w:val="center"/>
            <w:hideMark/>
          </w:tcPr>
          <w:p w14:paraId="57157602" w14:textId="77777777" w:rsidR="00AA23DA" w:rsidRPr="00545EC0" w:rsidRDefault="00AA23DA" w:rsidP="004C5428">
            <w:pPr>
              <w:jc w:val="center"/>
              <w:rPr>
                <w:rFonts w:cs="Arial"/>
                <w:sz w:val="18"/>
                <w:szCs w:val="22"/>
              </w:rPr>
            </w:pPr>
            <w:r w:rsidRPr="00545EC0">
              <w:rPr>
                <w:rFonts w:cs="Arial"/>
                <w:sz w:val="18"/>
                <w:szCs w:val="22"/>
              </w:rPr>
              <w:t>0,01</w:t>
            </w:r>
          </w:p>
        </w:tc>
        <w:tc>
          <w:tcPr>
            <w:tcW w:w="709" w:type="dxa"/>
            <w:shd w:val="clear" w:color="auto" w:fill="auto"/>
            <w:noWrap/>
            <w:vAlign w:val="center"/>
          </w:tcPr>
          <w:p w14:paraId="6D5D034A" w14:textId="77777777" w:rsidR="00AA23DA" w:rsidRPr="00545EC0" w:rsidRDefault="00AA23DA" w:rsidP="004C5428">
            <w:pPr>
              <w:jc w:val="center"/>
              <w:rPr>
                <w:rFonts w:cs="Arial"/>
                <w:sz w:val="18"/>
                <w:szCs w:val="22"/>
              </w:rPr>
            </w:pPr>
          </w:p>
        </w:tc>
        <w:tc>
          <w:tcPr>
            <w:tcW w:w="992" w:type="dxa"/>
            <w:shd w:val="clear" w:color="auto" w:fill="auto"/>
            <w:noWrap/>
            <w:vAlign w:val="center"/>
            <w:hideMark/>
          </w:tcPr>
          <w:p w14:paraId="2454228C" w14:textId="77777777" w:rsidR="00AA23DA" w:rsidRPr="00545EC0" w:rsidRDefault="00AA23DA" w:rsidP="004C5428">
            <w:pPr>
              <w:jc w:val="center"/>
              <w:rPr>
                <w:rFonts w:cs="Arial"/>
                <w:sz w:val="18"/>
                <w:szCs w:val="22"/>
              </w:rPr>
            </w:pPr>
            <w:r w:rsidRPr="00545EC0">
              <w:rPr>
                <w:rFonts w:cs="Arial"/>
                <w:sz w:val="18"/>
                <w:szCs w:val="22"/>
              </w:rPr>
              <w:t>0,11</w:t>
            </w:r>
          </w:p>
        </w:tc>
      </w:tr>
      <w:tr w:rsidR="003122F4" w:rsidRPr="00545EC0" w14:paraId="3703C969" w14:textId="77777777" w:rsidTr="004C5428">
        <w:trPr>
          <w:trHeight w:val="284"/>
        </w:trPr>
        <w:tc>
          <w:tcPr>
            <w:tcW w:w="3823" w:type="dxa"/>
            <w:shd w:val="clear" w:color="auto" w:fill="auto"/>
            <w:vAlign w:val="center"/>
          </w:tcPr>
          <w:p w14:paraId="7C0426DA" w14:textId="77777777" w:rsidR="00AA23DA" w:rsidRPr="00545EC0" w:rsidRDefault="00AA23DA" w:rsidP="004C5428">
            <w:pPr>
              <w:jc w:val="left"/>
              <w:rPr>
                <w:rFonts w:cs="Arial"/>
                <w:sz w:val="18"/>
                <w:szCs w:val="22"/>
              </w:rPr>
            </w:pPr>
            <w:r w:rsidRPr="00545EC0">
              <w:rPr>
                <w:rFonts w:cs="Arial"/>
                <w:sz w:val="18"/>
              </w:rPr>
              <w:t>VT Meža Črna na Koroškem – Dravograd</w:t>
            </w:r>
          </w:p>
        </w:tc>
        <w:tc>
          <w:tcPr>
            <w:tcW w:w="2693" w:type="dxa"/>
            <w:shd w:val="clear" w:color="auto" w:fill="auto"/>
            <w:noWrap/>
            <w:vAlign w:val="center"/>
            <w:hideMark/>
          </w:tcPr>
          <w:p w14:paraId="46537CB2" w14:textId="77777777" w:rsidR="00AA23DA" w:rsidRPr="00545EC0" w:rsidRDefault="00AA23DA" w:rsidP="004C5428">
            <w:pPr>
              <w:jc w:val="left"/>
              <w:rPr>
                <w:rFonts w:cs="Arial"/>
                <w:sz w:val="18"/>
                <w:szCs w:val="22"/>
              </w:rPr>
            </w:pPr>
            <w:r w:rsidRPr="00545EC0">
              <w:rPr>
                <w:rFonts w:cs="Arial"/>
                <w:sz w:val="18"/>
                <w:szCs w:val="22"/>
              </w:rPr>
              <w:t>RUDNIK, Kotlje</w:t>
            </w:r>
          </w:p>
        </w:tc>
        <w:tc>
          <w:tcPr>
            <w:tcW w:w="850" w:type="dxa"/>
            <w:shd w:val="clear" w:color="auto" w:fill="auto"/>
            <w:noWrap/>
            <w:vAlign w:val="center"/>
            <w:hideMark/>
          </w:tcPr>
          <w:p w14:paraId="0BE38A1D" w14:textId="77777777" w:rsidR="00AA23DA" w:rsidRPr="00545EC0" w:rsidRDefault="00AA23DA" w:rsidP="004C5428">
            <w:pPr>
              <w:jc w:val="center"/>
              <w:rPr>
                <w:rFonts w:cs="Arial"/>
                <w:sz w:val="18"/>
                <w:szCs w:val="22"/>
              </w:rPr>
            </w:pPr>
            <w:r w:rsidRPr="00545EC0">
              <w:rPr>
                <w:rFonts w:cs="Arial"/>
                <w:sz w:val="18"/>
                <w:szCs w:val="22"/>
              </w:rPr>
              <w:t>0,01</w:t>
            </w:r>
          </w:p>
        </w:tc>
        <w:tc>
          <w:tcPr>
            <w:tcW w:w="709" w:type="dxa"/>
            <w:shd w:val="clear" w:color="auto" w:fill="auto"/>
            <w:noWrap/>
            <w:vAlign w:val="center"/>
          </w:tcPr>
          <w:p w14:paraId="33363F05" w14:textId="77777777" w:rsidR="00AA23DA" w:rsidRPr="00545EC0" w:rsidRDefault="00AA23DA" w:rsidP="004C5428">
            <w:pPr>
              <w:jc w:val="center"/>
              <w:rPr>
                <w:rFonts w:cs="Arial"/>
                <w:sz w:val="18"/>
                <w:szCs w:val="22"/>
              </w:rPr>
            </w:pPr>
          </w:p>
        </w:tc>
        <w:tc>
          <w:tcPr>
            <w:tcW w:w="992" w:type="dxa"/>
            <w:shd w:val="clear" w:color="auto" w:fill="auto"/>
            <w:noWrap/>
            <w:vAlign w:val="center"/>
            <w:hideMark/>
          </w:tcPr>
          <w:p w14:paraId="431C7D68" w14:textId="77777777" w:rsidR="00AA23DA" w:rsidRPr="00545EC0" w:rsidRDefault="00AA23DA" w:rsidP="004C5428">
            <w:pPr>
              <w:jc w:val="center"/>
              <w:rPr>
                <w:rFonts w:cs="Arial"/>
                <w:sz w:val="18"/>
                <w:szCs w:val="22"/>
              </w:rPr>
            </w:pPr>
            <w:r w:rsidRPr="00545EC0">
              <w:rPr>
                <w:rFonts w:cs="Arial"/>
                <w:sz w:val="18"/>
                <w:szCs w:val="22"/>
              </w:rPr>
              <w:t>0,05</w:t>
            </w:r>
          </w:p>
        </w:tc>
      </w:tr>
      <w:tr w:rsidR="003122F4" w:rsidRPr="00545EC0" w14:paraId="505B006B" w14:textId="77777777" w:rsidTr="004C5428">
        <w:trPr>
          <w:trHeight w:val="284"/>
        </w:trPr>
        <w:tc>
          <w:tcPr>
            <w:tcW w:w="3823" w:type="dxa"/>
            <w:shd w:val="clear" w:color="auto" w:fill="auto"/>
            <w:vAlign w:val="center"/>
          </w:tcPr>
          <w:p w14:paraId="275297B0" w14:textId="77777777" w:rsidR="00AA23DA" w:rsidRPr="00545EC0" w:rsidRDefault="00AA23DA" w:rsidP="004C5428">
            <w:pPr>
              <w:jc w:val="left"/>
              <w:rPr>
                <w:rFonts w:cs="Arial"/>
                <w:sz w:val="18"/>
                <w:szCs w:val="22"/>
              </w:rPr>
            </w:pPr>
            <w:r w:rsidRPr="00545EC0">
              <w:rPr>
                <w:rFonts w:cs="Arial"/>
                <w:sz w:val="18"/>
              </w:rPr>
              <w:t>VT Iščica</w:t>
            </w:r>
          </w:p>
        </w:tc>
        <w:tc>
          <w:tcPr>
            <w:tcW w:w="2693" w:type="dxa"/>
            <w:shd w:val="clear" w:color="auto" w:fill="auto"/>
            <w:noWrap/>
            <w:vAlign w:val="center"/>
            <w:hideMark/>
          </w:tcPr>
          <w:p w14:paraId="26920CE9" w14:textId="77777777" w:rsidR="00AA23DA" w:rsidRPr="00545EC0" w:rsidRDefault="00AA23DA" w:rsidP="004C5428">
            <w:pPr>
              <w:jc w:val="left"/>
              <w:rPr>
                <w:rFonts w:cs="Arial"/>
                <w:sz w:val="18"/>
                <w:szCs w:val="22"/>
              </w:rPr>
            </w:pPr>
            <w:r w:rsidRPr="00545EC0">
              <w:rPr>
                <w:rFonts w:cs="Arial"/>
                <w:sz w:val="18"/>
                <w:szCs w:val="22"/>
              </w:rPr>
              <w:t>IŠČICA</w:t>
            </w:r>
          </w:p>
        </w:tc>
        <w:tc>
          <w:tcPr>
            <w:tcW w:w="850" w:type="dxa"/>
            <w:shd w:val="clear" w:color="auto" w:fill="auto"/>
            <w:noWrap/>
            <w:vAlign w:val="center"/>
          </w:tcPr>
          <w:p w14:paraId="4C06158B" w14:textId="77777777" w:rsidR="00AA23DA" w:rsidRPr="00545EC0" w:rsidRDefault="00AA23DA" w:rsidP="004C5428">
            <w:pPr>
              <w:jc w:val="center"/>
              <w:rPr>
                <w:rFonts w:cs="Arial"/>
                <w:sz w:val="18"/>
                <w:szCs w:val="22"/>
              </w:rPr>
            </w:pPr>
          </w:p>
        </w:tc>
        <w:tc>
          <w:tcPr>
            <w:tcW w:w="709" w:type="dxa"/>
            <w:shd w:val="clear" w:color="auto" w:fill="auto"/>
            <w:noWrap/>
            <w:vAlign w:val="center"/>
            <w:hideMark/>
          </w:tcPr>
          <w:p w14:paraId="2075599A" w14:textId="77777777" w:rsidR="00AA23DA" w:rsidRPr="00545EC0" w:rsidRDefault="00AA23DA" w:rsidP="004C5428">
            <w:pPr>
              <w:jc w:val="center"/>
              <w:rPr>
                <w:rFonts w:cs="Arial"/>
                <w:sz w:val="18"/>
                <w:szCs w:val="22"/>
              </w:rPr>
            </w:pPr>
            <w:r w:rsidRPr="00545EC0">
              <w:rPr>
                <w:rFonts w:cs="Arial"/>
                <w:sz w:val="18"/>
                <w:szCs w:val="22"/>
              </w:rPr>
              <w:t>0,37</w:t>
            </w:r>
          </w:p>
        </w:tc>
        <w:tc>
          <w:tcPr>
            <w:tcW w:w="992" w:type="dxa"/>
            <w:shd w:val="clear" w:color="auto" w:fill="auto"/>
            <w:noWrap/>
            <w:vAlign w:val="center"/>
          </w:tcPr>
          <w:p w14:paraId="50FB3632" w14:textId="77777777" w:rsidR="00AA23DA" w:rsidRPr="00545EC0" w:rsidRDefault="00AA23DA" w:rsidP="004C5428">
            <w:pPr>
              <w:jc w:val="center"/>
              <w:rPr>
                <w:rFonts w:cs="Arial"/>
                <w:sz w:val="18"/>
                <w:szCs w:val="22"/>
              </w:rPr>
            </w:pPr>
          </w:p>
        </w:tc>
      </w:tr>
      <w:tr w:rsidR="003122F4" w:rsidRPr="00545EC0" w14:paraId="536EC3ED" w14:textId="77777777" w:rsidTr="004C5428">
        <w:trPr>
          <w:trHeight w:val="284"/>
        </w:trPr>
        <w:tc>
          <w:tcPr>
            <w:tcW w:w="6516" w:type="dxa"/>
            <w:gridSpan w:val="2"/>
            <w:shd w:val="clear" w:color="auto" w:fill="auto"/>
            <w:vAlign w:val="center"/>
          </w:tcPr>
          <w:p w14:paraId="4E2BE40F" w14:textId="77777777" w:rsidR="00AA23DA" w:rsidRPr="00545EC0" w:rsidRDefault="00AA23DA" w:rsidP="004C5428">
            <w:pPr>
              <w:jc w:val="right"/>
              <w:rPr>
                <w:rFonts w:cs="Arial"/>
                <w:b/>
                <w:sz w:val="18"/>
                <w:szCs w:val="22"/>
              </w:rPr>
            </w:pPr>
            <w:r w:rsidRPr="00545EC0">
              <w:rPr>
                <w:rFonts w:cs="Arial"/>
                <w:b/>
                <w:sz w:val="18"/>
                <w:szCs w:val="22"/>
              </w:rPr>
              <w:t>LP-OSK</w:t>
            </w:r>
          </w:p>
        </w:tc>
        <w:tc>
          <w:tcPr>
            <w:tcW w:w="850" w:type="dxa"/>
            <w:shd w:val="clear" w:color="auto" w:fill="auto"/>
            <w:noWrap/>
            <w:vAlign w:val="center"/>
          </w:tcPr>
          <w:p w14:paraId="04D8EF77" w14:textId="77777777" w:rsidR="00AA23DA" w:rsidRPr="00545EC0" w:rsidRDefault="00AA23DA" w:rsidP="004C5428">
            <w:pPr>
              <w:jc w:val="center"/>
              <w:rPr>
                <w:rFonts w:cs="Arial"/>
                <w:b/>
                <w:sz w:val="18"/>
                <w:szCs w:val="22"/>
              </w:rPr>
            </w:pPr>
            <w:r w:rsidRPr="00545EC0">
              <w:rPr>
                <w:rFonts w:cs="Arial"/>
                <w:b/>
                <w:sz w:val="18"/>
                <w:szCs w:val="22"/>
              </w:rPr>
              <w:t>0,12*</w:t>
            </w:r>
          </w:p>
        </w:tc>
        <w:tc>
          <w:tcPr>
            <w:tcW w:w="709" w:type="dxa"/>
            <w:shd w:val="clear" w:color="auto" w:fill="auto"/>
            <w:noWrap/>
            <w:vAlign w:val="center"/>
          </w:tcPr>
          <w:p w14:paraId="11675DCF" w14:textId="77777777" w:rsidR="00AA23DA" w:rsidRPr="00545EC0" w:rsidRDefault="00AA23DA" w:rsidP="004C5428">
            <w:pPr>
              <w:jc w:val="center"/>
              <w:rPr>
                <w:rFonts w:cs="Arial"/>
                <w:b/>
                <w:sz w:val="18"/>
                <w:szCs w:val="22"/>
              </w:rPr>
            </w:pPr>
            <w:r w:rsidRPr="00545EC0">
              <w:rPr>
                <w:rFonts w:cs="Arial"/>
                <w:b/>
                <w:sz w:val="18"/>
                <w:szCs w:val="22"/>
              </w:rPr>
              <w:t>4</w:t>
            </w:r>
          </w:p>
        </w:tc>
        <w:tc>
          <w:tcPr>
            <w:tcW w:w="992" w:type="dxa"/>
            <w:shd w:val="clear" w:color="auto" w:fill="auto"/>
            <w:noWrap/>
            <w:vAlign w:val="center"/>
          </w:tcPr>
          <w:p w14:paraId="45867CCE" w14:textId="77777777" w:rsidR="00AA23DA" w:rsidRPr="00545EC0" w:rsidRDefault="00AA23DA" w:rsidP="004C5428">
            <w:pPr>
              <w:jc w:val="center"/>
              <w:rPr>
                <w:rFonts w:cs="Arial"/>
                <w:b/>
                <w:sz w:val="18"/>
                <w:szCs w:val="22"/>
              </w:rPr>
            </w:pPr>
            <w:r w:rsidRPr="00545EC0">
              <w:rPr>
                <w:rFonts w:cs="Arial"/>
                <w:b/>
                <w:sz w:val="18"/>
                <w:szCs w:val="22"/>
              </w:rPr>
              <w:t>1,2</w:t>
            </w:r>
          </w:p>
        </w:tc>
      </w:tr>
    </w:tbl>
    <w:p w14:paraId="5B5F33D0" w14:textId="77777777" w:rsidR="00AA23DA" w:rsidRPr="00545EC0" w:rsidRDefault="00AA23DA" w:rsidP="004168CD">
      <w:pPr>
        <w:rPr>
          <w:rFonts w:cs="Arial"/>
          <w:i/>
          <w:snapToGrid w:val="0"/>
          <w:sz w:val="18"/>
          <w:szCs w:val="18"/>
        </w:rPr>
      </w:pPr>
      <w:r w:rsidRPr="00545EC0">
        <w:rPr>
          <w:rFonts w:cs="Arial"/>
          <w:i/>
          <w:snapToGrid w:val="0"/>
          <w:sz w:val="18"/>
          <w:szCs w:val="18"/>
        </w:rPr>
        <w:t>*: najstrožji kriterij za LP-OSK</w:t>
      </w:r>
    </w:p>
    <w:p w14:paraId="6E538ECC" w14:textId="77777777" w:rsidR="00AA23DA" w:rsidRPr="00545EC0" w:rsidRDefault="00AA23DA" w:rsidP="00AA23DA">
      <w:pPr>
        <w:rPr>
          <w:rFonts w:cs="Arial"/>
          <w:snapToGrid w:val="0"/>
          <w:szCs w:val="22"/>
        </w:rPr>
      </w:pPr>
    </w:p>
    <w:p w14:paraId="39EE781A" w14:textId="385E000F" w:rsidR="00AA23DA" w:rsidRPr="00545EC0" w:rsidRDefault="00AA23DA" w:rsidP="00AA23DA">
      <w:pPr>
        <w:rPr>
          <w:rFonts w:cs="Arial"/>
          <w:snapToGrid w:val="0"/>
          <w:szCs w:val="22"/>
        </w:rPr>
      </w:pPr>
      <w:r w:rsidRPr="00545EC0">
        <w:rPr>
          <w:rFonts w:cs="Arial"/>
          <w:snapToGrid w:val="0"/>
          <w:szCs w:val="22"/>
        </w:rPr>
        <w:t>Vsa merilna mesta na podzemni vodi na vodnem območju Donave so v dobrem kemijskem stanju glede na Uredbo o stanju površinskih voda. Glede za izračune ocenjujemo, da podzemna voda ne vpliva na slabo ke</w:t>
      </w:r>
      <w:r w:rsidR="00537C3E" w:rsidRPr="00545EC0">
        <w:rPr>
          <w:rFonts w:cs="Arial"/>
          <w:snapToGrid w:val="0"/>
          <w:szCs w:val="22"/>
        </w:rPr>
        <w:t>mijsko stanje površinskih voda.</w:t>
      </w:r>
    </w:p>
    <w:p w14:paraId="0C824B99" w14:textId="77777777" w:rsidR="00AA23DA" w:rsidRPr="00545EC0" w:rsidRDefault="00AA23DA" w:rsidP="00AA23DA">
      <w:pPr>
        <w:rPr>
          <w:rFonts w:cs="Arial"/>
          <w:snapToGrid w:val="0"/>
          <w:szCs w:val="22"/>
        </w:rPr>
      </w:pPr>
    </w:p>
    <w:p w14:paraId="7D9AF15D" w14:textId="1DB5F32E" w:rsidR="00AA23DA" w:rsidRPr="00545EC0" w:rsidRDefault="00C20CED" w:rsidP="00AA23DA">
      <w:pPr>
        <w:rPr>
          <w:rFonts w:cs="Arial"/>
          <w:b/>
          <w:snapToGrid w:val="0"/>
          <w:szCs w:val="22"/>
          <w:u w:val="single"/>
        </w:rPr>
      </w:pPr>
      <w:r w:rsidRPr="00545EC0">
        <w:rPr>
          <w:rFonts w:cs="Arial"/>
          <w:b/>
          <w:snapToGrid w:val="0"/>
          <w:szCs w:val="22"/>
          <w:u w:val="single"/>
        </w:rPr>
        <w:t xml:space="preserve">Ekološko stanje </w:t>
      </w:r>
    </w:p>
    <w:p w14:paraId="3C2A733F" w14:textId="77777777" w:rsidR="00AA23DA" w:rsidRPr="00545EC0" w:rsidRDefault="00AA23DA" w:rsidP="00AA23DA">
      <w:pPr>
        <w:rPr>
          <w:rFonts w:cs="Arial"/>
          <w:b/>
          <w:snapToGrid w:val="0"/>
          <w:szCs w:val="22"/>
        </w:rPr>
      </w:pPr>
    </w:p>
    <w:p w14:paraId="43941878" w14:textId="7B3BD9D6" w:rsidR="00AA23DA" w:rsidRPr="00545EC0" w:rsidRDefault="00E847C8" w:rsidP="00AA23DA">
      <w:pPr>
        <w:rPr>
          <w:rFonts w:cs="Arial"/>
          <w:snapToGrid w:val="0"/>
          <w:szCs w:val="20"/>
        </w:rPr>
      </w:pPr>
      <w:r w:rsidRPr="00545EC0">
        <w:rPr>
          <w:rFonts w:cs="Arial"/>
          <w:snapToGrid w:val="0"/>
          <w:szCs w:val="20"/>
        </w:rPr>
        <w:t>V</w:t>
      </w:r>
      <w:r w:rsidR="00AA23DA" w:rsidRPr="00545EC0">
        <w:rPr>
          <w:rFonts w:cs="Arial"/>
          <w:snapToGrid w:val="0"/>
          <w:szCs w:val="20"/>
        </w:rPr>
        <w:t xml:space="preserve">plivu podzemne vode na ekološko stanje </w:t>
      </w:r>
      <w:r w:rsidRPr="00545EC0">
        <w:rPr>
          <w:rFonts w:cs="Arial"/>
          <w:snapToGrid w:val="0"/>
          <w:szCs w:val="20"/>
        </w:rPr>
        <w:t>površinskih voda je ocenjen za</w:t>
      </w:r>
      <w:r w:rsidR="00AA23DA" w:rsidRPr="00545EC0">
        <w:rPr>
          <w:rFonts w:cs="Arial"/>
          <w:snapToGrid w:val="0"/>
          <w:szCs w:val="20"/>
        </w:rPr>
        <w:t xml:space="preserve"> tista vodna telesa površinskih voda, ki ne dosegajo dobrega stanja </w:t>
      </w:r>
      <w:r w:rsidR="001B6908" w:rsidRPr="00545EC0">
        <w:rPr>
          <w:rFonts w:cs="Arial"/>
          <w:snapToGrid w:val="0"/>
          <w:szCs w:val="20"/>
        </w:rPr>
        <w:t xml:space="preserve">na podlagi </w:t>
      </w:r>
      <w:r w:rsidR="00203E37" w:rsidRPr="00545EC0">
        <w:rPr>
          <w:rFonts w:cs="Arial"/>
          <w:snapToGrid w:val="0"/>
          <w:szCs w:val="20"/>
        </w:rPr>
        <w:t xml:space="preserve">splošnih fizikalno-kemijskih elementov kakovosti </w:t>
      </w:r>
      <w:r w:rsidR="001B6908" w:rsidRPr="00545EC0">
        <w:rPr>
          <w:rFonts w:cs="Arial"/>
          <w:snapToGrid w:val="0"/>
          <w:szCs w:val="20"/>
        </w:rPr>
        <w:t xml:space="preserve">za </w:t>
      </w:r>
      <w:r w:rsidR="00203E37" w:rsidRPr="00545EC0">
        <w:rPr>
          <w:rFonts w:cs="Arial"/>
          <w:snapToGrid w:val="0"/>
          <w:szCs w:val="20"/>
        </w:rPr>
        <w:t xml:space="preserve">nitrat in </w:t>
      </w:r>
      <w:r w:rsidR="003363DE" w:rsidRPr="00545EC0">
        <w:rPr>
          <w:rFonts w:cs="Arial"/>
          <w:snapToGrid w:val="0"/>
          <w:szCs w:val="20"/>
        </w:rPr>
        <w:t xml:space="preserve">celotni </w:t>
      </w:r>
      <w:r w:rsidR="00203E37" w:rsidRPr="00545EC0">
        <w:rPr>
          <w:rFonts w:cs="Arial"/>
          <w:snapToGrid w:val="0"/>
          <w:szCs w:val="20"/>
        </w:rPr>
        <w:t>fosfor (</w:t>
      </w:r>
      <w:r w:rsidR="00AA23DA" w:rsidRPr="00545EC0">
        <w:rPr>
          <w:rFonts w:cs="Arial"/>
          <w:snapToGrid w:val="0"/>
          <w:szCs w:val="20"/>
        </w:rPr>
        <w:t>hranil</w:t>
      </w:r>
      <w:r w:rsidR="00203E37" w:rsidRPr="00545EC0">
        <w:rPr>
          <w:rFonts w:cs="Arial"/>
          <w:snapToGrid w:val="0"/>
          <w:szCs w:val="20"/>
        </w:rPr>
        <w:t>a)</w:t>
      </w:r>
      <w:r w:rsidR="00AA23DA" w:rsidRPr="00545EC0">
        <w:rPr>
          <w:rFonts w:cs="Arial"/>
          <w:snapToGrid w:val="0"/>
          <w:szCs w:val="20"/>
        </w:rPr>
        <w:t>, posebnih onesnaževal in</w:t>
      </w:r>
      <w:r w:rsidR="00203E37" w:rsidRPr="00545EC0">
        <w:rPr>
          <w:rFonts w:cs="Arial"/>
          <w:snapToGrid w:val="0"/>
          <w:szCs w:val="20"/>
        </w:rPr>
        <w:t xml:space="preserve"> zaradi modula</w:t>
      </w:r>
      <w:r w:rsidR="00AA23DA" w:rsidRPr="00545EC0">
        <w:rPr>
          <w:rFonts w:cs="Arial"/>
          <w:snapToGrid w:val="0"/>
          <w:szCs w:val="20"/>
        </w:rPr>
        <w:t xml:space="preserve"> trofičnosti (</w:t>
      </w:r>
      <w:r w:rsidR="00203E37" w:rsidRPr="00545EC0">
        <w:rPr>
          <w:rFonts w:cs="Arial"/>
          <w:snapToGrid w:val="0"/>
          <w:szCs w:val="20"/>
        </w:rPr>
        <w:t xml:space="preserve">biološki elementi kakovosti </w:t>
      </w:r>
      <w:r w:rsidR="00AA23DA" w:rsidRPr="00545EC0">
        <w:rPr>
          <w:rFonts w:cs="Arial"/>
          <w:snapToGrid w:val="0"/>
          <w:szCs w:val="20"/>
        </w:rPr>
        <w:t>fitobentos</w:t>
      </w:r>
      <w:r w:rsidR="00203E37" w:rsidRPr="00545EC0">
        <w:rPr>
          <w:rFonts w:cs="Arial"/>
          <w:snapToGrid w:val="0"/>
          <w:szCs w:val="20"/>
        </w:rPr>
        <w:t xml:space="preserve"> in makrofiti</w:t>
      </w:r>
      <w:r w:rsidR="00AA23DA" w:rsidRPr="00545EC0">
        <w:rPr>
          <w:rFonts w:cs="Arial"/>
          <w:snapToGrid w:val="0"/>
          <w:szCs w:val="20"/>
        </w:rPr>
        <w:t>). Takih vodnih teles je na vodnem območju Donave 27 in so prikazana v preglednici (</w:t>
      </w:r>
      <w:r w:rsidR="00E24A46" w:rsidRPr="00545EC0">
        <w:rPr>
          <w:rFonts w:cs="Arial"/>
          <w:snapToGrid w:val="0"/>
          <w:szCs w:val="20"/>
        </w:rPr>
        <w:fldChar w:fldCharType="begin"/>
      </w:r>
      <w:r w:rsidR="00E24A46" w:rsidRPr="00545EC0">
        <w:rPr>
          <w:rFonts w:cs="Arial"/>
          <w:snapToGrid w:val="0"/>
          <w:szCs w:val="20"/>
        </w:rPr>
        <w:instrText xml:space="preserve"> REF _Ref75766806 \h  \* MERGEFORMAT </w:instrText>
      </w:r>
      <w:r w:rsidR="00E24A46" w:rsidRPr="00545EC0">
        <w:rPr>
          <w:rFonts w:cs="Arial"/>
          <w:snapToGrid w:val="0"/>
          <w:szCs w:val="20"/>
        </w:rPr>
      </w:r>
      <w:r w:rsidR="00E24A46" w:rsidRPr="00545EC0">
        <w:rPr>
          <w:rFonts w:cs="Arial"/>
          <w:snapToGrid w:val="0"/>
          <w:szCs w:val="20"/>
        </w:rPr>
        <w:fldChar w:fldCharType="separate"/>
      </w:r>
      <w:r w:rsidR="002F3E43" w:rsidRPr="00545EC0">
        <w:rPr>
          <w:szCs w:val="20"/>
        </w:rPr>
        <w:t xml:space="preserve">Preglednica </w:t>
      </w:r>
      <w:r w:rsidR="002F3E43">
        <w:rPr>
          <w:noProof/>
          <w:szCs w:val="20"/>
        </w:rPr>
        <w:t>3</w:t>
      </w:r>
      <w:r w:rsidR="002F3E43" w:rsidRPr="00545EC0">
        <w:rPr>
          <w:noProof/>
          <w:szCs w:val="20"/>
        </w:rPr>
        <w:noBreakHyphen/>
      </w:r>
      <w:r w:rsidR="002F3E43">
        <w:rPr>
          <w:noProof/>
          <w:szCs w:val="20"/>
        </w:rPr>
        <w:t>15</w:t>
      </w:r>
      <w:r w:rsidR="00E24A46" w:rsidRPr="00545EC0">
        <w:rPr>
          <w:rFonts w:cs="Arial"/>
          <w:snapToGrid w:val="0"/>
          <w:szCs w:val="20"/>
        </w:rPr>
        <w:fldChar w:fldCharType="end"/>
      </w:r>
      <w:r w:rsidR="00AA23DA" w:rsidRPr="00545EC0">
        <w:rPr>
          <w:rFonts w:cs="Arial"/>
          <w:snapToGrid w:val="0"/>
          <w:szCs w:val="20"/>
        </w:rPr>
        <w:t>).</w:t>
      </w:r>
    </w:p>
    <w:p w14:paraId="237B929B" w14:textId="77777777" w:rsidR="00AA23DA" w:rsidRPr="00545EC0" w:rsidRDefault="00AA23DA" w:rsidP="00AA23DA">
      <w:pPr>
        <w:rPr>
          <w:rFonts w:cs="Arial"/>
          <w:snapToGrid w:val="0"/>
          <w:szCs w:val="22"/>
        </w:rPr>
      </w:pPr>
    </w:p>
    <w:p w14:paraId="56B40412" w14:textId="4220DC28" w:rsidR="00AA23DA" w:rsidRPr="00545EC0" w:rsidRDefault="00AA23DA" w:rsidP="00AA23DA">
      <w:pPr>
        <w:pStyle w:val="Napis"/>
        <w:spacing w:after="60"/>
        <w:rPr>
          <w:snapToGrid w:val="0"/>
          <w:szCs w:val="20"/>
        </w:rPr>
      </w:pPr>
      <w:bookmarkStart w:id="583" w:name="_Ref75766806"/>
      <w:bookmarkStart w:id="584" w:name="_Toc75762758"/>
      <w:r w:rsidRPr="00545EC0">
        <w:rPr>
          <w:szCs w:val="20"/>
        </w:rPr>
        <w:t xml:space="preserve">Preglednica </w:t>
      </w:r>
      <w:r w:rsidR="001A7511" w:rsidRPr="00545EC0">
        <w:rPr>
          <w:szCs w:val="20"/>
        </w:rPr>
        <w:fldChar w:fldCharType="begin"/>
      </w:r>
      <w:r w:rsidR="001A7511" w:rsidRPr="00545EC0">
        <w:rPr>
          <w:szCs w:val="20"/>
        </w:rPr>
        <w:instrText xml:space="preserve"> STYLEREF 1 \s </w:instrText>
      </w:r>
      <w:r w:rsidR="001A7511" w:rsidRPr="00545EC0">
        <w:rPr>
          <w:szCs w:val="20"/>
        </w:rPr>
        <w:fldChar w:fldCharType="separate"/>
      </w:r>
      <w:r w:rsidR="002F3E43">
        <w:rPr>
          <w:noProof/>
          <w:szCs w:val="20"/>
        </w:rPr>
        <w:t>3</w:t>
      </w:r>
      <w:r w:rsidR="001A7511" w:rsidRPr="00545EC0">
        <w:rPr>
          <w:szCs w:val="20"/>
        </w:rPr>
        <w:fldChar w:fldCharType="end"/>
      </w:r>
      <w:r w:rsidR="001A7511" w:rsidRPr="00545EC0">
        <w:rPr>
          <w:szCs w:val="20"/>
        </w:rPr>
        <w:noBreakHyphen/>
      </w:r>
      <w:r w:rsidR="001A7511" w:rsidRPr="00545EC0">
        <w:rPr>
          <w:szCs w:val="20"/>
        </w:rPr>
        <w:fldChar w:fldCharType="begin"/>
      </w:r>
      <w:r w:rsidR="001A7511" w:rsidRPr="00545EC0">
        <w:rPr>
          <w:szCs w:val="20"/>
        </w:rPr>
        <w:instrText xml:space="preserve"> SEQ Preglednica \* ARABIC \s 1 </w:instrText>
      </w:r>
      <w:r w:rsidR="001A7511" w:rsidRPr="00545EC0">
        <w:rPr>
          <w:szCs w:val="20"/>
        </w:rPr>
        <w:fldChar w:fldCharType="separate"/>
      </w:r>
      <w:r w:rsidR="002F3E43">
        <w:rPr>
          <w:noProof/>
          <w:szCs w:val="20"/>
        </w:rPr>
        <w:t>15</w:t>
      </w:r>
      <w:r w:rsidR="001A7511" w:rsidRPr="00545EC0">
        <w:rPr>
          <w:szCs w:val="20"/>
        </w:rPr>
        <w:fldChar w:fldCharType="end"/>
      </w:r>
      <w:bookmarkEnd w:id="583"/>
      <w:r w:rsidRPr="00545EC0">
        <w:rPr>
          <w:szCs w:val="20"/>
        </w:rPr>
        <w:t>:</w:t>
      </w:r>
      <w:r w:rsidRPr="00545EC0">
        <w:rPr>
          <w:snapToGrid w:val="0"/>
          <w:szCs w:val="20"/>
        </w:rPr>
        <w:t xml:space="preserve"> Vodna telesa površinskih voda z zmernim</w:t>
      </w:r>
      <w:r w:rsidR="001B6908" w:rsidRPr="00545EC0">
        <w:rPr>
          <w:snapToGrid w:val="0"/>
          <w:szCs w:val="20"/>
        </w:rPr>
        <w:t xml:space="preserve"> ekološkim</w:t>
      </w:r>
      <w:r w:rsidRPr="00545EC0">
        <w:rPr>
          <w:snapToGrid w:val="0"/>
          <w:szCs w:val="20"/>
        </w:rPr>
        <w:t xml:space="preserve"> stanjem zaradi trofičnosti (</w:t>
      </w:r>
      <w:r w:rsidR="00E847C8" w:rsidRPr="00545EC0">
        <w:rPr>
          <w:snapToGrid w:val="0"/>
          <w:szCs w:val="20"/>
        </w:rPr>
        <w:t xml:space="preserve">biološka elementa </w:t>
      </w:r>
      <w:r w:rsidRPr="00545EC0">
        <w:rPr>
          <w:snapToGrid w:val="0"/>
          <w:szCs w:val="20"/>
        </w:rPr>
        <w:t>fitobentos</w:t>
      </w:r>
      <w:r w:rsidR="00E847C8" w:rsidRPr="00545EC0">
        <w:rPr>
          <w:snapToGrid w:val="0"/>
          <w:szCs w:val="20"/>
        </w:rPr>
        <w:t xml:space="preserve"> in makrofiti</w:t>
      </w:r>
      <w:r w:rsidRPr="00545EC0">
        <w:rPr>
          <w:snapToGrid w:val="0"/>
          <w:szCs w:val="20"/>
        </w:rPr>
        <w:t>), hranil</w:t>
      </w:r>
      <w:r w:rsidR="00E847C8" w:rsidRPr="00545EC0">
        <w:rPr>
          <w:snapToGrid w:val="0"/>
          <w:szCs w:val="20"/>
        </w:rPr>
        <w:t xml:space="preserve"> (nitrat in </w:t>
      </w:r>
      <w:r w:rsidR="001B6908" w:rsidRPr="00545EC0">
        <w:rPr>
          <w:snapToGrid w:val="0"/>
          <w:szCs w:val="20"/>
        </w:rPr>
        <w:t xml:space="preserve">celotni </w:t>
      </w:r>
      <w:r w:rsidR="00E847C8" w:rsidRPr="00545EC0">
        <w:rPr>
          <w:snapToGrid w:val="0"/>
          <w:szCs w:val="20"/>
        </w:rPr>
        <w:t>fosfor)</w:t>
      </w:r>
      <w:r w:rsidRPr="00545EC0">
        <w:rPr>
          <w:snapToGrid w:val="0"/>
          <w:szCs w:val="20"/>
        </w:rPr>
        <w:t xml:space="preserve"> in posebnih onesnaževal</w:t>
      </w:r>
      <w:bookmarkEnd w:id="584"/>
    </w:p>
    <w:tbl>
      <w:tblPr>
        <w:tblW w:w="919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21"/>
        <w:gridCol w:w="1417"/>
        <w:gridCol w:w="851"/>
        <w:gridCol w:w="850"/>
        <w:gridCol w:w="1418"/>
        <w:gridCol w:w="1342"/>
      </w:tblGrid>
      <w:tr w:rsidR="003122F4" w:rsidRPr="00545EC0" w14:paraId="2BE4BC49" w14:textId="77777777" w:rsidTr="00A210D3">
        <w:trPr>
          <w:trHeight w:val="450"/>
          <w:tblHeader/>
        </w:trPr>
        <w:tc>
          <w:tcPr>
            <w:tcW w:w="3321" w:type="dxa"/>
            <w:vMerge w:val="restart"/>
            <w:shd w:val="clear" w:color="auto" w:fill="E7E6E6"/>
            <w:noWrap/>
            <w:vAlign w:val="center"/>
            <w:hideMark/>
          </w:tcPr>
          <w:p w14:paraId="530D167B" w14:textId="2720D282" w:rsidR="00203E37" w:rsidRPr="00545EC0" w:rsidRDefault="00203E37" w:rsidP="00A210D3">
            <w:pPr>
              <w:spacing w:line="240" w:lineRule="auto"/>
              <w:jc w:val="left"/>
              <w:rPr>
                <w:rFonts w:cs="Arial"/>
                <w:b/>
                <w:sz w:val="18"/>
                <w:szCs w:val="18"/>
              </w:rPr>
            </w:pPr>
            <w:r w:rsidRPr="00545EC0">
              <w:rPr>
                <w:rFonts w:cs="Arial"/>
                <w:b/>
                <w:sz w:val="18"/>
                <w:szCs w:val="18"/>
              </w:rPr>
              <w:t>Ime vodnega telesa</w:t>
            </w:r>
            <w:r w:rsidR="00A210D3" w:rsidRPr="00545EC0">
              <w:rPr>
                <w:rFonts w:cs="Arial"/>
                <w:b/>
                <w:sz w:val="18"/>
                <w:szCs w:val="18"/>
              </w:rPr>
              <w:t xml:space="preserve"> površinskih voda</w:t>
            </w:r>
          </w:p>
        </w:tc>
        <w:tc>
          <w:tcPr>
            <w:tcW w:w="1417" w:type="dxa"/>
            <w:vMerge w:val="restart"/>
            <w:shd w:val="clear" w:color="auto" w:fill="E7E6E6"/>
            <w:vAlign w:val="center"/>
            <w:hideMark/>
          </w:tcPr>
          <w:p w14:paraId="382454C3" w14:textId="4DCE4997" w:rsidR="00203E37" w:rsidRPr="00545EC0" w:rsidRDefault="00203E37" w:rsidP="00093585">
            <w:pPr>
              <w:spacing w:line="240" w:lineRule="auto"/>
              <w:jc w:val="center"/>
              <w:rPr>
                <w:rFonts w:cs="Arial"/>
                <w:b/>
                <w:sz w:val="18"/>
                <w:szCs w:val="18"/>
              </w:rPr>
            </w:pPr>
            <w:r w:rsidRPr="00545EC0">
              <w:rPr>
                <w:rFonts w:cs="Arial"/>
                <w:b/>
                <w:sz w:val="18"/>
                <w:szCs w:val="18"/>
              </w:rPr>
              <w:t>Biološki elementi kakovosti (fitobentos in makrofiti – trofičnost)</w:t>
            </w:r>
          </w:p>
        </w:tc>
        <w:tc>
          <w:tcPr>
            <w:tcW w:w="1701" w:type="dxa"/>
            <w:gridSpan w:val="2"/>
            <w:shd w:val="clear" w:color="auto" w:fill="E7E6E6"/>
            <w:vAlign w:val="center"/>
          </w:tcPr>
          <w:p w14:paraId="1D71A435" w14:textId="60583F1F" w:rsidR="00203E37" w:rsidRPr="00545EC0" w:rsidRDefault="00203E37" w:rsidP="00093585">
            <w:pPr>
              <w:spacing w:line="240" w:lineRule="auto"/>
              <w:jc w:val="center"/>
              <w:rPr>
                <w:rFonts w:cs="Arial"/>
                <w:b/>
                <w:sz w:val="18"/>
                <w:szCs w:val="18"/>
              </w:rPr>
            </w:pPr>
            <w:r w:rsidRPr="00545EC0">
              <w:rPr>
                <w:rFonts w:cs="Arial"/>
                <w:b/>
                <w:sz w:val="18"/>
                <w:szCs w:val="18"/>
              </w:rPr>
              <w:t>Spošni fizikalno-kemijski parametri</w:t>
            </w:r>
          </w:p>
        </w:tc>
        <w:tc>
          <w:tcPr>
            <w:tcW w:w="1418" w:type="dxa"/>
            <w:vMerge w:val="restart"/>
            <w:shd w:val="clear" w:color="auto" w:fill="E7E6E6"/>
            <w:vAlign w:val="center"/>
            <w:hideMark/>
          </w:tcPr>
          <w:p w14:paraId="2BB54F49" w14:textId="737AFAC3" w:rsidR="00203E37" w:rsidRPr="00545EC0" w:rsidRDefault="00203E37" w:rsidP="00093585">
            <w:pPr>
              <w:spacing w:line="240" w:lineRule="auto"/>
              <w:jc w:val="center"/>
              <w:rPr>
                <w:rFonts w:cs="Arial"/>
                <w:b/>
                <w:sz w:val="18"/>
                <w:szCs w:val="18"/>
              </w:rPr>
            </w:pPr>
            <w:r w:rsidRPr="00545EC0">
              <w:rPr>
                <w:rFonts w:cs="Arial"/>
                <w:b/>
                <w:sz w:val="18"/>
                <w:szCs w:val="18"/>
              </w:rPr>
              <w:t>Posebna onesnaževala</w:t>
            </w:r>
          </w:p>
        </w:tc>
        <w:tc>
          <w:tcPr>
            <w:tcW w:w="1342" w:type="dxa"/>
            <w:vMerge w:val="restart"/>
            <w:shd w:val="clear" w:color="auto" w:fill="E7E6E6"/>
            <w:vAlign w:val="center"/>
          </w:tcPr>
          <w:p w14:paraId="154FA7CA" w14:textId="475EADF1" w:rsidR="00203E37" w:rsidRPr="00545EC0" w:rsidRDefault="00203E37" w:rsidP="00A210D3">
            <w:pPr>
              <w:spacing w:line="240" w:lineRule="auto"/>
              <w:jc w:val="center"/>
              <w:rPr>
                <w:rFonts w:cs="Arial"/>
                <w:b/>
                <w:sz w:val="18"/>
                <w:szCs w:val="18"/>
              </w:rPr>
            </w:pPr>
            <w:r w:rsidRPr="00545EC0">
              <w:rPr>
                <w:rFonts w:cs="Arial"/>
                <w:b/>
                <w:sz w:val="18"/>
                <w:szCs w:val="18"/>
              </w:rPr>
              <w:t>Razlog za zmerno stanje zaradi posebnih onesnaževal</w:t>
            </w:r>
          </w:p>
        </w:tc>
      </w:tr>
      <w:tr w:rsidR="003122F4" w:rsidRPr="00545EC0" w14:paraId="1FD78987" w14:textId="77777777" w:rsidTr="001B6908">
        <w:trPr>
          <w:trHeight w:val="501"/>
          <w:tblHeader/>
        </w:trPr>
        <w:tc>
          <w:tcPr>
            <w:tcW w:w="3321" w:type="dxa"/>
            <w:vMerge/>
            <w:shd w:val="clear" w:color="auto" w:fill="E7E6E6"/>
            <w:noWrap/>
            <w:vAlign w:val="center"/>
          </w:tcPr>
          <w:p w14:paraId="16FED116" w14:textId="77777777" w:rsidR="00203E37" w:rsidRPr="00545EC0" w:rsidRDefault="00203E37" w:rsidP="00093585">
            <w:pPr>
              <w:spacing w:line="240" w:lineRule="auto"/>
              <w:jc w:val="left"/>
              <w:rPr>
                <w:rFonts w:cs="Arial"/>
                <w:b/>
                <w:sz w:val="18"/>
                <w:szCs w:val="18"/>
              </w:rPr>
            </w:pPr>
          </w:p>
        </w:tc>
        <w:tc>
          <w:tcPr>
            <w:tcW w:w="1417" w:type="dxa"/>
            <w:vMerge/>
            <w:shd w:val="clear" w:color="auto" w:fill="E7E6E6"/>
            <w:vAlign w:val="center"/>
          </w:tcPr>
          <w:p w14:paraId="48A7F802" w14:textId="77777777" w:rsidR="00203E37" w:rsidRPr="00545EC0" w:rsidRDefault="00203E37" w:rsidP="00093585">
            <w:pPr>
              <w:spacing w:line="240" w:lineRule="auto"/>
              <w:jc w:val="center"/>
              <w:rPr>
                <w:rFonts w:cs="Arial"/>
                <w:b/>
                <w:sz w:val="18"/>
                <w:szCs w:val="18"/>
              </w:rPr>
            </w:pPr>
          </w:p>
        </w:tc>
        <w:tc>
          <w:tcPr>
            <w:tcW w:w="851" w:type="dxa"/>
            <w:shd w:val="clear" w:color="auto" w:fill="E7E6E6"/>
            <w:vAlign w:val="center"/>
          </w:tcPr>
          <w:p w14:paraId="6EE23559" w14:textId="0D1FDA80" w:rsidR="00203E37" w:rsidRPr="00545EC0" w:rsidRDefault="001B6908" w:rsidP="00093585">
            <w:pPr>
              <w:spacing w:line="240" w:lineRule="auto"/>
              <w:jc w:val="center"/>
              <w:rPr>
                <w:rFonts w:cs="Arial"/>
                <w:b/>
                <w:sz w:val="18"/>
                <w:szCs w:val="18"/>
              </w:rPr>
            </w:pPr>
            <w:r w:rsidRPr="00545EC0">
              <w:rPr>
                <w:rFonts w:cs="Arial"/>
                <w:b/>
                <w:sz w:val="18"/>
                <w:szCs w:val="18"/>
              </w:rPr>
              <w:t>N</w:t>
            </w:r>
            <w:r w:rsidR="00203E37" w:rsidRPr="00545EC0">
              <w:rPr>
                <w:rFonts w:cs="Arial"/>
                <w:b/>
                <w:sz w:val="18"/>
                <w:szCs w:val="18"/>
              </w:rPr>
              <w:t>itrat</w:t>
            </w:r>
          </w:p>
        </w:tc>
        <w:tc>
          <w:tcPr>
            <w:tcW w:w="850" w:type="dxa"/>
            <w:shd w:val="clear" w:color="auto" w:fill="E7E6E6"/>
            <w:vAlign w:val="center"/>
          </w:tcPr>
          <w:p w14:paraId="49F29476" w14:textId="63A67992" w:rsidR="00203E37" w:rsidRPr="00545EC0" w:rsidRDefault="003363DE" w:rsidP="00093585">
            <w:pPr>
              <w:spacing w:line="240" w:lineRule="auto"/>
              <w:jc w:val="center"/>
              <w:rPr>
                <w:rFonts w:cs="Arial"/>
                <w:b/>
                <w:sz w:val="18"/>
                <w:szCs w:val="18"/>
              </w:rPr>
            </w:pPr>
            <w:r w:rsidRPr="00545EC0">
              <w:rPr>
                <w:rFonts w:cs="Arial"/>
                <w:b/>
                <w:sz w:val="18"/>
                <w:szCs w:val="18"/>
              </w:rPr>
              <w:t>Celotni</w:t>
            </w:r>
          </w:p>
          <w:p w14:paraId="77258240" w14:textId="7A36589E" w:rsidR="00203E37" w:rsidRPr="00545EC0" w:rsidRDefault="00203E37" w:rsidP="00093585">
            <w:pPr>
              <w:spacing w:line="240" w:lineRule="auto"/>
              <w:jc w:val="center"/>
              <w:rPr>
                <w:rFonts w:cs="Arial"/>
                <w:b/>
                <w:sz w:val="18"/>
                <w:szCs w:val="18"/>
              </w:rPr>
            </w:pPr>
            <w:r w:rsidRPr="00545EC0">
              <w:rPr>
                <w:rFonts w:cs="Arial"/>
                <w:b/>
                <w:sz w:val="18"/>
                <w:szCs w:val="18"/>
              </w:rPr>
              <w:t>fosfor</w:t>
            </w:r>
          </w:p>
        </w:tc>
        <w:tc>
          <w:tcPr>
            <w:tcW w:w="1418" w:type="dxa"/>
            <w:vMerge/>
            <w:shd w:val="clear" w:color="auto" w:fill="E7E6E6"/>
            <w:vAlign w:val="center"/>
          </w:tcPr>
          <w:p w14:paraId="7502D93E" w14:textId="77777777" w:rsidR="00203E37" w:rsidRPr="00545EC0" w:rsidDel="00E847C8" w:rsidRDefault="00203E37" w:rsidP="00093585">
            <w:pPr>
              <w:spacing w:line="240" w:lineRule="auto"/>
              <w:jc w:val="center"/>
              <w:rPr>
                <w:rFonts w:cs="Arial"/>
                <w:b/>
                <w:sz w:val="18"/>
                <w:szCs w:val="18"/>
              </w:rPr>
            </w:pPr>
          </w:p>
        </w:tc>
        <w:tc>
          <w:tcPr>
            <w:tcW w:w="1342" w:type="dxa"/>
            <w:vMerge/>
            <w:shd w:val="clear" w:color="auto" w:fill="E7E6E6"/>
          </w:tcPr>
          <w:p w14:paraId="09551371" w14:textId="77777777" w:rsidR="00203E37" w:rsidRPr="00545EC0" w:rsidDel="00E847C8" w:rsidRDefault="00203E37" w:rsidP="00093585">
            <w:pPr>
              <w:spacing w:line="240" w:lineRule="auto"/>
              <w:jc w:val="center"/>
              <w:rPr>
                <w:rFonts w:cs="Arial"/>
                <w:b/>
                <w:sz w:val="18"/>
                <w:szCs w:val="18"/>
              </w:rPr>
            </w:pPr>
          </w:p>
        </w:tc>
      </w:tr>
      <w:tr w:rsidR="003122F4" w:rsidRPr="00545EC0" w14:paraId="339E0375" w14:textId="77777777" w:rsidTr="001B6908">
        <w:trPr>
          <w:trHeight w:val="284"/>
        </w:trPr>
        <w:tc>
          <w:tcPr>
            <w:tcW w:w="3321" w:type="dxa"/>
            <w:shd w:val="clear" w:color="auto" w:fill="auto"/>
            <w:noWrap/>
            <w:vAlign w:val="center"/>
            <w:hideMark/>
          </w:tcPr>
          <w:p w14:paraId="01181670" w14:textId="77777777" w:rsidR="00203E37" w:rsidRPr="00545EC0" w:rsidRDefault="00203E37" w:rsidP="00093585">
            <w:pPr>
              <w:spacing w:line="240" w:lineRule="auto"/>
              <w:jc w:val="left"/>
              <w:rPr>
                <w:rFonts w:cs="Arial"/>
                <w:sz w:val="18"/>
                <w:szCs w:val="18"/>
              </w:rPr>
            </w:pPr>
            <w:r w:rsidRPr="00545EC0">
              <w:rPr>
                <w:rFonts w:cs="Arial"/>
                <w:sz w:val="18"/>
                <w:szCs w:val="18"/>
              </w:rPr>
              <w:t>MPVT zadrževalnik HE Moste</w:t>
            </w:r>
          </w:p>
        </w:tc>
        <w:tc>
          <w:tcPr>
            <w:tcW w:w="1417" w:type="dxa"/>
            <w:shd w:val="clear" w:color="auto" w:fill="auto"/>
            <w:noWrap/>
            <w:vAlign w:val="center"/>
            <w:hideMark/>
          </w:tcPr>
          <w:p w14:paraId="142178F8" w14:textId="77777777" w:rsidR="00203E37" w:rsidRPr="00545EC0" w:rsidRDefault="00203E37" w:rsidP="00093585">
            <w:pPr>
              <w:spacing w:line="240" w:lineRule="auto"/>
              <w:jc w:val="center"/>
              <w:rPr>
                <w:rFonts w:cs="Arial"/>
                <w:sz w:val="18"/>
                <w:szCs w:val="18"/>
              </w:rPr>
            </w:pPr>
            <w:r w:rsidRPr="00545EC0">
              <w:rPr>
                <w:rFonts w:cs="Arial"/>
                <w:sz w:val="18"/>
                <w:szCs w:val="18"/>
              </w:rPr>
              <w:t>zmerno</w:t>
            </w:r>
          </w:p>
        </w:tc>
        <w:tc>
          <w:tcPr>
            <w:tcW w:w="851" w:type="dxa"/>
            <w:shd w:val="clear" w:color="auto" w:fill="auto"/>
            <w:noWrap/>
            <w:vAlign w:val="center"/>
            <w:hideMark/>
          </w:tcPr>
          <w:p w14:paraId="632A7100" w14:textId="77777777" w:rsidR="00203E37" w:rsidRPr="00545EC0" w:rsidRDefault="00203E37" w:rsidP="00093585">
            <w:pPr>
              <w:spacing w:line="240" w:lineRule="auto"/>
              <w:jc w:val="center"/>
              <w:rPr>
                <w:rFonts w:cs="Arial"/>
                <w:sz w:val="18"/>
                <w:szCs w:val="18"/>
              </w:rPr>
            </w:pPr>
          </w:p>
        </w:tc>
        <w:tc>
          <w:tcPr>
            <w:tcW w:w="850" w:type="dxa"/>
            <w:shd w:val="clear" w:color="auto" w:fill="auto"/>
            <w:noWrap/>
            <w:vAlign w:val="center"/>
            <w:hideMark/>
          </w:tcPr>
          <w:p w14:paraId="6E3DE719"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1418" w:type="dxa"/>
            <w:shd w:val="clear" w:color="auto" w:fill="auto"/>
            <w:noWrap/>
            <w:vAlign w:val="center"/>
            <w:hideMark/>
          </w:tcPr>
          <w:p w14:paraId="57D7A75C"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1342" w:type="dxa"/>
            <w:vAlign w:val="center"/>
          </w:tcPr>
          <w:p w14:paraId="073C693D" w14:textId="77777777" w:rsidR="00203E37" w:rsidRPr="00545EC0" w:rsidRDefault="00203E37" w:rsidP="00093585">
            <w:pPr>
              <w:spacing w:line="240" w:lineRule="auto"/>
              <w:jc w:val="center"/>
              <w:rPr>
                <w:rFonts w:cs="Arial"/>
                <w:sz w:val="18"/>
                <w:szCs w:val="18"/>
              </w:rPr>
            </w:pPr>
          </w:p>
        </w:tc>
      </w:tr>
      <w:tr w:rsidR="003122F4" w:rsidRPr="00545EC0" w14:paraId="71EEABC7" w14:textId="77777777" w:rsidTr="001B6908">
        <w:trPr>
          <w:trHeight w:val="284"/>
        </w:trPr>
        <w:tc>
          <w:tcPr>
            <w:tcW w:w="3321" w:type="dxa"/>
            <w:shd w:val="clear" w:color="auto" w:fill="auto"/>
            <w:noWrap/>
            <w:vAlign w:val="center"/>
            <w:hideMark/>
          </w:tcPr>
          <w:p w14:paraId="4FF75F1E" w14:textId="77777777" w:rsidR="00203E37" w:rsidRPr="00545EC0" w:rsidRDefault="00203E37" w:rsidP="00093585">
            <w:pPr>
              <w:spacing w:line="240" w:lineRule="auto"/>
              <w:jc w:val="left"/>
              <w:rPr>
                <w:rFonts w:cs="Arial"/>
                <w:sz w:val="18"/>
                <w:szCs w:val="18"/>
              </w:rPr>
            </w:pPr>
            <w:r w:rsidRPr="00545EC0">
              <w:rPr>
                <w:rFonts w:cs="Arial"/>
                <w:sz w:val="18"/>
                <w:szCs w:val="18"/>
              </w:rPr>
              <w:t>VT Pšata</w:t>
            </w:r>
          </w:p>
        </w:tc>
        <w:tc>
          <w:tcPr>
            <w:tcW w:w="1417" w:type="dxa"/>
            <w:shd w:val="clear" w:color="auto" w:fill="auto"/>
            <w:noWrap/>
            <w:vAlign w:val="center"/>
            <w:hideMark/>
          </w:tcPr>
          <w:p w14:paraId="6008E3E7" w14:textId="77777777" w:rsidR="00203E37" w:rsidRPr="00545EC0" w:rsidRDefault="00203E37" w:rsidP="00093585">
            <w:pPr>
              <w:spacing w:line="240" w:lineRule="auto"/>
              <w:jc w:val="center"/>
              <w:rPr>
                <w:rFonts w:cs="Arial"/>
                <w:sz w:val="18"/>
                <w:szCs w:val="18"/>
              </w:rPr>
            </w:pPr>
            <w:r w:rsidRPr="00545EC0">
              <w:rPr>
                <w:rFonts w:cs="Arial"/>
                <w:sz w:val="18"/>
                <w:szCs w:val="18"/>
              </w:rPr>
              <w:t>zmerno</w:t>
            </w:r>
          </w:p>
        </w:tc>
        <w:tc>
          <w:tcPr>
            <w:tcW w:w="851" w:type="dxa"/>
            <w:shd w:val="clear" w:color="auto" w:fill="auto"/>
            <w:noWrap/>
            <w:vAlign w:val="center"/>
            <w:hideMark/>
          </w:tcPr>
          <w:p w14:paraId="501C053C" w14:textId="77777777" w:rsidR="00203E37" w:rsidRPr="00545EC0" w:rsidRDefault="00203E37" w:rsidP="00093585">
            <w:pPr>
              <w:spacing w:line="240" w:lineRule="auto"/>
              <w:jc w:val="center"/>
              <w:rPr>
                <w:rFonts w:cs="Arial"/>
                <w:sz w:val="18"/>
                <w:szCs w:val="18"/>
              </w:rPr>
            </w:pPr>
          </w:p>
        </w:tc>
        <w:tc>
          <w:tcPr>
            <w:tcW w:w="850" w:type="dxa"/>
            <w:shd w:val="clear" w:color="auto" w:fill="auto"/>
            <w:noWrap/>
            <w:vAlign w:val="center"/>
            <w:hideMark/>
          </w:tcPr>
          <w:p w14:paraId="5E01B359"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1418" w:type="dxa"/>
            <w:shd w:val="clear" w:color="auto" w:fill="auto"/>
            <w:noWrap/>
            <w:vAlign w:val="center"/>
            <w:hideMark/>
          </w:tcPr>
          <w:p w14:paraId="024A5466"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1342" w:type="dxa"/>
            <w:vAlign w:val="center"/>
          </w:tcPr>
          <w:p w14:paraId="78947237" w14:textId="77777777" w:rsidR="00203E37" w:rsidRPr="00545EC0" w:rsidRDefault="00203E37" w:rsidP="00093585">
            <w:pPr>
              <w:spacing w:line="240" w:lineRule="auto"/>
              <w:jc w:val="center"/>
              <w:rPr>
                <w:rFonts w:cs="Arial"/>
                <w:sz w:val="18"/>
                <w:szCs w:val="18"/>
              </w:rPr>
            </w:pPr>
          </w:p>
        </w:tc>
      </w:tr>
      <w:tr w:rsidR="003122F4" w:rsidRPr="00545EC0" w14:paraId="72C47043" w14:textId="77777777" w:rsidTr="001B6908">
        <w:trPr>
          <w:trHeight w:val="284"/>
        </w:trPr>
        <w:tc>
          <w:tcPr>
            <w:tcW w:w="3321" w:type="dxa"/>
            <w:shd w:val="clear" w:color="auto" w:fill="auto"/>
            <w:noWrap/>
            <w:vAlign w:val="center"/>
            <w:hideMark/>
          </w:tcPr>
          <w:p w14:paraId="6C40F58A" w14:textId="77777777" w:rsidR="00203E37" w:rsidRPr="00545EC0" w:rsidRDefault="00203E37" w:rsidP="00093585">
            <w:pPr>
              <w:spacing w:line="240" w:lineRule="auto"/>
              <w:jc w:val="left"/>
              <w:rPr>
                <w:rFonts w:cs="Arial"/>
                <w:sz w:val="18"/>
                <w:szCs w:val="18"/>
              </w:rPr>
            </w:pPr>
            <w:r w:rsidRPr="00545EC0">
              <w:rPr>
                <w:rFonts w:cs="Arial"/>
                <w:sz w:val="18"/>
                <w:szCs w:val="18"/>
              </w:rPr>
              <w:t>MPVT Mestna Ljubljanica</w:t>
            </w:r>
          </w:p>
        </w:tc>
        <w:tc>
          <w:tcPr>
            <w:tcW w:w="1417" w:type="dxa"/>
            <w:shd w:val="clear" w:color="auto" w:fill="auto"/>
            <w:noWrap/>
            <w:vAlign w:val="center"/>
            <w:hideMark/>
          </w:tcPr>
          <w:p w14:paraId="13189FE7" w14:textId="77777777" w:rsidR="00203E37" w:rsidRPr="00545EC0" w:rsidRDefault="00203E37" w:rsidP="00093585">
            <w:pPr>
              <w:spacing w:line="240" w:lineRule="auto"/>
              <w:jc w:val="center"/>
              <w:rPr>
                <w:rFonts w:cs="Arial"/>
                <w:sz w:val="18"/>
                <w:szCs w:val="18"/>
              </w:rPr>
            </w:pPr>
            <w:r w:rsidRPr="00545EC0">
              <w:rPr>
                <w:rFonts w:cs="Arial"/>
                <w:sz w:val="18"/>
                <w:szCs w:val="18"/>
              </w:rPr>
              <w:t>zmerno</w:t>
            </w:r>
          </w:p>
        </w:tc>
        <w:tc>
          <w:tcPr>
            <w:tcW w:w="851" w:type="dxa"/>
            <w:shd w:val="clear" w:color="auto" w:fill="auto"/>
            <w:noWrap/>
            <w:vAlign w:val="center"/>
            <w:hideMark/>
          </w:tcPr>
          <w:p w14:paraId="32BB22A2" w14:textId="77777777" w:rsidR="00203E37" w:rsidRPr="00545EC0" w:rsidRDefault="00203E37" w:rsidP="00093585">
            <w:pPr>
              <w:spacing w:line="240" w:lineRule="auto"/>
              <w:jc w:val="center"/>
              <w:rPr>
                <w:rFonts w:cs="Arial"/>
                <w:sz w:val="18"/>
                <w:szCs w:val="18"/>
              </w:rPr>
            </w:pPr>
          </w:p>
        </w:tc>
        <w:tc>
          <w:tcPr>
            <w:tcW w:w="850" w:type="dxa"/>
            <w:shd w:val="clear" w:color="auto" w:fill="auto"/>
            <w:noWrap/>
            <w:vAlign w:val="center"/>
            <w:hideMark/>
          </w:tcPr>
          <w:p w14:paraId="502C5FCA"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1418" w:type="dxa"/>
            <w:shd w:val="clear" w:color="auto" w:fill="auto"/>
            <w:noWrap/>
            <w:vAlign w:val="center"/>
            <w:hideMark/>
          </w:tcPr>
          <w:p w14:paraId="5163B866"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1342" w:type="dxa"/>
            <w:vAlign w:val="center"/>
          </w:tcPr>
          <w:p w14:paraId="79A61018" w14:textId="77777777" w:rsidR="00203E37" w:rsidRPr="00545EC0" w:rsidRDefault="00203E37" w:rsidP="00093585">
            <w:pPr>
              <w:spacing w:line="240" w:lineRule="auto"/>
              <w:jc w:val="center"/>
              <w:rPr>
                <w:rFonts w:cs="Arial"/>
                <w:sz w:val="18"/>
                <w:szCs w:val="18"/>
              </w:rPr>
            </w:pPr>
          </w:p>
        </w:tc>
      </w:tr>
      <w:tr w:rsidR="001B6908" w:rsidRPr="00545EC0" w14:paraId="25102E8C" w14:textId="77777777" w:rsidTr="001B6908">
        <w:trPr>
          <w:trHeight w:val="284"/>
        </w:trPr>
        <w:tc>
          <w:tcPr>
            <w:tcW w:w="3321" w:type="dxa"/>
            <w:shd w:val="clear" w:color="auto" w:fill="auto"/>
            <w:noWrap/>
            <w:vAlign w:val="center"/>
          </w:tcPr>
          <w:p w14:paraId="18FEB1C8" w14:textId="2B2BFE6D" w:rsidR="001B6908" w:rsidRPr="00545EC0" w:rsidRDefault="001B6908" w:rsidP="00093585">
            <w:pPr>
              <w:spacing w:line="240" w:lineRule="auto"/>
              <w:jc w:val="left"/>
              <w:rPr>
                <w:rFonts w:cs="Arial"/>
                <w:sz w:val="18"/>
                <w:szCs w:val="18"/>
              </w:rPr>
            </w:pPr>
            <w:r w:rsidRPr="00545EC0">
              <w:rPr>
                <w:rFonts w:cs="Arial"/>
                <w:sz w:val="18"/>
                <w:szCs w:val="18"/>
              </w:rPr>
              <w:t>VT Ljubljanica Moste – Podgrad</w:t>
            </w:r>
          </w:p>
        </w:tc>
        <w:tc>
          <w:tcPr>
            <w:tcW w:w="1417" w:type="dxa"/>
            <w:shd w:val="clear" w:color="auto" w:fill="auto"/>
            <w:noWrap/>
            <w:vAlign w:val="center"/>
          </w:tcPr>
          <w:p w14:paraId="7DF6F9E1" w14:textId="77777777" w:rsidR="001B6908" w:rsidRPr="00545EC0" w:rsidRDefault="001B6908" w:rsidP="00093585">
            <w:pPr>
              <w:spacing w:line="240" w:lineRule="auto"/>
              <w:jc w:val="center"/>
              <w:rPr>
                <w:rFonts w:cs="Arial"/>
                <w:sz w:val="18"/>
                <w:szCs w:val="18"/>
              </w:rPr>
            </w:pPr>
          </w:p>
        </w:tc>
        <w:tc>
          <w:tcPr>
            <w:tcW w:w="851" w:type="dxa"/>
            <w:shd w:val="clear" w:color="auto" w:fill="auto"/>
            <w:noWrap/>
            <w:vAlign w:val="center"/>
          </w:tcPr>
          <w:p w14:paraId="06DD1DBC" w14:textId="77777777" w:rsidR="001B6908" w:rsidRPr="00545EC0" w:rsidRDefault="001B6908" w:rsidP="00093585">
            <w:pPr>
              <w:spacing w:line="240" w:lineRule="auto"/>
              <w:jc w:val="center"/>
              <w:rPr>
                <w:rFonts w:cs="Arial"/>
                <w:sz w:val="18"/>
                <w:szCs w:val="18"/>
              </w:rPr>
            </w:pPr>
          </w:p>
        </w:tc>
        <w:tc>
          <w:tcPr>
            <w:tcW w:w="850" w:type="dxa"/>
            <w:shd w:val="clear" w:color="auto" w:fill="auto"/>
            <w:noWrap/>
            <w:vAlign w:val="center"/>
          </w:tcPr>
          <w:p w14:paraId="6BCA6579" w14:textId="51CC724A" w:rsidR="001B6908" w:rsidRPr="00545EC0" w:rsidRDefault="001B6908" w:rsidP="00093585">
            <w:pPr>
              <w:spacing w:line="240" w:lineRule="auto"/>
              <w:jc w:val="center"/>
              <w:rPr>
                <w:rFonts w:cs="Arial"/>
                <w:sz w:val="18"/>
                <w:szCs w:val="18"/>
              </w:rPr>
            </w:pPr>
            <w:r w:rsidRPr="00545EC0">
              <w:rPr>
                <w:rFonts w:cs="Arial"/>
                <w:sz w:val="18"/>
                <w:szCs w:val="18"/>
              </w:rPr>
              <w:t>zmerno</w:t>
            </w:r>
          </w:p>
        </w:tc>
        <w:tc>
          <w:tcPr>
            <w:tcW w:w="1418" w:type="dxa"/>
            <w:shd w:val="clear" w:color="auto" w:fill="auto"/>
            <w:noWrap/>
            <w:vAlign w:val="center"/>
          </w:tcPr>
          <w:p w14:paraId="4EA3CB4B" w14:textId="39131267" w:rsidR="001B6908" w:rsidRPr="00545EC0" w:rsidRDefault="001B6908" w:rsidP="00093585">
            <w:pPr>
              <w:spacing w:line="240" w:lineRule="auto"/>
              <w:jc w:val="center"/>
              <w:rPr>
                <w:rFonts w:cs="Arial"/>
                <w:sz w:val="18"/>
                <w:szCs w:val="18"/>
              </w:rPr>
            </w:pPr>
          </w:p>
        </w:tc>
        <w:tc>
          <w:tcPr>
            <w:tcW w:w="1342" w:type="dxa"/>
            <w:vAlign w:val="center"/>
          </w:tcPr>
          <w:p w14:paraId="7CBACB24" w14:textId="77777777" w:rsidR="001B6908" w:rsidRPr="00545EC0" w:rsidRDefault="001B6908" w:rsidP="00093585">
            <w:pPr>
              <w:spacing w:line="240" w:lineRule="auto"/>
              <w:jc w:val="center"/>
              <w:rPr>
                <w:rFonts w:cs="Arial"/>
                <w:sz w:val="18"/>
                <w:szCs w:val="18"/>
              </w:rPr>
            </w:pPr>
          </w:p>
        </w:tc>
      </w:tr>
      <w:tr w:rsidR="00093585" w:rsidRPr="00545EC0" w14:paraId="47B26F87" w14:textId="77777777" w:rsidTr="001B6908">
        <w:trPr>
          <w:trHeight w:val="284"/>
        </w:trPr>
        <w:tc>
          <w:tcPr>
            <w:tcW w:w="3321" w:type="dxa"/>
            <w:shd w:val="clear" w:color="auto" w:fill="auto"/>
            <w:noWrap/>
            <w:vAlign w:val="center"/>
          </w:tcPr>
          <w:p w14:paraId="5CE3213A" w14:textId="25438F11" w:rsidR="00093585" w:rsidRPr="00545EC0" w:rsidRDefault="00093585" w:rsidP="00093585">
            <w:pPr>
              <w:spacing w:line="240" w:lineRule="auto"/>
              <w:jc w:val="left"/>
              <w:rPr>
                <w:rFonts w:cs="Arial"/>
                <w:sz w:val="18"/>
                <w:szCs w:val="18"/>
              </w:rPr>
            </w:pPr>
            <w:r w:rsidRPr="00545EC0">
              <w:rPr>
                <w:rFonts w:cs="Arial"/>
                <w:sz w:val="18"/>
                <w:szCs w:val="18"/>
              </w:rPr>
              <w:lastRenderedPageBreak/>
              <w:t>UVT Velenjsko jezero</w:t>
            </w:r>
          </w:p>
        </w:tc>
        <w:tc>
          <w:tcPr>
            <w:tcW w:w="1417" w:type="dxa"/>
            <w:shd w:val="clear" w:color="auto" w:fill="auto"/>
            <w:noWrap/>
            <w:vAlign w:val="center"/>
          </w:tcPr>
          <w:p w14:paraId="107E84EA" w14:textId="77777777" w:rsidR="00093585" w:rsidRPr="00545EC0" w:rsidRDefault="00093585" w:rsidP="00093585">
            <w:pPr>
              <w:spacing w:line="240" w:lineRule="auto"/>
              <w:jc w:val="center"/>
              <w:rPr>
                <w:rFonts w:cs="Arial"/>
                <w:sz w:val="18"/>
                <w:szCs w:val="18"/>
              </w:rPr>
            </w:pPr>
          </w:p>
        </w:tc>
        <w:tc>
          <w:tcPr>
            <w:tcW w:w="851" w:type="dxa"/>
            <w:shd w:val="clear" w:color="auto" w:fill="auto"/>
            <w:noWrap/>
            <w:vAlign w:val="center"/>
          </w:tcPr>
          <w:p w14:paraId="60BDCC7D" w14:textId="77777777" w:rsidR="00093585" w:rsidRPr="00545EC0" w:rsidRDefault="00093585" w:rsidP="00093585">
            <w:pPr>
              <w:spacing w:line="240" w:lineRule="auto"/>
              <w:jc w:val="center"/>
              <w:rPr>
                <w:rFonts w:cs="Arial"/>
                <w:sz w:val="18"/>
                <w:szCs w:val="18"/>
              </w:rPr>
            </w:pPr>
          </w:p>
        </w:tc>
        <w:tc>
          <w:tcPr>
            <w:tcW w:w="850" w:type="dxa"/>
            <w:shd w:val="clear" w:color="auto" w:fill="auto"/>
            <w:noWrap/>
            <w:vAlign w:val="center"/>
          </w:tcPr>
          <w:p w14:paraId="6C5ABC30" w14:textId="77777777" w:rsidR="00093585" w:rsidRPr="00545EC0" w:rsidRDefault="00093585" w:rsidP="00093585">
            <w:pPr>
              <w:spacing w:line="240" w:lineRule="auto"/>
              <w:jc w:val="center"/>
              <w:rPr>
                <w:rFonts w:cs="Arial"/>
                <w:sz w:val="18"/>
                <w:szCs w:val="18"/>
              </w:rPr>
            </w:pPr>
          </w:p>
        </w:tc>
        <w:tc>
          <w:tcPr>
            <w:tcW w:w="1418" w:type="dxa"/>
            <w:shd w:val="clear" w:color="auto" w:fill="auto"/>
            <w:noWrap/>
            <w:vAlign w:val="center"/>
          </w:tcPr>
          <w:p w14:paraId="6FF2630A" w14:textId="2BD43E7E" w:rsidR="00093585" w:rsidRPr="00545EC0" w:rsidRDefault="00093585" w:rsidP="00093585">
            <w:pPr>
              <w:spacing w:line="240" w:lineRule="auto"/>
              <w:jc w:val="center"/>
              <w:rPr>
                <w:rFonts w:cs="Arial"/>
                <w:sz w:val="18"/>
                <w:szCs w:val="18"/>
              </w:rPr>
            </w:pPr>
            <w:r w:rsidRPr="00545EC0">
              <w:rPr>
                <w:rFonts w:cs="Arial"/>
                <w:sz w:val="18"/>
                <w:szCs w:val="18"/>
              </w:rPr>
              <w:t>zmerno</w:t>
            </w:r>
          </w:p>
        </w:tc>
        <w:tc>
          <w:tcPr>
            <w:tcW w:w="1342" w:type="dxa"/>
            <w:vAlign w:val="center"/>
          </w:tcPr>
          <w:p w14:paraId="40CE5C29" w14:textId="05E3F7B9" w:rsidR="00093585" w:rsidRPr="00545EC0" w:rsidRDefault="00093585" w:rsidP="00093585">
            <w:pPr>
              <w:spacing w:line="240" w:lineRule="auto"/>
              <w:jc w:val="center"/>
              <w:rPr>
                <w:rFonts w:cs="Arial"/>
                <w:sz w:val="18"/>
                <w:szCs w:val="18"/>
              </w:rPr>
            </w:pPr>
            <w:r w:rsidRPr="00545EC0">
              <w:rPr>
                <w:rFonts w:cs="Arial"/>
                <w:sz w:val="18"/>
                <w:szCs w:val="18"/>
              </w:rPr>
              <w:t>molibden, sulfat</w:t>
            </w:r>
          </w:p>
        </w:tc>
      </w:tr>
      <w:tr w:rsidR="003122F4" w:rsidRPr="00545EC0" w14:paraId="2889A9A9" w14:textId="77777777" w:rsidTr="001B6908">
        <w:trPr>
          <w:trHeight w:val="284"/>
        </w:trPr>
        <w:tc>
          <w:tcPr>
            <w:tcW w:w="3321" w:type="dxa"/>
            <w:shd w:val="clear" w:color="auto" w:fill="auto"/>
            <w:noWrap/>
            <w:vAlign w:val="center"/>
            <w:hideMark/>
          </w:tcPr>
          <w:p w14:paraId="7513AACE" w14:textId="77777777" w:rsidR="00203E37" w:rsidRPr="00545EC0" w:rsidRDefault="00203E37" w:rsidP="00093585">
            <w:pPr>
              <w:spacing w:line="240" w:lineRule="auto"/>
              <w:jc w:val="left"/>
              <w:rPr>
                <w:rFonts w:cs="Arial"/>
                <w:sz w:val="18"/>
                <w:szCs w:val="18"/>
              </w:rPr>
            </w:pPr>
            <w:r w:rsidRPr="00545EC0">
              <w:rPr>
                <w:rFonts w:cs="Arial"/>
                <w:sz w:val="18"/>
                <w:szCs w:val="18"/>
              </w:rPr>
              <w:t>VT Paka Velenje – Skorno</w:t>
            </w:r>
          </w:p>
        </w:tc>
        <w:tc>
          <w:tcPr>
            <w:tcW w:w="1417" w:type="dxa"/>
            <w:shd w:val="clear" w:color="auto" w:fill="auto"/>
            <w:noWrap/>
            <w:vAlign w:val="center"/>
            <w:hideMark/>
          </w:tcPr>
          <w:p w14:paraId="0E8C9368"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851" w:type="dxa"/>
            <w:shd w:val="clear" w:color="auto" w:fill="auto"/>
            <w:noWrap/>
            <w:vAlign w:val="center"/>
            <w:hideMark/>
          </w:tcPr>
          <w:p w14:paraId="41FFA5EB" w14:textId="77777777" w:rsidR="00203E37" w:rsidRPr="00545EC0" w:rsidRDefault="00203E37" w:rsidP="00093585">
            <w:pPr>
              <w:spacing w:line="240" w:lineRule="auto"/>
              <w:jc w:val="center"/>
              <w:rPr>
                <w:rFonts w:cs="Arial"/>
                <w:sz w:val="18"/>
                <w:szCs w:val="18"/>
              </w:rPr>
            </w:pPr>
          </w:p>
        </w:tc>
        <w:tc>
          <w:tcPr>
            <w:tcW w:w="850" w:type="dxa"/>
            <w:shd w:val="clear" w:color="auto" w:fill="auto"/>
            <w:noWrap/>
            <w:vAlign w:val="center"/>
            <w:hideMark/>
          </w:tcPr>
          <w:p w14:paraId="078CF780"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1418" w:type="dxa"/>
            <w:shd w:val="clear" w:color="auto" w:fill="auto"/>
            <w:noWrap/>
            <w:vAlign w:val="center"/>
            <w:hideMark/>
          </w:tcPr>
          <w:p w14:paraId="45FF95C8" w14:textId="77777777" w:rsidR="00203E37" w:rsidRPr="00545EC0" w:rsidRDefault="00203E37" w:rsidP="00093585">
            <w:pPr>
              <w:spacing w:line="240" w:lineRule="auto"/>
              <w:jc w:val="center"/>
              <w:rPr>
                <w:rFonts w:cs="Arial"/>
                <w:sz w:val="18"/>
                <w:szCs w:val="18"/>
              </w:rPr>
            </w:pPr>
            <w:r w:rsidRPr="00545EC0">
              <w:rPr>
                <w:rFonts w:cs="Arial"/>
                <w:sz w:val="18"/>
                <w:szCs w:val="18"/>
              </w:rPr>
              <w:t>zmerno</w:t>
            </w:r>
          </w:p>
        </w:tc>
        <w:tc>
          <w:tcPr>
            <w:tcW w:w="1342" w:type="dxa"/>
            <w:vAlign w:val="center"/>
          </w:tcPr>
          <w:p w14:paraId="792200E7" w14:textId="77777777" w:rsidR="00203E37" w:rsidRPr="00545EC0" w:rsidRDefault="00203E37" w:rsidP="00093585">
            <w:pPr>
              <w:spacing w:line="240" w:lineRule="auto"/>
              <w:jc w:val="center"/>
              <w:rPr>
                <w:rFonts w:cs="Arial"/>
                <w:sz w:val="18"/>
                <w:szCs w:val="18"/>
              </w:rPr>
            </w:pPr>
            <w:r w:rsidRPr="00545EC0">
              <w:rPr>
                <w:rFonts w:cs="Arial"/>
                <w:sz w:val="18"/>
                <w:szCs w:val="18"/>
              </w:rPr>
              <w:t>molibden, sulfat</w:t>
            </w:r>
          </w:p>
        </w:tc>
      </w:tr>
      <w:tr w:rsidR="003122F4" w:rsidRPr="00545EC0" w14:paraId="4E087D43" w14:textId="77777777" w:rsidTr="001B6908">
        <w:trPr>
          <w:trHeight w:val="284"/>
        </w:trPr>
        <w:tc>
          <w:tcPr>
            <w:tcW w:w="3321" w:type="dxa"/>
            <w:shd w:val="clear" w:color="auto" w:fill="auto"/>
            <w:noWrap/>
            <w:vAlign w:val="center"/>
            <w:hideMark/>
          </w:tcPr>
          <w:p w14:paraId="443E8918" w14:textId="77777777" w:rsidR="00203E37" w:rsidRPr="00545EC0" w:rsidRDefault="00203E37" w:rsidP="00093585">
            <w:pPr>
              <w:spacing w:line="240" w:lineRule="auto"/>
              <w:jc w:val="left"/>
              <w:rPr>
                <w:rFonts w:cs="Arial"/>
                <w:sz w:val="18"/>
                <w:szCs w:val="18"/>
              </w:rPr>
            </w:pPr>
            <w:r w:rsidRPr="00545EC0">
              <w:rPr>
                <w:rFonts w:cs="Arial"/>
                <w:sz w:val="18"/>
                <w:szCs w:val="18"/>
              </w:rPr>
              <w:t>VT Paka Skorno – Šmartno</w:t>
            </w:r>
          </w:p>
        </w:tc>
        <w:tc>
          <w:tcPr>
            <w:tcW w:w="1417" w:type="dxa"/>
            <w:shd w:val="clear" w:color="auto" w:fill="auto"/>
            <w:noWrap/>
            <w:vAlign w:val="center"/>
            <w:hideMark/>
          </w:tcPr>
          <w:p w14:paraId="2E1E293F"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851" w:type="dxa"/>
            <w:shd w:val="clear" w:color="auto" w:fill="auto"/>
            <w:noWrap/>
            <w:vAlign w:val="center"/>
            <w:hideMark/>
          </w:tcPr>
          <w:p w14:paraId="56213352" w14:textId="77777777" w:rsidR="00203E37" w:rsidRPr="00545EC0" w:rsidRDefault="00203E37" w:rsidP="00093585">
            <w:pPr>
              <w:spacing w:line="240" w:lineRule="auto"/>
              <w:jc w:val="center"/>
              <w:rPr>
                <w:rFonts w:cs="Arial"/>
                <w:sz w:val="18"/>
                <w:szCs w:val="18"/>
              </w:rPr>
            </w:pPr>
          </w:p>
        </w:tc>
        <w:tc>
          <w:tcPr>
            <w:tcW w:w="850" w:type="dxa"/>
            <w:shd w:val="clear" w:color="auto" w:fill="auto"/>
            <w:noWrap/>
            <w:vAlign w:val="center"/>
            <w:hideMark/>
          </w:tcPr>
          <w:p w14:paraId="52BABE09"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1418" w:type="dxa"/>
            <w:shd w:val="clear" w:color="auto" w:fill="auto"/>
            <w:noWrap/>
            <w:vAlign w:val="center"/>
            <w:hideMark/>
          </w:tcPr>
          <w:p w14:paraId="611932AA" w14:textId="77777777" w:rsidR="00203E37" w:rsidRPr="00545EC0" w:rsidRDefault="00203E37" w:rsidP="00093585">
            <w:pPr>
              <w:spacing w:line="240" w:lineRule="auto"/>
              <w:jc w:val="center"/>
              <w:rPr>
                <w:rFonts w:cs="Arial"/>
                <w:sz w:val="18"/>
                <w:szCs w:val="18"/>
              </w:rPr>
            </w:pPr>
            <w:r w:rsidRPr="00545EC0">
              <w:rPr>
                <w:rFonts w:cs="Arial"/>
                <w:sz w:val="18"/>
                <w:szCs w:val="18"/>
              </w:rPr>
              <w:t>zmerno</w:t>
            </w:r>
          </w:p>
        </w:tc>
        <w:tc>
          <w:tcPr>
            <w:tcW w:w="1342" w:type="dxa"/>
            <w:vAlign w:val="center"/>
          </w:tcPr>
          <w:p w14:paraId="1EB983F8" w14:textId="77777777" w:rsidR="00203E37" w:rsidRPr="00545EC0" w:rsidRDefault="00203E37" w:rsidP="00093585">
            <w:pPr>
              <w:spacing w:line="240" w:lineRule="auto"/>
              <w:jc w:val="center"/>
              <w:rPr>
                <w:rFonts w:cs="Arial"/>
                <w:sz w:val="18"/>
                <w:szCs w:val="18"/>
              </w:rPr>
            </w:pPr>
            <w:r w:rsidRPr="00545EC0">
              <w:rPr>
                <w:rFonts w:cs="Arial"/>
                <w:sz w:val="18"/>
                <w:szCs w:val="18"/>
              </w:rPr>
              <w:t>molibden</w:t>
            </w:r>
          </w:p>
        </w:tc>
      </w:tr>
      <w:tr w:rsidR="003122F4" w:rsidRPr="00545EC0" w14:paraId="0AB5268A" w14:textId="77777777" w:rsidTr="001B6908">
        <w:trPr>
          <w:trHeight w:val="284"/>
        </w:trPr>
        <w:tc>
          <w:tcPr>
            <w:tcW w:w="3321" w:type="dxa"/>
            <w:shd w:val="clear" w:color="auto" w:fill="auto"/>
            <w:noWrap/>
            <w:vAlign w:val="center"/>
            <w:hideMark/>
          </w:tcPr>
          <w:p w14:paraId="36BA47B6" w14:textId="77777777" w:rsidR="00203E37" w:rsidRPr="00545EC0" w:rsidRDefault="00203E37" w:rsidP="00093585">
            <w:pPr>
              <w:spacing w:line="240" w:lineRule="auto"/>
              <w:jc w:val="left"/>
              <w:rPr>
                <w:rFonts w:cs="Arial"/>
                <w:sz w:val="18"/>
                <w:szCs w:val="18"/>
              </w:rPr>
            </w:pPr>
            <w:r w:rsidRPr="00545EC0">
              <w:rPr>
                <w:rFonts w:cs="Arial"/>
                <w:sz w:val="18"/>
                <w:szCs w:val="18"/>
              </w:rPr>
              <w:t>VT Hudinja Nova Cerkev – sotočje z Voglajno</w:t>
            </w:r>
          </w:p>
        </w:tc>
        <w:tc>
          <w:tcPr>
            <w:tcW w:w="1417" w:type="dxa"/>
            <w:shd w:val="clear" w:color="auto" w:fill="auto"/>
            <w:noWrap/>
            <w:vAlign w:val="center"/>
            <w:hideMark/>
          </w:tcPr>
          <w:p w14:paraId="235DD8D3"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851" w:type="dxa"/>
            <w:shd w:val="clear" w:color="auto" w:fill="auto"/>
            <w:noWrap/>
            <w:vAlign w:val="center"/>
            <w:hideMark/>
          </w:tcPr>
          <w:p w14:paraId="6253E9F9" w14:textId="77777777" w:rsidR="00203E37" w:rsidRPr="00545EC0" w:rsidRDefault="00203E37" w:rsidP="00093585">
            <w:pPr>
              <w:spacing w:line="240" w:lineRule="auto"/>
              <w:jc w:val="center"/>
              <w:rPr>
                <w:rFonts w:cs="Arial"/>
                <w:sz w:val="18"/>
                <w:szCs w:val="18"/>
              </w:rPr>
            </w:pPr>
          </w:p>
        </w:tc>
        <w:tc>
          <w:tcPr>
            <w:tcW w:w="850" w:type="dxa"/>
            <w:shd w:val="clear" w:color="auto" w:fill="auto"/>
            <w:noWrap/>
            <w:vAlign w:val="center"/>
            <w:hideMark/>
          </w:tcPr>
          <w:p w14:paraId="4843CEB2"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1418" w:type="dxa"/>
            <w:shd w:val="clear" w:color="auto" w:fill="auto"/>
            <w:noWrap/>
            <w:vAlign w:val="center"/>
            <w:hideMark/>
          </w:tcPr>
          <w:p w14:paraId="6C5D6950" w14:textId="77777777" w:rsidR="00203E37" w:rsidRPr="00545EC0" w:rsidRDefault="00203E37" w:rsidP="00093585">
            <w:pPr>
              <w:spacing w:line="240" w:lineRule="auto"/>
              <w:jc w:val="center"/>
              <w:rPr>
                <w:rFonts w:cs="Arial"/>
                <w:sz w:val="18"/>
                <w:szCs w:val="18"/>
              </w:rPr>
            </w:pPr>
            <w:r w:rsidRPr="00545EC0">
              <w:rPr>
                <w:rFonts w:cs="Arial"/>
                <w:sz w:val="18"/>
                <w:szCs w:val="18"/>
              </w:rPr>
              <w:t>zmerno</w:t>
            </w:r>
          </w:p>
        </w:tc>
        <w:tc>
          <w:tcPr>
            <w:tcW w:w="1342" w:type="dxa"/>
            <w:vAlign w:val="center"/>
          </w:tcPr>
          <w:p w14:paraId="569E1C6B" w14:textId="77777777" w:rsidR="00203E37" w:rsidRPr="00545EC0" w:rsidRDefault="00203E37" w:rsidP="00093585">
            <w:pPr>
              <w:spacing w:line="240" w:lineRule="auto"/>
              <w:jc w:val="center"/>
              <w:rPr>
                <w:rFonts w:cs="Arial"/>
                <w:sz w:val="18"/>
                <w:szCs w:val="18"/>
              </w:rPr>
            </w:pPr>
            <w:r w:rsidRPr="00545EC0">
              <w:rPr>
                <w:rFonts w:cs="Arial"/>
                <w:sz w:val="18"/>
                <w:szCs w:val="18"/>
              </w:rPr>
              <w:t>sulfat</w:t>
            </w:r>
          </w:p>
        </w:tc>
      </w:tr>
      <w:tr w:rsidR="003122F4" w:rsidRPr="00545EC0" w14:paraId="58CD59E2" w14:textId="77777777" w:rsidTr="001B6908">
        <w:trPr>
          <w:trHeight w:val="284"/>
        </w:trPr>
        <w:tc>
          <w:tcPr>
            <w:tcW w:w="3321" w:type="dxa"/>
            <w:shd w:val="clear" w:color="auto" w:fill="auto"/>
            <w:noWrap/>
            <w:vAlign w:val="center"/>
            <w:hideMark/>
          </w:tcPr>
          <w:p w14:paraId="629444A9" w14:textId="77777777" w:rsidR="00203E37" w:rsidRPr="00545EC0" w:rsidRDefault="00203E37" w:rsidP="00093585">
            <w:pPr>
              <w:spacing w:line="240" w:lineRule="auto"/>
              <w:jc w:val="left"/>
              <w:rPr>
                <w:rFonts w:cs="Arial"/>
                <w:sz w:val="18"/>
                <w:szCs w:val="18"/>
              </w:rPr>
            </w:pPr>
            <w:r w:rsidRPr="00545EC0">
              <w:rPr>
                <w:rFonts w:cs="Arial"/>
                <w:sz w:val="18"/>
                <w:szCs w:val="18"/>
              </w:rPr>
              <w:t>VT Mirna</w:t>
            </w:r>
          </w:p>
        </w:tc>
        <w:tc>
          <w:tcPr>
            <w:tcW w:w="1417" w:type="dxa"/>
            <w:shd w:val="clear" w:color="auto" w:fill="auto"/>
            <w:noWrap/>
            <w:vAlign w:val="center"/>
            <w:hideMark/>
          </w:tcPr>
          <w:p w14:paraId="6D1B0100" w14:textId="77777777" w:rsidR="00203E37" w:rsidRPr="00545EC0" w:rsidRDefault="00203E37" w:rsidP="00093585">
            <w:pPr>
              <w:spacing w:line="240" w:lineRule="auto"/>
              <w:jc w:val="center"/>
              <w:rPr>
                <w:rFonts w:cs="Arial"/>
                <w:sz w:val="18"/>
                <w:szCs w:val="18"/>
              </w:rPr>
            </w:pPr>
            <w:r w:rsidRPr="00545EC0">
              <w:rPr>
                <w:rFonts w:cs="Arial"/>
                <w:sz w:val="18"/>
                <w:szCs w:val="18"/>
              </w:rPr>
              <w:t>zmerno</w:t>
            </w:r>
          </w:p>
        </w:tc>
        <w:tc>
          <w:tcPr>
            <w:tcW w:w="851" w:type="dxa"/>
            <w:shd w:val="clear" w:color="auto" w:fill="auto"/>
            <w:noWrap/>
            <w:vAlign w:val="center"/>
            <w:hideMark/>
          </w:tcPr>
          <w:p w14:paraId="400255A3" w14:textId="77777777" w:rsidR="00203E37" w:rsidRPr="00545EC0" w:rsidRDefault="00203E37" w:rsidP="00093585">
            <w:pPr>
              <w:spacing w:line="240" w:lineRule="auto"/>
              <w:jc w:val="center"/>
              <w:rPr>
                <w:rFonts w:cs="Arial"/>
                <w:sz w:val="18"/>
                <w:szCs w:val="18"/>
              </w:rPr>
            </w:pPr>
          </w:p>
        </w:tc>
        <w:tc>
          <w:tcPr>
            <w:tcW w:w="850" w:type="dxa"/>
            <w:shd w:val="clear" w:color="auto" w:fill="auto"/>
            <w:noWrap/>
            <w:vAlign w:val="center"/>
            <w:hideMark/>
          </w:tcPr>
          <w:p w14:paraId="349C12A0"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1418" w:type="dxa"/>
            <w:shd w:val="clear" w:color="auto" w:fill="auto"/>
            <w:noWrap/>
            <w:vAlign w:val="center"/>
            <w:hideMark/>
          </w:tcPr>
          <w:p w14:paraId="628357BE"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1342" w:type="dxa"/>
            <w:vAlign w:val="center"/>
          </w:tcPr>
          <w:p w14:paraId="63CA0922" w14:textId="77777777" w:rsidR="00203E37" w:rsidRPr="00545EC0" w:rsidRDefault="00203E37" w:rsidP="00093585">
            <w:pPr>
              <w:spacing w:line="240" w:lineRule="auto"/>
              <w:jc w:val="center"/>
              <w:rPr>
                <w:rFonts w:cs="Arial"/>
                <w:sz w:val="18"/>
                <w:szCs w:val="18"/>
              </w:rPr>
            </w:pPr>
          </w:p>
        </w:tc>
      </w:tr>
      <w:tr w:rsidR="003122F4" w:rsidRPr="00545EC0" w14:paraId="29A792D3" w14:textId="77777777" w:rsidTr="001B6908">
        <w:trPr>
          <w:trHeight w:val="284"/>
        </w:trPr>
        <w:tc>
          <w:tcPr>
            <w:tcW w:w="3321" w:type="dxa"/>
            <w:shd w:val="clear" w:color="auto" w:fill="auto"/>
            <w:noWrap/>
            <w:vAlign w:val="center"/>
            <w:hideMark/>
          </w:tcPr>
          <w:p w14:paraId="58FE0898" w14:textId="77777777" w:rsidR="00203E37" w:rsidRPr="00545EC0" w:rsidRDefault="00203E37" w:rsidP="00093585">
            <w:pPr>
              <w:spacing w:line="240" w:lineRule="auto"/>
              <w:jc w:val="left"/>
              <w:rPr>
                <w:rFonts w:cs="Arial"/>
                <w:sz w:val="18"/>
                <w:szCs w:val="18"/>
              </w:rPr>
            </w:pPr>
            <w:r w:rsidRPr="00545EC0">
              <w:rPr>
                <w:rFonts w:cs="Arial"/>
                <w:sz w:val="18"/>
                <w:szCs w:val="18"/>
              </w:rPr>
              <w:t>VT Temenica I</w:t>
            </w:r>
          </w:p>
        </w:tc>
        <w:tc>
          <w:tcPr>
            <w:tcW w:w="1417" w:type="dxa"/>
            <w:shd w:val="clear" w:color="auto" w:fill="auto"/>
            <w:noWrap/>
            <w:vAlign w:val="center"/>
            <w:hideMark/>
          </w:tcPr>
          <w:p w14:paraId="249C92BA"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851" w:type="dxa"/>
            <w:shd w:val="clear" w:color="auto" w:fill="auto"/>
            <w:noWrap/>
            <w:vAlign w:val="center"/>
            <w:hideMark/>
          </w:tcPr>
          <w:p w14:paraId="25B5A571" w14:textId="77777777" w:rsidR="00203E37" w:rsidRPr="00545EC0" w:rsidRDefault="00203E37" w:rsidP="00093585">
            <w:pPr>
              <w:spacing w:line="240" w:lineRule="auto"/>
              <w:jc w:val="center"/>
              <w:rPr>
                <w:rFonts w:cs="Arial"/>
                <w:sz w:val="18"/>
                <w:szCs w:val="18"/>
              </w:rPr>
            </w:pPr>
          </w:p>
        </w:tc>
        <w:tc>
          <w:tcPr>
            <w:tcW w:w="850" w:type="dxa"/>
            <w:shd w:val="clear" w:color="auto" w:fill="auto"/>
            <w:noWrap/>
            <w:vAlign w:val="center"/>
            <w:hideMark/>
          </w:tcPr>
          <w:p w14:paraId="4498988C" w14:textId="77777777" w:rsidR="00203E37" w:rsidRPr="00545EC0" w:rsidRDefault="00203E37" w:rsidP="00093585">
            <w:pPr>
              <w:spacing w:line="240" w:lineRule="auto"/>
              <w:jc w:val="center"/>
              <w:rPr>
                <w:rFonts w:cs="Arial"/>
                <w:sz w:val="18"/>
                <w:szCs w:val="18"/>
              </w:rPr>
            </w:pPr>
            <w:r w:rsidRPr="00545EC0">
              <w:rPr>
                <w:rFonts w:cs="Arial"/>
                <w:sz w:val="18"/>
                <w:szCs w:val="18"/>
              </w:rPr>
              <w:t>zmerno</w:t>
            </w:r>
          </w:p>
        </w:tc>
        <w:tc>
          <w:tcPr>
            <w:tcW w:w="1418" w:type="dxa"/>
            <w:shd w:val="clear" w:color="auto" w:fill="auto"/>
            <w:noWrap/>
            <w:vAlign w:val="center"/>
            <w:hideMark/>
          </w:tcPr>
          <w:p w14:paraId="2D210B0D" w14:textId="77777777" w:rsidR="00203E37" w:rsidRPr="00545EC0" w:rsidRDefault="00203E37" w:rsidP="00093585">
            <w:pPr>
              <w:spacing w:line="240" w:lineRule="auto"/>
              <w:jc w:val="center"/>
              <w:rPr>
                <w:rFonts w:cs="Arial"/>
                <w:sz w:val="18"/>
                <w:szCs w:val="18"/>
              </w:rPr>
            </w:pPr>
            <w:r w:rsidRPr="00545EC0">
              <w:rPr>
                <w:rFonts w:cs="Arial"/>
                <w:sz w:val="18"/>
                <w:szCs w:val="18"/>
              </w:rPr>
              <w:t>zmerno</w:t>
            </w:r>
          </w:p>
        </w:tc>
        <w:tc>
          <w:tcPr>
            <w:tcW w:w="1342" w:type="dxa"/>
            <w:vAlign w:val="center"/>
          </w:tcPr>
          <w:p w14:paraId="67B1C38B" w14:textId="77777777" w:rsidR="00203E37" w:rsidRPr="00545EC0" w:rsidRDefault="00203E37" w:rsidP="00093585">
            <w:pPr>
              <w:spacing w:line="240" w:lineRule="auto"/>
              <w:jc w:val="center"/>
              <w:rPr>
                <w:rFonts w:cs="Arial"/>
                <w:sz w:val="18"/>
                <w:szCs w:val="18"/>
              </w:rPr>
            </w:pPr>
            <w:r w:rsidRPr="00545EC0">
              <w:rPr>
                <w:rFonts w:cs="Arial"/>
                <w:sz w:val="18"/>
                <w:szCs w:val="18"/>
              </w:rPr>
              <w:t>cink, kobalt</w:t>
            </w:r>
          </w:p>
        </w:tc>
      </w:tr>
      <w:tr w:rsidR="003122F4" w:rsidRPr="00545EC0" w14:paraId="2ED93D9F" w14:textId="77777777" w:rsidTr="001B6908">
        <w:trPr>
          <w:trHeight w:val="284"/>
        </w:trPr>
        <w:tc>
          <w:tcPr>
            <w:tcW w:w="3321" w:type="dxa"/>
            <w:shd w:val="clear" w:color="auto" w:fill="auto"/>
            <w:noWrap/>
            <w:vAlign w:val="center"/>
            <w:hideMark/>
          </w:tcPr>
          <w:p w14:paraId="1CB86EA3" w14:textId="77777777" w:rsidR="00203E37" w:rsidRPr="00545EC0" w:rsidRDefault="00203E37" w:rsidP="00093585">
            <w:pPr>
              <w:spacing w:line="240" w:lineRule="auto"/>
              <w:jc w:val="left"/>
              <w:rPr>
                <w:rFonts w:cs="Arial"/>
                <w:sz w:val="18"/>
                <w:szCs w:val="18"/>
              </w:rPr>
            </w:pPr>
            <w:r w:rsidRPr="00545EC0">
              <w:rPr>
                <w:rFonts w:cs="Arial"/>
                <w:sz w:val="18"/>
                <w:szCs w:val="18"/>
              </w:rPr>
              <w:t>VT Temenica II</w:t>
            </w:r>
          </w:p>
        </w:tc>
        <w:tc>
          <w:tcPr>
            <w:tcW w:w="1417" w:type="dxa"/>
            <w:shd w:val="clear" w:color="auto" w:fill="auto"/>
            <w:noWrap/>
            <w:vAlign w:val="center"/>
            <w:hideMark/>
          </w:tcPr>
          <w:p w14:paraId="6A792FB7"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851" w:type="dxa"/>
            <w:shd w:val="clear" w:color="auto" w:fill="auto"/>
            <w:noWrap/>
            <w:vAlign w:val="center"/>
            <w:hideMark/>
          </w:tcPr>
          <w:p w14:paraId="46286AC7" w14:textId="77777777" w:rsidR="00203E37" w:rsidRPr="00545EC0" w:rsidRDefault="00203E37" w:rsidP="00093585">
            <w:pPr>
              <w:spacing w:line="240" w:lineRule="auto"/>
              <w:jc w:val="center"/>
              <w:rPr>
                <w:rFonts w:cs="Arial"/>
                <w:sz w:val="18"/>
                <w:szCs w:val="18"/>
              </w:rPr>
            </w:pPr>
          </w:p>
        </w:tc>
        <w:tc>
          <w:tcPr>
            <w:tcW w:w="850" w:type="dxa"/>
            <w:shd w:val="clear" w:color="auto" w:fill="auto"/>
            <w:noWrap/>
            <w:vAlign w:val="center"/>
            <w:hideMark/>
          </w:tcPr>
          <w:p w14:paraId="17953255" w14:textId="77777777" w:rsidR="00203E37" w:rsidRPr="00545EC0" w:rsidRDefault="00203E37" w:rsidP="00093585">
            <w:pPr>
              <w:spacing w:line="240" w:lineRule="auto"/>
              <w:jc w:val="center"/>
              <w:rPr>
                <w:rFonts w:cs="Arial"/>
                <w:sz w:val="18"/>
                <w:szCs w:val="18"/>
              </w:rPr>
            </w:pPr>
            <w:r w:rsidRPr="00545EC0">
              <w:rPr>
                <w:rFonts w:cs="Arial"/>
                <w:sz w:val="18"/>
                <w:szCs w:val="18"/>
              </w:rPr>
              <w:t>zmerno</w:t>
            </w:r>
          </w:p>
        </w:tc>
        <w:tc>
          <w:tcPr>
            <w:tcW w:w="1418" w:type="dxa"/>
            <w:shd w:val="clear" w:color="auto" w:fill="auto"/>
            <w:noWrap/>
            <w:vAlign w:val="center"/>
            <w:hideMark/>
          </w:tcPr>
          <w:p w14:paraId="51B898C8"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1342" w:type="dxa"/>
            <w:vAlign w:val="center"/>
          </w:tcPr>
          <w:p w14:paraId="31CA0973" w14:textId="77777777" w:rsidR="00203E37" w:rsidRPr="00545EC0" w:rsidRDefault="00203E37" w:rsidP="00093585">
            <w:pPr>
              <w:spacing w:line="240" w:lineRule="auto"/>
              <w:jc w:val="center"/>
              <w:rPr>
                <w:rFonts w:cs="Arial"/>
                <w:sz w:val="18"/>
                <w:szCs w:val="18"/>
              </w:rPr>
            </w:pPr>
          </w:p>
        </w:tc>
      </w:tr>
      <w:tr w:rsidR="003122F4" w:rsidRPr="00545EC0" w14:paraId="6908F520" w14:textId="77777777" w:rsidTr="001B6908">
        <w:trPr>
          <w:trHeight w:val="284"/>
        </w:trPr>
        <w:tc>
          <w:tcPr>
            <w:tcW w:w="3321" w:type="dxa"/>
            <w:shd w:val="clear" w:color="auto" w:fill="auto"/>
            <w:noWrap/>
            <w:vAlign w:val="center"/>
            <w:hideMark/>
          </w:tcPr>
          <w:p w14:paraId="5F1DC31E" w14:textId="77777777" w:rsidR="00203E37" w:rsidRPr="00545EC0" w:rsidRDefault="00203E37" w:rsidP="00093585">
            <w:pPr>
              <w:spacing w:line="240" w:lineRule="auto"/>
              <w:jc w:val="left"/>
              <w:rPr>
                <w:rFonts w:cs="Arial"/>
                <w:sz w:val="18"/>
                <w:szCs w:val="18"/>
              </w:rPr>
            </w:pPr>
            <w:r w:rsidRPr="00545EC0">
              <w:rPr>
                <w:rFonts w:cs="Arial"/>
                <w:sz w:val="18"/>
                <w:szCs w:val="18"/>
              </w:rPr>
              <w:t>VT Mestinjščica</w:t>
            </w:r>
          </w:p>
        </w:tc>
        <w:tc>
          <w:tcPr>
            <w:tcW w:w="1417" w:type="dxa"/>
            <w:shd w:val="clear" w:color="auto" w:fill="auto"/>
            <w:noWrap/>
            <w:vAlign w:val="center"/>
            <w:hideMark/>
          </w:tcPr>
          <w:p w14:paraId="13D3453F" w14:textId="77777777" w:rsidR="00203E37" w:rsidRPr="00545EC0" w:rsidRDefault="00203E37" w:rsidP="00093585">
            <w:pPr>
              <w:spacing w:line="240" w:lineRule="auto"/>
              <w:jc w:val="center"/>
              <w:rPr>
                <w:rFonts w:cs="Arial"/>
                <w:sz w:val="18"/>
                <w:szCs w:val="18"/>
              </w:rPr>
            </w:pPr>
            <w:r w:rsidRPr="00545EC0">
              <w:rPr>
                <w:rFonts w:cs="Arial"/>
                <w:sz w:val="18"/>
                <w:szCs w:val="18"/>
              </w:rPr>
              <w:t>zmerno</w:t>
            </w:r>
          </w:p>
        </w:tc>
        <w:tc>
          <w:tcPr>
            <w:tcW w:w="851" w:type="dxa"/>
            <w:shd w:val="clear" w:color="auto" w:fill="auto"/>
            <w:noWrap/>
            <w:vAlign w:val="center"/>
            <w:hideMark/>
          </w:tcPr>
          <w:p w14:paraId="2B143238" w14:textId="77777777" w:rsidR="00203E37" w:rsidRPr="00545EC0" w:rsidRDefault="00203E37" w:rsidP="00093585">
            <w:pPr>
              <w:spacing w:line="240" w:lineRule="auto"/>
              <w:jc w:val="center"/>
              <w:rPr>
                <w:rFonts w:cs="Arial"/>
                <w:sz w:val="18"/>
                <w:szCs w:val="18"/>
              </w:rPr>
            </w:pPr>
          </w:p>
        </w:tc>
        <w:tc>
          <w:tcPr>
            <w:tcW w:w="850" w:type="dxa"/>
            <w:shd w:val="clear" w:color="auto" w:fill="auto"/>
            <w:noWrap/>
            <w:vAlign w:val="center"/>
            <w:hideMark/>
          </w:tcPr>
          <w:p w14:paraId="40D747E4"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1418" w:type="dxa"/>
            <w:shd w:val="clear" w:color="auto" w:fill="auto"/>
            <w:noWrap/>
            <w:vAlign w:val="center"/>
            <w:hideMark/>
          </w:tcPr>
          <w:p w14:paraId="1DEDBC7D"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1342" w:type="dxa"/>
            <w:vAlign w:val="center"/>
          </w:tcPr>
          <w:p w14:paraId="4464C5E7" w14:textId="77777777" w:rsidR="00203E37" w:rsidRPr="00545EC0" w:rsidRDefault="00203E37" w:rsidP="00093585">
            <w:pPr>
              <w:spacing w:line="240" w:lineRule="auto"/>
              <w:jc w:val="center"/>
              <w:rPr>
                <w:rFonts w:cs="Arial"/>
                <w:sz w:val="18"/>
                <w:szCs w:val="18"/>
              </w:rPr>
            </w:pPr>
          </w:p>
        </w:tc>
      </w:tr>
      <w:tr w:rsidR="003122F4" w:rsidRPr="00545EC0" w14:paraId="6256C977" w14:textId="77777777" w:rsidTr="001B6908">
        <w:trPr>
          <w:trHeight w:val="284"/>
        </w:trPr>
        <w:tc>
          <w:tcPr>
            <w:tcW w:w="3321" w:type="dxa"/>
            <w:shd w:val="clear" w:color="auto" w:fill="auto"/>
            <w:noWrap/>
            <w:vAlign w:val="center"/>
            <w:hideMark/>
          </w:tcPr>
          <w:p w14:paraId="17B0AE09" w14:textId="77777777" w:rsidR="00203E37" w:rsidRPr="00545EC0" w:rsidRDefault="00203E37" w:rsidP="00093585">
            <w:pPr>
              <w:spacing w:line="240" w:lineRule="auto"/>
              <w:jc w:val="left"/>
              <w:rPr>
                <w:rFonts w:cs="Arial"/>
                <w:sz w:val="18"/>
                <w:szCs w:val="18"/>
              </w:rPr>
            </w:pPr>
            <w:r w:rsidRPr="00545EC0">
              <w:rPr>
                <w:rFonts w:cs="Arial"/>
                <w:sz w:val="18"/>
                <w:szCs w:val="18"/>
              </w:rPr>
              <w:t>VT Sotla Dobovec – Podčetrtek</w:t>
            </w:r>
          </w:p>
        </w:tc>
        <w:tc>
          <w:tcPr>
            <w:tcW w:w="1417" w:type="dxa"/>
            <w:shd w:val="clear" w:color="auto" w:fill="auto"/>
            <w:noWrap/>
            <w:vAlign w:val="center"/>
            <w:hideMark/>
          </w:tcPr>
          <w:p w14:paraId="701147D6" w14:textId="77777777" w:rsidR="00203E37" w:rsidRPr="00545EC0" w:rsidRDefault="00203E37" w:rsidP="00093585">
            <w:pPr>
              <w:spacing w:line="240" w:lineRule="auto"/>
              <w:jc w:val="center"/>
              <w:rPr>
                <w:rFonts w:cs="Arial"/>
                <w:sz w:val="18"/>
                <w:szCs w:val="18"/>
              </w:rPr>
            </w:pPr>
            <w:r w:rsidRPr="00545EC0">
              <w:rPr>
                <w:rFonts w:cs="Arial"/>
                <w:sz w:val="18"/>
                <w:szCs w:val="18"/>
              </w:rPr>
              <w:t>zmerno</w:t>
            </w:r>
          </w:p>
        </w:tc>
        <w:tc>
          <w:tcPr>
            <w:tcW w:w="851" w:type="dxa"/>
            <w:shd w:val="clear" w:color="auto" w:fill="auto"/>
            <w:noWrap/>
            <w:vAlign w:val="center"/>
            <w:hideMark/>
          </w:tcPr>
          <w:p w14:paraId="61FDE243" w14:textId="77777777" w:rsidR="00203E37" w:rsidRPr="00545EC0" w:rsidRDefault="00203E37" w:rsidP="00093585">
            <w:pPr>
              <w:spacing w:line="240" w:lineRule="auto"/>
              <w:jc w:val="center"/>
              <w:rPr>
                <w:rFonts w:cs="Arial"/>
                <w:sz w:val="18"/>
                <w:szCs w:val="18"/>
              </w:rPr>
            </w:pPr>
          </w:p>
        </w:tc>
        <w:tc>
          <w:tcPr>
            <w:tcW w:w="850" w:type="dxa"/>
            <w:shd w:val="clear" w:color="auto" w:fill="auto"/>
            <w:noWrap/>
            <w:vAlign w:val="center"/>
            <w:hideMark/>
          </w:tcPr>
          <w:p w14:paraId="63DE1867"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1418" w:type="dxa"/>
            <w:shd w:val="clear" w:color="auto" w:fill="auto"/>
            <w:noWrap/>
            <w:vAlign w:val="center"/>
            <w:hideMark/>
          </w:tcPr>
          <w:p w14:paraId="5A5B0F1E"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1342" w:type="dxa"/>
            <w:vAlign w:val="center"/>
          </w:tcPr>
          <w:p w14:paraId="725FDAB8" w14:textId="77777777" w:rsidR="00203E37" w:rsidRPr="00545EC0" w:rsidRDefault="00203E37" w:rsidP="00093585">
            <w:pPr>
              <w:spacing w:line="240" w:lineRule="auto"/>
              <w:jc w:val="center"/>
              <w:rPr>
                <w:rFonts w:cs="Arial"/>
                <w:sz w:val="18"/>
                <w:szCs w:val="18"/>
              </w:rPr>
            </w:pPr>
          </w:p>
        </w:tc>
      </w:tr>
      <w:tr w:rsidR="003122F4" w:rsidRPr="00545EC0" w14:paraId="7079E5DA" w14:textId="77777777" w:rsidTr="001B6908">
        <w:trPr>
          <w:trHeight w:val="284"/>
        </w:trPr>
        <w:tc>
          <w:tcPr>
            <w:tcW w:w="3321" w:type="dxa"/>
            <w:shd w:val="clear" w:color="auto" w:fill="auto"/>
            <w:noWrap/>
            <w:vAlign w:val="center"/>
            <w:hideMark/>
          </w:tcPr>
          <w:p w14:paraId="367BC767" w14:textId="77777777" w:rsidR="00203E37" w:rsidRPr="00545EC0" w:rsidRDefault="00203E37" w:rsidP="00093585">
            <w:pPr>
              <w:spacing w:line="240" w:lineRule="auto"/>
              <w:jc w:val="left"/>
              <w:rPr>
                <w:rFonts w:cs="Arial"/>
                <w:sz w:val="18"/>
                <w:szCs w:val="18"/>
              </w:rPr>
            </w:pPr>
            <w:r w:rsidRPr="00545EC0">
              <w:rPr>
                <w:rFonts w:cs="Arial"/>
                <w:sz w:val="18"/>
                <w:szCs w:val="18"/>
              </w:rPr>
              <w:t>VT Krupa</w:t>
            </w:r>
          </w:p>
        </w:tc>
        <w:tc>
          <w:tcPr>
            <w:tcW w:w="1417" w:type="dxa"/>
            <w:shd w:val="clear" w:color="auto" w:fill="auto"/>
            <w:noWrap/>
            <w:vAlign w:val="center"/>
            <w:hideMark/>
          </w:tcPr>
          <w:p w14:paraId="459D86D8"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851" w:type="dxa"/>
            <w:shd w:val="clear" w:color="auto" w:fill="auto"/>
            <w:noWrap/>
            <w:vAlign w:val="center"/>
            <w:hideMark/>
          </w:tcPr>
          <w:p w14:paraId="474AF0CC" w14:textId="77777777" w:rsidR="00203E37" w:rsidRPr="00545EC0" w:rsidRDefault="00203E37" w:rsidP="00093585">
            <w:pPr>
              <w:spacing w:line="240" w:lineRule="auto"/>
              <w:jc w:val="center"/>
              <w:rPr>
                <w:rFonts w:cs="Arial"/>
                <w:sz w:val="18"/>
                <w:szCs w:val="18"/>
              </w:rPr>
            </w:pPr>
          </w:p>
        </w:tc>
        <w:tc>
          <w:tcPr>
            <w:tcW w:w="850" w:type="dxa"/>
            <w:shd w:val="clear" w:color="auto" w:fill="auto"/>
            <w:noWrap/>
            <w:vAlign w:val="center"/>
            <w:hideMark/>
          </w:tcPr>
          <w:p w14:paraId="2104A445"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1418" w:type="dxa"/>
            <w:shd w:val="clear" w:color="auto" w:fill="auto"/>
            <w:noWrap/>
            <w:vAlign w:val="center"/>
            <w:hideMark/>
          </w:tcPr>
          <w:p w14:paraId="4A1E9C98" w14:textId="77777777" w:rsidR="00203E37" w:rsidRPr="00545EC0" w:rsidRDefault="00203E37" w:rsidP="00093585">
            <w:pPr>
              <w:spacing w:line="240" w:lineRule="auto"/>
              <w:jc w:val="center"/>
              <w:rPr>
                <w:rFonts w:cs="Arial"/>
                <w:sz w:val="18"/>
                <w:szCs w:val="18"/>
              </w:rPr>
            </w:pPr>
            <w:r w:rsidRPr="00545EC0">
              <w:rPr>
                <w:rFonts w:cs="Arial"/>
                <w:sz w:val="18"/>
                <w:szCs w:val="18"/>
              </w:rPr>
              <w:t>zmerno</w:t>
            </w:r>
          </w:p>
        </w:tc>
        <w:tc>
          <w:tcPr>
            <w:tcW w:w="1342" w:type="dxa"/>
            <w:vAlign w:val="center"/>
          </w:tcPr>
          <w:p w14:paraId="136A4F89" w14:textId="77777777" w:rsidR="00203E37" w:rsidRPr="00545EC0" w:rsidRDefault="00203E37" w:rsidP="00093585">
            <w:pPr>
              <w:spacing w:line="240" w:lineRule="auto"/>
              <w:jc w:val="center"/>
              <w:rPr>
                <w:rFonts w:cs="Arial"/>
                <w:sz w:val="18"/>
                <w:szCs w:val="18"/>
              </w:rPr>
            </w:pPr>
            <w:r w:rsidRPr="00545EC0">
              <w:rPr>
                <w:rFonts w:cs="Arial"/>
                <w:sz w:val="18"/>
                <w:szCs w:val="18"/>
              </w:rPr>
              <w:t>PCB</w:t>
            </w:r>
          </w:p>
        </w:tc>
      </w:tr>
      <w:tr w:rsidR="003122F4" w:rsidRPr="00545EC0" w14:paraId="141A8230" w14:textId="77777777" w:rsidTr="001B6908">
        <w:trPr>
          <w:trHeight w:val="284"/>
        </w:trPr>
        <w:tc>
          <w:tcPr>
            <w:tcW w:w="3321" w:type="dxa"/>
            <w:shd w:val="clear" w:color="auto" w:fill="auto"/>
            <w:noWrap/>
            <w:vAlign w:val="center"/>
            <w:hideMark/>
          </w:tcPr>
          <w:p w14:paraId="0F73C70C" w14:textId="77777777" w:rsidR="00203E37" w:rsidRPr="00545EC0" w:rsidRDefault="00203E37" w:rsidP="00093585">
            <w:pPr>
              <w:spacing w:line="240" w:lineRule="auto"/>
              <w:jc w:val="left"/>
              <w:rPr>
                <w:rFonts w:cs="Arial"/>
                <w:sz w:val="18"/>
                <w:szCs w:val="18"/>
              </w:rPr>
            </w:pPr>
            <w:r w:rsidRPr="00545EC0">
              <w:rPr>
                <w:rFonts w:cs="Arial"/>
                <w:sz w:val="18"/>
                <w:szCs w:val="18"/>
              </w:rPr>
              <w:t>VT Ložnica povirje – Slovenska Bistrica</w:t>
            </w:r>
          </w:p>
        </w:tc>
        <w:tc>
          <w:tcPr>
            <w:tcW w:w="1417" w:type="dxa"/>
            <w:shd w:val="clear" w:color="auto" w:fill="auto"/>
            <w:noWrap/>
            <w:vAlign w:val="center"/>
            <w:hideMark/>
          </w:tcPr>
          <w:p w14:paraId="67A7CB95" w14:textId="77777777" w:rsidR="00203E37" w:rsidRPr="00545EC0" w:rsidRDefault="00203E37" w:rsidP="00093585">
            <w:pPr>
              <w:spacing w:line="240" w:lineRule="auto"/>
              <w:jc w:val="center"/>
              <w:rPr>
                <w:rFonts w:cs="Arial"/>
                <w:sz w:val="18"/>
                <w:szCs w:val="18"/>
              </w:rPr>
            </w:pPr>
            <w:r w:rsidRPr="00545EC0">
              <w:rPr>
                <w:rFonts w:cs="Arial"/>
                <w:sz w:val="18"/>
                <w:szCs w:val="18"/>
              </w:rPr>
              <w:t>zmerno</w:t>
            </w:r>
          </w:p>
        </w:tc>
        <w:tc>
          <w:tcPr>
            <w:tcW w:w="851" w:type="dxa"/>
            <w:shd w:val="clear" w:color="auto" w:fill="auto"/>
            <w:noWrap/>
            <w:vAlign w:val="center"/>
            <w:hideMark/>
          </w:tcPr>
          <w:p w14:paraId="2B3A041F" w14:textId="77777777" w:rsidR="00203E37" w:rsidRPr="00545EC0" w:rsidRDefault="00203E37" w:rsidP="00093585">
            <w:pPr>
              <w:spacing w:line="240" w:lineRule="auto"/>
              <w:jc w:val="center"/>
              <w:rPr>
                <w:rFonts w:cs="Arial"/>
                <w:sz w:val="18"/>
                <w:szCs w:val="18"/>
              </w:rPr>
            </w:pPr>
          </w:p>
        </w:tc>
        <w:tc>
          <w:tcPr>
            <w:tcW w:w="850" w:type="dxa"/>
            <w:shd w:val="clear" w:color="auto" w:fill="auto"/>
            <w:noWrap/>
            <w:vAlign w:val="center"/>
            <w:hideMark/>
          </w:tcPr>
          <w:p w14:paraId="6BBCEFCD" w14:textId="77777777" w:rsidR="00203E37" w:rsidRPr="00545EC0" w:rsidRDefault="00203E37" w:rsidP="00093585">
            <w:pPr>
              <w:spacing w:line="240" w:lineRule="auto"/>
              <w:jc w:val="center"/>
              <w:rPr>
                <w:rFonts w:cs="Arial"/>
                <w:sz w:val="18"/>
                <w:szCs w:val="18"/>
              </w:rPr>
            </w:pPr>
            <w:r w:rsidRPr="00545EC0">
              <w:rPr>
                <w:rFonts w:cs="Arial"/>
                <w:sz w:val="18"/>
                <w:szCs w:val="18"/>
              </w:rPr>
              <w:t>zmerno</w:t>
            </w:r>
          </w:p>
        </w:tc>
        <w:tc>
          <w:tcPr>
            <w:tcW w:w="1418" w:type="dxa"/>
            <w:shd w:val="clear" w:color="auto" w:fill="auto"/>
            <w:noWrap/>
            <w:vAlign w:val="center"/>
            <w:hideMark/>
          </w:tcPr>
          <w:p w14:paraId="4A4883CF"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1342" w:type="dxa"/>
            <w:vAlign w:val="center"/>
          </w:tcPr>
          <w:p w14:paraId="5AF56B19" w14:textId="77777777" w:rsidR="00203E37" w:rsidRPr="00545EC0" w:rsidRDefault="00203E37" w:rsidP="00093585">
            <w:pPr>
              <w:spacing w:line="240" w:lineRule="auto"/>
              <w:jc w:val="center"/>
              <w:rPr>
                <w:rFonts w:cs="Arial"/>
                <w:sz w:val="18"/>
                <w:szCs w:val="18"/>
              </w:rPr>
            </w:pPr>
          </w:p>
        </w:tc>
      </w:tr>
      <w:tr w:rsidR="003122F4" w:rsidRPr="00545EC0" w14:paraId="1881623C" w14:textId="77777777" w:rsidTr="001B6908">
        <w:trPr>
          <w:trHeight w:val="284"/>
        </w:trPr>
        <w:tc>
          <w:tcPr>
            <w:tcW w:w="3321" w:type="dxa"/>
            <w:shd w:val="clear" w:color="auto" w:fill="auto"/>
            <w:noWrap/>
            <w:vAlign w:val="center"/>
            <w:hideMark/>
          </w:tcPr>
          <w:p w14:paraId="580138B0" w14:textId="77777777" w:rsidR="00203E37" w:rsidRPr="00545EC0" w:rsidRDefault="00203E37" w:rsidP="00093585">
            <w:pPr>
              <w:spacing w:line="240" w:lineRule="auto"/>
              <w:jc w:val="left"/>
              <w:rPr>
                <w:rFonts w:cs="Arial"/>
                <w:sz w:val="18"/>
                <w:szCs w:val="18"/>
              </w:rPr>
            </w:pPr>
            <w:r w:rsidRPr="00545EC0">
              <w:rPr>
                <w:rFonts w:cs="Arial"/>
                <w:sz w:val="18"/>
                <w:szCs w:val="18"/>
              </w:rPr>
              <w:t>VT Ložnica Slovenska Bistrica – Pečke</w:t>
            </w:r>
          </w:p>
        </w:tc>
        <w:tc>
          <w:tcPr>
            <w:tcW w:w="1417" w:type="dxa"/>
            <w:shd w:val="clear" w:color="auto" w:fill="auto"/>
            <w:noWrap/>
            <w:vAlign w:val="center"/>
            <w:hideMark/>
          </w:tcPr>
          <w:p w14:paraId="41E89C31" w14:textId="77777777" w:rsidR="00203E37" w:rsidRPr="00545EC0" w:rsidRDefault="00203E37" w:rsidP="00093585">
            <w:pPr>
              <w:spacing w:line="240" w:lineRule="auto"/>
              <w:jc w:val="center"/>
              <w:rPr>
                <w:rFonts w:cs="Arial"/>
                <w:sz w:val="18"/>
                <w:szCs w:val="18"/>
              </w:rPr>
            </w:pPr>
            <w:r w:rsidRPr="00545EC0">
              <w:rPr>
                <w:rFonts w:cs="Arial"/>
                <w:sz w:val="18"/>
                <w:szCs w:val="18"/>
              </w:rPr>
              <w:t>slabo</w:t>
            </w:r>
          </w:p>
        </w:tc>
        <w:tc>
          <w:tcPr>
            <w:tcW w:w="851" w:type="dxa"/>
            <w:shd w:val="clear" w:color="auto" w:fill="auto"/>
            <w:noWrap/>
            <w:vAlign w:val="center"/>
            <w:hideMark/>
          </w:tcPr>
          <w:p w14:paraId="13BCDEFE" w14:textId="77777777" w:rsidR="00203E37" w:rsidRPr="00545EC0" w:rsidRDefault="00203E37" w:rsidP="00093585">
            <w:pPr>
              <w:spacing w:line="240" w:lineRule="auto"/>
              <w:jc w:val="center"/>
              <w:rPr>
                <w:rFonts w:cs="Arial"/>
                <w:sz w:val="18"/>
                <w:szCs w:val="18"/>
              </w:rPr>
            </w:pPr>
          </w:p>
        </w:tc>
        <w:tc>
          <w:tcPr>
            <w:tcW w:w="850" w:type="dxa"/>
            <w:shd w:val="clear" w:color="auto" w:fill="auto"/>
            <w:noWrap/>
            <w:vAlign w:val="center"/>
            <w:hideMark/>
          </w:tcPr>
          <w:p w14:paraId="4FC36BEC" w14:textId="77777777" w:rsidR="00203E37" w:rsidRPr="00545EC0" w:rsidRDefault="00203E37" w:rsidP="00093585">
            <w:pPr>
              <w:spacing w:line="240" w:lineRule="auto"/>
              <w:jc w:val="center"/>
              <w:rPr>
                <w:rFonts w:cs="Arial"/>
                <w:sz w:val="18"/>
                <w:szCs w:val="18"/>
              </w:rPr>
            </w:pPr>
            <w:r w:rsidRPr="00545EC0">
              <w:rPr>
                <w:rFonts w:cs="Arial"/>
                <w:sz w:val="18"/>
                <w:szCs w:val="18"/>
              </w:rPr>
              <w:t>zmerno</w:t>
            </w:r>
          </w:p>
        </w:tc>
        <w:tc>
          <w:tcPr>
            <w:tcW w:w="1418" w:type="dxa"/>
            <w:shd w:val="clear" w:color="auto" w:fill="auto"/>
            <w:noWrap/>
            <w:vAlign w:val="center"/>
            <w:hideMark/>
          </w:tcPr>
          <w:p w14:paraId="171018AD"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1342" w:type="dxa"/>
            <w:vAlign w:val="center"/>
          </w:tcPr>
          <w:p w14:paraId="5F8F5374" w14:textId="77777777" w:rsidR="00203E37" w:rsidRPr="00545EC0" w:rsidRDefault="00203E37" w:rsidP="00093585">
            <w:pPr>
              <w:spacing w:line="240" w:lineRule="auto"/>
              <w:jc w:val="center"/>
              <w:rPr>
                <w:rFonts w:cs="Arial"/>
                <w:sz w:val="18"/>
                <w:szCs w:val="18"/>
              </w:rPr>
            </w:pPr>
          </w:p>
        </w:tc>
      </w:tr>
      <w:tr w:rsidR="003122F4" w:rsidRPr="00545EC0" w14:paraId="0BFBFFC5" w14:textId="77777777" w:rsidTr="001B6908">
        <w:trPr>
          <w:trHeight w:val="284"/>
        </w:trPr>
        <w:tc>
          <w:tcPr>
            <w:tcW w:w="3321" w:type="dxa"/>
            <w:shd w:val="clear" w:color="auto" w:fill="auto"/>
            <w:noWrap/>
            <w:vAlign w:val="center"/>
            <w:hideMark/>
          </w:tcPr>
          <w:p w14:paraId="36A24A26" w14:textId="77777777" w:rsidR="00203E37" w:rsidRPr="00545EC0" w:rsidRDefault="00203E37" w:rsidP="00093585">
            <w:pPr>
              <w:spacing w:line="240" w:lineRule="auto"/>
              <w:jc w:val="left"/>
              <w:rPr>
                <w:rFonts w:cs="Arial"/>
                <w:sz w:val="18"/>
                <w:szCs w:val="18"/>
              </w:rPr>
            </w:pPr>
            <w:r w:rsidRPr="00545EC0">
              <w:rPr>
                <w:rFonts w:cs="Arial"/>
                <w:sz w:val="18"/>
                <w:szCs w:val="18"/>
              </w:rPr>
              <w:t>VT Polskava Zgornja Polskava – Tržec</w:t>
            </w:r>
          </w:p>
        </w:tc>
        <w:tc>
          <w:tcPr>
            <w:tcW w:w="1417" w:type="dxa"/>
            <w:shd w:val="clear" w:color="auto" w:fill="auto"/>
            <w:noWrap/>
            <w:vAlign w:val="center"/>
            <w:hideMark/>
          </w:tcPr>
          <w:p w14:paraId="0B03700C" w14:textId="77777777" w:rsidR="00203E37" w:rsidRPr="00545EC0" w:rsidRDefault="00203E37" w:rsidP="00093585">
            <w:pPr>
              <w:spacing w:line="240" w:lineRule="auto"/>
              <w:jc w:val="center"/>
              <w:rPr>
                <w:rFonts w:cs="Arial"/>
                <w:sz w:val="18"/>
                <w:szCs w:val="18"/>
              </w:rPr>
            </w:pPr>
            <w:r w:rsidRPr="00545EC0">
              <w:rPr>
                <w:rFonts w:cs="Arial"/>
                <w:sz w:val="18"/>
                <w:szCs w:val="18"/>
              </w:rPr>
              <w:t>zmerno</w:t>
            </w:r>
          </w:p>
        </w:tc>
        <w:tc>
          <w:tcPr>
            <w:tcW w:w="851" w:type="dxa"/>
            <w:shd w:val="clear" w:color="auto" w:fill="auto"/>
            <w:noWrap/>
            <w:vAlign w:val="center"/>
            <w:hideMark/>
          </w:tcPr>
          <w:p w14:paraId="1DEE207A" w14:textId="77777777" w:rsidR="00203E37" w:rsidRPr="00545EC0" w:rsidRDefault="00203E37" w:rsidP="00093585">
            <w:pPr>
              <w:spacing w:line="240" w:lineRule="auto"/>
              <w:jc w:val="center"/>
              <w:rPr>
                <w:rFonts w:cs="Arial"/>
                <w:sz w:val="18"/>
                <w:szCs w:val="18"/>
              </w:rPr>
            </w:pPr>
          </w:p>
        </w:tc>
        <w:tc>
          <w:tcPr>
            <w:tcW w:w="850" w:type="dxa"/>
            <w:shd w:val="clear" w:color="auto" w:fill="auto"/>
            <w:noWrap/>
            <w:vAlign w:val="center"/>
            <w:hideMark/>
          </w:tcPr>
          <w:p w14:paraId="5360B0ED"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1418" w:type="dxa"/>
            <w:shd w:val="clear" w:color="auto" w:fill="auto"/>
            <w:noWrap/>
            <w:vAlign w:val="center"/>
            <w:hideMark/>
          </w:tcPr>
          <w:p w14:paraId="3F704E50"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1342" w:type="dxa"/>
            <w:vAlign w:val="center"/>
          </w:tcPr>
          <w:p w14:paraId="52792136" w14:textId="77777777" w:rsidR="00203E37" w:rsidRPr="00545EC0" w:rsidRDefault="00203E37" w:rsidP="00093585">
            <w:pPr>
              <w:spacing w:line="240" w:lineRule="auto"/>
              <w:jc w:val="center"/>
              <w:rPr>
                <w:rFonts w:cs="Arial"/>
                <w:sz w:val="18"/>
                <w:szCs w:val="18"/>
              </w:rPr>
            </w:pPr>
          </w:p>
        </w:tc>
      </w:tr>
      <w:tr w:rsidR="001B6908" w:rsidRPr="00545EC0" w14:paraId="5B7E0569" w14:textId="77777777" w:rsidTr="001B6908">
        <w:trPr>
          <w:trHeight w:val="284"/>
        </w:trPr>
        <w:tc>
          <w:tcPr>
            <w:tcW w:w="3321" w:type="dxa"/>
            <w:shd w:val="clear" w:color="auto" w:fill="auto"/>
            <w:noWrap/>
            <w:vAlign w:val="center"/>
          </w:tcPr>
          <w:p w14:paraId="5FA5EC91" w14:textId="7D84E903" w:rsidR="001B6908" w:rsidRPr="00545EC0" w:rsidRDefault="001B6908" w:rsidP="00093585">
            <w:pPr>
              <w:spacing w:line="240" w:lineRule="auto"/>
              <w:jc w:val="left"/>
              <w:rPr>
                <w:rFonts w:cs="Arial"/>
                <w:sz w:val="18"/>
                <w:szCs w:val="18"/>
              </w:rPr>
            </w:pPr>
            <w:r w:rsidRPr="00545EC0">
              <w:rPr>
                <w:rFonts w:cs="Arial"/>
                <w:sz w:val="18"/>
                <w:szCs w:val="18"/>
              </w:rPr>
              <w:t>VT Dravinja povirje – Zreče</w:t>
            </w:r>
          </w:p>
        </w:tc>
        <w:tc>
          <w:tcPr>
            <w:tcW w:w="1417" w:type="dxa"/>
            <w:shd w:val="clear" w:color="auto" w:fill="auto"/>
            <w:noWrap/>
            <w:vAlign w:val="center"/>
          </w:tcPr>
          <w:p w14:paraId="7B716EC8" w14:textId="77777777" w:rsidR="001B6908" w:rsidRPr="00545EC0" w:rsidRDefault="001B6908" w:rsidP="00093585">
            <w:pPr>
              <w:spacing w:line="240" w:lineRule="auto"/>
              <w:jc w:val="center"/>
              <w:rPr>
                <w:rFonts w:cs="Arial"/>
                <w:sz w:val="18"/>
                <w:szCs w:val="18"/>
              </w:rPr>
            </w:pPr>
          </w:p>
        </w:tc>
        <w:tc>
          <w:tcPr>
            <w:tcW w:w="851" w:type="dxa"/>
            <w:shd w:val="clear" w:color="auto" w:fill="auto"/>
            <w:noWrap/>
            <w:vAlign w:val="center"/>
          </w:tcPr>
          <w:p w14:paraId="49B3F561" w14:textId="77777777" w:rsidR="001B6908" w:rsidRPr="00545EC0" w:rsidRDefault="001B6908" w:rsidP="00093585">
            <w:pPr>
              <w:spacing w:line="240" w:lineRule="auto"/>
              <w:jc w:val="center"/>
              <w:rPr>
                <w:rFonts w:cs="Arial"/>
                <w:sz w:val="18"/>
                <w:szCs w:val="18"/>
              </w:rPr>
            </w:pPr>
          </w:p>
        </w:tc>
        <w:tc>
          <w:tcPr>
            <w:tcW w:w="850" w:type="dxa"/>
            <w:shd w:val="clear" w:color="auto" w:fill="auto"/>
            <w:noWrap/>
            <w:vAlign w:val="center"/>
          </w:tcPr>
          <w:p w14:paraId="17D95458" w14:textId="6EEC06FB" w:rsidR="001B6908" w:rsidRPr="00545EC0" w:rsidRDefault="001B6908" w:rsidP="00093585">
            <w:pPr>
              <w:spacing w:line="240" w:lineRule="auto"/>
              <w:jc w:val="center"/>
              <w:rPr>
                <w:rFonts w:cs="Arial"/>
                <w:sz w:val="18"/>
                <w:szCs w:val="18"/>
              </w:rPr>
            </w:pPr>
            <w:r w:rsidRPr="00545EC0">
              <w:rPr>
                <w:rFonts w:cs="Arial"/>
                <w:sz w:val="18"/>
                <w:szCs w:val="18"/>
              </w:rPr>
              <w:t>zmerno</w:t>
            </w:r>
          </w:p>
        </w:tc>
        <w:tc>
          <w:tcPr>
            <w:tcW w:w="1418" w:type="dxa"/>
            <w:shd w:val="clear" w:color="auto" w:fill="auto"/>
            <w:noWrap/>
            <w:vAlign w:val="center"/>
          </w:tcPr>
          <w:p w14:paraId="0785801A" w14:textId="77777777" w:rsidR="001B6908" w:rsidRPr="00545EC0" w:rsidRDefault="001B6908" w:rsidP="00093585">
            <w:pPr>
              <w:spacing w:line="240" w:lineRule="auto"/>
              <w:jc w:val="center"/>
              <w:rPr>
                <w:rFonts w:cs="Arial"/>
                <w:sz w:val="18"/>
                <w:szCs w:val="18"/>
              </w:rPr>
            </w:pPr>
          </w:p>
        </w:tc>
        <w:tc>
          <w:tcPr>
            <w:tcW w:w="1342" w:type="dxa"/>
            <w:vAlign w:val="center"/>
          </w:tcPr>
          <w:p w14:paraId="2790078A" w14:textId="77777777" w:rsidR="001B6908" w:rsidRPr="00545EC0" w:rsidRDefault="001B6908" w:rsidP="00093585">
            <w:pPr>
              <w:spacing w:line="240" w:lineRule="auto"/>
              <w:jc w:val="center"/>
              <w:rPr>
                <w:rFonts w:cs="Arial"/>
                <w:sz w:val="18"/>
                <w:szCs w:val="18"/>
              </w:rPr>
            </w:pPr>
          </w:p>
        </w:tc>
      </w:tr>
      <w:tr w:rsidR="003122F4" w:rsidRPr="00545EC0" w14:paraId="4A223171" w14:textId="77777777" w:rsidTr="001B6908">
        <w:trPr>
          <w:trHeight w:val="284"/>
        </w:trPr>
        <w:tc>
          <w:tcPr>
            <w:tcW w:w="3321" w:type="dxa"/>
            <w:shd w:val="clear" w:color="auto" w:fill="auto"/>
            <w:noWrap/>
            <w:vAlign w:val="center"/>
            <w:hideMark/>
          </w:tcPr>
          <w:p w14:paraId="5D8FD24D" w14:textId="77777777" w:rsidR="00203E37" w:rsidRPr="00545EC0" w:rsidRDefault="00203E37" w:rsidP="00093585">
            <w:pPr>
              <w:spacing w:line="240" w:lineRule="auto"/>
              <w:jc w:val="left"/>
              <w:rPr>
                <w:rFonts w:cs="Arial"/>
                <w:sz w:val="18"/>
                <w:szCs w:val="18"/>
              </w:rPr>
            </w:pPr>
            <w:r w:rsidRPr="00545EC0">
              <w:rPr>
                <w:rFonts w:cs="Arial"/>
                <w:sz w:val="18"/>
                <w:szCs w:val="18"/>
              </w:rPr>
              <w:t>VT Pesnica državna meja – zadrževalnik Perniško jezero</w:t>
            </w:r>
          </w:p>
        </w:tc>
        <w:tc>
          <w:tcPr>
            <w:tcW w:w="1417" w:type="dxa"/>
            <w:shd w:val="clear" w:color="auto" w:fill="auto"/>
            <w:noWrap/>
            <w:vAlign w:val="center"/>
            <w:hideMark/>
          </w:tcPr>
          <w:p w14:paraId="7183B47A" w14:textId="77777777" w:rsidR="00203E37" w:rsidRPr="00545EC0" w:rsidRDefault="00203E37" w:rsidP="00093585">
            <w:pPr>
              <w:spacing w:line="240" w:lineRule="auto"/>
              <w:jc w:val="center"/>
              <w:rPr>
                <w:rFonts w:cs="Arial"/>
                <w:sz w:val="18"/>
                <w:szCs w:val="18"/>
              </w:rPr>
            </w:pPr>
            <w:r w:rsidRPr="00545EC0">
              <w:rPr>
                <w:rFonts w:cs="Arial"/>
                <w:sz w:val="18"/>
                <w:szCs w:val="18"/>
              </w:rPr>
              <w:t>zmerno</w:t>
            </w:r>
          </w:p>
        </w:tc>
        <w:tc>
          <w:tcPr>
            <w:tcW w:w="851" w:type="dxa"/>
            <w:shd w:val="clear" w:color="auto" w:fill="auto"/>
            <w:noWrap/>
            <w:vAlign w:val="center"/>
            <w:hideMark/>
          </w:tcPr>
          <w:p w14:paraId="64AFAAB9" w14:textId="77777777" w:rsidR="00203E37" w:rsidRPr="00545EC0" w:rsidRDefault="00203E37" w:rsidP="00093585">
            <w:pPr>
              <w:spacing w:line="240" w:lineRule="auto"/>
              <w:jc w:val="center"/>
              <w:rPr>
                <w:rFonts w:cs="Arial"/>
                <w:sz w:val="18"/>
                <w:szCs w:val="18"/>
              </w:rPr>
            </w:pPr>
          </w:p>
        </w:tc>
        <w:tc>
          <w:tcPr>
            <w:tcW w:w="850" w:type="dxa"/>
            <w:shd w:val="clear" w:color="auto" w:fill="auto"/>
            <w:noWrap/>
            <w:vAlign w:val="center"/>
            <w:hideMark/>
          </w:tcPr>
          <w:p w14:paraId="42356588"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1418" w:type="dxa"/>
            <w:shd w:val="clear" w:color="auto" w:fill="auto"/>
            <w:noWrap/>
            <w:vAlign w:val="center"/>
            <w:hideMark/>
          </w:tcPr>
          <w:p w14:paraId="1584E295"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1342" w:type="dxa"/>
            <w:vAlign w:val="center"/>
          </w:tcPr>
          <w:p w14:paraId="25F52F3E" w14:textId="77777777" w:rsidR="00203E37" w:rsidRPr="00545EC0" w:rsidRDefault="00203E37" w:rsidP="00093585">
            <w:pPr>
              <w:spacing w:line="240" w:lineRule="auto"/>
              <w:jc w:val="center"/>
              <w:rPr>
                <w:rFonts w:cs="Arial"/>
                <w:sz w:val="18"/>
                <w:szCs w:val="18"/>
              </w:rPr>
            </w:pPr>
          </w:p>
        </w:tc>
      </w:tr>
      <w:tr w:rsidR="003122F4" w:rsidRPr="00545EC0" w14:paraId="677E0E1C" w14:textId="77777777" w:rsidTr="001B6908">
        <w:trPr>
          <w:trHeight w:val="284"/>
        </w:trPr>
        <w:tc>
          <w:tcPr>
            <w:tcW w:w="3321" w:type="dxa"/>
            <w:shd w:val="clear" w:color="auto" w:fill="auto"/>
            <w:noWrap/>
            <w:vAlign w:val="center"/>
            <w:hideMark/>
          </w:tcPr>
          <w:p w14:paraId="1CCFA6AD" w14:textId="77777777" w:rsidR="00203E37" w:rsidRPr="00545EC0" w:rsidRDefault="00203E37" w:rsidP="00093585">
            <w:pPr>
              <w:spacing w:line="240" w:lineRule="auto"/>
              <w:jc w:val="left"/>
              <w:rPr>
                <w:rFonts w:cs="Arial"/>
                <w:sz w:val="18"/>
                <w:szCs w:val="18"/>
              </w:rPr>
            </w:pPr>
            <w:r w:rsidRPr="00545EC0">
              <w:rPr>
                <w:rFonts w:cs="Arial"/>
                <w:sz w:val="18"/>
                <w:szCs w:val="18"/>
              </w:rPr>
              <w:t>VT Pesnica zadrževalnik Perniško jezero – Ormož</w:t>
            </w:r>
          </w:p>
        </w:tc>
        <w:tc>
          <w:tcPr>
            <w:tcW w:w="1417" w:type="dxa"/>
            <w:shd w:val="clear" w:color="auto" w:fill="auto"/>
            <w:noWrap/>
            <w:vAlign w:val="center"/>
            <w:hideMark/>
          </w:tcPr>
          <w:p w14:paraId="653A0087" w14:textId="77777777" w:rsidR="00203E37" w:rsidRPr="00545EC0" w:rsidRDefault="00203E37" w:rsidP="00093585">
            <w:pPr>
              <w:spacing w:line="240" w:lineRule="auto"/>
              <w:jc w:val="center"/>
              <w:rPr>
                <w:rFonts w:cs="Arial"/>
                <w:sz w:val="18"/>
                <w:szCs w:val="18"/>
              </w:rPr>
            </w:pPr>
            <w:r w:rsidRPr="00545EC0">
              <w:rPr>
                <w:rFonts w:cs="Arial"/>
                <w:sz w:val="18"/>
                <w:szCs w:val="18"/>
              </w:rPr>
              <w:t>zmerno</w:t>
            </w:r>
          </w:p>
        </w:tc>
        <w:tc>
          <w:tcPr>
            <w:tcW w:w="851" w:type="dxa"/>
            <w:shd w:val="clear" w:color="auto" w:fill="auto"/>
            <w:noWrap/>
            <w:vAlign w:val="center"/>
            <w:hideMark/>
          </w:tcPr>
          <w:p w14:paraId="7D333865" w14:textId="77777777" w:rsidR="00203E37" w:rsidRPr="00545EC0" w:rsidRDefault="00203E37" w:rsidP="00093585">
            <w:pPr>
              <w:spacing w:line="240" w:lineRule="auto"/>
              <w:jc w:val="center"/>
              <w:rPr>
                <w:rFonts w:cs="Arial"/>
                <w:sz w:val="18"/>
                <w:szCs w:val="18"/>
              </w:rPr>
            </w:pPr>
          </w:p>
        </w:tc>
        <w:tc>
          <w:tcPr>
            <w:tcW w:w="850" w:type="dxa"/>
            <w:shd w:val="clear" w:color="auto" w:fill="auto"/>
            <w:noWrap/>
            <w:vAlign w:val="center"/>
            <w:hideMark/>
          </w:tcPr>
          <w:p w14:paraId="31077679"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1418" w:type="dxa"/>
            <w:shd w:val="clear" w:color="auto" w:fill="auto"/>
            <w:noWrap/>
            <w:vAlign w:val="center"/>
            <w:hideMark/>
          </w:tcPr>
          <w:p w14:paraId="0658DC7F"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1342" w:type="dxa"/>
            <w:vAlign w:val="center"/>
          </w:tcPr>
          <w:p w14:paraId="1A0FB421" w14:textId="77777777" w:rsidR="00203E37" w:rsidRPr="00545EC0" w:rsidRDefault="00203E37" w:rsidP="00093585">
            <w:pPr>
              <w:spacing w:line="240" w:lineRule="auto"/>
              <w:jc w:val="center"/>
              <w:rPr>
                <w:rFonts w:cs="Arial"/>
                <w:sz w:val="18"/>
                <w:szCs w:val="18"/>
              </w:rPr>
            </w:pPr>
          </w:p>
        </w:tc>
      </w:tr>
      <w:tr w:rsidR="003122F4" w:rsidRPr="00545EC0" w14:paraId="3637B395" w14:textId="77777777" w:rsidTr="001B6908">
        <w:trPr>
          <w:trHeight w:val="284"/>
        </w:trPr>
        <w:tc>
          <w:tcPr>
            <w:tcW w:w="3321" w:type="dxa"/>
            <w:shd w:val="clear" w:color="auto" w:fill="auto"/>
            <w:noWrap/>
            <w:vAlign w:val="center"/>
            <w:hideMark/>
          </w:tcPr>
          <w:p w14:paraId="69F023E2" w14:textId="77777777" w:rsidR="00203E37" w:rsidRPr="00545EC0" w:rsidRDefault="00203E37" w:rsidP="00093585">
            <w:pPr>
              <w:spacing w:line="240" w:lineRule="auto"/>
              <w:jc w:val="left"/>
              <w:rPr>
                <w:rFonts w:cs="Arial"/>
                <w:sz w:val="18"/>
                <w:szCs w:val="18"/>
              </w:rPr>
            </w:pPr>
            <w:r w:rsidRPr="00545EC0">
              <w:rPr>
                <w:rFonts w:cs="Arial"/>
                <w:sz w:val="18"/>
                <w:szCs w:val="18"/>
              </w:rPr>
              <w:t>VT Kučnica</w:t>
            </w:r>
          </w:p>
        </w:tc>
        <w:tc>
          <w:tcPr>
            <w:tcW w:w="1417" w:type="dxa"/>
            <w:shd w:val="clear" w:color="auto" w:fill="auto"/>
            <w:noWrap/>
            <w:vAlign w:val="center"/>
            <w:hideMark/>
          </w:tcPr>
          <w:p w14:paraId="3C9D7B87"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851" w:type="dxa"/>
            <w:shd w:val="clear" w:color="auto" w:fill="auto"/>
            <w:noWrap/>
            <w:vAlign w:val="center"/>
            <w:hideMark/>
          </w:tcPr>
          <w:p w14:paraId="0098CF80" w14:textId="77777777" w:rsidR="00203E37" w:rsidRPr="00545EC0" w:rsidRDefault="00203E37" w:rsidP="00093585">
            <w:pPr>
              <w:spacing w:line="240" w:lineRule="auto"/>
              <w:jc w:val="center"/>
              <w:rPr>
                <w:rFonts w:cs="Arial"/>
                <w:sz w:val="18"/>
                <w:szCs w:val="18"/>
              </w:rPr>
            </w:pPr>
            <w:r w:rsidRPr="00545EC0">
              <w:rPr>
                <w:rFonts w:cs="Arial"/>
                <w:sz w:val="18"/>
                <w:szCs w:val="18"/>
              </w:rPr>
              <w:t>zmerno</w:t>
            </w:r>
          </w:p>
        </w:tc>
        <w:tc>
          <w:tcPr>
            <w:tcW w:w="850" w:type="dxa"/>
            <w:shd w:val="clear" w:color="auto" w:fill="auto"/>
            <w:noWrap/>
            <w:vAlign w:val="center"/>
            <w:hideMark/>
          </w:tcPr>
          <w:p w14:paraId="015D12BB"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1418" w:type="dxa"/>
            <w:shd w:val="clear" w:color="auto" w:fill="auto"/>
            <w:noWrap/>
            <w:vAlign w:val="center"/>
            <w:hideMark/>
          </w:tcPr>
          <w:p w14:paraId="6AA4505F"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1342" w:type="dxa"/>
            <w:vAlign w:val="center"/>
          </w:tcPr>
          <w:p w14:paraId="3CAC39F1" w14:textId="77777777" w:rsidR="00203E37" w:rsidRPr="00545EC0" w:rsidRDefault="00203E37" w:rsidP="00093585">
            <w:pPr>
              <w:spacing w:line="240" w:lineRule="auto"/>
              <w:jc w:val="center"/>
              <w:rPr>
                <w:rFonts w:cs="Arial"/>
                <w:sz w:val="18"/>
                <w:szCs w:val="18"/>
              </w:rPr>
            </w:pPr>
          </w:p>
        </w:tc>
      </w:tr>
      <w:tr w:rsidR="003122F4" w:rsidRPr="00545EC0" w14:paraId="5695063A" w14:textId="77777777" w:rsidTr="001B6908">
        <w:trPr>
          <w:trHeight w:val="284"/>
        </w:trPr>
        <w:tc>
          <w:tcPr>
            <w:tcW w:w="3321" w:type="dxa"/>
            <w:shd w:val="clear" w:color="auto" w:fill="auto"/>
            <w:noWrap/>
            <w:vAlign w:val="center"/>
            <w:hideMark/>
          </w:tcPr>
          <w:p w14:paraId="11F13D96" w14:textId="77777777" w:rsidR="00203E37" w:rsidRPr="00545EC0" w:rsidRDefault="00203E37" w:rsidP="00093585">
            <w:pPr>
              <w:spacing w:line="240" w:lineRule="auto"/>
              <w:jc w:val="left"/>
              <w:rPr>
                <w:rFonts w:cs="Arial"/>
                <w:sz w:val="18"/>
                <w:szCs w:val="18"/>
              </w:rPr>
            </w:pPr>
            <w:r w:rsidRPr="00545EC0">
              <w:rPr>
                <w:rFonts w:cs="Arial"/>
                <w:sz w:val="18"/>
                <w:szCs w:val="18"/>
              </w:rPr>
              <w:t>VT Ščavnica povirje – zadrževalnik Gajševsko jezero</w:t>
            </w:r>
          </w:p>
        </w:tc>
        <w:tc>
          <w:tcPr>
            <w:tcW w:w="1417" w:type="dxa"/>
            <w:shd w:val="clear" w:color="auto" w:fill="auto"/>
            <w:noWrap/>
            <w:vAlign w:val="center"/>
            <w:hideMark/>
          </w:tcPr>
          <w:p w14:paraId="6ED470E4" w14:textId="77777777" w:rsidR="00203E37" w:rsidRPr="00545EC0" w:rsidRDefault="00203E37" w:rsidP="00093585">
            <w:pPr>
              <w:spacing w:line="240" w:lineRule="auto"/>
              <w:jc w:val="center"/>
              <w:rPr>
                <w:rFonts w:cs="Arial"/>
                <w:sz w:val="18"/>
                <w:szCs w:val="18"/>
              </w:rPr>
            </w:pPr>
            <w:r w:rsidRPr="00545EC0">
              <w:rPr>
                <w:rFonts w:cs="Arial"/>
                <w:sz w:val="18"/>
                <w:szCs w:val="18"/>
              </w:rPr>
              <w:t>zmerno</w:t>
            </w:r>
          </w:p>
        </w:tc>
        <w:tc>
          <w:tcPr>
            <w:tcW w:w="851" w:type="dxa"/>
            <w:shd w:val="clear" w:color="auto" w:fill="auto"/>
            <w:noWrap/>
            <w:vAlign w:val="center"/>
            <w:hideMark/>
          </w:tcPr>
          <w:p w14:paraId="66FBCD04" w14:textId="77777777" w:rsidR="00203E37" w:rsidRPr="00545EC0" w:rsidRDefault="00203E37" w:rsidP="00093585">
            <w:pPr>
              <w:spacing w:line="240" w:lineRule="auto"/>
              <w:jc w:val="center"/>
              <w:rPr>
                <w:rFonts w:cs="Arial"/>
                <w:sz w:val="18"/>
                <w:szCs w:val="18"/>
              </w:rPr>
            </w:pPr>
          </w:p>
        </w:tc>
        <w:tc>
          <w:tcPr>
            <w:tcW w:w="850" w:type="dxa"/>
            <w:shd w:val="clear" w:color="auto" w:fill="auto"/>
            <w:noWrap/>
            <w:vAlign w:val="center"/>
            <w:hideMark/>
          </w:tcPr>
          <w:p w14:paraId="64F50BC3"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1418" w:type="dxa"/>
            <w:shd w:val="clear" w:color="auto" w:fill="auto"/>
            <w:noWrap/>
            <w:vAlign w:val="center"/>
            <w:hideMark/>
          </w:tcPr>
          <w:p w14:paraId="27D1149A" w14:textId="77777777" w:rsidR="00203E37" w:rsidRPr="00545EC0" w:rsidRDefault="00203E37" w:rsidP="00093585">
            <w:pPr>
              <w:spacing w:line="240" w:lineRule="auto"/>
              <w:jc w:val="center"/>
              <w:rPr>
                <w:rFonts w:cs="Arial"/>
                <w:sz w:val="18"/>
                <w:szCs w:val="18"/>
              </w:rPr>
            </w:pPr>
            <w:r w:rsidRPr="00545EC0">
              <w:rPr>
                <w:rFonts w:cs="Arial"/>
                <w:sz w:val="18"/>
                <w:szCs w:val="18"/>
              </w:rPr>
              <w:t>zmerno</w:t>
            </w:r>
          </w:p>
        </w:tc>
        <w:tc>
          <w:tcPr>
            <w:tcW w:w="1342" w:type="dxa"/>
            <w:vAlign w:val="center"/>
          </w:tcPr>
          <w:p w14:paraId="1B102CD7" w14:textId="77777777" w:rsidR="00203E37" w:rsidRPr="00545EC0" w:rsidRDefault="00203E37" w:rsidP="00093585">
            <w:pPr>
              <w:spacing w:line="240" w:lineRule="auto"/>
              <w:jc w:val="center"/>
              <w:rPr>
                <w:rFonts w:cs="Arial"/>
                <w:sz w:val="18"/>
                <w:szCs w:val="18"/>
              </w:rPr>
            </w:pPr>
            <w:r w:rsidRPr="00545EC0">
              <w:rPr>
                <w:rFonts w:cs="Arial"/>
                <w:sz w:val="18"/>
                <w:szCs w:val="18"/>
              </w:rPr>
              <w:t>metolaklor</w:t>
            </w:r>
          </w:p>
        </w:tc>
      </w:tr>
      <w:tr w:rsidR="00093585" w:rsidRPr="00545EC0" w14:paraId="282A5D48" w14:textId="77777777" w:rsidTr="001B6908">
        <w:trPr>
          <w:trHeight w:val="284"/>
        </w:trPr>
        <w:tc>
          <w:tcPr>
            <w:tcW w:w="3321" w:type="dxa"/>
            <w:shd w:val="clear" w:color="auto" w:fill="auto"/>
            <w:noWrap/>
          </w:tcPr>
          <w:p w14:paraId="40B69C4C" w14:textId="2EA94B20" w:rsidR="00093585" w:rsidRPr="00545EC0" w:rsidRDefault="00093585" w:rsidP="00093585">
            <w:pPr>
              <w:spacing w:line="240" w:lineRule="auto"/>
              <w:jc w:val="left"/>
              <w:rPr>
                <w:rFonts w:cs="Arial"/>
                <w:sz w:val="18"/>
                <w:szCs w:val="18"/>
              </w:rPr>
            </w:pPr>
            <w:r w:rsidRPr="00545EC0">
              <w:rPr>
                <w:rFonts w:cs="Arial"/>
                <w:sz w:val="18"/>
                <w:szCs w:val="18"/>
              </w:rPr>
              <w:t>MPVT zadrževalnik Gajševsko jezero</w:t>
            </w:r>
          </w:p>
        </w:tc>
        <w:tc>
          <w:tcPr>
            <w:tcW w:w="1417" w:type="dxa"/>
            <w:shd w:val="clear" w:color="auto" w:fill="auto"/>
            <w:noWrap/>
          </w:tcPr>
          <w:p w14:paraId="3896DCC9" w14:textId="77777777" w:rsidR="00093585" w:rsidRPr="00545EC0" w:rsidRDefault="00093585" w:rsidP="00093585">
            <w:pPr>
              <w:spacing w:line="240" w:lineRule="auto"/>
              <w:jc w:val="center"/>
              <w:rPr>
                <w:rFonts w:cs="Arial"/>
                <w:sz w:val="18"/>
                <w:szCs w:val="18"/>
              </w:rPr>
            </w:pPr>
          </w:p>
        </w:tc>
        <w:tc>
          <w:tcPr>
            <w:tcW w:w="851" w:type="dxa"/>
            <w:shd w:val="clear" w:color="auto" w:fill="auto"/>
            <w:noWrap/>
          </w:tcPr>
          <w:p w14:paraId="0EA0E84F" w14:textId="77777777" w:rsidR="00093585" w:rsidRPr="00545EC0" w:rsidRDefault="00093585" w:rsidP="00093585">
            <w:pPr>
              <w:spacing w:line="240" w:lineRule="auto"/>
              <w:jc w:val="center"/>
              <w:rPr>
                <w:rFonts w:cs="Arial"/>
                <w:sz w:val="18"/>
                <w:szCs w:val="18"/>
              </w:rPr>
            </w:pPr>
          </w:p>
        </w:tc>
        <w:tc>
          <w:tcPr>
            <w:tcW w:w="850" w:type="dxa"/>
            <w:shd w:val="clear" w:color="auto" w:fill="auto"/>
            <w:noWrap/>
          </w:tcPr>
          <w:p w14:paraId="4DFCD7A5" w14:textId="77777777" w:rsidR="00093585" w:rsidRPr="00545EC0" w:rsidRDefault="00093585" w:rsidP="00093585">
            <w:pPr>
              <w:spacing w:line="240" w:lineRule="auto"/>
              <w:jc w:val="center"/>
              <w:rPr>
                <w:rFonts w:cs="Arial"/>
                <w:sz w:val="18"/>
                <w:szCs w:val="18"/>
              </w:rPr>
            </w:pPr>
          </w:p>
        </w:tc>
        <w:tc>
          <w:tcPr>
            <w:tcW w:w="1418" w:type="dxa"/>
            <w:shd w:val="clear" w:color="auto" w:fill="auto"/>
            <w:noWrap/>
          </w:tcPr>
          <w:p w14:paraId="77E9B093" w14:textId="2FB3E3DE" w:rsidR="00093585" w:rsidRPr="00545EC0" w:rsidRDefault="00093585" w:rsidP="00093585">
            <w:pPr>
              <w:spacing w:line="240" w:lineRule="auto"/>
              <w:jc w:val="center"/>
              <w:rPr>
                <w:rFonts w:cs="Arial"/>
                <w:sz w:val="18"/>
                <w:szCs w:val="18"/>
              </w:rPr>
            </w:pPr>
            <w:r w:rsidRPr="00545EC0">
              <w:rPr>
                <w:rFonts w:cs="Arial"/>
                <w:sz w:val="18"/>
                <w:szCs w:val="18"/>
              </w:rPr>
              <w:t>zmerno</w:t>
            </w:r>
          </w:p>
        </w:tc>
        <w:tc>
          <w:tcPr>
            <w:tcW w:w="1342" w:type="dxa"/>
          </w:tcPr>
          <w:p w14:paraId="5B27FD39" w14:textId="23397BF0" w:rsidR="00093585" w:rsidRPr="00545EC0" w:rsidRDefault="00093585" w:rsidP="00093585">
            <w:pPr>
              <w:spacing w:line="240" w:lineRule="auto"/>
              <w:jc w:val="center"/>
              <w:rPr>
                <w:rFonts w:cs="Arial"/>
                <w:sz w:val="18"/>
                <w:szCs w:val="18"/>
              </w:rPr>
            </w:pPr>
            <w:r w:rsidRPr="00545EC0">
              <w:rPr>
                <w:rFonts w:cs="Arial"/>
                <w:sz w:val="18"/>
                <w:szCs w:val="18"/>
              </w:rPr>
              <w:t>metolaklor</w:t>
            </w:r>
          </w:p>
        </w:tc>
      </w:tr>
      <w:tr w:rsidR="003122F4" w:rsidRPr="00545EC0" w14:paraId="7B296D2D" w14:textId="77777777" w:rsidTr="001B6908">
        <w:trPr>
          <w:trHeight w:val="284"/>
        </w:trPr>
        <w:tc>
          <w:tcPr>
            <w:tcW w:w="3321" w:type="dxa"/>
            <w:shd w:val="clear" w:color="auto" w:fill="auto"/>
            <w:noWrap/>
            <w:vAlign w:val="center"/>
            <w:hideMark/>
          </w:tcPr>
          <w:p w14:paraId="2E1CBBE8" w14:textId="77777777" w:rsidR="00203E37" w:rsidRPr="00545EC0" w:rsidRDefault="00203E37" w:rsidP="00093585">
            <w:pPr>
              <w:spacing w:line="240" w:lineRule="auto"/>
              <w:jc w:val="left"/>
              <w:rPr>
                <w:rFonts w:cs="Arial"/>
                <w:sz w:val="18"/>
                <w:szCs w:val="18"/>
              </w:rPr>
            </w:pPr>
            <w:r w:rsidRPr="00545EC0">
              <w:rPr>
                <w:rFonts w:cs="Arial"/>
                <w:sz w:val="18"/>
                <w:szCs w:val="18"/>
              </w:rPr>
              <w:t>VT Ščavnica zadrževalnik Gajševsko jezero – Gibina</w:t>
            </w:r>
          </w:p>
        </w:tc>
        <w:tc>
          <w:tcPr>
            <w:tcW w:w="1417" w:type="dxa"/>
            <w:shd w:val="clear" w:color="auto" w:fill="auto"/>
            <w:noWrap/>
            <w:vAlign w:val="center"/>
            <w:hideMark/>
          </w:tcPr>
          <w:p w14:paraId="1F618F25" w14:textId="77777777" w:rsidR="00203E37" w:rsidRPr="00545EC0" w:rsidRDefault="00203E37" w:rsidP="00093585">
            <w:pPr>
              <w:spacing w:line="240" w:lineRule="auto"/>
              <w:jc w:val="center"/>
              <w:rPr>
                <w:rFonts w:cs="Arial"/>
                <w:sz w:val="18"/>
                <w:szCs w:val="18"/>
              </w:rPr>
            </w:pPr>
            <w:r w:rsidRPr="00545EC0">
              <w:rPr>
                <w:rFonts w:cs="Arial"/>
                <w:sz w:val="18"/>
                <w:szCs w:val="18"/>
              </w:rPr>
              <w:t>zmerno</w:t>
            </w:r>
          </w:p>
        </w:tc>
        <w:tc>
          <w:tcPr>
            <w:tcW w:w="851" w:type="dxa"/>
            <w:shd w:val="clear" w:color="auto" w:fill="auto"/>
            <w:noWrap/>
            <w:vAlign w:val="center"/>
            <w:hideMark/>
          </w:tcPr>
          <w:p w14:paraId="7CBD4C70" w14:textId="77777777" w:rsidR="00203E37" w:rsidRPr="00545EC0" w:rsidRDefault="00203E37" w:rsidP="00093585">
            <w:pPr>
              <w:spacing w:line="240" w:lineRule="auto"/>
              <w:jc w:val="center"/>
              <w:rPr>
                <w:rFonts w:cs="Arial"/>
                <w:sz w:val="18"/>
                <w:szCs w:val="18"/>
              </w:rPr>
            </w:pPr>
          </w:p>
        </w:tc>
        <w:tc>
          <w:tcPr>
            <w:tcW w:w="850" w:type="dxa"/>
            <w:shd w:val="clear" w:color="auto" w:fill="auto"/>
            <w:noWrap/>
            <w:vAlign w:val="center"/>
            <w:hideMark/>
          </w:tcPr>
          <w:p w14:paraId="052A6844"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1418" w:type="dxa"/>
            <w:shd w:val="clear" w:color="auto" w:fill="auto"/>
            <w:noWrap/>
            <w:vAlign w:val="center"/>
            <w:hideMark/>
          </w:tcPr>
          <w:p w14:paraId="46EEAAAE"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1342" w:type="dxa"/>
            <w:vAlign w:val="center"/>
          </w:tcPr>
          <w:p w14:paraId="4D16B4F8" w14:textId="77777777" w:rsidR="00203E37" w:rsidRPr="00545EC0" w:rsidRDefault="00203E37" w:rsidP="00093585">
            <w:pPr>
              <w:spacing w:line="240" w:lineRule="auto"/>
              <w:jc w:val="center"/>
              <w:rPr>
                <w:rFonts w:cs="Arial"/>
                <w:sz w:val="18"/>
                <w:szCs w:val="18"/>
              </w:rPr>
            </w:pPr>
          </w:p>
        </w:tc>
      </w:tr>
      <w:tr w:rsidR="003122F4" w:rsidRPr="00545EC0" w14:paraId="36AF1472" w14:textId="77777777" w:rsidTr="001B6908">
        <w:trPr>
          <w:trHeight w:val="284"/>
        </w:trPr>
        <w:tc>
          <w:tcPr>
            <w:tcW w:w="3321" w:type="dxa"/>
            <w:shd w:val="clear" w:color="auto" w:fill="auto"/>
            <w:noWrap/>
            <w:vAlign w:val="center"/>
            <w:hideMark/>
          </w:tcPr>
          <w:p w14:paraId="61BE3227" w14:textId="77777777" w:rsidR="00203E37" w:rsidRPr="00545EC0" w:rsidRDefault="00203E37" w:rsidP="00093585">
            <w:pPr>
              <w:spacing w:line="240" w:lineRule="auto"/>
              <w:jc w:val="left"/>
              <w:rPr>
                <w:rFonts w:cs="Arial"/>
                <w:sz w:val="18"/>
                <w:szCs w:val="18"/>
              </w:rPr>
            </w:pPr>
            <w:r w:rsidRPr="00545EC0">
              <w:rPr>
                <w:rFonts w:cs="Arial"/>
                <w:sz w:val="18"/>
                <w:szCs w:val="18"/>
              </w:rPr>
              <w:t>VT Velika Krka povirje – državna meja</w:t>
            </w:r>
          </w:p>
        </w:tc>
        <w:tc>
          <w:tcPr>
            <w:tcW w:w="1417" w:type="dxa"/>
            <w:shd w:val="clear" w:color="auto" w:fill="auto"/>
            <w:noWrap/>
            <w:vAlign w:val="center"/>
            <w:hideMark/>
          </w:tcPr>
          <w:p w14:paraId="5896E526" w14:textId="77777777" w:rsidR="00203E37" w:rsidRPr="00545EC0" w:rsidRDefault="00203E37" w:rsidP="00093585">
            <w:pPr>
              <w:spacing w:line="240" w:lineRule="auto"/>
              <w:jc w:val="center"/>
              <w:rPr>
                <w:rFonts w:cs="Arial"/>
                <w:sz w:val="18"/>
                <w:szCs w:val="18"/>
              </w:rPr>
            </w:pPr>
            <w:r w:rsidRPr="00545EC0">
              <w:rPr>
                <w:rFonts w:cs="Arial"/>
                <w:sz w:val="18"/>
                <w:szCs w:val="18"/>
              </w:rPr>
              <w:t>zmerno</w:t>
            </w:r>
          </w:p>
        </w:tc>
        <w:tc>
          <w:tcPr>
            <w:tcW w:w="851" w:type="dxa"/>
            <w:shd w:val="clear" w:color="auto" w:fill="auto"/>
            <w:noWrap/>
            <w:vAlign w:val="center"/>
            <w:hideMark/>
          </w:tcPr>
          <w:p w14:paraId="2FE1BA9F" w14:textId="77777777" w:rsidR="00203E37" w:rsidRPr="00545EC0" w:rsidRDefault="00203E37" w:rsidP="00093585">
            <w:pPr>
              <w:spacing w:line="240" w:lineRule="auto"/>
              <w:jc w:val="center"/>
              <w:rPr>
                <w:rFonts w:cs="Arial"/>
                <w:sz w:val="18"/>
                <w:szCs w:val="18"/>
              </w:rPr>
            </w:pPr>
          </w:p>
        </w:tc>
        <w:tc>
          <w:tcPr>
            <w:tcW w:w="850" w:type="dxa"/>
            <w:shd w:val="clear" w:color="auto" w:fill="auto"/>
            <w:noWrap/>
            <w:vAlign w:val="center"/>
            <w:hideMark/>
          </w:tcPr>
          <w:p w14:paraId="01C13B1C"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1418" w:type="dxa"/>
            <w:shd w:val="clear" w:color="auto" w:fill="auto"/>
            <w:noWrap/>
            <w:vAlign w:val="center"/>
            <w:hideMark/>
          </w:tcPr>
          <w:p w14:paraId="6D055060" w14:textId="77777777" w:rsidR="00203E37" w:rsidRPr="00545EC0" w:rsidRDefault="00203E37" w:rsidP="00093585">
            <w:pPr>
              <w:spacing w:line="240" w:lineRule="auto"/>
              <w:jc w:val="center"/>
              <w:rPr>
                <w:rFonts w:cs="Arial"/>
                <w:sz w:val="18"/>
                <w:szCs w:val="18"/>
              </w:rPr>
            </w:pPr>
            <w:r w:rsidRPr="00545EC0">
              <w:rPr>
                <w:rFonts w:cs="Arial"/>
                <w:sz w:val="18"/>
                <w:szCs w:val="18"/>
              </w:rPr>
              <w:t>zmerno</w:t>
            </w:r>
          </w:p>
        </w:tc>
        <w:tc>
          <w:tcPr>
            <w:tcW w:w="1342" w:type="dxa"/>
            <w:vAlign w:val="center"/>
          </w:tcPr>
          <w:p w14:paraId="7FE95D59" w14:textId="77777777" w:rsidR="00203E37" w:rsidRPr="00545EC0" w:rsidRDefault="00203E37" w:rsidP="00093585">
            <w:pPr>
              <w:spacing w:line="240" w:lineRule="auto"/>
              <w:jc w:val="center"/>
              <w:rPr>
                <w:rFonts w:cs="Arial"/>
                <w:sz w:val="18"/>
                <w:szCs w:val="18"/>
              </w:rPr>
            </w:pPr>
            <w:r w:rsidRPr="00545EC0">
              <w:rPr>
                <w:rFonts w:cs="Arial"/>
                <w:sz w:val="18"/>
                <w:szCs w:val="18"/>
              </w:rPr>
              <w:t>kobalt</w:t>
            </w:r>
          </w:p>
        </w:tc>
      </w:tr>
      <w:tr w:rsidR="003122F4" w:rsidRPr="00545EC0" w14:paraId="6AFECEAF" w14:textId="77777777" w:rsidTr="001B6908">
        <w:trPr>
          <w:trHeight w:val="284"/>
        </w:trPr>
        <w:tc>
          <w:tcPr>
            <w:tcW w:w="3321" w:type="dxa"/>
            <w:shd w:val="clear" w:color="auto" w:fill="auto"/>
            <w:noWrap/>
            <w:vAlign w:val="center"/>
            <w:hideMark/>
          </w:tcPr>
          <w:p w14:paraId="75B02FA7" w14:textId="77777777" w:rsidR="00203E37" w:rsidRPr="00545EC0" w:rsidRDefault="00203E37" w:rsidP="00093585">
            <w:pPr>
              <w:spacing w:line="240" w:lineRule="auto"/>
              <w:jc w:val="left"/>
              <w:rPr>
                <w:rFonts w:cs="Arial"/>
                <w:sz w:val="18"/>
                <w:szCs w:val="18"/>
              </w:rPr>
            </w:pPr>
            <w:r w:rsidRPr="00545EC0">
              <w:rPr>
                <w:rFonts w:cs="Arial"/>
                <w:sz w:val="18"/>
                <w:szCs w:val="18"/>
              </w:rPr>
              <w:t>VT Kobiljanski potok povirje – državna meja</w:t>
            </w:r>
          </w:p>
        </w:tc>
        <w:tc>
          <w:tcPr>
            <w:tcW w:w="1417" w:type="dxa"/>
            <w:shd w:val="clear" w:color="auto" w:fill="auto"/>
            <w:noWrap/>
            <w:vAlign w:val="center"/>
            <w:hideMark/>
          </w:tcPr>
          <w:p w14:paraId="03211C7F"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851" w:type="dxa"/>
            <w:shd w:val="clear" w:color="auto" w:fill="auto"/>
            <w:noWrap/>
            <w:vAlign w:val="center"/>
            <w:hideMark/>
          </w:tcPr>
          <w:p w14:paraId="284EED29" w14:textId="77777777" w:rsidR="00203E37" w:rsidRPr="00545EC0" w:rsidRDefault="00203E37" w:rsidP="00093585">
            <w:pPr>
              <w:spacing w:line="240" w:lineRule="auto"/>
              <w:jc w:val="center"/>
              <w:rPr>
                <w:rFonts w:cs="Arial"/>
                <w:sz w:val="18"/>
                <w:szCs w:val="18"/>
              </w:rPr>
            </w:pPr>
          </w:p>
        </w:tc>
        <w:tc>
          <w:tcPr>
            <w:tcW w:w="850" w:type="dxa"/>
            <w:shd w:val="clear" w:color="auto" w:fill="auto"/>
            <w:noWrap/>
            <w:vAlign w:val="center"/>
            <w:hideMark/>
          </w:tcPr>
          <w:p w14:paraId="76ECFA23"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1418" w:type="dxa"/>
            <w:shd w:val="clear" w:color="auto" w:fill="auto"/>
            <w:noWrap/>
            <w:vAlign w:val="center"/>
            <w:hideMark/>
          </w:tcPr>
          <w:p w14:paraId="7C45030D" w14:textId="77777777" w:rsidR="00203E37" w:rsidRPr="00545EC0" w:rsidRDefault="00203E37" w:rsidP="00093585">
            <w:pPr>
              <w:spacing w:line="240" w:lineRule="auto"/>
              <w:jc w:val="center"/>
              <w:rPr>
                <w:rFonts w:cs="Arial"/>
                <w:sz w:val="18"/>
                <w:szCs w:val="18"/>
              </w:rPr>
            </w:pPr>
            <w:r w:rsidRPr="00545EC0">
              <w:rPr>
                <w:rFonts w:cs="Arial"/>
                <w:sz w:val="18"/>
                <w:szCs w:val="18"/>
              </w:rPr>
              <w:t>zmerno</w:t>
            </w:r>
          </w:p>
        </w:tc>
        <w:tc>
          <w:tcPr>
            <w:tcW w:w="1342" w:type="dxa"/>
            <w:vAlign w:val="center"/>
          </w:tcPr>
          <w:p w14:paraId="7E9310F7" w14:textId="77777777" w:rsidR="00203E37" w:rsidRPr="00545EC0" w:rsidRDefault="00203E37" w:rsidP="00093585">
            <w:pPr>
              <w:spacing w:line="240" w:lineRule="auto"/>
              <w:jc w:val="center"/>
              <w:rPr>
                <w:rFonts w:cs="Arial"/>
                <w:sz w:val="18"/>
                <w:szCs w:val="18"/>
              </w:rPr>
            </w:pPr>
            <w:r w:rsidRPr="00545EC0">
              <w:rPr>
                <w:rFonts w:cs="Arial"/>
                <w:sz w:val="18"/>
                <w:szCs w:val="18"/>
              </w:rPr>
              <w:t>kobalt, metolaklor, terbutilazin</w:t>
            </w:r>
          </w:p>
        </w:tc>
      </w:tr>
      <w:tr w:rsidR="003122F4" w:rsidRPr="00545EC0" w14:paraId="2E3680D9" w14:textId="77777777" w:rsidTr="001B6908">
        <w:trPr>
          <w:trHeight w:val="284"/>
        </w:trPr>
        <w:tc>
          <w:tcPr>
            <w:tcW w:w="3321" w:type="dxa"/>
            <w:shd w:val="clear" w:color="auto" w:fill="auto"/>
            <w:noWrap/>
            <w:vAlign w:val="center"/>
            <w:hideMark/>
          </w:tcPr>
          <w:p w14:paraId="4C4C12A0" w14:textId="77777777" w:rsidR="00203E37" w:rsidRPr="00545EC0" w:rsidRDefault="00203E37" w:rsidP="00093585">
            <w:pPr>
              <w:spacing w:line="240" w:lineRule="auto"/>
              <w:jc w:val="left"/>
              <w:rPr>
                <w:rFonts w:cs="Arial"/>
                <w:sz w:val="18"/>
                <w:szCs w:val="18"/>
              </w:rPr>
            </w:pPr>
            <w:r w:rsidRPr="00545EC0">
              <w:rPr>
                <w:rFonts w:cs="Arial"/>
                <w:sz w:val="18"/>
                <w:szCs w:val="18"/>
              </w:rPr>
              <w:t>VT Kobiljanski potok državna meja – Ledava</w:t>
            </w:r>
          </w:p>
        </w:tc>
        <w:tc>
          <w:tcPr>
            <w:tcW w:w="1417" w:type="dxa"/>
            <w:shd w:val="clear" w:color="auto" w:fill="auto"/>
            <w:noWrap/>
            <w:vAlign w:val="center"/>
            <w:hideMark/>
          </w:tcPr>
          <w:p w14:paraId="1D735221"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851" w:type="dxa"/>
            <w:shd w:val="clear" w:color="auto" w:fill="auto"/>
            <w:noWrap/>
            <w:vAlign w:val="center"/>
            <w:hideMark/>
          </w:tcPr>
          <w:p w14:paraId="6C2272D5" w14:textId="77777777" w:rsidR="00203E37" w:rsidRPr="00545EC0" w:rsidRDefault="00203E37" w:rsidP="00093585">
            <w:pPr>
              <w:spacing w:line="240" w:lineRule="auto"/>
              <w:jc w:val="center"/>
              <w:rPr>
                <w:rFonts w:cs="Arial"/>
                <w:sz w:val="18"/>
                <w:szCs w:val="18"/>
              </w:rPr>
            </w:pPr>
          </w:p>
        </w:tc>
        <w:tc>
          <w:tcPr>
            <w:tcW w:w="850" w:type="dxa"/>
            <w:shd w:val="clear" w:color="auto" w:fill="auto"/>
            <w:noWrap/>
            <w:vAlign w:val="center"/>
            <w:hideMark/>
          </w:tcPr>
          <w:p w14:paraId="009C5416"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1418" w:type="dxa"/>
            <w:shd w:val="clear" w:color="auto" w:fill="auto"/>
            <w:noWrap/>
            <w:vAlign w:val="center"/>
            <w:hideMark/>
          </w:tcPr>
          <w:p w14:paraId="08528977" w14:textId="77777777" w:rsidR="00203E37" w:rsidRPr="00545EC0" w:rsidRDefault="00203E37" w:rsidP="00093585">
            <w:pPr>
              <w:spacing w:line="240" w:lineRule="auto"/>
              <w:jc w:val="center"/>
              <w:rPr>
                <w:rFonts w:cs="Arial"/>
                <w:sz w:val="18"/>
                <w:szCs w:val="18"/>
              </w:rPr>
            </w:pPr>
            <w:r w:rsidRPr="00545EC0">
              <w:rPr>
                <w:rFonts w:cs="Arial"/>
                <w:sz w:val="18"/>
                <w:szCs w:val="18"/>
              </w:rPr>
              <w:t>zmerno</w:t>
            </w:r>
          </w:p>
        </w:tc>
        <w:tc>
          <w:tcPr>
            <w:tcW w:w="1342" w:type="dxa"/>
            <w:vAlign w:val="center"/>
          </w:tcPr>
          <w:p w14:paraId="617059EB" w14:textId="77777777" w:rsidR="00203E37" w:rsidRPr="00545EC0" w:rsidRDefault="00203E37" w:rsidP="00093585">
            <w:pPr>
              <w:spacing w:line="240" w:lineRule="auto"/>
              <w:jc w:val="center"/>
              <w:rPr>
                <w:rFonts w:cs="Arial"/>
                <w:sz w:val="18"/>
                <w:szCs w:val="18"/>
              </w:rPr>
            </w:pPr>
            <w:r w:rsidRPr="00545EC0">
              <w:rPr>
                <w:rFonts w:cs="Arial"/>
                <w:sz w:val="18"/>
                <w:szCs w:val="18"/>
              </w:rPr>
              <w:t>metolaklor</w:t>
            </w:r>
          </w:p>
        </w:tc>
      </w:tr>
      <w:tr w:rsidR="003122F4" w:rsidRPr="00545EC0" w14:paraId="6F611371" w14:textId="77777777" w:rsidTr="001B6908">
        <w:trPr>
          <w:trHeight w:val="284"/>
        </w:trPr>
        <w:tc>
          <w:tcPr>
            <w:tcW w:w="3321" w:type="dxa"/>
            <w:shd w:val="clear" w:color="auto" w:fill="auto"/>
            <w:noWrap/>
            <w:vAlign w:val="center"/>
            <w:hideMark/>
          </w:tcPr>
          <w:p w14:paraId="7BF9D959" w14:textId="77777777" w:rsidR="00203E37" w:rsidRPr="00545EC0" w:rsidRDefault="00203E37" w:rsidP="00093585">
            <w:pPr>
              <w:spacing w:line="240" w:lineRule="auto"/>
              <w:jc w:val="left"/>
              <w:rPr>
                <w:rFonts w:cs="Arial"/>
                <w:sz w:val="18"/>
                <w:szCs w:val="18"/>
              </w:rPr>
            </w:pPr>
            <w:r w:rsidRPr="00545EC0">
              <w:rPr>
                <w:rFonts w:cs="Arial"/>
                <w:sz w:val="18"/>
                <w:szCs w:val="18"/>
              </w:rPr>
              <w:t>VT Ledava državna meja – zadrževalnik Ledavsko jezero</w:t>
            </w:r>
          </w:p>
        </w:tc>
        <w:tc>
          <w:tcPr>
            <w:tcW w:w="1417" w:type="dxa"/>
            <w:shd w:val="clear" w:color="auto" w:fill="auto"/>
            <w:noWrap/>
            <w:vAlign w:val="center"/>
            <w:hideMark/>
          </w:tcPr>
          <w:p w14:paraId="3B142757" w14:textId="77777777" w:rsidR="00203E37" w:rsidRPr="00545EC0" w:rsidRDefault="00203E37" w:rsidP="00093585">
            <w:pPr>
              <w:spacing w:line="240" w:lineRule="auto"/>
              <w:jc w:val="center"/>
              <w:rPr>
                <w:rFonts w:cs="Arial"/>
                <w:sz w:val="18"/>
                <w:szCs w:val="18"/>
              </w:rPr>
            </w:pPr>
            <w:r w:rsidRPr="00545EC0">
              <w:rPr>
                <w:rFonts w:cs="Arial"/>
                <w:sz w:val="18"/>
                <w:szCs w:val="18"/>
              </w:rPr>
              <w:t>zmerno</w:t>
            </w:r>
          </w:p>
        </w:tc>
        <w:tc>
          <w:tcPr>
            <w:tcW w:w="851" w:type="dxa"/>
            <w:shd w:val="clear" w:color="auto" w:fill="auto"/>
            <w:noWrap/>
            <w:vAlign w:val="center"/>
            <w:hideMark/>
          </w:tcPr>
          <w:p w14:paraId="0F35FFC3" w14:textId="77777777" w:rsidR="00203E37" w:rsidRPr="00545EC0" w:rsidRDefault="00203E37" w:rsidP="00093585">
            <w:pPr>
              <w:spacing w:line="240" w:lineRule="auto"/>
              <w:jc w:val="center"/>
              <w:rPr>
                <w:rFonts w:cs="Arial"/>
                <w:sz w:val="18"/>
                <w:szCs w:val="18"/>
              </w:rPr>
            </w:pPr>
          </w:p>
        </w:tc>
        <w:tc>
          <w:tcPr>
            <w:tcW w:w="850" w:type="dxa"/>
            <w:shd w:val="clear" w:color="auto" w:fill="auto"/>
            <w:noWrap/>
            <w:vAlign w:val="center"/>
            <w:hideMark/>
          </w:tcPr>
          <w:p w14:paraId="25A19670"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1418" w:type="dxa"/>
            <w:shd w:val="clear" w:color="auto" w:fill="auto"/>
            <w:noWrap/>
            <w:vAlign w:val="center"/>
            <w:hideMark/>
          </w:tcPr>
          <w:p w14:paraId="4314FBD0"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1342" w:type="dxa"/>
            <w:vAlign w:val="center"/>
          </w:tcPr>
          <w:p w14:paraId="170D2C16" w14:textId="77777777" w:rsidR="00203E37" w:rsidRPr="00545EC0" w:rsidRDefault="00203E37" w:rsidP="00093585">
            <w:pPr>
              <w:spacing w:line="240" w:lineRule="auto"/>
              <w:jc w:val="center"/>
              <w:rPr>
                <w:rFonts w:cs="Arial"/>
                <w:sz w:val="18"/>
                <w:szCs w:val="18"/>
              </w:rPr>
            </w:pPr>
          </w:p>
        </w:tc>
      </w:tr>
      <w:tr w:rsidR="003122F4" w:rsidRPr="00545EC0" w14:paraId="38B7D503" w14:textId="77777777" w:rsidTr="001B6908">
        <w:trPr>
          <w:trHeight w:val="284"/>
        </w:trPr>
        <w:tc>
          <w:tcPr>
            <w:tcW w:w="3321" w:type="dxa"/>
            <w:shd w:val="clear" w:color="auto" w:fill="auto"/>
            <w:noWrap/>
            <w:vAlign w:val="center"/>
            <w:hideMark/>
          </w:tcPr>
          <w:p w14:paraId="7A33D2E1" w14:textId="77777777" w:rsidR="00203E37" w:rsidRPr="00545EC0" w:rsidRDefault="00203E37" w:rsidP="00093585">
            <w:pPr>
              <w:spacing w:line="240" w:lineRule="auto"/>
              <w:jc w:val="left"/>
              <w:rPr>
                <w:rFonts w:cs="Arial"/>
                <w:sz w:val="18"/>
                <w:szCs w:val="18"/>
              </w:rPr>
            </w:pPr>
            <w:r w:rsidRPr="00545EC0">
              <w:rPr>
                <w:rFonts w:cs="Arial"/>
                <w:sz w:val="18"/>
                <w:szCs w:val="18"/>
              </w:rPr>
              <w:t>VT Ledava zadrževalnik Ledavsko jezero – sotočje z Veliko Krko</w:t>
            </w:r>
          </w:p>
        </w:tc>
        <w:tc>
          <w:tcPr>
            <w:tcW w:w="1417" w:type="dxa"/>
            <w:shd w:val="clear" w:color="auto" w:fill="auto"/>
            <w:noWrap/>
            <w:vAlign w:val="center"/>
            <w:hideMark/>
          </w:tcPr>
          <w:p w14:paraId="312DF31B" w14:textId="77777777" w:rsidR="00203E37" w:rsidRPr="00545EC0" w:rsidRDefault="00203E37" w:rsidP="00093585">
            <w:pPr>
              <w:spacing w:line="240" w:lineRule="auto"/>
              <w:jc w:val="center"/>
              <w:rPr>
                <w:rFonts w:cs="Arial"/>
                <w:sz w:val="18"/>
                <w:szCs w:val="18"/>
              </w:rPr>
            </w:pPr>
            <w:r w:rsidRPr="00545EC0">
              <w:rPr>
                <w:rFonts w:cs="Arial"/>
                <w:sz w:val="18"/>
                <w:szCs w:val="18"/>
              </w:rPr>
              <w:t>zmerno</w:t>
            </w:r>
          </w:p>
        </w:tc>
        <w:tc>
          <w:tcPr>
            <w:tcW w:w="851" w:type="dxa"/>
            <w:shd w:val="clear" w:color="auto" w:fill="auto"/>
            <w:noWrap/>
            <w:vAlign w:val="center"/>
            <w:hideMark/>
          </w:tcPr>
          <w:p w14:paraId="4AD425E7" w14:textId="77777777" w:rsidR="00203E37" w:rsidRPr="00545EC0" w:rsidRDefault="00203E37" w:rsidP="00093585">
            <w:pPr>
              <w:spacing w:line="240" w:lineRule="auto"/>
              <w:jc w:val="center"/>
              <w:rPr>
                <w:rFonts w:cs="Arial"/>
                <w:sz w:val="18"/>
                <w:szCs w:val="18"/>
              </w:rPr>
            </w:pPr>
          </w:p>
        </w:tc>
        <w:tc>
          <w:tcPr>
            <w:tcW w:w="850" w:type="dxa"/>
            <w:shd w:val="clear" w:color="auto" w:fill="auto"/>
            <w:noWrap/>
            <w:vAlign w:val="center"/>
            <w:hideMark/>
          </w:tcPr>
          <w:p w14:paraId="47BEF99E" w14:textId="77777777" w:rsidR="00203E37" w:rsidRPr="00545EC0" w:rsidRDefault="00203E37" w:rsidP="00093585">
            <w:pPr>
              <w:spacing w:line="240" w:lineRule="auto"/>
              <w:jc w:val="center"/>
              <w:rPr>
                <w:rFonts w:cs="Arial"/>
                <w:sz w:val="18"/>
                <w:szCs w:val="18"/>
              </w:rPr>
            </w:pPr>
            <w:r w:rsidRPr="00545EC0">
              <w:rPr>
                <w:rFonts w:cs="Arial"/>
                <w:sz w:val="18"/>
                <w:szCs w:val="18"/>
              </w:rPr>
              <w:t>zmerno</w:t>
            </w:r>
          </w:p>
        </w:tc>
        <w:tc>
          <w:tcPr>
            <w:tcW w:w="1418" w:type="dxa"/>
            <w:shd w:val="clear" w:color="auto" w:fill="auto"/>
            <w:noWrap/>
            <w:vAlign w:val="center"/>
            <w:hideMark/>
          </w:tcPr>
          <w:p w14:paraId="047AEF0E" w14:textId="77777777" w:rsidR="00203E37" w:rsidRPr="00545EC0" w:rsidRDefault="00203E37" w:rsidP="00093585">
            <w:pPr>
              <w:spacing w:line="240" w:lineRule="auto"/>
              <w:jc w:val="center"/>
              <w:rPr>
                <w:rFonts w:cs="Arial"/>
                <w:sz w:val="18"/>
                <w:szCs w:val="18"/>
              </w:rPr>
            </w:pPr>
            <w:r w:rsidRPr="00545EC0">
              <w:rPr>
                <w:rFonts w:cs="Arial"/>
                <w:sz w:val="18"/>
                <w:szCs w:val="18"/>
              </w:rPr>
              <w:t>zmerno</w:t>
            </w:r>
          </w:p>
        </w:tc>
        <w:tc>
          <w:tcPr>
            <w:tcW w:w="1342" w:type="dxa"/>
            <w:vAlign w:val="center"/>
          </w:tcPr>
          <w:p w14:paraId="7B319897" w14:textId="77777777" w:rsidR="00203E37" w:rsidRPr="00545EC0" w:rsidRDefault="00203E37" w:rsidP="00093585">
            <w:pPr>
              <w:spacing w:line="240" w:lineRule="auto"/>
              <w:jc w:val="center"/>
              <w:rPr>
                <w:rFonts w:cs="Arial"/>
                <w:sz w:val="18"/>
                <w:szCs w:val="18"/>
              </w:rPr>
            </w:pPr>
            <w:r w:rsidRPr="00545EC0">
              <w:rPr>
                <w:rFonts w:cs="Arial"/>
                <w:sz w:val="18"/>
                <w:szCs w:val="18"/>
              </w:rPr>
              <w:t>metolaklor, terbutilazin</w:t>
            </w:r>
          </w:p>
        </w:tc>
      </w:tr>
      <w:tr w:rsidR="00203E37" w:rsidRPr="00545EC0" w14:paraId="5146E2F1" w14:textId="77777777" w:rsidTr="001B6908">
        <w:trPr>
          <w:trHeight w:val="284"/>
        </w:trPr>
        <w:tc>
          <w:tcPr>
            <w:tcW w:w="3321" w:type="dxa"/>
            <w:shd w:val="clear" w:color="auto" w:fill="auto"/>
            <w:noWrap/>
            <w:vAlign w:val="center"/>
            <w:hideMark/>
          </w:tcPr>
          <w:p w14:paraId="7F73AD2D" w14:textId="77777777" w:rsidR="00203E37" w:rsidRPr="00545EC0" w:rsidRDefault="00203E37" w:rsidP="00093585">
            <w:pPr>
              <w:spacing w:line="240" w:lineRule="auto"/>
              <w:jc w:val="left"/>
              <w:rPr>
                <w:rFonts w:cs="Arial"/>
                <w:sz w:val="18"/>
                <w:szCs w:val="18"/>
              </w:rPr>
            </w:pPr>
            <w:r w:rsidRPr="00545EC0">
              <w:rPr>
                <w:rFonts w:cs="Arial"/>
                <w:sz w:val="18"/>
                <w:szCs w:val="18"/>
              </w:rPr>
              <w:t>VT Ledava mejni odsek</w:t>
            </w:r>
          </w:p>
        </w:tc>
        <w:tc>
          <w:tcPr>
            <w:tcW w:w="1417" w:type="dxa"/>
            <w:shd w:val="clear" w:color="auto" w:fill="auto"/>
            <w:noWrap/>
            <w:vAlign w:val="center"/>
            <w:hideMark/>
          </w:tcPr>
          <w:p w14:paraId="13C7966E" w14:textId="77777777" w:rsidR="00203E37" w:rsidRPr="00545EC0" w:rsidRDefault="00203E37" w:rsidP="00093585">
            <w:pPr>
              <w:spacing w:line="240" w:lineRule="auto"/>
              <w:jc w:val="center"/>
              <w:rPr>
                <w:rFonts w:cs="Arial"/>
                <w:sz w:val="18"/>
                <w:szCs w:val="18"/>
              </w:rPr>
            </w:pPr>
            <w:r w:rsidRPr="00545EC0">
              <w:rPr>
                <w:rFonts w:cs="Arial"/>
                <w:sz w:val="18"/>
                <w:szCs w:val="18"/>
              </w:rPr>
              <w:t> </w:t>
            </w:r>
          </w:p>
        </w:tc>
        <w:tc>
          <w:tcPr>
            <w:tcW w:w="851" w:type="dxa"/>
            <w:shd w:val="clear" w:color="auto" w:fill="auto"/>
            <w:noWrap/>
            <w:vAlign w:val="center"/>
            <w:hideMark/>
          </w:tcPr>
          <w:p w14:paraId="6AE2AFD5" w14:textId="77777777" w:rsidR="00203E37" w:rsidRPr="00545EC0" w:rsidRDefault="00203E37" w:rsidP="00093585">
            <w:pPr>
              <w:spacing w:line="240" w:lineRule="auto"/>
              <w:jc w:val="center"/>
              <w:rPr>
                <w:rFonts w:cs="Arial"/>
                <w:sz w:val="18"/>
                <w:szCs w:val="18"/>
              </w:rPr>
            </w:pPr>
          </w:p>
        </w:tc>
        <w:tc>
          <w:tcPr>
            <w:tcW w:w="850" w:type="dxa"/>
            <w:shd w:val="clear" w:color="auto" w:fill="auto"/>
            <w:noWrap/>
            <w:vAlign w:val="center"/>
            <w:hideMark/>
          </w:tcPr>
          <w:p w14:paraId="15806F39" w14:textId="77777777" w:rsidR="00203E37" w:rsidRPr="00545EC0" w:rsidRDefault="00203E37" w:rsidP="00093585">
            <w:pPr>
              <w:spacing w:line="240" w:lineRule="auto"/>
              <w:jc w:val="center"/>
              <w:rPr>
                <w:rFonts w:cs="Arial"/>
                <w:sz w:val="18"/>
                <w:szCs w:val="18"/>
              </w:rPr>
            </w:pPr>
            <w:r w:rsidRPr="00545EC0">
              <w:rPr>
                <w:rFonts w:cs="Arial"/>
                <w:sz w:val="18"/>
                <w:szCs w:val="18"/>
              </w:rPr>
              <w:t>zmerno</w:t>
            </w:r>
          </w:p>
        </w:tc>
        <w:tc>
          <w:tcPr>
            <w:tcW w:w="1418" w:type="dxa"/>
            <w:shd w:val="clear" w:color="auto" w:fill="auto"/>
            <w:noWrap/>
            <w:vAlign w:val="center"/>
            <w:hideMark/>
          </w:tcPr>
          <w:p w14:paraId="7B37A64F" w14:textId="77777777" w:rsidR="00203E37" w:rsidRPr="00545EC0" w:rsidRDefault="00203E37" w:rsidP="00093585">
            <w:pPr>
              <w:spacing w:line="240" w:lineRule="auto"/>
              <w:jc w:val="center"/>
              <w:rPr>
                <w:rFonts w:cs="Arial"/>
                <w:sz w:val="18"/>
                <w:szCs w:val="18"/>
              </w:rPr>
            </w:pPr>
            <w:r w:rsidRPr="00545EC0">
              <w:rPr>
                <w:rFonts w:cs="Arial"/>
                <w:sz w:val="18"/>
                <w:szCs w:val="18"/>
              </w:rPr>
              <w:t>zmerno</w:t>
            </w:r>
          </w:p>
        </w:tc>
        <w:tc>
          <w:tcPr>
            <w:tcW w:w="1342" w:type="dxa"/>
            <w:vAlign w:val="center"/>
          </w:tcPr>
          <w:p w14:paraId="20F42547" w14:textId="77777777" w:rsidR="00203E37" w:rsidRPr="00545EC0" w:rsidRDefault="00203E37" w:rsidP="00093585">
            <w:pPr>
              <w:spacing w:line="240" w:lineRule="auto"/>
              <w:jc w:val="center"/>
              <w:rPr>
                <w:rFonts w:cs="Arial"/>
                <w:sz w:val="18"/>
                <w:szCs w:val="18"/>
              </w:rPr>
            </w:pPr>
            <w:r w:rsidRPr="00545EC0">
              <w:rPr>
                <w:rFonts w:cs="Arial"/>
                <w:sz w:val="18"/>
                <w:szCs w:val="18"/>
              </w:rPr>
              <w:t>metolaklor</w:t>
            </w:r>
          </w:p>
        </w:tc>
      </w:tr>
      <w:tr w:rsidR="00093585" w:rsidRPr="00545EC0" w14:paraId="3017B247" w14:textId="77777777" w:rsidTr="001B6908">
        <w:trPr>
          <w:trHeight w:val="284"/>
        </w:trPr>
        <w:tc>
          <w:tcPr>
            <w:tcW w:w="3321" w:type="dxa"/>
            <w:shd w:val="clear" w:color="auto" w:fill="auto"/>
            <w:noWrap/>
            <w:vAlign w:val="center"/>
          </w:tcPr>
          <w:p w14:paraId="1905F37B" w14:textId="287DA220" w:rsidR="00093585" w:rsidRPr="00545EC0" w:rsidRDefault="00093585" w:rsidP="00093585">
            <w:pPr>
              <w:spacing w:line="240" w:lineRule="auto"/>
              <w:jc w:val="left"/>
              <w:rPr>
                <w:rFonts w:cs="Arial"/>
                <w:sz w:val="18"/>
                <w:szCs w:val="18"/>
              </w:rPr>
            </w:pPr>
            <w:r w:rsidRPr="00545EC0">
              <w:rPr>
                <w:rFonts w:cs="Arial"/>
                <w:sz w:val="18"/>
                <w:szCs w:val="18"/>
              </w:rPr>
              <w:t>MPVT zadrževalnik Ledavsko jezero</w:t>
            </w:r>
          </w:p>
        </w:tc>
        <w:tc>
          <w:tcPr>
            <w:tcW w:w="1417" w:type="dxa"/>
            <w:shd w:val="clear" w:color="auto" w:fill="auto"/>
            <w:noWrap/>
            <w:vAlign w:val="center"/>
          </w:tcPr>
          <w:p w14:paraId="145A7C0B" w14:textId="77777777" w:rsidR="00093585" w:rsidRPr="00545EC0" w:rsidRDefault="00093585" w:rsidP="00093585">
            <w:pPr>
              <w:spacing w:line="240" w:lineRule="auto"/>
              <w:jc w:val="center"/>
              <w:rPr>
                <w:rFonts w:cs="Arial"/>
                <w:sz w:val="18"/>
                <w:szCs w:val="18"/>
              </w:rPr>
            </w:pPr>
          </w:p>
        </w:tc>
        <w:tc>
          <w:tcPr>
            <w:tcW w:w="851" w:type="dxa"/>
            <w:shd w:val="clear" w:color="auto" w:fill="auto"/>
            <w:noWrap/>
            <w:vAlign w:val="center"/>
          </w:tcPr>
          <w:p w14:paraId="6E557AF9" w14:textId="77777777" w:rsidR="00093585" w:rsidRPr="00545EC0" w:rsidRDefault="00093585" w:rsidP="00093585">
            <w:pPr>
              <w:spacing w:line="240" w:lineRule="auto"/>
              <w:jc w:val="center"/>
              <w:rPr>
                <w:rFonts w:cs="Arial"/>
                <w:sz w:val="18"/>
                <w:szCs w:val="18"/>
              </w:rPr>
            </w:pPr>
          </w:p>
        </w:tc>
        <w:tc>
          <w:tcPr>
            <w:tcW w:w="850" w:type="dxa"/>
            <w:shd w:val="clear" w:color="auto" w:fill="auto"/>
            <w:noWrap/>
            <w:vAlign w:val="center"/>
          </w:tcPr>
          <w:p w14:paraId="605B9F83" w14:textId="77777777" w:rsidR="00093585" w:rsidRPr="00545EC0" w:rsidRDefault="00093585" w:rsidP="00093585">
            <w:pPr>
              <w:spacing w:line="240" w:lineRule="auto"/>
              <w:jc w:val="center"/>
              <w:rPr>
                <w:rFonts w:cs="Arial"/>
                <w:sz w:val="18"/>
                <w:szCs w:val="18"/>
              </w:rPr>
            </w:pPr>
          </w:p>
        </w:tc>
        <w:tc>
          <w:tcPr>
            <w:tcW w:w="1418" w:type="dxa"/>
            <w:shd w:val="clear" w:color="auto" w:fill="auto"/>
            <w:noWrap/>
            <w:vAlign w:val="center"/>
          </w:tcPr>
          <w:p w14:paraId="36034493" w14:textId="76C17306" w:rsidR="00093585" w:rsidRPr="00545EC0" w:rsidRDefault="00093585" w:rsidP="00093585">
            <w:pPr>
              <w:spacing w:line="240" w:lineRule="auto"/>
              <w:jc w:val="center"/>
              <w:rPr>
                <w:rFonts w:cs="Arial"/>
                <w:sz w:val="18"/>
                <w:szCs w:val="18"/>
              </w:rPr>
            </w:pPr>
            <w:r w:rsidRPr="00545EC0">
              <w:rPr>
                <w:rFonts w:cs="Arial"/>
                <w:sz w:val="18"/>
                <w:szCs w:val="18"/>
              </w:rPr>
              <w:t>zmerno</w:t>
            </w:r>
          </w:p>
        </w:tc>
        <w:tc>
          <w:tcPr>
            <w:tcW w:w="1342" w:type="dxa"/>
            <w:vAlign w:val="center"/>
          </w:tcPr>
          <w:p w14:paraId="366A8907" w14:textId="76669F5E" w:rsidR="00093585" w:rsidRPr="00545EC0" w:rsidRDefault="00093585" w:rsidP="00093585">
            <w:pPr>
              <w:spacing w:line="240" w:lineRule="auto"/>
              <w:jc w:val="center"/>
              <w:rPr>
                <w:rFonts w:cs="Arial"/>
                <w:sz w:val="18"/>
                <w:szCs w:val="18"/>
              </w:rPr>
            </w:pPr>
            <w:r w:rsidRPr="00545EC0">
              <w:rPr>
                <w:rFonts w:cs="Arial"/>
                <w:sz w:val="18"/>
                <w:szCs w:val="18"/>
              </w:rPr>
              <w:t>metolakor</w:t>
            </w:r>
          </w:p>
        </w:tc>
      </w:tr>
    </w:tbl>
    <w:p w14:paraId="277D22B3" w14:textId="77777777" w:rsidR="00AA23DA" w:rsidRPr="00545EC0" w:rsidRDefault="00AA23DA" w:rsidP="00AA23DA">
      <w:pPr>
        <w:rPr>
          <w:rFonts w:cs="Arial"/>
          <w:snapToGrid w:val="0"/>
          <w:szCs w:val="22"/>
        </w:rPr>
      </w:pPr>
    </w:p>
    <w:p w14:paraId="06A8FD21" w14:textId="77777777" w:rsidR="00AA23DA" w:rsidRPr="00545EC0" w:rsidRDefault="00AA23DA" w:rsidP="00AA23DA">
      <w:pPr>
        <w:rPr>
          <w:rFonts w:cs="Arial"/>
          <w:snapToGrid w:val="0"/>
          <w:szCs w:val="22"/>
          <w:u w:val="single"/>
        </w:rPr>
      </w:pPr>
      <w:r w:rsidRPr="00545EC0">
        <w:rPr>
          <w:rFonts w:cs="Arial"/>
          <w:snapToGrid w:val="0"/>
          <w:szCs w:val="22"/>
          <w:u w:val="single"/>
        </w:rPr>
        <w:t>Nitrat</w:t>
      </w:r>
    </w:p>
    <w:p w14:paraId="1C039523" w14:textId="77777777" w:rsidR="00AA23DA" w:rsidRPr="00545EC0" w:rsidRDefault="00AA23DA" w:rsidP="00AA23DA">
      <w:pPr>
        <w:rPr>
          <w:rFonts w:cs="Arial"/>
          <w:snapToGrid w:val="0"/>
          <w:szCs w:val="22"/>
        </w:rPr>
      </w:pPr>
    </w:p>
    <w:p w14:paraId="507D1164" w14:textId="6C787B1B" w:rsidR="00AA23DA" w:rsidRPr="00545EC0" w:rsidRDefault="00AA23DA" w:rsidP="00AA23DA">
      <w:pPr>
        <w:rPr>
          <w:rFonts w:cs="Arial"/>
          <w:snapToGrid w:val="0"/>
          <w:szCs w:val="22"/>
        </w:rPr>
      </w:pPr>
      <w:r w:rsidRPr="00545EC0">
        <w:rPr>
          <w:rFonts w:cs="Arial"/>
          <w:snapToGrid w:val="0"/>
          <w:szCs w:val="22"/>
        </w:rPr>
        <w:t>Zmerno ekološko stanje zaradi nitrata je bilo na vodnem območju Donave ugotovljeno na vodnem telesu Kučnica. Vodno telo Kučnica poteka po dveh vodnih telesih podzemne vode</w:t>
      </w:r>
      <w:r w:rsidR="001B6908" w:rsidRPr="00545EC0">
        <w:rPr>
          <w:rFonts w:cs="Arial"/>
          <w:snapToGrid w:val="0"/>
          <w:szCs w:val="22"/>
        </w:rPr>
        <w:t>,</w:t>
      </w:r>
      <w:r w:rsidRPr="00545EC0">
        <w:rPr>
          <w:rFonts w:cs="Arial"/>
          <w:snapToGrid w:val="0"/>
          <w:szCs w:val="22"/>
        </w:rPr>
        <w:t xml:space="preserve"> in sicer skoraj v celoti po vodnem telesu Goričko, v spodnjem toku pred izlivom v Muro pa po Murski kotlini. V vodnem telesu Goričko prevladujejo vodonosniki, ki so lokalni ali spremenljivo izdatni, ali obširni vendar največ srednje izdatni, podrejeno pa so prisotni tudi manjši vodonosniki z lokalnimi in omejenimi viri podzemne vode. Zaradi tega v telesu merilna mesta podzemne vode niso številna, problemov z nitrati pa ne zaznamo, saj je vsebnost nitratov na obstoječih merilnih mestih, nizka (okoli 2 mg</w:t>
      </w:r>
      <w:r w:rsidR="001B6908" w:rsidRPr="00545EC0">
        <w:rPr>
          <w:rFonts w:cs="Arial"/>
          <w:snapToGrid w:val="0"/>
          <w:szCs w:val="22"/>
        </w:rPr>
        <w:t xml:space="preserve"> </w:t>
      </w:r>
      <w:r w:rsidRPr="00545EC0">
        <w:rPr>
          <w:rFonts w:cs="Arial"/>
          <w:snapToGrid w:val="0"/>
          <w:szCs w:val="22"/>
        </w:rPr>
        <w:t>NO</w:t>
      </w:r>
      <w:r w:rsidRPr="00545EC0">
        <w:rPr>
          <w:rFonts w:cs="Arial"/>
          <w:snapToGrid w:val="0"/>
          <w:szCs w:val="22"/>
          <w:vertAlign w:val="subscript"/>
        </w:rPr>
        <w:t>3</w:t>
      </w:r>
      <w:r w:rsidRPr="00545EC0">
        <w:rPr>
          <w:rFonts w:cs="Arial"/>
          <w:snapToGrid w:val="0"/>
          <w:szCs w:val="22"/>
        </w:rPr>
        <w:t xml:space="preserve">/L). Murska kotlina je po vsebnosti nitratov v slabem kemijskem stanju, vendar so najvišje vsebnosti nitrata </w:t>
      </w:r>
      <w:r w:rsidRPr="00545EC0">
        <w:rPr>
          <w:rFonts w:cs="Arial"/>
          <w:snapToGrid w:val="0"/>
          <w:szCs w:val="22"/>
        </w:rPr>
        <w:lastRenderedPageBreak/>
        <w:t xml:space="preserve">določene v osrednjem delu Murske kotline, kjer je vodonosnik hidrodinamsko odprt, zaradi homogenosti vodonosnika pa je v tem predelu tudi največji sklenjen volumen podzemne vode v vodnem telesu. </w:t>
      </w:r>
    </w:p>
    <w:p w14:paraId="69111393" w14:textId="77777777" w:rsidR="00AA23DA" w:rsidRPr="00545EC0" w:rsidRDefault="00AA23DA" w:rsidP="00AA23DA">
      <w:pPr>
        <w:rPr>
          <w:rFonts w:cs="Arial"/>
          <w:snapToGrid w:val="0"/>
          <w:szCs w:val="22"/>
        </w:rPr>
      </w:pPr>
    </w:p>
    <w:p w14:paraId="4F28DDF8" w14:textId="730E6FE5" w:rsidR="00AA23DA" w:rsidRPr="00545EC0" w:rsidRDefault="00203E37" w:rsidP="00AA23DA">
      <w:pPr>
        <w:rPr>
          <w:rFonts w:cs="Arial"/>
          <w:snapToGrid w:val="0"/>
          <w:szCs w:val="22"/>
        </w:rPr>
      </w:pPr>
      <w:r w:rsidRPr="00545EC0">
        <w:rPr>
          <w:rFonts w:cs="Arial"/>
          <w:snapToGrid w:val="0"/>
          <w:szCs w:val="22"/>
        </w:rPr>
        <w:t>Na podlagi r</w:t>
      </w:r>
      <w:r w:rsidR="00AA23DA" w:rsidRPr="00545EC0">
        <w:rPr>
          <w:rFonts w:cs="Arial"/>
          <w:snapToGrid w:val="0"/>
          <w:szCs w:val="22"/>
        </w:rPr>
        <w:t>ezultat</w:t>
      </w:r>
      <w:r w:rsidRPr="00545EC0">
        <w:rPr>
          <w:rFonts w:cs="Arial"/>
          <w:snapToGrid w:val="0"/>
          <w:szCs w:val="22"/>
        </w:rPr>
        <w:t>ov</w:t>
      </w:r>
      <w:r w:rsidR="00AA23DA" w:rsidRPr="00545EC0">
        <w:rPr>
          <w:rFonts w:cs="Arial"/>
          <w:snapToGrid w:val="0"/>
          <w:szCs w:val="22"/>
        </w:rPr>
        <w:t xml:space="preserve"> modela GROWA-SI/DENUZ/WEKU, ki omogoča ločitev odtoka iz prispevnega območja na posamezne komponente (površinski, podpovršinski in podzemni odtok)</w:t>
      </w:r>
      <w:r w:rsidR="001B6908" w:rsidRPr="00545EC0">
        <w:rPr>
          <w:rFonts w:cs="Arial"/>
          <w:snapToGrid w:val="0"/>
          <w:szCs w:val="22"/>
        </w:rPr>
        <w:t>,</w:t>
      </w:r>
      <w:r w:rsidR="00AA23DA" w:rsidRPr="00545EC0">
        <w:rPr>
          <w:rFonts w:cs="Arial"/>
          <w:snapToGrid w:val="0"/>
          <w:szCs w:val="22"/>
        </w:rPr>
        <w:t xml:space="preserve"> in s tem deleže dušika, ki ga prispeva posamezna komponenta odtoka k skupni koncentraciji nitrata v površinski vodi </w:t>
      </w:r>
      <w:r w:rsidRPr="00545EC0">
        <w:rPr>
          <w:rFonts w:cs="Arial"/>
          <w:snapToGrid w:val="0"/>
          <w:szCs w:val="22"/>
        </w:rPr>
        <w:t>je ugotovljeno</w:t>
      </w:r>
      <w:r w:rsidR="00AA23DA" w:rsidRPr="00545EC0">
        <w:rPr>
          <w:rFonts w:cs="Arial"/>
          <w:snapToGrid w:val="0"/>
          <w:szCs w:val="22"/>
        </w:rPr>
        <w:t xml:space="preserve">, da kot najpomembnejšo obliko prenosa dušika v obravnavane površinske vode predstavlja delež dušika iz razpršenih virov ter površinski in pripovršinski odtok. Glede na </w:t>
      </w:r>
      <w:r w:rsidRPr="00545EC0">
        <w:rPr>
          <w:rFonts w:cs="Arial"/>
          <w:snapToGrid w:val="0"/>
          <w:szCs w:val="22"/>
        </w:rPr>
        <w:t xml:space="preserve">rezultate </w:t>
      </w:r>
      <w:r w:rsidR="00AA23DA" w:rsidRPr="00545EC0">
        <w:rPr>
          <w:rFonts w:cs="Arial"/>
          <w:snapToGrid w:val="0"/>
          <w:szCs w:val="22"/>
        </w:rPr>
        <w:t xml:space="preserve">modela lahko </w:t>
      </w:r>
      <w:r w:rsidRPr="00545EC0">
        <w:rPr>
          <w:rFonts w:cs="Arial"/>
          <w:snapToGrid w:val="0"/>
          <w:szCs w:val="22"/>
        </w:rPr>
        <w:t>ocenimo</w:t>
      </w:r>
      <w:r w:rsidR="00AA23DA" w:rsidRPr="00545EC0">
        <w:rPr>
          <w:rFonts w:cs="Arial"/>
          <w:snapToGrid w:val="0"/>
          <w:szCs w:val="22"/>
        </w:rPr>
        <w:t>, da na vsebnost nitrata v VT Kučnica podzemna voda ne vpliva, njenega vpliva pa, vsaj ob določenih hidrološki</w:t>
      </w:r>
      <w:r w:rsidR="001B6908" w:rsidRPr="00545EC0">
        <w:rPr>
          <w:rFonts w:cs="Arial"/>
          <w:snapToGrid w:val="0"/>
          <w:szCs w:val="22"/>
        </w:rPr>
        <w:t>h</w:t>
      </w:r>
      <w:r w:rsidR="00AA23DA" w:rsidRPr="00545EC0">
        <w:rPr>
          <w:rFonts w:cs="Arial"/>
          <w:snapToGrid w:val="0"/>
          <w:szCs w:val="22"/>
        </w:rPr>
        <w:t xml:space="preserve"> situacija</w:t>
      </w:r>
      <w:r w:rsidR="001B6908" w:rsidRPr="00545EC0">
        <w:rPr>
          <w:rFonts w:cs="Arial"/>
          <w:snapToGrid w:val="0"/>
          <w:szCs w:val="22"/>
        </w:rPr>
        <w:t>h</w:t>
      </w:r>
      <w:r w:rsidR="00AA23DA" w:rsidRPr="00545EC0">
        <w:rPr>
          <w:rFonts w:cs="Arial"/>
          <w:snapToGrid w:val="0"/>
          <w:szCs w:val="22"/>
        </w:rPr>
        <w:t xml:space="preserve"> v celoti ne moremo izključiti, saj po konceptualnih modelih vodnih teles podzemne vode Murska kotlina in Goričko, vodotok Kučnica drenira vodonosnik.</w:t>
      </w:r>
    </w:p>
    <w:p w14:paraId="6DD85EB0" w14:textId="77777777" w:rsidR="00AA23DA" w:rsidRPr="00545EC0" w:rsidRDefault="00AA23DA" w:rsidP="00AA23DA">
      <w:pPr>
        <w:rPr>
          <w:rFonts w:cs="Arial"/>
        </w:rPr>
      </w:pPr>
    </w:p>
    <w:p w14:paraId="20B57FD9" w14:textId="1A0E1B06" w:rsidR="00AA23DA" w:rsidRPr="00545EC0" w:rsidRDefault="001B6908" w:rsidP="00AA23DA">
      <w:pPr>
        <w:rPr>
          <w:rFonts w:cs="Arial"/>
          <w:szCs w:val="22"/>
          <w:u w:val="single"/>
        </w:rPr>
      </w:pPr>
      <w:r w:rsidRPr="00545EC0">
        <w:rPr>
          <w:rFonts w:cs="Arial"/>
          <w:szCs w:val="22"/>
          <w:u w:val="single"/>
        </w:rPr>
        <w:t>Celotni f</w:t>
      </w:r>
      <w:r w:rsidR="00AA23DA" w:rsidRPr="00545EC0">
        <w:rPr>
          <w:rFonts w:cs="Arial"/>
          <w:szCs w:val="22"/>
          <w:u w:val="single"/>
        </w:rPr>
        <w:t>osfor</w:t>
      </w:r>
    </w:p>
    <w:p w14:paraId="6DF66FB0" w14:textId="77777777" w:rsidR="00AA23DA" w:rsidRPr="00545EC0" w:rsidRDefault="00AA23DA" w:rsidP="00AA23DA">
      <w:pPr>
        <w:rPr>
          <w:rFonts w:cs="Arial"/>
          <w:szCs w:val="22"/>
        </w:rPr>
      </w:pPr>
    </w:p>
    <w:p w14:paraId="22279432" w14:textId="7A74CC34" w:rsidR="00AA23DA" w:rsidRPr="00545EC0" w:rsidRDefault="001B6908" w:rsidP="00AA23DA">
      <w:pPr>
        <w:rPr>
          <w:rFonts w:cs="Arial"/>
          <w:szCs w:val="22"/>
        </w:rPr>
      </w:pPr>
      <w:r w:rsidRPr="00545EC0">
        <w:rPr>
          <w:rFonts w:cs="Arial"/>
          <w:szCs w:val="22"/>
        </w:rPr>
        <w:t xml:space="preserve">Zmerno </w:t>
      </w:r>
      <w:r w:rsidR="00AA23DA" w:rsidRPr="00545EC0">
        <w:rPr>
          <w:rFonts w:cs="Arial"/>
          <w:szCs w:val="22"/>
        </w:rPr>
        <w:t xml:space="preserve">ekološko stanje na vodnem območju Donave je bilo zaradi vsebnosti </w:t>
      </w:r>
      <w:r w:rsidRPr="00545EC0">
        <w:rPr>
          <w:rFonts w:cs="Arial"/>
          <w:szCs w:val="22"/>
        </w:rPr>
        <w:t xml:space="preserve">celotnega </w:t>
      </w:r>
      <w:r w:rsidR="00AA23DA" w:rsidRPr="00545EC0">
        <w:rPr>
          <w:rFonts w:cs="Arial"/>
          <w:szCs w:val="22"/>
        </w:rPr>
        <w:t xml:space="preserve">fosforja določeno na </w:t>
      </w:r>
      <w:r w:rsidRPr="00545EC0">
        <w:rPr>
          <w:rFonts w:cs="Arial"/>
          <w:szCs w:val="22"/>
        </w:rPr>
        <w:t xml:space="preserve">osmih </w:t>
      </w:r>
      <w:r w:rsidR="00AA23DA" w:rsidRPr="00545EC0">
        <w:rPr>
          <w:rFonts w:cs="Arial"/>
          <w:szCs w:val="22"/>
        </w:rPr>
        <w:t xml:space="preserve">vodnih telesih površinskih voda. </w:t>
      </w:r>
    </w:p>
    <w:p w14:paraId="636D1329" w14:textId="77777777" w:rsidR="00AA23DA" w:rsidRPr="00545EC0" w:rsidRDefault="00AA23DA" w:rsidP="00AA23DA">
      <w:pPr>
        <w:rPr>
          <w:rFonts w:cs="Arial"/>
          <w:szCs w:val="22"/>
        </w:rPr>
      </w:pPr>
    </w:p>
    <w:p w14:paraId="6A84F34B" w14:textId="337E4DD5" w:rsidR="00AA23DA" w:rsidRPr="00545EC0" w:rsidRDefault="00AA23DA" w:rsidP="00AA23DA">
      <w:pPr>
        <w:rPr>
          <w:rFonts w:cs="Arial"/>
          <w:szCs w:val="22"/>
        </w:rPr>
      </w:pPr>
      <w:r w:rsidRPr="00545EC0">
        <w:rPr>
          <w:rFonts w:cs="Arial"/>
          <w:szCs w:val="22"/>
        </w:rPr>
        <w:t xml:space="preserve">V vseh vzorcih podzemne vode </w:t>
      </w:r>
      <w:r w:rsidR="00203E37" w:rsidRPr="00545EC0">
        <w:rPr>
          <w:rFonts w:cs="Arial"/>
          <w:szCs w:val="22"/>
        </w:rPr>
        <w:t xml:space="preserve">se </w:t>
      </w:r>
      <w:r w:rsidRPr="00545EC0">
        <w:rPr>
          <w:rFonts w:cs="Arial"/>
          <w:szCs w:val="22"/>
        </w:rPr>
        <w:t>dvakrat letno spremlja vsebnost ortofosfata, medtem ko</w:t>
      </w:r>
      <w:r w:rsidR="00164188" w:rsidRPr="00545EC0">
        <w:rPr>
          <w:rFonts w:cs="Arial"/>
          <w:szCs w:val="22"/>
        </w:rPr>
        <w:t xml:space="preserve"> so</w:t>
      </w:r>
      <w:r w:rsidRPr="00545EC0">
        <w:rPr>
          <w:rFonts w:cs="Arial"/>
          <w:szCs w:val="22"/>
        </w:rPr>
        <w:t xml:space="preserve"> mejne vrednosti za površinske vode določene za </w:t>
      </w:r>
      <w:r w:rsidR="001B6908" w:rsidRPr="00545EC0">
        <w:rPr>
          <w:rFonts w:cs="Arial"/>
          <w:szCs w:val="22"/>
        </w:rPr>
        <w:t xml:space="preserve">celotni </w:t>
      </w:r>
      <w:r w:rsidRPr="00545EC0">
        <w:rPr>
          <w:rFonts w:cs="Arial"/>
          <w:szCs w:val="22"/>
        </w:rPr>
        <w:t xml:space="preserve">fosfor. Na izvirih </w:t>
      </w:r>
      <w:r w:rsidR="00203E37" w:rsidRPr="00545EC0">
        <w:rPr>
          <w:rFonts w:cs="Arial"/>
          <w:szCs w:val="22"/>
        </w:rPr>
        <w:t xml:space="preserve">se </w:t>
      </w:r>
      <w:r w:rsidRPr="00545EC0">
        <w:rPr>
          <w:rFonts w:cs="Arial"/>
          <w:szCs w:val="22"/>
        </w:rPr>
        <w:t xml:space="preserve">spremlja tudi vsebnost </w:t>
      </w:r>
      <w:r w:rsidR="001B6908" w:rsidRPr="00545EC0">
        <w:rPr>
          <w:rFonts w:cs="Arial"/>
          <w:szCs w:val="22"/>
        </w:rPr>
        <w:t>celotnega</w:t>
      </w:r>
      <w:r w:rsidRPr="00545EC0">
        <w:rPr>
          <w:rFonts w:cs="Arial"/>
          <w:szCs w:val="22"/>
        </w:rPr>
        <w:t xml:space="preserve"> fosforja. Na merilnih mestih na aluvilanih vodonosnikih </w:t>
      </w:r>
      <w:r w:rsidR="00203E37" w:rsidRPr="00545EC0">
        <w:rPr>
          <w:rFonts w:cs="Arial"/>
          <w:szCs w:val="22"/>
        </w:rPr>
        <w:t xml:space="preserve">se </w:t>
      </w:r>
      <w:r w:rsidRPr="00545EC0">
        <w:rPr>
          <w:rFonts w:cs="Arial"/>
          <w:szCs w:val="22"/>
        </w:rPr>
        <w:t xml:space="preserve">skupnega fosforja ne spremlja. Ocenjujemo, da je v vzorcih vode na aluvialnih vodnih telesih malo suspendiranega materiala, ki vpliva na vsebnost </w:t>
      </w:r>
      <w:r w:rsidR="001B6908" w:rsidRPr="00545EC0">
        <w:rPr>
          <w:rFonts w:cs="Arial"/>
          <w:szCs w:val="22"/>
        </w:rPr>
        <w:t xml:space="preserve">celotnega </w:t>
      </w:r>
      <w:r w:rsidRPr="00545EC0">
        <w:rPr>
          <w:rFonts w:cs="Arial"/>
          <w:szCs w:val="22"/>
        </w:rPr>
        <w:t xml:space="preserve">fosforja. V teh vzorcih </w:t>
      </w:r>
      <w:r w:rsidR="00203E37" w:rsidRPr="00545EC0">
        <w:rPr>
          <w:rFonts w:cs="Arial"/>
          <w:szCs w:val="22"/>
        </w:rPr>
        <w:t xml:space="preserve">se </w:t>
      </w:r>
      <w:r w:rsidR="00C12042" w:rsidRPr="00545EC0">
        <w:rPr>
          <w:rFonts w:cs="Arial"/>
          <w:szCs w:val="22"/>
        </w:rPr>
        <w:t>zato vrednotenje</w:t>
      </w:r>
      <w:r w:rsidRPr="00545EC0">
        <w:rPr>
          <w:rFonts w:cs="Arial"/>
          <w:szCs w:val="22"/>
        </w:rPr>
        <w:t xml:space="preserve"> izved</w:t>
      </w:r>
      <w:r w:rsidR="00203E37" w:rsidRPr="00545EC0">
        <w:rPr>
          <w:rFonts w:cs="Arial"/>
          <w:szCs w:val="22"/>
        </w:rPr>
        <w:t>e</w:t>
      </w:r>
      <w:r w:rsidRPr="00545EC0">
        <w:rPr>
          <w:rFonts w:cs="Arial"/>
          <w:szCs w:val="22"/>
        </w:rPr>
        <w:t xml:space="preserve"> na podlagi vsebnosti ortofosfata. Merilna mesta, kjer so mejne vrednosti za fosfor presežene so navedena v preglednici </w:t>
      </w:r>
      <w:r w:rsidRPr="00545EC0">
        <w:rPr>
          <w:rFonts w:cs="Arial"/>
          <w:szCs w:val="20"/>
        </w:rPr>
        <w:t>(</w:t>
      </w:r>
      <w:r w:rsidR="00E24A46" w:rsidRPr="00545EC0">
        <w:rPr>
          <w:rFonts w:cs="Arial"/>
          <w:szCs w:val="20"/>
        </w:rPr>
        <w:fldChar w:fldCharType="begin"/>
      </w:r>
      <w:r w:rsidR="00E24A46" w:rsidRPr="00545EC0">
        <w:rPr>
          <w:rFonts w:cs="Arial"/>
          <w:szCs w:val="20"/>
        </w:rPr>
        <w:instrText xml:space="preserve"> REF _Ref75766822 \h  \* MERGEFORMAT </w:instrText>
      </w:r>
      <w:r w:rsidR="00E24A46" w:rsidRPr="00545EC0">
        <w:rPr>
          <w:rFonts w:cs="Arial"/>
          <w:szCs w:val="20"/>
        </w:rPr>
      </w:r>
      <w:r w:rsidR="00E24A46" w:rsidRPr="00545EC0">
        <w:rPr>
          <w:rFonts w:cs="Arial"/>
          <w:szCs w:val="20"/>
        </w:rPr>
        <w:fldChar w:fldCharType="separate"/>
      </w:r>
      <w:r w:rsidR="002F3E43" w:rsidRPr="00545EC0">
        <w:rPr>
          <w:szCs w:val="20"/>
        </w:rPr>
        <w:t xml:space="preserve">Preglednica </w:t>
      </w:r>
      <w:r w:rsidR="002F3E43">
        <w:rPr>
          <w:noProof/>
          <w:szCs w:val="20"/>
        </w:rPr>
        <w:t>3</w:t>
      </w:r>
      <w:r w:rsidR="002F3E43" w:rsidRPr="00545EC0">
        <w:rPr>
          <w:noProof/>
          <w:szCs w:val="20"/>
        </w:rPr>
        <w:noBreakHyphen/>
      </w:r>
      <w:r w:rsidR="002F3E43">
        <w:rPr>
          <w:noProof/>
          <w:szCs w:val="20"/>
        </w:rPr>
        <w:t>16</w:t>
      </w:r>
      <w:r w:rsidR="00E24A46" w:rsidRPr="00545EC0">
        <w:rPr>
          <w:rFonts w:cs="Arial"/>
          <w:szCs w:val="20"/>
        </w:rPr>
        <w:fldChar w:fldCharType="end"/>
      </w:r>
      <w:r w:rsidRPr="00545EC0">
        <w:rPr>
          <w:rFonts w:cs="Arial"/>
          <w:szCs w:val="20"/>
        </w:rPr>
        <w:t>). Pri vrednotenju je bila pri vseh merilnih mestih upoštevana najstrožja mejna</w:t>
      </w:r>
      <w:r w:rsidRPr="00545EC0">
        <w:rPr>
          <w:rFonts w:cs="Arial"/>
          <w:szCs w:val="22"/>
        </w:rPr>
        <w:t xml:space="preserve"> vrednost </w:t>
      </w:r>
      <w:r w:rsidR="001B6908" w:rsidRPr="00545EC0">
        <w:rPr>
          <w:rFonts w:cs="Arial"/>
          <w:szCs w:val="22"/>
        </w:rPr>
        <w:t>med dobrim in zmernim ekološkim stanjem</w:t>
      </w:r>
      <w:r w:rsidRPr="00545EC0">
        <w:rPr>
          <w:rFonts w:cs="Arial"/>
          <w:szCs w:val="22"/>
        </w:rPr>
        <w:t>, ki znaša 0,05 mg P/L.</w:t>
      </w:r>
    </w:p>
    <w:p w14:paraId="09767790" w14:textId="77777777" w:rsidR="00AA23DA" w:rsidRPr="00545EC0" w:rsidRDefault="00AA23DA" w:rsidP="00AA23DA">
      <w:pPr>
        <w:rPr>
          <w:rFonts w:cs="Arial"/>
          <w:szCs w:val="22"/>
        </w:rPr>
      </w:pPr>
    </w:p>
    <w:p w14:paraId="20D597B2" w14:textId="2BDED3DF" w:rsidR="00AA23DA" w:rsidRPr="00545EC0" w:rsidRDefault="00AA23DA" w:rsidP="00AA23DA">
      <w:pPr>
        <w:pStyle w:val="Napis"/>
        <w:spacing w:after="60"/>
        <w:rPr>
          <w:szCs w:val="20"/>
        </w:rPr>
      </w:pPr>
      <w:bookmarkStart w:id="585" w:name="_Ref75766822"/>
      <w:bookmarkStart w:id="586" w:name="_Toc75762759"/>
      <w:r w:rsidRPr="00545EC0">
        <w:rPr>
          <w:szCs w:val="20"/>
        </w:rPr>
        <w:t xml:space="preserve">Preglednica </w:t>
      </w:r>
      <w:r w:rsidR="001A7511" w:rsidRPr="00545EC0">
        <w:rPr>
          <w:szCs w:val="20"/>
        </w:rPr>
        <w:fldChar w:fldCharType="begin"/>
      </w:r>
      <w:r w:rsidR="001A7511" w:rsidRPr="00545EC0">
        <w:rPr>
          <w:szCs w:val="20"/>
        </w:rPr>
        <w:instrText xml:space="preserve"> STYLEREF 1 \s </w:instrText>
      </w:r>
      <w:r w:rsidR="001A7511" w:rsidRPr="00545EC0">
        <w:rPr>
          <w:szCs w:val="20"/>
        </w:rPr>
        <w:fldChar w:fldCharType="separate"/>
      </w:r>
      <w:r w:rsidR="002F3E43">
        <w:rPr>
          <w:noProof/>
          <w:szCs w:val="20"/>
        </w:rPr>
        <w:t>3</w:t>
      </w:r>
      <w:r w:rsidR="001A7511" w:rsidRPr="00545EC0">
        <w:rPr>
          <w:szCs w:val="20"/>
        </w:rPr>
        <w:fldChar w:fldCharType="end"/>
      </w:r>
      <w:r w:rsidR="001A7511" w:rsidRPr="00545EC0">
        <w:rPr>
          <w:szCs w:val="20"/>
        </w:rPr>
        <w:noBreakHyphen/>
      </w:r>
      <w:r w:rsidR="001A7511" w:rsidRPr="00545EC0">
        <w:rPr>
          <w:szCs w:val="20"/>
        </w:rPr>
        <w:fldChar w:fldCharType="begin"/>
      </w:r>
      <w:r w:rsidR="001A7511" w:rsidRPr="00545EC0">
        <w:rPr>
          <w:szCs w:val="20"/>
        </w:rPr>
        <w:instrText xml:space="preserve"> SEQ Preglednica \* ARABIC \s 1 </w:instrText>
      </w:r>
      <w:r w:rsidR="001A7511" w:rsidRPr="00545EC0">
        <w:rPr>
          <w:szCs w:val="20"/>
        </w:rPr>
        <w:fldChar w:fldCharType="separate"/>
      </w:r>
      <w:r w:rsidR="002F3E43">
        <w:rPr>
          <w:noProof/>
          <w:szCs w:val="20"/>
        </w:rPr>
        <w:t>16</w:t>
      </w:r>
      <w:r w:rsidR="001A7511" w:rsidRPr="00545EC0">
        <w:rPr>
          <w:szCs w:val="20"/>
        </w:rPr>
        <w:fldChar w:fldCharType="end"/>
      </w:r>
      <w:bookmarkEnd w:id="585"/>
      <w:r w:rsidRPr="00545EC0">
        <w:rPr>
          <w:szCs w:val="20"/>
        </w:rPr>
        <w:t>: Merilna mesta s preseženimi vsebnostmi za fosfor</w:t>
      </w:r>
      <w:bookmarkEnd w:id="586"/>
      <w:r w:rsidRPr="00545EC0">
        <w:rPr>
          <w:szCs w:val="20"/>
        </w:rPr>
        <w:t xml:space="preserve"> </w:t>
      </w:r>
    </w:p>
    <w:tbl>
      <w:tblPr>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2863"/>
        <w:gridCol w:w="2126"/>
        <w:gridCol w:w="1701"/>
        <w:gridCol w:w="1430"/>
      </w:tblGrid>
      <w:tr w:rsidR="003122F4" w:rsidRPr="00545EC0" w14:paraId="57C6C2F5" w14:textId="77777777" w:rsidTr="004C5428">
        <w:trPr>
          <w:trHeight w:val="20"/>
          <w:tblHeader/>
        </w:trPr>
        <w:tc>
          <w:tcPr>
            <w:tcW w:w="960" w:type="dxa"/>
            <w:shd w:val="clear" w:color="auto" w:fill="E7E6E6"/>
            <w:noWrap/>
            <w:vAlign w:val="center"/>
            <w:hideMark/>
          </w:tcPr>
          <w:p w14:paraId="3D294CF9" w14:textId="77777777" w:rsidR="00AA23DA" w:rsidRPr="00545EC0" w:rsidRDefault="00AA23DA" w:rsidP="00A210D3">
            <w:pPr>
              <w:spacing w:line="240" w:lineRule="auto"/>
              <w:jc w:val="left"/>
              <w:rPr>
                <w:rFonts w:cs="Arial"/>
                <w:b/>
                <w:sz w:val="18"/>
                <w:szCs w:val="22"/>
              </w:rPr>
            </w:pPr>
            <w:r w:rsidRPr="00545EC0">
              <w:rPr>
                <w:rFonts w:cs="Arial"/>
                <w:b/>
                <w:bCs/>
                <w:sz w:val="18"/>
              </w:rPr>
              <w:t>Šifra vodnega telesa</w:t>
            </w:r>
          </w:p>
        </w:tc>
        <w:tc>
          <w:tcPr>
            <w:tcW w:w="2863" w:type="dxa"/>
            <w:shd w:val="clear" w:color="auto" w:fill="E7E6E6"/>
            <w:noWrap/>
            <w:vAlign w:val="center"/>
            <w:hideMark/>
          </w:tcPr>
          <w:p w14:paraId="747AC6F8" w14:textId="77777777" w:rsidR="00AA23DA" w:rsidRPr="00545EC0" w:rsidRDefault="00AA23DA" w:rsidP="00A210D3">
            <w:pPr>
              <w:spacing w:line="240" w:lineRule="auto"/>
              <w:jc w:val="left"/>
              <w:rPr>
                <w:rFonts w:cs="Arial"/>
                <w:b/>
                <w:sz w:val="18"/>
                <w:szCs w:val="22"/>
              </w:rPr>
            </w:pPr>
            <w:r w:rsidRPr="00545EC0">
              <w:rPr>
                <w:rFonts w:cs="Arial"/>
                <w:b/>
                <w:sz w:val="18"/>
                <w:szCs w:val="22"/>
              </w:rPr>
              <w:t>Ime vodnega telesa</w:t>
            </w:r>
          </w:p>
        </w:tc>
        <w:tc>
          <w:tcPr>
            <w:tcW w:w="2126" w:type="dxa"/>
            <w:shd w:val="clear" w:color="auto" w:fill="E7E6E6"/>
            <w:noWrap/>
            <w:vAlign w:val="center"/>
            <w:hideMark/>
          </w:tcPr>
          <w:p w14:paraId="2530021F" w14:textId="77777777" w:rsidR="00AA23DA" w:rsidRPr="00545EC0" w:rsidRDefault="00AA23DA" w:rsidP="00A210D3">
            <w:pPr>
              <w:spacing w:line="240" w:lineRule="auto"/>
              <w:jc w:val="left"/>
              <w:rPr>
                <w:rFonts w:cs="Arial"/>
                <w:b/>
                <w:sz w:val="18"/>
                <w:szCs w:val="22"/>
              </w:rPr>
            </w:pPr>
            <w:r w:rsidRPr="00545EC0">
              <w:rPr>
                <w:rFonts w:cs="Arial"/>
                <w:b/>
                <w:sz w:val="18"/>
                <w:szCs w:val="22"/>
              </w:rPr>
              <w:t>Merilno mesto</w:t>
            </w:r>
          </w:p>
        </w:tc>
        <w:tc>
          <w:tcPr>
            <w:tcW w:w="1701" w:type="dxa"/>
            <w:shd w:val="clear" w:color="auto" w:fill="E7E6E6"/>
            <w:noWrap/>
            <w:vAlign w:val="center"/>
            <w:hideMark/>
          </w:tcPr>
          <w:p w14:paraId="3DCE13A3" w14:textId="3C306355" w:rsidR="00AA23DA" w:rsidRPr="00545EC0" w:rsidRDefault="001B6908" w:rsidP="00A210D3">
            <w:pPr>
              <w:spacing w:line="240" w:lineRule="auto"/>
              <w:jc w:val="center"/>
              <w:rPr>
                <w:rFonts w:cs="Arial"/>
                <w:b/>
                <w:sz w:val="18"/>
                <w:szCs w:val="22"/>
              </w:rPr>
            </w:pPr>
            <w:r w:rsidRPr="00545EC0">
              <w:rPr>
                <w:rFonts w:cs="Arial"/>
                <w:b/>
                <w:sz w:val="18"/>
                <w:szCs w:val="22"/>
              </w:rPr>
              <w:t xml:space="preserve">Celotni </w:t>
            </w:r>
            <w:r w:rsidR="00AA23DA" w:rsidRPr="00545EC0">
              <w:rPr>
                <w:rFonts w:cs="Arial"/>
                <w:b/>
                <w:sz w:val="18"/>
                <w:szCs w:val="22"/>
              </w:rPr>
              <w:t>fosfor (mgP/L)</w:t>
            </w:r>
          </w:p>
        </w:tc>
        <w:tc>
          <w:tcPr>
            <w:tcW w:w="1430" w:type="dxa"/>
            <w:shd w:val="clear" w:color="auto" w:fill="E7E6E6"/>
            <w:noWrap/>
            <w:vAlign w:val="center"/>
            <w:hideMark/>
          </w:tcPr>
          <w:p w14:paraId="25D42CC8" w14:textId="77777777" w:rsidR="00AA23DA" w:rsidRPr="00545EC0" w:rsidRDefault="00AA23DA" w:rsidP="00A210D3">
            <w:pPr>
              <w:spacing w:line="240" w:lineRule="auto"/>
              <w:jc w:val="center"/>
              <w:rPr>
                <w:rFonts w:cs="Arial"/>
                <w:b/>
                <w:sz w:val="18"/>
                <w:szCs w:val="22"/>
              </w:rPr>
            </w:pPr>
            <w:r w:rsidRPr="00545EC0">
              <w:rPr>
                <w:rFonts w:cs="Arial"/>
                <w:b/>
                <w:sz w:val="18"/>
                <w:szCs w:val="22"/>
              </w:rPr>
              <w:t>Ortofosfat (mgP/L)</w:t>
            </w:r>
          </w:p>
        </w:tc>
      </w:tr>
      <w:tr w:rsidR="003122F4" w:rsidRPr="00545EC0" w14:paraId="3AD01B11" w14:textId="77777777" w:rsidTr="004C5428">
        <w:trPr>
          <w:trHeight w:val="284"/>
        </w:trPr>
        <w:tc>
          <w:tcPr>
            <w:tcW w:w="960" w:type="dxa"/>
            <w:shd w:val="clear" w:color="auto" w:fill="auto"/>
            <w:noWrap/>
            <w:vAlign w:val="center"/>
            <w:hideMark/>
          </w:tcPr>
          <w:p w14:paraId="7F3203B9" w14:textId="77777777" w:rsidR="00AA23DA" w:rsidRPr="00545EC0" w:rsidRDefault="00AA23DA" w:rsidP="00A210D3">
            <w:pPr>
              <w:spacing w:line="240" w:lineRule="auto"/>
              <w:jc w:val="right"/>
              <w:rPr>
                <w:rFonts w:cs="Arial"/>
                <w:sz w:val="18"/>
                <w:szCs w:val="22"/>
              </w:rPr>
            </w:pPr>
            <w:r w:rsidRPr="00545EC0">
              <w:rPr>
                <w:rFonts w:cs="Arial"/>
                <w:sz w:val="18"/>
                <w:szCs w:val="22"/>
              </w:rPr>
              <w:t>1011</w:t>
            </w:r>
          </w:p>
        </w:tc>
        <w:tc>
          <w:tcPr>
            <w:tcW w:w="2863" w:type="dxa"/>
            <w:shd w:val="clear" w:color="auto" w:fill="auto"/>
            <w:noWrap/>
            <w:vAlign w:val="center"/>
            <w:hideMark/>
          </w:tcPr>
          <w:p w14:paraId="3CC5BE6D" w14:textId="77777777" w:rsidR="00AA23DA" w:rsidRPr="00545EC0" w:rsidRDefault="00AA23DA" w:rsidP="00A210D3">
            <w:pPr>
              <w:spacing w:line="240" w:lineRule="auto"/>
              <w:jc w:val="left"/>
              <w:rPr>
                <w:rFonts w:cs="Arial"/>
                <w:sz w:val="18"/>
                <w:szCs w:val="22"/>
              </w:rPr>
            </w:pPr>
            <w:r w:rsidRPr="00545EC0">
              <w:rPr>
                <w:rFonts w:cs="Arial"/>
                <w:sz w:val="18"/>
                <w:szCs w:val="22"/>
              </w:rPr>
              <w:t>Dolenjski kras</w:t>
            </w:r>
          </w:p>
        </w:tc>
        <w:tc>
          <w:tcPr>
            <w:tcW w:w="2126" w:type="dxa"/>
            <w:shd w:val="clear" w:color="auto" w:fill="auto"/>
            <w:noWrap/>
            <w:vAlign w:val="center"/>
            <w:hideMark/>
          </w:tcPr>
          <w:p w14:paraId="09273CEF" w14:textId="77777777" w:rsidR="00AA23DA" w:rsidRPr="00545EC0" w:rsidRDefault="00AA23DA" w:rsidP="00A210D3">
            <w:pPr>
              <w:spacing w:line="240" w:lineRule="auto"/>
              <w:jc w:val="left"/>
              <w:rPr>
                <w:rFonts w:cs="Arial"/>
                <w:sz w:val="18"/>
                <w:szCs w:val="22"/>
              </w:rPr>
            </w:pPr>
            <w:r w:rsidRPr="00545EC0">
              <w:rPr>
                <w:rFonts w:cs="Arial"/>
                <w:sz w:val="18"/>
                <w:szCs w:val="22"/>
              </w:rPr>
              <w:t>VIR PRI STIČNI</w:t>
            </w:r>
          </w:p>
        </w:tc>
        <w:tc>
          <w:tcPr>
            <w:tcW w:w="1701" w:type="dxa"/>
            <w:shd w:val="clear" w:color="auto" w:fill="auto"/>
            <w:noWrap/>
            <w:vAlign w:val="center"/>
            <w:hideMark/>
          </w:tcPr>
          <w:p w14:paraId="41594E6D" w14:textId="77777777" w:rsidR="00AA23DA" w:rsidRPr="00545EC0" w:rsidRDefault="00AA23DA" w:rsidP="00A210D3">
            <w:pPr>
              <w:spacing w:line="240" w:lineRule="auto"/>
              <w:jc w:val="center"/>
              <w:rPr>
                <w:rFonts w:cs="Arial"/>
                <w:sz w:val="18"/>
                <w:szCs w:val="22"/>
              </w:rPr>
            </w:pPr>
            <w:r w:rsidRPr="00545EC0">
              <w:rPr>
                <w:rFonts w:cs="Arial"/>
                <w:sz w:val="18"/>
                <w:szCs w:val="22"/>
              </w:rPr>
              <w:t>0,111</w:t>
            </w:r>
          </w:p>
        </w:tc>
        <w:tc>
          <w:tcPr>
            <w:tcW w:w="1430" w:type="dxa"/>
            <w:shd w:val="clear" w:color="auto" w:fill="auto"/>
            <w:noWrap/>
            <w:vAlign w:val="center"/>
          </w:tcPr>
          <w:p w14:paraId="1A228EE1" w14:textId="77777777" w:rsidR="00AA23DA" w:rsidRPr="00545EC0" w:rsidRDefault="00AA23DA" w:rsidP="00A210D3">
            <w:pPr>
              <w:spacing w:line="240" w:lineRule="auto"/>
              <w:jc w:val="center"/>
              <w:rPr>
                <w:rFonts w:cs="Arial"/>
                <w:sz w:val="18"/>
                <w:szCs w:val="22"/>
              </w:rPr>
            </w:pPr>
          </w:p>
        </w:tc>
      </w:tr>
      <w:tr w:rsidR="003122F4" w:rsidRPr="00545EC0" w14:paraId="3FA9CBE8" w14:textId="77777777" w:rsidTr="004C5428">
        <w:trPr>
          <w:trHeight w:val="284"/>
        </w:trPr>
        <w:tc>
          <w:tcPr>
            <w:tcW w:w="960" w:type="dxa"/>
            <w:shd w:val="clear" w:color="auto" w:fill="auto"/>
            <w:noWrap/>
            <w:vAlign w:val="center"/>
            <w:hideMark/>
          </w:tcPr>
          <w:p w14:paraId="5CAB2009" w14:textId="77777777" w:rsidR="00AA23DA" w:rsidRPr="00545EC0" w:rsidRDefault="00AA23DA" w:rsidP="00A210D3">
            <w:pPr>
              <w:spacing w:line="240" w:lineRule="auto"/>
              <w:jc w:val="right"/>
              <w:rPr>
                <w:rFonts w:cs="Arial"/>
                <w:sz w:val="18"/>
                <w:szCs w:val="22"/>
              </w:rPr>
            </w:pPr>
            <w:r w:rsidRPr="00545EC0">
              <w:rPr>
                <w:rFonts w:cs="Arial"/>
                <w:sz w:val="18"/>
                <w:szCs w:val="22"/>
              </w:rPr>
              <w:t>1001</w:t>
            </w:r>
          </w:p>
        </w:tc>
        <w:tc>
          <w:tcPr>
            <w:tcW w:w="2863" w:type="dxa"/>
            <w:shd w:val="clear" w:color="auto" w:fill="auto"/>
            <w:noWrap/>
            <w:vAlign w:val="center"/>
            <w:hideMark/>
          </w:tcPr>
          <w:p w14:paraId="2BF8D056" w14:textId="77777777" w:rsidR="00AA23DA" w:rsidRPr="00545EC0" w:rsidRDefault="00AA23DA" w:rsidP="00A210D3">
            <w:pPr>
              <w:spacing w:line="240" w:lineRule="auto"/>
              <w:jc w:val="left"/>
              <w:rPr>
                <w:rFonts w:cs="Arial"/>
                <w:sz w:val="18"/>
                <w:szCs w:val="22"/>
              </w:rPr>
            </w:pPr>
            <w:r w:rsidRPr="00545EC0">
              <w:rPr>
                <w:rFonts w:cs="Arial"/>
                <w:sz w:val="18"/>
                <w:szCs w:val="22"/>
              </w:rPr>
              <w:t>Savska kotlina in Ljubljansko barje</w:t>
            </w:r>
          </w:p>
        </w:tc>
        <w:tc>
          <w:tcPr>
            <w:tcW w:w="2126" w:type="dxa"/>
            <w:shd w:val="clear" w:color="auto" w:fill="auto"/>
            <w:noWrap/>
            <w:vAlign w:val="center"/>
            <w:hideMark/>
          </w:tcPr>
          <w:p w14:paraId="035D4FA2" w14:textId="77777777" w:rsidR="00AA23DA" w:rsidRPr="00545EC0" w:rsidRDefault="00AA23DA" w:rsidP="00A210D3">
            <w:pPr>
              <w:spacing w:line="240" w:lineRule="auto"/>
              <w:jc w:val="left"/>
              <w:rPr>
                <w:rFonts w:cs="Arial"/>
                <w:sz w:val="18"/>
                <w:szCs w:val="22"/>
              </w:rPr>
            </w:pPr>
            <w:r w:rsidRPr="00545EC0">
              <w:rPr>
                <w:rFonts w:cs="Arial"/>
                <w:sz w:val="18"/>
                <w:szCs w:val="22"/>
              </w:rPr>
              <w:t>PODGORJE Pod-1/14</w:t>
            </w:r>
          </w:p>
        </w:tc>
        <w:tc>
          <w:tcPr>
            <w:tcW w:w="1701" w:type="dxa"/>
            <w:shd w:val="clear" w:color="auto" w:fill="auto"/>
            <w:noWrap/>
            <w:vAlign w:val="center"/>
          </w:tcPr>
          <w:p w14:paraId="2DC4ABE8" w14:textId="77777777" w:rsidR="00AA23DA" w:rsidRPr="00545EC0" w:rsidRDefault="00AA23DA" w:rsidP="00A210D3">
            <w:pPr>
              <w:spacing w:line="240" w:lineRule="auto"/>
              <w:jc w:val="center"/>
              <w:rPr>
                <w:rFonts w:cs="Arial"/>
                <w:sz w:val="18"/>
                <w:szCs w:val="22"/>
              </w:rPr>
            </w:pPr>
          </w:p>
        </w:tc>
        <w:tc>
          <w:tcPr>
            <w:tcW w:w="1430" w:type="dxa"/>
            <w:shd w:val="clear" w:color="auto" w:fill="auto"/>
            <w:noWrap/>
            <w:vAlign w:val="center"/>
          </w:tcPr>
          <w:p w14:paraId="6D03A3A4" w14:textId="77777777" w:rsidR="00AA23DA" w:rsidRPr="00545EC0" w:rsidRDefault="00AA23DA" w:rsidP="00A210D3">
            <w:pPr>
              <w:spacing w:line="240" w:lineRule="auto"/>
              <w:jc w:val="center"/>
              <w:rPr>
                <w:rFonts w:cs="Arial"/>
                <w:sz w:val="18"/>
                <w:szCs w:val="22"/>
              </w:rPr>
            </w:pPr>
            <w:r w:rsidRPr="00545EC0">
              <w:rPr>
                <w:rFonts w:cs="Arial"/>
                <w:sz w:val="18"/>
                <w:szCs w:val="22"/>
              </w:rPr>
              <w:t>0,052</w:t>
            </w:r>
          </w:p>
        </w:tc>
      </w:tr>
      <w:tr w:rsidR="003122F4" w:rsidRPr="00545EC0" w14:paraId="48499818" w14:textId="77777777" w:rsidTr="004C5428">
        <w:trPr>
          <w:trHeight w:val="284"/>
        </w:trPr>
        <w:tc>
          <w:tcPr>
            <w:tcW w:w="960" w:type="dxa"/>
            <w:shd w:val="clear" w:color="auto" w:fill="auto"/>
            <w:noWrap/>
            <w:vAlign w:val="center"/>
            <w:hideMark/>
          </w:tcPr>
          <w:p w14:paraId="70004A63" w14:textId="77777777" w:rsidR="00AA23DA" w:rsidRPr="00545EC0" w:rsidRDefault="00AA23DA" w:rsidP="00A210D3">
            <w:pPr>
              <w:spacing w:line="240" w:lineRule="auto"/>
              <w:jc w:val="right"/>
              <w:rPr>
                <w:rFonts w:cs="Arial"/>
                <w:sz w:val="18"/>
                <w:szCs w:val="22"/>
              </w:rPr>
            </w:pPr>
            <w:r w:rsidRPr="00545EC0">
              <w:rPr>
                <w:rFonts w:cs="Arial"/>
                <w:sz w:val="18"/>
                <w:szCs w:val="22"/>
              </w:rPr>
              <w:t>1001</w:t>
            </w:r>
          </w:p>
        </w:tc>
        <w:tc>
          <w:tcPr>
            <w:tcW w:w="2863" w:type="dxa"/>
            <w:shd w:val="clear" w:color="auto" w:fill="auto"/>
            <w:noWrap/>
            <w:vAlign w:val="center"/>
            <w:hideMark/>
          </w:tcPr>
          <w:p w14:paraId="5632A044" w14:textId="77777777" w:rsidR="00AA23DA" w:rsidRPr="00545EC0" w:rsidRDefault="00AA23DA" w:rsidP="00A210D3">
            <w:pPr>
              <w:spacing w:line="240" w:lineRule="auto"/>
              <w:jc w:val="left"/>
              <w:rPr>
                <w:rFonts w:cs="Arial"/>
                <w:sz w:val="18"/>
                <w:szCs w:val="22"/>
              </w:rPr>
            </w:pPr>
            <w:r w:rsidRPr="00545EC0">
              <w:rPr>
                <w:rFonts w:cs="Arial"/>
                <w:sz w:val="18"/>
                <w:szCs w:val="22"/>
              </w:rPr>
              <w:t>Savska kotlina in Ljubljansko barje</w:t>
            </w:r>
          </w:p>
        </w:tc>
        <w:tc>
          <w:tcPr>
            <w:tcW w:w="2126" w:type="dxa"/>
            <w:shd w:val="clear" w:color="auto" w:fill="auto"/>
            <w:noWrap/>
            <w:vAlign w:val="center"/>
            <w:hideMark/>
          </w:tcPr>
          <w:p w14:paraId="6F3B248C" w14:textId="77777777" w:rsidR="00AA23DA" w:rsidRPr="00545EC0" w:rsidRDefault="00AA23DA" w:rsidP="00A210D3">
            <w:pPr>
              <w:spacing w:line="240" w:lineRule="auto"/>
              <w:jc w:val="left"/>
              <w:rPr>
                <w:rFonts w:cs="Arial"/>
                <w:sz w:val="18"/>
                <w:szCs w:val="22"/>
              </w:rPr>
            </w:pPr>
            <w:r w:rsidRPr="00545EC0">
              <w:rPr>
                <w:rFonts w:cs="Arial"/>
                <w:sz w:val="18"/>
                <w:szCs w:val="22"/>
              </w:rPr>
              <w:t>RAKOVA JELŠA Rjel-3/15</w:t>
            </w:r>
          </w:p>
        </w:tc>
        <w:tc>
          <w:tcPr>
            <w:tcW w:w="1701" w:type="dxa"/>
            <w:shd w:val="clear" w:color="auto" w:fill="auto"/>
            <w:noWrap/>
            <w:vAlign w:val="center"/>
          </w:tcPr>
          <w:p w14:paraId="4AF5F283" w14:textId="77777777" w:rsidR="00AA23DA" w:rsidRPr="00545EC0" w:rsidRDefault="00AA23DA" w:rsidP="00A210D3">
            <w:pPr>
              <w:spacing w:line="240" w:lineRule="auto"/>
              <w:jc w:val="center"/>
              <w:rPr>
                <w:rFonts w:cs="Arial"/>
                <w:sz w:val="18"/>
                <w:szCs w:val="22"/>
              </w:rPr>
            </w:pPr>
          </w:p>
        </w:tc>
        <w:tc>
          <w:tcPr>
            <w:tcW w:w="1430" w:type="dxa"/>
            <w:shd w:val="clear" w:color="auto" w:fill="auto"/>
            <w:noWrap/>
            <w:vAlign w:val="center"/>
          </w:tcPr>
          <w:p w14:paraId="58657BC2" w14:textId="77777777" w:rsidR="00AA23DA" w:rsidRPr="00545EC0" w:rsidRDefault="00AA23DA" w:rsidP="00A210D3">
            <w:pPr>
              <w:spacing w:line="240" w:lineRule="auto"/>
              <w:jc w:val="center"/>
              <w:rPr>
                <w:rFonts w:cs="Arial"/>
                <w:sz w:val="18"/>
                <w:szCs w:val="22"/>
              </w:rPr>
            </w:pPr>
            <w:r w:rsidRPr="00545EC0">
              <w:rPr>
                <w:rFonts w:cs="Arial"/>
                <w:sz w:val="18"/>
                <w:szCs w:val="22"/>
              </w:rPr>
              <w:t>0,538</w:t>
            </w:r>
          </w:p>
        </w:tc>
      </w:tr>
      <w:tr w:rsidR="003122F4" w:rsidRPr="00545EC0" w14:paraId="19CDD385" w14:textId="77777777" w:rsidTr="004C5428">
        <w:trPr>
          <w:trHeight w:val="284"/>
        </w:trPr>
        <w:tc>
          <w:tcPr>
            <w:tcW w:w="960" w:type="dxa"/>
            <w:shd w:val="clear" w:color="auto" w:fill="auto"/>
            <w:noWrap/>
            <w:vAlign w:val="center"/>
            <w:hideMark/>
          </w:tcPr>
          <w:p w14:paraId="4A5CA9A9" w14:textId="77777777" w:rsidR="00AA23DA" w:rsidRPr="00545EC0" w:rsidRDefault="00AA23DA" w:rsidP="00A210D3">
            <w:pPr>
              <w:spacing w:line="240" w:lineRule="auto"/>
              <w:jc w:val="right"/>
              <w:rPr>
                <w:rFonts w:cs="Arial"/>
                <w:sz w:val="18"/>
                <w:szCs w:val="22"/>
              </w:rPr>
            </w:pPr>
            <w:r w:rsidRPr="00545EC0">
              <w:rPr>
                <w:rFonts w:cs="Arial"/>
                <w:sz w:val="18"/>
                <w:szCs w:val="22"/>
              </w:rPr>
              <w:t>1002</w:t>
            </w:r>
          </w:p>
        </w:tc>
        <w:tc>
          <w:tcPr>
            <w:tcW w:w="2863" w:type="dxa"/>
            <w:shd w:val="clear" w:color="auto" w:fill="auto"/>
            <w:noWrap/>
            <w:vAlign w:val="center"/>
            <w:hideMark/>
          </w:tcPr>
          <w:p w14:paraId="5FE5832C" w14:textId="77777777" w:rsidR="00AA23DA" w:rsidRPr="00545EC0" w:rsidRDefault="00AA23DA" w:rsidP="00A210D3">
            <w:pPr>
              <w:spacing w:line="240" w:lineRule="auto"/>
              <w:jc w:val="left"/>
              <w:rPr>
                <w:rFonts w:cs="Arial"/>
                <w:sz w:val="18"/>
                <w:szCs w:val="22"/>
              </w:rPr>
            </w:pPr>
            <w:r w:rsidRPr="00545EC0">
              <w:rPr>
                <w:rFonts w:cs="Arial"/>
                <w:sz w:val="18"/>
                <w:szCs w:val="22"/>
              </w:rPr>
              <w:t>Savinjska kotlina</w:t>
            </w:r>
          </w:p>
        </w:tc>
        <w:tc>
          <w:tcPr>
            <w:tcW w:w="2126" w:type="dxa"/>
            <w:shd w:val="clear" w:color="auto" w:fill="auto"/>
            <w:noWrap/>
            <w:vAlign w:val="center"/>
            <w:hideMark/>
          </w:tcPr>
          <w:p w14:paraId="02E61378" w14:textId="77777777" w:rsidR="00AA23DA" w:rsidRPr="00545EC0" w:rsidRDefault="00AA23DA" w:rsidP="00A210D3">
            <w:pPr>
              <w:spacing w:line="240" w:lineRule="auto"/>
              <w:jc w:val="left"/>
              <w:rPr>
                <w:rFonts w:cs="Arial"/>
                <w:sz w:val="18"/>
                <w:szCs w:val="22"/>
              </w:rPr>
            </w:pPr>
            <w:r w:rsidRPr="00545EC0">
              <w:rPr>
                <w:rFonts w:cs="Arial"/>
                <w:sz w:val="18"/>
                <w:szCs w:val="22"/>
              </w:rPr>
              <w:t>GOTOVLJE 0800</w:t>
            </w:r>
          </w:p>
        </w:tc>
        <w:tc>
          <w:tcPr>
            <w:tcW w:w="1701" w:type="dxa"/>
            <w:shd w:val="clear" w:color="auto" w:fill="auto"/>
            <w:noWrap/>
            <w:vAlign w:val="center"/>
          </w:tcPr>
          <w:p w14:paraId="4F8585F6" w14:textId="77777777" w:rsidR="00AA23DA" w:rsidRPr="00545EC0" w:rsidRDefault="00AA23DA" w:rsidP="00A210D3">
            <w:pPr>
              <w:spacing w:line="240" w:lineRule="auto"/>
              <w:jc w:val="center"/>
              <w:rPr>
                <w:rFonts w:cs="Arial"/>
                <w:sz w:val="18"/>
                <w:szCs w:val="22"/>
              </w:rPr>
            </w:pPr>
          </w:p>
        </w:tc>
        <w:tc>
          <w:tcPr>
            <w:tcW w:w="1430" w:type="dxa"/>
            <w:shd w:val="clear" w:color="auto" w:fill="auto"/>
            <w:noWrap/>
            <w:vAlign w:val="center"/>
          </w:tcPr>
          <w:p w14:paraId="5070FE05" w14:textId="77777777" w:rsidR="00AA23DA" w:rsidRPr="00545EC0" w:rsidRDefault="00AA23DA" w:rsidP="00A210D3">
            <w:pPr>
              <w:spacing w:line="240" w:lineRule="auto"/>
              <w:jc w:val="center"/>
              <w:rPr>
                <w:rFonts w:cs="Arial"/>
                <w:sz w:val="18"/>
                <w:szCs w:val="22"/>
              </w:rPr>
            </w:pPr>
            <w:r w:rsidRPr="00545EC0">
              <w:rPr>
                <w:rFonts w:cs="Arial"/>
                <w:sz w:val="18"/>
                <w:szCs w:val="22"/>
              </w:rPr>
              <w:t>0,136</w:t>
            </w:r>
          </w:p>
        </w:tc>
      </w:tr>
      <w:tr w:rsidR="003122F4" w:rsidRPr="00545EC0" w14:paraId="25CCC6A2" w14:textId="77777777" w:rsidTr="004C5428">
        <w:trPr>
          <w:trHeight w:val="284"/>
        </w:trPr>
        <w:tc>
          <w:tcPr>
            <w:tcW w:w="960" w:type="dxa"/>
            <w:shd w:val="clear" w:color="auto" w:fill="auto"/>
            <w:noWrap/>
            <w:vAlign w:val="center"/>
            <w:hideMark/>
          </w:tcPr>
          <w:p w14:paraId="083856A8" w14:textId="77777777" w:rsidR="00AA23DA" w:rsidRPr="00545EC0" w:rsidRDefault="00AA23DA" w:rsidP="00A210D3">
            <w:pPr>
              <w:spacing w:line="240" w:lineRule="auto"/>
              <w:jc w:val="right"/>
              <w:rPr>
                <w:rFonts w:cs="Arial"/>
                <w:sz w:val="18"/>
                <w:szCs w:val="22"/>
              </w:rPr>
            </w:pPr>
            <w:r w:rsidRPr="00545EC0">
              <w:rPr>
                <w:rFonts w:cs="Arial"/>
                <w:sz w:val="18"/>
                <w:szCs w:val="22"/>
              </w:rPr>
              <w:t>3012</w:t>
            </w:r>
          </w:p>
        </w:tc>
        <w:tc>
          <w:tcPr>
            <w:tcW w:w="2863" w:type="dxa"/>
            <w:shd w:val="clear" w:color="auto" w:fill="auto"/>
            <w:noWrap/>
            <w:vAlign w:val="center"/>
            <w:hideMark/>
          </w:tcPr>
          <w:p w14:paraId="74612D7D" w14:textId="77777777" w:rsidR="00AA23DA" w:rsidRPr="00545EC0" w:rsidRDefault="00AA23DA" w:rsidP="00A210D3">
            <w:pPr>
              <w:spacing w:line="240" w:lineRule="auto"/>
              <w:jc w:val="left"/>
              <w:rPr>
                <w:rFonts w:cs="Arial"/>
                <w:sz w:val="18"/>
                <w:szCs w:val="22"/>
              </w:rPr>
            </w:pPr>
            <w:r w:rsidRPr="00545EC0">
              <w:rPr>
                <w:rFonts w:cs="Arial"/>
                <w:sz w:val="18"/>
                <w:szCs w:val="22"/>
              </w:rPr>
              <w:t>Dravska kotlina</w:t>
            </w:r>
          </w:p>
        </w:tc>
        <w:tc>
          <w:tcPr>
            <w:tcW w:w="2126" w:type="dxa"/>
            <w:shd w:val="clear" w:color="auto" w:fill="auto"/>
            <w:noWrap/>
            <w:vAlign w:val="center"/>
            <w:hideMark/>
          </w:tcPr>
          <w:p w14:paraId="4F1B1908" w14:textId="77777777" w:rsidR="00AA23DA" w:rsidRPr="00545EC0" w:rsidRDefault="00AA23DA" w:rsidP="00A210D3">
            <w:pPr>
              <w:spacing w:line="240" w:lineRule="auto"/>
              <w:jc w:val="left"/>
              <w:rPr>
                <w:rFonts w:cs="Arial"/>
                <w:sz w:val="18"/>
                <w:szCs w:val="22"/>
              </w:rPr>
            </w:pPr>
            <w:r w:rsidRPr="00545EC0">
              <w:rPr>
                <w:rFonts w:cs="Arial"/>
                <w:sz w:val="18"/>
                <w:szCs w:val="22"/>
              </w:rPr>
              <w:t>ŠIKOLE GV1</w:t>
            </w:r>
          </w:p>
        </w:tc>
        <w:tc>
          <w:tcPr>
            <w:tcW w:w="1701" w:type="dxa"/>
            <w:shd w:val="clear" w:color="auto" w:fill="auto"/>
            <w:noWrap/>
            <w:vAlign w:val="center"/>
          </w:tcPr>
          <w:p w14:paraId="5D9C3513" w14:textId="77777777" w:rsidR="00AA23DA" w:rsidRPr="00545EC0" w:rsidRDefault="00AA23DA" w:rsidP="00A210D3">
            <w:pPr>
              <w:spacing w:line="240" w:lineRule="auto"/>
              <w:jc w:val="center"/>
              <w:rPr>
                <w:rFonts w:cs="Arial"/>
                <w:sz w:val="18"/>
                <w:szCs w:val="22"/>
              </w:rPr>
            </w:pPr>
          </w:p>
        </w:tc>
        <w:tc>
          <w:tcPr>
            <w:tcW w:w="1430" w:type="dxa"/>
            <w:shd w:val="clear" w:color="auto" w:fill="auto"/>
            <w:noWrap/>
            <w:vAlign w:val="center"/>
          </w:tcPr>
          <w:p w14:paraId="4CAD0CB1" w14:textId="77777777" w:rsidR="00AA23DA" w:rsidRPr="00545EC0" w:rsidRDefault="00AA23DA" w:rsidP="00A210D3">
            <w:pPr>
              <w:spacing w:line="240" w:lineRule="auto"/>
              <w:jc w:val="center"/>
              <w:rPr>
                <w:rFonts w:cs="Arial"/>
                <w:sz w:val="18"/>
                <w:szCs w:val="22"/>
              </w:rPr>
            </w:pPr>
            <w:r w:rsidRPr="00545EC0">
              <w:rPr>
                <w:rFonts w:cs="Arial"/>
                <w:sz w:val="18"/>
                <w:szCs w:val="22"/>
              </w:rPr>
              <w:t>0,116</w:t>
            </w:r>
          </w:p>
        </w:tc>
      </w:tr>
      <w:tr w:rsidR="003122F4" w:rsidRPr="00545EC0" w14:paraId="73BBBD62" w14:textId="77777777" w:rsidTr="004C5428">
        <w:trPr>
          <w:trHeight w:val="284"/>
        </w:trPr>
        <w:tc>
          <w:tcPr>
            <w:tcW w:w="960" w:type="dxa"/>
            <w:shd w:val="clear" w:color="auto" w:fill="auto"/>
            <w:noWrap/>
            <w:vAlign w:val="center"/>
            <w:hideMark/>
          </w:tcPr>
          <w:p w14:paraId="3BECF0A5" w14:textId="77777777" w:rsidR="00AA23DA" w:rsidRPr="00545EC0" w:rsidRDefault="00AA23DA" w:rsidP="00A210D3">
            <w:pPr>
              <w:spacing w:line="240" w:lineRule="auto"/>
              <w:jc w:val="right"/>
              <w:rPr>
                <w:rFonts w:cs="Arial"/>
                <w:sz w:val="18"/>
                <w:szCs w:val="22"/>
              </w:rPr>
            </w:pPr>
            <w:r w:rsidRPr="00545EC0">
              <w:rPr>
                <w:rFonts w:cs="Arial"/>
                <w:sz w:val="18"/>
                <w:szCs w:val="22"/>
              </w:rPr>
              <w:t>3012</w:t>
            </w:r>
          </w:p>
        </w:tc>
        <w:tc>
          <w:tcPr>
            <w:tcW w:w="2863" w:type="dxa"/>
            <w:shd w:val="clear" w:color="auto" w:fill="auto"/>
            <w:noWrap/>
            <w:vAlign w:val="center"/>
            <w:hideMark/>
          </w:tcPr>
          <w:p w14:paraId="0BD8C1D6" w14:textId="77777777" w:rsidR="00AA23DA" w:rsidRPr="00545EC0" w:rsidRDefault="00AA23DA" w:rsidP="00A210D3">
            <w:pPr>
              <w:spacing w:line="240" w:lineRule="auto"/>
              <w:jc w:val="left"/>
              <w:rPr>
                <w:rFonts w:cs="Arial"/>
                <w:sz w:val="18"/>
                <w:szCs w:val="22"/>
              </w:rPr>
            </w:pPr>
            <w:r w:rsidRPr="00545EC0">
              <w:rPr>
                <w:rFonts w:cs="Arial"/>
                <w:sz w:val="18"/>
                <w:szCs w:val="22"/>
              </w:rPr>
              <w:t>Dravska kotlina</w:t>
            </w:r>
          </w:p>
        </w:tc>
        <w:tc>
          <w:tcPr>
            <w:tcW w:w="2126" w:type="dxa"/>
            <w:shd w:val="clear" w:color="auto" w:fill="auto"/>
            <w:noWrap/>
            <w:vAlign w:val="center"/>
            <w:hideMark/>
          </w:tcPr>
          <w:p w14:paraId="1590E4B2" w14:textId="77777777" w:rsidR="00AA23DA" w:rsidRPr="00545EC0" w:rsidRDefault="00AA23DA" w:rsidP="00A210D3">
            <w:pPr>
              <w:spacing w:line="240" w:lineRule="auto"/>
              <w:jc w:val="left"/>
              <w:rPr>
                <w:rFonts w:cs="Arial"/>
                <w:sz w:val="18"/>
                <w:szCs w:val="22"/>
              </w:rPr>
            </w:pPr>
            <w:r w:rsidRPr="00545EC0">
              <w:rPr>
                <w:rFonts w:cs="Arial"/>
                <w:sz w:val="18"/>
                <w:szCs w:val="22"/>
              </w:rPr>
              <w:t>ŠIKOLE GV2</w:t>
            </w:r>
          </w:p>
        </w:tc>
        <w:tc>
          <w:tcPr>
            <w:tcW w:w="1701" w:type="dxa"/>
            <w:shd w:val="clear" w:color="auto" w:fill="auto"/>
            <w:noWrap/>
            <w:vAlign w:val="center"/>
          </w:tcPr>
          <w:p w14:paraId="72A22BBF" w14:textId="77777777" w:rsidR="00AA23DA" w:rsidRPr="00545EC0" w:rsidRDefault="00AA23DA" w:rsidP="00A210D3">
            <w:pPr>
              <w:spacing w:line="240" w:lineRule="auto"/>
              <w:jc w:val="center"/>
              <w:rPr>
                <w:rFonts w:cs="Arial"/>
                <w:sz w:val="18"/>
                <w:szCs w:val="22"/>
              </w:rPr>
            </w:pPr>
          </w:p>
        </w:tc>
        <w:tc>
          <w:tcPr>
            <w:tcW w:w="1430" w:type="dxa"/>
            <w:shd w:val="clear" w:color="auto" w:fill="auto"/>
            <w:noWrap/>
            <w:vAlign w:val="center"/>
          </w:tcPr>
          <w:p w14:paraId="5275293C" w14:textId="77777777" w:rsidR="00AA23DA" w:rsidRPr="00545EC0" w:rsidRDefault="00AA23DA" w:rsidP="00A210D3">
            <w:pPr>
              <w:spacing w:line="240" w:lineRule="auto"/>
              <w:jc w:val="center"/>
              <w:rPr>
                <w:rFonts w:cs="Arial"/>
                <w:sz w:val="18"/>
                <w:szCs w:val="22"/>
              </w:rPr>
            </w:pPr>
            <w:r w:rsidRPr="00545EC0">
              <w:rPr>
                <w:rFonts w:cs="Arial"/>
                <w:sz w:val="18"/>
                <w:szCs w:val="22"/>
              </w:rPr>
              <w:t>0,106</w:t>
            </w:r>
          </w:p>
        </w:tc>
      </w:tr>
    </w:tbl>
    <w:p w14:paraId="09DD22C4" w14:textId="77777777" w:rsidR="00AA23DA" w:rsidRPr="00545EC0" w:rsidRDefault="00AA23DA" w:rsidP="00AA23DA">
      <w:pPr>
        <w:rPr>
          <w:rFonts w:cs="Arial"/>
          <w:szCs w:val="22"/>
        </w:rPr>
      </w:pPr>
    </w:p>
    <w:p w14:paraId="038B64D1" w14:textId="275F8015" w:rsidR="00AA23DA" w:rsidRPr="00545EC0" w:rsidRDefault="00AA23DA" w:rsidP="00AA23DA">
      <w:pPr>
        <w:rPr>
          <w:rFonts w:cs="Arial"/>
          <w:szCs w:val="22"/>
        </w:rPr>
      </w:pPr>
      <w:r w:rsidRPr="00545EC0">
        <w:rPr>
          <w:rFonts w:cs="Arial"/>
          <w:szCs w:val="22"/>
        </w:rPr>
        <w:t>Na kraških vodonosnikih je bila presežena mejna vrednost le na enem merilnem mestu in sicer Vir pri Stični. Zaradi preseganja mejne vrednosti na tem merilnem mestu podzemna voda lahko vpliva tudi na ekološko stanje površinskih voda. S</w:t>
      </w:r>
      <w:r w:rsidRPr="00545EC0">
        <w:rPr>
          <w:rFonts w:cs="Arial"/>
          <w:snapToGrid w:val="0"/>
          <w:szCs w:val="22"/>
        </w:rPr>
        <w:t xml:space="preserve"> hidrološkim bilančnim izračunom je bilo ocenjeno prispevno zaledje izvira Vir pri Stični, ki znaša približno 2,3 km</w:t>
      </w:r>
      <w:r w:rsidRPr="00545EC0">
        <w:rPr>
          <w:rFonts w:cs="Arial"/>
          <w:snapToGrid w:val="0"/>
          <w:szCs w:val="22"/>
          <w:vertAlign w:val="superscript"/>
        </w:rPr>
        <w:t>2</w:t>
      </w:r>
      <w:r w:rsidRPr="00545EC0">
        <w:rPr>
          <w:rFonts w:cs="Arial"/>
          <w:snapToGrid w:val="0"/>
          <w:szCs w:val="22"/>
        </w:rPr>
        <w:t xml:space="preserve">. </w:t>
      </w:r>
      <w:r w:rsidRPr="00545EC0">
        <w:rPr>
          <w:rFonts w:cs="Arial"/>
          <w:szCs w:val="22"/>
        </w:rPr>
        <w:t>Ocenjujemo, da zaradi preseganja vsebnosti fosforja na tem merilnem mestu, katerega vplivno območje ni obsežno, ni onesnažen</w:t>
      </w:r>
      <w:r w:rsidR="00A210D3" w:rsidRPr="00545EC0">
        <w:rPr>
          <w:rFonts w:cs="Arial"/>
          <w:szCs w:val="22"/>
        </w:rPr>
        <w:t>ega</w:t>
      </w:r>
      <w:r w:rsidRPr="00545EC0">
        <w:rPr>
          <w:rFonts w:cs="Arial"/>
          <w:szCs w:val="22"/>
        </w:rPr>
        <w:t xml:space="preserve"> več kot 30% vodnega telesa, zato kemijsko stanje vodnega telesa Dolenjski kras, ostaja dobro. </w:t>
      </w:r>
    </w:p>
    <w:p w14:paraId="15A74E77" w14:textId="77777777" w:rsidR="00AA23DA" w:rsidRPr="00545EC0" w:rsidRDefault="00AA23DA" w:rsidP="00AA23DA">
      <w:pPr>
        <w:rPr>
          <w:rFonts w:cs="Arial"/>
          <w:szCs w:val="22"/>
        </w:rPr>
      </w:pPr>
    </w:p>
    <w:p w14:paraId="4E79E8F9" w14:textId="77777777" w:rsidR="00AA23DA" w:rsidRPr="00545EC0" w:rsidRDefault="00AA23DA" w:rsidP="00AA23DA">
      <w:pPr>
        <w:rPr>
          <w:rFonts w:cs="Arial"/>
          <w:szCs w:val="22"/>
        </w:rPr>
      </w:pPr>
      <w:r w:rsidRPr="00545EC0">
        <w:rPr>
          <w:rFonts w:cs="Arial"/>
          <w:szCs w:val="22"/>
        </w:rPr>
        <w:t>Ostala merilna mesta s preseganji se nahajajo na aluvialnih vodonosnikih, tri od teh merilnih mest (Rakova jelša in globoki vrtini na črpališču Šikole) so globoke vrtine. Ocenjujemo, da vpliva podzemne vode na ekološko stanje površinskih voda na aluvilanih vodonosnikih ni.</w:t>
      </w:r>
    </w:p>
    <w:p w14:paraId="35EB65B6" w14:textId="77777777" w:rsidR="00AA23DA" w:rsidRPr="00545EC0" w:rsidRDefault="00AA23DA" w:rsidP="00AA23DA">
      <w:pPr>
        <w:rPr>
          <w:rFonts w:cs="Arial"/>
          <w:szCs w:val="22"/>
        </w:rPr>
      </w:pPr>
    </w:p>
    <w:p w14:paraId="22A9B503" w14:textId="77777777" w:rsidR="00AA23DA" w:rsidRPr="00545EC0" w:rsidRDefault="00AA23DA" w:rsidP="00AA23DA">
      <w:pPr>
        <w:rPr>
          <w:rFonts w:cs="Arial"/>
          <w:szCs w:val="22"/>
          <w:u w:val="single"/>
        </w:rPr>
      </w:pPr>
      <w:r w:rsidRPr="00545EC0">
        <w:rPr>
          <w:rFonts w:cs="Arial"/>
          <w:szCs w:val="22"/>
          <w:u w:val="single"/>
        </w:rPr>
        <w:lastRenderedPageBreak/>
        <w:t>Fitobentos in makrofiti - trofičnost</w:t>
      </w:r>
    </w:p>
    <w:p w14:paraId="6391E8EA" w14:textId="77777777" w:rsidR="00AA23DA" w:rsidRPr="00545EC0" w:rsidRDefault="00AA23DA" w:rsidP="00AA23DA">
      <w:pPr>
        <w:rPr>
          <w:rFonts w:cs="Arial"/>
          <w:szCs w:val="22"/>
        </w:rPr>
      </w:pPr>
    </w:p>
    <w:p w14:paraId="6FA13504" w14:textId="39B4623E" w:rsidR="00AA23DA" w:rsidRPr="00545EC0" w:rsidRDefault="0084387F" w:rsidP="00AA23DA">
      <w:pPr>
        <w:rPr>
          <w:rFonts w:cs="Arial"/>
          <w:szCs w:val="22"/>
        </w:rPr>
      </w:pPr>
      <w:r w:rsidRPr="00545EC0">
        <w:rPr>
          <w:rFonts w:cs="Arial"/>
          <w:szCs w:val="22"/>
        </w:rPr>
        <w:t xml:space="preserve">Za ta načrt upravljanja voda </w:t>
      </w:r>
      <w:r w:rsidR="00AA23DA" w:rsidRPr="00545EC0">
        <w:rPr>
          <w:rFonts w:cs="Arial"/>
          <w:szCs w:val="22"/>
        </w:rPr>
        <w:t xml:space="preserve">je glede na biološki element kakovosti </w:t>
      </w:r>
      <w:r w:rsidRPr="00545EC0">
        <w:rPr>
          <w:rFonts w:cs="Arial"/>
          <w:szCs w:val="22"/>
        </w:rPr>
        <w:t>f</w:t>
      </w:r>
      <w:r w:rsidR="00AA23DA" w:rsidRPr="00545EC0">
        <w:rPr>
          <w:rFonts w:cs="Arial"/>
          <w:szCs w:val="22"/>
        </w:rPr>
        <w:t>itobentos in makrofiti, ki odraža trofično stanje, v zmernem stanju 1</w:t>
      </w:r>
      <w:r w:rsidR="00A210D3" w:rsidRPr="00545EC0">
        <w:rPr>
          <w:rFonts w:cs="Arial"/>
          <w:szCs w:val="22"/>
        </w:rPr>
        <w:t>5</w:t>
      </w:r>
      <w:r w:rsidR="00AA23DA" w:rsidRPr="00545EC0">
        <w:rPr>
          <w:rFonts w:cs="Arial"/>
          <w:szCs w:val="22"/>
        </w:rPr>
        <w:t xml:space="preserve"> vodnih teles površinskih voda (</w:t>
      </w:r>
      <w:r w:rsidR="00E24A46" w:rsidRPr="00545EC0">
        <w:rPr>
          <w:rFonts w:cs="Arial"/>
          <w:szCs w:val="22"/>
        </w:rPr>
        <w:fldChar w:fldCharType="begin"/>
      </w:r>
      <w:r w:rsidR="00E24A46" w:rsidRPr="00545EC0">
        <w:rPr>
          <w:rFonts w:cs="Arial"/>
          <w:szCs w:val="22"/>
        </w:rPr>
        <w:instrText xml:space="preserve"> REF _Ref75766806 \h  \* MERGEFORMAT </w:instrText>
      </w:r>
      <w:r w:rsidR="00E24A46" w:rsidRPr="00545EC0">
        <w:rPr>
          <w:rFonts w:cs="Arial"/>
          <w:szCs w:val="22"/>
        </w:rPr>
      </w:r>
      <w:r w:rsidR="00E24A46" w:rsidRPr="00545EC0">
        <w:rPr>
          <w:rFonts w:cs="Arial"/>
          <w:szCs w:val="22"/>
        </w:rPr>
        <w:fldChar w:fldCharType="separate"/>
      </w:r>
      <w:r w:rsidR="002F3E43" w:rsidRPr="00545EC0">
        <w:rPr>
          <w:szCs w:val="20"/>
        </w:rPr>
        <w:t xml:space="preserve">Preglednica </w:t>
      </w:r>
      <w:r w:rsidR="002F3E43">
        <w:rPr>
          <w:noProof/>
          <w:szCs w:val="20"/>
        </w:rPr>
        <w:t>3</w:t>
      </w:r>
      <w:r w:rsidR="002F3E43" w:rsidRPr="00545EC0">
        <w:rPr>
          <w:noProof/>
          <w:szCs w:val="20"/>
        </w:rPr>
        <w:noBreakHyphen/>
      </w:r>
      <w:r w:rsidR="002F3E43">
        <w:rPr>
          <w:noProof/>
          <w:szCs w:val="20"/>
        </w:rPr>
        <w:t>15</w:t>
      </w:r>
      <w:r w:rsidR="00E24A46" w:rsidRPr="00545EC0">
        <w:rPr>
          <w:rFonts w:cs="Arial"/>
          <w:szCs w:val="22"/>
        </w:rPr>
        <w:fldChar w:fldCharType="end"/>
      </w:r>
      <w:r w:rsidR="00AA23DA" w:rsidRPr="00545EC0">
        <w:rPr>
          <w:rFonts w:cs="Arial"/>
          <w:szCs w:val="22"/>
        </w:rPr>
        <w:t xml:space="preserve">). Na podlagi rezultatov analiz vzorcev vode in ocene po najstrožjem kriteriju za vsebnost nitrata in fosforja </w:t>
      </w:r>
      <w:r w:rsidR="00F409EE" w:rsidRPr="00545EC0">
        <w:rPr>
          <w:rFonts w:cs="Arial"/>
          <w:szCs w:val="22"/>
        </w:rPr>
        <w:t xml:space="preserve">je </w:t>
      </w:r>
      <w:r w:rsidR="00AA23DA" w:rsidRPr="00545EC0">
        <w:rPr>
          <w:rFonts w:cs="Arial"/>
          <w:szCs w:val="22"/>
        </w:rPr>
        <w:t>ocen</w:t>
      </w:r>
      <w:r w:rsidR="00F409EE" w:rsidRPr="00545EC0">
        <w:rPr>
          <w:rFonts w:cs="Arial"/>
          <w:szCs w:val="22"/>
        </w:rPr>
        <w:t>jeno</w:t>
      </w:r>
      <w:r w:rsidR="00AA23DA" w:rsidRPr="00545EC0">
        <w:rPr>
          <w:rFonts w:cs="Arial"/>
          <w:szCs w:val="22"/>
        </w:rPr>
        <w:t>, da vsebnost hranil v podzemni vodi na kakovost površinske vode ne vpliva. Kljub temu pa ne moremo izključiti dejstva, da podzemna voda ob določenih hidrološki</w:t>
      </w:r>
      <w:r w:rsidR="00A210D3" w:rsidRPr="00545EC0">
        <w:rPr>
          <w:rFonts w:cs="Arial"/>
          <w:szCs w:val="22"/>
        </w:rPr>
        <w:t>h</w:t>
      </w:r>
      <w:r w:rsidR="00AA23DA" w:rsidRPr="00545EC0">
        <w:rPr>
          <w:rFonts w:cs="Arial"/>
          <w:szCs w:val="22"/>
        </w:rPr>
        <w:t xml:space="preserve"> situacijah lahko vpliva tudi površinsko vodo.</w:t>
      </w:r>
    </w:p>
    <w:p w14:paraId="28D0AD29" w14:textId="77777777" w:rsidR="00AA23DA" w:rsidRPr="00545EC0" w:rsidRDefault="00AA23DA" w:rsidP="00AA23DA">
      <w:pPr>
        <w:rPr>
          <w:rFonts w:cs="Arial"/>
          <w:szCs w:val="22"/>
        </w:rPr>
      </w:pPr>
    </w:p>
    <w:p w14:paraId="688FB796" w14:textId="77777777" w:rsidR="00AA23DA" w:rsidRPr="00545EC0" w:rsidRDefault="00AA23DA" w:rsidP="00AA23DA">
      <w:pPr>
        <w:rPr>
          <w:rFonts w:cs="Arial"/>
          <w:szCs w:val="22"/>
          <w:u w:val="single"/>
        </w:rPr>
      </w:pPr>
      <w:r w:rsidRPr="00545EC0">
        <w:rPr>
          <w:rFonts w:cs="Arial"/>
          <w:szCs w:val="22"/>
          <w:u w:val="single"/>
        </w:rPr>
        <w:t>Posebna onesnaževala</w:t>
      </w:r>
    </w:p>
    <w:p w14:paraId="6C82F072" w14:textId="77777777" w:rsidR="00AA23DA" w:rsidRPr="00545EC0" w:rsidRDefault="00AA23DA" w:rsidP="00AA23DA">
      <w:pPr>
        <w:rPr>
          <w:rFonts w:cs="Arial"/>
          <w:szCs w:val="22"/>
        </w:rPr>
      </w:pPr>
    </w:p>
    <w:p w14:paraId="764F4863" w14:textId="3485436A" w:rsidR="00AA23DA" w:rsidRPr="00545EC0" w:rsidRDefault="00AA23DA" w:rsidP="00AA23DA">
      <w:pPr>
        <w:rPr>
          <w:rFonts w:cs="Arial"/>
          <w:szCs w:val="22"/>
        </w:rPr>
      </w:pPr>
      <w:r w:rsidRPr="00545EC0">
        <w:rPr>
          <w:rFonts w:cs="Arial"/>
          <w:szCs w:val="22"/>
        </w:rPr>
        <w:t xml:space="preserve">Glede na vsebnost posebnih onesnaževal je bilo na vodnem območju Donave v zmernem ekološkem stanju 11 vodnih teles površinskih voda. Parametri, ki so bili vzrok za zmerno stanje so bili sulfat, kovine </w:t>
      </w:r>
      <w:r w:rsidR="00075C40" w:rsidRPr="00545EC0">
        <w:rPr>
          <w:rFonts w:cs="Arial"/>
          <w:szCs w:val="22"/>
        </w:rPr>
        <w:t>(</w:t>
      </w:r>
      <w:r w:rsidRPr="00545EC0">
        <w:rPr>
          <w:rFonts w:cs="Arial"/>
          <w:szCs w:val="22"/>
        </w:rPr>
        <w:t>molibden, cink in kobalt</w:t>
      </w:r>
      <w:r w:rsidR="00075C40" w:rsidRPr="00545EC0">
        <w:rPr>
          <w:rFonts w:cs="Arial"/>
          <w:szCs w:val="22"/>
        </w:rPr>
        <w:t>)</w:t>
      </w:r>
      <w:r w:rsidRPr="00545EC0">
        <w:rPr>
          <w:rFonts w:cs="Arial"/>
          <w:szCs w:val="22"/>
        </w:rPr>
        <w:t xml:space="preserve">, </w:t>
      </w:r>
      <w:r w:rsidR="003F212C" w:rsidRPr="00545EC0">
        <w:rPr>
          <w:rFonts w:cs="Arial"/>
          <w:szCs w:val="22"/>
        </w:rPr>
        <w:t xml:space="preserve">fitofarmacevtska sredstva </w:t>
      </w:r>
      <w:r w:rsidR="00075C40" w:rsidRPr="00545EC0">
        <w:rPr>
          <w:rFonts w:cs="Arial"/>
          <w:szCs w:val="22"/>
        </w:rPr>
        <w:t>(</w:t>
      </w:r>
      <w:r w:rsidRPr="00545EC0">
        <w:rPr>
          <w:rFonts w:cs="Arial"/>
          <w:szCs w:val="22"/>
        </w:rPr>
        <w:t>metolaklor in terbutilazin</w:t>
      </w:r>
      <w:r w:rsidR="00075C40" w:rsidRPr="00545EC0">
        <w:rPr>
          <w:rFonts w:cs="Arial"/>
          <w:szCs w:val="22"/>
        </w:rPr>
        <w:t>)</w:t>
      </w:r>
      <w:r w:rsidRPr="00545EC0">
        <w:rPr>
          <w:rFonts w:cs="Arial"/>
          <w:szCs w:val="22"/>
        </w:rPr>
        <w:t xml:space="preserve"> ter PCB. Vrednotenje merilnih mest podzemne vode glede na mejne vrednosti za posebna onesnaževala je pokazalo, da je edino merilno mesto v podzemni vodi z zmernim stanjem izvir reke Krupe in sicer je presežena vsebnost PCB.</w:t>
      </w:r>
    </w:p>
    <w:p w14:paraId="057E40EA" w14:textId="77777777" w:rsidR="004445A0" w:rsidRPr="00545EC0" w:rsidRDefault="004445A0" w:rsidP="00AA23DA">
      <w:pPr>
        <w:rPr>
          <w:rFonts w:cs="Arial"/>
          <w:szCs w:val="22"/>
        </w:rPr>
      </w:pPr>
    </w:p>
    <w:p w14:paraId="378729F5" w14:textId="1A71F6C6" w:rsidR="00AA23DA" w:rsidRPr="00545EC0" w:rsidRDefault="00AA23DA" w:rsidP="00AA23DA">
      <w:pPr>
        <w:rPr>
          <w:rFonts w:cs="Arial"/>
          <w:szCs w:val="22"/>
        </w:rPr>
      </w:pPr>
      <w:r w:rsidRPr="00545EC0">
        <w:rPr>
          <w:rFonts w:cs="Arial"/>
          <w:szCs w:val="22"/>
        </w:rPr>
        <w:t xml:space="preserve">Obremenjenost semiškega območja s PCB </w:t>
      </w:r>
      <w:r w:rsidR="00164188" w:rsidRPr="00545EC0">
        <w:rPr>
          <w:rFonts w:cs="Arial"/>
          <w:szCs w:val="22"/>
        </w:rPr>
        <w:t xml:space="preserve">je posledica </w:t>
      </w:r>
      <w:r w:rsidRPr="00545EC0">
        <w:rPr>
          <w:rFonts w:cs="Arial"/>
          <w:szCs w:val="22"/>
        </w:rPr>
        <w:t>pretekle proizvodnje kondenzatorjev v letih 1962 – 1985 v tovarni Iskra Semič</w:t>
      </w:r>
      <w:r w:rsidR="00164188" w:rsidRPr="00545EC0">
        <w:rPr>
          <w:rFonts w:cs="Arial"/>
          <w:szCs w:val="22"/>
        </w:rPr>
        <w:t>.</w:t>
      </w:r>
      <w:r w:rsidRPr="00545EC0">
        <w:rPr>
          <w:rFonts w:cs="Arial"/>
          <w:szCs w:val="22"/>
        </w:rPr>
        <w:t xml:space="preserve"> </w:t>
      </w:r>
      <w:r w:rsidR="00164188" w:rsidRPr="00545EC0">
        <w:rPr>
          <w:rFonts w:cs="Arial"/>
          <w:szCs w:val="22"/>
        </w:rPr>
        <w:t>Z</w:t>
      </w:r>
      <w:r w:rsidRPr="00545EC0">
        <w:rPr>
          <w:rFonts w:cs="Arial"/>
          <w:szCs w:val="22"/>
        </w:rPr>
        <w:t>aradi emisij iz proizvodnje in neustrezno odloženih odpadkov v okolje je prišlo do izcejanja v kraško podzemlje in do onesnaženja belokranjskega krasa, predvsem v vodnem zaledju vodotoka Krupa.</w:t>
      </w:r>
      <w:r w:rsidRPr="00545EC0">
        <w:rPr>
          <w:rFonts w:cs="Arial"/>
        </w:rPr>
        <w:t xml:space="preserve"> </w:t>
      </w:r>
      <w:r w:rsidRPr="00545EC0">
        <w:rPr>
          <w:rFonts w:cs="Arial"/>
          <w:szCs w:val="22"/>
        </w:rPr>
        <w:t>Onesnaženje izvira Krupe s PCB ostaja tudi po več kot tridesetih letih še vedno problem, saj se vpliv starega bremena v zaledju izvira Krupe še vedno odraža na kakovosti tako pod</w:t>
      </w:r>
      <w:r w:rsidR="00E24A46" w:rsidRPr="00545EC0">
        <w:rPr>
          <w:rFonts w:cs="Arial"/>
          <w:szCs w:val="22"/>
        </w:rPr>
        <w:t>zemne kot tudi površinske vode.</w:t>
      </w:r>
    </w:p>
    <w:p w14:paraId="1C2B0A38" w14:textId="77777777" w:rsidR="00164188" w:rsidRPr="00545EC0" w:rsidRDefault="00164188" w:rsidP="00AA23DA">
      <w:pPr>
        <w:rPr>
          <w:rFonts w:cs="Arial"/>
        </w:rPr>
      </w:pPr>
    </w:p>
    <w:p w14:paraId="5254413C" w14:textId="77777777" w:rsidR="00AA23DA" w:rsidRPr="00545EC0" w:rsidRDefault="00AA23DA" w:rsidP="00AA23DA">
      <w:pPr>
        <w:rPr>
          <w:rFonts w:cs="Arial"/>
          <w:b/>
        </w:rPr>
      </w:pPr>
      <w:r w:rsidRPr="00545EC0">
        <w:rPr>
          <w:rFonts w:cs="Arial"/>
          <w:b/>
        </w:rPr>
        <w:t>Preizkus 3: Vpliv na vodne in kopenske ekosisteme, odvisne od podzemne vode</w:t>
      </w:r>
    </w:p>
    <w:p w14:paraId="05576C06" w14:textId="77777777" w:rsidR="00AA23DA" w:rsidRPr="00545EC0" w:rsidRDefault="00AA23DA" w:rsidP="00AA23DA">
      <w:pPr>
        <w:rPr>
          <w:rFonts w:cs="Arial"/>
        </w:rPr>
      </w:pPr>
    </w:p>
    <w:p w14:paraId="05D7D1C3" w14:textId="207F8BF7" w:rsidR="00AA23DA" w:rsidRPr="00545EC0" w:rsidRDefault="00AA23DA" w:rsidP="00AA23DA">
      <w:pPr>
        <w:rPr>
          <w:rFonts w:cs="Arial"/>
          <w:snapToGrid w:val="0"/>
          <w:szCs w:val="22"/>
        </w:rPr>
      </w:pPr>
      <w:r w:rsidRPr="00545EC0">
        <w:rPr>
          <w:rFonts w:cs="Arial"/>
          <w:snapToGrid w:val="0"/>
          <w:szCs w:val="22"/>
        </w:rPr>
        <w:t xml:space="preserve">Slovenija je tako kot vse evropske države definirala območja NATURA 2000 z namenom ohranjanja biotske raznovrstnosti in varovanja naravnih habitatov ogroženih rastlinskih in živalskih vrst. Pravno podlago za vzpostavljanje območij NATURA 2000 predstavljata </w:t>
      </w:r>
      <w:r w:rsidR="00E15650" w:rsidRPr="00545EC0">
        <w:rPr>
          <w:rFonts w:cs="Arial"/>
          <w:snapToGrid w:val="0"/>
          <w:szCs w:val="22"/>
        </w:rPr>
        <w:t xml:space="preserve">habitatna direktiva </w:t>
      </w:r>
      <w:r w:rsidRPr="00545EC0">
        <w:rPr>
          <w:rFonts w:cs="Arial"/>
          <w:snapToGrid w:val="0"/>
          <w:szCs w:val="22"/>
        </w:rPr>
        <w:t xml:space="preserve">in </w:t>
      </w:r>
      <w:r w:rsidR="00E15650" w:rsidRPr="00545EC0">
        <w:rPr>
          <w:rFonts w:cs="Arial"/>
          <w:snapToGrid w:val="0"/>
          <w:szCs w:val="22"/>
        </w:rPr>
        <w:t>ptičja direktiva</w:t>
      </w:r>
      <w:r w:rsidRPr="00545EC0">
        <w:rPr>
          <w:rFonts w:cs="Arial"/>
          <w:snapToGrid w:val="0"/>
          <w:szCs w:val="22"/>
        </w:rPr>
        <w:t xml:space="preserve">. Med območji NATURA 2000 so </w:t>
      </w:r>
      <w:r w:rsidR="00E15650" w:rsidRPr="00545EC0">
        <w:rPr>
          <w:rFonts w:cs="Arial"/>
          <w:snapToGrid w:val="0"/>
          <w:szCs w:val="22"/>
        </w:rPr>
        <w:t>določena</w:t>
      </w:r>
      <w:r w:rsidRPr="00545EC0">
        <w:rPr>
          <w:rFonts w:cs="Arial"/>
          <w:snapToGrid w:val="0"/>
          <w:szCs w:val="22"/>
        </w:rPr>
        <w:t xml:space="preserve"> tudi območja, odvisna od podzemne vode. Natura 2000 definira območja - ekosisteme rastlinskih in živalskih vrst ter njihovih habitatov, ki jih je potrebno ohraniti ali obnoviti. Zavod R</w:t>
      </w:r>
      <w:r w:rsidR="00926EA0" w:rsidRPr="00545EC0">
        <w:rPr>
          <w:rFonts w:cs="Arial"/>
          <w:snapToGrid w:val="0"/>
          <w:szCs w:val="22"/>
        </w:rPr>
        <w:t xml:space="preserve">epublike </w:t>
      </w:r>
      <w:r w:rsidRPr="00545EC0">
        <w:rPr>
          <w:rFonts w:cs="Arial"/>
          <w:snapToGrid w:val="0"/>
          <w:szCs w:val="22"/>
        </w:rPr>
        <w:t>S</w:t>
      </w:r>
      <w:r w:rsidR="00926EA0" w:rsidRPr="00545EC0">
        <w:rPr>
          <w:rFonts w:cs="Arial"/>
          <w:snapToGrid w:val="0"/>
          <w:szCs w:val="22"/>
        </w:rPr>
        <w:t>lovenije</w:t>
      </w:r>
      <w:r w:rsidRPr="00545EC0">
        <w:rPr>
          <w:rFonts w:cs="Arial"/>
          <w:snapToGrid w:val="0"/>
          <w:szCs w:val="22"/>
        </w:rPr>
        <w:t xml:space="preserve"> za varstvo narave je pripravil seznam ogroženih ekosistemov, ki se nahajajo na območju Nature 2000. </w:t>
      </w:r>
    </w:p>
    <w:p w14:paraId="4396E66E" w14:textId="77777777" w:rsidR="00AA23DA" w:rsidRPr="00545EC0" w:rsidRDefault="00AA23DA" w:rsidP="00AA23DA">
      <w:pPr>
        <w:rPr>
          <w:rFonts w:cs="Arial"/>
          <w:snapToGrid w:val="0"/>
          <w:szCs w:val="22"/>
        </w:rPr>
      </w:pPr>
    </w:p>
    <w:p w14:paraId="0F12D378" w14:textId="5829BB4A" w:rsidR="00AA23DA" w:rsidRPr="00545EC0" w:rsidRDefault="00AA23DA" w:rsidP="00AA23DA">
      <w:pPr>
        <w:rPr>
          <w:rFonts w:cs="Arial"/>
          <w:snapToGrid w:val="0"/>
          <w:szCs w:val="22"/>
        </w:rPr>
      </w:pPr>
      <w:r w:rsidRPr="00545EC0">
        <w:rPr>
          <w:rFonts w:cs="Arial"/>
          <w:snapToGrid w:val="0"/>
          <w:szCs w:val="22"/>
        </w:rPr>
        <w:t xml:space="preserve">Seznam poškodovanih oziroma ogroženih ekosistemov </w:t>
      </w:r>
      <w:r w:rsidR="00075C40" w:rsidRPr="00545EC0">
        <w:rPr>
          <w:rFonts w:cs="Arial"/>
          <w:snapToGrid w:val="0"/>
          <w:szCs w:val="22"/>
        </w:rPr>
        <w:t>zajema</w:t>
      </w:r>
      <w:r w:rsidRPr="00545EC0">
        <w:rPr>
          <w:rFonts w:cs="Arial"/>
          <w:snapToGrid w:val="0"/>
          <w:szCs w:val="22"/>
        </w:rPr>
        <w:t>:</w:t>
      </w:r>
    </w:p>
    <w:p w14:paraId="60475D56" w14:textId="77777777" w:rsidR="00AA23DA" w:rsidRPr="00545EC0" w:rsidRDefault="00AA23DA" w:rsidP="00AA23DA">
      <w:pPr>
        <w:rPr>
          <w:rFonts w:cs="Arial"/>
          <w:snapToGrid w:val="0"/>
          <w:szCs w:val="22"/>
        </w:rPr>
      </w:pPr>
      <w:r w:rsidRPr="00545EC0">
        <w:rPr>
          <w:rFonts w:cs="Arial"/>
          <w:snapToGrid w:val="0"/>
          <w:szCs w:val="22"/>
        </w:rPr>
        <w:t>•</w:t>
      </w:r>
      <w:r w:rsidRPr="00545EC0">
        <w:rPr>
          <w:rFonts w:cs="Arial"/>
          <w:snapToGrid w:val="0"/>
          <w:szCs w:val="22"/>
        </w:rPr>
        <w:tab/>
        <w:t>Ilirski hrastovo-belogabrovi gozdovi,</w:t>
      </w:r>
    </w:p>
    <w:p w14:paraId="2CD495AB" w14:textId="77777777" w:rsidR="00AA23DA" w:rsidRPr="00545EC0" w:rsidRDefault="00AA23DA" w:rsidP="00AA23DA">
      <w:pPr>
        <w:rPr>
          <w:rFonts w:cs="Arial"/>
          <w:snapToGrid w:val="0"/>
          <w:szCs w:val="22"/>
        </w:rPr>
      </w:pPr>
      <w:r w:rsidRPr="00545EC0">
        <w:rPr>
          <w:rFonts w:cs="Arial"/>
          <w:snapToGrid w:val="0"/>
          <w:szCs w:val="22"/>
        </w:rPr>
        <w:t>•</w:t>
      </w:r>
      <w:r w:rsidRPr="00545EC0">
        <w:rPr>
          <w:rFonts w:cs="Arial"/>
          <w:snapToGrid w:val="0"/>
          <w:szCs w:val="22"/>
        </w:rPr>
        <w:tab/>
        <w:t>obrečni hrastovo-jesenovo-brestovi gozdovi,</w:t>
      </w:r>
    </w:p>
    <w:p w14:paraId="727E8A66" w14:textId="77777777" w:rsidR="00AA23DA" w:rsidRPr="00545EC0" w:rsidRDefault="00AA23DA" w:rsidP="00AA23DA">
      <w:pPr>
        <w:rPr>
          <w:rFonts w:cs="Arial"/>
          <w:snapToGrid w:val="0"/>
          <w:szCs w:val="22"/>
        </w:rPr>
      </w:pPr>
      <w:r w:rsidRPr="00545EC0">
        <w:rPr>
          <w:rFonts w:cs="Arial"/>
          <w:snapToGrid w:val="0"/>
          <w:szCs w:val="22"/>
        </w:rPr>
        <w:t>•</w:t>
      </w:r>
      <w:r w:rsidRPr="00545EC0">
        <w:rPr>
          <w:rFonts w:cs="Arial"/>
          <w:snapToGrid w:val="0"/>
          <w:szCs w:val="22"/>
        </w:rPr>
        <w:tab/>
        <w:t>obrečna vrbovja, jelševja in jesenovja,</w:t>
      </w:r>
    </w:p>
    <w:p w14:paraId="7B905D9E" w14:textId="77777777" w:rsidR="00AA23DA" w:rsidRPr="00545EC0" w:rsidRDefault="00AA23DA" w:rsidP="00AA23DA">
      <w:pPr>
        <w:rPr>
          <w:rFonts w:cs="Arial"/>
          <w:snapToGrid w:val="0"/>
          <w:szCs w:val="22"/>
        </w:rPr>
      </w:pPr>
      <w:r w:rsidRPr="00545EC0">
        <w:rPr>
          <w:rFonts w:cs="Arial"/>
          <w:snapToGrid w:val="0"/>
          <w:szCs w:val="22"/>
        </w:rPr>
        <w:t>•</w:t>
      </w:r>
      <w:r w:rsidRPr="00545EC0">
        <w:rPr>
          <w:rFonts w:cs="Arial"/>
          <w:snapToGrid w:val="0"/>
          <w:szCs w:val="22"/>
        </w:rPr>
        <w:tab/>
        <w:t>školjka Kuščerjeva kongeria,</w:t>
      </w:r>
    </w:p>
    <w:p w14:paraId="6C646C42" w14:textId="77777777" w:rsidR="00AA23DA" w:rsidRPr="00545EC0" w:rsidRDefault="00AA23DA" w:rsidP="00AA23DA">
      <w:pPr>
        <w:rPr>
          <w:rFonts w:cs="Arial"/>
          <w:snapToGrid w:val="0"/>
          <w:szCs w:val="22"/>
        </w:rPr>
      </w:pPr>
      <w:r w:rsidRPr="00545EC0">
        <w:rPr>
          <w:rFonts w:cs="Arial"/>
          <w:snapToGrid w:val="0"/>
          <w:szCs w:val="22"/>
        </w:rPr>
        <w:t>•</w:t>
      </w:r>
      <w:r w:rsidRPr="00545EC0">
        <w:rPr>
          <w:rFonts w:cs="Arial"/>
          <w:snapToGrid w:val="0"/>
          <w:szCs w:val="22"/>
        </w:rPr>
        <w:tab/>
        <w:t>človeška ribica,</w:t>
      </w:r>
    </w:p>
    <w:p w14:paraId="639A158A" w14:textId="77777777" w:rsidR="00AA23DA" w:rsidRPr="00545EC0" w:rsidRDefault="00AA23DA" w:rsidP="00AA23DA">
      <w:pPr>
        <w:rPr>
          <w:rFonts w:cs="Arial"/>
          <w:snapToGrid w:val="0"/>
          <w:szCs w:val="22"/>
        </w:rPr>
      </w:pPr>
      <w:r w:rsidRPr="00545EC0">
        <w:rPr>
          <w:rFonts w:cs="Arial"/>
          <w:snapToGrid w:val="0"/>
          <w:szCs w:val="22"/>
        </w:rPr>
        <w:t>•</w:t>
      </w:r>
      <w:r w:rsidRPr="00545EC0">
        <w:rPr>
          <w:rFonts w:cs="Arial"/>
          <w:snapToGrid w:val="0"/>
          <w:szCs w:val="22"/>
        </w:rPr>
        <w:tab/>
        <w:t>jame, ki niso odprte za javnost in</w:t>
      </w:r>
    </w:p>
    <w:p w14:paraId="293928D3" w14:textId="77777777" w:rsidR="00AA23DA" w:rsidRPr="00545EC0" w:rsidRDefault="00AA23DA" w:rsidP="00AA23DA">
      <w:pPr>
        <w:rPr>
          <w:rFonts w:cs="Arial"/>
          <w:snapToGrid w:val="0"/>
          <w:szCs w:val="22"/>
        </w:rPr>
      </w:pPr>
      <w:r w:rsidRPr="00545EC0">
        <w:rPr>
          <w:rFonts w:cs="Arial"/>
          <w:snapToGrid w:val="0"/>
          <w:szCs w:val="22"/>
        </w:rPr>
        <w:t>•</w:t>
      </w:r>
      <w:r w:rsidRPr="00545EC0">
        <w:rPr>
          <w:rFonts w:cs="Arial"/>
          <w:snapToGrid w:val="0"/>
          <w:szCs w:val="22"/>
        </w:rPr>
        <w:tab/>
        <w:t>lehnjakotvorni izviri (Cratoneurion).</w:t>
      </w:r>
    </w:p>
    <w:p w14:paraId="10DFEA64" w14:textId="77777777" w:rsidR="00AA23DA" w:rsidRPr="00545EC0" w:rsidRDefault="00AA23DA" w:rsidP="00AA23DA">
      <w:pPr>
        <w:rPr>
          <w:rFonts w:cs="Arial"/>
          <w:snapToGrid w:val="0"/>
          <w:szCs w:val="22"/>
        </w:rPr>
      </w:pPr>
    </w:p>
    <w:p w14:paraId="36EFF00F" w14:textId="2114CECA" w:rsidR="00AA23DA" w:rsidRPr="00545EC0" w:rsidRDefault="00AA23DA" w:rsidP="00AA23DA">
      <w:pPr>
        <w:rPr>
          <w:rFonts w:cs="Arial"/>
          <w:snapToGrid w:val="0"/>
          <w:szCs w:val="22"/>
        </w:rPr>
      </w:pPr>
      <w:r w:rsidRPr="00545EC0">
        <w:rPr>
          <w:rFonts w:cs="Arial"/>
          <w:snapToGrid w:val="0"/>
          <w:szCs w:val="22"/>
        </w:rPr>
        <w:t>Za ohranitev in obnovitev gozdnih habitatov je pomembna predvsem količina vode, medtem ko za človeško ribico in školjke pomembno vlogo odigra kakovost vode.</w:t>
      </w:r>
    </w:p>
    <w:p w14:paraId="02CF39B7" w14:textId="77777777" w:rsidR="00AA23DA" w:rsidRPr="00545EC0" w:rsidRDefault="00AA23DA" w:rsidP="00AA23DA">
      <w:pPr>
        <w:rPr>
          <w:rFonts w:cs="Arial"/>
          <w:snapToGrid w:val="0"/>
          <w:szCs w:val="22"/>
        </w:rPr>
      </w:pPr>
    </w:p>
    <w:p w14:paraId="6DF2E91B" w14:textId="7583AC1E" w:rsidR="00A7600A" w:rsidRPr="00545EC0" w:rsidRDefault="00A7600A" w:rsidP="00A7600A">
      <w:pPr>
        <w:rPr>
          <w:rFonts w:cs="Arial"/>
          <w:szCs w:val="20"/>
        </w:rPr>
      </w:pPr>
      <w:r w:rsidRPr="00545EC0">
        <w:rPr>
          <w:rFonts w:cs="Arial"/>
          <w:szCs w:val="20"/>
        </w:rPr>
        <w:t>Med območji NATURA 2000 so definirana tudi območja, odvisna od podzemne vode. Med tovrstna območja spada tudi območje, kjer prebiva človeška ribica (Proteus anguinus) in obsegajo območje Dinarskega krasa južne in jugo-vzhodne Slovenije.</w:t>
      </w:r>
      <w:r w:rsidR="00164188" w:rsidRPr="00545EC0">
        <w:rPr>
          <w:rFonts w:cs="Arial"/>
          <w:szCs w:val="20"/>
        </w:rPr>
        <w:t xml:space="preserve"> </w:t>
      </w:r>
      <w:r w:rsidR="00164188" w:rsidRPr="00545EC0">
        <w:rPr>
          <w:rFonts w:cs="Arial"/>
          <w:snapToGrid w:val="0"/>
          <w:szCs w:val="22"/>
        </w:rPr>
        <w:t xml:space="preserve">Človeška ribica (v Sloveniji najdemo belo in črno </w:t>
      </w:r>
      <w:r w:rsidR="00164188" w:rsidRPr="00545EC0">
        <w:rPr>
          <w:rFonts w:cs="Arial"/>
          <w:snapToGrid w:val="0"/>
          <w:szCs w:val="22"/>
        </w:rPr>
        <w:lastRenderedPageBreak/>
        <w:t xml:space="preserve">podvrsto) živi kraškem podzemlju in celo življenje preživi v vodi. Glede na to, da lahko živi tudi preko 50 let, je kakovost vode v kateri živi, še kako pomembna. Zato vsako onesnaženje, tako kratkotrajno kot tudi dolgotrajno vpliva na katerikoli razvojni stadij človeške ribice. </w:t>
      </w:r>
      <w:r w:rsidRPr="00545EC0">
        <w:rPr>
          <w:rFonts w:cs="Arial"/>
          <w:szCs w:val="20"/>
        </w:rPr>
        <w:t xml:space="preserve">V skladu s </w:t>
      </w:r>
      <w:r w:rsidR="008F0606" w:rsidRPr="00545EC0">
        <w:rPr>
          <w:rFonts w:cs="Arial"/>
          <w:szCs w:val="20"/>
        </w:rPr>
        <w:t xml:space="preserve">predpisom, ki ureja </w:t>
      </w:r>
      <w:r w:rsidRPr="00545EC0">
        <w:rPr>
          <w:rFonts w:cs="Arial"/>
          <w:szCs w:val="20"/>
        </w:rPr>
        <w:t>določi</w:t>
      </w:r>
      <w:r w:rsidR="008F0606" w:rsidRPr="00545EC0">
        <w:rPr>
          <w:rFonts w:cs="Arial"/>
          <w:szCs w:val="20"/>
        </w:rPr>
        <w:t>tev</w:t>
      </w:r>
      <w:r w:rsidRPr="00545EC0">
        <w:rPr>
          <w:rFonts w:cs="Arial"/>
          <w:szCs w:val="20"/>
        </w:rPr>
        <w:t xml:space="preserve"> vodnih teles podzemnih voda ta del podzemne vode spada v </w:t>
      </w:r>
      <w:r w:rsidR="00164188" w:rsidRPr="00545EC0">
        <w:rPr>
          <w:rFonts w:cs="Arial"/>
          <w:szCs w:val="20"/>
        </w:rPr>
        <w:t xml:space="preserve">dve vodni telesi podzemne </w:t>
      </w:r>
      <w:r w:rsidRPr="00545EC0">
        <w:rPr>
          <w:rFonts w:cs="Arial"/>
          <w:szCs w:val="20"/>
        </w:rPr>
        <w:t xml:space="preserve"> vode</w:t>
      </w:r>
      <w:r w:rsidR="00164188" w:rsidRPr="00545EC0">
        <w:rPr>
          <w:rFonts w:cs="Arial"/>
          <w:szCs w:val="20"/>
        </w:rPr>
        <w:t xml:space="preserve"> na VO Donave</w:t>
      </w:r>
      <w:r w:rsidRPr="00545EC0">
        <w:rPr>
          <w:rFonts w:cs="Arial"/>
          <w:szCs w:val="20"/>
        </w:rPr>
        <w:t>, in sicer v vodna telesa Kraška Ljubljanica</w:t>
      </w:r>
      <w:r w:rsidR="00164188" w:rsidRPr="00545EC0">
        <w:rPr>
          <w:rFonts w:cs="Arial"/>
          <w:szCs w:val="20"/>
        </w:rPr>
        <w:t xml:space="preserve"> in</w:t>
      </w:r>
      <w:r w:rsidRPr="00545EC0">
        <w:rPr>
          <w:rFonts w:cs="Arial"/>
          <w:szCs w:val="20"/>
        </w:rPr>
        <w:t xml:space="preserve"> Dolenjski kras. </w:t>
      </w:r>
    </w:p>
    <w:p w14:paraId="1AE59D4F" w14:textId="77777777" w:rsidR="00A7600A" w:rsidRPr="00545EC0" w:rsidRDefault="00A7600A" w:rsidP="00A7600A">
      <w:pPr>
        <w:rPr>
          <w:rFonts w:cs="Arial"/>
          <w:szCs w:val="20"/>
        </w:rPr>
      </w:pPr>
    </w:p>
    <w:p w14:paraId="75D093C5" w14:textId="576EF45B" w:rsidR="00A7600A" w:rsidRPr="00545EC0" w:rsidRDefault="00A7600A" w:rsidP="00A7600A">
      <w:pPr>
        <w:rPr>
          <w:rFonts w:cs="Arial"/>
          <w:szCs w:val="20"/>
        </w:rPr>
      </w:pPr>
      <w:r w:rsidRPr="00545EC0">
        <w:rPr>
          <w:rFonts w:cs="Arial"/>
          <w:szCs w:val="20"/>
        </w:rPr>
        <w:t>Rezultati državnega monitoringa stanja podzemnih voda kažejo, da so vodna telesa podzemnih voda Kraška Ljubljanica, Dolenjski kras v dobrem kemijskem stanju, kar pomeni, da noben od standardov, določenih za dobro kemijsko stanje podzemnih voda, ni bil presežen.</w:t>
      </w:r>
    </w:p>
    <w:p w14:paraId="5DC1F5FC" w14:textId="77777777" w:rsidR="00A7600A" w:rsidRPr="00545EC0" w:rsidRDefault="00A7600A" w:rsidP="00A7600A">
      <w:pPr>
        <w:rPr>
          <w:rFonts w:cs="Arial"/>
          <w:szCs w:val="20"/>
        </w:rPr>
      </w:pPr>
    </w:p>
    <w:p w14:paraId="7506A354" w14:textId="37F75DEB" w:rsidR="00A7600A" w:rsidRPr="00545EC0" w:rsidRDefault="00A7600A" w:rsidP="00A7600A">
      <w:pPr>
        <w:rPr>
          <w:rFonts w:cs="Arial"/>
          <w:szCs w:val="20"/>
        </w:rPr>
      </w:pPr>
      <w:r w:rsidRPr="00545EC0">
        <w:rPr>
          <w:rFonts w:cs="Arial"/>
          <w:szCs w:val="20"/>
        </w:rPr>
        <w:t>Ne glede na navedeno, pa je bil</w:t>
      </w:r>
      <w:r w:rsidR="00B37560" w:rsidRPr="00545EC0">
        <w:rPr>
          <w:rFonts w:cs="Arial"/>
          <w:szCs w:val="20"/>
        </w:rPr>
        <w:t>a</w:t>
      </w:r>
      <w:r w:rsidRPr="00545EC0">
        <w:rPr>
          <w:rFonts w:cs="Arial"/>
          <w:szCs w:val="20"/>
        </w:rPr>
        <w:t xml:space="preserve"> v okviru študije Ocena tveganja, ki ga predstavlja nitrat za ekosisteme podzemne vode in za človeško ribico na projektnem območju LIFE Kočevsko (LIFE13 NAT/SI/000314), v kateri je bila kot ciljna vrednost nitrata, ki je še sprejemljiva za ugodno stanje človeške ribice, predlagana vrednost 9,2 mg NO</w:t>
      </w:r>
      <w:r w:rsidRPr="00545EC0">
        <w:rPr>
          <w:rFonts w:cs="Arial"/>
          <w:szCs w:val="20"/>
          <w:vertAlign w:val="subscript"/>
        </w:rPr>
        <w:t>3</w:t>
      </w:r>
      <w:r w:rsidRPr="00545EC0">
        <w:rPr>
          <w:rFonts w:cs="Arial"/>
          <w:szCs w:val="20"/>
        </w:rPr>
        <w:t xml:space="preserve">/L. Primerjava rezultatov državnega monitoringa stanja podzemnih voda za leto 2020, ki ga izvaja Agencija Republike Slovenije za okolje, s predlagano ciljno vrednostjo za nitrat iz študije kaže, da so na vodnem telesu podzemne vode Dolenjski kras na treh monitoring mestih koncentracije nitrata višje od z navedeno študijo predlagane vrednosti, medtem ko so na preostalih merilnih mestih vodnih teles podzemnih voda Kraška Ljubljanica, Dolenjski </w:t>
      </w:r>
      <w:r w:rsidR="00164188" w:rsidRPr="00545EC0">
        <w:rPr>
          <w:rFonts w:cs="Arial"/>
          <w:szCs w:val="20"/>
        </w:rPr>
        <w:t xml:space="preserve"> kras </w:t>
      </w:r>
      <w:r w:rsidRPr="00545EC0">
        <w:rPr>
          <w:rFonts w:cs="Arial"/>
          <w:szCs w:val="20"/>
        </w:rPr>
        <w:t xml:space="preserve">koncentracije nitrata nižje od te vrednosti. Vpliv drugih onesnaževal (na primer kovine, </w:t>
      </w:r>
      <w:r w:rsidR="00E1627C" w:rsidRPr="00545EC0">
        <w:rPr>
          <w:rFonts w:cs="Arial"/>
          <w:szCs w:val="20"/>
        </w:rPr>
        <w:t>fitofarmacevtska sredstva, biocidi</w:t>
      </w:r>
      <w:r w:rsidRPr="00545EC0">
        <w:rPr>
          <w:rFonts w:cs="Arial"/>
          <w:szCs w:val="20"/>
        </w:rPr>
        <w:t xml:space="preserve">, mikroplastika, ipd), ki so lahko prisotne v podzemni vodi zaradi različnih dejavnosti, ali vpliv spremenjenih hidroloških razmer v navedeni študiji ni bil obravnavan. </w:t>
      </w:r>
    </w:p>
    <w:p w14:paraId="69890D9A" w14:textId="77777777" w:rsidR="00AA23DA" w:rsidRPr="00545EC0" w:rsidRDefault="00AA23DA" w:rsidP="00AA23DA">
      <w:pPr>
        <w:rPr>
          <w:rFonts w:cs="Arial"/>
          <w:snapToGrid w:val="0"/>
          <w:szCs w:val="22"/>
        </w:rPr>
      </w:pPr>
    </w:p>
    <w:p w14:paraId="49DBBE63" w14:textId="15F410D2" w:rsidR="00AA23DA" w:rsidRPr="00545EC0" w:rsidRDefault="00A7600A" w:rsidP="00AA23DA">
      <w:pPr>
        <w:rPr>
          <w:rFonts w:cs="Arial"/>
          <w:snapToGrid w:val="0"/>
          <w:szCs w:val="22"/>
        </w:rPr>
      </w:pPr>
      <w:r w:rsidRPr="00545EC0">
        <w:rPr>
          <w:rFonts w:cs="Arial"/>
          <w:snapToGrid w:val="0"/>
          <w:szCs w:val="22"/>
        </w:rPr>
        <w:t xml:space="preserve">Na podlagi omenjene študije so bila </w:t>
      </w:r>
      <w:r w:rsidR="00C12042" w:rsidRPr="00545EC0">
        <w:rPr>
          <w:rFonts w:cs="Arial"/>
          <w:snapToGrid w:val="0"/>
          <w:szCs w:val="22"/>
        </w:rPr>
        <w:t>vrednotena</w:t>
      </w:r>
      <w:r w:rsidRPr="00545EC0">
        <w:rPr>
          <w:rFonts w:cs="Arial"/>
          <w:snapToGrid w:val="0"/>
          <w:szCs w:val="22"/>
        </w:rPr>
        <w:t xml:space="preserve"> merilna mesta na ogroženih območjih, kjer prebiva človeška ribica. </w:t>
      </w:r>
      <w:r w:rsidR="00AA23DA" w:rsidRPr="00545EC0">
        <w:rPr>
          <w:rFonts w:cs="Arial"/>
          <w:snapToGrid w:val="0"/>
          <w:szCs w:val="22"/>
        </w:rPr>
        <w:t xml:space="preserve">V </w:t>
      </w:r>
      <w:r w:rsidR="00164188" w:rsidRPr="00545EC0">
        <w:rPr>
          <w:rFonts w:cs="Arial"/>
          <w:snapToGrid w:val="0"/>
          <w:szCs w:val="22"/>
        </w:rPr>
        <w:t>preglednici (</w:t>
      </w:r>
      <w:r w:rsidR="00F83F84" w:rsidRPr="00545EC0">
        <w:rPr>
          <w:rFonts w:cs="Arial"/>
          <w:snapToGrid w:val="0"/>
          <w:szCs w:val="22"/>
        </w:rPr>
        <w:fldChar w:fldCharType="begin"/>
      </w:r>
      <w:r w:rsidR="00F83F84" w:rsidRPr="00545EC0">
        <w:rPr>
          <w:rFonts w:cs="Arial"/>
          <w:snapToGrid w:val="0"/>
          <w:szCs w:val="22"/>
        </w:rPr>
        <w:instrText xml:space="preserve"> REF _Ref75766848 \h </w:instrText>
      </w:r>
      <w:r w:rsidR="00F37A91" w:rsidRPr="00545EC0">
        <w:rPr>
          <w:rFonts w:cs="Arial"/>
          <w:snapToGrid w:val="0"/>
          <w:szCs w:val="22"/>
        </w:rPr>
        <w:instrText xml:space="preserve"> \* MERGEFORMAT </w:instrText>
      </w:r>
      <w:r w:rsidR="00F83F84" w:rsidRPr="00545EC0">
        <w:rPr>
          <w:rFonts w:cs="Arial"/>
          <w:snapToGrid w:val="0"/>
          <w:szCs w:val="22"/>
        </w:rPr>
      </w:r>
      <w:r w:rsidR="00F83F84" w:rsidRPr="00545EC0">
        <w:rPr>
          <w:rFonts w:cs="Arial"/>
          <w:snapToGrid w:val="0"/>
          <w:szCs w:val="22"/>
        </w:rPr>
        <w:fldChar w:fldCharType="separate"/>
      </w:r>
      <w:r w:rsidR="002F3E43" w:rsidRPr="00545EC0">
        <w:t xml:space="preserve">Preglednica </w:t>
      </w:r>
      <w:r w:rsidR="002F3E43">
        <w:rPr>
          <w:noProof/>
        </w:rPr>
        <w:t>3</w:t>
      </w:r>
      <w:r w:rsidR="002F3E43" w:rsidRPr="00545EC0">
        <w:rPr>
          <w:noProof/>
        </w:rPr>
        <w:noBreakHyphen/>
      </w:r>
      <w:r w:rsidR="002F3E43">
        <w:rPr>
          <w:noProof/>
        </w:rPr>
        <w:t>17</w:t>
      </w:r>
      <w:r w:rsidR="00F83F84" w:rsidRPr="00545EC0">
        <w:rPr>
          <w:rFonts w:cs="Arial"/>
          <w:snapToGrid w:val="0"/>
          <w:szCs w:val="22"/>
        </w:rPr>
        <w:fldChar w:fldCharType="end"/>
      </w:r>
      <w:r w:rsidR="00164188" w:rsidRPr="00545EC0">
        <w:rPr>
          <w:rFonts w:cs="Arial"/>
          <w:snapToGrid w:val="0"/>
          <w:szCs w:val="22"/>
        </w:rPr>
        <w:t>)</w:t>
      </w:r>
      <w:r w:rsidR="00F83F84" w:rsidRPr="00545EC0">
        <w:rPr>
          <w:rFonts w:cs="Arial"/>
          <w:snapToGrid w:val="0"/>
          <w:szCs w:val="22"/>
        </w:rPr>
        <w:t xml:space="preserve"> </w:t>
      </w:r>
      <w:r w:rsidR="00AA23DA" w:rsidRPr="00545EC0">
        <w:rPr>
          <w:rFonts w:cs="Arial"/>
          <w:snapToGrid w:val="0"/>
          <w:szCs w:val="22"/>
        </w:rPr>
        <w:t>so prikazana ogrožena območja na vodnem območju Donave, kjer prebiva človeška ribice, merilna mesta na teh območjih in prvo leto meritev.</w:t>
      </w:r>
    </w:p>
    <w:p w14:paraId="0E23B5F5" w14:textId="77777777" w:rsidR="00AA23DA" w:rsidRPr="00545EC0" w:rsidRDefault="00AA23DA" w:rsidP="00AA23DA">
      <w:pPr>
        <w:rPr>
          <w:rFonts w:cs="Arial"/>
          <w:snapToGrid w:val="0"/>
          <w:szCs w:val="22"/>
        </w:rPr>
      </w:pPr>
    </w:p>
    <w:p w14:paraId="0B083141" w14:textId="4092B720" w:rsidR="00AA23DA" w:rsidRPr="00545EC0" w:rsidRDefault="00AA23DA" w:rsidP="00AA23DA">
      <w:pPr>
        <w:pStyle w:val="Napis"/>
        <w:spacing w:after="60"/>
        <w:rPr>
          <w:snapToGrid w:val="0"/>
          <w:szCs w:val="22"/>
        </w:rPr>
      </w:pPr>
      <w:bookmarkStart w:id="587" w:name="_Ref75766848"/>
      <w:bookmarkStart w:id="588" w:name="_Toc75762760"/>
      <w:r w:rsidRPr="00545EC0">
        <w:t xml:space="preserve">Preglednica </w:t>
      </w:r>
      <w:fldSimple w:instr=" STYLEREF 1 \s ">
        <w:r w:rsidR="002F3E43">
          <w:rPr>
            <w:noProof/>
          </w:rPr>
          <w:t>3</w:t>
        </w:r>
      </w:fldSimple>
      <w:r w:rsidR="001A7511" w:rsidRPr="00545EC0">
        <w:noBreakHyphen/>
      </w:r>
      <w:fldSimple w:instr=" SEQ Preglednica \* ARABIC \s 1 ">
        <w:r w:rsidR="002F3E43">
          <w:rPr>
            <w:noProof/>
          </w:rPr>
          <w:t>17</w:t>
        </w:r>
      </w:fldSimple>
      <w:bookmarkEnd w:id="587"/>
      <w:r w:rsidRPr="00545EC0">
        <w:rPr>
          <w:snapToGrid w:val="0"/>
          <w:szCs w:val="22"/>
        </w:rPr>
        <w:t>: Merilna mreža za spremljanje kakovosti vode zaradi človeške ribice</w:t>
      </w:r>
      <w:bookmarkEnd w:id="588"/>
    </w:p>
    <w:tbl>
      <w:tblPr>
        <w:tblW w:w="8765" w:type="dxa"/>
        <w:tblInd w:w="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064"/>
        <w:gridCol w:w="2126"/>
        <w:gridCol w:w="3402"/>
        <w:gridCol w:w="1173"/>
      </w:tblGrid>
      <w:tr w:rsidR="003122F4" w:rsidRPr="00545EC0" w14:paraId="2336A9AC" w14:textId="77777777" w:rsidTr="004C5428">
        <w:trPr>
          <w:trHeight w:val="284"/>
        </w:trPr>
        <w:tc>
          <w:tcPr>
            <w:tcW w:w="2064" w:type="dxa"/>
            <w:shd w:val="clear" w:color="auto" w:fill="E7E6E6"/>
            <w:noWrap/>
            <w:vAlign w:val="center"/>
            <w:hideMark/>
          </w:tcPr>
          <w:p w14:paraId="54563565" w14:textId="77777777" w:rsidR="00AA23DA" w:rsidRPr="00545EC0" w:rsidRDefault="00AA23DA" w:rsidP="004C5428">
            <w:pPr>
              <w:jc w:val="left"/>
              <w:rPr>
                <w:rFonts w:cs="Arial"/>
                <w:b/>
                <w:sz w:val="18"/>
                <w:szCs w:val="18"/>
              </w:rPr>
            </w:pPr>
            <w:r w:rsidRPr="00545EC0">
              <w:rPr>
                <w:rFonts w:cs="Arial"/>
                <w:b/>
                <w:sz w:val="18"/>
                <w:szCs w:val="18"/>
              </w:rPr>
              <w:t>Vodno telo podzemne vode</w:t>
            </w:r>
          </w:p>
        </w:tc>
        <w:tc>
          <w:tcPr>
            <w:tcW w:w="2126" w:type="dxa"/>
            <w:shd w:val="clear" w:color="auto" w:fill="E7E6E6"/>
            <w:vAlign w:val="center"/>
          </w:tcPr>
          <w:p w14:paraId="0A4B5908" w14:textId="77777777" w:rsidR="00AA23DA" w:rsidRPr="00545EC0" w:rsidRDefault="00AA23DA" w:rsidP="004C5428">
            <w:pPr>
              <w:jc w:val="left"/>
              <w:rPr>
                <w:rFonts w:cs="Arial"/>
                <w:b/>
                <w:sz w:val="18"/>
                <w:szCs w:val="18"/>
              </w:rPr>
            </w:pPr>
            <w:r w:rsidRPr="00545EC0">
              <w:rPr>
                <w:rFonts w:cs="Arial"/>
                <w:b/>
                <w:sz w:val="18"/>
                <w:szCs w:val="18"/>
              </w:rPr>
              <w:t>Območje NATURA 2000</w:t>
            </w:r>
          </w:p>
        </w:tc>
        <w:tc>
          <w:tcPr>
            <w:tcW w:w="3402" w:type="dxa"/>
            <w:shd w:val="clear" w:color="auto" w:fill="E7E6E6"/>
            <w:noWrap/>
            <w:vAlign w:val="center"/>
            <w:hideMark/>
          </w:tcPr>
          <w:p w14:paraId="07A34C9F" w14:textId="77777777" w:rsidR="00AA23DA" w:rsidRPr="00545EC0" w:rsidRDefault="00AA23DA" w:rsidP="004C5428">
            <w:pPr>
              <w:jc w:val="left"/>
              <w:rPr>
                <w:rFonts w:cs="Arial"/>
                <w:b/>
                <w:sz w:val="18"/>
                <w:szCs w:val="18"/>
              </w:rPr>
            </w:pPr>
            <w:r w:rsidRPr="00545EC0">
              <w:rPr>
                <w:rFonts w:cs="Arial"/>
                <w:b/>
                <w:sz w:val="18"/>
                <w:szCs w:val="18"/>
              </w:rPr>
              <w:t>Merilno mesto</w:t>
            </w:r>
          </w:p>
        </w:tc>
        <w:tc>
          <w:tcPr>
            <w:tcW w:w="1173" w:type="dxa"/>
            <w:shd w:val="clear" w:color="auto" w:fill="E7E6E6"/>
            <w:vAlign w:val="center"/>
          </w:tcPr>
          <w:p w14:paraId="1EBF1288" w14:textId="77777777" w:rsidR="00AA23DA" w:rsidRPr="00545EC0" w:rsidRDefault="00AA23DA" w:rsidP="004C5428">
            <w:pPr>
              <w:jc w:val="left"/>
              <w:rPr>
                <w:rFonts w:cs="Arial"/>
                <w:b/>
                <w:sz w:val="18"/>
                <w:szCs w:val="18"/>
              </w:rPr>
            </w:pPr>
            <w:r w:rsidRPr="00545EC0">
              <w:rPr>
                <w:rFonts w:cs="Arial"/>
                <w:b/>
                <w:sz w:val="18"/>
                <w:szCs w:val="18"/>
              </w:rPr>
              <w:t>Prvo leto opazovanj</w:t>
            </w:r>
          </w:p>
        </w:tc>
      </w:tr>
      <w:tr w:rsidR="003122F4" w:rsidRPr="00545EC0" w14:paraId="302F1F0F" w14:textId="77777777" w:rsidTr="004C5428">
        <w:trPr>
          <w:trHeight w:val="284"/>
        </w:trPr>
        <w:tc>
          <w:tcPr>
            <w:tcW w:w="2064" w:type="dxa"/>
            <w:shd w:val="clear" w:color="auto" w:fill="auto"/>
            <w:noWrap/>
            <w:vAlign w:val="center"/>
          </w:tcPr>
          <w:p w14:paraId="03180328" w14:textId="77777777" w:rsidR="00AA23DA" w:rsidRPr="00545EC0" w:rsidRDefault="00AA23DA" w:rsidP="004C5428">
            <w:pPr>
              <w:rPr>
                <w:rFonts w:cs="Arial"/>
                <w:sz w:val="18"/>
                <w:szCs w:val="18"/>
              </w:rPr>
            </w:pPr>
            <w:r w:rsidRPr="00545EC0">
              <w:rPr>
                <w:rFonts w:cs="Arial"/>
                <w:sz w:val="18"/>
                <w:szCs w:val="18"/>
              </w:rPr>
              <w:t>1000 Kraška Ljubljanica</w:t>
            </w:r>
          </w:p>
        </w:tc>
        <w:tc>
          <w:tcPr>
            <w:tcW w:w="2126" w:type="dxa"/>
            <w:vAlign w:val="center"/>
          </w:tcPr>
          <w:p w14:paraId="4B3DB693" w14:textId="77777777" w:rsidR="00AA23DA" w:rsidRPr="00545EC0" w:rsidRDefault="00AA23DA" w:rsidP="004C5428">
            <w:pPr>
              <w:rPr>
                <w:rFonts w:cs="Arial"/>
                <w:sz w:val="18"/>
                <w:szCs w:val="18"/>
              </w:rPr>
            </w:pPr>
            <w:r w:rsidRPr="00545EC0">
              <w:rPr>
                <w:rFonts w:cs="Arial"/>
                <w:sz w:val="18"/>
                <w:szCs w:val="18"/>
              </w:rPr>
              <w:t>Notranjski trikotnik</w:t>
            </w:r>
          </w:p>
        </w:tc>
        <w:tc>
          <w:tcPr>
            <w:tcW w:w="3402" w:type="dxa"/>
            <w:shd w:val="clear" w:color="auto" w:fill="auto"/>
            <w:noWrap/>
            <w:vAlign w:val="center"/>
          </w:tcPr>
          <w:p w14:paraId="19920338" w14:textId="77777777" w:rsidR="00AA23DA" w:rsidRPr="00545EC0" w:rsidRDefault="00AA23DA" w:rsidP="004C5428">
            <w:pPr>
              <w:rPr>
                <w:rFonts w:cs="Arial"/>
                <w:sz w:val="18"/>
                <w:szCs w:val="18"/>
              </w:rPr>
            </w:pPr>
            <w:r w:rsidRPr="00545EC0">
              <w:rPr>
                <w:rFonts w:cs="Arial"/>
                <w:sz w:val="18"/>
                <w:szCs w:val="18"/>
              </w:rPr>
              <w:t>MALENŠČICA</w:t>
            </w:r>
          </w:p>
        </w:tc>
        <w:tc>
          <w:tcPr>
            <w:tcW w:w="1173" w:type="dxa"/>
            <w:shd w:val="clear" w:color="auto" w:fill="auto"/>
            <w:vAlign w:val="center"/>
          </w:tcPr>
          <w:p w14:paraId="11922F59" w14:textId="77777777" w:rsidR="00AA23DA" w:rsidRPr="00545EC0" w:rsidRDefault="00AA23DA" w:rsidP="004C5428">
            <w:pPr>
              <w:jc w:val="center"/>
              <w:rPr>
                <w:rFonts w:cs="Arial"/>
                <w:sz w:val="18"/>
                <w:szCs w:val="18"/>
              </w:rPr>
            </w:pPr>
            <w:r w:rsidRPr="00545EC0">
              <w:rPr>
                <w:rFonts w:cs="Arial"/>
                <w:sz w:val="18"/>
                <w:szCs w:val="18"/>
              </w:rPr>
              <w:t>2003</w:t>
            </w:r>
          </w:p>
        </w:tc>
      </w:tr>
      <w:tr w:rsidR="003122F4" w:rsidRPr="00545EC0" w14:paraId="31CF7BE9" w14:textId="77777777" w:rsidTr="004C5428">
        <w:trPr>
          <w:trHeight w:val="284"/>
        </w:trPr>
        <w:tc>
          <w:tcPr>
            <w:tcW w:w="2064" w:type="dxa"/>
            <w:shd w:val="clear" w:color="auto" w:fill="auto"/>
            <w:noWrap/>
            <w:vAlign w:val="center"/>
          </w:tcPr>
          <w:p w14:paraId="1AC73EFE" w14:textId="77777777" w:rsidR="00AA23DA" w:rsidRPr="00545EC0" w:rsidRDefault="00AA23DA" w:rsidP="004C5428">
            <w:pPr>
              <w:rPr>
                <w:rFonts w:cs="Arial"/>
                <w:sz w:val="18"/>
                <w:szCs w:val="18"/>
              </w:rPr>
            </w:pPr>
            <w:r w:rsidRPr="00545EC0">
              <w:rPr>
                <w:rFonts w:cs="Arial"/>
                <w:sz w:val="18"/>
                <w:szCs w:val="18"/>
              </w:rPr>
              <w:t>1000 Kraška Ljubljanica</w:t>
            </w:r>
          </w:p>
        </w:tc>
        <w:tc>
          <w:tcPr>
            <w:tcW w:w="2126" w:type="dxa"/>
            <w:vAlign w:val="center"/>
          </w:tcPr>
          <w:p w14:paraId="68C8671E" w14:textId="77777777" w:rsidR="00AA23DA" w:rsidRPr="00545EC0" w:rsidRDefault="00AA23DA" w:rsidP="004C5428">
            <w:pPr>
              <w:rPr>
                <w:rFonts w:cs="Arial"/>
                <w:sz w:val="18"/>
                <w:szCs w:val="18"/>
              </w:rPr>
            </w:pPr>
            <w:r w:rsidRPr="00545EC0">
              <w:rPr>
                <w:rFonts w:cs="Arial"/>
                <w:sz w:val="18"/>
                <w:szCs w:val="18"/>
              </w:rPr>
              <w:t>Notranjski trikotnik</w:t>
            </w:r>
          </w:p>
        </w:tc>
        <w:tc>
          <w:tcPr>
            <w:tcW w:w="3402" w:type="dxa"/>
            <w:shd w:val="clear" w:color="auto" w:fill="auto"/>
            <w:noWrap/>
            <w:vAlign w:val="center"/>
          </w:tcPr>
          <w:p w14:paraId="6B28E9B9" w14:textId="77777777" w:rsidR="00AA23DA" w:rsidRPr="00545EC0" w:rsidRDefault="00AA23DA" w:rsidP="004C5428">
            <w:pPr>
              <w:rPr>
                <w:rFonts w:cs="Arial"/>
                <w:sz w:val="18"/>
                <w:szCs w:val="18"/>
              </w:rPr>
            </w:pPr>
            <w:r w:rsidRPr="00545EC0">
              <w:rPr>
                <w:rFonts w:cs="Arial"/>
                <w:sz w:val="18"/>
                <w:szCs w:val="18"/>
              </w:rPr>
              <w:t>TRESENEC</w:t>
            </w:r>
          </w:p>
        </w:tc>
        <w:tc>
          <w:tcPr>
            <w:tcW w:w="1173" w:type="dxa"/>
            <w:shd w:val="clear" w:color="auto" w:fill="auto"/>
            <w:vAlign w:val="center"/>
          </w:tcPr>
          <w:p w14:paraId="1B9B59C4" w14:textId="77777777" w:rsidR="00AA23DA" w:rsidRPr="00545EC0" w:rsidRDefault="00AA23DA" w:rsidP="004C5428">
            <w:pPr>
              <w:jc w:val="center"/>
              <w:rPr>
                <w:rFonts w:cs="Arial"/>
                <w:sz w:val="18"/>
                <w:szCs w:val="18"/>
              </w:rPr>
            </w:pPr>
            <w:r w:rsidRPr="00545EC0">
              <w:rPr>
                <w:rFonts w:cs="Arial"/>
                <w:sz w:val="18"/>
                <w:szCs w:val="18"/>
              </w:rPr>
              <w:t>2007</w:t>
            </w:r>
          </w:p>
        </w:tc>
      </w:tr>
      <w:tr w:rsidR="003122F4" w:rsidRPr="00545EC0" w14:paraId="3AE7B3B9" w14:textId="77777777" w:rsidTr="004C5428">
        <w:trPr>
          <w:trHeight w:val="284"/>
        </w:trPr>
        <w:tc>
          <w:tcPr>
            <w:tcW w:w="2064" w:type="dxa"/>
            <w:shd w:val="clear" w:color="auto" w:fill="auto"/>
            <w:noWrap/>
            <w:vAlign w:val="center"/>
          </w:tcPr>
          <w:p w14:paraId="7FD16CF6" w14:textId="77777777" w:rsidR="00AA23DA" w:rsidRPr="00545EC0" w:rsidRDefault="00AA23DA" w:rsidP="004C5428">
            <w:pPr>
              <w:rPr>
                <w:rFonts w:cs="Arial"/>
                <w:sz w:val="18"/>
                <w:szCs w:val="18"/>
              </w:rPr>
            </w:pPr>
            <w:r w:rsidRPr="00545EC0">
              <w:rPr>
                <w:rFonts w:cs="Arial"/>
                <w:sz w:val="18"/>
                <w:szCs w:val="18"/>
              </w:rPr>
              <w:t>1000 Kraška Ljubljanica</w:t>
            </w:r>
          </w:p>
        </w:tc>
        <w:tc>
          <w:tcPr>
            <w:tcW w:w="2126" w:type="dxa"/>
            <w:vAlign w:val="center"/>
          </w:tcPr>
          <w:p w14:paraId="204E18F9" w14:textId="77777777" w:rsidR="00AA23DA" w:rsidRPr="00545EC0" w:rsidRDefault="00AA23DA" w:rsidP="004C5428">
            <w:pPr>
              <w:rPr>
                <w:rFonts w:cs="Arial"/>
                <w:sz w:val="18"/>
                <w:szCs w:val="18"/>
              </w:rPr>
            </w:pPr>
            <w:r w:rsidRPr="00545EC0">
              <w:rPr>
                <w:rFonts w:cs="Arial"/>
                <w:sz w:val="18"/>
                <w:szCs w:val="18"/>
              </w:rPr>
              <w:t>Notranjski trikotnik</w:t>
            </w:r>
          </w:p>
        </w:tc>
        <w:tc>
          <w:tcPr>
            <w:tcW w:w="3402" w:type="dxa"/>
            <w:shd w:val="clear" w:color="auto" w:fill="auto"/>
            <w:noWrap/>
            <w:vAlign w:val="center"/>
          </w:tcPr>
          <w:p w14:paraId="6F20C8D1" w14:textId="77777777" w:rsidR="00AA23DA" w:rsidRPr="00545EC0" w:rsidRDefault="00AA23DA" w:rsidP="004C5428">
            <w:pPr>
              <w:rPr>
                <w:rFonts w:cs="Arial"/>
                <w:sz w:val="18"/>
                <w:szCs w:val="18"/>
              </w:rPr>
            </w:pPr>
            <w:r w:rsidRPr="00545EC0">
              <w:rPr>
                <w:rFonts w:cs="Arial"/>
                <w:sz w:val="18"/>
                <w:szCs w:val="18"/>
              </w:rPr>
              <w:t>VELIKI OBRH pri Ložu</w:t>
            </w:r>
          </w:p>
        </w:tc>
        <w:tc>
          <w:tcPr>
            <w:tcW w:w="1173" w:type="dxa"/>
            <w:shd w:val="clear" w:color="auto" w:fill="auto"/>
            <w:vAlign w:val="center"/>
          </w:tcPr>
          <w:p w14:paraId="57C4FB40" w14:textId="77777777" w:rsidR="00AA23DA" w:rsidRPr="00545EC0" w:rsidRDefault="00AA23DA" w:rsidP="004C5428">
            <w:pPr>
              <w:jc w:val="center"/>
              <w:rPr>
                <w:rFonts w:cs="Arial"/>
                <w:sz w:val="18"/>
                <w:szCs w:val="18"/>
              </w:rPr>
            </w:pPr>
            <w:r w:rsidRPr="00545EC0">
              <w:rPr>
                <w:rFonts w:cs="Arial"/>
                <w:sz w:val="18"/>
                <w:szCs w:val="18"/>
              </w:rPr>
              <w:t>2003</w:t>
            </w:r>
          </w:p>
        </w:tc>
      </w:tr>
      <w:tr w:rsidR="003122F4" w:rsidRPr="00545EC0" w14:paraId="3EA687C9" w14:textId="77777777" w:rsidTr="004C5428">
        <w:trPr>
          <w:trHeight w:val="284"/>
        </w:trPr>
        <w:tc>
          <w:tcPr>
            <w:tcW w:w="2064" w:type="dxa"/>
            <w:shd w:val="clear" w:color="auto" w:fill="auto"/>
            <w:noWrap/>
            <w:vAlign w:val="center"/>
          </w:tcPr>
          <w:p w14:paraId="65E68224" w14:textId="77777777" w:rsidR="00AA23DA" w:rsidRPr="00545EC0" w:rsidRDefault="00AA23DA" w:rsidP="004C5428">
            <w:pPr>
              <w:rPr>
                <w:rFonts w:cs="Arial"/>
                <w:sz w:val="18"/>
                <w:szCs w:val="18"/>
              </w:rPr>
            </w:pPr>
            <w:r w:rsidRPr="00545EC0">
              <w:rPr>
                <w:rFonts w:cs="Arial"/>
                <w:sz w:val="18"/>
                <w:szCs w:val="18"/>
              </w:rPr>
              <w:t>1011 Dolenjski kras</w:t>
            </w:r>
          </w:p>
        </w:tc>
        <w:tc>
          <w:tcPr>
            <w:tcW w:w="2126" w:type="dxa"/>
            <w:vAlign w:val="center"/>
          </w:tcPr>
          <w:p w14:paraId="571B9949" w14:textId="77777777" w:rsidR="00AA23DA" w:rsidRPr="00545EC0" w:rsidRDefault="00AA23DA" w:rsidP="004C5428">
            <w:pPr>
              <w:rPr>
                <w:rFonts w:cs="Arial"/>
                <w:sz w:val="18"/>
                <w:szCs w:val="18"/>
              </w:rPr>
            </w:pPr>
            <w:r w:rsidRPr="00545EC0">
              <w:rPr>
                <w:rFonts w:cs="Arial"/>
                <w:sz w:val="18"/>
                <w:szCs w:val="18"/>
              </w:rPr>
              <w:t>Dobličica</w:t>
            </w:r>
          </w:p>
        </w:tc>
        <w:tc>
          <w:tcPr>
            <w:tcW w:w="3402" w:type="dxa"/>
            <w:shd w:val="clear" w:color="auto" w:fill="auto"/>
            <w:noWrap/>
            <w:vAlign w:val="center"/>
          </w:tcPr>
          <w:p w14:paraId="58D4692C" w14:textId="77777777" w:rsidR="00AA23DA" w:rsidRPr="00545EC0" w:rsidRDefault="00AA23DA" w:rsidP="004C5428">
            <w:pPr>
              <w:rPr>
                <w:rFonts w:cs="Arial"/>
                <w:sz w:val="18"/>
                <w:szCs w:val="18"/>
              </w:rPr>
            </w:pPr>
            <w:r w:rsidRPr="00545EC0">
              <w:rPr>
                <w:rFonts w:cs="Arial"/>
                <w:sz w:val="18"/>
                <w:szCs w:val="18"/>
              </w:rPr>
              <w:t>DOBLIČCA</w:t>
            </w:r>
          </w:p>
        </w:tc>
        <w:tc>
          <w:tcPr>
            <w:tcW w:w="1173" w:type="dxa"/>
            <w:shd w:val="clear" w:color="auto" w:fill="auto"/>
            <w:vAlign w:val="center"/>
          </w:tcPr>
          <w:p w14:paraId="67D3AD26" w14:textId="77777777" w:rsidR="00AA23DA" w:rsidRPr="00545EC0" w:rsidRDefault="00AA23DA" w:rsidP="004C5428">
            <w:pPr>
              <w:jc w:val="center"/>
              <w:rPr>
                <w:rFonts w:cs="Arial"/>
                <w:sz w:val="18"/>
                <w:szCs w:val="18"/>
              </w:rPr>
            </w:pPr>
            <w:r w:rsidRPr="00545EC0">
              <w:rPr>
                <w:rFonts w:cs="Arial"/>
                <w:sz w:val="18"/>
                <w:szCs w:val="18"/>
              </w:rPr>
              <w:t>1990</w:t>
            </w:r>
          </w:p>
        </w:tc>
      </w:tr>
      <w:tr w:rsidR="003122F4" w:rsidRPr="00545EC0" w14:paraId="7FCEE0E0" w14:textId="77777777" w:rsidTr="004C5428">
        <w:trPr>
          <w:trHeight w:val="284"/>
        </w:trPr>
        <w:tc>
          <w:tcPr>
            <w:tcW w:w="2064" w:type="dxa"/>
            <w:shd w:val="clear" w:color="auto" w:fill="auto"/>
            <w:noWrap/>
            <w:vAlign w:val="center"/>
          </w:tcPr>
          <w:p w14:paraId="15B402F6" w14:textId="77777777" w:rsidR="00AA23DA" w:rsidRPr="00545EC0" w:rsidRDefault="00AA23DA" w:rsidP="004C5428">
            <w:pPr>
              <w:rPr>
                <w:rFonts w:cs="Arial"/>
                <w:sz w:val="18"/>
                <w:szCs w:val="18"/>
              </w:rPr>
            </w:pPr>
            <w:r w:rsidRPr="00545EC0">
              <w:rPr>
                <w:rFonts w:cs="Arial"/>
                <w:sz w:val="18"/>
                <w:szCs w:val="18"/>
              </w:rPr>
              <w:t>1011 Dolenjski kras</w:t>
            </w:r>
          </w:p>
        </w:tc>
        <w:tc>
          <w:tcPr>
            <w:tcW w:w="2126" w:type="dxa"/>
            <w:vAlign w:val="center"/>
          </w:tcPr>
          <w:p w14:paraId="35E26226" w14:textId="77777777" w:rsidR="00AA23DA" w:rsidRPr="00545EC0" w:rsidRDefault="00AA23DA" w:rsidP="004C5428">
            <w:pPr>
              <w:rPr>
                <w:rFonts w:cs="Arial"/>
                <w:sz w:val="18"/>
                <w:szCs w:val="18"/>
              </w:rPr>
            </w:pPr>
            <w:r w:rsidRPr="00545EC0">
              <w:rPr>
                <w:rFonts w:cs="Arial"/>
                <w:sz w:val="18"/>
                <w:szCs w:val="18"/>
              </w:rPr>
              <w:t>Dobličica</w:t>
            </w:r>
          </w:p>
        </w:tc>
        <w:tc>
          <w:tcPr>
            <w:tcW w:w="3402" w:type="dxa"/>
            <w:shd w:val="clear" w:color="auto" w:fill="auto"/>
            <w:noWrap/>
            <w:vAlign w:val="center"/>
          </w:tcPr>
          <w:p w14:paraId="48DC09EC" w14:textId="77777777" w:rsidR="00AA23DA" w:rsidRPr="00545EC0" w:rsidRDefault="00AA23DA" w:rsidP="004C5428">
            <w:pPr>
              <w:rPr>
                <w:rFonts w:cs="Arial"/>
                <w:sz w:val="18"/>
                <w:szCs w:val="18"/>
              </w:rPr>
            </w:pPr>
            <w:r w:rsidRPr="00545EC0">
              <w:rPr>
                <w:rFonts w:cs="Arial"/>
                <w:sz w:val="18"/>
                <w:szCs w:val="18"/>
              </w:rPr>
              <w:t>JELŠEVNIK</w:t>
            </w:r>
          </w:p>
        </w:tc>
        <w:tc>
          <w:tcPr>
            <w:tcW w:w="1173" w:type="dxa"/>
            <w:shd w:val="clear" w:color="auto" w:fill="auto"/>
            <w:vAlign w:val="center"/>
          </w:tcPr>
          <w:p w14:paraId="3C756C77" w14:textId="77777777" w:rsidR="00AA23DA" w:rsidRPr="00545EC0" w:rsidRDefault="00AA23DA" w:rsidP="004C5428">
            <w:pPr>
              <w:jc w:val="center"/>
              <w:rPr>
                <w:rFonts w:cs="Arial"/>
                <w:sz w:val="18"/>
                <w:szCs w:val="18"/>
              </w:rPr>
            </w:pPr>
            <w:r w:rsidRPr="00545EC0">
              <w:rPr>
                <w:rFonts w:cs="Arial"/>
                <w:sz w:val="18"/>
                <w:szCs w:val="18"/>
              </w:rPr>
              <w:t>2014</w:t>
            </w:r>
          </w:p>
        </w:tc>
      </w:tr>
      <w:tr w:rsidR="003122F4" w:rsidRPr="00545EC0" w14:paraId="06754166" w14:textId="77777777" w:rsidTr="004C5428">
        <w:trPr>
          <w:trHeight w:val="284"/>
        </w:trPr>
        <w:tc>
          <w:tcPr>
            <w:tcW w:w="2064" w:type="dxa"/>
            <w:shd w:val="clear" w:color="auto" w:fill="auto"/>
            <w:noWrap/>
            <w:vAlign w:val="center"/>
          </w:tcPr>
          <w:p w14:paraId="3E95F4CD" w14:textId="77777777" w:rsidR="00AA23DA" w:rsidRPr="00545EC0" w:rsidRDefault="00AA23DA" w:rsidP="004C5428">
            <w:pPr>
              <w:rPr>
                <w:rFonts w:cs="Arial"/>
                <w:sz w:val="18"/>
                <w:szCs w:val="18"/>
              </w:rPr>
            </w:pPr>
            <w:r w:rsidRPr="00545EC0">
              <w:rPr>
                <w:rFonts w:cs="Arial"/>
                <w:sz w:val="18"/>
                <w:szCs w:val="18"/>
              </w:rPr>
              <w:t>1011 Dolenjski kras</w:t>
            </w:r>
          </w:p>
        </w:tc>
        <w:tc>
          <w:tcPr>
            <w:tcW w:w="2126" w:type="dxa"/>
            <w:vAlign w:val="center"/>
          </w:tcPr>
          <w:p w14:paraId="19DD26E1" w14:textId="77777777" w:rsidR="00AA23DA" w:rsidRPr="00545EC0" w:rsidRDefault="00AA23DA" w:rsidP="004C5428">
            <w:pPr>
              <w:rPr>
                <w:rFonts w:cs="Arial"/>
                <w:sz w:val="18"/>
                <w:szCs w:val="18"/>
              </w:rPr>
            </w:pPr>
            <w:r w:rsidRPr="00545EC0">
              <w:rPr>
                <w:rFonts w:cs="Arial"/>
                <w:sz w:val="18"/>
                <w:szCs w:val="18"/>
              </w:rPr>
              <w:t>Stobe - Breg</w:t>
            </w:r>
          </w:p>
        </w:tc>
        <w:tc>
          <w:tcPr>
            <w:tcW w:w="3402" w:type="dxa"/>
            <w:shd w:val="clear" w:color="auto" w:fill="auto"/>
            <w:noWrap/>
            <w:vAlign w:val="center"/>
          </w:tcPr>
          <w:p w14:paraId="54294760" w14:textId="77777777" w:rsidR="00AA23DA" w:rsidRPr="00545EC0" w:rsidRDefault="00AA23DA" w:rsidP="004C5428">
            <w:pPr>
              <w:rPr>
                <w:rFonts w:cs="Arial"/>
                <w:sz w:val="18"/>
                <w:szCs w:val="18"/>
              </w:rPr>
            </w:pPr>
            <w:r w:rsidRPr="00545EC0">
              <w:rPr>
                <w:rFonts w:cs="Arial"/>
                <w:sz w:val="18"/>
                <w:szCs w:val="18"/>
              </w:rPr>
              <w:t>OTOVŠKI BREG</w:t>
            </w:r>
          </w:p>
        </w:tc>
        <w:tc>
          <w:tcPr>
            <w:tcW w:w="1173" w:type="dxa"/>
            <w:shd w:val="clear" w:color="auto" w:fill="auto"/>
            <w:vAlign w:val="center"/>
          </w:tcPr>
          <w:p w14:paraId="4EA40C36" w14:textId="77777777" w:rsidR="00AA23DA" w:rsidRPr="00545EC0" w:rsidRDefault="00AA23DA" w:rsidP="004C5428">
            <w:pPr>
              <w:jc w:val="center"/>
              <w:rPr>
                <w:rFonts w:cs="Arial"/>
                <w:sz w:val="18"/>
                <w:szCs w:val="18"/>
              </w:rPr>
            </w:pPr>
            <w:r w:rsidRPr="00545EC0">
              <w:rPr>
                <w:rFonts w:cs="Arial"/>
                <w:sz w:val="18"/>
                <w:szCs w:val="18"/>
              </w:rPr>
              <w:t>2014</w:t>
            </w:r>
          </w:p>
        </w:tc>
      </w:tr>
      <w:tr w:rsidR="003122F4" w:rsidRPr="00545EC0" w14:paraId="4F0C8262" w14:textId="77777777" w:rsidTr="004C5428">
        <w:trPr>
          <w:trHeight w:val="284"/>
        </w:trPr>
        <w:tc>
          <w:tcPr>
            <w:tcW w:w="2064" w:type="dxa"/>
            <w:shd w:val="clear" w:color="auto" w:fill="auto"/>
            <w:noWrap/>
            <w:vAlign w:val="center"/>
          </w:tcPr>
          <w:p w14:paraId="5B5A87FF" w14:textId="77777777" w:rsidR="00AA23DA" w:rsidRPr="00545EC0" w:rsidRDefault="00AA23DA" w:rsidP="004C5428">
            <w:pPr>
              <w:rPr>
                <w:rFonts w:cs="Arial"/>
                <w:sz w:val="18"/>
                <w:szCs w:val="18"/>
              </w:rPr>
            </w:pPr>
            <w:r w:rsidRPr="00545EC0">
              <w:rPr>
                <w:rFonts w:cs="Arial"/>
                <w:sz w:val="18"/>
                <w:szCs w:val="18"/>
              </w:rPr>
              <w:t>1011 Dolenjski kras</w:t>
            </w:r>
          </w:p>
        </w:tc>
        <w:tc>
          <w:tcPr>
            <w:tcW w:w="2126" w:type="dxa"/>
            <w:vAlign w:val="center"/>
          </w:tcPr>
          <w:p w14:paraId="3B202657" w14:textId="77777777" w:rsidR="00AA23DA" w:rsidRPr="00545EC0" w:rsidRDefault="00AA23DA" w:rsidP="004C5428">
            <w:pPr>
              <w:rPr>
                <w:rFonts w:cs="Arial"/>
                <w:sz w:val="18"/>
                <w:szCs w:val="18"/>
              </w:rPr>
            </w:pPr>
            <w:r w:rsidRPr="00545EC0">
              <w:rPr>
                <w:rFonts w:cs="Arial"/>
                <w:sz w:val="18"/>
                <w:szCs w:val="18"/>
              </w:rPr>
              <w:t>Stobe - Breg</w:t>
            </w:r>
          </w:p>
        </w:tc>
        <w:tc>
          <w:tcPr>
            <w:tcW w:w="3402" w:type="dxa"/>
            <w:shd w:val="clear" w:color="auto" w:fill="auto"/>
            <w:noWrap/>
            <w:vAlign w:val="center"/>
          </w:tcPr>
          <w:p w14:paraId="5B6BB63D" w14:textId="77777777" w:rsidR="00AA23DA" w:rsidRPr="00545EC0" w:rsidRDefault="00AA23DA" w:rsidP="004C5428">
            <w:pPr>
              <w:rPr>
                <w:rFonts w:cs="Arial"/>
                <w:sz w:val="18"/>
                <w:szCs w:val="18"/>
              </w:rPr>
            </w:pPr>
            <w:r w:rsidRPr="00545EC0">
              <w:rPr>
                <w:rFonts w:cs="Arial"/>
                <w:sz w:val="18"/>
                <w:szCs w:val="18"/>
              </w:rPr>
              <w:t>PAČKI BREG</w:t>
            </w:r>
          </w:p>
        </w:tc>
        <w:tc>
          <w:tcPr>
            <w:tcW w:w="1173" w:type="dxa"/>
            <w:shd w:val="clear" w:color="auto" w:fill="auto"/>
            <w:vAlign w:val="center"/>
          </w:tcPr>
          <w:p w14:paraId="4E3B2BCF" w14:textId="77777777" w:rsidR="00AA23DA" w:rsidRPr="00545EC0" w:rsidRDefault="00AA23DA" w:rsidP="004C5428">
            <w:pPr>
              <w:jc w:val="center"/>
              <w:rPr>
                <w:rFonts w:cs="Arial"/>
                <w:sz w:val="18"/>
                <w:szCs w:val="18"/>
              </w:rPr>
            </w:pPr>
            <w:r w:rsidRPr="00545EC0">
              <w:rPr>
                <w:rFonts w:cs="Arial"/>
                <w:sz w:val="18"/>
                <w:szCs w:val="18"/>
              </w:rPr>
              <w:t>2014</w:t>
            </w:r>
          </w:p>
        </w:tc>
      </w:tr>
      <w:tr w:rsidR="003122F4" w:rsidRPr="00545EC0" w14:paraId="547324D6" w14:textId="77777777" w:rsidTr="004C5428">
        <w:trPr>
          <w:trHeight w:val="284"/>
        </w:trPr>
        <w:tc>
          <w:tcPr>
            <w:tcW w:w="2064" w:type="dxa"/>
            <w:shd w:val="clear" w:color="auto" w:fill="auto"/>
            <w:noWrap/>
            <w:vAlign w:val="center"/>
          </w:tcPr>
          <w:p w14:paraId="2DF2CFCE" w14:textId="77777777" w:rsidR="00AA23DA" w:rsidRPr="00545EC0" w:rsidRDefault="00AA23DA" w:rsidP="004C5428">
            <w:pPr>
              <w:rPr>
                <w:rFonts w:cs="Arial"/>
                <w:sz w:val="18"/>
                <w:szCs w:val="18"/>
              </w:rPr>
            </w:pPr>
            <w:r w:rsidRPr="00545EC0">
              <w:rPr>
                <w:rFonts w:cs="Arial"/>
                <w:sz w:val="18"/>
                <w:szCs w:val="18"/>
              </w:rPr>
              <w:t>1011 Dolenjski kras</w:t>
            </w:r>
          </w:p>
        </w:tc>
        <w:tc>
          <w:tcPr>
            <w:tcW w:w="2126" w:type="dxa"/>
            <w:vAlign w:val="center"/>
          </w:tcPr>
          <w:p w14:paraId="571AE262" w14:textId="77777777" w:rsidR="00AA23DA" w:rsidRPr="00545EC0" w:rsidRDefault="00AA23DA" w:rsidP="004C5428">
            <w:pPr>
              <w:rPr>
                <w:rFonts w:cs="Arial"/>
                <w:sz w:val="18"/>
                <w:szCs w:val="18"/>
              </w:rPr>
            </w:pPr>
            <w:r w:rsidRPr="00545EC0">
              <w:rPr>
                <w:rFonts w:cs="Arial"/>
                <w:sz w:val="18"/>
                <w:szCs w:val="18"/>
              </w:rPr>
              <w:t>Gradac</w:t>
            </w:r>
          </w:p>
        </w:tc>
        <w:tc>
          <w:tcPr>
            <w:tcW w:w="3402" w:type="dxa"/>
            <w:shd w:val="clear" w:color="auto" w:fill="auto"/>
            <w:noWrap/>
            <w:vAlign w:val="center"/>
          </w:tcPr>
          <w:p w14:paraId="3D6BAD8E" w14:textId="77777777" w:rsidR="00AA23DA" w:rsidRPr="00545EC0" w:rsidRDefault="00AA23DA" w:rsidP="004C5428">
            <w:pPr>
              <w:rPr>
                <w:rFonts w:cs="Arial"/>
                <w:sz w:val="18"/>
                <w:szCs w:val="18"/>
              </w:rPr>
            </w:pPr>
            <w:r w:rsidRPr="00545EC0">
              <w:rPr>
                <w:rFonts w:cs="Arial"/>
                <w:sz w:val="18"/>
                <w:szCs w:val="18"/>
              </w:rPr>
              <w:t>KRUPA</w:t>
            </w:r>
          </w:p>
        </w:tc>
        <w:tc>
          <w:tcPr>
            <w:tcW w:w="1173" w:type="dxa"/>
            <w:shd w:val="clear" w:color="auto" w:fill="auto"/>
            <w:vAlign w:val="center"/>
          </w:tcPr>
          <w:p w14:paraId="66EE0643" w14:textId="77777777" w:rsidR="00AA23DA" w:rsidRPr="00545EC0" w:rsidRDefault="00AA23DA" w:rsidP="004C5428">
            <w:pPr>
              <w:jc w:val="center"/>
              <w:rPr>
                <w:rFonts w:cs="Arial"/>
                <w:sz w:val="18"/>
                <w:szCs w:val="18"/>
              </w:rPr>
            </w:pPr>
            <w:r w:rsidRPr="00545EC0">
              <w:rPr>
                <w:rFonts w:cs="Arial"/>
                <w:sz w:val="18"/>
                <w:szCs w:val="18"/>
              </w:rPr>
              <w:t>1993</w:t>
            </w:r>
          </w:p>
        </w:tc>
      </w:tr>
      <w:tr w:rsidR="003122F4" w:rsidRPr="00545EC0" w14:paraId="01F8A54C" w14:textId="77777777" w:rsidTr="004C5428">
        <w:trPr>
          <w:trHeight w:val="284"/>
        </w:trPr>
        <w:tc>
          <w:tcPr>
            <w:tcW w:w="2064" w:type="dxa"/>
            <w:shd w:val="clear" w:color="auto" w:fill="auto"/>
            <w:noWrap/>
            <w:vAlign w:val="center"/>
          </w:tcPr>
          <w:p w14:paraId="6059002E" w14:textId="77777777" w:rsidR="00AA23DA" w:rsidRPr="00545EC0" w:rsidRDefault="00AA23DA" w:rsidP="004C5428">
            <w:pPr>
              <w:rPr>
                <w:rFonts w:cs="Arial"/>
                <w:sz w:val="18"/>
                <w:szCs w:val="18"/>
              </w:rPr>
            </w:pPr>
            <w:r w:rsidRPr="00545EC0">
              <w:rPr>
                <w:rFonts w:cs="Arial"/>
                <w:sz w:val="18"/>
                <w:szCs w:val="18"/>
              </w:rPr>
              <w:t>1011 Dolenjski kras</w:t>
            </w:r>
          </w:p>
        </w:tc>
        <w:tc>
          <w:tcPr>
            <w:tcW w:w="2126" w:type="dxa"/>
            <w:vAlign w:val="center"/>
          </w:tcPr>
          <w:p w14:paraId="5168C7C4" w14:textId="77777777" w:rsidR="00AA23DA" w:rsidRPr="00545EC0" w:rsidRDefault="00AA23DA" w:rsidP="004C5428">
            <w:pPr>
              <w:rPr>
                <w:rFonts w:cs="Arial"/>
                <w:sz w:val="18"/>
                <w:szCs w:val="18"/>
              </w:rPr>
            </w:pPr>
            <w:r w:rsidRPr="00545EC0">
              <w:rPr>
                <w:rFonts w:cs="Arial"/>
                <w:sz w:val="18"/>
                <w:szCs w:val="18"/>
              </w:rPr>
              <w:t>Kočevsko</w:t>
            </w:r>
          </w:p>
        </w:tc>
        <w:tc>
          <w:tcPr>
            <w:tcW w:w="3402" w:type="dxa"/>
            <w:shd w:val="clear" w:color="auto" w:fill="auto"/>
            <w:noWrap/>
            <w:vAlign w:val="center"/>
          </w:tcPr>
          <w:p w14:paraId="3BC488FD" w14:textId="77777777" w:rsidR="00AA23DA" w:rsidRPr="00545EC0" w:rsidRDefault="00AA23DA" w:rsidP="004C5428">
            <w:pPr>
              <w:rPr>
                <w:rFonts w:cs="Arial"/>
                <w:sz w:val="18"/>
                <w:szCs w:val="18"/>
              </w:rPr>
            </w:pPr>
            <w:r w:rsidRPr="00545EC0">
              <w:rPr>
                <w:rFonts w:cs="Arial"/>
                <w:sz w:val="18"/>
                <w:szCs w:val="18"/>
              </w:rPr>
              <w:t>OBRH RINŽA</w:t>
            </w:r>
          </w:p>
        </w:tc>
        <w:tc>
          <w:tcPr>
            <w:tcW w:w="1173" w:type="dxa"/>
            <w:shd w:val="clear" w:color="auto" w:fill="auto"/>
            <w:vAlign w:val="center"/>
          </w:tcPr>
          <w:p w14:paraId="7DC82321" w14:textId="77777777" w:rsidR="00AA23DA" w:rsidRPr="00545EC0" w:rsidRDefault="00AA23DA" w:rsidP="004C5428">
            <w:pPr>
              <w:jc w:val="center"/>
              <w:rPr>
                <w:rFonts w:cs="Arial"/>
                <w:sz w:val="18"/>
                <w:szCs w:val="18"/>
              </w:rPr>
            </w:pPr>
            <w:r w:rsidRPr="00545EC0">
              <w:rPr>
                <w:rFonts w:cs="Arial"/>
                <w:sz w:val="18"/>
                <w:szCs w:val="18"/>
              </w:rPr>
              <w:t>2007</w:t>
            </w:r>
          </w:p>
        </w:tc>
      </w:tr>
      <w:tr w:rsidR="003122F4" w:rsidRPr="00545EC0" w14:paraId="4D6AD009" w14:textId="77777777" w:rsidTr="004C5428">
        <w:trPr>
          <w:trHeight w:val="284"/>
        </w:trPr>
        <w:tc>
          <w:tcPr>
            <w:tcW w:w="206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EA1546" w14:textId="77777777" w:rsidR="00AA23DA" w:rsidRPr="00545EC0" w:rsidRDefault="00AA23DA" w:rsidP="004C5428">
            <w:pPr>
              <w:rPr>
                <w:rFonts w:cs="Arial"/>
                <w:sz w:val="18"/>
                <w:szCs w:val="18"/>
              </w:rPr>
            </w:pPr>
            <w:r w:rsidRPr="00545EC0">
              <w:rPr>
                <w:rFonts w:cs="Arial"/>
                <w:sz w:val="18"/>
                <w:szCs w:val="18"/>
              </w:rPr>
              <w:t>1011 Dolenjski kras</w:t>
            </w:r>
          </w:p>
        </w:tc>
        <w:tc>
          <w:tcPr>
            <w:tcW w:w="2126" w:type="dxa"/>
            <w:tcBorders>
              <w:top w:val="single" w:sz="6" w:space="0" w:color="auto"/>
              <w:left w:val="single" w:sz="6" w:space="0" w:color="auto"/>
              <w:bottom w:val="single" w:sz="6" w:space="0" w:color="auto"/>
              <w:right w:val="single" w:sz="6" w:space="0" w:color="auto"/>
            </w:tcBorders>
            <w:vAlign w:val="center"/>
          </w:tcPr>
          <w:p w14:paraId="413EEEE8" w14:textId="77777777" w:rsidR="00AA23DA" w:rsidRPr="00545EC0" w:rsidRDefault="00AA23DA" w:rsidP="004C5428">
            <w:pPr>
              <w:rPr>
                <w:rFonts w:cs="Arial"/>
                <w:sz w:val="18"/>
                <w:szCs w:val="18"/>
              </w:rPr>
            </w:pPr>
            <w:r w:rsidRPr="00545EC0">
              <w:rPr>
                <w:rFonts w:cs="Arial"/>
                <w:sz w:val="18"/>
                <w:szCs w:val="18"/>
              </w:rPr>
              <w:t>Kočevsko</w:t>
            </w:r>
          </w:p>
        </w:tc>
        <w:tc>
          <w:tcPr>
            <w:tcW w:w="340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6007E9" w14:textId="77777777" w:rsidR="00AA23DA" w:rsidRPr="00545EC0" w:rsidRDefault="00AA23DA" w:rsidP="004C5428">
            <w:pPr>
              <w:rPr>
                <w:rFonts w:cs="Arial"/>
                <w:sz w:val="18"/>
                <w:szCs w:val="18"/>
              </w:rPr>
            </w:pPr>
            <w:r w:rsidRPr="00545EC0">
              <w:rPr>
                <w:rFonts w:cs="Arial"/>
                <w:sz w:val="18"/>
                <w:szCs w:val="18"/>
              </w:rPr>
              <w:t>RADEŠCA, Podturn</w:t>
            </w:r>
          </w:p>
        </w:tc>
        <w:tc>
          <w:tcPr>
            <w:tcW w:w="1173" w:type="dxa"/>
            <w:tcBorders>
              <w:top w:val="single" w:sz="6" w:space="0" w:color="auto"/>
              <w:left w:val="single" w:sz="6" w:space="0" w:color="auto"/>
              <w:bottom w:val="single" w:sz="6" w:space="0" w:color="auto"/>
              <w:right w:val="single" w:sz="6" w:space="0" w:color="auto"/>
            </w:tcBorders>
            <w:shd w:val="clear" w:color="auto" w:fill="auto"/>
            <w:vAlign w:val="center"/>
          </w:tcPr>
          <w:p w14:paraId="4D1C3003" w14:textId="77777777" w:rsidR="00AA23DA" w:rsidRPr="00545EC0" w:rsidRDefault="00AA23DA" w:rsidP="004C5428">
            <w:pPr>
              <w:jc w:val="center"/>
              <w:rPr>
                <w:rFonts w:cs="Arial"/>
                <w:sz w:val="18"/>
                <w:szCs w:val="18"/>
              </w:rPr>
            </w:pPr>
            <w:r w:rsidRPr="00545EC0">
              <w:rPr>
                <w:rFonts w:cs="Arial"/>
                <w:sz w:val="18"/>
                <w:szCs w:val="18"/>
              </w:rPr>
              <w:t>1994</w:t>
            </w:r>
          </w:p>
        </w:tc>
      </w:tr>
      <w:tr w:rsidR="003122F4" w:rsidRPr="00545EC0" w14:paraId="618C4A7B" w14:textId="77777777" w:rsidTr="004C5428">
        <w:trPr>
          <w:trHeight w:val="284"/>
        </w:trPr>
        <w:tc>
          <w:tcPr>
            <w:tcW w:w="2064" w:type="dxa"/>
            <w:shd w:val="clear" w:color="auto" w:fill="auto"/>
            <w:noWrap/>
            <w:vAlign w:val="center"/>
          </w:tcPr>
          <w:p w14:paraId="15BBC728" w14:textId="77777777" w:rsidR="00AA23DA" w:rsidRPr="00545EC0" w:rsidRDefault="00AA23DA" w:rsidP="004C5428">
            <w:pPr>
              <w:rPr>
                <w:rFonts w:cs="Arial"/>
                <w:sz w:val="18"/>
                <w:szCs w:val="18"/>
              </w:rPr>
            </w:pPr>
            <w:r w:rsidRPr="00545EC0">
              <w:rPr>
                <w:rFonts w:cs="Arial"/>
                <w:sz w:val="18"/>
                <w:szCs w:val="18"/>
              </w:rPr>
              <w:t>1011 Dolenjski kras</w:t>
            </w:r>
          </w:p>
        </w:tc>
        <w:tc>
          <w:tcPr>
            <w:tcW w:w="2126" w:type="dxa"/>
            <w:vAlign w:val="center"/>
          </w:tcPr>
          <w:p w14:paraId="5FD413DC" w14:textId="77777777" w:rsidR="00AA23DA" w:rsidRPr="00545EC0" w:rsidRDefault="00AA23DA" w:rsidP="004C5428">
            <w:pPr>
              <w:rPr>
                <w:rFonts w:cs="Arial"/>
                <w:sz w:val="18"/>
                <w:szCs w:val="18"/>
              </w:rPr>
            </w:pPr>
            <w:r w:rsidRPr="00545EC0">
              <w:rPr>
                <w:rFonts w:cs="Arial"/>
                <w:sz w:val="18"/>
                <w:szCs w:val="18"/>
              </w:rPr>
              <w:t>Vir pri Stični</w:t>
            </w:r>
          </w:p>
        </w:tc>
        <w:tc>
          <w:tcPr>
            <w:tcW w:w="3402" w:type="dxa"/>
            <w:shd w:val="clear" w:color="auto" w:fill="auto"/>
            <w:noWrap/>
            <w:vAlign w:val="center"/>
          </w:tcPr>
          <w:p w14:paraId="660ABFF4" w14:textId="77777777" w:rsidR="00AA23DA" w:rsidRPr="00545EC0" w:rsidRDefault="00AA23DA" w:rsidP="004C5428">
            <w:pPr>
              <w:rPr>
                <w:rFonts w:cs="Arial"/>
                <w:sz w:val="18"/>
                <w:szCs w:val="18"/>
              </w:rPr>
            </w:pPr>
            <w:r w:rsidRPr="00545EC0">
              <w:rPr>
                <w:rFonts w:cs="Arial"/>
                <w:sz w:val="18"/>
                <w:szCs w:val="18"/>
              </w:rPr>
              <w:t>VIR PRI STIČNI</w:t>
            </w:r>
          </w:p>
        </w:tc>
        <w:tc>
          <w:tcPr>
            <w:tcW w:w="1173" w:type="dxa"/>
            <w:shd w:val="clear" w:color="auto" w:fill="auto"/>
            <w:vAlign w:val="center"/>
          </w:tcPr>
          <w:p w14:paraId="4572D619" w14:textId="77777777" w:rsidR="00AA23DA" w:rsidRPr="00545EC0" w:rsidRDefault="00AA23DA" w:rsidP="004C5428">
            <w:pPr>
              <w:jc w:val="center"/>
              <w:rPr>
                <w:rFonts w:cs="Arial"/>
                <w:sz w:val="18"/>
                <w:szCs w:val="18"/>
              </w:rPr>
            </w:pPr>
            <w:r w:rsidRPr="00545EC0">
              <w:rPr>
                <w:rFonts w:cs="Arial"/>
                <w:sz w:val="18"/>
                <w:szCs w:val="18"/>
              </w:rPr>
              <w:t>2016</w:t>
            </w:r>
          </w:p>
        </w:tc>
      </w:tr>
      <w:tr w:rsidR="003122F4" w:rsidRPr="00545EC0" w14:paraId="4A365B18" w14:textId="77777777" w:rsidTr="004C5428">
        <w:trPr>
          <w:trHeight w:val="284"/>
        </w:trPr>
        <w:tc>
          <w:tcPr>
            <w:tcW w:w="2064" w:type="dxa"/>
            <w:shd w:val="clear" w:color="auto" w:fill="auto"/>
            <w:noWrap/>
            <w:vAlign w:val="center"/>
          </w:tcPr>
          <w:p w14:paraId="5E1242DF" w14:textId="77777777" w:rsidR="00AA23DA" w:rsidRPr="00545EC0" w:rsidRDefault="00AA23DA" w:rsidP="004C5428">
            <w:pPr>
              <w:rPr>
                <w:rFonts w:cs="Arial"/>
                <w:sz w:val="18"/>
                <w:szCs w:val="18"/>
              </w:rPr>
            </w:pPr>
            <w:r w:rsidRPr="00545EC0">
              <w:rPr>
                <w:rFonts w:cs="Arial"/>
                <w:sz w:val="18"/>
                <w:szCs w:val="18"/>
              </w:rPr>
              <w:t>1011 Dolenjski kras</w:t>
            </w:r>
          </w:p>
        </w:tc>
        <w:tc>
          <w:tcPr>
            <w:tcW w:w="2126" w:type="dxa"/>
            <w:vAlign w:val="center"/>
          </w:tcPr>
          <w:p w14:paraId="7D9C5E51" w14:textId="77777777" w:rsidR="00AA23DA" w:rsidRPr="00545EC0" w:rsidRDefault="00AA23DA" w:rsidP="004C5428">
            <w:pPr>
              <w:rPr>
                <w:rFonts w:cs="Arial"/>
                <w:sz w:val="18"/>
                <w:szCs w:val="18"/>
              </w:rPr>
            </w:pPr>
            <w:r w:rsidRPr="00545EC0">
              <w:rPr>
                <w:rFonts w:cs="Arial"/>
                <w:sz w:val="18"/>
                <w:szCs w:val="18"/>
              </w:rPr>
              <w:t>Petanjska jama</w:t>
            </w:r>
          </w:p>
        </w:tc>
        <w:tc>
          <w:tcPr>
            <w:tcW w:w="3402" w:type="dxa"/>
            <w:shd w:val="clear" w:color="auto" w:fill="auto"/>
            <w:noWrap/>
            <w:vAlign w:val="center"/>
          </w:tcPr>
          <w:p w14:paraId="72DB4C8C" w14:textId="77777777" w:rsidR="00AA23DA" w:rsidRPr="00545EC0" w:rsidRDefault="00AA23DA" w:rsidP="004C5428">
            <w:pPr>
              <w:rPr>
                <w:rFonts w:cs="Arial"/>
                <w:sz w:val="18"/>
                <w:szCs w:val="18"/>
              </w:rPr>
            </w:pPr>
            <w:r w:rsidRPr="00545EC0">
              <w:rPr>
                <w:rFonts w:cs="Arial"/>
                <w:sz w:val="18"/>
                <w:szCs w:val="18"/>
              </w:rPr>
              <w:t>MALI PODLJUBEN</w:t>
            </w:r>
          </w:p>
        </w:tc>
        <w:tc>
          <w:tcPr>
            <w:tcW w:w="1173" w:type="dxa"/>
            <w:shd w:val="clear" w:color="auto" w:fill="auto"/>
            <w:vAlign w:val="center"/>
          </w:tcPr>
          <w:p w14:paraId="6214921D" w14:textId="77777777" w:rsidR="00AA23DA" w:rsidRPr="00545EC0" w:rsidRDefault="00AA23DA" w:rsidP="004C5428">
            <w:pPr>
              <w:jc w:val="center"/>
              <w:rPr>
                <w:rFonts w:cs="Arial"/>
                <w:sz w:val="18"/>
                <w:szCs w:val="18"/>
              </w:rPr>
            </w:pPr>
            <w:r w:rsidRPr="00545EC0">
              <w:rPr>
                <w:rFonts w:cs="Arial"/>
                <w:sz w:val="18"/>
                <w:szCs w:val="18"/>
              </w:rPr>
              <w:t>2016</w:t>
            </w:r>
          </w:p>
        </w:tc>
      </w:tr>
      <w:tr w:rsidR="00AA23DA" w:rsidRPr="00545EC0" w14:paraId="42EF8185" w14:textId="77777777" w:rsidTr="004C5428">
        <w:trPr>
          <w:trHeight w:val="284"/>
        </w:trPr>
        <w:tc>
          <w:tcPr>
            <w:tcW w:w="2064" w:type="dxa"/>
            <w:shd w:val="clear" w:color="auto" w:fill="auto"/>
            <w:noWrap/>
            <w:vAlign w:val="center"/>
          </w:tcPr>
          <w:p w14:paraId="22518B86" w14:textId="77777777" w:rsidR="00AA23DA" w:rsidRPr="00545EC0" w:rsidRDefault="00AA23DA" w:rsidP="004C5428">
            <w:pPr>
              <w:rPr>
                <w:rFonts w:cs="Arial"/>
                <w:sz w:val="18"/>
                <w:szCs w:val="18"/>
              </w:rPr>
            </w:pPr>
            <w:r w:rsidRPr="00545EC0">
              <w:rPr>
                <w:rFonts w:cs="Arial"/>
                <w:sz w:val="18"/>
                <w:szCs w:val="18"/>
              </w:rPr>
              <w:t>1011 Dolenjski kras</w:t>
            </w:r>
          </w:p>
        </w:tc>
        <w:tc>
          <w:tcPr>
            <w:tcW w:w="2126" w:type="dxa"/>
            <w:vAlign w:val="center"/>
          </w:tcPr>
          <w:p w14:paraId="2D626B6C" w14:textId="77777777" w:rsidR="00AA23DA" w:rsidRPr="00545EC0" w:rsidRDefault="00AA23DA" w:rsidP="004C5428">
            <w:pPr>
              <w:rPr>
                <w:rFonts w:cs="Arial"/>
                <w:sz w:val="18"/>
                <w:szCs w:val="18"/>
              </w:rPr>
            </w:pPr>
            <w:r w:rsidRPr="00545EC0">
              <w:rPr>
                <w:rFonts w:cs="Arial"/>
                <w:sz w:val="18"/>
                <w:szCs w:val="18"/>
              </w:rPr>
              <w:t>Kotarjeva prepadna</w:t>
            </w:r>
          </w:p>
        </w:tc>
        <w:tc>
          <w:tcPr>
            <w:tcW w:w="3402" w:type="dxa"/>
            <w:shd w:val="clear" w:color="auto" w:fill="auto"/>
            <w:noWrap/>
            <w:vAlign w:val="center"/>
          </w:tcPr>
          <w:p w14:paraId="33BFDC9C" w14:textId="77777777" w:rsidR="00AA23DA" w:rsidRPr="00545EC0" w:rsidRDefault="00AA23DA" w:rsidP="004C5428">
            <w:pPr>
              <w:rPr>
                <w:rFonts w:cs="Arial"/>
                <w:sz w:val="18"/>
                <w:szCs w:val="18"/>
              </w:rPr>
            </w:pPr>
            <w:r w:rsidRPr="00545EC0">
              <w:rPr>
                <w:rFonts w:cs="Arial"/>
                <w:sz w:val="18"/>
                <w:szCs w:val="18"/>
              </w:rPr>
              <w:t>/</w:t>
            </w:r>
          </w:p>
        </w:tc>
        <w:tc>
          <w:tcPr>
            <w:tcW w:w="1173" w:type="dxa"/>
            <w:shd w:val="clear" w:color="auto" w:fill="auto"/>
            <w:vAlign w:val="center"/>
          </w:tcPr>
          <w:p w14:paraId="627F265C" w14:textId="77777777" w:rsidR="00AA23DA" w:rsidRPr="00545EC0" w:rsidRDefault="00AA23DA" w:rsidP="004C5428">
            <w:pPr>
              <w:jc w:val="center"/>
              <w:rPr>
                <w:rFonts w:cs="Arial"/>
                <w:sz w:val="18"/>
                <w:szCs w:val="18"/>
              </w:rPr>
            </w:pPr>
            <w:r w:rsidRPr="00545EC0">
              <w:rPr>
                <w:rFonts w:cs="Arial"/>
                <w:sz w:val="18"/>
                <w:szCs w:val="18"/>
              </w:rPr>
              <w:t>/</w:t>
            </w:r>
          </w:p>
        </w:tc>
      </w:tr>
    </w:tbl>
    <w:p w14:paraId="7948ACF2" w14:textId="77777777" w:rsidR="00AA23DA" w:rsidRPr="00545EC0" w:rsidRDefault="00AA23DA" w:rsidP="00AA23DA">
      <w:pPr>
        <w:rPr>
          <w:rFonts w:cs="Arial"/>
          <w:snapToGrid w:val="0"/>
          <w:szCs w:val="22"/>
        </w:rPr>
      </w:pPr>
    </w:p>
    <w:p w14:paraId="741FB3C0" w14:textId="0E2DA750" w:rsidR="00AA23DA" w:rsidRPr="00545EC0" w:rsidRDefault="00AA23DA" w:rsidP="00AA23DA">
      <w:pPr>
        <w:rPr>
          <w:rFonts w:cs="Arial"/>
          <w:snapToGrid w:val="0"/>
          <w:szCs w:val="22"/>
        </w:rPr>
      </w:pPr>
      <w:r w:rsidRPr="00545EC0">
        <w:rPr>
          <w:rFonts w:cs="Arial"/>
          <w:snapToGrid w:val="0"/>
          <w:szCs w:val="22"/>
        </w:rPr>
        <w:t>Na vseh ogroženih območjih človeške ribice</w:t>
      </w:r>
      <w:r w:rsidR="00B37560" w:rsidRPr="00545EC0">
        <w:rPr>
          <w:rFonts w:cs="Arial"/>
          <w:snapToGrid w:val="0"/>
          <w:szCs w:val="22"/>
        </w:rPr>
        <w:t>,</w:t>
      </w:r>
      <w:r w:rsidRPr="00545EC0">
        <w:rPr>
          <w:rFonts w:cs="Arial"/>
          <w:snapToGrid w:val="0"/>
          <w:szCs w:val="22"/>
        </w:rPr>
        <w:t xml:space="preserve"> z izjemo območja Kotarjeva prepadna (ustreznega merilnega mesta ni bilo mogoče določiti)</w:t>
      </w:r>
      <w:r w:rsidR="00B37560" w:rsidRPr="00545EC0">
        <w:rPr>
          <w:rFonts w:cs="Arial"/>
          <w:snapToGrid w:val="0"/>
          <w:szCs w:val="22"/>
        </w:rPr>
        <w:t>,</w:t>
      </w:r>
      <w:r w:rsidRPr="00545EC0">
        <w:rPr>
          <w:rFonts w:cs="Arial"/>
          <w:snapToGrid w:val="0"/>
          <w:szCs w:val="22"/>
        </w:rPr>
        <w:t xml:space="preserve"> </w:t>
      </w:r>
      <w:r w:rsidR="00F409EE" w:rsidRPr="00545EC0">
        <w:rPr>
          <w:rFonts w:cs="Arial"/>
          <w:snapToGrid w:val="0"/>
          <w:szCs w:val="22"/>
        </w:rPr>
        <w:t xml:space="preserve">se je </w:t>
      </w:r>
      <w:r w:rsidRPr="00545EC0">
        <w:rPr>
          <w:rFonts w:cs="Arial"/>
          <w:snapToGrid w:val="0"/>
          <w:szCs w:val="22"/>
        </w:rPr>
        <w:t>izvajal</w:t>
      </w:r>
      <w:r w:rsidR="00F409EE" w:rsidRPr="00545EC0">
        <w:rPr>
          <w:rFonts w:cs="Arial"/>
          <w:snapToGrid w:val="0"/>
          <w:szCs w:val="22"/>
        </w:rPr>
        <w:t>o</w:t>
      </w:r>
      <w:r w:rsidRPr="00545EC0">
        <w:rPr>
          <w:rFonts w:cs="Arial"/>
          <w:snapToGrid w:val="0"/>
          <w:szCs w:val="22"/>
        </w:rPr>
        <w:t xml:space="preserve"> spremljanje stanja voda. Izvedl</w:t>
      </w:r>
      <w:r w:rsidR="00F409EE" w:rsidRPr="00545EC0">
        <w:rPr>
          <w:rFonts w:cs="Arial"/>
          <w:snapToGrid w:val="0"/>
          <w:szCs w:val="22"/>
        </w:rPr>
        <w:t>en</w:t>
      </w:r>
      <w:r w:rsidRPr="00545EC0">
        <w:rPr>
          <w:rFonts w:cs="Arial"/>
          <w:snapToGrid w:val="0"/>
          <w:szCs w:val="22"/>
        </w:rPr>
        <w:t xml:space="preserve"> </w:t>
      </w:r>
      <w:r w:rsidR="00F409EE" w:rsidRPr="00545EC0">
        <w:rPr>
          <w:rFonts w:cs="Arial"/>
          <w:snapToGrid w:val="0"/>
          <w:szCs w:val="22"/>
        </w:rPr>
        <w:t xml:space="preserve">je bil </w:t>
      </w:r>
      <w:r w:rsidR="00C12042" w:rsidRPr="00545EC0">
        <w:rPr>
          <w:rFonts w:cs="Arial"/>
          <w:snapToGrid w:val="0"/>
          <w:szCs w:val="22"/>
        </w:rPr>
        <w:t>preizkus</w:t>
      </w:r>
      <w:r w:rsidRPr="00545EC0">
        <w:rPr>
          <w:rFonts w:cs="Arial"/>
          <w:snapToGrid w:val="0"/>
          <w:szCs w:val="22"/>
        </w:rPr>
        <w:t xml:space="preserve"> vpliva podzemne vode na te ogrožene vodne ekosisteme. Ugotavljal</w:t>
      </w:r>
      <w:r w:rsidR="00F409EE" w:rsidRPr="00545EC0">
        <w:rPr>
          <w:rFonts w:cs="Arial"/>
          <w:snapToGrid w:val="0"/>
          <w:szCs w:val="22"/>
        </w:rPr>
        <w:t>o</w:t>
      </w:r>
      <w:r w:rsidRPr="00545EC0">
        <w:rPr>
          <w:rFonts w:cs="Arial"/>
          <w:snapToGrid w:val="0"/>
          <w:szCs w:val="22"/>
        </w:rPr>
        <w:t xml:space="preserve"> </w:t>
      </w:r>
      <w:r w:rsidR="00F409EE" w:rsidRPr="00545EC0">
        <w:rPr>
          <w:rFonts w:cs="Arial"/>
          <w:snapToGrid w:val="0"/>
          <w:szCs w:val="22"/>
        </w:rPr>
        <w:t>se je</w:t>
      </w:r>
      <w:r w:rsidRPr="00545EC0">
        <w:rPr>
          <w:rFonts w:cs="Arial"/>
          <w:snapToGrid w:val="0"/>
          <w:szCs w:val="22"/>
        </w:rPr>
        <w:t>, ali koncentracije nitrata, izmerjenega v podzemni vodi</w:t>
      </w:r>
      <w:r w:rsidR="00B37560" w:rsidRPr="00545EC0">
        <w:rPr>
          <w:rFonts w:cs="Arial"/>
          <w:snapToGrid w:val="0"/>
          <w:szCs w:val="22"/>
        </w:rPr>
        <w:t>,</w:t>
      </w:r>
      <w:r w:rsidRPr="00545EC0">
        <w:rPr>
          <w:rFonts w:cs="Arial"/>
          <w:snapToGrid w:val="0"/>
          <w:szCs w:val="22"/>
        </w:rPr>
        <w:t xml:space="preserve"> lahko vplivajo na habitat človeške ribice. Vsebnosti nitrata, ki presegajo </w:t>
      </w:r>
      <w:r w:rsidR="003905B8" w:rsidRPr="00545EC0">
        <w:rPr>
          <w:rFonts w:cs="Arial"/>
          <w:snapToGrid w:val="0"/>
          <w:szCs w:val="22"/>
        </w:rPr>
        <w:t>z navedeno študijo predlagane vrednosti</w:t>
      </w:r>
      <w:r w:rsidR="003905B8" w:rsidRPr="00545EC0" w:rsidDel="003905B8">
        <w:rPr>
          <w:rFonts w:cs="Arial"/>
          <w:snapToGrid w:val="0"/>
          <w:szCs w:val="22"/>
        </w:rPr>
        <w:t xml:space="preserve"> </w:t>
      </w:r>
      <w:r w:rsidRPr="00545EC0">
        <w:rPr>
          <w:rFonts w:cs="Arial"/>
          <w:snapToGrid w:val="0"/>
          <w:szCs w:val="22"/>
        </w:rPr>
        <w:t>9,2 mg NO</w:t>
      </w:r>
      <w:r w:rsidRPr="00545EC0">
        <w:rPr>
          <w:rFonts w:cs="Arial"/>
          <w:snapToGrid w:val="0"/>
          <w:szCs w:val="22"/>
          <w:vertAlign w:val="subscript"/>
        </w:rPr>
        <w:t>3</w:t>
      </w:r>
      <w:r w:rsidRPr="00545EC0">
        <w:rPr>
          <w:rFonts w:cs="Arial"/>
          <w:snapToGrid w:val="0"/>
          <w:szCs w:val="22"/>
        </w:rPr>
        <w:t>/L</w:t>
      </w:r>
      <w:r w:rsidR="00B37560" w:rsidRPr="00545EC0">
        <w:rPr>
          <w:rFonts w:cs="Arial"/>
          <w:snapToGrid w:val="0"/>
          <w:szCs w:val="22"/>
        </w:rPr>
        <w:t>,</w:t>
      </w:r>
      <w:r w:rsidRPr="00545EC0">
        <w:rPr>
          <w:rFonts w:cs="Arial"/>
          <w:snapToGrid w:val="0"/>
          <w:szCs w:val="22"/>
        </w:rPr>
        <w:t xml:space="preserve"> so</w:t>
      </w:r>
      <w:r w:rsidR="003905B8" w:rsidRPr="00545EC0">
        <w:rPr>
          <w:rFonts w:cs="Arial"/>
          <w:snapToGrid w:val="0"/>
          <w:szCs w:val="22"/>
        </w:rPr>
        <w:t xml:space="preserve"> bile</w:t>
      </w:r>
      <w:r w:rsidRPr="00545EC0">
        <w:rPr>
          <w:rFonts w:cs="Arial"/>
          <w:snapToGrid w:val="0"/>
          <w:szCs w:val="22"/>
        </w:rPr>
        <w:t xml:space="preserve"> določ</w:t>
      </w:r>
      <w:r w:rsidR="003905B8" w:rsidRPr="00545EC0">
        <w:rPr>
          <w:rFonts w:cs="Arial"/>
          <w:snapToGrid w:val="0"/>
          <w:szCs w:val="22"/>
        </w:rPr>
        <w:t>ene</w:t>
      </w:r>
      <w:r w:rsidRPr="00545EC0">
        <w:rPr>
          <w:rFonts w:cs="Arial"/>
          <w:snapToGrid w:val="0"/>
          <w:szCs w:val="22"/>
        </w:rPr>
        <w:t xml:space="preserve"> na treh merilnih </w:t>
      </w:r>
      <w:r w:rsidRPr="00545EC0">
        <w:rPr>
          <w:rFonts w:cs="Arial"/>
          <w:snapToGrid w:val="0"/>
          <w:szCs w:val="22"/>
        </w:rPr>
        <w:lastRenderedPageBreak/>
        <w:t xml:space="preserve">mestih in sicer na treh kraških izvirih: Otovškem in Pačkem bregu ter Viru pri Stični. Na vseh ostalih merilnih mestih v območju habitata človeške ribice, vsebnost nitrata ne presega </w:t>
      </w:r>
      <w:r w:rsidR="003905B8" w:rsidRPr="00545EC0">
        <w:rPr>
          <w:rFonts w:cs="Arial"/>
          <w:snapToGrid w:val="0"/>
          <w:szCs w:val="22"/>
        </w:rPr>
        <w:t>z navedeno študijo predlagane vrednosti</w:t>
      </w:r>
      <w:r w:rsidRPr="00545EC0">
        <w:rPr>
          <w:rFonts w:cs="Arial"/>
          <w:snapToGrid w:val="0"/>
          <w:szCs w:val="22"/>
        </w:rPr>
        <w:t xml:space="preserve">. V </w:t>
      </w:r>
      <w:r w:rsidR="00164188" w:rsidRPr="00545EC0">
        <w:rPr>
          <w:rFonts w:cs="Arial"/>
          <w:snapToGrid w:val="0"/>
          <w:szCs w:val="22"/>
        </w:rPr>
        <w:t>preglednici (</w:t>
      </w:r>
      <w:r w:rsidR="00F83F84" w:rsidRPr="00545EC0">
        <w:rPr>
          <w:rFonts w:cs="Arial"/>
          <w:snapToGrid w:val="0"/>
          <w:szCs w:val="22"/>
        </w:rPr>
        <w:fldChar w:fldCharType="begin"/>
      </w:r>
      <w:r w:rsidR="00F83F84" w:rsidRPr="00545EC0">
        <w:rPr>
          <w:rFonts w:cs="Arial"/>
          <w:snapToGrid w:val="0"/>
          <w:szCs w:val="22"/>
        </w:rPr>
        <w:instrText xml:space="preserve"> REF _Ref75766862 \h  \* MERGEFORMAT </w:instrText>
      </w:r>
      <w:r w:rsidR="00F83F84" w:rsidRPr="00545EC0">
        <w:rPr>
          <w:rFonts w:cs="Arial"/>
          <w:snapToGrid w:val="0"/>
          <w:szCs w:val="22"/>
        </w:rPr>
      </w:r>
      <w:r w:rsidR="00F83F84" w:rsidRPr="00545EC0">
        <w:rPr>
          <w:rFonts w:cs="Arial"/>
          <w:snapToGrid w:val="0"/>
          <w:szCs w:val="22"/>
        </w:rPr>
        <w:fldChar w:fldCharType="separate"/>
      </w:r>
      <w:r w:rsidR="002F3E43" w:rsidRPr="00545EC0">
        <w:t xml:space="preserve">Preglednica </w:t>
      </w:r>
      <w:r w:rsidR="002F3E43">
        <w:rPr>
          <w:noProof/>
        </w:rPr>
        <w:t>3</w:t>
      </w:r>
      <w:r w:rsidR="002F3E43" w:rsidRPr="00545EC0">
        <w:rPr>
          <w:noProof/>
        </w:rPr>
        <w:noBreakHyphen/>
      </w:r>
      <w:r w:rsidR="002F3E43">
        <w:rPr>
          <w:noProof/>
        </w:rPr>
        <w:t>18</w:t>
      </w:r>
      <w:r w:rsidR="00F83F84" w:rsidRPr="00545EC0">
        <w:rPr>
          <w:rFonts w:cs="Arial"/>
          <w:snapToGrid w:val="0"/>
          <w:szCs w:val="22"/>
        </w:rPr>
        <w:fldChar w:fldCharType="end"/>
      </w:r>
      <w:r w:rsidR="00164188" w:rsidRPr="00545EC0">
        <w:rPr>
          <w:rFonts w:cs="Arial"/>
          <w:snapToGrid w:val="0"/>
          <w:szCs w:val="22"/>
        </w:rPr>
        <w:t>)</w:t>
      </w:r>
      <w:r w:rsidR="00F83F84" w:rsidRPr="00545EC0">
        <w:rPr>
          <w:rFonts w:cs="Arial"/>
          <w:snapToGrid w:val="0"/>
          <w:szCs w:val="22"/>
        </w:rPr>
        <w:t xml:space="preserve"> </w:t>
      </w:r>
      <w:r w:rsidRPr="00545EC0">
        <w:rPr>
          <w:rFonts w:cs="Arial"/>
          <w:snapToGrid w:val="0"/>
          <w:szCs w:val="22"/>
        </w:rPr>
        <w:t>so prikazani rezultati preizkusa vpliva podzemne vode na vodne in kopenske ekosisteme.</w:t>
      </w:r>
    </w:p>
    <w:p w14:paraId="7F3FC5E8" w14:textId="77777777" w:rsidR="00AA23DA" w:rsidRPr="00545EC0" w:rsidRDefault="00AA23DA" w:rsidP="00AA23DA">
      <w:pPr>
        <w:rPr>
          <w:rFonts w:cs="Arial"/>
          <w:snapToGrid w:val="0"/>
          <w:szCs w:val="22"/>
        </w:rPr>
      </w:pPr>
    </w:p>
    <w:p w14:paraId="4C984A8B" w14:textId="0AF691ED" w:rsidR="00AA23DA" w:rsidRPr="00545EC0" w:rsidRDefault="00AA23DA" w:rsidP="00AA23DA">
      <w:pPr>
        <w:pStyle w:val="Napis"/>
        <w:spacing w:after="60"/>
        <w:rPr>
          <w:snapToGrid w:val="0"/>
          <w:szCs w:val="22"/>
        </w:rPr>
      </w:pPr>
      <w:bookmarkStart w:id="589" w:name="_Ref75766862"/>
      <w:bookmarkStart w:id="590" w:name="_Toc75762761"/>
      <w:r w:rsidRPr="00545EC0">
        <w:t xml:space="preserve">Preglednica </w:t>
      </w:r>
      <w:fldSimple w:instr=" STYLEREF 1 \s ">
        <w:r w:rsidR="002F3E43">
          <w:rPr>
            <w:noProof/>
          </w:rPr>
          <w:t>3</w:t>
        </w:r>
      </w:fldSimple>
      <w:r w:rsidR="001A7511" w:rsidRPr="00545EC0">
        <w:noBreakHyphen/>
      </w:r>
      <w:fldSimple w:instr=" SEQ Preglednica \* ARABIC \s 1 ">
        <w:r w:rsidR="002F3E43">
          <w:rPr>
            <w:noProof/>
          </w:rPr>
          <w:t>18</w:t>
        </w:r>
      </w:fldSimple>
      <w:bookmarkEnd w:id="589"/>
      <w:r w:rsidRPr="00545EC0">
        <w:rPr>
          <w:snapToGrid w:val="0"/>
          <w:szCs w:val="22"/>
        </w:rPr>
        <w:t>: Preizkus vpliva podzemne vode na vodne in kopenske ekosisteme</w:t>
      </w:r>
      <w:bookmarkEnd w:id="590"/>
    </w:p>
    <w:tbl>
      <w:tblPr>
        <w:tblW w:w="5000" w:type="pct"/>
        <w:tblCellMar>
          <w:left w:w="70" w:type="dxa"/>
          <w:right w:w="70" w:type="dxa"/>
        </w:tblCellMar>
        <w:tblLook w:val="04A0" w:firstRow="1" w:lastRow="0" w:firstColumn="1" w:lastColumn="0" w:noHBand="0" w:noVBand="1"/>
      </w:tblPr>
      <w:tblGrid>
        <w:gridCol w:w="1984"/>
        <w:gridCol w:w="1656"/>
        <w:gridCol w:w="1279"/>
        <w:gridCol w:w="922"/>
        <w:gridCol w:w="1038"/>
        <w:gridCol w:w="1121"/>
        <w:gridCol w:w="1211"/>
      </w:tblGrid>
      <w:tr w:rsidR="003122F4" w:rsidRPr="00545EC0" w14:paraId="4429C5D9" w14:textId="77777777" w:rsidTr="00B43D66">
        <w:trPr>
          <w:trHeight w:val="284"/>
          <w:tblHeader/>
        </w:trPr>
        <w:tc>
          <w:tcPr>
            <w:tcW w:w="10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709AAE" w14:textId="77777777" w:rsidR="00AA23DA" w:rsidRPr="00545EC0" w:rsidRDefault="00AA23DA" w:rsidP="00075C40">
            <w:pPr>
              <w:spacing w:line="240" w:lineRule="auto"/>
              <w:jc w:val="left"/>
              <w:rPr>
                <w:rFonts w:cs="Arial"/>
                <w:b/>
                <w:bCs/>
                <w:sz w:val="18"/>
                <w:szCs w:val="18"/>
              </w:rPr>
            </w:pPr>
            <w:r w:rsidRPr="00545EC0">
              <w:rPr>
                <w:rFonts w:cs="Arial"/>
                <w:b/>
                <w:bCs/>
                <w:sz w:val="18"/>
                <w:szCs w:val="18"/>
              </w:rPr>
              <w:t>Vodno telo podzemne vode</w:t>
            </w:r>
          </w:p>
        </w:tc>
        <w:tc>
          <w:tcPr>
            <w:tcW w:w="89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FEAB311" w14:textId="77777777" w:rsidR="00AA23DA" w:rsidRPr="00545EC0" w:rsidRDefault="00AA23DA" w:rsidP="00075C40">
            <w:pPr>
              <w:spacing w:line="240" w:lineRule="auto"/>
              <w:jc w:val="left"/>
              <w:rPr>
                <w:rFonts w:cs="Arial"/>
                <w:b/>
                <w:bCs/>
                <w:sz w:val="18"/>
                <w:szCs w:val="18"/>
              </w:rPr>
            </w:pPr>
            <w:r w:rsidRPr="00545EC0">
              <w:rPr>
                <w:rFonts w:cs="Arial"/>
                <w:b/>
                <w:bCs/>
                <w:sz w:val="18"/>
                <w:szCs w:val="18"/>
              </w:rPr>
              <w:t>Ime območja Natura 2000</w:t>
            </w:r>
          </w:p>
        </w:tc>
        <w:tc>
          <w:tcPr>
            <w:tcW w:w="69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9E4734F" w14:textId="77777777" w:rsidR="00AA23DA" w:rsidRPr="00545EC0" w:rsidRDefault="00AA23DA" w:rsidP="00075C40">
            <w:pPr>
              <w:spacing w:line="240" w:lineRule="auto"/>
              <w:jc w:val="center"/>
              <w:rPr>
                <w:rFonts w:cs="Arial"/>
                <w:b/>
                <w:bCs/>
                <w:sz w:val="18"/>
                <w:szCs w:val="18"/>
              </w:rPr>
            </w:pPr>
            <w:r w:rsidRPr="00545EC0">
              <w:rPr>
                <w:rFonts w:cs="Arial"/>
                <w:b/>
                <w:bCs/>
                <w:sz w:val="18"/>
                <w:szCs w:val="18"/>
              </w:rPr>
              <w:t>Merilno mesto podzemna voda</w:t>
            </w:r>
          </w:p>
        </w:tc>
        <w:tc>
          <w:tcPr>
            <w:tcW w:w="50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C287943" w14:textId="77777777" w:rsidR="00AA23DA" w:rsidRPr="00545EC0" w:rsidRDefault="00AA23DA" w:rsidP="00075C40">
            <w:pPr>
              <w:spacing w:line="240" w:lineRule="auto"/>
              <w:jc w:val="center"/>
              <w:rPr>
                <w:rFonts w:cs="Arial"/>
                <w:b/>
                <w:bCs/>
                <w:sz w:val="18"/>
                <w:szCs w:val="18"/>
              </w:rPr>
            </w:pPr>
            <w:r w:rsidRPr="00545EC0">
              <w:rPr>
                <w:rFonts w:cs="Arial"/>
                <w:b/>
                <w:bCs/>
                <w:sz w:val="18"/>
                <w:szCs w:val="18"/>
              </w:rPr>
              <w:t>Vsebnost nitrata</w:t>
            </w:r>
            <w:r w:rsidRPr="00545EC0">
              <w:rPr>
                <w:rFonts w:cs="Arial"/>
                <w:b/>
                <w:bCs/>
                <w:sz w:val="18"/>
                <w:szCs w:val="18"/>
              </w:rPr>
              <w:br/>
              <w:t>obdobje 2014-2019</w:t>
            </w:r>
          </w:p>
        </w:tc>
        <w:tc>
          <w:tcPr>
            <w:tcW w:w="5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7C0D7D4" w14:textId="77777777" w:rsidR="00AA23DA" w:rsidRPr="00545EC0" w:rsidRDefault="00AA23DA" w:rsidP="00075C40">
            <w:pPr>
              <w:spacing w:line="240" w:lineRule="auto"/>
              <w:jc w:val="center"/>
              <w:rPr>
                <w:rFonts w:cs="Arial"/>
                <w:b/>
                <w:bCs/>
                <w:sz w:val="18"/>
                <w:szCs w:val="18"/>
              </w:rPr>
            </w:pPr>
            <w:r w:rsidRPr="00545EC0">
              <w:rPr>
                <w:rFonts w:cs="Arial"/>
                <w:b/>
                <w:bCs/>
                <w:sz w:val="18"/>
                <w:szCs w:val="18"/>
              </w:rPr>
              <w:t>Ustreznost merilnega mesta glede na standarde podzemne vode</w:t>
            </w:r>
          </w:p>
        </w:tc>
        <w:tc>
          <w:tcPr>
            <w:tcW w:w="6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C24CDB6" w14:textId="08786176" w:rsidR="00AA23DA" w:rsidRPr="00545EC0" w:rsidRDefault="00AA23DA" w:rsidP="00075C40">
            <w:pPr>
              <w:spacing w:line="240" w:lineRule="auto"/>
              <w:jc w:val="center"/>
              <w:rPr>
                <w:rFonts w:cs="Arial"/>
                <w:b/>
                <w:bCs/>
                <w:sz w:val="18"/>
                <w:szCs w:val="18"/>
              </w:rPr>
            </w:pPr>
            <w:r w:rsidRPr="00545EC0">
              <w:rPr>
                <w:rFonts w:cs="Arial"/>
                <w:b/>
                <w:bCs/>
                <w:sz w:val="18"/>
                <w:szCs w:val="18"/>
              </w:rPr>
              <w:t xml:space="preserve">Ustreznost merilnega mesta glede </w:t>
            </w:r>
            <w:r w:rsidR="003905B8" w:rsidRPr="00545EC0">
              <w:rPr>
                <w:rFonts w:cs="Arial"/>
                <w:b/>
                <w:bCs/>
                <w:sz w:val="18"/>
                <w:szCs w:val="18"/>
              </w:rPr>
              <w:t xml:space="preserve">z </w:t>
            </w:r>
            <w:r w:rsidR="004A19EA" w:rsidRPr="00545EC0">
              <w:rPr>
                <w:rFonts w:cs="Arial"/>
                <w:b/>
                <w:bCs/>
                <w:sz w:val="18"/>
                <w:szCs w:val="18"/>
              </w:rPr>
              <w:t>na predlagano</w:t>
            </w:r>
            <w:r w:rsidR="003905B8" w:rsidRPr="00545EC0">
              <w:rPr>
                <w:rFonts w:cs="Arial"/>
                <w:b/>
                <w:bCs/>
                <w:sz w:val="18"/>
                <w:szCs w:val="18"/>
              </w:rPr>
              <w:t xml:space="preserve"> vrednosti </w:t>
            </w:r>
            <w:r w:rsidRPr="00545EC0">
              <w:rPr>
                <w:rFonts w:cs="Arial"/>
                <w:b/>
                <w:bCs/>
                <w:sz w:val="18"/>
                <w:szCs w:val="18"/>
              </w:rPr>
              <w:t>9,2mgNO</w:t>
            </w:r>
            <w:r w:rsidRPr="00545EC0">
              <w:rPr>
                <w:rFonts w:cs="Arial"/>
                <w:b/>
                <w:bCs/>
                <w:sz w:val="18"/>
                <w:szCs w:val="18"/>
                <w:vertAlign w:val="subscript"/>
              </w:rPr>
              <w:t>3</w:t>
            </w:r>
            <w:r w:rsidRPr="00545EC0">
              <w:rPr>
                <w:rFonts w:cs="Arial"/>
                <w:b/>
                <w:bCs/>
                <w:sz w:val="18"/>
                <w:szCs w:val="18"/>
              </w:rPr>
              <w:t>/L</w:t>
            </w:r>
          </w:p>
        </w:tc>
        <w:tc>
          <w:tcPr>
            <w:tcW w:w="65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AF495F5" w14:textId="77777777" w:rsidR="00AA23DA" w:rsidRPr="00545EC0" w:rsidRDefault="00AA23DA" w:rsidP="00075C40">
            <w:pPr>
              <w:spacing w:line="240" w:lineRule="auto"/>
              <w:jc w:val="center"/>
              <w:rPr>
                <w:rFonts w:cs="Arial"/>
                <w:b/>
                <w:bCs/>
                <w:sz w:val="18"/>
                <w:szCs w:val="18"/>
              </w:rPr>
            </w:pPr>
            <w:r w:rsidRPr="00545EC0">
              <w:rPr>
                <w:rFonts w:cs="Arial"/>
                <w:b/>
                <w:bCs/>
                <w:sz w:val="18"/>
                <w:szCs w:val="18"/>
              </w:rPr>
              <w:t>Ali so kopenski ekosistemi ogroženi ali poškodovani zaradi kemijskega stanja podzemne vode</w:t>
            </w:r>
          </w:p>
        </w:tc>
      </w:tr>
      <w:tr w:rsidR="00B43D66" w:rsidRPr="00545EC0" w14:paraId="5F4D8949" w14:textId="77777777" w:rsidTr="00C402C7">
        <w:trPr>
          <w:trHeight w:val="284"/>
        </w:trPr>
        <w:tc>
          <w:tcPr>
            <w:tcW w:w="1077" w:type="pct"/>
            <w:tcBorders>
              <w:top w:val="nil"/>
              <w:left w:val="single" w:sz="4" w:space="0" w:color="auto"/>
              <w:bottom w:val="single" w:sz="4" w:space="0" w:color="auto"/>
              <w:right w:val="single" w:sz="4" w:space="0" w:color="auto"/>
            </w:tcBorders>
            <w:shd w:val="clear" w:color="auto" w:fill="auto"/>
            <w:noWrap/>
            <w:vAlign w:val="center"/>
            <w:hideMark/>
          </w:tcPr>
          <w:p w14:paraId="1197FA9D" w14:textId="1BCD5D38" w:rsidR="00B43D66" w:rsidRPr="00545EC0" w:rsidRDefault="00B43D66" w:rsidP="00075C40">
            <w:pPr>
              <w:spacing w:line="240" w:lineRule="auto"/>
              <w:jc w:val="left"/>
              <w:rPr>
                <w:rFonts w:cs="Arial"/>
                <w:sz w:val="18"/>
                <w:szCs w:val="18"/>
              </w:rPr>
            </w:pPr>
            <w:r w:rsidRPr="00545EC0">
              <w:rPr>
                <w:rFonts w:cs="Arial"/>
                <w:sz w:val="18"/>
                <w:szCs w:val="18"/>
              </w:rPr>
              <w:t>1010 Kraška Ljubljanica</w:t>
            </w:r>
          </w:p>
        </w:tc>
        <w:tc>
          <w:tcPr>
            <w:tcW w:w="899" w:type="pct"/>
            <w:tcBorders>
              <w:top w:val="nil"/>
              <w:left w:val="nil"/>
              <w:bottom w:val="single" w:sz="4" w:space="0" w:color="auto"/>
              <w:right w:val="single" w:sz="4" w:space="0" w:color="auto"/>
            </w:tcBorders>
            <w:shd w:val="clear" w:color="auto" w:fill="auto"/>
            <w:noWrap/>
            <w:vAlign w:val="center"/>
            <w:hideMark/>
          </w:tcPr>
          <w:p w14:paraId="0E761847" w14:textId="77777777" w:rsidR="00B43D66" w:rsidRPr="00545EC0" w:rsidRDefault="00B43D66" w:rsidP="00075C40">
            <w:pPr>
              <w:spacing w:line="240" w:lineRule="auto"/>
              <w:jc w:val="left"/>
              <w:rPr>
                <w:rFonts w:cs="Arial"/>
                <w:sz w:val="18"/>
                <w:szCs w:val="18"/>
              </w:rPr>
            </w:pPr>
            <w:r w:rsidRPr="00545EC0">
              <w:rPr>
                <w:rFonts w:cs="Arial"/>
                <w:sz w:val="18"/>
                <w:szCs w:val="18"/>
              </w:rPr>
              <w:t>Notranjski trikotnik</w:t>
            </w:r>
          </w:p>
        </w:tc>
        <w:tc>
          <w:tcPr>
            <w:tcW w:w="694" w:type="pct"/>
            <w:tcBorders>
              <w:top w:val="nil"/>
              <w:left w:val="nil"/>
              <w:bottom w:val="single" w:sz="4" w:space="0" w:color="auto"/>
              <w:right w:val="single" w:sz="4" w:space="0" w:color="auto"/>
            </w:tcBorders>
            <w:shd w:val="clear" w:color="auto" w:fill="auto"/>
            <w:vAlign w:val="center"/>
            <w:hideMark/>
          </w:tcPr>
          <w:p w14:paraId="638E1AF5" w14:textId="77777777" w:rsidR="00B43D66" w:rsidRPr="00545EC0" w:rsidRDefault="00B43D66" w:rsidP="00075C40">
            <w:pPr>
              <w:spacing w:line="240" w:lineRule="auto"/>
              <w:jc w:val="left"/>
              <w:rPr>
                <w:rFonts w:cs="Arial"/>
                <w:sz w:val="18"/>
                <w:szCs w:val="18"/>
              </w:rPr>
            </w:pPr>
            <w:r w:rsidRPr="00545EC0">
              <w:rPr>
                <w:rFonts w:cs="Arial"/>
                <w:sz w:val="18"/>
                <w:szCs w:val="18"/>
              </w:rPr>
              <w:t>Malenščica</w:t>
            </w:r>
          </w:p>
        </w:tc>
        <w:tc>
          <w:tcPr>
            <w:tcW w:w="500" w:type="pct"/>
            <w:tcBorders>
              <w:top w:val="nil"/>
              <w:left w:val="nil"/>
              <w:bottom w:val="single" w:sz="4" w:space="0" w:color="auto"/>
              <w:right w:val="single" w:sz="4" w:space="0" w:color="auto"/>
            </w:tcBorders>
            <w:shd w:val="clear" w:color="auto" w:fill="auto"/>
            <w:noWrap/>
            <w:vAlign w:val="center"/>
            <w:hideMark/>
          </w:tcPr>
          <w:p w14:paraId="5DAD0790" w14:textId="77777777" w:rsidR="00B43D66" w:rsidRPr="00545EC0" w:rsidRDefault="00B43D66" w:rsidP="00075C40">
            <w:pPr>
              <w:spacing w:line="240" w:lineRule="auto"/>
              <w:jc w:val="center"/>
              <w:rPr>
                <w:rFonts w:cs="Arial"/>
                <w:sz w:val="18"/>
                <w:szCs w:val="18"/>
              </w:rPr>
            </w:pPr>
            <w:r w:rsidRPr="00545EC0">
              <w:rPr>
                <w:rFonts w:cs="Arial"/>
                <w:sz w:val="18"/>
                <w:szCs w:val="18"/>
              </w:rPr>
              <w:t>4,38</w:t>
            </w:r>
          </w:p>
        </w:tc>
        <w:tc>
          <w:tcPr>
            <w:tcW w:w="563" w:type="pct"/>
            <w:tcBorders>
              <w:top w:val="nil"/>
              <w:left w:val="nil"/>
              <w:bottom w:val="single" w:sz="4" w:space="0" w:color="auto"/>
              <w:right w:val="single" w:sz="4" w:space="0" w:color="auto"/>
            </w:tcBorders>
            <w:shd w:val="clear" w:color="auto" w:fill="auto"/>
            <w:noWrap/>
            <w:hideMark/>
          </w:tcPr>
          <w:p w14:paraId="520801FE" w14:textId="45239B9F" w:rsidR="00B43D66" w:rsidRPr="00545EC0" w:rsidRDefault="00B43D66" w:rsidP="00075C40">
            <w:pPr>
              <w:spacing w:line="240" w:lineRule="auto"/>
              <w:jc w:val="center"/>
              <w:rPr>
                <w:rFonts w:cs="Arial"/>
                <w:sz w:val="18"/>
                <w:szCs w:val="18"/>
              </w:rPr>
            </w:pPr>
            <w:r w:rsidRPr="00545EC0">
              <w:rPr>
                <w:rFonts w:cs="Arial"/>
              </w:rPr>
              <w:sym w:font="Wingdings" w:char="F0FC"/>
            </w:r>
          </w:p>
        </w:tc>
        <w:tc>
          <w:tcPr>
            <w:tcW w:w="609" w:type="pct"/>
            <w:tcBorders>
              <w:top w:val="nil"/>
              <w:left w:val="nil"/>
              <w:bottom w:val="single" w:sz="4" w:space="0" w:color="auto"/>
              <w:right w:val="single" w:sz="4" w:space="0" w:color="auto"/>
            </w:tcBorders>
            <w:shd w:val="clear" w:color="auto" w:fill="auto"/>
            <w:noWrap/>
            <w:hideMark/>
          </w:tcPr>
          <w:p w14:paraId="18414F95" w14:textId="2088719F" w:rsidR="00B43D66" w:rsidRPr="00545EC0" w:rsidRDefault="00B43D66" w:rsidP="00075C40">
            <w:pPr>
              <w:spacing w:line="240" w:lineRule="auto"/>
              <w:jc w:val="center"/>
              <w:rPr>
                <w:rFonts w:cs="Arial"/>
                <w:sz w:val="18"/>
                <w:szCs w:val="18"/>
              </w:rPr>
            </w:pPr>
            <w:r w:rsidRPr="00545EC0">
              <w:rPr>
                <w:rFonts w:cs="Arial"/>
              </w:rPr>
              <w:sym w:font="Wingdings" w:char="F0FC"/>
            </w:r>
          </w:p>
        </w:tc>
        <w:tc>
          <w:tcPr>
            <w:tcW w:w="657" w:type="pct"/>
            <w:tcBorders>
              <w:top w:val="nil"/>
              <w:left w:val="nil"/>
              <w:bottom w:val="single" w:sz="4" w:space="0" w:color="auto"/>
              <w:right w:val="single" w:sz="4" w:space="0" w:color="auto"/>
            </w:tcBorders>
            <w:shd w:val="clear" w:color="auto" w:fill="FFFFFF" w:themeFill="background1"/>
            <w:noWrap/>
            <w:vAlign w:val="center"/>
            <w:hideMark/>
          </w:tcPr>
          <w:p w14:paraId="1C96C698" w14:textId="77777777" w:rsidR="00B43D66" w:rsidRPr="00545EC0" w:rsidRDefault="00B43D66" w:rsidP="00075C40">
            <w:pPr>
              <w:spacing w:line="240" w:lineRule="auto"/>
              <w:jc w:val="center"/>
              <w:rPr>
                <w:rFonts w:cs="Arial"/>
                <w:sz w:val="18"/>
                <w:szCs w:val="18"/>
              </w:rPr>
            </w:pPr>
            <w:r w:rsidRPr="00545EC0">
              <w:rPr>
                <w:rFonts w:cs="Arial"/>
                <w:sz w:val="18"/>
                <w:szCs w:val="18"/>
              </w:rPr>
              <w:t>NE</w:t>
            </w:r>
          </w:p>
        </w:tc>
      </w:tr>
      <w:tr w:rsidR="00B43D66" w:rsidRPr="00545EC0" w14:paraId="7612B050" w14:textId="77777777" w:rsidTr="00C402C7">
        <w:trPr>
          <w:trHeight w:val="284"/>
        </w:trPr>
        <w:tc>
          <w:tcPr>
            <w:tcW w:w="1077" w:type="pct"/>
            <w:tcBorders>
              <w:top w:val="nil"/>
              <w:left w:val="single" w:sz="4" w:space="0" w:color="auto"/>
              <w:bottom w:val="single" w:sz="4" w:space="0" w:color="auto"/>
              <w:right w:val="single" w:sz="4" w:space="0" w:color="auto"/>
            </w:tcBorders>
            <w:shd w:val="clear" w:color="auto" w:fill="auto"/>
            <w:noWrap/>
            <w:vAlign w:val="center"/>
            <w:hideMark/>
          </w:tcPr>
          <w:p w14:paraId="3C98AE14" w14:textId="307DF55A" w:rsidR="00B43D66" w:rsidRPr="00545EC0" w:rsidRDefault="00B43D66" w:rsidP="00075C40">
            <w:pPr>
              <w:spacing w:line="240" w:lineRule="auto"/>
              <w:jc w:val="left"/>
              <w:rPr>
                <w:rFonts w:cs="Arial"/>
                <w:sz w:val="18"/>
                <w:szCs w:val="18"/>
              </w:rPr>
            </w:pPr>
            <w:r w:rsidRPr="00545EC0">
              <w:rPr>
                <w:rFonts w:cs="Arial"/>
                <w:sz w:val="18"/>
                <w:szCs w:val="18"/>
              </w:rPr>
              <w:t>1010 Kraška Ljubljanica</w:t>
            </w:r>
          </w:p>
        </w:tc>
        <w:tc>
          <w:tcPr>
            <w:tcW w:w="899" w:type="pct"/>
            <w:tcBorders>
              <w:top w:val="nil"/>
              <w:left w:val="nil"/>
              <w:bottom w:val="single" w:sz="4" w:space="0" w:color="auto"/>
              <w:right w:val="single" w:sz="4" w:space="0" w:color="auto"/>
            </w:tcBorders>
            <w:shd w:val="clear" w:color="auto" w:fill="auto"/>
            <w:noWrap/>
            <w:vAlign w:val="center"/>
            <w:hideMark/>
          </w:tcPr>
          <w:p w14:paraId="485B1912" w14:textId="77777777" w:rsidR="00B43D66" w:rsidRPr="00545EC0" w:rsidRDefault="00B43D66" w:rsidP="00075C40">
            <w:pPr>
              <w:spacing w:line="240" w:lineRule="auto"/>
              <w:jc w:val="left"/>
              <w:rPr>
                <w:rFonts w:cs="Arial"/>
                <w:sz w:val="18"/>
                <w:szCs w:val="18"/>
              </w:rPr>
            </w:pPr>
            <w:r w:rsidRPr="00545EC0">
              <w:rPr>
                <w:rFonts w:cs="Arial"/>
                <w:sz w:val="18"/>
                <w:szCs w:val="18"/>
              </w:rPr>
              <w:t>Notranjski trikotnik</w:t>
            </w:r>
          </w:p>
        </w:tc>
        <w:tc>
          <w:tcPr>
            <w:tcW w:w="694" w:type="pct"/>
            <w:tcBorders>
              <w:top w:val="nil"/>
              <w:left w:val="nil"/>
              <w:bottom w:val="single" w:sz="4" w:space="0" w:color="auto"/>
              <w:right w:val="single" w:sz="4" w:space="0" w:color="auto"/>
            </w:tcBorders>
            <w:shd w:val="clear" w:color="auto" w:fill="auto"/>
            <w:vAlign w:val="center"/>
            <w:hideMark/>
          </w:tcPr>
          <w:p w14:paraId="69DD9F47" w14:textId="77777777" w:rsidR="00B43D66" w:rsidRPr="00545EC0" w:rsidRDefault="00B43D66" w:rsidP="00075C40">
            <w:pPr>
              <w:spacing w:line="240" w:lineRule="auto"/>
              <w:jc w:val="left"/>
              <w:rPr>
                <w:rFonts w:cs="Arial"/>
                <w:sz w:val="18"/>
                <w:szCs w:val="18"/>
              </w:rPr>
            </w:pPr>
            <w:r w:rsidRPr="00545EC0">
              <w:rPr>
                <w:rFonts w:cs="Arial"/>
                <w:sz w:val="18"/>
                <w:szCs w:val="18"/>
              </w:rPr>
              <w:t>Tresenec</w:t>
            </w:r>
          </w:p>
        </w:tc>
        <w:tc>
          <w:tcPr>
            <w:tcW w:w="500" w:type="pct"/>
            <w:tcBorders>
              <w:top w:val="nil"/>
              <w:left w:val="nil"/>
              <w:bottom w:val="single" w:sz="4" w:space="0" w:color="auto"/>
              <w:right w:val="single" w:sz="4" w:space="0" w:color="auto"/>
            </w:tcBorders>
            <w:shd w:val="clear" w:color="auto" w:fill="auto"/>
            <w:noWrap/>
            <w:vAlign w:val="center"/>
            <w:hideMark/>
          </w:tcPr>
          <w:p w14:paraId="76345B87" w14:textId="77777777" w:rsidR="00B43D66" w:rsidRPr="00545EC0" w:rsidRDefault="00B43D66" w:rsidP="00075C40">
            <w:pPr>
              <w:spacing w:line="240" w:lineRule="auto"/>
              <w:jc w:val="center"/>
              <w:rPr>
                <w:rFonts w:cs="Arial"/>
                <w:sz w:val="18"/>
                <w:szCs w:val="18"/>
              </w:rPr>
            </w:pPr>
            <w:r w:rsidRPr="00545EC0">
              <w:rPr>
                <w:rFonts w:cs="Arial"/>
                <w:sz w:val="18"/>
                <w:szCs w:val="18"/>
              </w:rPr>
              <w:t>6,17</w:t>
            </w:r>
          </w:p>
        </w:tc>
        <w:tc>
          <w:tcPr>
            <w:tcW w:w="563" w:type="pct"/>
            <w:tcBorders>
              <w:top w:val="nil"/>
              <w:left w:val="nil"/>
              <w:bottom w:val="single" w:sz="4" w:space="0" w:color="auto"/>
              <w:right w:val="single" w:sz="4" w:space="0" w:color="auto"/>
            </w:tcBorders>
            <w:shd w:val="clear" w:color="auto" w:fill="auto"/>
            <w:noWrap/>
            <w:hideMark/>
          </w:tcPr>
          <w:p w14:paraId="51A84A18" w14:textId="5D0DE9C5" w:rsidR="00B43D66" w:rsidRPr="00545EC0" w:rsidRDefault="00B43D66" w:rsidP="00075C40">
            <w:pPr>
              <w:spacing w:line="240" w:lineRule="auto"/>
              <w:jc w:val="center"/>
              <w:rPr>
                <w:rFonts w:cs="Arial"/>
                <w:sz w:val="18"/>
                <w:szCs w:val="18"/>
              </w:rPr>
            </w:pPr>
            <w:r w:rsidRPr="00545EC0">
              <w:rPr>
                <w:rFonts w:cs="Arial"/>
              </w:rPr>
              <w:sym w:font="Wingdings" w:char="F0FC"/>
            </w:r>
          </w:p>
        </w:tc>
        <w:tc>
          <w:tcPr>
            <w:tcW w:w="609" w:type="pct"/>
            <w:tcBorders>
              <w:top w:val="nil"/>
              <w:left w:val="nil"/>
              <w:bottom w:val="single" w:sz="4" w:space="0" w:color="auto"/>
              <w:right w:val="single" w:sz="4" w:space="0" w:color="auto"/>
            </w:tcBorders>
            <w:shd w:val="clear" w:color="auto" w:fill="auto"/>
            <w:noWrap/>
            <w:hideMark/>
          </w:tcPr>
          <w:p w14:paraId="402F64E4" w14:textId="24B5104A" w:rsidR="00B43D66" w:rsidRPr="00545EC0" w:rsidRDefault="00B43D66" w:rsidP="00075C40">
            <w:pPr>
              <w:spacing w:line="240" w:lineRule="auto"/>
              <w:jc w:val="center"/>
              <w:rPr>
                <w:rFonts w:cs="Arial"/>
                <w:sz w:val="18"/>
                <w:szCs w:val="18"/>
              </w:rPr>
            </w:pPr>
            <w:r w:rsidRPr="00545EC0">
              <w:rPr>
                <w:rFonts w:cs="Arial"/>
              </w:rPr>
              <w:sym w:font="Wingdings" w:char="F0FC"/>
            </w:r>
          </w:p>
        </w:tc>
        <w:tc>
          <w:tcPr>
            <w:tcW w:w="657" w:type="pct"/>
            <w:tcBorders>
              <w:top w:val="nil"/>
              <w:left w:val="nil"/>
              <w:bottom w:val="single" w:sz="4" w:space="0" w:color="auto"/>
              <w:right w:val="single" w:sz="4" w:space="0" w:color="auto"/>
            </w:tcBorders>
            <w:shd w:val="clear" w:color="auto" w:fill="FFFFFF" w:themeFill="background1"/>
            <w:noWrap/>
            <w:vAlign w:val="center"/>
            <w:hideMark/>
          </w:tcPr>
          <w:p w14:paraId="753E676D" w14:textId="77777777" w:rsidR="00B43D66" w:rsidRPr="00545EC0" w:rsidRDefault="00B43D66" w:rsidP="00075C40">
            <w:pPr>
              <w:spacing w:line="240" w:lineRule="auto"/>
              <w:jc w:val="center"/>
              <w:rPr>
                <w:rFonts w:cs="Arial"/>
                <w:sz w:val="18"/>
                <w:szCs w:val="18"/>
              </w:rPr>
            </w:pPr>
            <w:r w:rsidRPr="00545EC0">
              <w:rPr>
                <w:rFonts w:cs="Arial"/>
                <w:sz w:val="18"/>
                <w:szCs w:val="18"/>
              </w:rPr>
              <w:t>NE</w:t>
            </w:r>
          </w:p>
        </w:tc>
      </w:tr>
      <w:tr w:rsidR="00B43D66" w:rsidRPr="00545EC0" w14:paraId="3316EEE8" w14:textId="77777777" w:rsidTr="00C402C7">
        <w:trPr>
          <w:trHeight w:val="284"/>
        </w:trPr>
        <w:tc>
          <w:tcPr>
            <w:tcW w:w="1077" w:type="pct"/>
            <w:tcBorders>
              <w:top w:val="nil"/>
              <w:left w:val="single" w:sz="4" w:space="0" w:color="auto"/>
              <w:bottom w:val="single" w:sz="4" w:space="0" w:color="auto"/>
              <w:right w:val="single" w:sz="4" w:space="0" w:color="auto"/>
            </w:tcBorders>
            <w:shd w:val="clear" w:color="auto" w:fill="auto"/>
            <w:noWrap/>
            <w:vAlign w:val="center"/>
            <w:hideMark/>
          </w:tcPr>
          <w:p w14:paraId="4602E6AC" w14:textId="6B3A4686" w:rsidR="00B43D66" w:rsidRPr="00545EC0" w:rsidRDefault="00B43D66" w:rsidP="00075C40">
            <w:pPr>
              <w:spacing w:line="240" w:lineRule="auto"/>
              <w:jc w:val="left"/>
              <w:rPr>
                <w:rFonts w:cs="Arial"/>
                <w:sz w:val="18"/>
                <w:szCs w:val="18"/>
              </w:rPr>
            </w:pPr>
            <w:r w:rsidRPr="00545EC0">
              <w:rPr>
                <w:rFonts w:cs="Arial"/>
                <w:sz w:val="18"/>
                <w:szCs w:val="18"/>
              </w:rPr>
              <w:t>1010 Kraška Ljubljanica</w:t>
            </w:r>
          </w:p>
        </w:tc>
        <w:tc>
          <w:tcPr>
            <w:tcW w:w="899" w:type="pct"/>
            <w:tcBorders>
              <w:top w:val="nil"/>
              <w:left w:val="nil"/>
              <w:bottom w:val="single" w:sz="4" w:space="0" w:color="auto"/>
              <w:right w:val="single" w:sz="4" w:space="0" w:color="auto"/>
            </w:tcBorders>
            <w:shd w:val="clear" w:color="auto" w:fill="auto"/>
            <w:noWrap/>
            <w:vAlign w:val="center"/>
            <w:hideMark/>
          </w:tcPr>
          <w:p w14:paraId="785826D4" w14:textId="77777777" w:rsidR="00B43D66" w:rsidRPr="00545EC0" w:rsidRDefault="00B43D66" w:rsidP="00075C40">
            <w:pPr>
              <w:spacing w:line="240" w:lineRule="auto"/>
              <w:jc w:val="left"/>
              <w:rPr>
                <w:rFonts w:cs="Arial"/>
                <w:sz w:val="18"/>
                <w:szCs w:val="18"/>
              </w:rPr>
            </w:pPr>
            <w:r w:rsidRPr="00545EC0">
              <w:rPr>
                <w:rFonts w:cs="Arial"/>
                <w:sz w:val="18"/>
                <w:szCs w:val="18"/>
              </w:rPr>
              <w:t>Notranjski trikotnik</w:t>
            </w:r>
          </w:p>
        </w:tc>
        <w:tc>
          <w:tcPr>
            <w:tcW w:w="694" w:type="pct"/>
            <w:tcBorders>
              <w:top w:val="nil"/>
              <w:left w:val="nil"/>
              <w:bottom w:val="single" w:sz="4" w:space="0" w:color="auto"/>
              <w:right w:val="single" w:sz="4" w:space="0" w:color="auto"/>
            </w:tcBorders>
            <w:shd w:val="clear" w:color="auto" w:fill="auto"/>
            <w:vAlign w:val="center"/>
            <w:hideMark/>
          </w:tcPr>
          <w:p w14:paraId="68D684C1" w14:textId="77777777" w:rsidR="00B43D66" w:rsidRPr="00545EC0" w:rsidRDefault="00B43D66" w:rsidP="00075C40">
            <w:pPr>
              <w:spacing w:line="240" w:lineRule="auto"/>
              <w:jc w:val="left"/>
              <w:rPr>
                <w:rFonts w:cs="Arial"/>
                <w:sz w:val="18"/>
                <w:szCs w:val="18"/>
              </w:rPr>
            </w:pPr>
            <w:r w:rsidRPr="00545EC0">
              <w:rPr>
                <w:rFonts w:cs="Arial"/>
                <w:sz w:val="18"/>
                <w:szCs w:val="18"/>
              </w:rPr>
              <w:t>Veliki Obrh pri Ložu</w:t>
            </w:r>
          </w:p>
        </w:tc>
        <w:tc>
          <w:tcPr>
            <w:tcW w:w="500" w:type="pct"/>
            <w:tcBorders>
              <w:top w:val="nil"/>
              <w:left w:val="nil"/>
              <w:bottom w:val="single" w:sz="4" w:space="0" w:color="auto"/>
              <w:right w:val="single" w:sz="4" w:space="0" w:color="auto"/>
            </w:tcBorders>
            <w:shd w:val="clear" w:color="auto" w:fill="auto"/>
            <w:noWrap/>
            <w:vAlign w:val="center"/>
            <w:hideMark/>
          </w:tcPr>
          <w:p w14:paraId="08AFD5FB" w14:textId="77777777" w:rsidR="00B43D66" w:rsidRPr="00545EC0" w:rsidRDefault="00B43D66" w:rsidP="00075C40">
            <w:pPr>
              <w:spacing w:line="240" w:lineRule="auto"/>
              <w:jc w:val="center"/>
              <w:rPr>
                <w:rFonts w:cs="Arial"/>
                <w:sz w:val="18"/>
                <w:szCs w:val="18"/>
              </w:rPr>
            </w:pPr>
            <w:r w:rsidRPr="00545EC0">
              <w:rPr>
                <w:rFonts w:cs="Arial"/>
                <w:sz w:val="18"/>
                <w:szCs w:val="18"/>
              </w:rPr>
              <w:t>4,06</w:t>
            </w:r>
          </w:p>
        </w:tc>
        <w:tc>
          <w:tcPr>
            <w:tcW w:w="563" w:type="pct"/>
            <w:tcBorders>
              <w:top w:val="nil"/>
              <w:left w:val="nil"/>
              <w:bottom w:val="single" w:sz="4" w:space="0" w:color="auto"/>
              <w:right w:val="single" w:sz="4" w:space="0" w:color="auto"/>
            </w:tcBorders>
            <w:shd w:val="clear" w:color="auto" w:fill="auto"/>
            <w:noWrap/>
            <w:hideMark/>
          </w:tcPr>
          <w:p w14:paraId="5CB0A6F1" w14:textId="73BEEB15" w:rsidR="00B43D66" w:rsidRPr="00545EC0" w:rsidRDefault="00B43D66" w:rsidP="00075C40">
            <w:pPr>
              <w:spacing w:line="240" w:lineRule="auto"/>
              <w:jc w:val="center"/>
              <w:rPr>
                <w:rFonts w:cs="Arial"/>
                <w:sz w:val="18"/>
                <w:szCs w:val="18"/>
              </w:rPr>
            </w:pPr>
            <w:r w:rsidRPr="00545EC0">
              <w:rPr>
                <w:rFonts w:cs="Arial"/>
              </w:rPr>
              <w:sym w:font="Wingdings" w:char="F0FC"/>
            </w:r>
          </w:p>
        </w:tc>
        <w:tc>
          <w:tcPr>
            <w:tcW w:w="609" w:type="pct"/>
            <w:tcBorders>
              <w:top w:val="nil"/>
              <w:left w:val="nil"/>
              <w:bottom w:val="single" w:sz="4" w:space="0" w:color="auto"/>
              <w:right w:val="single" w:sz="4" w:space="0" w:color="auto"/>
            </w:tcBorders>
            <w:shd w:val="clear" w:color="auto" w:fill="auto"/>
            <w:noWrap/>
            <w:hideMark/>
          </w:tcPr>
          <w:p w14:paraId="00016490" w14:textId="6E0A1B2C" w:rsidR="00B43D66" w:rsidRPr="00545EC0" w:rsidRDefault="00B43D66" w:rsidP="00075C40">
            <w:pPr>
              <w:spacing w:line="240" w:lineRule="auto"/>
              <w:jc w:val="center"/>
              <w:rPr>
                <w:rFonts w:cs="Arial"/>
                <w:sz w:val="18"/>
                <w:szCs w:val="18"/>
              </w:rPr>
            </w:pPr>
            <w:r w:rsidRPr="00545EC0">
              <w:rPr>
                <w:rFonts w:cs="Arial"/>
              </w:rPr>
              <w:sym w:font="Wingdings" w:char="F0FC"/>
            </w:r>
          </w:p>
        </w:tc>
        <w:tc>
          <w:tcPr>
            <w:tcW w:w="657" w:type="pct"/>
            <w:tcBorders>
              <w:top w:val="nil"/>
              <w:left w:val="nil"/>
              <w:bottom w:val="single" w:sz="4" w:space="0" w:color="auto"/>
              <w:right w:val="single" w:sz="4" w:space="0" w:color="auto"/>
            </w:tcBorders>
            <w:shd w:val="clear" w:color="auto" w:fill="FFFFFF" w:themeFill="background1"/>
            <w:noWrap/>
            <w:vAlign w:val="center"/>
            <w:hideMark/>
          </w:tcPr>
          <w:p w14:paraId="507BA933" w14:textId="77777777" w:rsidR="00B43D66" w:rsidRPr="00545EC0" w:rsidRDefault="00B43D66" w:rsidP="00075C40">
            <w:pPr>
              <w:spacing w:line="240" w:lineRule="auto"/>
              <w:jc w:val="center"/>
              <w:rPr>
                <w:rFonts w:cs="Arial"/>
                <w:sz w:val="18"/>
                <w:szCs w:val="18"/>
              </w:rPr>
            </w:pPr>
            <w:r w:rsidRPr="00545EC0">
              <w:rPr>
                <w:rFonts w:cs="Arial"/>
                <w:sz w:val="18"/>
                <w:szCs w:val="18"/>
              </w:rPr>
              <w:t>NE</w:t>
            </w:r>
          </w:p>
        </w:tc>
      </w:tr>
      <w:tr w:rsidR="00B43D66" w:rsidRPr="00545EC0" w14:paraId="332B462F" w14:textId="77777777" w:rsidTr="00B43D66">
        <w:trPr>
          <w:trHeight w:val="284"/>
        </w:trPr>
        <w:tc>
          <w:tcPr>
            <w:tcW w:w="1077" w:type="pct"/>
            <w:tcBorders>
              <w:top w:val="nil"/>
              <w:left w:val="single" w:sz="4" w:space="0" w:color="auto"/>
              <w:bottom w:val="single" w:sz="4" w:space="0" w:color="auto"/>
              <w:right w:val="single" w:sz="4" w:space="0" w:color="auto"/>
            </w:tcBorders>
            <w:shd w:val="clear" w:color="auto" w:fill="auto"/>
            <w:noWrap/>
            <w:vAlign w:val="center"/>
            <w:hideMark/>
          </w:tcPr>
          <w:p w14:paraId="11D818C5" w14:textId="77777777" w:rsidR="00B43D66" w:rsidRPr="00545EC0" w:rsidRDefault="00B43D66" w:rsidP="00075C40">
            <w:pPr>
              <w:spacing w:line="240" w:lineRule="auto"/>
              <w:jc w:val="left"/>
              <w:rPr>
                <w:rFonts w:cs="Arial"/>
                <w:sz w:val="18"/>
                <w:szCs w:val="18"/>
              </w:rPr>
            </w:pPr>
            <w:r w:rsidRPr="00545EC0">
              <w:rPr>
                <w:rFonts w:cs="Arial"/>
                <w:sz w:val="18"/>
                <w:szCs w:val="18"/>
              </w:rPr>
              <w:t>1011 Dolenjski kras</w:t>
            </w:r>
          </w:p>
        </w:tc>
        <w:tc>
          <w:tcPr>
            <w:tcW w:w="899" w:type="pct"/>
            <w:tcBorders>
              <w:top w:val="nil"/>
              <w:left w:val="nil"/>
              <w:bottom w:val="single" w:sz="4" w:space="0" w:color="auto"/>
              <w:right w:val="single" w:sz="4" w:space="0" w:color="auto"/>
            </w:tcBorders>
            <w:shd w:val="clear" w:color="auto" w:fill="auto"/>
            <w:noWrap/>
            <w:vAlign w:val="center"/>
            <w:hideMark/>
          </w:tcPr>
          <w:p w14:paraId="2A3AF2EB" w14:textId="77777777" w:rsidR="00B43D66" w:rsidRPr="00545EC0" w:rsidRDefault="00B43D66" w:rsidP="00075C40">
            <w:pPr>
              <w:spacing w:line="240" w:lineRule="auto"/>
              <w:jc w:val="left"/>
              <w:rPr>
                <w:rFonts w:cs="Arial"/>
                <w:sz w:val="18"/>
                <w:szCs w:val="18"/>
              </w:rPr>
            </w:pPr>
            <w:r w:rsidRPr="00545EC0">
              <w:rPr>
                <w:rFonts w:cs="Arial"/>
                <w:sz w:val="18"/>
                <w:szCs w:val="18"/>
              </w:rPr>
              <w:t>Vir pri Stični</w:t>
            </w:r>
          </w:p>
        </w:tc>
        <w:tc>
          <w:tcPr>
            <w:tcW w:w="694" w:type="pct"/>
            <w:tcBorders>
              <w:top w:val="nil"/>
              <w:left w:val="nil"/>
              <w:bottom w:val="single" w:sz="4" w:space="0" w:color="auto"/>
              <w:right w:val="single" w:sz="4" w:space="0" w:color="auto"/>
            </w:tcBorders>
            <w:shd w:val="clear" w:color="auto" w:fill="auto"/>
            <w:noWrap/>
            <w:vAlign w:val="center"/>
            <w:hideMark/>
          </w:tcPr>
          <w:p w14:paraId="3285E170" w14:textId="77777777" w:rsidR="00B43D66" w:rsidRPr="00545EC0" w:rsidRDefault="00B43D66" w:rsidP="00075C40">
            <w:pPr>
              <w:spacing w:line="240" w:lineRule="auto"/>
              <w:jc w:val="left"/>
              <w:rPr>
                <w:rFonts w:cs="Arial"/>
                <w:sz w:val="18"/>
                <w:szCs w:val="18"/>
              </w:rPr>
            </w:pPr>
            <w:r w:rsidRPr="00545EC0">
              <w:rPr>
                <w:rFonts w:cs="Arial"/>
                <w:sz w:val="18"/>
                <w:szCs w:val="18"/>
              </w:rPr>
              <w:t>Vir pri Stični</w:t>
            </w:r>
          </w:p>
        </w:tc>
        <w:tc>
          <w:tcPr>
            <w:tcW w:w="500" w:type="pct"/>
            <w:tcBorders>
              <w:top w:val="nil"/>
              <w:left w:val="nil"/>
              <w:bottom w:val="single" w:sz="4" w:space="0" w:color="auto"/>
              <w:right w:val="single" w:sz="4" w:space="0" w:color="auto"/>
            </w:tcBorders>
            <w:shd w:val="clear" w:color="auto" w:fill="auto"/>
            <w:noWrap/>
            <w:vAlign w:val="center"/>
            <w:hideMark/>
          </w:tcPr>
          <w:p w14:paraId="552644C7" w14:textId="77777777" w:rsidR="00B43D66" w:rsidRPr="00545EC0" w:rsidRDefault="00B43D66" w:rsidP="00075C40">
            <w:pPr>
              <w:spacing w:line="240" w:lineRule="auto"/>
              <w:jc w:val="center"/>
              <w:rPr>
                <w:rFonts w:cs="Arial"/>
                <w:sz w:val="18"/>
                <w:szCs w:val="18"/>
              </w:rPr>
            </w:pPr>
            <w:r w:rsidRPr="00545EC0">
              <w:rPr>
                <w:rFonts w:cs="Arial"/>
                <w:sz w:val="18"/>
                <w:szCs w:val="18"/>
              </w:rPr>
              <w:t>14,95</w:t>
            </w:r>
          </w:p>
        </w:tc>
        <w:tc>
          <w:tcPr>
            <w:tcW w:w="563" w:type="pct"/>
            <w:tcBorders>
              <w:top w:val="nil"/>
              <w:left w:val="nil"/>
              <w:bottom w:val="single" w:sz="4" w:space="0" w:color="auto"/>
              <w:right w:val="single" w:sz="4" w:space="0" w:color="auto"/>
            </w:tcBorders>
            <w:shd w:val="clear" w:color="auto" w:fill="auto"/>
            <w:noWrap/>
            <w:hideMark/>
          </w:tcPr>
          <w:p w14:paraId="38295DE3" w14:textId="7DD9BD8A" w:rsidR="00B43D66" w:rsidRPr="00545EC0" w:rsidRDefault="00B43D66" w:rsidP="00075C40">
            <w:pPr>
              <w:spacing w:line="240" w:lineRule="auto"/>
              <w:jc w:val="center"/>
              <w:rPr>
                <w:rFonts w:cs="Arial"/>
                <w:sz w:val="18"/>
                <w:szCs w:val="18"/>
              </w:rPr>
            </w:pPr>
            <w:r w:rsidRPr="00545EC0">
              <w:rPr>
                <w:rFonts w:cs="Arial"/>
              </w:rPr>
              <w:sym w:font="Wingdings" w:char="F0FC"/>
            </w:r>
          </w:p>
        </w:tc>
        <w:tc>
          <w:tcPr>
            <w:tcW w:w="609" w:type="pct"/>
            <w:tcBorders>
              <w:top w:val="nil"/>
              <w:left w:val="nil"/>
              <w:bottom w:val="single" w:sz="4" w:space="0" w:color="auto"/>
              <w:right w:val="single" w:sz="4" w:space="0" w:color="auto"/>
            </w:tcBorders>
            <w:shd w:val="clear" w:color="auto" w:fill="auto"/>
            <w:noWrap/>
            <w:vAlign w:val="center"/>
            <w:hideMark/>
          </w:tcPr>
          <w:p w14:paraId="26038DE8" w14:textId="77777777" w:rsidR="00B43D66" w:rsidRPr="00545EC0" w:rsidRDefault="00B43D66" w:rsidP="00075C40">
            <w:pPr>
              <w:spacing w:line="240" w:lineRule="auto"/>
              <w:jc w:val="center"/>
              <w:rPr>
                <w:rFonts w:cs="Arial"/>
                <w:sz w:val="18"/>
                <w:szCs w:val="18"/>
              </w:rPr>
            </w:pPr>
            <w:r w:rsidRPr="00545EC0">
              <w:rPr>
                <w:rFonts w:cs="Arial"/>
                <w:snapToGrid w:val="0"/>
                <w:sz w:val="18"/>
                <w:szCs w:val="18"/>
              </w:rPr>
              <w:sym w:font="Wingdings" w:char="F0FD"/>
            </w:r>
          </w:p>
        </w:tc>
        <w:tc>
          <w:tcPr>
            <w:tcW w:w="657" w:type="pct"/>
            <w:tcBorders>
              <w:top w:val="nil"/>
              <w:left w:val="nil"/>
              <w:bottom w:val="single" w:sz="4" w:space="0" w:color="auto"/>
              <w:right w:val="single" w:sz="4" w:space="0" w:color="auto"/>
            </w:tcBorders>
            <w:shd w:val="clear" w:color="auto" w:fill="FFFFFF" w:themeFill="background1"/>
            <w:noWrap/>
            <w:vAlign w:val="center"/>
            <w:hideMark/>
          </w:tcPr>
          <w:p w14:paraId="7167B8D9" w14:textId="77777777" w:rsidR="00B43D66" w:rsidRPr="00545EC0" w:rsidRDefault="00B43D66" w:rsidP="00075C40">
            <w:pPr>
              <w:spacing w:line="240" w:lineRule="auto"/>
              <w:jc w:val="center"/>
              <w:rPr>
                <w:rFonts w:cs="Arial"/>
                <w:sz w:val="18"/>
                <w:szCs w:val="18"/>
              </w:rPr>
            </w:pPr>
            <w:r w:rsidRPr="00545EC0">
              <w:rPr>
                <w:rFonts w:cs="Arial"/>
                <w:sz w:val="18"/>
                <w:szCs w:val="18"/>
              </w:rPr>
              <w:t>vpliv možen</w:t>
            </w:r>
          </w:p>
        </w:tc>
      </w:tr>
      <w:tr w:rsidR="00B43D66" w:rsidRPr="00545EC0" w14:paraId="098980A4" w14:textId="77777777" w:rsidTr="00B43D66">
        <w:trPr>
          <w:trHeight w:val="284"/>
        </w:trPr>
        <w:tc>
          <w:tcPr>
            <w:tcW w:w="1077" w:type="pct"/>
            <w:tcBorders>
              <w:top w:val="nil"/>
              <w:left w:val="single" w:sz="4" w:space="0" w:color="auto"/>
              <w:bottom w:val="single" w:sz="4" w:space="0" w:color="auto"/>
              <w:right w:val="single" w:sz="4" w:space="0" w:color="auto"/>
            </w:tcBorders>
            <w:shd w:val="clear" w:color="auto" w:fill="auto"/>
            <w:noWrap/>
            <w:vAlign w:val="center"/>
            <w:hideMark/>
          </w:tcPr>
          <w:p w14:paraId="1E303B63" w14:textId="77777777" w:rsidR="00B43D66" w:rsidRPr="00545EC0" w:rsidRDefault="00B43D66" w:rsidP="00075C40">
            <w:pPr>
              <w:spacing w:line="240" w:lineRule="auto"/>
              <w:jc w:val="left"/>
              <w:rPr>
                <w:rFonts w:cs="Arial"/>
                <w:sz w:val="18"/>
                <w:szCs w:val="18"/>
              </w:rPr>
            </w:pPr>
            <w:r w:rsidRPr="00545EC0">
              <w:rPr>
                <w:rFonts w:cs="Arial"/>
                <w:sz w:val="18"/>
                <w:szCs w:val="18"/>
              </w:rPr>
              <w:t>1011 Dolenjski kras</w:t>
            </w:r>
          </w:p>
        </w:tc>
        <w:tc>
          <w:tcPr>
            <w:tcW w:w="899" w:type="pct"/>
            <w:tcBorders>
              <w:top w:val="nil"/>
              <w:left w:val="nil"/>
              <w:bottom w:val="single" w:sz="4" w:space="0" w:color="auto"/>
              <w:right w:val="single" w:sz="4" w:space="0" w:color="auto"/>
            </w:tcBorders>
            <w:shd w:val="clear" w:color="auto" w:fill="auto"/>
            <w:noWrap/>
            <w:vAlign w:val="center"/>
            <w:hideMark/>
          </w:tcPr>
          <w:p w14:paraId="3B63154A" w14:textId="77777777" w:rsidR="00B43D66" w:rsidRPr="00545EC0" w:rsidRDefault="00B43D66" w:rsidP="00075C40">
            <w:pPr>
              <w:spacing w:line="240" w:lineRule="auto"/>
              <w:jc w:val="left"/>
              <w:rPr>
                <w:rFonts w:cs="Arial"/>
                <w:sz w:val="18"/>
                <w:szCs w:val="18"/>
              </w:rPr>
            </w:pPr>
            <w:r w:rsidRPr="00545EC0">
              <w:rPr>
                <w:rFonts w:cs="Arial"/>
                <w:sz w:val="18"/>
                <w:szCs w:val="18"/>
              </w:rPr>
              <w:t>Gradac</w:t>
            </w:r>
          </w:p>
        </w:tc>
        <w:tc>
          <w:tcPr>
            <w:tcW w:w="694" w:type="pct"/>
            <w:tcBorders>
              <w:top w:val="nil"/>
              <w:left w:val="nil"/>
              <w:bottom w:val="single" w:sz="4" w:space="0" w:color="auto"/>
              <w:right w:val="single" w:sz="4" w:space="0" w:color="auto"/>
            </w:tcBorders>
            <w:shd w:val="clear" w:color="auto" w:fill="auto"/>
            <w:noWrap/>
            <w:vAlign w:val="center"/>
            <w:hideMark/>
          </w:tcPr>
          <w:p w14:paraId="633486EE" w14:textId="77777777" w:rsidR="00B43D66" w:rsidRPr="00545EC0" w:rsidRDefault="00B43D66" w:rsidP="00075C40">
            <w:pPr>
              <w:spacing w:line="240" w:lineRule="auto"/>
              <w:jc w:val="left"/>
              <w:rPr>
                <w:rFonts w:cs="Arial"/>
                <w:sz w:val="18"/>
                <w:szCs w:val="18"/>
              </w:rPr>
            </w:pPr>
            <w:r w:rsidRPr="00545EC0">
              <w:rPr>
                <w:rFonts w:cs="Arial"/>
                <w:sz w:val="18"/>
                <w:szCs w:val="18"/>
              </w:rPr>
              <w:t>Krupa</w:t>
            </w:r>
          </w:p>
        </w:tc>
        <w:tc>
          <w:tcPr>
            <w:tcW w:w="500" w:type="pct"/>
            <w:tcBorders>
              <w:top w:val="nil"/>
              <w:left w:val="nil"/>
              <w:bottom w:val="single" w:sz="4" w:space="0" w:color="auto"/>
              <w:right w:val="single" w:sz="4" w:space="0" w:color="auto"/>
            </w:tcBorders>
            <w:shd w:val="clear" w:color="auto" w:fill="auto"/>
            <w:noWrap/>
            <w:vAlign w:val="center"/>
            <w:hideMark/>
          </w:tcPr>
          <w:p w14:paraId="71294A80" w14:textId="77777777" w:rsidR="00B43D66" w:rsidRPr="00545EC0" w:rsidRDefault="00B43D66" w:rsidP="00075C40">
            <w:pPr>
              <w:spacing w:line="240" w:lineRule="auto"/>
              <w:jc w:val="center"/>
              <w:rPr>
                <w:rFonts w:cs="Arial"/>
                <w:sz w:val="18"/>
                <w:szCs w:val="18"/>
              </w:rPr>
            </w:pPr>
            <w:r w:rsidRPr="00545EC0">
              <w:rPr>
                <w:rFonts w:cs="Arial"/>
                <w:sz w:val="18"/>
                <w:szCs w:val="18"/>
              </w:rPr>
              <w:t>4,91</w:t>
            </w:r>
          </w:p>
        </w:tc>
        <w:tc>
          <w:tcPr>
            <w:tcW w:w="563" w:type="pct"/>
            <w:tcBorders>
              <w:top w:val="nil"/>
              <w:left w:val="nil"/>
              <w:bottom w:val="single" w:sz="4" w:space="0" w:color="auto"/>
              <w:right w:val="single" w:sz="4" w:space="0" w:color="auto"/>
            </w:tcBorders>
            <w:shd w:val="clear" w:color="auto" w:fill="auto"/>
            <w:noWrap/>
            <w:hideMark/>
          </w:tcPr>
          <w:p w14:paraId="581BFBDF" w14:textId="06B17223" w:rsidR="00B43D66" w:rsidRPr="00545EC0" w:rsidRDefault="00B43D66" w:rsidP="00075C40">
            <w:pPr>
              <w:spacing w:line="240" w:lineRule="auto"/>
              <w:jc w:val="center"/>
              <w:rPr>
                <w:rFonts w:cs="Arial"/>
                <w:sz w:val="18"/>
                <w:szCs w:val="18"/>
              </w:rPr>
            </w:pPr>
            <w:r w:rsidRPr="00545EC0">
              <w:rPr>
                <w:rFonts w:cs="Arial"/>
              </w:rPr>
              <w:sym w:font="Wingdings" w:char="F0FC"/>
            </w:r>
          </w:p>
        </w:tc>
        <w:tc>
          <w:tcPr>
            <w:tcW w:w="609" w:type="pct"/>
            <w:tcBorders>
              <w:top w:val="nil"/>
              <w:left w:val="nil"/>
              <w:bottom w:val="single" w:sz="4" w:space="0" w:color="auto"/>
              <w:right w:val="single" w:sz="4" w:space="0" w:color="auto"/>
            </w:tcBorders>
            <w:shd w:val="clear" w:color="auto" w:fill="auto"/>
            <w:noWrap/>
            <w:vAlign w:val="center"/>
            <w:hideMark/>
          </w:tcPr>
          <w:p w14:paraId="449A7F17" w14:textId="57E30DBD" w:rsidR="00B43D66" w:rsidRPr="00545EC0" w:rsidRDefault="00B43D66" w:rsidP="00075C40">
            <w:pPr>
              <w:spacing w:line="240" w:lineRule="auto"/>
              <w:jc w:val="center"/>
              <w:rPr>
                <w:rFonts w:cs="Arial"/>
                <w:sz w:val="18"/>
                <w:szCs w:val="18"/>
              </w:rPr>
            </w:pPr>
            <w:r w:rsidRPr="00545EC0">
              <w:rPr>
                <w:rFonts w:cs="Arial"/>
              </w:rPr>
              <w:sym w:font="Wingdings" w:char="F0FC"/>
            </w:r>
          </w:p>
        </w:tc>
        <w:tc>
          <w:tcPr>
            <w:tcW w:w="657" w:type="pct"/>
            <w:tcBorders>
              <w:top w:val="nil"/>
              <w:left w:val="nil"/>
              <w:bottom w:val="single" w:sz="4" w:space="0" w:color="auto"/>
              <w:right w:val="single" w:sz="4" w:space="0" w:color="auto"/>
            </w:tcBorders>
            <w:shd w:val="clear" w:color="auto" w:fill="FFFFFF" w:themeFill="background1"/>
            <w:noWrap/>
            <w:vAlign w:val="center"/>
            <w:hideMark/>
          </w:tcPr>
          <w:p w14:paraId="760A7077" w14:textId="77777777" w:rsidR="00B43D66" w:rsidRPr="00545EC0" w:rsidRDefault="00B43D66" w:rsidP="00075C40">
            <w:pPr>
              <w:spacing w:line="240" w:lineRule="auto"/>
              <w:jc w:val="center"/>
              <w:rPr>
                <w:rFonts w:cs="Arial"/>
                <w:sz w:val="18"/>
                <w:szCs w:val="18"/>
              </w:rPr>
            </w:pPr>
            <w:r w:rsidRPr="00545EC0">
              <w:rPr>
                <w:rFonts w:cs="Arial"/>
                <w:sz w:val="18"/>
                <w:szCs w:val="18"/>
              </w:rPr>
              <w:t>NE</w:t>
            </w:r>
          </w:p>
        </w:tc>
      </w:tr>
      <w:tr w:rsidR="003122F4" w:rsidRPr="00545EC0" w14:paraId="77295FFC" w14:textId="77777777" w:rsidTr="00B43D66">
        <w:trPr>
          <w:trHeight w:val="284"/>
        </w:trPr>
        <w:tc>
          <w:tcPr>
            <w:tcW w:w="1077" w:type="pct"/>
            <w:tcBorders>
              <w:top w:val="nil"/>
              <w:left w:val="single" w:sz="4" w:space="0" w:color="auto"/>
              <w:bottom w:val="single" w:sz="4" w:space="0" w:color="auto"/>
              <w:right w:val="single" w:sz="4" w:space="0" w:color="auto"/>
            </w:tcBorders>
            <w:shd w:val="clear" w:color="auto" w:fill="auto"/>
            <w:noWrap/>
            <w:vAlign w:val="center"/>
            <w:hideMark/>
          </w:tcPr>
          <w:p w14:paraId="7B18CD58" w14:textId="77777777" w:rsidR="00AA23DA" w:rsidRPr="00545EC0" w:rsidRDefault="00AA23DA" w:rsidP="00075C40">
            <w:pPr>
              <w:spacing w:line="240" w:lineRule="auto"/>
              <w:jc w:val="left"/>
              <w:rPr>
                <w:rFonts w:cs="Arial"/>
                <w:sz w:val="18"/>
                <w:szCs w:val="18"/>
              </w:rPr>
            </w:pPr>
            <w:r w:rsidRPr="00545EC0">
              <w:rPr>
                <w:rFonts w:cs="Arial"/>
                <w:sz w:val="18"/>
                <w:szCs w:val="18"/>
              </w:rPr>
              <w:t>1011 Dolenjski kras</w:t>
            </w:r>
          </w:p>
        </w:tc>
        <w:tc>
          <w:tcPr>
            <w:tcW w:w="899" w:type="pct"/>
            <w:tcBorders>
              <w:top w:val="nil"/>
              <w:left w:val="nil"/>
              <w:bottom w:val="single" w:sz="4" w:space="0" w:color="auto"/>
              <w:right w:val="single" w:sz="4" w:space="0" w:color="auto"/>
            </w:tcBorders>
            <w:shd w:val="clear" w:color="auto" w:fill="auto"/>
            <w:noWrap/>
            <w:vAlign w:val="center"/>
            <w:hideMark/>
          </w:tcPr>
          <w:p w14:paraId="018AAAE6" w14:textId="77777777" w:rsidR="00AA23DA" w:rsidRPr="00545EC0" w:rsidRDefault="00AA23DA" w:rsidP="00075C40">
            <w:pPr>
              <w:spacing w:line="240" w:lineRule="auto"/>
              <w:jc w:val="left"/>
              <w:rPr>
                <w:rFonts w:cs="Arial"/>
                <w:sz w:val="18"/>
                <w:szCs w:val="18"/>
              </w:rPr>
            </w:pPr>
            <w:r w:rsidRPr="00545EC0">
              <w:rPr>
                <w:rFonts w:cs="Arial"/>
                <w:sz w:val="18"/>
                <w:szCs w:val="18"/>
              </w:rPr>
              <w:t>Kotarjeva prepadna</w:t>
            </w:r>
          </w:p>
        </w:tc>
        <w:tc>
          <w:tcPr>
            <w:tcW w:w="694" w:type="pct"/>
            <w:tcBorders>
              <w:top w:val="nil"/>
              <w:left w:val="nil"/>
              <w:bottom w:val="single" w:sz="4" w:space="0" w:color="auto"/>
              <w:right w:val="single" w:sz="4" w:space="0" w:color="auto"/>
            </w:tcBorders>
            <w:shd w:val="clear" w:color="auto" w:fill="auto"/>
            <w:noWrap/>
            <w:vAlign w:val="center"/>
            <w:hideMark/>
          </w:tcPr>
          <w:p w14:paraId="3FCAEBAF" w14:textId="77777777" w:rsidR="00AA23DA" w:rsidRPr="00545EC0" w:rsidRDefault="00AA23DA" w:rsidP="00075C40">
            <w:pPr>
              <w:spacing w:line="240" w:lineRule="auto"/>
              <w:jc w:val="center"/>
              <w:rPr>
                <w:rFonts w:cs="Arial"/>
                <w:sz w:val="18"/>
                <w:szCs w:val="18"/>
              </w:rPr>
            </w:pPr>
            <w:r w:rsidRPr="00545EC0">
              <w:rPr>
                <w:rFonts w:cs="Arial"/>
                <w:sz w:val="18"/>
                <w:szCs w:val="18"/>
              </w:rPr>
              <w:t>/</w:t>
            </w:r>
          </w:p>
        </w:tc>
        <w:tc>
          <w:tcPr>
            <w:tcW w:w="500" w:type="pct"/>
            <w:tcBorders>
              <w:top w:val="nil"/>
              <w:left w:val="nil"/>
              <w:bottom w:val="single" w:sz="4" w:space="0" w:color="auto"/>
              <w:right w:val="single" w:sz="4" w:space="0" w:color="auto"/>
            </w:tcBorders>
            <w:shd w:val="clear" w:color="auto" w:fill="auto"/>
            <w:noWrap/>
            <w:vAlign w:val="center"/>
            <w:hideMark/>
          </w:tcPr>
          <w:p w14:paraId="66C05FE8" w14:textId="77777777" w:rsidR="00AA23DA" w:rsidRPr="00545EC0" w:rsidRDefault="00AA23DA" w:rsidP="00075C40">
            <w:pPr>
              <w:spacing w:line="240" w:lineRule="auto"/>
              <w:jc w:val="center"/>
              <w:rPr>
                <w:rFonts w:cs="Arial"/>
                <w:sz w:val="18"/>
                <w:szCs w:val="18"/>
              </w:rPr>
            </w:pPr>
            <w:r w:rsidRPr="00545EC0">
              <w:rPr>
                <w:rFonts w:cs="Arial"/>
                <w:sz w:val="18"/>
                <w:szCs w:val="18"/>
              </w:rPr>
              <w:t>/</w:t>
            </w:r>
          </w:p>
        </w:tc>
        <w:tc>
          <w:tcPr>
            <w:tcW w:w="563" w:type="pct"/>
            <w:tcBorders>
              <w:top w:val="nil"/>
              <w:left w:val="nil"/>
              <w:bottom w:val="single" w:sz="4" w:space="0" w:color="auto"/>
              <w:right w:val="single" w:sz="4" w:space="0" w:color="auto"/>
            </w:tcBorders>
            <w:shd w:val="clear" w:color="auto" w:fill="auto"/>
            <w:noWrap/>
            <w:vAlign w:val="center"/>
            <w:hideMark/>
          </w:tcPr>
          <w:p w14:paraId="7D2C2995" w14:textId="77777777" w:rsidR="00AA23DA" w:rsidRPr="00545EC0" w:rsidRDefault="00AA23DA" w:rsidP="00075C40">
            <w:pPr>
              <w:spacing w:line="240" w:lineRule="auto"/>
              <w:jc w:val="center"/>
              <w:rPr>
                <w:rFonts w:cs="Arial"/>
                <w:sz w:val="18"/>
                <w:szCs w:val="18"/>
              </w:rPr>
            </w:pPr>
            <w:r w:rsidRPr="00545EC0">
              <w:rPr>
                <w:rFonts w:cs="Arial"/>
                <w:sz w:val="18"/>
                <w:szCs w:val="18"/>
              </w:rPr>
              <w:t>/</w:t>
            </w:r>
          </w:p>
        </w:tc>
        <w:tc>
          <w:tcPr>
            <w:tcW w:w="609" w:type="pct"/>
            <w:tcBorders>
              <w:top w:val="nil"/>
              <w:left w:val="nil"/>
              <w:bottom w:val="single" w:sz="4" w:space="0" w:color="auto"/>
              <w:right w:val="single" w:sz="4" w:space="0" w:color="auto"/>
            </w:tcBorders>
            <w:shd w:val="clear" w:color="auto" w:fill="auto"/>
            <w:noWrap/>
            <w:vAlign w:val="center"/>
            <w:hideMark/>
          </w:tcPr>
          <w:p w14:paraId="22444552" w14:textId="77777777" w:rsidR="00AA23DA" w:rsidRPr="00545EC0" w:rsidRDefault="00AA23DA" w:rsidP="00075C40">
            <w:pPr>
              <w:spacing w:line="240" w:lineRule="auto"/>
              <w:jc w:val="center"/>
              <w:rPr>
                <w:rFonts w:cs="Arial"/>
                <w:sz w:val="18"/>
                <w:szCs w:val="18"/>
              </w:rPr>
            </w:pPr>
            <w:r w:rsidRPr="00545EC0">
              <w:rPr>
                <w:rFonts w:cs="Arial"/>
                <w:sz w:val="18"/>
                <w:szCs w:val="18"/>
              </w:rPr>
              <w:t>/</w:t>
            </w:r>
          </w:p>
        </w:tc>
        <w:tc>
          <w:tcPr>
            <w:tcW w:w="657" w:type="pct"/>
            <w:tcBorders>
              <w:top w:val="nil"/>
              <w:left w:val="nil"/>
              <w:bottom w:val="single" w:sz="4" w:space="0" w:color="auto"/>
              <w:right w:val="single" w:sz="4" w:space="0" w:color="auto"/>
            </w:tcBorders>
            <w:shd w:val="clear" w:color="auto" w:fill="FFFFFF" w:themeFill="background1"/>
            <w:noWrap/>
            <w:vAlign w:val="center"/>
            <w:hideMark/>
          </w:tcPr>
          <w:p w14:paraId="30242EEF" w14:textId="77777777" w:rsidR="00AA23DA" w:rsidRPr="00545EC0" w:rsidRDefault="00AA23DA" w:rsidP="00075C40">
            <w:pPr>
              <w:spacing w:line="240" w:lineRule="auto"/>
              <w:jc w:val="center"/>
              <w:rPr>
                <w:rFonts w:cs="Arial"/>
                <w:sz w:val="18"/>
                <w:szCs w:val="18"/>
              </w:rPr>
            </w:pPr>
            <w:r w:rsidRPr="00545EC0">
              <w:rPr>
                <w:rFonts w:cs="Arial"/>
                <w:sz w:val="18"/>
                <w:szCs w:val="18"/>
              </w:rPr>
              <w:t>/</w:t>
            </w:r>
          </w:p>
        </w:tc>
      </w:tr>
      <w:tr w:rsidR="00B43D66" w:rsidRPr="00545EC0" w14:paraId="112CE0B3" w14:textId="77777777" w:rsidTr="00C402C7">
        <w:trPr>
          <w:trHeight w:val="284"/>
        </w:trPr>
        <w:tc>
          <w:tcPr>
            <w:tcW w:w="1077" w:type="pct"/>
            <w:tcBorders>
              <w:top w:val="nil"/>
              <w:left w:val="single" w:sz="4" w:space="0" w:color="auto"/>
              <w:bottom w:val="single" w:sz="4" w:space="0" w:color="auto"/>
              <w:right w:val="single" w:sz="4" w:space="0" w:color="auto"/>
            </w:tcBorders>
            <w:shd w:val="clear" w:color="auto" w:fill="auto"/>
            <w:noWrap/>
            <w:vAlign w:val="center"/>
            <w:hideMark/>
          </w:tcPr>
          <w:p w14:paraId="09544C99" w14:textId="77777777" w:rsidR="00B43D66" w:rsidRPr="00545EC0" w:rsidRDefault="00B43D66" w:rsidP="00075C40">
            <w:pPr>
              <w:spacing w:line="240" w:lineRule="auto"/>
              <w:jc w:val="left"/>
              <w:rPr>
                <w:rFonts w:cs="Arial"/>
                <w:sz w:val="18"/>
                <w:szCs w:val="18"/>
              </w:rPr>
            </w:pPr>
            <w:r w:rsidRPr="00545EC0">
              <w:rPr>
                <w:rFonts w:cs="Arial"/>
                <w:sz w:val="18"/>
                <w:szCs w:val="18"/>
              </w:rPr>
              <w:t>1011 Dolenjski kras</w:t>
            </w:r>
          </w:p>
        </w:tc>
        <w:tc>
          <w:tcPr>
            <w:tcW w:w="899" w:type="pct"/>
            <w:tcBorders>
              <w:top w:val="nil"/>
              <w:left w:val="nil"/>
              <w:bottom w:val="single" w:sz="4" w:space="0" w:color="auto"/>
              <w:right w:val="single" w:sz="4" w:space="0" w:color="auto"/>
            </w:tcBorders>
            <w:shd w:val="clear" w:color="auto" w:fill="auto"/>
            <w:noWrap/>
            <w:vAlign w:val="center"/>
            <w:hideMark/>
          </w:tcPr>
          <w:p w14:paraId="020B3B6A" w14:textId="77777777" w:rsidR="00B43D66" w:rsidRPr="00545EC0" w:rsidRDefault="00B43D66" w:rsidP="00075C40">
            <w:pPr>
              <w:spacing w:line="240" w:lineRule="auto"/>
              <w:jc w:val="left"/>
              <w:rPr>
                <w:rFonts w:cs="Arial"/>
                <w:sz w:val="18"/>
                <w:szCs w:val="18"/>
              </w:rPr>
            </w:pPr>
            <w:r w:rsidRPr="00545EC0">
              <w:rPr>
                <w:rFonts w:cs="Arial"/>
                <w:sz w:val="18"/>
                <w:szCs w:val="18"/>
              </w:rPr>
              <w:t>Stobe - Breg</w:t>
            </w:r>
          </w:p>
        </w:tc>
        <w:tc>
          <w:tcPr>
            <w:tcW w:w="694" w:type="pct"/>
            <w:tcBorders>
              <w:top w:val="nil"/>
              <w:left w:val="nil"/>
              <w:bottom w:val="single" w:sz="4" w:space="0" w:color="auto"/>
              <w:right w:val="single" w:sz="4" w:space="0" w:color="auto"/>
            </w:tcBorders>
            <w:shd w:val="clear" w:color="auto" w:fill="auto"/>
            <w:vAlign w:val="center"/>
            <w:hideMark/>
          </w:tcPr>
          <w:p w14:paraId="03F2FCF8" w14:textId="77777777" w:rsidR="00B43D66" w:rsidRPr="00545EC0" w:rsidRDefault="00B43D66" w:rsidP="00075C40">
            <w:pPr>
              <w:spacing w:line="240" w:lineRule="auto"/>
              <w:jc w:val="left"/>
              <w:rPr>
                <w:rFonts w:cs="Arial"/>
                <w:sz w:val="18"/>
                <w:szCs w:val="18"/>
              </w:rPr>
            </w:pPr>
            <w:r w:rsidRPr="00545EC0">
              <w:rPr>
                <w:rFonts w:cs="Arial"/>
                <w:sz w:val="18"/>
                <w:szCs w:val="18"/>
              </w:rPr>
              <w:t>Otovski breg</w:t>
            </w:r>
          </w:p>
        </w:tc>
        <w:tc>
          <w:tcPr>
            <w:tcW w:w="500" w:type="pct"/>
            <w:tcBorders>
              <w:top w:val="nil"/>
              <w:left w:val="nil"/>
              <w:bottom w:val="single" w:sz="4" w:space="0" w:color="auto"/>
              <w:right w:val="single" w:sz="4" w:space="0" w:color="auto"/>
            </w:tcBorders>
            <w:shd w:val="clear" w:color="auto" w:fill="auto"/>
            <w:noWrap/>
            <w:vAlign w:val="center"/>
            <w:hideMark/>
          </w:tcPr>
          <w:p w14:paraId="1BDF7710" w14:textId="77777777" w:rsidR="00B43D66" w:rsidRPr="00545EC0" w:rsidRDefault="00B43D66" w:rsidP="00075C40">
            <w:pPr>
              <w:spacing w:line="240" w:lineRule="auto"/>
              <w:jc w:val="center"/>
              <w:rPr>
                <w:rFonts w:cs="Arial"/>
                <w:sz w:val="18"/>
                <w:szCs w:val="18"/>
              </w:rPr>
            </w:pPr>
            <w:r w:rsidRPr="00545EC0">
              <w:rPr>
                <w:rFonts w:cs="Arial"/>
                <w:sz w:val="18"/>
                <w:szCs w:val="18"/>
              </w:rPr>
              <w:t>14,55</w:t>
            </w:r>
          </w:p>
        </w:tc>
        <w:tc>
          <w:tcPr>
            <w:tcW w:w="563" w:type="pct"/>
            <w:tcBorders>
              <w:top w:val="nil"/>
              <w:left w:val="nil"/>
              <w:bottom w:val="single" w:sz="4" w:space="0" w:color="auto"/>
              <w:right w:val="single" w:sz="4" w:space="0" w:color="auto"/>
            </w:tcBorders>
            <w:shd w:val="clear" w:color="auto" w:fill="auto"/>
            <w:noWrap/>
            <w:hideMark/>
          </w:tcPr>
          <w:p w14:paraId="66E7576E" w14:textId="2A3EBF9B" w:rsidR="00B43D66" w:rsidRPr="00545EC0" w:rsidRDefault="00B43D66" w:rsidP="00075C40">
            <w:pPr>
              <w:spacing w:line="240" w:lineRule="auto"/>
              <w:jc w:val="center"/>
              <w:rPr>
                <w:rFonts w:cs="Arial"/>
                <w:sz w:val="18"/>
                <w:szCs w:val="18"/>
              </w:rPr>
            </w:pPr>
            <w:r w:rsidRPr="00545EC0">
              <w:rPr>
                <w:rFonts w:cs="Arial"/>
              </w:rPr>
              <w:sym w:font="Wingdings" w:char="F0FC"/>
            </w:r>
          </w:p>
        </w:tc>
        <w:tc>
          <w:tcPr>
            <w:tcW w:w="609" w:type="pct"/>
            <w:tcBorders>
              <w:top w:val="nil"/>
              <w:left w:val="nil"/>
              <w:bottom w:val="single" w:sz="4" w:space="0" w:color="auto"/>
              <w:right w:val="single" w:sz="4" w:space="0" w:color="auto"/>
            </w:tcBorders>
            <w:shd w:val="clear" w:color="auto" w:fill="auto"/>
            <w:noWrap/>
            <w:vAlign w:val="center"/>
            <w:hideMark/>
          </w:tcPr>
          <w:p w14:paraId="5411F91E" w14:textId="77777777" w:rsidR="00B43D66" w:rsidRPr="00545EC0" w:rsidRDefault="00B43D66" w:rsidP="00075C40">
            <w:pPr>
              <w:spacing w:line="240" w:lineRule="auto"/>
              <w:jc w:val="center"/>
              <w:rPr>
                <w:rFonts w:cs="Arial"/>
                <w:sz w:val="18"/>
                <w:szCs w:val="18"/>
              </w:rPr>
            </w:pPr>
            <w:r w:rsidRPr="00545EC0">
              <w:rPr>
                <w:rFonts w:cs="Arial"/>
                <w:snapToGrid w:val="0"/>
                <w:sz w:val="18"/>
                <w:szCs w:val="18"/>
              </w:rPr>
              <w:sym w:font="Wingdings" w:char="F0FD"/>
            </w:r>
          </w:p>
        </w:tc>
        <w:tc>
          <w:tcPr>
            <w:tcW w:w="657" w:type="pct"/>
            <w:tcBorders>
              <w:top w:val="nil"/>
              <w:left w:val="nil"/>
              <w:bottom w:val="single" w:sz="4" w:space="0" w:color="auto"/>
              <w:right w:val="single" w:sz="4" w:space="0" w:color="auto"/>
            </w:tcBorders>
            <w:shd w:val="clear" w:color="auto" w:fill="FFFFFF" w:themeFill="background1"/>
            <w:noWrap/>
            <w:vAlign w:val="center"/>
            <w:hideMark/>
          </w:tcPr>
          <w:p w14:paraId="508ECBCA" w14:textId="77777777" w:rsidR="00B43D66" w:rsidRPr="00545EC0" w:rsidRDefault="00B43D66" w:rsidP="00075C40">
            <w:pPr>
              <w:spacing w:line="240" w:lineRule="auto"/>
              <w:jc w:val="center"/>
              <w:rPr>
                <w:rFonts w:cs="Arial"/>
                <w:sz w:val="18"/>
                <w:szCs w:val="18"/>
              </w:rPr>
            </w:pPr>
            <w:r w:rsidRPr="00545EC0">
              <w:rPr>
                <w:rFonts w:cs="Arial"/>
                <w:sz w:val="18"/>
                <w:szCs w:val="18"/>
              </w:rPr>
              <w:t>vpliv možen</w:t>
            </w:r>
          </w:p>
        </w:tc>
      </w:tr>
      <w:tr w:rsidR="00B43D66" w:rsidRPr="00545EC0" w14:paraId="59BBD415" w14:textId="77777777" w:rsidTr="00C402C7">
        <w:trPr>
          <w:trHeight w:val="284"/>
        </w:trPr>
        <w:tc>
          <w:tcPr>
            <w:tcW w:w="1077" w:type="pct"/>
            <w:tcBorders>
              <w:top w:val="nil"/>
              <w:left w:val="single" w:sz="4" w:space="0" w:color="auto"/>
              <w:bottom w:val="single" w:sz="4" w:space="0" w:color="auto"/>
              <w:right w:val="single" w:sz="4" w:space="0" w:color="auto"/>
            </w:tcBorders>
            <w:shd w:val="clear" w:color="auto" w:fill="auto"/>
            <w:noWrap/>
            <w:vAlign w:val="center"/>
            <w:hideMark/>
          </w:tcPr>
          <w:p w14:paraId="01B4DE1E" w14:textId="77777777" w:rsidR="00B43D66" w:rsidRPr="00545EC0" w:rsidRDefault="00B43D66" w:rsidP="00075C40">
            <w:pPr>
              <w:spacing w:line="240" w:lineRule="auto"/>
              <w:jc w:val="left"/>
              <w:rPr>
                <w:rFonts w:cs="Arial"/>
                <w:sz w:val="18"/>
                <w:szCs w:val="18"/>
              </w:rPr>
            </w:pPr>
            <w:r w:rsidRPr="00545EC0">
              <w:rPr>
                <w:rFonts w:cs="Arial"/>
                <w:sz w:val="18"/>
                <w:szCs w:val="18"/>
              </w:rPr>
              <w:t>1011 Dolenjski kras</w:t>
            </w:r>
          </w:p>
        </w:tc>
        <w:tc>
          <w:tcPr>
            <w:tcW w:w="899" w:type="pct"/>
            <w:tcBorders>
              <w:top w:val="nil"/>
              <w:left w:val="nil"/>
              <w:bottom w:val="single" w:sz="4" w:space="0" w:color="auto"/>
              <w:right w:val="single" w:sz="4" w:space="0" w:color="auto"/>
            </w:tcBorders>
            <w:shd w:val="clear" w:color="auto" w:fill="auto"/>
            <w:noWrap/>
            <w:vAlign w:val="center"/>
            <w:hideMark/>
          </w:tcPr>
          <w:p w14:paraId="12B9C306" w14:textId="77777777" w:rsidR="00B43D66" w:rsidRPr="00545EC0" w:rsidRDefault="00B43D66" w:rsidP="00075C40">
            <w:pPr>
              <w:spacing w:line="240" w:lineRule="auto"/>
              <w:jc w:val="left"/>
              <w:rPr>
                <w:rFonts w:cs="Arial"/>
                <w:sz w:val="18"/>
                <w:szCs w:val="18"/>
              </w:rPr>
            </w:pPr>
            <w:r w:rsidRPr="00545EC0">
              <w:rPr>
                <w:rFonts w:cs="Arial"/>
                <w:sz w:val="18"/>
                <w:szCs w:val="18"/>
              </w:rPr>
              <w:t>Stobe - Breg</w:t>
            </w:r>
          </w:p>
        </w:tc>
        <w:tc>
          <w:tcPr>
            <w:tcW w:w="694" w:type="pct"/>
            <w:tcBorders>
              <w:top w:val="nil"/>
              <w:left w:val="nil"/>
              <w:bottom w:val="single" w:sz="4" w:space="0" w:color="auto"/>
              <w:right w:val="single" w:sz="4" w:space="0" w:color="auto"/>
            </w:tcBorders>
            <w:shd w:val="clear" w:color="auto" w:fill="auto"/>
            <w:vAlign w:val="center"/>
            <w:hideMark/>
          </w:tcPr>
          <w:p w14:paraId="7B7B7167" w14:textId="77777777" w:rsidR="00B43D66" w:rsidRPr="00545EC0" w:rsidRDefault="00B43D66" w:rsidP="00075C40">
            <w:pPr>
              <w:spacing w:line="240" w:lineRule="auto"/>
              <w:jc w:val="left"/>
              <w:rPr>
                <w:rFonts w:cs="Arial"/>
                <w:sz w:val="18"/>
                <w:szCs w:val="18"/>
              </w:rPr>
            </w:pPr>
            <w:r w:rsidRPr="00545EC0">
              <w:rPr>
                <w:rFonts w:cs="Arial"/>
                <w:sz w:val="18"/>
                <w:szCs w:val="18"/>
              </w:rPr>
              <w:t>Pački breg</w:t>
            </w:r>
          </w:p>
        </w:tc>
        <w:tc>
          <w:tcPr>
            <w:tcW w:w="500" w:type="pct"/>
            <w:tcBorders>
              <w:top w:val="nil"/>
              <w:left w:val="nil"/>
              <w:bottom w:val="single" w:sz="4" w:space="0" w:color="auto"/>
              <w:right w:val="single" w:sz="4" w:space="0" w:color="auto"/>
            </w:tcBorders>
            <w:shd w:val="clear" w:color="auto" w:fill="auto"/>
            <w:noWrap/>
            <w:vAlign w:val="center"/>
            <w:hideMark/>
          </w:tcPr>
          <w:p w14:paraId="49BA846A" w14:textId="77777777" w:rsidR="00B43D66" w:rsidRPr="00545EC0" w:rsidRDefault="00B43D66" w:rsidP="00075C40">
            <w:pPr>
              <w:spacing w:line="240" w:lineRule="auto"/>
              <w:jc w:val="center"/>
              <w:rPr>
                <w:rFonts w:cs="Arial"/>
                <w:sz w:val="18"/>
                <w:szCs w:val="18"/>
              </w:rPr>
            </w:pPr>
            <w:r w:rsidRPr="00545EC0">
              <w:rPr>
                <w:rFonts w:cs="Arial"/>
                <w:sz w:val="18"/>
                <w:szCs w:val="18"/>
              </w:rPr>
              <w:t>12,99</w:t>
            </w:r>
          </w:p>
        </w:tc>
        <w:tc>
          <w:tcPr>
            <w:tcW w:w="563" w:type="pct"/>
            <w:tcBorders>
              <w:top w:val="nil"/>
              <w:left w:val="nil"/>
              <w:bottom w:val="single" w:sz="4" w:space="0" w:color="auto"/>
              <w:right w:val="single" w:sz="4" w:space="0" w:color="auto"/>
            </w:tcBorders>
            <w:shd w:val="clear" w:color="auto" w:fill="auto"/>
            <w:noWrap/>
            <w:hideMark/>
          </w:tcPr>
          <w:p w14:paraId="1376A410" w14:textId="50BD665D" w:rsidR="00B43D66" w:rsidRPr="00545EC0" w:rsidRDefault="00B43D66" w:rsidP="00075C40">
            <w:pPr>
              <w:spacing w:line="240" w:lineRule="auto"/>
              <w:jc w:val="center"/>
              <w:rPr>
                <w:rFonts w:cs="Arial"/>
                <w:sz w:val="18"/>
                <w:szCs w:val="18"/>
              </w:rPr>
            </w:pPr>
            <w:r w:rsidRPr="00545EC0">
              <w:rPr>
                <w:rFonts w:cs="Arial"/>
              </w:rPr>
              <w:sym w:font="Wingdings" w:char="F0FC"/>
            </w:r>
          </w:p>
        </w:tc>
        <w:tc>
          <w:tcPr>
            <w:tcW w:w="609" w:type="pct"/>
            <w:tcBorders>
              <w:top w:val="nil"/>
              <w:left w:val="nil"/>
              <w:bottom w:val="single" w:sz="4" w:space="0" w:color="auto"/>
              <w:right w:val="single" w:sz="4" w:space="0" w:color="auto"/>
            </w:tcBorders>
            <w:shd w:val="clear" w:color="auto" w:fill="auto"/>
            <w:noWrap/>
            <w:vAlign w:val="center"/>
            <w:hideMark/>
          </w:tcPr>
          <w:p w14:paraId="4980AD37" w14:textId="77777777" w:rsidR="00B43D66" w:rsidRPr="00545EC0" w:rsidRDefault="00B43D66" w:rsidP="00075C40">
            <w:pPr>
              <w:spacing w:line="240" w:lineRule="auto"/>
              <w:jc w:val="center"/>
              <w:rPr>
                <w:rFonts w:cs="Arial"/>
                <w:sz w:val="18"/>
                <w:szCs w:val="18"/>
              </w:rPr>
            </w:pPr>
            <w:r w:rsidRPr="00545EC0">
              <w:rPr>
                <w:rFonts w:cs="Arial"/>
                <w:snapToGrid w:val="0"/>
                <w:sz w:val="18"/>
                <w:szCs w:val="18"/>
              </w:rPr>
              <w:sym w:font="Wingdings" w:char="F0FD"/>
            </w:r>
          </w:p>
        </w:tc>
        <w:tc>
          <w:tcPr>
            <w:tcW w:w="657" w:type="pct"/>
            <w:tcBorders>
              <w:top w:val="nil"/>
              <w:left w:val="nil"/>
              <w:bottom w:val="single" w:sz="4" w:space="0" w:color="auto"/>
              <w:right w:val="single" w:sz="4" w:space="0" w:color="auto"/>
            </w:tcBorders>
            <w:shd w:val="clear" w:color="auto" w:fill="FFFFFF" w:themeFill="background1"/>
            <w:noWrap/>
            <w:vAlign w:val="center"/>
            <w:hideMark/>
          </w:tcPr>
          <w:p w14:paraId="6881E1AF" w14:textId="77777777" w:rsidR="00B43D66" w:rsidRPr="00545EC0" w:rsidRDefault="00B43D66" w:rsidP="00075C40">
            <w:pPr>
              <w:spacing w:line="240" w:lineRule="auto"/>
              <w:jc w:val="center"/>
              <w:rPr>
                <w:rFonts w:cs="Arial"/>
                <w:sz w:val="18"/>
                <w:szCs w:val="18"/>
              </w:rPr>
            </w:pPr>
            <w:r w:rsidRPr="00545EC0">
              <w:rPr>
                <w:rFonts w:cs="Arial"/>
                <w:sz w:val="18"/>
                <w:szCs w:val="18"/>
              </w:rPr>
              <w:t>vpliv možen</w:t>
            </w:r>
          </w:p>
        </w:tc>
      </w:tr>
      <w:tr w:rsidR="00B43D66" w:rsidRPr="00545EC0" w14:paraId="49A4432F" w14:textId="77777777" w:rsidTr="00C402C7">
        <w:trPr>
          <w:trHeight w:val="284"/>
        </w:trPr>
        <w:tc>
          <w:tcPr>
            <w:tcW w:w="1077" w:type="pct"/>
            <w:tcBorders>
              <w:top w:val="nil"/>
              <w:left w:val="single" w:sz="4" w:space="0" w:color="auto"/>
              <w:bottom w:val="single" w:sz="4" w:space="0" w:color="auto"/>
              <w:right w:val="single" w:sz="4" w:space="0" w:color="auto"/>
            </w:tcBorders>
            <w:shd w:val="clear" w:color="auto" w:fill="auto"/>
            <w:noWrap/>
            <w:vAlign w:val="center"/>
            <w:hideMark/>
          </w:tcPr>
          <w:p w14:paraId="15C41DD8" w14:textId="77777777" w:rsidR="00B43D66" w:rsidRPr="00545EC0" w:rsidRDefault="00B43D66" w:rsidP="00075C40">
            <w:pPr>
              <w:spacing w:line="240" w:lineRule="auto"/>
              <w:jc w:val="left"/>
              <w:rPr>
                <w:rFonts w:cs="Arial"/>
                <w:sz w:val="18"/>
                <w:szCs w:val="18"/>
              </w:rPr>
            </w:pPr>
            <w:r w:rsidRPr="00545EC0">
              <w:rPr>
                <w:rFonts w:cs="Arial"/>
                <w:sz w:val="18"/>
                <w:szCs w:val="18"/>
              </w:rPr>
              <w:t>1011 Dolenjski kras</w:t>
            </w:r>
          </w:p>
        </w:tc>
        <w:tc>
          <w:tcPr>
            <w:tcW w:w="899" w:type="pct"/>
            <w:tcBorders>
              <w:top w:val="nil"/>
              <w:left w:val="nil"/>
              <w:bottom w:val="single" w:sz="4" w:space="0" w:color="auto"/>
              <w:right w:val="single" w:sz="4" w:space="0" w:color="auto"/>
            </w:tcBorders>
            <w:shd w:val="clear" w:color="auto" w:fill="auto"/>
            <w:noWrap/>
            <w:vAlign w:val="center"/>
            <w:hideMark/>
          </w:tcPr>
          <w:p w14:paraId="1FB9B6BF" w14:textId="77777777" w:rsidR="00B43D66" w:rsidRPr="00545EC0" w:rsidRDefault="00B43D66" w:rsidP="00075C40">
            <w:pPr>
              <w:spacing w:line="240" w:lineRule="auto"/>
              <w:jc w:val="left"/>
              <w:rPr>
                <w:rFonts w:cs="Arial"/>
                <w:sz w:val="18"/>
                <w:szCs w:val="18"/>
              </w:rPr>
            </w:pPr>
            <w:r w:rsidRPr="00545EC0">
              <w:rPr>
                <w:rFonts w:cs="Arial"/>
                <w:sz w:val="18"/>
                <w:szCs w:val="18"/>
              </w:rPr>
              <w:t>Petanjska jama</w:t>
            </w:r>
          </w:p>
        </w:tc>
        <w:tc>
          <w:tcPr>
            <w:tcW w:w="694" w:type="pct"/>
            <w:tcBorders>
              <w:top w:val="nil"/>
              <w:left w:val="nil"/>
              <w:bottom w:val="single" w:sz="4" w:space="0" w:color="auto"/>
              <w:right w:val="single" w:sz="4" w:space="0" w:color="auto"/>
            </w:tcBorders>
            <w:shd w:val="clear" w:color="auto" w:fill="auto"/>
            <w:noWrap/>
            <w:vAlign w:val="center"/>
            <w:hideMark/>
          </w:tcPr>
          <w:p w14:paraId="32A4779B" w14:textId="77777777" w:rsidR="00B43D66" w:rsidRPr="00545EC0" w:rsidRDefault="00B43D66" w:rsidP="00075C40">
            <w:pPr>
              <w:spacing w:line="240" w:lineRule="auto"/>
              <w:jc w:val="left"/>
              <w:rPr>
                <w:rFonts w:cs="Arial"/>
                <w:sz w:val="18"/>
                <w:szCs w:val="18"/>
              </w:rPr>
            </w:pPr>
            <w:r w:rsidRPr="00545EC0">
              <w:rPr>
                <w:rFonts w:cs="Arial"/>
                <w:sz w:val="18"/>
                <w:szCs w:val="18"/>
              </w:rPr>
              <w:t>Mali Podljuben</w:t>
            </w:r>
          </w:p>
        </w:tc>
        <w:tc>
          <w:tcPr>
            <w:tcW w:w="500" w:type="pct"/>
            <w:tcBorders>
              <w:top w:val="nil"/>
              <w:left w:val="nil"/>
              <w:bottom w:val="single" w:sz="4" w:space="0" w:color="auto"/>
              <w:right w:val="single" w:sz="4" w:space="0" w:color="auto"/>
            </w:tcBorders>
            <w:shd w:val="clear" w:color="auto" w:fill="auto"/>
            <w:noWrap/>
            <w:vAlign w:val="center"/>
            <w:hideMark/>
          </w:tcPr>
          <w:p w14:paraId="6A8D5451" w14:textId="77777777" w:rsidR="00B43D66" w:rsidRPr="00545EC0" w:rsidRDefault="00B43D66" w:rsidP="00075C40">
            <w:pPr>
              <w:spacing w:line="240" w:lineRule="auto"/>
              <w:jc w:val="center"/>
              <w:rPr>
                <w:rFonts w:cs="Arial"/>
                <w:sz w:val="18"/>
                <w:szCs w:val="18"/>
              </w:rPr>
            </w:pPr>
            <w:r w:rsidRPr="00545EC0">
              <w:rPr>
                <w:rFonts w:cs="Arial"/>
                <w:sz w:val="18"/>
                <w:szCs w:val="18"/>
              </w:rPr>
              <w:t>8,93</w:t>
            </w:r>
          </w:p>
        </w:tc>
        <w:tc>
          <w:tcPr>
            <w:tcW w:w="563" w:type="pct"/>
            <w:tcBorders>
              <w:top w:val="nil"/>
              <w:left w:val="nil"/>
              <w:bottom w:val="single" w:sz="4" w:space="0" w:color="auto"/>
              <w:right w:val="single" w:sz="4" w:space="0" w:color="auto"/>
            </w:tcBorders>
            <w:shd w:val="clear" w:color="auto" w:fill="auto"/>
            <w:noWrap/>
            <w:hideMark/>
          </w:tcPr>
          <w:p w14:paraId="4AE88D8D" w14:textId="43D522F9" w:rsidR="00B43D66" w:rsidRPr="00545EC0" w:rsidRDefault="00B43D66" w:rsidP="00075C40">
            <w:pPr>
              <w:spacing w:line="240" w:lineRule="auto"/>
              <w:jc w:val="center"/>
              <w:rPr>
                <w:rFonts w:cs="Arial"/>
                <w:sz w:val="18"/>
                <w:szCs w:val="18"/>
              </w:rPr>
            </w:pPr>
            <w:r w:rsidRPr="00545EC0">
              <w:rPr>
                <w:rFonts w:cs="Arial"/>
              </w:rPr>
              <w:sym w:font="Wingdings" w:char="F0FC"/>
            </w:r>
          </w:p>
        </w:tc>
        <w:tc>
          <w:tcPr>
            <w:tcW w:w="609" w:type="pct"/>
            <w:tcBorders>
              <w:top w:val="nil"/>
              <w:left w:val="nil"/>
              <w:bottom w:val="single" w:sz="4" w:space="0" w:color="auto"/>
              <w:right w:val="single" w:sz="4" w:space="0" w:color="auto"/>
            </w:tcBorders>
            <w:shd w:val="clear" w:color="auto" w:fill="auto"/>
            <w:noWrap/>
            <w:hideMark/>
          </w:tcPr>
          <w:p w14:paraId="568B4A2A" w14:textId="243DAA6E" w:rsidR="00B43D66" w:rsidRPr="00545EC0" w:rsidRDefault="00B43D66" w:rsidP="00075C40">
            <w:pPr>
              <w:spacing w:line="240" w:lineRule="auto"/>
              <w:jc w:val="center"/>
              <w:rPr>
                <w:rFonts w:cs="Arial"/>
                <w:sz w:val="18"/>
                <w:szCs w:val="18"/>
              </w:rPr>
            </w:pPr>
            <w:r w:rsidRPr="00545EC0">
              <w:rPr>
                <w:rFonts w:cs="Arial"/>
              </w:rPr>
              <w:sym w:font="Wingdings" w:char="F0FC"/>
            </w:r>
          </w:p>
        </w:tc>
        <w:tc>
          <w:tcPr>
            <w:tcW w:w="657" w:type="pct"/>
            <w:tcBorders>
              <w:top w:val="nil"/>
              <w:left w:val="nil"/>
              <w:bottom w:val="single" w:sz="4" w:space="0" w:color="auto"/>
              <w:right w:val="single" w:sz="4" w:space="0" w:color="auto"/>
            </w:tcBorders>
            <w:shd w:val="clear" w:color="auto" w:fill="FFFFFF" w:themeFill="background1"/>
            <w:noWrap/>
            <w:vAlign w:val="center"/>
            <w:hideMark/>
          </w:tcPr>
          <w:p w14:paraId="38A91555" w14:textId="77777777" w:rsidR="00B43D66" w:rsidRPr="00545EC0" w:rsidRDefault="00B43D66" w:rsidP="00075C40">
            <w:pPr>
              <w:spacing w:line="240" w:lineRule="auto"/>
              <w:jc w:val="center"/>
              <w:rPr>
                <w:rFonts w:cs="Arial"/>
                <w:sz w:val="18"/>
                <w:szCs w:val="18"/>
              </w:rPr>
            </w:pPr>
            <w:r w:rsidRPr="00545EC0">
              <w:rPr>
                <w:rFonts w:cs="Arial"/>
                <w:sz w:val="18"/>
                <w:szCs w:val="18"/>
              </w:rPr>
              <w:t>NE</w:t>
            </w:r>
          </w:p>
        </w:tc>
      </w:tr>
      <w:tr w:rsidR="00B43D66" w:rsidRPr="00545EC0" w14:paraId="0A761D74" w14:textId="77777777" w:rsidTr="00C402C7">
        <w:trPr>
          <w:trHeight w:val="284"/>
        </w:trPr>
        <w:tc>
          <w:tcPr>
            <w:tcW w:w="1077" w:type="pct"/>
            <w:tcBorders>
              <w:top w:val="nil"/>
              <w:left w:val="single" w:sz="4" w:space="0" w:color="auto"/>
              <w:bottom w:val="single" w:sz="4" w:space="0" w:color="auto"/>
              <w:right w:val="single" w:sz="4" w:space="0" w:color="auto"/>
            </w:tcBorders>
            <w:shd w:val="clear" w:color="auto" w:fill="auto"/>
            <w:noWrap/>
            <w:vAlign w:val="center"/>
            <w:hideMark/>
          </w:tcPr>
          <w:p w14:paraId="3DB22BBB" w14:textId="77777777" w:rsidR="00B43D66" w:rsidRPr="00545EC0" w:rsidRDefault="00B43D66" w:rsidP="00075C40">
            <w:pPr>
              <w:spacing w:line="240" w:lineRule="auto"/>
              <w:jc w:val="left"/>
              <w:rPr>
                <w:rFonts w:cs="Arial"/>
                <w:sz w:val="18"/>
                <w:szCs w:val="18"/>
              </w:rPr>
            </w:pPr>
            <w:r w:rsidRPr="00545EC0">
              <w:rPr>
                <w:rFonts w:cs="Arial"/>
                <w:sz w:val="18"/>
                <w:szCs w:val="18"/>
              </w:rPr>
              <w:t>1011 Dolenjski kras</w:t>
            </w:r>
          </w:p>
        </w:tc>
        <w:tc>
          <w:tcPr>
            <w:tcW w:w="899" w:type="pct"/>
            <w:tcBorders>
              <w:top w:val="nil"/>
              <w:left w:val="nil"/>
              <w:bottom w:val="single" w:sz="4" w:space="0" w:color="auto"/>
              <w:right w:val="single" w:sz="4" w:space="0" w:color="auto"/>
            </w:tcBorders>
            <w:shd w:val="clear" w:color="auto" w:fill="auto"/>
            <w:noWrap/>
            <w:vAlign w:val="center"/>
            <w:hideMark/>
          </w:tcPr>
          <w:p w14:paraId="77446D9C" w14:textId="77777777" w:rsidR="00B43D66" w:rsidRPr="00545EC0" w:rsidRDefault="00B43D66" w:rsidP="00075C40">
            <w:pPr>
              <w:spacing w:line="240" w:lineRule="auto"/>
              <w:jc w:val="left"/>
              <w:rPr>
                <w:rFonts w:cs="Arial"/>
                <w:sz w:val="18"/>
                <w:szCs w:val="18"/>
              </w:rPr>
            </w:pPr>
            <w:r w:rsidRPr="00545EC0">
              <w:rPr>
                <w:rFonts w:cs="Arial"/>
                <w:sz w:val="18"/>
                <w:szCs w:val="18"/>
              </w:rPr>
              <w:t>Kočevsko</w:t>
            </w:r>
          </w:p>
        </w:tc>
        <w:tc>
          <w:tcPr>
            <w:tcW w:w="694" w:type="pct"/>
            <w:tcBorders>
              <w:top w:val="nil"/>
              <w:left w:val="nil"/>
              <w:bottom w:val="single" w:sz="4" w:space="0" w:color="auto"/>
              <w:right w:val="single" w:sz="4" w:space="0" w:color="auto"/>
            </w:tcBorders>
            <w:shd w:val="clear" w:color="auto" w:fill="auto"/>
            <w:vAlign w:val="center"/>
            <w:hideMark/>
          </w:tcPr>
          <w:p w14:paraId="172E0138" w14:textId="77777777" w:rsidR="00B43D66" w:rsidRPr="00545EC0" w:rsidRDefault="00B43D66" w:rsidP="00075C40">
            <w:pPr>
              <w:spacing w:line="240" w:lineRule="auto"/>
              <w:jc w:val="left"/>
              <w:rPr>
                <w:rFonts w:cs="Arial"/>
                <w:sz w:val="18"/>
                <w:szCs w:val="18"/>
              </w:rPr>
            </w:pPr>
            <w:r w:rsidRPr="00545EC0">
              <w:rPr>
                <w:rFonts w:cs="Arial"/>
                <w:sz w:val="18"/>
                <w:szCs w:val="18"/>
              </w:rPr>
              <w:t>Obrh Rinža</w:t>
            </w:r>
          </w:p>
        </w:tc>
        <w:tc>
          <w:tcPr>
            <w:tcW w:w="500" w:type="pct"/>
            <w:tcBorders>
              <w:top w:val="nil"/>
              <w:left w:val="nil"/>
              <w:bottom w:val="single" w:sz="4" w:space="0" w:color="auto"/>
              <w:right w:val="single" w:sz="4" w:space="0" w:color="auto"/>
            </w:tcBorders>
            <w:shd w:val="clear" w:color="auto" w:fill="auto"/>
            <w:noWrap/>
            <w:vAlign w:val="center"/>
            <w:hideMark/>
          </w:tcPr>
          <w:p w14:paraId="5AF18B72" w14:textId="77777777" w:rsidR="00B43D66" w:rsidRPr="00545EC0" w:rsidRDefault="00B43D66" w:rsidP="00075C40">
            <w:pPr>
              <w:spacing w:line="240" w:lineRule="auto"/>
              <w:jc w:val="center"/>
              <w:rPr>
                <w:rFonts w:cs="Arial"/>
                <w:sz w:val="18"/>
                <w:szCs w:val="18"/>
              </w:rPr>
            </w:pPr>
            <w:r w:rsidRPr="00545EC0">
              <w:rPr>
                <w:rFonts w:cs="Arial"/>
                <w:sz w:val="18"/>
                <w:szCs w:val="18"/>
              </w:rPr>
              <w:t>4,52</w:t>
            </w:r>
          </w:p>
        </w:tc>
        <w:tc>
          <w:tcPr>
            <w:tcW w:w="563" w:type="pct"/>
            <w:tcBorders>
              <w:top w:val="nil"/>
              <w:left w:val="nil"/>
              <w:bottom w:val="single" w:sz="4" w:space="0" w:color="auto"/>
              <w:right w:val="single" w:sz="4" w:space="0" w:color="auto"/>
            </w:tcBorders>
            <w:shd w:val="clear" w:color="auto" w:fill="auto"/>
            <w:noWrap/>
            <w:hideMark/>
          </w:tcPr>
          <w:p w14:paraId="7F7F86E7" w14:textId="6A5539E4" w:rsidR="00B43D66" w:rsidRPr="00545EC0" w:rsidRDefault="00B43D66" w:rsidP="00075C40">
            <w:pPr>
              <w:spacing w:line="240" w:lineRule="auto"/>
              <w:jc w:val="center"/>
              <w:rPr>
                <w:rFonts w:cs="Arial"/>
                <w:sz w:val="18"/>
                <w:szCs w:val="18"/>
              </w:rPr>
            </w:pPr>
            <w:r w:rsidRPr="00545EC0">
              <w:rPr>
                <w:rFonts w:cs="Arial"/>
              </w:rPr>
              <w:sym w:font="Wingdings" w:char="F0FC"/>
            </w:r>
          </w:p>
        </w:tc>
        <w:tc>
          <w:tcPr>
            <w:tcW w:w="609" w:type="pct"/>
            <w:tcBorders>
              <w:top w:val="nil"/>
              <w:left w:val="nil"/>
              <w:bottom w:val="single" w:sz="4" w:space="0" w:color="auto"/>
              <w:right w:val="single" w:sz="4" w:space="0" w:color="auto"/>
            </w:tcBorders>
            <w:shd w:val="clear" w:color="auto" w:fill="auto"/>
            <w:noWrap/>
            <w:hideMark/>
          </w:tcPr>
          <w:p w14:paraId="5A673ABC" w14:textId="1CE2CD3D" w:rsidR="00B43D66" w:rsidRPr="00545EC0" w:rsidRDefault="00B43D66" w:rsidP="00075C40">
            <w:pPr>
              <w:spacing w:line="240" w:lineRule="auto"/>
              <w:jc w:val="center"/>
              <w:rPr>
                <w:rFonts w:cs="Arial"/>
                <w:sz w:val="18"/>
                <w:szCs w:val="18"/>
              </w:rPr>
            </w:pPr>
            <w:r w:rsidRPr="00545EC0">
              <w:rPr>
                <w:rFonts w:cs="Arial"/>
              </w:rPr>
              <w:sym w:font="Wingdings" w:char="F0FC"/>
            </w:r>
          </w:p>
        </w:tc>
        <w:tc>
          <w:tcPr>
            <w:tcW w:w="657" w:type="pct"/>
            <w:tcBorders>
              <w:top w:val="nil"/>
              <w:left w:val="nil"/>
              <w:bottom w:val="single" w:sz="4" w:space="0" w:color="auto"/>
              <w:right w:val="single" w:sz="4" w:space="0" w:color="auto"/>
            </w:tcBorders>
            <w:shd w:val="clear" w:color="auto" w:fill="FFFFFF" w:themeFill="background1"/>
            <w:noWrap/>
            <w:vAlign w:val="center"/>
            <w:hideMark/>
          </w:tcPr>
          <w:p w14:paraId="45453103" w14:textId="77777777" w:rsidR="00B43D66" w:rsidRPr="00545EC0" w:rsidRDefault="00B43D66" w:rsidP="00075C40">
            <w:pPr>
              <w:spacing w:line="240" w:lineRule="auto"/>
              <w:jc w:val="center"/>
              <w:rPr>
                <w:rFonts w:cs="Arial"/>
                <w:sz w:val="18"/>
                <w:szCs w:val="18"/>
              </w:rPr>
            </w:pPr>
            <w:r w:rsidRPr="00545EC0">
              <w:rPr>
                <w:rFonts w:cs="Arial"/>
                <w:sz w:val="18"/>
                <w:szCs w:val="18"/>
              </w:rPr>
              <w:t>NE</w:t>
            </w:r>
          </w:p>
        </w:tc>
      </w:tr>
      <w:tr w:rsidR="00B43D66" w:rsidRPr="00545EC0" w14:paraId="6F31A510" w14:textId="77777777" w:rsidTr="00C402C7">
        <w:trPr>
          <w:trHeight w:val="284"/>
        </w:trPr>
        <w:tc>
          <w:tcPr>
            <w:tcW w:w="1077" w:type="pct"/>
            <w:tcBorders>
              <w:top w:val="nil"/>
              <w:left w:val="single" w:sz="4" w:space="0" w:color="auto"/>
              <w:bottom w:val="single" w:sz="4" w:space="0" w:color="auto"/>
              <w:right w:val="single" w:sz="4" w:space="0" w:color="auto"/>
            </w:tcBorders>
            <w:shd w:val="clear" w:color="auto" w:fill="auto"/>
            <w:noWrap/>
            <w:vAlign w:val="center"/>
            <w:hideMark/>
          </w:tcPr>
          <w:p w14:paraId="7054AB0D" w14:textId="77777777" w:rsidR="00B43D66" w:rsidRPr="00545EC0" w:rsidRDefault="00B43D66" w:rsidP="00075C40">
            <w:pPr>
              <w:spacing w:line="240" w:lineRule="auto"/>
              <w:jc w:val="left"/>
              <w:rPr>
                <w:rFonts w:cs="Arial"/>
                <w:sz w:val="18"/>
                <w:szCs w:val="18"/>
              </w:rPr>
            </w:pPr>
            <w:r w:rsidRPr="00545EC0">
              <w:rPr>
                <w:rFonts w:cs="Arial"/>
                <w:sz w:val="18"/>
                <w:szCs w:val="18"/>
              </w:rPr>
              <w:t>1011 Dolenjski kras</w:t>
            </w:r>
          </w:p>
        </w:tc>
        <w:tc>
          <w:tcPr>
            <w:tcW w:w="899" w:type="pct"/>
            <w:tcBorders>
              <w:top w:val="nil"/>
              <w:left w:val="nil"/>
              <w:bottom w:val="single" w:sz="4" w:space="0" w:color="auto"/>
              <w:right w:val="single" w:sz="4" w:space="0" w:color="auto"/>
            </w:tcBorders>
            <w:shd w:val="clear" w:color="auto" w:fill="auto"/>
            <w:noWrap/>
            <w:vAlign w:val="center"/>
            <w:hideMark/>
          </w:tcPr>
          <w:p w14:paraId="7B330F99" w14:textId="77777777" w:rsidR="00B43D66" w:rsidRPr="00545EC0" w:rsidRDefault="00B43D66" w:rsidP="00075C40">
            <w:pPr>
              <w:spacing w:line="240" w:lineRule="auto"/>
              <w:jc w:val="left"/>
              <w:rPr>
                <w:rFonts w:cs="Arial"/>
                <w:sz w:val="18"/>
                <w:szCs w:val="18"/>
              </w:rPr>
            </w:pPr>
            <w:r w:rsidRPr="00545EC0">
              <w:rPr>
                <w:rFonts w:cs="Arial"/>
                <w:sz w:val="18"/>
                <w:szCs w:val="18"/>
              </w:rPr>
              <w:t>Kočevsko</w:t>
            </w:r>
          </w:p>
        </w:tc>
        <w:tc>
          <w:tcPr>
            <w:tcW w:w="694" w:type="pct"/>
            <w:tcBorders>
              <w:top w:val="nil"/>
              <w:left w:val="nil"/>
              <w:bottom w:val="single" w:sz="4" w:space="0" w:color="auto"/>
              <w:right w:val="single" w:sz="4" w:space="0" w:color="auto"/>
            </w:tcBorders>
            <w:shd w:val="clear" w:color="auto" w:fill="auto"/>
            <w:vAlign w:val="center"/>
            <w:hideMark/>
          </w:tcPr>
          <w:p w14:paraId="70EA66C7" w14:textId="77777777" w:rsidR="00B43D66" w:rsidRPr="00545EC0" w:rsidRDefault="00B43D66" w:rsidP="00075C40">
            <w:pPr>
              <w:spacing w:line="240" w:lineRule="auto"/>
              <w:jc w:val="left"/>
              <w:rPr>
                <w:rFonts w:cs="Arial"/>
                <w:sz w:val="18"/>
                <w:szCs w:val="18"/>
              </w:rPr>
            </w:pPr>
            <w:r w:rsidRPr="00545EC0">
              <w:rPr>
                <w:rFonts w:cs="Arial"/>
                <w:sz w:val="18"/>
                <w:szCs w:val="18"/>
              </w:rPr>
              <w:t>Radešca</w:t>
            </w:r>
          </w:p>
        </w:tc>
        <w:tc>
          <w:tcPr>
            <w:tcW w:w="500" w:type="pct"/>
            <w:tcBorders>
              <w:top w:val="nil"/>
              <w:left w:val="nil"/>
              <w:bottom w:val="single" w:sz="4" w:space="0" w:color="auto"/>
              <w:right w:val="single" w:sz="4" w:space="0" w:color="auto"/>
            </w:tcBorders>
            <w:shd w:val="clear" w:color="auto" w:fill="auto"/>
            <w:noWrap/>
            <w:vAlign w:val="center"/>
            <w:hideMark/>
          </w:tcPr>
          <w:p w14:paraId="6B75C66B" w14:textId="77777777" w:rsidR="00B43D66" w:rsidRPr="00545EC0" w:rsidRDefault="00B43D66" w:rsidP="00075C40">
            <w:pPr>
              <w:spacing w:line="240" w:lineRule="auto"/>
              <w:jc w:val="center"/>
              <w:rPr>
                <w:rFonts w:cs="Arial"/>
                <w:sz w:val="18"/>
                <w:szCs w:val="18"/>
              </w:rPr>
            </w:pPr>
            <w:r w:rsidRPr="00545EC0">
              <w:rPr>
                <w:rFonts w:cs="Arial"/>
                <w:sz w:val="18"/>
                <w:szCs w:val="18"/>
              </w:rPr>
              <w:t>5,82</w:t>
            </w:r>
          </w:p>
        </w:tc>
        <w:tc>
          <w:tcPr>
            <w:tcW w:w="563" w:type="pct"/>
            <w:tcBorders>
              <w:top w:val="nil"/>
              <w:left w:val="nil"/>
              <w:bottom w:val="single" w:sz="4" w:space="0" w:color="auto"/>
              <w:right w:val="single" w:sz="4" w:space="0" w:color="auto"/>
            </w:tcBorders>
            <w:shd w:val="clear" w:color="auto" w:fill="auto"/>
            <w:noWrap/>
            <w:hideMark/>
          </w:tcPr>
          <w:p w14:paraId="2049E6E4" w14:textId="65FF7936" w:rsidR="00B43D66" w:rsidRPr="00545EC0" w:rsidRDefault="00B43D66" w:rsidP="00075C40">
            <w:pPr>
              <w:spacing w:line="240" w:lineRule="auto"/>
              <w:jc w:val="center"/>
              <w:rPr>
                <w:rFonts w:cs="Arial"/>
                <w:sz w:val="18"/>
                <w:szCs w:val="18"/>
              </w:rPr>
            </w:pPr>
            <w:r w:rsidRPr="00545EC0">
              <w:rPr>
                <w:rFonts w:cs="Arial"/>
              </w:rPr>
              <w:sym w:font="Wingdings" w:char="F0FC"/>
            </w:r>
          </w:p>
        </w:tc>
        <w:tc>
          <w:tcPr>
            <w:tcW w:w="609" w:type="pct"/>
            <w:tcBorders>
              <w:top w:val="nil"/>
              <w:left w:val="nil"/>
              <w:bottom w:val="single" w:sz="4" w:space="0" w:color="auto"/>
              <w:right w:val="single" w:sz="4" w:space="0" w:color="auto"/>
            </w:tcBorders>
            <w:shd w:val="clear" w:color="auto" w:fill="auto"/>
            <w:noWrap/>
            <w:hideMark/>
          </w:tcPr>
          <w:p w14:paraId="4E2B8195" w14:textId="4413BBBF" w:rsidR="00B43D66" w:rsidRPr="00545EC0" w:rsidRDefault="00B43D66" w:rsidP="00075C40">
            <w:pPr>
              <w:spacing w:line="240" w:lineRule="auto"/>
              <w:jc w:val="center"/>
              <w:rPr>
                <w:rFonts w:cs="Arial"/>
                <w:sz w:val="18"/>
                <w:szCs w:val="18"/>
              </w:rPr>
            </w:pPr>
            <w:r w:rsidRPr="00545EC0">
              <w:rPr>
                <w:rFonts w:cs="Arial"/>
              </w:rPr>
              <w:sym w:font="Wingdings" w:char="F0FC"/>
            </w:r>
          </w:p>
        </w:tc>
        <w:tc>
          <w:tcPr>
            <w:tcW w:w="657" w:type="pct"/>
            <w:tcBorders>
              <w:top w:val="nil"/>
              <w:left w:val="nil"/>
              <w:bottom w:val="single" w:sz="4" w:space="0" w:color="auto"/>
              <w:right w:val="single" w:sz="4" w:space="0" w:color="auto"/>
            </w:tcBorders>
            <w:shd w:val="clear" w:color="auto" w:fill="FFFFFF" w:themeFill="background1"/>
            <w:noWrap/>
            <w:vAlign w:val="center"/>
            <w:hideMark/>
          </w:tcPr>
          <w:p w14:paraId="76171947" w14:textId="77777777" w:rsidR="00B43D66" w:rsidRPr="00545EC0" w:rsidRDefault="00B43D66" w:rsidP="00075C40">
            <w:pPr>
              <w:spacing w:line="240" w:lineRule="auto"/>
              <w:jc w:val="center"/>
              <w:rPr>
                <w:rFonts w:cs="Arial"/>
                <w:sz w:val="18"/>
                <w:szCs w:val="18"/>
              </w:rPr>
            </w:pPr>
            <w:r w:rsidRPr="00545EC0">
              <w:rPr>
                <w:rFonts w:cs="Arial"/>
                <w:sz w:val="18"/>
                <w:szCs w:val="18"/>
              </w:rPr>
              <w:t>NE</w:t>
            </w:r>
          </w:p>
        </w:tc>
      </w:tr>
      <w:tr w:rsidR="00B43D66" w:rsidRPr="00545EC0" w14:paraId="77ABEBA6" w14:textId="77777777" w:rsidTr="00C402C7">
        <w:trPr>
          <w:trHeight w:val="284"/>
        </w:trPr>
        <w:tc>
          <w:tcPr>
            <w:tcW w:w="1077" w:type="pct"/>
            <w:tcBorders>
              <w:top w:val="nil"/>
              <w:left w:val="single" w:sz="4" w:space="0" w:color="auto"/>
              <w:bottom w:val="single" w:sz="4" w:space="0" w:color="auto"/>
              <w:right w:val="single" w:sz="4" w:space="0" w:color="auto"/>
            </w:tcBorders>
            <w:shd w:val="clear" w:color="auto" w:fill="auto"/>
            <w:noWrap/>
            <w:vAlign w:val="center"/>
            <w:hideMark/>
          </w:tcPr>
          <w:p w14:paraId="5E9642C8" w14:textId="77777777" w:rsidR="00B43D66" w:rsidRPr="00545EC0" w:rsidRDefault="00B43D66" w:rsidP="00075C40">
            <w:pPr>
              <w:spacing w:line="240" w:lineRule="auto"/>
              <w:jc w:val="left"/>
              <w:rPr>
                <w:rFonts w:cs="Arial"/>
                <w:sz w:val="18"/>
                <w:szCs w:val="18"/>
              </w:rPr>
            </w:pPr>
            <w:r w:rsidRPr="00545EC0">
              <w:rPr>
                <w:rFonts w:cs="Arial"/>
                <w:sz w:val="18"/>
                <w:szCs w:val="18"/>
              </w:rPr>
              <w:t>1011 Dolenjski kras</w:t>
            </w:r>
          </w:p>
        </w:tc>
        <w:tc>
          <w:tcPr>
            <w:tcW w:w="899" w:type="pct"/>
            <w:tcBorders>
              <w:top w:val="nil"/>
              <w:left w:val="nil"/>
              <w:bottom w:val="single" w:sz="4" w:space="0" w:color="auto"/>
              <w:right w:val="single" w:sz="4" w:space="0" w:color="auto"/>
            </w:tcBorders>
            <w:shd w:val="clear" w:color="auto" w:fill="auto"/>
            <w:noWrap/>
            <w:vAlign w:val="center"/>
            <w:hideMark/>
          </w:tcPr>
          <w:p w14:paraId="458CE91E" w14:textId="77777777" w:rsidR="00B43D66" w:rsidRPr="00545EC0" w:rsidRDefault="00B43D66" w:rsidP="00075C40">
            <w:pPr>
              <w:spacing w:line="240" w:lineRule="auto"/>
              <w:jc w:val="left"/>
              <w:rPr>
                <w:rFonts w:cs="Arial"/>
                <w:sz w:val="18"/>
                <w:szCs w:val="18"/>
              </w:rPr>
            </w:pPr>
            <w:r w:rsidRPr="00545EC0">
              <w:rPr>
                <w:rFonts w:cs="Arial"/>
                <w:sz w:val="18"/>
                <w:szCs w:val="18"/>
              </w:rPr>
              <w:t>Dobličica</w:t>
            </w:r>
          </w:p>
        </w:tc>
        <w:tc>
          <w:tcPr>
            <w:tcW w:w="694" w:type="pct"/>
            <w:tcBorders>
              <w:top w:val="nil"/>
              <w:left w:val="nil"/>
              <w:bottom w:val="single" w:sz="4" w:space="0" w:color="auto"/>
              <w:right w:val="single" w:sz="4" w:space="0" w:color="auto"/>
            </w:tcBorders>
            <w:shd w:val="clear" w:color="auto" w:fill="auto"/>
            <w:vAlign w:val="center"/>
            <w:hideMark/>
          </w:tcPr>
          <w:p w14:paraId="49D80468" w14:textId="77777777" w:rsidR="00B43D66" w:rsidRPr="00545EC0" w:rsidRDefault="00B43D66" w:rsidP="00075C40">
            <w:pPr>
              <w:spacing w:line="240" w:lineRule="auto"/>
              <w:jc w:val="left"/>
              <w:rPr>
                <w:rFonts w:cs="Arial"/>
                <w:sz w:val="18"/>
                <w:szCs w:val="18"/>
              </w:rPr>
            </w:pPr>
            <w:r w:rsidRPr="00545EC0">
              <w:rPr>
                <w:rFonts w:cs="Arial"/>
                <w:sz w:val="18"/>
                <w:szCs w:val="18"/>
              </w:rPr>
              <w:t>Dobličica</w:t>
            </w:r>
          </w:p>
        </w:tc>
        <w:tc>
          <w:tcPr>
            <w:tcW w:w="500" w:type="pct"/>
            <w:tcBorders>
              <w:top w:val="nil"/>
              <w:left w:val="nil"/>
              <w:bottom w:val="single" w:sz="4" w:space="0" w:color="auto"/>
              <w:right w:val="single" w:sz="4" w:space="0" w:color="auto"/>
            </w:tcBorders>
            <w:shd w:val="clear" w:color="auto" w:fill="auto"/>
            <w:noWrap/>
            <w:vAlign w:val="center"/>
            <w:hideMark/>
          </w:tcPr>
          <w:p w14:paraId="7F2DE1D2" w14:textId="77777777" w:rsidR="00B43D66" w:rsidRPr="00545EC0" w:rsidRDefault="00B43D66" w:rsidP="00075C40">
            <w:pPr>
              <w:spacing w:line="240" w:lineRule="auto"/>
              <w:jc w:val="center"/>
              <w:rPr>
                <w:rFonts w:cs="Arial"/>
                <w:sz w:val="18"/>
                <w:szCs w:val="18"/>
              </w:rPr>
            </w:pPr>
            <w:r w:rsidRPr="00545EC0">
              <w:rPr>
                <w:rFonts w:cs="Arial"/>
                <w:sz w:val="18"/>
                <w:szCs w:val="18"/>
              </w:rPr>
              <w:t>3,3</w:t>
            </w:r>
          </w:p>
        </w:tc>
        <w:tc>
          <w:tcPr>
            <w:tcW w:w="563" w:type="pct"/>
            <w:tcBorders>
              <w:top w:val="nil"/>
              <w:left w:val="nil"/>
              <w:bottom w:val="single" w:sz="4" w:space="0" w:color="auto"/>
              <w:right w:val="single" w:sz="4" w:space="0" w:color="auto"/>
            </w:tcBorders>
            <w:shd w:val="clear" w:color="auto" w:fill="auto"/>
            <w:noWrap/>
            <w:hideMark/>
          </w:tcPr>
          <w:p w14:paraId="1E3D1F8A" w14:textId="0A7E593C" w:rsidR="00B43D66" w:rsidRPr="00545EC0" w:rsidRDefault="00B43D66" w:rsidP="00075C40">
            <w:pPr>
              <w:spacing w:line="240" w:lineRule="auto"/>
              <w:jc w:val="center"/>
              <w:rPr>
                <w:rFonts w:cs="Arial"/>
                <w:sz w:val="18"/>
                <w:szCs w:val="18"/>
              </w:rPr>
            </w:pPr>
            <w:r w:rsidRPr="00545EC0">
              <w:rPr>
                <w:rFonts w:cs="Arial"/>
              </w:rPr>
              <w:sym w:font="Wingdings" w:char="F0FC"/>
            </w:r>
          </w:p>
        </w:tc>
        <w:tc>
          <w:tcPr>
            <w:tcW w:w="609" w:type="pct"/>
            <w:tcBorders>
              <w:top w:val="nil"/>
              <w:left w:val="nil"/>
              <w:bottom w:val="single" w:sz="4" w:space="0" w:color="auto"/>
              <w:right w:val="single" w:sz="4" w:space="0" w:color="auto"/>
            </w:tcBorders>
            <w:shd w:val="clear" w:color="auto" w:fill="auto"/>
            <w:noWrap/>
            <w:hideMark/>
          </w:tcPr>
          <w:p w14:paraId="29EFBA57" w14:textId="2B2D84CB" w:rsidR="00B43D66" w:rsidRPr="00545EC0" w:rsidRDefault="00B43D66" w:rsidP="00075C40">
            <w:pPr>
              <w:spacing w:line="240" w:lineRule="auto"/>
              <w:jc w:val="center"/>
              <w:rPr>
                <w:rFonts w:cs="Arial"/>
                <w:sz w:val="18"/>
                <w:szCs w:val="18"/>
              </w:rPr>
            </w:pPr>
            <w:r w:rsidRPr="00545EC0">
              <w:rPr>
                <w:rFonts w:cs="Arial"/>
              </w:rPr>
              <w:sym w:font="Wingdings" w:char="F0FC"/>
            </w:r>
          </w:p>
        </w:tc>
        <w:tc>
          <w:tcPr>
            <w:tcW w:w="657" w:type="pct"/>
            <w:tcBorders>
              <w:top w:val="nil"/>
              <w:left w:val="nil"/>
              <w:bottom w:val="single" w:sz="4" w:space="0" w:color="auto"/>
              <w:right w:val="single" w:sz="4" w:space="0" w:color="auto"/>
            </w:tcBorders>
            <w:shd w:val="clear" w:color="auto" w:fill="FFFFFF" w:themeFill="background1"/>
            <w:noWrap/>
            <w:vAlign w:val="center"/>
            <w:hideMark/>
          </w:tcPr>
          <w:p w14:paraId="6CCC60D6" w14:textId="77777777" w:rsidR="00B43D66" w:rsidRPr="00545EC0" w:rsidRDefault="00B43D66" w:rsidP="00075C40">
            <w:pPr>
              <w:spacing w:line="240" w:lineRule="auto"/>
              <w:jc w:val="center"/>
              <w:rPr>
                <w:rFonts w:cs="Arial"/>
                <w:sz w:val="18"/>
                <w:szCs w:val="18"/>
              </w:rPr>
            </w:pPr>
            <w:r w:rsidRPr="00545EC0">
              <w:rPr>
                <w:rFonts w:cs="Arial"/>
                <w:sz w:val="18"/>
                <w:szCs w:val="18"/>
              </w:rPr>
              <w:t>NE</w:t>
            </w:r>
          </w:p>
        </w:tc>
      </w:tr>
      <w:tr w:rsidR="00B43D66" w:rsidRPr="00545EC0" w14:paraId="781D23AD" w14:textId="77777777" w:rsidTr="00C402C7">
        <w:trPr>
          <w:trHeight w:val="284"/>
        </w:trPr>
        <w:tc>
          <w:tcPr>
            <w:tcW w:w="1077" w:type="pct"/>
            <w:tcBorders>
              <w:top w:val="nil"/>
              <w:left w:val="single" w:sz="4" w:space="0" w:color="auto"/>
              <w:bottom w:val="single" w:sz="4" w:space="0" w:color="auto"/>
              <w:right w:val="single" w:sz="4" w:space="0" w:color="auto"/>
            </w:tcBorders>
            <w:shd w:val="clear" w:color="auto" w:fill="auto"/>
            <w:noWrap/>
            <w:vAlign w:val="center"/>
            <w:hideMark/>
          </w:tcPr>
          <w:p w14:paraId="197C2D87" w14:textId="77777777" w:rsidR="00B43D66" w:rsidRPr="00545EC0" w:rsidRDefault="00B43D66" w:rsidP="00075C40">
            <w:pPr>
              <w:spacing w:line="240" w:lineRule="auto"/>
              <w:jc w:val="left"/>
              <w:rPr>
                <w:rFonts w:cs="Arial"/>
                <w:sz w:val="18"/>
                <w:szCs w:val="18"/>
              </w:rPr>
            </w:pPr>
            <w:r w:rsidRPr="00545EC0">
              <w:rPr>
                <w:rFonts w:cs="Arial"/>
                <w:sz w:val="18"/>
                <w:szCs w:val="18"/>
              </w:rPr>
              <w:t>1011 Dolenjski kras</w:t>
            </w:r>
          </w:p>
        </w:tc>
        <w:tc>
          <w:tcPr>
            <w:tcW w:w="899" w:type="pct"/>
            <w:tcBorders>
              <w:top w:val="nil"/>
              <w:left w:val="nil"/>
              <w:bottom w:val="single" w:sz="4" w:space="0" w:color="auto"/>
              <w:right w:val="single" w:sz="4" w:space="0" w:color="auto"/>
            </w:tcBorders>
            <w:shd w:val="clear" w:color="auto" w:fill="auto"/>
            <w:noWrap/>
            <w:vAlign w:val="center"/>
            <w:hideMark/>
          </w:tcPr>
          <w:p w14:paraId="4BEB4F03" w14:textId="77777777" w:rsidR="00B43D66" w:rsidRPr="00545EC0" w:rsidRDefault="00B43D66" w:rsidP="00075C40">
            <w:pPr>
              <w:spacing w:line="240" w:lineRule="auto"/>
              <w:jc w:val="left"/>
              <w:rPr>
                <w:rFonts w:cs="Arial"/>
                <w:sz w:val="18"/>
                <w:szCs w:val="18"/>
              </w:rPr>
            </w:pPr>
            <w:r w:rsidRPr="00545EC0">
              <w:rPr>
                <w:rFonts w:cs="Arial"/>
                <w:sz w:val="18"/>
                <w:szCs w:val="18"/>
              </w:rPr>
              <w:t>Dobličica</w:t>
            </w:r>
          </w:p>
        </w:tc>
        <w:tc>
          <w:tcPr>
            <w:tcW w:w="694" w:type="pct"/>
            <w:tcBorders>
              <w:top w:val="nil"/>
              <w:left w:val="nil"/>
              <w:bottom w:val="single" w:sz="4" w:space="0" w:color="auto"/>
              <w:right w:val="single" w:sz="4" w:space="0" w:color="auto"/>
            </w:tcBorders>
            <w:shd w:val="clear" w:color="auto" w:fill="auto"/>
            <w:noWrap/>
            <w:vAlign w:val="center"/>
            <w:hideMark/>
          </w:tcPr>
          <w:p w14:paraId="1D42FE0F" w14:textId="77777777" w:rsidR="00B43D66" w:rsidRPr="00545EC0" w:rsidRDefault="00B43D66" w:rsidP="00075C40">
            <w:pPr>
              <w:spacing w:line="240" w:lineRule="auto"/>
              <w:jc w:val="left"/>
              <w:rPr>
                <w:rFonts w:cs="Arial"/>
                <w:sz w:val="18"/>
                <w:szCs w:val="18"/>
              </w:rPr>
            </w:pPr>
            <w:r w:rsidRPr="00545EC0">
              <w:rPr>
                <w:rFonts w:cs="Arial"/>
                <w:sz w:val="18"/>
                <w:szCs w:val="18"/>
              </w:rPr>
              <w:t>Jelšenik</w:t>
            </w:r>
          </w:p>
        </w:tc>
        <w:tc>
          <w:tcPr>
            <w:tcW w:w="500" w:type="pct"/>
            <w:tcBorders>
              <w:top w:val="nil"/>
              <w:left w:val="nil"/>
              <w:bottom w:val="single" w:sz="4" w:space="0" w:color="auto"/>
              <w:right w:val="single" w:sz="4" w:space="0" w:color="auto"/>
            </w:tcBorders>
            <w:shd w:val="clear" w:color="auto" w:fill="auto"/>
            <w:noWrap/>
            <w:vAlign w:val="center"/>
            <w:hideMark/>
          </w:tcPr>
          <w:p w14:paraId="2E19425E" w14:textId="77777777" w:rsidR="00B43D66" w:rsidRPr="00545EC0" w:rsidRDefault="00B43D66" w:rsidP="00075C40">
            <w:pPr>
              <w:spacing w:line="240" w:lineRule="auto"/>
              <w:jc w:val="center"/>
              <w:rPr>
                <w:rFonts w:cs="Arial"/>
                <w:sz w:val="18"/>
                <w:szCs w:val="18"/>
              </w:rPr>
            </w:pPr>
            <w:r w:rsidRPr="00545EC0">
              <w:rPr>
                <w:rFonts w:cs="Arial"/>
                <w:sz w:val="18"/>
                <w:szCs w:val="18"/>
              </w:rPr>
              <w:t>3,65</w:t>
            </w:r>
          </w:p>
        </w:tc>
        <w:tc>
          <w:tcPr>
            <w:tcW w:w="563" w:type="pct"/>
            <w:tcBorders>
              <w:top w:val="nil"/>
              <w:left w:val="nil"/>
              <w:bottom w:val="single" w:sz="4" w:space="0" w:color="auto"/>
              <w:right w:val="single" w:sz="4" w:space="0" w:color="auto"/>
            </w:tcBorders>
            <w:shd w:val="clear" w:color="auto" w:fill="auto"/>
            <w:noWrap/>
            <w:hideMark/>
          </w:tcPr>
          <w:p w14:paraId="1A13DD7A" w14:textId="161EDD7E" w:rsidR="00B43D66" w:rsidRPr="00545EC0" w:rsidRDefault="00B43D66" w:rsidP="00075C40">
            <w:pPr>
              <w:spacing w:line="240" w:lineRule="auto"/>
              <w:jc w:val="center"/>
              <w:rPr>
                <w:rFonts w:cs="Arial"/>
                <w:sz w:val="18"/>
                <w:szCs w:val="18"/>
              </w:rPr>
            </w:pPr>
            <w:r w:rsidRPr="00545EC0">
              <w:rPr>
                <w:rFonts w:cs="Arial"/>
              </w:rPr>
              <w:sym w:font="Wingdings" w:char="F0FC"/>
            </w:r>
          </w:p>
        </w:tc>
        <w:tc>
          <w:tcPr>
            <w:tcW w:w="609" w:type="pct"/>
            <w:tcBorders>
              <w:top w:val="nil"/>
              <w:left w:val="nil"/>
              <w:bottom w:val="single" w:sz="4" w:space="0" w:color="auto"/>
              <w:right w:val="single" w:sz="4" w:space="0" w:color="auto"/>
            </w:tcBorders>
            <w:shd w:val="clear" w:color="auto" w:fill="auto"/>
            <w:noWrap/>
            <w:hideMark/>
          </w:tcPr>
          <w:p w14:paraId="0724562F" w14:textId="638EFE0F" w:rsidR="00B43D66" w:rsidRPr="00545EC0" w:rsidRDefault="00B43D66" w:rsidP="00075C40">
            <w:pPr>
              <w:spacing w:line="240" w:lineRule="auto"/>
              <w:jc w:val="center"/>
              <w:rPr>
                <w:rFonts w:cs="Arial"/>
                <w:sz w:val="18"/>
                <w:szCs w:val="18"/>
              </w:rPr>
            </w:pPr>
            <w:r w:rsidRPr="00545EC0">
              <w:rPr>
                <w:rFonts w:cs="Arial"/>
              </w:rPr>
              <w:sym w:font="Wingdings" w:char="F0FC"/>
            </w:r>
          </w:p>
        </w:tc>
        <w:tc>
          <w:tcPr>
            <w:tcW w:w="657" w:type="pct"/>
            <w:tcBorders>
              <w:top w:val="nil"/>
              <w:left w:val="nil"/>
              <w:bottom w:val="single" w:sz="4" w:space="0" w:color="auto"/>
              <w:right w:val="single" w:sz="4" w:space="0" w:color="auto"/>
            </w:tcBorders>
            <w:shd w:val="clear" w:color="auto" w:fill="FFFFFF" w:themeFill="background1"/>
            <w:noWrap/>
            <w:vAlign w:val="center"/>
            <w:hideMark/>
          </w:tcPr>
          <w:p w14:paraId="180AF9C8" w14:textId="77777777" w:rsidR="00B43D66" w:rsidRPr="00545EC0" w:rsidRDefault="00B43D66" w:rsidP="00075C40">
            <w:pPr>
              <w:spacing w:line="240" w:lineRule="auto"/>
              <w:jc w:val="center"/>
              <w:rPr>
                <w:rFonts w:cs="Arial"/>
                <w:sz w:val="18"/>
                <w:szCs w:val="18"/>
              </w:rPr>
            </w:pPr>
            <w:r w:rsidRPr="00545EC0">
              <w:rPr>
                <w:rFonts w:cs="Arial"/>
                <w:sz w:val="18"/>
                <w:szCs w:val="18"/>
              </w:rPr>
              <w:t>NE</w:t>
            </w:r>
          </w:p>
        </w:tc>
      </w:tr>
    </w:tbl>
    <w:p w14:paraId="10EEA2A1" w14:textId="77777777" w:rsidR="00AA23DA" w:rsidRPr="00545EC0" w:rsidRDefault="00AA23DA" w:rsidP="00AA23DA">
      <w:pPr>
        <w:rPr>
          <w:rFonts w:cs="Arial"/>
          <w:snapToGrid w:val="0"/>
          <w:szCs w:val="22"/>
        </w:rPr>
      </w:pPr>
    </w:p>
    <w:p w14:paraId="2DE1BADA" w14:textId="5402ECC2" w:rsidR="00AA23DA" w:rsidRPr="00545EC0" w:rsidRDefault="00AA23DA" w:rsidP="00AA23DA">
      <w:pPr>
        <w:rPr>
          <w:rFonts w:cs="Arial"/>
          <w:snapToGrid w:val="0"/>
          <w:szCs w:val="22"/>
        </w:rPr>
      </w:pPr>
      <w:r w:rsidRPr="00545EC0">
        <w:rPr>
          <w:rFonts w:cs="Arial"/>
          <w:snapToGrid w:val="0"/>
          <w:szCs w:val="22"/>
        </w:rPr>
        <w:t xml:space="preserve">Povišane vsebnosti nitrata na merilnih mestih </w:t>
      </w:r>
      <w:r w:rsidR="00164188" w:rsidRPr="00545EC0">
        <w:rPr>
          <w:rFonts w:cs="Arial"/>
          <w:snapToGrid w:val="0"/>
          <w:szCs w:val="22"/>
        </w:rPr>
        <w:t xml:space="preserve">Otovški </w:t>
      </w:r>
      <w:r w:rsidRPr="00545EC0">
        <w:rPr>
          <w:rFonts w:cs="Arial"/>
          <w:snapToGrid w:val="0"/>
          <w:szCs w:val="22"/>
        </w:rPr>
        <w:t xml:space="preserve">in </w:t>
      </w:r>
      <w:r w:rsidR="00164188" w:rsidRPr="00545EC0">
        <w:rPr>
          <w:rFonts w:cs="Arial"/>
          <w:snapToGrid w:val="0"/>
          <w:szCs w:val="22"/>
        </w:rPr>
        <w:t xml:space="preserve">Pački </w:t>
      </w:r>
      <w:r w:rsidRPr="00545EC0">
        <w:rPr>
          <w:rFonts w:cs="Arial"/>
          <w:snapToGrid w:val="0"/>
          <w:szCs w:val="22"/>
        </w:rPr>
        <w:t xml:space="preserve">breg ter Vir pri Stični kažejo na obremenjenost zaledja z nitrati. Take koncentracije bi lahko škodovale črnemu in belemu močerilu in kažejo na onesnaženje, ki ga povzroča človekova dejavnost, saj presegajo </w:t>
      </w:r>
      <w:r w:rsidR="00075C40" w:rsidRPr="00545EC0">
        <w:rPr>
          <w:rFonts w:cs="Arial"/>
          <w:snapToGrid w:val="0"/>
          <w:szCs w:val="22"/>
        </w:rPr>
        <w:t xml:space="preserve">s </w:t>
      </w:r>
      <w:r w:rsidR="003905B8" w:rsidRPr="00545EC0">
        <w:rPr>
          <w:rFonts w:cs="Arial"/>
          <w:snapToGrid w:val="0"/>
          <w:szCs w:val="22"/>
        </w:rPr>
        <w:t xml:space="preserve">študijo predlagane vrednosti </w:t>
      </w:r>
      <w:r w:rsidRPr="00545EC0">
        <w:rPr>
          <w:rFonts w:cs="Arial"/>
          <w:snapToGrid w:val="0"/>
          <w:szCs w:val="22"/>
        </w:rPr>
        <w:t>9,2 mgNO</w:t>
      </w:r>
      <w:r w:rsidRPr="00545EC0">
        <w:rPr>
          <w:rFonts w:cs="Arial"/>
          <w:snapToGrid w:val="0"/>
          <w:szCs w:val="22"/>
          <w:vertAlign w:val="subscript"/>
        </w:rPr>
        <w:t>3</w:t>
      </w:r>
      <w:r w:rsidRPr="00545EC0">
        <w:rPr>
          <w:rFonts w:cs="Arial"/>
          <w:snapToGrid w:val="0"/>
          <w:szCs w:val="22"/>
        </w:rPr>
        <w:t>/L.</w:t>
      </w:r>
    </w:p>
    <w:p w14:paraId="47CA1828" w14:textId="77777777" w:rsidR="00AA23DA" w:rsidRPr="00545EC0" w:rsidRDefault="00AA23DA" w:rsidP="00AA23DA">
      <w:pPr>
        <w:rPr>
          <w:rFonts w:cs="Arial"/>
          <w:snapToGrid w:val="0"/>
          <w:szCs w:val="22"/>
        </w:rPr>
      </w:pPr>
    </w:p>
    <w:p w14:paraId="2F0DA401" w14:textId="77777777" w:rsidR="00AA23DA" w:rsidRPr="00545EC0" w:rsidRDefault="00AA23DA" w:rsidP="00AA23DA">
      <w:pPr>
        <w:rPr>
          <w:rFonts w:cs="Arial"/>
          <w:snapToGrid w:val="0"/>
          <w:szCs w:val="22"/>
        </w:rPr>
      </w:pPr>
      <w:r w:rsidRPr="00545EC0">
        <w:rPr>
          <w:rFonts w:cs="Arial"/>
          <w:snapToGrid w:val="0"/>
          <w:szCs w:val="22"/>
        </w:rPr>
        <w:t>Izvir Vir pri Stični (izvir Virskega potoka) je manjši kraški izvir, ki se nahaja južno do Šimenkovega brezna pri Mekinjah nad Stično. S hidrološkim bilančnim izračunom je bilo ocenjeno prispevno zaledje izvira, ki znaša približno 2,3 km</w:t>
      </w:r>
      <w:r w:rsidRPr="00545EC0">
        <w:rPr>
          <w:rFonts w:cs="Arial"/>
          <w:snapToGrid w:val="0"/>
          <w:szCs w:val="22"/>
          <w:vertAlign w:val="superscript"/>
        </w:rPr>
        <w:t>2</w:t>
      </w:r>
      <w:r w:rsidRPr="00545EC0">
        <w:rPr>
          <w:rFonts w:cs="Arial"/>
          <w:snapToGrid w:val="0"/>
          <w:szCs w:val="22"/>
        </w:rPr>
        <w:t>.</w:t>
      </w:r>
      <w:r w:rsidRPr="00545EC0">
        <w:rPr>
          <w:rFonts w:cs="Arial"/>
          <w:b/>
          <w:snapToGrid w:val="0"/>
          <w:szCs w:val="22"/>
          <w:vertAlign w:val="superscript"/>
        </w:rPr>
        <w:t xml:space="preserve"> </w:t>
      </w:r>
      <w:r w:rsidRPr="00545EC0">
        <w:rPr>
          <w:rFonts w:cs="Arial"/>
          <w:snapToGrid w:val="0"/>
          <w:szCs w:val="22"/>
        </w:rPr>
        <w:t xml:space="preserve">Izvira Otovški breg in Pački breg, sta manjša kraška izvira na zahodnem obrobju Bele Krajine. </w:t>
      </w:r>
      <w:r w:rsidRPr="00545EC0">
        <w:rPr>
          <w:rFonts w:cs="Arial"/>
          <w:noProof/>
          <w:snapToGrid w:val="0"/>
          <w:szCs w:val="22"/>
        </w:rPr>
        <w:t>Za Otovški breg je bilo ocenjeno zaledje približno na 1 km</w:t>
      </w:r>
      <w:r w:rsidRPr="00545EC0">
        <w:rPr>
          <w:rFonts w:cs="Arial"/>
          <w:noProof/>
          <w:snapToGrid w:val="0"/>
          <w:szCs w:val="22"/>
          <w:vertAlign w:val="superscript"/>
        </w:rPr>
        <w:t>2</w:t>
      </w:r>
      <w:r w:rsidRPr="00545EC0">
        <w:rPr>
          <w:rFonts w:cs="Arial"/>
          <w:noProof/>
          <w:snapToGrid w:val="0"/>
          <w:szCs w:val="22"/>
        </w:rPr>
        <w:t>, za Pački breg pa približno na 1,5 km</w:t>
      </w:r>
      <w:r w:rsidRPr="00545EC0">
        <w:rPr>
          <w:rFonts w:cs="Arial"/>
          <w:noProof/>
          <w:snapToGrid w:val="0"/>
          <w:szCs w:val="22"/>
          <w:vertAlign w:val="superscript"/>
        </w:rPr>
        <w:t>2</w:t>
      </w:r>
      <w:r w:rsidRPr="00545EC0">
        <w:rPr>
          <w:rFonts w:cs="Arial"/>
          <w:noProof/>
          <w:snapToGrid w:val="0"/>
          <w:szCs w:val="22"/>
        </w:rPr>
        <w:t>. P</w:t>
      </w:r>
      <w:r w:rsidRPr="00545EC0">
        <w:rPr>
          <w:rFonts w:cs="Arial"/>
          <w:snapToGrid w:val="0"/>
          <w:szCs w:val="22"/>
        </w:rPr>
        <w:t xml:space="preserve">o fizikalnih in kemijskih lastnostih vode ter po legi izvirov se lahko sklepa, da dobiva Pački breg vodo iz Otovškega brega. </w:t>
      </w:r>
    </w:p>
    <w:p w14:paraId="39597C4D" w14:textId="77777777" w:rsidR="00AA23DA" w:rsidRPr="00545EC0" w:rsidRDefault="00AA23DA" w:rsidP="00AA23DA">
      <w:pPr>
        <w:rPr>
          <w:rFonts w:cs="Arial"/>
          <w:snapToGrid w:val="0"/>
          <w:szCs w:val="22"/>
        </w:rPr>
      </w:pPr>
    </w:p>
    <w:p w14:paraId="390269D1" w14:textId="19BAFED6" w:rsidR="00AA23DA" w:rsidRPr="00545EC0" w:rsidRDefault="00AA23DA" w:rsidP="00AA23DA">
      <w:pPr>
        <w:rPr>
          <w:rFonts w:cs="Arial"/>
          <w:szCs w:val="22"/>
        </w:rPr>
      </w:pPr>
      <w:r w:rsidRPr="00545EC0">
        <w:rPr>
          <w:rFonts w:cs="Arial"/>
          <w:szCs w:val="22"/>
        </w:rPr>
        <w:t>Vsi trije kraški izviri, v katerih je habitat človeške ribice v neugodnem stanju</w:t>
      </w:r>
      <w:r w:rsidR="00B37560" w:rsidRPr="00545EC0">
        <w:rPr>
          <w:rFonts w:cs="Arial"/>
          <w:szCs w:val="22"/>
        </w:rPr>
        <w:t>,</w:t>
      </w:r>
      <w:r w:rsidRPr="00545EC0">
        <w:rPr>
          <w:rFonts w:cs="Arial"/>
          <w:szCs w:val="22"/>
        </w:rPr>
        <w:t xml:space="preserve"> nimajo velikih vplivnih, oziroma napajalnih območij znotraj vodnega telesa Dolenjski kras, katerega površina znaša kar 3.355,0 km</w:t>
      </w:r>
      <w:r w:rsidRPr="00545EC0">
        <w:rPr>
          <w:rFonts w:cs="Arial"/>
          <w:szCs w:val="22"/>
          <w:vertAlign w:val="superscript"/>
        </w:rPr>
        <w:t>2</w:t>
      </w:r>
      <w:r w:rsidRPr="00545EC0">
        <w:rPr>
          <w:rFonts w:cs="Arial"/>
          <w:szCs w:val="22"/>
        </w:rPr>
        <w:t xml:space="preserve">. Iz tega lahko sklepamo, da je onesnaženje lokalnega značaja in ne presega 30% volumna vodnega telesa, zato ostaja kemijsko stanje za vodno telo Dolenjski kras dobro. </w:t>
      </w:r>
    </w:p>
    <w:p w14:paraId="2CA25A95" w14:textId="77777777" w:rsidR="00AA23DA" w:rsidRPr="00545EC0" w:rsidRDefault="00AA23DA" w:rsidP="00AA23DA">
      <w:pPr>
        <w:rPr>
          <w:rFonts w:cs="Arial"/>
        </w:rPr>
      </w:pPr>
    </w:p>
    <w:p w14:paraId="6B79CFEE" w14:textId="77777777" w:rsidR="00AA23DA" w:rsidRPr="00545EC0" w:rsidRDefault="00AA23DA" w:rsidP="00AA23DA">
      <w:pPr>
        <w:rPr>
          <w:rFonts w:cs="Arial"/>
          <w:b/>
        </w:rPr>
      </w:pPr>
      <w:r w:rsidRPr="00545EC0">
        <w:rPr>
          <w:rFonts w:cs="Arial"/>
          <w:b/>
        </w:rPr>
        <w:t>Preizkus 4: Slabšanje kakovosti pitne vode</w:t>
      </w:r>
    </w:p>
    <w:p w14:paraId="3B2ADA71" w14:textId="77777777" w:rsidR="00AA23DA" w:rsidRPr="00545EC0" w:rsidRDefault="00AA23DA" w:rsidP="00AA23DA">
      <w:pPr>
        <w:rPr>
          <w:rFonts w:cs="Arial"/>
        </w:rPr>
      </w:pPr>
    </w:p>
    <w:p w14:paraId="1E25500E" w14:textId="4B9E03B2" w:rsidR="00AA23DA" w:rsidRPr="00545EC0" w:rsidRDefault="00AA23DA" w:rsidP="00AA23DA">
      <w:pPr>
        <w:rPr>
          <w:rFonts w:cs="Arial"/>
        </w:rPr>
      </w:pPr>
      <w:r w:rsidRPr="00545EC0">
        <w:rPr>
          <w:rFonts w:cs="Arial"/>
        </w:rPr>
        <w:lastRenderedPageBreak/>
        <w:t>Na črpališču Skorba v globokem vodonosniku narašča vsebnost nitratov, vendar pa naraščajoče vsebnosti zaenkrat še niso razlog za dodatno obdelavo s</w:t>
      </w:r>
      <w:r w:rsidR="00630B56" w:rsidRPr="00545EC0">
        <w:rPr>
          <w:rFonts w:cs="Arial"/>
        </w:rPr>
        <w:t xml:space="preserve">urove vode. </w:t>
      </w:r>
    </w:p>
    <w:p w14:paraId="187CE734" w14:textId="77777777" w:rsidR="00AA23DA" w:rsidRPr="00545EC0" w:rsidRDefault="00AA23DA" w:rsidP="00AA23DA">
      <w:pPr>
        <w:rPr>
          <w:rFonts w:cs="Arial"/>
        </w:rPr>
      </w:pPr>
    </w:p>
    <w:p w14:paraId="4932C669" w14:textId="08009E4B" w:rsidR="00AA23DA" w:rsidRPr="00545EC0" w:rsidRDefault="00630B56" w:rsidP="00AA23DA">
      <w:pPr>
        <w:rPr>
          <w:rFonts w:cs="Arial"/>
          <w:b/>
        </w:rPr>
      </w:pPr>
      <w:r w:rsidRPr="00545EC0">
        <w:rPr>
          <w:rFonts w:cs="Arial"/>
          <w:b/>
        </w:rPr>
        <w:t xml:space="preserve">Ocena trendov </w:t>
      </w:r>
    </w:p>
    <w:p w14:paraId="3BF28735" w14:textId="0F41B761" w:rsidR="00AA23DA" w:rsidRPr="00545EC0" w:rsidRDefault="00AA23DA" w:rsidP="00AA23DA">
      <w:pPr>
        <w:spacing w:before="120"/>
        <w:rPr>
          <w:rFonts w:cs="Arial"/>
          <w:szCs w:val="22"/>
        </w:rPr>
      </w:pPr>
      <w:r w:rsidRPr="00545EC0">
        <w:rPr>
          <w:rFonts w:cs="Arial"/>
          <w:szCs w:val="22"/>
        </w:rPr>
        <w:t>Trend</w:t>
      </w:r>
      <w:r w:rsidR="00075C40" w:rsidRPr="00545EC0">
        <w:rPr>
          <w:rFonts w:cs="Arial"/>
          <w:szCs w:val="22"/>
        </w:rPr>
        <w:t>i</w:t>
      </w:r>
      <w:r w:rsidRPr="00545EC0">
        <w:rPr>
          <w:rFonts w:cs="Arial"/>
          <w:szCs w:val="22"/>
        </w:rPr>
        <w:t xml:space="preserve"> onesnaževal v podzemni vodi </w:t>
      </w:r>
      <w:r w:rsidR="003905B8" w:rsidRPr="00545EC0">
        <w:rPr>
          <w:rFonts w:cs="Arial"/>
          <w:szCs w:val="22"/>
        </w:rPr>
        <w:t>so se</w:t>
      </w:r>
      <w:r w:rsidR="0059464F" w:rsidRPr="00545EC0">
        <w:rPr>
          <w:rFonts w:cs="Arial"/>
          <w:szCs w:val="22"/>
        </w:rPr>
        <w:t xml:space="preserve"> </w:t>
      </w:r>
      <w:r w:rsidRPr="00545EC0">
        <w:rPr>
          <w:rFonts w:cs="Arial"/>
          <w:szCs w:val="22"/>
        </w:rPr>
        <w:t xml:space="preserve">ugotavljali znotraj vodnih teles podzemne vode na tistih merilnih mestih, za katera je na voljo dovolj dolg niz podatkov. Statistično značilnost trendov </w:t>
      </w:r>
      <w:r w:rsidR="003905B8" w:rsidRPr="00545EC0">
        <w:rPr>
          <w:rFonts w:cs="Arial"/>
          <w:szCs w:val="22"/>
        </w:rPr>
        <w:t>se je</w:t>
      </w:r>
      <w:r w:rsidRPr="00545EC0">
        <w:rPr>
          <w:rFonts w:cs="Arial"/>
          <w:szCs w:val="22"/>
        </w:rPr>
        <w:t xml:space="preserve"> ugotavljal</w:t>
      </w:r>
      <w:r w:rsidR="003905B8" w:rsidRPr="00545EC0">
        <w:rPr>
          <w:rFonts w:cs="Arial"/>
          <w:szCs w:val="22"/>
        </w:rPr>
        <w:t>o</w:t>
      </w:r>
      <w:r w:rsidRPr="00545EC0">
        <w:rPr>
          <w:rFonts w:cs="Arial"/>
          <w:szCs w:val="22"/>
        </w:rPr>
        <w:t xml:space="preserve"> z neparametričnim Spearmanovim razvrstitvenim korelacijskim koeficientom r</w:t>
      </w:r>
      <w:r w:rsidRPr="00545EC0">
        <w:rPr>
          <w:rFonts w:cs="Arial"/>
          <w:szCs w:val="22"/>
          <w:vertAlign w:val="superscript"/>
        </w:rPr>
        <w:t>'</w:t>
      </w:r>
      <w:r w:rsidRPr="00545EC0">
        <w:rPr>
          <w:rFonts w:cs="Arial"/>
          <w:szCs w:val="22"/>
        </w:rPr>
        <w:t xml:space="preserve"> s stopnjo zaupanja testa (α) = 0,05. V </w:t>
      </w:r>
      <w:r w:rsidR="00164188" w:rsidRPr="00545EC0">
        <w:rPr>
          <w:rFonts w:cs="Arial"/>
          <w:szCs w:val="22"/>
        </w:rPr>
        <w:t>preglednici (</w:t>
      </w:r>
      <w:r w:rsidR="00630B56" w:rsidRPr="00545EC0">
        <w:rPr>
          <w:rFonts w:cs="Arial"/>
          <w:szCs w:val="22"/>
        </w:rPr>
        <w:fldChar w:fldCharType="begin"/>
      </w:r>
      <w:r w:rsidR="00630B56" w:rsidRPr="00545EC0">
        <w:rPr>
          <w:rFonts w:cs="Arial"/>
          <w:szCs w:val="22"/>
        </w:rPr>
        <w:instrText xml:space="preserve"> REF _Ref75766881 \h  \* MERGEFORMAT </w:instrText>
      </w:r>
      <w:r w:rsidR="00630B56" w:rsidRPr="00545EC0">
        <w:rPr>
          <w:rFonts w:cs="Arial"/>
          <w:szCs w:val="22"/>
        </w:rPr>
      </w:r>
      <w:r w:rsidR="00630B56" w:rsidRPr="00545EC0">
        <w:rPr>
          <w:rFonts w:cs="Arial"/>
          <w:szCs w:val="22"/>
        </w:rPr>
        <w:fldChar w:fldCharType="separate"/>
      </w:r>
      <w:r w:rsidR="002F3E43" w:rsidRPr="00545EC0">
        <w:rPr>
          <w:szCs w:val="20"/>
        </w:rPr>
        <w:t xml:space="preserve">Preglednica </w:t>
      </w:r>
      <w:r w:rsidR="002F3E43">
        <w:rPr>
          <w:noProof/>
          <w:szCs w:val="20"/>
        </w:rPr>
        <w:t>3</w:t>
      </w:r>
      <w:r w:rsidR="002F3E43" w:rsidRPr="00545EC0">
        <w:rPr>
          <w:noProof/>
          <w:szCs w:val="20"/>
        </w:rPr>
        <w:noBreakHyphen/>
      </w:r>
      <w:r w:rsidR="002F3E43">
        <w:rPr>
          <w:noProof/>
          <w:szCs w:val="20"/>
        </w:rPr>
        <w:t>19</w:t>
      </w:r>
      <w:r w:rsidR="00630B56" w:rsidRPr="00545EC0">
        <w:rPr>
          <w:rFonts w:cs="Arial"/>
          <w:szCs w:val="22"/>
        </w:rPr>
        <w:fldChar w:fldCharType="end"/>
      </w:r>
      <w:r w:rsidR="00164188" w:rsidRPr="00545EC0">
        <w:rPr>
          <w:rFonts w:cs="Arial"/>
          <w:szCs w:val="22"/>
        </w:rPr>
        <w:t>)</w:t>
      </w:r>
      <w:r w:rsidRPr="00545EC0">
        <w:rPr>
          <w:rFonts w:cs="Arial"/>
          <w:szCs w:val="22"/>
        </w:rPr>
        <w:t xml:space="preserve"> so prikazani trendi nitrata in atrazina, na vodnih telesih, kjer je bil s 95% verjetnostjo ugotovljen statistično značilen trend</w:t>
      </w:r>
      <w:r w:rsidRPr="00545EC0">
        <w:rPr>
          <w:rFonts w:cs="Arial"/>
          <w:b/>
          <w:bCs/>
          <w:szCs w:val="22"/>
        </w:rPr>
        <w:t xml:space="preserve">. </w:t>
      </w:r>
    </w:p>
    <w:p w14:paraId="6239C6A8" w14:textId="77777777" w:rsidR="00AA23DA" w:rsidRPr="00545EC0" w:rsidRDefault="00AA23DA" w:rsidP="00AA23DA">
      <w:pPr>
        <w:rPr>
          <w:rFonts w:cs="Arial"/>
        </w:rPr>
      </w:pPr>
    </w:p>
    <w:p w14:paraId="5D870308" w14:textId="1A858162" w:rsidR="00AA23DA" w:rsidRPr="00545EC0" w:rsidRDefault="00AA23DA" w:rsidP="00AA23DA">
      <w:pPr>
        <w:pStyle w:val="Napis"/>
        <w:spacing w:after="60"/>
        <w:ind w:left="1174" w:hanging="1174"/>
        <w:rPr>
          <w:b/>
          <w:noProof/>
          <w:szCs w:val="20"/>
        </w:rPr>
      </w:pPr>
      <w:bookmarkStart w:id="591" w:name="_Ref75766881"/>
      <w:bookmarkStart w:id="592" w:name="_Toc75762762"/>
      <w:r w:rsidRPr="00545EC0">
        <w:rPr>
          <w:szCs w:val="20"/>
        </w:rPr>
        <w:t xml:space="preserve">Preglednica </w:t>
      </w:r>
      <w:r w:rsidR="001A7511" w:rsidRPr="00545EC0">
        <w:rPr>
          <w:szCs w:val="20"/>
        </w:rPr>
        <w:fldChar w:fldCharType="begin"/>
      </w:r>
      <w:r w:rsidR="001A7511" w:rsidRPr="00545EC0">
        <w:rPr>
          <w:szCs w:val="20"/>
        </w:rPr>
        <w:instrText xml:space="preserve"> STYLEREF 1 \s </w:instrText>
      </w:r>
      <w:r w:rsidR="001A7511" w:rsidRPr="00545EC0">
        <w:rPr>
          <w:szCs w:val="20"/>
        </w:rPr>
        <w:fldChar w:fldCharType="separate"/>
      </w:r>
      <w:r w:rsidR="002F3E43">
        <w:rPr>
          <w:noProof/>
          <w:szCs w:val="20"/>
        </w:rPr>
        <w:t>3</w:t>
      </w:r>
      <w:r w:rsidR="001A7511" w:rsidRPr="00545EC0">
        <w:rPr>
          <w:szCs w:val="20"/>
        </w:rPr>
        <w:fldChar w:fldCharType="end"/>
      </w:r>
      <w:r w:rsidR="001A7511" w:rsidRPr="00545EC0">
        <w:rPr>
          <w:szCs w:val="20"/>
        </w:rPr>
        <w:noBreakHyphen/>
      </w:r>
      <w:r w:rsidR="001A7511" w:rsidRPr="00545EC0">
        <w:rPr>
          <w:szCs w:val="20"/>
        </w:rPr>
        <w:fldChar w:fldCharType="begin"/>
      </w:r>
      <w:r w:rsidR="001A7511" w:rsidRPr="00545EC0">
        <w:rPr>
          <w:szCs w:val="20"/>
        </w:rPr>
        <w:instrText xml:space="preserve"> SEQ Preglednica \* ARABIC \s 1 </w:instrText>
      </w:r>
      <w:r w:rsidR="001A7511" w:rsidRPr="00545EC0">
        <w:rPr>
          <w:szCs w:val="20"/>
        </w:rPr>
        <w:fldChar w:fldCharType="separate"/>
      </w:r>
      <w:r w:rsidR="002F3E43">
        <w:rPr>
          <w:noProof/>
          <w:szCs w:val="20"/>
        </w:rPr>
        <w:t>19</w:t>
      </w:r>
      <w:r w:rsidR="001A7511" w:rsidRPr="00545EC0">
        <w:rPr>
          <w:szCs w:val="20"/>
        </w:rPr>
        <w:fldChar w:fldCharType="end"/>
      </w:r>
      <w:bookmarkEnd w:id="591"/>
      <w:r w:rsidRPr="00545EC0">
        <w:rPr>
          <w:noProof/>
          <w:szCs w:val="20"/>
        </w:rPr>
        <w:t>:</w:t>
      </w:r>
      <w:r w:rsidRPr="00545EC0">
        <w:rPr>
          <w:noProof/>
          <w:szCs w:val="20"/>
        </w:rPr>
        <w:tab/>
        <w:t>Statistično značilni trendi v vodnih telesih podzemne vode v obdobju 1998 - 2019</w:t>
      </w:r>
      <w:bookmarkEnd w:id="592"/>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8"/>
        <w:gridCol w:w="3543"/>
        <w:gridCol w:w="1276"/>
        <w:gridCol w:w="1701"/>
        <w:gridCol w:w="1559"/>
      </w:tblGrid>
      <w:tr w:rsidR="003122F4" w:rsidRPr="00545EC0" w14:paraId="3F22FF37" w14:textId="77777777" w:rsidTr="004C5428">
        <w:trPr>
          <w:trHeight w:val="284"/>
          <w:tblHeader/>
        </w:trPr>
        <w:tc>
          <w:tcPr>
            <w:tcW w:w="988" w:type="dxa"/>
            <w:shd w:val="clear" w:color="auto" w:fill="E7E6E6"/>
            <w:vAlign w:val="center"/>
            <w:hideMark/>
          </w:tcPr>
          <w:p w14:paraId="1F8C283E" w14:textId="77777777" w:rsidR="00AA23DA" w:rsidRPr="00545EC0" w:rsidRDefault="00AA23DA" w:rsidP="004C5428">
            <w:pPr>
              <w:jc w:val="center"/>
              <w:rPr>
                <w:rFonts w:cs="Arial"/>
                <w:b/>
                <w:bCs/>
                <w:sz w:val="18"/>
                <w:szCs w:val="18"/>
              </w:rPr>
            </w:pPr>
            <w:r w:rsidRPr="00545EC0">
              <w:rPr>
                <w:rFonts w:cs="Arial"/>
                <w:b/>
                <w:bCs/>
                <w:sz w:val="18"/>
                <w:szCs w:val="18"/>
              </w:rPr>
              <w:t>Šifra vodnega telesa</w:t>
            </w:r>
          </w:p>
        </w:tc>
        <w:tc>
          <w:tcPr>
            <w:tcW w:w="3543" w:type="dxa"/>
            <w:shd w:val="clear" w:color="auto" w:fill="E7E6E6"/>
            <w:vAlign w:val="center"/>
            <w:hideMark/>
          </w:tcPr>
          <w:p w14:paraId="5EF0A04C" w14:textId="77777777" w:rsidR="00AA23DA" w:rsidRPr="00545EC0" w:rsidRDefault="00AA23DA" w:rsidP="004C5428">
            <w:pPr>
              <w:rPr>
                <w:rFonts w:cs="Arial"/>
                <w:b/>
                <w:bCs/>
                <w:sz w:val="18"/>
                <w:szCs w:val="18"/>
              </w:rPr>
            </w:pPr>
            <w:r w:rsidRPr="00545EC0">
              <w:rPr>
                <w:rFonts w:cs="Arial"/>
                <w:b/>
                <w:bCs/>
                <w:sz w:val="18"/>
                <w:szCs w:val="18"/>
              </w:rPr>
              <w:t>Ime vodnega telesa</w:t>
            </w:r>
          </w:p>
        </w:tc>
        <w:tc>
          <w:tcPr>
            <w:tcW w:w="1276" w:type="dxa"/>
            <w:shd w:val="clear" w:color="auto" w:fill="E7E6E6"/>
            <w:noWrap/>
            <w:vAlign w:val="center"/>
            <w:hideMark/>
          </w:tcPr>
          <w:p w14:paraId="50427247" w14:textId="77777777" w:rsidR="00AA23DA" w:rsidRPr="00545EC0" w:rsidRDefault="00AA23DA" w:rsidP="004C5428">
            <w:pPr>
              <w:jc w:val="center"/>
              <w:rPr>
                <w:rFonts w:cs="Arial"/>
                <w:b/>
                <w:bCs/>
                <w:sz w:val="18"/>
                <w:szCs w:val="18"/>
              </w:rPr>
            </w:pPr>
            <w:r w:rsidRPr="00545EC0">
              <w:rPr>
                <w:rFonts w:cs="Arial"/>
                <w:b/>
                <w:bCs/>
                <w:sz w:val="18"/>
                <w:szCs w:val="18"/>
              </w:rPr>
              <w:t>Obdobje</w:t>
            </w:r>
          </w:p>
        </w:tc>
        <w:tc>
          <w:tcPr>
            <w:tcW w:w="1701" w:type="dxa"/>
            <w:shd w:val="clear" w:color="auto" w:fill="E7E6E6"/>
            <w:vAlign w:val="center"/>
            <w:hideMark/>
          </w:tcPr>
          <w:p w14:paraId="2026F280" w14:textId="77777777" w:rsidR="00AA23DA" w:rsidRPr="00545EC0" w:rsidRDefault="00AA23DA" w:rsidP="004C5428">
            <w:pPr>
              <w:jc w:val="center"/>
              <w:rPr>
                <w:rFonts w:cs="Arial"/>
                <w:b/>
                <w:bCs/>
                <w:sz w:val="18"/>
                <w:szCs w:val="18"/>
              </w:rPr>
            </w:pPr>
            <w:r w:rsidRPr="00545EC0">
              <w:rPr>
                <w:rFonts w:cs="Arial"/>
                <w:b/>
                <w:bCs/>
                <w:sz w:val="18"/>
                <w:szCs w:val="18"/>
              </w:rPr>
              <w:t>Trend nitrata</w:t>
            </w:r>
          </w:p>
        </w:tc>
        <w:tc>
          <w:tcPr>
            <w:tcW w:w="1559" w:type="dxa"/>
            <w:shd w:val="clear" w:color="auto" w:fill="E7E6E6"/>
            <w:vAlign w:val="center"/>
            <w:hideMark/>
          </w:tcPr>
          <w:p w14:paraId="1131D0C6" w14:textId="77777777" w:rsidR="00AA23DA" w:rsidRPr="00545EC0" w:rsidRDefault="00AA23DA" w:rsidP="004C5428">
            <w:pPr>
              <w:jc w:val="center"/>
              <w:rPr>
                <w:rFonts w:cs="Arial"/>
                <w:b/>
                <w:bCs/>
                <w:sz w:val="18"/>
                <w:szCs w:val="18"/>
              </w:rPr>
            </w:pPr>
            <w:r w:rsidRPr="00545EC0">
              <w:rPr>
                <w:rFonts w:cs="Arial"/>
                <w:b/>
                <w:bCs/>
                <w:sz w:val="18"/>
                <w:szCs w:val="18"/>
              </w:rPr>
              <w:t>Trend atrazina</w:t>
            </w:r>
          </w:p>
        </w:tc>
      </w:tr>
      <w:tr w:rsidR="003122F4" w:rsidRPr="00545EC0" w14:paraId="6BE349FD" w14:textId="77777777" w:rsidTr="0061507B">
        <w:trPr>
          <w:trHeight w:val="284"/>
        </w:trPr>
        <w:tc>
          <w:tcPr>
            <w:tcW w:w="988" w:type="dxa"/>
            <w:shd w:val="clear" w:color="000000" w:fill="FFFFFF"/>
            <w:noWrap/>
            <w:vAlign w:val="center"/>
          </w:tcPr>
          <w:p w14:paraId="3CA5BF2A" w14:textId="77777777" w:rsidR="00AA23DA" w:rsidRPr="00545EC0" w:rsidRDefault="00AA23DA" w:rsidP="004C5428">
            <w:pPr>
              <w:jc w:val="center"/>
              <w:rPr>
                <w:rFonts w:cs="Arial"/>
                <w:sz w:val="18"/>
                <w:szCs w:val="18"/>
              </w:rPr>
            </w:pPr>
            <w:r w:rsidRPr="00545EC0">
              <w:rPr>
                <w:rFonts w:cs="Arial"/>
                <w:sz w:val="18"/>
                <w:szCs w:val="18"/>
              </w:rPr>
              <w:t>1001</w:t>
            </w:r>
          </w:p>
        </w:tc>
        <w:tc>
          <w:tcPr>
            <w:tcW w:w="3543" w:type="dxa"/>
            <w:shd w:val="clear" w:color="000000" w:fill="FFFFFF"/>
            <w:noWrap/>
            <w:vAlign w:val="center"/>
          </w:tcPr>
          <w:p w14:paraId="3DA39476" w14:textId="77777777" w:rsidR="00AA23DA" w:rsidRPr="00545EC0" w:rsidRDefault="00AA23DA" w:rsidP="004C5428">
            <w:pPr>
              <w:rPr>
                <w:rFonts w:cs="Arial"/>
                <w:sz w:val="18"/>
                <w:szCs w:val="18"/>
              </w:rPr>
            </w:pPr>
            <w:r w:rsidRPr="00545EC0">
              <w:rPr>
                <w:rFonts w:cs="Arial"/>
                <w:sz w:val="18"/>
                <w:szCs w:val="18"/>
              </w:rPr>
              <w:t>Savska kotlina in Ljubljansko Barje</w:t>
            </w:r>
          </w:p>
        </w:tc>
        <w:tc>
          <w:tcPr>
            <w:tcW w:w="1276" w:type="dxa"/>
            <w:shd w:val="clear" w:color="auto" w:fill="auto"/>
            <w:noWrap/>
            <w:vAlign w:val="center"/>
          </w:tcPr>
          <w:p w14:paraId="4783436A" w14:textId="77777777" w:rsidR="00AA23DA" w:rsidRPr="00545EC0" w:rsidRDefault="00AA23DA" w:rsidP="004C5428">
            <w:pPr>
              <w:jc w:val="center"/>
              <w:rPr>
                <w:rFonts w:cs="Arial"/>
                <w:sz w:val="18"/>
                <w:szCs w:val="18"/>
              </w:rPr>
            </w:pPr>
            <w:r w:rsidRPr="00545EC0">
              <w:rPr>
                <w:rFonts w:cs="Arial"/>
                <w:sz w:val="18"/>
                <w:szCs w:val="18"/>
              </w:rPr>
              <w:t>1998–2019</w:t>
            </w:r>
          </w:p>
        </w:tc>
        <w:tc>
          <w:tcPr>
            <w:tcW w:w="1701" w:type="dxa"/>
            <w:shd w:val="clear" w:color="auto" w:fill="auto"/>
            <w:noWrap/>
            <w:vAlign w:val="center"/>
          </w:tcPr>
          <w:p w14:paraId="11BE1D77" w14:textId="77777777" w:rsidR="00AA23DA" w:rsidRPr="00545EC0" w:rsidRDefault="00AA23DA" w:rsidP="004C5428">
            <w:pPr>
              <w:jc w:val="center"/>
              <w:rPr>
                <w:rFonts w:cs="Arial"/>
                <w:bCs/>
                <w:sz w:val="18"/>
                <w:szCs w:val="18"/>
              </w:rPr>
            </w:pPr>
            <w:r w:rsidRPr="00545EC0">
              <w:rPr>
                <w:rFonts w:cs="Arial"/>
                <w:sz w:val="18"/>
                <w:szCs w:val="18"/>
              </w:rPr>
              <w:t>TREND PADA</w:t>
            </w:r>
          </w:p>
        </w:tc>
        <w:tc>
          <w:tcPr>
            <w:tcW w:w="1559" w:type="dxa"/>
            <w:shd w:val="clear" w:color="auto" w:fill="auto"/>
            <w:noWrap/>
            <w:vAlign w:val="center"/>
          </w:tcPr>
          <w:p w14:paraId="457D1D8B" w14:textId="77777777" w:rsidR="00AA23DA" w:rsidRPr="00545EC0" w:rsidRDefault="00AA23DA" w:rsidP="004C5428">
            <w:pPr>
              <w:jc w:val="center"/>
              <w:rPr>
                <w:rFonts w:cs="Arial"/>
                <w:sz w:val="18"/>
                <w:szCs w:val="18"/>
              </w:rPr>
            </w:pPr>
            <w:r w:rsidRPr="00545EC0">
              <w:rPr>
                <w:rFonts w:cs="Arial"/>
                <w:sz w:val="18"/>
                <w:szCs w:val="18"/>
              </w:rPr>
              <w:t>-</w:t>
            </w:r>
          </w:p>
        </w:tc>
      </w:tr>
      <w:tr w:rsidR="003122F4" w:rsidRPr="00545EC0" w14:paraId="57770D79" w14:textId="77777777" w:rsidTr="0061507B">
        <w:trPr>
          <w:trHeight w:val="284"/>
        </w:trPr>
        <w:tc>
          <w:tcPr>
            <w:tcW w:w="988" w:type="dxa"/>
            <w:shd w:val="clear" w:color="000000" w:fill="FFFFFF"/>
            <w:noWrap/>
            <w:vAlign w:val="center"/>
          </w:tcPr>
          <w:p w14:paraId="099A6FB7" w14:textId="77777777" w:rsidR="00AA23DA" w:rsidRPr="00545EC0" w:rsidRDefault="00AA23DA" w:rsidP="004C5428">
            <w:pPr>
              <w:jc w:val="center"/>
              <w:rPr>
                <w:rFonts w:cs="Arial"/>
                <w:sz w:val="18"/>
                <w:szCs w:val="18"/>
              </w:rPr>
            </w:pPr>
            <w:r w:rsidRPr="00545EC0">
              <w:rPr>
                <w:rFonts w:cs="Arial"/>
                <w:sz w:val="18"/>
                <w:szCs w:val="18"/>
              </w:rPr>
              <w:t>1002</w:t>
            </w:r>
          </w:p>
        </w:tc>
        <w:tc>
          <w:tcPr>
            <w:tcW w:w="3543" w:type="dxa"/>
            <w:shd w:val="clear" w:color="000000" w:fill="FFFFFF"/>
            <w:noWrap/>
            <w:vAlign w:val="center"/>
          </w:tcPr>
          <w:p w14:paraId="04BC7C40" w14:textId="77777777" w:rsidR="00AA23DA" w:rsidRPr="00545EC0" w:rsidRDefault="00AA23DA" w:rsidP="004C5428">
            <w:pPr>
              <w:rPr>
                <w:rFonts w:cs="Arial"/>
                <w:sz w:val="18"/>
                <w:szCs w:val="18"/>
              </w:rPr>
            </w:pPr>
            <w:r w:rsidRPr="00545EC0">
              <w:rPr>
                <w:rFonts w:cs="Arial"/>
                <w:sz w:val="18"/>
                <w:szCs w:val="18"/>
              </w:rPr>
              <w:t>Savinjska kotlina</w:t>
            </w:r>
          </w:p>
        </w:tc>
        <w:tc>
          <w:tcPr>
            <w:tcW w:w="1276" w:type="dxa"/>
            <w:shd w:val="clear" w:color="auto" w:fill="auto"/>
            <w:noWrap/>
            <w:vAlign w:val="center"/>
          </w:tcPr>
          <w:p w14:paraId="4DF762A4" w14:textId="77777777" w:rsidR="00AA23DA" w:rsidRPr="00545EC0" w:rsidRDefault="00AA23DA" w:rsidP="004C5428">
            <w:pPr>
              <w:jc w:val="center"/>
              <w:rPr>
                <w:rFonts w:cs="Arial"/>
                <w:sz w:val="18"/>
                <w:szCs w:val="18"/>
              </w:rPr>
            </w:pPr>
            <w:r w:rsidRPr="00545EC0">
              <w:rPr>
                <w:rFonts w:cs="Arial"/>
                <w:sz w:val="18"/>
                <w:szCs w:val="18"/>
              </w:rPr>
              <w:t>1998–2019</w:t>
            </w:r>
          </w:p>
        </w:tc>
        <w:tc>
          <w:tcPr>
            <w:tcW w:w="1701" w:type="dxa"/>
            <w:shd w:val="clear" w:color="auto" w:fill="auto"/>
            <w:noWrap/>
            <w:vAlign w:val="center"/>
          </w:tcPr>
          <w:p w14:paraId="268FFAAE" w14:textId="77777777" w:rsidR="00AA23DA" w:rsidRPr="00545EC0" w:rsidRDefault="00AA23DA" w:rsidP="004C5428">
            <w:pPr>
              <w:jc w:val="center"/>
              <w:rPr>
                <w:rFonts w:cs="Arial"/>
                <w:bCs/>
                <w:sz w:val="18"/>
                <w:szCs w:val="18"/>
              </w:rPr>
            </w:pPr>
            <w:r w:rsidRPr="00545EC0">
              <w:rPr>
                <w:rFonts w:cs="Arial"/>
                <w:sz w:val="18"/>
                <w:szCs w:val="18"/>
              </w:rPr>
              <w:t>TREND PADA</w:t>
            </w:r>
          </w:p>
        </w:tc>
        <w:tc>
          <w:tcPr>
            <w:tcW w:w="1559" w:type="dxa"/>
            <w:shd w:val="clear" w:color="auto" w:fill="auto"/>
            <w:noWrap/>
            <w:vAlign w:val="center"/>
          </w:tcPr>
          <w:p w14:paraId="7C90BB86" w14:textId="77777777" w:rsidR="00AA23DA" w:rsidRPr="00545EC0" w:rsidRDefault="00AA23DA" w:rsidP="004C5428">
            <w:pPr>
              <w:jc w:val="center"/>
              <w:rPr>
                <w:rFonts w:cs="Arial"/>
                <w:sz w:val="18"/>
                <w:szCs w:val="18"/>
              </w:rPr>
            </w:pPr>
            <w:r w:rsidRPr="00545EC0">
              <w:rPr>
                <w:rFonts w:cs="Arial"/>
                <w:sz w:val="18"/>
                <w:szCs w:val="18"/>
              </w:rPr>
              <w:t>-</w:t>
            </w:r>
          </w:p>
        </w:tc>
      </w:tr>
      <w:tr w:rsidR="003122F4" w:rsidRPr="00545EC0" w14:paraId="58CA5FFE" w14:textId="77777777" w:rsidTr="004C5428">
        <w:trPr>
          <w:trHeight w:val="284"/>
        </w:trPr>
        <w:tc>
          <w:tcPr>
            <w:tcW w:w="988" w:type="dxa"/>
            <w:shd w:val="clear" w:color="000000" w:fill="FFFFFF"/>
            <w:noWrap/>
            <w:vAlign w:val="center"/>
          </w:tcPr>
          <w:p w14:paraId="0D4CB64C" w14:textId="77777777" w:rsidR="00AA23DA" w:rsidRPr="00545EC0" w:rsidRDefault="00AA23DA" w:rsidP="004C5428">
            <w:pPr>
              <w:jc w:val="center"/>
              <w:rPr>
                <w:rFonts w:cs="Arial"/>
                <w:sz w:val="18"/>
                <w:szCs w:val="18"/>
              </w:rPr>
            </w:pPr>
            <w:r w:rsidRPr="00545EC0">
              <w:rPr>
                <w:rFonts w:cs="Arial"/>
                <w:sz w:val="18"/>
                <w:szCs w:val="18"/>
              </w:rPr>
              <w:t>1003</w:t>
            </w:r>
          </w:p>
        </w:tc>
        <w:tc>
          <w:tcPr>
            <w:tcW w:w="3543" w:type="dxa"/>
            <w:shd w:val="clear" w:color="000000" w:fill="FFFFFF"/>
            <w:noWrap/>
            <w:vAlign w:val="center"/>
          </w:tcPr>
          <w:p w14:paraId="52FA4532" w14:textId="77777777" w:rsidR="00AA23DA" w:rsidRPr="00545EC0" w:rsidRDefault="00AA23DA" w:rsidP="004C5428">
            <w:pPr>
              <w:rPr>
                <w:rFonts w:cs="Arial"/>
                <w:sz w:val="18"/>
                <w:szCs w:val="18"/>
              </w:rPr>
            </w:pPr>
            <w:r w:rsidRPr="00545EC0">
              <w:rPr>
                <w:rFonts w:cs="Arial"/>
                <w:sz w:val="18"/>
                <w:szCs w:val="18"/>
              </w:rPr>
              <w:t>Krška kotlina</w:t>
            </w:r>
          </w:p>
        </w:tc>
        <w:tc>
          <w:tcPr>
            <w:tcW w:w="1276" w:type="dxa"/>
            <w:shd w:val="clear" w:color="auto" w:fill="auto"/>
            <w:noWrap/>
            <w:vAlign w:val="center"/>
          </w:tcPr>
          <w:p w14:paraId="663D62DB" w14:textId="77777777" w:rsidR="00AA23DA" w:rsidRPr="00545EC0" w:rsidRDefault="00AA23DA" w:rsidP="004C5428">
            <w:pPr>
              <w:jc w:val="center"/>
              <w:rPr>
                <w:rFonts w:cs="Arial"/>
                <w:sz w:val="18"/>
                <w:szCs w:val="18"/>
              </w:rPr>
            </w:pPr>
            <w:r w:rsidRPr="00545EC0">
              <w:rPr>
                <w:rFonts w:cs="Arial"/>
                <w:sz w:val="18"/>
                <w:szCs w:val="18"/>
              </w:rPr>
              <w:t>1998–2019</w:t>
            </w:r>
          </w:p>
        </w:tc>
        <w:tc>
          <w:tcPr>
            <w:tcW w:w="1701" w:type="dxa"/>
            <w:shd w:val="clear" w:color="auto" w:fill="auto"/>
            <w:noWrap/>
            <w:vAlign w:val="center"/>
          </w:tcPr>
          <w:p w14:paraId="5C0667A3" w14:textId="77777777" w:rsidR="00AA23DA" w:rsidRPr="00545EC0" w:rsidRDefault="00AA23DA" w:rsidP="004C5428">
            <w:pPr>
              <w:jc w:val="center"/>
              <w:rPr>
                <w:rFonts w:cs="Arial"/>
                <w:bCs/>
                <w:sz w:val="18"/>
                <w:szCs w:val="18"/>
              </w:rPr>
            </w:pPr>
            <w:r w:rsidRPr="00545EC0">
              <w:rPr>
                <w:rFonts w:cs="Arial"/>
                <w:sz w:val="18"/>
                <w:szCs w:val="18"/>
              </w:rPr>
              <w:t>NI TRENDA</w:t>
            </w:r>
          </w:p>
        </w:tc>
        <w:tc>
          <w:tcPr>
            <w:tcW w:w="1559" w:type="dxa"/>
            <w:shd w:val="clear" w:color="auto" w:fill="auto"/>
            <w:noWrap/>
            <w:vAlign w:val="center"/>
          </w:tcPr>
          <w:p w14:paraId="7CC2D09F" w14:textId="77777777" w:rsidR="00AA23DA" w:rsidRPr="00545EC0" w:rsidRDefault="00AA23DA" w:rsidP="004C5428">
            <w:pPr>
              <w:jc w:val="center"/>
              <w:rPr>
                <w:rFonts w:cs="Arial"/>
                <w:sz w:val="18"/>
                <w:szCs w:val="18"/>
              </w:rPr>
            </w:pPr>
            <w:r w:rsidRPr="00545EC0">
              <w:rPr>
                <w:rFonts w:cs="Arial"/>
                <w:sz w:val="18"/>
                <w:szCs w:val="18"/>
              </w:rPr>
              <w:t>-</w:t>
            </w:r>
          </w:p>
        </w:tc>
      </w:tr>
      <w:tr w:rsidR="003122F4" w:rsidRPr="00545EC0" w14:paraId="10D6B32F" w14:textId="77777777" w:rsidTr="0061507B">
        <w:trPr>
          <w:trHeight w:val="284"/>
        </w:trPr>
        <w:tc>
          <w:tcPr>
            <w:tcW w:w="988" w:type="dxa"/>
            <w:shd w:val="clear" w:color="000000" w:fill="FFFFFF"/>
            <w:noWrap/>
            <w:vAlign w:val="center"/>
          </w:tcPr>
          <w:p w14:paraId="66D17341" w14:textId="77777777" w:rsidR="00AA23DA" w:rsidRPr="00545EC0" w:rsidRDefault="00AA23DA" w:rsidP="004C5428">
            <w:pPr>
              <w:jc w:val="center"/>
              <w:rPr>
                <w:rFonts w:cs="Arial"/>
                <w:sz w:val="18"/>
                <w:szCs w:val="18"/>
              </w:rPr>
            </w:pPr>
            <w:r w:rsidRPr="00545EC0">
              <w:rPr>
                <w:rFonts w:cs="Arial"/>
                <w:sz w:val="18"/>
                <w:szCs w:val="18"/>
              </w:rPr>
              <w:t>3012</w:t>
            </w:r>
          </w:p>
        </w:tc>
        <w:tc>
          <w:tcPr>
            <w:tcW w:w="3543" w:type="dxa"/>
            <w:shd w:val="clear" w:color="000000" w:fill="FFFFFF"/>
            <w:noWrap/>
            <w:vAlign w:val="center"/>
          </w:tcPr>
          <w:p w14:paraId="0C3F789B" w14:textId="77777777" w:rsidR="00AA23DA" w:rsidRPr="00545EC0" w:rsidRDefault="00AA23DA" w:rsidP="004C5428">
            <w:pPr>
              <w:rPr>
                <w:rFonts w:cs="Arial"/>
                <w:sz w:val="18"/>
                <w:szCs w:val="18"/>
              </w:rPr>
            </w:pPr>
            <w:r w:rsidRPr="00545EC0">
              <w:rPr>
                <w:rFonts w:cs="Arial"/>
                <w:sz w:val="18"/>
                <w:szCs w:val="18"/>
              </w:rPr>
              <w:t>Dravska kotlina</w:t>
            </w:r>
          </w:p>
        </w:tc>
        <w:tc>
          <w:tcPr>
            <w:tcW w:w="1276" w:type="dxa"/>
            <w:shd w:val="clear" w:color="auto" w:fill="auto"/>
            <w:noWrap/>
            <w:vAlign w:val="center"/>
          </w:tcPr>
          <w:p w14:paraId="7A028CAD" w14:textId="77777777" w:rsidR="00AA23DA" w:rsidRPr="00545EC0" w:rsidRDefault="00AA23DA" w:rsidP="004C5428">
            <w:pPr>
              <w:jc w:val="center"/>
              <w:rPr>
                <w:rFonts w:cs="Arial"/>
                <w:sz w:val="18"/>
                <w:szCs w:val="18"/>
              </w:rPr>
            </w:pPr>
            <w:r w:rsidRPr="00545EC0">
              <w:rPr>
                <w:rFonts w:cs="Arial"/>
                <w:sz w:val="18"/>
                <w:szCs w:val="18"/>
              </w:rPr>
              <w:t>1998–2019</w:t>
            </w:r>
          </w:p>
        </w:tc>
        <w:tc>
          <w:tcPr>
            <w:tcW w:w="1701" w:type="dxa"/>
            <w:shd w:val="clear" w:color="auto" w:fill="auto"/>
            <w:noWrap/>
            <w:vAlign w:val="center"/>
          </w:tcPr>
          <w:p w14:paraId="4EDBB5CB" w14:textId="77777777" w:rsidR="00AA23DA" w:rsidRPr="00545EC0" w:rsidRDefault="00AA23DA" w:rsidP="004C5428">
            <w:pPr>
              <w:jc w:val="center"/>
              <w:rPr>
                <w:rFonts w:cs="Arial"/>
                <w:bCs/>
                <w:sz w:val="18"/>
                <w:szCs w:val="18"/>
              </w:rPr>
            </w:pPr>
            <w:r w:rsidRPr="00545EC0">
              <w:rPr>
                <w:rFonts w:cs="Arial"/>
                <w:sz w:val="18"/>
                <w:szCs w:val="18"/>
              </w:rPr>
              <w:t>TREND PADA</w:t>
            </w:r>
          </w:p>
        </w:tc>
        <w:tc>
          <w:tcPr>
            <w:tcW w:w="1559" w:type="dxa"/>
            <w:shd w:val="clear" w:color="auto" w:fill="auto"/>
            <w:noWrap/>
            <w:vAlign w:val="center"/>
          </w:tcPr>
          <w:p w14:paraId="5DDA0AA1" w14:textId="77777777" w:rsidR="00AA23DA" w:rsidRPr="00545EC0" w:rsidRDefault="00AA23DA" w:rsidP="004C5428">
            <w:pPr>
              <w:jc w:val="center"/>
              <w:rPr>
                <w:rFonts w:cs="Arial"/>
                <w:sz w:val="18"/>
                <w:szCs w:val="18"/>
              </w:rPr>
            </w:pPr>
            <w:r w:rsidRPr="00545EC0">
              <w:rPr>
                <w:rFonts w:cs="Arial"/>
                <w:sz w:val="18"/>
                <w:szCs w:val="18"/>
              </w:rPr>
              <w:t>TREND PADA</w:t>
            </w:r>
          </w:p>
        </w:tc>
      </w:tr>
      <w:tr w:rsidR="003122F4" w:rsidRPr="00545EC0" w14:paraId="7B297B8E" w14:textId="77777777" w:rsidTr="0061507B">
        <w:trPr>
          <w:trHeight w:val="284"/>
        </w:trPr>
        <w:tc>
          <w:tcPr>
            <w:tcW w:w="988" w:type="dxa"/>
            <w:shd w:val="clear" w:color="000000" w:fill="FFFFFF"/>
            <w:noWrap/>
            <w:vAlign w:val="center"/>
          </w:tcPr>
          <w:p w14:paraId="17A4CCBF" w14:textId="77777777" w:rsidR="00AA23DA" w:rsidRPr="00545EC0" w:rsidRDefault="00AA23DA" w:rsidP="004C5428">
            <w:pPr>
              <w:jc w:val="center"/>
              <w:rPr>
                <w:rFonts w:cs="Arial"/>
                <w:sz w:val="18"/>
                <w:szCs w:val="18"/>
              </w:rPr>
            </w:pPr>
            <w:r w:rsidRPr="00545EC0">
              <w:rPr>
                <w:rFonts w:cs="Arial"/>
                <w:sz w:val="18"/>
                <w:szCs w:val="18"/>
              </w:rPr>
              <w:t>4016</w:t>
            </w:r>
          </w:p>
        </w:tc>
        <w:tc>
          <w:tcPr>
            <w:tcW w:w="3543" w:type="dxa"/>
            <w:shd w:val="clear" w:color="000000" w:fill="FFFFFF"/>
            <w:noWrap/>
            <w:vAlign w:val="center"/>
          </w:tcPr>
          <w:p w14:paraId="284F777B" w14:textId="77777777" w:rsidR="00AA23DA" w:rsidRPr="00545EC0" w:rsidRDefault="00AA23DA" w:rsidP="004C5428">
            <w:pPr>
              <w:rPr>
                <w:rFonts w:cs="Arial"/>
                <w:sz w:val="18"/>
                <w:szCs w:val="18"/>
              </w:rPr>
            </w:pPr>
            <w:r w:rsidRPr="00545EC0">
              <w:rPr>
                <w:rFonts w:cs="Arial"/>
                <w:sz w:val="18"/>
                <w:szCs w:val="18"/>
              </w:rPr>
              <w:t>Murska kotlina</w:t>
            </w:r>
          </w:p>
        </w:tc>
        <w:tc>
          <w:tcPr>
            <w:tcW w:w="1276" w:type="dxa"/>
            <w:shd w:val="clear" w:color="auto" w:fill="auto"/>
            <w:noWrap/>
            <w:vAlign w:val="center"/>
          </w:tcPr>
          <w:p w14:paraId="0BA77717" w14:textId="77777777" w:rsidR="00AA23DA" w:rsidRPr="00545EC0" w:rsidRDefault="00AA23DA" w:rsidP="004C5428">
            <w:pPr>
              <w:jc w:val="center"/>
              <w:rPr>
                <w:rFonts w:cs="Arial"/>
                <w:sz w:val="18"/>
                <w:szCs w:val="18"/>
              </w:rPr>
            </w:pPr>
            <w:r w:rsidRPr="00545EC0">
              <w:rPr>
                <w:rFonts w:cs="Arial"/>
                <w:sz w:val="18"/>
                <w:szCs w:val="18"/>
              </w:rPr>
              <w:t>1998–2019</w:t>
            </w:r>
          </w:p>
        </w:tc>
        <w:tc>
          <w:tcPr>
            <w:tcW w:w="1701" w:type="dxa"/>
            <w:shd w:val="clear" w:color="auto" w:fill="auto"/>
            <w:noWrap/>
            <w:vAlign w:val="center"/>
          </w:tcPr>
          <w:p w14:paraId="329052D2" w14:textId="77777777" w:rsidR="00AA23DA" w:rsidRPr="00545EC0" w:rsidRDefault="00AA23DA" w:rsidP="004C5428">
            <w:pPr>
              <w:jc w:val="center"/>
              <w:rPr>
                <w:rFonts w:cs="Arial"/>
                <w:bCs/>
                <w:sz w:val="18"/>
                <w:szCs w:val="18"/>
              </w:rPr>
            </w:pPr>
            <w:r w:rsidRPr="00545EC0">
              <w:rPr>
                <w:rFonts w:cs="Arial"/>
                <w:sz w:val="18"/>
                <w:szCs w:val="18"/>
              </w:rPr>
              <w:t>TREND PADA</w:t>
            </w:r>
          </w:p>
        </w:tc>
        <w:tc>
          <w:tcPr>
            <w:tcW w:w="1559" w:type="dxa"/>
            <w:shd w:val="clear" w:color="auto" w:fill="auto"/>
            <w:noWrap/>
            <w:vAlign w:val="center"/>
          </w:tcPr>
          <w:p w14:paraId="65C6153C" w14:textId="77777777" w:rsidR="00AA23DA" w:rsidRPr="00545EC0" w:rsidRDefault="00AA23DA" w:rsidP="004C5428">
            <w:pPr>
              <w:jc w:val="center"/>
              <w:rPr>
                <w:rFonts w:cs="Arial"/>
                <w:sz w:val="18"/>
                <w:szCs w:val="18"/>
              </w:rPr>
            </w:pPr>
            <w:r w:rsidRPr="00545EC0">
              <w:rPr>
                <w:rFonts w:cs="Arial"/>
                <w:sz w:val="18"/>
                <w:szCs w:val="18"/>
              </w:rPr>
              <w:t>-</w:t>
            </w:r>
          </w:p>
        </w:tc>
      </w:tr>
    </w:tbl>
    <w:p w14:paraId="0175F1D9" w14:textId="77777777" w:rsidR="00AA23DA" w:rsidRPr="00545EC0" w:rsidRDefault="00AA23DA" w:rsidP="00AA23DA">
      <w:pPr>
        <w:rPr>
          <w:rFonts w:cs="Arial"/>
          <w:szCs w:val="22"/>
        </w:rPr>
      </w:pPr>
    </w:p>
    <w:p w14:paraId="24CBBDAB" w14:textId="4E15C5F4" w:rsidR="00AA23DA" w:rsidRPr="00545EC0" w:rsidRDefault="00AA23DA" w:rsidP="00AA23DA">
      <w:pPr>
        <w:spacing w:before="120"/>
        <w:rPr>
          <w:rFonts w:cs="Arial"/>
          <w:szCs w:val="22"/>
        </w:rPr>
      </w:pPr>
      <w:r w:rsidRPr="00545EC0">
        <w:rPr>
          <w:rFonts w:cs="Arial"/>
          <w:szCs w:val="22"/>
        </w:rPr>
        <w:t xml:space="preserve">Trend za nitrat </w:t>
      </w:r>
      <w:r w:rsidR="003905B8" w:rsidRPr="00545EC0">
        <w:rPr>
          <w:rFonts w:cs="Arial"/>
          <w:szCs w:val="22"/>
        </w:rPr>
        <w:t xml:space="preserve">se je </w:t>
      </w:r>
      <w:r w:rsidRPr="00545EC0">
        <w:rPr>
          <w:rFonts w:cs="Arial"/>
          <w:szCs w:val="22"/>
        </w:rPr>
        <w:t xml:space="preserve">spremljal in statistično ovrednotil na vseh večjih aluvialnih vodnih telesih. Vsebnost nitrata pada na vodnih telesih Savska kotlina in Ljubljansko barje, Savinjska kotlina, Dravska kotlina in Murska kotlina. Na vodnem telesu Krške kotline trenda nismo zaznali. Na ostalih vodnih telesih je vsebnost nitrata veliko nižja od standarda kakovosti in </w:t>
      </w:r>
      <w:r w:rsidR="003905B8" w:rsidRPr="00545EC0">
        <w:rPr>
          <w:rFonts w:cs="Arial"/>
          <w:szCs w:val="22"/>
        </w:rPr>
        <w:t>se ga</w:t>
      </w:r>
      <w:r w:rsidRPr="00545EC0">
        <w:rPr>
          <w:rFonts w:cs="Arial"/>
          <w:szCs w:val="22"/>
        </w:rPr>
        <w:t xml:space="preserve"> statistično ne vrednoti, redno pa </w:t>
      </w:r>
      <w:r w:rsidR="003905B8" w:rsidRPr="00545EC0">
        <w:rPr>
          <w:rFonts w:cs="Arial"/>
          <w:szCs w:val="22"/>
        </w:rPr>
        <w:t xml:space="preserve">se </w:t>
      </w:r>
      <w:r w:rsidRPr="00545EC0">
        <w:rPr>
          <w:rFonts w:cs="Arial"/>
          <w:szCs w:val="22"/>
        </w:rPr>
        <w:t>spremlja nihanje nitrata, ob porastu</w:t>
      </w:r>
      <w:r w:rsidR="003905B8" w:rsidRPr="00545EC0">
        <w:rPr>
          <w:rFonts w:cs="Arial"/>
          <w:szCs w:val="22"/>
        </w:rPr>
        <w:t xml:space="preserve"> pa</w:t>
      </w:r>
      <w:r w:rsidRPr="00545EC0">
        <w:rPr>
          <w:rFonts w:cs="Arial"/>
          <w:szCs w:val="22"/>
        </w:rPr>
        <w:t xml:space="preserve"> bi </w:t>
      </w:r>
      <w:r w:rsidR="003905B8" w:rsidRPr="00545EC0">
        <w:rPr>
          <w:rFonts w:cs="Arial"/>
          <w:szCs w:val="22"/>
        </w:rPr>
        <w:t xml:space="preserve">se </w:t>
      </w:r>
      <w:r w:rsidRPr="00545EC0">
        <w:rPr>
          <w:rFonts w:cs="Arial"/>
          <w:szCs w:val="22"/>
        </w:rPr>
        <w:t>ga tudi statistično ovrednotil</w:t>
      </w:r>
      <w:r w:rsidR="003905B8" w:rsidRPr="00545EC0">
        <w:rPr>
          <w:rFonts w:cs="Arial"/>
          <w:szCs w:val="22"/>
        </w:rPr>
        <w:t>o</w:t>
      </w:r>
      <w:r w:rsidRPr="00545EC0">
        <w:rPr>
          <w:rFonts w:cs="Arial"/>
          <w:szCs w:val="22"/>
        </w:rPr>
        <w:t>. Prav tako kot nitrat, s statistično značilnostjo pada tudi trend za atrazin na Dravski kotlini. Na ostalih vodnih telesih je vsebnost atrazina padla pod mejo določljivosti analitske metode, ali pa je prisoten le v sledovih.</w:t>
      </w:r>
    </w:p>
    <w:p w14:paraId="37380690" w14:textId="77777777" w:rsidR="00AA23DA" w:rsidRPr="00545EC0" w:rsidRDefault="00AA23DA" w:rsidP="00AA23DA">
      <w:pPr>
        <w:rPr>
          <w:rFonts w:cs="Arial"/>
        </w:rPr>
      </w:pPr>
    </w:p>
    <w:p w14:paraId="45BC15A6" w14:textId="44259499" w:rsidR="00164188" w:rsidRPr="00545EC0" w:rsidRDefault="00164188">
      <w:pPr>
        <w:overflowPunct/>
        <w:autoSpaceDE/>
        <w:autoSpaceDN/>
        <w:adjustRightInd/>
        <w:spacing w:line="240" w:lineRule="auto"/>
        <w:jc w:val="left"/>
        <w:textAlignment w:val="auto"/>
        <w:rPr>
          <w:rFonts w:cs="Arial"/>
        </w:rPr>
      </w:pPr>
      <w:r w:rsidRPr="00545EC0">
        <w:rPr>
          <w:rFonts w:cs="Arial"/>
        </w:rPr>
        <w:br w:type="page"/>
      </w:r>
    </w:p>
    <w:p w14:paraId="70C28679" w14:textId="77777777" w:rsidR="00AA23DA" w:rsidRPr="00545EC0" w:rsidRDefault="00AA23DA" w:rsidP="00AA23DA">
      <w:pPr>
        <w:rPr>
          <w:rFonts w:cs="Arial"/>
        </w:rPr>
      </w:pPr>
    </w:p>
    <w:p w14:paraId="5B974BB5" w14:textId="77777777" w:rsidR="00AA23DA" w:rsidRPr="00545EC0" w:rsidRDefault="00AA23DA" w:rsidP="00AA23DA">
      <w:pPr>
        <w:rPr>
          <w:rFonts w:cs="Arial"/>
        </w:rPr>
      </w:pPr>
    </w:p>
    <w:p w14:paraId="21180452" w14:textId="063DD023" w:rsidR="000D541E" w:rsidRPr="00545EC0" w:rsidRDefault="00E7394C" w:rsidP="00C1748F">
      <w:pPr>
        <w:pStyle w:val="Naslov10"/>
      </w:pPr>
      <w:bookmarkStart w:id="593" w:name="_Toc90261054"/>
      <w:r w:rsidRPr="00545EC0">
        <w:t>PREGLED POMEMBNIH ZADEV UPRAVLJANJA VODA</w:t>
      </w:r>
      <w:bookmarkEnd w:id="593"/>
    </w:p>
    <w:p w14:paraId="316A81FA" w14:textId="77777777" w:rsidR="00493E8B" w:rsidRPr="00545EC0" w:rsidRDefault="00A81D08" w:rsidP="005F2DC7">
      <w:pPr>
        <w:pStyle w:val="Naslov20"/>
      </w:pPr>
      <w:bookmarkStart w:id="594" w:name="_Toc90261055"/>
      <w:r w:rsidRPr="00545EC0">
        <w:t>P</w:t>
      </w:r>
      <w:r w:rsidR="00493E8B" w:rsidRPr="00545EC0">
        <w:t>regled zadev, za katere se ocenjuje, da predstavljajo glavne okoljske probleme na območju načrta upravljanja voda in jih je treba obravnavati v načrtu uprav</w:t>
      </w:r>
      <w:r w:rsidRPr="00545EC0">
        <w:t>ljanja voda in programu ukrepov</w:t>
      </w:r>
      <w:bookmarkEnd w:id="594"/>
    </w:p>
    <w:p w14:paraId="02E60DF7" w14:textId="3798E221" w:rsidR="00ED1F41" w:rsidRPr="00545EC0" w:rsidRDefault="00ED1F41" w:rsidP="00ED1F41">
      <w:pPr>
        <w:pStyle w:val="Brezrazmikov"/>
        <w:spacing w:line="276" w:lineRule="auto"/>
        <w:jc w:val="both"/>
        <w:rPr>
          <w:rFonts w:ascii="Arial" w:hAnsi="Arial" w:cs="Arial"/>
          <w:sz w:val="20"/>
        </w:rPr>
      </w:pPr>
      <w:r w:rsidRPr="00545EC0">
        <w:rPr>
          <w:rFonts w:ascii="Arial" w:hAnsi="Arial" w:cs="Arial"/>
          <w:sz w:val="20"/>
        </w:rPr>
        <w:t>Pomembne zadeve upravljanja voda (v nadaljevanju: PZUV) predstavljajo  zaznan</w:t>
      </w:r>
      <w:r w:rsidR="00A06BB5" w:rsidRPr="00545EC0">
        <w:rPr>
          <w:rFonts w:ascii="Arial" w:hAnsi="Arial" w:cs="Arial"/>
          <w:sz w:val="20"/>
        </w:rPr>
        <w:t>e</w:t>
      </w:r>
      <w:r w:rsidRPr="00545EC0">
        <w:rPr>
          <w:rFonts w:ascii="Arial" w:hAnsi="Arial" w:cs="Arial"/>
          <w:sz w:val="20"/>
        </w:rPr>
        <w:t xml:space="preserve"> okoljsk</w:t>
      </w:r>
      <w:r w:rsidR="00A06BB5" w:rsidRPr="00545EC0">
        <w:rPr>
          <w:rFonts w:ascii="Arial" w:hAnsi="Arial" w:cs="Arial"/>
          <w:sz w:val="20"/>
        </w:rPr>
        <w:t>e</w:t>
      </w:r>
      <w:r w:rsidRPr="00545EC0">
        <w:rPr>
          <w:rFonts w:ascii="Arial" w:hAnsi="Arial" w:cs="Arial"/>
          <w:sz w:val="20"/>
        </w:rPr>
        <w:t xml:space="preserve"> problem</w:t>
      </w:r>
      <w:r w:rsidR="00A06BB5" w:rsidRPr="00545EC0">
        <w:rPr>
          <w:rFonts w:ascii="Arial" w:hAnsi="Arial" w:cs="Arial"/>
          <w:sz w:val="20"/>
        </w:rPr>
        <w:t xml:space="preserve">e </w:t>
      </w:r>
      <w:r w:rsidRPr="00545EC0">
        <w:rPr>
          <w:rFonts w:ascii="Arial" w:hAnsi="Arial" w:cs="Arial"/>
          <w:sz w:val="20"/>
        </w:rPr>
        <w:t xml:space="preserve">na področju upravljanja voda, ki povzročajo večje vplive na vodno območje Donave in vodno območje Jadranskega morja. </w:t>
      </w:r>
      <w:r w:rsidR="00A06BB5" w:rsidRPr="00545EC0">
        <w:rPr>
          <w:rFonts w:ascii="Arial" w:hAnsi="Arial" w:cs="Arial"/>
          <w:sz w:val="20"/>
        </w:rPr>
        <w:t>Pomembne zadeve upravljanja voda na vodnih območjih Donave in Jadranskega morja je ministrstvo objavilo v avgustu 2020 (MOP, 2020). Z</w:t>
      </w:r>
      <w:r w:rsidRPr="00545EC0">
        <w:rPr>
          <w:rFonts w:ascii="Arial" w:hAnsi="Arial" w:cs="Arial"/>
          <w:sz w:val="20"/>
        </w:rPr>
        <w:t xml:space="preserve"> javno obravnavo</w:t>
      </w:r>
      <w:r w:rsidR="00A06BB5" w:rsidRPr="00545EC0">
        <w:rPr>
          <w:rFonts w:ascii="Arial" w:hAnsi="Arial" w:cs="Arial"/>
          <w:sz w:val="20"/>
        </w:rPr>
        <w:t xml:space="preserve"> je bilo</w:t>
      </w:r>
      <w:r w:rsidRPr="00545EC0">
        <w:rPr>
          <w:rFonts w:ascii="Arial" w:hAnsi="Arial" w:cs="Arial"/>
          <w:sz w:val="20"/>
        </w:rPr>
        <w:t xml:space="preserve"> omogoč</w:t>
      </w:r>
      <w:r w:rsidR="00A06BB5" w:rsidRPr="00545EC0">
        <w:rPr>
          <w:rFonts w:ascii="Arial" w:hAnsi="Arial" w:cs="Arial"/>
          <w:sz w:val="20"/>
        </w:rPr>
        <w:t>eno</w:t>
      </w:r>
      <w:r w:rsidRPr="00545EC0">
        <w:rPr>
          <w:rFonts w:ascii="Arial" w:hAnsi="Arial" w:cs="Arial"/>
          <w:sz w:val="20"/>
        </w:rPr>
        <w:t xml:space="preserve"> sodelovanje širše javnosti, ki lahko poda svoje mnenje, predloge in komentarje glede zaznanih ključnih okoljskih problemov v zvezi s stanjem voda. </w:t>
      </w:r>
    </w:p>
    <w:p w14:paraId="4EB28077" w14:textId="77777777" w:rsidR="00ED1F41" w:rsidRPr="00545EC0" w:rsidRDefault="00ED1F41" w:rsidP="00ED1F41">
      <w:pPr>
        <w:pStyle w:val="Brezrazmikov"/>
        <w:spacing w:line="276" w:lineRule="auto"/>
        <w:jc w:val="both"/>
        <w:rPr>
          <w:rFonts w:ascii="Arial" w:hAnsi="Arial" w:cs="Arial"/>
          <w:sz w:val="20"/>
        </w:rPr>
      </w:pPr>
    </w:p>
    <w:p w14:paraId="30F736DE" w14:textId="7A685A6F" w:rsidR="00ED1F41" w:rsidRPr="00545EC0" w:rsidRDefault="00ED1F41" w:rsidP="00ED1F41">
      <w:pPr>
        <w:pStyle w:val="Brezrazmikov"/>
        <w:spacing w:line="276" w:lineRule="auto"/>
        <w:jc w:val="both"/>
        <w:rPr>
          <w:rFonts w:ascii="Arial" w:hAnsi="Arial" w:cs="Arial"/>
          <w:sz w:val="20"/>
        </w:rPr>
      </w:pPr>
      <w:r w:rsidRPr="00545EC0">
        <w:rPr>
          <w:rFonts w:ascii="Arial" w:hAnsi="Arial" w:cs="Arial"/>
          <w:sz w:val="20"/>
        </w:rPr>
        <w:t xml:space="preserve">PZUV podaja osnovni pregled in informacije o najpomembnejših obremenitvah in vplivih človekovega delovanja na stanje voda, ki jih je potrebno rešiti, če želimo </w:t>
      </w:r>
      <w:r w:rsidR="00A06BB5" w:rsidRPr="00545EC0">
        <w:rPr>
          <w:rFonts w:ascii="Arial" w:hAnsi="Arial" w:cs="Arial"/>
          <w:sz w:val="20"/>
        </w:rPr>
        <w:t xml:space="preserve">doseči </w:t>
      </w:r>
      <w:r w:rsidRPr="00545EC0">
        <w:rPr>
          <w:rFonts w:ascii="Arial" w:hAnsi="Arial" w:cs="Arial"/>
          <w:sz w:val="20"/>
        </w:rPr>
        <w:t xml:space="preserve">okoljske cilje na področju voda. </w:t>
      </w:r>
    </w:p>
    <w:p w14:paraId="1700A0C4" w14:textId="77777777" w:rsidR="00ED1F41" w:rsidRPr="00545EC0" w:rsidRDefault="00ED1F41" w:rsidP="00ED1F41">
      <w:pPr>
        <w:pStyle w:val="Brezrazmikov"/>
        <w:spacing w:line="276" w:lineRule="auto"/>
        <w:jc w:val="both"/>
        <w:rPr>
          <w:rFonts w:ascii="Arial" w:hAnsi="Arial" w:cs="Arial"/>
          <w:sz w:val="20"/>
        </w:rPr>
      </w:pPr>
    </w:p>
    <w:p w14:paraId="35F3CCF7" w14:textId="77777777" w:rsidR="004C7CDB" w:rsidRPr="00545EC0" w:rsidRDefault="00ED1F41" w:rsidP="00ED1F41">
      <w:pPr>
        <w:pStyle w:val="Brezrazmikov"/>
        <w:spacing w:line="276" w:lineRule="auto"/>
        <w:jc w:val="both"/>
        <w:rPr>
          <w:rFonts w:ascii="Arial" w:hAnsi="Arial" w:cs="Arial"/>
          <w:sz w:val="20"/>
          <w:u w:val="single"/>
        </w:rPr>
      </w:pPr>
      <w:r w:rsidRPr="00545EC0">
        <w:rPr>
          <w:rFonts w:ascii="Arial" w:hAnsi="Arial" w:cs="Arial"/>
          <w:sz w:val="20"/>
          <w:u w:val="single"/>
        </w:rPr>
        <w:t xml:space="preserve">Pomembne obremenitve </w:t>
      </w:r>
    </w:p>
    <w:p w14:paraId="0E2448F0" w14:textId="68E53362" w:rsidR="00ED1F41" w:rsidRPr="00545EC0" w:rsidRDefault="004C7CDB" w:rsidP="00ED1F41">
      <w:pPr>
        <w:pStyle w:val="Brezrazmikov"/>
        <w:spacing w:line="276" w:lineRule="auto"/>
        <w:jc w:val="both"/>
        <w:rPr>
          <w:rFonts w:ascii="Arial" w:hAnsi="Arial" w:cs="Arial"/>
          <w:sz w:val="20"/>
        </w:rPr>
      </w:pPr>
      <w:r w:rsidRPr="00545EC0">
        <w:rPr>
          <w:rFonts w:ascii="Arial" w:hAnsi="Arial" w:cs="Arial"/>
          <w:sz w:val="20"/>
        </w:rPr>
        <w:t xml:space="preserve">Pomembne obremenitve </w:t>
      </w:r>
      <w:r w:rsidR="00ED1F41" w:rsidRPr="00545EC0">
        <w:rPr>
          <w:rFonts w:ascii="Arial" w:hAnsi="Arial" w:cs="Arial"/>
          <w:sz w:val="20"/>
        </w:rPr>
        <w:t xml:space="preserve">so tiste obremenitve, za katere obstaja velika verjetnost, da bi lahko same po sebi ali v kombinaciji </w:t>
      </w:r>
      <w:r w:rsidR="00B37560" w:rsidRPr="00545EC0">
        <w:rPr>
          <w:rFonts w:ascii="Arial" w:hAnsi="Arial" w:cs="Arial"/>
          <w:sz w:val="20"/>
        </w:rPr>
        <w:t>s</w:t>
      </w:r>
      <w:r w:rsidR="00ED1F41" w:rsidRPr="00545EC0">
        <w:rPr>
          <w:rFonts w:ascii="Arial" w:hAnsi="Arial" w:cs="Arial"/>
          <w:sz w:val="20"/>
        </w:rPr>
        <w:t xml:space="preserve"> katero od drugih vrst obremenitev povzročale, da določeno vodno telo ne bo dosegalo </w:t>
      </w:r>
      <w:r w:rsidR="00C12042" w:rsidRPr="00545EC0">
        <w:rPr>
          <w:rFonts w:ascii="Arial" w:hAnsi="Arial" w:cs="Arial"/>
          <w:sz w:val="20"/>
        </w:rPr>
        <w:t>predpisanih</w:t>
      </w:r>
      <w:r w:rsidR="00ED1F41" w:rsidRPr="00545EC0">
        <w:rPr>
          <w:rFonts w:ascii="Arial" w:hAnsi="Arial" w:cs="Arial"/>
          <w:sz w:val="20"/>
        </w:rPr>
        <w:t xml:space="preserve"> okoljskih ciljev. V dokumentu so predstavljene različne vrste obremenit</w:t>
      </w:r>
      <w:r w:rsidR="00B37560" w:rsidRPr="00545EC0">
        <w:rPr>
          <w:rFonts w:ascii="Arial" w:hAnsi="Arial" w:cs="Arial"/>
          <w:sz w:val="20"/>
        </w:rPr>
        <w:t>ev</w:t>
      </w:r>
      <w:r w:rsidR="00ED1F41" w:rsidRPr="00545EC0">
        <w:rPr>
          <w:rFonts w:ascii="Arial" w:hAnsi="Arial" w:cs="Arial"/>
          <w:sz w:val="20"/>
        </w:rPr>
        <w:t xml:space="preserve"> tako površinskih kot tudi podzemnih voda. Obremenitve površinskih in podzemnih voda predstavljajo točkovni in razpršeni viri onesnaženja ter hidromorfološke obremenitve. </w:t>
      </w:r>
    </w:p>
    <w:p w14:paraId="210EC87A" w14:textId="77777777" w:rsidR="00ED1F41" w:rsidRPr="00545EC0" w:rsidRDefault="00ED1F41" w:rsidP="00ED1F41">
      <w:pPr>
        <w:pStyle w:val="Brezrazmikov"/>
        <w:spacing w:line="276" w:lineRule="auto"/>
        <w:jc w:val="both"/>
        <w:rPr>
          <w:rFonts w:ascii="Arial" w:hAnsi="Arial" w:cs="Arial"/>
          <w:sz w:val="20"/>
        </w:rPr>
      </w:pPr>
    </w:p>
    <w:p w14:paraId="4F2DA704" w14:textId="77777777" w:rsidR="00ED1F41" w:rsidRPr="00545EC0" w:rsidRDefault="00ED1F41" w:rsidP="00ED1F41">
      <w:pPr>
        <w:pStyle w:val="Brezrazmikov"/>
        <w:spacing w:line="276" w:lineRule="auto"/>
        <w:jc w:val="both"/>
        <w:rPr>
          <w:rFonts w:ascii="Arial" w:hAnsi="Arial" w:cs="Arial"/>
          <w:sz w:val="20"/>
        </w:rPr>
      </w:pPr>
      <w:r w:rsidRPr="00545EC0">
        <w:rPr>
          <w:rFonts w:ascii="Arial" w:hAnsi="Arial" w:cs="Arial"/>
          <w:sz w:val="20"/>
          <w:u w:val="single"/>
        </w:rPr>
        <w:t>Točkovni in razpršeni viri onesnaženja podzemnih voda</w:t>
      </w:r>
      <w:r w:rsidRPr="00545EC0">
        <w:rPr>
          <w:rFonts w:ascii="Arial" w:hAnsi="Arial" w:cs="Arial"/>
          <w:sz w:val="20"/>
        </w:rPr>
        <w:t xml:space="preserve"> se delijo na:</w:t>
      </w:r>
    </w:p>
    <w:p w14:paraId="256D3539" w14:textId="77777777" w:rsidR="00ED1F41" w:rsidRPr="00545EC0" w:rsidRDefault="00ED1F41" w:rsidP="00DD37C5">
      <w:pPr>
        <w:pStyle w:val="Brezrazmikov"/>
        <w:numPr>
          <w:ilvl w:val="0"/>
          <w:numId w:val="122"/>
        </w:numPr>
        <w:spacing w:line="276" w:lineRule="auto"/>
        <w:jc w:val="both"/>
        <w:rPr>
          <w:rFonts w:ascii="Arial" w:hAnsi="Arial" w:cs="Arial"/>
          <w:sz w:val="20"/>
        </w:rPr>
      </w:pPr>
      <w:r w:rsidRPr="00545EC0">
        <w:rPr>
          <w:rFonts w:ascii="Arial" w:hAnsi="Arial" w:cs="Arial"/>
          <w:sz w:val="20"/>
        </w:rPr>
        <w:t>Obremenjevanje voda zaradi vnosa hranil – fosforjeve in dušikove spojine</w:t>
      </w:r>
    </w:p>
    <w:p w14:paraId="699F8D58" w14:textId="77777777" w:rsidR="00ED1F41" w:rsidRPr="00545EC0" w:rsidRDefault="00ED1F41" w:rsidP="00DD37C5">
      <w:pPr>
        <w:pStyle w:val="Brezrazmikov"/>
        <w:numPr>
          <w:ilvl w:val="0"/>
          <w:numId w:val="122"/>
        </w:numPr>
        <w:spacing w:line="276" w:lineRule="auto"/>
        <w:jc w:val="both"/>
        <w:rPr>
          <w:rFonts w:ascii="Arial" w:hAnsi="Arial" w:cs="Arial"/>
          <w:sz w:val="20"/>
        </w:rPr>
      </w:pPr>
      <w:r w:rsidRPr="00545EC0">
        <w:rPr>
          <w:rFonts w:ascii="Arial" w:hAnsi="Arial" w:cs="Arial"/>
          <w:sz w:val="20"/>
        </w:rPr>
        <w:t>Obremenjevanje voda zaradi vnosa organskih snovi – ostanki hrane, odmrlih živali, iztrebki ipd.</w:t>
      </w:r>
    </w:p>
    <w:p w14:paraId="28FE474E" w14:textId="77777777" w:rsidR="00ED1F41" w:rsidRPr="00545EC0" w:rsidRDefault="00ED1F41" w:rsidP="00DD37C5">
      <w:pPr>
        <w:pStyle w:val="Brezrazmikov"/>
        <w:numPr>
          <w:ilvl w:val="0"/>
          <w:numId w:val="122"/>
        </w:numPr>
        <w:spacing w:line="276" w:lineRule="auto"/>
        <w:jc w:val="both"/>
        <w:rPr>
          <w:rFonts w:ascii="Arial" w:hAnsi="Arial" w:cs="Arial"/>
          <w:sz w:val="20"/>
        </w:rPr>
      </w:pPr>
      <w:r w:rsidRPr="00545EC0">
        <w:rPr>
          <w:rFonts w:ascii="Arial" w:hAnsi="Arial" w:cs="Arial"/>
          <w:sz w:val="20"/>
        </w:rPr>
        <w:t>Obremenjevanje voda zaradi vnosa nevarnih snovi – sem spadajo predvsem FFS, kemikalije, topila, kovine</w:t>
      </w:r>
    </w:p>
    <w:p w14:paraId="3E02491D" w14:textId="77777777" w:rsidR="00ED1F41" w:rsidRPr="00545EC0" w:rsidRDefault="00ED1F41" w:rsidP="00DD37C5">
      <w:pPr>
        <w:pStyle w:val="Brezrazmikov"/>
        <w:numPr>
          <w:ilvl w:val="0"/>
          <w:numId w:val="122"/>
        </w:numPr>
        <w:spacing w:line="276" w:lineRule="auto"/>
        <w:jc w:val="both"/>
        <w:rPr>
          <w:rFonts w:ascii="Arial" w:hAnsi="Arial" w:cs="Arial"/>
          <w:sz w:val="20"/>
        </w:rPr>
      </w:pPr>
      <w:r w:rsidRPr="00545EC0">
        <w:rPr>
          <w:rFonts w:ascii="Arial" w:hAnsi="Arial" w:cs="Arial"/>
          <w:sz w:val="20"/>
        </w:rPr>
        <w:t>Odvajanje in čiščenje komunalne odpadne vode – vpliva na onesnaženje s hranili in organskimi snovmi, kar je posledica odvajanja odpadne vode v okolje brez predhodnega čiščenja</w:t>
      </w:r>
    </w:p>
    <w:p w14:paraId="78BBA5D6" w14:textId="77777777" w:rsidR="00ED1F41" w:rsidRPr="00545EC0" w:rsidRDefault="00ED1F41" w:rsidP="00ED1F41">
      <w:pPr>
        <w:pStyle w:val="Brezrazmikov"/>
        <w:spacing w:line="276" w:lineRule="auto"/>
        <w:jc w:val="both"/>
        <w:rPr>
          <w:rFonts w:ascii="Arial" w:hAnsi="Arial" w:cs="Arial"/>
          <w:sz w:val="20"/>
        </w:rPr>
      </w:pPr>
    </w:p>
    <w:p w14:paraId="51D60DCF" w14:textId="77777777" w:rsidR="00ED1F41" w:rsidRPr="00545EC0" w:rsidRDefault="00ED1F41" w:rsidP="00ED1F41">
      <w:pPr>
        <w:pStyle w:val="Brezrazmikov"/>
        <w:spacing w:line="276" w:lineRule="auto"/>
        <w:jc w:val="both"/>
        <w:rPr>
          <w:rFonts w:ascii="Arial" w:hAnsi="Arial" w:cs="Arial"/>
          <w:sz w:val="20"/>
        </w:rPr>
      </w:pPr>
      <w:r w:rsidRPr="00545EC0">
        <w:rPr>
          <w:rFonts w:ascii="Arial" w:hAnsi="Arial" w:cs="Arial"/>
          <w:sz w:val="20"/>
        </w:rPr>
        <w:t>Eno izmed pomembnejših obremenitev površinskih voda predstavlja vnos hranil, predvsem fosforjevih in dušikovih spojin.</w:t>
      </w:r>
    </w:p>
    <w:p w14:paraId="1BDC9CD6" w14:textId="77777777" w:rsidR="00ED1F41" w:rsidRPr="00545EC0" w:rsidRDefault="00ED1F41" w:rsidP="00ED1F41">
      <w:pPr>
        <w:pStyle w:val="Brezrazmikov"/>
        <w:spacing w:line="276" w:lineRule="auto"/>
        <w:jc w:val="both"/>
        <w:rPr>
          <w:rFonts w:ascii="Arial" w:hAnsi="Arial" w:cs="Arial"/>
          <w:sz w:val="20"/>
        </w:rPr>
      </w:pPr>
    </w:p>
    <w:p w14:paraId="1AB3873B" w14:textId="77777777" w:rsidR="00A06BB5" w:rsidRPr="00545EC0" w:rsidRDefault="00A06BB5" w:rsidP="00A06BB5">
      <w:pPr>
        <w:pStyle w:val="Brezrazmikov"/>
        <w:spacing w:line="276" w:lineRule="auto"/>
        <w:jc w:val="both"/>
        <w:rPr>
          <w:rFonts w:ascii="Arial" w:hAnsi="Arial" w:cs="Arial"/>
          <w:sz w:val="20"/>
        </w:rPr>
      </w:pPr>
      <w:r w:rsidRPr="00545EC0">
        <w:rPr>
          <w:rFonts w:ascii="Arial" w:hAnsi="Arial" w:cs="Arial"/>
          <w:sz w:val="20"/>
          <w:u w:val="single"/>
        </w:rPr>
        <w:t>Hidromorfološke obremenitve površinskih voda</w:t>
      </w:r>
      <w:r w:rsidRPr="00545EC0">
        <w:rPr>
          <w:rFonts w:ascii="Arial" w:hAnsi="Arial" w:cs="Arial"/>
          <w:sz w:val="20"/>
        </w:rPr>
        <w:t xml:space="preserve"> se delijo na:</w:t>
      </w:r>
    </w:p>
    <w:p w14:paraId="74579BD3" w14:textId="67E3891F" w:rsidR="00A06BB5" w:rsidRPr="00545EC0" w:rsidRDefault="00A06BB5" w:rsidP="00DD37C5">
      <w:pPr>
        <w:pStyle w:val="Brezrazmikov"/>
        <w:numPr>
          <w:ilvl w:val="0"/>
          <w:numId w:val="123"/>
        </w:numPr>
        <w:spacing w:line="276" w:lineRule="auto"/>
        <w:jc w:val="both"/>
        <w:rPr>
          <w:rFonts w:ascii="Arial" w:hAnsi="Arial" w:cs="Arial"/>
          <w:sz w:val="20"/>
        </w:rPr>
      </w:pPr>
      <w:r w:rsidRPr="00545EC0">
        <w:rPr>
          <w:rFonts w:ascii="Arial" w:hAnsi="Arial" w:cs="Arial"/>
          <w:sz w:val="20"/>
        </w:rPr>
        <w:t>Hidrološke obremenitve – odvzemi vode, pulzirajoči pretoki in nihanje vodne gladine, zajezitve in osuševanje zemljišč,</w:t>
      </w:r>
    </w:p>
    <w:p w14:paraId="6001F319" w14:textId="4F255EB4" w:rsidR="00A06BB5" w:rsidRPr="00545EC0" w:rsidRDefault="00A06BB5" w:rsidP="00DD37C5">
      <w:pPr>
        <w:pStyle w:val="Brezrazmikov"/>
        <w:numPr>
          <w:ilvl w:val="0"/>
          <w:numId w:val="123"/>
        </w:numPr>
        <w:spacing w:line="276" w:lineRule="auto"/>
        <w:jc w:val="both"/>
        <w:rPr>
          <w:rFonts w:ascii="Arial" w:hAnsi="Arial" w:cs="Arial"/>
          <w:sz w:val="20"/>
        </w:rPr>
      </w:pPr>
      <w:r w:rsidRPr="00545EC0">
        <w:rPr>
          <w:rFonts w:ascii="Arial" w:hAnsi="Arial" w:cs="Arial"/>
          <w:sz w:val="20"/>
        </w:rPr>
        <w:t>Obremenitve zveznosti toka – prečni objekti (jezovi, pregrade) in njihovi vplivi,</w:t>
      </w:r>
    </w:p>
    <w:p w14:paraId="45D7F341" w14:textId="3CBEF393" w:rsidR="00A06BB5" w:rsidRPr="00545EC0" w:rsidRDefault="00A06BB5" w:rsidP="00DD37C5">
      <w:pPr>
        <w:pStyle w:val="Brezrazmikov"/>
        <w:numPr>
          <w:ilvl w:val="0"/>
          <w:numId w:val="123"/>
        </w:numPr>
        <w:spacing w:line="276" w:lineRule="auto"/>
        <w:jc w:val="both"/>
        <w:rPr>
          <w:rFonts w:ascii="Arial" w:hAnsi="Arial" w:cs="Arial"/>
          <w:sz w:val="20"/>
        </w:rPr>
      </w:pPr>
      <w:r w:rsidRPr="00545EC0">
        <w:rPr>
          <w:rFonts w:ascii="Arial" w:hAnsi="Arial" w:cs="Arial"/>
          <w:sz w:val="20"/>
        </w:rPr>
        <w:t>Morfološke obremenitve –odvzemi naplavin, regulacije in ureditve struge in obale, raba tal v obrežnem pasu in plovba.</w:t>
      </w:r>
    </w:p>
    <w:p w14:paraId="10DF322B" w14:textId="77777777" w:rsidR="00ED1F41" w:rsidRPr="00545EC0" w:rsidRDefault="00ED1F41" w:rsidP="00ED1F41">
      <w:pPr>
        <w:pStyle w:val="Brezrazmikov"/>
        <w:spacing w:line="276" w:lineRule="auto"/>
        <w:jc w:val="both"/>
        <w:rPr>
          <w:rFonts w:ascii="Arial" w:hAnsi="Arial" w:cs="Arial"/>
          <w:sz w:val="20"/>
        </w:rPr>
      </w:pPr>
    </w:p>
    <w:p w14:paraId="5D945B4F" w14:textId="77777777" w:rsidR="00ED1F41" w:rsidRPr="00545EC0" w:rsidRDefault="00ED1F41" w:rsidP="00ED1F41">
      <w:pPr>
        <w:pStyle w:val="Brezrazmikov"/>
        <w:spacing w:line="276" w:lineRule="auto"/>
        <w:jc w:val="both"/>
        <w:rPr>
          <w:rFonts w:ascii="Arial" w:hAnsi="Arial" w:cs="Arial"/>
          <w:sz w:val="20"/>
        </w:rPr>
      </w:pPr>
      <w:r w:rsidRPr="00545EC0">
        <w:rPr>
          <w:rFonts w:ascii="Arial" w:hAnsi="Arial" w:cs="Arial"/>
          <w:sz w:val="20"/>
        </w:rPr>
        <w:t xml:space="preserve">Hidromorfološke obremenitve vplivajo na spremembe kemijskih in kemijsko-fizikalnih lastnosti voda in s tem spreminjajo tudi habitatne pogoje za vodne organizme. Vse to se odraža v spremenjeni združbi vodnih organizmov in posledično tudi v oceni ekološkega stanja vodnih teles površinskih voda (več kot je hidromorfoloških obremenitev, slabše je ekološko stanje). HM obremenitve povzročajo različni sektorji kot so industrija, kmetijstvo, energetika, javne storitve in druge dejavnosti (promet, turizem, </w:t>
      </w:r>
      <w:r w:rsidRPr="00545EC0">
        <w:rPr>
          <w:rFonts w:ascii="Arial" w:hAnsi="Arial" w:cs="Arial"/>
          <w:sz w:val="20"/>
        </w:rPr>
        <w:lastRenderedPageBreak/>
        <w:t>rekreacija, ipd.). Ekološko stanje je mogoče izboljšati npr. z revitalizacijo rek in izboljšanjem hidromorfoloških značilnosti vodnih teles površinskih voda, s tem pa se izboljšuje tudi količinsko stanje podzemnih voda, preprečuje nadaljnje poglabljanje rečnih strug, ohranja se vodne habitate, ipd..</w:t>
      </w:r>
    </w:p>
    <w:p w14:paraId="1F7FCEAD" w14:textId="77777777" w:rsidR="00ED1F41" w:rsidRPr="00545EC0" w:rsidRDefault="00ED1F41" w:rsidP="00ED1F41">
      <w:pPr>
        <w:pStyle w:val="Brezrazmikov"/>
        <w:spacing w:line="276" w:lineRule="auto"/>
        <w:jc w:val="both"/>
        <w:rPr>
          <w:rFonts w:ascii="Arial" w:hAnsi="Arial" w:cs="Arial"/>
          <w:sz w:val="20"/>
        </w:rPr>
      </w:pPr>
    </w:p>
    <w:p w14:paraId="052888AF" w14:textId="77777777" w:rsidR="00ED1F41" w:rsidRPr="00545EC0" w:rsidRDefault="00ED1F41" w:rsidP="00ED1F41">
      <w:pPr>
        <w:pStyle w:val="Brezrazmikov"/>
        <w:spacing w:line="276" w:lineRule="auto"/>
        <w:jc w:val="both"/>
        <w:rPr>
          <w:rFonts w:ascii="Arial" w:hAnsi="Arial" w:cs="Arial"/>
          <w:sz w:val="20"/>
        </w:rPr>
      </w:pPr>
      <w:r w:rsidRPr="00545EC0">
        <w:rPr>
          <w:rFonts w:ascii="Arial" w:hAnsi="Arial" w:cs="Arial"/>
          <w:sz w:val="20"/>
          <w:u w:val="single"/>
        </w:rPr>
        <w:t>Točkovni in razpršeni viri onesnaženja podzemnih voda</w:t>
      </w:r>
      <w:r w:rsidRPr="00545EC0">
        <w:rPr>
          <w:rFonts w:ascii="Arial" w:hAnsi="Arial" w:cs="Arial"/>
          <w:sz w:val="20"/>
        </w:rPr>
        <w:t xml:space="preserve"> se delijo na:</w:t>
      </w:r>
    </w:p>
    <w:p w14:paraId="7F106023" w14:textId="1B733019" w:rsidR="00ED1F41" w:rsidRPr="00545EC0" w:rsidRDefault="00ED1F41" w:rsidP="00DD37C5">
      <w:pPr>
        <w:pStyle w:val="Brezrazmikov"/>
        <w:numPr>
          <w:ilvl w:val="0"/>
          <w:numId w:val="124"/>
        </w:numPr>
        <w:spacing w:line="276" w:lineRule="auto"/>
        <w:jc w:val="both"/>
        <w:rPr>
          <w:rFonts w:ascii="Arial" w:hAnsi="Arial" w:cs="Arial"/>
          <w:sz w:val="20"/>
        </w:rPr>
      </w:pPr>
      <w:r w:rsidRPr="00545EC0">
        <w:rPr>
          <w:rFonts w:ascii="Arial" w:hAnsi="Arial" w:cs="Arial"/>
          <w:sz w:val="20"/>
        </w:rPr>
        <w:t xml:space="preserve">Obremenjevanje podzemne vode zaradi vnosa hranil in organskih snovi – najbolj razširjeno onesnaževalo podzemne vode v Sloveniji je nitrat, sledijo mu </w:t>
      </w:r>
      <w:r w:rsidR="00C20058" w:rsidRPr="00545EC0">
        <w:rPr>
          <w:rFonts w:ascii="Arial" w:hAnsi="Arial" w:cs="Arial"/>
          <w:sz w:val="20"/>
        </w:rPr>
        <w:t>fitofarmacevtska sredstva</w:t>
      </w:r>
      <w:r w:rsidRPr="00545EC0">
        <w:rPr>
          <w:rFonts w:ascii="Arial" w:hAnsi="Arial" w:cs="Arial"/>
          <w:sz w:val="20"/>
        </w:rPr>
        <w:t xml:space="preserve"> (</w:t>
      </w:r>
      <w:r w:rsidR="00C20058" w:rsidRPr="00545EC0">
        <w:rPr>
          <w:rFonts w:ascii="Arial" w:hAnsi="Arial" w:cs="Arial"/>
          <w:sz w:val="20"/>
        </w:rPr>
        <w:t xml:space="preserve">na primer </w:t>
      </w:r>
      <w:r w:rsidRPr="00545EC0">
        <w:rPr>
          <w:rFonts w:ascii="Arial" w:hAnsi="Arial" w:cs="Arial"/>
          <w:sz w:val="20"/>
        </w:rPr>
        <w:t>metolaklor in atrazin),</w:t>
      </w:r>
    </w:p>
    <w:p w14:paraId="21667ED4" w14:textId="2D08DD9D" w:rsidR="00DD3CED" w:rsidRPr="00545EC0" w:rsidRDefault="00DD3CED" w:rsidP="00DD37C5">
      <w:pPr>
        <w:pStyle w:val="Brezrazmikov"/>
        <w:numPr>
          <w:ilvl w:val="0"/>
          <w:numId w:val="124"/>
        </w:numPr>
        <w:spacing w:line="276" w:lineRule="auto"/>
        <w:jc w:val="both"/>
        <w:rPr>
          <w:rFonts w:ascii="Arial" w:hAnsi="Arial" w:cs="Arial"/>
          <w:sz w:val="20"/>
        </w:rPr>
      </w:pPr>
      <w:r w:rsidRPr="00545EC0">
        <w:rPr>
          <w:rFonts w:ascii="Arial" w:hAnsi="Arial" w:cs="Arial"/>
          <w:sz w:val="20"/>
        </w:rPr>
        <w:t xml:space="preserve">Obremenitve podzemne vode zaradi izpustov odpadnih vod posredno v podzemne vode ali v vodotoke, ki ponikajo, </w:t>
      </w:r>
    </w:p>
    <w:p w14:paraId="7D2B5BB2" w14:textId="7E7B7A2D" w:rsidR="00DD3CED" w:rsidRPr="00545EC0" w:rsidRDefault="00DD3CED" w:rsidP="00DD37C5">
      <w:pPr>
        <w:pStyle w:val="Brezrazmikov"/>
        <w:numPr>
          <w:ilvl w:val="0"/>
          <w:numId w:val="124"/>
        </w:numPr>
        <w:spacing w:line="276" w:lineRule="auto"/>
        <w:jc w:val="both"/>
        <w:rPr>
          <w:rFonts w:ascii="Arial" w:hAnsi="Arial" w:cs="Arial"/>
          <w:sz w:val="20"/>
        </w:rPr>
      </w:pPr>
      <w:r w:rsidRPr="00545EC0">
        <w:rPr>
          <w:rFonts w:ascii="Arial" w:hAnsi="Arial" w:cs="Arial"/>
          <w:sz w:val="20"/>
        </w:rPr>
        <w:t>Obremenitve podzemne vode iz odlagališč odpadkov – najopaznejša onesnaževala iz teh virov so anorganske in organske spojine</w:t>
      </w:r>
    </w:p>
    <w:p w14:paraId="0369C6A9" w14:textId="77777777" w:rsidR="00DD3CED" w:rsidRPr="00545EC0" w:rsidRDefault="00DD3CED" w:rsidP="00DD37C5">
      <w:pPr>
        <w:pStyle w:val="Brezrazmikov"/>
        <w:numPr>
          <w:ilvl w:val="0"/>
          <w:numId w:val="124"/>
        </w:numPr>
        <w:spacing w:line="276" w:lineRule="auto"/>
        <w:jc w:val="both"/>
        <w:rPr>
          <w:rFonts w:ascii="Arial" w:hAnsi="Arial" w:cs="Arial"/>
          <w:sz w:val="20"/>
        </w:rPr>
      </w:pPr>
      <w:r w:rsidRPr="00545EC0">
        <w:rPr>
          <w:rFonts w:ascii="Arial" w:hAnsi="Arial" w:cs="Arial"/>
          <w:sz w:val="20"/>
        </w:rPr>
        <w:t>Obremenitve podzemnih vod zaradi rudarskih objektov – posledica neustreznih sanacij rudarskih objektov in gramoznic</w:t>
      </w:r>
    </w:p>
    <w:p w14:paraId="0BF6F2C7" w14:textId="77777777" w:rsidR="00DD3CED" w:rsidRPr="00545EC0" w:rsidRDefault="00DD3CED" w:rsidP="00DD37C5">
      <w:pPr>
        <w:pStyle w:val="Brezrazmikov"/>
        <w:numPr>
          <w:ilvl w:val="0"/>
          <w:numId w:val="124"/>
        </w:numPr>
        <w:spacing w:line="276" w:lineRule="auto"/>
        <w:jc w:val="both"/>
        <w:rPr>
          <w:rFonts w:ascii="Arial" w:hAnsi="Arial" w:cs="Arial"/>
          <w:sz w:val="20"/>
        </w:rPr>
      </w:pPr>
      <w:r w:rsidRPr="00545EC0">
        <w:rPr>
          <w:rFonts w:ascii="Arial" w:hAnsi="Arial" w:cs="Arial"/>
          <w:sz w:val="20"/>
        </w:rPr>
        <w:t>Obremenitve podzemnih vod zaradi pridobivanja toplote</w:t>
      </w:r>
    </w:p>
    <w:p w14:paraId="1BCC644F" w14:textId="77777777" w:rsidR="00DD3CED" w:rsidRPr="00545EC0" w:rsidRDefault="00DD3CED" w:rsidP="00DD37C5">
      <w:pPr>
        <w:pStyle w:val="Brezrazmikov"/>
        <w:numPr>
          <w:ilvl w:val="0"/>
          <w:numId w:val="124"/>
        </w:numPr>
        <w:spacing w:line="276" w:lineRule="auto"/>
        <w:jc w:val="both"/>
        <w:rPr>
          <w:rFonts w:ascii="Arial" w:hAnsi="Arial" w:cs="Arial"/>
          <w:sz w:val="20"/>
        </w:rPr>
      </w:pPr>
      <w:r w:rsidRPr="00545EC0">
        <w:rPr>
          <w:rFonts w:ascii="Arial" w:hAnsi="Arial" w:cs="Arial"/>
          <w:sz w:val="20"/>
        </w:rPr>
        <w:t>Večtočkovni viri onesnaženja podzemne vode – industrijska območja</w:t>
      </w:r>
    </w:p>
    <w:p w14:paraId="5116232A" w14:textId="77777777" w:rsidR="00ED1F41" w:rsidRPr="00545EC0" w:rsidRDefault="00ED1F41" w:rsidP="00ED1F41">
      <w:pPr>
        <w:pStyle w:val="Brezrazmikov"/>
        <w:spacing w:line="276" w:lineRule="auto"/>
        <w:jc w:val="both"/>
        <w:rPr>
          <w:rFonts w:ascii="Arial" w:hAnsi="Arial" w:cs="Arial"/>
          <w:sz w:val="20"/>
        </w:rPr>
      </w:pPr>
    </w:p>
    <w:p w14:paraId="7B7F3F36" w14:textId="36CB7791" w:rsidR="00DD3CED" w:rsidRPr="00545EC0" w:rsidRDefault="00DD3CED" w:rsidP="00DD3CED">
      <w:pPr>
        <w:pStyle w:val="Brezrazmikov"/>
        <w:spacing w:line="276" w:lineRule="auto"/>
        <w:jc w:val="both"/>
        <w:rPr>
          <w:rFonts w:ascii="Arial" w:hAnsi="Arial" w:cs="Arial"/>
          <w:sz w:val="20"/>
        </w:rPr>
      </w:pPr>
      <w:r w:rsidRPr="00545EC0">
        <w:rPr>
          <w:rFonts w:ascii="Arial" w:hAnsi="Arial" w:cs="Arial"/>
          <w:sz w:val="20"/>
        </w:rPr>
        <w:t xml:space="preserve">Hidrološke obremenitve podzemnih voda so v Slovenji vezane na črpanje podzemne vode in so predvsem očitne na območjih črpanja geotermalnih in termalnih voda (večinoma nepovratni sistemi črpanja). </w:t>
      </w:r>
    </w:p>
    <w:p w14:paraId="6B3F3446" w14:textId="77777777" w:rsidR="00ED1F41" w:rsidRPr="00545EC0" w:rsidRDefault="00ED1F41" w:rsidP="00ED1F41">
      <w:pPr>
        <w:pStyle w:val="Brezrazmikov"/>
        <w:spacing w:line="276" w:lineRule="auto"/>
        <w:jc w:val="both"/>
        <w:rPr>
          <w:rFonts w:ascii="Arial" w:hAnsi="Arial" w:cs="Arial"/>
          <w:sz w:val="20"/>
        </w:rPr>
      </w:pPr>
    </w:p>
    <w:p w14:paraId="78E1919C" w14:textId="77777777" w:rsidR="00B43D66" w:rsidRPr="00545EC0" w:rsidRDefault="004C7CDB" w:rsidP="00ED1F41">
      <w:pPr>
        <w:pStyle w:val="Brezrazmikov"/>
        <w:spacing w:line="276" w:lineRule="auto"/>
        <w:jc w:val="both"/>
        <w:rPr>
          <w:rFonts w:ascii="Arial" w:hAnsi="Arial" w:cs="Arial"/>
          <w:b/>
          <w:sz w:val="20"/>
          <w:u w:val="single"/>
        </w:rPr>
      </w:pPr>
      <w:r w:rsidRPr="00545EC0">
        <w:rPr>
          <w:rFonts w:ascii="Arial" w:hAnsi="Arial" w:cs="Arial"/>
          <w:b/>
          <w:sz w:val="20"/>
          <w:u w:val="single"/>
        </w:rPr>
        <w:t>Stanje voda v Sloveniji</w:t>
      </w:r>
    </w:p>
    <w:p w14:paraId="7A54E401" w14:textId="77777777" w:rsidR="00B43D66" w:rsidRPr="00545EC0" w:rsidRDefault="00B43D66" w:rsidP="00ED1F41">
      <w:pPr>
        <w:pStyle w:val="Brezrazmikov"/>
        <w:spacing w:line="276" w:lineRule="auto"/>
        <w:jc w:val="both"/>
        <w:rPr>
          <w:rFonts w:ascii="Arial" w:hAnsi="Arial" w:cs="Arial"/>
          <w:sz w:val="20"/>
          <w:u w:val="single"/>
        </w:rPr>
      </w:pPr>
    </w:p>
    <w:p w14:paraId="72C54947" w14:textId="009BF6BA" w:rsidR="00ED1F41" w:rsidRPr="00545EC0" w:rsidRDefault="00ED1F41" w:rsidP="00ED1F41">
      <w:pPr>
        <w:pStyle w:val="Brezrazmikov"/>
        <w:spacing w:line="276" w:lineRule="auto"/>
        <w:jc w:val="both"/>
        <w:rPr>
          <w:rFonts w:ascii="Arial" w:hAnsi="Arial" w:cs="Arial"/>
          <w:sz w:val="20"/>
        </w:rPr>
      </w:pPr>
      <w:r w:rsidRPr="00545EC0">
        <w:rPr>
          <w:rFonts w:ascii="Arial" w:hAnsi="Arial" w:cs="Arial"/>
          <w:sz w:val="20"/>
        </w:rPr>
        <w:t>Stanje voda v Sloveniji predstavlja oceno stanja voda, ki je izhodišče za pripravo ukrepov za doseganje dobrega stanja vodnih teles površinskih in podzemnih voda. Pri površinskih voda je potrebno doseči dobro kemijsko in ekološko stanje, pri podzemnih pa dobro količinsko in kemijsko stanje. Mejne vrednosti za koncentracije kemijskih onesnaževal v površinskih vodah so določene tako, da so zaščiteni tudi najmanjši organizmi, ki živijo v vodi, s tem</w:t>
      </w:r>
      <w:r w:rsidR="00D83F34" w:rsidRPr="00545EC0">
        <w:rPr>
          <w:rFonts w:ascii="Arial" w:hAnsi="Arial" w:cs="Arial"/>
          <w:sz w:val="20"/>
        </w:rPr>
        <w:t xml:space="preserve"> namreč</w:t>
      </w:r>
      <w:r w:rsidRPr="00545EC0">
        <w:rPr>
          <w:rFonts w:ascii="Arial" w:hAnsi="Arial" w:cs="Arial"/>
          <w:sz w:val="20"/>
        </w:rPr>
        <w:t xml:space="preserve"> onesnaženje zmanjšamo do te mere, da je vodno okolje varno tudi za vsa druga bitja. Trenutno je določenih 45 snovi, ki pomenijo znatno tvegane za vodno okolje in za katere so določeni enotni okoljski standardi kakovosti.</w:t>
      </w:r>
    </w:p>
    <w:p w14:paraId="15991F8F" w14:textId="77777777" w:rsidR="00ED1F41" w:rsidRPr="00545EC0" w:rsidRDefault="00ED1F41" w:rsidP="00ED1F41">
      <w:pPr>
        <w:pStyle w:val="Brezrazmikov"/>
        <w:spacing w:line="276" w:lineRule="auto"/>
        <w:jc w:val="both"/>
        <w:rPr>
          <w:rFonts w:ascii="Arial" w:hAnsi="Arial" w:cs="Arial"/>
          <w:sz w:val="20"/>
        </w:rPr>
      </w:pPr>
    </w:p>
    <w:p w14:paraId="2E5C60AE" w14:textId="36B6CE04" w:rsidR="00ED1F41" w:rsidRPr="00545EC0" w:rsidRDefault="00ED1F41" w:rsidP="00ED1F41">
      <w:pPr>
        <w:pStyle w:val="Brezrazmikov"/>
        <w:spacing w:line="276" w:lineRule="auto"/>
        <w:jc w:val="both"/>
        <w:rPr>
          <w:rFonts w:ascii="Arial" w:hAnsi="Arial" w:cs="Arial"/>
          <w:sz w:val="20"/>
        </w:rPr>
      </w:pPr>
      <w:r w:rsidRPr="00545EC0">
        <w:rPr>
          <w:rFonts w:ascii="Arial" w:hAnsi="Arial" w:cs="Arial"/>
          <w:sz w:val="20"/>
        </w:rPr>
        <w:t>Kriteriji za oceno kemijskega stanja so se v primerjavi s kriteriji za oceno, ki je bila podana v Načrtu upravljanja voda 2016-2021 nekoliko spremenili in sicer: na listo je bilo dodano 12 novih snovi, za nekaj snovi so bili določeni strožji standardi kakovosti</w:t>
      </w:r>
      <w:r w:rsidR="00D83F34" w:rsidRPr="00545EC0">
        <w:rPr>
          <w:rFonts w:ascii="Arial" w:hAnsi="Arial" w:cs="Arial"/>
          <w:sz w:val="20"/>
        </w:rPr>
        <w:t>,</w:t>
      </w:r>
      <w:r w:rsidRPr="00545EC0">
        <w:rPr>
          <w:rFonts w:ascii="Arial" w:hAnsi="Arial" w:cs="Arial"/>
          <w:sz w:val="20"/>
        </w:rPr>
        <w:t xml:space="preserve"> za 11 snovi </w:t>
      </w:r>
      <w:r w:rsidR="00D83F34" w:rsidRPr="00545EC0">
        <w:rPr>
          <w:rFonts w:ascii="Arial" w:hAnsi="Arial" w:cs="Arial"/>
          <w:sz w:val="20"/>
        </w:rPr>
        <w:t xml:space="preserve">pa </w:t>
      </w:r>
      <w:r w:rsidRPr="00545EC0">
        <w:rPr>
          <w:rFonts w:ascii="Arial" w:hAnsi="Arial" w:cs="Arial"/>
          <w:sz w:val="20"/>
        </w:rPr>
        <w:t>so bili določeni tudi okoljski standardi za organizme.</w:t>
      </w:r>
    </w:p>
    <w:p w14:paraId="28F5C1BD" w14:textId="77777777" w:rsidR="00ED1F41" w:rsidRPr="00545EC0" w:rsidRDefault="00ED1F41" w:rsidP="00ED1F41">
      <w:pPr>
        <w:pStyle w:val="Brezrazmikov"/>
        <w:spacing w:line="276" w:lineRule="auto"/>
        <w:jc w:val="both"/>
        <w:rPr>
          <w:rFonts w:ascii="Arial" w:hAnsi="Arial" w:cs="Arial"/>
          <w:sz w:val="20"/>
        </w:rPr>
      </w:pPr>
    </w:p>
    <w:p w14:paraId="771630EB" w14:textId="73B2AF35" w:rsidR="00ED1F41" w:rsidRPr="00545EC0" w:rsidRDefault="00ED1F41" w:rsidP="00ED1F41">
      <w:pPr>
        <w:pStyle w:val="Brezrazmikov"/>
        <w:spacing w:line="276" w:lineRule="auto"/>
        <w:jc w:val="both"/>
        <w:rPr>
          <w:rFonts w:ascii="Arial" w:hAnsi="Arial" w:cs="Arial"/>
          <w:sz w:val="20"/>
        </w:rPr>
      </w:pPr>
      <w:r w:rsidRPr="00545EC0">
        <w:rPr>
          <w:rFonts w:ascii="Arial" w:hAnsi="Arial" w:cs="Arial"/>
          <w:sz w:val="20"/>
        </w:rPr>
        <w:t xml:space="preserve">Glavni dve snovi, ki povzročata slabo kemijsko stanje vseh površinskih voda v Sloveniji sta živo srebro in bromirani difeniletri (BDE). Poleg omenjenih dveh snovi, pa so zaznani še problemi, ki so posledica kadmija, niklja, svinca, dioksinov in njim podobnim spojin in polikloriranimi bifenili (PCB). </w:t>
      </w:r>
    </w:p>
    <w:p w14:paraId="295FAF98" w14:textId="77777777" w:rsidR="00ED1F41" w:rsidRPr="00545EC0" w:rsidRDefault="00ED1F41" w:rsidP="00ED1F41">
      <w:pPr>
        <w:pStyle w:val="Brezrazmikov"/>
        <w:spacing w:line="276" w:lineRule="auto"/>
        <w:jc w:val="both"/>
        <w:rPr>
          <w:rFonts w:ascii="Arial" w:hAnsi="Arial" w:cs="Arial"/>
          <w:sz w:val="20"/>
        </w:rPr>
      </w:pPr>
    </w:p>
    <w:p w14:paraId="56E0163C" w14:textId="1E0A4F37" w:rsidR="00ED1F41" w:rsidRPr="00545EC0" w:rsidRDefault="00ED1F41" w:rsidP="00ED1F41">
      <w:pPr>
        <w:pStyle w:val="Brezrazmikov"/>
        <w:spacing w:line="276" w:lineRule="auto"/>
        <w:jc w:val="both"/>
        <w:rPr>
          <w:rFonts w:ascii="Arial" w:hAnsi="Arial" w:cs="Arial"/>
          <w:sz w:val="20"/>
        </w:rPr>
      </w:pPr>
      <w:r w:rsidRPr="00545EC0">
        <w:rPr>
          <w:rFonts w:ascii="Arial" w:hAnsi="Arial" w:cs="Arial"/>
          <w:sz w:val="20"/>
        </w:rPr>
        <w:t xml:space="preserve">V dokumentu so povzeta tudi t.i. posebna onesnaževala, ki so razlog za zmerno ekološko stanje površinskih voda in sicer so to metaklor, terbutilazin, kobalt, cink, sulfat, molibden in PCB. Zaradi čezmerne vsebnosti teh snovi skupno 11 VT rek in 3 VT zadrževalnikov ne </w:t>
      </w:r>
      <w:r w:rsidR="00C12042" w:rsidRPr="00545EC0">
        <w:rPr>
          <w:rFonts w:ascii="Arial" w:hAnsi="Arial" w:cs="Arial"/>
          <w:sz w:val="20"/>
        </w:rPr>
        <w:t>dosega dobrega</w:t>
      </w:r>
      <w:r w:rsidRPr="00545EC0">
        <w:rPr>
          <w:rFonts w:ascii="Arial" w:hAnsi="Arial" w:cs="Arial"/>
          <w:sz w:val="20"/>
        </w:rPr>
        <w:t xml:space="preserve"> ekološkega stanja. </w:t>
      </w:r>
    </w:p>
    <w:p w14:paraId="6DC1E897" w14:textId="77777777" w:rsidR="00ED1F41" w:rsidRPr="00545EC0" w:rsidRDefault="00ED1F41" w:rsidP="00ED1F41">
      <w:pPr>
        <w:spacing w:line="240" w:lineRule="auto"/>
        <w:rPr>
          <w:rStyle w:val="hps"/>
          <w:rFonts w:cs="Arial"/>
          <w:szCs w:val="20"/>
        </w:rPr>
      </w:pPr>
    </w:p>
    <w:p w14:paraId="4304DF2B" w14:textId="0518CC31" w:rsidR="00ED1F41" w:rsidRPr="00545EC0" w:rsidRDefault="00ED1F41" w:rsidP="00ED1F41">
      <w:pPr>
        <w:rPr>
          <w:rFonts w:cs="Arial"/>
        </w:rPr>
      </w:pPr>
      <w:r w:rsidRPr="00545EC0">
        <w:rPr>
          <w:rStyle w:val="hps"/>
          <w:rFonts w:cs="Arial"/>
          <w:szCs w:val="20"/>
        </w:rPr>
        <w:t>Ekološko stanje površinskih voda se vrednoti na podlagi t.i. bioloških elementov kakovosti. Podatki za prikazano oceno ekološkega stanja površinskih voda so bili v obdobju 201</w:t>
      </w:r>
      <w:r w:rsidR="00A210D3" w:rsidRPr="00545EC0">
        <w:rPr>
          <w:rStyle w:val="hps"/>
          <w:rFonts w:cs="Arial"/>
          <w:szCs w:val="20"/>
        </w:rPr>
        <w:t>4</w:t>
      </w:r>
      <w:r w:rsidRPr="00545EC0">
        <w:rPr>
          <w:rStyle w:val="hps"/>
          <w:rFonts w:cs="Arial"/>
          <w:szCs w:val="20"/>
        </w:rPr>
        <w:t xml:space="preserve">-2019 zbrani na 154 naravnih, </w:t>
      </w:r>
      <w:r w:rsidRPr="00545EC0">
        <w:rPr>
          <w:rFonts w:cs="Arial"/>
        </w:rPr>
        <w:t xml:space="preserve">močno preoblikovanih in umetnih vodnih telesih vodotokov, jezer, zadrževalnikov in obalnega morja. V tem obdobju je vsaj dobro ekološko stanje dosegalo </w:t>
      </w:r>
      <w:r w:rsidR="00A210D3" w:rsidRPr="00545EC0">
        <w:rPr>
          <w:rFonts w:cs="Arial"/>
        </w:rPr>
        <w:t xml:space="preserve">76 </w:t>
      </w:r>
      <w:r w:rsidRPr="00545EC0">
        <w:rPr>
          <w:rFonts w:cs="Arial"/>
        </w:rPr>
        <w:t>oz</w:t>
      </w:r>
      <w:r w:rsidR="00E44DAA" w:rsidRPr="00545EC0">
        <w:rPr>
          <w:rFonts w:cs="Arial"/>
        </w:rPr>
        <w:t>.</w:t>
      </w:r>
      <w:r w:rsidRPr="00545EC0">
        <w:rPr>
          <w:rFonts w:cs="Arial"/>
        </w:rPr>
        <w:t xml:space="preserve"> 49</w:t>
      </w:r>
      <w:r w:rsidR="00E44DAA" w:rsidRPr="00545EC0">
        <w:rPr>
          <w:rFonts w:cs="Arial"/>
        </w:rPr>
        <w:t xml:space="preserve"> </w:t>
      </w:r>
      <w:r w:rsidRPr="00545EC0">
        <w:rPr>
          <w:rFonts w:cs="Arial"/>
        </w:rPr>
        <w:t xml:space="preserve">% VTPV. Preostalih </w:t>
      </w:r>
      <w:r w:rsidR="00A210D3" w:rsidRPr="00545EC0">
        <w:rPr>
          <w:rFonts w:cs="Arial"/>
        </w:rPr>
        <w:t xml:space="preserve">78 </w:t>
      </w:r>
      <w:r w:rsidRPr="00545EC0">
        <w:rPr>
          <w:rFonts w:cs="Arial"/>
        </w:rPr>
        <w:t>oz. 51 % vodnih teles je v zmernem, slabem ali zelo slabem ekološkem stanju. Dobro ekološko stanje imajo vsa vodna telesa obalnega morja in le 4 oz. 36 % jezer ali zadrževalnikov. Vsaj dobro ekološko stanje dosega 6</w:t>
      </w:r>
      <w:r w:rsidR="00A210D3" w:rsidRPr="00545EC0">
        <w:rPr>
          <w:rFonts w:cs="Arial"/>
        </w:rPr>
        <w:t>7</w:t>
      </w:r>
      <w:r w:rsidRPr="00545EC0">
        <w:rPr>
          <w:rFonts w:cs="Arial"/>
        </w:rPr>
        <w:t xml:space="preserve"> oz. 4</w:t>
      </w:r>
      <w:r w:rsidR="00A210D3" w:rsidRPr="00545EC0">
        <w:rPr>
          <w:rFonts w:cs="Arial"/>
        </w:rPr>
        <w:t>9</w:t>
      </w:r>
      <w:r w:rsidRPr="00545EC0">
        <w:rPr>
          <w:rFonts w:cs="Arial"/>
        </w:rPr>
        <w:t xml:space="preserve"> % vodnih teles vodotokov. </w:t>
      </w:r>
    </w:p>
    <w:p w14:paraId="2CF24745" w14:textId="77777777" w:rsidR="00ED1F41" w:rsidRPr="00545EC0" w:rsidRDefault="00ED1F41" w:rsidP="00ED1F41">
      <w:pPr>
        <w:rPr>
          <w:rFonts w:cs="Arial"/>
        </w:rPr>
      </w:pPr>
    </w:p>
    <w:p w14:paraId="01A39006" w14:textId="77777777" w:rsidR="00ED1F41" w:rsidRPr="00545EC0" w:rsidRDefault="00ED1F41" w:rsidP="00ED1F41">
      <w:pPr>
        <w:rPr>
          <w:rFonts w:cs="Arial"/>
        </w:rPr>
      </w:pPr>
    </w:p>
    <w:p w14:paraId="7AD8E070" w14:textId="762AF8A6" w:rsidR="00ED1F41" w:rsidRPr="00545EC0" w:rsidRDefault="00ED1F41" w:rsidP="00ED1F41">
      <w:pPr>
        <w:rPr>
          <w:rFonts w:cs="Arial"/>
        </w:rPr>
      </w:pPr>
      <w:r w:rsidRPr="00545EC0">
        <w:rPr>
          <w:rFonts w:cs="Arial"/>
        </w:rPr>
        <w:t xml:space="preserve">Pri kemijskemu stanju podzemne vode rezultati monitorniga kažejo, da so bolj obremenjena tista VTPodV, pri katerih prevladujejo vodonosniki </w:t>
      </w:r>
      <w:r w:rsidR="00304B50" w:rsidRPr="00545EC0">
        <w:rPr>
          <w:rFonts w:cs="Arial"/>
        </w:rPr>
        <w:t xml:space="preserve">z </w:t>
      </w:r>
      <w:r w:rsidRPr="00545EC0">
        <w:rPr>
          <w:rFonts w:cs="Arial"/>
        </w:rPr>
        <w:t>medzrnski poroznostjo, boljša kakovost podzemne vode pa je opazna pri tistih VTPodV, kjer prevladujejo vodonosniki z razpoklinsko ali kraško poroznostjo.</w:t>
      </w:r>
    </w:p>
    <w:p w14:paraId="6D27139C" w14:textId="77777777" w:rsidR="00ED1F41" w:rsidRPr="00545EC0" w:rsidRDefault="00ED1F41" w:rsidP="00ED1F41">
      <w:pPr>
        <w:pStyle w:val="Brezrazmikov"/>
        <w:spacing w:line="276" w:lineRule="auto"/>
        <w:jc w:val="both"/>
        <w:rPr>
          <w:rFonts w:ascii="Arial" w:hAnsi="Arial" w:cs="Arial"/>
          <w:sz w:val="20"/>
        </w:rPr>
      </w:pPr>
    </w:p>
    <w:p w14:paraId="0F2834B2" w14:textId="37E5EDC8" w:rsidR="00ED1F41" w:rsidRPr="00545EC0" w:rsidRDefault="00ED1F41" w:rsidP="00ED1F41">
      <w:pPr>
        <w:pStyle w:val="Brezrazmikov"/>
        <w:spacing w:line="276" w:lineRule="auto"/>
        <w:jc w:val="both"/>
        <w:rPr>
          <w:rFonts w:ascii="Arial" w:hAnsi="Arial" w:cs="Arial"/>
          <w:sz w:val="20"/>
        </w:rPr>
      </w:pPr>
      <w:r w:rsidRPr="00545EC0">
        <w:rPr>
          <w:rFonts w:ascii="Arial" w:hAnsi="Arial" w:cs="Arial"/>
          <w:sz w:val="20"/>
        </w:rPr>
        <w:t>V letu 2019 se je vsebnost nitratov v VTPodV spremljala na 176 merilnih mestih, od tega je bil standard kakovosti presežen na 19 merilnih mestih oz</w:t>
      </w:r>
      <w:r w:rsidR="00D83F34" w:rsidRPr="00545EC0">
        <w:rPr>
          <w:rFonts w:ascii="Arial" w:hAnsi="Arial" w:cs="Arial"/>
          <w:sz w:val="20"/>
        </w:rPr>
        <w:t>.</w:t>
      </w:r>
      <w:r w:rsidRPr="00545EC0">
        <w:rPr>
          <w:rFonts w:ascii="Arial" w:hAnsi="Arial" w:cs="Arial"/>
          <w:sz w:val="20"/>
        </w:rPr>
        <w:t xml:space="preserve"> na 10,8% vseh merilnih mest. Vseh 19 neustreznih merilnih mest se nahaja v vodonosnikih z medzrnsko poroznostjo, saj so tam obremenitve in kmetijska dejavnost najizrazitejše. Na ostalih VTPodV so bile vrednosti nitrata pod standardom kakovosti. </w:t>
      </w:r>
    </w:p>
    <w:p w14:paraId="147A4F3B" w14:textId="77777777" w:rsidR="00ED1F41" w:rsidRPr="00545EC0" w:rsidRDefault="00ED1F41" w:rsidP="00ED1F41">
      <w:pPr>
        <w:pStyle w:val="Brezrazmikov"/>
        <w:spacing w:line="276" w:lineRule="auto"/>
        <w:jc w:val="both"/>
        <w:rPr>
          <w:rFonts w:ascii="Arial" w:hAnsi="Arial" w:cs="Arial"/>
          <w:sz w:val="20"/>
        </w:rPr>
      </w:pPr>
    </w:p>
    <w:p w14:paraId="333E579C" w14:textId="77777777" w:rsidR="00ED1F41" w:rsidRPr="00545EC0" w:rsidRDefault="00ED1F41" w:rsidP="00ED1F41">
      <w:pPr>
        <w:pStyle w:val="Brezrazmikov"/>
        <w:spacing w:line="276" w:lineRule="auto"/>
        <w:jc w:val="both"/>
        <w:rPr>
          <w:rFonts w:ascii="Arial" w:hAnsi="Arial" w:cs="Arial"/>
          <w:sz w:val="20"/>
        </w:rPr>
      </w:pPr>
      <w:r w:rsidRPr="00545EC0">
        <w:rPr>
          <w:rFonts w:ascii="Arial" w:hAnsi="Arial" w:cs="Arial"/>
          <w:sz w:val="20"/>
        </w:rPr>
        <w:t xml:space="preserve">Najbolj obremenjena VTPodV se nahajajo v severozahodnem delu Slovenije in so v veliki meri posledica intenzivnih človeških dejavnosti. Slabo kemijsko stanje VTPodV je tako še vedno ugotovljeno za VT Savinjske, Dravske in Murske kotline, torej gre za enako stanje kot je bilo določeno za NUV II. Voda za zgoraj omenjena VTPodV je prekomerno onesnažena predvsem z nitrati, v Dravski kotlini tudi z atrazinom in desetil-atrazinom. Lokalno je na nekaterih VTPodV zaznana tudi obremenjenost z lahkohlapnimi halogeniranimi ogljikovodiki.  </w:t>
      </w:r>
    </w:p>
    <w:p w14:paraId="79B3D8F4" w14:textId="77777777" w:rsidR="00ED1F41" w:rsidRPr="00545EC0" w:rsidRDefault="00ED1F41" w:rsidP="00ED1F41">
      <w:pPr>
        <w:pStyle w:val="Brezrazmikov"/>
        <w:spacing w:line="276" w:lineRule="auto"/>
        <w:jc w:val="both"/>
        <w:rPr>
          <w:rFonts w:ascii="Arial" w:hAnsi="Arial" w:cs="Arial"/>
          <w:sz w:val="20"/>
        </w:rPr>
      </w:pPr>
    </w:p>
    <w:p w14:paraId="03970E51" w14:textId="1621981F" w:rsidR="00ED1F41" w:rsidRPr="00545EC0" w:rsidRDefault="00ED1F41" w:rsidP="00ED1F41">
      <w:pPr>
        <w:pStyle w:val="Brezrazmikov"/>
        <w:spacing w:line="276" w:lineRule="auto"/>
        <w:jc w:val="both"/>
        <w:rPr>
          <w:rFonts w:ascii="Arial" w:hAnsi="Arial" w:cs="Arial"/>
          <w:sz w:val="20"/>
        </w:rPr>
      </w:pPr>
      <w:r w:rsidRPr="00545EC0">
        <w:rPr>
          <w:rFonts w:ascii="Arial" w:hAnsi="Arial" w:cs="Arial"/>
          <w:sz w:val="20"/>
        </w:rPr>
        <w:t>V letu 2019 je izmed pesticidov</w:t>
      </w:r>
      <w:r w:rsidR="00304B50" w:rsidRPr="00545EC0">
        <w:rPr>
          <w:rFonts w:ascii="Arial" w:hAnsi="Arial" w:cs="Arial"/>
          <w:sz w:val="20"/>
        </w:rPr>
        <w:t>, to je izmed fi</w:t>
      </w:r>
      <w:r w:rsidR="00E1627C" w:rsidRPr="00545EC0">
        <w:rPr>
          <w:rFonts w:ascii="Arial" w:hAnsi="Arial" w:cs="Arial"/>
          <w:sz w:val="20"/>
        </w:rPr>
        <w:t>tofarmacevtskih sredstev in biocidov,</w:t>
      </w:r>
      <w:r w:rsidRPr="00545EC0">
        <w:rPr>
          <w:rFonts w:ascii="Arial" w:hAnsi="Arial" w:cs="Arial"/>
          <w:sz w:val="20"/>
        </w:rPr>
        <w:t xml:space="preserve"> standard kakovosti v največji meri presegala vrednost atrazina in sicer na 4 merilnih mestih oz. 2,2% in njegovega razgradnega produkta desetil-atrazina na 3 merilnih mestih oz. 1,7%. Preseganj metolaklora, prometrina in propikonazila je bilo občutno manj. Vsa merilna mesta s preseganji se nahajajo v vodonosnikih z medzrnsko poroznostjo</w:t>
      </w:r>
      <w:r w:rsidRPr="00545EC0">
        <w:rPr>
          <w:rFonts w:ascii="Arial" w:hAnsi="Arial" w:cs="Arial"/>
          <w:b/>
          <w:sz w:val="20"/>
        </w:rPr>
        <w:t>.</w:t>
      </w:r>
    </w:p>
    <w:p w14:paraId="550CEEB3" w14:textId="77777777" w:rsidR="00ED1F41" w:rsidRPr="00545EC0" w:rsidRDefault="00ED1F41" w:rsidP="00ED1F41">
      <w:pPr>
        <w:pStyle w:val="Brezrazmikov"/>
        <w:spacing w:line="276" w:lineRule="auto"/>
        <w:jc w:val="both"/>
        <w:rPr>
          <w:rFonts w:ascii="Arial" w:hAnsi="Arial" w:cs="Arial"/>
          <w:sz w:val="20"/>
        </w:rPr>
      </w:pPr>
    </w:p>
    <w:p w14:paraId="6C2E287C" w14:textId="1CEFC85D" w:rsidR="00ED1F41" w:rsidRPr="00545EC0" w:rsidRDefault="00ED1F41" w:rsidP="00ED1F41">
      <w:pPr>
        <w:pStyle w:val="Brezrazmikov"/>
        <w:spacing w:line="276" w:lineRule="auto"/>
        <w:jc w:val="both"/>
        <w:rPr>
          <w:rFonts w:ascii="Arial" w:hAnsi="Arial" w:cs="Arial"/>
          <w:sz w:val="20"/>
        </w:rPr>
      </w:pPr>
      <w:r w:rsidRPr="00545EC0">
        <w:rPr>
          <w:rFonts w:ascii="Arial" w:hAnsi="Arial" w:cs="Arial"/>
          <w:sz w:val="20"/>
        </w:rPr>
        <w:t xml:space="preserve">Monitoring količinskega stanja podzemnih voda je pokazal, da je bilo v letu 2017 od skupno 21 VTPodV, kar 20 VTPodV v plitvih vodonosnikih ocenjenih s skupno oceno dobro. Količinsko stanje za VTPodV Dravska kotlina pa je, </w:t>
      </w:r>
      <w:r w:rsidR="00DD3CED" w:rsidRPr="00545EC0">
        <w:rPr>
          <w:rFonts w:ascii="Arial" w:hAnsi="Arial" w:cs="Arial"/>
          <w:sz w:val="20"/>
        </w:rPr>
        <w:t>zaradi neizpolnjevanja kriterijev za dobro količinsko stanje, ki je posledica vdora vode slabše kakovost</w:t>
      </w:r>
      <w:r w:rsidR="00304B50" w:rsidRPr="00545EC0">
        <w:rPr>
          <w:rFonts w:ascii="Arial" w:hAnsi="Arial" w:cs="Arial"/>
          <w:sz w:val="20"/>
        </w:rPr>
        <w:t>i (nitrati), ocenjeno kot slabo</w:t>
      </w:r>
      <w:r w:rsidRPr="00545EC0">
        <w:rPr>
          <w:rFonts w:ascii="Arial" w:hAnsi="Arial" w:cs="Arial"/>
          <w:sz w:val="20"/>
        </w:rPr>
        <w:t>. Skupno je bilo leta 2017 v 21 plitvih vodonosnikih VTPodV razpoložljivih 3.794 milijonov m</w:t>
      </w:r>
      <w:r w:rsidRPr="00545EC0">
        <w:rPr>
          <w:rFonts w:ascii="Arial" w:hAnsi="Arial" w:cs="Arial"/>
          <w:sz w:val="20"/>
          <w:vertAlign w:val="superscript"/>
        </w:rPr>
        <w:t>3</w:t>
      </w:r>
      <w:r w:rsidRPr="00545EC0">
        <w:rPr>
          <w:rFonts w:ascii="Arial" w:hAnsi="Arial" w:cs="Arial"/>
          <w:sz w:val="20"/>
        </w:rPr>
        <w:t xml:space="preserve"> podzemnih voda, skupne odvzete količine pa so glede na evidence znašale 191 milijonov m</w:t>
      </w:r>
      <w:r w:rsidRPr="00545EC0">
        <w:rPr>
          <w:rFonts w:ascii="Arial" w:hAnsi="Arial" w:cs="Arial"/>
          <w:sz w:val="20"/>
          <w:vertAlign w:val="superscript"/>
        </w:rPr>
        <w:t xml:space="preserve">3 </w:t>
      </w:r>
      <w:r w:rsidRPr="00545EC0">
        <w:rPr>
          <w:rFonts w:ascii="Arial" w:hAnsi="Arial" w:cs="Arial"/>
          <w:sz w:val="20"/>
        </w:rPr>
        <w:t xml:space="preserve">oz. 5% količin podzemne vode. </w:t>
      </w:r>
    </w:p>
    <w:p w14:paraId="41D4069F" w14:textId="77777777" w:rsidR="00ED1F41" w:rsidRPr="00545EC0" w:rsidRDefault="00ED1F41" w:rsidP="00ED1F41">
      <w:pPr>
        <w:pStyle w:val="Brezrazmikov"/>
        <w:spacing w:line="276" w:lineRule="auto"/>
        <w:jc w:val="both"/>
        <w:rPr>
          <w:rFonts w:ascii="Arial" w:hAnsi="Arial" w:cs="Arial"/>
          <w:sz w:val="20"/>
        </w:rPr>
      </w:pPr>
    </w:p>
    <w:p w14:paraId="1AA9B904" w14:textId="77777777" w:rsidR="00ED1F41" w:rsidRPr="00545EC0" w:rsidRDefault="00ED1F41" w:rsidP="00ED1F41">
      <w:pPr>
        <w:pStyle w:val="Brezrazmikov"/>
        <w:spacing w:line="276" w:lineRule="auto"/>
        <w:jc w:val="both"/>
        <w:rPr>
          <w:rFonts w:ascii="Arial" w:hAnsi="Arial" w:cs="Arial"/>
          <w:sz w:val="20"/>
        </w:rPr>
      </w:pPr>
    </w:p>
    <w:p w14:paraId="7C2B9A81" w14:textId="77777777" w:rsidR="00ED1F41" w:rsidRPr="00545EC0" w:rsidRDefault="00ED1F41" w:rsidP="00ED1F41">
      <w:pPr>
        <w:pStyle w:val="Brezrazmikov"/>
        <w:spacing w:line="276" w:lineRule="auto"/>
        <w:jc w:val="both"/>
        <w:rPr>
          <w:rFonts w:ascii="Arial" w:hAnsi="Arial" w:cs="Arial"/>
          <w:b/>
          <w:sz w:val="20"/>
          <w:u w:val="single"/>
        </w:rPr>
      </w:pPr>
      <w:r w:rsidRPr="00545EC0">
        <w:rPr>
          <w:rFonts w:ascii="Arial" w:hAnsi="Arial" w:cs="Arial"/>
          <w:b/>
          <w:sz w:val="20"/>
          <w:u w:val="single"/>
        </w:rPr>
        <w:t>Pomembnejše obremenitve VTPV in VTPodV zaradi točkovnih in razpršenih virov onesnaženja in HM obremenitev za posamezna porečja in povodja</w:t>
      </w:r>
    </w:p>
    <w:p w14:paraId="397977C2" w14:textId="77777777" w:rsidR="00ED1F41" w:rsidRPr="00545EC0" w:rsidRDefault="00ED1F41" w:rsidP="00ED1F41">
      <w:pPr>
        <w:pStyle w:val="Brezrazmikov"/>
        <w:spacing w:line="276" w:lineRule="auto"/>
        <w:jc w:val="both"/>
        <w:rPr>
          <w:rFonts w:ascii="Arial" w:hAnsi="Arial" w:cs="Arial"/>
          <w:b/>
          <w:sz w:val="20"/>
        </w:rPr>
      </w:pPr>
    </w:p>
    <w:p w14:paraId="03F41509" w14:textId="15180EA0" w:rsidR="00ED1F41" w:rsidRPr="00545EC0" w:rsidRDefault="00ED1F41" w:rsidP="004C7CDB">
      <w:pPr>
        <w:pStyle w:val="Brezrazmikov"/>
        <w:spacing w:line="276" w:lineRule="auto"/>
        <w:jc w:val="both"/>
        <w:rPr>
          <w:rFonts w:ascii="Arial" w:hAnsi="Arial" w:cs="Arial"/>
          <w:sz w:val="20"/>
          <w:u w:val="single"/>
        </w:rPr>
      </w:pPr>
      <w:r w:rsidRPr="00545EC0">
        <w:rPr>
          <w:rFonts w:ascii="Arial" w:hAnsi="Arial" w:cs="Arial"/>
          <w:sz w:val="20"/>
          <w:u w:val="single"/>
        </w:rPr>
        <w:t>Porečje Mure</w:t>
      </w:r>
    </w:p>
    <w:p w14:paraId="7DD82FF3" w14:textId="77777777" w:rsidR="004C7CDB" w:rsidRPr="00545EC0" w:rsidRDefault="004C7CDB" w:rsidP="004C7CDB">
      <w:pPr>
        <w:pStyle w:val="Brezrazmikov"/>
        <w:spacing w:line="276" w:lineRule="auto"/>
        <w:jc w:val="both"/>
        <w:rPr>
          <w:rFonts w:ascii="Arial" w:hAnsi="Arial" w:cs="Arial"/>
          <w:sz w:val="20"/>
          <w:u w:val="single"/>
        </w:rPr>
      </w:pPr>
    </w:p>
    <w:p w14:paraId="45D7BFA7" w14:textId="6E15A076" w:rsidR="00ED1F41" w:rsidRPr="00545EC0" w:rsidRDefault="00ED1F41" w:rsidP="00ED1F41">
      <w:pPr>
        <w:pStyle w:val="Brezrazmikov"/>
        <w:spacing w:line="276" w:lineRule="auto"/>
        <w:jc w:val="both"/>
        <w:rPr>
          <w:rFonts w:ascii="Arial" w:hAnsi="Arial" w:cs="Arial"/>
          <w:sz w:val="20"/>
        </w:rPr>
      </w:pPr>
      <w:r w:rsidRPr="00545EC0">
        <w:rPr>
          <w:rFonts w:ascii="Arial" w:hAnsi="Arial" w:cs="Arial"/>
          <w:sz w:val="20"/>
        </w:rPr>
        <w:t>Na porečju Mure so prisotne obremenitve iz kmetijstva, ki vplivajo na onesnaženje voda s hranili (dušik) in FFS. Prav tako so prisotni industrijski iztoki v površinske vode in iztoki iz KČN. Med pomembnimi HM obremenitvami so glavne spremenjena raba tal na prispevni površini in obrežnem pasu, regulacije strug</w:t>
      </w:r>
      <w:r w:rsidR="00D83F34" w:rsidRPr="00545EC0">
        <w:rPr>
          <w:rFonts w:ascii="Arial" w:hAnsi="Arial" w:cs="Arial"/>
          <w:sz w:val="20"/>
        </w:rPr>
        <w:t xml:space="preserve"> in</w:t>
      </w:r>
      <w:r w:rsidRPr="00545EC0">
        <w:rPr>
          <w:rFonts w:ascii="Arial" w:hAnsi="Arial" w:cs="Arial"/>
          <w:sz w:val="20"/>
        </w:rPr>
        <w:t xml:space="preserve"> osuševanje zemljišč. Druge pomembne HM so še odvzemi vode in zadrževalniki (na porečju Mure jih je 8). Porečje Mure ima identificiranih tudi 5 območij pomembnega vpliva poplav, izvajanje protipoplavnih ukrepov na teh območjih pa bi v prihodnje lahko predstavljalo dodatne HM obremenitve.  </w:t>
      </w:r>
    </w:p>
    <w:p w14:paraId="00E04B27" w14:textId="77777777" w:rsidR="00ED1F41" w:rsidRPr="00545EC0" w:rsidRDefault="00ED1F41" w:rsidP="00ED1F41">
      <w:pPr>
        <w:pStyle w:val="Brezrazmikov"/>
        <w:spacing w:line="276" w:lineRule="auto"/>
        <w:jc w:val="both"/>
        <w:rPr>
          <w:rFonts w:ascii="Arial" w:hAnsi="Arial" w:cs="Arial"/>
          <w:sz w:val="20"/>
        </w:rPr>
      </w:pPr>
    </w:p>
    <w:p w14:paraId="37AFD6B5" w14:textId="77777777" w:rsidR="00ED1F41" w:rsidRPr="00545EC0" w:rsidRDefault="00ED1F41" w:rsidP="00ED1F41">
      <w:pPr>
        <w:pStyle w:val="Brezrazmikov"/>
        <w:spacing w:line="276" w:lineRule="auto"/>
        <w:jc w:val="both"/>
        <w:rPr>
          <w:rFonts w:ascii="Arial" w:hAnsi="Arial" w:cs="Arial"/>
          <w:sz w:val="20"/>
        </w:rPr>
      </w:pPr>
      <w:r w:rsidRPr="00545EC0">
        <w:rPr>
          <w:rFonts w:ascii="Arial" w:hAnsi="Arial" w:cs="Arial"/>
          <w:sz w:val="20"/>
        </w:rPr>
        <w:t xml:space="preserve">Vodna telesa, ki v porečju Mure ne dosegajo dobrega ekološkega stanja so: </w:t>
      </w:r>
    </w:p>
    <w:p w14:paraId="6FCCB8CA" w14:textId="77777777" w:rsidR="00ED1F41" w:rsidRPr="00545EC0" w:rsidRDefault="00ED1F41" w:rsidP="00DD37C5">
      <w:pPr>
        <w:pStyle w:val="Brezrazmikov"/>
        <w:numPr>
          <w:ilvl w:val="0"/>
          <w:numId w:val="73"/>
        </w:numPr>
        <w:spacing w:line="276" w:lineRule="auto"/>
        <w:rPr>
          <w:rFonts w:ascii="Arial" w:hAnsi="Arial" w:cs="Arial"/>
          <w:sz w:val="20"/>
        </w:rPr>
      </w:pPr>
      <w:r w:rsidRPr="00545EC0">
        <w:rPr>
          <w:rFonts w:ascii="Arial" w:hAnsi="Arial" w:cs="Arial"/>
          <w:sz w:val="20"/>
        </w:rPr>
        <w:t>VT Kobiljanski potok državna meja – Ledava v zelo slabem ekološkem stanju,</w:t>
      </w:r>
    </w:p>
    <w:p w14:paraId="1BDA1D4A" w14:textId="77777777" w:rsidR="00ED1F41" w:rsidRPr="00545EC0" w:rsidRDefault="00ED1F41" w:rsidP="00DD37C5">
      <w:pPr>
        <w:pStyle w:val="Brezrazmikov"/>
        <w:numPr>
          <w:ilvl w:val="0"/>
          <w:numId w:val="73"/>
        </w:numPr>
        <w:spacing w:line="276" w:lineRule="auto"/>
        <w:rPr>
          <w:rFonts w:ascii="Arial" w:hAnsi="Arial" w:cs="Arial"/>
          <w:sz w:val="20"/>
        </w:rPr>
      </w:pPr>
      <w:r w:rsidRPr="00545EC0">
        <w:rPr>
          <w:rFonts w:ascii="Arial" w:hAnsi="Arial" w:cs="Arial"/>
          <w:sz w:val="20"/>
        </w:rPr>
        <w:t>VT Kučnica, VT Ščavnica povirje – zadrževalnik Gajševsko jezero, MPVT zadrževalnik Gajševsko jezero in MPVT zadrževalnik Ledavsko jezero v slabem ekološkem stanju oz. potencialu,</w:t>
      </w:r>
    </w:p>
    <w:p w14:paraId="19A255C2" w14:textId="4EB9CE9F" w:rsidR="00ED1F41" w:rsidRPr="00545EC0" w:rsidRDefault="00ED1F41" w:rsidP="00DD37C5">
      <w:pPr>
        <w:pStyle w:val="Brezrazmikov"/>
        <w:numPr>
          <w:ilvl w:val="0"/>
          <w:numId w:val="73"/>
        </w:numPr>
        <w:spacing w:line="276" w:lineRule="auto"/>
        <w:rPr>
          <w:rFonts w:ascii="Arial" w:hAnsi="Arial" w:cs="Arial"/>
          <w:sz w:val="20"/>
        </w:rPr>
      </w:pPr>
      <w:r w:rsidRPr="00545EC0">
        <w:rPr>
          <w:rFonts w:ascii="Arial" w:hAnsi="Arial" w:cs="Arial"/>
          <w:sz w:val="20"/>
        </w:rPr>
        <w:lastRenderedPageBreak/>
        <w:t>VT Ščavnica zadrževalnik Gajševsko jezero – Gibina, VT Velika Krka povirje – državna meja, VT Kobiljanski potok povirje – državna meja, VT Ledava državna meja – zadrževalnik Ledavsko jezero, VT Ledava zadrževalnik Ledavsko jezero – sotočje z Veliko Krko in VT Ledava mejni odsek v zmernem ekološkem stanju.</w:t>
      </w:r>
    </w:p>
    <w:p w14:paraId="03C0BDF6" w14:textId="49387810" w:rsidR="00ED1F41" w:rsidRPr="00545EC0" w:rsidRDefault="00ED1F41" w:rsidP="00ED1F41">
      <w:pPr>
        <w:pStyle w:val="Brezrazmikov"/>
        <w:spacing w:line="276" w:lineRule="auto"/>
        <w:jc w:val="both"/>
        <w:rPr>
          <w:rFonts w:ascii="Arial" w:hAnsi="Arial" w:cs="Arial"/>
          <w:sz w:val="20"/>
        </w:rPr>
      </w:pPr>
      <w:r w:rsidRPr="00545EC0">
        <w:rPr>
          <w:rFonts w:ascii="Arial" w:hAnsi="Arial" w:cs="Arial"/>
          <w:sz w:val="20"/>
        </w:rPr>
        <w:t>Poleg tega so v zadrževalnikih in vodotokih Ledavsko jezero, Ledava od iztoka iz zadrževalnika do državne meje, Ščavnica od povirja do Gajševskega jezera, Gajševsko jezero in Kobiljanski potok od povirja do državne meje</w:t>
      </w:r>
      <w:r w:rsidR="00A210D3" w:rsidRPr="00545EC0">
        <w:rPr>
          <w:rFonts w:ascii="Arial" w:hAnsi="Arial" w:cs="Arial"/>
          <w:sz w:val="20"/>
        </w:rPr>
        <w:t xml:space="preserve"> ter od državne meje do Ledave</w:t>
      </w:r>
      <w:r w:rsidRPr="00545EC0">
        <w:rPr>
          <w:rFonts w:ascii="Arial" w:hAnsi="Arial" w:cs="Arial"/>
          <w:sz w:val="20"/>
        </w:rPr>
        <w:t xml:space="preserve"> presežene tudi mejne vrednosti za onesnaževalo met</w:t>
      </w:r>
      <w:r w:rsidR="00A210D3" w:rsidRPr="00545EC0">
        <w:rPr>
          <w:rFonts w:ascii="Arial" w:hAnsi="Arial" w:cs="Arial"/>
          <w:sz w:val="20"/>
        </w:rPr>
        <w:t>ol</w:t>
      </w:r>
      <w:r w:rsidRPr="00545EC0">
        <w:rPr>
          <w:rFonts w:ascii="Arial" w:hAnsi="Arial" w:cs="Arial"/>
          <w:sz w:val="20"/>
        </w:rPr>
        <w:t>aklor. Ponekod se pojavljajo še presežene vrednosti kobalta in t</w:t>
      </w:r>
      <w:r w:rsidR="00A210D3" w:rsidRPr="00545EC0">
        <w:rPr>
          <w:rFonts w:ascii="Arial" w:hAnsi="Arial" w:cs="Arial"/>
          <w:sz w:val="20"/>
        </w:rPr>
        <w:t>e</w:t>
      </w:r>
      <w:r w:rsidRPr="00545EC0">
        <w:rPr>
          <w:rFonts w:ascii="Arial" w:hAnsi="Arial" w:cs="Arial"/>
          <w:sz w:val="20"/>
        </w:rPr>
        <w:t xml:space="preserve">rbutilazina (Kobiljanski potok). </w:t>
      </w:r>
    </w:p>
    <w:p w14:paraId="1444289D" w14:textId="77777777" w:rsidR="00ED1F41" w:rsidRPr="00545EC0" w:rsidRDefault="00ED1F41" w:rsidP="00ED1F41">
      <w:pPr>
        <w:pStyle w:val="Brezrazmikov"/>
        <w:spacing w:line="276" w:lineRule="auto"/>
        <w:jc w:val="both"/>
        <w:rPr>
          <w:rFonts w:ascii="Arial" w:hAnsi="Arial" w:cs="Arial"/>
          <w:sz w:val="20"/>
        </w:rPr>
      </w:pPr>
      <w:r w:rsidRPr="00545EC0">
        <w:rPr>
          <w:rFonts w:ascii="Arial" w:hAnsi="Arial" w:cs="Arial"/>
          <w:sz w:val="20"/>
        </w:rPr>
        <w:br/>
        <w:t xml:space="preserve">Vodno telo podzemne vode Murske kotline je v slabem kemijskem stanju, kar je posledica prekomerne vsebnosti nitratov. Napoved trenda nitrata v podzemni vodi na vseh merilnih mestih glede na podatke iz leta 2019 kaže ugoden trend upadanja nitrata v podzemni vodi s 95% stopnjo zaupanja. </w:t>
      </w:r>
    </w:p>
    <w:p w14:paraId="15D6C2E3" w14:textId="77777777" w:rsidR="00ED1F41" w:rsidRPr="00545EC0" w:rsidRDefault="00ED1F41" w:rsidP="00ED1F41">
      <w:pPr>
        <w:pStyle w:val="Brezrazmikov"/>
        <w:spacing w:line="276" w:lineRule="auto"/>
        <w:jc w:val="both"/>
        <w:rPr>
          <w:rFonts w:ascii="Arial" w:hAnsi="Arial" w:cs="Arial"/>
          <w:sz w:val="20"/>
        </w:rPr>
      </w:pPr>
    </w:p>
    <w:p w14:paraId="6AFF4C9D" w14:textId="2CCE0316" w:rsidR="00ED1F41" w:rsidRPr="00545EC0" w:rsidRDefault="00ED1F41" w:rsidP="004C7CDB">
      <w:pPr>
        <w:pStyle w:val="Brezrazmikov"/>
        <w:spacing w:line="276" w:lineRule="auto"/>
        <w:jc w:val="both"/>
        <w:rPr>
          <w:rFonts w:ascii="Arial" w:hAnsi="Arial" w:cs="Arial"/>
          <w:sz w:val="20"/>
          <w:u w:val="single"/>
        </w:rPr>
      </w:pPr>
      <w:r w:rsidRPr="00545EC0">
        <w:rPr>
          <w:rFonts w:ascii="Arial" w:hAnsi="Arial" w:cs="Arial"/>
          <w:sz w:val="20"/>
          <w:u w:val="single"/>
        </w:rPr>
        <w:t>Porečje Drave</w:t>
      </w:r>
    </w:p>
    <w:p w14:paraId="6067814C" w14:textId="77777777" w:rsidR="004C7CDB" w:rsidRPr="00545EC0" w:rsidRDefault="004C7CDB" w:rsidP="004C7CDB">
      <w:pPr>
        <w:pStyle w:val="Brezrazmikov"/>
        <w:spacing w:line="276" w:lineRule="auto"/>
        <w:jc w:val="both"/>
        <w:rPr>
          <w:rFonts w:ascii="Arial" w:hAnsi="Arial" w:cs="Arial"/>
          <w:sz w:val="20"/>
          <w:u w:val="single"/>
        </w:rPr>
      </w:pPr>
    </w:p>
    <w:p w14:paraId="5F2B0E2E" w14:textId="1662D089" w:rsidR="00ED1F41" w:rsidRPr="00545EC0" w:rsidRDefault="00ED1F41" w:rsidP="00ED1F41">
      <w:pPr>
        <w:pStyle w:val="Brezrazmikov"/>
        <w:spacing w:line="276" w:lineRule="auto"/>
        <w:jc w:val="both"/>
        <w:rPr>
          <w:rFonts w:ascii="Arial" w:hAnsi="Arial" w:cs="Arial"/>
          <w:sz w:val="20"/>
        </w:rPr>
      </w:pPr>
      <w:r w:rsidRPr="00545EC0">
        <w:rPr>
          <w:rFonts w:ascii="Arial" w:hAnsi="Arial" w:cs="Arial"/>
          <w:sz w:val="20"/>
        </w:rPr>
        <w:t xml:space="preserve">Na porečju Drave so prisotne obremenitve iz kmetijstva, ki vplivajo na onesnaženje voda s hranili (dušik). Prav tako so prisotni industrijski iztoki v površinske vode in iztoki iz KČN. Med pomembnimi HM obremenitvami so glavne regulacije in ureditve strug in obale zadrževalnikov, spremenjena raba tal v obrežnem pasu. Druge pomembne HM so še odvzemi vode in zadrževalniki. Na slovenskem delu Drave je 8 velikih HE, ki predstavljajo močne HM obremenitve na VTPV. Porečje Drave ima identificiranih 12 območij pomembnega vpliva poplav in z vidika zmanjševanja poplavne ogroženosti je na porečju Drave v </w:t>
      </w:r>
      <w:r w:rsidR="00926EA0" w:rsidRPr="00545EC0">
        <w:rPr>
          <w:rFonts w:ascii="Arial" w:hAnsi="Arial" w:cs="Arial"/>
          <w:sz w:val="20"/>
        </w:rPr>
        <w:t xml:space="preserve">Sloveniji </w:t>
      </w:r>
      <w:r w:rsidRPr="00545EC0">
        <w:rPr>
          <w:rFonts w:ascii="Arial" w:hAnsi="Arial" w:cs="Arial"/>
          <w:sz w:val="20"/>
        </w:rPr>
        <w:t>tudi 10 zadrževalnikov. Še 9 zadrževalnikov pa je na Dravi postavljenih za namen hidroenergije.</w:t>
      </w:r>
    </w:p>
    <w:p w14:paraId="11CBF12D" w14:textId="77777777" w:rsidR="00ED1F41" w:rsidRPr="00545EC0" w:rsidRDefault="00ED1F41" w:rsidP="00ED1F41">
      <w:pPr>
        <w:pStyle w:val="Brezrazmikov"/>
        <w:spacing w:line="276" w:lineRule="auto"/>
        <w:jc w:val="both"/>
        <w:rPr>
          <w:rFonts w:ascii="Arial" w:hAnsi="Arial" w:cs="Arial"/>
          <w:sz w:val="20"/>
        </w:rPr>
      </w:pPr>
    </w:p>
    <w:p w14:paraId="57F0057E" w14:textId="77777777" w:rsidR="00ED1F41" w:rsidRPr="00545EC0" w:rsidRDefault="00ED1F41" w:rsidP="00ED1F41">
      <w:pPr>
        <w:pStyle w:val="Brezrazmikov"/>
        <w:spacing w:line="276" w:lineRule="auto"/>
        <w:jc w:val="both"/>
        <w:rPr>
          <w:rFonts w:ascii="Arial" w:hAnsi="Arial" w:cs="Arial"/>
          <w:sz w:val="20"/>
        </w:rPr>
      </w:pPr>
      <w:r w:rsidRPr="00545EC0">
        <w:rPr>
          <w:rFonts w:ascii="Arial" w:hAnsi="Arial" w:cs="Arial"/>
          <w:sz w:val="20"/>
        </w:rPr>
        <w:t xml:space="preserve">Vodna telesa, ki v porečju Drave ne dosegajo dobrega ekološkega stanja so: </w:t>
      </w:r>
    </w:p>
    <w:p w14:paraId="2E0F8AD1" w14:textId="3CE1C67F" w:rsidR="00ED1F41" w:rsidRPr="00545EC0" w:rsidRDefault="00ED1F41" w:rsidP="00DD37C5">
      <w:pPr>
        <w:pStyle w:val="Brezrazmikov"/>
        <w:numPr>
          <w:ilvl w:val="0"/>
          <w:numId w:val="74"/>
        </w:numPr>
        <w:spacing w:line="276" w:lineRule="auto"/>
        <w:jc w:val="both"/>
        <w:rPr>
          <w:rFonts w:ascii="Arial" w:hAnsi="Arial" w:cs="Arial"/>
          <w:sz w:val="20"/>
        </w:rPr>
      </w:pPr>
      <w:r w:rsidRPr="00545EC0">
        <w:rPr>
          <w:rFonts w:ascii="Arial" w:hAnsi="Arial" w:cs="Arial"/>
          <w:sz w:val="20"/>
        </w:rPr>
        <w:t>VT Mislinja Slovenj Gradec – Otiški vrh, VT Meža Črna na Koroškem – Dravograd, VT Ložnica Slovenska Bistrica – Pečke, VT Pesnica državna meja – zadrževalnik Perniško jezero in MPVT zadrževalnik Perniško jezero v slabem ekološkem stanju</w:t>
      </w:r>
      <w:r w:rsidR="00A210D3" w:rsidRPr="00545EC0">
        <w:rPr>
          <w:rFonts w:ascii="Arial" w:hAnsi="Arial" w:cs="Arial"/>
          <w:sz w:val="20"/>
        </w:rPr>
        <w:t xml:space="preserve"> oz. potencialu</w:t>
      </w:r>
      <w:r w:rsidRPr="00545EC0">
        <w:rPr>
          <w:rFonts w:ascii="Arial" w:hAnsi="Arial" w:cs="Arial"/>
          <w:sz w:val="20"/>
        </w:rPr>
        <w:t>,</w:t>
      </w:r>
    </w:p>
    <w:p w14:paraId="254D37D0" w14:textId="77777777" w:rsidR="00ED1F41" w:rsidRPr="00545EC0" w:rsidRDefault="00ED1F41" w:rsidP="00DD37C5">
      <w:pPr>
        <w:pStyle w:val="Brezrazmikov"/>
        <w:numPr>
          <w:ilvl w:val="0"/>
          <w:numId w:val="74"/>
        </w:numPr>
        <w:spacing w:line="276" w:lineRule="auto"/>
        <w:jc w:val="both"/>
        <w:rPr>
          <w:rFonts w:ascii="Arial" w:hAnsi="Arial" w:cs="Arial"/>
          <w:sz w:val="20"/>
        </w:rPr>
      </w:pPr>
      <w:r w:rsidRPr="00545EC0">
        <w:rPr>
          <w:rFonts w:ascii="Arial" w:hAnsi="Arial" w:cs="Arial"/>
          <w:sz w:val="20"/>
        </w:rPr>
        <w:t>VT Mislinja povirje – Slovenj Gradec, VT Mutska Bistrica, VT Ložnica povirje – Slovenska Bistrica, VT Polskava Zgornja Polskava – Tržec in VT Pesnica zadrževalnik Perniško jezero – Ormož v zmernem ekološkem stanju,</w:t>
      </w:r>
    </w:p>
    <w:p w14:paraId="1E62EFC5" w14:textId="67E6DFA0" w:rsidR="00ED1F41" w:rsidRPr="00545EC0" w:rsidRDefault="00ED1F41" w:rsidP="00DD37C5">
      <w:pPr>
        <w:pStyle w:val="Brezrazmikov"/>
        <w:numPr>
          <w:ilvl w:val="0"/>
          <w:numId w:val="74"/>
        </w:numPr>
        <w:spacing w:line="276" w:lineRule="auto"/>
        <w:jc w:val="both"/>
        <w:rPr>
          <w:rFonts w:ascii="Arial" w:hAnsi="Arial" w:cs="Arial"/>
          <w:sz w:val="20"/>
        </w:rPr>
      </w:pPr>
      <w:r w:rsidRPr="00545EC0">
        <w:rPr>
          <w:rFonts w:ascii="Arial" w:hAnsi="Arial" w:cs="Arial"/>
          <w:sz w:val="20"/>
        </w:rPr>
        <w:t xml:space="preserve">MPVT Drava mejni odsek z Avstrijo, MPVT zadrževalnik Ptujsko jezero in MPVT zadrževalnik Ormoško jezero v zmernem ekološkem </w:t>
      </w:r>
      <w:r w:rsidR="00F15443" w:rsidRPr="00545EC0">
        <w:rPr>
          <w:rFonts w:ascii="Arial" w:hAnsi="Arial" w:cs="Arial"/>
          <w:sz w:val="20"/>
        </w:rPr>
        <w:t>potencialu</w:t>
      </w:r>
      <w:r w:rsidRPr="00545EC0">
        <w:rPr>
          <w:rFonts w:ascii="Arial" w:hAnsi="Arial" w:cs="Arial"/>
          <w:sz w:val="20"/>
        </w:rPr>
        <w:t>.</w:t>
      </w:r>
    </w:p>
    <w:p w14:paraId="77A51504" w14:textId="77777777" w:rsidR="00ED1F41" w:rsidRPr="00545EC0" w:rsidRDefault="00ED1F41" w:rsidP="00ED1F41">
      <w:pPr>
        <w:pStyle w:val="Brezrazmikov"/>
        <w:spacing w:line="276" w:lineRule="auto"/>
        <w:jc w:val="both"/>
        <w:rPr>
          <w:rFonts w:ascii="Arial" w:hAnsi="Arial" w:cs="Arial"/>
          <w:sz w:val="20"/>
        </w:rPr>
      </w:pPr>
      <w:r w:rsidRPr="00545EC0">
        <w:rPr>
          <w:rFonts w:ascii="Arial" w:hAnsi="Arial" w:cs="Arial"/>
          <w:sz w:val="20"/>
        </w:rPr>
        <w:t xml:space="preserve">Na vodnem telesu Meža Črna na Koroškem – Dravograd je določeno slabo kemijsko stanje zaradi preseganja standarda kakovosti za kadmij in svinec v vodi. </w:t>
      </w:r>
    </w:p>
    <w:p w14:paraId="1324289A" w14:textId="77777777" w:rsidR="00ED1F41" w:rsidRPr="00545EC0" w:rsidRDefault="00ED1F41" w:rsidP="00ED1F41">
      <w:pPr>
        <w:pStyle w:val="Brezrazmikov"/>
        <w:spacing w:line="276" w:lineRule="auto"/>
        <w:jc w:val="both"/>
        <w:rPr>
          <w:rFonts w:ascii="Arial" w:hAnsi="Arial" w:cs="Arial"/>
          <w:sz w:val="20"/>
        </w:rPr>
      </w:pPr>
    </w:p>
    <w:p w14:paraId="6D364FDE" w14:textId="1F1DDE62" w:rsidR="00ED1F41" w:rsidRPr="00545EC0" w:rsidRDefault="00ED1F41" w:rsidP="00ED1F41">
      <w:pPr>
        <w:pStyle w:val="Brezrazmikov"/>
        <w:spacing w:line="276" w:lineRule="auto"/>
        <w:jc w:val="both"/>
        <w:rPr>
          <w:rFonts w:ascii="Arial" w:hAnsi="Arial" w:cs="Arial"/>
          <w:sz w:val="20"/>
        </w:rPr>
      </w:pPr>
      <w:r w:rsidRPr="00545EC0">
        <w:rPr>
          <w:rFonts w:ascii="Arial" w:hAnsi="Arial" w:cs="Arial"/>
          <w:sz w:val="20"/>
        </w:rPr>
        <w:t xml:space="preserve">Slabo kemijsko stanje je določeno tudi v potoku Žabnik na merilnem mestu pod komunalno čistilno napravo Rače. Žabnik je pritok reke Polskave. V Žabniku je presežen LP-OSK in NDK-OSK za fluoranten in NDK-OSK za živo srebro in aklonifen. </w:t>
      </w:r>
    </w:p>
    <w:p w14:paraId="57A2F321" w14:textId="77777777" w:rsidR="00ED1F41" w:rsidRPr="00545EC0" w:rsidRDefault="00ED1F41" w:rsidP="00ED1F41">
      <w:pPr>
        <w:pStyle w:val="Brezrazmikov"/>
        <w:spacing w:line="276" w:lineRule="auto"/>
        <w:jc w:val="both"/>
        <w:rPr>
          <w:rFonts w:ascii="Arial" w:hAnsi="Arial" w:cs="Arial"/>
          <w:sz w:val="20"/>
        </w:rPr>
      </w:pPr>
    </w:p>
    <w:p w14:paraId="21562004" w14:textId="77777777" w:rsidR="00ED1F41" w:rsidRPr="00545EC0" w:rsidRDefault="00ED1F41" w:rsidP="00ED1F41">
      <w:pPr>
        <w:pStyle w:val="Brezrazmikov"/>
        <w:spacing w:line="276" w:lineRule="auto"/>
        <w:jc w:val="both"/>
        <w:rPr>
          <w:rFonts w:ascii="Arial" w:hAnsi="Arial" w:cs="Arial"/>
          <w:sz w:val="20"/>
        </w:rPr>
      </w:pPr>
      <w:r w:rsidRPr="00545EC0">
        <w:rPr>
          <w:rFonts w:ascii="Arial" w:hAnsi="Arial" w:cs="Arial"/>
          <w:sz w:val="20"/>
        </w:rPr>
        <w:t xml:space="preserve">Potok Žabnik na merilnem mestu pod KČN Rače je v letih 2014, 2015, 2016 in 2019 ustrezal kriterijem za zmerno ekološko stanje. V letu 2014 sta bili preseženi mejni vrednosti za cianid (prosti) in glifosat, po letu 2014 pa je mejno vrednost presegal samo glifosat.  </w:t>
      </w:r>
    </w:p>
    <w:p w14:paraId="001709EE" w14:textId="3A80AE24" w:rsidR="00ED1F41" w:rsidRPr="00545EC0" w:rsidRDefault="00ED1F41" w:rsidP="00ED1F41">
      <w:pPr>
        <w:pStyle w:val="Brezrazmikov"/>
        <w:spacing w:line="276" w:lineRule="auto"/>
        <w:jc w:val="both"/>
        <w:rPr>
          <w:rFonts w:ascii="Arial" w:hAnsi="Arial" w:cs="Arial"/>
          <w:sz w:val="20"/>
        </w:rPr>
      </w:pPr>
      <w:r w:rsidRPr="00545EC0">
        <w:rPr>
          <w:rFonts w:ascii="Arial" w:hAnsi="Arial" w:cs="Arial"/>
          <w:sz w:val="20"/>
        </w:rPr>
        <w:br/>
        <w:t>Vodno telo podzemne vode Dravska kotlina je v slabem kemijskem stanju, kar je posledica prekomerne vsebnosti nitratov in atrazina. V letu 2019 je vsebnost nitrata presegala standard kakovosti na 9 merilnih mestih oz v 32,1</w:t>
      </w:r>
      <w:r w:rsidR="00F15443" w:rsidRPr="00545EC0">
        <w:rPr>
          <w:rFonts w:ascii="Arial" w:hAnsi="Arial" w:cs="Arial"/>
          <w:sz w:val="20"/>
        </w:rPr>
        <w:t xml:space="preserve"> </w:t>
      </w:r>
      <w:r w:rsidRPr="00545EC0">
        <w:rPr>
          <w:rFonts w:ascii="Arial" w:hAnsi="Arial" w:cs="Arial"/>
          <w:sz w:val="20"/>
        </w:rPr>
        <w:t>%. Velik problem še vedno predstavlja predvsem obremenjenost v centralnem in južnem delu vodnega telesa. Posebej problematična je vsebnost nitrata na dveh črpališčih pitne vode in sicer v Skorbi in Šikolah. Količinsko stanje podzemne vode je bilo po preizkusu vpliva odvzemov podzemne vode na vdore vode slabše kakovosti za vodno telo podzemne vode Dravska kotlina ocenjeno kot slabo.</w:t>
      </w:r>
    </w:p>
    <w:p w14:paraId="0EE4A616" w14:textId="77777777" w:rsidR="00ED1F41" w:rsidRPr="00545EC0" w:rsidRDefault="00ED1F41" w:rsidP="00ED1F41">
      <w:pPr>
        <w:pStyle w:val="Brezrazmikov"/>
        <w:spacing w:line="276" w:lineRule="auto"/>
        <w:jc w:val="both"/>
        <w:rPr>
          <w:rFonts w:ascii="Arial" w:hAnsi="Arial" w:cs="Arial"/>
          <w:sz w:val="20"/>
        </w:rPr>
      </w:pPr>
    </w:p>
    <w:p w14:paraId="74C45D6D" w14:textId="6581E4F9" w:rsidR="00ED1F41" w:rsidRPr="00545EC0" w:rsidRDefault="00ED1F41" w:rsidP="004C7CDB">
      <w:pPr>
        <w:pStyle w:val="Brezrazmikov"/>
        <w:spacing w:line="276" w:lineRule="auto"/>
        <w:jc w:val="both"/>
        <w:rPr>
          <w:rFonts w:ascii="Arial" w:hAnsi="Arial" w:cs="Arial"/>
          <w:sz w:val="20"/>
          <w:u w:val="single"/>
        </w:rPr>
      </w:pPr>
      <w:r w:rsidRPr="00545EC0">
        <w:rPr>
          <w:rFonts w:ascii="Arial" w:hAnsi="Arial" w:cs="Arial"/>
          <w:sz w:val="20"/>
          <w:u w:val="single"/>
        </w:rPr>
        <w:lastRenderedPageBreak/>
        <w:t>Porečje zgornje Save</w:t>
      </w:r>
    </w:p>
    <w:p w14:paraId="69B47A55" w14:textId="77777777" w:rsidR="004C7CDB" w:rsidRPr="00545EC0" w:rsidRDefault="004C7CDB" w:rsidP="004C7CDB">
      <w:pPr>
        <w:pStyle w:val="Brezrazmikov"/>
        <w:spacing w:line="276" w:lineRule="auto"/>
        <w:jc w:val="both"/>
        <w:rPr>
          <w:rFonts w:ascii="Arial" w:hAnsi="Arial" w:cs="Arial"/>
          <w:sz w:val="20"/>
          <w:u w:val="single"/>
        </w:rPr>
      </w:pPr>
    </w:p>
    <w:p w14:paraId="2C411860" w14:textId="433A1141" w:rsidR="00ED1F41" w:rsidRPr="00545EC0" w:rsidRDefault="00ED1F41" w:rsidP="00ED1F41">
      <w:pPr>
        <w:pStyle w:val="Brezrazmikov"/>
        <w:spacing w:line="276" w:lineRule="auto"/>
        <w:jc w:val="both"/>
        <w:rPr>
          <w:rFonts w:ascii="Arial" w:hAnsi="Arial" w:cs="Arial"/>
          <w:sz w:val="20"/>
        </w:rPr>
      </w:pPr>
      <w:r w:rsidRPr="00545EC0">
        <w:rPr>
          <w:rFonts w:ascii="Arial" w:hAnsi="Arial" w:cs="Arial"/>
          <w:sz w:val="20"/>
        </w:rPr>
        <w:t>Na porečju zgornje Save so prisotne obremenitve iz kmetijstva, ki vplivajo na onesnaženje voda  s hranili (dušik). Prav tako so prisotn</w:t>
      </w:r>
      <w:r w:rsidR="00D83F34" w:rsidRPr="00545EC0">
        <w:rPr>
          <w:rFonts w:ascii="Arial" w:hAnsi="Arial" w:cs="Arial"/>
          <w:sz w:val="20"/>
        </w:rPr>
        <w:t>e</w:t>
      </w:r>
      <w:r w:rsidRPr="00545EC0">
        <w:rPr>
          <w:rFonts w:ascii="Arial" w:hAnsi="Arial" w:cs="Arial"/>
          <w:sz w:val="20"/>
        </w:rPr>
        <w:t xml:space="preserve"> industrijske obremenitve površinske vode in iztoki iz KČN. Med pomembnimi HM obremenitvami prevladuje odvzem vode. Druge pomembne HM so še regulacije in ureditve strug in obale zadrževalnikov, zadrževalniki, uravnavanje pretokov, spremenjena raba tal na prispevni površini, odvzem naplavin in plovne poti. Na porečju zgornje Save je 8 velikih HE in 4 zadrževalniki. Prav tako je na porečju zgornje Save identificiranih 8 območij pomembnega vpliva poplav, izvajanje protipoplavnih ukrepov pa bi na teh območjih v prihodnje lahko predstavljalo dodatne HM obremenitve. </w:t>
      </w:r>
    </w:p>
    <w:p w14:paraId="5850F337" w14:textId="77777777" w:rsidR="00ED1F41" w:rsidRPr="00545EC0" w:rsidRDefault="00ED1F41" w:rsidP="00ED1F41">
      <w:pPr>
        <w:pStyle w:val="Brezrazmikov"/>
        <w:spacing w:line="276" w:lineRule="auto"/>
        <w:jc w:val="both"/>
        <w:rPr>
          <w:rFonts w:ascii="Arial" w:hAnsi="Arial" w:cs="Arial"/>
          <w:sz w:val="20"/>
        </w:rPr>
      </w:pPr>
    </w:p>
    <w:p w14:paraId="348F64BD" w14:textId="77777777" w:rsidR="00ED1F41" w:rsidRPr="00545EC0" w:rsidRDefault="00ED1F41" w:rsidP="00ED1F41">
      <w:pPr>
        <w:pStyle w:val="Brezrazmikov"/>
        <w:spacing w:line="276" w:lineRule="auto"/>
        <w:rPr>
          <w:rFonts w:ascii="Arial" w:hAnsi="Arial" w:cs="Arial"/>
          <w:sz w:val="20"/>
        </w:rPr>
      </w:pPr>
      <w:r w:rsidRPr="00545EC0">
        <w:rPr>
          <w:rFonts w:ascii="Arial" w:hAnsi="Arial" w:cs="Arial"/>
          <w:sz w:val="20"/>
        </w:rPr>
        <w:t>Vodna telesa, ki v porečju zgornje Save ne dosegajo dobrega ekološkega stanja so:</w:t>
      </w:r>
    </w:p>
    <w:p w14:paraId="7C1885BE" w14:textId="77777777" w:rsidR="00ED1F41" w:rsidRPr="00545EC0" w:rsidRDefault="00ED1F41" w:rsidP="00DD37C5">
      <w:pPr>
        <w:pStyle w:val="Brezrazmikov"/>
        <w:numPr>
          <w:ilvl w:val="0"/>
          <w:numId w:val="75"/>
        </w:numPr>
        <w:spacing w:line="276" w:lineRule="auto"/>
        <w:rPr>
          <w:rFonts w:ascii="Arial" w:hAnsi="Arial" w:cs="Arial"/>
          <w:sz w:val="20"/>
        </w:rPr>
      </w:pPr>
      <w:r w:rsidRPr="00545EC0">
        <w:rPr>
          <w:rFonts w:ascii="Arial" w:hAnsi="Arial" w:cs="Arial"/>
          <w:sz w:val="20"/>
        </w:rPr>
        <w:t>VT Kokra Preddvor – Kranj in VT Selška Sora v zelo slabem ekološkem stanju,</w:t>
      </w:r>
    </w:p>
    <w:p w14:paraId="53CFB71E" w14:textId="77777777" w:rsidR="00ED1F41" w:rsidRPr="00545EC0" w:rsidRDefault="00ED1F41" w:rsidP="00DD37C5">
      <w:pPr>
        <w:pStyle w:val="Brezrazmikov"/>
        <w:numPr>
          <w:ilvl w:val="0"/>
          <w:numId w:val="75"/>
        </w:numPr>
        <w:spacing w:line="276" w:lineRule="auto"/>
        <w:rPr>
          <w:rFonts w:ascii="Arial" w:hAnsi="Arial" w:cs="Arial"/>
          <w:sz w:val="20"/>
        </w:rPr>
      </w:pPr>
      <w:r w:rsidRPr="00545EC0">
        <w:rPr>
          <w:rFonts w:ascii="Arial" w:hAnsi="Arial" w:cs="Arial"/>
          <w:sz w:val="20"/>
        </w:rPr>
        <w:t>VT Poljanska Sora in VT Sora v slabem ekološkem stanju,</w:t>
      </w:r>
    </w:p>
    <w:p w14:paraId="62B0E5B8" w14:textId="77503211" w:rsidR="00ED1F41" w:rsidRPr="00545EC0" w:rsidRDefault="00ED1F41" w:rsidP="00DD37C5">
      <w:pPr>
        <w:pStyle w:val="Brezrazmikov"/>
        <w:numPr>
          <w:ilvl w:val="0"/>
          <w:numId w:val="75"/>
        </w:numPr>
        <w:spacing w:line="276" w:lineRule="auto"/>
        <w:rPr>
          <w:rFonts w:ascii="Arial" w:hAnsi="Arial" w:cs="Arial"/>
          <w:sz w:val="20"/>
        </w:rPr>
      </w:pPr>
      <w:r w:rsidRPr="00545EC0">
        <w:rPr>
          <w:rFonts w:ascii="Arial" w:hAnsi="Arial" w:cs="Arial"/>
          <w:sz w:val="20"/>
        </w:rPr>
        <w:t xml:space="preserve">VT Sava izvir – Hrušica, VT Sava Sveti Janez – Jezernica, VT Sava Jezernica – sotočje s Savo Dolinko, </w:t>
      </w:r>
      <w:r w:rsidR="00F15443" w:rsidRPr="00545EC0">
        <w:rPr>
          <w:rFonts w:ascii="Arial" w:hAnsi="Arial" w:cs="Arial"/>
          <w:sz w:val="20"/>
        </w:rPr>
        <w:t xml:space="preserve">VT Sava HE Moste – Podbrezje, </w:t>
      </w:r>
      <w:r w:rsidRPr="00545EC0">
        <w:rPr>
          <w:rFonts w:ascii="Arial" w:hAnsi="Arial" w:cs="Arial"/>
          <w:sz w:val="20"/>
        </w:rPr>
        <w:t>VT Tržiška Bistrica povirje – sotočje z Lomščico in VT Blejsko jezero v zmernem ekološkem stanju,</w:t>
      </w:r>
    </w:p>
    <w:p w14:paraId="3769AC4B" w14:textId="25B4BA90" w:rsidR="00ED1F41" w:rsidRPr="00545EC0" w:rsidRDefault="00ED1F41" w:rsidP="00DD37C5">
      <w:pPr>
        <w:pStyle w:val="Brezrazmikov"/>
        <w:numPr>
          <w:ilvl w:val="0"/>
          <w:numId w:val="75"/>
        </w:numPr>
        <w:spacing w:line="276" w:lineRule="auto"/>
        <w:rPr>
          <w:rFonts w:ascii="Arial" w:hAnsi="Arial" w:cs="Arial"/>
          <w:sz w:val="20"/>
        </w:rPr>
      </w:pPr>
      <w:r w:rsidRPr="00545EC0">
        <w:rPr>
          <w:rFonts w:ascii="Arial" w:hAnsi="Arial" w:cs="Arial"/>
          <w:sz w:val="20"/>
        </w:rPr>
        <w:t xml:space="preserve">MPVT zadrževalnik HE Moste in MPVT Sava Mavčiče – Medvode v zmernem ekološkem </w:t>
      </w:r>
      <w:r w:rsidR="004C7CDB" w:rsidRPr="00545EC0">
        <w:rPr>
          <w:rFonts w:ascii="Arial" w:hAnsi="Arial" w:cs="Arial"/>
          <w:sz w:val="20"/>
        </w:rPr>
        <w:t>potencialu</w:t>
      </w:r>
      <w:r w:rsidRPr="00545EC0">
        <w:rPr>
          <w:rFonts w:ascii="Arial" w:hAnsi="Arial" w:cs="Arial"/>
          <w:sz w:val="20"/>
        </w:rPr>
        <w:t>.</w:t>
      </w:r>
    </w:p>
    <w:p w14:paraId="6C039B06" w14:textId="77777777" w:rsidR="00ED1F41" w:rsidRPr="00545EC0" w:rsidRDefault="00ED1F41" w:rsidP="00ED1F41">
      <w:pPr>
        <w:pStyle w:val="Brezrazmikov"/>
        <w:spacing w:line="276" w:lineRule="auto"/>
        <w:rPr>
          <w:rFonts w:ascii="Arial" w:hAnsi="Arial" w:cs="Arial"/>
          <w:sz w:val="20"/>
        </w:rPr>
      </w:pPr>
    </w:p>
    <w:p w14:paraId="615F36F4" w14:textId="267AA2FC" w:rsidR="00ED1F41" w:rsidRPr="00545EC0" w:rsidRDefault="00ED1F41" w:rsidP="00ED1F41">
      <w:pPr>
        <w:pStyle w:val="Brezrazmikov"/>
        <w:spacing w:line="276" w:lineRule="auto"/>
        <w:rPr>
          <w:rFonts w:ascii="Arial" w:hAnsi="Arial" w:cs="Arial"/>
          <w:sz w:val="20"/>
        </w:rPr>
      </w:pPr>
      <w:r w:rsidRPr="00545EC0">
        <w:rPr>
          <w:rFonts w:ascii="Arial" w:hAnsi="Arial" w:cs="Arial"/>
          <w:sz w:val="20"/>
        </w:rPr>
        <w:t xml:space="preserve">V porečju zgornje Save imajo vsa vodna telesa površinskih voda dobro kemijsko stanje. </w:t>
      </w:r>
    </w:p>
    <w:p w14:paraId="1CCC1F8F" w14:textId="77777777" w:rsidR="00ED1F41" w:rsidRPr="00545EC0" w:rsidRDefault="00ED1F41" w:rsidP="00ED1F41">
      <w:pPr>
        <w:pStyle w:val="Brezrazmikov"/>
        <w:spacing w:line="276" w:lineRule="auto"/>
        <w:jc w:val="both"/>
        <w:rPr>
          <w:rFonts w:ascii="Arial" w:hAnsi="Arial" w:cs="Arial"/>
          <w:sz w:val="20"/>
        </w:rPr>
      </w:pPr>
      <w:r w:rsidRPr="00545EC0">
        <w:rPr>
          <w:rFonts w:ascii="Arial" w:hAnsi="Arial" w:cs="Arial"/>
          <w:sz w:val="20"/>
        </w:rPr>
        <w:br/>
        <w:t xml:space="preserve">Na dveh merilnih mestih podzemne vode je presežena mejna vrednost za vsebnost nitratov in sicer v Žabnici in na Godešiču, kar je posledica kmetijskih površin, ki se nahajajo v zaledju merilnih mest. </w:t>
      </w:r>
    </w:p>
    <w:p w14:paraId="5DE38086" w14:textId="77777777" w:rsidR="00ED1F41" w:rsidRPr="00545EC0" w:rsidRDefault="00ED1F41" w:rsidP="00ED1F41">
      <w:pPr>
        <w:pStyle w:val="Brezrazmikov"/>
        <w:spacing w:line="276" w:lineRule="auto"/>
        <w:jc w:val="both"/>
        <w:rPr>
          <w:rFonts w:ascii="Arial" w:hAnsi="Arial" w:cs="Arial"/>
          <w:sz w:val="20"/>
        </w:rPr>
      </w:pPr>
    </w:p>
    <w:p w14:paraId="7BC66AC5" w14:textId="2165F8E3" w:rsidR="00ED1F41" w:rsidRPr="00545EC0" w:rsidRDefault="00ED1F41" w:rsidP="004C7CDB">
      <w:pPr>
        <w:pStyle w:val="Brezrazmikov"/>
        <w:spacing w:line="276" w:lineRule="auto"/>
        <w:jc w:val="both"/>
        <w:rPr>
          <w:rFonts w:ascii="Arial" w:hAnsi="Arial" w:cs="Arial"/>
          <w:sz w:val="20"/>
          <w:u w:val="single"/>
        </w:rPr>
      </w:pPr>
      <w:r w:rsidRPr="00545EC0">
        <w:rPr>
          <w:rFonts w:ascii="Arial" w:hAnsi="Arial" w:cs="Arial"/>
          <w:sz w:val="20"/>
          <w:u w:val="single"/>
        </w:rPr>
        <w:t>Porečje srednje Save</w:t>
      </w:r>
    </w:p>
    <w:p w14:paraId="4BC5EEDD" w14:textId="77777777" w:rsidR="004C7CDB" w:rsidRPr="00545EC0" w:rsidRDefault="004C7CDB" w:rsidP="004C7CDB">
      <w:pPr>
        <w:pStyle w:val="Brezrazmikov"/>
        <w:spacing w:line="276" w:lineRule="auto"/>
        <w:jc w:val="both"/>
        <w:rPr>
          <w:rFonts w:ascii="Arial" w:hAnsi="Arial" w:cs="Arial"/>
          <w:sz w:val="20"/>
          <w:u w:val="single"/>
        </w:rPr>
      </w:pPr>
    </w:p>
    <w:p w14:paraId="05FAFC75" w14:textId="49CB6A7F" w:rsidR="00ED1F41" w:rsidRPr="00545EC0" w:rsidRDefault="00ED1F41" w:rsidP="00ED1F41">
      <w:pPr>
        <w:pStyle w:val="Brezrazmikov"/>
        <w:spacing w:line="276" w:lineRule="auto"/>
        <w:jc w:val="both"/>
        <w:rPr>
          <w:rFonts w:ascii="Arial" w:hAnsi="Arial" w:cs="Arial"/>
          <w:sz w:val="20"/>
        </w:rPr>
      </w:pPr>
      <w:r w:rsidRPr="00545EC0">
        <w:rPr>
          <w:rFonts w:ascii="Arial" w:hAnsi="Arial" w:cs="Arial"/>
          <w:sz w:val="20"/>
        </w:rPr>
        <w:t>Na porečju srednje Save so prisotne obremenitve iz kmetijstva, ki vplivajo na onesnaženje voda s hranili (dušik). Prav tako so prisotn</w:t>
      </w:r>
      <w:r w:rsidR="00D83F34" w:rsidRPr="00545EC0">
        <w:rPr>
          <w:rFonts w:ascii="Arial" w:hAnsi="Arial" w:cs="Arial"/>
          <w:sz w:val="20"/>
        </w:rPr>
        <w:t>e</w:t>
      </w:r>
      <w:r w:rsidRPr="00545EC0">
        <w:rPr>
          <w:rFonts w:ascii="Arial" w:hAnsi="Arial" w:cs="Arial"/>
          <w:sz w:val="20"/>
        </w:rPr>
        <w:t xml:space="preserve"> industrijske obremenitve površinske vode in iztoki iz KČN. Med pomembnimi HM obremenitvami prevladujta regulacija in ureditev strug in obale zadrževalnikov in spremenjena raba tal na prispevni površini. Druge pomembne HM so še odvzemi vode, spremenjena raba tal v obrežnem pasu, plovne poti in odvzem naplavin. Na porečju srednje Save sta 2 zadrževalnika in identificiranih je 28 območij pomembnega vpliva poplav, izvajanje protipoplavnih ukrepov pa bi na teh območjih v prihodnje lahko predstavljalo dodatne HM obremenitve. </w:t>
      </w:r>
    </w:p>
    <w:p w14:paraId="08B3D5C5" w14:textId="77777777" w:rsidR="00ED1F41" w:rsidRPr="00545EC0" w:rsidRDefault="00ED1F41" w:rsidP="00ED1F41">
      <w:pPr>
        <w:pStyle w:val="Brezrazmikov"/>
        <w:spacing w:line="276" w:lineRule="auto"/>
        <w:jc w:val="both"/>
        <w:rPr>
          <w:rFonts w:ascii="Arial" w:hAnsi="Arial" w:cs="Arial"/>
          <w:sz w:val="20"/>
        </w:rPr>
      </w:pPr>
    </w:p>
    <w:p w14:paraId="761CA20E" w14:textId="77777777" w:rsidR="00ED1F41" w:rsidRPr="00545EC0" w:rsidRDefault="00ED1F41" w:rsidP="00ED1F41">
      <w:pPr>
        <w:pStyle w:val="Brezrazmikov"/>
        <w:spacing w:line="276" w:lineRule="auto"/>
        <w:jc w:val="both"/>
        <w:rPr>
          <w:rFonts w:ascii="Arial" w:hAnsi="Arial" w:cs="Arial"/>
          <w:sz w:val="20"/>
        </w:rPr>
      </w:pPr>
      <w:r w:rsidRPr="00545EC0">
        <w:rPr>
          <w:rFonts w:ascii="Arial" w:hAnsi="Arial" w:cs="Arial"/>
          <w:sz w:val="20"/>
        </w:rPr>
        <w:t>Vodna telesa, ki v porečju srednje Save ne dosegajo dobrega ekološkega stanja so:</w:t>
      </w:r>
    </w:p>
    <w:p w14:paraId="4381FBD5" w14:textId="77777777" w:rsidR="00ED1F41" w:rsidRPr="00545EC0" w:rsidRDefault="00ED1F41" w:rsidP="00DD37C5">
      <w:pPr>
        <w:pStyle w:val="Brezrazmikov"/>
        <w:numPr>
          <w:ilvl w:val="0"/>
          <w:numId w:val="76"/>
        </w:numPr>
        <w:spacing w:line="276" w:lineRule="auto"/>
        <w:jc w:val="both"/>
        <w:rPr>
          <w:rFonts w:ascii="Arial" w:hAnsi="Arial" w:cs="Arial"/>
          <w:sz w:val="20"/>
        </w:rPr>
      </w:pPr>
      <w:r w:rsidRPr="00545EC0">
        <w:rPr>
          <w:rFonts w:ascii="Arial" w:hAnsi="Arial" w:cs="Arial"/>
          <w:sz w:val="20"/>
        </w:rPr>
        <w:t>VT Kamniška Bistrica Stahovica – Študa, VT Kamniška Bistrica Študa – Dol, VT Pivka Prestranek – Postojnska jama, VT Gradaščica z Veliko Božno in VT Ljubljanica povirje – Ljubljana v slabem ekološkem stanju,</w:t>
      </w:r>
    </w:p>
    <w:p w14:paraId="6CA6E0E2" w14:textId="77777777" w:rsidR="00ED1F41" w:rsidRPr="00545EC0" w:rsidRDefault="00ED1F41" w:rsidP="00DD37C5">
      <w:pPr>
        <w:pStyle w:val="Brezrazmikov"/>
        <w:numPr>
          <w:ilvl w:val="0"/>
          <w:numId w:val="76"/>
        </w:numPr>
        <w:spacing w:line="276" w:lineRule="auto"/>
        <w:jc w:val="both"/>
        <w:rPr>
          <w:rFonts w:ascii="Arial" w:hAnsi="Arial" w:cs="Arial"/>
          <w:sz w:val="20"/>
        </w:rPr>
      </w:pPr>
      <w:r w:rsidRPr="00545EC0">
        <w:rPr>
          <w:rFonts w:ascii="Arial" w:hAnsi="Arial" w:cs="Arial"/>
          <w:sz w:val="20"/>
        </w:rPr>
        <w:t>VT Pšata, VT Kamniška Bistrica povirje – Stahovica, VT Cerkniščica, VT Rak in VT Logaščica v zmernem ekološkem stanju,</w:t>
      </w:r>
    </w:p>
    <w:p w14:paraId="590E3B61" w14:textId="77777777" w:rsidR="00ED1F41" w:rsidRPr="00545EC0" w:rsidRDefault="00ED1F41" w:rsidP="00DD37C5">
      <w:pPr>
        <w:pStyle w:val="Brezrazmikov"/>
        <w:numPr>
          <w:ilvl w:val="0"/>
          <w:numId w:val="76"/>
        </w:numPr>
        <w:spacing w:line="276" w:lineRule="auto"/>
        <w:jc w:val="both"/>
        <w:rPr>
          <w:rFonts w:ascii="Arial" w:hAnsi="Arial" w:cs="Arial"/>
          <w:sz w:val="20"/>
        </w:rPr>
      </w:pPr>
      <w:r w:rsidRPr="00545EC0">
        <w:rPr>
          <w:rFonts w:ascii="Arial" w:hAnsi="Arial" w:cs="Arial"/>
          <w:sz w:val="20"/>
        </w:rPr>
        <w:t>MPVT Mestna Ljubljanica v zmernem ekološkem potencialu</w:t>
      </w:r>
    </w:p>
    <w:p w14:paraId="1208ED0E" w14:textId="77777777" w:rsidR="00ED1F41" w:rsidRPr="00545EC0" w:rsidRDefault="00ED1F41" w:rsidP="00ED1F41">
      <w:pPr>
        <w:pStyle w:val="Brezrazmikov"/>
        <w:spacing w:line="276" w:lineRule="auto"/>
        <w:jc w:val="both"/>
        <w:rPr>
          <w:rFonts w:ascii="Arial" w:hAnsi="Arial" w:cs="Arial"/>
          <w:sz w:val="20"/>
        </w:rPr>
      </w:pPr>
    </w:p>
    <w:p w14:paraId="7B7AEC60" w14:textId="77777777" w:rsidR="00ED1F41" w:rsidRPr="00545EC0" w:rsidRDefault="00ED1F41" w:rsidP="00ED1F41">
      <w:pPr>
        <w:pStyle w:val="Brezrazmikov"/>
        <w:spacing w:line="276" w:lineRule="auto"/>
        <w:jc w:val="both"/>
        <w:rPr>
          <w:rFonts w:ascii="Arial" w:hAnsi="Arial" w:cs="Arial"/>
          <w:sz w:val="20"/>
        </w:rPr>
      </w:pPr>
      <w:r w:rsidRPr="00545EC0">
        <w:rPr>
          <w:rFonts w:ascii="Arial" w:hAnsi="Arial" w:cs="Arial"/>
          <w:sz w:val="20"/>
        </w:rPr>
        <w:t xml:space="preserve">V Iščici na merilnem mestu Ižanska cesta je določeno slabo kemijsko stanje zaradi preseganja LP-OSK za nikelj. Zaradi ugotovljenega slabega kemijskega stanja je v Iščici in v potoku Podvin v letu 2019 potekal preiskovalni monitoring. Slabo kemijsko stanje je določeno še v potoku Podvin, presežena sta okoljska standarda za nikelj za letno povprečje (LP-OSK) in za največjo dovoljeno koncentracijo (NDK-OSK). </w:t>
      </w:r>
    </w:p>
    <w:p w14:paraId="35CB2B37" w14:textId="77777777" w:rsidR="00ED1F41" w:rsidRPr="00545EC0" w:rsidRDefault="00ED1F41" w:rsidP="00ED1F41">
      <w:pPr>
        <w:pStyle w:val="Brezrazmikov"/>
        <w:spacing w:line="276" w:lineRule="auto"/>
        <w:jc w:val="both"/>
        <w:rPr>
          <w:rFonts w:ascii="Arial" w:hAnsi="Arial" w:cs="Arial"/>
          <w:sz w:val="20"/>
        </w:rPr>
      </w:pPr>
    </w:p>
    <w:p w14:paraId="4E45BF10" w14:textId="77777777" w:rsidR="00ED1F41" w:rsidRPr="00545EC0" w:rsidRDefault="00ED1F41" w:rsidP="00ED1F41">
      <w:pPr>
        <w:pStyle w:val="Brezrazmikov"/>
        <w:spacing w:line="276" w:lineRule="auto"/>
        <w:jc w:val="both"/>
        <w:rPr>
          <w:rFonts w:ascii="Arial" w:hAnsi="Arial" w:cs="Arial"/>
          <w:sz w:val="20"/>
        </w:rPr>
      </w:pPr>
      <w:r w:rsidRPr="00545EC0">
        <w:rPr>
          <w:rFonts w:ascii="Arial" w:hAnsi="Arial" w:cs="Arial"/>
          <w:sz w:val="20"/>
        </w:rPr>
        <w:t>V letu 2019 je bilo slabo kemijsko stanje na potoku Mlinščica v Dolu pri Ljubljani določeno zaradi preseganja največje dovoljene koncentracije terbutrina. Terbutrin se uporablja kot herbicid in kot biocid predvsem v premazih za stavbe, kjer je njegova funkcija preprečevanje razvoja alg.</w:t>
      </w:r>
    </w:p>
    <w:p w14:paraId="64BF99BC" w14:textId="77777777" w:rsidR="00ED1F41" w:rsidRPr="00545EC0" w:rsidRDefault="00ED1F41" w:rsidP="00ED1F41">
      <w:pPr>
        <w:pStyle w:val="Brezrazmikov"/>
        <w:spacing w:line="276" w:lineRule="auto"/>
        <w:jc w:val="both"/>
        <w:rPr>
          <w:rFonts w:ascii="Arial" w:hAnsi="Arial" w:cs="Arial"/>
          <w:sz w:val="20"/>
        </w:rPr>
      </w:pPr>
    </w:p>
    <w:p w14:paraId="2579A1BB" w14:textId="77777777" w:rsidR="00ED1F41" w:rsidRPr="00545EC0" w:rsidRDefault="00ED1F41" w:rsidP="00ED1F41">
      <w:pPr>
        <w:pStyle w:val="Brezrazmikov"/>
        <w:spacing w:line="276" w:lineRule="auto"/>
        <w:jc w:val="both"/>
        <w:rPr>
          <w:rFonts w:ascii="Arial" w:hAnsi="Arial" w:cs="Arial"/>
          <w:sz w:val="20"/>
        </w:rPr>
      </w:pPr>
      <w:r w:rsidRPr="00545EC0">
        <w:rPr>
          <w:rFonts w:ascii="Arial" w:hAnsi="Arial" w:cs="Arial"/>
          <w:sz w:val="20"/>
        </w:rPr>
        <w:lastRenderedPageBreak/>
        <w:t>Na merilnem mestu Boben Hrastnik izliv največja izmerjena koncentracija živega srebra v vodi presega NDK-OSK, zato je za potok Boben določeno slabo kemijsko stanje. Boben je na odseku pod TKI Hrastnik onesnažen z živim srebrom. Na podlagi rezultatov preiskovalnega monitoringa je bilo ugotovljeno, da so povišane koncentracije živega srebra v Bobnu posledica starega bremena oziroma resuspenzije živega srebra iz sedimenta in ne posledica novih emisij.</w:t>
      </w:r>
    </w:p>
    <w:p w14:paraId="463E5402" w14:textId="77777777" w:rsidR="00ED1F41" w:rsidRPr="00545EC0" w:rsidRDefault="00ED1F41" w:rsidP="00ED1F41">
      <w:pPr>
        <w:pStyle w:val="Brezrazmikov"/>
        <w:jc w:val="both"/>
        <w:rPr>
          <w:rFonts w:ascii="Arial" w:hAnsi="Arial" w:cs="Arial"/>
          <w:sz w:val="20"/>
        </w:rPr>
      </w:pPr>
    </w:p>
    <w:p w14:paraId="602998BB" w14:textId="35E65D18" w:rsidR="00ED1F41" w:rsidRPr="00545EC0" w:rsidRDefault="00ED1F41" w:rsidP="00ED1F41">
      <w:pPr>
        <w:pStyle w:val="Brezrazmikov"/>
        <w:spacing w:line="276" w:lineRule="auto"/>
        <w:rPr>
          <w:rFonts w:ascii="Arial" w:hAnsi="Arial" w:cs="Arial"/>
          <w:sz w:val="20"/>
        </w:rPr>
      </w:pPr>
      <w:r w:rsidRPr="00545EC0">
        <w:rPr>
          <w:rFonts w:ascii="Arial" w:hAnsi="Arial" w:cs="Arial"/>
          <w:sz w:val="20"/>
          <w:szCs w:val="20"/>
        </w:rPr>
        <w:t>Podzemne vode v porečju srednje Save spadajo v več vodnih teles. Na nobenem od merilnih mest ni presežen standard kakovosti za dobro kemijsko stanje</w:t>
      </w:r>
      <w:r w:rsidR="00304B50" w:rsidRPr="00545EC0">
        <w:rPr>
          <w:rFonts w:ascii="Arial" w:hAnsi="Arial" w:cs="Arial"/>
          <w:sz w:val="20"/>
          <w:szCs w:val="20"/>
        </w:rPr>
        <w:t>.</w:t>
      </w:r>
    </w:p>
    <w:p w14:paraId="36D52D21" w14:textId="77777777" w:rsidR="00ED1F41" w:rsidRPr="00545EC0" w:rsidRDefault="00ED1F41" w:rsidP="00ED1F41">
      <w:pPr>
        <w:pStyle w:val="Brezrazmikov"/>
        <w:spacing w:line="276" w:lineRule="auto"/>
        <w:jc w:val="both"/>
        <w:rPr>
          <w:rFonts w:ascii="Arial" w:hAnsi="Arial" w:cs="Arial"/>
          <w:sz w:val="20"/>
          <w:u w:val="single"/>
        </w:rPr>
      </w:pPr>
    </w:p>
    <w:p w14:paraId="2B3113BF" w14:textId="74725719" w:rsidR="00ED1F41" w:rsidRPr="00545EC0" w:rsidRDefault="00ED1F41" w:rsidP="004C7CDB">
      <w:pPr>
        <w:pStyle w:val="Brezrazmikov"/>
        <w:spacing w:line="276" w:lineRule="auto"/>
        <w:jc w:val="both"/>
        <w:rPr>
          <w:rFonts w:ascii="Arial" w:hAnsi="Arial" w:cs="Arial"/>
          <w:sz w:val="20"/>
          <w:u w:val="single"/>
        </w:rPr>
      </w:pPr>
      <w:r w:rsidRPr="00545EC0">
        <w:rPr>
          <w:rFonts w:ascii="Arial" w:hAnsi="Arial" w:cs="Arial"/>
          <w:sz w:val="20"/>
          <w:u w:val="single"/>
        </w:rPr>
        <w:t>Porečje spodnje Save</w:t>
      </w:r>
    </w:p>
    <w:p w14:paraId="036961EA" w14:textId="77777777" w:rsidR="004C7CDB" w:rsidRPr="00545EC0" w:rsidRDefault="004C7CDB" w:rsidP="004C7CDB">
      <w:pPr>
        <w:pStyle w:val="Brezrazmikov"/>
        <w:spacing w:line="276" w:lineRule="auto"/>
        <w:jc w:val="both"/>
        <w:rPr>
          <w:rFonts w:ascii="Arial" w:hAnsi="Arial" w:cs="Arial"/>
          <w:sz w:val="20"/>
          <w:u w:val="single"/>
        </w:rPr>
      </w:pPr>
    </w:p>
    <w:p w14:paraId="14CF482D" w14:textId="1BC178E2" w:rsidR="00ED1F41" w:rsidRPr="00545EC0" w:rsidRDefault="00ED1F41" w:rsidP="00ED1F41">
      <w:pPr>
        <w:pStyle w:val="Brezrazmikov"/>
        <w:spacing w:line="276" w:lineRule="auto"/>
        <w:jc w:val="both"/>
        <w:rPr>
          <w:rFonts w:ascii="Arial" w:hAnsi="Arial" w:cs="Arial"/>
          <w:sz w:val="20"/>
        </w:rPr>
      </w:pPr>
      <w:r w:rsidRPr="00545EC0">
        <w:rPr>
          <w:rFonts w:ascii="Arial" w:hAnsi="Arial" w:cs="Arial"/>
          <w:sz w:val="20"/>
        </w:rPr>
        <w:t>Na porečju spodnje Save so prisotne obremenitve iz kmetijstva, ki vplivajo na onesnaženje voda s hranili (dušik). Prav tako so prisotn</w:t>
      </w:r>
      <w:r w:rsidR="00D83F34" w:rsidRPr="00545EC0">
        <w:rPr>
          <w:rFonts w:ascii="Arial" w:hAnsi="Arial" w:cs="Arial"/>
          <w:sz w:val="20"/>
        </w:rPr>
        <w:t>e</w:t>
      </w:r>
      <w:r w:rsidRPr="00545EC0">
        <w:rPr>
          <w:rFonts w:ascii="Arial" w:hAnsi="Arial" w:cs="Arial"/>
          <w:sz w:val="20"/>
        </w:rPr>
        <w:t xml:space="preserve"> industrijske obremenitve površinske vode in iztoki iz KČN. Med pomembnimi HM obremenitvami prevladujta spremenjena raba tal na prispevni površini in spremenjena raba tal v obrežnem pasu. Druge pomembne HM so še regulacije in ureditve strug in obale zadrževalnikov, odvzemi vode, plovne poti, zadrževalniki in uravnavanje pretokov. Na porečju spodnje Save je 5 velikih HE in 9 zadrževalnikov. Identificiranih je 12 območij pomembnega vpliva poplav, izvajanje protipoplavnih ukrepov pa bi na teh območjih v prihodnje lahko predstavljalo dodatne HM obremenitve. </w:t>
      </w:r>
    </w:p>
    <w:p w14:paraId="6F10AC41" w14:textId="77777777" w:rsidR="00ED1F41" w:rsidRPr="00545EC0" w:rsidRDefault="00ED1F41" w:rsidP="00ED1F41">
      <w:pPr>
        <w:pStyle w:val="Brezrazmikov"/>
        <w:spacing w:line="276" w:lineRule="auto"/>
        <w:jc w:val="both"/>
        <w:rPr>
          <w:rFonts w:ascii="Arial" w:hAnsi="Arial" w:cs="Arial"/>
          <w:sz w:val="20"/>
          <w:szCs w:val="20"/>
        </w:rPr>
      </w:pPr>
    </w:p>
    <w:p w14:paraId="6DAD2582" w14:textId="77777777" w:rsidR="00ED1F41" w:rsidRPr="00545EC0" w:rsidRDefault="00ED1F41" w:rsidP="00ED1F41">
      <w:pPr>
        <w:pStyle w:val="Brezrazmikov"/>
        <w:spacing w:line="276" w:lineRule="auto"/>
        <w:jc w:val="both"/>
        <w:rPr>
          <w:rFonts w:ascii="Arial" w:hAnsi="Arial" w:cs="Arial"/>
          <w:sz w:val="20"/>
          <w:szCs w:val="20"/>
        </w:rPr>
      </w:pPr>
      <w:r w:rsidRPr="00545EC0">
        <w:rPr>
          <w:rFonts w:ascii="Arial" w:hAnsi="Arial" w:cs="Arial"/>
          <w:sz w:val="20"/>
          <w:szCs w:val="20"/>
        </w:rPr>
        <w:t>Vodna telesa, ki v porečju spodnje Save ne dosegajo dobrega ekološkega stanja oz. potenciala, so:</w:t>
      </w:r>
    </w:p>
    <w:p w14:paraId="2684DBA6" w14:textId="77777777" w:rsidR="00ED1F41" w:rsidRPr="00545EC0" w:rsidRDefault="00ED1F41" w:rsidP="00DD37C5">
      <w:pPr>
        <w:pStyle w:val="Brezrazmikov"/>
        <w:numPr>
          <w:ilvl w:val="0"/>
          <w:numId w:val="77"/>
        </w:numPr>
        <w:spacing w:line="276" w:lineRule="auto"/>
        <w:jc w:val="both"/>
        <w:rPr>
          <w:rFonts w:ascii="Arial" w:hAnsi="Arial" w:cs="Arial"/>
          <w:sz w:val="20"/>
          <w:szCs w:val="20"/>
        </w:rPr>
      </w:pPr>
      <w:r w:rsidRPr="00545EC0">
        <w:rPr>
          <w:rFonts w:ascii="Arial" w:hAnsi="Arial" w:cs="Arial"/>
          <w:sz w:val="20"/>
          <w:szCs w:val="20"/>
        </w:rPr>
        <w:t>VT Temenica I in VT Rinža v slabem ekološkem stanju,</w:t>
      </w:r>
    </w:p>
    <w:p w14:paraId="51EB26AD" w14:textId="77777777" w:rsidR="00ED1F41" w:rsidRPr="00545EC0" w:rsidRDefault="00ED1F41" w:rsidP="00DD37C5">
      <w:pPr>
        <w:pStyle w:val="Brezrazmikov"/>
        <w:numPr>
          <w:ilvl w:val="0"/>
          <w:numId w:val="77"/>
        </w:numPr>
        <w:spacing w:line="276" w:lineRule="auto"/>
        <w:jc w:val="both"/>
        <w:rPr>
          <w:rFonts w:ascii="Arial" w:hAnsi="Arial" w:cs="Arial"/>
          <w:sz w:val="20"/>
          <w:szCs w:val="20"/>
        </w:rPr>
      </w:pPr>
      <w:r w:rsidRPr="00545EC0">
        <w:rPr>
          <w:rFonts w:ascii="Arial" w:hAnsi="Arial" w:cs="Arial"/>
          <w:sz w:val="20"/>
          <w:szCs w:val="20"/>
        </w:rPr>
        <w:t>MPVT Sava Vrhovo – Boštanj v slabem ekološkem potencialu,</w:t>
      </w:r>
    </w:p>
    <w:p w14:paraId="45379D9A" w14:textId="68473B68" w:rsidR="00ED1F41" w:rsidRPr="00545EC0" w:rsidRDefault="00ED1F41" w:rsidP="00DD37C5">
      <w:pPr>
        <w:pStyle w:val="Brezrazmikov"/>
        <w:numPr>
          <w:ilvl w:val="0"/>
          <w:numId w:val="77"/>
        </w:numPr>
        <w:spacing w:line="276" w:lineRule="auto"/>
        <w:jc w:val="both"/>
        <w:rPr>
          <w:rFonts w:ascii="Arial" w:hAnsi="Arial" w:cs="Arial"/>
          <w:sz w:val="20"/>
          <w:szCs w:val="20"/>
        </w:rPr>
      </w:pPr>
      <w:r w:rsidRPr="00545EC0">
        <w:rPr>
          <w:rFonts w:ascii="Arial" w:hAnsi="Arial" w:cs="Arial"/>
          <w:sz w:val="20"/>
          <w:szCs w:val="20"/>
        </w:rPr>
        <w:t>VT Mirna, VT Temenica II, VT Krka Soteska – Otočec, VT Mestinjščica, VT Sotla Dobovec – Podčetrtek, VT Sava Boštanj – Krško in VT Krupa v zmernem ekološkem stanju.</w:t>
      </w:r>
    </w:p>
    <w:p w14:paraId="01A60639" w14:textId="77777777" w:rsidR="00ED1F41" w:rsidRPr="00545EC0" w:rsidRDefault="00ED1F41" w:rsidP="00ED1F41">
      <w:pPr>
        <w:pStyle w:val="Brezrazmikov"/>
        <w:spacing w:line="276" w:lineRule="auto"/>
        <w:jc w:val="both"/>
        <w:rPr>
          <w:rFonts w:ascii="Arial" w:hAnsi="Arial" w:cs="Arial"/>
          <w:sz w:val="20"/>
          <w:szCs w:val="20"/>
        </w:rPr>
      </w:pPr>
    </w:p>
    <w:p w14:paraId="5949740D" w14:textId="77777777" w:rsidR="00ED1F41" w:rsidRPr="00545EC0" w:rsidRDefault="00ED1F41" w:rsidP="00ED1F41">
      <w:pPr>
        <w:pStyle w:val="Brezrazmikov"/>
        <w:spacing w:line="276" w:lineRule="auto"/>
        <w:jc w:val="both"/>
        <w:rPr>
          <w:rFonts w:ascii="Arial" w:hAnsi="Arial" w:cs="Arial"/>
          <w:sz w:val="20"/>
          <w:szCs w:val="20"/>
        </w:rPr>
      </w:pPr>
      <w:r w:rsidRPr="00545EC0">
        <w:rPr>
          <w:rFonts w:ascii="Arial" w:hAnsi="Arial" w:cs="Arial"/>
          <w:sz w:val="20"/>
          <w:szCs w:val="20"/>
        </w:rPr>
        <w:t>V Podlomščici Malo Mlačevo je bila v letu 2016 presežena največja dovoljena koncentracija za živo srebro, v letu 2015 pa LP-OSK za terbutrin in NDK-OSK za izoproturon. Ostala leta je kemijsko stanje dobro.</w:t>
      </w:r>
    </w:p>
    <w:p w14:paraId="71F5EB2A" w14:textId="77777777" w:rsidR="00ED1F41" w:rsidRPr="00545EC0" w:rsidRDefault="00ED1F41" w:rsidP="00ED1F41">
      <w:pPr>
        <w:pStyle w:val="Brezrazmikov"/>
        <w:spacing w:line="276" w:lineRule="auto"/>
        <w:jc w:val="both"/>
        <w:rPr>
          <w:rFonts w:ascii="Arial" w:hAnsi="Arial" w:cs="Arial"/>
          <w:sz w:val="20"/>
          <w:szCs w:val="20"/>
        </w:rPr>
      </w:pPr>
    </w:p>
    <w:p w14:paraId="024BAAC4" w14:textId="77777777" w:rsidR="00ED1F41" w:rsidRPr="00545EC0" w:rsidRDefault="00ED1F41" w:rsidP="00ED1F41">
      <w:pPr>
        <w:pStyle w:val="Brezrazmikov"/>
        <w:spacing w:line="276" w:lineRule="auto"/>
        <w:jc w:val="both"/>
        <w:rPr>
          <w:rFonts w:ascii="Arial" w:hAnsi="Arial" w:cs="Arial"/>
          <w:sz w:val="20"/>
          <w:szCs w:val="20"/>
        </w:rPr>
      </w:pPr>
      <w:r w:rsidRPr="00545EC0">
        <w:rPr>
          <w:rFonts w:ascii="Arial" w:hAnsi="Arial" w:cs="Arial"/>
          <w:sz w:val="20"/>
          <w:szCs w:val="20"/>
        </w:rPr>
        <w:t xml:space="preserve">Temenica na merilnem mestu Grm ima zmerno stanje zaradi preseganja mejne vrednosti za cink in kobalt.  </w:t>
      </w:r>
    </w:p>
    <w:p w14:paraId="2BE2C219" w14:textId="77777777" w:rsidR="00ED1F41" w:rsidRPr="00545EC0" w:rsidRDefault="00ED1F41" w:rsidP="00ED1F41">
      <w:pPr>
        <w:pStyle w:val="Brezrazmikov"/>
        <w:spacing w:line="276" w:lineRule="auto"/>
        <w:jc w:val="both"/>
        <w:rPr>
          <w:rFonts w:ascii="Arial" w:hAnsi="Arial" w:cs="Arial"/>
          <w:sz w:val="20"/>
          <w:szCs w:val="20"/>
        </w:rPr>
      </w:pPr>
    </w:p>
    <w:p w14:paraId="018D819D" w14:textId="2C1884D2" w:rsidR="00ED1F41" w:rsidRPr="00545EC0" w:rsidRDefault="00ED1F41" w:rsidP="00ED1F41">
      <w:pPr>
        <w:pStyle w:val="Brezrazmikov"/>
        <w:spacing w:line="276" w:lineRule="auto"/>
        <w:jc w:val="both"/>
        <w:rPr>
          <w:rFonts w:ascii="Arial" w:hAnsi="Arial" w:cs="Arial"/>
          <w:b/>
          <w:sz w:val="20"/>
          <w:szCs w:val="20"/>
        </w:rPr>
      </w:pPr>
      <w:r w:rsidRPr="00545EC0">
        <w:rPr>
          <w:rFonts w:ascii="Arial" w:hAnsi="Arial" w:cs="Arial"/>
          <w:sz w:val="20"/>
          <w:szCs w:val="20"/>
        </w:rPr>
        <w:t>V Krupi in Lahinji so presežene vsebnosti dioksinov in dioksinom podobnih spojin v organizmih, zato imata obe vodni telesi slabo kemijsko stanje. Vsebnost PCB, ki spadajo med posebna onesnaževala, je bila v Krupi presežena tudi v vodi. Zato ima Krupa tudi zmerno ekološko stanje, in sicer samo na podlagi elementa kakovosti posebna onesnaževala.</w:t>
      </w:r>
    </w:p>
    <w:p w14:paraId="2CB21903" w14:textId="77777777" w:rsidR="00ED1F41" w:rsidRPr="00545EC0" w:rsidRDefault="00ED1F41" w:rsidP="00ED1F41">
      <w:pPr>
        <w:pStyle w:val="Brezrazmikov"/>
        <w:jc w:val="both"/>
        <w:rPr>
          <w:rFonts w:ascii="Arial" w:hAnsi="Arial" w:cs="Arial"/>
          <w:b/>
          <w:sz w:val="20"/>
          <w:szCs w:val="20"/>
        </w:rPr>
      </w:pPr>
    </w:p>
    <w:p w14:paraId="47764BAD" w14:textId="77777777" w:rsidR="00ED1F41" w:rsidRPr="00545EC0" w:rsidRDefault="00ED1F41" w:rsidP="00ED1F41">
      <w:pPr>
        <w:pStyle w:val="Brezrazmikov"/>
        <w:spacing w:line="276" w:lineRule="auto"/>
        <w:jc w:val="both"/>
        <w:rPr>
          <w:rFonts w:ascii="Arial" w:hAnsi="Arial" w:cs="Arial"/>
          <w:sz w:val="20"/>
          <w:szCs w:val="20"/>
        </w:rPr>
      </w:pPr>
      <w:r w:rsidRPr="00545EC0">
        <w:rPr>
          <w:rFonts w:ascii="Arial" w:hAnsi="Arial" w:cs="Arial"/>
          <w:sz w:val="20"/>
          <w:szCs w:val="20"/>
        </w:rPr>
        <w:t xml:space="preserve">V podzemni vodi porečja spodnje Save je standard kakovosti za desetil-atrazin presežen na dveh merilnih mestih in sicer: </w:t>
      </w:r>
    </w:p>
    <w:p w14:paraId="20420B0C" w14:textId="43784221" w:rsidR="00ED1F41" w:rsidRPr="00545EC0" w:rsidRDefault="00ED1F41" w:rsidP="00DD37C5">
      <w:pPr>
        <w:pStyle w:val="Brezrazmikov"/>
        <w:numPr>
          <w:ilvl w:val="0"/>
          <w:numId w:val="78"/>
        </w:numPr>
        <w:spacing w:line="276" w:lineRule="auto"/>
        <w:jc w:val="both"/>
        <w:rPr>
          <w:rFonts w:ascii="Arial" w:hAnsi="Arial" w:cs="Arial"/>
          <w:sz w:val="20"/>
          <w:szCs w:val="20"/>
        </w:rPr>
      </w:pPr>
      <w:r w:rsidRPr="00545EC0">
        <w:rPr>
          <w:rFonts w:ascii="Arial" w:hAnsi="Arial" w:cs="Arial"/>
          <w:sz w:val="20"/>
          <w:szCs w:val="20"/>
        </w:rPr>
        <w:t>na merilnem mestu Kamnje, ki spada v VTPOdV Posavsko hribovje do osrednje Sotle</w:t>
      </w:r>
      <w:r w:rsidR="00F15443" w:rsidRPr="00545EC0">
        <w:rPr>
          <w:rFonts w:ascii="Arial" w:hAnsi="Arial" w:cs="Arial"/>
          <w:sz w:val="20"/>
          <w:szCs w:val="20"/>
        </w:rPr>
        <w:t>,</w:t>
      </w:r>
    </w:p>
    <w:p w14:paraId="20AE8967" w14:textId="77777777" w:rsidR="00ED1F41" w:rsidRPr="00545EC0" w:rsidRDefault="00ED1F41" w:rsidP="00DD37C5">
      <w:pPr>
        <w:pStyle w:val="Brezrazmikov"/>
        <w:numPr>
          <w:ilvl w:val="0"/>
          <w:numId w:val="78"/>
        </w:numPr>
        <w:spacing w:line="276" w:lineRule="auto"/>
        <w:jc w:val="both"/>
        <w:rPr>
          <w:rFonts w:ascii="Arial" w:hAnsi="Arial" w:cs="Arial"/>
          <w:sz w:val="20"/>
          <w:szCs w:val="20"/>
        </w:rPr>
      </w:pPr>
      <w:r w:rsidRPr="00545EC0">
        <w:rPr>
          <w:rFonts w:ascii="Arial" w:hAnsi="Arial" w:cs="Arial"/>
          <w:sz w:val="20"/>
          <w:szCs w:val="20"/>
        </w:rPr>
        <w:t>na merilnem mestu Drnovo, ki spada v vodno telo Krška kotlina.</w:t>
      </w:r>
    </w:p>
    <w:p w14:paraId="62D9F72D" w14:textId="77777777" w:rsidR="00ED1F41" w:rsidRPr="00545EC0" w:rsidRDefault="00ED1F41" w:rsidP="00ED1F41">
      <w:pPr>
        <w:pStyle w:val="Brezrazmikov"/>
        <w:spacing w:line="276" w:lineRule="auto"/>
        <w:jc w:val="both"/>
        <w:rPr>
          <w:rFonts w:ascii="Arial" w:hAnsi="Arial" w:cs="Arial"/>
          <w:sz w:val="20"/>
          <w:szCs w:val="20"/>
        </w:rPr>
      </w:pPr>
    </w:p>
    <w:p w14:paraId="5EEC737B" w14:textId="77777777" w:rsidR="00ED1F41" w:rsidRPr="00545EC0" w:rsidRDefault="00ED1F41" w:rsidP="00ED1F41">
      <w:pPr>
        <w:pStyle w:val="Brezrazmikov"/>
        <w:spacing w:line="276" w:lineRule="auto"/>
        <w:jc w:val="both"/>
        <w:rPr>
          <w:rFonts w:ascii="Arial" w:hAnsi="Arial" w:cs="Arial"/>
          <w:sz w:val="20"/>
          <w:szCs w:val="20"/>
        </w:rPr>
      </w:pPr>
      <w:r w:rsidRPr="00545EC0">
        <w:rPr>
          <w:rFonts w:ascii="Arial" w:hAnsi="Arial" w:cs="Arial"/>
          <w:sz w:val="20"/>
          <w:szCs w:val="20"/>
        </w:rPr>
        <w:t>Na merilnem mestu Drnovo v vodnem telesu Krška kotlina narašča vsebnost nitratov, zaradi česar je črpališče začasno izključeno iz sistema oskrbe s pitno vodo.</w:t>
      </w:r>
    </w:p>
    <w:p w14:paraId="3017125F" w14:textId="77777777" w:rsidR="00ED1F41" w:rsidRPr="00545EC0" w:rsidRDefault="00ED1F41" w:rsidP="00ED1F41">
      <w:pPr>
        <w:pStyle w:val="Brezrazmikov"/>
        <w:spacing w:line="276" w:lineRule="auto"/>
        <w:jc w:val="both"/>
        <w:rPr>
          <w:rFonts w:ascii="Arial" w:hAnsi="Arial" w:cs="Arial"/>
          <w:b/>
          <w:sz w:val="20"/>
        </w:rPr>
      </w:pPr>
    </w:p>
    <w:p w14:paraId="00289471" w14:textId="43AC430E" w:rsidR="00ED1F41" w:rsidRPr="00545EC0" w:rsidRDefault="00ED1F41" w:rsidP="004C7CDB">
      <w:pPr>
        <w:pStyle w:val="Brezrazmikov"/>
        <w:spacing w:line="276" w:lineRule="auto"/>
        <w:jc w:val="both"/>
        <w:rPr>
          <w:rFonts w:ascii="Arial" w:hAnsi="Arial" w:cs="Arial"/>
          <w:sz w:val="20"/>
          <w:u w:val="single"/>
        </w:rPr>
      </w:pPr>
      <w:r w:rsidRPr="00545EC0">
        <w:rPr>
          <w:rFonts w:ascii="Arial" w:hAnsi="Arial" w:cs="Arial"/>
          <w:sz w:val="20"/>
          <w:u w:val="single"/>
        </w:rPr>
        <w:t>Porečje Savinje</w:t>
      </w:r>
    </w:p>
    <w:p w14:paraId="7CDE0860" w14:textId="77777777" w:rsidR="004C7CDB" w:rsidRPr="00545EC0" w:rsidRDefault="004C7CDB" w:rsidP="004C7CDB">
      <w:pPr>
        <w:pStyle w:val="Brezrazmikov"/>
        <w:spacing w:line="276" w:lineRule="auto"/>
        <w:jc w:val="both"/>
        <w:rPr>
          <w:rFonts w:ascii="Arial" w:hAnsi="Arial" w:cs="Arial"/>
          <w:sz w:val="20"/>
          <w:u w:val="single"/>
        </w:rPr>
      </w:pPr>
    </w:p>
    <w:p w14:paraId="2FD362EE" w14:textId="0FBF05A9" w:rsidR="00ED1F41" w:rsidRPr="00545EC0" w:rsidRDefault="00ED1F41" w:rsidP="00ED1F41">
      <w:pPr>
        <w:pStyle w:val="Brezrazmikov"/>
        <w:spacing w:line="276" w:lineRule="auto"/>
        <w:jc w:val="both"/>
        <w:rPr>
          <w:rFonts w:ascii="Arial" w:hAnsi="Arial" w:cs="Arial"/>
          <w:sz w:val="20"/>
        </w:rPr>
      </w:pPr>
      <w:r w:rsidRPr="00545EC0">
        <w:rPr>
          <w:rFonts w:ascii="Arial" w:hAnsi="Arial" w:cs="Arial"/>
          <w:sz w:val="20"/>
        </w:rPr>
        <w:t>Na porečju Savinje so prisotne obremenitve iz kmetijstva, ki vplivajo na onesnaženje voda s hranili (dušik). Prav tako so prisotn</w:t>
      </w:r>
      <w:r w:rsidR="00D83F34" w:rsidRPr="00545EC0">
        <w:rPr>
          <w:rFonts w:ascii="Arial" w:hAnsi="Arial" w:cs="Arial"/>
          <w:sz w:val="20"/>
        </w:rPr>
        <w:t>e</w:t>
      </w:r>
      <w:r w:rsidRPr="00545EC0">
        <w:rPr>
          <w:rFonts w:ascii="Arial" w:hAnsi="Arial" w:cs="Arial"/>
          <w:sz w:val="20"/>
        </w:rPr>
        <w:t xml:space="preserve"> industrijske obremenitve površinske vode in iztoki iz KČN. Med HM pomembnimi obremenitvami prevladujejo regulacije in ureditve strug in obale zadrževalnikov, spremenjena raba tal na prispevni površini in odvzemi vode. Druge pomembne HM so še spremenjena raba tal v obrežnem pasu in zadrževalniki. Na porečju Savinje so 3 zadrževalniki in </w:t>
      </w:r>
      <w:r w:rsidRPr="00545EC0">
        <w:rPr>
          <w:rFonts w:ascii="Arial" w:hAnsi="Arial" w:cs="Arial"/>
          <w:sz w:val="20"/>
        </w:rPr>
        <w:lastRenderedPageBreak/>
        <w:t xml:space="preserve">identificiranih je 10 območij pomembnega vpliva poplav, izvajanje protipoplavnih ukrepov pa bi na teh območjih v prihodnje lahko predstavljalo dodatne HM obremenitve. </w:t>
      </w:r>
    </w:p>
    <w:p w14:paraId="5B8720EC" w14:textId="77777777" w:rsidR="00ED1F41" w:rsidRPr="00545EC0" w:rsidRDefault="00ED1F41" w:rsidP="00ED1F41">
      <w:pPr>
        <w:pStyle w:val="Brezrazmikov"/>
        <w:spacing w:line="276" w:lineRule="auto"/>
        <w:jc w:val="both"/>
        <w:rPr>
          <w:rFonts w:ascii="Arial" w:hAnsi="Arial" w:cs="Arial"/>
          <w:sz w:val="20"/>
        </w:rPr>
      </w:pPr>
    </w:p>
    <w:p w14:paraId="6A06EB81" w14:textId="77777777" w:rsidR="00ED1F41" w:rsidRPr="00545EC0" w:rsidRDefault="00ED1F41" w:rsidP="00ED1F41">
      <w:pPr>
        <w:pStyle w:val="Brezrazmikov"/>
        <w:spacing w:line="276" w:lineRule="auto"/>
        <w:jc w:val="both"/>
        <w:rPr>
          <w:rFonts w:ascii="Arial" w:hAnsi="Arial" w:cs="Arial"/>
          <w:sz w:val="20"/>
        </w:rPr>
      </w:pPr>
      <w:r w:rsidRPr="00545EC0">
        <w:rPr>
          <w:rFonts w:ascii="Arial" w:hAnsi="Arial" w:cs="Arial"/>
          <w:sz w:val="20"/>
        </w:rPr>
        <w:t>Vodna telesa, ki v porečju Savinje ne dosegajo dobrega ekološkega stanja oz. potenciala, so:</w:t>
      </w:r>
    </w:p>
    <w:p w14:paraId="268591AD" w14:textId="77777777" w:rsidR="00ED1F41" w:rsidRPr="00545EC0" w:rsidRDefault="00ED1F41" w:rsidP="00DD37C5">
      <w:pPr>
        <w:pStyle w:val="Brezrazmikov"/>
        <w:numPr>
          <w:ilvl w:val="0"/>
          <w:numId w:val="79"/>
        </w:numPr>
        <w:spacing w:line="276" w:lineRule="auto"/>
        <w:jc w:val="both"/>
        <w:rPr>
          <w:rFonts w:ascii="Arial" w:hAnsi="Arial" w:cs="Arial"/>
          <w:sz w:val="20"/>
        </w:rPr>
      </w:pPr>
      <w:r w:rsidRPr="00545EC0">
        <w:rPr>
          <w:rFonts w:ascii="Arial" w:hAnsi="Arial" w:cs="Arial"/>
          <w:sz w:val="20"/>
        </w:rPr>
        <w:t>VT Paka povirje – Velenje in VT Hudinja povirje – Nova Cerkev v slabem ekološkem stanju,</w:t>
      </w:r>
    </w:p>
    <w:p w14:paraId="6D325D35" w14:textId="77777777" w:rsidR="00ED1F41" w:rsidRPr="00545EC0" w:rsidRDefault="00ED1F41" w:rsidP="00DD37C5">
      <w:pPr>
        <w:pStyle w:val="Brezrazmikov"/>
        <w:numPr>
          <w:ilvl w:val="0"/>
          <w:numId w:val="79"/>
        </w:numPr>
        <w:spacing w:line="276" w:lineRule="auto"/>
        <w:jc w:val="both"/>
        <w:rPr>
          <w:rFonts w:ascii="Arial" w:hAnsi="Arial" w:cs="Arial"/>
          <w:sz w:val="20"/>
        </w:rPr>
      </w:pPr>
      <w:r w:rsidRPr="00545EC0">
        <w:rPr>
          <w:rFonts w:ascii="Arial" w:hAnsi="Arial" w:cs="Arial"/>
          <w:sz w:val="20"/>
        </w:rPr>
        <w:t>VT Dreta, VT Paka Velenje – Skorno, VT Paka Skorno – Šmartno, VT Bolska Trojane – Kapla, VT Bolska Kapla – Latkova vas, VT Hudinja Nova Cerkev – sotočje z Voglajno, VT Voglajna zadrževalnik Slivniško jezero – Celje, VT Gračnica, VT Savinja Letuš – Celje, UVT Velenjsko jezero, MPVT zadrževalnik Šmartinsko jezero in MPVT zadrževalnik Slivniško jezero v zmernem ekološkem stanju oz. potencialu.</w:t>
      </w:r>
    </w:p>
    <w:p w14:paraId="402E9F68" w14:textId="77777777" w:rsidR="00ED1F41" w:rsidRPr="00545EC0" w:rsidRDefault="00ED1F41" w:rsidP="00ED1F41">
      <w:pPr>
        <w:pStyle w:val="Brezrazmikov"/>
        <w:spacing w:line="276" w:lineRule="auto"/>
        <w:jc w:val="both"/>
        <w:rPr>
          <w:rFonts w:ascii="Arial" w:hAnsi="Arial" w:cs="Arial"/>
          <w:sz w:val="20"/>
        </w:rPr>
      </w:pPr>
    </w:p>
    <w:p w14:paraId="1B93624C" w14:textId="11019B58" w:rsidR="00502AA5" w:rsidRPr="00545EC0" w:rsidRDefault="00502AA5" w:rsidP="00ED1F41">
      <w:pPr>
        <w:pStyle w:val="Brezrazmikov"/>
        <w:spacing w:line="276" w:lineRule="auto"/>
        <w:jc w:val="both"/>
        <w:rPr>
          <w:rFonts w:ascii="Arial" w:hAnsi="Arial" w:cs="Arial"/>
          <w:sz w:val="20"/>
        </w:rPr>
      </w:pPr>
      <w:r w:rsidRPr="00545EC0">
        <w:rPr>
          <w:rFonts w:ascii="Arial" w:hAnsi="Arial" w:cs="Arial"/>
          <w:sz w:val="20"/>
        </w:rPr>
        <w:t>Na porečju Savinje so tri vodna telesa</w:t>
      </w:r>
      <w:r w:rsidR="005F54ED" w:rsidRPr="00545EC0">
        <w:rPr>
          <w:rFonts w:ascii="Arial" w:hAnsi="Arial" w:cs="Arial"/>
          <w:sz w:val="20"/>
        </w:rPr>
        <w:t xml:space="preserve"> (VT Paka Velenje – Skorno, VT Paka Skorno – Šmartno in UVT Velenjsko jezero)</w:t>
      </w:r>
      <w:r w:rsidRPr="00545EC0">
        <w:rPr>
          <w:rFonts w:ascii="Arial" w:hAnsi="Arial" w:cs="Arial"/>
          <w:sz w:val="20"/>
        </w:rPr>
        <w:t>, ki ne dosegajo dobrega stanja za</w:t>
      </w:r>
      <w:r w:rsidR="005F54ED" w:rsidRPr="00545EC0">
        <w:rPr>
          <w:rFonts w:ascii="Arial" w:hAnsi="Arial" w:cs="Arial"/>
          <w:sz w:val="20"/>
        </w:rPr>
        <w:t>radi onesnaženja z molibdenom in/ali sulfatom.</w:t>
      </w:r>
      <w:r w:rsidRPr="00545EC0">
        <w:rPr>
          <w:rFonts w:ascii="Arial" w:hAnsi="Arial" w:cs="Arial"/>
          <w:sz w:val="20"/>
        </w:rPr>
        <w:t xml:space="preserve"> </w:t>
      </w:r>
    </w:p>
    <w:p w14:paraId="002EABB2" w14:textId="77777777" w:rsidR="00502AA5" w:rsidRPr="00545EC0" w:rsidRDefault="00502AA5" w:rsidP="00ED1F41">
      <w:pPr>
        <w:pStyle w:val="Brezrazmikov"/>
        <w:spacing w:line="276" w:lineRule="auto"/>
        <w:jc w:val="both"/>
        <w:rPr>
          <w:rFonts w:ascii="Arial" w:hAnsi="Arial" w:cs="Arial"/>
          <w:b/>
          <w:sz w:val="20"/>
        </w:rPr>
      </w:pPr>
    </w:p>
    <w:p w14:paraId="1F2D0136" w14:textId="139FC7B8" w:rsidR="00ED1F41" w:rsidRPr="00545EC0" w:rsidRDefault="00ED1F41" w:rsidP="00ED1F41">
      <w:pPr>
        <w:pStyle w:val="Brezrazmikov"/>
        <w:spacing w:line="276" w:lineRule="auto"/>
        <w:jc w:val="both"/>
        <w:rPr>
          <w:rFonts w:ascii="Arial" w:hAnsi="Arial" w:cs="Arial"/>
          <w:sz w:val="20"/>
        </w:rPr>
      </w:pPr>
      <w:r w:rsidRPr="00545EC0">
        <w:rPr>
          <w:rFonts w:ascii="Arial" w:hAnsi="Arial" w:cs="Arial"/>
          <w:sz w:val="20"/>
        </w:rPr>
        <w:t>Podzemno vodno telo Savinjska kotlina je v slabem kemijskem stanju zaradi nitratov, v letu 2019 je bil nitrat presežen na kar na polovici merilnih mest. Analiza trendov kaže, da vsebnost nitrata s statistično značilnostjo pada, nitrati se statistično značilno znižujejo na sedmih od 12 merilnih mest. Pesticidi</w:t>
      </w:r>
      <w:r w:rsidR="00E1627C" w:rsidRPr="00545EC0">
        <w:rPr>
          <w:rFonts w:ascii="Arial" w:hAnsi="Arial" w:cs="Arial"/>
          <w:sz w:val="20"/>
        </w:rPr>
        <w:t>,</w:t>
      </w:r>
      <w:r w:rsidRPr="00545EC0">
        <w:rPr>
          <w:rFonts w:ascii="Arial" w:hAnsi="Arial" w:cs="Arial"/>
          <w:sz w:val="20"/>
        </w:rPr>
        <w:t xml:space="preserve"> </w:t>
      </w:r>
      <w:r w:rsidR="00E1627C" w:rsidRPr="00545EC0">
        <w:rPr>
          <w:rFonts w:ascii="Arial" w:hAnsi="Arial" w:cs="Arial"/>
          <w:sz w:val="20"/>
        </w:rPr>
        <w:t xml:space="preserve">to je </w:t>
      </w:r>
      <w:r w:rsidR="00C20058" w:rsidRPr="00545EC0">
        <w:rPr>
          <w:rFonts w:ascii="Arial" w:hAnsi="Arial" w:cs="Arial"/>
          <w:sz w:val="20"/>
        </w:rPr>
        <w:t>fitofarmacevtska sredstva</w:t>
      </w:r>
      <w:r w:rsidR="00E1627C" w:rsidRPr="00545EC0">
        <w:rPr>
          <w:rFonts w:ascii="Arial" w:hAnsi="Arial" w:cs="Arial"/>
          <w:sz w:val="20"/>
        </w:rPr>
        <w:t xml:space="preserve"> in biocidi,</w:t>
      </w:r>
      <w:r w:rsidR="00C20058" w:rsidRPr="00545EC0">
        <w:rPr>
          <w:rFonts w:ascii="Arial" w:hAnsi="Arial" w:cs="Arial"/>
          <w:sz w:val="20"/>
        </w:rPr>
        <w:t xml:space="preserve"> </w:t>
      </w:r>
      <w:r w:rsidRPr="00545EC0">
        <w:rPr>
          <w:rFonts w:ascii="Arial" w:hAnsi="Arial" w:cs="Arial"/>
          <w:sz w:val="20"/>
        </w:rPr>
        <w:t>v Savinjski kotlin</w:t>
      </w:r>
      <w:r w:rsidR="00537C3E" w:rsidRPr="00545EC0">
        <w:rPr>
          <w:rFonts w:ascii="Arial" w:hAnsi="Arial" w:cs="Arial"/>
          <w:sz w:val="20"/>
        </w:rPr>
        <w:t>i ne presegajo mejne vrednosti.</w:t>
      </w:r>
    </w:p>
    <w:p w14:paraId="2127B369" w14:textId="29FD590B" w:rsidR="00DC52D1" w:rsidRPr="00545EC0" w:rsidRDefault="00A81D08" w:rsidP="00C47C79">
      <w:pPr>
        <w:pStyle w:val="Naslov20"/>
      </w:pPr>
      <w:bookmarkStart w:id="595" w:name="_Toc90261056"/>
      <w:r w:rsidRPr="00545EC0">
        <w:t>Ra</w:t>
      </w:r>
      <w:r w:rsidR="00DC52D1" w:rsidRPr="00545EC0">
        <w:t>zpoložljiv</w:t>
      </w:r>
      <w:r w:rsidRPr="00545EC0">
        <w:t>i podatki</w:t>
      </w:r>
      <w:r w:rsidR="00DC52D1" w:rsidRPr="00545EC0">
        <w:t xml:space="preserve"> in analize, ki kažejo na pojav podnebnih sprememb na območju</w:t>
      </w:r>
      <w:bookmarkEnd w:id="595"/>
      <w:r w:rsidR="00DC52D1" w:rsidRPr="00545EC0">
        <w:t xml:space="preserve"> </w:t>
      </w:r>
    </w:p>
    <w:p w14:paraId="431E20F5" w14:textId="175F706F" w:rsidR="005551F7" w:rsidRPr="00545EC0" w:rsidRDefault="005551F7">
      <w:pPr>
        <w:pStyle w:val="Naslov3"/>
        <w:rPr>
          <w:lang w:val="sl-SI"/>
        </w:rPr>
      </w:pPr>
      <w:bookmarkStart w:id="596" w:name="_Toc90261057"/>
      <w:r w:rsidRPr="00545EC0">
        <w:t>Ugotovljene podnebne spremembe v Sloveniji</w:t>
      </w:r>
      <w:r w:rsidRPr="00545EC0">
        <w:rPr>
          <w:lang w:val="sl-SI"/>
        </w:rPr>
        <w:t xml:space="preserve"> v obdobju 1961-</w:t>
      </w:r>
      <w:r w:rsidRPr="008D1CD3">
        <w:t>20</w:t>
      </w:r>
      <w:r w:rsidR="008D1CD3">
        <w:rPr>
          <w:lang w:val="sl-SI"/>
        </w:rPr>
        <w:t>2</w:t>
      </w:r>
      <w:r w:rsidRPr="008D1CD3">
        <w:t>1</w:t>
      </w:r>
      <w:bookmarkEnd w:id="596"/>
    </w:p>
    <w:p w14:paraId="75E31E1C" w14:textId="77777777" w:rsidR="005551F7" w:rsidRPr="00545EC0" w:rsidRDefault="005551F7" w:rsidP="005551F7">
      <w:pPr>
        <w:rPr>
          <w:rFonts w:cs="Arial"/>
          <w:szCs w:val="20"/>
          <w:lang w:eastAsia="x-none"/>
        </w:rPr>
      </w:pPr>
    </w:p>
    <w:p w14:paraId="0DE65A99" w14:textId="76360444" w:rsidR="004E13F6" w:rsidRPr="00545EC0" w:rsidRDefault="004E13F6" w:rsidP="004E13F6">
      <w:pPr>
        <w:rPr>
          <w:rFonts w:cs="Arial"/>
          <w:szCs w:val="20"/>
        </w:rPr>
      </w:pPr>
      <w:r w:rsidRPr="00545EC0">
        <w:rPr>
          <w:rFonts w:cs="Arial"/>
          <w:szCs w:val="20"/>
        </w:rPr>
        <w:t xml:space="preserve">Zaradi razgibanega reliefa in vpliva morja imamo v Sloveniji izjemno pestro podnebje s prepletanjem  zmerno celinskega, subalpskega in submediteranskega podnebja. Podnebna raznolikost Slovenije se kaže v dnevni, sezonski in večletni spremenljivosti podnebnih spremenljivk. Na podlagi meritev </w:t>
      </w:r>
      <w:r w:rsidR="00036DE6" w:rsidRPr="00545EC0">
        <w:rPr>
          <w:rFonts w:cs="Arial"/>
          <w:szCs w:val="20"/>
        </w:rPr>
        <w:t xml:space="preserve">se spremlja </w:t>
      </w:r>
      <w:r w:rsidRPr="00545EC0">
        <w:rPr>
          <w:rFonts w:cs="Arial"/>
          <w:szCs w:val="20"/>
        </w:rPr>
        <w:t>, kako se podnebje v Sloveniji spreminja in kakšen je vpliv globalnih podnebnih sprememb na podnebje v Sloveniji. Za potrebe ugotavljanja vplivov podnebnih sprememb na vodni krog so bile izvedene sledeče analize:</w:t>
      </w:r>
    </w:p>
    <w:p w14:paraId="592E4C63" w14:textId="77777777" w:rsidR="004E13F6" w:rsidRPr="00545EC0" w:rsidRDefault="004E13F6" w:rsidP="004E13F6">
      <w:pPr>
        <w:rPr>
          <w:rFonts w:cs="Arial"/>
          <w:szCs w:val="20"/>
        </w:rPr>
      </w:pPr>
    </w:p>
    <w:p w14:paraId="603563A1" w14:textId="77777777" w:rsidR="004E13F6" w:rsidRPr="00545EC0" w:rsidRDefault="004E13F6" w:rsidP="00DD37C5">
      <w:pPr>
        <w:pStyle w:val="Odstavekseznama"/>
        <w:numPr>
          <w:ilvl w:val="0"/>
          <w:numId w:val="32"/>
        </w:numPr>
        <w:tabs>
          <w:tab w:val="center" w:pos="426"/>
        </w:tabs>
        <w:overflowPunct/>
        <w:autoSpaceDE/>
        <w:autoSpaceDN/>
        <w:adjustRightInd/>
        <w:ind w:left="426" w:hanging="426"/>
        <w:contextualSpacing/>
        <w:textAlignment w:val="auto"/>
        <w:rPr>
          <w:rFonts w:cs="Arial"/>
          <w:szCs w:val="20"/>
        </w:rPr>
      </w:pPr>
      <w:r w:rsidRPr="00545EC0">
        <w:rPr>
          <w:rFonts w:cs="Arial"/>
          <w:szCs w:val="20"/>
        </w:rPr>
        <w:t>spremenljivost in spremembe temperature zraka</w:t>
      </w:r>
      <w:r w:rsidRPr="00545EC0">
        <w:rPr>
          <w:rFonts w:cs="Arial"/>
          <w:szCs w:val="20"/>
          <w:lang w:val="sl-SI"/>
        </w:rPr>
        <w:t>,</w:t>
      </w:r>
    </w:p>
    <w:p w14:paraId="7B3C0661" w14:textId="77777777" w:rsidR="004E13F6" w:rsidRPr="00545EC0" w:rsidRDefault="004E13F6" w:rsidP="00DD37C5">
      <w:pPr>
        <w:pStyle w:val="Odstavekseznama"/>
        <w:numPr>
          <w:ilvl w:val="0"/>
          <w:numId w:val="32"/>
        </w:numPr>
        <w:tabs>
          <w:tab w:val="center" w:pos="426"/>
        </w:tabs>
        <w:overflowPunct/>
        <w:autoSpaceDE/>
        <w:autoSpaceDN/>
        <w:adjustRightInd/>
        <w:ind w:left="426" w:hanging="426"/>
        <w:contextualSpacing/>
        <w:textAlignment w:val="auto"/>
        <w:rPr>
          <w:rFonts w:cs="Arial"/>
          <w:szCs w:val="20"/>
        </w:rPr>
      </w:pPr>
      <w:r w:rsidRPr="00545EC0">
        <w:rPr>
          <w:rFonts w:cs="Arial"/>
          <w:szCs w:val="20"/>
        </w:rPr>
        <w:t>razporeditve in spremenljivosti padavin</w:t>
      </w:r>
      <w:r w:rsidRPr="00545EC0">
        <w:rPr>
          <w:rFonts w:cs="Arial"/>
          <w:szCs w:val="20"/>
          <w:lang w:val="sl-SI"/>
        </w:rPr>
        <w:t>,</w:t>
      </w:r>
    </w:p>
    <w:p w14:paraId="48CDB0D9" w14:textId="77777777" w:rsidR="004E13F6" w:rsidRPr="00545EC0" w:rsidRDefault="004E13F6" w:rsidP="00DD37C5">
      <w:pPr>
        <w:pStyle w:val="Odstavekseznama"/>
        <w:numPr>
          <w:ilvl w:val="0"/>
          <w:numId w:val="32"/>
        </w:numPr>
        <w:tabs>
          <w:tab w:val="center" w:pos="426"/>
        </w:tabs>
        <w:overflowPunct/>
        <w:autoSpaceDE/>
        <w:autoSpaceDN/>
        <w:adjustRightInd/>
        <w:ind w:left="426" w:hanging="426"/>
        <w:contextualSpacing/>
        <w:textAlignment w:val="auto"/>
        <w:rPr>
          <w:rFonts w:cs="Arial"/>
          <w:szCs w:val="20"/>
        </w:rPr>
      </w:pPr>
      <w:r w:rsidRPr="00545EC0">
        <w:rPr>
          <w:rFonts w:cs="Arial"/>
          <w:szCs w:val="20"/>
        </w:rPr>
        <w:t>spremenljivost izhlapevanja</w:t>
      </w:r>
      <w:r w:rsidRPr="00545EC0">
        <w:rPr>
          <w:rFonts w:cs="Arial"/>
          <w:szCs w:val="20"/>
          <w:lang w:val="sl-SI"/>
        </w:rPr>
        <w:t>.</w:t>
      </w:r>
    </w:p>
    <w:p w14:paraId="1606472E" w14:textId="77777777" w:rsidR="004E13F6" w:rsidRPr="00545EC0" w:rsidRDefault="004E13F6" w:rsidP="004E13F6">
      <w:pPr>
        <w:rPr>
          <w:rFonts w:cs="Arial"/>
          <w:szCs w:val="20"/>
        </w:rPr>
      </w:pPr>
    </w:p>
    <w:p w14:paraId="09E57B18" w14:textId="33B95507" w:rsidR="004E13F6" w:rsidRPr="00545EC0" w:rsidRDefault="004E13F6" w:rsidP="004E13F6">
      <w:pPr>
        <w:rPr>
          <w:rFonts w:cs="Arial"/>
          <w:szCs w:val="20"/>
        </w:rPr>
      </w:pPr>
      <w:r w:rsidRPr="00545EC0">
        <w:rPr>
          <w:rFonts w:cs="Arial"/>
          <w:szCs w:val="20"/>
        </w:rPr>
        <w:t>Analiza spremenljivosti in sprememb temperature zraka za obdobje 1961–2011 kaže, da je temperatura zraka v povprečju skozi celotno obdobje naraščala po vsej državi. Najhladnejša so bila prva in najtoplejša zadnja leta obravnavanega obdobja. V zadnjih petdesetih letih se je Slovenija v povprečju segrela za 1,7 °C. Na letni ravni je temperatura naraščala dokaj enakomerno po vsej državi s stopnjo okoli 0,35 °C na desetletje. Zaznati je le rahle razlike med vzhodnim delom države, ki se je segreval nekoliko hitreje kot zahodni del države. Večje razlike v spremembi temperature je zaznati na sezonski ravni. Najbolj so se ogrela poletja, le nekoliko manj pomladi, medtem ko jeseni statistično značiln</w:t>
      </w:r>
      <w:r w:rsidR="003905B8" w:rsidRPr="00545EC0">
        <w:rPr>
          <w:rFonts w:cs="Arial"/>
          <w:szCs w:val="20"/>
        </w:rPr>
        <w:t>e</w:t>
      </w:r>
      <w:r w:rsidRPr="00545EC0">
        <w:rPr>
          <w:rFonts w:cs="Arial"/>
          <w:szCs w:val="20"/>
        </w:rPr>
        <w:t xml:space="preserve"> sprememb</w:t>
      </w:r>
      <w:r w:rsidR="003905B8" w:rsidRPr="00545EC0">
        <w:rPr>
          <w:rFonts w:cs="Arial"/>
          <w:szCs w:val="20"/>
        </w:rPr>
        <w:t>e niso zaznane</w:t>
      </w:r>
      <w:r w:rsidRPr="00545EC0">
        <w:rPr>
          <w:rFonts w:cs="Arial"/>
          <w:szCs w:val="20"/>
        </w:rPr>
        <w:t xml:space="preserve">. Razlike med vzhodnim in zahodnim delom države so predvsem poleti in pozimi bolj izrazite kot na letni ravni.  </w:t>
      </w:r>
    </w:p>
    <w:p w14:paraId="43AFF0DB" w14:textId="77777777" w:rsidR="004E13F6" w:rsidRDefault="004E13F6" w:rsidP="004E13F6">
      <w:pPr>
        <w:rPr>
          <w:rFonts w:cs="Arial"/>
          <w:szCs w:val="20"/>
        </w:rPr>
      </w:pPr>
    </w:p>
    <w:p w14:paraId="70A07084" w14:textId="77777777" w:rsidR="008D1CD3" w:rsidRPr="008D1CD3" w:rsidRDefault="008D1CD3" w:rsidP="008D1CD3">
      <w:pPr>
        <w:rPr>
          <w:rFonts w:cs="Arial"/>
          <w:szCs w:val="20"/>
        </w:rPr>
      </w:pPr>
      <w:r w:rsidRPr="008D1CD3">
        <w:rPr>
          <w:rFonts w:cs="Arial"/>
          <w:szCs w:val="20"/>
        </w:rPr>
        <w:t>V Sloveniji od leta 2010 najprej beležimo neprekinjen niz nadpovprečno toplih let glede na povprečje (referenčnega) obdobja 1981–2010. Po nižinah je bilo v Sloveniji leto 2020 med petimi najtoplejšimi od leta 1961. Do sedaj je bilo najtoplejše leto 2014 z odklonom 1,7 °C, od leta 2020 pa so bila toplejša še leta 2019, 2018 in 2015. Nadpovprečno topli so bili vsi meseci leta 2020, razen maja. Največji odklon na ravni države je bil februarja (4,5 °C).</w:t>
      </w:r>
    </w:p>
    <w:p w14:paraId="56096592" w14:textId="77777777" w:rsidR="008D1CD3" w:rsidRPr="008D1CD3" w:rsidRDefault="008D1CD3" w:rsidP="008D1CD3">
      <w:pPr>
        <w:rPr>
          <w:rFonts w:cs="Arial"/>
          <w:szCs w:val="20"/>
        </w:rPr>
      </w:pPr>
    </w:p>
    <w:p w14:paraId="6BDE4490" w14:textId="418A885A" w:rsidR="008D1CD3" w:rsidRDefault="008D1CD3" w:rsidP="008D1CD3">
      <w:pPr>
        <w:rPr>
          <w:rFonts w:cs="Arial"/>
          <w:szCs w:val="20"/>
        </w:rPr>
      </w:pPr>
      <w:r w:rsidRPr="008D1CD3">
        <w:rPr>
          <w:rFonts w:cs="Arial"/>
          <w:szCs w:val="20"/>
        </w:rPr>
        <w:t>Meritve temperature v Sloveniji so pokazale, da je bilo v obdobju 1951–2020 največ nadpovprečno toplih let v zadnjih treh desetletjih. Najhitrejši trend naraščanja smo zabeležili v zadnjih dveh desetletjih minulega stoletja, v tem stoletju se je naraščanje nekoliko upočasnilo, od leta 2014 dalje pa spet kaže na hitrejše nadaljevanje ogrevanja. Letna povprečna temperatura se je v zadnjih petdesetih letih na vzhodu dvignila nekoliko bolj kot na zahodu države. Dvig temperature je bil občuten v vseh letnih časih, najbolj pri poletni temperaturi. Izpostavljamo, da se trend naraščanja nadaljuje in slovensko podnebje je že približno 2 °C toplejše, kot je bilo sredi minulega stoletja. Lokalno še vedno prevladuje vpliv naravne spremenljivosti podnebja nad dolgoročnimi trendi.</w:t>
      </w:r>
    </w:p>
    <w:p w14:paraId="7A9DB743" w14:textId="77777777" w:rsidR="008D1CD3" w:rsidRPr="00545EC0" w:rsidRDefault="008D1CD3" w:rsidP="008D1CD3">
      <w:pPr>
        <w:rPr>
          <w:rFonts w:cs="Arial"/>
          <w:szCs w:val="20"/>
        </w:rPr>
      </w:pPr>
    </w:p>
    <w:p w14:paraId="4FB7D0AF" w14:textId="77777777" w:rsidR="004E13F6" w:rsidRPr="00545EC0" w:rsidRDefault="004E13F6" w:rsidP="004E13F6">
      <w:pPr>
        <w:rPr>
          <w:rFonts w:cs="Arial"/>
          <w:szCs w:val="20"/>
        </w:rPr>
      </w:pPr>
      <w:r w:rsidRPr="00545EC0">
        <w:rPr>
          <w:rFonts w:cs="Arial"/>
          <w:szCs w:val="20"/>
        </w:rPr>
        <w:t>Analiza razporeditve in spremenljivosti padavin v Sloveniji kaže na veliko prostorsko in časovno raznolikost porazdelitve padavin, ki je posledica vpliva geografske lege Slovenije, razgibanosti njenega površja in značilnosti posameznih vremenskih tipov. Prostorsko količina padavin od zahoda proti severovzhodu pada. V najbolj namočenih severozahodnih predelih Slovenije povprečna letna višina padavin presega 3500 mm, na skrajnem severovzhodu pa doseže le okrog 800 mm in manj.</w:t>
      </w:r>
    </w:p>
    <w:p w14:paraId="59CD9C38" w14:textId="77777777" w:rsidR="004E13F6" w:rsidRPr="00545EC0" w:rsidRDefault="004E13F6" w:rsidP="004E13F6">
      <w:pPr>
        <w:rPr>
          <w:rFonts w:cs="Arial"/>
          <w:szCs w:val="20"/>
        </w:rPr>
      </w:pPr>
    </w:p>
    <w:p w14:paraId="3FEEF798" w14:textId="77777777" w:rsidR="004E13F6" w:rsidRPr="00545EC0" w:rsidRDefault="004E13F6" w:rsidP="004E13F6">
      <w:pPr>
        <w:rPr>
          <w:rFonts w:cs="Arial"/>
          <w:szCs w:val="20"/>
        </w:rPr>
      </w:pPr>
      <w:r w:rsidRPr="00545EC0">
        <w:rPr>
          <w:rFonts w:cs="Arial"/>
          <w:szCs w:val="20"/>
        </w:rPr>
        <w:t>Medletna spremenljivost padavin je zelo velika, zato mora biti sprememba povprečja velika, da je statistično značilna. Čeprav je na letnem nivoju zaznati upad povprečne količine padavin, je ta statistično značilna le za del severozahodne in južni rob Slovenije. Na sezonski ravni so spremembe v količini padavin ponekod značilne le pomladi in poleti, medtem ko jeseni in pozimi zaenkrat spremembe še niso tako velike, da bi bile statistično značilne. Padavinski režim se torej spreminja, jesenski višek ostaja enak kot v preteklosti, medtem ko se pomladi in poleti količina padavin zmanjšuje, kar odločujoče vpliva tudi na količine pretokov v rekah.</w:t>
      </w:r>
    </w:p>
    <w:p w14:paraId="4D9D6799" w14:textId="77777777" w:rsidR="004E13F6" w:rsidRPr="00545EC0" w:rsidRDefault="004E13F6" w:rsidP="004E13F6">
      <w:pPr>
        <w:rPr>
          <w:rFonts w:cs="Arial"/>
          <w:szCs w:val="20"/>
        </w:rPr>
      </w:pPr>
    </w:p>
    <w:p w14:paraId="2A9C2935" w14:textId="77777777" w:rsidR="004E13F6" w:rsidRPr="00545EC0" w:rsidRDefault="004E13F6" w:rsidP="004E13F6">
      <w:pPr>
        <w:rPr>
          <w:rFonts w:cs="Arial"/>
          <w:szCs w:val="20"/>
        </w:rPr>
      </w:pPr>
      <w:r w:rsidRPr="00545EC0">
        <w:rPr>
          <w:rFonts w:cs="Arial"/>
          <w:szCs w:val="20"/>
        </w:rPr>
        <w:t xml:space="preserve">Na pretočne režime v Sloveniji ima velik vpliv tudi snežna odeja. Vso državo, z izjemo Primorske, del leta pokriva snežna odeja. V visokogorju snežna odeja lahko leži preko celega leta, neprekinjeno pa od decembra do maja. V nižinah osrednje Slovenije imamo snežno odejo povprečno 20 do 60 dni na sezono. Tu je najbolj pogosta januarja, nekoliko manj februarja in decembra, še manj novembra, marca in aprila. </w:t>
      </w:r>
    </w:p>
    <w:p w14:paraId="43E59AD0" w14:textId="77777777" w:rsidR="004E13F6" w:rsidRPr="00545EC0" w:rsidRDefault="004E13F6" w:rsidP="004E13F6">
      <w:pPr>
        <w:rPr>
          <w:rFonts w:cs="Arial"/>
          <w:szCs w:val="20"/>
        </w:rPr>
      </w:pPr>
    </w:p>
    <w:p w14:paraId="5A70FF1E" w14:textId="77777777" w:rsidR="004E13F6" w:rsidRPr="00545EC0" w:rsidRDefault="004E13F6" w:rsidP="004E13F6">
      <w:pPr>
        <w:rPr>
          <w:rFonts w:cs="Arial"/>
          <w:szCs w:val="20"/>
        </w:rPr>
      </w:pPr>
      <w:r w:rsidRPr="00545EC0">
        <w:rPr>
          <w:rFonts w:cs="Arial"/>
          <w:szCs w:val="20"/>
        </w:rPr>
        <w:t>Globalne podnebne spremembe imajo opazen vpliv na snežno odejo. Višina snežne odeje se statistično značilno spreminja povsod na višjih nadmorskih višinah in sicer upada za več kot 10 % na desetletje. Spreminja se tudi količina novozapadlega snega. Te spremembe niso značilne le za višji svet, ampak so opazne tudi v hribovitem delu Dolenjske in Štajerske ter na Goričkem. Tudi v skupni količini novega snega so spremembe že kar znatne, ta upada hitreje kot 10 % na desetletje.</w:t>
      </w:r>
    </w:p>
    <w:p w14:paraId="3BF80EC5" w14:textId="77777777" w:rsidR="004E13F6" w:rsidRPr="00545EC0" w:rsidRDefault="004E13F6" w:rsidP="004E13F6">
      <w:pPr>
        <w:rPr>
          <w:rFonts w:cs="Arial"/>
          <w:szCs w:val="20"/>
        </w:rPr>
      </w:pPr>
    </w:p>
    <w:p w14:paraId="6D43CD7F" w14:textId="35BF4116" w:rsidR="004E13F6" w:rsidRPr="00545EC0" w:rsidRDefault="004E13F6" w:rsidP="004E13F6">
      <w:pPr>
        <w:rPr>
          <w:rFonts w:cs="Arial"/>
          <w:szCs w:val="20"/>
        </w:rPr>
      </w:pPr>
      <w:r w:rsidRPr="00545EC0">
        <w:rPr>
          <w:rFonts w:cs="Arial"/>
          <w:szCs w:val="20"/>
        </w:rPr>
        <w:t>Analiza spremenljivosti izhlapevanja v Sloveniji upošteva oceno potencialne evapotranspiracije, ki je odvisna od temperature zraka, energije sončnega obsevanja, zračne vlage in vetra. Potencialna evapotranspiracija se je v nekaterih predelih jugozahodne in severovzhodne Slovenije od leta 1971 povečala tudi za 24 %. Ker so to sušni predeli, je dejanska evapotranspiracija narasla manj, saj so v toplem delu leta zaloge vode v tleh velikokrat premajhne in jih potencialna evapotranspir</w:t>
      </w:r>
      <w:r w:rsidR="00537C3E" w:rsidRPr="00545EC0">
        <w:rPr>
          <w:rFonts w:cs="Arial"/>
          <w:szCs w:val="20"/>
        </w:rPr>
        <w:t>acija močno preseže.</w:t>
      </w:r>
    </w:p>
    <w:p w14:paraId="5D2F61CB" w14:textId="77777777" w:rsidR="004E13F6" w:rsidRPr="00545EC0" w:rsidRDefault="004E13F6">
      <w:pPr>
        <w:pStyle w:val="Naslov3"/>
      </w:pPr>
      <w:bookmarkStart w:id="597" w:name="_Toc90261058"/>
      <w:r w:rsidRPr="00545EC0">
        <w:t xml:space="preserve">Spremembe hidroloških spremenljivk in trendi </w:t>
      </w:r>
      <w:r w:rsidRPr="00545EC0">
        <w:rPr>
          <w:lang w:val="sl-SI"/>
        </w:rPr>
        <w:t>površinskih voda</w:t>
      </w:r>
      <w:bookmarkEnd w:id="597"/>
    </w:p>
    <w:p w14:paraId="7DC78EB8" w14:textId="77777777" w:rsidR="004E13F6" w:rsidRPr="00545EC0" w:rsidRDefault="004E13F6" w:rsidP="008D4C6E">
      <w:pPr>
        <w:rPr>
          <w:rFonts w:cs="Arial"/>
          <w:szCs w:val="20"/>
        </w:rPr>
      </w:pPr>
      <w:r w:rsidRPr="00545EC0">
        <w:rPr>
          <w:rFonts w:cs="Arial"/>
          <w:szCs w:val="20"/>
        </w:rPr>
        <w:t xml:space="preserve">Časovna spremenljivost pretokov rek v Sloveniji je velika, saj se ti neprestano spreminjajo. Dejavniki, ki vplivajo na hidrološko dogajanje in pretočni režim so številni, od podnebja, reliefa, tal, geološke sestave, vegetacije in rabe vode. V Sloveniji je najpomembnejši dejavnik podnebje, saj so pretoki rek v glavnem odvisni od časovne in prostorske razporeditve padavin, temperature zraka in trajanja snežne odeje. Zmanjševanje višine padavin, najbolj spomladi in poleti, spremembe trajanja in višine </w:t>
      </w:r>
      <w:r w:rsidRPr="00545EC0">
        <w:rPr>
          <w:rFonts w:cs="Arial"/>
          <w:szCs w:val="20"/>
        </w:rPr>
        <w:lastRenderedPageBreak/>
        <w:t>snežne odeje, rast povprečne temperature zraka in posledično povečana evapotranspiracija so glavni dejavniki, ki vplivajo na spreminjanje pretokov in posledično pretočnih režimov slovenskih rek.</w:t>
      </w:r>
    </w:p>
    <w:p w14:paraId="6BBB3136" w14:textId="77777777" w:rsidR="004E13F6" w:rsidRPr="00545EC0" w:rsidRDefault="004E13F6" w:rsidP="008D4C6E">
      <w:pPr>
        <w:rPr>
          <w:rFonts w:cs="Arial"/>
          <w:szCs w:val="20"/>
        </w:rPr>
      </w:pPr>
    </w:p>
    <w:p w14:paraId="5C2706F0" w14:textId="20952D7A" w:rsidR="00553FAF" w:rsidRPr="00545EC0" w:rsidRDefault="004E13F6" w:rsidP="008D4C6E">
      <w:r w:rsidRPr="00545EC0">
        <w:rPr>
          <w:rFonts w:cs="Arial"/>
          <w:szCs w:val="20"/>
        </w:rPr>
        <w:t>Analize trendov so bile izvedene za srednj</w:t>
      </w:r>
      <w:r w:rsidR="00553FAF" w:rsidRPr="00545EC0">
        <w:rPr>
          <w:rFonts w:cs="Arial"/>
          <w:szCs w:val="20"/>
        </w:rPr>
        <w:t xml:space="preserve">e, male in velike letne pretoke </w:t>
      </w:r>
      <w:r w:rsidR="00576FA6" w:rsidRPr="00545EC0">
        <w:rPr>
          <w:rFonts w:cs="Arial"/>
          <w:szCs w:val="20"/>
        </w:rPr>
        <w:t>(</w:t>
      </w:r>
      <w:r w:rsidR="00553FAF" w:rsidRPr="00545EC0">
        <w:t>ARSO, 2018).</w:t>
      </w:r>
    </w:p>
    <w:p w14:paraId="075BD4F0" w14:textId="0B47CA42" w:rsidR="004E13F6" w:rsidRPr="00545EC0" w:rsidRDefault="004E13F6" w:rsidP="008D4C6E">
      <w:pPr>
        <w:rPr>
          <w:rFonts w:cs="Arial"/>
          <w:szCs w:val="20"/>
        </w:rPr>
      </w:pPr>
      <w:r w:rsidRPr="00545EC0">
        <w:rPr>
          <w:rFonts w:cs="Arial"/>
          <w:szCs w:val="20"/>
        </w:rPr>
        <w:t xml:space="preserve">Trend srednjih pretokov kaže na upadanje vodnih količin povsod po državi in je večinoma statistično značilen. So pa razlike med letnimi časi. Srednji pomladni in poletni pretoki upadajo povsod po državi in pri večini merilnih mest je zaznan statistično značilen upadajoči trend. Srednji jesenski pretoki v glavnem nimajo statistično značilnih trendov, so pa v zahodni polovici države trendi večinoma negativni, v vzhodni pa pozitivni. Srednji zimski pretoki večinoma upadajo, vendar trend ni statistično značilen. </w:t>
      </w:r>
    </w:p>
    <w:p w14:paraId="6904B973" w14:textId="77777777" w:rsidR="004E13F6" w:rsidRPr="00545EC0" w:rsidRDefault="004E13F6" w:rsidP="008D4C6E">
      <w:pPr>
        <w:rPr>
          <w:rFonts w:cs="Arial"/>
          <w:szCs w:val="20"/>
        </w:rPr>
      </w:pPr>
    </w:p>
    <w:p w14:paraId="754B6ECE" w14:textId="77777777" w:rsidR="004E13F6" w:rsidRPr="00545EC0" w:rsidRDefault="004E13F6" w:rsidP="008D4C6E">
      <w:pPr>
        <w:rPr>
          <w:rFonts w:cs="Arial"/>
          <w:szCs w:val="20"/>
        </w:rPr>
      </w:pPr>
      <w:r w:rsidRPr="00545EC0">
        <w:rPr>
          <w:rFonts w:cs="Arial"/>
          <w:szCs w:val="20"/>
        </w:rPr>
        <w:t xml:space="preserve">Pri malih pretokih je podobno kot pri srednjih letnih pretokih trend povsod po državi negativen. Dolga obdobja malih pretokov vodijo v hidrološko sušo. Ta se najbolj odraža v energetiki in vodooskrbi, vpliva pa tudi na industrijsko dejavnost in turizem. Skoraj neprekinjeno obdobje z večinoma podpovprečno letno vodnatostjo slovenskih rek traja vse od leta 1980. Obdobja z malimi pretoki so vse daljša. Upadanje vodotokov je bolj izrazito na gorskih območjih, kjer lahko razloge iščemo v zimah, ki so manj bogate s snegom. Hidrološka suša je posledica dolgih obdobij brez omembe vrednih padavin in porasta povprečne letne temperature zraka ter z njo povezanega večjega izhlapevanja. </w:t>
      </w:r>
    </w:p>
    <w:p w14:paraId="69E6C29B" w14:textId="77777777" w:rsidR="004E13F6" w:rsidRPr="00545EC0" w:rsidRDefault="004E13F6" w:rsidP="004E13F6">
      <w:pPr>
        <w:rPr>
          <w:rFonts w:cs="Arial"/>
          <w:szCs w:val="20"/>
        </w:rPr>
      </w:pPr>
    </w:p>
    <w:p w14:paraId="54C49231" w14:textId="77777777" w:rsidR="004E13F6" w:rsidRPr="00545EC0" w:rsidRDefault="004E13F6" w:rsidP="004E13F6">
      <w:pPr>
        <w:rPr>
          <w:rFonts w:cs="Arial"/>
          <w:szCs w:val="20"/>
        </w:rPr>
      </w:pPr>
      <w:r w:rsidRPr="00545EC0">
        <w:rPr>
          <w:rFonts w:cs="Arial"/>
          <w:szCs w:val="20"/>
        </w:rPr>
        <w:t>Trend velikih pretokov izkazuje manjšo statistično značilnost kot trenda srednjih in malih pretokov. Na več kot polovici merilnih mest je trend negativen, v vzhodni Sloveniji pa večinoma pozitiven. Pri analizah trendov na rezultate močno vplivata obravnavano obdobje in dolžina časovnega niza podatkov.</w:t>
      </w:r>
    </w:p>
    <w:p w14:paraId="1429527F" w14:textId="77777777" w:rsidR="004E13F6" w:rsidRPr="00545EC0" w:rsidRDefault="004E13F6" w:rsidP="004E13F6">
      <w:pPr>
        <w:rPr>
          <w:rFonts w:cs="Arial"/>
          <w:szCs w:val="20"/>
        </w:rPr>
      </w:pPr>
    </w:p>
    <w:p w14:paraId="307C9D4B" w14:textId="3BB1EB69" w:rsidR="004E13F6" w:rsidRPr="00545EC0" w:rsidRDefault="004E13F6" w:rsidP="004E13F6">
      <w:pPr>
        <w:rPr>
          <w:rFonts w:cs="Arial"/>
          <w:szCs w:val="20"/>
        </w:rPr>
      </w:pPr>
      <w:r w:rsidRPr="00545EC0">
        <w:rPr>
          <w:rFonts w:cs="Arial"/>
          <w:szCs w:val="20"/>
        </w:rPr>
        <w:t>Tako kot pri pretokih so tudi pri temperaturi vode zaznane spremembe. Na temperaturo vode močno vplivajo vremenski pogoji, najbolj temperatura zraka. Temperatura vode se je opazno zvišala predvsem v poletnih mesecih. Temperatura vode je eden od osnovnih hidroloških parametrov, saj vpliva na življenje v vodi neposredno in posredno. Neposredno vpliva na vrstno sestavo živih organizmov. Različni organizmi se namreč razlikujejo glede temperaturnega območja vode, znotraj katerega lahko preživijo in se razmnožujejo. Posredno temperatura vpliva na fizikalno-kemične procese v vodi, s tem pa tudi na kakovost življenjskih razmer. Sposobnost prevzemanja toplotnih obremenitev je ob v</w:t>
      </w:r>
      <w:r w:rsidR="00537C3E" w:rsidRPr="00545EC0">
        <w:rPr>
          <w:rFonts w:cs="Arial"/>
          <w:szCs w:val="20"/>
        </w:rPr>
        <w:t>išjih temperaturah vode manjša.</w:t>
      </w:r>
    </w:p>
    <w:p w14:paraId="37AB13A6" w14:textId="77777777" w:rsidR="004E13F6" w:rsidRPr="00545EC0" w:rsidRDefault="004E13F6" w:rsidP="004E13F6">
      <w:pPr>
        <w:rPr>
          <w:rFonts w:cs="Arial"/>
          <w:szCs w:val="20"/>
        </w:rPr>
      </w:pPr>
    </w:p>
    <w:p w14:paraId="391D9322" w14:textId="77777777" w:rsidR="004E13F6" w:rsidRPr="00545EC0" w:rsidRDefault="004E13F6" w:rsidP="004E13F6">
      <w:pPr>
        <w:rPr>
          <w:rFonts w:cs="Arial"/>
          <w:szCs w:val="20"/>
        </w:rPr>
      </w:pPr>
      <w:r w:rsidRPr="00545EC0">
        <w:rPr>
          <w:rFonts w:cs="Arial"/>
          <w:szCs w:val="20"/>
        </w:rPr>
        <w:t xml:space="preserve">Skrb za prihodnost se tako, kljub upadanju srednjih letnih pretokov rek, ne nanaša le na pomanjkanje vode, pač pa tudi na njeno kakovost in prevzemanje toplotnih obremenitev zlasti v sušnih mesecih leta. Vendar kljub pomislekom ob splošnem zmanjševanju vodnih zalog stanje ni zaskrbljujoče, saj je Slovenija bogata z vodnimi viri, ukrepi prilagoditev na spremembe pa morajo biti ustrezno prilagojeni hidrološkim lastnostim porečij. </w:t>
      </w:r>
    </w:p>
    <w:p w14:paraId="3EA2524C" w14:textId="77777777" w:rsidR="004E13F6" w:rsidRPr="00545EC0" w:rsidRDefault="004E13F6" w:rsidP="004E13F6">
      <w:pPr>
        <w:rPr>
          <w:rFonts w:cs="Arial"/>
          <w:szCs w:val="20"/>
        </w:rPr>
      </w:pPr>
    </w:p>
    <w:p w14:paraId="3E66B368" w14:textId="42BAA402" w:rsidR="004E13F6" w:rsidRPr="00545EC0" w:rsidRDefault="004E13F6" w:rsidP="004E13F6">
      <w:pPr>
        <w:rPr>
          <w:rFonts w:cs="Arial"/>
          <w:szCs w:val="20"/>
        </w:rPr>
      </w:pPr>
      <w:r w:rsidRPr="00545EC0">
        <w:rPr>
          <w:rFonts w:cs="Arial"/>
          <w:szCs w:val="20"/>
        </w:rPr>
        <w:t>Glede na rezultate analiz lahko tudi v prihodnje pričakujemo daljša sušna obdobja ter krajša in krajevno razporejena obdobja intenzivnih padavin. Vpliv predvidenih podnebnih sprememb (to je nadaljnja rast temperature zraka in večja intenziteta padavin) se bo odražal v večji poplavni ogroženosti in delovanju erozijskih sil, nižanju srednjih in malih pretokov ter ravni podzemne vode, težavah pri preskrbi z vodo, predvsem v Primorju in severovzhodnem delu Slovenije. Podnebne spremembe bodo vplivale na gospodarstvo, še posebej na kmetijstvo, energetiko, promet, turizem in zdravstvo. Vplivi se bodo razlikovali po regijah, najbolj občutljiva bodo priobalna in gorsk</w:t>
      </w:r>
      <w:r w:rsidR="00537C3E" w:rsidRPr="00545EC0">
        <w:rPr>
          <w:rFonts w:cs="Arial"/>
          <w:szCs w:val="20"/>
        </w:rPr>
        <w:t>a območja ter poplavne ravnice.</w:t>
      </w:r>
    </w:p>
    <w:p w14:paraId="04FD6EFB" w14:textId="77777777" w:rsidR="004E13F6" w:rsidRPr="00545EC0" w:rsidRDefault="004E13F6">
      <w:pPr>
        <w:pStyle w:val="Naslov3"/>
      </w:pPr>
      <w:bookmarkStart w:id="598" w:name="_Toc90261059"/>
      <w:r w:rsidRPr="00545EC0">
        <w:lastRenderedPageBreak/>
        <w:t>Spremembe količinskega stanja podzemnih voda</w:t>
      </w:r>
      <w:bookmarkEnd w:id="598"/>
    </w:p>
    <w:p w14:paraId="099750A1" w14:textId="77777777" w:rsidR="004E13F6" w:rsidRPr="00545EC0" w:rsidRDefault="004E13F6" w:rsidP="004E13F6">
      <w:pPr>
        <w:rPr>
          <w:rFonts w:cs="Arial"/>
          <w:szCs w:val="20"/>
        </w:rPr>
      </w:pPr>
    </w:p>
    <w:p w14:paraId="0CFCE1DF" w14:textId="70841817" w:rsidR="004E13F6" w:rsidRPr="00545EC0" w:rsidRDefault="004E13F6" w:rsidP="004E13F6">
      <w:pPr>
        <w:rPr>
          <w:rFonts w:cs="Arial"/>
          <w:szCs w:val="20"/>
        </w:rPr>
      </w:pPr>
      <w:r w:rsidRPr="00545EC0">
        <w:rPr>
          <w:rFonts w:cs="Arial"/>
          <w:szCs w:val="20"/>
        </w:rPr>
        <w:t>V obdobju 1990–2019 je bil delež merilnih mest brez značilnega upadajočega trenda srednjih letnih gladin podzemne vode večji od 75 % ugotovljen za vodna telesa podzemne vode VTpodV_1002 Savinjska kotlina, VTPodV_1003 Krška kotlina, VTpodV_3012 Dravska kotlina in VTPodV_4016 Murska kotlina. V vodnem telesu podzemne vode VTpodV_1001 Savska kotlina in Ljubljansko barje je bil delež merilnih mest s statistično značilnim zniževanjem gladin podzemne vode večji od 25 %, vendar pa vodna gladina v tem vodnem telesu</w:t>
      </w:r>
      <w:r w:rsidR="009B0763" w:rsidRPr="00545EC0">
        <w:rPr>
          <w:rFonts w:cs="Arial"/>
          <w:szCs w:val="20"/>
        </w:rPr>
        <w:t>, razen na enem merilnem mestu,</w:t>
      </w:r>
      <w:r w:rsidRPr="00545EC0">
        <w:rPr>
          <w:rFonts w:cs="Arial"/>
          <w:szCs w:val="20"/>
        </w:rPr>
        <w:t xml:space="preserve"> ne kaže na doseganje </w:t>
      </w:r>
      <w:r w:rsidR="009B0763" w:rsidRPr="00545EC0">
        <w:rPr>
          <w:rFonts w:cs="Arial"/>
          <w:szCs w:val="20"/>
        </w:rPr>
        <w:t xml:space="preserve">referenčne </w:t>
      </w:r>
      <w:r w:rsidRPr="00545EC0">
        <w:rPr>
          <w:rFonts w:cs="Arial"/>
          <w:szCs w:val="20"/>
        </w:rPr>
        <w:t>kritičn</w:t>
      </w:r>
      <w:r w:rsidR="009B0763" w:rsidRPr="00545EC0">
        <w:rPr>
          <w:rFonts w:cs="Arial"/>
          <w:szCs w:val="20"/>
        </w:rPr>
        <w:t>e</w:t>
      </w:r>
      <w:r w:rsidRPr="00545EC0">
        <w:rPr>
          <w:rFonts w:cs="Arial"/>
          <w:szCs w:val="20"/>
        </w:rPr>
        <w:t xml:space="preserve"> gladine podzemne vode niti v obdelovalnem niti v napovedovalnem obdobju do konca leta 2027.  Ekstrapolacija trenda gladin je izmed skupno 86 merilnih mest na plitvih aluvialnih vodonosnikih izpostavila 4 mesta s tveganjem znižanja gladine podzemne vode do leta 2027 pod </w:t>
      </w:r>
      <w:r w:rsidR="009B0763" w:rsidRPr="00545EC0">
        <w:rPr>
          <w:rFonts w:cs="Arial"/>
          <w:szCs w:val="20"/>
        </w:rPr>
        <w:t xml:space="preserve">trimesečni </w:t>
      </w:r>
      <w:r w:rsidRPr="00545EC0">
        <w:rPr>
          <w:rFonts w:cs="Arial"/>
          <w:szCs w:val="20"/>
        </w:rPr>
        <w:t xml:space="preserve">minimum gladine podzemne vode referenčnega obdobja. </w:t>
      </w:r>
    </w:p>
    <w:p w14:paraId="5C71D006" w14:textId="77777777" w:rsidR="004E13F6" w:rsidRPr="00545EC0" w:rsidRDefault="004E13F6" w:rsidP="004E13F6">
      <w:pPr>
        <w:rPr>
          <w:rFonts w:cs="Arial"/>
          <w:szCs w:val="20"/>
        </w:rPr>
      </w:pPr>
    </w:p>
    <w:p w14:paraId="15464FDF" w14:textId="77777777" w:rsidR="004E13F6" w:rsidRPr="00545EC0" w:rsidRDefault="004E13F6" w:rsidP="004E13F6">
      <w:pPr>
        <w:rPr>
          <w:rFonts w:cs="Arial"/>
          <w:szCs w:val="20"/>
        </w:rPr>
      </w:pPr>
      <w:r w:rsidRPr="00545EC0">
        <w:rPr>
          <w:rFonts w:cs="Arial"/>
          <w:szCs w:val="20"/>
        </w:rPr>
        <w:t>V globokih termalnih vodonosnikih SV Slovenije se, na podlagi rezultatov indikativnih meritev Geološkega zavoda Slovenije v obdobju 2009–2019 na dveh vrtinah, izkazuje statistično značilno zniževanje piezometrične gladine podzemne vode v vrtinah Do-1 v Dobrovniku in V-66 v Petanjcih. V letu 2019 so bile glede na obdobje 2009–2019 izmerjene najnižje piezometrične gladine v obeh vrtinah. Zniževanje piezometrične gladine je ocenjeno na hitrost od približno 6 cm (V-66) do 60 cm (Do-1) na leto.</w:t>
      </w:r>
    </w:p>
    <w:p w14:paraId="4572E1BF" w14:textId="77777777" w:rsidR="004E13F6" w:rsidRPr="00545EC0" w:rsidRDefault="004E13F6" w:rsidP="004E13F6">
      <w:pPr>
        <w:rPr>
          <w:rFonts w:cs="Arial"/>
          <w:szCs w:val="20"/>
        </w:rPr>
      </w:pPr>
    </w:p>
    <w:p w14:paraId="5897134B" w14:textId="28C15E8D" w:rsidR="004E13F6" w:rsidRPr="00545EC0" w:rsidRDefault="004E13F6" w:rsidP="004E13F6">
      <w:pPr>
        <w:rPr>
          <w:rFonts w:cs="Arial"/>
          <w:szCs w:val="20"/>
        </w:rPr>
      </w:pPr>
      <w:r w:rsidRPr="00545EC0">
        <w:rPr>
          <w:rFonts w:cs="Arial"/>
          <w:szCs w:val="20"/>
        </w:rPr>
        <w:t>Analiza trendov malih pretokov izvirov in vodotokov</w:t>
      </w:r>
      <w:r w:rsidR="009B0763" w:rsidRPr="00545EC0">
        <w:rPr>
          <w:rFonts w:cs="Arial"/>
          <w:szCs w:val="20"/>
        </w:rPr>
        <w:t xml:space="preserve"> na območju Slovenije</w:t>
      </w:r>
      <w:r w:rsidRPr="00545EC0">
        <w:rPr>
          <w:rFonts w:cs="Arial"/>
          <w:szCs w:val="20"/>
        </w:rPr>
        <w:t xml:space="preserve"> je pokazala, da se količine podzemne vode v obdobju 1990–2019 statistično značilno znižujejo na območju prispevnih zaledij merilnih postaj 3320 Bohinjska Bistrica – Bistrica, 6060 Nazarje – Savinja, 5030 Vrhnika II – Ljubljanica, 8450 Hotešk – Idrijca in 8561 Vipava II – Vipava. Nadaljnja analiza trendov malih pretokov izvirov in vodotokov je pokazala, da se v prispevnih zaledjih merilnih profilov Ljubljanice v Vrhniki in Vipave v Vipavi v vsaj dveh od štirih mesecih med junijem in septembrom količine podzemne vode statistično značilno z</w:t>
      </w:r>
      <w:r w:rsidR="00B01ED5" w:rsidRPr="00545EC0">
        <w:rPr>
          <w:rFonts w:cs="Arial"/>
          <w:szCs w:val="20"/>
        </w:rPr>
        <w:t>nižujejo tudi na mesečni ravni.</w:t>
      </w:r>
    </w:p>
    <w:p w14:paraId="36CBF70B" w14:textId="77777777" w:rsidR="004E13F6" w:rsidRPr="00545EC0" w:rsidRDefault="004E13F6">
      <w:pPr>
        <w:pStyle w:val="Naslov3"/>
      </w:pPr>
      <w:bookmarkStart w:id="599" w:name="_Toc90261060"/>
      <w:r w:rsidRPr="00545EC0">
        <w:t>Scenariji izpustov toplogrednih plinov po metodologiji IPCC</w:t>
      </w:r>
      <w:bookmarkEnd w:id="599"/>
    </w:p>
    <w:p w14:paraId="49D12FD2" w14:textId="77777777" w:rsidR="004E13F6" w:rsidRPr="00545EC0" w:rsidRDefault="004E13F6" w:rsidP="004E13F6">
      <w:pPr>
        <w:rPr>
          <w:rFonts w:cs="Arial"/>
          <w:szCs w:val="20"/>
        </w:rPr>
      </w:pPr>
      <w:r w:rsidRPr="00545EC0">
        <w:rPr>
          <w:rFonts w:cs="Arial"/>
          <w:szCs w:val="20"/>
        </w:rPr>
        <w:t>Za modeliranje podnebja v prihodnosti potrebujemo med drugim tudi podatke o koncentraciji toplogrednih plinov v ozračju do konca 21. stoletja. Ker bodočih izpustov toplogrednih plinov ne moremo napovedati, odvisni so med drugim tudi od bodočega družbeno-ekonomskega razvoja človeštva, je IPCC pripravila možne bodoče scenarije vsebnosti toplogrednih plinov v bodočem ozračju, RCP (</w:t>
      </w:r>
      <w:r w:rsidRPr="00545EC0">
        <w:rPr>
          <w:rFonts w:cs="Arial"/>
          <w:i/>
          <w:szCs w:val="20"/>
        </w:rPr>
        <w:t>Representative Concentration Pathways)</w:t>
      </w:r>
      <w:r w:rsidRPr="00545EC0">
        <w:rPr>
          <w:rFonts w:cs="Arial"/>
          <w:szCs w:val="20"/>
        </w:rPr>
        <w:t xml:space="preserve">. Gre za nadgradnjo preteklih scenarijev izpustov. Novi scenariji vključujejo posodobljene podatke o nedavnih izpustih in upoštevajo vpliv različnih podnebnih politik na poteke vsebnosti v 21. stoletju. IPCC je predvidel optimistični scenarij RCP2.6, zmerno optimistični RCP4.5, zmerni RCP6.0 in pesimistični RCP8.5. </w:t>
      </w:r>
    </w:p>
    <w:p w14:paraId="7924686C" w14:textId="77777777" w:rsidR="004E13F6" w:rsidRPr="00545EC0" w:rsidRDefault="004E13F6" w:rsidP="004E13F6">
      <w:pPr>
        <w:rPr>
          <w:rFonts w:cs="Arial"/>
          <w:szCs w:val="20"/>
        </w:rPr>
      </w:pPr>
    </w:p>
    <w:p w14:paraId="04C6EEF9" w14:textId="77777777" w:rsidR="004E13F6" w:rsidRPr="00545EC0" w:rsidRDefault="004E13F6" w:rsidP="004E13F6">
      <w:pPr>
        <w:rPr>
          <w:rFonts w:cs="Arial"/>
          <w:szCs w:val="20"/>
        </w:rPr>
      </w:pPr>
      <w:r w:rsidRPr="00545EC0">
        <w:rPr>
          <w:rFonts w:cs="Arial"/>
          <w:szCs w:val="20"/>
        </w:rPr>
        <w:t>Pri izdelovanju predvidevanj vpliva podnebnih sprememb v Sloveniji v 21. stoletju so se upoštevali trije modeli po metodologiji IPCC:</w:t>
      </w:r>
    </w:p>
    <w:p w14:paraId="5ECA83F9" w14:textId="77777777" w:rsidR="004E13F6" w:rsidRPr="00545EC0" w:rsidRDefault="004E13F6" w:rsidP="004E13F6">
      <w:pPr>
        <w:rPr>
          <w:rFonts w:cs="Arial"/>
          <w:szCs w:val="20"/>
        </w:rPr>
      </w:pPr>
    </w:p>
    <w:p w14:paraId="1A35C62B" w14:textId="77777777" w:rsidR="004E13F6" w:rsidRPr="00545EC0" w:rsidRDefault="004E13F6" w:rsidP="00DD37C5">
      <w:pPr>
        <w:pStyle w:val="Odstavekseznama"/>
        <w:numPr>
          <w:ilvl w:val="0"/>
          <w:numId w:val="80"/>
        </w:numPr>
        <w:rPr>
          <w:rFonts w:cs="Arial"/>
          <w:szCs w:val="20"/>
          <w:lang w:val="sl-SI"/>
        </w:rPr>
      </w:pPr>
      <w:r w:rsidRPr="00545EC0">
        <w:rPr>
          <w:rFonts w:cs="Arial"/>
          <w:szCs w:val="20"/>
          <w:lang w:val="sl-SI"/>
        </w:rPr>
        <w:t xml:space="preserve">RPC2.6 – predvideva aktivno politiko blaženja podnebnih sprememb in posledično zelo nizke izpuste toplogrednih plinov z viškom v začetku 21. stoletja in kasnejšim postopnim upadanjem. Imenujemo ga tudi optimistični scenarij. </w:t>
      </w:r>
    </w:p>
    <w:p w14:paraId="1C0029E1" w14:textId="77777777" w:rsidR="004E13F6" w:rsidRPr="00545EC0" w:rsidRDefault="004E13F6" w:rsidP="00DD37C5">
      <w:pPr>
        <w:pStyle w:val="Odstavekseznama"/>
        <w:numPr>
          <w:ilvl w:val="0"/>
          <w:numId w:val="80"/>
        </w:numPr>
        <w:rPr>
          <w:rFonts w:cs="Arial"/>
          <w:szCs w:val="20"/>
          <w:lang w:val="sl-SI"/>
        </w:rPr>
      </w:pPr>
      <w:r w:rsidRPr="00545EC0">
        <w:rPr>
          <w:rFonts w:cs="Arial"/>
          <w:szCs w:val="20"/>
          <w:lang w:val="sl-SI"/>
        </w:rPr>
        <w:t xml:space="preserve">RPC4.5 – predvideva postopno zmanjševanje izpustov v drugi polovici 21. stoletja  in ustalitev sevalnega prispevka kmalu po letu 2100. Imenujemo ga tudi zmerno optimistični scenarij. </w:t>
      </w:r>
    </w:p>
    <w:p w14:paraId="4D535070" w14:textId="77777777" w:rsidR="004E13F6" w:rsidRPr="00545EC0" w:rsidRDefault="004E13F6" w:rsidP="00DD37C5">
      <w:pPr>
        <w:pStyle w:val="Odstavekseznama"/>
        <w:numPr>
          <w:ilvl w:val="0"/>
          <w:numId w:val="80"/>
        </w:numPr>
        <w:rPr>
          <w:rFonts w:cs="Arial"/>
          <w:szCs w:val="20"/>
          <w:lang w:val="sl-SI"/>
        </w:rPr>
      </w:pPr>
      <w:r w:rsidRPr="00545EC0">
        <w:rPr>
          <w:rFonts w:cs="Arial"/>
          <w:szCs w:val="20"/>
          <w:lang w:val="sl-SI"/>
        </w:rPr>
        <w:t xml:space="preserve">RCP8.5 – scenarij brez predvidenega blaženja podnebnih sprememb. Predpostavlja visok izpust toplogrednih plinov in posledično naraščanje njihove vsebnosti tudi po letu 2100. </w:t>
      </w:r>
      <w:r w:rsidRPr="00545EC0">
        <w:rPr>
          <w:rFonts w:cs="Arial"/>
          <w:szCs w:val="20"/>
          <w:lang w:val="sl-SI"/>
        </w:rPr>
        <w:lastRenderedPageBreak/>
        <w:t xml:space="preserve">Scenarij je energijsko intenziven, kar je posledica predvidene visoke rasti prebivalstva in nižje stopnje tehnološkega razvoja. Imenujemo ga tudi pesimistični scenarij. </w:t>
      </w:r>
    </w:p>
    <w:p w14:paraId="1041BF44" w14:textId="77777777" w:rsidR="004E13F6" w:rsidRPr="00545EC0" w:rsidRDefault="004E13F6" w:rsidP="004E13F6">
      <w:pPr>
        <w:rPr>
          <w:rFonts w:cs="Arial"/>
          <w:szCs w:val="20"/>
        </w:rPr>
      </w:pPr>
    </w:p>
    <w:p w14:paraId="455360BB" w14:textId="77777777" w:rsidR="004E13F6" w:rsidRPr="00545EC0" w:rsidRDefault="004E13F6" w:rsidP="004E13F6">
      <w:pPr>
        <w:rPr>
          <w:rFonts w:cs="Arial"/>
          <w:szCs w:val="20"/>
        </w:rPr>
      </w:pPr>
      <w:r w:rsidRPr="00545EC0">
        <w:rPr>
          <w:rFonts w:cs="Arial"/>
          <w:szCs w:val="20"/>
        </w:rPr>
        <w:t>Izbrani scenariji predstavljajo celoten razpon možnih podnebnih sprememb na območju Slovenije, dejanske spremembe pa bodo odvisne od družbenogospodarskega razvoja in podnebnih politik v 21. stoletju na svetovni ravni.</w:t>
      </w:r>
    </w:p>
    <w:p w14:paraId="2AB2B549" w14:textId="77777777" w:rsidR="004E13F6" w:rsidRPr="00545EC0" w:rsidRDefault="004E13F6" w:rsidP="004E13F6">
      <w:pPr>
        <w:rPr>
          <w:rFonts w:cs="Arial"/>
          <w:szCs w:val="20"/>
          <w:lang w:val="x-none"/>
        </w:rPr>
      </w:pPr>
    </w:p>
    <w:p w14:paraId="356120A1" w14:textId="7D905DEE" w:rsidR="00553FAF" w:rsidRPr="00545EC0" w:rsidRDefault="004E13F6" w:rsidP="00553FAF">
      <w:r w:rsidRPr="00545EC0">
        <w:rPr>
          <w:rFonts w:cs="Arial"/>
          <w:szCs w:val="20"/>
          <w:lang w:val="x-none"/>
        </w:rPr>
        <w:t xml:space="preserve">Agencija Republike Slovenije za okolje od leta 2016 izvaja projekt priprave podnebnih projekcij za Slovenijo, poimenovan </w:t>
      </w:r>
      <w:r w:rsidRPr="00545EC0">
        <w:rPr>
          <w:rFonts w:cs="Arial"/>
          <w:szCs w:val="20"/>
        </w:rPr>
        <w:t>»</w:t>
      </w:r>
      <w:r w:rsidRPr="00545EC0">
        <w:rPr>
          <w:rFonts w:cs="Arial"/>
          <w:szCs w:val="20"/>
          <w:lang w:val="x-none"/>
        </w:rPr>
        <w:t>Ocena podnebnih sprememb za Slovenijo do konca 21. stoletja</w:t>
      </w:r>
      <w:r w:rsidRPr="00545EC0">
        <w:rPr>
          <w:rFonts w:cs="Arial"/>
          <w:szCs w:val="20"/>
        </w:rPr>
        <w:t>«, ki ga</w:t>
      </w:r>
      <w:r w:rsidRPr="00545EC0">
        <w:rPr>
          <w:rFonts w:cs="Arial"/>
          <w:szCs w:val="20"/>
          <w:lang w:val="x-none"/>
        </w:rPr>
        <w:t xml:space="preserve"> finančno podpira </w:t>
      </w:r>
      <w:r w:rsidR="00663EA3" w:rsidRPr="00663EA3">
        <w:rPr>
          <w:rFonts w:cs="Arial"/>
          <w:szCs w:val="20"/>
          <w:lang w:val="x-none"/>
        </w:rPr>
        <w:t xml:space="preserve">Ministrstvo za okolje, podnebje in energijo </w:t>
      </w:r>
      <w:r w:rsidRPr="00545EC0">
        <w:rPr>
          <w:rFonts w:cs="Arial"/>
          <w:szCs w:val="20"/>
          <w:lang w:val="x-none"/>
        </w:rPr>
        <w:t>iz Sklada za podnebne spremembe. Leta 2018 so bili zbrani</w:t>
      </w:r>
      <w:r w:rsidRPr="00545EC0">
        <w:rPr>
          <w:rFonts w:cs="Arial"/>
          <w:szCs w:val="20"/>
        </w:rPr>
        <w:t xml:space="preserve"> in objavljeni</w:t>
      </w:r>
      <w:r w:rsidRPr="00545EC0">
        <w:rPr>
          <w:rFonts w:cs="Arial"/>
          <w:szCs w:val="20"/>
          <w:lang w:val="x-none"/>
        </w:rPr>
        <w:t xml:space="preserve"> prvi rezultati projekta</w:t>
      </w:r>
      <w:r w:rsidRPr="00545EC0">
        <w:rPr>
          <w:rFonts w:cs="Arial"/>
          <w:szCs w:val="20"/>
        </w:rPr>
        <w:t xml:space="preserve"> </w:t>
      </w:r>
      <w:r w:rsidRPr="00545EC0">
        <w:rPr>
          <w:rFonts w:cs="Arial"/>
          <w:szCs w:val="20"/>
          <w:lang w:val="x-none"/>
        </w:rPr>
        <w:t>v sinteznem poročilu</w:t>
      </w:r>
      <w:r w:rsidR="001B26DC" w:rsidRPr="00545EC0">
        <w:rPr>
          <w:rFonts w:cs="Arial"/>
          <w:szCs w:val="20"/>
        </w:rPr>
        <w:t>.</w:t>
      </w:r>
      <w:r w:rsidRPr="00545EC0">
        <w:rPr>
          <w:rFonts w:cs="Arial"/>
          <w:szCs w:val="20"/>
        </w:rPr>
        <w:t xml:space="preserve"> </w:t>
      </w:r>
      <w:r w:rsidR="00576FA6" w:rsidRPr="00545EC0">
        <w:t>(</w:t>
      </w:r>
      <w:r w:rsidR="00553FAF" w:rsidRPr="00545EC0">
        <w:t>ARSO, 2018).</w:t>
      </w:r>
    </w:p>
    <w:p w14:paraId="77FA64A4" w14:textId="1B5F9459" w:rsidR="004E13F6" w:rsidRPr="00545EC0" w:rsidRDefault="004E13F6" w:rsidP="004E13F6">
      <w:r w:rsidRPr="00545EC0">
        <w:rPr>
          <w:rFonts w:cs="Arial"/>
          <w:szCs w:val="20"/>
        </w:rPr>
        <w:t xml:space="preserve">Rezultati </w:t>
      </w:r>
      <w:r w:rsidRPr="00545EC0">
        <w:rPr>
          <w:rFonts w:cs="Arial"/>
          <w:szCs w:val="20"/>
          <w:lang w:val="x-none"/>
        </w:rPr>
        <w:t>se nanašajo na oceno povprečne spremembe najpomembnejših podnebnih spremenljivk in vpliv teh sprememb na rastne razmere in hidrološke spremenljivke, saj imajo podnebne spremembe vpliv na celoten vodni krog.</w:t>
      </w:r>
      <w:r w:rsidRPr="00545EC0">
        <w:rPr>
          <w:rFonts w:cs="Arial"/>
          <w:szCs w:val="20"/>
        </w:rPr>
        <w:t xml:space="preserve"> V nadaljevanju so podani glavni rezultati projekta, povzeti po poročilu</w:t>
      </w:r>
      <w:r w:rsidR="00317F9D" w:rsidRPr="00545EC0">
        <w:rPr>
          <w:rFonts w:cs="Arial"/>
          <w:szCs w:val="20"/>
        </w:rPr>
        <w:t xml:space="preserve"> o</w:t>
      </w:r>
      <w:r w:rsidR="001B26DC" w:rsidRPr="00545EC0">
        <w:rPr>
          <w:rFonts w:cs="Arial"/>
          <w:szCs w:val="20"/>
        </w:rPr>
        <w:t xml:space="preserve"> podnebnih sprememb</w:t>
      </w:r>
      <w:r w:rsidR="00576FA6" w:rsidRPr="00545EC0">
        <w:rPr>
          <w:rFonts w:cs="Arial"/>
          <w:szCs w:val="20"/>
        </w:rPr>
        <w:t>ah</w:t>
      </w:r>
      <w:r w:rsidR="00576FA6" w:rsidRPr="00545EC0">
        <w:t xml:space="preserve"> (</w:t>
      </w:r>
      <w:r w:rsidR="00553FAF" w:rsidRPr="00545EC0">
        <w:t>ARSO, 2018).</w:t>
      </w:r>
    </w:p>
    <w:p w14:paraId="3335C1B0" w14:textId="4A078177" w:rsidR="004E13F6" w:rsidRPr="00545EC0" w:rsidRDefault="004E13F6">
      <w:pPr>
        <w:pStyle w:val="Naslov3"/>
      </w:pPr>
      <w:bookmarkStart w:id="600" w:name="_Toc90261061"/>
      <w:r w:rsidRPr="00545EC0">
        <w:t>Podnebne spremembe in sprememb</w:t>
      </w:r>
      <w:r w:rsidRPr="00545EC0">
        <w:rPr>
          <w:lang w:val="sl-SI"/>
        </w:rPr>
        <w:t>a</w:t>
      </w:r>
      <w:r w:rsidRPr="00545EC0">
        <w:t xml:space="preserve"> temperatur</w:t>
      </w:r>
      <w:r w:rsidRPr="00545EC0">
        <w:rPr>
          <w:lang w:val="sl-SI"/>
        </w:rPr>
        <w:t>e zraka</w:t>
      </w:r>
      <w:r w:rsidRPr="00545EC0">
        <w:t xml:space="preserve"> v Sloveniji</w:t>
      </w:r>
      <w:bookmarkEnd w:id="600"/>
    </w:p>
    <w:p w14:paraId="30545069" w14:textId="77777777" w:rsidR="004E13F6" w:rsidRPr="00545EC0" w:rsidRDefault="004E13F6" w:rsidP="004E13F6">
      <w:pPr>
        <w:rPr>
          <w:rFonts w:cs="Arial"/>
          <w:szCs w:val="20"/>
        </w:rPr>
      </w:pPr>
      <w:r w:rsidRPr="00545EC0">
        <w:rPr>
          <w:rFonts w:cs="Arial"/>
          <w:szCs w:val="20"/>
        </w:rPr>
        <w:t xml:space="preserve">Naraščanje temperature zraka v Sloveniji se bo v 21. stoletju nadaljevalo, naraščanje pa bo odvisno od scenarija izpusta toplogrednih plinov. Povečala se bo toplotna obremenitev, število vročih dni ter število in trajanje vročinskih valov. Dvig temperature bo imel za posledico tudi vpliv na fenološki razvoj rastlin in dolžino rastne dobe. </w:t>
      </w:r>
    </w:p>
    <w:p w14:paraId="2D9D8CF5" w14:textId="77777777" w:rsidR="004E13F6" w:rsidRPr="00545EC0" w:rsidRDefault="004E13F6" w:rsidP="004E13F6">
      <w:pPr>
        <w:rPr>
          <w:rFonts w:cs="Arial"/>
          <w:szCs w:val="20"/>
        </w:rPr>
      </w:pPr>
    </w:p>
    <w:p w14:paraId="1035716B" w14:textId="77777777" w:rsidR="004E13F6" w:rsidRPr="00545EC0" w:rsidRDefault="004E13F6" w:rsidP="004E13F6">
      <w:pPr>
        <w:rPr>
          <w:rFonts w:cs="Arial"/>
          <w:szCs w:val="20"/>
        </w:rPr>
      </w:pPr>
      <w:r w:rsidRPr="00545EC0">
        <w:rPr>
          <w:rFonts w:cs="Arial"/>
          <w:szCs w:val="20"/>
        </w:rPr>
        <w:t xml:space="preserve">Glede sprememb temperature zraka v Sloveniji so bile izvedene modelske projekcije, ki za tri podnebne scenarije (RCP2.6, RCP4,5 in RCP8.5) prikazujejo gibanje temperature zraka v 21. stoletju. Skladno s projekcijo postopnega ogrevanja zraka v 21. stoletju bo v Sloveniji povprečna prizemna temperatura naraščala. Prvi dve projekciji, ki upoštevata tudi zmanjševanje izpustov toplogrednih plinov, prikazujeta rast temperature (1,3 °C za RCP2.6 in 2 °C za RCP4.5), ki se proti koncu stoletja ustali, medtem ko se po scenariju RCP8.5 temperatura dviga in do konca stoletja stopnjuje ter se dvigne za 4,1 °C. </w:t>
      </w:r>
    </w:p>
    <w:p w14:paraId="6D4CC440" w14:textId="77777777" w:rsidR="004E13F6" w:rsidRPr="00545EC0" w:rsidRDefault="004E13F6" w:rsidP="004E13F6">
      <w:pPr>
        <w:rPr>
          <w:rFonts w:cs="Arial"/>
          <w:szCs w:val="20"/>
        </w:rPr>
      </w:pPr>
    </w:p>
    <w:p w14:paraId="3511B5CD" w14:textId="77777777" w:rsidR="004E13F6" w:rsidRPr="00545EC0" w:rsidRDefault="004E13F6" w:rsidP="004E13F6">
      <w:pPr>
        <w:rPr>
          <w:rFonts w:cs="Arial"/>
          <w:szCs w:val="20"/>
        </w:rPr>
      </w:pPr>
      <w:r w:rsidRPr="00545EC0">
        <w:rPr>
          <w:rFonts w:cs="Arial"/>
          <w:szCs w:val="20"/>
        </w:rPr>
        <w:t xml:space="preserve">Naraščanje temperature je prostorsko dokaj enakomerno in se razlikuje po letnih časih. Zmerno optimistični scenarij izpustov (RCP4.5) v prvem obdobju projekcije (2011–2040) predvideva dvig od 0,4 do 1,0 °C, v drugem obdobju projekcije (2041–2070) od 1,1 do 2,3 °C, v zadnjem obdobju projekcije (2071–2100) pa od 1,5 do 2,6 °C. V prvem obdobju so med projekcijami odstopanja še primerljiva, v drugem in tretjem pa se razlike med scenariji povečajo. Večje odstopanje je vidno predvsem v scenariju RCP8.5, kjer je višji dvig temperature pripisan večji vsebnosti toplogrednih plinov v ozračju v primerjavi z ostalima dvema scenarijema. </w:t>
      </w:r>
    </w:p>
    <w:p w14:paraId="03783831" w14:textId="77777777" w:rsidR="004E13F6" w:rsidRPr="00545EC0" w:rsidRDefault="004E13F6" w:rsidP="004E13F6">
      <w:pPr>
        <w:rPr>
          <w:rFonts w:cs="Arial"/>
          <w:szCs w:val="20"/>
        </w:rPr>
      </w:pPr>
    </w:p>
    <w:p w14:paraId="2DEE4A45" w14:textId="6F02412C" w:rsidR="004E13F6" w:rsidRPr="00545EC0" w:rsidRDefault="004E13F6" w:rsidP="004E13F6">
      <w:pPr>
        <w:rPr>
          <w:rFonts w:cs="Arial"/>
          <w:szCs w:val="20"/>
        </w:rPr>
      </w:pPr>
      <w:r w:rsidRPr="00545EC0">
        <w:rPr>
          <w:rFonts w:cs="Arial"/>
          <w:szCs w:val="20"/>
        </w:rPr>
        <w:t>Naraščanje temperature po Sloveniji je predvideno v vseh letnih časih, izrazitejše pa je pozimi. V gorskem svetu je poleti in pozimi po vseh scenarijih v projekcijah predviden nadpovprečen dvig temperature. Spremembe najnižje, najvišje in povprečne dnevne temperature se po scenariju RCP4.5 na letni ravni opazno ne razlikujejo. Večje so razlike med regijami in letnimi časi, posebej dnevna najnižja temperatura zraka bo v visokogorju pozimi v prvem in drugem projekcijskem obdobju naraščala hitreje kot drugje po Sloveniji in v drugih letnih časih. Po scenariju RCP4.5 bo ta razlika okrog 0,3 °C, po scenariju RCP8.5 pa naj bi povprečna dnevna najnižja temperatura tam do konca stoletja narasla za okrog 0,5 °C bolj kot povprečna in povpreč</w:t>
      </w:r>
      <w:r w:rsidR="00B01ED5" w:rsidRPr="00545EC0">
        <w:rPr>
          <w:rFonts w:cs="Arial"/>
          <w:szCs w:val="20"/>
        </w:rPr>
        <w:t>na dnevna najvišja temperatura.</w:t>
      </w:r>
    </w:p>
    <w:p w14:paraId="29A3F2C3" w14:textId="77777777" w:rsidR="004E13F6" w:rsidRPr="00545EC0" w:rsidRDefault="004E13F6">
      <w:pPr>
        <w:pStyle w:val="Naslov3"/>
        <w:rPr>
          <w:lang w:val="sl-SI"/>
        </w:rPr>
      </w:pPr>
      <w:bookmarkStart w:id="601" w:name="_Toc90261062"/>
      <w:r w:rsidRPr="00545EC0">
        <w:lastRenderedPageBreak/>
        <w:t xml:space="preserve">Podnebne spremembe in sprememba </w:t>
      </w:r>
      <w:r w:rsidRPr="00545EC0">
        <w:rPr>
          <w:lang w:val="sl-SI"/>
        </w:rPr>
        <w:t>padavin</w:t>
      </w:r>
      <w:r w:rsidRPr="00545EC0">
        <w:t xml:space="preserve"> v Sloveniji</w:t>
      </w:r>
      <w:bookmarkEnd w:id="601"/>
    </w:p>
    <w:p w14:paraId="11A4F770" w14:textId="77777777" w:rsidR="004E13F6" w:rsidRPr="00545EC0" w:rsidRDefault="004E13F6" w:rsidP="004E13F6">
      <w:pPr>
        <w:rPr>
          <w:rFonts w:cs="Arial"/>
          <w:szCs w:val="20"/>
        </w:rPr>
      </w:pPr>
      <w:r w:rsidRPr="00545EC0">
        <w:rPr>
          <w:rFonts w:cs="Arial"/>
          <w:szCs w:val="20"/>
        </w:rPr>
        <w:t>V nasprotju s temperaturami so scenariji za spremembe padavin zaradi časovne in prostorske raznolikosti manj zanesljivi. Slovenija leži na prehodnem območju v Evropi, kjer bodo severno od nas padavine na letni ravni naraščale, južno pa upadale. Predvidene spremembe padavin zato niso izrazite.</w:t>
      </w:r>
    </w:p>
    <w:p w14:paraId="00B539F1" w14:textId="77777777" w:rsidR="004E13F6" w:rsidRPr="00545EC0" w:rsidRDefault="004E13F6" w:rsidP="004E13F6">
      <w:pPr>
        <w:rPr>
          <w:rFonts w:cs="Arial"/>
          <w:szCs w:val="20"/>
        </w:rPr>
      </w:pPr>
    </w:p>
    <w:p w14:paraId="437C7325" w14:textId="77777777" w:rsidR="004E13F6" w:rsidRPr="00545EC0" w:rsidRDefault="004E13F6" w:rsidP="004E13F6">
      <w:pPr>
        <w:rPr>
          <w:rFonts w:cs="Arial"/>
          <w:szCs w:val="20"/>
        </w:rPr>
      </w:pPr>
      <w:r w:rsidRPr="00545EC0">
        <w:rPr>
          <w:rFonts w:cs="Arial"/>
          <w:szCs w:val="20"/>
        </w:rPr>
        <w:t>Optimistični scenarij RCP2.6 za padavine na letni in državni ravni ne predvideva bistvenih sprememb. Zmerno optimistični RCP4.5 scenarij predvideva postopno naraščanje padavin, na začetku z majhnimi spremembami, ki pa se kasneje čez obdobja povečujejo. Z začetkom drugega obdobja se bo območje naraščanja padavin širilo iz vzhoda nad celotno državo. Pesimistični RCP8.5 scenarij pa napoveduje sprva naraščanje padavin po vsej državi, vendar se v drugi polovici 21. stoletja negotovost trenda močno poveča. Do leta 2100 je na vseh območjih z izjemo Julijskih Alp predviden porast povprečnih letnih padavin za 10 odstotkov glede na obdobje 1981–2010. Sprememba je bolj zanesljiva na vzhodu države.</w:t>
      </w:r>
    </w:p>
    <w:p w14:paraId="185A2CCF" w14:textId="77777777" w:rsidR="004E13F6" w:rsidRPr="00545EC0" w:rsidRDefault="004E13F6" w:rsidP="004E13F6">
      <w:pPr>
        <w:rPr>
          <w:rFonts w:cs="Arial"/>
          <w:szCs w:val="20"/>
        </w:rPr>
      </w:pPr>
    </w:p>
    <w:p w14:paraId="5675C263" w14:textId="77777777" w:rsidR="004E13F6" w:rsidRPr="00545EC0" w:rsidRDefault="004E13F6" w:rsidP="004E13F6">
      <w:pPr>
        <w:rPr>
          <w:rFonts w:cs="Arial"/>
          <w:szCs w:val="20"/>
        </w:rPr>
      </w:pPr>
      <w:r w:rsidRPr="00545EC0">
        <w:rPr>
          <w:rFonts w:cs="Arial"/>
          <w:szCs w:val="20"/>
        </w:rPr>
        <w:t xml:space="preserve">Na sezonski ravni je sprememba padavin veliko bolj izrazita. V primeru zmerno optimističnega RCP4.5 bo naraščanje padavin bolj izrazito pozimi (vzhodna Slovenija do 40 odstotkov že sredi stoletja), manj jeseni in spomladi, kjer sprememba večinoma ni značilna, ker je manjša od naravne spremenljivosti. Za poletje modeli kažejo majhne spremembe v obe smeri, v prvih dveh obdobjih bolj na sušenje, v zadnjem obdobju pa se trend obrne in kaže na povečanje padavin, čeprav spremembe večinoma niso značilne. RCP8.5 prikazuje še bolj zanesljiv in močnejši trend povečanja padavin v zimskem obdobju. RCP8.5 glede na RCP4.5 kaže na obraten trend padavin v poletju, najprej postopno povečevanje, proti koncu 21. stoletja pa kaže na zmanjševanje padavin, signal pa je še zmeraj zelo negotov. Sezonske razlike izhajajo iz že omenjenega prehodnega območja v Evropi, kjer leži tudi Slovenija. Z izjemo poletja je v vseh drugih letnih časih predvideno povečanje količine padavin, gotov pa je le signal za zimo. </w:t>
      </w:r>
    </w:p>
    <w:p w14:paraId="7EAF2AD9" w14:textId="77777777" w:rsidR="004E13F6" w:rsidRPr="00545EC0" w:rsidRDefault="004E13F6" w:rsidP="004E13F6">
      <w:pPr>
        <w:rPr>
          <w:rFonts w:cs="Arial"/>
          <w:szCs w:val="20"/>
        </w:rPr>
      </w:pPr>
    </w:p>
    <w:p w14:paraId="210BD3B3" w14:textId="77777777" w:rsidR="004E13F6" w:rsidRPr="00545EC0" w:rsidRDefault="004E13F6" w:rsidP="004E13F6">
      <w:pPr>
        <w:rPr>
          <w:rFonts w:cs="Arial"/>
          <w:szCs w:val="20"/>
        </w:rPr>
      </w:pPr>
      <w:r w:rsidRPr="00545EC0">
        <w:rPr>
          <w:rFonts w:cs="Arial"/>
          <w:szCs w:val="20"/>
        </w:rPr>
        <w:t>Zimsko naraščanje padavin ne pomeni povečane možnosti za sneg, saj bodo s hkrati naraščajočo temperaturo zraka snežne padavine manj pogoste. Povečala pa se bo pogostost in jakost izjemnih padavin, najbolj izrazito v primeru pesimističnega scenarija RCP8.5.</w:t>
      </w:r>
    </w:p>
    <w:p w14:paraId="5DC54015" w14:textId="77777777" w:rsidR="004E13F6" w:rsidRPr="00545EC0" w:rsidRDefault="004E13F6" w:rsidP="004E13F6">
      <w:pPr>
        <w:rPr>
          <w:rFonts w:cs="Arial"/>
          <w:szCs w:val="20"/>
        </w:rPr>
      </w:pPr>
    </w:p>
    <w:p w14:paraId="73385F76" w14:textId="77777777" w:rsidR="004E13F6" w:rsidRPr="00545EC0" w:rsidRDefault="004E13F6">
      <w:pPr>
        <w:pStyle w:val="Naslov3"/>
      </w:pPr>
      <w:bookmarkStart w:id="602" w:name="_Toc90261063"/>
      <w:r w:rsidRPr="00545EC0">
        <w:t xml:space="preserve">Podnebne spremembe in spremembe </w:t>
      </w:r>
      <w:r w:rsidRPr="00545EC0">
        <w:rPr>
          <w:lang w:val="sl-SI"/>
        </w:rPr>
        <w:t xml:space="preserve">referenčne </w:t>
      </w:r>
      <w:r w:rsidRPr="00545EC0">
        <w:t>evapotranspiracije v Sloveniji</w:t>
      </w:r>
      <w:bookmarkEnd w:id="602"/>
    </w:p>
    <w:p w14:paraId="54B3190B" w14:textId="77777777" w:rsidR="004E13F6" w:rsidRPr="00545EC0" w:rsidRDefault="004E13F6" w:rsidP="004E13F6">
      <w:pPr>
        <w:rPr>
          <w:rFonts w:cs="Arial"/>
          <w:szCs w:val="20"/>
        </w:rPr>
      </w:pPr>
      <w:r w:rsidRPr="00545EC0">
        <w:rPr>
          <w:rFonts w:cs="Arial"/>
          <w:szCs w:val="20"/>
        </w:rPr>
        <w:t>Referenčna evapotranspiracija je izračunana iz večjega števila meteoroloških spremenljivk in za nekatere od njih so modelske vrednosti zelo nezanesljive. Ocena referenčne evapotranspiracije je zato negotova.</w:t>
      </w:r>
    </w:p>
    <w:p w14:paraId="75D4997A" w14:textId="77777777" w:rsidR="004E13F6" w:rsidRPr="00545EC0" w:rsidRDefault="004E13F6" w:rsidP="004E13F6">
      <w:pPr>
        <w:rPr>
          <w:rFonts w:cs="Arial"/>
          <w:szCs w:val="20"/>
        </w:rPr>
      </w:pPr>
    </w:p>
    <w:p w14:paraId="7810DF65" w14:textId="77777777" w:rsidR="004E13F6" w:rsidRPr="00545EC0" w:rsidRDefault="004E13F6" w:rsidP="004E13F6">
      <w:pPr>
        <w:rPr>
          <w:rFonts w:cs="Arial"/>
          <w:szCs w:val="20"/>
        </w:rPr>
      </w:pPr>
      <w:r w:rsidRPr="00545EC0">
        <w:rPr>
          <w:rFonts w:cs="Arial"/>
          <w:szCs w:val="20"/>
        </w:rPr>
        <w:t xml:space="preserve">Referenčna evapotranspiracija bo v 21. stoletju skladno z naraščanjem temperature vsaj rahlo narasla. Projekcija za nobenega od scenarijev in nobeno obdobje ne predvideva padca vrednosti. V zmerno optimističnem scenariju (RCP4.5) se zaradi dvigovanja povprečne temperature kažejo odstopanja do 10 odstotkov na letni ravni za vsa tri obdobja, v prvem obdobju za jugozahodni del, nato za območje celotne države. K spremembi na letni ravni bo največ pripomoglo povečanje referenčne evapotranspiracije poleti in jeseni, v zadnjem obdobju tudi spomladi. Projekcije za letne čase v prvem obdobju ne prikazuje večjih sprememb, razen jeseni, v drugih dveh obdobjih pa se, predvsem za jesen predvideva dvig za 10 odstotkov, najprej je ta sprememba značilna v zahodnem delu države, kasneje pa nad vso državo. V Posočju lahko spremembe evapotranspiracije v drugem obdobju dosežejo tudi 20 odstotkov, v tretjem pa so do 20 odstotne spremembe zanesljive v večjem delu prehodne regije. </w:t>
      </w:r>
    </w:p>
    <w:p w14:paraId="3A570C1E" w14:textId="77777777" w:rsidR="004E13F6" w:rsidRPr="00545EC0" w:rsidRDefault="004E13F6" w:rsidP="004E13F6">
      <w:pPr>
        <w:rPr>
          <w:rFonts w:cs="Arial"/>
          <w:szCs w:val="20"/>
        </w:rPr>
      </w:pPr>
    </w:p>
    <w:p w14:paraId="3878C06D" w14:textId="77777777" w:rsidR="004E13F6" w:rsidRPr="00545EC0" w:rsidRDefault="004E13F6" w:rsidP="004E13F6">
      <w:pPr>
        <w:rPr>
          <w:rFonts w:cs="Arial"/>
          <w:szCs w:val="20"/>
        </w:rPr>
      </w:pPr>
      <w:r w:rsidRPr="00545EC0">
        <w:rPr>
          <w:rFonts w:cs="Arial"/>
          <w:szCs w:val="20"/>
        </w:rPr>
        <w:lastRenderedPageBreak/>
        <w:t>Optimistični scenarij (RCP2.6) predvideva rast referenčne evapotranspiracije do 10 odstotkov, vendar je sprememba tudi zaradi manjšega števila uporabljenih modelov manj zanesljiva. V tem scenariju se spremembe kažejo na ravni celega leta, poleti in jeseni, najzanesljivejše pa so za drugo obdobje.</w:t>
      </w:r>
    </w:p>
    <w:p w14:paraId="0B7AF429" w14:textId="77777777" w:rsidR="004E13F6" w:rsidRPr="00545EC0" w:rsidRDefault="004E13F6" w:rsidP="004E13F6">
      <w:pPr>
        <w:rPr>
          <w:rFonts w:cs="Arial"/>
          <w:szCs w:val="20"/>
        </w:rPr>
      </w:pPr>
    </w:p>
    <w:p w14:paraId="06F58537" w14:textId="77777777" w:rsidR="004E13F6" w:rsidRPr="00545EC0" w:rsidRDefault="004E13F6" w:rsidP="004E13F6">
      <w:pPr>
        <w:rPr>
          <w:rFonts w:cs="Arial"/>
          <w:szCs w:val="20"/>
        </w:rPr>
      </w:pPr>
      <w:r w:rsidRPr="00545EC0">
        <w:rPr>
          <w:rFonts w:cs="Arial"/>
          <w:szCs w:val="20"/>
        </w:rPr>
        <w:t>V primeru pesimističnega scenarija (RCP8.5) bodo spremembe referenčne evapotranspiracije izrazitejše. Scenarij predvideva spremembe do konca stoletja od 10 do 20 odstotkov, spremembe pa naj bi se stopnjevale proti koncu stoletja.</w:t>
      </w:r>
    </w:p>
    <w:p w14:paraId="14044AED" w14:textId="77777777" w:rsidR="004E13F6" w:rsidRPr="00545EC0" w:rsidRDefault="004E13F6" w:rsidP="004E13F6">
      <w:pPr>
        <w:rPr>
          <w:rFonts w:cs="Arial"/>
          <w:szCs w:val="20"/>
        </w:rPr>
      </w:pPr>
    </w:p>
    <w:p w14:paraId="03BB2591" w14:textId="169D307B" w:rsidR="004E13F6" w:rsidRPr="00545EC0" w:rsidRDefault="004E13F6" w:rsidP="004E13F6">
      <w:pPr>
        <w:rPr>
          <w:rFonts w:cs="Arial"/>
          <w:szCs w:val="20"/>
        </w:rPr>
      </w:pPr>
      <w:r w:rsidRPr="00545EC0">
        <w:rPr>
          <w:rFonts w:cs="Arial"/>
          <w:szCs w:val="20"/>
        </w:rPr>
        <w:t>Negotovost projekcij narašča od RCP2.6 proti RCP8.5, pa tudi po časovni oddaljenosti od bližnje prihodnosti proti koncu 21.</w:t>
      </w:r>
      <w:r w:rsidR="00D83F34" w:rsidRPr="00545EC0">
        <w:rPr>
          <w:rFonts w:cs="Arial"/>
          <w:szCs w:val="20"/>
        </w:rPr>
        <w:t xml:space="preserve"> </w:t>
      </w:r>
      <w:r w:rsidRPr="00545EC0">
        <w:rPr>
          <w:rFonts w:cs="Arial"/>
          <w:szCs w:val="20"/>
        </w:rPr>
        <w:t>stoletja.</w:t>
      </w:r>
    </w:p>
    <w:p w14:paraId="3D9CD962" w14:textId="77777777" w:rsidR="004E13F6" w:rsidRPr="00545EC0" w:rsidRDefault="004E13F6" w:rsidP="004E13F6">
      <w:pPr>
        <w:rPr>
          <w:rFonts w:cs="Arial"/>
          <w:szCs w:val="20"/>
        </w:rPr>
      </w:pPr>
    </w:p>
    <w:p w14:paraId="454C56CC" w14:textId="77777777" w:rsidR="004E13F6" w:rsidRPr="00545EC0" w:rsidRDefault="004E13F6">
      <w:pPr>
        <w:pStyle w:val="Naslov3"/>
      </w:pPr>
      <w:bookmarkStart w:id="603" w:name="_Toc90261064"/>
      <w:r w:rsidRPr="00545EC0">
        <w:t>Podnebne spremembe in sprememb</w:t>
      </w:r>
      <w:r w:rsidRPr="00545EC0">
        <w:rPr>
          <w:lang w:val="sl-SI"/>
        </w:rPr>
        <w:t>e</w:t>
      </w:r>
      <w:r w:rsidRPr="00545EC0">
        <w:t xml:space="preserve"> </w:t>
      </w:r>
      <w:r w:rsidRPr="00545EC0">
        <w:rPr>
          <w:lang w:val="sl-SI"/>
        </w:rPr>
        <w:t>srednjih pretokov rek</w:t>
      </w:r>
      <w:r w:rsidRPr="00545EC0">
        <w:t xml:space="preserve"> v Sloveniji</w:t>
      </w:r>
      <w:bookmarkEnd w:id="603"/>
    </w:p>
    <w:p w14:paraId="1CAAB3EB" w14:textId="77777777" w:rsidR="004E13F6" w:rsidRPr="00545EC0" w:rsidRDefault="004E13F6" w:rsidP="004E13F6">
      <w:pPr>
        <w:rPr>
          <w:rFonts w:cs="Arial"/>
          <w:szCs w:val="20"/>
        </w:rPr>
      </w:pPr>
      <w:r w:rsidRPr="00545EC0">
        <w:rPr>
          <w:rFonts w:cs="Arial"/>
          <w:szCs w:val="20"/>
        </w:rPr>
        <w:t>Večjih sprememb srednjih letnih pretokov v Sloveniji za podnebne scenarije RCP2.6, RCP4,5 in RCP8.5 do konca 21. stoletja glede na primerjalno obdobje 1981–2010 ni pričakovati, le za severovzhod države se kaže deloma znatno povečanje pretokov. Zanesljivost predvidenih sprememb pretokov je v največji meri odvisna od zanesljivosti spremembe padavin, ki imajo največji vpliv na odtok površinskih voda.</w:t>
      </w:r>
    </w:p>
    <w:p w14:paraId="5BC4EFBF" w14:textId="77777777" w:rsidR="004E13F6" w:rsidRPr="00545EC0" w:rsidRDefault="004E13F6" w:rsidP="004E13F6">
      <w:pPr>
        <w:rPr>
          <w:rFonts w:cs="Arial"/>
          <w:szCs w:val="20"/>
        </w:rPr>
      </w:pPr>
    </w:p>
    <w:p w14:paraId="2D2E6720" w14:textId="77777777" w:rsidR="004E13F6" w:rsidRPr="00545EC0" w:rsidRDefault="004E13F6" w:rsidP="004E13F6">
      <w:pPr>
        <w:rPr>
          <w:rFonts w:cs="Arial"/>
          <w:szCs w:val="20"/>
        </w:rPr>
      </w:pPr>
      <w:r w:rsidRPr="00545EC0">
        <w:rPr>
          <w:rFonts w:cs="Arial"/>
          <w:szCs w:val="20"/>
        </w:rPr>
        <w:t>Optimistični scenarij (RCP2.6) kaže v bližnji prihodnosti na manjše povečanje na skrajnem severovzhodu države, za sredino in konec stoletja pa kaže na bilančno bolj bogate srednje pretoke skoraj povsod po državi, z izrazitejšim povečanjem srednjih pretokov v Pomurju. Vendar pa spremembe po tem scenariju večinoma niso značilne.</w:t>
      </w:r>
    </w:p>
    <w:p w14:paraId="68371050" w14:textId="77777777" w:rsidR="004E13F6" w:rsidRPr="00545EC0" w:rsidRDefault="004E13F6" w:rsidP="004E13F6">
      <w:pPr>
        <w:rPr>
          <w:rFonts w:cs="Arial"/>
          <w:szCs w:val="20"/>
        </w:rPr>
      </w:pPr>
    </w:p>
    <w:p w14:paraId="2379B72A" w14:textId="77777777" w:rsidR="004E13F6" w:rsidRPr="00545EC0" w:rsidRDefault="004E13F6" w:rsidP="004E13F6">
      <w:pPr>
        <w:rPr>
          <w:rFonts w:cs="Arial"/>
          <w:szCs w:val="20"/>
        </w:rPr>
      </w:pPr>
      <w:r w:rsidRPr="00545EC0">
        <w:rPr>
          <w:rFonts w:cs="Arial"/>
          <w:szCs w:val="20"/>
        </w:rPr>
        <w:t xml:space="preserve">Po zmerno optimističnem scenariju izpustov (RCP4.5) se glede na primerjalno obdobje 1981–2010 kaže v bližnji prihodnosti (2011–2040) manjše povečanje srednjih pretokov predvsem v severovzhodnem delu države in na obalnem območju, drugje sprememb ni pričakovati. Za sredino 21. stoletja (obdobje 2041–2070) so povečanja predvidena za večji del države z izjemo rek Notranjske, Vipave, spodnjega dela Soče in Kolpe. Za konec stoletja (2071–2100) pa so predvidene spremembe podobne kot v bližnji prihodnosti. Pri vseh obdobjih z večjo vodnatostjo izstopa predvsem Pomurje, kjer je predvideno povečanje pretokov do 30 odstotkov. V vseh treh obdobjih so spremembe deloma zanesljive za severovzhod države in na posameznih merilnih mestih v severni Sloveniji. </w:t>
      </w:r>
    </w:p>
    <w:p w14:paraId="0F748188" w14:textId="77777777" w:rsidR="004E13F6" w:rsidRPr="00545EC0" w:rsidRDefault="004E13F6" w:rsidP="004E13F6">
      <w:pPr>
        <w:rPr>
          <w:rFonts w:cs="Arial"/>
          <w:szCs w:val="20"/>
        </w:rPr>
      </w:pPr>
    </w:p>
    <w:p w14:paraId="4206F21D" w14:textId="704E45C6" w:rsidR="004E13F6" w:rsidRPr="00545EC0" w:rsidRDefault="004E13F6" w:rsidP="004E13F6">
      <w:pPr>
        <w:rPr>
          <w:rFonts w:cs="Arial"/>
          <w:szCs w:val="20"/>
        </w:rPr>
      </w:pPr>
      <w:r w:rsidRPr="00545EC0">
        <w:rPr>
          <w:rFonts w:cs="Arial"/>
          <w:szCs w:val="20"/>
        </w:rPr>
        <w:t xml:space="preserve">Pesimistični scenarij izpustov (RCP8.5) kaže podobno kot RCP4.5. Za sredino stoletja so povečanja predvidena za večji del države, kjer se izrazito in zanesljivo povečanje kaže za večino vzhodnega dela Slovenije, celo do okrog 40 odstotkov, medtem ko za Posočje in v delih južne Slovenije sprememb ni pričakovati. Konec stoletja kaže na podobne pretoke kot pri scenariju RCP4.5, le da je </w:t>
      </w:r>
      <w:r w:rsidR="00537C3E" w:rsidRPr="00545EC0">
        <w:rPr>
          <w:rFonts w:cs="Arial"/>
          <w:szCs w:val="20"/>
        </w:rPr>
        <w:t xml:space="preserve">zanesljivost spremembe manjša. </w:t>
      </w:r>
    </w:p>
    <w:p w14:paraId="05D7ACF4" w14:textId="77777777" w:rsidR="00537C3E" w:rsidRPr="00545EC0" w:rsidRDefault="00537C3E" w:rsidP="004E13F6">
      <w:pPr>
        <w:rPr>
          <w:rFonts w:cs="Arial"/>
          <w:szCs w:val="20"/>
        </w:rPr>
      </w:pPr>
    </w:p>
    <w:p w14:paraId="1F83115D" w14:textId="77777777" w:rsidR="004E13F6" w:rsidRPr="00545EC0" w:rsidRDefault="004E13F6">
      <w:pPr>
        <w:pStyle w:val="Naslov3"/>
      </w:pPr>
      <w:bookmarkStart w:id="604" w:name="_Toc90261065"/>
      <w:r w:rsidRPr="00545EC0">
        <w:t>Podnebne spremembe in sprememb</w:t>
      </w:r>
      <w:r w:rsidRPr="00545EC0">
        <w:rPr>
          <w:lang w:val="sl-SI"/>
        </w:rPr>
        <w:t>e</w:t>
      </w:r>
      <w:r w:rsidRPr="00545EC0">
        <w:t xml:space="preserve"> </w:t>
      </w:r>
      <w:r w:rsidRPr="00545EC0">
        <w:rPr>
          <w:lang w:val="sl-SI"/>
        </w:rPr>
        <w:t>velikih pretokov rek</w:t>
      </w:r>
      <w:r w:rsidRPr="00545EC0">
        <w:t xml:space="preserve"> v Sloveniji</w:t>
      </w:r>
      <w:bookmarkEnd w:id="604"/>
    </w:p>
    <w:p w14:paraId="023DD390" w14:textId="27599768" w:rsidR="004E13F6" w:rsidRPr="00545EC0" w:rsidRDefault="004E13F6" w:rsidP="004E13F6">
      <w:pPr>
        <w:rPr>
          <w:rFonts w:cs="Arial"/>
          <w:szCs w:val="20"/>
        </w:rPr>
      </w:pPr>
      <w:r w:rsidRPr="00545EC0">
        <w:rPr>
          <w:rFonts w:cs="Arial"/>
          <w:szCs w:val="20"/>
        </w:rPr>
        <w:t>Pri spremembi velikih pretokov (srednjih obdobnih konic) kažejo vsi trije podnebni scenariji (RCP2.6, RCP4</w:t>
      </w:r>
      <w:r w:rsidR="00D83F34" w:rsidRPr="00545EC0">
        <w:rPr>
          <w:rFonts w:cs="Arial"/>
          <w:szCs w:val="20"/>
        </w:rPr>
        <w:t>.</w:t>
      </w:r>
      <w:r w:rsidRPr="00545EC0">
        <w:rPr>
          <w:rFonts w:cs="Arial"/>
          <w:szCs w:val="20"/>
        </w:rPr>
        <w:t>5 in RCP8.5) za vsa tri obravnavana obdobja v prihodnosti (2011–2040, 2041–2070 in 2071–2100) na povečanje srednjih konic po večini države, pri čemer so, podobno kot pri srednjih pretokih, največja povečanja predvidena za severovzhod in deloma vzhod države.</w:t>
      </w:r>
    </w:p>
    <w:p w14:paraId="18E9E653" w14:textId="77777777" w:rsidR="004E13F6" w:rsidRPr="00545EC0" w:rsidRDefault="004E13F6" w:rsidP="004E13F6">
      <w:pPr>
        <w:rPr>
          <w:rFonts w:cs="Arial"/>
          <w:szCs w:val="20"/>
        </w:rPr>
      </w:pPr>
    </w:p>
    <w:p w14:paraId="6035BBAB" w14:textId="77777777" w:rsidR="004E13F6" w:rsidRPr="00545EC0" w:rsidRDefault="004E13F6" w:rsidP="004E13F6">
      <w:pPr>
        <w:rPr>
          <w:rFonts w:cs="Arial"/>
          <w:szCs w:val="20"/>
        </w:rPr>
      </w:pPr>
      <w:r w:rsidRPr="00545EC0">
        <w:rPr>
          <w:rFonts w:cs="Arial"/>
          <w:szCs w:val="20"/>
        </w:rPr>
        <w:t>V primeru scenarija izpustov RCP2.6 se kažejo povečanja velikih pretokov v vseh treh obravnavanih obdobjih, na vzhodu tudi do 30 odstotkov, vendar so te spremembe nezanesljive oziroma manjše od naravne spremenljivosti.</w:t>
      </w:r>
    </w:p>
    <w:p w14:paraId="086D84D6" w14:textId="77777777" w:rsidR="004E13F6" w:rsidRPr="00545EC0" w:rsidRDefault="004E13F6" w:rsidP="004E13F6">
      <w:pPr>
        <w:rPr>
          <w:rFonts w:cs="Arial"/>
          <w:szCs w:val="20"/>
        </w:rPr>
      </w:pPr>
    </w:p>
    <w:p w14:paraId="6C8DC6ED" w14:textId="77777777" w:rsidR="004E13F6" w:rsidRPr="00545EC0" w:rsidRDefault="004E13F6" w:rsidP="004E13F6">
      <w:pPr>
        <w:rPr>
          <w:rFonts w:cs="Arial"/>
          <w:szCs w:val="20"/>
        </w:rPr>
      </w:pPr>
      <w:r w:rsidRPr="00545EC0">
        <w:rPr>
          <w:rFonts w:cs="Arial"/>
          <w:szCs w:val="20"/>
        </w:rPr>
        <w:t>Pri scenarijih RCP4.5 in RCP8.5 se sprememba od bližnje prihodnosti proti koncu stoletja stopnjuje. Za bližnjo prihodnost je v scenariju izpustov RCP4.5 za severovzhodni del predvideno večje povečanje kot v primeru scenarija izpustov RCP8.5, do okrog 30 odstotkov. V sredini stoletja je največji porast pričakovan v severovzhodni Sloveniji in na Obali. Proti koncu stoletja se pri scenariju izpustov RCP4.5 kaže podobna slika kot v sredini stoletja, pri scenariju izpustov RCP8.5 pa se kaže povečanje med 20 in 40 odstotki glede na primerjalno obdobje. Zanesljivost sprememb se z vsakim naslednjim obdobjem stopnjuje. Za oba scenarija izpustov so spremembe najbolj zanesljive v zadnjem obdobju.</w:t>
      </w:r>
    </w:p>
    <w:p w14:paraId="1615735A" w14:textId="77777777" w:rsidR="004E13F6" w:rsidRPr="00545EC0" w:rsidRDefault="004E13F6" w:rsidP="004E13F6">
      <w:pPr>
        <w:rPr>
          <w:rFonts w:cs="Arial"/>
          <w:szCs w:val="20"/>
        </w:rPr>
      </w:pPr>
    </w:p>
    <w:p w14:paraId="4FF703E9" w14:textId="77777777" w:rsidR="004E13F6" w:rsidRPr="00545EC0" w:rsidRDefault="004E13F6">
      <w:pPr>
        <w:pStyle w:val="Naslov3"/>
      </w:pPr>
      <w:bookmarkStart w:id="605" w:name="_Toc90261066"/>
      <w:r w:rsidRPr="00545EC0">
        <w:t>Podnebne spremembe in sprememb</w:t>
      </w:r>
      <w:r w:rsidRPr="00545EC0">
        <w:rPr>
          <w:lang w:val="sl-SI"/>
        </w:rPr>
        <w:t>e</w:t>
      </w:r>
      <w:r w:rsidRPr="00545EC0">
        <w:t xml:space="preserve"> </w:t>
      </w:r>
      <w:r w:rsidRPr="00545EC0">
        <w:rPr>
          <w:lang w:val="sl-SI"/>
        </w:rPr>
        <w:t>malih pretokov rek</w:t>
      </w:r>
      <w:r w:rsidRPr="00545EC0">
        <w:t xml:space="preserve"> v Sloveniji</w:t>
      </w:r>
      <w:bookmarkEnd w:id="605"/>
    </w:p>
    <w:p w14:paraId="525DCEAC" w14:textId="77777777" w:rsidR="004E13F6" w:rsidRPr="00545EC0" w:rsidRDefault="004E13F6" w:rsidP="004E13F6">
      <w:pPr>
        <w:rPr>
          <w:rFonts w:cs="Arial"/>
          <w:szCs w:val="20"/>
        </w:rPr>
      </w:pPr>
      <w:r w:rsidRPr="00545EC0">
        <w:rPr>
          <w:rFonts w:cs="Arial"/>
          <w:szCs w:val="20"/>
        </w:rPr>
        <w:t xml:space="preserve">Pri srednjih malih pretokih lahko pričakujemo tako povečanje kot zmanjšanje v primeru vseh treh podnebnih scenarijev (RCP2.6, RCP4,5 in RCP8.5). Vsi trije scenariji kažejo za vsa tri obdobja (2011–2040, 2041–2070 in 2071–2100) na povečanje srednjih malih pretokov za severno polovico države, najbolj v Pomurju, in zmanjšanje v južnem delu države. Vendar so spremembe po scenarijih RCP4,5 in RCP8.5 zanesljive le ponekod na severovzhodu in v delu Gorenjske. </w:t>
      </w:r>
    </w:p>
    <w:p w14:paraId="73CE6BD5" w14:textId="77777777" w:rsidR="004E13F6" w:rsidRPr="00545EC0" w:rsidRDefault="004E13F6" w:rsidP="004E13F6">
      <w:pPr>
        <w:rPr>
          <w:rFonts w:cs="Arial"/>
          <w:szCs w:val="20"/>
        </w:rPr>
      </w:pPr>
    </w:p>
    <w:p w14:paraId="510BB1EE" w14:textId="77777777" w:rsidR="004E13F6" w:rsidRPr="00545EC0" w:rsidRDefault="004E13F6">
      <w:pPr>
        <w:pStyle w:val="Naslov3"/>
      </w:pPr>
      <w:bookmarkStart w:id="606" w:name="_Toc90261067"/>
      <w:r w:rsidRPr="00545EC0">
        <w:t xml:space="preserve">Podnebne spremembe in sprememba </w:t>
      </w:r>
      <w:r w:rsidRPr="00545EC0">
        <w:rPr>
          <w:lang w:val="sl-SI"/>
        </w:rPr>
        <w:t>napajanja podzemne vode</w:t>
      </w:r>
      <w:r w:rsidRPr="00545EC0">
        <w:t xml:space="preserve"> v Sloveniji</w:t>
      </w:r>
      <w:bookmarkEnd w:id="606"/>
    </w:p>
    <w:p w14:paraId="48B5D259" w14:textId="33123784" w:rsidR="004E13F6" w:rsidRPr="00545EC0" w:rsidRDefault="004E13F6" w:rsidP="004E13F6">
      <w:pPr>
        <w:rPr>
          <w:rFonts w:cs="Arial"/>
          <w:szCs w:val="20"/>
        </w:rPr>
      </w:pPr>
      <w:r w:rsidRPr="00545EC0">
        <w:rPr>
          <w:rFonts w:cs="Arial"/>
          <w:szCs w:val="20"/>
        </w:rPr>
        <w:t xml:space="preserve">Povprečno letno napajanje podzemne vode v Sloveniji po vodnobilančnem modelu </w:t>
      </w:r>
      <w:r w:rsidR="00D83F34" w:rsidRPr="00545EC0">
        <w:rPr>
          <w:rFonts w:cs="Arial"/>
          <w:szCs w:val="20"/>
        </w:rPr>
        <w:t>m</w:t>
      </w:r>
      <w:r w:rsidRPr="00545EC0">
        <w:rPr>
          <w:rFonts w:cs="Arial"/>
          <w:szCs w:val="20"/>
        </w:rPr>
        <w:t xml:space="preserve">GROWA-SI za obdobja 2011–2040, 2041–2070 in 2071–2100 ne kaže na večje spremembe v prostorski razporeditvi količine napajanja glede na hidrološka leta referenčnega obdobja 1982–2010. Vsi trije podnebni scenariji (RCP2.6, RCP4.5 in RCP8.5) kažejo na povečevanje napajanja podzemne vode v večini Slovenije v vseh projekcijskih obdobjih. Pri RCP4.5 se spremembe stopnjujejo v vseh treh obdobjih, pri RCP8.5 pa so največje spremembe v drugem obdobju, v zadnjem so nekoliko manj izrazite. Tudi pri RCP2.6 je geografska razporeditev sprememb podobna. Po vseh teh scenarijih pa bodo spremembe glede na primerjalno obdobje največje na severovzhodu Slovenije. </w:t>
      </w:r>
    </w:p>
    <w:p w14:paraId="025386D7" w14:textId="77777777" w:rsidR="004E13F6" w:rsidRPr="00545EC0" w:rsidRDefault="004E13F6" w:rsidP="004E13F6">
      <w:pPr>
        <w:rPr>
          <w:rFonts w:cs="Arial"/>
          <w:szCs w:val="20"/>
        </w:rPr>
      </w:pPr>
    </w:p>
    <w:p w14:paraId="596885CD" w14:textId="77777777" w:rsidR="004E13F6" w:rsidRPr="00545EC0" w:rsidRDefault="004E13F6" w:rsidP="004E13F6">
      <w:pPr>
        <w:rPr>
          <w:rFonts w:cs="Arial"/>
          <w:szCs w:val="20"/>
        </w:rPr>
      </w:pPr>
      <w:r w:rsidRPr="00545EC0">
        <w:rPr>
          <w:rFonts w:cs="Arial"/>
          <w:szCs w:val="20"/>
        </w:rPr>
        <w:t>V prvem projekcijskem obdobju je po scenariju RCP4.5 predvideno povečano napajanje do 20 odstotkov na severovzhodu Slovenije in se proti zahodu države zmanjšuje (na 5 do 10 odstotkov). Na alpsko-dinarski pregradi bo sprememba manjša od 5 odstotkov, v Istri pa okoli 10 odstotkov. Prostorska porazdelitev sprememb je za vsa primerjalna obdobja podobna, stopnjuje se le velikost porasta napajanja, ki v zadnjem projekcijskem obdobju na posameznih območjih severovzhoda Slovenije preseže tudi 40 odstotkov.</w:t>
      </w:r>
    </w:p>
    <w:p w14:paraId="19E1DCF3" w14:textId="77777777" w:rsidR="004E13F6" w:rsidRPr="00545EC0" w:rsidRDefault="004E13F6" w:rsidP="004E13F6">
      <w:pPr>
        <w:rPr>
          <w:rFonts w:cs="Arial"/>
          <w:szCs w:val="20"/>
        </w:rPr>
      </w:pPr>
    </w:p>
    <w:p w14:paraId="08E607BC" w14:textId="77777777" w:rsidR="004E13F6" w:rsidRPr="00545EC0" w:rsidRDefault="004E13F6" w:rsidP="004E13F6">
      <w:pPr>
        <w:rPr>
          <w:rFonts w:cs="Arial"/>
          <w:szCs w:val="20"/>
        </w:rPr>
      </w:pPr>
      <w:r w:rsidRPr="00545EC0">
        <w:rPr>
          <w:rFonts w:cs="Arial"/>
          <w:szCs w:val="20"/>
        </w:rPr>
        <w:t>Po scenariju RCP8.5 so v prvem projekcijskem obdobju predvidene spremembe napajanja zelo majhne. V drugem projekcijskem obdobju so v primerjavi s scenarijem RCP4.5 precej večje, v zadnjem projekcijskem obdobju pa bo predvideno povečanje napajanja manjše kot v obdobju sredi stoletja.</w:t>
      </w:r>
    </w:p>
    <w:p w14:paraId="7BC36646" w14:textId="77777777" w:rsidR="004E13F6" w:rsidRPr="00545EC0" w:rsidRDefault="004E13F6" w:rsidP="004E13F6">
      <w:pPr>
        <w:rPr>
          <w:rFonts w:cs="Arial"/>
          <w:szCs w:val="20"/>
        </w:rPr>
      </w:pPr>
    </w:p>
    <w:p w14:paraId="1237875D" w14:textId="77777777" w:rsidR="004E13F6" w:rsidRPr="00545EC0" w:rsidRDefault="004E13F6">
      <w:pPr>
        <w:pStyle w:val="Naslov3"/>
      </w:pPr>
      <w:bookmarkStart w:id="607" w:name="_Toc90261068"/>
      <w:r w:rsidRPr="00545EC0">
        <w:t xml:space="preserve">Podnebne spremembe in sprememba </w:t>
      </w:r>
      <w:r w:rsidRPr="00545EC0">
        <w:rPr>
          <w:lang w:val="sl-SI"/>
        </w:rPr>
        <w:t>temperature vode</w:t>
      </w:r>
      <w:r w:rsidRPr="00545EC0">
        <w:t xml:space="preserve"> v Sloveniji</w:t>
      </w:r>
      <w:bookmarkEnd w:id="607"/>
    </w:p>
    <w:p w14:paraId="7750BEE4" w14:textId="77777777" w:rsidR="004E13F6" w:rsidRPr="00545EC0" w:rsidRDefault="004E13F6" w:rsidP="004E13F6">
      <w:pPr>
        <w:rPr>
          <w:rFonts w:cs="Arial"/>
          <w:szCs w:val="20"/>
        </w:rPr>
      </w:pPr>
      <w:r w:rsidRPr="00545EC0">
        <w:rPr>
          <w:rFonts w:cs="Arial"/>
          <w:szCs w:val="20"/>
        </w:rPr>
        <w:t>V okviru projekta »Ocena podnebnih sprememb v Sloveniji do konca 21. stoletja« je bila izvedena analiza trendov na podzemnih vodah, površinskih vodah in morju. Analiza trendov je pokazala, da se je na vseh obravnavanih vodomernih postajah na površinskih vodah in morju (obdobje 1953–2015) in na podzemnih vodah (obdobje 1969–2015) dvignila povprečna letna temperatura vode in temperatura vode po posameznih sezonah.</w:t>
      </w:r>
    </w:p>
    <w:p w14:paraId="6FB8354C" w14:textId="77777777" w:rsidR="004E13F6" w:rsidRPr="00545EC0" w:rsidRDefault="004E13F6" w:rsidP="004E13F6">
      <w:pPr>
        <w:rPr>
          <w:rFonts w:cs="Arial"/>
          <w:szCs w:val="20"/>
        </w:rPr>
      </w:pPr>
    </w:p>
    <w:p w14:paraId="08E1AA36" w14:textId="77777777" w:rsidR="004E13F6" w:rsidRPr="00545EC0" w:rsidRDefault="004E13F6" w:rsidP="004E13F6">
      <w:pPr>
        <w:rPr>
          <w:rFonts w:cs="Arial"/>
          <w:szCs w:val="20"/>
        </w:rPr>
      </w:pPr>
      <w:r w:rsidRPr="00545EC0">
        <w:rPr>
          <w:rFonts w:cs="Arial"/>
          <w:szCs w:val="20"/>
        </w:rPr>
        <w:lastRenderedPageBreak/>
        <w:t>Naraščanje temperature vode kaže tudi analiza ocene temperature vode do leta 2100. Rezultati analiz kažejo, da se bo povprečna letna temperatura vode v Sloveniji še naprej dvigala. Dvig temperature do konca 21. stoletja je ocenjen za vse »vodne podsisteme«: površinske vode, podzemne vode in za morje;  dvig temperature pa se razlikuje glede na podsistem in podnebni scenarij. Največje poraste temperature vode do konca 21. stoletja se pričakuje na morju, sledijo površinske vode, na najmanjše poraste povprečnih letnih temperatur pa kaže na podzemnih vodah.</w:t>
      </w:r>
    </w:p>
    <w:p w14:paraId="544B87FF" w14:textId="77777777" w:rsidR="004E13F6" w:rsidRPr="00545EC0" w:rsidRDefault="004E13F6" w:rsidP="004E13F6">
      <w:pPr>
        <w:rPr>
          <w:rFonts w:cs="Arial"/>
          <w:szCs w:val="20"/>
        </w:rPr>
      </w:pPr>
    </w:p>
    <w:p w14:paraId="70AD2C2F" w14:textId="77777777" w:rsidR="004E13F6" w:rsidRPr="00545EC0" w:rsidRDefault="004E13F6" w:rsidP="004E13F6">
      <w:pPr>
        <w:rPr>
          <w:rFonts w:cs="Arial"/>
          <w:szCs w:val="20"/>
        </w:rPr>
      </w:pPr>
      <w:r w:rsidRPr="00545EC0">
        <w:rPr>
          <w:rFonts w:cs="Arial"/>
          <w:szCs w:val="20"/>
        </w:rPr>
        <w:t>Pri sezonskih spremembah je slika podobna, saj na morju kaže na največji dvig temperature v vseh sezonah, sledijo površinske vode ter podzemne vode. Največje spremembe temperature lahko pričakujemo poleti in jeseni, manjše pa pozimi in pomladi.</w:t>
      </w:r>
    </w:p>
    <w:p w14:paraId="3E84EC27" w14:textId="77777777" w:rsidR="004E13F6" w:rsidRPr="00545EC0" w:rsidRDefault="004E13F6" w:rsidP="004E13F6">
      <w:pPr>
        <w:rPr>
          <w:rFonts w:cs="Arial"/>
          <w:szCs w:val="20"/>
        </w:rPr>
      </w:pPr>
    </w:p>
    <w:p w14:paraId="0C646F5C" w14:textId="77777777" w:rsidR="004E13F6" w:rsidRPr="00545EC0" w:rsidRDefault="004E13F6">
      <w:pPr>
        <w:pStyle w:val="Naslov3"/>
      </w:pPr>
      <w:bookmarkStart w:id="608" w:name="_Toc90261069"/>
      <w:r w:rsidRPr="00545EC0">
        <w:t xml:space="preserve">Podnebne spremembe in </w:t>
      </w:r>
      <w:r w:rsidRPr="00545EC0">
        <w:rPr>
          <w:lang w:val="sl-SI"/>
        </w:rPr>
        <w:t>suša v tleh</w:t>
      </w:r>
      <w:bookmarkEnd w:id="608"/>
    </w:p>
    <w:p w14:paraId="0410D213" w14:textId="5FC60C98" w:rsidR="004E13F6" w:rsidRPr="00545EC0" w:rsidRDefault="004E13F6" w:rsidP="004E13F6">
      <w:pPr>
        <w:rPr>
          <w:rFonts w:cs="Arial"/>
          <w:szCs w:val="20"/>
        </w:rPr>
      </w:pPr>
      <w:r w:rsidRPr="00545EC0">
        <w:rPr>
          <w:rFonts w:cs="Arial"/>
          <w:szCs w:val="20"/>
        </w:rPr>
        <w:t xml:space="preserve">Voda v tleh je osnova za normalen razvoj in rast rastlin. Primanjkljaj vode v tleh je rezultat vodnobilančnega modela mGROWA-SI, ki kot enega izmed rezultatov analize vodne bilance za celotno Slovenijo ponuja tudi kazalnik SWD. </w:t>
      </w:r>
      <w:r w:rsidR="00D83F34" w:rsidRPr="00545EC0">
        <w:rPr>
          <w:rFonts w:cs="Arial"/>
          <w:szCs w:val="20"/>
        </w:rPr>
        <w:t>SWD j</w:t>
      </w:r>
      <w:r w:rsidRPr="00545EC0">
        <w:rPr>
          <w:rFonts w:cs="Arial"/>
          <w:szCs w:val="20"/>
        </w:rPr>
        <w:t>e kazalnik primanjkljaja vode v tleh, v koreninskem sloju, glede na vrsto rabe tal in pedološke značilnosti. Kazalnik omogoča mesečne, sezonske, letne in obdobne analize suš.</w:t>
      </w:r>
    </w:p>
    <w:p w14:paraId="1457D87B" w14:textId="77777777" w:rsidR="004E13F6" w:rsidRPr="00545EC0" w:rsidRDefault="004E13F6" w:rsidP="004E13F6">
      <w:pPr>
        <w:rPr>
          <w:rFonts w:cs="Arial"/>
          <w:szCs w:val="20"/>
        </w:rPr>
      </w:pPr>
    </w:p>
    <w:p w14:paraId="0918954B" w14:textId="77777777" w:rsidR="004E13F6" w:rsidRPr="00545EC0" w:rsidRDefault="004E13F6" w:rsidP="004E13F6">
      <w:pPr>
        <w:rPr>
          <w:rFonts w:cs="Arial"/>
          <w:szCs w:val="20"/>
        </w:rPr>
      </w:pPr>
      <w:r w:rsidRPr="00545EC0">
        <w:rPr>
          <w:rFonts w:cs="Arial"/>
          <w:szCs w:val="20"/>
        </w:rPr>
        <w:t xml:space="preserve">Analiza primanjkljaja vode v tleh do leta 2100 je pokazala, da bodo prizadeta območja po optimističnemu (RCP2.6), zmerno optimističnemu (RCP4.5) in pesimističnemu (RCP8.5) scenariju podobna in sicer gre za območje Primorske, Prekmurja in Štajerske. Časovni potek razvoja pa se bo med scenariji razlikoval. </w:t>
      </w:r>
    </w:p>
    <w:p w14:paraId="0F2410FA" w14:textId="150C58EF" w:rsidR="004E13F6" w:rsidRPr="00545EC0" w:rsidRDefault="004E13F6" w:rsidP="004E13F6">
      <w:pPr>
        <w:rPr>
          <w:rFonts w:cs="Arial"/>
          <w:szCs w:val="20"/>
        </w:rPr>
      </w:pPr>
      <w:r w:rsidRPr="00545EC0">
        <w:rPr>
          <w:rFonts w:cs="Arial"/>
          <w:szCs w:val="20"/>
        </w:rPr>
        <w:t xml:space="preserve">Pri optimističnemu scenariju (RCP2.6) se število sušnih </w:t>
      </w:r>
      <w:r w:rsidR="00C12042" w:rsidRPr="00545EC0">
        <w:rPr>
          <w:rFonts w:cs="Arial"/>
          <w:szCs w:val="20"/>
        </w:rPr>
        <w:t>in ekstremno</w:t>
      </w:r>
      <w:r w:rsidRPr="00545EC0">
        <w:rPr>
          <w:rFonts w:cs="Arial"/>
          <w:szCs w:val="20"/>
        </w:rPr>
        <w:t xml:space="preserve"> sušnih dni v prvi polovici stoletja nekoliko poviša, nato pa upada do konca stoletja. Pri zmerno optimističnem scenariju (RCP4.5) je potek razvoja sušnih/ekstremno sušnih dni podoben, le da pride do največjega povišanja sušnih/ekstremno sušnih dni v sredini stoletja. Razpon vrednosti je večji in relativno konstanten skozi celotno stoletje. </w:t>
      </w:r>
    </w:p>
    <w:p w14:paraId="75ABF92B" w14:textId="77777777" w:rsidR="004E13F6" w:rsidRPr="00545EC0" w:rsidRDefault="004E13F6" w:rsidP="004E13F6">
      <w:pPr>
        <w:rPr>
          <w:rFonts w:cs="Arial"/>
          <w:szCs w:val="20"/>
        </w:rPr>
      </w:pPr>
    </w:p>
    <w:p w14:paraId="6182E938" w14:textId="77777777" w:rsidR="004E13F6" w:rsidRPr="00545EC0" w:rsidRDefault="004E13F6" w:rsidP="004E13F6">
      <w:pPr>
        <w:rPr>
          <w:rFonts w:cs="Arial"/>
          <w:szCs w:val="20"/>
        </w:rPr>
      </w:pPr>
      <w:r w:rsidRPr="00545EC0">
        <w:rPr>
          <w:rFonts w:cs="Arial"/>
          <w:szCs w:val="20"/>
        </w:rPr>
        <w:t>Pesimistični scenarij (RCP8.5) predvidi zelo majhne, mestoma negativne spremembe skupnega/zaporednega števila sušnih/ekstremno sušnih dni v vegetacijski dobi do sredine stoletja, čemur sledi hitro povišanje števila dni in povečanje močno prizadetega območja.</w:t>
      </w:r>
    </w:p>
    <w:p w14:paraId="7639FA42" w14:textId="77777777" w:rsidR="004E13F6" w:rsidRPr="00545EC0" w:rsidRDefault="004E13F6" w:rsidP="004E13F6">
      <w:pPr>
        <w:rPr>
          <w:rFonts w:cs="Arial"/>
          <w:szCs w:val="20"/>
        </w:rPr>
      </w:pPr>
    </w:p>
    <w:p w14:paraId="2942ABEA" w14:textId="77777777" w:rsidR="004E13F6" w:rsidRPr="00545EC0" w:rsidRDefault="004E13F6" w:rsidP="004E13F6">
      <w:pPr>
        <w:pStyle w:val="Default"/>
        <w:spacing w:line="280" w:lineRule="atLeast"/>
        <w:rPr>
          <w:rFonts w:ascii="Arial" w:hAnsi="Arial" w:cs="Arial"/>
          <w:color w:val="auto"/>
          <w:sz w:val="20"/>
          <w:szCs w:val="20"/>
        </w:rPr>
      </w:pPr>
      <w:r w:rsidRPr="00545EC0">
        <w:rPr>
          <w:rFonts w:ascii="Arial" w:hAnsi="Arial" w:cs="Arial"/>
          <w:color w:val="auto"/>
          <w:sz w:val="20"/>
          <w:szCs w:val="20"/>
        </w:rPr>
        <w:t>Glede na vse analizirane scenarije in sušne kazalce se kaže:</w:t>
      </w:r>
    </w:p>
    <w:p w14:paraId="7DCA0619" w14:textId="77777777" w:rsidR="004E13F6" w:rsidRPr="00545EC0" w:rsidRDefault="004E13F6" w:rsidP="004E13F6">
      <w:pPr>
        <w:pStyle w:val="Default"/>
        <w:spacing w:line="280" w:lineRule="atLeast"/>
        <w:jc w:val="both"/>
        <w:rPr>
          <w:rFonts w:ascii="Arial" w:hAnsi="Arial" w:cs="Arial"/>
          <w:color w:val="auto"/>
          <w:sz w:val="20"/>
          <w:szCs w:val="20"/>
        </w:rPr>
      </w:pPr>
      <w:r w:rsidRPr="00545EC0">
        <w:rPr>
          <w:rFonts w:ascii="Arial" w:hAnsi="Arial" w:cs="Arial"/>
          <w:color w:val="auto"/>
          <w:sz w:val="20"/>
          <w:szCs w:val="20"/>
        </w:rPr>
        <w:t>-  da se bo število dni s sušo po vseh scenarijih najverjetneje povečalo, prav tako se bo povečalo prizadeto območje, še posebej pri scenariju RCP8.5;</w:t>
      </w:r>
    </w:p>
    <w:p w14:paraId="4A58E1F8" w14:textId="77777777" w:rsidR="004E13F6" w:rsidRPr="00545EC0" w:rsidRDefault="004E13F6" w:rsidP="004E13F6">
      <w:pPr>
        <w:pStyle w:val="Default"/>
        <w:spacing w:line="280" w:lineRule="atLeast"/>
        <w:jc w:val="both"/>
        <w:rPr>
          <w:rFonts w:ascii="Arial" w:hAnsi="Arial" w:cs="Arial"/>
          <w:color w:val="auto"/>
          <w:sz w:val="20"/>
          <w:szCs w:val="20"/>
        </w:rPr>
      </w:pPr>
      <w:r w:rsidRPr="00545EC0">
        <w:rPr>
          <w:rFonts w:ascii="Arial" w:hAnsi="Arial" w:cs="Arial"/>
          <w:color w:val="auto"/>
          <w:sz w:val="20"/>
          <w:szCs w:val="20"/>
        </w:rPr>
        <w:t xml:space="preserve">- da se bo najverjetneje podaljšalo trajanje suš, prav tako se bo povečala površina države z daljšim trajanjem suš; </w:t>
      </w:r>
    </w:p>
    <w:p w14:paraId="434F1D22" w14:textId="6DD1AE0E" w:rsidR="005551F7" w:rsidRPr="00545EC0" w:rsidRDefault="004E13F6" w:rsidP="00537C3E">
      <w:pPr>
        <w:pStyle w:val="Default"/>
        <w:spacing w:line="280" w:lineRule="atLeast"/>
        <w:rPr>
          <w:rFonts w:ascii="Arial" w:hAnsi="Arial" w:cs="Arial"/>
          <w:color w:val="auto"/>
          <w:sz w:val="20"/>
          <w:szCs w:val="20"/>
        </w:rPr>
      </w:pPr>
      <w:r w:rsidRPr="00545EC0">
        <w:rPr>
          <w:rFonts w:ascii="Arial" w:hAnsi="Arial" w:cs="Arial"/>
          <w:color w:val="auto"/>
          <w:sz w:val="20"/>
          <w:szCs w:val="20"/>
        </w:rPr>
        <w:t>- da bodo največje spremembe sušnosti v predelih Pri</w:t>
      </w:r>
      <w:r w:rsidR="00537C3E" w:rsidRPr="00545EC0">
        <w:rPr>
          <w:rFonts w:ascii="Arial" w:hAnsi="Arial" w:cs="Arial"/>
          <w:color w:val="auto"/>
          <w:sz w:val="20"/>
          <w:szCs w:val="20"/>
        </w:rPr>
        <w:t>morske, Prekmurja in Štajerske.</w:t>
      </w:r>
    </w:p>
    <w:p w14:paraId="200F3B5C" w14:textId="2F596949" w:rsidR="00D83F34" w:rsidRPr="00545EC0" w:rsidRDefault="00D83F34">
      <w:pPr>
        <w:overflowPunct/>
        <w:autoSpaceDE/>
        <w:autoSpaceDN/>
        <w:adjustRightInd/>
        <w:spacing w:line="240" w:lineRule="auto"/>
        <w:jc w:val="left"/>
        <w:textAlignment w:val="auto"/>
        <w:rPr>
          <w:rFonts w:cs="Arial"/>
          <w:szCs w:val="20"/>
          <w:lang w:eastAsia="ja-JP"/>
        </w:rPr>
      </w:pPr>
      <w:r w:rsidRPr="00545EC0">
        <w:rPr>
          <w:rFonts w:cs="Arial"/>
          <w:szCs w:val="20"/>
        </w:rPr>
        <w:br w:type="page"/>
      </w:r>
    </w:p>
    <w:p w14:paraId="29598C0B" w14:textId="20324217" w:rsidR="009955E7" w:rsidRPr="00545EC0" w:rsidRDefault="00E7394C" w:rsidP="003A2882">
      <w:pPr>
        <w:pStyle w:val="Naslov10"/>
        <w:rPr>
          <w:rFonts w:cs="Arial"/>
          <w:lang w:val="sl-SI"/>
        </w:rPr>
      </w:pPr>
      <w:bookmarkStart w:id="609" w:name="_Toc90261070"/>
      <w:r w:rsidRPr="00545EC0">
        <w:lastRenderedPageBreak/>
        <w:t>PODROBNEJŠA OPREDELITEV CILJEV NAČRTA UPRAVLJANJA VODA</w:t>
      </w:r>
      <w:bookmarkEnd w:id="609"/>
    </w:p>
    <w:p w14:paraId="6B5E4C3F" w14:textId="77777777" w:rsidR="00702984" w:rsidRPr="00545EC0" w:rsidRDefault="00702984" w:rsidP="003C7C5E">
      <w:pPr>
        <w:pStyle w:val="Naslov20"/>
      </w:pPr>
      <w:bookmarkStart w:id="610" w:name="_Toc90261071"/>
      <w:r w:rsidRPr="00545EC0">
        <w:t>Cilji na področju varstva voda</w:t>
      </w:r>
      <w:bookmarkEnd w:id="610"/>
    </w:p>
    <w:p w14:paraId="1BA00D51" w14:textId="4BDE0500" w:rsidR="00E03421" w:rsidRPr="00545EC0" w:rsidRDefault="00E03421" w:rsidP="000A1DB5">
      <w:pPr>
        <w:pStyle w:val="podnaslov0"/>
      </w:pPr>
      <w:bookmarkStart w:id="611" w:name="_Toc419099286"/>
      <w:bookmarkStart w:id="612" w:name="_Toc366228548"/>
      <w:r w:rsidRPr="00545EC0">
        <w:t xml:space="preserve">Okoljski cilji za </w:t>
      </w:r>
      <w:bookmarkEnd w:id="611"/>
      <w:bookmarkEnd w:id="612"/>
      <w:r w:rsidR="004C7CDB" w:rsidRPr="00545EC0">
        <w:t>vodna telesa površinskiih voda</w:t>
      </w:r>
    </w:p>
    <w:p w14:paraId="662B9CCA" w14:textId="1A646E21" w:rsidR="00284F89" w:rsidRPr="00545EC0" w:rsidRDefault="00284F89" w:rsidP="003122F4">
      <w:pPr>
        <w:overflowPunct/>
        <w:spacing w:line="276" w:lineRule="auto"/>
        <w:jc w:val="left"/>
        <w:textAlignment w:val="auto"/>
        <w:rPr>
          <w:rFonts w:cs="Arial"/>
          <w:szCs w:val="20"/>
        </w:rPr>
      </w:pPr>
      <w:r w:rsidRPr="00545EC0">
        <w:rPr>
          <w:rFonts w:cs="Arial"/>
          <w:szCs w:val="20"/>
        </w:rPr>
        <w:t xml:space="preserve">Okoljski cilji evropske vodne politike za površinske vode so opredeljeni v </w:t>
      </w:r>
      <w:r w:rsidR="00372AC5" w:rsidRPr="00545EC0">
        <w:rPr>
          <w:rFonts w:cs="Arial"/>
          <w:szCs w:val="20"/>
        </w:rPr>
        <w:t>v</w:t>
      </w:r>
      <w:r w:rsidRPr="00545EC0">
        <w:rPr>
          <w:rFonts w:cs="Arial"/>
          <w:szCs w:val="20"/>
        </w:rPr>
        <w:t>odni direktivi (4. člen)</w:t>
      </w:r>
      <w:r w:rsidR="00974001" w:rsidRPr="00545EC0">
        <w:rPr>
          <w:rFonts w:cs="Arial"/>
          <w:szCs w:val="20"/>
        </w:rPr>
        <w:t xml:space="preserve">. </w:t>
      </w:r>
    </w:p>
    <w:p w14:paraId="322ACC59" w14:textId="77777777" w:rsidR="00284F89" w:rsidRPr="00545EC0" w:rsidRDefault="00284F89" w:rsidP="003122F4">
      <w:pPr>
        <w:overflowPunct/>
        <w:autoSpaceDE/>
        <w:autoSpaceDN/>
        <w:adjustRightInd/>
        <w:spacing w:before="100" w:beforeAutospacing="1" w:after="100" w:afterAutospacing="1" w:line="276" w:lineRule="auto"/>
        <w:jc w:val="left"/>
        <w:textAlignment w:val="auto"/>
        <w:rPr>
          <w:rFonts w:cs="Arial"/>
          <w:szCs w:val="20"/>
        </w:rPr>
      </w:pPr>
      <w:r w:rsidRPr="00545EC0">
        <w:rPr>
          <w:rFonts w:cs="Arial"/>
          <w:szCs w:val="20"/>
        </w:rPr>
        <w:t xml:space="preserve">Okoljski cilji morajo biti oblikovani na podlagi standardov kakovosti okolja tako, da se zagotovi zlasti preprečitev poslabšanja stanja in doseganje dobrega stanja vseh vodnih teles. </w:t>
      </w:r>
    </w:p>
    <w:p w14:paraId="2EEE3971" w14:textId="77777777" w:rsidR="00284F89" w:rsidRPr="00545EC0" w:rsidRDefault="00284F89" w:rsidP="003122F4">
      <w:pPr>
        <w:overflowPunct/>
        <w:autoSpaceDE/>
        <w:autoSpaceDN/>
        <w:adjustRightInd/>
        <w:spacing w:line="276" w:lineRule="auto"/>
        <w:jc w:val="left"/>
        <w:textAlignment w:val="auto"/>
        <w:rPr>
          <w:rFonts w:cs="Arial"/>
          <w:szCs w:val="20"/>
        </w:rPr>
      </w:pPr>
      <w:r w:rsidRPr="00545EC0">
        <w:rPr>
          <w:rFonts w:cs="Arial"/>
          <w:szCs w:val="20"/>
        </w:rPr>
        <w:t xml:space="preserve">Okoljski cilji za vodna telesa površinskih voda so v skladu </w:t>
      </w:r>
      <w:r w:rsidR="00867A7D" w:rsidRPr="00545EC0">
        <w:rPr>
          <w:rFonts w:cs="Arial"/>
          <w:szCs w:val="20"/>
        </w:rPr>
        <w:t xml:space="preserve">s predpisom, ki ureja podrobnejšo vsebino in načinu priprave načrta upravljanja voda </w:t>
      </w:r>
      <w:r w:rsidRPr="00545EC0">
        <w:rPr>
          <w:rFonts w:cs="Arial"/>
          <w:szCs w:val="20"/>
        </w:rPr>
        <w:t xml:space="preserve">oblikovani tako, da zagotovijo zlasti: </w:t>
      </w:r>
    </w:p>
    <w:p w14:paraId="041E65FE" w14:textId="77777777" w:rsidR="00284F89" w:rsidRPr="00545EC0" w:rsidRDefault="00284F89" w:rsidP="00DD37C5">
      <w:pPr>
        <w:pStyle w:val="Odstavekseznama"/>
        <w:numPr>
          <w:ilvl w:val="0"/>
          <w:numId w:val="32"/>
        </w:numPr>
        <w:tabs>
          <w:tab w:val="center" w:pos="426"/>
        </w:tabs>
        <w:overflowPunct/>
        <w:autoSpaceDE/>
        <w:autoSpaceDN/>
        <w:adjustRightInd/>
        <w:spacing w:line="276" w:lineRule="auto"/>
        <w:ind w:left="426" w:hanging="426"/>
        <w:contextualSpacing/>
        <w:textAlignment w:val="auto"/>
        <w:rPr>
          <w:rFonts w:cs="Arial"/>
          <w:szCs w:val="20"/>
        </w:rPr>
      </w:pPr>
      <w:r w:rsidRPr="00545EC0">
        <w:rPr>
          <w:rFonts w:cs="Arial"/>
          <w:szCs w:val="20"/>
        </w:rPr>
        <w:t xml:space="preserve">varovanje, izboljšanje in obnavljanje vodnih teles površinskih voda tako, da se doseže dobro ekološko in kemijsko stanje površinske vode v skladu s predpisi, ki urejajo varstvo okolja, </w:t>
      </w:r>
    </w:p>
    <w:p w14:paraId="1D3B6EC2" w14:textId="1F72AC6A" w:rsidR="00284F89" w:rsidRPr="00545EC0" w:rsidRDefault="00284F89" w:rsidP="00DD37C5">
      <w:pPr>
        <w:pStyle w:val="Odstavekseznama"/>
        <w:numPr>
          <w:ilvl w:val="0"/>
          <w:numId w:val="32"/>
        </w:numPr>
        <w:tabs>
          <w:tab w:val="center" w:pos="426"/>
        </w:tabs>
        <w:overflowPunct/>
        <w:autoSpaceDE/>
        <w:autoSpaceDN/>
        <w:adjustRightInd/>
        <w:spacing w:line="276" w:lineRule="auto"/>
        <w:ind w:left="426" w:hanging="426"/>
        <w:contextualSpacing/>
        <w:textAlignment w:val="auto"/>
        <w:rPr>
          <w:rFonts w:cs="Arial"/>
          <w:szCs w:val="20"/>
        </w:rPr>
      </w:pPr>
      <w:r w:rsidRPr="00545EC0">
        <w:rPr>
          <w:rFonts w:cs="Arial"/>
          <w:szCs w:val="20"/>
        </w:rPr>
        <w:t xml:space="preserve">varovanje in izboljševanje vseh umetnih in močno preoblikovanih vodnih teles, zato da se doseže dober ekološki potencial in dobro kemijsko stanje vode v skladu s predpisi, ki urejajo varstvo okolja, in </w:t>
      </w:r>
    </w:p>
    <w:p w14:paraId="0C14C5C5" w14:textId="77777777" w:rsidR="00284F89" w:rsidRPr="00545EC0" w:rsidRDefault="00284F89" w:rsidP="00DD37C5">
      <w:pPr>
        <w:pStyle w:val="Odstavekseznama"/>
        <w:numPr>
          <w:ilvl w:val="0"/>
          <w:numId w:val="32"/>
        </w:numPr>
        <w:tabs>
          <w:tab w:val="center" w:pos="426"/>
        </w:tabs>
        <w:overflowPunct/>
        <w:autoSpaceDE/>
        <w:autoSpaceDN/>
        <w:adjustRightInd/>
        <w:spacing w:line="276" w:lineRule="auto"/>
        <w:ind w:left="426" w:hanging="426"/>
        <w:contextualSpacing/>
        <w:textAlignment w:val="auto"/>
        <w:rPr>
          <w:rFonts w:cs="Arial"/>
          <w:szCs w:val="20"/>
        </w:rPr>
      </w:pPr>
      <w:r w:rsidRPr="00545EC0">
        <w:rPr>
          <w:rFonts w:cs="Arial"/>
          <w:szCs w:val="20"/>
        </w:rPr>
        <w:t xml:space="preserve">postopno zmanjšanje onesnaževanja s prednostnimi snovmi in ustavitev ali postopno odpravo emisij, odvajanja in uhajanja prednostnih nevarnih snovi. </w:t>
      </w:r>
    </w:p>
    <w:p w14:paraId="13F3E060" w14:textId="0D4D2911" w:rsidR="00E03421" w:rsidRPr="00545EC0" w:rsidRDefault="00E03421" w:rsidP="000A1DB5">
      <w:pPr>
        <w:pStyle w:val="podnaslov0"/>
        <w:rPr>
          <w:b w:val="0"/>
          <w:u w:val="single"/>
        </w:rPr>
      </w:pPr>
      <w:bookmarkStart w:id="613" w:name="_Toc419099287"/>
      <w:bookmarkStart w:id="614" w:name="_Toc366228552"/>
      <w:r w:rsidRPr="00545EC0">
        <w:rPr>
          <w:b w:val="0"/>
          <w:u w:val="single"/>
        </w:rPr>
        <w:t>Podrobnejša opredelitev okoljskih ciljev</w:t>
      </w:r>
      <w:bookmarkEnd w:id="613"/>
      <w:bookmarkEnd w:id="614"/>
      <w:r w:rsidR="00C11819" w:rsidRPr="00545EC0">
        <w:rPr>
          <w:b w:val="0"/>
          <w:u w:val="single"/>
        </w:rPr>
        <w:t xml:space="preserve"> na </w:t>
      </w:r>
      <w:r w:rsidR="009C02C3" w:rsidRPr="00545EC0">
        <w:rPr>
          <w:b w:val="0"/>
          <w:u w:val="single"/>
        </w:rPr>
        <w:t>vodnih telesih površinskih voda</w:t>
      </w:r>
    </w:p>
    <w:p w14:paraId="0DF37322" w14:textId="315A1E0F" w:rsidR="008E734E" w:rsidRPr="00545EC0" w:rsidRDefault="008E734E" w:rsidP="008E734E">
      <w:pPr>
        <w:overflowPunct/>
        <w:jc w:val="left"/>
        <w:textAlignment w:val="auto"/>
        <w:rPr>
          <w:rFonts w:cs="Arial"/>
          <w:szCs w:val="22"/>
          <w:lang w:eastAsia="ja-JP"/>
        </w:rPr>
      </w:pPr>
      <w:r w:rsidRPr="00545EC0">
        <w:rPr>
          <w:rFonts w:cs="Arial"/>
          <w:szCs w:val="22"/>
          <w:lang w:eastAsia="ja-JP"/>
        </w:rPr>
        <w:t>Okoljski cilji za površinske vode na podlagi ocene verjetnosti doseganja okoljskih ciljev in na podlagi popisa emisij, izpustov in uhajanj snovi</w:t>
      </w:r>
      <w:r w:rsidR="00EE3F10" w:rsidRPr="00545EC0">
        <w:rPr>
          <w:rFonts w:cs="Arial"/>
          <w:szCs w:val="22"/>
          <w:lang w:eastAsia="ja-JP"/>
        </w:rPr>
        <w:t>:</w:t>
      </w:r>
      <w:r w:rsidRPr="00545EC0">
        <w:rPr>
          <w:rFonts w:cs="Arial"/>
          <w:szCs w:val="22"/>
          <w:lang w:eastAsia="ja-JP"/>
        </w:rPr>
        <w:t xml:space="preserve"> </w:t>
      </w:r>
    </w:p>
    <w:p w14:paraId="4F9491ED" w14:textId="693FF3F9" w:rsidR="008E734E" w:rsidRPr="00545EC0" w:rsidRDefault="008E734E"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»Doseganje dobrega kemijskega in ekološkega stanja VTPV«</w:t>
      </w:r>
      <w:r w:rsidR="00EE3F10" w:rsidRPr="00545EC0">
        <w:rPr>
          <w:rFonts w:cs="Arial"/>
          <w:lang w:val="sl-SI"/>
        </w:rPr>
        <w:t xml:space="preserve"> je cilj, ki</w:t>
      </w:r>
      <w:r w:rsidRPr="00545EC0">
        <w:rPr>
          <w:rFonts w:cs="Arial"/>
        </w:rPr>
        <w:t xml:space="preserve"> je z namenom varovanja, izboljšanja in obnavljanja stanja VT določen na VTPV, kjer ocena verjetnosti kaže, da okoljski cilji brez ustreznih dopolnilnih ukrepov ne bodo doseženi. </w:t>
      </w:r>
    </w:p>
    <w:p w14:paraId="11AF223E" w14:textId="173B2A7D" w:rsidR="008E734E" w:rsidRPr="00545EC0" w:rsidRDefault="008E734E"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»Doseganje dobrega ekološkega potenciala in dobrega kemijskega stanje MPVT/UVT</w:t>
      </w:r>
      <w:r w:rsidR="00EE3F10" w:rsidRPr="00545EC0">
        <w:rPr>
          <w:rFonts w:cs="Arial"/>
          <w:lang w:val="sl-SI"/>
        </w:rPr>
        <w:t>« je cilj, ki</w:t>
      </w:r>
      <w:r w:rsidRPr="00545EC0">
        <w:rPr>
          <w:rFonts w:cs="Arial"/>
        </w:rPr>
        <w:t xml:space="preserve"> je z namenom varovanja, izboljšanja stanja določena za vsa umetna in močno preoblikovana VT. </w:t>
      </w:r>
    </w:p>
    <w:p w14:paraId="06C162A5" w14:textId="67102DA3" w:rsidR="008E734E" w:rsidRPr="00545EC0" w:rsidRDefault="008E734E"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w:t>
      </w:r>
      <w:r w:rsidR="00EE3F10" w:rsidRPr="00545EC0">
        <w:rPr>
          <w:rFonts w:cs="Arial"/>
          <w:lang w:val="sl-SI"/>
        </w:rPr>
        <w:t>P</w:t>
      </w:r>
      <w:r w:rsidRPr="00545EC0">
        <w:rPr>
          <w:rFonts w:cs="Arial"/>
        </w:rPr>
        <w:t xml:space="preserve">reprečitev poslabšanja stanja VT« je </w:t>
      </w:r>
      <w:r w:rsidR="00EE3F10" w:rsidRPr="00545EC0">
        <w:rPr>
          <w:rFonts w:cs="Arial"/>
          <w:lang w:val="sl-SI"/>
        </w:rPr>
        <w:t xml:space="preserve">cillj, ki je </w:t>
      </w:r>
      <w:r w:rsidRPr="00545EC0">
        <w:rPr>
          <w:rFonts w:cs="Arial"/>
        </w:rPr>
        <w:t xml:space="preserve">z namenom varovanja voda določen na VT, kjer ocena verjetnosti kaže, da okoljski cilji bodo ali verjetno bodo doseženi. Cilj je določen tudi za MPVT/UVT, kjer ekološki potencial zaenkrat še ni določen, pri čemer je cilj postavljen z namenom, da ostane stanje obremenitev na trenutni ravni do določitve ekološkega potenciala. </w:t>
      </w:r>
    </w:p>
    <w:p w14:paraId="43F1F74F" w14:textId="72B3BF25" w:rsidR="008E734E" w:rsidRPr="00545EC0" w:rsidRDefault="008E734E"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 xml:space="preserve">»Postopno zmanjšanje onesnaževanja s prednostnimi snovmi« in »Ustavitev ali postopna odprava emisij, odvajanja in uhajanja prednostnih nevarnih snovi« sta </w:t>
      </w:r>
      <w:r w:rsidR="00EE3F10" w:rsidRPr="00545EC0">
        <w:rPr>
          <w:rFonts w:cs="Arial"/>
          <w:lang w:val="sl-SI"/>
        </w:rPr>
        <w:t xml:space="preserve">cilja, ki sta </w:t>
      </w:r>
      <w:r w:rsidRPr="00545EC0">
        <w:rPr>
          <w:rFonts w:cs="Arial"/>
        </w:rPr>
        <w:t xml:space="preserve">na VT postavljena z namenom doseganja koncentracij prednostnih snovi, ki so blizu vrednostim naravnega ozadja. Cilj je določen za VT, kjer se na podlagi popisa emisij, izpustov in uhajanj snovi ugotavlja </w:t>
      </w:r>
      <w:r w:rsidR="00D2780B" w:rsidRPr="00545EC0">
        <w:rPr>
          <w:rFonts w:cs="Arial"/>
        </w:rPr>
        <w:t>naraščajoč</w:t>
      </w:r>
      <w:r w:rsidRPr="00545EC0">
        <w:rPr>
          <w:rFonts w:cs="Arial"/>
        </w:rPr>
        <w:t xml:space="preserve"> trend. </w:t>
      </w:r>
    </w:p>
    <w:p w14:paraId="34A96159" w14:textId="77777777" w:rsidR="00BC64CB" w:rsidRPr="00545EC0" w:rsidRDefault="00BC64CB" w:rsidP="006B212C">
      <w:pPr>
        <w:overflowPunct/>
        <w:ind w:left="720"/>
        <w:jc w:val="left"/>
        <w:textAlignment w:val="auto"/>
        <w:rPr>
          <w:rFonts w:cs="Arial"/>
          <w:szCs w:val="22"/>
          <w:lang w:eastAsia="ja-JP"/>
        </w:rPr>
      </w:pPr>
    </w:p>
    <w:p w14:paraId="0AD196E1" w14:textId="77777777" w:rsidR="00EE3F10" w:rsidRPr="00545EC0" w:rsidRDefault="006B212C" w:rsidP="006B212C">
      <w:pPr>
        <w:overflowPunct/>
        <w:jc w:val="left"/>
        <w:textAlignment w:val="auto"/>
        <w:rPr>
          <w:rFonts w:cs="Arial"/>
          <w:szCs w:val="22"/>
          <w:lang w:eastAsia="ja-JP"/>
        </w:rPr>
      </w:pPr>
      <w:r w:rsidRPr="00545EC0">
        <w:rPr>
          <w:rFonts w:cs="Arial"/>
          <w:szCs w:val="22"/>
          <w:lang w:eastAsia="ja-JP"/>
        </w:rPr>
        <w:t>Okoljski cilj za referenčne odseke na površinskih vodah</w:t>
      </w:r>
      <w:r w:rsidR="00EE3F10" w:rsidRPr="00545EC0">
        <w:rPr>
          <w:rFonts w:cs="Arial"/>
          <w:szCs w:val="22"/>
          <w:lang w:eastAsia="ja-JP"/>
        </w:rPr>
        <w:t>:</w:t>
      </w:r>
    </w:p>
    <w:p w14:paraId="61087064" w14:textId="74B8F516" w:rsidR="006B212C" w:rsidRPr="00545EC0" w:rsidRDefault="00EE3F10" w:rsidP="00DD37C5">
      <w:pPr>
        <w:pStyle w:val="Odstavekseznama"/>
        <w:numPr>
          <w:ilvl w:val="0"/>
          <w:numId w:val="32"/>
        </w:numPr>
        <w:overflowPunct/>
        <w:jc w:val="left"/>
        <w:textAlignment w:val="auto"/>
        <w:rPr>
          <w:rFonts w:cs="Arial"/>
          <w:szCs w:val="22"/>
          <w:lang w:eastAsia="ja-JP"/>
        </w:rPr>
      </w:pPr>
      <w:r w:rsidRPr="00545EC0">
        <w:rPr>
          <w:rFonts w:cs="Arial"/>
          <w:szCs w:val="22"/>
          <w:lang w:eastAsia="ja-JP"/>
        </w:rPr>
        <w:t xml:space="preserve">Okoljski cilj za referenčne odseke na površinskih vodah </w:t>
      </w:r>
      <w:r w:rsidR="006B212C" w:rsidRPr="00545EC0">
        <w:rPr>
          <w:rFonts w:cs="Arial"/>
          <w:szCs w:val="22"/>
          <w:lang w:eastAsia="ja-JP"/>
        </w:rPr>
        <w:t>je »ohranjanje zelo dobrega ekološkega stanja«, »preprečitev poslabšanja stanja« in »preprečitev emisij</w:t>
      </w:r>
      <w:r w:rsidR="00E23CEC" w:rsidRPr="00545EC0">
        <w:rPr>
          <w:rFonts w:cs="Arial"/>
          <w:szCs w:val="22"/>
          <w:lang w:eastAsia="ja-JP"/>
        </w:rPr>
        <w:t xml:space="preserve"> iz točkovnih virov«.</w:t>
      </w:r>
    </w:p>
    <w:p w14:paraId="1BCC9D19" w14:textId="77777777" w:rsidR="008E734E" w:rsidRPr="00545EC0" w:rsidRDefault="008E734E" w:rsidP="008E734E">
      <w:pPr>
        <w:overflowPunct/>
        <w:jc w:val="left"/>
        <w:textAlignment w:val="auto"/>
        <w:rPr>
          <w:rFonts w:cs="Arial"/>
          <w:szCs w:val="22"/>
          <w:lang w:eastAsia="ja-JP"/>
        </w:rPr>
      </w:pPr>
    </w:p>
    <w:p w14:paraId="6EFF025C" w14:textId="77777777" w:rsidR="00EE3F10" w:rsidRPr="00545EC0" w:rsidRDefault="00D02FE7" w:rsidP="003122F4">
      <w:pPr>
        <w:overflowPunct/>
        <w:jc w:val="left"/>
        <w:textAlignment w:val="auto"/>
        <w:rPr>
          <w:rFonts w:cs="Arial"/>
          <w:szCs w:val="22"/>
          <w:lang w:eastAsia="ja-JP"/>
        </w:rPr>
      </w:pPr>
      <w:r w:rsidRPr="00545EC0">
        <w:rPr>
          <w:rFonts w:cs="Arial"/>
          <w:szCs w:val="22"/>
          <w:lang w:eastAsia="ja-JP"/>
        </w:rPr>
        <w:t>Cilj na področju bioloških obremenitev</w:t>
      </w:r>
    </w:p>
    <w:p w14:paraId="20EDB2E9" w14:textId="160D267D" w:rsidR="00D02FE7" w:rsidRPr="00545EC0" w:rsidRDefault="00EE3271" w:rsidP="00DD37C5">
      <w:pPr>
        <w:pStyle w:val="Odstavekseznama"/>
        <w:numPr>
          <w:ilvl w:val="0"/>
          <w:numId w:val="32"/>
        </w:numPr>
        <w:overflowPunct/>
        <w:jc w:val="left"/>
        <w:textAlignment w:val="auto"/>
        <w:rPr>
          <w:rFonts w:cs="Arial"/>
          <w:szCs w:val="22"/>
          <w:lang w:eastAsia="ja-JP"/>
        </w:rPr>
      </w:pPr>
      <w:r w:rsidRPr="00545EC0">
        <w:rPr>
          <w:rFonts w:cs="Arial"/>
          <w:szCs w:val="22"/>
          <w:lang w:val="sl-SI" w:eastAsia="ja-JP"/>
        </w:rPr>
        <w:t>c</w:t>
      </w:r>
      <w:r w:rsidR="00EE3F10" w:rsidRPr="00545EC0">
        <w:rPr>
          <w:rFonts w:cs="Arial"/>
          <w:szCs w:val="22"/>
          <w:lang w:val="sl-SI" w:eastAsia="ja-JP"/>
        </w:rPr>
        <w:t>ilj na področju bioloških obremenitev</w:t>
      </w:r>
      <w:r w:rsidR="00D02FE7" w:rsidRPr="00545EC0">
        <w:rPr>
          <w:rFonts w:cs="Arial"/>
          <w:szCs w:val="22"/>
          <w:lang w:eastAsia="ja-JP"/>
        </w:rPr>
        <w:t xml:space="preserve"> voda je »preprečevanje vnosa</w:t>
      </w:r>
      <w:r w:rsidRPr="00545EC0">
        <w:rPr>
          <w:rFonts w:cs="Arial"/>
          <w:szCs w:val="22"/>
          <w:lang w:val="sl-SI" w:eastAsia="ja-JP"/>
        </w:rPr>
        <w:t xml:space="preserve"> in</w:t>
      </w:r>
      <w:r w:rsidR="00D02FE7" w:rsidRPr="00545EC0">
        <w:rPr>
          <w:rFonts w:cs="Arial"/>
          <w:szCs w:val="22"/>
          <w:lang w:eastAsia="ja-JP"/>
        </w:rPr>
        <w:t xml:space="preserve"> širjenja tujerodnih vrst«, kar je tudi osnovni cilj Uredbe Evropskega parlamenta in Sveta o preprečevanju in obvladovanju vnosa in širjenja invazivnih tujerodnih vrst (PE-CONS 70/14).</w:t>
      </w:r>
    </w:p>
    <w:p w14:paraId="7328F87C" w14:textId="77777777" w:rsidR="004C7CDB" w:rsidRPr="00545EC0" w:rsidRDefault="004C7CDB" w:rsidP="00D02FE7">
      <w:pPr>
        <w:overflowPunct/>
        <w:autoSpaceDE/>
        <w:autoSpaceDN/>
        <w:adjustRightInd/>
        <w:spacing w:line="276" w:lineRule="auto"/>
        <w:jc w:val="left"/>
        <w:textAlignment w:val="auto"/>
        <w:rPr>
          <w:rFonts w:cs="Arial"/>
          <w:szCs w:val="22"/>
          <w:lang w:eastAsia="ja-JP"/>
        </w:rPr>
      </w:pPr>
    </w:p>
    <w:p w14:paraId="5ADD36F2" w14:textId="00AE936D" w:rsidR="003F1480" w:rsidRPr="00545EC0" w:rsidRDefault="003F1480" w:rsidP="003122F4">
      <w:pPr>
        <w:overflowPunct/>
        <w:autoSpaceDE/>
        <w:autoSpaceDN/>
        <w:adjustRightInd/>
        <w:spacing w:line="276" w:lineRule="auto"/>
        <w:textAlignment w:val="auto"/>
        <w:rPr>
          <w:rFonts w:cs="Arial"/>
          <w:szCs w:val="22"/>
          <w:lang w:eastAsia="ja-JP"/>
        </w:rPr>
      </w:pPr>
      <w:r w:rsidRPr="00545EC0">
        <w:rPr>
          <w:rFonts w:cs="Arial"/>
          <w:szCs w:val="22"/>
          <w:lang w:eastAsia="ja-JP"/>
        </w:rPr>
        <w:lastRenderedPageBreak/>
        <w:t>Podrobnejši cilji za področje hidromorfoloških obremenite</w:t>
      </w:r>
      <w:r w:rsidR="00FB622F">
        <w:rPr>
          <w:rFonts w:cs="Arial"/>
          <w:szCs w:val="22"/>
          <w:lang w:eastAsia="ja-JP"/>
        </w:rPr>
        <w:t>v</w:t>
      </w:r>
      <w:r w:rsidRPr="00545EC0">
        <w:rPr>
          <w:rFonts w:cs="Arial"/>
          <w:szCs w:val="22"/>
          <w:lang w:eastAsia="ja-JP"/>
        </w:rPr>
        <w:t>:</w:t>
      </w:r>
    </w:p>
    <w:p w14:paraId="5FD6FCDE" w14:textId="0FE8CAE4" w:rsidR="004C7CDB" w:rsidRPr="00545EC0" w:rsidRDefault="003F1480" w:rsidP="00DD37C5">
      <w:pPr>
        <w:pStyle w:val="Odstavekseznama"/>
        <w:numPr>
          <w:ilvl w:val="0"/>
          <w:numId w:val="114"/>
        </w:numPr>
        <w:overflowPunct/>
        <w:autoSpaceDE/>
        <w:autoSpaceDN/>
        <w:adjustRightInd/>
        <w:spacing w:line="276" w:lineRule="auto"/>
        <w:textAlignment w:val="auto"/>
        <w:rPr>
          <w:rFonts w:cs="Arial"/>
          <w:szCs w:val="22"/>
          <w:lang w:eastAsia="ja-JP"/>
        </w:rPr>
      </w:pPr>
      <w:r w:rsidRPr="00545EC0">
        <w:rPr>
          <w:rFonts w:cs="Arial"/>
          <w:szCs w:val="22"/>
          <w:lang w:val="sl-SI" w:eastAsia="ja-JP"/>
        </w:rPr>
        <w:t>c</w:t>
      </w:r>
      <w:r w:rsidR="004C7CDB" w:rsidRPr="00545EC0">
        <w:rPr>
          <w:rFonts w:cs="Arial"/>
          <w:szCs w:val="22"/>
          <w:lang w:eastAsia="ja-JP"/>
        </w:rPr>
        <w:t xml:space="preserve">ilji </w:t>
      </w:r>
      <w:r w:rsidR="009C02C3" w:rsidRPr="00545EC0">
        <w:rPr>
          <w:rFonts w:cs="Arial"/>
          <w:szCs w:val="22"/>
          <w:lang w:eastAsia="ja-JP"/>
        </w:rPr>
        <w:t xml:space="preserve">za področje hidromorfoloških obremenitev </w:t>
      </w:r>
      <w:r w:rsidR="004C7CDB" w:rsidRPr="00545EC0">
        <w:rPr>
          <w:rFonts w:cs="Arial"/>
          <w:szCs w:val="22"/>
          <w:lang w:eastAsia="ja-JP"/>
        </w:rPr>
        <w:t>vezani na cilj »preprečitev poslabšanja ekološkega stanja VT«</w:t>
      </w:r>
      <w:r w:rsidRPr="00545EC0">
        <w:rPr>
          <w:rFonts w:cs="Arial"/>
          <w:szCs w:val="22"/>
          <w:lang w:eastAsia="ja-JP"/>
        </w:rPr>
        <w:t xml:space="preserve"> so:</w:t>
      </w:r>
    </w:p>
    <w:p w14:paraId="37B6C2E5" w14:textId="0DE21CA8" w:rsidR="004C7CDB" w:rsidRPr="00545EC0" w:rsidRDefault="00D334C5" w:rsidP="00DD37C5">
      <w:pPr>
        <w:pStyle w:val="Odstavekseznama"/>
        <w:numPr>
          <w:ilvl w:val="1"/>
          <w:numId w:val="114"/>
        </w:numPr>
        <w:overflowPunct/>
        <w:autoSpaceDE/>
        <w:autoSpaceDN/>
        <w:adjustRightInd/>
        <w:spacing w:line="276" w:lineRule="auto"/>
        <w:textAlignment w:val="auto"/>
        <w:rPr>
          <w:rFonts w:cs="Arial"/>
          <w:szCs w:val="22"/>
          <w:lang w:eastAsia="ja-JP"/>
        </w:rPr>
      </w:pPr>
      <w:r w:rsidRPr="00545EC0">
        <w:rPr>
          <w:rFonts w:cs="Arial"/>
          <w:szCs w:val="22"/>
          <w:lang w:val="sl-SI" w:eastAsia="ja-JP"/>
        </w:rPr>
        <w:t>p</w:t>
      </w:r>
      <w:r w:rsidR="004C7CDB" w:rsidRPr="00545EC0">
        <w:rPr>
          <w:rFonts w:cs="Arial"/>
          <w:szCs w:val="22"/>
          <w:lang w:eastAsia="ja-JP"/>
        </w:rPr>
        <w:t xml:space="preserve">reprečevanje novih posegov na vodna in priobalna zemljišča ter poplavna območja, predvsem na delih vodnih teles površinskih voda, na katerih so prepoznani pomembni hidromorfološki vplivi, </w:t>
      </w:r>
    </w:p>
    <w:p w14:paraId="3B0763B1" w14:textId="52D4CC30" w:rsidR="004C7CDB" w:rsidRPr="00545EC0" w:rsidRDefault="00D334C5" w:rsidP="00DD37C5">
      <w:pPr>
        <w:pStyle w:val="Odstavekseznama"/>
        <w:numPr>
          <w:ilvl w:val="1"/>
          <w:numId w:val="114"/>
        </w:numPr>
        <w:overflowPunct/>
        <w:autoSpaceDE/>
        <w:autoSpaceDN/>
        <w:adjustRightInd/>
        <w:spacing w:line="276" w:lineRule="auto"/>
        <w:textAlignment w:val="auto"/>
        <w:rPr>
          <w:rFonts w:cs="Arial"/>
          <w:szCs w:val="22"/>
          <w:lang w:eastAsia="ja-JP"/>
        </w:rPr>
      </w:pPr>
      <w:r w:rsidRPr="00545EC0">
        <w:rPr>
          <w:rFonts w:cs="Arial"/>
          <w:szCs w:val="22"/>
          <w:lang w:val="sl-SI" w:eastAsia="ja-JP"/>
        </w:rPr>
        <w:t>u</w:t>
      </w:r>
      <w:r w:rsidR="004C7CDB" w:rsidRPr="00545EC0">
        <w:rPr>
          <w:rFonts w:cs="Arial"/>
          <w:szCs w:val="22"/>
          <w:lang w:eastAsia="ja-JP"/>
        </w:rPr>
        <w:t>dejanjanje načela »vodi več prostora« v sklopu prostorskega načrtovanja in upoštevanje slednjega pri posameznih pobudah za nove posege na vodna in priobalna zemljišča ter poplavna območja,</w:t>
      </w:r>
    </w:p>
    <w:p w14:paraId="3412642F" w14:textId="43809727" w:rsidR="004C7CDB" w:rsidRPr="00545EC0" w:rsidRDefault="00D334C5" w:rsidP="00DD37C5">
      <w:pPr>
        <w:pStyle w:val="Odstavekseznama"/>
        <w:numPr>
          <w:ilvl w:val="1"/>
          <w:numId w:val="114"/>
        </w:numPr>
        <w:overflowPunct/>
        <w:autoSpaceDE/>
        <w:autoSpaceDN/>
        <w:adjustRightInd/>
        <w:spacing w:line="276" w:lineRule="auto"/>
        <w:textAlignment w:val="auto"/>
        <w:rPr>
          <w:rFonts w:cs="Arial"/>
          <w:szCs w:val="22"/>
          <w:lang w:eastAsia="ja-JP"/>
        </w:rPr>
      </w:pPr>
      <w:r w:rsidRPr="00545EC0">
        <w:rPr>
          <w:rFonts w:cs="Arial"/>
          <w:szCs w:val="22"/>
          <w:lang w:val="sl-SI" w:eastAsia="ja-JP"/>
        </w:rPr>
        <w:t>v</w:t>
      </w:r>
      <w:r w:rsidR="004C7CDB" w:rsidRPr="00545EC0">
        <w:rPr>
          <w:rFonts w:cs="Arial"/>
          <w:szCs w:val="22"/>
          <w:lang w:eastAsia="ja-JP"/>
        </w:rPr>
        <w:t>zpodbujanje načrtovanja t.i. zelenih ureditev, predvsem naravnih ukrepov za zadrževanje vode (t.i. NRWM – natural water retention measures), ki omogočajo zasledovanje več okoljskih ciljev hkrati (npr. izboljšanje ekološkega stanja, zmanjševanje poplavne ogroženosti, blaženje posledic podnebnih sprememb, preprečitev pojava suš, izboljšanje stanja habitatov ipd.),</w:t>
      </w:r>
    </w:p>
    <w:p w14:paraId="231EBE62" w14:textId="512B0696" w:rsidR="004C7CDB" w:rsidRPr="00545EC0" w:rsidRDefault="00D334C5" w:rsidP="00DD37C5">
      <w:pPr>
        <w:pStyle w:val="Odstavekseznama"/>
        <w:numPr>
          <w:ilvl w:val="1"/>
          <w:numId w:val="114"/>
        </w:numPr>
        <w:overflowPunct/>
        <w:autoSpaceDE/>
        <w:autoSpaceDN/>
        <w:adjustRightInd/>
        <w:spacing w:line="276" w:lineRule="auto"/>
        <w:textAlignment w:val="auto"/>
        <w:rPr>
          <w:rFonts w:cs="Arial"/>
          <w:szCs w:val="22"/>
          <w:lang w:eastAsia="ja-JP"/>
        </w:rPr>
      </w:pPr>
      <w:r w:rsidRPr="00545EC0">
        <w:rPr>
          <w:rFonts w:cs="Arial"/>
          <w:szCs w:val="22"/>
          <w:lang w:val="sl-SI" w:eastAsia="ja-JP"/>
        </w:rPr>
        <w:t>z</w:t>
      </w:r>
      <w:r w:rsidR="004C7CDB" w:rsidRPr="00545EC0">
        <w:rPr>
          <w:rFonts w:cs="Arial"/>
          <w:szCs w:val="22"/>
          <w:lang w:eastAsia="ja-JP"/>
        </w:rPr>
        <w:t>manjševanje negativnih vplivov potencialnih novih posegov na vodna in priobalna zemljišča ter poplavna območja z izvedbo celovitih presoj vplivov novih posegov na stanje voda in izvedbo celovitih (omilitvenih) ukrepov za zmanjšanje negativnega vpliva na ekološko stanje VT,</w:t>
      </w:r>
    </w:p>
    <w:p w14:paraId="4BC948E0" w14:textId="2DBF4700" w:rsidR="004C7CDB" w:rsidRPr="00545EC0" w:rsidRDefault="00D334C5" w:rsidP="00DD37C5">
      <w:pPr>
        <w:pStyle w:val="Odstavekseznama"/>
        <w:numPr>
          <w:ilvl w:val="1"/>
          <w:numId w:val="114"/>
        </w:numPr>
        <w:overflowPunct/>
        <w:autoSpaceDE/>
        <w:autoSpaceDN/>
        <w:adjustRightInd/>
        <w:spacing w:line="276" w:lineRule="auto"/>
        <w:textAlignment w:val="auto"/>
        <w:rPr>
          <w:rFonts w:cs="Arial"/>
          <w:szCs w:val="22"/>
          <w:lang w:eastAsia="ja-JP"/>
        </w:rPr>
      </w:pPr>
      <w:r w:rsidRPr="00545EC0">
        <w:rPr>
          <w:rFonts w:cs="Arial"/>
          <w:szCs w:val="22"/>
          <w:lang w:val="sl-SI" w:eastAsia="ja-JP"/>
        </w:rPr>
        <w:t>v</w:t>
      </w:r>
      <w:r w:rsidR="004C7CDB" w:rsidRPr="00545EC0">
        <w:rPr>
          <w:rFonts w:cs="Arial"/>
          <w:szCs w:val="22"/>
          <w:lang w:eastAsia="ja-JP"/>
        </w:rPr>
        <w:t>zpostavitev učinkovitega inšpekcijskega nadzora za preprečitev oziroma sanacijo nedovoljenih novih posegov na vodna in priobalna zemljišča ter poplavna območja,</w:t>
      </w:r>
    </w:p>
    <w:p w14:paraId="08F1C647" w14:textId="70ECF1B1" w:rsidR="004C7CDB" w:rsidRPr="00545EC0" w:rsidRDefault="00D334C5" w:rsidP="00DD37C5">
      <w:pPr>
        <w:pStyle w:val="Odstavekseznama"/>
        <w:numPr>
          <w:ilvl w:val="1"/>
          <w:numId w:val="114"/>
        </w:numPr>
        <w:overflowPunct/>
        <w:autoSpaceDE/>
        <w:autoSpaceDN/>
        <w:adjustRightInd/>
        <w:spacing w:line="276" w:lineRule="auto"/>
        <w:textAlignment w:val="auto"/>
        <w:rPr>
          <w:rFonts w:cs="Arial"/>
          <w:szCs w:val="22"/>
          <w:lang w:eastAsia="ja-JP"/>
        </w:rPr>
      </w:pPr>
      <w:r w:rsidRPr="00545EC0">
        <w:rPr>
          <w:rFonts w:cs="Arial"/>
          <w:szCs w:val="22"/>
          <w:lang w:val="sl-SI" w:eastAsia="ja-JP"/>
        </w:rPr>
        <w:t>v</w:t>
      </w:r>
      <w:r w:rsidR="004C7CDB" w:rsidRPr="00545EC0">
        <w:rPr>
          <w:rFonts w:cs="Arial"/>
          <w:szCs w:val="22"/>
          <w:lang w:eastAsia="ja-JP"/>
        </w:rPr>
        <w:t>zpostavitev celovite obravnave problematike upravljanja s sedimentom,</w:t>
      </w:r>
    </w:p>
    <w:p w14:paraId="4C736CCE" w14:textId="3AA42CA6" w:rsidR="004C7CDB" w:rsidRPr="00545EC0" w:rsidRDefault="00D334C5" w:rsidP="00DD37C5">
      <w:pPr>
        <w:pStyle w:val="Odstavekseznama"/>
        <w:numPr>
          <w:ilvl w:val="1"/>
          <w:numId w:val="114"/>
        </w:numPr>
        <w:overflowPunct/>
        <w:autoSpaceDE/>
        <w:autoSpaceDN/>
        <w:adjustRightInd/>
        <w:spacing w:line="276" w:lineRule="auto"/>
        <w:textAlignment w:val="auto"/>
        <w:rPr>
          <w:rFonts w:cs="Arial"/>
          <w:szCs w:val="22"/>
          <w:lang w:eastAsia="ja-JP"/>
        </w:rPr>
      </w:pPr>
      <w:r w:rsidRPr="00545EC0">
        <w:rPr>
          <w:rFonts w:cs="Arial"/>
          <w:szCs w:val="22"/>
          <w:lang w:val="sl-SI" w:eastAsia="ja-JP"/>
        </w:rPr>
        <w:t>v</w:t>
      </w:r>
      <w:r w:rsidR="004C7CDB" w:rsidRPr="00545EC0">
        <w:rPr>
          <w:rFonts w:cs="Arial"/>
          <w:szCs w:val="22"/>
          <w:lang w:eastAsia="ja-JP"/>
        </w:rPr>
        <w:t>zpostavitev celovitega po-projektnega monitoringa ekološkega stanja površinskih voda z namenom sistematičnega ugotavljanja vplivov in učinkov novih izvedenih posegov/ureditev na vodah,</w:t>
      </w:r>
    </w:p>
    <w:p w14:paraId="70951681" w14:textId="247D9E59" w:rsidR="004C7CDB" w:rsidRPr="00545EC0" w:rsidRDefault="00D334C5" w:rsidP="00DD37C5">
      <w:pPr>
        <w:pStyle w:val="Odstavekseznama"/>
        <w:numPr>
          <w:ilvl w:val="1"/>
          <w:numId w:val="114"/>
        </w:numPr>
        <w:overflowPunct/>
        <w:autoSpaceDE/>
        <w:autoSpaceDN/>
        <w:adjustRightInd/>
        <w:spacing w:line="276" w:lineRule="auto"/>
        <w:textAlignment w:val="auto"/>
        <w:rPr>
          <w:rFonts w:cs="Arial"/>
          <w:szCs w:val="22"/>
          <w:lang w:eastAsia="ja-JP"/>
        </w:rPr>
      </w:pPr>
      <w:r w:rsidRPr="00545EC0">
        <w:rPr>
          <w:rFonts w:cs="Arial"/>
          <w:szCs w:val="22"/>
          <w:lang w:val="sl-SI" w:eastAsia="ja-JP"/>
        </w:rPr>
        <w:t>o</w:t>
      </w:r>
      <w:r w:rsidR="004C7CDB" w:rsidRPr="00545EC0">
        <w:rPr>
          <w:rFonts w:cs="Arial"/>
          <w:szCs w:val="22"/>
          <w:lang w:eastAsia="ja-JP"/>
        </w:rPr>
        <w:t>zaveščanje širše strokovne in splošne javnosti o pomenu ohranjanja vodnih in priobalnih zemljišč ter poplavnih območij ter pomenu načrtovanja t.i. zelenih ureditev.</w:t>
      </w:r>
    </w:p>
    <w:p w14:paraId="30B9A7C4" w14:textId="5E2C194E" w:rsidR="004C7CDB" w:rsidRPr="00545EC0" w:rsidRDefault="004C7CDB" w:rsidP="00DD37C5">
      <w:pPr>
        <w:pStyle w:val="Odstavekseznama"/>
        <w:numPr>
          <w:ilvl w:val="0"/>
          <w:numId w:val="114"/>
        </w:numPr>
        <w:overflowPunct/>
        <w:autoSpaceDE/>
        <w:autoSpaceDN/>
        <w:adjustRightInd/>
        <w:spacing w:line="276" w:lineRule="auto"/>
        <w:textAlignment w:val="auto"/>
        <w:rPr>
          <w:rFonts w:cs="Arial"/>
          <w:szCs w:val="22"/>
          <w:lang w:eastAsia="ja-JP"/>
        </w:rPr>
      </w:pPr>
      <w:r w:rsidRPr="00545EC0">
        <w:rPr>
          <w:rFonts w:cs="Arial"/>
          <w:szCs w:val="22"/>
          <w:lang w:eastAsia="ja-JP"/>
        </w:rPr>
        <w:t xml:space="preserve">cilji </w:t>
      </w:r>
      <w:r w:rsidR="009C02C3" w:rsidRPr="00545EC0">
        <w:rPr>
          <w:rFonts w:cs="Arial"/>
          <w:szCs w:val="22"/>
          <w:lang w:eastAsia="ja-JP"/>
        </w:rPr>
        <w:t xml:space="preserve">za področje hidromorfoloških obremenitev </w:t>
      </w:r>
      <w:r w:rsidRPr="00545EC0">
        <w:rPr>
          <w:rFonts w:cs="Arial"/>
          <w:szCs w:val="22"/>
          <w:lang w:eastAsia="ja-JP"/>
        </w:rPr>
        <w:t>vezani na cilj »doseganje dobrega ekološkega stanja VT«</w:t>
      </w:r>
      <w:r w:rsidR="003F1480" w:rsidRPr="00545EC0">
        <w:rPr>
          <w:rFonts w:cs="Arial"/>
          <w:szCs w:val="22"/>
          <w:lang w:val="sl-SI" w:eastAsia="ja-JP"/>
        </w:rPr>
        <w:t xml:space="preserve"> je </w:t>
      </w:r>
      <w:r w:rsidR="00D334C5" w:rsidRPr="00545EC0">
        <w:rPr>
          <w:rFonts w:cs="Arial"/>
          <w:szCs w:val="22"/>
          <w:lang w:val="sl-SI" w:eastAsia="ja-JP"/>
        </w:rPr>
        <w:t>i</w:t>
      </w:r>
      <w:r w:rsidRPr="00545EC0">
        <w:rPr>
          <w:rFonts w:cs="Arial"/>
          <w:szCs w:val="22"/>
          <w:lang w:eastAsia="ja-JP"/>
        </w:rPr>
        <w:t>zvedba revitalizacij vodotokov, jezer in zadrževalnikov predvsem na delih vodnih teles površinskih voda, na katerih so ugotovljeni pomembni hidromorfološki vplivi, in delih, kjer ni doseženo dobro ekološko stanje voda zaradi prisotnih hidromorfoloških obremenitev, vključno z izgradnjo ribjih prehodov na prečnih objektih.</w:t>
      </w:r>
    </w:p>
    <w:p w14:paraId="6B6A93B7" w14:textId="1E117A1B" w:rsidR="00E03421" w:rsidRPr="00545EC0" w:rsidRDefault="00E03421" w:rsidP="000A1DB5">
      <w:pPr>
        <w:pStyle w:val="podnaslov0"/>
      </w:pPr>
      <w:bookmarkStart w:id="615" w:name="_Toc419099288"/>
      <w:r w:rsidRPr="00545EC0">
        <w:t xml:space="preserve">Okoljski cilji za </w:t>
      </w:r>
      <w:bookmarkEnd w:id="615"/>
      <w:r w:rsidR="00D334C5" w:rsidRPr="00545EC0">
        <w:t>vodna telesa podzemnih voda</w:t>
      </w:r>
    </w:p>
    <w:p w14:paraId="72B1B82E" w14:textId="495B63DB" w:rsidR="00E03421" w:rsidRPr="00545EC0" w:rsidRDefault="00E03421" w:rsidP="0010797F">
      <w:pPr>
        <w:pStyle w:val="Odstavekseznama"/>
        <w:ind w:left="0"/>
        <w:rPr>
          <w:rFonts w:cs="Arial"/>
          <w:lang w:val="sl-SI"/>
        </w:rPr>
      </w:pPr>
      <w:r w:rsidRPr="00545EC0">
        <w:rPr>
          <w:rFonts w:cs="Arial"/>
          <w:lang w:val="sl-SI"/>
        </w:rPr>
        <w:t>Okoljski cilji evropske vodne politike za pod</w:t>
      </w:r>
      <w:r w:rsidR="00372AC5" w:rsidRPr="00545EC0">
        <w:rPr>
          <w:rFonts w:cs="Arial"/>
          <w:lang w:val="sl-SI"/>
        </w:rPr>
        <w:t>zemne vode so opredeljeni v v</w:t>
      </w:r>
      <w:r w:rsidRPr="00545EC0">
        <w:rPr>
          <w:rFonts w:cs="Arial"/>
          <w:lang w:val="sl-SI"/>
        </w:rPr>
        <w:t>odni direktivi (4. člen):</w:t>
      </w:r>
    </w:p>
    <w:p w14:paraId="700F46AA" w14:textId="77777777" w:rsidR="00E03421" w:rsidRPr="00545EC0" w:rsidRDefault="00E03421" w:rsidP="0010797F">
      <w:pPr>
        <w:pStyle w:val="Odstavekseznama"/>
        <w:rPr>
          <w:rFonts w:cs="Arial"/>
          <w:lang w:val="sl-SI"/>
        </w:rPr>
      </w:pPr>
    </w:p>
    <w:p w14:paraId="35AE81C8" w14:textId="7A55402D" w:rsidR="00CE2CC6" w:rsidRPr="00545EC0" w:rsidRDefault="00CE2CC6" w:rsidP="003122F4">
      <w:pPr>
        <w:spacing w:line="276" w:lineRule="auto"/>
        <w:rPr>
          <w:rFonts w:cs="Arial"/>
        </w:rPr>
      </w:pPr>
      <w:r w:rsidRPr="00545EC0">
        <w:rPr>
          <w:rFonts w:cs="Arial"/>
        </w:rPr>
        <w:t xml:space="preserve">Okoljski cilji za vodna telesa podzemnih voda so </w:t>
      </w:r>
      <w:r w:rsidRPr="00545EC0">
        <w:rPr>
          <w:rFonts w:cs="Arial"/>
          <w:szCs w:val="20"/>
        </w:rPr>
        <w:t>v skladu s predpisom, ki ureja podrobnejšo vsebino in načinu priprave načrta upravljanja voda oblikovani tako, da zagotovijo zlasti:</w:t>
      </w:r>
    </w:p>
    <w:p w14:paraId="0C266ED3" w14:textId="2D88D004" w:rsidR="00CE2CC6" w:rsidRPr="00545EC0" w:rsidRDefault="00CE2CC6" w:rsidP="00DD37C5">
      <w:pPr>
        <w:pStyle w:val="Odstavekseznama"/>
        <w:numPr>
          <w:ilvl w:val="0"/>
          <w:numId w:val="115"/>
        </w:numPr>
        <w:overflowPunct/>
        <w:autoSpaceDE/>
        <w:autoSpaceDN/>
        <w:adjustRightInd/>
        <w:spacing w:line="276" w:lineRule="auto"/>
        <w:textAlignment w:val="auto"/>
        <w:rPr>
          <w:rFonts w:cs="Arial"/>
          <w:szCs w:val="22"/>
          <w:lang w:eastAsia="ja-JP"/>
        </w:rPr>
      </w:pPr>
      <w:r w:rsidRPr="00545EC0">
        <w:rPr>
          <w:rFonts w:cs="Arial"/>
          <w:szCs w:val="22"/>
          <w:lang w:eastAsia="ja-JP"/>
        </w:rPr>
        <w:t>preprečitev ali omejitev vnašanja onesnaževal v podzemno vodo,</w:t>
      </w:r>
    </w:p>
    <w:p w14:paraId="0B1B92C0" w14:textId="6656AD93" w:rsidR="00CE2CC6" w:rsidRPr="00545EC0" w:rsidRDefault="00CE2CC6" w:rsidP="00DD37C5">
      <w:pPr>
        <w:pStyle w:val="Odstavekseznama"/>
        <w:numPr>
          <w:ilvl w:val="0"/>
          <w:numId w:val="115"/>
        </w:numPr>
        <w:overflowPunct/>
        <w:autoSpaceDE/>
        <w:autoSpaceDN/>
        <w:adjustRightInd/>
        <w:spacing w:line="276" w:lineRule="auto"/>
        <w:textAlignment w:val="auto"/>
        <w:rPr>
          <w:rFonts w:cs="Arial"/>
          <w:szCs w:val="22"/>
          <w:lang w:eastAsia="ja-JP"/>
        </w:rPr>
      </w:pPr>
      <w:r w:rsidRPr="00545EC0">
        <w:rPr>
          <w:rFonts w:cs="Arial"/>
          <w:szCs w:val="22"/>
          <w:lang w:eastAsia="ja-JP"/>
        </w:rPr>
        <w:t>varovanje, izboljšanje in obnavljanje vodnih teles podzemne vode ter zagotavljanje ravnotežja med odvzemanjem in obnavljanjem podzemne vode tako, da se doseže njeno dobro kemijsko in količinsko stanje v skladu s predpisi, ki urejajo varstvo okolja,</w:t>
      </w:r>
    </w:p>
    <w:p w14:paraId="235B106F" w14:textId="733E1DBB" w:rsidR="00CE2CC6" w:rsidRPr="00545EC0" w:rsidRDefault="00CE2CC6" w:rsidP="00DD37C5">
      <w:pPr>
        <w:pStyle w:val="Odstavekseznama"/>
        <w:numPr>
          <w:ilvl w:val="0"/>
          <w:numId w:val="115"/>
        </w:numPr>
        <w:overflowPunct/>
        <w:autoSpaceDE/>
        <w:autoSpaceDN/>
        <w:adjustRightInd/>
        <w:spacing w:line="276" w:lineRule="auto"/>
        <w:textAlignment w:val="auto"/>
        <w:rPr>
          <w:rFonts w:cs="Arial"/>
          <w:szCs w:val="22"/>
          <w:lang w:eastAsia="ja-JP"/>
        </w:rPr>
      </w:pPr>
      <w:r w:rsidRPr="00545EC0">
        <w:rPr>
          <w:rFonts w:cs="Arial"/>
          <w:szCs w:val="22"/>
          <w:lang w:eastAsia="ja-JP"/>
        </w:rPr>
        <w:t>obrat vsakega pomembnega in trajnega trenda naraščanja koncentracije kateregakoli onesnaževala, ki je posledica človekove dejavnosti in znatno ogroža kakovost vodnih ali kopenskih ekosistemov, zdravje ljudi ali človekovo rabo podzemne vode, in</w:t>
      </w:r>
    </w:p>
    <w:p w14:paraId="50350F27" w14:textId="60493EA1" w:rsidR="00CE2CC6" w:rsidRPr="00545EC0" w:rsidRDefault="00CE2CC6" w:rsidP="00DD37C5">
      <w:pPr>
        <w:pStyle w:val="Odstavekseznama"/>
        <w:numPr>
          <w:ilvl w:val="0"/>
          <w:numId w:val="115"/>
        </w:numPr>
        <w:overflowPunct/>
        <w:autoSpaceDE/>
        <w:autoSpaceDN/>
        <w:adjustRightInd/>
        <w:spacing w:line="276" w:lineRule="auto"/>
        <w:textAlignment w:val="auto"/>
        <w:rPr>
          <w:rFonts w:cs="Arial"/>
          <w:szCs w:val="22"/>
          <w:lang w:eastAsia="ja-JP"/>
        </w:rPr>
      </w:pPr>
      <w:r w:rsidRPr="00545EC0">
        <w:rPr>
          <w:rFonts w:cs="Arial"/>
          <w:szCs w:val="22"/>
          <w:lang w:eastAsia="ja-JP"/>
        </w:rPr>
        <w:t>postopno zmanjšanje onesnaževanja s prednostnimi snovmi in ustavitev ali postopno odpravo emisij, odvajanja in uhajanja prednostnih nevarnih snovi.</w:t>
      </w:r>
    </w:p>
    <w:p w14:paraId="1E931D38" w14:textId="77777777" w:rsidR="00CE2CC6" w:rsidRPr="00545EC0" w:rsidRDefault="00CE2CC6" w:rsidP="0010797F">
      <w:pPr>
        <w:pStyle w:val="Odstavekseznama"/>
        <w:ind w:left="0"/>
        <w:rPr>
          <w:rFonts w:cs="Arial"/>
          <w:lang w:val="sl-SI"/>
        </w:rPr>
      </w:pPr>
    </w:p>
    <w:p w14:paraId="1516D0F6" w14:textId="43FCB383" w:rsidR="00E03421" w:rsidRPr="00545EC0" w:rsidRDefault="003F1480" w:rsidP="0010797F">
      <w:pPr>
        <w:pStyle w:val="Odstavekseznama"/>
        <w:ind w:left="0"/>
        <w:rPr>
          <w:rFonts w:cs="Arial"/>
          <w:lang w:val="sl-SI"/>
        </w:rPr>
      </w:pPr>
      <w:r w:rsidRPr="00545EC0">
        <w:rPr>
          <w:rFonts w:cs="Arial"/>
          <w:lang w:val="sl-SI"/>
        </w:rPr>
        <w:t>V predpisu, ki ureja stanje podzemnih voda je določeno, da so o</w:t>
      </w:r>
      <w:r w:rsidR="00E03421" w:rsidRPr="00545EC0">
        <w:rPr>
          <w:rFonts w:cs="Arial"/>
          <w:lang w:val="sl-SI"/>
        </w:rPr>
        <w:t>koljski cilji za podzemne vode  doseženi:</w:t>
      </w:r>
    </w:p>
    <w:p w14:paraId="275B21BE" w14:textId="77777777" w:rsidR="00E03421" w:rsidRPr="00545EC0" w:rsidRDefault="00E03421" w:rsidP="00DD37C5">
      <w:pPr>
        <w:pStyle w:val="Odstavekseznama"/>
        <w:numPr>
          <w:ilvl w:val="0"/>
          <w:numId w:val="117"/>
        </w:numPr>
        <w:tabs>
          <w:tab w:val="center" w:pos="567"/>
        </w:tabs>
        <w:overflowPunct/>
        <w:autoSpaceDE/>
        <w:autoSpaceDN/>
        <w:adjustRightInd/>
        <w:ind w:left="993"/>
        <w:contextualSpacing/>
        <w:textAlignment w:val="auto"/>
        <w:rPr>
          <w:rFonts w:cs="Arial"/>
        </w:rPr>
      </w:pPr>
      <w:r w:rsidRPr="00545EC0">
        <w:rPr>
          <w:rFonts w:cs="Arial"/>
        </w:rPr>
        <w:t>ko ima vodno telo podzemne vode dobro kemijsko in količinsko stanje in</w:t>
      </w:r>
    </w:p>
    <w:p w14:paraId="6E2A4E96" w14:textId="77777777" w:rsidR="00E03421" w:rsidRPr="00545EC0" w:rsidRDefault="00E03421" w:rsidP="00DD37C5">
      <w:pPr>
        <w:pStyle w:val="Odstavekseznama"/>
        <w:numPr>
          <w:ilvl w:val="0"/>
          <w:numId w:val="117"/>
        </w:numPr>
        <w:tabs>
          <w:tab w:val="center" w:pos="567"/>
        </w:tabs>
        <w:overflowPunct/>
        <w:autoSpaceDE/>
        <w:autoSpaceDN/>
        <w:adjustRightInd/>
        <w:ind w:left="993"/>
        <w:contextualSpacing/>
        <w:textAlignment w:val="auto"/>
        <w:rPr>
          <w:rFonts w:cs="Arial"/>
        </w:rPr>
      </w:pPr>
      <w:r w:rsidRPr="00545EC0">
        <w:rPr>
          <w:rFonts w:cs="Arial"/>
        </w:rPr>
        <w:t>ko se stanje podzemnih voda ne poslabšuje;</w:t>
      </w:r>
    </w:p>
    <w:p w14:paraId="6815C527" w14:textId="77777777" w:rsidR="00E03421" w:rsidRPr="00545EC0" w:rsidRDefault="00E03421" w:rsidP="00DD37C5">
      <w:pPr>
        <w:pStyle w:val="Odstavekseznama"/>
        <w:numPr>
          <w:ilvl w:val="0"/>
          <w:numId w:val="117"/>
        </w:numPr>
        <w:tabs>
          <w:tab w:val="center" w:pos="567"/>
        </w:tabs>
        <w:overflowPunct/>
        <w:autoSpaceDE/>
        <w:autoSpaceDN/>
        <w:adjustRightInd/>
        <w:ind w:left="993"/>
        <w:contextualSpacing/>
        <w:textAlignment w:val="auto"/>
        <w:rPr>
          <w:rFonts w:cs="Arial"/>
        </w:rPr>
      </w:pPr>
      <w:r w:rsidRPr="00545EC0">
        <w:rPr>
          <w:rFonts w:cs="Arial"/>
        </w:rPr>
        <w:lastRenderedPageBreak/>
        <w:t>ko je obrnjen vsak pomemben in stalno naraščajoč trend koncentracije kateregakoli onesnaževala, ki je posledica človekove dejavnosti in ki ogroža kakovost vodnih ali kopenskih ekosistemov, zdravje ljudi ter obstoječo ali možno dopustno rabo vodnega okolja,</w:t>
      </w:r>
    </w:p>
    <w:p w14:paraId="26396254" w14:textId="77777777" w:rsidR="00E03421" w:rsidRPr="00545EC0" w:rsidRDefault="00E03421" w:rsidP="00DD37C5">
      <w:pPr>
        <w:pStyle w:val="Odstavekseznama"/>
        <w:numPr>
          <w:ilvl w:val="0"/>
          <w:numId w:val="117"/>
        </w:numPr>
        <w:tabs>
          <w:tab w:val="center" w:pos="567"/>
        </w:tabs>
        <w:overflowPunct/>
        <w:autoSpaceDE/>
        <w:autoSpaceDN/>
        <w:adjustRightInd/>
        <w:ind w:left="993"/>
        <w:contextualSpacing/>
        <w:textAlignment w:val="auto"/>
        <w:rPr>
          <w:rFonts w:cs="Arial"/>
        </w:rPr>
      </w:pPr>
      <w:r w:rsidRPr="00545EC0">
        <w:rPr>
          <w:rFonts w:cs="Arial"/>
        </w:rPr>
        <w:t>ko je preprečen vnos nevarnih onesnaževal in omejen vnos drugih onesnaževal v podzemno vodo, ki pomenijo obstoječe ali možno tveganje za podzemno vodo, in</w:t>
      </w:r>
    </w:p>
    <w:p w14:paraId="027DFF58" w14:textId="77777777" w:rsidR="00E03421" w:rsidRPr="00545EC0" w:rsidRDefault="00E03421" w:rsidP="00DD37C5">
      <w:pPr>
        <w:pStyle w:val="Odstavekseznama"/>
        <w:numPr>
          <w:ilvl w:val="0"/>
          <w:numId w:val="117"/>
        </w:numPr>
        <w:tabs>
          <w:tab w:val="center" w:pos="567"/>
        </w:tabs>
        <w:overflowPunct/>
        <w:autoSpaceDE/>
        <w:autoSpaceDN/>
        <w:adjustRightInd/>
        <w:ind w:left="993"/>
        <w:contextualSpacing/>
        <w:textAlignment w:val="auto"/>
        <w:rPr>
          <w:rFonts w:cs="Arial"/>
        </w:rPr>
      </w:pPr>
      <w:r w:rsidRPr="00545EC0">
        <w:rPr>
          <w:rFonts w:cs="Arial"/>
        </w:rPr>
        <w:t>ko ima vodno telo podzemne vode dobro količinsko stanje.</w:t>
      </w:r>
    </w:p>
    <w:p w14:paraId="36B989BE" w14:textId="77777777" w:rsidR="00E03421" w:rsidRPr="00545EC0" w:rsidRDefault="00E03421" w:rsidP="0010797F">
      <w:pPr>
        <w:pStyle w:val="Odstavekseznama"/>
        <w:ind w:left="0"/>
        <w:rPr>
          <w:rFonts w:cs="Arial"/>
          <w:lang w:val="sl-SI"/>
        </w:rPr>
      </w:pPr>
    </w:p>
    <w:p w14:paraId="06E60F67" w14:textId="77777777" w:rsidR="00E03421" w:rsidRPr="00545EC0" w:rsidRDefault="00867A7D" w:rsidP="0010797F">
      <w:pPr>
        <w:pStyle w:val="Odstavekseznama"/>
        <w:ind w:left="0"/>
        <w:rPr>
          <w:rFonts w:cs="Arial"/>
          <w:lang w:val="sl-SI"/>
        </w:rPr>
      </w:pPr>
      <w:r w:rsidRPr="00545EC0">
        <w:rPr>
          <w:rFonts w:cs="Arial"/>
          <w:lang w:val="sl-SI"/>
        </w:rPr>
        <w:t>V predpisu, ki ureja stanje podzemnih voda,</w:t>
      </w:r>
      <w:r w:rsidR="00E03421" w:rsidRPr="00545EC0">
        <w:rPr>
          <w:rFonts w:cs="Arial"/>
          <w:lang w:val="sl-SI"/>
        </w:rPr>
        <w:t xml:space="preserve"> </w:t>
      </w:r>
      <w:r w:rsidRPr="00545EC0">
        <w:rPr>
          <w:rFonts w:cs="Arial"/>
          <w:lang w:val="sl-SI"/>
        </w:rPr>
        <w:t xml:space="preserve">je </w:t>
      </w:r>
      <w:r w:rsidR="00E03421" w:rsidRPr="00545EC0">
        <w:rPr>
          <w:rFonts w:cs="Arial"/>
          <w:lang w:val="sl-SI"/>
        </w:rPr>
        <w:t>nadalje natančno določ</w:t>
      </w:r>
      <w:r w:rsidRPr="00545EC0">
        <w:rPr>
          <w:rFonts w:cs="Arial"/>
          <w:lang w:val="sl-SI"/>
        </w:rPr>
        <w:t>eno</w:t>
      </w:r>
      <w:r w:rsidR="00E03421" w:rsidRPr="00545EC0">
        <w:rPr>
          <w:rFonts w:cs="Arial"/>
          <w:lang w:val="sl-SI"/>
        </w:rPr>
        <w:t>, kako se ugotavlja dobro kemijsko stanje in dobro količinsko stanje podzemne vode.</w:t>
      </w:r>
    </w:p>
    <w:p w14:paraId="42E99093" w14:textId="77777777" w:rsidR="00E03421" w:rsidRPr="00545EC0" w:rsidRDefault="00E03421" w:rsidP="0010797F">
      <w:pPr>
        <w:pStyle w:val="Odstavekseznama"/>
        <w:ind w:left="0"/>
        <w:rPr>
          <w:rFonts w:cs="Arial"/>
          <w:lang w:val="sl-SI"/>
        </w:rPr>
      </w:pPr>
      <w:r w:rsidRPr="00545EC0">
        <w:rPr>
          <w:rFonts w:cs="Arial"/>
          <w:lang w:val="sl-SI"/>
        </w:rPr>
        <w:t xml:space="preserve">Nevarna onesnaževala so </w:t>
      </w:r>
      <w:r w:rsidR="00867A7D" w:rsidRPr="00545EC0">
        <w:rPr>
          <w:rFonts w:cs="Arial"/>
          <w:lang w:val="sl-SI"/>
        </w:rPr>
        <w:t>določena s predpisom, ki ureja emisijo snovi in toplote pri odvajanju voda v vode in javno kanalizacijo</w:t>
      </w:r>
      <w:r w:rsidRPr="00545EC0">
        <w:rPr>
          <w:rFonts w:cs="Arial"/>
          <w:lang w:val="sl-SI"/>
        </w:rPr>
        <w:t>.</w:t>
      </w:r>
    </w:p>
    <w:p w14:paraId="28F2E260" w14:textId="11B3DC7D" w:rsidR="00CE2CC6" w:rsidRPr="00545EC0" w:rsidRDefault="00CE2CC6" w:rsidP="000A1DB5">
      <w:pPr>
        <w:pStyle w:val="podnaslov0"/>
      </w:pPr>
      <w:r w:rsidRPr="00545EC0">
        <w:rPr>
          <w:b w:val="0"/>
          <w:u w:val="single"/>
        </w:rPr>
        <w:t>Podrobnejša opredelitev okoljskih ciljev na vodnih telesih podzemnih voda</w:t>
      </w:r>
    </w:p>
    <w:p w14:paraId="6F4D695F" w14:textId="36471124" w:rsidR="00CE2CC6" w:rsidRPr="00545EC0" w:rsidRDefault="00495A69" w:rsidP="003122F4">
      <w:pPr>
        <w:pStyle w:val="podnaslov0"/>
        <w:spacing w:before="0" w:after="0"/>
        <w:rPr>
          <w:b w:val="0"/>
        </w:rPr>
      </w:pPr>
      <w:r w:rsidRPr="00545EC0">
        <w:rPr>
          <w:b w:val="0"/>
        </w:rPr>
        <w:t xml:space="preserve">Cilji za podzemne vode </w:t>
      </w:r>
      <w:r w:rsidR="00EE3F10" w:rsidRPr="00545EC0">
        <w:rPr>
          <w:b w:val="0"/>
        </w:rPr>
        <w:t>v</w:t>
      </w:r>
      <w:r w:rsidRPr="00545EC0">
        <w:rPr>
          <w:b w:val="0"/>
        </w:rPr>
        <w:t xml:space="preserve"> dobr</w:t>
      </w:r>
      <w:r w:rsidR="00EE3F10" w:rsidRPr="00545EC0">
        <w:rPr>
          <w:b w:val="0"/>
        </w:rPr>
        <w:t>em</w:t>
      </w:r>
      <w:r w:rsidRPr="00545EC0">
        <w:rPr>
          <w:b w:val="0"/>
        </w:rPr>
        <w:t xml:space="preserve"> </w:t>
      </w:r>
      <w:r w:rsidR="00EE3F10" w:rsidRPr="00545EC0">
        <w:rPr>
          <w:b w:val="0"/>
        </w:rPr>
        <w:t xml:space="preserve">kemijskem </w:t>
      </w:r>
      <w:r w:rsidRPr="00545EC0">
        <w:rPr>
          <w:b w:val="0"/>
        </w:rPr>
        <w:t>stanj</w:t>
      </w:r>
      <w:r w:rsidR="00EE3F10" w:rsidRPr="00545EC0">
        <w:rPr>
          <w:b w:val="0"/>
        </w:rPr>
        <w:t>u</w:t>
      </w:r>
      <w:r w:rsidR="00CE2CC6" w:rsidRPr="00545EC0">
        <w:rPr>
          <w:b w:val="0"/>
        </w:rPr>
        <w:t>:</w:t>
      </w:r>
    </w:p>
    <w:p w14:paraId="1CDE98E8" w14:textId="6F24C9C7" w:rsidR="00E03421" w:rsidRPr="00545EC0" w:rsidRDefault="00E03421" w:rsidP="00DD37C5">
      <w:pPr>
        <w:pStyle w:val="podnaslov0"/>
        <w:numPr>
          <w:ilvl w:val="0"/>
          <w:numId w:val="116"/>
        </w:numPr>
        <w:spacing w:before="0" w:after="0"/>
        <w:ind w:left="714" w:hanging="357"/>
      </w:pPr>
      <w:r w:rsidRPr="00545EC0">
        <w:rPr>
          <w:b w:val="0"/>
        </w:rPr>
        <w:t>Veliko</w:t>
      </w:r>
      <w:r w:rsidR="00EE3F10" w:rsidRPr="00545EC0">
        <w:rPr>
          <w:b w:val="0"/>
        </w:rPr>
        <w:t xml:space="preserve"> vodnih</w:t>
      </w:r>
      <w:r w:rsidRPr="00545EC0">
        <w:rPr>
          <w:b w:val="0"/>
        </w:rPr>
        <w:t xml:space="preserve"> teles podzemne vode v Sloveniji je v </w:t>
      </w:r>
      <w:r w:rsidR="00EE3F10" w:rsidRPr="00545EC0">
        <w:rPr>
          <w:b w:val="0"/>
        </w:rPr>
        <w:t>dobrem kemijskem</w:t>
      </w:r>
      <w:r w:rsidRPr="00545EC0">
        <w:rPr>
          <w:b w:val="0"/>
        </w:rPr>
        <w:t xml:space="preserve"> stanju. Ta </w:t>
      </w:r>
      <w:r w:rsidR="00EE3F10" w:rsidRPr="00545EC0">
        <w:rPr>
          <w:b w:val="0"/>
        </w:rPr>
        <w:t xml:space="preserve">vodna </w:t>
      </w:r>
      <w:r w:rsidRPr="00545EC0">
        <w:rPr>
          <w:b w:val="0"/>
        </w:rPr>
        <w:t>telesa podzemn</w:t>
      </w:r>
      <w:r w:rsidR="00EE3F10" w:rsidRPr="00545EC0">
        <w:rPr>
          <w:b w:val="0"/>
        </w:rPr>
        <w:t>ih</w:t>
      </w:r>
      <w:r w:rsidRPr="00545EC0">
        <w:rPr>
          <w:b w:val="0"/>
        </w:rPr>
        <w:t xml:space="preserve"> vod</w:t>
      </w:r>
      <w:r w:rsidR="00EE3F10" w:rsidRPr="00545EC0">
        <w:rPr>
          <w:b w:val="0"/>
        </w:rPr>
        <w:t>a</w:t>
      </w:r>
      <w:r w:rsidRPr="00545EC0">
        <w:rPr>
          <w:b w:val="0"/>
        </w:rPr>
        <w:t xml:space="preserve"> predstavljajo pomemben vir vode za prihodnjo oskrbo</w:t>
      </w:r>
      <w:r w:rsidR="00EE3F10" w:rsidRPr="00545EC0">
        <w:rPr>
          <w:b w:val="0"/>
        </w:rPr>
        <w:t xml:space="preserve"> s pitno vodo</w:t>
      </w:r>
      <w:r w:rsidRPr="00545EC0">
        <w:rPr>
          <w:b w:val="0"/>
        </w:rPr>
        <w:t xml:space="preserve"> in tudi strateški vir za prihodnost in prilagajanje klimatskim spremembam.</w:t>
      </w:r>
    </w:p>
    <w:p w14:paraId="229CB0F5" w14:textId="77777777" w:rsidR="00E03421" w:rsidRPr="00545EC0" w:rsidRDefault="00E03421" w:rsidP="0010797F">
      <w:pPr>
        <w:rPr>
          <w:rFonts w:cs="Arial"/>
          <w:bCs/>
        </w:rPr>
      </w:pPr>
    </w:p>
    <w:p w14:paraId="703D7514" w14:textId="3A59A83B" w:rsidR="00E03421" w:rsidRPr="00545EC0" w:rsidRDefault="00E03421" w:rsidP="0010797F">
      <w:pPr>
        <w:rPr>
          <w:rFonts w:cs="Arial"/>
          <w:bCs/>
        </w:rPr>
      </w:pPr>
      <w:r w:rsidRPr="00545EC0">
        <w:rPr>
          <w:rFonts w:cs="Arial"/>
          <w:bCs/>
        </w:rPr>
        <w:t xml:space="preserve">Za te vire podzemne vode je smiselno predvideti poseben pristop pri načrtovanju upravljanja z vodami ter določanja okoljskih ciljev s posebnimi vrednostmi praga ali pa mejne vrednosti kot izhodiščne točke za izvedbene ukrepe za obrat pomembnih in stalnih trendov naraščanja. Te je smiselno določiti za posamezna vodna telesa podzemnih vod ali pa njihove dele kot posamezna območja z visokim hidrogeološkim potencialom. </w:t>
      </w:r>
    </w:p>
    <w:p w14:paraId="336C7D25" w14:textId="77777777" w:rsidR="00EE3F10" w:rsidRPr="00545EC0" w:rsidRDefault="00EE3F10" w:rsidP="0010797F">
      <w:pPr>
        <w:rPr>
          <w:rFonts w:cs="Arial"/>
          <w:bCs/>
        </w:rPr>
      </w:pPr>
    </w:p>
    <w:p w14:paraId="7DE88404" w14:textId="715DD6D1" w:rsidR="00EE3F10" w:rsidRPr="00545EC0" w:rsidRDefault="00DC4176" w:rsidP="003122F4">
      <w:pPr>
        <w:pStyle w:val="podnaslov0"/>
        <w:spacing w:before="0" w:after="0"/>
        <w:rPr>
          <w:bCs/>
        </w:rPr>
      </w:pPr>
      <w:bookmarkStart w:id="616" w:name="_Toc278183474"/>
      <w:bookmarkStart w:id="617" w:name="_Toc222222266"/>
      <w:r w:rsidRPr="00545EC0">
        <w:rPr>
          <w:b w:val="0"/>
        </w:rPr>
        <w:t>Cilji za podzemne vode - k</w:t>
      </w:r>
      <w:r w:rsidR="00E03421" w:rsidRPr="00545EC0">
        <w:rPr>
          <w:b w:val="0"/>
        </w:rPr>
        <w:t>oličinsko stanje</w:t>
      </w:r>
      <w:bookmarkEnd w:id="616"/>
      <w:bookmarkEnd w:id="617"/>
      <w:r w:rsidR="00E03421" w:rsidRPr="00545EC0">
        <w:rPr>
          <w:b w:val="0"/>
        </w:rPr>
        <w:t xml:space="preserve"> podzemne vode</w:t>
      </w:r>
      <w:r w:rsidR="00EE3F10" w:rsidRPr="00545EC0">
        <w:rPr>
          <w:b w:val="0"/>
        </w:rPr>
        <w:t>:</w:t>
      </w:r>
    </w:p>
    <w:p w14:paraId="16373DB6" w14:textId="77777777" w:rsidR="00E03421" w:rsidRPr="00545EC0" w:rsidRDefault="00E03421" w:rsidP="00DD37C5">
      <w:pPr>
        <w:pStyle w:val="podnaslov0"/>
        <w:numPr>
          <w:ilvl w:val="0"/>
          <w:numId w:val="116"/>
        </w:numPr>
        <w:spacing w:before="0" w:after="0"/>
        <w:ind w:left="714" w:hanging="357"/>
        <w:rPr>
          <w:bCs/>
        </w:rPr>
      </w:pPr>
      <w:r w:rsidRPr="00545EC0">
        <w:rPr>
          <w:b w:val="0"/>
          <w:bCs/>
        </w:rPr>
        <w:t xml:space="preserve">Za količinsko stanje ni podrobnejše opredelitve okoljskih ciljev kot jo podaja osnovna opredelitev iz </w:t>
      </w:r>
      <w:r w:rsidR="00974001" w:rsidRPr="00545EC0">
        <w:rPr>
          <w:b w:val="0"/>
          <w:bCs/>
        </w:rPr>
        <w:t>predpisa, ki ureja stanje podzemnih voda</w:t>
      </w:r>
      <w:r w:rsidRPr="00545EC0">
        <w:rPr>
          <w:b w:val="0"/>
          <w:bCs/>
        </w:rPr>
        <w:t>.</w:t>
      </w:r>
    </w:p>
    <w:p w14:paraId="4514A1CA" w14:textId="77777777" w:rsidR="00EE3F10" w:rsidRPr="00545EC0" w:rsidRDefault="00EE3F10" w:rsidP="00DD37C5">
      <w:pPr>
        <w:pStyle w:val="podnaslov0"/>
        <w:numPr>
          <w:ilvl w:val="0"/>
          <w:numId w:val="116"/>
        </w:numPr>
        <w:spacing w:before="0" w:after="0"/>
        <w:ind w:left="714" w:hanging="357"/>
        <w:rPr>
          <w:bCs/>
        </w:rPr>
      </w:pPr>
    </w:p>
    <w:p w14:paraId="60472FDB" w14:textId="58E4300F" w:rsidR="00DC4176" w:rsidRPr="00545EC0" w:rsidRDefault="00DC4176" w:rsidP="003122F4">
      <w:pPr>
        <w:pStyle w:val="podnaslov0"/>
        <w:spacing w:before="0" w:after="0"/>
        <w:rPr>
          <w:b w:val="0"/>
        </w:rPr>
      </w:pPr>
      <w:r w:rsidRPr="00545EC0">
        <w:rPr>
          <w:b w:val="0"/>
        </w:rPr>
        <w:t>Cilji za podzemne vode v globokih vodonosnikih</w:t>
      </w:r>
      <w:r w:rsidR="00EE3F10" w:rsidRPr="00545EC0">
        <w:rPr>
          <w:b w:val="0"/>
        </w:rPr>
        <w:t>:</w:t>
      </w:r>
    </w:p>
    <w:p w14:paraId="2603C781" w14:textId="77777777" w:rsidR="00E03421" w:rsidRPr="00545EC0" w:rsidRDefault="00E03421" w:rsidP="00DD37C5">
      <w:pPr>
        <w:pStyle w:val="podnaslov0"/>
        <w:numPr>
          <w:ilvl w:val="0"/>
          <w:numId w:val="116"/>
        </w:numPr>
        <w:spacing w:before="0" w:after="0"/>
        <w:ind w:left="714" w:hanging="357"/>
        <w:rPr>
          <w:bCs/>
        </w:rPr>
      </w:pPr>
      <w:r w:rsidRPr="00545EC0">
        <w:rPr>
          <w:b w:val="0"/>
          <w:bCs/>
        </w:rPr>
        <w:t>Podrobnejše cilje je smiselno opredeliti za posamezna vodna telesa podzemnih vod ali pa njihove dele, predvsem za globoke vodonosnike, ki predstavljajo posebnosti zaradi strateških rezerv pitne vode, možnosti slanih ali drugih vdorov, zahtevnega izvajanja monitoringa zaradi velikih globin ali dolgoročnosti sprememb ter s tem povezanih tveganj.</w:t>
      </w:r>
    </w:p>
    <w:p w14:paraId="0B9A6CE0" w14:textId="77777777" w:rsidR="00EE3F10" w:rsidRPr="00545EC0" w:rsidRDefault="00EE3F10" w:rsidP="003122F4">
      <w:pPr>
        <w:pStyle w:val="podnaslov0"/>
        <w:spacing w:before="0" w:after="0"/>
        <w:ind w:left="714"/>
        <w:rPr>
          <w:bCs/>
        </w:rPr>
      </w:pPr>
    </w:p>
    <w:p w14:paraId="6CA1FFC3" w14:textId="61EDD393" w:rsidR="00EE3F10" w:rsidRPr="00545EC0" w:rsidRDefault="00E03421" w:rsidP="00626988">
      <w:pPr>
        <w:pStyle w:val="podnaslov0"/>
      </w:pPr>
      <w:bookmarkStart w:id="618" w:name="_Toc419099289"/>
      <w:bookmarkStart w:id="619" w:name="_Toc366228556"/>
      <w:bookmarkStart w:id="620" w:name="_Toc273638166"/>
      <w:r w:rsidRPr="00545EC0">
        <w:t>Cilji na območjih s posebnimi zahtevami</w:t>
      </w:r>
      <w:bookmarkEnd w:id="618"/>
      <w:bookmarkEnd w:id="619"/>
      <w:bookmarkEnd w:id="620"/>
    </w:p>
    <w:p w14:paraId="54DD0A9C" w14:textId="3E4F789C" w:rsidR="00712003" w:rsidRPr="00545EC0" w:rsidRDefault="00712003" w:rsidP="00712003">
      <w:pPr>
        <w:rPr>
          <w:rFonts w:cs="Arial"/>
        </w:rPr>
      </w:pPr>
      <w:bookmarkStart w:id="621" w:name="_Toc366228557"/>
      <w:r w:rsidRPr="00545EC0">
        <w:rPr>
          <w:rFonts w:cs="Arial"/>
        </w:rPr>
        <w:t xml:space="preserve">Na VT ali njihovih prispevnih površinah se lahko razprostirajo različna območja s posebnimi zahtevami. Za nekatera območja so z namenom njihovega varovanja vzpostavljeni posebni režimi in/ali dodatni </w:t>
      </w:r>
      <w:r w:rsidR="00D2780B" w:rsidRPr="00545EC0">
        <w:rPr>
          <w:rFonts w:cs="Arial"/>
        </w:rPr>
        <w:t>strožji</w:t>
      </w:r>
      <w:r w:rsidRPr="00545EC0">
        <w:rPr>
          <w:rFonts w:cs="Arial"/>
        </w:rPr>
        <w:t xml:space="preserve"> kriteriji v </w:t>
      </w:r>
      <w:r w:rsidR="00D2780B" w:rsidRPr="00545EC0">
        <w:rPr>
          <w:rFonts w:cs="Arial"/>
        </w:rPr>
        <w:t>primerjavi</w:t>
      </w:r>
      <w:r w:rsidRPr="00545EC0">
        <w:rPr>
          <w:rFonts w:cs="Arial"/>
        </w:rPr>
        <w:t xml:space="preserve"> s kriteriji dobrega kemijskega in ekološkega stanja voda. Na podlagi standardov kakovosti, ki predstavljajo dodatne kriterije, so postavljeni cilji za:  </w:t>
      </w:r>
    </w:p>
    <w:p w14:paraId="3EECE940" w14:textId="23364BE4" w:rsidR="00712003" w:rsidRPr="00545EC0" w:rsidRDefault="00712003"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 xml:space="preserve">kopalne vode, ki so določene v skladu </w:t>
      </w:r>
      <w:r w:rsidR="00974001" w:rsidRPr="00545EC0">
        <w:rPr>
          <w:rFonts w:cs="Arial"/>
        </w:rPr>
        <w:t>s</w:t>
      </w:r>
      <w:r w:rsidRPr="00545EC0">
        <w:rPr>
          <w:rFonts w:cs="Arial"/>
        </w:rPr>
        <w:t xml:space="preserve"> predpisom, ki ureja upravljanje </w:t>
      </w:r>
      <w:r w:rsidR="00974001" w:rsidRPr="00545EC0">
        <w:rPr>
          <w:rFonts w:cs="Arial"/>
        </w:rPr>
        <w:t xml:space="preserve">kakovosti </w:t>
      </w:r>
      <w:r w:rsidRPr="00545EC0">
        <w:rPr>
          <w:rFonts w:cs="Arial"/>
        </w:rPr>
        <w:t>kopalnih voda, in na katerih se zasledujeta cilja »ne poslabševati kakovosti kopalne vode« in »doseganje vsaj zadostne kakovosti kopalne vode«</w:t>
      </w:r>
      <w:r w:rsidR="00D83F34" w:rsidRPr="00545EC0">
        <w:rPr>
          <w:rFonts w:cs="Arial"/>
          <w:lang w:val="sl-SI"/>
        </w:rPr>
        <w:t>,</w:t>
      </w:r>
    </w:p>
    <w:p w14:paraId="21BD0947" w14:textId="380715F9" w:rsidR="00712003" w:rsidRPr="00545EC0" w:rsidRDefault="00712003"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ranljiva območja, ki so določena v skladu s predpisom, ki ureja varstvo voda pred onesnaževanjem z nitrati iz kmetijskih virov, in na katerih se zasleduje cilj »doseganje ustrezne kakovosti voda na ranljivih območjih«</w:t>
      </w:r>
      <w:r w:rsidR="00D83F34" w:rsidRPr="00545EC0">
        <w:rPr>
          <w:rFonts w:cs="Arial"/>
          <w:lang w:val="sl-SI"/>
        </w:rPr>
        <w:t>,</w:t>
      </w:r>
    </w:p>
    <w:p w14:paraId="6C19B824" w14:textId="618E3C3B" w:rsidR="00712003" w:rsidRPr="00545EC0" w:rsidRDefault="00712003"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lastRenderedPageBreak/>
        <w:t xml:space="preserve">območja salmonidnih in ciprinidnih voda, v skladu s predpisom ki ureja kakovost površinskih voda za življenje sladkovodnih vrst rib, in na katerih se zasleduje cilj »doseganje ustrezne kakovosti voda na območjih </w:t>
      </w:r>
      <w:r w:rsidR="00D2780B" w:rsidRPr="00545EC0">
        <w:rPr>
          <w:rFonts w:cs="Arial"/>
        </w:rPr>
        <w:t>salmonidnih</w:t>
      </w:r>
      <w:r w:rsidRPr="00545EC0">
        <w:rPr>
          <w:rFonts w:cs="Arial"/>
        </w:rPr>
        <w:t xml:space="preserve"> in ciprinidnih voda« in »ne poslabševati kakovosti voda na območjih </w:t>
      </w:r>
      <w:r w:rsidR="00D2780B" w:rsidRPr="00545EC0">
        <w:rPr>
          <w:rFonts w:cs="Arial"/>
        </w:rPr>
        <w:t>salmonidnih</w:t>
      </w:r>
      <w:r w:rsidRPr="00545EC0">
        <w:rPr>
          <w:rFonts w:cs="Arial"/>
        </w:rPr>
        <w:t xml:space="preserve"> in ciprinidnih voda</w:t>
      </w:r>
      <w:r w:rsidR="00D83F34" w:rsidRPr="00545EC0">
        <w:rPr>
          <w:rFonts w:cs="Arial"/>
          <w:lang w:val="sl-SI"/>
        </w:rPr>
        <w:t>«</w:t>
      </w:r>
      <w:r w:rsidR="00304B50" w:rsidRPr="00545EC0">
        <w:rPr>
          <w:rFonts w:cs="Arial"/>
          <w:lang w:val="sl-SI"/>
        </w:rPr>
        <w:t>.</w:t>
      </w:r>
    </w:p>
    <w:p w14:paraId="31BA24A1" w14:textId="77777777" w:rsidR="00E03421" w:rsidRPr="00545EC0" w:rsidRDefault="00E03421" w:rsidP="0010797F">
      <w:pPr>
        <w:rPr>
          <w:rFonts w:cs="Arial"/>
        </w:rPr>
      </w:pPr>
    </w:p>
    <w:p w14:paraId="4D1C0F87" w14:textId="77777777" w:rsidR="00E03421" w:rsidRPr="00545EC0" w:rsidRDefault="00E03421" w:rsidP="0010797F">
      <w:pPr>
        <w:rPr>
          <w:rFonts w:cs="Arial"/>
        </w:rPr>
      </w:pPr>
      <w:r w:rsidRPr="00545EC0">
        <w:rPr>
          <w:rFonts w:cs="Arial"/>
        </w:rPr>
        <w:t>Za preostala območja s posebnimi zahtevami (ogrožena območja, občutljiva območja, območja varstvenih voda v skladu s predpisi, ki urejajo ribištvo) veljajo posebni režimi. Za ta območja so cilji oblikovani kot obveznost izvedbe ukrepa in se razlikuje od okoljskih ciljev podanih v okviru vodne direktive.</w:t>
      </w:r>
    </w:p>
    <w:p w14:paraId="488C7C1E" w14:textId="77777777" w:rsidR="00E03421" w:rsidRPr="00545EC0" w:rsidRDefault="00E03421" w:rsidP="000A1DB5">
      <w:pPr>
        <w:pStyle w:val="podnaslov0"/>
        <w:rPr>
          <w:b w:val="0"/>
          <w:u w:val="single"/>
        </w:rPr>
      </w:pPr>
      <w:bookmarkStart w:id="622" w:name="_Toc419099290"/>
      <w:r w:rsidRPr="00545EC0">
        <w:rPr>
          <w:b w:val="0"/>
          <w:u w:val="single"/>
        </w:rPr>
        <w:t>Vodovarstvena območja</w:t>
      </w:r>
      <w:bookmarkEnd w:id="621"/>
      <w:bookmarkEnd w:id="622"/>
    </w:p>
    <w:p w14:paraId="68C26CA7" w14:textId="368F2214" w:rsidR="00A22CE8" w:rsidRPr="00545EC0" w:rsidRDefault="00F07473" w:rsidP="00A22CE8">
      <w:pPr>
        <w:rPr>
          <w:rFonts w:cs="Arial"/>
        </w:rPr>
      </w:pPr>
      <w:r w:rsidRPr="00545EC0">
        <w:rPr>
          <w:rFonts w:cs="Arial"/>
        </w:rPr>
        <w:t>Za vodovarstvena območja z</w:t>
      </w:r>
      <w:r w:rsidR="00A22CE8" w:rsidRPr="00545EC0">
        <w:rPr>
          <w:rFonts w:cs="Arial"/>
        </w:rPr>
        <w:t xml:space="preserve">akon o vodah določa, da </w:t>
      </w:r>
      <w:r w:rsidR="008A48EC" w:rsidRPr="00545EC0">
        <w:rPr>
          <w:rFonts w:cs="Arial"/>
        </w:rPr>
        <w:t xml:space="preserve">se </w:t>
      </w:r>
      <w:r w:rsidR="00A22CE8" w:rsidRPr="00545EC0">
        <w:rPr>
          <w:rFonts w:cs="Arial"/>
        </w:rPr>
        <w:t xml:space="preserve">vodno telo, ki se uporablja za odvzem ali je namenjeno za javno oskrbo s pitno vodo pred onesnaževanjem ali drugimi vrstami obremenjevanja, ki bi lahko vplivalo na zdravstveno ustreznost voda ali na njeno količino, </w:t>
      </w:r>
      <w:r w:rsidR="008A48EC" w:rsidRPr="00545EC0">
        <w:rPr>
          <w:rFonts w:cs="Arial"/>
        </w:rPr>
        <w:t xml:space="preserve">zavaruje z </w:t>
      </w:r>
      <w:r w:rsidR="00A22CE8" w:rsidRPr="00545EC0">
        <w:rPr>
          <w:rFonts w:cs="Arial"/>
        </w:rPr>
        <w:t>vodovarstven</w:t>
      </w:r>
      <w:r w:rsidR="008A48EC" w:rsidRPr="00545EC0">
        <w:rPr>
          <w:rFonts w:cs="Arial"/>
        </w:rPr>
        <w:t>im</w:t>
      </w:r>
      <w:r w:rsidR="00A22CE8" w:rsidRPr="00545EC0">
        <w:rPr>
          <w:rFonts w:cs="Arial"/>
        </w:rPr>
        <w:t xml:space="preserve"> območje</w:t>
      </w:r>
      <w:r w:rsidR="008A48EC" w:rsidRPr="00545EC0">
        <w:rPr>
          <w:rFonts w:cs="Arial"/>
        </w:rPr>
        <w:t>m</w:t>
      </w:r>
      <w:r w:rsidR="00A22CE8" w:rsidRPr="00545EC0">
        <w:rPr>
          <w:rFonts w:cs="Arial"/>
        </w:rPr>
        <w:t>.</w:t>
      </w:r>
    </w:p>
    <w:p w14:paraId="05CF4007" w14:textId="77777777" w:rsidR="00A22CE8" w:rsidRPr="00545EC0" w:rsidRDefault="00A22CE8" w:rsidP="00A22CE8">
      <w:pPr>
        <w:rPr>
          <w:rFonts w:cs="Arial"/>
        </w:rPr>
      </w:pPr>
    </w:p>
    <w:p w14:paraId="36EC267C" w14:textId="0600C259" w:rsidR="00E03421" w:rsidRPr="00545EC0" w:rsidRDefault="00E03421" w:rsidP="00A22CE8">
      <w:pPr>
        <w:rPr>
          <w:rFonts w:cs="Arial"/>
        </w:rPr>
      </w:pPr>
      <w:r w:rsidRPr="00545EC0">
        <w:rPr>
          <w:rFonts w:cs="Arial"/>
        </w:rPr>
        <w:t>Za ta VT veljajo enaki cilji, kot so določeni</w:t>
      </w:r>
      <w:r w:rsidR="00974001" w:rsidRPr="00545EC0">
        <w:rPr>
          <w:rFonts w:cs="Arial"/>
        </w:rPr>
        <w:t xml:space="preserve"> s predpisom, ki ureja stanje podzemnih voda</w:t>
      </w:r>
      <w:r w:rsidR="00D2780B" w:rsidRPr="00545EC0">
        <w:rPr>
          <w:rFonts w:cs="Arial"/>
        </w:rPr>
        <w:t xml:space="preserve"> </w:t>
      </w:r>
      <w:r w:rsidRPr="00545EC0">
        <w:rPr>
          <w:rFonts w:cs="Arial"/>
        </w:rPr>
        <w:t xml:space="preserve">in </w:t>
      </w:r>
      <w:r w:rsidR="00974001" w:rsidRPr="00545EC0">
        <w:rPr>
          <w:rFonts w:cs="Arial"/>
        </w:rPr>
        <w:t>s predpisom, ki ureja stanje površinskih voda.</w:t>
      </w:r>
      <w:r w:rsidR="00974001" w:rsidRPr="00545EC0" w:rsidDel="00974001">
        <w:rPr>
          <w:rFonts w:cs="Arial"/>
        </w:rPr>
        <w:t xml:space="preserve"> </w:t>
      </w:r>
      <w:r w:rsidRPr="00545EC0">
        <w:rPr>
          <w:rFonts w:cs="Arial"/>
        </w:rPr>
        <w:t>Zagotavljanje dobrega kemijskega stanja na vodovarstvenih območjih je preprečitev kakršnihkoli zaznavnih sprememb podzemne vode na zajetjih zaradi uvajanja novih posegov v prostor. Za določene nove posege v prostor, ki lahko predstavljajo nevarnost onesnaženja vodnega vira, je potrebno ugotavljati relativno občutljivost vodnega vira na poseg in načrtovati dodatne zaščitne ukrepe za preprečitev morebitnih zaznavnih vplivov.</w:t>
      </w:r>
    </w:p>
    <w:p w14:paraId="1C8D432F" w14:textId="77777777" w:rsidR="00E03421" w:rsidRPr="00545EC0" w:rsidRDefault="00E03421" w:rsidP="000A1DB5">
      <w:pPr>
        <w:pStyle w:val="podnaslov0"/>
        <w:rPr>
          <w:b w:val="0"/>
          <w:u w:val="single"/>
        </w:rPr>
      </w:pPr>
      <w:bookmarkStart w:id="623" w:name="_Toc419099291"/>
      <w:bookmarkStart w:id="624" w:name="_Toc366228558"/>
      <w:bookmarkStart w:id="625" w:name="_Ref294770341"/>
      <w:r w:rsidRPr="00545EC0">
        <w:rPr>
          <w:b w:val="0"/>
          <w:u w:val="single"/>
        </w:rPr>
        <w:t>Kopalne vode</w:t>
      </w:r>
      <w:bookmarkEnd w:id="623"/>
      <w:bookmarkEnd w:id="624"/>
      <w:bookmarkEnd w:id="625"/>
    </w:p>
    <w:p w14:paraId="72571745" w14:textId="77777777" w:rsidR="00E03421" w:rsidRPr="00545EC0" w:rsidRDefault="00E03421" w:rsidP="0010797F">
      <w:pPr>
        <w:rPr>
          <w:rFonts w:cs="Arial"/>
        </w:rPr>
      </w:pPr>
      <w:r w:rsidRPr="00545EC0">
        <w:rPr>
          <w:rFonts w:cs="Arial"/>
        </w:rPr>
        <w:t xml:space="preserve">Cilj, ki je vezan na kopalne vode, izhaja iz </w:t>
      </w:r>
      <w:r w:rsidR="00974001" w:rsidRPr="00545EC0">
        <w:rPr>
          <w:rFonts w:cs="Arial"/>
        </w:rPr>
        <w:t>predpisa, ki ureja upravljanje kakovosti kopalnih voda</w:t>
      </w:r>
      <w:r w:rsidRPr="00545EC0">
        <w:rPr>
          <w:rFonts w:cs="Arial"/>
        </w:rPr>
        <w:t>. Naveden</w:t>
      </w:r>
      <w:r w:rsidR="00974001" w:rsidRPr="00545EC0">
        <w:rPr>
          <w:rFonts w:cs="Arial"/>
        </w:rPr>
        <w:t xml:space="preserve"> predpis</w:t>
      </w:r>
      <w:r w:rsidRPr="00545EC0">
        <w:rPr>
          <w:rFonts w:cs="Arial"/>
        </w:rPr>
        <w:t xml:space="preserve">  določa mikrobiološke parametre in njihove mejne vrednosti za ugotavljanje kakovosti kopalne. Kopalne vode se na osnovi teh mejnih vrednosti razvršča v štiri razrede, in sicer v razred odlična, dobra, zadovoljiva in slaba kakovost kopalne vode.</w:t>
      </w:r>
      <w:r w:rsidRPr="00545EC0">
        <w:rPr>
          <w:rFonts w:cs="Arial"/>
          <w:bCs/>
        </w:rPr>
        <w:t xml:space="preserve"> Za VT, kjer so prisotne kopalne vode, ti okoljski standardi kakovosti predstavljajo dodatne in strožje kriterije v primerjavi s kriteriji za doseganje dobrega stanja površinskih voda.</w:t>
      </w:r>
    </w:p>
    <w:p w14:paraId="1224B0EC" w14:textId="77777777" w:rsidR="00E03421" w:rsidRPr="00545EC0" w:rsidRDefault="00E03421" w:rsidP="0010797F">
      <w:pPr>
        <w:rPr>
          <w:rFonts w:cs="Arial"/>
        </w:rPr>
      </w:pPr>
    </w:p>
    <w:p w14:paraId="24A41525" w14:textId="0465BCA3" w:rsidR="0052327D" w:rsidRPr="00545EC0" w:rsidRDefault="0052327D" w:rsidP="0052327D">
      <w:pPr>
        <w:rPr>
          <w:rFonts w:cs="Arial"/>
        </w:rPr>
      </w:pPr>
      <w:r w:rsidRPr="00545EC0">
        <w:rPr>
          <w:rFonts w:cs="Arial"/>
        </w:rPr>
        <w:t>Cilja za kopalne vode, ki sta tako postavljena na osnovi doseganja s</w:t>
      </w:r>
      <w:r w:rsidRPr="00545EC0">
        <w:rPr>
          <w:rFonts w:cs="Arial"/>
          <w:bCs/>
        </w:rPr>
        <w:t>tandardov kakovosti za mikrobiološke parametre, sta</w:t>
      </w:r>
      <w:r w:rsidRPr="00545EC0">
        <w:rPr>
          <w:rFonts w:cs="Arial"/>
        </w:rPr>
        <w:t xml:space="preserve"> »ne poslabševati kakovosti kopalne vode« in »doseganje vsaj zadostne kakovosti kopalne vode«. Za kopalne vode, za katere se predvideva, da bodo v letu 2021 razvrščene v razred dobre ali odlične kakovosti, je postavljen cilj »ne poslabševati kakovosti kopalne vode«. Cilj je postavljen z namenom, da se kakovost kopalne vode ne bi poslabšala oziroma</w:t>
      </w:r>
      <w:r w:rsidR="00DD62AF" w:rsidRPr="00545EC0">
        <w:rPr>
          <w:rFonts w:cs="Arial"/>
        </w:rPr>
        <w:t>,</w:t>
      </w:r>
      <w:r w:rsidRPr="00545EC0">
        <w:rPr>
          <w:rFonts w:cs="Arial"/>
        </w:rPr>
        <w:t xml:space="preserve"> da se kakovost kopalne vode ohrani. </w:t>
      </w:r>
    </w:p>
    <w:p w14:paraId="3A58F90C" w14:textId="77777777" w:rsidR="008A48EC" w:rsidRPr="00545EC0" w:rsidRDefault="008A48EC" w:rsidP="0052327D">
      <w:pPr>
        <w:rPr>
          <w:rFonts w:cs="Arial"/>
        </w:rPr>
      </w:pPr>
    </w:p>
    <w:p w14:paraId="45CBE3E3" w14:textId="77777777" w:rsidR="0052327D" w:rsidRPr="00545EC0" w:rsidRDefault="0052327D" w:rsidP="0052327D">
      <w:pPr>
        <w:rPr>
          <w:rFonts w:cs="Arial"/>
        </w:rPr>
      </w:pPr>
      <w:r w:rsidRPr="00545EC0">
        <w:rPr>
          <w:rFonts w:cs="Arial"/>
        </w:rPr>
        <w:t xml:space="preserve">Za kopalne vode, za katere se predvideva razvrstitev v razred zadostne kakovosti, je potrebno sprejeti realne in sorazmerne ukrepe, s katerimi se zagotovi povečanje števila kopalnih voda razvrščenih v dober ali odličen razred </w:t>
      </w:r>
      <w:r w:rsidR="00D2780B" w:rsidRPr="00545EC0">
        <w:rPr>
          <w:rFonts w:cs="Arial"/>
        </w:rPr>
        <w:t>kakovosti</w:t>
      </w:r>
      <w:r w:rsidRPr="00545EC0">
        <w:rPr>
          <w:rFonts w:cs="Arial"/>
        </w:rPr>
        <w:t xml:space="preserve">. Cilj za </w:t>
      </w:r>
      <w:r w:rsidR="00D2780B" w:rsidRPr="00545EC0">
        <w:rPr>
          <w:rFonts w:cs="Arial"/>
        </w:rPr>
        <w:t>kopalne</w:t>
      </w:r>
      <w:r w:rsidRPr="00545EC0">
        <w:rPr>
          <w:rFonts w:cs="Arial"/>
        </w:rPr>
        <w:t xml:space="preserve"> vode </w:t>
      </w:r>
      <w:r w:rsidR="00D2780B" w:rsidRPr="00545EC0">
        <w:rPr>
          <w:rFonts w:cs="Arial"/>
        </w:rPr>
        <w:t>zadostne</w:t>
      </w:r>
      <w:r w:rsidRPr="00545EC0">
        <w:rPr>
          <w:rFonts w:cs="Arial"/>
        </w:rPr>
        <w:t xml:space="preserve"> </w:t>
      </w:r>
      <w:r w:rsidR="00D2780B" w:rsidRPr="00545EC0">
        <w:rPr>
          <w:rFonts w:cs="Arial"/>
        </w:rPr>
        <w:t>kakovosti</w:t>
      </w:r>
      <w:r w:rsidRPr="00545EC0">
        <w:rPr>
          <w:rFonts w:cs="Arial"/>
        </w:rPr>
        <w:t xml:space="preserve"> je »dosegati najmanj dobro kakovost kopalne vode«.</w:t>
      </w:r>
    </w:p>
    <w:p w14:paraId="39F26530" w14:textId="77777777" w:rsidR="00E03421" w:rsidRPr="00545EC0" w:rsidRDefault="00E03421" w:rsidP="000A1DB5">
      <w:pPr>
        <w:pStyle w:val="podnaslov0"/>
        <w:rPr>
          <w:b w:val="0"/>
          <w:u w:val="single"/>
        </w:rPr>
      </w:pPr>
      <w:bookmarkStart w:id="626" w:name="_Toc419099292"/>
      <w:bookmarkStart w:id="627" w:name="_Toc366228559"/>
      <w:r w:rsidRPr="00545EC0">
        <w:rPr>
          <w:b w:val="0"/>
          <w:u w:val="single"/>
        </w:rPr>
        <w:t>Ogrožena območja</w:t>
      </w:r>
      <w:bookmarkEnd w:id="626"/>
      <w:bookmarkEnd w:id="627"/>
    </w:p>
    <w:p w14:paraId="2320C798" w14:textId="77777777" w:rsidR="00E03421" w:rsidRPr="00545EC0" w:rsidRDefault="00E03421" w:rsidP="0010797F">
      <w:pPr>
        <w:rPr>
          <w:rFonts w:cs="Arial"/>
        </w:rPr>
      </w:pPr>
      <w:r w:rsidRPr="00545EC0">
        <w:rPr>
          <w:rFonts w:cs="Arial"/>
        </w:rPr>
        <w:t xml:space="preserve">Z namenom zagotavljanja varstva pred škodljivim delovanjem voda so na ogroženih območjih z določbami </w:t>
      </w:r>
      <w:r w:rsidR="008A2CC5" w:rsidRPr="00545EC0">
        <w:rPr>
          <w:rFonts w:cs="Arial"/>
        </w:rPr>
        <w:t>z</w:t>
      </w:r>
      <w:r w:rsidRPr="00545EC0">
        <w:rPr>
          <w:rFonts w:cs="Arial"/>
        </w:rPr>
        <w:t>akona o vodah predvideni naslednji cilji:</w:t>
      </w:r>
    </w:p>
    <w:p w14:paraId="3B95CDF0" w14:textId="77777777" w:rsidR="00E03421" w:rsidRPr="00545EC0" w:rsidRDefault="00E03421"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 xml:space="preserve">določitev ogroženih območij, </w:t>
      </w:r>
    </w:p>
    <w:p w14:paraId="7D0A411B" w14:textId="02E2C9A7" w:rsidR="00E03421" w:rsidRPr="00545EC0" w:rsidRDefault="00E03421"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lastRenderedPageBreak/>
        <w:t>razvrstitev zemljišč na ogroženem območju v razrede glede na stopnjo ogroženosti</w:t>
      </w:r>
      <w:r w:rsidR="00DD62AF" w:rsidRPr="00545EC0">
        <w:rPr>
          <w:rFonts w:cs="Arial"/>
          <w:lang w:val="sl-SI"/>
        </w:rPr>
        <w:t xml:space="preserve"> in</w:t>
      </w:r>
    </w:p>
    <w:p w14:paraId="0D70AF9C" w14:textId="77777777" w:rsidR="00E03421" w:rsidRPr="00545EC0" w:rsidRDefault="00E03421"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upoštevanje pogojev in omejitev za izvajanje dejavnosti ali poseganje v prostor na ogroženem območju.</w:t>
      </w:r>
    </w:p>
    <w:p w14:paraId="370D9E75" w14:textId="77777777" w:rsidR="00E03421" w:rsidRPr="00545EC0" w:rsidRDefault="00E03421" w:rsidP="0010797F">
      <w:pPr>
        <w:rPr>
          <w:rFonts w:cs="Arial"/>
        </w:rPr>
      </w:pPr>
    </w:p>
    <w:p w14:paraId="2084BD7B" w14:textId="0BA49C2C" w:rsidR="00E03421" w:rsidRPr="00545EC0" w:rsidRDefault="00304B50" w:rsidP="0010797F">
      <w:pPr>
        <w:rPr>
          <w:rFonts w:cs="Arial"/>
        </w:rPr>
      </w:pPr>
      <w:r w:rsidRPr="00545EC0">
        <w:rPr>
          <w:rFonts w:cs="Arial"/>
        </w:rPr>
        <w:t>Prva dva cilja se na območjih</w:t>
      </w:r>
      <w:r w:rsidR="00E03421" w:rsidRPr="00545EC0">
        <w:rPr>
          <w:rFonts w:cs="Arial"/>
        </w:rPr>
        <w:t xml:space="preserve"> ogroženih zaradi poplav in z njimi povezane erozije od leta 2007 dosegata z izvajanjem določb </w:t>
      </w:r>
      <w:r w:rsidR="00E04ED6" w:rsidRPr="00545EC0">
        <w:rPr>
          <w:rFonts w:cs="Arial"/>
        </w:rPr>
        <w:t>iz predpisa, ki ureja metodologijo za določanje območij, ogroženih zaradi poplav in z njimi povezane erozije celinskih voda in morja, ter o načinu razvrščanja zemljišč v razrede ogroženosti</w:t>
      </w:r>
      <w:r w:rsidR="00E03421" w:rsidRPr="00545EC0">
        <w:rPr>
          <w:rFonts w:cs="Arial"/>
        </w:rPr>
        <w:t>, ki v 3. členu opredeljuje naslednje cilje določanja poplavnih in erozijskih območij:</w:t>
      </w:r>
    </w:p>
    <w:p w14:paraId="1F65DC65" w14:textId="77777777" w:rsidR="00E03421" w:rsidRPr="00545EC0" w:rsidRDefault="00E03421"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 xml:space="preserve">ocena poplavnih in erozijskih razmer na določenem območju,  </w:t>
      </w:r>
    </w:p>
    <w:p w14:paraId="21C4D7D3" w14:textId="66F92D7F" w:rsidR="00E03421" w:rsidRPr="00545EC0" w:rsidRDefault="00E03421"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načrtovanje ukrepov za zmanjševanje poplavne in erozijske ogroženosti</w:t>
      </w:r>
      <w:r w:rsidR="00DD62AF" w:rsidRPr="00545EC0">
        <w:rPr>
          <w:rFonts w:cs="Arial"/>
          <w:lang w:val="sl-SI"/>
        </w:rPr>
        <w:t>,</w:t>
      </w:r>
      <w:r w:rsidRPr="00545EC0">
        <w:rPr>
          <w:rFonts w:cs="Arial"/>
        </w:rPr>
        <w:t xml:space="preserve"> </w:t>
      </w:r>
    </w:p>
    <w:p w14:paraId="179877EC" w14:textId="77777777" w:rsidR="00E03421" w:rsidRPr="00545EC0" w:rsidRDefault="00E03421"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 xml:space="preserve">načrtovanje rabe prostora, </w:t>
      </w:r>
    </w:p>
    <w:p w14:paraId="4F3D4A09" w14:textId="77777777" w:rsidR="00E03421" w:rsidRPr="00545EC0" w:rsidRDefault="00E03421"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 xml:space="preserve">načrtovanje ukrepov zaščite in reševanja ob poplavah, </w:t>
      </w:r>
    </w:p>
    <w:p w14:paraId="7D4E2909" w14:textId="7926F7B1" w:rsidR="00E03421" w:rsidRPr="00545EC0" w:rsidRDefault="00E03421"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 xml:space="preserve">ozaveščanje javnosti glede poplavne in erozijske nevarnosti oziroma ogroženosti </w:t>
      </w:r>
      <w:r w:rsidR="00DD62AF" w:rsidRPr="00545EC0">
        <w:rPr>
          <w:rFonts w:cs="Arial"/>
          <w:lang w:val="sl-SI"/>
        </w:rPr>
        <w:t>in</w:t>
      </w:r>
    </w:p>
    <w:p w14:paraId="3A894272" w14:textId="77777777" w:rsidR="00E03421" w:rsidRPr="00545EC0" w:rsidRDefault="00E03421"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izvajanje mednarodnih obveznosti.</w:t>
      </w:r>
    </w:p>
    <w:p w14:paraId="3EC6D2C6" w14:textId="77777777" w:rsidR="00E03421" w:rsidRPr="00545EC0" w:rsidRDefault="00E03421" w:rsidP="0010797F">
      <w:pPr>
        <w:rPr>
          <w:rFonts w:cs="Arial"/>
        </w:rPr>
      </w:pPr>
    </w:p>
    <w:p w14:paraId="6C90DB15" w14:textId="77777777" w:rsidR="00E03421" w:rsidRPr="00545EC0" w:rsidRDefault="00E03421" w:rsidP="0010797F">
      <w:pPr>
        <w:rPr>
          <w:rFonts w:cs="Arial"/>
        </w:rPr>
      </w:pPr>
      <w:r w:rsidRPr="00545EC0">
        <w:rPr>
          <w:rFonts w:cs="Arial"/>
        </w:rPr>
        <w:t xml:space="preserve">Tretji cilj iz določb </w:t>
      </w:r>
      <w:r w:rsidR="00E04ED6" w:rsidRPr="00545EC0">
        <w:rPr>
          <w:rFonts w:cs="Arial"/>
        </w:rPr>
        <w:t>z</w:t>
      </w:r>
      <w:r w:rsidRPr="00545EC0">
        <w:rPr>
          <w:rFonts w:cs="Arial"/>
        </w:rPr>
        <w:t xml:space="preserve">akona o vodah pa se od leta 2008 dosega z izvajanjem </w:t>
      </w:r>
      <w:r w:rsidR="00974001" w:rsidRPr="00545EC0">
        <w:rPr>
          <w:rFonts w:cs="Arial"/>
        </w:rPr>
        <w:t>predpisa, ki ureja pogoje in omejitve za izvajanje dejavnosti in posegov v prostor na območjih, ogroženih zaradi poplav in z njimi povezane erozije celinskih voda in morja</w:t>
      </w:r>
      <w:r w:rsidRPr="00545EC0">
        <w:rPr>
          <w:rFonts w:cs="Arial"/>
        </w:rPr>
        <w:t>, ki v 2. členu opredeljuje naslednje cilje pogojev in omejitev:</w:t>
      </w:r>
    </w:p>
    <w:p w14:paraId="0C3196B7" w14:textId="77777777" w:rsidR="00E03421" w:rsidRPr="00545EC0" w:rsidRDefault="00E03421" w:rsidP="00DD37C5">
      <w:pPr>
        <w:numPr>
          <w:ilvl w:val="0"/>
          <w:numId w:val="30"/>
        </w:numPr>
        <w:tabs>
          <w:tab w:val="left" w:pos="851"/>
        </w:tabs>
        <w:overflowPunct/>
        <w:autoSpaceDE/>
        <w:autoSpaceDN/>
        <w:adjustRightInd/>
        <w:ind w:left="851" w:hanging="491"/>
        <w:contextualSpacing/>
        <w:textAlignment w:val="auto"/>
        <w:rPr>
          <w:rFonts w:cs="Arial"/>
          <w:szCs w:val="20"/>
          <w:lang w:eastAsia="x-none"/>
        </w:rPr>
      </w:pPr>
      <w:r w:rsidRPr="00545EC0">
        <w:rPr>
          <w:rFonts w:cs="Arial"/>
          <w:szCs w:val="20"/>
          <w:lang w:eastAsia="x-none"/>
        </w:rPr>
        <w:t xml:space="preserve">zmanjševanje poplavne in erozijske ogroženosti prebivalcev, gospodarskih dejavnosti in kulturne dediščine, v skladu s predpisi o vodah in s predpisi o varstvu pred naravnimi in drugimi nesrečami, </w:t>
      </w:r>
    </w:p>
    <w:p w14:paraId="656F951D" w14:textId="77777777" w:rsidR="00E03421" w:rsidRPr="00545EC0" w:rsidRDefault="00E03421" w:rsidP="00DD37C5">
      <w:pPr>
        <w:numPr>
          <w:ilvl w:val="0"/>
          <w:numId w:val="30"/>
        </w:numPr>
        <w:tabs>
          <w:tab w:val="left" w:pos="851"/>
        </w:tabs>
        <w:overflowPunct/>
        <w:autoSpaceDE/>
        <w:autoSpaceDN/>
        <w:adjustRightInd/>
        <w:ind w:left="851" w:hanging="491"/>
        <w:contextualSpacing/>
        <w:textAlignment w:val="auto"/>
        <w:rPr>
          <w:rFonts w:cs="Arial"/>
          <w:szCs w:val="20"/>
          <w:lang w:eastAsia="x-none"/>
        </w:rPr>
      </w:pPr>
      <w:r w:rsidRPr="00545EC0">
        <w:rPr>
          <w:rFonts w:cs="Arial"/>
          <w:szCs w:val="20"/>
          <w:lang w:eastAsia="x-none"/>
        </w:rPr>
        <w:t xml:space="preserve">ohranitev vodnega in obvodnega prostora, potrebnega za poplavne in erozijske procese, </w:t>
      </w:r>
    </w:p>
    <w:p w14:paraId="04B860F1" w14:textId="77777777" w:rsidR="00E03421" w:rsidRPr="00545EC0" w:rsidRDefault="00E03421" w:rsidP="00DD37C5">
      <w:pPr>
        <w:numPr>
          <w:ilvl w:val="0"/>
          <w:numId w:val="30"/>
        </w:numPr>
        <w:tabs>
          <w:tab w:val="left" w:pos="851"/>
        </w:tabs>
        <w:overflowPunct/>
        <w:autoSpaceDE/>
        <w:autoSpaceDN/>
        <w:adjustRightInd/>
        <w:ind w:left="851" w:hanging="491"/>
        <w:contextualSpacing/>
        <w:textAlignment w:val="auto"/>
        <w:rPr>
          <w:rFonts w:cs="Arial"/>
          <w:szCs w:val="20"/>
          <w:lang w:eastAsia="x-none"/>
        </w:rPr>
      </w:pPr>
      <w:r w:rsidRPr="00545EC0">
        <w:rPr>
          <w:rFonts w:cs="Arial"/>
          <w:szCs w:val="20"/>
          <w:lang w:eastAsia="x-none"/>
        </w:rPr>
        <w:t>zagotavljanje okoljskih ciljev na območjih poplav in erozije v skladu s predpisi o varstvu okolja in s predpisi vodah.</w:t>
      </w:r>
    </w:p>
    <w:p w14:paraId="306BA424" w14:textId="77777777" w:rsidR="00E03421" w:rsidRPr="00545EC0" w:rsidRDefault="00E03421" w:rsidP="0010797F">
      <w:pPr>
        <w:rPr>
          <w:rFonts w:cs="Arial"/>
        </w:rPr>
      </w:pPr>
    </w:p>
    <w:p w14:paraId="2C84C176" w14:textId="5C7109C3" w:rsidR="00E03421" w:rsidRPr="00545EC0" w:rsidRDefault="00E03421" w:rsidP="0010797F">
      <w:pPr>
        <w:rPr>
          <w:rFonts w:cs="Arial"/>
        </w:rPr>
      </w:pPr>
      <w:r w:rsidRPr="00545EC0">
        <w:rPr>
          <w:rFonts w:cs="Arial"/>
        </w:rPr>
        <w:t xml:space="preserve">Za plazljiva </w:t>
      </w:r>
      <w:r w:rsidR="00304B50" w:rsidRPr="00545EC0">
        <w:rPr>
          <w:rFonts w:cs="Arial"/>
        </w:rPr>
        <w:t>in plazovita območja in območja</w:t>
      </w:r>
      <w:r w:rsidRPr="00545EC0">
        <w:rPr>
          <w:rFonts w:cs="Arial"/>
        </w:rPr>
        <w:t xml:space="preserve"> ogrožena zaradi površinske erozije še niso pripravljeni ustrezni podzakonski akti, ki bi podrobneje predpisovali cilje, vendar pa tudi za ta območja veljajo splošni cilji iz </w:t>
      </w:r>
      <w:r w:rsidR="0016738C" w:rsidRPr="00545EC0">
        <w:rPr>
          <w:rFonts w:cs="Arial"/>
        </w:rPr>
        <w:t>z</w:t>
      </w:r>
      <w:r w:rsidRPr="00545EC0">
        <w:rPr>
          <w:rFonts w:cs="Arial"/>
        </w:rPr>
        <w:t>akona o vodah.</w:t>
      </w:r>
    </w:p>
    <w:p w14:paraId="7BFE912C" w14:textId="77777777" w:rsidR="00E03421" w:rsidRPr="00545EC0" w:rsidRDefault="00E03421" w:rsidP="000A1DB5">
      <w:pPr>
        <w:pStyle w:val="podnaslov0"/>
        <w:rPr>
          <w:b w:val="0"/>
          <w:u w:val="single"/>
        </w:rPr>
      </w:pPr>
      <w:bookmarkStart w:id="628" w:name="_Toc419099293"/>
      <w:bookmarkStart w:id="629" w:name="_Toc366228560"/>
      <w:r w:rsidRPr="00545EC0">
        <w:rPr>
          <w:b w:val="0"/>
          <w:u w:val="single"/>
        </w:rPr>
        <w:t>Občutljiva območja</w:t>
      </w:r>
      <w:bookmarkEnd w:id="628"/>
      <w:bookmarkEnd w:id="629"/>
    </w:p>
    <w:p w14:paraId="701445DC" w14:textId="7790768C" w:rsidR="00A2374E" w:rsidRPr="00545EC0" w:rsidRDefault="00A2374E" w:rsidP="00A2374E">
      <w:pPr>
        <w:rPr>
          <w:rFonts w:cs="Arial"/>
        </w:rPr>
      </w:pPr>
      <w:r w:rsidRPr="00545EC0">
        <w:rPr>
          <w:rFonts w:cs="Arial"/>
        </w:rPr>
        <w:t xml:space="preserve">Glede na </w:t>
      </w:r>
      <w:r w:rsidR="003F265D" w:rsidRPr="00545EC0">
        <w:rPr>
          <w:rFonts w:cs="Arial"/>
        </w:rPr>
        <w:t xml:space="preserve">predpis, ki ureja emisijo snovi pri odvajanju odpadne vode iz komunalnih čistilnih naprav, </w:t>
      </w:r>
      <w:r w:rsidRPr="00545EC0">
        <w:rPr>
          <w:rFonts w:cs="Arial"/>
        </w:rPr>
        <w:t xml:space="preserve">je občutljivo območje VTPV ali njegov del (i), pri katerem je mogoče ugotoviti ali pričakovati njegovo evtrofikacijo in (ii) ki je na območju, kjer je treba zagotavljati izpolnjevanje obveznosti iz predpisov, ki urejajo upravljanje kopalnih voda. </w:t>
      </w:r>
    </w:p>
    <w:p w14:paraId="54C8F2F2" w14:textId="77777777" w:rsidR="00A2374E" w:rsidRPr="00545EC0" w:rsidRDefault="00A2374E" w:rsidP="00A2374E">
      <w:pPr>
        <w:rPr>
          <w:rFonts w:cs="Arial"/>
        </w:rPr>
      </w:pPr>
    </w:p>
    <w:p w14:paraId="3C1D08A7" w14:textId="77777777" w:rsidR="00A2374E" w:rsidRPr="00545EC0" w:rsidRDefault="00A2374E" w:rsidP="00A2374E">
      <w:pPr>
        <w:rPr>
          <w:rFonts w:cs="Arial"/>
        </w:rPr>
      </w:pPr>
      <w:r w:rsidRPr="00545EC0">
        <w:rPr>
          <w:rFonts w:cs="Arial"/>
        </w:rPr>
        <w:t xml:space="preserve">Na občutljivih območjih je cilj v skladu s prepisi, ki urejajo odvajanje in čiščenje odpadne komunalne vode, zagotavljanje odvajanja in čiščenja komunalne odpadne vode, pri čemer so določene strožje zahteve glede čiščenja komunalne odpadne vode kot na območjih, ki niso določena kot občutljiva. Cilj je torej oblikovan kot obveznost izvedbe ukrepa in se razlikuje od okoljskih ciljev podanih v okviru vodne direktive. </w:t>
      </w:r>
    </w:p>
    <w:p w14:paraId="40E1C73C" w14:textId="77777777" w:rsidR="00E03421" w:rsidRPr="00545EC0" w:rsidRDefault="00E03421" w:rsidP="000A1DB5">
      <w:pPr>
        <w:pStyle w:val="podnaslov0"/>
        <w:rPr>
          <w:b w:val="0"/>
          <w:u w:val="single"/>
        </w:rPr>
      </w:pPr>
      <w:bookmarkStart w:id="630" w:name="_Toc419099294"/>
      <w:bookmarkStart w:id="631" w:name="_Toc366228561"/>
      <w:r w:rsidRPr="00545EC0">
        <w:rPr>
          <w:b w:val="0"/>
          <w:u w:val="single"/>
        </w:rPr>
        <w:t>Ranljiva območja</w:t>
      </w:r>
      <w:bookmarkEnd w:id="630"/>
      <w:bookmarkEnd w:id="631"/>
    </w:p>
    <w:p w14:paraId="30A51719" w14:textId="7C20CA99" w:rsidR="00E03421" w:rsidRPr="00545EC0" w:rsidRDefault="00E03421" w:rsidP="0010797F">
      <w:pPr>
        <w:rPr>
          <w:rFonts w:cs="Arial"/>
        </w:rPr>
      </w:pPr>
      <w:r w:rsidRPr="00545EC0">
        <w:rPr>
          <w:rFonts w:cs="Arial"/>
        </w:rPr>
        <w:t xml:space="preserve">Ranljiva območja so določena v skladu s predpisom, ki ureja varstvo voda pred onesnaževanjem z nitrati iz </w:t>
      </w:r>
      <w:r w:rsidR="00D2780B" w:rsidRPr="00545EC0">
        <w:rPr>
          <w:rFonts w:cs="Arial"/>
        </w:rPr>
        <w:t>kmetijskih</w:t>
      </w:r>
      <w:r w:rsidRPr="00545EC0">
        <w:rPr>
          <w:rFonts w:cs="Arial"/>
        </w:rPr>
        <w:t xml:space="preserve"> virov. Na ranljivih območjih se zasleduje cilj »doseganje ustrezne kakovosti voda na ranljivih območjih«</w:t>
      </w:r>
      <w:r w:rsidR="00304B50" w:rsidRPr="00545EC0">
        <w:rPr>
          <w:rFonts w:cs="Arial"/>
        </w:rPr>
        <w:t>.</w:t>
      </w:r>
      <w:r w:rsidRPr="00545EC0">
        <w:rPr>
          <w:rFonts w:cs="Arial"/>
        </w:rPr>
        <w:t xml:space="preserve"> </w:t>
      </w:r>
    </w:p>
    <w:p w14:paraId="4873ECCD" w14:textId="77777777" w:rsidR="00E03421" w:rsidRPr="00545EC0" w:rsidRDefault="00E03421" w:rsidP="0010797F">
      <w:pPr>
        <w:rPr>
          <w:rFonts w:cs="Arial"/>
        </w:rPr>
      </w:pPr>
    </w:p>
    <w:p w14:paraId="225062B2" w14:textId="42A06A89" w:rsidR="00E03421" w:rsidRPr="00545EC0" w:rsidRDefault="00E03421" w:rsidP="0010797F">
      <w:pPr>
        <w:rPr>
          <w:rFonts w:cs="Arial"/>
        </w:rPr>
      </w:pPr>
      <w:r w:rsidRPr="00545EC0">
        <w:rPr>
          <w:rFonts w:cs="Arial"/>
        </w:rPr>
        <w:t xml:space="preserve">Doseganje ciljev </w:t>
      </w:r>
      <w:r w:rsidR="0086750A" w:rsidRPr="00545EC0">
        <w:rPr>
          <w:rFonts w:cs="Arial"/>
        </w:rPr>
        <w:t xml:space="preserve">vodne </w:t>
      </w:r>
      <w:r w:rsidRPr="00545EC0">
        <w:rPr>
          <w:rFonts w:cs="Arial"/>
        </w:rPr>
        <w:t>direktive se uresničuje z zmanjšanjem onesnaževanje voda, ki ga povzročajo nitrati iz kmetijskih virov in preprečitvijo nadaljnjega onesnaževanja take vrste.</w:t>
      </w:r>
    </w:p>
    <w:p w14:paraId="00E70190" w14:textId="77777777" w:rsidR="00E03421" w:rsidRPr="00545EC0" w:rsidRDefault="00E03421" w:rsidP="0010797F">
      <w:pPr>
        <w:rPr>
          <w:rFonts w:cs="Arial"/>
        </w:rPr>
      </w:pPr>
      <w:r w:rsidRPr="00545EC0">
        <w:rPr>
          <w:rFonts w:cs="Arial"/>
        </w:rPr>
        <w:lastRenderedPageBreak/>
        <w:t>Spremlja se nivo nitratov v površinskih vodah, glede na mejne vrednosti, ki so določene za nitrat. Prav tako se nivo nitrata spremlja v podzemnih vodah za katere je določena mejna vrednost 50 mg nitrata /l.</w:t>
      </w:r>
    </w:p>
    <w:p w14:paraId="39339BF3" w14:textId="77777777" w:rsidR="00E03421" w:rsidRPr="00545EC0" w:rsidRDefault="00E03421" w:rsidP="000A1DB5">
      <w:pPr>
        <w:pStyle w:val="podnaslov0"/>
        <w:rPr>
          <w:b w:val="0"/>
          <w:u w:val="single"/>
        </w:rPr>
      </w:pPr>
      <w:bookmarkStart w:id="632" w:name="_Toc419099296"/>
      <w:bookmarkStart w:id="633" w:name="_Toc366228563"/>
      <w:r w:rsidRPr="00545EC0">
        <w:rPr>
          <w:b w:val="0"/>
          <w:u w:val="single"/>
        </w:rPr>
        <w:t>Območja salmonidnih in ciprinidnih voda</w:t>
      </w:r>
      <w:bookmarkEnd w:id="632"/>
      <w:bookmarkEnd w:id="633"/>
    </w:p>
    <w:p w14:paraId="0BF27A52" w14:textId="02543EEF" w:rsidR="00F76EDF" w:rsidRPr="00545EC0" w:rsidRDefault="00F76EDF" w:rsidP="00F76EDF">
      <w:pPr>
        <w:rPr>
          <w:rFonts w:cs="Arial"/>
        </w:rPr>
      </w:pPr>
      <w:r w:rsidRPr="00545EC0">
        <w:rPr>
          <w:rFonts w:cs="Arial"/>
        </w:rPr>
        <w:t xml:space="preserve">Cilj, ki je vezan na območja salmonidnih in ciprinidnih voda, izhaja iz </w:t>
      </w:r>
      <w:r w:rsidR="003F265D" w:rsidRPr="00545EC0">
        <w:rPr>
          <w:rFonts w:cs="Arial"/>
        </w:rPr>
        <w:t xml:space="preserve">predpisa, ki ureja kakovost površinskih voda za življenje sladkovodnih vrst rib. </w:t>
      </w:r>
      <w:r w:rsidRPr="00545EC0">
        <w:rPr>
          <w:rFonts w:cs="Arial"/>
        </w:rPr>
        <w:t>Naveden</w:t>
      </w:r>
      <w:r w:rsidR="003F265D" w:rsidRPr="00545EC0">
        <w:rPr>
          <w:rFonts w:cs="Arial"/>
        </w:rPr>
        <w:t xml:space="preserve"> predpis </w:t>
      </w:r>
      <w:r w:rsidRPr="00545EC0">
        <w:rPr>
          <w:rFonts w:cs="Arial"/>
        </w:rPr>
        <w:t xml:space="preserve"> določa fizikalne in kemijske parametre za ugotavljanje kakovosti salmonidnih in ciprinidnih vrste voda. </w:t>
      </w:r>
    </w:p>
    <w:p w14:paraId="704B4DD7" w14:textId="77777777" w:rsidR="00F76EDF" w:rsidRPr="00545EC0" w:rsidRDefault="00F76EDF" w:rsidP="00F76EDF">
      <w:pPr>
        <w:rPr>
          <w:rFonts w:cs="Arial"/>
        </w:rPr>
      </w:pPr>
    </w:p>
    <w:p w14:paraId="13F617D6" w14:textId="515EB720" w:rsidR="00F76EDF" w:rsidRPr="00545EC0" w:rsidRDefault="00F76EDF" w:rsidP="00F76EDF">
      <w:pPr>
        <w:rPr>
          <w:rFonts w:cs="Arial"/>
        </w:rPr>
      </w:pPr>
      <w:r w:rsidRPr="00545EC0">
        <w:rPr>
          <w:rFonts w:cs="Arial"/>
        </w:rPr>
        <w:t xml:space="preserve">Cilja »doseganje ustrezne kakovosti voda na območjih </w:t>
      </w:r>
      <w:r w:rsidR="00D2780B" w:rsidRPr="00545EC0">
        <w:rPr>
          <w:rFonts w:cs="Arial"/>
        </w:rPr>
        <w:t>salmonidnih</w:t>
      </w:r>
      <w:r w:rsidRPr="00545EC0">
        <w:rPr>
          <w:rFonts w:cs="Arial"/>
        </w:rPr>
        <w:t xml:space="preserve"> in ciprinidnih voda« in »ne poslabševati kakovosti voda na območjih </w:t>
      </w:r>
      <w:r w:rsidR="00D2780B" w:rsidRPr="00545EC0">
        <w:rPr>
          <w:rFonts w:cs="Arial"/>
        </w:rPr>
        <w:t>salmonidnih</w:t>
      </w:r>
      <w:r w:rsidRPr="00545EC0">
        <w:rPr>
          <w:rFonts w:cs="Arial"/>
        </w:rPr>
        <w:t xml:space="preserve"> in ciprinidnih voda« sta za VT, kjer so območja </w:t>
      </w:r>
      <w:r w:rsidR="00D2780B" w:rsidRPr="00545EC0">
        <w:rPr>
          <w:rFonts w:cs="Arial"/>
        </w:rPr>
        <w:t>Sal</w:t>
      </w:r>
      <w:r w:rsidR="00DD62AF" w:rsidRPr="00545EC0">
        <w:rPr>
          <w:rFonts w:cs="Arial"/>
        </w:rPr>
        <w:t>monidnih</w:t>
      </w:r>
      <w:r w:rsidRPr="00545EC0">
        <w:rPr>
          <w:rFonts w:cs="Arial"/>
        </w:rPr>
        <w:t xml:space="preserve"> in ciprinidnih voda, postavljena na osnovi doseganja mejnih vrednosti za fizikalne in kemijske parametre v skladu </w:t>
      </w:r>
      <w:r w:rsidR="003F265D" w:rsidRPr="00545EC0">
        <w:rPr>
          <w:rFonts w:cs="Arial"/>
        </w:rPr>
        <w:t xml:space="preserve"> s predpisom, ki ureja </w:t>
      </w:r>
      <w:r w:rsidRPr="00545EC0">
        <w:rPr>
          <w:rFonts w:cs="Arial"/>
        </w:rPr>
        <w:t xml:space="preserve"> </w:t>
      </w:r>
      <w:r w:rsidR="00EB682B" w:rsidRPr="00545EC0">
        <w:rPr>
          <w:rFonts w:cs="Arial"/>
        </w:rPr>
        <w:t>kakovost površinskih voda.</w:t>
      </w:r>
    </w:p>
    <w:p w14:paraId="62FD216A" w14:textId="77777777" w:rsidR="00F76EDF" w:rsidRPr="00545EC0" w:rsidRDefault="00F76EDF" w:rsidP="00F76EDF">
      <w:pPr>
        <w:rPr>
          <w:rFonts w:cs="Arial"/>
        </w:rPr>
      </w:pPr>
    </w:p>
    <w:p w14:paraId="69F4F2D3" w14:textId="39A42DF4" w:rsidR="009E3EF2" w:rsidRPr="00545EC0" w:rsidRDefault="009E3EF2" w:rsidP="00D02FE7">
      <w:pPr>
        <w:tabs>
          <w:tab w:val="left" w:pos="-720"/>
          <w:tab w:val="left" w:pos="0"/>
          <w:tab w:val="left" w:pos="720"/>
          <w:tab w:val="left" w:pos="1440"/>
          <w:tab w:val="left" w:pos="2160"/>
          <w:tab w:val="left" w:pos="2880"/>
          <w:tab w:val="left" w:pos="3600"/>
          <w:tab w:val="left" w:pos="4320"/>
        </w:tabs>
        <w:overflowPunct/>
        <w:textAlignment w:val="auto"/>
        <w:rPr>
          <w:rFonts w:ascii="Helv" w:eastAsia="Calibri" w:hAnsi="Helv" w:cs="Helv"/>
          <w:szCs w:val="20"/>
        </w:rPr>
      </w:pPr>
      <w:r w:rsidRPr="00545EC0">
        <w:rPr>
          <w:rFonts w:ascii="Helv" w:eastAsia="Calibri" w:hAnsi="Helv" w:cs="Helv"/>
          <w:szCs w:val="20"/>
        </w:rPr>
        <w:t>Monitoring na območjih salmonidnih in ciprinidnih voda se je nazadnje izvajal leta 2014 in se je nadomestil z monitoringom ekološkega in kemijskega stanja. Parametri, ki so predvideni v Uredbi o kakovosti vode za življenje sladkovodnih vrst rib, se spremljajo na vseh merilnih mestih in ne samo na ciprinidnih in salmonidnih območjih.</w:t>
      </w:r>
    </w:p>
    <w:p w14:paraId="758ACF17" w14:textId="77777777" w:rsidR="00E03421" w:rsidRPr="00545EC0" w:rsidRDefault="00E03421" w:rsidP="000A1DB5">
      <w:pPr>
        <w:pStyle w:val="podnaslov0"/>
        <w:rPr>
          <w:b w:val="0"/>
          <w:u w:val="single"/>
        </w:rPr>
      </w:pPr>
      <w:bookmarkStart w:id="634" w:name="_Toc419099297"/>
      <w:r w:rsidRPr="00545EC0">
        <w:rPr>
          <w:b w:val="0"/>
          <w:u w:val="single"/>
        </w:rPr>
        <w:t>Območja, ki imajo s predpisi na področju ohranjanja narave poseben status, za katera sta pomembna vodni režim in kakovost voda</w:t>
      </w:r>
      <w:bookmarkEnd w:id="634"/>
    </w:p>
    <w:p w14:paraId="69379FF0" w14:textId="77777777" w:rsidR="00E03421" w:rsidRPr="00545EC0" w:rsidRDefault="00E03421" w:rsidP="0010797F">
      <w:pPr>
        <w:rPr>
          <w:rFonts w:cs="Arial"/>
        </w:rPr>
      </w:pPr>
      <w:r w:rsidRPr="00545EC0">
        <w:rPr>
          <w:rFonts w:eastAsia="MS Mincho" w:cs="Arial"/>
        </w:rPr>
        <w:t xml:space="preserve">Za območja Natura 2000 cilji izhajajo iz </w:t>
      </w:r>
      <w:r w:rsidRPr="00545EC0">
        <w:rPr>
          <w:rFonts w:cs="Arial"/>
        </w:rPr>
        <w:t xml:space="preserve">Operativnega programa – programa upravljanja območij Natura 2000 za obdobje od 2014 do 2020. In se glasijo »ohranjanje ugodnega stanja«, za območja, kjer je ocenjeno ugodno stanje oziroma »vzpostavljanje ugodnega stanja« za območja, kjer je ocenjeno neugodno stanje. Iz tega sledi, da je cilj za VTPV, na katerih je ocenjeno ugodno stanje območij Natura 2000, ki se razprostirajo na VTPV ali na njegovi prispevni površini, »ohranjanje ugodnega stanja«. Za VTPV, na katerih je ocenjeno neugodno stanje vsaj enega izmed območij Natura 2000, ki se razprostirajo na VTPV ali na njegovi prispevni površini, je zadan cilj »vzpostavljanje ugodnega stanja«. </w:t>
      </w:r>
    </w:p>
    <w:p w14:paraId="15FF9A53" w14:textId="77777777" w:rsidR="00E03421" w:rsidRPr="00545EC0" w:rsidRDefault="00E03421" w:rsidP="0010797F">
      <w:pPr>
        <w:rPr>
          <w:rFonts w:cs="Arial"/>
        </w:rPr>
      </w:pPr>
    </w:p>
    <w:p w14:paraId="09D0175B" w14:textId="77777777" w:rsidR="00E03421" w:rsidRPr="00545EC0" w:rsidRDefault="00E03421" w:rsidP="0010797F">
      <w:pPr>
        <w:rPr>
          <w:rFonts w:cs="Arial"/>
        </w:rPr>
      </w:pPr>
      <w:r w:rsidRPr="00545EC0">
        <w:rPr>
          <w:rFonts w:cs="Arial"/>
        </w:rPr>
        <w:t>Na območjih Natura 2000 se posege in dejavnosti načrtuje tako, da se v čim večji možni meri:</w:t>
      </w:r>
    </w:p>
    <w:p w14:paraId="0F1CB030" w14:textId="77777777" w:rsidR="00E03421" w:rsidRPr="00545EC0" w:rsidRDefault="00E03421"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ohranja naravna razširjenost habitatnih tipov ter habitatov rastlinskih ali živalskih vrst;</w:t>
      </w:r>
    </w:p>
    <w:p w14:paraId="5A9FE8C5" w14:textId="77777777" w:rsidR="00E03421" w:rsidRPr="00545EC0" w:rsidRDefault="00E03421"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ohranja ustrezne lastnosti abiotskih in biotskih sestavin habitatnih tipov, njihove specifične strukture ter naravne procese ali ustrezno rabo;</w:t>
      </w:r>
    </w:p>
    <w:p w14:paraId="43B1A469" w14:textId="77777777" w:rsidR="00E03421" w:rsidRPr="00545EC0" w:rsidRDefault="00E03421"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ohranja ali izboljšuje kakovost habitata rastlinskih in živalskih vrst, zlasti tistih delov habitata, ki so bistveni za najpomembnejše življenjske faze kot so zlasti mesta za razmnoževanje, skupinsko prenočevanje, prezimovanje, selitev in prehranjevanje živali;</w:t>
      </w:r>
    </w:p>
    <w:p w14:paraId="10FD17A1" w14:textId="77777777" w:rsidR="00E03421" w:rsidRPr="00545EC0" w:rsidRDefault="00E03421"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ohranja povezanost habitatov populacij rastlinskih in živalskih vrst in omogoča ponovno povezanost, če je le-ta prekinjena.</w:t>
      </w:r>
    </w:p>
    <w:p w14:paraId="588039E7" w14:textId="77777777" w:rsidR="007A2A9B" w:rsidRPr="00545EC0" w:rsidRDefault="007A2A9B" w:rsidP="0010797F">
      <w:pPr>
        <w:rPr>
          <w:rFonts w:cs="Arial"/>
        </w:rPr>
      </w:pPr>
    </w:p>
    <w:p w14:paraId="4A3A3885" w14:textId="77777777" w:rsidR="00E03421" w:rsidRPr="00545EC0" w:rsidRDefault="00E03421" w:rsidP="0010797F">
      <w:pPr>
        <w:rPr>
          <w:rFonts w:cs="Arial"/>
        </w:rPr>
      </w:pPr>
      <w:r w:rsidRPr="00545EC0">
        <w:rPr>
          <w:rFonts w:cs="Arial"/>
        </w:rPr>
        <w:t>Pri izvajanju posegov in dejavnosti, ki so načrtovani v skladu s prejšnjim odstavkom, se izvedejo vsi možni tehnični in drugi ukrepi, da je neugoden vpliv na habitatne tipe, rastline in živali ter njihove habitate čim manjši.</w:t>
      </w:r>
    </w:p>
    <w:p w14:paraId="36972BD8" w14:textId="77777777" w:rsidR="007A2A9B" w:rsidRPr="00545EC0" w:rsidRDefault="007A2A9B" w:rsidP="0010797F">
      <w:pPr>
        <w:rPr>
          <w:rFonts w:cs="Arial"/>
        </w:rPr>
      </w:pPr>
    </w:p>
    <w:p w14:paraId="6079DC07" w14:textId="77777777" w:rsidR="00E03421" w:rsidRPr="00545EC0" w:rsidRDefault="00E03421" w:rsidP="0010797F">
      <w:pPr>
        <w:rPr>
          <w:rFonts w:cs="Arial"/>
        </w:rPr>
      </w:pPr>
      <w:r w:rsidRPr="00545EC0">
        <w:rPr>
          <w:rFonts w:cs="Arial"/>
        </w:rPr>
        <w:t>Čas izvajanja posegov, opravljanja dejavnosti ter drugih ravnanj se kar najbolj prilagodi življenjskim ciklom živali in rastlin tako, da se:</w:t>
      </w:r>
    </w:p>
    <w:p w14:paraId="3DFADB39" w14:textId="77777777" w:rsidR="00E03421" w:rsidRPr="00545EC0" w:rsidRDefault="00E03421"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 xml:space="preserve">živalim prilagodi tako, da poseganje oziroma opravljanje dejavnosti ne, ali v čim manjši možni meri, sovpada z obdobji, ko potrebujejo mir oziroma se ne morejo umakniti, zlasti v času </w:t>
      </w:r>
      <w:r w:rsidRPr="00545EC0">
        <w:rPr>
          <w:rFonts w:cs="Arial"/>
        </w:rPr>
        <w:lastRenderedPageBreak/>
        <w:t>razmnoževalnih aktivnosti, vzrejanja mladičev, razvoja negibljivih ali slabo gibljivih razvojnih oblik ter prezimovanja,</w:t>
      </w:r>
    </w:p>
    <w:p w14:paraId="5BB8FC03" w14:textId="77777777" w:rsidR="00E03421" w:rsidRPr="00545EC0" w:rsidRDefault="00E03421"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rastlinam prilagodi tako, da se omogoči semenenje, naravno zasajevanje ali druge oblike razmnoževanja.</w:t>
      </w:r>
    </w:p>
    <w:p w14:paraId="62A8E4EA" w14:textId="77777777" w:rsidR="00047307" w:rsidRPr="00545EC0" w:rsidRDefault="00047307" w:rsidP="0010797F">
      <w:pPr>
        <w:rPr>
          <w:rFonts w:cs="Arial"/>
        </w:rPr>
      </w:pPr>
    </w:p>
    <w:p w14:paraId="0462DF72" w14:textId="6A83C6A0" w:rsidR="00E03421" w:rsidRPr="00545EC0" w:rsidRDefault="00E03421" w:rsidP="0010797F">
      <w:pPr>
        <w:rPr>
          <w:rFonts w:cs="Arial"/>
        </w:rPr>
      </w:pPr>
      <w:r w:rsidRPr="00545EC0">
        <w:rPr>
          <w:rFonts w:cs="Arial"/>
        </w:rPr>
        <w:t>Na območja</w:t>
      </w:r>
      <w:r w:rsidR="00DD62AF" w:rsidRPr="00545EC0">
        <w:rPr>
          <w:rFonts w:cs="Arial"/>
        </w:rPr>
        <w:t xml:space="preserve"> Nature 2000</w:t>
      </w:r>
      <w:r w:rsidRPr="00545EC0">
        <w:rPr>
          <w:rFonts w:cs="Arial"/>
        </w:rPr>
        <w:t xml:space="preserve"> se ne vnaša živali in rastlin tujerodnih vrst ter gensko spremenjenih organizmov.</w:t>
      </w:r>
    </w:p>
    <w:p w14:paraId="6022C43F" w14:textId="77777777" w:rsidR="00E03421" w:rsidRPr="00545EC0" w:rsidRDefault="00E03421" w:rsidP="0010797F">
      <w:pPr>
        <w:rPr>
          <w:rFonts w:cs="Arial"/>
        </w:rPr>
      </w:pPr>
    </w:p>
    <w:p w14:paraId="30CF88B1" w14:textId="77777777" w:rsidR="00E03421" w:rsidRPr="00545EC0" w:rsidRDefault="00E03421" w:rsidP="0010797F">
      <w:pPr>
        <w:rPr>
          <w:rFonts w:cs="Arial"/>
        </w:rPr>
      </w:pPr>
      <w:r w:rsidRPr="00545EC0">
        <w:rPr>
          <w:rFonts w:cs="Arial"/>
        </w:rPr>
        <w:t>Na ekološko pomembnih območjih, ki niso tudi posebna varstvena območja, so vsi posegi in dejavnosti možni, načrtuje pa se jih tako, da se v čim večji možni meri ohranja naravna razširjenost habitatnih tipov ter habitatov rastlinskih ali živalskih vrst, njihova kvaliteta ter povezanost habitatov populacij in omogoča ponovno povezanost, če bi bila le-ta z načrtovanim posegom ali dejavnostjo prekinjena.</w:t>
      </w:r>
    </w:p>
    <w:p w14:paraId="24BBC60B" w14:textId="77777777" w:rsidR="00E03421" w:rsidRPr="00545EC0" w:rsidRDefault="00E03421" w:rsidP="0010797F">
      <w:pPr>
        <w:rPr>
          <w:rFonts w:cs="Arial"/>
        </w:rPr>
      </w:pPr>
      <w:r w:rsidRPr="00545EC0">
        <w:rPr>
          <w:rFonts w:cs="Arial"/>
        </w:rPr>
        <w:t xml:space="preserve">Pri izvajanju posegov in dejavnosti, ki so načrtovani v skladu s prejšnjim odstavkom, se izvedejo vsi možni tehnični in drugi ukrepi, da je neugoden vpliv na habitatne tipe, rastline in živali ter njihove habitate čim manjši. </w:t>
      </w:r>
    </w:p>
    <w:p w14:paraId="52A9625F" w14:textId="77777777" w:rsidR="00E03421" w:rsidRPr="00545EC0" w:rsidRDefault="00E03421" w:rsidP="0010797F">
      <w:pPr>
        <w:rPr>
          <w:rFonts w:cs="Arial"/>
        </w:rPr>
      </w:pPr>
    </w:p>
    <w:p w14:paraId="472FB033" w14:textId="303F01CC" w:rsidR="00E03421" w:rsidRPr="00545EC0" w:rsidRDefault="00E03421" w:rsidP="0010797F">
      <w:pPr>
        <w:rPr>
          <w:rFonts w:cs="Arial"/>
        </w:rPr>
      </w:pPr>
      <w:r w:rsidRPr="00545EC0">
        <w:rPr>
          <w:rFonts w:cs="Arial"/>
        </w:rPr>
        <w:t>Z naravnimi vrednotami je treba ravnati tako, da se ne ogrozi njihov</w:t>
      </w:r>
      <w:r w:rsidR="00DD62AF" w:rsidRPr="00545EC0">
        <w:rPr>
          <w:rFonts w:cs="Arial"/>
        </w:rPr>
        <w:t>ega</w:t>
      </w:r>
      <w:r w:rsidRPr="00545EC0">
        <w:rPr>
          <w:rFonts w:cs="Arial"/>
        </w:rPr>
        <w:t xml:space="preserve"> obstoj</w:t>
      </w:r>
      <w:r w:rsidR="00DD62AF" w:rsidRPr="00545EC0">
        <w:rPr>
          <w:rFonts w:cs="Arial"/>
        </w:rPr>
        <w:t>a</w:t>
      </w:r>
      <w:r w:rsidRPr="00545EC0">
        <w:rPr>
          <w:rFonts w:cs="Arial"/>
        </w:rPr>
        <w:t xml:space="preserve"> (40. člen ZON).</w:t>
      </w:r>
    </w:p>
    <w:p w14:paraId="0B877EA1" w14:textId="47AAA002" w:rsidR="00E03421" w:rsidRPr="00545EC0" w:rsidRDefault="00E03421" w:rsidP="0010797F">
      <w:pPr>
        <w:rPr>
          <w:rFonts w:cs="Arial"/>
        </w:rPr>
      </w:pPr>
      <w:r w:rsidRPr="00545EC0">
        <w:rPr>
          <w:rFonts w:cs="Arial"/>
        </w:rPr>
        <w:t>Posegi in dejavnosti se</w:t>
      </w:r>
      <w:r w:rsidR="003F265D" w:rsidRPr="00545EC0">
        <w:rPr>
          <w:rFonts w:cs="Arial"/>
        </w:rPr>
        <w:t xml:space="preserve"> v skladu s predpisom, ki ureja zvrsti naravnih vrednot,</w:t>
      </w:r>
      <w:r w:rsidRPr="00545EC0">
        <w:rPr>
          <w:rFonts w:cs="Arial"/>
        </w:rPr>
        <w:t xml:space="preserve"> izvajajo na naravni vrednoti, če ni drugih prostorskih ali tehničnih možnosti za izvedbo posega ali opravljanje dejavnosti (5. </w:t>
      </w:r>
      <w:r w:rsidR="00DD62AF" w:rsidRPr="00545EC0">
        <w:rPr>
          <w:rFonts w:cs="Arial"/>
        </w:rPr>
        <w:t>Č</w:t>
      </w:r>
      <w:r w:rsidRPr="00545EC0">
        <w:rPr>
          <w:rFonts w:cs="Arial"/>
        </w:rPr>
        <w:t>len</w:t>
      </w:r>
      <w:r w:rsidR="00DD62AF" w:rsidRPr="00545EC0">
        <w:rPr>
          <w:rFonts w:cs="Arial"/>
        </w:rPr>
        <w:t xml:space="preserve"> ZON</w:t>
      </w:r>
      <w:r w:rsidRPr="00545EC0">
        <w:rPr>
          <w:rFonts w:cs="Arial"/>
        </w:rPr>
        <w:t>).</w:t>
      </w:r>
    </w:p>
    <w:p w14:paraId="6811A1C1" w14:textId="77777777" w:rsidR="007A2A9B" w:rsidRPr="00545EC0" w:rsidRDefault="007A2A9B" w:rsidP="0010797F">
      <w:pPr>
        <w:rPr>
          <w:rFonts w:cs="Arial"/>
        </w:rPr>
      </w:pPr>
    </w:p>
    <w:p w14:paraId="07775CF5" w14:textId="77777777" w:rsidR="00E03421" w:rsidRPr="00545EC0" w:rsidRDefault="00E03421" w:rsidP="0010797F">
      <w:pPr>
        <w:rPr>
          <w:rFonts w:cs="Arial"/>
        </w:rPr>
      </w:pPr>
      <w:r w:rsidRPr="00545EC0">
        <w:rPr>
          <w:rFonts w:cs="Arial"/>
        </w:rPr>
        <w:t>Če ni drugih prostorskih ali tehničnih možnosti, se posegi in dejavnosti:</w:t>
      </w:r>
    </w:p>
    <w:p w14:paraId="0935CF71" w14:textId="5C67D1EC" w:rsidR="00E03421" w:rsidRPr="00545EC0" w:rsidRDefault="00E03421"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 xml:space="preserve">na površinski in </w:t>
      </w:r>
      <w:r w:rsidR="00DD62AF" w:rsidRPr="00545EC0">
        <w:rPr>
          <w:rFonts w:cs="Arial"/>
        </w:rPr>
        <w:t>p</w:t>
      </w:r>
      <w:r w:rsidR="00DD62AF" w:rsidRPr="00545EC0">
        <w:rPr>
          <w:rFonts w:cs="Arial"/>
          <w:lang w:val="sl-SI"/>
        </w:rPr>
        <w:t>odzemni</w:t>
      </w:r>
      <w:r w:rsidR="00DD62AF" w:rsidRPr="00545EC0">
        <w:rPr>
          <w:rFonts w:cs="Arial"/>
        </w:rPr>
        <w:t xml:space="preserve"> </w:t>
      </w:r>
      <w:r w:rsidRPr="00545EC0">
        <w:rPr>
          <w:rFonts w:cs="Arial"/>
        </w:rPr>
        <w:t>geomorfološki, hidrološki in geološki naravni vrednoti izvajajo v obsegu in na način, da se ne uničijo, poškodujejo ali bistveno spremenijo lastnosti, zaradi katerih je del narave opredeljen za naravno vrednoto, oziroma v obsegu in na način, da se v čim manjši možni meri spremenijo druge fizične, fizikalne, kemijske, vidne in funkcionalne lastnosti naravne vrednote.</w:t>
      </w:r>
    </w:p>
    <w:p w14:paraId="7063CA82" w14:textId="77777777" w:rsidR="00E03421" w:rsidRPr="00545EC0" w:rsidRDefault="00E03421"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na drevesni naravni vrednoti izvajajo tako, da se ne zmanjša vitalnost in ne poslabša zdravstveno stanje drevesa ter, da se ne poslabšajo življenjske razmere na rastišču.</w:t>
      </w:r>
    </w:p>
    <w:p w14:paraId="3F5CE0BA" w14:textId="77777777" w:rsidR="00E03421" w:rsidRPr="00545EC0" w:rsidRDefault="00E03421"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na botanični in zoološki naravni vrednoti izvajajo tako, da se ne poslabšajo življenjske razmere rastlin in živali, zaradi katerih je del narave opredeljen za naravno vrednoto, do takšne mere, da jim je onemogočeno dolgoročno preživetje.</w:t>
      </w:r>
    </w:p>
    <w:p w14:paraId="69261104" w14:textId="77777777" w:rsidR="00E03421" w:rsidRPr="00545EC0" w:rsidRDefault="00E03421"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na ekosistemski naravni vrednoti izvajajo tako, da se ne spremenijo kvalitete ekosistema ter naravni procesi v njem do takšne mere, da se poruši naravno ravnovesje.</w:t>
      </w:r>
    </w:p>
    <w:p w14:paraId="7467B14C" w14:textId="77777777" w:rsidR="00E03421" w:rsidRPr="00545EC0" w:rsidRDefault="00E03421"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na krajinski vrednoti izvajajo tako, da se ne zmanjšuje krajinska pestrost ter da se ne uniči, poškoduje ali bistveno spremeni lastnosti krajinskih elementov ter njihove razporeditve v prostoru.</w:t>
      </w:r>
    </w:p>
    <w:p w14:paraId="4909B190" w14:textId="77777777" w:rsidR="00E03421" w:rsidRPr="00545EC0" w:rsidRDefault="00E03421"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na oblikovani naravni vrednoti izvajajo tako, da se ne poslabšajo življenjske razmere za rastline, ki so bistveni sestavni del naravne vrednote, da se ne zmanjša njihova vitalnost ter da se bistveno ne spremenijo oblikovne lastnosti naravne vrednote, pri čemer se na območjih vrtno arhitekturne dediščine posegi in dejavnosti izvajajo v skladu s predpisi s področja varstva kulturne dediščine.</w:t>
      </w:r>
    </w:p>
    <w:p w14:paraId="13EDAC05" w14:textId="77777777" w:rsidR="00E03421" w:rsidRPr="00545EC0" w:rsidRDefault="00E03421" w:rsidP="0010797F">
      <w:pPr>
        <w:rPr>
          <w:rFonts w:cs="Arial"/>
        </w:rPr>
      </w:pPr>
    </w:p>
    <w:p w14:paraId="1FECF2F7" w14:textId="2AC8450F" w:rsidR="00E03421" w:rsidRPr="00545EC0" w:rsidRDefault="00E03421" w:rsidP="0010797F">
      <w:pPr>
        <w:rPr>
          <w:rFonts w:cs="Arial"/>
        </w:rPr>
      </w:pPr>
      <w:r w:rsidRPr="00545EC0">
        <w:rPr>
          <w:rFonts w:cs="Arial"/>
        </w:rPr>
        <w:t xml:space="preserve">Posegi in dejavnosti zunaj naravnih vrednot, na območju vpliva na naravno vrednoto se </w:t>
      </w:r>
      <w:r w:rsidR="003F265D" w:rsidRPr="00545EC0">
        <w:rPr>
          <w:rFonts w:cs="Arial"/>
        </w:rPr>
        <w:t xml:space="preserve">v skladu s predpisom, ki ureja zvrsti naravnih vrednot, </w:t>
      </w:r>
      <w:r w:rsidRPr="00545EC0">
        <w:rPr>
          <w:rFonts w:cs="Arial"/>
        </w:rPr>
        <w:t xml:space="preserve">izvajajo tako, da vpliv posega ali dejavnosti ne povzroči uničenja ali bistvene spremembe lastnosti, zaradi katerih je bil del narave opredeljen za naravno vrednoto, ali uničenja naravne vrednote (6. </w:t>
      </w:r>
      <w:r w:rsidR="00DD62AF" w:rsidRPr="00545EC0">
        <w:rPr>
          <w:rFonts w:cs="Arial"/>
        </w:rPr>
        <w:t>Č</w:t>
      </w:r>
      <w:r w:rsidRPr="00545EC0">
        <w:rPr>
          <w:rFonts w:cs="Arial"/>
        </w:rPr>
        <w:t>len</w:t>
      </w:r>
      <w:r w:rsidR="00DD62AF" w:rsidRPr="00545EC0">
        <w:rPr>
          <w:rFonts w:cs="Arial"/>
        </w:rPr>
        <w:t xml:space="preserve"> ZON</w:t>
      </w:r>
      <w:r w:rsidRPr="00545EC0">
        <w:rPr>
          <w:rFonts w:cs="Arial"/>
        </w:rPr>
        <w:t>).</w:t>
      </w:r>
    </w:p>
    <w:p w14:paraId="6031BB94" w14:textId="77777777" w:rsidR="007A2A9B" w:rsidRPr="00545EC0" w:rsidRDefault="007A2A9B" w:rsidP="0010797F">
      <w:pPr>
        <w:rPr>
          <w:rFonts w:cs="Arial"/>
        </w:rPr>
      </w:pPr>
    </w:p>
    <w:p w14:paraId="6EF61267" w14:textId="77777777" w:rsidR="00E03421" w:rsidRPr="00545EC0" w:rsidRDefault="00E03421" w:rsidP="0010797F">
      <w:pPr>
        <w:rPr>
          <w:rFonts w:cs="Arial"/>
        </w:rPr>
      </w:pPr>
      <w:r w:rsidRPr="00545EC0">
        <w:rPr>
          <w:rFonts w:cs="Arial"/>
        </w:rPr>
        <w:t>Za potrebe priprave aktov se območje vpliva na naravno vrednoto opredeli glede na nameravani poseg ali dejavnost na podlagi naslednjih izhodišč:</w:t>
      </w:r>
    </w:p>
    <w:p w14:paraId="712CD9FF" w14:textId="77777777" w:rsidR="00E03421" w:rsidRPr="00545EC0" w:rsidRDefault="00E03421"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lastRenderedPageBreak/>
        <w:t>za hidrološko naravno vrednoto je območje vpliva na naravno vrednoto območje porečja ali dela porečja, v katerem se naravna vrednota nahaja,</w:t>
      </w:r>
    </w:p>
    <w:p w14:paraId="60B41115" w14:textId="77777777" w:rsidR="00E03421" w:rsidRPr="00545EC0" w:rsidRDefault="00E03421"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za podzemno geomorfološko naravno vrednoto je območje vpliva na naravno vrednoto površje nad podzemno jamo ter, če je naravna vrednota vodna podzemna jama, porečje voda, ki tečejo v podzemno jamo,</w:t>
      </w:r>
    </w:p>
    <w:p w14:paraId="77003FCC" w14:textId="77777777" w:rsidR="00E03421" w:rsidRPr="00545EC0" w:rsidRDefault="00E03421"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 xml:space="preserve">za naravne vrednote drugih zvrsti je območje vpliva na naravno vrednoto območje, v katerem vplivi posegov in dejavnosti človeka lahko ogrozijo tiste lastnosti, zaradi katerih je bil del narave opredeljen za naravno vrednoto: za geomorfološke in geološke naravne vrednote je to zlasti njihova stabilnost, za botanične, zoološke, ekosistemske in drevesne naravne vrednote je to zlasti kvaliteta habitatov rastlin in živali. </w:t>
      </w:r>
    </w:p>
    <w:p w14:paraId="5F9C67E6" w14:textId="77777777" w:rsidR="00E03421" w:rsidRPr="00545EC0" w:rsidRDefault="00E03421" w:rsidP="0010797F">
      <w:pPr>
        <w:rPr>
          <w:rFonts w:cs="Arial"/>
        </w:rPr>
      </w:pPr>
    </w:p>
    <w:p w14:paraId="0E4AC6E3" w14:textId="77777777" w:rsidR="00E03421" w:rsidRPr="00545EC0" w:rsidRDefault="00E03421" w:rsidP="0010797F">
      <w:pPr>
        <w:rPr>
          <w:rFonts w:cs="Arial"/>
        </w:rPr>
      </w:pPr>
      <w:r w:rsidRPr="00545EC0">
        <w:rPr>
          <w:rFonts w:cs="Arial"/>
        </w:rPr>
        <w:t>Pri načrtovanju prostorskih ureditev se obvezno upoštevajo usmeritve, izhodišča in pogoji za varstvo zavarovanih območij narave, ki so podani z varstvenimi režimi v sprejetih aktih o zavarovanju.</w:t>
      </w:r>
    </w:p>
    <w:p w14:paraId="65BCAE41" w14:textId="77777777" w:rsidR="00E03421" w:rsidRPr="00545EC0" w:rsidRDefault="00E03421" w:rsidP="000A1DB5">
      <w:pPr>
        <w:pStyle w:val="podnaslov0"/>
        <w:rPr>
          <w:b w:val="0"/>
          <w:u w:val="single"/>
        </w:rPr>
      </w:pPr>
      <w:bookmarkStart w:id="635" w:name="_Toc419099298"/>
      <w:bookmarkStart w:id="636" w:name="_Toc366228565"/>
      <w:r w:rsidRPr="00545EC0">
        <w:rPr>
          <w:b w:val="0"/>
          <w:u w:val="single"/>
        </w:rPr>
        <w:t>Območja varstvenih voda v skladu s predpisi, ki urejajo ribištvo</w:t>
      </w:r>
      <w:bookmarkEnd w:id="635"/>
      <w:bookmarkEnd w:id="636"/>
    </w:p>
    <w:p w14:paraId="1275F1DF" w14:textId="3BFEAE92" w:rsidR="00E03421" w:rsidRPr="00545EC0" w:rsidRDefault="00E03421" w:rsidP="0010797F">
      <w:pPr>
        <w:pStyle w:val="Telobesedila"/>
        <w:spacing w:after="0"/>
        <w:jc w:val="both"/>
        <w:rPr>
          <w:rFonts w:ascii="Arial" w:hAnsi="Arial" w:cs="Arial"/>
          <w:sz w:val="20"/>
          <w:szCs w:val="20"/>
          <w:lang w:val="sl-SI"/>
        </w:rPr>
      </w:pPr>
      <w:r w:rsidRPr="00545EC0">
        <w:rPr>
          <w:rFonts w:ascii="Arial" w:hAnsi="Arial" w:cs="Arial"/>
          <w:sz w:val="20"/>
          <w:szCs w:val="20"/>
          <w:lang w:val="sl-SI"/>
        </w:rPr>
        <w:t>Za optimalno izvajanje sladkovodnega ribiškega upravljanja in doseganje dobrega ekološkega stanja na območjih z ribiškim upravljanjem so zastavljeni naslednji varstveni cilji</w:t>
      </w:r>
      <w:r w:rsidR="001B4EEE" w:rsidRPr="00545EC0">
        <w:rPr>
          <w:rFonts w:ascii="Arial" w:hAnsi="Arial" w:cs="Arial"/>
          <w:sz w:val="20"/>
          <w:szCs w:val="20"/>
          <w:lang w:val="sl-SI"/>
        </w:rPr>
        <w:t xml:space="preserve"> in aktivnosti</w:t>
      </w:r>
      <w:r w:rsidRPr="00545EC0">
        <w:rPr>
          <w:rFonts w:ascii="Arial" w:hAnsi="Arial" w:cs="Arial"/>
          <w:sz w:val="20"/>
          <w:szCs w:val="20"/>
          <w:lang w:val="sl-SI"/>
        </w:rPr>
        <w:t>:</w:t>
      </w:r>
    </w:p>
    <w:p w14:paraId="51CCADF6" w14:textId="77777777" w:rsidR="00E03421" w:rsidRPr="0097044F" w:rsidRDefault="00E03421"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ohranjanje in varovanje naravnih populacij rib, njihove vrstne pestrosti, starostne strukture in številčnosti ter njihovih habitatov,</w:t>
      </w:r>
    </w:p>
    <w:p w14:paraId="16BA0002" w14:textId="7D5AA410" w:rsidR="00E33C70" w:rsidRPr="0097044F" w:rsidRDefault="00E33C70"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Pr>
          <w:rFonts w:cs="Arial"/>
          <w:lang w:val="sl-SI"/>
        </w:rPr>
        <w:t>izboljšanje izvorne vrstne pestrosti, starostne strukture in številčnosti naravnih populacij rib in njihovega habitata,</w:t>
      </w:r>
    </w:p>
    <w:p w14:paraId="251A4F22" w14:textId="1954FC6A" w:rsidR="00E33C70" w:rsidRPr="00545EC0" w:rsidRDefault="00E33C70"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Pr>
          <w:rFonts w:cs="Arial"/>
          <w:lang w:val="sl-SI"/>
        </w:rPr>
        <w:t>vsak poseg v ribiški okoliš mora biti načrtovan in izveden na način, ki v največji mogoči meri zagotavlja ohranjanje rib, njihove vrstne pestrosti, starostne strukture in številčnosti,</w:t>
      </w:r>
    </w:p>
    <w:p w14:paraId="343A87D1" w14:textId="77777777" w:rsidR="00E03421" w:rsidRPr="00545EC0" w:rsidRDefault="00E03421"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 xml:space="preserve">vzpostavljanje ugodnega stanja populacij ogroženih vrst rib, </w:t>
      </w:r>
    </w:p>
    <w:p w14:paraId="44792169" w14:textId="77777777" w:rsidR="00E03421" w:rsidRPr="00545EC0" w:rsidRDefault="00E03421"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varovanje in ohranjanje značaja salmonidnih in ciprinidnih voda,</w:t>
      </w:r>
    </w:p>
    <w:p w14:paraId="760393BB" w14:textId="77777777" w:rsidR="00E03421" w:rsidRPr="00545EC0" w:rsidRDefault="00E03421"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celostno načrtovanje in izvajanje ribiškega upravljanja v teritorialno zaokroženih ribiških območjih – načelo celovitosti, ki upošteva naravne procese in dinamiko vodnih ekosistemov kot habitatov rib,</w:t>
      </w:r>
    </w:p>
    <w:p w14:paraId="02475DEE" w14:textId="77777777" w:rsidR="00E03421" w:rsidRPr="00545EC0" w:rsidRDefault="00E03421"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preprečevanje vnosa tujerodnih ribjih vrst v celinske vode in njihovega širjenja,</w:t>
      </w:r>
    </w:p>
    <w:p w14:paraId="06EB23A5" w14:textId="77777777" w:rsidR="00E03421" w:rsidRPr="00545EC0" w:rsidRDefault="00E03421"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ohranjanje kakovosti vodnega ekosistema,</w:t>
      </w:r>
    </w:p>
    <w:p w14:paraId="05C31C8E" w14:textId="15ED36DC" w:rsidR="00E03421" w:rsidRPr="00545EC0" w:rsidRDefault="00E03421"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trajnostna raba rib</w:t>
      </w:r>
      <w:r w:rsidR="00DD62AF" w:rsidRPr="00545EC0">
        <w:rPr>
          <w:rFonts w:cs="Arial"/>
          <w:lang w:val="sl-SI"/>
        </w:rPr>
        <w:t xml:space="preserve"> in</w:t>
      </w:r>
    </w:p>
    <w:p w14:paraId="292B331E" w14:textId="77777777" w:rsidR="00E03421" w:rsidRPr="00545EC0" w:rsidRDefault="00E03421"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načrtovanje, pospeševanje in nadzor gojitve domorodnih vrst rib za doseljevanje (poribljavanja) celinskih voda.</w:t>
      </w:r>
    </w:p>
    <w:p w14:paraId="7954D1AD" w14:textId="77777777" w:rsidR="00E03421" w:rsidRPr="00545EC0" w:rsidRDefault="00E03421" w:rsidP="0010797F">
      <w:pPr>
        <w:rPr>
          <w:rFonts w:cs="Arial"/>
          <w:b/>
          <w:szCs w:val="22"/>
        </w:rPr>
      </w:pPr>
    </w:p>
    <w:p w14:paraId="40494FFE" w14:textId="1376FC5E" w:rsidR="0061507B" w:rsidRPr="00545EC0" w:rsidRDefault="00E03421" w:rsidP="0010797F">
      <w:pPr>
        <w:pStyle w:val="BodyTextSL"/>
        <w:tabs>
          <w:tab w:val="left" w:pos="709"/>
        </w:tabs>
        <w:spacing w:after="0"/>
        <w:rPr>
          <w:rFonts w:cs="Arial"/>
          <w:lang w:val="sl-SI"/>
        </w:rPr>
      </w:pPr>
      <w:r w:rsidRPr="00545EC0">
        <w:rPr>
          <w:rFonts w:cs="Arial"/>
          <w:sz w:val="20"/>
          <w:szCs w:val="20"/>
          <w:lang w:val="sl-SI"/>
        </w:rPr>
        <w:t>Zaščiti ribolovnih virov je namenjen predvsem prvi cilj, ki se ga lahko obravnava kot varstveni cilj, znotraj katerega se želi omejiti ribolovni napor z nekaterimi tipi ribolovnih orodij. Kot rezultat omejevanja ribolovnega napora se lahko pričakuje izboljšanje stanja ribolovnih virov</w:t>
      </w:r>
      <w:r w:rsidRPr="00545EC0">
        <w:rPr>
          <w:rFonts w:cs="Arial"/>
          <w:lang w:val="sl-SI"/>
        </w:rPr>
        <w:t>.</w:t>
      </w:r>
    </w:p>
    <w:p w14:paraId="569F8EEB" w14:textId="4640E4FB" w:rsidR="0051531D" w:rsidRPr="00545EC0" w:rsidRDefault="00B9146A" w:rsidP="0051531D">
      <w:pPr>
        <w:pStyle w:val="Naslov20"/>
        <w:rPr>
          <w:lang w:val="sl-SI"/>
        </w:rPr>
      </w:pPr>
      <w:bookmarkStart w:id="637" w:name="_Toc90261072"/>
      <w:r w:rsidRPr="00545EC0">
        <w:t>Cilji na področju urejanja voda</w:t>
      </w:r>
      <w:bookmarkEnd w:id="637"/>
    </w:p>
    <w:p w14:paraId="632FC61E" w14:textId="7BE6AEED" w:rsidR="0051531D" w:rsidRPr="00545EC0" w:rsidRDefault="0051531D" w:rsidP="00B43D66">
      <w:pPr>
        <w:spacing w:line="276" w:lineRule="auto"/>
        <w:rPr>
          <w:rFonts w:cs="Arial"/>
          <w:szCs w:val="20"/>
        </w:rPr>
      </w:pPr>
      <w:r w:rsidRPr="00545EC0">
        <w:rPr>
          <w:rFonts w:cs="Arial"/>
        </w:rPr>
        <w:t>Eden izmed glavnih ciljev urejanja voda je zagotavljanje varstva pred škodljivim delovanjem voda, pri čemer gre predvsem za zmanjševanje ali preprečevanje ogroženosti zaradi škodljivega delovanja voda in odpravljanje posledic njihovega škodljivega delovanja. Za določitev podrobnejših ciljev je treba dobro poznati stanje poplavne nevarnosti in ogroženosti ter pretekle poplavne dogodke in škodne posledice. Zmanjševanje poplavne ogroženosti podrobneje obravnava Načrt zmanjševanja poplavne ogroženosti (</w:t>
      </w:r>
      <w:r w:rsidR="00B43D66" w:rsidRPr="00545EC0">
        <w:rPr>
          <w:rFonts w:cs="Arial"/>
        </w:rPr>
        <w:t xml:space="preserve">v nadaljnjem besedilu: </w:t>
      </w:r>
      <w:r w:rsidRPr="00545EC0">
        <w:rPr>
          <w:rFonts w:cs="Arial"/>
        </w:rPr>
        <w:t>NZPO), ki je izdelan na podlagi Predhodne ocene poplavne ogroženosti in kartiranja poplavne nevarnosti in ogroženosti območij pomembnega vpliva poplav</w:t>
      </w:r>
      <w:r w:rsidRPr="00545EC0">
        <w:rPr>
          <w:rFonts w:cs="Arial"/>
          <w:szCs w:val="20"/>
        </w:rPr>
        <w:t xml:space="preserve">. </w:t>
      </w:r>
      <w:r w:rsidRPr="00545EC0">
        <w:rPr>
          <w:rFonts w:cs="Arial"/>
        </w:rPr>
        <w:t xml:space="preserve">Na podlagi karte razvrstitve poplavno ogroženih območij in šestih posameznih kart razvrstitve glede na zdravje ljudi, okolje, gospodarske dejavnosti, gospodarske javne infrastrukture, socialne infrastrukture </w:t>
      </w:r>
      <w:r w:rsidRPr="00545EC0">
        <w:rPr>
          <w:rFonts w:cs="Arial"/>
        </w:rPr>
        <w:lastRenderedPageBreak/>
        <w:t xml:space="preserve">in kulturne dediščine ter ugotovitev iz javne obravnave, je bilo v Predhodni oceni poplavne ogroženosti določenih 86 območij pomembnega vpliva poplav v Sloveniji, </w:t>
      </w:r>
      <w:r w:rsidRPr="00545EC0">
        <w:rPr>
          <w:rFonts w:cs="Arial"/>
          <w:szCs w:val="20"/>
        </w:rPr>
        <w:t xml:space="preserve">pri čemer se je upoštevalo tudi morebiten vpliv podnebnih sprememb na poplavno ogroženost. Območja pomembnega vpliva poplav predstavljajo potencialno poplavno najbolj ogrožena območja oz. območja kjer potencialno nastajajo največje škode z vidika škodljivih posledic poplav na zdravje ljudi, okolje, kulturno dediščino in gospodarske dejavnosti. </w:t>
      </w:r>
    </w:p>
    <w:p w14:paraId="3AD05F3D" w14:textId="77777777" w:rsidR="0051531D" w:rsidRPr="00545EC0" w:rsidRDefault="0051531D" w:rsidP="0051531D">
      <w:pPr>
        <w:spacing w:line="240" w:lineRule="auto"/>
        <w:rPr>
          <w:rFonts w:cs="Arial"/>
          <w:szCs w:val="20"/>
        </w:rPr>
      </w:pPr>
    </w:p>
    <w:p w14:paraId="566733A9" w14:textId="7B0B506D" w:rsidR="0051531D" w:rsidRPr="00545EC0" w:rsidRDefault="007807AE" w:rsidP="007807AE">
      <w:pPr>
        <w:pStyle w:val="Napis"/>
        <w:rPr>
          <w:bCs w:val="0"/>
          <w:szCs w:val="20"/>
        </w:rPr>
      </w:pPr>
      <w:r w:rsidRPr="00545EC0">
        <w:t xml:space="preserve">Preglednica </w:t>
      </w:r>
      <w:fldSimple w:instr=" STYLEREF 1 \s ">
        <w:r w:rsidR="002F3E43">
          <w:rPr>
            <w:noProof/>
          </w:rPr>
          <w:t>5</w:t>
        </w:r>
      </w:fldSimple>
      <w:r w:rsidR="001A7511" w:rsidRPr="00545EC0">
        <w:noBreakHyphen/>
      </w:r>
      <w:fldSimple w:instr=" SEQ Preglednica \* ARABIC \s 1 ">
        <w:r w:rsidR="002F3E43">
          <w:rPr>
            <w:noProof/>
          </w:rPr>
          <w:t>1</w:t>
        </w:r>
      </w:fldSimple>
      <w:r w:rsidRPr="00545EC0">
        <w:t xml:space="preserve">: </w:t>
      </w:r>
      <w:r w:rsidRPr="00545EC0">
        <w:rPr>
          <w:bCs w:val="0"/>
          <w:szCs w:val="20"/>
        </w:rPr>
        <w:t>Poplavna ogroženost porečij/povodij in nekatere statistike na OPVP na VO Donave</w:t>
      </w:r>
    </w:p>
    <w:tbl>
      <w:tblPr>
        <w:tblW w:w="5000" w:type="pct"/>
        <w:jc w:val="center"/>
        <w:tblCellMar>
          <w:left w:w="70" w:type="dxa"/>
          <w:right w:w="70" w:type="dxa"/>
        </w:tblCellMar>
        <w:tblLook w:val="04A0" w:firstRow="1" w:lastRow="0" w:firstColumn="1" w:lastColumn="0" w:noHBand="0" w:noVBand="1"/>
      </w:tblPr>
      <w:tblGrid>
        <w:gridCol w:w="3236"/>
        <w:gridCol w:w="930"/>
        <w:gridCol w:w="1019"/>
        <w:gridCol w:w="975"/>
        <w:gridCol w:w="975"/>
        <w:gridCol w:w="969"/>
        <w:gridCol w:w="1107"/>
      </w:tblGrid>
      <w:tr w:rsidR="003122F4" w:rsidRPr="00545EC0" w14:paraId="5115D42C" w14:textId="77777777" w:rsidTr="0061507B">
        <w:trPr>
          <w:trHeight w:val="525"/>
          <w:jc w:val="center"/>
        </w:trPr>
        <w:tc>
          <w:tcPr>
            <w:tcW w:w="175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035B462" w14:textId="77777777" w:rsidR="0051531D" w:rsidRPr="00545EC0" w:rsidRDefault="0051531D" w:rsidP="005F6303">
            <w:pPr>
              <w:spacing w:line="240" w:lineRule="auto"/>
              <w:rPr>
                <w:rFonts w:cs="Arial"/>
                <w:b/>
                <w:szCs w:val="20"/>
              </w:rPr>
            </w:pPr>
            <w:r w:rsidRPr="00545EC0">
              <w:rPr>
                <w:rFonts w:cs="Arial"/>
                <w:b/>
                <w:szCs w:val="20"/>
              </w:rPr>
              <w:t xml:space="preserve">Porečje </w:t>
            </w:r>
          </w:p>
        </w:tc>
        <w:tc>
          <w:tcPr>
            <w:tcW w:w="505"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755F336" w14:textId="77777777" w:rsidR="0051531D" w:rsidRPr="00545EC0" w:rsidRDefault="0051531D" w:rsidP="005F6303">
            <w:pPr>
              <w:spacing w:line="240" w:lineRule="auto"/>
              <w:jc w:val="center"/>
              <w:rPr>
                <w:rFonts w:cs="Arial"/>
                <w:b/>
                <w:szCs w:val="20"/>
              </w:rPr>
            </w:pPr>
            <w:r w:rsidRPr="00545EC0">
              <w:rPr>
                <w:rFonts w:cs="Arial"/>
                <w:b/>
                <w:szCs w:val="20"/>
              </w:rPr>
              <w:t xml:space="preserve">Mura </w:t>
            </w:r>
          </w:p>
        </w:tc>
        <w:tc>
          <w:tcPr>
            <w:tcW w:w="553"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7602FC3" w14:textId="77777777" w:rsidR="0051531D" w:rsidRPr="00545EC0" w:rsidRDefault="0051531D" w:rsidP="005F6303">
            <w:pPr>
              <w:spacing w:line="240" w:lineRule="auto"/>
              <w:jc w:val="center"/>
              <w:rPr>
                <w:rFonts w:cs="Arial"/>
                <w:b/>
                <w:szCs w:val="20"/>
              </w:rPr>
            </w:pPr>
            <w:r w:rsidRPr="00545EC0">
              <w:rPr>
                <w:rFonts w:cs="Arial"/>
                <w:b/>
                <w:szCs w:val="20"/>
              </w:rPr>
              <w:t>Drava</w:t>
            </w:r>
          </w:p>
        </w:tc>
        <w:tc>
          <w:tcPr>
            <w:tcW w:w="52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015412E" w14:textId="77777777" w:rsidR="0051531D" w:rsidRPr="00545EC0" w:rsidRDefault="0051531D" w:rsidP="005F6303">
            <w:pPr>
              <w:spacing w:line="240" w:lineRule="auto"/>
              <w:jc w:val="center"/>
              <w:rPr>
                <w:rFonts w:cs="Arial"/>
                <w:b/>
                <w:szCs w:val="20"/>
              </w:rPr>
            </w:pPr>
            <w:r w:rsidRPr="00545EC0">
              <w:rPr>
                <w:rFonts w:cs="Arial"/>
                <w:b/>
                <w:szCs w:val="20"/>
              </w:rPr>
              <w:t>Savinja</w:t>
            </w:r>
          </w:p>
        </w:tc>
        <w:tc>
          <w:tcPr>
            <w:tcW w:w="529" w:type="pct"/>
            <w:tcBorders>
              <w:top w:val="single" w:sz="4" w:space="0" w:color="auto"/>
              <w:left w:val="nil"/>
              <w:bottom w:val="single" w:sz="4" w:space="0" w:color="auto"/>
              <w:right w:val="single" w:sz="4" w:space="0" w:color="auto"/>
            </w:tcBorders>
            <w:shd w:val="clear" w:color="auto" w:fill="F2F2F2" w:themeFill="background1" w:themeFillShade="F2"/>
            <w:vAlign w:val="bottom"/>
            <w:hideMark/>
          </w:tcPr>
          <w:p w14:paraId="0A72466C" w14:textId="77777777" w:rsidR="0051531D" w:rsidRPr="00545EC0" w:rsidRDefault="0051531D" w:rsidP="005F6303">
            <w:pPr>
              <w:spacing w:line="240" w:lineRule="auto"/>
              <w:jc w:val="center"/>
              <w:rPr>
                <w:rFonts w:cs="Arial"/>
                <w:b/>
                <w:szCs w:val="20"/>
              </w:rPr>
            </w:pPr>
            <w:r w:rsidRPr="00545EC0">
              <w:rPr>
                <w:rFonts w:cs="Arial"/>
                <w:b/>
                <w:szCs w:val="20"/>
              </w:rPr>
              <w:t xml:space="preserve">Zgornja Sava </w:t>
            </w:r>
          </w:p>
        </w:tc>
        <w:tc>
          <w:tcPr>
            <w:tcW w:w="526" w:type="pct"/>
            <w:tcBorders>
              <w:top w:val="single" w:sz="4" w:space="0" w:color="auto"/>
              <w:left w:val="nil"/>
              <w:bottom w:val="single" w:sz="4" w:space="0" w:color="auto"/>
              <w:right w:val="single" w:sz="4" w:space="0" w:color="auto"/>
            </w:tcBorders>
            <w:shd w:val="clear" w:color="auto" w:fill="F2F2F2" w:themeFill="background1" w:themeFillShade="F2"/>
            <w:vAlign w:val="bottom"/>
            <w:hideMark/>
          </w:tcPr>
          <w:p w14:paraId="5D04665D" w14:textId="77777777" w:rsidR="0051531D" w:rsidRPr="00545EC0" w:rsidRDefault="0051531D" w:rsidP="005F6303">
            <w:pPr>
              <w:spacing w:line="240" w:lineRule="auto"/>
              <w:jc w:val="center"/>
              <w:rPr>
                <w:rFonts w:cs="Arial"/>
                <w:b/>
                <w:szCs w:val="20"/>
              </w:rPr>
            </w:pPr>
            <w:r w:rsidRPr="00545EC0">
              <w:rPr>
                <w:rFonts w:cs="Arial"/>
                <w:b/>
                <w:szCs w:val="20"/>
              </w:rPr>
              <w:t>Srednja Sava</w:t>
            </w:r>
          </w:p>
        </w:tc>
        <w:tc>
          <w:tcPr>
            <w:tcW w:w="601" w:type="pct"/>
            <w:tcBorders>
              <w:top w:val="single" w:sz="4" w:space="0" w:color="auto"/>
              <w:left w:val="nil"/>
              <w:bottom w:val="single" w:sz="4" w:space="0" w:color="auto"/>
              <w:right w:val="single" w:sz="4" w:space="0" w:color="auto"/>
            </w:tcBorders>
            <w:shd w:val="clear" w:color="auto" w:fill="F2F2F2" w:themeFill="background1" w:themeFillShade="F2"/>
            <w:vAlign w:val="bottom"/>
            <w:hideMark/>
          </w:tcPr>
          <w:p w14:paraId="0CD7E26B" w14:textId="77777777" w:rsidR="0051531D" w:rsidRPr="00545EC0" w:rsidRDefault="0051531D" w:rsidP="005F6303">
            <w:pPr>
              <w:spacing w:line="240" w:lineRule="auto"/>
              <w:jc w:val="center"/>
              <w:rPr>
                <w:rFonts w:cs="Arial"/>
                <w:b/>
                <w:szCs w:val="20"/>
              </w:rPr>
            </w:pPr>
            <w:r w:rsidRPr="00545EC0">
              <w:rPr>
                <w:rFonts w:cs="Arial"/>
                <w:b/>
                <w:szCs w:val="20"/>
              </w:rPr>
              <w:t xml:space="preserve">Spodnja Sava </w:t>
            </w:r>
          </w:p>
        </w:tc>
      </w:tr>
      <w:tr w:rsidR="003122F4" w:rsidRPr="00545EC0" w14:paraId="630CA242" w14:textId="77777777" w:rsidTr="0061507B">
        <w:trPr>
          <w:trHeight w:val="705"/>
          <w:jc w:val="center"/>
        </w:trPr>
        <w:tc>
          <w:tcPr>
            <w:tcW w:w="1756" w:type="pct"/>
            <w:tcBorders>
              <w:top w:val="nil"/>
              <w:left w:val="single" w:sz="4" w:space="0" w:color="auto"/>
              <w:bottom w:val="single" w:sz="4" w:space="0" w:color="auto"/>
              <w:right w:val="single" w:sz="4" w:space="0" w:color="auto"/>
            </w:tcBorders>
            <w:shd w:val="clear" w:color="auto" w:fill="auto"/>
            <w:vAlign w:val="center"/>
            <w:hideMark/>
          </w:tcPr>
          <w:p w14:paraId="4D7989C1" w14:textId="77777777" w:rsidR="0051531D" w:rsidRPr="00545EC0" w:rsidRDefault="0051531D" w:rsidP="005F6303">
            <w:pPr>
              <w:spacing w:line="240" w:lineRule="auto"/>
              <w:rPr>
                <w:rFonts w:cs="Arial"/>
                <w:szCs w:val="20"/>
              </w:rPr>
            </w:pPr>
            <w:r w:rsidRPr="00545EC0">
              <w:rPr>
                <w:rFonts w:cs="Arial"/>
                <w:szCs w:val="20"/>
              </w:rPr>
              <w:t xml:space="preserve">Število območij pomembnega vpliva poplav </w:t>
            </w:r>
          </w:p>
        </w:tc>
        <w:tc>
          <w:tcPr>
            <w:tcW w:w="505" w:type="pct"/>
            <w:tcBorders>
              <w:top w:val="nil"/>
              <w:left w:val="nil"/>
              <w:bottom w:val="single" w:sz="4" w:space="0" w:color="auto"/>
              <w:right w:val="single" w:sz="4" w:space="0" w:color="auto"/>
            </w:tcBorders>
            <w:shd w:val="clear" w:color="auto" w:fill="auto"/>
            <w:noWrap/>
            <w:vAlign w:val="center"/>
            <w:hideMark/>
          </w:tcPr>
          <w:p w14:paraId="4AA68EEC" w14:textId="77777777" w:rsidR="0051531D" w:rsidRPr="00545EC0" w:rsidRDefault="0051531D" w:rsidP="005F6303">
            <w:pPr>
              <w:spacing w:line="240" w:lineRule="auto"/>
              <w:jc w:val="center"/>
              <w:rPr>
                <w:rFonts w:cs="Arial"/>
                <w:szCs w:val="20"/>
              </w:rPr>
            </w:pPr>
            <w:r w:rsidRPr="00545EC0">
              <w:rPr>
                <w:rFonts w:cs="Arial"/>
                <w:szCs w:val="20"/>
              </w:rPr>
              <w:t>5</w:t>
            </w:r>
          </w:p>
        </w:tc>
        <w:tc>
          <w:tcPr>
            <w:tcW w:w="553" w:type="pct"/>
            <w:tcBorders>
              <w:top w:val="nil"/>
              <w:left w:val="nil"/>
              <w:bottom w:val="single" w:sz="4" w:space="0" w:color="auto"/>
              <w:right w:val="single" w:sz="4" w:space="0" w:color="auto"/>
            </w:tcBorders>
            <w:shd w:val="clear" w:color="auto" w:fill="auto"/>
            <w:noWrap/>
            <w:vAlign w:val="center"/>
            <w:hideMark/>
          </w:tcPr>
          <w:p w14:paraId="72C5DD75" w14:textId="77777777" w:rsidR="0051531D" w:rsidRPr="00545EC0" w:rsidRDefault="0051531D" w:rsidP="005F6303">
            <w:pPr>
              <w:spacing w:line="240" w:lineRule="auto"/>
              <w:jc w:val="center"/>
              <w:rPr>
                <w:rFonts w:cs="Arial"/>
                <w:szCs w:val="20"/>
              </w:rPr>
            </w:pPr>
            <w:r w:rsidRPr="00545EC0">
              <w:rPr>
                <w:rFonts w:cs="Arial"/>
                <w:szCs w:val="20"/>
              </w:rPr>
              <w:t>12</w:t>
            </w:r>
          </w:p>
        </w:tc>
        <w:tc>
          <w:tcPr>
            <w:tcW w:w="529" w:type="pct"/>
            <w:tcBorders>
              <w:top w:val="nil"/>
              <w:left w:val="nil"/>
              <w:bottom w:val="single" w:sz="4" w:space="0" w:color="auto"/>
              <w:right w:val="single" w:sz="4" w:space="0" w:color="auto"/>
            </w:tcBorders>
            <w:shd w:val="clear" w:color="auto" w:fill="auto"/>
            <w:noWrap/>
            <w:vAlign w:val="center"/>
            <w:hideMark/>
          </w:tcPr>
          <w:p w14:paraId="2BCDB6A9" w14:textId="77777777" w:rsidR="0051531D" w:rsidRPr="00545EC0" w:rsidRDefault="0051531D" w:rsidP="005F6303">
            <w:pPr>
              <w:spacing w:line="240" w:lineRule="auto"/>
              <w:jc w:val="center"/>
              <w:rPr>
                <w:rFonts w:cs="Arial"/>
                <w:szCs w:val="20"/>
              </w:rPr>
            </w:pPr>
            <w:r w:rsidRPr="00545EC0">
              <w:rPr>
                <w:rFonts w:cs="Arial"/>
                <w:szCs w:val="20"/>
              </w:rPr>
              <w:t>10</w:t>
            </w:r>
          </w:p>
        </w:tc>
        <w:tc>
          <w:tcPr>
            <w:tcW w:w="529" w:type="pct"/>
            <w:tcBorders>
              <w:top w:val="nil"/>
              <w:left w:val="nil"/>
              <w:bottom w:val="single" w:sz="4" w:space="0" w:color="auto"/>
              <w:right w:val="single" w:sz="4" w:space="0" w:color="auto"/>
            </w:tcBorders>
            <w:shd w:val="clear" w:color="auto" w:fill="auto"/>
            <w:noWrap/>
            <w:vAlign w:val="center"/>
            <w:hideMark/>
          </w:tcPr>
          <w:p w14:paraId="0DE52D1E" w14:textId="77777777" w:rsidR="0051531D" w:rsidRPr="00545EC0" w:rsidRDefault="0051531D" w:rsidP="005F6303">
            <w:pPr>
              <w:spacing w:line="240" w:lineRule="auto"/>
              <w:jc w:val="center"/>
              <w:rPr>
                <w:rFonts w:cs="Arial"/>
                <w:szCs w:val="20"/>
              </w:rPr>
            </w:pPr>
            <w:r w:rsidRPr="00545EC0">
              <w:rPr>
                <w:rFonts w:cs="Arial"/>
                <w:szCs w:val="20"/>
              </w:rPr>
              <w:t>8</w:t>
            </w:r>
          </w:p>
        </w:tc>
        <w:tc>
          <w:tcPr>
            <w:tcW w:w="526" w:type="pct"/>
            <w:tcBorders>
              <w:top w:val="nil"/>
              <w:left w:val="nil"/>
              <w:bottom w:val="single" w:sz="4" w:space="0" w:color="auto"/>
              <w:right w:val="single" w:sz="4" w:space="0" w:color="auto"/>
            </w:tcBorders>
            <w:shd w:val="clear" w:color="auto" w:fill="auto"/>
            <w:noWrap/>
            <w:vAlign w:val="center"/>
            <w:hideMark/>
          </w:tcPr>
          <w:p w14:paraId="2C008276" w14:textId="77777777" w:rsidR="0051531D" w:rsidRPr="00545EC0" w:rsidRDefault="0051531D" w:rsidP="005F6303">
            <w:pPr>
              <w:spacing w:line="240" w:lineRule="auto"/>
              <w:jc w:val="center"/>
              <w:rPr>
                <w:rFonts w:cs="Arial"/>
                <w:szCs w:val="20"/>
              </w:rPr>
            </w:pPr>
            <w:r w:rsidRPr="00545EC0">
              <w:rPr>
                <w:rFonts w:cs="Arial"/>
                <w:szCs w:val="20"/>
              </w:rPr>
              <w:t>28</w:t>
            </w:r>
          </w:p>
        </w:tc>
        <w:tc>
          <w:tcPr>
            <w:tcW w:w="601" w:type="pct"/>
            <w:tcBorders>
              <w:top w:val="nil"/>
              <w:left w:val="nil"/>
              <w:bottom w:val="single" w:sz="4" w:space="0" w:color="auto"/>
              <w:right w:val="single" w:sz="4" w:space="0" w:color="auto"/>
            </w:tcBorders>
            <w:shd w:val="clear" w:color="auto" w:fill="auto"/>
            <w:noWrap/>
            <w:vAlign w:val="center"/>
            <w:hideMark/>
          </w:tcPr>
          <w:p w14:paraId="2A99A2F0" w14:textId="77777777" w:rsidR="0051531D" w:rsidRPr="00545EC0" w:rsidRDefault="0051531D" w:rsidP="005F6303">
            <w:pPr>
              <w:spacing w:line="240" w:lineRule="auto"/>
              <w:jc w:val="center"/>
              <w:rPr>
                <w:rFonts w:cs="Arial"/>
                <w:szCs w:val="20"/>
              </w:rPr>
            </w:pPr>
            <w:r w:rsidRPr="00545EC0">
              <w:rPr>
                <w:rFonts w:cs="Arial"/>
                <w:szCs w:val="20"/>
              </w:rPr>
              <w:t>12</w:t>
            </w:r>
          </w:p>
        </w:tc>
      </w:tr>
      <w:tr w:rsidR="003122F4" w:rsidRPr="00545EC0" w14:paraId="154A357C" w14:textId="77777777" w:rsidTr="0061507B">
        <w:trPr>
          <w:trHeight w:val="720"/>
          <w:jc w:val="center"/>
        </w:trPr>
        <w:tc>
          <w:tcPr>
            <w:tcW w:w="1756" w:type="pct"/>
            <w:tcBorders>
              <w:top w:val="nil"/>
              <w:left w:val="single" w:sz="4" w:space="0" w:color="auto"/>
              <w:bottom w:val="single" w:sz="4" w:space="0" w:color="auto"/>
              <w:right w:val="single" w:sz="4" w:space="0" w:color="auto"/>
            </w:tcBorders>
            <w:shd w:val="clear" w:color="auto" w:fill="auto"/>
            <w:vAlign w:val="center"/>
            <w:hideMark/>
          </w:tcPr>
          <w:p w14:paraId="76B9AC58" w14:textId="77777777" w:rsidR="0051531D" w:rsidRPr="00545EC0" w:rsidRDefault="0051531D" w:rsidP="005F6303">
            <w:pPr>
              <w:spacing w:line="240" w:lineRule="auto"/>
              <w:rPr>
                <w:rFonts w:cs="Arial"/>
                <w:szCs w:val="20"/>
              </w:rPr>
            </w:pPr>
            <w:r w:rsidRPr="00545EC0">
              <w:rPr>
                <w:rFonts w:cs="Arial"/>
                <w:szCs w:val="20"/>
              </w:rPr>
              <w:t xml:space="preserve">Število prebivalcev na območjih pomembnega vpliva poplav </w:t>
            </w:r>
          </w:p>
        </w:tc>
        <w:tc>
          <w:tcPr>
            <w:tcW w:w="505" w:type="pct"/>
            <w:tcBorders>
              <w:top w:val="nil"/>
              <w:left w:val="nil"/>
              <w:bottom w:val="single" w:sz="4" w:space="0" w:color="auto"/>
              <w:right w:val="single" w:sz="4" w:space="0" w:color="auto"/>
            </w:tcBorders>
            <w:shd w:val="clear" w:color="auto" w:fill="auto"/>
            <w:noWrap/>
            <w:vAlign w:val="center"/>
            <w:hideMark/>
          </w:tcPr>
          <w:p w14:paraId="4C159B29" w14:textId="77777777" w:rsidR="0051531D" w:rsidRPr="00545EC0" w:rsidRDefault="0051531D" w:rsidP="005F6303">
            <w:pPr>
              <w:spacing w:line="240" w:lineRule="auto"/>
              <w:jc w:val="center"/>
              <w:rPr>
                <w:rFonts w:cs="Arial"/>
                <w:szCs w:val="20"/>
              </w:rPr>
            </w:pPr>
            <w:r w:rsidRPr="00545EC0">
              <w:rPr>
                <w:rFonts w:cs="Arial"/>
                <w:szCs w:val="20"/>
              </w:rPr>
              <w:t>4039</w:t>
            </w:r>
          </w:p>
        </w:tc>
        <w:tc>
          <w:tcPr>
            <w:tcW w:w="553" w:type="pct"/>
            <w:tcBorders>
              <w:top w:val="nil"/>
              <w:left w:val="nil"/>
              <w:bottom w:val="single" w:sz="4" w:space="0" w:color="auto"/>
              <w:right w:val="single" w:sz="4" w:space="0" w:color="auto"/>
            </w:tcBorders>
            <w:shd w:val="clear" w:color="auto" w:fill="auto"/>
            <w:noWrap/>
            <w:vAlign w:val="center"/>
            <w:hideMark/>
          </w:tcPr>
          <w:p w14:paraId="73EE6303" w14:textId="77777777" w:rsidR="0051531D" w:rsidRPr="00545EC0" w:rsidRDefault="0051531D" w:rsidP="005F6303">
            <w:pPr>
              <w:spacing w:line="240" w:lineRule="auto"/>
              <w:jc w:val="center"/>
              <w:rPr>
                <w:rFonts w:cs="Arial"/>
                <w:szCs w:val="20"/>
              </w:rPr>
            </w:pPr>
            <w:r w:rsidRPr="00545EC0">
              <w:rPr>
                <w:rFonts w:cs="Arial"/>
                <w:szCs w:val="20"/>
              </w:rPr>
              <w:t>32057</w:t>
            </w:r>
          </w:p>
        </w:tc>
        <w:tc>
          <w:tcPr>
            <w:tcW w:w="529" w:type="pct"/>
            <w:tcBorders>
              <w:top w:val="nil"/>
              <w:left w:val="nil"/>
              <w:bottom w:val="single" w:sz="4" w:space="0" w:color="auto"/>
              <w:right w:val="single" w:sz="4" w:space="0" w:color="auto"/>
            </w:tcBorders>
            <w:shd w:val="clear" w:color="auto" w:fill="auto"/>
            <w:noWrap/>
            <w:vAlign w:val="center"/>
            <w:hideMark/>
          </w:tcPr>
          <w:p w14:paraId="1B59523E" w14:textId="77777777" w:rsidR="0051531D" w:rsidRPr="00545EC0" w:rsidRDefault="0051531D" w:rsidP="005F6303">
            <w:pPr>
              <w:spacing w:line="240" w:lineRule="auto"/>
              <w:jc w:val="center"/>
              <w:rPr>
                <w:rFonts w:cs="Arial"/>
                <w:szCs w:val="20"/>
              </w:rPr>
            </w:pPr>
            <w:r w:rsidRPr="00545EC0">
              <w:rPr>
                <w:rFonts w:cs="Arial"/>
                <w:szCs w:val="20"/>
              </w:rPr>
              <w:t>48550</w:t>
            </w:r>
          </w:p>
        </w:tc>
        <w:tc>
          <w:tcPr>
            <w:tcW w:w="529" w:type="pct"/>
            <w:tcBorders>
              <w:top w:val="nil"/>
              <w:left w:val="nil"/>
              <w:bottom w:val="single" w:sz="4" w:space="0" w:color="auto"/>
              <w:right w:val="single" w:sz="4" w:space="0" w:color="auto"/>
            </w:tcBorders>
            <w:shd w:val="clear" w:color="auto" w:fill="auto"/>
            <w:noWrap/>
            <w:vAlign w:val="center"/>
            <w:hideMark/>
          </w:tcPr>
          <w:p w14:paraId="4CB4DA6E" w14:textId="77777777" w:rsidR="0051531D" w:rsidRPr="00545EC0" w:rsidRDefault="0051531D" w:rsidP="005F6303">
            <w:pPr>
              <w:spacing w:line="240" w:lineRule="auto"/>
              <w:jc w:val="center"/>
              <w:rPr>
                <w:rFonts w:cs="Arial"/>
                <w:szCs w:val="20"/>
              </w:rPr>
            </w:pPr>
            <w:r w:rsidRPr="00545EC0">
              <w:rPr>
                <w:rFonts w:cs="Arial"/>
                <w:szCs w:val="20"/>
              </w:rPr>
              <w:t>40281</w:t>
            </w:r>
          </w:p>
        </w:tc>
        <w:tc>
          <w:tcPr>
            <w:tcW w:w="526" w:type="pct"/>
            <w:tcBorders>
              <w:top w:val="nil"/>
              <w:left w:val="nil"/>
              <w:bottom w:val="single" w:sz="4" w:space="0" w:color="auto"/>
              <w:right w:val="single" w:sz="4" w:space="0" w:color="auto"/>
            </w:tcBorders>
            <w:shd w:val="clear" w:color="auto" w:fill="auto"/>
            <w:noWrap/>
            <w:vAlign w:val="center"/>
            <w:hideMark/>
          </w:tcPr>
          <w:p w14:paraId="512C99DB" w14:textId="77777777" w:rsidR="0051531D" w:rsidRPr="00545EC0" w:rsidRDefault="0051531D" w:rsidP="005F6303">
            <w:pPr>
              <w:spacing w:line="240" w:lineRule="auto"/>
              <w:jc w:val="center"/>
              <w:rPr>
                <w:rFonts w:cs="Arial"/>
                <w:szCs w:val="20"/>
              </w:rPr>
            </w:pPr>
            <w:r w:rsidRPr="00545EC0">
              <w:rPr>
                <w:rFonts w:cs="Arial"/>
                <w:szCs w:val="20"/>
              </w:rPr>
              <w:t>129236</w:t>
            </w:r>
          </w:p>
        </w:tc>
        <w:tc>
          <w:tcPr>
            <w:tcW w:w="601" w:type="pct"/>
            <w:tcBorders>
              <w:top w:val="nil"/>
              <w:left w:val="nil"/>
              <w:bottom w:val="single" w:sz="4" w:space="0" w:color="auto"/>
              <w:right w:val="single" w:sz="4" w:space="0" w:color="auto"/>
            </w:tcBorders>
            <w:shd w:val="clear" w:color="auto" w:fill="auto"/>
            <w:noWrap/>
            <w:vAlign w:val="center"/>
            <w:hideMark/>
          </w:tcPr>
          <w:p w14:paraId="371755FA" w14:textId="77777777" w:rsidR="0051531D" w:rsidRPr="00545EC0" w:rsidRDefault="0051531D" w:rsidP="005F6303">
            <w:pPr>
              <w:spacing w:line="240" w:lineRule="auto"/>
              <w:jc w:val="center"/>
              <w:rPr>
                <w:rFonts w:cs="Arial"/>
                <w:szCs w:val="20"/>
              </w:rPr>
            </w:pPr>
            <w:r w:rsidRPr="00545EC0">
              <w:rPr>
                <w:rFonts w:cs="Arial"/>
                <w:szCs w:val="20"/>
              </w:rPr>
              <w:t>13134</w:t>
            </w:r>
          </w:p>
        </w:tc>
      </w:tr>
      <w:tr w:rsidR="0051531D" w:rsidRPr="00545EC0" w14:paraId="00DD5F67" w14:textId="77777777" w:rsidTr="0061507B">
        <w:trPr>
          <w:trHeight w:val="510"/>
          <w:jc w:val="center"/>
        </w:trPr>
        <w:tc>
          <w:tcPr>
            <w:tcW w:w="1756" w:type="pct"/>
            <w:tcBorders>
              <w:top w:val="nil"/>
              <w:left w:val="single" w:sz="4" w:space="0" w:color="auto"/>
              <w:bottom w:val="single" w:sz="4" w:space="0" w:color="auto"/>
              <w:right w:val="single" w:sz="4" w:space="0" w:color="auto"/>
            </w:tcBorders>
            <w:shd w:val="clear" w:color="auto" w:fill="auto"/>
            <w:vAlign w:val="center"/>
            <w:hideMark/>
          </w:tcPr>
          <w:p w14:paraId="5AF28B78" w14:textId="77777777" w:rsidR="0051531D" w:rsidRPr="00545EC0" w:rsidRDefault="0051531D" w:rsidP="005F6303">
            <w:pPr>
              <w:spacing w:line="240" w:lineRule="auto"/>
              <w:rPr>
                <w:rFonts w:cs="Arial"/>
                <w:szCs w:val="20"/>
              </w:rPr>
            </w:pPr>
            <w:r w:rsidRPr="00545EC0">
              <w:rPr>
                <w:rFonts w:cs="Arial"/>
                <w:szCs w:val="20"/>
              </w:rPr>
              <w:t>Število stavb na območjih pomembnega vpliva poplav</w:t>
            </w:r>
          </w:p>
        </w:tc>
        <w:tc>
          <w:tcPr>
            <w:tcW w:w="505" w:type="pct"/>
            <w:tcBorders>
              <w:top w:val="nil"/>
              <w:left w:val="nil"/>
              <w:bottom w:val="single" w:sz="4" w:space="0" w:color="auto"/>
              <w:right w:val="single" w:sz="4" w:space="0" w:color="auto"/>
            </w:tcBorders>
            <w:shd w:val="clear" w:color="auto" w:fill="auto"/>
            <w:noWrap/>
            <w:vAlign w:val="center"/>
            <w:hideMark/>
          </w:tcPr>
          <w:p w14:paraId="25DD67FE" w14:textId="77777777" w:rsidR="0051531D" w:rsidRPr="00545EC0" w:rsidRDefault="0051531D" w:rsidP="005F6303">
            <w:pPr>
              <w:spacing w:line="240" w:lineRule="auto"/>
              <w:jc w:val="center"/>
              <w:rPr>
                <w:rFonts w:cs="Arial"/>
                <w:szCs w:val="20"/>
              </w:rPr>
            </w:pPr>
            <w:r w:rsidRPr="00545EC0">
              <w:rPr>
                <w:rFonts w:cs="Arial"/>
                <w:szCs w:val="20"/>
              </w:rPr>
              <w:t>2775</w:t>
            </w:r>
          </w:p>
        </w:tc>
        <w:tc>
          <w:tcPr>
            <w:tcW w:w="553" w:type="pct"/>
            <w:tcBorders>
              <w:top w:val="nil"/>
              <w:left w:val="nil"/>
              <w:bottom w:val="single" w:sz="4" w:space="0" w:color="auto"/>
              <w:right w:val="single" w:sz="4" w:space="0" w:color="auto"/>
            </w:tcBorders>
            <w:shd w:val="clear" w:color="auto" w:fill="auto"/>
            <w:noWrap/>
            <w:vAlign w:val="center"/>
            <w:hideMark/>
          </w:tcPr>
          <w:p w14:paraId="39EB363E" w14:textId="77777777" w:rsidR="0051531D" w:rsidRPr="00545EC0" w:rsidRDefault="0051531D" w:rsidP="005F6303">
            <w:pPr>
              <w:spacing w:line="240" w:lineRule="auto"/>
              <w:jc w:val="center"/>
              <w:rPr>
                <w:rFonts w:cs="Arial"/>
                <w:szCs w:val="20"/>
              </w:rPr>
            </w:pPr>
            <w:r w:rsidRPr="00545EC0">
              <w:rPr>
                <w:rFonts w:cs="Arial"/>
                <w:szCs w:val="20"/>
              </w:rPr>
              <w:t>10501</w:t>
            </w:r>
          </w:p>
        </w:tc>
        <w:tc>
          <w:tcPr>
            <w:tcW w:w="529" w:type="pct"/>
            <w:tcBorders>
              <w:top w:val="nil"/>
              <w:left w:val="nil"/>
              <w:bottom w:val="single" w:sz="4" w:space="0" w:color="auto"/>
              <w:right w:val="single" w:sz="4" w:space="0" w:color="auto"/>
            </w:tcBorders>
            <w:shd w:val="clear" w:color="auto" w:fill="auto"/>
            <w:noWrap/>
            <w:vAlign w:val="center"/>
            <w:hideMark/>
          </w:tcPr>
          <w:p w14:paraId="0F8CC07E" w14:textId="77777777" w:rsidR="0051531D" w:rsidRPr="00545EC0" w:rsidRDefault="0051531D" w:rsidP="005F6303">
            <w:pPr>
              <w:spacing w:line="240" w:lineRule="auto"/>
              <w:jc w:val="center"/>
              <w:rPr>
                <w:rFonts w:cs="Arial"/>
                <w:szCs w:val="20"/>
              </w:rPr>
            </w:pPr>
            <w:r w:rsidRPr="00545EC0">
              <w:rPr>
                <w:rFonts w:cs="Arial"/>
                <w:szCs w:val="20"/>
              </w:rPr>
              <w:t>10970</w:t>
            </w:r>
          </w:p>
        </w:tc>
        <w:tc>
          <w:tcPr>
            <w:tcW w:w="529" w:type="pct"/>
            <w:tcBorders>
              <w:top w:val="nil"/>
              <w:left w:val="nil"/>
              <w:bottom w:val="single" w:sz="4" w:space="0" w:color="auto"/>
              <w:right w:val="single" w:sz="4" w:space="0" w:color="auto"/>
            </w:tcBorders>
            <w:shd w:val="clear" w:color="auto" w:fill="auto"/>
            <w:noWrap/>
            <w:vAlign w:val="center"/>
            <w:hideMark/>
          </w:tcPr>
          <w:p w14:paraId="25C15EB1" w14:textId="77777777" w:rsidR="0051531D" w:rsidRPr="00545EC0" w:rsidRDefault="0051531D" w:rsidP="005F6303">
            <w:pPr>
              <w:spacing w:line="240" w:lineRule="auto"/>
              <w:jc w:val="center"/>
              <w:rPr>
                <w:rFonts w:cs="Arial"/>
                <w:szCs w:val="20"/>
              </w:rPr>
            </w:pPr>
            <w:r w:rsidRPr="00545EC0">
              <w:rPr>
                <w:rFonts w:cs="Arial"/>
                <w:szCs w:val="20"/>
              </w:rPr>
              <w:t>10224</w:t>
            </w:r>
          </w:p>
        </w:tc>
        <w:tc>
          <w:tcPr>
            <w:tcW w:w="526" w:type="pct"/>
            <w:tcBorders>
              <w:top w:val="nil"/>
              <w:left w:val="nil"/>
              <w:bottom w:val="single" w:sz="4" w:space="0" w:color="auto"/>
              <w:right w:val="single" w:sz="4" w:space="0" w:color="auto"/>
            </w:tcBorders>
            <w:shd w:val="clear" w:color="auto" w:fill="auto"/>
            <w:noWrap/>
            <w:vAlign w:val="center"/>
            <w:hideMark/>
          </w:tcPr>
          <w:p w14:paraId="065A79A1" w14:textId="77777777" w:rsidR="0051531D" w:rsidRPr="00545EC0" w:rsidRDefault="0051531D" w:rsidP="005F6303">
            <w:pPr>
              <w:spacing w:line="240" w:lineRule="auto"/>
              <w:jc w:val="center"/>
              <w:rPr>
                <w:rFonts w:cs="Arial"/>
                <w:szCs w:val="20"/>
              </w:rPr>
            </w:pPr>
            <w:r w:rsidRPr="00545EC0">
              <w:rPr>
                <w:rFonts w:cs="Arial"/>
                <w:szCs w:val="20"/>
              </w:rPr>
              <w:t>44032</w:t>
            </w:r>
          </w:p>
        </w:tc>
        <w:tc>
          <w:tcPr>
            <w:tcW w:w="601" w:type="pct"/>
            <w:tcBorders>
              <w:top w:val="nil"/>
              <w:left w:val="nil"/>
              <w:bottom w:val="single" w:sz="4" w:space="0" w:color="auto"/>
              <w:right w:val="single" w:sz="4" w:space="0" w:color="auto"/>
            </w:tcBorders>
            <w:shd w:val="clear" w:color="auto" w:fill="auto"/>
            <w:noWrap/>
            <w:vAlign w:val="center"/>
            <w:hideMark/>
          </w:tcPr>
          <w:p w14:paraId="57F8DA59" w14:textId="77777777" w:rsidR="0051531D" w:rsidRPr="00545EC0" w:rsidRDefault="0051531D" w:rsidP="005F6303">
            <w:pPr>
              <w:spacing w:line="240" w:lineRule="auto"/>
              <w:jc w:val="center"/>
              <w:rPr>
                <w:rFonts w:cs="Arial"/>
                <w:szCs w:val="20"/>
              </w:rPr>
            </w:pPr>
            <w:r w:rsidRPr="00545EC0">
              <w:rPr>
                <w:rFonts w:cs="Arial"/>
                <w:szCs w:val="20"/>
              </w:rPr>
              <w:t>4764</w:t>
            </w:r>
          </w:p>
        </w:tc>
      </w:tr>
    </w:tbl>
    <w:p w14:paraId="47A1A871" w14:textId="77777777" w:rsidR="0051531D" w:rsidRPr="00545EC0" w:rsidRDefault="0051531D" w:rsidP="0051531D">
      <w:pPr>
        <w:rPr>
          <w:rFonts w:cs="Arial"/>
          <w:bCs/>
          <w:szCs w:val="20"/>
        </w:rPr>
      </w:pPr>
    </w:p>
    <w:p w14:paraId="1C620F7E" w14:textId="77777777" w:rsidR="0051531D" w:rsidRPr="00545EC0" w:rsidRDefault="0051531D" w:rsidP="0051531D">
      <w:pPr>
        <w:rPr>
          <w:rFonts w:cs="Arial"/>
        </w:rPr>
      </w:pPr>
      <w:r w:rsidRPr="00545EC0">
        <w:rPr>
          <w:rFonts w:cs="Arial"/>
          <w:szCs w:val="20"/>
        </w:rPr>
        <w:t>Najbolj poplavno ogrožena porečja na vodnem območju Donave oz. porečja v katerih se nahaja največje število območij pomembnega vpliva poplav (izmed 86) so porečje Srednje Save (28), Spodnje Save (12) in Drave (12).</w:t>
      </w:r>
    </w:p>
    <w:p w14:paraId="05062DB1" w14:textId="77777777" w:rsidR="0051531D" w:rsidRPr="00545EC0" w:rsidRDefault="0051531D" w:rsidP="0051531D">
      <w:pPr>
        <w:rPr>
          <w:rFonts w:cs="Arial"/>
        </w:rPr>
      </w:pPr>
    </w:p>
    <w:p w14:paraId="60B319CA" w14:textId="0364FE09" w:rsidR="0051531D" w:rsidRPr="00545EC0" w:rsidRDefault="0051531D" w:rsidP="0051531D">
      <w:pPr>
        <w:rPr>
          <w:rFonts w:cs="Arial"/>
        </w:rPr>
      </w:pPr>
      <w:r w:rsidRPr="00545EC0">
        <w:rPr>
          <w:rFonts w:ascii="Helv" w:hAnsi="Helv" w:cs="Helv"/>
          <w:iCs/>
          <w:szCs w:val="20"/>
        </w:rPr>
        <w:t>V zadnjih cca. 30 letih so večji poplavni dogodki v Sloveniji povzročili za cca. 2100 mio EUR škode (cca. 2500 mio EUR z DDV). Samo v zadnjih 10 letih (obdobje 2010-2019) pa so večji poplavni dogodki v letih 2010, 2012, 2014, 2016, 2017, 2018 in 2019 v Sloveniji povzročili za cca. 1100 mio EUR škode (cca. 1350 mio EUR z DDV). V zadnjih 10 letih se torej v Sloveniji srečujemo s cca. 135 mio EUR letne neposredne škode kot posledice poplav, če pa ocenimo še dodatno posredno škodo (izpad prihodkov gospodarskih subjektov, propad podjetij, prekinjene infrastrukturne in komunikacijske povezave, dolgoročne posledice itd.) lahko grobo ocenimo, da se v Sloveniji srečujemo s cca. 150 mio EUR letnih škod kot posledice poplav.</w:t>
      </w:r>
    </w:p>
    <w:p w14:paraId="51F13D10" w14:textId="77777777" w:rsidR="0051531D" w:rsidRPr="00545EC0" w:rsidRDefault="0051531D" w:rsidP="0051531D">
      <w:pPr>
        <w:rPr>
          <w:rFonts w:cs="Arial"/>
          <w:lang w:eastAsia="ja-JP"/>
        </w:rPr>
      </w:pPr>
    </w:p>
    <w:p w14:paraId="2EC0711F" w14:textId="1427582A" w:rsidR="0051531D" w:rsidRPr="00545EC0" w:rsidRDefault="0051531D" w:rsidP="0051531D">
      <w:pPr>
        <w:rPr>
          <w:rFonts w:cs="Arial"/>
        </w:rPr>
      </w:pPr>
      <w:r w:rsidRPr="00545EC0">
        <w:rPr>
          <w:rFonts w:cs="Arial"/>
        </w:rPr>
        <w:t xml:space="preserve">NZPO opredeljuje cilje zmanjševanja </w:t>
      </w:r>
      <w:r w:rsidR="00537C3E" w:rsidRPr="00545EC0">
        <w:rPr>
          <w:rFonts w:cs="Arial"/>
        </w:rPr>
        <w:t>poplavne ogroženosti v okviru 17</w:t>
      </w:r>
      <w:r w:rsidRPr="00545EC0">
        <w:rPr>
          <w:rFonts w:cs="Arial"/>
        </w:rPr>
        <w:t xml:space="preserve"> porečij oz. povodij, na katerih se nahaja 86 območij pomembnega vpliva poplav. S protipoplavnimi gradbenimi in negradbenimi ukrepi (in konkretnimi projekti) za zmanjševanje poplavne ogroženosti se sledi naslednjim ciljem:</w:t>
      </w:r>
    </w:p>
    <w:p w14:paraId="27C071BA" w14:textId="77777777" w:rsidR="0051531D" w:rsidRPr="00545EC0" w:rsidRDefault="0051531D" w:rsidP="0051531D">
      <w:pPr>
        <w:tabs>
          <w:tab w:val="center" w:pos="426"/>
        </w:tabs>
        <w:ind w:left="426"/>
        <w:contextualSpacing/>
        <w:rPr>
          <w:rFonts w:cs="Arial"/>
          <w:lang w:val="x-none" w:eastAsia="x-none"/>
        </w:rPr>
      </w:pPr>
      <w:r w:rsidRPr="00545EC0">
        <w:rPr>
          <w:rFonts w:cs="Arial"/>
          <w:lang w:val="x-none" w:eastAsia="x-none"/>
        </w:rPr>
        <w:t>- izogibanje novim tveganjem pred poplavami;</w:t>
      </w:r>
    </w:p>
    <w:p w14:paraId="1CD7C0A4" w14:textId="77777777" w:rsidR="0051531D" w:rsidRPr="00545EC0" w:rsidRDefault="0051531D" w:rsidP="0051531D">
      <w:pPr>
        <w:tabs>
          <w:tab w:val="center" w:pos="426"/>
        </w:tabs>
        <w:ind w:left="426"/>
        <w:contextualSpacing/>
        <w:rPr>
          <w:rFonts w:cs="Arial"/>
          <w:lang w:val="x-none" w:eastAsia="x-none"/>
        </w:rPr>
      </w:pPr>
      <w:r w:rsidRPr="00545EC0">
        <w:rPr>
          <w:rFonts w:cs="Arial"/>
          <w:lang w:val="x-none" w:eastAsia="x-none"/>
        </w:rPr>
        <w:t>- zmanjševanje obstoječe poplavne ogroženosti;</w:t>
      </w:r>
    </w:p>
    <w:p w14:paraId="1C0625C7" w14:textId="77777777" w:rsidR="0051531D" w:rsidRPr="00545EC0" w:rsidRDefault="0051531D" w:rsidP="0051531D">
      <w:pPr>
        <w:tabs>
          <w:tab w:val="center" w:pos="426"/>
        </w:tabs>
        <w:ind w:left="426"/>
        <w:contextualSpacing/>
        <w:rPr>
          <w:rFonts w:cs="Arial"/>
          <w:lang w:val="x-none" w:eastAsia="x-none"/>
        </w:rPr>
      </w:pPr>
      <w:r w:rsidRPr="00545EC0">
        <w:rPr>
          <w:rFonts w:cs="Arial"/>
          <w:lang w:val="x-none" w:eastAsia="x-none"/>
        </w:rPr>
        <w:t>- zmanjševanje obstoječe poplavne ogroženosti med in po poplavah;</w:t>
      </w:r>
    </w:p>
    <w:p w14:paraId="32E400BC" w14:textId="77777777" w:rsidR="0051531D" w:rsidRPr="00545EC0" w:rsidRDefault="0051531D" w:rsidP="0051531D">
      <w:pPr>
        <w:tabs>
          <w:tab w:val="center" w:pos="426"/>
        </w:tabs>
        <w:ind w:left="426"/>
        <w:contextualSpacing/>
        <w:rPr>
          <w:rFonts w:cs="Arial"/>
          <w:lang w:val="x-none" w:eastAsia="x-none"/>
        </w:rPr>
      </w:pPr>
      <w:r w:rsidRPr="00545EC0">
        <w:rPr>
          <w:rFonts w:cs="Arial"/>
          <w:lang w:val="x-none" w:eastAsia="x-none"/>
        </w:rPr>
        <w:t>- krepitev zavedanja o poplavni ogroženosti.</w:t>
      </w:r>
    </w:p>
    <w:p w14:paraId="6FFD0409" w14:textId="77777777" w:rsidR="0051531D" w:rsidRPr="00545EC0" w:rsidRDefault="0051531D" w:rsidP="0051531D">
      <w:pPr>
        <w:ind w:left="397"/>
        <w:rPr>
          <w:rFonts w:cs="Arial"/>
        </w:rPr>
      </w:pPr>
    </w:p>
    <w:p w14:paraId="5890C202" w14:textId="77777777" w:rsidR="0051531D" w:rsidRPr="00545EC0" w:rsidRDefault="0051531D" w:rsidP="0051531D">
      <w:pPr>
        <w:rPr>
          <w:rFonts w:cs="Arial"/>
          <w:lang w:eastAsia="ja-JP"/>
        </w:rPr>
      </w:pPr>
      <w:r w:rsidRPr="00545EC0">
        <w:rPr>
          <w:rFonts w:cs="Arial"/>
        </w:rPr>
        <w:t>Pri navedenih ciljih gre predvsem za:</w:t>
      </w:r>
    </w:p>
    <w:p w14:paraId="446FA06A" w14:textId="77777777" w:rsidR="0051531D" w:rsidRPr="00545EC0" w:rsidRDefault="0051531D" w:rsidP="00DD37C5">
      <w:pPr>
        <w:numPr>
          <w:ilvl w:val="0"/>
          <w:numId w:val="32"/>
        </w:numPr>
        <w:tabs>
          <w:tab w:val="center" w:pos="426"/>
        </w:tabs>
        <w:ind w:left="426" w:hanging="426"/>
        <w:contextualSpacing/>
        <w:rPr>
          <w:rFonts w:cs="Arial"/>
          <w:lang w:val="x-none" w:eastAsia="x-none"/>
        </w:rPr>
      </w:pPr>
      <w:r w:rsidRPr="00545EC0">
        <w:rPr>
          <w:rFonts w:cs="Arial"/>
          <w:lang w:val="x-none" w:eastAsia="x-none"/>
        </w:rPr>
        <w:t>preprečitev vnosa novega škodnega potenciala na območja naravnih nevarnosti, spoštovanje pogojev in omejitev za gradnjo in izvajanje dejavnosti na teh območjih,</w:t>
      </w:r>
    </w:p>
    <w:p w14:paraId="0969EC9C" w14:textId="77777777" w:rsidR="0051531D" w:rsidRPr="00545EC0" w:rsidRDefault="0051531D" w:rsidP="00DD37C5">
      <w:pPr>
        <w:numPr>
          <w:ilvl w:val="0"/>
          <w:numId w:val="32"/>
        </w:numPr>
        <w:tabs>
          <w:tab w:val="center" w:pos="426"/>
        </w:tabs>
        <w:ind w:left="426" w:hanging="426"/>
        <w:contextualSpacing/>
        <w:rPr>
          <w:rFonts w:cs="Arial"/>
          <w:lang w:val="x-none" w:eastAsia="x-none"/>
        </w:rPr>
      </w:pPr>
      <w:r w:rsidRPr="00545EC0">
        <w:rPr>
          <w:rFonts w:cs="Arial"/>
          <w:lang w:val="x-none" w:eastAsia="x-none"/>
        </w:rPr>
        <w:t>izvajanje ukrepov za omilitev vpliva predvidenih gradenj in dejavnosti,</w:t>
      </w:r>
    </w:p>
    <w:p w14:paraId="7EB70606" w14:textId="223C9395" w:rsidR="0051531D" w:rsidRPr="00545EC0" w:rsidRDefault="0051531D" w:rsidP="00DD37C5">
      <w:pPr>
        <w:numPr>
          <w:ilvl w:val="0"/>
          <w:numId w:val="32"/>
        </w:numPr>
        <w:tabs>
          <w:tab w:val="center" w:pos="426"/>
        </w:tabs>
        <w:ind w:left="426" w:hanging="426"/>
        <w:contextualSpacing/>
        <w:rPr>
          <w:rFonts w:cs="Arial"/>
          <w:lang w:val="x-none" w:eastAsia="x-none"/>
        </w:rPr>
      </w:pPr>
      <w:r w:rsidRPr="00545EC0">
        <w:rPr>
          <w:rFonts w:cs="Arial"/>
          <w:lang w:val="x-none" w:eastAsia="x-none"/>
        </w:rPr>
        <w:t>zagotovitev zadostnega prostora za poplavne procese in druge naravne pojave, ki jih običajno spremljajo (erozija, plazovi), pri čemer ima pomembno vlogo zlasti ohranitev in vzpostavitev naravnih poplavnih območij,</w:t>
      </w:r>
    </w:p>
    <w:p w14:paraId="4E6F0D57" w14:textId="77777777" w:rsidR="0051531D" w:rsidRPr="00545EC0" w:rsidRDefault="0051531D" w:rsidP="00DD37C5">
      <w:pPr>
        <w:numPr>
          <w:ilvl w:val="0"/>
          <w:numId w:val="32"/>
        </w:numPr>
        <w:tabs>
          <w:tab w:val="center" w:pos="426"/>
        </w:tabs>
        <w:ind w:left="426" w:hanging="426"/>
        <w:contextualSpacing/>
        <w:rPr>
          <w:rFonts w:cs="Arial"/>
          <w:lang w:val="x-none" w:eastAsia="x-none"/>
        </w:rPr>
      </w:pPr>
      <w:r w:rsidRPr="00545EC0">
        <w:rPr>
          <w:rFonts w:cs="Arial"/>
          <w:lang w:val="x-none" w:eastAsia="x-none"/>
        </w:rPr>
        <w:t>uskladitev letnih potreb in predvidenih sredstev za vzdrževanje vodotokov,</w:t>
      </w:r>
    </w:p>
    <w:p w14:paraId="155F9182" w14:textId="77777777" w:rsidR="0051531D" w:rsidRPr="00545EC0" w:rsidRDefault="0051531D" w:rsidP="00DD37C5">
      <w:pPr>
        <w:numPr>
          <w:ilvl w:val="0"/>
          <w:numId w:val="32"/>
        </w:numPr>
        <w:tabs>
          <w:tab w:val="center" w:pos="426"/>
        </w:tabs>
        <w:ind w:left="426" w:hanging="426"/>
        <w:contextualSpacing/>
        <w:rPr>
          <w:rFonts w:cs="Arial"/>
          <w:lang w:val="x-none" w:eastAsia="x-none"/>
        </w:rPr>
      </w:pPr>
      <w:r w:rsidRPr="00545EC0">
        <w:rPr>
          <w:rFonts w:cs="Arial"/>
          <w:lang w:val="x-none" w:eastAsia="x-none"/>
        </w:rPr>
        <w:t>sistemsko uskladitev potreb vzdrževanja vodne infrastrukture, vodnih in priobalnih zemljišč s cilji ribištva, kmetijstva, gozdarstva, varstva narave idr., zlasti na porečjih s pogostimi škodnimi posledicami,</w:t>
      </w:r>
    </w:p>
    <w:p w14:paraId="434C2858" w14:textId="79B241F8" w:rsidR="0051531D" w:rsidRPr="00545EC0" w:rsidRDefault="0051531D" w:rsidP="00DD37C5">
      <w:pPr>
        <w:numPr>
          <w:ilvl w:val="0"/>
          <w:numId w:val="32"/>
        </w:numPr>
        <w:tabs>
          <w:tab w:val="center" w:pos="426"/>
        </w:tabs>
        <w:ind w:left="426" w:hanging="426"/>
        <w:contextualSpacing/>
        <w:rPr>
          <w:rFonts w:cs="Arial"/>
          <w:lang w:val="x-none" w:eastAsia="x-none"/>
        </w:rPr>
      </w:pPr>
      <w:r w:rsidRPr="00545EC0">
        <w:rPr>
          <w:rFonts w:cs="Arial"/>
          <w:lang w:val="x-none" w:eastAsia="x-none"/>
        </w:rPr>
        <w:lastRenderedPageBreak/>
        <w:t>izvedbo sanacijskih programov v celoti in pravočasno, še pred naslednjim škodnim dogodkom,</w:t>
      </w:r>
    </w:p>
    <w:p w14:paraId="5BB49C39" w14:textId="77777777" w:rsidR="0051531D" w:rsidRPr="00545EC0" w:rsidRDefault="0051531D" w:rsidP="00DD37C5">
      <w:pPr>
        <w:numPr>
          <w:ilvl w:val="0"/>
          <w:numId w:val="32"/>
        </w:numPr>
        <w:tabs>
          <w:tab w:val="center" w:pos="426"/>
        </w:tabs>
        <w:ind w:left="426" w:hanging="426"/>
        <w:contextualSpacing/>
        <w:rPr>
          <w:rFonts w:cs="Arial"/>
          <w:lang w:val="x-none" w:eastAsia="x-none"/>
        </w:rPr>
      </w:pPr>
      <w:r w:rsidRPr="00545EC0">
        <w:rPr>
          <w:rFonts w:cs="Arial"/>
          <w:lang w:val="x-none" w:eastAsia="x-none"/>
        </w:rPr>
        <w:t>zagotovitev pripravljenosti na nevarne naravne dogodke,</w:t>
      </w:r>
    </w:p>
    <w:p w14:paraId="3ADA11E5" w14:textId="77777777" w:rsidR="0051531D" w:rsidRPr="00545EC0" w:rsidRDefault="0051531D" w:rsidP="00DD37C5">
      <w:pPr>
        <w:numPr>
          <w:ilvl w:val="0"/>
          <w:numId w:val="32"/>
        </w:numPr>
        <w:tabs>
          <w:tab w:val="center" w:pos="426"/>
        </w:tabs>
        <w:ind w:left="426" w:hanging="426"/>
        <w:contextualSpacing/>
        <w:rPr>
          <w:rFonts w:cs="Arial"/>
          <w:lang w:val="x-none" w:eastAsia="x-none"/>
        </w:rPr>
      </w:pPr>
      <w:r w:rsidRPr="00545EC0">
        <w:rPr>
          <w:rFonts w:cs="Arial"/>
          <w:lang w:val="x-none" w:eastAsia="x-none"/>
        </w:rPr>
        <w:t>obveščanje, ozaveščanje in izobraževanje javnosti o nevarnostih škodljivega delovanja voda, o možnostih samozaščite in ukrepanja v sili in</w:t>
      </w:r>
    </w:p>
    <w:p w14:paraId="5AED5A34" w14:textId="11094573" w:rsidR="0051531D" w:rsidRPr="00545EC0" w:rsidRDefault="0051531D" w:rsidP="00DD37C5">
      <w:pPr>
        <w:numPr>
          <w:ilvl w:val="0"/>
          <w:numId w:val="32"/>
        </w:numPr>
        <w:tabs>
          <w:tab w:val="center" w:pos="426"/>
        </w:tabs>
        <w:ind w:left="426" w:hanging="426"/>
        <w:contextualSpacing/>
        <w:rPr>
          <w:rFonts w:cs="Arial"/>
          <w:lang w:val="x-none" w:eastAsia="x-none"/>
        </w:rPr>
      </w:pPr>
      <w:r w:rsidRPr="00545EC0">
        <w:rPr>
          <w:rFonts w:cs="Arial"/>
          <w:lang w:val="x-none" w:eastAsia="x-none"/>
        </w:rPr>
        <w:t>izboljšanje napovedovanja in opozarjanja pred naravnimi nevarnostmi</w:t>
      </w:r>
      <w:r w:rsidR="00304B50" w:rsidRPr="00545EC0">
        <w:rPr>
          <w:rFonts w:cs="Arial"/>
          <w:lang w:eastAsia="x-none"/>
        </w:rPr>
        <w:t>.</w:t>
      </w:r>
    </w:p>
    <w:p w14:paraId="5EAA58D3" w14:textId="77777777" w:rsidR="0051531D" w:rsidRPr="00545EC0" w:rsidRDefault="0051531D" w:rsidP="0051531D">
      <w:pPr>
        <w:rPr>
          <w:rFonts w:ascii="Calibri" w:eastAsia="MS Mincho" w:hAnsi="Calibri"/>
          <w:szCs w:val="20"/>
        </w:rPr>
      </w:pPr>
    </w:p>
    <w:p w14:paraId="481E91FC" w14:textId="77777777" w:rsidR="0051531D" w:rsidRPr="00545EC0" w:rsidRDefault="0051531D" w:rsidP="0051531D">
      <w:pPr>
        <w:rPr>
          <w:rFonts w:cs="Arial"/>
        </w:rPr>
      </w:pPr>
      <w:r w:rsidRPr="00545EC0">
        <w:rPr>
          <w:rFonts w:cs="Arial"/>
        </w:rPr>
        <w:t>Cilj ohranjanja in uravnavanja vodnih količin je zagotovitev količinske, časovne in prostorske razporeditve vode, ki je potrebna za oskrbo prebivalstva s pitno vodo, obstoj vodnih in obvodnih ekosistemov in za izvajanje vodnih pravic, kakor tudi bogatenje vodnih teles v času nizkih stanj voda, kar pomeni:</w:t>
      </w:r>
    </w:p>
    <w:p w14:paraId="57D349A3" w14:textId="77777777" w:rsidR="0051531D" w:rsidRPr="00545EC0" w:rsidRDefault="0051531D" w:rsidP="00DD37C5">
      <w:pPr>
        <w:numPr>
          <w:ilvl w:val="0"/>
          <w:numId w:val="32"/>
        </w:numPr>
        <w:tabs>
          <w:tab w:val="center" w:pos="426"/>
        </w:tabs>
        <w:ind w:left="426" w:hanging="426"/>
        <w:contextualSpacing/>
        <w:rPr>
          <w:rFonts w:cs="Arial"/>
          <w:lang w:val="x-none" w:eastAsia="x-none"/>
        </w:rPr>
      </w:pPr>
      <w:r w:rsidRPr="00545EC0">
        <w:rPr>
          <w:rFonts w:cs="Arial"/>
          <w:lang w:val="x-none" w:eastAsia="x-none"/>
        </w:rPr>
        <w:t>omejitev procesov, ki povečujejo razlike med malimi in velikimi pretoki, in procesov spreminjanja pretočnih režimov (z urejanjem prostora, razvijanjem primerne vegetacije in zadrževanjem voda),</w:t>
      </w:r>
    </w:p>
    <w:p w14:paraId="5FBCCAEE" w14:textId="77777777" w:rsidR="0051531D" w:rsidRPr="00545EC0" w:rsidRDefault="0051531D" w:rsidP="00DD37C5">
      <w:pPr>
        <w:numPr>
          <w:ilvl w:val="0"/>
          <w:numId w:val="32"/>
        </w:numPr>
        <w:tabs>
          <w:tab w:val="center" w:pos="426"/>
        </w:tabs>
        <w:ind w:left="426" w:hanging="426"/>
        <w:contextualSpacing/>
        <w:rPr>
          <w:rFonts w:cs="Arial"/>
          <w:lang w:val="x-none" w:eastAsia="x-none"/>
        </w:rPr>
      </w:pPr>
      <w:r w:rsidRPr="00545EC0">
        <w:rPr>
          <w:rFonts w:cs="Arial"/>
          <w:lang w:val="x-none" w:eastAsia="x-none"/>
        </w:rPr>
        <w:t>upoštevanje obratovalnih pravilnikov v okviru podeljenih vodnih pravic za zagotovitev ekološko sprejemljivega pretoka,</w:t>
      </w:r>
    </w:p>
    <w:p w14:paraId="68C1E8B2" w14:textId="77777777" w:rsidR="0051531D" w:rsidRPr="00545EC0" w:rsidRDefault="0051531D" w:rsidP="00DD37C5">
      <w:pPr>
        <w:numPr>
          <w:ilvl w:val="0"/>
          <w:numId w:val="32"/>
        </w:numPr>
        <w:tabs>
          <w:tab w:val="center" w:pos="426"/>
        </w:tabs>
        <w:ind w:left="426" w:hanging="426"/>
        <w:contextualSpacing/>
        <w:rPr>
          <w:rFonts w:cs="Arial"/>
          <w:lang w:val="x-none" w:eastAsia="x-none"/>
        </w:rPr>
      </w:pPr>
      <w:r w:rsidRPr="00545EC0">
        <w:rPr>
          <w:rFonts w:cs="Arial"/>
          <w:lang w:val="x-none" w:eastAsia="x-none"/>
        </w:rPr>
        <w:t>ustrezno poznavanje razmerij med naravnimi, razpoložljivimi in potrebnimi vodnimi količinami, ki bo omogočilo kakovostno načrtovanje vodne infrastrukture za doseganje ciljev rabe in varstva voda,</w:t>
      </w:r>
    </w:p>
    <w:p w14:paraId="7208E581" w14:textId="77777777" w:rsidR="0051531D" w:rsidRPr="00545EC0" w:rsidRDefault="0051531D" w:rsidP="00DD37C5">
      <w:pPr>
        <w:numPr>
          <w:ilvl w:val="0"/>
          <w:numId w:val="32"/>
        </w:numPr>
        <w:tabs>
          <w:tab w:val="center" w:pos="426"/>
        </w:tabs>
        <w:ind w:left="426" w:hanging="426"/>
        <w:contextualSpacing/>
        <w:rPr>
          <w:rFonts w:cs="Arial"/>
          <w:lang w:val="x-none" w:eastAsia="x-none"/>
        </w:rPr>
      </w:pPr>
      <w:r w:rsidRPr="00545EC0">
        <w:rPr>
          <w:rFonts w:cs="Arial"/>
          <w:lang w:val="x-none" w:eastAsia="x-none"/>
        </w:rPr>
        <w:t>povečanje sposobnosti zadrževanja površinskih in podzemnih voda in ocena funkcionalnosti, obratovanja in vzdrževanja obstoječih zadrževalnikov ter njihova izboljšava.</w:t>
      </w:r>
    </w:p>
    <w:p w14:paraId="5A5974D5" w14:textId="77777777" w:rsidR="0051531D" w:rsidRPr="00545EC0" w:rsidRDefault="0051531D" w:rsidP="0051531D">
      <w:pPr>
        <w:rPr>
          <w:rFonts w:cs="Arial"/>
        </w:rPr>
      </w:pPr>
    </w:p>
    <w:p w14:paraId="34E3E9AB" w14:textId="77777777" w:rsidR="0051531D" w:rsidRPr="00545EC0" w:rsidRDefault="0051531D" w:rsidP="0051531D">
      <w:pPr>
        <w:rPr>
          <w:rFonts w:cs="Arial"/>
        </w:rPr>
      </w:pPr>
      <w:r w:rsidRPr="00545EC0">
        <w:rPr>
          <w:rFonts w:cs="Arial"/>
        </w:rPr>
        <w:t>Cilj vzdrževanja vodnih in priobalnih zemljišč je preprečevanje škodljivega delovanja voda na vodnih in priobalnih zemljiščih, predvsem na odsekih, kjer bi lahko bili ogroženi vodni objekti, poselitev in gospodarska infrastruktura ali oviran pretok visokih voda, ter preprečevanje škodljivega delovanja valovanja in plimovanja morja, ki bi lahko imelo škodljive posledice za stabilnost priobalnih zemljišč, vodno in drugo gospodarsko infrastrukturo ali območja poselitve, kar pomeni:</w:t>
      </w:r>
    </w:p>
    <w:p w14:paraId="26881A3E" w14:textId="77777777" w:rsidR="0051531D" w:rsidRPr="00545EC0" w:rsidRDefault="0051531D" w:rsidP="00DD37C5">
      <w:pPr>
        <w:numPr>
          <w:ilvl w:val="0"/>
          <w:numId w:val="32"/>
        </w:numPr>
        <w:tabs>
          <w:tab w:val="center" w:pos="426"/>
        </w:tabs>
        <w:ind w:left="426" w:hanging="426"/>
        <w:contextualSpacing/>
        <w:rPr>
          <w:rFonts w:cs="Arial"/>
          <w:lang w:val="x-none" w:eastAsia="x-none"/>
        </w:rPr>
      </w:pPr>
      <w:r w:rsidRPr="00545EC0">
        <w:rPr>
          <w:rFonts w:cs="Arial"/>
          <w:lang w:val="x-none" w:eastAsia="x-none"/>
        </w:rPr>
        <w:t>zagotavljanje ustreznih hidrološko-hidravličnih razmer (varstvo pred poplavami, erozijo in plazovi) in</w:t>
      </w:r>
    </w:p>
    <w:p w14:paraId="4E637D30" w14:textId="77777777" w:rsidR="0051531D" w:rsidRPr="00545EC0" w:rsidRDefault="0051531D" w:rsidP="00DD37C5">
      <w:pPr>
        <w:numPr>
          <w:ilvl w:val="0"/>
          <w:numId w:val="32"/>
        </w:numPr>
        <w:tabs>
          <w:tab w:val="center" w:pos="426"/>
        </w:tabs>
        <w:ind w:left="426" w:hanging="426"/>
        <w:contextualSpacing/>
        <w:rPr>
          <w:rFonts w:cs="Arial"/>
          <w:lang w:val="x-none" w:eastAsia="x-none"/>
        </w:rPr>
      </w:pPr>
      <w:r w:rsidRPr="00545EC0">
        <w:rPr>
          <w:rFonts w:cs="Arial"/>
          <w:lang w:val="x-none" w:eastAsia="x-none"/>
        </w:rPr>
        <w:t>ohranjanje oziroma vzpostavitev naravnega ravnovesnega stanja (hidromorfološko stanje vodnega režima, prodonosnost, vodni in obvodni ekosistemi),</w:t>
      </w:r>
    </w:p>
    <w:p w14:paraId="59C66AE9" w14:textId="56BC7039" w:rsidR="0051531D" w:rsidRPr="00545EC0" w:rsidRDefault="0051531D" w:rsidP="00DD37C5">
      <w:pPr>
        <w:numPr>
          <w:ilvl w:val="0"/>
          <w:numId w:val="32"/>
        </w:numPr>
        <w:tabs>
          <w:tab w:val="center" w:pos="426"/>
        </w:tabs>
        <w:ind w:left="426" w:hanging="426"/>
        <w:contextualSpacing/>
        <w:rPr>
          <w:rFonts w:cs="Arial"/>
          <w:lang w:val="x-none" w:eastAsia="x-none"/>
        </w:rPr>
      </w:pPr>
      <w:r w:rsidRPr="00545EC0">
        <w:rPr>
          <w:rFonts w:cs="Arial"/>
          <w:lang w:val="x-none" w:eastAsia="x-none"/>
        </w:rPr>
        <w:t xml:space="preserve">oblikovanje programov vzdrževanja, </w:t>
      </w:r>
      <w:r w:rsidR="00DD62AF" w:rsidRPr="00545EC0">
        <w:rPr>
          <w:rFonts w:cs="Arial"/>
          <w:lang w:eastAsia="x-none"/>
        </w:rPr>
        <w:t>ki</w:t>
      </w:r>
      <w:r w:rsidR="00DD62AF" w:rsidRPr="00545EC0">
        <w:rPr>
          <w:rFonts w:cs="Arial"/>
          <w:lang w:val="x-none" w:eastAsia="x-none"/>
        </w:rPr>
        <w:t xml:space="preserve"> </w:t>
      </w:r>
      <w:r w:rsidRPr="00545EC0">
        <w:rPr>
          <w:rFonts w:cs="Arial"/>
          <w:lang w:val="x-none" w:eastAsia="x-none"/>
        </w:rPr>
        <w:t>bodo sledili ciljem, tako zmanjševanja škodljivega delovanja voda (pretočnost strug rek) kot tudi izboljšanja hidromorfološkega stanja vodnega režima (hidrološka in morfološka ustreznost ureditev in vzdrževanja brežin) ter ohranjanja in uravnavanja vodnih količin (pravilno načrtovanje in upravljanje vod</w:t>
      </w:r>
      <w:r w:rsidR="002B639C" w:rsidRPr="00545EC0">
        <w:rPr>
          <w:rFonts w:cs="Arial"/>
          <w:lang w:val="x-none" w:eastAsia="x-none"/>
        </w:rPr>
        <w:t>nih objektov in infrastrukture)</w:t>
      </w:r>
    </w:p>
    <w:p w14:paraId="66F658E4" w14:textId="6D9F5F07" w:rsidR="002B639C" w:rsidRPr="00545EC0" w:rsidRDefault="002B639C" w:rsidP="00DD37C5">
      <w:pPr>
        <w:pStyle w:val="Odstavekseznama"/>
        <w:numPr>
          <w:ilvl w:val="0"/>
          <w:numId w:val="32"/>
        </w:numPr>
        <w:tabs>
          <w:tab w:val="center" w:pos="426"/>
        </w:tabs>
        <w:ind w:left="426" w:hanging="426"/>
        <w:contextualSpacing/>
        <w:rPr>
          <w:rFonts w:cs="Arial"/>
        </w:rPr>
      </w:pPr>
      <w:r w:rsidRPr="00545EC0">
        <w:rPr>
          <w:rFonts w:cs="Arial"/>
        </w:rPr>
        <w:t>spodbujanje razvoja modro-zelene infrastrukture in zelenih koridorjev.</w:t>
      </w:r>
    </w:p>
    <w:p w14:paraId="6D6A1F44" w14:textId="77777777" w:rsidR="0061507B" w:rsidRPr="00545EC0" w:rsidRDefault="0061507B" w:rsidP="0051531D">
      <w:pPr>
        <w:rPr>
          <w:rFonts w:cs="Arial"/>
        </w:rPr>
      </w:pPr>
    </w:p>
    <w:p w14:paraId="22158F4A" w14:textId="77777777" w:rsidR="0051531D" w:rsidRPr="00545EC0" w:rsidRDefault="0051531D" w:rsidP="0051531D">
      <w:pPr>
        <w:rPr>
          <w:rFonts w:cs="Arial"/>
        </w:rPr>
      </w:pPr>
      <w:r w:rsidRPr="00545EC0">
        <w:rPr>
          <w:rFonts w:cs="Arial"/>
        </w:rPr>
        <w:t>Cilj izboljšanja hidromorfološkega stanja površinskih voda obsega:</w:t>
      </w:r>
    </w:p>
    <w:p w14:paraId="3026CFA4" w14:textId="77777777" w:rsidR="0051531D" w:rsidRPr="00545EC0" w:rsidRDefault="0051531D" w:rsidP="00DD37C5">
      <w:pPr>
        <w:numPr>
          <w:ilvl w:val="0"/>
          <w:numId w:val="32"/>
        </w:numPr>
        <w:tabs>
          <w:tab w:val="center" w:pos="426"/>
        </w:tabs>
        <w:ind w:left="426" w:hanging="426"/>
        <w:contextualSpacing/>
        <w:rPr>
          <w:rFonts w:cs="Arial"/>
          <w:lang w:val="x-none" w:eastAsia="x-none"/>
        </w:rPr>
      </w:pPr>
      <w:r w:rsidRPr="00545EC0">
        <w:rPr>
          <w:rFonts w:cs="Arial"/>
          <w:lang w:val="x-none" w:eastAsia="x-none"/>
        </w:rPr>
        <w:t>izboljšanje hidrološkega režima,</w:t>
      </w:r>
    </w:p>
    <w:p w14:paraId="423AC1F6" w14:textId="678FED4D" w:rsidR="0051531D" w:rsidRPr="00545EC0" w:rsidRDefault="0051531D" w:rsidP="00DD37C5">
      <w:pPr>
        <w:numPr>
          <w:ilvl w:val="0"/>
          <w:numId w:val="32"/>
        </w:numPr>
        <w:tabs>
          <w:tab w:val="center" w:pos="426"/>
        </w:tabs>
        <w:ind w:left="426" w:hanging="426"/>
        <w:contextualSpacing/>
        <w:rPr>
          <w:rFonts w:cs="Arial"/>
          <w:lang w:val="x-none" w:eastAsia="x-none"/>
        </w:rPr>
      </w:pPr>
      <w:r w:rsidRPr="00545EC0">
        <w:rPr>
          <w:rFonts w:cs="Arial"/>
          <w:lang w:val="x-none" w:eastAsia="x-none"/>
        </w:rPr>
        <w:t>zagotavljanje kontinuitete toka in izboljšanje morfoloških razmer</w:t>
      </w:r>
      <w:r w:rsidRPr="00545EC0">
        <w:rPr>
          <w:rFonts w:cs="Arial"/>
          <w:lang w:eastAsia="x-none"/>
        </w:rPr>
        <w:t>.</w:t>
      </w:r>
    </w:p>
    <w:p w14:paraId="1DE28169" w14:textId="77777777" w:rsidR="00B9146A" w:rsidRPr="00545EC0" w:rsidRDefault="00B9146A" w:rsidP="003C7C5E">
      <w:pPr>
        <w:pStyle w:val="Naslov20"/>
      </w:pPr>
      <w:bookmarkStart w:id="638" w:name="_Toc90261073"/>
      <w:r w:rsidRPr="00545EC0">
        <w:t>Cilji na področju rabe voda</w:t>
      </w:r>
      <w:bookmarkEnd w:id="638"/>
    </w:p>
    <w:p w14:paraId="41282C84" w14:textId="77777777" w:rsidR="00655711" w:rsidRPr="00545EC0" w:rsidRDefault="00655711" w:rsidP="00655711">
      <w:pPr>
        <w:rPr>
          <w:rFonts w:cs="Arial"/>
        </w:rPr>
      </w:pPr>
      <w:r w:rsidRPr="00545EC0">
        <w:rPr>
          <w:rFonts w:cs="Arial"/>
        </w:rPr>
        <w:t xml:space="preserve">Cilji s področja rabe voda morajo biti skladni z drugimi cilji, ki se nanašajo na varstvo in urejanje voda. Rabo voda je treba programirati, načrtovati in izvajati tako, da se ne poslabšuje stanja voda, da se omogoča varstvo pred škodljivim delovanjem voda, ohranjanje naravnih procesov, naravnega ravnovesja vodnih in obvodnih ekosistemov, ter varstvo naravnih vrednot in območij, varovanih po predpisih o ohranjanju narave. Cilj zakona o vodah je spodbujanje trajnostne rabe vode, ki omogoča različne vrste rabe ob upoštevanju dolgoročnega varstva razpoložljivih virov in njihove kakovosti. </w:t>
      </w:r>
    </w:p>
    <w:p w14:paraId="3D4093FA" w14:textId="77777777" w:rsidR="00655711" w:rsidRPr="00545EC0" w:rsidRDefault="00655711" w:rsidP="00655711">
      <w:pPr>
        <w:rPr>
          <w:rFonts w:cs="Arial"/>
        </w:rPr>
      </w:pPr>
    </w:p>
    <w:p w14:paraId="7179B75B" w14:textId="77777777" w:rsidR="00655711" w:rsidRPr="00545EC0" w:rsidRDefault="00655711" w:rsidP="00655711">
      <w:pPr>
        <w:rPr>
          <w:rFonts w:cs="Arial"/>
        </w:rPr>
      </w:pPr>
      <w:r w:rsidRPr="00545EC0">
        <w:rPr>
          <w:rFonts w:cs="Arial"/>
        </w:rPr>
        <w:t>Podrobnejši cilji za doseganje trajnostne rabe voda, so:</w:t>
      </w:r>
    </w:p>
    <w:p w14:paraId="2F42AAF2" w14:textId="68EFBEAF" w:rsidR="0003054E" w:rsidRPr="00545EC0" w:rsidRDefault="00D25AA1" w:rsidP="00DD62AF">
      <w:pPr>
        <w:ind w:left="426" w:hanging="426"/>
        <w:rPr>
          <w:rFonts w:cs="Arial"/>
        </w:rPr>
      </w:pPr>
      <w:r w:rsidRPr="00545EC0">
        <w:rPr>
          <w:rFonts w:cs="Arial"/>
        </w:rPr>
        <w:lastRenderedPageBreak/>
        <w:t xml:space="preserve">-  </w:t>
      </w:r>
      <w:r w:rsidR="00230AC3" w:rsidRPr="00545EC0">
        <w:rPr>
          <w:rFonts w:cs="Arial"/>
        </w:rPr>
        <w:t xml:space="preserve">  b</w:t>
      </w:r>
      <w:r w:rsidR="00655711" w:rsidRPr="00545EC0">
        <w:rPr>
          <w:rFonts w:cs="Arial"/>
        </w:rPr>
        <w:t xml:space="preserve">laženje škodljivih vplivov na količinsko stanje </w:t>
      </w:r>
      <w:r w:rsidR="00C71C10" w:rsidRPr="00545EC0">
        <w:rPr>
          <w:rFonts w:cs="Arial"/>
        </w:rPr>
        <w:t xml:space="preserve">podzemnih </w:t>
      </w:r>
      <w:r w:rsidR="00655711" w:rsidRPr="00545EC0">
        <w:rPr>
          <w:rFonts w:cs="Arial"/>
        </w:rPr>
        <w:t>vodnih teles</w:t>
      </w:r>
      <w:r w:rsidR="0003054E" w:rsidRPr="00545EC0">
        <w:rPr>
          <w:rFonts w:cs="Arial"/>
        </w:rPr>
        <w:t xml:space="preserve"> (spodbujanje vračanja načrpane vode v termalnih vodonosnikih)</w:t>
      </w:r>
      <w:r w:rsidR="00DD62AF" w:rsidRPr="00545EC0">
        <w:rPr>
          <w:rFonts w:cs="Arial"/>
        </w:rPr>
        <w:t>,</w:t>
      </w:r>
    </w:p>
    <w:p w14:paraId="6A300CD5" w14:textId="5AAD1B69" w:rsidR="00655711" w:rsidRPr="00545EC0" w:rsidRDefault="00230AC3"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lang w:val="sl-SI"/>
        </w:rPr>
        <w:t>o</w:t>
      </w:r>
      <w:r w:rsidR="00655711" w:rsidRPr="00545EC0">
        <w:rPr>
          <w:rFonts w:cs="Arial"/>
          <w:lang w:val="sl-SI"/>
        </w:rPr>
        <w:t>dpravljanje čezmerne rabe voda ter spodbujanje ponovne rabe voda</w:t>
      </w:r>
      <w:r w:rsidR="00DD62AF" w:rsidRPr="00545EC0">
        <w:rPr>
          <w:rFonts w:cs="Arial"/>
          <w:lang w:val="sl-SI"/>
        </w:rPr>
        <w:t>,</w:t>
      </w:r>
    </w:p>
    <w:p w14:paraId="50694722" w14:textId="3BC73B2E" w:rsidR="00655711" w:rsidRPr="00545EC0" w:rsidRDefault="00230AC3"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lang w:val="sl-SI"/>
        </w:rPr>
        <w:t>b</w:t>
      </w:r>
      <w:r w:rsidR="00655711" w:rsidRPr="00545EC0">
        <w:rPr>
          <w:rFonts w:cs="Arial"/>
          <w:lang w:val="sl-SI"/>
        </w:rPr>
        <w:t>laženje učinkov suš in poplav</w:t>
      </w:r>
      <w:r w:rsidR="00626988" w:rsidRPr="00545EC0">
        <w:rPr>
          <w:rFonts w:cs="Arial"/>
          <w:lang w:val="sl-SI"/>
        </w:rPr>
        <w:t>,</w:t>
      </w:r>
    </w:p>
    <w:p w14:paraId="71DAB193" w14:textId="6536272E" w:rsidR="00655711" w:rsidRPr="00545EC0" w:rsidRDefault="00230AC3"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lang w:val="sl-SI"/>
        </w:rPr>
        <w:t>o</w:t>
      </w:r>
      <w:r w:rsidR="00655711" w:rsidRPr="00545EC0">
        <w:rPr>
          <w:rFonts w:cs="Arial"/>
          <w:lang w:val="sl-SI"/>
        </w:rPr>
        <w:t>zaveščanje prebivalstva o trajnostni rabi voda</w:t>
      </w:r>
      <w:r w:rsidR="00626988" w:rsidRPr="00545EC0">
        <w:rPr>
          <w:rFonts w:cs="Arial"/>
          <w:lang w:val="sl-SI"/>
        </w:rPr>
        <w:t>,</w:t>
      </w:r>
    </w:p>
    <w:p w14:paraId="009F4B88" w14:textId="46CCD9AA" w:rsidR="00D25AA1" w:rsidRPr="00545EC0" w:rsidRDefault="00230AC3"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lang w:val="sl-SI"/>
        </w:rPr>
        <w:t>o</w:t>
      </w:r>
      <w:r w:rsidR="00655711" w:rsidRPr="00545EC0">
        <w:rPr>
          <w:rFonts w:cs="Arial"/>
        </w:rPr>
        <w:t>krepitev inšpekcijskega nadzora nad rabo vode in zagotavljanjem ekološko sprejemljivega pretoka (Qes)</w:t>
      </w:r>
      <w:r w:rsidR="00626988" w:rsidRPr="00545EC0">
        <w:rPr>
          <w:rFonts w:cs="Arial"/>
          <w:lang w:val="sl-SI"/>
        </w:rPr>
        <w:t>.</w:t>
      </w:r>
      <w:r w:rsidR="00655711" w:rsidRPr="00545EC0">
        <w:rPr>
          <w:rFonts w:cs="Arial"/>
        </w:rPr>
        <w:t xml:space="preserve"> </w:t>
      </w:r>
    </w:p>
    <w:p w14:paraId="0F2AEA24" w14:textId="77777777" w:rsidR="00B9146A" w:rsidRPr="00545EC0" w:rsidRDefault="00B9146A" w:rsidP="003C7C5E">
      <w:pPr>
        <w:pStyle w:val="Naslov20"/>
      </w:pPr>
      <w:bookmarkStart w:id="639" w:name="_Ref422608814"/>
      <w:bookmarkStart w:id="640" w:name="_Toc90261074"/>
      <w:r w:rsidRPr="00545EC0">
        <w:t>Cilji na področju upravljanja vodnih in priobalnih zemljišč v lasti države</w:t>
      </w:r>
      <w:bookmarkEnd w:id="639"/>
      <w:bookmarkEnd w:id="640"/>
    </w:p>
    <w:p w14:paraId="7C650DE3" w14:textId="6DE812B4" w:rsidR="004872E1" w:rsidRPr="00545EC0" w:rsidRDefault="004872E1" w:rsidP="0010797F">
      <w:pPr>
        <w:rPr>
          <w:rFonts w:cs="Arial"/>
        </w:rPr>
      </w:pPr>
      <w:r w:rsidRPr="00545EC0">
        <w:rPr>
          <w:rFonts w:cs="Arial"/>
        </w:rPr>
        <w:t>Definicijo vodnega zemljišča opredeljuje</w:t>
      </w:r>
      <w:r w:rsidR="00B43D66" w:rsidRPr="00545EC0">
        <w:rPr>
          <w:rFonts w:cs="Arial"/>
        </w:rPr>
        <w:t xml:space="preserve"> 11. člen zakona o vodah</w:t>
      </w:r>
      <w:r w:rsidRPr="00545EC0">
        <w:rPr>
          <w:rFonts w:cs="Arial"/>
        </w:rPr>
        <w:t>, in sicer je to zemljišče, na katerem je celinska voda trajno ali občasno prisotna in se zato oblikujejo posebne hidrološke, geomorfološke in biološke razmere, ki določajo vodni in obvodni ekosistem.</w:t>
      </w:r>
    </w:p>
    <w:p w14:paraId="4BD2C11D" w14:textId="77777777" w:rsidR="004872E1" w:rsidRPr="00545EC0" w:rsidRDefault="004872E1" w:rsidP="0010797F">
      <w:pPr>
        <w:rPr>
          <w:rFonts w:cs="Arial"/>
        </w:rPr>
      </w:pPr>
    </w:p>
    <w:p w14:paraId="6F4754EB" w14:textId="77777777" w:rsidR="004872E1" w:rsidRPr="00545EC0" w:rsidRDefault="004872E1" w:rsidP="0010797F">
      <w:pPr>
        <w:rPr>
          <w:rFonts w:cs="Arial"/>
        </w:rPr>
      </w:pPr>
      <w:r w:rsidRPr="00545EC0">
        <w:rPr>
          <w:rFonts w:cs="Arial"/>
        </w:rPr>
        <w:t>Vodno zemljišče tekočih voda obsega osnovno strugo tekočih voda, vključno z bregom, do prve izrazite geomorfološke spremembe, vodno zemljišče stoječih voda pa obsega dno stoječih voda, vključno z bregom, do najvišjega zabeleženega vodostaja. Za vodno zemljišče se štejejo tudi opuščene struge in prodišča, ki jih voda občasno še poplavlja, močvirja in zemljišče, ki ga je poplavila voda zaradi posega v prostor. Vodno zemljišče je lahko v lasti osebe zasebnega ali javnega prava (</w:t>
      </w:r>
      <w:r w:rsidR="00E84F57" w:rsidRPr="00545EC0">
        <w:rPr>
          <w:rFonts w:cs="Arial"/>
        </w:rPr>
        <w:t>zakon o vodah</w:t>
      </w:r>
      <w:r w:rsidRPr="00545EC0">
        <w:rPr>
          <w:rFonts w:cs="Arial"/>
        </w:rPr>
        <w:t>).</w:t>
      </w:r>
    </w:p>
    <w:p w14:paraId="1E919DFB" w14:textId="77777777" w:rsidR="004872E1" w:rsidRPr="00545EC0" w:rsidRDefault="004872E1" w:rsidP="0010797F">
      <w:pPr>
        <w:rPr>
          <w:rFonts w:cs="Arial"/>
        </w:rPr>
      </w:pPr>
    </w:p>
    <w:p w14:paraId="53665B28" w14:textId="31FD4398" w:rsidR="004872E1" w:rsidRPr="00545EC0" w:rsidRDefault="004872E1" w:rsidP="0010797F">
      <w:pPr>
        <w:rPr>
          <w:rFonts w:cs="Arial"/>
        </w:rPr>
      </w:pPr>
      <w:r w:rsidRPr="00545EC0">
        <w:rPr>
          <w:rFonts w:cs="Arial"/>
        </w:rPr>
        <w:t xml:space="preserve">Priobalno zemljišče </w:t>
      </w:r>
      <w:r w:rsidR="00DD62AF" w:rsidRPr="00545EC0">
        <w:rPr>
          <w:rFonts w:cs="Arial"/>
        </w:rPr>
        <w:t xml:space="preserve">opredeljuje 14. člen </w:t>
      </w:r>
      <w:r w:rsidR="00B43D66" w:rsidRPr="00545EC0">
        <w:rPr>
          <w:rFonts w:cs="Arial"/>
        </w:rPr>
        <w:t>zakona o vodah</w:t>
      </w:r>
      <w:r w:rsidR="00DD62AF" w:rsidRPr="00545EC0">
        <w:rPr>
          <w:rFonts w:cs="Arial"/>
        </w:rPr>
        <w:t>.</w:t>
      </w:r>
      <w:r w:rsidRPr="00545EC0">
        <w:rPr>
          <w:rFonts w:cs="Arial"/>
        </w:rPr>
        <w:t xml:space="preserve"> Priobalno zemljišče celinskih voda je zemljišče, ki neposredno meji na vodno zemljišče.  Zunanja meja priobalnih zemljišč sega na vodah 1. reda </w:t>
      </w:r>
      <w:r w:rsidR="00567AB6" w:rsidRPr="00545EC0">
        <w:rPr>
          <w:rFonts w:cs="Arial"/>
        </w:rPr>
        <w:t>40</w:t>
      </w:r>
      <w:r w:rsidRPr="00545EC0">
        <w:rPr>
          <w:rFonts w:cs="Arial"/>
        </w:rPr>
        <w:t xml:space="preserve"> metrov od meje vodnega zemljišča, na vodah 2. reda pa 5 metrov od meje vodnega zemljišča. Priobalna zemljišča so tudi vsa zemljišča med visokovodnimi nasipi.</w:t>
      </w:r>
    </w:p>
    <w:p w14:paraId="18C3F77C" w14:textId="77777777" w:rsidR="004872E1" w:rsidRPr="00545EC0" w:rsidRDefault="004872E1" w:rsidP="0010797F">
      <w:pPr>
        <w:rPr>
          <w:rFonts w:cs="Arial"/>
        </w:rPr>
      </w:pPr>
    </w:p>
    <w:p w14:paraId="30F9FD61" w14:textId="77777777" w:rsidR="004872E1" w:rsidRPr="00545EC0" w:rsidRDefault="004872E1" w:rsidP="0010797F">
      <w:pPr>
        <w:rPr>
          <w:rFonts w:cs="Arial"/>
        </w:rPr>
      </w:pPr>
      <w:r w:rsidRPr="00545EC0">
        <w:rPr>
          <w:rFonts w:cs="Arial"/>
        </w:rPr>
        <w:t>C</w:t>
      </w:r>
      <w:r w:rsidR="006E4F79" w:rsidRPr="00545EC0">
        <w:rPr>
          <w:rFonts w:cs="Arial"/>
        </w:rPr>
        <w:t>ilji</w:t>
      </w:r>
      <w:r w:rsidRPr="00545EC0">
        <w:rPr>
          <w:rFonts w:cs="Arial"/>
        </w:rPr>
        <w:t xml:space="preserve"> vzdrževanja vodnih in priobalnih zemljišč so:</w:t>
      </w:r>
    </w:p>
    <w:p w14:paraId="017A47F6" w14:textId="77777777" w:rsidR="004872E1" w:rsidRPr="00545EC0" w:rsidRDefault="004872E1"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ohranjanje oziroma vzpostavitev naravnega ravnovesnega stanja (hidromorfološko stanje vodnega režima, prodonosnost, vodni in obvodni ekosistemi),</w:t>
      </w:r>
    </w:p>
    <w:p w14:paraId="4B27540D" w14:textId="10553F2F" w:rsidR="004872E1" w:rsidRPr="00545EC0" w:rsidRDefault="004872E1"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 xml:space="preserve">zagotavljanje ustreznih hidrološko-hidravličnih razmer (varstvo pred poplavami, erozijo in plazovi) </w:t>
      </w:r>
    </w:p>
    <w:p w14:paraId="0AFABDF9" w14:textId="3165BAF4" w:rsidR="0003054E" w:rsidRPr="00545EC0" w:rsidRDefault="004872E1"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 xml:space="preserve">oblikovanje programov vzdrževanja, </w:t>
      </w:r>
      <w:r w:rsidR="00DD62AF" w:rsidRPr="00545EC0">
        <w:rPr>
          <w:rFonts w:cs="Arial"/>
          <w:lang w:val="sl-SI"/>
        </w:rPr>
        <w:t>ki</w:t>
      </w:r>
      <w:r w:rsidR="00DD62AF" w:rsidRPr="00545EC0">
        <w:rPr>
          <w:rFonts w:cs="Arial"/>
        </w:rPr>
        <w:t xml:space="preserve"> </w:t>
      </w:r>
      <w:r w:rsidRPr="00545EC0">
        <w:rPr>
          <w:rFonts w:cs="Arial"/>
        </w:rPr>
        <w:t>bodo sledili ciljem, tako zmanjševanja škodljivega delovanja voda (pretočnost strug rek) kot tudi izboljšanja hidromorfološkega stanja vodnega režima (hidrološka in morfološka ustreznost ureditev in vzdrževanja brežin) ter ohranjanja in uravnavanja vodnih količin (pravilno načrtovanje in upravljanje vodnih objektov in infrastrukture)</w:t>
      </w:r>
      <w:r w:rsidR="00DD62AF" w:rsidRPr="00545EC0">
        <w:rPr>
          <w:rFonts w:cs="Arial"/>
          <w:lang w:val="sl-SI"/>
        </w:rPr>
        <w:t>,</w:t>
      </w:r>
    </w:p>
    <w:p w14:paraId="5817284D" w14:textId="7756B683" w:rsidR="004872E1" w:rsidRPr="00545EC0" w:rsidRDefault="0003054E" w:rsidP="00DD37C5">
      <w:pPr>
        <w:pStyle w:val="Odstavekseznama"/>
        <w:numPr>
          <w:ilvl w:val="0"/>
          <w:numId w:val="32"/>
        </w:numPr>
        <w:tabs>
          <w:tab w:val="center" w:pos="426"/>
        </w:tabs>
        <w:ind w:left="426" w:hanging="426"/>
        <w:contextualSpacing/>
        <w:rPr>
          <w:rFonts w:cs="Arial"/>
        </w:rPr>
      </w:pPr>
      <w:r w:rsidRPr="00545EC0">
        <w:rPr>
          <w:rFonts w:cs="Arial"/>
        </w:rPr>
        <w:t>spodbujanje razvoja modro-zelene infrastrukture in zelenih koridorjev</w:t>
      </w:r>
      <w:r w:rsidRPr="00545EC0">
        <w:rPr>
          <w:rFonts w:cs="Arial"/>
          <w:lang w:val="sl-SI"/>
        </w:rPr>
        <w:t>.</w:t>
      </w:r>
    </w:p>
    <w:p w14:paraId="7639B4EF" w14:textId="77777777" w:rsidR="00493E8B" w:rsidRPr="00545EC0" w:rsidRDefault="000C3A97" w:rsidP="003C7C5E">
      <w:pPr>
        <w:pStyle w:val="Naslov20"/>
      </w:pPr>
      <w:bookmarkStart w:id="641" w:name="_Toc90261075"/>
      <w:r w:rsidRPr="00545EC0">
        <w:t>I</w:t>
      </w:r>
      <w:r w:rsidR="00493E8B" w:rsidRPr="00545EC0">
        <w:t>zjeme p</w:t>
      </w:r>
      <w:r w:rsidR="00007B0C" w:rsidRPr="00545EC0">
        <w:t xml:space="preserve">ri </w:t>
      </w:r>
      <w:r w:rsidR="0088168B" w:rsidRPr="00545EC0">
        <w:t>doseganju</w:t>
      </w:r>
      <w:r w:rsidR="00007B0C" w:rsidRPr="00545EC0">
        <w:t xml:space="preserve"> okoljskih ciljev</w:t>
      </w:r>
      <w:bookmarkEnd w:id="641"/>
    </w:p>
    <w:p w14:paraId="4B64295F" w14:textId="6EB653BA" w:rsidR="00E05E6B" w:rsidRPr="00545EC0" w:rsidRDefault="00E05E6B" w:rsidP="00E05E6B">
      <w:pPr>
        <w:rPr>
          <w:rFonts w:cs="Tahoma"/>
        </w:rPr>
      </w:pPr>
      <w:bookmarkStart w:id="642" w:name="_Toc366228592"/>
      <w:bookmarkStart w:id="643" w:name="_Ref294699282"/>
      <w:bookmarkStart w:id="644" w:name="_Toc284594076"/>
      <w:r w:rsidRPr="00545EC0">
        <w:rPr>
          <w:rFonts w:cs="Tahoma"/>
          <w:szCs w:val="22"/>
        </w:rPr>
        <w:t xml:space="preserve">Izjeme pri opredelitvi okoljskih ciljev za vodna telesa površinskih in podzemnih voda </w:t>
      </w:r>
      <w:r w:rsidRPr="00545EC0">
        <w:rPr>
          <w:rFonts w:cs="Arial"/>
          <w:szCs w:val="22"/>
        </w:rPr>
        <w:t>(</w:t>
      </w:r>
      <w:r w:rsidR="0061507B" w:rsidRPr="00545EC0">
        <w:rPr>
          <w:rFonts w:cs="Arial"/>
          <w:szCs w:val="22"/>
        </w:rPr>
        <w:fldChar w:fldCharType="begin"/>
      </w:r>
      <w:r w:rsidR="0061507B" w:rsidRPr="00545EC0">
        <w:rPr>
          <w:rFonts w:cs="Arial"/>
          <w:szCs w:val="22"/>
        </w:rPr>
        <w:instrText xml:space="preserve"> REF _Ref84342333 \h </w:instrText>
      </w:r>
      <w:r w:rsidR="003122F4" w:rsidRPr="00545EC0">
        <w:rPr>
          <w:rFonts w:cs="Arial"/>
          <w:szCs w:val="22"/>
        </w:rPr>
        <w:instrText xml:space="preserve"> \* MERGEFORMAT </w:instrText>
      </w:r>
      <w:r w:rsidR="0061507B" w:rsidRPr="00545EC0">
        <w:rPr>
          <w:rFonts w:cs="Arial"/>
          <w:szCs w:val="22"/>
        </w:rPr>
      </w:r>
      <w:r w:rsidR="0061507B" w:rsidRPr="00545EC0">
        <w:rPr>
          <w:rFonts w:cs="Arial"/>
          <w:szCs w:val="22"/>
        </w:rPr>
        <w:fldChar w:fldCharType="separate"/>
      </w:r>
      <w:r w:rsidR="002F3E43" w:rsidRPr="00545EC0">
        <w:rPr>
          <w:rFonts w:cs="Arial"/>
        </w:rPr>
        <w:t xml:space="preserve">Slika </w:t>
      </w:r>
      <w:r w:rsidR="002F3E43">
        <w:rPr>
          <w:rFonts w:cs="Arial"/>
          <w:noProof/>
        </w:rPr>
        <w:t>5</w:t>
      </w:r>
      <w:r w:rsidR="002F3E43" w:rsidRPr="00545EC0">
        <w:rPr>
          <w:rFonts w:cs="Arial"/>
          <w:noProof/>
        </w:rPr>
        <w:noBreakHyphen/>
      </w:r>
      <w:r w:rsidR="002F3E43">
        <w:rPr>
          <w:rFonts w:cs="Arial"/>
          <w:noProof/>
        </w:rPr>
        <w:t>1</w:t>
      </w:r>
      <w:r w:rsidR="0061507B" w:rsidRPr="00545EC0">
        <w:rPr>
          <w:rFonts w:cs="Arial"/>
          <w:szCs w:val="22"/>
        </w:rPr>
        <w:fldChar w:fldCharType="end"/>
      </w:r>
      <w:r w:rsidRPr="00545EC0">
        <w:rPr>
          <w:rFonts w:cs="Tahoma"/>
          <w:szCs w:val="22"/>
        </w:rPr>
        <w:t xml:space="preserve">) se v skladu s predpisom, ki ureja </w:t>
      </w:r>
      <w:r w:rsidRPr="00545EC0">
        <w:rPr>
          <w:rFonts w:cs="Tahoma"/>
        </w:rPr>
        <w:t xml:space="preserve">podrobnejšo vsebino in načinu priprave načrta, določijo tako, da se: </w:t>
      </w:r>
    </w:p>
    <w:p w14:paraId="5C93EC5D" w14:textId="77777777" w:rsidR="00E05E6B" w:rsidRPr="00545EC0" w:rsidRDefault="00E05E6B" w:rsidP="00DD37C5">
      <w:pPr>
        <w:pStyle w:val="Natevanjeotevileno"/>
        <w:numPr>
          <w:ilvl w:val="0"/>
          <w:numId w:val="31"/>
        </w:numPr>
        <w:tabs>
          <w:tab w:val="left" w:pos="709"/>
          <w:tab w:val="num" w:pos="3904"/>
        </w:tabs>
        <w:rPr>
          <w:rFonts w:ascii="Arial" w:hAnsi="Arial" w:cs="Arial"/>
          <w:szCs w:val="20"/>
        </w:rPr>
      </w:pPr>
      <w:r w:rsidRPr="00545EC0">
        <w:rPr>
          <w:rFonts w:ascii="Arial" w:hAnsi="Arial" w:cs="Arial"/>
          <w:szCs w:val="20"/>
        </w:rPr>
        <w:t>za posamezna vodna telesa ali skupine vodnih teles podaljšajo roki za doseganje ciljev,</w:t>
      </w:r>
    </w:p>
    <w:p w14:paraId="31DF973C" w14:textId="77777777" w:rsidR="00E05E6B" w:rsidRPr="00545EC0" w:rsidRDefault="00E05E6B" w:rsidP="00DD37C5">
      <w:pPr>
        <w:pStyle w:val="Natevanjeotevileno"/>
        <w:numPr>
          <w:ilvl w:val="0"/>
          <w:numId w:val="31"/>
        </w:numPr>
        <w:tabs>
          <w:tab w:val="left" w:pos="709"/>
          <w:tab w:val="num" w:pos="3904"/>
        </w:tabs>
        <w:rPr>
          <w:rFonts w:ascii="Arial" w:hAnsi="Arial" w:cs="Arial"/>
          <w:szCs w:val="20"/>
        </w:rPr>
      </w:pPr>
      <w:r w:rsidRPr="00545EC0">
        <w:rPr>
          <w:rFonts w:ascii="Arial" w:hAnsi="Arial" w:cs="Arial"/>
          <w:szCs w:val="20"/>
        </w:rPr>
        <w:t>za posamezna vodna telesa ali skupine vodnih teles določijo manj strogi ali občasni manj strogi okoljski cilji ali</w:t>
      </w:r>
    </w:p>
    <w:p w14:paraId="69B99E67" w14:textId="77777777" w:rsidR="00E05E6B" w:rsidRPr="00545EC0" w:rsidRDefault="00E05E6B" w:rsidP="00DD37C5">
      <w:pPr>
        <w:pStyle w:val="Natevanjeotevileno"/>
        <w:numPr>
          <w:ilvl w:val="0"/>
          <w:numId w:val="31"/>
        </w:numPr>
        <w:tabs>
          <w:tab w:val="left" w:pos="709"/>
          <w:tab w:val="num" w:pos="3904"/>
        </w:tabs>
        <w:rPr>
          <w:rFonts w:ascii="Arial" w:hAnsi="Arial" w:cs="Arial"/>
          <w:szCs w:val="20"/>
        </w:rPr>
      </w:pPr>
      <w:r w:rsidRPr="00545EC0">
        <w:rPr>
          <w:rFonts w:ascii="Arial" w:hAnsi="Arial" w:cs="Arial"/>
          <w:szCs w:val="20"/>
        </w:rPr>
        <w:t>za posamezna vodna telesa ali skupine vodnih teles dopusti začasno odstopanje od zastavljenih ciljev.</w:t>
      </w:r>
    </w:p>
    <w:p w14:paraId="7ACAA976" w14:textId="77777777" w:rsidR="00537C3E" w:rsidRPr="00545EC0" w:rsidRDefault="00537C3E" w:rsidP="00537C3E">
      <w:pPr>
        <w:pStyle w:val="Natevanjeotevileno"/>
        <w:numPr>
          <w:ilvl w:val="0"/>
          <w:numId w:val="0"/>
        </w:numPr>
        <w:tabs>
          <w:tab w:val="left" w:pos="709"/>
        </w:tabs>
        <w:rPr>
          <w:rFonts w:ascii="Arial" w:hAnsi="Arial" w:cs="Arial"/>
          <w:szCs w:val="20"/>
        </w:rPr>
      </w:pPr>
    </w:p>
    <w:p w14:paraId="18B1B2B7" w14:textId="77777777" w:rsidR="00BA394C" w:rsidRPr="00545EC0" w:rsidRDefault="00E05E6B" w:rsidP="00BA394C">
      <w:pPr>
        <w:keepNext/>
      </w:pPr>
      <w:r w:rsidRPr="00545EC0">
        <w:rPr>
          <w:rFonts w:cs="Arial"/>
        </w:rPr>
        <w:object w:dxaOrig="10344" w:dyaOrig="5927" w14:anchorId="30F48F42">
          <v:shape id="_x0000_i1027" type="#_x0000_t75" style="width:435.75pt;height:250.45pt" o:ole="">
            <v:imagedata r:id="rId105" o:title=""/>
          </v:shape>
          <o:OLEObject Type="Embed" ProgID="Visio.Drawing.11" ShapeID="_x0000_i1027" DrawAspect="Content" ObjectID="_1738954878" r:id="rId106"/>
        </w:object>
      </w:r>
    </w:p>
    <w:p w14:paraId="180B9525" w14:textId="46616552" w:rsidR="00E05E6B" w:rsidRPr="00545EC0" w:rsidRDefault="00BA394C" w:rsidP="00E05E6B">
      <w:pPr>
        <w:pStyle w:val="Imepreglednice"/>
        <w:rPr>
          <w:rFonts w:ascii="Arial" w:hAnsi="Arial" w:cs="Arial"/>
        </w:rPr>
      </w:pPr>
      <w:bookmarkStart w:id="645" w:name="_Ref84342333"/>
      <w:r w:rsidRPr="00545EC0">
        <w:rPr>
          <w:rFonts w:ascii="Arial" w:hAnsi="Arial" w:cs="Arial"/>
        </w:rPr>
        <w:t xml:space="preserve">Slika </w:t>
      </w:r>
      <w:r w:rsidR="00396E1E" w:rsidRPr="00545EC0">
        <w:rPr>
          <w:rFonts w:ascii="Arial" w:hAnsi="Arial" w:cs="Arial"/>
        </w:rPr>
        <w:fldChar w:fldCharType="begin"/>
      </w:r>
      <w:r w:rsidR="00396E1E" w:rsidRPr="00545EC0">
        <w:rPr>
          <w:rFonts w:ascii="Arial" w:hAnsi="Arial" w:cs="Arial"/>
        </w:rPr>
        <w:instrText xml:space="preserve"> STYLEREF 1 \s </w:instrText>
      </w:r>
      <w:r w:rsidR="00396E1E" w:rsidRPr="00545EC0">
        <w:rPr>
          <w:rFonts w:ascii="Arial" w:hAnsi="Arial" w:cs="Arial"/>
        </w:rPr>
        <w:fldChar w:fldCharType="separate"/>
      </w:r>
      <w:r w:rsidR="002F3E43">
        <w:rPr>
          <w:rFonts w:ascii="Arial" w:hAnsi="Arial" w:cs="Arial"/>
          <w:noProof/>
        </w:rPr>
        <w:t>5</w:t>
      </w:r>
      <w:r w:rsidR="00396E1E" w:rsidRPr="00545EC0">
        <w:rPr>
          <w:rFonts w:ascii="Arial" w:hAnsi="Arial" w:cs="Arial"/>
        </w:rPr>
        <w:fldChar w:fldCharType="end"/>
      </w:r>
      <w:r w:rsidR="00396E1E" w:rsidRPr="00545EC0">
        <w:rPr>
          <w:rFonts w:ascii="Arial" w:hAnsi="Arial" w:cs="Arial"/>
        </w:rPr>
        <w:noBreakHyphen/>
      </w:r>
      <w:r w:rsidR="00396E1E" w:rsidRPr="00545EC0">
        <w:rPr>
          <w:rFonts w:ascii="Arial" w:hAnsi="Arial" w:cs="Arial"/>
        </w:rPr>
        <w:fldChar w:fldCharType="begin"/>
      </w:r>
      <w:r w:rsidR="00396E1E" w:rsidRPr="00545EC0">
        <w:rPr>
          <w:rFonts w:ascii="Arial" w:hAnsi="Arial" w:cs="Arial"/>
        </w:rPr>
        <w:instrText xml:space="preserve"> SEQ Slika \* ARABIC \s 1 </w:instrText>
      </w:r>
      <w:r w:rsidR="00396E1E" w:rsidRPr="00545EC0">
        <w:rPr>
          <w:rFonts w:ascii="Arial" w:hAnsi="Arial" w:cs="Arial"/>
        </w:rPr>
        <w:fldChar w:fldCharType="separate"/>
      </w:r>
      <w:r w:rsidR="002F3E43">
        <w:rPr>
          <w:rFonts w:ascii="Arial" w:hAnsi="Arial" w:cs="Arial"/>
          <w:noProof/>
        </w:rPr>
        <w:t>1</w:t>
      </w:r>
      <w:r w:rsidR="00396E1E" w:rsidRPr="00545EC0">
        <w:rPr>
          <w:rFonts w:ascii="Arial" w:hAnsi="Arial" w:cs="Arial"/>
        </w:rPr>
        <w:fldChar w:fldCharType="end"/>
      </w:r>
      <w:bookmarkEnd w:id="645"/>
      <w:r w:rsidRPr="00545EC0">
        <w:rPr>
          <w:rFonts w:ascii="Arial" w:hAnsi="Arial" w:cs="Arial"/>
        </w:rPr>
        <w:t>: Opredelitev izjem</w:t>
      </w:r>
      <w:r w:rsidR="00791254" w:rsidRPr="00545EC0">
        <w:rPr>
          <w:rFonts w:ascii="Arial" w:hAnsi="Arial" w:cs="Arial"/>
        </w:rPr>
        <w:t xml:space="preserve"> pri doseganju okoljskih ciljev</w:t>
      </w:r>
    </w:p>
    <w:p w14:paraId="42E64076" w14:textId="77777777" w:rsidR="00E05E6B" w:rsidRPr="00545EC0" w:rsidRDefault="00E05E6B" w:rsidP="00E05E6B">
      <w:pPr>
        <w:rPr>
          <w:rFonts w:cs="Arial"/>
        </w:rPr>
      </w:pPr>
    </w:p>
    <w:p w14:paraId="1643C08B" w14:textId="11453DF6" w:rsidR="00E05E6B" w:rsidRPr="00545EC0" w:rsidRDefault="00E05E6B" w:rsidP="00E05E6B">
      <w:pPr>
        <w:rPr>
          <w:rFonts w:cs="Arial"/>
          <w:szCs w:val="22"/>
        </w:rPr>
      </w:pPr>
      <w:r w:rsidRPr="00545EC0">
        <w:rPr>
          <w:rFonts w:cs="Arial"/>
          <w:szCs w:val="22"/>
        </w:rPr>
        <w:t>Opredelitev izjem v obliki podaljšanja rokov do leta 2027 je možna, če velja, da so ukrepi za doseganje dobrega stanja voda do leta 2027 tehnično neizvedljivi ali če so stroški ukrepov za doseganje dobrega stanja voda do 2027 nesorazmerno visoki. Podaljšanje rokov za doseganje dobrega stanja voda je možno tudi v primeru, če naravne razmere ne dopuščajo izboljšanja stanja voda do 2027 (</w:t>
      </w:r>
      <w:r w:rsidR="00791254" w:rsidRPr="00545EC0">
        <w:rPr>
          <w:rFonts w:cs="Arial"/>
          <w:szCs w:val="22"/>
        </w:rPr>
        <w:fldChar w:fldCharType="begin"/>
      </w:r>
      <w:r w:rsidR="00791254" w:rsidRPr="00545EC0">
        <w:rPr>
          <w:rFonts w:cs="Arial"/>
          <w:szCs w:val="22"/>
        </w:rPr>
        <w:instrText xml:space="preserve"> REF _Ref84342333 \h </w:instrText>
      </w:r>
      <w:r w:rsidR="00F37A91" w:rsidRPr="00545EC0">
        <w:rPr>
          <w:rFonts w:cs="Arial"/>
          <w:szCs w:val="22"/>
        </w:rPr>
        <w:instrText xml:space="preserve"> \* MERGEFORMAT </w:instrText>
      </w:r>
      <w:r w:rsidR="00791254" w:rsidRPr="00545EC0">
        <w:rPr>
          <w:rFonts w:cs="Arial"/>
          <w:szCs w:val="22"/>
        </w:rPr>
      </w:r>
      <w:r w:rsidR="00791254" w:rsidRPr="00545EC0">
        <w:rPr>
          <w:rFonts w:cs="Arial"/>
          <w:szCs w:val="22"/>
        </w:rPr>
        <w:fldChar w:fldCharType="separate"/>
      </w:r>
      <w:r w:rsidR="002F3E43" w:rsidRPr="00545EC0">
        <w:rPr>
          <w:rFonts w:cs="Arial"/>
        </w:rPr>
        <w:t xml:space="preserve">Slika </w:t>
      </w:r>
      <w:r w:rsidR="002F3E43">
        <w:rPr>
          <w:rFonts w:cs="Arial"/>
          <w:noProof/>
        </w:rPr>
        <w:t>5</w:t>
      </w:r>
      <w:r w:rsidR="002F3E43" w:rsidRPr="00545EC0">
        <w:rPr>
          <w:rFonts w:cs="Arial"/>
          <w:noProof/>
        </w:rPr>
        <w:noBreakHyphen/>
      </w:r>
      <w:r w:rsidR="002F3E43">
        <w:rPr>
          <w:rFonts w:cs="Arial"/>
          <w:noProof/>
        </w:rPr>
        <w:t>1</w:t>
      </w:r>
      <w:r w:rsidR="00791254" w:rsidRPr="00545EC0">
        <w:rPr>
          <w:rFonts w:cs="Arial"/>
          <w:szCs w:val="22"/>
        </w:rPr>
        <w:fldChar w:fldCharType="end"/>
      </w:r>
      <w:r w:rsidRPr="00545EC0">
        <w:rPr>
          <w:rFonts w:cs="Arial"/>
          <w:szCs w:val="22"/>
        </w:rPr>
        <w:t xml:space="preserve">). </w:t>
      </w:r>
    </w:p>
    <w:p w14:paraId="403E4786" w14:textId="77777777" w:rsidR="00E05E6B" w:rsidRPr="00545EC0" w:rsidRDefault="00E05E6B" w:rsidP="00E05E6B">
      <w:pPr>
        <w:rPr>
          <w:rFonts w:cs="Arial"/>
          <w:szCs w:val="22"/>
        </w:rPr>
      </w:pPr>
    </w:p>
    <w:p w14:paraId="304AADE8" w14:textId="77777777" w:rsidR="00E05E6B" w:rsidRPr="00545EC0" w:rsidRDefault="00E05E6B" w:rsidP="00E05E6B">
      <w:pPr>
        <w:jc w:val="center"/>
        <w:rPr>
          <w:rFonts w:cs="Arial"/>
          <w:b/>
        </w:rPr>
      </w:pPr>
      <w:r w:rsidRPr="00545EC0">
        <w:rPr>
          <w:rFonts w:cs="Arial"/>
        </w:rPr>
        <w:object w:dxaOrig="11435" w:dyaOrig="7714" w14:anchorId="3128A0C8">
          <v:shape id="_x0000_i1028" type="#_x0000_t75" style="width:460.15pt;height:411.95pt" o:ole="">
            <v:imagedata r:id="rId107" o:title=""/>
          </v:shape>
          <o:OLEObject Type="Embed" ProgID="Visio.Drawing.11" ShapeID="_x0000_i1028" DrawAspect="Content" ObjectID="_1738954879" r:id="rId108"/>
        </w:object>
      </w:r>
    </w:p>
    <w:p w14:paraId="3BFE6909" w14:textId="35684774" w:rsidR="00E05E6B" w:rsidRPr="00545EC0" w:rsidRDefault="00791254" w:rsidP="00791254">
      <w:pPr>
        <w:pStyle w:val="Napis"/>
        <w:rPr>
          <w:sz w:val="22"/>
          <w:szCs w:val="22"/>
        </w:rPr>
      </w:pPr>
      <w:bookmarkStart w:id="646" w:name="_Ref84342372"/>
      <w:r w:rsidRPr="00545EC0">
        <w:t xml:space="preserve">Slika </w:t>
      </w:r>
      <w:fldSimple w:instr=" STYLEREF 1 \s ">
        <w:r w:rsidR="002F3E43">
          <w:rPr>
            <w:noProof/>
          </w:rPr>
          <w:t>5</w:t>
        </w:r>
      </w:fldSimple>
      <w:r w:rsidR="00396E1E" w:rsidRPr="00545EC0">
        <w:noBreakHyphen/>
      </w:r>
      <w:fldSimple w:instr=" SEQ Slika \* ARABIC \s 1 ">
        <w:r w:rsidR="002F3E43">
          <w:rPr>
            <w:noProof/>
          </w:rPr>
          <w:t>2</w:t>
        </w:r>
      </w:fldSimple>
      <w:bookmarkEnd w:id="646"/>
      <w:r w:rsidRPr="00545EC0">
        <w:t xml:space="preserve">: </w:t>
      </w:r>
      <w:r w:rsidR="00E05E6B" w:rsidRPr="00545EC0">
        <w:t>Člen 4</w:t>
      </w:r>
      <w:r w:rsidR="00AB3F36" w:rsidRPr="00545EC0">
        <w:t>(4)</w:t>
      </w:r>
      <w:r w:rsidR="00E05E6B" w:rsidRPr="00545EC0">
        <w:t xml:space="preserve"> vodne direktive – opredelitev izjem za potrebe drugega načrta upravljanja voda v obliki podaljšanja rokov za dosego dobrega stanja voda </w:t>
      </w:r>
    </w:p>
    <w:p w14:paraId="2A104A40" w14:textId="77777777" w:rsidR="00E05E6B" w:rsidRPr="00545EC0" w:rsidRDefault="00E05E6B" w:rsidP="00E05E6B">
      <w:pPr>
        <w:rPr>
          <w:rFonts w:cs="Arial"/>
          <w:szCs w:val="22"/>
        </w:rPr>
      </w:pPr>
    </w:p>
    <w:p w14:paraId="4DFD33C5" w14:textId="68390FFA" w:rsidR="00E05E6B" w:rsidRPr="00545EC0" w:rsidRDefault="00E05E6B" w:rsidP="00E05E6B">
      <w:pPr>
        <w:rPr>
          <w:rFonts w:cs="Arial"/>
          <w:szCs w:val="22"/>
        </w:rPr>
      </w:pPr>
      <w:r w:rsidRPr="00545EC0">
        <w:rPr>
          <w:rFonts w:cs="Arial"/>
          <w:szCs w:val="22"/>
        </w:rPr>
        <w:t>Opredelitev izjem pri doseganju okoljskih ciljev v obliki manj strogih okoljskih ciljev je možna, če velja, da je doseganje ciljev nesorazmerno drago, ne glede na časovni rok, ali če je doseganje ciljev neizvedljivo, ne glede na časovni rok (</w:t>
      </w:r>
      <w:r w:rsidR="00791254" w:rsidRPr="00545EC0">
        <w:rPr>
          <w:rFonts w:cs="Arial"/>
          <w:szCs w:val="22"/>
        </w:rPr>
        <w:fldChar w:fldCharType="begin"/>
      </w:r>
      <w:r w:rsidR="00791254" w:rsidRPr="00545EC0">
        <w:rPr>
          <w:rFonts w:cs="Arial"/>
          <w:szCs w:val="22"/>
        </w:rPr>
        <w:instrText xml:space="preserve"> REF _Ref84342372 \h </w:instrText>
      </w:r>
      <w:r w:rsidR="00F37A91" w:rsidRPr="00545EC0">
        <w:rPr>
          <w:rFonts w:cs="Arial"/>
          <w:szCs w:val="22"/>
        </w:rPr>
        <w:instrText xml:space="preserve"> \* MERGEFORMAT </w:instrText>
      </w:r>
      <w:r w:rsidR="00791254" w:rsidRPr="00545EC0">
        <w:rPr>
          <w:rFonts w:cs="Arial"/>
          <w:szCs w:val="22"/>
        </w:rPr>
      </w:r>
      <w:r w:rsidR="00791254" w:rsidRPr="00545EC0">
        <w:rPr>
          <w:rFonts w:cs="Arial"/>
          <w:szCs w:val="22"/>
        </w:rPr>
        <w:fldChar w:fldCharType="separate"/>
      </w:r>
      <w:r w:rsidR="002F3E43" w:rsidRPr="00545EC0">
        <w:t xml:space="preserve">Slika </w:t>
      </w:r>
      <w:r w:rsidR="002F3E43">
        <w:rPr>
          <w:noProof/>
        </w:rPr>
        <w:t>5</w:t>
      </w:r>
      <w:r w:rsidR="002F3E43" w:rsidRPr="00545EC0">
        <w:rPr>
          <w:noProof/>
        </w:rPr>
        <w:noBreakHyphen/>
      </w:r>
      <w:r w:rsidR="002F3E43">
        <w:rPr>
          <w:noProof/>
        </w:rPr>
        <w:t>2</w:t>
      </w:r>
      <w:r w:rsidR="00791254" w:rsidRPr="00545EC0">
        <w:rPr>
          <w:rFonts w:cs="Arial"/>
          <w:szCs w:val="22"/>
        </w:rPr>
        <w:fldChar w:fldCharType="end"/>
      </w:r>
      <w:r w:rsidRPr="00545EC0">
        <w:rPr>
          <w:rFonts w:cs="Arial"/>
          <w:szCs w:val="22"/>
        </w:rPr>
        <w:t>). Znižanje okoljskih ciljev ima trajen učinek, zato morajo biti zahteve po znižanju okoljskih ciljev tehtno utemeljene.</w:t>
      </w:r>
    </w:p>
    <w:p w14:paraId="05B7E117" w14:textId="77777777" w:rsidR="00E05E6B" w:rsidRPr="00545EC0" w:rsidRDefault="00E05E6B" w:rsidP="00E05E6B">
      <w:pPr>
        <w:rPr>
          <w:rFonts w:cs="Arial"/>
          <w:szCs w:val="22"/>
        </w:rPr>
      </w:pPr>
    </w:p>
    <w:p w14:paraId="7A42DEA2" w14:textId="77777777" w:rsidR="00E05E6B" w:rsidRPr="00545EC0" w:rsidRDefault="00E05E6B" w:rsidP="00E05E6B">
      <w:pPr>
        <w:rPr>
          <w:rFonts w:cs="Arial"/>
          <w:szCs w:val="22"/>
        </w:rPr>
      </w:pPr>
      <w:r w:rsidRPr="00545EC0">
        <w:rPr>
          <w:rFonts w:cs="Arial"/>
        </w:rPr>
        <w:object w:dxaOrig="8941" w:dyaOrig="8379" w14:anchorId="7EACEF45">
          <v:shape id="_x0000_i1029" type="#_x0000_t75" style="width:6in;height:405.1pt" o:ole="">
            <v:imagedata r:id="rId109" o:title=""/>
          </v:shape>
          <o:OLEObject Type="Embed" ProgID="Visio.Drawing.11" ShapeID="_x0000_i1029" DrawAspect="Content" ObjectID="_1738954880" r:id="rId110"/>
        </w:object>
      </w:r>
    </w:p>
    <w:p w14:paraId="7263DE4A" w14:textId="685E6356" w:rsidR="00E05E6B" w:rsidRPr="00545EC0" w:rsidRDefault="00791254" w:rsidP="00791254">
      <w:pPr>
        <w:pStyle w:val="Napis"/>
      </w:pPr>
      <w:r w:rsidRPr="00545EC0">
        <w:t xml:space="preserve">Slika </w:t>
      </w:r>
      <w:fldSimple w:instr=" STYLEREF 1 \s ">
        <w:r w:rsidR="002F3E43">
          <w:rPr>
            <w:noProof/>
          </w:rPr>
          <w:t>5</w:t>
        </w:r>
      </w:fldSimple>
      <w:r w:rsidR="00396E1E" w:rsidRPr="00545EC0">
        <w:noBreakHyphen/>
      </w:r>
      <w:fldSimple w:instr=" SEQ Slika \* ARABIC \s 1 ">
        <w:r w:rsidR="002F3E43">
          <w:rPr>
            <w:noProof/>
          </w:rPr>
          <w:t>3</w:t>
        </w:r>
      </w:fldSimple>
      <w:r w:rsidRPr="00545EC0">
        <w:t xml:space="preserve">: Člen </w:t>
      </w:r>
      <w:r w:rsidR="00E05E6B" w:rsidRPr="00545EC0">
        <w:t>4(</w:t>
      </w:r>
      <w:r w:rsidR="00AB3F36" w:rsidRPr="00545EC0">
        <w:t xml:space="preserve">5) </w:t>
      </w:r>
      <w:r w:rsidR="00E05E6B" w:rsidRPr="00545EC0">
        <w:t xml:space="preserve">vodne direktive – opredelitev izjem v obliki manj strogih okoljskih ciljev za dosego dobrega stanja voda </w:t>
      </w:r>
    </w:p>
    <w:p w14:paraId="4E7924CD" w14:textId="77777777" w:rsidR="00334684" w:rsidRPr="00545EC0" w:rsidRDefault="00334684" w:rsidP="0010797F">
      <w:pPr>
        <w:rPr>
          <w:rFonts w:cs="Arial"/>
        </w:rPr>
      </w:pPr>
    </w:p>
    <w:p w14:paraId="1885ABB6" w14:textId="04EAE723" w:rsidR="000F32C5" w:rsidRPr="00545EC0" w:rsidRDefault="00260DC3">
      <w:pPr>
        <w:pStyle w:val="Naslov3"/>
        <w:rPr>
          <w:rFonts w:cs="Arial"/>
        </w:rPr>
      </w:pPr>
      <w:bookmarkStart w:id="647" w:name="_Toc84251695"/>
      <w:bookmarkStart w:id="648" w:name="_Toc84313020"/>
      <w:bookmarkStart w:id="649" w:name="_Toc84343854"/>
      <w:bookmarkStart w:id="650" w:name="_Toc84402923"/>
      <w:bookmarkStart w:id="651" w:name="_Toc84496162"/>
      <w:bookmarkStart w:id="652" w:name="_Toc84496276"/>
      <w:bookmarkStart w:id="653" w:name="_Toc84575769"/>
      <w:bookmarkStart w:id="654" w:name="_Toc84579923"/>
      <w:bookmarkStart w:id="655" w:name="_Toc87943835"/>
      <w:bookmarkStart w:id="656" w:name="_Toc90261076"/>
      <w:bookmarkEnd w:id="647"/>
      <w:bookmarkEnd w:id="648"/>
      <w:bookmarkEnd w:id="649"/>
      <w:bookmarkEnd w:id="650"/>
      <w:bookmarkEnd w:id="651"/>
      <w:bookmarkEnd w:id="652"/>
      <w:bookmarkEnd w:id="653"/>
      <w:bookmarkEnd w:id="654"/>
      <w:bookmarkEnd w:id="655"/>
      <w:r w:rsidRPr="00545EC0">
        <w:t>Izjeme</w:t>
      </w:r>
      <w:r w:rsidR="00504787" w:rsidRPr="00545EC0">
        <w:t xml:space="preserve"> pri doseganju okoljskih ciljev </w:t>
      </w:r>
      <w:r w:rsidRPr="00545EC0">
        <w:t>za površinske</w:t>
      </w:r>
      <w:r w:rsidR="00504787" w:rsidRPr="00545EC0">
        <w:t xml:space="preserve"> vod</w:t>
      </w:r>
      <w:r w:rsidRPr="00545EC0">
        <w:t>e</w:t>
      </w:r>
      <w:bookmarkEnd w:id="656"/>
    </w:p>
    <w:p w14:paraId="5B19136C" w14:textId="77777777" w:rsidR="003F0F4E" w:rsidRPr="00545EC0" w:rsidRDefault="003F0F4E" w:rsidP="000A1DB5">
      <w:pPr>
        <w:pStyle w:val="podnaslov0"/>
      </w:pPr>
      <w:bookmarkStart w:id="657" w:name="_Toc419099308"/>
      <w:bookmarkEnd w:id="642"/>
      <w:bookmarkEnd w:id="643"/>
      <w:bookmarkEnd w:id="644"/>
      <w:r w:rsidRPr="00545EC0">
        <w:t>Izjeme zaradi tehnične neizvedljivosti</w:t>
      </w:r>
    </w:p>
    <w:p w14:paraId="34C1AE87" w14:textId="77777777" w:rsidR="00902A90" w:rsidRPr="00545EC0" w:rsidRDefault="00902A90" w:rsidP="00902A90">
      <w:pPr>
        <w:tabs>
          <w:tab w:val="num" w:pos="360"/>
          <w:tab w:val="num" w:pos="567"/>
          <w:tab w:val="left" w:pos="9600"/>
        </w:tabs>
      </w:pPr>
      <w:r w:rsidRPr="00545EC0">
        <w:t>Izjema pri doseganju okoljskih ciljev v obliki podaljšanja rokov zaradi tehnične neizvedljivosti je utemeljena, ko so izpolnjena naslednja merila:</w:t>
      </w:r>
    </w:p>
    <w:p w14:paraId="055132C2" w14:textId="4C3F003D" w:rsidR="00902A90" w:rsidRPr="00545EC0" w:rsidRDefault="00902A90"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tehnične rešitve oz. ukrepi za doseganje cilja niso prepoznane oz. niso na voljo</w:t>
      </w:r>
      <w:r w:rsidR="00DD62AF" w:rsidRPr="00545EC0">
        <w:rPr>
          <w:rFonts w:cs="Arial"/>
          <w:lang w:val="sl-SI"/>
        </w:rPr>
        <w:t>,</w:t>
      </w:r>
      <w:r w:rsidRPr="00545EC0">
        <w:rPr>
          <w:rFonts w:cs="Arial"/>
          <w:lang w:val="sl-SI"/>
        </w:rPr>
        <w:t xml:space="preserve"> </w:t>
      </w:r>
    </w:p>
    <w:p w14:paraId="1714FB6B" w14:textId="00848FBD" w:rsidR="00902A90" w:rsidRPr="00545EC0" w:rsidRDefault="00902A90"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izvajanje ukrepov za zmanjšanje obremenitev in obvladovanje problematike traja dlje časa in presega časovne okvirje določene za doseganje ciljev</w:t>
      </w:r>
      <w:r w:rsidR="00DD62AF" w:rsidRPr="00545EC0">
        <w:rPr>
          <w:rFonts w:cs="Arial"/>
          <w:lang w:val="sl-SI"/>
        </w:rPr>
        <w:t>, ter</w:t>
      </w:r>
    </w:p>
    <w:p w14:paraId="1AFE0187" w14:textId="27F90B90" w:rsidR="00902A90" w:rsidRPr="00545EC0" w:rsidRDefault="00902A90"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ni podatkov o vzrokih za nedoseganje ciljev; posledično obremenitev ni mogoče nasloviti z ustreznimi ukrepi</w:t>
      </w:r>
      <w:r w:rsidR="00DD62AF" w:rsidRPr="00545EC0">
        <w:rPr>
          <w:rFonts w:cs="Arial"/>
          <w:lang w:val="sl-SI"/>
        </w:rPr>
        <w:t>.</w:t>
      </w:r>
    </w:p>
    <w:p w14:paraId="1D8D60BA" w14:textId="77777777" w:rsidR="00902A90" w:rsidRPr="00545EC0" w:rsidRDefault="00902A90" w:rsidP="00902A90">
      <w:pPr>
        <w:rPr>
          <w:rFonts w:cs="Tahoma"/>
        </w:rPr>
      </w:pPr>
    </w:p>
    <w:p w14:paraId="53C47A63" w14:textId="59571E9B" w:rsidR="00902A90" w:rsidRPr="00545EC0" w:rsidRDefault="00902A90" w:rsidP="00902A90">
      <w:pPr>
        <w:rPr>
          <w:rFonts w:cs="Tahoma"/>
        </w:rPr>
      </w:pPr>
      <w:r w:rsidRPr="00545EC0">
        <w:rPr>
          <w:rFonts w:cs="Tahoma"/>
        </w:rPr>
        <w:t xml:space="preserve">Postopek je bil za potrebe priprave načrta upravljanja voda uporabljen zaradi ugotavljanja tehnične izvedljivosti dopolnilnih ukrepov za doseganje dobrega stanja voda do leta </w:t>
      </w:r>
      <w:r w:rsidR="004306D3" w:rsidRPr="00545EC0">
        <w:rPr>
          <w:rFonts w:cs="Tahoma"/>
        </w:rPr>
        <w:t>2015</w:t>
      </w:r>
      <w:r w:rsidRPr="00545EC0">
        <w:rPr>
          <w:rFonts w:cs="Tahoma"/>
        </w:rPr>
        <w:t>. V kolikor je bilo na podlagi postopka ocenjeno, da dopolnilni ukrepi do omenjeneg</w:t>
      </w:r>
      <w:r w:rsidR="003647C0" w:rsidRPr="00545EC0">
        <w:rPr>
          <w:rFonts w:cs="Tahoma"/>
        </w:rPr>
        <w:t>a roka ne bodo izvedljivi, se</w:t>
      </w:r>
      <w:r w:rsidRPr="00545EC0">
        <w:rPr>
          <w:rFonts w:cs="Tahoma"/>
        </w:rPr>
        <w:t xml:space="preserve"> uveljavlja izjeme pri doseganju okoljskih ciljev v obliki podaljšanja rokov.</w:t>
      </w:r>
    </w:p>
    <w:p w14:paraId="3398185C" w14:textId="77777777" w:rsidR="00902A90" w:rsidRPr="00545EC0" w:rsidRDefault="00902A90" w:rsidP="00902A90">
      <w:pPr>
        <w:rPr>
          <w:rFonts w:cs="Tahoma"/>
        </w:rPr>
      </w:pPr>
    </w:p>
    <w:p w14:paraId="6CEB4694" w14:textId="77777777" w:rsidR="00902A90" w:rsidRPr="00545EC0" w:rsidRDefault="00902A90" w:rsidP="00902A90">
      <w:r w:rsidRPr="00545EC0">
        <w:lastRenderedPageBreak/>
        <w:t>Navedena merila, ki so bila uporabljena že pri pripravi predhodnih načrtov upravljanja voda, so v okviru tega načrta</w:t>
      </w:r>
      <w:r w:rsidRPr="00545EC0">
        <w:rPr>
          <w:rFonts w:cs="Tahoma"/>
        </w:rPr>
        <w:t xml:space="preserve"> ponovno uporabljena za preveritev</w:t>
      </w:r>
      <w:r w:rsidRPr="00545EC0">
        <w:t xml:space="preserve"> izjem določenih s prejšnjim načrtom upravljanja voda in za določitev morebitnih novih izjem. Presoja uveljavljanja izjem je tako izvedena za:</w:t>
      </w:r>
    </w:p>
    <w:p w14:paraId="18FF8EB5" w14:textId="77777777" w:rsidR="00902A90" w:rsidRPr="00545EC0" w:rsidRDefault="00902A90"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 xml:space="preserve">vodna telesa površinskih voda, kjer se na podlagi ocene stanja površinskih voda ugotavlja, da cilja dobro stanje voda ni bilo mogoče doseči, in </w:t>
      </w:r>
    </w:p>
    <w:p w14:paraId="1F1281A9" w14:textId="05A2D916" w:rsidR="00902A90" w:rsidRPr="00545EC0" w:rsidRDefault="00902A90"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za vodna telesa površinskih voda, kjer se na podlagi prikaza vplivov človekovega delovanja na stanje površinskih voda, ugotavlja da cilji do 22. decembra 2027 ne bodo doseženi</w:t>
      </w:r>
      <w:r w:rsidR="00DD62AF" w:rsidRPr="00545EC0">
        <w:rPr>
          <w:rFonts w:cs="Arial"/>
          <w:lang w:val="sl-SI"/>
        </w:rPr>
        <w:t>.</w:t>
      </w:r>
    </w:p>
    <w:p w14:paraId="2404E3F2" w14:textId="47043D44" w:rsidR="00902A90" w:rsidRPr="00545EC0" w:rsidRDefault="00902A90" w:rsidP="00902A90">
      <w:pPr>
        <w:pStyle w:val="podnaslov0"/>
        <w:rPr>
          <w:b w:val="0"/>
          <w:u w:val="single"/>
        </w:rPr>
      </w:pPr>
      <w:r w:rsidRPr="00545EC0">
        <w:rPr>
          <w:b w:val="0"/>
          <w:u w:val="single"/>
        </w:rPr>
        <w:t>Podaljšanj</w:t>
      </w:r>
      <w:r w:rsidR="00AB3F36" w:rsidRPr="00545EC0">
        <w:rPr>
          <w:b w:val="0"/>
          <w:u w:val="single"/>
        </w:rPr>
        <w:t>e</w:t>
      </w:r>
      <w:r w:rsidRPr="00545EC0">
        <w:rPr>
          <w:b w:val="0"/>
          <w:u w:val="single"/>
        </w:rPr>
        <w:t xml:space="preserve"> rokov v obliki tehnične neizvedljivosti za vodna teles površinskih voda, kjer se ugotavlja, da cilji vezani na ekološko stanje površinskih voda ne bodo doseženi zaradi hidromorfološke spremenjenost/splošne degradiranosti</w:t>
      </w:r>
    </w:p>
    <w:p w14:paraId="6AA9938D" w14:textId="08AF3E1C" w:rsidR="00902A90" w:rsidRPr="00545EC0" w:rsidRDefault="00902A90" w:rsidP="00902A90">
      <w:r w:rsidRPr="00545EC0">
        <w:t>Podaljšanj</w:t>
      </w:r>
      <w:r w:rsidR="00AB3F36" w:rsidRPr="00545EC0">
        <w:t>e</w:t>
      </w:r>
      <w:r w:rsidRPr="00545EC0">
        <w:t xml:space="preserve"> rokov v obliki tehnične neizvedljivosti se uveljavlja za vodna teles površinskih voda, kjer se ugotavlja, da cilji ne bodo doseženi zaradi hidromorfološke spremenjenosti in so v predlogu programa ukrepov upravljanja voda predlagane tehnične rešitve za doseganje cilje. Vendar pa izvedba predlaganih ukrepov zahteva pripravo projektne dokumentacije, pridobivanje dovoljenj, odkup zemljišč in izvedbo predvidenih gradbenih del. Navedeni postopki so dolgotrajni zato bo izvajanje ukrepov za zmanjšanje obremenitev in obvladovanje problematike </w:t>
      </w:r>
      <w:r w:rsidRPr="00545EC0">
        <w:rPr>
          <w:rFonts w:cs="Tahoma"/>
        </w:rPr>
        <w:t>preseglo časovne okvirje določene za doseganje ciljev</w:t>
      </w:r>
      <w:r w:rsidRPr="00545EC0">
        <w:t xml:space="preserve">. V primeru večjega števila ukrepov, pa izvajanje le-teh predstavlja tudi dodatno administrativno breme. </w:t>
      </w:r>
    </w:p>
    <w:p w14:paraId="068E83DC" w14:textId="45EE7AEF" w:rsidR="00902A90" w:rsidRPr="00545EC0" w:rsidRDefault="00902A90" w:rsidP="00902A90">
      <w:pPr>
        <w:pStyle w:val="podnaslov0"/>
        <w:rPr>
          <w:b w:val="0"/>
          <w:u w:val="single"/>
        </w:rPr>
      </w:pPr>
      <w:r w:rsidRPr="00545EC0">
        <w:rPr>
          <w:b w:val="0"/>
          <w:u w:val="single"/>
        </w:rPr>
        <w:t>Podaljšanj</w:t>
      </w:r>
      <w:r w:rsidR="00AB3F36" w:rsidRPr="00545EC0">
        <w:rPr>
          <w:b w:val="0"/>
          <w:u w:val="single"/>
        </w:rPr>
        <w:t>e</w:t>
      </w:r>
      <w:r w:rsidRPr="00545EC0">
        <w:rPr>
          <w:b w:val="0"/>
          <w:u w:val="single"/>
        </w:rPr>
        <w:t xml:space="preserve"> rokov v obliki tehnične neizvedljivosti za vodna teles površinskih voda, kjer se ugotavlja, da cilji vezani na ekološko stanje površinskih voda ne bodo doseženi zaradi obremenjenosti s posebnimi onesnaževali in zaradi obremenjenosti s hranili</w:t>
      </w:r>
    </w:p>
    <w:p w14:paraId="24653729" w14:textId="327701E8" w:rsidR="00902A90" w:rsidRPr="00545EC0" w:rsidRDefault="00902A90" w:rsidP="00902A90">
      <w:pPr>
        <w:rPr>
          <w:rFonts w:cs="Tahoma"/>
        </w:rPr>
      </w:pPr>
      <w:r w:rsidRPr="00545EC0">
        <w:t>Podaljšanj</w:t>
      </w:r>
      <w:r w:rsidR="00AB3F36" w:rsidRPr="00545EC0">
        <w:t>e</w:t>
      </w:r>
      <w:r w:rsidRPr="00545EC0">
        <w:t xml:space="preserve"> rokov v obliki tehnične neizvedljivosti se uveljavlja za vodna teles površinskih voda, kjer se ugotavlja, da cilji ne bodo doseženi zaradi onesnaževanja voda zaradi emisij iz razpršenih virov onesnaževanja kot je kmetijstvo in so v predlogu programa ukrepov upravljanja voda predlagane tehnične rešitve za doseganje cilje. Vendar pa doseganje ciljev predstavlja dolgotrajen proces, saj je spiranj</w:t>
      </w:r>
      <w:r w:rsidR="00AB3F36" w:rsidRPr="00545EC0">
        <w:t>e</w:t>
      </w:r>
      <w:r w:rsidRPr="00545EC0">
        <w:t xml:space="preserve"> hranil in onesnaževal odvisno od naravnih procesov tudi v primerih, ko je njihova uporaba že omejena. Zato </w:t>
      </w:r>
      <w:r w:rsidRPr="00545EC0">
        <w:rPr>
          <w:rFonts w:cs="Tahoma"/>
        </w:rPr>
        <w:t>obvladovanje problematike, ki se zagotavlja z izvajanjem ustreznih ukrepov, lahko traja dlje časa in presega časovne okvirje določene za doseganje ciljev.</w:t>
      </w:r>
    </w:p>
    <w:p w14:paraId="5A01E820" w14:textId="1A90EF36" w:rsidR="00902A90" w:rsidRPr="00545EC0" w:rsidRDefault="00902A90" w:rsidP="00902A90">
      <w:pPr>
        <w:pStyle w:val="podnaslov0"/>
        <w:rPr>
          <w:b w:val="0"/>
          <w:u w:val="single"/>
        </w:rPr>
      </w:pPr>
      <w:r w:rsidRPr="00545EC0">
        <w:rPr>
          <w:b w:val="0"/>
          <w:u w:val="single"/>
        </w:rPr>
        <w:t>Podaljšanj</w:t>
      </w:r>
      <w:r w:rsidR="00AB3F36" w:rsidRPr="00545EC0">
        <w:rPr>
          <w:b w:val="0"/>
          <w:u w:val="single"/>
        </w:rPr>
        <w:t>e</w:t>
      </w:r>
      <w:r w:rsidRPr="00545EC0">
        <w:rPr>
          <w:b w:val="0"/>
          <w:u w:val="single"/>
        </w:rPr>
        <w:t xml:space="preserve"> rokov v obliki tehnične neizvedljivosti za vodna teles površinskih voda, kjer se ugotavlja, da cilji vezani na ekološko stanje površinskih voda ne bodo doseženi zaradi obremenjenosti s posebnimi onesnaževali</w:t>
      </w:r>
    </w:p>
    <w:p w14:paraId="1632F15D" w14:textId="45359A7F" w:rsidR="00902A90" w:rsidRPr="00545EC0" w:rsidRDefault="00902A90" w:rsidP="00902A90">
      <w:pPr>
        <w:spacing w:line="276" w:lineRule="auto"/>
      </w:pPr>
      <w:r w:rsidRPr="00545EC0">
        <w:t>Podaljšanj</w:t>
      </w:r>
      <w:r w:rsidR="00AB3F36" w:rsidRPr="00545EC0">
        <w:t>e</w:t>
      </w:r>
      <w:r w:rsidRPr="00545EC0">
        <w:t xml:space="preserve"> rokov v obliki tehnične neizvedljivosti se uveljavlja za vodna teles površinskih voda, kjer se ugotavlja, da cilji ne bodo doseženi zaradi onesnaževanja voda s posebnimi onesnaževali pri tem pa ob upoštevanju rezultatov prikaza obremenitev in presoje vplivov, ni zadostnih podatkov o </w:t>
      </w:r>
      <w:r w:rsidRPr="00545EC0">
        <w:rPr>
          <w:rFonts w:cs="Tahoma"/>
        </w:rPr>
        <w:t>vzrokih za nedoseganje ciljev. Posledično obremenitev ni mogoče nasloviti z ustreznimi ukrepi.</w:t>
      </w:r>
    </w:p>
    <w:p w14:paraId="3B62392E" w14:textId="3474D699" w:rsidR="00902A90" w:rsidRPr="00545EC0" w:rsidRDefault="00902A90" w:rsidP="00902A90">
      <w:pPr>
        <w:pStyle w:val="podnaslov0"/>
        <w:rPr>
          <w:b w:val="0"/>
          <w:u w:val="single"/>
        </w:rPr>
      </w:pPr>
      <w:r w:rsidRPr="00545EC0">
        <w:rPr>
          <w:b w:val="0"/>
          <w:u w:val="single"/>
        </w:rPr>
        <w:t>Podaljšanj</w:t>
      </w:r>
      <w:r w:rsidR="00AB3F36" w:rsidRPr="00545EC0">
        <w:rPr>
          <w:b w:val="0"/>
          <w:u w:val="single"/>
        </w:rPr>
        <w:t>e</w:t>
      </w:r>
      <w:r w:rsidRPr="00545EC0">
        <w:rPr>
          <w:b w:val="0"/>
          <w:u w:val="single"/>
        </w:rPr>
        <w:t xml:space="preserve"> rokov v obliki tehnične neizvedljivosti za vodna teles površinskih voda, kjer se ugotavlja, da cilji ne bodo doseženi zaradi preseganje okoljskega standarda za živo srebro v organizmih</w:t>
      </w:r>
    </w:p>
    <w:p w14:paraId="42385C9F" w14:textId="77777777" w:rsidR="00902A90" w:rsidRPr="00545EC0" w:rsidRDefault="00902A90" w:rsidP="00902A90">
      <w:r w:rsidRPr="00545EC0">
        <w:t xml:space="preserve">V primeru živega srebra gre za onesnaževanje večjega obsega zaradi atmosferske depozicije snovi, ki nastaja pri procesih zgorevanja. V atmosfero emitirano živo srebro se prenaša na velike razdalje in se s padavinami vnese v površinske vode. Za zmanjševanje obremenjevanja voda in za doseganje cilja dobro kemijsko stanje, tehnične rešitve za enkrat niso prepoznane. Te obremenitve se lahko učinkovito zmanjšajo le z pripravo usklajenih ukrepov za zmanjševanja emisij živega srebra v atmosfero na ravni celotne Evropske unije. </w:t>
      </w:r>
    </w:p>
    <w:p w14:paraId="07462179" w14:textId="77777777" w:rsidR="00902A90" w:rsidRPr="00545EC0" w:rsidRDefault="00902A90" w:rsidP="00902A90">
      <w:pPr>
        <w:pStyle w:val="podnaslov0"/>
      </w:pPr>
      <w:r w:rsidRPr="00545EC0">
        <w:lastRenderedPageBreak/>
        <w:t xml:space="preserve">Ekonomska utemeljitev morebitnih izjem pri doseganju okoljskih ciljev </w:t>
      </w:r>
    </w:p>
    <w:p w14:paraId="287ECD0A" w14:textId="77777777" w:rsidR="00902A90" w:rsidRPr="00545EC0" w:rsidRDefault="00902A90" w:rsidP="00902A90">
      <w:r w:rsidRPr="00545EC0">
        <w:t xml:space="preserve">Nesorazmernost stroškov je eden izmed možnih vzrokov uveljavljanja izjem pri opredelitvi okoljskih ciljev. Nesorazmernost stroškov pomeni, da so stroški ukrepov nesorazmerno visoki v primerjavi z njihovimi koristmi. </w:t>
      </w:r>
    </w:p>
    <w:p w14:paraId="238CC74F" w14:textId="77777777" w:rsidR="00902A90" w:rsidRPr="00545EC0" w:rsidRDefault="00902A90" w:rsidP="00902A90">
      <w:pPr>
        <w:rPr>
          <w:rFonts w:cs="Arial"/>
          <w:szCs w:val="20"/>
        </w:rPr>
      </w:pPr>
    </w:p>
    <w:p w14:paraId="6D14812B" w14:textId="01598AF8" w:rsidR="00902A90" w:rsidRPr="00545EC0" w:rsidRDefault="00902A90" w:rsidP="00902A90">
      <w:pPr>
        <w:rPr>
          <w:rFonts w:cs="Arial"/>
          <w:szCs w:val="20"/>
        </w:rPr>
      </w:pPr>
      <w:r w:rsidRPr="00545EC0">
        <w:rPr>
          <w:rFonts w:cs="Arial"/>
          <w:szCs w:val="20"/>
        </w:rPr>
        <w:t>V primeru uveljavljanja izjem podaljšanja rokov zaradi nesorazmernosti stroškov se lahko izv</w:t>
      </w:r>
      <w:r w:rsidR="008D4C6E" w:rsidRPr="00545EC0">
        <w:rPr>
          <w:rFonts w:cs="Arial"/>
          <w:szCs w:val="20"/>
        </w:rPr>
        <w:t xml:space="preserve">ede </w:t>
      </w:r>
      <w:r w:rsidR="00AB3F36" w:rsidRPr="00545EC0">
        <w:rPr>
          <w:rFonts w:cs="Arial"/>
          <w:szCs w:val="20"/>
        </w:rPr>
        <w:t>a</w:t>
      </w:r>
      <w:r w:rsidR="008D4C6E" w:rsidRPr="00545EC0">
        <w:rPr>
          <w:rFonts w:cs="Arial"/>
          <w:szCs w:val="20"/>
        </w:rPr>
        <w:t xml:space="preserve">nalizo zmožnosti plačila. </w:t>
      </w:r>
    </w:p>
    <w:p w14:paraId="56FD7894" w14:textId="1A4C78DD" w:rsidR="00902A90" w:rsidRPr="00545EC0" w:rsidRDefault="00902A90" w:rsidP="00902A90">
      <w:pPr>
        <w:pStyle w:val="podnaslov0"/>
      </w:pPr>
      <w:r w:rsidRPr="00545EC0">
        <w:t>Predhodna analiza zmožnosti plačila</w:t>
      </w:r>
    </w:p>
    <w:p w14:paraId="550799D6" w14:textId="63350856" w:rsidR="00902A90" w:rsidRPr="00545EC0" w:rsidRDefault="00D048F5">
      <w:r w:rsidRPr="00545EC0">
        <w:t>V analizi zmožnosti plačila se upošteva ocena stroškov dopolnilnih ukrepov Programa ukrepov upravljanja voda v obdobju 2021-2027.  Zaradi nejasnosti ali pomanjkanja podatkov v fazi načrtovanja ukrepov, se lahko dejanske finančne posledice lahko razlikujejo od predhodne ocene.</w:t>
      </w:r>
    </w:p>
    <w:p w14:paraId="674431D3" w14:textId="77777777" w:rsidR="00902A90" w:rsidRPr="00545EC0" w:rsidRDefault="00902A90" w:rsidP="00902A90">
      <w:pPr>
        <w:pStyle w:val="podnaslov0"/>
      </w:pPr>
      <w:r w:rsidRPr="00545EC0">
        <w:t>Izjeme zaradi naravnih razmer</w:t>
      </w:r>
    </w:p>
    <w:p w14:paraId="3E386BB5" w14:textId="493C712E" w:rsidR="00902A90" w:rsidRPr="00545EC0" w:rsidRDefault="00902A90" w:rsidP="00902A90">
      <w:pPr>
        <w:widowControl w:val="0"/>
        <w:spacing w:after="200"/>
        <w:ind w:right="91"/>
        <w:rPr>
          <w:rFonts w:cs="Tahoma"/>
        </w:rPr>
      </w:pPr>
      <w:r w:rsidRPr="00545EC0">
        <w:rPr>
          <w:rFonts w:cs="Tahoma"/>
        </w:rPr>
        <w:t>Vodna telesa površinskih voda, kjer se glede na oceno verjetnosti doseganja okoljskih ciljev ocenjuje da cilji ne bodo doseženi do 22.</w:t>
      </w:r>
      <w:r w:rsidR="00AB3F36" w:rsidRPr="00545EC0">
        <w:rPr>
          <w:rFonts w:cs="Tahoma"/>
        </w:rPr>
        <w:t>12.</w:t>
      </w:r>
      <w:r w:rsidRPr="00545EC0">
        <w:rPr>
          <w:rFonts w:cs="Tahoma"/>
        </w:rPr>
        <w:t xml:space="preserve">2027 zaradi naravnih razmer oziroma naravne razmere ne dopuščajo pravočasnega doseganja dobrega ekološkega stanja ali dobrega ekološkega potenciala, se roki podaljšajo do </w:t>
      </w:r>
      <w:r w:rsidR="00AB3F36" w:rsidRPr="00545EC0">
        <w:rPr>
          <w:rFonts w:cs="Tahoma"/>
        </w:rPr>
        <w:t>22.12.2027</w:t>
      </w:r>
      <w:r w:rsidRPr="00545EC0">
        <w:rPr>
          <w:rFonts w:cs="Tahoma"/>
        </w:rPr>
        <w:t xml:space="preserve">. Izjeme se uveljavljajo za vodna telesa kjer so v </w:t>
      </w:r>
      <w:r w:rsidRPr="00545EC0">
        <w:rPr>
          <w:rFonts w:cs="Arial"/>
        </w:rPr>
        <w:t xml:space="preserve"> sedemdesetih in osemdesetih letih prejšnjega stoletja</w:t>
      </w:r>
      <w:r w:rsidRPr="00545EC0">
        <w:rPr>
          <w:rFonts w:cs="Tahoma"/>
        </w:rPr>
        <w:t xml:space="preserve"> </w:t>
      </w:r>
      <w:r w:rsidRPr="00545EC0">
        <w:rPr>
          <w:rFonts w:eastAsia="SimSun" w:cs="Arial"/>
          <w:lang w:eastAsia="zh-CN"/>
        </w:rPr>
        <w:t xml:space="preserve">zaradi vodnogospodarske rabe voda nastali zadrževalniki in za vodna telesa jezer. Na teh vodnih telesih zaradi spremenjenih procesov, kljub pravočasni izvedbi ukrepov za zmanjšanje obremenjevanja voda, </w:t>
      </w:r>
      <w:r w:rsidRPr="00545EC0">
        <w:rPr>
          <w:rFonts w:cs="Tahoma"/>
        </w:rPr>
        <w:t>naravne razmere ne dopuščajo pravočasnega izboljšanja stanja na vodnih telesih.</w:t>
      </w:r>
    </w:p>
    <w:p w14:paraId="1588C27E" w14:textId="77777777" w:rsidR="00902A90" w:rsidRPr="00545EC0" w:rsidRDefault="00902A90" w:rsidP="00902A90">
      <w:pPr>
        <w:pStyle w:val="podnaslov0"/>
      </w:pPr>
      <w:r w:rsidRPr="00545EC0">
        <w:t>Preglede izjem za vodna telesa površinskih voda</w:t>
      </w:r>
    </w:p>
    <w:p w14:paraId="3A9A170B" w14:textId="4C446A56" w:rsidR="00902A90" w:rsidRPr="00545EC0" w:rsidRDefault="00902A90" w:rsidP="00902A90">
      <w:pPr>
        <w:rPr>
          <w:lang w:eastAsia="x-none"/>
        </w:rPr>
      </w:pPr>
      <w:r w:rsidRPr="00545EC0">
        <w:rPr>
          <w:lang w:eastAsia="x-none"/>
        </w:rPr>
        <w:t xml:space="preserve">Izjeme pri doseganju okoljskih ciljev za vodna telesa površinskih voda so ob upoštevanju meril iz prejšnjega poglavja določena v obliki podaljšanja rokov do </w:t>
      </w:r>
      <w:r w:rsidRPr="00545EC0">
        <w:rPr>
          <w:rFonts w:cs="Arial"/>
          <w:szCs w:val="20"/>
        </w:rPr>
        <w:t>22.</w:t>
      </w:r>
      <w:r w:rsidR="00AB3F36" w:rsidRPr="00545EC0">
        <w:rPr>
          <w:rFonts w:cs="Arial"/>
          <w:szCs w:val="20"/>
        </w:rPr>
        <w:t>12</w:t>
      </w:r>
      <w:r w:rsidRPr="00545EC0">
        <w:rPr>
          <w:rFonts w:cs="Arial"/>
          <w:szCs w:val="20"/>
        </w:rPr>
        <w:t xml:space="preserve"> 2027 </w:t>
      </w:r>
      <w:r w:rsidRPr="00545EC0">
        <w:rPr>
          <w:lang w:eastAsia="x-none"/>
        </w:rPr>
        <w:t>in ob upoštevanju:</w:t>
      </w:r>
    </w:p>
    <w:p w14:paraId="4472CE79" w14:textId="74B9B177" w:rsidR="00902A90" w:rsidRPr="00545EC0" w:rsidRDefault="00902A90"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izjem iz predhodnega načrta upravljanja voda na VO Donave</w:t>
      </w:r>
      <w:r w:rsidR="00AB3F36" w:rsidRPr="00545EC0">
        <w:rPr>
          <w:rFonts w:cs="Arial"/>
          <w:lang w:val="sl-SI"/>
        </w:rPr>
        <w:t>,</w:t>
      </w:r>
    </w:p>
    <w:p w14:paraId="0367CAC2" w14:textId="30C1C45B" w:rsidR="00902A90" w:rsidRPr="00545EC0" w:rsidRDefault="00902A90"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ocene kemijskega in ekološkega stanja površinskih voda, kjer okoljski cilji v letu 2015 niso doseženi</w:t>
      </w:r>
      <w:r w:rsidR="00AB3F36" w:rsidRPr="00545EC0">
        <w:rPr>
          <w:rFonts w:cs="Arial"/>
          <w:lang w:val="sl-SI"/>
        </w:rPr>
        <w:t xml:space="preserve"> in</w:t>
      </w:r>
    </w:p>
    <w:p w14:paraId="3FDA1CF0" w14:textId="1496B565" w:rsidR="00902A90" w:rsidRPr="00545EC0" w:rsidRDefault="00902A90" w:rsidP="00DD37C5">
      <w:pPr>
        <w:pStyle w:val="Odstavekseznama"/>
        <w:numPr>
          <w:ilvl w:val="0"/>
          <w:numId w:val="32"/>
        </w:numPr>
        <w:tabs>
          <w:tab w:val="center" w:pos="426"/>
        </w:tabs>
        <w:overflowPunct/>
        <w:autoSpaceDE/>
        <w:autoSpaceDN/>
        <w:adjustRightInd/>
        <w:ind w:left="426" w:hanging="426"/>
        <w:contextualSpacing/>
        <w:textAlignment w:val="auto"/>
        <w:rPr>
          <w:rFonts w:cs="Arial"/>
          <w:lang w:val="sl-SI"/>
        </w:rPr>
      </w:pPr>
      <w:r w:rsidRPr="00545EC0">
        <w:rPr>
          <w:rFonts w:cs="Arial"/>
          <w:lang w:val="sl-SI"/>
        </w:rPr>
        <w:t>ocene verjetnosti doseganja okoljskih ciljev</w:t>
      </w:r>
      <w:r w:rsidR="00AB3F36" w:rsidRPr="00545EC0">
        <w:rPr>
          <w:rFonts w:cs="Arial"/>
          <w:lang w:val="sl-SI"/>
        </w:rPr>
        <w:t>.</w:t>
      </w:r>
    </w:p>
    <w:p w14:paraId="2D950053" w14:textId="77777777" w:rsidR="00902A90" w:rsidRPr="00545EC0" w:rsidRDefault="00902A90" w:rsidP="00902A90">
      <w:pPr>
        <w:rPr>
          <w:lang w:eastAsia="x-none"/>
        </w:rPr>
      </w:pPr>
    </w:p>
    <w:p w14:paraId="483A4186" w14:textId="77777777" w:rsidR="00902A90" w:rsidRPr="00545EC0" w:rsidRDefault="00902A90" w:rsidP="00902A90">
      <w:pPr>
        <w:rPr>
          <w:lang w:eastAsia="x-none"/>
        </w:rPr>
      </w:pPr>
      <w:r w:rsidRPr="00545EC0">
        <w:rPr>
          <w:lang w:eastAsia="x-none"/>
        </w:rPr>
        <w:t>Izjeme za vodna telesa, za katera so bile s prehodnim načrtom upravljanja voda na VO Donave uveljavljene izjeme v obliki podaljšanja rokov za doseganje okoljskih ciljev do leta 2027, so za ta načrt ponovno preverjene. Vodna telesa površinskih voda na VO Donave za katere cilji zaradi razlogov, povezanih s tehnično izvedljivostjo ukrepov za doseganje teh ciljev ali z naravnimi pogoji, ni bilo mogoče doseči in za katera se še naprej uveljavlja podaljšanje rokov do 22. decembra 2027, so:</w:t>
      </w:r>
    </w:p>
    <w:p w14:paraId="7DF0958E" w14:textId="77777777" w:rsidR="00902A90" w:rsidRPr="00545EC0" w:rsidRDefault="00902A90" w:rsidP="00DD37C5">
      <w:pPr>
        <w:pStyle w:val="Odstavekseznama"/>
        <w:numPr>
          <w:ilvl w:val="0"/>
          <w:numId w:val="40"/>
        </w:numPr>
        <w:rPr>
          <w:lang w:val="sl-SI"/>
        </w:rPr>
      </w:pPr>
      <w:r w:rsidRPr="00545EC0">
        <w:rPr>
          <w:lang w:val="sl-SI"/>
        </w:rPr>
        <w:t>SI111VT7 MPVT zadrževalnik HE Moste</w:t>
      </w:r>
    </w:p>
    <w:p w14:paraId="11A66DA9" w14:textId="77777777" w:rsidR="00902A90" w:rsidRPr="00545EC0" w:rsidRDefault="00902A90" w:rsidP="00DD37C5">
      <w:pPr>
        <w:pStyle w:val="Odstavekseznama"/>
        <w:numPr>
          <w:ilvl w:val="0"/>
          <w:numId w:val="40"/>
        </w:numPr>
        <w:rPr>
          <w:lang w:val="sl-SI"/>
        </w:rPr>
      </w:pPr>
      <w:r w:rsidRPr="00545EC0">
        <w:rPr>
          <w:lang w:val="sl-SI"/>
        </w:rPr>
        <w:t>SI1128VT VTJ Blejsko jezero</w:t>
      </w:r>
    </w:p>
    <w:p w14:paraId="38C9B6A6" w14:textId="77777777" w:rsidR="00902A90" w:rsidRPr="00545EC0" w:rsidRDefault="00902A90" w:rsidP="00DD37C5">
      <w:pPr>
        <w:pStyle w:val="Odstavekseznama"/>
        <w:numPr>
          <w:ilvl w:val="0"/>
          <w:numId w:val="40"/>
        </w:numPr>
        <w:rPr>
          <w:lang w:val="sl-SI"/>
        </w:rPr>
      </w:pPr>
      <w:r w:rsidRPr="00545EC0">
        <w:rPr>
          <w:lang w:val="sl-SI"/>
        </w:rPr>
        <w:t>SI123VT VT Sora</w:t>
      </w:r>
    </w:p>
    <w:p w14:paraId="2D70D85F" w14:textId="77777777" w:rsidR="00902A90" w:rsidRPr="00545EC0" w:rsidRDefault="00902A90" w:rsidP="00DD37C5">
      <w:pPr>
        <w:pStyle w:val="Odstavekseznama"/>
        <w:numPr>
          <w:ilvl w:val="0"/>
          <w:numId w:val="40"/>
        </w:numPr>
        <w:rPr>
          <w:lang w:val="sl-SI"/>
        </w:rPr>
      </w:pPr>
      <w:r w:rsidRPr="00545EC0">
        <w:rPr>
          <w:lang w:val="sl-SI"/>
        </w:rPr>
        <w:t>SI1326VT VT Pšata</w:t>
      </w:r>
    </w:p>
    <w:p w14:paraId="5D2974B9" w14:textId="77777777" w:rsidR="00902A90" w:rsidRPr="00545EC0" w:rsidRDefault="00902A90" w:rsidP="00DD37C5">
      <w:pPr>
        <w:pStyle w:val="Odstavekseznama"/>
        <w:numPr>
          <w:ilvl w:val="0"/>
          <w:numId w:val="40"/>
        </w:numPr>
        <w:rPr>
          <w:lang w:val="sl-SI"/>
        </w:rPr>
      </w:pPr>
      <w:r w:rsidRPr="00545EC0">
        <w:rPr>
          <w:lang w:val="sl-SI"/>
        </w:rPr>
        <w:t>SI132VT5 VT Kamniška Bistrica Stahovica – Študa</w:t>
      </w:r>
    </w:p>
    <w:p w14:paraId="1A6FD099" w14:textId="77777777" w:rsidR="00902A90" w:rsidRPr="00545EC0" w:rsidRDefault="00902A90" w:rsidP="00DD37C5">
      <w:pPr>
        <w:pStyle w:val="Odstavekseznama"/>
        <w:numPr>
          <w:ilvl w:val="0"/>
          <w:numId w:val="40"/>
        </w:numPr>
        <w:rPr>
          <w:lang w:val="sl-SI"/>
        </w:rPr>
      </w:pPr>
      <w:r w:rsidRPr="00545EC0">
        <w:rPr>
          <w:lang w:val="sl-SI"/>
        </w:rPr>
        <w:t>SI132VT7 VT Kamniška Bistrica Študa – Dol</w:t>
      </w:r>
    </w:p>
    <w:p w14:paraId="4EA24CEE" w14:textId="77777777" w:rsidR="00902A90" w:rsidRPr="00545EC0" w:rsidRDefault="00902A90" w:rsidP="00DD37C5">
      <w:pPr>
        <w:pStyle w:val="Odstavekseznama"/>
        <w:numPr>
          <w:ilvl w:val="0"/>
          <w:numId w:val="40"/>
        </w:numPr>
        <w:rPr>
          <w:lang w:val="sl-SI"/>
        </w:rPr>
      </w:pPr>
      <w:r w:rsidRPr="00545EC0">
        <w:rPr>
          <w:lang w:val="sl-SI"/>
        </w:rPr>
        <w:t>SI14102VT VT Cerkniščica</w:t>
      </w:r>
    </w:p>
    <w:p w14:paraId="436E2E03" w14:textId="77777777" w:rsidR="00902A90" w:rsidRPr="00545EC0" w:rsidRDefault="00902A90" w:rsidP="00DD37C5">
      <w:pPr>
        <w:pStyle w:val="Odstavekseznama"/>
        <w:numPr>
          <w:ilvl w:val="0"/>
          <w:numId w:val="40"/>
        </w:numPr>
        <w:rPr>
          <w:lang w:val="sl-SI"/>
        </w:rPr>
      </w:pPr>
      <w:r w:rsidRPr="00545EC0">
        <w:rPr>
          <w:lang w:val="sl-SI"/>
        </w:rPr>
        <w:t>SI144VT2 VT Pivka Prestranek – Postojnska jama</w:t>
      </w:r>
    </w:p>
    <w:p w14:paraId="74E803FA" w14:textId="77777777" w:rsidR="00902A90" w:rsidRPr="00545EC0" w:rsidRDefault="00902A90" w:rsidP="00DD37C5">
      <w:pPr>
        <w:pStyle w:val="Odstavekseznama"/>
        <w:numPr>
          <w:ilvl w:val="0"/>
          <w:numId w:val="40"/>
        </w:numPr>
        <w:rPr>
          <w:lang w:val="sl-SI"/>
        </w:rPr>
      </w:pPr>
      <w:r w:rsidRPr="00545EC0">
        <w:rPr>
          <w:lang w:val="sl-SI"/>
        </w:rPr>
        <w:t>SI146VT VT Logaščica</w:t>
      </w:r>
    </w:p>
    <w:p w14:paraId="03ED7454" w14:textId="77777777" w:rsidR="00902A90" w:rsidRPr="00545EC0" w:rsidRDefault="00902A90" w:rsidP="00DD37C5">
      <w:pPr>
        <w:pStyle w:val="Odstavekseznama"/>
        <w:numPr>
          <w:ilvl w:val="0"/>
          <w:numId w:val="40"/>
        </w:numPr>
        <w:rPr>
          <w:lang w:val="sl-SI"/>
        </w:rPr>
      </w:pPr>
      <w:r w:rsidRPr="00545EC0">
        <w:rPr>
          <w:lang w:val="sl-SI"/>
        </w:rPr>
        <w:t>SI14VT77 VT Ljubljanica povirje – Ljubljana</w:t>
      </w:r>
    </w:p>
    <w:p w14:paraId="47945A36" w14:textId="77777777" w:rsidR="00902A90" w:rsidRPr="00545EC0" w:rsidRDefault="00902A90" w:rsidP="00DD37C5">
      <w:pPr>
        <w:pStyle w:val="Odstavekseznama"/>
        <w:numPr>
          <w:ilvl w:val="0"/>
          <w:numId w:val="40"/>
        </w:numPr>
        <w:rPr>
          <w:lang w:val="sl-SI"/>
        </w:rPr>
      </w:pPr>
      <w:r w:rsidRPr="00545EC0">
        <w:rPr>
          <w:lang w:val="sl-SI"/>
        </w:rPr>
        <w:t>SI14VT93 MPVT Mestna Ljubljanica</w:t>
      </w:r>
    </w:p>
    <w:p w14:paraId="21559D17" w14:textId="77777777" w:rsidR="00902A90" w:rsidRPr="00545EC0" w:rsidRDefault="00902A90" w:rsidP="00DD37C5">
      <w:pPr>
        <w:pStyle w:val="Odstavekseznama"/>
        <w:numPr>
          <w:ilvl w:val="0"/>
          <w:numId w:val="40"/>
        </w:numPr>
        <w:rPr>
          <w:lang w:val="sl-SI"/>
        </w:rPr>
      </w:pPr>
      <w:r w:rsidRPr="00545EC0">
        <w:rPr>
          <w:lang w:val="sl-SI"/>
        </w:rPr>
        <w:lastRenderedPageBreak/>
        <w:t>SI1624VT UVT Velenjsko jezero</w:t>
      </w:r>
    </w:p>
    <w:p w14:paraId="6C783C2B" w14:textId="77777777" w:rsidR="00902A90" w:rsidRPr="00545EC0" w:rsidRDefault="00902A90" w:rsidP="00DD37C5">
      <w:pPr>
        <w:pStyle w:val="Odstavekseznama"/>
        <w:numPr>
          <w:ilvl w:val="0"/>
          <w:numId w:val="40"/>
        </w:numPr>
        <w:rPr>
          <w:lang w:val="sl-SI"/>
        </w:rPr>
      </w:pPr>
      <w:r w:rsidRPr="00545EC0">
        <w:rPr>
          <w:lang w:val="sl-SI"/>
        </w:rPr>
        <w:t>SI162VT7 VT Paka Velenje – Skorno</w:t>
      </w:r>
    </w:p>
    <w:p w14:paraId="5BA91C08" w14:textId="77777777" w:rsidR="00902A90" w:rsidRPr="00545EC0" w:rsidRDefault="00902A90" w:rsidP="00DD37C5">
      <w:pPr>
        <w:pStyle w:val="Odstavekseznama"/>
        <w:numPr>
          <w:ilvl w:val="0"/>
          <w:numId w:val="40"/>
        </w:numPr>
        <w:rPr>
          <w:lang w:val="sl-SI"/>
        </w:rPr>
      </w:pPr>
      <w:r w:rsidRPr="00545EC0">
        <w:rPr>
          <w:lang w:val="sl-SI"/>
        </w:rPr>
        <w:t>SI162VT9 VT Paka Skorno – Šmartno</w:t>
      </w:r>
    </w:p>
    <w:p w14:paraId="01A533A7" w14:textId="77777777" w:rsidR="00902A90" w:rsidRPr="00545EC0" w:rsidRDefault="00902A90" w:rsidP="00DD37C5">
      <w:pPr>
        <w:pStyle w:val="Odstavekseznama"/>
        <w:numPr>
          <w:ilvl w:val="0"/>
          <w:numId w:val="40"/>
        </w:numPr>
        <w:rPr>
          <w:lang w:val="sl-SI"/>
        </w:rPr>
      </w:pPr>
      <w:r w:rsidRPr="00545EC0">
        <w:rPr>
          <w:lang w:val="sl-SI"/>
        </w:rPr>
        <w:t>SI1668VT MPVT zadrževalnik Šmartinsko jezero</w:t>
      </w:r>
    </w:p>
    <w:p w14:paraId="39BB51DA" w14:textId="77777777" w:rsidR="00902A90" w:rsidRPr="00545EC0" w:rsidRDefault="00902A90" w:rsidP="00DD37C5">
      <w:pPr>
        <w:pStyle w:val="Odstavekseznama"/>
        <w:numPr>
          <w:ilvl w:val="0"/>
          <w:numId w:val="40"/>
        </w:numPr>
        <w:rPr>
          <w:lang w:val="sl-SI"/>
        </w:rPr>
      </w:pPr>
      <w:r w:rsidRPr="00545EC0">
        <w:rPr>
          <w:lang w:val="sl-SI"/>
        </w:rPr>
        <w:t>SI1688VT2 VT Hudinja Nova Cerkev – sotočje z Voglajno</w:t>
      </w:r>
    </w:p>
    <w:p w14:paraId="623FFD46" w14:textId="77777777" w:rsidR="00902A90" w:rsidRPr="00545EC0" w:rsidRDefault="00902A90" w:rsidP="00DD37C5">
      <w:pPr>
        <w:pStyle w:val="Odstavekseznama"/>
        <w:numPr>
          <w:ilvl w:val="0"/>
          <w:numId w:val="40"/>
        </w:numPr>
        <w:rPr>
          <w:lang w:val="sl-SI"/>
        </w:rPr>
      </w:pPr>
      <w:r w:rsidRPr="00545EC0">
        <w:rPr>
          <w:lang w:val="sl-SI"/>
        </w:rPr>
        <w:t>SI168VT3 MPVT zadrževalnik Slivniško jezero</w:t>
      </w:r>
    </w:p>
    <w:p w14:paraId="4BE44D02" w14:textId="77777777" w:rsidR="00902A90" w:rsidRPr="00545EC0" w:rsidRDefault="00902A90" w:rsidP="00DD37C5">
      <w:pPr>
        <w:pStyle w:val="Odstavekseznama"/>
        <w:numPr>
          <w:ilvl w:val="0"/>
          <w:numId w:val="40"/>
        </w:numPr>
        <w:rPr>
          <w:lang w:val="sl-SI"/>
        </w:rPr>
      </w:pPr>
      <w:r w:rsidRPr="00545EC0">
        <w:rPr>
          <w:lang w:val="sl-SI"/>
        </w:rPr>
        <w:t>SI168VT9 VT Voglajna zadrževalnik Slivniško jezero – Celje</w:t>
      </w:r>
    </w:p>
    <w:p w14:paraId="106B12C2" w14:textId="77777777" w:rsidR="00902A90" w:rsidRPr="00545EC0" w:rsidRDefault="00902A90" w:rsidP="00DD37C5">
      <w:pPr>
        <w:pStyle w:val="Odstavekseznama"/>
        <w:numPr>
          <w:ilvl w:val="0"/>
          <w:numId w:val="40"/>
        </w:numPr>
        <w:rPr>
          <w:lang w:val="sl-SI"/>
        </w:rPr>
      </w:pPr>
      <w:r w:rsidRPr="00545EC0">
        <w:rPr>
          <w:lang w:val="sl-SI"/>
        </w:rPr>
        <w:t>SI186VT3 VT Temenica I</w:t>
      </w:r>
    </w:p>
    <w:p w14:paraId="76BB4576" w14:textId="77777777" w:rsidR="00902A90" w:rsidRPr="00545EC0" w:rsidRDefault="00902A90" w:rsidP="00DD37C5">
      <w:pPr>
        <w:pStyle w:val="Odstavekseznama"/>
        <w:numPr>
          <w:ilvl w:val="0"/>
          <w:numId w:val="40"/>
        </w:numPr>
        <w:rPr>
          <w:lang w:val="sl-SI"/>
        </w:rPr>
      </w:pPr>
      <w:r w:rsidRPr="00545EC0">
        <w:rPr>
          <w:lang w:val="sl-SI"/>
        </w:rPr>
        <w:t>SI18VT31 VT Krka povirje – Soteska</w:t>
      </w:r>
    </w:p>
    <w:p w14:paraId="0964A76C" w14:textId="77777777" w:rsidR="00902A90" w:rsidRPr="00545EC0" w:rsidRDefault="00902A90" w:rsidP="00DD37C5">
      <w:pPr>
        <w:pStyle w:val="Odstavekseznama"/>
        <w:numPr>
          <w:ilvl w:val="0"/>
          <w:numId w:val="40"/>
        </w:numPr>
        <w:rPr>
          <w:lang w:val="sl-SI"/>
        </w:rPr>
      </w:pPr>
      <w:r w:rsidRPr="00545EC0">
        <w:rPr>
          <w:lang w:val="sl-SI"/>
        </w:rPr>
        <w:t>SI1922VT VT Mestinjščica</w:t>
      </w:r>
    </w:p>
    <w:p w14:paraId="75778EC2" w14:textId="77777777" w:rsidR="00902A90" w:rsidRPr="00545EC0" w:rsidRDefault="00902A90" w:rsidP="00DD37C5">
      <w:pPr>
        <w:pStyle w:val="Odstavekseznama"/>
        <w:numPr>
          <w:ilvl w:val="0"/>
          <w:numId w:val="40"/>
        </w:numPr>
        <w:rPr>
          <w:lang w:val="sl-SI"/>
        </w:rPr>
      </w:pPr>
      <w:r w:rsidRPr="00545EC0">
        <w:rPr>
          <w:lang w:val="sl-SI"/>
        </w:rPr>
        <w:t>SI192VT1 VT Sotla Dobovec – Podčetrtek</w:t>
      </w:r>
    </w:p>
    <w:p w14:paraId="06AC8EFB" w14:textId="77777777" w:rsidR="00902A90" w:rsidRPr="00545EC0" w:rsidRDefault="00902A90" w:rsidP="00DD37C5">
      <w:pPr>
        <w:pStyle w:val="Odstavekseznama"/>
        <w:numPr>
          <w:ilvl w:val="0"/>
          <w:numId w:val="40"/>
        </w:numPr>
        <w:rPr>
          <w:lang w:val="sl-SI"/>
        </w:rPr>
      </w:pPr>
      <w:r w:rsidRPr="00545EC0">
        <w:rPr>
          <w:lang w:val="sl-SI"/>
        </w:rPr>
        <w:t>SI1VT713 MPVT Sava Vrhovo – Boštanj</w:t>
      </w:r>
    </w:p>
    <w:p w14:paraId="24F5F93E" w14:textId="77777777" w:rsidR="00902A90" w:rsidRPr="00545EC0" w:rsidRDefault="00902A90" w:rsidP="00DD37C5">
      <w:pPr>
        <w:pStyle w:val="Odstavekseznama"/>
        <w:numPr>
          <w:ilvl w:val="0"/>
          <w:numId w:val="40"/>
        </w:numPr>
        <w:rPr>
          <w:lang w:val="sl-SI"/>
        </w:rPr>
      </w:pPr>
      <w:r w:rsidRPr="00545EC0">
        <w:rPr>
          <w:lang w:val="sl-SI"/>
        </w:rPr>
        <w:t>SI1VT739 VT Sava Boštanj – Krško</w:t>
      </w:r>
    </w:p>
    <w:p w14:paraId="0B6792FF" w14:textId="77777777" w:rsidR="00902A90" w:rsidRPr="00545EC0" w:rsidRDefault="00902A90" w:rsidP="00DD37C5">
      <w:pPr>
        <w:pStyle w:val="Odstavekseznama"/>
        <w:numPr>
          <w:ilvl w:val="0"/>
          <w:numId w:val="40"/>
        </w:numPr>
        <w:rPr>
          <w:lang w:val="sl-SI"/>
        </w:rPr>
      </w:pPr>
      <w:r w:rsidRPr="00545EC0">
        <w:rPr>
          <w:lang w:val="sl-SI"/>
        </w:rPr>
        <w:t>SI21332VT VT Rinža</w:t>
      </w:r>
    </w:p>
    <w:p w14:paraId="1F7F0174" w14:textId="77777777" w:rsidR="00902A90" w:rsidRPr="00545EC0" w:rsidRDefault="00902A90" w:rsidP="00DD37C5">
      <w:pPr>
        <w:pStyle w:val="Odstavekseznama"/>
        <w:numPr>
          <w:ilvl w:val="0"/>
          <w:numId w:val="40"/>
        </w:numPr>
        <w:rPr>
          <w:lang w:val="sl-SI"/>
        </w:rPr>
      </w:pPr>
      <w:r w:rsidRPr="00545EC0">
        <w:rPr>
          <w:lang w:val="sl-SI"/>
        </w:rPr>
        <w:t>SI21602VT VT Krupa</w:t>
      </w:r>
    </w:p>
    <w:p w14:paraId="6667772F" w14:textId="77777777" w:rsidR="00902A90" w:rsidRPr="00545EC0" w:rsidRDefault="00902A90" w:rsidP="00DD37C5">
      <w:pPr>
        <w:pStyle w:val="Odstavekseznama"/>
        <w:numPr>
          <w:ilvl w:val="0"/>
          <w:numId w:val="40"/>
        </w:numPr>
        <w:rPr>
          <w:lang w:val="sl-SI"/>
        </w:rPr>
      </w:pPr>
      <w:r w:rsidRPr="00545EC0">
        <w:rPr>
          <w:lang w:val="sl-SI"/>
        </w:rPr>
        <w:t>SI322VT7 VT Mislinja Slovenj Gradec – Otiški vrh</w:t>
      </w:r>
    </w:p>
    <w:p w14:paraId="2A54412F" w14:textId="77777777" w:rsidR="00902A90" w:rsidRPr="00545EC0" w:rsidRDefault="00902A90" w:rsidP="00DD37C5">
      <w:pPr>
        <w:pStyle w:val="Odstavekseznama"/>
        <w:numPr>
          <w:ilvl w:val="0"/>
          <w:numId w:val="40"/>
        </w:numPr>
        <w:rPr>
          <w:lang w:val="sl-SI"/>
        </w:rPr>
      </w:pPr>
      <w:r w:rsidRPr="00545EC0">
        <w:rPr>
          <w:lang w:val="sl-SI"/>
        </w:rPr>
        <w:t>SI32VT30 VT Meža Črna na Koroškem – Dravograd</w:t>
      </w:r>
    </w:p>
    <w:p w14:paraId="7D556C41" w14:textId="77777777" w:rsidR="00902A90" w:rsidRPr="00545EC0" w:rsidRDefault="00902A90" w:rsidP="00DD37C5">
      <w:pPr>
        <w:pStyle w:val="Odstavekseznama"/>
        <w:numPr>
          <w:ilvl w:val="0"/>
          <w:numId w:val="40"/>
        </w:numPr>
        <w:rPr>
          <w:lang w:val="sl-SI"/>
        </w:rPr>
      </w:pPr>
      <w:r w:rsidRPr="00545EC0">
        <w:rPr>
          <w:lang w:val="sl-SI"/>
        </w:rPr>
        <w:t>SI364VT7 VT Ložnica Slovenska Bistrica – Pečke</w:t>
      </w:r>
    </w:p>
    <w:p w14:paraId="5127050E" w14:textId="77777777" w:rsidR="00902A90" w:rsidRPr="00545EC0" w:rsidRDefault="00902A90" w:rsidP="00DD37C5">
      <w:pPr>
        <w:pStyle w:val="Odstavekseznama"/>
        <w:numPr>
          <w:ilvl w:val="0"/>
          <w:numId w:val="40"/>
        </w:numPr>
        <w:rPr>
          <w:lang w:val="sl-SI"/>
        </w:rPr>
      </w:pPr>
      <w:r w:rsidRPr="00545EC0">
        <w:rPr>
          <w:lang w:val="sl-SI"/>
        </w:rPr>
        <w:t>SI368VT9 VT Polskava Zgornja Polskava – Tržec</w:t>
      </w:r>
    </w:p>
    <w:p w14:paraId="60F9C546" w14:textId="77777777" w:rsidR="00902A90" w:rsidRPr="00545EC0" w:rsidRDefault="00902A90" w:rsidP="00DD37C5">
      <w:pPr>
        <w:pStyle w:val="Odstavekseznama"/>
        <w:numPr>
          <w:ilvl w:val="0"/>
          <w:numId w:val="40"/>
        </w:numPr>
        <w:rPr>
          <w:lang w:val="sl-SI"/>
        </w:rPr>
      </w:pPr>
      <w:r w:rsidRPr="00545EC0">
        <w:rPr>
          <w:lang w:val="sl-SI"/>
        </w:rPr>
        <w:t>SI38VT33 VT Pesnica državna meja – zadrževalnik Perniško jezero</w:t>
      </w:r>
    </w:p>
    <w:p w14:paraId="6911EA70" w14:textId="77777777" w:rsidR="00902A90" w:rsidRPr="00545EC0" w:rsidRDefault="00902A90" w:rsidP="00DD37C5">
      <w:pPr>
        <w:pStyle w:val="Odstavekseznama"/>
        <w:numPr>
          <w:ilvl w:val="0"/>
          <w:numId w:val="40"/>
        </w:numPr>
        <w:rPr>
          <w:lang w:val="sl-SI"/>
        </w:rPr>
      </w:pPr>
      <w:r w:rsidRPr="00545EC0">
        <w:rPr>
          <w:lang w:val="sl-SI"/>
        </w:rPr>
        <w:t>SI38VT34 MPVT zadrževalnik Perniško jezero</w:t>
      </w:r>
    </w:p>
    <w:p w14:paraId="6F5BCCFC" w14:textId="77777777" w:rsidR="00902A90" w:rsidRPr="00545EC0" w:rsidRDefault="00902A90" w:rsidP="00DD37C5">
      <w:pPr>
        <w:pStyle w:val="Odstavekseznama"/>
        <w:numPr>
          <w:ilvl w:val="0"/>
          <w:numId w:val="40"/>
        </w:numPr>
        <w:rPr>
          <w:lang w:val="sl-SI"/>
        </w:rPr>
      </w:pPr>
      <w:r w:rsidRPr="00545EC0">
        <w:rPr>
          <w:lang w:val="sl-SI"/>
        </w:rPr>
        <w:t>SI38VT90 VT Pesnica zadrževalnik Perniško jezero – Ormož</w:t>
      </w:r>
    </w:p>
    <w:p w14:paraId="2FD3DAE1" w14:textId="77777777" w:rsidR="00902A90" w:rsidRPr="00545EC0" w:rsidRDefault="00902A90" w:rsidP="00DD37C5">
      <w:pPr>
        <w:pStyle w:val="Odstavekseznama"/>
        <w:numPr>
          <w:ilvl w:val="0"/>
          <w:numId w:val="40"/>
        </w:numPr>
        <w:rPr>
          <w:lang w:val="sl-SI"/>
        </w:rPr>
      </w:pPr>
      <w:r w:rsidRPr="00545EC0">
        <w:rPr>
          <w:lang w:val="sl-SI"/>
        </w:rPr>
        <w:t>SI3VT197 MPVT Drava mejni odsek z Avstrijo</w:t>
      </w:r>
    </w:p>
    <w:p w14:paraId="6D80C2D3" w14:textId="77777777" w:rsidR="00902A90" w:rsidRPr="00545EC0" w:rsidRDefault="00902A90" w:rsidP="00DD37C5">
      <w:pPr>
        <w:pStyle w:val="Odstavekseznama"/>
        <w:numPr>
          <w:ilvl w:val="0"/>
          <w:numId w:val="40"/>
        </w:numPr>
        <w:rPr>
          <w:lang w:val="sl-SI"/>
        </w:rPr>
      </w:pPr>
      <w:r w:rsidRPr="00545EC0">
        <w:rPr>
          <w:lang w:val="sl-SI"/>
        </w:rPr>
        <w:t>SI3VT5172 MPVT zadrževalnik Ptujsko jezero</w:t>
      </w:r>
    </w:p>
    <w:p w14:paraId="7FBF17BA" w14:textId="77777777" w:rsidR="00902A90" w:rsidRPr="00545EC0" w:rsidRDefault="00902A90" w:rsidP="00DD37C5">
      <w:pPr>
        <w:pStyle w:val="Odstavekseznama"/>
        <w:numPr>
          <w:ilvl w:val="0"/>
          <w:numId w:val="40"/>
        </w:numPr>
        <w:rPr>
          <w:lang w:val="sl-SI"/>
        </w:rPr>
      </w:pPr>
      <w:r w:rsidRPr="00545EC0">
        <w:rPr>
          <w:lang w:val="sl-SI"/>
        </w:rPr>
        <w:t>SI3VT950 MPVT zadrževalnik Ormoško jezero</w:t>
      </w:r>
    </w:p>
    <w:p w14:paraId="60FE3D2B" w14:textId="77777777" w:rsidR="00902A90" w:rsidRPr="00545EC0" w:rsidRDefault="00902A90" w:rsidP="00DD37C5">
      <w:pPr>
        <w:pStyle w:val="Odstavekseznama"/>
        <w:numPr>
          <w:ilvl w:val="0"/>
          <w:numId w:val="40"/>
        </w:numPr>
        <w:rPr>
          <w:lang w:val="sl-SI"/>
        </w:rPr>
      </w:pPr>
      <w:r w:rsidRPr="00545EC0">
        <w:rPr>
          <w:lang w:val="sl-SI"/>
        </w:rPr>
        <w:t>SI432VT VT Kučnica</w:t>
      </w:r>
    </w:p>
    <w:p w14:paraId="147D8B8A" w14:textId="77777777" w:rsidR="00902A90" w:rsidRPr="00545EC0" w:rsidRDefault="00902A90" w:rsidP="00DD37C5">
      <w:pPr>
        <w:pStyle w:val="Odstavekseznama"/>
        <w:numPr>
          <w:ilvl w:val="0"/>
          <w:numId w:val="40"/>
        </w:numPr>
        <w:rPr>
          <w:lang w:val="sl-SI"/>
        </w:rPr>
      </w:pPr>
      <w:r w:rsidRPr="00545EC0">
        <w:rPr>
          <w:lang w:val="sl-SI"/>
        </w:rPr>
        <w:t>SI434VT51 VT Ščavnica povirje – zadrževalnik Gajševsko jezero</w:t>
      </w:r>
    </w:p>
    <w:p w14:paraId="2F5EFCB5" w14:textId="77777777" w:rsidR="00902A90" w:rsidRPr="00545EC0" w:rsidRDefault="00902A90" w:rsidP="00DD37C5">
      <w:pPr>
        <w:pStyle w:val="Odstavekseznama"/>
        <w:numPr>
          <w:ilvl w:val="0"/>
          <w:numId w:val="40"/>
        </w:numPr>
        <w:rPr>
          <w:lang w:val="sl-SI"/>
        </w:rPr>
      </w:pPr>
      <w:r w:rsidRPr="00545EC0">
        <w:rPr>
          <w:lang w:val="sl-SI"/>
        </w:rPr>
        <w:t>SI434VT52 MPVT zadrževalnik Gajševsko jezero</w:t>
      </w:r>
    </w:p>
    <w:p w14:paraId="6A1181D8" w14:textId="77777777" w:rsidR="00902A90" w:rsidRPr="00545EC0" w:rsidRDefault="00902A90" w:rsidP="00DD37C5">
      <w:pPr>
        <w:pStyle w:val="Odstavekseznama"/>
        <w:numPr>
          <w:ilvl w:val="0"/>
          <w:numId w:val="40"/>
        </w:numPr>
        <w:rPr>
          <w:lang w:val="sl-SI"/>
        </w:rPr>
      </w:pPr>
      <w:r w:rsidRPr="00545EC0">
        <w:rPr>
          <w:lang w:val="sl-SI"/>
        </w:rPr>
        <w:t>SI434VT9 VT Ščavnica zadrževalnik Gajševsko jezero – Gibina</w:t>
      </w:r>
    </w:p>
    <w:p w14:paraId="3CAF305B" w14:textId="77777777" w:rsidR="00902A90" w:rsidRPr="00545EC0" w:rsidRDefault="00902A90" w:rsidP="00DD37C5">
      <w:pPr>
        <w:pStyle w:val="Odstavekseznama"/>
        <w:numPr>
          <w:ilvl w:val="0"/>
          <w:numId w:val="40"/>
        </w:numPr>
        <w:rPr>
          <w:lang w:val="sl-SI"/>
        </w:rPr>
      </w:pPr>
      <w:r w:rsidRPr="00545EC0">
        <w:rPr>
          <w:lang w:val="sl-SI"/>
        </w:rPr>
        <w:t>SI43VT30 VT Kučnica Mura Petanjci – Gibina</w:t>
      </w:r>
    </w:p>
    <w:p w14:paraId="27DEFAB0" w14:textId="77777777" w:rsidR="00902A90" w:rsidRPr="00545EC0" w:rsidRDefault="00902A90" w:rsidP="00DD37C5">
      <w:pPr>
        <w:pStyle w:val="Odstavekseznama"/>
        <w:numPr>
          <w:ilvl w:val="0"/>
          <w:numId w:val="40"/>
        </w:numPr>
        <w:rPr>
          <w:lang w:val="sl-SI"/>
        </w:rPr>
      </w:pPr>
      <w:r w:rsidRPr="00545EC0">
        <w:rPr>
          <w:lang w:val="sl-SI"/>
        </w:rPr>
        <w:t>SI441VT VT Velika Krka povirje – državna meja</w:t>
      </w:r>
    </w:p>
    <w:p w14:paraId="3043ED6F" w14:textId="77777777" w:rsidR="00902A90" w:rsidRPr="00545EC0" w:rsidRDefault="00902A90" w:rsidP="00DD37C5">
      <w:pPr>
        <w:pStyle w:val="Odstavekseznama"/>
        <w:numPr>
          <w:ilvl w:val="0"/>
          <w:numId w:val="40"/>
        </w:numPr>
        <w:rPr>
          <w:lang w:val="sl-SI"/>
        </w:rPr>
      </w:pPr>
      <w:r w:rsidRPr="00545EC0">
        <w:rPr>
          <w:lang w:val="sl-SI"/>
        </w:rPr>
        <w:t>SI4426VT1 VT Kobiljski potok povirje – državna meja</w:t>
      </w:r>
    </w:p>
    <w:p w14:paraId="38F87758" w14:textId="77777777" w:rsidR="00902A90" w:rsidRPr="00545EC0" w:rsidRDefault="00902A90" w:rsidP="00DD37C5">
      <w:pPr>
        <w:pStyle w:val="Odstavekseznama"/>
        <w:numPr>
          <w:ilvl w:val="0"/>
          <w:numId w:val="40"/>
        </w:numPr>
        <w:rPr>
          <w:lang w:val="sl-SI"/>
        </w:rPr>
      </w:pPr>
      <w:r w:rsidRPr="00545EC0">
        <w:rPr>
          <w:lang w:val="sl-SI"/>
        </w:rPr>
        <w:t>SI4426VT2 VT Kobiljski potok državna meja – Ledava</w:t>
      </w:r>
    </w:p>
    <w:p w14:paraId="2F073167" w14:textId="77777777" w:rsidR="00902A90" w:rsidRPr="00545EC0" w:rsidRDefault="00902A90" w:rsidP="00DD37C5">
      <w:pPr>
        <w:pStyle w:val="Odstavekseznama"/>
        <w:numPr>
          <w:ilvl w:val="0"/>
          <w:numId w:val="40"/>
        </w:numPr>
        <w:rPr>
          <w:lang w:val="sl-SI"/>
        </w:rPr>
      </w:pPr>
      <w:r w:rsidRPr="00545EC0">
        <w:rPr>
          <w:lang w:val="sl-SI"/>
        </w:rPr>
        <w:t>SI442VT11 VT Ledava državna meja – zadrževalnik Ledavsko jezero</w:t>
      </w:r>
    </w:p>
    <w:p w14:paraId="41FF0C5E" w14:textId="77777777" w:rsidR="00902A90" w:rsidRPr="00545EC0" w:rsidRDefault="00902A90" w:rsidP="00DD37C5">
      <w:pPr>
        <w:pStyle w:val="Odstavekseznama"/>
        <w:numPr>
          <w:ilvl w:val="0"/>
          <w:numId w:val="40"/>
        </w:numPr>
        <w:rPr>
          <w:lang w:val="sl-SI"/>
        </w:rPr>
      </w:pPr>
      <w:r w:rsidRPr="00545EC0">
        <w:rPr>
          <w:lang w:val="sl-SI"/>
        </w:rPr>
        <w:t>SI442VT12 MPVT zadrževalnik Ledavsko jezero</w:t>
      </w:r>
    </w:p>
    <w:p w14:paraId="708A44B7" w14:textId="77777777" w:rsidR="00902A90" w:rsidRPr="00545EC0" w:rsidRDefault="00902A90" w:rsidP="00DD37C5">
      <w:pPr>
        <w:pStyle w:val="Odstavekseznama"/>
        <w:numPr>
          <w:ilvl w:val="0"/>
          <w:numId w:val="40"/>
        </w:numPr>
        <w:rPr>
          <w:lang w:val="sl-SI"/>
        </w:rPr>
      </w:pPr>
      <w:r w:rsidRPr="00545EC0">
        <w:rPr>
          <w:lang w:val="sl-SI"/>
        </w:rPr>
        <w:t>SI442VT91 VT Ledava zadrževalnik Ledavsko jezero – sotočje z Veliko Krko</w:t>
      </w:r>
    </w:p>
    <w:p w14:paraId="037B2721" w14:textId="77777777" w:rsidR="00902A90" w:rsidRPr="00545EC0" w:rsidRDefault="00902A90" w:rsidP="00DD37C5">
      <w:pPr>
        <w:pStyle w:val="Odstavekseznama"/>
        <w:numPr>
          <w:ilvl w:val="0"/>
          <w:numId w:val="40"/>
        </w:numPr>
        <w:rPr>
          <w:lang w:val="sl-SI"/>
        </w:rPr>
      </w:pPr>
      <w:r w:rsidRPr="00545EC0">
        <w:rPr>
          <w:lang w:val="sl-SI"/>
        </w:rPr>
        <w:t>SI442VT92 VT Ledava mejni odsek</w:t>
      </w:r>
    </w:p>
    <w:p w14:paraId="2698E033" w14:textId="77777777" w:rsidR="00902A90" w:rsidRPr="00545EC0" w:rsidRDefault="00902A90" w:rsidP="00902A90">
      <w:pPr>
        <w:rPr>
          <w:lang w:eastAsia="x-none"/>
        </w:rPr>
      </w:pPr>
    </w:p>
    <w:p w14:paraId="51DDDBBE" w14:textId="1E90CDF1" w:rsidR="00902A90" w:rsidRPr="00545EC0" w:rsidRDefault="0065025C" w:rsidP="00902A90">
      <w:pPr>
        <w:rPr>
          <w:lang w:eastAsia="x-none"/>
        </w:rPr>
      </w:pPr>
      <w:r w:rsidRPr="00545EC0">
        <w:rPr>
          <w:lang w:eastAsia="x-none"/>
        </w:rPr>
        <w:t>Vodna telesa površinskih voda na VO Donave za katere je treba doseči cilje načrta do 22. decembra 2027, poleg vodnih teles iz prejšnjega odstavka, so:</w:t>
      </w:r>
    </w:p>
    <w:p w14:paraId="4743F259" w14:textId="77777777" w:rsidR="00902A90" w:rsidRPr="00545EC0" w:rsidRDefault="00902A90" w:rsidP="00DD37C5">
      <w:pPr>
        <w:pStyle w:val="Odstavekseznama"/>
        <w:numPr>
          <w:ilvl w:val="0"/>
          <w:numId w:val="41"/>
        </w:numPr>
        <w:spacing w:line="276" w:lineRule="auto"/>
        <w:contextualSpacing/>
        <w:rPr>
          <w:lang w:val="sl-SI"/>
        </w:rPr>
      </w:pPr>
      <w:r w:rsidRPr="00545EC0">
        <w:rPr>
          <w:lang w:val="sl-SI"/>
        </w:rPr>
        <w:t>SI111VT5 VT Sava izvir – Hrušica</w:t>
      </w:r>
    </w:p>
    <w:p w14:paraId="14B51082" w14:textId="77777777" w:rsidR="00902A90" w:rsidRPr="00545EC0" w:rsidRDefault="00902A90" w:rsidP="00DD37C5">
      <w:pPr>
        <w:pStyle w:val="Odstavekseznama"/>
        <w:numPr>
          <w:ilvl w:val="0"/>
          <w:numId w:val="41"/>
        </w:numPr>
        <w:spacing w:line="276" w:lineRule="auto"/>
        <w:contextualSpacing/>
        <w:rPr>
          <w:lang w:val="sl-SI"/>
        </w:rPr>
      </w:pPr>
      <w:r w:rsidRPr="00545EC0">
        <w:rPr>
          <w:lang w:val="sl-SI"/>
        </w:rPr>
        <w:t>SI112VT7 VT Sava Sveti Janez – Jezernica</w:t>
      </w:r>
    </w:p>
    <w:p w14:paraId="01470C58" w14:textId="77777777" w:rsidR="00902A90" w:rsidRPr="00545EC0" w:rsidRDefault="00902A90" w:rsidP="00DD37C5">
      <w:pPr>
        <w:pStyle w:val="Odstavekseznama"/>
        <w:numPr>
          <w:ilvl w:val="0"/>
          <w:numId w:val="41"/>
        </w:numPr>
        <w:spacing w:line="276" w:lineRule="auto"/>
        <w:contextualSpacing/>
        <w:rPr>
          <w:lang w:val="sl-SI"/>
        </w:rPr>
      </w:pPr>
      <w:r w:rsidRPr="00545EC0">
        <w:rPr>
          <w:lang w:val="sl-SI"/>
        </w:rPr>
        <w:t>SI112VT9 VT Sava Jezernica – sotočje s Savo Dolinko</w:t>
      </w:r>
    </w:p>
    <w:p w14:paraId="1DB13987" w14:textId="77777777" w:rsidR="00902A90" w:rsidRPr="00545EC0" w:rsidRDefault="00902A90" w:rsidP="00DD37C5">
      <w:pPr>
        <w:pStyle w:val="Odstavekseznama"/>
        <w:numPr>
          <w:ilvl w:val="0"/>
          <w:numId w:val="41"/>
        </w:numPr>
        <w:spacing w:line="276" w:lineRule="auto"/>
        <w:contextualSpacing/>
        <w:rPr>
          <w:lang w:val="sl-SI"/>
        </w:rPr>
      </w:pPr>
      <w:r w:rsidRPr="00545EC0">
        <w:rPr>
          <w:lang w:val="sl-SI"/>
        </w:rPr>
        <w:t>SI114VT3 VT Tržiška Bistrica povirje – sotočje z Lomščico</w:t>
      </w:r>
    </w:p>
    <w:p w14:paraId="32F8B44E" w14:textId="77777777" w:rsidR="00902A90" w:rsidRPr="00545EC0" w:rsidRDefault="00902A90" w:rsidP="00DD37C5">
      <w:pPr>
        <w:pStyle w:val="Odstavekseznama"/>
        <w:numPr>
          <w:ilvl w:val="0"/>
          <w:numId w:val="41"/>
        </w:numPr>
        <w:spacing w:line="276" w:lineRule="auto"/>
        <w:contextualSpacing/>
        <w:rPr>
          <w:lang w:val="sl-SI"/>
        </w:rPr>
      </w:pPr>
      <w:r w:rsidRPr="00545EC0">
        <w:rPr>
          <w:lang w:val="sl-SI"/>
        </w:rPr>
        <w:t>SI116VT7 VT Kokra Preddvor – Kranj</w:t>
      </w:r>
    </w:p>
    <w:p w14:paraId="0A29E586" w14:textId="77777777" w:rsidR="00902A90" w:rsidRPr="00545EC0" w:rsidRDefault="00902A90" w:rsidP="00DD37C5">
      <w:pPr>
        <w:pStyle w:val="Odstavekseznama"/>
        <w:numPr>
          <w:ilvl w:val="0"/>
          <w:numId w:val="41"/>
        </w:numPr>
        <w:spacing w:line="276" w:lineRule="auto"/>
        <w:contextualSpacing/>
        <w:rPr>
          <w:lang w:val="sl-SI"/>
        </w:rPr>
      </w:pPr>
      <w:r w:rsidRPr="00545EC0">
        <w:rPr>
          <w:lang w:val="sl-SI"/>
        </w:rPr>
        <w:t>SI121VT VT Poljanska Sora</w:t>
      </w:r>
    </w:p>
    <w:p w14:paraId="045704F6" w14:textId="77777777" w:rsidR="00902A90" w:rsidRPr="00545EC0" w:rsidRDefault="00902A90" w:rsidP="00DD37C5">
      <w:pPr>
        <w:pStyle w:val="Odstavekseznama"/>
        <w:numPr>
          <w:ilvl w:val="0"/>
          <w:numId w:val="41"/>
        </w:numPr>
        <w:spacing w:line="276" w:lineRule="auto"/>
        <w:contextualSpacing/>
        <w:rPr>
          <w:lang w:val="sl-SI"/>
        </w:rPr>
      </w:pPr>
      <w:r w:rsidRPr="00545EC0">
        <w:rPr>
          <w:lang w:val="sl-SI"/>
        </w:rPr>
        <w:t>"SI122VT VT Selška Sora</w:t>
      </w:r>
    </w:p>
    <w:p w14:paraId="196600D6" w14:textId="77777777" w:rsidR="00902A90" w:rsidRPr="00545EC0" w:rsidRDefault="00902A90" w:rsidP="00DD37C5">
      <w:pPr>
        <w:pStyle w:val="Odstavekseznama"/>
        <w:numPr>
          <w:ilvl w:val="0"/>
          <w:numId w:val="41"/>
        </w:numPr>
        <w:spacing w:line="276" w:lineRule="auto"/>
        <w:contextualSpacing/>
        <w:rPr>
          <w:lang w:val="sl-SI"/>
        </w:rPr>
      </w:pPr>
      <w:r w:rsidRPr="00545EC0">
        <w:rPr>
          <w:lang w:val="sl-SI"/>
        </w:rPr>
        <w:t>SI132VT1 VT Kamniška Bistrica povirje – Stahovica</w:t>
      </w:r>
    </w:p>
    <w:p w14:paraId="793ADB0E" w14:textId="77777777" w:rsidR="00902A90" w:rsidRPr="00545EC0" w:rsidRDefault="00902A90" w:rsidP="00DD37C5">
      <w:pPr>
        <w:pStyle w:val="Odstavekseznama"/>
        <w:numPr>
          <w:ilvl w:val="0"/>
          <w:numId w:val="41"/>
        </w:numPr>
        <w:spacing w:line="276" w:lineRule="auto"/>
        <w:contextualSpacing/>
        <w:rPr>
          <w:lang w:val="sl-SI"/>
        </w:rPr>
      </w:pPr>
      <w:r w:rsidRPr="00545EC0">
        <w:rPr>
          <w:lang w:val="sl-SI"/>
        </w:rPr>
        <w:t>SI145VT VT Unica</w:t>
      </w:r>
    </w:p>
    <w:p w14:paraId="61F2B151" w14:textId="77777777" w:rsidR="00902A90" w:rsidRPr="00545EC0" w:rsidRDefault="00902A90" w:rsidP="00DD37C5">
      <w:pPr>
        <w:pStyle w:val="Odstavekseznama"/>
        <w:numPr>
          <w:ilvl w:val="0"/>
          <w:numId w:val="41"/>
        </w:numPr>
        <w:spacing w:line="276" w:lineRule="auto"/>
        <w:contextualSpacing/>
        <w:rPr>
          <w:lang w:val="sl-SI"/>
        </w:rPr>
      </w:pPr>
      <w:r w:rsidRPr="00545EC0">
        <w:rPr>
          <w:lang w:val="sl-SI"/>
        </w:rPr>
        <w:t>SI1476VT VT Iščica</w:t>
      </w:r>
    </w:p>
    <w:p w14:paraId="36895102" w14:textId="77777777" w:rsidR="00902A90" w:rsidRPr="00545EC0" w:rsidRDefault="00902A90" w:rsidP="00DD37C5">
      <w:pPr>
        <w:pStyle w:val="Odstavekseznama"/>
        <w:numPr>
          <w:ilvl w:val="0"/>
          <w:numId w:val="41"/>
        </w:numPr>
        <w:spacing w:line="276" w:lineRule="auto"/>
        <w:contextualSpacing/>
        <w:rPr>
          <w:lang w:val="sl-SI"/>
        </w:rPr>
      </w:pPr>
      <w:r w:rsidRPr="00545EC0">
        <w:rPr>
          <w:lang w:val="sl-SI"/>
        </w:rPr>
        <w:lastRenderedPageBreak/>
        <w:t>SI148VT3 VT Gradaščica z Veliko Božno</w:t>
      </w:r>
    </w:p>
    <w:p w14:paraId="4CF598BC" w14:textId="77777777" w:rsidR="00902A90" w:rsidRPr="00545EC0" w:rsidRDefault="00902A90" w:rsidP="00DD37C5">
      <w:pPr>
        <w:pStyle w:val="Odstavekseznama"/>
        <w:numPr>
          <w:ilvl w:val="0"/>
          <w:numId w:val="41"/>
        </w:numPr>
        <w:spacing w:line="276" w:lineRule="auto"/>
        <w:contextualSpacing/>
        <w:rPr>
          <w:lang w:val="sl-SI"/>
        </w:rPr>
      </w:pPr>
      <w:r w:rsidRPr="00545EC0">
        <w:rPr>
          <w:lang w:val="sl-SI"/>
        </w:rPr>
        <w:t>SI1616VT VT Dreta</w:t>
      </w:r>
    </w:p>
    <w:p w14:paraId="04F14A6E" w14:textId="77777777" w:rsidR="00902A90" w:rsidRPr="00545EC0" w:rsidRDefault="00902A90" w:rsidP="00DD37C5">
      <w:pPr>
        <w:pStyle w:val="Odstavekseznama"/>
        <w:numPr>
          <w:ilvl w:val="0"/>
          <w:numId w:val="41"/>
        </w:numPr>
        <w:spacing w:line="276" w:lineRule="auto"/>
        <w:contextualSpacing/>
        <w:rPr>
          <w:lang w:val="sl-SI"/>
        </w:rPr>
      </w:pPr>
      <w:r w:rsidRPr="00545EC0">
        <w:rPr>
          <w:lang w:val="sl-SI"/>
        </w:rPr>
        <w:t>SI162VT3 VT Paka povirje – Velenje</w:t>
      </w:r>
    </w:p>
    <w:p w14:paraId="37C1012E" w14:textId="77777777" w:rsidR="00902A90" w:rsidRPr="00545EC0" w:rsidRDefault="00902A90" w:rsidP="00DD37C5">
      <w:pPr>
        <w:pStyle w:val="Odstavekseznama"/>
        <w:numPr>
          <w:ilvl w:val="0"/>
          <w:numId w:val="41"/>
        </w:numPr>
        <w:spacing w:line="276" w:lineRule="auto"/>
        <w:contextualSpacing/>
        <w:rPr>
          <w:lang w:val="sl-SI"/>
        </w:rPr>
      </w:pPr>
      <w:r w:rsidRPr="00545EC0">
        <w:rPr>
          <w:lang w:val="sl-SI"/>
        </w:rPr>
        <w:t>SI164VT3 VT Bolska Trojane – Kapla</w:t>
      </w:r>
    </w:p>
    <w:p w14:paraId="0257036D" w14:textId="77777777" w:rsidR="00902A90" w:rsidRPr="00545EC0" w:rsidRDefault="00902A90" w:rsidP="00DD37C5">
      <w:pPr>
        <w:pStyle w:val="Odstavekseznama"/>
        <w:numPr>
          <w:ilvl w:val="0"/>
          <w:numId w:val="41"/>
        </w:numPr>
        <w:spacing w:line="276" w:lineRule="auto"/>
        <w:contextualSpacing/>
        <w:rPr>
          <w:lang w:val="sl-SI"/>
        </w:rPr>
      </w:pPr>
      <w:r w:rsidRPr="00545EC0">
        <w:rPr>
          <w:lang w:val="sl-SI"/>
        </w:rPr>
        <w:t>SI164VT7 VT Bolska Kapla – Latkova vas</w:t>
      </w:r>
    </w:p>
    <w:p w14:paraId="5F2B2B89" w14:textId="77777777" w:rsidR="00902A90" w:rsidRPr="00545EC0" w:rsidRDefault="00902A90" w:rsidP="00DD37C5">
      <w:pPr>
        <w:pStyle w:val="Odstavekseznama"/>
        <w:numPr>
          <w:ilvl w:val="0"/>
          <w:numId w:val="41"/>
        </w:numPr>
        <w:spacing w:line="276" w:lineRule="auto"/>
        <w:contextualSpacing/>
        <w:rPr>
          <w:lang w:val="sl-SI"/>
        </w:rPr>
      </w:pPr>
      <w:r w:rsidRPr="00545EC0">
        <w:rPr>
          <w:lang w:val="sl-SI"/>
        </w:rPr>
        <w:t>SI1688VT1 VT Hudinja povirje – Nova Cerkev</w:t>
      </w:r>
    </w:p>
    <w:p w14:paraId="163216CB" w14:textId="77777777" w:rsidR="00902A90" w:rsidRPr="00545EC0" w:rsidRDefault="00902A90" w:rsidP="00DD37C5">
      <w:pPr>
        <w:pStyle w:val="Odstavekseznama"/>
        <w:numPr>
          <w:ilvl w:val="0"/>
          <w:numId w:val="41"/>
        </w:numPr>
        <w:spacing w:line="276" w:lineRule="auto"/>
        <w:contextualSpacing/>
        <w:rPr>
          <w:lang w:val="sl-SI"/>
        </w:rPr>
      </w:pPr>
      <w:r w:rsidRPr="00545EC0">
        <w:rPr>
          <w:lang w:val="sl-SI"/>
        </w:rPr>
        <w:t>SI1696VT VT Gračnica</w:t>
      </w:r>
    </w:p>
    <w:p w14:paraId="1AA12312" w14:textId="77777777" w:rsidR="00902A90" w:rsidRPr="00545EC0" w:rsidRDefault="00902A90" w:rsidP="00DD37C5">
      <w:pPr>
        <w:pStyle w:val="Odstavekseznama"/>
        <w:numPr>
          <w:ilvl w:val="0"/>
          <w:numId w:val="41"/>
        </w:numPr>
        <w:spacing w:line="276" w:lineRule="auto"/>
        <w:contextualSpacing/>
        <w:rPr>
          <w:lang w:val="sl-SI"/>
        </w:rPr>
      </w:pPr>
      <w:r w:rsidRPr="00545EC0">
        <w:rPr>
          <w:lang w:val="sl-SI"/>
        </w:rPr>
        <w:t>SI16VT70 VT Savinja Letuš – Celje</w:t>
      </w:r>
    </w:p>
    <w:p w14:paraId="32CB1B4B" w14:textId="77777777" w:rsidR="00902A90" w:rsidRPr="00545EC0" w:rsidRDefault="00902A90" w:rsidP="00DD37C5">
      <w:pPr>
        <w:pStyle w:val="Odstavekseznama"/>
        <w:numPr>
          <w:ilvl w:val="0"/>
          <w:numId w:val="41"/>
        </w:numPr>
        <w:spacing w:line="276" w:lineRule="auto"/>
        <w:contextualSpacing/>
        <w:rPr>
          <w:lang w:val="sl-SI"/>
        </w:rPr>
      </w:pPr>
      <w:r w:rsidRPr="00545EC0">
        <w:rPr>
          <w:lang w:val="sl-SI"/>
        </w:rPr>
        <w:t>SI172VT VT Mirna</w:t>
      </w:r>
    </w:p>
    <w:p w14:paraId="34E2D71A" w14:textId="77777777" w:rsidR="00902A90" w:rsidRPr="00545EC0" w:rsidRDefault="00902A90" w:rsidP="00DD37C5">
      <w:pPr>
        <w:pStyle w:val="Odstavekseznama"/>
        <w:numPr>
          <w:ilvl w:val="0"/>
          <w:numId w:val="41"/>
        </w:numPr>
        <w:spacing w:line="276" w:lineRule="auto"/>
        <w:contextualSpacing/>
        <w:rPr>
          <w:lang w:val="sl-SI"/>
        </w:rPr>
      </w:pPr>
      <w:r w:rsidRPr="00545EC0">
        <w:rPr>
          <w:lang w:val="sl-SI"/>
        </w:rPr>
        <w:t>SI186VT5 VT Temenica II</w:t>
      </w:r>
    </w:p>
    <w:p w14:paraId="7D62C587" w14:textId="77777777" w:rsidR="00902A90" w:rsidRPr="00545EC0" w:rsidRDefault="00902A90" w:rsidP="00DD37C5">
      <w:pPr>
        <w:pStyle w:val="Odstavekseznama"/>
        <w:numPr>
          <w:ilvl w:val="0"/>
          <w:numId w:val="41"/>
        </w:numPr>
        <w:spacing w:line="276" w:lineRule="auto"/>
        <w:contextualSpacing/>
        <w:rPr>
          <w:lang w:val="sl-SI"/>
        </w:rPr>
      </w:pPr>
      <w:r w:rsidRPr="00545EC0">
        <w:rPr>
          <w:lang w:val="sl-SI"/>
        </w:rPr>
        <w:t>SI18VT77 VT Krka Soteska – Otočec</w:t>
      </w:r>
    </w:p>
    <w:p w14:paraId="5140B804" w14:textId="77777777" w:rsidR="00902A90" w:rsidRPr="00545EC0" w:rsidRDefault="00902A90" w:rsidP="00DD37C5">
      <w:pPr>
        <w:pStyle w:val="Odstavekseznama"/>
        <w:numPr>
          <w:ilvl w:val="0"/>
          <w:numId w:val="41"/>
        </w:numPr>
        <w:spacing w:line="276" w:lineRule="auto"/>
        <w:contextualSpacing/>
        <w:rPr>
          <w:lang w:val="sl-SI"/>
        </w:rPr>
      </w:pPr>
      <w:r w:rsidRPr="00545EC0">
        <w:rPr>
          <w:lang w:val="sl-SI"/>
        </w:rPr>
        <w:t>SI1VT170 MPVT Sava Mavčiče – Medvode</w:t>
      </w:r>
    </w:p>
    <w:p w14:paraId="3AE0418D" w14:textId="77777777" w:rsidR="00902A90" w:rsidRPr="00545EC0" w:rsidRDefault="00902A90" w:rsidP="00DD37C5">
      <w:pPr>
        <w:pStyle w:val="Odstavekseznama"/>
        <w:numPr>
          <w:ilvl w:val="0"/>
          <w:numId w:val="41"/>
        </w:numPr>
        <w:spacing w:line="276" w:lineRule="auto"/>
        <w:contextualSpacing/>
        <w:rPr>
          <w:lang w:val="sl-SI"/>
        </w:rPr>
      </w:pPr>
      <w:r w:rsidRPr="00545EC0">
        <w:rPr>
          <w:lang w:val="sl-SI"/>
        </w:rPr>
        <w:t>SI2112VT VT Čabranka</w:t>
      </w:r>
    </w:p>
    <w:p w14:paraId="483F9EBB" w14:textId="77777777" w:rsidR="00902A90" w:rsidRPr="00545EC0" w:rsidRDefault="00902A90" w:rsidP="00DD37C5">
      <w:pPr>
        <w:pStyle w:val="Odstavekseznama"/>
        <w:numPr>
          <w:ilvl w:val="0"/>
          <w:numId w:val="41"/>
        </w:numPr>
        <w:spacing w:line="276" w:lineRule="auto"/>
        <w:contextualSpacing/>
        <w:rPr>
          <w:lang w:val="sl-SI"/>
        </w:rPr>
      </w:pPr>
      <w:r w:rsidRPr="00545EC0">
        <w:rPr>
          <w:lang w:val="sl-SI"/>
        </w:rPr>
        <w:t>SI216VT VT Lahinja</w:t>
      </w:r>
    </w:p>
    <w:p w14:paraId="4BB943F9" w14:textId="77777777" w:rsidR="00902A90" w:rsidRPr="00545EC0" w:rsidRDefault="00902A90" w:rsidP="00DD37C5">
      <w:pPr>
        <w:pStyle w:val="Odstavekseznama"/>
        <w:numPr>
          <w:ilvl w:val="0"/>
          <w:numId w:val="41"/>
        </w:numPr>
        <w:spacing w:line="276" w:lineRule="auto"/>
        <w:contextualSpacing/>
        <w:rPr>
          <w:lang w:val="sl-SI"/>
        </w:rPr>
      </w:pPr>
      <w:r w:rsidRPr="00545EC0">
        <w:rPr>
          <w:lang w:val="sl-SI"/>
        </w:rPr>
        <w:t>SI322VT3 VT Mislinja povirje – Slovenj Gradec</w:t>
      </w:r>
    </w:p>
    <w:p w14:paraId="1D7191B5" w14:textId="77777777" w:rsidR="00902A90" w:rsidRPr="00545EC0" w:rsidRDefault="00902A90" w:rsidP="00DD37C5">
      <w:pPr>
        <w:pStyle w:val="Odstavekseznama"/>
        <w:numPr>
          <w:ilvl w:val="0"/>
          <w:numId w:val="41"/>
        </w:numPr>
        <w:spacing w:line="276" w:lineRule="auto"/>
        <w:contextualSpacing/>
        <w:rPr>
          <w:lang w:val="sl-SI"/>
        </w:rPr>
      </w:pPr>
      <w:r w:rsidRPr="00545EC0">
        <w:rPr>
          <w:lang w:val="sl-SI"/>
        </w:rPr>
        <w:t>SI332VT3 VT Mutska Bistrica</w:t>
      </w:r>
    </w:p>
    <w:p w14:paraId="28EF95F6" w14:textId="2BB9F59D" w:rsidR="00902A90" w:rsidRPr="00545EC0" w:rsidRDefault="00902A90" w:rsidP="00DD37C5">
      <w:pPr>
        <w:pStyle w:val="Odstavekseznama"/>
        <w:numPr>
          <w:ilvl w:val="0"/>
          <w:numId w:val="41"/>
        </w:numPr>
        <w:spacing w:line="276" w:lineRule="auto"/>
        <w:contextualSpacing/>
        <w:rPr>
          <w:lang w:val="sl-SI"/>
        </w:rPr>
      </w:pPr>
      <w:r w:rsidRPr="00545EC0">
        <w:rPr>
          <w:lang w:val="sl-SI"/>
        </w:rPr>
        <w:t>SI364VT1 VT Ložnica povirje – Slovenska Bistrica</w:t>
      </w:r>
      <w:r w:rsidR="00304B50" w:rsidRPr="00545EC0">
        <w:rPr>
          <w:lang w:val="sl-SI"/>
        </w:rPr>
        <w:t>.</w:t>
      </w:r>
    </w:p>
    <w:p w14:paraId="0A58C39B" w14:textId="77777777" w:rsidR="00902A90" w:rsidRPr="00545EC0" w:rsidRDefault="00902A90" w:rsidP="00902A90">
      <w:pPr>
        <w:rPr>
          <w:lang w:eastAsia="x-none"/>
        </w:rPr>
      </w:pPr>
    </w:p>
    <w:p w14:paraId="0246E3D8" w14:textId="48E7E2A7" w:rsidR="0065025C" w:rsidRPr="00545EC0" w:rsidRDefault="00902A90" w:rsidP="00AE4414">
      <w:pPr>
        <w:rPr>
          <w:rFonts w:cs="Arial"/>
          <w:szCs w:val="20"/>
        </w:rPr>
      </w:pPr>
      <w:r w:rsidRPr="00545EC0">
        <w:rPr>
          <w:lang w:eastAsia="x-none"/>
        </w:rPr>
        <w:t xml:space="preserve">Vodna telesa površinskih voda na VO Donave za katere cilji načrta, ne bodo doseženi do leta 2027 zaradi preseganja okoljskega standarda kakovosti za živo srebro in BDE v organizmih, so </w:t>
      </w:r>
      <w:r w:rsidRPr="00545EC0">
        <w:rPr>
          <w:rFonts w:cs="Arial"/>
          <w:szCs w:val="20"/>
        </w:rPr>
        <w:t>vsa vodna telesa</w:t>
      </w:r>
      <w:r w:rsidR="00537C3E" w:rsidRPr="00545EC0">
        <w:rPr>
          <w:rFonts w:cs="Arial"/>
          <w:szCs w:val="20"/>
        </w:rPr>
        <w:t xml:space="preserve"> površinskih voda na VO Donava.</w:t>
      </w:r>
      <w:r w:rsidR="0065025C" w:rsidRPr="00545EC0">
        <w:rPr>
          <w:rFonts w:cs="Arial"/>
          <w:szCs w:val="20"/>
        </w:rPr>
        <w:t xml:space="preserve"> Dodatno cilji </w:t>
      </w:r>
      <w:r w:rsidR="0065025C" w:rsidRPr="00545EC0">
        <w:rPr>
          <w:lang w:eastAsia="x-none"/>
        </w:rPr>
        <w:t xml:space="preserve">načrta, ne bodo doseženi do leta 2027 zaradi preseganja okoljskega standarda kakovosti za </w:t>
      </w:r>
      <w:r w:rsidR="00AE4414" w:rsidRPr="00545EC0">
        <w:rPr>
          <w:rFonts w:cs="Arial"/>
          <w:szCs w:val="20"/>
        </w:rPr>
        <w:t>dioksine</w:t>
      </w:r>
      <w:r w:rsidR="0065025C" w:rsidRPr="00545EC0">
        <w:rPr>
          <w:rFonts w:cs="Arial"/>
          <w:szCs w:val="20"/>
        </w:rPr>
        <w:t xml:space="preserve"> in podobne spojine</w:t>
      </w:r>
      <w:r w:rsidR="00AE4414" w:rsidRPr="00545EC0">
        <w:rPr>
          <w:lang w:eastAsia="x-none"/>
        </w:rPr>
        <w:t xml:space="preserve"> v organizmih na vodnih telesih površinskih voda SI21602VT VT Krupa in SI216VT VT Lahinja.</w:t>
      </w:r>
    </w:p>
    <w:p w14:paraId="6972BA8E" w14:textId="77777777" w:rsidR="00553F61" w:rsidRPr="00545EC0" w:rsidRDefault="00553F61" w:rsidP="003F0F4E">
      <w:pPr>
        <w:rPr>
          <w:rFonts w:cs="Arial"/>
          <w:szCs w:val="20"/>
        </w:rPr>
      </w:pPr>
    </w:p>
    <w:p w14:paraId="204F9F15" w14:textId="77777777" w:rsidR="008F72B1" w:rsidRPr="00545EC0" w:rsidRDefault="00260DC3">
      <w:pPr>
        <w:pStyle w:val="Naslov3"/>
      </w:pPr>
      <w:bookmarkStart w:id="658" w:name="_Toc90261077"/>
      <w:bookmarkEnd w:id="657"/>
      <w:r w:rsidRPr="00545EC0">
        <w:t>Izjeme</w:t>
      </w:r>
      <w:r w:rsidR="008F72B1" w:rsidRPr="00545EC0">
        <w:t xml:space="preserve"> pri doseganju okoljskih ciljev </w:t>
      </w:r>
      <w:r w:rsidRPr="00545EC0">
        <w:t>za podzemne</w:t>
      </w:r>
      <w:r w:rsidR="008F72B1" w:rsidRPr="00545EC0">
        <w:t xml:space="preserve"> vod</w:t>
      </w:r>
      <w:r w:rsidRPr="00545EC0">
        <w:t>e</w:t>
      </w:r>
      <w:bookmarkEnd w:id="658"/>
    </w:p>
    <w:p w14:paraId="2996A732" w14:textId="77777777" w:rsidR="008F72B1" w:rsidRPr="00545EC0" w:rsidRDefault="008F72B1" w:rsidP="008F72B1">
      <w:pPr>
        <w:rPr>
          <w:rFonts w:cs="Arial"/>
          <w:lang w:eastAsia="pl-PL"/>
        </w:rPr>
      </w:pPr>
      <w:r w:rsidRPr="00545EC0">
        <w:rPr>
          <w:rFonts w:cs="Arial"/>
        </w:rPr>
        <w:t>Ocena doseganj</w:t>
      </w:r>
      <w:r w:rsidR="00D2780B" w:rsidRPr="00545EC0">
        <w:rPr>
          <w:rFonts w:cs="Arial"/>
        </w:rPr>
        <w:t>a</w:t>
      </w:r>
      <w:r w:rsidRPr="00545EC0">
        <w:rPr>
          <w:rFonts w:cs="Arial"/>
        </w:rPr>
        <w:t xml:space="preserve"> okoljskih ciljev </w:t>
      </w:r>
      <w:r w:rsidR="00260DC3" w:rsidRPr="00545EC0">
        <w:rPr>
          <w:rFonts w:cs="Arial"/>
        </w:rPr>
        <w:t xml:space="preserve">za </w:t>
      </w:r>
      <w:r w:rsidRPr="00545EC0">
        <w:rPr>
          <w:rFonts w:cs="Arial"/>
        </w:rPr>
        <w:t>podzemne vode temelji na analizi sedanjega kemijskega stanja podzemne vode, na napovedi trendov onesnaževal v podzemni vodi do leta 2021, na oceni stopnje obremenjevanja VTPodV, na stanju podzemne vode, ki se odvzema za oskrbo s pitno,</w:t>
      </w:r>
      <w:r w:rsidRPr="00545EC0">
        <w:rPr>
          <w:rFonts w:cs="Arial"/>
          <w:lang w:eastAsia="pl-PL"/>
        </w:rPr>
        <w:t xml:space="preserve"> na slanih in drugih vdorih v vodno telo podzemne vode</w:t>
      </w:r>
      <w:r w:rsidRPr="00545EC0">
        <w:rPr>
          <w:rFonts w:cs="Arial"/>
        </w:rPr>
        <w:t xml:space="preserve"> in na stanju ohranjenosti ekosistemov odvisnih od podzemne vode.</w:t>
      </w:r>
    </w:p>
    <w:p w14:paraId="1398F658" w14:textId="77777777" w:rsidR="008F72B1" w:rsidRPr="00545EC0" w:rsidRDefault="008F72B1" w:rsidP="008F72B1">
      <w:pPr>
        <w:rPr>
          <w:rFonts w:cs="Arial"/>
          <w:lang w:eastAsia="pl-PL"/>
        </w:rPr>
      </w:pPr>
    </w:p>
    <w:p w14:paraId="6E2F44E4" w14:textId="77B04A3E" w:rsidR="008F72B1" w:rsidRPr="00545EC0" w:rsidRDefault="008F72B1" w:rsidP="008F72B1">
      <w:pPr>
        <w:rPr>
          <w:rFonts w:cs="Arial"/>
        </w:rPr>
      </w:pPr>
      <w:r w:rsidRPr="00545EC0">
        <w:rPr>
          <w:rFonts w:cs="Arial"/>
          <w:lang w:eastAsia="pl-PL"/>
        </w:rPr>
        <w:t xml:space="preserve">Okoljski cilji ne bodo doseženi: Stanje je na osnovi rezultatov monitoringa ocenjeno kot slabo. Ugotovljene so pomembne obremenitve. Na več kot na 30 % merilnih mest </w:t>
      </w:r>
      <w:r w:rsidR="00AB3F36" w:rsidRPr="00545EC0">
        <w:rPr>
          <w:rFonts w:cs="Arial"/>
          <w:lang w:eastAsia="pl-PL"/>
        </w:rPr>
        <w:t xml:space="preserve">so </w:t>
      </w:r>
      <w:r w:rsidRPr="00545EC0">
        <w:rPr>
          <w:rFonts w:cs="Arial"/>
          <w:lang w:eastAsia="pl-PL"/>
        </w:rPr>
        <w:t>koncentracije onesnaževal neustrezne standardom kakovosti ali pa ni možno z vsaj 95 % verjetnostjo zagotoviti da bodo ustrezne.</w:t>
      </w:r>
    </w:p>
    <w:p w14:paraId="2672BE24" w14:textId="77777777" w:rsidR="008F72B1" w:rsidRPr="00545EC0" w:rsidRDefault="008F72B1" w:rsidP="008F72B1">
      <w:pPr>
        <w:rPr>
          <w:rFonts w:cs="Arial"/>
        </w:rPr>
      </w:pPr>
      <w:r w:rsidRPr="00545EC0">
        <w:rPr>
          <w:rFonts w:cs="Arial"/>
        </w:rPr>
        <w:t>Bistvene značilnosti pomembnih obremenitev, ki lahko preprečujejo doseganje ciljev v predvidenem roku, kljub uvedbi sprejemljivih dopolnilnih ukrepov:</w:t>
      </w:r>
    </w:p>
    <w:p w14:paraId="1AF5205B" w14:textId="77777777" w:rsidR="008F72B1" w:rsidRPr="00545EC0" w:rsidRDefault="008F72B1"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naravne razmere so take, da omogočajo nastajanje izredno visokih presežkov dušika v bilanci na ravni tal, zaradi tanke plasti tal, nizke vsebnosti organske snovi, razmeroma visoke vsebnosti peščeno – prodne primesi v tleh in s tem nizke sposobnosti zadrževanja hranil v tleh;</w:t>
      </w:r>
    </w:p>
    <w:p w14:paraId="48E6FC27" w14:textId="77777777" w:rsidR="008F72B1" w:rsidRPr="00545EC0" w:rsidRDefault="008F72B1"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masa dušika iz ocenjenih presežkov iz kmetijske rabe je bistveno večja kot skupna obremenitev na VTPodV iz drugih virov;</w:t>
      </w:r>
    </w:p>
    <w:p w14:paraId="60644DBE" w14:textId="77777777" w:rsidR="008F72B1" w:rsidRPr="00545EC0" w:rsidRDefault="008F72B1"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ranljivost podzemne vode:</w:t>
      </w:r>
    </w:p>
    <w:p w14:paraId="0307493E" w14:textId="166F3726" w:rsidR="008F72B1" w:rsidRPr="00545EC0" w:rsidRDefault="008F72B1" w:rsidP="00DD37C5">
      <w:pPr>
        <w:numPr>
          <w:ilvl w:val="1"/>
          <w:numId w:val="39"/>
        </w:numPr>
        <w:rPr>
          <w:rFonts w:cs="Arial"/>
        </w:rPr>
      </w:pPr>
      <w:r w:rsidRPr="00545EC0">
        <w:rPr>
          <w:rFonts w:cs="Arial"/>
        </w:rPr>
        <w:t>značilna je zelo nizka letna infiltracija, zaradi česar bi morali biti presežki še bistveno nižji od povprečja za Slovenijo;</w:t>
      </w:r>
    </w:p>
    <w:p w14:paraId="4991937C" w14:textId="77777777" w:rsidR="008F72B1" w:rsidRPr="00545EC0" w:rsidRDefault="008F72B1" w:rsidP="00DD37C5">
      <w:pPr>
        <w:numPr>
          <w:ilvl w:val="1"/>
          <w:numId w:val="39"/>
        </w:numPr>
        <w:rPr>
          <w:rFonts w:cs="Arial"/>
        </w:rPr>
      </w:pPr>
      <w:r w:rsidRPr="00545EC0">
        <w:rPr>
          <w:rFonts w:cs="Arial"/>
        </w:rPr>
        <w:t>visoka ranljivost podzemen vode je posledica majhne debeline in dobre prepustnosti omočenega vodonosnika in nenasičene cone ter odsotnosti krovnih zaščitnih plasti;</w:t>
      </w:r>
    </w:p>
    <w:p w14:paraId="70D3CC38" w14:textId="77777777" w:rsidR="008F72B1" w:rsidRPr="00545EC0" w:rsidRDefault="008F72B1" w:rsidP="00DD37C5">
      <w:pPr>
        <w:numPr>
          <w:ilvl w:val="1"/>
          <w:numId w:val="39"/>
        </w:numPr>
        <w:rPr>
          <w:rFonts w:cs="Arial"/>
        </w:rPr>
      </w:pPr>
      <w:r w:rsidRPr="00545EC0">
        <w:rPr>
          <w:rFonts w:cs="Arial"/>
        </w:rPr>
        <w:lastRenderedPageBreak/>
        <w:t>debelina omočenega dela vodonosnika je majhna, zaradi česar je nitrat razporejen enotno po globini omočenega dela vodonosnika in z globino ne prihaja do denitrifikacije;</w:t>
      </w:r>
    </w:p>
    <w:p w14:paraId="084E7ED4" w14:textId="77777777" w:rsidR="008F72B1" w:rsidRPr="00545EC0" w:rsidRDefault="008F72B1" w:rsidP="00DD37C5">
      <w:pPr>
        <w:numPr>
          <w:ilvl w:val="1"/>
          <w:numId w:val="39"/>
        </w:numPr>
        <w:rPr>
          <w:rFonts w:cs="Arial"/>
        </w:rPr>
      </w:pPr>
      <w:r w:rsidRPr="00545EC0">
        <w:rPr>
          <w:rFonts w:cs="Arial"/>
        </w:rPr>
        <w:t>vplivi obremenitev so zelo odvisni od letnih meteoroloških razmer, kar lahko povzroči veliko spremenljivost kemijskega stanja podzemne vode;</w:t>
      </w:r>
    </w:p>
    <w:p w14:paraId="46642F81" w14:textId="77777777" w:rsidR="008F72B1" w:rsidRPr="00545EC0" w:rsidRDefault="008F72B1"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 xml:space="preserve">dosedanji ukrepi s prepovedjo atrazina imajo značilen učinek na trend upadanja, vendar pa lahko upadanje do doseženega okoljskega cilja traja dlje kot do leta 2021. </w:t>
      </w:r>
    </w:p>
    <w:p w14:paraId="0C7F5350" w14:textId="77777777" w:rsidR="008F72B1" w:rsidRPr="00545EC0" w:rsidRDefault="008F72B1" w:rsidP="008F72B1">
      <w:pPr>
        <w:rPr>
          <w:rFonts w:cs="Arial"/>
        </w:rPr>
      </w:pPr>
    </w:p>
    <w:p w14:paraId="0BABE9AD" w14:textId="77777777" w:rsidR="008F72B1" w:rsidRPr="00545EC0" w:rsidRDefault="008F72B1" w:rsidP="008F72B1">
      <w:pPr>
        <w:rPr>
          <w:rFonts w:cs="Arial"/>
        </w:rPr>
      </w:pPr>
      <w:r w:rsidRPr="00545EC0">
        <w:rPr>
          <w:rFonts w:cs="Arial"/>
        </w:rPr>
        <w:t>Drugih izjem pri doseganju okoljskih ciljev, razen podaljšanja rokov zaradi naravnih razmer, ni bilo predvidenih.</w:t>
      </w:r>
    </w:p>
    <w:p w14:paraId="5D303B82" w14:textId="77777777" w:rsidR="008F72B1" w:rsidRPr="00545EC0" w:rsidRDefault="008F72B1" w:rsidP="008F72B1">
      <w:pPr>
        <w:rPr>
          <w:rFonts w:cs="Arial"/>
        </w:rPr>
      </w:pPr>
    </w:p>
    <w:p w14:paraId="0DCE125E" w14:textId="75F108B5" w:rsidR="008F72B1" w:rsidRPr="00545EC0" w:rsidRDefault="008F72B1" w:rsidP="008F72B1">
      <w:pPr>
        <w:pStyle w:val="Odstavekseznama"/>
        <w:ind w:left="0"/>
        <w:rPr>
          <w:rFonts w:cs="Arial"/>
          <w:lang w:val="sl-SI"/>
        </w:rPr>
      </w:pPr>
      <w:r w:rsidRPr="00545EC0">
        <w:rPr>
          <w:rFonts w:cs="Arial"/>
          <w:lang w:val="sl-SI"/>
        </w:rPr>
        <w:t>Pri pr</w:t>
      </w:r>
      <w:r w:rsidR="00AB3F36" w:rsidRPr="00545EC0">
        <w:rPr>
          <w:rFonts w:cs="Arial"/>
          <w:lang w:val="sl-SI"/>
        </w:rPr>
        <w:t>ipravi predhodnih Načrtov upravljanja voda</w:t>
      </w:r>
      <w:r w:rsidRPr="00545EC0">
        <w:rPr>
          <w:rFonts w:cs="Arial"/>
          <w:lang w:val="sl-SI"/>
        </w:rPr>
        <w:t xml:space="preserve"> je bilo ugotovljeno, da z obstoječimi temeljnimi ukrepi ne bo možno doseči dobrega stanja vseh teles podzemne vode do leta 2015 ali pa bi se stanje še poslabševalo. Zato so bili s prvim načrtom vpeljani še dopolnilni ukrepi. Za tri </w:t>
      </w:r>
      <w:r w:rsidR="00AB3F36" w:rsidRPr="00545EC0">
        <w:rPr>
          <w:rFonts w:cs="Arial"/>
          <w:lang w:val="sl-SI"/>
        </w:rPr>
        <w:t>v</w:t>
      </w:r>
      <w:r w:rsidRPr="00545EC0">
        <w:rPr>
          <w:rFonts w:cs="Arial"/>
          <w:lang w:val="sl-SI"/>
        </w:rPr>
        <w:t>odna telesa podzemne vode Murska kotlina (VTPodV 4016), Dravska kotlina (VTPodV 3012) in Savinjska kotlina (VTPodV 1002) je bilo ocenjeno, da ciljev ne bo možno doseči niti kljub uvedenim dopolnilnim ukrepom. Vseh potrebnih izboljšav namreč ne bi bilo mogoče doseči v časovnem okviru do leta 2015. Stanje podzemne vode je bilo slabo, ugotovljene so bile kritične obremenitve. Da bi koncentracije kritičnih parametrov do leta 2015 padle pod mejno vrednost standarda kakovosti, pa ni bilo možno zanesljivo napovedati. Za nobeno od teh treh vodnih teles niso bili predlagani manj strogi okoljski cilji, pač pa le podaljšanje rokov za postopno dosego d</w:t>
      </w:r>
      <w:r w:rsidR="008D4C6E" w:rsidRPr="00545EC0">
        <w:rPr>
          <w:rFonts w:cs="Arial"/>
          <w:lang w:val="sl-SI"/>
        </w:rPr>
        <w:t xml:space="preserve">anašnjih okoljskih standardov. </w:t>
      </w:r>
    </w:p>
    <w:p w14:paraId="2069481E" w14:textId="77777777" w:rsidR="008D4C6E" w:rsidRPr="00545EC0" w:rsidRDefault="008D4C6E" w:rsidP="008F72B1">
      <w:pPr>
        <w:pStyle w:val="Odstavekseznama"/>
        <w:ind w:left="0"/>
        <w:rPr>
          <w:rFonts w:cs="Arial"/>
          <w:lang w:val="sl-SI"/>
        </w:rPr>
      </w:pPr>
    </w:p>
    <w:p w14:paraId="16DA4C85" w14:textId="3AE7EFAE" w:rsidR="00537C3E" w:rsidRPr="00545EC0" w:rsidRDefault="008F72B1" w:rsidP="008F72B1">
      <w:pPr>
        <w:pStyle w:val="Odstavekseznama"/>
        <w:ind w:left="0"/>
        <w:rPr>
          <w:rFonts w:cs="Arial"/>
          <w:lang w:val="sl-SI"/>
        </w:rPr>
      </w:pPr>
      <w:r w:rsidRPr="00545EC0">
        <w:rPr>
          <w:rFonts w:cs="Arial"/>
          <w:lang w:val="sl-SI"/>
        </w:rPr>
        <w:t xml:space="preserve">Za tri </w:t>
      </w:r>
      <w:r w:rsidR="00AB3F36" w:rsidRPr="00545EC0">
        <w:rPr>
          <w:rFonts w:cs="Arial"/>
          <w:lang w:val="sl-SI"/>
        </w:rPr>
        <w:t>v</w:t>
      </w:r>
      <w:r w:rsidRPr="00545EC0">
        <w:rPr>
          <w:rFonts w:cs="Arial"/>
          <w:lang w:val="sl-SI"/>
        </w:rPr>
        <w:t>odna telesa podzemne vode Murska kotlina (VTPodV 4016), Dravska kotlina (VTPodV 3012) in Savinjska kotlina (VTPodV 1002) so rezultati državnega monitoringa kakovosti podzemne vode v letih 2007 do 2013 ves čas izkazovali slabo kemijsko stanje.</w:t>
      </w:r>
    </w:p>
    <w:p w14:paraId="5833171F" w14:textId="77777777" w:rsidR="00504787" w:rsidRPr="00545EC0" w:rsidRDefault="00260DC3">
      <w:pPr>
        <w:pStyle w:val="Naslov3"/>
      </w:pPr>
      <w:bookmarkStart w:id="659" w:name="_Toc90261078"/>
      <w:r w:rsidRPr="00545EC0">
        <w:t xml:space="preserve">Obrazložitev primerov </w:t>
      </w:r>
      <w:r w:rsidR="00504787" w:rsidRPr="00545EC0">
        <w:t>odstopanj od okoljskih ciljev</w:t>
      </w:r>
      <w:bookmarkEnd w:id="659"/>
    </w:p>
    <w:p w14:paraId="3B0ADA1A" w14:textId="77777777" w:rsidR="00836433" w:rsidRPr="00545EC0" w:rsidRDefault="00836433" w:rsidP="00836433">
      <w:pPr>
        <w:pStyle w:val="Navadensplet"/>
        <w:shd w:val="clear" w:color="auto" w:fill="FFFFFF"/>
        <w:rPr>
          <w:rFonts w:ascii="Arial" w:hAnsi="Arial" w:cs="Arial"/>
          <w:color w:val="auto"/>
          <w:sz w:val="19"/>
          <w:szCs w:val="19"/>
        </w:rPr>
      </w:pPr>
      <w:r w:rsidRPr="00545EC0">
        <w:rPr>
          <w:rFonts w:ascii="Arial" w:hAnsi="Arial" w:cs="Arial"/>
          <w:color w:val="auto"/>
          <w:sz w:val="20"/>
          <w:szCs w:val="20"/>
        </w:rPr>
        <w:t>Skladno s 56. členom zakona o vodah lahko Vlada Republike Slovenije za posamezno vodno telo določi, da se cilji doseganja dobrega stanja, dobrega ekološkega potenciala ali preprečevanja poslabšanja stanja vodnih teles ne dosežejo, če je do poslabšanja prišlo zaradi fizičnih sprememb vodnega telesa zaradi nove človekove dejavnosti, ali pa, da se ne doseže cilj preprečevanja poslabšanja stanja vodnega telesa površinske vode iz zelo dobrega v dobro stanje zaradi nove dejavnosti trajnostnega razvoja, in če je:</w:t>
      </w:r>
    </w:p>
    <w:p w14:paraId="2A5DE91E" w14:textId="77777777" w:rsidR="00836433" w:rsidRPr="00545EC0" w:rsidRDefault="00836433" w:rsidP="00DD37C5">
      <w:pPr>
        <w:pStyle w:val="Navadensplet"/>
        <w:numPr>
          <w:ilvl w:val="3"/>
          <w:numId w:val="29"/>
        </w:numPr>
        <w:shd w:val="clear" w:color="auto" w:fill="FFFFFF"/>
        <w:ind w:left="567" w:hanging="284"/>
        <w:rPr>
          <w:rFonts w:ascii="Arial" w:hAnsi="Arial" w:cs="Arial"/>
          <w:color w:val="auto"/>
          <w:sz w:val="19"/>
          <w:szCs w:val="19"/>
        </w:rPr>
      </w:pPr>
      <w:r w:rsidRPr="00545EC0">
        <w:rPr>
          <w:rFonts w:ascii="Arial" w:hAnsi="Arial" w:cs="Arial"/>
          <w:color w:val="auto"/>
          <w:sz w:val="20"/>
          <w:szCs w:val="20"/>
        </w:rPr>
        <w:t>z zakonom ali na njegovi podlagi sprejetim nacionalnim programom ali drugim aktom izkazan javni interes in so koristi, ki jih imajo nova preoblikovanja ali spremembe za zdravje in varnost ljudi ali trajnostni razvoj, večje od koristi, ki jih ima doseganje ciljev za okolje in družbo,</w:t>
      </w:r>
    </w:p>
    <w:p w14:paraId="6FC4FD49" w14:textId="77777777" w:rsidR="00836433" w:rsidRPr="00545EC0" w:rsidRDefault="00836433" w:rsidP="00DD37C5">
      <w:pPr>
        <w:pStyle w:val="Navadensplet"/>
        <w:numPr>
          <w:ilvl w:val="0"/>
          <w:numId w:val="29"/>
        </w:numPr>
        <w:shd w:val="clear" w:color="auto" w:fill="FFFFFF"/>
        <w:ind w:left="567" w:hanging="284"/>
        <w:rPr>
          <w:rFonts w:ascii="Arial" w:hAnsi="Arial" w:cs="Arial"/>
          <w:color w:val="auto"/>
          <w:sz w:val="19"/>
          <w:szCs w:val="19"/>
        </w:rPr>
      </w:pPr>
      <w:r w:rsidRPr="00545EC0">
        <w:rPr>
          <w:rFonts w:ascii="Arial" w:hAnsi="Arial" w:cs="Arial"/>
          <w:color w:val="auto"/>
          <w:sz w:val="20"/>
          <w:szCs w:val="20"/>
        </w:rPr>
        <w:t>iz zakona ali na njegovi podlagi sprejetega nacionalnega programa ali drugega akta oziroma celovite presoje vplivov tega akta na okolje razvidno, da koristnih ciljev, ki se dosežejo s fizičnimi spremembami vodnega telesa, zaradi tehnične neizvedljivosti ali nesorazmernih stroškov ni mogoče zagotoviti na način, ki bi imel manjše škodljive posledice na okolje,</w:t>
      </w:r>
    </w:p>
    <w:p w14:paraId="7335CE1B" w14:textId="77777777" w:rsidR="00836433" w:rsidRPr="00545EC0" w:rsidRDefault="00836433" w:rsidP="00DD37C5">
      <w:pPr>
        <w:pStyle w:val="Navadensplet"/>
        <w:numPr>
          <w:ilvl w:val="0"/>
          <w:numId w:val="29"/>
        </w:numPr>
        <w:shd w:val="clear" w:color="auto" w:fill="FFFFFF"/>
        <w:ind w:left="567" w:hanging="284"/>
        <w:rPr>
          <w:rFonts w:ascii="Arial" w:hAnsi="Arial" w:cs="Arial"/>
          <w:color w:val="auto"/>
          <w:sz w:val="19"/>
          <w:szCs w:val="19"/>
        </w:rPr>
      </w:pPr>
      <w:r w:rsidRPr="00545EC0">
        <w:rPr>
          <w:rFonts w:ascii="Arial" w:hAnsi="Arial" w:cs="Arial"/>
          <w:color w:val="auto"/>
          <w:sz w:val="20"/>
          <w:szCs w:val="20"/>
        </w:rPr>
        <w:t>z državnim prostorskim načrtom ali drugim aktom in celovito presojo vplivov tega akta na okolje zagotovljeno, da se izvedejo tehnično izvedljivi in sorazmerni ukrepi, s katerimi se ublaži škodljive vplive na stanje voda, in</w:t>
      </w:r>
    </w:p>
    <w:p w14:paraId="7230D3EC" w14:textId="77777777" w:rsidR="00836433" w:rsidRPr="00545EC0" w:rsidRDefault="00836433" w:rsidP="00DD37C5">
      <w:pPr>
        <w:pStyle w:val="Navadensplet"/>
        <w:numPr>
          <w:ilvl w:val="0"/>
          <w:numId w:val="29"/>
        </w:numPr>
        <w:shd w:val="clear" w:color="auto" w:fill="FFFFFF"/>
        <w:ind w:left="567" w:hanging="284"/>
        <w:rPr>
          <w:rFonts w:ascii="Arial" w:hAnsi="Arial" w:cs="Arial"/>
          <w:color w:val="auto"/>
          <w:sz w:val="19"/>
          <w:szCs w:val="19"/>
        </w:rPr>
      </w:pPr>
      <w:r w:rsidRPr="00545EC0">
        <w:rPr>
          <w:rFonts w:ascii="Arial" w:hAnsi="Arial" w:cs="Arial"/>
          <w:color w:val="auto"/>
          <w:sz w:val="20"/>
          <w:szCs w:val="20"/>
        </w:rPr>
        <w:t>z zakonom in na njegovi podlagi sprejetim nacionalnim programom ali drugim aktom, državnim prostorskim načrtom oziroma celovito presojo vplivov tega akta na okolje zagotovljeno, da so razlogi za spremembe posebej navedeni in obrazloženi v državnemu prostorskemu načrtu ali drugemu aktu.</w:t>
      </w:r>
    </w:p>
    <w:p w14:paraId="563EF726" w14:textId="77777777" w:rsidR="00836433" w:rsidRPr="00545EC0" w:rsidRDefault="00836433" w:rsidP="00836433">
      <w:pPr>
        <w:pStyle w:val="Navadensplet"/>
        <w:shd w:val="clear" w:color="auto" w:fill="FFFFFF"/>
        <w:rPr>
          <w:rFonts w:ascii="Arial" w:hAnsi="Arial" w:cs="Arial"/>
          <w:color w:val="auto"/>
          <w:sz w:val="19"/>
          <w:szCs w:val="19"/>
        </w:rPr>
      </w:pPr>
      <w:r w:rsidRPr="00545EC0">
        <w:rPr>
          <w:rFonts w:ascii="Arial" w:hAnsi="Arial" w:cs="Arial"/>
          <w:color w:val="auto"/>
          <w:sz w:val="20"/>
          <w:szCs w:val="20"/>
        </w:rPr>
        <w:lastRenderedPageBreak/>
        <w:t>Določitev izjem za posamezno vodno telo ne sme ogroziti doseganja ciljev, ki se nanašajo na dobro stanje ali dober ekološki potencial voda na drugih vodnih telesih znotraj istega vodnega območja, za katere izjema ni določena in da se ne ogrozi uresničevanje ciljev drugih nacionalnih predpisov ali zakonodaje Evropske unije.</w:t>
      </w:r>
    </w:p>
    <w:p w14:paraId="489C54BB" w14:textId="77777777" w:rsidR="00836433" w:rsidRPr="00545EC0" w:rsidRDefault="00836433" w:rsidP="00836433">
      <w:pPr>
        <w:pStyle w:val="Navadensplet"/>
        <w:shd w:val="clear" w:color="auto" w:fill="FFFFFF"/>
        <w:rPr>
          <w:rFonts w:ascii="Arial" w:hAnsi="Arial" w:cs="Arial"/>
          <w:color w:val="auto"/>
          <w:sz w:val="19"/>
          <w:szCs w:val="19"/>
        </w:rPr>
      </w:pPr>
      <w:r w:rsidRPr="00545EC0">
        <w:rPr>
          <w:rFonts w:ascii="Arial" w:hAnsi="Arial" w:cs="Arial"/>
          <w:color w:val="auto"/>
          <w:sz w:val="20"/>
          <w:szCs w:val="20"/>
        </w:rPr>
        <w:t>To pomeni, da mora biti znotraj zgoraj navedenih dokumentov dokazano, da določitev izjem na enem vodnem telesu ne bo ogrozila ciljev, ki se nanašajo na dobro stanje ali dober ekološki potencial voda na drugih vodnih telesih znotraj istega vodnega območja.</w:t>
      </w:r>
    </w:p>
    <w:p w14:paraId="76F99146" w14:textId="5B1C24B3" w:rsidR="00B14847" w:rsidRPr="00545EC0" w:rsidRDefault="00D048F5" w:rsidP="00B14847">
      <w:pPr>
        <w:rPr>
          <w:rFonts w:cs="Arial"/>
          <w:szCs w:val="20"/>
        </w:rPr>
      </w:pPr>
      <w:r w:rsidRPr="00545EC0">
        <w:t>Odstopanja od okoljskih ciljev</w:t>
      </w:r>
      <w:r w:rsidR="00F07473" w:rsidRPr="00545EC0">
        <w:rPr>
          <w:rFonts w:cs="Arial"/>
          <w:szCs w:val="20"/>
        </w:rPr>
        <w:t xml:space="preserve"> se v skladu z z</w:t>
      </w:r>
      <w:r w:rsidRPr="00545EC0">
        <w:rPr>
          <w:rFonts w:cs="Arial"/>
          <w:szCs w:val="20"/>
        </w:rPr>
        <w:t xml:space="preserve">akonom o vodah utemeljuje na podlagi </w:t>
      </w:r>
      <w:r w:rsidR="00B14847" w:rsidRPr="00545EC0">
        <w:rPr>
          <w:rFonts w:cs="Arial"/>
          <w:szCs w:val="20"/>
        </w:rPr>
        <w:t>presoj</w:t>
      </w:r>
      <w:r w:rsidRPr="00545EC0">
        <w:rPr>
          <w:rFonts w:cs="Arial"/>
          <w:szCs w:val="20"/>
        </w:rPr>
        <w:t>e</w:t>
      </w:r>
      <w:r w:rsidR="00B14847" w:rsidRPr="00545EC0">
        <w:rPr>
          <w:rFonts w:cs="Arial"/>
          <w:szCs w:val="20"/>
        </w:rPr>
        <w:t xml:space="preserve"> vplivov na stanje voda izvaja v okviru celovite presoje vplivov na okolje, presoje vplivov na okolje ter v postopkih pridobitve vodne pravice, vodnega mnenja ali vodnega soglasja. V okviru presoje vplivov na stanje voda se tako ugotavlja tudi t.i. »ocena uporabe« </w:t>
      </w:r>
      <w:r w:rsidR="003C4ECE" w:rsidRPr="00545EC0">
        <w:rPr>
          <w:rFonts w:cs="Arial"/>
          <w:szCs w:val="20"/>
        </w:rPr>
        <w:t xml:space="preserve">iz </w:t>
      </w:r>
      <w:r w:rsidR="00B14847" w:rsidRPr="00545EC0">
        <w:rPr>
          <w:rFonts w:cs="Arial"/>
          <w:szCs w:val="20"/>
        </w:rPr>
        <w:t xml:space="preserve">člena </w:t>
      </w:r>
      <w:r w:rsidR="00AB3F36" w:rsidRPr="00545EC0">
        <w:rPr>
          <w:rFonts w:cs="Arial"/>
          <w:szCs w:val="20"/>
        </w:rPr>
        <w:t>4(7</w:t>
      </w:r>
      <w:r w:rsidR="0086750A" w:rsidRPr="00545EC0">
        <w:rPr>
          <w:rFonts w:cs="Arial"/>
          <w:szCs w:val="20"/>
        </w:rPr>
        <w:t xml:space="preserve">) </w:t>
      </w:r>
      <w:r w:rsidR="00B14847" w:rsidRPr="00545EC0">
        <w:rPr>
          <w:rFonts w:cs="Arial"/>
          <w:szCs w:val="20"/>
        </w:rPr>
        <w:t xml:space="preserve">vodne direktive, saj se za vsa nova preoblikovanja/spremembe v navedenih postopkih ugotavlja, če bodo le-ti privedli do morebitnega poslabšanja stanja ali bi le ti ogrozili doseganje dobrega stanja/potenciala. V kolikor je v postopkih presoje ugotovljeno, da vplivov ni možno omiliti do te stopnje, da okoljski cilji ne bi bili ogroženi, se sproži postopek za utemeljitev izjeme doseganja okoljskih ciljev, skladno s 56. členom </w:t>
      </w:r>
      <w:r w:rsidR="00F07473" w:rsidRPr="00545EC0">
        <w:rPr>
          <w:rFonts w:cs="Arial"/>
          <w:szCs w:val="20"/>
        </w:rPr>
        <w:t>z</w:t>
      </w:r>
      <w:r w:rsidR="00B14847" w:rsidRPr="00545EC0">
        <w:rPr>
          <w:rFonts w:cs="Arial"/>
          <w:szCs w:val="20"/>
        </w:rPr>
        <w:t>akona o vodah.</w:t>
      </w:r>
    </w:p>
    <w:p w14:paraId="5F473199" w14:textId="77777777" w:rsidR="00B14847" w:rsidRPr="00545EC0" w:rsidRDefault="00B14847" w:rsidP="00B14847">
      <w:pPr>
        <w:rPr>
          <w:rFonts w:cs="Arial"/>
          <w:szCs w:val="20"/>
        </w:rPr>
      </w:pPr>
    </w:p>
    <w:p w14:paraId="4946AE7F" w14:textId="3856814E" w:rsidR="00B14847" w:rsidRPr="00545EC0" w:rsidRDefault="00B14847" w:rsidP="00B14847">
      <w:pPr>
        <w:rPr>
          <w:rFonts w:cs="Arial"/>
          <w:szCs w:val="20"/>
        </w:rPr>
      </w:pPr>
      <w:r w:rsidRPr="00545EC0">
        <w:rPr>
          <w:rFonts w:cs="Arial"/>
          <w:szCs w:val="20"/>
        </w:rPr>
        <w:t>Presoja vplivov na stanje voda se izvaja na podlagi navodila, ki je zajeto v Splošnih smernicah s področja upravljanja z vodami</w:t>
      </w:r>
      <w:r w:rsidR="00D048F5" w:rsidRPr="00545EC0">
        <w:rPr>
          <w:rFonts w:cs="Arial"/>
          <w:szCs w:val="20"/>
        </w:rPr>
        <w:t>, ki so objavljena na spletni strani direkcije za vode Republike Slovenije</w:t>
      </w:r>
      <w:r w:rsidRPr="00545EC0">
        <w:rPr>
          <w:rFonts w:cs="Arial"/>
          <w:szCs w:val="20"/>
        </w:rPr>
        <w:t xml:space="preserve"> (</w:t>
      </w:r>
      <w:r w:rsidR="00D048F5" w:rsidRPr="00545EC0">
        <w:rPr>
          <w:rFonts w:cs="Arial"/>
          <w:szCs w:val="20"/>
        </w:rPr>
        <w:t xml:space="preserve">t.i. </w:t>
      </w:r>
      <w:r w:rsidRPr="00545EC0">
        <w:rPr>
          <w:rFonts w:cs="Arial"/>
          <w:szCs w:val="20"/>
        </w:rPr>
        <w:t>Priloga 3</w:t>
      </w:r>
      <w:r w:rsidR="00D048F5" w:rsidRPr="00545EC0">
        <w:rPr>
          <w:rFonts w:cs="Arial"/>
          <w:szCs w:val="20"/>
        </w:rPr>
        <w:t xml:space="preserve"> k Splošnim smernicam s področja upravljanja z vodami</w:t>
      </w:r>
      <w:r w:rsidRPr="00545EC0">
        <w:rPr>
          <w:rFonts w:cs="Arial"/>
          <w:szCs w:val="20"/>
        </w:rPr>
        <w:t xml:space="preserve">). V kolikor je za poseg potrebna celovita presoja vplivov na okolje ali presoja vplivov v okolje, se navodilo uporablja v teh postopkih, v kolikor pa ta zahteva za ti dve presoji ni podana, se navodilo za določene posege uporabi v okviru postopka pridobitve vodnega mnenja ali soglasja. Za vse posege, ki bi lahko povzročili vpliv na vodni režim in stanje voda, se pripravijo tudi projektni pogoji, ki jih je treba upoštevati pri pripravi projektne dokumentacije. Projektni pogoji so pripravljeni na način, da poseg ne bo povzročil vpliva na vodni režim in stanje voda. </w:t>
      </w:r>
    </w:p>
    <w:p w14:paraId="37A117E7" w14:textId="77777777" w:rsidR="00B14847" w:rsidRPr="00545EC0" w:rsidRDefault="00B14847" w:rsidP="00B14847">
      <w:pPr>
        <w:rPr>
          <w:rFonts w:cs="Arial"/>
          <w:szCs w:val="20"/>
        </w:rPr>
      </w:pPr>
    </w:p>
    <w:p w14:paraId="3A1EC39F" w14:textId="77777777" w:rsidR="00B14847" w:rsidRPr="00545EC0" w:rsidRDefault="00B14847" w:rsidP="00B14847">
      <w:pPr>
        <w:rPr>
          <w:rFonts w:cs="Arial"/>
          <w:szCs w:val="20"/>
        </w:rPr>
      </w:pPr>
      <w:r w:rsidRPr="00545EC0">
        <w:rPr>
          <w:rFonts w:cs="Arial"/>
          <w:szCs w:val="20"/>
        </w:rPr>
        <w:t>V okviru presoje vplivov na stanje voda je treba v strokovni podlagi (skladno z navodilom v Prilogi 3 Splošnih smernic s področja upravljanja voda) obravnavati sledeče segmente presoje:</w:t>
      </w:r>
    </w:p>
    <w:p w14:paraId="49438846" w14:textId="77777777" w:rsidR="00B14847" w:rsidRPr="00545EC0" w:rsidRDefault="00B14847" w:rsidP="00DD37C5">
      <w:pPr>
        <w:numPr>
          <w:ilvl w:val="0"/>
          <w:numId w:val="101"/>
        </w:numPr>
        <w:overflowPunct/>
        <w:autoSpaceDE/>
        <w:autoSpaceDN/>
        <w:adjustRightInd/>
        <w:spacing w:line="260" w:lineRule="atLeast"/>
        <w:ind w:left="993" w:hanging="426"/>
        <w:textAlignment w:val="auto"/>
        <w:rPr>
          <w:rFonts w:cs="Arial"/>
          <w:szCs w:val="20"/>
        </w:rPr>
      </w:pPr>
      <w:r w:rsidRPr="00545EC0">
        <w:rPr>
          <w:rFonts w:cs="Arial"/>
          <w:szCs w:val="20"/>
        </w:rPr>
        <w:t>opredelitev lokacije posega, v okviru katere se opredelijo vodna telesa površinskih in podzemnih voda, na katerih je predviden poseg,</w:t>
      </w:r>
    </w:p>
    <w:p w14:paraId="3ECFB348" w14:textId="77777777" w:rsidR="00B14847" w:rsidRPr="00545EC0" w:rsidRDefault="00B14847" w:rsidP="00DD37C5">
      <w:pPr>
        <w:numPr>
          <w:ilvl w:val="0"/>
          <w:numId w:val="101"/>
        </w:numPr>
        <w:overflowPunct/>
        <w:autoSpaceDE/>
        <w:autoSpaceDN/>
        <w:adjustRightInd/>
        <w:spacing w:line="260" w:lineRule="atLeast"/>
        <w:ind w:left="993" w:hanging="426"/>
        <w:textAlignment w:val="auto"/>
        <w:rPr>
          <w:rFonts w:cs="Arial"/>
          <w:szCs w:val="20"/>
        </w:rPr>
      </w:pPr>
      <w:r w:rsidRPr="00545EC0">
        <w:rPr>
          <w:rFonts w:cs="Arial"/>
          <w:szCs w:val="20"/>
        </w:rPr>
        <w:t xml:space="preserve">ocena obstoječega stanja, v okviru katerega so povzamejo podatki o stanju voda ter prisotnih obremenitvah in vplivih, </w:t>
      </w:r>
    </w:p>
    <w:p w14:paraId="411DA06E" w14:textId="77777777" w:rsidR="00B14847" w:rsidRPr="00545EC0" w:rsidRDefault="00B14847" w:rsidP="00DD37C5">
      <w:pPr>
        <w:numPr>
          <w:ilvl w:val="0"/>
          <w:numId w:val="101"/>
        </w:numPr>
        <w:overflowPunct/>
        <w:autoSpaceDE/>
        <w:autoSpaceDN/>
        <w:adjustRightInd/>
        <w:spacing w:line="260" w:lineRule="atLeast"/>
        <w:ind w:left="993" w:hanging="426"/>
        <w:textAlignment w:val="auto"/>
        <w:rPr>
          <w:rFonts w:cs="Arial"/>
          <w:szCs w:val="20"/>
        </w:rPr>
      </w:pPr>
      <w:r w:rsidRPr="00545EC0">
        <w:rPr>
          <w:rFonts w:cs="Arial"/>
          <w:szCs w:val="20"/>
        </w:rPr>
        <w:t xml:space="preserve">opredelitev okoljskih ciljev z vidika hidromorfoloških obremenitev, v katerih se povzame ocena okoljskih ciljev skladno z načrti upravljanja voda, </w:t>
      </w:r>
    </w:p>
    <w:p w14:paraId="28A07C8C" w14:textId="77777777" w:rsidR="00B14847" w:rsidRPr="00545EC0" w:rsidRDefault="00B14847" w:rsidP="00DD37C5">
      <w:pPr>
        <w:numPr>
          <w:ilvl w:val="0"/>
          <w:numId w:val="101"/>
        </w:numPr>
        <w:overflowPunct/>
        <w:autoSpaceDE/>
        <w:autoSpaceDN/>
        <w:adjustRightInd/>
        <w:spacing w:line="260" w:lineRule="atLeast"/>
        <w:ind w:left="993" w:hanging="426"/>
        <w:textAlignment w:val="auto"/>
        <w:rPr>
          <w:rFonts w:cs="Arial"/>
          <w:szCs w:val="20"/>
        </w:rPr>
      </w:pPr>
      <w:r w:rsidRPr="00545EC0">
        <w:rPr>
          <w:rFonts w:cs="Arial"/>
          <w:szCs w:val="20"/>
        </w:rPr>
        <w:t xml:space="preserve">povzetek dopolnilnih hidromorfoloških ukrepov za doseganje okoljskih ciljev, ki se povzame iz Programa ukrepov upravljanja voda, </w:t>
      </w:r>
    </w:p>
    <w:p w14:paraId="2FD6BF82" w14:textId="77777777" w:rsidR="00B14847" w:rsidRPr="00545EC0" w:rsidRDefault="00B14847" w:rsidP="00DD37C5">
      <w:pPr>
        <w:numPr>
          <w:ilvl w:val="0"/>
          <w:numId w:val="101"/>
        </w:numPr>
        <w:overflowPunct/>
        <w:autoSpaceDE/>
        <w:autoSpaceDN/>
        <w:adjustRightInd/>
        <w:spacing w:line="260" w:lineRule="atLeast"/>
        <w:ind w:left="993" w:hanging="426"/>
        <w:textAlignment w:val="auto"/>
        <w:rPr>
          <w:rFonts w:cs="Arial"/>
          <w:szCs w:val="20"/>
        </w:rPr>
      </w:pPr>
      <w:r w:rsidRPr="00545EC0">
        <w:rPr>
          <w:rFonts w:cs="Arial"/>
          <w:szCs w:val="20"/>
        </w:rPr>
        <w:t>utemeljitev ustreznosti izbrane možnosti za izvedbo posega, v okviru katere se predstavijo možne variantne rešitve za izvedbo posega in razlogi za izbrano variantno rešitev,</w:t>
      </w:r>
    </w:p>
    <w:p w14:paraId="5C7D9DFD" w14:textId="77777777" w:rsidR="00B14847" w:rsidRPr="00545EC0" w:rsidRDefault="00B14847" w:rsidP="00DD37C5">
      <w:pPr>
        <w:numPr>
          <w:ilvl w:val="0"/>
          <w:numId w:val="101"/>
        </w:numPr>
        <w:overflowPunct/>
        <w:autoSpaceDE/>
        <w:autoSpaceDN/>
        <w:adjustRightInd/>
        <w:spacing w:line="260" w:lineRule="atLeast"/>
        <w:ind w:left="993" w:hanging="426"/>
        <w:textAlignment w:val="auto"/>
        <w:rPr>
          <w:rFonts w:cs="Arial"/>
          <w:szCs w:val="20"/>
        </w:rPr>
      </w:pPr>
      <w:r w:rsidRPr="00545EC0">
        <w:rPr>
          <w:rFonts w:cs="Arial"/>
          <w:szCs w:val="20"/>
        </w:rPr>
        <w:t>opis in grafični prikaz predvidenega posega, v okviru katerega se podrobneje opiše in prikaže poseg ter predstavijo nove obremenitve, ki bodo s posegom povzročene,</w:t>
      </w:r>
    </w:p>
    <w:p w14:paraId="5A22E2DA" w14:textId="77777777" w:rsidR="00B14847" w:rsidRPr="00545EC0" w:rsidRDefault="00B14847" w:rsidP="00DD37C5">
      <w:pPr>
        <w:numPr>
          <w:ilvl w:val="0"/>
          <w:numId w:val="101"/>
        </w:numPr>
        <w:overflowPunct/>
        <w:autoSpaceDE/>
        <w:autoSpaceDN/>
        <w:adjustRightInd/>
        <w:spacing w:line="260" w:lineRule="atLeast"/>
        <w:ind w:left="993" w:hanging="426"/>
        <w:textAlignment w:val="auto"/>
        <w:rPr>
          <w:rFonts w:cs="Arial"/>
          <w:szCs w:val="20"/>
        </w:rPr>
      </w:pPr>
      <w:r w:rsidRPr="00545EC0">
        <w:rPr>
          <w:rFonts w:cs="Arial"/>
          <w:szCs w:val="20"/>
        </w:rPr>
        <w:t>opredelitev vplivnega območja posega, v okviru katere se določi, kako obsežen vpliv bo imel poseg,</w:t>
      </w:r>
    </w:p>
    <w:p w14:paraId="0765AD46" w14:textId="77777777" w:rsidR="00B14847" w:rsidRPr="00545EC0" w:rsidRDefault="00B14847" w:rsidP="00DD37C5">
      <w:pPr>
        <w:numPr>
          <w:ilvl w:val="0"/>
          <w:numId w:val="101"/>
        </w:numPr>
        <w:overflowPunct/>
        <w:autoSpaceDE/>
        <w:autoSpaceDN/>
        <w:adjustRightInd/>
        <w:spacing w:line="260" w:lineRule="atLeast"/>
        <w:ind w:left="993" w:hanging="426"/>
        <w:textAlignment w:val="auto"/>
        <w:rPr>
          <w:rFonts w:cs="Arial"/>
          <w:szCs w:val="20"/>
        </w:rPr>
      </w:pPr>
      <w:r w:rsidRPr="00545EC0">
        <w:rPr>
          <w:rFonts w:cs="Arial"/>
          <w:szCs w:val="20"/>
        </w:rPr>
        <w:t>opis potrebnih vzdrževalnih del po izvedbi posega, v okviru katerega se opredeli ali bo predvideni poseg zahteval tudi stalna vzdrževalna dela in bo s tem povzročal stalne vplive na stanje voda,</w:t>
      </w:r>
    </w:p>
    <w:p w14:paraId="62B5155E" w14:textId="77777777" w:rsidR="00B14847" w:rsidRPr="00545EC0" w:rsidRDefault="00B14847" w:rsidP="00DD37C5">
      <w:pPr>
        <w:numPr>
          <w:ilvl w:val="0"/>
          <w:numId w:val="101"/>
        </w:numPr>
        <w:overflowPunct/>
        <w:autoSpaceDE/>
        <w:autoSpaceDN/>
        <w:adjustRightInd/>
        <w:spacing w:line="260" w:lineRule="atLeast"/>
        <w:ind w:left="993" w:hanging="426"/>
        <w:textAlignment w:val="auto"/>
        <w:rPr>
          <w:rFonts w:cs="Arial"/>
          <w:szCs w:val="20"/>
        </w:rPr>
      </w:pPr>
      <w:r w:rsidRPr="00545EC0">
        <w:rPr>
          <w:rFonts w:cs="Arial"/>
          <w:szCs w:val="20"/>
        </w:rPr>
        <w:t>ocena vpliva posega na stanje voda, v okviru katere se oceni vpliv posega na kemijsko in ekološko stanje; v okviru ocene vpliva na ekološko stanje se vpliv oceni po posameznih elementih kakovosti; v okviru ocene vpliva se opredeli ali bo poseg povzročil neposredne ali posredne vplive na posamezen element presoje,</w:t>
      </w:r>
    </w:p>
    <w:p w14:paraId="5801A72A" w14:textId="77777777" w:rsidR="00B14847" w:rsidRPr="00545EC0" w:rsidRDefault="00B14847" w:rsidP="00DD37C5">
      <w:pPr>
        <w:numPr>
          <w:ilvl w:val="0"/>
          <w:numId w:val="101"/>
        </w:numPr>
        <w:overflowPunct/>
        <w:autoSpaceDE/>
        <w:autoSpaceDN/>
        <w:adjustRightInd/>
        <w:spacing w:line="260" w:lineRule="atLeast"/>
        <w:ind w:left="993" w:hanging="426"/>
        <w:textAlignment w:val="auto"/>
        <w:rPr>
          <w:rFonts w:cs="Arial"/>
          <w:szCs w:val="20"/>
        </w:rPr>
      </w:pPr>
      <w:r w:rsidRPr="00545EC0">
        <w:rPr>
          <w:rFonts w:cs="Arial"/>
          <w:szCs w:val="20"/>
        </w:rPr>
        <w:lastRenderedPageBreak/>
        <w:t xml:space="preserve">ocena vpliva posega na izvajanje dopolnilnih ukrepov, v okviru katere se opredeli, če bo poseg prispeval oziroma onemogočil izvajanje dopolnilnih ukrepov za doseganje okoljskih ciljev površinskih in podzemnih voda, določenih s Programom ukrepov upravljanja voda, </w:t>
      </w:r>
    </w:p>
    <w:p w14:paraId="5276E54D" w14:textId="77777777" w:rsidR="00B14847" w:rsidRPr="00545EC0" w:rsidRDefault="00B14847" w:rsidP="00DD37C5">
      <w:pPr>
        <w:numPr>
          <w:ilvl w:val="0"/>
          <w:numId w:val="101"/>
        </w:numPr>
        <w:overflowPunct/>
        <w:autoSpaceDE/>
        <w:autoSpaceDN/>
        <w:adjustRightInd/>
        <w:spacing w:line="260" w:lineRule="atLeast"/>
        <w:ind w:left="993" w:hanging="426"/>
        <w:textAlignment w:val="auto"/>
        <w:rPr>
          <w:rFonts w:cs="Arial"/>
          <w:szCs w:val="20"/>
        </w:rPr>
      </w:pPr>
      <w:r w:rsidRPr="00545EC0">
        <w:rPr>
          <w:rFonts w:cs="Arial"/>
          <w:szCs w:val="20"/>
        </w:rPr>
        <w:t xml:space="preserve">opredelitev omilitvenih ukrepov, v okviru katere se opredelijo omilitveni ukrepi za posamezne elemente stanja voda, </w:t>
      </w:r>
    </w:p>
    <w:p w14:paraId="36479C28" w14:textId="77777777" w:rsidR="00B14847" w:rsidRPr="00545EC0" w:rsidRDefault="00B14847" w:rsidP="00DD37C5">
      <w:pPr>
        <w:numPr>
          <w:ilvl w:val="0"/>
          <w:numId w:val="101"/>
        </w:numPr>
        <w:overflowPunct/>
        <w:autoSpaceDE/>
        <w:autoSpaceDN/>
        <w:adjustRightInd/>
        <w:spacing w:line="260" w:lineRule="atLeast"/>
        <w:ind w:left="993" w:hanging="426"/>
        <w:textAlignment w:val="auto"/>
        <w:rPr>
          <w:rFonts w:cs="Arial"/>
          <w:szCs w:val="20"/>
        </w:rPr>
      </w:pPr>
      <w:r w:rsidRPr="00545EC0">
        <w:rPr>
          <w:rFonts w:cs="Arial"/>
          <w:szCs w:val="20"/>
        </w:rPr>
        <w:t>ocena vpliva posega ob upoštevanju omilitvenih ukrepov, v okviru katere se opredeli ocena vplivov z upoštevanjem predhodno opredeljenih omilitvenih ukrepov,</w:t>
      </w:r>
    </w:p>
    <w:p w14:paraId="743E748F" w14:textId="77777777" w:rsidR="00B14847" w:rsidRPr="00545EC0" w:rsidRDefault="00B14847" w:rsidP="00DD37C5">
      <w:pPr>
        <w:numPr>
          <w:ilvl w:val="0"/>
          <w:numId w:val="101"/>
        </w:numPr>
        <w:overflowPunct/>
        <w:autoSpaceDE/>
        <w:autoSpaceDN/>
        <w:adjustRightInd/>
        <w:spacing w:line="260" w:lineRule="atLeast"/>
        <w:ind w:left="993" w:hanging="426"/>
        <w:textAlignment w:val="auto"/>
        <w:rPr>
          <w:rFonts w:cs="Arial"/>
          <w:szCs w:val="20"/>
        </w:rPr>
      </w:pPr>
      <w:r w:rsidRPr="00545EC0">
        <w:rPr>
          <w:rFonts w:cs="Arial"/>
          <w:szCs w:val="20"/>
        </w:rPr>
        <w:t>opis predvidenega izvajanja spremljanja stanja voda na vplivnem območju posega, v okviru katere se opredeli izvajanje spremljanja stanja med izvedbo in po izvedbi ukrepa,</w:t>
      </w:r>
    </w:p>
    <w:p w14:paraId="1B0A7D79" w14:textId="77777777" w:rsidR="00B14847" w:rsidRPr="00545EC0" w:rsidRDefault="00B14847" w:rsidP="00DD37C5">
      <w:pPr>
        <w:numPr>
          <w:ilvl w:val="0"/>
          <w:numId w:val="101"/>
        </w:numPr>
        <w:overflowPunct/>
        <w:autoSpaceDE/>
        <w:autoSpaceDN/>
        <w:adjustRightInd/>
        <w:spacing w:line="260" w:lineRule="atLeast"/>
        <w:ind w:left="993" w:hanging="426"/>
        <w:textAlignment w:val="auto"/>
        <w:rPr>
          <w:rFonts w:cs="Arial"/>
          <w:szCs w:val="20"/>
        </w:rPr>
      </w:pPr>
      <w:r w:rsidRPr="00545EC0">
        <w:rPr>
          <w:rFonts w:cs="Arial"/>
          <w:szCs w:val="20"/>
        </w:rPr>
        <w:t>povzetek ocene vpliva posega na stanje voda, okviru katere se poda končna ocena vpliva in opredeli, če je poseg sprejemljiv z vidika vpliva na stanje voda oziroma ni sprejemljiv in je za to potrebna utemeljitev pogojev iz člena 4(7).</w:t>
      </w:r>
    </w:p>
    <w:p w14:paraId="7C7C579B" w14:textId="77777777" w:rsidR="00B14847" w:rsidRPr="00545EC0" w:rsidRDefault="00B14847" w:rsidP="00B14847">
      <w:pPr>
        <w:rPr>
          <w:rFonts w:cs="Arial"/>
          <w:szCs w:val="20"/>
        </w:rPr>
      </w:pPr>
    </w:p>
    <w:p w14:paraId="4939CE8B" w14:textId="67E074E3" w:rsidR="00B14847" w:rsidRPr="00545EC0" w:rsidRDefault="00B14847" w:rsidP="00B14847">
      <w:pPr>
        <w:rPr>
          <w:rFonts w:cs="Arial"/>
          <w:szCs w:val="20"/>
        </w:rPr>
      </w:pPr>
      <w:r w:rsidRPr="00545EC0">
        <w:rPr>
          <w:rFonts w:cs="Arial"/>
          <w:szCs w:val="20"/>
        </w:rPr>
        <w:t>V kolikor se ugotovi, da vpliv ni sprejemljiv, je treba izvesti utemeljitev pogojev iz člena 4(7). Čl</w:t>
      </w:r>
      <w:r w:rsidR="00F07473" w:rsidRPr="00545EC0">
        <w:rPr>
          <w:rFonts w:cs="Arial"/>
          <w:szCs w:val="20"/>
        </w:rPr>
        <w:t>en 4(7) je prenesen v 56. člen z</w:t>
      </w:r>
      <w:r w:rsidRPr="00545EC0">
        <w:rPr>
          <w:rFonts w:cs="Arial"/>
          <w:szCs w:val="20"/>
        </w:rPr>
        <w:t>akona o vodah, ki podrobneje določa, katere pogoje je treba izpolniti v okviru utemeljitve nedoseganja okoljskih ciljev. V okviru postopka utemeljevanja je za odločanje pripravljen Obrazec za utemeljitev nedoseganja okoljskih ciljev zaradi novih fizičnih sprememb vodnih teles površinskih voda, v okviru katerega je potrebno podati:</w:t>
      </w:r>
    </w:p>
    <w:p w14:paraId="49B5804A" w14:textId="77777777" w:rsidR="00B14847" w:rsidRPr="00545EC0" w:rsidRDefault="00B14847" w:rsidP="00DD37C5">
      <w:pPr>
        <w:numPr>
          <w:ilvl w:val="0"/>
          <w:numId w:val="100"/>
        </w:numPr>
        <w:overflowPunct/>
        <w:autoSpaceDE/>
        <w:autoSpaceDN/>
        <w:adjustRightInd/>
        <w:spacing w:line="260" w:lineRule="atLeast"/>
        <w:textAlignment w:val="auto"/>
        <w:rPr>
          <w:rFonts w:cs="Arial"/>
          <w:szCs w:val="20"/>
        </w:rPr>
      </w:pPr>
      <w:r w:rsidRPr="00545EC0">
        <w:rPr>
          <w:rFonts w:cs="Arial"/>
          <w:szCs w:val="20"/>
        </w:rPr>
        <w:t>podatke o pobudniku,</w:t>
      </w:r>
    </w:p>
    <w:p w14:paraId="53076FE6" w14:textId="77777777" w:rsidR="00B14847" w:rsidRPr="00545EC0" w:rsidRDefault="00B14847" w:rsidP="00DD37C5">
      <w:pPr>
        <w:numPr>
          <w:ilvl w:val="0"/>
          <w:numId w:val="100"/>
        </w:numPr>
        <w:overflowPunct/>
        <w:autoSpaceDE/>
        <w:autoSpaceDN/>
        <w:adjustRightInd/>
        <w:spacing w:line="260" w:lineRule="atLeast"/>
        <w:textAlignment w:val="auto"/>
        <w:rPr>
          <w:rFonts w:cs="Arial"/>
          <w:szCs w:val="20"/>
        </w:rPr>
      </w:pPr>
      <w:r w:rsidRPr="00545EC0">
        <w:rPr>
          <w:rFonts w:cs="Arial"/>
          <w:szCs w:val="20"/>
        </w:rPr>
        <w:t>podatke o projektu (opis projekta, opredelitev vodnih teles površinskih in podzemnih voda, povzročitelj nove fizične spremembe, opredelitev ključnih obremenitev in vplivov),</w:t>
      </w:r>
    </w:p>
    <w:p w14:paraId="5F5C9C4D" w14:textId="05ADFB53" w:rsidR="00B14847" w:rsidRPr="00545EC0" w:rsidRDefault="00B14847" w:rsidP="00DD37C5">
      <w:pPr>
        <w:numPr>
          <w:ilvl w:val="0"/>
          <w:numId w:val="100"/>
        </w:numPr>
        <w:overflowPunct/>
        <w:autoSpaceDE/>
        <w:autoSpaceDN/>
        <w:adjustRightInd/>
        <w:spacing w:line="260" w:lineRule="atLeast"/>
        <w:textAlignment w:val="auto"/>
        <w:rPr>
          <w:rFonts w:cs="Arial"/>
          <w:szCs w:val="20"/>
        </w:rPr>
      </w:pPr>
      <w:r w:rsidRPr="00545EC0">
        <w:rPr>
          <w:rFonts w:cs="Arial"/>
          <w:szCs w:val="20"/>
        </w:rPr>
        <w:t>izpolnjevanje pogoj</w:t>
      </w:r>
      <w:r w:rsidR="00F07473" w:rsidRPr="00545EC0">
        <w:rPr>
          <w:rFonts w:cs="Arial"/>
          <w:szCs w:val="20"/>
        </w:rPr>
        <w:t>ev tretjega odstavka 56. člena z</w:t>
      </w:r>
      <w:r w:rsidRPr="00545EC0">
        <w:rPr>
          <w:rFonts w:cs="Arial"/>
          <w:szCs w:val="20"/>
        </w:rPr>
        <w:t>akona o vodah:</w:t>
      </w:r>
    </w:p>
    <w:p w14:paraId="7EE51654" w14:textId="77777777" w:rsidR="00B14847" w:rsidRPr="00545EC0" w:rsidRDefault="00B14847" w:rsidP="00DD37C5">
      <w:pPr>
        <w:numPr>
          <w:ilvl w:val="1"/>
          <w:numId w:val="100"/>
        </w:numPr>
        <w:overflowPunct/>
        <w:autoSpaceDE/>
        <w:autoSpaceDN/>
        <w:adjustRightInd/>
        <w:spacing w:line="260" w:lineRule="atLeast"/>
        <w:textAlignment w:val="auto"/>
        <w:rPr>
          <w:rFonts w:cs="Arial"/>
          <w:szCs w:val="20"/>
        </w:rPr>
      </w:pPr>
      <w:r w:rsidRPr="00545EC0">
        <w:rPr>
          <w:rFonts w:cs="Arial"/>
          <w:szCs w:val="20"/>
        </w:rPr>
        <w:t>Izpolnjevanje pogoja (1): javni interes in koristi,</w:t>
      </w:r>
    </w:p>
    <w:p w14:paraId="359684FC" w14:textId="77777777" w:rsidR="00B14847" w:rsidRPr="00545EC0" w:rsidRDefault="00B14847" w:rsidP="00DD37C5">
      <w:pPr>
        <w:numPr>
          <w:ilvl w:val="1"/>
          <w:numId w:val="100"/>
        </w:numPr>
        <w:overflowPunct/>
        <w:autoSpaceDE/>
        <w:autoSpaceDN/>
        <w:adjustRightInd/>
        <w:spacing w:line="260" w:lineRule="atLeast"/>
        <w:textAlignment w:val="auto"/>
        <w:rPr>
          <w:rFonts w:cs="Arial"/>
          <w:szCs w:val="20"/>
        </w:rPr>
      </w:pPr>
      <w:r w:rsidRPr="00545EC0">
        <w:rPr>
          <w:rFonts w:cs="Arial"/>
          <w:szCs w:val="20"/>
        </w:rPr>
        <w:t>Izpolnjevanje pogoja (2): drugi načini za doseganje koristnih ciljev,</w:t>
      </w:r>
    </w:p>
    <w:p w14:paraId="6A7883BF" w14:textId="77777777" w:rsidR="00B14847" w:rsidRPr="00545EC0" w:rsidRDefault="00B14847" w:rsidP="00DD37C5">
      <w:pPr>
        <w:numPr>
          <w:ilvl w:val="1"/>
          <w:numId w:val="100"/>
        </w:numPr>
        <w:overflowPunct/>
        <w:autoSpaceDE/>
        <w:autoSpaceDN/>
        <w:adjustRightInd/>
        <w:spacing w:line="260" w:lineRule="atLeast"/>
        <w:textAlignment w:val="auto"/>
        <w:rPr>
          <w:rFonts w:cs="Arial"/>
          <w:szCs w:val="20"/>
        </w:rPr>
      </w:pPr>
      <w:r w:rsidRPr="00545EC0">
        <w:rPr>
          <w:rFonts w:cs="Arial"/>
          <w:szCs w:val="20"/>
        </w:rPr>
        <w:t>Izpolnjevanje pogoja (3): tehnično izvedljivi in sorazmerni ukrepi,</w:t>
      </w:r>
    </w:p>
    <w:p w14:paraId="2C632C2D" w14:textId="77777777" w:rsidR="00B14847" w:rsidRPr="00545EC0" w:rsidRDefault="00B14847" w:rsidP="00DD37C5">
      <w:pPr>
        <w:numPr>
          <w:ilvl w:val="1"/>
          <w:numId w:val="100"/>
        </w:numPr>
        <w:overflowPunct/>
        <w:autoSpaceDE/>
        <w:autoSpaceDN/>
        <w:adjustRightInd/>
        <w:spacing w:line="260" w:lineRule="atLeast"/>
        <w:textAlignment w:val="auto"/>
        <w:rPr>
          <w:rFonts w:cs="Arial"/>
          <w:szCs w:val="20"/>
        </w:rPr>
      </w:pPr>
      <w:r w:rsidRPr="00545EC0">
        <w:rPr>
          <w:rFonts w:cs="Arial"/>
          <w:szCs w:val="20"/>
        </w:rPr>
        <w:t>Izpolnjevanje pogoja (4): navedba razlogov za poseg v dokumentih,</w:t>
      </w:r>
    </w:p>
    <w:p w14:paraId="73A28280" w14:textId="77777777" w:rsidR="00B14847" w:rsidRPr="00545EC0" w:rsidRDefault="00B14847" w:rsidP="00DD37C5">
      <w:pPr>
        <w:numPr>
          <w:ilvl w:val="1"/>
          <w:numId w:val="100"/>
        </w:numPr>
        <w:overflowPunct/>
        <w:autoSpaceDE/>
        <w:autoSpaceDN/>
        <w:adjustRightInd/>
        <w:spacing w:line="260" w:lineRule="atLeast"/>
        <w:textAlignment w:val="auto"/>
        <w:rPr>
          <w:rFonts w:cs="Arial"/>
          <w:szCs w:val="20"/>
        </w:rPr>
      </w:pPr>
      <w:r w:rsidRPr="00545EC0">
        <w:rPr>
          <w:rFonts w:cs="Arial"/>
          <w:szCs w:val="20"/>
        </w:rPr>
        <w:t>Izpolnjevanje pogojev (5): vplivi na druga vodna telesa.</w:t>
      </w:r>
    </w:p>
    <w:p w14:paraId="07A9756E" w14:textId="77777777" w:rsidR="00D048F5" w:rsidRPr="00545EC0" w:rsidRDefault="00D048F5" w:rsidP="00D048F5">
      <w:pPr>
        <w:pStyle w:val="Navadensplet"/>
        <w:shd w:val="clear" w:color="auto" w:fill="FFFFFF"/>
        <w:rPr>
          <w:rFonts w:ascii="Arial" w:hAnsi="Arial" w:cs="Arial"/>
          <w:color w:val="auto"/>
          <w:sz w:val="20"/>
          <w:szCs w:val="20"/>
        </w:rPr>
      </w:pPr>
    </w:p>
    <w:p w14:paraId="6FE036F6" w14:textId="3CB1345E" w:rsidR="00D048F5" w:rsidRPr="00545EC0" w:rsidRDefault="00D048F5" w:rsidP="00D048F5">
      <w:pPr>
        <w:pStyle w:val="Navadensplet"/>
        <w:shd w:val="clear" w:color="auto" w:fill="FFFFFF"/>
        <w:rPr>
          <w:rFonts w:ascii="Arial" w:hAnsi="Arial" w:cs="Arial"/>
          <w:color w:val="auto"/>
          <w:sz w:val="20"/>
          <w:szCs w:val="20"/>
        </w:rPr>
      </w:pPr>
      <w:r w:rsidRPr="00545EC0">
        <w:rPr>
          <w:rFonts w:ascii="Arial" w:hAnsi="Arial" w:cs="Arial"/>
          <w:color w:val="auto"/>
          <w:sz w:val="20"/>
          <w:szCs w:val="20"/>
        </w:rPr>
        <w:t>Razloge in spremembe za odstopanje od okoljskih ciljev, ki so nav</w:t>
      </w:r>
      <w:r w:rsidR="00304B50" w:rsidRPr="00545EC0">
        <w:rPr>
          <w:rFonts w:ascii="Arial" w:hAnsi="Arial" w:cs="Arial"/>
          <w:color w:val="auto"/>
          <w:sz w:val="20"/>
          <w:szCs w:val="20"/>
        </w:rPr>
        <w:t>edeni in obrazloženi v državnem prostorskem</w:t>
      </w:r>
      <w:r w:rsidRPr="00545EC0">
        <w:rPr>
          <w:rFonts w:ascii="Arial" w:hAnsi="Arial" w:cs="Arial"/>
          <w:color w:val="auto"/>
          <w:sz w:val="20"/>
          <w:szCs w:val="20"/>
        </w:rPr>
        <w:t xml:space="preserve"> načrtu ali drugemu ustreznem aktu se nato povzame v načrtu upravljanja voda.</w:t>
      </w:r>
    </w:p>
    <w:p w14:paraId="51903BD2" w14:textId="57A26EC0" w:rsidR="00CD60EF" w:rsidRPr="00545EC0" w:rsidRDefault="00CD60EF" w:rsidP="00836433">
      <w:pPr>
        <w:pStyle w:val="Navadensplet"/>
        <w:shd w:val="clear" w:color="auto" w:fill="FFFFFF"/>
        <w:rPr>
          <w:rFonts w:ascii="Arial" w:hAnsi="Arial" w:cs="Arial"/>
          <w:color w:val="auto"/>
          <w:sz w:val="20"/>
          <w:szCs w:val="20"/>
          <w:u w:val="single"/>
        </w:rPr>
      </w:pPr>
      <w:r w:rsidRPr="00545EC0">
        <w:rPr>
          <w:rFonts w:ascii="Arial" w:hAnsi="Arial" w:cs="Arial"/>
          <w:color w:val="auto"/>
          <w:sz w:val="20"/>
          <w:szCs w:val="20"/>
          <w:u w:val="single"/>
        </w:rPr>
        <w:t>Hidroelektrarna Mokrice</w:t>
      </w:r>
    </w:p>
    <w:p w14:paraId="710F37E5" w14:textId="7B235AD4" w:rsidR="00D048F5" w:rsidRPr="00545EC0" w:rsidRDefault="00494E8C" w:rsidP="00836433">
      <w:pPr>
        <w:pStyle w:val="Navadensplet"/>
        <w:shd w:val="clear" w:color="auto" w:fill="FFFFFF"/>
        <w:rPr>
          <w:rFonts w:ascii="Arial" w:hAnsi="Arial" w:cs="Arial"/>
          <w:color w:val="auto"/>
          <w:sz w:val="20"/>
          <w:szCs w:val="20"/>
        </w:rPr>
      </w:pPr>
      <w:r w:rsidRPr="00545EC0">
        <w:rPr>
          <w:rFonts w:ascii="Arial" w:hAnsi="Arial" w:cs="Arial"/>
          <w:color w:val="auto"/>
          <w:sz w:val="20"/>
          <w:szCs w:val="20"/>
        </w:rPr>
        <w:t xml:space="preserve">V postopku presoje vplivov na okolje za gradnjo HE Mokrice je bilo ugotovljeno, da bo HE Mokrice povzročila bistven vpliv na okolje in s tem poslabšanje stanja voda. Utemeljitev pogojev odstopanj od okoljskih </w:t>
      </w:r>
      <w:r w:rsidR="009423C3" w:rsidRPr="00545EC0">
        <w:rPr>
          <w:rFonts w:ascii="Arial" w:hAnsi="Arial" w:cs="Arial"/>
          <w:color w:val="auto"/>
          <w:sz w:val="20"/>
          <w:szCs w:val="20"/>
        </w:rPr>
        <w:t>c</w:t>
      </w:r>
      <w:r w:rsidRPr="00545EC0">
        <w:rPr>
          <w:rFonts w:ascii="Arial" w:hAnsi="Arial" w:cs="Arial"/>
          <w:color w:val="auto"/>
          <w:sz w:val="20"/>
          <w:szCs w:val="20"/>
        </w:rPr>
        <w:t xml:space="preserve">iljev skladno s 56. členom ZV-1 </w:t>
      </w:r>
      <w:r w:rsidR="00304B50" w:rsidRPr="00545EC0">
        <w:rPr>
          <w:rFonts w:ascii="Arial" w:hAnsi="Arial" w:cs="Arial"/>
          <w:color w:val="auto"/>
          <w:sz w:val="20"/>
          <w:szCs w:val="20"/>
        </w:rPr>
        <w:t>se</w:t>
      </w:r>
      <w:r w:rsidR="009423C3" w:rsidRPr="00545EC0">
        <w:rPr>
          <w:rFonts w:ascii="Arial" w:hAnsi="Arial" w:cs="Arial"/>
          <w:color w:val="auto"/>
          <w:sz w:val="20"/>
          <w:szCs w:val="20"/>
        </w:rPr>
        <w:t xml:space="preserve"> v skladu s 100.č členom Zakona o interventnih ukrepih za zajezitev epidemije COVID-19 in omilitev njenih posledic za državljane in gospodarstvo (Uradni list RS, št. 49/20, 61/20, 152/20 – ZZUOOP, 175/20 – ZIUOPDVE in 15/21 – ZDUOP)</w:t>
      </w:r>
      <w:r w:rsidR="00304B50" w:rsidRPr="00545EC0">
        <w:rPr>
          <w:rFonts w:ascii="Arial" w:hAnsi="Arial" w:cs="Arial"/>
          <w:color w:val="auto"/>
          <w:sz w:val="20"/>
          <w:szCs w:val="20"/>
        </w:rPr>
        <w:t xml:space="preserve"> priloži</w:t>
      </w:r>
      <w:r w:rsidRPr="00545EC0">
        <w:rPr>
          <w:rFonts w:ascii="Arial" w:hAnsi="Arial" w:cs="Arial"/>
          <w:color w:val="auto"/>
          <w:sz w:val="20"/>
          <w:szCs w:val="20"/>
        </w:rPr>
        <w:t xml:space="preserve"> v integralnem postopku za pridobitev gradbenega dovoljenja za gradnjo HE Mokrice.</w:t>
      </w:r>
    </w:p>
    <w:p w14:paraId="5714E55D" w14:textId="2C283B40" w:rsidR="00494E8C" w:rsidRPr="00545EC0" w:rsidRDefault="009423C3" w:rsidP="00836433">
      <w:pPr>
        <w:pStyle w:val="Navadensplet"/>
        <w:shd w:val="clear" w:color="auto" w:fill="FFFFFF"/>
        <w:rPr>
          <w:rFonts w:ascii="Arial" w:hAnsi="Arial" w:cs="Arial"/>
          <w:color w:val="auto"/>
          <w:sz w:val="20"/>
          <w:szCs w:val="20"/>
        </w:rPr>
      </w:pPr>
      <w:r w:rsidRPr="00545EC0">
        <w:rPr>
          <w:rFonts w:ascii="Arial" w:hAnsi="Arial" w:cs="Arial"/>
          <w:color w:val="auto"/>
          <w:sz w:val="20"/>
          <w:szCs w:val="20"/>
        </w:rPr>
        <w:t>V skladu s tretjo toč</w:t>
      </w:r>
      <w:r w:rsidR="00F07473" w:rsidRPr="00545EC0">
        <w:rPr>
          <w:rFonts w:ascii="Arial" w:hAnsi="Arial" w:cs="Arial"/>
          <w:color w:val="auto"/>
          <w:sz w:val="20"/>
          <w:szCs w:val="20"/>
        </w:rPr>
        <w:t>ko tretjega odstavka 56. člena z</w:t>
      </w:r>
      <w:r w:rsidRPr="00545EC0">
        <w:rPr>
          <w:rFonts w:ascii="Arial" w:hAnsi="Arial" w:cs="Arial"/>
          <w:color w:val="auto"/>
          <w:sz w:val="20"/>
          <w:szCs w:val="20"/>
        </w:rPr>
        <w:t xml:space="preserve">akona o vodah se v okviru primerov odstopanj od okoljskih ciljev z državnim prostorskim načrtom ali drugim aktom in celovito presojo vplivov tega akta na okolje zagotovi, da se izvedejo tehnično izvedljivi in sorazmerni ukrepi, s katerimi se ublaži škodljive vplive na stanje voda. Pri gradnji HE Mokrice se upoštevajo sorazmerni ukrepi za ublažitev škodljivih vplivov na stanje voda določeni s 55. členom </w:t>
      </w:r>
      <w:r w:rsidR="00CD60EF" w:rsidRPr="00545EC0">
        <w:rPr>
          <w:rFonts w:ascii="Arial" w:hAnsi="Arial" w:cs="Arial"/>
          <w:color w:val="auto"/>
          <w:sz w:val="20"/>
          <w:szCs w:val="20"/>
        </w:rPr>
        <w:t xml:space="preserve">predpisa, ki ureja </w:t>
      </w:r>
      <w:r w:rsidRPr="00545EC0">
        <w:rPr>
          <w:rFonts w:ascii="Arial" w:hAnsi="Arial" w:cs="Arial"/>
          <w:color w:val="auto"/>
          <w:sz w:val="20"/>
          <w:szCs w:val="20"/>
        </w:rPr>
        <w:t>državn</w:t>
      </w:r>
      <w:r w:rsidR="00CD60EF" w:rsidRPr="00545EC0">
        <w:rPr>
          <w:rFonts w:ascii="Arial" w:hAnsi="Arial" w:cs="Arial"/>
          <w:color w:val="auto"/>
          <w:sz w:val="20"/>
          <w:szCs w:val="20"/>
        </w:rPr>
        <w:t>i prostorski</w:t>
      </w:r>
      <w:r w:rsidRPr="00545EC0">
        <w:rPr>
          <w:rFonts w:ascii="Arial" w:hAnsi="Arial" w:cs="Arial"/>
          <w:color w:val="auto"/>
          <w:sz w:val="20"/>
          <w:szCs w:val="20"/>
        </w:rPr>
        <w:t xml:space="preserve"> načrt za območje hidroelektrarne Mokrice,</w:t>
      </w:r>
      <w:r w:rsidR="00CD60EF" w:rsidRPr="00545EC0">
        <w:rPr>
          <w:rFonts w:ascii="Arial" w:hAnsi="Arial" w:cs="Arial"/>
          <w:color w:val="auto"/>
          <w:sz w:val="20"/>
          <w:szCs w:val="20"/>
        </w:rPr>
        <w:t xml:space="preserve"> in</w:t>
      </w:r>
      <w:r w:rsidRPr="00545EC0">
        <w:rPr>
          <w:rFonts w:ascii="Arial" w:hAnsi="Arial" w:cs="Arial"/>
          <w:color w:val="auto"/>
          <w:sz w:val="20"/>
          <w:szCs w:val="20"/>
        </w:rPr>
        <w:t xml:space="preserve"> so povzeti v Programu ukrepov upravljanja voda (OS1a – Program temeljnih ukrepov za ublažitev škodljivih vplivov na stanje vodnih teles zaradi odstopanj od okoljskih ciljev).</w:t>
      </w:r>
    </w:p>
    <w:p w14:paraId="51A41B5E" w14:textId="77777777" w:rsidR="00CD60EF" w:rsidRPr="00545EC0" w:rsidRDefault="00CD60EF" w:rsidP="00836433">
      <w:pPr>
        <w:pStyle w:val="Navadensplet"/>
        <w:shd w:val="clear" w:color="auto" w:fill="FFFFFF"/>
        <w:rPr>
          <w:rFonts w:ascii="Arial" w:hAnsi="Arial" w:cs="Arial"/>
          <w:color w:val="auto"/>
          <w:sz w:val="20"/>
          <w:szCs w:val="20"/>
        </w:rPr>
      </w:pPr>
    </w:p>
    <w:p w14:paraId="228098DF" w14:textId="6D0586EE" w:rsidR="00836433" w:rsidRPr="00545EC0" w:rsidRDefault="00E7394C" w:rsidP="003C7C5E">
      <w:pPr>
        <w:pStyle w:val="Naslov10"/>
      </w:pPr>
      <w:bookmarkStart w:id="660" w:name="_Toc90261079"/>
      <w:r w:rsidRPr="00545EC0">
        <w:lastRenderedPageBreak/>
        <w:t>POVZETEK PROGRAMA UKREPOV</w:t>
      </w:r>
      <w:bookmarkEnd w:id="660"/>
    </w:p>
    <w:p w14:paraId="3A756AF2" w14:textId="1B3F1228" w:rsidR="005A119E" w:rsidRPr="00545EC0" w:rsidRDefault="005A119E" w:rsidP="003C7C5E">
      <w:pPr>
        <w:pStyle w:val="Naslov20"/>
      </w:pPr>
      <w:bookmarkStart w:id="661" w:name="_Toc419099317"/>
      <w:bookmarkStart w:id="662" w:name="_Toc90261080"/>
      <w:r w:rsidRPr="00545EC0">
        <w:t xml:space="preserve">Izvajanje </w:t>
      </w:r>
      <w:r w:rsidR="00DE27EE" w:rsidRPr="00545EC0">
        <w:rPr>
          <w:lang w:val="sl-SI"/>
        </w:rPr>
        <w:t>Programa ukrepov upravljanja voda</w:t>
      </w:r>
      <w:r w:rsidRPr="00545EC0">
        <w:t xml:space="preserve"> v obdobju </w:t>
      </w:r>
      <w:r w:rsidR="001A4DA1" w:rsidRPr="00545EC0">
        <w:t>20</w:t>
      </w:r>
      <w:r w:rsidR="001A4DA1" w:rsidRPr="00545EC0">
        <w:rPr>
          <w:lang w:val="sl-SI"/>
        </w:rPr>
        <w:t>16</w:t>
      </w:r>
      <w:r w:rsidR="001A4DA1" w:rsidRPr="00545EC0">
        <w:t xml:space="preserve"> </w:t>
      </w:r>
      <w:r w:rsidRPr="00545EC0">
        <w:t>do 20</w:t>
      </w:r>
      <w:r w:rsidR="001A4DA1" w:rsidRPr="00545EC0">
        <w:rPr>
          <w:lang w:val="sl-SI"/>
        </w:rPr>
        <w:t>20</w:t>
      </w:r>
      <w:bookmarkEnd w:id="661"/>
      <w:bookmarkEnd w:id="662"/>
    </w:p>
    <w:p w14:paraId="689D7794" w14:textId="0F8CB395" w:rsidR="005F6303" w:rsidRPr="00545EC0" w:rsidRDefault="005F6303" w:rsidP="005F6303">
      <w:pPr>
        <w:rPr>
          <w:rFonts w:cs="Arial"/>
        </w:rPr>
      </w:pPr>
      <w:r w:rsidRPr="00545EC0">
        <w:rPr>
          <w:rFonts w:cs="Arial"/>
        </w:rPr>
        <w:t>Slovenija je v letu 2020 pripravila poročilo o izvajanju PU NUV za obdobje od oktobra 2016 do septembra 2018. O izvajanju ukrepov PU NUV je junija 2020</w:t>
      </w:r>
      <w:r w:rsidR="00E128E5" w:rsidRPr="00545EC0">
        <w:rPr>
          <w:rFonts w:cs="Arial"/>
        </w:rPr>
        <w:t xml:space="preserve"> </w:t>
      </w:r>
      <w:r w:rsidRPr="00545EC0">
        <w:rPr>
          <w:rFonts w:cs="Arial"/>
        </w:rPr>
        <w:t>poročala Evropski komisiji. S predmetnim poročilom sta se seznanila tudi Vlada in Državni zbor R</w:t>
      </w:r>
      <w:r w:rsidR="00926EA0" w:rsidRPr="00545EC0">
        <w:rPr>
          <w:rFonts w:cs="Arial"/>
        </w:rPr>
        <w:t xml:space="preserve">epublike </w:t>
      </w:r>
      <w:r w:rsidRPr="00545EC0">
        <w:rPr>
          <w:rFonts w:cs="Arial"/>
        </w:rPr>
        <w:t>S</w:t>
      </w:r>
      <w:r w:rsidR="00926EA0" w:rsidRPr="00545EC0">
        <w:rPr>
          <w:rFonts w:cs="Arial"/>
        </w:rPr>
        <w:t>lovenije</w:t>
      </w:r>
      <w:r w:rsidRPr="00545EC0">
        <w:rPr>
          <w:rFonts w:cs="Arial"/>
        </w:rPr>
        <w:t xml:space="preserve">. </w:t>
      </w:r>
    </w:p>
    <w:p w14:paraId="7C01642B" w14:textId="77777777" w:rsidR="005F6303" w:rsidRPr="00545EC0" w:rsidRDefault="005F6303" w:rsidP="005F6303">
      <w:pPr>
        <w:rPr>
          <w:rFonts w:cs="Arial"/>
        </w:rPr>
      </w:pPr>
    </w:p>
    <w:p w14:paraId="5C6CCC0B" w14:textId="1D9D5886" w:rsidR="005F6303" w:rsidRPr="00545EC0" w:rsidRDefault="005F6303" w:rsidP="005F6303">
      <w:pPr>
        <w:rPr>
          <w:rFonts w:cs="Arial"/>
        </w:rPr>
      </w:pPr>
      <w:r w:rsidRPr="00545EC0">
        <w:rPr>
          <w:rFonts w:cs="Arial"/>
        </w:rPr>
        <w:t>Iz novega poročila izhaja, da je bila</w:t>
      </w:r>
      <w:r w:rsidR="00C20CED" w:rsidRPr="00545EC0">
        <w:rPr>
          <w:rFonts w:cs="Arial"/>
        </w:rPr>
        <w:t xml:space="preserve"> Republika</w:t>
      </w:r>
      <w:r w:rsidRPr="00545EC0">
        <w:rPr>
          <w:rFonts w:cs="Arial"/>
        </w:rPr>
        <w:t xml:space="preserve"> </w:t>
      </w:r>
      <w:r w:rsidR="00926EA0" w:rsidRPr="00545EC0">
        <w:rPr>
          <w:rFonts w:cs="Arial"/>
        </w:rPr>
        <w:t xml:space="preserve">Slovenija </w:t>
      </w:r>
      <w:r w:rsidRPr="00545EC0">
        <w:rPr>
          <w:rFonts w:cs="Arial"/>
        </w:rPr>
        <w:t xml:space="preserve">pri izvajanju ukrepov uspešna. </w:t>
      </w:r>
      <w:r w:rsidR="00C20CED" w:rsidRPr="00545EC0">
        <w:rPr>
          <w:rFonts w:cs="Arial"/>
        </w:rPr>
        <w:t xml:space="preserve">V primerjavi s predhodnim programom ukrepov, ki je veljal za prejšnje programsko obdobje 2011–2015, se je večina ukrepov v obodbju 2016 – 2018 izvajala, nekateri ukrepi pa so bili že izvedeni in zaključeni. </w:t>
      </w:r>
      <w:r w:rsidRPr="00545EC0">
        <w:rPr>
          <w:rFonts w:cs="Arial"/>
        </w:rPr>
        <w:t xml:space="preserve">Ocena stroškov za program ukrepov upravljanja voda v obdobju 2016 do 2020 je bila leta 2015 ocenjena </w:t>
      </w:r>
      <w:r w:rsidR="00E128E5" w:rsidRPr="00545EC0">
        <w:rPr>
          <w:rFonts w:cs="Arial"/>
        </w:rPr>
        <w:t>na</w:t>
      </w:r>
      <w:r w:rsidRPr="00545EC0">
        <w:rPr>
          <w:rFonts w:cs="Arial"/>
        </w:rPr>
        <w:t xml:space="preserve"> 1.334 mrd EUR za izvajanje temeljnih ukrepov in 45,3 mio EUR za izvajanje </w:t>
      </w:r>
      <w:r w:rsidR="00567AB6" w:rsidRPr="00545EC0">
        <w:rPr>
          <w:rFonts w:cs="Arial"/>
        </w:rPr>
        <w:t xml:space="preserve">dopolnilnih </w:t>
      </w:r>
      <w:r w:rsidRPr="00545EC0">
        <w:rPr>
          <w:rFonts w:cs="Arial"/>
        </w:rPr>
        <w:t xml:space="preserve">ukrepov. </w:t>
      </w:r>
    </w:p>
    <w:p w14:paraId="54DC9697" w14:textId="77777777" w:rsidR="005F6303" w:rsidRPr="00545EC0" w:rsidRDefault="005F6303" w:rsidP="005F6303">
      <w:pPr>
        <w:rPr>
          <w:rFonts w:cs="Arial"/>
        </w:rPr>
      </w:pPr>
    </w:p>
    <w:p w14:paraId="2D89FB78" w14:textId="4F716BE0" w:rsidR="005F6303" w:rsidRPr="00545EC0" w:rsidRDefault="005F6303" w:rsidP="005F6303">
      <w:pPr>
        <w:rPr>
          <w:rFonts w:cs="Arial"/>
        </w:rPr>
      </w:pPr>
      <w:r w:rsidRPr="00545EC0">
        <w:rPr>
          <w:rFonts w:cs="Arial"/>
        </w:rPr>
        <w:t>Iz pregleda stanja izvajanja PU NUV (Poročilo o izvajanju PU NUV v obdobju od oktobra 2016 do septembra 2018) izhaja, da je od skupno 7</w:t>
      </w:r>
      <w:r w:rsidR="00A71C57" w:rsidRPr="00545EC0">
        <w:rPr>
          <w:rFonts w:cs="Arial"/>
        </w:rPr>
        <w:t>1</w:t>
      </w:r>
      <w:r w:rsidRPr="00545EC0">
        <w:rPr>
          <w:rFonts w:cs="Arial"/>
        </w:rPr>
        <w:t xml:space="preserve"> temeljnih ukrepov:</w:t>
      </w:r>
    </w:p>
    <w:p w14:paraId="6ABF8895" w14:textId="6DFE34C1" w:rsidR="005F6303" w:rsidRPr="00545EC0" w:rsidRDefault="00A71C57" w:rsidP="00DD37C5">
      <w:pPr>
        <w:pStyle w:val="Odstavekseznama"/>
        <w:numPr>
          <w:ilvl w:val="0"/>
          <w:numId w:val="83"/>
        </w:numPr>
        <w:rPr>
          <w:rFonts w:cs="Arial"/>
        </w:rPr>
      </w:pPr>
      <w:r w:rsidRPr="00545EC0">
        <w:rPr>
          <w:rFonts w:cs="Arial"/>
          <w:lang w:val="sl-SI"/>
        </w:rPr>
        <w:t>b</w:t>
      </w:r>
      <w:r w:rsidR="005F6303" w:rsidRPr="00545EC0">
        <w:rPr>
          <w:rFonts w:cs="Arial"/>
          <w:lang w:val="sl-SI"/>
        </w:rPr>
        <w:t xml:space="preserve">ilo v izvajanju </w:t>
      </w:r>
      <w:r w:rsidRPr="00545EC0">
        <w:rPr>
          <w:rFonts w:cs="Arial"/>
          <w:lang w:val="sl-SI"/>
        </w:rPr>
        <w:t>65</w:t>
      </w:r>
      <w:r w:rsidR="005F6303" w:rsidRPr="00545EC0">
        <w:rPr>
          <w:rFonts w:cs="Arial"/>
          <w:lang w:val="sl-SI"/>
        </w:rPr>
        <w:t xml:space="preserve"> ukrepov</w:t>
      </w:r>
      <w:r w:rsidR="00E128E5" w:rsidRPr="00545EC0">
        <w:rPr>
          <w:rFonts w:cs="Arial"/>
          <w:lang w:val="sl-SI"/>
        </w:rPr>
        <w:t xml:space="preserve"> in</w:t>
      </w:r>
    </w:p>
    <w:p w14:paraId="50E7BE94" w14:textId="4C3ACB72" w:rsidR="005F6303" w:rsidRPr="00545EC0" w:rsidRDefault="00A71C57" w:rsidP="00DD37C5">
      <w:pPr>
        <w:pStyle w:val="Odstavekseznama"/>
        <w:numPr>
          <w:ilvl w:val="0"/>
          <w:numId w:val="83"/>
        </w:numPr>
        <w:rPr>
          <w:rFonts w:cs="Arial"/>
        </w:rPr>
      </w:pPr>
      <w:r w:rsidRPr="00545EC0">
        <w:rPr>
          <w:rFonts w:cs="Arial"/>
          <w:lang w:val="sl-SI"/>
        </w:rPr>
        <w:t>s</w:t>
      </w:r>
      <w:r w:rsidR="005F6303" w:rsidRPr="00545EC0">
        <w:rPr>
          <w:rFonts w:cs="Arial"/>
          <w:lang w:val="sl-SI"/>
        </w:rPr>
        <w:t>e je izvedlo 6 ukrepov</w:t>
      </w:r>
      <w:r w:rsidR="00E128E5" w:rsidRPr="00545EC0">
        <w:rPr>
          <w:rFonts w:cs="Arial"/>
          <w:lang w:val="sl-SI"/>
        </w:rPr>
        <w:t>.</w:t>
      </w:r>
    </w:p>
    <w:p w14:paraId="658716AB" w14:textId="77777777" w:rsidR="005F6303" w:rsidRPr="00545EC0" w:rsidRDefault="005F6303" w:rsidP="005F6303">
      <w:pPr>
        <w:rPr>
          <w:rFonts w:cs="Arial"/>
        </w:rPr>
      </w:pPr>
    </w:p>
    <w:p w14:paraId="0A7D9556" w14:textId="58009EAB" w:rsidR="005F6303" w:rsidRPr="00545EC0" w:rsidRDefault="005F6303" w:rsidP="005F6303">
      <w:pPr>
        <w:rPr>
          <w:rFonts w:cs="Arial"/>
        </w:rPr>
      </w:pPr>
      <w:r w:rsidRPr="00545EC0">
        <w:rPr>
          <w:rFonts w:cs="Arial"/>
        </w:rPr>
        <w:t xml:space="preserve">Od 7 predvidenih </w:t>
      </w:r>
      <w:r w:rsidR="00567AB6" w:rsidRPr="00545EC0">
        <w:rPr>
          <w:rFonts w:cs="Arial"/>
        </w:rPr>
        <w:t xml:space="preserve">dopolnilnih </w:t>
      </w:r>
      <w:r w:rsidRPr="00545EC0">
        <w:rPr>
          <w:rFonts w:cs="Arial"/>
        </w:rPr>
        <w:t>ukrepov pa je iz poročila razvidno, da se vseh 7 ukrepov redno izvaja.</w:t>
      </w:r>
    </w:p>
    <w:p w14:paraId="0ED6B759" w14:textId="77777777" w:rsidR="005F6303" w:rsidRPr="00545EC0" w:rsidRDefault="005F6303" w:rsidP="005F6303">
      <w:pPr>
        <w:rPr>
          <w:rFonts w:cs="Arial"/>
        </w:rPr>
      </w:pPr>
    </w:p>
    <w:p w14:paraId="7FF156D7" w14:textId="57BF132B" w:rsidR="005F6303" w:rsidRPr="00545EC0" w:rsidRDefault="005F6303" w:rsidP="0010797F">
      <w:pPr>
        <w:rPr>
          <w:rFonts w:cs="Arial"/>
        </w:rPr>
      </w:pPr>
      <w:r w:rsidRPr="00545EC0">
        <w:rPr>
          <w:rFonts w:cs="Arial"/>
        </w:rPr>
        <w:t>Iz poročila izhaja, da se je glede na predhodno poročilo izvajanja ukrepov PU NUV povečalo število izvedenih ukrepov ter ukrepov v izvajanju. Urejena je bila ustrezna zakonodaja ter zagotovljena finančna sredstva za večino ukrepov. Nekaj ukrepov se izvaja delno, nekaj ukrepov pa se na dan izdelave poročila še ni začelo izvajati, so pa se začeli izvajati do konc</w:t>
      </w:r>
      <w:r w:rsidR="00537C3E" w:rsidRPr="00545EC0">
        <w:rPr>
          <w:rFonts w:cs="Arial"/>
        </w:rPr>
        <w:t>a veljavnosti PU NUV leta 2021.</w:t>
      </w:r>
    </w:p>
    <w:p w14:paraId="1D4E0F5D" w14:textId="77777777" w:rsidR="00950BE9" w:rsidRPr="00545EC0" w:rsidRDefault="00234EEA" w:rsidP="003C7C5E">
      <w:pPr>
        <w:pStyle w:val="Naslov20"/>
      </w:pPr>
      <w:bookmarkStart w:id="663" w:name="_Toc90261081"/>
      <w:r w:rsidRPr="00545EC0">
        <w:t>Povzetek temeljnih ukrepov</w:t>
      </w:r>
      <w:bookmarkEnd w:id="663"/>
      <w:r w:rsidRPr="00545EC0">
        <w:t xml:space="preserve"> </w:t>
      </w:r>
    </w:p>
    <w:p w14:paraId="56B01C41" w14:textId="2A348E61" w:rsidR="009E180D" w:rsidRPr="00545EC0" w:rsidRDefault="009E180D" w:rsidP="009E180D">
      <w:pPr>
        <w:rPr>
          <w:rFonts w:cs="Arial"/>
          <w:szCs w:val="22"/>
        </w:rPr>
      </w:pPr>
      <w:r w:rsidRPr="00545EC0">
        <w:rPr>
          <w:rFonts w:cs="Arial"/>
          <w:szCs w:val="22"/>
        </w:rPr>
        <w:t xml:space="preserve">Program ukrepov upravljanja voda (v nadaljnjem besedilu Program ukrepov) sprejme Vlada Republike Slovenije za izvedbo ciljev, opredeljenih v nacionalnem programu upravljanja z vodami in </w:t>
      </w:r>
      <w:r w:rsidR="007F4594" w:rsidRPr="00545EC0">
        <w:rPr>
          <w:rFonts w:cs="Arial"/>
          <w:szCs w:val="22"/>
        </w:rPr>
        <w:t>načrtih</w:t>
      </w:r>
      <w:r w:rsidRPr="00545EC0">
        <w:rPr>
          <w:rFonts w:cs="Arial"/>
          <w:szCs w:val="22"/>
        </w:rPr>
        <w:t xml:space="preserve"> upravljanja voda za vodni območji Donave in Jadranskega morja (v nadaljnjem besedilu NUV). Predstavlja zbir temeljnih in dopolnilnih ukrepov za doseganje okoljskih ciljev voda na vodnih telesih površinskih in podzemnih voda, ki so razdeljeni v tri skupine</w:t>
      </w:r>
      <w:r w:rsidR="00C60361" w:rsidRPr="00545EC0">
        <w:rPr>
          <w:rFonts w:cs="Arial"/>
          <w:szCs w:val="22"/>
        </w:rPr>
        <w:t xml:space="preserve"> </w:t>
      </w:r>
      <w:r w:rsidRPr="00545EC0">
        <w:rPr>
          <w:rFonts w:cs="Arial"/>
          <w:szCs w:val="22"/>
        </w:rPr>
        <w:t xml:space="preserve">(t.i. </w:t>
      </w:r>
      <w:r w:rsidRPr="00545EC0" w:rsidDel="00362003">
        <w:rPr>
          <w:rFonts w:cs="Arial"/>
          <w:szCs w:val="22"/>
        </w:rPr>
        <w:t xml:space="preserve"> </w:t>
      </w:r>
      <w:r w:rsidRPr="00545EC0">
        <w:rPr>
          <w:rFonts w:cs="Arial"/>
          <w:szCs w:val="22"/>
        </w:rPr>
        <w:t>temeljni ukrepi »a«, temeljni ukrepi »b« in dopolnilni ukrepi)</w:t>
      </w:r>
    </w:p>
    <w:p w14:paraId="3D38CFAB" w14:textId="77777777" w:rsidR="009E180D" w:rsidRPr="00545EC0" w:rsidRDefault="009E180D" w:rsidP="009E180D">
      <w:pPr>
        <w:rPr>
          <w:rFonts w:cs="Arial"/>
          <w:szCs w:val="22"/>
        </w:rPr>
      </w:pPr>
    </w:p>
    <w:p w14:paraId="478395BB" w14:textId="77777777" w:rsidR="009E180D" w:rsidRPr="00545EC0" w:rsidRDefault="009E180D" w:rsidP="009E180D">
      <w:pPr>
        <w:rPr>
          <w:rFonts w:cs="Arial"/>
          <w:szCs w:val="22"/>
        </w:rPr>
      </w:pPr>
      <w:r w:rsidRPr="00545EC0">
        <w:rPr>
          <w:rFonts w:cs="Arial"/>
          <w:szCs w:val="22"/>
          <w:shd w:val="clear" w:color="auto" w:fill="FFFFFF"/>
        </w:rPr>
        <w:t xml:space="preserve">Temeljni ukrepi »a« so ukrepi, ki se že izvajajo na podlagi predpisov, ki urejajo področje voda, varstva okolja, ohranjanje narave in ribištva. </w:t>
      </w:r>
      <w:r w:rsidRPr="00545EC0">
        <w:rPr>
          <w:rFonts w:cs="Arial"/>
          <w:szCs w:val="22"/>
        </w:rPr>
        <w:t xml:space="preserve">Ukrepi izhajajo iz slovenske zakonodaje za področja varstva površinskih in podzemnih voda, urejanja voda, rabe površinskih in podzemnih voda in ekonomskih inštrumentov. Gre za ukrepe, skupne vodne politike, ki se v skladu z določili </w:t>
      </w:r>
      <w:r w:rsidR="00E84F57" w:rsidRPr="00545EC0">
        <w:rPr>
          <w:rFonts w:cs="Arial"/>
          <w:szCs w:val="22"/>
        </w:rPr>
        <w:t xml:space="preserve">vodne direktive </w:t>
      </w:r>
      <w:r w:rsidRPr="00545EC0">
        <w:rPr>
          <w:rFonts w:cs="Arial"/>
          <w:szCs w:val="22"/>
        </w:rPr>
        <w:t xml:space="preserve">upoštevajo pri pripravi </w:t>
      </w:r>
      <w:r w:rsidR="00E84F57" w:rsidRPr="00545EC0">
        <w:rPr>
          <w:rFonts w:cs="Arial"/>
          <w:szCs w:val="22"/>
        </w:rPr>
        <w:t>n</w:t>
      </w:r>
      <w:r w:rsidRPr="00545EC0">
        <w:rPr>
          <w:rFonts w:cs="Arial"/>
          <w:szCs w:val="22"/>
        </w:rPr>
        <w:t xml:space="preserve">ačrtov upravljanja voda.  </w:t>
      </w:r>
    </w:p>
    <w:p w14:paraId="1E141322" w14:textId="77777777" w:rsidR="009E180D" w:rsidRPr="00545EC0" w:rsidRDefault="009E180D" w:rsidP="009E180D">
      <w:pPr>
        <w:rPr>
          <w:rFonts w:cs="Arial"/>
          <w:szCs w:val="22"/>
          <w:shd w:val="clear" w:color="auto" w:fill="FFFFFF"/>
        </w:rPr>
      </w:pPr>
    </w:p>
    <w:p w14:paraId="032EBDEC" w14:textId="77777777" w:rsidR="009E180D" w:rsidRPr="00545EC0" w:rsidRDefault="009E180D" w:rsidP="009E180D">
      <w:pPr>
        <w:rPr>
          <w:rFonts w:cs="Arial"/>
          <w:szCs w:val="22"/>
        </w:rPr>
      </w:pPr>
      <w:r w:rsidRPr="00545EC0">
        <w:rPr>
          <w:rFonts w:cs="Arial"/>
          <w:szCs w:val="22"/>
          <w:shd w:val="clear" w:color="auto" w:fill="FFFFFF"/>
        </w:rPr>
        <w:t xml:space="preserve">Temeljni ukrepi »b« so </w:t>
      </w:r>
      <w:r w:rsidRPr="00545EC0">
        <w:rPr>
          <w:rFonts w:cs="Arial"/>
          <w:szCs w:val="22"/>
        </w:rPr>
        <w:t>ukrepi, ki dopolnjujejo oz. nadgrajujejo aktivnosti izhajajoče iz temeljnih ukrepov »a« in odpravljajo prepoznane pravne, upravne, administrativne ali strokovno raziskovalne vrzeli.</w:t>
      </w:r>
    </w:p>
    <w:p w14:paraId="3338AD8C" w14:textId="77777777" w:rsidR="004870CA" w:rsidRPr="00545EC0" w:rsidRDefault="004870CA" w:rsidP="0010797F">
      <w:pPr>
        <w:rPr>
          <w:rFonts w:cs="Arial"/>
        </w:rPr>
      </w:pPr>
    </w:p>
    <w:p w14:paraId="2066B126" w14:textId="064DD828" w:rsidR="004870CA" w:rsidRPr="00545EC0" w:rsidRDefault="009E180D" w:rsidP="0010797F">
      <w:pPr>
        <w:rPr>
          <w:rFonts w:cs="Arial"/>
        </w:rPr>
      </w:pPr>
      <w:r w:rsidRPr="00545EC0">
        <w:rPr>
          <w:rFonts w:cs="Arial"/>
        </w:rPr>
        <w:t xml:space="preserve">Seznam </w:t>
      </w:r>
      <w:r w:rsidR="00150ED2" w:rsidRPr="00545EC0">
        <w:rPr>
          <w:rFonts w:cs="Arial"/>
        </w:rPr>
        <w:t xml:space="preserve">temeljnih ukrepov </w:t>
      </w:r>
      <w:r w:rsidR="004870CA" w:rsidRPr="00545EC0">
        <w:rPr>
          <w:rFonts w:cs="Arial"/>
        </w:rPr>
        <w:t>je podan v</w:t>
      </w:r>
      <w:r w:rsidR="00515A81" w:rsidRPr="00545EC0">
        <w:rPr>
          <w:rFonts w:cs="Arial"/>
        </w:rPr>
        <w:t xml:space="preserve"> preglednici (</w:t>
      </w:r>
      <w:r w:rsidR="004D0AE5" w:rsidRPr="00545EC0">
        <w:rPr>
          <w:rFonts w:cs="Arial"/>
        </w:rPr>
        <w:fldChar w:fldCharType="begin"/>
      </w:r>
      <w:r w:rsidR="004D0AE5" w:rsidRPr="00545EC0">
        <w:rPr>
          <w:rFonts w:cs="Arial"/>
        </w:rPr>
        <w:instrText xml:space="preserve"> REF _Ref84329387 \h </w:instrText>
      </w:r>
      <w:r w:rsidR="00F37A91" w:rsidRPr="00545EC0">
        <w:rPr>
          <w:rFonts w:cs="Arial"/>
        </w:rPr>
        <w:instrText xml:space="preserve"> \* MERGEFORMAT </w:instrText>
      </w:r>
      <w:r w:rsidR="004D0AE5" w:rsidRPr="00545EC0">
        <w:rPr>
          <w:rFonts w:cs="Arial"/>
        </w:rPr>
      </w:r>
      <w:r w:rsidR="004D0AE5" w:rsidRPr="00545EC0">
        <w:rPr>
          <w:rFonts w:cs="Arial"/>
        </w:rPr>
        <w:fldChar w:fldCharType="separate"/>
      </w:r>
      <w:r w:rsidR="002F3E43" w:rsidRPr="00545EC0">
        <w:t xml:space="preserve">Preglednica </w:t>
      </w:r>
      <w:r w:rsidR="002F3E43">
        <w:rPr>
          <w:noProof/>
        </w:rPr>
        <w:t>6</w:t>
      </w:r>
      <w:r w:rsidR="002F3E43" w:rsidRPr="00545EC0">
        <w:rPr>
          <w:noProof/>
        </w:rPr>
        <w:noBreakHyphen/>
      </w:r>
      <w:r w:rsidR="002F3E43">
        <w:rPr>
          <w:noProof/>
        </w:rPr>
        <w:t>2</w:t>
      </w:r>
      <w:r w:rsidR="004D0AE5" w:rsidRPr="00545EC0">
        <w:rPr>
          <w:rFonts w:cs="Arial"/>
        </w:rPr>
        <w:fldChar w:fldCharType="end"/>
      </w:r>
      <w:r w:rsidR="004D0AE5" w:rsidRPr="00545EC0">
        <w:rPr>
          <w:rFonts w:cs="Arial"/>
        </w:rPr>
        <w:t xml:space="preserve">). </w:t>
      </w:r>
      <w:r w:rsidR="00515A81" w:rsidRPr="00545EC0">
        <w:rPr>
          <w:rFonts w:cs="Arial"/>
        </w:rPr>
        <w:t xml:space="preserve">V </w:t>
      </w:r>
      <w:r w:rsidR="004870CA" w:rsidRPr="00545EC0">
        <w:rPr>
          <w:rFonts w:cs="Arial"/>
        </w:rPr>
        <w:t>nadaljevanju poglavja</w:t>
      </w:r>
      <w:r w:rsidR="00515A81" w:rsidRPr="00545EC0">
        <w:rPr>
          <w:rFonts w:cs="Arial"/>
        </w:rPr>
        <w:t xml:space="preserve"> je podan kratek povzetek</w:t>
      </w:r>
      <w:r w:rsidR="004870CA" w:rsidRPr="00545EC0">
        <w:rPr>
          <w:rFonts w:cs="Arial"/>
        </w:rPr>
        <w:t>.</w:t>
      </w:r>
    </w:p>
    <w:p w14:paraId="1EA6CEC1" w14:textId="7EF39B01" w:rsidR="004870CA" w:rsidRPr="00545EC0" w:rsidRDefault="004870CA" w:rsidP="005709D6">
      <w:pPr>
        <w:pStyle w:val="podnaslov0"/>
      </w:pPr>
      <w:bookmarkStart w:id="664" w:name="_Toc419099312"/>
      <w:bookmarkStart w:id="665" w:name="_Toc366228496"/>
      <w:r w:rsidRPr="00545EC0">
        <w:lastRenderedPageBreak/>
        <w:t>Program temeljnih ukrepov, ki se nanašajo na varstvo površinskih in podzemnih voda</w:t>
      </w:r>
      <w:bookmarkEnd w:id="664"/>
      <w:bookmarkEnd w:id="665"/>
    </w:p>
    <w:p w14:paraId="005694B0" w14:textId="77777777" w:rsidR="004870CA" w:rsidRPr="00545EC0" w:rsidRDefault="004870CA" w:rsidP="0010797F">
      <w:pPr>
        <w:rPr>
          <w:rFonts w:cs="Arial"/>
        </w:rPr>
      </w:pPr>
      <w:r w:rsidRPr="00545EC0">
        <w:rPr>
          <w:rFonts w:cs="Arial"/>
        </w:rPr>
        <w:t>Program temeljnih ukrepov varstva voda so vezani na področja:</w:t>
      </w:r>
    </w:p>
    <w:p w14:paraId="1492DDDC" w14:textId="77777777" w:rsidR="004870CA" w:rsidRPr="00545EC0" w:rsidRDefault="004870CA"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onesnaževanja voda,</w:t>
      </w:r>
    </w:p>
    <w:p w14:paraId="6156040F" w14:textId="77777777" w:rsidR="004870CA" w:rsidRPr="00545EC0" w:rsidRDefault="004870CA"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hidromorfoloških obremenitev,</w:t>
      </w:r>
    </w:p>
    <w:p w14:paraId="3DC732DF" w14:textId="361A0D40" w:rsidR="00833E9E" w:rsidRPr="00833E9E" w:rsidRDefault="004870CA"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bioloških obremenitev</w:t>
      </w:r>
      <w:r w:rsidR="00833E9E">
        <w:rPr>
          <w:rFonts w:cs="Arial"/>
          <w:lang w:val="sl-SI"/>
        </w:rPr>
        <w:t>,</w:t>
      </w:r>
    </w:p>
    <w:p w14:paraId="3BE69211" w14:textId="14C8E82A" w:rsidR="004870CA" w:rsidRPr="00545EC0" w:rsidRDefault="00833E9E" w:rsidP="00833E9E">
      <w:pPr>
        <w:pStyle w:val="Odstavekseznama"/>
        <w:numPr>
          <w:ilvl w:val="0"/>
          <w:numId w:val="32"/>
        </w:numPr>
        <w:tabs>
          <w:tab w:val="center" w:pos="426"/>
        </w:tabs>
        <w:overflowPunct/>
        <w:autoSpaceDE/>
        <w:autoSpaceDN/>
        <w:adjustRightInd/>
        <w:contextualSpacing/>
        <w:textAlignment w:val="auto"/>
        <w:rPr>
          <w:rFonts w:cs="Arial"/>
        </w:rPr>
      </w:pPr>
      <w:r>
        <w:rPr>
          <w:rFonts w:cs="Arial"/>
          <w:lang w:val="sl-SI"/>
        </w:rPr>
        <w:t xml:space="preserve"> </w:t>
      </w:r>
      <w:r w:rsidRPr="00833E9E">
        <w:rPr>
          <w:rFonts w:cs="Arial"/>
        </w:rPr>
        <w:t>zagotavljanje ustrezne kakovosti kopaln</w:t>
      </w:r>
      <w:r w:rsidR="00752A68">
        <w:rPr>
          <w:rFonts w:cs="Arial"/>
          <w:lang w:val="sl-SI"/>
        </w:rPr>
        <w:t>ih</w:t>
      </w:r>
      <w:r w:rsidRPr="00833E9E">
        <w:rPr>
          <w:rFonts w:cs="Arial"/>
        </w:rPr>
        <w:t xml:space="preserve"> vod</w:t>
      </w:r>
      <w:r w:rsidR="00752A68">
        <w:rPr>
          <w:rFonts w:cs="Arial"/>
          <w:lang w:val="sl-SI"/>
        </w:rPr>
        <w:t>a</w:t>
      </w:r>
      <w:r w:rsidR="004870CA" w:rsidRPr="00545EC0">
        <w:rPr>
          <w:rFonts w:cs="Arial"/>
        </w:rPr>
        <w:t>,</w:t>
      </w:r>
    </w:p>
    <w:p w14:paraId="177E6155" w14:textId="77777777" w:rsidR="004870CA" w:rsidRPr="00545EC0" w:rsidRDefault="004870CA"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območja s posebnimi zahtevami in</w:t>
      </w:r>
    </w:p>
    <w:p w14:paraId="6668B479" w14:textId="77777777" w:rsidR="004870CA" w:rsidRPr="00545EC0" w:rsidRDefault="004870CA"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ostali temeljni ukrepi.</w:t>
      </w:r>
    </w:p>
    <w:p w14:paraId="59E06171" w14:textId="77777777" w:rsidR="004870CA" w:rsidRPr="00545EC0" w:rsidRDefault="004870CA" w:rsidP="0010797F">
      <w:pPr>
        <w:rPr>
          <w:rFonts w:cs="Arial"/>
        </w:rPr>
      </w:pPr>
    </w:p>
    <w:p w14:paraId="100723F0" w14:textId="77777777" w:rsidR="004870CA" w:rsidRPr="00545EC0" w:rsidRDefault="004870CA" w:rsidP="0010797F">
      <w:pPr>
        <w:rPr>
          <w:rFonts w:cs="Arial"/>
        </w:rPr>
      </w:pPr>
      <w:r w:rsidRPr="00545EC0">
        <w:rPr>
          <w:rFonts w:cs="Arial"/>
        </w:rPr>
        <w:t>Temeljne ukrepe za področje onesnaževanja voda sestavljajo ukrepi za področje onesnaževanja iz industrijskih virov, kmetijskih virov ter onesnaževanja voda zaradi poselitve. Pri temeljnih ukrepih za področje onesnaževanja iz industrijskih virov gre za ukrepe, katerih cilj je zmanjšanje onesnaževanja iz različnih industrijskih virov, ukrepe za področje onesnaževanja iz kmetijskih virov pa sestavljajo ukrepi za preprečevanje ali nadzorovanje vnosa onesnaževal in hranil. Pri temeljnih ukrepih za področje onesnaževanja zaradi poselitve gre za zagotavljanje ustreznega odvajanja in čiščenja komunalne odpadne vode.</w:t>
      </w:r>
    </w:p>
    <w:p w14:paraId="7CFA79A3" w14:textId="77777777" w:rsidR="004870CA" w:rsidRPr="00545EC0" w:rsidRDefault="004870CA" w:rsidP="0010797F">
      <w:pPr>
        <w:rPr>
          <w:rFonts w:cs="Arial"/>
        </w:rPr>
      </w:pPr>
    </w:p>
    <w:p w14:paraId="30195F0C" w14:textId="77777777" w:rsidR="004870CA" w:rsidRPr="00545EC0" w:rsidRDefault="004870CA" w:rsidP="0010797F">
      <w:pPr>
        <w:rPr>
          <w:rFonts w:cs="Arial"/>
        </w:rPr>
      </w:pPr>
      <w:r w:rsidRPr="00545EC0">
        <w:rPr>
          <w:rFonts w:cs="Arial"/>
        </w:rPr>
        <w:t>Temeljni ukrepi na področju hidromorfoloških obremenitev so naslovljeni predvsem na okoljski cilj preprečevanje slabšanja stanja voda zaradi novih posegov v vodno okolje.</w:t>
      </w:r>
    </w:p>
    <w:p w14:paraId="58601A83" w14:textId="77777777" w:rsidR="004870CA" w:rsidRPr="00545EC0" w:rsidRDefault="004870CA" w:rsidP="0010797F">
      <w:pPr>
        <w:rPr>
          <w:rFonts w:cs="Arial"/>
        </w:rPr>
      </w:pPr>
    </w:p>
    <w:p w14:paraId="79E5F48B" w14:textId="7C2B5492" w:rsidR="00B51128" w:rsidRPr="00545EC0" w:rsidRDefault="00B51128" w:rsidP="00B51128">
      <w:pPr>
        <w:rPr>
          <w:rFonts w:cs="Arial"/>
        </w:rPr>
      </w:pPr>
      <w:r w:rsidRPr="00545EC0">
        <w:rPr>
          <w:rFonts w:cs="Arial"/>
        </w:rPr>
        <w:t xml:space="preserve">Temeljni ukrepi za področje bioloških obremenitev izhajajo zlasti iz zakona, ki ureja ohranjanje narave in zakona, ki ureja sladkovodno </w:t>
      </w:r>
      <w:r w:rsidR="003728DE" w:rsidRPr="00545EC0">
        <w:rPr>
          <w:rFonts w:cs="Arial"/>
        </w:rPr>
        <w:t>ribištvo</w:t>
      </w:r>
      <w:r w:rsidRPr="00545EC0">
        <w:rPr>
          <w:rFonts w:cs="Arial"/>
        </w:rPr>
        <w:t>. Zakon, ki ureja ohranjanje narave, prepoveduje  naseljevanje tujerodnih vrst rastlin in živali, razen v primerih, če ministrstvo izjemoma dovoli naselitev rastlin ali živali tujerodnih vrst, če se v postopku presoje tveganja za naravo ugotovi, da poseg v naravo ne bo ogrozil naravnega ravnovesja ali sestavin biotske raznovrstnosti. Številne mednarodne konvencije zavezujejo Slovenijo, da bo preprečevala vnašanje in nadzorovala ali izkoreninjala tiste tujerodne vrste, ki ogrožajo ekosisteme, habitate ali vrste.</w:t>
      </w:r>
    </w:p>
    <w:p w14:paraId="05E37A5A" w14:textId="77777777" w:rsidR="004870CA" w:rsidRPr="00545EC0" w:rsidRDefault="004870CA" w:rsidP="0010797F">
      <w:pPr>
        <w:rPr>
          <w:rFonts w:cs="Arial"/>
        </w:rPr>
      </w:pPr>
    </w:p>
    <w:p w14:paraId="33D4FC6F" w14:textId="599A8AA4" w:rsidR="00EE3271" w:rsidRPr="00545EC0" w:rsidRDefault="00EE3271" w:rsidP="00EE3271">
      <w:pPr>
        <w:rPr>
          <w:rFonts w:cs="Arial"/>
        </w:rPr>
      </w:pPr>
      <w:r w:rsidRPr="00545EC0">
        <w:rPr>
          <w:rFonts w:cs="Arial"/>
        </w:rPr>
        <w:t xml:space="preserve">Temeljni ukrepi za območja s posebnimi zahtevami izhajajo iz predpisov, ki urejajo vodovarstvena območja, </w:t>
      </w:r>
      <w:r w:rsidR="00731203" w:rsidRPr="00731203">
        <w:rPr>
          <w:rFonts w:cs="Arial"/>
        </w:rPr>
        <w:t>varstvena območja kopalnih voda</w:t>
      </w:r>
      <w:r w:rsidRPr="00545EC0">
        <w:rPr>
          <w:rFonts w:cs="Arial"/>
        </w:rPr>
        <w:t>, ogrožena območja, občutljiva območja, ranljiva območja, območja pomembna za življenje in rast morskih školjk in morskih polžev, območja salmonidnih in ciprinidnih voda, zavarovana in varovana območja v skladu s predpisi, ki urejajo ohranjanje narave, ter območja varstvenih voda v skladu s predpisi, ki urejajo ribištvo.</w:t>
      </w:r>
    </w:p>
    <w:p w14:paraId="6C2771E1" w14:textId="77777777" w:rsidR="004870CA" w:rsidRPr="00545EC0" w:rsidRDefault="004870CA" w:rsidP="0010797F">
      <w:pPr>
        <w:rPr>
          <w:rFonts w:cs="Arial"/>
        </w:rPr>
      </w:pPr>
    </w:p>
    <w:p w14:paraId="4048BD73" w14:textId="77777777" w:rsidR="004870CA" w:rsidRPr="00545EC0" w:rsidRDefault="004870CA" w:rsidP="0010797F">
      <w:pPr>
        <w:rPr>
          <w:rFonts w:cs="Arial"/>
        </w:rPr>
      </w:pPr>
      <w:r w:rsidRPr="00545EC0">
        <w:rPr>
          <w:rFonts w:cs="Arial"/>
        </w:rPr>
        <w:t>Med ostalimi temeljnimi ukrepi so zajeti predvsem ukrepi, s katerimi se ureja področje onesnaževanja zaradi incidentnih dogodkov, ukrepi za varstvo pred onesnaževanjem zaradi nesreč pri prevozu nevarnega blaga v prometu ter ob jedrskih nesrečah, ukrepi v zvezi s čezmejnim onesnaževanjem ter ukrepi za ublažitev škodljivih vplivov na stanje VT, kjer so predvidena odstopanja od okoljskih ciljev.</w:t>
      </w:r>
    </w:p>
    <w:p w14:paraId="4198C729" w14:textId="77777777" w:rsidR="004870CA" w:rsidRPr="00545EC0" w:rsidRDefault="004870CA" w:rsidP="005709D6">
      <w:pPr>
        <w:pStyle w:val="podnaslov0"/>
      </w:pPr>
      <w:bookmarkStart w:id="666" w:name="_Toc419099313"/>
      <w:r w:rsidRPr="00545EC0">
        <w:t>Program temeljnih ukrepov, ki se nanašajo na urejanje voda</w:t>
      </w:r>
      <w:bookmarkEnd w:id="666"/>
    </w:p>
    <w:p w14:paraId="1D1D3654" w14:textId="77777777" w:rsidR="004870CA" w:rsidRPr="00545EC0" w:rsidRDefault="004870CA" w:rsidP="0010797F">
      <w:pPr>
        <w:rPr>
          <w:rFonts w:cs="Arial"/>
        </w:rPr>
      </w:pPr>
      <w:r w:rsidRPr="00545EC0">
        <w:rPr>
          <w:rFonts w:cs="Arial"/>
        </w:rPr>
        <w:t>Program temeljnih ukrepov, ki se nanašajo na urejanje voda, je vezan na naslednje sklope:</w:t>
      </w:r>
    </w:p>
    <w:p w14:paraId="04BA0478" w14:textId="77777777" w:rsidR="004870CA" w:rsidRPr="00545EC0" w:rsidRDefault="004870CA"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ohranjanje in uravnavanje vodnih količin,</w:t>
      </w:r>
    </w:p>
    <w:p w14:paraId="6F4A1BCD" w14:textId="77777777" w:rsidR="004870CA" w:rsidRPr="00545EC0" w:rsidRDefault="004870CA"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varstvo pred škodljivim delovanjem voda,</w:t>
      </w:r>
    </w:p>
    <w:p w14:paraId="091967C2" w14:textId="77777777" w:rsidR="004870CA" w:rsidRPr="00545EC0" w:rsidRDefault="004870CA"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vzdrževanje vodnih in priobalnih zemljišč in</w:t>
      </w:r>
    </w:p>
    <w:p w14:paraId="2EAE40B0" w14:textId="77777777" w:rsidR="004870CA" w:rsidRPr="00545EC0" w:rsidRDefault="004870CA"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izboljšanje hidromorfološkega stanja površinskih voda.</w:t>
      </w:r>
    </w:p>
    <w:p w14:paraId="6DF47727" w14:textId="77777777" w:rsidR="004870CA" w:rsidRPr="00545EC0" w:rsidRDefault="004870CA" w:rsidP="0010797F">
      <w:pPr>
        <w:rPr>
          <w:rFonts w:cs="Arial"/>
        </w:rPr>
      </w:pPr>
    </w:p>
    <w:p w14:paraId="568BFD7D" w14:textId="2B3AE34F" w:rsidR="004870CA" w:rsidRPr="00545EC0" w:rsidRDefault="004870CA" w:rsidP="0010797F">
      <w:pPr>
        <w:rPr>
          <w:rFonts w:cs="Arial"/>
        </w:rPr>
      </w:pPr>
      <w:r w:rsidRPr="00545EC0">
        <w:rPr>
          <w:rFonts w:cs="Arial"/>
        </w:rPr>
        <w:t xml:space="preserve">Vsi ukrepi za področje urejanja voda se morajo presojati in izvajati v skladu s skupnim ciljem upravljanja voda – </w:t>
      </w:r>
      <w:r w:rsidR="004E2049" w:rsidRPr="004E2049">
        <w:rPr>
          <w:rFonts w:cs="Arial"/>
        </w:rPr>
        <w:t>doseganjem dobrega stanja oziroma preprečitev poslabšanja stanja vodnih teles</w:t>
      </w:r>
      <w:r w:rsidRPr="00545EC0">
        <w:rPr>
          <w:rFonts w:cs="Arial"/>
        </w:rPr>
        <w:t xml:space="preserve">, </w:t>
      </w:r>
      <w:r w:rsidRPr="00545EC0">
        <w:rPr>
          <w:rFonts w:cs="Arial"/>
        </w:rPr>
        <w:lastRenderedPageBreak/>
        <w:t>torej je ureditve voda treba v največji možni meri izvajati le na območjih, kjer je to nujno potrebno za zmanjšanje stopnje ogroženosti zdravja ljudi, naravnega okolja, gospodarskih dejavnosti ali kulturne dediščine. Ukrepi urejanja voda se nanašajo na vodne količine, škodljivo delovanje voda, vzdrževanje vodotokov in izboljšanje njihovega hidromorfološkega stanja.</w:t>
      </w:r>
    </w:p>
    <w:p w14:paraId="53889B05" w14:textId="77777777" w:rsidR="004870CA" w:rsidRPr="00545EC0" w:rsidRDefault="004870CA" w:rsidP="005709D6">
      <w:pPr>
        <w:pStyle w:val="podnaslov0"/>
      </w:pPr>
      <w:bookmarkStart w:id="667" w:name="_Toc419099314"/>
      <w:r w:rsidRPr="00545EC0">
        <w:t>Program temeljnih ukrepov, ki se nanašajo na rabo voda</w:t>
      </w:r>
      <w:bookmarkEnd w:id="667"/>
    </w:p>
    <w:p w14:paraId="3AAFFD43" w14:textId="77777777" w:rsidR="004870CA" w:rsidRPr="00545EC0" w:rsidRDefault="004870CA" w:rsidP="0010797F">
      <w:pPr>
        <w:rPr>
          <w:rFonts w:cs="Arial"/>
        </w:rPr>
      </w:pPr>
      <w:r w:rsidRPr="00545EC0">
        <w:rPr>
          <w:rFonts w:cs="Arial"/>
        </w:rPr>
        <w:t>Program temeljnih ukrepov, ki se nanašajo na rabo voda, je vezan na naslednje sklope:</w:t>
      </w:r>
    </w:p>
    <w:p w14:paraId="0C93C324" w14:textId="77777777" w:rsidR="004870CA" w:rsidRPr="00545EC0" w:rsidRDefault="004870CA"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ukrepi za spodbujanje trajnostne rabe vode in</w:t>
      </w:r>
    </w:p>
    <w:p w14:paraId="1BB200B7" w14:textId="77777777" w:rsidR="004870CA" w:rsidRPr="00545EC0" w:rsidRDefault="004870CA"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ukrepi, ki se nanašajo na dovoljevanje rabe vode.</w:t>
      </w:r>
    </w:p>
    <w:p w14:paraId="16D22EA5" w14:textId="77777777" w:rsidR="004870CA" w:rsidRPr="00545EC0" w:rsidRDefault="004870CA" w:rsidP="0010797F">
      <w:pPr>
        <w:rPr>
          <w:rFonts w:cs="Arial"/>
        </w:rPr>
      </w:pPr>
    </w:p>
    <w:p w14:paraId="18543255" w14:textId="77777777" w:rsidR="004870CA" w:rsidRPr="00545EC0" w:rsidRDefault="004870CA" w:rsidP="0010797F">
      <w:pPr>
        <w:rPr>
          <w:rFonts w:cs="Arial"/>
        </w:rPr>
      </w:pPr>
      <w:r w:rsidRPr="00545EC0">
        <w:rPr>
          <w:rFonts w:cs="Arial"/>
        </w:rPr>
        <w:t>Temeljne ukrepe za spodbujanje trajnostne rabe vode sestavljajo zlasti zagotavljanje nadzora nad odvzemi in zajezitvami voda, inšpekcijski nadzor rabe voda, zagotavljanje oskrbe prebivalcev s pitno vodo ter uvajanje učinkovite rabe vode v kmetijstvu in prilagoditev vrste in način kmetovanja.</w:t>
      </w:r>
    </w:p>
    <w:p w14:paraId="711B97CE" w14:textId="77777777" w:rsidR="004870CA" w:rsidRPr="00545EC0" w:rsidRDefault="004870CA" w:rsidP="0010797F">
      <w:pPr>
        <w:rPr>
          <w:rFonts w:cs="Arial"/>
        </w:rPr>
      </w:pPr>
    </w:p>
    <w:p w14:paraId="4A9BAB21" w14:textId="77777777" w:rsidR="004870CA" w:rsidRPr="00545EC0" w:rsidRDefault="004870CA" w:rsidP="0010797F">
      <w:pPr>
        <w:rPr>
          <w:rFonts w:cs="Arial"/>
        </w:rPr>
      </w:pPr>
      <w:r w:rsidRPr="00545EC0">
        <w:rPr>
          <w:rFonts w:cs="Arial"/>
        </w:rPr>
        <w:t>Pri temeljnih ukrepih, ki se nanašajo na dovoljevanje rabe vode pa gre predvsem za omejitve, prepovedi in pogoje rabe vode in naplavin.</w:t>
      </w:r>
    </w:p>
    <w:p w14:paraId="5100DD0A" w14:textId="77777777" w:rsidR="004870CA" w:rsidRPr="00545EC0" w:rsidRDefault="004870CA" w:rsidP="005709D6">
      <w:pPr>
        <w:pStyle w:val="podnaslov0"/>
      </w:pPr>
      <w:bookmarkStart w:id="668" w:name="_Toc419099315"/>
      <w:bookmarkStart w:id="669" w:name="_Toc366228499"/>
      <w:r w:rsidRPr="00545EC0">
        <w:t>Program temeljnih ukrepov – ekonomski in</w:t>
      </w:r>
      <w:r w:rsidR="00247695" w:rsidRPr="00545EC0">
        <w:t>s</w:t>
      </w:r>
      <w:r w:rsidRPr="00545EC0">
        <w:t>trumenti</w:t>
      </w:r>
      <w:bookmarkEnd w:id="668"/>
      <w:bookmarkEnd w:id="669"/>
    </w:p>
    <w:p w14:paraId="292CB07C" w14:textId="77777777" w:rsidR="004870CA" w:rsidRPr="00545EC0" w:rsidRDefault="004870CA" w:rsidP="0010797F">
      <w:pPr>
        <w:rPr>
          <w:rFonts w:cs="Arial"/>
        </w:rPr>
      </w:pPr>
      <w:r w:rsidRPr="00545EC0">
        <w:rPr>
          <w:rFonts w:cs="Arial"/>
        </w:rPr>
        <w:t xml:space="preserve">Upravljanje voda temelji na načelu povračila stroškov, ki pri obremenjevanju voda nastanejo. Skladno z načelom »plača povzročitelj obremenitve« je </w:t>
      </w:r>
      <w:r w:rsidR="000254B9" w:rsidRPr="00545EC0">
        <w:rPr>
          <w:rFonts w:cs="Arial"/>
        </w:rPr>
        <w:t xml:space="preserve">treba </w:t>
      </w:r>
      <w:r w:rsidRPr="00545EC0">
        <w:rPr>
          <w:rFonts w:cs="Arial"/>
        </w:rPr>
        <w:t>zagotoviti ustrezen prispevek povzročiteljev obremenitev k povračilu ne samo finančnih temveč tudi okoljskih stroškov in stroškov vode kot naravnega vira. Pomembno je, da plačila za obremenjevanje voda uporabnike spodbujajo h gospodarni rabi naravnih virov.</w:t>
      </w:r>
    </w:p>
    <w:p w14:paraId="327B5572" w14:textId="77777777" w:rsidR="004870CA" w:rsidRPr="00545EC0" w:rsidRDefault="004870CA" w:rsidP="0010797F">
      <w:pPr>
        <w:rPr>
          <w:rFonts w:cs="Arial"/>
        </w:rPr>
      </w:pPr>
    </w:p>
    <w:p w14:paraId="4089CC6F" w14:textId="77777777" w:rsidR="004870CA" w:rsidRPr="00545EC0" w:rsidRDefault="004870CA" w:rsidP="0010797F">
      <w:pPr>
        <w:rPr>
          <w:rFonts w:cs="Arial"/>
        </w:rPr>
      </w:pPr>
      <w:r w:rsidRPr="00545EC0">
        <w:rPr>
          <w:rFonts w:cs="Arial"/>
        </w:rPr>
        <w:t>Povračilo stroškov je ključno za spodbujanje trajnostne uporabe naravnih virov. Izvajalci storitev, povezanih z obremenjevanjem voda, povzročajo stroške (okoljske stroške, stroške vode kot naravnega vira…). Zahteva, da te stroške krijejo povzročitelji sami (v skladu z načelom »plača povzročitelj obremenitve«) spodbudi izvajalce h gospodarni uporabi naravnih virov in k uvedbi novih tehnologij, ki manj obremenjujejo vode. Gospodarna uporaba naravnega vira je osnovni pogoj za ohranjanje razmer, ki omogočajo dolgoročno izvajanje storitev, povezanih z obremenjevanjem voda. Prekomerna uporaba naravnega vira privede do razmer, ko izvajanje storitev ni več možno (pomanjkanje vode, onesnažena voda,...) in vir ni več uporaben. Zato je za dolgoročno izvajanje storitev pomembno, da se povzročitelji obremenitev zavedajo stroškov, ki jih povzročajo, in da sami prispevajo h kritju teh stroškov.</w:t>
      </w:r>
    </w:p>
    <w:p w14:paraId="017485E3" w14:textId="77777777" w:rsidR="004870CA" w:rsidRPr="00545EC0" w:rsidRDefault="004870CA" w:rsidP="0010797F">
      <w:pPr>
        <w:rPr>
          <w:rFonts w:cs="Arial"/>
        </w:rPr>
      </w:pPr>
    </w:p>
    <w:p w14:paraId="6E40F47C" w14:textId="77777777" w:rsidR="00247695" w:rsidRPr="00545EC0" w:rsidRDefault="00247695" w:rsidP="00247695">
      <w:pPr>
        <w:rPr>
          <w:rFonts w:cs="Arial"/>
          <w:szCs w:val="22"/>
        </w:rPr>
      </w:pPr>
      <w:r w:rsidRPr="00545EC0">
        <w:rPr>
          <w:rFonts w:cs="Arial"/>
          <w:szCs w:val="22"/>
        </w:rPr>
        <w:t>Program temeljnih ukrepov vsebuje naslednje ukrepe s področja ekonomskih instrumentov:</w:t>
      </w:r>
    </w:p>
    <w:p w14:paraId="4CF01A88" w14:textId="77777777" w:rsidR="00247695" w:rsidRPr="00545EC0" w:rsidRDefault="00247695"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dajatve za obremenjevanje voda,</w:t>
      </w:r>
    </w:p>
    <w:p w14:paraId="32369E8F" w14:textId="77777777" w:rsidR="00247695" w:rsidRPr="00545EC0" w:rsidRDefault="00247695"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usmeritev sredstev, zbranih z dajatvami za obremenjevanje voda v upravljanje z vodami,</w:t>
      </w:r>
    </w:p>
    <w:p w14:paraId="746DB4E7" w14:textId="77777777" w:rsidR="00247695" w:rsidRPr="00545EC0" w:rsidRDefault="00247695"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ukrepi cenovne politike za gospodarno rabo pitne vode in</w:t>
      </w:r>
    </w:p>
    <w:p w14:paraId="2FC203C5" w14:textId="77777777" w:rsidR="00247695" w:rsidRPr="00545EC0" w:rsidRDefault="00247695"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ocena povračila finančnih stroškov izvajanja storitev obveznih občinskih gospodarskih javnih služb oskrbe s pitno vodo ter odvajanja in čiščenja komunalne odpadne vode.</w:t>
      </w:r>
    </w:p>
    <w:p w14:paraId="6CB2EE86" w14:textId="77777777" w:rsidR="00A8499B" w:rsidRPr="00545EC0" w:rsidRDefault="00A8499B" w:rsidP="00693578">
      <w:pPr>
        <w:tabs>
          <w:tab w:val="center" w:pos="426"/>
        </w:tabs>
        <w:overflowPunct/>
        <w:autoSpaceDE/>
        <w:autoSpaceDN/>
        <w:adjustRightInd/>
        <w:contextualSpacing/>
        <w:textAlignment w:val="auto"/>
        <w:rPr>
          <w:rFonts w:cs="Arial"/>
        </w:rPr>
      </w:pPr>
    </w:p>
    <w:p w14:paraId="1D034704" w14:textId="4898CB12" w:rsidR="00F77C5C" w:rsidRPr="00545EC0" w:rsidRDefault="00F77C5C" w:rsidP="00247695">
      <w:pPr>
        <w:rPr>
          <w:rFonts w:cs="Arial"/>
          <w:b/>
          <w:szCs w:val="22"/>
        </w:rPr>
      </w:pPr>
      <w:r w:rsidRPr="00545EC0">
        <w:rPr>
          <w:rFonts w:cs="Arial"/>
          <w:b/>
          <w:szCs w:val="22"/>
        </w:rPr>
        <w:t xml:space="preserve">Poročilo o ravnanju in ukrepih, izvedenih za uporabo načela povračila stroškov obremenjevanja voda skladno </w:t>
      </w:r>
      <w:r w:rsidR="00E128E5" w:rsidRPr="00545EC0">
        <w:rPr>
          <w:rFonts w:cs="Arial"/>
          <w:b/>
          <w:szCs w:val="22"/>
        </w:rPr>
        <w:t>z 9. členom vodne direktive</w:t>
      </w:r>
    </w:p>
    <w:p w14:paraId="21C833A8" w14:textId="77777777" w:rsidR="00F77C5C" w:rsidRPr="00545EC0" w:rsidRDefault="00F77C5C" w:rsidP="00247695">
      <w:pPr>
        <w:rPr>
          <w:rFonts w:cs="Arial"/>
          <w:b/>
          <w:szCs w:val="22"/>
        </w:rPr>
      </w:pPr>
    </w:p>
    <w:p w14:paraId="18726749" w14:textId="77777777" w:rsidR="00247695" w:rsidRPr="00545EC0" w:rsidRDefault="00247695" w:rsidP="00247695">
      <w:pPr>
        <w:rPr>
          <w:rFonts w:cs="Arial"/>
          <w:bCs/>
          <w:szCs w:val="20"/>
        </w:rPr>
      </w:pPr>
      <w:r w:rsidRPr="00545EC0">
        <w:rPr>
          <w:rFonts w:cs="Arial"/>
          <w:szCs w:val="20"/>
        </w:rPr>
        <w:t xml:space="preserve">Upravljanje voda temelji na načelu povračila stroškov, ki pri obremenjevanju voda nastanejo. Skladno z načelom »plača povzročitelj obremenitve« je potrebno zagotoviti ustrezen prispevek povzročiteljev obremenitev k povračilu ne samo finančnih temveč tudi okoljskih stroškov in stroškov vode kot </w:t>
      </w:r>
      <w:r w:rsidRPr="00545EC0">
        <w:rPr>
          <w:rFonts w:cs="Arial"/>
          <w:szCs w:val="20"/>
        </w:rPr>
        <w:lastRenderedPageBreak/>
        <w:t>naravnega vira</w:t>
      </w:r>
      <w:r w:rsidRPr="00545EC0">
        <w:rPr>
          <w:rStyle w:val="Sprotnaopomba-sklic"/>
          <w:rFonts w:cs="Arial"/>
          <w:szCs w:val="20"/>
        </w:rPr>
        <w:footnoteReference w:id="9"/>
      </w:r>
      <w:r w:rsidRPr="00545EC0">
        <w:rPr>
          <w:rFonts w:cs="Arial"/>
          <w:szCs w:val="20"/>
        </w:rPr>
        <w:t>. Pomembno je, da plačila za obremenjevanje voda uporabnike spodbujajo h gospodarni uporabi naravnih virov.</w:t>
      </w:r>
    </w:p>
    <w:p w14:paraId="77F11849" w14:textId="77777777" w:rsidR="00247695" w:rsidRPr="00545EC0" w:rsidRDefault="00247695" w:rsidP="00247695">
      <w:pPr>
        <w:rPr>
          <w:rFonts w:cs="Arial"/>
          <w:szCs w:val="20"/>
        </w:rPr>
      </w:pPr>
    </w:p>
    <w:p w14:paraId="773D8E45" w14:textId="28B343D0" w:rsidR="00247695" w:rsidRPr="00545EC0" w:rsidRDefault="00247695" w:rsidP="00247695">
      <w:pPr>
        <w:rPr>
          <w:rFonts w:cs="Arial"/>
          <w:szCs w:val="20"/>
        </w:rPr>
      </w:pPr>
      <w:r w:rsidRPr="00545EC0">
        <w:rPr>
          <w:rFonts w:cs="Arial"/>
          <w:szCs w:val="20"/>
        </w:rPr>
        <w:t xml:space="preserve">V Sloveniji se izvaja več ukrepov za zagotavljanje povračila stroškov ob upoštevanju načela »plača povzročitelj obremenitve«. </w:t>
      </w:r>
    </w:p>
    <w:p w14:paraId="0F87E0AF" w14:textId="77777777" w:rsidR="00247695" w:rsidRPr="00545EC0" w:rsidRDefault="00247695" w:rsidP="00247695">
      <w:pPr>
        <w:rPr>
          <w:rFonts w:cs="Arial"/>
          <w:szCs w:val="20"/>
        </w:rPr>
      </w:pPr>
    </w:p>
    <w:p w14:paraId="23AD6C3D" w14:textId="77777777" w:rsidR="00291DFD" w:rsidRPr="00545EC0" w:rsidRDefault="00247695" w:rsidP="00291DFD">
      <w:pPr>
        <w:rPr>
          <w:rFonts w:cs="Arial"/>
          <w:szCs w:val="20"/>
        </w:rPr>
      </w:pPr>
      <w:r w:rsidRPr="00545EC0">
        <w:rPr>
          <w:rFonts w:cs="Arial"/>
          <w:szCs w:val="20"/>
        </w:rPr>
        <w:t xml:space="preserve">Povzročitelji obremenitev skladno z načelom »plača povzročitelj obremenitve« sami financirajo izvedbo nekaterih ukrepov za doseganje okoljskih ciljev. Poleg tega se za izvajanje storitev, povezanih z obremenjevanjem voda, plačuje dajatve za obremenjevanje voda (temeljni ukrep 1ETa v PU NUV: Dajatve za obremenjevanje voda). </w:t>
      </w:r>
    </w:p>
    <w:p w14:paraId="09F07462" w14:textId="77777777" w:rsidR="0018237C" w:rsidRPr="00545EC0" w:rsidRDefault="0018237C" w:rsidP="00291DFD">
      <w:pPr>
        <w:rPr>
          <w:rFonts w:cs="Arial"/>
          <w:szCs w:val="20"/>
        </w:rPr>
      </w:pPr>
    </w:p>
    <w:p w14:paraId="7EAAA6A8" w14:textId="77777777" w:rsidR="00A7600A" w:rsidRPr="00545EC0" w:rsidRDefault="00A7600A" w:rsidP="00291DFD"/>
    <w:p w14:paraId="4B743693" w14:textId="52D452A4" w:rsidR="00291DFD" w:rsidRPr="00545EC0" w:rsidRDefault="00A7600A" w:rsidP="00A7600A">
      <w:pPr>
        <w:pStyle w:val="Napis"/>
      </w:pPr>
      <w:r w:rsidRPr="00545EC0">
        <w:t xml:space="preserve">Preglednica </w:t>
      </w:r>
      <w:fldSimple w:instr=" STYLEREF 1 \s ">
        <w:r w:rsidR="002F3E43">
          <w:rPr>
            <w:noProof/>
          </w:rPr>
          <w:t>6</w:t>
        </w:r>
      </w:fldSimple>
      <w:r w:rsidR="001A7511" w:rsidRPr="00545EC0">
        <w:noBreakHyphen/>
      </w:r>
      <w:fldSimple w:instr=" SEQ Preglednica \* ARABIC \s 1 ">
        <w:r w:rsidR="002F3E43">
          <w:rPr>
            <w:noProof/>
          </w:rPr>
          <w:t>1</w:t>
        </w:r>
      </w:fldSimple>
      <w:r w:rsidRPr="00545EC0">
        <w:t xml:space="preserve">: </w:t>
      </w:r>
      <w:r w:rsidR="00291DFD" w:rsidRPr="00545EC0">
        <w:t>Dajatve za obremenjevanje vode (6. člen ZV-1): vodno povračilo in koncesija v obračunskih letih 2016-2020:</w:t>
      </w:r>
    </w:p>
    <w:tbl>
      <w:tblPr>
        <w:tblW w:w="5000" w:type="pct"/>
        <w:tblCellMar>
          <w:left w:w="70" w:type="dxa"/>
          <w:right w:w="70" w:type="dxa"/>
        </w:tblCellMar>
        <w:tblLook w:val="04A0" w:firstRow="1" w:lastRow="0" w:firstColumn="1" w:lastColumn="0" w:noHBand="0" w:noVBand="1"/>
      </w:tblPr>
      <w:tblGrid>
        <w:gridCol w:w="789"/>
        <w:gridCol w:w="3337"/>
        <w:gridCol w:w="3020"/>
        <w:gridCol w:w="2065"/>
      </w:tblGrid>
      <w:tr w:rsidR="003122F4" w:rsidRPr="00545EC0" w14:paraId="668CE118" w14:textId="77777777" w:rsidTr="00864B56">
        <w:trPr>
          <w:trHeight w:val="300"/>
        </w:trPr>
        <w:tc>
          <w:tcPr>
            <w:tcW w:w="428" w:type="pct"/>
            <w:tcBorders>
              <w:top w:val="single" w:sz="4" w:space="0" w:color="000000"/>
              <w:left w:val="single" w:sz="4" w:space="0" w:color="000000"/>
              <w:bottom w:val="single" w:sz="4" w:space="0" w:color="auto"/>
              <w:right w:val="single" w:sz="4" w:space="0" w:color="000000"/>
            </w:tcBorders>
            <w:shd w:val="clear" w:color="auto" w:fill="EEECE1" w:themeFill="background2"/>
            <w:noWrap/>
            <w:vAlign w:val="bottom"/>
            <w:hideMark/>
          </w:tcPr>
          <w:p w14:paraId="445E9439" w14:textId="77777777" w:rsidR="00A7600A" w:rsidRPr="00545EC0" w:rsidRDefault="00A7600A" w:rsidP="00BE5947">
            <w:r w:rsidRPr="00545EC0">
              <w:t>Leto</w:t>
            </w:r>
          </w:p>
        </w:tc>
        <w:tc>
          <w:tcPr>
            <w:tcW w:w="1811" w:type="pct"/>
            <w:tcBorders>
              <w:top w:val="single" w:sz="4" w:space="0" w:color="000000"/>
              <w:left w:val="nil"/>
              <w:bottom w:val="single" w:sz="4" w:space="0" w:color="auto"/>
              <w:right w:val="single" w:sz="4" w:space="0" w:color="auto"/>
            </w:tcBorders>
            <w:shd w:val="clear" w:color="auto" w:fill="EEECE1" w:themeFill="background2"/>
            <w:noWrap/>
            <w:vAlign w:val="bottom"/>
            <w:hideMark/>
          </w:tcPr>
          <w:p w14:paraId="7B691AFB" w14:textId="77777777" w:rsidR="00A7600A" w:rsidRPr="00545EC0" w:rsidRDefault="00A7600A" w:rsidP="00BE5947">
            <w:r w:rsidRPr="00545EC0">
              <w:t>Obračunano vodno povračilo</w:t>
            </w:r>
          </w:p>
        </w:tc>
        <w:tc>
          <w:tcPr>
            <w:tcW w:w="1639" w:type="pct"/>
            <w:tcBorders>
              <w:top w:val="single" w:sz="4" w:space="0" w:color="auto"/>
              <w:left w:val="single" w:sz="4" w:space="0" w:color="auto"/>
              <w:bottom w:val="single" w:sz="4" w:space="0" w:color="auto"/>
              <w:right w:val="single" w:sz="4" w:space="0" w:color="auto"/>
            </w:tcBorders>
            <w:shd w:val="clear" w:color="auto" w:fill="EEECE1" w:themeFill="background2"/>
          </w:tcPr>
          <w:p w14:paraId="0A3D0BF1" w14:textId="77777777" w:rsidR="00A7600A" w:rsidRPr="00545EC0" w:rsidRDefault="00A7600A" w:rsidP="00BE5947">
            <w:r w:rsidRPr="00545EC0">
              <w:t>Obračunana koncesija**</w:t>
            </w:r>
          </w:p>
        </w:tc>
        <w:tc>
          <w:tcPr>
            <w:tcW w:w="1121" w:type="pct"/>
            <w:tcBorders>
              <w:top w:val="single" w:sz="4" w:space="0" w:color="auto"/>
              <w:left w:val="single" w:sz="4" w:space="0" w:color="auto"/>
              <w:bottom w:val="single" w:sz="4" w:space="0" w:color="auto"/>
              <w:right w:val="single" w:sz="4" w:space="0" w:color="auto"/>
            </w:tcBorders>
            <w:shd w:val="clear" w:color="auto" w:fill="EEECE1" w:themeFill="background2"/>
          </w:tcPr>
          <w:p w14:paraId="62FFE0A9" w14:textId="77777777" w:rsidR="00A7600A" w:rsidRPr="00545EC0" w:rsidRDefault="00A7600A" w:rsidP="00BE5947">
            <w:r w:rsidRPr="00545EC0">
              <w:t xml:space="preserve">Skupaj </w:t>
            </w:r>
          </w:p>
        </w:tc>
      </w:tr>
      <w:tr w:rsidR="003122F4" w:rsidRPr="00545EC0" w14:paraId="5470C7F2" w14:textId="77777777" w:rsidTr="00A7600A">
        <w:trPr>
          <w:trHeight w:val="300"/>
        </w:trPr>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450C0" w14:textId="77777777" w:rsidR="00A7600A" w:rsidRPr="00545EC0" w:rsidRDefault="00A7600A" w:rsidP="00BE5947">
            <w:r w:rsidRPr="00545EC0">
              <w:t xml:space="preserve">2016 </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AB954" w14:textId="77777777" w:rsidR="00A7600A" w:rsidRPr="00545EC0" w:rsidRDefault="00A7600A" w:rsidP="00BE5947">
            <w:r w:rsidRPr="00545EC0">
              <w:t>30.665.898,87 €</w:t>
            </w:r>
          </w:p>
        </w:tc>
        <w:tc>
          <w:tcPr>
            <w:tcW w:w="1639" w:type="pct"/>
            <w:tcBorders>
              <w:top w:val="single" w:sz="4" w:space="0" w:color="auto"/>
              <w:left w:val="single" w:sz="4" w:space="0" w:color="auto"/>
              <w:bottom w:val="single" w:sz="4" w:space="0" w:color="auto"/>
              <w:right w:val="single" w:sz="4" w:space="0" w:color="auto"/>
            </w:tcBorders>
          </w:tcPr>
          <w:p w14:paraId="5564B4B7" w14:textId="77777777" w:rsidR="00A7600A" w:rsidRPr="00545EC0" w:rsidRDefault="00A7600A" w:rsidP="00BE5947">
            <w:r w:rsidRPr="00545EC0">
              <w:t>18.951.283,66 €</w:t>
            </w:r>
          </w:p>
        </w:tc>
        <w:tc>
          <w:tcPr>
            <w:tcW w:w="1121" w:type="pct"/>
            <w:tcBorders>
              <w:top w:val="single" w:sz="4" w:space="0" w:color="auto"/>
              <w:left w:val="single" w:sz="4" w:space="0" w:color="auto"/>
              <w:bottom w:val="single" w:sz="4" w:space="0" w:color="auto"/>
              <w:right w:val="single" w:sz="4" w:space="0" w:color="auto"/>
            </w:tcBorders>
          </w:tcPr>
          <w:p w14:paraId="1375AB39" w14:textId="77777777" w:rsidR="00A7600A" w:rsidRPr="00545EC0" w:rsidRDefault="00A7600A" w:rsidP="00BE5947">
            <w:r w:rsidRPr="00545EC0">
              <w:t>49.617.182,53 €</w:t>
            </w:r>
          </w:p>
        </w:tc>
      </w:tr>
      <w:tr w:rsidR="003122F4" w:rsidRPr="00545EC0" w14:paraId="3B9CD792" w14:textId="77777777" w:rsidTr="00A7600A">
        <w:trPr>
          <w:trHeight w:val="300"/>
        </w:trPr>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361A4" w14:textId="77777777" w:rsidR="00A7600A" w:rsidRPr="00545EC0" w:rsidRDefault="00A7600A" w:rsidP="00BE5947">
            <w:r w:rsidRPr="00545EC0">
              <w:t xml:space="preserve">2017 </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57212" w14:textId="77777777" w:rsidR="00A7600A" w:rsidRPr="00545EC0" w:rsidRDefault="00A7600A" w:rsidP="00BE5947">
            <w:r w:rsidRPr="00545EC0">
              <w:t>31.162.426,39 €</w:t>
            </w:r>
          </w:p>
        </w:tc>
        <w:tc>
          <w:tcPr>
            <w:tcW w:w="1639" w:type="pct"/>
            <w:tcBorders>
              <w:top w:val="single" w:sz="4" w:space="0" w:color="auto"/>
              <w:left w:val="single" w:sz="4" w:space="0" w:color="auto"/>
              <w:bottom w:val="single" w:sz="4" w:space="0" w:color="auto"/>
              <w:right w:val="single" w:sz="4" w:space="0" w:color="auto"/>
            </w:tcBorders>
          </w:tcPr>
          <w:p w14:paraId="44E5FDCC" w14:textId="77777777" w:rsidR="00A7600A" w:rsidRPr="00545EC0" w:rsidRDefault="00A7600A" w:rsidP="00BE5947">
            <w:r w:rsidRPr="00545EC0">
              <w:t>17.544.910,74 €</w:t>
            </w:r>
          </w:p>
        </w:tc>
        <w:tc>
          <w:tcPr>
            <w:tcW w:w="1121" w:type="pct"/>
            <w:tcBorders>
              <w:top w:val="single" w:sz="4" w:space="0" w:color="auto"/>
              <w:left w:val="single" w:sz="4" w:space="0" w:color="auto"/>
              <w:bottom w:val="single" w:sz="4" w:space="0" w:color="auto"/>
              <w:right w:val="single" w:sz="4" w:space="0" w:color="auto"/>
            </w:tcBorders>
          </w:tcPr>
          <w:p w14:paraId="46464C1B" w14:textId="77777777" w:rsidR="00A7600A" w:rsidRPr="00545EC0" w:rsidRDefault="00A7600A" w:rsidP="00BE5947">
            <w:r w:rsidRPr="00545EC0">
              <w:t>48.707.337,13 €</w:t>
            </w:r>
          </w:p>
        </w:tc>
      </w:tr>
      <w:tr w:rsidR="003122F4" w:rsidRPr="00545EC0" w14:paraId="329C4D1B" w14:textId="77777777" w:rsidTr="00A7600A">
        <w:trPr>
          <w:trHeight w:val="300"/>
        </w:trPr>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6C46C" w14:textId="77777777" w:rsidR="00A7600A" w:rsidRPr="00545EC0" w:rsidRDefault="00A7600A" w:rsidP="00BE5947">
            <w:r w:rsidRPr="00545EC0">
              <w:t>2018</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A288C" w14:textId="77777777" w:rsidR="00A7600A" w:rsidRPr="00545EC0" w:rsidRDefault="00A7600A" w:rsidP="00BE5947">
            <w:r w:rsidRPr="00545EC0">
              <w:t>31.332.960,89 €</w:t>
            </w:r>
          </w:p>
        </w:tc>
        <w:tc>
          <w:tcPr>
            <w:tcW w:w="1639" w:type="pct"/>
            <w:tcBorders>
              <w:top w:val="single" w:sz="4" w:space="0" w:color="auto"/>
              <w:left w:val="single" w:sz="4" w:space="0" w:color="auto"/>
              <w:bottom w:val="single" w:sz="4" w:space="0" w:color="auto"/>
              <w:right w:val="single" w:sz="4" w:space="0" w:color="auto"/>
            </w:tcBorders>
          </w:tcPr>
          <w:p w14:paraId="23E23703" w14:textId="77777777" w:rsidR="00A7600A" w:rsidRPr="00545EC0" w:rsidRDefault="00A7600A" w:rsidP="00BE5947">
            <w:r w:rsidRPr="00545EC0">
              <w:t>21.120.886,91 €</w:t>
            </w:r>
          </w:p>
        </w:tc>
        <w:tc>
          <w:tcPr>
            <w:tcW w:w="1121" w:type="pct"/>
            <w:tcBorders>
              <w:top w:val="single" w:sz="4" w:space="0" w:color="auto"/>
              <w:left w:val="single" w:sz="4" w:space="0" w:color="auto"/>
              <w:bottom w:val="single" w:sz="4" w:space="0" w:color="auto"/>
              <w:right w:val="single" w:sz="4" w:space="0" w:color="auto"/>
            </w:tcBorders>
          </w:tcPr>
          <w:p w14:paraId="386531C0" w14:textId="77777777" w:rsidR="00A7600A" w:rsidRPr="00545EC0" w:rsidRDefault="00A7600A" w:rsidP="00BE5947">
            <w:r w:rsidRPr="00545EC0">
              <w:t>52.453.847,80 €</w:t>
            </w:r>
          </w:p>
        </w:tc>
      </w:tr>
      <w:tr w:rsidR="003122F4" w:rsidRPr="00545EC0" w14:paraId="02C21CF3" w14:textId="77777777" w:rsidTr="00A7600A">
        <w:trPr>
          <w:trHeight w:val="300"/>
        </w:trPr>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6D73B" w14:textId="77777777" w:rsidR="00A7600A" w:rsidRPr="00545EC0" w:rsidRDefault="00A7600A" w:rsidP="00BE5947">
            <w:r w:rsidRPr="00545EC0">
              <w:t xml:space="preserve">2019 </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BC4C9" w14:textId="77777777" w:rsidR="00A7600A" w:rsidRPr="00545EC0" w:rsidRDefault="00A7600A" w:rsidP="00BE5947">
            <w:r w:rsidRPr="00545EC0">
              <w:t>31.189.641,69 €</w:t>
            </w:r>
          </w:p>
        </w:tc>
        <w:tc>
          <w:tcPr>
            <w:tcW w:w="1639" w:type="pct"/>
            <w:tcBorders>
              <w:top w:val="single" w:sz="4" w:space="0" w:color="auto"/>
              <w:left w:val="single" w:sz="4" w:space="0" w:color="auto"/>
              <w:bottom w:val="single" w:sz="4" w:space="0" w:color="auto"/>
              <w:right w:val="single" w:sz="4" w:space="0" w:color="auto"/>
            </w:tcBorders>
          </w:tcPr>
          <w:p w14:paraId="0F78F80A" w14:textId="77777777" w:rsidR="00A7600A" w:rsidRPr="00545EC0" w:rsidRDefault="00A7600A" w:rsidP="00BE5947">
            <w:r w:rsidRPr="00545EC0">
              <w:t>21.822.896,58 €</w:t>
            </w:r>
          </w:p>
        </w:tc>
        <w:tc>
          <w:tcPr>
            <w:tcW w:w="1121" w:type="pct"/>
            <w:tcBorders>
              <w:top w:val="single" w:sz="4" w:space="0" w:color="auto"/>
              <w:left w:val="single" w:sz="4" w:space="0" w:color="auto"/>
              <w:bottom w:val="single" w:sz="4" w:space="0" w:color="auto"/>
              <w:right w:val="single" w:sz="4" w:space="0" w:color="auto"/>
            </w:tcBorders>
          </w:tcPr>
          <w:p w14:paraId="2ED040C5" w14:textId="77777777" w:rsidR="00A7600A" w:rsidRPr="00545EC0" w:rsidRDefault="00A7600A" w:rsidP="00BE5947">
            <w:r w:rsidRPr="00545EC0">
              <w:t>53.012.538,27 €</w:t>
            </w:r>
          </w:p>
        </w:tc>
      </w:tr>
      <w:tr w:rsidR="003122F4" w:rsidRPr="00545EC0" w14:paraId="7195EF41" w14:textId="77777777" w:rsidTr="00A7600A">
        <w:trPr>
          <w:trHeight w:val="290"/>
        </w:trPr>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DD572A" w14:textId="77777777" w:rsidR="00A7600A" w:rsidRPr="00545EC0" w:rsidRDefault="00A7600A" w:rsidP="00BE5947">
            <w:r w:rsidRPr="00545EC0">
              <w:t>2020</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65CBA4" w14:textId="77777777" w:rsidR="00A7600A" w:rsidRPr="00545EC0" w:rsidRDefault="00A7600A" w:rsidP="00BE5947">
            <w:r w:rsidRPr="00545EC0">
              <w:t xml:space="preserve">31.569.160,92 €* </w:t>
            </w:r>
          </w:p>
        </w:tc>
        <w:tc>
          <w:tcPr>
            <w:tcW w:w="1639" w:type="pct"/>
            <w:tcBorders>
              <w:top w:val="single" w:sz="4" w:space="0" w:color="auto"/>
              <w:left w:val="single" w:sz="4" w:space="0" w:color="auto"/>
              <w:bottom w:val="single" w:sz="4" w:space="0" w:color="auto"/>
              <w:right w:val="single" w:sz="4" w:space="0" w:color="auto"/>
            </w:tcBorders>
          </w:tcPr>
          <w:p w14:paraId="4D4213D7" w14:textId="77777777" w:rsidR="00A7600A" w:rsidRPr="00545EC0" w:rsidRDefault="00A7600A" w:rsidP="00BE5947">
            <w:r w:rsidRPr="00545EC0">
              <w:t>21.957.950,87 €*</w:t>
            </w:r>
          </w:p>
        </w:tc>
        <w:tc>
          <w:tcPr>
            <w:tcW w:w="1121" w:type="pct"/>
            <w:tcBorders>
              <w:top w:val="single" w:sz="4" w:space="0" w:color="auto"/>
              <w:left w:val="single" w:sz="4" w:space="0" w:color="auto"/>
              <w:bottom w:val="single" w:sz="4" w:space="0" w:color="auto"/>
              <w:right w:val="single" w:sz="4" w:space="0" w:color="auto"/>
            </w:tcBorders>
          </w:tcPr>
          <w:p w14:paraId="7B0000F5" w14:textId="77777777" w:rsidR="00A7600A" w:rsidRPr="00545EC0" w:rsidRDefault="00A7600A" w:rsidP="00BE5947">
            <w:r w:rsidRPr="00545EC0">
              <w:t>53.527.111,79 €</w:t>
            </w:r>
          </w:p>
        </w:tc>
      </w:tr>
    </w:tbl>
    <w:p w14:paraId="20088DE5" w14:textId="77777777" w:rsidR="00291DFD" w:rsidRPr="00545EC0" w:rsidRDefault="00291DFD" w:rsidP="00291DFD">
      <w:pPr>
        <w:pStyle w:val="Odstavekseznama"/>
        <w:rPr>
          <w:i/>
          <w:sz w:val="18"/>
          <w:szCs w:val="18"/>
        </w:rPr>
      </w:pPr>
      <w:r w:rsidRPr="00545EC0">
        <w:rPr>
          <w:i/>
          <w:sz w:val="18"/>
          <w:szCs w:val="18"/>
        </w:rPr>
        <w:t>*Podatek za leto 2020 še ni dokončen (podatki bodo znani predvidoma do 30.11.2021)</w:t>
      </w:r>
    </w:p>
    <w:p w14:paraId="6AC3578A" w14:textId="092FB312" w:rsidR="00247695" w:rsidRPr="00545EC0" w:rsidRDefault="00291DFD" w:rsidP="00291DFD">
      <w:pPr>
        <w:pStyle w:val="Odstavekseznama"/>
        <w:rPr>
          <w:i/>
          <w:sz w:val="18"/>
          <w:szCs w:val="18"/>
          <w:lang w:val="sl-SI"/>
        </w:rPr>
      </w:pPr>
      <w:r w:rsidRPr="00545EC0">
        <w:rPr>
          <w:i/>
          <w:sz w:val="18"/>
          <w:szCs w:val="18"/>
        </w:rPr>
        <w:t>** znesek obračunane koncesije vključuje celotno koncesijo obračunano v korist RS in lokalnih skupnosti</w:t>
      </w:r>
    </w:p>
    <w:p w14:paraId="63022B49" w14:textId="77777777" w:rsidR="00247695" w:rsidRPr="00545EC0" w:rsidRDefault="00247695" w:rsidP="00247695">
      <w:pPr>
        <w:rPr>
          <w:rFonts w:cs="Arial"/>
          <w:szCs w:val="20"/>
        </w:rPr>
      </w:pPr>
    </w:p>
    <w:p w14:paraId="7B15D49D" w14:textId="77777777" w:rsidR="00A7600A" w:rsidRPr="00545EC0" w:rsidRDefault="00A7600A" w:rsidP="00A7600A">
      <w:pPr>
        <w:rPr>
          <w:rFonts w:cs="Arial"/>
          <w:szCs w:val="20"/>
        </w:rPr>
      </w:pPr>
      <w:r w:rsidRPr="00545EC0">
        <w:rPr>
          <w:rFonts w:cs="Arial"/>
          <w:szCs w:val="20"/>
        </w:rPr>
        <w:t xml:space="preserve">V skladu s prepisi, navedenimi v ukrepu Programa ukrepov upravljanja voda »1ETb2: </w:t>
      </w:r>
      <w:bookmarkStart w:id="670" w:name="_Ref442516774"/>
      <w:r w:rsidRPr="00545EC0">
        <w:rPr>
          <w:rFonts w:cs="Arial"/>
          <w:szCs w:val="20"/>
        </w:rPr>
        <w:t>Usmeritev sredstev, zbranih z dajatvami za obremenjevanje voda v upravljanje z vodami</w:t>
      </w:r>
      <w:bookmarkEnd w:id="670"/>
      <w:r w:rsidRPr="00545EC0">
        <w:rPr>
          <w:rFonts w:cs="Arial"/>
          <w:szCs w:val="20"/>
        </w:rPr>
        <w:t>« se zagotovi namensko porabo sredstev, zbranih s plačili dajatev za obremenjevanje voda.</w:t>
      </w:r>
    </w:p>
    <w:p w14:paraId="6BA2C13D" w14:textId="77777777" w:rsidR="00247695" w:rsidRPr="00545EC0" w:rsidRDefault="00247695" w:rsidP="00247695">
      <w:pPr>
        <w:rPr>
          <w:rFonts w:cs="Arial"/>
          <w:szCs w:val="20"/>
        </w:rPr>
      </w:pPr>
    </w:p>
    <w:p w14:paraId="5DDC38F8" w14:textId="003D46FA" w:rsidR="00247695" w:rsidRPr="00545EC0" w:rsidRDefault="00247695" w:rsidP="00247695">
      <w:pPr>
        <w:rPr>
          <w:rFonts w:cs="Arial"/>
          <w:szCs w:val="20"/>
        </w:rPr>
      </w:pPr>
      <w:r w:rsidRPr="00545EC0">
        <w:rPr>
          <w:rFonts w:cs="Arial"/>
          <w:szCs w:val="20"/>
        </w:rPr>
        <w:t xml:space="preserve">Cenovna politika na področju voda v Sloveniji vzpodbuja uporabnike, da gospodarno uporabljajo vodne vire in s tem prispevajo k doseganju okoljskih ciljev. Plačila dajatev za obremenjevanje voda so odvisna od obsega obremenitve voda (onesnaženje, količina odvzema,…), kar predstavlja spodbudo za gospodarno uporabo vode. Za vzpodbujanje gospodarne rabe vode je predpisana tudi višja cena za prekomerno porabo pitne vode (temeljni ukrep v PU NUV 2ETa: Ukrepi cenovne politike za gospodarno rabo pitne vode). </w:t>
      </w:r>
    </w:p>
    <w:p w14:paraId="64826D04" w14:textId="77777777" w:rsidR="00247695" w:rsidRPr="00545EC0" w:rsidRDefault="00247695" w:rsidP="00247695">
      <w:pPr>
        <w:rPr>
          <w:rFonts w:cs="Arial"/>
          <w:szCs w:val="20"/>
        </w:rPr>
      </w:pPr>
    </w:p>
    <w:p w14:paraId="7A9D1402" w14:textId="77777777" w:rsidR="00247695" w:rsidRPr="00545EC0" w:rsidRDefault="00247695" w:rsidP="00247695">
      <w:pPr>
        <w:rPr>
          <w:rFonts w:cs="Arial"/>
          <w:szCs w:val="20"/>
        </w:rPr>
      </w:pPr>
      <w:r w:rsidRPr="00545EC0">
        <w:rPr>
          <w:rFonts w:cs="Arial"/>
          <w:szCs w:val="20"/>
        </w:rPr>
        <w:t>Zbiranje podatkov in ocena povračila finančnih stroškov za storitvi gospodarskih javnih služb oskrbe s pitno vodo ter odvajanja in čiščenja komunalne odpadne vode sta del ukrepa 4ETa iz PU NUV</w:t>
      </w:r>
      <w:r w:rsidRPr="00545EC0">
        <w:rPr>
          <w:rStyle w:val="Sprotnaopomba-sklic"/>
          <w:rFonts w:cs="Arial"/>
          <w:szCs w:val="20"/>
        </w:rPr>
        <w:footnoteReference w:id="10"/>
      </w:r>
      <w:r w:rsidRPr="00545EC0">
        <w:rPr>
          <w:rFonts w:cs="Arial"/>
          <w:szCs w:val="20"/>
        </w:rPr>
        <w:t>.</w:t>
      </w:r>
    </w:p>
    <w:p w14:paraId="77157D98" w14:textId="77777777" w:rsidR="00247695" w:rsidRPr="00545EC0" w:rsidRDefault="00247695" w:rsidP="00247695">
      <w:pPr>
        <w:rPr>
          <w:rFonts w:cs="Arial"/>
          <w:szCs w:val="20"/>
        </w:rPr>
      </w:pPr>
    </w:p>
    <w:p w14:paraId="152A046C" w14:textId="77777777" w:rsidR="0018237C" w:rsidRPr="00545EC0" w:rsidRDefault="0018237C" w:rsidP="00693578">
      <w:pPr>
        <w:tabs>
          <w:tab w:val="center" w:pos="426"/>
        </w:tabs>
        <w:overflowPunct/>
        <w:autoSpaceDE/>
        <w:autoSpaceDN/>
        <w:adjustRightInd/>
        <w:contextualSpacing/>
        <w:textAlignment w:val="auto"/>
        <w:rPr>
          <w:rFonts w:cs="Arial"/>
          <w:b/>
          <w:szCs w:val="22"/>
          <w:u w:val="single"/>
        </w:rPr>
      </w:pPr>
      <w:r w:rsidRPr="00545EC0">
        <w:rPr>
          <w:rFonts w:cs="Arial"/>
          <w:b/>
          <w:szCs w:val="22"/>
          <w:u w:val="single"/>
        </w:rPr>
        <w:lastRenderedPageBreak/>
        <w:t>Pregled izvedenih sprememb in dopolnitev ukrepov iz Programa ukrepov upravljanja voda sprejetega v letu 2016</w:t>
      </w:r>
    </w:p>
    <w:p w14:paraId="07F86C85" w14:textId="77777777" w:rsidR="0018237C" w:rsidRPr="00545EC0" w:rsidRDefault="0018237C" w:rsidP="0018237C"/>
    <w:p w14:paraId="6067D027" w14:textId="3780A9EA" w:rsidR="0018237C" w:rsidRPr="00545EC0" w:rsidRDefault="0018237C" w:rsidP="0018237C">
      <w:pPr>
        <w:rPr>
          <w:rFonts w:cs="Arial"/>
          <w:szCs w:val="24"/>
        </w:rPr>
      </w:pPr>
      <w:r w:rsidRPr="00545EC0">
        <w:rPr>
          <w:rFonts w:cs="Arial"/>
          <w:szCs w:val="24"/>
        </w:rPr>
        <w:t>V nadaljevanju (</w:t>
      </w:r>
      <w:r w:rsidRPr="00545EC0">
        <w:rPr>
          <w:rFonts w:cs="Arial"/>
          <w:szCs w:val="24"/>
        </w:rPr>
        <w:fldChar w:fldCharType="begin"/>
      </w:r>
      <w:r w:rsidRPr="00545EC0">
        <w:rPr>
          <w:rFonts w:cs="Arial"/>
          <w:szCs w:val="24"/>
        </w:rPr>
        <w:instrText xml:space="preserve"> REF _Ref84329387 \h </w:instrText>
      </w:r>
      <w:r w:rsidR="007E0EDE" w:rsidRPr="00545EC0">
        <w:rPr>
          <w:rFonts w:cs="Arial"/>
          <w:szCs w:val="24"/>
        </w:rPr>
        <w:instrText xml:space="preserve"> \* MERGEFORMAT </w:instrText>
      </w:r>
      <w:r w:rsidRPr="00545EC0">
        <w:rPr>
          <w:rFonts w:cs="Arial"/>
          <w:szCs w:val="24"/>
        </w:rPr>
      </w:r>
      <w:r w:rsidRPr="00545EC0">
        <w:rPr>
          <w:rFonts w:cs="Arial"/>
          <w:szCs w:val="24"/>
        </w:rPr>
        <w:fldChar w:fldCharType="separate"/>
      </w:r>
      <w:r w:rsidR="002F3E43" w:rsidRPr="00545EC0">
        <w:t xml:space="preserve">Preglednica </w:t>
      </w:r>
      <w:r w:rsidR="002F3E43">
        <w:rPr>
          <w:noProof/>
        </w:rPr>
        <w:t>6</w:t>
      </w:r>
      <w:r w:rsidR="002F3E43" w:rsidRPr="00545EC0">
        <w:rPr>
          <w:noProof/>
        </w:rPr>
        <w:noBreakHyphen/>
      </w:r>
      <w:r w:rsidR="002F3E43">
        <w:rPr>
          <w:noProof/>
        </w:rPr>
        <w:t>2</w:t>
      </w:r>
      <w:r w:rsidRPr="00545EC0">
        <w:rPr>
          <w:rFonts w:cs="Arial"/>
          <w:szCs w:val="24"/>
        </w:rPr>
        <w:fldChar w:fldCharType="end"/>
      </w:r>
      <w:r w:rsidRPr="00545EC0">
        <w:rPr>
          <w:rFonts w:cs="Arial"/>
          <w:szCs w:val="24"/>
        </w:rPr>
        <w:t xml:space="preserve">) je podan povzetek temeljnih ukrepov, ki se že izvajajo na podlagi </w:t>
      </w:r>
      <w:r w:rsidRPr="00545EC0">
        <w:rPr>
          <w:rFonts w:cs="Arial"/>
          <w:szCs w:val="20"/>
          <w:shd w:val="clear" w:color="auto" w:fill="FFFFFF"/>
        </w:rPr>
        <w:t xml:space="preserve">veljavne zakonodaje in povzetek temeljnih ukrepov »b«, </w:t>
      </w:r>
      <w:r w:rsidRPr="00545EC0">
        <w:rPr>
          <w:rFonts w:cs="Arial"/>
          <w:szCs w:val="20"/>
        </w:rPr>
        <w:t>ki se še ne izvajajo v celoti glede na zahteve veljavne zakonodaje in za programsko obdobje 2022–2027 dopolnjujejo oziroma nadgrajujejo aktivnosti, izhajajoče iz temeljnih ukrepov »a« ter odpravljajo prepoznane pravne, upravne, administrativne ali strokovno raziskovalne vrzeli.</w:t>
      </w:r>
      <w:r w:rsidRPr="00545EC0">
        <w:rPr>
          <w:rFonts w:cs="Arial"/>
          <w:szCs w:val="24"/>
        </w:rPr>
        <w:t xml:space="preserve">programskem obdobju. </w:t>
      </w:r>
    </w:p>
    <w:p w14:paraId="09A95DF5" w14:textId="77777777" w:rsidR="0018237C" w:rsidRPr="00545EC0" w:rsidRDefault="0018237C" w:rsidP="0018237C">
      <w:pPr>
        <w:rPr>
          <w:rFonts w:cs="Arial"/>
          <w:szCs w:val="24"/>
        </w:rPr>
      </w:pPr>
    </w:p>
    <w:p w14:paraId="41864829" w14:textId="572CDABD" w:rsidR="0018237C" w:rsidRPr="00545EC0" w:rsidRDefault="0018237C" w:rsidP="0018237C">
      <w:pPr>
        <w:spacing w:line="276" w:lineRule="auto"/>
        <w:rPr>
          <w:rFonts w:cs="Arial"/>
          <w:szCs w:val="20"/>
        </w:rPr>
      </w:pPr>
      <w:r w:rsidRPr="00545EC0">
        <w:rPr>
          <w:rFonts w:cs="Arial"/>
          <w:szCs w:val="24"/>
        </w:rPr>
        <w:t>V preglednici (</w:t>
      </w:r>
      <w:r w:rsidRPr="00545EC0">
        <w:rPr>
          <w:rFonts w:cs="Arial"/>
          <w:szCs w:val="24"/>
        </w:rPr>
        <w:fldChar w:fldCharType="begin"/>
      </w:r>
      <w:r w:rsidRPr="00545EC0">
        <w:rPr>
          <w:rFonts w:cs="Arial"/>
          <w:szCs w:val="24"/>
        </w:rPr>
        <w:instrText xml:space="preserve"> REF _Ref84329387 \h </w:instrText>
      </w:r>
      <w:r w:rsidR="007E0EDE" w:rsidRPr="00545EC0">
        <w:rPr>
          <w:rFonts w:cs="Arial"/>
          <w:szCs w:val="24"/>
        </w:rPr>
        <w:instrText xml:space="preserve"> \* MERGEFORMAT </w:instrText>
      </w:r>
      <w:r w:rsidRPr="00545EC0">
        <w:rPr>
          <w:rFonts w:cs="Arial"/>
          <w:szCs w:val="24"/>
        </w:rPr>
      </w:r>
      <w:r w:rsidRPr="00545EC0">
        <w:rPr>
          <w:rFonts w:cs="Arial"/>
          <w:szCs w:val="24"/>
        </w:rPr>
        <w:fldChar w:fldCharType="separate"/>
      </w:r>
      <w:r w:rsidR="002F3E43" w:rsidRPr="00545EC0">
        <w:t xml:space="preserve">Preglednica </w:t>
      </w:r>
      <w:r w:rsidR="002F3E43">
        <w:rPr>
          <w:noProof/>
        </w:rPr>
        <w:t>6</w:t>
      </w:r>
      <w:r w:rsidR="002F3E43" w:rsidRPr="00545EC0">
        <w:rPr>
          <w:noProof/>
        </w:rPr>
        <w:noBreakHyphen/>
      </w:r>
      <w:r w:rsidR="002F3E43">
        <w:rPr>
          <w:noProof/>
        </w:rPr>
        <w:t>2</w:t>
      </w:r>
      <w:r w:rsidRPr="00545EC0">
        <w:rPr>
          <w:rFonts w:cs="Arial"/>
          <w:szCs w:val="24"/>
        </w:rPr>
        <w:fldChar w:fldCharType="end"/>
      </w:r>
      <w:r w:rsidRPr="00545EC0">
        <w:rPr>
          <w:rFonts w:cs="Arial"/>
          <w:szCs w:val="24"/>
        </w:rPr>
        <w:t>)</w:t>
      </w:r>
      <w:r w:rsidRPr="00545EC0">
        <w:t xml:space="preserve"> navedene i</w:t>
      </w:r>
      <w:r w:rsidRPr="00545EC0">
        <w:rPr>
          <w:rFonts w:cs="Arial"/>
          <w:szCs w:val="24"/>
        </w:rPr>
        <w:t xml:space="preserve">zvedene spremembe in dopolnitve ukrepov podajajo </w:t>
      </w:r>
      <w:r w:rsidR="00084CE0">
        <w:rPr>
          <w:rFonts w:cs="Arial"/>
          <w:szCs w:val="24"/>
        </w:rPr>
        <w:t>informacijo</w:t>
      </w:r>
      <w:r w:rsidRPr="00545EC0">
        <w:rPr>
          <w:rFonts w:cs="Arial"/>
          <w:szCs w:val="24"/>
        </w:rPr>
        <w:t xml:space="preserve"> </w:t>
      </w:r>
      <w:r w:rsidR="00084CE0">
        <w:rPr>
          <w:rFonts w:cs="Arial"/>
          <w:szCs w:val="24"/>
        </w:rPr>
        <w:t xml:space="preserve">o </w:t>
      </w:r>
      <w:r w:rsidRPr="00545EC0">
        <w:rPr>
          <w:rFonts w:cs="Arial"/>
          <w:szCs w:val="20"/>
        </w:rPr>
        <w:t>izvedenih sprememb</w:t>
      </w:r>
      <w:r w:rsidR="00864B56" w:rsidRPr="00545EC0">
        <w:rPr>
          <w:rFonts w:cs="Arial"/>
          <w:szCs w:val="20"/>
        </w:rPr>
        <w:t>ah</w:t>
      </w:r>
      <w:r w:rsidRPr="00545EC0">
        <w:rPr>
          <w:rFonts w:cs="Arial"/>
          <w:szCs w:val="20"/>
        </w:rPr>
        <w:t xml:space="preserve"> in dopolnitev ukrepov iz Programa ukrepov upravljanja voda sprejetega v letu 2016. Spremembe in dopolnitve ukrepov, ki so izvedene na podlagi osmega odstavka 57. člena zakona o vodah, in se nanašajo na temeljnje ukrepe »a« zajemajo:</w:t>
      </w:r>
    </w:p>
    <w:p w14:paraId="578B23A9" w14:textId="77777777" w:rsidR="0018237C" w:rsidRPr="00545EC0" w:rsidRDefault="0018237C" w:rsidP="00693578">
      <w:pPr>
        <w:pStyle w:val="Odstavekseznama"/>
        <w:numPr>
          <w:ilvl w:val="0"/>
          <w:numId w:val="20"/>
        </w:numPr>
        <w:spacing w:line="276" w:lineRule="auto"/>
        <w:rPr>
          <w:rFonts w:cs="Arial"/>
          <w:szCs w:val="20"/>
        </w:rPr>
      </w:pPr>
      <w:r w:rsidRPr="00545EC0">
        <w:rPr>
          <w:rFonts w:cs="Arial"/>
          <w:szCs w:val="20"/>
          <w:lang w:val="sl-SI"/>
        </w:rPr>
        <w:t>spremembe nacionalne zakonodaje v obdobju 2016 – 2021 in</w:t>
      </w:r>
    </w:p>
    <w:p w14:paraId="0FE3F146" w14:textId="77777777" w:rsidR="0018237C" w:rsidRPr="00545EC0" w:rsidRDefault="0018237C" w:rsidP="00693578">
      <w:pPr>
        <w:pStyle w:val="Odstavekseznama"/>
        <w:numPr>
          <w:ilvl w:val="0"/>
          <w:numId w:val="20"/>
        </w:numPr>
        <w:spacing w:line="276" w:lineRule="auto"/>
        <w:rPr>
          <w:rFonts w:cs="Arial"/>
          <w:szCs w:val="20"/>
        </w:rPr>
      </w:pPr>
      <w:r w:rsidRPr="00545EC0">
        <w:rPr>
          <w:rFonts w:cs="Arial"/>
          <w:szCs w:val="20"/>
        </w:rPr>
        <w:t>spreme</w:t>
      </w:r>
      <w:r w:rsidRPr="00545EC0">
        <w:rPr>
          <w:rFonts w:cs="Arial"/>
          <w:szCs w:val="20"/>
          <w:lang w:val="sl-SI"/>
        </w:rPr>
        <w:t>m</w:t>
      </w:r>
      <w:r w:rsidRPr="00545EC0">
        <w:rPr>
          <w:rFonts w:cs="Arial"/>
          <w:szCs w:val="20"/>
        </w:rPr>
        <w:t>be ocene finančnih sredstev za izvajanje temeljnih ukrepov »a« ob upoštevanju rasti cen</w:t>
      </w:r>
      <w:r w:rsidRPr="00545EC0">
        <w:rPr>
          <w:rFonts w:cs="Arial"/>
          <w:szCs w:val="20"/>
          <w:lang w:val="sl-SI"/>
        </w:rPr>
        <w:t>.</w:t>
      </w:r>
    </w:p>
    <w:p w14:paraId="36ABCCF8" w14:textId="77777777" w:rsidR="0018237C" w:rsidRPr="00545EC0" w:rsidRDefault="0018237C" w:rsidP="0018237C">
      <w:pPr>
        <w:spacing w:line="276" w:lineRule="auto"/>
        <w:rPr>
          <w:rFonts w:cs="Arial"/>
          <w:szCs w:val="20"/>
        </w:rPr>
      </w:pPr>
    </w:p>
    <w:p w14:paraId="77E304F5" w14:textId="77777777" w:rsidR="0018237C" w:rsidRPr="00545EC0" w:rsidRDefault="0018237C" w:rsidP="0018237C">
      <w:pPr>
        <w:spacing w:line="276" w:lineRule="auto"/>
        <w:rPr>
          <w:rFonts w:cs="Arial"/>
          <w:szCs w:val="20"/>
        </w:rPr>
      </w:pPr>
      <w:r w:rsidRPr="00545EC0">
        <w:rPr>
          <w:rFonts w:cs="Arial"/>
          <w:szCs w:val="20"/>
        </w:rPr>
        <w:t>Spremembe in dopolnitve ukrepov, ki se nanašajo na temeljnje ukrepe »b« zajemajo</w:t>
      </w:r>
    </w:p>
    <w:p w14:paraId="5B42140D" w14:textId="77777777" w:rsidR="0018237C" w:rsidRPr="00545EC0" w:rsidRDefault="0018237C" w:rsidP="00693578">
      <w:pPr>
        <w:pStyle w:val="Odstavekseznama"/>
        <w:numPr>
          <w:ilvl w:val="0"/>
          <w:numId w:val="20"/>
        </w:numPr>
        <w:spacing w:line="276" w:lineRule="auto"/>
        <w:rPr>
          <w:rFonts w:cs="Arial"/>
          <w:szCs w:val="20"/>
        </w:rPr>
      </w:pPr>
      <w:r w:rsidRPr="00545EC0">
        <w:rPr>
          <w:rFonts w:cs="Arial"/>
          <w:szCs w:val="20"/>
          <w:lang w:val="sl-SI"/>
        </w:rPr>
        <w:t>p</w:t>
      </w:r>
      <w:r w:rsidRPr="00545EC0">
        <w:rPr>
          <w:rFonts w:cs="Arial"/>
          <w:szCs w:val="20"/>
        </w:rPr>
        <w:t>odaljšan</w:t>
      </w:r>
      <w:r w:rsidRPr="00545EC0">
        <w:rPr>
          <w:rFonts w:cs="Arial"/>
          <w:szCs w:val="20"/>
          <w:lang w:val="sl-SI"/>
        </w:rPr>
        <w:t>je izvajanja temeljnega ukrepa »b«</w:t>
      </w:r>
      <w:r w:rsidRPr="00545EC0">
        <w:rPr>
          <w:rFonts w:cs="Arial"/>
          <w:szCs w:val="20"/>
        </w:rPr>
        <w:t xml:space="preserve"> v programsko obdobje 2022-2027 </w:t>
      </w:r>
    </w:p>
    <w:p w14:paraId="110829E4" w14:textId="77777777" w:rsidR="0018237C" w:rsidRPr="00545EC0" w:rsidRDefault="0018237C" w:rsidP="00693578">
      <w:pPr>
        <w:pStyle w:val="Odstavekseznama"/>
        <w:numPr>
          <w:ilvl w:val="0"/>
          <w:numId w:val="20"/>
        </w:numPr>
        <w:spacing w:line="276" w:lineRule="auto"/>
        <w:rPr>
          <w:rFonts w:cs="Arial"/>
          <w:szCs w:val="20"/>
        </w:rPr>
      </w:pPr>
      <w:r w:rsidRPr="00545EC0">
        <w:rPr>
          <w:rFonts w:cs="Arial"/>
          <w:szCs w:val="20"/>
        </w:rPr>
        <w:t>spremembe in dopolnitve opisa ukrepa</w:t>
      </w:r>
      <w:r w:rsidRPr="00545EC0">
        <w:rPr>
          <w:rFonts w:cs="Arial"/>
          <w:szCs w:val="20"/>
          <w:lang w:val="sl-SI"/>
        </w:rPr>
        <w:t xml:space="preserve">, </w:t>
      </w:r>
      <w:r w:rsidRPr="00545EC0">
        <w:rPr>
          <w:rFonts w:cs="Arial"/>
          <w:szCs w:val="20"/>
        </w:rPr>
        <w:t>z upoštevanjem</w:t>
      </w:r>
      <w:r w:rsidRPr="00545EC0">
        <w:rPr>
          <w:rFonts w:cs="Arial"/>
          <w:szCs w:val="20"/>
          <w:lang w:val="sl-SI"/>
        </w:rPr>
        <w:t xml:space="preserve"> </w:t>
      </w:r>
      <w:r w:rsidRPr="00545EC0">
        <w:rPr>
          <w:rFonts w:cs="Arial"/>
          <w:szCs w:val="20"/>
        </w:rPr>
        <w:t xml:space="preserve">podatkov zbranih v okviru posodobitve načrtov upravljanja voda na vodnih območjih za obdobje 2022-2027, </w:t>
      </w:r>
    </w:p>
    <w:p w14:paraId="013BCA47" w14:textId="77777777" w:rsidR="0018237C" w:rsidRPr="00545EC0" w:rsidRDefault="0018237C" w:rsidP="00693578">
      <w:pPr>
        <w:pStyle w:val="Odstavekseznama"/>
        <w:numPr>
          <w:ilvl w:val="0"/>
          <w:numId w:val="20"/>
        </w:numPr>
        <w:spacing w:line="276" w:lineRule="auto"/>
        <w:rPr>
          <w:rFonts w:cs="Arial"/>
          <w:szCs w:val="20"/>
        </w:rPr>
      </w:pPr>
      <w:r w:rsidRPr="00545EC0">
        <w:rPr>
          <w:rFonts w:cs="Arial"/>
          <w:szCs w:val="20"/>
        </w:rPr>
        <w:t>spremembe in dopolnitve</w:t>
      </w:r>
      <w:r w:rsidRPr="00545EC0">
        <w:rPr>
          <w:rFonts w:cs="Arial"/>
          <w:szCs w:val="20"/>
          <w:lang w:val="sl-SI"/>
        </w:rPr>
        <w:t xml:space="preserve"> števila vodnih teles, na katerih se ukrep izvaja in</w:t>
      </w:r>
    </w:p>
    <w:p w14:paraId="6DCBACFA" w14:textId="77777777" w:rsidR="0018237C" w:rsidRPr="00545EC0" w:rsidRDefault="0018237C" w:rsidP="00693578">
      <w:pPr>
        <w:pStyle w:val="Odstavekseznama"/>
        <w:numPr>
          <w:ilvl w:val="0"/>
          <w:numId w:val="20"/>
        </w:numPr>
        <w:spacing w:line="276" w:lineRule="auto"/>
        <w:rPr>
          <w:rFonts w:cs="Arial"/>
          <w:szCs w:val="20"/>
        </w:rPr>
      </w:pPr>
      <w:r w:rsidRPr="00545EC0">
        <w:rPr>
          <w:rFonts w:cs="Arial"/>
          <w:szCs w:val="20"/>
          <w:lang w:val="sl-SI"/>
        </w:rPr>
        <w:t xml:space="preserve">spremembe </w:t>
      </w:r>
      <w:r w:rsidRPr="00545EC0">
        <w:rPr>
          <w:rFonts w:cs="Arial"/>
          <w:szCs w:val="20"/>
        </w:rPr>
        <w:t>ocene finančnih sredstev za izvajanje ukrepov</w:t>
      </w:r>
      <w:r w:rsidRPr="00545EC0">
        <w:rPr>
          <w:rFonts w:cs="Arial"/>
          <w:szCs w:val="20"/>
          <w:lang w:val="sl-SI"/>
        </w:rPr>
        <w:t>, ob upoštevanju sprememb in dopolnitev opisa ukrepa in števila vodnih teles, na katerih se ukrep izvaja ter in ob upoštevanju rasti cen.</w:t>
      </w:r>
    </w:p>
    <w:p w14:paraId="39B7F2F3" w14:textId="77777777" w:rsidR="0018237C" w:rsidRPr="00545EC0" w:rsidRDefault="0018237C" w:rsidP="0018237C">
      <w:pPr>
        <w:rPr>
          <w:rFonts w:cs="Arial"/>
          <w:szCs w:val="20"/>
        </w:rPr>
      </w:pPr>
    </w:p>
    <w:p w14:paraId="60F02A85" w14:textId="77777777" w:rsidR="0018237C" w:rsidRPr="00545EC0" w:rsidRDefault="0018237C" w:rsidP="0018237C">
      <w:pPr>
        <w:tabs>
          <w:tab w:val="center" w:pos="426"/>
        </w:tabs>
        <w:overflowPunct/>
        <w:autoSpaceDE/>
        <w:autoSpaceDN/>
        <w:adjustRightInd/>
        <w:contextualSpacing/>
        <w:textAlignment w:val="auto"/>
        <w:rPr>
          <w:rFonts w:cs="Arial"/>
          <w:szCs w:val="22"/>
          <w:u w:val="single"/>
        </w:rPr>
      </w:pPr>
      <w:r w:rsidRPr="00545EC0">
        <w:rPr>
          <w:rFonts w:cs="Arial"/>
          <w:szCs w:val="22"/>
          <w:u w:val="single"/>
        </w:rPr>
        <w:t>Izvedeni ali delno izvedeni ukrepi iz Programa ukrepov upravljanja voda 2016</w:t>
      </w:r>
    </w:p>
    <w:p w14:paraId="789C0CC6" w14:textId="77777777" w:rsidR="0018237C" w:rsidRPr="00545EC0" w:rsidRDefault="0018237C" w:rsidP="0018237C">
      <w:pPr>
        <w:tabs>
          <w:tab w:val="center" w:pos="426"/>
        </w:tabs>
        <w:overflowPunct/>
        <w:autoSpaceDE/>
        <w:autoSpaceDN/>
        <w:adjustRightInd/>
        <w:contextualSpacing/>
        <w:textAlignment w:val="auto"/>
        <w:rPr>
          <w:rFonts w:cs="Arial"/>
          <w:b/>
          <w:szCs w:val="22"/>
        </w:rPr>
      </w:pPr>
    </w:p>
    <w:p w14:paraId="15A30DAE" w14:textId="77777777" w:rsidR="0018237C" w:rsidRPr="00545EC0" w:rsidRDefault="0018237C" w:rsidP="0018237C">
      <w:pPr>
        <w:tabs>
          <w:tab w:val="center" w:pos="426"/>
        </w:tabs>
        <w:overflowPunct/>
        <w:autoSpaceDE/>
        <w:autoSpaceDN/>
        <w:adjustRightInd/>
        <w:contextualSpacing/>
        <w:textAlignment w:val="auto"/>
        <w:rPr>
          <w:rFonts w:cs="Arial"/>
          <w:b/>
          <w:szCs w:val="22"/>
        </w:rPr>
      </w:pPr>
      <w:r w:rsidRPr="00545EC0">
        <w:rPr>
          <w:rFonts w:cs="Arial"/>
        </w:rPr>
        <w:t>V obdobju od 2016 do 2018 so bili izvedeni ali delno izvedeni ukrepi »HM8b1 – Strokovna podlaga za pripravo smernic in mnenj k načrtovanim prostorskim ureditvam«, »HM8b2 - Strokovna podlaga za odločanje v okviru postopka pridobitve vodnih soglasij«, »OS3.2b8 – Priprava izbora kazalcev za razglas različnih stopenj jakosti in pragov suš/pomanjkanje vode«, »OS5b – Preveritev meril za ugotavljanje in vrednotenje vpliva na stanje voda v CPVO, PVO in drugih postopkih« in »R6b1 – Vpeljava obvezne evidence vrtin in toplotnih izmenjevalcev vgrajenih pod površje tal«.</w:t>
      </w:r>
    </w:p>
    <w:p w14:paraId="2C305E1B" w14:textId="77777777" w:rsidR="00C72595" w:rsidRPr="00545EC0" w:rsidRDefault="00C72595" w:rsidP="00C72595">
      <w:pPr>
        <w:rPr>
          <w:lang w:eastAsia="x-none"/>
        </w:rPr>
      </w:pPr>
    </w:p>
    <w:p w14:paraId="0205EA1E" w14:textId="7F3BC334" w:rsidR="00C72595" w:rsidRPr="00545EC0" w:rsidRDefault="00C72595" w:rsidP="00C72595">
      <w:pPr>
        <w:pStyle w:val="Napis"/>
      </w:pPr>
      <w:bookmarkStart w:id="671" w:name="_Ref84329387"/>
      <w:r w:rsidRPr="00545EC0">
        <w:t xml:space="preserve">Preglednica </w:t>
      </w:r>
      <w:fldSimple w:instr=" STYLEREF 1 \s ">
        <w:r w:rsidR="002F3E43">
          <w:rPr>
            <w:noProof/>
          </w:rPr>
          <w:t>6</w:t>
        </w:r>
      </w:fldSimple>
      <w:r w:rsidR="001A7511" w:rsidRPr="00545EC0">
        <w:noBreakHyphen/>
      </w:r>
      <w:fldSimple w:instr=" SEQ Preglednica \* ARABIC \s 1 ">
        <w:r w:rsidR="002F3E43">
          <w:rPr>
            <w:noProof/>
          </w:rPr>
          <w:t>2</w:t>
        </w:r>
      </w:fldSimple>
      <w:bookmarkEnd w:id="671"/>
      <w:r w:rsidRPr="00545EC0">
        <w:t xml:space="preserve">: Povzetek temeljnih ukrepov </w:t>
      </w:r>
    </w:p>
    <w:tbl>
      <w:tblPr>
        <w:tblpPr w:leftFromText="141" w:rightFromText="141" w:vertAnchor="text" w:tblpY="1"/>
        <w:tblOverlap w:val="neve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1060"/>
        <w:gridCol w:w="3051"/>
        <w:gridCol w:w="1415"/>
        <w:gridCol w:w="1245"/>
        <w:gridCol w:w="1305"/>
      </w:tblGrid>
      <w:tr w:rsidR="007E0EDE" w:rsidRPr="00545EC0" w14:paraId="6EB341D1" w14:textId="77777777" w:rsidTr="00BE686D">
        <w:trPr>
          <w:cantSplit/>
          <w:trHeight w:val="565"/>
          <w:tblHeader/>
        </w:trPr>
        <w:tc>
          <w:tcPr>
            <w:tcW w:w="582" w:type="pct"/>
            <w:shd w:val="clear" w:color="auto" w:fill="F2F2F2" w:themeFill="background1" w:themeFillShade="F2"/>
            <w:vAlign w:val="center"/>
          </w:tcPr>
          <w:p w14:paraId="4005FB74" w14:textId="77777777" w:rsidR="0018237C" w:rsidRPr="00545EC0" w:rsidRDefault="0018237C" w:rsidP="00B51AD3">
            <w:pPr>
              <w:spacing w:line="240" w:lineRule="auto"/>
              <w:jc w:val="left"/>
              <w:rPr>
                <w:rFonts w:cs="Arial"/>
                <w:b/>
                <w:sz w:val="18"/>
                <w:szCs w:val="18"/>
              </w:rPr>
            </w:pPr>
            <w:r w:rsidRPr="00545EC0">
              <w:rPr>
                <w:rFonts w:cs="Arial"/>
                <w:b/>
                <w:sz w:val="18"/>
                <w:szCs w:val="18"/>
              </w:rPr>
              <w:t>Vrsta ukrepa</w:t>
            </w:r>
          </w:p>
        </w:tc>
        <w:tc>
          <w:tcPr>
            <w:tcW w:w="580" w:type="pct"/>
            <w:shd w:val="clear" w:color="auto" w:fill="F2F2F2" w:themeFill="background1" w:themeFillShade="F2"/>
            <w:vAlign w:val="center"/>
            <w:hideMark/>
          </w:tcPr>
          <w:p w14:paraId="408C6DD4" w14:textId="77777777" w:rsidR="0018237C" w:rsidRPr="00545EC0" w:rsidRDefault="0018237C" w:rsidP="00B51AD3">
            <w:pPr>
              <w:spacing w:line="240" w:lineRule="auto"/>
              <w:jc w:val="left"/>
              <w:rPr>
                <w:rFonts w:cs="Arial"/>
                <w:b/>
                <w:sz w:val="18"/>
                <w:szCs w:val="18"/>
              </w:rPr>
            </w:pPr>
            <w:r w:rsidRPr="00545EC0">
              <w:rPr>
                <w:rFonts w:cs="Arial"/>
                <w:b/>
                <w:sz w:val="18"/>
                <w:szCs w:val="18"/>
              </w:rPr>
              <w:t>ID ukrepa</w:t>
            </w:r>
          </w:p>
        </w:tc>
        <w:tc>
          <w:tcPr>
            <w:tcW w:w="1669" w:type="pct"/>
            <w:shd w:val="clear" w:color="auto" w:fill="F2F2F2" w:themeFill="background1" w:themeFillShade="F2"/>
            <w:vAlign w:val="center"/>
            <w:hideMark/>
          </w:tcPr>
          <w:p w14:paraId="665E2BF0" w14:textId="77777777" w:rsidR="0018237C" w:rsidRPr="00545EC0" w:rsidRDefault="0018237C" w:rsidP="00B51AD3">
            <w:pPr>
              <w:spacing w:line="240" w:lineRule="auto"/>
              <w:jc w:val="left"/>
              <w:rPr>
                <w:rFonts w:cs="Arial"/>
                <w:sz w:val="18"/>
                <w:szCs w:val="18"/>
              </w:rPr>
            </w:pPr>
            <w:r w:rsidRPr="00545EC0">
              <w:rPr>
                <w:rFonts w:cs="Arial"/>
                <w:b/>
                <w:sz w:val="18"/>
                <w:szCs w:val="18"/>
              </w:rPr>
              <w:t>Ime ukrepa</w:t>
            </w:r>
          </w:p>
        </w:tc>
        <w:tc>
          <w:tcPr>
            <w:tcW w:w="774" w:type="pct"/>
            <w:shd w:val="clear" w:color="auto" w:fill="F2F2F2" w:themeFill="background1" w:themeFillShade="F2"/>
            <w:vAlign w:val="center"/>
          </w:tcPr>
          <w:p w14:paraId="45C892CB" w14:textId="77777777" w:rsidR="0018237C" w:rsidRPr="00545EC0" w:rsidRDefault="0018237C" w:rsidP="00B51AD3">
            <w:pPr>
              <w:spacing w:line="240" w:lineRule="auto"/>
              <w:jc w:val="left"/>
              <w:rPr>
                <w:rFonts w:cs="Arial"/>
                <w:b/>
                <w:sz w:val="18"/>
                <w:szCs w:val="18"/>
              </w:rPr>
            </w:pPr>
            <w:r w:rsidRPr="00545EC0">
              <w:rPr>
                <w:rFonts w:cs="Arial"/>
                <w:b/>
                <w:sz w:val="18"/>
                <w:szCs w:val="18"/>
              </w:rPr>
              <w:t>Cilji</w:t>
            </w:r>
          </w:p>
        </w:tc>
        <w:tc>
          <w:tcPr>
            <w:tcW w:w="681" w:type="pct"/>
            <w:shd w:val="clear" w:color="auto" w:fill="F2F2F2" w:themeFill="background1" w:themeFillShade="F2"/>
            <w:vAlign w:val="center"/>
          </w:tcPr>
          <w:p w14:paraId="3AB45235" w14:textId="77777777" w:rsidR="0018237C" w:rsidRPr="00545EC0" w:rsidRDefault="0018237C" w:rsidP="00B51AD3">
            <w:pPr>
              <w:spacing w:line="240" w:lineRule="auto"/>
              <w:jc w:val="left"/>
              <w:rPr>
                <w:rFonts w:cs="Arial"/>
                <w:b/>
                <w:sz w:val="18"/>
                <w:szCs w:val="18"/>
              </w:rPr>
            </w:pPr>
            <w:r w:rsidRPr="00545EC0">
              <w:rPr>
                <w:rFonts w:cs="Arial"/>
                <w:b/>
                <w:sz w:val="18"/>
                <w:szCs w:val="18"/>
              </w:rPr>
              <w:t>Področje</w:t>
            </w:r>
          </w:p>
        </w:tc>
        <w:tc>
          <w:tcPr>
            <w:tcW w:w="714" w:type="pct"/>
            <w:shd w:val="clear" w:color="auto" w:fill="F2F2F2" w:themeFill="background1" w:themeFillShade="F2"/>
            <w:vAlign w:val="center"/>
          </w:tcPr>
          <w:p w14:paraId="32C29AA4" w14:textId="3859CEB1" w:rsidR="0018237C" w:rsidRPr="00545EC0" w:rsidRDefault="0018237C" w:rsidP="00B51AD3">
            <w:pPr>
              <w:spacing w:line="240" w:lineRule="auto"/>
              <w:jc w:val="left"/>
              <w:rPr>
                <w:rFonts w:cs="Arial"/>
                <w:b/>
                <w:sz w:val="18"/>
                <w:szCs w:val="18"/>
              </w:rPr>
            </w:pPr>
            <w:r w:rsidRPr="00545EC0">
              <w:rPr>
                <w:rFonts w:cs="Arial"/>
                <w:b/>
                <w:sz w:val="18"/>
                <w:szCs w:val="18"/>
              </w:rPr>
              <w:t>Izvedene spremembe in dopolnitve ukrepov</w:t>
            </w:r>
          </w:p>
        </w:tc>
      </w:tr>
      <w:tr w:rsidR="007E0EDE" w:rsidRPr="00545EC0" w14:paraId="1F704FD6" w14:textId="77777777" w:rsidTr="00BE686D">
        <w:trPr>
          <w:cantSplit/>
          <w:trHeight w:val="525"/>
        </w:trPr>
        <w:tc>
          <w:tcPr>
            <w:tcW w:w="582" w:type="pct"/>
          </w:tcPr>
          <w:p w14:paraId="6DF0F0A0" w14:textId="77777777" w:rsidR="0018237C" w:rsidRPr="00545EC0" w:rsidRDefault="0018237C" w:rsidP="00F93A51">
            <w:pPr>
              <w:spacing w:line="240" w:lineRule="auto"/>
              <w:jc w:val="left"/>
              <w:rPr>
                <w:rFonts w:cs="Arial"/>
                <w:sz w:val="18"/>
                <w:szCs w:val="18"/>
              </w:rPr>
            </w:pPr>
            <w:r w:rsidRPr="00545EC0">
              <w:rPr>
                <w:rFonts w:cs="Arial"/>
                <w:sz w:val="18"/>
                <w:szCs w:val="18"/>
              </w:rPr>
              <w:t>Temeljni ukrep »a«</w:t>
            </w:r>
          </w:p>
        </w:tc>
        <w:tc>
          <w:tcPr>
            <w:tcW w:w="580" w:type="pct"/>
            <w:shd w:val="clear" w:color="auto" w:fill="auto"/>
            <w:hideMark/>
          </w:tcPr>
          <w:p w14:paraId="4F4C1426" w14:textId="77777777" w:rsidR="0018237C" w:rsidRPr="00545EC0" w:rsidRDefault="0018237C" w:rsidP="00F93A51">
            <w:pPr>
              <w:spacing w:line="240" w:lineRule="auto"/>
              <w:jc w:val="left"/>
              <w:rPr>
                <w:rFonts w:cs="Arial"/>
                <w:sz w:val="18"/>
                <w:szCs w:val="18"/>
              </w:rPr>
            </w:pPr>
            <w:r w:rsidRPr="00545EC0">
              <w:rPr>
                <w:rFonts w:cs="Arial"/>
                <w:sz w:val="18"/>
                <w:szCs w:val="18"/>
              </w:rPr>
              <w:t>1ETa</w:t>
            </w:r>
          </w:p>
        </w:tc>
        <w:tc>
          <w:tcPr>
            <w:tcW w:w="1669" w:type="pct"/>
            <w:shd w:val="clear" w:color="auto" w:fill="auto"/>
            <w:hideMark/>
          </w:tcPr>
          <w:p w14:paraId="34ADD08B" w14:textId="77777777" w:rsidR="0018237C" w:rsidRPr="00545EC0" w:rsidRDefault="0018237C" w:rsidP="00F93A51">
            <w:pPr>
              <w:spacing w:line="240" w:lineRule="auto"/>
              <w:jc w:val="left"/>
              <w:rPr>
                <w:rFonts w:cs="Arial"/>
                <w:sz w:val="18"/>
                <w:szCs w:val="18"/>
              </w:rPr>
            </w:pPr>
            <w:r w:rsidRPr="00545EC0">
              <w:rPr>
                <w:rFonts w:cs="Arial"/>
                <w:sz w:val="18"/>
                <w:szCs w:val="18"/>
              </w:rPr>
              <w:t>Dajatve za obremenjevanje voda</w:t>
            </w:r>
          </w:p>
        </w:tc>
        <w:tc>
          <w:tcPr>
            <w:tcW w:w="774" w:type="pct"/>
          </w:tcPr>
          <w:p w14:paraId="0B263D11" w14:textId="77777777" w:rsidR="0018237C" w:rsidRPr="00545EC0" w:rsidRDefault="0018237C" w:rsidP="00F93A51">
            <w:pPr>
              <w:spacing w:line="240" w:lineRule="auto"/>
              <w:jc w:val="left"/>
              <w:rPr>
                <w:rFonts w:cs="Arial"/>
                <w:i/>
                <w:sz w:val="18"/>
                <w:szCs w:val="18"/>
              </w:rPr>
            </w:pPr>
            <w:r w:rsidRPr="00545EC0">
              <w:rPr>
                <w:rFonts w:cs="Arial"/>
                <w:i/>
                <w:sz w:val="18"/>
                <w:szCs w:val="18"/>
              </w:rPr>
              <w:t>Varstvo voda, Raba voda</w:t>
            </w:r>
          </w:p>
        </w:tc>
        <w:tc>
          <w:tcPr>
            <w:tcW w:w="681" w:type="pct"/>
          </w:tcPr>
          <w:p w14:paraId="55015D1D" w14:textId="77777777" w:rsidR="0018237C" w:rsidRPr="00545EC0" w:rsidRDefault="0018237C" w:rsidP="00F93A51">
            <w:pPr>
              <w:spacing w:line="240" w:lineRule="auto"/>
              <w:jc w:val="left"/>
              <w:rPr>
                <w:rFonts w:cs="Arial"/>
                <w:i/>
                <w:sz w:val="18"/>
                <w:szCs w:val="18"/>
              </w:rPr>
            </w:pPr>
            <w:r w:rsidRPr="00545EC0">
              <w:rPr>
                <w:rFonts w:cs="Arial"/>
                <w:i/>
                <w:sz w:val="18"/>
                <w:szCs w:val="18"/>
              </w:rPr>
              <w:t>Ekonomski instrumenti</w:t>
            </w:r>
          </w:p>
        </w:tc>
        <w:tc>
          <w:tcPr>
            <w:tcW w:w="714" w:type="pct"/>
          </w:tcPr>
          <w:p w14:paraId="305DF442" w14:textId="77777777" w:rsidR="0018237C" w:rsidRPr="00545EC0" w:rsidRDefault="0018237C" w:rsidP="00F93A51">
            <w:pPr>
              <w:spacing w:line="240" w:lineRule="auto"/>
              <w:jc w:val="left"/>
              <w:rPr>
                <w:rFonts w:cs="Arial"/>
                <w:i/>
                <w:sz w:val="18"/>
                <w:szCs w:val="18"/>
              </w:rPr>
            </w:pPr>
            <w:r w:rsidRPr="00545EC0">
              <w:rPr>
                <w:rFonts w:cs="Arial"/>
                <w:i/>
                <w:sz w:val="18"/>
                <w:szCs w:val="18"/>
              </w:rPr>
              <w:t>Podaljšan in posodobljen</w:t>
            </w:r>
          </w:p>
        </w:tc>
      </w:tr>
      <w:tr w:rsidR="007E0EDE" w:rsidRPr="00545EC0" w14:paraId="1F259502" w14:textId="77777777" w:rsidTr="00BE686D">
        <w:trPr>
          <w:cantSplit/>
          <w:trHeight w:val="525"/>
        </w:trPr>
        <w:tc>
          <w:tcPr>
            <w:tcW w:w="582" w:type="pct"/>
          </w:tcPr>
          <w:p w14:paraId="32B37FA3" w14:textId="77777777" w:rsidR="0018237C" w:rsidRPr="00545EC0" w:rsidRDefault="0018237C" w:rsidP="00F93A51">
            <w:pPr>
              <w:spacing w:line="240" w:lineRule="auto"/>
              <w:jc w:val="left"/>
              <w:rPr>
                <w:rFonts w:cs="Arial"/>
                <w:sz w:val="18"/>
                <w:szCs w:val="18"/>
              </w:rPr>
            </w:pPr>
            <w:r w:rsidRPr="00545EC0">
              <w:rPr>
                <w:rFonts w:cs="Arial"/>
                <w:sz w:val="18"/>
                <w:szCs w:val="18"/>
              </w:rPr>
              <w:t>Temeljni ukrep »b«</w:t>
            </w:r>
          </w:p>
        </w:tc>
        <w:tc>
          <w:tcPr>
            <w:tcW w:w="580" w:type="pct"/>
            <w:shd w:val="clear" w:color="auto" w:fill="auto"/>
          </w:tcPr>
          <w:p w14:paraId="2B346137" w14:textId="77777777" w:rsidR="0018237C" w:rsidRPr="00545EC0" w:rsidRDefault="0018237C" w:rsidP="00F93A51">
            <w:pPr>
              <w:spacing w:line="240" w:lineRule="auto"/>
              <w:jc w:val="left"/>
              <w:rPr>
                <w:rFonts w:cs="Arial"/>
                <w:sz w:val="18"/>
                <w:szCs w:val="18"/>
                <w:lang w:eastAsia="zh-CN"/>
              </w:rPr>
            </w:pPr>
            <w:r w:rsidRPr="00545EC0">
              <w:rPr>
                <w:rFonts w:cs="Arial"/>
                <w:sz w:val="18"/>
                <w:szCs w:val="18"/>
              </w:rPr>
              <w:t>1ETb2</w:t>
            </w:r>
          </w:p>
        </w:tc>
        <w:tc>
          <w:tcPr>
            <w:tcW w:w="1669" w:type="pct"/>
            <w:shd w:val="clear" w:color="auto" w:fill="auto"/>
          </w:tcPr>
          <w:p w14:paraId="13823C05" w14:textId="77777777" w:rsidR="0018237C" w:rsidRPr="00545EC0" w:rsidRDefault="0018237C" w:rsidP="00F93A51">
            <w:pPr>
              <w:spacing w:line="240" w:lineRule="auto"/>
              <w:jc w:val="left"/>
              <w:rPr>
                <w:rFonts w:cs="Arial"/>
                <w:sz w:val="18"/>
                <w:szCs w:val="18"/>
              </w:rPr>
            </w:pPr>
            <w:r w:rsidRPr="00545EC0">
              <w:rPr>
                <w:rFonts w:cs="Arial"/>
                <w:sz w:val="18"/>
                <w:szCs w:val="18"/>
              </w:rPr>
              <w:t>Usmeritev sredstev, zbranih z dajatvami za obremenjevanje voda v upravljanje z vodami</w:t>
            </w:r>
          </w:p>
        </w:tc>
        <w:tc>
          <w:tcPr>
            <w:tcW w:w="774" w:type="pct"/>
          </w:tcPr>
          <w:p w14:paraId="064558C6" w14:textId="77777777" w:rsidR="0018237C" w:rsidRPr="00545EC0" w:rsidRDefault="0018237C" w:rsidP="00F93A51">
            <w:pPr>
              <w:spacing w:line="240" w:lineRule="auto"/>
              <w:jc w:val="left"/>
              <w:rPr>
                <w:rFonts w:cs="Arial"/>
                <w:i/>
                <w:sz w:val="18"/>
                <w:szCs w:val="18"/>
              </w:rPr>
            </w:pPr>
            <w:r w:rsidRPr="00545EC0">
              <w:rPr>
                <w:rFonts w:cs="Arial"/>
                <w:i/>
                <w:sz w:val="18"/>
                <w:szCs w:val="18"/>
              </w:rPr>
              <w:t>Varstvo voda, Raba voda</w:t>
            </w:r>
          </w:p>
        </w:tc>
        <w:tc>
          <w:tcPr>
            <w:tcW w:w="681" w:type="pct"/>
          </w:tcPr>
          <w:p w14:paraId="2D6B45F3" w14:textId="77777777" w:rsidR="0018237C" w:rsidRPr="00545EC0" w:rsidRDefault="0018237C" w:rsidP="00F93A51">
            <w:pPr>
              <w:spacing w:line="240" w:lineRule="auto"/>
              <w:jc w:val="left"/>
              <w:rPr>
                <w:rFonts w:cs="Arial"/>
                <w:i/>
                <w:sz w:val="18"/>
                <w:szCs w:val="18"/>
              </w:rPr>
            </w:pPr>
            <w:r w:rsidRPr="00545EC0">
              <w:rPr>
                <w:rFonts w:cs="Arial"/>
                <w:i/>
                <w:sz w:val="18"/>
                <w:szCs w:val="18"/>
              </w:rPr>
              <w:t>Ekonomski instrumenti</w:t>
            </w:r>
          </w:p>
        </w:tc>
        <w:tc>
          <w:tcPr>
            <w:tcW w:w="714" w:type="pct"/>
          </w:tcPr>
          <w:p w14:paraId="07674097" w14:textId="77777777" w:rsidR="0018237C" w:rsidRPr="00545EC0" w:rsidRDefault="0018237C" w:rsidP="00F93A51">
            <w:pPr>
              <w:spacing w:line="240" w:lineRule="auto"/>
              <w:jc w:val="left"/>
              <w:rPr>
                <w:rFonts w:cs="Arial"/>
                <w:i/>
                <w:sz w:val="18"/>
                <w:szCs w:val="18"/>
              </w:rPr>
            </w:pPr>
            <w:r w:rsidRPr="00545EC0">
              <w:rPr>
                <w:rFonts w:cs="Arial"/>
                <w:i/>
                <w:sz w:val="18"/>
                <w:szCs w:val="18"/>
              </w:rPr>
              <w:t>Podaljšan in dopolnjen</w:t>
            </w:r>
          </w:p>
        </w:tc>
      </w:tr>
      <w:tr w:rsidR="007E0EDE" w:rsidRPr="00545EC0" w14:paraId="6BD8A7AF" w14:textId="77777777" w:rsidTr="00BE686D">
        <w:trPr>
          <w:cantSplit/>
          <w:trHeight w:val="300"/>
        </w:trPr>
        <w:tc>
          <w:tcPr>
            <w:tcW w:w="582" w:type="pct"/>
          </w:tcPr>
          <w:p w14:paraId="7FD23162" w14:textId="77777777" w:rsidR="0018237C" w:rsidRPr="00545EC0" w:rsidRDefault="0018237C" w:rsidP="00F93A51">
            <w:pPr>
              <w:spacing w:line="240" w:lineRule="auto"/>
              <w:jc w:val="left"/>
              <w:rPr>
                <w:rFonts w:cs="Arial"/>
                <w:sz w:val="18"/>
                <w:szCs w:val="18"/>
              </w:rPr>
            </w:pPr>
            <w:r w:rsidRPr="00545EC0">
              <w:rPr>
                <w:rFonts w:cs="Arial"/>
                <w:sz w:val="18"/>
                <w:szCs w:val="18"/>
              </w:rPr>
              <w:t>Temeljni ukrep »a«</w:t>
            </w:r>
          </w:p>
        </w:tc>
        <w:tc>
          <w:tcPr>
            <w:tcW w:w="580" w:type="pct"/>
            <w:shd w:val="clear" w:color="auto" w:fill="auto"/>
            <w:hideMark/>
          </w:tcPr>
          <w:p w14:paraId="3DBD7DA1" w14:textId="77777777" w:rsidR="0018237C" w:rsidRPr="00545EC0" w:rsidRDefault="0018237C" w:rsidP="00F93A51">
            <w:pPr>
              <w:spacing w:line="240" w:lineRule="auto"/>
              <w:jc w:val="left"/>
              <w:rPr>
                <w:rFonts w:cs="Arial"/>
                <w:sz w:val="18"/>
                <w:szCs w:val="18"/>
              </w:rPr>
            </w:pPr>
            <w:r w:rsidRPr="00545EC0">
              <w:rPr>
                <w:rFonts w:cs="Arial"/>
                <w:sz w:val="18"/>
                <w:szCs w:val="18"/>
              </w:rPr>
              <w:t>2ETa</w:t>
            </w:r>
          </w:p>
        </w:tc>
        <w:tc>
          <w:tcPr>
            <w:tcW w:w="1669" w:type="pct"/>
            <w:shd w:val="clear" w:color="auto" w:fill="auto"/>
            <w:hideMark/>
          </w:tcPr>
          <w:p w14:paraId="29895B16" w14:textId="77777777" w:rsidR="0018237C" w:rsidRPr="00545EC0" w:rsidRDefault="0018237C" w:rsidP="00F93A51">
            <w:pPr>
              <w:spacing w:line="240" w:lineRule="auto"/>
              <w:jc w:val="left"/>
              <w:rPr>
                <w:rFonts w:cs="Arial"/>
                <w:sz w:val="18"/>
                <w:szCs w:val="18"/>
              </w:rPr>
            </w:pPr>
            <w:r w:rsidRPr="00545EC0">
              <w:rPr>
                <w:rFonts w:cs="Arial"/>
                <w:sz w:val="18"/>
                <w:szCs w:val="18"/>
              </w:rPr>
              <w:t>Ukrepi cenovne politike za gospodarno rabo pitne vode</w:t>
            </w:r>
          </w:p>
        </w:tc>
        <w:tc>
          <w:tcPr>
            <w:tcW w:w="774" w:type="pct"/>
          </w:tcPr>
          <w:p w14:paraId="15782D6B" w14:textId="77777777" w:rsidR="0018237C" w:rsidRPr="00545EC0" w:rsidRDefault="0018237C" w:rsidP="00F93A51">
            <w:pPr>
              <w:spacing w:line="240" w:lineRule="auto"/>
              <w:jc w:val="left"/>
              <w:rPr>
                <w:rFonts w:cs="Arial"/>
                <w:i/>
                <w:sz w:val="18"/>
                <w:szCs w:val="18"/>
              </w:rPr>
            </w:pPr>
            <w:r w:rsidRPr="00545EC0">
              <w:rPr>
                <w:rFonts w:cs="Arial"/>
                <w:i/>
                <w:sz w:val="18"/>
                <w:szCs w:val="18"/>
              </w:rPr>
              <w:t>Varstvo voda, Raba voda</w:t>
            </w:r>
          </w:p>
        </w:tc>
        <w:tc>
          <w:tcPr>
            <w:tcW w:w="681" w:type="pct"/>
          </w:tcPr>
          <w:p w14:paraId="3E730DDB" w14:textId="77777777" w:rsidR="0018237C" w:rsidRPr="00545EC0" w:rsidRDefault="0018237C" w:rsidP="00F93A51">
            <w:pPr>
              <w:spacing w:line="240" w:lineRule="auto"/>
              <w:jc w:val="left"/>
              <w:rPr>
                <w:rFonts w:cs="Arial"/>
                <w:i/>
                <w:sz w:val="18"/>
                <w:szCs w:val="18"/>
              </w:rPr>
            </w:pPr>
            <w:r w:rsidRPr="00545EC0">
              <w:rPr>
                <w:rFonts w:cs="Arial"/>
                <w:i/>
                <w:sz w:val="18"/>
                <w:szCs w:val="18"/>
              </w:rPr>
              <w:t>Ekonomski instrumenti</w:t>
            </w:r>
          </w:p>
        </w:tc>
        <w:tc>
          <w:tcPr>
            <w:tcW w:w="714" w:type="pct"/>
          </w:tcPr>
          <w:p w14:paraId="5EE755EF" w14:textId="77777777" w:rsidR="0018237C" w:rsidRPr="00545EC0" w:rsidRDefault="0018237C" w:rsidP="00F93A51">
            <w:pPr>
              <w:spacing w:line="240" w:lineRule="auto"/>
              <w:jc w:val="left"/>
              <w:rPr>
                <w:rFonts w:cs="Arial"/>
                <w:i/>
                <w:sz w:val="18"/>
                <w:szCs w:val="18"/>
              </w:rPr>
            </w:pPr>
            <w:r w:rsidRPr="00545EC0">
              <w:rPr>
                <w:rFonts w:cs="Arial"/>
                <w:i/>
                <w:sz w:val="18"/>
                <w:szCs w:val="18"/>
              </w:rPr>
              <w:t>Podaljšan in posodobljen</w:t>
            </w:r>
          </w:p>
        </w:tc>
      </w:tr>
      <w:tr w:rsidR="007E0EDE" w:rsidRPr="00545EC0" w14:paraId="7BE09CCC" w14:textId="77777777" w:rsidTr="00BE686D">
        <w:trPr>
          <w:cantSplit/>
          <w:trHeight w:val="525"/>
        </w:trPr>
        <w:tc>
          <w:tcPr>
            <w:tcW w:w="582" w:type="pct"/>
          </w:tcPr>
          <w:p w14:paraId="71A5DA0F" w14:textId="77777777" w:rsidR="0018237C" w:rsidRPr="00545EC0" w:rsidRDefault="0018237C" w:rsidP="00F93A51">
            <w:pPr>
              <w:spacing w:line="240" w:lineRule="auto"/>
              <w:jc w:val="left"/>
              <w:rPr>
                <w:rFonts w:cs="Arial"/>
                <w:sz w:val="18"/>
                <w:szCs w:val="18"/>
              </w:rPr>
            </w:pPr>
            <w:r w:rsidRPr="00545EC0">
              <w:rPr>
                <w:rFonts w:cs="Arial"/>
                <w:sz w:val="18"/>
                <w:szCs w:val="18"/>
              </w:rPr>
              <w:t>Temeljni ukrep »a«</w:t>
            </w:r>
          </w:p>
        </w:tc>
        <w:tc>
          <w:tcPr>
            <w:tcW w:w="580" w:type="pct"/>
            <w:shd w:val="clear" w:color="auto" w:fill="auto"/>
            <w:hideMark/>
          </w:tcPr>
          <w:p w14:paraId="02AB6A76" w14:textId="77777777" w:rsidR="0018237C" w:rsidRPr="00545EC0" w:rsidRDefault="0018237C" w:rsidP="00F93A51">
            <w:pPr>
              <w:spacing w:line="240" w:lineRule="auto"/>
              <w:jc w:val="left"/>
              <w:rPr>
                <w:rFonts w:cs="Arial"/>
                <w:sz w:val="18"/>
                <w:szCs w:val="18"/>
              </w:rPr>
            </w:pPr>
            <w:r w:rsidRPr="00545EC0">
              <w:rPr>
                <w:rFonts w:cs="Arial"/>
                <w:sz w:val="18"/>
                <w:szCs w:val="18"/>
              </w:rPr>
              <w:t>4ETa</w:t>
            </w:r>
          </w:p>
        </w:tc>
        <w:tc>
          <w:tcPr>
            <w:tcW w:w="1669" w:type="pct"/>
            <w:shd w:val="clear" w:color="auto" w:fill="auto"/>
            <w:hideMark/>
          </w:tcPr>
          <w:p w14:paraId="051FF1D5" w14:textId="77777777" w:rsidR="0018237C" w:rsidRPr="00545EC0" w:rsidRDefault="0018237C" w:rsidP="00F93A51">
            <w:pPr>
              <w:spacing w:line="240" w:lineRule="auto"/>
              <w:jc w:val="left"/>
              <w:rPr>
                <w:rFonts w:cs="Arial"/>
                <w:sz w:val="18"/>
                <w:szCs w:val="18"/>
              </w:rPr>
            </w:pPr>
            <w:r w:rsidRPr="00545EC0">
              <w:rPr>
                <w:rFonts w:cs="Arial"/>
                <w:sz w:val="18"/>
                <w:szCs w:val="18"/>
              </w:rPr>
              <w:t>Ocena povračila finančnih stroškov izvajanja storitev obveznih občinskih gospodarskih javnih služb oskrbe s pitno vodo ter odvajanja in čiščenja komunalne odpadne vode</w:t>
            </w:r>
          </w:p>
        </w:tc>
        <w:tc>
          <w:tcPr>
            <w:tcW w:w="774" w:type="pct"/>
          </w:tcPr>
          <w:p w14:paraId="358D3E5E" w14:textId="77777777" w:rsidR="0018237C" w:rsidRPr="00545EC0" w:rsidRDefault="0018237C" w:rsidP="00F93A51">
            <w:pPr>
              <w:spacing w:line="240" w:lineRule="auto"/>
              <w:jc w:val="left"/>
              <w:rPr>
                <w:rFonts w:cs="Arial"/>
                <w:i/>
                <w:sz w:val="18"/>
                <w:szCs w:val="18"/>
              </w:rPr>
            </w:pPr>
            <w:r w:rsidRPr="00545EC0">
              <w:rPr>
                <w:rFonts w:cs="Arial"/>
                <w:i/>
                <w:sz w:val="18"/>
                <w:szCs w:val="18"/>
              </w:rPr>
              <w:t>Varstvo voda, Raba voda</w:t>
            </w:r>
          </w:p>
        </w:tc>
        <w:tc>
          <w:tcPr>
            <w:tcW w:w="681" w:type="pct"/>
          </w:tcPr>
          <w:p w14:paraId="069E594A" w14:textId="77777777" w:rsidR="0018237C" w:rsidRPr="00545EC0" w:rsidRDefault="0018237C" w:rsidP="00F93A51">
            <w:pPr>
              <w:spacing w:line="240" w:lineRule="auto"/>
              <w:jc w:val="left"/>
              <w:rPr>
                <w:rFonts w:cs="Arial"/>
                <w:i/>
                <w:sz w:val="18"/>
                <w:szCs w:val="18"/>
              </w:rPr>
            </w:pPr>
            <w:r w:rsidRPr="00545EC0">
              <w:rPr>
                <w:rFonts w:cs="Arial"/>
                <w:i/>
                <w:sz w:val="18"/>
                <w:szCs w:val="18"/>
              </w:rPr>
              <w:t>Ekonomski instrumenti</w:t>
            </w:r>
          </w:p>
        </w:tc>
        <w:tc>
          <w:tcPr>
            <w:tcW w:w="714" w:type="pct"/>
          </w:tcPr>
          <w:p w14:paraId="03D4201D" w14:textId="77777777" w:rsidR="0018237C" w:rsidRPr="00545EC0" w:rsidRDefault="0018237C" w:rsidP="00F93A51">
            <w:pPr>
              <w:spacing w:line="240" w:lineRule="auto"/>
              <w:jc w:val="left"/>
              <w:rPr>
                <w:rFonts w:cs="Arial"/>
                <w:i/>
                <w:sz w:val="18"/>
                <w:szCs w:val="18"/>
              </w:rPr>
            </w:pPr>
            <w:r w:rsidRPr="00545EC0">
              <w:rPr>
                <w:rFonts w:cs="Arial"/>
                <w:i/>
                <w:sz w:val="18"/>
                <w:szCs w:val="18"/>
              </w:rPr>
              <w:t>Podaljšan in posodobljen</w:t>
            </w:r>
          </w:p>
        </w:tc>
      </w:tr>
      <w:tr w:rsidR="007E0EDE" w:rsidRPr="00545EC0" w14:paraId="21D881BE" w14:textId="77777777" w:rsidTr="00BE686D">
        <w:trPr>
          <w:cantSplit/>
          <w:trHeight w:val="300"/>
        </w:trPr>
        <w:tc>
          <w:tcPr>
            <w:tcW w:w="582" w:type="pct"/>
          </w:tcPr>
          <w:p w14:paraId="72EC3B03" w14:textId="77777777" w:rsidR="0018237C" w:rsidRPr="00545EC0" w:rsidRDefault="0018237C" w:rsidP="00F93A51">
            <w:pPr>
              <w:spacing w:line="240" w:lineRule="auto"/>
              <w:jc w:val="left"/>
              <w:rPr>
                <w:rFonts w:cs="Arial"/>
                <w:sz w:val="18"/>
                <w:szCs w:val="18"/>
              </w:rPr>
            </w:pPr>
            <w:r w:rsidRPr="00545EC0">
              <w:rPr>
                <w:rFonts w:cs="Arial"/>
                <w:sz w:val="18"/>
                <w:szCs w:val="18"/>
              </w:rPr>
              <w:lastRenderedPageBreak/>
              <w:t>Temeljni ukrep »a«</w:t>
            </w:r>
          </w:p>
        </w:tc>
        <w:tc>
          <w:tcPr>
            <w:tcW w:w="580" w:type="pct"/>
            <w:shd w:val="clear" w:color="auto" w:fill="auto"/>
            <w:hideMark/>
          </w:tcPr>
          <w:p w14:paraId="6BA0DA7F" w14:textId="77777777" w:rsidR="0018237C" w:rsidRPr="00545EC0" w:rsidRDefault="0018237C" w:rsidP="00F93A51">
            <w:pPr>
              <w:spacing w:line="240" w:lineRule="auto"/>
              <w:jc w:val="left"/>
              <w:rPr>
                <w:rFonts w:cs="Arial"/>
                <w:sz w:val="18"/>
                <w:szCs w:val="18"/>
              </w:rPr>
            </w:pPr>
            <w:r w:rsidRPr="00545EC0">
              <w:rPr>
                <w:rFonts w:cs="Arial"/>
                <w:sz w:val="18"/>
                <w:szCs w:val="18"/>
              </w:rPr>
              <w:t>BI1.1a</w:t>
            </w:r>
          </w:p>
        </w:tc>
        <w:tc>
          <w:tcPr>
            <w:tcW w:w="1669" w:type="pct"/>
            <w:shd w:val="clear" w:color="auto" w:fill="auto"/>
            <w:hideMark/>
          </w:tcPr>
          <w:p w14:paraId="14EB3672" w14:textId="30ADC744" w:rsidR="0018237C" w:rsidRPr="00545EC0" w:rsidRDefault="0018237C" w:rsidP="00F93A51">
            <w:pPr>
              <w:spacing w:line="240" w:lineRule="auto"/>
              <w:jc w:val="left"/>
              <w:rPr>
                <w:rFonts w:cs="Arial"/>
                <w:sz w:val="18"/>
                <w:szCs w:val="18"/>
              </w:rPr>
            </w:pPr>
            <w:r w:rsidRPr="00545EC0">
              <w:rPr>
                <w:rFonts w:cs="Arial"/>
                <w:sz w:val="18"/>
                <w:szCs w:val="18"/>
              </w:rPr>
              <w:t xml:space="preserve">Ukrepi za preprečevanje in zmanjševanje vnosa </w:t>
            </w:r>
            <w:r w:rsidR="00CA4665">
              <w:rPr>
                <w:rFonts w:cs="Arial"/>
                <w:sz w:val="18"/>
                <w:szCs w:val="18"/>
              </w:rPr>
              <w:t xml:space="preserve">ter širjenja </w:t>
            </w:r>
            <w:r w:rsidRPr="00545EC0">
              <w:rPr>
                <w:rFonts w:cs="Arial"/>
                <w:sz w:val="18"/>
                <w:szCs w:val="18"/>
              </w:rPr>
              <w:t>tujerodnih vodnih vrst</w:t>
            </w:r>
          </w:p>
        </w:tc>
        <w:tc>
          <w:tcPr>
            <w:tcW w:w="774" w:type="pct"/>
          </w:tcPr>
          <w:p w14:paraId="1E947414" w14:textId="77777777" w:rsidR="0018237C" w:rsidRPr="00545EC0" w:rsidRDefault="0018237C" w:rsidP="00F93A51">
            <w:pPr>
              <w:spacing w:line="240" w:lineRule="auto"/>
              <w:jc w:val="left"/>
              <w:rPr>
                <w:rFonts w:cs="Arial"/>
                <w:sz w:val="18"/>
                <w:szCs w:val="18"/>
              </w:rPr>
            </w:pPr>
            <w:r w:rsidRPr="00545EC0">
              <w:rPr>
                <w:rFonts w:cs="Arial"/>
                <w:i/>
                <w:sz w:val="18"/>
                <w:szCs w:val="18"/>
              </w:rPr>
              <w:t>Varstvo voda</w:t>
            </w:r>
          </w:p>
        </w:tc>
        <w:tc>
          <w:tcPr>
            <w:tcW w:w="681" w:type="pct"/>
          </w:tcPr>
          <w:p w14:paraId="4035F3BD" w14:textId="77777777" w:rsidR="0018237C" w:rsidRPr="00545EC0" w:rsidRDefault="0018237C" w:rsidP="00F93A51">
            <w:pPr>
              <w:spacing w:line="240" w:lineRule="auto"/>
              <w:jc w:val="left"/>
              <w:rPr>
                <w:rFonts w:cs="Arial"/>
                <w:i/>
                <w:sz w:val="18"/>
                <w:szCs w:val="18"/>
              </w:rPr>
            </w:pPr>
            <w:r w:rsidRPr="00545EC0">
              <w:rPr>
                <w:rFonts w:cs="Arial"/>
                <w:i/>
                <w:sz w:val="18"/>
                <w:szCs w:val="18"/>
              </w:rPr>
              <w:t>Biološke obremenitve</w:t>
            </w:r>
          </w:p>
        </w:tc>
        <w:tc>
          <w:tcPr>
            <w:tcW w:w="714" w:type="pct"/>
          </w:tcPr>
          <w:p w14:paraId="70D476A5" w14:textId="77777777" w:rsidR="0018237C" w:rsidRPr="00545EC0" w:rsidRDefault="0018237C" w:rsidP="00F93A51">
            <w:pPr>
              <w:spacing w:line="240" w:lineRule="auto"/>
              <w:jc w:val="left"/>
              <w:rPr>
                <w:rFonts w:cs="Arial"/>
                <w:i/>
                <w:sz w:val="18"/>
                <w:szCs w:val="18"/>
              </w:rPr>
            </w:pPr>
            <w:r w:rsidRPr="00545EC0">
              <w:rPr>
                <w:rFonts w:cs="Arial"/>
                <w:i/>
                <w:sz w:val="18"/>
                <w:szCs w:val="18"/>
              </w:rPr>
              <w:t>Podaljšan in posodobljen</w:t>
            </w:r>
          </w:p>
        </w:tc>
      </w:tr>
      <w:tr w:rsidR="007E0EDE" w:rsidRPr="00545EC0" w14:paraId="4BD91B6F" w14:textId="77777777" w:rsidTr="00BE686D">
        <w:trPr>
          <w:cantSplit/>
          <w:trHeight w:val="300"/>
        </w:trPr>
        <w:tc>
          <w:tcPr>
            <w:tcW w:w="582" w:type="pct"/>
          </w:tcPr>
          <w:p w14:paraId="09F61BC9" w14:textId="77777777" w:rsidR="0018237C" w:rsidRPr="00545EC0" w:rsidRDefault="0018237C" w:rsidP="00F93A51">
            <w:pPr>
              <w:spacing w:line="240" w:lineRule="auto"/>
              <w:jc w:val="left"/>
              <w:rPr>
                <w:rFonts w:cs="Arial"/>
                <w:sz w:val="18"/>
                <w:szCs w:val="18"/>
              </w:rPr>
            </w:pPr>
            <w:r w:rsidRPr="00545EC0">
              <w:rPr>
                <w:rFonts w:cs="Arial"/>
                <w:sz w:val="18"/>
                <w:szCs w:val="18"/>
              </w:rPr>
              <w:t>Temeljni ukrep »b«</w:t>
            </w:r>
          </w:p>
        </w:tc>
        <w:tc>
          <w:tcPr>
            <w:tcW w:w="580" w:type="pct"/>
            <w:shd w:val="clear" w:color="auto" w:fill="auto"/>
          </w:tcPr>
          <w:p w14:paraId="4194A59E" w14:textId="77777777" w:rsidR="0018237C" w:rsidRPr="00545EC0" w:rsidRDefault="0018237C" w:rsidP="00F93A51">
            <w:pPr>
              <w:spacing w:line="240" w:lineRule="auto"/>
              <w:jc w:val="left"/>
              <w:rPr>
                <w:rFonts w:cs="Arial"/>
                <w:sz w:val="18"/>
                <w:szCs w:val="18"/>
              </w:rPr>
            </w:pPr>
            <w:r w:rsidRPr="00545EC0">
              <w:rPr>
                <w:rFonts w:cs="Arial"/>
                <w:sz w:val="18"/>
                <w:szCs w:val="18"/>
              </w:rPr>
              <w:t>BI1.1b</w:t>
            </w:r>
          </w:p>
        </w:tc>
        <w:tc>
          <w:tcPr>
            <w:tcW w:w="1669" w:type="pct"/>
            <w:shd w:val="clear" w:color="auto" w:fill="auto"/>
          </w:tcPr>
          <w:p w14:paraId="7EA26FB1" w14:textId="77777777" w:rsidR="0018237C" w:rsidRPr="00545EC0" w:rsidRDefault="0018237C" w:rsidP="00F93A51">
            <w:pPr>
              <w:spacing w:line="240" w:lineRule="auto"/>
              <w:jc w:val="left"/>
              <w:rPr>
                <w:rFonts w:cs="Arial"/>
                <w:sz w:val="18"/>
                <w:szCs w:val="18"/>
              </w:rPr>
            </w:pPr>
            <w:r w:rsidRPr="00545EC0">
              <w:rPr>
                <w:rFonts w:cs="Arial"/>
                <w:sz w:val="18"/>
                <w:szCs w:val="18"/>
              </w:rPr>
              <w:t>Izdelava tehničnih smernic za vzrejne objekte za vodne organizme</w:t>
            </w:r>
          </w:p>
        </w:tc>
        <w:tc>
          <w:tcPr>
            <w:tcW w:w="774" w:type="pct"/>
          </w:tcPr>
          <w:p w14:paraId="38A3DC93" w14:textId="77777777" w:rsidR="0018237C" w:rsidRPr="00545EC0" w:rsidRDefault="0018237C" w:rsidP="00F93A51">
            <w:pPr>
              <w:spacing w:line="240" w:lineRule="auto"/>
              <w:jc w:val="left"/>
              <w:rPr>
                <w:rFonts w:cs="Arial"/>
                <w:i/>
                <w:sz w:val="18"/>
                <w:szCs w:val="18"/>
              </w:rPr>
            </w:pPr>
            <w:r w:rsidRPr="00545EC0">
              <w:rPr>
                <w:rFonts w:cs="Arial"/>
                <w:i/>
                <w:sz w:val="18"/>
                <w:szCs w:val="18"/>
              </w:rPr>
              <w:t>Varstvo voda</w:t>
            </w:r>
          </w:p>
        </w:tc>
        <w:tc>
          <w:tcPr>
            <w:tcW w:w="681" w:type="pct"/>
          </w:tcPr>
          <w:p w14:paraId="0151D63D" w14:textId="77777777" w:rsidR="0018237C" w:rsidRPr="00545EC0" w:rsidRDefault="0018237C" w:rsidP="00F93A51">
            <w:pPr>
              <w:spacing w:line="240" w:lineRule="auto"/>
              <w:jc w:val="left"/>
              <w:rPr>
                <w:rFonts w:cs="Arial"/>
                <w:i/>
                <w:sz w:val="18"/>
                <w:szCs w:val="18"/>
              </w:rPr>
            </w:pPr>
            <w:r w:rsidRPr="00545EC0">
              <w:rPr>
                <w:rFonts w:cs="Arial"/>
                <w:i/>
                <w:sz w:val="18"/>
                <w:szCs w:val="18"/>
              </w:rPr>
              <w:t>Biološke obremenitve</w:t>
            </w:r>
          </w:p>
        </w:tc>
        <w:tc>
          <w:tcPr>
            <w:tcW w:w="714" w:type="pct"/>
          </w:tcPr>
          <w:p w14:paraId="3B9485AD" w14:textId="77777777" w:rsidR="0018237C" w:rsidRPr="00545EC0" w:rsidRDefault="0018237C" w:rsidP="00F93A51">
            <w:pPr>
              <w:spacing w:line="240" w:lineRule="auto"/>
              <w:jc w:val="left"/>
              <w:rPr>
                <w:rFonts w:cs="Arial"/>
                <w:i/>
                <w:sz w:val="18"/>
                <w:szCs w:val="18"/>
              </w:rPr>
            </w:pPr>
            <w:r w:rsidRPr="00545EC0">
              <w:rPr>
                <w:rFonts w:cs="Arial"/>
                <w:i/>
                <w:sz w:val="18"/>
                <w:szCs w:val="18"/>
              </w:rPr>
              <w:t>Podaljšan in posodobljen</w:t>
            </w:r>
          </w:p>
        </w:tc>
      </w:tr>
      <w:tr w:rsidR="007E0EDE" w:rsidRPr="00545EC0" w14:paraId="5187EC80" w14:textId="77777777" w:rsidTr="00BE686D">
        <w:trPr>
          <w:cantSplit/>
          <w:trHeight w:val="300"/>
        </w:trPr>
        <w:tc>
          <w:tcPr>
            <w:tcW w:w="582" w:type="pct"/>
          </w:tcPr>
          <w:p w14:paraId="62FE519B" w14:textId="77777777" w:rsidR="0018237C" w:rsidRPr="00545EC0" w:rsidRDefault="0018237C" w:rsidP="00F93A51">
            <w:pPr>
              <w:spacing w:line="240" w:lineRule="auto"/>
              <w:jc w:val="left"/>
              <w:rPr>
                <w:rFonts w:cs="Arial"/>
                <w:sz w:val="18"/>
                <w:szCs w:val="18"/>
              </w:rPr>
            </w:pPr>
            <w:r w:rsidRPr="00545EC0">
              <w:rPr>
                <w:rFonts w:cs="Arial"/>
                <w:sz w:val="18"/>
                <w:szCs w:val="18"/>
              </w:rPr>
              <w:t>Temeljni ukrep »a«</w:t>
            </w:r>
          </w:p>
        </w:tc>
        <w:tc>
          <w:tcPr>
            <w:tcW w:w="580" w:type="pct"/>
            <w:shd w:val="clear" w:color="auto" w:fill="auto"/>
          </w:tcPr>
          <w:p w14:paraId="518D90CF" w14:textId="77777777" w:rsidR="0018237C" w:rsidRPr="00545EC0" w:rsidRDefault="0018237C" w:rsidP="00F93A51">
            <w:pPr>
              <w:spacing w:line="240" w:lineRule="auto"/>
              <w:jc w:val="left"/>
              <w:rPr>
                <w:rFonts w:cs="Arial"/>
                <w:sz w:val="18"/>
                <w:szCs w:val="18"/>
              </w:rPr>
            </w:pPr>
            <w:r w:rsidRPr="00545EC0">
              <w:rPr>
                <w:rFonts w:cs="Arial"/>
                <w:sz w:val="18"/>
                <w:szCs w:val="18"/>
              </w:rPr>
              <w:t>BI1.2a</w:t>
            </w:r>
          </w:p>
        </w:tc>
        <w:tc>
          <w:tcPr>
            <w:tcW w:w="1669" w:type="pct"/>
            <w:shd w:val="clear" w:color="auto" w:fill="auto"/>
          </w:tcPr>
          <w:p w14:paraId="3EF92573" w14:textId="77777777" w:rsidR="0018237C" w:rsidRPr="00545EC0" w:rsidRDefault="0018237C" w:rsidP="00F93A51">
            <w:pPr>
              <w:spacing w:line="240" w:lineRule="auto"/>
              <w:jc w:val="left"/>
              <w:rPr>
                <w:rFonts w:cs="Arial"/>
                <w:sz w:val="18"/>
                <w:szCs w:val="18"/>
              </w:rPr>
            </w:pPr>
            <w:r w:rsidRPr="00545EC0">
              <w:rPr>
                <w:rFonts w:cs="Arial"/>
                <w:sz w:val="18"/>
                <w:szCs w:val="18"/>
              </w:rPr>
              <w:t>Monitoring tujerodnih vodnih organizmov</w:t>
            </w:r>
          </w:p>
        </w:tc>
        <w:tc>
          <w:tcPr>
            <w:tcW w:w="774" w:type="pct"/>
          </w:tcPr>
          <w:p w14:paraId="771E74DB" w14:textId="77777777" w:rsidR="0018237C" w:rsidRPr="00545EC0" w:rsidRDefault="0018237C" w:rsidP="00F93A51">
            <w:pPr>
              <w:spacing w:line="240" w:lineRule="auto"/>
              <w:jc w:val="left"/>
              <w:rPr>
                <w:rFonts w:cs="Arial"/>
                <w:sz w:val="18"/>
                <w:szCs w:val="18"/>
              </w:rPr>
            </w:pPr>
            <w:r w:rsidRPr="00545EC0">
              <w:rPr>
                <w:rFonts w:cs="Arial"/>
                <w:i/>
                <w:sz w:val="18"/>
                <w:szCs w:val="18"/>
              </w:rPr>
              <w:t>Varstvo voda</w:t>
            </w:r>
          </w:p>
        </w:tc>
        <w:tc>
          <w:tcPr>
            <w:tcW w:w="681" w:type="pct"/>
          </w:tcPr>
          <w:p w14:paraId="6675EBB8" w14:textId="77777777" w:rsidR="0018237C" w:rsidRPr="00545EC0" w:rsidRDefault="0018237C" w:rsidP="00F93A51">
            <w:pPr>
              <w:spacing w:line="240" w:lineRule="auto"/>
              <w:jc w:val="left"/>
              <w:rPr>
                <w:rFonts w:cs="Arial"/>
                <w:i/>
                <w:sz w:val="18"/>
                <w:szCs w:val="18"/>
              </w:rPr>
            </w:pPr>
            <w:r w:rsidRPr="00545EC0">
              <w:rPr>
                <w:rFonts w:cs="Arial"/>
                <w:i/>
                <w:sz w:val="18"/>
                <w:szCs w:val="18"/>
              </w:rPr>
              <w:t>Biološke obremenitve</w:t>
            </w:r>
          </w:p>
        </w:tc>
        <w:tc>
          <w:tcPr>
            <w:tcW w:w="714" w:type="pct"/>
          </w:tcPr>
          <w:p w14:paraId="54E0DCEA" w14:textId="77777777" w:rsidR="0018237C" w:rsidRPr="00545EC0" w:rsidRDefault="0018237C" w:rsidP="00F93A51">
            <w:pPr>
              <w:spacing w:line="240" w:lineRule="auto"/>
              <w:jc w:val="left"/>
              <w:rPr>
                <w:rFonts w:cs="Arial"/>
                <w:i/>
                <w:sz w:val="18"/>
                <w:szCs w:val="18"/>
              </w:rPr>
            </w:pPr>
            <w:r w:rsidRPr="00545EC0">
              <w:rPr>
                <w:rFonts w:cs="Arial"/>
                <w:i/>
                <w:sz w:val="18"/>
                <w:szCs w:val="18"/>
              </w:rPr>
              <w:t>Podaljšan in posodobljen</w:t>
            </w:r>
          </w:p>
        </w:tc>
      </w:tr>
      <w:tr w:rsidR="007E0EDE" w:rsidRPr="00545EC0" w14:paraId="5F96DAED" w14:textId="77777777" w:rsidTr="00BE686D">
        <w:trPr>
          <w:cantSplit/>
          <w:trHeight w:val="300"/>
        </w:trPr>
        <w:tc>
          <w:tcPr>
            <w:tcW w:w="582" w:type="pct"/>
          </w:tcPr>
          <w:p w14:paraId="6688CF20" w14:textId="77777777" w:rsidR="0018237C" w:rsidRPr="00545EC0" w:rsidRDefault="0018237C" w:rsidP="00F93A51">
            <w:pPr>
              <w:spacing w:line="240" w:lineRule="auto"/>
              <w:jc w:val="left"/>
              <w:rPr>
                <w:rFonts w:cs="Arial"/>
                <w:sz w:val="18"/>
                <w:szCs w:val="18"/>
              </w:rPr>
            </w:pPr>
            <w:r w:rsidRPr="00545EC0">
              <w:rPr>
                <w:rFonts w:cs="Arial"/>
                <w:sz w:val="18"/>
                <w:szCs w:val="18"/>
              </w:rPr>
              <w:t>Temeljni ukrep »a«</w:t>
            </w:r>
          </w:p>
        </w:tc>
        <w:tc>
          <w:tcPr>
            <w:tcW w:w="580" w:type="pct"/>
            <w:shd w:val="clear" w:color="auto" w:fill="auto"/>
          </w:tcPr>
          <w:p w14:paraId="297EFCA8" w14:textId="77777777" w:rsidR="0018237C" w:rsidRPr="00545EC0" w:rsidRDefault="0018237C" w:rsidP="00F93A51">
            <w:pPr>
              <w:spacing w:line="240" w:lineRule="auto"/>
              <w:jc w:val="left"/>
              <w:rPr>
                <w:rFonts w:cs="Arial"/>
                <w:sz w:val="18"/>
                <w:szCs w:val="18"/>
              </w:rPr>
            </w:pPr>
            <w:r w:rsidRPr="00545EC0">
              <w:rPr>
                <w:rFonts w:cs="Arial"/>
                <w:sz w:val="18"/>
                <w:szCs w:val="18"/>
              </w:rPr>
              <w:t>HM1a</w:t>
            </w:r>
          </w:p>
        </w:tc>
        <w:tc>
          <w:tcPr>
            <w:tcW w:w="1669" w:type="pct"/>
            <w:shd w:val="clear" w:color="auto" w:fill="auto"/>
          </w:tcPr>
          <w:p w14:paraId="07AF8071" w14:textId="77777777" w:rsidR="0018237C" w:rsidRPr="00545EC0" w:rsidRDefault="0018237C" w:rsidP="00F93A51">
            <w:pPr>
              <w:spacing w:line="240" w:lineRule="auto"/>
              <w:jc w:val="left"/>
              <w:rPr>
                <w:rFonts w:cs="Arial"/>
                <w:sz w:val="18"/>
                <w:szCs w:val="18"/>
              </w:rPr>
            </w:pPr>
            <w:r w:rsidRPr="00545EC0">
              <w:rPr>
                <w:rFonts w:cs="Arial"/>
                <w:sz w:val="18"/>
                <w:szCs w:val="18"/>
              </w:rPr>
              <w:t>Ukrepi, ki se navezujejo na doseganje dobrega ekološkega potenciala, pri proizvodnji električne energije v velikih hidroelektrarn</w:t>
            </w:r>
          </w:p>
        </w:tc>
        <w:tc>
          <w:tcPr>
            <w:tcW w:w="774" w:type="pct"/>
            <w:shd w:val="clear" w:color="auto" w:fill="FFFFFF"/>
          </w:tcPr>
          <w:p w14:paraId="72DF267F" w14:textId="77777777" w:rsidR="0018237C" w:rsidRPr="00545EC0" w:rsidRDefault="0018237C" w:rsidP="00F93A51">
            <w:pPr>
              <w:spacing w:line="240" w:lineRule="auto"/>
              <w:jc w:val="left"/>
              <w:rPr>
                <w:rFonts w:cs="Arial"/>
                <w:sz w:val="18"/>
                <w:szCs w:val="18"/>
              </w:rPr>
            </w:pPr>
            <w:r w:rsidRPr="00545EC0">
              <w:rPr>
                <w:rFonts w:cs="Arial"/>
                <w:i/>
                <w:sz w:val="18"/>
                <w:szCs w:val="18"/>
              </w:rPr>
              <w:t>Varstvo voda</w:t>
            </w:r>
          </w:p>
        </w:tc>
        <w:tc>
          <w:tcPr>
            <w:tcW w:w="681" w:type="pct"/>
            <w:shd w:val="clear" w:color="auto" w:fill="FFFFFF"/>
          </w:tcPr>
          <w:p w14:paraId="75D4BFDC" w14:textId="77777777" w:rsidR="0018237C" w:rsidRPr="00545EC0" w:rsidRDefault="0018237C" w:rsidP="00F93A51">
            <w:pPr>
              <w:spacing w:line="240" w:lineRule="auto"/>
              <w:jc w:val="left"/>
              <w:rPr>
                <w:rFonts w:cs="Arial"/>
                <w:i/>
                <w:sz w:val="18"/>
                <w:szCs w:val="18"/>
              </w:rPr>
            </w:pPr>
            <w:r w:rsidRPr="00545EC0">
              <w:rPr>
                <w:rFonts w:cs="Arial"/>
                <w:i/>
                <w:sz w:val="18"/>
                <w:szCs w:val="18"/>
              </w:rPr>
              <w:t>Hidromorfološke obremenitve</w:t>
            </w:r>
          </w:p>
        </w:tc>
        <w:tc>
          <w:tcPr>
            <w:tcW w:w="714" w:type="pct"/>
            <w:shd w:val="clear" w:color="auto" w:fill="FFFFFF"/>
          </w:tcPr>
          <w:p w14:paraId="7DD14026" w14:textId="77777777" w:rsidR="0018237C" w:rsidRPr="00545EC0" w:rsidRDefault="0018237C" w:rsidP="00F93A51">
            <w:pPr>
              <w:spacing w:line="240" w:lineRule="auto"/>
              <w:jc w:val="left"/>
              <w:rPr>
                <w:rFonts w:cs="Arial"/>
                <w:i/>
                <w:sz w:val="18"/>
                <w:szCs w:val="18"/>
              </w:rPr>
            </w:pPr>
            <w:r w:rsidRPr="00545EC0">
              <w:rPr>
                <w:rFonts w:cs="Arial"/>
                <w:i/>
                <w:sz w:val="18"/>
                <w:szCs w:val="18"/>
              </w:rPr>
              <w:t>Podaljšan in posodobljen</w:t>
            </w:r>
          </w:p>
        </w:tc>
      </w:tr>
      <w:tr w:rsidR="007E0EDE" w:rsidRPr="00545EC0" w14:paraId="45395969" w14:textId="77777777" w:rsidTr="00BE686D">
        <w:trPr>
          <w:cantSplit/>
          <w:trHeight w:val="525"/>
        </w:trPr>
        <w:tc>
          <w:tcPr>
            <w:tcW w:w="582" w:type="pct"/>
          </w:tcPr>
          <w:p w14:paraId="3959B04E" w14:textId="77777777" w:rsidR="0018237C" w:rsidRPr="00545EC0" w:rsidRDefault="0018237C" w:rsidP="00F93A51">
            <w:pPr>
              <w:spacing w:line="240" w:lineRule="auto"/>
              <w:jc w:val="left"/>
              <w:rPr>
                <w:rFonts w:cs="Arial"/>
                <w:sz w:val="18"/>
                <w:szCs w:val="18"/>
              </w:rPr>
            </w:pPr>
            <w:r w:rsidRPr="00545EC0">
              <w:rPr>
                <w:rFonts w:cs="Arial"/>
                <w:sz w:val="18"/>
                <w:szCs w:val="18"/>
              </w:rPr>
              <w:t>Temeljni ukrep »b«</w:t>
            </w:r>
          </w:p>
        </w:tc>
        <w:tc>
          <w:tcPr>
            <w:tcW w:w="580" w:type="pct"/>
            <w:shd w:val="clear" w:color="auto" w:fill="auto"/>
            <w:hideMark/>
          </w:tcPr>
          <w:p w14:paraId="40CD83FE" w14:textId="77777777" w:rsidR="0018237C" w:rsidRPr="00545EC0" w:rsidRDefault="0018237C" w:rsidP="00F93A51">
            <w:pPr>
              <w:spacing w:line="240" w:lineRule="auto"/>
              <w:jc w:val="left"/>
              <w:rPr>
                <w:rFonts w:cs="Arial"/>
                <w:sz w:val="18"/>
                <w:szCs w:val="18"/>
              </w:rPr>
            </w:pPr>
            <w:r w:rsidRPr="00545EC0">
              <w:rPr>
                <w:rFonts w:cs="Arial"/>
                <w:sz w:val="18"/>
                <w:szCs w:val="18"/>
              </w:rPr>
              <w:t>HM1.1b</w:t>
            </w:r>
          </w:p>
        </w:tc>
        <w:tc>
          <w:tcPr>
            <w:tcW w:w="1669" w:type="pct"/>
            <w:shd w:val="clear" w:color="auto" w:fill="auto"/>
          </w:tcPr>
          <w:p w14:paraId="274D7114" w14:textId="77777777" w:rsidR="0018237C" w:rsidRPr="00545EC0" w:rsidRDefault="0018237C" w:rsidP="00F93A51">
            <w:pPr>
              <w:spacing w:line="240" w:lineRule="auto"/>
              <w:jc w:val="left"/>
              <w:rPr>
                <w:rFonts w:cs="Arial"/>
                <w:sz w:val="18"/>
                <w:szCs w:val="18"/>
              </w:rPr>
            </w:pPr>
            <w:r w:rsidRPr="00545EC0" w:rsidDel="00071770">
              <w:rPr>
                <w:rFonts w:cs="Arial"/>
                <w:sz w:val="18"/>
                <w:szCs w:val="18"/>
              </w:rPr>
              <w:t>Priprava podrobnejše ocene izvajanja ukrepov, ki se navezujejo na doseganje dobrega ekološkega potenciala, pri proizvodnji električne energije v velikih hidroelektrarnah in po potrebi priprava podrobnejših usmeritev za izvajanje le teh</w:t>
            </w:r>
          </w:p>
        </w:tc>
        <w:tc>
          <w:tcPr>
            <w:tcW w:w="774" w:type="pct"/>
          </w:tcPr>
          <w:p w14:paraId="60F7E2E2" w14:textId="77777777" w:rsidR="0018237C" w:rsidRPr="00545EC0" w:rsidRDefault="0018237C" w:rsidP="00F93A51">
            <w:pPr>
              <w:spacing w:line="240" w:lineRule="auto"/>
              <w:jc w:val="left"/>
              <w:rPr>
                <w:rFonts w:cs="Arial"/>
                <w:i/>
                <w:sz w:val="18"/>
                <w:szCs w:val="18"/>
              </w:rPr>
            </w:pPr>
            <w:r w:rsidRPr="00545EC0">
              <w:rPr>
                <w:rFonts w:cs="Arial"/>
                <w:i/>
                <w:sz w:val="18"/>
                <w:szCs w:val="18"/>
              </w:rPr>
              <w:t>Varstvo voda</w:t>
            </w:r>
          </w:p>
        </w:tc>
        <w:tc>
          <w:tcPr>
            <w:tcW w:w="681" w:type="pct"/>
          </w:tcPr>
          <w:p w14:paraId="20C7D10B" w14:textId="77777777" w:rsidR="0018237C" w:rsidRPr="00545EC0" w:rsidRDefault="0018237C" w:rsidP="00F93A51">
            <w:pPr>
              <w:spacing w:line="240" w:lineRule="auto"/>
              <w:jc w:val="left"/>
              <w:rPr>
                <w:rFonts w:cs="Arial"/>
                <w:i/>
                <w:sz w:val="18"/>
                <w:szCs w:val="18"/>
              </w:rPr>
            </w:pPr>
            <w:r w:rsidRPr="00545EC0">
              <w:rPr>
                <w:rFonts w:cs="Arial"/>
                <w:i/>
                <w:sz w:val="18"/>
                <w:szCs w:val="18"/>
              </w:rPr>
              <w:t>Hidromorfološke obremenitve</w:t>
            </w:r>
          </w:p>
        </w:tc>
        <w:tc>
          <w:tcPr>
            <w:tcW w:w="714" w:type="pct"/>
          </w:tcPr>
          <w:p w14:paraId="2CAB5DC7" w14:textId="77777777" w:rsidR="0018237C" w:rsidRPr="00545EC0" w:rsidRDefault="0018237C" w:rsidP="00F93A51">
            <w:pPr>
              <w:spacing w:line="240" w:lineRule="auto"/>
              <w:jc w:val="left"/>
              <w:rPr>
                <w:rFonts w:cs="Arial"/>
                <w:i/>
                <w:sz w:val="18"/>
                <w:szCs w:val="18"/>
              </w:rPr>
            </w:pPr>
            <w:r w:rsidRPr="00545EC0">
              <w:rPr>
                <w:rFonts w:cs="Arial"/>
                <w:i/>
                <w:sz w:val="18"/>
                <w:szCs w:val="18"/>
              </w:rPr>
              <w:t>Oblikovan nov ukrep, ki nadomešča HM1b</w:t>
            </w:r>
          </w:p>
        </w:tc>
      </w:tr>
      <w:tr w:rsidR="007E0EDE" w:rsidRPr="00545EC0" w14:paraId="376AC38A" w14:textId="77777777" w:rsidTr="00BE686D">
        <w:trPr>
          <w:cantSplit/>
          <w:trHeight w:val="525"/>
        </w:trPr>
        <w:tc>
          <w:tcPr>
            <w:tcW w:w="582" w:type="pct"/>
          </w:tcPr>
          <w:p w14:paraId="4427DAE0" w14:textId="77777777" w:rsidR="0018237C" w:rsidRPr="00545EC0" w:rsidRDefault="0018237C" w:rsidP="00F93A51">
            <w:pPr>
              <w:spacing w:line="240" w:lineRule="auto"/>
              <w:jc w:val="left"/>
              <w:rPr>
                <w:rFonts w:cs="Arial"/>
                <w:sz w:val="18"/>
                <w:szCs w:val="18"/>
              </w:rPr>
            </w:pPr>
            <w:r w:rsidRPr="00545EC0">
              <w:rPr>
                <w:rFonts w:cs="Arial"/>
                <w:sz w:val="18"/>
                <w:szCs w:val="18"/>
              </w:rPr>
              <w:t>Temeljni ukrep »a«</w:t>
            </w:r>
          </w:p>
        </w:tc>
        <w:tc>
          <w:tcPr>
            <w:tcW w:w="580" w:type="pct"/>
            <w:shd w:val="clear" w:color="auto" w:fill="auto"/>
            <w:hideMark/>
          </w:tcPr>
          <w:p w14:paraId="48049306" w14:textId="77777777" w:rsidR="0018237C" w:rsidRPr="00545EC0" w:rsidRDefault="0018237C" w:rsidP="00F93A51">
            <w:pPr>
              <w:spacing w:line="240" w:lineRule="auto"/>
              <w:jc w:val="left"/>
              <w:rPr>
                <w:rFonts w:cs="Arial"/>
                <w:sz w:val="18"/>
                <w:szCs w:val="18"/>
              </w:rPr>
            </w:pPr>
            <w:r w:rsidRPr="00545EC0">
              <w:rPr>
                <w:rFonts w:cs="Arial"/>
                <w:sz w:val="18"/>
                <w:szCs w:val="18"/>
              </w:rPr>
              <w:t>HM2a</w:t>
            </w:r>
          </w:p>
        </w:tc>
        <w:tc>
          <w:tcPr>
            <w:tcW w:w="1669" w:type="pct"/>
            <w:shd w:val="clear" w:color="auto" w:fill="auto"/>
          </w:tcPr>
          <w:p w14:paraId="72892A3D" w14:textId="77777777" w:rsidR="0018237C" w:rsidRPr="00545EC0" w:rsidRDefault="0018237C" w:rsidP="00F93A51">
            <w:pPr>
              <w:spacing w:line="240" w:lineRule="auto"/>
              <w:jc w:val="left"/>
              <w:rPr>
                <w:rFonts w:cs="Arial"/>
                <w:sz w:val="18"/>
                <w:szCs w:val="18"/>
              </w:rPr>
            </w:pPr>
            <w:r w:rsidRPr="00545EC0">
              <w:rPr>
                <w:rFonts w:cs="Arial"/>
                <w:sz w:val="18"/>
                <w:szCs w:val="18"/>
              </w:rPr>
              <w:t>Ukrepi, ki se navezujejo na zagotavljanje dobrega stanja voda, pri proizvodnji električne energije v malih hidroelektrarn</w:t>
            </w:r>
          </w:p>
        </w:tc>
        <w:tc>
          <w:tcPr>
            <w:tcW w:w="774" w:type="pct"/>
          </w:tcPr>
          <w:p w14:paraId="132656EE" w14:textId="77777777" w:rsidR="0018237C" w:rsidRPr="00545EC0" w:rsidRDefault="0018237C" w:rsidP="00F93A51">
            <w:pPr>
              <w:spacing w:line="240" w:lineRule="auto"/>
              <w:jc w:val="left"/>
              <w:rPr>
                <w:rFonts w:cs="Arial"/>
                <w:i/>
                <w:sz w:val="18"/>
                <w:szCs w:val="18"/>
              </w:rPr>
            </w:pPr>
            <w:r w:rsidRPr="00545EC0">
              <w:rPr>
                <w:rFonts w:cs="Arial"/>
                <w:i/>
                <w:sz w:val="18"/>
                <w:szCs w:val="18"/>
              </w:rPr>
              <w:t>Varstvo voda</w:t>
            </w:r>
          </w:p>
        </w:tc>
        <w:tc>
          <w:tcPr>
            <w:tcW w:w="681" w:type="pct"/>
          </w:tcPr>
          <w:p w14:paraId="40E1AA2C" w14:textId="77777777" w:rsidR="0018237C" w:rsidRPr="00545EC0" w:rsidRDefault="0018237C" w:rsidP="00F93A51">
            <w:pPr>
              <w:spacing w:line="240" w:lineRule="auto"/>
              <w:jc w:val="left"/>
              <w:rPr>
                <w:rFonts w:cs="Arial"/>
                <w:i/>
                <w:sz w:val="18"/>
                <w:szCs w:val="18"/>
              </w:rPr>
            </w:pPr>
            <w:r w:rsidRPr="00545EC0">
              <w:rPr>
                <w:rFonts w:cs="Arial"/>
                <w:i/>
                <w:sz w:val="18"/>
                <w:szCs w:val="18"/>
              </w:rPr>
              <w:t>Hidromorfološke obremenitve</w:t>
            </w:r>
          </w:p>
        </w:tc>
        <w:tc>
          <w:tcPr>
            <w:tcW w:w="714" w:type="pct"/>
          </w:tcPr>
          <w:p w14:paraId="2C4A3F4A" w14:textId="77777777" w:rsidR="0018237C" w:rsidRPr="00545EC0" w:rsidRDefault="0018237C" w:rsidP="00F93A51">
            <w:pPr>
              <w:spacing w:line="240" w:lineRule="auto"/>
              <w:jc w:val="left"/>
              <w:rPr>
                <w:rFonts w:cs="Arial"/>
                <w:i/>
                <w:sz w:val="18"/>
                <w:szCs w:val="18"/>
              </w:rPr>
            </w:pPr>
            <w:r w:rsidRPr="00545EC0">
              <w:rPr>
                <w:rFonts w:cs="Arial"/>
                <w:i/>
                <w:sz w:val="18"/>
                <w:szCs w:val="18"/>
              </w:rPr>
              <w:t>Podaljšan in posodobljen</w:t>
            </w:r>
          </w:p>
        </w:tc>
      </w:tr>
      <w:tr w:rsidR="007E0EDE" w:rsidRPr="00545EC0" w14:paraId="054FBB32" w14:textId="77777777" w:rsidTr="00BE686D">
        <w:trPr>
          <w:cantSplit/>
          <w:trHeight w:val="525"/>
        </w:trPr>
        <w:tc>
          <w:tcPr>
            <w:tcW w:w="582" w:type="pct"/>
          </w:tcPr>
          <w:p w14:paraId="15DC4DD1" w14:textId="77777777" w:rsidR="0018237C" w:rsidRPr="00545EC0" w:rsidRDefault="0018237C" w:rsidP="00F93A51">
            <w:pPr>
              <w:spacing w:line="240" w:lineRule="auto"/>
              <w:jc w:val="left"/>
              <w:rPr>
                <w:rFonts w:cs="Arial"/>
                <w:sz w:val="18"/>
                <w:szCs w:val="18"/>
                <w:lang w:eastAsia="zh-CN"/>
              </w:rPr>
            </w:pPr>
            <w:r w:rsidRPr="00545EC0">
              <w:rPr>
                <w:rFonts w:cs="Arial"/>
                <w:sz w:val="18"/>
                <w:szCs w:val="18"/>
              </w:rPr>
              <w:t>Temeljni ukrep »b«</w:t>
            </w:r>
          </w:p>
        </w:tc>
        <w:tc>
          <w:tcPr>
            <w:tcW w:w="580" w:type="pct"/>
            <w:shd w:val="clear" w:color="auto" w:fill="auto"/>
          </w:tcPr>
          <w:p w14:paraId="3FA205BF" w14:textId="77777777" w:rsidR="0018237C" w:rsidRPr="00545EC0" w:rsidRDefault="0018237C" w:rsidP="00F93A51">
            <w:pPr>
              <w:spacing w:line="240" w:lineRule="auto"/>
              <w:jc w:val="left"/>
              <w:rPr>
                <w:rFonts w:cs="Arial"/>
                <w:sz w:val="18"/>
                <w:szCs w:val="18"/>
              </w:rPr>
            </w:pPr>
            <w:r w:rsidRPr="00545EC0">
              <w:rPr>
                <w:rFonts w:cs="Arial"/>
                <w:sz w:val="18"/>
                <w:szCs w:val="18"/>
                <w:lang w:eastAsia="zh-CN"/>
              </w:rPr>
              <w:t>HM2b</w:t>
            </w:r>
          </w:p>
        </w:tc>
        <w:tc>
          <w:tcPr>
            <w:tcW w:w="1669" w:type="pct"/>
            <w:shd w:val="clear" w:color="auto" w:fill="auto"/>
          </w:tcPr>
          <w:p w14:paraId="45C33A6A" w14:textId="77777777" w:rsidR="0018237C" w:rsidRPr="00545EC0" w:rsidRDefault="0018237C" w:rsidP="00F93A51">
            <w:pPr>
              <w:spacing w:line="240" w:lineRule="auto"/>
              <w:jc w:val="left"/>
              <w:rPr>
                <w:rFonts w:cs="Arial"/>
                <w:sz w:val="18"/>
                <w:szCs w:val="18"/>
              </w:rPr>
            </w:pPr>
            <w:r w:rsidRPr="00545EC0">
              <w:rPr>
                <w:rFonts w:cs="Arial"/>
                <w:sz w:val="18"/>
                <w:szCs w:val="18"/>
              </w:rPr>
              <w:t>Posodobitev pogojev za podeljevanje podpor za proizvodnjo električne energije malih hidroelektrarn</w:t>
            </w:r>
          </w:p>
        </w:tc>
        <w:tc>
          <w:tcPr>
            <w:tcW w:w="774" w:type="pct"/>
            <w:shd w:val="clear" w:color="auto" w:fill="auto"/>
          </w:tcPr>
          <w:p w14:paraId="6DA4E007" w14:textId="77777777" w:rsidR="0018237C" w:rsidRPr="00545EC0" w:rsidRDefault="0018237C" w:rsidP="00F93A51">
            <w:pPr>
              <w:spacing w:line="240" w:lineRule="auto"/>
              <w:jc w:val="left"/>
              <w:rPr>
                <w:rFonts w:cs="Arial"/>
                <w:i/>
                <w:sz w:val="18"/>
                <w:szCs w:val="18"/>
              </w:rPr>
            </w:pPr>
            <w:r w:rsidRPr="00545EC0">
              <w:rPr>
                <w:rFonts w:cs="Arial"/>
                <w:i/>
                <w:sz w:val="18"/>
                <w:szCs w:val="18"/>
              </w:rPr>
              <w:t xml:space="preserve">Varstvo voda, </w:t>
            </w:r>
          </w:p>
        </w:tc>
        <w:tc>
          <w:tcPr>
            <w:tcW w:w="681" w:type="pct"/>
            <w:shd w:val="clear" w:color="auto" w:fill="auto"/>
          </w:tcPr>
          <w:p w14:paraId="69335F7B" w14:textId="77777777" w:rsidR="0018237C" w:rsidRPr="00545EC0" w:rsidRDefault="0018237C" w:rsidP="00F93A51">
            <w:pPr>
              <w:spacing w:line="240" w:lineRule="auto"/>
              <w:jc w:val="left"/>
              <w:rPr>
                <w:rFonts w:cs="Arial"/>
                <w:i/>
                <w:sz w:val="18"/>
                <w:szCs w:val="18"/>
              </w:rPr>
            </w:pPr>
            <w:r w:rsidRPr="00545EC0">
              <w:rPr>
                <w:rFonts w:cs="Arial"/>
                <w:i/>
                <w:sz w:val="18"/>
                <w:szCs w:val="18"/>
              </w:rPr>
              <w:t>Hidromorfološke obremenitve</w:t>
            </w:r>
          </w:p>
        </w:tc>
        <w:tc>
          <w:tcPr>
            <w:tcW w:w="714" w:type="pct"/>
          </w:tcPr>
          <w:p w14:paraId="72E2E3F2" w14:textId="77777777" w:rsidR="0018237C" w:rsidRPr="00545EC0" w:rsidRDefault="0018237C" w:rsidP="00F93A51">
            <w:pPr>
              <w:spacing w:line="240" w:lineRule="auto"/>
              <w:jc w:val="left"/>
              <w:rPr>
                <w:rFonts w:cs="Arial"/>
                <w:i/>
                <w:sz w:val="18"/>
                <w:szCs w:val="18"/>
              </w:rPr>
            </w:pPr>
            <w:r w:rsidRPr="00545EC0">
              <w:rPr>
                <w:rFonts w:cs="Arial"/>
                <w:i/>
                <w:sz w:val="18"/>
                <w:szCs w:val="18"/>
              </w:rPr>
              <w:t>Podaljšan in posodobljen</w:t>
            </w:r>
          </w:p>
        </w:tc>
      </w:tr>
      <w:tr w:rsidR="007E0EDE" w:rsidRPr="00545EC0" w14:paraId="0F94C5FF" w14:textId="77777777" w:rsidTr="00BE686D">
        <w:trPr>
          <w:cantSplit/>
          <w:trHeight w:val="525"/>
        </w:trPr>
        <w:tc>
          <w:tcPr>
            <w:tcW w:w="582" w:type="pct"/>
          </w:tcPr>
          <w:p w14:paraId="5ECD1F70" w14:textId="77777777" w:rsidR="0018237C" w:rsidRPr="00545EC0" w:rsidRDefault="0018237C" w:rsidP="00F93A51">
            <w:pPr>
              <w:spacing w:line="240" w:lineRule="auto"/>
              <w:jc w:val="left"/>
              <w:rPr>
                <w:rFonts w:cs="Arial"/>
                <w:sz w:val="18"/>
                <w:szCs w:val="18"/>
              </w:rPr>
            </w:pPr>
            <w:r w:rsidRPr="00545EC0">
              <w:rPr>
                <w:rFonts w:cs="Arial"/>
                <w:sz w:val="18"/>
                <w:szCs w:val="18"/>
              </w:rPr>
              <w:t>Temeljni ukrep »a«</w:t>
            </w:r>
          </w:p>
        </w:tc>
        <w:tc>
          <w:tcPr>
            <w:tcW w:w="580" w:type="pct"/>
            <w:shd w:val="clear" w:color="auto" w:fill="auto"/>
          </w:tcPr>
          <w:p w14:paraId="7E3C0751" w14:textId="77777777" w:rsidR="0018237C" w:rsidRPr="00545EC0" w:rsidRDefault="0018237C" w:rsidP="00F93A51">
            <w:pPr>
              <w:spacing w:line="240" w:lineRule="auto"/>
              <w:jc w:val="left"/>
              <w:rPr>
                <w:rFonts w:cs="Arial"/>
                <w:sz w:val="18"/>
                <w:szCs w:val="18"/>
                <w:lang w:eastAsia="zh-CN"/>
              </w:rPr>
            </w:pPr>
            <w:r w:rsidRPr="00545EC0">
              <w:rPr>
                <w:rFonts w:cs="Arial"/>
                <w:sz w:val="18"/>
                <w:szCs w:val="18"/>
              </w:rPr>
              <w:t>HM7a</w:t>
            </w:r>
          </w:p>
        </w:tc>
        <w:tc>
          <w:tcPr>
            <w:tcW w:w="1669" w:type="pct"/>
            <w:shd w:val="clear" w:color="auto" w:fill="auto"/>
          </w:tcPr>
          <w:p w14:paraId="5FF1A363" w14:textId="77777777" w:rsidR="0018237C" w:rsidRPr="00545EC0" w:rsidRDefault="0018237C" w:rsidP="00F93A51">
            <w:pPr>
              <w:spacing w:line="240" w:lineRule="auto"/>
              <w:jc w:val="left"/>
              <w:rPr>
                <w:rFonts w:cs="Arial"/>
                <w:sz w:val="18"/>
                <w:szCs w:val="18"/>
              </w:rPr>
            </w:pPr>
            <w:r w:rsidRPr="00545EC0">
              <w:rPr>
                <w:rFonts w:cs="Arial"/>
                <w:sz w:val="18"/>
                <w:szCs w:val="18"/>
              </w:rPr>
              <w:t>Ukrepi za zagotavljanje prehodnosti za ribe preko prečnih objektov</w:t>
            </w:r>
          </w:p>
        </w:tc>
        <w:tc>
          <w:tcPr>
            <w:tcW w:w="774" w:type="pct"/>
            <w:shd w:val="clear" w:color="auto" w:fill="auto"/>
          </w:tcPr>
          <w:p w14:paraId="5415FBA2" w14:textId="77777777" w:rsidR="0018237C" w:rsidRPr="00545EC0" w:rsidRDefault="0018237C" w:rsidP="00F93A51">
            <w:pPr>
              <w:spacing w:line="240" w:lineRule="auto"/>
              <w:jc w:val="left"/>
              <w:rPr>
                <w:rFonts w:cs="Arial"/>
                <w:sz w:val="18"/>
                <w:szCs w:val="18"/>
              </w:rPr>
            </w:pPr>
            <w:r w:rsidRPr="00545EC0">
              <w:rPr>
                <w:rFonts w:cs="Arial"/>
                <w:i/>
                <w:sz w:val="18"/>
                <w:szCs w:val="18"/>
              </w:rPr>
              <w:t>Varstvo voda</w:t>
            </w:r>
          </w:p>
        </w:tc>
        <w:tc>
          <w:tcPr>
            <w:tcW w:w="681" w:type="pct"/>
            <w:shd w:val="clear" w:color="auto" w:fill="auto"/>
          </w:tcPr>
          <w:p w14:paraId="6A635A8E" w14:textId="77777777" w:rsidR="0018237C" w:rsidRPr="00545EC0" w:rsidRDefault="0018237C" w:rsidP="00F93A51">
            <w:pPr>
              <w:spacing w:line="240" w:lineRule="auto"/>
              <w:jc w:val="left"/>
              <w:rPr>
                <w:rFonts w:cs="Arial"/>
                <w:i/>
                <w:sz w:val="18"/>
                <w:szCs w:val="18"/>
              </w:rPr>
            </w:pPr>
            <w:r w:rsidRPr="00545EC0">
              <w:rPr>
                <w:rFonts w:cs="Arial"/>
                <w:i/>
                <w:sz w:val="18"/>
                <w:szCs w:val="18"/>
              </w:rPr>
              <w:t>Hidromorfološke obremenitve</w:t>
            </w:r>
          </w:p>
        </w:tc>
        <w:tc>
          <w:tcPr>
            <w:tcW w:w="714" w:type="pct"/>
          </w:tcPr>
          <w:p w14:paraId="0095D839" w14:textId="77777777" w:rsidR="0018237C" w:rsidRPr="00545EC0" w:rsidRDefault="0018237C" w:rsidP="00F93A51">
            <w:pPr>
              <w:spacing w:line="240" w:lineRule="auto"/>
              <w:jc w:val="left"/>
              <w:rPr>
                <w:rFonts w:cs="Arial"/>
                <w:i/>
                <w:sz w:val="18"/>
                <w:szCs w:val="18"/>
              </w:rPr>
            </w:pPr>
            <w:r w:rsidRPr="00545EC0">
              <w:rPr>
                <w:rFonts w:cs="Arial"/>
                <w:i/>
                <w:sz w:val="18"/>
                <w:szCs w:val="18"/>
              </w:rPr>
              <w:t>Podaljšan in posodobljen</w:t>
            </w:r>
          </w:p>
        </w:tc>
      </w:tr>
      <w:tr w:rsidR="007E0EDE" w:rsidRPr="00545EC0" w14:paraId="6E68B0DB" w14:textId="77777777" w:rsidTr="00BE686D">
        <w:trPr>
          <w:cantSplit/>
          <w:trHeight w:val="300"/>
        </w:trPr>
        <w:tc>
          <w:tcPr>
            <w:tcW w:w="582" w:type="pct"/>
          </w:tcPr>
          <w:p w14:paraId="597C7F75" w14:textId="77777777" w:rsidR="0018237C" w:rsidRPr="00545EC0" w:rsidRDefault="0018237C" w:rsidP="00F93A51">
            <w:pPr>
              <w:spacing w:line="240" w:lineRule="auto"/>
              <w:jc w:val="left"/>
              <w:rPr>
                <w:rFonts w:cs="Arial"/>
                <w:sz w:val="18"/>
                <w:szCs w:val="18"/>
                <w:lang w:eastAsia="zh-CN"/>
              </w:rPr>
            </w:pPr>
            <w:r w:rsidRPr="00545EC0">
              <w:rPr>
                <w:rFonts w:cs="Arial"/>
                <w:sz w:val="18"/>
                <w:szCs w:val="18"/>
              </w:rPr>
              <w:t>Temeljni ukrep »b«</w:t>
            </w:r>
          </w:p>
        </w:tc>
        <w:tc>
          <w:tcPr>
            <w:tcW w:w="580" w:type="pct"/>
            <w:shd w:val="clear" w:color="auto" w:fill="auto"/>
            <w:hideMark/>
          </w:tcPr>
          <w:p w14:paraId="18329D36" w14:textId="77777777" w:rsidR="0018237C" w:rsidRPr="00545EC0" w:rsidRDefault="0018237C" w:rsidP="00F93A51">
            <w:pPr>
              <w:spacing w:line="240" w:lineRule="auto"/>
              <w:jc w:val="left"/>
              <w:rPr>
                <w:rFonts w:cs="Arial"/>
                <w:sz w:val="18"/>
                <w:szCs w:val="18"/>
              </w:rPr>
            </w:pPr>
            <w:r w:rsidRPr="00545EC0">
              <w:rPr>
                <w:rFonts w:cs="Arial"/>
                <w:sz w:val="18"/>
                <w:szCs w:val="18"/>
                <w:lang w:eastAsia="zh-CN"/>
              </w:rPr>
              <w:t>HM7b</w:t>
            </w:r>
          </w:p>
        </w:tc>
        <w:tc>
          <w:tcPr>
            <w:tcW w:w="1669" w:type="pct"/>
            <w:shd w:val="clear" w:color="auto" w:fill="auto"/>
          </w:tcPr>
          <w:p w14:paraId="68C5D97C" w14:textId="77777777" w:rsidR="0018237C" w:rsidRPr="00545EC0" w:rsidRDefault="0018237C" w:rsidP="00F93A51">
            <w:pPr>
              <w:spacing w:line="240" w:lineRule="auto"/>
              <w:jc w:val="left"/>
              <w:rPr>
                <w:rFonts w:cs="Arial"/>
                <w:sz w:val="18"/>
                <w:szCs w:val="18"/>
              </w:rPr>
            </w:pPr>
            <w:r w:rsidRPr="00545EC0">
              <w:rPr>
                <w:rFonts w:cs="Arial"/>
                <w:sz w:val="18"/>
                <w:szCs w:val="18"/>
              </w:rPr>
              <w:t>Določitev prioritet za vzpostavitev prehodnosti za vodne organizme na obstoječih prečnih objektih</w:t>
            </w:r>
          </w:p>
        </w:tc>
        <w:tc>
          <w:tcPr>
            <w:tcW w:w="774" w:type="pct"/>
          </w:tcPr>
          <w:p w14:paraId="09356515" w14:textId="77777777" w:rsidR="0018237C" w:rsidRPr="00545EC0" w:rsidRDefault="0018237C" w:rsidP="00F93A51">
            <w:pPr>
              <w:spacing w:line="240" w:lineRule="auto"/>
              <w:jc w:val="left"/>
              <w:rPr>
                <w:rFonts w:cs="Arial"/>
                <w:i/>
                <w:sz w:val="18"/>
                <w:szCs w:val="18"/>
              </w:rPr>
            </w:pPr>
            <w:r w:rsidRPr="00545EC0">
              <w:rPr>
                <w:rFonts w:cs="Arial"/>
                <w:i/>
                <w:sz w:val="18"/>
                <w:szCs w:val="18"/>
              </w:rPr>
              <w:t>Varstvo voda</w:t>
            </w:r>
          </w:p>
        </w:tc>
        <w:tc>
          <w:tcPr>
            <w:tcW w:w="681" w:type="pct"/>
          </w:tcPr>
          <w:p w14:paraId="607393D8" w14:textId="77777777" w:rsidR="0018237C" w:rsidRPr="00545EC0" w:rsidRDefault="0018237C" w:rsidP="00F93A51">
            <w:pPr>
              <w:spacing w:line="240" w:lineRule="auto"/>
              <w:jc w:val="left"/>
              <w:rPr>
                <w:rFonts w:cs="Arial"/>
                <w:i/>
                <w:sz w:val="18"/>
                <w:szCs w:val="18"/>
              </w:rPr>
            </w:pPr>
            <w:r w:rsidRPr="00545EC0">
              <w:rPr>
                <w:rFonts w:cs="Arial"/>
                <w:i/>
                <w:sz w:val="18"/>
                <w:szCs w:val="18"/>
              </w:rPr>
              <w:t>Hidromorfološke obremenitve</w:t>
            </w:r>
          </w:p>
        </w:tc>
        <w:tc>
          <w:tcPr>
            <w:tcW w:w="714" w:type="pct"/>
          </w:tcPr>
          <w:p w14:paraId="4CFBAEAB" w14:textId="77777777" w:rsidR="0018237C" w:rsidRPr="00545EC0" w:rsidRDefault="0018237C" w:rsidP="00F93A51">
            <w:pPr>
              <w:spacing w:line="240" w:lineRule="auto"/>
              <w:jc w:val="left"/>
              <w:rPr>
                <w:rFonts w:cs="Arial"/>
                <w:i/>
                <w:sz w:val="18"/>
                <w:szCs w:val="18"/>
              </w:rPr>
            </w:pPr>
            <w:r w:rsidRPr="00545EC0">
              <w:rPr>
                <w:rFonts w:cs="Arial"/>
                <w:i/>
                <w:sz w:val="18"/>
                <w:szCs w:val="18"/>
              </w:rPr>
              <w:t>Podaljšan in posodobljen</w:t>
            </w:r>
          </w:p>
        </w:tc>
      </w:tr>
      <w:tr w:rsidR="007E0EDE" w:rsidRPr="00545EC0" w14:paraId="0AD60B8F" w14:textId="77777777" w:rsidTr="00BE686D">
        <w:trPr>
          <w:cantSplit/>
          <w:trHeight w:val="300"/>
        </w:trPr>
        <w:tc>
          <w:tcPr>
            <w:tcW w:w="582" w:type="pct"/>
          </w:tcPr>
          <w:p w14:paraId="4155C07D" w14:textId="77777777" w:rsidR="0018237C" w:rsidRPr="00545EC0" w:rsidRDefault="0018237C" w:rsidP="00F93A51">
            <w:pPr>
              <w:spacing w:line="240" w:lineRule="auto"/>
              <w:jc w:val="left"/>
              <w:rPr>
                <w:rFonts w:cs="Arial"/>
                <w:sz w:val="18"/>
                <w:szCs w:val="18"/>
                <w:lang w:eastAsia="zh-CN"/>
              </w:rPr>
            </w:pPr>
            <w:r w:rsidRPr="00545EC0">
              <w:rPr>
                <w:rFonts w:cs="Arial"/>
                <w:sz w:val="18"/>
                <w:szCs w:val="18"/>
              </w:rPr>
              <w:t>Temeljni ukrep »a«</w:t>
            </w:r>
          </w:p>
        </w:tc>
        <w:tc>
          <w:tcPr>
            <w:tcW w:w="580" w:type="pct"/>
            <w:shd w:val="clear" w:color="auto" w:fill="auto"/>
          </w:tcPr>
          <w:p w14:paraId="11C649B7" w14:textId="77777777" w:rsidR="0018237C" w:rsidRPr="00545EC0" w:rsidRDefault="0018237C" w:rsidP="00F93A51">
            <w:pPr>
              <w:spacing w:line="240" w:lineRule="auto"/>
              <w:jc w:val="left"/>
              <w:rPr>
                <w:rFonts w:cs="Arial"/>
                <w:sz w:val="18"/>
                <w:szCs w:val="18"/>
                <w:lang w:eastAsia="zh-CN"/>
              </w:rPr>
            </w:pPr>
            <w:r w:rsidRPr="00545EC0">
              <w:rPr>
                <w:rFonts w:cs="Arial"/>
                <w:sz w:val="18"/>
                <w:szCs w:val="18"/>
                <w:lang w:eastAsia="zh-CN"/>
              </w:rPr>
              <w:t>HM8a</w:t>
            </w:r>
          </w:p>
        </w:tc>
        <w:tc>
          <w:tcPr>
            <w:tcW w:w="1669" w:type="pct"/>
            <w:shd w:val="clear" w:color="auto" w:fill="auto"/>
          </w:tcPr>
          <w:p w14:paraId="7F069DD6" w14:textId="77777777" w:rsidR="0018237C" w:rsidRPr="00545EC0" w:rsidRDefault="0018237C" w:rsidP="00F93A51">
            <w:pPr>
              <w:spacing w:line="240" w:lineRule="auto"/>
              <w:jc w:val="left"/>
              <w:rPr>
                <w:rFonts w:cs="Arial"/>
                <w:sz w:val="18"/>
                <w:szCs w:val="18"/>
              </w:rPr>
            </w:pPr>
            <w:r w:rsidRPr="00545EC0">
              <w:rPr>
                <w:rFonts w:cs="Arial"/>
                <w:sz w:val="18"/>
                <w:szCs w:val="18"/>
              </w:rPr>
              <w:t>Ukrepi, ki se navezujejo na zagotavljanje dobrega stanja voda, vezano na hidromorfološke obremenitve</w:t>
            </w:r>
          </w:p>
        </w:tc>
        <w:tc>
          <w:tcPr>
            <w:tcW w:w="774" w:type="pct"/>
          </w:tcPr>
          <w:p w14:paraId="3BE208F6" w14:textId="77777777" w:rsidR="0018237C" w:rsidRPr="00545EC0" w:rsidRDefault="0018237C" w:rsidP="00F93A51">
            <w:pPr>
              <w:spacing w:line="240" w:lineRule="auto"/>
              <w:jc w:val="left"/>
              <w:rPr>
                <w:rFonts w:cs="Arial"/>
                <w:i/>
                <w:sz w:val="18"/>
                <w:szCs w:val="18"/>
                <w:lang w:eastAsia="zh-CN"/>
              </w:rPr>
            </w:pPr>
            <w:r w:rsidRPr="00545EC0">
              <w:rPr>
                <w:rFonts w:cs="Arial"/>
                <w:i/>
                <w:sz w:val="18"/>
                <w:szCs w:val="18"/>
              </w:rPr>
              <w:t>Varstvo voda, Urejanje voda</w:t>
            </w:r>
          </w:p>
        </w:tc>
        <w:tc>
          <w:tcPr>
            <w:tcW w:w="681" w:type="pct"/>
          </w:tcPr>
          <w:p w14:paraId="697EA6B2" w14:textId="77777777" w:rsidR="0018237C" w:rsidRPr="00545EC0" w:rsidRDefault="0018237C" w:rsidP="00F93A51">
            <w:pPr>
              <w:spacing w:line="240" w:lineRule="auto"/>
              <w:jc w:val="left"/>
              <w:rPr>
                <w:rFonts w:cs="Arial"/>
                <w:i/>
                <w:sz w:val="18"/>
                <w:szCs w:val="18"/>
              </w:rPr>
            </w:pPr>
            <w:r w:rsidRPr="00545EC0">
              <w:rPr>
                <w:rFonts w:cs="Arial"/>
                <w:i/>
                <w:sz w:val="18"/>
                <w:szCs w:val="18"/>
              </w:rPr>
              <w:t>Hidromorfološke obremenitve</w:t>
            </w:r>
          </w:p>
        </w:tc>
        <w:tc>
          <w:tcPr>
            <w:tcW w:w="714" w:type="pct"/>
          </w:tcPr>
          <w:p w14:paraId="3ACDF8FE" w14:textId="77777777" w:rsidR="0018237C" w:rsidRPr="00545EC0" w:rsidRDefault="0018237C" w:rsidP="00F93A51">
            <w:pPr>
              <w:spacing w:line="240" w:lineRule="auto"/>
              <w:jc w:val="left"/>
              <w:rPr>
                <w:rFonts w:cs="Arial"/>
                <w:i/>
                <w:sz w:val="18"/>
                <w:szCs w:val="18"/>
              </w:rPr>
            </w:pPr>
            <w:r w:rsidRPr="00545EC0">
              <w:rPr>
                <w:rFonts w:cs="Arial"/>
                <w:i/>
                <w:sz w:val="18"/>
                <w:szCs w:val="18"/>
              </w:rPr>
              <w:t>Podaljšan in posodobljen</w:t>
            </w:r>
          </w:p>
        </w:tc>
      </w:tr>
      <w:tr w:rsidR="007E0EDE" w:rsidRPr="00545EC0" w14:paraId="5BA2D2FC" w14:textId="77777777" w:rsidTr="00BE686D">
        <w:trPr>
          <w:cantSplit/>
          <w:trHeight w:val="300"/>
        </w:trPr>
        <w:tc>
          <w:tcPr>
            <w:tcW w:w="582" w:type="pct"/>
          </w:tcPr>
          <w:p w14:paraId="508613E9" w14:textId="77777777" w:rsidR="0018237C" w:rsidRPr="00545EC0" w:rsidRDefault="0018237C" w:rsidP="00F93A51">
            <w:pPr>
              <w:spacing w:line="240" w:lineRule="auto"/>
              <w:jc w:val="left"/>
              <w:rPr>
                <w:rFonts w:cs="Arial"/>
                <w:sz w:val="18"/>
                <w:szCs w:val="18"/>
                <w:lang w:eastAsia="zh-CN"/>
              </w:rPr>
            </w:pPr>
            <w:r w:rsidRPr="00545EC0">
              <w:rPr>
                <w:rFonts w:cs="Arial"/>
                <w:sz w:val="18"/>
                <w:szCs w:val="18"/>
              </w:rPr>
              <w:t>Temeljni ukrep »b«</w:t>
            </w:r>
          </w:p>
        </w:tc>
        <w:tc>
          <w:tcPr>
            <w:tcW w:w="580" w:type="pct"/>
            <w:shd w:val="clear" w:color="auto" w:fill="auto"/>
          </w:tcPr>
          <w:p w14:paraId="42B6BCDE" w14:textId="77777777" w:rsidR="0018237C" w:rsidRPr="00545EC0" w:rsidRDefault="0018237C" w:rsidP="00F93A51">
            <w:pPr>
              <w:spacing w:line="240" w:lineRule="auto"/>
              <w:jc w:val="left"/>
              <w:rPr>
                <w:rFonts w:cs="Arial"/>
                <w:sz w:val="18"/>
                <w:szCs w:val="18"/>
                <w:lang w:eastAsia="zh-CN"/>
              </w:rPr>
            </w:pPr>
            <w:r w:rsidRPr="00545EC0">
              <w:rPr>
                <w:rFonts w:cs="Arial"/>
                <w:sz w:val="18"/>
                <w:szCs w:val="18"/>
                <w:lang w:eastAsia="zh-CN"/>
              </w:rPr>
              <w:t>HM8b3</w:t>
            </w:r>
          </w:p>
        </w:tc>
        <w:tc>
          <w:tcPr>
            <w:tcW w:w="1669" w:type="pct"/>
            <w:shd w:val="clear" w:color="auto" w:fill="auto"/>
          </w:tcPr>
          <w:p w14:paraId="777867B6" w14:textId="77777777" w:rsidR="0018237C" w:rsidRPr="00545EC0" w:rsidRDefault="0018237C" w:rsidP="00F93A51">
            <w:pPr>
              <w:spacing w:line="240" w:lineRule="auto"/>
              <w:jc w:val="left"/>
              <w:rPr>
                <w:rFonts w:cs="Arial"/>
                <w:sz w:val="18"/>
                <w:szCs w:val="18"/>
              </w:rPr>
            </w:pPr>
            <w:r w:rsidRPr="00545EC0">
              <w:rPr>
                <w:rFonts w:cs="Arial"/>
                <w:sz w:val="18"/>
                <w:szCs w:val="18"/>
              </w:rPr>
              <w:t>Nadgradnja izvajanja presoj vplivov novih posegov na stanje voda v postopkih pridobitve vodnega soglasja ali mnenja</w:t>
            </w:r>
          </w:p>
        </w:tc>
        <w:tc>
          <w:tcPr>
            <w:tcW w:w="774" w:type="pct"/>
          </w:tcPr>
          <w:p w14:paraId="612FB3DE" w14:textId="77777777" w:rsidR="0018237C" w:rsidRPr="00545EC0" w:rsidRDefault="0018237C" w:rsidP="00F93A51">
            <w:pPr>
              <w:spacing w:line="240" w:lineRule="auto"/>
              <w:jc w:val="left"/>
              <w:rPr>
                <w:rFonts w:cs="Arial"/>
                <w:i/>
                <w:sz w:val="18"/>
                <w:szCs w:val="18"/>
              </w:rPr>
            </w:pPr>
            <w:r w:rsidRPr="00545EC0">
              <w:rPr>
                <w:rFonts w:cs="Arial"/>
                <w:i/>
                <w:sz w:val="18"/>
                <w:szCs w:val="18"/>
              </w:rPr>
              <w:t>Varstvo voda, Urejanje voda</w:t>
            </w:r>
          </w:p>
        </w:tc>
        <w:tc>
          <w:tcPr>
            <w:tcW w:w="681" w:type="pct"/>
          </w:tcPr>
          <w:p w14:paraId="7E142423" w14:textId="77777777" w:rsidR="0018237C" w:rsidRPr="00545EC0" w:rsidRDefault="0018237C" w:rsidP="00F93A51">
            <w:pPr>
              <w:spacing w:line="240" w:lineRule="auto"/>
              <w:jc w:val="left"/>
              <w:rPr>
                <w:rFonts w:cs="Arial"/>
                <w:i/>
                <w:sz w:val="18"/>
                <w:szCs w:val="18"/>
              </w:rPr>
            </w:pPr>
            <w:r w:rsidRPr="00545EC0">
              <w:rPr>
                <w:rFonts w:cs="Arial"/>
                <w:i/>
                <w:sz w:val="18"/>
                <w:szCs w:val="18"/>
              </w:rPr>
              <w:t>Hidromofrološke obremenitve</w:t>
            </w:r>
          </w:p>
        </w:tc>
        <w:tc>
          <w:tcPr>
            <w:tcW w:w="714" w:type="pct"/>
          </w:tcPr>
          <w:p w14:paraId="65BB4068" w14:textId="77777777" w:rsidR="0018237C" w:rsidRPr="00545EC0" w:rsidRDefault="0018237C" w:rsidP="00F93A51">
            <w:pPr>
              <w:spacing w:line="240" w:lineRule="auto"/>
              <w:jc w:val="left"/>
              <w:rPr>
                <w:rFonts w:cs="Arial"/>
                <w:i/>
                <w:sz w:val="18"/>
                <w:szCs w:val="18"/>
              </w:rPr>
            </w:pPr>
            <w:r w:rsidRPr="00545EC0">
              <w:rPr>
                <w:rFonts w:cs="Arial"/>
                <w:i/>
                <w:sz w:val="18"/>
                <w:szCs w:val="18"/>
              </w:rPr>
              <w:t>Oblikovan nov ukrep, ki nadomešča HM8b2</w:t>
            </w:r>
          </w:p>
        </w:tc>
      </w:tr>
      <w:tr w:rsidR="007E0EDE" w:rsidRPr="00545EC0" w14:paraId="4153F273" w14:textId="77777777" w:rsidTr="00BE686D">
        <w:trPr>
          <w:cantSplit/>
          <w:trHeight w:val="300"/>
        </w:trPr>
        <w:tc>
          <w:tcPr>
            <w:tcW w:w="582" w:type="pct"/>
          </w:tcPr>
          <w:p w14:paraId="1084FB65" w14:textId="77777777" w:rsidR="0018237C" w:rsidRPr="00545EC0" w:rsidRDefault="0018237C" w:rsidP="00F93A51">
            <w:pPr>
              <w:spacing w:line="240" w:lineRule="auto"/>
              <w:jc w:val="left"/>
              <w:rPr>
                <w:rFonts w:cs="Arial"/>
                <w:sz w:val="18"/>
                <w:szCs w:val="18"/>
                <w:lang w:eastAsia="zh-CN"/>
              </w:rPr>
            </w:pPr>
            <w:r w:rsidRPr="00545EC0">
              <w:rPr>
                <w:rFonts w:cs="Arial"/>
                <w:sz w:val="18"/>
                <w:szCs w:val="18"/>
              </w:rPr>
              <w:t>Temeljni ukrep »b«</w:t>
            </w:r>
          </w:p>
        </w:tc>
        <w:tc>
          <w:tcPr>
            <w:tcW w:w="580" w:type="pct"/>
            <w:shd w:val="clear" w:color="auto" w:fill="auto"/>
          </w:tcPr>
          <w:p w14:paraId="58AD101B" w14:textId="77777777" w:rsidR="0018237C" w:rsidRPr="00545EC0" w:rsidRDefault="0018237C" w:rsidP="00F93A51">
            <w:pPr>
              <w:spacing w:line="240" w:lineRule="auto"/>
              <w:jc w:val="left"/>
              <w:rPr>
                <w:rFonts w:cs="Arial"/>
                <w:sz w:val="18"/>
                <w:szCs w:val="18"/>
                <w:lang w:eastAsia="zh-CN"/>
              </w:rPr>
            </w:pPr>
            <w:r w:rsidRPr="00545EC0">
              <w:rPr>
                <w:rFonts w:cs="Arial"/>
                <w:sz w:val="18"/>
                <w:szCs w:val="18"/>
                <w:lang w:eastAsia="zh-CN"/>
              </w:rPr>
              <w:t>HM8b4</w:t>
            </w:r>
          </w:p>
        </w:tc>
        <w:tc>
          <w:tcPr>
            <w:tcW w:w="1669" w:type="pct"/>
            <w:shd w:val="clear" w:color="000000" w:fill="FFFFFF"/>
          </w:tcPr>
          <w:p w14:paraId="024FC16A" w14:textId="77777777" w:rsidR="0018237C" w:rsidRPr="00545EC0" w:rsidRDefault="0018237C" w:rsidP="00F93A51">
            <w:pPr>
              <w:spacing w:line="240" w:lineRule="auto"/>
              <w:jc w:val="left"/>
              <w:rPr>
                <w:rFonts w:cs="Arial"/>
                <w:sz w:val="18"/>
                <w:szCs w:val="18"/>
              </w:rPr>
            </w:pPr>
            <w:r w:rsidRPr="00545EC0">
              <w:rPr>
                <w:rFonts w:cs="Arial"/>
                <w:sz w:val="18"/>
                <w:szCs w:val="18"/>
              </w:rPr>
              <w:t xml:space="preserve">Proučitev problematike  sedimenta z vidika doseganja dobrega stanja voda </w:t>
            </w:r>
          </w:p>
        </w:tc>
        <w:tc>
          <w:tcPr>
            <w:tcW w:w="774" w:type="pct"/>
            <w:shd w:val="clear" w:color="000000" w:fill="FFFFFF"/>
          </w:tcPr>
          <w:p w14:paraId="48BBBEAC" w14:textId="77777777" w:rsidR="0018237C" w:rsidRPr="00545EC0" w:rsidRDefault="0018237C" w:rsidP="00F93A51">
            <w:pPr>
              <w:spacing w:line="240" w:lineRule="auto"/>
              <w:jc w:val="left"/>
              <w:rPr>
                <w:rFonts w:cs="Arial"/>
                <w:i/>
                <w:sz w:val="18"/>
                <w:szCs w:val="18"/>
              </w:rPr>
            </w:pPr>
            <w:r w:rsidRPr="00545EC0">
              <w:rPr>
                <w:rFonts w:cs="Arial"/>
                <w:i/>
                <w:sz w:val="18"/>
                <w:szCs w:val="18"/>
              </w:rPr>
              <w:t>Varstvo voda, Urejanje voda</w:t>
            </w:r>
          </w:p>
        </w:tc>
        <w:tc>
          <w:tcPr>
            <w:tcW w:w="681" w:type="pct"/>
            <w:shd w:val="clear" w:color="000000" w:fill="FFFFFF"/>
          </w:tcPr>
          <w:p w14:paraId="658EAB0B" w14:textId="77777777" w:rsidR="0018237C" w:rsidRPr="00545EC0" w:rsidRDefault="0018237C" w:rsidP="00F93A51">
            <w:pPr>
              <w:spacing w:line="240" w:lineRule="auto"/>
              <w:jc w:val="left"/>
              <w:rPr>
                <w:rFonts w:cs="Arial"/>
                <w:i/>
                <w:sz w:val="18"/>
                <w:szCs w:val="18"/>
              </w:rPr>
            </w:pPr>
            <w:r w:rsidRPr="00545EC0">
              <w:rPr>
                <w:rFonts w:cs="Arial"/>
                <w:i/>
                <w:sz w:val="18"/>
                <w:szCs w:val="18"/>
              </w:rPr>
              <w:t>Hidromorfološke obremenitve</w:t>
            </w:r>
          </w:p>
        </w:tc>
        <w:tc>
          <w:tcPr>
            <w:tcW w:w="714" w:type="pct"/>
            <w:shd w:val="clear" w:color="000000" w:fill="FFFFFF"/>
          </w:tcPr>
          <w:p w14:paraId="2D44BEAE" w14:textId="77777777" w:rsidR="0018237C" w:rsidRPr="00545EC0" w:rsidRDefault="0018237C" w:rsidP="00F93A51">
            <w:pPr>
              <w:spacing w:line="240" w:lineRule="auto"/>
              <w:jc w:val="left"/>
              <w:rPr>
                <w:rFonts w:cs="Arial"/>
                <w:i/>
                <w:sz w:val="18"/>
                <w:szCs w:val="18"/>
              </w:rPr>
            </w:pPr>
            <w:r w:rsidRPr="00545EC0">
              <w:rPr>
                <w:rFonts w:cs="Arial"/>
                <w:i/>
                <w:sz w:val="18"/>
                <w:szCs w:val="18"/>
              </w:rPr>
              <w:t>Podaljšan in posodobljen</w:t>
            </w:r>
          </w:p>
        </w:tc>
      </w:tr>
      <w:tr w:rsidR="007E0EDE" w:rsidRPr="00545EC0" w14:paraId="60D6B916" w14:textId="77777777" w:rsidTr="00BE686D">
        <w:trPr>
          <w:cantSplit/>
          <w:trHeight w:val="300"/>
        </w:trPr>
        <w:tc>
          <w:tcPr>
            <w:tcW w:w="582" w:type="pct"/>
          </w:tcPr>
          <w:p w14:paraId="4C890C6E" w14:textId="77777777" w:rsidR="0018237C" w:rsidRPr="00545EC0" w:rsidRDefault="0018237C" w:rsidP="00F93A51">
            <w:pPr>
              <w:spacing w:line="240" w:lineRule="auto"/>
              <w:jc w:val="left"/>
              <w:rPr>
                <w:rFonts w:cs="Arial"/>
                <w:sz w:val="18"/>
                <w:szCs w:val="18"/>
              </w:rPr>
            </w:pPr>
            <w:r w:rsidRPr="00545EC0">
              <w:rPr>
                <w:rFonts w:cs="Arial"/>
                <w:sz w:val="18"/>
                <w:szCs w:val="18"/>
              </w:rPr>
              <w:t>Temeljni ukrep »a«</w:t>
            </w:r>
          </w:p>
        </w:tc>
        <w:tc>
          <w:tcPr>
            <w:tcW w:w="580" w:type="pct"/>
            <w:shd w:val="clear" w:color="auto" w:fill="auto"/>
          </w:tcPr>
          <w:p w14:paraId="40AEABF5" w14:textId="77777777" w:rsidR="0018237C" w:rsidRPr="00545EC0" w:rsidRDefault="0018237C" w:rsidP="00F93A51">
            <w:pPr>
              <w:spacing w:line="240" w:lineRule="auto"/>
              <w:jc w:val="left"/>
              <w:rPr>
                <w:rFonts w:cs="Arial"/>
                <w:sz w:val="18"/>
                <w:szCs w:val="18"/>
                <w:lang w:eastAsia="zh-CN"/>
              </w:rPr>
            </w:pPr>
            <w:r w:rsidRPr="00545EC0">
              <w:rPr>
                <w:rFonts w:cs="Arial"/>
                <w:sz w:val="18"/>
                <w:szCs w:val="18"/>
              </w:rPr>
              <w:t>ON1.1a</w:t>
            </w:r>
          </w:p>
        </w:tc>
        <w:tc>
          <w:tcPr>
            <w:tcW w:w="1669" w:type="pct"/>
            <w:shd w:val="clear" w:color="auto" w:fill="auto"/>
          </w:tcPr>
          <w:p w14:paraId="0807A13C" w14:textId="77777777" w:rsidR="0018237C" w:rsidRPr="00545EC0" w:rsidRDefault="0018237C" w:rsidP="00F93A51">
            <w:pPr>
              <w:spacing w:line="240" w:lineRule="auto"/>
              <w:jc w:val="left"/>
              <w:rPr>
                <w:rFonts w:cs="Arial"/>
                <w:sz w:val="18"/>
                <w:szCs w:val="18"/>
              </w:rPr>
            </w:pPr>
            <w:r w:rsidRPr="00545EC0">
              <w:rPr>
                <w:rFonts w:cs="Arial"/>
                <w:sz w:val="18"/>
                <w:szCs w:val="18"/>
              </w:rPr>
              <w:t>Odvajanje in čiščenje komunalne odpadne vode iz aglomeracij  s skupno obremenitvijo, enako ali večjo od 2.000 PE</w:t>
            </w:r>
          </w:p>
        </w:tc>
        <w:tc>
          <w:tcPr>
            <w:tcW w:w="774" w:type="pct"/>
            <w:shd w:val="clear" w:color="000000" w:fill="FFFFFF"/>
          </w:tcPr>
          <w:p w14:paraId="27C13C5C" w14:textId="77777777" w:rsidR="0018237C" w:rsidRPr="00545EC0" w:rsidRDefault="0018237C" w:rsidP="00F93A51">
            <w:pPr>
              <w:spacing w:line="240" w:lineRule="auto"/>
              <w:jc w:val="left"/>
              <w:rPr>
                <w:rFonts w:cs="Arial"/>
                <w:sz w:val="18"/>
                <w:szCs w:val="18"/>
              </w:rPr>
            </w:pPr>
            <w:r w:rsidRPr="00545EC0">
              <w:rPr>
                <w:rFonts w:cs="Arial"/>
                <w:i/>
                <w:sz w:val="18"/>
                <w:szCs w:val="18"/>
              </w:rPr>
              <w:t>Varstvo voda</w:t>
            </w:r>
          </w:p>
        </w:tc>
        <w:tc>
          <w:tcPr>
            <w:tcW w:w="681" w:type="pct"/>
            <w:shd w:val="clear" w:color="000000" w:fill="FFFFFF"/>
          </w:tcPr>
          <w:p w14:paraId="3B356CCA" w14:textId="77777777" w:rsidR="0018237C" w:rsidRPr="00545EC0" w:rsidRDefault="0018237C" w:rsidP="00F93A51">
            <w:pPr>
              <w:spacing w:line="240" w:lineRule="auto"/>
              <w:jc w:val="left"/>
              <w:rPr>
                <w:rFonts w:cs="Arial"/>
                <w:i/>
                <w:sz w:val="18"/>
                <w:szCs w:val="18"/>
              </w:rPr>
            </w:pPr>
            <w:r w:rsidRPr="00545EC0">
              <w:rPr>
                <w:rFonts w:cs="Arial"/>
                <w:i/>
                <w:sz w:val="18"/>
                <w:szCs w:val="18"/>
              </w:rPr>
              <w:t>Onesnaževanje voda</w:t>
            </w:r>
          </w:p>
        </w:tc>
        <w:tc>
          <w:tcPr>
            <w:tcW w:w="714" w:type="pct"/>
            <w:shd w:val="clear" w:color="000000" w:fill="FFFFFF"/>
          </w:tcPr>
          <w:p w14:paraId="0B9B5348" w14:textId="77777777" w:rsidR="0018237C" w:rsidRPr="00545EC0" w:rsidRDefault="0018237C" w:rsidP="00F93A51">
            <w:pPr>
              <w:spacing w:line="240" w:lineRule="auto"/>
              <w:jc w:val="left"/>
              <w:rPr>
                <w:rFonts w:cs="Arial"/>
                <w:i/>
                <w:sz w:val="18"/>
                <w:szCs w:val="18"/>
              </w:rPr>
            </w:pPr>
            <w:r w:rsidRPr="00545EC0">
              <w:rPr>
                <w:rFonts w:cs="Arial"/>
                <w:i/>
                <w:sz w:val="18"/>
                <w:szCs w:val="18"/>
              </w:rPr>
              <w:t>Podaljšan in posodobljen</w:t>
            </w:r>
          </w:p>
        </w:tc>
      </w:tr>
      <w:tr w:rsidR="007E0EDE" w:rsidRPr="00545EC0" w14:paraId="5A5D64E7" w14:textId="77777777" w:rsidTr="00BE686D">
        <w:trPr>
          <w:cantSplit/>
          <w:trHeight w:val="300"/>
        </w:trPr>
        <w:tc>
          <w:tcPr>
            <w:tcW w:w="582" w:type="pct"/>
          </w:tcPr>
          <w:p w14:paraId="28876938" w14:textId="77777777" w:rsidR="0018237C" w:rsidRPr="00545EC0" w:rsidRDefault="0018237C" w:rsidP="00F93A51">
            <w:pPr>
              <w:spacing w:line="240" w:lineRule="auto"/>
              <w:jc w:val="left"/>
              <w:rPr>
                <w:rFonts w:cs="Arial"/>
                <w:sz w:val="18"/>
                <w:szCs w:val="18"/>
              </w:rPr>
            </w:pPr>
            <w:r w:rsidRPr="00545EC0">
              <w:rPr>
                <w:rFonts w:cs="Arial"/>
                <w:sz w:val="18"/>
                <w:szCs w:val="18"/>
              </w:rPr>
              <w:t>Temeljni ukrep »a«</w:t>
            </w:r>
          </w:p>
        </w:tc>
        <w:tc>
          <w:tcPr>
            <w:tcW w:w="580" w:type="pct"/>
            <w:shd w:val="clear" w:color="auto" w:fill="auto"/>
          </w:tcPr>
          <w:p w14:paraId="6DDC5638" w14:textId="77777777" w:rsidR="0018237C" w:rsidRPr="00545EC0" w:rsidRDefault="0018237C" w:rsidP="00F93A51">
            <w:pPr>
              <w:spacing w:line="240" w:lineRule="auto"/>
              <w:jc w:val="left"/>
              <w:rPr>
                <w:rFonts w:cs="Arial"/>
                <w:sz w:val="18"/>
                <w:szCs w:val="18"/>
              </w:rPr>
            </w:pPr>
            <w:r w:rsidRPr="00545EC0">
              <w:rPr>
                <w:rFonts w:cs="Arial"/>
                <w:sz w:val="18"/>
                <w:szCs w:val="18"/>
              </w:rPr>
              <w:t>ON1.2a</w:t>
            </w:r>
          </w:p>
        </w:tc>
        <w:tc>
          <w:tcPr>
            <w:tcW w:w="1669" w:type="pct"/>
            <w:shd w:val="clear" w:color="auto" w:fill="auto"/>
          </w:tcPr>
          <w:p w14:paraId="38E48A1F" w14:textId="77777777" w:rsidR="0018237C" w:rsidRPr="00545EC0" w:rsidRDefault="0018237C" w:rsidP="00F93A51">
            <w:pPr>
              <w:spacing w:line="240" w:lineRule="auto"/>
              <w:jc w:val="left"/>
              <w:rPr>
                <w:rFonts w:cs="Arial"/>
                <w:sz w:val="18"/>
                <w:szCs w:val="18"/>
              </w:rPr>
            </w:pPr>
            <w:r w:rsidRPr="00545EC0">
              <w:rPr>
                <w:rFonts w:cs="Arial"/>
                <w:sz w:val="18"/>
                <w:szCs w:val="18"/>
              </w:rPr>
              <w:t>Odvajanje in čiščenje komunalne odpadne vode iz aglomeracij s skupno obremenitvijo, manjšo od 2.000 PE</w:t>
            </w:r>
          </w:p>
        </w:tc>
        <w:tc>
          <w:tcPr>
            <w:tcW w:w="774" w:type="pct"/>
          </w:tcPr>
          <w:p w14:paraId="329390C4" w14:textId="77777777" w:rsidR="0018237C" w:rsidRPr="00545EC0" w:rsidRDefault="0018237C" w:rsidP="00F93A51">
            <w:pPr>
              <w:spacing w:line="240" w:lineRule="auto"/>
              <w:jc w:val="left"/>
              <w:rPr>
                <w:rFonts w:cs="Arial"/>
                <w:i/>
                <w:sz w:val="18"/>
                <w:szCs w:val="18"/>
              </w:rPr>
            </w:pPr>
            <w:r w:rsidRPr="00545EC0">
              <w:rPr>
                <w:rFonts w:cs="Arial"/>
                <w:i/>
                <w:sz w:val="18"/>
                <w:szCs w:val="18"/>
              </w:rPr>
              <w:t>Varstvo voda</w:t>
            </w:r>
          </w:p>
        </w:tc>
        <w:tc>
          <w:tcPr>
            <w:tcW w:w="681" w:type="pct"/>
          </w:tcPr>
          <w:p w14:paraId="6225904F" w14:textId="77777777" w:rsidR="0018237C" w:rsidRPr="00545EC0" w:rsidRDefault="0018237C" w:rsidP="00F93A51">
            <w:pPr>
              <w:spacing w:line="240" w:lineRule="auto"/>
              <w:jc w:val="left"/>
              <w:rPr>
                <w:rFonts w:cs="Arial"/>
                <w:i/>
                <w:sz w:val="18"/>
                <w:szCs w:val="18"/>
              </w:rPr>
            </w:pPr>
            <w:r w:rsidRPr="00545EC0">
              <w:rPr>
                <w:rFonts w:cs="Arial"/>
                <w:i/>
                <w:sz w:val="18"/>
                <w:szCs w:val="18"/>
              </w:rPr>
              <w:t>Onesnaževanje voda</w:t>
            </w:r>
          </w:p>
        </w:tc>
        <w:tc>
          <w:tcPr>
            <w:tcW w:w="714" w:type="pct"/>
          </w:tcPr>
          <w:p w14:paraId="561E101F" w14:textId="77777777" w:rsidR="0018237C" w:rsidRPr="00545EC0" w:rsidRDefault="0018237C" w:rsidP="00F93A51">
            <w:pPr>
              <w:spacing w:line="240" w:lineRule="auto"/>
              <w:jc w:val="left"/>
              <w:rPr>
                <w:rFonts w:cs="Arial"/>
                <w:i/>
                <w:sz w:val="18"/>
                <w:szCs w:val="18"/>
              </w:rPr>
            </w:pPr>
            <w:r w:rsidRPr="00545EC0">
              <w:rPr>
                <w:rFonts w:cs="Arial"/>
                <w:i/>
                <w:sz w:val="18"/>
                <w:szCs w:val="18"/>
              </w:rPr>
              <w:t>Podaljšan in posodobljen</w:t>
            </w:r>
          </w:p>
        </w:tc>
      </w:tr>
      <w:tr w:rsidR="007E0EDE" w:rsidRPr="00545EC0" w14:paraId="18D2412A" w14:textId="77777777" w:rsidTr="00BE686D">
        <w:trPr>
          <w:cantSplit/>
          <w:trHeight w:val="525"/>
        </w:trPr>
        <w:tc>
          <w:tcPr>
            <w:tcW w:w="582" w:type="pct"/>
          </w:tcPr>
          <w:p w14:paraId="4BF4E47C" w14:textId="77777777" w:rsidR="0018237C" w:rsidRPr="00545EC0" w:rsidRDefault="0018237C" w:rsidP="00F93A51">
            <w:pPr>
              <w:spacing w:line="240" w:lineRule="auto"/>
              <w:jc w:val="left"/>
              <w:rPr>
                <w:rFonts w:cs="Arial"/>
                <w:sz w:val="18"/>
                <w:szCs w:val="18"/>
              </w:rPr>
            </w:pPr>
            <w:r w:rsidRPr="00545EC0">
              <w:rPr>
                <w:rFonts w:cs="Arial"/>
                <w:sz w:val="18"/>
                <w:szCs w:val="18"/>
              </w:rPr>
              <w:t>Temeljni ukrep »a«</w:t>
            </w:r>
          </w:p>
        </w:tc>
        <w:tc>
          <w:tcPr>
            <w:tcW w:w="580" w:type="pct"/>
            <w:shd w:val="clear" w:color="auto" w:fill="auto"/>
            <w:hideMark/>
          </w:tcPr>
          <w:p w14:paraId="0CEE3879" w14:textId="77777777" w:rsidR="0018237C" w:rsidRPr="00545EC0" w:rsidRDefault="0018237C" w:rsidP="00F93A51">
            <w:pPr>
              <w:spacing w:line="240" w:lineRule="auto"/>
              <w:jc w:val="left"/>
              <w:rPr>
                <w:rFonts w:cs="Arial"/>
                <w:sz w:val="18"/>
                <w:szCs w:val="18"/>
              </w:rPr>
            </w:pPr>
            <w:r w:rsidRPr="00545EC0">
              <w:rPr>
                <w:rFonts w:cs="Arial"/>
                <w:sz w:val="18"/>
                <w:szCs w:val="18"/>
              </w:rPr>
              <w:t>ON1.3a</w:t>
            </w:r>
          </w:p>
        </w:tc>
        <w:tc>
          <w:tcPr>
            <w:tcW w:w="1669" w:type="pct"/>
            <w:shd w:val="clear" w:color="auto" w:fill="auto"/>
          </w:tcPr>
          <w:p w14:paraId="29F9421D" w14:textId="77777777" w:rsidR="0018237C" w:rsidRPr="00545EC0" w:rsidRDefault="0018237C" w:rsidP="00F93A51">
            <w:pPr>
              <w:spacing w:line="240" w:lineRule="auto"/>
              <w:jc w:val="left"/>
              <w:rPr>
                <w:rFonts w:cs="Arial"/>
                <w:sz w:val="18"/>
                <w:szCs w:val="18"/>
              </w:rPr>
            </w:pPr>
            <w:r w:rsidRPr="00545EC0">
              <w:rPr>
                <w:rFonts w:cs="Arial"/>
                <w:sz w:val="18"/>
                <w:szCs w:val="18"/>
              </w:rPr>
              <w:t xml:space="preserve">Odvajanje in čiščenje komunalne odpadne vode na območju izven meja aglomeracij </w:t>
            </w:r>
          </w:p>
        </w:tc>
        <w:tc>
          <w:tcPr>
            <w:tcW w:w="774" w:type="pct"/>
          </w:tcPr>
          <w:p w14:paraId="5A6A294D" w14:textId="77777777" w:rsidR="0018237C" w:rsidRPr="00545EC0" w:rsidRDefault="0018237C" w:rsidP="00F93A51">
            <w:pPr>
              <w:spacing w:line="240" w:lineRule="auto"/>
              <w:jc w:val="left"/>
              <w:rPr>
                <w:rFonts w:cs="Arial"/>
                <w:i/>
                <w:sz w:val="18"/>
                <w:szCs w:val="18"/>
              </w:rPr>
            </w:pPr>
            <w:r w:rsidRPr="00545EC0">
              <w:rPr>
                <w:rFonts w:cs="Arial"/>
                <w:i/>
                <w:sz w:val="18"/>
                <w:szCs w:val="18"/>
              </w:rPr>
              <w:t>Varstvo voda</w:t>
            </w:r>
          </w:p>
        </w:tc>
        <w:tc>
          <w:tcPr>
            <w:tcW w:w="681" w:type="pct"/>
          </w:tcPr>
          <w:p w14:paraId="35BF55DA" w14:textId="77777777" w:rsidR="0018237C" w:rsidRPr="00545EC0" w:rsidRDefault="0018237C" w:rsidP="00F93A51">
            <w:pPr>
              <w:spacing w:line="240" w:lineRule="auto"/>
              <w:jc w:val="left"/>
              <w:rPr>
                <w:rFonts w:cs="Arial"/>
                <w:i/>
                <w:sz w:val="18"/>
                <w:szCs w:val="18"/>
              </w:rPr>
            </w:pPr>
            <w:r w:rsidRPr="00545EC0">
              <w:rPr>
                <w:rFonts w:cs="Arial"/>
                <w:i/>
                <w:sz w:val="18"/>
                <w:szCs w:val="18"/>
              </w:rPr>
              <w:t>Onesnaževanje voda</w:t>
            </w:r>
          </w:p>
        </w:tc>
        <w:tc>
          <w:tcPr>
            <w:tcW w:w="714" w:type="pct"/>
          </w:tcPr>
          <w:p w14:paraId="084D4EBC" w14:textId="77777777" w:rsidR="0018237C" w:rsidRPr="00545EC0" w:rsidRDefault="0018237C" w:rsidP="00F93A51">
            <w:pPr>
              <w:spacing w:line="240" w:lineRule="auto"/>
              <w:jc w:val="left"/>
              <w:rPr>
                <w:rFonts w:cs="Arial"/>
                <w:i/>
                <w:sz w:val="18"/>
                <w:szCs w:val="18"/>
              </w:rPr>
            </w:pPr>
            <w:r w:rsidRPr="00545EC0">
              <w:rPr>
                <w:rFonts w:cs="Arial"/>
                <w:i/>
                <w:sz w:val="18"/>
                <w:szCs w:val="18"/>
              </w:rPr>
              <w:t>Podaljšan in posodobljen</w:t>
            </w:r>
          </w:p>
        </w:tc>
      </w:tr>
      <w:tr w:rsidR="007E0EDE" w:rsidRPr="00545EC0" w14:paraId="6C155CF5" w14:textId="77777777" w:rsidTr="00BE686D">
        <w:trPr>
          <w:cantSplit/>
          <w:trHeight w:val="525"/>
        </w:trPr>
        <w:tc>
          <w:tcPr>
            <w:tcW w:w="582" w:type="pct"/>
          </w:tcPr>
          <w:p w14:paraId="551AAAF1" w14:textId="77777777" w:rsidR="0018237C" w:rsidRPr="00545EC0" w:rsidRDefault="0018237C" w:rsidP="00F93A51">
            <w:pPr>
              <w:spacing w:line="240" w:lineRule="auto"/>
              <w:jc w:val="left"/>
              <w:rPr>
                <w:rFonts w:cs="Arial"/>
                <w:sz w:val="18"/>
                <w:szCs w:val="18"/>
              </w:rPr>
            </w:pPr>
            <w:r w:rsidRPr="00545EC0">
              <w:rPr>
                <w:rFonts w:cs="Arial"/>
                <w:sz w:val="18"/>
                <w:szCs w:val="18"/>
              </w:rPr>
              <w:t>Temeljni ukrep »a«</w:t>
            </w:r>
          </w:p>
        </w:tc>
        <w:tc>
          <w:tcPr>
            <w:tcW w:w="580" w:type="pct"/>
            <w:shd w:val="clear" w:color="auto" w:fill="auto"/>
            <w:hideMark/>
          </w:tcPr>
          <w:p w14:paraId="7B1CD2B6" w14:textId="77777777" w:rsidR="0018237C" w:rsidRPr="00545EC0" w:rsidRDefault="0018237C" w:rsidP="00F93A51">
            <w:pPr>
              <w:spacing w:line="240" w:lineRule="auto"/>
              <w:jc w:val="left"/>
              <w:rPr>
                <w:rFonts w:cs="Arial"/>
                <w:sz w:val="18"/>
                <w:szCs w:val="18"/>
              </w:rPr>
            </w:pPr>
            <w:r w:rsidRPr="00545EC0">
              <w:rPr>
                <w:rFonts w:cs="Arial"/>
                <w:sz w:val="18"/>
                <w:szCs w:val="18"/>
              </w:rPr>
              <w:t>ON1.5a</w:t>
            </w:r>
          </w:p>
        </w:tc>
        <w:tc>
          <w:tcPr>
            <w:tcW w:w="1669" w:type="pct"/>
            <w:shd w:val="clear" w:color="auto" w:fill="auto"/>
          </w:tcPr>
          <w:p w14:paraId="1BCC974A" w14:textId="77777777" w:rsidR="0018237C" w:rsidRPr="00545EC0" w:rsidRDefault="0018237C" w:rsidP="00F93A51">
            <w:pPr>
              <w:spacing w:line="240" w:lineRule="auto"/>
              <w:jc w:val="left"/>
              <w:rPr>
                <w:rFonts w:cs="Arial"/>
                <w:sz w:val="18"/>
                <w:szCs w:val="18"/>
              </w:rPr>
            </w:pPr>
            <w:r w:rsidRPr="00545EC0">
              <w:rPr>
                <w:rFonts w:cs="Arial"/>
                <w:sz w:val="18"/>
                <w:szCs w:val="18"/>
              </w:rPr>
              <w:t>Odvajanje in čiščenje padavinske odpadne vode</w:t>
            </w:r>
          </w:p>
        </w:tc>
        <w:tc>
          <w:tcPr>
            <w:tcW w:w="774" w:type="pct"/>
          </w:tcPr>
          <w:p w14:paraId="12D4BF70" w14:textId="77777777" w:rsidR="0018237C" w:rsidRPr="00545EC0" w:rsidRDefault="0018237C" w:rsidP="00F93A51">
            <w:pPr>
              <w:spacing w:line="240" w:lineRule="auto"/>
              <w:jc w:val="left"/>
              <w:rPr>
                <w:rFonts w:cs="Arial"/>
                <w:i/>
                <w:sz w:val="18"/>
                <w:szCs w:val="18"/>
              </w:rPr>
            </w:pPr>
            <w:r w:rsidRPr="00545EC0">
              <w:rPr>
                <w:rFonts w:cs="Arial"/>
                <w:i/>
                <w:sz w:val="18"/>
                <w:szCs w:val="18"/>
              </w:rPr>
              <w:t>Varstvo voda</w:t>
            </w:r>
          </w:p>
        </w:tc>
        <w:tc>
          <w:tcPr>
            <w:tcW w:w="681" w:type="pct"/>
          </w:tcPr>
          <w:p w14:paraId="06C0DF18" w14:textId="77777777" w:rsidR="0018237C" w:rsidRPr="00545EC0" w:rsidRDefault="0018237C" w:rsidP="00F93A51">
            <w:pPr>
              <w:spacing w:line="240" w:lineRule="auto"/>
              <w:jc w:val="left"/>
              <w:rPr>
                <w:rFonts w:cs="Arial"/>
                <w:i/>
                <w:sz w:val="18"/>
                <w:szCs w:val="18"/>
              </w:rPr>
            </w:pPr>
            <w:r w:rsidRPr="00545EC0">
              <w:rPr>
                <w:rFonts w:cs="Arial"/>
                <w:i/>
                <w:sz w:val="18"/>
                <w:szCs w:val="18"/>
              </w:rPr>
              <w:t>Onesnaževanje voda</w:t>
            </w:r>
          </w:p>
        </w:tc>
        <w:tc>
          <w:tcPr>
            <w:tcW w:w="714" w:type="pct"/>
          </w:tcPr>
          <w:p w14:paraId="303B400F" w14:textId="77777777" w:rsidR="0018237C" w:rsidRPr="00545EC0" w:rsidRDefault="0018237C" w:rsidP="00F93A51">
            <w:pPr>
              <w:spacing w:line="240" w:lineRule="auto"/>
              <w:jc w:val="left"/>
              <w:rPr>
                <w:rFonts w:cs="Arial"/>
                <w:i/>
                <w:sz w:val="18"/>
                <w:szCs w:val="18"/>
              </w:rPr>
            </w:pPr>
            <w:r w:rsidRPr="00545EC0">
              <w:rPr>
                <w:rFonts w:cs="Arial"/>
                <w:i/>
                <w:sz w:val="18"/>
                <w:szCs w:val="18"/>
              </w:rPr>
              <w:t>Podaljšan in posodobljen</w:t>
            </w:r>
          </w:p>
        </w:tc>
      </w:tr>
      <w:tr w:rsidR="007E0EDE" w:rsidRPr="00545EC0" w14:paraId="73A4B2B0" w14:textId="77777777" w:rsidTr="00BE686D">
        <w:trPr>
          <w:cantSplit/>
          <w:trHeight w:val="525"/>
        </w:trPr>
        <w:tc>
          <w:tcPr>
            <w:tcW w:w="582" w:type="pct"/>
          </w:tcPr>
          <w:p w14:paraId="0A9C1739" w14:textId="77777777" w:rsidR="0018237C" w:rsidRPr="00545EC0" w:rsidRDefault="0018237C" w:rsidP="00F93A51">
            <w:pPr>
              <w:spacing w:line="240" w:lineRule="auto"/>
              <w:jc w:val="left"/>
              <w:rPr>
                <w:rFonts w:cs="Arial"/>
                <w:sz w:val="18"/>
                <w:szCs w:val="18"/>
              </w:rPr>
            </w:pPr>
            <w:r w:rsidRPr="00545EC0">
              <w:rPr>
                <w:rFonts w:cs="Arial"/>
                <w:sz w:val="18"/>
                <w:szCs w:val="18"/>
              </w:rPr>
              <w:t>Temeljni ukrep »a«</w:t>
            </w:r>
          </w:p>
        </w:tc>
        <w:tc>
          <w:tcPr>
            <w:tcW w:w="580" w:type="pct"/>
            <w:shd w:val="clear" w:color="auto" w:fill="auto"/>
            <w:hideMark/>
          </w:tcPr>
          <w:p w14:paraId="21338EB2" w14:textId="77777777" w:rsidR="0018237C" w:rsidRPr="00545EC0" w:rsidRDefault="0018237C" w:rsidP="00F93A51">
            <w:pPr>
              <w:spacing w:line="240" w:lineRule="auto"/>
              <w:jc w:val="left"/>
              <w:rPr>
                <w:rFonts w:cs="Arial"/>
                <w:sz w:val="18"/>
                <w:szCs w:val="18"/>
              </w:rPr>
            </w:pPr>
            <w:r w:rsidRPr="00545EC0">
              <w:rPr>
                <w:rFonts w:cs="Arial"/>
                <w:sz w:val="18"/>
                <w:szCs w:val="18"/>
              </w:rPr>
              <w:t>ON2a</w:t>
            </w:r>
          </w:p>
        </w:tc>
        <w:tc>
          <w:tcPr>
            <w:tcW w:w="1669" w:type="pct"/>
            <w:shd w:val="clear" w:color="auto" w:fill="auto"/>
          </w:tcPr>
          <w:p w14:paraId="51F603DA" w14:textId="77777777" w:rsidR="0018237C" w:rsidRPr="00545EC0" w:rsidRDefault="0018237C" w:rsidP="00F93A51">
            <w:pPr>
              <w:spacing w:line="240" w:lineRule="auto"/>
              <w:jc w:val="left"/>
              <w:rPr>
                <w:rFonts w:cs="Arial"/>
                <w:sz w:val="18"/>
                <w:szCs w:val="18"/>
              </w:rPr>
            </w:pPr>
            <w:r w:rsidRPr="00545EC0">
              <w:rPr>
                <w:rFonts w:cs="Arial"/>
                <w:sz w:val="18"/>
                <w:szCs w:val="18"/>
              </w:rPr>
              <w:t>Ravnanje z blatom iz komunalnih čistilnih naprav</w:t>
            </w:r>
          </w:p>
        </w:tc>
        <w:tc>
          <w:tcPr>
            <w:tcW w:w="774" w:type="pct"/>
          </w:tcPr>
          <w:p w14:paraId="65FE9D15" w14:textId="77777777" w:rsidR="0018237C" w:rsidRPr="00545EC0" w:rsidRDefault="0018237C" w:rsidP="00F93A51">
            <w:pPr>
              <w:spacing w:line="240" w:lineRule="auto"/>
              <w:jc w:val="left"/>
              <w:rPr>
                <w:rFonts w:cs="Arial"/>
                <w:i/>
                <w:sz w:val="18"/>
                <w:szCs w:val="18"/>
              </w:rPr>
            </w:pPr>
            <w:r w:rsidRPr="00545EC0">
              <w:rPr>
                <w:rFonts w:cs="Arial"/>
                <w:i/>
                <w:sz w:val="18"/>
                <w:szCs w:val="18"/>
              </w:rPr>
              <w:t>Varstvo voda</w:t>
            </w:r>
          </w:p>
        </w:tc>
        <w:tc>
          <w:tcPr>
            <w:tcW w:w="681" w:type="pct"/>
          </w:tcPr>
          <w:p w14:paraId="73DD1521" w14:textId="77777777" w:rsidR="0018237C" w:rsidRPr="00545EC0" w:rsidRDefault="0018237C" w:rsidP="00F93A51">
            <w:pPr>
              <w:spacing w:line="240" w:lineRule="auto"/>
              <w:jc w:val="left"/>
              <w:rPr>
                <w:rFonts w:cs="Arial"/>
                <w:i/>
                <w:sz w:val="18"/>
                <w:szCs w:val="18"/>
              </w:rPr>
            </w:pPr>
            <w:r w:rsidRPr="00545EC0">
              <w:rPr>
                <w:rFonts w:cs="Arial"/>
                <w:i/>
                <w:sz w:val="18"/>
                <w:szCs w:val="18"/>
              </w:rPr>
              <w:t>Onesnaževanje voda</w:t>
            </w:r>
          </w:p>
        </w:tc>
        <w:tc>
          <w:tcPr>
            <w:tcW w:w="714" w:type="pct"/>
          </w:tcPr>
          <w:p w14:paraId="03807F6A" w14:textId="77777777" w:rsidR="0018237C" w:rsidRPr="00545EC0" w:rsidRDefault="0018237C" w:rsidP="00F93A51">
            <w:pPr>
              <w:spacing w:line="240" w:lineRule="auto"/>
              <w:jc w:val="left"/>
              <w:rPr>
                <w:rFonts w:cs="Arial"/>
                <w:i/>
                <w:sz w:val="18"/>
                <w:szCs w:val="18"/>
              </w:rPr>
            </w:pPr>
            <w:r w:rsidRPr="00545EC0">
              <w:rPr>
                <w:rFonts w:cs="Arial"/>
                <w:i/>
                <w:sz w:val="18"/>
                <w:szCs w:val="18"/>
              </w:rPr>
              <w:t>Podaljšan in posodobljen</w:t>
            </w:r>
          </w:p>
        </w:tc>
      </w:tr>
      <w:tr w:rsidR="007E0EDE" w:rsidRPr="00545EC0" w14:paraId="52AACA6D" w14:textId="77777777" w:rsidTr="00BE686D">
        <w:trPr>
          <w:cantSplit/>
          <w:trHeight w:val="525"/>
        </w:trPr>
        <w:tc>
          <w:tcPr>
            <w:tcW w:w="582" w:type="pct"/>
          </w:tcPr>
          <w:p w14:paraId="1067F816" w14:textId="77777777" w:rsidR="0018237C" w:rsidRPr="00545EC0" w:rsidRDefault="0018237C" w:rsidP="00F93A51">
            <w:pPr>
              <w:spacing w:line="240" w:lineRule="auto"/>
              <w:jc w:val="left"/>
              <w:rPr>
                <w:rFonts w:cs="Arial"/>
                <w:sz w:val="18"/>
                <w:szCs w:val="18"/>
              </w:rPr>
            </w:pPr>
            <w:r w:rsidRPr="00545EC0">
              <w:rPr>
                <w:rFonts w:cs="Arial"/>
                <w:sz w:val="18"/>
                <w:szCs w:val="18"/>
              </w:rPr>
              <w:t>Temeljni ukrep »a«</w:t>
            </w:r>
          </w:p>
        </w:tc>
        <w:tc>
          <w:tcPr>
            <w:tcW w:w="580" w:type="pct"/>
            <w:shd w:val="clear" w:color="auto" w:fill="auto"/>
          </w:tcPr>
          <w:p w14:paraId="7FA517EA" w14:textId="77777777" w:rsidR="0018237C" w:rsidRPr="00545EC0" w:rsidRDefault="0018237C" w:rsidP="00F93A51">
            <w:pPr>
              <w:spacing w:line="240" w:lineRule="auto"/>
              <w:jc w:val="left"/>
              <w:rPr>
                <w:rFonts w:cs="Arial"/>
                <w:sz w:val="18"/>
                <w:szCs w:val="18"/>
              </w:rPr>
            </w:pPr>
            <w:r w:rsidRPr="00545EC0">
              <w:rPr>
                <w:rFonts w:cs="Arial"/>
                <w:sz w:val="18"/>
                <w:szCs w:val="18"/>
              </w:rPr>
              <w:t>ON3a</w:t>
            </w:r>
          </w:p>
        </w:tc>
        <w:tc>
          <w:tcPr>
            <w:tcW w:w="1669" w:type="pct"/>
            <w:shd w:val="clear" w:color="auto" w:fill="auto"/>
          </w:tcPr>
          <w:p w14:paraId="7B93677C" w14:textId="77777777" w:rsidR="0018237C" w:rsidRPr="00545EC0" w:rsidRDefault="0018237C" w:rsidP="00F93A51">
            <w:pPr>
              <w:spacing w:line="240" w:lineRule="auto"/>
              <w:jc w:val="left"/>
              <w:rPr>
                <w:rFonts w:cs="Arial"/>
                <w:sz w:val="18"/>
                <w:szCs w:val="18"/>
              </w:rPr>
            </w:pPr>
            <w:r w:rsidRPr="00545EC0">
              <w:rPr>
                <w:rFonts w:cs="Arial"/>
                <w:sz w:val="18"/>
                <w:szCs w:val="18"/>
              </w:rPr>
              <w:t>Varstvo voda pred onesnaževanjem z nitrati iz kmetijskih virov (Nitratna direktiva)</w:t>
            </w:r>
          </w:p>
        </w:tc>
        <w:tc>
          <w:tcPr>
            <w:tcW w:w="774" w:type="pct"/>
          </w:tcPr>
          <w:p w14:paraId="60F60D6F" w14:textId="77777777" w:rsidR="0018237C" w:rsidRPr="00545EC0" w:rsidRDefault="0018237C" w:rsidP="00F93A51">
            <w:pPr>
              <w:spacing w:line="240" w:lineRule="auto"/>
              <w:jc w:val="left"/>
              <w:rPr>
                <w:rFonts w:cs="Arial"/>
                <w:i/>
                <w:sz w:val="18"/>
                <w:szCs w:val="18"/>
              </w:rPr>
            </w:pPr>
            <w:r w:rsidRPr="00545EC0">
              <w:rPr>
                <w:rFonts w:cs="Arial"/>
                <w:i/>
                <w:sz w:val="18"/>
                <w:szCs w:val="18"/>
              </w:rPr>
              <w:t>Varstvo voda</w:t>
            </w:r>
          </w:p>
        </w:tc>
        <w:tc>
          <w:tcPr>
            <w:tcW w:w="681" w:type="pct"/>
          </w:tcPr>
          <w:p w14:paraId="5A6E523C" w14:textId="77777777" w:rsidR="0018237C" w:rsidRPr="00545EC0" w:rsidRDefault="0018237C" w:rsidP="00F93A51">
            <w:pPr>
              <w:spacing w:line="240" w:lineRule="auto"/>
              <w:jc w:val="left"/>
              <w:rPr>
                <w:rFonts w:cs="Arial"/>
                <w:i/>
                <w:sz w:val="18"/>
                <w:szCs w:val="18"/>
              </w:rPr>
            </w:pPr>
            <w:r w:rsidRPr="00545EC0">
              <w:rPr>
                <w:rFonts w:cs="Arial"/>
                <w:i/>
                <w:sz w:val="18"/>
                <w:szCs w:val="18"/>
              </w:rPr>
              <w:t>Onesnaževanje voda</w:t>
            </w:r>
          </w:p>
        </w:tc>
        <w:tc>
          <w:tcPr>
            <w:tcW w:w="714" w:type="pct"/>
          </w:tcPr>
          <w:p w14:paraId="5555ABC0" w14:textId="77777777" w:rsidR="0018237C" w:rsidRPr="00545EC0" w:rsidRDefault="0018237C" w:rsidP="00F93A51">
            <w:pPr>
              <w:spacing w:line="240" w:lineRule="auto"/>
              <w:jc w:val="left"/>
              <w:rPr>
                <w:rFonts w:cs="Arial"/>
                <w:i/>
                <w:sz w:val="18"/>
                <w:szCs w:val="18"/>
              </w:rPr>
            </w:pPr>
            <w:r w:rsidRPr="00545EC0">
              <w:rPr>
                <w:rFonts w:cs="Arial"/>
                <w:i/>
                <w:sz w:val="18"/>
                <w:szCs w:val="18"/>
              </w:rPr>
              <w:t>Podaljšan in posodobljen</w:t>
            </w:r>
          </w:p>
        </w:tc>
      </w:tr>
      <w:tr w:rsidR="007E0EDE" w:rsidRPr="00545EC0" w14:paraId="5838853B" w14:textId="77777777" w:rsidTr="00BE686D">
        <w:trPr>
          <w:cantSplit/>
          <w:trHeight w:val="300"/>
        </w:trPr>
        <w:tc>
          <w:tcPr>
            <w:tcW w:w="582" w:type="pct"/>
          </w:tcPr>
          <w:p w14:paraId="7D24A417" w14:textId="77777777" w:rsidR="0018237C" w:rsidRPr="00545EC0" w:rsidRDefault="0018237C" w:rsidP="00F93A51">
            <w:pPr>
              <w:spacing w:line="240" w:lineRule="auto"/>
              <w:jc w:val="left"/>
              <w:rPr>
                <w:rFonts w:cs="Arial"/>
                <w:sz w:val="18"/>
                <w:szCs w:val="18"/>
              </w:rPr>
            </w:pPr>
            <w:r w:rsidRPr="00545EC0">
              <w:rPr>
                <w:rFonts w:cs="Arial"/>
                <w:sz w:val="18"/>
                <w:szCs w:val="18"/>
              </w:rPr>
              <w:t>Temeljni ukrep »a«</w:t>
            </w:r>
          </w:p>
        </w:tc>
        <w:tc>
          <w:tcPr>
            <w:tcW w:w="580" w:type="pct"/>
            <w:shd w:val="clear" w:color="auto" w:fill="auto"/>
            <w:hideMark/>
          </w:tcPr>
          <w:p w14:paraId="01B80729" w14:textId="77777777" w:rsidR="0018237C" w:rsidRPr="00545EC0" w:rsidRDefault="0018237C" w:rsidP="00F93A51">
            <w:pPr>
              <w:spacing w:line="240" w:lineRule="auto"/>
              <w:jc w:val="left"/>
              <w:rPr>
                <w:rFonts w:cs="Arial"/>
                <w:sz w:val="18"/>
                <w:szCs w:val="18"/>
              </w:rPr>
            </w:pPr>
            <w:r w:rsidRPr="00545EC0">
              <w:rPr>
                <w:rFonts w:cs="Arial"/>
                <w:sz w:val="18"/>
                <w:szCs w:val="18"/>
              </w:rPr>
              <w:t>ON4a</w:t>
            </w:r>
          </w:p>
        </w:tc>
        <w:tc>
          <w:tcPr>
            <w:tcW w:w="1669" w:type="pct"/>
            <w:shd w:val="clear" w:color="auto" w:fill="auto"/>
          </w:tcPr>
          <w:p w14:paraId="0BF76CAA" w14:textId="77777777" w:rsidR="0018237C" w:rsidRPr="00545EC0" w:rsidRDefault="0018237C" w:rsidP="00F93A51">
            <w:pPr>
              <w:spacing w:line="240" w:lineRule="auto"/>
              <w:jc w:val="left"/>
              <w:rPr>
                <w:rFonts w:cs="Arial"/>
                <w:sz w:val="18"/>
                <w:szCs w:val="18"/>
              </w:rPr>
            </w:pPr>
            <w:r w:rsidRPr="00545EC0">
              <w:rPr>
                <w:rFonts w:cs="Arial"/>
                <w:sz w:val="18"/>
                <w:szCs w:val="18"/>
              </w:rPr>
              <w:t>Ukrepi s področja varovanja voda pred onesnaževanjem s fitofarmacevtskimi sredstvi</w:t>
            </w:r>
          </w:p>
        </w:tc>
        <w:tc>
          <w:tcPr>
            <w:tcW w:w="774" w:type="pct"/>
          </w:tcPr>
          <w:p w14:paraId="2E107527" w14:textId="77777777" w:rsidR="0018237C" w:rsidRPr="00545EC0" w:rsidRDefault="0018237C" w:rsidP="00F93A51">
            <w:pPr>
              <w:spacing w:line="240" w:lineRule="auto"/>
              <w:jc w:val="left"/>
              <w:rPr>
                <w:rFonts w:cs="Arial"/>
                <w:i/>
                <w:sz w:val="18"/>
                <w:szCs w:val="18"/>
              </w:rPr>
            </w:pPr>
            <w:r w:rsidRPr="00545EC0">
              <w:rPr>
                <w:rFonts w:cs="Arial"/>
                <w:i/>
                <w:sz w:val="18"/>
                <w:szCs w:val="18"/>
              </w:rPr>
              <w:t>Varstvo voda</w:t>
            </w:r>
          </w:p>
        </w:tc>
        <w:tc>
          <w:tcPr>
            <w:tcW w:w="681" w:type="pct"/>
          </w:tcPr>
          <w:p w14:paraId="486B16E6" w14:textId="77777777" w:rsidR="0018237C" w:rsidRPr="00545EC0" w:rsidRDefault="0018237C" w:rsidP="00F93A51">
            <w:pPr>
              <w:spacing w:line="240" w:lineRule="auto"/>
              <w:jc w:val="left"/>
              <w:rPr>
                <w:rFonts w:cs="Arial"/>
                <w:i/>
                <w:sz w:val="18"/>
                <w:szCs w:val="18"/>
              </w:rPr>
            </w:pPr>
            <w:r w:rsidRPr="00545EC0">
              <w:rPr>
                <w:rFonts w:cs="Arial"/>
                <w:i/>
                <w:sz w:val="18"/>
                <w:szCs w:val="18"/>
              </w:rPr>
              <w:t>Onesnaževanje voda</w:t>
            </w:r>
          </w:p>
        </w:tc>
        <w:tc>
          <w:tcPr>
            <w:tcW w:w="714" w:type="pct"/>
          </w:tcPr>
          <w:p w14:paraId="4F5A59EC" w14:textId="77777777" w:rsidR="0018237C" w:rsidRPr="00545EC0" w:rsidRDefault="0018237C" w:rsidP="00F93A51">
            <w:pPr>
              <w:spacing w:line="240" w:lineRule="auto"/>
              <w:jc w:val="left"/>
              <w:rPr>
                <w:rFonts w:cs="Arial"/>
                <w:i/>
                <w:sz w:val="18"/>
                <w:szCs w:val="18"/>
              </w:rPr>
            </w:pPr>
            <w:r w:rsidRPr="00545EC0">
              <w:rPr>
                <w:rFonts w:cs="Arial"/>
                <w:i/>
                <w:sz w:val="18"/>
                <w:szCs w:val="18"/>
              </w:rPr>
              <w:t>Podaljšan in posodobljen</w:t>
            </w:r>
          </w:p>
        </w:tc>
      </w:tr>
      <w:tr w:rsidR="007E0EDE" w:rsidRPr="00545EC0" w14:paraId="2274EB77" w14:textId="77777777" w:rsidTr="00BE686D">
        <w:trPr>
          <w:cantSplit/>
          <w:trHeight w:val="300"/>
        </w:trPr>
        <w:tc>
          <w:tcPr>
            <w:tcW w:w="582" w:type="pct"/>
          </w:tcPr>
          <w:p w14:paraId="0B5C01C0" w14:textId="77777777" w:rsidR="0018237C" w:rsidRPr="00545EC0" w:rsidRDefault="0018237C" w:rsidP="00F93A51">
            <w:pPr>
              <w:spacing w:line="240" w:lineRule="auto"/>
              <w:jc w:val="left"/>
              <w:rPr>
                <w:rFonts w:cs="Arial"/>
                <w:sz w:val="18"/>
                <w:szCs w:val="18"/>
              </w:rPr>
            </w:pPr>
            <w:r w:rsidRPr="00545EC0">
              <w:rPr>
                <w:rFonts w:cs="Arial"/>
                <w:sz w:val="18"/>
                <w:szCs w:val="18"/>
              </w:rPr>
              <w:lastRenderedPageBreak/>
              <w:t>Temeljni ukrep »a«</w:t>
            </w:r>
          </w:p>
        </w:tc>
        <w:tc>
          <w:tcPr>
            <w:tcW w:w="580" w:type="pct"/>
            <w:shd w:val="clear" w:color="auto" w:fill="auto"/>
            <w:hideMark/>
          </w:tcPr>
          <w:p w14:paraId="63BBEA01" w14:textId="77777777" w:rsidR="0018237C" w:rsidRPr="00545EC0" w:rsidRDefault="0018237C" w:rsidP="00F93A51">
            <w:pPr>
              <w:spacing w:line="240" w:lineRule="auto"/>
              <w:jc w:val="left"/>
              <w:rPr>
                <w:rFonts w:cs="Arial"/>
                <w:sz w:val="18"/>
                <w:szCs w:val="18"/>
              </w:rPr>
            </w:pPr>
            <w:r w:rsidRPr="00545EC0">
              <w:rPr>
                <w:rFonts w:cs="Arial"/>
                <w:sz w:val="18"/>
                <w:szCs w:val="18"/>
              </w:rPr>
              <w:t>ON5a</w:t>
            </w:r>
          </w:p>
        </w:tc>
        <w:tc>
          <w:tcPr>
            <w:tcW w:w="1669" w:type="pct"/>
            <w:shd w:val="clear" w:color="auto" w:fill="auto"/>
          </w:tcPr>
          <w:p w14:paraId="3B0D1E9A" w14:textId="77777777" w:rsidR="0018237C" w:rsidRPr="00545EC0" w:rsidRDefault="0018237C" w:rsidP="00F93A51">
            <w:pPr>
              <w:spacing w:line="240" w:lineRule="auto"/>
              <w:jc w:val="left"/>
              <w:rPr>
                <w:rFonts w:cs="Arial"/>
                <w:sz w:val="18"/>
                <w:szCs w:val="18"/>
              </w:rPr>
            </w:pPr>
            <w:r w:rsidRPr="00545EC0">
              <w:rPr>
                <w:rFonts w:cs="Arial"/>
                <w:sz w:val="18"/>
                <w:szCs w:val="18"/>
              </w:rPr>
              <w:t>Ukrepi s področja varovanja voda pred onesnaževanjem s hranili in fitofarmacevtskimi sredstvi iz drugih virov ob površinskih vodah</w:t>
            </w:r>
          </w:p>
        </w:tc>
        <w:tc>
          <w:tcPr>
            <w:tcW w:w="774" w:type="pct"/>
          </w:tcPr>
          <w:p w14:paraId="015BC58D" w14:textId="77777777" w:rsidR="0018237C" w:rsidRPr="00545EC0" w:rsidRDefault="0018237C" w:rsidP="00F93A51">
            <w:pPr>
              <w:spacing w:line="240" w:lineRule="auto"/>
              <w:jc w:val="left"/>
              <w:rPr>
                <w:rFonts w:cs="Arial"/>
                <w:i/>
                <w:sz w:val="18"/>
                <w:szCs w:val="18"/>
              </w:rPr>
            </w:pPr>
            <w:r w:rsidRPr="00545EC0">
              <w:rPr>
                <w:rFonts w:cs="Arial"/>
                <w:i/>
                <w:sz w:val="18"/>
                <w:szCs w:val="18"/>
              </w:rPr>
              <w:t>Varstvo voda</w:t>
            </w:r>
          </w:p>
        </w:tc>
        <w:tc>
          <w:tcPr>
            <w:tcW w:w="681" w:type="pct"/>
          </w:tcPr>
          <w:p w14:paraId="38B67044" w14:textId="77777777" w:rsidR="0018237C" w:rsidRPr="00545EC0" w:rsidRDefault="0018237C" w:rsidP="00F93A51">
            <w:pPr>
              <w:spacing w:line="240" w:lineRule="auto"/>
              <w:jc w:val="left"/>
              <w:rPr>
                <w:rFonts w:cs="Arial"/>
                <w:i/>
                <w:sz w:val="18"/>
                <w:szCs w:val="18"/>
              </w:rPr>
            </w:pPr>
            <w:r w:rsidRPr="00545EC0">
              <w:rPr>
                <w:rFonts w:cs="Arial"/>
                <w:i/>
                <w:sz w:val="18"/>
                <w:szCs w:val="18"/>
              </w:rPr>
              <w:t>Onesnaževanje voda</w:t>
            </w:r>
          </w:p>
        </w:tc>
        <w:tc>
          <w:tcPr>
            <w:tcW w:w="714" w:type="pct"/>
          </w:tcPr>
          <w:p w14:paraId="49FDA377" w14:textId="77777777" w:rsidR="0018237C" w:rsidRPr="00545EC0" w:rsidRDefault="0018237C" w:rsidP="00F93A51">
            <w:pPr>
              <w:spacing w:line="240" w:lineRule="auto"/>
              <w:jc w:val="left"/>
              <w:rPr>
                <w:rFonts w:cs="Arial"/>
                <w:i/>
                <w:sz w:val="18"/>
                <w:szCs w:val="18"/>
              </w:rPr>
            </w:pPr>
            <w:r w:rsidRPr="00545EC0">
              <w:rPr>
                <w:rFonts w:cs="Arial"/>
                <w:i/>
                <w:sz w:val="18"/>
                <w:szCs w:val="18"/>
              </w:rPr>
              <w:t>Podaljšan in posodobljen</w:t>
            </w:r>
          </w:p>
        </w:tc>
      </w:tr>
      <w:tr w:rsidR="007E0EDE" w:rsidRPr="00545EC0" w14:paraId="4E9014B7" w14:textId="77777777" w:rsidTr="00BE686D">
        <w:trPr>
          <w:cantSplit/>
          <w:trHeight w:val="300"/>
        </w:trPr>
        <w:tc>
          <w:tcPr>
            <w:tcW w:w="582" w:type="pct"/>
          </w:tcPr>
          <w:p w14:paraId="7A7A08E5" w14:textId="77777777" w:rsidR="0018237C" w:rsidRPr="00545EC0" w:rsidRDefault="0018237C" w:rsidP="00F93A51">
            <w:pPr>
              <w:spacing w:line="240" w:lineRule="auto"/>
              <w:jc w:val="left"/>
              <w:rPr>
                <w:rFonts w:cs="Arial"/>
                <w:sz w:val="18"/>
                <w:szCs w:val="18"/>
              </w:rPr>
            </w:pPr>
            <w:r w:rsidRPr="00545EC0">
              <w:rPr>
                <w:rFonts w:cs="Arial"/>
                <w:sz w:val="18"/>
                <w:szCs w:val="18"/>
              </w:rPr>
              <w:t>Temeljni ukrep »a«</w:t>
            </w:r>
          </w:p>
        </w:tc>
        <w:tc>
          <w:tcPr>
            <w:tcW w:w="580" w:type="pct"/>
            <w:shd w:val="clear" w:color="auto" w:fill="auto"/>
            <w:hideMark/>
          </w:tcPr>
          <w:p w14:paraId="36B44323" w14:textId="77777777" w:rsidR="0018237C" w:rsidRPr="00545EC0" w:rsidRDefault="0018237C" w:rsidP="00F93A51">
            <w:pPr>
              <w:spacing w:line="240" w:lineRule="auto"/>
              <w:jc w:val="left"/>
              <w:rPr>
                <w:rFonts w:cs="Arial"/>
                <w:sz w:val="18"/>
                <w:szCs w:val="18"/>
              </w:rPr>
            </w:pPr>
            <w:r w:rsidRPr="00545EC0">
              <w:rPr>
                <w:rFonts w:cs="Arial"/>
                <w:sz w:val="18"/>
                <w:szCs w:val="18"/>
              </w:rPr>
              <w:t>ON7.1a</w:t>
            </w:r>
          </w:p>
        </w:tc>
        <w:tc>
          <w:tcPr>
            <w:tcW w:w="1669" w:type="pct"/>
            <w:shd w:val="clear" w:color="auto" w:fill="auto"/>
          </w:tcPr>
          <w:p w14:paraId="3C8058A0" w14:textId="77777777" w:rsidR="0018237C" w:rsidRPr="00545EC0" w:rsidRDefault="0018237C" w:rsidP="00F93A51">
            <w:pPr>
              <w:spacing w:line="240" w:lineRule="auto"/>
              <w:jc w:val="left"/>
              <w:rPr>
                <w:rFonts w:cs="Arial"/>
                <w:sz w:val="18"/>
                <w:szCs w:val="18"/>
              </w:rPr>
            </w:pPr>
            <w:r w:rsidRPr="00545EC0">
              <w:rPr>
                <w:rFonts w:cs="Arial"/>
                <w:sz w:val="18"/>
                <w:szCs w:val="18"/>
              </w:rPr>
              <w:t xml:space="preserve">Preprečitev in zmanjšanje onesnaževanja okolja iz dejavnosti in naprav, ki lahko povzročajo onesnaževanje okolja večjega obsega </w:t>
            </w:r>
          </w:p>
        </w:tc>
        <w:tc>
          <w:tcPr>
            <w:tcW w:w="774" w:type="pct"/>
          </w:tcPr>
          <w:p w14:paraId="22D4D3D5" w14:textId="77777777" w:rsidR="0018237C" w:rsidRPr="00545EC0" w:rsidRDefault="0018237C" w:rsidP="00F93A51">
            <w:pPr>
              <w:spacing w:line="240" w:lineRule="auto"/>
              <w:jc w:val="left"/>
              <w:rPr>
                <w:rFonts w:cs="Arial"/>
                <w:i/>
                <w:sz w:val="18"/>
                <w:szCs w:val="18"/>
              </w:rPr>
            </w:pPr>
            <w:r w:rsidRPr="00545EC0">
              <w:rPr>
                <w:rFonts w:cs="Arial"/>
                <w:i/>
                <w:sz w:val="18"/>
                <w:szCs w:val="18"/>
              </w:rPr>
              <w:t>Varstvo voda</w:t>
            </w:r>
          </w:p>
        </w:tc>
        <w:tc>
          <w:tcPr>
            <w:tcW w:w="681" w:type="pct"/>
          </w:tcPr>
          <w:p w14:paraId="59CF66D2" w14:textId="77777777" w:rsidR="0018237C" w:rsidRPr="00545EC0" w:rsidRDefault="0018237C" w:rsidP="00F93A51">
            <w:pPr>
              <w:spacing w:line="240" w:lineRule="auto"/>
              <w:jc w:val="left"/>
              <w:rPr>
                <w:rFonts w:cs="Arial"/>
                <w:i/>
                <w:sz w:val="18"/>
                <w:szCs w:val="18"/>
              </w:rPr>
            </w:pPr>
            <w:r w:rsidRPr="00545EC0">
              <w:rPr>
                <w:rFonts w:cs="Arial"/>
                <w:i/>
                <w:sz w:val="18"/>
                <w:szCs w:val="18"/>
              </w:rPr>
              <w:t>Onesnaževanje voda</w:t>
            </w:r>
          </w:p>
        </w:tc>
        <w:tc>
          <w:tcPr>
            <w:tcW w:w="714" w:type="pct"/>
          </w:tcPr>
          <w:p w14:paraId="04A87B55" w14:textId="77777777" w:rsidR="0018237C" w:rsidRPr="00545EC0" w:rsidRDefault="0018237C" w:rsidP="00F93A51">
            <w:pPr>
              <w:spacing w:line="240" w:lineRule="auto"/>
              <w:jc w:val="left"/>
              <w:rPr>
                <w:rFonts w:cs="Arial"/>
                <w:i/>
                <w:sz w:val="18"/>
                <w:szCs w:val="18"/>
              </w:rPr>
            </w:pPr>
            <w:r w:rsidRPr="00545EC0">
              <w:rPr>
                <w:rFonts w:cs="Arial"/>
                <w:i/>
                <w:sz w:val="18"/>
                <w:szCs w:val="18"/>
              </w:rPr>
              <w:t>Podaljšan in posodobljen</w:t>
            </w:r>
          </w:p>
        </w:tc>
      </w:tr>
      <w:tr w:rsidR="007E0EDE" w:rsidRPr="00545EC0" w14:paraId="633DE9CA" w14:textId="77777777" w:rsidTr="00BE686D">
        <w:trPr>
          <w:cantSplit/>
          <w:trHeight w:val="300"/>
        </w:trPr>
        <w:tc>
          <w:tcPr>
            <w:tcW w:w="582" w:type="pct"/>
          </w:tcPr>
          <w:p w14:paraId="08778A19" w14:textId="77777777" w:rsidR="0018237C" w:rsidRPr="00545EC0" w:rsidRDefault="0018237C" w:rsidP="00F93A51">
            <w:pPr>
              <w:spacing w:line="240" w:lineRule="auto"/>
              <w:jc w:val="left"/>
              <w:rPr>
                <w:rFonts w:cs="Arial"/>
                <w:sz w:val="18"/>
                <w:szCs w:val="18"/>
              </w:rPr>
            </w:pPr>
            <w:r w:rsidRPr="00545EC0">
              <w:rPr>
                <w:rFonts w:cs="Arial"/>
                <w:sz w:val="18"/>
                <w:szCs w:val="18"/>
              </w:rPr>
              <w:t>Temeljni ukrep »a«</w:t>
            </w:r>
          </w:p>
        </w:tc>
        <w:tc>
          <w:tcPr>
            <w:tcW w:w="580" w:type="pct"/>
            <w:shd w:val="clear" w:color="auto" w:fill="auto"/>
            <w:hideMark/>
          </w:tcPr>
          <w:p w14:paraId="6CF99DD9" w14:textId="77777777" w:rsidR="0018237C" w:rsidRPr="00545EC0" w:rsidRDefault="0018237C" w:rsidP="00F93A51">
            <w:pPr>
              <w:spacing w:line="240" w:lineRule="auto"/>
              <w:jc w:val="left"/>
              <w:rPr>
                <w:rFonts w:cs="Arial"/>
                <w:sz w:val="18"/>
                <w:szCs w:val="18"/>
              </w:rPr>
            </w:pPr>
            <w:r w:rsidRPr="00545EC0">
              <w:rPr>
                <w:rFonts w:cs="Arial"/>
                <w:sz w:val="18"/>
                <w:szCs w:val="18"/>
              </w:rPr>
              <w:t>ON7.2a</w:t>
            </w:r>
          </w:p>
        </w:tc>
        <w:tc>
          <w:tcPr>
            <w:tcW w:w="1669" w:type="pct"/>
            <w:shd w:val="clear" w:color="auto" w:fill="auto"/>
          </w:tcPr>
          <w:p w14:paraId="3F297396" w14:textId="77777777" w:rsidR="0018237C" w:rsidRPr="00545EC0" w:rsidRDefault="0018237C" w:rsidP="00F93A51">
            <w:pPr>
              <w:spacing w:line="240" w:lineRule="auto"/>
              <w:jc w:val="left"/>
              <w:rPr>
                <w:rFonts w:cs="Arial"/>
                <w:sz w:val="18"/>
                <w:szCs w:val="18"/>
              </w:rPr>
            </w:pPr>
            <w:r w:rsidRPr="00545EC0">
              <w:rPr>
                <w:rFonts w:cs="Arial"/>
                <w:sz w:val="18"/>
                <w:szCs w:val="18"/>
              </w:rPr>
              <w:t>Preprečitev in zmanjševaje onesnaževanja okolja iz drugih naprav</w:t>
            </w:r>
          </w:p>
        </w:tc>
        <w:tc>
          <w:tcPr>
            <w:tcW w:w="774" w:type="pct"/>
          </w:tcPr>
          <w:p w14:paraId="34440E98" w14:textId="77777777" w:rsidR="0018237C" w:rsidRPr="00545EC0" w:rsidRDefault="0018237C" w:rsidP="00F93A51">
            <w:pPr>
              <w:spacing w:line="240" w:lineRule="auto"/>
              <w:jc w:val="left"/>
              <w:rPr>
                <w:rFonts w:cs="Arial"/>
                <w:i/>
                <w:sz w:val="18"/>
                <w:szCs w:val="18"/>
              </w:rPr>
            </w:pPr>
            <w:r w:rsidRPr="00545EC0">
              <w:rPr>
                <w:rFonts w:cs="Arial"/>
                <w:i/>
                <w:sz w:val="18"/>
                <w:szCs w:val="18"/>
              </w:rPr>
              <w:t>Varstvo voda</w:t>
            </w:r>
          </w:p>
        </w:tc>
        <w:tc>
          <w:tcPr>
            <w:tcW w:w="681" w:type="pct"/>
          </w:tcPr>
          <w:p w14:paraId="31F0B38A" w14:textId="77777777" w:rsidR="0018237C" w:rsidRPr="00545EC0" w:rsidRDefault="0018237C" w:rsidP="00F93A51">
            <w:pPr>
              <w:spacing w:line="240" w:lineRule="auto"/>
              <w:jc w:val="left"/>
              <w:rPr>
                <w:rFonts w:cs="Arial"/>
                <w:i/>
                <w:sz w:val="18"/>
                <w:szCs w:val="18"/>
              </w:rPr>
            </w:pPr>
            <w:r w:rsidRPr="00545EC0">
              <w:rPr>
                <w:rFonts w:cs="Arial"/>
                <w:i/>
                <w:sz w:val="18"/>
                <w:szCs w:val="18"/>
              </w:rPr>
              <w:t>Onesnaževanje voda</w:t>
            </w:r>
          </w:p>
        </w:tc>
        <w:tc>
          <w:tcPr>
            <w:tcW w:w="714" w:type="pct"/>
          </w:tcPr>
          <w:p w14:paraId="7A247232" w14:textId="77777777" w:rsidR="0018237C" w:rsidRPr="00545EC0" w:rsidRDefault="0018237C" w:rsidP="00F93A51">
            <w:pPr>
              <w:spacing w:line="240" w:lineRule="auto"/>
              <w:jc w:val="left"/>
              <w:rPr>
                <w:rFonts w:cs="Arial"/>
                <w:i/>
                <w:sz w:val="18"/>
                <w:szCs w:val="18"/>
              </w:rPr>
            </w:pPr>
            <w:r w:rsidRPr="00545EC0">
              <w:rPr>
                <w:rFonts w:cs="Arial"/>
                <w:i/>
                <w:sz w:val="18"/>
                <w:szCs w:val="18"/>
              </w:rPr>
              <w:t>Podaljšan in posodobljen</w:t>
            </w:r>
          </w:p>
        </w:tc>
      </w:tr>
      <w:tr w:rsidR="007E0EDE" w:rsidRPr="00545EC0" w14:paraId="67E314A7" w14:textId="77777777" w:rsidTr="00BE686D">
        <w:trPr>
          <w:cantSplit/>
          <w:trHeight w:val="525"/>
        </w:trPr>
        <w:tc>
          <w:tcPr>
            <w:tcW w:w="582" w:type="pct"/>
          </w:tcPr>
          <w:p w14:paraId="593ECD5D" w14:textId="77777777" w:rsidR="0018237C" w:rsidRPr="00545EC0" w:rsidRDefault="0018237C" w:rsidP="00F93A51">
            <w:pPr>
              <w:spacing w:line="240" w:lineRule="auto"/>
              <w:jc w:val="left"/>
              <w:rPr>
                <w:rFonts w:cs="Arial"/>
                <w:sz w:val="18"/>
                <w:szCs w:val="18"/>
              </w:rPr>
            </w:pPr>
            <w:r w:rsidRPr="00545EC0">
              <w:rPr>
                <w:rFonts w:cs="Arial"/>
                <w:sz w:val="18"/>
                <w:szCs w:val="18"/>
              </w:rPr>
              <w:t>Temeljni ukrep »b«</w:t>
            </w:r>
          </w:p>
        </w:tc>
        <w:tc>
          <w:tcPr>
            <w:tcW w:w="580" w:type="pct"/>
            <w:shd w:val="clear" w:color="auto" w:fill="auto"/>
            <w:hideMark/>
          </w:tcPr>
          <w:p w14:paraId="5959409A" w14:textId="77777777" w:rsidR="0018237C" w:rsidRPr="00545EC0" w:rsidRDefault="0018237C" w:rsidP="00F93A51">
            <w:pPr>
              <w:spacing w:line="240" w:lineRule="auto"/>
              <w:jc w:val="left"/>
              <w:rPr>
                <w:rFonts w:cs="Arial"/>
                <w:sz w:val="18"/>
                <w:szCs w:val="18"/>
              </w:rPr>
            </w:pPr>
            <w:r w:rsidRPr="00545EC0">
              <w:rPr>
                <w:rFonts w:cs="Arial"/>
                <w:sz w:val="18"/>
                <w:szCs w:val="18"/>
              </w:rPr>
              <w:t>ON7b2</w:t>
            </w:r>
          </w:p>
        </w:tc>
        <w:tc>
          <w:tcPr>
            <w:tcW w:w="1669" w:type="pct"/>
            <w:shd w:val="clear" w:color="auto" w:fill="auto"/>
          </w:tcPr>
          <w:p w14:paraId="5010294A" w14:textId="77777777" w:rsidR="0018237C" w:rsidRPr="00545EC0" w:rsidRDefault="0018237C" w:rsidP="00F93A51">
            <w:pPr>
              <w:spacing w:line="240" w:lineRule="auto"/>
              <w:jc w:val="left"/>
              <w:rPr>
                <w:rFonts w:cs="Arial"/>
                <w:sz w:val="18"/>
                <w:szCs w:val="18"/>
              </w:rPr>
            </w:pPr>
            <w:r w:rsidRPr="00545EC0">
              <w:rPr>
                <w:rFonts w:cs="Arial"/>
                <w:sz w:val="18"/>
                <w:szCs w:val="18"/>
              </w:rPr>
              <w:t>Tehnične smernice za izvedbo objektov za ponikanje pri posrednem odvajanju odpadnih voda</w:t>
            </w:r>
          </w:p>
        </w:tc>
        <w:tc>
          <w:tcPr>
            <w:tcW w:w="774" w:type="pct"/>
            <w:shd w:val="clear" w:color="auto" w:fill="auto"/>
          </w:tcPr>
          <w:p w14:paraId="170CD174" w14:textId="77777777" w:rsidR="0018237C" w:rsidRPr="00545EC0" w:rsidRDefault="0018237C" w:rsidP="00F93A51">
            <w:pPr>
              <w:spacing w:line="240" w:lineRule="auto"/>
              <w:jc w:val="left"/>
              <w:rPr>
                <w:rFonts w:cs="Arial"/>
                <w:i/>
                <w:sz w:val="18"/>
                <w:szCs w:val="18"/>
              </w:rPr>
            </w:pPr>
            <w:r w:rsidRPr="00545EC0">
              <w:rPr>
                <w:rFonts w:cs="Arial"/>
                <w:i/>
                <w:sz w:val="18"/>
                <w:szCs w:val="18"/>
              </w:rPr>
              <w:t>Varstvo voda</w:t>
            </w:r>
          </w:p>
        </w:tc>
        <w:tc>
          <w:tcPr>
            <w:tcW w:w="681" w:type="pct"/>
            <w:shd w:val="clear" w:color="auto" w:fill="auto"/>
          </w:tcPr>
          <w:p w14:paraId="61CC1340" w14:textId="77777777" w:rsidR="0018237C" w:rsidRPr="00545EC0" w:rsidRDefault="0018237C" w:rsidP="00F93A51">
            <w:pPr>
              <w:spacing w:line="240" w:lineRule="auto"/>
              <w:jc w:val="left"/>
              <w:rPr>
                <w:rFonts w:cs="Arial"/>
                <w:i/>
                <w:sz w:val="18"/>
                <w:szCs w:val="18"/>
              </w:rPr>
            </w:pPr>
            <w:r w:rsidRPr="00545EC0">
              <w:rPr>
                <w:rFonts w:cs="Arial"/>
                <w:i/>
                <w:sz w:val="18"/>
                <w:szCs w:val="18"/>
              </w:rPr>
              <w:t>Onesnaževanje voda</w:t>
            </w:r>
          </w:p>
        </w:tc>
        <w:tc>
          <w:tcPr>
            <w:tcW w:w="714" w:type="pct"/>
          </w:tcPr>
          <w:p w14:paraId="6D0B5C5C" w14:textId="77777777" w:rsidR="0018237C" w:rsidRPr="00545EC0" w:rsidRDefault="0018237C" w:rsidP="00F93A51">
            <w:pPr>
              <w:spacing w:line="240" w:lineRule="auto"/>
              <w:jc w:val="left"/>
              <w:rPr>
                <w:rFonts w:cs="Arial"/>
                <w:i/>
                <w:sz w:val="18"/>
                <w:szCs w:val="18"/>
              </w:rPr>
            </w:pPr>
            <w:r w:rsidRPr="00545EC0">
              <w:rPr>
                <w:rFonts w:cs="Arial"/>
                <w:i/>
                <w:sz w:val="18"/>
                <w:szCs w:val="18"/>
              </w:rPr>
              <w:t>Podaljšan in posodobljen</w:t>
            </w:r>
          </w:p>
        </w:tc>
      </w:tr>
      <w:tr w:rsidR="007E0EDE" w:rsidRPr="00545EC0" w14:paraId="65465D63" w14:textId="77777777" w:rsidTr="00BE686D">
        <w:trPr>
          <w:cantSplit/>
          <w:trHeight w:val="525"/>
        </w:trPr>
        <w:tc>
          <w:tcPr>
            <w:tcW w:w="582" w:type="pct"/>
          </w:tcPr>
          <w:p w14:paraId="0D9C45C7" w14:textId="77777777" w:rsidR="0018237C" w:rsidRPr="00545EC0" w:rsidRDefault="0018237C" w:rsidP="00F93A51">
            <w:pPr>
              <w:spacing w:line="240" w:lineRule="auto"/>
              <w:jc w:val="left"/>
              <w:rPr>
                <w:rFonts w:cs="Arial"/>
                <w:sz w:val="18"/>
                <w:szCs w:val="18"/>
              </w:rPr>
            </w:pPr>
            <w:r w:rsidRPr="00545EC0">
              <w:rPr>
                <w:rFonts w:cs="Arial"/>
                <w:sz w:val="18"/>
                <w:szCs w:val="18"/>
              </w:rPr>
              <w:t>Temeljni ukrep »a«</w:t>
            </w:r>
          </w:p>
        </w:tc>
        <w:tc>
          <w:tcPr>
            <w:tcW w:w="580" w:type="pct"/>
            <w:shd w:val="clear" w:color="auto" w:fill="auto"/>
          </w:tcPr>
          <w:p w14:paraId="3F2DA77A" w14:textId="77777777" w:rsidR="0018237C" w:rsidRPr="00545EC0" w:rsidRDefault="0018237C" w:rsidP="00F93A51">
            <w:pPr>
              <w:spacing w:line="240" w:lineRule="auto"/>
              <w:jc w:val="left"/>
              <w:rPr>
                <w:rFonts w:cs="Arial"/>
                <w:sz w:val="18"/>
                <w:szCs w:val="18"/>
              </w:rPr>
            </w:pPr>
            <w:r w:rsidRPr="00545EC0">
              <w:rPr>
                <w:rFonts w:cs="Arial"/>
                <w:sz w:val="18"/>
                <w:szCs w:val="18"/>
              </w:rPr>
              <w:t>ON9a</w:t>
            </w:r>
          </w:p>
        </w:tc>
        <w:tc>
          <w:tcPr>
            <w:tcW w:w="1669" w:type="pct"/>
            <w:shd w:val="clear" w:color="auto" w:fill="auto"/>
          </w:tcPr>
          <w:p w14:paraId="557ED866" w14:textId="77777777" w:rsidR="0018237C" w:rsidRPr="00545EC0" w:rsidRDefault="0018237C" w:rsidP="00F93A51">
            <w:pPr>
              <w:spacing w:line="240" w:lineRule="auto"/>
              <w:jc w:val="left"/>
              <w:rPr>
                <w:rFonts w:cs="Arial"/>
                <w:sz w:val="18"/>
                <w:szCs w:val="18"/>
              </w:rPr>
            </w:pPr>
            <w:r w:rsidRPr="00545EC0">
              <w:rPr>
                <w:rFonts w:cs="Arial"/>
                <w:sz w:val="18"/>
                <w:szCs w:val="18"/>
              </w:rPr>
              <w:t>Obvladovanje nevarnosti večjih nesreč v katere so vključene nevarne snovi (SEVESO III direktiva)</w:t>
            </w:r>
          </w:p>
        </w:tc>
        <w:tc>
          <w:tcPr>
            <w:tcW w:w="774" w:type="pct"/>
            <w:shd w:val="clear" w:color="auto" w:fill="auto"/>
          </w:tcPr>
          <w:p w14:paraId="7E409C2A" w14:textId="77777777" w:rsidR="0018237C" w:rsidRPr="00545EC0" w:rsidRDefault="0018237C" w:rsidP="00F93A51">
            <w:pPr>
              <w:spacing w:line="240" w:lineRule="auto"/>
              <w:jc w:val="left"/>
              <w:rPr>
                <w:rFonts w:cs="Arial"/>
                <w:i/>
                <w:sz w:val="18"/>
                <w:szCs w:val="18"/>
              </w:rPr>
            </w:pPr>
            <w:r w:rsidRPr="00545EC0">
              <w:rPr>
                <w:rFonts w:cs="Arial"/>
                <w:i/>
                <w:sz w:val="18"/>
                <w:szCs w:val="18"/>
              </w:rPr>
              <w:t>Varstvo voda</w:t>
            </w:r>
          </w:p>
        </w:tc>
        <w:tc>
          <w:tcPr>
            <w:tcW w:w="681" w:type="pct"/>
            <w:shd w:val="clear" w:color="auto" w:fill="auto"/>
          </w:tcPr>
          <w:p w14:paraId="0FB3F2AB" w14:textId="77777777" w:rsidR="0018237C" w:rsidRPr="00545EC0" w:rsidRDefault="0018237C" w:rsidP="00F93A51">
            <w:pPr>
              <w:spacing w:line="240" w:lineRule="auto"/>
              <w:jc w:val="left"/>
              <w:rPr>
                <w:rFonts w:cs="Arial"/>
                <w:i/>
                <w:sz w:val="18"/>
                <w:szCs w:val="18"/>
              </w:rPr>
            </w:pPr>
            <w:r w:rsidRPr="00545EC0">
              <w:rPr>
                <w:rFonts w:cs="Arial"/>
                <w:i/>
                <w:sz w:val="18"/>
                <w:szCs w:val="18"/>
              </w:rPr>
              <w:t>Onesnaževanje voda</w:t>
            </w:r>
          </w:p>
        </w:tc>
        <w:tc>
          <w:tcPr>
            <w:tcW w:w="714" w:type="pct"/>
          </w:tcPr>
          <w:p w14:paraId="057143E5" w14:textId="77777777" w:rsidR="0018237C" w:rsidRPr="00545EC0" w:rsidRDefault="0018237C" w:rsidP="00F93A51">
            <w:pPr>
              <w:spacing w:line="240" w:lineRule="auto"/>
              <w:jc w:val="left"/>
              <w:rPr>
                <w:rFonts w:cs="Arial"/>
                <w:i/>
                <w:sz w:val="18"/>
                <w:szCs w:val="18"/>
              </w:rPr>
            </w:pPr>
            <w:r w:rsidRPr="00545EC0">
              <w:rPr>
                <w:rFonts w:cs="Arial"/>
                <w:i/>
                <w:sz w:val="18"/>
                <w:szCs w:val="18"/>
              </w:rPr>
              <w:t>Podaljšan in posodobljen</w:t>
            </w:r>
          </w:p>
        </w:tc>
      </w:tr>
      <w:tr w:rsidR="007E0EDE" w:rsidRPr="00545EC0" w14:paraId="593450DE" w14:textId="77777777" w:rsidTr="00BE686D">
        <w:trPr>
          <w:cantSplit/>
          <w:trHeight w:val="300"/>
        </w:trPr>
        <w:tc>
          <w:tcPr>
            <w:tcW w:w="582" w:type="pct"/>
          </w:tcPr>
          <w:p w14:paraId="57799DD1" w14:textId="77777777" w:rsidR="0018237C" w:rsidRPr="00545EC0" w:rsidRDefault="0018237C" w:rsidP="00F93A51">
            <w:pPr>
              <w:spacing w:line="240" w:lineRule="auto"/>
              <w:jc w:val="left"/>
              <w:rPr>
                <w:rFonts w:cs="Arial"/>
                <w:sz w:val="18"/>
                <w:szCs w:val="18"/>
              </w:rPr>
            </w:pPr>
            <w:r w:rsidRPr="00545EC0">
              <w:rPr>
                <w:rFonts w:cs="Arial"/>
                <w:sz w:val="18"/>
                <w:szCs w:val="18"/>
              </w:rPr>
              <w:t>Temeljni ukrep »a«</w:t>
            </w:r>
          </w:p>
        </w:tc>
        <w:tc>
          <w:tcPr>
            <w:tcW w:w="580" w:type="pct"/>
            <w:shd w:val="clear" w:color="auto" w:fill="auto"/>
            <w:hideMark/>
          </w:tcPr>
          <w:p w14:paraId="6FA8489E" w14:textId="77777777" w:rsidR="0018237C" w:rsidRPr="00545EC0" w:rsidRDefault="0018237C" w:rsidP="00F93A51">
            <w:pPr>
              <w:spacing w:line="240" w:lineRule="auto"/>
              <w:jc w:val="left"/>
              <w:rPr>
                <w:rFonts w:cs="Arial"/>
                <w:sz w:val="18"/>
                <w:szCs w:val="18"/>
              </w:rPr>
            </w:pPr>
            <w:r w:rsidRPr="00545EC0">
              <w:rPr>
                <w:rFonts w:cs="Arial"/>
                <w:sz w:val="18"/>
                <w:szCs w:val="18"/>
              </w:rPr>
              <w:t>ON11a</w:t>
            </w:r>
          </w:p>
        </w:tc>
        <w:tc>
          <w:tcPr>
            <w:tcW w:w="1669" w:type="pct"/>
            <w:shd w:val="clear" w:color="auto" w:fill="auto"/>
          </w:tcPr>
          <w:p w14:paraId="25F6D29B" w14:textId="77777777" w:rsidR="0018237C" w:rsidRPr="00545EC0" w:rsidRDefault="0018237C" w:rsidP="00F93A51">
            <w:pPr>
              <w:spacing w:line="240" w:lineRule="auto"/>
              <w:jc w:val="left"/>
              <w:rPr>
                <w:rFonts w:cs="Arial"/>
                <w:sz w:val="18"/>
                <w:szCs w:val="18"/>
              </w:rPr>
            </w:pPr>
            <w:r w:rsidRPr="00545EC0">
              <w:rPr>
                <w:rFonts w:cs="Arial"/>
                <w:sz w:val="18"/>
                <w:szCs w:val="18"/>
              </w:rPr>
              <w:t>Ukrepi za varstvo pred onesnaževanjem zaradi nesreč pri prevozu nevarnega blaga v cestnem, železniškem, zračnem in pomorskem prometu – načrti zaščite in reševanja</w:t>
            </w:r>
          </w:p>
        </w:tc>
        <w:tc>
          <w:tcPr>
            <w:tcW w:w="774" w:type="pct"/>
          </w:tcPr>
          <w:p w14:paraId="08FA4BDE" w14:textId="77777777" w:rsidR="0018237C" w:rsidRPr="00545EC0" w:rsidRDefault="0018237C" w:rsidP="00F93A51">
            <w:pPr>
              <w:spacing w:line="240" w:lineRule="auto"/>
              <w:jc w:val="left"/>
              <w:rPr>
                <w:rFonts w:cs="Arial"/>
                <w:i/>
                <w:sz w:val="18"/>
                <w:szCs w:val="18"/>
              </w:rPr>
            </w:pPr>
            <w:r w:rsidRPr="00545EC0">
              <w:rPr>
                <w:rFonts w:cs="Arial"/>
                <w:i/>
                <w:sz w:val="18"/>
                <w:szCs w:val="18"/>
              </w:rPr>
              <w:t>Varstvo voda</w:t>
            </w:r>
          </w:p>
        </w:tc>
        <w:tc>
          <w:tcPr>
            <w:tcW w:w="681" w:type="pct"/>
          </w:tcPr>
          <w:p w14:paraId="053D4909" w14:textId="77777777" w:rsidR="0018237C" w:rsidRPr="00545EC0" w:rsidRDefault="0018237C" w:rsidP="00F93A51">
            <w:pPr>
              <w:spacing w:line="240" w:lineRule="auto"/>
              <w:jc w:val="left"/>
              <w:rPr>
                <w:rFonts w:cs="Arial"/>
                <w:i/>
                <w:sz w:val="18"/>
                <w:szCs w:val="18"/>
              </w:rPr>
            </w:pPr>
            <w:r w:rsidRPr="00545EC0">
              <w:rPr>
                <w:rFonts w:cs="Arial"/>
                <w:i/>
                <w:sz w:val="18"/>
                <w:szCs w:val="18"/>
              </w:rPr>
              <w:t>Onesnaževanje voda</w:t>
            </w:r>
          </w:p>
        </w:tc>
        <w:tc>
          <w:tcPr>
            <w:tcW w:w="714" w:type="pct"/>
          </w:tcPr>
          <w:p w14:paraId="1B279964" w14:textId="77777777" w:rsidR="0018237C" w:rsidRPr="00545EC0" w:rsidRDefault="0018237C" w:rsidP="00F93A51">
            <w:pPr>
              <w:spacing w:line="240" w:lineRule="auto"/>
              <w:jc w:val="left"/>
              <w:rPr>
                <w:rFonts w:cs="Arial"/>
                <w:i/>
                <w:sz w:val="18"/>
                <w:szCs w:val="18"/>
              </w:rPr>
            </w:pPr>
            <w:r w:rsidRPr="00545EC0">
              <w:rPr>
                <w:rFonts w:cs="Arial"/>
                <w:i/>
                <w:sz w:val="18"/>
                <w:szCs w:val="18"/>
              </w:rPr>
              <w:t>Podaljšan in posodobljen</w:t>
            </w:r>
          </w:p>
        </w:tc>
      </w:tr>
      <w:tr w:rsidR="007E0EDE" w:rsidRPr="00545EC0" w14:paraId="665404DE" w14:textId="77777777" w:rsidTr="00BE686D">
        <w:trPr>
          <w:cantSplit/>
          <w:trHeight w:val="300"/>
        </w:trPr>
        <w:tc>
          <w:tcPr>
            <w:tcW w:w="582" w:type="pct"/>
          </w:tcPr>
          <w:p w14:paraId="470F2FB0" w14:textId="77777777" w:rsidR="0018237C" w:rsidRPr="00545EC0" w:rsidRDefault="0018237C" w:rsidP="00F93A51">
            <w:pPr>
              <w:spacing w:line="240" w:lineRule="auto"/>
              <w:jc w:val="left"/>
              <w:rPr>
                <w:rFonts w:cs="Arial"/>
                <w:sz w:val="18"/>
                <w:szCs w:val="18"/>
              </w:rPr>
            </w:pPr>
            <w:r w:rsidRPr="00545EC0">
              <w:rPr>
                <w:rFonts w:cs="Arial"/>
                <w:sz w:val="18"/>
                <w:szCs w:val="18"/>
              </w:rPr>
              <w:t>Temeljni ukrep »a«</w:t>
            </w:r>
          </w:p>
        </w:tc>
        <w:tc>
          <w:tcPr>
            <w:tcW w:w="580" w:type="pct"/>
            <w:shd w:val="clear" w:color="auto" w:fill="auto"/>
            <w:hideMark/>
          </w:tcPr>
          <w:p w14:paraId="2CA54104" w14:textId="77777777" w:rsidR="0018237C" w:rsidRPr="00545EC0" w:rsidRDefault="0018237C" w:rsidP="00F93A51">
            <w:pPr>
              <w:spacing w:line="240" w:lineRule="auto"/>
              <w:jc w:val="left"/>
              <w:rPr>
                <w:rFonts w:cs="Arial"/>
                <w:sz w:val="18"/>
                <w:szCs w:val="18"/>
              </w:rPr>
            </w:pPr>
            <w:r w:rsidRPr="00545EC0">
              <w:rPr>
                <w:rFonts w:cs="Arial"/>
                <w:sz w:val="18"/>
                <w:szCs w:val="18"/>
              </w:rPr>
              <w:t>ON15a</w:t>
            </w:r>
          </w:p>
        </w:tc>
        <w:tc>
          <w:tcPr>
            <w:tcW w:w="1669" w:type="pct"/>
            <w:shd w:val="clear" w:color="auto" w:fill="auto"/>
          </w:tcPr>
          <w:p w14:paraId="5ABBF445" w14:textId="77777777" w:rsidR="0018237C" w:rsidRPr="00545EC0" w:rsidRDefault="0018237C" w:rsidP="00F93A51">
            <w:pPr>
              <w:spacing w:line="240" w:lineRule="auto"/>
              <w:jc w:val="left"/>
              <w:rPr>
                <w:rFonts w:cs="Arial"/>
                <w:sz w:val="18"/>
                <w:szCs w:val="18"/>
              </w:rPr>
            </w:pPr>
            <w:r w:rsidRPr="00545EC0">
              <w:rPr>
                <w:rFonts w:cs="Arial"/>
                <w:sz w:val="18"/>
                <w:szCs w:val="18"/>
              </w:rPr>
              <w:t>Ukrepi  v zvezi z rabo kemikalij in biocidov</w:t>
            </w:r>
          </w:p>
        </w:tc>
        <w:tc>
          <w:tcPr>
            <w:tcW w:w="774" w:type="pct"/>
          </w:tcPr>
          <w:p w14:paraId="7796CF48" w14:textId="77777777" w:rsidR="0018237C" w:rsidRPr="00545EC0" w:rsidRDefault="0018237C" w:rsidP="00F93A51">
            <w:pPr>
              <w:spacing w:line="240" w:lineRule="auto"/>
              <w:jc w:val="left"/>
              <w:rPr>
                <w:rFonts w:cs="Arial"/>
                <w:i/>
                <w:sz w:val="18"/>
                <w:szCs w:val="18"/>
              </w:rPr>
            </w:pPr>
            <w:r w:rsidRPr="00545EC0">
              <w:rPr>
                <w:rFonts w:cs="Arial"/>
                <w:i/>
                <w:sz w:val="18"/>
                <w:szCs w:val="18"/>
              </w:rPr>
              <w:t>Varstvo voda</w:t>
            </w:r>
          </w:p>
        </w:tc>
        <w:tc>
          <w:tcPr>
            <w:tcW w:w="681" w:type="pct"/>
          </w:tcPr>
          <w:p w14:paraId="6F9B03A6" w14:textId="77777777" w:rsidR="0018237C" w:rsidRPr="00545EC0" w:rsidRDefault="0018237C" w:rsidP="00F93A51">
            <w:pPr>
              <w:spacing w:line="240" w:lineRule="auto"/>
              <w:jc w:val="left"/>
              <w:rPr>
                <w:rFonts w:cs="Arial"/>
                <w:i/>
                <w:sz w:val="18"/>
                <w:szCs w:val="18"/>
              </w:rPr>
            </w:pPr>
            <w:r w:rsidRPr="00545EC0">
              <w:rPr>
                <w:rFonts w:cs="Arial"/>
                <w:i/>
                <w:sz w:val="18"/>
                <w:szCs w:val="18"/>
              </w:rPr>
              <w:t>Onesnaževanje voda</w:t>
            </w:r>
          </w:p>
        </w:tc>
        <w:tc>
          <w:tcPr>
            <w:tcW w:w="714" w:type="pct"/>
          </w:tcPr>
          <w:p w14:paraId="28E7F94F" w14:textId="77777777" w:rsidR="0018237C" w:rsidRPr="00545EC0" w:rsidRDefault="0018237C" w:rsidP="00F93A51">
            <w:pPr>
              <w:spacing w:line="240" w:lineRule="auto"/>
              <w:jc w:val="left"/>
              <w:rPr>
                <w:rFonts w:cs="Arial"/>
                <w:i/>
                <w:sz w:val="18"/>
                <w:szCs w:val="18"/>
              </w:rPr>
            </w:pPr>
            <w:r w:rsidRPr="00545EC0">
              <w:rPr>
                <w:rFonts w:cs="Arial"/>
                <w:i/>
                <w:sz w:val="18"/>
                <w:szCs w:val="18"/>
              </w:rPr>
              <w:t>Podaljšan in posodobljen</w:t>
            </w:r>
          </w:p>
        </w:tc>
      </w:tr>
      <w:tr w:rsidR="007E0EDE" w:rsidRPr="00545EC0" w14:paraId="3EBA5541" w14:textId="77777777" w:rsidTr="00BE686D">
        <w:trPr>
          <w:cantSplit/>
          <w:trHeight w:val="64"/>
        </w:trPr>
        <w:tc>
          <w:tcPr>
            <w:tcW w:w="582" w:type="pct"/>
          </w:tcPr>
          <w:p w14:paraId="404BA931" w14:textId="77777777" w:rsidR="0018237C" w:rsidRPr="00545EC0" w:rsidRDefault="0018237C" w:rsidP="00F93A51">
            <w:pPr>
              <w:spacing w:line="240" w:lineRule="auto"/>
              <w:jc w:val="left"/>
              <w:rPr>
                <w:rFonts w:cs="Arial"/>
                <w:sz w:val="18"/>
                <w:szCs w:val="18"/>
              </w:rPr>
            </w:pPr>
            <w:r w:rsidRPr="00545EC0">
              <w:rPr>
                <w:rFonts w:cs="Arial"/>
                <w:sz w:val="18"/>
                <w:szCs w:val="18"/>
              </w:rPr>
              <w:t>Temeljni ukrep »a«</w:t>
            </w:r>
          </w:p>
        </w:tc>
        <w:tc>
          <w:tcPr>
            <w:tcW w:w="580" w:type="pct"/>
            <w:shd w:val="clear" w:color="auto" w:fill="auto"/>
            <w:hideMark/>
          </w:tcPr>
          <w:p w14:paraId="31A68FE6" w14:textId="77777777" w:rsidR="0018237C" w:rsidRPr="00545EC0" w:rsidRDefault="0018237C" w:rsidP="00F93A51">
            <w:pPr>
              <w:spacing w:line="240" w:lineRule="auto"/>
              <w:jc w:val="left"/>
              <w:rPr>
                <w:rFonts w:cs="Arial"/>
                <w:sz w:val="18"/>
                <w:szCs w:val="18"/>
              </w:rPr>
            </w:pPr>
            <w:r w:rsidRPr="00545EC0">
              <w:rPr>
                <w:rFonts w:cs="Arial"/>
                <w:sz w:val="18"/>
                <w:szCs w:val="18"/>
              </w:rPr>
              <w:t>ON17a</w:t>
            </w:r>
          </w:p>
        </w:tc>
        <w:tc>
          <w:tcPr>
            <w:tcW w:w="1669" w:type="pct"/>
            <w:shd w:val="clear" w:color="auto" w:fill="auto"/>
          </w:tcPr>
          <w:p w14:paraId="5DEB2EE3" w14:textId="77777777" w:rsidR="0018237C" w:rsidRPr="00545EC0" w:rsidRDefault="0018237C" w:rsidP="00F93A51">
            <w:pPr>
              <w:spacing w:line="240" w:lineRule="auto"/>
              <w:jc w:val="left"/>
              <w:rPr>
                <w:rFonts w:cs="Arial"/>
                <w:sz w:val="18"/>
                <w:szCs w:val="18"/>
              </w:rPr>
            </w:pPr>
            <w:r w:rsidRPr="00545EC0">
              <w:rPr>
                <w:rFonts w:cs="Arial"/>
                <w:sz w:val="18"/>
                <w:szCs w:val="18"/>
              </w:rPr>
              <w:t>Ukrepi za preprečevanje onesnaževanja voda zaradi ribiške in ribogojske prakse</w:t>
            </w:r>
          </w:p>
        </w:tc>
        <w:tc>
          <w:tcPr>
            <w:tcW w:w="774" w:type="pct"/>
          </w:tcPr>
          <w:p w14:paraId="2272AD7B" w14:textId="77777777" w:rsidR="0018237C" w:rsidRPr="00545EC0" w:rsidRDefault="0018237C" w:rsidP="00F93A51">
            <w:pPr>
              <w:spacing w:line="240" w:lineRule="auto"/>
              <w:jc w:val="left"/>
              <w:rPr>
                <w:rFonts w:cs="Arial"/>
                <w:i/>
                <w:sz w:val="18"/>
                <w:szCs w:val="18"/>
              </w:rPr>
            </w:pPr>
            <w:r w:rsidRPr="00545EC0">
              <w:rPr>
                <w:rFonts w:cs="Arial"/>
                <w:i/>
                <w:sz w:val="18"/>
                <w:szCs w:val="18"/>
              </w:rPr>
              <w:t>Varstvo voda</w:t>
            </w:r>
          </w:p>
        </w:tc>
        <w:tc>
          <w:tcPr>
            <w:tcW w:w="681" w:type="pct"/>
          </w:tcPr>
          <w:p w14:paraId="24761A8E" w14:textId="77777777" w:rsidR="0018237C" w:rsidRPr="00545EC0" w:rsidRDefault="0018237C" w:rsidP="00F93A51">
            <w:pPr>
              <w:spacing w:line="240" w:lineRule="auto"/>
              <w:jc w:val="left"/>
              <w:rPr>
                <w:rFonts w:cs="Arial"/>
                <w:i/>
                <w:sz w:val="18"/>
                <w:szCs w:val="18"/>
              </w:rPr>
            </w:pPr>
            <w:r w:rsidRPr="00545EC0">
              <w:rPr>
                <w:rFonts w:cs="Arial"/>
                <w:i/>
                <w:sz w:val="18"/>
                <w:szCs w:val="18"/>
              </w:rPr>
              <w:t>Onesnaževanje voda</w:t>
            </w:r>
          </w:p>
        </w:tc>
        <w:tc>
          <w:tcPr>
            <w:tcW w:w="714" w:type="pct"/>
          </w:tcPr>
          <w:p w14:paraId="61E58F61" w14:textId="77777777" w:rsidR="0018237C" w:rsidRPr="00545EC0" w:rsidRDefault="0018237C" w:rsidP="00F93A51">
            <w:pPr>
              <w:spacing w:line="240" w:lineRule="auto"/>
              <w:jc w:val="left"/>
              <w:rPr>
                <w:rFonts w:cs="Arial"/>
                <w:i/>
                <w:sz w:val="18"/>
                <w:szCs w:val="18"/>
              </w:rPr>
            </w:pPr>
            <w:r w:rsidRPr="00545EC0">
              <w:rPr>
                <w:rFonts w:cs="Arial"/>
                <w:i/>
                <w:sz w:val="18"/>
                <w:szCs w:val="18"/>
              </w:rPr>
              <w:t>Podaljšan in posodobljen</w:t>
            </w:r>
          </w:p>
        </w:tc>
      </w:tr>
      <w:tr w:rsidR="007E0EDE" w:rsidRPr="00545EC0" w14:paraId="041CFAE5" w14:textId="77777777" w:rsidTr="00BE686D">
        <w:trPr>
          <w:cantSplit/>
          <w:trHeight w:val="300"/>
        </w:trPr>
        <w:tc>
          <w:tcPr>
            <w:tcW w:w="582" w:type="pct"/>
          </w:tcPr>
          <w:p w14:paraId="0D65705D" w14:textId="77777777" w:rsidR="0018237C" w:rsidRPr="00545EC0" w:rsidRDefault="0018237C" w:rsidP="00F93A51">
            <w:pPr>
              <w:spacing w:line="240" w:lineRule="auto"/>
              <w:jc w:val="left"/>
              <w:rPr>
                <w:rFonts w:cs="Arial"/>
                <w:sz w:val="18"/>
                <w:szCs w:val="18"/>
                <w:lang w:eastAsia="zh-CN"/>
              </w:rPr>
            </w:pPr>
            <w:r w:rsidRPr="00545EC0">
              <w:rPr>
                <w:rFonts w:cs="Arial"/>
                <w:sz w:val="18"/>
                <w:szCs w:val="18"/>
              </w:rPr>
              <w:t>Temeljni ukrep »b«</w:t>
            </w:r>
          </w:p>
        </w:tc>
        <w:tc>
          <w:tcPr>
            <w:tcW w:w="580" w:type="pct"/>
            <w:shd w:val="clear" w:color="auto" w:fill="auto"/>
            <w:hideMark/>
          </w:tcPr>
          <w:p w14:paraId="079459C9" w14:textId="77777777" w:rsidR="0018237C" w:rsidRPr="00545EC0" w:rsidRDefault="0018237C" w:rsidP="00F93A51">
            <w:pPr>
              <w:spacing w:line="240" w:lineRule="auto"/>
              <w:jc w:val="left"/>
              <w:rPr>
                <w:rFonts w:cs="Arial"/>
                <w:sz w:val="18"/>
                <w:szCs w:val="18"/>
              </w:rPr>
            </w:pPr>
            <w:r w:rsidRPr="00545EC0">
              <w:rPr>
                <w:rFonts w:cs="Arial"/>
                <w:sz w:val="18"/>
                <w:szCs w:val="18"/>
                <w:lang w:eastAsia="zh-CN"/>
              </w:rPr>
              <w:t>ON17b</w:t>
            </w:r>
          </w:p>
        </w:tc>
        <w:tc>
          <w:tcPr>
            <w:tcW w:w="1669" w:type="pct"/>
            <w:shd w:val="clear" w:color="auto" w:fill="auto"/>
          </w:tcPr>
          <w:p w14:paraId="614517C2" w14:textId="77777777" w:rsidR="0018237C" w:rsidRPr="00545EC0" w:rsidRDefault="0018237C" w:rsidP="00F93A51">
            <w:pPr>
              <w:spacing w:line="240" w:lineRule="auto"/>
              <w:jc w:val="left"/>
              <w:rPr>
                <w:rFonts w:cs="Arial"/>
                <w:sz w:val="18"/>
                <w:szCs w:val="18"/>
              </w:rPr>
            </w:pPr>
            <w:r w:rsidRPr="00545EC0">
              <w:rPr>
                <w:rFonts w:cs="Arial"/>
                <w:sz w:val="18"/>
                <w:szCs w:val="18"/>
              </w:rPr>
              <w:t>Prilagoditev izvajanja ribiške in ribogojske prakse</w:t>
            </w:r>
          </w:p>
        </w:tc>
        <w:tc>
          <w:tcPr>
            <w:tcW w:w="774" w:type="pct"/>
          </w:tcPr>
          <w:p w14:paraId="32AD5FF8" w14:textId="77777777" w:rsidR="0018237C" w:rsidRPr="00545EC0" w:rsidRDefault="0018237C" w:rsidP="00F93A51">
            <w:pPr>
              <w:spacing w:line="240" w:lineRule="auto"/>
              <w:jc w:val="left"/>
              <w:rPr>
                <w:rFonts w:cs="Arial"/>
                <w:i/>
                <w:sz w:val="18"/>
                <w:szCs w:val="18"/>
              </w:rPr>
            </w:pPr>
            <w:r w:rsidRPr="00545EC0">
              <w:rPr>
                <w:rFonts w:cs="Arial"/>
                <w:i/>
                <w:sz w:val="18"/>
                <w:szCs w:val="18"/>
              </w:rPr>
              <w:t>Varstvo voda</w:t>
            </w:r>
          </w:p>
        </w:tc>
        <w:tc>
          <w:tcPr>
            <w:tcW w:w="681" w:type="pct"/>
          </w:tcPr>
          <w:p w14:paraId="4047758D" w14:textId="77777777" w:rsidR="0018237C" w:rsidRPr="00545EC0" w:rsidRDefault="0018237C" w:rsidP="00F93A51">
            <w:pPr>
              <w:spacing w:line="240" w:lineRule="auto"/>
              <w:jc w:val="left"/>
              <w:rPr>
                <w:rFonts w:cs="Arial"/>
                <w:i/>
                <w:sz w:val="18"/>
                <w:szCs w:val="18"/>
              </w:rPr>
            </w:pPr>
            <w:r w:rsidRPr="00545EC0">
              <w:rPr>
                <w:rFonts w:cs="Arial"/>
                <w:i/>
                <w:sz w:val="18"/>
                <w:szCs w:val="18"/>
              </w:rPr>
              <w:t>Onesnaževanje voda</w:t>
            </w:r>
          </w:p>
        </w:tc>
        <w:tc>
          <w:tcPr>
            <w:tcW w:w="714" w:type="pct"/>
          </w:tcPr>
          <w:p w14:paraId="10756E81" w14:textId="77777777" w:rsidR="0018237C" w:rsidRPr="00545EC0" w:rsidRDefault="0018237C" w:rsidP="00F93A51">
            <w:pPr>
              <w:spacing w:line="240" w:lineRule="auto"/>
              <w:jc w:val="left"/>
              <w:rPr>
                <w:rFonts w:cs="Arial"/>
                <w:i/>
                <w:sz w:val="18"/>
                <w:szCs w:val="18"/>
              </w:rPr>
            </w:pPr>
            <w:r w:rsidRPr="00545EC0">
              <w:rPr>
                <w:rFonts w:cs="Arial"/>
                <w:i/>
                <w:sz w:val="18"/>
                <w:szCs w:val="18"/>
              </w:rPr>
              <w:t>Podaljšan in posodobljen</w:t>
            </w:r>
          </w:p>
        </w:tc>
      </w:tr>
      <w:tr w:rsidR="007E0EDE" w:rsidRPr="00545EC0" w14:paraId="407CD115" w14:textId="77777777" w:rsidTr="00BE686D">
        <w:trPr>
          <w:cantSplit/>
          <w:trHeight w:val="300"/>
        </w:trPr>
        <w:tc>
          <w:tcPr>
            <w:tcW w:w="582" w:type="pct"/>
          </w:tcPr>
          <w:p w14:paraId="66D1E739" w14:textId="77777777" w:rsidR="0018237C" w:rsidRPr="00545EC0" w:rsidRDefault="0018237C" w:rsidP="00F93A51">
            <w:pPr>
              <w:spacing w:line="240" w:lineRule="auto"/>
              <w:jc w:val="left"/>
              <w:rPr>
                <w:rFonts w:cs="Arial"/>
                <w:sz w:val="18"/>
                <w:szCs w:val="18"/>
              </w:rPr>
            </w:pPr>
            <w:r w:rsidRPr="00545EC0">
              <w:rPr>
                <w:rFonts w:cs="Arial"/>
                <w:sz w:val="18"/>
                <w:szCs w:val="18"/>
              </w:rPr>
              <w:t>Temeljni ukrep »a«</w:t>
            </w:r>
          </w:p>
        </w:tc>
        <w:tc>
          <w:tcPr>
            <w:tcW w:w="580" w:type="pct"/>
            <w:shd w:val="clear" w:color="auto" w:fill="auto"/>
          </w:tcPr>
          <w:p w14:paraId="1DA07337" w14:textId="77777777" w:rsidR="0018237C" w:rsidRPr="00545EC0" w:rsidRDefault="0018237C" w:rsidP="00F93A51">
            <w:pPr>
              <w:spacing w:line="240" w:lineRule="auto"/>
              <w:jc w:val="left"/>
              <w:rPr>
                <w:rFonts w:cs="Arial"/>
                <w:sz w:val="18"/>
                <w:szCs w:val="18"/>
                <w:lang w:eastAsia="zh-CN"/>
              </w:rPr>
            </w:pPr>
            <w:r w:rsidRPr="00545EC0">
              <w:rPr>
                <w:rFonts w:cs="Arial"/>
                <w:sz w:val="18"/>
                <w:szCs w:val="18"/>
              </w:rPr>
              <w:t>ON18a</w:t>
            </w:r>
          </w:p>
        </w:tc>
        <w:tc>
          <w:tcPr>
            <w:tcW w:w="1669" w:type="pct"/>
            <w:shd w:val="clear" w:color="auto" w:fill="auto"/>
          </w:tcPr>
          <w:p w14:paraId="2F70C1F9" w14:textId="77777777" w:rsidR="0018237C" w:rsidRPr="00545EC0" w:rsidRDefault="0018237C" w:rsidP="00F93A51">
            <w:pPr>
              <w:spacing w:line="240" w:lineRule="auto"/>
              <w:jc w:val="left"/>
              <w:rPr>
                <w:rFonts w:cs="Arial"/>
                <w:sz w:val="18"/>
                <w:szCs w:val="18"/>
              </w:rPr>
            </w:pPr>
            <w:r w:rsidRPr="00545EC0">
              <w:rPr>
                <w:rFonts w:cs="Arial"/>
                <w:sz w:val="18"/>
                <w:szCs w:val="18"/>
              </w:rPr>
              <w:t>Ukrepi znotraj neposrednih plačil kmetijske politike (zeleno plačilo)</w:t>
            </w:r>
          </w:p>
        </w:tc>
        <w:tc>
          <w:tcPr>
            <w:tcW w:w="774" w:type="pct"/>
          </w:tcPr>
          <w:p w14:paraId="13CE41C1" w14:textId="77777777" w:rsidR="0018237C" w:rsidRPr="00545EC0" w:rsidRDefault="0018237C" w:rsidP="00F93A51">
            <w:pPr>
              <w:spacing w:line="240" w:lineRule="auto"/>
              <w:jc w:val="left"/>
              <w:rPr>
                <w:rFonts w:cs="Arial"/>
                <w:i/>
                <w:sz w:val="18"/>
                <w:szCs w:val="18"/>
              </w:rPr>
            </w:pPr>
            <w:r w:rsidRPr="00545EC0">
              <w:rPr>
                <w:rFonts w:cs="Arial"/>
                <w:i/>
                <w:sz w:val="18"/>
                <w:szCs w:val="18"/>
              </w:rPr>
              <w:t>Varstvo voda</w:t>
            </w:r>
          </w:p>
        </w:tc>
        <w:tc>
          <w:tcPr>
            <w:tcW w:w="681" w:type="pct"/>
          </w:tcPr>
          <w:p w14:paraId="6ABD49D9" w14:textId="77777777" w:rsidR="0018237C" w:rsidRPr="00545EC0" w:rsidRDefault="0018237C" w:rsidP="00F93A51">
            <w:pPr>
              <w:spacing w:line="240" w:lineRule="auto"/>
              <w:jc w:val="left"/>
              <w:rPr>
                <w:rFonts w:cs="Arial"/>
                <w:i/>
                <w:sz w:val="18"/>
                <w:szCs w:val="18"/>
              </w:rPr>
            </w:pPr>
            <w:r w:rsidRPr="00545EC0">
              <w:rPr>
                <w:rFonts w:cs="Arial"/>
                <w:i/>
                <w:sz w:val="18"/>
                <w:szCs w:val="18"/>
              </w:rPr>
              <w:t>Onesnaževanje voda</w:t>
            </w:r>
          </w:p>
        </w:tc>
        <w:tc>
          <w:tcPr>
            <w:tcW w:w="714" w:type="pct"/>
          </w:tcPr>
          <w:p w14:paraId="7AC707A2" w14:textId="77777777" w:rsidR="0018237C" w:rsidRPr="00545EC0" w:rsidRDefault="0018237C" w:rsidP="00F93A51">
            <w:pPr>
              <w:spacing w:line="240" w:lineRule="auto"/>
              <w:jc w:val="left"/>
              <w:rPr>
                <w:rFonts w:cs="Arial"/>
                <w:i/>
                <w:sz w:val="18"/>
                <w:szCs w:val="18"/>
              </w:rPr>
            </w:pPr>
            <w:r w:rsidRPr="00545EC0">
              <w:rPr>
                <w:rFonts w:cs="Arial"/>
                <w:i/>
                <w:sz w:val="18"/>
                <w:szCs w:val="18"/>
              </w:rPr>
              <w:t>Podaljšan in posodobljen</w:t>
            </w:r>
          </w:p>
        </w:tc>
      </w:tr>
      <w:tr w:rsidR="007E0EDE" w:rsidRPr="00545EC0" w14:paraId="1E33F28E" w14:textId="77777777" w:rsidTr="00BE686D">
        <w:trPr>
          <w:cantSplit/>
          <w:trHeight w:val="300"/>
        </w:trPr>
        <w:tc>
          <w:tcPr>
            <w:tcW w:w="582" w:type="pct"/>
          </w:tcPr>
          <w:p w14:paraId="0F6DD671" w14:textId="77777777" w:rsidR="0018237C" w:rsidRPr="00545EC0" w:rsidRDefault="0018237C" w:rsidP="00F93A51">
            <w:pPr>
              <w:spacing w:line="240" w:lineRule="auto"/>
              <w:jc w:val="left"/>
              <w:rPr>
                <w:rFonts w:cs="Arial"/>
                <w:sz w:val="18"/>
                <w:szCs w:val="18"/>
              </w:rPr>
            </w:pPr>
            <w:r w:rsidRPr="00545EC0">
              <w:rPr>
                <w:rFonts w:cs="Arial"/>
                <w:sz w:val="18"/>
                <w:szCs w:val="18"/>
              </w:rPr>
              <w:t>Temeljni ukrep »a«</w:t>
            </w:r>
          </w:p>
        </w:tc>
        <w:tc>
          <w:tcPr>
            <w:tcW w:w="580" w:type="pct"/>
            <w:shd w:val="clear" w:color="auto" w:fill="auto"/>
            <w:hideMark/>
          </w:tcPr>
          <w:p w14:paraId="03C86F4B" w14:textId="77777777" w:rsidR="0018237C" w:rsidRPr="00545EC0" w:rsidRDefault="0018237C" w:rsidP="00F93A51">
            <w:pPr>
              <w:spacing w:line="240" w:lineRule="auto"/>
              <w:jc w:val="left"/>
              <w:rPr>
                <w:rFonts w:cs="Arial"/>
                <w:sz w:val="18"/>
                <w:szCs w:val="18"/>
              </w:rPr>
            </w:pPr>
            <w:r w:rsidRPr="00545EC0">
              <w:rPr>
                <w:rFonts w:cs="Arial"/>
                <w:sz w:val="18"/>
                <w:szCs w:val="18"/>
              </w:rPr>
              <w:t>ON19a</w:t>
            </w:r>
          </w:p>
        </w:tc>
        <w:tc>
          <w:tcPr>
            <w:tcW w:w="1669" w:type="pct"/>
            <w:shd w:val="clear" w:color="auto" w:fill="auto"/>
          </w:tcPr>
          <w:p w14:paraId="3B62333D" w14:textId="77777777" w:rsidR="0018237C" w:rsidRPr="00545EC0" w:rsidRDefault="0018237C" w:rsidP="00F93A51">
            <w:pPr>
              <w:spacing w:line="240" w:lineRule="auto"/>
              <w:jc w:val="left"/>
              <w:rPr>
                <w:rFonts w:cs="Arial"/>
                <w:sz w:val="18"/>
                <w:szCs w:val="18"/>
              </w:rPr>
            </w:pPr>
            <w:r w:rsidRPr="00545EC0">
              <w:rPr>
                <w:rFonts w:cs="Arial"/>
                <w:sz w:val="18"/>
                <w:szCs w:val="18"/>
              </w:rPr>
              <w:t>Ukrepi v zvezi z omejevanje  fosfatov in drugih fosforjevih spojin v gospodinjskih detergentih za pranje perila in strojno pomivanje posode</w:t>
            </w:r>
          </w:p>
        </w:tc>
        <w:tc>
          <w:tcPr>
            <w:tcW w:w="774" w:type="pct"/>
          </w:tcPr>
          <w:p w14:paraId="41547E55" w14:textId="77777777" w:rsidR="0018237C" w:rsidRPr="00545EC0" w:rsidRDefault="0018237C" w:rsidP="00F93A51">
            <w:pPr>
              <w:spacing w:line="240" w:lineRule="auto"/>
              <w:jc w:val="left"/>
              <w:rPr>
                <w:rFonts w:cs="Arial"/>
                <w:i/>
                <w:sz w:val="18"/>
                <w:szCs w:val="18"/>
              </w:rPr>
            </w:pPr>
            <w:r w:rsidRPr="00545EC0">
              <w:rPr>
                <w:rFonts w:cs="Arial"/>
                <w:i/>
                <w:sz w:val="18"/>
                <w:szCs w:val="18"/>
              </w:rPr>
              <w:t>Varstvo voda</w:t>
            </w:r>
          </w:p>
        </w:tc>
        <w:tc>
          <w:tcPr>
            <w:tcW w:w="681" w:type="pct"/>
          </w:tcPr>
          <w:p w14:paraId="617F4E2E" w14:textId="77777777" w:rsidR="0018237C" w:rsidRPr="00545EC0" w:rsidRDefault="0018237C" w:rsidP="00F93A51">
            <w:pPr>
              <w:spacing w:line="240" w:lineRule="auto"/>
              <w:jc w:val="left"/>
              <w:rPr>
                <w:rFonts w:cs="Arial"/>
                <w:i/>
                <w:sz w:val="18"/>
                <w:szCs w:val="18"/>
              </w:rPr>
            </w:pPr>
            <w:r w:rsidRPr="00545EC0">
              <w:rPr>
                <w:rFonts w:cs="Arial"/>
                <w:i/>
                <w:sz w:val="18"/>
                <w:szCs w:val="18"/>
              </w:rPr>
              <w:t>Onesnaževanje voda</w:t>
            </w:r>
          </w:p>
        </w:tc>
        <w:tc>
          <w:tcPr>
            <w:tcW w:w="714" w:type="pct"/>
          </w:tcPr>
          <w:p w14:paraId="6BE7299A" w14:textId="77777777" w:rsidR="0018237C" w:rsidRPr="00545EC0" w:rsidRDefault="0018237C" w:rsidP="00F93A51">
            <w:pPr>
              <w:spacing w:line="240" w:lineRule="auto"/>
              <w:jc w:val="left"/>
              <w:rPr>
                <w:rFonts w:cs="Arial"/>
                <w:i/>
                <w:sz w:val="18"/>
                <w:szCs w:val="18"/>
              </w:rPr>
            </w:pPr>
            <w:r w:rsidRPr="00545EC0">
              <w:rPr>
                <w:rFonts w:cs="Arial"/>
                <w:i/>
                <w:sz w:val="18"/>
                <w:szCs w:val="18"/>
              </w:rPr>
              <w:t>Podaljšan in posodobljen</w:t>
            </w:r>
          </w:p>
        </w:tc>
      </w:tr>
      <w:tr w:rsidR="00BE686D" w:rsidRPr="00545EC0" w14:paraId="028E3A6A" w14:textId="77777777" w:rsidTr="00BE686D">
        <w:trPr>
          <w:cantSplit/>
          <w:trHeight w:val="300"/>
        </w:trPr>
        <w:tc>
          <w:tcPr>
            <w:tcW w:w="582" w:type="pct"/>
          </w:tcPr>
          <w:p w14:paraId="0E5B0506" w14:textId="1E6FF6C3" w:rsidR="00BE686D" w:rsidRPr="00545EC0" w:rsidRDefault="00BE686D" w:rsidP="00BE686D">
            <w:pPr>
              <w:spacing w:line="240" w:lineRule="auto"/>
              <w:jc w:val="left"/>
              <w:rPr>
                <w:rFonts w:cs="Arial"/>
                <w:sz w:val="18"/>
                <w:szCs w:val="18"/>
              </w:rPr>
            </w:pPr>
            <w:r w:rsidRPr="00545EC0">
              <w:rPr>
                <w:rFonts w:cs="Arial"/>
                <w:sz w:val="18"/>
                <w:szCs w:val="18"/>
              </w:rPr>
              <w:t>Temeljni ukrep »a«</w:t>
            </w:r>
          </w:p>
        </w:tc>
        <w:tc>
          <w:tcPr>
            <w:tcW w:w="580" w:type="pct"/>
            <w:shd w:val="clear" w:color="auto" w:fill="auto"/>
          </w:tcPr>
          <w:p w14:paraId="54DC82C8" w14:textId="7C5F52C5" w:rsidR="00BE686D" w:rsidRPr="00545EC0" w:rsidRDefault="00BE686D" w:rsidP="00BE686D">
            <w:pPr>
              <w:spacing w:line="240" w:lineRule="auto"/>
              <w:jc w:val="left"/>
              <w:rPr>
                <w:rFonts w:cs="Arial"/>
                <w:sz w:val="18"/>
                <w:szCs w:val="18"/>
              </w:rPr>
            </w:pPr>
            <w:r>
              <w:rPr>
                <w:rFonts w:cs="Arial"/>
                <w:sz w:val="18"/>
                <w:szCs w:val="18"/>
              </w:rPr>
              <w:t>ON20</w:t>
            </w:r>
            <w:r w:rsidRPr="00545EC0">
              <w:rPr>
                <w:rFonts w:cs="Arial"/>
                <w:sz w:val="18"/>
                <w:szCs w:val="18"/>
              </w:rPr>
              <w:t>a</w:t>
            </w:r>
          </w:p>
        </w:tc>
        <w:tc>
          <w:tcPr>
            <w:tcW w:w="1669" w:type="pct"/>
            <w:shd w:val="clear" w:color="auto" w:fill="auto"/>
          </w:tcPr>
          <w:p w14:paraId="2A921710" w14:textId="2601F161" w:rsidR="00BE686D" w:rsidRPr="00545EC0" w:rsidRDefault="00BE686D" w:rsidP="00BE686D">
            <w:pPr>
              <w:spacing w:line="240" w:lineRule="auto"/>
              <w:jc w:val="left"/>
              <w:rPr>
                <w:rFonts w:cs="Arial"/>
                <w:sz w:val="18"/>
                <w:szCs w:val="18"/>
              </w:rPr>
            </w:pPr>
            <w:r>
              <w:rPr>
                <w:rFonts w:cs="Arial"/>
                <w:sz w:val="18"/>
                <w:szCs w:val="18"/>
              </w:rPr>
              <w:t>Sistem ravnanja z odpadki</w:t>
            </w:r>
          </w:p>
        </w:tc>
        <w:tc>
          <w:tcPr>
            <w:tcW w:w="774" w:type="pct"/>
          </w:tcPr>
          <w:p w14:paraId="418B8393" w14:textId="4CCE91AE" w:rsidR="00BE686D" w:rsidRPr="00545EC0" w:rsidRDefault="00BE686D" w:rsidP="00BE686D">
            <w:pPr>
              <w:spacing w:line="240" w:lineRule="auto"/>
              <w:jc w:val="left"/>
              <w:rPr>
                <w:rFonts w:cs="Arial"/>
                <w:i/>
                <w:sz w:val="18"/>
                <w:szCs w:val="18"/>
              </w:rPr>
            </w:pPr>
            <w:r w:rsidRPr="00545EC0">
              <w:rPr>
                <w:rFonts w:cs="Arial"/>
                <w:i/>
                <w:sz w:val="18"/>
                <w:szCs w:val="18"/>
              </w:rPr>
              <w:t>Varstvo voda</w:t>
            </w:r>
          </w:p>
        </w:tc>
        <w:tc>
          <w:tcPr>
            <w:tcW w:w="681" w:type="pct"/>
          </w:tcPr>
          <w:p w14:paraId="2043722D" w14:textId="2BB7ABE2" w:rsidR="00BE686D" w:rsidRPr="00545EC0" w:rsidRDefault="00BE686D" w:rsidP="00BE686D">
            <w:pPr>
              <w:spacing w:line="240" w:lineRule="auto"/>
              <w:jc w:val="left"/>
              <w:rPr>
                <w:rFonts w:cs="Arial"/>
                <w:i/>
                <w:sz w:val="18"/>
                <w:szCs w:val="18"/>
              </w:rPr>
            </w:pPr>
            <w:r w:rsidRPr="00545EC0">
              <w:rPr>
                <w:rFonts w:cs="Arial"/>
                <w:i/>
                <w:sz w:val="18"/>
                <w:szCs w:val="18"/>
              </w:rPr>
              <w:t>Onesnaževanje voda</w:t>
            </w:r>
          </w:p>
        </w:tc>
        <w:tc>
          <w:tcPr>
            <w:tcW w:w="714" w:type="pct"/>
          </w:tcPr>
          <w:p w14:paraId="567FDEAB" w14:textId="321A7BB2" w:rsidR="00BE686D" w:rsidRPr="00545EC0" w:rsidRDefault="00BE686D" w:rsidP="00BE686D">
            <w:pPr>
              <w:spacing w:line="240" w:lineRule="auto"/>
              <w:jc w:val="left"/>
              <w:rPr>
                <w:rFonts w:cs="Arial"/>
                <w:i/>
                <w:sz w:val="18"/>
                <w:szCs w:val="18"/>
              </w:rPr>
            </w:pPr>
            <w:r>
              <w:rPr>
                <w:rFonts w:cs="Arial"/>
                <w:i/>
                <w:sz w:val="18"/>
                <w:szCs w:val="18"/>
              </w:rPr>
              <w:t>Novi ukrep</w:t>
            </w:r>
          </w:p>
        </w:tc>
      </w:tr>
      <w:tr w:rsidR="00BE686D" w:rsidRPr="00545EC0" w14:paraId="34C7A672" w14:textId="77777777" w:rsidTr="00BE686D">
        <w:trPr>
          <w:cantSplit/>
          <w:trHeight w:val="300"/>
        </w:trPr>
        <w:tc>
          <w:tcPr>
            <w:tcW w:w="582" w:type="pct"/>
          </w:tcPr>
          <w:p w14:paraId="49ED03EF" w14:textId="77777777" w:rsidR="00BE686D" w:rsidRPr="00545EC0" w:rsidRDefault="00BE686D" w:rsidP="00BE686D">
            <w:pPr>
              <w:spacing w:line="240" w:lineRule="auto"/>
              <w:jc w:val="left"/>
              <w:rPr>
                <w:rFonts w:cs="Arial"/>
                <w:sz w:val="18"/>
                <w:szCs w:val="18"/>
              </w:rPr>
            </w:pPr>
            <w:r w:rsidRPr="00545EC0">
              <w:rPr>
                <w:rFonts w:cs="Arial"/>
                <w:sz w:val="18"/>
                <w:szCs w:val="18"/>
              </w:rPr>
              <w:t>Temeljni ukrep »a«</w:t>
            </w:r>
          </w:p>
        </w:tc>
        <w:tc>
          <w:tcPr>
            <w:tcW w:w="580" w:type="pct"/>
            <w:shd w:val="clear" w:color="auto" w:fill="auto"/>
            <w:hideMark/>
          </w:tcPr>
          <w:p w14:paraId="24BCB334" w14:textId="77777777" w:rsidR="00BE686D" w:rsidRPr="00545EC0" w:rsidRDefault="00BE686D" w:rsidP="00BE686D">
            <w:pPr>
              <w:spacing w:line="240" w:lineRule="auto"/>
              <w:jc w:val="left"/>
              <w:rPr>
                <w:rFonts w:cs="Arial"/>
                <w:sz w:val="18"/>
                <w:szCs w:val="18"/>
              </w:rPr>
            </w:pPr>
            <w:r w:rsidRPr="00545EC0">
              <w:rPr>
                <w:rFonts w:cs="Arial"/>
                <w:sz w:val="18"/>
                <w:szCs w:val="18"/>
              </w:rPr>
              <w:t>OPZ1.1a</w:t>
            </w:r>
          </w:p>
        </w:tc>
        <w:tc>
          <w:tcPr>
            <w:tcW w:w="1669" w:type="pct"/>
            <w:shd w:val="clear" w:color="auto" w:fill="auto"/>
          </w:tcPr>
          <w:p w14:paraId="7633A163" w14:textId="77777777" w:rsidR="00BE686D" w:rsidRPr="00545EC0" w:rsidRDefault="00BE686D" w:rsidP="00BE686D">
            <w:pPr>
              <w:spacing w:line="240" w:lineRule="auto"/>
              <w:jc w:val="left"/>
              <w:rPr>
                <w:rFonts w:cs="Arial"/>
                <w:sz w:val="18"/>
                <w:szCs w:val="18"/>
              </w:rPr>
            </w:pPr>
            <w:r w:rsidRPr="00545EC0">
              <w:rPr>
                <w:rFonts w:cs="Arial"/>
                <w:sz w:val="18"/>
                <w:szCs w:val="18"/>
              </w:rPr>
              <w:t>Vodovarstvena območja</w:t>
            </w:r>
          </w:p>
        </w:tc>
        <w:tc>
          <w:tcPr>
            <w:tcW w:w="774" w:type="pct"/>
          </w:tcPr>
          <w:p w14:paraId="35C34874" w14:textId="77777777" w:rsidR="00BE686D" w:rsidRPr="00545EC0" w:rsidRDefault="00BE686D" w:rsidP="00BE686D">
            <w:pPr>
              <w:spacing w:line="240" w:lineRule="auto"/>
              <w:jc w:val="left"/>
              <w:rPr>
                <w:rFonts w:cs="Arial"/>
                <w:i/>
                <w:sz w:val="18"/>
                <w:szCs w:val="18"/>
              </w:rPr>
            </w:pPr>
            <w:r w:rsidRPr="00545EC0">
              <w:rPr>
                <w:rFonts w:cs="Arial"/>
                <w:i/>
                <w:sz w:val="18"/>
                <w:szCs w:val="18"/>
              </w:rPr>
              <w:t>Varstvo voda</w:t>
            </w:r>
          </w:p>
        </w:tc>
        <w:tc>
          <w:tcPr>
            <w:tcW w:w="681" w:type="pct"/>
          </w:tcPr>
          <w:p w14:paraId="1FBF5CCA" w14:textId="77777777" w:rsidR="00BE686D" w:rsidRPr="00545EC0" w:rsidRDefault="00BE686D" w:rsidP="00BE686D">
            <w:pPr>
              <w:spacing w:line="240" w:lineRule="auto"/>
              <w:jc w:val="left"/>
              <w:rPr>
                <w:rFonts w:cs="Arial"/>
                <w:i/>
                <w:sz w:val="18"/>
                <w:szCs w:val="18"/>
              </w:rPr>
            </w:pPr>
            <w:r w:rsidRPr="00545EC0">
              <w:rPr>
                <w:rFonts w:cs="Arial"/>
                <w:i/>
                <w:sz w:val="18"/>
                <w:szCs w:val="18"/>
              </w:rPr>
              <w:t>Območja s posebnimi zahtevami</w:t>
            </w:r>
          </w:p>
        </w:tc>
        <w:tc>
          <w:tcPr>
            <w:tcW w:w="714" w:type="pct"/>
          </w:tcPr>
          <w:p w14:paraId="0B577246" w14:textId="77777777" w:rsidR="00BE686D" w:rsidRPr="00545EC0" w:rsidRDefault="00BE686D" w:rsidP="00BE686D">
            <w:pPr>
              <w:spacing w:line="240" w:lineRule="auto"/>
              <w:jc w:val="left"/>
              <w:rPr>
                <w:rFonts w:cs="Arial"/>
                <w:i/>
                <w:sz w:val="18"/>
                <w:szCs w:val="18"/>
              </w:rPr>
            </w:pPr>
            <w:r w:rsidRPr="00545EC0">
              <w:rPr>
                <w:rFonts w:cs="Arial"/>
                <w:i/>
                <w:sz w:val="18"/>
                <w:szCs w:val="18"/>
              </w:rPr>
              <w:t>Podaljšan in posodobljen</w:t>
            </w:r>
          </w:p>
        </w:tc>
      </w:tr>
      <w:tr w:rsidR="00BE686D" w:rsidRPr="00545EC0" w14:paraId="0A8B8099" w14:textId="77777777" w:rsidTr="00BE686D">
        <w:trPr>
          <w:cantSplit/>
          <w:trHeight w:val="300"/>
        </w:trPr>
        <w:tc>
          <w:tcPr>
            <w:tcW w:w="582" w:type="pct"/>
          </w:tcPr>
          <w:p w14:paraId="6A493409" w14:textId="77777777" w:rsidR="00BE686D" w:rsidRPr="00545EC0" w:rsidRDefault="00BE686D" w:rsidP="00BE686D">
            <w:pPr>
              <w:spacing w:line="240" w:lineRule="auto"/>
              <w:jc w:val="left"/>
              <w:rPr>
                <w:rFonts w:cs="Arial"/>
                <w:sz w:val="18"/>
                <w:szCs w:val="18"/>
              </w:rPr>
            </w:pPr>
            <w:r w:rsidRPr="00545EC0">
              <w:rPr>
                <w:rFonts w:cs="Arial"/>
                <w:sz w:val="18"/>
                <w:szCs w:val="18"/>
              </w:rPr>
              <w:t>Temeljni ukrep »b«</w:t>
            </w:r>
          </w:p>
        </w:tc>
        <w:tc>
          <w:tcPr>
            <w:tcW w:w="580" w:type="pct"/>
            <w:shd w:val="clear" w:color="auto" w:fill="auto"/>
          </w:tcPr>
          <w:p w14:paraId="155E2832" w14:textId="77777777" w:rsidR="00BE686D" w:rsidRPr="00545EC0" w:rsidRDefault="00BE686D" w:rsidP="00BE686D">
            <w:pPr>
              <w:spacing w:line="240" w:lineRule="auto"/>
              <w:jc w:val="left"/>
              <w:rPr>
                <w:rFonts w:cs="Arial"/>
                <w:b/>
                <w:sz w:val="18"/>
                <w:szCs w:val="18"/>
              </w:rPr>
            </w:pPr>
            <w:r w:rsidRPr="00545EC0">
              <w:rPr>
                <w:rFonts w:cs="Arial"/>
                <w:sz w:val="18"/>
                <w:szCs w:val="18"/>
              </w:rPr>
              <w:t>OPZ1.2b</w:t>
            </w:r>
          </w:p>
        </w:tc>
        <w:tc>
          <w:tcPr>
            <w:tcW w:w="1669" w:type="pct"/>
            <w:shd w:val="clear" w:color="auto" w:fill="auto"/>
          </w:tcPr>
          <w:p w14:paraId="5838C15B" w14:textId="77777777" w:rsidR="00BE686D" w:rsidRPr="00545EC0" w:rsidRDefault="00BE686D" w:rsidP="00BE686D">
            <w:pPr>
              <w:spacing w:line="240" w:lineRule="auto"/>
              <w:jc w:val="left"/>
              <w:rPr>
                <w:rFonts w:cs="Arial"/>
                <w:sz w:val="18"/>
                <w:szCs w:val="18"/>
              </w:rPr>
            </w:pPr>
            <w:r w:rsidRPr="00545EC0">
              <w:rPr>
                <w:rFonts w:cs="Arial"/>
                <w:sz w:val="18"/>
                <w:szCs w:val="18"/>
              </w:rPr>
              <w:t>Okrepitev in pospešitev aktivnosti pri sprejemanju predpisov o določitvi in zaščiti vodovarstvenih območij</w:t>
            </w:r>
          </w:p>
        </w:tc>
        <w:tc>
          <w:tcPr>
            <w:tcW w:w="774" w:type="pct"/>
            <w:shd w:val="clear" w:color="auto" w:fill="auto"/>
          </w:tcPr>
          <w:p w14:paraId="145EACEF" w14:textId="77777777" w:rsidR="00BE686D" w:rsidRPr="00545EC0" w:rsidRDefault="00BE686D" w:rsidP="00BE686D">
            <w:pPr>
              <w:spacing w:line="240" w:lineRule="auto"/>
              <w:jc w:val="left"/>
              <w:rPr>
                <w:rFonts w:cs="Arial"/>
                <w:i/>
                <w:sz w:val="18"/>
                <w:szCs w:val="18"/>
              </w:rPr>
            </w:pPr>
            <w:r w:rsidRPr="00545EC0">
              <w:rPr>
                <w:rFonts w:cs="Arial"/>
                <w:i/>
                <w:sz w:val="18"/>
                <w:szCs w:val="18"/>
              </w:rPr>
              <w:t>Varstvo voda</w:t>
            </w:r>
          </w:p>
        </w:tc>
        <w:tc>
          <w:tcPr>
            <w:tcW w:w="681" w:type="pct"/>
            <w:shd w:val="clear" w:color="auto" w:fill="auto"/>
          </w:tcPr>
          <w:p w14:paraId="0F1CFD62" w14:textId="77777777" w:rsidR="00BE686D" w:rsidRPr="00545EC0" w:rsidRDefault="00BE686D" w:rsidP="00BE686D">
            <w:pPr>
              <w:spacing w:line="240" w:lineRule="auto"/>
              <w:jc w:val="left"/>
              <w:rPr>
                <w:rFonts w:cs="Arial"/>
                <w:i/>
                <w:sz w:val="18"/>
                <w:szCs w:val="18"/>
              </w:rPr>
            </w:pPr>
            <w:r w:rsidRPr="00545EC0">
              <w:rPr>
                <w:rFonts w:cs="Arial"/>
                <w:i/>
                <w:sz w:val="18"/>
                <w:szCs w:val="18"/>
              </w:rPr>
              <w:t>Območja s posebnimi zahtevami</w:t>
            </w:r>
          </w:p>
        </w:tc>
        <w:tc>
          <w:tcPr>
            <w:tcW w:w="714" w:type="pct"/>
          </w:tcPr>
          <w:p w14:paraId="663140B0" w14:textId="77777777" w:rsidR="00BE686D" w:rsidRPr="00545EC0" w:rsidRDefault="00BE686D" w:rsidP="00BE686D">
            <w:pPr>
              <w:spacing w:line="240" w:lineRule="auto"/>
              <w:jc w:val="left"/>
              <w:rPr>
                <w:rFonts w:cs="Arial"/>
                <w:i/>
                <w:sz w:val="18"/>
                <w:szCs w:val="18"/>
              </w:rPr>
            </w:pPr>
            <w:r w:rsidRPr="00545EC0">
              <w:rPr>
                <w:rFonts w:cs="Arial"/>
                <w:i/>
                <w:sz w:val="18"/>
                <w:szCs w:val="18"/>
              </w:rPr>
              <w:t>Podaljšan in posodobljen</w:t>
            </w:r>
          </w:p>
        </w:tc>
      </w:tr>
      <w:tr w:rsidR="00BE686D" w:rsidRPr="00545EC0" w14:paraId="330AEB9B" w14:textId="77777777" w:rsidTr="00BE686D">
        <w:trPr>
          <w:cantSplit/>
          <w:trHeight w:val="300"/>
        </w:trPr>
        <w:tc>
          <w:tcPr>
            <w:tcW w:w="582" w:type="pct"/>
            <w:shd w:val="clear" w:color="auto" w:fill="FFFFFF"/>
          </w:tcPr>
          <w:p w14:paraId="24D12D33" w14:textId="77777777" w:rsidR="00BE686D" w:rsidRPr="00545EC0" w:rsidRDefault="00BE686D" w:rsidP="00BE686D">
            <w:pPr>
              <w:spacing w:line="240" w:lineRule="auto"/>
              <w:jc w:val="left"/>
              <w:rPr>
                <w:rFonts w:cs="Arial"/>
                <w:sz w:val="18"/>
                <w:szCs w:val="18"/>
              </w:rPr>
            </w:pPr>
            <w:r w:rsidRPr="00545EC0">
              <w:rPr>
                <w:rFonts w:cs="Arial"/>
                <w:sz w:val="18"/>
                <w:szCs w:val="18"/>
              </w:rPr>
              <w:t>Temeljni ukrep »a«</w:t>
            </w:r>
          </w:p>
        </w:tc>
        <w:tc>
          <w:tcPr>
            <w:tcW w:w="580" w:type="pct"/>
            <w:shd w:val="clear" w:color="auto" w:fill="FFFFFF"/>
          </w:tcPr>
          <w:p w14:paraId="07BFB92D" w14:textId="77777777" w:rsidR="00BE686D" w:rsidRPr="00545EC0" w:rsidRDefault="00BE686D" w:rsidP="00BE686D">
            <w:pPr>
              <w:spacing w:line="240" w:lineRule="auto"/>
              <w:jc w:val="left"/>
              <w:rPr>
                <w:rFonts w:cs="Arial"/>
                <w:sz w:val="18"/>
                <w:szCs w:val="18"/>
              </w:rPr>
            </w:pPr>
            <w:r w:rsidRPr="00545EC0">
              <w:rPr>
                <w:rFonts w:cs="Arial"/>
                <w:sz w:val="18"/>
                <w:szCs w:val="18"/>
              </w:rPr>
              <w:t>OPZ1.2a</w:t>
            </w:r>
          </w:p>
        </w:tc>
        <w:tc>
          <w:tcPr>
            <w:tcW w:w="1669" w:type="pct"/>
            <w:shd w:val="clear" w:color="auto" w:fill="FFFFFF"/>
          </w:tcPr>
          <w:p w14:paraId="612F96F0" w14:textId="77777777" w:rsidR="00BE686D" w:rsidRPr="00545EC0" w:rsidRDefault="00BE686D" w:rsidP="00BE686D">
            <w:pPr>
              <w:spacing w:line="240" w:lineRule="auto"/>
              <w:jc w:val="left"/>
              <w:rPr>
                <w:rFonts w:cs="Arial"/>
                <w:sz w:val="18"/>
                <w:szCs w:val="18"/>
              </w:rPr>
            </w:pPr>
            <w:r w:rsidRPr="00545EC0">
              <w:rPr>
                <w:rFonts w:cs="Arial"/>
                <w:sz w:val="18"/>
                <w:szCs w:val="18"/>
              </w:rPr>
              <w:t>Nadomestilo za zmanjšanje dohodka iz kmetijske dejavnosti zaradi prilagoditve ukrepom vodovarstvenega režima</w:t>
            </w:r>
          </w:p>
        </w:tc>
        <w:tc>
          <w:tcPr>
            <w:tcW w:w="774" w:type="pct"/>
            <w:shd w:val="clear" w:color="auto" w:fill="FFFFFF"/>
          </w:tcPr>
          <w:p w14:paraId="79BE59BD" w14:textId="77777777" w:rsidR="00BE686D" w:rsidRPr="00545EC0" w:rsidRDefault="00BE686D" w:rsidP="00BE686D">
            <w:pPr>
              <w:spacing w:line="240" w:lineRule="auto"/>
              <w:jc w:val="left"/>
              <w:rPr>
                <w:rFonts w:cs="Arial"/>
                <w:i/>
                <w:sz w:val="18"/>
                <w:szCs w:val="18"/>
              </w:rPr>
            </w:pPr>
            <w:r w:rsidRPr="00545EC0">
              <w:rPr>
                <w:rFonts w:cs="Arial"/>
                <w:i/>
                <w:sz w:val="18"/>
                <w:szCs w:val="18"/>
              </w:rPr>
              <w:t>Varstvo voda</w:t>
            </w:r>
          </w:p>
        </w:tc>
        <w:tc>
          <w:tcPr>
            <w:tcW w:w="681" w:type="pct"/>
            <w:shd w:val="clear" w:color="auto" w:fill="FFFFFF"/>
          </w:tcPr>
          <w:p w14:paraId="16859EB9" w14:textId="77777777" w:rsidR="00BE686D" w:rsidRPr="00545EC0" w:rsidRDefault="00BE686D" w:rsidP="00BE686D">
            <w:pPr>
              <w:spacing w:line="240" w:lineRule="auto"/>
              <w:jc w:val="left"/>
              <w:rPr>
                <w:rFonts w:cs="Arial"/>
                <w:i/>
                <w:sz w:val="18"/>
                <w:szCs w:val="18"/>
              </w:rPr>
            </w:pPr>
            <w:r w:rsidRPr="00545EC0">
              <w:rPr>
                <w:rFonts w:cs="Arial"/>
                <w:i/>
                <w:sz w:val="18"/>
                <w:szCs w:val="18"/>
              </w:rPr>
              <w:t>Območja s posebnimi zahtevami, Ekonomski instrumenti</w:t>
            </w:r>
          </w:p>
        </w:tc>
        <w:tc>
          <w:tcPr>
            <w:tcW w:w="714" w:type="pct"/>
            <w:shd w:val="clear" w:color="auto" w:fill="FFFFFF"/>
          </w:tcPr>
          <w:p w14:paraId="1F26EAD0" w14:textId="77777777" w:rsidR="00BE686D" w:rsidRPr="00545EC0" w:rsidRDefault="00BE686D" w:rsidP="00BE686D">
            <w:pPr>
              <w:spacing w:line="240" w:lineRule="auto"/>
              <w:jc w:val="left"/>
              <w:rPr>
                <w:rFonts w:cs="Arial"/>
                <w:i/>
                <w:sz w:val="18"/>
                <w:szCs w:val="18"/>
              </w:rPr>
            </w:pPr>
            <w:r w:rsidRPr="00545EC0">
              <w:rPr>
                <w:rFonts w:cs="Arial"/>
                <w:i/>
                <w:sz w:val="18"/>
                <w:szCs w:val="18"/>
              </w:rPr>
              <w:t>Podaljšan in posodobljen</w:t>
            </w:r>
          </w:p>
        </w:tc>
      </w:tr>
      <w:tr w:rsidR="00BE686D" w:rsidRPr="00545EC0" w14:paraId="5BE8F762" w14:textId="77777777" w:rsidTr="00BE686D">
        <w:trPr>
          <w:cantSplit/>
          <w:trHeight w:val="300"/>
        </w:trPr>
        <w:tc>
          <w:tcPr>
            <w:tcW w:w="582" w:type="pct"/>
          </w:tcPr>
          <w:p w14:paraId="44FD5C12" w14:textId="77777777" w:rsidR="00BE686D" w:rsidRPr="00545EC0" w:rsidRDefault="00BE686D" w:rsidP="00BE686D">
            <w:pPr>
              <w:spacing w:line="240" w:lineRule="auto"/>
              <w:jc w:val="left"/>
              <w:rPr>
                <w:rFonts w:cs="Arial"/>
                <w:sz w:val="18"/>
                <w:szCs w:val="18"/>
              </w:rPr>
            </w:pPr>
            <w:r w:rsidRPr="00545EC0">
              <w:rPr>
                <w:rFonts w:cs="Arial"/>
                <w:sz w:val="18"/>
                <w:szCs w:val="18"/>
              </w:rPr>
              <w:t>Temeljni ukrep »a«</w:t>
            </w:r>
          </w:p>
        </w:tc>
        <w:tc>
          <w:tcPr>
            <w:tcW w:w="580" w:type="pct"/>
            <w:shd w:val="clear" w:color="auto" w:fill="auto"/>
          </w:tcPr>
          <w:p w14:paraId="46C1F24F" w14:textId="77777777" w:rsidR="00BE686D" w:rsidRPr="00545EC0" w:rsidRDefault="00BE686D" w:rsidP="00BE686D">
            <w:pPr>
              <w:spacing w:line="240" w:lineRule="auto"/>
              <w:jc w:val="left"/>
              <w:rPr>
                <w:rFonts w:cs="Arial"/>
                <w:sz w:val="18"/>
                <w:szCs w:val="18"/>
              </w:rPr>
            </w:pPr>
            <w:r w:rsidRPr="00545EC0">
              <w:rPr>
                <w:rFonts w:cs="Arial"/>
                <w:sz w:val="18"/>
                <w:szCs w:val="18"/>
              </w:rPr>
              <w:t>OPZ2a</w:t>
            </w:r>
          </w:p>
        </w:tc>
        <w:tc>
          <w:tcPr>
            <w:tcW w:w="1669" w:type="pct"/>
            <w:shd w:val="clear" w:color="auto" w:fill="auto"/>
          </w:tcPr>
          <w:p w14:paraId="19799D63" w14:textId="77777777" w:rsidR="00BE686D" w:rsidRPr="00545EC0" w:rsidRDefault="00BE686D" w:rsidP="00BE686D">
            <w:pPr>
              <w:spacing w:line="240" w:lineRule="auto"/>
              <w:jc w:val="left"/>
              <w:rPr>
                <w:rFonts w:cs="Arial"/>
                <w:sz w:val="18"/>
                <w:szCs w:val="18"/>
              </w:rPr>
            </w:pPr>
            <w:r w:rsidRPr="00545EC0">
              <w:rPr>
                <w:rFonts w:cs="Arial"/>
                <w:sz w:val="18"/>
                <w:szCs w:val="18"/>
              </w:rPr>
              <w:t>Zagotavljanje ugodnega stanja vrst in habitatnih tipov v odvisnosti od vode na območjih Natura 2000</w:t>
            </w:r>
          </w:p>
        </w:tc>
        <w:tc>
          <w:tcPr>
            <w:tcW w:w="774" w:type="pct"/>
            <w:shd w:val="clear" w:color="auto" w:fill="FFFFFF"/>
          </w:tcPr>
          <w:p w14:paraId="6997ACE3" w14:textId="77777777" w:rsidR="00BE686D" w:rsidRPr="00545EC0" w:rsidRDefault="00BE686D" w:rsidP="00BE686D">
            <w:pPr>
              <w:spacing w:line="240" w:lineRule="auto"/>
              <w:jc w:val="left"/>
              <w:rPr>
                <w:rFonts w:cs="Arial"/>
                <w:i/>
                <w:sz w:val="18"/>
                <w:szCs w:val="18"/>
              </w:rPr>
            </w:pPr>
            <w:r w:rsidRPr="00545EC0">
              <w:rPr>
                <w:rFonts w:cs="Arial"/>
                <w:i/>
                <w:sz w:val="18"/>
                <w:szCs w:val="18"/>
              </w:rPr>
              <w:t>Varstvo voda</w:t>
            </w:r>
          </w:p>
        </w:tc>
        <w:tc>
          <w:tcPr>
            <w:tcW w:w="681" w:type="pct"/>
            <w:shd w:val="clear" w:color="auto" w:fill="FFFFFF"/>
          </w:tcPr>
          <w:p w14:paraId="7AD07D11" w14:textId="77777777" w:rsidR="00BE686D" w:rsidRPr="00545EC0" w:rsidRDefault="00BE686D" w:rsidP="00BE686D">
            <w:pPr>
              <w:spacing w:line="240" w:lineRule="auto"/>
              <w:jc w:val="left"/>
              <w:rPr>
                <w:rFonts w:cs="Arial"/>
                <w:i/>
                <w:sz w:val="18"/>
                <w:szCs w:val="18"/>
              </w:rPr>
            </w:pPr>
            <w:r w:rsidRPr="00545EC0">
              <w:rPr>
                <w:rFonts w:cs="Arial"/>
                <w:i/>
                <w:sz w:val="18"/>
                <w:szCs w:val="18"/>
              </w:rPr>
              <w:t>Območja s posebnimi zahtevami</w:t>
            </w:r>
          </w:p>
        </w:tc>
        <w:tc>
          <w:tcPr>
            <w:tcW w:w="714" w:type="pct"/>
            <w:shd w:val="clear" w:color="auto" w:fill="FFFFFF"/>
          </w:tcPr>
          <w:p w14:paraId="2B5AF801" w14:textId="77777777" w:rsidR="00BE686D" w:rsidRPr="00545EC0" w:rsidRDefault="00BE686D" w:rsidP="00BE686D">
            <w:pPr>
              <w:spacing w:line="240" w:lineRule="auto"/>
              <w:jc w:val="left"/>
              <w:rPr>
                <w:rFonts w:cs="Arial"/>
                <w:i/>
                <w:sz w:val="18"/>
                <w:szCs w:val="18"/>
              </w:rPr>
            </w:pPr>
            <w:r w:rsidRPr="00545EC0">
              <w:rPr>
                <w:rFonts w:cs="Arial"/>
                <w:i/>
                <w:sz w:val="18"/>
                <w:szCs w:val="18"/>
              </w:rPr>
              <w:t>Podaljšan in posodobljen</w:t>
            </w:r>
          </w:p>
        </w:tc>
      </w:tr>
      <w:tr w:rsidR="00BE686D" w:rsidRPr="00545EC0" w14:paraId="41FBC33E" w14:textId="77777777" w:rsidTr="00BE686D">
        <w:trPr>
          <w:cantSplit/>
          <w:trHeight w:val="300"/>
        </w:trPr>
        <w:tc>
          <w:tcPr>
            <w:tcW w:w="582" w:type="pct"/>
          </w:tcPr>
          <w:p w14:paraId="13674D36" w14:textId="77777777" w:rsidR="00BE686D" w:rsidRPr="00545EC0" w:rsidRDefault="00BE686D" w:rsidP="00BE686D">
            <w:pPr>
              <w:spacing w:line="240" w:lineRule="auto"/>
              <w:jc w:val="left"/>
              <w:rPr>
                <w:rFonts w:cs="Arial"/>
                <w:sz w:val="18"/>
                <w:szCs w:val="18"/>
              </w:rPr>
            </w:pPr>
            <w:r w:rsidRPr="00545EC0">
              <w:rPr>
                <w:rFonts w:cs="Arial"/>
                <w:sz w:val="18"/>
                <w:szCs w:val="18"/>
              </w:rPr>
              <w:t>Temeljni ukrep »b«</w:t>
            </w:r>
          </w:p>
        </w:tc>
        <w:tc>
          <w:tcPr>
            <w:tcW w:w="580" w:type="pct"/>
            <w:shd w:val="clear" w:color="auto" w:fill="auto"/>
          </w:tcPr>
          <w:p w14:paraId="7D09C597" w14:textId="77777777" w:rsidR="00BE686D" w:rsidRPr="00545EC0" w:rsidRDefault="00BE686D" w:rsidP="00BE686D">
            <w:pPr>
              <w:spacing w:line="240" w:lineRule="auto"/>
              <w:jc w:val="left"/>
              <w:rPr>
                <w:rFonts w:cs="Arial"/>
                <w:sz w:val="18"/>
                <w:szCs w:val="18"/>
              </w:rPr>
            </w:pPr>
            <w:r w:rsidRPr="00545EC0">
              <w:rPr>
                <w:rFonts w:cs="Arial"/>
                <w:sz w:val="18"/>
                <w:szCs w:val="18"/>
              </w:rPr>
              <w:t>OPZ2b</w:t>
            </w:r>
          </w:p>
        </w:tc>
        <w:tc>
          <w:tcPr>
            <w:tcW w:w="1669" w:type="pct"/>
            <w:shd w:val="clear" w:color="auto" w:fill="auto"/>
          </w:tcPr>
          <w:p w14:paraId="7AEE1BCD" w14:textId="77777777" w:rsidR="00BE686D" w:rsidRPr="00545EC0" w:rsidRDefault="00BE686D" w:rsidP="00BE686D">
            <w:pPr>
              <w:spacing w:line="240" w:lineRule="auto"/>
              <w:jc w:val="left"/>
              <w:rPr>
                <w:rFonts w:cs="Arial"/>
                <w:sz w:val="18"/>
                <w:szCs w:val="18"/>
              </w:rPr>
            </w:pPr>
            <w:r w:rsidRPr="00545EC0">
              <w:rPr>
                <w:rFonts w:cs="Arial"/>
                <w:sz w:val="18"/>
                <w:szCs w:val="18"/>
              </w:rPr>
              <w:t>Elementi stanja podzemne vode, ki se nanašajo na pomembno poškodovane kopenske ekosisteme neposredno odvisne od podzemne vode</w:t>
            </w:r>
          </w:p>
        </w:tc>
        <w:tc>
          <w:tcPr>
            <w:tcW w:w="774" w:type="pct"/>
          </w:tcPr>
          <w:p w14:paraId="1BAD8189" w14:textId="77777777" w:rsidR="00BE686D" w:rsidRPr="00545EC0" w:rsidRDefault="00BE686D" w:rsidP="00BE686D">
            <w:pPr>
              <w:spacing w:line="240" w:lineRule="auto"/>
              <w:jc w:val="left"/>
              <w:rPr>
                <w:rFonts w:cs="Arial"/>
                <w:i/>
                <w:sz w:val="18"/>
                <w:szCs w:val="18"/>
              </w:rPr>
            </w:pPr>
            <w:r w:rsidRPr="00545EC0">
              <w:rPr>
                <w:rFonts w:cs="Arial"/>
                <w:i/>
                <w:sz w:val="18"/>
                <w:szCs w:val="18"/>
              </w:rPr>
              <w:t>Varstvo voda</w:t>
            </w:r>
          </w:p>
        </w:tc>
        <w:tc>
          <w:tcPr>
            <w:tcW w:w="681" w:type="pct"/>
          </w:tcPr>
          <w:p w14:paraId="6A4F1432" w14:textId="77777777" w:rsidR="00BE686D" w:rsidRPr="00545EC0" w:rsidRDefault="00BE686D" w:rsidP="00BE686D">
            <w:pPr>
              <w:spacing w:line="240" w:lineRule="auto"/>
              <w:jc w:val="left"/>
              <w:rPr>
                <w:rFonts w:cs="Arial"/>
                <w:i/>
                <w:sz w:val="18"/>
                <w:szCs w:val="18"/>
              </w:rPr>
            </w:pPr>
            <w:r w:rsidRPr="00545EC0">
              <w:rPr>
                <w:rFonts w:cs="Arial"/>
                <w:i/>
                <w:sz w:val="18"/>
                <w:szCs w:val="18"/>
              </w:rPr>
              <w:t>Območja s posebnimi zahtevami</w:t>
            </w:r>
          </w:p>
        </w:tc>
        <w:tc>
          <w:tcPr>
            <w:tcW w:w="714" w:type="pct"/>
          </w:tcPr>
          <w:p w14:paraId="76C6C18A" w14:textId="77777777" w:rsidR="00BE686D" w:rsidRPr="00545EC0" w:rsidRDefault="00BE686D" w:rsidP="00BE686D">
            <w:pPr>
              <w:spacing w:line="240" w:lineRule="auto"/>
              <w:jc w:val="left"/>
              <w:rPr>
                <w:rFonts w:cs="Arial"/>
                <w:i/>
                <w:sz w:val="18"/>
                <w:szCs w:val="18"/>
              </w:rPr>
            </w:pPr>
            <w:r w:rsidRPr="00545EC0">
              <w:rPr>
                <w:rFonts w:cs="Arial"/>
                <w:i/>
                <w:sz w:val="18"/>
                <w:szCs w:val="18"/>
              </w:rPr>
              <w:t>Podaljšan in posodobljen</w:t>
            </w:r>
          </w:p>
        </w:tc>
      </w:tr>
      <w:tr w:rsidR="00BE686D" w:rsidRPr="00545EC0" w14:paraId="3A886E1B" w14:textId="77777777" w:rsidTr="00BE686D">
        <w:trPr>
          <w:cantSplit/>
          <w:trHeight w:val="300"/>
        </w:trPr>
        <w:tc>
          <w:tcPr>
            <w:tcW w:w="582" w:type="pct"/>
          </w:tcPr>
          <w:p w14:paraId="727E01F4" w14:textId="77777777" w:rsidR="00BE686D" w:rsidRPr="00545EC0" w:rsidRDefault="00BE686D" w:rsidP="00BE686D">
            <w:pPr>
              <w:spacing w:line="240" w:lineRule="auto"/>
              <w:jc w:val="left"/>
              <w:rPr>
                <w:rFonts w:cs="Arial"/>
                <w:sz w:val="18"/>
                <w:szCs w:val="18"/>
              </w:rPr>
            </w:pPr>
            <w:r w:rsidRPr="00545EC0">
              <w:rPr>
                <w:rFonts w:cs="Arial"/>
                <w:sz w:val="18"/>
                <w:szCs w:val="18"/>
              </w:rPr>
              <w:t>Temeljni ukrep »a«</w:t>
            </w:r>
          </w:p>
        </w:tc>
        <w:tc>
          <w:tcPr>
            <w:tcW w:w="580" w:type="pct"/>
            <w:shd w:val="clear" w:color="auto" w:fill="auto"/>
          </w:tcPr>
          <w:p w14:paraId="671DE513" w14:textId="77777777" w:rsidR="00BE686D" w:rsidRPr="00545EC0" w:rsidRDefault="00BE686D" w:rsidP="00BE686D">
            <w:pPr>
              <w:spacing w:line="240" w:lineRule="auto"/>
              <w:jc w:val="left"/>
              <w:rPr>
                <w:rFonts w:cs="Arial"/>
                <w:sz w:val="18"/>
                <w:szCs w:val="18"/>
              </w:rPr>
            </w:pPr>
            <w:r w:rsidRPr="00545EC0">
              <w:rPr>
                <w:rFonts w:cs="Arial"/>
                <w:sz w:val="18"/>
                <w:szCs w:val="18"/>
              </w:rPr>
              <w:t>OPZ3a</w:t>
            </w:r>
          </w:p>
        </w:tc>
        <w:tc>
          <w:tcPr>
            <w:tcW w:w="1669" w:type="pct"/>
            <w:shd w:val="clear" w:color="auto" w:fill="auto"/>
          </w:tcPr>
          <w:p w14:paraId="00E9F847" w14:textId="77777777" w:rsidR="00BE686D" w:rsidRPr="00545EC0" w:rsidRDefault="00BE686D" w:rsidP="00BE686D">
            <w:pPr>
              <w:spacing w:line="240" w:lineRule="auto"/>
              <w:jc w:val="left"/>
              <w:rPr>
                <w:rFonts w:cs="Arial"/>
                <w:sz w:val="18"/>
                <w:szCs w:val="18"/>
              </w:rPr>
            </w:pPr>
            <w:r w:rsidRPr="00545EC0">
              <w:rPr>
                <w:rFonts w:cs="Arial"/>
                <w:sz w:val="18"/>
                <w:szCs w:val="18"/>
              </w:rPr>
              <w:t>Ukrepi na območjih kopalnih voda</w:t>
            </w:r>
          </w:p>
        </w:tc>
        <w:tc>
          <w:tcPr>
            <w:tcW w:w="774" w:type="pct"/>
          </w:tcPr>
          <w:p w14:paraId="2AE65E43" w14:textId="77777777" w:rsidR="00BE686D" w:rsidRPr="00545EC0" w:rsidRDefault="00BE686D" w:rsidP="00BE686D">
            <w:pPr>
              <w:spacing w:line="240" w:lineRule="auto"/>
              <w:jc w:val="left"/>
              <w:rPr>
                <w:rFonts w:cs="Arial"/>
                <w:i/>
                <w:sz w:val="18"/>
                <w:szCs w:val="18"/>
              </w:rPr>
            </w:pPr>
            <w:r w:rsidRPr="00545EC0">
              <w:rPr>
                <w:rFonts w:cs="Arial"/>
                <w:i/>
                <w:sz w:val="18"/>
                <w:szCs w:val="18"/>
              </w:rPr>
              <w:t>Varstvo voda</w:t>
            </w:r>
          </w:p>
        </w:tc>
        <w:tc>
          <w:tcPr>
            <w:tcW w:w="681" w:type="pct"/>
          </w:tcPr>
          <w:p w14:paraId="62BAF918" w14:textId="77777777" w:rsidR="00BE686D" w:rsidRPr="00545EC0" w:rsidRDefault="00BE686D" w:rsidP="00BE686D">
            <w:pPr>
              <w:spacing w:line="240" w:lineRule="auto"/>
              <w:jc w:val="left"/>
              <w:rPr>
                <w:rFonts w:cs="Arial"/>
                <w:i/>
                <w:sz w:val="18"/>
                <w:szCs w:val="18"/>
              </w:rPr>
            </w:pPr>
            <w:r w:rsidRPr="00545EC0">
              <w:rPr>
                <w:rFonts w:cs="Arial"/>
                <w:i/>
                <w:sz w:val="18"/>
                <w:szCs w:val="18"/>
              </w:rPr>
              <w:t>Območja s posebnimi zahtevami</w:t>
            </w:r>
          </w:p>
        </w:tc>
        <w:tc>
          <w:tcPr>
            <w:tcW w:w="714" w:type="pct"/>
          </w:tcPr>
          <w:p w14:paraId="39F3015F" w14:textId="77777777" w:rsidR="00BE686D" w:rsidRPr="00545EC0" w:rsidRDefault="00BE686D" w:rsidP="00BE686D">
            <w:pPr>
              <w:spacing w:line="240" w:lineRule="auto"/>
              <w:jc w:val="left"/>
              <w:rPr>
                <w:rFonts w:cs="Arial"/>
                <w:i/>
                <w:sz w:val="18"/>
                <w:szCs w:val="18"/>
              </w:rPr>
            </w:pPr>
            <w:r w:rsidRPr="00545EC0">
              <w:rPr>
                <w:rFonts w:cs="Arial"/>
                <w:i/>
                <w:sz w:val="18"/>
                <w:szCs w:val="18"/>
              </w:rPr>
              <w:t>Podaljšan in posodobljen</w:t>
            </w:r>
          </w:p>
        </w:tc>
      </w:tr>
      <w:tr w:rsidR="00BE686D" w:rsidRPr="00545EC0" w14:paraId="41B78B10" w14:textId="77777777" w:rsidTr="00BE686D">
        <w:trPr>
          <w:cantSplit/>
          <w:trHeight w:val="206"/>
        </w:trPr>
        <w:tc>
          <w:tcPr>
            <w:tcW w:w="582" w:type="pct"/>
          </w:tcPr>
          <w:p w14:paraId="1EF4DE6C" w14:textId="77777777" w:rsidR="00BE686D" w:rsidRPr="00545EC0" w:rsidRDefault="00BE686D" w:rsidP="00BE686D">
            <w:pPr>
              <w:spacing w:line="240" w:lineRule="auto"/>
              <w:jc w:val="left"/>
              <w:rPr>
                <w:rFonts w:cs="Arial"/>
                <w:sz w:val="18"/>
                <w:szCs w:val="18"/>
              </w:rPr>
            </w:pPr>
            <w:r w:rsidRPr="00545EC0">
              <w:rPr>
                <w:rFonts w:cs="Arial"/>
                <w:sz w:val="18"/>
                <w:szCs w:val="18"/>
              </w:rPr>
              <w:lastRenderedPageBreak/>
              <w:t>Temeljni ukrep »a«</w:t>
            </w:r>
          </w:p>
        </w:tc>
        <w:tc>
          <w:tcPr>
            <w:tcW w:w="580" w:type="pct"/>
            <w:shd w:val="clear" w:color="auto" w:fill="auto"/>
            <w:hideMark/>
          </w:tcPr>
          <w:p w14:paraId="33059C31" w14:textId="77777777" w:rsidR="00BE686D" w:rsidRPr="00545EC0" w:rsidRDefault="00BE686D" w:rsidP="00BE686D">
            <w:pPr>
              <w:spacing w:line="240" w:lineRule="auto"/>
              <w:jc w:val="left"/>
              <w:rPr>
                <w:rFonts w:cs="Arial"/>
                <w:sz w:val="18"/>
                <w:szCs w:val="18"/>
              </w:rPr>
            </w:pPr>
            <w:r w:rsidRPr="00545EC0">
              <w:rPr>
                <w:rFonts w:cs="Arial"/>
                <w:sz w:val="18"/>
                <w:szCs w:val="18"/>
              </w:rPr>
              <w:t>OS1a</w:t>
            </w:r>
          </w:p>
        </w:tc>
        <w:tc>
          <w:tcPr>
            <w:tcW w:w="1669" w:type="pct"/>
            <w:shd w:val="clear" w:color="auto" w:fill="auto"/>
          </w:tcPr>
          <w:p w14:paraId="7945DE29" w14:textId="77777777" w:rsidR="00BE686D" w:rsidRPr="00545EC0" w:rsidRDefault="00BE686D" w:rsidP="00BE686D">
            <w:pPr>
              <w:spacing w:line="240" w:lineRule="auto"/>
              <w:jc w:val="left"/>
              <w:rPr>
                <w:rFonts w:cs="Arial"/>
                <w:sz w:val="18"/>
                <w:szCs w:val="18"/>
              </w:rPr>
            </w:pPr>
            <w:r w:rsidRPr="00545EC0">
              <w:rPr>
                <w:rFonts w:cs="Arial"/>
                <w:sz w:val="18"/>
                <w:szCs w:val="18"/>
              </w:rPr>
              <w:t>Program temeljnih ukrepov za ublažitev škodljivih vplivov na stanje vodnih teles zaradi odstopanj od okoljskih ciljev</w:t>
            </w:r>
          </w:p>
        </w:tc>
        <w:tc>
          <w:tcPr>
            <w:tcW w:w="774" w:type="pct"/>
          </w:tcPr>
          <w:p w14:paraId="0868CD59" w14:textId="77777777" w:rsidR="00BE686D" w:rsidRPr="00545EC0" w:rsidRDefault="00BE686D" w:rsidP="00BE686D">
            <w:pPr>
              <w:spacing w:line="240" w:lineRule="auto"/>
              <w:jc w:val="left"/>
              <w:rPr>
                <w:rFonts w:cs="Arial"/>
                <w:i/>
                <w:sz w:val="18"/>
                <w:szCs w:val="18"/>
              </w:rPr>
            </w:pPr>
            <w:r w:rsidRPr="00545EC0">
              <w:rPr>
                <w:rFonts w:cs="Arial"/>
                <w:i/>
                <w:sz w:val="18"/>
                <w:szCs w:val="18"/>
              </w:rPr>
              <w:t>Varstvo voda, Raba voda, Urejanje voda</w:t>
            </w:r>
          </w:p>
        </w:tc>
        <w:tc>
          <w:tcPr>
            <w:tcW w:w="681" w:type="pct"/>
          </w:tcPr>
          <w:p w14:paraId="379A8BF3" w14:textId="77777777" w:rsidR="00BE686D" w:rsidRPr="00545EC0" w:rsidRDefault="00BE686D" w:rsidP="00BE686D">
            <w:pPr>
              <w:spacing w:line="240" w:lineRule="auto"/>
              <w:jc w:val="left"/>
              <w:rPr>
                <w:rFonts w:cs="Arial"/>
                <w:i/>
                <w:sz w:val="18"/>
                <w:szCs w:val="18"/>
              </w:rPr>
            </w:pPr>
            <w:r w:rsidRPr="00545EC0">
              <w:rPr>
                <w:rFonts w:cs="Arial"/>
                <w:i/>
                <w:sz w:val="18"/>
                <w:szCs w:val="18"/>
              </w:rPr>
              <w:t>Upravljanje voda</w:t>
            </w:r>
          </w:p>
        </w:tc>
        <w:tc>
          <w:tcPr>
            <w:tcW w:w="714" w:type="pct"/>
          </w:tcPr>
          <w:p w14:paraId="3EF7C118" w14:textId="77777777" w:rsidR="00BE686D" w:rsidRPr="00545EC0" w:rsidRDefault="00BE686D" w:rsidP="00BE686D">
            <w:pPr>
              <w:spacing w:line="240" w:lineRule="auto"/>
              <w:jc w:val="left"/>
              <w:rPr>
                <w:rFonts w:cs="Arial"/>
                <w:i/>
                <w:sz w:val="18"/>
                <w:szCs w:val="18"/>
              </w:rPr>
            </w:pPr>
            <w:r w:rsidRPr="00545EC0">
              <w:rPr>
                <w:rFonts w:cs="Arial"/>
                <w:i/>
                <w:sz w:val="18"/>
                <w:szCs w:val="18"/>
              </w:rPr>
              <w:t>Podaljšan in posodobljen</w:t>
            </w:r>
          </w:p>
        </w:tc>
      </w:tr>
      <w:tr w:rsidR="00BE686D" w:rsidRPr="00545EC0" w14:paraId="38908A2F" w14:textId="77777777" w:rsidTr="00BE686D">
        <w:trPr>
          <w:cantSplit/>
          <w:trHeight w:val="300"/>
        </w:trPr>
        <w:tc>
          <w:tcPr>
            <w:tcW w:w="582" w:type="pct"/>
          </w:tcPr>
          <w:p w14:paraId="395EBA62" w14:textId="77777777" w:rsidR="00BE686D" w:rsidRPr="00545EC0" w:rsidRDefault="00BE686D" w:rsidP="00BE686D">
            <w:pPr>
              <w:spacing w:line="240" w:lineRule="auto"/>
              <w:jc w:val="left"/>
              <w:rPr>
                <w:rFonts w:cs="Arial"/>
                <w:sz w:val="18"/>
                <w:szCs w:val="18"/>
              </w:rPr>
            </w:pPr>
            <w:r w:rsidRPr="00545EC0">
              <w:rPr>
                <w:rFonts w:cs="Arial"/>
                <w:sz w:val="18"/>
                <w:szCs w:val="18"/>
              </w:rPr>
              <w:t>Temeljni ukrep »a«</w:t>
            </w:r>
          </w:p>
        </w:tc>
        <w:tc>
          <w:tcPr>
            <w:tcW w:w="580" w:type="pct"/>
            <w:shd w:val="clear" w:color="auto" w:fill="auto"/>
          </w:tcPr>
          <w:p w14:paraId="022105B7" w14:textId="77777777" w:rsidR="00BE686D" w:rsidRPr="00545EC0" w:rsidRDefault="00BE686D" w:rsidP="00BE686D">
            <w:pPr>
              <w:spacing w:line="240" w:lineRule="auto"/>
              <w:jc w:val="left"/>
              <w:rPr>
                <w:rFonts w:cs="Arial"/>
                <w:b/>
                <w:sz w:val="18"/>
                <w:szCs w:val="18"/>
              </w:rPr>
            </w:pPr>
            <w:r w:rsidRPr="00545EC0">
              <w:rPr>
                <w:rFonts w:cs="Arial"/>
                <w:sz w:val="18"/>
                <w:szCs w:val="18"/>
              </w:rPr>
              <w:t>OS2a</w:t>
            </w:r>
          </w:p>
        </w:tc>
        <w:tc>
          <w:tcPr>
            <w:tcW w:w="1669" w:type="pct"/>
            <w:shd w:val="clear" w:color="auto" w:fill="auto"/>
          </w:tcPr>
          <w:p w14:paraId="47E4F53A" w14:textId="77777777" w:rsidR="00BE686D" w:rsidRPr="00545EC0" w:rsidRDefault="00BE686D" w:rsidP="00BE686D">
            <w:pPr>
              <w:spacing w:line="240" w:lineRule="auto"/>
              <w:jc w:val="left"/>
              <w:rPr>
                <w:rFonts w:cs="Arial"/>
                <w:sz w:val="18"/>
                <w:szCs w:val="18"/>
              </w:rPr>
            </w:pPr>
            <w:r w:rsidRPr="00545EC0">
              <w:rPr>
                <w:rFonts w:cs="Arial"/>
                <w:sz w:val="18"/>
                <w:szCs w:val="18"/>
              </w:rPr>
              <w:t>Vodenje in vzdrževanje informacijskega sistema okolja</w:t>
            </w:r>
          </w:p>
        </w:tc>
        <w:tc>
          <w:tcPr>
            <w:tcW w:w="774" w:type="pct"/>
          </w:tcPr>
          <w:p w14:paraId="35A0914F" w14:textId="77777777" w:rsidR="00BE686D" w:rsidRPr="00545EC0" w:rsidRDefault="00BE686D" w:rsidP="00BE686D">
            <w:pPr>
              <w:spacing w:line="240" w:lineRule="auto"/>
              <w:jc w:val="left"/>
              <w:rPr>
                <w:rFonts w:cs="Arial"/>
                <w:i/>
                <w:sz w:val="18"/>
                <w:szCs w:val="18"/>
              </w:rPr>
            </w:pPr>
            <w:r w:rsidRPr="00545EC0">
              <w:rPr>
                <w:rFonts w:cs="Arial"/>
                <w:i/>
                <w:sz w:val="18"/>
                <w:szCs w:val="18"/>
              </w:rPr>
              <w:t>Varstvo voda, Raba voda, Urejanje voda</w:t>
            </w:r>
          </w:p>
        </w:tc>
        <w:tc>
          <w:tcPr>
            <w:tcW w:w="681" w:type="pct"/>
          </w:tcPr>
          <w:p w14:paraId="6BF34901" w14:textId="77777777" w:rsidR="00BE686D" w:rsidRPr="00545EC0" w:rsidRDefault="00BE686D" w:rsidP="00BE686D">
            <w:pPr>
              <w:spacing w:line="240" w:lineRule="auto"/>
              <w:jc w:val="left"/>
              <w:rPr>
                <w:rFonts w:cs="Arial"/>
                <w:i/>
                <w:sz w:val="18"/>
                <w:szCs w:val="18"/>
              </w:rPr>
            </w:pPr>
            <w:r w:rsidRPr="00545EC0">
              <w:rPr>
                <w:rFonts w:cs="Arial"/>
                <w:i/>
                <w:sz w:val="18"/>
                <w:szCs w:val="18"/>
              </w:rPr>
              <w:t>Upravljanje voda</w:t>
            </w:r>
          </w:p>
        </w:tc>
        <w:tc>
          <w:tcPr>
            <w:tcW w:w="714" w:type="pct"/>
          </w:tcPr>
          <w:p w14:paraId="6F44AC3D" w14:textId="77777777" w:rsidR="00BE686D" w:rsidRPr="00545EC0" w:rsidRDefault="00BE686D" w:rsidP="00BE686D">
            <w:pPr>
              <w:spacing w:line="240" w:lineRule="auto"/>
              <w:jc w:val="left"/>
              <w:rPr>
                <w:rFonts w:cs="Arial"/>
                <w:i/>
                <w:sz w:val="18"/>
                <w:szCs w:val="18"/>
              </w:rPr>
            </w:pPr>
            <w:r w:rsidRPr="00545EC0">
              <w:rPr>
                <w:rFonts w:cs="Arial"/>
                <w:i/>
                <w:sz w:val="18"/>
                <w:szCs w:val="18"/>
              </w:rPr>
              <w:t>Podaljšan in posodobljen</w:t>
            </w:r>
          </w:p>
        </w:tc>
      </w:tr>
      <w:tr w:rsidR="00BE686D" w:rsidRPr="00545EC0" w14:paraId="670B2727" w14:textId="77777777" w:rsidTr="00BE686D">
        <w:trPr>
          <w:cantSplit/>
          <w:trHeight w:val="300"/>
        </w:trPr>
        <w:tc>
          <w:tcPr>
            <w:tcW w:w="582" w:type="pct"/>
          </w:tcPr>
          <w:p w14:paraId="1C1207D1" w14:textId="77777777" w:rsidR="00BE686D" w:rsidRPr="00545EC0" w:rsidRDefault="00BE686D" w:rsidP="00BE686D">
            <w:pPr>
              <w:spacing w:line="240" w:lineRule="auto"/>
              <w:jc w:val="left"/>
              <w:rPr>
                <w:rFonts w:cs="Arial"/>
                <w:sz w:val="18"/>
                <w:szCs w:val="18"/>
                <w:lang w:eastAsia="zh-CN"/>
              </w:rPr>
            </w:pPr>
            <w:r w:rsidRPr="00545EC0">
              <w:rPr>
                <w:rFonts w:cs="Arial"/>
                <w:sz w:val="18"/>
                <w:szCs w:val="18"/>
              </w:rPr>
              <w:t>Temeljni ukrep »b«</w:t>
            </w:r>
          </w:p>
        </w:tc>
        <w:tc>
          <w:tcPr>
            <w:tcW w:w="580" w:type="pct"/>
            <w:shd w:val="clear" w:color="auto" w:fill="auto"/>
          </w:tcPr>
          <w:p w14:paraId="7AC28F20" w14:textId="77777777" w:rsidR="00BE686D" w:rsidRPr="00545EC0" w:rsidRDefault="00BE686D" w:rsidP="00BE686D">
            <w:pPr>
              <w:spacing w:line="240" w:lineRule="auto"/>
              <w:jc w:val="left"/>
              <w:rPr>
                <w:rFonts w:cs="Arial"/>
                <w:sz w:val="18"/>
                <w:szCs w:val="18"/>
              </w:rPr>
            </w:pPr>
            <w:r w:rsidRPr="00545EC0">
              <w:rPr>
                <w:rFonts w:cs="Arial"/>
                <w:sz w:val="18"/>
                <w:szCs w:val="18"/>
                <w:lang w:eastAsia="zh-CN"/>
              </w:rPr>
              <w:t>OS2.1b</w:t>
            </w:r>
          </w:p>
        </w:tc>
        <w:tc>
          <w:tcPr>
            <w:tcW w:w="1669" w:type="pct"/>
            <w:shd w:val="clear" w:color="auto" w:fill="auto"/>
          </w:tcPr>
          <w:p w14:paraId="14F9B34B" w14:textId="77777777" w:rsidR="00BE686D" w:rsidRPr="00545EC0" w:rsidRDefault="00BE686D" w:rsidP="00BE686D">
            <w:pPr>
              <w:spacing w:line="240" w:lineRule="auto"/>
              <w:jc w:val="left"/>
              <w:rPr>
                <w:rFonts w:cs="Arial"/>
                <w:sz w:val="18"/>
                <w:szCs w:val="18"/>
              </w:rPr>
            </w:pPr>
            <w:r w:rsidRPr="00545EC0">
              <w:rPr>
                <w:rFonts w:cs="Arial"/>
                <w:sz w:val="18"/>
                <w:szCs w:val="18"/>
              </w:rPr>
              <w:t>Povezovanje podatkov o upravljanje voda v skupno platformo e-MOP  v okviru digitalizacije</w:t>
            </w:r>
          </w:p>
        </w:tc>
        <w:tc>
          <w:tcPr>
            <w:tcW w:w="774" w:type="pct"/>
          </w:tcPr>
          <w:p w14:paraId="4A5FF0AE" w14:textId="77777777" w:rsidR="00BE686D" w:rsidRPr="00545EC0" w:rsidRDefault="00BE686D" w:rsidP="00BE686D">
            <w:pPr>
              <w:spacing w:line="240" w:lineRule="auto"/>
              <w:jc w:val="left"/>
              <w:rPr>
                <w:rFonts w:cs="Arial"/>
                <w:i/>
                <w:sz w:val="18"/>
                <w:szCs w:val="18"/>
              </w:rPr>
            </w:pPr>
            <w:r w:rsidRPr="00545EC0">
              <w:rPr>
                <w:rFonts w:cs="Arial"/>
                <w:i/>
                <w:sz w:val="18"/>
                <w:szCs w:val="18"/>
              </w:rPr>
              <w:t>Varstvo voda, Raba voda, Urejanje voda</w:t>
            </w:r>
          </w:p>
        </w:tc>
        <w:tc>
          <w:tcPr>
            <w:tcW w:w="681" w:type="pct"/>
          </w:tcPr>
          <w:p w14:paraId="5DA11209" w14:textId="77777777" w:rsidR="00BE686D" w:rsidRPr="00545EC0" w:rsidRDefault="00BE686D" w:rsidP="00BE686D">
            <w:pPr>
              <w:spacing w:line="240" w:lineRule="auto"/>
              <w:jc w:val="left"/>
              <w:rPr>
                <w:rFonts w:cs="Arial"/>
                <w:i/>
                <w:sz w:val="18"/>
                <w:szCs w:val="18"/>
              </w:rPr>
            </w:pPr>
            <w:r w:rsidRPr="00545EC0">
              <w:rPr>
                <w:rFonts w:cs="Arial"/>
                <w:i/>
                <w:sz w:val="18"/>
                <w:szCs w:val="18"/>
              </w:rPr>
              <w:t>Upravljanje voda</w:t>
            </w:r>
          </w:p>
        </w:tc>
        <w:tc>
          <w:tcPr>
            <w:tcW w:w="714" w:type="pct"/>
          </w:tcPr>
          <w:p w14:paraId="073DC069" w14:textId="77777777" w:rsidR="00BE686D" w:rsidRPr="00545EC0" w:rsidRDefault="00BE686D" w:rsidP="00BE686D">
            <w:pPr>
              <w:spacing w:line="240" w:lineRule="auto"/>
              <w:jc w:val="left"/>
              <w:rPr>
                <w:rFonts w:cs="Arial"/>
                <w:i/>
                <w:sz w:val="18"/>
                <w:szCs w:val="18"/>
              </w:rPr>
            </w:pPr>
            <w:r w:rsidRPr="00545EC0">
              <w:rPr>
                <w:rFonts w:cs="Arial"/>
                <w:i/>
                <w:sz w:val="18"/>
                <w:szCs w:val="18"/>
              </w:rPr>
              <w:t>Oblikovan nov ukrep, ki nadomešča OS2b</w:t>
            </w:r>
          </w:p>
        </w:tc>
      </w:tr>
      <w:tr w:rsidR="00BE686D" w:rsidRPr="00545EC0" w14:paraId="696E2257" w14:textId="77777777" w:rsidTr="00BE686D">
        <w:trPr>
          <w:cantSplit/>
          <w:trHeight w:val="300"/>
        </w:trPr>
        <w:tc>
          <w:tcPr>
            <w:tcW w:w="582" w:type="pct"/>
          </w:tcPr>
          <w:p w14:paraId="31E9E70C" w14:textId="77777777" w:rsidR="00BE686D" w:rsidRPr="00545EC0" w:rsidRDefault="00BE686D" w:rsidP="00BE686D">
            <w:pPr>
              <w:spacing w:line="240" w:lineRule="auto"/>
              <w:jc w:val="left"/>
              <w:rPr>
                <w:rFonts w:cs="Arial"/>
                <w:szCs w:val="20"/>
              </w:rPr>
            </w:pPr>
            <w:r w:rsidRPr="00545EC0">
              <w:rPr>
                <w:rFonts w:cs="Arial"/>
                <w:sz w:val="18"/>
                <w:szCs w:val="18"/>
              </w:rPr>
              <w:t>Temeljni ukrep »b«</w:t>
            </w:r>
          </w:p>
        </w:tc>
        <w:tc>
          <w:tcPr>
            <w:tcW w:w="580" w:type="pct"/>
            <w:shd w:val="clear" w:color="auto" w:fill="auto"/>
          </w:tcPr>
          <w:p w14:paraId="75519611" w14:textId="77777777" w:rsidR="00BE686D" w:rsidRPr="00545EC0" w:rsidRDefault="00BE686D" w:rsidP="00BE686D">
            <w:pPr>
              <w:spacing w:line="240" w:lineRule="auto"/>
              <w:jc w:val="left"/>
              <w:rPr>
                <w:rFonts w:cs="Arial"/>
                <w:sz w:val="18"/>
                <w:szCs w:val="18"/>
                <w:lang w:eastAsia="zh-CN"/>
              </w:rPr>
            </w:pPr>
            <w:r w:rsidRPr="00545EC0">
              <w:rPr>
                <w:rFonts w:cs="Arial"/>
                <w:sz w:val="18"/>
                <w:szCs w:val="20"/>
              </w:rPr>
              <w:t>OS2.2b</w:t>
            </w:r>
          </w:p>
        </w:tc>
        <w:tc>
          <w:tcPr>
            <w:tcW w:w="1669" w:type="pct"/>
            <w:shd w:val="clear" w:color="auto" w:fill="auto"/>
          </w:tcPr>
          <w:p w14:paraId="55F6FACB" w14:textId="77777777" w:rsidR="00BE686D" w:rsidRPr="00545EC0" w:rsidRDefault="00BE686D" w:rsidP="00BE686D">
            <w:pPr>
              <w:spacing w:line="240" w:lineRule="auto"/>
              <w:jc w:val="left"/>
              <w:rPr>
                <w:rFonts w:cs="Arial"/>
                <w:sz w:val="18"/>
                <w:szCs w:val="18"/>
              </w:rPr>
            </w:pPr>
            <w:r w:rsidRPr="00545EC0">
              <w:rPr>
                <w:rFonts w:cs="Arial"/>
                <w:sz w:val="18"/>
                <w:szCs w:val="18"/>
              </w:rPr>
              <w:t>Migracija in nadgradnja informacijskega sistema za spremljanje gospodarskih javnih služb varstva okolja</w:t>
            </w:r>
          </w:p>
        </w:tc>
        <w:tc>
          <w:tcPr>
            <w:tcW w:w="774" w:type="pct"/>
          </w:tcPr>
          <w:p w14:paraId="7F0017E2" w14:textId="77777777" w:rsidR="00BE686D" w:rsidRPr="00545EC0" w:rsidRDefault="00BE686D" w:rsidP="00BE686D">
            <w:pPr>
              <w:spacing w:line="240" w:lineRule="auto"/>
              <w:jc w:val="left"/>
              <w:rPr>
                <w:rFonts w:cs="Arial"/>
                <w:i/>
                <w:sz w:val="18"/>
                <w:szCs w:val="18"/>
              </w:rPr>
            </w:pPr>
            <w:r w:rsidRPr="00545EC0">
              <w:rPr>
                <w:rFonts w:cs="Arial"/>
                <w:i/>
                <w:sz w:val="18"/>
                <w:szCs w:val="18"/>
              </w:rPr>
              <w:t>Varstvo voda, Raba voda, Urejanje voda</w:t>
            </w:r>
          </w:p>
        </w:tc>
        <w:tc>
          <w:tcPr>
            <w:tcW w:w="681" w:type="pct"/>
          </w:tcPr>
          <w:p w14:paraId="41A126A6" w14:textId="77777777" w:rsidR="00BE686D" w:rsidRPr="00545EC0" w:rsidRDefault="00BE686D" w:rsidP="00BE686D">
            <w:pPr>
              <w:spacing w:line="240" w:lineRule="auto"/>
              <w:jc w:val="left"/>
              <w:rPr>
                <w:rFonts w:cs="Arial"/>
                <w:i/>
                <w:sz w:val="18"/>
                <w:szCs w:val="18"/>
              </w:rPr>
            </w:pPr>
            <w:r w:rsidRPr="00545EC0">
              <w:rPr>
                <w:rFonts w:cs="Arial"/>
                <w:i/>
                <w:sz w:val="18"/>
                <w:szCs w:val="18"/>
              </w:rPr>
              <w:t>Upravljanje voda</w:t>
            </w:r>
          </w:p>
        </w:tc>
        <w:tc>
          <w:tcPr>
            <w:tcW w:w="714" w:type="pct"/>
          </w:tcPr>
          <w:p w14:paraId="5E547735" w14:textId="77777777" w:rsidR="00BE686D" w:rsidRPr="00545EC0" w:rsidRDefault="00BE686D" w:rsidP="00BE686D">
            <w:pPr>
              <w:spacing w:line="240" w:lineRule="auto"/>
              <w:jc w:val="left"/>
              <w:rPr>
                <w:rFonts w:cs="Arial"/>
                <w:i/>
                <w:sz w:val="18"/>
                <w:szCs w:val="18"/>
              </w:rPr>
            </w:pPr>
            <w:r w:rsidRPr="00545EC0">
              <w:rPr>
                <w:rFonts w:cs="Arial"/>
                <w:i/>
                <w:sz w:val="18"/>
                <w:szCs w:val="18"/>
              </w:rPr>
              <w:t>Oblikovan nov ukrep, ki nadomešča OS2b</w:t>
            </w:r>
          </w:p>
        </w:tc>
      </w:tr>
      <w:tr w:rsidR="00BE686D" w:rsidRPr="00545EC0" w14:paraId="61EDBD62" w14:textId="77777777" w:rsidTr="00BE686D">
        <w:trPr>
          <w:cantSplit/>
          <w:trHeight w:val="300"/>
        </w:trPr>
        <w:tc>
          <w:tcPr>
            <w:tcW w:w="582" w:type="pct"/>
          </w:tcPr>
          <w:p w14:paraId="412847A3" w14:textId="77777777" w:rsidR="00BE686D" w:rsidRPr="00545EC0" w:rsidRDefault="00BE686D" w:rsidP="00BE686D">
            <w:pPr>
              <w:spacing w:line="240" w:lineRule="auto"/>
              <w:jc w:val="left"/>
              <w:rPr>
                <w:rFonts w:cs="Arial"/>
                <w:sz w:val="18"/>
                <w:szCs w:val="18"/>
              </w:rPr>
            </w:pPr>
            <w:r w:rsidRPr="00545EC0">
              <w:rPr>
                <w:rFonts w:cs="Arial"/>
                <w:sz w:val="18"/>
                <w:szCs w:val="18"/>
              </w:rPr>
              <w:t>Temeljni ukrep »a«</w:t>
            </w:r>
          </w:p>
        </w:tc>
        <w:tc>
          <w:tcPr>
            <w:tcW w:w="580" w:type="pct"/>
            <w:shd w:val="clear" w:color="auto" w:fill="auto"/>
          </w:tcPr>
          <w:p w14:paraId="4150FE7F" w14:textId="77777777" w:rsidR="00BE686D" w:rsidRPr="00545EC0" w:rsidRDefault="00BE686D" w:rsidP="00BE686D">
            <w:pPr>
              <w:spacing w:line="240" w:lineRule="auto"/>
              <w:jc w:val="left"/>
              <w:rPr>
                <w:rFonts w:cs="Arial"/>
                <w:sz w:val="18"/>
                <w:szCs w:val="18"/>
                <w:lang w:eastAsia="zh-CN"/>
              </w:rPr>
            </w:pPr>
            <w:r w:rsidRPr="00545EC0">
              <w:rPr>
                <w:rFonts w:cs="Arial"/>
                <w:sz w:val="18"/>
                <w:szCs w:val="18"/>
              </w:rPr>
              <w:t>OS3.1a</w:t>
            </w:r>
          </w:p>
        </w:tc>
        <w:tc>
          <w:tcPr>
            <w:tcW w:w="1669" w:type="pct"/>
            <w:shd w:val="clear" w:color="auto" w:fill="auto"/>
          </w:tcPr>
          <w:p w14:paraId="5B403683" w14:textId="77777777" w:rsidR="00BE686D" w:rsidRPr="00545EC0" w:rsidRDefault="00BE686D" w:rsidP="00BE686D">
            <w:pPr>
              <w:spacing w:line="240" w:lineRule="auto"/>
              <w:jc w:val="left"/>
              <w:rPr>
                <w:rFonts w:cs="Arial"/>
                <w:sz w:val="18"/>
                <w:szCs w:val="18"/>
              </w:rPr>
            </w:pPr>
            <w:r w:rsidRPr="00545EC0">
              <w:rPr>
                <w:rFonts w:cs="Arial"/>
                <w:sz w:val="18"/>
                <w:szCs w:val="18"/>
              </w:rPr>
              <w:t>Izdelava načrta upravljanja z morskim okoljem</w:t>
            </w:r>
          </w:p>
        </w:tc>
        <w:tc>
          <w:tcPr>
            <w:tcW w:w="774" w:type="pct"/>
          </w:tcPr>
          <w:p w14:paraId="49781A67" w14:textId="77777777" w:rsidR="00BE686D" w:rsidRPr="00545EC0" w:rsidRDefault="00BE686D" w:rsidP="00BE686D">
            <w:pPr>
              <w:spacing w:line="240" w:lineRule="auto"/>
              <w:jc w:val="left"/>
              <w:rPr>
                <w:rFonts w:cs="Arial"/>
                <w:i/>
                <w:sz w:val="18"/>
                <w:szCs w:val="18"/>
              </w:rPr>
            </w:pPr>
            <w:r w:rsidRPr="00545EC0">
              <w:rPr>
                <w:rFonts w:cs="Arial"/>
                <w:i/>
                <w:sz w:val="18"/>
                <w:szCs w:val="18"/>
              </w:rPr>
              <w:t>Varstvo voda, Raba voda, Urejanje voda</w:t>
            </w:r>
          </w:p>
        </w:tc>
        <w:tc>
          <w:tcPr>
            <w:tcW w:w="681" w:type="pct"/>
          </w:tcPr>
          <w:p w14:paraId="1F99C0F4" w14:textId="77777777" w:rsidR="00BE686D" w:rsidRPr="00545EC0" w:rsidRDefault="00BE686D" w:rsidP="00BE686D">
            <w:pPr>
              <w:spacing w:line="240" w:lineRule="auto"/>
              <w:jc w:val="left"/>
              <w:rPr>
                <w:rFonts w:cs="Arial"/>
                <w:i/>
                <w:sz w:val="18"/>
                <w:szCs w:val="18"/>
              </w:rPr>
            </w:pPr>
            <w:r w:rsidRPr="00545EC0">
              <w:rPr>
                <w:rFonts w:cs="Arial"/>
                <w:i/>
                <w:sz w:val="18"/>
                <w:szCs w:val="18"/>
              </w:rPr>
              <w:t>Upravljanje voda</w:t>
            </w:r>
          </w:p>
        </w:tc>
        <w:tc>
          <w:tcPr>
            <w:tcW w:w="714" w:type="pct"/>
          </w:tcPr>
          <w:p w14:paraId="688C1AD1" w14:textId="77777777" w:rsidR="00BE686D" w:rsidRPr="00545EC0" w:rsidRDefault="00BE686D" w:rsidP="00BE686D">
            <w:pPr>
              <w:spacing w:line="240" w:lineRule="auto"/>
              <w:jc w:val="left"/>
              <w:rPr>
                <w:rFonts w:cs="Arial"/>
                <w:i/>
                <w:sz w:val="18"/>
                <w:szCs w:val="18"/>
              </w:rPr>
            </w:pPr>
            <w:r w:rsidRPr="00545EC0">
              <w:rPr>
                <w:rFonts w:cs="Arial"/>
                <w:i/>
                <w:sz w:val="18"/>
                <w:szCs w:val="18"/>
              </w:rPr>
              <w:t>Podaljšan in posodobljen</w:t>
            </w:r>
          </w:p>
        </w:tc>
      </w:tr>
      <w:tr w:rsidR="00BE686D" w:rsidRPr="00545EC0" w14:paraId="41E1CF9B" w14:textId="77777777" w:rsidTr="00BE686D">
        <w:trPr>
          <w:cantSplit/>
          <w:trHeight w:val="525"/>
        </w:trPr>
        <w:tc>
          <w:tcPr>
            <w:tcW w:w="582" w:type="pct"/>
          </w:tcPr>
          <w:p w14:paraId="7887434C" w14:textId="77777777" w:rsidR="00BE686D" w:rsidRPr="00545EC0" w:rsidRDefault="00BE686D" w:rsidP="00BE686D">
            <w:pPr>
              <w:spacing w:line="240" w:lineRule="auto"/>
              <w:jc w:val="left"/>
              <w:rPr>
                <w:rFonts w:cs="Arial"/>
                <w:sz w:val="18"/>
                <w:szCs w:val="18"/>
              </w:rPr>
            </w:pPr>
            <w:r w:rsidRPr="00545EC0">
              <w:rPr>
                <w:rFonts w:cs="Arial"/>
                <w:sz w:val="18"/>
                <w:szCs w:val="18"/>
              </w:rPr>
              <w:t>Temeljni ukrep »a«</w:t>
            </w:r>
          </w:p>
        </w:tc>
        <w:tc>
          <w:tcPr>
            <w:tcW w:w="580" w:type="pct"/>
            <w:shd w:val="clear" w:color="auto" w:fill="auto"/>
            <w:hideMark/>
          </w:tcPr>
          <w:p w14:paraId="782DAD9F" w14:textId="77777777" w:rsidR="00BE686D" w:rsidRPr="00545EC0" w:rsidRDefault="00BE686D" w:rsidP="00BE686D">
            <w:pPr>
              <w:spacing w:line="240" w:lineRule="auto"/>
              <w:jc w:val="left"/>
              <w:rPr>
                <w:rFonts w:cs="Arial"/>
                <w:sz w:val="18"/>
                <w:szCs w:val="18"/>
              </w:rPr>
            </w:pPr>
            <w:r w:rsidRPr="00545EC0">
              <w:rPr>
                <w:rFonts w:cs="Arial"/>
                <w:sz w:val="18"/>
                <w:szCs w:val="18"/>
              </w:rPr>
              <w:t>OS3.2a</w:t>
            </w:r>
          </w:p>
        </w:tc>
        <w:tc>
          <w:tcPr>
            <w:tcW w:w="1669" w:type="pct"/>
            <w:shd w:val="clear" w:color="auto" w:fill="auto"/>
          </w:tcPr>
          <w:p w14:paraId="0B6AA613" w14:textId="77777777" w:rsidR="00BE686D" w:rsidRPr="00545EC0" w:rsidRDefault="00BE686D" w:rsidP="00BE686D">
            <w:pPr>
              <w:spacing w:line="240" w:lineRule="auto"/>
              <w:jc w:val="left"/>
              <w:rPr>
                <w:rFonts w:cs="Arial"/>
                <w:sz w:val="18"/>
                <w:szCs w:val="18"/>
              </w:rPr>
            </w:pPr>
            <w:r w:rsidRPr="00545EC0">
              <w:rPr>
                <w:rFonts w:cs="Arial"/>
                <w:sz w:val="18"/>
                <w:szCs w:val="18"/>
              </w:rPr>
              <w:t>Izdelava Načrta upravljanja voda za vodni območji Donave in Jadranskega morja za obdobje 2021 – 2027</w:t>
            </w:r>
          </w:p>
        </w:tc>
        <w:tc>
          <w:tcPr>
            <w:tcW w:w="774" w:type="pct"/>
          </w:tcPr>
          <w:p w14:paraId="1571DD61" w14:textId="77777777" w:rsidR="00BE686D" w:rsidRPr="00545EC0" w:rsidRDefault="00BE686D" w:rsidP="00BE686D">
            <w:pPr>
              <w:spacing w:line="240" w:lineRule="auto"/>
              <w:jc w:val="left"/>
              <w:rPr>
                <w:rFonts w:cs="Arial"/>
                <w:i/>
                <w:sz w:val="18"/>
                <w:szCs w:val="18"/>
              </w:rPr>
            </w:pPr>
            <w:r w:rsidRPr="00545EC0">
              <w:rPr>
                <w:rFonts w:cs="Arial"/>
                <w:i/>
                <w:sz w:val="18"/>
                <w:szCs w:val="18"/>
              </w:rPr>
              <w:t>Varstvo voda, Raba voda, Urejanje voda</w:t>
            </w:r>
          </w:p>
        </w:tc>
        <w:tc>
          <w:tcPr>
            <w:tcW w:w="681" w:type="pct"/>
          </w:tcPr>
          <w:p w14:paraId="4C4687BD" w14:textId="77777777" w:rsidR="00BE686D" w:rsidRPr="00545EC0" w:rsidRDefault="00BE686D" w:rsidP="00BE686D">
            <w:pPr>
              <w:spacing w:line="240" w:lineRule="auto"/>
              <w:jc w:val="left"/>
              <w:rPr>
                <w:rFonts w:cs="Arial"/>
                <w:i/>
                <w:sz w:val="18"/>
                <w:szCs w:val="18"/>
              </w:rPr>
            </w:pPr>
            <w:r w:rsidRPr="00545EC0">
              <w:rPr>
                <w:rFonts w:cs="Arial"/>
                <w:i/>
                <w:sz w:val="18"/>
                <w:szCs w:val="18"/>
              </w:rPr>
              <w:t>Upravljanje voda</w:t>
            </w:r>
          </w:p>
        </w:tc>
        <w:tc>
          <w:tcPr>
            <w:tcW w:w="714" w:type="pct"/>
          </w:tcPr>
          <w:p w14:paraId="48D22BA9" w14:textId="77777777" w:rsidR="00BE686D" w:rsidRPr="00545EC0" w:rsidRDefault="00BE686D" w:rsidP="00BE686D">
            <w:pPr>
              <w:spacing w:line="240" w:lineRule="auto"/>
              <w:jc w:val="left"/>
              <w:rPr>
                <w:rFonts w:cs="Arial"/>
                <w:i/>
                <w:sz w:val="18"/>
                <w:szCs w:val="18"/>
              </w:rPr>
            </w:pPr>
            <w:r w:rsidRPr="00545EC0">
              <w:rPr>
                <w:rFonts w:cs="Arial"/>
                <w:i/>
                <w:sz w:val="18"/>
                <w:szCs w:val="18"/>
              </w:rPr>
              <w:t>Podaljšan in posodobljen</w:t>
            </w:r>
          </w:p>
        </w:tc>
      </w:tr>
      <w:tr w:rsidR="00BE686D" w:rsidRPr="00545EC0" w14:paraId="5B3DD7DE" w14:textId="77777777" w:rsidTr="00BE686D">
        <w:trPr>
          <w:cantSplit/>
          <w:trHeight w:val="300"/>
        </w:trPr>
        <w:tc>
          <w:tcPr>
            <w:tcW w:w="582" w:type="pct"/>
          </w:tcPr>
          <w:p w14:paraId="0EE645A7" w14:textId="77777777" w:rsidR="00BE686D" w:rsidRPr="00545EC0" w:rsidRDefault="00BE686D" w:rsidP="00BE686D">
            <w:pPr>
              <w:spacing w:line="240" w:lineRule="auto"/>
              <w:jc w:val="left"/>
              <w:rPr>
                <w:rFonts w:cs="Arial"/>
                <w:sz w:val="18"/>
                <w:szCs w:val="18"/>
                <w:lang w:eastAsia="zh-CN"/>
              </w:rPr>
            </w:pPr>
            <w:r w:rsidRPr="00545EC0">
              <w:rPr>
                <w:rFonts w:cs="Arial"/>
                <w:sz w:val="18"/>
                <w:szCs w:val="18"/>
              </w:rPr>
              <w:t>Temeljni ukrep »b«</w:t>
            </w:r>
          </w:p>
        </w:tc>
        <w:tc>
          <w:tcPr>
            <w:tcW w:w="580" w:type="pct"/>
            <w:shd w:val="clear" w:color="auto" w:fill="auto"/>
            <w:hideMark/>
          </w:tcPr>
          <w:p w14:paraId="330AD110" w14:textId="77777777" w:rsidR="00BE686D" w:rsidRPr="00545EC0" w:rsidRDefault="00BE686D" w:rsidP="00BE686D">
            <w:pPr>
              <w:spacing w:line="240" w:lineRule="auto"/>
              <w:jc w:val="left"/>
              <w:rPr>
                <w:rFonts w:cs="Arial"/>
                <w:sz w:val="18"/>
                <w:szCs w:val="18"/>
              </w:rPr>
            </w:pPr>
            <w:r w:rsidRPr="00545EC0">
              <w:rPr>
                <w:rFonts w:cs="Arial"/>
                <w:sz w:val="18"/>
                <w:szCs w:val="18"/>
                <w:lang w:eastAsia="zh-CN"/>
              </w:rPr>
              <w:t>OS3.2b1</w:t>
            </w:r>
          </w:p>
        </w:tc>
        <w:tc>
          <w:tcPr>
            <w:tcW w:w="1669" w:type="pct"/>
            <w:shd w:val="clear" w:color="auto" w:fill="auto"/>
          </w:tcPr>
          <w:p w14:paraId="410331E6" w14:textId="77777777" w:rsidR="00BE686D" w:rsidRPr="00545EC0" w:rsidRDefault="00BE686D" w:rsidP="00BE686D">
            <w:pPr>
              <w:spacing w:line="240" w:lineRule="auto"/>
              <w:jc w:val="left"/>
              <w:rPr>
                <w:rFonts w:cs="Arial"/>
                <w:sz w:val="18"/>
                <w:szCs w:val="18"/>
              </w:rPr>
            </w:pPr>
            <w:r w:rsidRPr="00545EC0">
              <w:rPr>
                <w:rFonts w:cs="Arial"/>
                <w:sz w:val="18"/>
                <w:szCs w:val="18"/>
              </w:rPr>
              <w:t>Preveritev določitve in razvrstitve  vodnih teles površinskih voda</w:t>
            </w:r>
          </w:p>
        </w:tc>
        <w:tc>
          <w:tcPr>
            <w:tcW w:w="774" w:type="pct"/>
          </w:tcPr>
          <w:p w14:paraId="329E0B4A" w14:textId="77777777" w:rsidR="00BE686D" w:rsidRPr="00545EC0" w:rsidRDefault="00BE686D" w:rsidP="00BE686D">
            <w:pPr>
              <w:spacing w:line="240" w:lineRule="auto"/>
              <w:jc w:val="left"/>
              <w:rPr>
                <w:rFonts w:cs="Arial"/>
                <w:i/>
                <w:sz w:val="18"/>
                <w:szCs w:val="18"/>
              </w:rPr>
            </w:pPr>
            <w:r w:rsidRPr="00545EC0">
              <w:rPr>
                <w:rFonts w:cs="Arial"/>
                <w:i/>
                <w:sz w:val="18"/>
                <w:szCs w:val="18"/>
              </w:rPr>
              <w:t>Varstvo voda, Raba voda, Urejanje voda</w:t>
            </w:r>
          </w:p>
        </w:tc>
        <w:tc>
          <w:tcPr>
            <w:tcW w:w="681" w:type="pct"/>
          </w:tcPr>
          <w:p w14:paraId="7423DB57" w14:textId="77777777" w:rsidR="00BE686D" w:rsidRPr="00545EC0" w:rsidRDefault="00BE686D" w:rsidP="00BE686D">
            <w:pPr>
              <w:spacing w:line="240" w:lineRule="auto"/>
              <w:jc w:val="left"/>
              <w:rPr>
                <w:rFonts w:cs="Arial"/>
                <w:i/>
                <w:sz w:val="18"/>
                <w:szCs w:val="18"/>
              </w:rPr>
            </w:pPr>
            <w:r w:rsidRPr="00545EC0">
              <w:rPr>
                <w:rFonts w:cs="Arial"/>
                <w:i/>
                <w:sz w:val="18"/>
                <w:szCs w:val="18"/>
              </w:rPr>
              <w:t>Upravljanje voda</w:t>
            </w:r>
          </w:p>
        </w:tc>
        <w:tc>
          <w:tcPr>
            <w:tcW w:w="714" w:type="pct"/>
          </w:tcPr>
          <w:p w14:paraId="1EA2810F" w14:textId="77777777" w:rsidR="00BE686D" w:rsidRPr="00545EC0" w:rsidRDefault="00BE686D" w:rsidP="00BE686D">
            <w:pPr>
              <w:spacing w:line="240" w:lineRule="auto"/>
              <w:jc w:val="left"/>
              <w:rPr>
                <w:rFonts w:cs="Arial"/>
                <w:i/>
                <w:sz w:val="18"/>
                <w:szCs w:val="18"/>
              </w:rPr>
            </w:pPr>
            <w:r w:rsidRPr="00545EC0">
              <w:rPr>
                <w:rFonts w:cs="Arial"/>
                <w:i/>
                <w:sz w:val="18"/>
                <w:szCs w:val="18"/>
              </w:rPr>
              <w:t>Podaljšan in posodobljen</w:t>
            </w:r>
          </w:p>
        </w:tc>
      </w:tr>
      <w:tr w:rsidR="00BE686D" w:rsidRPr="00545EC0" w14:paraId="6FCAD010" w14:textId="77777777" w:rsidTr="00BE686D">
        <w:trPr>
          <w:cantSplit/>
          <w:trHeight w:val="300"/>
        </w:trPr>
        <w:tc>
          <w:tcPr>
            <w:tcW w:w="582" w:type="pct"/>
          </w:tcPr>
          <w:p w14:paraId="6E8F3B0F" w14:textId="77777777" w:rsidR="00BE686D" w:rsidRPr="00545EC0" w:rsidRDefault="00BE686D" w:rsidP="00BE686D">
            <w:pPr>
              <w:spacing w:line="240" w:lineRule="auto"/>
              <w:jc w:val="left"/>
              <w:rPr>
                <w:rFonts w:cs="Arial"/>
                <w:bCs/>
                <w:sz w:val="18"/>
                <w:szCs w:val="18"/>
              </w:rPr>
            </w:pPr>
            <w:r w:rsidRPr="00545EC0">
              <w:rPr>
                <w:rFonts w:cs="Arial"/>
                <w:sz w:val="18"/>
                <w:szCs w:val="18"/>
              </w:rPr>
              <w:t>Temeljni ukrep »b«</w:t>
            </w:r>
          </w:p>
        </w:tc>
        <w:tc>
          <w:tcPr>
            <w:tcW w:w="580" w:type="pct"/>
            <w:shd w:val="clear" w:color="auto" w:fill="auto"/>
          </w:tcPr>
          <w:p w14:paraId="07D99F5F" w14:textId="77777777" w:rsidR="00BE686D" w:rsidRPr="00545EC0" w:rsidRDefault="00BE686D" w:rsidP="00BE686D">
            <w:pPr>
              <w:spacing w:line="240" w:lineRule="auto"/>
              <w:jc w:val="left"/>
              <w:rPr>
                <w:rFonts w:cs="Arial"/>
                <w:sz w:val="18"/>
                <w:szCs w:val="18"/>
                <w:lang w:eastAsia="zh-CN"/>
              </w:rPr>
            </w:pPr>
            <w:r w:rsidRPr="00545EC0">
              <w:rPr>
                <w:rFonts w:cs="Arial"/>
                <w:bCs/>
                <w:sz w:val="18"/>
                <w:szCs w:val="18"/>
              </w:rPr>
              <w:t>OS3.2b2</w:t>
            </w:r>
          </w:p>
        </w:tc>
        <w:tc>
          <w:tcPr>
            <w:tcW w:w="1669" w:type="pct"/>
            <w:shd w:val="clear" w:color="auto" w:fill="auto"/>
          </w:tcPr>
          <w:p w14:paraId="42C3A8CC" w14:textId="77777777" w:rsidR="00BE686D" w:rsidRPr="00545EC0" w:rsidRDefault="00BE686D" w:rsidP="00BE686D">
            <w:pPr>
              <w:spacing w:line="240" w:lineRule="auto"/>
              <w:jc w:val="left"/>
              <w:rPr>
                <w:rFonts w:cs="Arial"/>
                <w:sz w:val="18"/>
                <w:szCs w:val="18"/>
              </w:rPr>
            </w:pPr>
            <w:r w:rsidRPr="00545EC0">
              <w:rPr>
                <w:rFonts w:cs="Arial"/>
                <w:sz w:val="18"/>
                <w:szCs w:val="18"/>
              </w:rPr>
              <w:t>Preveritev določitve vodnih teles podzemnih voda</w:t>
            </w:r>
          </w:p>
        </w:tc>
        <w:tc>
          <w:tcPr>
            <w:tcW w:w="774" w:type="pct"/>
          </w:tcPr>
          <w:p w14:paraId="672F772B" w14:textId="77777777" w:rsidR="00BE686D" w:rsidRPr="00545EC0" w:rsidRDefault="00BE686D" w:rsidP="00BE686D">
            <w:pPr>
              <w:spacing w:line="240" w:lineRule="auto"/>
              <w:jc w:val="left"/>
              <w:rPr>
                <w:rFonts w:cs="Arial"/>
                <w:i/>
                <w:sz w:val="18"/>
                <w:szCs w:val="18"/>
              </w:rPr>
            </w:pPr>
            <w:r w:rsidRPr="00545EC0">
              <w:rPr>
                <w:rFonts w:cs="Arial"/>
                <w:i/>
                <w:sz w:val="18"/>
                <w:szCs w:val="18"/>
              </w:rPr>
              <w:t>Varstvo voda, Raba voda, Urejanje voda</w:t>
            </w:r>
          </w:p>
        </w:tc>
        <w:tc>
          <w:tcPr>
            <w:tcW w:w="681" w:type="pct"/>
          </w:tcPr>
          <w:p w14:paraId="22FB9D64" w14:textId="77777777" w:rsidR="00BE686D" w:rsidRPr="00545EC0" w:rsidRDefault="00BE686D" w:rsidP="00BE686D">
            <w:pPr>
              <w:spacing w:line="240" w:lineRule="auto"/>
              <w:jc w:val="left"/>
              <w:rPr>
                <w:rFonts w:cs="Arial"/>
                <w:i/>
                <w:sz w:val="18"/>
                <w:szCs w:val="18"/>
              </w:rPr>
            </w:pPr>
            <w:r w:rsidRPr="00545EC0">
              <w:rPr>
                <w:rFonts w:cs="Arial"/>
                <w:i/>
                <w:sz w:val="18"/>
                <w:szCs w:val="18"/>
              </w:rPr>
              <w:t>Upravljanje voda</w:t>
            </w:r>
          </w:p>
        </w:tc>
        <w:tc>
          <w:tcPr>
            <w:tcW w:w="714" w:type="pct"/>
          </w:tcPr>
          <w:p w14:paraId="29D1C6F8" w14:textId="77777777" w:rsidR="00BE686D" w:rsidRPr="00545EC0" w:rsidRDefault="00BE686D" w:rsidP="00BE686D">
            <w:pPr>
              <w:spacing w:line="240" w:lineRule="auto"/>
              <w:jc w:val="left"/>
              <w:rPr>
                <w:rFonts w:cs="Arial"/>
                <w:i/>
                <w:sz w:val="18"/>
                <w:szCs w:val="18"/>
              </w:rPr>
            </w:pPr>
            <w:r w:rsidRPr="00545EC0">
              <w:rPr>
                <w:rFonts w:cs="Arial"/>
                <w:i/>
                <w:sz w:val="18"/>
                <w:szCs w:val="18"/>
              </w:rPr>
              <w:t>Podaljšan in posodobljen</w:t>
            </w:r>
          </w:p>
        </w:tc>
      </w:tr>
      <w:tr w:rsidR="00BE686D" w:rsidRPr="00545EC0" w14:paraId="5D1175C4" w14:textId="77777777" w:rsidTr="00BE686D">
        <w:trPr>
          <w:cantSplit/>
          <w:trHeight w:val="300"/>
        </w:trPr>
        <w:tc>
          <w:tcPr>
            <w:tcW w:w="582" w:type="pct"/>
          </w:tcPr>
          <w:p w14:paraId="529CE9F3" w14:textId="77777777" w:rsidR="00BE686D" w:rsidRPr="00545EC0" w:rsidRDefault="00BE686D" w:rsidP="00BE686D">
            <w:pPr>
              <w:spacing w:line="240" w:lineRule="auto"/>
              <w:jc w:val="left"/>
              <w:rPr>
                <w:rFonts w:cs="Arial"/>
                <w:sz w:val="18"/>
                <w:szCs w:val="18"/>
              </w:rPr>
            </w:pPr>
            <w:r w:rsidRPr="00545EC0">
              <w:rPr>
                <w:rFonts w:cs="Arial"/>
                <w:sz w:val="18"/>
                <w:szCs w:val="18"/>
              </w:rPr>
              <w:t>Temeljni ukrep »b«</w:t>
            </w:r>
          </w:p>
        </w:tc>
        <w:tc>
          <w:tcPr>
            <w:tcW w:w="580" w:type="pct"/>
            <w:shd w:val="clear" w:color="auto" w:fill="auto"/>
          </w:tcPr>
          <w:p w14:paraId="68C7FDF2" w14:textId="77777777" w:rsidR="00BE686D" w:rsidRPr="00545EC0" w:rsidRDefault="00BE686D" w:rsidP="00BE686D">
            <w:pPr>
              <w:spacing w:line="240" w:lineRule="auto"/>
              <w:jc w:val="left"/>
              <w:rPr>
                <w:rFonts w:cs="Arial"/>
                <w:bCs/>
                <w:sz w:val="18"/>
                <w:szCs w:val="18"/>
              </w:rPr>
            </w:pPr>
            <w:r w:rsidRPr="00545EC0">
              <w:rPr>
                <w:rFonts w:cs="Arial"/>
                <w:sz w:val="18"/>
                <w:szCs w:val="18"/>
              </w:rPr>
              <w:t>OS3.2b4</w:t>
            </w:r>
          </w:p>
        </w:tc>
        <w:tc>
          <w:tcPr>
            <w:tcW w:w="1669" w:type="pct"/>
            <w:shd w:val="clear" w:color="auto" w:fill="auto"/>
          </w:tcPr>
          <w:p w14:paraId="5B66119E" w14:textId="599CEB5E" w:rsidR="00BE686D" w:rsidRPr="00545EC0" w:rsidRDefault="0081478C" w:rsidP="00BE686D">
            <w:pPr>
              <w:spacing w:line="240" w:lineRule="auto"/>
              <w:jc w:val="left"/>
              <w:rPr>
                <w:rFonts w:cs="Arial"/>
                <w:sz w:val="18"/>
                <w:szCs w:val="18"/>
              </w:rPr>
            </w:pPr>
            <w:r w:rsidRPr="0081478C">
              <w:rPr>
                <w:rFonts w:cs="Arial"/>
                <w:sz w:val="18"/>
                <w:szCs w:val="18"/>
              </w:rPr>
              <w:t>Priprava večletnih podrobnejših programov upravljanja porečij</w:t>
            </w:r>
          </w:p>
        </w:tc>
        <w:tc>
          <w:tcPr>
            <w:tcW w:w="774" w:type="pct"/>
          </w:tcPr>
          <w:p w14:paraId="75BEB908" w14:textId="77777777" w:rsidR="00BE686D" w:rsidRPr="00545EC0" w:rsidRDefault="00BE686D" w:rsidP="00BE686D">
            <w:pPr>
              <w:spacing w:line="240" w:lineRule="auto"/>
              <w:jc w:val="left"/>
              <w:rPr>
                <w:rFonts w:cs="Arial"/>
                <w:i/>
                <w:sz w:val="18"/>
                <w:szCs w:val="18"/>
              </w:rPr>
            </w:pPr>
            <w:r w:rsidRPr="00545EC0">
              <w:rPr>
                <w:rFonts w:cs="Arial"/>
                <w:i/>
                <w:sz w:val="18"/>
                <w:szCs w:val="18"/>
              </w:rPr>
              <w:t>Varstvo voda, Raba voda, Urejanje voda</w:t>
            </w:r>
          </w:p>
        </w:tc>
        <w:tc>
          <w:tcPr>
            <w:tcW w:w="681" w:type="pct"/>
          </w:tcPr>
          <w:p w14:paraId="30CD518E" w14:textId="77777777" w:rsidR="00BE686D" w:rsidRPr="00545EC0" w:rsidRDefault="00BE686D" w:rsidP="00BE686D">
            <w:pPr>
              <w:spacing w:line="240" w:lineRule="auto"/>
              <w:jc w:val="left"/>
              <w:rPr>
                <w:rFonts w:cs="Arial"/>
                <w:i/>
                <w:sz w:val="18"/>
                <w:szCs w:val="18"/>
              </w:rPr>
            </w:pPr>
            <w:r w:rsidRPr="00545EC0">
              <w:rPr>
                <w:rFonts w:cs="Arial"/>
                <w:i/>
                <w:sz w:val="18"/>
                <w:szCs w:val="18"/>
              </w:rPr>
              <w:t>Upravljanje voda</w:t>
            </w:r>
          </w:p>
        </w:tc>
        <w:tc>
          <w:tcPr>
            <w:tcW w:w="714" w:type="pct"/>
          </w:tcPr>
          <w:p w14:paraId="4FBE92C5" w14:textId="77777777" w:rsidR="00BE686D" w:rsidRPr="00545EC0" w:rsidRDefault="00BE686D" w:rsidP="00BE686D">
            <w:pPr>
              <w:spacing w:line="240" w:lineRule="auto"/>
              <w:jc w:val="left"/>
              <w:rPr>
                <w:rFonts w:cs="Arial"/>
                <w:i/>
                <w:sz w:val="18"/>
                <w:szCs w:val="18"/>
              </w:rPr>
            </w:pPr>
            <w:r w:rsidRPr="00545EC0">
              <w:rPr>
                <w:rFonts w:cs="Arial"/>
                <w:i/>
                <w:sz w:val="18"/>
                <w:szCs w:val="18"/>
              </w:rPr>
              <w:t>Podaljšan in posodobljen</w:t>
            </w:r>
          </w:p>
        </w:tc>
      </w:tr>
      <w:tr w:rsidR="00BE686D" w:rsidRPr="00545EC0" w14:paraId="10A194A2" w14:textId="77777777" w:rsidTr="00BE686D">
        <w:trPr>
          <w:cantSplit/>
          <w:trHeight w:val="300"/>
        </w:trPr>
        <w:tc>
          <w:tcPr>
            <w:tcW w:w="582" w:type="pct"/>
          </w:tcPr>
          <w:p w14:paraId="01DFD71E" w14:textId="77777777" w:rsidR="00BE686D" w:rsidRPr="00545EC0" w:rsidRDefault="00BE686D" w:rsidP="00BE686D">
            <w:pPr>
              <w:spacing w:line="240" w:lineRule="auto"/>
              <w:jc w:val="left"/>
              <w:rPr>
                <w:rFonts w:cs="Arial"/>
                <w:bCs/>
                <w:sz w:val="18"/>
                <w:szCs w:val="18"/>
              </w:rPr>
            </w:pPr>
            <w:r w:rsidRPr="00545EC0">
              <w:rPr>
                <w:rFonts w:cs="Arial"/>
                <w:sz w:val="18"/>
                <w:szCs w:val="18"/>
              </w:rPr>
              <w:t>Temeljni ukrep »b«</w:t>
            </w:r>
          </w:p>
        </w:tc>
        <w:tc>
          <w:tcPr>
            <w:tcW w:w="580" w:type="pct"/>
            <w:shd w:val="clear" w:color="auto" w:fill="auto"/>
          </w:tcPr>
          <w:p w14:paraId="034C577E" w14:textId="77777777" w:rsidR="00BE686D" w:rsidRPr="00545EC0" w:rsidRDefault="00BE686D" w:rsidP="00BE686D">
            <w:pPr>
              <w:spacing w:line="240" w:lineRule="auto"/>
              <w:jc w:val="left"/>
              <w:rPr>
                <w:rFonts w:cs="Arial"/>
                <w:bCs/>
                <w:sz w:val="18"/>
                <w:szCs w:val="18"/>
              </w:rPr>
            </w:pPr>
            <w:r w:rsidRPr="00545EC0">
              <w:rPr>
                <w:rFonts w:cs="Arial"/>
                <w:bCs/>
                <w:sz w:val="18"/>
                <w:szCs w:val="18"/>
              </w:rPr>
              <w:t>OS3.2b5</w:t>
            </w:r>
          </w:p>
        </w:tc>
        <w:tc>
          <w:tcPr>
            <w:tcW w:w="1669" w:type="pct"/>
            <w:shd w:val="clear" w:color="auto" w:fill="auto"/>
          </w:tcPr>
          <w:p w14:paraId="22C53C18" w14:textId="77777777" w:rsidR="00BE686D" w:rsidRPr="00545EC0" w:rsidRDefault="00BE686D" w:rsidP="00BE686D">
            <w:pPr>
              <w:spacing w:line="240" w:lineRule="auto"/>
              <w:jc w:val="left"/>
              <w:rPr>
                <w:rFonts w:cs="Arial"/>
                <w:sz w:val="18"/>
                <w:szCs w:val="18"/>
              </w:rPr>
            </w:pPr>
            <w:r w:rsidRPr="00545EC0">
              <w:rPr>
                <w:rFonts w:cs="Arial"/>
                <w:sz w:val="18"/>
                <w:szCs w:val="18"/>
              </w:rPr>
              <w:t>Informiranje in izobraževanje strokovne in splošne javnosti o upravljanju voda</w:t>
            </w:r>
          </w:p>
        </w:tc>
        <w:tc>
          <w:tcPr>
            <w:tcW w:w="774" w:type="pct"/>
          </w:tcPr>
          <w:p w14:paraId="039F1B7E" w14:textId="77777777" w:rsidR="00BE686D" w:rsidRPr="00545EC0" w:rsidRDefault="00BE686D" w:rsidP="00BE686D">
            <w:pPr>
              <w:spacing w:line="240" w:lineRule="auto"/>
              <w:jc w:val="left"/>
              <w:rPr>
                <w:rFonts w:cs="Arial"/>
                <w:i/>
                <w:sz w:val="18"/>
                <w:szCs w:val="18"/>
              </w:rPr>
            </w:pPr>
            <w:r w:rsidRPr="00545EC0">
              <w:rPr>
                <w:rFonts w:cs="Arial"/>
                <w:i/>
                <w:sz w:val="18"/>
                <w:szCs w:val="18"/>
              </w:rPr>
              <w:t>Varstvo voda, Raba voda, Urejanje voda</w:t>
            </w:r>
          </w:p>
        </w:tc>
        <w:tc>
          <w:tcPr>
            <w:tcW w:w="681" w:type="pct"/>
          </w:tcPr>
          <w:p w14:paraId="09EE5425" w14:textId="77777777" w:rsidR="00BE686D" w:rsidRPr="00545EC0" w:rsidRDefault="00BE686D" w:rsidP="00BE686D">
            <w:pPr>
              <w:spacing w:line="240" w:lineRule="auto"/>
              <w:jc w:val="left"/>
              <w:rPr>
                <w:rFonts w:cs="Arial"/>
                <w:i/>
                <w:sz w:val="18"/>
                <w:szCs w:val="18"/>
              </w:rPr>
            </w:pPr>
            <w:r w:rsidRPr="00545EC0">
              <w:rPr>
                <w:rFonts w:cs="Arial"/>
                <w:i/>
                <w:sz w:val="18"/>
                <w:szCs w:val="18"/>
              </w:rPr>
              <w:t>Upravljanje voda</w:t>
            </w:r>
          </w:p>
        </w:tc>
        <w:tc>
          <w:tcPr>
            <w:tcW w:w="714" w:type="pct"/>
          </w:tcPr>
          <w:p w14:paraId="171EB8BB" w14:textId="77777777" w:rsidR="00BE686D" w:rsidRPr="00545EC0" w:rsidRDefault="00BE686D" w:rsidP="00BE686D">
            <w:pPr>
              <w:spacing w:line="240" w:lineRule="auto"/>
              <w:jc w:val="left"/>
              <w:rPr>
                <w:rFonts w:cs="Arial"/>
                <w:i/>
                <w:sz w:val="18"/>
                <w:szCs w:val="18"/>
              </w:rPr>
            </w:pPr>
            <w:r w:rsidRPr="00545EC0">
              <w:rPr>
                <w:rFonts w:cs="Arial"/>
                <w:i/>
                <w:sz w:val="18"/>
                <w:szCs w:val="18"/>
              </w:rPr>
              <w:t>Podaljšan in posodobljen</w:t>
            </w:r>
          </w:p>
        </w:tc>
      </w:tr>
      <w:tr w:rsidR="00BE686D" w:rsidRPr="00545EC0" w14:paraId="34328DB7" w14:textId="77777777" w:rsidTr="00BE686D">
        <w:trPr>
          <w:cantSplit/>
          <w:trHeight w:val="300"/>
        </w:trPr>
        <w:tc>
          <w:tcPr>
            <w:tcW w:w="582" w:type="pct"/>
          </w:tcPr>
          <w:p w14:paraId="21CFD542" w14:textId="77777777" w:rsidR="00BE686D" w:rsidRPr="00545EC0" w:rsidRDefault="00BE686D" w:rsidP="00BE686D">
            <w:pPr>
              <w:spacing w:line="240" w:lineRule="auto"/>
              <w:jc w:val="left"/>
              <w:rPr>
                <w:rFonts w:cs="Arial"/>
                <w:sz w:val="18"/>
                <w:szCs w:val="18"/>
              </w:rPr>
            </w:pPr>
            <w:r w:rsidRPr="00545EC0">
              <w:rPr>
                <w:rFonts w:cs="Arial"/>
                <w:sz w:val="18"/>
                <w:szCs w:val="18"/>
              </w:rPr>
              <w:t>Temeljni ukrep »a«</w:t>
            </w:r>
          </w:p>
        </w:tc>
        <w:tc>
          <w:tcPr>
            <w:tcW w:w="580" w:type="pct"/>
            <w:shd w:val="clear" w:color="auto" w:fill="auto"/>
          </w:tcPr>
          <w:p w14:paraId="3D35069D" w14:textId="77777777" w:rsidR="00BE686D" w:rsidRPr="00545EC0" w:rsidRDefault="00BE686D" w:rsidP="00BE686D">
            <w:pPr>
              <w:spacing w:line="240" w:lineRule="auto"/>
              <w:jc w:val="left"/>
              <w:rPr>
                <w:rFonts w:cs="Arial"/>
                <w:bCs/>
                <w:sz w:val="18"/>
                <w:szCs w:val="18"/>
              </w:rPr>
            </w:pPr>
            <w:r w:rsidRPr="00545EC0">
              <w:rPr>
                <w:rFonts w:cs="Arial"/>
                <w:sz w:val="18"/>
                <w:szCs w:val="18"/>
              </w:rPr>
              <w:t>OS4a</w:t>
            </w:r>
          </w:p>
        </w:tc>
        <w:tc>
          <w:tcPr>
            <w:tcW w:w="1669" w:type="pct"/>
            <w:shd w:val="clear" w:color="auto" w:fill="auto"/>
          </w:tcPr>
          <w:p w14:paraId="364B935F" w14:textId="77777777" w:rsidR="00BE686D" w:rsidRPr="00545EC0" w:rsidRDefault="00BE686D" w:rsidP="00BE686D">
            <w:pPr>
              <w:spacing w:line="240" w:lineRule="auto"/>
              <w:jc w:val="left"/>
              <w:rPr>
                <w:rFonts w:cs="Arial"/>
                <w:sz w:val="18"/>
                <w:szCs w:val="18"/>
              </w:rPr>
            </w:pPr>
            <w:r w:rsidRPr="00545EC0">
              <w:rPr>
                <w:rFonts w:cs="Arial"/>
                <w:sz w:val="18"/>
                <w:szCs w:val="18"/>
              </w:rPr>
              <w:t>Preprečevanje in sanacija okoljske škode in odgovornost zanjo</w:t>
            </w:r>
          </w:p>
        </w:tc>
        <w:tc>
          <w:tcPr>
            <w:tcW w:w="774" w:type="pct"/>
          </w:tcPr>
          <w:p w14:paraId="0C61714A" w14:textId="77777777" w:rsidR="00BE686D" w:rsidRPr="00545EC0" w:rsidRDefault="00BE686D" w:rsidP="00BE686D">
            <w:pPr>
              <w:spacing w:line="240" w:lineRule="auto"/>
              <w:jc w:val="left"/>
              <w:rPr>
                <w:rFonts w:cs="Arial"/>
                <w:i/>
                <w:sz w:val="18"/>
                <w:szCs w:val="18"/>
              </w:rPr>
            </w:pPr>
            <w:r w:rsidRPr="00545EC0">
              <w:rPr>
                <w:rFonts w:cs="Arial"/>
                <w:i/>
                <w:sz w:val="18"/>
                <w:szCs w:val="18"/>
              </w:rPr>
              <w:t>Varstvo voda, Urejanje voda</w:t>
            </w:r>
          </w:p>
        </w:tc>
        <w:tc>
          <w:tcPr>
            <w:tcW w:w="681" w:type="pct"/>
          </w:tcPr>
          <w:p w14:paraId="1143EC31" w14:textId="77777777" w:rsidR="00BE686D" w:rsidRPr="00545EC0" w:rsidRDefault="00BE686D" w:rsidP="00BE686D">
            <w:pPr>
              <w:spacing w:line="240" w:lineRule="auto"/>
              <w:jc w:val="left"/>
              <w:rPr>
                <w:rFonts w:cs="Arial"/>
                <w:i/>
                <w:sz w:val="18"/>
                <w:szCs w:val="18"/>
              </w:rPr>
            </w:pPr>
            <w:r w:rsidRPr="00545EC0">
              <w:rPr>
                <w:rFonts w:cs="Arial"/>
                <w:i/>
                <w:sz w:val="18"/>
                <w:szCs w:val="18"/>
              </w:rPr>
              <w:t>Upravljanje voda</w:t>
            </w:r>
          </w:p>
        </w:tc>
        <w:tc>
          <w:tcPr>
            <w:tcW w:w="714" w:type="pct"/>
          </w:tcPr>
          <w:p w14:paraId="75C8D223" w14:textId="77777777" w:rsidR="00BE686D" w:rsidRPr="00545EC0" w:rsidRDefault="00BE686D" w:rsidP="00BE686D">
            <w:pPr>
              <w:spacing w:line="240" w:lineRule="auto"/>
              <w:jc w:val="left"/>
              <w:rPr>
                <w:rFonts w:cs="Arial"/>
                <w:i/>
                <w:sz w:val="18"/>
                <w:szCs w:val="18"/>
              </w:rPr>
            </w:pPr>
            <w:r w:rsidRPr="00545EC0">
              <w:rPr>
                <w:rFonts w:cs="Arial"/>
                <w:i/>
                <w:sz w:val="18"/>
                <w:szCs w:val="18"/>
              </w:rPr>
              <w:t>Podaljšan in posodobljen</w:t>
            </w:r>
          </w:p>
        </w:tc>
      </w:tr>
      <w:tr w:rsidR="00BE686D" w:rsidRPr="00545EC0" w14:paraId="0368A304" w14:textId="77777777" w:rsidTr="00BE686D">
        <w:trPr>
          <w:cantSplit/>
          <w:trHeight w:val="300"/>
        </w:trPr>
        <w:tc>
          <w:tcPr>
            <w:tcW w:w="582" w:type="pct"/>
          </w:tcPr>
          <w:p w14:paraId="127368D8" w14:textId="77777777" w:rsidR="00BE686D" w:rsidRPr="00545EC0" w:rsidRDefault="00BE686D" w:rsidP="00BE686D">
            <w:pPr>
              <w:spacing w:line="240" w:lineRule="auto"/>
              <w:jc w:val="left"/>
              <w:rPr>
                <w:rFonts w:cs="Arial"/>
                <w:sz w:val="18"/>
                <w:szCs w:val="18"/>
              </w:rPr>
            </w:pPr>
            <w:r w:rsidRPr="00545EC0">
              <w:rPr>
                <w:rFonts w:cs="Arial"/>
                <w:sz w:val="18"/>
                <w:szCs w:val="18"/>
              </w:rPr>
              <w:t>Temeljni ukrep »a«</w:t>
            </w:r>
          </w:p>
        </w:tc>
        <w:tc>
          <w:tcPr>
            <w:tcW w:w="580" w:type="pct"/>
            <w:shd w:val="clear" w:color="auto" w:fill="auto"/>
          </w:tcPr>
          <w:p w14:paraId="7089E542" w14:textId="77777777" w:rsidR="00BE686D" w:rsidRPr="00545EC0" w:rsidRDefault="00BE686D" w:rsidP="00BE686D">
            <w:pPr>
              <w:spacing w:line="240" w:lineRule="auto"/>
              <w:jc w:val="left"/>
              <w:rPr>
                <w:rFonts w:cs="Arial"/>
                <w:bCs/>
                <w:sz w:val="18"/>
                <w:szCs w:val="18"/>
              </w:rPr>
            </w:pPr>
            <w:r w:rsidRPr="00545EC0">
              <w:rPr>
                <w:rFonts w:cs="Arial"/>
                <w:sz w:val="18"/>
                <w:szCs w:val="18"/>
              </w:rPr>
              <w:t>OS5.1a</w:t>
            </w:r>
          </w:p>
        </w:tc>
        <w:tc>
          <w:tcPr>
            <w:tcW w:w="1669" w:type="pct"/>
            <w:shd w:val="clear" w:color="auto" w:fill="auto"/>
          </w:tcPr>
          <w:p w14:paraId="752CF70E" w14:textId="77777777" w:rsidR="00BE686D" w:rsidRPr="00545EC0" w:rsidRDefault="00BE686D" w:rsidP="00BE686D">
            <w:pPr>
              <w:spacing w:line="240" w:lineRule="auto"/>
              <w:jc w:val="left"/>
              <w:rPr>
                <w:rFonts w:cs="Arial"/>
                <w:sz w:val="18"/>
                <w:szCs w:val="18"/>
              </w:rPr>
            </w:pPr>
            <w:r w:rsidRPr="00545EC0">
              <w:rPr>
                <w:rFonts w:cs="Arial"/>
                <w:sz w:val="18"/>
                <w:szCs w:val="18"/>
              </w:rPr>
              <w:t>Presoja vplivov na okolje - vpliv na stanje voda</w:t>
            </w:r>
          </w:p>
        </w:tc>
        <w:tc>
          <w:tcPr>
            <w:tcW w:w="774" w:type="pct"/>
          </w:tcPr>
          <w:p w14:paraId="590ECB72" w14:textId="77777777" w:rsidR="00BE686D" w:rsidRPr="00545EC0" w:rsidRDefault="00BE686D" w:rsidP="00BE686D">
            <w:pPr>
              <w:spacing w:line="240" w:lineRule="auto"/>
              <w:jc w:val="left"/>
              <w:rPr>
                <w:rFonts w:cs="Arial"/>
                <w:i/>
                <w:sz w:val="18"/>
                <w:szCs w:val="18"/>
              </w:rPr>
            </w:pPr>
            <w:r w:rsidRPr="00545EC0">
              <w:rPr>
                <w:rFonts w:cs="Arial"/>
                <w:i/>
                <w:sz w:val="18"/>
                <w:szCs w:val="18"/>
              </w:rPr>
              <w:t>Varstvo voda</w:t>
            </w:r>
          </w:p>
        </w:tc>
        <w:tc>
          <w:tcPr>
            <w:tcW w:w="681" w:type="pct"/>
          </w:tcPr>
          <w:p w14:paraId="279FBBE4" w14:textId="77777777" w:rsidR="00BE686D" w:rsidRPr="00545EC0" w:rsidRDefault="00BE686D" w:rsidP="00BE686D">
            <w:pPr>
              <w:spacing w:line="240" w:lineRule="auto"/>
              <w:jc w:val="left"/>
              <w:rPr>
                <w:rFonts w:cs="Arial"/>
                <w:i/>
                <w:sz w:val="18"/>
                <w:szCs w:val="18"/>
              </w:rPr>
            </w:pPr>
            <w:r w:rsidRPr="00545EC0">
              <w:rPr>
                <w:rFonts w:cs="Arial"/>
                <w:i/>
                <w:sz w:val="18"/>
                <w:szCs w:val="18"/>
              </w:rPr>
              <w:t>Upravljanje voda</w:t>
            </w:r>
          </w:p>
        </w:tc>
        <w:tc>
          <w:tcPr>
            <w:tcW w:w="714" w:type="pct"/>
          </w:tcPr>
          <w:p w14:paraId="35F7EDC0" w14:textId="77777777" w:rsidR="00BE686D" w:rsidRPr="00545EC0" w:rsidRDefault="00BE686D" w:rsidP="00BE686D">
            <w:pPr>
              <w:spacing w:line="240" w:lineRule="auto"/>
              <w:jc w:val="left"/>
              <w:rPr>
                <w:rFonts w:cs="Arial"/>
                <w:i/>
                <w:sz w:val="18"/>
                <w:szCs w:val="18"/>
              </w:rPr>
            </w:pPr>
            <w:r w:rsidRPr="00545EC0">
              <w:rPr>
                <w:rFonts w:cs="Arial"/>
                <w:i/>
                <w:sz w:val="18"/>
                <w:szCs w:val="18"/>
              </w:rPr>
              <w:t>Podaljšan in posodobljen</w:t>
            </w:r>
          </w:p>
        </w:tc>
      </w:tr>
      <w:tr w:rsidR="00BE686D" w:rsidRPr="00545EC0" w14:paraId="7B5B60EF" w14:textId="77777777" w:rsidTr="00BE686D">
        <w:trPr>
          <w:cantSplit/>
          <w:trHeight w:val="300"/>
        </w:trPr>
        <w:tc>
          <w:tcPr>
            <w:tcW w:w="582" w:type="pct"/>
          </w:tcPr>
          <w:p w14:paraId="60426FC6" w14:textId="77777777" w:rsidR="00BE686D" w:rsidRPr="00545EC0" w:rsidRDefault="00BE686D" w:rsidP="00BE686D">
            <w:pPr>
              <w:spacing w:line="240" w:lineRule="auto"/>
              <w:jc w:val="left"/>
              <w:rPr>
                <w:rFonts w:cs="Arial"/>
                <w:sz w:val="18"/>
                <w:szCs w:val="18"/>
              </w:rPr>
            </w:pPr>
            <w:r w:rsidRPr="00545EC0">
              <w:rPr>
                <w:rFonts w:cs="Arial"/>
                <w:sz w:val="18"/>
                <w:szCs w:val="18"/>
              </w:rPr>
              <w:t>Temeljni ukrep »a«</w:t>
            </w:r>
          </w:p>
        </w:tc>
        <w:tc>
          <w:tcPr>
            <w:tcW w:w="580" w:type="pct"/>
            <w:shd w:val="clear" w:color="auto" w:fill="auto"/>
          </w:tcPr>
          <w:p w14:paraId="6FC6D5EB" w14:textId="77777777" w:rsidR="00BE686D" w:rsidRPr="00545EC0" w:rsidRDefault="00BE686D" w:rsidP="00BE686D">
            <w:pPr>
              <w:spacing w:line="240" w:lineRule="auto"/>
              <w:jc w:val="left"/>
              <w:rPr>
                <w:rFonts w:cs="Arial"/>
                <w:bCs/>
                <w:sz w:val="18"/>
                <w:szCs w:val="18"/>
              </w:rPr>
            </w:pPr>
            <w:r w:rsidRPr="00545EC0">
              <w:rPr>
                <w:rFonts w:cs="Arial"/>
                <w:sz w:val="18"/>
                <w:szCs w:val="18"/>
              </w:rPr>
              <w:t>OS5.2a</w:t>
            </w:r>
          </w:p>
        </w:tc>
        <w:tc>
          <w:tcPr>
            <w:tcW w:w="1669" w:type="pct"/>
            <w:shd w:val="clear" w:color="000000" w:fill="FFFFFF"/>
          </w:tcPr>
          <w:p w14:paraId="3A099427" w14:textId="77777777" w:rsidR="00BE686D" w:rsidRPr="00545EC0" w:rsidRDefault="00BE686D" w:rsidP="00BE686D">
            <w:pPr>
              <w:spacing w:line="240" w:lineRule="auto"/>
              <w:jc w:val="left"/>
              <w:rPr>
                <w:rFonts w:cs="Arial"/>
                <w:sz w:val="18"/>
                <w:szCs w:val="18"/>
              </w:rPr>
            </w:pPr>
            <w:r w:rsidRPr="00545EC0">
              <w:rPr>
                <w:rFonts w:cs="Arial"/>
                <w:sz w:val="18"/>
                <w:szCs w:val="18"/>
              </w:rPr>
              <w:t xml:space="preserve">Program temeljnih ukrepov, sprejetih v zvezi s čezmejno presojo vplivov na okolje  </w:t>
            </w:r>
          </w:p>
        </w:tc>
        <w:tc>
          <w:tcPr>
            <w:tcW w:w="774" w:type="pct"/>
            <w:shd w:val="clear" w:color="000000" w:fill="FFFFFF"/>
          </w:tcPr>
          <w:p w14:paraId="1C8578B5" w14:textId="77777777" w:rsidR="00BE686D" w:rsidRPr="00545EC0" w:rsidRDefault="00BE686D" w:rsidP="00BE686D">
            <w:pPr>
              <w:spacing w:line="240" w:lineRule="auto"/>
              <w:jc w:val="left"/>
              <w:rPr>
                <w:rFonts w:cs="Arial"/>
                <w:i/>
                <w:sz w:val="18"/>
                <w:szCs w:val="18"/>
              </w:rPr>
            </w:pPr>
            <w:r w:rsidRPr="00545EC0">
              <w:rPr>
                <w:rFonts w:cs="Arial"/>
                <w:i/>
                <w:sz w:val="18"/>
                <w:szCs w:val="18"/>
              </w:rPr>
              <w:t>Varstvo voda</w:t>
            </w:r>
          </w:p>
        </w:tc>
        <w:tc>
          <w:tcPr>
            <w:tcW w:w="681" w:type="pct"/>
            <w:shd w:val="clear" w:color="000000" w:fill="FFFFFF"/>
          </w:tcPr>
          <w:p w14:paraId="477477BE" w14:textId="77777777" w:rsidR="00BE686D" w:rsidRPr="00545EC0" w:rsidRDefault="00BE686D" w:rsidP="00BE686D">
            <w:pPr>
              <w:spacing w:line="240" w:lineRule="auto"/>
              <w:jc w:val="left"/>
              <w:rPr>
                <w:rFonts w:cs="Arial"/>
                <w:i/>
                <w:sz w:val="18"/>
                <w:szCs w:val="18"/>
              </w:rPr>
            </w:pPr>
            <w:r w:rsidRPr="00545EC0">
              <w:rPr>
                <w:rFonts w:cs="Arial"/>
                <w:i/>
                <w:sz w:val="18"/>
                <w:szCs w:val="18"/>
              </w:rPr>
              <w:t>Upravljanje voda</w:t>
            </w:r>
          </w:p>
        </w:tc>
        <w:tc>
          <w:tcPr>
            <w:tcW w:w="714" w:type="pct"/>
            <w:shd w:val="clear" w:color="000000" w:fill="FFFFFF"/>
          </w:tcPr>
          <w:p w14:paraId="5A229282" w14:textId="77777777" w:rsidR="00BE686D" w:rsidRPr="00545EC0" w:rsidRDefault="00BE686D" w:rsidP="00BE686D">
            <w:pPr>
              <w:spacing w:line="240" w:lineRule="auto"/>
              <w:jc w:val="left"/>
              <w:rPr>
                <w:rFonts w:cs="Arial"/>
                <w:i/>
                <w:sz w:val="18"/>
                <w:szCs w:val="18"/>
              </w:rPr>
            </w:pPr>
            <w:r w:rsidRPr="00545EC0">
              <w:rPr>
                <w:rFonts w:cs="Arial"/>
                <w:i/>
                <w:sz w:val="18"/>
                <w:szCs w:val="18"/>
              </w:rPr>
              <w:t>Podaljšan in posodobljen</w:t>
            </w:r>
          </w:p>
        </w:tc>
      </w:tr>
      <w:tr w:rsidR="00BE686D" w:rsidRPr="00545EC0" w14:paraId="0FD43628" w14:textId="77777777" w:rsidTr="00BE686D">
        <w:trPr>
          <w:cantSplit/>
          <w:trHeight w:val="300"/>
        </w:trPr>
        <w:tc>
          <w:tcPr>
            <w:tcW w:w="582" w:type="pct"/>
          </w:tcPr>
          <w:p w14:paraId="7BA2BD9C" w14:textId="77777777" w:rsidR="00BE686D" w:rsidRPr="00545EC0" w:rsidRDefault="00BE686D" w:rsidP="00BE686D">
            <w:pPr>
              <w:spacing w:line="240" w:lineRule="auto"/>
              <w:jc w:val="left"/>
              <w:rPr>
                <w:rFonts w:cs="Arial"/>
                <w:sz w:val="18"/>
                <w:szCs w:val="18"/>
              </w:rPr>
            </w:pPr>
            <w:r w:rsidRPr="00545EC0">
              <w:rPr>
                <w:rFonts w:cs="Arial"/>
                <w:sz w:val="18"/>
                <w:szCs w:val="18"/>
              </w:rPr>
              <w:t>Temeljni ukrep »a«</w:t>
            </w:r>
          </w:p>
        </w:tc>
        <w:tc>
          <w:tcPr>
            <w:tcW w:w="580" w:type="pct"/>
            <w:shd w:val="clear" w:color="auto" w:fill="auto"/>
            <w:hideMark/>
          </w:tcPr>
          <w:p w14:paraId="2D511591" w14:textId="77777777" w:rsidR="00BE686D" w:rsidRPr="00545EC0" w:rsidRDefault="00BE686D" w:rsidP="00BE686D">
            <w:pPr>
              <w:spacing w:line="240" w:lineRule="auto"/>
              <w:jc w:val="left"/>
              <w:rPr>
                <w:rFonts w:cs="Arial"/>
                <w:sz w:val="18"/>
                <w:szCs w:val="18"/>
              </w:rPr>
            </w:pPr>
            <w:r w:rsidRPr="00545EC0">
              <w:rPr>
                <w:rFonts w:cs="Arial"/>
                <w:sz w:val="18"/>
                <w:szCs w:val="18"/>
              </w:rPr>
              <w:t>OS6a</w:t>
            </w:r>
          </w:p>
        </w:tc>
        <w:tc>
          <w:tcPr>
            <w:tcW w:w="1669" w:type="pct"/>
            <w:shd w:val="clear" w:color="auto" w:fill="auto"/>
          </w:tcPr>
          <w:p w14:paraId="1AB513F3" w14:textId="77777777" w:rsidR="00BE686D" w:rsidRPr="00545EC0" w:rsidRDefault="00BE686D" w:rsidP="00BE686D">
            <w:pPr>
              <w:spacing w:line="240" w:lineRule="auto"/>
              <w:jc w:val="left"/>
              <w:rPr>
                <w:rFonts w:cs="Arial"/>
                <w:sz w:val="18"/>
                <w:szCs w:val="18"/>
              </w:rPr>
            </w:pPr>
            <w:r w:rsidRPr="00545EC0">
              <w:rPr>
                <w:rFonts w:cs="Arial"/>
                <w:sz w:val="18"/>
                <w:szCs w:val="18"/>
              </w:rPr>
              <w:t>Monitoring površinskih in podzemnih voda</w:t>
            </w:r>
          </w:p>
        </w:tc>
        <w:tc>
          <w:tcPr>
            <w:tcW w:w="774" w:type="pct"/>
          </w:tcPr>
          <w:p w14:paraId="2FCB1490" w14:textId="77777777" w:rsidR="00BE686D" w:rsidRPr="00545EC0" w:rsidRDefault="00BE686D" w:rsidP="00BE686D">
            <w:pPr>
              <w:spacing w:line="240" w:lineRule="auto"/>
              <w:jc w:val="left"/>
              <w:rPr>
                <w:rFonts w:cs="Arial"/>
                <w:i/>
                <w:sz w:val="18"/>
                <w:szCs w:val="18"/>
              </w:rPr>
            </w:pPr>
            <w:r w:rsidRPr="00545EC0">
              <w:rPr>
                <w:rFonts w:cs="Arial"/>
                <w:i/>
                <w:sz w:val="18"/>
                <w:szCs w:val="18"/>
              </w:rPr>
              <w:t>Varstvo voda</w:t>
            </w:r>
          </w:p>
        </w:tc>
        <w:tc>
          <w:tcPr>
            <w:tcW w:w="681" w:type="pct"/>
          </w:tcPr>
          <w:p w14:paraId="1CE0B680" w14:textId="77777777" w:rsidR="00BE686D" w:rsidRPr="00545EC0" w:rsidRDefault="00BE686D" w:rsidP="00BE686D">
            <w:pPr>
              <w:spacing w:line="240" w:lineRule="auto"/>
              <w:jc w:val="left"/>
              <w:rPr>
                <w:rFonts w:cs="Arial"/>
                <w:i/>
                <w:sz w:val="18"/>
                <w:szCs w:val="18"/>
              </w:rPr>
            </w:pPr>
            <w:r w:rsidRPr="00545EC0">
              <w:rPr>
                <w:rFonts w:cs="Arial"/>
                <w:i/>
                <w:sz w:val="18"/>
                <w:szCs w:val="18"/>
              </w:rPr>
              <w:t>Upravljanje voda</w:t>
            </w:r>
          </w:p>
        </w:tc>
        <w:tc>
          <w:tcPr>
            <w:tcW w:w="714" w:type="pct"/>
          </w:tcPr>
          <w:p w14:paraId="73C60C56" w14:textId="77777777" w:rsidR="00BE686D" w:rsidRPr="00545EC0" w:rsidRDefault="00BE686D" w:rsidP="00BE686D">
            <w:pPr>
              <w:spacing w:line="240" w:lineRule="auto"/>
              <w:jc w:val="left"/>
              <w:rPr>
                <w:rFonts w:cs="Arial"/>
                <w:i/>
                <w:sz w:val="18"/>
                <w:szCs w:val="18"/>
              </w:rPr>
            </w:pPr>
            <w:r w:rsidRPr="00545EC0">
              <w:rPr>
                <w:rFonts w:cs="Arial"/>
                <w:i/>
                <w:sz w:val="18"/>
                <w:szCs w:val="18"/>
              </w:rPr>
              <w:t>Podaljšan in posodobljen</w:t>
            </w:r>
          </w:p>
        </w:tc>
      </w:tr>
      <w:tr w:rsidR="00BE686D" w:rsidRPr="00545EC0" w14:paraId="406A8D73" w14:textId="77777777" w:rsidTr="00BE686D">
        <w:trPr>
          <w:cantSplit/>
          <w:trHeight w:val="300"/>
        </w:trPr>
        <w:tc>
          <w:tcPr>
            <w:tcW w:w="582" w:type="pct"/>
          </w:tcPr>
          <w:p w14:paraId="5B2E5A32" w14:textId="77777777" w:rsidR="00BE686D" w:rsidRPr="00545EC0" w:rsidRDefault="00BE686D" w:rsidP="00BE686D">
            <w:pPr>
              <w:spacing w:line="240" w:lineRule="auto"/>
              <w:jc w:val="left"/>
              <w:rPr>
                <w:rFonts w:cs="Arial"/>
                <w:sz w:val="18"/>
                <w:szCs w:val="18"/>
              </w:rPr>
            </w:pPr>
            <w:r w:rsidRPr="00545EC0">
              <w:rPr>
                <w:rFonts w:cs="Arial"/>
                <w:sz w:val="18"/>
                <w:szCs w:val="18"/>
              </w:rPr>
              <w:t>Temeljni ukrep »a«</w:t>
            </w:r>
          </w:p>
        </w:tc>
        <w:tc>
          <w:tcPr>
            <w:tcW w:w="580" w:type="pct"/>
            <w:shd w:val="clear" w:color="auto" w:fill="auto"/>
            <w:hideMark/>
          </w:tcPr>
          <w:p w14:paraId="1C471CD0" w14:textId="77777777" w:rsidR="00BE686D" w:rsidRPr="00545EC0" w:rsidRDefault="00BE686D" w:rsidP="00BE686D">
            <w:pPr>
              <w:spacing w:line="240" w:lineRule="auto"/>
              <w:jc w:val="left"/>
              <w:rPr>
                <w:rFonts w:cs="Arial"/>
                <w:sz w:val="18"/>
                <w:szCs w:val="18"/>
              </w:rPr>
            </w:pPr>
            <w:r w:rsidRPr="00545EC0">
              <w:rPr>
                <w:rFonts w:cs="Arial"/>
                <w:sz w:val="18"/>
                <w:szCs w:val="18"/>
              </w:rPr>
              <w:t>OS9a</w:t>
            </w:r>
          </w:p>
        </w:tc>
        <w:tc>
          <w:tcPr>
            <w:tcW w:w="1669" w:type="pct"/>
            <w:shd w:val="clear" w:color="auto" w:fill="auto"/>
          </w:tcPr>
          <w:p w14:paraId="6F291992" w14:textId="77777777" w:rsidR="00BE686D" w:rsidRPr="00545EC0" w:rsidRDefault="00BE686D" w:rsidP="00BE686D">
            <w:pPr>
              <w:spacing w:line="240" w:lineRule="auto"/>
              <w:jc w:val="left"/>
              <w:rPr>
                <w:rFonts w:cs="Arial"/>
                <w:sz w:val="18"/>
                <w:szCs w:val="18"/>
              </w:rPr>
            </w:pPr>
            <w:r w:rsidRPr="00545EC0">
              <w:rPr>
                <w:rFonts w:cs="Arial"/>
                <w:sz w:val="18"/>
                <w:szCs w:val="18"/>
              </w:rPr>
              <w:t>Inšpekcijski nadzor nad obremenjevanjem voda</w:t>
            </w:r>
          </w:p>
        </w:tc>
        <w:tc>
          <w:tcPr>
            <w:tcW w:w="774" w:type="pct"/>
          </w:tcPr>
          <w:p w14:paraId="16C6F738" w14:textId="77777777" w:rsidR="00BE686D" w:rsidRPr="00545EC0" w:rsidRDefault="00BE686D" w:rsidP="00BE686D">
            <w:pPr>
              <w:spacing w:line="240" w:lineRule="auto"/>
              <w:jc w:val="left"/>
              <w:rPr>
                <w:rFonts w:cs="Arial"/>
                <w:i/>
                <w:sz w:val="18"/>
                <w:szCs w:val="18"/>
              </w:rPr>
            </w:pPr>
            <w:r w:rsidRPr="00545EC0">
              <w:rPr>
                <w:rFonts w:cs="Arial"/>
                <w:i/>
                <w:sz w:val="18"/>
                <w:szCs w:val="18"/>
              </w:rPr>
              <w:t>Varstvo voda, Raba voda, Urejanje voda</w:t>
            </w:r>
          </w:p>
        </w:tc>
        <w:tc>
          <w:tcPr>
            <w:tcW w:w="681" w:type="pct"/>
          </w:tcPr>
          <w:p w14:paraId="6A06D883" w14:textId="77777777" w:rsidR="00BE686D" w:rsidRPr="00545EC0" w:rsidRDefault="00BE686D" w:rsidP="00BE686D">
            <w:pPr>
              <w:spacing w:line="240" w:lineRule="auto"/>
              <w:jc w:val="left"/>
              <w:rPr>
                <w:rFonts w:cs="Arial"/>
                <w:i/>
                <w:sz w:val="18"/>
                <w:szCs w:val="18"/>
              </w:rPr>
            </w:pPr>
            <w:r w:rsidRPr="00545EC0">
              <w:rPr>
                <w:rFonts w:cs="Arial"/>
                <w:i/>
                <w:sz w:val="18"/>
                <w:szCs w:val="18"/>
              </w:rPr>
              <w:t>Upravljanje voda</w:t>
            </w:r>
          </w:p>
        </w:tc>
        <w:tc>
          <w:tcPr>
            <w:tcW w:w="714" w:type="pct"/>
          </w:tcPr>
          <w:p w14:paraId="23AD0A22" w14:textId="77777777" w:rsidR="00BE686D" w:rsidRPr="00545EC0" w:rsidRDefault="00BE686D" w:rsidP="00BE686D">
            <w:pPr>
              <w:spacing w:line="240" w:lineRule="auto"/>
              <w:jc w:val="left"/>
              <w:rPr>
                <w:rFonts w:cs="Arial"/>
                <w:i/>
                <w:sz w:val="18"/>
                <w:szCs w:val="18"/>
              </w:rPr>
            </w:pPr>
            <w:r w:rsidRPr="00545EC0">
              <w:rPr>
                <w:rFonts w:cs="Arial"/>
                <w:i/>
                <w:sz w:val="18"/>
                <w:szCs w:val="18"/>
              </w:rPr>
              <w:t>Podaljšan in posodobljen</w:t>
            </w:r>
          </w:p>
        </w:tc>
      </w:tr>
      <w:tr w:rsidR="00BE686D" w:rsidRPr="00545EC0" w14:paraId="1466A96D" w14:textId="77777777" w:rsidTr="00BE686D">
        <w:trPr>
          <w:cantSplit/>
          <w:trHeight w:val="300"/>
        </w:trPr>
        <w:tc>
          <w:tcPr>
            <w:tcW w:w="582" w:type="pct"/>
          </w:tcPr>
          <w:p w14:paraId="52C1391C" w14:textId="77777777" w:rsidR="00BE686D" w:rsidRPr="00545EC0" w:rsidRDefault="00BE686D" w:rsidP="00BE686D">
            <w:pPr>
              <w:spacing w:line="240" w:lineRule="auto"/>
              <w:jc w:val="left"/>
              <w:rPr>
                <w:rFonts w:cs="Arial"/>
                <w:sz w:val="18"/>
                <w:szCs w:val="18"/>
              </w:rPr>
            </w:pPr>
            <w:r w:rsidRPr="00545EC0">
              <w:rPr>
                <w:rFonts w:cs="Arial"/>
                <w:sz w:val="18"/>
                <w:szCs w:val="18"/>
              </w:rPr>
              <w:t>Temeljni ukrep »b«</w:t>
            </w:r>
          </w:p>
        </w:tc>
        <w:tc>
          <w:tcPr>
            <w:tcW w:w="580" w:type="pct"/>
            <w:shd w:val="clear" w:color="auto" w:fill="auto"/>
          </w:tcPr>
          <w:p w14:paraId="59B8DA30" w14:textId="77777777" w:rsidR="00BE686D" w:rsidRPr="00545EC0" w:rsidRDefault="00BE686D" w:rsidP="00BE686D">
            <w:pPr>
              <w:spacing w:line="240" w:lineRule="auto"/>
              <w:jc w:val="left"/>
              <w:rPr>
                <w:rFonts w:cs="Arial"/>
                <w:sz w:val="18"/>
                <w:szCs w:val="18"/>
              </w:rPr>
            </w:pPr>
            <w:r w:rsidRPr="00545EC0">
              <w:rPr>
                <w:rFonts w:cs="Arial"/>
                <w:sz w:val="18"/>
                <w:szCs w:val="18"/>
              </w:rPr>
              <w:t>OS9b</w:t>
            </w:r>
          </w:p>
        </w:tc>
        <w:tc>
          <w:tcPr>
            <w:tcW w:w="1669" w:type="pct"/>
            <w:shd w:val="clear" w:color="auto" w:fill="auto"/>
          </w:tcPr>
          <w:p w14:paraId="2397364F" w14:textId="77777777" w:rsidR="00BE686D" w:rsidRPr="00545EC0" w:rsidRDefault="00BE686D" w:rsidP="00BE686D">
            <w:pPr>
              <w:spacing w:line="240" w:lineRule="auto"/>
              <w:jc w:val="left"/>
              <w:rPr>
                <w:rFonts w:cs="Arial"/>
                <w:sz w:val="18"/>
                <w:szCs w:val="18"/>
              </w:rPr>
            </w:pPr>
            <w:r w:rsidRPr="00545EC0">
              <w:rPr>
                <w:rFonts w:cs="Arial"/>
                <w:sz w:val="18"/>
                <w:szCs w:val="18"/>
              </w:rPr>
              <w:t xml:space="preserve">Usmeritev inšpekcijskega nadzora </w:t>
            </w:r>
          </w:p>
        </w:tc>
        <w:tc>
          <w:tcPr>
            <w:tcW w:w="774" w:type="pct"/>
          </w:tcPr>
          <w:p w14:paraId="7B0B4A7D" w14:textId="77777777" w:rsidR="00BE686D" w:rsidRPr="00545EC0" w:rsidRDefault="00BE686D" w:rsidP="00BE686D">
            <w:pPr>
              <w:spacing w:line="240" w:lineRule="auto"/>
              <w:jc w:val="left"/>
              <w:rPr>
                <w:rFonts w:cs="Arial"/>
                <w:i/>
                <w:sz w:val="18"/>
                <w:szCs w:val="18"/>
              </w:rPr>
            </w:pPr>
            <w:r w:rsidRPr="00545EC0">
              <w:rPr>
                <w:rFonts w:cs="Arial"/>
                <w:i/>
                <w:sz w:val="18"/>
                <w:szCs w:val="18"/>
              </w:rPr>
              <w:t>Varstvo voda, Raba voda, Urejanje voda</w:t>
            </w:r>
          </w:p>
        </w:tc>
        <w:tc>
          <w:tcPr>
            <w:tcW w:w="681" w:type="pct"/>
          </w:tcPr>
          <w:p w14:paraId="7B359CC9" w14:textId="77777777" w:rsidR="00BE686D" w:rsidRPr="00545EC0" w:rsidRDefault="00BE686D" w:rsidP="00BE686D">
            <w:pPr>
              <w:spacing w:line="240" w:lineRule="auto"/>
              <w:jc w:val="left"/>
              <w:rPr>
                <w:rFonts w:cs="Arial"/>
                <w:i/>
                <w:sz w:val="18"/>
                <w:szCs w:val="18"/>
              </w:rPr>
            </w:pPr>
            <w:r w:rsidRPr="00545EC0">
              <w:rPr>
                <w:rFonts w:cs="Arial"/>
                <w:i/>
                <w:sz w:val="18"/>
                <w:szCs w:val="18"/>
              </w:rPr>
              <w:t>Upravljanje voda</w:t>
            </w:r>
          </w:p>
        </w:tc>
        <w:tc>
          <w:tcPr>
            <w:tcW w:w="714" w:type="pct"/>
          </w:tcPr>
          <w:p w14:paraId="52CCC321" w14:textId="77777777" w:rsidR="00BE686D" w:rsidRPr="00545EC0" w:rsidRDefault="00BE686D" w:rsidP="00BE686D">
            <w:pPr>
              <w:spacing w:line="240" w:lineRule="auto"/>
              <w:jc w:val="left"/>
              <w:rPr>
                <w:rFonts w:cs="Arial"/>
                <w:i/>
                <w:sz w:val="18"/>
                <w:szCs w:val="18"/>
              </w:rPr>
            </w:pPr>
            <w:r w:rsidRPr="00545EC0">
              <w:rPr>
                <w:rFonts w:cs="Arial"/>
                <w:i/>
                <w:sz w:val="18"/>
                <w:szCs w:val="18"/>
              </w:rPr>
              <w:t>Podaljšan in posodobljen</w:t>
            </w:r>
          </w:p>
        </w:tc>
      </w:tr>
      <w:tr w:rsidR="00BE686D" w:rsidRPr="00545EC0" w14:paraId="5DFE6608" w14:textId="77777777" w:rsidTr="00BE686D">
        <w:trPr>
          <w:cantSplit/>
          <w:trHeight w:val="300"/>
        </w:trPr>
        <w:tc>
          <w:tcPr>
            <w:tcW w:w="582" w:type="pct"/>
          </w:tcPr>
          <w:p w14:paraId="417E654F" w14:textId="77777777" w:rsidR="00BE686D" w:rsidRPr="00545EC0" w:rsidRDefault="00BE686D" w:rsidP="00BE686D">
            <w:pPr>
              <w:spacing w:line="240" w:lineRule="auto"/>
              <w:jc w:val="left"/>
              <w:rPr>
                <w:rFonts w:cs="Arial"/>
                <w:sz w:val="18"/>
                <w:szCs w:val="18"/>
              </w:rPr>
            </w:pPr>
            <w:r w:rsidRPr="00545EC0">
              <w:rPr>
                <w:rFonts w:cs="Arial"/>
                <w:sz w:val="18"/>
                <w:szCs w:val="18"/>
              </w:rPr>
              <w:t>Temeljni ukrep »a«</w:t>
            </w:r>
          </w:p>
        </w:tc>
        <w:tc>
          <w:tcPr>
            <w:tcW w:w="580" w:type="pct"/>
            <w:shd w:val="clear" w:color="auto" w:fill="auto"/>
            <w:hideMark/>
          </w:tcPr>
          <w:p w14:paraId="29014FB5" w14:textId="77777777" w:rsidR="00BE686D" w:rsidRPr="00545EC0" w:rsidRDefault="00BE686D" w:rsidP="00BE686D">
            <w:pPr>
              <w:spacing w:line="240" w:lineRule="auto"/>
              <w:jc w:val="left"/>
              <w:rPr>
                <w:rFonts w:cs="Arial"/>
                <w:sz w:val="18"/>
                <w:szCs w:val="18"/>
              </w:rPr>
            </w:pPr>
            <w:r w:rsidRPr="00545EC0">
              <w:rPr>
                <w:rFonts w:cs="Arial"/>
                <w:sz w:val="18"/>
                <w:szCs w:val="18"/>
              </w:rPr>
              <w:t>OS11a</w:t>
            </w:r>
          </w:p>
        </w:tc>
        <w:tc>
          <w:tcPr>
            <w:tcW w:w="1669" w:type="pct"/>
            <w:shd w:val="clear" w:color="auto" w:fill="auto"/>
          </w:tcPr>
          <w:p w14:paraId="325B9B96" w14:textId="77777777" w:rsidR="00BE686D" w:rsidRPr="00545EC0" w:rsidRDefault="00BE686D" w:rsidP="00BE686D">
            <w:pPr>
              <w:spacing w:line="240" w:lineRule="auto"/>
              <w:jc w:val="left"/>
              <w:rPr>
                <w:rFonts w:cs="Arial"/>
                <w:sz w:val="18"/>
                <w:szCs w:val="18"/>
              </w:rPr>
            </w:pPr>
            <w:r w:rsidRPr="00545EC0">
              <w:rPr>
                <w:rFonts w:cs="Arial"/>
                <w:sz w:val="18"/>
                <w:szCs w:val="18"/>
              </w:rPr>
              <w:t>Zdravstveno ustrezna pitna voda</w:t>
            </w:r>
          </w:p>
        </w:tc>
        <w:tc>
          <w:tcPr>
            <w:tcW w:w="774" w:type="pct"/>
          </w:tcPr>
          <w:p w14:paraId="7F6C923E" w14:textId="77777777" w:rsidR="00BE686D" w:rsidRPr="00545EC0" w:rsidRDefault="00BE686D" w:rsidP="00BE686D">
            <w:pPr>
              <w:spacing w:line="240" w:lineRule="auto"/>
              <w:jc w:val="left"/>
              <w:rPr>
                <w:rFonts w:cs="Arial"/>
                <w:i/>
                <w:sz w:val="18"/>
                <w:szCs w:val="18"/>
              </w:rPr>
            </w:pPr>
            <w:r w:rsidRPr="00545EC0">
              <w:rPr>
                <w:rFonts w:cs="Arial"/>
                <w:i/>
                <w:sz w:val="18"/>
                <w:szCs w:val="18"/>
              </w:rPr>
              <w:t>Varstvo voda, Raba voda,</w:t>
            </w:r>
          </w:p>
        </w:tc>
        <w:tc>
          <w:tcPr>
            <w:tcW w:w="681" w:type="pct"/>
          </w:tcPr>
          <w:p w14:paraId="0333630B" w14:textId="77777777" w:rsidR="00BE686D" w:rsidRPr="00545EC0" w:rsidRDefault="00BE686D" w:rsidP="00BE686D">
            <w:pPr>
              <w:spacing w:line="240" w:lineRule="auto"/>
              <w:jc w:val="left"/>
              <w:rPr>
                <w:rFonts w:cs="Arial"/>
                <w:i/>
                <w:sz w:val="18"/>
                <w:szCs w:val="18"/>
              </w:rPr>
            </w:pPr>
            <w:r w:rsidRPr="00545EC0">
              <w:rPr>
                <w:rFonts w:cs="Arial"/>
                <w:i/>
                <w:sz w:val="18"/>
                <w:szCs w:val="18"/>
              </w:rPr>
              <w:t>Upravljanje voda</w:t>
            </w:r>
          </w:p>
        </w:tc>
        <w:tc>
          <w:tcPr>
            <w:tcW w:w="714" w:type="pct"/>
          </w:tcPr>
          <w:p w14:paraId="656B3C8A" w14:textId="77777777" w:rsidR="00BE686D" w:rsidRPr="00545EC0" w:rsidRDefault="00BE686D" w:rsidP="00BE686D">
            <w:pPr>
              <w:spacing w:line="240" w:lineRule="auto"/>
              <w:jc w:val="left"/>
              <w:rPr>
                <w:rFonts w:cs="Arial"/>
                <w:i/>
                <w:sz w:val="18"/>
                <w:szCs w:val="18"/>
              </w:rPr>
            </w:pPr>
            <w:r w:rsidRPr="00545EC0">
              <w:rPr>
                <w:rFonts w:cs="Arial"/>
                <w:i/>
                <w:sz w:val="18"/>
                <w:szCs w:val="18"/>
              </w:rPr>
              <w:t>Podaljšan in posodobljen</w:t>
            </w:r>
          </w:p>
        </w:tc>
      </w:tr>
      <w:tr w:rsidR="00BE686D" w:rsidRPr="00545EC0" w14:paraId="2CDB21B8" w14:textId="77777777" w:rsidTr="00BE686D">
        <w:trPr>
          <w:cantSplit/>
          <w:trHeight w:val="300"/>
        </w:trPr>
        <w:tc>
          <w:tcPr>
            <w:tcW w:w="582" w:type="pct"/>
          </w:tcPr>
          <w:p w14:paraId="039D20F8" w14:textId="77777777" w:rsidR="00BE686D" w:rsidRPr="00545EC0" w:rsidRDefault="00BE686D" w:rsidP="00BE686D">
            <w:pPr>
              <w:spacing w:line="240" w:lineRule="auto"/>
              <w:jc w:val="left"/>
              <w:rPr>
                <w:rFonts w:cs="Arial"/>
                <w:sz w:val="18"/>
                <w:szCs w:val="18"/>
              </w:rPr>
            </w:pPr>
            <w:r w:rsidRPr="00545EC0">
              <w:rPr>
                <w:rFonts w:cs="Arial"/>
                <w:sz w:val="18"/>
                <w:szCs w:val="18"/>
              </w:rPr>
              <w:t>Temeljni ukrep »a«</w:t>
            </w:r>
          </w:p>
        </w:tc>
        <w:tc>
          <w:tcPr>
            <w:tcW w:w="580" w:type="pct"/>
            <w:shd w:val="clear" w:color="auto" w:fill="auto"/>
            <w:hideMark/>
          </w:tcPr>
          <w:p w14:paraId="3E067853" w14:textId="77777777" w:rsidR="00BE686D" w:rsidRPr="00545EC0" w:rsidRDefault="00BE686D" w:rsidP="00BE686D">
            <w:pPr>
              <w:spacing w:line="240" w:lineRule="auto"/>
              <w:jc w:val="left"/>
              <w:rPr>
                <w:rFonts w:cs="Arial"/>
                <w:sz w:val="18"/>
                <w:szCs w:val="18"/>
              </w:rPr>
            </w:pPr>
            <w:r w:rsidRPr="00545EC0">
              <w:rPr>
                <w:rFonts w:cs="Arial"/>
                <w:sz w:val="18"/>
                <w:szCs w:val="18"/>
              </w:rPr>
              <w:t>R1a</w:t>
            </w:r>
          </w:p>
        </w:tc>
        <w:tc>
          <w:tcPr>
            <w:tcW w:w="1669" w:type="pct"/>
            <w:shd w:val="clear" w:color="auto" w:fill="auto"/>
          </w:tcPr>
          <w:p w14:paraId="1942E4C4" w14:textId="77777777" w:rsidR="00BE686D" w:rsidRPr="00545EC0" w:rsidRDefault="00BE686D" w:rsidP="00BE686D">
            <w:pPr>
              <w:spacing w:line="240" w:lineRule="auto"/>
              <w:jc w:val="left"/>
              <w:rPr>
                <w:rFonts w:cs="Arial"/>
                <w:sz w:val="18"/>
                <w:szCs w:val="18"/>
              </w:rPr>
            </w:pPr>
            <w:r w:rsidRPr="00545EC0">
              <w:rPr>
                <w:rFonts w:cs="Arial"/>
                <w:sz w:val="18"/>
                <w:szCs w:val="18"/>
              </w:rPr>
              <w:t>Sistem podeljevanja vodnih pravic</w:t>
            </w:r>
          </w:p>
        </w:tc>
        <w:tc>
          <w:tcPr>
            <w:tcW w:w="774" w:type="pct"/>
          </w:tcPr>
          <w:p w14:paraId="364EFA29" w14:textId="77777777" w:rsidR="00BE686D" w:rsidRPr="00545EC0" w:rsidRDefault="00BE686D" w:rsidP="00BE686D">
            <w:pPr>
              <w:spacing w:line="240" w:lineRule="auto"/>
              <w:jc w:val="left"/>
              <w:rPr>
                <w:rFonts w:cs="Arial"/>
                <w:i/>
                <w:sz w:val="18"/>
                <w:szCs w:val="18"/>
              </w:rPr>
            </w:pPr>
            <w:r w:rsidRPr="00545EC0">
              <w:rPr>
                <w:rFonts w:cs="Arial"/>
                <w:i/>
                <w:sz w:val="18"/>
                <w:szCs w:val="18"/>
              </w:rPr>
              <w:t>Varstvo voda, Raba voda,</w:t>
            </w:r>
          </w:p>
        </w:tc>
        <w:tc>
          <w:tcPr>
            <w:tcW w:w="681" w:type="pct"/>
          </w:tcPr>
          <w:p w14:paraId="0EDFD143" w14:textId="77777777" w:rsidR="00BE686D" w:rsidRPr="00545EC0" w:rsidRDefault="00BE686D" w:rsidP="00BE686D">
            <w:pPr>
              <w:spacing w:line="240" w:lineRule="auto"/>
              <w:jc w:val="left"/>
              <w:rPr>
                <w:rFonts w:cs="Arial"/>
                <w:i/>
                <w:sz w:val="18"/>
                <w:szCs w:val="18"/>
              </w:rPr>
            </w:pPr>
            <w:r w:rsidRPr="00545EC0">
              <w:rPr>
                <w:rFonts w:cs="Arial"/>
                <w:i/>
                <w:sz w:val="18"/>
                <w:szCs w:val="18"/>
              </w:rPr>
              <w:t>Raba voda</w:t>
            </w:r>
          </w:p>
        </w:tc>
        <w:tc>
          <w:tcPr>
            <w:tcW w:w="714" w:type="pct"/>
          </w:tcPr>
          <w:p w14:paraId="3B6BAD10" w14:textId="77777777" w:rsidR="00BE686D" w:rsidRPr="00545EC0" w:rsidRDefault="00BE686D" w:rsidP="00BE686D">
            <w:pPr>
              <w:spacing w:line="240" w:lineRule="auto"/>
              <w:jc w:val="left"/>
              <w:rPr>
                <w:rFonts w:cs="Arial"/>
                <w:i/>
                <w:sz w:val="18"/>
                <w:szCs w:val="18"/>
              </w:rPr>
            </w:pPr>
            <w:r w:rsidRPr="00545EC0">
              <w:rPr>
                <w:rFonts w:cs="Arial"/>
                <w:i/>
                <w:sz w:val="18"/>
                <w:szCs w:val="18"/>
              </w:rPr>
              <w:t>Podaljšan in posodobljen</w:t>
            </w:r>
          </w:p>
        </w:tc>
      </w:tr>
      <w:tr w:rsidR="00BE686D" w:rsidRPr="00545EC0" w14:paraId="316D77CD" w14:textId="77777777" w:rsidTr="00BE686D">
        <w:trPr>
          <w:cantSplit/>
          <w:trHeight w:val="300"/>
        </w:trPr>
        <w:tc>
          <w:tcPr>
            <w:tcW w:w="582" w:type="pct"/>
          </w:tcPr>
          <w:p w14:paraId="6DA960B0" w14:textId="77777777" w:rsidR="00BE686D" w:rsidRPr="00545EC0" w:rsidRDefault="00BE686D" w:rsidP="00BE686D">
            <w:pPr>
              <w:spacing w:line="240" w:lineRule="auto"/>
              <w:jc w:val="left"/>
              <w:rPr>
                <w:rFonts w:cs="Arial"/>
                <w:sz w:val="18"/>
                <w:szCs w:val="18"/>
              </w:rPr>
            </w:pPr>
            <w:r w:rsidRPr="00545EC0">
              <w:rPr>
                <w:rFonts w:cs="Arial"/>
                <w:sz w:val="18"/>
                <w:szCs w:val="18"/>
              </w:rPr>
              <w:t>Temeljni ukrep »b«</w:t>
            </w:r>
          </w:p>
        </w:tc>
        <w:tc>
          <w:tcPr>
            <w:tcW w:w="580" w:type="pct"/>
            <w:shd w:val="clear" w:color="auto" w:fill="auto"/>
            <w:hideMark/>
          </w:tcPr>
          <w:p w14:paraId="15EF3FC5" w14:textId="77777777" w:rsidR="00BE686D" w:rsidRPr="00545EC0" w:rsidRDefault="00BE686D" w:rsidP="00BE686D">
            <w:pPr>
              <w:spacing w:line="240" w:lineRule="auto"/>
              <w:jc w:val="left"/>
              <w:rPr>
                <w:rFonts w:cs="Arial"/>
                <w:sz w:val="18"/>
                <w:szCs w:val="18"/>
              </w:rPr>
            </w:pPr>
            <w:r w:rsidRPr="00545EC0">
              <w:rPr>
                <w:rFonts w:cs="Arial"/>
                <w:sz w:val="18"/>
                <w:szCs w:val="18"/>
              </w:rPr>
              <w:t>R1b1</w:t>
            </w:r>
          </w:p>
        </w:tc>
        <w:tc>
          <w:tcPr>
            <w:tcW w:w="1669" w:type="pct"/>
            <w:shd w:val="clear" w:color="auto" w:fill="auto"/>
          </w:tcPr>
          <w:p w14:paraId="166E1766" w14:textId="77777777" w:rsidR="00BE686D" w:rsidRPr="00545EC0" w:rsidRDefault="00BE686D" w:rsidP="00BE686D">
            <w:pPr>
              <w:spacing w:line="240" w:lineRule="auto"/>
              <w:jc w:val="left"/>
              <w:rPr>
                <w:rFonts w:cs="Arial"/>
                <w:sz w:val="18"/>
                <w:szCs w:val="18"/>
              </w:rPr>
            </w:pPr>
            <w:r w:rsidRPr="00545EC0">
              <w:rPr>
                <w:rFonts w:cs="Arial"/>
                <w:sz w:val="18"/>
                <w:szCs w:val="18"/>
              </w:rPr>
              <w:t>Sistem za podporo odločanju o rabi voda</w:t>
            </w:r>
          </w:p>
        </w:tc>
        <w:tc>
          <w:tcPr>
            <w:tcW w:w="774" w:type="pct"/>
          </w:tcPr>
          <w:p w14:paraId="18846BB0" w14:textId="77777777" w:rsidR="00BE686D" w:rsidRPr="00545EC0" w:rsidRDefault="00BE686D" w:rsidP="00BE686D">
            <w:pPr>
              <w:spacing w:line="240" w:lineRule="auto"/>
              <w:jc w:val="left"/>
              <w:rPr>
                <w:rFonts w:cs="Arial"/>
                <w:i/>
                <w:sz w:val="18"/>
                <w:szCs w:val="18"/>
              </w:rPr>
            </w:pPr>
            <w:r w:rsidRPr="00545EC0">
              <w:rPr>
                <w:rFonts w:cs="Arial"/>
                <w:i/>
                <w:sz w:val="18"/>
                <w:szCs w:val="18"/>
              </w:rPr>
              <w:t>Varstvo voda, Raba voda</w:t>
            </w:r>
          </w:p>
        </w:tc>
        <w:tc>
          <w:tcPr>
            <w:tcW w:w="681" w:type="pct"/>
          </w:tcPr>
          <w:p w14:paraId="2B240B4B" w14:textId="77777777" w:rsidR="00BE686D" w:rsidRPr="00545EC0" w:rsidRDefault="00BE686D" w:rsidP="00BE686D">
            <w:pPr>
              <w:spacing w:line="240" w:lineRule="auto"/>
              <w:jc w:val="left"/>
              <w:rPr>
                <w:rFonts w:cs="Arial"/>
                <w:i/>
                <w:sz w:val="18"/>
                <w:szCs w:val="18"/>
              </w:rPr>
            </w:pPr>
            <w:r w:rsidRPr="00545EC0">
              <w:rPr>
                <w:rFonts w:cs="Arial"/>
                <w:i/>
                <w:sz w:val="18"/>
                <w:szCs w:val="18"/>
              </w:rPr>
              <w:t>Raba voda</w:t>
            </w:r>
          </w:p>
        </w:tc>
        <w:tc>
          <w:tcPr>
            <w:tcW w:w="714" w:type="pct"/>
          </w:tcPr>
          <w:p w14:paraId="20D1F33F" w14:textId="77777777" w:rsidR="00BE686D" w:rsidRPr="00545EC0" w:rsidRDefault="00BE686D" w:rsidP="00BE686D">
            <w:pPr>
              <w:spacing w:line="240" w:lineRule="auto"/>
              <w:jc w:val="left"/>
              <w:rPr>
                <w:rFonts w:cs="Arial"/>
                <w:i/>
                <w:sz w:val="18"/>
                <w:szCs w:val="18"/>
              </w:rPr>
            </w:pPr>
            <w:r w:rsidRPr="00545EC0">
              <w:rPr>
                <w:rFonts w:cs="Arial"/>
                <w:i/>
                <w:sz w:val="18"/>
                <w:szCs w:val="18"/>
              </w:rPr>
              <w:t>Podaljšan in posodobljen</w:t>
            </w:r>
          </w:p>
        </w:tc>
      </w:tr>
      <w:tr w:rsidR="00BE686D" w:rsidRPr="00545EC0" w14:paraId="6BB5D045" w14:textId="77777777" w:rsidTr="00BE686D">
        <w:trPr>
          <w:cantSplit/>
          <w:trHeight w:val="300"/>
        </w:trPr>
        <w:tc>
          <w:tcPr>
            <w:tcW w:w="582" w:type="pct"/>
          </w:tcPr>
          <w:p w14:paraId="4F99CAFD" w14:textId="77777777" w:rsidR="00BE686D" w:rsidRPr="00545EC0" w:rsidRDefault="00BE686D" w:rsidP="00BE686D">
            <w:pPr>
              <w:spacing w:line="240" w:lineRule="auto"/>
              <w:jc w:val="left"/>
              <w:rPr>
                <w:rFonts w:cs="Arial"/>
                <w:sz w:val="18"/>
                <w:szCs w:val="18"/>
              </w:rPr>
            </w:pPr>
            <w:r w:rsidRPr="00545EC0">
              <w:rPr>
                <w:rFonts w:cs="Arial"/>
                <w:sz w:val="18"/>
                <w:szCs w:val="18"/>
              </w:rPr>
              <w:t>Temeljni ukrep »a«</w:t>
            </w:r>
          </w:p>
        </w:tc>
        <w:tc>
          <w:tcPr>
            <w:tcW w:w="580" w:type="pct"/>
            <w:shd w:val="clear" w:color="auto" w:fill="auto"/>
          </w:tcPr>
          <w:p w14:paraId="5A0D2BBE" w14:textId="77777777" w:rsidR="00BE686D" w:rsidRPr="00545EC0" w:rsidRDefault="00BE686D" w:rsidP="00BE686D">
            <w:pPr>
              <w:spacing w:line="240" w:lineRule="auto"/>
              <w:jc w:val="left"/>
              <w:rPr>
                <w:rFonts w:cs="Arial"/>
                <w:sz w:val="18"/>
                <w:szCs w:val="18"/>
              </w:rPr>
            </w:pPr>
            <w:r w:rsidRPr="00545EC0">
              <w:rPr>
                <w:rFonts w:cs="Arial"/>
                <w:sz w:val="18"/>
                <w:szCs w:val="18"/>
              </w:rPr>
              <w:t>R3a</w:t>
            </w:r>
          </w:p>
        </w:tc>
        <w:tc>
          <w:tcPr>
            <w:tcW w:w="1669" w:type="pct"/>
            <w:shd w:val="clear" w:color="auto" w:fill="auto"/>
          </w:tcPr>
          <w:p w14:paraId="4653FE13" w14:textId="77777777" w:rsidR="00BE686D" w:rsidRPr="00545EC0" w:rsidRDefault="00BE686D" w:rsidP="00BE686D">
            <w:pPr>
              <w:spacing w:line="240" w:lineRule="auto"/>
              <w:jc w:val="left"/>
              <w:rPr>
                <w:rFonts w:cs="Arial"/>
                <w:sz w:val="18"/>
                <w:szCs w:val="18"/>
              </w:rPr>
            </w:pPr>
            <w:r w:rsidRPr="00545EC0">
              <w:rPr>
                <w:rFonts w:cs="Arial"/>
                <w:sz w:val="18"/>
                <w:szCs w:val="18"/>
              </w:rPr>
              <w:t>Omejitve, prepovedi in pogoji rabe voda</w:t>
            </w:r>
          </w:p>
        </w:tc>
        <w:tc>
          <w:tcPr>
            <w:tcW w:w="774" w:type="pct"/>
          </w:tcPr>
          <w:p w14:paraId="1F4707E1" w14:textId="77777777" w:rsidR="00BE686D" w:rsidRPr="00545EC0" w:rsidRDefault="00BE686D" w:rsidP="00BE686D">
            <w:pPr>
              <w:spacing w:line="240" w:lineRule="auto"/>
              <w:jc w:val="left"/>
              <w:rPr>
                <w:rFonts w:cs="Arial"/>
                <w:i/>
                <w:sz w:val="18"/>
                <w:szCs w:val="18"/>
              </w:rPr>
            </w:pPr>
            <w:r w:rsidRPr="00545EC0">
              <w:rPr>
                <w:rFonts w:cs="Arial"/>
                <w:i/>
                <w:sz w:val="18"/>
                <w:szCs w:val="18"/>
              </w:rPr>
              <w:t>Varstvo voda, Raba voda,</w:t>
            </w:r>
          </w:p>
        </w:tc>
        <w:tc>
          <w:tcPr>
            <w:tcW w:w="681" w:type="pct"/>
          </w:tcPr>
          <w:p w14:paraId="03060893" w14:textId="77777777" w:rsidR="00BE686D" w:rsidRPr="00545EC0" w:rsidRDefault="00BE686D" w:rsidP="00BE686D">
            <w:pPr>
              <w:spacing w:line="240" w:lineRule="auto"/>
              <w:jc w:val="left"/>
              <w:rPr>
                <w:rFonts w:cs="Arial"/>
                <w:i/>
                <w:sz w:val="18"/>
                <w:szCs w:val="18"/>
              </w:rPr>
            </w:pPr>
            <w:r w:rsidRPr="00545EC0">
              <w:rPr>
                <w:rFonts w:cs="Arial"/>
                <w:i/>
                <w:sz w:val="18"/>
                <w:szCs w:val="18"/>
              </w:rPr>
              <w:t>Raba voda</w:t>
            </w:r>
          </w:p>
        </w:tc>
        <w:tc>
          <w:tcPr>
            <w:tcW w:w="714" w:type="pct"/>
          </w:tcPr>
          <w:p w14:paraId="1983ADF8" w14:textId="77777777" w:rsidR="00BE686D" w:rsidRPr="00545EC0" w:rsidRDefault="00BE686D" w:rsidP="00BE686D">
            <w:pPr>
              <w:spacing w:line="240" w:lineRule="auto"/>
              <w:jc w:val="left"/>
              <w:rPr>
                <w:rFonts w:cs="Arial"/>
                <w:i/>
                <w:sz w:val="18"/>
                <w:szCs w:val="18"/>
              </w:rPr>
            </w:pPr>
            <w:r w:rsidRPr="00545EC0">
              <w:rPr>
                <w:rFonts w:cs="Arial"/>
                <w:i/>
                <w:sz w:val="18"/>
                <w:szCs w:val="18"/>
              </w:rPr>
              <w:t>Podaljšan in posodobljen</w:t>
            </w:r>
          </w:p>
        </w:tc>
      </w:tr>
      <w:tr w:rsidR="00BE686D" w:rsidRPr="00545EC0" w14:paraId="1A12556E" w14:textId="77777777" w:rsidTr="00BE686D">
        <w:trPr>
          <w:cantSplit/>
          <w:trHeight w:val="300"/>
        </w:trPr>
        <w:tc>
          <w:tcPr>
            <w:tcW w:w="582" w:type="pct"/>
          </w:tcPr>
          <w:p w14:paraId="3903DB5B" w14:textId="77777777" w:rsidR="00BE686D" w:rsidRPr="00545EC0" w:rsidRDefault="00BE686D" w:rsidP="00BE686D">
            <w:pPr>
              <w:spacing w:line="240" w:lineRule="auto"/>
              <w:jc w:val="left"/>
              <w:rPr>
                <w:rFonts w:cs="Arial"/>
                <w:sz w:val="18"/>
                <w:szCs w:val="18"/>
              </w:rPr>
            </w:pPr>
            <w:r w:rsidRPr="00545EC0">
              <w:rPr>
                <w:rFonts w:cs="Arial"/>
                <w:sz w:val="18"/>
                <w:szCs w:val="18"/>
              </w:rPr>
              <w:t>Temeljni ukrep »a«</w:t>
            </w:r>
          </w:p>
        </w:tc>
        <w:tc>
          <w:tcPr>
            <w:tcW w:w="580" w:type="pct"/>
            <w:shd w:val="clear" w:color="auto" w:fill="auto"/>
          </w:tcPr>
          <w:p w14:paraId="6403084D" w14:textId="77777777" w:rsidR="00BE686D" w:rsidRPr="00545EC0" w:rsidRDefault="00BE686D" w:rsidP="00BE686D">
            <w:pPr>
              <w:spacing w:line="240" w:lineRule="auto"/>
              <w:jc w:val="left"/>
              <w:rPr>
                <w:rFonts w:cs="Arial"/>
                <w:sz w:val="18"/>
                <w:szCs w:val="18"/>
              </w:rPr>
            </w:pPr>
            <w:r w:rsidRPr="00545EC0">
              <w:rPr>
                <w:rFonts w:cs="Arial"/>
                <w:sz w:val="18"/>
                <w:szCs w:val="18"/>
              </w:rPr>
              <w:t>R4a</w:t>
            </w:r>
          </w:p>
        </w:tc>
        <w:tc>
          <w:tcPr>
            <w:tcW w:w="1669" w:type="pct"/>
            <w:shd w:val="clear" w:color="auto" w:fill="auto"/>
          </w:tcPr>
          <w:p w14:paraId="63624E6F" w14:textId="77777777" w:rsidR="00BE686D" w:rsidRPr="00545EC0" w:rsidRDefault="00BE686D" w:rsidP="00BE686D">
            <w:pPr>
              <w:spacing w:line="240" w:lineRule="auto"/>
              <w:jc w:val="left"/>
              <w:rPr>
                <w:rFonts w:cs="Arial"/>
                <w:sz w:val="18"/>
                <w:szCs w:val="18"/>
              </w:rPr>
            </w:pPr>
            <w:r w:rsidRPr="00545EC0">
              <w:rPr>
                <w:rFonts w:cs="Arial"/>
                <w:sz w:val="18"/>
                <w:szCs w:val="18"/>
              </w:rPr>
              <w:t>Sistem oskrbe s pitno vodo</w:t>
            </w:r>
          </w:p>
        </w:tc>
        <w:tc>
          <w:tcPr>
            <w:tcW w:w="774" w:type="pct"/>
          </w:tcPr>
          <w:p w14:paraId="4D67D7B5" w14:textId="77777777" w:rsidR="00BE686D" w:rsidRPr="00545EC0" w:rsidRDefault="00BE686D" w:rsidP="00BE686D">
            <w:pPr>
              <w:spacing w:line="240" w:lineRule="auto"/>
              <w:jc w:val="left"/>
              <w:rPr>
                <w:rFonts w:cs="Arial"/>
                <w:i/>
                <w:sz w:val="18"/>
                <w:szCs w:val="18"/>
              </w:rPr>
            </w:pPr>
            <w:r w:rsidRPr="00545EC0">
              <w:rPr>
                <w:rFonts w:cs="Arial"/>
                <w:i/>
                <w:sz w:val="18"/>
                <w:szCs w:val="18"/>
              </w:rPr>
              <w:t>Varstvo voda, Raba voda,</w:t>
            </w:r>
          </w:p>
        </w:tc>
        <w:tc>
          <w:tcPr>
            <w:tcW w:w="681" w:type="pct"/>
          </w:tcPr>
          <w:p w14:paraId="23CB1D5D" w14:textId="77777777" w:rsidR="00BE686D" w:rsidRPr="00545EC0" w:rsidRDefault="00BE686D" w:rsidP="00BE686D">
            <w:pPr>
              <w:spacing w:line="240" w:lineRule="auto"/>
              <w:jc w:val="left"/>
              <w:rPr>
                <w:rFonts w:cs="Arial"/>
                <w:i/>
                <w:sz w:val="18"/>
                <w:szCs w:val="18"/>
              </w:rPr>
            </w:pPr>
            <w:r w:rsidRPr="00545EC0">
              <w:rPr>
                <w:rFonts w:cs="Arial"/>
                <w:i/>
                <w:sz w:val="18"/>
                <w:szCs w:val="18"/>
              </w:rPr>
              <w:t>Raba voda</w:t>
            </w:r>
          </w:p>
        </w:tc>
        <w:tc>
          <w:tcPr>
            <w:tcW w:w="714" w:type="pct"/>
          </w:tcPr>
          <w:p w14:paraId="42322DC2" w14:textId="77777777" w:rsidR="00BE686D" w:rsidRPr="00545EC0" w:rsidRDefault="00BE686D" w:rsidP="00BE686D">
            <w:pPr>
              <w:spacing w:line="240" w:lineRule="auto"/>
              <w:jc w:val="left"/>
              <w:rPr>
                <w:rFonts w:cs="Arial"/>
                <w:i/>
                <w:sz w:val="18"/>
                <w:szCs w:val="18"/>
              </w:rPr>
            </w:pPr>
            <w:r w:rsidRPr="00545EC0">
              <w:rPr>
                <w:rFonts w:cs="Arial"/>
                <w:i/>
                <w:sz w:val="18"/>
                <w:szCs w:val="18"/>
              </w:rPr>
              <w:t>Podaljšan in posodobljen</w:t>
            </w:r>
          </w:p>
        </w:tc>
      </w:tr>
      <w:tr w:rsidR="00BE686D" w:rsidRPr="00545EC0" w14:paraId="4C7E1684" w14:textId="77777777" w:rsidTr="00BE686D">
        <w:trPr>
          <w:cantSplit/>
          <w:trHeight w:val="300"/>
        </w:trPr>
        <w:tc>
          <w:tcPr>
            <w:tcW w:w="582" w:type="pct"/>
          </w:tcPr>
          <w:p w14:paraId="4C640A4B" w14:textId="77777777" w:rsidR="00BE686D" w:rsidRPr="00545EC0" w:rsidRDefault="00BE686D" w:rsidP="00BE686D">
            <w:pPr>
              <w:spacing w:line="240" w:lineRule="auto"/>
              <w:jc w:val="left"/>
              <w:rPr>
                <w:rFonts w:cs="Arial"/>
                <w:sz w:val="18"/>
                <w:szCs w:val="18"/>
              </w:rPr>
            </w:pPr>
            <w:r w:rsidRPr="00545EC0">
              <w:rPr>
                <w:rFonts w:cs="Arial"/>
                <w:sz w:val="18"/>
                <w:szCs w:val="18"/>
              </w:rPr>
              <w:t>Temeljni ukrep »a«</w:t>
            </w:r>
          </w:p>
        </w:tc>
        <w:tc>
          <w:tcPr>
            <w:tcW w:w="580" w:type="pct"/>
            <w:shd w:val="clear" w:color="auto" w:fill="auto"/>
          </w:tcPr>
          <w:p w14:paraId="34EBB4F7" w14:textId="77777777" w:rsidR="00BE686D" w:rsidRPr="00545EC0" w:rsidRDefault="00BE686D" w:rsidP="00BE686D">
            <w:pPr>
              <w:spacing w:line="240" w:lineRule="auto"/>
              <w:jc w:val="left"/>
              <w:rPr>
                <w:rFonts w:cs="Arial"/>
                <w:sz w:val="18"/>
                <w:szCs w:val="18"/>
              </w:rPr>
            </w:pPr>
            <w:r w:rsidRPr="00545EC0">
              <w:rPr>
                <w:rFonts w:cs="Arial"/>
                <w:sz w:val="18"/>
                <w:szCs w:val="18"/>
              </w:rPr>
              <w:t>R5a</w:t>
            </w:r>
          </w:p>
        </w:tc>
        <w:tc>
          <w:tcPr>
            <w:tcW w:w="1669" w:type="pct"/>
            <w:shd w:val="clear" w:color="auto" w:fill="auto"/>
          </w:tcPr>
          <w:p w14:paraId="518A39C7" w14:textId="77777777" w:rsidR="00BE686D" w:rsidRPr="00545EC0" w:rsidRDefault="00BE686D" w:rsidP="00BE686D">
            <w:pPr>
              <w:spacing w:line="240" w:lineRule="auto"/>
              <w:jc w:val="left"/>
              <w:rPr>
                <w:rFonts w:cs="Arial"/>
                <w:sz w:val="18"/>
                <w:szCs w:val="18"/>
              </w:rPr>
            </w:pPr>
            <w:r w:rsidRPr="00545EC0">
              <w:rPr>
                <w:rFonts w:cs="Arial"/>
                <w:sz w:val="18"/>
                <w:szCs w:val="18"/>
              </w:rPr>
              <w:t>Vzpodbujanje učinkovite in trajnostne rabe vode</w:t>
            </w:r>
          </w:p>
        </w:tc>
        <w:tc>
          <w:tcPr>
            <w:tcW w:w="774" w:type="pct"/>
          </w:tcPr>
          <w:p w14:paraId="3ED75D29" w14:textId="77777777" w:rsidR="00BE686D" w:rsidRPr="00545EC0" w:rsidRDefault="00BE686D" w:rsidP="00BE686D">
            <w:pPr>
              <w:spacing w:line="240" w:lineRule="auto"/>
              <w:jc w:val="left"/>
              <w:rPr>
                <w:rFonts w:cs="Arial"/>
                <w:i/>
                <w:sz w:val="18"/>
                <w:szCs w:val="18"/>
              </w:rPr>
            </w:pPr>
            <w:r w:rsidRPr="00545EC0">
              <w:rPr>
                <w:rFonts w:cs="Arial"/>
                <w:i/>
                <w:sz w:val="18"/>
                <w:szCs w:val="18"/>
              </w:rPr>
              <w:t>Varstvo voda, Raba voda,</w:t>
            </w:r>
          </w:p>
        </w:tc>
        <w:tc>
          <w:tcPr>
            <w:tcW w:w="681" w:type="pct"/>
          </w:tcPr>
          <w:p w14:paraId="671DCDE0" w14:textId="77777777" w:rsidR="00BE686D" w:rsidRPr="00545EC0" w:rsidRDefault="00BE686D" w:rsidP="00BE686D">
            <w:pPr>
              <w:spacing w:line="240" w:lineRule="auto"/>
              <w:jc w:val="left"/>
              <w:rPr>
                <w:rFonts w:cs="Arial"/>
                <w:i/>
                <w:sz w:val="18"/>
                <w:szCs w:val="18"/>
              </w:rPr>
            </w:pPr>
            <w:r w:rsidRPr="00545EC0">
              <w:rPr>
                <w:rFonts w:cs="Arial"/>
                <w:i/>
                <w:sz w:val="18"/>
                <w:szCs w:val="18"/>
              </w:rPr>
              <w:t>Raba voda</w:t>
            </w:r>
          </w:p>
        </w:tc>
        <w:tc>
          <w:tcPr>
            <w:tcW w:w="714" w:type="pct"/>
          </w:tcPr>
          <w:p w14:paraId="7D6FFE5C" w14:textId="77777777" w:rsidR="00BE686D" w:rsidRPr="00545EC0" w:rsidRDefault="00BE686D" w:rsidP="00BE686D">
            <w:pPr>
              <w:spacing w:line="240" w:lineRule="auto"/>
              <w:jc w:val="left"/>
              <w:rPr>
                <w:rFonts w:cs="Arial"/>
                <w:i/>
                <w:sz w:val="18"/>
                <w:szCs w:val="18"/>
              </w:rPr>
            </w:pPr>
            <w:r w:rsidRPr="00545EC0">
              <w:rPr>
                <w:rFonts w:cs="Arial"/>
                <w:i/>
                <w:sz w:val="18"/>
                <w:szCs w:val="18"/>
              </w:rPr>
              <w:t>Podaljšan in posodobljen</w:t>
            </w:r>
          </w:p>
        </w:tc>
      </w:tr>
      <w:tr w:rsidR="00BE686D" w:rsidRPr="00545EC0" w14:paraId="6BD39A7B" w14:textId="77777777" w:rsidTr="00BE686D">
        <w:trPr>
          <w:cantSplit/>
          <w:trHeight w:val="300"/>
        </w:trPr>
        <w:tc>
          <w:tcPr>
            <w:tcW w:w="582" w:type="pct"/>
          </w:tcPr>
          <w:p w14:paraId="1C32B2FA" w14:textId="77777777" w:rsidR="00BE686D" w:rsidRPr="00545EC0" w:rsidRDefault="00BE686D" w:rsidP="00BE686D">
            <w:pPr>
              <w:spacing w:line="240" w:lineRule="auto"/>
              <w:jc w:val="left"/>
              <w:rPr>
                <w:rFonts w:cs="Arial"/>
                <w:sz w:val="18"/>
                <w:szCs w:val="18"/>
              </w:rPr>
            </w:pPr>
            <w:r w:rsidRPr="00545EC0">
              <w:rPr>
                <w:rFonts w:cs="Arial"/>
                <w:sz w:val="18"/>
                <w:szCs w:val="18"/>
              </w:rPr>
              <w:t>Temeljni ukrep »a«</w:t>
            </w:r>
          </w:p>
        </w:tc>
        <w:tc>
          <w:tcPr>
            <w:tcW w:w="580" w:type="pct"/>
            <w:shd w:val="clear" w:color="auto" w:fill="auto"/>
          </w:tcPr>
          <w:p w14:paraId="6008DF4F" w14:textId="77777777" w:rsidR="00BE686D" w:rsidRPr="00545EC0" w:rsidRDefault="00BE686D" w:rsidP="00BE686D">
            <w:pPr>
              <w:spacing w:line="240" w:lineRule="auto"/>
              <w:jc w:val="left"/>
              <w:rPr>
                <w:rFonts w:cs="Arial"/>
                <w:sz w:val="18"/>
                <w:szCs w:val="18"/>
              </w:rPr>
            </w:pPr>
            <w:r w:rsidRPr="00545EC0">
              <w:rPr>
                <w:rFonts w:cs="Arial"/>
                <w:sz w:val="18"/>
                <w:szCs w:val="18"/>
              </w:rPr>
              <w:t>R6a</w:t>
            </w:r>
          </w:p>
        </w:tc>
        <w:tc>
          <w:tcPr>
            <w:tcW w:w="1669" w:type="pct"/>
            <w:shd w:val="clear" w:color="auto" w:fill="auto"/>
          </w:tcPr>
          <w:p w14:paraId="4F6BC645" w14:textId="77777777" w:rsidR="00BE686D" w:rsidRPr="00545EC0" w:rsidRDefault="00BE686D" w:rsidP="00BE686D">
            <w:pPr>
              <w:spacing w:line="240" w:lineRule="auto"/>
              <w:jc w:val="left"/>
              <w:rPr>
                <w:rFonts w:cs="Arial"/>
                <w:sz w:val="18"/>
                <w:szCs w:val="18"/>
              </w:rPr>
            </w:pPr>
            <w:r w:rsidRPr="00545EC0">
              <w:rPr>
                <w:rFonts w:cs="Arial"/>
                <w:sz w:val="18"/>
                <w:szCs w:val="18"/>
              </w:rPr>
              <w:t xml:space="preserve">Zagotavljanje nadzora nad umetnim napajanjem ali bogatenjem vodnih teles podzemne vode </w:t>
            </w:r>
          </w:p>
        </w:tc>
        <w:tc>
          <w:tcPr>
            <w:tcW w:w="774" w:type="pct"/>
          </w:tcPr>
          <w:p w14:paraId="74A22678" w14:textId="77777777" w:rsidR="00BE686D" w:rsidRPr="00545EC0" w:rsidRDefault="00BE686D" w:rsidP="00BE686D">
            <w:pPr>
              <w:spacing w:line="240" w:lineRule="auto"/>
              <w:jc w:val="left"/>
              <w:rPr>
                <w:rFonts w:cs="Arial"/>
                <w:i/>
                <w:sz w:val="18"/>
                <w:szCs w:val="18"/>
              </w:rPr>
            </w:pPr>
            <w:r w:rsidRPr="00545EC0">
              <w:rPr>
                <w:rFonts w:cs="Arial"/>
                <w:i/>
                <w:sz w:val="18"/>
                <w:szCs w:val="18"/>
              </w:rPr>
              <w:t>Varstvo voda, Raba voda,</w:t>
            </w:r>
          </w:p>
        </w:tc>
        <w:tc>
          <w:tcPr>
            <w:tcW w:w="681" w:type="pct"/>
          </w:tcPr>
          <w:p w14:paraId="0BAACEE5" w14:textId="77777777" w:rsidR="00BE686D" w:rsidRPr="00545EC0" w:rsidRDefault="00BE686D" w:rsidP="00BE686D">
            <w:pPr>
              <w:spacing w:line="240" w:lineRule="auto"/>
              <w:jc w:val="left"/>
              <w:rPr>
                <w:rFonts w:cs="Arial"/>
                <w:i/>
                <w:sz w:val="18"/>
                <w:szCs w:val="18"/>
              </w:rPr>
            </w:pPr>
            <w:r w:rsidRPr="00545EC0">
              <w:rPr>
                <w:rFonts w:cs="Arial"/>
                <w:i/>
                <w:sz w:val="18"/>
                <w:szCs w:val="18"/>
              </w:rPr>
              <w:t>Raba voda</w:t>
            </w:r>
          </w:p>
        </w:tc>
        <w:tc>
          <w:tcPr>
            <w:tcW w:w="714" w:type="pct"/>
          </w:tcPr>
          <w:p w14:paraId="32CFE010" w14:textId="77777777" w:rsidR="00BE686D" w:rsidRPr="00545EC0" w:rsidRDefault="00BE686D" w:rsidP="00BE686D">
            <w:pPr>
              <w:spacing w:line="240" w:lineRule="auto"/>
              <w:jc w:val="left"/>
              <w:rPr>
                <w:rFonts w:cs="Arial"/>
                <w:i/>
                <w:sz w:val="18"/>
                <w:szCs w:val="18"/>
              </w:rPr>
            </w:pPr>
            <w:r w:rsidRPr="00545EC0">
              <w:rPr>
                <w:rFonts w:cs="Arial"/>
                <w:i/>
                <w:sz w:val="18"/>
                <w:szCs w:val="18"/>
              </w:rPr>
              <w:t>Podaljšan in posodobljen</w:t>
            </w:r>
          </w:p>
        </w:tc>
      </w:tr>
      <w:tr w:rsidR="00BE686D" w:rsidRPr="00545EC0" w14:paraId="203D7652" w14:textId="77777777" w:rsidTr="00BE686D">
        <w:trPr>
          <w:cantSplit/>
          <w:trHeight w:val="300"/>
        </w:trPr>
        <w:tc>
          <w:tcPr>
            <w:tcW w:w="582" w:type="pct"/>
          </w:tcPr>
          <w:p w14:paraId="2FDA4444" w14:textId="77777777" w:rsidR="00BE686D" w:rsidRPr="00545EC0" w:rsidRDefault="00BE686D" w:rsidP="00BE686D">
            <w:pPr>
              <w:spacing w:line="240" w:lineRule="auto"/>
              <w:jc w:val="left"/>
              <w:rPr>
                <w:rFonts w:cs="Arial"/>
                <w:bCs/>
                <w:sz w:val="18"/>
                <w:szCs w:val="18"/>
              </w:rPr>
            </w:pPr>
            <w:r w:rsidRPr="00545EC0">
              <w:rPr>
                <w:rFonts w:cs="Arial"/>
                <w:sz w:val="18"/>
                <w:szCs w:val="18"/>
              </w:rPr>
              <w:lastRenderedPageBreak/>
              <w:t>Temeljni ukrep »b«</w:t>
            </w:r>
          </w:p>
        </w:tc>
        <w:tc>
          <w:tcPr>
            <w:tcW w:w="580" w:type="pct"/>
            <w:shd w:val="clear" w:color="auto" w:fill="auto"/>
          </w:tcPr>
          <w:p w14:paraId="6379A79D" w14:textId="77777777" w:rsidR="00BE686D" w:rsidRPr="00545EC0" w:rsidRDefault="00BE686D" w:rsidP="00BE686D">
            <w:pPr>
              <w:spacing w:line="240" w:lineRule="auto"/>
              <w:jc w:val="left"/>
              <w:rPr>
                <w:rFonts w:cs="Arial"/>
                <w:sz w:val="18"/>
                <w:szCs w:val="18"/>
              </w:rPr>
            </w:pPr>
            <w:r w:rsidRPr="00545EC0">
              <w:rPr>
                <w:rFonts w:cs="Arial"/>
                <w:bCs/>
                <w:sz w:val="18"/>
                <w:szCs w:val="18"/>
              </w:rPr>
              <w:t>R6b2</w:t>
            </w:r>
          </w:p>
        </w:tc>
        <w:tc>
          <w:tcPr>
            <w:tcW w:w="1669" w:type="pct"/>
            <w:shd w:val="clear" w:color="auto" w:fill="auto"/>
          </w:tcPr>
          <w:p w14:paraId="4D2013BE" w14:textId="77777777" w:rsidR="00BE686D" w:rsidRPr="00545EC0" w:rsidRDefault="00BE686D" w:rsidP="00BE686D">
            <w:pPr>
              <w:spacing w:line="240" w:lineRule="auto"/>
              <w:jc w:val="left"/>
              <w:rPr>
                <w:rFonts w:cs="Arial"/>
                <w:sz w:val="18"/>
                <w:szCs w:val="18"/>
              </w:rPr>
            </w:pPr>
            <w:r w:rsidRPr="00545EC0">
              <w:rPr>
                <w:rFonts w:cs="Arial"/>
                <w:sz w:val="18"/>
                <w:szCs w:val="18"/>
              </w:rPr>
              <w:t>Vpeljava spodbud za geotermalne pare vrtin in drugi ukrepi za ustavljanje negativnih trendov v termalnih vodonosnikih</w:t>
            </w:r>
          </w:p>
        </w:tc>
        <w:tc>
          <w:tcPr>
            <w:tcW w:w="774" w:type="pct"/>
          </w:tcPr>
          <w:p w14:paraId="62A23477" w14:textId="77777777" w:rsidR="00BE686D" w:rsidRPr="00545EC0" w:rsidRDefault="00BE686D" w:rsidP="00BE686D">
            <w:pPr>
              <w:spacing w:line="240" w:lineRule="auto"/>
              <w:jc w:val="left"/>
              <w:rPr>
                <w:rFonts w:cs="Arial"/>
                <w:i/>
                <w:sz w:val="18"/>
                <w:szCs w:val="18"/>
              </w:rPr>
            </w:pPr>
            <w:r w:rsidRPr="00545EC0">
              <w:rPr>
                <w:rFonts w:cs="Arial"/>
                <w:i/>
                <w:sz w:val="18"/>
                <w:szCs w:val="18"/>
              </w:rPr>
              <w:t>Varstvo voda, Raba voda,</w:t>
            </w:r>
          </w:p>
        </w:tc>
        <w:tc>
          <w:tcPr>
            <w:tcW w:w="681" w:type="pct"/>
          </w:tcPr>
          <w:p w14:paraId="03C3AE46" w14:textId="77777777" w:rsidR="00BE686D" w:rsidRPr="00545EC0" w:rsidRDefault="00BE686D" w:rsidP="00BE686D">
            <w:pPr>
              <w:spacing w:line="240" w:lineRule="auto"/>
              <w:jc w:val="left"/>
              <w:rPr>
                <w:rFonts w:cs="Arial"/>
                <w:i/>
                <w:sz w:val="18"/>
                <w:szCs w:val="18"/>
              </w:rPr>
            </w:pPr>
            <w:r w:rsidRPr="00545EC0">
              <w:rPr>
                <w:rFonts w:cs="Arial"/>
                <w:i/>
                <w:sz w:val="18"/>
                <w:szCs w:val="18"/>
              </w:rPr>
              <w:t>Raba voda</w:t>
            </w:r>
          </w:p>
        </w:tc>
        <w:tc>
          <w:tcPr>
            <w:tcW w:w="714" w:type="pct"/>
          </w:tcPr>
          <w:p w14:paraId="05015C45" w14:textId="77777777" w:rsidR="00BE686D" w:rsidRPr="00545EC0" w:rsidRDefault="00BE686D" w:rsidP="00BE686D">
            <w:pPr>
              <w:spacing w:line="240" w:lineRule="auto"/>
              <w:jc w:val="left"/>
              <w:rPr>
                <w:rFonts w:cs="Arial"/>
                <w:i/>
                <w:sz w:val="18"/>
                <w:szCs w:val="18"/>
              </w:rPr>
            </w:pPr>
            <w:r w:rsidRPr="00545EC0">
              <w:rPr>
                <w:rFonts w:cs="Arial"/>
                <w:i/>
                <w:sz w:val="18"/>
                <w:szCs w:val="18"/>
              </w:rPr>
              <w:t>Podaljšan in posodobljen</w:t>
            </w:r>
          </w:p>
        </w:tc>
      </w:tr>
      <w:tr w:rsidR="00BE686D" w:rsidRPr="00545EC0" w14:paraId="1DE0C50B" w14:textId="77777777" w:rsidTr="00BE686D">
        <w:trPr>
          <w:cantSplit/>
          <w:trHeight w:val="300"/>
        </w:trPr>
        <w:tc>
          <w:tcPr>
            <w:tcW w:w="582" w:type="pct"/>
          </w:tcPr>
          <w:p w14:paraId="70F0E48E" w14:textId="77777777" w:rsidR="00BE686D" w:rsidRPr="00545EC0" w:rsidRDefault="00BE686D" w:rsidP="00BE686D">
            <w:pPr>
              <w:spacing w:line="240" w:lineRule="auto"/>
              <w:jc w:val="left"/>
              <w:rPr>
                <w:rFonts w:cs="Arial"/>
                <w:bCs/>
                <w:sz w:val="18"/>
                <w:szCs w:val="18"/>
              </w:rPr>
            </w:pPr>
            <w:r w:rsidRPr="00545EC0">
              <w:rPr>
                <w:rFonts w:cs="Arial"/>
                <w:sz w:val="18"/>
                <w:szCs w:val="18"/>
              </w:rPr>
              <w:t>Temeljni ukrep »b«</w:t>
            </w:r>
          </w:p>
        </w:tc>
        <w:tc>
          <w:tcPr>
            <w:tcW w:w="580" w:type="pct"/>
            <w:shd w:val="clear" w:color="auto" w:fill="auto"/>
            <w:hideMark/>
          </w:tcPr>
          <w:p w14:paraId="647D0156" w14:textId="77777777" w:rsidR="00BE686D" w:rsidRPr="00545EC0" w:rsidRDefault="00BE686D" w:rsidP="00BE686D">
            <w:pPr>
              <w:spacing w:line="240" w:lineRule="auto"/>
              <w:jc w:val="left"/>
              <w:rPr>
                <w:rFonts w:cs="Arial"/>
                <w:sz w:val="18"/>
                <w:szCs w:val="18"/>
              </w:rPr>
            </w:pPr>
            <w:r w:rsidRPr="00545EC0">
              <w:rPr>
                <w:rFonts w:cs="Arial"/>
                <w:bCs/>
                <w:sz w:val="18"/>
                <w:szCs w:val="18"/>
              </w:rPr>
              <w:t>R6b3</w:t>
            </w:r>
          </w:p>
        </w:tc>
        <w:tc>
          <w:tcPr>
            <w:tcW w:w="1669" w:type="pct"/>
            <w:shd w:val="clear" w:color="auto" w:fill="auto"/>
            <w:hideMark/>
          </w:tcPr>
          <w:p w14:paraId="2AA933B5" w14:textId="77777777" w:rsidR="00BE686D" w:rsidRPr="00545EC0" w:rsidRDefault="00BE686D" w:rsidP="00BE686D">
            <w:pPr>
              <w:spacing w:line="240" w:lineRule="auto"/>
              <w:jc w:val="left"/>
              <w:rPr>
                <w:rFonts w:cs="Arial"/>
                <w:sz w:val="18"/>
                <w:szCs w:val="18"/>
              </w:rPr>
            </w:pPr>
            <w:r w:rsidRPr="00545EC0">
              <w:rPr>
                <w:rFonts w:cs="Arial"/>
                <w:sz w:val="18"/>
                <w:szCs w:val="18"/>
              </w:rPr>
              <w:t>Vključitev smernic s področja voda v postopek za pridobitev rudarske pravice</w:t>
            </w:r>
          </w:p>
        </w:tc>
        <w:tc>
          <w:tcPr>
            <w:tcW w:w="774" w:type="pct"/>
          </w:tcPr>
          <w:p w14:paraId="38317D12" w14:textId="77777777" w:rsidR="00BE686D" w:rsidRPr="00545EC0" w:rsidRDefault="00BE686D" w:rsidP="00BE686D">
            <w:pPr>
              <w:spacing w:line="240" w:lineRule="auto"/>
              <w:jc w:val="left"/>
              <w:rPr>
                <w:rFonts w:cs="Arial"/>
                <w:i/>
                <w:sz w:val="18"/>
                <w:szCs w:val="18"/>
              </w:rPr>
            </w:pPr>
            <w:r w:rsidRPr="00545EC0">
              <w:rPr>
                <w:rFonts w:cs="Arial"/>
                <w:i/>
                <w:sz w:val="18"/>
                <w:szCs w:val="18"/>
              </w:rPr>
              <w:t>Varstvo voda, Raba voda,</w:t>
            </w:r>
          </w:p>
        </w:tc>
        <w:tc>
          <w:tcPr>
            <w:tcW w:w="681" w:type="pct"/>
          </w:tcPr>
          <w:p w14:paraId="5D97FEF8" w14:textId="77777777" w:rsidR="00BE686D" w:rsidRPr="00545EC0" w:rsidRDefault="00BE686D" w:rsidP="00BE686D">
            <w:pPr>
              <w:spacing w:line="240" w:lineRule="auto"/>
              <w:jc w:val="left"/>
              <w:rPr>
                <w:rFonts w:cs="Arial"/>
                <w:i/>
                <w:sz w:val="18"/>
                <w:szCs w:val="18"/>
              </w:rPr>
            </w:pPr>
            <w:r w:rsidRPr="00545EC0">
              <w:rPr>
                <w:rFonts w:cs="Arial"/>
                <w:i/>
                <w:sz w:val="18"/>
                <w:szCs w:val="18"/>
              </w:rPr>
              <w:t>Raba voda</w:t>
            </w:r>
          </w:p>
        </w:tc>
        <w:tc>
          <w:tcPr>
            <w:tcW w:w="714" w:type="pct"/>
          </w:tcPr>
          <w:p w14:paraId="2B1D4B5C" w14:textId="77777777" w:rsidR="00BE686D" w:rsidRPr="00545EC0" w:rsidRDefault="00BE686D" w:rsidP="00BE686D">
            <w:pPr>
              <w:spacing w:line="240" w:lineRule="auto"/>
              <w:jc w:val="left"/>
              <w:rPr>
                <w:rFonts w:cs="Arial"/>
                <w:i/>
                <w:sz w:val="18"/>
                <w:szCs w:val="18"/>
              </w:rPr>
            </w:pPr>
            <w:r w:rsidRPr="00545EC0">
              <w:rPr>
                <w:rFonts w:cs="Arial"/>
                <w:i/>
                <w:sz w:val="18"/>
                <w:szCs w:val="18"/>
              </w:rPr>
              <w:t>Podaljšan in posodobljen</w:t>
            </w:r>
          </w:p>
        </w:tc>
      </w:tr>
      <w:tr w:rsidR="00BE686D" w:rsidRPr="00545EC0" w14:paraId="35D3F9E4" w14:textId="77777777" w:rsidTr="00BE686D">
        <w:trPr>
          <w:cantSplit/>
          <w:trHeight w:val="300"/>
        </w:trPr>
        <w:tc>
          <w:tcPr>
            <w:tcW w:w="582" w:type="pct"/>
          </w:tcPr>
          <w:p w14:paraId="52F3E873" w14:textId="77777777" w:rsidR="00BE686D" w:rsidRPr="00545EC0" w:rsidRDefault="00BE686D" w:rsidP="00BE686D">
            <w:pPr>
              <w:spacing w:line="240" w:lineRule="auto"/>
              <w:jc w:val="left"/>
              <w:rPr>
                <w:rFonts w:cs="Arial"/>
                <w:sz w:val="18"/>
                <w:szCs w:val="18"/>
              </w:rPr>
            </w:pPr>
            <w:r w:rsidRPr="00545EC0">
              <w:rPr>
                <w:rFonts w:cs="Arial"/>
                <w:sz w:val="18"/>
                <w:szCs w:val="18"/>
              </w:rPr>
              <w:t>Temeljni ukrep »a«</w:t>
            </w:r>
          </w:p>
        </w:tc>
        <w:tc>
          <w:tcPr>
            <w:tcW w:w="580" w:type="pct"/>
            <w:shd w:val="clear" w:color="auto" w:fill="auto"/>
            <w:hideMark/>
          </w:tcPr>
          <w:p w14:paraId="7229591E" w14:textId="77777777" w:rsidR="00BE686D" w:rsidRPr="00545EC0" w:rsidRDefault="00BE686D" w:rsidP="00BE686D">
            <w:pPr>
              <w:spacing w:line="240" w:lineRule="auto"/>
              <w:jc w:val="left"/>
              <w:rPr>
                <w:rFonts w:cs="Arial"/>
                <w:sz w:val="18"/>
                <w:szCs w:val="18"/>
              </w:rPr>
            </w:pPr>
            <w:r w:rsidRPr="00545EC0">
              <w:rPr>
                <w:rFonts w:cs="Arial"/>
                <w:sz w:val="18"/>
                <w:szCs w:val="18"/>
              </w:rPr>
              <w:t>U1a</w:t>
            </w:r>
          </w:p>
        </w:tc>
        <w:tc>
          <w:tcPr>
            <w:tcW w:w="1669" w:type="pct"/>
            <w:shd w:val="clear" w:color="auto" w:fill="auto"/>
            <w:hideMark/>
          </w:tcPr>
          <w:p w14:paraId="374CCFD5" w14:textId="77777777" w:rsidR="00BE686D" w:rsidRPr="00545EC0" w:rsidRDefault="00BE686D" w:rsidP="00BE686D">
            <w:pPr>
              <w:spacing w:line="240" w:lineRule="auto"/>
              <w:jc w:val="left"/>
              <w:rPr>
                <w:rFonts w:cs="Arial"/>
                <w:sz w:val="18"/>
                <w:szCs w:val="18"/>
              </w:rPr>
            </w:pPr>
            <w:r w:rsidRPr="00545EC0">
              <w:rPr>
                <w:rFonts w:cs="Arial"/>
                <w:sz w:val="18"/>
                <w:szCs w:val="18"/>
              </w:rPr>
              <w:t>Varstvo pred škodljivim delovanjem voda</w:t>
            </w:r>
          </w:p>
        </w:tc>
        <w:tc>
          <w:tcPr>
            <w:tcW w:w="774" w:type="pct"/>
          </w:tcPr>
          <w:p w14:paraId="18CDE27E" w14:textId="77777777" w:rsidR="00BE686D" w:rsidRPr="00545EC0" w:rsidRDefault="00BE686D" w:rsidP="00BE686D">
            <w:pPr>
              <w:spacing w:line="240" w:lineRule="auto"/>
              <w:jc w:val="left"/>
              <w:rPr>
                <w:rFonts w:cs="Arial"/>
                <w:i/>
                <w:sz w:val="18"/>
                <w:szCs w:val="18"/>
              </w:rPr>
            </w:pPr>
            <w:r w:rsidRPr="00545EC0">
              <w:rPr>
                <w:rFonts w:cs="Arial"/>
                <w:i/>
                <w:sz w:val="18"/>
                <w:szCs w:val="18"/>
              </w:rPr>
              <w:t>Varstvo voda, Urejanje voda</w:t>
            </w:r>
          </w:p>
        </w:tc>
        <w:tc>
          <w:tcPr>
            <w:tcW w:w="681" w:type="pct"/>
          </w:tcPr>
          <w:p w14:paraId="2D76B386" w14:textId="77777777" w:rsidR="00BE686D" w:rsidRPr="00545EC0" w:rsidRDefault="00BE686D" w:rsidP="00BE686D">
            <w:pPr>
              <w:spacing w:line="240" w:lineRule="auto"/>
              <w:jc w:val="left"/>
              <w:rPr>
                <w:rFonts w:cs="Arial"/>
                <w:i/>
                <w:sz w:val="18"/>
                <w:szCs w:val="18"/>
              </w:rPr>
            </w:pPr>
            <w:r w:rsidRPr="00545EC0">
              <w:rPr>
                <w:rFonts w:cs="Arial"/>
                <w:i/>
                <w:sz w:val="18"/>
                <w:szCs w:val="18"/>
              </w:rPr>
              <w:t>Urejanje voda</w:t>
            </w:r>
          </w:p>
        </w:tc>
        <w:tc>
          <w:tcPr>
            <w:tcW w:w="714" w:type="pct"/>
          </w:tcPr>
          <w:p w14:paraId="3DD1D48D" w14:textId="77777777" w:rsidR="00BE686D" w:rsidRPr="00545EC0" w:rsidRDefault="00BE686D" w:rsidP="00BE686D">
            <w:pPr>
              <w:spacing w:line="240" w:lineRule="auto"/>
              <w:jc w:val="left"/>
              <w:rPr>
                <w:rFonts w:cs="Arial"/>
                <w:i/>
                <w:sz w:val="18"/>
                <w:szCs w:val="18"/>
              </w:rPr>
            </w:pPr>
            <w:r w:rsidRPr="00545EC0">
              <w:rPr>
                <w:rFonts w:cs="Arial"/>
                <w:i/>
                <w:sz w:val="18"/>
                <w:szCs w:val="18"/>
              </w:rPr>
              <w:t>Podaljšan in posodobljen</w:t>
            </w:r>
          </w:p>
        </w:tc>
      </w:tr>
      <w:tr w:rsidR="00BE686D" w:rsidRPr="00545EC0" w14:paraId="36389F9E" w14:textId="77777777" w:rsidTr="00BE686D">
        <w:trPr>
          <w:cantSplit/>
          <w:trHeight w:val="300"/>
        </w:trPr>
        <w:tc>
          <w:tcPr>
            <w:tcW w:w="582" w:type="pct"/>
          </w:tcPr>
          <w:p w14:paraId="20268369" w14:textId="77777777" w:rsidR="00BE686D" w:rsidRPr="00545EC0" w:rsidRDefault="00BE686D" w:rsidP="00BE686D">
            <w:pPr>
              <w:spacing w:line="240" w:lineRule="auto"/>
              <w:jc w:val="left"/>
              <w:rPr>
                <w:rFonts w:cs="Arial"/>
                <w:sz w:val="18"/>
                <w:szCs w:val="18"/>
              </w:rPr>
            </w:pPr>
            <w:r w:rsidRPr="00545EC0">
              <w:rPr>
                <w:rFonts w:cs="Arial"/>
                <w:sz w:val="18"/>
                <w:szCs w:val="18"/>
              </w:rPr>
              <w:t>Temeljni ukrep »a«</w:t>
            </w:r>
          </w:p>
        </w:tc>
        <w:tc>
          <w:tcPr>
            <w:tcW w:w="580" w:type="pct"/>
            <w:shd w:val="clear" w:color="auto" w:fill="auto"/>
          </w:tcPr>
          <w:p w14:paraId="008C15FC" w14:textId="77777777" w:rsidR="00BE686D" w:rsidRPr="00545EC0" w:rsidRDefault="00BE686D" w:rsidP="00BE686D">
            <w:pPr>
              <w:spacing w:line="240" w:lineRule="auto"/>
              <w:jc w:val="left"/>
              <w:rPr>
                <w:rFonts w:cs="Arial"/>
                <w:bCs/>
                <w:sz w:val="18"/>
                <w:szCs w:val="18"/>
              </w:rPr>
            </w:pPr>
            <w:r w:rsidRPr="00545EC0">
              <w:rPr>
                <w:rFonts w:cs="Arial"/>
                <w:sz w:val="18"/>
                <w:szCs w:val="18"/>
              </w:rPr>
              <w:t>U2a</w:t>
            </w:r>
          </w:p>
        </w:tc>
        <w:tc>
          <w:tcPr>
            <w:tcW w:w="1669" w:type="pct"/>
            <w:shd w:val="clear" w:color="auto" w:fill="auto"/>
          </w:tcPr>
          <w:p w14:paraId="193418ED" w14:textId="77777777" w:rsidR="00BE686D" w:rsidRPr="00545EC0" w:rsidRDefault="00BE686D" w:rsidP="00BE686D">
            <w:pPr>
              <w:spacing w:line="240" w:lineRule="auto"/>
              <w:jc w:val="left"/>
              <w:rPr>
                <w:rFonts w:cs="Arial"/>
                <w:sz w:val="18"/>
                <w:szCs w:val="18"/>
              </w:rPr>
            </w:pPr>
            <w:r w:rsidRPr="00545EC0">
              <w:rPr>
                <w:rFonts w:cs="Arial"/>
                <w:sz w:val="18"/>
                <w:szCs w:val="18"/>
              </w:rPr>
              <w:t>Ohranjanje in uravnavanje vodnih količin</w:t>
            </w:r>
          </w:p>
        </w:tc>
        <w:tc>
          <w:tcPr>
            <w:tcW w:w="774" w:type="pct"/>
          </w:tcPr>
          <w:p w14:paraId="7EACEE4C" w14:textId="77777777" w:rsidR="00BE686D" w:rsidRPr="00545EC0" w:rsidRDefault="00BE686D" w:rsidP="00BE686D">
            <w:pPr>
              <w:spacing w:line="240" w:lineRule="auto"/>
              <w:jc w:val="left"/>
              <w:rPr>
                <w:rFonts w:cs="Arial"/>
                <w:i/>
                <w:sz w:val="18"/>
                <w:szCs w:val="18"/>
              </w:rPr>
            </w:pPr>
            <w:r w:rsidRPr="00545EC0">
              <w:rPr>
                <w:rFonts w:cs="Arial"/>
                <w:i/>
                <w:sz w:val="18"/>
                <w:szCs w:val="18"/>
              </w:rPr>
              <w:t>Varstvo voda,</w:t>
            </w:r>
          </w:p>
          <w:p w14:paraId="4B3ED9C6" w14:textId="77777777" w:rsidR="00BE686D" w:rsidRPr="00545EC0" w:rsidRDefault="00BE686D" w:rsidP="00BE686D">
            <w:pPr>
              <w:spacing w:line="240" w:lineRule="auto"/>
              <w:jc w:val="left"/>
              <w:rPr>
                <w:rFonts w:cs="Arial"/>
                <w:i/>
                <w:sz w:val="18"/>
                <w:szCs w:val="18"/>
              </w:rPr>
            </w:pPr>
            <w:r w:rsidRPr="00545EC0">
              <w:rPr>
                <w:rFonts w:cs="Arial"/>
                <w:i/>
                <w:sz w:val="18"/>
                <w:szCs w:val="18"/>
              </w:rPr>
              <w:t>Raba voda Urejanje voda</w:t>
            </w:r>
          </w:p>
        </w:tc>
        <w:tc>
          <w:tcPr>
            <w:tcW w:w="681" w:type="pct"/>
          </w:tcPr>
          <w:p w14:paraId="45356243" w14:textId="77777777" w:rsidR="00BE686D" w:rsidRPr="00545EC0" w:rsidRDefault="00BE686D" w:rsidP="00BE686D">
            <w:pPr>
              <w:spacing w:line="240" w:lineRule="auto"/>
              <w:jc w:val="left"/>
              <w:rPr>
                <w:rFonts w:cs="Arial"/>
                <w:i/>
                <w:sz w:val="18"/>
                <w:szCs w:val="18"/>
              </w:rPr>
            </w:pPr>
            <w:r w:rsidRPr="00545EC0">
              <w:rPr>
                <w:rFonts w:cs="Arial"/>
                <w:i/>
                <w:sz w:val="18"/>
                <w:szCs w:val="18"/>
              </w:rPr>
              <w:t>Urejanje voda</w:t>
            </w:r>
          </w:p>
        </w:tc>
        <w:tc>
          <w:tcPr>
            <w:tcW w:w="714" w:type="pct"/>
          </w:tcPr>
          <w:p w14:paraId="2C077C4F" w14:textId="77777777" w:rsidR="00BE686D" w:rsidRPr="00545EC0" w:rsidRDefault="00BE686D" w:rsidP="00BE686D">
            <w:pPr>
              <w:spacing w:line="240" w:lineRule="auto"/>
              <w:jc w:val="left"/>
              <w:rPr>
                <w:rFonts w:cs="Arial"/>
                <w:i/>
                <w:sz w:val="18"/>
                <w:szCs w:val="18"/>
              </w:rPr>
            </w:pPr>
            <w:r w:rsidRPr="00545EC0">
              <w:rPr>
                <w:rFonts w:cs="Arial"/>
                <w:i/>
                <w:sz w:val="18"/>
                <w:szCs w:val="18"/>
              </w:rPr>
              <w:t>Podaljšan in posodobljen</w:t>
            </w:r>
          </w:p>
        </w:tc>
      </w:tr>
      <w:tr w:rsidR="007171B1" w:rsidRPr="00545EC0" w14:paraId="71589F45" w14:textId="77777777" w:rsidTr="00BE686D">
        <w:trPr>
          <w:cantSplit/>
          <w:trHeight w:val="300"/>
        </w:trPr>
        <w:tc>
          <w:tcPr>
            <w:tcW w:w="582" w:type="pct"/>
          </w:tcPr>
          <w:p w14:paraId="32B53969" w14:textId="464B2F42" w:rsidR="007171B1" w:rsidRPr="007171B1" w:rsidRDefault="007171B1" w:rsidP="007171B1">
            <w:pPr>
              <w:spacing w:line="240" w:lineRule="auto"/>
              <w:jc w:val="left"/>
              <w:rPr>
                <w:rFonts w:cs="Arial"/>
                <w:sz w:val="18"/>
                <w:szCs w:val="18"/>
              </w:rPr>
            </w:pPr>
            <w:r w:rsidRPr="007171B1">
              <w:rPr>
                <w:sz w:val="18"/>
                <w:szCs w:val="18"/>
              </w:rPr>
              <w:t>Temeljni ukrep »b«</w:t>
            </w:r>
          </w:p>
        </w:tc>
        <w:tc>
          <w:tcPr>
            <w:tcW w:w="580" w:type="pct"/>
            <w:shd w:val="clear" w:color="auto" w:fill="auto"/>
          </w:tcPr>
          <w:p w14:paraId="6D683EFE" w14:textId="4D60C161" w:rsidR="007171B1" w:rsidRPr="007171B1" w:rsidRDefault="007171B1" w:rsidP="007171B1">
            <w:pPr>
              <w:spacing w:line="240" w:lineRule="auto"/>
              <w:jc w:val="left"/>
              <w:rPr>
                <w:rFonts w:cs="Arial"/>
                <w:sz w:val="18"/>
                <w:szCs w:val="18"/>
              </w:rPr>
            </w:pPr>
            <w:r w:rsidRPr="007171B1">
              <w:rPr>
                <w:sz w:val="18"/>
                <w:szCs w:val="18"/>
              </w:rPr>
              <w:t>U2b</w:t>
            </w:r>
          </w:p>
        </w:tc>
        <w:tc>
          <w:tcPr>
            <w:tcW w:w="1669" w:type="pct"/>
            <w:shd w:val="clear" w:color="auto" w:fill="auto"/>
          </w:tcPr>
          <w:p w14:paraId="53458BE9" w14:textId="75F8675D" w:rsidR="007171B1" w:rsidRPr="007171B1" w:rsidRDefault="007171B1" w:rsidP="0097044F">
            <w:pPr>
              <w:spacing w:line="240" w:lineRule="auto"/>
              <w:jc w:val="left"/>
              <w:rPr>
                <w:rFonts w:cs="Arial"/>
                <w:sz w:val="18"/>
                <w:szCs w:val="18"/>
              </w:rPr>
            </w:pPr>
            <w:r w:rsidRPr="007171B1">
              <w:rPr>
                <w:sz w:val="18"/>
                <w:szCs w:val="18"/>
              </w:rPr>
              <w:t xml:space="preserve">Povečevanje odpornosti porečij </w:t>
            </w:r>
          </w:p>
        </w:tc>
        <w:tc>
          <w:tcPr>
            <w:tcW w:w="774" w:type="pct"/>
          </w:tcPr>
          <w:p w14:paraId="275D920E" w14:textId="77777777" w:rsidR="007171B1" w:rsidRDefault="007171B1" w:rsidP="007171B1">
            <w:pPr>
              <w:spacing w:line="240" w:lineRule="auto"/>
              <w:jc w:val="left"/>
              <w:rPr>
                <w:sz w:val="18"/>
                <w:szCs w:val="18"/>
              </w:rPr>
            </w:pPr>
            <w:r w:rsidRPr="007171B1">
              <w:rPr>
                <w:sz w:val="18"/>
                <w:szCs w:val="18"/>
              </w:rPr>
              <w:t>Varstvo voda, Raba voda,</w:t>
            </w:r>
          </w:p>
          <w:p w14:paraId="2E154A3B" w14:textId="4BB8F3DC" w:rsidR="00AC606D" w:rsidRPr="007171B1" w:rsidRDefault="00AC606D" w:rsidP="007171B1">
            <w:pPr>
              <w:spacing w:line="240" w:lineRule="auto"/>
              <w:jc w:val="left"/>
              <w:rPr>
                <w:rFonts w:cs="Arial"/>
                <w:i/>
                <w:sz w:val="18"/>
                <w:szCs w:val="18"/>
              </w:rPr>
            </w:pPr>
            <w:r w:rsidRPr="00545EC0">
              <w:rPr>
                <w:rFonts w:cs="Arial"/>
                <w:i/>
                <w:sz w:val="18"/>
                <w:szCs w:val="18"/>
              </w:rPr>
              <w:t>Urejanje voda</w:t>
            </w:r>
          </w:p>
        </w:tc>
        <w:tc>
          <w:tcPr>
            <w:tcW w:w="681" w:type="pct"/>
          </w:tcPr>
          <w:p w14:paraId="01CD7215" w14:textId="2EB93CC4" w:rsidR="007171B1" w:rsidRPr="007171B1" w:rsidRDefault="00AC606D" w:rsidP="007171B1">
            <w:pPr>
              <w:spacing w:line="240" w:lineRule="auto"/>
              <w:jc w:val="left"/>
              <w:rPr>
                <w:rFonts w:cs="Arial"/>
                <w:i/>
                <w:sz w:val="18"/>
                <w:szCs w:val="18"/>
              </w:rPr>
            </w:pPr>
            <w:r>
              <w:rPr>
                <w:sz w:val="18"/>
                <w:szCs w:val="18"/>
              </w:rPr>
              <w:t>Upravljanje voda</w:t>
            </w:r>
          </w:p>
        </w:tc>
        <w:tc>
          <w:tcPr>
            <w:tcW w:w="714" w:type="pct"/>
          </w:tcPr>
          <w:p w14:paraId="419E4F65" w14:textId="0E34A765" w:rsidR="007171B1" w:rsidRPr="007171B1" w:rsidRDefault="007171B1" w:rsidP="007171B1">
            <w:pPr>
              <w:spacing w:line="240" w:lineRule="auto"/>
              <w:jc w:val="left"/>
              <w:rPr>
                <w:rFonts w:cs="Arial"/>
                <w:i/>
                <w:sz w:val="18"/>
                <w:szCs w:val="18"/>
              </w:rPr>
            </w:pPr>
            <w:r>
              <w:rPr>
                <w:sz w:val="18"/>
                <w:szCs w:val="18"/>
              </w:rPr>
              <w:t>Novi ukrep</w:t>
            </w:r>
          </w:p>
        </w:tc>
      </w:tr>
      <w:tr w:rsidR="007171B1" w:rsidRPr="00545EC0" w14:paraId="00238CCC" w14:textId="77777777" w:rsidTr="00BE686D">
        <w:trPr>
          <w:cantSplit/>
          <w:trHeight w:val="70"/>
        </w:trPr>
        <w:tc>
          <w:tcPr>
            <w:tcW w:w="582" w:type="pct"/>
          </w:tcPr>
          <w:p w14:paraId="35503DBA" w14:textId="77777777" w:rsidR="007171B1" w:rsidRPr="00545EC0" w:rsidRDefault="007171B1" w:rsidP="007171B1">
            <w:pPr>
              <w:spacing w:line="240" w:lineRule="auto"/>
              <w:jc w:val="left"/>
              <w:rPr>
                <w:rFonts w:cs="Arial"/>
                <w:sz w:val="18"/>
                <w:szCs w:val="18"/>
              </w:rPr>
            </w:pPr>
            <w:r w:rsidRPr="00545EC0">
              <w:rPr>
                <w:rFonts w:cs="Arial"/>
                <w:sz w:val="18"/>
                <w:szCs w:val="18"/>
              </w:rPr>
              <w:t>Temeljni ukrep »a«</w:t>
            </w:r>
          </w:p>
        </w:tc>
        <w:tc>
          <w:tcPr>
            <w:tcW w:w="580" w:type="pct"/>
            <w:shd w:val="clear" w:color="auto" w:fill="auto"/>
          </w:tcPr>
          <w:p w14:paraId="625CCD6D" w14:textId="77777777" w:rsidR="007171B1" w:rsidRPr="00545EC0" w:rsidRDefault="007171B1" w:rsidP="007171B1">
            <w:pPr>
              <w:spacing w:line="240" w:lineRule="auto"/>
              <w:jc w:val="left"/>
              <w:rPr>
                <w:rFonts w:cs="Arial"/>
                <w:bCs/>
                <w:sz w:val="18"/>
                <w:szCs w:val="18"/>
              </w:rPr>
            </w:pPr>
            <w:r w:rsidRPr="00545EC0">
              <w:rPr>
                <w:rFonts w:cs="Arial"/>
                <w:sz w:val="18"/>
                <w:szCs w:val="18"/>
              </w:rPr>
              <w:t>U3a</w:t>
            </w:r>
          </w:p>
        </w:tc>
        <w:tc>
          <w:tcPr>
            <w:tcW w:w="1669" w:type="pct"/>
            <w:shd w:val="clear" w:color="auto" w:fill="auto"/>
          </w:tcPr>
          <w:p w14:paraId="1D41CC08" w14:textId="77777777" w:rsidR="007171B1" w:rsidRPr="00545EC0" w:rsidRDefault="007171B1" w:rsidP="007171B1">
            <w:pPr>
              <w:spacing w:line="240" w:lineRule="auto"/>
              <w:jc w:val="left"/>
              <w:rPr>
                <w:rFonts w:cs="Arial"/>
                <w:sz w:val="18"/>
                <w:szCs w:val="18"/>
              </w:rPr>
            </w:pPr>
            <w:r w:rsidRPr="00545EC0">
              <w:rPr>
                <w:rFonts w:cs="Arial"/>
                <w:sz w:val="18"/>
                <w:szCs w:val="18"/>
              </w:rPr>
              <w:t>Vzdrževanje vodnih in priobalnih zemljišč</w:t>
            </w:r>
          </w:p>
        </w:tc>
        <w:tc>
          <w:tcPr>
            <w:tcW w:w="774" w:type="pct"/>
          </w:tcPr>
          <w:p w14:paraId="003D04EF" w14:textId="77777777" w:rsidR="007171B1" w:rsidRPr="00545EC0" w:rsidRDefault="007171B1" w:rsidP="007171B1">
            <w:pPr>
              <w:spacing w:line="240" w:lineRule="auto"/>
              <w:jc w:val="left"/>
              <w:rPr>
                <w:rFonts w:cs="Arial"/>
                <w:i/>
                <w:sz w:val="18"/>
                <w:szCs w:val="18"/>
              </w:rPr>
            </w:pPr>
            <w:r w:rsidRPr="00545EC0">
              <w:rPr>
                <w:rFonts w:cs="Arial"/>
                <w:i/>
                <w:sz w:val="18"/>
                <w:szCs w:val="18"/>
              </w:rPr>
              <w:t>Varstvo voda, Urejanje voda</w:t>
            </w:r>
          </w:p>
        </w:tc>
        <w:tc>
          <w:tcPr>
            <w:tcW w:w="681" w:type="pct"/>
          </w:tcPr>
          <w:p w14:paraId="3FF2F6E0" w14:textId="77777777" w:rsidR="007171B1" w:rsidRPr="00545EC0" w:rsidRDefault="007171B1" w:rsidP="007171B1">
            <w:pPr>
              <w:spacing w:line="240" w:lineRule="auto"/>
              <w:jc w:val="left"/>
              <w:rPr>
                <w:rFonts w:cs="Arial"/>
                <w:i/>
                <w:sz w:val="18"/>
                <w:szCs w:val="18"/>
              </w:rPr>
            </w:pPr>
            <w:r w:rsidRPr="00545EC0">
              <w:rPr>
                <w:rFonts w:cs="Arial"/>
                <w:i/>
                <w:sz w:val="18"/>
                <w:szCs w:val="18"/>
              </w:rPr>
              <w:t>Urejanje voda</w:t>
            </w:r>
          </w:p>
        </w:tc>
        <w:tc>
          <w:tcPr>
            <w:tcW w:w="714" w:type="pct"/>
          </w:tcPr>
          <w:p w14:paraId="66F5D61A" w14:textId="77777777" w:rsidR="007171B1" w:rsidRPr="00545EC0" w:rsidRDefault="007171B1" w:rsidP="007171B1">
            <w:pPr>
              <w:spacing w:line="240" w:lineRule="auto"/>
              <w:jc w:val="left"/>
              <w:rPr>
                <w:rFonts w:cs="Arial"/>
                <w:i/>
                <w:sz w:val="18"/>
                <w:szCs w:val="18"/>
              </w:rPr>
            </w:pPr>
            <w:r w:rsidRPr="00545EC0">
              <w:rPr>
                <w:rFonts w:cs="Arial"/>
                <w:i/>
                <w:sz w:val="18"/>
                <w:szCs w:val="18"/>
              </w:rPr>
              <w:t>Podaljšan in posodobljen</w:t>
            </w:r>
          </w:p>
        </w:tc>
      </w:tr>
    </w:tbl>
    <w:p w14:paraId="17840D7C" w14:textId="77777777" w:rsidR="0018237C" w:rsidRPr="00545EC0" w:rsidRDefault="0018237C" w:rsidP="0018237C">
      <w:pPr>
        <w:rPr>
          <w:lang w:eastAsia="x-none"/>
        </w:rPr>
      </w:pPr>
    </w:p>
    <w:p w14:paraId="12AA4410" w14:textId="77777777" w:rsidR="00B51AD3" w:rsidRPr="00545EC0" w:rsidRDefault="00B51AD3" w:rsidP="00B51AD3">
      <w:bookmarkStart w:id="672" w:name="_Toc84343867"/>
      <w:bookmarkStart w:id="673" w:name="_Toc84402936"/>
      <w:bookmarkStart w:id="674" w:name="_Toc84496175"/>
      <w:bookmarkStart w:id="675" w:name="_Toc84496289"/>
      <w:bookmarkStart w:id="676" w:name="_Toc84575782"/>
      <w:bookmarkStart w:id="677" w:name="_Toc84579936"/>
      <w:bookmarkStart w:id="678" w:name="_Toc87943848"/>
      <w:bookmarkEnd w:id="672"/>
      <w:bookmarkEnd w:id="673"/>
      <w:bookmarkEnd w:id="674"/>
      <w:bookmarkEnd w:id="675"/>
      <w:bookmarkEnd w:id="676"/>
      <w:bookmarkEnd w:id="677"/>
      <w:bookmarkEnd w:id="678"/>
    </w:p>
    <w:p w14:paraId="2FE119D6" w14:textId="5A553A4B" w:rsidR="00791254" w:rsidRPr="00545EC0" w:rsidRDefault="005709D6" w:rsidP="00B51AD3">
      <w:pPr>
        <w:pStyle w:val="Naslov20"/>
      </w:pPr>
      <w:bookmarkStart w:id="679" w:name="_Toc90261082"/>
      <w:r w:rsidRPr="00545EC0">
        <w:t>Povzetek dopolnilnih ukrepov</w:t>
      </w:r>
      <w:bookmarkEnd w:id="679"/>
      <w:r w:rsidRPr="00545EC0">
        <w:t xml:space="preserve"> </w:t>
      </w:r>
    </w:p>
    <w:p w14:paraId="738B06F1" w14:textId="77777777" w:rsidR="00B51AD3" w:rsidRPr="00545EC0" w:rsidRDefault="00B51AD3" w:rsidP="00B51AD3"/>
    <w:p w14:paraId="3AE0786A" w14:textId="77777777" w:rsidR="00D2780B" w:rsidRPr="00545EC0" w:rsidRDefault="00D2780B" w:rsidP="00D2780B">
      <w:pPr>
        <w:rPr>
          <w:rFonts w:cs="Arial"/>
        </w:rPr>
      </w:pPr>
      <w:bookmarkStart w:id="680" w:name="_Toc419099316"/>
      <w:r w:rsidRPr="00545EC0">
        <w:rPr>
          <w:rFonts w:cs="Arial"/>
          <w:szCs w:val="22"/>
        </w:rPr>
        <w:t>Za vodna telesa (VTPV in VTPodV), kjer se ocenjuje, da okoljski cilji leta 2021 oz. 2027 ne bodo doseženi kljub izvajanju temeljnih ukrepov, so predvideni dopolnilni ukrepi. Seznam dopolnilnih ukrepov za doseganje dobrega stanja (v nadaljnjem besedilu: DUDDS) je podan v preglednici (</w:t>
      </w:r>
      <w:r w:rsidRPr="00545EC0">
        <w:rPr>
          <w:rFonts w:ascii="Tahoma" w:hAnsi="Tahoma" w:cs="Tahoma"/>
          <w:szCs w:val="24"/>
        </w:rPr>
        <w:fldChar w:fldCharType="begin"/>
      </w:r>
      <w:r w:rsidRPr="00545EC0">
        <w:rPr>
          <w:rFonts w:ascii="Tahoma" w:hAnsi="Tahoma" w:cs="Tahoma"/>
          <w:szCs w:val="24"/>
        </w:rPr>
        <w:instrText xml:space="preserve"> REF _Ref429638327 \h  \* MERGEFORMAT </w:instrText>
      </w:r>
      <w:r w:rsidRPr="00545EC0">
        <w:rPr>
          <w:rFonts w:ascii="Tahoma" w:hAnsi="Tahoma" w:cs="Tahoma"/>
          <w:szCs w:val="24"/>
        </w:rPr>
      </w:r>
      <w:r w:rsidRPr="00545EC0">
        <w:rPr>
          <w:rFonts w:ascii="Tahoma" w:hAnsi="Tahoma" w:cs="Tahoma"/>
          <w:szCs w:val="24"/>
        </w:rPr>
        <w:fldChar w:fldCharType="separate"/>
      </w:r>
      <w:r w:rsidR="002F3E43" w:rsidRPr="00545EC0">
        <w:t xml:space="preserve">Preglednica </w:t>
      </w:r>
      <w:r w:rsidR="002F3E43">
        <w:rPr>
          <w:noProof/>
        </w:rPr>
        <w:t>6</w:t>
      </w:r>
      <w:r w:rsidR="002F3E43" w:rsidRPr="00545EC0">
        <w:rPr>
          <w:noProof/>
        </w:rPr>
        <w:noBreakHyphen/>
      </w:r>
      <w:r w:rsidR="002F3E43">
        <w:rPr>
          <w:noProof/>
        </w:rPr>
        <w:t>3</w:t>
      </w:r>
      <w:r w:rsidRPr="00545EC0">
        <w:rPr>
          <w:rFonts w:ascii="Tahoma" w:hAnsi="Tahoma" w:cs="Tahoma"/>
          <w:szCs w:val="24"/>
        </w:rPr>
        <w:fldChar w:fldCharType="end"/>
      </w:r>
      <w:r w:rsidRPr="00545EC0">
        <w:rPr>
          <w:rFonts w:cs="Arial"/>
          <w:szCs w:val="22"/>
        </w:rPr>
        <w:t>). Podrobnejši</w:t>
      </w:r>
      <w:r w:rsidRPr="00545EC0">
        <w:rPr>
          <w:rFonts w:cs="Arial"/>
        </w:rPr>
        <w:t xml:space="preserve"> opis ukrepov je podan v Programu ukrepov upravljanja voda. Dopolnilni ukrepi za doseganje dobrega stanja voda zajemajo področja hidromorfoloških obremenitev in onesnaževanje voda.</w:t>
      </w:r>
    </w:p>
    <w:p w14:paraId="50783D1E" w14:textId="034E3A91" w:rsidR="00515A81" w:rsidRPr="00545EC0" w:rsidRDefault="00F11C46">
      <w:pPr>
        <w:pStyle w:val="Naslov3"/>
      </w:pPr>
      <w:bookmarkStart w:id="681" w:name="_Toc84343876"/>
      <w:bookmarkStart w:id="682" w:name="_Toc84402945"/>
      <w:bookmarkStart w:id="683" w:name="_Toc84496184"/>
      <w:bookmarkStart w:id="684" w:name="_Toc84496298"/>
      <w:bookmarkStart w:id="685" w:name="_Toc84575791"/>
      <w:bookmarkStart w:id="686" w:name="_Toc84579945"/>
      <w:bookmarkStart w:id="687" w:name="_Toc87943857"/>
      <w:bookmarkStart w:id="688" w:name="_Toc90261083"/>
      <w:bookmarkEnd w:id="681"/>
      <w:bookmarkEnd w:id="682"/>
      <w:bookmarkEnd w:id="683"/>
      <w:bookmarkEnd w:id="684"/>
      <w:bookmarkEnd w:id="685"/>
      <w:bookmarkEnd w:id="686"/>
      <w:bookmarkEnd w:id="687"/>
      <w:r w:rsidRPr="00545EC0">
        <w:t>Povzetek</w:t>
      </w:r>
      <w:r w:rsidR="00515A81" w:rsidRPr="00545EC0">
        <w:t xml:space="preserve"> dopolnilnih ukrepov</w:t>
      </w:r>
      <w:bookmarkEnd w:id="688"/>
      <w:r w:rsidR="00515A81" w:rsidRPr="00545EC0">
        <w:t xml:space="preserve"> </w:t>
      </w:r>
    </w:p>
    <w:p w14:paraId="7018A163" w14:textId="68BBE0F7" w:rsidR="00A8499B" w:rsidRPr="00545EC0" w:rsidRDefault="00142B26" w:rsidP="00515A81">
      <w:pPr>
        <w:rPr>
          <w:rFonts w:cs="Arial"/>
          <w:szCs w:val="24"/>
        </w:rPr>
      </w:pPr>
      <w:r w:rsidRPr="00545EC0">
        <w:rPr>
          <w:rFonts w:cs="Arial"/>
          <w:szCs w:val="24"/>
        </w:rPr>
        <w:t xml:space="preserve">V nadaljevanju je podan povzetek dopolnilnih ukrepov za doseganje dobrega stanja voda, za katere se predlaga izvajanja v programskem obdobju 2022–2027 </w:t>
      </w:r>
      <w:r w:rsidR="008F5AC8" w:rsidRPr="00545EC0">
        <w:rPr>
          <w:rFonts w:cs="Arial"/>
          <w:szCs w:val="24"/>
        </w:rPr>
        <w:t>(</w:t>
      </w:r>
      <w:r w:rsidR="008F5AC8" w:rsidRPr="00545EC0">
        <w:rPr>
          <w:rFonts w:cs="Arial"/>
          <w:szCs w:val="24"/>
        </w:rPr>
        <w:fldChar w:fldCharType="begin"/>
      </w:r>
      <w:r w:rsidR="008F5AC8" w:rsidRPr="00545EC0">
        <w:rPr>
          <w:rFonts w:cs="Arial"/>
          <w:szCs w:val="24"/>
        </w:rPr>
        <w:instrText xml:space="preserve"> REF _Ref429638327 \h </w:instrText>
      </w:r>
      <w:r w:rsidR="002464EE" w:rsidRPr="00545EC0">
        <w:rPr>
          <w:rFonts w:cs="Arial"/>
          <w:szCs w:val="24"/>
        </w:rPr>
        <w:instrText xml:space="preserve"> \* MERGEFORMAT </w:instrText>
      </w:r>
      <w:r w:rsidR="008F5AC8" w:rsidRPr="00545EC0">
        <w:rPr>
          <w:rFonts w:cs="Arial"/>
          <w:szCs w:val="24"/>
        </w:rPr>
      </w:r>
      <w:r w:rsidR="008F5AC8" w:rsidRPr="00545EC0">
        <w:rPr>
          <w:rFonts w:cs="Arial"/>
          <w:szCs w:val="24"/>
        </w:rPr>
        <w:fldChar w:fldCharType="separate"/>
      </w:r>
      <w:r w:rsidR="002F3E43" w:rsidRPr="002F3E43">
        <w:rPr>
          <w:rFonts w:cs="Arial"/>
        </w:rPr>
        <w:t xml:space="preserve">Preglednica </w:t>
      </w:r>
      <w:r w:rsidR="002F3E43" w:rsidRPr="002F3E43">
        <w:rPr>
          <w:rFonts w:cs="Arial"/>
          <w:noProof/>
        </w:rPr>
        <w:t>6</w:t>
      </w:r>
      <w:r w:rsidR="002F3E43" w:rsidRPr="002F3E43">
        <w:rPr>
          <w:rFonts w:cs="Arial"/>
          <w:noProof/>
        </w:rPr>
        <w:noBreakHyphen/>
        <w:t>3</w:t>
      </w:r>
      <w:r w:rsidR="008F5AC8" w:rsidRPr="00545EC0">
        <w:rPr>
          <w:rFonts w:cs="Arial"/>
          <w:szCs w:val="24"/>
        </w:rPr>
        <w:fldChar w:fldCharType="end"/>
      </w:r>
      <w:r w:rsidR="008F5AC8" w:rsidRPr="00545EC0">
        <w:rPr>
          <w:rFonts w:cs="Arial"/>
          <w:szCs w:val="24"/>
        </w:rPr>
        <w:t>)</w:t>
      </w:r>
      <w:r w:rsidR="00515A81" w:rsidRPr="00545EC0">
        <w:rPr>
          <w:rFonts w:cs="Arial"/>
          <w:szCs w:val="24"/>
        </w:rPr>
        <w:t xml:space="preserve">. </w:t>
      </w:r>
    </w:p>
    <w:p w14:paraId="7CB741A5" w14:textId="77777777" w:rsidR="00515A81" w:rsidRPr="00545EC0" w:rsidRDefault="00515A81" w:rsidP="003176A4">
      <w:pPr>
        <w:pStyle w:val="Napis"/>
      </w:pPr>
    </w:p>
    <w:p w14:paraId="244E8FCE" w14:textId="77777777" w:rsidR="00142B26" w:rsidRPr="00545EC0" w:rsidRDefault="00142B26" w:rsidP="00142B26">
      <w:pPr>
        <w:spacing w:line="276" w:lineRule="auto"/>
        <w:rPr>
          <w:rFonts w:cs="Arial"/>
          <w:szCs w:val="20"/>
        </w:rPr>
      </w:pPr>
      <w:r w:rsidRPr="00545EC0">
        <w:rPr>
          <w:rFonts w:cs="Arial"/>
          <w:szCs w:val="20"/>
        </w:rPr>
        <w:t>V okviru pregleda in dopolnitev ukrepov Programa ukrepov upravljanja voda 2016 so bile za posamezne dopolnilne ukrepe za doseganje dobrega stanja voda izvedene spremembe in dopolnitve ukrepov, ki so povzete v preglednici (</w:t>
      </w:r>
      <w:r w:rsidRPr="00545EC0">
        <w:rPr>
          <w:rFonts w:cs="Arial"/>
          <w:szCs w:val="24"/>
        </w:rPr>
        <w:fldChar w:fldCharType="begin"/>
      </w:r>
      <w:r w:rsidRPr="00545EC0">
        <w:rPr>
          <w:rFonts w:cs="Arial"/>
          <w:szCs w:val="24"/>
        </w:rPr>
        <w:instrText xml:space="preserve"> REF _Ref429638327 \h  \* MERGEFORMAT </w:instrText>
      </w:r>
      <w:r w:rsidRPr="00545EC0">
        <w:rPr>
          <w:rFonts w:cs="Arial"/>
          <w:szCs w:val="24"/>
        </w:rPr>
      </w:r>
      <w:r w:rsidRPr="00545EC0">
        <w:rPr>
          <w:rFonts w:cs="Arial"/>
          <w:szCs w:val="24"/>
        </w:rPr>
        <w:fldChar w:fldCharType="separate"/>
      </w:r>
      <w:r w:rsidR="002F3E43" w:rsidRPr="002F3E43">
        <w:rPr>
          <w:rFonts w:cs="Arial"/>
        </w:rPr>
        <w:t>Preglednica 6</w:t>
      </w:r>
      <w:r w:rsidR="002F3E43" w:rsidRPr="002F3E43">
        <w:rPr>
          <w:rFonts w:cs="Arial"/>
        </w:rPr>
        <w:noBreakHyphen/>
        <w:t>3</w:t>
      </w:r>
      <w:r w:rsidRPr="00545EC0">
        <w:rPr>
          <w:rFonts w:cs="Arial"/>
          <w:szCs w:val="24"/>
        </w:rPr>
        <w:fldChar w:fldCharType="end"/>
      </w:r>
      <w:r w:rsidRPr="00545EC0">
        <w:rPr>
          <w:rFonts w:cs="Arial"/>
          <w:szCs w:val="24"/>
        </w:rPr>
        <w:t>)</w:t>
      </w:r>
      <w:r w:rsidRPr="00545EC0">
        <w:rPr>
          <w:rFonts w:cs="Arial"/>
          <w:szCs w:val="20"/>
        </w:rPr>
        <w:t xml:space="preserve"> in v nadaljevanju besedila. Spremembe in dopolnitve ukrepov, ki se nanašajo na ukrepe za doseganje dobrega stanja voda, zajemajo:</w:t>
      </w:r>
    </w:p>
    <w:p w14:paraId="74EFA12F" w14:textId="77777777" w:rsidR="00142B26" w:rsidRPr="00545EC0" w:rsidRDefault="00142B26" w:rsidP="00142B26">
      <w:pPr>
        <w:pStyle w:val="Odstavekseznama"/>
        <w:numPr>
          <w:ilvl w:val="0"/>
          <w:numId w:val="20"/>
        </w:numPr>
        <w:spacing w:line="276" w:lineRule="auto"/>
        <w:rPr>
          <w:rFonts w:cs="Arial"/>
          <w:szCs w:val="20"/>
        </w:rPr>
      </w:pPr>
      <w:r w:rsidRPr="00545EC0">
        <w:rPr>
          <w:rFonts w:cs="Arial"/>
          <w:szCs w:val="20"/>
          <w:lang w:val="sl-SI"/>
        </w:rPr>
        <w:t>p</w:t>
      </w:r>
      <w:r w:rsidRPr="00545EC0">
        <w:rPr>
          <w:rFonts w:cs="Arial"/>
          <w:szCs w:val="20"/>
        </w:rPr>
        <w:t>odaljšan</w:t>
      </w:r>
      <w:r w:rsidRPr="00545EC0">
        <w:rPr>
          <w:rFonts w:cs="Arial"/>
          <w:szCs w:val="20"/>
          <w:lang w:val="sl-SI"/>
        </w:rPr>
        <w:t>je izvajanja dopolnilnega ukrepa</w:t>
      </w:r>
      <w:r w:rsidRPr="00545EC0">
        <w:rPr>
          <w:rFonts w:cs="Arial"/>
          <w:szCs w:val="20"/>
        </w:rPr>
        <w:t xml:space="preserve"> v programsko obdobje 2022-2027 </w:t>
      </w:r>
    </w:p>
    <w:p w14:paraId="28076FA0" w14:textId="77777777" w:rsidR="00142B26" w:rsidRPr="00545EC0" w:rsidRDefault="00142B26" w:rsidP="00142B26">
      <w:pPr>
        <w:pStyle w:val="Odstavekseznama"/>
        <w:numPr>
          <w:ilvl w:val="0"/>
          <w:numId w:val="20"/>
        </w:numPr>
        <w:spacing w:line="276" w:lineRule="auto"/>
        <w:rPr>
          <w:rFonts w:cs="Arial"/>
          <w:szCs w:val="20"/>
        </w:rPr>
      </w:pPr>
      <w:r w:rsidRPr="00545EC0">
        <w:rPr>
          <w:rFonts w:cs="Arial"/>
          <w:szCs w:val="20"/>
        </w:rPr>
        <w:t xml:space="preserve">spremembe in dopolnitve opisa </w:t>
      </w:r>
      <w:r w:rsidRPr="00545EC0">
        <w:rPr>
          <w:rFonts w:cs="Arial"/>
          <w:szCs w:val="20"/>
          <w:lang w:val="sl-SI"/>
        </w:rPr>
        <w:t xml:space="preserve">dopolnilnega </w:t>
      </w:r>
      <w:r w:rsidRPr="00545EC0">
        <w:rPr>
          <w:rFonts w:cs="Arial"/>
          <w:szCs w:val="20"/>
        </w:rPr>
        <w:t>ukrepa</w:t>
      </w:r>
      <w:r w:rsidRPr="00545EC0">
        <w:rPr>
          <w:rFonts w:cs="Arial"/>
          <w:szCs w:val="20"/>
          <w:lang w:val="sl-SI"/>
        </w:rPr>
        <w:t xml:space="preserve">, </w:t>
      </w:r>
      <w:r w:rsidRPr="00545EC0">
        <w:rPr>
          <w:rFonts w:cs="Arial"/>
          <w:szCs w:val="20"/>
        </w:rPr>
        <w:t>z upoštevanjem</w:t>
      </w:r>
      <w:r w:rsidRPr="00545EC0">
        <w:rPr>
          <w:rFonts w:cs="Arial"/>
          <w:szCs w:val="20"/>
          <w:lang w:val="sl-SI"/>
        </w:rPr>
        <w:t xml:space="preserve"> </w:t>
      </w:r>
      <w:r w:rsidRPr="00545EC0">
        <w:rPr>
          <w:rFonts w:cs="Arial"/>
          <w:szCs w:val="20"/>
        </w:rPr>
        <w:t xml:space="preserve">podatkov zbranih v okviru posodobitve načrtov upravljanja voda na vodnih območjih za obdobje 2022-2027, </w:t>
      </w:r>
    </w:p>
    <w:p w14:paraId="4A47550D" w14:textId="77777777" w:rsidR="00B51AD3" w:rsidRPr="00545EC0" w:rsidRDefault="00142B26" w:rsidP="00142B26">
      <w:pPr>
        <w:pStyle w:val="Odstavekseznama"/>
        <w:numPr>
          <w:ilvl w:val="0"/>
          <w:numId w:val="20"/>
        </w:numPr>
        <w:spacing w:line="276" w:lineRule="auto"/>
        <w:rPr>
          <w:rFonts w:cs="Arial"/>
          <w:szCs w:val="20"/>
        </w:rPr>
      </w:pPr>
      <w:r w:rsidRPr="00545EC0">
        <w:rPr>
          <w:rFonts w:cs="Arial"/>
          <w:szCs w:val="20"/>
        </w:rPr>
        <w:t>spremembe in dopolnitve</w:t>
      </w:r>
      <w:r w:rsidRPr="00545EC0">
        <w:rPr>
          <w:rFonts w:cs="Arial"/>
          <w:szCs w:val="20"/>
          <w:lang w:val="sl-SI"/>
        </w:rPr>
        <w:t xml:space="preserve"> števila vodnih teles, na katerih se ukrep izvaja in</w:t>
      </w:r>
    </w:p>
    <w:p w14:paraId="56FC3372" w14:textId="2D96AACA" w:rsidR="00142B26" w:rsidRPr="00545EC0" w:rsidRDefault="00142B26" w:rsidP="00142B26">
      <w:pPr>
        <w:pStyle w:val="Odstavekseznama"/>
        <w:numPr>
          <w:ilvl w:val="0"/>
          <w:numId w:val="20"/>
        </w:numPr>
        <w:spacing w:line="276" w:lineRule="auto"/>
        <w:rPr>
          <w:rFonts w:cs="Arial"/>
          <w:szCs w:val="20"/>
        </w:rPr>
      </w:pPr>
      <w:r w:rsidRPr="00545EC0">
        <w:rPr>
          <w:rFonts w:cs="Arial"/>
          <w:szCs w:val="20"/>
        </w:rPr>
        <w:t xml:space="preserve">spremembe ocene finančnih sredstev za izvajanje dopolnilnih ukrepov, ob upoštevanju rasti cen in ob upoštevanju sprememb in dopolnitev opisa dopolnilnega ukrepa in števila vodnih teles, na katerih se ukrep izvaja </w:t>
      </w:r>
    </w:p>
    <w:p w14:paraId="4A47D532" w14:textId="77777777" w:rsidR="005F2DC7" w:rsidRPr="00545EC0" w:rsidRDefault="005F2DC7" w:rsidP="00142B26">
      <w:pPr>
        <w:rPr>
          <w:lang w:eastAsia="x-none"/>
        </w:rPr>
      </w:pPr>
    </w:p>
    <w:p w14:paraId="1D5E4A7C" w14:textId="241F64B6" w:rsidR="00515A81" w:rsidRPr="00545EC0" w:rsidRDefault="00515A81" w:rsidP="003176A4">
      <w:pPr>
        <w:pStyle w:val="Napis"/>
      </w:pPr>
      <w:bookmarkStart w:id="689" w:name="_Ref429638327"/>
      <w:r w:rsidRPr="00545EC0">
        <w:t xml:space="preserve">Preglednica </w:t>
      </w:r>
      <w:fldSimple w:instr=" STYLEREF 1 \s ">
        <w:r w:rsidR="002F3E43">
          <w:rPr>
            <w:noProof/>
          </w:rPr>
          <w:t>6</w:t>
        </w:r>
      </w:fldSimple>
      <w:r w:rsidR="001A7511" w:rsidRPr="00545EC0">
        <w:noBreakHyphen/>
      </w:r>
      <w:fldSimple w:instr=" SEQ Preglednica \* ARABIC \s 1 ">
        <w:r w:rsidR="002F3E43">
          <w:rPr>
            <w:noProof/>
          </w:rPr>
          <w:t>3</w:t>
        </w:r>
      </w:fldSimple>
      <w:bookmarkEnd w:id="689"/>
      <w:r w:rsidRPr="00545EC0">
        <w:t>: P</w:t>
      </w:r>
      <w:r w:rsidR="00F11C46" w:rsidRPr="00545EC0">
        <w:t>ovzetek</w:t>
      </w:r>
      <w:r w:rsidRPr="00545EC0">
        <w:t xml:space="preserve"> do</w:t>
      </w:r>
      <w:r w:rsidR="00485351" w:rsidRPr="00545EC0">
        <w:t>polnilnih ukrepov</w:t>
      </w:r>
    </w:p>
    <w:tbl>
      <w:tblPr>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15"/>
        <w:gridCol w:w="4241"/>
        <w:gridCol w:w="1843"/>
        <w:gridCol w:w="1914"/>
      </w:tblGrid>
      <w:tr w:rsidR="009E1645" w:rsidRPr="00545EC0" w14:paraId="77A95D55" w14:textId="77777777" w:rsidTr="00D26643">
        <w:trPr>
          <w:cantSplit/>
          <w:trHeight w:val="300"/>
          <w:tblHeader/>
        </w:trPr>
        <w:tc>
          <w:tcPr>
            <w:tcW w:w="1215" w:type="dxa"/>
            <w:shd w:val="clear" w:color="auto" w:fill="F2F2F2" w:themeFill="background1" w:themeFillShade="F2"/>
            <w:vAlign w:val="center"/>
            <w:hideMark/>
          </w:tcPr>
          <w:p w14:paraId="79363FAA" w14:textId="77777777" w:rsidR="009E1645" w:rsidRPr="00545EC0" w:rsidRDefault="009E1645" w:rsidP="00F93A51">
            <w:pPr>
              <w:contextualSpacing/>
              <w:jc w:val="center"/>
              <w:rPr>
                <w:rFonts w:cs="Arial"/>
                <w:b/>
                <w:sz w:val="18"/>
                <w:szCs w:val="18"/>
              </w:rPr>
            </w:pPr>
            <w:r w:rsidRPr="00545EC0">
              <w:rPr>
                <w:rFonts w:cs="Arial"/>
                <w:b/>
                <w:sz w:val="18"/>
                <w:szCs w:val="18"/>
              </w:rPr>
              <w:t>Koda ukrepa</w:t>
            </w:r>
          </w:p>
        </w:tc>
        <w:tc>
          <w:tcPr>
            <w:tcW w:w="4241" w:type="dxa"/>
            <w:shd w:val="clear" w:color="auto" w:fill="F2F2F2" w:themeFill="background1" w:themeFillShade="F2"/>
            <w:vAlign w:val="center"/>
            <w:hideMark/>
          </w:tcPr>
          <w:p w14:paraId="31354DD3" w14:textId="77777777" w:rsidR="009E1645" w:rsidRPr="00545EC0" w:rsidRDefault="009E1645" w:rsidP="00F93A51">
            <w:pPr>
              <w:contextualSpacing/>
              <w:jc w:val="left"/>
              <w:rPr>
                <w:rFonts w:cs="Arial"/>
                <w:sz w:val="18"/>
                <w:szCs w:val="18"/>
              </w:rPr>
            </w:pPr>
            <w:r w:rsidRPr="00545EC0">
              <w:rPr>
                <w:rFonts w:cs="Arial"/>
                <w:b/>
                <w:sz w:val="18"/>
                <w:szCs w:val="18"/>
              </w:rPr>
              <w:t>Ime ukrepa</w:t>
            </w:r>
          </w:p>
        </w:tc>
        <w:tc>
          <w:tcPr>
            <w:tcW w:w="1843" w:type="dxa"/>
            <w:shd w:val="clear" w:color="auto" w:fill="F2F2F2" w:themeFill="background1" w:themeFillShade="F2"/>
            <w:noWrap/>
            <w:vAlign w:val="center"/>
          </w:tcPr>
          <w:p w14:paraId="64F7753C" w14:textId="77777777" w:rsidR="009E1645" w:rsidRPr="00545EC0" w:rsidRDefault="009E1645" w:rsidP="00F93A51">
            <w:pPr>
              <w:contextualSpacing/>
              <w:jc w:val="center"/>
              <w:rPr>
                <w:rFonts w:cs="Arial"/>
                <w:b/>
                <w:sz w:val="18"/>
                <w:szCs w:val="18"/>
              </w:rPr>
            </w:pPr>
            <w:r w:rsidRPr="00545EC0">
              <w:rPr>
                <w:rFonts w:cs="Arial"/>
                <w:b/>
                <w:sz w:val="18"/>
                <w:szCs w:val="18"/>
              </w:rPr>
              <w:t>Področje</w:t>
            </w:r>
          </w:p>
        </w:tc>
        <w:tc>
          <w:tcPr>
            <w:tcW w:w="1914" w:type="dxa"/>
            <w:shd w:val="clear" w:color="auto" w:fill="F2F2F2" w:themeFill="background1" w:themeFillShade="F2"/>
            <w:vAlign w:val="center"/>
          </w:tcPr>
          <w:p w14:paraId="045979FC" w14:textId="77777777" w:rsidR="009E1645" w:rsidRPr="00545EC0" w:rsidRDefault="009E1645" w:rsidP="00F93A51">
            <w:pPr>
              <w:contextualSpacing/>
              <w:jc w:val="center"/>
              <w:rPr>
                <w:rFonts w:cs="Arial"/>
                <w:b/>
                <w:sz w:val="18"/>
                <w:szCs w:val="18"/>
              </w:rPr>
            </w:pPr>
            <w:r w:rsidRPr="00545EC0">
              <w:rPr>
                <w:rFonts w:cs="Arial"/>
                <w:b/>
                <w:sz w:val="18"/>
                <w:szCs w:val="18"/>
              </w:rPr>
              <w:t>Izvedene spremembe in dopolnitve ukrepov</w:t>
            </w:r>
          </w:p>
        </w:tc>
      </w:tr>
      <w:tr w:rsidR="009E1645" w:rsidRPr="00545EC0" w14:paraId="145224E6" w14:textId="77777777" w:rsidTr="00D26643">
        <w:trPr>
          <w:cantSplit/>
          <w:trHeight w:val="300"/>
        </w:trPr>
        <w:tc>
          <w:tcPr>
            <w:tcW w:w="1215" w:type="dxa"/>
            <w:shd w:val="clear" w:color="auto" w:fill="auto"/>
            <w:vAlign w:val="center"/>
          </w:tcPr>
          <w:p w14:paraId="376E8D33" w14:textId="77777777" w:rsidR="009E1645" w:rsidRPr="00545EC0" w:rsidRDefault="009E1645" w:rsidP="00F93A51">
            <w:pPr>
              <w:contextualSpacing/>
              <w:jc w:val="center"/>
              <w:rPr>
                <w:rFonts w:cs="Arial"/>
                <w:sz w:val="18"/>
                <w:szCs w:val="18"/>
              </w:rPr>
            </w:pPr>
            <w:r w:rsidRPr="00545EC0">
              <w:rPr>
                <w:rFonts w:cs="Arial"/>
                <w:sz w:val="18"/>
                <w:szCs w:val="18"/>
              </w:rPr>
              <w:t>DUDDS1</w:t>
            </w:r>
          </w:p>
        </w:tc>
        <w:tc>
          <w:tcPr>
            <w:tcW w:w="4241" w:type="dxa"/>
            <w:shd w:val="clear" w:color="auto" w:fill="auto"/>
          </w:tcPr>
          <w:p w14:paraId="272BB904" w14:textId="77777777" w:rsidR="009E1645" w:rsidRPr="00545EC0" w:rsidRDefault="009E1645" w:rsidP="00F93A51">
            <w:pPr>
              <w:rPr>
                <w:rFonts w:cs="Arial"/>
                <w:sz w:val="18"/>
                <w:szCs w:val="18"/>
              </w:rPr>
            </w:pPr>
            <w:r w:rsidRPr="00545EC0">
              <w:rPr>
                <w:sz w:val="18"/>
              </w:rPr>
              <w:t>Izvedba ukrepov za vzpostavitev prehodnosti za ribe preko prečnih objektov (izgradnja ribjih prehodov)</w:t>
            </w:r>
          </w:p>
        </w:tc>
        <w:tc>
          <w:tcPr>
            <w:tcW w:w="1843" w:type="dxa"/>
            <w:shd w:val="clear" w:color="auto" w:fill="auto"/>
            <w:noWrap/>
            <w:vAlign w:val="center"/>
          </w:tcPr>
          <w:p w14:paraId="53659FF9" w14:textId="77777777" w:rsidR="009E1645" w:rsidRPr="00545EC0" w:rsidRDefault="009E1645" w:rsidP="00F93A51">
            <w:pPr>
              <w:contextualSpacing/>
              <w:jc w:val="center"/>
              <w:rPr>
                <w:rFonts w:cs="Arial"/>
                <w:sz w:val="18"/>
                <w:szCs w:val="18"/>
              </w:rPr>
            </w:pPr>
            <w:r w:rsidRPr="00545EC0">
              <w:rPr>
                <w:rFonts w:cs="Arial"/>
                <w:sz w:val="18"/>
                <w:szCs w:val="20"/>
              </w:rPr>
              <w:t>hidromorfološke obremenitve</w:t>
            </w:r>
          </w:p>
        </w:tc>
        <w:tc>
          <w:tcPr>
            <w:tcW w:w="1914" w:type="dxa"/>
            <w:vAlign w:val="center"/>
          </w:tcPr>
          <w:p w14:paraId="7CB70545" w14:textId="77777777" w:rsidR="009E1645" w:rsidRPr="00545EC0" w:rsidRDefault="009E1645" w:rsidP="00F93A51">
            <w:pPr>
              <w:contextualSpacing/>
              <w:jc w:val="center"/>
              <w:rPr>
                <w:rFonts w:cs="Arial"/>
                <w:sz w:val="18"/>
                <w:szCs w:val="18"/>
              </w:rPr>
            </w:pPr>
            <w:r w:rsidRPr="00545EC0">
              <w:rPr>
                <w:rFonts w:cs="Arial"/>
                <w:sz w:val="18"/>
                <w:szCs w:val="18"/>
              </w:rPr>
              <w:t>Nov ukrep</w:t>
            </w:r>
          </w:p>
        </w:tc>
      </w:tr>
      <w:tr w:rsidR="009E1645" w:rsidRPr="00545EC0" w14:paraId="2CED05F7" w14:textId="77777777" w:rsidTr="00D26643">
        <w:trPr>
          <w:cantSplit/>
          <w:trHeight w:val="300"/>
        </w:trPr>
        <w:tc>
          <w:tcPr>
            <w:tcW w:w="1215" w:type="dxa"/>
            <w:shd w:val="clear" w:color="auto" w:fill="auto"/>
            <w:vAlign w:val="center"/>
          </w:tcPr>
          <w:p w14:paraId="2E5E568F" w14:textId="77777777" w:rsidR="009E1645" w:rsidRPr="00545EC0" w:rsidRDefault="009E1645" w:rsidP="00F93A51">
            <w:pPr>
              <w:contextualSpacing/>
              <w:jc w:val="center"/>
              <w:rPr>
                <w:rFonts w:cs="Arial"/>
                <w:sz w:val="18"/>
                <w:szCs w:val="18"/>
              </w:rPr>
            </w:pPr>
            <w:r w:rsidRPr="00545EC0">
              <w:rPr>
                <w:rFonts w:cs="Arial"/>
                <w:sz w:val="18"/>
                <w:szCs w:val="18"/>
              </w:rPr>
              <w:lastRenderedPageBreak/>
              <w:t>DUDDS26</w:t>
            </w:r>
          </w:p>
        </w:tc>
        <w:tc>
          <w:tcPr>
            <w:tcW w:w="4241" w:type="dxa"/>
            <w:shd w:val="clear" w:color="auto" w:fill="auto"/>
          </w:tcPr>
          <w:p w14:paraId="742B7EF8" w14:textId="77777777" w:rsidR="009E1645" w:rsidRPr="00545EC0" w:rsidRDefault="009E1645" w:rsidP="00F93A51">
            <w:pPr>
              <w:rPr>
                <w:rFonts w:cs="Arial"/>
                <w:sz w:val="18"/>
                <w:szCs w:val="18"/>
              </w:rPr>
            </w:pPr>
            <w:r w:rsidRPr="00545EC0">
              <w:rPr>
                <w:sz w:val="18"/>
              </w:rPr>
              <w:t>Izvedba ukrepov za zmanjšanje negativnega vpliva rabe tal v obrežnem pasu na stanje voda</w:t>
            </w:r>
          </w:p>
        </w:tc>
        <w:tc>
          <w:tcPr>
            <w:tcW w:w="1843" w:type="dxa"/>
            <w:shd w:val="clear" w:color="auto" w:fill="auto"/>
            <w:noWrap/>
            <w:vAlign w:val="center"/>
          </w:tcPr>
          <w:p w14:paraId="43B2D3D3" w14:textId="77777777" w:rsidR="009E1645" w:rsidRPr="00545EC0" w:rsidRDefault="009E1645" w:rsidP="00F93A51">
            <w:pPr>
              <w:contextualSpacing/>
              <w:jc w:val="center"/>
              <w:rPr>
                <w:rFonts w:cs="Arial"/>
                <w:sz w:val="18"/>
                <w:szCs w:val="18"/>
              </w:rPr>
            </w:pPr>
            <w:r w:rsidRPr="00545EC0">
              <w:rPr>
                <w:rFonts w:cs="Arial"/>
                <w:sz w:val="18"/>
                <w:szCs w:val="20"/>
              </w:rPr>
              <w:t>hidromorfološke obremenitve</w:t>
            </w:r>
          </w:p>
        </w:tc>
        <w:tc>
          <w:tcPr>
            <w:tcW w:w="1914" w:type="dxa"/>
            <w:vAlign w:val="center"/>
          </w:tcPr>
          <w:p w14:paraId="3E751680" w14:textId="77777777" w:rsidR="009E1645" w:rsidRPr="00545EC0" w:rsidRDefault="009E1645" w:rsidP="00F93A51">
            <w:pPr>
              <w:contextualSpacing/>
              <w:jc w:val="center"/>
              <w:rPr>
                <w:rFonts w:cs="Arial"/>
                <w:sz w:val="18"/>
                <w:szCs w:val="18"/>
              </w:rPr>
            </w:pPr>
            <w:r w:rsidRPr="00545EC0">
              <w:rPr>
                <w:rFonts w:cs="Arial"/>
                <w:sz w:val="18"/>
                <w:szCs w:val="18"/>
              </w:rPr>
              <w:t>Podaljšan in dopolnjen</w:t>
            </w:r>
          </w:p>
        </w:tc>
      </w:tr>
      <w:tr w:rsidR="009E1645" w:rsidRPr="00545EC0" w14:paraId="01956905" w14:textId="77777777" w:rsidTr="00D26643">
        <w:trPr>
          <w:cantSplit/>
          <w:trHeight w:val="300"/>
        </w:trPr>
        <w:tc>
          <w:tcPr>
            <w:tcW w:w="1215" w:type="dxa"/>
            <w:shd w:val="clear" w:color="auto" w:fill="auto"/>
            <w:vAlign w:val="center"/>
          </w:tcPr>
          <w:p w14:paraId="1C0AA9ED" w14:textId="77777777" w:rsidR="009E1645" w:rsidRPr="00545EC0" w:rsidRDefault="009E1645" w:rsidP="00F93A51">
            <w:pPr>
              <w:contextualSpacing/>
              <w:jc w:val="center"/>
              <w:rPr>
                <w:rFonts w:cs="Arial"/>
                <w:sz w:val="18"/>
                <w:szCs w:val="18"/>
              </w:rPr>
            </w:pPr>
            <w:r w:rsidRPr="00545EC0">
              <w:rPr>
                <w:rFonts w:cs="Arial"/>
                <w:sz w:val="18"/>
                <w:szCs w:val="18"/>
              </w:rPr>
              <w:t>DUDDS4</w:t>
            </w:r>
          </w:p>
        </w:tc>
        <w:tc>
          <w:tcPr>
            <w:tcW w:w="4241" w:type="dxa"/>
            <w:shd w:val="clear" w:color="auto" w:fill="auto"/>
          </w:tcPr>
          <w:p w14:paraId="6025B0BA" w14:textId="77777777" w:rsidR="009E1645" w:rsidRPr="00545EC0" w:rsidRDefault="009E1645" w:rsidP="00F93A51">
            <w:pPr>
              <w:rPr>
                <w:rFonts w:cs="Arial"/>
                <w:sz w:val="18"/>
                <w:szCs w:val="18"/>
              </w:rPr>
            </w:pPr>
            <w:r w:rsidRPr="00545EC0">
              <w:rPr>
                <w:sz w:val="18"/>
              </w:rPr>
              <w:t>Izvedba ukrepov za zmanjšanje negativnega vpliva regulacij in drugih ureditev vodotokov, zadrževalnikov, jezer in obalnega morja na stanje voda</w:t>
            </w:r>
          </w:p>
        </w:tc>
        <w:tc>
          <w:tcPr>
            <w:tcW w:w="1843" w:type="dxa"/>
            <w:shd w:val="clear" w:color="auto" w:fill="auto"/>
            <w:noWrap/>
            <w:vAlign w:val="center"/>
          </w:tcPr>
          <w:p w14:paraId="20F9C24A" w14:textId="77777777" w:rsidR="009E1645" w:rsidRPr="00545EC0" w:rsidRDefault="009E1645" w:rsidP="00F93A51">
            <w:pPr>
              <w:contextualSpacing/>
              <w:jc w:val="center"/>
              <w:rPr>
                <w:rFonts w:cs="Arial"/>
                <w:sz w:val="18"/>
                <w:szCs w:val="18"/>
              </w:rPr>
            </w:pPr>
            <w:r w:rsidRPr="00545EC0">
              <w:rPr>
                <w:rFonts w:cs="Arial"/>
                <w:sz w:val="18"/>
                <w:szCs w:val="20"/>
              </w:rPr>
              <w:t>hidromorfološke obremenitve</w:t>
            </w:r>
          </w:p>
        </w:tc>
        <w:tc>
          <w:tcPr>
            <w:tcW w:w="1914" w:type="dxa"/>
            <w:vAlign w:val="center"/>
          </w:tcPr>
          <w:p w14:paraId="289F47E2" w14:textId="77777777" w:rsidR="009E1645" w:rsidRPr="00545EC0" w:rsidRDefault="009E1645" w:rsidP="00F93A51">
            <w:pPr>
              <w:contextualSpacing/>
              <w:jc w:val="center"/>
              <w:rPr>
                <w:rFonts w:cs="Arial"/>
                <w:sz w:val="18"/>
                <w:szCs w:val="18"/>
              </w:rPr>
            </w:pPr>
            <w:r w:rsidRPr="00545EC0">
              <w:rPr>
                <w:rFonts w:cs="Arial"/>
                <w:sz w:val="18"/>
                <w:szCs w:val="18"/>
              </w:rPr>
              <w:t>Podaljšan in posodobljen</w:t>
            </w:r>
          </w:p>
        </w:tc>
      </w:tr>
      <w:tr w:rsidR="009E1645" w:rsidRPr="00545EC0" w14:paraId="5F9C05C2" w14:textId="77777777" w:rsidTr="00D26643">
        <w:trPr>
          <w:cantSplit/>
          <w:trHeight w:val="300"/>
        </w:trPr>
        <w:tc>
          <w:tcPr>
            <w:tcW w:w="1215" w:type="dxa"/>
            <w:shd w:val="clear" w:color="auto" w:fill="auto"/>
            <w:vAlign w:val="center"/>
          </w:tcPr>
          <w:p w14:paraId="5BEA95F8" w14:textId="77777777" w:rsidR="009E1645" w:rsidRPr="00545EC0" w:rsidRDefault="009E1645" w:rsidP="00F93A51">
            <w:pPr>
              <w:contextualSpacing/>
              <w:jc w:val="center"/>
              <w:rPr>
                <w:rFonts w:cs="Arial"/>
                <w:sz w:val="18"/>
                <w:szCs w:val="18"/>
              </w:rPr>
            </w:pPr>
            <w:r w:rsidRPr="00545EC0">
              <w:rPr>
                <w:rFonts w:cs="Arial"/>
                <w:sz w:val="18"/>
                <w:szCs w:val="18"/>
              </w:rPr>
              <w:t>DUDDS5.2</w:t>
            </w:r>
          </w:p>
        </w:tc>
        <w:tc>
          <w:tcPr>
            <w:tcW w:w="4241" w:type="dxa"/>
            <w:shd w:val="clear" w:color="auto" w:fill="auto"/>
          </w:tcPr>
          <w:p w14:paraId="51882AED" w14:textId="77777777" w:rsidR="009E1645" w:rsidRPr="00545EC0" w:rsidRDefault="009E1645" w:rsidP="00F93A51">
            <w:pPr>
              <w:rPr>
                <w:rFonts w:cs="Arial"/>
                <w:sz w:val="18"/>
                <w:szCs w:val="18"/>
              </w:rPr>
            </w:pPr>
            <w:r w:rsidRPr="00545EC0">
              <w:rPr>
                <w:sz w:val="18"/>
              </w:rPr>
              <w:t>Izvedba ukrepov za zmanjšanje negativnega vpliva osuševanja zemljišč na stanje voda</w:t>
            </w:r>
          </w:p>
        </w:tc>
        <w:tc>
          <w:tcPr>
            <w:tcW w:w="1843" w:type="dxa"/>
            <w:shd w:val="clear" w:color="auto" w:fill="auto"/>
            <w:noWrap/>
            <w:vAlign w:val="center"/>
          </w:tcPr>
          <w:p w14:paraId="6FE3B79D" w14:textId="77777777" w:rsidR="009E1645" w:rsidRPr="00545EC0" w:rsidRDefault="009E1645" w:rsidP="00F93A51">
            <w:pPr>
              <w:contextualSpacing/>
              <w:jc w:val="center"/>
              <w:rPr>
                <w:rFonts w:cs="Arial"/>
                <w:sz w:val="18"/>
                <w:szCs w:val="18"/>
              </w:rPr>
            </w:pPr>
            <w:r w:rsidRPr="00545EC0">
              <w:rPr>
                <w:rFonts w:cs="Arial"/>
                <w:sz w:val="18"/>
                <w:szCs w:val="20"/>
              </w:rPr>
              <w:t>hidromorfološke obremenitve</w:t>
            </w:r>
          </w:p>
        </w:tc>
        <w:tc>
          <w:tcPr>
            <w:tcW w:w="1914" w:type="dxa"/>
            <w:vAlign w:val="center"/>
          </w:tcPr>
          <w:p w14:paraId="0E07E2FF" w14:textId="77777777" w:rsidR="009E1645" w:rsidRPr="00545EC0" w:rsidRDefault="009E1645" w:rsidP="00F93A51">
            <w:pPr>
              <w:contextualSpacing/>
              <w:jc w:val="center"/>
              <w:rPr>
                <w:rFonts w:cs="Arial"/>
                <w:sz w:val="18"/>
                <w:szCs w:val="18"/>
              </w:rPr>
            </w:pPr>
            <w:r w:rsidRPr="00545EC0">
              <w:rPr>
                <w:rFonts w:cs="Arial"/>
                <w:sz w:val="18"/>
                <w:szCs w:val="18"/>
              </w:rPr>
              <w:t>Podaljšan in dopolnjen</w:t>
            </w:r>
          </w:p>
        </w:tc>
      </w:tr>
      <w:tr w:rsidR="009E1645" w:rsidRPr="00545EC0" w14:paraId="1B8CD2AE" w14:textId="77777777" w:rsidTr="00D26643">
        <w:trPr>
          <w:cantSplit/>
          <w:trHeight w:val="300"/>
        </w:trPr>
        <w:tc>
          <w:tcPr>
            <w:tcW w:w="1215" w:type="dxa"/>
            <w:shd w:val="clear" w:color="auto" w:fill="auto"/>
            <w:vAlign w:val="center"/>
          </w:tcPr>
          <w:p w14:paraId="7F95DB5C" w14:textId="77777777" w:rsidR="009E1645" w:rsidRPr="00545EC0" w:rsidRDefault="009E1645" w:rsidP="00F93A51">
            <w:pPr>
              <w:contextualSpacing/>
              <w:jc w:val="center"/>
              <w:rPr>
                <w:rFonts w:cs="Arial"/>
                <w:sz w:val="18"/>
                <w:szCs w:val="18"/>
              </w:rPr>
            </w:pPr>
            <w:r w:rsidRPr="00545EC0">
              <w:rPr>
                <w:rFonts w:cs="Arial"/>
                <w:sz w:val="18"/>
                <w:szCs w:val="18"/>
              </w:rPr>
              <w:t>DUDDS2</w:t>
            </w:r>
          </w:p>
        </w:tc>
        <w:tc>
          <w:tcPr>
            <w:tcW w:w="4241" w:type="dxa"/>
            <w:shd w:val="clear" w:color="auto" w:fill="auto"/>
          </w:tcPr>
          <w:p w14:paraId="330D4A3D" w14:textId="77777777" w:rsidR="009E1645" w:rsidRPr="00545EC0" w:rsidRDefault="009E1645" w:rsidP="00F93A51">
            <w:pPr>
              <w:rPr>
                <w:rFonts w:cs="Arial"/>
                <w:sz w:val="18"/>
                <w:szCs w:val="18"/>
              </w:rPr>
            </w:pPr>
            <w:r w:rsidRPr="00545EC0">
              <w:rPr>
                <w:sz w:val="18"/>
              </w:rPr>
              <w:t>Ukrepi za zmanjšanje razpršenega onesnaževanja voda s hranili v kmetijstvu</w:t>
            </w:r>
          </w:p>
        </w:tc>
        <w:tc>
          <w:tcPr>
            <w:tcW w:w="1843" w:type="dxa"/>
            <w:shd w:val="clear" w:color="auto" w:fill="auto"/>
            <w:noWrap/>
            <w:vAlign w:val="center"/>
          </w:tcPr>
          <w:p w14:paraId="1FE5DCB4" w14:textId="77777777" w:rsidR="009E1645" w:rsidRPr="00545EC0" w:rsidRDefault="009E1645" w:rsidP="00F93A51">
            <w:pPr>
              <w:contextualSpacing/>
              <w:jc w:val="center"/>
              <w:rPr>
                <w:rFonts w:cs="Arial"/>
                <w:sz w:val="18"/>
                <w:szCs w:val="18"/>
              </w:rPr>
            </w:pPr>
            <w:r w:rsidRPr="00545EC0">
              <w:rPr>
                <w:rFonts w:cs="Arial"/>
                <w:sz w:val="18"/>
                <w:szCs w:val="18"/>
              </w:rPr>
              <w:t>Onesnaževanje</w:t>
            </w:r>
          </w:p>
          <w:p w14:paraId="5050B75D" w14:textId="77777777" w:rsidR="009E1645" w:rsidRPr="00545EC0" w:rsidRDefault="009E1645" w:rsidP="00F93A51">
            <w:pPr>
              <w:contextualSpacing/>
              <w:jc w:val="center"/>
              <w:rPr>
                <w:rFonts w:cs="Arial"/>
                <w:sz w:val="18"/>
                <w:szCs w:val="18"/>
              </w:rPr>
            </w:pPr>
            <w:r w:rsidRPr="00545EC0">
              <w:rPr>
                <w:rFonts w:cs="Arial"/>
                <w:sz w:val="18"/>
                <w:szCs w:val="18"/>
              </w:rPr>
              <w:t>voda</w:t>
            </w:r>
          </w:p>
        </w:tc>
        <w:tc>
          <w:tcPr>
            <w:tcW w:w="1914" w:type="dxa"/>
            <w:vAlign w:val="center"/>
          </w:tcPr>
          <w:p w14:paraId="439739AF" w14:textId="77777777" w:rsidR="009E1645" w:rsidRPr="00545EC0" w:rsidRDefault="009E1645" w:rsidP="00F93A51">
            <w:pPr>
              <w:contextualSpacing/>
              <w:jc w:val="center"/>
              <w:rPr>
                <w:rFonts w:cs="Arial"/>
                <w:sz w:val="18"/>
                <w:szCs w:val="18"/>
              </w:rPr>
            </w:pPr>
            <w:r w:rsidRPr="00545EC0">
              <w:rPr>
                <w:rFonts w:cs="Arial"/>
                <w:sz w:val="18"/>
                <w:szCs w:val="18"/>
              </w:rPr>
              <w:t>Podaljšan in dopolnjen</w:t>
            </w:r>
          </w:p>
        </w:tc>
      </w:tr>
      <w:tr w:rsidR="009E1645" w:rsidRPr="00545EC0" w14:paraId="34958FC3" w14:textId="77777777" w:rsidTr="00D26643">
        <w:trPr>
          <w:cantSplit/>
          <w:trHeight w:val="300"/>
        </w:trPr>
        <w:tc>
          <w:tcPr>
            <w:tcW w:w="1215" w:type="dxa"/>
            <w:shd w:val="clear" w:color="auto" w:fill="auto"/>
            <w:vAlign w:val="center"/>
          </w:tcPr>
          <w:p w14:paraId="047B2A77" w14:textId="77777777" w:rsidR="009E1645" w:rsidRPr="00545EC0" w:rsidRDefault="009E1645" w:rsidP="00F93A51">
            <w:pPr>
              <w:contextualSpacing/>
              <w:jc w:val="center"/>
              <w:rPr>
                <w:rFonts w:cs="Arial"/>
                <w:sz w:val="18"/>
                <w:szCs w:val="18"/>
              </w:rPr>
            </w:pPr>
            <w:r w:rsidRPr="00545EC0">
              <w:rPr>
                <w:rFonts w:cs="Arial"/>
                <w:sz w:val="18"/>
                <w:szCs w:val="18"/>
              </w:rPr>
              <w:t>DUDDS23</w:t>
            </w:r>
          </w:p>
        </w:tc>
        <w:tc>
          <w:tcPr>
            <w:tcW w:w="4241" w:type="dxa"/>
            <w:shd w:val="clear" w:color="auto" w:fill="auto"/>
          </w:tcPr>
          <w:p w14:paraId="0418D520" w14:textId="77777777" w:rsidR="009E1645" w:rsidRPr="00545EC0" w:rsidRDefault="009E1645" w:rsidP="00F93A51">
            <w:pPr>
              <w:rPr>
                <w:rFonts w:cs="Arial"/>
                <w:sz w:val="18"/>
                <w:szCs w:val="18"/>
              </w:rPr>
            </w:pPr>
            <w:r w:rsidRPr="00545EC0">
              <w:rPr>
                <w:sz w:val="18"/>
              </w:rPr>
              <w:t>Dopolnilni ukrepi za zmanjšanje razpršenega onesnaževanja površinskih in podzemnih voda s fitofarmacevtskimi sredstvi v kmetijstvu</w:t>
            </w:r>
          </w:p>
        </w:tc>
        <w:tc>
          <w:tcPr>
            <w:tcW w:w="1843" w:type="dxa"/>
            <w:shd w:val="clear" w:color="auto" w:fill="auto"/>
            <w:noWrap/>
            <w:vAlign w:val="center"/>
          </w:tcPr>
          <w:p w14:paraId="47B4E173" w14:textId="77777777" w:rsidR="009E1645" w:rsidRPr="00545EC0" w:rsidRDefault="009E1645" w:rsidP="00F93A51">
            <w:pPr>
              <w:contextualSpacing/>
              <w:jc w:val="center"/>
              <w:rPr>
                <w:rFonts w:cs="Arial"/>
                <w:sz w:val="18"/>
                <w:szCs w:val="18"/>
              </w:rPr>
            </w:pPr>
            <w:r w:rsidRPr="00545EC0">
              <w:rPr>
                <w:rFonts w:cs="Arial"/>
                <w:sz w:val="18"/>
                <w:szCs w:val="18"/>
              </w:rPr>
              <w:t>Onesnaževanje</w:t>
            </w:r>
          </w:p>
          <w:p w14:paraId="0139D4CB" w14:textId="77777777" w:rsidR="009E1645" w:rsidRPr="00545EC0" w:rsidRDefault="009E1645" w:rsidP="00F93A51">
            <w:pPr>
              <w:contextualSpacing/>
              <w:jc w:val="center"/>
              <w:rPr>
                <w:rFonts w:cs="Arial"/>
                <w:sz w:val="18"/>
                <w:szCs w:val="18"/>
              </w:rPr>
            </w:pPr>
            <w:r w:rsidRPr="00545EC0">
              <w:rPr>
                <w:rFonts w:cs="Arial"/>
                <w:sz w:val="18"/>
                <w:szCs w:val="18"/>
              </w:rPr>
              <w:t>voda</w:t>
            </w:r>
          </w:p>
        </w:tc>
        <w:tc>
          <w:tcPr>
            <w:tcW w:w="1914" w:type="dxa"/>
            <w:vAlign w:val="center"/>
          </w:tcPr>
          <w:p w14:paraId="22A52552" w14:textId="77777777" w:rsidR="009E1645" w:rsidRPr="00545EC0" w:rsidRDefault="009E1645" w:rsidP="00F93A51">
            <w:pPr>
              <w:contextualSpacing/>
              <w:jc w:val="center"/>
              <w:rPr>
                <w:rFonts w:cs="Arial"/>
                <w:sz w:val="18"/>
                <w:szCs w:val="18"/>
              </w:rPr>
            </w:pPr>
            <w:r w:rsidRPr="00545EC0">
              <w:rPr>
                <w:rFonts w:cs="Arial"/>
                <w:sz w:val="18"/>
                <w:szCs w:val="18"/>
              </w:rPr>
              <w:t>Podaljšan in dopolnjen</w:t>
            </w:r>
          </w:p>
        </w:tc>
      </w:tr>
      <w:tr w:rsidR="009E1645" w:rsidRPr="00545EC0" w14:paraId="4588D82B" w14:textId="77777777" w:rsidTr="00D26643">
        <w:trPr>
          <w:cantSplit/>
          <w:trHeight w:val="300"/>
        </w:trPr>
        <w:tc>
          <w:tcPr>
            <w:tcW w:w="1215" w:type="dxa"/>
            <w:shd w:val="clear" w:color="auto" w:fill="auto"/>
            <w:vAlign w:val="center"/>
          </w:tcPr>
          <w:p w14:paraId="68B8EA11" w14:textId="77777777" w:rsidR="009E1645" w:rsidRPr="00545EC0" w:rsidRDefault="009E1645" w:rsidP="00F93A51">
            <w:pPr>
              <w:contextualSpacing/>
              <w:jc w:val="center"/>
              <w:rPr>
                <w:rFonts w:cs="Arial"/>
                <w:sz w:val="18"/>
                <w:szCs w:val="18"/>
              </w:rPr>
            </w:pPr>
            <w:r w:rsidRPr="00545EC0">
              <w:rPr>
                <w:rFonts w:cs="Arial"/>
                <w:sz w:val="18"/>
                <w:szCs w:val="18"/>
              </w:rPr>
              <w:t>DUDDS27</w:t>
            </w:r>
          </w:p>
        </w:tc>
        <w:tc>
          <w:tcPr>
            <w:tcW w:w="4241" w:type="dxa"/>
            <w:shd w:val="clear" w:color="auto" w:fill="auto"/>
          </w:tcPr>
          <w:p w14:paraId="18F8758B" w14:textId="77777777" w:rsidR="009E1645" w:rsidRPr="00545EC0" w:rsidRDefault="009E1645" w:rsidP="00F93A51">
            <w:pPr>
              <w:rPr>
                <w:rFonts w:cs="Arial"/>
                <w:sz w:val="18"/>
                <w:szCs w:val="18"/>
              </w:rPr>
            </w:pPr>
            <w:r w:rsidRPr="00545EC0">
              <w:rPr>
                <w:sz w:val="18"/>
              </w:rPr>
              <w:t xml:space="preserve">Priprava predloga aktivnosti za vodna telesa površinskih voda v slabem stanju zaradi onesnaževanja voda </w:t>
            </w:r>
          </w:p>
        </w:tc>
        <w:tc>
          <w:tcPr>
            <w:tcW w:w="1843" w:type="dxa"/>
            <w:shd w:val="clear" w:color="auto" w:fill="auto"/>
            <w:noWrap/>
            <w:vAlign w:val="center"/>
          </w:tcPr>
          <w:p w14:paraId="0EC20BD3" w14:textId="77777777" w:rsidR="009E1645" w:rsidRPr="00545EC0" w:rsidRDefault="009E1645" w:rsidP="00F93A51">
            <w:pPr>
              <w:contextualSpacing/>
              <w:jc w:val="center"/>
              <w:rPr>
                <w:rFonts w:cs="Arial"/>
                <w:sz w:val="18"/>
                <w:szCs w:val="18"/>
              </w:rPr>
            </w:pPr>
            <w:r w:rsidRPr="00545EC0">
              <w:rPr>
                <w:rFonts w:cs="Arial"/>
                <w:sz w:val="18"/>
                <w:szCs w:val="18"/>
              </w:rPr>
              <w:t>Onesnaževanje</w:t>
            </w:r>
          </w:p>
          <w:p w14:paraId="454C4537" w14:textId="77777777" w:rsidR="009E1645" w:rsidRPr="00545EC0" w:rsidRDefault="009E1645" w:rsidP="00F93A51">
            <w:pPr>
              <w:contextualSpacing/>
              <w:jc w:val="center"/>
              <w:rPr>
                <w:rFonts w:cs="Arial"/>
                <w:sz w:val="18"/>
                <w:szCs w:val="18"/>
              </w:rPr>
            </w:pPr>
            <w:r w:rsidRPr="00545EC0">
              <w:rPr>
                <w:rFonts w:cs="Arial"/>
                <w:sz w:val="18"/>
                <w:szCs w:val="18"/>
              </w:rPr>
              <w:t>voda</w:t>
            </w:r>
          </w:p>
        </w:tc>
        <w:tc>
          <w:tcPr>
            <w:tcW w:w="1914" w:type="dxa"/>
            <w:vAlign w:val="center"/>
          </w:tcPr>
          <w:p w14:paraId="1A08253A" w14:textId="77777777" w:rsidR="009E1645" w:rsidRPr="00545EC0" w:rsidRDefault="009E1645" w:rsidP="00F93A51">
            <w:pPr>
              <w:contextualSpacing/>
              <w:jc w:val="center"/>
              <w:rPr>
                <w:rFonts w:cs="Arial"/>
                <w:sz w:val="18"/>
                <w:szCs w:val="18"/>
              </w:rPr>
            </w:pPr>
            <w:r w:rsidRPr="00545EC0">
              <w:rPr>
                <w:rFonts w:cs="Arial"/>
                <w:sz w:val="18"/>
                <w:szCs w:val="18"/>
              </w:rPr>
              <w:t>Podaljšan in dopolnjen</w:t>
            </w:r>
          </w:p>
        </w:tc>
      </w:tr>
      <w:tr w:rsidR="007E0EDE" w:rsidRPr="00545EC0" w14:paraId="7943E865" w14:textId="77777777" w:rsidTr="00D26643">
        <w:trPr>
          <w:cantSplit/>
          <w:trHeight w:val="300"/>
        </w:trPr>
        <w:tc>
          <w:tcPr>
            <w:tcW w:w="1215" w:type="dxa"/>
            <w:shd w:val="clear" w:color="auto" w:fill="auto"/>
            <w:vAlign w:val="center"/>
          </w:tcPr>
          <w:p w14:paraId="2DD9C902" w14:textId="77777777" w:rsidR="009E1645" w:rsidRPr="00545EC0" w:rsidRDefault="009E1645" w:rsidP="00F93A51">
            <w:pPr>
              <w:contextualSpacing/>
              <w:jc w:val="center"/>
              <w:rPr>
                <w:rFonts w:cs="Arial"/>
                <w:sz w:val="18"/>
                <w:szCs w:val="18"/>
              </w:rPr>
            </w:pPr>
            <w:r w:rsidRPr="00545EC0">
              <w:rPr>
                <w:rFonts w:cs="Arial"/>
                <w:sz w:val="18"/>
                <w:szCs w:val="18"/>
              </w:rPr>
              <w:t>DUDDS28</w:t>
            </w:r>
          </w:p>
        </w:tc>
        <w:tc>
          <w:tcPr>
            <w:tcW w:w="4241" w:type="dxa"/>
            <w:shd w:val="clear" w:color="auto" w:fill="auto"/>
          </w:tcPr>
          <w:p w14:paraId="17010DF9" w14:textId="77777777" w:rsidR="009E1645" w:rsidRPr="00545EC0" w:rsidRDefault="009E1645" w:rsidP="00F93A51">
            <w:pPr>
              <w:rPr>
                <w:rFonts w:cs="Arial"/>
                <w:sz w:val="18"/>
                <w:szCs w:val="18"/>
              </w:rPr>
            </w:pPr>
            <w:r w:rsidRPr="00545EC0">
              <w:rPr>
                <w:sz w:val="18"/>
              </w:rPr>
              <w:t>Priprava predloga ukrepov za reševanje problemov v kakovosti vode zaradi povišanih koncentracij sulfata</w:t>
            </w:r>
          </w:p>
        </w:tc>
        <w:tc>
          <w:tcPr>
            <w:tcW w:w="1843" w:type="dxa"/>
            <w:shd w:val="clear" w:color="auto" w:fill="auto"/>
            <w:noWrap/>
            <w:vAlign w:val="center"/>
          </w:tcPr>
          <w:p w14:paraId="1E81BE6F" w14:textId="77777777" w:rsidR="009E1645" w:rsidRPr="00545EC0" w:rsidRDefault="009E1645" w:rsidP="00F93A51">
            <w:pPr>
              <w:contextualSpacing/>
              <w:jc w:val="center"/>
              <w:rPr>
                <w:rFonts w:cs="Arial"/>
                <w:sz w:val="18"/>
                <w:szCs w:val="18"/>
              </w:rPr>
            </w:pPr>
            <w:r w:rsidRPr="00545EC0">
              <w:rPr>
                <w:rFonts w:cs="Arial"/>
                <w:sz w:val="18"/>
                <w:szCs w:val="18"/>
              </w:rPr>
              <w:t>Onesnaževanje</w:t>
            </w:r>
          </w:p>
          <w:p w14:paraId="72736BE8" w14:textId="77777777" w:rsidR="009E1645" w:rsidRPr="00545EC0" w:rsidRDefault="009E1645" w:rsidP="00F93A51">
            <w:pPr>
              <w:contextualSpacing/>
              <w:jc w:val="center"/>
              <w:rPr>
                <w:rFonts w:cs="Arial"/>
                <w:sz w:val="18"/>
                <w:szCs w:val="18"/>
              </w:rPr>
            </w:pPr>
            <w:r w:rsidRPr="00545EC0">
              <w:rPr>
                <w:rFonts w:cs="Arial"/>
                <w:sz w:val="18"/>
                <w:szCs w:val="18"/>
              </w:rPr>
              <w:t>voda</w:t>
            </w:r>
          </w:p>
        </w:tc>
        <w:tc>
          <w:tcPr>
            <w:tcW w:w="1914" w:type="dxa"/>
            <w:vAlign w:val="center"/>
          </w:tcPr>
          <w:p w14:paraId="50FF9D57" w14:textId="77777777" w:rsidR="009E1645" w:rsidRPr="00545EC0" w:rsidRDefault="009E1645" w:rsidP="00F93A51">
            <w:pPr>
              <w:contextualSpacing/>
              <w:jc w:val="center"/>
              <w:rPr>
                <w:rFonts w:cs="Arial"/>
                <w:sz w:val="18"/>
                <w:szCs w:val="18"/>
              </w:rPr>
            </w:pPr>
            <w:r w:rsidRPr="00545EC0">
              <w:rPr>
                <w:rFonts w:cs="Arial"/>
                <w:sz w:val="18"/>
                <w:szCs w:val="18"/>
              </w:rPr>
              <w:t>Podaljšan in posodobljen</w:t>
            </w:r>
          </w:p>
        </w:tc>
      </w:tr>
      <w:tr w:rsidR="00D26643" w:rsidRPr="00545EC0" w14:paraId="31863293" w14:textId="77777777" w:rsidTr="00D26643">
        <w:trPr>
          <w:cantSplit/>
          <w:trHeight w:val="300"/>
        </w:trPr>
        <w:tc>
          <w:tcPr>
            <w:tcW w:w="1215" w:type="dxa"/>
            <w:shd w:val="clear" w:color="auto" w:fill="auto"/>
            <w:vAlign w:val="center"/>
          </w:tcPr>
          <w:p w14:paraId="1A6CD84F" w14:textId="69B1E2BD" w:rsidR="00D26643" w:rsidRPr="00D26643" w:rsidRDefault="00D26643" w:rsidP="00F93A51">
            <w:pPr>
              <w:contextualSpacing/>
              <w:jc w:val="center"/>
              <w:rPr>
                <w:rFonts w:cs="Arial"/>
                <w:sz w:val="18"/>
                <w:szCs w:val="18"/>
              </w:rPr>
            </w:pPr>
            <w:r w:rsidRPr="00D26643">
              <w:rPr>
                <w:sz w:val="18"/>
                <w:szCs w:val="18"/>
              </w:rPr>
              <w:t>DUDDS30</w:t>
            </w:r>
          </w:p>
        </w:tc>
        <w:tc>
          <w:tcPr>
            <w:tcW w:w="4241" w:type="dxa"/>
            <w:shd w:val="clear" w:color="auto" w:fill="auto"/>
          </w:tcPr>
          <w:p w14:paraId="5CB30F83" w14:textId="68544945" w:rsidR="00D26643" w:rsidRPr="00D26643" w:rsidRDefault="00D26643" w:rsidP="00F93A51">
            <w:pPr>
              <w:rPr>
                <w:sz w:val="18"/>
                <w:szCs w:val="18"/>
              </w:rPr>
            </w:pPr>
            <w:r w:rsidRPr="00D26643">
              <w:rPr>
                <w:sz w:val="18"/>
                <w:szCs w:val="18"/>
              </w:rPr>
              <w:t>Priprava načrta aktivnosti za izboljšanje stanja za vodna telesa, za katera je bil zaznan trend slabšanja stanja</w:t>
            </w:r>
          </w:p>
        </w:tc>
        <w:tc>
          <w:tcPr>
            <w:tcW w:w="1843" w:type="dxa"/>
            <w:shd w:val="clear" w:color="auto" w:fill="auto"/>
            <w:noWrap/>
            <w:vAlign w:val="center"/>
          </w:tcPr>
          <w:p w14:paraId="5C66F300" w14:textId="048BC964" w:rsidR="00D26643" w:rsidRPr="00D26643" w:rsidRDefault="00D26643" w:rsidP="00F93A51">
            <w:pPr>
              <w:contextualSpacing/>
              <w:jc w:val="center"/>
              <w:rPr>
                <w:rFonts w:cs="Arial"/>
                <w:sz w:val="18"/>
                <w:szCs w:val="18"/>
              </w:rPr>
            </w:pPr>
            <w:r w:rsidRPr="00D26643">
              <w:rPr>
                <w:sz w:val="18"/>
                <w:szCs w:val="18"/>
              </w:rPr>
              <w:t>Onesnaževanje voda, hidromorfološke obremenitve</w:t>
            </w:r>
          </w:p>
        </w:tc>
        <w:tc>
          <w:tcPr>
            <w:tcW w:w="1914" w:type="dxa"/>
            <w:vAlign w:val="center"/>
          </w:tcPr>
          <w:p w14:paraId="74851BBE" w14:textId="01B9B555" w:rsidR="00D26643" w:rsidRPr="00D26643" w:rsidRDefault="00D26643" w:rsidP="00F93A51">
            <w:pPr>
              <w:contextualSpacing/>
              <w:jc w:val="center"/>
              <w:rPr>
                <w:rFonts w:cs="Arial"/>
                <w:sz w:val="18"/>
                <w:szCs w:val="18"/>
              </w:rPr>
            </w:pPr>
            <w:r w:rsidRPr="00D26643">
              <w:rPr>
                <w:sz w:val="18"/>
                <w:szCs w:val="18"/>
              </w:rPr>
              <w:t>Novi ukrep</w:t>
            </w:r>
          </w:p>
        </w:tc>
      </w:tr>
    </w:tbl>
    <w:p w14:paraId="4F9DF113" w14:textId="77777777" w:rsidR="009E1645" w:rsidRPr="00545EC0" w:rsidRDefault="009E1645" w:rsidP="009E1645">
      <w:pPr>
        <w:rPr>
          <w:lang w:eastAsia="x-none"/>
        </w:rPr>
      </w:pPr>
    </w:p>
    <w:p w14:paraId="340C417F" w14:textId="77777777" w:rsidR="00A8499B" w:rsidRPr="00545EC0" w:rsidRDefault="00A8499B" w:rsidP="00693578">
      <w:pPr>
        <w:overflowPunct/>
        <w:autoSpaceDE/>
        <w:autoSpaceDN/>
        <w:adjustRightInd/>
        <w:spacing w:before="240" w:after="60" w:line="240" w:lineRule="auto"/>
        <w:contextualSpacing/>
        <w:textAlignment w:val="auto"/>
        <w:rPr>
          <w:rFonts w:cs="Arial"/>
          <w:szCs w:val="20"/>
        </w:rPr>
      </w:pPr>
      <w:bookmarkStart w:id="690" w:name="_Toc10112860"/>
      <w:bookmarkStart w:id="691" w:name="_Toc433212153"/>
      <w:bookmarkStart w:id="692" w:name="_Ref418770917"/>
      <w:bookmarkStart w:id="693" w:name="_Ref418770971"/>
      <w:bookmarkStart w:id="694" w:name="_Ref418770977"/>
      <w:bookmarkStart w:id="695" w:name="_Ref418770981"/>
      <w:bookmarkStart w:id="696" w:name="_Toc434588672"/>
    </w:p>
    <w:p w14:paraId="55E1BC1B" w14:textId="77777777" w:rsidR="009E1645" w:rsidRPr="00545EC0" w:rsidRDefault="009E1645" w:rsidP="009E1645">
      <w:pPr>
        <w:rPr>
          <w:rFonts w:cs="Arial"/>
          <w:b/>
          <w:szCs w:val="22"/>
        </w:rPr>
      </w:pPr>
      <w:bookmarkStart w:id="697" w:name="_Toc88094804"/>
      <w:bookmarkEnd w:id="690"/>
      <w:r w:rsidRPr="00545EC0">
        <w:rPr>
          <w:rFonts w:cs="Arial"/>
          <w:b/>
          <w:szCs w:val="22"/>
        </w:rPr>
        <w:t xml:space="preserve">Pregled izvedenih sprememb in dopolnitev </w:t>
      </w:r>
      <w:bookmarkEnd w:id="697"/>
      <w:r w:rsidRPr="00545EC0">
        <w:rPr>
          <w:rFonts w:cs="Arial"/>
          <w:b/>
          <w:szCs w:val="22"/>
        </w:rPr>
        <w:t>dopolnilnih ukrepov v posodobljenem Programu ukrepov upravljanja voda</w:t>
      </w:r>
    </w:p>
    <w:p w14:paraId="4FFA2F40" w14:textId="77777777" w:rsidR="009E1645" w:rsidRPr="00545EC0" w:rsidRDefault="009E1645" w:rsidP="009E1645">
      <w:pPr>
        <w:overflowPunct/>
        <w:autoSpaceDE/>
        <w:autoSpaceDN/>
        <w:adjustRightInd/>
        <w:spacing w:before="240" w:after="60"/>
        <w:contextualSpacing/>
        <w:textAlignment w:val="auto"/>
        <w:rPr>
          <w:rFonts w:cs="Arial"/>
          <w:szCs w:val="20"/>
        </w:rPr>
      </w:pPr>
    </w:p>
    <w:p w14:paraId="4BF3831D" w14:textId="77777777" w:rsidR="009E1645" w:rsidRPr="00545EC0" w:rsidRDefault="009E1645" w:rsidP="009E1645">
      <w:pPr>
        <w:spacing w:before="120" w:line="276" w:lineRule="auto"/>
        <w:rPr>
          <w:rFonts w:cs="Arial"/>
          <w:szCs w:val="20"/>
        </w:rPr>
      </w:pPr>
      <w:r w:rsidRPr="00545EC0">
        <w:rPr>
          <w:rFonts w:cs="Arial"/>
          <w:szCs w:val="20"/>
        </w:rPr>
        <w:t>Glavne spremembe in dopolnitve dopolnilnih ukrepov za doseganje dobrega stanja voda oziroma dobrega potenciala voda iz Programa ukrepov upravljanja voda 2016, se nanašajo na:</w:t>
      </w:r>
    </w:p>
    <w:p w14:paraId="57F9D9B5" w14:textId="77777777" w:rsidR="009E1645" w:rsidRPr="00545EC0" w:rsidRDefault="009E1645" w:rsidP="00DD37C5">
      <w:pPr>
        <w:pStyle w:val="Odstavekseznama"/>
        <w:numPr>
          <w:ilvl w:val="0"/>
          <w:numId w:val="119"/>
        </w:numPr>
        <w:overflowPunct/>
        <w:autoSpaceDE/>
        <w:autoSpaceDN/>
        <w:adjustRightInd/>
        <w:spacing w:after="120" w:line="276" w:lineRule="auto"/>
        <w:ind w:left="714" w:hanging="357"/>
        <w:contextualSpacing/>
        <w:textAlignment w:val="auto"/>
        <w:rPr>
          <w:rFonts w:cs="Arial"/>
          <w:szCs w:val="20"/>
        </w:rPr>
      </w:pPr>
      <w:r w:rsidRPr="00545EC0">
        <w:rPr>
          <w:rFonts w:cs="Arial"/>
          <w:szCs w:val="20"/>
        </w:rPr>
        <w:t>ukrep »DUDDS4 – Izvedba ukrepov za zmanjšanje negativnega vpliva rabe tal v obrežnem pasu na stanje voda«; izvajanje ukrepa se podaljšana v programsko obdobje 2022-2027;</w:t>
      </w:r>
    </w:p>
    <w:p w14:paraId="2721DD5B" w14:textId="34D4A2EF" w:rsidR="009E1645" w:rsidRPr="00545EC0" w:rsidRDefault="009E1645" w:rsidP="00DD37C5">
      <w:pPr>
        <w:pStyle w:val="Odstavekseznama"/>
        <w:numPr>
          <w:ilvl w:val="0"/>
          <w:numId w:val="119"/>
        </w:numPr>
        <w:overflowPunct/>
        <w:autoSpaceDE/>
        <w:autoSpaceDN/>
        <w:adjustRightInd/>
        <w:spacing w:after="120" w:line="276" w:lineRule="auto"/>
        <w:ind w:left="714" w:hanging="357"/>
        <w:contextualSpacing/>
        <w:textAlignment w:val="auto"/>
        <w:rPr>
          <w:rFonts w:cs="Arial"/>
          <w:szCs w:val="20"/>
        </w:rPr>
      </w:pPr>
      <w:r w:rsidRPr="00545EC0">
        <w:rPr>
          <w:rFonts w:cs="Arial"/>
          <w:szCs w:val="20"/>
        </w:rPr>
        <w:t xml:space="preserve">izvajanje ukrepa </w:t>
      </w:r>
      <w:bookmarkStart w:id="698" w:name="_Toc10112861"/>
      <w:r w:rsidRPr="00545EC0">
        <w:rPr>
          <w:rFonts w:cs="Arial"/>
          <w:szCs w:val="20"/>
        </w:rPr>
        <w:t>»DUDDS5.2 – Izvedba ukrepov za zmanjšanje negativnega vpliva regulacij in drugih ureditev vodotokov, zadrževalnikov, jezer in obalnega morja na stanje voda</w:t>
      </w:r>
      <w:bookmarkEnd w:id="698"/>
      <w:r w:rsidRPr="00545EC0">
        <w:rPr>
          <w:rFonts w:cs="Arial"/>
          <w:szCs w:val="20"/>
        </w:rPr>
        <w:t>«; izvajanje ukrepa se podaljša v programsko obdobje 2022-2027; izvedene so spremembe in dopolnitve opisa ukrepa; št. vodnih teles, na katerih se ukrep izvaja je posodobljeno z upoštevanjem podatkov zbranih v okviru posodobitve načrtov upravljanja voda na vodnih območjih za obdobje 2022-2027),</w:t>
      </w:r>
    </w:p>
    <w:p w14:paraId="5935B56A" w14:textId="77777777" w:rsidR="009E1645" w:rsidRPr="00545EC0" w:rsidRDefault="009E1645" w:rsidP="00DD37C5">
      <w:pPr>
        <w:pStyle w:val="Odstavekseznama"/>
        <w:numPr>
          <w:ilvl w:val="0"/>
          <w:numId w:val="119"/>
        </w:numPr>
        <w:overflowPunct/>
        <w:autoSpaceDE/>
        <w:autoSpaceDN/>
        <w:adjustRightInd/>
        <w:spacing w:after="120" w:line="276" w:lineRule="auto"/>
        <w:ind w:left="714" w:hanging="357"/>
        <w:contextualSpacing/>
        <w:textAlignment w:val="auto"/>
        <w:rPr>
          <w:rFonts w:cs="Arial"/>
          <w:szCs w:val="20"/>
        </w:rPr>
      </w:pPr>
      <w:r w:rsidRPr="00545EC0">
        <w:rPr>
          <w:rFonts w:cs="Arial"/>
          <w:szCs w:val="20"/>
        </w:rPr>
        <w:t xml:space="preserve">ukrep </w:t>
      </w:r>
      <w:bookmarkStart w:id="699" w:name="_Toc10112862"/>
      <w:r w:rsidRPr="00545EC0">
        <w:rPr>
          <w:rFonts w:cs="Arial"/>
          <w:szCs w:val="20"/>
        </w:rPr>
        <w:t>»DUDDS26 – Izvedba ukrepov za zmanjšanje negativnega vpliva osuševanja zemljišč na stanje vod</w:t>
      </w:r>
      <w:bookmarkEnd w:id="699"/>
      <w:r w:rsidRPr="00545EC0">
        <w:rPr>
          <w:rFonts w:cs="Arial"/>
          <w:szCs w:val="20"/>
        </w:rPr>
        <w:t>a«; izvajanje ukrepa se podaljša v programsko obdobje 2022-2027; št. vodnih teles, na katerih se ukrep izvaja je posodobljeno z upoštevanjem podatkov zbranih v okviru posodobitve načrtov upravljanja voda na vodnih območjih za obdobje 2022-2027),</w:t>
      </w:r>
    </w:p>
    <w:p w14:paraId="7C7D76AD" w14:textId="77777777" w:rsidR="009E1645" w:rsidRPr="00545EC0" w:rsidRDefault="009E1645" w:rsidP="00DD37C5">
      <w:pPr>
        <w:pStyle w:val="Odstavekseznama"/>
        <w:numPr>
          <w:ilvl w:val="0"/>
          <w:numId w:val="119"/>
        </w:numPr>
        <w:overflowPunct/>
        <w:autoSpaceDE/>
        <w:autoSpaceDN/>
        <w:adjustRightInd/>
        <w:spacing w:after="120" w:line="276" w:lineRule="auto"/>
        <w:ind w:left="714" w:hanging="357"/>
        <w:contextualSpacing/>
        <w:textAlignment w:val="auto"/>
        <w:rPr>
          <w:rFonts w:cs="Arial"/>
          <w:szCs w:val="20"/>
        </w:rPr>
      </w:pPr>
      <w:r w:rsidRPr="00545EC0">
        <w:rPr>
          <w:rFonts w:cs="Arial"/>
          <w:szCs w:val="20"/>
        </w:rPr>
        <w:t xml:space="preserve">ukrep </w:t>
      </w:r>
      <w:bookmarkStart w:id="700" w:name="_Toc10112863"/>
      <w:r w:rsidRPr="00545EC0">
        <w:rPr>
          <w:rFonts w:cs="Arial"/>
          <w:szCs w:val="20"/>
        </w:rPr>
        <w:t>»DUDDS2 – Ukrepi za zmanjšanje razpršenega onesnaževanja voda s hranili v kmetijstvu</w:t>
      </w:r>
      <w:bookmarkEnd w:id="700"/>
      <w:r w:rsidRPr="00545EC0">
        <w:rPr>
          <w:rFonts w:cs="Arial"/>
          <w:szCs w:val="20"/>
        </w:rPr>
        <w:t>«; izvajanje ukrepa se podaljša v programsko obdobje 2022-2027; izvedene so spremembe in dopolnitve opisa ukrepa, št. vodnih teles, na katerih se ukrep izvaja je posodobljeno z upoštevanjem podatkov zbranih v okviru posodobitve načrtov upravljanja voda na vodnih območjih za obdobje 2022-2027,</w:t>
      </w:r>
    </w:p>
    <w:p w14:paraId="743EBC83" w14:textId="77777777" w:rsidR="009E1645" w:rsidRPr="00545EC0" w:rsidRDefault="009E1645" w:rsidP="00DD37C5">
      <w:pPr>
        <w:pStyle w:val="Odstavekseznama"/>
        <w:numPr>
          <w:ilvl w:val="0"/>
          <w:numId w:val="119"/>
        </w:numPr>
        <w:overflowPunct/>
        <w:autoSpaceDE/>
        <w:autoSpaceDN/>
        <w:adjustRightInd/>
        <w:spacing w:after="120" w:line="276" w:lineRule="auto"/>
        <w:ind w:left="714" w:hanging="357"/>
        <w:contextualSpacing/>
        <w:textAlignment w:val="auto"/>
        <w:rPr>
          <w:rFonts w:cs="Arial"/>
          <w:szCs w:val="20"/>
        </w:rPr>
      </w:pPr>
      <w:r w:rsidRPr="00545EC0">
        <w:rPr>
          <w:rFonts w:cs="Arial"/>
          <w:szCs w:val="20"/>
        </w:rPr>
        <w:lastRenderedPageBreak/>
        <w:t xml:space="preserve">ukrep </w:t>
      </w:r>
      <w:bookmarkStart w:id="701" w:name="_Toc10112864"/>
      <w:r w:rsidRPr="00545EC0">
        <w:rPr>
          <w:rFonts w:cs="Arial"/>
          <w:szCs w:val="20"/>
        </w:rPr>
        <w:t>»DUDDS23 – Dopolnilni ukrepi za zmanjšanje razpršenega onesnaževanja površinskih in podzemnih voda s fitofarmacevtskimi sredstvi v kmetijstvu</w:t>
      </w:r>
      <w:bookmarkEnd w:id="701"/>
      <w:r w:rsidRPr="00545EC0">
        <w:rPr>
          <w:rFonts w:cs="Arial"/>
          <w:szCs w:val="20"/>
        </w:rPr>
        <w:t>«; izvajanje določenih aktivnosti se podaljša v programsko obdobje 2022-2027; izvedene so spremembe in dopolnitve opisa ukrepa; št. vodnih teles, na katerih se ukrep izvaja je posodobljeno z upoštevanjem podatkov zbranih v okviru posodobitve načrtov upravljanja voda na vodnih območjih za obdobje 2022-2027,</w:t>
      </w:r>
    </w:p>
    <w:p w14:paraId="25D2DC90" w14:textId="77777777" w:rsidR="009E1645" w:rsidRPr="00545EC0" w:rsidRDefault="009E1645" w:rsidP="00DD37C5">
      <w:pPr>
        <w:pStyle w:val="Odstavekseznama"/>
        <w:numPr>
          <w:ilvl w:val="0"/>
          <w:numId w:val="119"/>
        </w:numPr>
        <w:overflowPunct/>
        <w:autoSpaceDE/>
        <w:autoSpaceDN/>
        <w:adjustRightInd/>
        <w:spacing w:after="120" w:line="276" w:lineRule="auto"/>
        <w:ind w:left="714" w:hanging="357"/>
        <w:contextualSpacing/>
        <w:textAlignment w:val="auto"/>
        <w:rPr>
          <w:rFonts w:cs="Arial"/>
          <w:szCs w:val="20"/>
        </w:rPr>
      </w:pPr>
      <w:r w:rsidRPr="00545EC0">
        <w:rPr>
          <w:rFonts w:cs="Arial"/>
          <w:szCs w:val="20"/>
        </w:rPr>
        <w:t xml:space="preserve">ukrep </w:t>
      </w:r>
      <w:bookmarkStart w:id="702" w:name="_Toc10112865"/>
      <w:r w:rsidRPr="00545EC0">
        <w:rPr>
          <w:rFonts w:cs="Arial"/>
          <w:szCs w:val="20"/>
        </w:rPr>
        <w:t>»DUDDS27 – Priprava predloga aktivnosti za vodna telesa površinskih voda v slabem stanju zaradi onesnaževanja voda</w:t>
      </w:r>
      <w:bookmarkEnd w:id="702"/>
      <w:r w:rsidRPr="00545EC0">
        <w:rPr>
          <w:rFonts w:cs="Arial"/>
          <w:szCs w:val="20"/>
        </w:rPr>
        <w:t>«; izvajanje ukrepa se podaljša v programsko obdobje 2022-2027; izvedene so spremembe in dopolnitve opisa ukrepa; št. vodnih teles, na katerih se ukrep izvaja je posodobljeno z upoštevanjem podatkov zbranih v okviru posodobitve načrtov upravljanja voda na vodnih območjih za obdobje 2022-2027; izvedena je posodobitev ocene stroškov,</w:t>
      </w:r>
    </w:p>
    <w:p w14:paraId="2564343D" w14:textId="2A888816" w:rsidR="009E1645" w:rsidRPr="003C0201" w:rsidRDefault="009E1645" w:rsidP="00DD37C5">
      <w:pPr>
        <w:pStyle w:val="Odstavekseznama"/>
        <w:numPr>
          <w:ilvl w:val="0"/>
          <w:numId w:val="119"/>
        </w:numPr>
        <w:overflowPunct/>
        <w:autoSpaceDE/>
        <w:autoSpaceDN/>
        <w:adjustRightInd/>
        <w:spacing w:after="120" w:line="276" w:lineRule="auto"/>
        <w:ind w:left="714" w:hanging="357"/>
        <w:contextualSpacing/>
        <w:textAlignment w:val="auto"/>
        <w:rPr>
          <w:rFonts w:cs="Arial"/>
          <w:szCs w:val="20"/>
        </w:rPr>
      </w:pPr>
      <w:r w:rsidRPr="00545EC0">
        <w:rPr>
          <w:rFonts w:cs="Arial"/>
          <w:szCs w:val="20"/>
        </w:rPr>
        <w:t xml:space="preserve">ukrep </w:t>
      </w:r>
      <w:bookmarkStart w:id="703" w:name="_Toc10112866"/>
      <w:r w:rsidRPr="00545EC0">
        <w:rPr>
          <w:rFonts w:cs="Arial"/>
          <w:szCs w:val="20"/>
        </w:rPr>
        <w:t>»DUDDS28 – Priprava predloga ukrepov za reševanje problemov v kakovosti vode zaradi povišanih koncentracij sulfata</w:t>
      </w:r>
      <w:bookmarkEnd w:id="703"/>
      <w:r w:rsidRPr="00545EC0">
        <w:rPr>
          <w:rFonts w:cs="Arial"/>
          <w:szCs w:val="20"/>
        </w:rPr>
        <w:t>«; izvajanje ukrepa se podaljša v programsko obdobje 2022-2027; ni vsebinskih posodobitev; posodobljena je ocena stroškov.</w:t>
      </w:r>
    </w:p>
    <w:p w14:paraId="1034DD48" w14:textId="77777777" w:rsidR="009E1645" w:rsidRPr="00545EC0" w:rsidRDefault="009E1645" w:rsidP="009E1645">
      <w:pPr>
        <w:spacing w:line="276" w:lineRule="auto"/>
        <w:rPr>
          <w:rFonts w:cs="Arial"/>
          <w:szCs w:val="20"/>
        </w:rPr>
      </w:pPr>
    </w:p>
    <w:p w14:paraId="5719D3D1" w14:textId="7AB8922B" w:rsidR="009E1645" w:rsidRPr="00545EC0" w:rsidRDefault="009E1645" w:rsidP="009E1645">
      <w:pPr>
        <w:spacing w:line="276" w:lineRule="auto"/>
        <w:rPr>
          <w:rFonts w:cs="Arial"/>
          <w:szCs w:val="20"/>
        </w:rPr>
      </w:pPr>
      <w:r w:rsidRPr="00545EC0">
        <w:rPr>
          <w:rFonts w:cs="Arial"/>
          <w:szCs w:val="20"/>
        </w:rPr>
        <w:t>Program ukrepov upravljanja voda se dopolni z dopolnilnim ukrepom za doseganje dobrega stanja voda »DUDDS1 – Izvedba ukrepov za vzpostavitev prehodnosti za ribe preko prečnih objektov (izgradnja ribjih prehodov</w:t>
      </w:r>
      <w:r w:rsidR="00864B56" w:rsidRPr="00545EC0">
        <w:rPr>
          <w:rFonts w:cs="Arial"/>
          <w:szCs w:val="20"/>
        </w:rPr>
        <w:t>)</w:t>
      </w:r>
      <w:r w:rsidRPr="00545EC0">
        <w:rPr>
          <w:rFonts w:cs="Arial"/>
          <w:szCs w:val="20"/>
        </w:rPr>
        <w:t>«</w:t>
      </w:r>
      <w:r w:rsidR="003C0201">
        <w:rPr>
          <w:rFonts w:cs="Arial"/>
          <w:szCs w:val="20"/>
        </w:rPr>
        <w:t xml:space="preserve"> in ukrepom </w:t>
      </w:r>
      <w:r w:rsidR="003C0201" w:rsidRPr="003C0201">
        <w:rPr>
          <w:rFonts w:cs="Arial"/>
          <w:szCs w:val="20"/>
        </w:rPr>
        <w:t xml:space="preserve">»DUDDS30 - Priprava načrta aktivnosti za izboljšanje stanja za vodna telesa, za katera je bil </w:t>
      </w:r>
      <w:r w:rsidR="003C0201">
        <w:rPr>
          <w:rFonts w:cs="Arial"/>
          <w:szCs w:val="20"/>
        </w:rPr>
        <w:t>zaznan trend slabšanja stanja«.</w:t>
      </w:r>
    </w:p>
    <w:p w14:paraId="5B062BB0" w14:textId="77777777" w:rsidR="00F11C46" w:rsidRPr="00545EC0" w:rsidRDefault="00F11C46">
      <w:pPr>
        <w:pStyle w:val="Naslov3"/>
      </w:pPr>
      <w:bookmarkStart w:id="704" w:name="_Toc90261084"/>
      <w:r w:rsidRPr="00545EC0">
        <w:t>Analiza stroškovne učinkovitosti dopolnilnih ukrep</w:t>
      </w:r>
      <w:bookmarkEnd w:id="691"/>
      <w:bookmarkEnd w:id="692"/>
      <w:bookmarkEnd w:id="693"/>
      <w:bookmarkEnd w:id="694"/>
      <w:bookmarkEnd w:id="695"/>
      <w:bookmarkEnd w:id="696"/>
      <w:r w:rsidRPr="00545EC0">
        <w:t>ov</w:t>
      </w:r>
      <w:bookmarkEnd w:id="704"/>
    </w:p>
    <w:p w14:paraId="16C6EFC8" w14:textId="77777777" w:rsidR="00F11C46" w:rsidRPr="00545EC0" w:rsidRDefault="00F11C46" w:rsidP="00F11C46">
      <w:pPr>
        <w:rPr>
          <w:rFonts w:cs="Arial"/>
          <w:szCs w:val="20"/>
        </w:rPr>
      </w:pPr>
      <w:r w:rsidRPr="00545EC0">
        <w:rPr>
          <w:rFonts w:cs="Arial"/>
          <w:szCs w:val="20"/>
        </w:rPr>
        <w:t>Analiza stroškovne učinkovitosti je ekonomsko orodje za odločanje o stroškovno najbolj ugodnem načinu doseganja opredeljenega cilja. S to analizo se primerja stroške alternativnih tehnično izvedljivih možnosti doseganja oziroma zagotavljanja istega ali podobnih rezultatov. Običajno se stroški izračunavajo na enoto koristi, pri čemer ni nujno, da se koristi izrazijo v denarnih enotah ali z drugo ekonomsko vrednostjo. Rezultat analize je opredelitev najcenejšega ukrepa, s katerim bo dosežen opredeljeni cilj – to je stroškovno najbolj učinkovit ukrep.</w:t>
      </w:r>
    </w:p>
    <w:p w14:paraId="68E99442" w14:textId="77777777" w:rsidR="00F11C46" w:rsidRPr="00545EC0" w:rsidRDefault="00F11C46" w:rsidP="00F11C46">
      <w:pPr>
        <w:rPr>
          <w:rFonts w:cs="Arial"/>
          <w:szCs w:val="20"/>
        </w:rPr>
      </w:pPr>
    </w:p>
    <w:p w14:paraId="63E9A88D" w14:textId="77777777" w:rsidR="00F11C46" w:rsidRPr="00545EC0" w:rsidRDefault="00F11C46" w:rsidP="00F11C46">
      <w:pPr>
        <w:rPr>
          <w:rFonts w:cs="Arial"/>
          <w:szCs w:val="20"/>
        </w:rPr>
      </w:pPr>
      <w:r w:rsidRPr="00545EC0">
        <w:rPr>
          <w:rFonts w:cs="Arial"/>
          <w:szCs w:val="20"/>
        </w:rPr>
        <w:t xml:space="preserve">Analiza stroškovne učinkovitosti je bila izdelana za dopolnilne ukrepe za zmanjšanje razpršenega onesnaževanja voda s hranili v kmetijstvu in za dopolnilne ukrepe za zmanjšanje hidromorfoloških obremenitev.  </w:t>
      </w:r>
    </w:p>
    <w:p w14:paraId="15F41DBD" w14:textId="77777777" w:rsidR="00F11C46" w:rsidRPr="00545EC0" w:rsidRDefault="00F11C46" w:rsidP="00F11C46">
      <w:pPr>
        <w:rPr>
          <w:rFonts w:cs="Arial"/>
        </w:rPr>
      </w:pPr>
    </w:p>
    <w:p w14:paraId="5125A072" w14:textId="77777777" w:rsidR="00F11C46" w:rsidRPr="00545EC0" w:rsidRDefault="00F11C46" w:rsidP="00F11C46">
      <w:pPr>
        <w:rPr>
          <w:rFonts w:cs="Arial"/>
        </w:rPr>
      </w:pPr>
    </w:p>
    <w:p w14:paraId="2B890584" w14:textId="77777777" w:rsidR="00F11C46" w:rsidRPr="00545EC0" w:rsidRDefault="00F11C46" w:rsidP="005709D6">
      <w:pPr>
        <w:pStyle w:val="Naslov4"/>
        <w:ind w:left="1134" w:hanging="1134"/>
        <w:rPr>
          <w:color w:val="auto"/>
        </w:rPr>
      </w:pPr>
      <w:r w:rsidRPr="00545EC0">
        <w:rPr>
          <w:color w:val="auto"/>
        </w:rPr>
        <w:t xml:space="preserve">Analiza </w:t>
      </w:r>
      <w:r w:rsidRPr="00545EC0">
        <w:rPr>
          <w:color w:val="auto"/>
        </w:rPr>
        <w:tab/>
        <w:t xml:space="preserve">stroškovne učinkovitosti dopolnilnih ukrepov za zmanjšanje razpršenega onesnaževanja voda s hranili v kmetijstvu </w:t>
      </w:r>
    </w:p>
    <w:p w14:paraId="42A55319" w14:textId="4ABA001A" w:rsidR="00F11C46" w:rsidRPr="00545EC0" w:rsidRDefault="00AA62E6" w:rsidP="00F11C46">
      <w:pPr>
        <w:rPr>
          <w:rFonts w:cs="Arial"/>
          <w:szCs w:val="20"/>
        </w:rPr>
      </w:pPr>
      <w:r w:rsidRPr="00545EC0">
        <w:rPr>
          <w:rFonts w:cs="Arial"/>
          <w:szCs w:val="20"/>
        </w:rPr>
        <w:t>Analiza stroškovne učinkovitosti dopolnilnih ukrepov za zmanjšanje r</w:t>
      </w:r>
      <w:r w:rsidR="00864B56" w:rsidRPr="00545EC0">
        <w:rPr>
          <w:rFonts w:cs="Arial"/>
          <w:szCs w:val="20"/>
        </w:rPr>
        <w:t>azpršenega</w:t>
      </w:r>
      <w:r w:rsidRPr="00545EC0">
        <w:rPr>
          <w:rFonts w:cs="Arial"/>
          <w:szCs w:val="20"/>
        </w:rPr>
        <w:t xml:space="preserve"> onesnaževanja voda s hranili v kmetijstvu je bila narejena za namene Načrta upravljana voda za obdobje od leta 2016 – 2021. </w:t>
      </w:r>
      <w:r w:rsidR="007A3EFC" w:rsidRPr="00545EC0">
        <w:rPr>
          <w:rFonts w:cs="Arial"/>
          <w:szCs w:val="20"/>
        </w:rPr>
        <w:t xml:space="preserve"> </w:t>
      </w:r>
      <w:r w:rsidR="00F11C46" w:rsidRPr="00545EC0">
        <w:rPr>
          <w:rFonts w:cs="Arial"/>
          <w:szCs w:val="20"/>
        </w:rPr>
        <w:t xml:space="preserve">Za vodna telesa, kjer je bilo ocenjeno, da okoljski cilji leta 2021 oz. 2027 ne bodo doseženi kljub izvajanju temeljnih ukrepov za zmanjšanje obremenitev zaradi onesnaževanja iz kmetijstva, so bili predvideni dopolnilni ukrepi. </w:t>
      </w:r>
    </w:p>
    <w:p w14:paraId="5B71BE1F" w14:textId="77777777" w:rsidR="00F11C46" w:rsidRPr="00545EC0" w:rsidRDefault="00F11C46" w:rsidP="00F11C46">
      <w:pPr>
        <w:rPr>
          <w:rFonts w:cs="Arial"/>
          <w:szCs w:val="20"/>
        </w:rPr>
      </w:pPr>
    </w:p>
    <w:p w14:paraId="35979583" w14:textId="77777777" w:rsidR="00F11C46" w:rsidRPr="00545EC0" w:rsidRDefault="00F11C46" w:rsidP="00F11C46">
      <w:pPr>
        <w:rPr>
          <w:rFonts w:cs="Arial"/>
          <w:szCs w:val="20"/>
        </w:rPr>
      </w:pPr>
      <w:r w:rsidRPr="00545EC0">
        <w:rPr>
          <w:rFonts w:cs="Arial"/>
          <w:szCs w:val="20"/>
        </w:rPr>
        <w:t xml:space="preserve">Opredeljen je bil ukrep </w:t>
      </w:r>
      <w:r w:rsidR="00D2780B" w:rsidRPr="00545EC0">
        <w:rPr>
          <w:rFonts w:cs="Arial"/>
          <w:szCs w:val="20"/>
        </w:rPr>
        <w:t xml:space="preserve">»Ukrepi za zmanjšanje razpršenega onesnaževanja voda s hranili v kmetijstvu (DUDDS2)« </w:t>
      </w:r>
      <w:r w:rsidRPr="00545EC0">
        <w:rPr>
          <w:rFonts w:cs="Arial"/>
          <w:szCs w:val="20"/>
        </w:rPr>
        <w:t xml:space="preserve">v katerega je vključenih več podukrepov. </w:t>
      </w:r>
    </w:p>
    <w:p w14:paraId="134F8BCC" w14:textId="77777777" w:rsidR="00F11C46" w:rsidRPr="00545EC0" w:rsidRDefault="00F11C46" w:rsidP="00F11C46">
      <w:pPr>
        <w:rPr>
          <w:rFonts w:cs="Arial"/>
          <w:szCs w:val="20"/>
        </w:rPr>
      </w:pPr>
    </w:p>
    <w:p w14:paraId="6DB2D657" w14:textId="7EA16A86" w:rsidR="00F11C46" w:rsidRPr="00545EC0" w:rsidRDefault="00F11C46" w:rsidP="00F11C46">
      <w:pPr>
        <w:rPr>
          <w:rFonts w:cs="Arial"/>
          <w:szCs w:val="20"/>
        </w:rPr>
      </w:pPr>
      <w:r w:rsidRPr="00545EC0">
        <w:rPr>
          <w:rFonts w:cs="Arial"/>
          <w:szCs w:val="20"/>
        </w:rPr>
        <w:t xml:space="preserve">V okviru analize stroškovne učinkovitosti sta bila ocenjena strošek in učinek posameznega podukrepa. Stroškovna učinkovitost podukrepov za zmanjšanje razpršenega onesnaževanja voda s hranili v </w:t>
      </w:r>
      <w:r w:rsidRPr="00545EC0">
        <w:rPr>
          <w:rFonts w:cs="Arial"/>
          <w:szCs w:val="20"/>
        </w:rPr>
        <w:lastRenderedPageBreak/>
        <w:t>kmetijstvu je bila opredeljena kot količnik med stroški in učinki ukrepov</w:t>
      </w:r>
      <w:r w:rsidR="00481119" w:rsidRPr="00545EC0">
        <w:rPr>
          <w:rFonts w:cs="Arial"/>
          <w:szCs w:val="20"/>
        </w:rPr>
        <w:t xml:space="preserve"> (</w:t>
      </w:r>
      <w:r w:rsidR="00481119" w:rsidRPr="00545EC0">
        <w:rPr>
          <w:rFonts w:cs="Arial"/>
          <w:szCs w:val="20"/>
        </w:rPr>
        <w:fldChar w:fldCharType="begin"/>
      </w:r>
      <w:r w:rsidR="00481119" w:rsidRPr="00545EC0">
        <w:rPr>
          <w:rFonts w:cs="Arial"/>
          <w:szCs w:val="20"/>
        </w:rPr>
        <w:instrText xml:space="preserve"> REF _Ref462216766 \h </w:instrText>
      </w:r>
      <w:r w:rsidR="004C613F" w:rsidRPr="00545EC0">
        <w:rPr>
          <w:rFonts w:cs="Arial"/>
          <w:szCs w:val="20"/>
        </w:rPr>
        <w:instrText xml:space="preserve"> \* MERGEFORMAT </w:instrText>
      </w:r>
      <w:r w:rsidR="00481119" w:rsidRPr="00545EC0">
        <w:rPr>
          <w:rFonts w:cs="Arial"/>
          <w:szCs w:val="20"/>
        </w:rPr>
      </w:r>
      <w:r w:rsidR="00481119" w:rsidRPr="00545EC0">
        <w:rPr>
          <w:rFonts w:cs="Arial"/>
          <w:szCs w:val="20"/>
        </w:rPr>
        <w:fldChar w:fldCharType="separate"/>
      </w:r>
      <w:r w:rsidR="002F3E43" w:rsidRPr="00545EC0">
        <w:t xml:space="preserve">Preglednica </w:t>
      </w:r>
      <w:r w:rsidR="002F3E43">
        <w:rPr>
          <w:noProof/>
        </w:rPr>
        <w:t>6</w:t>
      </w:r>
      <w:r w:rsidR="002F3E43" w:rsidRPr="00545EC0">
        <w:rPr>
          <w:noProof/>
        </w:rPr>
        <w:noBreakHyphen/>
      </w:r>
      <w:r w:rsidR="002F3E43">
        <w:rPr>
          <w:noProof/>
        </w:rPr>
        <w:t>4</w:t>
      </w:r>
      <w:r w:rsidR="00481119" w:rsidRPr="00545EC0">
        <w:rPr>
          <w:rFonts w:cs="Arial"/>
          <w:szCs w:val="20"/>
        </w:rPr>
        <w:fldChar w:fldCharType="end"/>
      </w:r>
      <w:r w:rsidRPr="00545EC0">
        <w:rPr>
          <w:rFonts w:cs="Arial"/>
          <w:szCs w:val="20"/>
        </w:rPr>
        <w:t>). Nižji kot je količnik, bolj stroškovno učinkovit je ukrep.</w:t>
      </w:r>
      <w:bookmarkStart w:id="705" w:name="_Ref461625437"/>
    </w:p>
    <w:bookmarkEnd w:id="705"/>
    <w:p w14:paraId="00D5C185" w14:textId="77777777" w:rsidR="00481119" w:rsidRPr="00545EC0" w:rsidRDefault="00481119" w:rsidP="003176A4">
      <w:pPr>
        <w:pStyle w:val="Napis"/>
      </w:pPr>
    </w:p>
    <w:p w14:paraId="236DACD0" w14:textId="0E7573DB" w:rsidR="00F11C46" w:rsidRPr="00545EC0" w:rsidRDefault="00481119" w:rsidP="003176A4">
      <w:pPr>
        <w:pStyle w:val="Napis"/>
        <w:rPr>
          <w:sz w:val="18"/>
        </w:rPr>
      </w:pPr>
      <w:bookmarkStart w:id="706" w:name="_Ref462216766"/>
      <w:r w:rsidRPr="00545EC0">
        <w:t xml:space="preserve">Preglednica </w:t>
      </w:r>
      <w:fldSimple w:instr=" STYLEREF 1 \s ">
        <w:r w:rsidR="002F3E43">
          <w:rPr>
            <w:noProof/>
          </w:rPr>
          <w:t>6</w:t>
        </w:r>
      </w:fldSimple>
      <w:r w:rsidR="001A7511" w:rsidRPr="00545EC0">
        <w:noBreakHyphen/>
      </w:r>
      <w:fldSimple w:instr=" SEQ Preglednica \* ARABIC \s 1 ">
        <w:r w:rsidR="002F3E43">
          <w:rPr>
            <w:noProof/>
          </w:rPr>
          <w:t>4</w:t>
        </w:r>
      </w:fldSimple>
      <w:bookmarkEnd w:id="706"/>
      <w:r w:rsidRPr="00545EC0">
        <w:t xml:space="preserve">: </w:t>
      </w:r>
      <w:r w:rsidR="00F11C46" w:rsidRPr="00545EC0">
        <w:t>Analiza stroškovne učinkovitosti podukrepov za zmanjšanje razpršenega onesnaževanja voda s hranili v kmetijstvu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9"/>
        <w:gridCol w:w="1499"/>
        <w:gridCol w:w="2545"/>
        <w:gridCol w:w="1384"/>
      </w:tblGrid>
      <w:tr w:rsidR="003122F4" w:rsidRPr="00545EC0" w14:paraId="07ACA01E" w14:textId="77777777" w:rsidTr="0073517B">
        <w:trPr>
          <w:trHeight w:val="750"/>
          <w:tblHeader/>
        </w:trPr>
        <w:tc>
          <w:tcPr>
            <w:tcW w:w="2078" w:type="pct"/>
            <w:shd w:val="clear" w:color="auto" w:fill="F2F2F2" w:themeFill="background1" w:themeFillShade="F2"/>
            <w:noWrap/>
            <w:hideMark/>
          </w:tcPr>
          <w:p w14:paraId="418B6275" w14:textId="77777777" w:rsidR="00F11C46" w:rsidRPr="00545EC0" w:rsidRDefault="00F11C46" w:rsidP="002E04C0">
            <w:pPr>
              <w:jc w:val="left"/>
              <w:rPr>
                <w:rFonts w:cs="Arial"/>
                <w:sz w:val="18"/>
                <w:szCs w:val="18"/>
              </w:rPr>
            </w:pPr>
            <w:r w:rsidRPr="00545EC0">
              <w:rPr>
                <w:rFonts w:cs="Arial"/>
                <w:b/>
                <w:bCs/>
                <w:sz w:val="18"/>
                <w:szCs w:val="18"/>
              </w:rPr>
              <w:t>Podukrepi</w:t>
            </w:r>
          </w:p>
        </w:tc>
        <w:tc>
          <w:tcPr>
            <w:tcW w:w="807" w:type="pct"/>
            <w:shd w:val="clear" w:color="auto" w:fill="F2F2F2" w:themeFill="background1" w:themeFillShade="F2"/>
            <w:hideMark/>
          </w:tcPr>
          <w:p w14:paraId="1B4CFF01" w14:textId="77777777" w:rsidR="00F11C46" w:rsidRPr="00545EC0" w:rsidRDefault="00F11C46" w:rsidP="00F06A3A">
            <w:pPr>
              <w:jc w:val="center"/>
              <w:rPr>
                <w:rFonts w:cs="Arial"/>
                <w:b/>
                <w:bCs/>
                <w:sz w:val="18"/>
                <w:szCs w:val="18"/>
              </w:rPr>
            </w:pPr>
            <w:r w:rsidRPr="00545EC0">
              <w:rPr>
                <w:rFonts w:cs="Arial"/>
                <w:b/>
                <w:bCs/>
                <w:sz w:val="18"/>
                <w:szCs w:val="18"/>
              </w:rPr>
              <w:t>Ocena stroška ukrepa (EUR/ha/leto)</w:t>
            </w:r>
          </w:p>
        </w:tc>
        <w:tc>
          <w:tcPr>
            <w:tcW w:w="1370" w:type="pct"/>
            <w:shd w:val="clear" w:color="auto" w:fill="F2F2F2" w:themeFill="background1" w:themeFillShade="F2"/>
            <w:hideMark/>
          </w:tcPr>
          <w:p w14:paraId="73DF9916" w14:textId="77777777" w:rsidR="00F11C46" w:rsidRPr="00545EC0" w:rsidRDefault="00F11C46" w:rsidP="00F06A3A">
            <w:pPr>
              <w:jc w:val="center"/>
              <w:rPr>
                <w:rFonts w:cs="Arial"/>
                <w:b/>
                <w:bCs/>
                <w:sz w:val="18"/>
                <w:szCs w:val="18"/>
              </w:rPr>
            </w:pPr>
            <w:r w:rsidRPr="00545EC0">
              <w:rPr>
                <w:rFonts w:cs="Arial"/>
                <w:b/>
                <w:bCs/>
                <w:sz w:val="18"/>
                <w:szCs w:val="18"/>
              </w:rPr>
              <w:t>Ocena učinka ukrepa: zmanjšanje emisije (izpran N) srednja vrednost (kg N/ha)</w:t>
            </w:r>
          </w:p>
        </w:tc>
        <w:tc>
          <w:tcPr>
            <w:tcW w:w="745" w:type="pct"/>
            <w:shd w:val="clear" w:color="auto" w:fill="F2F2F2" w:themeFill="background1" w:themeFillShade="F2"/>
            <w:hideMark/>
          </w:tcPr>
          <w:p w14:paraId="6400C505" w14:textId="1468D805" w:rsidR="00F11C46" w:rsidRPr="00545EC0" w:rsidRDefault="00626988" w:rsidP="00F06A3A">
            <w:pPr>
              <w:jc w:val="center"/>
              <w:rPr>
                <w:rFonts w:cs="Arial"/>
                <w:b/>
                <w:bCs/>
                <w:sz w:val="18"/>
                <w:szCs w:val="18"/>
              </w:rPr>
            </w:pPr>
            <w:r w:rsidRPr="00545EC0">
              <w:rPr>
                <w:rFonts w:cs="Arial"/>
                <w:b/>
                <w:bCs/>
                <w:sz w:val="18"/>
                <w:szCs w:val="18"/>
              </w:rPr>
              <w:t>Količnik s</w:t>
            </w:r>
            <w:r w:rsidR="00F11C46" w:rsidRPr="00545EC0">
              <w:rPr>
                <w:rFonts w:cs="Arial"/>
                <w:b/>
                <w:bCs/>
                <w:sz w:val="18"/>
                <w:szCs w:val="18"/>
              </w:rPr>
              <w:t>troškovn</w:t>
            </w:r>
            <w:r w:rsidRPr="00545EC0">
              <w:rPr>
                <w:rFonts w:cs="Arial"/>
                <w:b/>
                <w:bCs/>
                <w:sz w:val="18"/>
                <w:szCs w:val="18"/>
              </w:rPr>
              <w:t>e</w:t>
            </w:r>
            <w:r w:rsidR="00F11C46" w:rsidRPr="00545EC0">
              <w:rPr>
                <w:rFonts w:cs="Arial"/>
                <w:b/>
                <w:bCs/>
                <w:sz w:val="18"/>
                <w:szCs w:val="18"/>
              </w:rPr>
              <w:t xml:space="preserve"> učinkovitost</w:t>
            </w:r>
            <w:r w:rsidRPr="00545EC0">
              <w:rPr>
                <w:rFonts w:cs="Arial"/>
                <w:b/>
                <w:bCs/>
                <w:sz w:val="18"/>
                <w:szCs w:val="18"/>
              </w:rPr>
              <w:t>i</w:t>
            </w:r>
          </w:p>
          <w:p w14:paraId="0C933D8A" w14:textId="77777777" w:rsidR="00F11C46" w:rsidRPr="00545EC0" w:rsidRDefault="00F11C46" w:rsidP="00F06A3A">
            <w:pPr>
              <w:jc w:val="center"/>
              <w:rPr>
                <w:rFonts w:cs="Arial"/>
                <w:b/>
                <w:bCs/>
                <w:sz w:val="18"/>
                <w:szCs w:val="18"/>
              </w:rPr>
            </w:pPr>
            <w:r w:rsidRPr="00545EC0">
              <w:rPr>
                <w:rFonts w:cs="Arial"/>
                <w:b/>
                <w:bCs/>
                <w:sz w:val="18"/>
                <w:szCs w:val="18"/>
              </w:rPr>
              <w:t>(EUR/kg N)</w:t>
            </w:r>
          </w:p>
        </w:tc>
      </w:tr>
      <w:tr w:rsidR="003122F4" w:rsidRPr="00545EC0" w14:paraId="2A8FD994" w14:textId="77777777" w:rsidTr="0073517B">
        <w:trPr>
          <w:trHeight w:val="600"/>
        </w:trPr>
        <w:tc>
          <w:tcPr>
            <w:tcW w:w="2078" w:type="pct"/>
            <w:shd w:val="clear" w:color="auto" w:fill="auto"/>
            <w:hideMark/>
          </w:tcPr>
          <w:p w14:paraId="04874F3B" w14:textId="27604FB6" w:rsidR="00F11C46" w:rsidRPr="00545EC0" w:rsidRDefault="00F11C46" w:rsidP="0073517B">
            <w:pPr>
              <w:jc w:val="left"/>
              <w:rPr>
                <w:rFonts w:cs="Arial"/>
                <w:sz w:val="18"/>
                <w:szCs w:val="18"/>
              </w:rPr>
            </w:pPr>
            <w:r w:rsidRPr="00545EC0">
              <w:rPr>
                <w:rFonts w:cs="Arial"/>
                <w:sz w:val="18"/>
                <w:szCs w:val="18"/>
              </w:rPr>
              <w:t xml:space="preserve">Pokritost tal v medvrstnem prostoru z negovano ledino </w:t>
            </w:r>
          </w:p>
        </w:tc>
        <w:tc>
          <w:tcPr>
            <w:tcW w:w="807" w:type="pct"/>
            <w:shd w:val="clear" w:color="auto" w:fill="auto"/>
            <w:noWrap/>
            <w:hideMark/>
          </w:tcPr>
          <w:p w14:paraId="55F743FA" w14:textId="77777777" w:rsidR="00F11C46" w:rsidRPr="00545EC0" w:rsidRDefault="00F11C46" w:rsidP="00F06A3A">
            <w:pPr>
              <w:jc w:val="center"/>
              <w:rPr>
                <w:rFonts w:cs="Arial"/>
                <w:sz w:val="18"/>
                <w:szCs w:val="18"/>
              </w:rPr>
            </w:pPr>
            <w:r w:rsidRPr="00545EC0">
              <w:rPr>
                <w:rFonts w:cs="Arial"/>
                <w:sz w:val="18"/>
                <w:szCs w:val="18"/>
              </w:rPr>
              <w:t xml:space="preserve">115,0 </w:t>
            </w:r>
            <w:r w:rsidRPr="00545EC0">
              <w:rPr>
                <w:rFonts w:cs="Arial"/>
                <w:sz w:val="18"/>
                <w:szCs w:val="18"/>
                <w:vertAlign w:val="superscript"/>
              </w:rPr>
              <w:t>a)</w:t>
            </w:r>
          </w:p>
        </w:tc>
        <w:tc>
          <w:tcPr>
            <w:tcW w:w="1370" w:type="pct"/>
            <w:shd w:val="clear" w:color="auto" w:fill="auto"/>
            <w:hideMark/>
          </w:tcPr>
          <w:p w14:paraId="09F7BAD8" w14:textId="77777777" w:rsidR="00F11C46" w:rsidRPr="00545EC0" w:rsidRDefault="00F11C46" w:rsidP="00F06A3A">
            <w:pPr>
              <w:jc w:val="center"/>
              <w:rPr>
                <w:rFonts w:cs="Arial"/>
                <w:sz w:val="18"/>
                <w:szCs w:val="18"/>
              </w:rPr>
            </w:pPr>
            <w:r w:rsidRPr="00545EC0">
              <w:rPr>
                <w:rFonts w:cs="Arial"/>
                <w:sz w:val="18"/>
                <w:szCs w:val="18"/>
              </w:rPr>
              <w:t xml:space="preserve">40 </w:t>
            </w:r>
            <w:r w:rsidRPr="00545EC0">
              <w:rPr>
                <w:rFonts w:cs="Arial"/>
                <w:sz w:val="18"/>
                <w:szCs w:val="18"/>
                <w:vertAlign w:val="superscript"/>
              </w:rPr>
              <w:t>b)</w:t>
            </w:r>
          </w:p>
        </w:tc>
        <w:tc>
          <w:tcPr>
            <w:tcW w:w="745" w:type="pct"/>
            <w:shd w:val="clear" w:color="auto" w:fill="auto"/>
            <w:noWrap/>
          </w:tcPr>
          <w:p w14:paraId="7FC7AEF5" w14:textId="77777777" w:rsidR="00F11C46" w:rsidRPr="00545EC0" w:rsidRDefault="00F11C46" w:rsidP="00F06A3A">
            <w:pPr>
              <w:jc w:val="center"/>
              <w:rPr>
                <w:rFonts w:cs="Arial"/>
                <w:bCs/>
                <w:sz w:val="18"/>
                <w:szCs w:val="18"/>
              </w:rPr>
            </w:pPr>
            <w:r w:rsidRPr="00545EC0">
              <w:rPr>
                <w:rFonts w:cs="Arial"/>
                <w:bCs/>
                <w:sz w:val="18"/>
                <w:szCs w:val="18"/>
              </w:rPr>
              <w:t>3</w:t>
            </w:r>
          </w:p>
        </w:tc>
      </w:tr>
      <w:tr w:rsidR="003122F4" w:rsidRPr="00545EC0" w14:paraId="13CBD8F5" w14:textId="77777777" w:rsidTr="0073517B">
        <w:trPr>
          <w:trHeight w:val="255"/>
        </w:trPr>
        <w:tc>
          <w:tcPr>
            <w:tcW w:w="2078" w:type="pct"/>
            <w:shd w:val="clear" w:color="auto" w:fill="auto"/>
            <w:hideMark/>
          </w:tcPr>
          <w:p w14:paraId="6B9ABDE2" w14:textId="34DED32F" w:rsidR="00F11C46" w:rsidRPr="00545EC0" w:rsidRDefault="00F11C46" w:rsidP="0073517B">
            <w:pPr>
              <w:jc w:val="left"/>
              <w:rPr>
                <w:rFonts w:cs="Arial"/>
                <w:sz w:val="18"/>
                <w:szCs w:val="18"/>
              </w:rPr>
            </w:pPr>
            <w:r w:rsidRPr="00545EC0">
              <w:rPr>
                <w:rFonts w:cs="Arial"/>
                <w:sz w:val="18"/>
                <w:szCs w:val="18"/>
              </w:rPr>
              <w:t xml:space="preserve">Pokritost tal v vinogradih z negovano ledino </w:t>
            </w:r>
          </w:p>
        </w:tc>
        <w:tc>
          <w:tcPr>
            <w:tcW w:w="807" w:type="pct"/>
            <w:shd w:val="clear" w:color="auto" w:fill="auto"/>
            <w:noWrap/>
            <w:hideMark/>
          </w:tcPr>
          <w:p w14:paraId="2A736D01" w14:textId="77777777" w:rsidR="00F11C46" w:rsidRPr="00545EC0" w:rsidRDefault="00F11C46" w:rsidP="00F06A3A">
            <w:pPr>
              <w:jc w:val="center"/>
              <w:rPr>
                <w:rFonts w:cs="Arial"/>
                <w:sz w:val="18"/>
                <w:szCs w:val="18"/>
              </w:rPr>
            </w:pPr>
            <w:r w:rsidRPr="00545EC0">
              <w:rPr>
                <w:rFonts w:cs="Arial"/>
                <w:sz w:val="18"/>
                <w:szCs w:val="18"/>
              </w:rPr>
              <w:t>171,1</w:t>
            </w:r>
            <w:r w:rsidRPr="00545EC0">
              <w:rPr>
                <w:rFonts w:cs="Arial"/>
                <w:sz w:val="18"/>
                <w:szCs w:val="18"/>
                <w:vertAlign w:val="superscript"/>
              </w:rPr>
              <w:t xml:space="preserve"> a)</w:t>
            </w:r>
          </w:p>
        </w:tc>
        <w:tc>
          <w:tcPr>
            <w:tcW w:w="1370" w:type="pct"/>
            <w:shd w:val="clear" w:color="auto" w:fill="auto"/>
            <w:hideMark/>
          </w:tcPr>
          <w:p w14:paraId="29299A67" w14:textId="77777777" w:rsidR="00F11C46" w:rsidRPr="00545EC0" w:rsidRDefault="00F11C46" w:rsidP="00F06A3A">
            <w:pPr>
              <w:jc w:val="center"/>
              <w:rPr>
                <w:rFonts w:cs="Arial"/>
                <w:sz w:val="18"/>
                <w:szCs w:val="18"/>
              </w:rPr>
            </w:pPr>
            <w:r w:rsidRPr="00545EC0">
              <w:rPr>
                <w:rFonts w:cs="Arial"/>
                <w:sz w:val="18"/>
                <w:szCs w:val="18"/>
              </w:rPr>
              <w:t xml:space="preserve">40 </w:t>
            </w:r>
            <w:r w:rsidRPr="00545EC0">
              <w:rPr>
                <w:rFonts w:cs="Arial"/>
                <w:sz w:val="18"/>
                <w:szCs w:val="18"/>
                <w:vertAlign w:val="superscript"/>
              </w:rPr>
              <w:t>b)</w:t>
            </w:r>
          </w:p>
        </w:tc>
        <w:tc>
          <w:tcPr>
            <w:tcW w:w="745" w:type="pct"/>
            <w:shd w:val="clear" w:color="auto" w:fill="auto"/>
            <w:noWrap/>
          </w:tcPr>
          <w:p w14:paraId="3C152F7E" w14:textId="77777777" w:rsidR="00F11C46" w:rsidRPr="00545EC0" w:rsidRDefault="00F11C46" w:rsidP="00F06A3A">
            <w:pPr>
              <w:jc w:val="center"/>
              <w:rPr>
                <w:rFonts w:cs="Arial"/>
                <w:bCs/>
                <w:sz w:val="18"/>
                <w:szCs w:val="18"/>
              </w:rPr>
            </w:pPr>
            <w:r w:rsidRPr="00545EC0">
              <w:rPr>
                <w:rFonts w:cs="Arial"/>
                <w:bCs/>
                <w:sz w:val="18"/>
                <w:szCs w:val="18"/>
              </w:rPr>
              <w:t>4</w:t>
            </w:r>
          </w:p>
        </w:tc>
      </w:tr>
      <w:tr w:rsidR="003122F4" w:rsidRPr="00545EC0" w14:paraId="2F9BB072" w14:textId="77777777" w:rsidTr="0073517B">
        <w:trPr>
          <w:trHeight w:val="300"/>
        </w:trPr>
        <w:tc>
          <w:tcPr>
            <w:tcW w:w="2078" w:type="pct"/>
            <w:shd w:val="clear" w:color="auto" w:fill="auto"/>
            <w:hideMark/>
          </w:tcPr>
          <w:p w14:paraId="0E4EDCDD" w14:textId="592AB2FE" w:rsidR="00F11C46" w:rsidRPr="00545EC0" w:rsidRDefault="0073517B" w:rsidP="0073517B">
            <w:pPr>
              <w:jc w:val="left"/>
              <w:rPr>
                <w:rFonts w:cs="Arial"/>
                <w:sz w:val="18"/>
                <w:szCs w:val="18"/>
              </w:rPr>
            </w:pPr>
            <w:r w:rsidRPr="00545EC0">
              <w:rPr>
                <w:rFonts w:cs="Arial"/>
                <w:sz w:val="18"/>
                <w:szCs w:val="18"/>
              </w:rPr>
              <w:t xml:space="preserve">Petletni kolobar </w:t>
            </w:r>
            <w:r w:rsidR="00F11C46" w:rsidRPr="00545EC0">
              <w:rPr>
                <w:rFonts w:cs="Arial"/>
                <w:sz w:val="18"/>
                <w:szCs w:val="18"/>
              </w:rPr>
              <w:t xml:space="preserve"> </w:t>
            </w:r>
          </w:p>
        </w:tc>
        <w:tc>
          <w:tcPr>
            <w:tcW w:w="807" w:type="pct"/>
            <w:shd w:val="clear" w:color="auto" w:fill="auto"/>
            <w:noWrap/>
            <w:hideMark/>
          </w:tcPr>
          <w:p w14:paraId="027BC40F" w14:textId="77777777" w:rsidR="00F11C46" w:rsidRPr="00545EC0" w:rsidRDefault="00F11C46" w:rsidP="00F06A3A">
            <w:pPr>
              <w:jc w:val="center"/>
              <w:rPr>
                <w:rFonts w:cs="Arial"/>
                <w:sz w:val="18"/>
                <w:szCs w:val="18"/>
              </w:rPr>
            </w:pPr>
            <w:r w:rsidRPr="00545EC0">
              <w:rPr>
                <w:rFonts w:cs="Arial"/>
                <w:sz w:val="18"/>
                <w:szCs w:val="18"/>
              </w:rPr>
              <w:t>114,8</w:t>
            </w:r>
            <w:r w:rsidRPr="00545EC0">
              <w:rPr>
                <w:rFonts w:cs="Arial"/>
                <w:sz w:val="18"/>
                <w:szCs w:val="18"/>
                <w:vertAlign w:val="superscript"/>
              </w:rPr>
              <w:t xml:space="preserve"> a)</w:t>
            </w:r>
          </w:p>
        </w:tc>
        <w:tc>
          <w:tcPr>
            <w:tcW w:w="1370" w:type="pct"/>
            <w:shd w:val="clear" w:color="auto" w:fill="auto"/>
            <w:noWrap/>
            <w:hideMark/>
          </w:tcPr>
          <w:p w14:paraId="611D28A6" w14:textId="77777777" w:rsidR="00F11C46" w:rsidRPr="00545EC0" w:rsidRDefault="00F11C46" w:rsidP="00F06A3A">
            <w:pPr>
              <w:jc w:val="center"/>
              <w:rPr>
                <w:rFonts w:cs="Arial"/>
                <w:sz w:val="18"/>
                <w:szCs w:val="18"/>
              </w:rPr>
            </w:pPr>
            <w:r w:rsidRPr="00545EC0">
              <w:rPr>
                <w:rFonts w:cs="Arial"/>
                <w:sz w:val="18"/>
                <w:szCs w:val="18"/>
              </w:rPr>
              <w:t xml:space="preserve">44,0 </w:t>
            </w:r>
            <w:r w:rsidRPr="00545EC0">
              <w:rPr>
                <w:rFonts w:cs="Arial"/>
                <w:sz w:val="18"/>
                <w:szCs w:val="18"/>
                <w:vertAlign w:val="superscript"/>
              </w:rPr>
              <w:t>c)</w:t>
            </w:r>
          </w:p>
        </w:tc>
        <w:tc>
          <w:tcPr>
            <w:tcW w:w="745" w:type="pct"/>
            <w:shd w:val="clear" w:color="auto" w:fill="auto"/>
            <w:noWrap/>
            <w:hideMark/>
          </w:tcPr>
          <w:p w14:paraId="36AD40CC" w14:textId="77777777" w:rsidR="00F11C46" w:rsidRPr="00545EC0" w:rsidRDefault="00F11C46" w:rsidP="00F06A3A">
            <w:pPr>
              <w:jc w:val="center"/>
              <w:rPr>
                <w:rFonts w:cs="Arial"/>
                <w:sz w:val="18"/>
                <w:szCs w:val="18"/>
              </w:rPr>
            </w:pPr>
            <w:r w:rsidRPr="00545EC0">
              <w:rPr>
                <w:rFonts w:cs="Arial"/>
                <w:sz w:val="18"/>
                <w:szCs w:val="18"/>
              </w:rPr>
              <w:t>3</w:t>
            </w:r>
          </w:p>
        </w:tc>
      </w:tr>
      <w:tr w:rsidR="003122F4" w:rsidRPr="00545EC0" w14:paraId="505463A4" w14:textId="77777777" w:rsidTr="0073517B">
        <w:trPr>
          <w:trHeight w:val="300"/>
        </w:trPr>
        <w:tc>
          <w:tcPr>
            <w:tcW w:w="2078" w:type="pct"/>
            <w:shd w:val="clear" w:color="auto" w:fill="auto"/>
            <w:hideMark/>
          </w:tcPr>
          <w:p w14:paraId="02CCD332" w14:textId="2783F2A3" w:rsidR="00F11C46" w:rsidRPr="00545EC0" w:rsidRDefault="00F11C46" w:rsidP="0073517B">
            <w:pPr>
              <w:jc w:val="left"/>
              <w:rPr>
                <w:rFonts w:cs="Arial"/>
                <w:sz w:val="18"/>
                <w:szCs w:val="18"/>
              </w:rPr>
            </w:pPr>
            <w:r w:rsidRPr="00545EC0">
              <w:rPr>
                <w:rFonts w:cs="Arial"/>
                <w:sz w:val="18"/>
                <w:szCs w:val="18"/>
              </w:rPr>
              <w:t>Pokri</w:t>
            </w:r>
            <w:r w:rsidR="0073517B" w:rsidRPr="00545EC0">
              <w:rPr>
                <w:rFonts w:cs="Arial"/>
                <w:sz w:val="18"/>
                <w:szCs w:val="18"/>
              </w:rPr>
              <w:t xml:space="preserve">tost tal v medvrstnem prostoru </w:t>
            </w:r>
          </w:p>
        </w:tc>
        <w:tc>
          <w:tcPr>
            <w:tcW w:w="807" w:type="pct"/>
            <w:shd w:val="clear" w:color="auto" w:fill="auto"/>
            <w:noWrap/>
            <w:hideMark/>
          </w:tcPr>
          <w:p w14:paraId="06CEC71C" w14:textId="77777777" w:rsidR="00F11C46" w:rsidRPr="00545EC0" w:rsidRDefault="00F11C46" w:rsidP="00F06A3A">
            <w:pPr>
              <w:jc w:val="center"/>
              <w:rPr>
                <w:rFonts w:cs="Arial"/>
                <w:sz w:val="18"/>
                <w:szCs w:val="18"/>
              </w:rPr>
            </w:pPr>
            <w:r w:rsidRPr="00545EC0">
              <w:rPr>
                <w:rFonts w:cs="Arial"/>
                <w:sz w:val="18"/>
                <w:szCs w:val="18"/>
              </w:rPr>
              <w:t>100,8</w:t>
            </w:r>
            <w:r w:rsidRPr="00545EC0">
              <w:rPr>
                <w:rFonts w:cs="Arial"/>
                <w:sz w:val="18"/>
                <w:szCs w:val="18"/>
                <w:vertAlign w:val="superscript"/>
              </w:rPr>
              <w:t xml:space="preserve"> a)</w:t>
            </w:r>
          </w:p>
        </w:tc>
        <w:tc>
          <w:tcPr>
            <w:tcW w:w="1370" w:type="pct"/>
            <w:shd w:val="clear" w:color="auto" w:fill="auto"/>
            <w:noWrap/>
            <w:hideMark/>
          </w:tcPr>
          <w:p w14:paraId="45B93B84" w14:textId="77777777" w:rsidR="00F11C46" w:rsidRPr="00545EC0" w:rsidRDefault="00F11C46" w:rsidP="00F06A3A">
            <w:pPr>
              <w:jc w:val="center"/>
              <w:rPr>
                <w:rFonts w:cs="Arial"/>
                <w:sz w:val="18"/>
                <w:szCs w:val="18"/>
              </w:rPr>
            </w:pPr>
            <w:r w:rsidRPr="00545EC0">
              <w:rPr>
                <w:rFonts w:cs="Arial"/>
                <w:sz w:val="18"/>
                <w:szCs w:val="18"/>
              </w:rPr>
              <w:t xml:space="preserve">35,0 </w:t>
            </w:r>
            <w:r w:rsidRPr="00545EC0">
              <w:rPr>
                <w:rFonts w:cs="Arial"/>
                <w:sz w:val="18"/>
                <w:szCs w:val="18"/>
                <w:vertAlign w:val="superscript"/>
              </w:rPr>
              <w:t>c)</w:t>
            </w:r>
          </w:p>
        </w:tc>
        <w:tc>
          <w:tcPr>
            <w:tcW w:w="745" w:type="pct"/>
            <w:shd w:val="clear" w:color="auto" w:fill="auto"/>
            <w:noWrap/>
            <w:hideMark/>
          </w:tcPr>
          <w:p w14:paraId="6E2D0637" w14:textId="77777777" w:rsidR="00F11C46" w:rsidRPr="00545EC0" w:rsidRDefault="00F11C46" w:rsidP="00F06A3A">
            <w:pPr>
              <w:jc w:val="center"/>
              <w:rPr>
                <w:rFonts w:cs="Arial"/>
                <w:sz w:val="18"/>
                <w:szCs w:val="18"/>
              </w:rPr>
            </w:pPr>
            <w:r w:rsidRPr="00545EC0">
              <w:rPr>
                <w:rFonts w:cs="Arial"/>
                <w:sz w:val="18"/>
                <w:szCs w:val="18"/>
              </w:rPr>
              <w:t>3</w:t>
            </w:r>
          </w:p>
        </w:tc>
      </w:tr>
      <w:tr w:rsidR="003122F4" w:rsidRPr="00545EC0" w14:paraId="7AFFAC8C" w14:textId="77777777" w:rsidTr="0073517B">
        <w:trPr>
          <w:trHeight w:val="300"/>
        </w:trPr>
        <w:tc>
          <w:tcPr>
            <w:tcW w:w="2078" w:type="pct"/>
            <w:shd w:val="clear" w:color="auto" w:fill="auto"/>
            <w:hideMark/>
          </w:tcPr>
          <w:p w14:paraId="507F6790" w14:textId="4F1BA7DD" w:rsidR="00F11C46" w:rsidRPr="00545EC0" w:rsidRDefault="00F11C46" w:rsidP="002E04C0">
            <w:pPr>
              <w:jc w:val="left"/>
              <w:rPr>
                <w:rFonts w:cs="Arial"/>
                <w:sz w:val="18"/>
                <w:szCs w:val="18"/>
              </w:rPr>
            </w:pPr>
            <w:r w:rsidRPr="00545EC0">
              <w:rPr>
                <w:rFonts w:cs="Arial"/>
                <w:sz w:val="18"/>
                <w:szCs w:val="18"/>
              </w:rPr>
              <w:t>Ozelenitev njivski</w:t>
            </w:r>
            <w:r w:rsidR="0073517B" w:rsidRPr="00545EC0">
              <w:rPr>
                <w:rFonts w:cs="Arial"/>
                <w:sz w:val="18"/>
                <w:szCs w:val="18"/>
              </w:rPr>
              <w:t xml:space="preserve">h površin </w:t>
            </w:r>
          </w:p>
        </w:tc>
        <w:tc>
          <w:tcPr>
            <w:tcW w:w="807" w:type="pct"/>
            <w:shd w:val="clear" w:color="auto" w:fill="auto"/>
            <w:noWrap/>
            <w:hideMark/>
          </w:tcPr>
          <w:p w14:paraId="42B4E91D" w14:textId="77777777" w:rsidR="00F11C46" w:rsidRPr="00545EC0" w:rsidRDefault="00F11C46" w:rsidP="00F06A3A">
            <w:pPr>
              <w:jc w:val="center"/>
              <w:rPr>
                <w:rFonts w:cs="Arial"/>
                <w:sz w:val="18"/>
                <w:szCs w:val="18"/>
              </w:rPr>
            </w:pPr>
            <w:r w:rsidRPr="00545EC0">
              <w:rPr>
                <w:rFonts w:cs="Arial"/>
                <w:sz w:val="18"/>
                <w:szCs w:val="18"/>
              </w:rPr>
              <w:t>113,9</w:t>
            </w:r>
            <w:r w:rsidRPr="00545EC0">
              <w:rPr>
                <w:rFonts w:cs="Arial"/>
                <w:sz w:val="18"/>
                <w:szCs w:val="18"/>
                <w:vertAlign w:val="superscript"/>
              </w:rPr>
              <w:t xml:space="preserve"> a)</w:t>
            </w:r>
          </w:p>
        </w:tc>
        <w:tc>
          <w:tcPr>
            <w:tcW w:w="1370" w:type="pct"/>
            <w:shd w:val="clear" w:color="auto" w:fill="auto"/>
            <w:noWrap/>
            <w:hideMark/>
          </w:tcPr>
          <w:p w14:paraId="315FC34B" w14:textId="77777777" w:rsidR="00F11C46" w:rsidRPr="00545EC0" w:rsidRDefault="00F11C46" w:rsidP="00F06A3A">
            <w:pPr>
              <w:jc w:val="center"/>
              <w:rPr>
                <w:rFonts w:cs="Arial"/>
                <w:sz w:val="18"/>
                <w:szCs w:val="18"/>
              </w:rPr>
            </w:pPr>
            <w:r w:rsidRPr="00545EC0">
              <w:rPr>
                <w:rFonts w:cs="Arial"/>
                <w:sz w:val="18"/>
                <w:szCs w:val="18"/>
              </w:rPr>
              <w:t xml:space="preserve">35,0 </w:t>
            </w:r>
            <w:r w:rsidRPr="00545EC0">
              <w:rPr>
                <w:rFonts w:cs="Arial"/>
                <w:sz w:val="18"/>
                <w:szCs w:val="18"/>
                <w:vertAlign w:val="superscript"/>
              </w:rPr>
              <w:t>b)</w:t>
            </w:r>
          </w:p>
        </w:tc>
        <w:tc>
          <w:tcPr>
            <w:tcW w:w="745" w:type="pct"/>
            <w:shd w:val="clear" w:color="auto" w:fill="auto"/>
            <w:noWrap/>
            <w:hideMark/>
          </w:tcPr>
          <w:p w14:paraId="41D3F235" w14:textId="77777777" w:rsidR="00F11C46" w:rsidRPr="00545EC0" w:rsidRDefault="00F11C46" w:rsidP="00F06A3A">
            <w:pPr>
              <w:jc w:val="center"/>
              <w:rPr>
                <w:rFonts w:cs="Arial"/>
                <w:sz w:val="18"/>
                <w:szCs w:val="18"/>
              </w:rPr>
            </w:pPr>
            <w:r w:rsidRPr="00545EC0">
              <w:rPr>
                <w:rFonts w:cs="Arial"/>
                <w:sz w:val="18"/>
                <w:szCs w:val="18"/>
              </w:rPr>
              <w:t>3</w:t>
            </w:r>
          </w:p>
        </w:tc>
      </w:tr>
      <w:tr w:rsidR="003122F4" w:rsidRPr="00545EC0" w14:paraId="75DA70F6" w14:textId="77777777" w:rsidTr="0073517B">
        <w:trPr>
          <w:trHeight w:val="149"/>
        </w:trPr>
        <w:tc>
          <w:tcPr>
            <w:tcW w:w="2078" w:type="pct"/>
            <w:shd w:val="clear" w:color="auto" w:fill="auto"/>
            <w:hideMark/>
          </w:tcPr>
          <w:p w14:paraId="3D8B7A22" w14:textId="0246D97A" w:rsidR="00F11C46" w:rsidRPr="00545EC0" w:rsidRDefault="00F11C46" w:rsidP="0073517B">
            <w:pPr>
              <w:jc w:val="left"/>
              <w:rPr>
                <w:rFonts w:cs="Arial"/>
                <w:sz w:val="18"/>
                <w:szCs w:val="18"/>
              </w:rPr>
            </w:pPr>
            <w:r w:rsidRPr="00545EC0">
              <w:rPr>
                <w:rFonts w:cs="Arial"/>
                <w:sz w:val="18"/>
                <w:szCs w:val="18"/>
              </w:rPr>
              <w:t xml:space="preserve">Gnojenje samo z gnojili, ki so </w:t>
            </w:r>
            <w:r w:rsidR="0073517B" w:rsidRPr="00545EC0">
              <w:rPr>
                <w:rFonts w:cs="Arial"/>
                <w:sz w:val="18"/>
                <w:szCs w:val="18"/>
              </w:rPr>
              <w:t xml:space="preserve">dovoljena v ekološki pridelavi </w:t>
            </w:r>
          </w:p>
        </w:tc>
        <w:tc>
          <w:tcPr>
            <w:tcW w:w="807" w:type="pct"/>
            <w:shd w:val="clear" w:color="auto" w:fill="auto"/>
            <w:noWrap/>
            <w:hideMark/>
          </w:tcPr>
          <w:p w14:paraId="2AD94D2F" w14:textId="77777777" w:rsidR="00F11C46" w:rsidRPr="00545EC0" w:rsidRDefault="00F11C46" w:rsidP="00F06A3A">
            <w:pPr>
              <w:jc w:val="center"/>
              <w:rPr>
                <w:rFonts w:cs="Arial"/>
                <w:sz w:val="18"/>
                <w:szCs w:val="18"/>
              </w:rPr>
            </w:pPr>
            <w:r w:rsidRPr="00545EC0">
              <w:rPr>
                <w:rFonts w:cs="Arial"/>
                <w:sz w:val="18"/>
                <w:szCs w:val="18"/>
              </w:rPr>
              <w:t>69,2</w:t>
            </w:r>
            <w:r w:rsidRPr="00545EC0">
              <w:rPr>
                <w:rFonts w:cs="Arial"/>
                <w:sz w:val="18"/>
                <w:szCs w:val="18"/>
                <w:vertAlign w:val="superscript"/>
              </w:rPr>
              <w:t xml:space="preserve"> a)</w:t>
            </w:r>
          </w:p>
        </w:tc>
        <w:tc>
          <w:tcPr>
            <w:tcW w:w="1370" w:type="pct"/>
            <w:shd w:val="clear" w:color="auto" w:fill="auto"/>
            <w:noWrap/>
            <w:hideMark/>
          </w:tcPr>
          <w:p w14:paraId="6D72CDF3" w14:textId="77777777" w:rsidR="00F11C46" w:rsidRPr="00545EC0" w:rsidRDefault="00F11C46" w:rsidP="00F06A3A">
            <w:pPr>
              <w:jc w:val="center"/>
              <w:rPr>
                <w:rFonts w:cs="Arial"/>
                <w:sz w:val="18"/>
                <w:szCs w:val="18"/>
              </w:rPr>
            </w:pPr>
            <w:r w:rsidRPr="00545EC0">
              <w:rPr>
                <w:rFonts w:cs="Arial"/>
                <w:sz w:val="18"/>
                <w:szCs w:val="18"/>
              </w:rPr>
              <w:t xml:space="preserve">20,0 </w:t>
            </w:r>
            <w:r w:rsidRPr="00545EC0">
              <w:rPr>
                <w:rFonts w:cs="Arial"/>
                <w:sz w:val="18"/>
                <w:szCs w:val="18"/>
                <w:vertAlign w:val="superscript"/>
              </w:rPr>
              <w:t>b)</w:t>
            </w:r>
          </w:p>
        </w:tc>
        <w:tc>
          <w:tcPr>
            <w:tcW w:w="745" w:type="pct"/>
            <w:shd w:val="clear" w:color="auto" w:fill="auto"/>
            <w:noWrap/>
            <w:hideMark/>
          </w:tcPr>
          <w:p w14:paraId="6853E739" w14:textId="77777777" w:rsidR="00F11C46" w:rsidRPr="00545EC0" w:rsidRDefault="00F11C46" w:rsidP="00F06A3A">
            <w:pPr>
              <w:jc w:val="center"/>
              <w:rPr>
                <w:rFonts w:cs="Arial"/>
                <w:sz w:val="18"/>
                <w:szCs w:val="18"/>
              </w:rPr>
            </w:pPr>
            <w:r w:rsidRPr="00545EC0">
              <w:rPr>
                <w:rFonts w:cs="Arial"/>
                <w:sz w:val="18"/>
                <w:szCs w:val="18"/>
              </w:rPr>
              <w:t>4</w:t>
            </w:r>
          </w:p>
        </w:tc>
      </w:tr>
      <w:tr w:rsidR="003122F4" w:rsidRPr="00545EC0" w14:paraId="0A32F9E4" w14:textId="77777777" w:rsidTr="0073517B">
        <w:trPr>
          <w:trHeight w:val="293"/>
        </w:trPr>
        <w:tc>
          <w:tcPr>
            <w:tcW w:w="2078" w:type="pct"/>
            <w:shd w:val="clear" w:color="auto" w:fill="auto"/>
            <w:hideMark/>
          </w:tcPr>
          <w:p w14:paraId="582C85DA" w14:textId="7D285E96" w:rsidR="00F11C46" w:rsidRPr="00545EC0" w:rsidRDefault="00F11C46" w:rsidP="0073517B">
            <w:pPr>
              <w:jc w:val="left"/>
              <w:rPr>
                <w:rFonts w:cs="Arial"/>
                <w:sz w:val="18"/>
                <w:szCs w:val="18"/>
              </w:rPr>
            </w:pPr>
            <w:r w:rsidRPr="00545EC0">
              <w:rPr>
                <w:rFonts w:cs="Arial"/>
                <w:sz w:val="18"/>
                <w:szCs w:val="18"/>
              </w:rPr>
              <w:t xml:space="preserve">Gnojenje samo z gnojili, ki so </w:t>
            </w:r>
            <w:r w:rsidR="0073517B" w:rsidRPr="00545EC0">
              <w:rPr>
                <w:rFonts w:cs="Arial"/>
                <w:sz w:val="18"/>
                <w:szCs w:val="18"/>
              </w:rPr>
              <w:t xml:space="preserve">dovoljena v ekološki pridelavi </w:t>
            </w:r>
          </w:p>
        </w:tc>
        <w:tc>
          <w:tcPr>
            <w:tcW w:w="807" w:type="pct"/>
            <w:shd w:val="clear" w:color="auto" w:fill="auto"/>
            <w:noWrap/>
            <w:hideMark/>
          </w:tcPr>
          <w:p w14:paraId="3F17D908" w14:textId="77777777" w:rsidR="00F11C46" w:rsidRPr="00545EC0" w:rsidRDefault="00F11C46" w:rsidP="00F06A3A">
            <w:pPr>
              <w:jc w:val="center"/>
              <w:rPr>
                <w:rFonts w:cs="Arial"/>
                <w:sz w:val="18"/>
                <w:szCs w:val="18"/>
              </w:rPr>
            </w:pPr>
            <w:r w:rsidRPr="00545EC0">
              <w:rPr>
                <w:rFonts w:cs="Arial"/>
                <w:sz w:val="18"/>
                <w:szCs w:val="18"/>
              </w:rPr>
              <w:t>76,8</w:t>
            </w:r>
            <w:r w:rsidRPr="00545EC0">
              <w:rPr>
                <w:rFonts w:cs="Arial"/>
                <w:sz w:val="18"/>
                <w:szCs w:val="18"/>
                <w:vertAlign w:val="superscript"/>
              </w:rPr>
              <w:t xml:space="preserve"> a)</w:t>
            </w:r>
          </w:p>
        </w:tc>
        <w:tc>
          <w:tcPr>
            <w:tcW w:w="1370" w:type="pct"/>
            <w:shd w:val="clear" w:color="auto" w:fill="auto"/>
            <w:noWrap/>
            <w:hideMark/>
          </w:tcPr>
          <w:p w14:paraId="10EDE3C6" w14:textId="77777777" w:rsidR="00F11C46" w:rsidRPr="00545EC0" w:rsidRDefault="00F11C46" w:rsidP="00F06A3A">
            <w:pPr>
              <w:jc w:val="center"/>
              <w:rPr>
                <w:rFonts w:cs="Arial"/>
                <w:sz w:val="18"/>
                <w:szCs w:val="18"/>
              </w:rPr>
            </w:pPr>
            <w:r w:rsidRPr="00545EC0">
              <w:rPr>
                <w:rFonts w:cs="Arial"/>
                <w:sz w:val="18"/>
                <w:szCs w:val="18"/>
              </w:rPr>
              <w:t xml:space="preserve">20,0 </w:t>
            </w:r>
            <w:r w:rsidRPr="00545EC0">
              <w:rPr>
                <w:rFonts w:cs="Arial"/>
                <w:sz w:val="18"/>
                <w:szCs w:val="18"/>
                <w:vertAlign w:val="superscript"/>
              </w:rPr>
              <w:t>b)</w:t>
            </w:r>
          </w:p>
        </w:tc>
        <w:tc>
          <w:tcPr>
            <w:tcW w:w="745" w:type="pct"/>
            <w:shd w:val="clear" w:color="auto" w:fill="auto"/>
            <w:noWrap/>
            <w:hideMark/>
          </w:tcPr>
          <w:p w14:paraId="1147CA92" w14:textId="77777777" w:rsidR="00F11C46" w:rsidRPr="00545EC0" w:rsidRDefault="00F11C46" w:rsidP="00F06A3A">
            <w:pPr>
              <w:jc w:val="center"/>
              <w:rPr>
                <w:rFonts w:cs="Arial"/>
                <w:sz w:val="18"/>
                <w:szCs w:val="18"/>
              </w:rPr>
            </w:pPr>
            <w:r w:rsidRPr="00545EC0">
              <w:rPr>
                <w:rFonts w:cs="Arial"/>
                <w:sz w:val="18"/>
                <w:szCs w:val="18"/>
              </w:rPr>
              <w:t>4</w:t>
            </w:r>
          </w:p>
        </w:tc>
      </w:tr>
      <w:tr w:rsidR="003122F4" w:rsidRPr="00545EC0" w14:paraId="0744E000" w14:textId="77777777" w:rsidTr="0073517B">
        <w:trPr>
          <w:trHeight w:val="269"/>
        </w:trPr>
        <w:tc>
          <w:tcPr>
            <w:tcW w:w="2078" w:type="pct"/>
            <w:shd w:val="clear" w:color="auto" w:fill="auto"/>
            <w:hideMark/>
          </w:tcPr>
          <w:p w14:paraId="60A951CE" w14:textId="7236C21B" w:rsidR="00F11C46" w:rsidRPr="00545EC0" w:rsidRDefault="00F11C46" w:rsidP="0073517B">
            <w:pPr>
              <w:jc w:val="left"/>
              <w:rPr>
                <w:rFonts w:cs="Arial"/>
                <w:sz w:val="18"/>
                <w:szCs w:val="18"/>
              </w:rPr>
            </w:pPr>
            <w:r w:rsidRPr="00545EC0">
              <w:rPr>
                <w:rFonts w:cs="Arial"/>
                <w:sz w:val="18"/>
                <w:szCs w:val="18"/>
              </w:rPr>
              <w:t xml:space="preserve">Gnojenje z organskimi gnojili z </w:t>
            </w:r>
            <w:r w:rsidR="0073517B" w:rsidRPr="00545EC0">
              <w:rPr>
                <w:rFonts w:cs="Arial"/>
                <w:sz w:val="18"/>
                <w:szCs w:val="18"/>
              </w:rPr>
              <w:t xml:space="preserve">nizkimi izpusti v zrak </w:t>
            </w:r>
          </w:p>
        </w:tc>
        <w:tc>
          <w:tcPr>
            <w:tcW w:w="807" w:type="pct"/>
            <w:shd w:val="clear" w:color="auto" w:fill="auto"/>
            <w:noWrap/>
            <w:hideMark/>
          </w:tcPr>
          <w:p w14:paraId="5AB42B98" w14:textId="77777777" w:rsidR="00F11C46" w:rsidRPr="00545EC0" w:rsidRDefault="00F11C46" w:rsidP="00F06A3A">
            <w:pPr>
              <w:jc w:val="center"/>
              <w:rPr>
                <w:rFonts w:cs="Arial"/>
                <w:sz w:val="18"/>
                <w:szCs w:val="18"/>
              </w:rPr>
            </w:pPr>
            <w:r w:rsidRPr="00545EC0">
              <w:rPr>
                <w:rFonts w:cs="Arial"/>
                <w:sz w:val="18"/>
                <w:szCs w:val="18"/>
              </w:rPr>
              <w:t>38,5</w:t>
            </w:r>
            <w:r w:rsidRPr="00545EC0">
              <w:rPr>
                <w:rFonts w:cs="Arial"/>
                <w:sz w:val="18"/>
                <w:szCs w:val="18"/>
                <w:vertAlign w:val="superscript"/>
              </w:rPr>
              <w:t xml:space="preserve"> a)</w:t>
            </w:r>
          </w:p>
        </w:tc>
        <w:tc>
          <w:tcPr>
            <w:tcW w:w="1370" w:type="pct"/>
            <w:shd w:val="clear" w:color="auto" w:fill="auto"/>
            <w:noWrap/>
            <w:hideMark/>
          </w:tcPr>
          <w:p w14:paraId="4CF9454D" w14:textId="77777777" w:rsidR="00F11C46" w:rsidRPr="00545EC0" w:rsidRDefault="00F11C46" w:rsidP="00F06A3A">
            <w:pPr>
              <w:jc w:val="center"/>
              <w:rPr>
                <w:rFonts w:cs="Arial"/>
                <w:sz w:val="18"/>
                <w:szCs w:val="18"/>
              </w:rPr>
            </w:pPr>
            <w:r w:rsidRPr="00545EC0">
              <w:rPr>
                <w:rFonts w:cs="Arial"/>
                <w:sz w:val="18"/>
                <w:szCs w:val="18"/>
              </w:rPr>
              <w:t>10,0</w:t>
            </w:r>
            <w:r w:rsidRPr="00545EC0">
              <w:rPr>
                <w:rFonts w:cs="Arial"/>
                <w:sz w:val="18"/>
                <w:szCs w:val="18"/>
                <w:vertAlign w:val="superscript"/>
              </w:rPr>
              <w:t xml:space="preserve"> c)</w:t>
            </w:r>
          </w:p>
        </w:tc>
        <w:tc>
          <w:tcPr>
            <w:tcW w:w="745" w:type="pct"/>
            <w:shd w:val="clear" w:color="auto" w:fill="auto"/>
            <w:noWrap/>
            <w:hideMark/>
          </w:tcPr>
          <w:p w14:paraId="11E48812" w14:textId="77777777" w:rsidR="00F11C46" w:rsidRPr="00545EC0" w:rsidRDefault="00F11C46" w:rsidP="00F06A3A">
            <w:pPr>
              <w:jc w:val="center"/>
              <w:rPr>
                <w:rFonts w:cs="Arial"/>
                <w:sz w:val="18"/>
                <w:szCs w:val="18"/>
              </w:rPr>
            </w:pPr>
            <w:r w:rsidRPr="00545EC0">
              <w:rPr>
                <w:rFonts w:cs="Arial"/>
                <w:sz w:val="18"/>
                <w:szCs w:val="18"/>
              </w:rPr>
              <w:t>4</w:t>
            </w:r>
          </w:p>
        </w:tc>
      </w:tr>
      <w:tr w:rsidR="003122F4" w:rsidRPr="00545EC0" w14:paraId="7836D925" w14:textId="77777777" w:rsidTr="0073517B">
        <w:trPr>
          <w:trHeight w:val="415"/>
        </w:trPr>
        <w:tc>
          <w:tcPr>
            <w:tcW w:w="2078" w:type="pct"/>
            <w:shd w:val="clear" w:color="auto" w:fill="auto"/>
            <w:hideMark/>
          </w:tcPr>
          <w:p w14:paraId="78522215" w14:textId="188C6C77" w:rsidR="00F11C46" w:rsidRPr="00545EC0" w:rsidRDefault="00F11C46" w:rsidP="0073517B">
            <w:pPr>
              <w:jc w:val="left"/>
              <w:rPr>
                <w:rFonts w:cs="Arial"/>
                <w:sz w:val="18"/>
                <w:szCs w:val="18"/>
              </w:rPr>
            </w:pPr>
            <w:r w:rsidRPr="00545EC0">
              <w:rPr>
                <w:rFonts w:cs="Arial"/>
                <w:sz w:val="18"/>
                <w:szCs w:val="18"/>
              </w:rPr>
              <w:t>Pokritost tal čez zimo v vinogradih, kjer medvrstni prost</w:t>
            </w:r>
            <w:r w:rsidR="0073517B" w:rsidRPr="00545EC0">
              <w:rPr>
                <w:rFonts w:cs="Arial"/>
                <w:sz w:val="18"/>
                <w:szCs w:val="18"/>
              </w:rPr>
              <w:t xml:space="preserve">or ni pokrit z negovano ledino </w:t>
            </w:r>
          </w:p>
        </w:tc>
        <w:tc>
          <w:tcPr>
            <w:tcW w:w="807" w:type="pct"/>
            <w:shd w:val="clear" w:color="auto" w:fill="auto"/>
            <w:noWrap/>
            <w:hideMark/>
          </w:tcPr>
          <w:p w14:paraId="01F287C7" w14:textId="77777777" w:rsidR="00F11C46" w:rsidRPr="00545EC0" w:rsidRDefault="00F11C46" w:rsidP="00F06A3A">
            <w:pPr>
              <w:jc w:val="center"/>
              <w:rPr>
                <w:rFonts w:cs="Arial"/>
                <w:sz w:val="18"/>
                <w:szCs w:val="18"/>
              </w:rPr>
            </w:pPr>
            <w:r w:rsidRPr="00545EC0">
              <w:rPr>
                <w:rFonts w:cs="Arial"/>
                <w:sz w:val="18"/>
                <w:szCs w:val="18"/>
              </w:rPr>
              <w:t>137,0</w:t>
            </w:r>
            <w:r w:rsidRPr="00545EC0">
              <w:rPr>
                <w:rFonts w:cs="Arial"/>
                <w:sz w:val="18"/>
                <w:szCs w:val="18"/>
                <w:vertAlign w:val="superscript"/>
              </w:rPr>
              <w:t xml:space="preserve"> a)</w:t>
            </w:r>
          </w:p>
        </w:tc>
        <w:tc>
          <w:tcPr>
            <w:tcW w:w="1370" w:type="pct"/>
            <w:shd w:val="clear" w:color="auto" w:fill="auto"/>
            <w:noWrap/>
            <w:hideMark/>
          </w:tcPr>
          <w:p w14:paraId="504F926B" w14:textId="77777777" w:rsidR="00F11C46" w:rsidRPr="00545EC0" w:rsidRDefault="00F11C46" w:rsidP="00F06A3A">
            <w:pPr>
              <w:jc w:val="center"/>
              <w:rPr>
                <w:rFonts w:cs="Arial"/>
                <w:sz w:val="18"/>
                <w:szCs w:val="18"/>
              </w:rPr>
            </w:pPr>
            <w:r w:rsidRPr="00545EC0">
              <w:rPr>
                <w:rFonts w:cs="Arial"/>
                <w:sz w:val="18"/>
                <w:szCs w:val="18"/>
              </w:rPr>
              <w:t>35,0</w:t>
            </w:r>
            <w:r w:rsidRPr="00545EC0">
              <w:rPr>
                <w:rFonts w:cs="Arial"/>
                <w:sz w:val="18"/>
                <w:szCs w:val="18"/>
                <w:vertAlign w:val="superscript"/>
              </w:rPr>
              <w:t xml:space="preserve"> c)</w:t>
            </w:r>
          </w:p>
        </w:tc>
        <w:tc>
          <w:tcPr>
            <w:tcW w:w="745" w:type="pct"/>
            <w:shd w:val="clear" w:color="auto" w:fill="auto"/>
            <w:noWrap/>
            <w:hideMark/>
          </w:tcPr>
          <w:p w14:paraId="17B0E466" w14:textId="77777777" w:rsidR="00F11C46" w:rsidRPr="00545EC0" w:rsidRDefault="00F11C46" w:rsidP="00F06A3A">
            <w:pPr>
              <w:jc w:val="center"/>
              <w:rPr>
                <w:rFonts w:cs="Arial"/>
                <w:sz w:val="18"/>
                <w:szCs w:val="18"/>
              </w:rPr>
            </w:pPr>
            <w:r w:rsidRPr="00545EC0">
              <w:rPr>
                <w:rFonts w:cs="Arial"/>
                <w:sz w:val="18"/>
                <w:szCs w:val="18"/>
              </w:rPr>
              <w:t>4</w:t>
            </w:r>
          </w:p>
        </w:tc>
      </w:tr>
      <w:tr w:rsidR="003122F4" w:rsidRPr="00545EC0" w14:paraId="25348B1E" w14:textId="77777777" w:rsidTr="0073517B">
        <w:trPr>
          <w:trHeight w:val="56"/>
        </w:trPr>
        <w:tc>
          <w:tcPr>
            <w:tcW w:w="2078" w:type="pct"/>
            <w:shd w:val="clear" w:color="auto" w:fill="auto"/>
            <w:hideMark/>
          </w:tcPr>
          <w:p w14:paraId="6B355434" w14:textId="1D5CB4D9" w:rsidR="00F11C46" w:rsidRPr="00545EC0" w:rsidRDefault="0073517B" w:rsidP="0073517B">
            <w:pPr>
              <w:jc w:val="left"/>
              <w:rPr>
                <w:rFonts w:cs="Arial"/>
                <w:sz w:val="18"/>
                <w:szCs w:val="18"/>
              </w:rPr>
            </w:pPr>
            <w:r w:rsidRPr="00545EC0">
              <w:rPr>
                <w:rFonts w:cs="Arial"/>
                <w:sz w:val="18"/>
                <w:szCs w:val="18"/>
              </w:rPr>
              <w:t xml:space="preserve">Konzervirajoča obdelava tal </w:t>
            </w:r>
          </w:p>
        </w:tc>
        <w:tc>
          <w:tcPr>
            <w:tcW w:w="807" w:type="pct"/>
            <w:shd w:val="clear" w:color="auto" w:fill="auto"/>
            <w:noWrap/>
            <w:hideMark/>
          </w:tcPr>
          <w:p w14:paraId="77EC4127" w14:textId="77777777" w:rsidR="00F11C46" w:rsidRPr="00545EC0" w:rsidRDefault="00F11C46" w:rsidP="00F06A3A">
            <w:pPr>
              <w:jc w:val="center"/>
              <w:rPr>
                <w:rFonts w:cs="Arial"/>
                <w:sz w:val="18"/>
                <w:szCs w:val="18"/>
              </w:rPr>
            </w:pPr>
            <w:r w:rsidRPr="00545EC0">
              <w:rPr>
                <w:rFonts w:cs="Arial"/>
                <w:sz w:val="18"/>
                <w:szCs w:val="18"/>
              </w:rPr>
              <w:t>40,7</w:t>
            </w:r>
            <w:r w:rsidRPr="00545EC0">
              <w:rPr>
                <w:rFonts w:cs="Arial"/>
                <w:sz w:val="18"/>
                <w:szCs w:val="18"/>
                <w:vertAlign w:val="superscript"/>
              </w:rPr>
              <w:t xml:space="preserve"> a)</w:t>
            </w:r>
          </w:p>
        </w:tc>
        <w:tc>
          <w:tcPr>
            <w:tcW w:w="1370" w:type="pct"/>
            <w:shd w:val="clear" w:color="auto" w:fill="auto"/>
            <w:noWrap/>
            <w:hideMark/>
          </w:tcPr>
          <w:p w14:paraId="3D8C7585" w14:textId="77777777" w:rsidR="00F11C46" w:rsidRPr="00545EC0" w:rsidRDefault="00F11C46" w:rsidP="00F06A3A">
            <w:pPr>
              <w:jc w:val="center"/>
              <w:rPr>
                <w:rFonts w:cs="Arial"/>
                <w:sz w:val="18"/>
                <w:szCs w:val="18"/>
              </w:rPr>
            </w:pPr>
            <w:r w:rsidRPr="00545EC0">
              <w:rPr>
                <w:rFonts w:cs="Arial"/>
                <w:sz w:val="18"/>
                <w:szCs w:val="18"/>
              </w:rPr>
              <w:t xml:space="preserve">10,0 </w:t>
            </w:r>
            <w:r w:rsidRPr="00545EC0">
              <w:rPr>
                <w:rFonts w:cs="Arial"/>
                <w:sz w:val="18"/>
                <w:szCs w:val="18"/>
                <w:vertAlign w:val="superscript"/>
              </w:rPr>
              <w:t>b)</w:t>
            </w:r>
          </w:p>
        </w:tc>
        <w:tc>
          <w:tcPr>
            <w:tcW w:w="745" w:type="pct"/>
            <w:shd w:val="clear" w:color="auto" w:fill="auto"/>
            <w:noWrap/>
            <w:hideMark/>
          </w:tcPr>
          <w:p w14:paraId="50854F00" w14:textId="77777777" w:rsidR="00F11C46" w:rsidRPr="00545EC0" w:rsidRDefault="00F11C46" w:rsidP="00F06A3A">
            <w:pPr>
              <w:jc w:val="center"/>
              <w:rPr>
                <w:rFonts w:cs="Arial"/>
                <w:sz w:val="18"/>
                <w:szCs w:val="18"/>
              </w:rPr>
            </w:pPr>
            <w:r w:rsidRPr="00545EC0">
              <w:rPr>
                <w:rFonts w:cs="Arial"/>
                <w:sz w:val="18"/>
                <w:szCs w:val="18"/>
              </w:rPr>
              <w:t>4</w:t>
            </w:r>
          </w:p>
        </w:tc>
      </w:tr>
      <w:tr w:rsidR="003122F4" w:rsidRPr="00545EC0" w14:paraId="12EF0D22" w14:textId="77777777" w:rsidTr="0073517B">
        <w:trPr>
          <w:trHeight w:val="185"/>
        </w:trPr>
        <w:tc>
          <w:tcPr>
            <w:tcW w:w="2078" w:type="pct"/>
            <w:shd w:val="clear" w:color="auto" w:fill="auto"/>
            <w:hideMark/>
          </w:tcPr>
          <w:p w14:paraId="6BC9C8C0" w14:textId="1D838D14" w:rsidR="00F11C46" w:rsidRPr="00545EC0" w:rsidRDefault="00F11C46" w:rsidP="0073517B">
            <w:pPr>
              <w:jc w:val="left"/>
              <w:rPr>
                <w:rFonts w:cs="Arial"/>
                <w:sz w:val="18"/>
                <w:szCs w:val="18"/>
              </w:rPr>
            </w:pPr>
            <w:r w:rsidRPr="00545EC0">
              <w:rPr>
                <w:rFonts w:cs="Arial"/>
                <w:sz w:val="18"/>
                <w:szCs w:val="18"/>
              </w:rPr>
              <w:t>Gnojenje z organskimi gn</w:t>
            </w:r>
            <w:r w:rsidR="0073517B" w:rsidRPr="00545EC0">
              <w:rPr>
                <w:rFonts w:cs="Arial"/>
                <w:sz w:val="18"/>
                <w:szCs w:val="18"/>
              </w:rPr>
              <w:t xml:space="preserve">ojili z nizkimi izpusti v zrak </w:t>
            </w:r>
          </w:p>
        </w:tc>
        <w:tc>
          <w:tcPr>
            <w:tcW w:w="807" w:type="pct"/>
            <w:shd w:val="clear" w:color="auto" w:fill="auto"/>
            <w:noWrap/>
            <w:hideMark/>
          </w:tcPr>
          <w:p w14:paraId="37275933" w14:textId="77777777" w:rsidR="00F11C46" w:rsidRPr="00545EC0" w:rsidRDefault="00F11C46" w:rsidP="00F06A3A">
            <w:pPr>
              <w:jc w:val="center"/>
              <w:rPr>
                <w:rFonts w:cs="Arial"/>
                <w:sz w:val="18"/>
                <w:szCs w:val="18"/>
              </w:rPr>
            </w:pPr>
            <w:r w:rsidRPr="00545EC0">
              <w:rPr>
                <w:rFonts w:cs="Arial"/>
                <w:sz w:val="18"/>
                <w:szCs w:val="18"/>
              </w:rPr>
              <w:t>41,5</w:t>
            </w:r>
            <w:r w:rsidRPr="00545EC0">
              <w:rPr>
                <w:rFonts w:cs="Arial"/>
                <w:sz w:val="18"/>
                <w:szCs w:val="18"/>
                <w:vertAlign w:val="superscript"/>
              </w:rPr>
              <w:t xml:space="preserve"> a)</w:t>
            </w:r>
          </w:p>
        </w:tc>
        <w:tc>
          <w:tcPr>
            <w:tcW w:w="1370" w:type="pct"/>
            <w:shd w:val="clear" w:color="auto" w:fill="auto"/>
            <w:noWrap/>
            <w:hideMark/>
          </w:tcPr>
          <w:p w14:paraId="7B95BF48" w14:textId="77777777" w:rsidR="00F11C46" w:rsidRPr="00545EC0" w:rsidRDefault="00F11C46" w:rsidP="00F06A3A">
            <w:pPr>
              <w:jc w:val="center"/>
              <w:rPr>
                <w:rFonts w:cs="Arial"/>
                <w:sz w:val="18"/>
                <w:szCs w:val="18"/>
              </w:rPr>
            </w:pPr>
            <w:r w:rsidRPr="00545EC0">
              <w:rPr>
                <w:rFonts w:cs="Arial"/>
                <w:sz w:val="18"/>
                <w:szCs w:val="18"/>
              </w:rPr>
              <w:t>10,0</w:t>
            </w:r>
            <w:r w:rsidRPr="00545EC0">
              <w:rPr>
                <w:rFonts w:cs="Arial"/>
                <w:sz w:val="18"/>
                <w:szCs w:val="18"/>
                <w:vertAlign w:val="superscript"/>
              </w:rPr>
              <w:t xml:space="preserve"> c)</w:t>
            </w:r>
          </w:p>
        </w:tc>
        <w:tc>
          <w:tcPr>
            <w:tcW w:w="745" w:type="pct"/>
            <w:shd w:val="clear" w:color="auto" w:fill="auto"/>
            <w:noWrap/>
            <w:hideMark/>
          </w:tcPr>
          <w:p w14:paraId="3AD8317B" w14:textId="77777777" w:rsidR="00F11C46" w:rsidRPr="00545EC0" w:rsidRDefault="00F11C46" w:rsidP="00F06A3A">
            <w:pPr>
              <w:jc w:val="center"/>
              <w:rPr>
                <w:rFonts w:cs="Arial"/>
                <w:sz w:val="18"/>
                <w:szCs w:val="18"/>
              </w:rPr>
            </w:pPr>
            <w:r w:rsidRPr="00545EC0">
              <w:rPr>
                <w:rFonts w:cs="Arial"/>
                <w:sz w:val="18"/>
                <w:szCs w:val="18"/>
              </w:rPr>
              <w:t>4</w:t>
            </w:r>
          </w:p>
        </w:tc>
      </w:tr>
      <w:tr w:rsidR="003122F4" w:rsidRPr="00545EC0" w14:paraId="611E6E6D" w14:textId="77777777" w:rsidTr="0073517B">
        <w:trPr>
          <w:trHeight w:val="300"/>
        </w:trPr>
        <w:tc>
          <w:tcPr>
            <w:tcW w:w="2078" w:type="pct"/>
            <w:shd w:val="clear" w:color="auto" w:fill="auto"/>
            <w:hideMark/>
          </w:tcPr>
          <w:p w14:paraId="77D795D5" w14:textId="441E8DE1" w:rsidR="00F11C46" w:rsidRPr="00545EC0" w:rsidRDefault="0073517B" w:rsidP="0073517B">
            <w:pPr>
              <w:jc w:val="left"/>
              <w:rPr>
                <w:rFonts w:cs="Arial"/>
                <w:sz w:val="18"/>
                <w:szCs w:val="18"/>
              </w:rPr>
            </w:pPr>
            <w:r w:rsidRPr="00545EC0">
              <w:rPr>
                <w:rFonts w:cs="Arial"/>
                <w:sz w:val="18"/>
                <w:szCs w:val="18"/>
              </w:rPr>
              <w:t xml:space="preserve">Neprezimni medonosni posevki </w:t>
            </w:r>
          </w:p>
        </w:tc>
        <w:tc>
          <w:tcPr>
            <w:tcW w:w="807" w:type="pct"/>
            <w:shd w:val="clear" w:color="auto" w:fill="auto"/>
            <w:noWrap/>
            <w:hideMark/>
          </w:tcPr>
          <w:p w14:paraId="249C0D55" w14:textId="77777777" w:rsidR="00F11C46" w:rsidRPr="00545EC0" w:rsidRDefault="00F11C46" w:rsidP="00F06A3A">
            <w:pPr>
              <w:jc w:val="center"/>
              <w:rPr>
                <w:rFonts w:cs="Arial"/>
                <w:sz w:val="18"/>
                <w:szCs w:val="18"/>
              </w:rPr>
            </w:pPr>
            <w:r w:rsidRPr="00545EC0">
              <w:rPr>
                <w:rFonts w:cs="Arial"/>
                <w:sz w:val="18"/>
                <w:szCs w:val="18"/>
              </w:rPr>
              <w:t>93,6</w:t>
            </w:r>
            <w:r w:rsidRPr="00545EC0">
              <w:rPr>
                <w:rFonts w:cs="Arial"/>
                <w:sz w:val="18"/>
                <w:szCs w:val="18"/>
                <w:vertAlign w:val="superscript"/>
              </w:rPr>
              <w:t xml:space="preserve"> a)</w:t>
            </w:r>
          </w:p>
        </w:tc>
        <w:tc>
          <w:tcPr>
            <w:tcW w:w="1370" w:type="pct"/>
            <w:shd w:val="clear" w:color="auto" w:fill="auto"/>
            <w:noWrap/>
            <w:hideMark/>
          </w:tcPr>
          <w:p w14:paraId="11B84096" w14:textId="77777777" w:rsidR="00F11C46" w:rsidRPr="00545EC0" w:rsidRDefault="00F11C46" w:rsidP="00F06A3A">
            <w:pPr>
              <w:jc w:val="center"/>
              <w:rPr>
                <w:rFonts w:cs="Arial"/>
                <w:sz w:val="18"/>
                <w:szCs w:val="18"/>
              </w:rPr>
            </w:pPr>
            <w:r w:rsidRPr="00545EC0">
              <w:rPr>
                <w:rFonts w:cs="Arial"/>
                <w:sz w:val="18"/>
                <w:szCs w:val="18"/>
              </w:rPr>
              <w:t xml:space="preserve">20,0 </w:t>
            </w:r>
            <w:r w:rsidRPr="00545EC0">
              <w:rPr>
                <w:rFonts w:cs="Arial"/>
                <w:sz w:val="18"/>
                <w:szCs w:val="18"/>
                <w:vertAlign w:val="superscript"/>
              </w:rPr>
              <w:t>b)</w:t>
            </w:r>
          </w:p>
        </w:tc>
        <w:tc>
          <w:tcPr>
            <w:tcW w:w="745" w:type="pct"/>
            <w:shd w:val="clear" w:color="auto" w:fill="auto"/>
            <w:noWrap/>
            <w:hideMark/>
          </w:tcPr>
          <w:p w14:paraId="649271A3" w14:textId="77777777" w:rsidR="00F11C46" w:rsidRPr="00545EC0" w:rsidRDefault="00F11C46" w:rsidP="00F06A3A">
            <w:pPr>
              <w:jc w:val="center"/>
              <w:rPr>
                <w:rFonts w:cs="Arial"/>
                <w:sz w:val="18"/>
                <w:szCs w:val="18"/>
              </w:rPr>
            </w:pPr>
            <w:r w:rsidRPr="00545EC0">
              <w:rPr>
                <w:rFonts w:cs="Arial"/>
                <w:sz w:val="18"/>
                <w:szCs w:val="18"/>
              </w:rPr>
              <w:t>5</w:t>
            </w:r>
          </w:p>
        </w:tc>
      </w:tr>
      <w:tr w:rsidR="003122F4" w:rsidRPr="00545EC0" w14:paraId="484A0D08" w14:textId="77777777" w:rsidTr="0073517B">
        <w:trPr>
          <w:trHeight w:val="300"/>
        </w:trPr>
        <w:tc>
          <w:tcPr>
            <w:tcW w:w="2078" w:type="pct"/>
            <w:shd w:val="clear" w:color="auto" w:fill="auto"/>
            <w:hideMark/>
          </w:tcPr>
          <w:p w14:paraId="677F413C" w14:textId="5A859817" w:rsidR="00F11C46" w:rsidRPr="00545EC0" w:rsidRDefault="0073517B" w:rsidP="0073517B">
            <w:pPr>
              <w:jc w:val="left"/>
              <w:rPr>
                <w:rFonts w:cs="Arial"/>
                <w:sz w:val="18"/>
                <w:szCs w:val="18"/>
              </w:rPr>
            </w:pPr>
            <w:r w:rsidRPr="00545EC0">
              <w:rPr>
                <w:rFonts w:cs="Arial"/>
                <w:sz w:val="18"/>
                <w:szCs w:val="18"/>
              </w:rPr>
              <w:t xml:space="preserve">Ozelenitev njivskih površin </w:t>
            </w:r>
          </w:p>
        </w:tc>
        <w:tc>
          <w:tcPr>
            <w:tcW w:w="807" w:type="pct"/>
            <w:shd w:val="clear" w:color="auto" w:fill="auto"/>
            <w:noWrap/>
            <w:hideMark/>
          </w:tcPr>
          <w:p w14:paraId="17F67B62" w14:textId="77777777" w:rsidR="00F11C46" w:rsidRPr="00545EC0" w:rsidRDefault="00F11C46" w:rsidP="00F06A3A">
            <w:pPr>
              <w:jc w:val="center"/>
              <w:rPr>
                <w:rFonts w:cs="Arial"/>
                <w:sz w:val="18"/>
                <w:szCs w:val="18"/>
              </w:rPr>
            </w:pPr>
            <w:r w:rsidRPr="00545EC0">
              <w:rPr>
                <w:rFonts w:cs="Arial"/>
                <w:sz w:val="18"/>
                <w:szCs w:val="18"/>
              </w:rPr>
              <w:t>189,8</w:t>
            </w:r>
            <w:r w:rsidRPr="00545EC0">
              <w:rPr>
                <w:rFonts w:cs="Arial"/>
                <w:sz w:val="18"/>
                <w:szCs w:val="18"/>
                <w:vertAlign w:val="superscript"/>
              </w:rPr>
              <w:t xml:space="preserve"> a)</w:t>
            </w:r>
          </w:p>
        </w:tc>
        <w:tc>
          <w:tcPr>
            <w:tcW w:w="1370" w:type="pct"/>
            <w:shd w:val="clear" w:color="auto" w:fill="auto"/>
            <w:noWrap/>
            <w:hideMark/>
          </w:tcPr>
          <w:p w14:paraId="65E8173F" w14:textId="77777777" w:rsidR="00F11C46" w:rsidRPr="00545EC0" w:rsidRDefault="00F11C46" w:rsidP="00F06A3A">
            <w:pPr>
              <w:jc w:val="center"/>
              <w:rPr>
                <w:rFonts w:cs="Arial"/>
                <w:sz w:val="18"/>
                <w:szCs w:val="18"/>
              </w:rPr>
            </w:pPr>
            <w:r w:rsidRPr="00545EC0">
              <w:rPr>
                <w:rFonts w:cs="Arial"/>
                <w:sz w:val="18"/>
                <w:szCs w:val="18"/>
              </w:rPr>
              <w:t>35,0</w:t>
            </w:r>
            <w:r w:rsidRPr="00545EC0">
              <w:rPr>
                <w:rFonts w:cs="Arial"/>
                <w:sz w:val="18"/>
                <w:szCs w:val="18"/>
                <w:vertAlign w:val="superscript"/>
              </w:rPr>
              <w:t xml:space="preserve"> c)</w:t>
            </w:r>
          </w:p>
        </w:tc>
        <w:tc>
          <w:tcPr>
            <w:tcW w:w="745" w:type="pct"/>
            <w:shd w:val="clear" w:color="auto" w:fill="auto"/>
            <w:noWrap/>
            <w:hideMark/>
          </w:tcPr>
          <w:p w14:paraId="13D0B204" w14:textId="77777777" w:rsidR="00F11C46" w:rsidRPr="00545EC0" w:rsidRDefault="00F11C46" w:rsidP="00F06A3A">
            <w:pPr>
              <w:jc w:val="center"/>
              <w:rPr>
                <w:rFonts w:cs="Arial"/>
                <w:sz w:val="18"/>
                <w:szCs w:val="18"/>
              </w:rPr>
            </w:pPr>
            <w:r w:rsidRPr="00545EC0">
              <w:rPr>
                <w:rFonts w:cs="Arial"/>
                <w:sz w:val="18"/>
                <w:szCs w:val="18"/>
              </w:rPr>
              <w:t>5</w:t>
            </w:r>
          </w:p>
        </w:tc>
      </w:tr>
      <w:tr w:rsidR="003122F4" w:rsidRPr="00545EC0" w14:paraId="4CC770BD" w14:textId="77777777" w:rsidTr="0073517B">
        <w:trPr>
          <w:trHeight w:val="300"/>
        </w:trPr>
        <w:tc>
          <w:tcPr>
            <w:tcW w:w="2078" w:type="pct"/>
            <w:shd w:val="clear" w:color="auto" w:fill="auto"/>
            <w:hideMark/>
          </w:tcPr>
          <w:p w14:paraId="5BE2D3FB" w14:textId="5228A251" w:rsidR="00F11C46" w:rsidRPr="00545EC0" w:rsidRDefault="00F11C46" w:rsidP="0073517B">
            <w:pPr>
              <w:jc w:val="left"/>
              <w:rPr>
                <w:rFonts w:cs="Arial"/>
                <w:sz w:val="18"/>
                <w:szCs w:val="18"/>
              </w:rPr>
            </w:pPr>
            <w:r w:rsidRPr="00545EC0">
              <w:rPr>
                <w:rFonts w:cs="Arial"/>
                <w:sz w:val="18"/>
                <w:szCs w:val="18"/>
              </w:rPr>
              <w:t xml:space="preserve">Neprezimni medonosni posevki </w:t>
            </w:r>
          </w:p>
        </w:tc>
        <w:tc>
          <w:tcPr>
            <w:tcW w:w="807" w:type="pct"/>
            <w:shd w:val="clear" w:color="auto" w:fill="auto"/>
            <w:noWrap/>
            <w:hideMark/>
          </w:tcPr>
          <w:p w14:paraId="27EB297D" w14:textId="77777777" w:rsidR="00F11C46" w:rsidRPr="00545EC0" w:rsidRDefault="00F11C46" w:rsidP="00F06A3A">
            <w:pPr>
              <w:jc w:val="center"/>
              <w:rPr>
                <w:rFonts w:cs="Arial"/>
                <w:sz w:val="18"/>
                <w:szCs w:val="18"/>
              </w:rPr>
            </w:pPr>
            <w:r w:rsidRPr="00545EC0">
              <w:rPr>
                <w:rFonts w:cs="Arial"/>
                <w:sz w:val="18"/>
                <w:szCs w:val="18"/>
              </w:rPr>
              <w:t>156,0</w:t>
            </w:r>
            <w:r w:rsidRPr="00545EC0">
              <w:rPr>
                <w:rFonts w:cs="Arial"/>
                <w:sz w:val="18"/>
                <w:szCs w:val="18"/>
                <w:vertAlign w:val="superscript"/>
              </w:rPr>
              <w:t xml:space="preserve"> a)</w:t>
            </w:r>
          </w:p>
        </w:tc>
        <w:tc>
          <w:tcPr>
            <w:tcW w:w="1370" w:type="pct"/>
            <w:shd w:val="clear" w:color="auto" w:fill="auto"/>
            <w:noWrap/>
            <w:hideMark/>
          </w:tcPr>
          <w:p w14:paraId="03A36A12" w14:textId="77777777" w:rsidR="00F11C46" w:rsidRPr="00545EC0" w:rsidRDefault="00F11C46" w:rsidP="00F06A3A">
            <w:pPr>
              <w:jc w:val="center"/>
              <w:rPr>
                <w:rFonts w:cs="Arial"/>
                <w:sz w:val="18"/>
                <w:szCs w:val="18"/>
              </w:rPr>
            </w:pPr>
            <w:r w:rsidRPr="00545EC0">
              <w:rPr>
                <w:rFonts w:cs="Arial"/>
                <w:sz w:val="18"/>
                <w:szCs w:val="18"/>
              </w:rPr>
              <w:t xml:space="preserve">20,0 </w:t>
            </w:r>
            <w:r w:rsidRPr="00545EC0">
              <w:rPr>
                <w:rFonts w:cs="Arial"/>
                <w:sz w:val="18"/>
                <w:szCs w:val="18"/>
                <w:vertAlign w:val="superscript"/>
              </w:rPr>
              <w:t>b)</w:t>
            </w:r>
          </w:p>
        </w:tc>
        <w:tc>
          <w:tcPr>
            <w:tcW w:w="745" w:type="pct"/>
            <w:shd w:val="clear" w:color="auto" w:fill="auto"/>
            <w:noWrap/>
            <w:hideMark/>
          </w:tcPr>
          <w:p w14:paraId="2F28D6DC" w14:textId="77777777" w:rsidR="00F11C46" w:rsidRPr="00545EC0" w:rsidRDefault="00F11C46" w:rsidP="00F06A3A">
            <w:pPr>
              <w:jc w:val="center"/>
              <w:rPr>
                <w:rFonts w:cs="Arial"/>
                <w:sz w:val="18"/>
                <w:szCs w:val="18"/>
              </w:rPr>
            </w:pPr>
            <w:r w:rsidRPr="00545EC0">
              <w:rPr>
                <w:rFonts w:cs="Arial"/>
                <w:sz w:val="18"/>
                <w:szCs w:val="18"/>
              </w:rPr>
              <w:t>8</w:t>
            </w:r>
          </w:p>
        </w:tc>
      </w:tr>
      <w:tr w:rsidR="003122F4" w:rsidRPr="00545EC0" w14:paraId="23D90D44" w14:textId="77777777" w:rsidTr="0073517B">
        <w:trPr>
          <w:trHeight w:val="273"/>
        </w:trPr>
        <w:tc>
          <w:tcPr>
            <w:tcW w:w="2078" w:type="pct"/>
            <w:shd w:val="clear" w:color="auto" w:fill="auto"/>
            <w:hideMark/>
          </w:tcPr>
          <w:p w14:paraId="1A3CF30E" w14:textId="134AD22B" w:rsidR="00F11C46" w:rsidRPr="00545EC0" w:rsidRDefault="00F11C46" w:rsidP="0073517B">
            <w:pPr>
              <w:jc w:val="left"/>
              <w:rPr>
                <w:rFonts w:cs="Arial"/>
                <w:sz w:val="18"/>
                <w:szCs w:val="18"/>
              </w:rPr>
            </w:pPr>
            <w:r w:rsidRPr="00545EC0">
              <w:rPr>
                <w:rFonts w:cs="Arial"/>
                <w:sz w:val="18"/>
                <w:szCs w:val="18"/>
              </w:rPr>
              <w:t>Uporaba zastirk a</w:t>
            </w:r>
            <w:r w:rsidR="0073517B" w:rsidRPr="00545EC0">
              <w:rPr>
                <w:rFonts w:cs="Arial"/>
                <w:sz w:val="18"/>
                <w:szCs w:val="18"/>
              </w:rPr>
              <w:t xml:space="preserve">li mehansko zatiranje plevelov </w:t>
            </w:r>
          </w:p>
        </w:tc>
        <w:tc>
          <w:tcPr>
            <w:tcW w:w="807" w:type="pct"/>
            <w:shd w:val="clear" w:color="auto" w:fill="auto"/>
            <w:noWrap/>
            <w:hideMark/>
          </w:tcPr>
          <w:p w14:paraId="2F45253F" w14:textId="77777777" w:rsidR="00F11C46" w:rsidRPr="00545EC0" w:rsidRDefault="00F11C46" w:rsidP="00F06A3A">
            <w:pPr>
              <w:jc w:val="center"/>
              <w:rPr>
                <w:rFonts w:cs="Arial"/>
                <w:sz w:val="18"/>
                <w:szCs w:val="18"/>
              </w:rPr>
            </w:pPr>
            <w:r w:rsidRPr="00545EC0">
              <w:rPr>
                <w:rFonts w:cs="Arial"/>
                <w:sz w:val="18"/>
                <w:szCs w:val="18"/>
              </w:rPr>
              <w:t>89,5</w:t>
            </w:r>
            <w:r w:rsidRPr="00545EC0">
              <w:rPr>
                <w:rFonts w:cs="Arial"/>
                <w:sz w:val="18"/>
                <w:szCs w:val="18"/>
                <w:vertAlign w:val="superscript"/>
              </w:rPr>
              <w:t xml:space="preserve"> a)</w:t>
            </w:r>
          </w:p>
        </w:tc>
        <w:tc>
          <w:tcPr>
            <w:tcW w:w="1370" w:type="pct"/>
            <w:shd w:val="clear" w:color="auto" w:fill="auto"/>
            <w:noWrap/>
            <w:hideMark/>
          </w:tcPr>
          <w:p w14:paraId="0AB2AE78" w14:textId="77777777" w:rsidR="00F11C46" w:rsidRPr="00545EC0" w:rsidRDefault="00F11C46" w:rsidP="00F06A3A">
            <w:pPr>
              <w:jc w:val="center"/>
              <w:rPr>
                <w:rFonts w:cs="Arial"/>
                <w:sz w:val="18"/>
                <w:szCs w:val="18"/>
              </w:rPr>
            </w:pPr>
            <w:r w:rsidRPr="00545EC0">
              <w:rPr>
                <w:rFonts w:cs="Arial"/>
                <w:sz w:val="18"/>
                <w:szCs w:val="18"/>
              </w:rPr>
              <w:t xml:space="preserve">10,0 </w:t>
            </w:r>
            <w:r w:rsidRPr="00545EC0">
              <w:rPr>
                <w:rFonts w:cs="Arial"/>
                <w:sz w:val="18"/>
                <w:szCs w:val="18"/>
                <w:vertAlign w:val="superscript"/>
              </w:rPr>
              <w:t>b)</w:t>
            </w:r>
          </w:p>
        </w:tc>
        <w:tc>
          <w:tcPr>
            <w:tcW w:w="745" w:type="pct"/>
            <w:shd w:val="clear" w:color="auto" w:fill="auto"/>
            <w:noWrap/>
            <w:hideMark/>
          </w:tcPr>
          <w:p w14:paraId="03DBD723" w14:textId="77777777" w:rsidR="00F11C46" w:rsidRPr="00545EC0" w:rsidRDefault="00F11C46" w:rsidP="00F06A3A">
            <w:pPr>
              <w:jc w:val="center"/>
              <w:rPr>
                <w:rFonts w:cs="Arial"/>
                <w:sz w:val="18"/>
                <w:szCs w:val="18"/>
              </w:rPr>
            </w:pPr>
            <w:r w:rsidRPr="00545EC0">
              <w:rPr>
                <w:rFonts w:cs="Arial"/>
                <w:sz w:val="18"/>
                <w:szCs w:val="18"/>
              </w:rPr>
              <w:t>9</w:t>
            </w:r>
          </w:p>
        </w:tc>
      </w:tr>
      <w:tr w:rsidR="003122F4" w:rsidRPr="00545EC0" w14:paraId="23B44A26" w14:textId="77777777" w:rsidTr="0073517B">
        <w:trPr>
          <w:trHeight w:val="277"/>
        </w:trPr>
        <w:tc>
          <w:tcPr>
            <w:tcW w:w="2078" w:type="pct"/>
            <w:shd w:val="clear" w:color="auto" w:fill="auto"/>
            <w:hideMark/>
          </w:tcPr>
          <w:p w14:paraId="58DEC258" w14:textId="6D0C9F6C" w:rsidR="00F11C46" w:rsidRPr="00545EC0" w:rsidRDefault="00F11C46" w:rsidP="0073517B">
            <w:pPr>
              <w:jc w:val="left"/>
              <w:rPr>
                <w:rFonts w:cs="Arial"/>
                <w:sz w:val="18"/>
                <w:szCs w:val="18"/>
              </w:rPr>
            </w:pPr>
            <w:r w:rsidRPr="00545EC0">
              <w:rPr>
                <w:rFonts w:cs="Arial"/>
                <w:sz w:val="18"/>
                <w:szCs w:val="18"/>
              </w:rPr>
              <w:t>Gnojenje z organskimi gn</w:t>
            </w:r>
            <w:r w:rsidR="0073517B" w:rsidRPr="00545EC0">
              <w:rPr>
                <w:rFonts w:cs="Arial"/>
                <w:sz w:val="18"/>
                <w:szCs w:val="18"/>
              </w:rPr>
              <w:t xml:space="preserve">ojili z nizkimi izpusti v zrak </w:t>
            </w:r>
          </w:p>
        </w:tc>
        <w:tc>
          <w:tcPr>
            <w:tcW w:w="807" w:type="pct"/>
            <w:shd w:val="clear" w:color="auto" w:fill="auto"/>
            <w:noWrap/>
            <w:hideMark/>
          </w:tcPr>
          <w:p w14:paraId="74D27F3C" w14:textId="77777777" w:rsidR="00F11C46" w:rsidRPr="00545EC0" w:rsidRDefault="00F11C46" w:rsidP="00F06A3A">
            <w:pPr>
              <w:jc w:val="center"/>
              <w:rPr>
                <w:rFonts w:cs="Arial"/>
                <w:sz w:val="18"/>
                <w:szCs w:val="18"/>
              </w:rPr>
            </w:pPr>
            <w:r w:rsidRPr="00545EC0">
              <w:rPr>
                <w:rFonts w:cs="Arial"/>
                <w:sz w:val="18"/>
                <w:szCs w:val="18"/>
              </w:rPr>
              <w:t>95,3</w:t>
            </w:r>
            <w:r w:rsidRPr="00545EC0">
              <w:rPr>
                <w:rFonts w:cs="Arial"/>
                <w:sz w:val="18"/>
                <w:szCs w:val="18"/>
                <w:vertAlign w:val="superscript"/>
              </w:rPr>
              <w:t xml:space="preserve"> a)</w:t>
            </w:r>
          </w:p>
        </w:tc>
        <w:tc>
          <w:tcPr>
            <w:tcW w:w="1370" w:type="pct"/>
            <w:shd w:val="clear" w:color="auto" w:fill="auto"/>
            <w:noWrap/>
            <w:hideMark/>
          </w:tcPr>
          <w:p w14:paraId="4A6815C2" w14:textId="77777777" w:rsidR="00F11C46" w:rsidRPr="00545EC0" w:rsidRDefault="00F11C46" w:rsidP="00F06A3A">
            <w:pPr>
              <w:jc w:val="center"/>
              <w:rPr>
                <w:rFonts w:cs="Arial"/>
                <w:sz w:val="18"/>
                <w:szCs w:val="18"/>
              </w:rPr>
            </w:pPr>
            <w:r w:rsidRPr="00545EC0">
              <w:rPr>
                <w:rFonts w:cs="Arial"/>
                <w:sz w:val="18"/>
                <w:szCs w:val="18"/>
              </w:rPr>
              <w:t>10,0</w:t>
            </w:r>
            <w:r w:rsidRPr="00545EC0">
              <w:rPr>
                <w:rFonts w:cs="Arial"/>
                <w:sz w:val="18"/>
                <w:szCs w:val="18"/>
                <w:vertAlign w:val="superscript"/>
              </w:rPr>
              <w:t xml:space="preserve"> c)</w:t>
            </w:r>
          </w:p>
        </w:tc>
        <w:tc>
          <w:tcPr>
            <w:tcW w:w="745" w:type="pct"/>
            <w:shd w:val="clear" w:color="auto" w:fill="auto"/>
            <w:noWrap/>
            <w:hideMark/>
          </w:tcPr>
          <w:p w14:paraId="1617A226" w14:textId="77777777" w:rsidR="00F11C46" w:rsidRPr="00545EC0" w:rsidRDefault="00F11C46" w:rsidP="00F06A3A">
            <w:pPr>
              <w:jc w:val="center"/>
              <w:rPr>
                <w:rFonts w:cs="Arial"/>
                <w:sz w:val="18"/>
                <w:szCs w:val="18"/>
              </w:rPr>
            </w:pPr>
            <w:r w:rsidRPr="00545EC0">
              <w:rPr>
                <w:rFonts w:cs="Arial"/>
                <w:sz w:val="18"/>
                <w:szCs w:val="18"/>
              </w:rPr>
              <w:t>10</w:t>
            </w:r>
          </w:p>
        </w:tc>
      </w:tr>
      <w:tr w:rsidR="003122F4" w:rsidRPr="00545EC0" w14:paraId="168F5019" w14:textId="77777777" w:rsidTr="0073517B">
        <w:trPr>
          <w:trHeight w:val="125"/>
        </w:trPr>
        <w:tc>
          <w:tcPr>
            <w:tcW w:w="2078" w:type="pct"/>
            <w:shd w:val="clear" w:color="auto" w:fill="auto"/>
            <w:hideMark/>
          </w:tcPr>
          <w:p w14:paraId="568D4C13" w14:textId="1A49483C" w:rsidR="00F11C46" w:rsidRPr="00545EC0" w:rsidRDefault="00F11C46" w:rsidP="0073517B">
            <w:pPr>
              <w:jc w:val="left"/>
              <w:rPr>
                <w:rFonts w:cs="Arial"/>
                <w:sz w:val="18"/>
                <w:szCs w:val="18"/>
              </w:rPr>
            </w:pPr>
            <w:r w:rsidRPr="00545EC0">
              <w:rPr>
                <w:rFonts w:cs="Arial"/>
                <w:sz w:val="18"/>
                <w:szCs w:val="18"/>
              </w:rPr>
              <w:t>Gnojenje z organskimi gn</w:t>
            </w:r>
            <w:r w:rsidR="0073517B" w:rsidRPr="00545EC0">
              <w:rPr>
                <w:rFonts w:cs="Arial"/>
                <w:sz w:val="18"/>
                <w:szCs w:val="18"/>
              </w:rPr>
              <w:t xml:space="preserve">ojili z nizkimi izpusti v zrak </w:t>
            </w:r>
          </w:p>
        </w:tc>
        <w:tc>
          <w:tcPr>
            <w:tcW w:w="807" w:type="pct"/>
            <w:shd w:val="clear" w:color="auto" w:fill="auto"/>
            <w:noWrap/>
            <w:hideMark/>
          </w:tcPr>
          <w:p w14:paraId="05AC5E8E" w14:textId="77777777" w:rsidR="00F11C46" w:rsidRPr="00545EC0" w:rsidRDefault="00F11C46" w:rsidP="00F06A3A">
            <w:pPr>
              <w:jc w:val="center"/>
              <w:rPr>
                <w:rFonts w:cs="Arial"/>
                <w:sz w:val="18"/>
                <w:szCs w:val="18"/>
              </w:rPr>
            </w:pPr>
            <w:r w:rsidRPr="00545EC0">
              <w:rPr>
                <w:rFonts w:cs="Arial"/>
                <w:sz w:val="18"/>
                <w:szCs w:val="18"/>
              </w:rPr>
              <w:t>95,3</w:t>
            </w:r>
            <w:r w:rsidRPr="00545EC0">
              <w:rPr>
                <w:rFonts w:cs="Arial"/>
                <w:sz w:val="18"/>
                <w:szCs w:val="18"/>
                <w:vertAlign w:val="superscript"/>
              </w:rPr>
              <w:t xml:space="preserve"> a)</w:t>
            </w:r>
          </w:p>
        </w:tc>
        <w:tc>
          <w:tcPr>
            <w:tcW w:w="1370" w:type="pct"/>
            <w:shd w:val="clear" w:color="auto" w:fill="auto"/>
            <w:noWrap/>
            <w:hideMark/>
          </w:tcPr>
          <w:p w14:paraId="40B42568" w14:textId="77777777" w:rsidR="00F11C46" w:rsidRPr="00545EC0" w:rsidRDefault="00F11C46" w:rsidP="00F06A3A">
            <w:pPr>
              <w:jc w:val="center"/>
              <w:rPr>
                <w:rFonts w:cs="Arial"/>
                <w:sz w:val="18"/>
                <w:szCs w:val="18"/>
              </w:rPr>
            </w:pPr>
            <w:r w:rsidRPr="00545EC0">
              <w:rPr>
                <w:rFonts w:cs="Arial"/>
                <w:sz w:val="18"/>
                <w:szCs w:val="18"/>
              </w:rPr>
              <w:t>10,0</w:t>
            </w:r>
            <w:r w:rsidRPr="00545EC0">
              <w:rPr>
                <w:rFonts w:cs="Arial"/>
                <w:sz w:val="18"/>
                <w:szCs w:val="18"/>
                <w:vertAlign w:val="superscript"/>
              </w:rPr>
              <w:t xml:space="preserve"> c)</w:t>
            </w:r>
          </w:p>
        </w:tc>
        <w:tc>
          <w:tcPr>
            <w:tcW w:w="745" w:type="pct"/>
            <w:shd w:val="clear" w:color="auto" w:fill="auto"/>
            <w:noWrap/>
            <w:hideMark/>
          </w:tcPr>
          <w:p w14:paraId="5A0BECFB" w14:textId="77777777" w:rsidR="00F11C46" w:rsidRPr="00545EC0" w:rsidRDefault="00F11C46" w:rsidP="00F06A3A">
            <w:pPr>
              <w:jc w:val="center"/>
              <w:rPr>
                <w:rFonts w:cs="Arial"/>
                <w:sz w:val="18"/>
                <w:szCs w:val="18"/>
              </w:rPr>
            </w:pPr>
            <w:r w:rsidRPr="00545EC0">
              <w:rPr>
                <w:rFonts w:cs="Arial"/>
                <w:sz w:val="18"/>
                <w:szCs w:val="18"/>
              </w:rPr>
              <w:t>10</w:t>
            </w:r>
          </w:p>
        </w:tc>
      </w:tr>
      <w:tr w:rsidR="003122F4" w:rsidRPr="00545EC0" w14:paraId="58780155" w14:textId="77777777" w:rsidTr="0073517B">
        <w:trPr>
          <w:trHeight w:val="56"/>
        </w:trPr>
        <w:tc>
          <w:tcPr>
            <w:tcW w:w="2078" w:type="pct"/>
            <w:shd w:val="clear" w:color="auto" w:fill="auto"/>
            <w:hideMark/>
          </w:tcPr>
          <w:p w14:paraId="13008CAD" w14:textId="25982D9E" w:rsidR="00F11C46" w:rsidRPr="00545EC0" w:rsidRDefault="00F11C46" w:rsidP="0073517B">
            <w:pPr>
              <w:jc w:val="left"/>
              <w:rPr>
                <w:rFonts w:cs="Arial"/>
                <w:sz w:val="18"/>
                <w:szCs w:val="18"/>
              </w:rPr>
            </w:pPr>
            <w:r w:rsidRPr="00545EC0">
              <w:rPr>
                <w:rFonts w:cs="Arial"/>
                <w:sz w:val="18"/>
                <w:szCs w:val="18"/>
              </w:rPr>
              <w:t xml:space="preserve">Setev rastlin za podor </w:t>
            </w:r>
            <w:r w:rsidR="0073517B" w:rsidRPr="00545EC0">
              <w:rPr>
                <w:rFonts w:cs="Arial"/>
                <w:sz w:val="18"/>
                <w:szCs w:val="18"/>
              </w:rPr>
              <w:t xml:space="preserve">(zeleno gnojenje) </w:t>
            </w:r>
          </w:p>
        </w:tc>
        <w:tc>
          <w:tcPr>
            <w:tcW w:w="807" w:type="pct"/>
            <w:shd w:val="clear" w:color="auto" w:fill="auto"/>
            <w:noWrap/>
            <w:hideMark/>
          </w:tcPr>
          <w:p w14:paraId="1721882A" w14:textId="77777777" w:rsidR="00F11C46" w:rsidRPr="00545EC0" w:rsidRDefault="00F11C46" w:rsidP="00F06A3A">
            <w:pPr>
              <w:jc w:val="center"/>
              <w:rPr>
                <w:rFonts w:cs="Arial"/>
                <w:sz w:val="18"/>
                <w:szCs w:val="18"/>
              </w:rPr>
            </w:pPr>
            <w:r w:rsidRPr="00545EC0">
              <w:rPr>
                <w:rFonts w:cs="Arial"/>
                <w:sz w:val="18"/>
                <w:szCs w:val="18"/>
              </w:rPr>
              <w:t>126,0</w:t>
            </w:r>
            <w:r w:rsidRPr="00545EC0">
              <w:rPr>
                <w:rFonts w:cs="Arial"/>
                <w:sz w:val="18"/>
                <w:szCs w:val="18"/>
                <w:vertAlign w:val="superscript"/>
              </w:rPr>
              <w:t xml:space="preserve"> a)</w:t>
            </w:r>
          </w:p>
        </w:tc>
        <w:tc>
          <w:tcPr>
            <w:tcW w:w="1370" w:type="pct"/>
            <w:shd w:val="clear" w:color="auto" w:fill="auto"/>
            <w:noWrap/>
            <w:hideMark/>
          </w:tcPr>
          <w:p w14:paraId="7C717963" w14:textId="77777777" w:rsidR="00F11C46" w:rsidRPr="00545EC0" w:rsidRDefault="00F11C46" w:rsidP="00F06A3A">
            <w:pPr>
              <w:jc w:val="center"/>
              <w:rPr>
                <w:rFonts w:cs="Arial"/>
                <w:sz w:val="18"/>
                <w:szCs w:val="18"/>
              </w:rPr>
            </w:pPr>
            <w:r w:rsidRPr="00545EC0">
              <w:rPr>
                <w:rFonts w:cs="Arial"/>
                <w:sz w:val="18"/>
                <w:szCs w:val="18"/>
              </w:rPr>
              <w:t>10,0</w:t>
            </w:r>
            <w:r w:rsidRPr="00545EC0">
              <w:rPr>
                <w:rFonts w:cs="Arial"/>
                <w:sz w:val="18"/>
                <w:szCs w:val="18"/>
                <w:vertAlign w:val="superscript"/>
              </w:rPr>
              <w:t xml:space="preserve"> c)</w:t>
            </w:r>
          </w:p>
        </w:tc>
        <w:tc>
          <w:tcPr>
            <w:tcW w:w="745" w:type="pct"/>
            <w:shd w:val="clear" w:color="auto" w:fill="auto"/>
            <w:noWrap/>
            <w:hideMark/>
          </w:tcPr>
          <w:p w14:paraId="284ACBC5" w14:textId="77777777" w:rsidR="00F11C46" w:rsidRPr="00545EC0" w:rsidRDefault="00F11C46" w:rsidP="00F06A3A">
            <w:pPr>
              <w:jc w:val="center"/>
              <w:rPr>
                <w:rFonts w:cs="Arial"/>
                <w:sz w:val="18"/>
                <w:szCs w:val="18"/>
              </w:rPr>
            </w:pPr>
            <w:r w:rsidRPr="00545EC0">
              <w:rPr>
                <w:rFonts w:cs="Arial"/>
                <w:sz w:val="18"/>
                <w:szCs w:val="18"/>
              </w:rPr>
              <w:t>13</w:t>
            </w:r>
          </w:p>
        </w:tc>
      </w:tr>
      <w:tr w:rsidR="003122F4" w:rsidRPr="00545EC0" w14:paraId="52971396" w14:textId="77777777" w:rsidTr="0073517B">
        <w:trPr>
          <w:trHeight w:val="56"/>
        </w:trPr>
        <w:tc>
          <w:tcPr>
            <w:tcW w:w="2078" w:type="pct"/>
            <w:shd w:val="clear" w:color="auto" w:fill="auto"/>
            <w:hideMark/>
          </w:tcPr>
          <w:p w14:paraId="0ED7FFA3" w14:textId="1D184E9D" w:rsidR="00F11C46" w:rsidRPr="00545EC0" w:rsidRDefault="00F11C46" w:rsidP="0073517B">
            <w:pPr>
              <w:jc w:val="left"/>
              <w:rPr>
                <w:rFonts w:cs="Arial"/>
                <w:sz w:val="18"/>
                <w:szCs w:val="18"/>
              </w:rPr>
            </w:pPr>
            <w:r w:rsidRPr="00545EC0">
              <w:rPr>
                <w:rFonts w:cs="Arial"/>
                <w:sz w:val="18"/>
                <w:szCs w:val="18"/>
              </w:rPr>
              <w:t>Setev rast</w:t>
            </w:r>
            <w:r w:rsidR="0073517B" w:rsidRPr="00545EC0">
              <w:rPr>
                <w:rFonts w:cs="Arial"/>
                <w:sz w:val="18"/>
                <w:szCs w:val="18"/>
              </w:rPr>
              <w:t xml:space="preserve">lin za podor (zeleno gnojenje) </w:t>
            </w:r>
          </w:p>
        </w:tc>
        <w:tc>
          <w:tcPr>
            <w:tcW w:w="807" w:type="pct"/>
            <w:shd w:val="clear" w:color="auto" w:fill="auto"/>
            <w:noWrap/>
            <w:hideMark/>
          </w:tcPr>
          <w:p w14:paraId="0F76B6F5" w14:textId="77777777" w:rsidR="00F11C46" w:rsidRPr="00545EC0" w:rsidRDefault="00F11C46" w:rsidP="00F06A3A">
            <w:pPr>
              <w:jc w:val="center"/>
              <w:rPr>
                <w:rFonts w:cs="Arial"/>
                <w:sz w:val="18"/>
                <w:szCs w:val="18"/>
              </w:rPr>
            </w:pPr>
            <w:r w:rsidRPr="00545EC0">
              <w:rPr>
                <w:rFonts w:cs="Arial"/>
                <w:sz w:val="18"/>
                <w:szCs w:val="18"/>
              </w:rPr>
              <w:t>210,0</w:t>
            </w:r>
            <w:r w:rsidRPr="00545EC0">
              <w:rPr>
                <w:rFonts w:cs="Arial"/>
                <w:sz w:val="18"/>
                <w:szCs w:val="18"/>
                <w:vertAlign w:val="superscript"/>
              </w:rPr>
              <w:t xml:space="preserve"> a)</w:t>
            </w:r>
          </w:p>
        </w:tc>
        <w:tc>
          <w:tcPr>
            <w:tcW w:w="1370" w:type="pct"/>
            <w:shd w:val="clear" w:color="auto" w:fill="auto"/>
            <w:noWrap/>
            <w:hideMark/>
          </w:tcPr>
          <w:p w14:paraId="585584F5" w14:textId="77777777" w:rsidR="00F11C46" w:rsidRPr="00545EC0" w:rsidRDefault="00F11C46" w:rsidP="00F06A3A">
            <w:pPr>
              <w:jc w:val="center"/>
              <w:rPr>
                <w:rFonts w:cs="Arial"/>
                <w:sz w:val="18"/>
                <w:szCs w:val="18"/>
              </w:rPr>
            </w:pPr>
            <w:r w:rsidRPr="00545EC0">
              <w:rPr>
                <w:rFonts w:cs="Arial"/>
                <w:sz w:val="18"/>
                <w:szCs w:val="18"/>
              </w:rPr>
              <w:t>10,0</w:t>
            </w:r>
            <w:r w:rsidRPr="00545EC0">
              <w:rPr>
                <w:rFonts w:cs="Arial"/>
                <w:sz w:val="18"/>
                <w:szCs w:val="18"/>
                <w:vertAlign w:val="superscript"/>
              </w:rPr>
              <w:t xml:space="preserve"> c)</w:t>
            </w:r>
          </w:p>
        </w:tc>
        <w:tc>
          <w:tcPr>
            <w:tcW w:w="745" w:type="pct"/>
            <w:shd w:val="clear" w:color="auto" w:fill="auto"/>
            <w:noWrap/>
            <w:hideMark/>
          </w:tcPr>
          <w:p w14:paraId="63DA8E6F" w14:textId="77777777" w:rsidR="00F11C46" w:rsidRPr="00545EC0" w:rsidRDefault="00F11C46" w:rsidP="00F06A3A">
            <w:pPr>
              <w:jc w:val="center"/>
              <w:rPr>
                <w:rFonts w:cs="Arial"/>
                <w:sz w:val="18"/>
                <w:szCs w:val="18"/>
              </w:rPr>
            </w:pPr>
            <w:r w:rsidRPr="00545EC0">
              <w:rPr>
                <w:rFonts w:cs="Arial"/>
                <w:sz w:val="18"/>
                <w:szCs w:val="18"/>
              </w:rPr>
              <w:t>21</w:t>
            </w:r>
          </w:p>
        </w:tc>
      </w:tr>
      <w:tr w:rsidR="003122F4" w:rsidRPr="00545EC0" w14:paraId="26B1951D" w14:textId="77777777" w:rsidTr="0073517B">
        <w:trPr>
          <w:trHeight w:val="80"/>
        </w:trPr>
        <w:tc>
          <w:tcPr>
            <w:tcW w:w="2078" w:type="pct"/>
            <w:shd w:val="clear" w:color="auto" w:fill="auto"/>
            <w:hideMark/>
          </w:tcPr>
          <w:p w14:paraId="08D7447A" w14:textId="69A0D1FB" w:rsidR="00F11C46" w:rsidRPr="00545EC0" w:rsidRDefault="0073517B" w:rsidP="0073517B">
            <w:pPr>
              <w:jc w:val="left"/>
              <w:rPr>
                <w:rFonts w:cs="Arial"/>
                <w:sz w:val="18"/>
                <w:szCs w:val="18"/>
              </w:rPr>
            </w:pPr>
            <w:r w:rsidRPr="00545EC0">
              <w:rPr>
                <w:rFonts w:cs="Arial"/>
                <w:sz w:val="18"/>
                <w:szCs w:val="18"/>
              </w:rPr>
              <w:t xml:space="preserve">Ekološko kmetovanje </w:t>
            </w:r>
          </w:p>
        </w:tc>
        <w:tc>
          <w:tcPr>
            <w:tcW w:w="807" w:type="pct"/>
            <w:shd w:val="clear" w:color="auto" w:fill="auto"/>
            <w:noWrap/>
            <w:hideMark/>
          </w:tcPr>
          <w:p w14:paraId="456AADC6" w14:textId="77777777" w:rsidR="00F11C46" w:rsidRPr="00545EC0" w:rsidRDefault="00F11C46" w:rsidP="00F06A3A">
            <w:pPr>
              <w:jc w:val="center"/>
              <w:rPr>
                <w:rFonts w:cs="Arial"/>
                <w:sz w:val="18"/>
                <w:szCs w:val="18"/>
              </w:rPr>
            </w:pPr>
            <w:r w:rsidRPr="00545EC0">
              <w:rPr>
                <w:rFonts w:cs="Arial"/>
                <w:sz w:val="18"/>
                <w:szCs w:val="18"/>
              </w:rPr>
              <w:t>650,0</w:t>
            </w:r>
            <w:r w:rsidRPr="00545EC0">
              <w:rPr>
                <w:rFonts w:cs="Arial"/>
                <w:sz w:val="18"/>
                <w:szCs w:val="18"/>
                <w:vertAlign w:val="superscript"/>
              </w:rPr>
              <w:t xml:space="preserve"> a)</w:t>
            </w:r>
          </w:p>
        </w:tc>
        <w:tc>
          <w:tcPr>
            <w:tcW w:w="1370" w:type="pct"/>
            <w:shd w:val="clear" w:color="auto" w:fill="auto"/>
            <w:noWrap/>
            <w:hideMark/>
          </w:tcPr>
          <w:p w14:paraId="28995A46" w14:textId="77777777" w:rsidR="00F11C46" w:rsidRPr="00545EC0" w:rsidRDefault="00F11C46" w:rsidP="00F06A3A">
            <w:pPr>
              <w:jc w:val="center"/>
              <w:rPr>
                <w:rFonts w:cs="Arial"/>
                <w:sz w:val="18"/>
                <w:szCs w:val="18"/>
              </w:rPr>
            </w:pPr>
            <w:r w:rsidRPr="00545EC0">
              <w:rPr>
                <w:rFonts w:cs="Arial"/>
                <w:sz w:val="18"/>
                <w:szCs w:val="18"/>
              </w:rPr>
              <w:t xml:space="preserve">20,0 </w:t>
            </w:r>
            <w:r w:rsidRPr="00545EC0">
              <w:rPr>
                <w:rFonts w:cs="Arial"/>
                <w:sz w:val="18"/>
                <w:szCs w:val="18"/>
                <w:vertAlign w:val="superscript"/>
              </w:rPr>
              <w:t>b)</w:t>
            </w:r>
          </w:p>
        </w:tc>
        <w:tc>
          <w:tcPr>
            <w:tcW w:w="745" w:type="pct"/>
            <w:shd w:val="clear" w:color="auto" w:fill="auto"/>
            <w:noWrap/>
            <w:hideMark/>
          </w:tcPr>
          <w:p w14:paraId="1E290500" w14:textId="77777777" w:rsidR="00F11C46" w:rsidRPr="00545EC0" w:rsidRDefault="00F11C46" w:rsidP="00F06A3A">
            <w:pPr>
              <w:jc w:val="center"/>
              <w:rPr>
                <w:rFonts w:cs="Arial"/>
                <w:sz w:val="18"/>
                <w:szCs w:val="18"/>
              </w:rPr>
            </w:pPr>
            <w:r w:rsidRPr="00545EC0">
              <w:rPr>
                <w:rFonts w:cs="Arial"/>
                <w:sz w:val="18"/>
                <w:szCs w:val="18"/>
              </w:rPr>
              <w:t>33</w:t>
            </w:r>
          </w:p>
        </w:tc>
      </w:tr>
      <w:tr w:rsidR="003122F4" w:rsidRPr="00545EC0" w14:paraId="5A97372E" w14:textId="77777777" w:rsidTr="0073517B">
        <w:trPr>
          <w:trHeight w:val="197"/>
        </w:trPr>
        <w:tc>
          <w:tcPr>
            <w:tcW w:w="2078" w:type="pct"/>
            <w:shd w:val="clear" w:color="auto" w:fill="auto"/>
            <w:hideMark/>
          </w:tcPr>
          <w:p w14:paraId="05B23149" w14:textId="5D9CDACC" w:rsidR="00F11C46" w:rsidRPr="00545EC0" w:rsidRDefault="00F11C46" w:rsidP="0073517B">
            <w:pPr>
              <w:jc w:val="left"/>
              <w:rPr>
                <w:rFonts w:cs="Arial"/>
                <w:sz w:val="18"/>
                <w:szCs w:val="18"/>
              </w:rPr>
            </w:pPr>
            <w:r w:rsidRPr="00545EC0">
              <w:rPr>
                <w:rFonts w:cs="Arial"/>
                <w:sz w:val="18"/>
                <w:szCs w:val="18"/>
              </w:rPr>
              <w:t>Podpora za pomoč p</w:t>
            </w:r>
            <w:r w:rsidR="0073517B" w:rsidRPr="00545EC0">
              <w:rPr>
                <w:rFonts w:cs="Arial"/>
                <w:sz w:val="18"/>
                <w:szCs w:val="18"/>
              </w:rPr>
              <w:t xml:space="preserve">ri uporabi storitev svetovanja </w:t>
            </w:r>
          </w:p>
        </w:tc>
        <w:tc>
          <w:tcPr>
            <w:tcW w:w="807" w:type="pct"/>
            <w:shd w:val="clear" w:color="auto" w:fill="auto"/>
            <w:noWrap/>
            <w:hideMark/>
          </w:tcPr>
          <w:p w14:paraId="20197664" w14:textId="77777777" w:rsidR="00F11C46" w:rsidRPr="00545EC0" w:rsidRDefault="00F11C46" w:rsidP="00F06A3A">
            <w:pPr>
              <w:jc w:val="center"/>
              <w:rPr>
                <w:rFonts w:cs="Arial"/>
                <w:sz w:val="18"/>
                <w:szCs w:val="18"/>
              </w:rPr>
            </w:pPr>
            <w:r w:rsidRPr="00545EC0">
              <w:rPr>
                <w:rFonts w:cs="Arial"/>
                <w:sz w:val="18"/>
                <w:szCs w:val="18"/>
              </w:rPr>
              <w:t>150</w:t>
            </w:r>
            <w:r w:rsidRPr="00545EC0">
              <w:rPr>
                <w:rFonts w:cs="Arial"/>
                <w:sz w:val="18"/>
                <w:szCs w:val="18"/>
                <w:vertAlign w:val="superscript"/>
              </w:rPr>
              <w:t xml:space="preserve"> a)</w:t>
            </w:r>
          </w:p>
        </w:tc>
        <w:tc>
          <w:tcPr>
            <w:tcW w:w="1370" w:type="pct"/>
            <w:shd w:val="clear" w:color="auto" w:fill="auto"/>
            <w:noWrap/>
            <w:hideMark/>
          </w:tcPr>
          <w:p w14:paraId="0BDFAF00" w14:textId="77777777" w:rsidR="00F11C46" w:rsidRPr="00545EC0" w:rsidRDefault="00F11C46" w:rsidP="00F06A3A">
            <w:pPr>
              <w:jc w:val="center"/>
              <w:rPr>
                <w:rFonts w:cs="Arial"/>
                <w:sz w:val="18"/>
                <w:szCs w:val="18"/>
              </w:rPr>
            </w:pPr>
            <w:r w:rsidRPr="00545EC0">
              <w:rPr>
                <w:rFonts w:cs="Arial"/>
                <w:sz w:val="18"/>
                <w:szCs w:val="18"/>
              </w:rPr>
              <w:t xml:space="preserve">20,0 </w:t>
            </w:r>
            <w:r w:rsidRPr="00545EC0">
              <w:rPr>
                <w:rFonts w:cs="Arial"/>
                <w:sz w:val="18"/>
                <w:szCs w:val="18"/>
                <w:vertAlign w:val="superscript"/>
              </w:rPr>
              <w:t>b)</w:t>
            </w:r>
          </w:p>
        </w:tc>
        <w:tc>
          <w:tcPr>
            <w:tcW w:w="745" w:type="pct"/>
            <w:shd w:val="clear" w:color="auto" w:fill="auto"/>
            <w:noWrap/>
            <w:hideMark/>
          </w:tcPr>
          <w:p w14:paraId="1F495038" w14:textId="77777777" w:rsidR="00F11C46" w:rsidRPr="00545EC0" w:rsidRDefault="00F11C46" w:rsidP="00F06A3A">
            <w:pPr>
              <w:jc w:val="center"/>
              <w:rPr>
                <w:rFonts w:cs="Arial"/>
                <w:sz w:val="18"/>
                <w:szCs w:val="18"/>
              </w:rPr>
            </w:pPr>
            <w:r w:rsidRPr="00545EC0">
              <w:rPr>
                <w:rFonts w:cs="Arial"/>
                <w:sz w:val="18"/>
                <w:szCs w:val="18"/>
              </w:rPr>
              <w:t>8</w:t>
            </w:r>
          </w:p>
        </w:tc>
      </w:tr>
    </w:tbl>
    <w:p w14:paraId="762CBA72" w14:textId="77777777" w:rsidR="00F11C46" w:rsidRPr="00545EC0" w:rsidRDefault="00F11C46" w:rsidP="00DD37C5">
      <w:pPr>
        <w:numPr>
          <w:ilvl w:val="0"/>
          <w:numId w:val="49"/>
        </w:numPr>
        <w:overflowPunct/>
        <w:autoSpaceDE/>
        <w:autoSpaceDN/>
        <w:adjustRightInd/>
        <w:ind w:left="284" w:hanging="284"/>
        <w:textAlignment w:val="auto"/>
        <w:rPr>
          <w:rFonts w:cs="Arial"/>
          <w:i/>
          <w:sz w:val="18"/>
          <w:szCs w:val="18"/>
        </w:rPr>
      </w:pPr>
      <w:r w:rsidRPr="00545EC0">
        <w:rPr>
          <w:rFonts w:cs="Arial"/>
          <w:i/>
          <w:sz w:val="18"/>
          <w:szCs w:val="18"/>
        </w:rPr>
        <w:t>Program razvoja podeželja RS za obdobje 2014-2020</w:t>
      </w:r>
    </w:p>
    <w:p w14:paraId="2CF9A658" w14:textId="77777777" w:rsidR="00F11C46" w:rsidRPr="00545EC0" w:rsidRDefault="00F11C46" w:rsidP="00DD37C5">
      <w:pPr>
        <w:numPr>
          <w:ilvl w:val="0"/>
          <w:numId w:val="49"/>
        </w:numPr>
        <w:overflowPunct/>
        <w:autoSpaceDE/>
        <w:autoSpaceDN/>
        <w:adjustRightInd/>
        <w:ind w:left="284" w:hanging="284"/>
        <w:textAlignment w:val="auto"/>
        <w:rPr>
          <w:rFonts w:cs="Arial"/>
          <w:i/>
          <w:sz w:val="18"/>
          <w:szCs w:val="18"/>
        </w:rPr>
      </w:pPr>
      <w:r w:rsidRPr="00545EC0">
        <w:rPr>
          <w:rFonts w:cs="Arial"/>
          <w:i/>
          <w:sz w:val="18"/>
          <w:szCs w:val="18"/>
        </w:rPr>
        <w:t>Kmetijski inštitut Slovenije: Priprava strokovnih podlag za izvajanje okvirne vodne direktive v sektorju kmetijstvo, 2014</w:t>
      </w:r>
    </w:p>
    <w:p w14:paraId="006F4C6C" w14:textId="77777777" w:rsidR="00F11C46" w:rsidRPr="00545EC0" w:rsidRDefault="00F11C46" w:rsidP="00DD37C5">
      <w:pPr>
        <w:numPr>
          <w:ilvl w:val="0"/>
          <w:numId w:val="49"/>
        </w:numPr>
        <w:overflowPunct/>
        <w:autoSpaceDE/>
        <w:autoSpaceDN/>
        <w:adjustRightInd/>
        <w:ind w:left="284" w:hanging="284"/>
        <w:textAlignment w:val="auto"/>
        <w:rPr>
          <w:rFonts w:cs="Arial"/>
          <w:i/>
          <w:sz w:val="18"/>
          <w:szCs w:val="18"/>
        </w:rPr>
      </w:pPr>
      <w:r w:rsidRPr="00545EC0">
        <w:rPr>
          <w:rFonts w:cs="Arial"/>
          <w:i/>
          <w:sz w:val="18"/>
          <w:szCs w:val="18"/>
        </w:rPr>
        <w:t>FAL-katalog</w:t>
      </w:r>
    </w:p>
    <w:p w14:paraId="48D38587" w14:textId="77777777" w:rsidR="00F11C46" w:rsidRPr="00545EC0" w:rsidRDefault="00F11C46" w:rsidP="00F11C46">
      <w:pPr>
        <w:rPr>
          <w:rFonts w:cs="Arial"/>
          <w:szCs w:val="20"/>
        </w:rPr>
      </w:pPr>
    </w:p>
    <w:p w14:paraId="75B67205" w14:textId="1533F603" w:rsidR="00F11C46" w:rsidRPr="00545EC0" w:rsidRDefault="00F11C46" w:rsidP="00F11C46">
      <w:pPr>
        <w:rPr>
          <w:rFonts w:cs="Arial"/>
          <w:szCs w:val="20"/>
        </w:rPr>
      </w:pPr>
      <w:r w:rsidRPr="00545EC0">
        <w:rPr>
          <w:rFonts w:cs="Arial"/>
          <w:szCs w:val="20"/>
        </w:rPr>
        <w:t xml:space="preserve">Kot stroškovno najbolj učinkoviti podukrepi za zmanjšanje razpršenega onesnaževanja voda s hranili v kmetijstvu so </w:t>
      </w:r>
      <w:r w:rsidR="00626988" w:rsidRPr="00545EC0">
        <w:rPr>
          <w:rFonts w:cs="Arial"/>
          <w:szCs w:val="20"/>
        </w:rPr>
        <w:t>glede na količnik stroškovne učinkovitosti</w:t>
      </w:r>
      <w:r w:rsidRPr="00545EC0">
        <w:rPr>
          <w:rFonts w:cs="Arial"/>
          <w:szCs w:val="20"/>
        </w:rPr>
        <w:t>:</w:t>
      </w:r>
    </w:p>
    <w:p w14:paraId="73411749" w14:textId="3E4ABA0F" w:rsidR="00F11C46" w:rsidRPr="00545EC0" w:rsidRDefault="0073517B"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 xml:space="preserve">Petletni kolobar </w:t>
      </w:r>
      <w:r w:rsidR="00F11C46" w:rsidRPr="00545EC0">
        <w:rPr>
          <w:rFonts w:cs="Arial"/>
        </w:rPr>
        <w:t xml:space="preserve"> </w:t>
      </w:r>
    </w:p>
    <w:p w14:paraId="232733E6" w14:textId="5DB631CD" w:rsidR="00F11C46" w:rsidRPr="00545EC0" w:rsidRDefault="00F11C46"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lastRenderedPageBreak/>
        <w:t>Pokritost tal v medvrst</w:t>
      </w:r>
      <w:r w:rsidR="0073517B" w:rsidRPr="00545EC0">
        <w:rPr>
          <w:rFonts w:cs="Arial"/>
        </w:rPr>
        <w:t xml:space="preserve">nem prostoru z negovano ledino </w:t>
      </w:r>
    </w:p>
    <w:p w14:paraId="31FEB315" w14:textId="07FB9D12" w:rsidR="00F11C46" w:rsidRPr="00545EC0" w:rsidRDefault="00F11C46"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Pokri</w:t>
      </w:r>
      <w:r w:rsidR="0073517B" w:rsidRPr="00545EC0">
        <w:rPr>
          <w:rFonts w:cs="Arial"/>
        </w:rPr>
        <w:t xml:space="preserve">tost tal v medvrstnem prostoru </w:t>
      </w:r>
      <w:r w:rsidRPr="00545EC0">
        <w:rPr>
          <w:rFonts w:cs="Arial"/>
        </w:rPr>
        <w:t xml:space="preserve"> in</w:t>
      </w:r>
    </w:p>
    <w:p w14:paraId="1328ECC5" w14:textId="71CE94F0" w:rsidR="00F11C46" w:rsidRPr="00545EC0" w:rsidRDefault="0073517B"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Ozelenitev njivskih površi</w:t>
      </w:r>
      <w:r w:rsidRPr="00545EC0">
        <w:rPr>
          <w:rFonts w:cs="Arial"/>
          <w:lang w:val="sl-SI"/>
        </w:rPr>
        <w:t>n</w:t>
      </w:r>
      <w:r w:rsidR="00F11C46" w:rsidRPr="00545EC0">
        <w:rPr>
          <w:rFonts w:cs="Arial"/>
        </w:rPr>
        <w:t>.</w:t>
      </w:r>
    </w:p>
    <w:p w14:paraId="241007A0" w14:textId="77777777" w:rsidR="00F11C46" w:rsidRPr="00545EC0" w:rsidRDefault="00F11C46" w:rsidP="00F11C46">
      <w:pPr>
        <w:rPr>
          <w:rFonts w:cs="Arial"/>
          <w:szCs w:val="20"/>
        </w:rPr>
      </w:pPr>
    </w:p>
    <w:p w14:paraId="16015899" w14:textId="77777777" w:rsidR="00F11C46" w:rsidRPr="00545EC0" w:rsidRDefault="00F11C46" w:rsidP="00F11C46">
      <w:pPr>
        <w:rPr>
          <w:rFonts w:cs="Arial"/>
          <w:szCs w:val="20"/>
        </w:rPr>
      </w:pPr>
      <w:r w:rsidRPr="00545EC0">
        <w:rPr>
          <w:rFonts w:cs="Arial"/>
          <w:szCs w:val="20"/>
        </w:rPr>
        <w:t>Podukrep Ohranjanje mejic ni bil vključen v analizo stroškovne učinkovitosti, saj podatek o učinku v enotah kg N/ha ni bil na voljo.</w:t>
      </w:r>
    </w:p>
    <w:p w14:paraId="6E2DE4E4" w14:textId="77777777" w:rsidR="007A3EFC" w:rsidRPr="00545EC0" w:rsidRDefault="007A3EFC" w:rsidP="00F11C46">
      <w:pPr>
        <w:rPr>
          <w:rFonts w:cs="Arial"/>
          <w:szCs w:val="20"/>
        </w:rPr>
      </w:pPr>
    </w:p>
    <w:p w14:paraId="7BA97F2B" w14:textId="1760C794" w:rsidR="007A3EFC" w:rsidRPr="00545EC0" w:rsidRDefault="007A3EFC" w:rsidP="007A3EFC">
      <w:pPr>
        <w:rPr>
          <w:rFonts w:cs="Arial"/>
          <w:szCs w:val="20"/>
        </w:rPr>
      </w:pPr>
      <w:r w:rsidRPr="00545EC0">
        <w:rPr>
          <w:rFonts w:cs="Arial"/>
          <w:szCs w:val="20"/>
        </w:rPr>
        <w:t xml:space="preserve">Stroškovno najbolj učinkovite podukrepe se vključi v Strateški načrt skupne kmetijske politike 2023 – 2027, ki je v pripravi na </w:t>
      </w:r>
      <w:r w:rsidR="00C12042" w:rsidRPr="00545EC0">
        <w:rPr>
          <w:rFonts w:cs="Arial"/>
          <w:szCs w:val="20"/>
        </w:rPr>
        <w:t>ministrstvu</w:t>
      </w:r>
      <w:r w:rsidRPr="00545EC0">
        <w:rPr>
          <w:rFonts w:cs="Arial"/>
          <w:szCs w:val="20"/>
        </w:rPr>
        <w:t xml:space="preserve"> pristojnem za kmetijstvo.</w:t>
      </w:r>
    </w:p>
    <w:p w14:paraId="71B303E6" w14:textId="77777777" w:rsidR="007A3EFC" w:rsidRPr="00545EC0" w:rsidRDefault="007A3EFC" w:rsidP="00F11C46">
      <w:pPr>
        <w:rPr>
          <w:rFonts w:cs="Arial"/>
          <w:szCs w:val="20"/>
        </w:rPr>
      </w:pPr>
    </w:p>
    <w:p w14:paraId="4CB0A665" w14:textId="77777777" w:rsidR="00F11C46" w:rsidRPr="00545EC0" w:rsidRDefault="00F11C46" w:rsidP="005709D6">
      <w:pPr>
        <w:pStyle w:val="Naslov4"/>
        <w:ind w:left="1134" w:hanging="1134"/>
        <w:rPr>
          <w:color w:val="auto"/>
        </w:rPr>
      </w:pPr>
      <w:r w:rsidRPr="00545EC0">
        <w:rPr>
          <w:color w:val="auto"/>
        </w:rPr>
        <w:t xml:space="preserve">Analiza stroškovne učinkovitosti dopolnilnih ukrepov za zmanjšanje hidromorfoloških obremenitev </w:t>
      </w:r>
    </w:p>
    <w:p w14:paraId="2FEC4F1A" w14:textId="30524CE6" w:rsidR="00F11C46" w:rsidRPr="00545EC0" w:rsidRDefault="00AA62E6" w:rsidP="00F11C46">
      <w:pPr>
        <w:rPr>
          <w:rFonts w:eastAsia="MS Mincho" w:cs="Arial"/>
          <w:szCs w:val="20"/>
        </w:rPr>
      </w:pPr>
      <w:r w:rsidRPr="00545EC0">
        <w:rPr>
          <w:rFonts w:eastAsia="MS Mincho" w:cs="Arial"/>
          <w:szCs w:val="20"/>
        </w:rPr>
        <w:t xml:space="preserve">Analiza stroškovne učinkovitosti dopolnilnih ukrepov za zmanjševanje hidromorfoloških obremenitev je bila narejena za potrebe Načrta upravljanja voda za obdobje 2016 – 2021. </w:t>
      </w:r>
      <w:r w:rsidR="00F11C46" w:rsidRPr="00545EC0">
        <w:rPr>
          <w:rFonts w:eastAsia="MS Mincho" w:cs="Arial"/>
          <w:szCs w:val="20"/>
        </w:rPr>
        <w:t>V postopku izbire dopolnilnih ukrepov sta bili prepoznani dve kombinaciji tehničnih ukrepov za zmanjšanje negativnega vpliva regulacij ali drugih ureditev na stanje voda. To sta:</w:t>
      </w:r>
    </w:p>
    <w:p w14:paraId="17A36D31" w14:textId="77777777" w:rsidR="00F11C46" w:rsidRPr="00545EC0" w:rsidRDefault="00F11C46" w:rsidP="00DD37C5">
      <w:pPr>
        <w:pStyle w:val="Odstavekseznama"/>
        <w:numPr>
          <w:ilvl w:val="0"/>
          <w:numId w:val="48"/>
        </w:numPr>
        <w:tabs>
          <w:tab w:val="center" w:pos="426"/>
        </w:tabs>
        <w:overflowPunct/>
        <w:autoSpaceDE/>
        <w:autoSpaceDN/>
        <w:adjustRightInd/>
        <w:spacing w:after="200" w:line="276" w:lineRule="auto"/>
        <w:ind w:left="426" w:hanging="426"/>
        <w:contextualSpacing/>
        <w:jc w:val="left"/>
        <w:textAlignment w:val="auto"/>
        <w:rPr>
          <w:rFonts w:cs="Arial"/>
          <w:szCs w:val="20"/>
          <w:lang w:val="sl-SI"/>
        </w:rPr>
      </w:pPr>
      <w:r w:rsidRPr="00545EC0">
        <w:rPr>
          <w:rFonts w:eastAsia="MS Mincho" w:cs="Arial"/>
          <w:szCs w:val="20"/>
          <w:lang w:val="sl-SI"/>
        </w:rPr>
        <w:t>obnova vodotoka, jezera ali obalnega morja in</w:t>
      </w:r>
    </w:p>
    <w:p w14:paraId="73A0B4FC" w14:textId="77777777" w:rsidR="00F11C46" w:rsidRPr="00545EC0" w:rsidRDefault="00F11C46" w:rsidP="00DD37C5">
      <w:pPr>
        <w:pStyle w:val="Odstavekseznama"/>
        <w:numPr>
          <w:ilvl w:val="0"/>
          <w:numId w:val="48"/>
        </w:numPr>
        <w:tabs>
          <w:tab w:val="center" w:pos="426"/>
        </w:tabs>
        <w:overflowPunct/>
        <w:autoSpaceDE/>
        <w:autoSpaceDN/>
        <w:adjustRightInd/>
        <w:spacing w:after="200" w:line="276" w:lineRule="auto"/>
        <w:ind w:left="426" w:hanging="426"/>
        <w:contextualSpacing/>
        <w:jc w:val="left"/>
        <w:textAlignment w:val="auto"/>
        <w:rPr>
          <w:rFonts w:cs="Arial"/>
          <w:szCs w:val="20"/>
          <w:lang w:val="sl-SI"/>
        </w:rPr>
      </w:pPr>
      <w:r w:rsidRPr="00545EC0">
        <w:rPr>
          <w:rFonts w:eastAsia="MS Mincho" w:cs="Arial"/>
          <w:szCs w:val="20"/>
          <w:lang w:val="sl-SI"/>
        </w:rPr>
        <w:t>sonaravna ureditev vodotoka, zadrževalnika, jezera ali obalnega morja.</w:t>
      </w:r>
    </w:p>
    <w:p w14:paraId="774C0C9F" w14:textId="77777777" w:rsidR="00F11C46" w:rsidRPr="00545EC0" w:rsidRDefault="00F11C46" w:rsidP="00F11C46">
      <w:pPr>
        <w:rPr>
          <w:rFonts w:eastAsia="MS Mincho" w:cs="Arial"/>
          <w:szCs w:val="20"/>
        </w:rPr>
      </w:pPr>
      <w:r w:rsidRPr="00545EC0">
        <w:rPr>
          <w:rFonts w:eastAsia="Calibri" w:cs="Arial"/>
          <w:szCs w:val="20"/>
        </w:rPr>
        <w:t xml:space="preserve">Na posameznem vodnem telesu je bila preverjena tehnična izvedljivost obeh kombinacij ukrepov. Obnova vodotoka je možna le </w:t>
      </w:r>
      <w:r w:rsidRPr="00545EC0">
        <w:rPr>
          <w:rFonts w:eastAsia="MS Mincho" w:cs="Arial"/>
          <w:szCs w:val="20"/>
        </w:rPr>
        <w:t>na vodnih telesih z razpoložljivim prostorom za izvedbo ukrepa (možnost odkupa zemljišč). Na vodnih telesih, kjer obnova ne bi bila možna, je bila predvidena sonaravna ureditev vodotoka.</w:t>
      </w:r>
    </w:p>
    <w:p w14:paraId="3B8D3150" w14:textId="77777777" w:rsidR="00F11C46" w:rsidRPr="00545EC0" w:rsidRDefault="00F11C46" w:rsidP="00F11C46">
      <w:pPr>
        <w:rPr>
          <w:rFonts w:eastAsia="MS Mincho" w:cs="Arial"/>
          <w:szCs w:val="20"/>
        </w:rPr>
      </w:pPr>
    </w:p>
    <w:p w14:paraId="32A9A627" w14:textId="77777777" w:rsidR="00F11C46" w:rsidRPr="00545EC0" w:rsidRDefault="00F11C46" w:rsidP="00F11C46">
      <w:pPr>
        <w:rPr>
          <w:rFonts w:eastAsia="Calibri" w:cs="Arial"/>
          <w:szCs w:val="20"/>
        </w:rPr>
      </w:pPr>
      <w:r w:rsidRPr="00545EC0">
        <w:rPr>
          <w:rFonts w:eastAsia="MS Mincho" w:cs="Arial"/>
          <w:szCs w:val="20"/>
        </w:rPr>
        <w:t>Na vodnih telesih, kjer je prostora dovolj in je možna izvedba sonaravne ureditve ali obnove, je bila izbrana stroškovno bolj učinkovita kombinacija ukrepov.</w:t>
      </w:r>
    </w:p>
    <w:p w14:paraId="3157E2B6" w14:textId="77777777" w:rsidR="00F11C46" w:rsidRPr="00545EC0" w:rsidRDefault="00F11C46" w:rsidP="00F11C46">
      <w:pPr>
        <w:rPr>
          <w:rFonts w:cs="Arial"/>
          <w:szCs w:val="20"/>
        </w:rPr>
      </w:pPr>
    </w:p>
    <w:p w14:paraId="13A130F8" w14:textId="77777777" w:rsidR="00F11C46" w:rsidRPr="00545EC0" w:rsidRDefault="00C462E0" w:rsidP="00F11C46">
      <w:pPr>
        <w:rPr>
          <w:rFonts w:cs="Arial"/>
          <w:szCs w:val="20"/>
        </w:rPr>
      </w:pPr>
      <w:r w:rsidRPr="00545EC0">
        <w:rPr>
          <w:rFonts w:cs="Arial"/>
          <w:szCs w:val="20"/>
        </w:rPr>
        <w:t xml:space="preserve">Privzeto </w:t>
      </w:r>
      <w:r w:rsidR="00F11C46" w:rsidRPr="00545EC0">
        <w:rPr>
          <w:rFonts w:cs="Arial"/>
          <w:szCs w:val="20"/>
        </w:rPr>
        <w:t>je bilo, da imata obe kombinaciji ukrepov podoben učinek na izboljšanje stanja voda. Stroški obeh kombinacij so prikazani v spodnji preglednici (</w:t>
      </w:r>
      <w:r w:rsidR="00F11C46" w:rsidRPr="00545EC0">
        <w:rPr>
          <w:rFonts w:cs="Arial"/>
          <w:szCs w:val="20"/>
        </w:rPr>
        <w:fldChar w:fldCharType="begin"/>
      </w:r>
      <w:r w:rsidR="00F11C46" w:rsidRPr="00545EC0">
        <w:rPr>
          <w:rFonts w:cs="Arial"/>
          <w:szCs w:val="20"/>
        </w:rPr>
        <w:instrText xml:space="preserve"> REF _Ref461620234 \h  \* MERGEFORMAT </w:instrText>
      </w:r>
      <w:r w:rsidR="00F11C46" w:rsidRPr="00545EC0">
        <w:rPr>
          <w:rFonts w:cs="Arial"/>
          <w:szCs w:val="20"/>
        </w:rPr>
      </w:r>
      <w:r w:rsidR="00F11C46" w:rsidRPr="00545EC0">
        <w:rPr>
          <w:rFonts w:cs="Arial"/>
          <w:szCs w:val="20"/>
        </w:rPr>
        <w:fldChar w:fldCharType="separate"/>
      </w:r>
      <w:r w:rsidR="002F3E43" w:rsidRPr="002F3E43">
        <w:rPr>
          <w:rFonts w:cs="Arial"/>
          <w:szCs w:val="20"/>
        </w:rPr>
        <w:t>Preglednica 6</w:t>
      </w:r>
      <w:r w:rsidR="002F3E43" w:rsidRPr="002F3E43">
        <w:rPr>
          <w:rFonts w:cs="Arial"/>
          <w:szCs w:val="20"/>
        </w:rPr>
        <w:noBreakHyphen/>
        <w:t>5</w:t>
      </w:r>
      <w:r w:rsidR="00F11C46" w:rsidRPr="00545EC0">
        <w:rPr>
          <w:rFonts w:cs="Arial"/>
          <w:szCs w:val="20"/>
        </w:rPr>
        <w:fldChar w:fldCharType="end"/>
      </w:r>
      <w:r w:rsidR="00F11C46" w:rsidRPr="00545EC0">
        <w:rPr>
          <w:rFonts w:cs="Arial"/>
          <w:szCs w:val="20"/>
        </w:rPr>
        <w:t xml:space="preserve">).  </w:t>
      </w:r>
    </w:p>
    <w:p w14:paraId="29E04D32" w14:textId="77777777" w:rsidR="00F11C46" w:rsidRPr="00545EC0" w:rsidRDefault="00F11C46" w:rsidP="00F11C46">
      <w:pPr>
        <w:rPr>
          <w:rFonts w:cs="Arial"/>
          <w:szCs w:val="20"/>
        </w:rPr>
      </w:pPr>
    </w:p>
    <w:p w14:paraId="1CFE4C5C" w14:textId="3D7EAC57" w:rsidR="00F11C46" w:rsidRPr="00545EC0" w:rsidRDefault="00F11C46" w:rsidP="003176A4">
      <w:pPr>
        <w:pStyle w:val="Napis"/>
        <w:rPr>
          <w:b/>
          <w:sz w:val="18"/>
        </w:rPr>
      </w:pPr>
      <w:bookmarkStart w:id="707" w:name="_Ref461620234"/>
      <w:r w:rsidRPr="00545EC0">
        <w:t xml:space="preserve">Preglednica </w:t>
      </w:r>
      <w:fldSimple w:instr=" STYLEREF 1 \s ">
        <w:r w:rsidR="002F3E43">
          <w:rPr>
            <w:noProof/>
          </w:rPr>
          <w:t>6</w:t>
        </w:r>
      </w:fldSimple>
      <w:r w:rsidR="001A7511" w:rsidRPr="00545EC0">
        <w:noBreakHyphen/>
      </w:r>
      <w:fldSimple w:instr=" SEQ Preglednica \* ARABIC \s 1 ">
        <w:r w:rsidR="002F3E43">
          <w:rPr>
            <w:noProof/>
          </w:rPr>
          <w:t>5</w:t>
        </w:r>
      </w:fldSimple>
      <w:bookmarkEnd w:id="707"/>
      <w:r w:rsidRPr="00545EC0">
        <w:t xml:space="preserve">: Ocena stroškov </w:t>
      </w:r>
      <w:r w:rsidR="007A3EFC" w:rsidRPr="00545EC0">
        <w:t>dopolnilnih ukrepov za zmanjšanje hidromorfoloških obremenitev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5"/>
        <w:gridCol w:w="3228"/>
        <w:gridCol w:w="2584"/>
      </w:tblGrid>
      <w:tr w:rsidR="003122F4" w:rsidRPr="00545EC0" w14:paraId="3C37AEA3" w14:textId="77777777" w:rsidTr="0073517B">
        <w:tc>
          <w:tcPr>
            <w:tcW w:w="1871" w:type="pct"/>
            <w:shd w:val="clear" w:color="auto" w:fill="F2F2F2" w:themeFill="background1" w:themeFillShade="F2"/>
          </w:tcPr>
          <w:p w14:paraId="62C42D0D" w14:textId="77777777" w:rsidR="00F11C46" w:rsidRPr="00545EC0" w:rsidRDefault="00F11C46" w:rsidP="0011295C">
            <w:pPr>
              <w:rPr>
                <w:rFonts w:cs="Arial"/>
                <w:b/>
                <w:szCs w:val="20"/>
              </w:rPr>
            </w:pPr>
            <w:r w:rsidRPr="00545EC0">
              <w:rPr>
                <w:rFonts w:cs="Arial"/>
                <w:b/>
                <w:szCs w:val="20"/>
              </w:rPr>
              <w:t>Kombinacija ukrepov</w:t>
            </w:r>
          </w:p>
        </w:tc>
        <w:tc>
          <w:tcPr>
            <w:tcW w:w="1738" w:type="pct"/>
            <w:shd w:val="clear" w:color="auto" w:fill="F2F2F2" w:themeFill="background1" w:themeFillShade="F2"/>
          </w:tcPr>
          <w:p w14:paraId="1B013E71" w14:textId="77777777" w:rsidR="00F11C46" w:rsidRPr="00545EC0" w:rsidRDefault="00F11C46" w:rsidP="005709D6">
            <w:pPr>
              <w:jc w:val="left"/>
              <w:rPr>
                <w:rFonts w:cs="Arial"/>
                <w:b/>
                <w:szCs w:val="20"/>
              </w:rPr>
            </w:pPr>
            <w:r w:rsidRPr="00545EC0">
              <w:rPr>
                <w:rFonts w:cs="Arial"/>
                <w:b/>
                <w:szCs w:val="20"/>
              </w:rPr>
              <w:t>Ocenjeni stroški izvedbe ureditve vključno s pripravo projektne dokumentacije (EUR/m)</w:t>
            </w:r>
          </w:p>
        </w:tc>
        <w:tc>
          <w:tcPr>
            <w:tcW w:w="1391" w:type="pct"/>
            <w:shd w:val="clear" w:color="auto" w:fill="F2F2F2" w:themeFill="background1" w:themeFillShade="F2"/>
          </w:tcPr>
          <w:p w14:paraId="19C52C0D" w14:textId="77777777" w:rsidR="00F11C46" w:rsidRPr="00545EC0" w:rsidRDefault="00F11C46" w:rsidP="0011295C">
            <w:pPr>
              <w:rPr>
                <w:rFonts w:cs="Arial"/>
                <w:b/>
                <w:szCs w:val="20"/>
              </w:rPr>
            </w:pPr>
            <w:r w:rsidRPr="00545EC0">
              <w:rPr>
                <w:rFonts w:cs="Arial"/>
                <w:b/>
                <w:szCs w:val="20"/>
              </w:rPr>
              <w:t>Stroški vzdrževanja</w:t>
            </w:r>
          </w:p>
        </w:tc>
      </w:tr>
      <w:tr w:rsidR="003122F4" w:rsidRPr="00545EC0" w14:paraId="202DE697" w14:textId="77777777" w:rsidTr="0073517B">
        <w:tc>
          <w:tcPr>
            <w:tcW w:w="1871" w:type="pct"/>
            <w:shd w:val="clear" w:color="auto" w:fill="auto"/>
          </w:tcPr>
          <w:p w14:paraId="3F337ABB" w14:textId="77777777" w:rsidR="00F11C46" w:rsidRPr="00545EC0" w:rsidRDefault="00F11C46" w:rsidP="0011295C">
            <w:pPr>
              <w:rPr>
                <w:rFonts w:eastAsia="Calibri" w:cs="Arial"/>
                <w:szCs w:val="20"/>
              </w:rPr>
            </w:pPr>
            <w:r w:rsidRPr="00545EC0">
              <w:rPr>
                <w:rFonts w:eastAsia="MS Mincho" w:cs="Arial"/>
                <w:szCs w:val="20"/>
              </w:rPr>
              <w:t xml:space="preserve">Obnova </w:t>
            </w:r>
          </w:p>
        </w:tc>
        <w:tc>
          <w:tcPr>
            <w:tcW w:w="1738" w:type="pct"/>
            <w:shd w:val="clear" w:color="auto" w:fill="auto"/>
          </w:tcPr>
          <w:p w14:paraId="34F837C5" w14:textId="1495B1B6" w:rsidR="00F11C46" w:rsidRPr="00545EC0" w:rsidRDefault="00F11C46" w:rsidP="0011295C">
            <w:pPr>
              <w:rPr>
                <w:rFonts w:cs="Arial"/>
                <w:szCs w:val="20"/>
              </w:rPr>
            </w:pPr>
            <w:r w:rsidRPr="00545EC0">
              <w:rPr>
                <w:rFonts w:cs="Arial"/>
                <w:szCs w:val="20"/>
              </w:rPr>
              <w:t>575</w:t>
            </w:r>
            <w:r w:rsidR="007A3EFC" w:rsidRPr="00545EC0">
              <w:rPr>
                <w:rFonts w:cs="Arial"/>
                <w:szCs w:val="20"/>
              </w:rPr>
              <w:t>*</w:t>
            </w:r>
          </w:p>
        </w:tc>
        <w:tc>
          <w:tcPr>
            <w:tcW w:w="1391" w:type="pct"/>
            <w:vMerge w:val="restart"/>
            <w:shd w:val="clear" w:color="auto" w:fill="auto"/>
          </w:tcPr>
          <w:p w14:paraId="31804042" w14:textId="77777777" w:rsidR="00F11C46" w:rsidRPr="00545EC0" w:rsidRDefault="00F11C46" w:rsidP="0011295C">
            <w:pPr>
              <w:rPr>
                <w:rFonts w:cs="Arial"/>
                <w:szCs w:val="20"/>
              </w:rPr>
            </w:pPr>
            <w:r w:rsidRPr="00545EC0">
              <w:rPr>
                <w:rFonts w:cs="Arial"/>
                <w:szCs w:val="20"/>
              </w:rPr>
              <w:t>2% od stroškov ureditve</w:t>
            </w:r>
          </w:p>
        </w:tc>
      </w:tr>
      <w:tr w:rsidR="003122F4" w:rsidRPr="00545EC0" w14:paraId="1ADAD117" w14:textId="77777777" w:rsidTr="0073517B">
        <w:tc>
          <w:tcPr>
            <w:tcW w:w="1871" w:type="pct"/>
            <w:shd w:val="clear" w:color="auto" w:fill="auto"/>
          </w:tcPr>
          <w:p w14:paraId="1BF3F4B1" w14:textId="77777777" w:rsidR="00F11C46" w:rsidRPr="00545EC0" w:rsidRDefault="00F11C46" w:rsidP="0011295C">
            <w:pPr>
              <w:rPr>
                <w:rFonts w:cs="Arial"/>
                <w:szCs w:val="20"/>
              </w:rPr>
            </w:pPr>
            <w:r w:rsidRPr="00545EC0">
              <w:rPr>
                <w:rFonts w:eastAsia="MS Mincho" w:cs="Arial"/>
                <w:szCs w:val="20"/>
              </w:rPr>
              <w:t>Sonaravna ureditev</w:t>
            </w:r>
          </w:p>
        </w:tc>
        <w:tc>
          <w:tcPr>
            <w:tcW w:w="1738" w:type="pct"/>
            <w:shd w:val="clear" w:color="auto" w:fill="auto"/>
          </w:tcPr>
          <w:p w14:paraId="78FEE8DD" w14:textId="4DCF5D39" w:rsidR="00F11C46" w:rsidRPr="00545EC0" w:rsidRDefault="00F11C46" w:rsidP="0011295C">
            <w:pPr>
              <w:rPr>
                <w:rFonts w:cs="Arial"/>
                <w:szCs w:val="20"/>
              </w:rPr>
            </w:pPr>
            <w:r w:rsidRPr="00545EC0">
              <w:rPr>
                <w:rFonts w:cs="Arial"/>
                <w:szCs w:val="20"/>
              </w:rPr>
              <w:t>856</w:t>
            </w:r>
            <w:r w:rsidR="007A3EFC" w:rsidRPr="00545EC0">
              <w:rPr>
                <w:rFonts w:cs="Arial"/>
                <w:szCs w:val="20"/>
              </w:rPr>
              <w:t>*</w:t>
            </w:r>
          </w:p>
        </w:tc>
        <w:tc>
          <w:tcPr>
            <w:tcW w:w="1391" w:type="pct"/>
            <w:vMerge/>
            <w:shd w:val="clear" w:color="auto" w:fill="auto"/>
          </w:tcPr>
          <w:p w14:paraId="663859D3" w14:textId="77777777" w:rsidR="00F11C46" w:rsidRPr="00545EC0" w:rsidRDefault="00F11C46" w:rsidP="0011295C">
            <w:pPr>
              <w:rPr>
                <w:rFonts w:cs="Arial"/>
                <w:szCs w:val="20"/>
              </w:rPr>
            </w:pPr>
          </w:p>
        </w:tc>
      </w:tr>
    </w:tbl>
    <w:p w14:paraId="5794263D" w14:textId="059AE323" w:rsidR="00F11C46" w:rsidRPr="00545EC0" w:rsidRDefault="007A3EFC" w:rsidP="00F11C46">
      <w:pPr>
        <w:rPr>
          <w:rFonts w:cs="Arial"/>
          <w:i/>
          <w:szCs w:val="20"/>
        </w:rPr>
      </w:pPr>
      <w:r w:rsidRPr="00545EC0">
        <w:rPr>
          <w:rFonts w:cs="Arial"/>
          <w:i/>
          <w:szCs w:val="20"/>
        </w:rPr>
        <w:t>* Ocena stroškov iz predhodnega načrta upravljanja voda</w:t>
      </w:r>
    </w:p>
    <w:p w14:paraId="27381FD6" w14:textId="77777777" w:rsidR="007A3EFC" w:rsidRPr="00545EC0" w:rsidRDefault="007A3EFC" w:rsidP="00F11C46">
      <w:pPr>
        <w:rPr>
          <w:rFonts w:cs="Arial"/>
          <w:szCs w:val="20"/>
        </w:rPr>
      </w:pPr>
    </w:p>
    <w:p w14:paraId="698BC58E" w14:textId="77777777" w:rsidR="00F11C46" w:rsidRPr="00545EC0" w:rsidRDefault="00F11C46" w:rsidP="00F11C46">
      <w:pPr>
        <w:rPr>
          <w:rFonts w:cs="Arial"/>
          <w:szCs w:val="20"/>
        </w:rPr>
      </w:pPr>
      <w:r w:rsidRPr="00545EC0">
        <w:rPr>
          <w:rFonts w:eastAsia="PMingLiU" w:cs="Arial"/>
          <w:szCs w:val="20"/>
        </w:rPr>
        <w:t>Stroškovno najbolj učinkovit ukrep je bil izbran s primerjavo stroškov obeh enako učinkovitih različic ukrepov za doseganje istega cilja. Izbrana je bila cenejša različica: obnova.</w:t>
      </w:r>
    </w:p>
    <w:p w14:paraId="3226B8CC" w14:textId="77777777" w:rsidR="00F11C46" w:rsidRPr="00545EC0" w:rsidRDefault="00F11C46" w:rsidP="00F11C46">
      <w:pPr>
        <w:rPr>
          <w:rFonts w:cs="Arial"/>
          <w:szCs w:val="20"/>
        </w:rPr>
      </w:pPr>
    </w:p>
    <w:p w14:paraId="128C2648" w14:textId="77777777" w:rsidR="00F11C46" w:rsidRPr="00545EC0" w:rsidRDefault="00F11C46" w:rsidP="00F11C46">
      <w:pPr>
        <w:rPr>
          <w:rFonts w:cs="Arial"/>
          <w:szCs w:val="20"/>
        </w:rPr>
      </w:pPr>
      <w:r w:rsidRPr="00545EC0">
        <w:rPr>
          <w:rFonts w:cs="Arial"/>
          <w:szCs w:val="20"/>
        </w:rPr>
        <w:t xml:space="preserve">Na podlagi opisanih presoj tehnične izvedljivosti in stroškovne učinkovitosti je bil oblikovan dopolnilni ukrep </w:t>
      </w:r>
      <w:bookmarkStart w:id="708" w:name="_Ref442516605"/>
      <w:r w:rsidR="00A948B8" w:rsidRPr="00545EC0">
        <w:rPr>
          <w:rFonts w:cs="Arial"/>
          <w:szCs w:val="20"/>
        </w:rPr>
        <w:t>»</w:t>
      </w:r>
      <w:r w:rsidRPr="00545EC0">
        <w:rPr>
          <w:rFonts w:cs="Arial"/>
          <w:szCs w:val="20"/>
        </w:rPr>
        <w:t>Izvedba ukrepov za zmanjšanje negativnega vpliva regulacij in drugih ureditev vodotokov, zadrževalnikov, jezer in obalnega morja na stanje voda</w:t>
      </w:r>
      <w:bookmarkEnd w:id="708"/>
      <w:r w:rsidRPr="00545EC0">
        <w:rPr>
          <w:rFonts w:cs="Arial"/>
          <w:szCs w:val="20"/>
        </w:rPr>
        <w:t xml:space="preserve"> </w:t>
      </w:r>
      <w:r w:rsidR="00A948B8" w:rsidRPr="00545EC0">
        <w:rPr>
          <w:rFonts w:cs="Arial"/>
          <w:szCs w:val="20"/>
        </w:rPr>
        <w:t>(DUDDS5.2)«.</w:t>
      </w:r>
    </w:p>
    <w:p w14:paraId="25A5462A" w14:textId="77777777" w:rsidR="00F11C46" w:rsidRPr="00545EC0" w:rsidRDefault="00F11C46" w:rsidP="00F11C46">
      <w:pPr>
        <w:rPr>
          <w:rFonts w:cs="Arial"/>
          <w:szCs w:val="20"/>
        </w:rPr>
      </w:pPr>
    </w:p>
    <w:p w14:paraId="508180F7" w14:textId="77777777" w:rsidR="00F11C46" w:rsidRPr="00545EC0" w:rsidRDefault="00F11C46" w:rsidP="00F11C46">
      <w:pPr>
        <w:rPr>
          <w:rFonts w:cs="Arial"/>
          <w:szCs w:val="20"/>
        </w:rPr>
      </w:pPr>
      <w:r w:rsidRPr="00545EC0">
        <w:rPr>
          <w:rFonts w:cs="Arial"/>
          <w:szCs w:val="20"/>
        </w:rPr>
        <w:lastRenderedPageBreak/>
        <w:t xml:space="preserve">Stroškovna učinkovitost bo podrobneje presojana ob pripravi investicijske dokumentacije za izvedbo ukrepa DUDDS5.2 skladno </w:t>
      </w:r>
      <w:r w:rsidR="00A948B8" w:rsidRPr="00545EC0">
        <w:rPr>
          <w:rFonts w:cs="Arial"/>
          <w:szCs w:val="20"/>
        </w:rPr>
        <w:t xml:space="preserve">s predpisom, ki ureja </w:t>
      </w:r>
      <w:r w:rsidRPr="00545EC0">
        <w:rPr>
          <w:rFonts w:cs="Arial"/>
          <w:szCs w:val="20"/>
        </w:rPr>
        <w:t>enotn</w:t>
      </w:r>
      <w:r w:rsidR="00A948B8" w:rsidRPr="00545EC0">
        <w:rPr>
          <w:rFonts w:cs="Arial"/>
          <w:szCs w:val="20"/>
        </w:rPr>
        <w:t>o</w:t>
      </w:r>
      <w:r w:rsidRPr="00545EC0">
        <w:rPr>
          <w:rFonts w:cs="Arial"/>
          <w:szCs w:val="20"/>
        </w:rPr>
        <w:t xml:space="preserve"> metodologi</w:t>
      </w:r>
      <w:r w:rsidR="002733A2" w:rsidRPr="00545EC0">
        <w:rPr>
          <w:rFonts w:cs="Arial"/>
          <w:szCs w:val="20"/>
        </w:rPr>
        <w:t>jo</w:t>
      </w:r>
      <w:r w:rsidRPr="00545EC0">
        <w:rPr>
          <w:rFonts w:cs="Arial"/>
          <w:szCs w:val="20"/>
        </w:rPr>
        <w:t xml:space="preserve"> za pripravo in obravnavo investicijske dokumentacije na področju javnih financ.</w:t>
      </w:r>
    </w:p>
    <w:p w14:paraId="133D570E" w14:textId="77777777" w:rsidR="00E84F57" w:rsidRPr="00545EC0" w:rsidRDefault="00E84F57" w:rsidP="00D0494C">
      <w:pPr>
        <w:rPr>
          <w:rFonts w:cs="Arial"/>
          <w:szCs w:val="20"/>
          <w:lang w:eastAsia="zh-CN"/>
        </w:rPr>
      </w:pPr>
      <w:r w:rsidRPr="00545EC0">
        <w:rPr>
          <w:rFonts w:cs="Arial"/>
          <w:szCs w:val="20"/>
          <w:lang w:eastAsia="zh-CN"/>
        </w:rPr>
        <w:br w:type="page"/>
      </w:r>
    </w:p>
    <w:p w14:paraId="334166F7" w14:textId="77777777" w:rsidR="009B678F" w:rsidRPr="00545EC0" w:rsidRDefault="00E7394C" w:rsidP="003C7C5E">
      <w:pPr>
        <w:pStyle w:val="Naslov10"/>
      </w:pPr>
      <w:bookmarkStart w:id="709" w:name="_Toc430606205"/>
      <w:bookmarkStart w:id="710" w:name="_Toc90261085"/>
      <w:bookmarkEnd w:id="680"/>
      <w:r w:rsidRPr="00545EC0">
        <w:lastRenderedPageBreak/>
        <w:t>FINANČNA SREDSTVA</w:t>
      </w:r>
      <w:bookmarkEnd w:id="709"/>
      <w:bookmarkEnd w:id="710"/>
      <w:r w:rsidRPr="00545EC0">
        <w:t xml:space="preserve"> </w:t>
      </w:r>
    </w:p>
    <w:p w14:paraId="332226E3" w14:textId="78FA04CD" w:rsidR="007149B1" w:rsidRPr="00545EC0" w:rsidRDefault="00FF72D1" w:rsidP="00703D22">
      <w:pPr>
        <w:rPr>
          <w:rFonts w:cs="Arial"/>
        </w:rPr>
      </w:pPr>
      <w:r w:rsidRPr="00545EC0">
        <w:rPr>
          <w:rFonts w:cs="Arial"/>
        </w:rPr>
        <w:t>Za dosego cilj</w:t>
      </w:r>
      <w:r w:rsidR="001E3FEF" w:rsidRPr="00545EC0">
        <w:rPr>
          <w:rFonts w:cs="Arial"/>
        </w:rPr>
        <w:t>ev</w:t>
      </w:r>
      <w:r w:rsidRPr="00545EC0">
        <w:rPr>
          <w:rFonts w:cs="Arial"/>
        </w:rPr>
        <w:t xml:space="preserve"> varstva, urejanja in rabe voda je </w:t>
      </w:r>
      <w:r w:rsidR="007149B1" w:rsidRPr="00545EC0">
        <w:rPr>
          <w:rFonts w:cs="Arial"/>
        </w:rPr>
        <w:t>v letu 2016 Vlada R</w:t>
      </w:r>
      <w:r w:rsidR="00926EA0" w:rsidRPr="00545EC0">
        <w:rPr>
          <w:rFonts w:cs="Arial"/>
        </w:rPr>
        <w:t xml:space="preserve">epublike </w:t>
      </w:r>
      <w:r w:rsidR="007149B1" w:rsidRPr="00545EC0">
        <w:rPr>
          <w:rFonts w:cs="Arial"/>
        </w:rPr>
        <w:t>S</w:t>
      </w:r>
      <w:r w:rsidR="00926EA0" w:rsidRPr="00545EC0">
        <w:rPr>
          <w:rFonts w:cs="Arial"/>
        </w:rPr>
        <w:t>lovenije</w:t>
      </w:r>
      <w:r w:rsidR="007149B1" w:rsidRPr="00545EC0">
        <w:rPr>
          <w:rFonts w:cs="Arial"/>
        </w:rPr>
        <w:t xml:space="preserve"> sprejela Program ukrepov </w:t>
      </w:r>
      <w:r w:rsidR="00C12042" w:rsidRPr="00545EC0">
        <w:rPr>
          <w:rFonts w:cs="Arial"/>
        </w:rPr>
        <w:t>upravljanja</w:t>
      </w:r>
      <w:r w:rsidR="00103910" w:rsidRPr="00545EC0">
        <w:rPr>
          <w:rFonts w:cs="Arial"/>
        </w:rPr>
        <w:t xml:space="preserve"> voda (sklep)</w:t>
      </w:r>
      <w:r w:rsidR="001A747A" w:rsidRPr="00545EC0">
        <w:rPr>
          <w:rFonts w:cs="Arial"/>
        </w:rPr>
        <w:t xml:space="preserve"> (v </w:t>
      </w:r>
      <w:r w:rsidR="00C12042" w:rsidRPr="00545EC0">
        <w:rPr>
          <w:rFonts w:cs="Arial"/>
        </w:rPr>
        <w:t>nadaljnem</w:t>
      </w:r>
      <w:r w:rsidR="001A747A" w:rsidRPr="00545EC0">
        <w:rPr>
          <w:rFonts w:cs="Arial"/>
        </w:rPr>
        <w:t xml:space="preserve"> besedilu: Program ukrepov upravljanja voda (2016))</w:t>
      </w:r>
      <w:r w:rsidRPr="00545EC0">
        <w:rPr>
          <w:rFonts w:cs="Arial"/>
        </w:rPr>
        <w:t xml:space="preserve">. </w:t>
      </w:r>
      <w:r w:rsidR="007149B1" w:rsidRPr="00545EC0">
        <w:rPr>
          <w:rFonts w:cs="Arial"/>
        </w:rPr>
        <w:t>V</w:t>
      </w:r>
      <w:r w:rsidRPr="00545EC0">
        <w:rPr>
          <w:rFonts w:cs="Arial"/>
        </w:rPr>
        <w:t xml:space="preserve"> </w:t>
      </w:r>
      <w:r w:rsidR="007149B1" w:rsidRPr="00545EC0">
        <w:rPr>
          <w:rFonts w:cs="Arial"/>
        </w:rPr>
        <w:t>okviru</w:t>
      </w:r>
      <w:r w:rsidRPr="00545EC0">
        <w:rPr>
          <w:rFonts w:cs="Arial"/>
        </w:rPr>
        <w:t xml:space="preserve"> predloga </w:t>
      </w:r>
      <w:r w:rsidR="00C12042" w:rsidRPr="00545EC0">
        <w:rPr>
          <w:rFonts w:cs="Arial"/>
        </w:rPr>
        <w:t>sprememb</w:t>
      </w:r>
      <w:r w:rsidR="007149B1" w:rsidRPr="00545EC0">
        <w:rPr>
          <w:rFonts w:cs="Arial"/>
        </w:rPr>
        <w:t xml:space="preserve"> in dopolnitev Programa ukrepov upravljanja voda so upoštevane razpoložljive informacije o finančnih sredstvih izhajajoč iz strateških dokumentov s področja upravljanja voda, ki jih je Vlada R</w:t>
      </w:r>
      <w:r w:rsidR="00926EA0" w:rsidRPr="00545EC0">
        <w:rPr>
          <w:rFonts w:cs="Arial"/>
        </w:rPr>
        <w:t xml:space="preserve">epublike </w:t>
      </w:r>
      <w:r w:rsidR="007149B1" w:rsidRPr="00545EC0">
        <w:rPr>
          <w:rFonts w:cs="Arial"/>
        </w:rPr>
        <w:t>S</w:t>
      </w:r>
      <w:r w:rsidR="00926EA0" w:rsidRPr="00545EC0">
        <w:rPr>
          <w:rFonts w:cs="Arial"/>
        </w:rPr>
        <w:t>lovenije</w:t>
      </w:r>
      <w:r w:rsidR="007149B1" w:rsidRPr="00545EC0">
        <w:rPr>
          <w:rFonts w:cs="Arial"/>
        </w:rPr>
        <w:t xml:space="preserve"> sprejela v obdobju po letu 2016 in informacije o finančnih sredstvih izhajajoč iz strateških dokumentov s področja upravljanja voda, ki so v postopku sprejemanja na državni ravni.</w:t>
      </w:r>
      <w:r w:rsidR="00703D22" w:rsidRPr="00545EC0">
        <w:rPr>
          <w:rFonts w:cs="Arial"/>
        </w:rPr>
        <w:t xml:space="preserve">  </w:t>
      </w:r>
    </w:p>
    <w:p w14:paraId="25FF5D5D" w14:textId="77777777" w:rsidR="007149B1" w:rsidRPr="00545EC0" w:rsidRDefault="007149B1" w:rsidP="00FF72D1">
      <w:pPr>
        <w:rPr>
          <w:rFonts w:cs="Arial"/>
        </w:rPr>
      </w:pPr>
    </w:p>
    <w:p w14:paraId="6F17D204" w14:textId="3AA8C730" w:rsidR="00FF72D1" w:rsidRPr="00545EC0" w:rsidRDefault="00703D22" w:rsidP="00FF72D1">
      <w:pPr>
        <w:rPr>
          <w:rFonts w:cs="Arial"/>
        </w:rPr>
      </w:pPr>
      <w:r w:rsidRPr="00545EC0">
        <w:rPr>
          <w:rFonts w:cs="Arial"/>
        </w:rPr>
        <w:t>V P</w:t>
      </w:r>
      <w:r w:rsidR="00FF72D1" w:rsidRPr="00545EC0">
        <w:rPr>
          <w:rFonts w:cs="Arial"/>
        </w:rPr>
        <w:t>rogram</w:t>
      </w:r>
      <w:r w:rsidRPr="00545EC0">
        <w:rPr>
          <w:rFonts w:cs="Arial"/>
        </w:rPr>
        <w:t>u</w:t>
      </w:r>
      <w:r w:rsidR="00FF72D1" w:rsidRPr="00545EC0">
        <w:rPr>
          <w:rFonts w:cs="Arial"/>
        </w:rPr>
        <w:t xml:space="preserve"> ukrepov</w:t>
      </w:r>
      <w:r w:rsidRPr="00545EC0">
        <w:rPr>
          <w:rFonts w:cs="Arial"/>
        </w:rPr>
        <w:t xml:space="preserve"> upravljanja voda</w:t>
      </w:r>
      <w:r w:rsidR="00FF72D1" w:rsidRPr="00545EC0">
        <w:rPr>
          <w:rFonts w:cs="Arial"/>
        </w:rPr>
        <w:t xml:space="preserve">, </w:t>
      </w:r>
      <w:r w:rsidR="001E3FEF" w:rsidRPr="00545EC0">
        <w:rPr>
          <w:rFonts w:cs="Arial"/>
        </w:rPr>
        <w:t xml:space="preserve">se </w:t>
      </w:r>
      <w:r w:rsidR="00FF72D1" w:rsidRPr="00545EC0">
        <w:rPr>
          <w:rFonts w:cs="Arial"/>
        </w:rPr>
        <w:t xml:space="preserve">upošteva tako temeljne </w:t>
      </w:r>
      <w:r w:rsidRPr="00545EC0">
        <w:rPr>
          <w:rFonts w:cs="Arial"/>
        </w:rPr>
        <w:t>ukrepe, ki se izvajajo na podlagi veljavne zakonodaje</w:t>
      </w:r>
      <w:r w:rsidR="001A747A" w:rsidRPr="00545EC0">
        <w:rPr>
          <w:rFonts w:cs="Arial"/>
        </w:rPr>
        <w:t xml:space="preserve"> (temeljni ukrepi »a«), ukrepe, ki </w:t>
      </w:r>
      <w:r w:rsidR="001A747A" w:rsidRPr="00545EC0">
        <w:rPr>
          <w:rFonts w:cs="Arial"/>
          <w:szCs w:val="22"/>
        </w:rPr>
        <w:t>se še ne izvajajo v celoti glede na zahteve veljavne zakonodaje (</w:t>
      </w:r>
      <w:r w:rsidR="00C12042" w:rsidRPr="00545EC0">
        <w:rPr>
          <w:rFonts w:cs="Arial"/>
          <w:szCs w:val="22"/>
        </w:rPr>
        <w:t>temeljni</w:t>
      </w:r>
      <w:r w:rsidR="001A747A" w:rsidRPr="00545EC0">
        <w:rPr>
          <w:rFonts w:cs="Arial"/>
          <w:szCs w:val="22"/>
        </w:rPr>
        <w:t xml:space="preserve"> ukrepi »b«)</w:t>
      </w:r>
      <w:r w:rsidR="001A747A" w:rsidRPr="00545EC0">
        <w:rPr>
          <w:rFonts w:cs="Arial"/>
        </w:rPr>
        <w:t xml:space="preserve"> in dopolnjujejo oziroma nadgrajujejo aktivnosti izhajajoče iz </w:t>
      </w:r>
      <w:r w:rsidR="00C12042" w:rsidRPr="00545EC0">
        <w:rPr>
          <w:rFonts w:cs="Arial"/>
        </w:rPr>
        <w:t>temeljnih</w:t>
      </w:r>
      <w:r w:rsidR="001A747A" w:rsidRPr="00545EC0">
        <w:rPr>
          <w:rFonts w:cs="Arial"/>
        </w:rPr>
        <w:t xml:space="preserve"> ukrepov »a«</w:t>
      </w:r>
      <w:r w:rsidRPr="00545EC0">
        <w:rPr>
          <w:rFonts w:cs="Arial"/>
        </w:rPr>
        <w:t xml:space="preserve">, </w:t>
      </w:r>
      <w:r w:rsidR="00FF72D1" w:rsidRPr="00545EC0">
        <w:rPr>
          <w:rFonts w:cs="Arial"/>
        </w:rPr>
        <w:t>kot tudi dopolnilne ukrepe</w:t>
      </w:r>
      <w:r w:rsidRPr="00545EC0">
        <w:rPr>
          <w:rFonts w:cs="Arial"/>
        </w:rPr>
        <w:t xml:space="preserve"> za doseganje dobrega stanja voda</w:t>
      </w:r>
      <w:r w:rsidR="00FF72D1" w:rsidRPr="00545EC0">
        <w:rPr>
          <w:rFonts w:cs="Arial"/>
        </w:rPr>
        <w:t xml:space="preserve"> ter njihove vire financiranja</w:t>
      </w:r>
      <w:r w:rsidRPr="00545EC0">
        <w:rPr>
          <w:rFonts w:cs="Arial"/>
        </w:rPr>
        <w:t>.</w:t>
      </w:r>
      <w:r w:rsidR="001A747A" w:rsidRPr="00545EC0">
        <w:rPr>
          <w:rFonts w:cs="Arial"/>
        </w:rPr>
        <w:t xml:space="preserve"> V predlogu sprememb in dopolnitev Programa ukrepov upravljanja voda (2016) so ukrepi posodobljeni ob upoštevanju </w:t>
      </w:r>
      <w:r w:rsidR="00C12042" w:rsidRPr="00545EC0">
        <w:rPr>
          <w:rFonts w:cs="Arial"/>
        </w:rPr>
        <w:t>informacij</w:t>
      </w:r>
      <w:r w:rsidR="001A747A" w:rsidRPr="00545EC0">
        <w:rPr>
          <w:rFonts w:cs="Arial"/>
        </w:rPr>
        <w:t xml:space="preserve"> izhajajočih iz Poročila o izvajanju programa ukrepov upravljanja voda v obdobju 2016 -</w:t>
      </w:r>
      <w:r w:rsidR="00103910" w:rsidRPr="00545EC0">
        <w:rPr>
          <w:rFonts w:cs="Arial"/>
        </w:rPr>
        <w:t xml:space="preserve"> </w:t>
      </w:r>
      <w:r w:rsidR="001A747A" w:rsidRPr="00545EC0">
        <w:rPr>
          <w:rFonts w:cs="Arial"/>
        </w:rPr>
        <w:t xml:space="preserve">2018 in ob upoštevanju podatkov o izvajanju ukrepov v obdobju po letu 2018, prejetih s strani nosilcev in izvajalcev ukrepov. </w:t>
      </w:r>
    </w:p>
    <w:p w14:paraId="345D8D92" w14:textId="77777777" w:rsidR="001A747A" w:rsidRPr="00545EC0" w:rsidRDefault="001A747A" w:rsidP="00FF72D1">
      <w:pPr>
        <w:rPr>
          <w:rFonts w:cs="Arial"/>
        </w:rPr>
      </w:pPr>
    </w:p>
    <w:p w14:paraId="040CF561" w14:textId="7838EB53" w:rsidR="001A747A" w:rsidRPr="00545EC0" w:rsidRDefault="001A747A" w:rsidP="00FF72D1">
      <w:pPr>
        <w:rPr>
          <w:rFonts w:cs="Arial"/>
        </w:rPr>
      </w:pPr>
      <w:r w:rsidRPr="00545EC0">
        <w:rPr>
          <w:rFonts w:cs="Arial"/>
        </w:rPr>
        <w:t xml:space="preserve">Ukrepi za katere je bilo v Programa ukrepov upravljanja voda (2016) določeno izvajanje v </w:t>
      </w:r>
      <w:r w:rsidR="00C12042" w:rsidRPr="00545EC0">
        <w:rPr>
          <w:rFonts w:cs="Arial"/>
        </w:rPr>
        <w:t>obdobju</w:t>
      </w:r>
      <w:r w:rsidRPr="00545EC0">
        <w:rPr>
          <w:rFonts w:cs="Arial"/>
        </w:rPr>
        <w:t xml:space="preserve"> 2016</w:t>
      </w:r>
      <w:r w:rsidR="00103910" w:rsidRPr="00545EC0">
        <w:rPr>
          <w:rFonts w:cs="Arial"/>
        </w:rPr>
        <w:t xml:space="preserve"> </w:t>
      </w:r>
      <w:r w:rsidRPr="00545EC0">
        <w:rPr>
          <w:rFonts w:cs="Arial"/>
        </w:rPr>
        <w:t>-</w:t>
      </w:r>
      <w:r w:rsidR="00103910" w:rsidRPr="00545EC0">
        <w:rPr>
          <w:rFonts w:cs="Arial"/>
        </w:rPr>
        <w:t xml:space="preserve"> </w:t>
      </w:r>
      <w:r w:rsidRPr="00545EC0">
        <w:rPr>
          <w:rFonts w:cs="Arial"/>
        </w:rPr>
        <w:t>2021 in za katere je bilo v procesu priprave sprememb in dopolnitev dokumenta ugotovljeno, da</w:t>
      </w:r>
      <w:r w:rsidR="00B12F33" w:rsidRPr="00545EC0">
        <w:rPr>
          <w:rFonts w:cs="Arial"/>
        </w:rPr>
        <w:t xml:space="preserve"> ukrepi, še niso v celoti izv</w:t>
      </w:r>
      <w:r w:rsidRPr="00545EC0">
        <w:rPr>
          <w:rFonts w:cs="Arial"/>
        </w:rPr>
        <w:t xml:space="preserve">edeni je podan predlog za </w:t>
      </w:r>
      <w:r w:rsidR="00C12042" w:rsidRPr="00545EC0">
        <w:rPr>
          <w:rFonts w:cs="Arial"/>
        </w:rPr>
        <w:t>nadaljnje</w:t>
      </w:r>
      <w:r w:rsidRPr="00545EC0">
        <w:rPr>
          <w:rFonts w:cs="Arial"/>
        </w:rPr>
        <w:t xml:space="preserve"> izvajanje ukrepa v obdobju 2021-2027. Za navedene ukrepe je ob </w:t>
      </w:r>
      <w:r w:rsidR="00C12042" w:rsidRPr="00545EC0">
        <w:rPr>
          <w:rFonts w:cs="Arial"/>
        </w:rPr>
        <w:t>upoštevanju</w:t>
      </w:r>
      <w:r w:rsidRPr="00545EC0">
        <w:rPr>
          <w:rFonts w:cs="Arial"/>
        </w:rPr>
        <w:t xml:space="preserve"> razpoložljivih podatkov podana ocena stroškov izvajanja ukrepov v obdobju 2021-2027.</w:t>
      </w:r>
    </w:p>
    <w:p w14:paraId="7FE0DDCF" w14:textId="6A300658" w:rsidR="00FF72D1" w:rsidRPr="00545EC0" w:rsidRDefault="00735290" w:rsidP="003C7C5E">
      <w:pPr>
        <w:pStyle w:val="Naslov20"/>
      </w:pPr>
      <w:bookmarkStart w:id="711" w:name="_Toc90261086"/>
      <w:r w:rsidRPr="00545EC0">
        <w:rPr>
          <w:lang w:val="sl-SI"/>
        </w:rPr>
        <w:t>Ocene potrebnih f</w:t>
      </w:r>
      <w:r w:rsidR="00FF72D1" w:rsidRPr="00545EC0">
        <w:t>inančn</w:t>
      </w:r>
      <w:r w:rsidRPr="00545EC0">
        <w:rPr>
          <w:lang w:val="sl-SI"/>
        </w:rPr>
        <w:t>ih</w:t>
      </w:r>
      <w:r w:rsidR="00FF72D1" w:rsidRPr="00545EC0">
        <w:t xml:space="preserve"> sredst</w:t>
      </w:r>
      <w:r w:rsidRPr="00545EC0">
        <w:rPr>
          <w:lang w:val="sl-SI"/>
        </w:rPr>
        <w:t>e</w:t>
      </w:r>
      <w:r w:rsidR="00FF72D1" w:rsidRPr="00545EC0">
        <w:t>v za izvedbo programa ukrepov</w:t>
      </w:r>
      <w:r w:rsidR="00B12F33" w:rsidRPr="00545EC0">
        <w:rPr>
          <w:lang w:val="sl-SI"/>
        </w:rPr>
        <w:t xml:space="preserve"> in predvideni viri financiranja</w:t>
      </w:r>
      <w:bookmarkEnd w:id="711"/>
    </w:p>
    <w:p w14:paraId="287AC6BA" w14:textId="150F6BAC" w:rsidR="00590E36" w:rsidRPr="00545EC0" w:rsidRDefault="00735290" w:rsidP="00590E36">
      <w:pPr>
        <w:rPr>
          <w:rFonts w:cs="Arial"/>
          <w:szCs w:val="22"/>
        </w:rPr>
      </w:pPr>
      <w:r w:rsidRPr="00545EC0">
        <w:rPr>
          <w:rFonts w:cs="Arial"/>
          <w:szCs w:val="22"/>
        </w:rPr>
        <w:t>Ocene potrebnih finančnih sredstev  za</w:t>
      </w:r>
      <w:r w:rsidR="00590E36" w:rsidRPr="00545EC0">
        <w:rPr>
          <w:rFonts w:cs="Arial"/>
          <w:szCs w:val="22"/>
        </w:rPr>
        <w:t xml:space="preserve"> izvajanj</w:t>
      </w:r>
      <w:r w:rsidRPr="00545EC0">
        <w:rPr>
          <w:rFonts w:cs="Arial"/>
          <w:szCs w:val="22"/>
        </w:rPr>
        <w:t>e</w:t>
      </w:r>
      <w:r w:rsidR="00590E36" w:rsidRPr="00545EC0">
        <w:rPr>
          <w:rFonts w:cs="Arial"/>
          <w:szCs w:val="22"/>
        </w:rPr>
        <w:t xml:space="preserve"> </w:t>
      </w:r>
      <w:r w:rsidR="00933AB8" w:rsidRPr="00545EC0">
        <w:rPr>
          <w:rFonts w:cs="Arial"/>
          <w:szCs w:val="22"/>
        </w:rPr>
        <w:t xml:space="preserve">ukrepov </w:t>
      </w:r>
      <w:r w:rsidR="00E128E5" w:rsidRPr="00545EC0">
        <w:rPr>
          <w:rFonts w:cs="Arial"/>
          <w:szCs w:val="22"/>
        </w:rPr>
        <w:t xml:space="preserve">po </w:t>
      </w:r>
      <w:r w:rsidR="00933AB8" w:rsidRPr="00545EC0">
        <w:rPr>
          <w:rFonts w:cs="Arial"/>
        </w:rPr>
        <w:t>Programu ukrepov upravljanja voda</w:t>
      </w:r>
      <w:r w:rsidRPr="00545EC0">
        <w:rPr>
          <w:rFonts w:cs="Arial"/>
        </w:rPr>
        <w:t xml:space="preserve"> – dopolnitev 2021</w:t>
      </w:r>
      <w:r w:rsidR="00933AB8" w:rsidRPr="00545EC0">
        <w:rPr>
          <w:rFonts w:cs="Arial"/>
        </w:rPr>
        <w:t xml:space="preserve"> </w:t>
      </w:r>
      <w:r w:rsidRPr="00545EC0">
        <w:rPr>
          <w:rFonts w:cs="Arial"/>
        </w:rPr>
        <w:t>za programsko obdobje 2021-2027</w:t>
      </w:r>
      <w:r w:rsidR="00933AB8" w:rsidRPr="00545EC0">
        <w:rPr>
          <w:rFonts w:cs="Arial"/>
        </w:rPr>
        <w:t xml:space="preserve"> so prikazan</w:t>
      </w:r>
      <w:r w:rsidRPr="00545EC0">
        <w:rPr>
          <w:rFonts w:cs="Arial"/>
        </w:rPr>
        <w:t>e</w:t>
      </w:r>
      <w:r w:rsidR="00933AB8" w:rsidRPr="00545EC0">
        <w:rPr>
          <w:rFonts w:cs="Arial"/>
        </w:rPr>
        <w:t xml:space="preserve"> v preglednici (</w:t>
      </w:r>
      <w:r w:rsidR="00933AB8" w:rsidRPr="00545EC0">
        <w:rPr>
          <w:rFonts w:cs="Arial"/>
        </w:rPr>
        <w:fldChar w:fldCharType="begin"/>
      </w:r>
      <w:r w:rsidR="00933AB8" w:rsidRPr="00545EC0">
        <w:rPr>
          <w:rFonts w:cs="Arial"/>
        </w:rPr>
        <w:instrText xml:space="preserve"> REF _Ref84406707 \h </w:instrText>
      </w:r>
      <w:r w:rsidR="00F37A91" w:rsidRPr="00545EC0">
        <w:rPr>
          <w:rFonts w:cs="Arial"/>
        </w:rPr>
        <w:instrText xml:space="preserve"> \* MERGEFORMAT </w:instrText>
      </w:r>
      <w:r w:rsidR="00933AB8" w:rsidRPr="00545EC0">
        <w:rPr>
          <w:rFonts w:cs="Arial"/>
        </w:rPr>
      </w:r>
      <w:r w:rsidR="00933AB8" w:rsidRPr="00545EC0">
        <w:rPr>
          <w:rFonts w:cs="Arial"/>
        </w:rPr>
        <w:fldChar w:fldCharType="separate"/>
      </w:r>
      <w:r w:rsidR="002F3E43" w:rsidRPr="00545EC0">
        <w:t xml:space="preserve">Preglednica </w:t>
      </w:r>
      <w:r w:rsidR="002F3E43">
        <w:rPr>
          <w:noProof/>
        </w:rPr>
        <w:t>7</w:t>
      </w:r>
      <w:r w:rsidR="002F3E43" w:rsidRPr="00545EC0">
        <w:rPr>
          <w:noProof/>
        </w:rPr>
        <w:noBreakHyphen/>
      </w:r>
      <w:r w:rsidR="002F3E43">
        <w:rPr>
          <w:noProof/>
        </w:rPr>
        <w:t>1</w:t>
      </w:r>
      <w:r w:rsidR="00933AB8" w:rsidRPr="00545EC0">
        <w:rPr>
          <w:rFonts w:cs="Arial"/>
        </w:rPr>
        <w:fldChar w:fldCharType="end"/>
      </w:r>
      <w:r w:rsidR="00933AB8" w:rsidRPr="00545EC0">
        <w:rPr>
          <w:rFonts w:cs="Arial"/>
        </w:rPr>
        <w:t xml:space="preserve">). Stroški izvajanja </w:t>
      </w:r>
      <w:r w:rsidR="00590E36" w:rsidRPr="00545EC0">
        <w:rPr>
          <w:rFonts w:cs="Arial"/>
          <w:szCs w:val="22"/>
        </w:rPr>
        <w:t xml:space="preserve">temeljnih ukrepov »a« </w:t>
      </w:r>
      <w:r w:rsidRPr="00545EC0">
        <w:rPr>
          <w:rFonts w:cs="Arial"/>
          <w:szCs w:val="22"/>
        </w:rPr>
        <w:t xml:space="preserve">za programsko </w:t>
      </w:r>
      <w:r w:rsidR="00590E36" w:rsidRPr="00545EC0">
        <w:rPr>
          <w:rFonts w:cs="Arial"/>
          <w:szCs w:val="22"/>
        </w:rPr>
        <w:t>obdobj</w:t>
      </w:r>
      <w:r w:rsidRPr="00545EC0">
        <w:rPr>
          <w:rFonts w:cs="Arial"/>
          <w:szCs w:val="22"/>
        </w:rPr>
        <w:t>e</w:t>
      </w:r>
      <w:r w:rsidR="00590E36" w:rsidRPr="00545EC0">
        <w:rPr>
          <w:rFonts w:cs="Arial"/>
          <w:szCs w:val="22"/>
        </w:rPr>
        <w:t xml:space="preserve"> </w:t>
      </w:r>
      <w:r w:rsidRPr="00545EC0">
        <w:rPr>
          <w:rFonts w:cs="Arial"/>
          <w:szCs w:val="22"/>
        </w:rPr>
        <w:t>2021</w:t>
      </w:r>
      <w:r w:rsidR="00590E36" w:rsidRPr="00545EC0">
        <w:rPr>
          <w:rFonts w:cs="Arial"/>
          <w:szCs w:val="22"/>
        </w:rPr>
        <w:t>-</w:t>
      </w:r>
      <w:r w:rsidRPr="00545EC0">
        <w:rPr>
          <w:rFonts w:cs="Arial"/>
          <w:szCs w:val="22"/>
        </w:rPr>
        <w:t xml:space="preserve">2027 </w:t>
      </w:r>
      <w:r w:rsidR="00590E36" w:rsidRPr="00545EC0">
        <w:rPr>
          <w:rFonts w:cs="Arial"/>
          <w:szCs w:val="22"/>
        </w:rPr>
        <w:t xml:space="preserve">so ocenjeni na </w:t>
      </w:r>
      <w:r w:rsidRPr="00545EC0">
        <w:rPr>
          <w:rFonts w:cs="Arial"/>
          <w:szCs w:val="22"/>
        </w:rPr>
        <w:t xml:space="preserve">okoli </w:t>
      </w:r>
      <w:r w:rsidR="00984F93" w:rsidRPr="00545EC0">
        <w:rPr>
          <w:rFonts w:cs="Arial"/>
          <w:szCs w:val="22"/>
        </w:rPr>
        <w:t xml:space="preserve">€ </w:t>
      </w:r>
      <w:r w:rsidR="00590E36" w:rsidRPr="00545EC0">
        <w:rPr>
          <w:rFonts w:cs="Arial"/>
          <w:szCs w:val="22"/>
        </w:rPr>
        <w:t>2.3</w:t>
      </w:r>
      <w:r w:rsidRPr="00545EC0">
        <w:rPr>
          <w:rFonts w:cs="Arial"/>
          <w:szCs w:val="22"/>
        </w:rPr>
        <w:t>00</w:t>
      </w:r>
      <w:r w:rsidR="00590E36" w:rsidRPr="00545EC0">
        <w:rPr>
          <w:rFonts w:cs="Arial"/>
          <w:szCs w:val="22"/>
        </w:rPr>
        <w:t xml:space="preserve"> mio. Pri tem </w:t>
      </w:r>
      <w:r w:rsidR="00984F93" w:rsidRPr="00545EC0">
        <w:rPr>
          <w:rFonts w:cs="Arial"/>
          <w:szCs w:val="22"/>
        </w:rPr>
        <w:t xml:space="preserve">okoli 70 % vsote ocene potrebnih finačnih sredstev predstavljajo stroški izvedbe ukrepov iz </w:t>
      </w:r>
      <w:r w:rsidR="00984F93" w:rsidRPr="00545EC0">
        <w:rPr>
          <w:rFonts w:cs="Arial"/>
        </w:rPr>
        <w:t>Operativnega programa odvajanja in čiščenja komunalnih odpadnih voda</w:t>
      </w:r>
      <w:r w:rsidR="00984F93" w:rsidRPr="00545EC0">
        <w:rPr>
          <w:rFonts w:cs="Arial"/>
          <w:szCs w:val="22"/>
        </w:rPr>
        <w:t xml:space="preserve"> (Vlada RS, 2020) in iz </w:t>
      </w:r>
      <w:r w:rsidR="00984F93" w:rsidRPr="00545EC0">
        <w:rPr>
          <w:rFonts w:cs="Arial"/>
        </w:rPr>
        <w:t>Operativnega programa oskrbe s pitno vodo, ki je v postopku sprejemnja.</w:t>
      </w:r>
      <w:r w:rsidR="00984F93" w:rsidRPr="00545EC0">
        <w:rPr>
          <w:rFonts w:cs="Arial"/>
          <w:szCs w:val="22"/>
        </w:rPr>
        <w:t xml:space="preserve"> </w:t>
      </w:r>
      <w:r w:rsidR="00590E36" w:rsidRPr="00545EC0">
        <w:rPr>
          <w:rFonts w:cs="Arial"/>
          <w:szCs w:val="22"/>
        </w:rPr>
        <w:t xml:space="preserve">Za izvedbo temeljnih ukrepov »b«, ki </w:t>
      </w:r>
      <w:r w:rsidR="00984F93" w:rsidRPr="00545EC0">
        <w:rPr>
          <w:rFonts w:cs="Arial"/>
          <w:szCs w:val="22"/>
        </w:rPr>
        <w:t>naslavljajo prepoznane pravne, upravne, administrativne in razvojne vrzeli</w:t>
      </w:r>
      <w:r w:rsidR="00590E36" w:rsidRPr="00545EC0">
        <w:rPr>
          <w:rFonts w:cs="Arial"/>
          <w:szCs w:val="22"/>
        </w:rPr>
        <w:t xml:space="preserve">, </w:t>
      </w:r>
      <w:r w:rsidR="00933AB8" w:rsidRPr="00545EC0">
        <w:rPr>
          <w:rFonts w:cs="Arial"/>
          <w:szCs w:val="22"/>
        </w:rPr>
        <w:t xml:space="preserve">je </w:t>
      </w:r>
      <w:r w:rsidR="00984F93" w:rsidRPr="00545EC0">
        <w:rPr>
          <w:rFonts w:cs="Arial"/>
          <w:szCs w:val="22"/>
        </w:rPr>
        <w:t xml:space="preserve">vsota potrebnih finančnih sredstev za programsko </w:t>
      </w:r>
      <w:r w:rsidR="00590E36" w:rsidRPr="00545EC0">
        <w:rPr>
          <w:rFonts w:cs="Arial"/>
          <w:szCs w:val="22"/>
        </w:rPr>
        <w:t>obdobj</w:t>
      </w:r>
      <w:r w:rsidR="00984F93" w:rsidRPr="00545EC0">
        <w:rPr>
          <w:rFonts w:cs="Arial"/>
          <w:szCs w:val="22"/>
        </w:rPr>
        <w:t>e</w:t>
      </w:r>
      <w:r w:rsidR="00590E36" w:rsidRPr="00545EC0">
        <w:rPr>
          <w:rFonts w:cs="Arial"/>
          <w:szCs w:val="22"/>
        </w:rPr>
        <w:t xml:space="preserve"> 20</w:t>
      </w:r>
      <w:r w:rsidR="00984F93" w:rsidRPr="00545EC0">
        <w:rPr>
          <w:rFonts w:cs="Arial"/>
          <w:szCs w:val="22"/>
        </w:rPr>
        <w:t>21</w:t>
      </w:r>
      <w:r w:rsidR="00590E36" w:rsidRPr="00545EC0">
        <w:rPr>
          <w:rFonts w:cs="Arial"/>
          <w:szCs w:val="22"/>
        </w:rPr>
        <w:t>-202</w:t>
      </w:r>
      <w:r w:rsidR="00984F93" w:rsidRPr="00545EC0">
        <w:rPr>
          <w:rFonts w:cs="Arial"/>
          <w:szCs w:val="22"/>
        </w:rPr>
        <w:t>7</w:t>
      </w:r>
      <w:r w:rsidR="00590E36" w:rsidRPr="00545EC0">
        <w:rPr>
          <w:rFonts w:cs="Arial"/>
          <w:szCs w:val="22"/>
        </w:rPr>
        <w:t xml:space="preserve"> </w:t>
      </w:r>
      <w:r w:rsidR="00933AB8" w:rsidRPr="00545EC0">
        <w:rPr>
          <w:rFonts w:cs="Arial"/>
          <w:szCs w:val="22"/>
        </w:rPr>
        <w:t>ocenjen</w:t>
      </w:r>
      <w:r w:rsidR="00984F93" w:rsidRPr="00545EC0">
        <w:rPr>
          <w:rFonts w:cs="Arial"/>
          <w:szCs w:val="22"/>
        </w:rPr>
        <w:t>a na okoli €</w:t>
      </w:r>
      <w:r w:rsidR="00933AB8" w:rsidRPr="00545EC0">
        <w:rPr>
          <w:rFonts w:cs="Arial"/>
          <w:szCs w:val="22"/>
        </w:rPr>
        <w:t xml:space="preserve"> </w:t>
      </w:r>
      <w:r w:rsidR="006809BC" w:rsidRPr="00545EC0">
        <w:rPr>
          <w:rFonts w:cs="Arial"/>
          <w:szCs w:val="22"/>
        </w:rPr>
        <w:t xml:space="preserve">4,2 </w:t>
      </w:r>
      <w:r w:rsidR="00933AB8" w:rsidRPr="00545EC0">
        <w:rPr>
          <w:rFonts w:cs="Arial"/>
          <w:szCs w:val="22"/>
        </w:rPr>
        <w:t>mio</w:t>
      </w:r>
      <w:r w:rsidR="00984F93" w:rsidRPr="00545EC0">
        <w:rPr>
          <w:rFonts w:cs="Arial"/>
          <w:szCs w:val="22"/>
        </w:rPr>
        <w:t>.</w:t>
      </w:r>
      <w:r w:rsidR="00933AB8" w:rsidRPr="00545EC0">
        <w:rPr>
          <w:rFonts w:cs="Arial"/>
          <w:szCs w:val="22"/>
        </w:rPr>
        <w:t xml:space="preserve"> </w:t>
      </w:r>
      <w:r w:rsidR="00984F93" w:rsidRPr="00545EC0">
        <w:rPr>
          <w:rFonts w:cs="Arial"/>
          <w:szCs w:val="22"/>
        </w:rPr>
        <w:t xml:space="preserve">Za dopolnilne ukrepe vsota potrebnih finančnih sredstev za programsko obdobje 2021-2027 še ni ocenjena. Stroški dopolnilnih ukrepov iz </w:t>
      </w:r>
      <w:r w:rsidR="00984F93" w:rsidRPr="00545EC0">
        <w:rPr>
          <w:rFonts w:cs="Arial"/>
        </w:rPr>
        <w:t>Programu ukrepov upravljanja voda, ki ga je Vlada RS sprejela vletu 2016, so bili za programsko obdobje</w:t>
      </w:r>
      <w:r w:rsidR="00984F93" w:rsidRPr="00545EC0">
        <w:rPr>
          <w:rFonts w:cs="Arial"/>
          <w:szCs w:val="22"/>
        </w:rPr>
        <w:t xml:space="preserve"> 2016-2021 ocenjeni na okoli € 370 mio.</w:t>
      </w:r>
    </w:p>
    <w:p w14:paraId="092693B5" w14:textId="12D1B0AE" w:rsidR="00590E36" w:rsidRPr="00545EC0" w:rsidRDefault="00E128E5" w:rsidP="003122F4">
      <w:pPr>
        <w:tabs>
          <w:tab w:val="left" w:pos="2115"/>
        </w:tabs>
        <w:rPr>
          <w:rFonts w:cs="Arial"/>
          <w:szCs w:val="22"/>
        </w:rPr>
      </w:pPr>
      <w:r w:rsidRPr="00545EC0">
        <w:rPr>
          <w:rFonts w:cs="Arial"/>
          <w:szCs w:val="22"/>
        </w:rPr>
        <w:tab/>
      </w:r>
    </w:p>
    <w:p w14:paraId="1173C467" w14:textId="77777777" w:rsidR="00E128E5" w:rsidRPr="00545EC0" w:rsidRDefault="00E128E5" w:rsidP="003122F4">
      <w:pPr>
        <w:tabs>
          <w:tab w:val="left" w:pos="2115"/>
        </w:tabs>
        <w:rPr>
          <w:rFonts w:cs="Arial"/>
          <w:szCs w:val="22"/>
        </w:rPr>
      </w:pPr>
    </w:p>
    <w:p w14:paraId="214257F2" w14:textId="77777777" w:rsidR="00E128E5" w:rsidRPr="00545EC0" w:rsidRDefault="00E128E5" w:rsidP="003122F4">
      <w:pPr>
        <w:tabs>
          <w:tab w:val="left" w:pos="2115"/>
        </w:tabs>
        <w:rPr>
          <w:rFonts w:cs="Arial"/>
          <w:szCs w:val="22"/>
        </w:rPr>
      </w:pPr>
    </w:p>
    <w:p w14:paraId="09349F0E" w14:textId="77777777" w:rsidR="00E128E5" w:rsidRPr="00545EC0" w:rsidRDefault="00E128E5" w:rsidP="003122F4">
      <w:pPr>
        <w:tabs>
          <w:tab w:val="left" w:pos="2115"/>
        </w:tabs>
        <w:rPr>
          <w:rFonts w:cs="Arial"/>
          <w:szCs w:val="22"/>
        </w:rPr>
      </w:pPr>
    </w:p>
    <w:p w14:paraId="42C6A225" w14:textId="77777777" w:rsidR="00E128E5" w:rsidRPr="00545EC0" w:rsidRDefault="00E128E5" w:rsidP="003122F4">
      <w:pPr>
        <w:tabs>
          <w:tab w:val="left" w:pos="2115"/>
        </w:tabs>
        <w:rPr>
          <w:rFonts w:cs="Arial"/>
          <w:szCs w:val="22"/>
        </w:rPr>
      </w:pPr>
    </w:p>
    <w:p w14:paraId="27FD3AD5" w14:textId="65509257" w:rsidR="00590E36" w:rsidRPr="00545EC0" w:rsidRDefault="00590E36" w:rsidP="003176A4">
      <w:pPr>
        <w:pStyle w:val="Napis"/>
      </w:pPr>
      <w:bookmarkStart w:id="712" w:name="_Ref84406707"/>
      <w:r w:rsidRPr="00545EC0">
        <w:t xml:space="preserve">Preglednica </w:t>
      </w:r>
      <w:fldSimple w:instr=" STYLEREF 1 \s ">
        <w:r w:rsidR="002F3E43">
          <w:rPr>
            <w:noProof/>
          </w:rPr>
          <w:t>7</w:t>
        </w:r>
      </w:fldSimple>
      <w:r w:rsidR="001A7511" w:rsidRPr="00545EC0">
        <w:noBreakHyphen/>
      </w:r>
      <w:fldSimple w:instr=" SEQ Preglednica \* ARABIC \s 1 ">
        <w:r w:rsidR="002F3E43">
          <w:rPr>
            <w:noProof/>
          </w:rPr>
          <w:t>1</w:t>
        </w:r>
      </w:fldSimple>
      <w:bookmarkEnd w:id="712"/>
      <w:r w:rsidRPr="00545EC0">
        <w:t xml:space="preserve">: Ocena stroškov temeljnih in dopolnilnih ukrepov </w:t>
      </w:r>
      <w:r w:rsidR="00933AB8" w:rsidRPr="00545EC0">
        <w:t>Programa ukrepov upravljanja voda (2016)</w:t>
      </w:r>
      <w:r w:rsidRPr="00545EC0">
        <w:t>, v tekočih cenah, brez DDV</w:t>
      </w:r>
      <w:r w:rsidR="00E128E5" w:rsidRPr="00545EC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3"/>
        <w:gridCol w:w="4464"/>
      </w:tblGrid>
      <w:tr w:rsidR="003122F4" w:rsidRPr="00545EC0" w14:paraId="50A0F860" w14:textId="77777777" w:rsidTr="00590E36">
        <w:tc>
          <w:tcPr>
            <w:tcW w:w="4463" w:type="dxa"/>
            <w:shd w:val="clear" w:color="auto" w:fill="auto"/>
          </w:tcPr>
          <w:p w14:paraId="38C6BA12" w14:textId="6FB715F7" w:rsidR="00590E36" w:rsidRPr="00545EC0" w:rsidRDefault="00590E36" w:rsidP="00984F93">
            <w:pPr>
              <w:rPr>
                <w:rFonts w:cs="Arial"/>
                <w:b/>
                <w:szCs w:val="20"/>
              </w:rPr>
            </w:pPr>
            <w:r w:rsidRPr="00545EC0">
              <w:rPr>
                <w:rFonts w:cs="Arial"/>
                <w:b/>
                <w:szCs w:val="20"/>
              </w:rPr>
              <w:t xml:space="preserve">Ukrepi PU NUV </w:t>
            </w:r>
            <w:r w:rsidR="00984F93" w:rsidRPr="00545EC0">
              <w:rPr>
                <w:rFonts w:cs="Arial"/>
                <w:b/>
                <w:szCs w:val="20"/>
              </w:rPr>
              <w:t>(programsko obdobje 2021</w:t>
            </w:r>
            <w:r w:rsidRPr="00545EC0">
              <w:rPr>
                <w:rFonts w:cs="Arial"/>
                <w:b/>
                <w:szCs w:val="20"/>
              </w:rPr>
              <w:t>-</w:t>
            </w:r>
            <w:r w:rsidR="00984F93" w:rsidRPr="00545EC0">
              <w:rPr>
                <w:rFonts w:cs="Arial"/>
                <w:b/>
                <w:szCs w:val="20"/>
              </w:rPr>
              <w:t>2027</w:t>
            </w:r>
          </w:p>
        </w:tc>
        <w:tc>
          <w:tcPr>
            <w:tcW w:w="4464" w:type="dxa"/>
            <w:shd w:val="clear" w:color="auto" w:fill="auto"/>
          </w:tcPr>
          <w:p w14:paraId="3ADD2353" w14:textId="73F4833E" w:rsidR="00590E36" w:rsidRPr="00545EC0" w:rsidRDefault="00590E36" w:rsidP="006809BC">
            <w:pPr>
              <w:rPr>
                <w:rFonts w:cs="Arial"/>
                <w:b/>
                <w:szCs w:val="20"/>
              </w:rPr>
            </w:pPr>
            <w:r w:rsidRPr="00545EC0">
              <w:rPr>
                <w:rFonts w:cs="Arial"/>
                <w:b/>
                <w:szCs w:val="20"/>
              </w:rPr>
              <w:t xml:space="preserve">Ocena stroškov ukrepov (EUR v obdobju </w:t>
            </w:r>
            <w:r w:rsidR="006809BC" w:rsidRPr="00545EC0">
              <w:rPr>
                <w:rFonts w:cs="Arial"/>
                <w:b/>
                <w:szCs w:val="20"/>
              </w:rPr>
              <w:t>2021</w:t>
            </w:r>
            <w:r w:rsidRPr="00545EC0">
              <w:rPr>
                <w:rFonts w:cs="Arial"/>
                <w:b/>
                <w:szCs w:val="20"/>
              </w:rPr>
              <w:t>-</w:t>
            </w:r>
            <w:r w:rsidR="006809BC" w:rsidRPr="00545EC0">
              <w:rPr>
                <w:rFonts w:cs="Arial"/>
                <w:b/>
                <w:szCs w:val="20"/>
              </w:rPr>
              <w:t>2027</w:t>
            </w:r>
            <w:r w:rsidRPr="00545EC0">
              <w:rPr>
                <w:rFonts w:cs="Arial"/>
                <w:b/>
                <w:szCs w:val="20"/>
              </w:rPr>
              <w:t>, v tekočih cenah, brez DDV)</w:t>
            </w:r>
          </w:p>
        </w:tc>
      </w:tr>
      <w:tr w:rsidR="003122F4" w:rsidRPr="00545EC0" w14:paraId="702AA93E" w14:textId="77777777" w:rsidTr="00590E36">
        <w:tc>
          <w:tcPr>
            <w:tcW w:w="4463" w:type="dxa"/>
            <w:shd w:val="clear" w:color="auto" w:fill="auto"/>
          </w:tcPr>
          <w:p w14:paraId="4A6550D1" w14:textId="77777777" w:rsidR="00590E36" w:rsidRPr="00545EC0" w:rsidRDefault="00590E36" w:rsidP="009E3458">
            <w:pPr>
              <w:rPr>
                <w:rFonts w:cs="Arial"/>
                <w:szCs w:val="20"/>
              </w:rPr>
            </w:pPr>
            <w:r w:rsidRPr="00545EC0">
              <w:rPr>
                <w:rFonts w:cs="Arial"/>
                <w:szCs w:val="20"/>
              </w:rPr>
              <w:t xml:space="preserve">Temeljni ukrepi »a«, ki </w:t>
            </w:r>
            <w:r w:rsidR="00C462E0" w:rsidRPr="00545EC0">
              <w:rPr>
                <w:rFonts w:cs="Arial"/>
                <w:szCs w:val="20"/>
              </w:rPr>
              <w:t xml:space="preserve">se </w:t>
            </w:r>
            <w:r w:rsidRPr="00545EC0">
              <w:rPr>
                <w:rFonts w:cs="Arial"/>
                <w:szCs w:val="20"/>
              </w:rPr>
              <w:t xml:space="preserve">izvajajo </w:t>
            </w:r>
            <w:r w:rsidR="009E3458" w:rsidRPr="00545EC0">
              <w:rPr>
                <w:rFonts w:cs="Arial"/>
                <w:szCs w:val="20"/>
              </w:rPr>
              <w:t xml:space="preserve">na podlagi </w:t>
            </w:r>
            <w:r w:rsidR="009E3458" w:rsidRPr="00545EC0">
              <w:rPr>
                <w:rFonts w:cs="Arial"/>
                <w:szCs w:val="20"/>
              </w:rPr>
              <w:lastRenderedPageBreak/>
              <w:t>veljavne zakonodaje</w:t>
            </w:r>
          </w:p>
        </w:tc>
        <w:tc>
          <w:tcPr>
            <w:tcW w:w="4464" w:type="dxa"/>
            <w:shd w:val="clear" w:color="auto" w:fill="auto"/>
          </w:tcPr>
          <w:p w14:paraId="2BDA48E1" w14:textId="0C31E24B" w:rsidR="00590E36" w:rsidRPr="00545EC0" w:rsidRDefault="006809BC" w:rsidP="006809BC">
            <w:pPr>
              <w:jc w:val="right"/>
              <w:rPr>
                <w:rFonts w:cs="Arial"/>
                <w:szCs w:val="20"/>
              </w:rPr>
            </w:pPr>
            <w:r w:rsidRPr="00545EC0">
              <w:rPr>
                <w:rFonts w:cs="Arial"/>
                <w:szCs w:val="20"/>
              </w:rPr>
              <w:lastRenderedPageBreak/>
              <w:t xml:space="preserve">~ </w:t>
            </w:r>
            <w:r w:rsidR="00590E36" w:rsidRPr="00545EC0">
              <w:rPr>
                <w:rFonts w:cs="Arial"/>
                <w:szCs w:val="20"/>
              </w:rPr>
              <w:t>2.3</w:t>
            </w:r>
            <w:r w:rsidRPr="00545EC0">
              <w:rPr>
                <w:rFonts w:cs="Arial"/>
                <w:szCs w:val="20"/>
              </w:rPr>
              <w:t>00</w:t>
            </w:r>
            <w:r w:rsidR="00590E36" w:rsidRPr="00545EC0">
              <w:rPr>
                <w:rFonts w:cs="Arial"/>
                <w:szCs w:val="20"/>
              </w:rPr>
              <w:t>.</w:t>
            </w:r>
            <w:r w:rsidRPr="00545EC0">
              <w:rPr>
                <w:rFonts w:cs="Arial"/>
                <w:szCs w:val="20"/>
              </w:rPr>
              <w:t>00</w:t>
            </w:r>
            <w:r w:rsidR="00590E36" w:rsidRPr="00545EC0">
              <w:rPr>
                <w:rFonts w:cs="Arial"/>
                <w:szCs w:val="20"/>
              </w:rPr>
              <w:t>0.000</w:t>
            </w:r>
            <w:r w:rsidRPr="00545EC0">
              <w:rPr>
                <w:rFonts w:cs="Arial"/>
                <w:szCs w:val="20"/>
              </w:rPr>
              <w:t>*</w:t>
            </w:r>
          </w:p>
        </w:tc>
      </w:tr>
      <w:tr w:rsidR="003122F4" w:rsidRPr="00545EC0" w14:paraId="7DFE2F49" w14:textId="77777777" w:rsidTr="00590E36">
        <w:tc>
          <w:tcPr>
            <w:tcW w:w="4463" w:type="dxa"/>
            <w:shd w:val="clear" w:color="auto" w:fill="auto"/>
          </w:tcPr>
          <w:p w14:paraId="2FAB90A2" w14:textId="77777777" w:rsidR="00590E36" w:rsidRPr="00545EC0" w:rsidRDefault="00590E36" w:rsidP="00590E36">
            <w:pPr>
              <w:rPr>
                <w:rFonts w:cs="Arial"/>
                <w:szCs w:val="20"/>
              </w:rPr>
            </w:pPr>
            <w:r w:rsidRPr="00545EC0">
              <w:rPr>
                <w:rFonts w:cs="Arial"/>
                <w:szCs w:val="20"/>
              </w:rPr>
              <w:lastRenderedPageBreak/>
              <w:t xml:space="preserve">Temeljni ukrepi »b«, </w:t>
            </w:r>
            <w:r w:rsidR="009E3458" w:rsidRPr="00545EC0">
              <w:rPr>
                <w:rFonts w:cs="Arial"/>
                <w:szCs w:val="22"/>
              </w:rPr>
              <w:t>ki se še ne izvajajo v celoti glede na zahteve veljavne zakonodaje</w:t>
            </w:r>
          </w:p>
        </w:tc>
        <w:tc>
          <w:tcPr>
            <w:tcW w:w="4464" w:type="dxa"/>
            <w:shd w:val="clear" w:color="auto" w:fill="auto"/>
          </w:tcPr>
          <w:p w14:paraId="63D859E9" w14:textId="036B64CF" w:rsidR="00590E36" w:rsidRPr="00545EC0" w:rsidRDefault="006809BC" w:rsidP="006809BC">
            <w:pPr>
              <w:jc w:val="right"/>
              <w:rPr>
                <w:rFonts w:cs="Arial"/>
                <w:szCs w:val="20"/>
              </w:rPr>
            </w:pPr>
            <w:r w:rsidRPr="00545EC0">
              <w:rPr>
                <w:rFonts w:cs="Arial"/>
                <w:szCs w:val="20"/>
              </w:rPr>
              <w:t>~ 4</w:t>
            </w:r>
            <w:r w:rsidR="00590E36" w:rsidRPr="00545EC0">
              <w:rPr>
                <w:rFonts w:cs="Arial"/>
                <w:szCs w:val="20"/>
              </w:rPr>
              <w:t>.</w:t>
            </w:r>
            <w:r w:rsidRPr="00545EC0">
              <w:rPr>
                <w:rFonts w:cs="Arial"/>
                <w:szCs w:val="20"/>
              </w:rPr>
              <w:t>20</w:t>
            </w:r>
            <w:r w:rsidR="00590E36" w:rsidRPr="00545EC0">
              <w:rPr>
                <w:rFonts w:cs="Arial"/>
                <w:szCs w:val="20"/>
              </w:rPr>
              <w:t>0.000</w:t>
            </w:r>
          </w:p>
        </w:tc>
      </w:tr>
      <w:tr w:rsidR="00590E36" w:rsidRPr="00545EC0" w14:paraId="6102A5E5" w14:textId="77777777" w:rsidTr="00590E36">
        <w:tc>
          <w:tcPr>
            <w:tcW w:w="4463" w:type="dxa"/>
            <w:shd w:val="clear" w:color="auto" w:fill="auto"/>
          </w:tcPr>
          <w:p w14:paraId="1B68F616" w14:textId="77777777" w:rsidR="00590E36" w:rsidRPr="00545EC0" w:rsidRDefault="00590E36" w:rsidP="00590E36">
            <w:pPr>
              <w:rPr>
                <w:rFonts w:cs="Arial"/>
                <w:szCs w:val="20"/>
              </w:rPr>
            </w:pPr>
            <w:r w:rsidRPr="00545EC0">
              <w:rPr>
                <w:rFonts w:cs="Arial"/>
                <w:szCs w:val="20"/>
              </w:rPr>
              <w:t>Dopolnilni ukrepi</w:t>
            </w:r>
          </w:p>
        </w:tc>
        <w:tc>
          <w:tcPr>
            <w:tcW w:w="4464" w:type="dxa"/>
            <w:shd w:val="clear" w:color="auto" w:fill="auto"/>
          </w:tcPr>
          <w:p w14:paraId="24B5797E" w14:textId="4A07076E" w:rsidR="00590E36" w:rsidRPr="00545EC0" w:rsidRDefault="006809BC" w:rsidP="00590E36">
            <w:pPr>
              <w:jc w:val="right"/>
              <w:rPr>
                <w:rFonts w:cs="Arial"/>
                <w:szCs w:val="20"/>
              </w:rPr>
            </w:pPr>
            <w:r w:rsidRPr="00545EC0">
              <w:rPr>
                <w:rFonts w:cs="Arial"/>
                <w:szCs w:val="20"/>
              </w:rPr>
              <w:t>**</w:t>
            </w:r>
          </w:p>
        </w:tc>
      </w:tr>
    </w:tbl>
    <w:p w14:paraId="4E65B1CD" w14:textId="67486E75" w:rsidR="006809BC" w:rsidRPr="00545EC0" w:rsidRDefault="006809BC" w:rsidP="00590E36">
      <w:pPr>
        <w:rPr>
          <w:rFonts w:cs="Arial"/>
          <w:i/>
        </w:rPr>
      </w:pPr>
      <w:r w:rsidRPr="00545EC0">
        <w:rPr>
          <w:rFonts w:cs="Arial"/>
          <w:i/>
        </w:rPr>
        <w:t xml:space="preserve">* od tega okoli € 998 mio za ukrepe iz </w:t>
      </w:r>
      <w:r w:rsidRPr="004168CD">
        <w:rPr>
          <w:rFonts w:cs="Arial"/>
          <w:i/>
        </w:rPr>
        <w:t>Operativnega programa odvajanja in čiščenja komunalnih odpadnih voda in okoli € 620 mio za ukrepe iz Operativnega programa oskrbe s pitno vodo</w:t>
      </w:r>
    </w:p>
    <w:p w14:paraId="3DA33B33" w14:textId="60C27770" w:rsidR="00590E36" w:rsidRPr="004168CD" w:rsidRDefault="006809BC" w:rsidP="00590E36">
      <w:pPr>
        <w:rPr>
          <w:rFonts w:cs="Arial"/>
          <w:i/>
        </w:rPr>
      </w:pPr>
      <w:r w:rsidRPr="00545EC0">
        <w:rPr>
          <w:rFonts w:cs="Arial"/>
          <w:i/>
        </w:rPr>
        <w:t>*</w:t>
      </w:r>
      <w:r w:rsidRPr="004168CD">
        <w:rPr>
          <w:rFonts w:cs="Arial"/>
          <w:i/>
        </w:rPr>
        <w:t xml:space="preserve">* ocena potrebnih finančnih sredstev v programskem obdobju 2016-2021 je znašala okoli € 370 mio. </w:t>
      </w:r>
    </w:p>
    <w:p w14:paraId="37EC3031" w14:textId="77777777" w:rsidR="006809BC" w:rsidRPr="00545EC0" w:rsidRDefault="006809BC" w:rsidP="00590E36">
      <w:pPr>
        <w:rPr>
          <w:rFonts w:cs="Arial"/>
        </w:rPr>
      </w:pPr>
    </w:p>
    <w:p w14:paraId="26C563CD" w14:textId="013E4131" w:rsidR="008B3245" w:rsidRPr="00545EC0" w:rsidRDefault="008B3245" w:rsidP="008B3245">
      <w:pPr>
        <w:rPr>
          <w:rFonts w:cs="Arial"/>
        </w:rPr>
      </w:pPr>
      <w:r w:rsidRPr="00545EC0">
        <w:rPr>
          <w:rFonts w:cs="Arial"/>
        </w:rPr>
        <w:t xml:space="preserve">Ocena stroškov izvajanja </w:t>
      </w:r>
      <w:r w:rsidR="00C12042" w:rsidRPr="00545EC0">
        <w:rPr>
          <w:rFonts w:cs="Arial"/>
        </w:rPr>
        <w:t>temeljnih</w:t>
      </w:r>
      <w:r w:rsidRPr="00545EC0">
        <w:rPr>
          <w:rFonts w:cs="Arial"/>
        </w:rPr>
        <w:t xml:space="preserve"> ukrepov »a«, ki je podana glede na razpoložljive informacije o finančnih sredstvih izhajajoč iz strateških dokumentov s področja upravljanja voda, ki jih je Vlada R</w:t>
      </w:r>
      <w:r w:rsidR="00926EA0" w:rsidRPr="00545EC0">
        <w:rPr>
          <w:rFonts w:cs="Arial"/>
        </w:rPr>
        <w:t xml:space="preserve">epublike </w:t>
      </w:r>
      <w:r w:rsidRPr="00545EC0">
        <w:rPr>
          <w:rFonts w:cs="Arial"/>
        </w:rPr>
        <w:t>S</w:t>
      </w:r>
      <w:r w:rsidR="00926EA0" w:rsidRPr="00545EC0">
        <w:rPr>
          <w:rFonts w:cs="Arial"/>
        </w:rPr>
        <w:t>lovenije</w:t>
      </w:r>
      <w:r w:rsidRPr="00545EC0">
        <w:rPr>
          <w:rFonts w:cs="Arial"/>
        </w:rPr>
        <w:t xml:space="preserve"> sprejela v obdobju po letu 2016 in informacije o finančnih sredstvih izhajajoč iz strateških dokumentov s področja upravljanja voda, ki so v postopku sprejemanja na državni ravni, zajema: </w:t>
      </w:r>
    </w:p>
    <w:p w14:paraId="64FD46C0" w14:textId="1A753910" w:rsidR="008B3245" w:rsidRPr="00545EC0" w:rsidRDefault="00E128E5"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strošk</w:t>
      </w:r>
      <w:r w:rsidRPr="00545EC0">
        <w:rPr>
          <w:rFonts w:cs="Arial"/>
          <w:lang w:val="sl-SI"/>
        </w:rPr>
        <w:t>e</w:t>
      </w:r>
      <w:r w:rsidRPr="00545EC0">
        <w:rPr>
          <w:rFonts w:cs="Arial"/>
        </w:rPr>
        <w:t xml:space="preserve"> </w:t>
      </w:r>
      <w:r w:rsidR="00590E36" w:rsidRPr="00545EC0">
        <w:rPr>
          <w:rFonts w:cs="Arial"/>
        </w:rPr>
        <w:t>izvedbe Operativnega programa odvajanja in čiščenja komunalnih odpadnih voda</w:t>
      </w:r>
    </w:p>
    <w:p w14:paraId="5A0B19A3" w14:textId="1E1AE1C6" w:rsidR="00590E36" w:rsidRPr="00545EC0" w:rsidRDefault="00E128E5"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strošk</w:t>
      </w:r>
      <w:r w:rsidRPr="00545EC0">
        <w:rPr>
          <w:rFonts w:cs="Arial"/>
          <w:lang w:val="sl-SI"/>
        </w:rPr>
        <w:t>e</w:t>
      </w:r>
      <w:r w:rsidRPr="00545EC0">
        <w:rPr>
          <w:rFonts w:cs="Arial"/>
        </w:rPr>
        <w:t xml:space="preserve"> </w:t>
      </w:r>
      <w:r w:rsidR="00590E36" w:rsidRPr="00545EC0">
        <w:rPr>
          <w:rFonts w:cs="Arial"/>
        </w:rPr>
        <w:t>preprečitve in zmanjšanja onesnaževanja okolja;</w:t>
      </w:r>
    </w:p>
    <w:p w14:paraId="76E35B4D" w14:textId="08541CEF" w:rsidR="00590E36" w:rsidRPr="00545EC0" w:rsidRDefault="00E128E5"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strošk</w:t>
      </w:r>
      <w:r w:rsidRPr="00545EC0">
        <w:rPr>
          <w:rFonts w:cs="Arial"/>
          <w:lang w:val="sl-SI"/>
        </w:rPr>
        <w:t>e</w:t>
      </w:r>
      <w:r w:rsidRPr="00545EC0">
        <w:rPr>
          <w:rFonts w:cs="Arial"/>
        </w:rPr>
        <w:t xml:space="preserve"> </w:t>
      </w:r>
      <w:r w:rsidR="00590E36" w:rsidRPr="00545EC0">
        <w:rPr>
          <w:rFonts w:cs="Arial"/>
        </w:rPr>
        <w:t>ukrepov za zagotavljanje dobrega hidromorfološkega stanja voda;</w:t>
      </w:r>
    </w:p>
    <w:p w14:paraId="0B32980E" w14:textId="1DE6B28D" w:rsidR="00590E36" w:rsidRPr="00545EC0" w:rsidRDefault="00E128E5"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strošk</w:t>
      </w:r>
      <w:r w:rsidRPr="00545EC0">
        <w:rPr>
          <w:rFonts w:cs="Arial"/>
          <w:lang w:val="sl-SI"/>
        </w:rPr>
        <w:t>e</w:t>
      </w:r>
      <w:r w:rsidRPr="00545EC0">
        <w:rPr>
          <w:rFonts w:cs="Arial"/>
        </w:rPr>
        <w:t xml:space="preserve"> </w:t>
      </w:r>
      <w:r w:rsidR="00590E36" w:rsidRPr="00545EC0">
        <w:rPr>
          <w:rFonts w:cs="Arial"/>
        </w:rPr>
        <w:t>neposrednih plačil kmetijske politike, ki prispevajo k ciljem upravljanja voda;</w:t>
      </w:r>
    </w:p>
    <w:p w14:paraId="2F0006F6" w14:textId="365C87C4" w:rsidR="00590E36" w:rsidRPr="00545EC0" w:rsidRDefault="00E128E5"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strošk</w:t>
      </w:r>
      <w:r w:rsidRPr="00545EC0">
        <w:rPr>
          <w:rFonts w:cs="Arial"/>
          <w:lang w:val="sl-SI"/>
        </w:rPr>
        <w:t>e</w:t>
      </w:r>
      <w:r w:rsidRPr="00545EC0">
        <w:rPr>
          <w:rFonts w:cs="Arial"/>
        </w:rPr>
        <w:t xml:space="preserve"> </w:t>
      </w:r>
      <w:r w:rsidR="00590E36" w:rsidRPr="00545EC0">
        <w:rPr>
          <w:rFonts w:cs="Arial"/>
        </w:rPr>
        <w:t>nadomestil za zmanjšanje dohodka iz kmetijske dejavnosti zaradi prilagoditve ukrepom vodovarstvenega režima;</w:t>
      </w:r>
    </w:p>
    <w:p w14:paraId="2F17D5D9" w14:textId="73D33B2F" w:rsidR="00590E36" w:rsidRPr="00545EC0" w:rsidRDefault="00E128E5"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strošk</w:t>
      </w:r>
      <w:r w:rsidRPr="00545EC0">
        <w:rPr>
          <w:rFonts w:cs="Arial"/>
          <w:lang w:val="sl-SI"/>
        </w:rPr>
        <w:t>e</w:t>
      </w:r>
      <w:r w:rsidRPr="00545EC0">
        <w:rPr>
          <w:rFonts w:cs="Arial"/>
        </w:rPr>
        <w:t xml:space="preserve"> </w:t>
      </w:r>
      <w:r w:rsidR="00590E36" w:rsidRPr="00545EC0">
        <w:rPr>
          <w:rFonts w:cs="Arial"/>
        </w:rPr>
        <w:t>zagotavljanj</w:t>
      </w:r>
      <w:r w:rsidRPr="00545EC0">
        <w:rPr>
          <w:rFonts w:cs="Arial"/>
          <w:lang w:val="sl-SI"/>
        </w:rPr>
        <w:t>a</w:t>
      </w:r>
      <w:r w:rsidR="00590E36" w:rsidRPr="00545EC0">
        <w:rPr>
          <w:rFonts w:cs="Arial"/>
        </w:rPr>
        <w:t xml:space="preserve"> ugodnega stanja vrst in habitatnih tipov v odvisnosti od vode na območjih Natura 2000;</w:t>
      </w:r>
    </w:p>
    <w:p w14:paraId="4073AE70" w14:textId="099275A2" w:rsidR="00590E36" w:rsidRPr="00545EC0" w:rsidRDefault="00E128E5"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strošk</w:t>
      </w:r>
      <w:r w:rsidRPr="00545EC0">
        <w:rPr>
          <w:rFonts w:cs="Arial"/>
          <w:lang w:val="sl-SI"/>
        </w:rPr>
        <w:t>e</w:t>
      </w:r>
      <w:r w:rsidRPr="00545EC0">
        <w:rPr>
          <w:rFonts w:cs="Arial"/>
        </w:rPr>
        <w:t xml:space="preserve"> </w:t>
      </w:r>
      <w:r w:rsidR="00590E36" w:rsidRPr="00545EC0">
        <w:rPr>
          <w:rFonts w:cs="Arial"/>
        </w:rPr>
        <w:t>nadzora nad obremenjevanjem voda;</w:t>
      </w:r>
    </w:p>
    <w:p w14:paraId="30F7D8E7" w14:textId="52B78F8F" w:rsidR="00590E36" w:rsidRPr="00545EC0" w:rsidRDefault="00E128E5"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strošk</w:t>
      </w:r>
      <w:r w:rsidRPr="00545EC0">
        <w:rPr>
          <w:rFonts w:cs="Arial"/>
          <w:lang w:val="sl-SI"/>
        </w:rPr>
        <w:t>e</w:t>
      </w:r>
      <w:r w:rsidRPr="00545EC0">
        <w:rPr>
          <w:rFonts w:cs="Arial"/>
        </w:rPr>
        <w:t xml:space="preserve"> </w:t>
      </w:r>
      <w:r w:rsidR="00590E36" w:rsidRPr="00545EC0">
        <w:rPr>
          <w:rFonts w:cs="Arial"/>
        </w:rPr>
        <w:t>presoje vplivov na stanje voda;</w:t>
      </w:r>
    </w:p>
    <w:p w14:paraId="2F48E412" w14:textId="670B3444" w:rsidR="00590E36" w:rsidRPr="00545EC0" w:rsidRDefault="00E128E5"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strošk</w:t>
      </w:r>
      <w:r w:rsidRPr="00545EC0">
        <w:rPr>
          <w:rFonts w:cs="Arial"/>
          <w:lang w:val="sl-SI"/>
        </w:rPr>
        <w:t>e</w:t>
      </w:r>
      <w:r w:rsidRPr="00545EC0">
        <w:rPr>
          <w:rFonts w:cs="Arial"/>
        </w:rPr>
        <w:t xml:space="preserve"> </w:t>
      </w:r>
      <w:r w:rsidR="00590E36" w:rsidRPr="00545EC0">
        <w:rPr>
          <w:rFonts w:cs="Arial"/>
        </w:rPr>
        <w:t>monitoringa voda;</w:t>
      </w:r>
    </w:p>
    <w:p w14:paraId="4D7F9E47" w14:textId="1E3E579E" w:rsidR="00590E36" w:rsidRPr="00545EC0" w:rsidRDefault="00590E36"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stroške izvedbe Operativnega programa oskrbe s pitno vodo</w:t>
      </w:r>
      <w:r w:rsidR="00485351" w:rsidRPr="00545EC0">
        <w:rPr>
          <w:rFonts w:cs="Arial"/>
          <w:lang w:val="sl-SI"/>
        </w:rPr>
        <w:t>;</w:t>
      </w:r>
    </w:p>
    <w:p w14:paraId="33E7D9F8" w14:textId="77777777" w:rsidR="00590E36" w:rsidRPr="00545EC0" w:rsidRDefault="00590E36"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 xml:space="preserve">trenutne stroške izvajanja GJS oskrbe s pitno vodo; </w:t>
      </w:r>
    </w:p>
    <w:p w14:paraId="60A1C034" w14:textId="77777777" w:rsidR="00590E36" w:rsidRPr="00545EC0" w:rsidRDefault="00590E36"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stroške podeljevanja vodnih pravic;</w:t>
      </w:r>
    </w:p>
    <w:p w14:paraId="3857852D" w14:textId="77777777" w:rsidR="00590E36" w:rsidRPr="00545EC0" w:rsidRDefault="00590E36"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stroške vzpodbujanja učinkovite in trajnostne rabe vode (namakanje kmetijskih površin).</w:t>
      </w:r>
    </w:p>
    <w:p w14:paraId="7171451B" w14:textId="33E1144F" w:rsidR="007B4939" w:rsidRPr="00545EC0" w:rsidRDefault="00E128E5"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strošk</w:t>
      </w:r>
      <w:r w:rsidRPr="00545EC0">
        <w:rPr>
          <w:rFonts w:cs="Arial"/>
          <w:lang w:val="sl-SI"/>
        </w:rPr>
        <w:t>e</w:t>
      </w:r>
      <w:r w:rsidRPr="00545EC0">
        <w:rPr>
          <w:rFonts w:cs="Arial"/>
        </w:rPr>
        <w:t xml:space="preserve"> </w:t>
      </w:r>
      <w:r w:rsidR="007B4939" w:rsidRPr="00545EC0">
        <w:rPr>
          <w:rFonts w:cs="Arial"/>
        </w:rPr>
        <w:t>drugih ukrepov.</w:t>
      </w:r>
    </w:p>
    <w:p w14:paraId="0135503C" w14:textId="77777777" w:rsidR="008B3245" w:rsidRPr="00545EC0" w:rsidRDefault="008B3245" w:rsidP="008B3245">
      <w:pPr>
        <w:tabs>
          <w:tab w:val="center" w:pos="426"/>
        </w:tabs>
        <w:overflowPunct/>
        <w:autoSpaceDE/>
        <w:autoSpaceDN/>
        <w:adjustRightInd/>
        <w:contextualSpacing/>
        <w:textAlignment w:val="auto"/>
        <w:rPr>
          <w:rFonts w:cs="Arial"/>
          <w:szCs w:val="22"/>
        </w:rPr>
      </w:pPr>
    </w:p>
    <w:p w14:paraId="5ACAC850" w14:textId="77777777" w:rsidR="003E43A7" w:rsidRPr="00545EC0" w:rsidRDefault="003E43A7" w:rsidP="003E43A7">
      <w:r w:rsidRPr="00545EC0">
        <w:rPr>
          <w:rFonts w:cs="Arial"/>
        </w:rPr>
        <w:t xml:space="preserve">Predvidene vire </w:t>
      </w:r>
      <w:r w:rsidRPr="00545EC0">
        <w:t xml:space="preserve">financiranja ukrepov predstavljajo: </w:t>
      </w:r>
    </w:p>
    <w:p w14:paraId="30739CA6" w14:textId="77777777" w:rsidR="003E43A7" w:rsidRPr="00545EC0" w:rsidRDefault="003E43A7" w:rsidP="00DD37C5">
      <w:pPr>
        <w:pStyle w:val="Odstavekseznama"/>
        <w:numPr>
          <w:ilvl w:val="0"/>
          <w:numId w:val="105"/>
        </w:numPr>
      </w:pPr>
      <w:r w:rsidRPr="00545EC0">
        <w:t>Kohezijska sredstva</w:t>
      </w:r>
      <w:r w:rsidRPr="00545EC0">
        <w:rPr>
          <w:lang w:val="sl-SI"/>
        </w:rPr>
        <w:t xml:space="preserve"> (</w:t>
      </w:r>
      <w:r w:rsidRPr="00545EC0">
        <w:rPr>
          <w:rFonts w:cs="Arial"/>
        </w:rPr>
        <w:t>večletni finančni okvir 2021 – 2021</w:t>
      </w:r>
      <w:r w:rsidRPr="00545EC0">
        <w:rPr>
          <w:rFonts w:cs="Arial"/>
          <w:lang w:val="sl-SI"/>
        </w:rPr>
        <w:t>)</w:t>
      </w:r>
      <w:r w:rsidRPr="00545EC0">
        <w:rPr>
          <w:lang w:val="sl-SI"/>
        </w:rPr>
        <w:t>,</w:t>
      </w:r>
    </w:p>
    <w:p w14:paraId="5E4D623F" w14:textId="77777777" w:rsidR="003E43A7" w:rsidRPr="00545EC0" w:rsidRDefault="003E43A7" w:rsidP="00DD37C5">
      <w:pPr>
        <w:pStyle w:val="Odstavekseznama"/>
        <w:numPr>
          <w:ilvl w:val="0"/>
          <w:numId w:val="105"/>
        </w:numPr>
      </w:pPr>
      <w:r w:rsidRPr="00545EC0">
        <w:rPr>
          <w:rFonts w:cs="Arial"/>
        </w:rPr>
        <w:t>Načrt okrevanja in odpornosti</w:t>
      </w:r>
    </w:p>
    <w:p w14:paraId="59BEF1D6" w14:textId="77777777" w:rsidR="003E43A7" w:rsidRPr="00545EC0" w:rsidRDefault="003E43A7" w:rsidP="00DD37C5">
      <w:pPr>
        <w:pStyle w:val="Odstavekseznama"/>
        <w:numPr>
          <w:ilvl w:val="0"/>
          <w:numId w:val="105"/>
        </w:numPr>
      </w:pPr>
      <w:r w:rsidRPr="00545EC0">
        <w:rPr>
          <w:rFonts w:cs="Arial"/>
        </w:rPr>
        <w:t xml:space="preserve">Evropski kmetijski jamstveni sklad </w:t>
      </w:r>
      <w:r w:rsidRPr="00545EC0">
        <w:rPr>
          <w:rFonts w:cs="Arial"/>
          <w:lang w:val="sl-SI"/>
        </w:rPr>
        <w:t xml:space="preserve">in </w:t>
      </w:r>
      <w:r w:rsidRPr="00545EC0">
        <w:rPr>
          <w:rFonts w:cs="Arial"/>
          <w:noProof/>
          <w:szCs w:val="20"/>
        </w:rPr>
        <w:t>Evropsk</w:t>
      </w:r>
      <w:r w:rsidRPr="00545EC0">
        <w:rPr>
          <w:rFonts w:cs="Arial"/>
          <w:noProof/>
          <w:szCs w:val="20"/>
          <w:lang w:val="sl-SI"/>
        </w:rPr>
        <w:t>i</w:t>
      </w:r>
      <w:r w:rsidRPr="00545EC0">
        <w:rPr>
          <w:rFonts w:cs="Arial"/>
          <w:noProof/>
          <w:szCs w:val="20"/>
        </w:rPr>
        <w:t xml:space="preserve"> kmetijsk</w:t>
      </w:r>
      <w:r w:rsidRPr="00545EC0">
        <w:rPr>
          <w:rFonts w:cs="Arial"/>
          <w:noProof/>
          <w:szCs w:val="20"/>
          <w:lang w:val="sl-SI"/>
        </w:rPr>
        <w:t>i</w:t>
      </w:r>
      <w:r w:rsidRPr="00545EC0">
        <w:rPr>
          <w:rFonts w:cs="Arial"/>
          <w:noProof/>
          <w:szCs w:val="20"/>
        </w:rPr>
        <w:t xml:space="preserve"> sklad za razvoj podeželja</w:t>
      </w:r>
    </w:p>
    <w:p w14:paraId="0D508E9D" w14:textId="77777777" w:rsidR="003E43A7" w:rsidRPr="00545EC0" w:rsidRDefault="003E43A7" w:rsidP="00DD37C5">
      <w:pPr>
        <w:pStyle w:val="Odstavekseznama"/>
        <w:numPr>
          <w:ilvl w:val="0"/>
          <w:numId w:val="105"/>
        </w:numPr>
      </w:pPr>
      <w:r w:rsidRPr="00545EC0">
        <w:t>Državni proračun</w:t>
      </w:r>
      <w:r w:rsidRPr="00545EC0">
        <w:rPr>
          <w:lang w:val="sl-SI"/>
        </w:rPr>
        <w:t>,</w:t>
      </w:r>
    </w:p>
    <w:p w14:paraId="667BD7C7" w14:textId="77777777" w:rsidR="003E43A7" w:rsidRPr="00545EC0" w:rsidRDefault="003E43A7" w:rsidP="00DD37C5">
      <w:pPr>
        <w:pStyle w:val="Odstavekseznama"/>
        <w:numPr>
          <w:ilvl w:val="0"/>
          <w:numId w:val="105"/>
        </w:numPr>
      </w:pPr>
      <w:r w:rsidRPr="00545EC0">
        <w:t>Občinski proračuni</w:t>
      </w:r>
      <w:r w:rsidRPr="00545EC0">
        <w:rPr>
          <w:lang w:val="sl-SI"/>
        </w:rPr>
        <w:t>,</w:t>
      </w:r>
    </w:p>
    <w:p w14:paraId="3811D6B8" w14:textId="77777777" w:rsidR="003E43A7" w:rsidRPr="00545EC0" w:rsidRDefault="003E43A7" w:rsidP="00DD37C5">
      <w:pPr>
        <w:pStyle w:val="Odstavekseznama"/>
        <w:numPr>
          <w:ilvl w:val="0"/>
          <w:numId w:val="105"/>
        </w:numPr>
      </w:pPr>
      <w:r w:rsidRPr="00545EC0">
        <w:t>Sklad za vode</w:t>
      </w:r>
      <w:r w:rsidRPr="00545EC0">
        <w:rPr>
          <w:lang w:val="sl-SI"/>
        </w:rPr>
        <w:t>.</w:t>
      </w:r>
    </w:p>
    <w:p w14:paraId="4BE2E728" w14:textId="77777777" w:rsidR="003E43A7" w:rsidRPr="00545EC0" w:rsidRDefault="003E43A7" w:rsidP="008B3245">
      <w:pPr>
        <w:tabs>
          <w:tab w:val="center" w:pos="426"/>
        </w:tabs>
        <w:overflowPunct/>
        <w:autoSpaceDE/>
        <w:autoSpaceDN/>
        <w:adjustRightInd/>
        <w:contextualSpacing/>
        <w:textAlignment w:val="auto"/>
        <w:rPr>
          <w:rFonts w:cs="Arial"/>
          <w:szCs w:val="22"/>
        </w:rPr>
      </w:pPr>
    </w:p>
    <w:p w14:paraId="4544ACEC" w14:textId="0AB4E393" w:rsidR="00A7600A" w:rsidRPr="00545EC0" w:rsidRDefault="00A7600A" w:rsidP="00A7600A">
      <w:pPr>
        <w:tabs>
          <w:tab w:val="center" w:pos="426"/>
        </w:tabs>
        <w:overflowPunct/>
        <w:autoSpaceDE/>
        <w:autoSpaceDN/>
        <w:adjustRightInd/>
        <w:contextualSpacing/>
        <w:textAlignment w:val="auto"/>
        <w:rPr>
          <w:rFonts w:cs="Arial"/>
          <w:noProof/>
          <w:szCs w:val="20"/>
        </w:rPr>
      </w:pPr>
      <w:r w:rsidRPr="00545EC0">
        <w:rPr>
          <w:rFonts w:cs="Arial"/>
        </w:rPr>
        <w:t xml:space="preserve">Stroški izvedbe ukrepov odvajanja in čiščenja komunalne odpadne vode </w:t>
      </w:r>
      <w:r w:rsidR="00C12042" w:rsidRPr="00545EC0">
        <w:rPr>
          <w:rFonts w:cs="Arial"/>
        </w:rPr>
        <w:t>skladno</w:t>
      </w:r>
      <w:r w:rsidRPr="00545EC0">
        <w:rPr>
          <w:rFonts w:cs="Arial"/>
        </w:rPr>
        <w:t xml:space="preserve"> s podatki iz </w:t>
      </w:r>
      <w:r w:rsidR="004940A8" w:rsidRPr="00545EC0">
        <w:rPr>
          <w:rFonts w:cs="Arial"/>
        </w:rPr>
        <w:t xml:space="preserve">Operativnega programa </w:t>
      </w:r>
      <w:r w:rsidRPr="00545EC0">
        <w:rPr>
          <w:rFonts w:cs="Arial"/>
        </w:rPr>
        <w:t xml:space="preserve">odvajanja in čiščenja komunalnih odpadnih voda, znašajo 998 mio EUR. Viri financiranja za izvajanje ukrepov v obdobju 2021-2027 so Evropska kohezijska sredstva in Načrt okrevanja in odpornosti za aglomeracije večje od 2.000 PE </w:t>
      </w:r>
      <w:r w:rsidR="004940A8" w:rsidRPr="00545EC0">
        <w:rPr>
          <w:rFonts w:cs="Arial"/>
        </w:rPr>
        <w:t xml:space="preserve">ter </w:t>
      </w:r>
      <w:r w:rsidR="003E43A7" w:rsidRPr="00545EC0">
        <w:rPr>
          <w:rFonts w:cs="Arial"/>
        </w:rPr>
        <w:t>Sklad za vode</w:t>
      </w:r>
      <w:r w:rsidR="004940A8" w:rsidRPr="00545EC0">
        <w:rPr>
          <w:rFonts w:cs="Arial"/>
        </w:rPr>
        <w:t xml:space="preserve"> za</w:t>
      </w:r>
      <w:r w:rsidRPr="00545EC0">
        <w:rPr>
          <w:rFonts w:cs="Arial"/>
        </w:rPr>
        <w:t xml:space="preserve"> </w:t>
      </w:r>
      <w:r w:rsidR="006809BC" w:rsidRPr="00545EC0">
        <w:rPr>
          <w:rFonts w:cs="Arial"/>
        </w:rPr>
        <w:t xml:space="preserve">aglomeracije </w:t>
      </w:r>
      <w:r w:rsidRPr="00545EC0">
        <w:rPr>
          <w:rFonts w:cs="Arial"/>
          <w:noProof/>
          <w:szCs w:val="20"/>
        </w:rPr>
        <w:t>manjše od 2.000 PE. V okviru priprave Skupne kmetijske politike so predvidene finančne spodbude za izgradnjo malih čistilnih naprav za kmete.</w:t>
      </w:r>
    </w:p>
    <w:p w14:paraId="76AAB36C" w14:textId="77777777" w:rsidR="00A7600A" w:rsidRPr="00545EC0" w:rsidRDefault="00A7600A" w:rsidP="00A7600A">
      <w:pPr>
        <w:tabs>
          <w:tab w:val="center" w:pos="426"/>
        </w:tabs>
        <w:overflowPunct/>
        <w:autoSpaceDE/>
        <w:autoSpaceDN/>
        <w:adjustRightInd/>
        <w:contextualSpacing/>
        <w:textAlignment w:val="auto"/>
        <w:rPr>
          <w:rFonts w:cs="Arial"/>
          <w:noProof/>
          <w:szCs w:val="20"/>
        </w:rPr>
      </w:pPr>
    </w:p>
    <w:p w14:paraId="0DB22056" w14:textId="11FD7BF4" w:rsidR="00A7600A" w:rsidRPr="00545EC0" w:rsidRDefault="00A7600A" w:rsidP="00A7600A">
      <w:pPr>
        <w:tabs>
          <w:tab w:val="center" w:pos="426"/>
        </w:tabs>
        <w:overflowPunct/>
        <w:autoSpaceDE/>
        <w:autoSpaceDN/>
        <w:adjustRightInd/>
        <w:contextualSpacing/>
        <w:textAlignment w:val="auto"/>
        <w:rPr>
          <w:rFonts w:cs="Arial"/>
        </w:rPr>
      </w:pPr>
      <w:r w:rsidRPr="00545EC0">
        <w:rPr>
          <w:rFonts w:cs="Arial"/>
          <w:noProof/>
          <w:szCs w:val="20"/>
        </w:rPr>
        <w:t>Oskrba s pitno vodo je zaradi posebnega pomena opr</w:t>
      </w:r>
      <w:r w:rsidR="004940A8" w:rsidRPr="00545EC0">
        <w:rPr>
          <w:rFonts w:cs="Arial"/>
          <w:noProof/>
          <w:szCs w:val="20"/>
        </w:rPr>
        <w:t>e</w:t>
      </w:r>
      <w:r w:rsidRPr="00545EC0">
        <w:rPr>
          <w:rFonts w:cs="Arial"/>
          <w:noProof/>
          <w:szCs w:val="20"/>
        </w:rPr>
        <w:t>deljene</w:t>
      </w:r>
      <w:r w:rsidR="004940A8" w:rsidRPr="00545EC0">
        <w:rPr>
          <w:rFonts w:cs="Arial"/>
          <w:noProof/>
          <w:szCs w:val="20"/>
        </w:rPr>
        <w:t>g</w:t>
      </w:r>
      <w:r w:rsidRPr="00545EC0">
        <w:rPr>
          <w:rFonts w:cs="Arial"/>
          <w:noProof/>
          <w:szCs w:val="20"/>
        </w:rPr>
        <w:t xml:space="preserve">a kot obvezna občinska gospodarska javna služba. Stroški izvedbe ukrepov za izboljšanje oskrbe prebivalcev s pitno vodo skladno s podatki Operativnega programa oskrbe s pitno </w:t>
      </w:r>
      <w:r w:rsidR="004940A8" w:rsidRPr="00545EC0">
        <w:rPr>
          <w:rFonts w:cs="Arial"/>
          <w:noProof/>
          <w:szCs w:val="20"/>
        </w:rPr>
        <w:t xml:space="preserve">vodo </w:t>
      </w:r>
      <w:r w:rsidRPr="00545EC0">
        <w:rPr>
          <w:rFonts w:cs="Arial"/>
          <w:noProof/>
          <w:szCs w:val="20"/>
        </w:rPr>
        <w:t xml:space="preserve">znašajo 620,4 mio EUR. </w:t>
      </w:r>
      <w:r w:rsidRPr="00545EC0">
        <w:rPr>
          <w:rFonts w:cs="Arial"/>
        </w:rPr>
        <w:t xml:space="preserve">Viri financiranja za izvajanje </w:t>
      </w:r>
      <w:r w:rsidRPr="00545EC0">
        <w:rPr>
          <w:rFonts w:cs="Arial"/>
        </w:rPr>
        <w:lastRenderedPageBreak/>
        <w:t xml:space="preserve">ukrepov v obdobju 2021-2027 so Vodni sklad, </w:t>
      </w:r>
      <w:r w:rsidR="004940A8" w:rsidRPr="00545EC0">
        <w:rPr>
          <w:rFonts w:cs="Arial"/>
        </w:rPr>
        <w:t>k</w:t>
      </w:r>
      <w:r w:rsidRPr="00545EC0">
        <w:rPr>
          <w:rFonts w:cs="Arial"/>
        </w:rPr>
        <w:t>ohezijska sredstva (</w:t>
      </w:r>
      <w:r w:rsidR="004940A8" w:rsidRPr="00545EC0">
        <w:rPr>
          <w:rFonts w:cs="Arial"/>
        </w:rPr>
        <w:t>v</w:t>
      </w:r>
      <w:r w:rsidRPr="00545EC0">
        <w:rPr>
          <w:rFonts w:cs="Arial"/>
        </w:rPr>
        <w:t>ečletni finančni okvir 2021 - 2021), državni proračuni, občinski proračuni</w:t>
      </w:r>
      <w:r w:rsidR="004940A8" w:rsidRPr="00545EC0">
        <w:rPr>
          <w:rFonts w:cs="Arial"/>
        </w:rPr>
        <w:t xml:space="preserve"> in</w:t>
      </w:r>
      <w:r w:rsidRPr="00545EC0">
        <w:rPr>
          <w:rFonts w:cs="Arial"/>
        </w:rPr>
        <w:t xml:space="preserve"> Načrt okrevanja in odpornosti.</w:t>
      </w:r>
    </w:p>
    <w:p w14:paraId="058F3E84" w14:textId="77777777" w:rsidR="00A7600A" w:rsidRPr="00545EC0" w:rsidRDefault="00A7600A" w:rsidP="00A7600A">
      <w:pPr>
        <w:tabs>
          <w:tab w:val="center" w:pos="426"/>
        </w:tabs>
        <w:overflowPunct/>
        <w:autoSpaceDE/>
        <w:autoSpaceDN/>
        <w:adjustRightInd/>
        <w:contextualSpacing/>
        <w:textAlignment w:val="auto"/>
        <w:rPr>
          <w:rFonts w:cs="Arial"/>
        </w:rPr>
      </w:pPr>
    </w:p>
    <w:p w14:paraId="635DF510" w14:textId="53348213" w:rsidR="00A7600A" w:rsidRPr="00545EC0" w:rsidRDefault="00A7600A" w:rsidP="00A7600A">
      <w:pPr>
        <w:tabs>
          <w:tab w:val="center" w:pos="426"/>
        </w:tabs>
        <w:overflowPunct/>
        <w:autoSpaceDE/>
        <w:autoSpaceDN/>
        <w:adjustRightInd/>
        <w:contextualSpacing/>
        <w:textAlignment w:val="auto"/>
        <w:rPr>
          <w:rFonts w:cs="Arial"/>
        </w:rPr>
      </w:pPr>
      <w:r w:rsidRPr="00545EC0">
        <w:rPr>
          <w:rFonts w:cs="Arial"/>
        </w:rPr>
        <w:t xml:space="preserve">Strošek neposrednih plačil kmetijske politike, ki prispevajo k ciljem upravljanja voda, bo opredeljen v okviru Strateškega načrta </w:t>
      </w:r>
      <w:r w:rsidR="00E05022" w:rsidRPr="00545EC0">
        <w:rPr>
          <w:rFonts w:cs="Arial"/>
        </w:rPr>
        <w:t>S</w:t>
      </w:r>
      <w:r w:rsidRPr="00545EC0">
        <w:rPr>
          <w:rFonts w:cs="Arial"/>
        </w:rPr>
        <w:t>kupne kmetijske politike v obdobju 2023 – 2027</w:t>
      </w:r>
      <w:r w:rsidR="003E43A7" w:rsidRPr="00545EC0">
        <w:rPr>
          <w:rFonts w:cs="Arial"/>
        </w:rPr>
        <w:t xml:space="preserve"> (v nadaljnjem besedilu SN 2023-2027)</w:t>
      </w:r>
      <w:r w:rsidRPr="00545EC0">
        <w:rPr>
          <w:rFonts w:cs="Arial"/>
        </w:rPr>
        <w:t xml:space="preserve">. Navedeni dokument je </w:t>
      </w:r>
      <w:r w:rsidR="003E43A7" w:rsidRPr="00545EC0">
        <w:rPr>
          <w:rFonts w:cs="Arial"/>
        </w:rPr>
        <w:t xml:space="preserve">bil </w:t>
      </w:r>
      <w:r w:rsidRPr="00545EC0">
        <w:rPr>
          <w:rFonts w:cs="Arial"/>
        </w:rPr>
        <w:t xml:space="preserve">predmet javne obravnave v </w:t>
      </w:r>
      <w:r w:rsidR="00E05022" w:rsidRPr="00545EC0">
        <w:rPr>
          <w:rFonts w:cs="Arial"/>
        </w:rPr>
        <w:t xml:space="preserve">novembru </w:t>
      </w:r>
      <w:r w:rsidRPr="00545EC0">
        <w:rPr>
          <w:rFonts w:cs="Arial"/>
        </w:rPr>
        <w:t>2021.</w:t>
      </w:r>
      <w:r w:rsidR="00E05022" w:rsidRPr="00545EC0">
        <w:rPr>
          <w:rFonts w:cs="Arial"/>
        </w:rPr>
        <w:t xml:space="preserve"> Sredstva, ki jih ima Slovenija v okviru SN 2023–2027 na voljo znašajo 1,2 mrd EUR sredstev. Za I. steber SKP (</w:t>
      </w:r>
      <w:r w:rsidR="003E43A7" w:rsidRPr="00545EC0">
        <w:rPr>
          <w:rFonts w:cs="Arial"/>
        </w:rPr>
        <w:t xml:space="preserve">Evropski kmetijski jamstveni sklad - </w:t>
      </w:r>
      <w:r w:rsidR="00E05022" w:rsidRPr="00545EC0">
        <w:rPr>
          <w:rFonts w:cs="Arial"/>
        </w:rPr>
        <w:t>EKJS), ki vključuje neposredna plačila ter sektorske podpore za vino in čebele, je na voljo 685 mio, za II. steber SKP (</w:t>
      </w:r>
      <w:r w:rsidR="003E43A7" w:rsidRPr="00545EC0">
        <w:rPr>
          <w:rFonts w:cs="Arial"/>
          <w:color w:val="4D5156"/>
          <w:sz w:val="21"/>
          <w:szCs w:val="21"/>
          <w:shd w:val="clear" w:color="auto" w:fill="FFFFFF"/>
        </w:rPr>
        <w:t>Evropski kmetijski sklad za razvoj podeželja</w:t>
      </w:r>
      <w:r w:rsidR="003E43A7" w:rsidRPr="00545EC0">
        <w:rPr>
          <w:rFonts w:cs="Arial"/>
        </w:rPr>
        <w:t xml:space="preserve"> -</w:t>
      </w:r>
      <w:r w:rsidR="00E05022" w:rsidRPr="00545EC0">
        <w:rPr>
          <w:rFonts w:cs="Arial"/>
        </w:rPr>
        <w:t>EKSRP), ki obsega politiko razvoja podeželja, pa je na voljo 550 mio EUR. Slovenija dodatno zagotavlja 334 mio EUR iz nacionalnega proračuna. 25 % sredstev I. stebra mora država nameniti Shemi za podnebje in okolje, ukrepom, ki prispevajo k ciljem ohranjanja naravnih virov in narave, podnebnih sprememb ter biodiverzitete. Tem ciljem pa mora država tudi v okviru II. stebra nameniti vsaj 35 % sredstev tega stebra (SKP - Strateški poudarki in bistvene novosti, 2021).</w:t>
      </w:r>
      <w:r w:rsidR="003E43A7" w:rsidRPr="00545EC0">
        <w:rPr>
          <w:rFonts w:cs="Arial"/>
        </w:rPr>
        <w:t xml:space="preserve"> </w:t>
      </w:r>
    </w:p>
    <w:p w14:paraId="51A6410D" w14:textId="77777777" w:rsidR="007B4939" w:rsidRPr="00545EC0" w:rsidRDefault="007B4939" w:rsidP="008B3245">
      <w:pPr>
        <w:tabs>
          <w:tab w:val="center" w:pos="426"/>
        </w:tabs>
        <w:overflowPunct/>
        <w:autoSpaceDE/>
        <w:autoSpaceDN/>
        <w:adjustRightInd/>
        <w:contextualSpacing/>
        <w:textAlignment w:val="auto"/>
        <w:rPr>
          <w:rFonts w:cs="Arial"/>
        </w:rPr>
      </w:pPr>
    </w:p>
    <w:p w14:paraId="5DC925D9" w14:textId="3B589DB0" w:rsidR="008B3245" w:rsidRPr="00545EC0" w:rsidRDefault="007B4939" w:rsidP="008B3245">
      <w:pPr>
        <w:tabs>
          <w:tab w:val="center" w:pos="426"/>
        </w:tabs>
        <w:overflowPunct/>
        <w:autoSpaceDE/>
        <w:autoSpaceDN/>
        <w:adjustRightInd/>
        <w:contextualSpacing/>
        <w:textAlignment w:val="auto"/>
        <w:rPr>
          <w:rFonts w:cs="Arial"/>
        </w:rPr>
      </w:pPr>
      <w:r w:rsidRPr="00545EC0">
        <w:rPr>
          <w:rFonts w:cs="Arial"/>
        </w:rPr>
        <w:t xml:space="preserve"> </w:t>
      </w:r>
    </w:p>
    <w:p w14:paraId="0F64A8ED" w14:textId="77777777" w:rsidR="008B3245" w:rsidRPr="00545EC0" w:rsidRDefault="008B3245" w:rsidP="00590E36">
      <w:pPr>
        <w:rPr>
          <w:rFonts w:cs="Arial"/>
          <w:szCs w:val="22"/>
        </w:rPr>
      </w:pPr>
    </w:p>
    <w:p w14:paraId="119A0067" w14:textId="77777777" w:rsidR="00590E36" w:rsidRPr="00545EC0" w:rsidRDefault="00590E36" w:rsidP="003C7C5E">
      <w:pPr>
        <w:pStyle w:val="Naslov20"/>
      </w:pPr>
      <w:bookmarkStart w:id="713" w:name="_Toc90261087"/>
      <w:r w:rsidRPr="00545EC0">
        <w:t>Opredelitev vsote potrebnih finančnih sredstev in predvidenih virov finančnih sredstev za izvedbo izbrane kombinacije dopolnilnih ukrepov</w:t>
      </w:r>
      <w:bookmarkEnd w:id="713"/>
    </w:p>
    <w:p w14:paraId="5C0E1BE3" w14:textId="06C266FB" w:rsidR="00590E36" w:rsidRPr="00545EC0" w:rsidRDefault="00590E36" w:rsidP="00590E36">
      <w:pPr>
        <w:rPr>
          <w:rFonts w:cs="Arial"/>
          <w:szCs w:val="22"/>
        </w:rPr>
      </w:pPr>
      <w:r w:rsidRPr="00545EC0">
        <w:rPr>
          <w:rFonts w:cs="Arial"/>
          <w:szCs w:val="22"/>
        </w:rPr>
        <w:t xml:space="preserve">Ocenjeni stroški dopolnilnih ukrepov za doseganje dobrega stanja voda </w:t>
      </w:r>
      <w:r w:rsidR="00A310A0" w:rsidRPr="00545EC0">
        <w:rPr>
          <w:rFonts w:cs="Arial"/>
          <w:szCs w:val="22"/>
        </w:rPr>
        <w:t>so</w:t>
      </w:r>
      <w:r w:rsidR="004940A8" w:rsidRPr="00545EC0">
        <w:rPr>
          <w:rFonts w:cs="Arial"/>
          <w:szCs w:val="22"/>
        </w:rPr>
        <w:t xml:space="preserve"> bili</w:t>
      </w:r>
      <w:r w:rsidR="00A310A0" w:rsidRPr="00545EC0">
        <w:rPr>
          <w:rFonts w:cs="Arial"/>
          <w:szCs w:val="22"/>
        </w:rPr>
        <w:t xml:space="preserve"> v Programu ukrepov upravljanja voda (2016) ocenjeni na </w:t>
      </w:r>
      <w:r w:rsidRPr="00545EC0">
        <w:rPr>
          <w:rFonts w:cs="Arial"/>
          <w:szCs w:val="22"/>
        </w:rPr>
        <w:t>370 mio EUR</w:t>
      </w:r>
      <w:r w:rsidR="00A310A0" w:rsidRPr="00545EC0">
        <w:rPr>
          <w:rFonts w:cs="Arial"/>
          <w:szCs w:val="22"/>
        </w:rPr>
        <w:t>.</w:t>
      </w:r>
      <w:r w:rsidRPr="00545EC0">
        <w:rPr>
          <w:rFonts w:cs="Arial"/>
          <w:szCs w:val="22"/>
        </w:rPr>
        <w:t xml:space="preserve"> </w:t>
      </w:r>
      <w:r w:rsidR="00A310A0" w:rsidRPr="00545EC0">
        <w:rPr>
          <w:rFonts w:cs="Arial"/>
          <w:szCs w:val="22"/>
        </w:rPr>
        <w:t>V okviru sprememb in dopolnitev programa ukrepov upravljanja voda (2016) ostajajo relevantni naslednji ukrepi:</w:t>
      </w:r>
    </w:p>
    <w:p w14:paraId="47D456EF" w14:textId="4488FD28" w:rsidR="00590E36" w:rsidRPr="00545EC0" w:rsidRDefault="00A310A0" w:rsidP="00DD37C5">
      <w:pPr>
        <w:pStyle w:val="Odstavekseznama"/>
        <w:numPr>
          <w:ilvl w:val="0"/>
          <w:numId w:val="104"/>
        </w:numPr>
        <w:rPr>
          <w:rFonts w:cs="Arial"/>
          <w:noProof/>
          <w:szCs w:val="22"/>
        </w:rPr>
      </w:pPr>
      <w:r w:rsidRPr="00545EC0">
        <w:rPr>
          <w:rFonts w:cs="Arial"/>
          <w:noProof/>
          <w:szCs w:val="22"/>
        </w:rPr>
        <w:t>Ukrepi</w:t>
      </w:r>
      <w:r w:rsidRPr="00545EC0">
        <w:rPr>
          <w:rFonts w:cs="Arial"/>
          <w:noProof/>
          <w:szCs w:val="22"/>
          <w:lang w:val="sl-SI"/>
        </w:rPr>
        <w:t xml:space="preserve">, ki so potrebi zaradi zmanjševanja </w:t>
      </w:r>
      <w:r w:rsidRPr="00545EC0">
        <w:rPr>
          <w:rFonts w:cs="Arial"/>
          <w:noProof/>
          <w:szCs w:val="22"/>
        </w:rPr>
        <w:t>hidromorfološk</w:t>
      </w:r>
      <w:r w:rsidRPr="00545EC0">
        <w:rPr>
          <w:rFonts w:cs="Arial"/>
          <w:noProof/>
          <w:szCs w:val="22"/>
          <w:lang w:val="sl-SI"/>
        </w:rPr>
        <w:t>ih</w:t>
      </w:r>
      <w:r w:rsidRPr="00545EC0">
        <w:rPr>
          <w:rFonts w:cs="Arial"/>
          <w:noProof/>
          <w:szCs w:val="22"/>
        </w:rPr>
        <w:t xml:space="preserve"> obremenit</w:t>
      </w:r>
      <w:r w:rsidRPr="00545EC0">
        <w:rPr>
          <w:rFonts w:cs="Arial"/>
          <w:noProof/>
          <w:szCs w:val="22"/>
          <w:lang w:val="sl-SI"/>
        </w:rPr>
        <w:t>ev</w:t>
      </w:r>
      <w:r w:rsidRPr="00545EC0">
        <w:rPr>
          <w:rFonts w:cs="Arial"/>
          <w:noProof/>
          <w:szCs w:val="22"/>
        </w:rPr>
        <w:t>, in sicer:</w:t>
      </w:r>
    </w:p>
    <w:p w14:paraId="3817F70D" w14:textId="77777777" w:rsidR="00590E36" w:rsidRPr="00545EC0" w:rsidRDefault="00590E36" w:rsidP="00DD37C5">
      <w:pPr>
        <w:pStyle w:val="Odstavekseznama"/>
        <w:numPr>
          <w:ilvl w:val="1"/>
          <w:numId w:val="32"/>
        </w:numPr>
        <w:tabs>
          <w:tab w:val="center" w:pos="426"/>
        </w:tabs>
        <w:overflowPunct/>
        <w:autoSpaceDE/>
        <w:autoSpaceDN/>
        <w:adjustRightInd/>
        <w:contextualSpacing/>
        <w:textAlignment w:val="auto"/>
        <w:rPr>
          <w:rFonts w:cs="Arial"/>
        </w:rPr>
      </w:pPr>
      <w:r w:rsidRPr="00545EC0">
        <w:rPr>
          <w:rFonts w:cs="Arial"/>
        </w:rPr>
        <w:t>ukrepi za zmanjšanje negativnega vpliva regulacij in drugih ureditev vodotokov, zadrževalnikov, jezer in obalnega morja na stanje voda (obnove oziroma sonaravne ureditve) in</w:t>
      </w:r>
    </w:p>
    <w:p w14:paraId="0A6D7A9A" w14:textId="77777777" w:rsidR="00590E36" w:rsidRPr="00545EC0" w:rsidRDefault="00590E36" w:rsidP="00DD37C5">
      <w:pPr>
        <w:pStyle w:val="Odstavekseznama"/>
        <w:numPr>
          <w:ilvl w:val="1"/>
          <w:numId w:val="32"/>
        </w:numPr>
        <w:tabs>
          <w:tab w:val="center" w:pos="426"/>
        </w:tabs>
        <w:overflowPunct/>
        <w:autoSpaceDE/>
        <w:autoSpaceDN/>
        <w:adjustRightInd/>
        <w:contextualSpacing/>
        <w:textAlignment w:val="auto"/>
        <w:rPr>
          <w:rFonts w:cs="Arial"/>
        </w:rPr>
      </w:pPr>
      <w:r w:rsidRPr="00545EC0">
        <w:rPr>
          <w:rFonts w:cs="Arial"/>
        </w:rPr>
        <w:t>ukrepi za zmanjšanje negativnega vpliva rabe tal v obrežnem pasu na stanje voda.</w:t>
      </w:r>
    </w:p>
    <w:p w14:paraId="51C3BDDA" w14:textId="7CA70F88" w:rsidR="00590E36" w:rsidRPr="00545EC0" w:rsidRDefault="00A310A0" w:rsidP="00DD37C5">
      <w:pPr>
        <w:pStyle w:val="Odstavekseznama"/>
        <w:numPr>
          <w:ilvl w:val="0"/>
          <w:numId w:val="104"/>
        </w:numPr>
        <w:rPr>
          <w:rFonts w:cs="Arial"/>
          <w:noProof/>
          <w:szCs w:val="22"/>
        </w:rPr>
      </w:pPr>
      <w:r w:rsidRPr="00545EC0">
        <w:rPr>
          <w:rFonts w:cs="Arial"/>
          <w:noProof/>
          <w:szCs w:val="22"/>
          <w:lang w:val="sl-SI"/>
        </w:rPr>
        <w:t>Ukrepi</w:t>
      </w:r>
      <w:r w:rsidR="00590E36" w:rsidRPr="00545EC0">
        <w:rPr>
          <w:rFonts w:cs="Arial"/>
          <w:noProof/>
          <w:szCs w:val="22"/>
        </w:rPr>
        <w:t xml:space="preserve">, ki so potrebni zaradi </w:t>
      </w:r>
      <w:r w:rsidRPr="00545EC0">
        <w:rPr>
          <w:rFonts w:cs="Arial"/>
          <w:noProof/>
          <w:szCs w:val="22"/>
          <w:lang w:val="sl-SI"/>
        </w:rPr>
        <w:t xml:space="preserve">zmanjševanja </w:t>
      </w:r>
      <w:r w:rsidR="00590E36" w:rsidRPr="00545EC0">
        <w:rPr>
          <w:rFonts w:cs="Arial"/>
          <w:noProof/>
          <w:szCs w:val="22"/>
        </w:rPr>
        <w:t xml:space="preserve">onesnaževanja </w:t>
      </w:r>
      <w:r w:rsidRPr="00545EC0">
        <w:rPr>
          <w:rFonts w:cs="Arial"/>
          <w:noProof/>
          <w:szCs w:val="22"/>
          <w:lang w:val="sl-SI"/>
        </w:rPr>
        <w:t>voda, in sicer</w:t>
      </w:r>
      <w:r w:rsidR="00590E36" w:rsidRPr="00545EC0">
        <w:rPr>
          <w:rFonts w:cs="Arial"/>
          <w:noProof/>
          <w:szCs w:val="22"/>
        </w:rPr>
        <w:t>:</w:t>
      </w:r>
    </w:p>
    <w:p w14:paraId="5D572E55" w14:textId="77777777" w:rsidR="00590E36" w:rsidRPr="00545EC0" w:rsidRDefault="00590E36" w:rsidP="00DD37C5">
      <w:pPr>
        <w:pStyle w:val="Odstavekseznama"/>
        <w:numPr>
          <w:ilvl w:val="1"/>
          <w:numId w:val="32"/>
        </w:numPr>
        <w:tabs>
          <w:tab w:val="center" w:pos="426"/>
        </w:tabs>
        <w:overflowPunct/>
        <w:autoSpaceDE/>
        <w:autoSpaceDN/>
        <w:adjustRightInd/>
        <w:contextualSpacing/>
        <w:textAlignment w:val="auto"/>
        <w:rPr>
          <w:rFonts w:cs="Arial"/>
        </w:rPr>
      </w:pPr>
      <w:r w:rsidRPr="00545EC0">
        <w:rPr>
          <w:rFonts w:cs="Arial"/>
        </w:rPr>
        <w:t>ukrepi za zmanjšanje razpršenega onesnaževanja površinskih voda s fitofarmacevtskimi sredstvi v kmetijstvu,</w:t>
      </w:r>
    </w:p>
    <w:p w14:paraId="7499606C" w14:textId="5664C63D" w:rsidR="00590E36" w:rsidRPr="00545EC0" w:rsidRDefault="00590E36" w:rsidP="00DD37C5">
      <w:pPr>
        <w:pStyle w:val="Odstavekseznama"/>
        <w:numPr>
          <w:ilvl w:val="1"/>
          <w:numId w:val="32"/>
        </w:numPr>
        <w:tabs>
          <w:tab w:val="center" w:pos="426"/>
        </w:tabs>
        <w:overflowPunct/>
        <w:autoSpaceDE/>
        <w:autoSpaceDN/>
        <w:adjustRightInd/>
        <w:contextualSpacing/>
        <w:textAlignment w:val="auto"/>
        <w:rPr>
          <w:rFonts w:cs="Arial"/>
        </w:rPr>
      </w:pPr>
      <w:r w:rsidRPr="00545EC0">
        <w:rPr>
          <w:rFonts w:cs="Arial"/>
        </w:rPr>
        <w:t>priprava predloga aktivnosti za vodna telesa v slabem stanju zaradi onesnaževanja voda</w:t>
      </w:r>
      <w:r w:rsidR="004940A8" w:rsidRPr="00545EC0">
        <w:rPr>
          <w:rFonts w:cs="Arial"/>
          <w:lang w:val="sl-SI"/>
        </w:rPr>
        <w:t xml:space="preserve"> in</w:t>
      </w:r>
      <w:r w:rsidRPr="00545EC0">
        <w:rPr>
          <w:rFonts w:cs="Arial"/>
        </w:rPr>
        <w:t xml:space="preserve"> </w:t>
      </w:r>
    </w:p>
    <w:p w14:paraId="3B14FE81" w14:textId="77777777" w:rsidR="00590E36" w:rsidRPr="00545EC0" w:rsidRDefault="00590E36" w:rsidP="00DD37C5">
      <w:pPr>
        <w:pStyle w:val="Odstavekseznama"/>
        <w:numPr>
          <w:ilvl w:val="1"/>
          <w:numId w:val="32"/>
        </w:numPr>
        <w:tabs>
          <w:tab w:val="center" w:pos="426"/>
        </w:tabs>
        <w:overflowPunct/>
        <w:autoSpaceDE/>
        <w:autoSpaceDN/>
        <w:adjustRightInd/>
        <w:contextualSpacing/>
        <w:textAlignment w:val="auto"/>
        <w:rPr>
          <w:rFonts w:cs="Arial"/>
          <w:noProof/>
          <w:szCs w:val="22"/>
        </w:rPr>
      </w:pPr>
      <w:r w:rsidRPr="00545EC0">
        <w:rPr>
          <w:rFonts w:cs="Arial"/>
        </w:rPr>
        <w:t>priprava</w:t>
      </w:r>
      <w:r w:rsidRPr="00545EC0">
        <w:rPr>
          <w:rFonts w:cs="Arial"/>
          <w:noProof/>
          <w:szCs w:val="22"/>
        </w:rPr>
        <w:t xml:space="preserve"> predloga ukrepov za reševanje problemov v kvaliteti vode zaradi povišanih koncentracij sulfata.</w:t>
      </w:r>
    </w:p>
    <w:p w14:paraId="202CC065" w14:textId="77777777" w:rsidR="00590E36" w:rsidRPr="00545EC0" w:rsidRDefault="00590E36" w:rsidP="00590E36">
      <w:pPr>
        <w:rPr>
          <w:rFonts w:cs="Arial"/>
          <w:noProof/>
          <w:szCs w:val="22"/>
        </w:rPr>
      </w:pPr>
      <w:r w:rsidRPr="00545EC0">
        <w:rPr>
          <w:rFonts w:cs="Arial"/>
          <w:noProof/>
          <w:szCs w:val="22"/>
        </w:rPr>
        <w:t>Ukrep za zmanjšanje razpršenega onesnaževanja površinskih voda s hranili v kmetijstvu in ukrepi za zmanjšanje negativnega vpliva osuševanja zemljišč na stanje voda naslavljajo tako hidromorfološke obremenitve kot tudi obremenitve zaradi onesnaževanja.</w:t>
      </w:r>
    </w:p>
    <w:p w14:paraId="6FDDA4DA" w14:textId="77777777" w:rsidR="00590E36" w:rsidRPr="00545EC0" w:rsidRDefault="00590E36" w:rsidP="00590E36">
      <w:pPr>
        <w:rPr>
          <w:rFonts w:cs="Arial"/>
          <w:szCs w:val="20"/>
        </w:rPr>
      </w:pPr>
    </w:p>
    <w:p w14:paraId="57384648" w14:textId="26EEFFD9" w:rsidR="00A310A0" w:rsidRPr="00545EC0" w:rsidRDefault="00A310A0" w:rsidP="00590E36">
      <w:pPr>
        <w:rPr>
          <w:rFonts w:cs="Arial"/>
          <w:noProof/>
          <w:szCs w:val="22"/>
        </w:rPr>
      </w:pPr>
      <w:r w:rsidRPr="00545EC0">
        <w:rPr>
          <w:rFonts w:cs="Arial"/>
          <w:noProof/>
          <w:szCs w:val="22"/>
        </w:rPr>
        <w:t xml:space="preserve">Stroški dopolnilnih ukrepov za obdobje 2021-2027 bodo predmet usklajevanja v postopku javne obravnave osnutkov načrtov upravljanja voda na vodnih območjih in predloga sprememb in dopolnitev programa ukrepov upravljanja voda. </w:t>
      </w:r>
    </w:p>
    <w:p w14:paraId="36708E75" w14:textId="77777777" w:rsidR="00A310A0" w:rsidRPr="00545EC0" w:rsidRDefault="00A310A0" w:rsidP="00590E36">
      <w:pPr>
        <w:rPr>
          <w:rFonts w:cs="Arial"/>
          <w:szCs w:val="20"/>
        </w:rPr>
      </w:pPr>
    </w:p>
    <w:p w14:paraId="4F5F250C" w14:textId="77777777" w:rsidR="00A310A0" w:rsidRPr="00545EC0" w:rsidRDefault="00A310A0" w:rsidP="00590E36">
      <w:r w:rsidRPr="00545EC0">
        <w:t xml:space="preserve">Možne vire financiranja dopolnilnih ukrepov predstavljajo: </w:t>
      </w:r>
    </w:p>
    <w:p w14:paraId="627A4D77" w14:textId="77777777" w:rsidR="00A310A0" w:rsidRPr="00545EC0" w:rsidRDefault="00A310A0" w:rsidP="00DD37C5">
      <w:pPr>
        <w:pStyle w:val="Odstavekseznama"/>
        <w:numPr>
          <w:ilvl w:val="0"/>
          <w:numId w:val="105"/>
        </w:numPr>
      </w:pPr>
      <w:r w:rsidRPr="00545EC0">
        <w:t>Sklad za vode</w:t>
      </w:r>
      <w:r w:rsidRPr="00545EC0">
        <w:rPr>
          <w:lang w:val="sl-SI"/>
        </w:rPr>
        <w:t>,</w:t>
      </w:r>
    </w:p>
    <w:p w14:paraId="23BAA374" w14:textId="77777777" w:rsidR="00A310A0" w:rsidRPr="00545EC0" w:rsidRDefault="00A310A0" w:rsidP="00DD37C5">
      <w:pPr>
        <w:pStyle w:val="Odstavekseznama"/>
        <w:numPr>
          <w:ilvl w:val="0"/>
          <w:numId w:val="105"/>
        </w:numPr>
      </w:pPr>
      <w:r w:rsidRPr="00545EC0">
        <w:t>Podnebni sklad (kadar in v obsegu za katerega se utemelji, da gre tudi za prilagajanje na podnebne spremembe oz. blaženje podnebnih sprememb)</w:t>
      </w:r>
      <w:r w:rsidRPr="00545EC0">
        <w:rPr>
          <w:lang w:val="sl-SI"/>
        </w:rPr>
        <w:t>,</w:t>
      </w:r>
      <w:r w:rsidRPr="00545EC0">
        <w:t xml:space="preserve"> </w:t>
      </w:r>
    </w:p>
    <w:p w14:paraId="56A86CDA" w14:textId="77777777" w:rsidR="00A310A0" w:rsidRPr="00545EC0" w:rsidRDefault="00A310A0" w:rsidP="00DD37C5">
      <w:pPr>
        <w:pStyle w:val="Odstavekseznama"/>
        <w:numPr>
          <w:ilvl w:val="0"/>
          <w:numId w:val="105"/>
        </w:numPr>
      </w:pPr>
      <w:r w:rsidRPr="00545EC0">
        <w:t>Kohezijska sredstva</w:t>
      </w:r>
      <w:r w:rsidRPr="00545EC0">
        <w:rPr>
          <w:lang w:val="sl-SI"/>
        </w:rPr>
        <w:t>,</w:t>
      </w:r>
    </w:p>
    <w:p w14:paraId="067A3D85" w14:textId="0437434C" w:rsidR="00331EA8" w:rsidRPr="00545EC0" w:rsidRDefault="00331EA8" w:rsidP="00DD37C5">
      <w:pPr>
        <w:pStyle w:val="Odstavekseznama"/>
        <w:numPr>
          <w:ilvl w:val="0"/>
          <w:numId w:val="105"/>
        </w:numPr>
      </w:pPr>
      <w:r w:rsidRPr="00545EC0">
        <w:rPr>
          <w:rFonts w:cs="Arial"/>
          <w:noProof/>
          <w:szCs w:val="20"/>
        </w:rPr>
        <w:lastRenderedPageBreak/>
        <w:t>Evropsk</w:t>
      </w:r>
      <w:r w:rsidRPr="00545EC0">
        <w:rPr>
          <w:rFonts w:cs="Arial"/>
          <w:noProof/>
          <w:szCs w:val="20"/>
          <w:lang w:val="sl-SI"/>
        </w:rPr>
        <w:t>i</w:t>
      </w:r>
      <w:r w:rsidRPr="00545EC0">
        <w:rPr>
          <w:rFonts w:cs="Arial"/>
          <w:noProof/>
          <w:szCs w:val="20"/>
        </w:rPr>
        <w:t xml:space="preserve"> kmetijsk</w:t>
      </w:r>
      <w:r w:rsidRPr="00545EC0">
        <w:rPr>
          <w:rFonts w:cs="Arial"/>
          <w:noProof/>
          <w:szCs w:val="20"/>
          <w:lang w:val="sl-SI"/>
        </w:rPr>
        <w:t>i</w:t>
      </w:r>
      <w:r w:rsidRPr="00545EC0">
        <w:rPr>
          <w:rFonts w:cs="Arial"/>
          <w:noProof/>
          <w:szCs w:val="20"/>
        </w:rPr>
        <w:t xml:space="preserve"> sklad za razvoj podeželja</w:t>
      </w:r>
    </w:p>
    <w:p w14:paraId="6A3CF6F8" w14:textId="77777777" w:rsidR="00A310A0" w:rsidRPr="00545EC0" w:rsidRDefault="00A310A0" w:rsidP="00DD37C5">
      <w:pPr>
        <w:pStyle w:val="Odstavekseznama"/>
        <w:numPr>
          <w:ilvl w:val="0"/>
          <w:numId w:val="105"/>
        </w:numPr>
      </w:pPr>
      <w:r w:rsidRPr="00545EC0">
        <w:t>Državni proračun</w:t>
      </w:r>
      <w:r w:rsidRPr="00545EC0">
        <w:rPr>
          <w:lang w:val="sl-SI"/>
        </w:rPr>
        <w:t>,</w:t>
      </w:r>
    </w:p>
    <w:p w14:paraId="512AD759" w14:textId="77777777" w:rsidR="00A310A0" w:rsidRPr="00545EC0" w:rsidRDefault="00A310A0" w:rsidP="00DD37C5">
      <w:pPr>
        <w:pStyle w:val="Odstavekseznama"/>
        <w:numPr>
          <w:ilvl w:val="0"/>
          <w:numId w:val="105"/>
        </w:numPr>
      </w:pPr>
      <w:r w:rsidRPr="00545EC0">
        <w:t>Občinski proračuni</w:t>
      </w:r>
      <w:r w:rsidRPr="00545EC0">
        <w:rPr>
          <w:lang w:val="sl-SI"/>
        </w:rPr>
        <w:t>,</w:t>
      </w:r>
    </w:p>
    <w:p w14:paraId="3306F700" w14:textId="47408779" w:rsidR="00A310A0" w:rsidRPr="00545EC0" w:rsidRDefault="00A310A0" w:rsidP="00DD37C5">
      <w:pPr>
        <w:pStyle w:val="Odstavekseznama"/>
        <w:numPr>
          <w:ilvl w:val="0"/>
          <w:numId w:val="105"/>
        </w:numPr>
      </w:pPr>
      <w:r w:rsidRPr="00545EC0">
        <w:t>INTERREG makroregionalni programi za</w:t>
      </w:r>
      <w:r w:rsidRPr="00545EC0">
        <w:rPr>
          <w:lang w:val="sl-SI"/>
        </w:rPr>
        <w:t xml:space="preserve"> </w:t>
      </w:r>
      <w:r w:rsidRPr="00545EC0">
        <w:t>Območje Alp</w:t>
      </w:r>
      <w:r w:rsidRPr="00545EC0">
        <w:rPr>
          <w:lang w:val="sl-SI"/>
        </w:rPr>
        <w:t xml:space="preserve">, </w:t>
      </w:r>
      <w:r w:rsidRPr="00545EC0">
        <w:t>Srednjo Evropo</w:t>
      </w:r>
      <w:r w:rsidRPr="00545EC0">
        <w:rPr>
          <w:lang w:val="sl-SI"/>
        </w:rPr>
        <w:t xml:space="preserve">, </w:t>
      </w:r>
      <w:r w:rsidRPr="00545EC0">
        <w:t>Mediteran</w:t>
      </w:r>
      <w:r w:rsidRPr="00545EC0">
        <w:rPr>
          <w:lang w:val="sl-SI"/>
        </w:rPr>
        <w:t xml:space="preserve">, </w:t>
      </w:r>
      <w:r w:rsidRPr="00545EC0">
        <w:t>Podonavje</w:t>
      </w:r>
      <w:r w:rsidRPr="00545EC0">
        <w:rPr>
          <w:lang w:val="sl-SI"/>
        </w:rPr>
        <w:t xml:space="preserve">, </w:t>
      </w:r>
      <w:r w:rsidRPr="00545EC0">
        <w:t>Jadransko-jonski program</w:t>
      </w:r>
      <w:r w:rsidRPr="00545EC0">
        <w:rPr>
          <w:lang w:val="sl-SI"/>
        </w:rPr>
        <w:t>,</w:t>
      </w:r>
    </w:p>
    <w:p w14:paraId="69389B28" w14:textId="731602C6" w:rsidR="00331EA8" w:rsidRPr="00545EC0" w:rsidRDefault="00A310A0" w:rsidP="00DD37C5">
      <w:pPr>
        <w:pStyle w:val="Odstavekseznama"/>
        <w:numPr>
          <w:ilvl w:val="0"/>
          <w:numId w:val="105"/>
        </w:numPr>
      </w:pPr>
      <w:r w:rsidRPr="00545EC0">
        <w:t xml:space="preserve">INTERREG </w:t>
      </w:r>
      <w:r w:rsidR="00331EA8" w:rsidRPr="00545EC0">
        <w:t xml:space="preserve">V-A </w:t>
      </w:r>
      <w:r w:rsidRPr="00545EC0">
        <w:t>bilateralni programi</w:t>
      </w:r>
      <w:r w:rsidR="00331EA8" w:rsidRPr="00545EC0">
        <w:rPr>
          <w:lang w:val="sl-SI"/>
        </w:rPr>
        <w:t xml:space="preserve"> (</w:t>
      </w:r>
      <w:r w:rsidRPr="00545EC0">
        <w:t>Program sodelovanja Interreg V-A Italija-Slovenija (IT-SI)</w:t>
      </w:r>
      <w:r w:rsidR="00331EA8" w:rsidRPr="00545EC0">
        <w:rPr>
          <w:lang w:val="sl-SI"/>
        </w:rPr>
        <w:t xml:space="preserve">, </w:t>
      </w:r>
      <w:r w:rsidRPr="00545EC0">
        <w:t xml:space="preserve"> Program sodelovanja Interreg V-A Slovenija-Avstrija (SI-AT)</w:t>
      </w:r>
      <w:r w:rsidR="00331EA8" w:rsidRPr="00545EC0">
        <w:rPr>
          <w:lang w:val="sl-SI"/>
        </w:rPr>
        <w:t>,</w:t>
      </w:r>
      <w:r w:rsidRPr="00545EC0">
        <w:t xml:space="preserve"> Program sodelovanja Interre</w:t>
      </w:r>
      <w:r w:rsidR="00331EA8" w:rsidRPr="00545EC0">
        <w:t>g V-A Slovenija-Hrvaška (SI-HR)</w:t>
      </w:r>
      <w:r w:rsidR="00331EA8" w:rsidRPr="00545EC0">
        <w:rPr>
          <w:lang w:val="sl-SI"/>
        </w:rPr>
        <w:t xml:space="preserve">, </w:t>
      </w:r>
      <w:r w:rsidRPr="00545EC0">
        <w:t xml:space="preserve">Program sodelovanja Interreg </w:t>
      </w:r>
      <w:r w:rsidR="00331EA8" w:rsidRPr="00545EC0">
        <w:t>V-A Slovenija-Madžarska (SI-HU)</w:t>
      </w:r>
      <w:r w:rsidR="004940A8" w:rsidRPr="00545EC0">
        <w:rPr>
          <w:lang w:val="sl-SI"/>
        </w:rPr>
        <w:t xml:space="preserve"> in</w:t>
      </w:r>
    </w:p>
    <w:p w14:paraId="4AE9CD6A" w14:textId="653A674B" w:rsidR="00331EA8" w:rsidRPr="00545EC0" w:rsidRDefault="00331EA8" w:rsidP="00DD37C5">
      <w:pPr>
        <w:pStyle w:val="Odstavekseznama"/>
        <w:numPr>
          <w:ilvl w:val="0"/>
          <w:numId w:val="105"/>
        </w:numPr>
      </w:pPr>
      <w:r w:rsidRPr="00545EC0">
        <w:rPr>
          <w:rFonts w:cs="Arial"/>
          <w:szCs w:val="20"/>
        </w:rPr>
        <w:t>drugih programov EU</w:t>
      </w:r>
      <w:r w:rsidRPr="00545EC0">
        <w:rPr>
          <w:rFonts w:cs="Arial"/>
          <w:szCs w:val="20"/>
          <w:lang w:val="sl-SI"/>
        </w:rPr>
        <w:t>.</w:t>
      </w:r>
    </w:p>
    <w:p w14:paraId="1086E0CB" w14:textId="77777777" w:rsidR="00590E36" w:rsidRPr="00545EC0" w:rsidRDefault="00590E36" w:rsidP="003C7C5E">
      <w:pPr>
        <w:pStyle w:val="Naslov20"/>
      </w:pPr>
      <w:bookmarkStart w:id="714" w:name="_Toc90261088"/>
      <w:r w:rsidRPr="00545EC0">
        <w:t>Analiza občutljivosti</w:t>
      </w:r>
      <w:bookmarkEnd w:id="714"/>
      <w:r w:rsidRPr="00545EC0">
        <w:t xml:space="preserve"> </w:t>
      </w:r>
    </w:p>
    <w:p w14:paraId="216A787B" w14:textId="77777777" w:rsidR="00590E36" w:rsidRPr="00545EC0" w:rsidRDefault="00590E36" w:rsidP="00590E36">
      <w:pPr>
        <w:rPr>
          <w:rFonts w:cs="Arial"/>
          <w:szCs w:val="22"/>
        </w:rPr>
      </w:pPr>
      <w:r w:rsidRPr="00545EC0">
        <w:rPr>
          <w:rFonts w:cs="Arial"/>
          <w:szCs w:val="22"/>
        </w:rPr>
        <w:t xml:space="preserve">Analiza občutljivosti je </w:t>
      </w:r>
      <w:r w:rsidR="003F265D" w:rsidRPr="00545EC0">
        <w:rPr>
          <w:rFonts w:cs="Arial"/>
          <w:szCs w:val="22"/>
        </w:rPr>
        <w:t xml:space="preserve">skladno s predpisom, ki ureja enotno metodologijo za pripravo in obravnavo investicijske dokumentacije na področju javnih financ, </w:t>
      </w:r>
      <w:r w:rsidRPr="00545EC0">
        <w:rPr>
          <w:rFonts w:cs="Arial"/>
          <w:szCs w:val="22"/>
        </w:rPr>
        <w:t>analiza učinkov sprememb nekaterih ključnih predpostavk na rezultate ocenjevanja stroškov in koristi. Z analizo občutljivosti se ugotavlja, kateri so kritični parametri načrtovane investicije oziroma dopolnilnih ukrepov. Kritični parametri so tisti, pri katerih majhna sprememba parametra pomembno vpliva na končno oceno.</w:t>
      </w:r>
    </w:p>
    <w:p w14:paraId="0C9CCB06" w14:textId="77777777" w:rsidR="00590E36" w:rsidRPr="00545EC0" w:rsidRDefault="00590E36" w:rsidP="00590E36">
      <w:pPr>
        <w:rPr>
          <w:rFonts w:cs="Arial"/>
          <w:szCs w:val="22"/>
        </w:rPr>
      </w:pPr>
    </w:p>
    <w:p w14:paraId="76254B77" w14:textId="77777777" w:rsidR="00590E36" w:rsidRPr="00545EC0" w:rsidRDefault="000E13BA" w:rsidP="00590E36">
      <w:pPr>
        <w:rPr>
          <w:rFonts w:cs="Arial"/>
          <w:szCs w:val="22"/>
        </w:rPr>
      </w:pPr>
      <w:r w:rsidRPr="00545EC0">
        <w:rPr>
          <w:rFonts w:ascii="Helvetica" w:hAnsi="Helvetica"/>
        </w:rPr>
        <w:t>Skladno s predpisom, ki ureja podrobnejšo vsebino in način priprave načrta upravljanja voda, vsebuje opredelitev finančnih sredstev analizo občutljivosti glede na</w:t>
      </w:r>
      <w:r w:rsidR="00590E36" w:rsidRPr="00545EC0">
        <w:rPr>
          <w:rFonts w:cs="Arial"/>
          <w:szCs w:val="22"/>
        </w:rPr>
        <w:t>:</w:t>
      </w:r>
    </w:p>
    <w:p w14:paraId="0FCD0D78" w14:textId="77777777" w:rsidR="00590E36" w:rsidRPr="00545EC0" w:rsidRDefault="00590E36" w:rsidP="000E13BA">
      <w:pPr>
        <w:tabs>
          <w:tab w:val="decimal" w:pos="567"/>
        </w:tabs>
        <w:ind w:left="426" w:hanging="426"/>
        <w:rPr>
          <w:rFonts w:cs="Arial"/>
          <w:szCs w:val="22"/>
        </w:rPr>
      </w:pPr>
      <w:r w:rsidRPr="00545EC0">
        <w:rPr>
          <w:rFonts w:cs="Arial"/>
          <w:szCs w:val="22"/>
        </w:rPr>
        <w:t>1.</w:t>
      </w:r>
      <w:r w:rsidRPr="00545EC0">
        <w:rPr>
          <w:rFonts w:cs="Arial"/>
          <w:szCs w:val="22"/>
        </w:rPr>
        <w:tab/>
        <w:t>zanesljivost podatkov o stroških ukrepov,</w:t>
      </w:r>
    </w:p>
    <w:p w14:paraId="488A642C" w14:textId="77777777" w:rsidR="00590E36" w:rsidRPr="00545EC0" w:rsidRDefault="00590E36" w:rsidP="000E13BA">
      <w:pPr>
        <w:tabs>
          <w:tab w:val="decimal" w:pos="567"/>
        </w:tabs>
        <w:ind w:left="426" w:hanging="426"/>
        <w:rPr>
          <w:rFonts w:cs="Arial"/>
          <w:szCs w:val="22"/>
        </w:rPr>
      </w:pPr>
      <w:r w:rsidRPr="00545EC0">
        <w:rPr>
          <w:rFonts w:cs="Arial"/>
          <w:szCs w:val="22"/>
        </w:rPr>
        <w:t>2.</w:t>
      </w:r>
      <w:r w:rsidRPr="00545EC0">
        <w:rPr>
          <w:rFonts w:cs="Arial"/>
          <w:szCs w:val="22"/>
        </w:rPr>
        <w:tab/>
        <w:t>zanesljivost podatkov o učinkovitosti ukrepov in</w:t>
      </w:r>
    </w:p>
    <w:p w14:paraId="0031D2F1" w14:textId="77777777" w:rsidR="00590E36" w:rsidRPr="00545EC0" w:rsidRDefault="00590E36" w:rsidP="000E13BA">
      <w:pPr>
        <w:tabs>
          <w:tab w:val="decimal" w:pos="567"/>
        </w:tabs>
        <w:ind w:left="426" w:hanging="426"/>
        <w:rPr>
          <w:rFonts w:cs="Arial"/>
          <w:szCs w:val="22"/>
        </w:rPr>
      </w:pPr>
      <w:r w:rsidRPr="00545EC0">
        <w:rPr>
          <w:rFonts w:cs="Arial"/>
          <w:szCs w:val="22"/>
        </w:rPr>
        <w:t>3.</w:t>
      </w:r>
      <w:r w:rsidRPr="00545EC0">
        <w:rPr>
          <w:rFonts w:cs="Arial"/>
          <w:szCs w:val="22"/>
        </w:rPr>
        <w:tab/>
        <w:t>zanesljivost podatkov glede na časovni odmik učinkov ukrepov.</w:t>
      </w:r>
    </w:p>
    <w:p w14:paraId="12760AB2" w14:textId="77777777" w:rsidR="00590E36" w:rsidRPr="00545EC0" w:rsidRDefault="00590E36" w:rsidP="00590E36">
      <w:pPr>
        <w:rPr>
          <w:rFonts w:cs="Arial"/>
          <w:szCs w:val="22"/>
        </w:rPr>
      </w:pPr>
    </w:p>
    <w:p w14:paraId="55850969" w14:textId="48F3F35E" w:rsidR="00590E36" w:rsidRPr="00545EC0" w:rsidRDefault="00590E36" w:rsidP="00590E36">
      <w:pPr>
        <w:rPr>
          <w:rFonts w:cs="Arial"/>
          <w:szCs w:val="22"/>
        </w:rPr>
      </w:pPr>
      <w:r w:rsidRPr="00545EC0">
        <w:rPr>
          <w:rFonts w:cs="Arial"/>
          <w:szCs w:val="22"/>
        </w:rPr>
        <w:t xml:space="preserve">Glede na izkušnje z izvajanjem </w:t>
      </w:r>
      <w:r w:rsidR="005C4ADF" w:rsidRPr="00545EC0">
        <w:rPr>
          <w:rFonts w:cs="Arial"/>
          <w:szCs w:val="22"/>
        </w:rPr>
        <w:t>predhodnega načrta upravljanja voda</w:t>
      </w:r>
      <w:r w:rsidR="00D2780B" w:rsidRPr="00545EC0">
        <w:rPr>
          <w:rFonts w:cs="Arial"/>
          <w:szCs w:val="22"/>
        </w:rPr>
        <w:t xml:space="preserve"> </w:t>
      </w:r>
      <w:r w:rsidRPr="00545EC0">
        <w:rPr>
          <w:rFonts w:cs="Arial"/>
          <w:szCs w:val="22"/>
        </w:rPr>
        <w:t xml:space="preserve">so kritični parametri za izpolnitev zahtev iz </w:t>
      </w:r>
      <w:r w:rsidR="0086750A" w:rsidRPr="00545EC0">
        <w:rPr>
          <w:rFonts w:cs="Arial"/>
          <w:szCs w:val="22"/>
        </w:rPr>
        <w:t>v</w:t>
      </w:r>
      <w:r w:rsidRPr="00545EC0">
        <w:rPr>
          <w:rFonts w:cs="Arial"/>
          <w:szCs w:val="22"/>
        </w:rPr>
        <w:t xml:space="preserve">odne direktive predvsem: pravočasna izvedba ukrepov in zagotovitev potrebnih virov financiranja za njihovo izvedbo. </w:t>
      </w:r>
    </w:p>
    <w:p w14:paraId="0987B1CB" w14:textId="77777777" w:rsidR="001B0F7D" w:rsidRPr="00545EC0" w:rsidRDefault="001B0F7D" w:rsidP="00590E36">
      <w:pPr>
        <w:rPr>
          <w:rFonts w:cs="Arial"/>
          <w:szCs w:val="22"/>
        </w:rPr>
      </w:pPr>
    </w:p>
    <w:p w14:paraId="6BC6D292" w14:textId="77777777" w:rsidR="00590E36" w:rsidRPr="00545EC0" w:rsidRDefault="00590E36" w:rsidP="001B0F7D">
      <w:pPr>
        <w:rPr>
          <w:b/>
          <w:i/>
        </w:rPr>
      </w:pPr>
      <w:r w:rsidRPr="00545EC0">
        <w:rPr>
          <w:b/>
          <w:i/>
        </w:rPr>
        <w:t>Zanesljivost podatkov o stroških posameznih ukrepov</w:t>
      </w:r>
    </w:p>
    <w:p w14:paraId="35BC6C99" w14:textId="77777777" w:rsidR="001B0F7D" w:rsidRPr="00545EC0" w:rsidRDefault="001B0F7D" w:rsidP="001B0F7D"/>
    <w:p w14:paraId="45891DC1" w14:textId="77777777" w:rsidR="00590E36" w:rsidRPr="00545EC0" w:rsidRDefault="00590E36" w:rsidP="00590E36">
      <w:pPr>
        <w:rPr>
          <w:rFonts w:cs="Arial"/>
          <w:szCs w:val="22"/>
        </w:rPr>
      </w:pPr>
      <w:r w:rsidRPr="00545EC0">
        <w:rPr>
          <w:rFonts w:cs="Arial"/>
          <w:szCs w:val="22"/>
        </w:rPr>
        <w:t>Ocena stroškov ukrepov je napoved pričakovanih stroškov ob izvajanju posameznega ukrepa, kot je opredeljen v PU NUV. Zaradi nejasnosti ali pomanjkanja podatkov v fazi načrtovanja ukrepov, se lahko dejanski strošek izvajanja ukrepa razlikuje od predhodne ocene.</w:t>
      </w:r>
    </w:p>
    <w:p w14:paraId="3847528D" w14:textId="77777777" w:rsidR="00590E36" w:rsidRPr="00545EC0" w:rsidRDefault="00590E36" w:rsidP="00590E36">
      <w:pPr>
        <w:rPr>
          <w:rFonts w:cs="Arial"/>
          <w:szCs w:val="22"/>
        </w:rPr>
      </w:pPr>
    </w:p>
    <w:p w14:paraId="2336B21B" w14:textId="2E75665C" w:rsidR="00590E36" w:rsidRPr="00545EC0" w:rsidRDefault="00590E36" w:rsidP="00590E36">
      <w:pPr>
        <w:rPr>
          <w:rFonts w:cs="Arial"/>
          <w:szCs w:val="22"/>
        </w:rPr>
      </w:pPr>
      <w:r w:rsidRPr="00545EC0">
        <w:rPr>
          <w:rFonts w:cs="Arial"/>
          <w:szCs w:val="22"/>
        </w:rPr>
        <w:t xml:space="preserve">Z analizo občutljivosti </w:t>
      </w:r>
      <w:r w:rsidR="001B0F7D" w:rsidRPr="00545EC0">
        <w:rPr>
          <w:rFonts w:cs="Arial"/>
          <w:szCs w:val="22"/>
        </w:rPr>
        <w:t>se ugotavlja</w:t>
      </w:r>
      <w:r w:rsidRPr="00545EC0">
        <w:rPr>
          <w:rFonts w:cs="Arial"/>
          <w:szCs w:val="22"/>
        </w:rPr>
        <w:t xml:space="preserve"> učinek sprememb nekaterih ključnih predpostavk na rezultate ocenjevanja stroškov. Analiza občutljivosti </w:t>
      </w:r>
      <w:r w:rsidR="001B0F7D" w:rsidRPr="00545EC0">
        <w:rPr>
          <w:rFonts w:cs="Arial"/>
          <w:szCs w:val="22"/>
        </w:rPr>
        <w:t>se izvede</w:t>
      </w:r>
      <w:r w:rsidRPr="00545EC0">
        <w:rPr>
          <w:rFonts w:cs="Arial"/>
          <w:szCs w:val="22"/>
        </w:rPr>
        <w:t xml:space="preserve"> za spremenljivki:</w:t>
      </w:r>
    </w:p>
    <w:p w14:paraId="045B8935" w14:textId="77777777" w:rsidR="00590E36" w:rsidRPr="00545EC0" w:rsidRDefault="00590E36"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 xml:space="preserve">uporabljena napovedana inflacija </w:t>
      </w:r>
      <w:bookmarkStart w:id="715" w:name="_Toc437380372"/>
      <w:r w:rsidRPr="00545EC0">
        <w:rPr>
          <w:rFonts w:cs="Arial"/>
        </w:rPr>
        <w:t>in</w:t>
      </w:r>
    </w:p>
    <w:p w14:paraId="39F8519D" w14:textId="28660279" w:rsidR="00590E36" w:rsidRPr="00545EC0" w:rsidRDefault="00590E36"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uporabljene cene gradbenih storitev za oceno investicijskih stroškov ukrepov.</w:t>
      </w:r>
      <w:bookmarkEnd w:id="715"/>
    </w:p>
    <w:p w14:paraId="4854F936" w14:textId="77777777" w:rsidR="00590E36" w:rsidRPr="00545EC0" w:rsidRDefault="00590E36" w:rsidP="003C7C5E">
      <w:pPr>
        <w:pStyle w:val="Naslov20"/>
        <w:rPr>
          <w:lang w:val="sl-SI"/>
        </w:rPr>
      </w:pPr>
      <w:bookmarkStart w:id="716" w:name="_Toc299412066"/>
      <w:bookmarkStart w:id="717" w:name="_Toc90261089"/>
      <w:r w:rsidRPr="00545EC0">
        <w:t xml:space="preserve">Finančne posledice </w:t>
      </w:r>
      <w:r w:rsidR="00D2780B" w:rsidRPr="00545EC0">
        <w:t>p</w:t>
      </w:r>
      <w:r w:rsidRPr="00545EC0">
        <w:t xml:space="preserve">rograma </w:t>
      </w:r>
      <w:bookmarkEnd w:id="716"/>
      <w:r w:rsidRPr="00545EC0">
        <w:t>ukrepov</w:t>
      </w:r>
      <w:bookmarkEnd w:id="717"/>
      <w:r w:rsidRPr="00545EC0">
        <w:t xml:space="preserve"> </w:t>
      </w:r>
    </w:p>
    <w:p w14:paraId="038565E7" w14:textId="68E497A2" w:rsidR="001B0F7D" w:rsidRPr="00545EC0" w:rsidRDefault="00CA410E" w:rsidP="001B0F7D">
      <w:pPr>
        <w:rPr>
          <w:lang w:eastAsia="x-none"/>
        </w:rPr>
      </w:pPr>
      <w:r w:rsidRPr="00545EC0">
        <w:rPr>
          <w:lang w:eastAsia="x-none"/>
        </w:rPr>
        <w:t>Finančne posledice progama ukrepov se ocenjuje glede na oceno socio-ekonomskih in distribucijskih vplivov programa ukrepov in oceno finančnih posledic za proračun Slovenije. Obravnava se »temeljne ukrepe b« in dopolnilne ukrepe.</w:t>
      </w:r>
    </w:p>
    <w:p w14:paraId="30045923" w14:textId="77777777" w:rsidR="00CA410E" w:rsidRPr="00545EC0" w:rsidRDefault="00CA410E" w:rsidP="001B0F7D">
      <w:pPr>
        <w:rPr>
          <w:lang w:eastAsia="x-none"/>
        </w:rPr>
      </w:pPr>
    </w:p>
    <w:p w14:paraId="033C5158" w14:textId="085B9266" w:rsidR="00CA410E" w:rsidRPr="00545EC0" w:rsidRDefault="00CA410E" w:rsidP="00CA410E">
      <w:pPr>
        <w:rPr>
          <w:rFonts w:cs="Arial"/>
          <w:szCs w:val="22"/>
        </w:rPr>
      </w:pPr>
      <w:r w:rsidRPr="00545EC0">
        <w:rPr>
          <w:rFonts w:cs="Arial"/>
          <w:szCs w:val="22"/>
        </w:rPr>
        <w:lastRenderedPageBreak/>
        <w:t>Ocena finančnih posledic programa ukrepov je napoved pričakovanih stroškov ob izvajanju ukrepov iz Programa ukrepov upravljanja voda. Zaradi nejasnosti ali pomanjkanja podatkov v fazi načrtovanja ukrepov, se lahko dejanske finančne posledice lahko razlikujejo od predhodne ocene.</w:t>
      </w:r>
    </w:p>
    <w:p w14:paraId="03806E03" w14:textId="77777777" w:rsidR="00CA410E" w:rsidRPr="00545EC0" w:rsidRDefault="00CA410E" w:rsidP="00590E36">
      <w:pPr>
        <w:rPr>
          <w:rFonts w:cs="Arial"/>
          <w:szCs w:val="22"/>
        </w:rPr>
      </w:pPr>
    </w:p>
    <w:p w14:paraId="351E38AC" w14:textId="2FF5734D" w:rsidR="00CA410E" w:rsidRPr="00545EC0" w:rsidRDefault="00590E36" w:rsidP="00590E36">
      <w:pPr>
        <w:rPr>
          <w:rFonts w:cs="Arial"/>
          <w:szCs w:val="22"/>
        </w:rPr>
      </w:pPr>
      <w:r w:rsidRPr="00545EC0">
        <w:rPr>
          <w:rFonts w:cs="Arial"/>
          <w:szCs w:val="22"/>
        </w:rPr>
        <w:t>Večji del ukrepov bo financiran iz državnega proračuna in iz sredstev EU skladov. Del stroškov pa skladno z načelom »plača povzročitelj obremenitve« krijejo tisti, ki obremenjujejo vode</w:t>
      </w:r>
      <w:r w:rsidR="00CA410E" w:rsidRPr="00545EC0">
        <w:rPr>
          <w:rFonts w:cs="Arial"/>
          <w:szCs w:val="22"/>
        </w:rPr>
        <w:t xml:space="preserve"> (povzročitelji obremenitev)</w:t>
      </w:r>
      <w:r w:rsidRPr="00545EC0">
        <w:rPr>
          <w:rFonts w:cs="Arial"/>
          <w:szCs w:val="22"/>
        </w:rPr>
        <w:t xml:space="preserve">. </w:t>
      </w:r>
    </w:p>
    <w:p w14:paraId="7FFBF96F" w14:textId="77777777" w:rsidR="00CA410E" w:rsidRPr="00545EC0" w:rsidRDefault="00CA410E" w:rsidP="00590E36">
      <w:pPr>
        <w:rPr>
          <w:rFonts w:cs="Arial"/>
          <w:szCs w:val="22"/>
        </w:rPr>
      </w:pPr>
    </w:p>
    <w:p w14:paraId="4A59D53C" w14:textId="77777777" w:rsidR="00590E36" w:rsidRPr="00545EC0" w:rsidRDefault="00590E36" w:rsidP="00590E36">
      <w:pPr>
        <w:rPr>
          <w:rFonts w:cs="Arial"/>
          <w:szCs w:val="22"/>
        </w:rPr>
      </w:pPr>
      <w:r w:rsidRPr="00545EC0">
        <w:rPr>
          <w:rFonts w:cs="Arial"/>
          <w:szCs w:val="22"/>
        </w:rPr>
        <w:t xml:space="preserve">Namen temeljnih ukrepov »b« in dopolnilnih ukrepov je doseganje ciljev na področju upravljanja voda. Izvajanje ukrepov bo prispevalo k doseganju dobrega stanja podzemnih in površinskih voda. S tem se zagotavlja širok nabor ekosistemskih storitev, ki so povezane z vodo, kot so zagotavljanje oskrbe s pitno vodo, samočistilna sposobnost vodotokov, ohranitev ugodnih odtočnih razmer, ki so ključne pri poplavnih in erozijskih dogodkih, ohranitev biodiverzitete ter pogoji za razvoj z vodo povezanih gospodarskih dejavnosti (turizem, pridelava zdrave hrane, proizvodnja pijač, gojenje vodnih organizmov…). Vse to bo vplivalo na izboljšanje življenjskega okolja in kakovosti življenja. </w:t>
      </w:r>
    </w:p>
    <w:p w14:paraId="4EB8385D" w14:textId="77777777" w:rsidR="00590E36" w:rsidRPr="00545EC0" w:rsidRDefault="00590E36" w:rsidP="00CA410E">
      <w:pPr>
        <w:pStyle w:val="Naslov20"/>
      </w:pPr>
      <w:bookmarkStart w:id="718" w:name="_Toc299412067"/>
      <w:bookmarkStart w:id="719" w:name="_Toc90261090"/>
      <w:r w:rsidRPr="00545EC0">
        <w:t>Ocena možnih vplivov na ekonomsko ceno storitev, povezanih z obremenjevanjem voda</w:t>
      </w:r>
      <w:bookmarkEnd w:id="718"/>
      <w:bookmarkEnd w:id="719"/>
    </w:p>
    <w:p w14:paraId="0C5724A0" w14:textId="6CF4AD90" w:rsidR="00590E36" w:rsidRPr="00545EC0" w:rsidRDefault="00590E36" w:rsidP="00590E36">
      <w:pPr>
        <w:rPr>
          <w:rFonts w:cs="Arial"/>
          <w:szCs w:val="22"/>
        </w:rPr>
      </w:pPr>
      <w:r w:rsidRPr="00545EC0">
        <w:rPr>
          <w:rFonts w:cs="Arial"/>
          <w:szCs w:val="22"/>
        </w:rPr>
        <w:t>Osnovno vodilo upravljanja voda je načelo »plača povzročitelj obremenitve«. Ob upoštevanju tega načela se zagotavlja povračilo stroškov, ki jih povzročajo storitve, povezane z o</w:t>
      </w:r>
      <w:r w:rsidR="0086750A" w:rsidRPr="00545EC0">
        <w:rPr>
          <w:rFonts w:cs="Arial"/>
          <w:szCs w:val="22"/>
        </w:rPr>
        <w:t>bremenjevanjem voda. Skladno z v</w:t>
      </w:r>
      <w:r w:rsidRPr="00545EC0">
        <w:rPr>
          <w:rFonts w:cs="Arial"/>
          <w:szCs w:val="22"/>
        </w:rPr>
        <w:t>odno direktivo je potrebno zagotoviti cenovno politiko za vode, ki zagotavlja ustrezen prispevek k povračilu stroškov in ki uporabnike spodbuja h gospodarni rabi naravnih virov.</w:t>
      </w:r>
    </w:p>
    <w:p w14:paraId="0624C3A1" w14:textId="77777777" w:rsidR="00590E36" w:rsidRPr="00545EC0" w:rsidRDefault="00590E36" w:rsidP="00590E36">
      <w:pPr>
        <w:rPr>
          <w:rFonts w:cs="Arial"/>
          <w:szCs w:val="22"/>
        </w:rPr>
      </w:pPr>
    </w:p>
    <w:p w14:paraId="4B719F20" w14:textId="249A153E" w:rsidR="00590E36" w:rsidRPr="00545EC0" w:rsidRDefault="00590E36" w:rsidP="00590E36">
      <w:pPr>
        <w:rPr>
          <w:rFonts w:cs="Arial"/>
          <w:szCs w:val="22"/>
        </w:rPr>
      </w:pPr>
      <w:r w:rsidRPr="00545EC0">
        <w:rPr>
          <w:rFonts w:cs="Arial"/>
          <w:szCs w:val="22"/>
        </w:rPr>
        <w:t>Ukrepi za zagotavljanje povračila stroškov ob upoštevanju načela »plača povzročitelj obremenitve« se v Sloveniji že izvajajo. Povzročitelji obremenitev sami financirajo izvedbo nekaterih ukrepov za doseganje okoljskih ciljev. Poleg tega se za izvajanje storitev, povezanih z obremenjevanjem voda, plačuje dajatve za obremenjevanje voda. Dajatve za obremenjevanje voda so:</w:t>
      </w:r>
    </w:p>
    <w:p w14:paraId="60F26BD6" w14:textId="77777777" w:rsidR="00590E36" w:rsidRPr="00545EC0" w:rsidRDefault="00590E36"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 xml:space="preserve">okoljska dajatev za onesnaževanje okolja zaradi odvajanja odpadnih voda, </w:t>
      </w:r>
    </w:p>
    <w:p w14:paraId="4F1FC915" w14:textId="77777777" w:rsidR="00590E36" w:rsidRPr="00545EC0" w:rsidRDefault="00590E36"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 xml:space="preserve">vodno povračilo in </w:t>
      </w:r>
    </w:p>
    <w:p w14:paraId="11720A64" w14:textId="77777777" w:rsidR="00590E36" w:rsidRPr="00545EC0" w:rsidRDefault="00590E36" w:rsidP="00DD37C5">
      <w:pPr>
        <w:pStyle w:val="Odstavekseznama"/>
        <w:numPr>
          <w:ilvl w:val="0"/>
          <w:numId w:val="32"/>
        </w:numPr>
        <w:tabs>
          <w:tab w:val="center" w:pos="426"/>
        </w:tabs>
        <w:overflowPunct/>
        <w:autoSpaceDE/>
        <w:autoSpaceDN/>
        <w:adjustRightInd/>
        <w:ind w:left="426" w:hanging="426"/>
        <w:contextualSpacing/>
        <w:textAlignment w:val="auto"/>
        <w:rPr>
          <w:rFonts w:cs="Arial"/>
        </w:rPr>
      </w:pPr>
      <w:r w:rsidRPr="00545EC0">
        <w:rPr>
          <w:rFonts w:cs="Arial"/>
        </w:rPr>
        <w:t>plačilo za vodno pravico.</w:t>
      </w:r>
    </w:p>
    <w:p w14:paraId="5F05570C" w14:textId="77777777" w:rsidR="00590E36" w:rsidRPr="00545EC0" w:rsidRDefault="00590E36" w:rsidP="00590E36">
      <w:pPr>
        <w:rPr>
          <w:rFonts w:cs="Arial"/>
          <w:szCs w:val="22"/>
        </w:rPr>
      </w:pPr>
    </w:p>
    <w:p w14:paraId="1459D1F7" w14:textId="77777777" w:rsidR="009B678F" w:rsidRPr="00545EC0" w:rsidRDefault="009B678F" w:rsidP="009B678F">
      <w:pPr>
        <w:rPr>
          <w:rFonts w:cs="Arial"/>
          <w:i/>
        </w:rPr>
      </w:pPr>
    </w:p>
    <w:p w14:paraId="1853BD95" w14:textId="2F12F8F2" w:rsidR="006B362D" w:rsidRPr="00545EC0" w:rsidRDefault="009B678F" w:rsidP="0010797F">
      <w:pPr>
        <w:pStyle w:val="Naslov10"/>
      </w:pPr>
      <w:r w:rsidRPr="00545EC0">
        <w:rPr>
          <w:lang w:val="sl-SI"/>
        </w:rPr>
        <w:br w:type="page"/>
      </w:r>
      <w:bookmarkStart w:id="720" w:name="_Toc90261091"/>
      <w:r w:rsidR="003176A4" w:rsidRPr="00545EC0">
        <w:lastRenderedPageBreak/>
        <w:t>POVZETEK AKTIVNOSTI IN REZULTATOV SODELOVANJA JAVNOSTI</w:t>
      </w:r>
      <w:bookmarkEnd w:id="720"/>
    </w:p>
    <w:p w14:paraId="1F335167" w14:textId="215CE365" w:rsidR="00E75092" w:rsidRPr="00545EC0" w:rsidRDefault="00E75092" w:rsidP="00103910">
      <w:pPr>
        <w:pStyle w:val="Naslov20"/>
      </w:pPr>
      <w:r w:rsidRPr="00545EC0">
        <w:t xml:space="preserve"> </w:t>
      </w:r>
      <w:bookmarkStart w:id="721" w:name="_Toc90261092"/>
      <w:r w:rsidRPr="00545EC0">
        <w:t>Javna razprava dokumenta Pomembne zadeve upravljanja voda</w:t>
      </w:r>
      <w:bookmarkEnd w:id="721"/>
    </w:p>
    <w:p w14:paraId="0EC6AF38" w14:textId="77777777" w:rsidR="00E75092" w:rsidRPr="00545EC0" w:rsidRDefault="00E75092" w:rsidP="00E75092">
      <w:pPr>
        <w:pStyle w:val="Brezrazmikov"/>
        <w:rPr>
          <w:rFonts w:ascii="Arial" w:hAnsi="Arial" w:cs="Arial"/>
          <w:sz w:val="24"/>
        </w:rPr>
      </w:pPr>
    </w:p>
    <w:p w14:paraId="773CB6CE" w14:textId="77777777" w:rsidR="00E75092" w:rsidRPr="00545EC0" w:rsidRDefault="00E75092" w:rsidP="00E75092">
      <w:pPr>
        <w:pStyle w:val="Brezrazmikov"/>
        <w:spacing w:line="276" w:lineRule="auto"/>
        <w:jc w:val="both"/>
        <w:rPr>
          <w:rFonts w:ascii="Arial" w:hAnsi="Arial" w:cs="Arial"/>
          <w:sz w:val="20"/>
        </w:rPr>
      </w:pPr>
      <w:r w:rsidRPr="00545EC0">
        <w:rPr>
          <w:rFonts w:ascii="Arial" w:hAnsi="Arial" w:cs="Arial"/>
          <w:sz w:val="20"/>
        </w:rPr>
        <w:t xml:space="preserve">Dokument Pomembne zadeve upravljanja voda predstavlja začetno fazo priprave Načrta upravljanja voda in z javno obravnavo omogoča sodelovanje širše javnosti, ki lahko poda svoje mnenje, predloge in komentarje glede zaznanih ključnih okoljskih problemov v zvezi s stanjem voda. </w:t>
      </w:r>
    </w:p>
    <w:p w14:paraId="6F3DF744" w14:textId="77777777" w:rsidR="00E75092" w:rsidRPr="00545EC0" w:rsidRDefault="00E75092" w:rsidP="00E75092">
      <w:pPr>
        <w:pStyle w:val="Brezrazmikov"/>
        <w:spacing w:line="276" w:lineRule="auto"/>
        <w:jc w:val="both"/>
        <w:rPr>
          <w:rFonts w:ascii="Arial" w:hAnsi="Arial" w:cs="Arial"/>
          <w:sz w:val="20"/>
        </w:rPr>
      </w:pPr>
    </w:p>
    <w:p w14:paraId="49D54847" w14:textId="7D5B4332" w:rsidR="00E75092" w:rsidRPr="00545EC0" w:rsidRDefault="00E75092" w:rsidP="00113369">
      <w:pPr>
        <w:pStyle w:val="Brezrazmikov"/>
        <w:spacing w:line="276" w:lineRule="auto"/>
        <w:jc w:val="both"/>
        <w:rPr>
          <w:rFonts w:ascii="Arial" w:hAnsi="Arial" w:cs="Arial"/>
          <w:sz w:val="20"/>
        </w:rPr>
      </w:pPr>
      <w:r w:rsidRPr="00545EC0">
        <w:rPr>
          <w:rFonts w:ascii="Arial" w:hAnsi="Arial" w:cs="Arial"/>
          <w:sz w:val="20"/>
        </w:rPr>
        <w:t xml:space="preserve">Dokument je bil predmet javne obravnave 3 mesece in sicer od 4. avgusta 2020 do 31. oktobra 2020. V tem času </w:t>
      </w:r>
      <w:r w:rsidR="003905B8" w:rsidRPr="00545EC0">
        <w:rPr>
          <w:rFonts w:ascii="Arial" w:hAnsi="Arial" w:cs="Arial"/>
          <w:sz w:val="20"/>
        </w:rPr>
        <w:t xml:space="preserve">je ministrstvo </w:t>
      </w:r>
      <w:r w:rsidRPr="00545EC0">
        <w:rPr>
          <w:rFonts w:ascii="Arial" w:hAnsi="Arial" w:cs="Arial"/>
          <w:sz w:val="20"/>
        </w:rPr>
        <w:t>prejel</w:t>
      </w:r>
      <w:r w:rsidR="003905B8" w:rsidRPr="00545EC0">
        <w:rPr>
          <w:rFonts w:ascii="Arial" w:hAnsi="Arial" w:cs="Arial"/>
          <w:sz w:val="20"/>
        </w:rPr>
        <w:t>o</w:t>
      </w:r>
      <w:r w:rsidRPr="00545EC0">
        <w:rPr>
          <w:rFonts w:ascii="Arial" w:hAnsi="Arial" w:cs="Arial"/>
          <w:sz w:val="20"/>
        </w:rPr>
        <w:t xml:space="preserve"> preko 150 pripomb, predlogov in priporočil s strani 16 vladnih in nevladnih institucij, ki delujejo</w:t>
      </w:r>
      <w:r w:rsidR="00113369" w:rsidRPr="00545EC0">
        <w:rPr>
          <w:rFonts w:ascii="Arial" w:hAnsi="Arial" w:cs="Arial"/>
          <w:sz w:val="20"/>
        </w:rPr>
        <w:t xml:space="preserve"> na področju upravljanja voda. </w:t>
      </w:r>
    </w:p>
    <w:p w14:paraId="22E8BFBF" w14:textId="312DE208" w:rsidR="00E75092" w:rsidRPr="00545EC0" w:rsidRDefault="00E75092" w:rsidP="00103910">
      <w:pPr>
        <w:pStyle w:val="Naslov20"/>
      </w:pPr>
      <w:bookmarkStart w:id="722" w:name="_Toc90261093"/>
      <w:r w:rsidRPr="00545EC0">
        <w:t xml:space="preserve">Javna razprava osnutka </w:t>
      </w:r>
      <w:r w:rsidR="004E01BB" w:rsidRPr="00545EC0">
        <w:rPr>
          <w:lang w:val="sl-SI"/>
        </w:rPr>
        <w:t>načrta upravljanja voda na vodnem območju Donave</w:t>
      </w:r>
      <w:bookmarkEnd w:id="722"/>
    </w:p>
    <w:p w14:paraId="5610C991" w14:textId="77777777" w:rsidR="00E75092" w:rsidRPr="00545EC0" w:rsidRDefault="00E75092" w:rsidP="00E75092">
      <w:pPr>
        <w:pStyle w:val="Brezrazmikov"/>
        <w:rPr>
          <w:rFonts w:ascii="Arial" w:hAnsi="Arial" w:cs="Arial"/>
          <w:sz w:val="24"/>
        </w:rPr>
      </w:pPr>
    </w:p>
    <w:p w14:paraId="210FF476" w14:textId="26E6F4C9" w:rsidR="003905B8" w:rsidRDefault="003905B8" w:rsidP="00F07473">
      <w:pPr>
        <w:pStyle w:val="Brezrazmikov"/>
        <w:spacing w:line="276" w:lineRule="auto"/>
        <w:jc w:val="both"/>
        <w:rPr>
          <w:rFonts w:ascii="Arial" w:hAnsi="Arial" w:cs="Arial"/>
          <w:sz w:val="20"/>
        </w:rPr>
      </w:pPr>
      <w:r w:rsidRPr="00545EC0">
        <w:rPr>
          <w:rFonts w:ascii="Arial" w:hAnsi="Arial" w:cs="Arial"/>
          <w:sz w:val="20"/>
        </w:rPr>
        <w:t xml:space="preserve">V procesu priprave načrta upravljanja voda na vodnih območjih se skladno z določili 58. člena </w:t>
      </w:r>
      <w:r w:rsidR="00F07473" w:rsidRPr="00545EC0">
        <w:rPr>
          <w:rFonts w:ascii="Arial" w:hAnsi="Arial" w:cs="Arial"/>
          <w:sz w:val="20"/>
        </w:rPr>
        <w:t>z</w:t>
      </w:r>
      <w:r w:rsidRPr="00545EC0">
        <w:rPr>
          <w:rFonts w:ascii="Arial" w:hAnsi="Arial" w:cs="Arial"/>
          <w:sz w:val="20"/>
        </w:rPr>
        <w:t xml:space="preserve">akona o vodah zagotovi sodelovanje z javnostmi. Sodelovanje z javnostmi vključuje obveščanje javnosti, povabilo k sodelovanju ter obravnavo predlogov, mnenj ali pobud, ki se nanašajo na vprašanja upravljanja voda na vodnem območju Donave in Jadranskega morja. </w:t>
      </w:r>
    </w:p>
    <w:p w14:paraId="070ADF4A" w14:textId="77777777" w:rsidR="00EA776E" w:rsidRDefault="00EA776E" w:rsidP="00F07473">
      <w:pPr>
        <w:pStyle w:val="Brezrazmikov"/>
        <w:spacing w:line="276" w:lineRule="auto"/>
        <w:jc w:val="both"/>
        <w:rPr>
          <w:rFonts w:ascii="Arial" w:hAnsi="Arial" w:cs="Arial"/>
          <w:sz w:val="20"/>
        </w:rPr>
      </w:pPr>
    </w:p>
    <w:p w14:paraId="2395E614" w14:textId="77777777" w:rsidR="00871E4F" w:rsidRPr="00831DDE" w:rsidRDefault="00871E4F" w:rsidP="00871E4F">
      <w:pPr>
        <w:spacing w:line="276" w:lineRule="auto"/>
        <w:rPr>
          <w:rFonts w:cs="Arial"/>
          <w:color w:val="000000" w:themeColor="text1"/>
          <w:szCs w:val="20"/>
          <w:shd w:val="clear" w:color="auto" w:fill="FFFFFF"/>
        </w:rPr>
      </w:pPr>
      <w:r w:rsidRPr="00831DDE">
        <w:rPr>
          <w:rFonts w:cs="Arial"/>
          <w:color w:val="000000" w:themeColor="text1"/>
          <w:szCs w:val="20"/>
          <w:shd w:val="clear" w:color="auto" w:fill="FFFFFF"/>
        </w:rPr>
        <w:t xml:space="preserve">Osnutek načrta upravljanja voda na VO Donave je bil predmet javne obravnave od 16. decembra 2021 do 16. junija 2022. V maju in juniju 2022 so bile organizirane tudi javne regionalne delavnice in sicer </w:t>
      </w:r>
      <w:r w:rsidRPr="00831DDE">
        <w:rPr>
          <w:color w:val="000000" w:themeColor="text1"/>
          <w:szCs w:val="20"/>
        </w:rPr>
        <w:t xml:space="preserve">za območje zgornje Save (18. 5. 2022), za območje srednje Save (23. 5. 2022), za območje spodnje Save (31. 5. 2022), za območje Savinje (6. 6. 2022), za območje Mure (7. 6. 2022), za območje Drave (13. 6. 2022). </w:t>
      </w:r>
    </w:p>
    <w:p w14:paraId="48A852F3" w14:textId="77777777" w:rsidR="00871E4F" w:rsidRPr="00831DDE" w:rsidRDefault="00871E4F" w:rsidP="00871E4F">
      <w:pPr>
        <w:spacing w:line="276" w:lineRule="auto"/>
        <w:rPr>
          <w:color w:val="000000" w:themeColor="text1"/>
          <w:szCs w:val="20"/>
        </w:rPr>
      </w:pPr>
    </w:p>
    <w:p w14:paraId="7C830B44" w14:textId="77777777" w:rsidR="00871E4F" w:rsidRPr="00831DDE" w:rsidRDefault="00871E4F" w:rsidP="00871E4F">
      <w:pPr>
        <w:spacing w:line="276" w:lineRule="auto"/>
        <w:rPr>
          <w:color w:val="000000" w:themeColor="text1"/>
        </w:rPr>
      </w:pPr>
      <w:r w:rsidRPr="00831DDE">
        <w:rPr>
          <w:color w:val="000000" w:themeColor="text1"/>
          <w:szCs w:val="20"/>
        </w:rPr>
        <w:t xml:space="preserve">Udeležba na delavnicah za </w:t>
      </w:r>
      <w:r w:rsidRPr="00831DDE">
        <w:rPr>
          <w:rFonts w:cs="Arial"/>
          <w:color w:val="000000" w:themeColor="text1"/>
          <w:szCs w:val="20"/>
          <w:shd w:val="clear" w:color="auto" w:fill="FFFFFF"/>
        </w:rPr>
        <w:t xml:space="preserve">načrt upravljanja voda na VO Donave je bila naslednja: </w:t>
      </w:r>
      <w:r w:rsidRPr="00831DDE">
        <w:rPr>
          <w:color w:val="000000" w:themeColor="text1"/>
          <w:szCs w:val="20"/>
        </w:rPr>
        <w:t>območje zgornje Save (29 udeležencev), območje srednje Save (29 udeležencev), območje spodnje Save (22 udeležencev), območje Savinje (20 udeležencev), območje Mure (19 udeležencev) in območje Drave (19 udeležencev).</w:t>
      </w:r>
      <w:r w:rsidRPr="00831DDE">
        <w:rPr>
          <w:color w:val="000000" w:themeColor="text1"/>
        </w:rPr>
        <w:t xml:space="preserve"> </w:t>
      </w:r>
    </w:p>
    <w:p w14:paraId="4A542B7C" w14:textId="77777777" w:rsidR="00871E4F" w:rsidRPr="00831DDE" w:rsidRDefault="00871E4F" w:rsidP="00871E4F">
      <w:pPr>
        <w:spacing w:line="276" w:lineRule="auto"/>
        <w:rPr>
          <w:color w:val="000000" w:themeColor="text1"/>
        </w:rPr>
      </w:pPr>
    </w:p>
    <w:p w14:paraId="1A151096" w14:textId="77777777" w:rsidR="00871E4F" w:rsidRPr="00831DDE" w:rsidRDefault="00871E4F" w:rsidP="00871E4F">
      <w:pPr>
        <w:spacing w:line="276" w:lineRule="auto"/>
        <w:rPr>
          <w:color w:val="000000" w:themeColor="text1"/>
          <w:szCs w:val="20"/>
        </w:rPr>
      </w:pPr>
      <w:r w:rsidRPr="00831DDE">
        <w:rPr>
          <w:color w:val="000000" w:themeColor="text1"/>
        </w:rPr>
        <w:t xml:space="preserve">Regionalne delavnice so </w:t>
      </w:r>
      <w:r w:rsidRPr="00831DDE">
        <w:rPr>
          <w:color w:val="000000" w:themeColor="text1"/>
          <w:szCs w:val="20"/>
        </w:rPr>
        <w:t xml:space="preserve">potekale na daljavo, preko aplikacije Zoom. Na delavnicah je bilo mogoče podati pripombe, mnenja, komentarje in predloge glede obremenitev in ukrepov na posameznem porečju. Udeleženci so za </w:t>
      </w:r>
      <w:r w:rsidRPr="00831DDE">
        <w:rPr>
          <w:rFonts w:cs="Arial"/>
          <w:color w:val="000000" w:themeColor="text1"/>
          <w:szCs w:val="20"/>
          <w:shd w:val="clear" w:color="auto" w:fill="FFFFFF"/>
        </w:rPr>
        <w:t xml:space="preserve">VO Donave </w:t>
      </w:r>
      <w:r w:rsidRPr="00831DDE">
        <w:rPr>
          <w:color w:val="000000" w:themeColor="text1"/>
          <w:szCs w:val="20"/>
        </w:rPr>
        <w:t>na delavnicah podali skupno preko 560 komentarjev, pripomb in predlogov.</w:t>
      </w:r>
    </w:p>
    <w:p w14:paraId="352A0A7B" w14:textId="77777777" w:rsidR="00871E4F" w:rsidRPr="00831DDE" w:rsidRDefault="00871E4F" w:rsidP="00871E4F">
      <w:pPr>
        <w:spacing w:line="276" w:lineRule="auto"/>
        <w:rPr>
          <w:color w:val="000000" w:themeColor="text1"/>
          <w:szCs w:val="20"/>
        </w:rPr>
      </w:pPr>
    </w:p>
    <w:p w14:paraId="28E0EF2B" w14:textId="77777777" w:rsidR="00871E4F" w:rsidRPr="00831DDE" w:rsidRDefault="00871E4F" w:rsidP="00871E4F">
      <w:pPr>
        <w:spacing w:line="276" w:lineRule="auto"/>
        <w:rPr>
          <w:color w:val="000000" w:themeColor="text1"/>
          <w:szCs w:val="20"/>
        </w:rPr>
      </w:pPr>
      <w:r w:rsidRPr="00831DDE">
        <w:rPr>
          <w:color w:val="000000" w:themeColor="text1"/>
          <w:szCs w:val="20"/>
        </w:rPr>
        <w:t>Struktura udeležencev na regionalni delavnici je bila naslednja: državne institucije (predstavniki iz ministrstev, organov v sestavi,..) z 51 udeleženci (37 %), lokalne institucije (občine, …) s 17 udeleženci (12%), podjetja s 17 udeleženci (12%), komunalna podjetja s 6 udeleženci (5%), sektor energetika s 14 udeleženci (10%), zavodi in društva z 28 udeleženci (20%) in 5 posamezniki (4%).</w:t>
      </w:r>
    </w:p>
    <w:p w14:paraId="58442055" w14:textId="77777777" w:rsidR="00871E4F" w:rsidRPr="00831DDE" w:rsidRDefault="00871E4F" w:rsidP="00871E4F">
      <w:pPr>
        <w:spacing w:line="276" w:lineRule="auto"/>
        <w:rPr>
          <w:color w:val="000000" w:themeColor="text1"/>
          <w:szCs w:val="20"/>
        </w:rPr>
      </w:pPr>
    </w:p>
    <w:p w14:paraId="3AB7ECCA" w14:textId="77777777" w:rsidR="00871E4F" w:rsidRPr="00831DDE" w:rsidRDefault="00871E4F" w:rsidP="00871E4F">
      <w:pPr>
        <w:rPr>
          <w:rFonts w:cs="Arial"/>
          <w:color w:val="000000" w:themeColor="text1"/>
          <w:szCs w:val="20"/>
          <w:shd w:val="clear" w:color="auto" w:fill="FFFFFF"/>
        </w:rPr>
      </w:pPr>
      <w:r w:rsidRPr="00831DDE">
        <w:rPr>
          <w:rFonts w:cs="Arial"/>
          <w:color w:val="000000" w:themeColor="text1"/>
          <w:szCs w:val="20"/>
          <w:shd w:val="clear" w:color="auto" w:fill="FFFFFF"/>
        </w:rPr>
        <w:t xml:space="preserve">V okviru javne obravnave je ministrstvo prejelo komentarje, pripombe in predloge dopolnitev NUV III, ki so se nanašali predvsem na obremenitve iz kmetijstva (pesticidi, nitrati, pretirana raba gnojil), onesnaževanje voda (odpadne vode iz industrije in gospodinjstev, ureditev kanalizacije in čistilnih naprav), vodovarstvena območja, energetsko rabo vode iz hidroelektrarn, posege na priobalna zemljišča, urejanje vodotokov, odvzeme vode, inšpekcijski nadzor, hidrološke in morfološke </w:t>
      </w:r>
      <w:r w:rsidRPr="00831DDE">
        <w:rPr>
          <w:rFonts w:cs="Arial"/>
          <w:color w:val="000000" w:themeColor="text1"/>
          <w:szCs w:val="20"/>
          <w:shd w:val="clear" w:color="auto" w:fill="FFFFFF"/>
        </w:rPr>
        <w:lastRenderedPageBreak/>
        <w:t>obremenitve obremenitve (nihanje vodne gladine zaradi HE, prečni objekti, posegi v priobalni pas), obremenitve zaradi prometa in turizma, zagotavljanje sredtev, ozaveščanje in izobraževanje javnosti s področja voda, degradirana območja, ustreznost načrtovanja prostora, regijsko prostorsko politiko, zagotavljanje prehodov za vodne organizme odstranjevanje nefunkcionalnih pregrad, obvladovanje sedimentov (plavin), stara bremena (deponije), medsektorsko sodelovanje, čezmejno sodelovanje, ribolov, vračanje podzemne vode (reinjekcija).</w:t>
      </w:r>
    </w:p>
    <w:p w14:paraId="3D03D8F9" w14:textId="4D2B8E7B" w:rsidR="00871E4F" w:rsidRPr="00831DDE" w:rsidRDefault="00871E4F" w:rsidP="00871E4F">
      <w:pPr>
        <w:rPr>
          <w:rFonts w:cs="Arial"/>
          <w:color w:val="000000" w:themeColor="text1"/>
          <w:szCs w:val="20"/>
          <w:shd w:val="clear" w:color="auto" w:fill="FFFFFF"/>
        </w:rPr>
      </w:pPr>
      <w:r w:rsidRPr="00831DDE">
        <w:rPr>
          <w:rFonts w:cs="Arial"/>
          <w:color w:val="000000" w:themeColor="text1"/>
          <w:sz w:val="19"/>
          <w:szCs w:val="19"/>
        </w:rPr>
        <w:br/>
      </w:r>
      <w:r w:rsidRPr="00831DDE">
        <w:rPr>
          <w:rFonts w:cs="Arial"/>
          <w:color w:val="000000" w:themeColor="text1"/>
          <w:szCs w:val="20"/>
          <w:shd w:val="clear" w:color="auto" w:fill="FFFFFF"/>
        </w:rPr>
        <w:t xml:space="preserve">Ministrstvo je vse prejete komentarje, pripombe in predloge dopolnitev prejete v obdobju od 16. </w:t>
      </w:r>
      <w:r w:rsidR="00ED7F2C">
        <w:rPr>
          <w:rFonts w:cs="Arial"/>
          <w:color w:val="000000" w:themeColor="text1"/>
          <w:szCs w:val="20"/>
          <w:shd w:val="clear" w:color="auto" w:fill="FFFFFF"/>
        </w:rPr>
        <w:t>12</w:t>
      </w:r>
      <w:r w:rsidRPr="00831DDE">
        <w:rPr>
          <w:rFonts w:cs="Arial"/>
          <w:color w:val="000000" w:themeColor="text1"/>
          <w:szCs w:val="20"/>
          <w:shd w:val="clear" w:color="auto" w:fill="FFFFFF"/>
        </w:rPr>
        <w:t>. 2021 do 16. 6. 2022 natančno pregledalo, jih obravnavalo ter jih v čim večji meri poizkušalo vključiti v NUV III. V okviru obravnave pripomb in predlogov dopolnitev so bile izvedene posodobitve tako besedilnega dela NUV III, kot programa ukrepov. Določene predloge, ki so se nanašali na dopolnitve posameznih ukrepov je bilo možno delno ali v celoti upoštevati. Podane so bile tudi določene pripombe in dopolnitve, ki jih ni bilo možno upoštevati ali izvesti v okviru same priprave NUV III ampak jih je možno (delno ali v celoti) izvesti le v okviru izvajanja programa ukrepov NUV III v naslednjih letih. Take vrste pripomb so bile delno ali v celoti upoštevane v okviru posodobitev programa ukrepov NUV III.</w:t>
      </w:r>
    </w:p>
    <w:p w14:paraId="57A7AF42" w14:textId="77777777" w:rsidR="00871E4F" w:rsidRPr="00831DDE" w:rsidRDefault="00871E4F" w:rsidP="00871E4F">
      <w:pPr>
        <w:rPr>
          <w:color w:val="000000" w:themeColor="text1"/>
        </w:rPr>
      </w:pPr>
      <w:r w:rsidRPr="00831DDE">
        <w:rPr>
          <w:color w:val="000000" w:themeColor="text1"/>
          <w:sz w:val="19"/>
          <w:szCs w:val="19"/>
        </w:rPr>
        <w:br/>
      </w:r>
      <w:r w:rsidRPr="00831DDE">
        <w:rPr>
          <w:color w:val="000000" w:themeColor="text1"/>
          <w:shd w:val="clear" w:color="auto" w:fill="FFFFFF"/>
        </w:rPr>
        <w:t>Določene pripombe in predlogi dopolnitev so se nanašali tudi na področja, za katera so odgovorni drugi resorji in jih v okviru priprave NUV III in programa ukrepov prav tako  ni bilo možno upoštevati (razvoj hidroenergetske infrastrukture, razvoj namakalnih sistemov, razvoj turizma,…).</w:t>
      </w:r>
    </w:p>
    <w:p w14:paraId="0D370EF8" w14:textId="77777777" w:rsidR="00BE6134" w:rsidRPr="00625304" w:rsidRDefault="00BE6134" w:rsidP="00F06A3A">
      <w:pPr>
        <w:spacing w:line="276" w:lineRule="auto"/>
        <w:rPr>
          <w:rFonts w:cs="Arial"/>
          <w:color w:val="FF0000"/>
          <w:szCs w:val="20"/>
        </w:rPr>
      </w:pPr>
    </w:p>
    <w:p w14:paraId="79896ECE" w14:textId="77777777" w:rsidR="00963732" w:rsidRDefault="00963732" w:rsidP="00F06A3A">
      <w:pPr>
        <w:spacing w:line="276" w:lineRule="auto"/>
        <w:rPr>
          <w:rFonts w:cs="Arial"/>
          <w:color w:val="FF0000"/>
          <w:szCs w:val="20"/>
        </w:rPr>
      </w:pPr>
    </w:p>
    <w:p w14:paraId="4439CB54" w14:textId="77777777" w:rsidR="00393E35" w:rsidRDefault="00393E35" w:rsidP="00F06A3A">
      <w:pPr>
        <w:spacing w:line="276" w:lineRule="auto"/>
        <w:rPr>
          <w:rFonts w:cs="Arial"/>
          <w:color w:val="FF0000"/>
          <w:szCs w:val="20"/>
        </w:rPr>
      </w:pPr>
    </w:p>
    <w:p w14:paraId="783A2563" w14:textId="77777777" w:rsidR="00393E35" w:rsidRDefault="00393E35" w:rsidP="00F06A3A">
      <w:pPr>
        <w:spacing w:line="276" w:lineRule="auto"/>
        <w:rPr>
          <w:rFonts w:cs="Arial"/>
          <w:color w:val="FF0000"/>
          <w:szCs w:val="20"/>
        </w:rPr>
      </w:pPr>
    </w:p>
    <w:p w14:paraId="69B938EE" w14:textId="77777777" w:rsidR="00393E35" w:rsidRDefault="00393E35" w:rsidP="00F06A3A">
      <w:pPr>
        <w:spacing w:line="276" w:lineRule="auto"/>
        <w:rPr>
          <w:rFonts w:cs="Arial"/>
          <w:color w:val="FF0000"/>
          <w:szCs w:val="20"/>
        </w:rPr>
      </w:pPr>
    </w:p>
    <w:p w14:paraId="01C9E6F2" w14:textId="77777777" w:rsidR="00393E35" w:rsidRDefault="00393E35" w:rsidP="00F06A3A">
      <w:pPr>
        <w:spacing w:line="276" w:lineRule="auto"/>
        <w:rPr>
          <w:rFonts w:cs="Arial"/>
          <w:color w:val="FF0000"/>
          <w:szCs w:val="20"/>
        </w:rPr>
      </w:pPr>
    </w:p>
    <w:p w14:paraId="39AD7548" w14:textId="77777777" w:rsidR="00393E35" w:rsidRDefault="00393E35" w:rsidP="00F06A3A">
      <w:pPr>
        <w:spacing w:line="276" w:lineRule="auto"/>
        <w:rPr>
          <w:rFonts w:cs="Arial"/>
          <w:color w:val="FF0000"/>
          <w:szCs w:val="20"/>
        </w:rPr>
      </w:pPr>
    </w:p>
    <w:p w14:paraId="4E791ACF" w14:textId="77777777" w:rsidR="00393E35" w:rsidRDefault="00393E35" w:rsidP="00F06A3A">
      <w:pPr>
        <w:spacing w:line="276" w:lineRule="auto"/>
        <w:rPr>
          <w:rFonts w:cs="Arial"/>
          <w:color w:val="FF0000"/>
          <w:szCs w:val="20"/>
        </w:rPr>
      </w:pPr>
    </w:p>
    <w:p w14:paraId="170644E7" w14:textId="77777777" w:rsidR="00393E35" w:rsidRDefault="00393E35" w:rsidP="00F06A3A">
      <w:pPr>
        <w:spacing w:line="276" w:lineRule="auto"/>
        <w:rPr>
          <w:rFonts w:cs="Arial"/>
          <w:color w:val="FF0000"/>
          <w:szCs w:val="20"/>
        </w:rPr>
      </w:pPr>
    </w:p>
    <w:p w14:paraId="668E1341" w14:textId="77777777" w:rsidR="00393E35" w:rsidRDefault="00393E35" w:rsidP="00F06A3A">
      <w:pPr>
        <w:spacing w:line="276" w:lineRule="auto"/>
        <w:rPr>
          <w:rFonts w:cs="Arial"/>
          <w:color w:val="FF0000"/>
          <w:szCs w:val="20"/>
        </w:rPr>
      </w:pPr>
    </w:p>
    <w:p w14:paraId="73858D6F" w14:textId="77777777" w:rsidR="00393E35" w:rsidRDefault="00393E35" w:rsidP="00F06A3A">
      <w:pPr>
        <w:spacing w:line="276" w:lineRule="auto"/>
        <w:rPr>
          <w:rFonts w:cs="Arial"/>
          <w:color w:val="FF0000"/>
          <w:szCs w:val="20"/>
        </w:rPr>
      </w:pPr>
    </w:p>
    <w:p w14:paraId="658FDFF2" w14:textId="77777777" w:rsidR="00393E35" w:rsidRDefault="00393E35" w:rsidP="00F06A3A">
      <w:pPr>
        <w:spacing w:line="276" w:lineRule="auto"/>
        <w:rPr>
          <w:rFonts w:cs="Arial"/>
          <w:color w:val="FF0000"/>
          <w:szCs w:val="20"/>
        </w:rPr>
      </w:pPr>
    </w:p>
    <w:p w14:paraId="5B8F3415" w14:textId="77777777" w:rsidR="00393E35" w:rsidRDefault="00393E35" w:rsidP="00F06A3A">
      <w:pPr>
        <w:spacing w:line="276" w:lineRule="auto"/>
        <w:rPr>
          <w:rFonts w:cs="Arial"/>
          <w:color w:val="FF0000"/>
          <w:szCs w:val="20"/>
        </w:rPr>
      </w:pPr>
    </w:p>
    <w:p w14:paraId="1FCDFC6C" w14:textId="77777777" w:rsidR="00393E35" w:rsidRDefault="00393E35" w:rsidP="00F06A3A">
      <w:pPr>
        <w:spacing w:line="276" w:lineRule="auto"/>
        <w:rPr>
          <w:rFonts w:cs="Arial"/>
          <w:color w:val="FF0000"/>
          <w:szCs w:val="20"/>
        </w:rPr>
      </w:pPr>
    </w:p>
    <w:p w14:paraId="3C597933" w14:textId="77777777" w:rsidR="00393E35" w:rsidRDefault="00393E35" w:rsidP="00F06A3A">
      <w:pPr>
        <w:spacing w:line="276" w:lineRule="auto"/>
        <w:rPr>
          <w:rFonts w:cs="Arial"/>
          <w:color w:val="FF0000"/>
          <w:szCs w:val="20"/>
        </w:rPr>
      </w:pPr>
    </w:p>
    <w:p w14:paraId="4F8B7BAF" w14:textId="77777777" w:rsidR="00393E35" w:rsidRDefault="00393E35" w:rsidP="00F06A3A">
      <w:pPr>
        <w:spacing w:line="276" w:lineRule="auto"/>
        <w:rPr>
          <w:rFonts w:cs="Arial"/>
          <w:color w:val="FF0000"/>
          <w:szCs w:val="20"/>
        </w:rPr>
      </w:pPr>
    </w:p>
    <w:p w14:paraId="286CDA5C" w14:textId="77777777" w:rsidR="00963732" w:rsidRPr="00625304" w:rsidRDefault="00963732" w:rsidP="00F06A3A">
      <w:pPr>
        <w:spacing w:line="276" w:lineRule="auto"/>
        <w:rPr>
          <w:rFonts w:cs="Arial"/>
          <w:color w:val="FF0000"/>
          <w:szCs w:val="20"/>
        </w:rPr>
      </w:pPr>
    </w:p>
    <w:p w14:paraId="159DC6B3" w14:textId="4616023E" w:rsidR="00493E8B" w:rsidRPr="00545EC0" w:rsidRDefault="00E7394C" w:rsidP="003C7C5E">
      <w:pPr>
        <w:pStyle w:val="Naslov10"/>
      </w:pPr>
      <w:bookmarkStart w:id="723" w:name="_Ref427315996"/>
      <w:bookmarkStart w:id="724" w:name="_Toc90261094"/>
      <w:r w:rsidRPr="00545EC0">
        <w:lastRenderedPageBreak/>
        <w:t>PRILOGE</w:t>
      </w:r>
      <w:bookmarkEnd w:id="723"/>
      <w:bookmarkEnd w:id="724"/>
    </w:p>
    <w:p w14:paraId="60DC7B52" w14:textId="77777777" w:rsidR="00493E8B" w:rsidRPr="00545EC0" w:rsidRDefault="00782CC2" w:rsidP="003C7C5E">
      <w:pPr>
        <w:pStyle w:val="Naslov20"/>
      </w:pPr>
      <w:bookmarkStart w:id="725" w:name="_Toc90261095"/>
      <w:r w:rsidRPr="00545EC0">
        <w:t>S</w:t>
      </w:r>
      <w:r w:rsidR="00493E8B" w:rsidRPr="00545EC0">
        <w:t>eznam morebitnih podrobnejših programov in načrtov upravljanj</w:t>
      </w:r>
      <w:r w:rsidRPr="00545EC0">
        <w:t xml:space="preserve">a voda, ki vplivajo na </w:t>
      </w:r>
      <w:r w:rsidR="00493E8B" w:rsidRPr="00545EC0">
        <w:t>upravljanje voda na območju, na katero se nanaša načrt, sku</w:t>
      </w:r>
      <w:r w:rsidR="007F1FF4" w:rsidRPr="00545EC0">
        <w:t>paj s povzetkom njihovih vsebin</w:t>
      </w:r>
      <w:bookmarkEnd w:id="725"/>
    </w:p>
    <w:p w14:paraId="4935E736" w14:textId="77777777" w:rsidR="00493E8B" w:rsidRPr="00545EC0" w:rsidRDefault="00782CC2" w:rsidP="003C7C5E">
      <w:pPr>
        <w:pStyle w:val="Naslov20"/>
      </w:pPr>
      <w:bookmarkStart w:id="726" w:name="_Ref427316067"/>
      <w:bookmarkStart w:id="727" w:name="_Toc90261096"/>
      <w:r w:rsidRPr="00545EC0">
        <w:t xml:space="preserve">Poročilo o </w:t>
      </w:r>
      <w:r w:rsidR="00493E8B" w:rsidRPr="00545EC0">
        <w:t>aktivnosti</w:t>
      </w:r>
      <w:r w:rsidRPr="00545EC0">
        <w:t xml:space="preserve">h </w:t>
      </w:r>
      <w:r w:rsidR="00493E8B" w:rsidRPr="00545EC0">
        <w:t>in rezultat</w:t>
      </w:r>
      <w:r w:rsidRPr="00545EC0">
        <w:t>ih</w:t>
      </w:r>
      <w:r w:rsidR="00493E8B" w:rsidRPr="00545EC0">
        <w:t xml:space="preserve"> sodelovan</w:t>
      </w:r>
      <w:r w:rsidRPr="00545EC0">
        <w:t>ja javnosti pri pripravi načrta</w:t>
      </w:r>
      <w:bookmarkEnd w:id="726"/>
      <w:bookmarkEnd w:id="727"/>
    </w:p>
    <w:p w14:paraId="2AFBE198" w14:textId="77777777" w:rsidR="00782CC2" w:rsidRPr="00545EC0" w:rsidRDefault="00782CC2" w:rsidP="003C7C5E">
      <w:pPr>
        <w:pStyle w:val="Naslov20"/>
      </w:pPr>
      <w:bookmarkStart w:id="728" w:name="_Ref427316071"/>
      <w:bookmarkStart w:id="729" w:name="_Toc90261097"/>
      <w:r w:rsidRPr="00545EC0">
        <w:t>S</w:t>
      </w:r>
      <w:r w:rsidR="00493E8B" w:rsidRPr="00545EC0">
        <w:t xml:space="preserve">eznam pristojnih organov </w:t>
      </w:r>
      <w:r w:rsidRPr="00545EC0">
        <w:t xml:space="preserve">in </w:t>
      </w:r>
      <w:r w:rsidR="00493E8B" w:rsidRPr="00545EC0">
        <w:t>institucij in način pridobitve dokumentov, na podla</w:t>
      </w:r>
      <w:r w:rsidRPr="00545EC0">
        <w:t>gi katerih je bil izdelan načrt</w:t>
      </w:r>
      <w:bookmarkEnd w:id="728"/>
      <w:bookmarkEnd w:id="729"/>
    </w:p>
    <w:p w14:paraId="6F322CBC" w14:textId="4BA1E6DC" w:rsidR="00782CC2" w:rsidRPr="00545EC0" w:rsidRDefault="00782CC2" w:rsidP="003C7C5E">
      <w:pPr>
        <w:pStyle w:val="Naslov20"/>
      </w:pPr>
      <w:bookmarkStart w:id="730" w:name="_Ref427316143"/>
      <w:bookmarkStart w:id="731" w:name="_Toc90261098"/>
      <w:r w:rsidRPr="00545EC0">
        <w:t>S</w:t>
      </w:r>
      <w:r w:rsidR="00493E8B" w:rsidRPr="00545EC0">
        <w:t>eznam strokovnih podlag, strokovnih navodil, metodologij in poročil, na podla</w:t>
      </w:r>
      <w:r w:rsidRPr="00545EC0">
        <w:t>gi katerih je bil izdelan načrt</w:t>
      </w:r>
      <w:bookmarkEnd w:id="730"/>
      <w:bookmarkEnd w:id="731"/>
    </w:p>
    <w:p w14:paraId="6C4565FF" w14:textId="40B6DD18" w:rsidR="0086750A" w:rsidRPr="00545EC0" w:rsidRDefault="0086750A">
      <w:pPr>
        <w:overflowPunct/>
        <w:autoSpaceDE/>
        <w:autoSpaceDN/>
        <w:adjustRightInd/>
        <w:spacing w:line="240" w:lineRule="auto"/>
        <w:jc w:val="left"/>
        <w:textAlignment w:val="auto"/>
        <w:rPr>
          <w:szCs w:val="22"/>
          <w:lang w:eastAsia="ja-JP"/>
        </w:rPr>
      </w:pPr>
      <w:r w:rsidRPr="00545EC0">
        <w:br w:type="page"/>
      </w:r>
    </w:p>
    <w:p w14:paraId="5CB42583" w14:textId="4455132A" w:rsidR="00782CC2" w:rsidRPr="00545EC0" w:rsidRDefault="00782CC2" w:rsidP="003C7C5E">
      <w:pPr>
        <w:pStyle w:val="Naslov20"/>
      </w:pPr>
      <w:bookmarkStart w:id="732" w:name="_Ref428448182"/>
      <w:bookmarkStart w:id="733" w:name="_Ref428448190"/>
      <w:bookmarkStart w:id="734" w:name="_Toc90261099"/>
      <w:r w:rsidRPr="00545EC0">
        <w:lastRenderedPageBreak/>
        <w:t>P</w:t>
      </w:r>
      <w:r w:rsidR="00493E8B" w:rsidRPr="00545EC0">
        <w:t>ovzetek obveznosti, sprejetih z mednarodnimi pogodbami, ki se nanašajo na upravljanje voda in n</w:t>
      </w:r>
      <w:r w:rsidR="007F1FF4" w:rsidRPr="00545EC0">
        <w:t>ačin njihovega uresničevanja</w:t>
      </w:r>
      <w:bookmarkEnd w:id="732"/>
      <w:bookmarkEnd w:id="733"/>
      <w:bookmarkEnd w:id="734"/>
    </w:p>
    <w:p w14:paraId="2C273DD0" w14:textId="336C8726" w:rsidR="00493E8B" w:rsidRPr="00545EC0" w:rsidRDefault="00782CC2" w:rsidP="003C7C5E">
      <w:pPr>
        <w:pStyle w:val="Naslov20"/>
      </w:pPr>
      <w:bookmarkStart w:id="735" w:name="_Ref427316107"/>
      <w:bookmarkStart w:id="736" w:name="_Toc90261100"/>
      <w:r w:rsidRPr="00545EC0">
        <w:t>S</w:t>
      </w:r>
      <w:r w:rsidR="00493E8B" w:rsidRPr="00545EC0">
        <w:t>eznam naslovov za stike in postopke za pridobitev osnovnih dokumentov, strokovnih podlag in informacij ter aktual</w:t>
      </w:r>
      <w:r w:rsidR="007F1FF4" w:rsidRPr="00545EC0">
        <w:t>nih podatkov o monitoringu voda</w:t>
      </w:r>
      <w:bookmarkEnd w:id="735"/>
      <w:bookmarkEnd w:id="736"/>
    </w:p>
    <w:p w14:paraId="18F52592" w14:textId="77777777" w:rsidR="00355A02" w:rsidRPr="00545EC0" w:rsidRDefault="00355A02" w:rsidP="003C7C5E">
      <w:pPr>
        <w:pStyle w:val="Naslov20"/>
      </w:pPr>
      <w:bookmarkStart w:id="737" w:name="_Toc90261101"/>
      <w:r w:rsidRPr="00545EC0">
        <w:t>Povzetek sprememb in dopolnitev načrta od dneva njegove uveljavitve, skupaj s povzetkom in obrazložitvijo</w:t>
      </w:r>
      <w:bookmarkEnd w:id="737"/>
    </w:p>
    <w:p w14:paraId="05D5E8DB" w14:textId="77777777" w:rsidR="00355A02" w:rsidRPr="00545EC0" w:rsidRDefault="00355A02" w:rsidP="003C7C5E">
      <w:pPr>
        <w:pStyle w:val="Naslov20"/>
      </w:pPr>
      <w:bookmarkStart w:id="738" w:name="_Toc90261102"/>
      <w:r w:rsidRPr="00545EC0">
        <w:t>Povzetek ocene napredka pri doseganju okoljskih ciljev</w:t>
      </w:r>
      <w:bookmarkEnd w:id="738"/>
    </w:p>
    <w:p w14:paraId="3B71E7D3" w14:textId="77777777" w:rsidR="000C6C2A" w:rsidRPr="00545EC0" w:rsidRDefault="000C6C2A" w:rsidP="003C7C5E">
      <w:pPr>
        <w:pStyle w:val="Naslov20"/>
        <w:rPr>
          <w:lang w:val="sl-SI"/>
        </w:rPr>
      </w:pPr>
      <w:bookmarkStart w:id="739" w:name="_Ref452540969"/>
      <w:bookmarkStart w:id="740" w:name="_Toc90261103"/>
      <w:r w:rsidRPr="00545EC0">
        <w:t>Analizne metode za prednostne in prednostne nevarne snovi, analizirane na Vodnem območju Donave</w:t>
      </w:r>
      <w:bookmarkEnd w:id="739"/>
      <w:bookmarkEnd w:id="740"/>
    </w:p>
    <w:p w14:paraId="77D119D6" w14:textId="77777777" w:rsidR="00E12389" w:rsidRPr="00545EC0" w:rsidRDefault="00E12389" w:rsidP="00E12389">
      <w:pPr>
        <w:pStyle w:val="tevilnatoka"/>
        <w:numPr>
          <w:ilvl w:val="0"/>
          <w:numId w:val="0"/>
        </w:numPr>
        <w:ind w:left="397" w:hanging="397"/>
        <w:rPr>
          <w:rFonts w:cs="Arial"/>
          <w:sz w:val="20"/>
          <w:lang w:val="sl-SI"/>
        </w:rPr>
      </w:pPr>
      <w:r w:rsidRPr="00545EC0">
        <w:rPr>
          <w:rFonts w:cs="Arial"/>
          <w:sz w:val="20"/>
          <w:lang w:val="sl-SI"/>
        </w:rPr>
        <w:t>Seznam preglednic:</w:t>
      </w:r>
    </w:p>
    <w:p w14:paraId="03BDE082" w14:textId="77777777" w:rsidR="00E12389" w:rsidRPr="00545EC0" w:rsidRDefault="00E12389" w:rsidP="00E12389">
      <w:pPr>
        <w:pStyle w:val="tevilnatoka"/>
        <w:spacing w:before="120" w:after="120" w:line="276" w:lineRule="auto"/>
        <w:rPr>
          <w:rFonts w:cs="Arial"/>
          <w:sz w:val="20"/>
          <w:lang w:val="sl-SI"/>
        </w:rPr>
      </w:pPr>
      <w:r w:rsidRPr="00545EC0">
        <w:rPr>
          <w:rFonts w:cs="Arial"/>
          <w:sz w:val="20"/>
          <w:lang w:val="sl-SI"/>
        </w:rPr>
        <w:t>Preglednica 1: Analizne metode za prednostne in prednostne nevarne snovi v matriksu voda, analizirane na vodnem območju Donave</w:t>
      </w:r>
    </w:p>
    <w:p w14:paraId="265A8590" w14:textId="77777777" w:rsidR="00E12389" w:rsidRPr="00545EC0" w:rsidRDefault="00E12389" w:rsidP="00E12389">
      <w:pPr>
        <w:pStyle w:val="tevilnatoka"/>
        <w:spacing w:before="120" w:after="120" w:line="276" w:lineRule="auto"/>
        <w:rPr>
          <w:rFonts w:cs="Arial"/>
          <w:sz w:val="20"/>
          <w:lang w:val="sl-SI"/>
        </w:rPr>
      </w:pPr>
      <w:r w:rsidRPr="00545EC0">
        <w:rPr>
          <w:rFonts w:cs="Arial"/>
          <w:sz w:val="20"/>
          <w:lang w:val="sl-SI"/>
        </w:rPr>
        <w:t>Preglednica 2: Analizne metode za prednostne in prednostne nevarne snovi v matriksu voda, analizirane na vodnem območju Donave</w:t>
      </w:r>
    </w:p>
    <w:p w14:paraId="79C2B0D6" w14:textId="77777777" w:rsidR="00E12389" w:rsidRPr="00545EC0" w:rsidRDefault="00E12389" w:rsidP="00E12389">
      <w:pPr>
        <w:pStyle w:val="tevilnatoka"/>
        <w:spacing w:before="120" w:after="120" w:line="276" w:lineRule="auto"/>
        <w:rPr>
          <w:rFonts w:cs="Arial"/>
          <w:sz w:val="20"/>
          <w:lang w:val="sl-SI"/>
        </w:rPr>
      </w:pPr>
      <w:r w:rsidRPr="00545EC0">
        <w:rPr>
          <w:rFonts w:cs="Arial"/>
          <w:sz w:val="20"/>
          <w:lang w:val="sl-SI"/>
        </w:rPr>
        <w:t>Preglednica 3: Analizne metode za prednostne in prednostne nevarne snovi v matriksu organizmi, analizirane na vodnem območju Donave</w:t>
      </w:r>
    </w:p>
    <w:p w14:paraId="57D07932" w14:textId="77777777" w:rsidR="00782CC2" w:rsidRPr="00545EC0" w:rsidRDefault="000C69D9" w:rsidP="003C7C5E">
      <w:pPr>
        <w:pStyle w:val="Naslov20"/>
      </w:pPr>
      <w:bookmarkStart w:id="741" w:name="_Toc90261104"/>
      <w:r w:rsidRPr="00545EC0">
        <w:t>Publikacijske karte</w:t>
      </w:r>
      <w:bookmarkEnd w:id="741"/>
    </w:p>
    <w:p w14:paraId="55ED8CC4" w14:textId="77777777" w:rsidR="00DE4965" w:rsidRPr="00545EC0" w:rsidRDefault="00DE4965" w:rsidP="00DE4965">
      <w:pPr>
        <w:pStyle w:val="Naslov20"/>
        <w:rPr>
          <w:lang w:val="sl-SI"/>
        </w:rPr>
      </w:pPr>
      <w:bookmarkStart w:id="742" w:name="_Toc90261105"/>
      <w:r w:rsidRPr="00545EC0">
        <w:rPr>
          <w:lang w:val="sl-SI"/>
        </w:rPr>
        <w:t>Prikaz podatkov za vodna telesa površinskih in podzemnih voda</w:t>
      </w:r>
      <w:bookmarkEnd w:id="742"/>
    </w:p>
    <w:p w14:paraId="2990C0E4" w14:textId="45C81A96" w:rsidR="00D848E3" w:rsidRPr="00545EC0" w:rsidRDefault="00D848E3" w:rsidP="00D848E3">
      <w:pPr>
        <w:rPr>
          <w:lang w:eastAsia="x-none"/>
        </w:rPr>
      </w:pPr>
      <w:r w:rsidRPr="00545EC0">
        <w:rPr>
          <w:lang w:eastAsia="x-none"/>
        </w:rPr>
        <w:t>9.11.1</w:t>
      </w:r>
      <w:r w:rsidRPr="00545EC0">
        <w:rPr>
          <w:lang w:eastAsia="x-none"/>
        </w:rPr>
        <w:tab/>
      </w:r>
      <w:r w:rsidRPr="00545EC0">
        <w:rPr>
          <w:lang w:eastAsia="x-none"/>
        </w:rPr>
        <w:tab/>
        <w:t>Seznam vodnih teles površinskih voda</w:t>
      </w:r>
      <w:r w:rsidRPr="00545EC0">
        <w:rPr>
          <w:lang w:eastAsia="x-none"/>
        </w:rPr>
        <w:tab/>
      </w:r>
    </w:p>
    <w:p w14:paraId="3144B4A2" w14:textId="2C67C72C" w:rsidR="00D848E3" w:rsidRPr="00545EC0" w:rsidRDefault="00D848E3" w:rsidP="00D848E3">
      <w:pPr>
        <w:rPr>
          <w:lang w:eastAsia="x-none"/>
        </w:rPr>
      </w:pPr>
      <w:r w:rsidRPr="00545EC0">
        <w:rPr>
          <w:lang w:eastAsia="x-none"/>
        </w:rPr>
        <w:t>9.11.2</w:t>
      </w:r>
      <w:r w:rsidRPr="00545EC0">
        <w:rPr>
          <w:lang w:eastAsia="x-none"/>
        </w:rPr>
        <w:tab/>
      </w:r>
      <w:r w:rsidRPr="00545EC0">
        <w:rPr>
          <w:lang w:eastAsia="x-none"/>
        </w:rPr>
        <w:tab/>
        <w:t>Ocena stanja vodnih teles površinskih voda</w:t>
      </w:r>
    </w:p>
    <w:p w14:paraId="33D28178" w14:textId="28B0CB21" w:rsidR="00D848E3" w:rsidRPr="00545EC0" w:rsidRDefault="00D848E3" w:rsidP="00D848E3">
      <w:pPr>
        <w:rPr>
          <w:lang w:eastAsia="x-none"/>
        </w:rPr>
      </w:pPr>
      <w:r w:rsidRPr="00545EC0">
        <w:rPr>
          <w:lang w:eastAsia="x-none"/>
        </w:rPr>
        <w:t>9.11.3</w:t>
      </w:r>
      <w:r w:rsidRPr="00545EC0">
        <w:rPr>
          <w:lang w:eastAsia="x-none"/>
        </w:rPr>
        <w:tab/>
      </w:r>
      <w:r w:rsidRPr="00545EC0">
        <w:rPr>
          <w:lang w:eastAsia="x-none"/>
        </w:rPr>
        <w:tab/>
        <w:t>Pomembne obremenitve vodnih teles površinskih voda</w:t>
      </w:r>
    </w:p>
    <w:p w14:paraId="2DBDB189" w14:textId="216D7447" w:rsidR="00D848E3" w:rsidRPr="00545EC0" w:rsidRDefault="00D848E3" w:rsidP="00D848E3">
      <w:pPr>
        <w:rPr>
          <w:lang w:eastAsia="x-none"/>
        </w:rPr>
      </w:pPr>
      <w:r w:rsidRPr="00545EC0">
        <w:rPr>
          <w:lang w:eastAsia="x-none"/>
        </w:rPr>
        <w:t>9.11.4</w:t>
      </w:r>
      <w:r w:rsidRPr="00545EC0">
        <w:rPr>
          <w:lang w:eastAsia="x-none"/>
        </w:rPr>
        <w:tab/>
      </w:r>
      <w:r w:rsidRPr="00545EC0">
        <w:rPr>
          <w:lang w:eastAsia="x-none"/>
        </w:rPr>
        <w:tab/>
        <w:t>Seznam vodnih teles podzemnih voda</w:t>
      </w:r>
    </w:p>
    <w:p w14:paraId="416EECCE" w14:textId="7F127F9C" w:rsidR="00D848E3" w:rsidRPr="00545EC0" w:rsidRDefault="00D848E3" w:rsidP="00D848E3">
      <w:pPr>
        <w:rPr>
          <w:lang w:eastAsia="x-none"/>
        </w:rPr>
      </w:pPr>
      <w:r w:rsidRPr="00545EC0">
        <w:rPr>
          <w:lang w:eastAsia="x-none"/>
        </w:rPr>
        <w:t>9.11.5</w:t>
      </w:r>
      <w:r w:rsidRPr="00545EC0">
        <w:rPr>
          <w:lang w:eastAsia="x-none"/>
        </w:rPr>
        <w:tab/>
      </w:r>
      <w:r w:rsidRPr="00545EC0">
        <w:rPr>
          <w:lang w:eastAsia="x-none"/>
        </w:rPr>
        <w:tab/>
        <w:t>Ocena stanja vodnih teles podzemnih voda</w:t>
      </w:r>
    </w:p>
    <w:p w14:paraId="6D05A256" w14:textId="77777777" w:rsidR="00D848E3" w:rsidRPr="00545EC0" w:rsidRDefault="00D848E3" w:rsidP="00D848E3">
      <w:pPr>
        <w:rPr>
          <w:lang w:eastAsia="x-none"/>
        </w:rPr>
      </w:pPr>
    </w:p>
    <w:p w14:paraId="153E186B" w14:textId="77777777" w:rsidR="00DE4965" w:rsidRPr="00545EC0" w:rsidRDefault="00DE4965" w:rsidP="00DE4965">
      <w:pPr>
        <w:pStyle w:val="tevilnatoka"/>
        <w:numPr>
          <w:ilvl w:val="0"/>
          <w:numId w:val="0"/>
        </w:numPr>
        <w:ind w:left="397" w:hanging="397"/>
        <w:rPr>
          <w:rFonts w:cs="Arial"/>
          <w:sz w:val="20"/>
          <w:lang w:val="sl-SI"/>
        </w:rPr>
      </w:pPr>
      <w:r w:rsidRPr="00545EC0">
        <w:rPr>
          <w:rFonts w:cs="Arial"/>
          <w:sz w:val="20"/>
          <w:lang w:val="sl-SI"/>
        </w:rPr>
        <w:t>Seznam preglednic:</w:t>
      </w:r>
    </w:p>
    <w:p w14:paraId="1FE77F2E" w14:textId="7ACC4ED8" w:rsidR="00E12389" w:rsidRPr="004168CD" w:rsidRDefault="00E12389" w:rsidP="004168CD">
      <w:pPr>
        <w:pStyle w:val="tevilnatoka"/>
        <w:spacing w:before="120" w:after="120" w:line="276" w:lineRule="auto"/>
        <w:rPr>
          <w:rFonts w:cs="Arial"/>
          <w:sz w:val="20"/>
          <w:lang w:val="sl-SI"/>
        </w:rPr>
      </w:pPr>
      <w:r w:rsidRPr="004168CD">
        <w:rPr>
          <w:rFonts w:cs="Arial"/>
          <w:sz w:val="20"/>
          <w:lang w:val="sl-SI"/>
        </w:rPr>
        <w:t>Preglednica 4: Seznam vodnih teles površinskih voda</w:t>
      </w:r>
    </w:p>
    <w:p w14:paraId="0F06CB4D" w14:textId="0AF9A0E5" w:rsidR="00E12389" w:rsidRPr="004168CD" w:rsidRDefault="00E12389" w:rsidP="004168CD">
      <w:pPr>
        <w:pStyle w:val="tevilnatoka"/>
        <w:spacing w:before="120" w:after="120" w:line="276" w:lineRule="auto"/>
        <w:rPr>
          <w:rFonts w:cs="Arial"/>
          <w:sz w:val="20"/>
          <w:lang w:val="sl-SI"/>
        </w:rPr>
      </w:pPr>
      <w:r w:rsidRPr="004168CD">
        <w:rPr>
          <w:rFonts w:cs="Arial"/>
          <w:sz w:val="20"/>
          <w:lang w:val="sl-SI"/>
        </w:rPr>
        <w:t>Preglednica 5: Ocena kemijskega stanja vodnih teles površinskih voda za matriks voda, matriks biota in ocena kemijskega stanja vodnih teles površinskih voda za matriks voda in biota skupaj brez splošno prisotnih snovi (PBT)</w:t>
      </w:r>
    </w:p>
    <w:p w14:paraId="12B1F64F" w14:textId="3E0010A8" w:rsidR="00E12389" w:rsidRPr="004168CD" w:rsidRDefault="00E12389" w:rsidP="004168CD">
      <w:pPr>
        <w:pStyle w:val="tevilnatoka"/>
        <w:spacing w:before="120" w:after="120" w:line="276" w:lineRule="auto"/>
        <w:rPr>
          <w:rFonts w:cs="Arial"/>
          <w:sz w:val="20"/>
          <w:lang w:val="sl-SI"/>
        </w:rPr>
      </w:pPr>
      <w:r w:rsidRPr="004168CD">
        <w:rPr>
          <w:rFonts w:cs="Arial"/>
          <w:sz w:val="20"/>
          <w:lang w:val="sl-SI"/>
        </w:rPr>
        <w:t>Preglednica 6: Ocena ekološkega stanja vodnih teles površinskih voda za posebna onesnaževala</w:t>
      </w:r>
    </w:p>
    <w:p w14:paraId="5042E40E" w14:textId="259E1E60" w:rsidR="00E12389" w:rsidRPr="004168CD" w:rsidRDefault="00E12389" w:rsidP="004168CD">
      <w:pPr>
        <w:pStyle w:val="tevilnatoka"/>
        <w:spacing w:before="120" w:after="120" w:line="276" w:lineRule="auto"/>
        <w:rPr>
          <w:rFonts w:cs="Arial"/>
          <w:sz w:val="20"/>
          <w:lang w:val="sl-SI"/>
        </w:rPr>
      </w:pPr>
      <w:r w:rsidRPr="004168CD">
        <w:rPr>
          <w:rFonts w:cs="Arial"/>
          <w:sz w:val="20"/>
          <w:lang w:val="sl-SI"/>
        </w:rPr>
        <w:t>Preglednica 7: Ocena ekološkega stanja vodnih teles površinskih voda</w:t>
      </w:r>
    </w:p>
    <w:p w14:paraId="3133BF22" w14:textId="238BD752" w:rsidR="00E12389" w:rsidRPr="004168CD" w:rsidRDefault="00E12389" w:rsidP="004168CD">
      <w:pPr>
        <w:pStyle w:val="tevilnatoka"/>
        <w:spacing w:before="120" w:after="120" w:line="276" w:lineRule="auto"/>
        <w:rPr>
          <w:rFonts w:cs="Arial"/>
          <w:sz w:val="20"/>
          <w:lang w:val="sl-SI"/>
        </w:rPr>
      </w:pPr>
      <w:r w:rsidRPr="004168CD">
        <w:rPr>
          <w:rFonts w:cs="Arial"/>
          <w:sz w:val="20"/>
          <w:lang w:val="sl-SI"/>
        </w:rPr>
        <w:t>Preglednica 8: Pomembne hidromorfološke obremenitve vodnih teles površinskih voda</w:t>
      </w:r>
    </w:p>
    <w:p w14:paraId="29385139" w14:textId="46D039E8" w:rsidR="00E12389" w:rsidRPr="004168CD" w:rsidRDefault="00E12389" w:rsidP="004168CD">
      <w:pPr>
        <w:pStyle w:val="tevilnatoka"/>
        <w:spacing w:before="120" w:after="120" w:line="276" w:lineRule="auto"/>
        <w:rPr>
          <w:rFonts w:cs="Arial"/>
          <w:sz w:val="20"/>
          <w:lang w:val="sl-SI"/>
        </w:rPr>
      </w:pPr>
      <w:r w:rsidRPr="004168CD">
        <w:rPr>
          <w:rFonts w:cs="Arial"/>
          <w:sz w:val="20"/>
          <w:lang w:val="sl-SI"/>
        </w:rPr>
        <w:t>Preglednica 9: Ocena kemijskega stanja vodnih teles podzemne vode za obdobje 2014–2019</w:t>
      </w:r>
      <w:r w:rsidRPr="004168CD">
        <w:rPr>
          <w:rFonts w:cs="Arial"/>
          <w:sz w:val="20"/>
          <w:lang w:val="sl-SI"/>
        </w:rPr>
        <w:tab/>
      </w:r>
    </w:p>
    <w:p w14:paraId="7090B153" w14:textId="3D4A604F" w:rsidR="00E12389" w:rsidRPr="004168CD" w:rsidRDefault="00E12389" w:rsidP="004168CD">
      <w:pPr>
        <w:pStyle w:val="tevilnatoka"/>
        <w:spacing w:before="120" w:after="120" w:line="276" w:lineRule="auto"/>
        <w:rPr>
          <w:rFonts w:cs="Arial"/>
          <w:sz w:val="20"/>
          <w:lang w:val="sl-SI"/>
        </w:rPr>
      </w:pPr>
      <w:r w:rsidRPr="004168CD">
        <w:rPr>
          <w:rFonts w:cs="Arial"/>
          <w:sz w:val="20"/>
          <w:lang w:val="sl-SI"/>
        </w:rPr>
        <w:lastRenderedPageBreak/>
        <w:t>Preglednica 10: Trend vsebnosti nitrata na vodnih telesih s slabim kemijskim stanjem in bolj obremenjenih vodnih telesih podzemne vode za obdobje 1998–2019</w:t>
      </w:r>
    </w:p>
    <w:p w14:paraId="0CA0F924" w14:textId="695D872C" w:rsidR="00355A02" w:rsidRPr="004168CD" w:rsidRDefault="00E12389" w:rsidP="004168CD">
      <w:pPr>
        <w:pStyle w:val="tevilnatoka"/>
        <w:spacing w:before="120" w:after="120" w:line="276" w:lineRule="auto"/>
        <w:rPr>
          <w:rFonts w:cs="Arial"/>
          <w:sz w:val="20"/>
          <w:lang w:val="sl-SI"/>
        </w:rPr>
      </w:pPr>
      <w:r w:rsidRPr="004168CD">
        <w:rPr>
          <w:rFonts w:cs="Arial"/>
          <w:sz w:val="20"/>
          <w:lang w:val="sl-SI"/>
        </w:rPr>
        <w:t>Preglednica 11: Skupna ocena količinskega stanja vodnih teles podzemnih voda</w:t>
      </w:r>
      <w:r w:rsidRPr="004168CD">
        <w:rPr>
          <w:rFonts w:cs="Arial"/>
          <w:sz w:val="20"/>
          <w:lang w:val="sl-SI"/>
        </w:rPr>
        <w:tab/>
      </w:r>
    </w:p>
    <w:sectPr w:rsidR="00355A02" w:rsidRPr="004168CD" w:rsidSect="00627979">
      <w:footerReference w:type="even" r:id="rId111"/>
      <w:headerReference w:type="first" r:id="rId112"/>
      <w:footerReference w:type="first" r:id="rId113"/>
      <w:pgSz w:w="11907" w:h="16840" w:code="9"/>
      <w:pgMar w:top="1418" w:right="1418" w:bottom="1418" w:left="1418" w:header="708" w:footer="708" w:gutter="0"/>
      <w:cols w:space="708"/>
      <w:docGrid w:linePitch="27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86C496A" w15:done="0"/>
  <w15:commentEx w15:paraId="60B91D34" w15:done="0"/>
  <w15:commentEx w15:paraId="69CECFA6" w15:done="0"/>
  <w15:commentEx w15:paraId="468B9DBE" w15:done="0"/>
  <w15:commentEx w15:paraId="1C8B43C2" w15:done="0"/>
  <w15:commentEx w15:paraId="25B32A24" w15:done="0"/>
  <w15:commentEx w15:paraId="6564778D" w15:done="0"/>
  <w15:commentEx w15:paraId="5A4B3935" w15:done="0"/>
  <w15:commentEx w15:paraId="7F492ED7" w15:done="0"/>
  <w15:commentEx w15:paraId="3596F26E" w15:done="0"/>
  <w15:commentEx w15:paraId="7ADF3741" w15:done="0"/>
  <w15:commentEx w15:paraId="6057BBE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FDCAC7" w16cex:dateUtc="2021-03-18T11: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6C496A" w16cid:durableId="250894AF"/>
  <w16cid:commentId w16cid:paraId="60B91D34" w16cid:durableId="250894B0"/>
  <w16cid:commentId w16cid:paraId="69CECFA6" w16cid:durableId="250894B1"/>
  <w16cid:commentId w16cid:paraId="468B9DBE" w16cid:durableId="23FDCAC7"/>
  <w16cid:commentId w16cid:paraId="1C8B43C2" w16cid:durableId="250894B3"/>
  <w16cid:commentId w16cid:paraId="25B32A24" w16cid:durableId="250894B4"/>
  <w16cid:commentId w16cid:paraId="6564778D" w16cid:durableId="250894B5"/>
  <w16cid:commentId w16cid:paraId="5A4B3935" w16cid:durableId="250894B6"/>
  <w16cid:commentId w16cid:paraId="7F492ED7" w16cid:durableId="250894B7"/>
  <w16cid:commentId w16cid:paraId="3596F26E" w16cid:durableId="250894B8"/>
  <w16cid:commentId w16cid:paraId="7ADF3741" w16cid:durableId="250894B9"/>
  <w16cid:commentId w16cid:paraId="6057BBE3" w16cid:durableId="250894B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91F12D" w14:textId="77777777" w:rsidR="00462C15" w:rsidRDefault="00462C15" w:rsidP="00443548">
      <w:r>
        <w:separator/>
      </w:r>
    </w:p>
    <w:p w14:paraId="3BDE0950" w14:textId="77777777" w:rsidR="00462C15" w:rsidRDefault="00462C15"/>
    <w:p w14:paraId="50182438" w14:textId="77777777" w:rsidR="00462C15" w:rsidRDefault="00462C15" w:rsidP="004C5336"/>
    <w:p w14:paraId="4932503C" w14:textId="77777777" w:rsidR="00462C15" w:rsidRDefault="00462C15" w:rsidP="004C5336"/>
    <w:p w14:paraId="2A3CEA1C" w14:textId="77777777" w:rsidR="00462C15" w:rsidRDefault="00462C15"/>
  </w:endnote>
  <w:endnote w:type="continuationSeparator" w:id="0">
    <w:p w14:paraId="2F5A693F" w14:textId="77777777" w:rsidR="00462C15" w:rsidRDefault="00462C15" w:rsidP="00443548">
      <w:r>
        <w:continuationSeparator/>
      </w:r>
    </w:p>
    <w:p w14:paraId="3A84707A" w14:textId="77777777" w:rsidR="00462C15" w:rsidRDefault="00462C15"/>
    <w:p w14:paraId="05DBC2F4" w14:textId="77777777" w:rsidR="00462C15" w:rsidRDefault="00462C15" w:rsidP="004C5336"/>
    <w:p w14:paraId="5AD2BAD1" w14:textId="77777777" w:rsidR="00462C15" w:rsidRDefault="00462C15" w:rsidP="004C5336"/>
    <w:p w14:paraId="6155DC42" w14:textId="77777777" w:rsidR="00462C15" w:rsidRDefault="00462C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HGIJDP+Arial">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imes New Roman (WE)">
    <w:altName w:val="Times New Roman"/>
    <w:panose1 w:val="00000000000000000000"/>
    <w:charset w:val="00"/>
    <w:family w:val="roman"/>
    <w:notTrueType/>
    <w:pitch w:val="default"/>
    <w:sig w:usb0="00000003" w:usb1="00000000" w:usb2="00000000" w:usb3="00000000" w:csb0="00000001" w:csb1="00000000"/>
  </w:font>
  <w:font w:name="TimesNewRoman">
    <w:altName w:val="Arial Unicode MS"/>
    <w:panose1 w:val="00000000000000000000"/>
    <w:charset w:val="80"/>
    <w:family w:val="auto"/>
    <w:notTrueType/>
    <w:pitch w:val="default"/>
    <w:sig w:usb0="00000007" w:usb1="08070000" w:usb2="00000010" w:usb3="00000000" w:csb0="00020003" w:csb1="00000000"/>
  </w:font>
  <w:font w:name="ヒラギノ角ゴ Pro W3">
    <w:altName w:val="Arial Unicode MS"/>
    <w:panose1 w:val="00000000000000000000"/>
    <w:charset w:val="80"/>
    <w:family w:val="roman"/>
    <w:notTrueType/>
    <w:pitch w:val="default"/>
  </w:font>
  <w:font w:name="Times New Roman Bold">
    <w:altName w:val="Times New Roman"/>
    <w:panose1 w:val="00000000000000000000"/>
    <w:charset w:val="00"/>
    <w:family w:val="roman"/>
    <w:notTrueType/>
    <w:pitch w:val="default"/>
    <w:sig w:usb0="00000003" w:usb1="00000000" w:usb2="00000000" w:usb3="00000000" w:csb0="00000001" w:csb1="00000000"/>
  </w:font>
  <w:font w:name="Nimbus Roman No9 L">
    <w:altName w:val="Times New Roman"/>
    <w:charset w:val="00"/>
    <w:family w:val="roman"/>
    <w:pitch w:val="variable"/>
  </w:font>
  <w:font w:name="Luxi Sans">
    <w:charset w:val="00"/>
    <w:family w:val="auto"/>
    <w:pitch w:val="variable"/>
  </w:font>
  <w:font w:name="SL Dutch">
    <w:altName w:val="Times New Roman"/>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Minion Pro">
    <w:altName w:val="Times New Roman"/>
    <w:panose1 w:val="00000000000000000000"/>
    <w:charset w:val="EE"/>
    <w:family w:val="roman"/>
    <w:notTrueType/>
    <w:pitch w:val="default"/>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Dutch">
    <w:altName w:val="Times New Roman"/>
    <w:panose1 w:val="00000000000000000000"/>
    <w:charset w:val="00"/>
    <w:family w:val="auto"/>
    <w:notTrueType/>
    <w:pitch w:val="variable"/>
    <w:sig w:usb0="00000003" w:usb1="00000000" w:usb2="00000000" w:usb3="00000000" w:csb0="00000001" w:csb1="00000000"/>
  </w:font>
  <w:font w:name="CRO_Swiss-Normal">
    <w:altName w:val="Times New Roman"/>
    <w:panose1 w:val="00000000000000000000"/>
    <w:charset w:val="00"/>
    <w:family w:val="auto"/>
    <w:notTrueType/>
    <w:pitch w:val="variable"/>
    <w:sig w:usb0="00000003" w:usb1="00000000" w:usb2="00000000" w:usb3="00000000" w:csb0="00000001" w:csb1="00000000"/>
  </w:font>
  <w:font w:name="Century">
    <w:panose1 w:val="02040604050505020304"/>
    <w:charset w:val="EE"/>
    <w:family w:val="roman"/>
    <w:pitch w:val="variable"/>
    <w:sig w:usb0="00000287" w:usb1="00000000" w:usb2="00000000" w:usb3="00000000" w:csb0="0000009F" w:csb1="00000000"/>
  </w:font>
  <w:font w:name="Kozuka Gothic Pro H">
    <w:panose1 w:val="00000000000000000000"/>
    <w:charset w:val="80"/>
    <w:family w:val="swiss"/>
    <w:notTrueType/>
    <w:pitch w:val="variable"/>
    <w:sig w:usb0="00000283" w:usb1="2AC71C11" w:usb2="00000012" w:usb3="00000000" w:csb0="00020005"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 w:name="ArialMT">
    <w:altName w:val="Arial Unicode MS"/>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PMingLiU">
    <w:altName w:val="新細明體"/>
    <w:panose1 w:val="02010601000101010101"/>
    <w:charset w:val="88"/>
    <w:family w:val="auto"/>
    <w:notTrueType/>
    <w:pitch w:val="variable"/>
    <w:sig w:usb0="00000001"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558CF" w14:textId="77777777" w:rsidR="00D17419" w:rsidRPr="00143CD4" w:rsidRDefault="00D17419" w:rsidP="00143CD4">
    <w:pPr>
      <w:pStyle w:val="Noga"/>
      <w:pBdr>
        <w:top w:val="single" w:sz="4" w:space="1" w:color="auto"/>
      </w:pBdr>
      <w:jc w:val="center"/>
    </w:pPr>
    <w:r w:rsidRPr="009E3DE3">
      <w:rPr>
        <w:bCs/>
        <w:sz w:val="18"/>
        <w:szCs w:val="18"/>
      </w:rPr>
      <w:fldChar w:fldCharType="begin"/>
    </w:r>
    <w:r w:rsidRPr="009E3DE3">
      <w:rPr>
        <w:bCs/>
        <w:sz w:val="18"/>
        <w:szCs w:val="18"/>
      </w:rPr>
      <w:instrText>PAGE</w:instrText>
    </w:r>
    <w:r w:rsidRPr="009E3DE3">
      <w:rPr>
        <w:bCs/>
        <w:sz w:val="18"/>
        <w:szCs w:val="18"/>
      </w:rPr>
      <w:fldChar w:fldCharType="separate"/>
    </w:r>
    <w:r w:rsidR="002E60A5">
      <w:rPr>
        <w:bCs/>
        <w:noProof/>
        <w:sz w:val="18"/>
        <w:szCs w:val="18"/>
      </w:rPr>
      <w:t>VI</w:t>
    </w:r>
    <w:r w:rsidRPr="009E3DE3">
      <w:rPr>
        <w:bCs/>
        <w:sz w:val="18"/>
        <w:szCs w:val="18"/>
      </w:rPr>
      <w:fldChar w:fldCharType="end"/>
    </w:r>
    <w:r w:rsidRPr="009E3DE3">
      <w:rPr>
        <w:sz w:val="18"/>
        <w:szCs w:val="18"/>
      </w:rPr>
      <w:t>/</w:t>
    </w:r>
    <w:r w:rsidRPr="009E3DE3">
      <w:rPr>
        <w:bCs/>
        <w:sz w:val="18"/>
        <w:szCs w:val="18"/>
      </w:rPr>
      <w:fldChar w:fldCharType="begin"/>
    </w:r>
    <w:r w:rsidRPr="009E3DE3">
      <w:rPr>
        <w:bCs/>
        <w:sz w:val="18"/>
        <w:szCs w:val="18"/>
      </w:rPr>
      <w:instrText>NUMPAGES</w:instrText>
    </w:r>
    <w:r w:rsidRPr="009E3DE3">
      <w:rPr>
        <w:bCs/>
        <w:sz w:val="18"/>
        <w:szCs w:val="18"/>
      </w:rPr>
      <w:fldChar w:fldCharType="separate"/>
    </w:r>
    <w:r w:rsidR="002E60A5">
      <w:rPr>
        <w:bCs/>
        <w:noProof/>
        <w:sz w:val="18"/>
        <w:szCs w:val="18"/>
      </w:rPr>
      <w:t>283</w:t>
    </w:r>
    <w:r w:rsidRPr="009E3DE3">
      <w:rPr>
        <w:bCs/>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93812" w14:textId="77777777" w:rsidR="00D17419" w:rsidRDefault="00D17419">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54C27" w14:textId="77777777" w:rsidR="00D17419" w:rsidRDefault="00D17419">
    <w:pPr>
      <w:pStyle w:val="Nog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A80C9" w14:textId="77777777" w:rsidR="00D17419" w:rsidRPr="00EA746B" w:rsidRDefault="00D17419" w:rsidP="00EA746B">
    <w:pPr>
      <w:pStyle w:val="Noga"/>
      <w:pBdr>
        <w:top w:val="single" w:sz="4" w:space="1" w:color="auto"/>
      </w:pBdr>
      <w:jc w:val="center"/>
    </w:pPr>
    <w:r w:rsidRPr="009E3DE3">
      <w:rPr>
        <w:bCs/>
        <w:sz w:val="18"/>
        <w:szCs w:val="18"/>
      </w:rPr>
      <w:fldChar w:fldCharType="begin"/>
    </w:r>
    <w:r w:rsidRPr="009E3DE3">
      <w:rPr>
        <w:bCs/>
        <w:sz w:val="18"/>
        <w:szCs w:val="18"/>
      </w:rPr>
      <w:instrText>PAGE</w:instrText>
    </w:r>
    <w:r w:rsidRPr="009E3DE3">
      <w:rPr>
        <w:bCs/>
        <w:sz w:val="18"/>
        <w:szCs w:val="18"/>
      </w:rPr>
      <w:fldChar w:fldCharType="separate"/>
    </w:r>
    <w:r w:rsidR="002E60A5">
      <w:rPr>
        <w:bCs/>
        <w:noProof/>
        <w:sz w:val="18"/>
        <w:szCs w:val="18"/>
      </w:rPr>
      <w:t>89</w:t>
    </w:r>
    <w:r w:rsidRPr="009E3DE3">
      <w:rPr>
        <w:bCs/>
        <w:sz w:val="18"/>
        <w:szCs w:val="18"/>
      </w:rPr>
      <w:fldChar w:fldCharType="end"/>
    </w:r>
    <w:r w:rsidRPr="009E3DE3">
      <w:rPr>
        <w:sz w:val="18"/>
        <w:szCs w:val="18"/>
      </w:rPr>
      <w:t>/</w:t>
    </w:r>
    <w:r w:rsidRPr="009E3DE3">
      <w:rPr>
        <w:bCs/>
        <w:sz w:val="18"/>
        <w:szCs w:val="18"/>
      </w:rPr>
      <w:fldChar w:fldCharType="begin"/>
    </w:r>
    <w:r w:rsidRPr="009E3DE3">
      <w:rPr>
        <w:bCs/>
        <w:sz w:val="18"/>
        <w:szCs w:val="18"/>
      </w:rPr>
      <w:instrText>NUMPAGES</w:instrText>
    </w:r>
    <w:r w:rsidRPr="009E3DE3">
      <w:rPr>
        <w:bCs/>
        <w:sz w:val="18"/>
        <w:szCs w:val="18"/>
      </w:rPr>
      <w:fldChar w:fldCharType="separate"/>
    </w:r>
    <w:r w:rsidR="002E60A5">
      <w:rPr>
        <w:bCs/>
        <w:noProof/>
        <w:sz w:val="18"/>
        <w:szCs w:val="18"/>
      </w:rPr>
      <w:t>283</w:t>
    </w:r>
    <w:r w:rsidRPr="009E3DE3">
      <w:rPr>
        <w:bCs/>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D7615" w14:textId="77777777" w:rsidR="00D17419" w:rsidRDefault="00D17419" w:rsidP="00EA746B">
    <w:pPr>
      <w:pStyle w:val="Noga"/>
      <w:pBdr>
        <w:top w:val="single" w:sz="4" w:space="1" w:color="auto"/>
      </w:pBdr>
      <w:jc w:val="center"/>
    </w:pPr>
    <w:r w:rsidRPr="009E3DE3">
      <w:rPr>
        <w:bCs/>
        <w:sz w:val="18"/>
        <w:szCs w:val="18"/>
      </w:rPr>
      <w:fldChar w:fldCharType="begin"/>
    </w:r>
    <w:r w:rsidRPr="009E3DE3">
      <w:rPr>
        <w:bCs/>
        <w:sz w:val="18"/>
        <w:szCs w:val="18"/>
      </w:rPr>
      <w:instrText>PAGE</w:instrText>
    </w:r>
    <w:r w:rsidRPr="009E3DE3">
      <w:rPr>
        <w:bCs/>
        <w:sz w:val="18"/>
        <w:szCs w:val="18"/>
      </w:rPr>
      <w:fldChar w:fldCharType="separate"/>
    </w:r>
    <w:r>
      <w:rPr>
        <w:bCs/>
        <w:noProof/>
        <w:sz w:val="18"/>
        <w:szCs w:val="18"/>
      </w:rPr>
      <w:t>I</w:t>
    </w:r>
    <w:r w:rsidRPr="009E3DE3">
      <w:rPr>
        <w:bCs/>
        <w:sz w:val="18"/>
        <w:szCs w:val="18"/>
      </w:rPr>
      <w:fldChar w:fldCharType="end"/>
    </w:r>
    <w:r w:rsidRPr="009E3DE3">
      <w:rPr>
        <w:sz w:val="18"/>
        <w:szCs w:val="18"/>
      </w:rPr>
      <w:t>/</w:t>
    </w:r>
    <w:r w:rsidRPr="009E3DE3">
      <w:rPr>
        <w:bCs/>
        <w:sz w:val="18"/>
        <w:szCs w:val="18"/>
      </w:rPr>
      <w:fldChar w:fldCharType="begin"/>
    </w:r>
    <w:r w:rsidRPr="009E3DE3">
      <w:rPr>
        <w:bCs/>
        <w:sz w:val="18"/>
        <w:szCs w:val="18"/>
      </w:rPr>
      <w:instrText>NUMPAGES</w:instrText>
    </w:r>
    <w:r w:rsidRPr="009E3DE3">
      <w:rPr>
        <w:bCs/>
        <w:sz w:val="18"/>
        <w:szCs w:val="18"/>
      </w:rPr>
      <w:fldChar w:fldCharType="separate"/>
    </w:r>
    <w:r>
      <w:rPr>
        <w:bCs/>
        <w:noProof/>
        <w:sz w:val="18"/>
        <w:szCs w:val="18"/>
      </w:rPr>
      <w:t>276</w:t>
    </w:r>
    <w:r w:rsidRPr="009E3DE3">
      <w:rPr>
        <w:bCs/>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9D1DF" w14:textId="77777777" w:rsidR="00D17419" w:rsidRPr="00143CD4" w:rsidRDefault="00D17419" w:rsidP="00143CD4">
    <w:pPr>
      <w:pStyle w:val="Noga"/>
      <w:pBdr>
        <w:top w:val="single" w:sz="4" w:space="1" w:color="auto"/>
      </w:pBdr>
      <w:jc w:val="center"/>
    </w:pPr>
    <w:r w:rsidRPr="009E3DE3">
      <w:rPr>
        <w:bCs/>
        <w:sz w:val="18"/>
        <w:szCs w:val="18"/>
      </w:rPr>
      <w:fldChar w:fldCharType="begin"/>
    </w:r>
    <w:r w:rsidRPr="009E3DE3">
      <w:rPr>
        <w:bCs/>
        <w:sz w:val="18"/>
        <w:szCs w:val="18"/>
      </w:rPr>
      <w:instrText>PAGE</w:instrText>
    </w:r>
    <w:r w:rsidRPr="009E3DE3">
      <w:rPr>
        <w:bCs/>
        <w:sz w:val="18"/>
        <w:szCs w:val="18"/>
      </w:rPr>
      <w:fldChar w:fldCharType="separate"/>
    </w:r>
    <w:r w:rsidR="002E60A5">
      <w:rPr>
        <w:bCs/>
        <w:noProof/>
        <w:sz w:val="18"/>
        <w:szCs w:val="18"/>
      </w:rPr>
      <w:t>90</w:t>
    </w:r>
    <w:r w:rsidRPr="009E3DE3">
      <w:rPr>
        <w:bCs/>
        <w:sz w:val="18"/>
        <w:szCs w:val="18"/>
      </w:rPr>
      <w:fldChar w:fldCharType="end"/>
    </w:r>
    <w:r w:rsidRPr="009E3DE3">
      <w:rPr>
        <w:sz w:val="18"/>
        <w:szCs w:val="18"/>
      </w:rPr>
      <w:t>/</w:t>
    </w:r>
    <w:r w:rsidRPr="009E3DE3">
      <w:rPr>
        <w:bCs/>
        <w:sz w:val="18"/>
        <w:szCs w:val="18"/>
      </w:rPr>
      <w:fldChar w:fldCharType="begin"/>
    </w:r>
    <w:r w:rsidRPr="009E3DE3">
      <w:rPr>
        <w:bCs/>
        <w:sz w:val="18"/>
        <w:szCs w:val="18"/>
      </w:rPr>
      <w:instrText>NUMPAGES</w:instrText>
    </w:r>
    <w:r w:rsidRPr="009E3DE3">
      <w:rPr>
        <w:bCs/>
        <w:sz w:val="18"/>
        <w:szCs w:val="18"/>
      </w:rPr>
      <w:fldChar w:fldCharType="separate"/>
    </w:r>
    <w:r w:rsidR="002E60A5">
      <w:rPr>
        <w:bCs/>
        <w:noProof/>
        <w:sz w:val="18"/>
        <w:szCs w:val="18"/>
      </w:rPr>
      <w:t>283</w:t>
    </w:r>
    <w:r w:rsidRPr="009E3DE3">
      <w:rPr>
        <w:bCs/>
        <w:sz w:val="18"/>
        <w:szCs w:val="18"/>
      </w:rPr>
      <w:fldChar w:fldCharType="end"/>
    </w:r>
  </w:p>
  <w:p w14:paraId="3D1D8416" w14:textId="77777777" w:rsidR="00D17419" w:rsidRDefault="00D17419"/>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CFFEC" w14:textId="77777777" w:rsidR="00D17419" w:rsidRDefault="00D17419" w:rsidP="00EA746B">
    <w:pPr>
      <w:pStyle w:val="Noga"/>
      <w:pBdr>
        <w:top w:val="single" w:sz="4" w:space="1" w:color="auto"/>
      </w:pBdr>
      <w:jc w:val="center"/>
    </w:pPr>
    <w:r w:rsidRPr="009E3DE3">
      <w:rPr>
        <w:bCs/>
        <w:sz w:val="18"/>
        <w:szCs w:val="18"/>
      </w:rPr>
      <w:fldChar w:fldCharType="begin"/>
    </w:r>
    <w:r w:rsidRPr="009E3DE3">
      <w:rPr>
        <w:bCs/>
        <w:sz w:val="18"/>
        <w:szCs w:val="18"/>
      </w:rPr>
      <w:instrText>PAGE</w:instrText>
    </w:r>
    <w:r w:rsidRPr="009E3DE3">
      <w:rPr>
        <w:bCs/>
        <w:sz w:val="18"/>
        <w:szCs w:val="18"/>
      </w:rPr>
      <w:fldChar w:fldCharType="separate"/>
    </w:r>
    <w:r>
      <w:rPr>
        <w:bCs/>
        <w:noProof/>
        <w:sz w:val="18"/>
        <w:szCs w:val="18"/>
      </w:rPr>
      <w:t>260</w:t>
    </w:r>
    <w:r w:rsidRPr="009E3DE3">
      <w:rPr>
        <w:bCs/>
        <w:sz w:val="18"/>
        <w:szCs w:val="18"/>
      </w:rPr>
      <w:fldChar w:fldCharType="end"/>
    </w:r>
    <w:r w:rsidRPr="009E3DE3">
      <w:rPr>
        <w:sz w:val="18"/>
        <w:szCs w:val="18"/>
      </w:rPr>
      <w:t>/</w:t>
    </w:r>
    <w:r w:rsidRPr="009E3DE3">
      <w:rPr>
        <w:bCs/>
        <w:sz w:val="18"/>
        <w:szCs w:val="18"/>
      </w:rPr>
      <w:fldChar w:fldCharType="begin"/>
    </w:r>
    <w:r w:rsidRPr="009E3DE3">
      <w:rPr>
        <w:bCs/>
        <w:sz w:val="18"/>
        <w:szCs w:val="18"/>
      </w:rPr>
      <w:instrText>NUMPAGES</w:instrText>
    </w:r>
    <w:r w:rsidRPr="009E3DE3">
      <w:rPr>
        <w:bCs/>
        <w:sz w:val="18"/>
        <w:szCs w:val="18"/>
      </w:rPr>
      <w:fldChar w:fldCharType="separate"/>
    </w:r>
    <w:r>
      <w:rPr>
        <w:bCs/>
        <w:noProof/>
        <w:sz w:val="18"/>
        <w:szCs w:val="18"/>
      </w:rPr>
      <w:t>276</w:t>
    </w:r>
    <w:r w:rsidRPr="009E3DE3">
      <w:rPr>
        <w:bCs/>
        <w:sz w:val="18"/>
        <w:szCs w:val="18"/>
      </w:rPr>
      <w:fldChar w:fldCharType="end"/>
    </w:r>
  </w:p>
  <w:p w14:paraId="5B7C4FDD" w14:textId="77777777" w:rsidR="00D17419" w:rsidRDefault="00D1741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1C5011" w14:textId="77777777" w:rsidR="00462C15" w:rsidRDefault="00462C15" w:rsidP="00443548">
      <w:r>
        <w:separator/>
      </w:r>
    </w:p>
    <w:p w14:paraId="693878EF" w14:textId="77777777" w:rsidR="00462C15" w:rsidRDefault="00462C15"/>
    <w:p w14:paraId="36846415" w14:textId="77777777" w:rsidR="00462C15" w:rsidRDefault="00462C15" w:rsidP="004C5336"/>
    <w:p w14:paraId="10004BC1" w14:textId="77777777" w:rsidR="00462C15" w:rsidRDefault="00462C15" w:rsidP="004C5336"/>
    <w:p w14:paraId="7666E195" w14:textId="77777777" w:rsidR="00462C15" w:rsidRDefault="00462C15"/>
  </w:footnote>
  <w:footnote w:type="continuationSeparator" w:id="0">
    <w:p w14:paraId="7F98580E" w14:textId="77777777" w:rsidR="00462C15" w:rsidRDefault="00462C15" w:rsidP="00443548">
      <w:r>
        <w:continuationSeparator/>
      </w:r>
    </w:p>
    <w:p w14:paraId="127714AA" w14:textId="77777777" w:rsidR="00462C15" w:rsidRDefault="00462C15"/>
    <w:p w14:paraId="7D606FBB" w14:textId="77777777" w:rsidR="00462C15" w:rsidRDefault="00462C15" w:rsidP="004C5336"/>
    <w:p w14:paraId="77AB5F0D" w14:textId="77777777" w:rsidR="00462C15" w:rsidRDefault="00462C15" w:rsidP="004C5336"/>
    <w:p w14:paraId="046A7B2D" w14:textId="77777777" w:rsidR="00462C15" w:rsidRDefault="00462C15"/>
  </w:footnote>
  <w:footnote w:id="1">
    <w:p w14:paraId="79DC858C" w14:textId="77777777" w:rsidR="00D17419" w:rsidRPr="00AA7D96" w:rsidRDefault="00D17419" w:rsidP="00E4448F">
      <w:pPr>
        <w:pStyle w:val="Sprotnaopomba-besedilo"/>
        <w:rPr>
          <w:sz w:val="16"/>
        </w:rPr>
      </w:pPr>
      <w:r w:rsidRPr="00AA7D96">
        <w:rPr>
          <w:rStyle w:val="Sprotnaopomba-sklic"/>
          <w:rFonts w:ascii="Tahoma" w:hAnsi="Tahoma"/>
          <w:sz w:val="16"/>
          <w:szCs w:val="18"/>
        </w:rPr>
        <w:footnoteRef/>
      </w:r>
      <w:r w:rsidRPr="00AA7D96">
        <w:rPr>
          <w:sz w:val="16"/>
        </w:rPr>
        <w:t xml:space="preserve"> Izraz »namakanje drugih površin« ali »namakanje zemljišč, ki niso kmetijska zemljišča« zajema odvzeme vode za namakanje parkov, javnih površin, športnih igrišč in podobno.</w:t>
      </w:r>
    </w:p>
  </w:footnote>
  <w:footnote w:id="2">
    <w:p w14:paraId="1BFC4207" w14:textId="77777777" w:rsidR="00D17419" w:rsidRPr="005A5F8F" w:rsidRDefault="00D17419" w:rsidP="00E4448F">
      <w:pPr>
        <w:pStyle w:val="Sprotnaopomba-besedilo"/>
        <w:rPr>
          <w:rFonts w:cs="Arial"/>
          <w:color w:val="4F81BD" w:themeColor="accent1"/>
          <w:sz w:val="16"/>
          <w:szCs w:val="16"/>
        </w:rPr>
      </w:pPr>
      <w:r w:rsidRPr="009E2E00">
        <w:rPr>
          <w:rStyle w:val="Sprotnaopomba-sklic"/>
          <w:sz w:val="16"/>
          <w:szCs w:val="16"/>
        </w:rPr>
        <w:footnoteRef/>
      </w:r>
      <w:r w:rsidRPr="009E2E00">
        <w:rPr>
          <w:rFonts w:cs="Arial"/>
          <w:sz w:val="16"/>
          <w:szCs w:val="16"/>
        </w:rPr>
        <w:t xml:space="preserve"> Z enim aktom (vodnim dovoljenjem ali koncesijo) se lahko dovoli rabo vode na večih lokacijah, ti. mestih rabe vode.</w:t>
      </w:r>
    </w:p>
  </w:footnote>
  <w:footnote w:id="3">
    <w:p w14:paraId="3A6D53B2" w14:textId="77777777" w:rsidR="00D17419" w:rsidRPr="005D1EFC" w:rsidRDefault="00D17419" w:rsidP="00457362">
      <w:pPr>
        <w:pStyle w:val="Sprotnaopomba-besedilo"/>
        <w:jc w:val="both"/>
        <w:rPr>
          <w:sz w:val="16"/>
          <w:szCs w:val="16"/>
        </w:rPr>
      </w:pPr>
      <w:r w:rsidRPr="005D1EFC">
        <w:rPr>
          <w:rStyle w:val="Sprotnaopomba-sklic"/>
          <w:sz w:val="16"/>
          <w:szCs w:val="16"/>
        </w:rPr>
        <w:footnoteRef/>
      </w:r>
      <w:r w:rsidRPr="005D1EFC">
        <w:rPr>
          <w:sz w:val="16"/>
          <w:szCs w:val="16"/>
        </w:rPr>
        <w:t xml:space="preserve"> </w:t>
      </w:r>
      <w:r w:rsidRPr="005D1EFC">
        <w:rPr>
          <w:rFonts w:cs="Arial"/>
          <w:sz w:val="16"/>
          <w:szCs w:val="16"/>
        </w:rPr>
        <w:t xml:space="preserve">Število prebivalcev po porečjih in povodjih je bilo izračunano iz podatkov Statističnega urada Republike Slovenije v mreži 100 m za leto 2019 (SURS, 2020d).  </w:t>
      </w:r>
    </w:p>
  </w:footnote>
  <w:footnote w:id="4">
    <w:p w14:paraId="35591B41" w14:textId="61F6167E" w:rsidR="00D17419" w:rsidRPr="00A71D20" w:rsidRDefault="00D17419" w:rsidP="001654D2">
      <w:pPr>
        <w:pStyle w:val="Sprotnaopomba-besedilo"/>
        <w:spacing w:line="240" w:lineRule="auto"/>
        <w:jc w:val="both"/>
        <w:rPr>
          <w:lang w:val="sl-SI"/>
        </w:rPr>
      </w:pPr>
      <w:r>
        <w:rPr>
          <w:rStyle w:val="Sprotnaopomba-sklic"/>
        </w:rPr>
        <w:footnoteRef/>
      </w:r>
      <w:r>
        <w:t xml:space="preserve"> </w:t>
      </w:r>
      <w:r>
        <w:rPr>
          <w:lang w:val="sl-SI"/>
        </w:rPr>
        <w:t>Pri interpretaciji ocene ekološkega stanja za element ribe – splošna degradiranost je potrebno upoštevati, da ocena ni nujno (le) posledica hidromorfoloških obremenitev, temveč, da se v oceni lahko odražajo tudi</w:t>
      </w:r>
      <w:r>
        <w:rPr>
          <w:lang w:val="sl-SI"/>
        </w:rPr>
        <w:t xml:space="preserve"> </w:t>
      </w:r>
      <w:r w:rsidRPr="00000F54">
        <w:rPr>
          <w:lang w:val="sl-SI"/>
        </w:rPr>
        <w:t>obremenitve zaradi onesnaževanja (vnos hranil, fitofarmacevtskih sredstev, …),</w:t>
      </w:r>
      <w:r>
        <w:rPr>
          <w:lang w:val="sl-SI"/>
        </w:rPr>
        <w:t xml:space="preserve"> </w:t>
      </w:r>
      <w:r>
        <w:rPr>
          <w:lang w:val="sl-SI"/>
        </w:rPr>
        <w:t>biološke obremenitve (npr. posledice ribiškega upravljanja) ali spremembe zaradi vpliva podnebnih sprememb (npr. sprememba temperature vode, sprememba pretokov, ipd).</w:t>
      </w:r>
    </w:p>
  </w:footnote>
  <w:footnote w:id="5">
    <w:p w14:paraId="331EC6E3" w14:textId="52BDD73A" w:rsidR="00D17419" w:rsidRPr="00095533" w:rsidRDefault="00D17419">
      <w:pPr>
        <w:pStyle w:val="Sprotnaopomba-besedilo"/>
        <w:rPr>
          <w:lang w:val="sl-SI"/>
        </w:rPr>
      </w:pPr>
      <w:r>
        <w:rPr>
          <w:rStyle w:val="Sprotnaopomba-sklic"/>
        </w:rPr>
        <w:footnoteRef/>
      </w:r>
      <w:r>
        <w:t xml:space="preserve"> </w:t>
      </w:r>
      <w:r w:rsidRPr="00405F03">
        <w:rPr>
          <w:rFonts w:cs="Arial"/>
          <w:szCs w:val="18"/>
          <w:lang w:val="sl-SI"/>
        </w:rPr>
        <w:t>vključno s stroški omrežnine</w:t>
      </w:r>
    </w:p>
  </w:footnote>
  <w:footnote w:id="6">
    <w:p w14:paraId="2FE8238C" w14:textId="2BF22EE3" w:rsidR="00D17419" w:rsidRPr="00095533" w:rsidRDefault="00D17419">
      <w:pPr>
        <w:pStyle w:val="Sprotnaopomba-besedilo"/>
        <w:rPr>
          <w:rFonts w:cs="Arial"/>
          <w:szCs w:val="18"/>
          <w:lang w:val="sl-SI"/>
        </w:rPr>
      </w:pPr>
      <w:r>
        <w:rPr>
          <w:rStyle w:val="Sprotnaopomba-sklic"/>
        </w:rPr>
        <w:footnoteRef/>
      </w:r>
      <w:r>
        <w:t xml:space="preserve"> </w:t>
      </w:r>
      <w:r w:rsidRPr="00405F03">
        <w:rPr>
          <w:lang w:val="sl-SI"/>
        </w:rPr>
        <w:t>Večinoma gre za ocenjene stroške investicij v novo gospodarsko javno infrastrukturo (Operativni program odvajanja in čiščenja komunalnih odpadnih voda in Operativni program oskrbe s pitno vodo).</w:t>
      </w:r>
    </w:p>
  </w:footnote>
  <w:footnote w:id="7">
    <w:p w14:paraId="0D7BFA13" w14:textId="77777777" w:rsidR="00D17419" w:rsidRPr="00281D55" w:rsidRDefault="00D17419" w:rsidP="003C61AE">
      <w:pPr>
        <w:pStyle w:val="Sprotnaopomba-besedilo"/>
        <w:jc w:val="both"/>
        <w:rPr>
          <w:rFonts w:cs="Arial"/>
          <w:i/>
          <w:sz w:val="16"/>
          <w:szCs w:val="16"/>
        </w:rPr>
      </w:pPr>
      <w:r w:rsidRPr="00281D55">
        <w:rPr>
          <w:rStyle w:val="Sprotnaopomba-sklic"/>
          <w:rFonts w:cs="Arial"/>
          <w:i/>
          <w:sz w:val="16"/>
          <w:szCs w:val="16"/>
        </w:rPr>
        <w:footnoteRef/>
      </w:r>
      <w:r w:rsidRPr="00281D55">
        <w:rPr>
          <w:rFonts w:cs="Arial"/>
          <w:i/>
          <w:sz w:val="16"/>
          <w:szCs w:val="16"/>
        </w:rPr>
        <w:t xml:space="preserve"> (1) odstavek 86. člena ZV-1 </w:t>
      </w:r>
    </w:p>
  </w:footnote>
  <w:footnote w:id="8">
    <w:p w14:paraId="68355276" w14:textId="77777777" w:rsidR="00D17419" w:rsidRPr="00281D55" w:rsidRDefault="00D17419" w:rsidP="003C61AE">
      <w:pPr>
        <w:rPr>
          <w:rFonts w:cs="Arial"/>
          <w:sz w:val="16"/>
        </w:rPr>
      </w:pPr>
      <w:r w:rsidRPr="00281D55">
        <w:rPr>
          <w:rStyle w:val="Sprotnaopomba-sklic"/>
          <w:rFonts w:cs="Arial"/>
          <w:sz w:val="16"/>
        </w:rPr>
        <w:footnoteRef/>
      </w:r>
      <w:r w:rsidRPr="00281D55">
        <w:rPr>
          <w:rFonts w:cs="Arial"/>
          <w:sz w:val="16"/>
        </w:rPr>
        <w:t xml:space="preserve"> </w:t>
      </w:r>
      <w:r w:rsidRPr="00281D55">
        <w:rPr>
          <w:rFonts w:cs="Arial"/>
          <w:i/>
          <w:sz w:val="16"/>
        </w:rPr>
        <w:t xml:space="preserve">Poplavni nevarnostni potencial je pripravljen kot ovojnica </w:t>
      </w:r>
      <w:r>
        <w:rPr>
          <w:rFonts w:cs="Arial"/>
          <w:i/>
          <w:sz w:val="16"/>
        </w:rPr>
        <w:t xml:space="preserve">dosegov pogostih, redkih in zelo redkih poplav (Opozorilna karta poplav, Vodni kataster, december 2020) , </w:t>
      </w:r>
      <w:r w:rsidRPr="00281D55">
        <w:rPr>
          <w:rFonts w:cs="Arial"/>
          <w:i/>
          <w:sz w:val="16"/>
        </w:rPr>
        <w:t>združen</w:t>
      </w:r>
      <w:r>
        <w:rPr>
          <w:rFonts w:cs="Arial"/>
          <w:i/>
          <w:sz w:val="16"/>
        </w:rPr>
        <w:t>a</w:t>
      </w:r>
      <w:r w:rsidRPr="00281D55">
        <w:rPr>
          <w:rFonts w:cs="Arial"/>
          <w:i/>
          <w:sz w:val="16"/>
        </w:rPr>
        <w:t xml:space="preserve"> </w:t>
      </w:r>
      <w:r>
        <w:rPr>
          <w:rFonts w:cs="Arial"/>
          <w:i/>
          <w:sz w:val="16"/>
        </w:rPr>
        <w:t xml:space="preserve">z dosegom Q500 (Integralna karta poplavne nevarnosti, Vodni kataster, julij 2021). </w:t>
      </w:r>
    </w:p>
    <w:p w14:paraId="60A97579" w14:textId="77777777" w:rsidR="00D17419" w:rsidRDefault="00D17419" w:rsidP="003C61AE">
      <w:pPr>
        <w:pStyle w:val="Sprotnaopomba-besedilo"/>
      </w:pPr>
    </w:p>
  </w:footnote>
  <w:footnote w:id="9">
    <w:p w14:paraId="1D5D1479" w14:textId="77777777" w:rsidR="00D17419" w:rsidRPr="00103910" w:rsidRDefault="00D17419" w:rsidP="005F2DC7">
      <w:pPr>
        <w:spacing w:line="240" w:lineRule="auto"/>
        <w:rPr>
          <w:sz w:val="16"/>
        </w:rPr>
      </w:pPr>
      <w:r w:rsidRPr="00103910">
        <w:rPr>
          <w:rStyle w:val="Sprotnaopomba-sklic"/>
          <w:sz w:val="16"/>
        </w:rPr>
        <w:footnoteRef/>
      </w:r>
      <w:r w:rsidRPr="00103910">
        <w:rPr>
          <w:sz w:val="16"/>
        </w:rPr>
        <w:t xml:space="preserve"> </w:t>
      </w:r>
      <w:r w:rsidRPr="00103910">
        <w:rPr>
          <w:rFonts w:cs="Arial"/>
          <w:sz w:val="16"/>
        </w:rPr>
        <w:t>Povračilo stroškov je ključno za spodbujanje trajnostne uporabe naravnih virov. Izvajalci storitev, povezanih z obremenjevanjem voda, povzročajo stroške (okoljske stroške, stroške vode kot naravnega vira…). Zahteva, da te stroške krijejo povzročitelji sami (v skladu z načelom »plača povzročitelj obremenitve«) spodbudi izvajalce h gospodarni uporabi naravnih virov in k uvedbi novih tehnologij, ki manj obremenjujejo vode. Gospodarna uporaba naravnega vira je osnovni pogoj za ohranjanje razmer, ki omogočajo dolgoročno izvajanje storitev, povezanih z obremenjevanjem voda. Prekomerna uporaba naravnega vira privede do razmer, ko izvajanje storitev ni več možno (pomanjkanje vode, onesnažena voda,...) in vir ni več uporaben. Zato je za dolgoročno izvajanje storitev pomembno, da se povzročitelji obremenitev zavedajo stroškov, ki jih povzročajo, in da sami prispevajo h kritju teh stroškov.</w:t>
      </w:r>
    </w:p>
  </w:footnote>
  <w:footnote w:id="10">
    <w:p w14:paraId="16E720C7" w14:textId="77777777" w:rsidR="00D17419" w:rsidRPr="00103910" w:rsidRDefault="00D17419" w:rsidP="005F2DC7">
      <w:pPr>
        <w:pStyle w:val="Sprotnaopomba-besedilo"/>
        <w:spacing w:line="240" w:lineRule="auto"/>
        <w:jc w:val="both"/>
        <w:rPr>
          <w:sz w:val="16"/>
          <w:szCs w:val="16"/>
          <w:lang w:val="sl-SI"/>
        </w:rPr>
      </w:pPr>
      <w:r w:rsidRPr="00103910">
        <w:rPr>
          <w:rStyle w:val="Sprotnaopomba-sklic"/>
          <w:sz w:val="16"/>
          <w:szCs w:val="16"/>
        </w:rPr>
        <w:footnoteRef/>
      </w:r>
      <w:r w:rsidRPr="00103910">
        <w:rPr>
          <w:sz w:val="16"/>
          <w:szCs w:val="16"/>
        </w:rPr>
        <w:t xml:space="preserve"> </w:t>
      </w:r>
      <w:r w:rsidRPr="00103910">
        <w:rPr>
          <w:rFonts w:cs="Arial"/>
          <w:sz w:val="16"/>
          <w:szCs w:val="16"/>
        </w:rPr>
        <w:t>Ocena povračila finančnih stroškov izvajanja storitev obveznih občinskih gospodarskih javnih služb oskrbe s pitno vodo ter odvajanja in čiščenja komunalne odpadne vode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083F3" w14:textId="77777777" w:rsidR="00D17419" w:rsidRDefault="00D17419">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4F240" w14:textId="77777777" w:rsidR="00D17419" w:rsidRDefault="00D17419">
    <w:pPr>
      <w:pStyle w:val="Glav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6A303" w14:textId="77777777" w:rsidR="00D17419" w:rsidRDefault="00D17419">
    <w:pPr>
      <w:pStyle w:val="Glav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562E1" w14:textId="619B418E" w:rsidR="00D17419" w:rsidRPr="00C17857" w:rsidRDefault="00D17419" w:rsidP="00530160">
    <w:pPr>
      <w:pStyle w:val="Glava"/>
      <w:pBdr>
        <w:bottom w:val="single" w:sz="4" w:space="1" w:color="auto"/>
      </w:pBdr>
      <w:spacing w:line="240" w:lineRule="exact"/>
      <w:rPr>
        <w:lang w:val="sl-SI"/>
      </w:rPr>
    </w:pPr>
    <w:r w:rsidRPr="00C17857">
      <w:rPr>
        <w:rFonts w:cs="Arial"/>
        <w:i/>
        <w:sz w:val="18"/>
        <w:szCs w:val="18"/>
        <w:lang w:val="sl-SI"/>
      </w:rPr>
      <w:t>Osnutek načrta upravljanja voda na VO Donave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F094D" w14:textId="2806E454" w:rsidR="00D17419" w:rsidRPr="006B374D" w:rsidRDefault="00D17419" w:rsidP="00EA746B">
    <w:pPr>
      <w:pStyle w:val="Glava"/>
      <w:pBdr>
        <w:bottom w:val="single" w:sz="4" w:space="1" w:color="auto"/>
      </w:pBdr>
      <w:spacing w:line="240" w:lineRule="exact"/>
      <w:jc w:val="right"/>
      <w:rPr>
        <w:lang w:val="sl-SI"/>
      </w:rPr>
    </w:pPr>
    <w:r>
      <w:rPr>
        <w:rFonts w:cs="Arial"/>
        <w:i/>
        <w:sz w:val="18"/>
        <w:szCs w:val="18"/>
        <w:lang w:val="sl-SI"/>
      </w:rPr>
      <w:t>Osnutek n</w:t>
    </w:r>
    <w:r w:rsidRPr="009E3DE3">
      <w:rPr>
        <w:rFonts w:cs="Arial"/>
        <w:i/>
        <w:sz w:val="18"/>
        <w:szCs w:val="18"/>
      </w:rPr>
      <w:t>ačrt</w:t>
    </w:r>
    <w:r>
      <w:rPr>
        <w:rFonts w:cs="Arial"/>
        <w:i/>
        <w:sz w:val="18"/>
        <w:szCs w:val="18"/>
        <w:lang w:val="sl-SI"/>
      </w:rPr>
      <w:t>a</w:t>
    </w:r>
    <w:r w:rsidRPr="009E3DE3">
      <w:rPr>
        <w:rFonts w:cs="Arial"/>
        <w:i/>
        <w:sz w:val="18"/>
        <w:szCs w:val="18"/>
      </w:rPr>
      <w:t xml:space="preserve"> upravljanja voda na VO Donave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0084D3" w14:textId="77777777" w:rsidR="00D17419" w:rsidRPr="009E3DE3" w:rsidRDefault="00D17419" w:rsidP="00EA746B">
    <w:pPr>
      <w:pStyle w:val="Glava"/>
      <w:pBdr>
        <w:bottom w:val="single" w:sz="4" w:space="1" w:color="auto"/>
      </w:pBdr>
      <w:spacing w:line="240" w:lineRule="exact"/>
      <w:rPr>
        <w:rFonts w:cs="Arial"/>
        <w:i/>
        <w:sz w:val="18"/>
        <w:szCs w:val="18"/>
      </w:rPr>
    </w:pPr>
    <w:r w:rsidRPr="009E3DE3">
      <w:rPr>
        <w:rFonts w:cs="Arial"/>
        <w:i/>
        <w:sz w:val="18"/>
        <w:szCs w:val="18"/>
      </w:rPr>
      <w:t>Načrt upravljanja voda na VO Donave</w:t>
    </w:r>
  </w:p>
  <w:p w14:paraId="32F48658" w14:textId="77777777" w:rsidR="00D17419" w:rsidRDefault="00D17419">
    <w:pPr>
      <w:pStyle w:val="Glava"/>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4F5D6" w14:textId="77777777" w:rsidR="00D17419" w:rsidRDefault="00D17419" w:rsidP="00EA746B">
    <w:pPr>
      <w:pStyle w:val="Glava"/>
      <w:pBdr>
        <w:bottom w:val="single" w:sz="4" w:space="1" w:color="auto"/>
      </w:pBdr>
      <w:spacing w:line="240" w:lineRule="exact"/>
    </w:pPr>
    <w:r w:rsidRPr="009E3DE3">
      <w:rPr>
        <w:rFonts w:cs="Arial"/>
        <w:i/>
        <w:sz w:val="18"/>
        <w:szCs w:val="18"/>
      </w:rPr>
      <w:t>Načrt upravljanja voda na VO Donave</w:t>
    </w:r>
  </w:p>
  <w:p w14:paraId="514ED6F4" w14:textId="77777777" w:rsidR="00D17419" w:rsidRDefault="00D1741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55DE7C3E"/>
    <w:lvl w:ilvl="0">
      <w:start w:val="1"/>
      <w:numFmt w:val="decimal"/>
      <w:pStyle w:val="Otevilenseznam2"/>
      <w:lvlText w:val="%1."/>
      <w:lvlJc w:val="left"/>
      <w:pPr>
        <w:tabs>
          <w:tab w:val="num" w:pos="643"/>
        </w:tabs>
        <w:ind w:left="643" w:hanging="360"/>
      </w:pPr>
    </w:lvl>
  </w:abstractNum>
  <w:abstractNum w:abstractNumId="1">
    <w:nsid w:val="FFFFFF88"/>
    <w:multiLevelType w:val="singleLevel"/>
    <w:tmpl w:val="31B2E810"/>
    <w:lvl w:ilvl="0">
      <w:start w:val="1"/>
      <w:numFmt w:val="decimal"/>
      <w:pStyle w:val="Otevilenseznam"/>
      <w:lvlText w:val="%1."/>
      <w:lvlJc w:val="left"/>
      <w:pPr>
        <w:tabs>
          <w:tab w:val="num" w:pos="360"/>
        </w:tabs>
        <w:ind w:left="360" w:hanging="360"/>
      </w:pPr>
    </w:lvl>
  </w:abstractNum>
  <w:abstractNum w:abstractNumId="2">
    <w:nsid w:val="009B7AF4"/>
    <w:multiLevelType w:val="hybridMultilevel"/>
    <w:tmpl w:val="7EAE56AE"/>
    <w:lvl w:ilvl="0" w:tplc="FFFFFFFF">
      <w:numFmt w:val="bullet"/>
      <w:lvlText w:val="-"/>
      <w:lvlJc w:val="left"/>
      <w:pPr>
        <w:tabs>
          <w:tab w:val="num" w:pos="720"/>
        </w:tabs>
        <w:ind w:left="720" w:hanging="360"/>
      </w:pPr>
      <w:rPr>
        <w:rFonts w:ascii="Arial Narrow" w:eastAsia="Times New Roman" w:hAnsi="Arial Narrow" w:hint="default"/>
      </w:r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3">
    <w:nsid w:val="011111F8"/>
    <w:multiLevelType w:val="hybridMultilevel"/>
    <w:tmpl w:val="48F07072"/>
    <w:lvl w:ilvl="0" w:tplc="0424000F">
      <w:start w:val="1"/>
      <w:numFmt w:val="decimal"/>
      <w:lvlText w:val="%1."/>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1A53357"/>
    <w:multiLevelType w:val="hybridMultilevel"/>
    <w:tmpl w:val="8D70887A"/>
    <w:lvl w:ilvl="0" w:tplc="9AA65A68">
      <w:start w:val="2"/>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355162D"/>
    <w:multiLevelType w:val="hybridMultilevel"/>
    <w:tmpl w:val="F6B290F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6">
    <w:nsid w:val="036F6335"/>
    <w:multiLevelType w:val="multilevel"/>
    <w:tmpl w:val="08BEC94A"/>
    <w:lvl w:ilvl="0">
      <w:start w:val="1"/>
      <w:numFmt w:val="decimal"/>
      <w:pStyle w:val="GeoZSPodnaslovStL1"/>
      <w:suff w:val="space"/>
      <w:lvlText w:val="%1."/>
      <w:lvlJc w:val="left"/>
      <w:pPr>
        <w:ind w:left="397" w:hanging="397"/>
      </w:pPr>
      <w:rPr>
        <w:rFonts w:hint="default"/>
      </w:rPr>
    </w:lvl>
    <w:lvl w:ilvl="1">
      <w:start w:val="1"/>
      <w:numFmt w:val="decimal"/>
      <w:pStyle w:val="GeoZSPodnaslovStL2"/>
      <w:suff w:val="space"/>
      <w:lvlText w:val="%1.%2."/>
      <w:lvlJc w:val="left"/>
      <w:pPr>
        <w:ind w:left="397" w:hanging="397"/>
      </w:pPr>
      <w:rPr>
        <w:rFonts w:hint="default"/>
      </w:rPr>
    </w:lvl>
    <w:lvl w:ilvl="2">
      <w:start w:val="1"/>
      <w:numFmt w:val="decimal"/>
      <w:pStyle w:val="GeoZSPodnaslovStL3"/>
      <w:suff w:val="space"/>
      <w:lvlText w:val="%1.%2.%3."/>
      <w:lvlJc w:val="left"/>
      <w:pPr>
        <w:ind w:left="397" w:hanging="397"/>
      </w:pPr>
      <w:rPr>
        <w:rFonts w:hint="default"/>
      </w:rPr>
    </w:lvl>
    <w:lvl w:ilvl="3">
      <w:start w:val="1"/>
      <w:numFmt w:val="decimal"/>
      <w:pStyle w:val="GeoZSPodnaslovStL4"/>
      <w:suff w:val="space"/>
      <w:lvlText w:val="%1.%2.%3.%4."/>
      <w:lvlJc w:val="left"/>
      <w:pPr>
        <w:ind w:left="397" w:hanging="397"/>
      </w:pPr>
      <w:rPr>
        <w:rFonts w:hint="default"/>
      </w:rPr>
    </w:lvl>
    <w:lvl w:ilvl="4">
      <w:start w:val="1"/>
      <w:numFmt w:val="decimal"/>
      <w:pStyle w:val="GeoZSPodnaslovStL5"/>
      <w:suff w:val="space"/>
      <w:lvlText w:val="%1.%2.%3.%4.%5."/>
      <w:lvlJc w:val="left"/>
      <w:pPr>
        <w:ind w:left="397" w:hanging="397"/>
      </w:pPr>
      <w:rPr>
        <w:rFonts w:hint="default"/>
      </w:rPr>
    </w:lvl>
    <w:lvl w:ilvl="5">
      <w:start w:val="1"/>
      <w:numFmt w:val="decimal"/>
      <w:pStyle w:val="GeoZSPodnaslovStL6"/>
      <w:suff w:val="space"/>
      <w:lvlText w:val="%1.%2.%3.%4.%5.%6."/>
      <w:lvlJc w:val="left"/>
      <w:pPr>
        <w:ind w:left="397" w:hanging="397"/>
      </w:pPr>
      <w:rPr>
        <w:rFonts w:hint="default"/>
      </w:rPr>
    </w:lvl>
    <w:lvl w:ilvl="6">
      <w:start w:val="1"/>
      <w:numFmt w:val="decimal"/>
      <w:pStyle w:val="GeoZSPodnaslovStL7"/>
      <w:suff w:val="space"/>
      <w:lvlText w:val="%1.%2.%3.%4.%5.%6.%7."/>
      <w:lvlJc w:val="left"/>
      <w:pPr>
        <w:ind w:left="397" w:hanging="397"/>
      </w:pPr>
      <w:rPr>
        <w:rFonts w:hint="default"/>
      </w:rPr>
    </w:lvl>
    <w:lvl w:ilvl="7">
      <w:start w:val="1"/>
      <w:numFmt w:val="decimal"/>
      <w:pStyle w:val="GeoZSPodnaslovStL8"/>
      <w:suff w:val="space"/>
      <w:lvlText w:val="%1.%2.%3.%4.%5.%6.%7.%8."/>
      <w:lvlJc w:val="left"/>
      <w:pPr>
        <w:ind w:left="397" w:hanging="397"/>
      </w:pPr>
      <w:rPr>
        <w:rFonts w:hint="default"/>
      </w:rPr>
    </w:lvl>
    <w:lvl w:ilvl="8">
      <w:start w:val="1"/>
      <w:numFmt w:val="decimal"/>
      <w:pStyle w:val="GeoZSPodnaslovStL9"/>
      <w:suff w:val="space"/>
      <w:lvlText w:val="%1.%2.%3.%4.%5.%6.%7.%8.%9."/>
      <w:lvlJc w:val="left"/>
      <w:pPr>
        <w:ind w:left="397" w:hanging="397"/>
      </w:pPr>
      <w:rPr>
        <w:rFonts w:hint="default"/>
      </w:rPr>
    </w:lvl>
  </w:abstractNum>
  <w:abstractNum w:abstractNumId="7">
    <w:nsid w:val="048D3386"/>
    <w:multiLevelType w:val="hybridMultilevel"/>
    <w:tmpl w:val="C2469AFC"/>
    <w:lvl w:ilvl="0" w:tplc="07989EB8">
      <w:start w:val="1"/>
      <w:numFmt w:val="bullet"/>
      <w:lvlText w:val="-"/>
      <w:lvlJc w:val="left"/>
      <w:pPr>
        <w:ind w:left="720" w:hanging="360"/>
      </w:pPr>
      <w:rPr>
        <w:rFonts w:ascii="Calibri" w:eastAsiaTheme="maj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06052F7C"/>
    <w:multiLevelType w:val="hybridMultilevel"/>
    <w:tmpl w:val="BC4678DC"/>
    <w:lvl w:ilvl="0" w:tplc="FB047E6A">
      <w:numFmt w:val="bullet"/>
      <w:lvlText w:val="-"/>
      <w:lvlJc w:val="left"/>
      <w:pPr>
        <w:ind w:left="1001" w:hanging="360"/>
      </w:pPr>
      <w:rPr>
        <w:rFonts w:ascii="Tahoma" w:eastAsia="Calibri" w:hAnsi="Tahoma" w:cs="Tahoma" w:hint="default"/>
      </w:rPr>
    </w:lvl>
    <w:lvl w:ilvl="1" w:tplc="04240003">
      <w:start w:val="1"/>
      <w:numFmt w:val="bullet"/>
      <w:lvlText w:val="o"/>
      <w:lvlJc w:val="left"/>
      <w:pPr>
        <w:ind w:left="1721" w:hanging="360"/>
      </w:pPr>
      <w:rPr>
        <w:rFonts w:ascii="Courier New" w:hAnsi="Courier New" w:cs="Courier New" w:hint="default"/>
      </w:rPr>
    </w:lvl>
    <w:lvl w:ilvl="2" w:tplc="04240005">
      <w:start w:val="1"/>
      <w:numFmt w:val="bullet"/>
      <w:lvlText w:val=""/>
      <w:lvlJc w:val="left"/>
      <w:pPr>
        <w:ind w:left="2441" w:hanging="360"/>
      </w:pPr>
      <w:rPr>
        <w:rFonts w:ascii="Wingdings" w:hAnsi="Wingdings" w:hint="default"/>
      </w:rPr>
    </w:lvl>
    <w:lvl w:ilvl="3" w:tplc="04240001">
      <w:start w:val="1"/>
      <w:numFmt w:val="bullet"/>
      <w:lvlText w:val=""/>
      <w:lvlJc w:val="left"/>
      <w:pPr>
        <w:ind w:left="3161" w:hanging="360"/>
      </w:pPr>
      <w:rPr>
        <w:rFonts w:ascii="Symbol" w:hAnsi="Symbol" w:hint="default"/>
      </w:rPr>
    </w:lvl>
    <w:lvl w:ilvl="4" w:tplc="04240003">
      <w:start w:val="1"/>
      <w:numFmt w:val="bullet"/>
      <w:lvlText w:val="o"/>
      <w:lvlJc w:val="left"/>
      <w:pPr>
        <w:ind w:left="3881" w:hanging="360"/>
      </w:pPr>
      <w:rPr>
        <w:rFonts w:ascii="Courier New" w:hAnsi="Courier New" w:cs="Courier New" w:hint="default"/>
      </w:rPr>
    </w:lvl>
    <w:lvl w:ilvl="5" w:tplc="04240005">
      <w:start w:val="1"/>
      <w:numFmt w:val="bullet"/>
      <w:lvlText w:val=""/>
      <w:lvlJc w:val="left"/>
      <w:pPr>
        <w:ind w:left="4601" w:hanging="360"/>
      </w:pPr>
      <w:rPr>
        <w:rFonts w:ascii="Wingdings" w:hAnsi="Wingdings" w:hint="default"/>
      </w:rPr>
    </w:lvl>
    <w:lvl w:ilvl="6" w:tplc="04240001">
      <w:start w:val="1"/>
      <w:numFmt w:val="bullet"/>
      <w:lvlText w:val=""/>
      <w:lvlJc w:val="left"/>
      <w:pPr>
        <w:ind w:left="5321" w:hanging="360"/>
      </w:pPr>
      <w:rPr>
        <w:rFonts w:ascii="Symbol" w:hAnsi="Symbol" w:hint="default"/>
      </w:rPr>
    </w:lvl>
    <w:lvl w:ilvl="7" w:tplc="04240003">
      <w:start w:val="1"/>
      <w:numFmt w:val="bullet"/>
      <w:lvlText w:val="o"/>
      <w:lvlJc w:val="left"/>
      <w:pPr>
        <w:ind w:left="6041" w:hanging="360"/>
      </w:pPr>
      <w:rPr>
        <w:rFonts w:ascii="Courier New" w:hAnsi="Courier New" w:cs="Courier New" w:hint="default"/>
      </w:rPr>
    </w:lvl>
    <w:lvl w:ilvl="8" w:tplc="04240005">
      <w:start w:val="1"/>
      <w:numFmt w:val="bullet"/>
      <w:lvlText w:val=""/>
      <w:lvlJc w:val="left"/>
      <w:pPr>
        <w:ind w:left="6761" w:hanging="360"/>
      </w:pPr>
      <w:rPr>
        <w:rFonts w:ascii="Wingdings" w:hAnsi="Wingdings" w:hint="default"/>
      </w:rPr>
    </w:lvl>
  </w:abstractNum>
  <w:abstractNum w:abstractNumId="9">
    <w:nsid w:val="07D05D60"/>
    <w:multiLevelType w:val="hybridMultilevel"/>
    <w:tmpl w:val="096E12C2"/>
    <w:lvl w:ilvl="0" w:tplc="0598DA9E">
      <w:start w:val="5"/>
      <w:numFmt w:val="bullet"/>
      <w:lvlText w:val="-"/>
      <w:lvlJc w:val="left"/>
      <w:pPr>
        <w:ind w:left="720" w:hanging="360"/>
      </w:pPr>
      <w:rPr>
        <w:rFonts w:ascii="Arial Narrow" w:eastAsia="Times New Roman" w:hAnsi="Arial Narrow"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095D573E"/>
    <w:multiLevelType w:val="hybridMultilevel"/>
    <w:tmpl w:val="13061B1C"/>
    <w:lvl w:ilvl="0" w:tplc="FB047E6A">
      <w:numFmt w:val="bullet"/>
      <w:lvlText w:val="-"/>
      <w:lvlJc w:val="left"/>
      <w:pPr>
        <w:ind w:left="720" w:hanging="360"/>
      </w:pPr>
      <w:rPr>
        <w:rFonts w:ascii="Tahoma" w:eastAsia="Calibri"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1">
    <w:nsid w:val="09BF0A4D"/>
    <w:multiLevelType w:val="hybridMultilevel"/>
    <w:tmpl w:val="A8B828C6"/>
    <w:lvl w:ilvl="0" w:tplc="7CC4E86A">
      <w:start w:val="1"/>
      <w:numFmt w:val="decimal"/>
      <w:pStyle w:val="Style1zakopalnavoda"/>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2">
    <w:nsid w:val="09F0786C"/>
    <w:multiLevelType w:val="multilevel"/>
    <w:tmpl w:val="0E5AF288"/>
    <w:lvl w:ilvl="0">
      <w:start w:val="1"/>
      <w:numFmt w:val="decimal"/>
      <w:pStyle w:val="SlogNaslov1Levo0cmPrvavrstica0cm"/>
      <w:lvlText w:val="%1"/>
      <w:lvlJc w:val="left"/>
      <w:pPr>
        <w:tabs>
          <w:tab w:val="num" w:pos="855"/>
        </w:tabs>
        <w:ind w:left="855" w:hanging="855"/>
      </w:pPr>
    </w:lvl>
    <w:lvl w:ilvl="1">
      <w:start w:val="1"/>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nsid w:val="0B2363DC"/>
    <w:multiLevelType w:val="hybridMultilevel"/>
    <w:tmpl w:val="5D027D1E"/>
    <w:lvl w:ilvl="0" w:tplc="7658835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0B4F0030"/>
    <w:multiLevelType w:val="hybridMultilevel"/>
    <w:tmpl w:val="7D4E9E22"/>
    <w:lvl w:ilvl="0" w:tplc="0598DA9E">
      <w:start w:val="5"/>
      <w:numFmt w:val="bullet"/>
      <w:lvlText w:val="-"/>
      <w:lvlJc w:val="left"/>
      <w:pPr>
        <w:tabs>
          <w:tab w:val="num" w:pos="720"/>
        </w:tabs>
        <w:ind w:left="720" w:hanging="360"/>
      </w:pPr>
      <w:rPr>
        <w:rFonts w:ascii="Arial Narrow" w:eastAsia="Times New Roman" w:hAnsi="Arial Narrow"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5">
    <w:nsid w:val="0BEB6798"/>
    <w:multiLevelType w:val="hybridMultilevel"/>
    <w:tmpl w:val="0F3E3F6E"/>
    <w:lvl w:ilvl="0" w:tplc="9AA65A68">
      <w:start w:val="2"/>
      <w:numFmt w:val="bullet"/>
      <w:lvlText w:val="-"/>
      <w:lvlJc w:val="left"/>
      <w:pPr>
        <w:ind w:left="720" w:hanging="360"/>
      </w:pPr>
      <w:rPr>
        <w:rFonts w:ascii="Tahoma" w:eastAsia="Times New Roman"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0CF54248"/>
    <w:multiLevelType w:val="multilevel"/>
    <w:tmpl w:val="0424001F"/>
    <w:styleLink w:val="1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17">
    <w:nsid w:val="0D610222"/>
    <w:multiLevelType w:val="hybridMultilevel"/>
    <w:tmpl w:val="249E43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0D77414E"/>
    <w:multiLevelType w:val="hybridMultilevel"/>
    <w:tmpl w:val="FC062FF6"/>
    <w:lvl w:ilvl="0" w:tplc="07989EB8">
      <w:start w:val="1"/>
      <w:numFmt w:val="bullet"/>
      <w:lvlText w:val="-"/>
      <w:lvlJc w:val="left"/>
      <w:pPr>
        <w:ind w:left="720" w:hanging="360"/>
      </w:pPr>
      <w:rPr>
        <w:rFonts w:ascii="Calibri" w:eastAsiaTheme="majorEastAsia"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0E00467D"/>
    <w:multiLevelType w:val="hybridMultilevel"/>
    <w:tmpl w:val="F2E24DBE"/>
    <w:lvl w:ilvl="0" w:tplc="9AA65A68">
      <w:start w:val="2"/>
      <w:numFmt w:val="bullet"/>
      <w:lvlText w:val="-"/>
      <w:lvlJc w:val="left"/>
      <w:pPr>
        <w:ind w:left="720" w:hanging="360"/>
      </w:pPr>
      <w:rPr>
        <w:rFonts w:ascii="Tahoma" w:eastAsia="Times New Roman"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0E574C74"/>
    <w:multiLevelType w:val="hybridMultilevel"/>
    <w:tmpl w:val="B5867A56"/>
    <w:lvl w:ilvl="0" w:tplc="C4E627BC">
      <w:numFmt w:val="bullet"/>
      <w:lvlText w:val="-"/>
      <w:lvlJc w:val="left"/>
      <w:pPr>
        <w:tabs>
          <w:tab w:val="num" w:pos="644"/>
        </w:tabs>
        <w:ind w:left="644" w:hanging="360"/>
      </w:pPr>
      <w:rPr>
        <w:rFonts w:ascii="Arial Narrow" w:eastAsia="Times New Roman" w:hAnsi="Arial Narrow" w:cs="Helv" w:hint="default"/>
        <w:sz w:val="24"/>
      </w:rPr>
    </w:lvl>
    <w:lvl w:ilvl="1" w:tplc="04240003">
      <w:start w:val="1"/>
      <w:numFmt w:val="bullet"/>
      <w:lvlText w:val="o"/>
      <w:lvlJc w:val="left"/>
      <w:pPr>
        <w:tabs>
          <w:tab w:val="num" w:pos="1800"/>
        </w:tabs>
        <w:ind w:left="1800" w:hanging="360"/>
      </w:pPr>
      <w:rPr>
        <w:rFonts w:ascii="Courier New" w:hAnsi="Courier New" w:cs="Courier New" w:hint="default"/>
      </w:rPr>
    </w:lvl>
    <w:lvl w:ilvl="2" w:tplc="04240005">
      <w:start w:val="1"/>
      <w:numFmt w:val="bullet"/>
      <w:lvlText w:val=""/>
      <w:lvlJc w:val="left"/>
      <w:pPr>
        <w:tabs>
          <w:tab w:val="num" w:pos="2520"/>
        </w:tabs>
        <w:ind w:left="2520" w:hanging="360"/>
      </w:pPr>
      <w:rPr>
        <w:rFonts w:ascii="Wingdings" w:hAnsi="Wingdings" w:hint="default"/>
      </w:rPr>
    </w:lvl>
    <w:lvl w:ilvl="3" w:tplc="04240001">
      <w:start w:val="1"/>
      <w:numFmt w:val="bullet"/>
      <w:lvlText w:val=""/>
      <w:lvlJc w:val="left"/>
      <w:pPr>
        <w:tabs>
          <w:tab w:val="num" w:pos="3240"/>
        </w:tabs>
        <w:ind w:left="3240" w:hanging="360"/>
      </w:pPr>
      <w:rPr>
        <w:rFonts w:ascii="Symbol" w:hAnsi="Symbol" w:hint="default"/>
      </w:rPr>
    </w:lvl>
    <w:lvl w:ilvl="4" w:tplc="04240003">
      <w:start w:val="1"/>
      <w:numFmt w:val="bullet"/>
      <w:lvlText w:val="o"/>
      <w:lvlJc w:val="left"/>
      <w:pPr>
        <w:tabs>
          <w:tab w:val="num" w:pos="3960"/>
        </w:tabs>
        <w:ind w:left="3960" w:hanging="360"/>
      </w:pPr>
      <w:rPr>
        <w:rFonts w:ascii="Courier New" w:hAnsi="Courier New" w:cs="Courier New" w:hint="default"/>
      </w:rPr>
    </w:lvl>
    <w:lvl w:ilvl="5" w:tplc="04240005">
      <w:start w:val="1"/>
      <w:numFmt w:val="bullet"/>
      <w:lvlText w:val=""/>
      <w:lvlJc w:val="left"/>
      <w:pPr>
        <w:tabs>
          <w:tab w:val="num" w:pos="4680"/>
        </w:tabs>
        <w:ind w:left="4680" w:hanging="360"/>
      </w:pPr>
      <w:rPr>
        <w:rFonts w:ascii="Wingdings" w:hAnsi="Wingdings" w:hint="default"/>
      </w:rPr>
    </w:lvl>
    <w:lvl w:ilvl="6" w:tplc="04240001">
      <w:start w:val="1"/>
      <w:numFmt w:val="bullet"/>
      <w:lvlText w:val=""/>
      <w:lvlJc w:val="left"/>
      <w:pPr>
        <w:tabs>
          <w:tab w:val="num" w:pos="5400"/>
        </w:tabs>
        <w:ind w:left="5400" w:hanging="360"/>
      </w:pPr>
      <w:rPr>
        <w:rFonts w:ascii="Symbol" w:hAnsi="Symbol" w:hint="default"/>
      </w:rPr>
    </w:lvl>
    <w:lvl w:ilvl="7" w:tplc="04240003">
      <w:start w:val="1"/>
      <w:numFmt w:val="bullet"/>
      <w:lvlText w:val="o"/>
      <w:lvlJc w:val="left"/>
      <w:pPr>
        <w:tabs>
          <w:tab w:val="num" w:pos="6120"/>
        </w:tabs>
        <w:ind w:left="6120" w:hanging="360"/>
      </w:pPr>
      <w:rPr>
        <w:rFonts w:ascii="Courier New" w:hAnsi="Courier New" w:cs="Courier New" w:hint="default"/>
      </w:rPr>
    </w:lvl>
    <w:lvl w:ilvl="8" w:tplc="04240005">
      <w:start w:val="1"/>
      <w:numFmt w:val="bullet"/>
      <w:lvlText w:val=""/>
      <w:lvlJc w:val="left"/>
      <w:pPr>
        <w:tabs>
          <w:tab w:val="num" w:pos="6840"/>
        </w:tabs>
        <w:ind w:left="6840" w:hanging="360"/>
      </w:pPr>
      <w:rPr>
        <w:rFonts w:ascii="Wingdings" w:hAnsi="Wingdings" w:hint="default"/>
      </w:rPr>
    </w:lvl>
  </w:abstractNum>
  <w:abstractNum w:abstractNumId="21">
    <w:nsid w:val="0F3F1986"/>
    <w:multiLevelType w:val="hybridMultilevel"/>
    <w:tmpl w:val="1F36AF9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0F5A30EA"/>
    <w:multiLevelType w:val="hybridMultilevel"/>
    <w:tmpl w:val="70ACF7C6"/>
    <w:lvl w:ilvl="0" w:tplc="680C01E4">
      <w:start w:val="1"/>
      <w:numFmt w:val="bullet"/>
      <w:pStyle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nsid w:val="103F7CA7"/>
    <w:multiLevelType w:val="hybridMultilevel"/>
    <w:tmpl w:val="A6D0F908"/>
    <w:lvl w:ilvl="0" w:tplc="9AA65A68">
      <w:start w:val="2"/>
      <w:numFmt w:val="bullet"/>
      <w:lvlText w:val="-"/>
      <w:lvlJc w:val="left"/>
      <w:pPr>
        <w:tabs>
          <w:tab w:val="num" w:pos="720"/>
        </w:tabs>
        <w:ind w:left="720" w:hanging="360"/>
      </w:pPr>
      <w:rPr>
        <w:rFonts w:ascii="Tahoma" w:eastAsia="Times New Roman" w:hAnsi="Tahoma" w:cs="Tahoma"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24">
    <w:nsid w:val="11D376FB"/>
    <w:multiLevelType w:val="hybridMultilevel"/>
    <w:tmpl w:val="B4303BB8"/>
    <w:lvl w:ilvl="0" w:tplc="07989EB8">
      <w:start w:val="1"/>
      <w:numFmt w:val="bullet"/>
      <w:lvlText w:val="-"/>
      <w:lvlJc w:val="left"/>
      <w:pPr>
        <w:ind w:left="720" w:hanging="360"/>
      </w:pPr>
      <w:rPr>
        <w:rFonts w:ascii="Calibri" w:eastAsiaTheme="majorEastAsia" w:hAnsi="Calibri" w:cs="Calibri" w:hint="default"/>
      </w:rPr>
    </w:lvl>
    <w:lvl w:ilvl="1" w:tplc="2000000D">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1411779D"/>
    <w:multiLevelType w:val="hybridMultilevel"/>
    <w:tmpl w:val="C88E69AC"/>
    <w:lvl w:ilvl="0" w:tplc="9AA65A68">
      <w:start w:val="2"/>
      <w:numFmt w:val="bullet"/>
      <w:lvlText w:val="-"/>
      <w:lvlJc w:val="left"/>
      <w:pPr>
        <w:ind w:left="720" w:hanging="360"/>
      </w:pPr>
      <w:rPr>
        <w:rFonts w:ascii="Tahoma" w:eastAsia="Times New Roman"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6">
    <w:nsid w:val="17B23957"/>
    <w:multiLevelType w:val="hybridMultilevel"/>
    <w:tmpl w:val="D62AB194"/>
    <w:lvl w:ilvl="0" w:tplc="0598DA9E">
      <w:start w:val="5"/>
      <w:numFmt w:val="bullet"/>
      <w:lvlText w:val="-"/>
      <w:lvlJc w:val="left"/>
      <w:pPr>
        <w:ind w:left="720" w:hanging="360"/>
      </w:pPr>
      <w:rPr>
        <w:rFonts w:ascii="Arial Narrow" w:eastAsia="Times New Roman" w:hAnsi="Arial Narrow"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1849609D"/>
    <w:multiLevelType w:val="hybridMultilevel"/>
    <w:tmpl w:val="777C3F32"/>
    <w:lvl w:ilvl="0" w:tplc="7658835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184C5948"/>
    <w:multiLevelType w:val="singleLevel"/>
    <w:tmpl w:val="2DBC0A46"/>
    <w:lvl w:ilvl="0">
      <w:start w:val="1"/>
      <w:numFmt w:val="bullet"/>
      <w:pStyle w:val="Okvirspredpisi-body"/>
      <w:lvlText w:val=""/>
      <w:lvlJc w:val="left"/>
      <w:pPr>
        <w:tabs>
          <w:tab w:val="num" w:pos="360"/>
        </w:tabs>
        <w:ind w:left="0" w:firstLine="0"/>
      </w:pPr>
      <w:rPr>
        <w:rFonts w:ascii="Wingdings" w:hAnsi="Wingdings" w:hint="default"/>
      </w:rPr>
    </w:lvl>
  </w:abstractNum>
  <w:abstractNum w:abstractNumId="29">
    <w:nsid w:val="18F476C5"/>
    <w:multiLevelType w:val="multilevel"/>
    <w:tmpl w:val="F984E3F0"/>
    <w:lvl w:ilvl="0">
      <w:start w:val="1"/>
      <w:numFmt w:val="decimal"/>
      <w:pStyle w:val="Tabela"/>
      <w:lvlText w:val="Tabela %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Tabela 5.1.%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2.%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0">
    <w:nsid w:val="199657CC"/>
    <w:multiLevelType w:val="singleLevel"/>
    <w:tmpl w:val="341C90CA"/>
    <w:lvl w:ilvl="0">
      <w:start w:val="1"/>
      <w:numFmt w:val="upperRoman"/>
      <w:pStyle w:val="PHASE"/>
      <w:lvlText w:val="PHASE %1:"/>
      <w:lvlJc w:val="left"/>
      <w:pPr>
        <w:tabs>
          <w:tab w:val="num" w:pos="1800"/>
        </w:tabs>
        <w:ind w:left="0" w:firstLine="0"/>
      </w:pPr>
      <w:rPr>
        <w:b/>
        <w:i w:val="0"/>
      </w:rPr>
    </w:lvl>
  </w:abstractNum>
  <w:abstractNum w:abstractNumId="31">
    <w:nsid w:val="1DCF387B"/>
    <w:multiLevelType w:val="hybridMultilevel"/>
    <w:tmpl w:val="D9F415A2"/>
    <w:lvl w:ilvl="0" w:tplc="A344FDF2">
      <w:start w:val="1"/>
      <w:numFmt w:val="bullet"/>
      <w:lvlText w:val="-"/>
      <w:lvlJc w:val="left"/>
      <w:pPr>
        <w:ind w:left="1068" w:hanging="360"/>
      </w:pPr>
      <w:rPr>
        <w:rFonts w:ascii="Arial" w:eastAsia="Times New Roman" w:hAnsi="Arial" w:cs="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2">
    <w:nsid w:val="1E3A5395"/>
    <w:multiLevelType w:val="multilevel"/>
    <w:tmpl w:val="8E90BF70"/>
    <w:lvl w:ilvl="0">
      <w:start w:val="1"/>
      <w:numFmt w:val="decimal"/>
      <w:lvlText w:val="%1."/>
      <w:lvlJc w:val="left"/>
      <w:pPr>
        <w:ind w:left="360" w:hanging="360"/>
      </w:pPr>
    </w:lvl>
    <w:lvl w:ilvl="1">
      <w:start w:val="2"/>
      <w:numFmt w:val="none"/>
      <w:lvlRestart w:val="0"/>
      <w:pStyle w:val="Podnaslov1"/>
      <w:lvlText w:val="2.2."/>
      <w:lvlJc w:val="left"/>
      <w:pPr>
        <w:ind w:left="999" w:hanging="432"/>
      </w:pPr>
    </w:lvl>
    <w:lvl w:ilvl="2">
      <w:start w:val="2"/>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20465EEA"/>
    <w:multiLevelType w:val="multilevel"/>
    <w:tmpl w:val="BC8CD8B0"/>
    <w:styleLink w:val="Slog1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1146"/>
        </w:tabs>
        <w:ind w:left="1146"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4">
    <w:nsid w:val="22A00CC2"/>
    <w:multiLevelType w:val="hybridMultilevel"/>
    <w:tmpl w:val="3DB84D46"/>
    <w:lvl w:ilvl="0" w:tplc="9AA65A68">
      <w:start w:val="2"/>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22D467B3"/>
    <w:multiLevelType w:val="hybridMultilevel"/>
    <w:tmpl w:val="C65C3C9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nsid w:val="239846E7"/>
    <w:multiLevelType w:val="multilevel"/>
    <w:tmpl w:val="B7AE1C64"/>
    <w:styleLink w:val="Alinejazaodstavkom1"/>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27791056"/>
    <w:multiLevelType w:val="multilevel"/>
    <w:tmpl w:val="5F6AEDDC"/>
    <w:lvl w:ilvl="0">
      <w:numFmt w:val="bullet"/>
      <w:pStyle w:val="tevilnatoka"/>
      <w:lvlText w:val="-"/>
      <w:lvlJc w:val="left"/>
      <w:pPr>
        <w:tabs>
          <w:tab w:val="num" w:pos="397"/>
        </w:tabs>
        <w:ind w:left="397" w:hanging="397"/>
      </w:pPr>
      <w:rPr>
        <w:rFonts w:ascii="Calibri" w:eastAsia="Calibri" w:hAnsi="Calibri" w:cs="Times New Roman" w:hint="default"/>
      </w:rPr>
    </w:lvl>
    <w:lvl w:ilvl="1">
      <w:start w:val="2"/>
      <w:numFmt w:val="decimal"/>
      <w:isLgl/>
      <w:lvlText w:val="%1.%2"/>
      <w:lvlJc w:val="left"/>
      <w:pPr>
        <w:ind w:left="555" w:hanging="55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nsid w:val="27C27C8E"/>
    <w:multiLevelType w:val="hybridMultilevel"/>
    <w:tmpl w:val="3DC2A83C"/>
    <w:lvl w:ilvl="0" w:tplc="FB047E6A">
      <w:numFmt w:val="bullet"/>
      <w:lvlText w:val="-"/>
      <w:lvlJc w:val="left"/>
      <w:pPr>
        <w:ind w:left="720" w:hanging="360"/>
      </w:pPr>
      <w:rPr>
        <w:rFonts w:ascii="Tahoma" w:eastAsia="Times New Roman" w:hAnsi="Tahoma" w:cs="Times New Roman" w:hint="default"/>
        <w:color w:val="auto"/>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9">
    <w:nsid w:val="294E58F6"/>
    <w:multiLevelType w:val="hybridMultilevel"/>
    <w:tmpl w:val="6DEEC3B2"/>
    <w:lvl w:ilvl="0" w:tplc="2AFEAE9E">
      <w:start w:val="1"/>
      <w:numFmt w:val="decimal"/>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nsid w:val="29607993"/>
    <w:multiLevelType w:val="hybridMultilevel"/>
    <w:tmpl w:val="04C0878A"/>
    <w:lvl w:ilvl="0" w:tplc="9AA65A68">
      <w:start w:val="2"/>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2A2F1129"/>
    <w:multiLevelType w:val="hybridMultilevel"/>
    <w:tmpl w:val="14E27184"/>
    <w:lvl w:ilvl="0" w:tplc="9AA65A68">
      <w:start w:val="2"/>
      <w:numFmt w:val="bullet"/>
      <w:lvlText w:val="-"/>
      <w:lvlJc w:val="left"/>
      <w:pPr>
        <w:ind w:left="720" w:hanging="360"/>
      </w:pPr>
      <w:rPr>
        <w:rFonts w:ascii="Tahoma" w:eastAsia="Times New Roman"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2CDB1C1F"/>
    <w:multiLevelType w:val="hybridMultilevel"/>
    <w:tmpl w:val="EDC41C8C"/>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2D7F25D2"/>
    <w:multiLevelType w:val="hybridMultilevel"/>
    <w:tmpl w:val="4BB6FA42"/>
    <w:lvl w:ilvl="0" w:tplc="9AA65A68">
      <w:start w:val="2"/>
      <w:numFmt w:val="bullet"/>
      <w:lvlText w:val="-"/>
      <w:lvlJc w:val="left"/>
      <w:pPr>
        <w:ind w:left="720" w:hanging="360"/>
      </w:pPr>
      <w:rPr>
        <w:rFonts w:ascii="Tahoma" w:eastAsia="Times New Roman"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4">
    <w:nsid w:val="30E929A1"/>
    <w:multiLevelType w:val="hybridMultilevel"/>
    <w:tmpl w:val="9AFE66F8"/>
    <w:lvl w:ilvl="0" w:tplc="9AA65A68">
      <w:start w:val="2"/>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nsid w:val="315D70F2"/>
    <w:multiLevelType w:val="hybridMultilevel"/>
    <w:tmpl w:val="74BCBD08"/>
    <w:lvl w:ilvl="0" w:tplc="FFFFFFFF">
      <w:numFmt w:val="bullet"/>
      <w:lvlText w:val="-"/>
      <w:lvlJc w:val="left"/>
      <w:pPr>
        <w:tabs>
          <w:tab w:val="num" w:pos="720"/>
        </w:tabs>
        <w:ind w:left="720" w:hanging="360"/>
      </w:pPr>
      <w:rPr>
        <w:rFonts w:ascii="Arial Narrow" w:eastAsia="Times New Roman" w:hAnsi="Arial Narrow" w:hint="default"/>
        <w:color w:val="auto"/>
        <w:sz w:val="16"/>
        <w:szCs w:val="16"/>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46">
    <w:nsid w:val="327D1AD3"/>
    <w:multiLevelType w:val="hybridMultilevel"/>
    <w:tmpl w:val="89D07258"/>
    <w:lvl w:ilvl="0" w:tplc="7B84DA2C">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nsid w:val="32965FE8"/>
    <w:multiLevelType w:val="hybridMultilevel"/>
    <w:tmpl w:val="49D865F4"/>
    <w:lvl w:ilvl="0" w:tplc="9AA65A68">
      <w:start w:val="2"/>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nsid w:val="33BB402C"/>
    <w:multiLevelType w:val="hybridMultilevel"/>
    <w:tmpl w:val="E04081C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9">
    <w:nsid w:val="362F6055"/>
    <w:multiLevelType w:val="hybridMultilevel"/>
    <w:tmpl w:val="B66CE254"/>
    <w:lvl w:ilvl="0" w:tplc="84A658C4">
      <w:start w:val="1"/>
      <w:numFmt w:val="bullet"/>
      <w:lvlText w:val=""/>
      <w:lvlJc w:val="left"/>
      <w:pPr>
        <w:ind w:left="1428" w:hanging="360"/>
      </w:pPr>
      <w:rPr>
        <w:rFonts w:ascii="Wingdings" w:hAnsi="Wingdings" w:hint="default"/>
      </w:rPr>
    </w:lvl>
    <w:lvl w:ilvl="1" w:tplc="2000000D">
      <w:start w:val="1"/>
      <w:numFmt w:val="bullet"/>
      <w:lvlText w:val=""/>
      <w:lvlJc w:val="left"/>
      <w:pPr>
        <w:ind w:left="2148" w:hanging="360"/>
      </w:pPr>
      <w:rPr>
        <w:rFonts w:ascii="Wingdings" w:hAnsi="Wingdings"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50">
    <w:nsid w:val="37863F47"/>
    <w:multiLevelType w:val="hybridMultilevel"/>
    <w:tmpl w:val="70E2063C"/>
    <w:lvl w:ilvl="0" w:tplc="9AA65A68">
      <w:start w:val="2"/>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nsid w:val="39745F03"/>
    <w:multiLevelType w:val="multilevel"/>
    <w:tmpl w:val="5896E49A"/>
    <w:styleLink w:val="Nastevanje2"/>
    <w:lvl w:ilvl="0">
      <w:start w:val="1"/>
      <w:numFmt w:val="decimal"/>
      <w:lvlText w:val="%1"/>
      <w:lvlJc w:val="left"/>
      <w:pPr>
        <w:ind w:left="432" w:hanging="432"/>
      </w:pPr>
      <w:rPr>
        <w:rFonts w:hint="default"/>
      </w:rPr>
    </w:lvl>
    <w:lvl w:ilvl="1">
      <w:start w:val="1"/>
      <w:numFmt w:val="decimal"/>
      <w:lvlText w:val="%1.%2"/>
      <w:lvlJc w:val="left"/>
      <w:pPr>
        <w:ind w:left="1002"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nsid w:val="3B3235E2"/>
    <w:multiLevelType w:val="hybridMultilevel"/>
    <w:tmpl w:val="8110D0FC"/>
    <w:lvl w:ilvl="0" w:tplc="F316259E">
      <w:start w:val="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nsid w:val="3CB228BE"/>
    <w:multiLevelType w:val="hybridMultilevel"/>
    <w:tmpl w:val="945AA730"/>
    <w:lvl w:ilvl="0" w:tplc="9AA65A68">
      <w:start w:val="2"/>
      <w:numFmt w:val="bullet"/>
      <w:lvlText w:val="-"/>
      <w:lvlJc w:val="left"/>
      <w:pPr>
        <w:ind w:left="862" w:hanging="360"/>
      </w:pPr>
      <w:rPr>
        <w:rFonts w:ascii="Tahoma" w:eastAsia="Times New Roman" w:hAnsi="Tahoma" w:cs="Tahoma" w:hint="default"/>
      </w:rPr>
    </w:lvl>
    <w:lvl w:ilvl="1" w:tplc="04240003">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54">
    <w:nsid w:val="3E520C11"/>
    <w:multiLevelType w:val="hybridMultilevel"/>
    <w:tmpl w:val="BE684092"/>
    <w:lvl w:ilvl="0" w:tplc="9AA65A68">
      <w:start w:val="2"/>
      <w:numFmt w:val="bullet"/>
      <w:lvlText w:val="-"/>
      <w:lvlJc w:val="left"/>
      <w:pPr>
        <w:tabs>
          <w:tab w:val="num" w:pos="1068"/>
        </w:tabs>
        <w:ind w:left="1068" w:hanging="360"/>
      </w:pPr>
      <w:rPr>
        <w:rFonts w:ascii="Tahoma" w:eastAsia="Times New Roman" w:hAnsi="Tahoma" w:cs="Tahoma"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55">
    <w:nsid w:val="3E5C13F7"/>
    <w:multiLevelType w:val="hybridMultilevel"/>
    <w:tmpl w:val="2FDEAC58"/>
    <w:lvl w:ilvl="0" w:tplc="A0F69CAE">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nsid w:val="3EB32851"/>
    <w:multiLevelType w:val="hybridMultilevel"/>
    <w:tmpl w:val="BA9470B0"/>
    <w:lvl w:ilvl="0" w:tplc="20000017">
      <w:start w:val="1"/>
      <w:numFmt w:val="lowerLetter"/>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7">
    <w:nsid w:val="415F0C38"/>
    <w:multiLevelType w:val="hybridMultilevel"/>
    <w:tmpl w:val="50A41924"/>
    <w:lvl w:ilvl="0" w:tplc="E534BF82">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nsid w:val="41BC1675"/>
    <w:multiLevelType w:val="hybridMultilevel"/>
    <w:tmpl w:val="9DA8CD82"/>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59">
    <w:nsid w:val="42100EF6"/>
    <w:multiLevelType w:val="hybridMultilevel"/>
    <w:tmpl w:val="611E3B54"/>
    <w:lvl w:ilvl="0" w:tplc="07989EB8">
      <w:start w:val="1"/>
      <w:numFmt w:val="bullet"/>
      <w:lvlText w:val="-"/>
      <w:lvlJc w:val="left"/>
      <w:pPr>
        <w:ind w:left="720" w:hanging="360"/>
      </w:pPr>
      <w:rPr>
        <w:rFonts w:ascii="Calibri" w:eastAsiaTheme="maj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nsid w:val="42531BD4"/>
    <w:multiLevelType w:val="hybridMultilevel"/>
    <w:tmpl w:val="F012660A"/>
    <w:lvl w:ilvl="0" w:tplc="356A823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nsid w:val="43497F56"/>
    <w:multiLevelType w:val="singleLevel"/>
    <w:tmpl w:val="DD14EFC0"/>
    <w:lvl w:ilvl="0">
      <w:start w:val="1"/>
      <w:numFmt w:val="decimal"/>
      <w:pStyle w:val="Question"/>
      <w:lvlText w:val="Question %1: "/>
      <w:lvlJc w:val="left"/>
      <w:pPr>
        <w:tabs>
          <w:tab w:val="num" w:pos="1440"/>
        </w:tabs>
        <w:ind w:left="1021" w:hanging="1021"/>
      </w:pPr>
      <w:rPr>
        <w:b/>
        <w:i w:val="0"/>
      </w:rPr>
    </w:lvl>
  </w:abstractNum>
  <w:abstractNum w:abstractNumId="62">
    <w:nsid w:val="456B53EF"/>
    <w:multiLevelType w:val="hybridMultilevel"/>
    <w:tmpl w:val="97BEF358"/>
    <w:lvl w:ilvl="0" w:tplc="8F38F434">
      <w:start w:val="1"/>
      <w:numFmt w:val="bullet"/>
      <w:lvlText w:val="-"/>
      <w:lvlJc w:val="left"/>
      <w:pPr>
        <w:ind w:left="720" w:hanging="360"/>
      </w:pPr>
      <w:rPr>
        <w:rFonts w:ascii="Tahoma" w:eastAsia="Times New Roman"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63">
    <w:nsid w:val="458E1450"/>
    <w:multiLevelType w:val="hybridMultilevel"/>
    <w:tmpl w:val="CA56C868"/>
    <w:lvl w:ilvl="0" w:tplc="07989EB8">
      <w:start w:val="1"/>
      <w:numFmt w:val="bullet"/>
      <w:lvlText w:val="-"/>
      <w:lvlJc w:val="left"/>
      <w:pPr>
        <w:ind w:left="717" w:hanging="360"/>
      </w:pPr>
      <w:rPr>
        <w:rFonts w:ascii="Calibri" w:eastAsiaTheme="majorEastAsia" w:hAnsi="Calibri" w:cs="Calibri" w:hint="default"/>
      </w:rPr>
    </w:lvl>
    <w:lvl w:ilvl="1" w:tplc="2000000D">
      <w:start w:val="1"/>
      <w:numFmt w:val="bullet"/>
      <w:lvlText w:val=""/>
      <w:lvlJc w:val="left"/>
      <w:pPr>
        <w:ind w:left="1437" w:hanging="360"/>
      </w:pPr>
      <w:rPr>
        <w:rFonts w:ascii="Wingdings" w:hAnsi="Wingdings" w:hint="default"/>
      </w:rPr>
    </w:lvl>
    <w:lvl w:ilvl="2" w:tplc="20000005" w:tentative="1">
      <w:start w:val="1"/>
      <w:numFmt w:val="bullet"/>
      <w:lvlText w:val=""/>
      <w:lvlJc w:val="left"/>
      <w:pPr>
        <w:ind w:left="2157" w:hanging="360"/>
      </w:pPr>
      <w:rPr>
        <w:rFonts w:ascii="Wingdings" w:hAnsi="Wingdings" w:hint="default"/>
      </w:rPr>
    </w:lvl>
    <w:lvl w:ilvl="3" w:tplc="20000001" w:tentative="1">
      <w:start w:val="1"/>
      <w:numFmt w:val="bullet"/>
      <w:lvlText w:val=""/>
      <w:lvlJc w:val="left"/>
      <w:pPr>
        <w:ind w:left="2877" w:hanging="360"/>
      </w:pPr>
      <w:rPr>
        <w:rFonts w:ascii="Symbol" w:hAnsi="Symbol" w:hint="default"/>
      </w:rPr>
    </w:lvl>
    <w:lvl w:ilvl="4" w:tplc="20000003" w:tentative="1">
      <w:start w:val="1"/>
      <w:numFmt w:val="bullet"/>
      <w:lvlText w:val="o"/>
      <w:lvlJc w:val="left"/>
      <w:pPr>
        <w:ind w:left="3597" w:hanging="360"/>
      </w:pPr>
      <w:rPr>
        <w:rFonts w:ascii="Courier New" w:hAnsi="Courier New" w:cs="Courier New" w:hint="default"/>
      </w:rPr>
    </w:lvl>
    <w:lvl w:ilvl="5" w:tplc="20000005" w:tentative="1">
      <w:start w:val="1"/>
      <w:numFmt w:val="bullet"/>
      <w:lvlText w:val=""/>
      <w:lvlJc w:val="left"/>
      <w:pPr>
        <w:ind w:left="4317" w:hanging="360"/>
      </w:pPr>
      <w:rPr>
        <w:rFonts w:ascii="Wingdings" w:hAnsi="Wingdings" w:hint="default"/>
      </w:rPr>
    </w:lvl>
    <w:lvl w:ilvl="6" w:tplc="20000001" w:tentative="1">
      <w:start w:val="1"/>
      <w:numFmt w:val="bullet"/>
      <w:lvlText w:val=""/>
      <w:lvlJc w:val="left"/>
      <w:pPr>
        <w:ind w:left="5037" w:hanging="360"/>
      </w:pPr>
      <w:rPr>
        <w:rFonts w:ascii="Symbol" w:hAnsi="Symbol" w:hint="default"/>
      </w:rPr>
    </w:lvl>
    <w:lvl w:ilvl="7" w:tplc="20000003" w:tentative="1">
      <w:start w:val="1"/>
      <w:numFmt w:val="bullet"/>
      <w:lvlText w:val="o"/>
      <w:lvlJc w:val="left"/>
      <w:pPr>
        <w:ind w:left="5757" w:hanging="360"/>
      </w:pPr>
      <w:rPr>
        <w:rFonts w:ascii="Courier New" w:hAnsi="Courier New" w:cs="Courier New" w:hint="default"/>
      </w:rPr>
    </w:lvl>
    <w:lvl w:ilvl="8" w:tplc="20000005" w:tentative="1">
      <w:start w:val="1"/>
      <w:numFmt w:val="bullet"/>
      <w:lvlText w:val=""/>
      <w:lvlJc w:val="left"/>
      <w:pPr>
        <w:ind w:left="6477" w:hanging="360"/>
      </w:pPr>
      <w:rPr>
        <w:rFonts w:ascii="Wingdings" w:hAnsi="Wingdings" w:hint="default"/>
      </w:rPr>
    </w:lvl>
  </w:abstractNum>
  <w:abstractNum w:abstractNumId="64">
    <w:nsid w:val="483A2B2E"/>
    <w:multiLevelType w:val="hybridMultilevel"/>
    <w:tmpl w:val="6234CCE0"/>
    <w:lvl w:ilvl="0" w:tplc="671E5E0E">
      <w:start w:val="1"/>
      <w:numFmt w:val="decimal"/>
      <w:pStyle w:val="Natevanjeotevileno"/>
      <w:lvlText w:val="%1."/>
      <w:lvlJc w:val="left"/>
      <w:pPr>
        <w:tabs>
          <w:tab w:val="num" w:pos="567"/>
        </w:tabs>
        <w:ind w:left="567" w:hanging="567"/>
      </w:p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65">
    <w:nsid w:val="49157CF8"/>
    <w:multiLevelType w:val="hybridMultilevel"/>
    <w:tmpl w:val="B4C6B676"/>
    <w:lvl w:ilvl="0" w:tplc="0424000F">
      <w:start w:val="1"/>
      <w:numFmt w:val="decimal"/>
      <w:lvlText w:val="%1."/>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nsid w:val="4C604AF4"/>
    <w:multiLevelType w:val="hybridMultilevel"/>
    <w:tmpl w:val="71A0901E"/>
    <w:lvl w:ilvl="0" w:tplc="9AA65A68">
      <w:start w:val="2"/>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nsid w:val="4CC73F74"/>
    <w:multiLevelType w:val="multilevel"/>
    <w:tmpl w:val="06AC518C"/>
    <w:styleLink w:val="Nastevanje"/>
    <w:lvl w:ilvl="0">
      <w:start w:val="1"/>
      <w:numFmt w:val="bullet"/>
      <w:lvlText w:val=""/>
      <w:lvlJc w:val="left"/>
      <w:pPr>
        <w:tabs>
          <w:tab w:val="num" w:pos="567"/>
        </w:tabs>
        <w:ind w:left="567" w:hanging="567"/>
      </w:pPr>
      <w:rPr>
        <w:rFonts w:ascii="Symbol" w:hAnsi="Symbol" w:cs="Times New Roman" w:hint="default"/>
        <w:sz w:val="22"/>
        <w:szCs w:val="24"/>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8">
    <w:nsid w:val="4D6F5F88"/>
    <w:multiLevelType w:val="hybridMultilevel"/>
    <w:tmpl w:val="6E3C784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9">
    <w:nsid w:val="505A6165"/>
    <w:multiLevelType w:val="hybridMultilevel"/>
    <w:tmpl w:val="472012B8"/>
    <w:lvl w:ilvl="0" w:tplc="FB047E6A">
      <w:numFmt w:val="bullet"/>
      <w:lvlText w:val="-"/>
      <w:lvlJc w:val="left"/>
      <w:pPr>
        <w:ind w:left="360" w:hanging="360"/>
      </w:pPr>
      <w:rPr>
        <w:rFonts w:ascii="Tahoma" w:eastAsia="Times New Roman" w:hAnsi="Tahoma"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0">
    <w:nsid w:val="516C75A1"/>
    <w:multiLevelType w:val="hybridMultilevel"/>
    <w:tmpl w:val="09E26080"/>
    <w:lvl w:ilvl="0" w:tplc="7658835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nsid w:val="51766E9E"/>
    <w:multiLevelType w:val="hybridMultilevel"/>
    <w:tmpl w:val="027A5664"/>
    <w:lvl w:ilvl="0" w:tplc="FB047E6A">
      <w:numFmt w:val="bullet"/>
      <w:lvlText w:val="-"/>
      <w:lvlJc w:val="left"/>
      <w:pPr>
        <w:ind w:left="360" w:hanging="360"/>
      </w:pPr>
      <w:rPr>
        <w:rFonts w:ascii="Tahoma" w:eastAsia="Times New Roman" w:hAnsi="Tahoma" w:cs="Times New Roman" w:hint="default"/>
        <w:color w:val="auto"/>
      </w:rPr>
    </w:lvl>
    <w:lvl w:ilvl="1" w:tplc="04240003">
      <w:start w:val="1"/>
      <w:numFmt w:val="bullet"/>
      <w:lvlText w:val="o"/>
      <w:lvlJc w:val="left"/>
      <w:pPr>
        <w:ind w:left="1080" w:hanging="360"/>
      </w:pPr>
      <w:rPr>
        <w:rFonts w:ascii="Courier New" w:hAnsi="Courier New" w:cs="Times New Roman"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Times New Roman"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Times New Roman" w:hint="default"/>
      </w:rPr>
    </w:lvl>
    <w:lvl w:ilvl="8" w:tplc="04240005">
      <w:start w:val="1"/>
      <w:numFmt w:val="bullet"/>
      <w:lvlText w:val=""/>
      <w:lvlJc w:val="left"/>
      <w:pPr>
        <w:ind w:left="6120" w:hanging="360"/>
      </w:pPr>
      <w:rPr>
        <w:rFonts w:ascii="Wingdings" w:hAnsi="Wingdings" w:hint="default"/>
      </w:rPr>
    </w:lvl>
  </w:abstractNum>
  <w:abstractNum w:abstractNumId="72">
    <w:nsid w:val="52816561"/>
    <w:multiLevelType w:val="hybridMultilevel"/>
    <w:tmpl w:val="35A8FB08"/>
    <w:lvl w:ilvl="0" w:tplc="0424000F">
      <w:start w:val="1"/>
      <w:numFmt w:val="decimal"/>
      <w:lvlText w:val="%1."/>
      <w:lvlJc w:val="left"/>
      <w:pPr>
        <w:ind w:left="720" w:hanging="360"/>
      </w:pPr>
      <w:rPr>
        <w:rFonts w:hint="default"/>
      </w:rPr>
    </w:lvl>
    <w:lvl w:ilvl="1" w:tplc="9AA65A68">
      <w:start w:val="2"/>
      <w:numFmt w:val="bullet"/>
      <w:lvlText w:val="-"/>
      <w:lvlJc w:val="left"/>
      <w:pPr>
        <w:ind w:left="1440" w:hanging="360"/>
      </w:pPr>
      <w:rPr>
        <w:rFonts w:ascii="Tahoma" w:eastAsia="Times New Roman" w:hAnsi="Tahoma" w:cs="Tahoma" w:hint="default"/>
      </w:rPr>
    </w:lvl>
    <w:lvl w:ilvl="2" w:tplc="20F24CC2">
      <w:start w:val="1"/>
      <w:numFmt w:val="decimal"/>
      <w:lvlText w:val="(%3)"/>
      <w:lvlJc w:val="left"/>
      <w:pPr>
        <w:ind w:left="2160" w:hanging="360"/>
      </w:pPr>
      <w:rPr>
        <w:rFonts w:cs="Times New Roman"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nsid w:val="528A335E"/>
    <w:multiLevelType w:val="hybridMultilevel"/>
    <w:tmpl w:val="D114629E"/>
    <w:lvl w:ilvl="0" w:tplc="9AA65A68">
      <w:start w:val="2"/>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nsid w:val="52E43BD4"/>
    <w:multiLevelType w:val="hybridMultilevel"/>
    <w:tmpl w:val="384E5FA8"/>
    <w:lvl w:ilvl="0" w:tplc="2DCAF686">
      <w:start w:val="1"/>
      <w:numFmt w:val="bullet"/>
      <w:pStyle w:val="Alineja"/>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75">
    <w:nsid w:val="53220C22"/>
    <w:multiLevelType w:val="hybridMultilevel"/>
    <w:tmpl w:val="2A066EB4"/>
    <w:lvl w:ilvl="0" w:tplc="9FB8C700">
      <w:start w:val="5019"/>
      <w:numFmt w:val="bullet"/>
      <w:lvlText w:val="-"/>
      <w:lvlJc w:val="left"/>
      <w:pPr>
        <w:ind w:left="720" w:hanging="360"/>
      </w:pPr>
      <w:rPr>
        <w:rFonts w:ascii="Times New Roman" w:eastAsia="Calibri"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nsid w:val="53732872"/>
    <w:multiLevelType w:val="hybridMultilevel"/>
    <w:tmpl w:val="D1B0C280"/>
    <w:lvl w:ilvl="0" w:tplc="9FB8C700">
      <w:start w:val="5019"/>
      <w:numFmt w:val="bullet"/>
      <w:lvlText w:val="-"/>
      <w:lvlJc w:val="left"/>
      <w:pPr>
        <w:ind w:left="720" w:hanging="360"/>
      </w:pPr>
      <w:rPr>
        <w:rFonts w:ascii="Times New Roman" w:eastAsia="Calibri"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7">
    <w:nsid w:val="57082354"/>
    <w:multiLevelType w:val="hybridMultilevel"/>
    <w:tmpl w:val="126E436C"/>
    <w:lvl w:ilvl="0" w:tplc="9AA65A68">
      <w:start w:val="2"/>
      <w:numFmt w:val="bullet"/>
      <w:lvlText w:val="-"/>
      <w:lvlJc w:val="left"/>
      <w:pPr>
        <w:ind w:left="720" w:hanging="360"/>
      </w:pPr>
      <w:rPr>
        <w:rFonts w:ascii="Tahoma" w:eastAsia="Times New Roman"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8">
    <w:nsid w:val="589E7834"/>
    <w:multiLevelType w:val="multilevel"/>
    <w:tmpl w:val="E07C713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SlogSlogSlogNaslov3ArialNarrowSamovelikerkeNeKrepk"/>
      <w:lvlText w:val="%1.%2.%3"/>
      <w:lvlJc w:val="left"/>
      <w:pPr>
        <w:ind w:left="5965" w:hanging="720"/>
      </w:pPr>
    </w:lvl>
    <w:lvl w:ilvl="3">
      <w:start w:val="1"/>
      <w:numFmt w:val="decimal"/>
      <w:lvlText w:val="%1.%2.%3.%4"/>
      <w:lvlJc w:val="left"/>
      <w:pPr>
        <w:ind w:left="1148" w:hanging="864"/>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150"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9">
    <w:nsid w:val="5B255A25"/>
    <w:multiLevelType w:val="hybridMultilevel"/>
    <w:tmpl w:val="FDB8419A"/>
    <w:lvl w:ilvl="0" w:tplc="0424000F">
      <w:start w:val="1"/>
      <w:numFmt w:val="decimal"/>
      <w:lvlText w:val="%1."/>
      <w:lvlJc w:val="left"/>
      <w:pPr>
        <w:ind w:left="1440" w:hanging="360"/>
      </w:pPr>
    </w:lvl>
    <w:lvl w:ilvl="1" w:tplc="04240019">
      <w:start w:val="1"/>
      <w:numFmt w:val="lowerLetter"/>
      <w:lvlText w:val="%2."/>
      <w:lvlJc w:val="left"/>
      <w:pPr>
        <w:ind w:left="2160" w:hanging="360"/>
      </w:pPr>
    </w:lvl>
    <w:lvl w:ilvl="2" w:tplc="0424001B">
      <w:start w:val="1"/>
      <w:numFmt w:val="lowerRoman"/>
      <w:lvlText w:val="%3."/>
      <w:lvlJc w:val="right"/>
      <w:pPr>
        <w:ind w:left="2880" w:hanging="180"/>
      </w:pPr>
    </w:lvl>
    <w:lvl w:ilvl="3" w:tplc="0424000F">
      <w:start w:val="1"/>
      <w:numFmt w:val="decimal"/>
      <w:lvlText w:val="%4."/>
      <w:lvlJc w:val="left"/>
      <w:pPr>
        <w:ind w:left="3600" w:hanging="360"/>
      </w:pPr>
    </w:lvl>
    <w:lvl w:ilvl="4" w:tplc="04240019">
      <w:start w:val="1"/>
      <w:numFmt w:val="lowerLetter"/>
      <w:lvlText w:val="%5."/>
      <w:lvlJc w:val="left"/>
      <w:pPr>
        <w:ind w:left="4320" w:hanging="360"/>
      </w:pPr>
    </w:lvl>
    <w:lvl w:ilvl="5" w:tplc="0424001B">
      <w:start w:val="1"/>
      <w:numFmt w:val="lowerRoman"/>
      <w:lvlText w:val="%6."/>
      <w:lvlJc w:val="right"/>
      <w:pPr>
        <w:ind w:left="5040" w:hanging="180"/>
      </w:pPr>
    </w:lvl>
    <w:lvl w:ilvl="6" w:tplc="0424000F">
      <w:start w:val="1"/>
      <w:numFmt w:val="decimal"/>
      <w:lvlText w:val="%7."/>
      <w:lvlJc w:val="left"/>
      <w:pPr>
        <w:ind w:left="5760" w:hanging="360"/>
      </w:pPr>
    </w:lvl>
    <w:lvl w:ilvl="7" w:tplc="04240019">
      <w:start w:val="1"/>
      <w:numFmt w:val="lowerLetter"/>
      <w:lvlText w:val="%8."/>
      <w:lvlJc w:val="left"/>
      <w:pPr>
        <w:ind w:left="6480" w:hanging="360"/>
      </w:pPr>
    </w:lvl>
    <w:lvl w:ilvl="8" w:tplc="0424001B">
      <w:start w:val="1"/>
      <w:numFmt w:val="lowerRoman"/>
      <w:lvlText w:val="%9."/>
      <w:lvlJc w:val="right"/>
      <w:pPr>
        <w:ind w:left="7200" w:hanging="180"/>
      </w:pPr>
    </w:lvl>
  </w:abstractNum>
  <w:abstractNum w:abstractNumId="80">
    <w:nsid w:val="5B2E2E99"/>
    <w:multiLevelType w:val="hybridMultilevel"/>
    <w:tmpl w:val="AC4C8DFE"/>
    <w:lvl w:ilvl="0" w:tplc="B83A3A42">
      <w:start w:val="1"/>
      <w:numFmt w:val="ordin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1">
    <w:nsid w:val="5C2823F0"/>
    <w:multiLevelType w:val="hybridMultilevel"/>
    <w:tmpl w:val="D6B80314"/>
    <w:lvl w:ilvl="0" w:tplc="7B84DA2C">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nsid w:val="5D6E0BF7"/>
    <w:multiLevelType w:val="hybridMultilevel"/>
    <w:tmpl w:val="39862AC8"/>
    <w:lvl w:ilvl="0" w:tplc="04240001">
      <w:start w:val="1"/>
      <w:numFmt w:val="bullet"/>
      <w:lvlText w:val=""/>
      <w:lvlJc w:val="left"/>
      <w:pPr>
        <w:ind w:left="862" w:hanging="360"/>
      </w:pPr>
      <w:rPr>
        <w:rFonts w:ascii="Symbol" w:hAnsi="Symbol" w:hint="default"/>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83">
    <w:nsid w:val="5DD33109"/>
    <w:multiLevelType w:val="hybridMultilevel"/>
    <w:tmpl w:val="CE8EC6BA"/>
    <w:lvl w:ilvl="0" w:tplc="9AA65A68">
      <w:start w:val="2"/>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nsid w:val="5F5B74FE"/>
    <w:multiLevelType w:val="hybridMultilevel"/>
    <w:tmpl w:val="2048EF08"/>
    <w:lvl w:ilvl="0" w:tplc="7B84DA2C">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5">
    <w:nsid w:val="5FDB21B2"/>
    <w:multiLevelType w:val="hybridMultilevel"/>
    <w:tmpl w:val="CACA5E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6">
    <w:nsid w:val="5FE4057C"/>
    <w:multiLevelType w:val="hybridMultilevel"/>
    <w:tmpl w:val="48F07072"/>
    <w:lvl w:ilvl="0" w:tplc="0424000F">
      <w:start w:val="1"/>
      <w:numFmt w:val="decimal"/>
      <w:lvlText w:val="%1."/>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7">
    <w:nsid w:val="62151A31"/>
    <w:multiLevelType w:val="hybridMultilevel"/>
    <w:tmpl w:val="13C02EBE"/>
    <w:lvl w:ilvl="0" w:tplc="B83A3A42">
      <w:start w:val="1"/>
      <w:numFmt w:val="ordin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8">
    <w:nsid w:val="62220E40"/>
    <w:multiLevelType w:val="hybridMultilevel"/>
    <w:tmpl w:val="D9726D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9">
    <w:nsid w:val="62C85E40"/>
    <w:multiLevelType w:val="singleLevel"/>
    <w:tmpl w:val="68DEADF2"/>
    <w:lvl w:ilvl="0">
      <w:start w:val="1"/>
      <w:numFmt w:val="decimal"/>
      <w:pStyle w:val="Step"/>
      <w:lvlText w:val="%1) "/>
      <w:lvlJc w:val="left"/>
      <w:pPr>
        <w:tabs>
          <w:tab w:val="num" w:pos="1021"/>
        </w:tabs>
        <w:ind w:left="1021" w:hanging="1021"/>
      </w:pPr>
      <w:rPr>
        <w:b/>
        <w:i w:val="0"/>
      </w:rPr>
    </w:lvl>
  </w:abstractNum>
  <w:abstractNum w:abstractNumId="90">
    <w:nsid w:val="63CC47F0"/>
    <w:multiLevelType w:val="hybridMultilevel"/>
    <w:tmpl w:val="F7CCF3C4"/>
    <w:lvl w:ilvl="0" w:tplc="FFFFFFFF">
      <w:numFmt w:val="bullet"/>
      <w:lvlText w:val="-"/>
      <w:lvlJc w:val="left"/>
      <w:pPr>
        <w:tabs>
          <w:tab w:val="num" w:pos="720"/>
        </w:tabs>
        <w:ind w:left="720" w:hanging="360"/>
      </w:pPr>
      <w:rPr>
        <w:rFonts w:ascii="Arial Narrow" w:eastAsia="Times New Roman" w:hAnsi="Arial Narrow" w:hint="default"/>
        <w:color w:val="auto"/>
        <w:sz w:val="16"/>
        <w:szCs w:val="16"/>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91">
    <w:nsid w:val="63D372C5"/>
    <w:multiLevelType w:val="hybridMultilevel"/>
    <w:tmpl w:val="B1989478"/>
    <w:lvl w:ilvl="0" w:tplc="7B84DA2C">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nsid w:val="648172DF"/>
    <w:multiLevelType w:val="hybridMultilevel"/>
    <w:tmpl w:val="6C961D92"/>
    <w:lvl w:ilvl="0" w:tplc="0C627716">
      <w:start w:val="1"/>
      <w:numFmt w:val="bullet"/>
      <w:lvlText w:val=""/>
      <w:lvlJc w:val="left"/>
      <w:pPr>
        <w:tabs>
          <w:tab w:val="num" w:pos="720"/>
        </w:tabs>
        <w:ind w:left="720" w:hanging="360"/>
      </w:pPr>
      <w:rPr>
        <w:rFonts w:ascii="Symbol" w:hAnsi="Symbol" w:cs="Symbol" w:hint="default"/>
        <w:color w:val="auto"/>
        <w:sz w:val="16"/>
        <w:szCs w:val="16"/>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93">
    <w:nsid w:val="65995AA9"/>
    <w:multiLevelType w:val="hybridMultilevel"/>
    <w:tmpl w:val="B4C6B676"/>
    <w:lvl w:ilvl="0" w:tplc="0424000F">
      <w:start w:val="1"/>
      <w:numFmt w:val="decimal"/>
      <w:lvlText w:val="%1."/>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4">
    <w:nsid w:val="673E038B"/>
    <w:multiLevelType w:val="hybridMultilevel"/>
    <w:tmpl w:val="34D2D9E8"/>
    <w:lvl w:ilvl="0" w:tplc="07989EB8">
      <w:start w:val="1"/>
      <w:numFmt w:val="bullet"/>
      <w:lvlText w:val="-"/>
      <w:lvlJc w:val="left"/>
      <w:pPr>
        <w:ind w:left="717" w:hanging="360"/>
      </w:pPr>
      <w:rPr>
        <w:rFonts w:ascii="Calibri" w:eastAsiaTheme="majorEastAsia" w:hAnsi="Calibri" w:cs="Calibri" w:hint="default"/>
      </w:rPr>
    </w:lvl>
    <w:lvl w:ilvl="1" w:tplc="2000000D">
      <w:start w:val="1"/>
      <w:numFmt w:val="bullet"/>
      <w:lvlText w:val=""/>
      <w:lvlJc w:val="left"/>
      <w:pPr>
        <w:ind w:left="1437" w:hanging="360"/>
      </w:pPr>
      <w:rPr>
        <w:rFonts w:ascii="Wingdings" w:hAnsi="Wingdings" w:hint="default"/>
      </w:rPr>
    </w:lvl>
    <w:lvl w:ilvl="2" w:tplc="20000005" w:tentative="1">
      <w:start w:val="1"/>
      <w:numFmt w:val="bullet"/>
      <w:lvlText w:val=""/>
      <w:lvlJc w:val="left"/>
      <w:pPr>
        <w:ind w:left="2157" w:hanging="360"/>
      </w:pPr>
      <w:rPr>
        <w:rFonts w:ascii="Wingdings" w:hAnsi="Wingdings" w:hint="default"/>
      </w:rPr>
    </w:lvl>
    <w:lvl w:ilvl="3" w:tplc="20000001" w:tentative="1">
      <w:start w:val="1"/>
      <w:numFmt w:val="bullet"/>
      <w:lvlText w:val=""/>
      <w:lvlJc w:val="left"/>
      <w:pPr>
        <w:ind w:left="2877" w:hanging="360"/>
      </w:pPr>
      <w:rPr>
        <w:rFonts w:ascii="Symbol" w:hAnsi="Symbol" w:hint="default"/>
      </w:rPr>
    </w:lvl>
    <w:lvl w:ilvl="4" w:tplc="20000003" w:tentative="1">
      <w:start w:val="1"/>
      <w:numFmt w:val="bullet"/>
      <w:lvlText w:val="o"/>
      <w:lvlJc w:val="left"/>
      <w:pPr>
        <w:ind w:left="3597" w:hanging="360"/>
      </w:pPr>
      <w:rPr>
        <w:rFonts w:ascii="Courier New" w:hAnsi="Courier New" w:cs="Courier New" w:hint="default"/>
      </w:rPr>
    </w:lvl>
    <w:lvl w:ilvl="5" w:tplc="20000005" w:tentative="1">
      <w:start w:val="1"/>
      <w:numFmt w:val="bullet"/>
      <w:lvlText w:val=""/>
      <w:lvlJc w:val="left"/>
      <w:pPr>
        <w:ind w:left="4317" w:hanging="360"/>
      </w:pPr>
      <w:rPr>
        <w:rFonts w:ascii="Wingdings" w:hAnsi="Wingdings" w:hint="default"/>
      </w:rPr>
    </w:lvl>
    <w:lvl w:ilvl="6" w:tplc="20000001" w:tentative="1">
      <w:start w:val="1"/>
      <w:numFmt w:val="bullet"/>
      <w:lvlText w:val=""/>
      <w:lvlJc w:val="left"/>
      <w:pPr>
        <w:ind w:left="5037" w:hanging="360"/>
      </w:pPr>
      <w:rPr>
        <w:rFonts w:ascii="Symbol" w:hAnsi="Symbol" w:hint="default"/>
      </w:rPr>
    </w:lvl>
    <w:lvl w:ilvl="7" w:tplc="20000003" w:tentative="1">
      <w:start w:val="1"/>
      <w:numFmt w:val="bullet"/>
      <w:lvlText w:val="o"/>
      <w:lvlJc w:val="left"/>
      <w:pPr>
        <w:ind w:left="5757" w:hanging="360"/>
      </w:pPr>
      <w:rPr>
        <w:rFonts w:ascii="Courier New" w:hAnsi="Courier New" w:cs="Courier New" w:hint="default"/>
      </w:rPr>
    </w:lvl>
    <w:lvl w:ilvl="8" w:tplc="20000005" w:tentative="1">
      <w:start w:val="1"/>
      <w:numFmt w:val="bullet"/>
      <w:lvlText w:val=""/>
      <w:lvlJc w:val="left"/>
      <w:pPr>
        <w:ind w:left="6477" w:hanging="360"/>
      </w:pPr>
      <w:rPr>
        <w:rFonts w:ascii="Wingdings" w:hAnsi="Wingdings" w:hint="default"/>
      </w:rPr>
    </w:lvl>
  </w:abstractNum>
  <w:abstractNum w:abstractNumId="95">
    <w:nsid w:val="677258C3"/>
    <w:multiLevelType w:val="hybridMultilevel"/>
    <w:tmpl w:val="1390DFB4"/>
    <w:lvl w:ilvl="0" w:tplc="C1A68E22">
      <w:numFmt w:val="bullet"/>
      <w:lvlText w:val="-"/>
      <w:lvlJc w:val="left"/>
      <w:pPr>
        <w:tabs>
          <w:tab w:val="num" w:pos="644"/>
        </w:tabs>
        <w:ind w:left="644" w:hanging="360"/>
      </w:pPr>
      <w:rPr>
        <w:rFonts w:ascii="Arial Narrow" w:eastAsia="Times New Roman" w:hAnsi="Arial Narrow" w:cs="Helv" w:hint="default"/>
      </w:rPr>
    </w:lvl>
    <w:lvl w:ilvl="1" w:tplc="DE82D04E">
      <w:numFmt w:val="bullet"/>
      <w:lvlText w:val="-"/>
      <w:lvlJc w:val="left"/>
      <w:pPr>
        <w:tabs>
          <w:tab w:val="num" w:pos="1724"/>
        </w:tabs>
        <w:ind w:left="1724" w:hanging="360"/>
      </w:pPr>
      <w:rPr>
        <w:rFonts w:ascii="Arial Narrow" w:eastAsia="Times New Roman" w:hAnsi="Arial Narrow" w:cs="Times New Roman" w:hint="default"/>
      </w:rPr>
    </w:lvl>
    <w:lvl w:ilvl="2" w:tplc="04240005">
      <w:start w:val="1"/>
      <w:numFmt w:val="bullet"/>
      <w:lvlText w:val=""/>
      <w:lvlJc w:val="left"/>
      <w:pPr>
        <w:tabs>
          <w:tab w:val="num" w:pos="2444"/>
        </w:tabs>
        <w:ind w:left="2444" w:hanging="360"/>
      </w:pPr>
      <w:rPr>
        <w:rFonts w:ascii="Wingdings" w:hAnsi="Wingdings" w:hint="default"/>
      </w:rPr>
    </w:lvl>
    <w:lvl w:ilvl="3" w:tplc="04240001">
      <w:start w:val="1"/>
      <w:numFmt w:val="bullet"/>
      <w:lvlText w:val=""/>
      <w:lvlJc w:val="left"/>
      <w:pPr>
        <w:tabs>
          <w:tab w:val="num" w:pos="3164"/>
        </w:tabs>
        <w:ind w:left="3164" w:hanging="360"/>
      </w:pPr>
      <w:rPr>
        <w:rFonts w:ascii="Symbol" w:hAnsi="Symbol" w:hint="default"/>
      </w:rPr>
    </w:lvl>
    <w:lvl w:ilvl="4" w:tplc="04240003">
      <w:start w:val="1"/>
      <w:numFmt w:val="bullet"/>
      <w:lvlText w:val="o"/>
      <w:lvlJc w:val="left"/>
      <w:pPr>
        <w:tabs>
          <w:tab w:val="num" w:pos="3884"/>
        </w:tabs>
        <w:ind w:left="3884" w:hanging="360"/>
      </w:pPr>
      <w:rPr>
        <w:rFonts w:ascii="Courier New" w:hAnsi="Courier New" w:cs="Courier New" w:hint="default"/>
      </w:rPr>
    </w:lvl>
    <w:lvl w:ilvl="5" w:tplc="04240005">
      <w:start w:val="1"/>
      <w:numFmt w:val="bullet"/>
      <w:lvlText w:val=""/>
      <w:lvlJc w:val="left"/>
      <w:pPr>
        <w:tabs>
          <w:tab w:val="num" w:pos="4604"/>
        </w:tabs>
        <w:ind w:left="4604" w:hanging="360"/>
      </w:pPr>
      <w:rPr>
        <w:rFonts w:ascii="Wingdings" w:hAnsi="Wingdings" w:hint="default"/>
      </w:rPr>
    </w:lvl>
    <w:lvl w:ilvl="6" w:tplc="04240001">
      <w:start w:val="1"/>
      <w:numFmt w:val="bullet"/>
      <w:lvlText w:val=""/>
      <w:lvlJc w:val="left"/>
      <w:pPr>
        <w:tabs>
          <w:tab w:val="num" w:pos="5324"/>
        </w:tabs>
        <w:ind w:left="5324" w:hanging="360"/>
      </w:pPr>
      <w:rPr>
        <w:rFonts w:ascii="Symbol" w:hAnsi="Symbol" w:hint="default"/>
      </w:rPr>
    </w:lvl>
    <w:lvl w:ilvl="7" w:tplc="04240003">
      <w:start w:val="1"/>
      <w:numFmt w:val="bullet"/>
      <w:lvlText w:val="o"/>
      <w:lvlJc w:val="left"/>
      <w:pPr>
        <w:tabs>
          <w:tab w:val="num" w:pos="6044"/>
        </w:tabs>
        <w:ind w:left="6044" w:hanging="360"/>
      </w:pPr>
      <w:rPr>
        <w:rFonts w:ascii="Courier New" w:hAnsi="Courier New" w:cs="Courier New" w:hint="default"/>
      </w:rPr>
    </w:lvl>
    <w:lvl w:ilvl="8" w:tplc="04240005">
      <w:start w:val="1"/>
      <w:numFmt w:val="bullet"/>
      <w:lvlText w:val=""/>
      <w:lvlJc w:val="left"/>
      <w:pPr>
        <w:tabs>
          <w:tab w:val="num" w:pos="6764"/>
        </w:tabs>
        <w:ind w:left="6764" w:hanging="360"/>
      </w:pPr>
      <w:rPr>
        <w:rFonts w:ascii="Wingdings" w:hAnsi="Wingdings" w:hint="default"/>
      </w:rPr>
    </w:lvl>
  </w:abstractNum>
  <w:abstractNum w:abstractNumId="96">
    <w:nsid w:val="67810B84"/>
    <w:multiLevelType w:val="hybridMultilevel"/>
    <w:tmpl w:val="ED743554"/>
    <w:lvl w:ilvl="0" w:tplc="7B84DA2C">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7">
    <w:nsid w:val="67C7149B"/>
    <w:multiLevelType w:val="hybridMultilevel"/>
    <w:tmpl w:val="C36A431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8">
    <w:nsid w:val="69940F29"/>
    <w:multiLevelType w:val="hybridMultilevel"/>
    <w:tmpl w:val="82684908"/>
    <w:lvl w:ilvl="0" w:tplc="8F38F434">
      <w:start w:val="1"/>
      <w:numFmt w:val="bullet"/>
      <w:lvlText w:val="-"/>
      <w:lvlJc w:val="left"/>
      <w:pPr>
        <w:ind w:left="720" w:hanging="360"/>
      </w:pPr>
      <w:rPr>
        <w:rFonts w:ascii="Tahoma" w:eastAsia="Times New Roman"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99">
    <w:nsid w:val="69D5576F"/>
    <w:multiLevelType w:val="hybridMultilevel"/>
    <w:tmpl w:val="1B084BEE"/>
    <w:lvl w:ilvl="0" w:tplc="5F64E44C">
      <w:start w:val="1"/>
      <w:numFmt w:val="bullet"/>
      <w:lvlText w:val=""/>
      <w:lvlJc w:val="left"/>
      <w:pPr>
        <w:ind w:left="720" w:hanging="360"/>
      </w:pPr>
      <w:rPr>
        <w:rFonts w:ascii="Symbol" w:hAnsi="Symbol" w:hint="default"/>
      </w:rPr>
    </w:lvl>
    <w:lvl w:ilvl="1" w:tplc="84A658C4">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0">
    <w:nsid w:val="6A3E162D"/>
    <w:multiLevelType w:val="hybridMultilevel"/>
    <w:tmpl w:val="4BF67AEC"/>
    <w:lvl w:ilvl="0" w:tplc="1B3C1D4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1">
    <w:nsid w:val="6A453608"/>
    <w:multiLevelType w:val="hybridMultilevel"/>
    <w:tmpl w:val="BDE4885E"/>
    <w:lvl w:ilvl="0" w:tplc="04240001">
      <w:start w:val="1"/>
      <w:numFmt w:val="decimal"/>
      <w:lvlText w:val="%1."/>
      <w:lvlJc w:val="left"/>
      <w:pPr>
        <w:tabs>
          <w:tab w:val="num" w:pos="720"/>
        </w:tabs>
        <w:ind w:left="720" w:hanging="360"/>
      </w:pPr>
    </w:lvl>
    <w:lvl w:ilvl="1" w:tplc="04240003">
      <w:start w:val="3"/>
      <w:numFmt w:val="bullet"/>
      <w:lvlText w:val=""/>
      <w:lvlJc w:val="left"/>
      <w:pPr>
        <w:tabs>
          <w:tab w:val="num" w:pos="1440"/>
        </w:tabs>
        <w:ind w:left="1440" w:hanging="360"/>
      </w:pPr>
      <w:rPr>
        <w:rFonts w:ascii="Wingdings" w:eastAsia="Times New Roman" w:hAnsi="Wingdings" w:hint="default"/>
      </w:rPr>
    </w:lvl>
    <w:lvl w:ilvl="2" w:tplc="04240005">
      <w:start w:val="1"/>
      <w:numFmt w:val="lowerRoman"/>
      <w:lvlText w:val="%3."/>
      <w:lvlJc w:val="right"/>
      <w:pPr>
        <w:tabs>
          <w:tab w:val="num" w:pos="2160"/>
        </w:tabs>
        <w:ind w:left="2160" w:hanging="180"/>
      </w:pPr>
    </w:lvl>
    <w:lvl w:ilvl="3" w:tplc="04240001">
      <w:start w:val="1"/>
      <w:numFmt w:val="decimal"/>
      <w:lvlText w:val="%4."/>
      <w:lvlJc w:val="left"/>
      <w:pPr>
        <w:tabs>
          <w:tab w:val="num" w:pos="2880"/>
        </w:tabs>
        <w:ind w:left="2880" w:hanging="360"/>
      </w:pPr>
    </w:lvl>
    <w:lvl w:ilvl="4" w:tplc="04240003">
      <w:start w:val="1"/>
      <w:numFmt w:val="lowerLetter"/>
      <w:lvlText w:val="%5."/>
      <w:lvlJc w:val="left"/>
      <w:pPr>
        <w:tabs>
          <w:tab w:val="num" w:pos="3600"/>
        </w:tabs>
        <w:ind w:left="3600" w:hanging="360"/>
      </w:pPr>
    </w:lvl>
    <w:lvl w:ilvl="5" w:tplc="04240005">
      <w:start w:val="1"/>
      <w:numFmt w:val="lowerRoman"/>
      <w:lvlText w:val="%6."/>
      <w:lvlJc w:val="right"/>
      <w:pPr>
        <w:tabs>
          <w:tab w:val="num" w:pos="4320"/>
        </w:tabs>
        <w:ind w:left="4320" w:hanging="180"/>
      </w:pPr>
    </w:lvl>
    <w:lvl w:ilvl="6" w:tplc="04240001">
      <w:start w:val="1"/>
      <w:numFmt w:val="decimal"/>
      <w:lvlText w:val="%7."/>
      <w:lvlJc w:val="left"/>
      <w:pPr>
        <w:tabs>
          <w:tab w:val="num" w:pos="5040"/>
        </w:tabs>
        <w:ind w:left="5040" w:hanging="360"/>
      </w:pPr>
    </w:lvl>
    <w:lvl w:ilvl="7" w:tplc="04240003">
      <w:start w:val="1"/>
      <w:numFmt w:val="lowerLetter"/>
      <w:lvlText w:val="%8."/>
      <w:lvlJc w:val="left"/>
      <w:pPr>
        <w:tabs>
          <w:tab w:val="num" w:pos="5760"/>
        </w:tabs>
        <w:ind w:left="5760" w:hanging="360"/>
      </w:pPr>
    </w:lvl>
    <w:lvl w:ilvl="8" w:tplc="04240005">
      <w:start w:val="1"/>
      <w:numFmt w:val="lowerRoman"/>
      <w:lvlText w:val="%9."/>
      <w:lvlJc w:val="right"/>
      <w:pPr>
        <w:tabs>
          <w:tab w:val="num" w:pos="6480"/>
        </w:tabs>
        <w:ind w:left="6480" w:hanging="180"/>
      </w:pPr>
    </w:lvl>
  </w:abstractNum>
  <w:abstractNum w:abstractNumId="102">
    <w:nsid w:val="6A7A28FA"/>
    <w:multiLevelType w:val="hybridMultilevel"/>
    <w:tmpl w:val="A25E9490"/>
    <w:lvl w:ilvl="0" w:tplc="DBB2CC5C">
      <w:numFmt w:val="bullet"/>
      <w:lvlText w:val="-"/>
      <w:lvlJc w:val="left"/>
      <w:pPr>
        <w:ind w:left="360" w:hanging="360"/>
      </w:pPr>
      <w:rPr>
        <w:rFonts w:ascii="Calibri" w:eastAsia="Times New Roman"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3">
    <w:nsid w:val="6A870AC5"/>
    <w:multiLevelType w:val="hybridMultilevel"/>
    <w:tmpl w:val="D0D408EA"/>
    <w:lvl w:ilvl="0" w:tplc="66D6ACBA">
      <w:start w:val="1"/>
      <w:numFmt w:val="bullet"/>
      <w:pStyle w:val="Alineazaodstavkom"/>
      <w:lvlText w:val="-"/>
      <w:lvlJc w:val="left"/>
      <w:pPr>
        <w:tabs>
          <w:tab w:val="num" w:pos="826"/>
        </w:tabs>
        <w:ind w:left="826" w:hanging="397"/>
      </w:pPr>
      <w:rPr>
        <w:rFonts w:ascii="Arial" w:hAnsi="Arial" w:hint="default"/>
      </w:rPr>
    </w:lvl>
    <w:lvl w:ilvl="1" w:tplc="04090003">
      <w:start w:val="1"/>
      <w:numFmt w:val="bullet"/>
      <w:lvlText w:val="o"/>
      <w:lvlJc w:val="left"/>
      <w:pPr>
        <w:tabs>
          <w:tab w:val="num" w:pos="1869"/>
        </w:tabs>
        <w:ind w:left="1869" w:hanging="360"/>
      </w:pPr>
      <w:rPr>
        <w:rFonts w:ascii="Courier New" w:hAnsi="Courier New" w:cs="Courier New" w:hint="default"/>
      </w:rPr>
    </w:lvl>
    <w:lvl w:ilvl="2" w:tplc="04090005" w:tentative="1">
      <w:start w:val="1"/>
      <w:numFmt w:val="bullet"/>
      <w:lvlText w:val=""/>
      <w:lvlJc w:val="left"/>
      <w:pPr>
        <w:tabs>
          <w:tab w:val="num" w:pos="2589"/>
        </w:tabs>
        <w:ind w:left="2589" w:hanging="360"/>
      </w:pPr>
      <w:rPr>
        <w:rFonts w:ascii="Wingdings" w:hAnsi="Wingdings" w:hint="default"/>
      </w:rPr>
    </w:lvl>
    <w:lvl w:ilvl="3" w:tplc="04090001" w:tentative="1">
      <w:start w:val="1"/>
      <w:numFmt w:val="bullet"/>
      <w:lvlText w:val=""/>
      <w:lvlJc w:val="left"/>
      <w:pPr>
        <w:tabs>
          <w:tab w:val="num" w:pos="3309"/>
        </w:tabs>
        <w:ind w:left="3309" w:hanging="360"/>
      </w:pPr>
      <w:rPr>
        <w:rFonts w:ascii="Symbol" w:hAnsi="Symbol" w:hint="default"/>
      </w:rPr>
    </w:lvl>
    <w:lvl w:ilvl="4" w:tplc="04090003" w:tentative="1">
      <w:start w:val="1"/>
      <w:numFmt w:val="bullet"/>
      <w:lvlText w:val="o"/>
      <w:lvlJc w:val="left"/>
      <w:pPr>
        <w:tabs>
          <w:tab w:val="num" w:pos="4029"/>
        </w:tabs>
        <w:ind w:left="4029" w:hanging="360"/>
      </w:pPr>
      <w:rPr>
        <w:rFonts w:ascii="Courier New" w:hAnsi="Courier New" w:cs="Courier New" w:hint="default"/>
      </w:rPr>
    </w:lvl>
    <w:lvl w:ilvl="5" w:tplc="04090005" w:tentative="1">
      <w:start w:val="1"/>
      <w:numFmt w:val="bullet"/>
      <w:lvlText w:val=""/>
      <w:lvlJc w:val="left"/>
      <w:pPr>
        <w:tabs>
          <w:tab w:val="num" w:pos="4749"/>
        </w:tabs>
        <w:ind w:left="4749" w:hanging="360"/>
      </w:pPr>
      <w:rPr>
        <w:rFonts w:ascii="Wingdings" w:hAnsi="Wingdings" w:hint="default"/>
      </w:rPr>
    </w:lvl>
    <w:lvl w:ilvl="6" w:tplc="04090001" w:tentative="1">
      <w:start w:val="1"/>
      <w:numFmt w:val="bullet"/>
      <w:lvlText w:val=""/>
      <w:lvlJc w:val="left"/>
      <w:pPr>
        <w:tabs>
          <w:tab w:val="num" w:pos="5469"/>
        </w:tabs>
        <w:ind w:left="5469" w:hanging="360"/>
      </w:pPr>
      <w:rPr>
        <w:rFonts w:ascii="Symbol" w:hAnsi="Symbol" w:hint="default"/>
      </w:rPr>
    </w:lvl>
    <w:lvl w:ilvl="7" w:tplc="04090003" w:tentative="1">
      <w:start w:val="1"/>
      <w:numFmt w:val="bullet"/>
      <w:lvlText w:val="o"/>
      <w:lvlJc w:val="left"/>
      <w:pPr>
        <w:tabs>
          <w:tab w:val="num" w:pos="6189"/>
        </w:tabs>
        <w:ind w:left="6189" w:hanging="360"/>
      </w:pPr>
      <w:rPr>
        <w:rFonts w:ascii="Courier New" w:hAnsi="Courier New" w:cs="Courier New" w:hint="default"/>
      </w:rPr>
    </w:lvl>
    <w:lvl w:ilvl="8" w:tplc="04090005" w:tentative="1">
      <w:start w:val="1"/>
      <w:numFmt w:val="bullet"/>
      <w:lvlText w:val=""/>
      <w:lvlJc w:val="left"/>
      <w:pPr>
        <w:tabs>
          <w:tab w:val="num" w:pos="6909"/>
        </w:tabs>
        <w:ind w:left="6909" w:hanging="360"/>
      </w:pPr>
      <w:rPr>
        <w:rFonts w:ascii="Wingdings" w:hAnsi="Wingdings" w:hint="default"/>
      </w:rPr>
    </w:lvl>
  </w:abstractNum>
  <w:abstractNum w:abstractNumId="104">
    <w:nsid w:val="6B9035DC"/>
    <w:multiLevelType w:val="hybridMultilevel"/>
    <w:tmpl w:val="F3ACACC0"/>
    <w:lvl w:ilvl="0" w:tplc="7B84DA2C">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5">
    <w:nsid w:val="6E101803"/>
    <w:multiLevelType w:val="hybridMultilevel"/>
    <w:tmpl w:val="9FAE4FDC"/>
    <w:lvl w:ilvl="0" w:tplc="FFFFFFFF">
      <w:numFmt w:val="bullet"/>
      <w:lvlText w:val="-"/>
      <w:lvlJc w:val="left"/>
      <w:pPr>
        <w:tabs>
          <w:tab w:val="num" w:pos="720"/>
        </w:tabs>
        <w:ind w:left="720" w:hanging="360"/>
      </w:pPr>
      <w:rPr>
        <w:rFonts w:ascii="Arial Narrow" w:eastAsia="Times New Roman" w:hAnsi="Arial Narrow" w:hint="default"/>
      </w:r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106">
    <w:nsid w:val="6F530E9C"/>
    <w:multiLevelType w:val="hybridMultilevel"/>
    <w:tmpl w:val="634498BC"/>
    <w:lvl w:ilvl="0" w:tplc="EC1A5540">
      <w:start w:val="1"/>
      <w:numFmt w:val="decimal"/>
      <w:lvlText w:val="%1."/>
      <w:lvlJc w:val="left"/>
      <w:pPr>
        <w:ind w:left="36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7">
    <w:nsid w:val="6FC11504"/>
    <w:multiLevelType w:val="hybridMultilevel"/>
    <w:tmpl w:val="D1205AE8"/>
    <w:lvl w:ilvl="0" w:tplc="0598DA9E">
      <w:start w:val="5"/>
      <w:numFmt w:val="bullet"/>
      <w:lvlText w:val="-"/>
      <w:lvlJc w:val="left"/>
      <w:pPr>
        <w:ind w:left="720" w:hanging="360"/>
      </w:pPr>
      <w:rPr>
        <w:rFonts w:ascii="Arial Narrow" w:eastAsia="Times New Roman" w:hAnsi="Arial Narrow"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8">
    <w:nsid w:val="70CB60F2"/>
    <w:multiLevelType w:val="singleLevel"/>
    <w:tmpl w:val="1A34B748"/>
    <w:lvl w:ilvl="0">
      <w:start w:val="14"/>
      <w:numFmt w:val="decimal"/>
      <w:pStyle w:val="resolution"/>
      <w:lvlText w:val="Action %1:"/>
      <w:lvlJc w:val="left"/>
      <w:pPr>
        <w:tabs>
          <w:tab w:val="num" w:pos="1080"/>
        </w:tabs>
        <w:ind w:left="461" w:hanging="461"/>
      </w:pPr>
      <w:rPr>
        <w:b/>
        <w:i w:val="0"/>
        <w:u w:val="single"/>
      </w:rPr>
    </w:lvl>
  </w:abstractNum>
  <w:abstractNum w:abstractNumId="109">
    <w:nsid w:val="72562234"/>
    <w:multiLevelType w:val="hybridMultilevel"/>
    <w:tmpl w:val="C36A431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0">
    <w:nsid w:val="72CF2EB9"/>
    <w:multiLevelType w:val="hybridMultilevel"/>
    <w:tmpl w:val="6492C6B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1">
    <w:nsid w:val="745F3319"/>
    <w:multiLevelType w:val="hybridMultilevel"/>
    <w:tmpl w:val="00CCD052"/>
    <w:lvl w:ilvl="0" w:tplc="5F64E44C">
      <w:start w:val="1"/>
      <w:numFmt w:val="bullet"/>
      <w:lvlText w:val=""/>
      <w:lvlJc w:val="left"/>
      <w:pPr>
        <w:ind w:left="717" w:hanging="360"/>
      </w:pPr>
      <w:rPr>
        <w:rFonts w:ascii="Symbol" w:hAnsi="Symbol" w:hint="default"/>
      </w:rPr>
    </w:lvl>
    <w:lvl w:ilvl="1" w:tplc="84A658C4">
      <w:start w:val="1"/>
      <w:numFmt w:val="bullet"/>
      <w:lvlText w:val=""/>
      <w:lvlJc w:val="left"/>
      <w:pPr>
        <w:ind w:left="1437" w:hanging="360"/>
      </w:pPr>
      <w:rPr>
        <w:rFonts w:ascii="Wingdings" w:hAnsi="Wingdings" w:hint="default"/>
      </w:rPr>
    </w:lvl>
    <w:lvl w:ilvl="2" w:tplc="20000005" w:tentative="1">
      <w:start w:val="1"/>
      <w:numFmt w:val="bullet"/>
      <w:lvlText w:val=""/>
      <w:lvlJc w:val="left"/>
      <w:pPr>
        <w:ind w:left="2157" w:hanging="360"/>
      </w:pPr>
      <w:rPr>
        <w:rFonts w:ascii="Wingdings" w:hAnsi="Wingdings" w:hint="default"/>
      </w:rPr>
    </w:lvl>
    <w:lvl w:ilvl="3" w:tplc="20000001" w:tentative="1">
      <w:start w:val="1"/>
      <w:numFmt w:val="bullet"/>
      <w:lvlText w:val=""/>
      <w:lvlJc w:val="left"/>
      <w:pPr>
        <w:ind w:left="2877" w:hanging="360"/>
      </w:pPr>
      <w:rPr>
        <w:rFonts w:ascii="Symbol" w:hAnsi="Symbol" w:hint="default"/>
      </w:rPr>
    </w:lvl>
    <w:lvl w:ilvl="4" w:tplc="20000003" w:tentative="1">
      <w:start w:val="1"/>
      <w:numFmt w:val="bullet"/>
      <w:lvlText w:val="o"/>
      <w:lvlJc w:val="left"/>
      <w:pPr>
        <w:ind w:left="3597" w:hanging="360"/>
      </w:pPr>
      <w:rPr>
        <w:rFonts w:ascii="Courier New" w:hAnsi="Courier New" w:cs="Courier New" w:hint="default"/>
      </w:rPr>
    </w:lvl>
    <w:lvl w:ilvl="5" w:tplc="20000005" w:tentative="1">
      <w:start w:val="1"/>
      <w:numFmt w:val="bullet"/>
      <w:lvlText w:val=""/>
      <w:lvlJc w:val="left"/>
      <w:pPr>
        <w:ind w:left="4317" w:hanging="360"/>
      </w:pPr>
      <w:rPr>
        <w:rFonts w:ascii="Wingdings" w:hAnsi="Wingdings" w:hint="default"/>
      </w:rPr>
    </w:lvl>
    <w:lvl w:ilvl="6" w:tplc="20000001" w:tentative="1">
      <w:start w:val="1"/>
      <w:numFmt w:val="bullet"/>
      <w:lvlText w:val=""/>
      <w:lvlJc w:val="left"/>
      <w:pPr>
        <w:ind w:left="5037" w:hanging="360"/>
      </w:pPr>
      <w:rPr>
        <w:rFonts w:ascii="Symbol" w:hAnsi="Symbol" w:hint="default"/>
      </w:rPr>
    </w:lvl>
    <w:lvl w:ilvl="7" w:tplc="20000003" w:tentative="1">
      <w:start w:val="1"/>
      <w:numFmt w:val="bullet"/>
      <w:lvlText w:val="o"/>
      <w:lvlJc w:val="left"/>
      <w:pPr>
        <w:ind w:left="5757" w:hanging="360"/>
      </w:pPr>
      <w:rPr>
        <w:rFonts w:ascii="Courier New" w:hAnsi="Courier New" w:cs="Courier New" w:hint="default"/>
      </w:rPr>
    </w:lvl>
    <w:lvl w:ilvl="8" w:tplc="20000005" w:tentative="1">
      <w:start w:val="1"/>
      <w:numFmt w:val="bullet"/>
      <w:lvlText w:val=""/>
      <w:lvlJc w:val="left"/>
      <w:pPr>
        <w:ind w:left="6477" w:hanging="360"/>
      </w:pPr>
      <w:rPr>
        <w:rFonts w:ascii="Wingdings" w:hAnsi="Wingdings" w:hint="default"/>
      </w:rPr>
    </w:lvl>
  </w:abstractNum>
  <w:abstractNum w:abstractNumId="112">
    <w:nsid w:val="746D3D88"/>
    <w:multiLevelType w:val="hybridMultilevel"/>
    <w:tmpl w:val="65340582"/>
    <w:lvl w:ilvl="0" w:tplc="07989EB8">
      <w:start w:val="1"/>
      <w:numFmt w:val="bullet"/>
      <w:lvlText w:val="-"/>
      <w:lvlJc w:val="left"/>
      <w:pPr>
        <w:ind w:left="360" w:hanging="360"/>
      </w:pPr>
      <w:rPr>
        <w:rFonts w:ascii="Calibri" w:eastAsiaTheme="maj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3">
    <w:nsid w:val="748B4359"/>
    <w:multiLevelType w:val="hybridMultilevel"/>
    <w:tmpl w:val="80281C7E"/>
    <w:lvl w:ilvl="0" w:tplc="D5BC2420">
      <w:start w:val="2"/>
      <w:numFmt w:val="bullet"/>
      <w:lvlText w:val="-"/>
      <w:lvlJc w:val="left"/>
      <w:pPr>
        <w:tabs>
          <w:tab w:val="num" w:pos="360"/>
        </w:tabs>
        <w:ind w:left="360" w:hanging="360"/>
      </w:pPr>
      <w:rPr>
        <w:rFonts w:ascii="Tahoma" w:eastAsia="Times New Roman" w:hAnsi="Tahoma" w:cs="Tahoma"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14">
    <w:nsid w:val="74E53591"/>
    <w:multiLevelType w:val="hybridMultilevel"/>
    <w:tmpl w:val="875AEA4E"/>
    <w:lvl w:ilvl="0" w:tplc="9AA65A68">
      <w:start w:val="2"/>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5">
    <w:nsid w:val="75BC0E81"/>
    <w:multiLevelType w:val="hybridMultilevel"/>
    <w:tmpl w:val="5CB88E82"/>
    <w:lvl w:ilvl="0" w:tplc="FFFFFFFF">
      <w:numFmt w:val="bullet"/>
      <w:lvlText w:val="-"/>
      <w:lvlJc w:val="left"/>
      <w:pPr>
        <w:tabs>
          <w:tab w:val="num" w:pos="720"/>
        </w:tabs>
        <w:ind w:left="720" w:hanging="360"/>
      </w:pPr>
      <w:rPr>
        <w:rFonts w:ascii="Arial Narrow" w:eastAsia="Times New Roman" w:hAnsi="Arial Narrow" w:hint="default"/>
        <w:color w:val="auto"/>
        <w:sz w:val="16"/>
        <w:szCs w:val="16"/>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116">
    <w:nsid w:val="75CD00BD"/>
    <w:multiLevelType w:val="multilevel"/>
    <w:tmpl w:val="8A0ECAE4"/>
    <w:styleLink w:val="Nastevanje1"/>
    <w:lvl w:ilvl="0">
      <w:start w:val="1"/>
      <w:numFmt w:val="bullet"/>
      <w:lvlText w:val=""/>
      <w:lvlJc w:val="left"/>
      <w:pPr>
        <w:tabs>
          <w:tab w:val="num" w:pos="567"/>
        </w:tabs>
        <w:ind w:left="567" w:hanging="567"/>
      </w:pPr>
      <w:rPr>
        <w:rFonts w:ascii="Symbol" w:hAnsi="Symbol" w:cs="Times New Roman" w:hint="default"/>
        <w:sz w:val="22"/>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7">
    <w:nsid w:val="76892D5F"/>
    <w:multiLevelType w:val="hybridMultilevel"/>
    <w:tmpl w:val="818A06D8"/>
    <w:lvl w:ilvl="0" w:tplc="7B84DA2C">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8">
    <w:nsid w:val="7803571C"/>
    <w:multiLevelType w:val="hybridMultilevel"/>
    <w:tmpl w:val="C012F7D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9">
    <w:nsid w:val="78B04CB2"/>
    <w:multiLevelType w:val="hybridMultilevel"/>
    <w:tmpl w:val="01A0D432"/>
    <w:lvl w:ilvl="0" w:tplc="9AA65A68">
      <w:start w:val="2"/>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0">
    <w:nsid w:val="794E7E47"/>
    <w:multiLevelType w:val="multilevel"/>
    <w:tmpl w:val="E40EA35C"/>
    <w:lvl w:ilvl="0">
      <w:start w:val="1"/>
      <w:numFmt w:val="decimal"/>
      <w:pStyle w:val="Naslov1"/>
      <w:lvlText w:val="%1"/>
      <w:lvlJc w:val="left"/>
      <w:pPr>
        <w:ind w:left="783" w:hanging="432"/>
      </w:pPr>
    </w:lvl>
    <w:lvl w:ilvl="1">
      <w:start w:val="1"/>
      <w:numFmt w:val="decimal"/>
      <w:pStyle w:val="Naslov2"/>
      <w:lvlText w:val="%1.%2"/>
      <w:lvlJc w:val="left"/>
      <w:pPr>
        <w:ind w:left="927" w:hanging="576"/>
      </w:pPr>
    </w:lvl>
    <w:lvl w:ilvl="2">
      <w:start w:val="1"/>
      <w:numFmt w:val="decimal"/>
      <w:pStyle w:val="Naslov31"/>
      <w:lvlText w:val="%1.%2.%3"/>
      <w:lvlJc w:val="left"/>
      <w:pPr>
        <w:ind w:left="1071" w:hanging="720"/>
      </w:pPr>
    </w:lvl>
    <w:lvl w:ilvl="3">
      <w:start w:val="1"/>
      <w:numFmt w:val="decimal"/>
      <w:pStyle w:val="Naslov41"/>
      <w:lvlText w:val="%1.%2.%3.%4"/>
      <w:lvlJc w:val="left"/>
      <w:pPr>
        <w:ind w:left="1215" w:hanging="864"/>
      </w:pPr>
    </w:lvl>
    <w:lvl w:ilvl="4">
      <w:start w:val="1"/>
      <w:numFmt w:val="decimal"/>
      <w:lvlText w:val="%1.%2.%3.%4.%5"/>
      <w:lvlJc w:val="left"/>
      <w:pPr>
        <w:ind w:left="1359" w:hanging="1008"/>
      </w:pPr>
    </w:lvl>
    <w:lvl w:ilvl="5">
      <w:start w:val="1"/>
      <w:numFmt w:val="decimal"/>
      <w:lvlText w:val="%1.%2.%3.%4.%5.%6"/>
      <w:lvlJc w:val="left"/>
      <w:pPr>
        <w:ind w:left="1503" w:hanging="1152"/>
      </w:pPr>
    </w:lvl>
    <w:lvl w:ilvl="6">
      <w:start w:val="1"/>
      <w:numFmt w:val="decimal"/>
      <w:lvlText w:val="%1.%2.%3.%4.%5.%6.%7"/>
      <w:lvlJc w:val="left"/>
      <w:pPr>
        <w:ind w:left="1647" w:hanging="1296"/>
      </w:pPr>
    </w:lvl>
    <w:lvl w:ilvl="7">
      <w:start w:val="1"/>
      <w:numFmt w:val="decimal"/>
      <w:lvlText w:val="%1.%2.%3.%4.%5.%6.%7.%8"/>
      <w:lvlJc w:val="left"/>
      <w:pPr>
        <w:ind w:left="1791" w:hanging="1440"/>
      </w:pPr>
    </w:lvl>
    <w:lvl w:ilvl="8">
      <w:start w:val="1"/>
      <w:numFmt w:val="decimal"/>
      <w:lvlText w:val="%1.%2.%3.%4.%5.%6.%7.%8.%9"/>
      <w:lvlJc w:val="left"/>
      <w:pPr>
        <w:ind w:left="1935" w:hanging="1584"/>
      </w:pPr>
    </w:lvl>
  </w:abstractNum>
  <w:abstractNum w:abstractNumId="121">
    <w:nsid w:val="7A490C5C"/>
    <w:multiLevelType w:val="hybridMultilevel"/>
    <w:tmpl w:val="44FA903C"/>
    <w:lvl w:ilvl="0" w:tplc="8F38F434">
      <w:start w:val="1"/>
      <w:numFmt w:val="bullet"/>
      <w:lvlText w:val="-"/>
      <w:lvlJc w:val="left"/>
      <w:pPr>
        <w:ind w:left="720" w:hanging="360"/>
      </w:pPr>
      <w:rPr>
        <w:rFonts w:ascii="Tahoma" w:eastAsia="Times New Roman"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22">
    <w:nsid w:val="7AD76420"/>
    <w:multiLevelType w:val="hybridMultilevel"/>
    <w:tmpl w:val="E8EE860C"/>
    <w:lvl w:ilvl="0" w:tplc="0598DA9E">
      <w:start w:val="5"/>
      <w:numFmt w:val="bullet"/>
      <w:lvlText w:val="-"/>
      <w:lvlJc w:val="left"/>
      <w:pPr>
        <w:ind w:left="720" w:hanging="360"/>
      </w:pPr>
      <w:rPr>
        <w:rFonts w:ascii="Arial Narrow" w:eastAsia="Times New Roman" w:hAnsi="Arial Narrow"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3">
    <w:nsid w:val="7B6B06C1"/>
    <w:multiLevelType w:val="hybridMultilevel"/>
    <w:tmpl w:val="0E0A13D4"/>
    <w:lvl w:ilvl="0" w:tplc="04240001">
      <w:start w:val="1"/>
      <w:numFmt w:val="bullet"/>
      <w:lvlText w:val=""/>
      <w:lvlJc w:val="left"/>
      <w:pPr>
        <w:ind w:left="862" w:hanging="360"/>
      </w:pPr>
      <w:rPr>
        <w:rFonts w:ascii="Symbol" w:hAnsi="Symbol" w:hint="default"/>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124">
    <w:nsid w:val="7B8024BF"/>
    <w:multiLevelType w:val="multilevel"/>
    <w:tmpl w:val="45645F0C"/>
    <w:lvl w:ilvl="0">
      <w:start w:val="5"/>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Slog5"/>
      <w:lvlText w:val="%1.%2.%3.%4"/>
      <w:lvlJc w:val="left"/>
      <w:pPr>
        <w:tabs>
          <w:tab w:val="num" w:pos="864"/>
        </w:tabs>
        <w:ind w:left="864" w:hanging="864"/>
      </w:pPr>
    </w:lvl>
    <w:lvl w:ilvl="4">
      <w:start w:val="1"/>
      <w:numFmt w:val="decimal"/>
      <w:lvlRestart w:val="0"/>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5">
    <w:nsid w:val="7D7B20EC"/>
    <w:multiLevelType w:val="multilevel"/>
    <w:tmpl w:val="DDAEEACC"/>
    <w:lvl w:ilvl="0">
      <w:start w:val="5"/>
      <w:numFmt w:val="decimal"/>
      <w:lvlText w:val="%1"/>
      <w:lvlJc w:val="left"/>
      <w:pPr>
        <w:tabs>
          <w:tab w:val="num" w:pos="432"/>
        </w:tabs>
        <w:ind w:left="432" w:hanging="432"/>
      </w:pPr>
    </w:lvl>
    <w:lvl w:ilvl="1">
      <w:start w:val="1"/>
      <w:numFmt w:val="decimal"/>
      <w:pStyle w:val="SlogNaslov2ArialNarrow"/>
      <w:lvlText w:val="%1.%2"/>
      <w:lvlJc w:val="left"/>
      <w:pPr>
        <w:tabs>
          <w:tab w:val="num" w:pos="576"/>
        </w:tabs>
        <w:ind w:left="576" w:hanging="576"/>
      </w:pPr>
    </w:lvl>
    <w:lvl w:ilvl="2">
      <w:start w:val="1"/>
      <w:numFmt w:val="decimal"/>
      <w:lvlRestart w:val="0"/>
      <w:pStyle w:val="SlogNaslov3ArialNarrowSamovelikerk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Restart w:val="0"/>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6">
    <w:nsid w:val="7DD5290C"/>
    <w:multiLevelType w:val="hybridMultilevel"/>
    <w:tmpl w:val="D9E0ECF2"/>
    <w:lvl w:ilvl="0" w:tplc="8EE08C74">
      <w:start w:val="1"/>
      <w:numFmt w:val="lowerLetter"/>
      <w:pStyle w:val="rkovnatokazatevilnotoko"/>
      <w:lvlText w:val="%1)"/>
      <w:lvlJc w:val="left"/>
      <w:pPr>
        <w:ind w:left="757" w:hanging="360"/>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abstractNum w:abstractNumId="127">
    <w:nsid w:val="7E0566FF"/>
    <w:multiLevelType w:val="hybridMultilevel"/>
    <w:tmpl w:val="25E662BE"/>
    <w:lvl w:ilvl="0" w:tplc="4D506818">
      <w:start w:val="1"/>
      <w:numFmt w:val="bullet"/>
      <w:lvlText w:val=""/>
      <w:lvlJc w:val="left"/>
      <w:pPr>
        <w:tabs>
          <w:tab w:val="num" w:pos="720"/>
        </w:tabs>
        <w:ind w:left="720" w:hanging="360"/>
      </w:pPr>
      <w:rPr>
        <w:rFonts w:ascii="Wingdings" w:hAnsi="Wingdings" w:hint="default"/>
      </w:rPr>
    </w:lvl>
    <w:lvl w:ilvl="1" w:tplc="7658835E">
      <w:numFmt w:val="bullet"/>
      <w:lvlText w:val="-"/>
      <w:lvlJc w:val="left"/>
      <w:pPr>
        <w:tabs>
          <w:tab w:val="num" w:pos="1440"/>
        </w:tabs>
        <w:ind w:left="1440" w:hanging="360"/>
      </w:pPr>
      <w:rPr>
        <w:rFonts w:ascii="Times New Roman" w:eastAsia="Times New Roman" w:hAnsi="Times New Roman" w:cs="Times New Roman" w:hint="default"/>
      </w:rPr>
    </w:lvl>
    <w:lvl w:ilvl="2" w:tplc="4A1CA08E">
      <w:start w:val="1"/>
      <w:numFmt w:val="bullet"/>
      <w:lvlText w:val=""/>
      <w:lvlJc w:val="left"/>
      <w:pPr>
        <w:tabs>
          <w:tab w:val="num" w:pos="2160"/>
        </w:tabs>
        <w:ind w:left="2160" w:hanging="360"/>
      </w:pPr>
      <w:rPr>
        <w:rFonts w:ascii="Wingdings" w:hAnsi="Wingdings" w:hint="default"/>
      </w:rPr>
    </w:lvl>
    <w:lvl w:ilvl="3" w:tplc="FB161090">
      <w:start w:val="1"/>
      <w:numFmt w:val="bullet"/>
      <w:lvlText w:val=""/>
      <w:lvlJc w:val="left"/>
      <w:pPr>
        <w:tabs>
          <w:tab w:val="num" w:pos="2880"/>
        </w:tabs>
        <w:ind w:left="2880" w:hanging="360"/>
      </w:pPr>
      <w:rPr>
        <w:rFonts w:ascii="Symbol" w:hAnsi="Symbol" w:hint="default"/>
      </w:rPr>
    </w:lvl>
    <w:lvl w:ilvl="4" w:tplc="E29C3344">
      <w:start w:val="1"/>
      <w:numFmt w:val="bullet"/>
      <w:lvlText w:val="o"/>
      <w:lvlJc w:val="left"/>
      <w:pPr>
        <w:tabs>
          <w:tab w:val="num" w:pos="3600"/>
        </w:tabs>
        <w:ind w:left="3600" w:hanging="360"/>
      </w:pPr>
      <w:rPr>
        <w:rFonts w:ascii="Courier New" w:hAnsi="Courier New" w:cs="Courier New" w:hint="default"/>
      </w:rPr>
    </w:lvl>
    <w:lvl w:ilvl="5" w:tplc="0156C300">
      <w:start w:val="1"/>
      <w:numFmt w:val="bullet"/>
      <w:lvlText w:val=""/>
      <w:lvlJc w:val="left"/>
      <w:pPr>
        <w:tabs>
          <w:tab w:val="num" w:pos="4320"/>
        </w:tabs>
        <w:ind w:left="4320" w:hanging="360"/>
      </w:pPr>
      <w:rPr>
        <w:rFonts w:ascii="Wingdings" w:hAnsi="Wingdings" w:hint="default"/>
      </w:rPr>
    </w:lvl>
    <w:lvl w:ilvl="6" w:tplc="52260F62">
      <w:start w:val="1"/>
      <w:numFmt w:val="bullet"/>
      <w:lvlText w:val=""/>
      <w:lvlJc w:val="left"/>
      <w:pPr>
        <w:tabs>
          <w:tab w:val="num" w:pos="5040"/>
        </w:tabs>
        <w:ind w:left="5040" w:hanging="360"/>
      </w:pPr>
      <w:rPr>
        <w:rFonts w:ascii="Symbol" w:hAnsi="Symbol" w:hint="default"/>
      </w:rPr>
    </w:lvl>
    <w:lvl w:ilvl="7" w:tplc="A2365B86">
      <w:start w:val="1"/>
      <w:numFmt w:val="bullet"/>
      <w:lvlText w:val="o"/>
      <w:lvlJc w:val="left"/>
      <w:pPr>
        <w:tabs>
          <w:tab w:val="num" w:pos="5760"/>
        </w:tabs>
        <w:ind w:left="5760" w:hanging="360"/>
      </w:pPr>
      <w:rPr>
        <w:rFonts w:ascii="Courier New" w:hAnsi="Courier New" w:cs="Courier New" w:hint="default"/>
      </w:rPr>
    </w:lvl>
    <w:lvl w:ilvl="8" w:tplc="7AF6A22E">
      <w:start w:val="1"/>
      <w:numFmt w:val="bullet"/>
      <w:lvlText w:val=""/>
      <w:lvlJc w:val="left"/>
      <w:pPr>
        <w:tabs>
          <w:tab w:val="num" w:pos="6480"/>
        </w:tabs>
        <w:ind w:left="6480" w:hanging="360"/>
      </w:pPr>
      <w:rPr>
        <w:rFonts w:ascii="Wingdings" w:hAnsi="Wingdings" w:hint="default"/>
      </w:rPr>
    </w:lvl>
  </w:abstractNum>
  <w:abstractNum w:abstractNumId="128">
    <w:nsid w:val="7FFC2E8A"/>
    <w:multiLevelType w:val="multilevel"/>
    <w:tmpl w:val="04240025"/>
    <w:lvl w:ilvl="0">
      <w:start w:val="1"/>
      <w:numFmt w:val="decimal"/>
      <w:pStyle w:val="Naslov10"/>
      <w:lvlText w:val="%1"/>
      <w:lvlJc w:val="left"/>
      <w:pPr>
        <w:ind w:left="432" w:hanging="432"/>
      </w:pPr>
    </w:lvl>
    <w:lvl w:ilvl="1">
      <w:start w:val="1"/>
      <w:numFmt w:val="decimal"/>
      <w:pStyle w:val="Naslov20"/>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num w:numId="1">
    <w:abstractNumId w:val="51"/>
  </w:num>
  <w:num w:numId="2">
    <w:abstractNumId w:val="74"/>
  </w:num>
  <w:num w:numId="3">
    <w:abstractNumId w:val="36"/>
  </w:num>
  <w:num w:numId="4">
    <w:abstractNumId w:val="37"/>
  </w:num>
  <w:num w:numId="5">
    <w:abstractNumId w:val="103"/>
  </w:num>
  <w:num w:numId="6">
    <w:abstractNumId w:val="126"/>
  </w:num>
  <w:num w:numId="7">
    <w:abstractNumId w:val="25"/>
  </w:num>
  <w:num w:numId="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num>
  <w:num w:numId="10">
    <w:abstractNumId w:val="0"/>
    <w:lvlOverride w:ilvl="0">
      <w:startOverride w:val="1"/>
    </w:lvlOverride>
  </w:num>
  <w:num w:numId="11">
    <w:abstractNumId w:val="32"/>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9"/>
    <w:lvlOverride w:ilvl="0">
      <w:startOverride w:val="1"/>
    </w:lvlOverride>
  </w:num>
  <w:num w:numId="13">
    <w:abstractNumId w:val="30"/>
    <w:lvlOverride w:ilvl="0">
      <w:startOverride w:val="1"/>
    </w:lvlOverride>
  </w:num>
  <w:num w:numId="14">
    <w:abstractNumId w:val="61"/>
    <w:lvlOverride w:ilvl="0">
      <w:startOverride w:val="1"/>
    </w:lvlOverride>
  </w:num>
  <w:num w:numId="15">
    <w:abstractNumId w:val="108"/>
    <w:lvlOverride w:ilvl="0">
      <w:startOverride w:val="14"/>
    </w:lvlOverride>
  </w:num>
  <w:num w:numId="16">
    <w:abstractNumId w:val="22"/>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1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3"/>
  </w:num>
  <w:num w:numId="21">
    <w:abstractNumId w:val="16"/>
  </w:num>
  <w:num w:numId="22">
    <w:abstractNumId w:val="33"/>
  </w:num>
  <w:num w:numId="2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54"/>
  </w:num>
  <w:num w:numId="26">
    <w:abstractNumId w:val="127"/>
  </w:num>
  <w:num w:numId="27">
    <w:abstractNumId w:val="76"/>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8"/>
  </w:num>
  <w:num w:numId="31">
    <w:abstractNumId w:val="62"/>
  </w:num>
  <w:num w:numId="32">
    <w:abstractNumId w:val="71"/>
  </w:num>
  <w:num w:numId="33">
    <w:abstractNumId w:val="67"/>
  </w:num>
  <w:num w:numId="34">
    <w:abstractNumId w:val="116"/>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5"/>
  </w:num>
  <w:num w:numId="40">
    <w:abstractNumId w:val="109"/>
  </w:num>
  <w:num w:numId="41">
    <w:abstractNumId w:val="97"/>
  </w:num>
  <w:num w:numId="42">
    <w:abstractNumId w:val="40"/>
  </w:num>
  <w:num w:numId="43">
    <w:abstractNumId w:val="88"/>
  </w:num>
  <w:num w:numId="44">
    <w:abstractNumId w:val="53"/>
  </w:num>
  <w:num w:numId="45">
    <w:abstractNumId w:val="66"/>
  </w:num>
  <w:num w:numId="46">
    <w:abstractNumId w:val="19"/>
  </w:num>
  <w:num w:numId="47">
    <w:abstractNumId w:val="41"/>
  </w:num>
  <w:num w:numId="48">
    <w:abstractNumId w:val="42"/>
  </w:num>
  <w:num w:numId="49">
    <w:abstractNumId w:val="35"/>
  </w:num>
  <w:num w:numId="50">
    <w:abstractNumId w:val="110"/>
  </w:num>
  <w:num w:numId="51">
    <w:abstractNumId w:val="93"/>
  </w:num>
  <w:num w:numId="52">
    <w:abstractNumId w:val="8"/>
  </w:num>
  <w:num w:numId="53">
    <w:abstractNumId w:val="55"/>
  </w:num>
  <w:num w:numId="54">
    <w:abstractNumId w:val="65"/>
  </w:num>
  <w:num w:numId="55">
    <w:abstractNumId w:val="14"/>
  </w:num>
  <w:num w:numId="56">
    <w:abstractNumId w:val="95"/>
  </w:num>
  <w:num w:numId="57">
    <w:abstractNumId w:val="20"/>
  </w:num>
  <w:num w:numId="58">
    <w:abstractNumId w:val="92"/>
  </w:num>
  <w:num w:numId="59">
    <w:abstractNumId w:val="102"/>
  </w:num>
  <w:num w:numId="60">
    <w:abstractNumId w:val="85"/>
  </w:num>
  <w:num w:numId="61">
    <w:abstractNumId w:val="118"/>
  </w:num>
  <w:num w:numId="62">
    <w:abstractNumId w:val="57"/>
  </w:num>
  <w:num w:numId="63">
    <w:abstractNumId w:val="17"/>
  </w:num>
  <w:num w:numId="64">
    <w:abstractNumId w:val="48"/>
  </w:num>
  <w:num w:numId="65">
    <w:abstractNumId w:val="112"/>
  </w:num>
  <w:num w:numId="66">
    <w:abstractNumId w:val="6"/>
  </w:num>
  <w:num w:numId="67">
    <w:abstractNumId w:val="63"/>
  </w:num>
  <w:num w:numId="68">
    <w:abstractNumId w:val="111"/>
  </w:num>
  <w:num w:numId="69">
    <w:abstractNumId w:val="94"/>
  </w:num>
  <w:num w:numId="70">
    <w:abstractNumId w:val="49"/>
  </w:num>
  <w:num w:numId="71">
    <w:abstractNumId w:val="24"/>
  </w:num>
  <w:num w:numId="72">
    <w:abstractNumId w:val="99"/>
  </w:num>
  <w:num w:numId="73">
    <w:abstractNumId w:val="91"/>
  </w:num>
  <w:num w:numId="74">
    <w:abstractNumId w:val="104"/>
  </w:num>
  <w:num w:numId="75">
    <w:abstractNumId w:val="84"/>
  </w:num>
  <w:num w:numId="76">
    <w:abstractNumId w:val="96"/>
  </w:num>
  <w:num w:numId="77">
    <w:abstractNumId w:val="81"/>
  </w:num>
  <w:num w:numId="78">
    <w:abstractNumId w:val="117"/>
  </w:num>
  <w:num w:numId="79">
    <w:abstractNumId w:val="46"/>
  </w:num>
  <w:num w:numId="80">
    <w:abstractNumId w:val="38"/>
  </w:num>
  <w:num w:numId="81">
    <w:abstractNumId w:val="87"/>
  </w:num>
  <w:num w:numId="82">
    <w:abstractNumId w:val="80"/>
  </w:num>
  <w:num w:numId="83">
    <w:abstractNumId w:val="31"/>
  </w:num>
  <w:num w:numId="84">
    <w:abstractNumId w:val="106"/>
  </w:num>
  <w:num w:numId="85">
    <w:abstractNumId w:val="123"/>
  </w:num>
  <w:num w:numId="86">
    <w:abstractNumId w:val="82"/>
  </w:num>
  <w:num w:numId="87">
    <w:abstractNumId w:val="3"/>
  </w:num>
  <w:num w:numId="88">
    <w:abstractNumId w:val="72"/>
  </w:num>
  <w:num w:numId="89">
    <w:abstractNumId w:val="44"/>
  </w:num>
  <w:num w:numId="90">
    <w:abstractNumId w:val="50"/>
  </w:num>
  <w:num w:numId="91">
    <w:abstractNumId w:val="121"/>
  </w:num>
  <w:num w:numId="92">
    <w:abstractNumId w:val="86"/>
  </w:num>
  <w:num w:numId="93">
    <w:abstractNumId w:val="120"/>
  </w:num>
  <w:num w:numId="94">
    <w:abstractNumId w:val="69"/>
  </w:num>
  <w:num w:numId="95">
    <w:abstractNumId w:val="101"/>
  </w:num>
  <w:num w:numId="96">
    <w:abstractNumId w:val="52"/>
  </w:num>
  <w:num w:numId="97">
    <w:abstractNumId w:val="119"/>
  </w:num>
  <w:num w:numId="98">
    <w:abstractNumId w:val="34"/>
  </w:num>
  <w:num w:numId="99">
    <w:abstractNumId w:val="47"/>
  </w:num>
  <w:num w:numId="100">
    <w:abstractNumId w:val="56"/>
  </w:num>
  <w:num w:numId="101">
    <w:abstractNumId w:val="39"/>
  </w:num>
  <w:num w:numId="102">
    <w:abstractNumId w:val="73"/>
  </w:num>
  <w:num w:numId="103">
    <w:abstractNumId w:val="43"/>
  </w:num>
  <w:num w:numId="104">
    <w:abstractNumId w:val="21"/>
  </w:num>
  <w:num w:numId="105">
    <w:abstractNumId w:val="100"/>
  </w:num>
  <w:num w:numId="106">
    <w:abstractNumId w:val="77"/>
  </w:num>
  <w:num w:numId="107">
    <w:abstractNumId w:val="114"/>
  </w:num>
  <w:num w:numId="108">
    <w:abstractNumId w:val="15"/>
  </w:num>
  <w:num w:numId="109">
    <w:abstractNumId w:val="4"/>
  </w:num>
  <w:num w:numId="110">
    <w:abstractNumId w:val="23"/>
  </w:num>
  <w:num w:numId="111">
    <w:abstractNumId w:val="60"/>
  </w:num>
  <w:num w:numId="112">
    <w:abstractNumId w:val="7"/>
  </w:num>
  <w:num w:numId="113">
    <w:abstractNumId w:val="59"/>
  </w:num>
  <w:num w:numId="114">
    <w:abstractNumId w:val="107"/>
  </w:num>
  <w:num w:numId="115">
    <w:abstractNumId w:val="26"/>
  </w:num>
  <w:num w:numId="116">
    <w:abstractNumId w:val="9"/>
  </w:num>
  <w:num w:numId="117">
    <w:abstractNumId w:val="68"/>
  </w:num>
  <w:num w:numId="118">
    <w:abstractNumId w:val="83"/>
  </w:num>
  <w:num w:numId="119">
    <w:abstractNumId w:val="18"/>
  </w:num>
  <w:num w:numId="120">
    <w:abstractNumId w:val="122"/>
  </w:num>
  <w:num w:numId="121">
    <w:abstractNumId w:val="128"/>
  </w:num>
  <w:num w:numId="122">
    <w:abstractNumId w:val="70"/>
  </w:num>
  <w:num w:numId="123">
    <w:abstractNumId w:val="13"/>
  </w:num>
  <w:num w:numId="124">
    <w:abstractNumId w:val="27"/>
  </w:num>
  <w:num w:numId="125">
    <w:abstractNumId w:val="115"/>
  </w:num>
  <w:num w:numId="126">
    <w:abstractNumId w:val="90"/>
  </w:num>
  <w:num w:numId="127">
    <w:abstractNumId w:val="2"/>
  </w:num>
  <w:num w:numId="128">
    <w:abstractNumId w:val="45"/>
  </w:num>
  <w:num w:numId="129">
    <w:abstractNumId w:val="105"/>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GrammaticalErrors/>
  <w:defaultTabStop w:val="284"/>
  <w:hyphenationZone w:val="425"/>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7AE"/>
    <w:rsid w:val="00000F54"/>
    <w:rsid w:val="0000278F"/>
    <w:rsid w:val="00003F51"/>
    <w:rsid w:val="0000485F"/>
    <w:rsid w:val="00005CB8"/>
    <w:rsid w:val="00005F82"/>
    <w:rsid w:val="0000670C"/>
    <w:rsid w:val="00007933"/>
    <w:rsid w:val="00007B0C"/>
    <w:rsid w:val="00010B62"/>
    <w:rsid w:val="00010C58"/>
    <w:rsid w:val="00010DE3"/>
    <w:rsid w:val="00011ED1"/>
    <w:rsid w:val="000126C6"/>
    <w:rsid w:val="000136DB"/>
    <w:rsid w:val="00013E04"/>
    <w:rsid w:val="00014217"/>
    <w:rsid w:val="00015ED9"/>
    <w:rsid w:val="00016DB8"/>
    <w:rsid w:val="00017295"/>
    <w:rsid w:val="00017486"/>
    <w:rsid w:val="000175F5"/>
    <w:rsid w:val="000224F7"/>
    <w:rsid w:val="000239B2"/>
    <w:rsid w:val="000254B9"/>
    <w:rsid w:val="00025912"/>
    <w:rsid w:val="00026598"/>
    <w:rsid w:val="00027558"/>
    <w:rsid w:val="000277DE"/>
    <w:rsid w:val="000277EA"/>
    <w:rsid w:val="00027F43"/>
    <w:rsid w:val="0003054E"/>
    <w:rsid w:val="00030700"/>
    <w:rsid w:val="00031B2C"/>
    <w:rsid w:val="00034C49"/>
    <w:rsid w:val="00035591"/>
    <w:rsid w:val="00036CB9"/>
    <w:rsid w:val="00036DE6"/>
    <w:rsid w:val="00041DAB"/>
    <w:rsid w:val="0004283F"/>
    <w:rsid w:val="00042ECA"/>
    <w:rsid w:val="0004451F"/>
    <w:rsid w:val="0004480C"/>
    <w:rsid w:val="00045148"/>
    <w:rsid w:val="00045F56"/>
    <w:rsid w:val="000468D4"/>
    <w:rsid w:val="00047307"/>
    <w:rsid w:val="000474B2"/>
    <w:rsid w:val="00047A27"/>
    <w:rsid w:val="000504D5"/>
    <w:rsid w:val="00053171"/>
    <w:rsid w:val="00053BF5"/>
    <w:rsid w:val="00053C49"/>
    <w:rsid w:val="00054FA8"/>
    <w:rsid w:val="00055438"/>
    <w:rsid w:val="00057495"/>
    <w:rsid w:val="000574D7"/>
    <w:rsid w:val="00060A01"/>
    <w:rsid w:val="00061755"/>
    <w:rsid w:val="00062A89"/>
    <w:rsid w:val="00063907"/>
    <w:rsid w:val="00063FAC"/>
    <w:rsid w:val="00064574"/>
    <w:rsid w:val="00064921"/>
    <w:rsid w:val="00067FB9"/>
    <w:rsid w:val="00070565"/>
    <w:rsid w:val="00071770"/>
    <w:rsid w:val="000742F2"/>
    <w:rsid w:val="000746CB"/>
    <w:rsid w:val="000758C6"/>
    <w:rsid w:val="00075C40"/>
    <w:rsid w:val="00076BA1"/>
    <w:rsid w:val="0007736F"/>
    <w:rsid w:val="000773A0"/>
    <w:rsid w:val="00077E38"/>
    <w:rsid w:val="0008082D"/>
    <w:rsid w:val="00080908"/>
    <w:rsid w:val="000818FA"/>
    <w:rsid w:val="00084CE0"/>
    <w:rsid w:val="00085981"/>
    <w:rsid w:val="00086BF0"/>
    <w:rsid w:val="000873ED"/>
    <w:rsid w:val="000879C2"/>
    <w:rsid w:val="00090FAE"/>
    <w:rsid w:val="000918A4"/>
    <w:rsid w:val="000932BC"/>
    <w:rsid w:val="00093585"/>
    <w:rsid w:val="00093C4A"/>
    <w:rsid w:val="000949D0"/>
    <w:rsid w:val="00095533"/>
    <w:rsid w:val="00095564"/>
    <w:rsid w:val="0009564B"/>
    <w:rsid w:val="00095A58"/>
    <w:rsid w:val="00095AD4"/>
    <w:rsid w:val="00096066"/>
    <w:rsid w:val="000971D5"/>
    <w:rsid w:val="0009780F"/>
    <w:rsid w:val="000A1DB5"/>
    <w:rsid w:val="000A274C"/>
    <w:rsid w:val="000A2CC4"/>
    <w:rsid w:val="000A3C3B"/>
    <w:rsid w:val="000A3C52"/>
    <w:rsid w:val="000A3FF9"/>
    <w:rsid w:val="000A480C"/>
    <w:rsid w:val="000A6078"/>
    <w:rsid w:val="000A63D5"/>
    <w:rsid w:val="000A64E4"/>
    <w:rsid w:val="000B05E4"/>
    <w:rsid w:val="000B18B5"/>
    <w:rsid w:val="000B232D"/>
    <w:rsid w:val="000B2569"/>
    <w:rsid w:val="000B29B2"/>
    <w:rsid w:val="000B3497"/>
    <w:rsid w:val="000B3F32"/>
    <w:rsid w:val="000B4546"/>
    <w:rsid w:val="000B4718"/>
    <w:rsid w:val="000B651C"/>
    <w:rsid w:val="000B65B0"/>
    <w:rsid w:val="000B7BF8"/>
    <w:rsid w:val="000C0AA2"/>
    <w:rsid w:val="000C0D03"/>
    <w:rsid w:val="000C25B1"/>
    <w:rsid w:val="000C31B1"/>
    <w:rsid w:val="000C3A97"/>
    <w:rsid w:val="000C4582"/>
    <w:rsid w:val="000C4A36"/>
    <w:rsid w:val="000C60F5"/>
    <w:rsid w:val="000C69D9"/>
    <w:rsid w:val="000C6C2A"/>
    <w:rsid w:val="000C6F0C"/>
    <w:rsid w:val="000D01A7"/>
    <w:rsid w:val="000D09D4"/>
    <w:rsid w:val="000D0D22"/>
    <w:rsid w:val="000D1BAC"/>
    <w:rsid w:val="000D20FC"/>
    <w:rsid w:val="000D2FCD"/>
    <w:rsid w:val="000D346F"/>
    <w:rsid w:val="000D3882"/>
    <w:rsid w:val="000D41B8"/>
    <w:rsid w:val="000D45F7"/>
    <w:rsid w:val="000D4CD6"/>
    <w:rsid w:val="000D4FBF"/>
    <w:rsid w:val="000D541E"/>
    <w:rsid w:val="000D5743"/>
    <w:rsid w:val="000D72C4"/>
    <w:rsid w:val="000D7729"/>
    <w:rsid w:val="000E13BA"/>
    <w:rsid w:val="000E1CC2"/>
    <w:rsid w:val="000E202D"/>
    <w:rsid w:val="000E2770"/>
    <w:rsid w:val="000E3F85"/>
    <w:rsid w:val="000E4EC4"/>
    <w:rsid w:val="000E57A1"/>
    <w:rsid w:val="000E639B"/>
    <w:rsid w:val="000E67B1"/>
    <w:rsid w:val="000E6FAA"/>
    <w:rsid w:val="000F0610"/>
    <w:rsid w:val="000F32C5"/>
    <w:rsid w:val="000F34BC"/>
    <w:rsid w:val="000F3735"/>
    <w:rsid w:val="000F37ED"/>
    <w:rsid w:val="000F3C1C"/>
    <w:rsid w:val="000F4F4B"/>
    <w:rsid w:val="000F59B4"/>
    <w:rsid w:val="000F7534"/>
    <w:rsid w:val="000F75F8"/>
    <w:rsid w:val="001000DC"/>
    <w:rsid w:val="001007A2"/>
    <w:rsid w:val="00100903"/>
    <w:rsid w:val="00101B4A"/>
    <w:rsid w:val="00102E52"/>
    <w:rsid w:val="0010321A"/>
    <w:rsid w:val="0010323A"/>
    <w:rsid w:val="0010334C"/>
    <w:rsid w:val="00103466"/>
    <w:rsid w:val="00103910"/>
    <w:rsid w:val="00103C64"/>
    <w:rsid w:val="00103D0E"/>
    <w:rsid w:val="00103F0C"/>
    <w:rsid w:val="00104ACD"/>
    <w:rsid w:val="0010678F"/>
    <w:rsid w:val="00106B77"/>
    <w:rsid w:val="001074E5"/>
    <w:rsid w:val="00107628"/>
    <w:rsid w:val="0010797F"/>
    <w:rsid w:val="001079FF"/>
    <w:rsid w:val="00110196"/>
    <w:rsid w:val="00110F1A"/>
    <w:rsid w:val="00111FF4"/>
    <w:rsid w:val="0011295C"/>
    <w:rsid w:val="001130E7"/>
    <w:rsid w:val="00113369"/>
    <w:rsid w:val="00114BAB"/>
    <w:rsid w:val="0011655B"/>
    <w:rsid w:val="001165AB"/>
    <w:rsid w:val="00122042"/>
    <w:rsid w:val="00122A6C"/>
    <w:rsid w:val="001236F4"/>
    <w:rsid w:val="00123FF3"/>
    <w:rsid w:val="001253BF"/>
    <w:rsid w:val="0012571C"/>
    <w:rsid w:val="00127B36"/>
    <w:rsid w:val="00130840"/>
    <w:rsid w:val="001310DA"/>
    <w:rsid w:val="00131177"/>
    <w:rsid w:val="00131557"/>
    <w:rsid w:val="00131AAD"/>
    <w:rsid w:val="0013272A"/>
    <w:rsid w:val="00132B32"/>
    <w:rsid w:val="00132D7A"/>
    <w:rsid w:val="001333FF"/>
    <w:rsid w:val="00134138"/>
    <w:rsid w:val="00135202"/>
    <w:rsid w:val="00135DAE"/>
    <w:rsid w:val="001371AB"/>
    <w:rsid w:val="0014072F"/>
    <w:rsid w:val="00141004"/>
    <w:rsid w:val="00141486"/>
    <w:rsid w:val="00142B26"/>
    <w:rsid w:val="00143CD4"/>
    <w:rsid w:val="00145356"/>
    <w:rsid w:val="00145D69"/>
    <w:rsid w:val="00146AA7"/>
    <w:rsid w:val="00146CA0"/>
    <w:rsid w:val="00150ED2"/>
    <w:rsid w:val="00151234"/>
    <w:rsid w:val="00154200"/>
    <w:rsid w:val="00154223"/>
    <w:rsid w:val="00154C49"/>
    <w:rsid w:val="00156B41"/>
    <w:rsid w:val="00160715"/>
    <w:rsid w:val="0016183D"/>
    <w:rsid w:val="00162070"/>
    <w:rsid w:val="00162A60"/>
    <w:rsid w:val="00162E83"/>
    <w:rsid w:val="001631D0"/>
    <w:rsid w:val="0016341E"/>
    <w:rsid w:val="00163562"/>
    <w:rsid w:val="001640C2"/>
    <w:rsid w:val="00164188"/>
    <w:rsid w:val="0016421B"/>
    <w:rsid w:val="00164FE3"/>
    <w:rsid w:val="001654D2"/>
    <w:rsid w:val="001657DD"/>
    <w:rsid w:val="0016668B"/>
    <w:rsid w:val="0016738C"/>
    <w:rsid w:val="0017087F"/>
    <w:rsid w:val="001719A9"/>
    <w:rsid w:val="00171D1A"/>
    <w:rsid w:val="001722FB"/>
    <w:rsid w:val="00172A78"/>
    <w:rsid w:val="00173609"/>
    <w:rsid w:val="0017368C"/>
    <w:rsid w:val="00173DF4"/>
    <w:rsid w:val="00175C31"/>
    <w:rsid w:val="001766FB"/>
    <w:rsid w:val="00176AB0"/>
    <w:rsid w:val="00176EFA"/>
    <w:rsid w:val="00177237"/>
    <w:rsid w:val="00177510"/>
    <w:rsid w:val="00177921"/>
    <w:rsid w:val="00177B5E"/>
    <w:rsid w:val="00177E13"/>
    <w:rsid w:val="0018043F"/>
    <w:rsid w:val="001810C8"/>
    <w:rsid w:val="00181303"/>
    <w:rsid w:val="00181A35"/>
    <w:rsid w:val="0018237C"/>
    <w:rsid w:val="00182657"/>
    <w:rsid w:val="0018279D"/>
    <w:rsid w:val="001827A2"/>
    <w:rsid w:val="0018324E"/>
    <w:rsid w:val="001843F9"/>
    <w:rsid w:val="00185885"/>
    <w:rsid w:val="00186467"/>
    <w:rsid w:val="001864CD"/>
    <w:rsid w:val="00186857"/>
    <w:rsid w:val="00190F98"/>
    <w:rsid w:val="0019176D"/>
    <w:rsid w:val="0019232A"/>
    <w:rsid w:val="0019310B"/>
    <w:rsid w:val="00193312"/>
    <w:rsid w:val="001945EA"/>
    <w:rsid w:val="00194915"/>
    <w:rsid w:val="00194F51"/>
    <w:rsid w:val="001950A8"/>
    <w:rsid w:val="0019567B"/>
    <w:rsid w:val="00195988"/>
    <w:rsid w:val="00196A1E"/>
    <w:rsid w:val="00196C16"/>
    <w:rsid w:val="00197BAB"/>
    <w:rsid w:val="00197EB0"/>
    <w:rsid w:val="001A09B9"/>
    <w:rsid w:val="001A0D0D"/>
    <w:rsid w:val="001A1DB9"/>
    <w:rsid w:val="001A1F58"/>
    <w:rsid w:val="001A208E"/>
    <w:rsid w:val="001A4174"/>
    <w:rsid w:val="001A451E"/>
    <w:rsid w:val="001A4DA1"/>
    <w:rsid w:val="001A51F7"/>
    <w:rsid w:val="001A5370"/>
    <w:rsid w:val="001A732E"/>
    <w:rsid w:val="001A747A"/>
    <w:rsid w:val="001A7511"/>
    <w:rsid w:val="001A77AE"/>
    <w:rsid w:val="001A7954"/>
    <w:rsid w:val="001B030F"/>
    <w:rsid w:val="001B0F7D"/>
    <w:rsid w:val="001B10BF"/>
    <w:rsid w:val="001B1334"/>
    <w:rsid w:val="001B16B0"/>
    <w:rsid w:val="001B26DC"/>
    <w:rsid w:val="001B2CC4"/>
    <w:rsid w:val="001B3D3D"/>
    <w:rsid w:val="001B40DC"/>
    <w:rsid w:val="001B486E"/>
    <w:rsid w:val="001B4A2A"/>
    <w:rsid w:val="001B4EEE"/>
    <w:rsid w:val="001B4FAB"/>
    <w:rsid w:val="001B5026"/>
    <w:rsid w:val="001B6908"/>
    <w:rsid w:val="001B7685"/>
    <w:rsid w:val="001B7756"/>
    <w:rsid w:val="001C0395"/>
    <w:rsid w:val="001C0908"/>
    <w:rsid w:val="001C2B1C"/>
    <w:rsid w:val="001C425C"/>
    <w:rsid w:val="001C5EAF"/>
    <w:rsid w:val="001C5FBF"/>
    <w:rsid w:val="001C636E"/>
    <w:rsid w:val="001D0CDC"/>
    <w:rsid w:val="001D373E"/>
    <w:rsid w:val="001D3D9D"/>
    <w:rsid w:val="001D47CC"/>
    <w:rsid w:val="001D5155"/>
    <w:rsid w:val="001D5B33"/>
    <w:rsid w:val="001D5C1B"/>
    <w:rsid w:val="001D5C8A"/>
    <w:rsid w:val="001D6162"/>
    <w:rsid w:val="001D6417"/>
    <w:rsid w:val="001D65A2"/>
    <w:rsid w:val="001E2821"/>
    <w:rsid w:val="001E2CC8"/>
    <w:rsid w:val="001E358C"/>
    <w:rsid w:val="001E3C58"/>
    <w:rsid w:val="001E3E9B"/>
    <w:rsid w:val="001E3FEF"/>
    <w:rsid w:val="001E43DF"/>
    <w:rsid w:val="001E4CEF"/>
    <w:rsid w:val="001E5548"/>
    <w:rsid w:val="001E62C2"/>
    <w:rsid w:val="001E6D74"/>
    <w:rsid w:val="001E71AE"/>
    <w:rsid w:val="001F01B8"/>
    <w:rsid w:val="001F0EFF"/>
    <w:rsid w:val="001F1051"/>
    <w:rsid w:val="001F1422"/>
    <w:rsid w:val="001F17B5"/>
    <w:rsid w:val="001F1F2A"/>
    <w:rsid w:val="001F32AD"/>
    <w:rsid w:val="001F38BE"/>
    <w:rsid w:val="001F657D"/>
    <w:rsid w:val="00203A56"/>
    <w:rsid w:val="00203E37"/>
    <w:rsid w:val="00205875"/>
    <w:rsid w:val="002065D1"/>
    <w:rsid w:val="00207DB1"/>
    <w:rsid w:val="00211423"/>
    <w:rsid w:val="00213227"/>
    <w:rsid w:val="00213672"/>
    <w:rsid w:val="00215338"/>
    <w:rsid w:val="0021574F"/>
    <w:rsid w:val="00215DB0"/>
    <w:rsid w:val="00217877"/>
    <w:rsid w:val="00223A89"/>
    <w:rsid w:val="00226BD9"/>
    <w:rsid w:val="00227EAC"/>
    <w:rsid w:val="00230AC3"/>
    <w:rsid w:val="00231532"/>
    <w:rsid w:val="002319DC"/>
    <w:rsid w:val="00231C2B"/>
    <w:rsid w:val="00231C84"/>
    <w:rsid w:val="00231DAE"/>
    <w:rsid w:val="00232DD1"/>
    <w:rsid w:val="00233069"/>
    <w:rsid w:val="002334F2"/>
    <w:rsid w:val="00234EEA"/>
    <w:rsid w:val="00234FE6"/>
    <w:rsid w:val="00235234"/>
    <w:rsid w:val="002366C3"/>
    <w:rsid w:val="0024072B"/>
    <w:rsid w:val="002415CF"/>
    <w:rsid w:val="00242326"/>
    <w:rsid w:val="00242799"/>
    <w:rsid w:val="00242D22"/>
    <w:rsid w:val="00243D59"/>
    <w:rsid w:val="002446C0"/>
    <w:rsid w:val="00244802"/>
    <w:rsid w:val="0024573C"/>
    <w:rsid w:val="00245AB6"/>
    <w:rsid w:val="00246027"/>
    <w:rsid w:val="00246116"/>
    <w:rsid w:val="002464EE"/>
    <w:rsid w:val="00246A67"/>
    <w:rsid w:val="0024757F"/>
    <w:rsid w:val="00247695"/>
    <w:rsid w:val="00250276"/>
    <w:rsid w:val="0025112E"/>
    <w:rsid w:val="002512E8"/>
    <w:rsid w:val="00251748"/>
    <w:rsid w:val="002527C2"/>
    <w:rsid w:val="00252E66"/>
    <w:rsid w:val="002534FA"/>
    <w:rsid w:val="00254655"/>
    <w:rsid w:val="0025492B"/>
    <w:rsid w:val="0025624F"/>
    <w:rsid w:val="002577CA"/>
    <w:rsid w:val="00257E39"/>
    <w:rsid w:val="0026046C"/>
    <w:rsid w:val="00260DC3"/>
    <w:rsid w:val="0026146E"/>
    <w:rsid w:val="002637E7"/>
    <w:rsid w:val="00264876"/>
    <w:rsid w:val="0026499F"/>
    <w:rsid w:val="00264E6A"/>
    <w:rsid w:val="0026546F"/>
    <w:rsid w:val="00265639"/>
    <w:rsid w:val="002703DB"/>
    <w:rsid w:val="00272438"/>
    <w:rsid w:val="002733A2"/>
    <w:rsid w:val="00276474"/>
    <w:rsid w:val="00276E33"/>
    <w:rsid w:val="002777A9"/>
    <w:rsid w:val="00277902"/>
    <w:rsid w:val="00277B7A"/>
    <w:rsid w:val="00281100"/>
    <w:rsid w:val="0028112A"/>
    <w:rsid w:val="0028117D"/>
    <w:rsid w:val="002826C9"/>
    <w:rsid w:val="00282CF5"/>
    <w:rsid w:val="002836C3"/>
    <w:rsid w:val="00284F89"/>
    <w:rsid w:val="00285220"/>
    <w:rsid w:val="00285737"/>
    <w:rsid w:val="002859D2"/>
    <w:rsid w:val="00290473"/>
    <w:rsid w:val="002915D2"/>
    <w:rsid w:val="00291DFD"/>
    <w:rsid w:val="002944FE"/>
    <w:rsid w:val="0029496D"/>
    <w:rsid w:val="00294C80"/>
    <w:rsid w:val="002958DF"/>
    <w:rsid w:val="0029623F"/>
    <w:rsid w:val="002A2067"/>
    <w:rsid w:val="002A2FC1"/>
    <w:rsid w:val="002A3C43"/>
    <w:rsid w:val="002A3D5E"/>
    <w:rsid w:val="002A4F78"/>
    <w:rsid w:val="002A4F99"/>
    <w:rsid w:val="002A4FA5"/>
    <w:rsid w:val="002A50C8"/>
    <w:rsid w:val="002A58D1"/>
    <w:rsid w:val="002A6726"/>
    <w:rsid w:val="002A6CC5"/>
    <w:rsid w:val="002B19AC"/>
    <w:rsid w:val="002B231A"/>
    <w:rsid w:val="002B2B9E"/>
    <w:rsid w:val="002B3224"/>
    <w:rsid w:val="002B3315"/>
    <w:rsid w:val="002B3F65"/>
    <w:rsid w:val="002B4F2F"/>
    <w:rsid w:val="002B630B"/>
    <w:rsid w:val="002B639C"/>
    <w:rsid w:val="002B7101"/>
    <w:rsid w:val="002C09AE"/>
    <w:rsid w:val="002C127D"/>
    <w:rsid w:val="002C2404"/>
    <w:rsid w:val="002C2E8B"/>
    <w:rsid w:val="002C3281"/>
    <w:rsid w:val="002C4249"/>
    <w:rsid w:val="002C4C39"/>
    <w:rsid w:val="002C4D5D"/>
    <w:rsid w:val="002C542A"/>
    <w:rsid w:val="002C63A7"/>
    <w:rsid w:val="002C6DDA"/>
    <w:rsid w:val="002D083E"/>
    <w:rsid w:val="002D0C38"/>
    <w:rsid w:val="002D2EB1"/>
    <w:rsid w:val="002D4B85"/>
    <w:rsid w:val="002D5946"/>
    <w:rsid w:val="002D626B"/>
    <w:rsid w:val="002D79EF"/>
    <w:rsid w:val="002E001C"/>
    <w:rsid w:val="002E04C0"/>
    <w:rsid w:val="002E0CB8"/>
    <w:rsid w:val="002E11B2"/>
    <w:rsid w:val="002E12A6"/>
    <w:rsid w:val="002E4975"/>
    <w:rsid w:val="002E5A55"/>
    <w:rsid w:val="002E60A5"/>
    <w:rsid w:val="002E67B4"/>
    <w:rsid w:val="002F190C"/>
    <w:rsid w:val="002F2A1C"/>
    <w:rsid w:val="002F2E4E"/>
    <w:rsid w:val="002F2FCC"/>
    <w:rsid w:val="002F3A35"/>
    <w:rsid w:val="002F3E43"/>
    <w:rsid w:val="002F44D0"/>
    <w:rsid w:val="002F703A"/>
    <w:rsid w:val="002F7E9E"/>
    <w:rsid w:val="00301A5D"/>
    <w:rsid w:val="003031B8"/>
    <w:rsid w:val="00303E4E"/>
    <w:rsid w:val="0030456C"/>
    <w:rsid w:val="00304879"/>
    <w:rsid w:val="00304B50"/>
    <w:rsid w:val="00306A03"/>
    <w:rsid w:val="00307E73"/>
    <w:rsid w:val="003104D4"/>
    <w:rsid w:val="00311813"/>
    <w:rsid w:val="003122F4"/>
    <w:rsid w:val="00313D43"/>
    <w:rsid w:val="00314734"/>
    <w:rsid w:val="00315DE0"/>
    <w:rsid w:val="003161D1"/>
    <w:rsid w:val="0031694B"/>
    <w:rsid w:val="0031742C"/>
    <w:rsid w:val="003176A4"/>
    <w:rsid w:val="0031777E"/>
    <w:rsid w:val="00317F98"/>
    <w:rsid w:val="00317F9D"/>
    <w:rsid w:val="00323172"/>
    <w:rsid w:val="00323A4E"/>
    <w:rsid w:val="00324308"/>
    <w:rsid w:val="003247CB"/>
    <w:rsid w:val="00325537"/>
    <w:rsid w:val="0032664D"/>
    <w:rsid w:val="00327A32"/>
    <w:rsid w:val="00327C62"/>
    <w:rsid w:val="00331EA8"/>
    <w:rsid w:val="00332203"/>
    <w:rsid w:val="00333614"/>
    <w:rsid w:val="00334684"/>
    <w:rsid w:val="00334A76"/>
    <w:rsid w:val="00335410"/>
    <w:rsid w:val="00335AB4"/>
    <w:rsid w:val="00335AB7"/>
    <w:rsid w:val="003363DE"/>
    <w:rsid w:val="00337AC1"/>
    <w:rsid w:val="00340B33"/>
    <w:rsid w:val="00340E88"/>
    <w:rsid w:val="003412AE"/>
    <w:rsid w:val="00341937"/>
    <w:rsid w:val="00341A84"/>
    <w:rsid w:val="00342A40"/>
    <w:rsid w:val="00342CCC"/>
    <w:rsid w:val="003431E8"/>
    <w:rsid w:val="00343A9C"/>
    <w:rsid w:val="0034600B"/>
    <w:rsid w:val="003466D3"/>
    <w:rsid w:val="00347476"/>
    <w:rsid w:val="00347BE1"/>
    <w:rsid w:val="003500B4"/>
    <w:rsid w:val="00350203"/>
    <w:rsid w:val="00350E48"/>
    <w:rsid w:val="00351B11"/>
    <w:rsid w:val="00351BC4"/>
    <w:rsid w:val="00352003"/>
    <w:rsid w:val="00352533"/>
    <w:rsid w:val="0035267C"/>
    <w:rsid w:val="00353B4E"/>
    <w:rsid w:val="0035464E"/>
    <w:rsid w:val="00355648"/>
    <w:rsid w:val="00355A02"/>
    <w:rsid w:val="00356EF8"/>
    <w:rsid w:val="00357381"/>
    <w:rsid w:val="00357591"/>
    <w:rsid w:val="00361259"/>
    <w:rsid w:val="00361D43"/>
    <w:rsid w:val="003630B2"/>
    <w:rsid w:val="00363708"/>
    <w:rsid w:val="00363D76"/>
    <w:rsid w:val="003647C0"/>
    <w:rsid w:val="00364B40"/>
    <w:rsid w:val="003662AD"/>
    <w:rsid w:val="00366541"/>
    <w:rsid w:val="00366600"/>
    <w:rsid w:val="00366611"/>
    <w:rsid w:val="003668E5"/>
    <w:rsid w:val="00366C73"/>
    <w:rsid w:val="00367336"/>
    <w:rsid w:val="003677D9"/>
    <w:rsid w:val="00367A76"/>
    <w:rsid w:val="00370317"/>
    <w:rsid w:val="00371128"/>
    <w:rsid w:val="00371546"/>
    <w:rsid w:val="00372222"/>
    <w:rsid w:val="003728DE"/>
    <w:rsid w:val="00372AC5"/>
    <w:rsid w:val="00372EEA"/>
    <w:rsid w:val="00372F26"/>
    <w:rsid w:val="00373389"/>
    <w:rsid w:val="0037613B"/>
    <w:rsid w:val="0037675B"/>
    <w:rsid w:val="00376C2C"/>
    <w:rsid w:val="00381497"/>
    <w:rsid w:val="00382A2E"/>
    <w:rsid w:val="003841B8"/>
    <w:rsid w:val="003859B0"/>
    <w:rsid w:val="003867BD"/>
    <w:rsid w:val="00386884"/>
    <w:rsid w:val="003905B8"/>
    <w:rsid w:val="003905D9"/>
    <w:rsid w:val="00390635"/>
    <w:rsid w:val="00390A3B"/>
    <w:rsid w:val="00392769"/>
    <w:rsid w:val="00393558"/>
    <w:rsid w:val="00393AA1"/>
    <w:rsid w:val="00393E35"/>
    <w:rsid w:val="00395451"/>
    <w:rsid w:val="00396C8A"/>
    <w:rsid w:val="00396E1E"/>
    <w:rsid w:val="0039743E"/>
    <w:rsid w:val="00397BDD"/>
    <w:rsid w:val="003A18B6"/>
    <w:rsid w:val="003A2882"/>
    <w:rsid w:val="003A2F9F"/>
    <w:rsid w:val="003A3979"/>
    <w:rsid w:val="003A3EC6"/>
    <w:rsid w:val="003A3FBD"/>
    <w:rsid w:val="003A45FB"/>
    <w:rsid w:val="003A4DE7"/>
    <w:rsid w:val="003A4EAD"/>
    <w:rsid w:val="003A5569"/>
    <w:rsid w:val="003A5D82"/>
    <w:rsid w:val="003A5FFA"/>
    <w:rsid w:val="003A6325"/>
    <w:rsid w:val="003A6BFA"/>
    <w:rsid w:val="003A7D2C"/>
    <w:rsid w:val="003B0C11"/>
    <w:rsid w:val="003B2C03"/>
    <w:rsid w:val="003B3386"/>
    <w:rsid w:val="003B3626"/>
    <w:rsid w:val="003B404A"/>
    <w:rsid w:val="003B525D"/>
    <w:rsid w:val="003B52FF"/>
    <w:rsid w:val="003B6227"/>
    <w:rsid w:val="003B67BB"/>
    <w:rsid w:val="003B7A0F"/>
    <w:rsid w:val="003C0201"/>
    <w:rsid w:val="003C06F5"/>
    <w:rsid w:val="003C133A"/>
    <w:rsid w:val="003C3830"/>
    <w:rsid w:val="003C3C5B"/>
    <w:rsid w:val="003C4588"/>
    <w:rsid w:val="003C4607"/>
    <w:rsid w:val="003C4ECE"/>
    <w:rsid w:val="003C5346"/>
    <w:rsid w:val="003C5F3C"/>
    <w:rsid w:val="003C61AE"/>
    <w:rsid w:val="003C7C5E"/>
    <w:rsid w:val="003C7C8C"/>
    <w:rsid w:val="003C7D97"/>
    <w:rsid w:val="003D1CFC"/>
    <w:rsid w:val="003D2340"/>
    <w:rsid w:val="003D40D2"/>
    <w:rsid w:val="003D5574"/>
    <w:rsid w:val="003D56D3"/>
    <w:rsid w:val="003D5DC1"/>
    <w:rsid w:val="003D63A1"/>
    <w:rsid w:val="003D6DA5"/>
    <w:rsid w:val="003D70A5"/>
    <w:rsid w:val="003D70F0"/>
    <w:rsid w:val="003E0E1D"/>
    <w:rsid w:val="003E1D42"/>
    <w:rsid w:val="003E20F2"/>
    <w:rsid w:val="003E3CB5"/>
    <w:rsid w:val="003E3D13"/>
    <w:rsid w:val="003E43A7"/>
    <w:rsid w:val="003E57BA"/>
    <w:rsid w:val="003E70A2"/>
    <w:rsid w:val="003F05D3"/>
    <w:rsid w:val="003F0F4E"/>
    <w:rsid w:val="003F1480"/>
    <w:rsid w:val="003F212C"/>
    <w:rsid w:val="003F265D"/>
    <w:rsid w:val="003F32DE"/>
    <w:rsid w:val="003F3D2A"/>
    <w:rsid w:val="003F3F33"/>
    <w:rsid w:val="003F4E7A"/>
    <w:rsid w:val="003F72E9"/>
    <w:rsid w:val="0040179F"/>
    <w:rsid w:val="00401B38"/>
    <w:rsid w:val="00401CE5"/>
    <w:rsid w:val="004021E8"/>
    <w:rsid w:val="004023EE"/>
    <w:rsid w:val="00403D9A"/>
    <w:rsid w:val="004044BD"/>
    <w:rsid w:val="0040588B"/>
    <w:rsid w:val="0040660A"/>
    <w:rsid w:val="00406706"/>
    <w:rsid w:val="00406DBD"/>
    <w:rsid w:val="00407174"/>
    <w:rsid w:val="00407273"/>
    <w:rsid w:val="004075B0"/>
    <w:rsid w:val="00410B6C"/>
    <w:rsid w:val="0041205A"/>
    <w:rsid w:val="0041257D"/>
    <w:rsid w:val="004126EA"/>
    <w:rsid w:val="004138E7"/>
    <w:rsid w:val="00413B5E"/>
    <w:rsid w:val="004143C8"/>
    <w:rsid w:val="00415B5B"/>
    <w:rsid w:val="00416787"/>
    <w:rsid w:val="004168CD"/>
    <w:rsid w:val="004178C4"/>
    <w:rsid w:val="00417909"/>
    <w:rsid w:val="0042000E"/>
    <w:rsid w:val="004209BE"/>
    <w:rsid w:val="00420CE5"/>
    <w:rsid w:val="00421B63"/>
    <w:rsid w:val="004227E2"/>
    <w:rsid w:val="0042342C"/>
    <w:rsid w:val="004247DC"/>
    <w:rsid w:val="00424902"/>
    <w:rsid w:val="004261BF"/>
    <w:rsid w:val="00427EFE"/>
    <w:rsid w:val="004306D3"/>
    <w:rsid w:val="004315F1"/>
    <w:rsid w:val="00432214"/>
    <w:rsid w:val="00432EA2"/>
    <w:rsid w:val="00433EAC"/>
    <w:rsid w:val="004345B2"/>
    <w:rsid w:val="00435050"/>
    <w:rsid w:val="004353DE"/>
    <w:rsid w:val="00436D5B"/>
    <w:rsid w:val="00436DCF"/>
    <w:rsid w:val="00437252"/>
    <w:rsid w:val="0043763E"/>
    <w:rsid w:val="00437A63"/>
    <w:rsid w:val="00437F59"/>
    <w:rsid w:val="00440C76"/>
    <w:rsid w:val="00442122"/>
    <w:rsid w:val="0044228B"/>
    <w:rsid w:val="00443548"/>
    <w:rsid w:val="004439AE"/>
    <w:rsid w:val="004445A0"/>
    <w:rsid w:val="0044460D"/>
    <w:rsid w:val="00444AB9"/>
    <w:rsid w:val="00445741"/>
    <w:rsid w:val="00445877"/>
    <w:rsid w:val="00445E26"/>
    <w:rsid w:val="004468F0"/>
    <w:rsid w:val="004471A4"/>
    <w:rsid w:val="004507A4"/>
    <w:rsid w:val="00450B8D"/>
    <w:rsid w:val="004511D3"/>
    <w:rsid w:val="00451318"/>
    <w:rsid w:val="00453682"/>
    <w:rsid w:val="004539B6"/>
    <w:rsid w:val="00453B09"/>
    <w:rsid w:val="00455F04"/>
    <w:rsid w:val="004569D4"/>
    <w:rsid w:val="00457362"/>
    <w:rsid w:val="00460C32"/>
    <w:rsid w:val="00461022"/>
    <w:rsid w:val="004624EF"/>
    <w:rsid w:val="00462754"/>
    <w:rsid w:val="00462C15"/>
    <w:rsid w:val="00466B77"/>
    <w:rsid w:val="00466C7F"/>
    <w:rsid w:val="004674DD"/>
    <w:rsid w:val="004700F3"/>
    <w:rsid w:val="00471F05"/>
    <w:rsid w:val="00472604"/>
    <w:rsid w:val="00472702"/>
    <w:rsid w:val="00472AC0"/>
    <w:rsid w:val="00474035"/>
    <w:rsid w:val="00474E09"/>
    <w:rsid w:val="0047579C"/>
    <w:rsid w:val="00476715"/>
    <w:rsid w:val="00476734"/>
    <w:rsid w:val="00481011"/>
    <w:rsid w:val="00481119"/>
    <w:rsid w:val="004815CB"/>
    <w:rsid w:val="00482535"/>
    <w:rsid w:val="0048277D"/>
    <w:rsid w:val="00483988"/>
    <w:rsid w:val="00485351"/>
    <w:rsid w:val="00485B49"/>
    <w:rsid w:val="00485CB4"/>
    <w:rsid w:val="0048625A"/>
    <w:rsid w:val="00486FCC"/>
    <w:rsid w:val="004870CA"/>
    <w:rsid w:val="004872E1"/>
    <w:rsid w:val="00487475"/>
    <w:rsid w:val="00487792"/>
    <w:rsid w:val="0049015E"/>
    <w:rsid w:val="00490464"/>
    <w:rsid w:val="004909CB"/>
    <w:rsid w:val="00492E2D"/>
    <w:rsid w:val="00493E8B"/>
    <w:rsid w:val="004940A8"/>
    <w:rsid w:val="00494DC0"/>
    <w:rsid w:val="00494E8C"/>
    <w:rsid w:val="00494FDC"/>
    <w:rsid w:val="00495A69"/>
    <w:rsid w:val="00496651"/>
    <w:rsid w:val="00497147"/>
    <w:rsid w:val="00497D90"/>
    <w:rsid w:val="004A0C64"/>
    <w:rsid w:val="004A151F"/>
    <w:rsid w:val="004A19B1"/>
    <w:rsid w:val="004A19EA"/>
    <w:rsid w:val="004A1DED"/>
    <w:rsid w:val="004A2B05"/>
    <w:rsid w:val="004A2DA5"/>
    <w:rsid w:val="004A3FA0"/>
    <w:rsid w:val="004A582B"/>
    <w:rsid w:val="004A69FB"/>
    <w:rsid w:val="004A6BDC"/>
    <w:rsid w:val="004A778F"/>
    <w:rsid w:val="004A7E77"/>
    <w:rsid w:val="004B0412"/>
    <w:rsid w:val="004B2294"/>
    <w:rsid w:val="004B41DA"/>
    <w:rsid w:val="004B6074"/>
    <w:rsid w:val="004B6A8C"/>
    <w:rsid w:val="004B7DD5"/>
    <w:rsid w:val="004C00D9"/>
    <w:rsid w:val="004C043B"/>
    <w:rsid w:val="004C0E9C"/>
    <w:rsid w:val="004C259E"/>
    <w:rsid w:val="004C2A8C"/>
    <w:rsid w:val="004C2B96"/>
    <w:rsid w:val="004C2E3E"/>
    <w:rsid w:val="004C3534"/>
    <w:rsid w:val="004C44DA"/>
    <w:rsid w:val="004C5336"/>
    <w:rsid w:val="004C5428"/>
    <w:rsid w:val="004C613F"/>
    <w:rsid w:val="004C68AB"/>
    <w:rsid w:val="004C7A64"/>
    <w:rsid w:val="004C7CDB"/>
    <w:rsid w:val="004C7F30"/>
    <w:rsid w:val="004D036C"/>
    <w:rsid w:val="004D0938"/>
    <w:rsid w:val="004D0AE5"/>
    <w:rsid w:val="004D1641"/>
    <w:rsid w:val="004D1CEF"/>
    <w:rsid w:val="004D2810"/>
    <w:rsid w:val="004D2EDA"/>
    <w:rsid w:val="004D3123"/>
    <w:rsid w:val="004D3342"/>
    <w:rsid w:val="004D3474"/>
    <w:rsid w:val="004D3599"/>
    <w:rsid w:val="004D4039"/>
    <w:rsid w:val="004D43F4"/>
    <w:rsid w:val="004D4BD0"/>
    <w:rsid w:val="004D4BF7"/>
    <w:rsid w:val="004D5F38"/>
    <w:rsid w:val="004D657D"/>
    <w:rsid w:val="004D6FE1"/>
    <w:rsid w:val="004D78F5"/>
    <w:rsid w:val="004E01BB"/>
    <w:rsid w:val="004E13F6"/>
    <w:rsid w:val="004E15E0"/>
    <w:rsid w:val="004E2049"/>
    <w:rsid w:val="004E2FA6"/>
    <w:rsid w:val="004E322B"/>
    <w:rsid w:val="004E600C"/>
    <w:rsid w:val="004E68FD"/>
    <w:rsid w:val="004E73B2"/>
    <w:rsid w:val="004F0524"/>
    <w:rsid w:val="004F06B5"/>
    <w:rsid w:val="004F0979"/>
    <w:rsid w:val="004F1C82"/>
    <w:rsid w:val="004F28C3"/>
    <w:rsid w:val="004F2AF2"/>
    <w:rsid w:val="004F4766"/>
    <w:rsid w:val="004F4AB5"/>
    <w:rsid w:val="004F65C1"/>
    <w:rsid w:val="004F70DD"/>
    <w:rsid w:val="004F71E1"/>
    <w:rsid w:val="004F7BBE"/>
    <w:rsid w:val="005000F3"/>
    <w:rsid w:val="005002DC"/>
    <w:rsid w:val="005007A3"/>
    <w:rsid w:val="00500A35"/>
    <w:rsid w:val="00502647"/>
    <w:rsid w:val="00502A48"/>
    <w:rsid w:val="00502AA5"/>
    <w:rsid w:val="00502B66"/>
    <w:rsid w:val="00503790"/>
    <w:rsid w:val="00504787"/>
    <w:rsid w:val="00504C70"/>
    <w:rsid w:val="00505F7B"/>
    <w:rsid w:val="00506E03"/>
    <w:rsid w:val="00506EA2"/>
    <w:rsid w:val="005072FF"/>
    <w:rsid w:val="00507AD3"/>
    <w:rsid w:val="00510B41"/>
    <w:rsid w:val="00510BFA"/>
    <w:rsid w:val="00510E93"/>
    <w:rsid w:val="0051194A"/>
    <w:rsid w:val="00511F80"/>
    <w:rsid w:val="00513766"/>
    <w:rsid w:val="00513832"/>
    <w:rsid w:val="00514D50"/>
    <w:rsid w:val="0051531D"/>
    <w:rsid w:val="00515A81"/>
    <w:rsid w:val="0051602F"/>
    <w:rsid w:val="005167BD"/>
    <w:rsid w:val="005167BF"/>
    <w:rsid w:val="00516F80"/>
    <w:rsid w:val="00517426"/>
    <w:rsid w:val="005174B6"/>
    <w:rsid w:val="00520D0C"/>
    <w:rsid w:val="00520D90"/>
    <w:rsid w:val="00521356"/>
    <w:rsid w:val="00521CC2"/>
    <w:rsid w:val="00522A02"/>
    <w:rsid w:val="00522C78"/>
    <w:rsid w:val="00522EEA"/>
    <w:rsid w:val="0052327D"/>
    <w:rsid w:val="0052378E"/>
    <w:rsid w:val="005257E3"/>
    <w:rsid w:val="00525CB1"/>
    <w:rsid w:val="0052782C"/>
    <w:rsid w:val="00530160"/>
    <w:rsid w:val="005303E5"/>
    <w:rsid w:val="00533DDF"/>
    <w:rsid w:val="005346F8"/>
    <w:rsid w:val="00535D1E"/>
    <w:rsid w:val="0053673D"/>
    <w:rsid w:val="00537C3E"/>
    <w:rsid w:val="00537F19"/>
    <w:rsid w:val="00537F4B"/>
    <w:rsid w:val="0054025C"/>
    <w:rsid w:val="0054026F"/>
    <w:rsid w:val="005404DC"/>
    <w:rsid w:val="00540ACA"/>
    <w:rsid w:val="0054229A"/>
    <w:rsid w:val="0054246A"/>
    <w:rsid w:val="00542A2B"/>
    <w:rsid w:val="0054314E"/>
    <w:rsid w:val="00543615"/>
    <w:rsid w:val="00544329"/>
    <w:rsid w:val="00545EC0"/>
    <w:rsid w:val="0054656F"/>
    <w:rsid w:val="00550C0A"/>
    <w:rsid w:val="0055109C"/>
    <w:rsid w:val="00551888"/>
    <w:rsid w:val="005520C4"/>
    <w:rsid w:val="00552E05"/>
    <w:rsid w:val="005536B7"/>
    <w:rsid w:val="005538DF"/>
    <w:rsid w:val="00553F61"/>
    <w:rsid w:val="00553FAF"/>
    <w:rsid w:val="0055457B"/>
    <w:rsid w:val="005551F7"/>
    <w:rsid w:val="0055576C"/>
    <w:rsid w:val="0055587E"/>
    <w:rsid w:val="005565B2"/>
    <w:rsid w:val="0055776C"/>
    <w:rsid w:val="00560BC5"/>
    <w:rsid w:val="00560BDE"/>
    <w:rsid w:val="00562302"/>
    <w:rsid w:val="00563198"/>
    <w:rsid w:val="00563970"/>
    <w:rsid w:val="0056496B"/>
    <w:rsid w:val="00565532"/>
    <w:rsid w:val="0056651D"/>
    <w:rsid w:val="00567AB6"/>
    <w:rsid w:val="00567E32"/>
    <w:rsid w:val="005709D6"/>
    <w:rsid w:val="00571518"/>
    <w:rsid w:val="0057253F"/>
    <w:rsid w:val="005728DF"/>
    <w:rsid w:val="0057295B"/>
    <w:rsid w:val="00572C08"/>
    <w:rsid w:val="005734D0"/>
    <w:rsid w:val="005738F5"/>
    <w:rsid w:val="00573AF2"/>
    <w:rsid w:val="0057495B"/>
    <w:rsid w:val="00575288"/>
    <w:rsid w:val="00575808"/>
    <w:rsid w:val="00575B66"/>
    <w:rsid w:val="00575F5C"/>
    <w:rsid w:val="0057623C"/>
    <w:rsid w:val="00576FA6"/>
    <w:rsid w:val="00580CCF"/>
    <w:rsid w:val="00581CEA"/>
    <w:rsid w:val="00581F8A"/>
    <w:rsid w:val="005822AE"/>
    <w:rsid w:val="00582637"/>
    <w:rsid w:val="005826F0"/>
    <w:rsid w:val="00583EF8"/>
    <w:rsid w:val="00584059"/>
    <w:rsid w:val="00586202"/>
    <w:rsid w:val="00587208"/>
    <w:rsid w:val="00587C9B"/>
    <w:rsid w:val="0059073C"/>
    <w:rsid w:val="00590976"/>
    <w:rsid w:val="00590E36"/>
    <w:rsid w:val="00591EED"/>
    <w:rsid w:val="00592E13"/>
    <w:rsid w:val="00593428"/>
    <w:rsid w:val="005945F5"/>
    <w:rsid w:val="0059464F"/>
    <w:rsid w:val="00594691"/>
    <w:rsid w:val="00596361"/>
    <w:rsid w:val="00597134"/>
    <w:rsid w:val="005A119E"/>
    <w:rsid w:val="005A1C45"/>
    <w:rsid w:val="005A1C68"/>
    <w:rsid w:val="005A2351"/>
    <w:rsid w:val="005A276B"/>
    <w:rsid w:val="005A3A77"/>
    <w:rsid w:val="005A4B29"/>
    <w:rsid w:val="005A6988"/>
    <w:rsid w:val="005A7BDB"/>
    <w:rsid w:val="005B2165"/>
    <w:rsid w:val="005B2306"/>
    <w:rsid w:val="005B32AD"/>
    <w:rsid w:val="005B344C"/>
    <w:rsid w:val="005B41B2"/>
    <w:rsid w:val="005B4CE5"/>
    <w:rsid w:val="005B4FB5"/>
    <w:rsid w:val="005B60D6"/>
    <w:rsid w:val="005B78DD"/>
    <w:rsid w:val="005C0D5D"/>
    <w:rsid w:val="005C2399"/>
    <w:rsid w:val="005C28AE"/>
    <w:rsid w:val="005C2C27"/>
    <w:rsid w:val="005C375F"/>
    <w:rsid w:val="005C45C4"/>
    <w:rsid w:val="005C4ADF"/>
    <w:rsid w:val="005C5A1E"/>
    <w:rsid w:val="005C5F67"/>
    <w:rsid w:val="005C7752"/>
    <w:rsid w:val="005D03BC"/>
    <w:rsid w:val="005D040A"/>
    <w:rsid w:val="005D0743"/>
    <w:rsid w:val="005D07BA"/>
    <w:rsid w:val="005D0D55"/>
    <w:rsid w:val="005D11FF"/>
    <w:rsid w:val="005D1DBB"/>
    <w:rsid w:val="005D1EFC"/>
    <w:rsid w:val="005D23B2"/>
    <w:rsid w:val="005D35C8"/>
    <w:rsid w:val="005D6706"/>
    <w:rsid w:val="005D6F31"/>
    <w:rsid w:val="005D7F02"/>
    <w:rsid w:val="005E028A"/>
    <w:rsid w:val="005E0363"/>
    <w:rsid w:val="005E0595"/>
    <w:rsid w:val="005E0E2D"/>
    <w:rsid w:val="005E2FDF"/>
    <w:rsid w:val="005E410C"/>
    <w:rsid w:val="005E49F9"/>
    <w:rsid w:val="005E5A44"/>
    <w:rsid w:val="005E5B1E"/>
    <w:rsid w:val="005E699F"/>
    <w:rsid w:val="005F03B3"/>
    <w:rsid w:val="005F0B40"/>
    <w:rsid w:val="005F0D8C"/>
    <w:rsid w:val="005F2DC7"/>
    <w:rsid w:val="005F375F"/>
    <w:rsid w:val="005F5151"/>
    <w:rsid w:val="005F54ED"/>
    <w:rsid w:val="005F6303"/>
    <w:rsid w:val="005F644D"/>
    <w:rsid w:val="00601F00"/>
    <w:rsid w:val="006026C8"/>
    <w:rsid w:val="006031D8"/>
    <w:rsid w:val="006033B2"/>
    <w:rsid w:val="0060396B"/>
    <w:rsid w:val="00604A28"/>
    <w:rsid w:val="00604BB9"/>
    <w:rsid w:val="00604F98"/>
    <w:rsid w:val="00605980"/>
    <w:rsid w:val="00606AFE"/>
    <w:rsid w:val="00607EFE"/>
    <w:rsid w:val="006104C9"/>
    <w:rsid w:val="00611726"/>
    <w:rsid w:val="00611ACA"/>
    <w:rsid w:val="00611C0F"/>
    <w:rsid w:val="00611C82"/>
    <w:rsid w:val="00611D2C"/>
    <w:rsid w:val="0061246C"/>
    <w:rsid w:val="00612547"/>
    <w:rsid w:val="00613CB2"/>
    <w:rsid w:val="00614C2E"/>
    <w:rsid w:val="0061507B"/>
    <w:rsid w:val="00615215"/>
    <w:rsid w:val="006157D2"/>
    <w:rsid w:val="00615844"/>
    <w:rsid w:val="00615BE1"/>
    <w:rsid w:val="00615CC8"/>
    <w:rsid w:val="0061659C"/>
    <w:rsid w:val="006166DD"/>
    <w:rsid w:val="00616BF0"/>
    <w:rsid w:val="00617138"/>
    <w:rsid w:val="00617285"/>
    <w:rsid w:val="00617833"/>
    <w:rsid w:val="00620175"/>
    <w:rsid w:val="006204EC"/>
    <w:rsid w:val="006207AD"/>
    <w:rsid w:val="00620C8F"/>
    <w:rsid w:val="0062121B"/>
    <w:rsid w:val="006222A9"/>
    <w:rsid w:val="00625304"/>
    <w:rsid w:val="00625461"/>
    <w:rsid w:val="00625599"/>
    <w:rsid w:val="006259C5"/>
    <w:rsid w:val="00625CE5"/>
    <w:rsid w:val="00625D36"/>
    <w:rsid w:val="00625DB6"/>
    <w:rsid w:val="0062695B"/>
    <w:rsid w:val="00626988"/>
    <w:rsid w:val="00627286"/>
    <w:rsid w:val="00627539"/>
    <w:rsid w:val="00627799"/>
    <w:rsid w:val="00627979"/>
    <w:rsid w:val="00627E31"/>
    <w:rsid w:val="00630022"/>
    <w:rsid w:val="00630505"/>
    <w:rsid w:val="00630A1C"/>
    <w:rsid w:val="00630B56"/>
    <w:rsid w:val="0063112F"/>
    <w:rsid w:val="00631B3F"/>
    <w:rsid w:val="006320C5"/>
    <w:rsid w:val="006324EE"/>
    <w:rsid w:val="00632B36"/>
    <w:rsid w:val="00632CD7"/>
    <w:rsid w:val="00634A51"/>
    <w:rsid w:val="00634BDF"/>
    <w:rsid w:val="00635A85"/>
    <w:rsid w:val="00635ACB"/>
    <w:rsid w:val="00637666"/>
    <w:rsid w:val="0063783E"/>
    <w:rsid w:val="00640214"/>
    <w:rsid w:val="006404E0"/>
    <w:rsid w:val="00640536"/>
    <w:rsid w:val="00640A1A"/>
    <w:rsid w:val="00640EB5"/>
    <w:rsid w:val="00641A64"/>
    <w:rsid w:val="0064584D"/>
    <w:rsid w:val="0064703E"/>
    <w:rsid w:val="006470D4"/>
    <w:rsid w:val="0065025C"/>
    <w:rsid w:val="0065031A"/>
    <w:rsid w:val="0065060F"/>
    <w:rsid w:val="00651D1F"/>
    <w:rsid w:val="00653240"/>
    <w:rsid w:val="00653C19"/>
    <w:rsid w:val="00653E31"/>
    <w:rsid w:val="00655311"/>
    <w:rsid w:val="00655459"/>
    <w:rsid w:val="00655711"/>
    <w:rsid w:val="0065595A"/>
    <w:rsid w:val="006621AE"/>
    <w:rsid w:val="0066226D"/>
    <w:rsid w:val="00662B65"/>
    <w:rsid w:val="00663EA3"/>
    <w:rsid w:val="006645DB"/>
    <w:rsid w:val="006646DE"/>
    <w:rsid w:val="00664FE2"/>
    <w:rsid w:val="0066570B"/>
    <w:rsid w:val="006658D0"/>
    <w:rsid w:val="0067030D"/>
    <w:rsid w:val="00670A9D"/>
    <w:rsid w:val="00671294"/>
    <w:rsid w:val="00671780"/>
    <w:rsid w:val="006733A3"/>
    <w:rsid w:val="00673D15"/>
    <w:rsid w:val="00673E1E"/>
    <w:rsid w:val="00675B63"/>
    <w:rsid w:val="006801A6"/>
    <w:rsid w:val="006809BC"/>
    <w:rsid w:val="00681399"/>
    <w:rsid w:val="006835AD"/>
    <w:rsid w:val="006848D1"/>
    <w:rsid w:val="00685DAF"/>
    <w:rsid w:val="00686E30"/>
    <w:rsid w:val="006900E6"/>
    <w:rsid w:val="006913BC"/>
    <w:rsid w:val="0069159A"/>
    <w:rsid w:val="00691853"/>
    <w:rsid w:val="00692928"/>
    <w:rsid w:val="0069298F"/>
    <w:rsid w:val="00692E70"/>
    <w:rsid w:val="00693483"/>
    <w:rsid w:val="00693578"/>
    <w:rsid w:val="0069458A"/>
    <w:rsid w:val="006977A1"/>
    <w:rsid w:val="006A0121"/>
    <w:rsid w:val="006A0C55"/>
    <w:rsid w:val="006A1B9B"/>
    <w:rsid w:val="006A1E3B"/>
    <w:rsid w:val="006A274E"/>
    <w:rsid w:val="006A2A7B"/>
    <w:rsid w:val="006A47CD"/>
    <w:rsid w:val="006A500A"/>
    <w:rsid w:val="006A74AF"/>
    <w:rsid w:val="006A7BDE"/>
    <w:rsid w:val="006A7E2C"/>
    <w:rsid w:val="006B0F75"/>
    <w:rsid w:val="006B1F5C"/>
    <w:rsid w:val="006B20ED"/>
    <w:rsid w:val="006B212C"/>
    <w:rsid w:val="006B2562"/>
    <w:rsid w:val="006B35D0"/>
    <w:rsid w:val="006B362D"/>
    <w:rsid w:val="006B374D"/>
    <w:rsid w:val="006B47C1"/>
    <w:rsid w:val="006B4CEA"/>
    <w:rsid w:val="006B4EBD"/>
    <w:rsid w:val="006B5649"/>
    <w:rsid w:val="006B6478"/>
    <w:rsid w:val="006B6AA0"/>
    <w:rsid w:val="006B7879"/>
    <w:rsid w:val="006C00AE"/>
    <w:rsid w:val="006C09EC"/>
    <w:rsid w:val="006C0DEA"/>
    <w:rsid w:val="006C276C"/>
    <w:rsid w:val="006C34BA"/>
    <w:rsid w:val="006C37B4"/>
    <w:rsid w:val="006C40E5"/>
    <w:rsid w:val="006C4F5A"/>
    <w:rsid w:val="006C6007"/>
    <w:rsid w:val="006C79D9"/>
    <w:rsid w:val="006D027E"/>
    <w:rsid w:val="006D2653"/>
    <w:rsid w:val="006D429F"/>
    <w:rsid w:val="006D4B50"/>
    <w:rsid w:val="006D4EB6"/>
    <w:rsid w:val="006D65A2"/>
    <w:rsid w:val="006D7157"/>
    <w:rsid w:val="006D7263"/>
    <w:rsid w:val="006D7B8C"/>
    <w:rsid w:val="006E0548"/>
    <w:rsid w:val="006E1369"/>
    <w:rsid w:val="006E1B79"/>
    <w:rsid w:val="006E2F5E"/>
    <w:rsid w:val="006E3CB5"/>
    <w:rsid w:val="006E4F79"/>
    <w:rsid w:val="006E500A"/>
    <w:rsid w:val="006E5B85"/>
    <w:rsid w:val="006F1263"/>
    <w:rsid w:val="006F18FA"/>
    <w:rsid w:val="006F317C"/>
    <w:rsid w:val="006F5B5E"/>
    <w:rsid w:val="006F6276"/>
    <w:rsid w:val="007000D8"/>
    <w:rsid w:val="007005E8"/>
    <w:rsid w:val="00701DD0"/>
    <w:rsid w:val="00702141"/>
    <w:rsid w:val="00702984"/>
    <w:rsid w:val="00703D22"/>
    <w:rsid w:val="00703F1A"/>
    <w:rsid w:val="007043C3"/>
    <w:rsid w:val="007048F2"/>
    <w:rsid w:val="00705D93"/>
    <w:rsid w:val="00706647"/>
    <w:rsid w:val="00706B2D"/>
    <w:rsid w:val="00706EBE"/>
    <w:rsid w:val="007072A5"/>
    <w:rsid w:val="00710B3E"/>
    <w:rsid w:val="00712003"/>
    <w:rsid w:val="00712055"/>
    <w:rsid w:val="00713E58"/>
    <w:rsid w:val="0071437B"/>
    <w:rsid w:val="007149B1"/>
    <w:rsid w:val="00714B9B"/>
    <w:rsid w:val="007155F5"/>
    <w:rsid w:val="00715C5B"/>
    <w:rsid w:val="007171B1"/>
    <w:rsid w:val="007207B8"/>
    <w:rsid w:val="00720C99"/>
    <w:rsid w:val="00721C96"/>
    <w:rsid w:val="00722524"/>
    <w:rsid w:val="00722ADE"/>
    <w:rsid w:val="00722CCB"/>
    <w:rsid w:val="007235C6"/>
    <w:rsid w:val="00723B8B"/>
    <w:rsid w:val="00723E7C"/>
    <w:rsid w:val="007253DE"/>
    <w:rsid w:val="00726C98"/>
    <w:rsid w:val="00727089"/>
    <w:rsid w:val="00730614"/>
    <w:rsid w:val="00730D46"/>
    <w:rsid w:val="00731203"/>
    <w:rsid w:val="00731D0A"/>
    <w:rsid w:val="007322FA"/>
    <w:rsid w:val="0073296E"/>
    <w:rsid w:val="0073517B"/>
    <w:rsid w:val="007351A9"/>
    <w:rsid w:val="00735290"/>
    <w:rsid w:val="00736EB8"/>
    <w:rsid w:val="007401F3"/>
    <w:rsid w:val="0074044C"/>
    <w:rsid w:val="007415E0"/>
    <w:rsid w:val="0074233C"/>
    <w:rsid w:val="00743113"/>
    <w:rsid w:val="007437B4"/>
    <w:rsid w:val="00743D0B"/>
    <w:rsid w:val="00744848"/>
    <w:rsid w:val="00744F3E"/>
    <w:rsid w:val="0074514D"/>
    <w:rsid w:val="0074793E"/>
    <w:rsid w:val="0075064D"/>
    <w:rsid w:val="00750C86"/>
    <w:rsid w:val="00750C97"/>
    <w:rsid w:val="00751BA0"/>
    <w:rsid w:val="00752998"/>
    <w:rsid w:val="00752A68"/>
    <w:rsid w:val="007548E9"/>
    <w:rsid w:val="00754B97"/>
    <w:rsid w:val="00754DC8"/>
    <w:rsid w:val="00756151"/>
    <w:rsid w:val="00756D2C"/>
    <w:rsid w:val="0075730A"/>
    <w:rsid w:val="007602C1"/>
    <w:rsid w:val="007604E2"/>
    <w:rsid w:val="007608D0"/>
    <w:rsid w:val="007608E2"/>
    <w:rsid w:val="0076195F"/>
    <w:rsid w:val="007636B5"/>
    <w:rsid w:val="00763C16"/>
    <w:rsid w:val="00764515"/>
    <w:rsid w:val="00764B14"/>
    <w:rsid w:val="007653EA"/>
    <w:rsid w:val="007665FF"/>
    <w:rsid w:val="007675EA"/>
    <w:rsid w:val="00767A83"/>
    <w:rsid w:val="0077011A"/>
    <w:rsid w:val="007718F3"/>
    <w:rsid w:val="00771FCB"/>
    <w:rsid w:val="007722A4"/>
    <w:rsid w:val="0077317D"/>
    <w:rsid w:val="0077329A"/>
    <w:rsid w:val="007738F0"/>
    <w:rsid w:val="00773A40"/>
    <w:rsid w:val="00773BBF"/>
    <w:rsid w:val="00774569"/>
    <w:rsid w:val="007745D4"/>
    <w:rsid w:val="007752A4"/>
    <w:rsid w:val="00775603"/>
    <w:rsid w:val="00775C74"/>
    <w:rsid w:val="00776C3B"/>
    <w:rsid w:val="00776F90"/>
    <w:rsid w:val="007804BE"/>
    <w:rsid w:val="007807AE"/>
    <w:rsid w:val="00780A30"/>
    <w:rsid w:val="00780DCB"/>
    <w:rsid w:val="0078119E"/>
    <w:rsid w:val="00781913"/>
    <w:rsid w:val="00782CC2"/>
    <w:rsid w:val="00783D48"/>
    <w:rsid w:val="00784672"/>
    <w:rsid w:val="00785217"/>
    <w:rsid w:val="00785248"/>
    <w:rsid w:val="00785D4E"/>
    <w:rsid w:val="0078626E"/>
    <w:rsid w:val="00786958"/>
    <w:rsid w:val="00786CC2"/>
    <w:rsid w:val="00786DEC"/>
    <w:rsid w:val="007872A6"/>
    <w:rsid w:val="007873CC"/>
    <w:rsid w:val="00787E23"/>
    <w:rsid w:val="007901C1"/>
    <w:rsid w:val="00790525"/>
    <w:rsid w:val="00791254"/>
    <w:rsid w:val="0079129F"/>
    <w:rsid w:val="00791987"/>
    <w:rsid w:val="00791CCA"/>
    <w:rsid w:val="007922D7"/>
    <w:rsid w:val="00793260"/>
    <w:rsid w:val="00793307"/>
    <w:rsid w:val="00793E3E"/>
    <w:rsid w:val="00794F09"/>
    <w:rsid w:val="00795F06"/>
    <w:rsid w:val="00796403"/>
    <w:rsid w:val="007966E2"/>
    <w:rsid w:val="00796898"/>
    <w:rsid w:val="00797993"/>
    <w:rsid w:val="0079799E"/>
    <w:rsid w:val="007A0193"/>
    <w:rsid w:val="007A0269"/>
    <w:rsid w:val="007A0939"/>
    <w:rsid w:val="007A0BB2"/>
    <w:rsid w:val="007A2A9B"/>
    <w:rsid w:val="007A3552"/>
    <w:rsid w:val="007A3720"/>
    <w:rsid w:val="007A3B6B"/>
    <w:rsid w:val="007A3EFC"/>
    <w:rsid w:val="007A56B5"/>
    <w:rsid w:val="007A5746"/>
    <w:rsid w:val="007A5C79"/>
    <w:rsid w:val="007B04B5"/>
    <w:rsid w:val="007B0F9C"/>
    <w:rsid w:val="007B1C11"/>
    <w:rsid w:val="007B1C49"/>
    <w:rsid w:val="007B4939"/>
    <w:rsid w:val="007B4AFE"/>
    <w:rsid w:val="007B4B4A"/>
    <w:rsid w:val="007B5EB0"/>
    <w:rsid w:val="007B654A"/>
    <w:rsid w:val="007B733A"/>
    <w:rsid w:val="007C01E1"/>
    <w:rsid w:val="007C07BC"/>
    <w:rsid w:val="007C0970"/>
    <w:rsid w:val="007C211C"/>
    <w:rsid w:val="007C2201"/>
    <w:rsid w:val="007C2AC6"/>
    <w:rsid w:val="007C2C3D"/>
    <w:rsid w:val="007C475E"/>
    <w:rsid w:val="007C559D"/>
    <w:rsid w:val="007C5C21"/>
    <w:rsid w:val="007C60FB"/>
    <w:rsid w:val="007C6265"/>
    <w:rsid w:val="007C642A"/>
    <w:rsid w:val="007C6666"/>
    <w:rsid w:val="007C668D"/>
    <w:rsid w:val="007C6E05"/>
    <w:rsid w:val="007C6EE6"/>
    <w:rsid w:val="007D06C1"/>
    <w:rsid w:val="007D08AB"/>
    <w:rsid w:val="007D1E03"/>
    <w:rsid w:val="007D28C8"/>
    <w:rsid w:val="007D5BEE"/>
    <w:rsid w:val="007D6747"/>
    <w:rsid w:val="007D6748"/>
    <w:rsid w:val="007D6F34"/>
    <w:rsid w:val="007D74C4"/>
    <w:rsid w:val="007E01DE"/>
    <w:rsid w:val="007E09A2"/>
    <w:rsid w:val="007E0CB5"/>
    <w:rsid w:val="007E0EDE"/>
    <w:rsid w:val="007E15D9"/>
    <w:rsid w:val="007E1E42"/>
    <w:rsid w:val="007E2A2E"/>
    <w:rsid w:val="007E2D69"/>
    <w:rsid w:val="007E33F4"/>
    <w:rsid w:val="007E3C39"/>
    <w:rsid w:val="007E3D94"/>
    <w:rsid w:val="007E3E11"/>
    <w:rsid w:val="007E5242"/>
    <w:rsid w:val="007E5A8C"/>
    <w:rsid w:val="007E5C29"/>
    <w:rsid w:val="007E6604"/>
    <w:rsid w:val="007E6DC0"/>
    <w:rsid w:val="007E7D04"/>
    <w:rsid w:val="007F00D8"/>
    <w:rsid w:val="007F033A"/>
    <w:rsid w:val="007F0B7A"/>
    <w:rsid w:val="007F1FF4"/>
    <w:rsid w:val="007F2AD3"/>
    <w:rsid w:val="007F4594"/>
    <w:rsid w:val="007F494D"/>
    <w:rsid w:val="007F53BB"/>
    <w:rsid w:val="007F6B28"/>
    <w:rsid w:val="00800A6A"/>
    <w:rsid w:val="00800B01"/>
    <w:rsid w:val="00801570"/>
    <w:rsid w:val="00802054"/>
    <w:rsid w:val="008020DF"/>
    <w:rsid w:val="0080250D"/>
    <w:rsid w:val="00803715"/>
    <w:rsid w:val="0080595D"/>
    <w:rsid w:val="00805A72"/>
    <w:rsid w:val="00805B59"/>
    <w:rsid w:val="00805FCE"/>
    <w:rsid w:val="00806997"/>
    <w:rsid w:val="0080746B"/>
    <w:rsid w:val="0081019B"/>
    <w:rsid w:val="008107C4"/>
    <w:rsid w:val="0081174D"/>
    <w:rsid w:val="00811F2A"/>
    <w:rsid w:val="00812567"/>
    <w:rsid w:val="0081478C"/>
    <w:rsid w:val="00815B15"/>
    <w:rsid w:val="00815EC0"/>
    <w:rsid w:val="00816927"/>
    <w:rsid w:val="008169F2"/>
    <w:rsid w:val="00816BDC"/>
    <w:rsid w:val="008205B5"/>
    <w:rsid w:val="00821410"/>
    <w:rsid w:val="008215C4"/>
    <w:rsid w:val="00822904"/>
    <w:rsid w:val="008233B1"/>
    <w:rsid w:val="00823E97"/>
    <w:rsid w:val="0082410A"/>
    <w:rsid w:val="00824472"/>
    <w:rsid w:val="00825839"/>
    <w:rsid w:val="00825918"/>
    <w:rsid w:val="00826BD6"/>
    <w:rsid w:val="008278F5"/>
    <w:rsid w:val="00831555"/>
    <w:rsid w:val="00831B98"/>
    <w:rsid w:val="00831DDE"/>
    <w:rsid w:val="00832603"/>
    <w:rsid w:val="00833D61"/>
    <w:rsid w:val="00833E9E"/>
    <w:rsid w:val="00833EBE"/>
    <w:rsid w:val="008354AC"/>
    <w:rsid w:val="008356BD"/>
    <w:rsid w:val="00835ED3"/>
    <w:rsid w:val="00836140"/>
    <w:rsid w:val="00836433"/>
    <w:rsid w:val="008365D6"/>
    <w:rsid w:val="00836E30"/>
    <w:rsid w:val="00836E7A"/>
    <w:rsid w:val="00836F7B"/>
    <w:rsid w:val="00837696"/>
    <w:rsid w:val="00837C1E"/>
    <w:rsid w:val="00840721"/>
    <w:rsid w:val="008414FA"/>
    <w:rsid w:val="008420F8"/>
    <w:rsid w:val="008430B9"/>
    <w:rsid w:val="00843417"/>
    <w:rsid w:val="0084387F"/>
    <w:rsid w:val="008441DF"/>
    <w:rsid w:val="00844606"/>
    <w:rsid w:val="0084567C"/>
    <w:rsid w:val="00846DEC"/>
    <w:rsid w:val="00852498"/>
    <w:rsid w:val="00852D80"/>
    <w:rsid w:val="00852E80"/>
    <w:rsid w:val="0085372B"/>
    <w:rsid w:val="008538DC"/>
    <w:rsid w:val="00853DFB"/>
    <w:rsid w:val="008546CF"/>
    <w:rsid w:val="008548F6"/>
    <w:rsid w:val="0085532F"/>
    <w:rsid w:val="00856346"/>
    <w:rsid w:val="008567E4"/>
    <w:rsid w:val="00857011"/>
    <w:rsid w:val="00857DE6"/>
    <w:rsid w:val="008605E1"/>
    <w:rsid w:val="00862EE2"/>
    <w:rsid w:val="008638D9"/>
    <w:rsid w:val="008645F6"/>
    <w:rsid w:val="0086496E"/>
    <w:rsid w:val="00864B56"/>
    <w:rsid w:val="008655D0"/>
    <w:rsid w:val="00865C2B"/>
    <w:rsid w:val="00865ECA"/>
    <w:rsid w:val="0086750A"/>
    <w:rsid w:val="008678B9"/>
    <w:rsid w:val="00867A7D"/>
    <w:rsid w:val="0087026A"/>
    <w:rsid w:val="00870B16"/>
    <w:rsid w:val="00871E4F"/>
    <w:rsid w:val="00872222"/>
    <w:rsid w:val="0087247F"/>
    <w:rsid w:val="00874E76"/>
    <w:rsid w:val="0087549C"/>
    <w:rsid w:val="00876A1A"/>
    <w:rsid w:val="008771BD"/>
    <w:rsid w:val="00877CA3"/>
    <w:rsid w:val="00880159"/>
    <w:rsid w:val="008808FB"/>
    <w:rsid w:val="008814C8"/>
    <w:rsid w:val="00881606"/>
    <w:rsid w:val="0088168B"/>
    <w:rsid w:val="00881E8F"/>
    <w:rsid w:val="00882069"/>
    <w:rsid w:val="008823B1"/>
    <w:rsid w:val="00882CB9"/>
    <w:rsid w:val="00883B0B"/>
    <w:rsid w:val="00885981"/>
    <w:rsid w:val="0088707B"/>
    <w:rsid w:val="00887665"/>
    <w:rsid w:val="00890071"/>
    <w:rsid w:val="00890517"/>
    <w:rsid w:val="008905E6"/>
    <w:rsid w:val="00891187"/>
    <w:rsid w:val="00893179"/>
    <w:rsid w:val="00893316"/>
    <w:rsid w:val="00893409"/>
    <w:rsid w:val="00893931"/>
    <w:rsid w:val="008954F1"/>
    <w:rsid w:val="00896A95"/>
    <w:rsid w:val="00897AC4"/>
    <w:rsid w:val="008A1B36"/>
    <w:rsid w:val="008A2CC5"/>
    <w:rsid w:val="008A2DA7"/>
    <w:rsid w:val="008A302E"/>
    <w:rsid w:val="008A3911"/>
    <w:rsid w:val="008A4256"/>
    <w:rsid w:val="008A43AF"/>
    <w:rsid w:val="008A48EC"/>
    <w:rsid w:val="008A4AC7"/>
    <w:rsid w:val="008A512D"/>
    <w:rsid w:val="008A527A"/>
    <w:rsid w:val="008A58C7"/>
    <w:rsid w:val="008A6B7A"/>
    <w:rsid w:val="008B056A"/>
    <w:rsid w:val="008B1341"/>
    <w:rsid w:val="008B1529"/>
    <w:rsid w:val="008B3245"/>
    <w:rsid w:val="008B361F"/>
    <w:rsid w:val="008B3BF1"/>
    <w:rsid w:val="008B3DEB"/>
    <w:rsid w:val="008B3E5A"/>
    <w:rsid w:val="008B4A71"/>
    <w:rsid w:val="008B541F"/>
    <w:rsid w:val="008B5F5B"/>
    <w:rsid w:val="008B66B3"/>
    <w:rsid w:val="008B6CB5"/>
    <w:rsid w:val="008B7918"/>
    <w:rsid w:val="008B7BD1"/>
    <w:rsid w:val="008C0E75"/>
    <w:rsid w:val="008C1117"/>
    <w:rsid w:val="008C18E0"/>
    <w:rsid w:val="008C1ABF"/>
    <w:rsid w:val="008C3381"/>
    <w:rsid w:val="008C3E1A"/>
    <w:rsid w:val="008C46D3"/>
    <w:rsid w:val="008C5111"/>
    <w:rsid w:val="008C60AB"/>
    <w:rsid w:val="008D08FA"/>
    <w:rsid w:val="008D1CD3"/>
    <w:rsid w:val="008D32C0"/>
    <w:rsid w:val="008D4C6E"/>
    <w:rsid w:val="008D565E"/>
    <w:rsid w:val="008D6161"/>
    <w:rsid w:val="008D626F"/>
    <w:rsid w:val="008D755B"/>
    <w:rsid w:val="008D7A4E"/>
    <w:rsid w:val="008D7CB5"/>
    <w:rsid w:val="008E0674"/>
    <w:rsid w:val="008E1C00"/>
    <w:rsid w:val="008E2573"/>
    <w:rsid w:val="008E2E49"/>
    <w:rsid w:val="008E5671"/>
    <w:rsid w:val="008E5868"/>
    <w:rsid w:val="008E734E"/>
    <w:rsid w:val="008E7796"/>
    <w:rsid w:val="008E7922"/>
    <w:rsid w:val="008E7A57"/>
    <w:rsid w:val="008F0606"/>
    <w:rsid w:val="008F0DAB"/>
    <w:rsid w:val="008F1E95"/>
    <w:rsid w:val="008F21EA"/>
    <w:rsid w:val="008F2748"/>
    <w:rsid w:val="008F3C1A"/>
    <w:rsid w:val="008F46D9"/>
    <w:rsid w:val="008F54A0"/>
    <w:rsid w:val="008F551F"/>
    <w:rsid w:val="008F5AC8"/>
    <w:rsid w:val="008F5BFC"/>
    <w:rsid w:val="008F5F27"/>
    <w:rsid w:val="008F6611"/>
    <w:rsid w:val="008F6A29"/>
    <w:rsid w:val="008F6ED5"/>
    <w:rsid w:val="008F72B1"/>
    <w:rsid w:val="00901B63"/>
    <w:rsid w:val="00901C49"/>
    <w:rsid w:val="00902A90"/>
    <w:rsid w:val="00903C2B"/>
    <w:rsid w:val="00903F2C"/>
    <w:rsid w:val="009054AF"/>
    <w:rsid w:val="009055F3"/>
    <w:rsid w:val="00905B51"/>
    <w:rsid w:val="00906016"/>
    <w:rsid w:val="00906411"/>
    <w:rsid w:val="00907B53"/>
    <w:rsid w:val="00907CBA"/>
    <w:rsid w:val="00907F8B"/>
    <w:rsid w:val="00910E86"/>
    <w:rsid w:val="00911B32"/>
    <w:rsid w:val="009124CE"/>
    <w:rsid w:val="00913466"/>
    <w:rsid w:val="009134CA"/>
    <w:rsid w:val="00915149"/>
    <w:rsid w:val="009151C0"/>
    <w:rsid w:val="00916241"/>
    <w:rsid w:val="009166D9"/>
    <w:rsid w:val="009166DF"/>
    <w:rsid w:val="009168BF"/>
    <w:rsid w:val="009173E5"/>
    <w:rsid w:val="00920629"/>
    <w:rsid w:val="00921884"/>
    <w:rsid w:val="00921AA4"/>
    <w:rsid w:val="00922F6B"/>
    <w:rsid w:val="00924561"/>
    <w:rsid w:val="00925E8F"/>
    <w:rsid w:val="00926EA0"/>
    <w:rsid w:val="009278C4"/>
    <w:rsid w:val="0092791E"/>
    <w:rsid w:val="00927C60"/>
    <w:rsid w:val="00931120"/>
    <w:rsid w:val="00932540"/>
    <w:rsid w:val="00933399"/>
    <w:rsid w:val="00933AB8"/>
    <w:rsid w:val="00933D74"/>
    <w:rsid w:val="00936281"/>
    <w:rsid w:val="0093777F"/>
    <w:rsid w:val="00940608"/>
    <w:rsid w:val="009406D9"/>
    <w:rsid w:val="00940BA9"/>
    <w:rsid w:val="00941426"/>
    <w:rsid w:val="009423C3"/>
    <w:rsid w:val="009423D7"/>
    <w:rsid w:val="00944D01"/>
    <w:rsid w:val="009452C5"/>
    <w:rsid w:val="00945ABC"/>
    <w:rsid w:val="00945B6D"/>
    <w:rsid w:val="00946D7E"/>
    <w:rsid w:val="00946E22"/>
    <w:rsid w:val="00947428"/>
    <w:rsid w:val="0095045B"/>
    <w:rsid w:val="00950BE9"/>
    <w:rsid w:val="00951521"/>
    <w:rsid w:val="009531A9"/>
    <w:rsid w:val="009536D8"/>
    <w:rsid w:val="00953CEB"/>
    <w:rsid w:val="0095433D"/>
    <w:rsid w:val="0095457B"/>
    <w:rsid w:val="00954912"/>
    <w:rsid w:val="00955338"/>
    <w:rsid w:val="009555AC"/>
    <w:rsid w:val="00955911"/>
    <w:rsid w:val="00955D76"/>
    <w:rsid w:val="009579F2"/>
    <w:rsid w:val="009603D7"/>
    <w:rsid w:val="00960C32"/>
    <w:rsid w:val="00960CB2"/>
    <w:rsid w:val="0096150E"/>
    <w:rsid w:val="00962B13"/>
    <w:rsid w:val="00963732"/>
    <w:rsid w:val="00964645"/>
    <w:rsid w:val="0096547A"/>
    <w:rsid w:val="009660D7"/>
    <w:rsid w:val="00966E3C"/>
    <w:rsid w:val="00966F21"/>
    <w:rsid w:val="00967D6A"/>
    <w:rsid w:val="0097044F"/>
    <w:rsid w:val="0097165C"/>
    <w:rsid w:val="0097168E"/>
    <w:rsid w:val="009718EA"/>
    <w:rsid w:val="009725D2"/>
    <w:rsid w:val="00973A05"/>
    <w:rsid w:val="00973D42"/>
    <w:rsid w:val="00974001"/>
    <w:rsid w:val="009740F2"/>
    <w:rsid w:val="00975422"/>
    <w:rsid w:val="00975853"/>
    <w:rsid w:val="00975913"/>
    <w:rsid w:val="00976A30"/>
    <w:rsid w:val="0097761D"/>
    <w:rsid w:val="009778FC"/>
    <w:rsid w:val="00977EB2"/>
    <w:rsid w:val="00980F62"/>
    <w:rsid w:val="009814B6"/>
    <w:rsid w:val="0098188A"/>
    <w:rsid w:val="00981EA8"/>
    <w:rsid w:val="0098247D"/>
    <w:rsid w:val="0098309C"/>
    <w:rsid w:val="00983530"/>
    <w:rsid w:val="00984C96"/>
    <w:rsid w:val="00984DCE"/>
    <w:rsid w:val="00984F93"/>
    <w:rsid w:val="00985503"/>
    <w:rsid w:val="009855C9"/>
    <w:rsid w:val="00985CB3"/>
    <w:rsid w:val="009861C9"/>
    <w:rsid w:val="0098725A"/>
    <w:rsid w:val="0099000C"/>
    <w:rsid w:val="00990CD2"/>
    <w:rsid w:val="00990D11"/>
    <w:rsid w:val="009910C7"/>
    <w:rsid w:val="009913F5"/>
    <w:rsid w:val="00992CFA"/>
    <w:rsid w:val="00993287"/>
    <w:rsid w:val="00993775"/>
    <w:rsid w:val="0099448A"/>
    <w:rsid w:val="009947C6"/>
    <w:rsid w:val="00995107"/>
    <w:rsid w:val="009955E7"/>
    <w:rsid w:val="0099566E"/>
    <w:rsid w:val="00995D8E"/>
    <w:rsid w:val="00997DB2"/>
    <w:rsid w:val="009A0E3D"/>
    <w:rsid w:val="009A16F5"/>
    <w:rsid w:val="009A2E46"/>
    <w:rsid w:val="009A3251"/>
    <w:rsid w:val="009A3FFA"/>
    <w:rsid w:val="009A51B9"/>
    <w:rsid w:val="009A66CA"/>
    <w:rsid w:val="009A77E2"/>
    <w:rsid w:val="009B0763"/>
    <w:rsid w:val="009B12B2"/>
    <w:rsid w:val="009B19C5"/>
    <w:rsid w:val="009B2C8D"/>
    <w:rsid w:val="009B3FA7"/>
    <w:rsid w:val="009B51D0"/>
    <w:rsid w:val="009B5200"/>
    <w:rsid w:val="009B5F2C"/>
    <w:rsid w:val="009B678F"/>
    <w:rsid w:val="009B6C5B"/>
    <w:rsid w:val="009B7498"/>
    <w:rsid w:val="009B7507"/>
    <w:rsid w:val="009C02C3"/>
    <w:rsid w:val="009C041D"/>
    <w:rsid w:val="009C137E"/>
    <w:rsid w:val="009C207E"/>
    <w:rsid w:val="009C3FE4"/>
    <w:rsid w:val="009C40FA"/>
    <w:rsid w:val="009C5C9A"/>
    <w:rsid w:val="009C68D1"/>
    <w:rsid w:val="009C7412"/>
    <w:rsid w:val="009C7DEB"/>
    <w:rsid w:val="009D12F5"/>
    <w:rsid w:val="009D2D0A"/>
    <w:rsid w:val="009D3061"/>
    <w:rsid w:val="009D3C34"/>
    <w:rsid w:val="009D439F"/>
    <w:rsid w:val="009D44A0"/>
    <w:rsid w:val="009D6145"/>
    <w:rsid w:val="009D621E"/>
    <w:rsid w:val="009D7016"/>
    <w:rsid w:val="009D7D96"/>
    <w:rsid w:val="009E05F4"/>
    <w:rsid w:val="009E0F88"/>
    <w:rsid w:val="009E1645"/>
    <w:rsid w:val="009E180D"/>
    <w:rsid w:val="009E2696"/>
    <w:rsid w:val="009E2A87"/>
    <w:rsid w:val="009E2C14"/>
    <w:rsid w:val="009E3017"/>
    <w:rsid w:val="009E3458"/>
    <w:rsid w:val="009E3EF2"/>
    <w:rsid w:val="009E3FEA"/>
    <w:rsid w:val="009E4F93"/>
    <w:rsid w:val="009E64E9"/>
    <w:rsid w:val="009E74CB"/>
    <w:rsid w:val="009E7F3F"/>
    <w:rsid w:val="009F09C4"/>
    <w:rsid w:val="009F0EE0"/>
    <w:rsid w:val="009F10BB"/>
    <w:rsid w:val="009F1D32"/>
    <w:rsid w:val="009F21C1"/>
    <w:rsid w:val="009F22BE"/>
    <w:rsid w:val="009F3A97"/>
    <w:rsid w:val="009F42E2"/>
    <w:rsid w:val="009F4A3A"/>
    <w:rsid w:val="009F61B8"/>
    <w:rsid w:val="009F6867"/>
    <w:rsid w:val="00A00263"/>
    <w:rsid w:val="00A00B7B"/>
    <w:rsid w:val="00A01787"/>
    <w:rsid w:val="00A017B1"/>
    <w:rsid w:val="00A02CC1"/>
    <w:rsid w:val="00A03437"/>
    <w:rsid w:val="00A03A73"/>
    <w:rsid w:val="00A03E7D"/>
    <w:rsid w:val="00A06BB5"/>
    <w:rsid w:val="00A077B1"/>
    <w:rsid w:val="00A078FE"/>
    <w:rsid w:val="00A106E7"/>
    <w:rsid w:val="00A10796"/>
    <w:rsid w:val="00A107B8"/>
    <w:rsid w:val="00A11569"/>
    <w:rsid w:val="00A1341B"/>
    <w:rsid w:val="00A14B5C"/>
    <w:rsid w:val="00A15450"/>
    <w:rsid w:val="00A15622"/>
    <w:rsid w:val="00A15A31"/>
    <w:rsid w:val="00A16987"/>
    <w:rsid w:val="00A16FD5"/>
    <w:rsid w:val="00A174AF"/>
    <w:rsid w:val="00A209DB"/>
    <w:rsid w:val="00A210D3"/>
    <w:rsid w:val="00A22795"/>
    <w:rsid w:val="00A229FE"/>
    <w:rsid w:val="00A22CE8"/>
    <w:rsid w:val="00A23512"/>
    <w:rsid w:val="00A2374E"/>
    <w:rsid w:val="00A24513"/>
    <w:rsid w:val="00A249A8"/>
    <w:rsid w:val="00A264BA"/>
    <w:rsid w:val="00A26D5E"/>
    <w:rsid w:val="00A27336"/>
    <w:rsid w:val="00A275E9"/>
    <w:rsid w:val="00A30F53"/>
    <w:rsid w:val="00A310A0"/>
    <w:rsid w:val="00A31296"/>
    <w:rsid w:val="00A314BD"/>
    <w:rsid w:val="00A31972"/>
    <w:rsid w:val="00A319DA"/>
    <w:rsid w:val="00A31C01"/>
    <w:rsid w:val="00A325D5"/>
    <w:rsid w:val="00A343DB"/>
    <w:rsid w:val="00A34A0E"/>
    <w:rsid w:val="00A34D38"/>
    <w:rsid w:val="00A34F8D"/>
    <w:rsid w:val="00A353A0"/>
    <w:rsid w:val="00A367A2"/>
    <w:rsid w:val="00A3756D"/>
    <w:rsid w:val="00A408CF"/>
    <w:rsid w:val="00A40E63"/>
    <w:rsid w:val="00A4268E"/>
    <w:rsid w:val="00A42F74"/>
    <w:rsid w:val="00A44286"/>
    <w:rsid w:val="00A46128"/>
    <w:rsid w:val="00A464BB"/>
    <w:rsid w:val="00A46706"/>
    <w:rsid w:val="00A4694E"/>
    <w:rsid w:val="00A5051F"/>
    <w:rsid w:val="00A50A78"/>
    <w:rsid w:val="00A50C7E"/>
    <w:rsid w:val="00A5208C"/>
    <w:rsid w:val="00A5342D"/>
    <w:rsid w:val="00A54F7B"/>
    <w:rsid w:val="00A5561A"/>
    <w:rsid w:val="00A56AED"/>
    <w:rsid w:val="00A56B1E"/>
    <w:rsid w:val="00A5721F"/>
    <w:rsid w:val="00A61F05"/>
    <w:rsid w:val="00A63B30"/>
    <w:rsid w:val="00A678EE"/>
    <w:rsid w:val="00A70440"/>
    <w:rsid w:val="00A70445"/>
    <w:rsid w:val="00A70B45"/>
    <w:rsid w:val="00A71C57"/>
    <w:rsid w:val="00A73C67"/>
    <w:rsid w:val="00A7600A"/>
    <w:rsid w:val="00A76777"/>
    <w:rsid w:val="00A77CF2"/>
    <w:rsid w:val="00A8062C"/>
    <w:rsid w:val="00A816AF"/>
    <w:rsid w:val="00A81717"/>
    <w:rsid w:val="00A81D08"/>
    <w:rsid w:val="00A82A5E"/>
    <w:rsid w:val="00A832AD"/>
    <w:rsid w:val="00A8499B"/>
    <w:rsid w:val="00A86676"/>
    <w:rsid w:val="00A86904"/>
    <w:rsid w:val="00A909B0"/>
    <w:rsid w:val="00A90DD3"/>
    <w:rsid w:val="00A90F9B"/>
    <w:rsid w:val="00A9280A"/>
    <w:rsid w:val="00A92A7B"/>
    <w:rsid w:val="00A9422A"/>
    <w:rsid w:val="00A948B8"/>
    <w:rsid w:val="00A9508F"/>
    <w:rsid w:val="00A950E6"/>
    <w:rsid w:val="00A95EFB"/>
    <w:rsid w:val="00A95FEE"/>
    <w:rsid w:val="00A96989"/>
    <w:rsid w:val="00A96B4F"/>
    <w:rsid w:val="00A973EE"/>
    <w:rsid w:val="00A974D8"/>
    <w:rsid w:val="00AA0B03"/>
    <w:rsid w:val="00AA1F9D"/>
    <w:rsid w:val="00AA23DA"/>
    <w:rsid w:val="00AA4054"/>
    <w:rsid w:val="00AA62E6"/>
    <w:rsid w:val="00AA741C"/>
    <w:rsid w:val="00AA7D96"/>
    <w:rsid w:val="00AB1699"/>
    <w:rsid w:val="00AB36CF"/>
    <w:rsid w:val="00AB3BC8"/>
    <w:rsid w:val="00AB3F36"/>
    <w:rsid w:val="00AB4C56"/>
    <w:rsid w:val="00AB5F94"/>
    <w:rsid w:val="00AB6018"/>
    <w:rsid w:val="00AB6540"/>
    <w:rsid w:val="00AB67DA"/>
    <w:rsid w:val="00AB6E53"/>
    <w:rsid w:val="00AB74DB"/>
    <w:rsid w:val="00AC1649"/>
    <w:rsid w:val="00AC2028"/>
    <w:rsid w:val="00AC23D6"/>
    <w:rsid w:val="00AC4A57"/>
    <w:rsid w:val="00AC4DB0"/>
    <w:rsid w:val="00AC4E18"/>
    <w:rsid w:val="00AC606D"/>
    <w:rsid w:val="00AC6273"/>
    <w:rsid w:val="00AC6672"/>
    <w:rsid w:val="00AC702B"/>
    <w:rsid w:val="00AC7075"/>
    <w:rsid w:val="00AD169D"/>
    <w:rsid w:val="00AD1728"/>
    <w:rsid w:val="00AD18E8"/>
    <w:rsid w:val="00AD23DA"/>
    <w:rsid w:val="00AD346D"/>
    <w:rsid w:val="00AD4AB0"/>
    <w:rsid w:val="00AD4FE7"/>
    <w:rsid w:val="00AD586B"/>
    <w:rsid w:val="00AD5AFD"/>
    <w:rsid w:val="00AD61CA"/>
    <w:rsid w:val="00AE0A6F"/>
    <w:rsid w:val="00AE0B1D"/>
    <w:rsid w:val="00AE0F92"/>
    <w:rsid w:val="00AE2318"/>
    <w:rsid w:val="00AE2DB4"/>
    <w:rsid w:val="00AE2FAB"/>
    <w:rsid w:val="00AE3D0F"/>
    <w:rsid w:val="00AE414A"/>
    <w:rsid w:val="00AE4414"/>
    <w:rsid w:val="00AE57DE"/>
    <w:rsid w:val="00AE670F"/>
    <w:rsid w:val="00AE7827"/>
    <w:rsid w:val="00AF361A"/>
    <w:rsid w:val="00AF3F6D"/>
    <w:rsid w:val="00AF474B"/>
    <w:rsid w:val="00AF50A3"/>
    <w:rsid w:val="00AF5CF8"/>
    <w:rsid w:val="00AF65D3"/>
    <w:rsid w:val="00AF6EA2"/>
    <w:rsid w:val="00B0086A"/>
    <w:rsid w:val="00B01353"/>
    <w:rsid w:val="00B01ED5"/>
    <w:rsid w:val="00B02A9C"/>
    <w:rsid w:val="00B03563"/>
    <w:rsid w:val="00B04C7E"/>
    <w:rsid w:val="00B050C6"/>
    <w:rsid w:val="00B05A5E"/>
    <w:rsid w:val="00B061E9"/>
    <w:rsid w:val="00B06440"/>
    <w:rsid w:val="00B06BDF"/>
    <w:rsid w:val="00B103D1"/>
    <w:rsid w:val="00B10C14"/>
    <w:rsid w:val="00B12F33"/>
    <w:rsid w:val="00B13755"/>
    <w:rsid w:val="00B13D83"/>
    <w:rsid w:val="00B13E8B"/>
    <w:rsid w:val="00B14847"/>
    <w:rsid w:val="00B15863"/>
    <w:rsid w:val="00B15C16"/>
    <w:rsid w:val="00B17114"/>
    <w:rsid w:val="00B178D2"/>
    <w:rsid w:val="00B17BA2"/>
    <w:rsid w:val="00B202B3"/>
    <w:rsid w:val="00B205F9"/>
    <w:rsid w:val="00B20F6F"/>
    <w:rsid w:val="00B233F0"/>
    <w:rsid w:val="00B24343"/>
    <w:rsid w:val="00B2483C"/>
    <w:rsid w:val="00B26004"/>
    <w:rsid w:val="00B272BB"/>
    <w:rsid w:val="00B305B7"/>
    <w:rsid w:val="00B32881"/>
    <w:rsid w:val="00B32AEB"/>
    <w:rsid w:val="00B32E7C"/>
    <w:rsid w:val="00B33105"/>
    <w:rsid w:val="00B33BFD"/>
    <w:rsid w:val="00B3475B"/>
    <w:rsid w:val="00B34B88"/>
    <w:rsid w:val="00B350E7"/>
    <w:rsid w:val="00B3609A"/>
    <w:rsid w:val="00B368A6"/>
    <w:rsid w:val="00B36954"/>
    <w:rsid w:val="00B37460"/>
    <w:rsid w:val="00B37560"/>
    <w:rsid w:val="00B417E5"/>
    <w:rsid w:val="00B42122"/>
    <w:rsid w:val="00B42879"/>
    <w:rsid w:val="00B43735"/>
    <w:rsid w:val="00B43D66"/>
    <w:rsid w:val="00B44CE1"/>
    <w:rsid w:val="00B45387"/>
    <w:rsid w:val="00B454EC"/>
    <w:rsid w:val="00B465EC"/>
    <w:rsid w:val="00B46A6E"/>
    <w:rsid w:val="00B46C99"/>
    <w:rsid w:val="00B47547"/>
    <w:rsid w:val="00B4757B"/>
    <w:rsid w:val="00B506A9"/>
    <w:rsid w:val="00B50C58"/>
    <w:rsid w:val="00B50CEC"/>
    <w:rsid w:val="00B51128"/>
    <w:rsid w:val="00B516FB"/>
    <w:rsid w:val="00B51AD3"/>
    <w:rsid w:val="00B5350B"/>
    <w:rsid w:val="00B54561"/>
    <w:rsid w:val="00B549B6"/>
    <w:rsid w:val="00B54CAE"/>
    <w:rsid w:val="00B54FAF"/>
    <w:rsid w:val="00B553F0"/>
    <w:rsid w:val="00B55D9A"/>
    <w:rsid w:val="00B57EA0"/>
    <w:rsid w:val="00B6052B"/>
    <w:rsid w:val="00B60990"/>
    <w:rsid w:val="00B60997"/>
    <w:rsid w:val="00B615C4"/>
    <w:rsid w:val="00B62003"/>
    <w:rsid w:val="00B627DE"/>
    <w:rsid w:val="00B62BE4"/>
    <w:rsid w:val="00B633B3"/>
    <w:rsid w:val="00B63627"/>
    <w:rsid w:val="00B64EB9"/>
    <w:rsid w:val="00B662F7"/>
    <w:rsid w:val="00B6666B"/>
    <w:rsid w:val="00B669B2"/>
    <w:rsid w:val="00B6717F"/>
    <w:rsid w:val="00B67D4F"/>
    <w:rsid w:val="00B67E61"/>
    <w:rsid w:val="00B67FA9"/>
    <w:rsid w:val="00B7041C"/>
    <w:rsid w:val="00B70C7B"/>
    <w:rsid w:val="00B71082"/>
    <w:rsid w:val="00B71C75"/>
    <w:rsid w:val="00B722C4"/>
    <w:rsid w:val="00B72E9B"/>
    <w:rsid w:val="00B74423"/>
    <w:rsid w:val="00B74C90"/>
    <w:rsid w:val="00B74F93"/>
    <w:rsid w:val="00B754C4"/>
    <w:rsid w:val="00B7658D"/>
    <w:rsid w:val="00B779C9"/>
    <w:rsid w:val="00B779E1"/>
    <w:rsid w:val="00B81413"/>
    <w:rsid w:val="00B8181F"/>
    <w:rsid w:val="00B81948"/>
    <w:rsid w:val="00B81D3F"/>
    <w:rsid w:val="00B82FB4"/>
    <w:rsid w:val="00B84437"/>
    <w:rsid w:val="00B84AA3"/>
    <w:rsid w:val="00B84C5E"/>
    <w:rsid w:val="00B855BC"/>
    <w:rsid w:val="00B86F48"/>
    <w:rsid w:val="00B9146A"/>
    <w:rsid w:val="00B916AD"/>
    <w:rsid w:val="00B9389A"/>
    <w:rsid w:val="00B940A7"/>
    <w:rsid w:val="00B94B96"/>
    <w:rsid w:val="00B960D5"/>
    <w:rsid w:val="00B9666E"/>
    <w:rsid w:val="00BA1338"/>
    <w:rsid w:val="00BA17E4"/>
    <w:rsid w:val="00BA208A"/>
    <w:rsid w:val="00BA2C21"/>
    <w:rsid w:val="00BA394C"/>
    <w:rsid w:val="00BA4970"/>
    <w:rsid w:val="00BA4F73"/>
    <w:rsid w:val="00BA5B5B"/>
    <w:rsid w:val="00BA6CBA"/>
    <w:rsid w:val="00BA7D10"/>
    <w:rsid w:val="00BB14AD"/>
    <w:rsid w:val="00BB2CE2"/>
    <w:rsid w:val="00BB32BA"/>
    <w:rsid w:val="00BB64AE"/>
    <w:rsid w:val="00BB73BA"/>
    <w:rsid w:val="00BB7CCF"/>
    <w:rsid w:val="00BC0473"/>
    <w:rsid w:val="00BC15AC"/>
    <w:rsid w:val="00BC19B9"/>
    <w:rsid w:val="00BC1CAB"/>
    <w:rsid w:val="00BC2E83"/>
    <w:rsid w:val="00BC39B6"/>
    <w:rsid w:val="00BC4DA6"/>
    <w:rsid w:val="00BC64CB"/>
    <w:rsid w:val="00BC6765"/>
    <w:rsid w:val="00BC6CEF"/>
    <w:rsid w:val="00BC74DD"/>
    <w:rsid w:val="00BC7FCC"/>
    <w:rsid w:val="00BD0A29"/>
    <w:rsid w:val="00BD224C"/>
    <w:rsid w:val="00BD39F6"/>
    <w:rsid w:val="00BD731D"/>
    <w:rsid w:val="00BD788B"/>
    <w:rsid w:val="00BD792F"/>
    <w:rsid w:val="00BD7CB0"/>
    <w:rsid w:val="00BD7D9B"/>
    <w:rsid w:val="00BD7FD6"/>
    <w:rsid w:val="00BE0525"/>
    <w:rsid w:val="00BE0707"/>
    <w:rsid w:val="00BE10BF"/>
    <w:rsid w:val="00BE2293"/>
    <w:rsid w:val="00BE23B7"/>
    <w:rsid w:val="00BE2935"/>
    <w:rsid w:val="00BE2D54"/>
    <w:rsid w:val="00BE395D"/>
    <w:rsid w:val="00BE3F62"/>
    <w:rsid w:val="00BE3F92"/>
    <w:rsid w:val="00BE40B1"/>
    <w:rsid w:val="00BE42F5"/>
    <w:rsid w:val="00BE519F"/>
    <w:rsid w:val="00BE5263"/>
    <w:rsid w:val="00BE57CC"/>
    <w:rsid w:val="00BE5947"/>
    <w:rsid w:val="00BE5BFA"/>
    <w:rsid w:val="00BE6134"/>
    <w:rsid w:val="00BE686D"/>
    <w:rsid w:val="00BE6A1F"/>
    <w:rsid w:val="00BE752A"/>
    <w:rsid w:val="00BE7F1F"/>
    <w:rsid w:val="00BF0FFF"/>
    <w:rsid w:val="00BF1B15"/>
    <w:rsid w:val="00BF3987"/>
    <w:rsid w:val="00BF5031"/>
    <w:rsid w:val="00BF52D7"/>
    <w:rsid w:val="00BF7C8F"/>
    <w:rsid w:val="00C01405"/>
    <w:rsid w:val="00C01672"/>
    <w:rsid w:val="00C0362A"/>
    <w:rsid w:val="00C0439E"/>
    <w:rsid w:val="00C04795"/>
    <w:rsid w:val="00C04FAE"/>
    <w:rsid w:val="00C0711F"/>
    <w:rsid w:val="00C11819"/>
    <w:rsid w:val="00C12042"/>
    <w:rsid w:val="00C1344F"/>
    <w:rsid w:val="00C148B3"/>
    <w:rsid w:val="00C15992"/>
    <w:rsid w:val="00C16241"/>
    <w:rsid w:val="00C1655D"/>
    <w:rsid w:val="00C168D1"/>
    <w:rsid w:val="00C1748F"/>
    <w:rsid w:val="00C17857"/>
    <w:rsid w:val="00C20058"/>
    <w:rsid w:val="00C20305"/>
    <w:rsid w:val="00C20CED"/>
    <w:rsid w:val="00C217EC"/>
    <w:rsid w:val="00C22A0E"/>
    <w:rsid w:val="00C232DA"/>
    <w:rsid w:val="00C24243"/>
    <w:rsid w:val="00C24B0E"/>
    <w:rsid w:val="00C25A14"/>
    <w:rsid w:val="00C25D26"/>
    <w:rsid w:val="00C26126"/>
    <w:rsid w:val="00C26A5C"/>
    <w:rsid w:val="00C26DBC"/>
    <w:rsid w:val="00C278A2"/>
    <w:rsid w:val="00C27FCB"/>
    <w:rsid w:val="00C30906"/>
    <w:rsid w:val="00C31C9A"/>
    <w:rsid w:val="00C31ED3"/>
    <w:rsid w:val="00C32146"/>
    <w:rsid w:val="00C3235D"/>
    <w:rsid w:val="00C324D3"/>
    <w:rsid w:val="00C32A96"/>
    <w:rsid w:val="00C349D4"/>
    <w:rsid w:val="00C35F9C"/>
    <w:rsid w:val="00C36138"/>
    <w:rsid w:val="00C37965"/>
    <w:rsid w:val="00C37A01"/>
    <w:rsid w:val="00C40060"/>
    <w:rsid w:val="00C402C7"/>
    <w:rsid w:val="00C40307"/>
    <w:rsid w:val="00C405ED"/>
    <w:rsid w:val="00C40737"/>
    <w:rsid w:val="00C40871"/>
    <w:rsid w:val="00C42D98"/>
    <w:rsid w:val="00C44B02"/>
    <w:rsid w:val="00C456D5"/>
    <w:rsid w:val="00C4603F"/>
    <w:rsid w:val="00C46166"/>
    <w:rsid w:val="00C4623F"/>
    <w:rsid w:val="00C462E0"/>
    <w:rsid w:val="00C47065"/>
    <w:rsid w:val="00C47C79"/>
    <w:rsid w:val="00C502EE"/>
    <w:rsid w:val="00C51DF9"/>
    <w:rsid w:val="00C52790"/>
    <w:rsid w:val="00C531B5"/>
    <w:rsid w:val="00C53A1B"/>
    <w:rsid w:val="00C5457D"/>
    <w:rsid w:val="00C547EC"/>
    <w:rsid w:val="00C54FA8"/>
    <w:rsid w:val="00C55286"/>
    <w:rsid w:val="00C55B44"/>
    <w:rsid w:val="00C60361"/>
    <w:rsid w:val="00C609E7"/>
    <w:rsid w:val="00C621F3"/>
    <w:rsid w:val="00C627B8"/>
    <w:rsid w:val="00C65B68"/>
    <w:rsid w:val="00C66F5A"/>
    <w:rsid w:val="00C708D7"/>
    <w:rsid w:val="00C717B1"/>
    <w:rsid w:val="00C71C10"/>
    <w:rsid w:val="00C71C33"/>
    <w:rsid w:val="00C72595"/>
    <w:rsid w:val="00C7400B"/>
    <w:rsid w:val="00C7458C"/>
    <w:rsid w:val="00C75407"/>
    <w:rsid w:val="00C761C2"/>
    <w:rsid w:val="00C76E17"/>
    <w:rsid w:val="00C8079B"/>
    <w:rsid w:val="00C811E3"/>
    <w:rsid w:val="00C8133A"/>
    <w:rsid w:val="00C81E4E"/>
    <w:rsid w:val="00C823E2"/>
    <w:rsid w:val="00C82C51"/>
    <w:rsid w:val="00C835BE"/>
    <w:rsid w:val="00C841A0"/>
    <w:rsid w:val="00C849F5"/>
    <w:rsid w:val="00C850A6"/>
    <w:rsid w:val="00C8668C"/>
    <w:rsid w:val="00C876D3"/>
    <w:rsid w:val="00C878DE"/>
    <w:rsid w:val="00C91A0C"/>
    <w:rsid w:val="00C9355B"/>
    <w:rsid w:val="00C93E07"/>
    <w:rsid w:val="00C94483"/>
    <w:rsid w:val="00C94895"/>
    <w:rsid w:val="00C96975"/>
    <w:rsid w:val="00C96A8A"/>
    <w:rsid w:val="00C970C0"/>
    <w:rsid w:val="00C97744"/>
    <w:rsid w:val="00C978BC"/>
    <w:rsid w:val="00CA0EF2"/>
    <w:rsid w:val="00CA1351"/>
    <w:rsid w:val="00CA166A"/>
    <w:rsid w:val="00CA1C99"/>
    <w:rsid w:val="00CA1E80"/>
    <w:rsid w:val="00CA2F14"/>
    <w:rsid w:val="00CA3EE8"/>
    <w:rsid w:val="00CA3EF6"/>
    <w:rsid w:val="00CA410E"/>
    <w:rsid w:val="00CA43A6"/>
    <w:rsid w:val="00CA4665"/>
    <w:rsid w:val="00CA5785"/>
    <w:rsid w:val="00CA5ECD"/>
    <w:rsid w:val="00CB01D9"/>
    <w:rsid w:val="00CB2B6D"/>
    <w:rsid w:val="00CB2CA6"/>
    <w:rsid w:val="00CB37C6"/>
    <w:rsid w:val="00CB3E0B"/>
    <w:rsid w:val="00CB66DE"/>
    <w:rsid w:val="00CB6EDF"/>
    <w:rsid w:val="00CC0A5C"/>
    <w:rsid w:val="00CC181A"/>
    <w:rsid w:val="00CC1E4E"/>
    <w:rsid w:val="00CC4502"/>
    <w:rsid w:val="00CC567E"/>
    <w:rsid w:val="00CC609A"/>
    <w:rsid w:val="00CD20C9"/>
    <w:rsid w:val="00CD35D7"/>
    <w:rsid w:val="00CD43F2"/>
    <w:rsid w:val="00CD60EF"/>
    <w:rsid w:val="00CE0DBA"/>
    <w:rsid w:val="00CE297A"/>
    <w:rsid w:val="00CE2CC6"/>
    <w:rsid w:val="00CE2EF5"/>
    <w:rsid w:val="00CE320E"/>
    <w:rsid w:val="00CE47CE"/>
    <w:rsid w:val="00CE50C9"/>
    <w:rsid w:val="00CE6216"/>
    <w:rsid w:val="00CE64F1"/>
    <w:rsid w:val="00CE67E1"/>
    <w:rsid w:val="00CE7945"/>
    <w:rsid w:val="00CF0A20"/>
    <w:rsid w:val="00CF2D8C"/>
    <w:rsid w:val="00CF584E"/>
    <w:rsid w:val="00CF6492"/>
    <w:rsid w:val="00CF6887"/>
    <w:rsid w:val="00CF6985"/>
    <w:rsid w:val="00CF72EB"/>
    <w:rsid w:val="00CF7673"/>
    <w:rsid w:val="00D02200"/>
    <w:rsid w:val="00D02FE7"/>
    <w:rsid w:val="00D03E95"/>
    <w:rsid w:val="00D048F5"/>
    <w:rsid w:val="00D0494C"/>
    <w:rsid w:val="00D0584F"/>
    <w:rsid w:val="00D05C13"/>
    <w:rsid w:val="00D05F34"/>
    <w:rsid w:val="00D062E9"/>
    <w:rsid w:val="00D07E9F"/>
    <w:rsid w:val="00D10F5B"/>
    <w:rsid w:val="00D11299"/>
    <w:rsid w:val="00D11309"/>
    <w:rsid w:val="00D1178B"/>
    <w:rsid w:val="00D12311"/>
    <w:rsid w:val="00D127F9"/>
    <w:rsid w:val="00D12EA8"/>
    <w:rsid w:val="00D13EE7"/>
    <w:rsid w:val="00D16332"/>
    <w:rsid w:val="00D17140"/>
    <w:rsid w:val="00D17419"/>
    <w:rsid w:val="00D20719"/>
    <w:rsid w:val="00D213DD"/>
    <w:rsid w:val="00D21E41"/>
    <w:rsid w:val="00D21FD9"/>
    <w:rsid w:val="00D22A35"/>
    <w:rsid w:val="00D22FDA"/>
    <w:rsid w:val="00D232CA"/>
    <w:rsid w:val="00D23E60"/>
    <w:rsid w:val="00D25116"/>
    <w:rsid w:val="00D2550E"/>
    <w:rsid w:val="00D258A2"/>
    <w:rsid w:val="00D25AA1"/>
    <w:rsid w:val="00D264A1"/>
    <w:rsid w:val="00D26643"/>
    <w:rsid w:val="00D2780B"/>
    <w:rsid w:val="00D30DF3"/>
    <w:rsid w:val="00D31C5A"/>
    <w:rsid w:val="00D32881"/>
    <w:rsid w:val="00D33449"/>
    <w:rsid w:val="00D334C5"/>
    <w:rsid w:val="00D33F9F"/>
    <w:rsid w:val="00D35D26"/>
    <w:rsid w:val="00D36A15"/>
    <w:rsid w:val="00D37703"/>
    <w:rsid w:val="00D37DD8"/>
    <w:rsid w:val="00D40418"/>
    <w:rsid w:val="00D406AC"/>
    <w:rsid w:val="00D40DDB"/>
    <w:rsid w:val="00D43199"/>
    <w:rsid w:val="00D449FF"/>
    <w:rsid w:val="00D44CE8"/>
    <w:rsid w:val="00D44F36"/>
    <w:rsid w:val="00D45821"/>
    <w:rsid w:val="00D4590A"/>
    <w:rsid w:val="00D4599D"/>
    <w:rsid w:val="00D47B4A"/>
    <w:rsid w:val="00D504EE"/>
    <w:rsid w:val="00D50E58"/>
    <w:rsid w:val="00D53F23"/>
    <w:rsid w:val="00D5428C"/>
    <w:rsid w:val="00D573C7"/>
    <w:rsid w:val="00D613A8"/>
    <w:rsid w:val="00D619CD"/>
    <w:rsid w:val="00D62121"/>
    <w:rsid w:val="00D62D67"/>
    <w:rsid w:val="00D64F09"/>
    <w:rsid w:val="00D709D7"/>
    <w:rsid w:val="00D7150F"/>
    <w:rsid w:val="00D71B37"/>
    <w:rsid w:val="00D71B5F"/>
    <w:rsid w:val="00D72DD8"/>
    <w:rsid w:val="00D7338C"/>
    <w:rsid w:val="00D73C4E"/>
    <w:rsid w:val="00D73E8C"/>
    <w:rsid w:val="00D74473"/>
    <w:rsid w:val="00D7448E"/>
    <w:rsid w:val="00D75325"/>
    <w:rsid w:val="00D76E85"/>
    <w:rsid w:val="00D76E93"/>
    <w:rsid w:val="00D77792"/>
    <w:rsid w:val="00D80311"/>
    <w:rsid w:val="00D803CD"/>
    <w:rsid w:val="00D805ED"/>
    <w:rsid w:val="00D81363"/>
    <w:rsid w:val="00D81C88"/>
    <w:rsid w:val="00D82691"/>
    <w:rsid w:val="00D8280C"/>
    <w:rsid w:val="00D82F5F"/>
    <w:rsid w:val="00D83B98"/>
    <w:rsid w:val="00D83F34"/>
    <w:rsid w:val="00D84314"/>
    <w:rsid w:val="00D84785"/>
    <w:rsid w:val="00D848E3"/>
    <w:rsid w:val="00D84AB9"/>
    <w:rsid w:val="00D85045"/>
    <w:rsid w:val="00D858AD"/>
    <w:rsid w:val="00D90B34"/>
    <w:rsid w:val="00D915AB"/>
    <w:rsid w:val="00D92584"/>
    <w:rsid w:val="00D928DC"/>
    <w:rsid w:val="00D93374"/>
    <w:rsid w:val="00D94125"/>
    <w:rsid w:val="00D9457A"/>
    <w:rsid w:val="00D9466B"/>
    <w:rsid w:val="00D9469D"/>
    <w:rsid w:val="00D94D7A"/>
    <w:rsid w:val="00D95171"/>
    <w:rsid w:val="00D96254"/>
    <w:rsid w:val="00D9716C"/>
    <w:rsid w:val="00D97844"/>
    <w:rsid w:val="00D97D42"/>
    <w:rsid w:val="00DA07B4"/>
    <w:rsid w:val="00DA1155"/>
    <w:rsid w:val="00DA1A68"/>
    <w:rsid w:val="00DA3196"/>
    <w:rsid w:val="00DA326B"/>
    <w:rsid w:val="00DA3504"/>
    <w:rsid w:val="00DA35D5"/>
    <w:rsid w:val="00DA44F3"/>
    <w:rsid w:val="00DA4D0D"/>
    <w:rsid w:val="00DA52CD"/>
    <w:rsid w:val="00DA642D"/>
    <w:rsid w:val="00DB06AC"/>
    <w:rsid w:val="00DB075B"/>
    <w:rsid w:val="00DB2A71"/>
    <w:rsid w:val="00DB2D55"/>
    <w:rsid w:val="00DB36B5"/>
    <w:rsid w:val="00DB3C44"/>
    <w:rsid w:val="00DB537C"/>
    <w:rsid w:val="00DB5CEE"/>
    <w:rsid w:val="00DB6FE8"/>
    <w:rsid w:val="00DC0ABD"/>
    <w:rsid w:val="00DC0AFA"/>
    <w:rsid w:val="00DC10E9"/>
    <w:rsid w:val="00DC1574"/>
    <w:rsid w:val="00DC21D7"/>
    <w:rsid w:val="00DC28AD"/>
    <w:rsid w:val="00DC4176"/>
    <w:rsid w:val="00DC4437"/>
    <w:rsid w:val="00DC47D7"/>
    <w:rsid w:val="00DC4AEF"/>
    <w:rsid w:val="00DC52D1"/>
    <w:rsid w:val="00DC5ED4"/>
    <w:rsid w:val="00DC642B"/>
    <w:rsid w:val="00DC74C0"/>
    <w:rsid w:val="00DD0005"/>
    <w:rsid w:val="00DD0E6B"/>
    <w:rsid w:val="00DD13E8"/>
    <w:rsid w:val="00DD14AA"/>
    <w:rsid w:val="00DD151A"/>
    <w:rsid w:val="00DD1ABD"/>
    <w:rsid w:val="00DD20F8"/>
    <w:rsid w:val="00DD37C5"/>
    <w:rsid w:val="00DD3CED"/>
    <w:rsid w:val="00DD424C"/>
    <w:rsid w:val="00DD5A7A"/>
    <w:rsid w:val="00DD62AF"/>
    <w:rsid w:val="00DD6C5B"/>
    <w:rsid w:val="00DD7259"/>
    <w:rsid w:val="00DD72E7"/>
    <w:rsid w:val="00DD7B7A"/>
    <w:rsid w:val="00DE065B"/>
    <w:rsid w:val="00DE0AD0"/>
    <w:rsid w:val="00DE1082"/>
    <w:rsid w:val="00DE18CC"/>
    <w:rsid w:val="00DE269E"/>
    <w:rsid w:val="00DE27EE"/>
    <w:rsid w:val="00DE293C"/>
    <w:rsid w:val="00DE2D71"/>
    <w:rsid w:val="00DE3D61"/>
    <w:rsid w:val="00DE45ED"/>
    <w:rsid w:val="00DE4965"/>
    <w:rsid w:val="00DE4AC2"/>
    <w:rsid w:val="00DE4C19"/>
    <w:rsid w:val="00DE5032"/>
    <w:rsid w:val="00DE5B80"/>
    <w:rsid w:val="00DE67B0"/>
    <w:rsid w:val="00DE6A4A"/>
    <w:rsid w:val="00DF0098"/>
    <w:rsid w:val="00DF1F12"/>
    <w:rsid w:val="00DF20EE"/>
    <w:rsid w:val="00DF29EE"/>
    <w:rsid w:val="00DF3A44"/>
    <w:rsid w:val="00DF4656"/>
    <w:rsid w:val="00DF4D3A"/>
    <w:rsid w:val="00DF4E4E"/>
    <w:rsid w:val="00DF4EA9"/>
    <w:rsid w:val="00DF687A"/>
    <w:rsid w:val="00DF79DA"/>
    <w:rsid w:val="00E0139C"/>
    <w:rsid w:val="00E020D3"/>
    <w:rsid w:val="00E03421"/>
    <w:rsid w:val="00E03734"/>
    <w:rsid w:val="00E04EC3"/>
    <w:rsid w:val="00E04ED6"/>
    <w:rsid w:val="00E05022"/>
    <w:rsid w:val="00E05E6B"/>
    <w:rsid w:val="00E0716D"/>
    <w:rsid w:val="00E10825"/>
    <w:rsid w:val="00E1191A"/>
    <w:rsid w:val="00E12389"/>
    <w:rsid w:val="00E128E5"/>
    <w:rsid w:val="00E129AE"/>
    <w:rsid w:val="00E130AF"/>
    <w:rsid w:val="00E130C5"/>
    <w:rsid w:val="00E13BF8"/>
    <w:rsid w:val="00E13C2D"/>
    <w:rsid w:val="00E14A5A"/>
    <w:rsid w:val="00E14C31"/>
    <w:rsid w:val="00E15567"/>
    <w:rsid w:val="00E15650"/>
    <w:rsid w:val="00E1627C"/>
    <w:rsid w:val="00E165B8"/>
    <w:rsid w:val="00E169C5"/>
    <w:rsid w:val="00E17465"/>
    <w:rsid w:val="00E17E83"/>
    <w:rsid w:val="00E21619"/>
    <w:rsid w:val="00E22216"/>
    <w:rsid w:val="00E22FE9"/>
    <w:rsid w:val="00E23CCD"/>
    <w:rsid w:val="00E23CEC"/>
    <w:rsid w:val="00E24147"/>
    <w:rsid w:val="00E2448F"/>
    <w:rsid w:val="00E24A46"/>
    <w:rsid w:val="00E250EE"/>
    <w:rsid w:val="00E2709E"/>
    <w:rsid w:val="00E3028F"/>
    <w:rsid w:val="00E317F6"/>
    <w:rsid w:val="00E31F3C"/>
    <w:rsid w:val="00E32572"/>
    <w:rsid w:val="00E32A01"/>
    <w:rsid w:val="00E33C70"/>
    <w:rsid w:val="00E33C89"/>
    <w:rsid w:val="00E34373"/>
    <w:rsid w:val="00E34732"/>
    <w:rsid w:val="00E35DE3"/>
    <w:rsid w:val="00E37FE6"/>
    <w:rsid w:val="00E40EEC"/>
    <w:rsid w:val="00E4189E"/>
    <w:rsid w:val="00E4448F"/>
    <w:rsid w:val="00E44C84"/>
    <w:rsid w:val="00E44CAE"/>
    <w:rsid w:val="00E44DAA"/>
    <w:rsid w:val="00E456B6"/>
    <w:rsid w:val="00E45C7A"/>
    <w:rsid w:val="00E46005"/>
    <w:rsid w:val="00E47A7F"/>
    <w:rsid w:val="00E47D1E"/>
    <w:rsid w:val="00E51AB3"/>
    <w:rsid w:val="00E51DBA"/>
    <w:rsid w:val="00E53969"/>
    <w:rsid w:val="00E54D06"/>
    <w:rsid w:val="00E554B3"/>
    <w:rsid w:val="00E55593"/>
    <w:rsid w:val="00E55CC2"/>
    <w:rsid w:val="00E560C3"/>
    <w:rsid w:val="00E576E2"/>
    <w:rsid w:val="00E60181"/>
    <w:rsid w:val="00E60B36"/>
    <w:rsid w:val="00E61365"/>
    <w:rsid w:val="00E61E2F"/>
    <w:rsid w:val="00E61FC5"/>
    <w:rsid w:val="00E62727"/>
    <w:rsid w:val="00E634B5"/>
    <w:rsid w:val="00E639EB"/>
    <w:rsid w:val="00E6427A"/>
    <w:rsid w:val="00E65820"/>
    <w:rsid w:val="00E664D5"/>
    <w:rsid w:val="00E678E6"/>
    <w:rsid w:val="00E67DCE"/>
    <w:rsid w:val="00E702C8"/>
    <w:rsid w:val="00E70335"/>
    <w:rsid w:val="00E708F9"/>
    <w:rsid w:val="00E711FC"/>
    <w:rsid w:val="00E71279"/>
    <w:rsid w:val="00E718AE"/>
    <w:rsid w:val="00E724AA"/>
    <w:rsid w:val="00E7394C"/>
    <w:rsid w:val="00E740EE"/>
    <w:rsid w:val="00E74DDE"/>
    <w:rsid w:val="00E75092"/>
    <w:rsid w:val="00E7516C"/>
    <w:rsid w:val="00E75CF8"/>
    <w:rsid w:val="00E775A2"/>
    <w:rsid w:val="00E77A6D"/>
    <w:rsid w:val="00E804B6"/>
    <w:rsid w:val="00E80EFB"/>
    <w:rsid w:val="00E82C3E"/>
    <w:rsid w:val="00E847C8"/>
    <w:rsid w:val="00E84970"/>
    <w:rsid w:val="00E84F57"/>
    <w:rsid w:val="00E86B40"/>
    <w:rsid w:val="00E86DE3"/>
    <w:rsid w:val="00E8796F"/>
    <w:rsid w:val="00E906EC"/>
    <w:rsid w:val="00E90A31"/>
    <w:rsid w:val="00E90DB0"/>
    <w:rsid w:val="00E910AD"/>
    <w:rsid w:val="00E92605"/>
    <w:rsid w:val="00E92C25"/>
    <w:rsid w:val="00E92D76"/>
    <w:rsid w:val="00E93421"/>
    <w:rsid w:val="00E935D4"/>
    <w:rsid w:val="00E9546E"/>
    <w:rsid w:val="00E95FC6"/>
    <w:rsid w:val="00E969BE"/>
    <w:rsid w:val="00E978E6"/>
    <w:rsid w:val="00E979C5"/>
    <w:rsid w:val="00EA08A2"/>
    <w:rsid w:val="00EA15C3"/>
    <w:rsid w:val="00EA1BF5"/>
    <w:rsid w:val="00EA1DE9"/>
    <w:rsid w:val="00EA2748"/>
    <w:rsid w:val="00EA3B6F"/>
    <w:rsid w:val="00EA5FF4"/>
    <w:rsid w:val="00EA63F0"/>
    <w:rsid w:val="00EA66BF"/>
    <w:rsid w:val="00EA7314"/>
    <w:rsid w:val="00EA746B"/>
    <w:rsid w:val="00EA776E"/>
    <w:rsid w:val="00EA790C"/>
    <w:rsid w:val="00EA7EE8"/>
    <w:rsid w:val="00EB1AAD"/>
    <w:rsid w:val="00EB2250"/>
    <w:rsid w:val="00EB29DB"/>
    <w:rsid w:val="00EB3FD7"/>
    <w:rsid w:val="00EB4F6A"/>
    <w:rsid w:val="00EB5756"/>
    <w:rsid w:val="00EB611F"/>
    <w:rsid w:val="00EB682B"/>
    <w:rsid w:val="00EB7CDB"/>
    <w:rsid w:val="00EC1348"/>
    <w:rsid w:val="00EC142D"/>
    <w:rsid w:val="00EC146E"/>
    <w:rsid w:val="00EC21C0"/>
    <w:rsid w:val="00EC3460"/>
    <w:rsid w:val="00EC369A"/>
    <w:rsid w:val="00EC371B"/>
    <w:rsid w:val="00EC4385"/>
    <w:rsid w:val="00EC47B4"/>
    <w:rsid w:val="00EC4AD3"/>
    <w:rsid w:val="00EC5C03"/>
    <w:rsid w:val="00EC6C49"/>
    <w:rsid w:val="00EC7D7C"/>
    <w:rsid w:val="00ED012D"/>
    <w:rsid w:val="00ED087A"/>
    <w:rsid w:val="00ED09B4"/>
    <w:rsid w:val="00ED1F41"/>
    <w:rsid w:val="00ED2968"/>
    <w:rsid w:val="00ED381D"/>
    <w:rsid w:val="00ED3B49"/>
    <w:rsid w:val="00ED3BC1"/>
    <w:rsid w:val="00ED43F6"/>
    <w:rsid w:val="00ED50CB"/>
    <w:rsid w:val="00ED5987"/>
    <w:rsid w:val="00ED5FBB"/>
    <w:rsid w:val="00ED7F2C"/>
    <w:rsid w:val="00EE0315"/>
    <w:rsid w:val="00EE059A"/>
    <w:rsid w:val="00EE19A3"/>
    <w:rsid w:val="00EE314F"/>
    <w:rsid w:val="00EE3271"/>
    <w:rsid w:val="00EE3468"/>
    <w:rsid w:val="00EE3F10"/>
    <w:rsid w:val="00EE3F18"/>
    <w:rsid w:val="00EE4460"/>
    <w:rsid w:val="00EE5018"/>
    <w:rsid w:val="00EE591D"/>
    <w:rsid w:val="00EE5E77"/>
    <w:rsid w:val="00EF1BEC"/>
    <w:rsid w:val="00EF2845"/>
    <w:rsid w:val="00EF2A0F"/>
    <w:rsid w:val="00EF5322"/>
    <w:rsid w:val="00EF5449"/>
    <w:rsid w:val="00EF5A4D"/>
    <w:rsid w:val="00EF5CE8"/>
    <w:rsid w:val="00EF7303"/>
    <w:rsid w:val="00F0017E"/>
    <w:rsid w:val="00F0064F"/>
    <w:rsid w:val="00F01D64"/>
    <w:rsid w:val="00F022FD"/>
    <w:rsid w:val="00F03B2B"/>
    <w:rsid w:val="00F0545C"/>
    <w:rsid w:val="00F05774"/>
    <w:rsid w:val="00F05A71"/>
    <w:rsid w:val="00F05EDB"/>
    <w:rsid w:val="00F05F3C"/>
    <w:rsid w:val="00F05F9F"/>
    <w:rsid w:val="00F06A3A"/>
    <w:rsid w:val="00F07158"/>
    <w:rsid w:val="00F07473"/>
    <w:rsid w:val="00F07951"/>
    <w:rsid w:val="00F07BC4"/>
    <w:rsid w:val="00F10629"/>
    <w:rsid w:val="00F10C73"/>
    <w:rsid w:val="00F119D0"/>
    <w:rsid w:val="00F11C46"/>
    <w:rsid w:val="00F128CD"/>
    <w:rsid w:val="00F13584"/>
    <w:rsid w:val="00F14F64"/>
    <w:rsid w:val="00F15119"/>
    <w:rsid w:val="00F15443"/>
    <w:rsid w:val="00F15B00"/>
    <w:rsid w:val="00F162E8"/>
    <w:rsid w:val="00F171D0"/>
    <w:rsid w:val="00F17949"/>
    <w:rsid w:val="00F2003F"/>
    <w:rsid w:val="00F205CD"/>
    <w:rsid w:val="00F20C05"/>
    <w:rsid w:val="00F20C82"/>
    <w:rsid w:val="00F215FF"/>
    <w:rsid w:val="00F220FC"/>
    <w:rsid w:val="00F22933"/>
    <w:rsid w:val="00F23EAD"/>
    <w:rsid w:val="00F24D12"/>
    <w:rsid w:val="00F25421"/>
    <w:rsid w:val="00F27253"/>
    <w:rsid w:val="00F27D5F"/>
    <w:rsid w:val="00F30D81"/>
    <w:rsid w:val="00F31703"/>
    <w:rsid w:val="00F338B1"/>
    <w:rsid w:val="00F33F18"/>
    <w:rsid w:val="00F34175"/>
    <w:rsid w:val="00F34DEC"/>
    <w:rsid w:val="00F35587"/>
    <w:rsid w:val="00F35854"/>
    <w:rsid w:val="00F3631B"/>
    <w:rsid w:val="00F37A91"/>
    <w:rsid w:val="00F4026C"/>
    <w:rsid w:val="00F409EE"/>
    <w:rsid w:val="00F40E03"/>
    <w:rsid w:val="00F41FED"/>
    <w:rsid w:val="00F4209F"/>
    <w:rsid w:val="00F421AD"/>
    <w:rsid w:val="00F42413"/>
    <w:rsid w:val="00F42821"/>
    <w:rsid w:val="00F43012"/>
    <w:rsid w:val="00F43363"/>
    <w:rsid w:val="00F439D3"/>
    <w:rsid w:val="00F43ACF"/>
    <w:rsid w:val="00F44B08"/>
    <w:rsid w:val="00F44B64"/>
    <w:rsid w:val="00F453D0"/>
    <w:rsid w:val="00F45F91"/>
    <w:rsid w:val="00F479E2"/>
    <w:rsid w:val="00F47AE9"/>
    <w:rsid w:val="00F5021D"/>
    <w:rsid w:val="00F50676"/>
    <w:rsid w:val="00F50DE6"/>
    <w:rsid w:val="00F5151B"/>
    <w:rsid w:val="00F5267D"/>
    <w:rsid w:val="00F53051"/>
    <w:rsid w:val="00F5414B"/>
    <w:rsid w:val="00F55BDF"/>
    <w:rsid w:val="00F60EBD"/>
    <w:rsid w:val="00F61803"/>
    <w:rsid w:val="00F65691"/>
    <w:rsid w:val="00F66426"/>
    <w:rsid w:val="00F67214"/>
    <w:rsid w:val="00F7031A"/>
    <w:rsid w:val="00F70C90"/>
    <w:rsid w:val="00F71633"/>
    <w:rsid w:val="00F717CA"/>
    <w:rsid w:val="00F718E8"/>
    <w:rsid w:val="00F71A78"/>
    <w:rsid w:val="00F71FDB"/>
    <w:rsid w:val="00F72533"/>
    <w:rsid w:val="00F72D9B"/>
    <w:rsid w:val="00F73006"/>
    <w:rsid w:val="00F73206"/>
    <w:rsid w:val="00F74540"/>
    <w:rsid w:val="00F74560"/>
    <w:rsid w:val="00F74983"/>
    <w:rsid w:val="00F75C87"/>
    <w:rsid w:val="00F769BB"/>
    <w:rsid w:val="00F76EDF"/>
    <w:rsid w:val="00F77050"/>
    <w:rsid w:val="00F77C5C"/>
    <w:rsid w:val="00F810F0"/>
    <w:rsid w:val="00F81D78"/>
    <w:rsid w:val="00F82478"/>
    <w:rsid w:val="00F829E8"/>
    <w:rsid w:val="00F8333E"/>
    <w:rsid w:val="00F83A62"/>
    <w:rsid w:val="00F83DE8"/>
    <w:rsid w:val="00F83F84"/>
    <w:rsid w:val="00F854EB"/>
    <w:rsid w:val="00F85CA9"/>
    <w:rsid w:val="00F8729C"/>
    <w:rsid w:val="00F87395"/>
    <w:rsid w:val="00F876ED"/>
    <w:rsid w:val="00F90089"/>
    <w:rsid w:val="00F91D35"/>
    <w:rsid w:val="00F91DD3"/>
    <w:rsid w:val="00F925A5"/>
    <w:rsid w:val="00F926FF"/>
    <w:rsid w:val="00F9357A"/>
    <w:rsid w:val="00F93A51"/>
    <w:rsid w:val="00F94155"/>
    <w:rsid w:val="00F946A4"/>
    <w:rsid w:val="00F952D3"/>
    <w:rsid w:val="00F9610D"/>
    <w:rsid w:val="00F96A6E"/>
    <w:rsid w:val="00F96F36"/>
    <w:rsid w:val="00F97B8B"/>
    <w:rsid w:val="00FA0A04"/>
    <w:rsid w:val="00FA0CC5"/>
    <w:rsid w:val="00FA17FB"/>
    <w:rsid w:val="00FA2566"/>
    <w:rsid w:val="00FA265F"/>
    <w:rsid w:val="00FA34E0"/>
    <w:rsid w:val="00FA48CC"/>
    <w:rsid w:val="00FA586F"/>
    <w:rsid w:val="00FA5A38"/>
    <w:rsid w:val="00FA628D"/>
    <w:rsid w:val="00FA6F0D"/>
    <w:rsid w:val="00FA7B02"/>
    <w:rsid w:val="00FB07FA"/>
    <w:rsid w:val="00FB09DE"/>
    <w:rsid w:val="00FB318E"/>
    <w:rsid w:val="00FB42E8"/>
    <w:rsid w:val="00FB4540"/>
    <w:rsid w:val="00FB622F"/>
    <w:rsid w:val="00FB6282"/>
    <w:rsid w:val="00FB6BCB"/>
    <w:rsid w:val="00FB794A"/>
    <w:rsid w:val="00FC018A"/>
    <w:rsid w:val="00FC0522"/>
    <w:rsid w:val="00FC05FA"/>
    <w:rsid w:val="00FC0C02"/>
    <w:rsid w:val="00FC1AA6"/>
    <w:rsid w:val="00FC2354"/>
    <w:rsid w:val="00FC24FC"/>
    <w:rsid w:val="00FC3120"/>
    <w:rsid w:val="00FC355C"/>
    <w:rsid w:val="00FC6DBF"/>
    <w:rsid w:val="00FD07E1"/>
    <w:rsid w:val="00FD19EE"/>
    <w:rsid w:val="00FD21A0"/>
    <w:rsid w:val="00FD248B"/>
    <w:rsid w:val="00FD30E8"/>
    <w:rsid w:val="00FD34E1"/>
    <w:rsid w:val="00FD6408"/>
    <w:rsid w:val="00FD74B0"/>
    <w:rsid w:val="00FE0FFA"/>
    <w:rsid w:val="00FE1006"/>
    <w:rsid w:val="00FE1C60"/>
    <w:rsid w:val="00FE1FD4"/>
    <w:rsid w:val="00FE2FB2"/>
    <w:rsid w:val="00FE3AF6"/>
    <w:rsid w:val="00FE59C8"/>
    <w:rsid w:val="00FE5E55"/>
    <w:rsid w:val="00FE67E5"/>
    <w:rsid w:val="00FE7764"/>
    <w:rsid w:val="00FE7DC6"/>
    <w:rsid w:val="00FF31F3"/>
    <w:rsid w:val="00FF3F9F"/>
    <w:rsid w:val="00FF400D"/>
    <w:rsid w:val="00FF4A13"/>
    <w:rsid w:val="00FF4B2E"/>
    <w:rsid w:val="00FF4F33"/>
    <w:rsid w:val="00FF59CC"/>
    <w:rsid w:val="00FF5CB0"/>
    <w:rsid w:val="00FF629E"/>
    <w:rsid w:val="00FF72D1"/>
    <w:rsid w:val="00FF7E7E"/>
    <w:rsid w:val="00FF7F37"/>
    <w:rsid w:val="00FF7F62"/>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7C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semiHidden="0" w:uiPriority="0" w:unhideWhenUsed="0"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qFormat="1"/>
    <w:lsdException w:name="footnote reference" w:qFormat="1"/>
    <w:lsdException w:name="endnote reference" w:uiPriority="0"/>
    <w:lsdException w:name="List 3" w:uiPriority="0"/>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Document Map" w:uiPriority="0"/>
    <w:lsdException w:name="Outline List 2" w:uiPriority="0"/>
    <w:lsdException w:name="Table Simple 2" w:uiPriority="0"/>
    <w:lsdException w:name="Table Classic 3"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avaden">
    <w:name w:val="Normal"/>
    <w:qFormat/>
    <w:rsid w:val="004C5336"/>
    <w:pPr>
      <w:overflowPunct w:val="0"/>
      <w:autoSpaceDE w:val="0"/>
      <w:autoSpaceDN w:val="0"/>
      <w:adjustRightInd w:val="0"/>
      <w:spacing w:line="280" w:lineRule="atLeast"/>
      <w:jc w:val="both"/>
      <w:textAlignment w:val="baseline"/>
    </w:pPr>
    <w:rPr>
      <w:rFonts w:ascii="Arial" w:eastAsia="Times New Roman" w:hAnsi="Arial"/>
      <w:szCs w:val="16"/>
    </w:rPr>
  </w:style>
  <w:style w:type="paragraph" w:styleId="Naslov10">
    <w:name w:val="heading 1"/>
    <w:aliases w:val="Naslov 1 nuv,Znak,PVO-1"/>
    <w:basedOn w:val="Navaden"/>
    <w:next w:val="Navaden"/>
    <w:link w:val="Naslov1Znak"/>
    <w:qFormat/>
    <w:rsid w:val="003C7C5E"/>
    <w:pPr>
      <w:keepNext/>
      <w:numPr>
        <w:numId w:val="121"/>
      </w:numPr>
      <w:tabs>
        <w:tab w:val="left" w:pos="567"/>
      </w:tabs>
      <w:spacing w:before="240" w:after="240"/>
      <w:mirrorIndents/>
      <w:outlineLvl w:val="0"/>
    </w:pPr>
    <w:rPr>
      <w:b/>
      <w:bCs/>
      <w:kern w:val="32"/>
      <w:sz w:val="28"/>
      <w:szCs w:val="28"/>
      <w:lang w:val="x-none" w:eastAsia="x-none"/>
    </w:rPr>
  </w:style>
  <w:style w:type="paragraph" w:styleId="Naslov20">
    <w:name w:val="heading 2"/>
    <w:aliases w:val="naslov nuv 2,PVO-2"/>
    <w:basedOn w:val="Navaden"/>
    <w:next w:val="Navaden"/>
    <w:link w:val="Naslov2Znak"/>
    <w:unhideWhenUsed/>
    <w:qFormat/>
    <w:rsid w:val="003C7C5E"/>
    <w:pPr>
      <w:keepNext/>
      <w:numPr>
        <w:ilvl w:val="1"/>
        <w:numId w:val="121"/>
      </w:numPr>
      <w:tabs>
        <w:tab w:val="center" w:pos="709"/>
      </w:tabs>
      <w:spacing w:before="480" w:after="240"/>
      <w:jc w:val="left"/>
      <w:outlineLvl w:val="1"/>
    </w:pPr>
    <w:rPr>
      <w:b/>
      <w:bCs/>
      <w:i/>
      <w:iCs/>
      <w:sz w:val="24"/>
      <w:szCs w:val="28"/>
      <w:lang w:val="x-none" w:eastAsia="x-none"/>
    </w:rPr>
  </w:style>
  <w:style w:type="paragraph" w:styleId="Naslov3">
    <w:name w:val="heading 3"/>
    <w:aliases w:val="3 nuv,Pvo-3"/>
    <w:basedOn w:val="Navaden"/>
    <w:next w:val="Navaden"/>
    <w:link w:val="Naslov3Znak"/>
    <w:autoRedefine/>
    <w:unhideWhenUsed/>
    <w:qFormat/>
    <w:rsid w:val="00FE5E55"/>
    <w:pPr>
      <w:keepNext/>
      <w:numPr>
        <w:ilvl w:val="2"/>
        <w:numId w:val="121"/>
      </w:numPr>
      <w:spacing w:before="240" w:after="120" w:line="240" w:lineRule="auto"/>
      <w:outlineLvl w:val="2"/>
    </w:pPr>
    <w:rPr>
      <w:b/>
      <w:bCs/>
      <w:sz w:val="22"/>
      <w:szCs w:val="26"/>
      <w:lang w:val="x-none" w:eastAsia="x-none"/>
    </w:rPr>
  </w:style>
  <w:style w:type="paragraph" w:styleId="Naslov4">
    <w:name w:val="heading 4"/>
    <w:aliases w:val="nuv 2, Znak,Znak3"/>
    <w:basedOn w:val="Navaden"/>
    <w:link w:val="Naslov4Znak"/>
    <w:qFormat/>
    <w:rsid w:val="00424902"/>
    <w:pPr>
      <w:numPr>
        <w:ilvl w:val="3"/>
        <w:numId w:val="121"/>
      </w:numPr>
      <w:tabs>
        <w:tab w:val="center" w:pos="1134"/>
      </w:tabs>
      <w:overflowPunct/>
      <w:autoSpaceDE/>
      <w:autoSpaceDN/>
      <w:adjustRightInd/>
      <w:spacing w:before="100" w:beforeAutospacing="1" w:after="100" w:afterAutospacing="1"/>
      <w:jc w:val="left"/>
      <w:textAlignment w:val="auto"/>
      <w:outlineLvl w:val="3"/>
    </w:pPr>
    <w:rPr>
      <w:b/>
      <w:bCs/>
      <w:color w:val="000000"/>
      <w:szCs w:val="27"/>
      <w:lang w:val="x-none" w:eastAsia="x-none"/>
    </w:rPr>
  </w:style>
  <w:style w:type="paragraph" w:styleId="Naslov5">
    <w:name w:val="heading 5"/>
    <w:aliases w:val="5 nuv"/>
    <w:basedOn w:val="Navaden"/>
    <w:next w:val="Navaden"/>
    <w:link w:val="Naslov5Znak"/>
    <w:uiPriority w:val="99"/>
    <w:unhideWhenUsed/>
    <w:qFormat/>
    <w:rsid w:val="009F10BB"/>
    <w:pPr>
      <w:keepNext/>
      <w:keepLines/>
      <w:numPr>
        <w:ilvl w:val="4"/>
        <w:numId w:val="121"/>
      </w:numPr>
      <w:tabs>
        <w:tab w:val="center" w:pos="1134"/>
      </w:tabs>
      <w:overflowPunct/>
      <w:autoSpaceDE/>
      <w:autoSpaceDN/>
      <w:adjustRightInd/>
      <w:spacing w:before="240" w:after="240"/>
      <w:jc w:val="left"/>
      <w:textAlignment w:val="auto"/>
      <w:outlineLvl w:val="4"/>
    </w:pPr>
    <w:rPr>
      <w:b/>
      <w:szCs w:val="22"/>
      <w:lang w:val="x-none" w:eastAsia="ja-JP"/>
    </w:rPr>
  </w:style>
  <w:style w:type="paragraph" w:styleId="Naslov6">
    <w:name w:val="heading 6"/>
    <w:basedOn w:val="Navaden"/>
    <w:next w:val="Navaden"/>
    <w:link w:val="Naslov6Znak"/>
    <w:unhideWhenUsed/>
    <w:qFormat/>
    <w:rsid w:val="00342A40"/>
    <w:pPr>
      <w:keepNext/>
      <w:keepLines/>
      <w:numPr>
        <w:ilvl w:val="5"/>
        <w:numId w:val="121"/>
      </w:numPr>
      <w:overflowPunct/>
      <w:autoSpaceDE/>
      <w:autoSpaceDN/>
      <w:adjustRightInd/>
      <w:spacing w:before="200"/>
      <w:jc w:val="left"/>
      <w:textAlignment w:val="auto"/>
      <w:outlineLvl w:val="5"/>
    </w:pPr>
    <w:rPr>
      <w:rFonts w:ascii="Cambria" w:hAnsi="Cambria"/>
      <w:i/>
      <w:iCs/>
      <w:color w:val="243F60"/>
      <w:sz w:val="22"/>
      <w:szCs w:val="22"/>
      <w:lang w:val="x-none" w:eastAsia="ja-JP"/>
    </w:rPr>
  </w:style>
  <w:style w:type="paragraph" w:styleId="Naslov7">
    <w:name w:val="heading 7"/>
    <w:basedOn w:val="Navaden"/>
    <w:next w:val="Navaden"/>
    <w:link w:val="Naslov7Znak"/>
    <w:unhideWhenUsed/>
    <w:qFormat/>
    <w:rsid w:val="00342A40"/>
    <w:pPr>
      <w:keepNext/>
      <w:keepLines/>
      <w:numPr>
        <w:ilvl w:val="6"/>
        <w:numId w:val="121"/>
      </w:numPr>
      <w:overflowPunct/>
      <w:autoSpaceDE/>
      <w:autoSpaceDN/>
      <w:adjustRightInd/>
      <w:spacing w:before="200"/>
      <w:jc w:val="left"/>
      <w:textAlignment w:val="auto"/>
      <w:outlineLvl w:val="6"/>
    </w:pPr>
    <w:rPr>
      <w:rFonts w:ascii="Cambria" w:hAnsi="Cambria"/>
      <w:i/>
      <w:iCs/>
      <w:color w:val="404040"/>
      <w:sz w:val="22"/>
      <w:szCs w:val="22"/>
      <w:lang w:val="x-none" w:eastAsia="ja-JP"/>
    </w:rPr>
  </w:style>
  <w:style w:type="paragraph" w:styleId="Naslov8">
    <w:name w:val="heading 8"/>
    <w:basedOn w:val="Navaden"/>
    <w:next w:val="Navaden"/>
    <w:link w:val="Naslov8Znak"/>
    <w:unhideWhenUsed/>
    <w:qFormat/>
    <w:rsid w:val="00342A40"/>
    <w:pPr>
      <w:keepNext/>
      <w:keepLines/>
      <w:numPr>
        <w:ilvl w:val="7"/>
        <w:numId w:val="121"/>
      </w:numPr>
      <w:overflowPunct/>
      <w:autoSpaceDE/>
      <w:autoSpaceDN/>
      <w:adjustRightInd/>
      <w:spacing w:before="200"/>
      <w:jc w:val="left"/>
      <w:textAlignment w:val="auto"/>
      <w:outlineLvl w:val="7"/>
    </w:pPr>
    <w:rPr>
      <w:rFonts w:ascii="Cambria" w:hAnsi="Cambria"/>
      <w:color w:val="4F81BD"/>
      <w:szCs w:val="20"/>
      <w:lang w:val="x-none" w:eastAsia="ja-JP"/>
    </w:rPr>
  </w:style>
  <w:style w:type="paragraph" w:styleId="Naslov9">
    <w:name w:val="heading 9"/>
    <w:basedOn w:val="Navaden"/>
    <w:next w:val="Navaden"/>
    <w:link w:val="Naslov9Znak"/>
    <w:unhideWhenUsed/>
    <w:qFormat/>
    <w:rsid w:val="00342A40"/>
    <w:pPr>
      <w:keepNext/>
      <w:keepLines/>
      <w:numPr>
        <w:ilvl w:val="8"/>
        <w:numId w:val="121"/>
      </w:numPr>
      <w:overflowPunct/>
      <w:autoSpaceDE/>
      <w:autoSpaceDN/>
      <w:adjustRightInd/>
      <w:spacing w:before="200"/>
      <w:jc w:val="left"/>
      <w:textAlignment w:val="auto"/>
      <w:outlineLvl w:val="8"/>
    </w:pPr>
    <w:rPr>
      <w:rFonts w:ascii="Cambria" w:hAnsi="Cambria"/>
      <w:i/>
      <w:iCs/>
      <w:color w:val="404040"/>
      <w:szCs w:val="20"/>
      <w:lang w:val="x-none" w:eastAsia="ja-JP"/>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Alinejazarkovnotoko">
    <w:name w:val="Alineja za črkovno točko"/>
    <w:basedOn w:val="Alineazatevilnotoko"/>
    <w:link w:val="AlinejazarkovnotokoZnak"/>
    <w:qFormat/>
    <w:rsid w:val="0019232A"/>
    <w:pPr>
      <w:ind w:left="454"/>
    </w:pPr>
  </w:style>
  <w:style w:type="paragraph" w:styleId="Noga">
    <w:name w:val="footer"/>
    <w:aliases w:val="Footer1"/>
    <w:basedOn w:val="Navaden"/>
    <w:link w:val="NogaZnak"/>
    <w:uiPriority w:val="99"/>
    <w:unhideWhenUsed/>
    <w:rsid w:val="00653C19"/>
    <w:pPr>
      <w:tabs>
        <w:tab w:val="center" w:pos="4536"/>
        <w:tab w:val="right" w:pos="9072"/>
      </w:tabs>
    </w:pPr>
    <w:rPr>
      <w:rFonts w:ascii="Times New Roman" w:eastAsia="Calibri" w:hAnsi="Times New Roman"/>
      <w:szCs w:val="20"/>
      <w:lang w:val="x-none" w:eastAsia="x-none"/>
    </w:rPr>
  </w:style>
  <w:style w:type="character" w:customStyle="1" w:styleId="NogaZnak">
    <w:name w:val="Noga Znak"/>
    <w:aliases w:val="Footer1 Znak"/>
    <w:link w:val="Noga"/>
    <w:uiPriority w:val="99"/>
    <w:rsid w:val="00653C19"/>
    <w:rPr>
      <w:rFonts w:ascii="Times New Roman" w:hAnsi="Times New Roman"/>
    </w:rPr>
  </w:style>
  <w:style w:type="paragraph" w:styleId="Glava">
    <w:name w:val="header"/>
    <w:aliases w:val="Header-PR"/>
    <w:basedOn w:val="Navaden"/>
    <w:link w:val="GlavaZnak"/>
    <w:uiPriority w:val="99"/>
    <w:rsid w:val="00443548"/>
    <w:pPr>
      <w:tabs>
        <w:tab w:val="center" w:pos="4536"/>
        <w:tab w:val="right" w:pos="9072"/>
      </w:tabs>
    </w:pPr>
    <w:rPr>
      <w:sz w:val="16"/>
      <w:lang w:val="x-none"/>
    </w:rPr>
  </w:style>
  <w:style w:type="character" w:customStyle="1" w:styleId="GlavaZnak">
    <w:name w:val="Glava Znak"/>
    <w:aliases w:val="Header-PR Znak"/>
    <w:link w:val="Glava"/>
    <w:uiPriority w:val="99"/>
    <w:rsid w:val="00443548"/>
    <w:rPr>
      <w:rFonts w:ascii="Arial" w:eastAsia="Times New Roman" w:hAnsi="Arial" w:cs="Times New Roman"/>
      <w:sz w:val="16"/>
      <w:szCs w:val="16"/>
      <w:lang w:eastAsia="sl-SI"/>
    </w:rPr>
  </w:style>
  <w:style w:type="paragraph" w:customStyle="1" w:styleId="Vrstapredpisa">
    <w:name w:val="Vrsta predpisa"/>
    <w:basedOn w:val="Navaden"/>
    <w:link w:val="VrstapredpisaZnak"/>
    <w:qFormat/>
    <w:rsid w:val="00A40E63"/>
    <w:pPr>
      <w:suppressAutoHyphens/>
      <w:spacing w:before="480"/>
      <w:jc w:val="center"/>
    </w:pPr>
    <w:rPr>
      <w:b/>
      <w:bCs/>
      <w:color w:val="000000"/>
      <w:spacing w:val="40"/>
      <w:sz w:val="22"/>
      <w:szCs w:val="22"/>
      <w:lang w:val="x-none" w:eastAsia="x-none"/>
    </w:rPr>
  </w:style>
  <w:style w:type="paragraph" w:customStyle="1" w:styleId="Naslovpredpisa">
    <w:name w:val="Naslov_predpisa"/>
    <w:basedOn w:val="Navaden"/>
    <w:link w:val="NaslovpredpisaZnak"/>
    <w:qFormat/>
    <w:rsid w:val="00FA628D"/>
    <w:pPr>
      <w:suppressAutoHyphens/>
      <w:jc w:val="center"/>
    </w:pPr>
    <w:rPr>
      <w:b/>
      <w:sz w:val="22"/>
      <w:szCs w:val="22"/>
      <w:lang w:val="x-none" w:eastAsia="x-none"/>
    </w:rPr>
  </w:style>
  <w:style w:type="character" w:customStyle="1" w:styleId="VrstapredpisaZnak">
    <w:name w:val="Vrsta predpisa Znak"/>
    <w:link w:val="Vrstapredpisa"/>
    <w:rsid w:val="00A40E63"/>
    <w:rPr>
      <w:rFonts w:ascii="Arial" w:eastAsia="Times New Roman" w:hAnsi="Arial" w:cs="Arial"/>
      <w:b/>
      <w:bCs/>
      <w:color w:val="000000"/>
      <w:spacing w:val="40"/>
      <w:sz w:val="22"/>
      <w:szCs w:val="22"/>
    </w:rPr>
  </w:style>
  <w:style w:type="paragraph" w:customStyle="1" w:styleId="Poglavje">
    <w:name w:val="Poglavje"/>
    <w:basedOn w:val="Navaden"/>
    <w:qFormat/>
    <w:rsid w:val="00625CE5"/>
    <w:pPr>
      <w:suppressAutoHyphens/>
      <w:spacing w:before="480"/>
      <w:jc w:val="center"/>
    </w:pPr>
    <w:rPr>
      <w:rFonts w:cs="Arial"/>
      <w:szCs w:val="22"/>
    </w:rPr>
  </w:style>
  <w:style w:type="character" w:customStyle="1" w:styleId="NaslovpredpisaZnak">
    <w:name w:val="Naslov_predpisa Znak"/>
    <w:link w:val="Naslovpredpisa"/>
    <w:rsid w:val="00A40E63"/>
    <w:rPr>
      <w:rFonts w:ascii="Arial" w:eastAsia="Times New Roman" w:hAnsi="Arial" w:cs="Arial"/>
      <w:b/>
      <w:sz w:val="22"/>
      <w:szCs w:val="22"/>
    </w:rPr>
  </w:style>
  <w:style w:type="paragraph" w:customStyle="1" w:styleId="nuvbrez">
    <w:name w:val="nuv brez"/>
    <w:basedOn w:val="Navaden"/>
    <w:uiPriority w:val="99"/>
    <w:qFormat/>
    <w:rsid w:val="00D75325"/>
    <w:pPr>
      <w:overflowPunct/>
      <w:autoSpaceDE/>
      <w:autoSpaceDN/>
      <w:adjustRightInd/>
      <w:spacing w:line="264" w:lineRule="auto"/>
      <w:textAlignment w:val="auto"/>
    </w:pPr>
    <w:rPr>
      <w:rFonts w:cs="Arial"/>
      <w:b/>
      <w:sz w:val="24"/>
      <w:szCs w:val="22"/>
      <w:lang w:eastAsia="ja-JP"/>
    </w:rPr>
  </w:style>
  <w:style w:type="paragraph" w:styleId="Besedilooblaka">
    <w:name w:val="Balloon Text"/>
    <w:basedOn w:val="Navaden"/>
    <w:link w:val="BesedilooblakaZnak"/>
    <w:uiPriority w:val="99"/>
    <w:semiHidden/>
    <w:rsid w:val="001A77AE"/>
    <w:rPr>
      <w:rFonts w:ascii="Tahoma" w:hAnsi="Tahoma"/>
      <w:sz w:val="16"/>
      <w:lang w:val="x-none" w:eastAsia="x-none"/>
    </w:rPr>
  </w:style>
  <w:style w:type="numbering" w:customStyle="1" w:styleId="NoList1">
    <w:name w:val="No List1"/>
    <w:next w:val="Brezseznama"/>
    <w:uiPriority w:val="99"/>
    <w:semiHidden/>
    <w:unhideWhenUsed/>
    <w:rsid w:val="00BA6CBA"/>
  </w:style>
  <w:style w:type="paragraph" w:customStyle="1" w:styleId="Odstavek">
    <w:name w:val="Odstavek"/>
    <w:basedOn w:val="Navaden"/>
    <w:link w:val="OdstavekZnak"/>
    <w:qFormat/>
    <w:rsid w:val="00AC6273"/>
    <w:pPr>
      <w:spacing w:before="240"/>
      <w:ind w:firstLine="1021"/>
    </w:pPr>
    <w:rPr>
      <w:sz w:val="22"/>
      <w:szCs w:val="22"/>
      <w:lang w:val="x-none" w:eastAsia="x-none"/>
    </w:rPr>
  </w:style>
  <w:style w:type="paragraph" w:customStyle="1" w:styleId="Pravnapodlaga">
    <w:name w:val="Pravna podlaga"/>
    <w:basedOn w:val="Odstavek"/>
    <w:link w:val="PravnapodlagaZnak"/>
    <w:qFormat/>
    <w:rsid w:val="00357591"/>
    <w:pPr>
      <w:spacing w:before="480"/>
    </w:pPr>
  </w:style>
  <w:style w:type="character" w:customStyle="1" w:styleId="OdstavekZnak">
    <w:name w:val="Odstavek Znak"/>
    <w:link w:val="Odstavek"/>
    <w:rsid w:val="00AC6273"/>
    <w:rPr>
      <w:rFonts w:ascii="Arial" w:eastAsia="Times New Roman" w:hAnsi="Arial" w:cs="Arial"/>
      <w:sz w:val="22"/>
      <w:szCs w:val="22"/>
    </w:rPr>
  </w:style>
  <w:style w:type="character" w:customStyle="1" w:styleId="AlinejazarkovnotokoZnak">
    <w:name w:val="Alineja za črkovno točko Znak"/>
    <w:link w:val="Alinejazarkovnotoko"/>
    <w:rsid w:val="0019232A"/>
    <w:rPr>
      <w:rFonts w:ascii="Arial" w:eastAsia="Times New Roman" w:hAnsi="Arial"/>
      <w:sz w:val="22"/>
      <w:szCs w:val="22"/>
      <w:lang w:val="x-none" w:eastAsia="x-none"/>
    </w:rPr>
  </w:style>
  <w:style w:type="paragraph" w:customStyle="1" w:styleId="Pa0">
    <w:name w:val="Pa0"/>
    <w:basedOn w:val="Navaden"/>
    <w:next w:val="Navaden"/>
    <w:uiPriority w:val="99"/>
    <w:rsid w:val="00357591"/>
    <w:pPr>
      <w:overflowPunct/>
      <w:spacing w:line="201" w:lineRule="atLeast"/>
      <w:jc w:val="left"/>
      <w:textAlignment w:val="auto"/>
    </w:pPr>
    <w:rPr>
      <w:rFonts w:eastAsia="Calibri" w:cs="Arial"/>
      <w:sz w:val="24"/>
      <w:szCs w:val="24"/>
      <w:lang w:eastAsia="en-US"/>
    </w:rPr>
  </w:style>
  <w:style w:type="paragraph" w:customStyle="1" w:styleId="atekst">
    <w:name w:val="a_tekst"/>
    <w:rsid w:val="00493E8B"/>
    <w:pPr>
      <w:overflowPunct w:val="0"/>
      <w:autoSpaceDE w:val="0"/>
      <w:autoSpaceDN w:val="0"/>
      <w:adjustRightInd w:val="0"/>
      <w:spacing w:line="200" w:lineRule="exact"/>
      <w:ind w:firstLine="397"/>
      <w:jc w:val="both"/>
      <w:textAlignment w:val="baseline"/>
    </w:pPr>
    <w:rPr>
      <w:rFonts w:ascii="Arial" w:eastAsia="Times New Roman" w:hAnsi="Arial" w:cs="Arial"/>
      <w:sz w:val="17"/>
      <w:szCs w:val="17"/>
    </w:rPr>
  </w:style>
  <w:style w:type="paragraph" w:customStyle="1" w:styleId="aodloktekst">
    <w:name w:val="a_odloktekst"/>
    <w:basedOn w:val="atekst"/>
    <w:next w:val="atekst"/>
    <w:rsid w:val="00493E8B"/>
    <w:pPr>
      <w:suppressAutoHyphens/>
      <w:spacing w:before="60" w:line="220" w:lineRule="exact"/>
      <w:ind w:firstLine="0"/>
      <w:jc w:val="center"/>
    </w:pPr>
    <w:rPr>
      <w:b/>
      <w:bCs/>
      <w:color w:val="0000FF"/>
      <w:sz w:val="20"/>
      <w:szCs w:val="20"/>
    </w:rPr>
  </w:style>
  <w:style w:type="paragraph" w:customStyle="1" w:styleId="aodlok">
    <w:name w:val="a_odlok"/>
    <w:basedOn w:val="atekst"/>
    <w:next w:val="aodloktekst"/>
    <w:rsid w:val="00493E8B"/>
    <w:pPr>
      <w:suppressAutoHyphens/>
      <w:spacing w:before="240" w:line="220" w:lineRule="exact"/>
      <w:ind w:firstLine="0"/>
      <w:jc w:val="center"/>
    </w:pPr>
    <w:rPr>
      <w:b/>
      <w:bCs/>
      <w:color w:val="0000FF"/>
      <w:sz w:val="20"/>
      <w:szCs w:val="20"/>
    </w:rPr>
  </w:style>
  <w:style w:type="paragraph" w:customStyle="1" w:styleId="anaslovsv">
    <w:name w:val="a_naslovsv"/>
    <w:basedOn w:val="atekst"/>
    <w:next w:val="atekst"/>
    <w:rsid w:val="00493E8B"/>
    <w:pPr>
      <w:suppressAutoHyphens/>
      <w:spacing w:before="240"/>
      <w:ind w:firstLine="0"/>
      <w:jc w:val="center"/>
      <w:outlineLvl w:val="3"/>
    </w:pPr>
  </w:style>
  <w:style w:type="paragraph" w:customStyle="1" w:styleId="anaslovpk">
    <w:name w:val="a_naslovpk"/>
    <w:basedOn w:val="atekst"/>
    <w:next w:val="atekst"/>
    <w:rsid w:val="00493E8B"/>
    <w:pPr>
      <w:suppressAutoHyphens/>
      <w:spacing w:before="180"/>
      <w:ind w:firstLine="0"/>
      <w:jc w:val="center"/>
      <w:outlineLvl w:val="3"/>
    </w:pPr>
  </w:style>
  <w:style w:type="paragraph" w:customStyle="1" w:styleId="Oddelek">
    <w:name w:val="Oddelek"/>
    <w:basedOn w:val="Navaden"/>
    <w:link w:val="OddelekZnak1"/>
    <w:qFormat/>
    <w:rsid w:val="00357591"/>
    <w:pPr>
      <w:tabs>
        <w:tab w:val="left" w:pos="540"/>
        <w:tab w:val="left" w:pos="900"/>
      </w:tabs>
      <w:spacing w:before="480"/>
      <w:jc w:val="center"/>
    </w:pPr>
    <w:rPr>
      <w:sz w:val="22"/>
      <w:szCs w:val="22"/>
      <w:lang w:val="x-none" w:eastAsia="x-none"/>
    </w:rPr>
  </w:style>
  <w:style w:type="paragraph" w:customStyle="1" w:styleId="Odsek">
    <w:name w:val="Odsek"/>
    <w:basedOn w:val="Navaden"/>
    <w:link w:val="OdsekZnak"/>
    <w:qFormat/>
    <w:rsid w:val="00357591"/>
    <w:pPr>
      <w:tabs>
        <w:tab w:val="left" w:pos="567"/>
        <w:tab w:val="left" w:pos="993"/>
      </w:tabs>
      <w:spacing w:before="480" w:line="240" w:lineRule="atLeast"/>
      <w:jc w:val="center"/>
    </w:pPr>
    <w:rPr>
      <w:sz w:val="22"/>
      <w:szCs w:val="22"/>
      <w:lang w:val="x-none" w:eastAsia="x-none"/>
    </w:rPr>
  </w:style>
  <w:style w:type="paragraph" w:customStyle="1" w:styleId="Del">
    <w:name w:val="Del"/>
    <w:basedOn w:val="Poglavje"/>
    <w:link w:val="DelZnak"/>
    <w:qFormat/>
    <w:rsid w:val="00357591"/>
    <w:rPr>
      <w:rFonts w:cs="Times New Roman"/>
      <w:sz w:val="22"/>
      <w:lang w:val="x-none" w:eastAsia="x-none"/>
    </w:rPr>
  </w:style>
  <w:style w:type="character" w:customStyle="1" w:styleId="OddelekZnak1">
    <w:name w:val="Oddelek Znak1"/>
    <w:link w:val="Oddelek"/>
    <w:rsid w:val="00357591"/>
    <w:rPr>
      <w:rFonts w:ascii="Arial" w:eastAsia="Times New Roman" w:hAnsi="Arial" w:cs="Arial"/>
      <w:sz w:val="22"/>
      <w:szCs w:val="22"/>
    </w:rPr>
  </w:style>
  <w:style w:type="character" w:customStyle="1" w:styleId="OdsekZnak">
    <w:name w:val="Odsek Znak"/>
    <w:link w:val="Odsek"/>
    <w:rsid w:val="00357591"/>
    <w:rPr>
      <w:rFonts w:ascii="Arial" w:eastAsia="Times New Roman" w:hAnsi="Arial" w:cs="Arial"/>
      <w:sz w:val="22"/>
      <w:szCs w:val="22"/>
    </w:rPr>
  </w:style>
  <w:style w:type="paragraph" w:customStyle="1" w:styleId="Naslovnadlenom">
    <w:name w:val="Naslov nad členom"/>
    <w:basedOn w:val="Navaden"/>
    <w:link w:val="NaslovnadlenomZnak"/>
    <w:qFormat/>
    <w:rsid w:val="00357591"/>
    <w:pPr>
      <w:tabs>
        <w:tab w:val="left" w:pos="540"/>
        <w:tab w:val="left" w:pos="900"/>
      </w:tabs>
      <w:spacing w:before="480"/>
      <w:jc w:val="center"/>
    </w:pPr>
    <w:rPr>
      <w:b/>
      <w:sz w:val="22"/>
      <w:szCs w:val="22"/>
      <w:lang w:val="x-none" w:eastAsia="x-none"/>
    </w:rPr>
  </w:style>
  <w:style w:type="character" w:customStyle="1" w:styleId="DelZnak">
    <w:name w:val="Del Znak"/>
    <w:link w:val="Del"/>
    <w:rsid w:val="00357591"/>
    <w:rPr>
      <w:rFonts w:ascii="Arial" w:eastAsia="Times New Roman" w:hAnsi="Arial" w:cs="Arial"/>
      <w:sz w:val="22"/>
      <w:szCs w:val="22"/>
    </w:rPr>
  </w:style>
  <w:style w:type="character" w:customStyle="1" w:styleId="NaslovnadlenomZnak">
    <w:name w:val="Naslov nad členom Znak"/>
    <w:link w:val="Naslovnadlenom"/>
    <w:rsid w:val="00357591"/>
    <w:rPr>
      <w:rFonts w:ascii="Arial" w:eastAsia="Times New Roman" w:hAnsi="Arial" w:cs="Arial"/>
      <w:b/>
      <w:sz w:val="22"/>
      <w:szCs w:val="22"/>
    </w:rPr>
  </w:style>
  <w:style w:type="paragraph" w:customStyle="1" w:styleId="aclen">
    <w:name w:val="a_clen"/>
    <w:basedOn w:val="atekst"/>
    <w:next w:val="atekst"/>
    <w:rsid w:val="00493E8B"/>
    <w:pPr>
      <w:suppressAutoHyphens/>
      <w:spacing w:before="120" w:after="60"/>
      <w:ind w:firstLine="0"/>
      <w:jc w:val="center"/>
      <w:outlineLvl w:val="4"/>
    </w:pPr>
  </w:style>
  <w:style w:type="paragraph" w:customStyle="1" w:styleId="aclenpodnaslov">
    <w:name w:val="a_clenpodnaslov"/>
    <w:basedOn w:val="aclen"/>
    <w:next w:val="atekst"/>
    <w:rsid w:val="00493E8B"/>
    <w:pPr>
      <w:spacing w:before="0"/>
      <w:outlineLvl w:val="9"/>
    </w:pPr>
  </w:style>
  <w:style w:type="paragraph" w:customStyle="1" w:styleId="apodpis">
    <w:name w:val="a_podpis"/>
    <w:basedOn w:val="atekst"/>
    <w:rsid w:val="00493E8B"/>
    <w:pPr>
      <w:suppressAutoHyphens/>
      <w:ind w:left="1134" w:firstLine="0"/>
      <w:jc w:val="center"/>
    </w:pPr>
  </w:style>
  <w:style w:type="paragraph" w:customStyle="1" w:styleId="Nazivpodpisnika">
    <w:name w:val="Naziv podpisnika"/>
    <w:basedOn w:val="Navaden"/>
    <w:link w:val="NazivpodpisnikaZnak"/>
    <w:rsid w:val="006D65A2"/>
    <w:pPr>
      <w:tabs>
        <w:tab w:val="left" w:pos="6521"/>
      </w:tabs>
      <w:ind w:left="5670"/>
    </w:pPr>
    <w:rPr>
      <w:sz w:val="22"/>
      <w:szCs w:val="22"/>
      <w:lang w:val="x-none" w:eastAsia="x-none"/>
    </w:rPr>
  </w:style>
  <w:style w:type="paragraph" w:customStyle="1" w:styleId="atekstdat">
    <w:name w:val="a_tekst_dat"/>
    <w:basedOn w:val="atekst"/>
    <w:uiPriority w:val="99"/>
    <w:rsid w:val="00493E8B"/>
    <w:rPr>
      <w:b/>
      <w:color w:val="FF0000"/>
    </w:rPr>
  </w:style>
  <w:style w:type="character" w:customStyle="1" w:styleId="NazivpodpisnikaZnak">
    <w:name w:val="Naziv podpisnika Znak"/>
    <w:link w:val="Nazivpodpisnika"/>
    <w:rsid w:val="006D65A2"/>
    <w:rPr>
      <w:rFonts w:ascii="Arial" w:eastAsia="Times New Roman" w:hAnsi="Arial" w:cs="Arial"/>
      <w:sz w:val="22"/>
      <w:szCs w:val="22"/>
    </w:rPr>
  </w:style>
  <w:style w:type="paragraph" w:customStyle="1" w:styleId="rkovnatokazaodstavkom">
    <w:name w:val="Črkovna točka_za odstavkom"/>
    <w:basedOn w:val="Navaden"/>
    <w:link w:val="rkovnatokazaodstavkomZnak"/>
    <w:qFormat/>
    <w:rsid w:val="00FA628D"/>
    <w:rPr>
      <w:sz w:val="22"/>
      <w:szCs w:val="22"/>
      <w:lang w:val="x-none" w:eastAsia="x-none"/>
    </w:rPr>
  </w:style>
  <w:style w:type="paragraph" w:customStyle="1" w:styleId="Alineazatevilnotoko">
    <w:name w:val="Alinea za številčno točko"/>
    <w:basedOn w:val="Alineazaodstavkom"/>
    <w:link w:val="AlineazatevilnotokoZnak"/>
    <w:qFormat/>
    <w:rsid w:val="00C71C33"/>
    <w:pPr>
      <w:ind w:left="567" w:hanging="170"/>
    </w:pPr>
  </w:style>
  <w:style w:type="character" w:customStyle="1" w:styleId="rkovnatokazaodstavkomZnak">
    <w:name w:val="Črkovna točka_za odstavkom Znak"/>
    <w:link w:val="rkovnatokazaodstavkom"/>
    <w:rsid w:val="00FA628D"/>
    <w:rPr>
      <w:rFonts w:ascii="Arial" w:eastAsia="Times New Roman" w:hAnsi="Arial"/>
      <w:sz w:val="22"/>
      <w:szCs w:val="22"/>
      <w:lang w:val="x-none" w:eastAsia="x-none"/>
    </w:rPr>
  </w:style>
  <w:style w:type="paragraph" w:customStyle="1" w:styleId="tevilnatoka">
    <w:name w:val="Številčna točka"/>
    <w:basedOn w:val="Navaden"/>
    <w:link w:val="tevilnatokaZnak"/>
    <w:qFormat/>
    <w:rsid w:val="006D65A2"/>
    <w:pPr>
      <w:numPr>
        <w:numId w:val="4"/>
      </w:numPr>
      <w:tabs>
        <w:tab w:val="left" w:pos="540"/>
        <w:tab w:val="left" w:pos="900"/>
      </w:tabs>
      <w:overflowPunct/>
      <w:autoSpaceDE/>
      <w:autoSpaceDN/>
      <w:adjustRightInd/>
      <w:textAlignment w:val="auto"/>
    </w:pPr>
    <w:rPr>
      <w:sz w:val="22"/>
      <w:szCs w:val="22"/>
      <w:lang w:val="x-none" w:eastAsia="x-none"/>
    </w:rPr>
  </w:style>
  <w:style w:type="character" w:customStyle="1" w:styleId="AlineazatevilnotokoZnak">
    <w:name w:val="Alinea za številčno točko Znak"/>
    <w:link w:val="Alineazatevilnotoko"/>
    <w:rsid w:val="00C71C33"/>
    <w:rPr>
      <w:rFonts w:ascii="Arial" w:eastAsia="Times New Roman" w:hAnsi="Arial"/>
      <w:sz w:val="22"/>
      <w:szCs w:val="22"/>
      <w:lang w:val="x-none" w:eastAsia="x-none"/>
    </w:rPr>
  </w:style>
  <w:style w:type="paragraph" w:customStyle="1" w:styleId="rkovnatokazatevilnotoko">
    <w:name w:val="Črkovna točka za številčno točko"/>
    <w:basedOn w:val="tevilnatoka"/>
    <w:link w:val="rkovnatokazatevilnotokoZnak"/>
    <w:qFormat/>
    <w:rsid w:val="006D65A2"/>
    <w:pPr>
      <w:numPr>
        <w:numId w:val="6"/>
      </w:numPr>
      <w:ind w:left="907" w:hanging="510"/>
    </w:pPr>
  </w:style>
  <w:style w:type="character" w:customStyle="1" w:styleId="tevilnatokaZnak">
    <w:name w:val="Številčna točka Znak"/>
    <w:link w:val="tevilnatoka"/>
    <w:rsid w:val="006D65A2"/>
    <w:rPr>
      <w:rFonts w:ascii="Arial" w:eastAsia="Times New Roman" w:hAnsi="Arial"/>
      <w:sz w:val="22"/>
      <w:szCs w:val="22"/>
      <w:lang w:val="x-none" w:eastAsia="x-none"/>
    </w:rPr>
  </w:style>
  <w:style w:type="paragraph" w:customStyle="1" w:styleId="Alineazaodstavkom">
    <w:name w:val="Alinea za odstavkom"/>
    <w:basedOn w:val="Navaden"/>
    <w:link w:val="AlineazaodstavkomZnak"/>
    <w:qFormat/>
    <w:rsid w:val="006D65A2"/>
    <w:pPr>
      <w:numPr>
        <w:numId w:val="5"/>
      </w:numPr>
      <w:tabs>
        <w:tab w:val="left" w:pos="540"/>
        <w:tab w:val="left" w:pos="900"/>
      </w:tabs>
      <w:overflowPunct/>
      <w:autoSpaceDE/>
      <w:autoSpaceDN/>
      <w:adjustRightInd/>
      <w:textAlignment w:val="auto"/>
    </w:pPr>
    <w:rPr>
      <w:sz w:val="22"/>
      <w:szCs w:val="22"/>
      <w:lang w:val="x-none" w:eastAsia="x-none"/>
    </w:rPr>
  </w:style>
  <w:style w:type="character" w:customStyle="1" w:styleId="rkovnatokazatevilnotokoZnak">
    <w:name w:val="Črkovna točka za številčno točko Znak"/>
    <w:link w:val="rkovnatokazatevilnotoko"/>
    <w:rsid w:val="006D65A2"/>
    <w:rPr>
      <w:rFonts w:ascii="Arial" w:eastAsia="Times New Roman" w:hAnsi="Arial"/>
      <w:sz w:val="22"/>
      <w:szCs w:val="22"/>
      <w:lang w:val="x-none" w:eastAsia="x-none"/>
    </w:rPr>
  </w:style>
  <w:style w:type="paragraph" w:customStyle="1" w:styleId="tevilkanakoncupredpisa">
    <w:name w:val="Številka na koncu predpisa"/>
    <w:basedOn w:val="Datumsprejetja"/>
    <w:link w:val="tevilkanakoncupredpisaZnak"/>
    <w:qFormat/>
    <w:rsid w:val="00357591"/>
    <w:pPr>
      <w:spacing w:before="480"/>
    </w:pPr>
  </w:style>
  <w:style w:type="character" w:customStyle="1" w:styleId="AlineazaodstavkomZnak">
    <w:name w:val="Alinea za odstavkom Znak"/>
    <w:link w:val="Alineazaodstavkom"/>
    <w:rsid w:val="006D65A2"/>
    <w:rPr>
      <w:rFonts w:ascii="Arial" w:eastAsia="Times New Roman" w:hAnsi="Arial"/>
      <w:sz w:val="22"/>
      <w:szCs w:val="22"/>
      <w:lang w:val="x-none" w:eastAsia="x-none"/>
    </w:rPr>
  </w:style>
  <w:style w:type="paragraph" w:customStyle="1" w:styleId="Datumsprejetja">
    <w:name w:val="Datum sprejetja"/>
    <w:basedOn w:val="Navaden"/>
    <w:link w:val="DatumsprejetjaZnak"/>
    <w:qFormat/>
    <w:rsid w:val="00357591"/>
    <w:pPr>
      <w:tabs>
        <w:tab w:val="left" w:pos="567"/>
        <w:tab w:val="left" w:pos="900"/>
        <w:tab w:val="left" w:pos="1440"/>
        <w:tab w:val="left" w:pos="1872"/>
        <w:tab w:val="left" w:pos="2880"/>
        <w:tab w:val="left" w:pos="5760"/>
      </w:tabs>
    </w:pPr>
    <w:rPr>
      <w:snapToGrid w:val="0"/>
      <w:color w:val="000000"/>
      <w:sz w:val="22"/>
      <w:szCs w:val="22"/>
      <w:lang w:val="x-none" w:eastAsia="x-none"/>
    </w:rPr>
  </w:style>
  <w:style w:type="character" w:customStyle="1" w:styleId="tevilkanakoncupredpisaZnak">
    <w:name w:val="Številka na koncu predpisa Znak"/>
    <w:link w:val="tevilkanakoncupredpisa"/>
    <w:rsid w:val="009C7DEB"/>
    <w:rPr>
      <w:rFonts w:ascii="Arial" w:eastAsia="Times New Roman" w:hAnsi="Arial" w:cs="Arial"/>
      <w:snapToGrid w:val="0"/>
      <w:color w:val="000000"/>
      <w:sz w:val="22"/>
      <w:szCs w:val="22"/>
    </w:rPr>
  </w:style>
  <w:style w:type="paragraph" w:customStyle="1" w:styleId="Podpisnik">
    <w:name w:val="Podpisnik"/>
    <w:basedOn w:val="Navaden"/>
    <w:link w:val="PodpisnikZnak"/>
    <w:qFormat/>
    <w:rsid w:val="006D65A2"/>
    <w:pPr>
      <w:tabs>
        <w:tab w:val="left" w:pos="6521"/>
      </w:tabs>
      <w:ind w:left="5670"/>
    </w:pPr>
    <w:rPr>
      <w:sz w:val="22"/>
      <w:szCs w:val="22"/>
      <w:lang w:val="x-none" w:eastAsia="x-none"/>
    </w:rPr>
  </w:style>
  <w:style w:type="character" w:customStyle="1" w:styleId="DatumsprejetjaZnak">
    <w:name w:val="Datum sprejetja Znak"/>
    <w:link w:val="Datumsprejetja"/>
    <w:rsid w:val="009C7DEB"/>
    <w:rPr>
      <w:rFonts w:ascii="Arial" w:eastAsia="Times New Roman" w:hAnsi="Arial" w:cs="Arial"/>
      <w:snapToGrid w:val="0"/>
      <w:color w:val="000000"/>
      <w:sz w:val="22"/>
      <w:szCs w:val="22"/>
    </w:rPr>
  </w:style>
  <w:style w:type="character" w:styleId="Hiperpovezava">
    <w:name w:val="Hyperlink"/>
    <w:uiPriority w:val="99"/>
    <w:unhideWhenUsed/>
    <w:rsid w:val="00625461"/>
    <w:rPr>
      <w:color w:val="0000FF"/>
      <w:u w:val="single"/>
    </w:rPr>
  </w:style>
  <w:style w:type="character" w:customStyle="1" w:styleId="PodpisnikZnak">
    <w:name w:val="Podpisnik Znak"/>
    <w:link w:val="Podpisnik"/>
    <w:rsid w:val="006D65A2"/>
    <w:rPr>
      <w:rFonts w:ascii="Arial" w:eastAsia="Times New Roman" w:hAnsi="Arial" w:cs="Arial"/>
      <w:sz w:val="22"/>
      <w:szCs w:val="22"/>
    </w:rPr>
  </w:style>
  <w:style w:type="paragraph" w:customStyle="1" w:styleId="lennaslov">
    <w:name w:val="Člen_naslov"/>
    <w:basedOn w:val="Navaden"/>
    <w:uiPriority w:val="99"/>
    <w:qFormat/>
    <w:rsid w:val="0054314E"/>
    <w:pPr>
      <w:suppressAutoHyphens/>
      <w:jc w:val="center"/>
    </w:pPr>
    <w:rPr>
      <w:b/>
      <w:szCs w:val="22"/>
      <w:lang w:val="x-none" w:eastAsia="x-none"/>
    </w:rPr>
  </w:style>
  <w:style w:type="character" w:customStyle="1" w:styleId="PravnapodlagaZnak">
    <w:name w:val="Pravna podlaga Znak"/>
    <w:link w:val="Pravnapodlaga"/>
    <w:rsid w:val="00357591"/>
    <w:rPr>
      <w:rFonts w:ascii="Arial" w:eastAsia="Times New Roman" w:hAnsi="Arial" w:cs="Arial"/>
      <w:sz w:val="22"/>
      <w:szCs w:val="22"/>
    </w:rPr>
  </w:style>
  <w:style w:type="paragraph" w:customStyle="1" w:styleId="Pododdelek">
    <w:name w:val="Pododdelek"/>
    <w:basedOn w:val="Navaden"/>
    <w:link w:val="PododdelekZnak"/>
    <w:qFormat/>
    <w:rsid w:val="00357591"/>
    <w:pPr>
      <w:tabs>
        <w:tab w:val="left" w:pos="540"/>
        <w:tab w:val="left" w:pos="900"/>
      </w:tabs>
      <w:spacing w:before="480"/>
      <w:jc w:val="center"/>
    </w:pPr>
    <w:rPr>
      <w:sz w:val="22"/>
      <w:szCs w:val="22"/>
      <w:lang w:val="x-none" w:eastAsia="x-none"/>
    </w:rPr>
  </w:style>
  <w:style w:type="character" w:customStyle="1" w:styleId="Komentar-sklic">
    <w:name w:val="Komentar - sklic"/>
    <w:semiHidden/>
    <w:rsid w:val="00357591"/>
    <w:rPr>
      <w:sz w:val="16"/>
      <w:szCs w:val="16"/>
    </w:rPr>
  </w:style>
  <w:style w:type="character" w:customStyle="1" w:styleId="PododdelekZnak">
    <w:name w:val="Pododdelek Znak"/>
    <w:link w:val="Pododdelek"/>
    <w:rsid w:val="00357591"/>
    <w:rPr>
      <w:rFonts w:ascii="Arial" w:eastAsia="Times New Roman" w:hAnsi="Arial" w:cs="Arial"/>
      <w:sz w:val="22"/>
      <w:szCs w:val="22"/>
    </w:rPr>
  </w:style>
  <w:style w:type="paragraph" w:customStyle="1" w:styleId="EVA">
    <w:name w:val="EVA"/>
    <w:basedOn w:val="Navaden"/>
    <w:link w:val="EVAZnak"/>
    <w:qFormat/>
    <w:rsid w:val="00357591"/>
    <w:pPr>
      <w:tabs>
        <w:tab w:val="left" w:pos="567"/>
        <w:tab w:val="left" w:pos="900"/>
      </w:tabs>
    </w:pPr>
    <w:rPr>
      <w:color w:val="000000"/>
      <w:sz w:val="22"/>
      <w:szCs w:val="22"/>
      <w:lang w:val="x-none" w:eastAsia="x-none"/>
    </w:rPr>
  </w:style>
  <w:style w:type="paragraph" w:styleId="Navadensplet">
    <w:name w:val="Normal (Web)"/>
    <w:aliases w:val="Normal (Tabele)"/>
    <w:basedOn w:val="Navaden"/>
    <w:uiPriority w:val="99"/>
    <w:unhideWhenUsed/>
    <w:rsid w:val="00AE7827"/>
    <w:pPr>
      <w:overflowPunct/>
      <w:autoSpaceDE/>
      <w:autoSpaceDN/>
      <w:adjustRightInd/>
      <w:spacing w:after="161"/>
      <w:textAlignment w:val="auto"/>
    </w:pPr>
    <w:rPr>
      <w:rFonts w:ascii="Times New Roman" w:hAnsi="Times New Roman"/>
      <w:color w:val="333333"/>
      <w:sz w:val="14"/>
      <w:szCs w:val="14"/>
    </w:rPr>
  </w:style>
  <w:style w:type="character" w:customStyle="1" w:styleId="EVAZnak">
    <w:name w:val="EVA Znak"/>
    <w:link w:val="EVA"/>
    <w:rsid w:val="009C7DEB"/>
    <w:rPr>
      <w:rFonts w:ascii="Arial" w:eastAsia="Times New Roman" w:hAnsi="Arial" w:cs="Arial"/>
      <w:color w:val="000000"/>
      <w:sz w:val="22"/>
      <w:szCs w:val="22"/>
    </w:rPr>
  </w:style>
  <w:style w:type="paragraph" w:customStyle="1" w:styleId="Komentar-besedilo">
    <w:name w:val="Komentar - besedilo"/>
    <w:basedOn w:val="Navaden"/>
    <w:link w:val="Komentar-besediloZnak"/>
    <w:semiHidden/>
    <w:rsid w:val="00357591"/>
    <w:pPr>
      <w:overflowPunct/>
      <w:autoSpaceDE/>
      <w:autoSpaceDN/>
      <w:adjustRightInd/>
      <w:textAlignment w:val="auto"/>
    </w:pPr>
    <w:rPr>
      <w:szCs w:val="20"/>
      <w:lang w:val="x-none" w:eastAsia="en-US"/>
    </w:rPr>
  </w:style>
  <w:style w:type="character" w:customStyle="1" w:styleId="Komentar-besediloZnak">
    <w:name w:val="Komentar - besedilo Znak"/>
    <w:link w:val="Komentar-besedilo"/>
    <w:semiHidden/>
    <w:rsid w:val="00357591"/>
    <w:rPr>
      <w:rFonts w:ascii="Arial" w:eastAsia="Times New Roman" w:hAnsi="Arial"/>
      <w:lang w:eastAsia="en-US"/>
    </w:rPr>
  </w:style>
  <w:style w:type="paragraph" w:customStyle="1" w:styleId="Imeorgana">
    <w:name w:val="Ime organa"/>
    <w:basedOn w:val="Navaden"/>
    <w:link w:val="ImeorganaZnak"/>
    <w:qFormat/>
    <w:rsid w:val="00357591"/>
    <w:pPr>
      <w:tabs>
        <w:tab w:val="left" w:pos="6521"/>
      </w:tabs>
      <w:spacing w:before="480"/>
      <w:ind w:left="5670"/>
      <w:jc w:val="left"/>
    </w:pPr>
    <w:rPr>
      <w:sz w:val="22"/>
      <w:szCs w:val="22"/>
      <w:lang w:val="x-none" w:eastAsia="x-none"/>
    </w:rPr>
  </w:style>
  <w:style w:type="character" w:customStyle="1" w:styleId="Naslov4Znak">
    <w:name w:val="Naslov 4 Znak"/>
    <w:aliases w:val="nuv 2 Znak, Znak Znak,Znak3 Znak"/>
    <w:link w:val="Naslov4"/>
    <w:rsid w:val="00424902"/>
    <w:rPr>
      <w:rFonts w:ascii="Arial" w:eastAsia="Times New Roman" w:hAnsi="Arial"/>
      <w:b/>
      <w:bCs/>
      <w:color w:val="000000"/>
      <w:szCs w:val="27"/>
      <w:lang w:val="x-none" w:eastAsia="x-none"/>
    </w:rPr>
  </w:style>
  <w:style w:type="paragraph" w:customStyle="1" w:styleId="Alineja">
    <w:name w:val="Alineja"/>
    <w:basedOn w:val="Navaden"/>
    <w:link w:val="AlinejaZnak"/>
    <w:qFormat/>
    <w:rsid w:val="004F06B5"/>
    <w:pPr>
      <w:numPr>
        <w:numId w:val="2"/>
      </w:numPr>
      <w:spacing w:line="200" w:lineRule="exact"/>
    </w:pPr>
    <w:rPr>
      <w:sz w:val="17"/>
      <w:szCs w:val="17"/>
      <w:lang w:val="x-none" w:eastAsia="x-none"/>
    </w:rPr>
  </w:style>
  <w:style w:type="character" w:customStyle="1" w:styleId="AlinejaZnak">
    <w:name w:val="Alineja Znak"/>
    <w:link w:val="Alineja"/>
    <w:rsid w:val="004F06B5"/>
    <w:rPr>
      <w:rFonts w:ascii="Arial" w:eastAsia="Times New Roman" w:hAnsi="Arial"/>
      <w:sz w:val="17"/>
      <w:szCs w:val="17"/>
      <w:lang w:val="x-none" w:eastAsia="x-none"/>
    </w:rPr>
  </w:style>
  <w:style w:type="paragraph" w:customStyle="1" w:styleId="Opozorilo">
    <w:name w:val="Opozorilo"/>
    <w:basedOn w:val="Navaden"/>
    <w:link w:val="OpozoriloZnak"/>
    <w:qFormat/>
    <w:rsid w:val="00AC6273"/>
    <w:pPr>
      <w:spacing w:before="240" w:after="360" w:line="200" w:lineRule="exact"/>
    </w:pPr>
    <w:rPr>
      <w:color w:val="808080"/>
      <w:sz w:val="17"/>
      <w:szCs w:val="17"/>
      <w:lang w:val="x-none" w:eastAsia="x-none"/>
    </w:rPr>
  </w:style>
  <w:style w:type="character" w:customStyle="1" w:styleId="OpozoriloZnak">
    <w:name w:val="Opozorilo Znak"/>
    <w:link w:val="Opozorilo"/>
    <w:rsid w:val="00AC6273"/>
    <w:rPr>
      <w:rFonts w:ascii="Arial" w:eastAsia="Times New Roman" w:hAnsi="Arial" w:cs="Arial"/>
      <w:color w:val="808080"/>
      <w:sz w:val="17"/>
      <w:szCs w:val="17"/>
    </w:rPr>
  </w:style>
  <w:style w:type="paragraph" w:customStyle="1" w:styleId="len">
    <w:name w:val="Člen"/>
    <w:basedOn w:val="Navaden"/>
    <w:link w:val="lenZnak"/>
    <w:qFormat/>
    <w:rsid w:val="00BA6CBA"/>
    <w:pPr>
      <w:suppressAutoHyphens/>
      <w:spacing w:before="480"/>
      <w:jc w:val="center"/>
    </w:pPr>
    <w:rPr>
      <w:b/>
      <w:sz w:val="22"/>
      <w:szCs w:val="22"/>
      <w:lang w:val="x-none" w:eastAsia="x-none"/>
    </w:rPr>
  </w:style>
  <w:style w:type="paragraph" w:customStyle="1" w:styleId="Priloga">
    <w:name w:val="Priloga"/>
    <w:basedOn w:val="Navaden"/>
    <w:link w:val="PrilogaZnak"/>
    <w:qFormat/>
    <w:rsid w:val="009C7DEB"/>
    <w:pPr>
      <w:spacing w:before="380" w:after="60" w:line="200" w:lineRule="exact"/>
    </w:pPr>
    <w:rPr>
      <w:b/>
      <w:sz w:val="17"/>
      <w:szCs w:val="17"/>
      <w:lang w:val="x-none" w:eastAsia="x-none"/>
    </w:rPr>
  </w:style>
  <w:style w:type="character" w:customStyle="1" w:styleId="lenZnak">
    <w:name w:val="Člen Znak"/>
    <w:link w:val="len"/>
    <w:rsid w:val="00BA6CBA"/>
    <w:rPr>
      <w:rFonts w:ascii="Arial" w:eastAsia="Times New Roman" w:hAnsi="Arial"/>
      <w:b/>
      <w:sz w:val="22"/>
      <w:szCs w:val="22"/>
      <w:lang w:val="x-none" w:eastAsia="x-none"/>
    </w:rPr>
  </w:style>
  <w:style w:type="character" w:customStyle="1" w:styleId="PrilogaZnak">
    <w:name w:val="Priloga Znak"/>
    <w:link w:val="Priloga"/>
    <w:rsid w:val="009C7DEB"/>
    <w:rPr>
      <w:rFonts w:ascii="Arial" w:eastAsia="Times New Roman" w:hAnsi="Arial" w:cs="Arial"/>
      <w:b/>
      <w:sz w:val="17"/>
      <w:szCs w:val="17"/>
    </w:rPr>
  </w:style>
  <w:style w:type="paragraph" w:customStyle="1" w:styleId="rta">
    <w:name w:val="Črta"/>
    <w:basedOn w:val="Navaden"/>
    <w:link w:val="rtaZnak"/>
    <w:qFormat/>
    <w:rsid w:val="004F06B5"/>
    <w:pPr>
      <w:spacing w:before="360"/>
      <w:jc w:val="center"/>
    </w:pPr>
    <w:rPr>
      <w:sz w:val="22"/>
      <w:szCs w:val="22"/>
      <w:lang w:val="x-none" w:eastAsia="x-none"/>
    </w:rPr>
  </w:style>
  <w:style w:type="paragraph" w:customStyle="1" w:styleId="NPB">
    <w:name w:val="NPB"/>
    <w:basedOn w:val="Vrstapredpisa"/>
    <w:qFormat/>
    <w:rsid w:val="00AC6273"/>
    <w:rPr>
      <w:spacing w:val="0"/>
    </w:rPr>
  </w:style>
  <w:style w:type="character" w:customStyle="1" w:styleId="rtaZnak">
    <w:name w:val="Črta Znak"/>
    <w:link w:val="rta"/>
    <w:rsid w:val="004F06B5"/>
    <w:rPr>
      <w:rFonts w:ascii="Arial" w:eastAsia="Times New Roman" w:hAnsi="Arial" w:cs="Arial"/>
      <w:sz w:val="22"/>
      <w:szCs w:val="22"/>
    </w:rPr>
  </w:style>
  <w:style w:type="paragraph" w:customStyle="1" w:styleId="Zamaknjenadolobaprvinivo">
    <w:name w:val="Zamaknjena določba_prvi nivo"/>
    <w:basedOn w:val="Alineazaodstavkom"/>
    <w:link w:val="ZamaknjenadolobaprvinivoZnak"/>
    <w:qFormat/>
    <w:rsid w:val="00134138"/>
    <w:pPr>
      <w:numPr>
        <w:numId w:val="0"/>
      </w:numPr>
    </w:pPr>
  </w:style>
  <w:style w:type="paragraph" w:customStyle="1" w:styleId="Zamaknjenadolobadruginivo">
    <w:name w:val="Zamaknjena določba_drugi nivo"/>
    <w:basedOn w:val="rkovnatokazatevilnotoko"/>
    <w:link w:val="ZamaknjenadolobadruginivoZnak"/>
    <w:qFormat/>
    <w:rsid w:val="00A14B5C"/>
    <w:pPr>
      <w:numPr>
        <w:numId w:val="0"/>
      </w:numPr>
      <w:ind w:left="397"/>
    </w:pPr>
  </w:style>
  <w:style w:type="character" w:customStyle="1" w:styleId="ZamaknjenadolobaprvinivoZnak">
    <w:name w:val="Zamaknjena določba_prvi nivo Znak"/>
    <w:link w:val="Zamaknjenadolobaprvinivo"/>
    <w:rsid w:val="00134138"/>
    <w:rPr>
      <w:rFonts w:ascii="Arial" w:eastAsia="Times New Roman" w:hAnsi="Arial" w:cs="Arial"/>
      <w:sz w:val="22"/>
      <w:szCs w:val="22"/>
    </w:rPr>
  </w:style>
  <w:style w:type="character" w:customStyle="1" w:styleId="ZamaknjenadolobadruginivoZnak">
    <w:name w:val="Zamaknjena določba_drugi nivo Znak"/>
    <w:link w:val="Zamaknjenadolobadruginivo"/>
    <w:rsid w:val="00A14B5C"/>
    <w:rPr>
      <w:rFonts w:ascii="Arial" w:eastAsia="Times New Roman" w:hAnsi="Arial" w:cs="Arial"/>
      <w:sz w:val="22"/>
      <w:szCs w:val="22"/>
    </w:rPr>
  </w:style>
  <w:style w:type="paragraph" w:customStyle="1" w:styleId="Alineazapodtoko">
    <w:name w:val="Alinea za podtočko"/>
    <w:basedOn w:val="Alineazaodstavkom"/>
    <w:link w:val="AlineazapodtokoZnak"/>
    <w:qFormat/>
    <w:rsid w:val="00A14B5C"/>
    <w:pPr>
      <w:ind w:left="1134" w:hanging="227"/>
    </w:pPr>
  </w:style>
  <w:style w:type="paragraph" w:customStyle="1" w:styleId="Zamakanjenadolobatretjinivo">
    <w:name w:val="Zamakanjena določba_tretji nivo"/>
    <w:basedOn w:val="Zamaknjenadolobadruginivo"/>
    <w:link w:val="ZamakanjenadolobatretjinivoZnak"/>
    <w:qFormat/>
    <w:rsid w:val="00A14B5C"/>
    <w:pPr>
      <w:ind w:left="907"/>
    </w:pPr>
  </w:style>
  <w:style w:type="character" w:customStyle="1" w:styleId="AlineazapodtokoZnak">
    <w:name w:val="Alinea za podtočko Znak"/>
    <w:link w:val="Alineazapodtoko"/>
    <w:rsid w:val="009C7DEB"/>
    <w:rPr>
      <w:rFonts w:ascii="Arial" w:eastAsia="Times New Roman" w:hAnsi="Arial"/>
      <w:sz w:val="22"/>
      <w:szCs w:val="22"/>
      <w:lang w:val="x-none" w:eastAsia="x-none"/>
    </w:rPr>
  </w:style>
  <w:style w:type="numbering" w:customStyle="1" w:styleId="Alinejazaodstavkom">
    <w:name w:val="Alineja za odstavkom"/>
    <w:uiPriority w:val="99"/>
    <w:rsid w:val="007B1C11"/>
  </w:style>
  <w:style w:type="character" w:customStyle="1" w:styleId="ZamakanjenadolobatretjinivoZnak">
    <w:name w:val="Zamakanjena določba_tretji nivo Znak"/>
    <w:link w:val="Zamakanjenadolobatretjinivo"/>
    <w:rsid w:val="00A14B5C"/>
    <w:rPr>
      <w:rFonts w:ascii="Arial" w:eastAsia="Times New Roman" w:hAnsi="Arial" w:cs="Arial"/>
      <w:sz w:val="22"/>
      <w:szCs w:val="22"/>
    </w:rPr>
  </w:style>
  <w:style w:type="character" w:customStyle="1" w:styleId="ImeorganaZnak">
    <w:name w:val="Ime organa Znak"/>
    <w:link w:val="Imeorgana"/>
    <w:rsid w:val="00357591"/>
    <w:rPr>
      <w:rFonts w:ascii="Arial" w:eastAsia="Times New Roman" w:hAnsi="Arial" w:cs="Arial"/>
      <w:sz w:val="22"/>
      <w:szCs w:val="22"/>
    </w:rPr>
  </w:style>
  <w:style w:type="paragraph" w:styleId="Odstavekseznama">
    <w:name w:val="List Paragraph"/>
    <w:aliases w:val="Heading 2_sj,Dot pt,Povzetek odstavka"/>
    <w:basedOn w:val="Navaden"/>
    <w:link w:val="OdstavekseznamaZnak"/>
    <w:uiPriority w:val="34"/>
    <w:qFormat/>
    <w:rsid w:val="007E0CB5"/>
    <w:pPr>
      <w:ind w:left="708"/>
    </w:pPr>
    <w:rPr>
      <w:lang w:val="x-none" w:eastAsia="x-none"/>
    </w:rPr>
  </w:style>
  <w:style w:type="paragraph" w:customStyle="1" w:styleId="odstavek0">
    <w:name w:val="odstavek"/>
    <w:basedOn w:val="Navaden"/>
    <w:rsid w:val="00C0439E"/>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tevilnatoka0">
    <w:name w:val="tevilnatoka"/>
    <w:basedOn w:val="Navaden"/>
    <w:uiPriority w:val="99"/>
    <w:rsid w:val="00C0439E"/>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Default">
    <w:name w:val="Default"/>
    <w:uiPriority w:val="99"/>
    <w:rsid w:val="00342A40"/>
    <w:pPr>
      <w:autoSpaceDE w:val="0"/>
      <w:autoSpaceDN w:val="0"/>
      <w:adjustRightInd w:val="0"/>
    </w:pPr>
    <w:rPr>
      <w:rFonts w:ascii="HGIJDP+Arial" w:eastAsia="Times New Roman" w:hAnsi="HGIJDP+Arial" w:cs="HGIJDP+Arial"/>
      <w:color w:val="000000"/>
      <w:sz w:val="24"/>
      <w:szCs w:val="24"/>
      <w:lang w:eastAsia="ja-JP"/>
    </w:rPr>
  </w:style>
  <w:style w:type="character" w:customStyle="1" w:styleId="Naslov3Znak">
    <w:name w:val="Naslov 3 Znak"/>
    <w:aliases w:val="3 nuv Znak,Pvo-3 Znak"/>
    <w:link w:val="Naslov3"/>
    <w:rsid w:val="00FE5E55"/>
    <w:rPr>
      <w:rFonts w:ascii="Arial" w:eastAsia="Times New Roman" w:hAnsi="Arial"/>
      <w:b/>
      <w:bCs/>
      <w:sz w:val="22"/>
      <w:szCs w:val="26"/>
      <w:lang w:val="x-none" w:eastAsia="x-none"/>
    </w:rPr>
  </w:style>
  <w:style w:type="character" w:customStyle="1" w:styleId="OdstavekseznamaZnak">
    <w:name w:val="Odstavek seznama Znak"/>
    <w:aliases w:val="Heading 2_sj Znak,Dot pt Znak,Povzetek odstavka Znak"/>
    <w:link w:val="Odstavekseznama"/>
    <w:uiPriority w:val="34"/>
    <w:locked/>
    <w:rsid w:val="007E0CB5"/>
    <w:rPr>
      <w:rFonts w:ascii="Arial" w:eastAsia="Times New Roman" w:hAnsi="Arial"/>
      <w:szCs w:val="16"/>
      <w:lang w:val="x-none" w:eastAsia="x-none"/>
    </w:rPr>
  </w:style>
  <w:style w:type="character" w:customStyle="1" w:styleId="Naslov1Znak">
    <w:name w:val="Naslov 1 Znak"/>
    <w:aliases w:val="Naslov 1 nuv Znak,Znak Znak6,PVO-1 Znak"/>
    <w:link w:val="Naslov10"/>
    <w:rsid w:val="003C7C5E"/>
    <w:rPr>
      <w:rFonts w:ascii="Arial" w:eastAsia="Times New Roman" w:hAnsi="Arial"/>
      <w:b/>
      <w:bCs/>
      <w:kern w:val="32"/>
      <w:sz w:val="28"/>
      <w:szCs w:val="28"/>
      <w:lang w:val="x-none" w:eastAsia="x-none"/>
    </w:rPr>
  </w:style>
  <w:style w:type="character" w:customStyle="1" w:styleId="Sprotnaopomba-besediloZnak">
    <w:name w:val="Sprotna opomba - besedilo Znak"/>
    <w:aliases w:val="Footnote Znak,Footnote text Znak,Testo nota a piè di pagina_Rientro Znak,stile 1 Znak,Footnote1 Znak,Footnote2 Znak,Footnote3 Znak,Footnote4 Znak,Footnote5 Znak,Footnote6 Znak,Footnote7 Znak,Footnote8 Znak,Footnote9 Znak"/>
    <w:link w:val="Sprotnaopomba-besedilo"/>
    <w:uiPriority w:val="99"/>
    <w:locked/>
    <w:rsid w:val="00852D80"/>
    <w:rPr>
      <w:rFonts w:ascii="Arial" w:hAnsi="Arial" w:cs="Tahoma"/>
      <w:sz w:val="18"/>
      <w:lang w:val="x-none" w:eastAsia="x-none"/>
    </w:rPr>
  </w:style>
  <w:style w:type="paragraph" w:styleId="Sprotnaopomba-besedilo">
    <w:name w:val="footnote text"/>
    <w:aliases w:val="Footnote,Footnote text,Testo nota a piè di pagina_Rientro,stile 1,Footnote1,Footnote2,Footnote3,Footnote4,Footnote5,Footnote6,Footnote7,Footnote8,Footnote9,Footnote10,Footnote11,Footnote21,Footnote31,Footnote41,Footnote51,ft,o"/>
    <w:basedOn w:val="Navaden"/>
    <w:link w:val="Sprotnaopomba-besediloZnak"/>
    <w:uiPriority w:val="99"/>
    <w:unhideWhenUsed/>
    <w:qFormat/>
    <w:rsid w:val="00852D80"/>
    <w:pPr>
      <w:overflowPunct/>
      <w:autoSpaceDE/>
      <w:autoSpaceDN/>
      <w:adjustRightInd/>
      <w:jc w:val="left"/>
      <w:textAlignment w:val="auto"/>
    </w:pPr>
    <w:rPr>
      <w:rFonts w:eastAsia="Calibri"/>
      <w:sz w:val="18"/>
      <w:szCs w:val="20"/>
      <w:lang w:val="x-none" w:eastAsia="x-none"/>
    </w:rPr>
  </w:style>
  <w:style w:type="character" w:customStyle="1" w:styleId="Sprotnaopomba-besediloZnak1">
    <w:name w:val="Sprotna opomba - besedilo Znak1"/>
    <w:aliases w:val="Footnote Znak1,Footnote text Znak1,Testo nota a piè di pagina_Rientro Znak1,stile 1 Znak1,Footnote1 Znak1,Footnote2 Znak1,Footnote3 Znak1,Footnote4 Znak1,Footnote5 Znak1,Footnote6 Znak1,Footnote7 Znak1,Footnote8 Znak1"/>
    <w:uiPriority w:val="99"/>
    <w:semiHidden/>
    <w:rsid w:val="00342A40"/>
    <w:rPr>
      <w:rFonts w:ascii="Arial" w:eastAsia="Times New Roman" w:hAnsi="Arial"/>
    </w:rPr>
  </w:style>
  <w:style w:type="paragraph" w:styleId="Pripombabesedilo">
    <w:name w:val="annotation text"/>
    <w:basedOn w:val="Navaden"/>
    <w:link w:val="PripombabesediloZnak"/>
    <w:uiPriority w:val="99"/>
    <w:unhideWhenUsed/>
    <w:rsid w:val="00342A40"/>
    <w:pPr>
      <w:overflowPunct/>
      <w:autoSpaceDE/>
      <w:autoSpaceDN/>
      <w:adjustRightInd/>
      <w:jc w:val="left"/>
      <w:textAlignment w:val="auto"/>
    </w:pPr>
    <w:rPr>
      <w:szCs w:val="22"/>
      <w:lang w:val="x-none" w:eastAsia="ja-JP"/>
    </w:rPr>
  </w:style>
  <w:style w:type="character" w:customStyle="1" w:styleId="PripombabesediloZnak">
    <w:name w:val="Pripomba – besedilo Znak"/>
    <w:link w:val="Pripombabesedilo"/>
    <w:uiPriority w:val="99"/>
    <w:rsid w:val="00342A40"/>
    <w:rPr>
      <w:rFonts w:ascii="Arial" w:eastAsia="Times New Roman" w:hAnsi="Arial"/>
      <w:szCs w:val="22"/>
      <w:lang w:eastAsia="ja-JP"/>
    </w:rPr>
  </w:style>
  <w:style w:type="paragraph" w:customStyle="1" w:styleId="Napis2">
    <w:name w:val="Napis2"/>
    <w:aliases w:val="Znak Znak Znak Znak Znak,Znak Znak Znak,Preglednica,Slika,Tabele,Znak Znak"/>
    <w:basedOn w:val="Navaden"/>
    <w:next w:val="Navaden"/>
    <w:uiPriority w:val="99"/>
    <w:qFormat/>
    <w:rsid w:val="00327C62"/>
    <w:pPr>
      <w:overflowPunct/>
      <w:autoSpaceDE/>
      <w:autoSpaceDN/>
      <w:adjustRightInd/>
      <w:jc w:val="left"/>
      <w:textAlignment w:val="auto"/>
    </w:pPr>
    <w:rPr>
      <w:b/>
      <w:bCs/>
      <w:szCs w:val="18"/>
      <w:lang w:eastAsia="ja-JP"/>
    </w:rPr>
  </w:style>
  <w:style w:type="paragraph" w:customStyle="1" w:styleId="Natevanjeotevileno">
    <w:name w:val="Naštevanje oštevilčeno"/>
    <w:basedOn w:val="Navaden"/>
    <w:uiPriority w:val="99"/>
    <w:rsid w:val="00342A40"/>
    <w:pPr>
      <w:numPr>
        <w:numId w:val="8"/>
      </w:numPr>
      <w:overflowPunct/>
      <w:autoSpaceDE/>
      <w:autoSpaceDN/>
      <w:adjustRightInd/>
      <w:textAlignment w:val="auto"/>
    </w:pPr>
    <w:rPr>
      <w:rFonts w:ascii="Calibri" w:hAnsi="Calibri"/>
      <w:szCs w:val="22"/>
      <w:lang w:eastAsia="ja-JP"/>
    </w:rPr>
  </w:style>
  <w:style w:type="character" w:styleId="Sprotnaopomba-sklic">
    <w:name w:val="footnote reference"/>
    <w:aliases w:val="Footnote symbol,Fussnota,Footnote reference number,note TESI,SUPERS,EN Footnote Reference,-E Fußnotenzeichen,number,Times 10 Point,Exposant 3 Point,Footnote Reference_LVL6,Footnote Reference_LVL61,Footnote Reference_LVL62,stylish"/>
    <w:uiPriority w:val="99"/>
    <w:unhideWhenUsed/>
    <w:qFormat/>
    <w:rsid w:val="00342A40"/>
    <w:rPr>
      <w:vertAlign w:val="superscript"/>
    </w:rPr>
  </w:style>
  <w:style w:type="character" w:styleId="Pripombasklic">
    <w:name w:val="annotation reference"/>
    <w:uiPriority w:val="99"/>
    <w:unhideWhenUsed/>
    <w:rsid w:val="00342A40"/>
    <w:rPr>
      <w:sz w:val="16"/>
      <w:szCs w:val="16"/>
    </w:rPr>
  </w:style>
  <w:style w:type="character" w:customStyle="1" w:styleId="hps">
    <w:name w:val="hps"/>
    <w:uiPriority w:val="99"/>
    <w:rsid w:val="00342A40"/>
  </w:style>
  <w:style w:type="table" w:styleId="Tabelamrea">
    <w:name w:val="Table Grid"/>
    <w:basedOn w:val="Navadnatabela"/>
    <w:uiPriority w:val="39"/>
    <w:rsid w:val="00342A40"/>
    <w:rPr>
      <w:rFonts w:eastAsia="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Znak">
    <w:name w:val="Naslov 2 Znak"/>
    <w:aliases w:val="naslov nuv 2 Znak,PVO-2 Znak"/>
    <w:link w:val="Naslov20"/>
    <w:rsid w:val="003C7C5E"/>
    <w:rPr>
      <w:rFonts w:ascii="Arial" w:eastAsia="Times New Roman" w:hAnsi="Arial"/>
      <w:b/>
      <w:bCs/>
      <w:i/>
      <w:iCs/>
      <w:sz w:val="24"/>
      <w:szCs w:val="28"/>
      <w:lang w:val="x-none" w:eastAsia="x-none"/>
    </w:rPr>
  </w:style>
  <w:style w:type="character" w:customStyle="1" w:styleId="ImepregledniceZnak">
    <w:name w:val="Ime preglednice Znak"/>
    <w:aliases w:val="slike Znak"/>
    <w:link w:val="Imepreglednice"/>
    <w:uiPriority w:val="99"/>
    <w:locked/>
    <w:rsid w:val="00342A40"/>
  </w:style>
  <w:style w:type="paragraph" w:customStyle="1" w:styleId="Imepreglednice">
    <w:name w:val="Ime preglednice"/>
    <w:aliases w:val="slike"/>
    <w:basedOn w:val="Navaden"/>
    <w:link w:val="ImepregledniceZnak"/>
    <w:uiPriority w:val="99"/>
    <w:rsid w:val="00342A40"/>
    <w:pPr>
      <w:overflowPunct/>
      <w:autoSpaceDE/>
      <w:autoSpaceDN/>
      <w:adjustRightInd/>
      <w:textAlignment w:val="auto"/>
    </w:pPr>
    <w:rPr>
      <w:rFonts w:ascii="Calibri" w:eastAsia="Calibri" w:hAnsi="Calibri"/>
      <w:szCs w:val="20"/>
    </w:rPr>
  </w:style>
  <w:style w:type="character" w:customStyle="1" w:styleId="Preglednicalevo">
    <w:name w:val="Preglednica levo"/>
    <w:rsid w:val="00342A40"/>
    <w:rPr>
      <w:rFonts w:ascii="Tahoma" w:hAnsi="Tahoma" w:cs="Tahoma" w:hint="default"/>
      <w:sz w:val="20"/>
      <w:szCs w:val="20"/>
    </w:rPr>
  </w:style>
  <w:style w:type="character" w:customStyle="1" w:styleId="Preglednicalevoglava">
    <w:name w:val="Preglednica levo glava"/>
    <w:rsid w:val="00342A40"/>
    <w:rPr>
      <w:rFonts w:ascii="Tahoma" w:hAnsi="Tahoma" w:cs="Tahoma" w:hint="default"/>
      <w:b/>
      <w:bCs/>
      <w:sz w:val="20"/>
      <w:szCs w:val="20"/>
    </w:rPr>
  </w:style>
  <w:style w:type="character" w:customStyle="1" w:styleId="Naslov5Znak">
    <w:name w:val="Naslov 5 Znak"/>
    <w:aliases w:val="5 nuv Znak"/>
    <w:link w:val="Naslov5"/>
    <w:uiPriority w:val="99"/>
    <w:rsid w:val="009F10BB"/>
    <w:rPr>
      <w:rFonts w:ascii="Arial" w:eastAsia="Times New Roman" w:hAnsi="Arial"/>
      <w:b/>
      <w:szCs w:val="22"/>
      <w:lang w:val="x-none" w:eastAsia="ja-JP"/>
    </w:rPr>
  </w:style>
  <w:style w:type="character" w:customStyle="1" w:styleId="Naslov6Znak">
    <w:name w:val="Naslov 6 Znak"/>
    <w:link w:val="Naslov6"/>
    <w:rsid w:val="00342A40"/>
    <w:rPr>
      <w:rFonts w:ascii="Cambria" w:eastAsia="Times New Roman" w:hAnsi="Cambria"/>
      <w:i/>
      <w:iCs/>
      <w:color w:val="243F60"/>
      <w:sz w:val="22"/>
      <w:szCs w:val="22"/>
      <w:lang w:val="x-none" w:eastAsia="ja-JP"/>
    </w:rPr>
  </w:style>
  <w:style w:type="character" w:customStyle="1" w:styleId="Naslov7Znak">
    <w:name w:val="Naslov 7 Znak"/>
    <w:link w:val="Naslov7"/>
    <w:rsid w:val="00342A40"/>
    <w:rPr>
      <w:rFonts w:ascii="Cambria" w:eastAsia="Times New Roman" w:hAnsi="Cambria"/>
      <w:i/>
      <w:iCs/>
      <w:color w:val="404040"/>
      <w:sz w:val="22"/>
      <w:szCs w:val="22"/>
      <w:lang w:val="x-none" w:eastAsia="ja-JP"/>
    </w:rPr>
  </w:style>
  <w:style w:type="character" w:customStyle="1" w:styleId="Naslov8Znak">
    <w:name w:val="Naslov 8 Znak"/>
    <w:link w:val="Naslov8"/>
    <w:rsid w:val="00342A40"/>
    <w:rPr>
      <w:rFonts w:ascii="Cambria" w:eastAsia="Times New Roman" w:hAnsi="Cambria"/>
      <w:color w:val="4F81BD"/>
      <w:lang w:val="x-none" w:eastAsia="ja-JP"/>
    </w:rPr>
  </w:style>
  <w:style w:type="character" w:customStyle="1" w:styleId="Naslov9Znak">
    <w:name w:val="Naslov 9 Znak"/>
    <w:link w:val="Naslov9"/>
    <w:rsid w:val="00342A40"/>
    <w:rPr>
      <w:rFonts w:ascii="Cambria" w:eastAsia="Times New Roman" w:hAnsi="Cambria"/>
      <w:i/>
      <w:iCs/>
      <w:color w:val="404040"/>
      <w:lang w:val="x-none" w:eastAsia="ja-JP"/>
    </w:rPr>
  </w:style>
  <w:style w:type="character" w:styleId="SledenaHiperpovezava">
    <w:name w:val="FollowedHyperlink"/>
    <w:uiPriority w:val="99"/>
    <w:unhideWhenUsed/>
    <w:rsid w:val="00342A40"/>
    <w:rPr>
      <w:color w:val="800080"/>
      <w:u w:val="single"/>
    </w:rPr>
  </w:style>
  <w:style w:type="character" w:customStyle="1" w:styleId="Naslov1Znak1">
    <w:name w:val="Naslov 1 Znak1"/>
    <w:aliases w:val="NASLOV Znak1,PVO-1 Znak1"/>
    <w:uiPriority w:val="9"/>
    <w:locked/>
    <w:rsid w:val="00342A40"/>
    <w:rPr>
      <w:rFonts w:ascii="Cambria" w:eastAsia="Times New Roman" w:hAnsi="Cambria" w:cs="Times New Roman" w:hint="default"/>
      <w:b/>
      <w:bCs/>
      <w:i/>
      <w:iCs/>
      <w:color w:val="4F81BD"/>
    </w:rPr>
  </w:style>
  <w:style w:type="character" w:customStyle="1" w:styleId="Naslov3Znak1">
    <w:name w:val="Naslov 3 Znak1"/>
    <w:aliases w:val="Pvo-3 Znak1,PVO-3 Znak1"/>
    <w:uiPriority w:val="9"/>
    <w:semiHidden/>
    <w:rsid w:val="00342A40"/>
    <w:rPr>
      <w:rFonts w:ascii="Cambria" w:eastAsia="Times New Roman" w:hAnsi="Cambria" w:cs="Times New Roman"/>
      <w:b/>
      <w:bCs/>
      <w:color w:val="4F81BD"/>
      <w:sz w:val="22"/>
      <w:szCs w:val="22"/>
    </w:rPr>
  </w:style>
  <w:style w:type="paragraph" w:styleId="HTML-oblikovano">
    <w:name w:val="HTML Preformatted"/>
    <w:basedOn w:val="Navaden"/>
    <w:link w:val="HTML-oblikovanoZnak"/>
    <w:uiPriority w:val="99"/>
    <w:unhideWhenUsed/>
    <w:rsid w:val="0034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jc w:val="left"/>
      <w:textAlignment w:val="auto"/>
    </w:pPr>
    <w:rPr>
      <w:rFonts w:ascii="Courier New" w:hAnsi="Courier New"/>
      <w:szCs w:val="20"/>
      <w:lang w:val="x-none" w:eastAsia="ja-JP"/>
    </w:rPr>
  </w:style>
  <w:style w:type="character" w:customStyle="1" w:styleId="HTML-oblikovanoZnak">
    <w:name w:val="HTML-oblikovano Znak"/>
    <w:link w:val="HTML-oblikovano"/>
    <w:uiPriority w:val="99"/>
    <w:rsid w:val="00342A40"/>
    <w:rPr>
      <w:rFonts w:ascii="Courier New" w:eastAsia="Times New Roman" w:hAnsi="Courier New" w:cs="Courier New"/>
      <w:lang w:eastAsia="ja-JP"/>
    </w:rPr>
  </w:style>
  <w:style w:type="paragraph" w:styleId="Stvarnokazalo1">
    <w:name w:val="index 1"/>
    <w:basedOn w:val="Navaden"/>
    <w:next w:val="Navaden"/>
    <w:autoRedefine/>
    <w:uiPriority w:val="99"/>
    <w:semiHidden/>
    <w:unhideWhenUsed/>
    <w:rsid w:val="00342A40"/>
    <w:pPr>
      <w:overflowPunct/>
      <w:autoSpaceDE/>
      <w:autoSpaceDN/>
      <w:adjustRightInd/>
      <w:ind w:left="240" w:hanging="240"/>
      <w:textAlignment w:val="auto"/>
    </w:pPr>
    <w:rPr>
      <w:rFonts w:ascii="Times New Roman" w:hAnsi="Times New Roman"/>
      <w:sz w:val="24"/>
      <w:szCs w:val="20"/>
      <w:lang w:val="en-US" w:eastAsia="en-US"/>
    </w:rPr>
  </w:style>
  <w:style w:type="paragraph" w:styleId="Stvarnokazalo2">
    <w:name w:val="index 2"/>
    <w:basedOn w:val="Navaden"/>
    <w:next w:val="Navaden"/>
    <w:autoRedefine/>
    <w:uiPriority w:val="99"/>
    <w:semiHidden/>
    <w:unhideWhenUsed/>
    <w:rsid w:val="00342A40"/>
    <w:pPr>
      <w:overflowPunct/>
      <w:autoSpaceDE/>
      <w:autoSpaceDN/>
      <w:adjustRightInd/>
      <w:ind w:left="480" w:hanging="240"/>
      <w:textAlignment w:val="auto"/>
    </w:pPr>
    <w:rPr>
      <w:rFonts w:ascii="Times New Roman" w:hAnsi="Times New Roman"/>
      <w:sz w:val="24"/>
      <w:szCs w:val="20"/>
      <w:lang w:val="en-US" w:eastAsia="en-US"/>
    </w:rPr>
  </w:style>
  <w:style w:type="paragraph" w:styleId="Stvarnokazalo3">
    <w:name w:val="index 3"/>
    <w:basedOn w:val="Navaden"/>
    <w:next w:val="Navaden"/>
    <w:autoRedefine/>
    <w:uiPriority w:val="99"/>
    <w:semiHidden/>
    <w:unhideWhenUsed/>
    <w:rsid w:val="00342A40"/>
    <w:pPr>
      <w:overflowPunct/>
      <w:autoSpaceDE/>
      <w:autoSpaceDN/>
      <w:adjustRightInd/>
      <w:ind w:left="720" w:hanging="240"/>
      <w:textAlignment w:val="auto"/>
    </w:pPr>
    <w:rPr>
      <w:rFonts w:ascii="Times New Roman" w:hAnsi="Times New Roman"/>
      <w:sz w:val="24"/>
      <w:szCs w:val="20"/>
      <w:lang w:val="en-US" w:eastAsia="en-US"/>
    </w:rPr>
  </w:style>
  <w:style w:type="paragraph" w:styleId="Stvarnokazalo4">
    <w:name w:val="index 4"/>
    <w:basedOn w:val="Navaden"/>
    <w:next w:val="Navaden"/>
    <w:autoRedefine/>
    <w:uiPriority w:val="99"/>
    <w:semiHidden/>
    <w:unhideWhenUsed/>
    <w:rsid w:val="00342A40"/>
    <w:pPr>
      <w:overflowPunct/>
      <w:autoSpaceDE/>
      <w:autoSpaceDN/>
      <w:adjustRightInd/>
      <w:ind w:left="960" w:hanging="240"/>
      <w:textAlignment w:val="auto"/>
    </w:pPr>
    <w:rPr>
      <w:rFonts w:ascii="Times New Roman" w:hAnsi="Times New Roman"/>
      <w:sz w:val="24"/>
      <w:szCs w:val="20"/>
      <w:lang w:val="en-US" w:eastAsia="en-US"/>
    </w:rPr>
  </w:style>
  <w:style w:type="paragraph" w:styleId="Stvarnokazalo5">
    <w:name w:val="index 5"/>
    <w:basedOn w:val="Navaden"/>
    <w:next w:val="Navaden"/>
    <w:autoRedefine/>
    <w:uiPriority w:val="99"/>
    <w:semiHidden/>
    <w:unhideWhenUsed/>
    <w:rsid w:val="00342A40"/>
    <w:pPr>
      <w:overflowPunct/>
      <w:autoSpaceDE/>
      <w:autoSpaceDN/>
      <w:adjustRightInd/>
      <w:ind w:left="1200" w:hanging="240"/>
      <w:textAlignment w:val="auto"/>
    </w:pPr>
    <w:rPr>
      <w:rFonts w:ascii="Times New Roman" w:hAnsi="Times New Roman"/>
      <w:sz w:val="24"/>
      <w:szCs w:val="20"/>
      <w:lang w:val="en-US" w:eastAsia="en-US"/>
    </w:rPr>
  </w:style>
  <w:style w:type="paragraph" w:styleId="Stvarnokazalo6">
    <w:name w:val="index 6"/>
    <w:basedOn w:val="Navaden"/>
    <w:next w:val="Navaden"/>
    <w:autoRedefine/>
    <w:uiPriority w:val="99"/>
    <w:semiHidden/>
    <w:unhideWhenUsed/>
    <w:rsid w:val="00342A40"/>
    <w:pPr>
      <w:overflowPunct/>
      <w:autoSpaceDE/>
      <w:autoSpaceDN/>
      <w:adjustRightInd/>
      <w:ind w:left="1440" w:hanging="240"/>
      <w:textAlignment w:val="auto"/>
    </w:pPr>
    <w:rPr>
      <w:rFonts w:ascii="Times New Roman" w:hAnsi="Times New Roman"/>
      <w:sz w:val="24"/>
      <w:szCs w:val="20"/>
      <w:lang w:val="en-US" w:eastAsia="en-US"/>
    </w:rPr>
  </w:style>
  <w:style w:type="paragraph" w:styleId="Stvarnokazalo7">
    <w:name w:val="index 7"/>
    <w:basedOn w:val="Navaden"/>
    <w:next w:val="Navaden"/>
    <w:autoRedefine/>
    <w:uiPriority w:val="99"/>
    <w:semiHidden/>
    <w:unhideWhenUsed/>
    <w:rsid w:val="00342A40"/>
    <w:pPr>
      <w:overflowPunct/>
      <w:autoSpaceDE/>
      <w:autoSpaceDN/>
      <w:adjustRightInd/>
      <w:ind w:left="1680" w:hanging="240"/>
      <w:textAlignment w:val="auto"/>
    </w:pPr>
    <w:rPr>
      <w:rFonts w:ascii="Times New Roman" w:hAnsi="Times New Roman"/>
      <w:sz w:val="24"/>
      <w:szCs w:val="20"/>
      <w:lang w:val="en-US" w:eastAsia="en-US"/>
    </w:rPr>
  </w:style>
  <w:style w:type="paragraph" w:styleId="Stvarnokazalo8">
    <w:name w:val="index 8"/>
    <w:basedOn w:val="Navaden"/>
    <w:next w:val="Navaden"/>
    <w:autoRedefine/>
    <w:uiPriority w:val="99"/>
    <w:semiHidden/>
    <w:unhideWhenUsed/>
    <w:rsid w:val="00342A40"/>
    <w:pPr>
      <w:overflowPunct/>
      <w:autoSpaceDE/>
      <w:autoSpaceDN/>
      <w:adjustRightInd/>
      <w:ind w:left="1920" w:hanging="240"/>
      <w:textAlignment w:val="auto"/>
    </w:pPr>
    <w:rPr>
      <w:rFonts w:ascii="Times New Roman" w:hAnsi="Times New Roman"/>
      <w:sz w:val="24"/>
      <w:szCs w:val="20"/>
      <w:lang w:val="en-US" w:eastAsia="en-US"/>
    </w:rPr>
  </w:style>
  <w:style w:type="paragraph" w:styleId="Stvarnokazalo9">
    <w:name w:val="index 9"/>
    <w:basedOn w:val="Navaden"/>
    <w:next w:val="Navaden"/>
    <w:autoRedefine/>
    <w:uiPriority w:val="99"/>
    <w:semiHidden/>
    <w:unhideWhenUsed/>
    <w:rsid w:val="00342A40"/>
    <w:pPr>
      <w:overflowPunct/>
      <w:autoSpaceDE/>
      <w:autoSpaceDN/>
      <w:adjustRightInd/>
      <w:ind w:left="2160" w:hanging="240"/>
      <w:textAlignment w:val="auto"/>
    </w:pPr>
    <w:rPr>
      <w:rFonts w:ascii="Times New Roman" w:hAnsi="Times New Roman"/>
      <w:sz w:val="24"/>
      <w:szCs w:val="20"/>
      <w:lang w:val="en-US" w:eastAsia="en-US"/>
    </w:rPr>
  </w:style>
  <w:style w:type="paragraph" w:styleId="Kazalovsebine1">
    <w:name w:val="toc 1"/>
    <w:basedOn w:val="Navaden"/>
    <w:next w:val="Navaden"/>
    <w:autoRedefine/>
    <w:uiPriority w:val="39"/>
    <w:unhideWhenUsed/>
    <w:qFormat/>
    <w:rsid w:val="002D083E"/>
    <w:pPr>
      <w:tabs>
        <w:tab w:val="left" w:pos="567"/>
        <w:tab w:val="right" w:leader="dot" w:pos="9063"/>
      </w:tabs>
      <w:overflowPunct/>
      <w:autoSpaceDE/>
      <w:autoSpaceDN/>
      <w:adjustRightInd/>
      <w:spacing w:before="120" w:after="120"/>
      <w:ind w:left="567" w:right="567" w:hanging="567"/>
      <w:textAlignment w:val="auto"/>
    </w:pPr>
    <w:rPr>
      <w:bCs/>
      <w:caps/>
      <w:sz w:val="24"/>
      <w:szCs w:val="20"/>
      <w:lang w:eastAsia="ja-JP"/>
    </w:rPr>
  </w:style>
  <w:style w:type="paragraph" w:styleId="Kazalovsebine2">
    <w:name w:val="toc 2"/>
    <w:basedOn w:val="Navaden"/>
    <w:next w:val="Navaden"/>
    <w:autoRedefine/>
    <w:uiPriority w:val="39"/>
    <w:unhideWhenUsed/>
    <w:qFormat/>
    <w:rsid w:val="002D083E"/>
    <w:pPr>
      <w:tabs>
        <w:tab w:val="left" w:pos="960"/>
        <w:tab w:val="right" w:leader="dot" w:pos="9063"/>
      </w:tabs>
      <w:overflowPunct/>
      <w:autoSpaceDE/>
      <w:autoSpaceDN/>
      <w:adjustRightInd/>
      <w:spacing w:after="60"/>
      <w:ind w:left="992" w:right="567" w:hanging="754"/>
      <w:textAlignment w:val="auto"/>
    </w:pPr>
    <w:rPr>
      <w:sz w:val="24"/>
      <w:szCs w:val="22"/>
      <w:lang w:eastAsia="ja-JP"/>
    </w:rPr>
  </w:style>
  <w:style w:type="paragraph" w:styleId="Kazalovsebine3">
    <w:name w:val="toc 3"/>
    <w:basedOn w:val="Navaden"/>
    <w:next w:val="Navaden"/>
    <w:autoRedefine/>
    <w:uiPriority w:val="39"/>
    <w:unhideWhenUsed/>
    <w:qFormat/>
    <w:rsid w:val="002D083E"/>
    <w:pPr>
      <w:tabs>
        <w:tab w:val="left" w:pos="1134"/>
        <w:tab w:val="right" w:pos="9061"/>
      </w:tabs>
      <w:overflowPunct/>
      <w:autoSpaceDE/>
      <w:autoSpaceDN/>
      <w:adjustRightInd/>
      <w:ind w:left="1134" w:right="567" w:hanging="652"/>
      <w:textAlignment w:val="auto"/>
    </w:pPr>
    <w:rPr>
      <w:iCs/>
      <w:szCs w:val="20"/>
      <w:lang w:eastAsia="ja-JP"/>
    </w:rPr>
  </w:style>
  <w:style w:type="paragraph" w:styleId="Kazalovsebine4">
    <w:name w:val="toc 4"/>
    <w:basedOn w:val="Navaden"/>
    <w:next w:val="Navaden"/>
    <w:autoRedefine/>
    <w:uiPriority w:val="39"/>
    <w:unhideWhenUsed/>
    <w:rsid w:val="006621AE"/>
    <w:pPr>
      <w:overflowPunct/>
      <w:autoSpaceDE/>
      <w:autoSpaceDN/>
      <w:adjustRightInd/>
      <w:ind w:left="720"/>
      <w:jc w:val="left"/>
      <w:textAlignment w:val="auto"/>
    </w:pPr>
    <w:rPr>
      <w:sz w:val="18"/>
      <w:szCs w:val="18"/>
      <w:lang w:eastAsia="ja-JP"/>
    </w:rPr>
  </w:style>
  <w:style w:type="paragraph" w:styleId="Kazalovsebine5">
    <w:name w:val="toc 5"/>
    <w:basedOn w:val="Navaden"/>
    <w:next w:val="Navaden"/>
    <w:autoRedefine/>
    <w:uiPriority w:val="39"/>
    <w:unhideWhenUsed/>
    <w:rsid w:val="00342A40"/>
    <w:pPr>
      <w:overflowPunct/>
      <w:autoSpaceDE/>
      <w:autoSpaceDN/>
      <w:adjustRightInd/>
      <w:ind w:left="960"/>
      <w:jc w:val="left"/>
      <w:textAlignment w:val="auto"/>
    </w:pPr>
    <w:rPr>
      <w:rFonts w:ascii="Times New Roman" w:hAnsi="Times New Roman"/>
      <w:sz w:val="18"/>
      <w:szCs w:val="18"/>
      <w:lang w:eastAsia="ja-JP"/>
    </w:rPr>
  </w:style>
  <w:style w:type="paragraph" w:styleId="Kazalovsebine6">
    <w:name w:val="toc 6"/>
    <w:basedOn w:val="Navaden"/>
    <w:next w:val="Navaden"/>
    <w:autoRedefine/>
    <w:uiPriority w:val="39"/>
    <w:unhideWhenUsed/>
    <w:rsid w:val="00342A40"/>
    <w:pPr>
      <w:overflowPunct/>
      <w:autoSpaceDE/>
      <w:autoSpaceDN/>
      <w:adjustRightInd/>
      <w:ind w:left="1200"/>
      <w:jc w:val="left"/>
      <w:textAlignment w:val="auto"/>
    </w:pPr>
    <w:rPr>
      <w:rFonts w:ascii="Times New Roman" w:hAnsi="Times New Roman"/>
      <w:sz w:val="18"/>
      <w:szCs w:val="18"/>
      <w:lang w:eastAsia="ja-JP"/>
    </w:rPr>
  </w:style>
  <w:style w:type="paragraph" w:styleId="Kazalovsebine7">
    <w:name w:val="toc 7"/>
    <w:basedOn w:val="Navaden"/>
    <w:next w:val="Navaden"/>
    <w:autoRedefine/>
    <w:uiPriority w:val="39"/>
    <w:unhideWhenUsed/>
    <w:rsid w:val="00342A40"/>
    <w:pPr>
      <w:overflowPunct/>
      <w:autoSpaceDE/>
      <w:autoSpaceDN/>
      <w:adjustRightInd/>
      <w:ind w:left="1440"/>
      <w:jc w:val="left"/>
      <w:textAlignment w:val="auto"/>
    </w:pPr>
    <w:rPr>
      <w:rFonts w:ascii="Times New Roman" w:hAnsi="Times New Roman"/>
      <w:sz w:val="18"/>
      <w:szCs w:val="18"/>
      <w:lang w:eastAsia="ja-JP"/>
    </w:rPr>
  </w:style>
  <w:style w:type="paragraph" w:styleId="Kazalovsebine8">
    <w:name w:val="toc 8"/>
    <w:basedOn w:val="Navaden"/>
    <w:next w:val="Navaden"/>
    <w:autoRedefine/>
    <w:uiPriority w:val="39"/>
    <w:unhideWhenUsed/>
    <w:rsid w:val="00342A40"/>
    <w:pPr>
      <w:overflowPunct/>
      <w:autoSpaceDE/>
      <w:autoSpaceDN/>
      <w:adjustRightInd/>
      <w:ind w:left="1680"/>
      <w:jc w:val="left"/>
      <w:textAlignment w:val="auto"/>
    </w:pPr>
    <w:rPr>
      <w:rFonts w:ascii="Times New Roman" w:hAnsi="Times New Roman"/>
      <w:sz w:val="18"/>
      <w:szCs w:val="18"/>
      <w:lang w:eastAsia="ja-JP"/>
    </w:rPr>
  </w:style>
  <w:style w:type="paragraph" w:styleId="Kazalovsebine9">
    <w:name w:val="toc 9"/>
    <w:basedOn w:val="Navaden"/>
    <w:next w:val="Navaden"/>
    <w:autoRedefine/>
    <w:uiPriority w:val="39"/>
    <w:unhideWhenUsed/>
    <w:rsid w:val="00342A40"/>
    <w:pPr>
      <w:overflowPunct/>
      <w:autoSpaceDE/>
      <w:autoSpaceDN/>
      <w:adjustRightInd/>
      <w:ind w:left="1920"/>
      <w:jc w:val="left"/>
      <w:textAlignment w:val="auto"/>
    </w:pPr>
    <w:rPr>
      <w:rFonts w:ascii="Times New Roman" w:hAnsi="Times New Roman"/>
      <w:sz w:val="18"/>
      <w:szCs w:val="18"/>
      <w:lang w:eastAsia="ja-JP"/>
    </w:rPr>
  </w:style>
  <w:style w:type="character" w:customStyle="1" w:styleId="NogaZnak1">
    <w:name w:val="Noga Znak1"/>
    <w:aliases w:val="Footer1 Znak1"/>
    <w:semiHidden/>
    <w:rsid w:val="00342A40"/>
    <w:rPr>
      <w:rFonts w:ascii="Calibri" w:eastAsia="Times New Roman" w:hAnsi="Calibri" w:cs="Times New Roman"/>
      <w:sz w:val="22"/>
      <w:szCs w:val="22"/>
      <w:lang w:eastAsia="ja-JP"/>
    </w:rPr>
  </w:style>
  <w:style w:type="paragraph" w:styleId="Stvarnokazalo-naslov">
    <w:name w:val="index heading"/>
    <w:basedOn w:val="Navaden"/>
    <w:next w:val="Stvarnokazalo1"/>
    <w:uiPriority w:val="99"/>
    <w:semiHidden/>
    <w:unhideWhenUsed/>
    <w:rsid w:val="00342A40"/>
    <w:pPr>
      <w:widowControl w:val="0"/>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overflowPunct/>
      <w:autoSpaceDE/>
      <w:autoSpaceDN/>
      <w:adjustRightInd/>
      <w:ind w:firstLine="284"/>
      <w:textAlignment w:val="auto"/>
    </w:pPr>
    <w:rPr>
      <w:rFonts w:ascii="Times New Roman" w:hAnsi="Times New Roman"/>
      <w:sz w:val="24"/>
      <w:szCs w:val="20"/>
      <w:lang w:val="en-US" w:eastAsia="en-US"/>
    </w:rPr>
  </w:style>
  <w:style w:type="character" w:customStyle="1" w:styleId="NapisZnak">
    <w:name w:val="Napis Znak"/>
    <w:aliases w:val="Znak Znak Znak Znak Znak Znak,Znak Znak Znak Znak,Slika Znak,Tabele Znak,Znak Znak Znak1,Preglednica;Slika Znak,Napis1 Znak1,Znak Znak Znak Znak Znak Char Znak1,Znak Znak Znak Char Znak1,Tabele Char Znak1,Znak Znak Znak Znak Znak Znak Znak"/>
    <w:locked/>
    <w:rsid w:val="00342A40"/>
    <w:rPr>
      <w:b/>
      <w:bCs w:val="0"/>
      <w:color w:val="4F81BD"/>
      <w:sz w:val="21"/>
      <w:szCs w:val="21"/>
    </w:rPr>
  </w:style>
  <w:style w:type="paragraph" w:styleId="Kazaloslik">
    <w:name w:val="table of figures"/>
    <w:aliases w:val="Table of Tables"/>
    <w:basedOn w:val="Navaden"/>
    <w:next w:val="Navaden"/>
    <w:uiPriority w:val="99"/>
    <w:unhideWhenUsed/>
    <w:rsid w:val="00342A40"/>
    <w:pPr>
      <w:overflowPunct/>
      <w:autoSpaceDE/>
      <w:autoSpaceDN/>
      <w:adjustRightInd/>
      <w:spacing w:before="120" w:after="120"/>
      <w:jc w:val="left"/>
      <w:textAlignment w:val="auto"/>
    </w:pPr>
    <w:rPr>
      <w:rFonts w:ascii="Calibri" w:hAnsi="Calibri"/>
      <w:szCs w:val="22"/>
      <w:lang w:eastAsia="ja-JP"/>
    </w:rPr>
  </w:style>
  <w:style w:type="paragraph" w:styleId="Konnaopomba-besedilo">
    <w:name w:val="endnote text"/>
    <w:basedOn w:val="Navaden"/>
    <w:link w:val="Konnaopomba-besediloZnak"/>
    <w:uiPriority w:val="99"/>
    <w:semiHidden/>
    <w:unhideWhenUsed/>
    <w:rsid w:val="00342A40"/>
    <w:pPr>
      <w:overflowPunct/>
      <w:autoSpaceDE/>
      <w:autoSpaceDN/>
      <w:adjustRightInd/>
      <w:spacing w:after="60"/>
      <w:ind w:firstLine="284"/>
      <w:textAlignment w:val="auto"/>
    </w:pPr>
    <w:rPr>
      <w:rFonts w:ascii="Times New Roman" w:hAnsi="Times New Roman"/>
      <w:szCs w:val="20"/>
      <w:lang w:val="en-GB" w:eastAsia="en-US"/>
    </w:rPr>
  </w:style>
  <w:style w:type="character" w:customStyle="1" w:styleId="Konnaopomba-besediloZnak">
    <w:name w:val="Končna opomba - besedilo Znak"/>
    <w:link w:val="Konnaopomba-besedilo"/>
    <w:uiPriority w:val="99"/>
    <w:semiHidden/>
    <w:rsid w:val="00342A40"/>
    <w:rPr>
      <w:rFonts w:ascii="Times New Roman" w:eastAsia="Times New Roman" w:hAnsi="Times New Roman"/>
      <w:lang w:val="en-GB" w:eastAsia="en-US"/>
    </w:rPr>
  </w:style>
  <w:style w:type="paragraph" w:styleId="Seznam">
    <w:name w:val="List"/>
    <w:basedOn w:val="Navaden"/>
    <w:uiPriority w:val="99"/>
    <w:semiHidden/>
    <w:unhideWhenUsed/>
    <w:rsid w:val="00342A40"/>
    <w:pPr>
      <w:overflowPunct/>
      <w:autoSpaceDE/>
      <w:autoSpaceDN/>
      <w:adjustRightInd/>
      <w:ind w:left="283" w:hanging="283"/>
      <w:jc w:val="left"/>
      <w:textAlignment w:val="auto"/>
    </w:pPr>
    <w:rPr>
      <w:rFonts w:ascii="Verdana" w:hAnsi="Verdana"/>
      <w:b/>
      <w:szCs w:val="22"/>
      <w:lang w:val="en-GB" w:eastAsia="en-US"/>
    </w:rPr>
  </w:style>
  <w:style w:type="paragraph" w:styleId="Otevilenseznam">
    <w:name w:val="List Number"/>
    <w:basedOn w:val="Navaden"/>
    <w:uiPriority w:val="99"/>
    <w:semiHidden/>
    <w:unhideWhenUsed/>
    <w:rsid w:val="00342A40"/>
    <w:pPr>
      <w:numPr>
        <w:numId w:val="9"/>
      </w:numPr>
      <w:tabs>
        <w:tab w:val="clear" w:pos="360"/>
      </w:tabs>
      <w:overflowPunct/>
      <w:autoSpaceDE/>
      <w:autoSpaceDN/>
      <w:adjustRightInd/>
      <w:ind w:left="1440"/>
      <w:textAlignment w:val="auto"/>
    </w:pPr>
    <w:rPr>
      <w:rFonts w:ascii="Times New Roman" w:hAnsi="Times New Roman"/>
      <w:sz w:val="24"/>
      <w:szCs w:val="20"/>
      <w:lang w:eastAsia="en-US"/>
    </w:rPr>
  </w:style>
  <w:style w:type="character" w:customStyle="1" w:styleId="Seznam3Znak">
    <w:name w:val="Seznam 3 Znak"/>
    <w:link w:val="Seznam3"/>
    <w:semiHidden/>
    <w:locked/>
    <w:rsid w:val="00342A40"/>
    <w:rPr>
      <w:rFonts w:ascii="Times New Roman (WE)" w:hAnsi="Times New Roman (WE)"/>
      <w:sz w:val="24"/>
      <w:lang w:val="en-US" w:eastAsia="en-US"/>
    </w:rPr>
  </w:style>
  <w:style w:type="paragraph" w:styleId="Seznam3">
    <w:name w:val="List 3"/>
    <w:basedOn w:val="Navaden"/>
    <w:link w:val="Seznam3Znak"/>
    <w:semiHidden/>
    <w:unhideWhenUsed/>
    <w:rsid w:val="00342A40"/>
    <w:pPr>
      <w:overflowPunct/>
      <w:autoSpaceDE/>
      <w:autoSpaceDN/>
      <w:adjustRightInd/>
      <w:ind w:left="849" w:hanging="283"/>
      <w:textAlignment w:val="auto"/>
    </w:pPr>
    <w:rPr>
      <w:rFonts w:ascii="Times New Roman (WE)" w:eastAsia="Calibri" w:hAnsi="Times New Roman (WE)"/>
      <w:sz w:val="24"/>
      <w:szCs w:val="20"/>
      <w:lang w:val="en-US" w:eastAsia="en-US"/>
    </w:rPr>
  </w:style>
  <w:style w:type="paragraph" w:styleId="Otevilenseznam2">
    <w:name w:val="List Number 2"/>
    <w:basedOn w:val="Navaden"/>
    <w:uiPriority w:val="99"/>
    <w:semiHidden/>
    <w:unhideWhenUsed/>
    <w:rsid w:val="00342A40"/>
    <w:pPr>
      <w:numPr>
        <w:numId w:val="10"/>
      </w:numPr>
      <w:tabs>
        <w:tab w:val="clear" w:pos="643"/>
      </w:tabs>
      <w:overflowPunct/>
      <w:autoSpaceDE/>
      <w:autoSpaceDN/>
      <w:adjustRightInd/>
      <w:ind w:left="720"/>
      <w:textAlignment w:val="auto"/>
    </w:pPr>
    <w:rPr>
      <w:rFonts w:ascii="Times New Roman" w:hAnsi="Times New Roman"/>
      <w:sz w:val="24"/>
      <w:szCs w:val="20"/>
      <w:lang w:eastAsia="en-US"/>
    </w:rPr>
  </w:style>
  <w:style w:type="paragraph" w:styleId="Naslov">
    <w:name w:val="Title"/>
    <w:basedOn w:val="Navaden"/>
    <w:next w:val="Navaden"/>
    <w:link w:val="NaslovZnak"/>
    <w:uiPriority w:val="99"/>
    <w:qFormat/>
    <w:rsid w:val="00342A40"/>
    <w:pPr>
      <w:pBdr>
        <w:bottom w:val="single" w:sz="8" w:space="4" w:color="4F81BD"/>
      </w:pBdr>
      <w:overflowPunct/>
      <w:autoSpaceDE/>
      <w:autoSpaceDN/>
      <w:adjustRightInd/>
      <w:spacing w:after="300"/>
      <w:contextualSpacing/>
      <w:jc w:val="left"/>
      <w:textAlignment w:val="auto"/>
    </w:pPr>
    <w:rPr>
      <w:rFonts w:ascii="Cambria" w:hAnsi="Cambria"/>
      <w:color w:val="17365D"/>
      <w:spacing w:val="5"/>
      <w:kern w:val="28"/>
      <w:sz w:val="52"/>
      <w:szCs w:val="52"/>
      <w:lang w:val="x-none" w:eastAsia="ja-JP"/>
    </w:rPr>
  </w:style>
  <w:style w:type="character" w:customStyle="1" w:styleId="NaslovZnak">
    <w:name w:val="Naslov Znak"/>
    <w:link w:val="Naslov"/>
    <w:uiPriority w:val="99"/>
    <w:rsid w:val="00342A40"/>
    <w:rPr>
      <w:rFonts w:ascii="Cambria" w:eastAsia="Times New Roman" w:hAnsi="Cambria"/>
      <w:color w:val="17365D"/>
      <w:spacing w:val="5"/>
      <w:kern w:val="28"/>
      <w:sz w:val="52"/>
      <w:szCs w:val="52"/>
      <w:lang w:eastAsia="ja-JP"/>
    </w:rPr>
  </w:style>
  <w:style w:type="paragraph" w:styleId="Telobesedila">
    <w:name w:val="Body Text"/>
    <w:aliases w:val="  uvlaka 2,uvlaka 2"/>
    <w:basedOn w:val="Navaden"/>
    <w:link w:val="TelobesedilaZnak"/>
    <w:uiPriority w:val="99"/>
    <w:unhideWhenUsed/>
    <w:rsid w:val="00342A40"/>
    <w:pPr>
      <w:suppressAutoHyphens/>
      <w:overflowPunct/>
      <w:autoSpaceDE/>
      <w:autoSpaceDN/>
      <w:adjustRightInd/>
      <w:spacing w:after="120"/>
      <w:jc w:val="left"/>
      <w:textAlignment w:val="auto"/>
    </w:pPr>
    <w:rPr>
      <w:rFonts w:ascii="Times New Roman" w:hAnsi="Times New Roman"/>
      <w:sz w:val="22"/>
      <w:szCs w:val="22"/>
      <w:lang w:val="x-none" w:eastAsia="ar-SA"/>
    </w:rPr>
  </w:style>
  <w:style w:type="character" w:customStyle="1" w:styleId="TelobesedilaZnak">
    <w:name w:val="Telo besedila Znak"/>
    <w:aliases w:val="  uvlaka 2 Znak,uvlaka 2 Znak"/>
    <w:link w:val="Telobesedila"/>
    <w:uiPriority w:val="99"/>
    <w:rsid w:val="00342A40"/>
    <w:rPr>
      <w:rFonts w:ascii="Times New Roman" w:eastAsia="Times New Roman" w:hAnsi="Times New Roman"/>
      <w:sz w:val="22"/>
      <w:szCs w:val="22"/>
      <w:lang w:eastAsia="ar-SA"/>
    </w:rPr>
  </w:style>
  <w:style w:type="paragraph" w:styleId="Telobesedila-zamik">
    <w:name w:val="Body Text Indent"/>
    <w:basedOn w:val="Navaden"/>
    <w:link w:val="Telobesedila-zamikZnak"/>
    <w:uiPriority w:val="99"/>
    <w:semiHidden/>
    <w:unhideWhenUsed/>
    <w:rsid w:val="00342A40"/>
    <w:pPr>
      <w:overflowPunct/>
      <w:autoSpaceDE/>
      <w:autoSpaceDN/>
      <w:adjustRightInd/>
      <w:spacing w:after="120"/>
      <w:ind w:left="283"/>
      <w:jc w:val="left"/>
      <w:textAlignment w:val="auto"/>
    </w:pPr>
    <w:rPr>
      <w:rFonts w:ascii="Calibri" w:hAnsi="Calibri"/>
      <w:sz w:val="22"/>
      <w:szCs w:val="22"/>
      <w:lang w:val="x-none" w:eastAsia="ja-JP"/>
    </w:rPr>
  </w:style>
  <w:style w:type="character" w:customStyle="1" w:styleId="Telobesedila-zamikZnak">
    <w:name w:val="Telo besedila - zamik Znak"/>
    <w:link w:val="Telobesedila-zamik"/>
    <w:uiPriority w:val="99"/>
    <w:semiHidden/>
    <w:rsid w:val="00342A40"/>
    <w:rPr>
      <w:rFonts w:eastAsia="Times New Roman"/>
      <w:sz w:val="22"/>
      <w:szCs w:val="22"/>
      <w:lang w:eastAsia="ja-JP"/>
    </w:rPr>
  </w:style>
  <w:style w:type="paragraph" w:styleId="Podnaslov">
    <w:name w:val="Subtitle"/>
    <w:aliases w:val="4 nuv"/>
    <w:basedOn w:val="Navaden"/>
    <w:next w:val="Navaden"/>
    <w:link w:val="PodnaslovZnak"/>
    <w:uiPriority w:val="11"/>
    <w:qFormat/>
    <w:rsid w:val="00093C4A"/>
    <w:pPr>
      <w:overflowPunct/>
      <w:autoSpaceDE/>
      <w:autoSpaceDN/>
      <w:adjustRightInd/>
      <w:jc w:val="left"/>
      <w:textAlignment w:val="auto"/>
    </w:pPr>
    <w:rPr>
      <w:b/>
      <w:iCs/>
      <w:spacing w:val="15"/>
      <w:sz w:val="24"/>
      <w:szCs w:val="24"/>
      <w:lang w:val="x-none" w:eastAsia="ja-JP"/>
    </w:rPr>
  </w:style>
  <w:style w:type="character" w:customStyle="1" w:styleId="PodnaslovZnak">
    <w:name w:val="Podnaslov Znak"/>
    <w:aliases w:val="4 nuv Znak"/>
    <w:link w:val="Podnaslov"/>
    <w:uiPriority w:val="11"/>
    <w:rsid w:val="00093C4A"/>
    <w:rPr>
      <w:rFonts w:ascii="Arial" w:eastAsia="Times New Roman" w:hAnsi="Arial"/>
      <w:b/>
      <w:iCs/>
      <w:spacing w:val="15"/>
      <w:sz w:val="24"/>
      <w:szCs w:val="24"/>
      <w:lang w:eastAsia="ja-JP"/>
    </w:rPr>
  </w:style>
  <w:style w:type="paragraph" w:styleId="Telobesedila2">
    <w:name w:val="Body Text 2"/>
    <w:basedOn w:val="Navaden"/>
    <w:link w:val="Telobesedila2Znak"/>
    <w:uiPriority w:val="99"/>
    <w:unhideWhenUsed/>
    <w:rsid w:val="00342A40"/>
    <w:pPr>
      <w:overflowPunct/>
      <w:autoSpaceDE/>
      <w:autoSpaceDN/>
      <w:adjustRightInd/>
      <w:spacing w:before="120" w:after="60"/>
      <w:ind w:firstLine="284"/>
      <w:textAlignment w:val="auto"/>
    </w:pPr>
    <w:rPr>
      <w:rFonts w:ascii="Times New Roman" w:hAnsi="Times New Roman"/>
      <w:sz w:val="22"/>
      <w:szCs w:val="20"/>
      <w:lang w:val="en-GB" w:eastAsia="en-US"/>
    </w:rPr>
  </w:style>
  <w:style w:type="character" w:customStyle="1" w:styleId="Telobesedila2Znak">
    <w:name w:val="Telo besedila 2 Znak"/>
    <w:link w:val="Telobesedila2"/>
    <w:uiPriority w:val="99"/>
    <w:rsid w:val="00342A40"/>
    <w:rPr>
      <w:rFonts w:ascii="Times New Roman" w:eastAsia="Times New Roman" w:hAnsi="Times New Roman"/>
      <w:sz w:val="22"/>
      <w:lang w:val="en-GB" w:eastAsia="en-US"/>
    </w:rPr>
  </w:style>
  <w:style w:type="paragraph" w:styleId="Telobesedila3">
    <w:name w:val="Body Text 3"/>
    <w:basedOn w:val="Navaden"/>
    <w:link w:val="Telobesedila3Znak"/>
    <w:uiPriority w:val="99"/>
    <w:semiHidden/>
    <w:unhideWhenUsed/>
    <w:rsid w:val="00342A40"/>
    <w:pPr>
      <w:overflowPunct/>
      <w:autoSpaceDE/>
      <w:autoSpaceDN/>
      <w:adjustRightInd/>
      <w:spacing w:after="60"/>
      <w:ind w:firstLine="284"/>
      <w:jc w:val="center"/>
      <w:textAlignment w:val="auto"/>
    </w:pPr>
    <w:rPr>
      <w:rFonts w:ascii="Times New Roman" w:hAnsi="Times New Roman"/>
      <w:b/>
      <w:sz w:val="40"/>
      <w:szCs w:val="20"/>
      <w:lang w:val="en-GB" w:eastAsia="en-US"/>
    </w:rPr>
  </w:style>
  <w:style w:type="character" w:customStyle="1" w:styleId="Telobesedila3Znak">
    <w:name w:val="Telo besedila 3 Znak"/>
    <w:link w:val="Telobesedila3"/>
    <w:uiPriority w:val="99"/>
    <w:semiHidden/>
    <w:rsid w:val="00342A40"/>
    <w:rPr>
      <w:rFonts w:ascii="Times New Roman" w:eastAsia="Times New Roman" w:hAnsi="Times New Roman"/>
      <w:b/>
      <w:sz w:val="40"/>
      <w:lang w:val="en-GB" w:eastAsia="en-US"/>
    </w:rPr>
  </w:style>
  <w:style w:type="paragraph" w:styleId="Telobesedila-zamik2">
    <w:name w:val="Body Text Indent 2"/>
    <w:basedOn w:val="Navaden"/>
    <w:link w:val="Telobesedila-zamik2Znak"/>
    <w:uiPriority w:val="99"/>
    <w:unhideWhenUsed/>
    <w:rsid w:val="00342A40"/>
    <w:pPr>
      <w:overflowPunct/>
      <w:autoSpaceDE/>
      <w:autoSpaceDN/>
      <w:adjustRightInd/>
      <w:spacing w:after="60"/>
      <w:ind w:left="1021" w:firstLine="284"/>
      <w:textAlignment w:val="auto"/>
    </w:pPr>
    <w:rPr>
      <w:rFonts w:ascii="Times New Roman" w:hAnsi="Times New Roman"/>
      <w:sz w:val="22"/>
      <w:szCs w:val="20"/>
      <w:lang w:val="en-GB" w:eastAsia="en-US"/>
    </w:rPr>
  </w:style>
  <w:style w:type="character" w:customStyle="1" w:styleId="Telobesedila-zamik2Znak">
    <w:name w:val="Telo besedila - zamik 2 Znak"/>
    <w:link w:val="Telobesedila-zamik2"/>
    <w:uiPriority w:val="99"/>
    <w:rsid w:val="00342A40"/>
    <w:rPr>
      <w:rFonts w:ascii="Times New Roman" w:eastAsia="Times New Roman" w:hAnsi="Times New Roman"/>
      <w:sz w:val="22"/>
      <w:lang w:val="en-GB" w:eastAsia="en-US"/>
    </w:rPr>
  </w:style>
  <w:style w:type="paragraph" w:styleId="Telobesedila-zamik3">
    <w:name w:val="Body Text Indent 3"/>
    <w:basedOn w:val="Navaden"/>
    <w:link w:val="Telobesedila-zamik3Znak"/>
    <w:uiPriority w:val="99"/>
    <w:semiHidden/>
    <w:unhideWhenUsed/>
    <w:rsid w:val="00342A40"/>
    <w:pPr>
      <w:overflowPunct/>
      <w:autoSpaceDE/>
      <w:autoSpaceDN/>
      <w:adjustRightInd/>
      <w:spacing w:after="60"/>
      <w:ind w:left="360" w:firstLine="284"/>
      <w:textAlignment w:val="auto"/>
    </w:pPr>
    <w:rPr>
      <w:rFonts w:ascii="Times New Roman" w:hAnsi="Times New Roman"/>
      <w:sz w:val="22"/>
      <w:szCs w:val="20"/>
      <w:lang w:val="en-GB" w:eastAsia="en-US"/>
    </w:rPr>
  </w:style>
  <w:style w:type="character" w:customStyle="1" w:styleId="Telobesedila-zamik3Znak">
    <w:name w:val="Telo besedila - zamik 3 Znak"/>
    <w:link w:val="Telobesedila-zamik3"/>
    <w:uiPriority w:val="99"/>
    <w:semiHidden/>
    <w:rsid w:val="00342A40"/>
    <w:rPr>
      <w:rFonts w:ascii="Times New Roman" w:eastAsia="Times New Roman" w:hAnsi="Times New Roman"/>
      <w:sz w:val="22"/>
      <w:lang w:val="en-GB" w:eastAsia="en-US"/>
    </w:rPr>
  </w:style>
  <w:style w:type="paragraph" w:styleId="Blokbesedila">
    <w:name w:val="Block Text"/>
    <w:basedOn w:val="Navaden"/>
    <w:uiPriority w:val="99"/>
    <w:semiHidden/>
    <w:unhideWhenUsed/>
    <w:rsid w:val="00342A40"/>
    <w:pPr>
      <w:overflowPunct/>
      <w:autoSpaceDE/>
      <w:autoSpaceDN/>
      <w:adjustRightInd/>
      <w:spacing w:after="60"/>
      <w:ind w:left="113" w:right="113" w:firstLine="284"/>
      <w:textAlignment w:val="auto"/>
    </w:pPr>
    <w:rPr>
      <w:rFonts w:ascii="Times New Roman" w:hAnsi="Times New Roman"/>
      <w:color w:val="0000FF"/>
      <w:sz w:val="18"/>
      <w:szCs w:val="20"/>
      <w:lang w:val="en-GB" w:eastAsia="en-US"/>
    </w:rPr>
  </w:style>
  <w:style w:type="paragraph" w:styleId="Zgradbadokumenta">
    <w:name w:val="Document Map"/>
    <w:basedOn w:val="Navaden"/>
    <w:link w:val="ZgradbadokumentaZnak"/>
    <w:semiHidden/>
    <w:unhideWhenUsed/>
    <w:rsid w:val="00342A40"/>
    <w:pPr>
      <w:shd w:val="clear" w:color="auto" w:fill="000080"/>
      <w:overflowPunct/>
      <w:autoSpaceDE/>
      <w:autoSpaceDN/>
      <w:adjustRightInd/>
      <w:spacing w:after="60"/>
      <w:ind w:firstLine="284"/>
      <w:textAlignment w:val="auto"/>
    </w:pPr>
    <w:rPr>
      <w:rFonts w:ascii="Calibri" w:hAnsi="Calibri"/>
      <w:sz w:val="22"/>
      <w:szCs w:val="20"/>
      <w:lang w:val="en-GB" w:eastAsia="en-US"/>
    </w:rPr>
  </w:style>
  <w:style w:type="character" w:customStyle="1" w:styleId="ZgradbadokumentaZnak">
    <w:name w:val="Zgradba dokumenta Znak"/>
    <w:link w:val="Zgradbadokumenta"/>
    <w:rsid w:val="00342A40"/>
    <w:rPr>
      <w:rFonts w:eastAsia="Times New Roman"/>
      <w:sz w:val="22"/>
      <w:shd w:val="clear" w:color="auto" w:fill="000080"/>
      <w:lang w:val="en-GB" w:eastAsia="en-US"/>
    </w:rPr>
  </w:style>
  <w:style w:type="paragraph" w:styleId="Golobesedilo">
    <w:name w:val="Plain Text"/>
    <w:basedOn w:val="Navaden"/>
    <w:link w:val="GolobesediloZnak"/>
    <w:uiPriority w:val="99"/>
    <w:unhideWhenUsed/>
    <w:rsid w:val="00342A40"/>
    <w:pPr>
      <w:overflowPunct/>
      <w:autoSpaceDE/>
      <w:autoSpaceDN/>
      <w:adjustRightInd/>
      <w:ind w:firstLine="284"/>
      <w:jc w:val="left"/>
      <w:textAlignment w:val="auto"/>
    </w:pPr>
    <w:rPr>
      <w:rFonts w:ascii="Courier New" w:hAnsi="Courier New"/>
      <w:szCs w:val="20"/>
      <w:lang w:val="en-US" w:eastAsia="ja-JP"/>
    </w:rPr>
  </w:style>
  <w:style w:type="character" w:customStyle="1" w:styleId="GolobesediloZnak">
    <w:name w:val="Golo besedilo Znak"/>
    <w:link w:val="Golobesedilo"/>
    <w:uiPriority w:val="99"/>
    <w:rsid w:val="00342A40"/>
    <w:rPr>
      <w:rFonts w:ascii="Courier New" w:eastAsia="Times New Roman" w:hAnsi="Courier New"/>
      <w:lang w:val="en-US" w:eastAsia="ja-JP"/>
    </w:rPr>
  </w:style>
  <w:style w:type="paragraph" w:styleId="Zadevapripombe">
    <w:name w:val="annotation subject"/>
    <w:basedOn w:val="Pripombabesedilo"/>
    <w:next w:val="Pripombabesedilo"/>
    <w:link w:val="ZadevapripombeZnak"/>
    <w:uiPriority w:val="99"/>
    <w:semiHidden/>
    <w:unhideWhenUsed/>
    <w:rsid w:val="00342A40"/>
    <w:rPr>
      <w:b/>
      <w:bCs/>
    </w:rPr>
  </w:style>
  <w:style w:type="character" w:customStyle="1" w:styleId="ZadevapripombeZnak">
    <w:name w:val="Zadeva pripombe Znak"/>
    <w:link w:val="Zadevapripombe"/>
    <w:uiPriority w:val="99"/>
    <w:semiHidden/>
    <w:rsid w:val="00342A40"/>
    <w:rPr>
      <w:rFonts w:ascii="Arial" w:eastAsia="Times New Roman" w:hAnsi="Arial"/>
      <w:b/>
      <w:bCs/>
      <w:szCs w:val="22"/>
      <w:lang w:eastAsia="ja-JP"/>
    </w:rPr>
  </w:style>
  <w:style w:type="character" w:customStyle="1" w:styleId="BesedilooblakaZnak">
    <w:name w:val="Besedilo oblačka Znak"/>
    <w:link w:val="Besedilooblaka"/>
    <w:uiPriority w:val="99"/>
    <w:semiHidden/>
    <w:rsid w:val="00342A40"/>
    <w:rPr>
      <w:rFonts w:ascii="Tahoma" w:eastAsia="Times New Roman" w:hAnsi="Tahoma" w:cs="Tahoma"/>
      <w:sz w:val="16"/>
      <w:szCs w:val="16"/>
    </w:rPr>
  </w:style>
  <w:style w:type="paragraph" w:styleId="Brezrazmikov">
    <w:name w:val="No Spacing"/>
    <w:uiPriority w:val="1"/>
    <w:qFormat/>
    <w:rsid w:val="00342A40"/>
    <w:rPr>
      <w:rFonts w:eastAsia="Times New Roman"/>
      <w:sz w:val="22"/>
      <w:szCs w:val="22"/>
      <w:lang w:eastAsia="ja-JP"/>
    </w:rPr>
  </w:style>
  <w:style w:type="paragraph" w:styleId="Citat">
    <w:name w:val="Quote"/>
    <w:basedOn w:val="Navaden"/>
    <w:next w:val="Navaden"/>
    <w:link w:val="CitatZnak"/>
    <w:uiPriority w:val="29"/>
    <w:qFormat/>
    <w:rsid w:val="00342A40"/>
    <w:pPr>
      <w:overflowPunct/>
      <w:autoSpaceDE/>
      <w:autoSpaceDN/>
      <w:adjustRightInd/>
      <w:jc w:val="left"/>
      <w:textAlignment w:val="auto"/>
    </w:pPr>
    <w:rPr>
      <w:rFonts w:ascii="Calibri" w:hAnsi="Calibri"/>
      <w:i/>
      <w:iCs/>
      <w:color w:val="000000"/>
      <w:sz w:val="22"/>
      <w:szCs w:val="22"/>
      <w:lang w:val="x-none" w:eastAsia="ja-JP"/>
    </w:rPr>
  </w:style>
  <w:style w:type="character" w:customStyle="1" w:styleId="CitatZnak">
    <w:name w:val="Citat Znak"/>
    <w:link w:val="Citat"/>
    <w:uiPriority w:val="29"/>
    <w:rsid w:val="00342A40"/>
    <w:rPr>
      <w:rFonts w:eastAsia="Times New Roman"/>
      <w:i/>
      <w:iCs/>
      <w:color w:val="000000"/>
      <w:sz w:val="22"/>
      <w:szCs w:val="22"/>
      <w:lang w:eastAsia="ja-JP"/>
    </w:rPr>
  </w:style>
  <w:style w:type="character" w:customStyle="1" w:styleId="IntenzivencitatZnak">
    <w:name w:val="Intenziven citat Znak"/>
    <w:aliases w:val="Seznam Prilog Znak"/>
    <w:link w:val="Intenzivencitat"/>
    <w:uiPriority w:val="30"/>
    <w:locked/>
    <w:rsid w:val="00342A40"/>
    <w:rPr>
      <w:b/>
      <w:bCs/>
      <w:i/>
      <w:iCs/>
      <w:color w:val="4F81BD"/>
    </w:rPr>
  </w:style>
  <w:style w:type="paragraph" w:styleId="Intenzivencitat">
    <w:name w:val="Intense Quote"/>
    <w:aliases w:val="Seznam Prilog"/>
    <w:basedOn w:val="Navaden"/>
    <w:next w:val="Navaden"/>
    <w:link w:val="IntenzivencitatZnak"/>
    <w:uiPriority w:val="30"/>
    <w:qFormat/>
    <w:rsid w:val="00342A40"/>
    <w:pPr>
      <w:pBdr>
        <w:bottom w:val="single" w:sz="4" w:space="4" w:color="4F81BD"/>
      </w:pBdr>
      <w:overflowPunct/>
      <w:autoSpaceDE/>
      <w:autoSpaceDN/>
      <w:adjustRightInd/>
      <w:spacing w:before="200" w:after="280"/>
      <w:ind w:left="936" w:right="936"/>
      <w:jc w:val="left"/>
      <w:textAlignment w:val="auto"/>
    </w:pPr>
    <w:rPr>
      <w:rFonts w:ascii="Calibri" w:eastAsia="Calibri" w:hAnsi="Calibri"/>
      <w:b/>
      <w:bCs/>
      <w:i/>
      <w:iCs/>
      <w:color w:val="4F81BD"/>
      <w:szCs w:val="20"/>
      <w:lang w:val="x-none" w:eastAsia="x-none"/>
    </w:rPr>
  </w:style>
  <w:style w:type="character" w:customStyle="1" w:styleId="IntenzivencitatZnak1">
    <w:name w:val="Intenziven citat Znak1"/>
    <w:aliases w:val="Seznam Prilog Znak1"/>
    <w:uiPriority w:val="30"/>
    <w:rsid w:val="00342A40"/>
    <w:rPr>
      <w:rFonts w:ascii="Arial" w:eastAsia="Times New Roman" w:hAnsi="Arial"/>
      <w:b/>
      <w:bCs/>
      <w:i/>
      <w:iCs/>
      <w:color w:val="4F81BD"/>
      <w:sz w:val="22"/>
      <w:szCs w:val="16"/>
    </w:rPr>
  </w:style>
  <w:style w:type="paragraph" w:styleId="NaslovTOC">
    <w:name w:val="TOC Heading"/>
    <w:basedOn w:val="Naslov10"/>
    <w:next w:val="Navaden"/>
    <w:uiPriority w:val="99"/>
    <w:unhideWhenUsed/>
    <w:qFormat/>
    <w:rsid w:val="00342A40"/>
    <w:pPr>
      <w:keepLines/>
      <w:numPr>
        <w:ilvl w:val="3"/>
        <w:numId w:val="0"/>
      </w:numPr>
      <w:overflowPunct/>
      <w:autoSpaceDE/>
      <w:autoSpaceDN/>
      <w:adjustRightInd/>
      <w:spacing w:before="480" w:after="0"/>
      <w:ind w:left="432" w:hanging="432"/>
      <w:jc w:val="left"/>
      <w:textAlignment w:val="auto"/>
      <w:outlineLvl w:val="9"/>
    </w:pPr>
    <w:rPr>
      <w:color w:val="365F91"/>
      <w:kern w:val="0"/>
      <w:lang w:eastAsia="ja-JP"/>
    </w:rPr>
  </w:style>
  <w:style w:type="paragraph" w:customStyle="1" w:styleId="lennovele">
    <w:name w:val="Člen_novele"/>
    <w:basedOn w:val="len"/>
    <w:link w:val="lennoveleZnak"/>
    <w:qFormat/>
    <w:rsid w:val="00BA6CBA"/>
  </w:style>
  <w:style w:type="paragraph" w:customStyle="1" w:styleId="ZnakZnak2CharCharZnakZnak">
    <w:name w:val="Znak Znak2 Char Char Znak Znak"/>
    <w:basedOn w:val="Navaden"/>
    <w:uiPriority w:val="99"/>
    <w:rsid w:val="00342A40"/>
    <w:pPr>
      <w:overflowPunct/>
      <w:autoSpaceDE/>
      <w:autoSpaceDN/>
      <w:adjustRightInd/>
      <w:jc w:val="left"/>
      <w:textAlignment w:val="auto"/>
    </w:pPr>
    <w:rPr>
      <w:rFonts w:ascii="Times New Roman" w:hAnsi="Times New Roman"/>
      <w:noProof/>
      <w:sz w:val="24"/>
      <w:szCs w:val="22"/>
      <w:lang w:val="pl-PL" w:eastAsia="pl-PL"/>
    </w:rPr>
  </w:style>
  <w:style w:type="paragraph" w:customStyle="1" w:styleId="ZnakZnakZnakZnakZnak1">
    <w:name w:val="Znak Znak Znak Znak Znak1"/>
    <w:basedOn w:val="Navaden"/>
    <w:uiPriority w:val="99"/>
    <w:rsid w:val="00342A40"/>
    <w:pPr>
      <w:overflowPunct/>
      <w:autoSpaceDE/>
      <w:autoSpaceDN/>
      <w:adjustRightInd/>
      <w:jc w:val="left"/>
      <w:textAlignment w:val="auto"/>
    </w:pPr>
    <w:rPr>
      <w:rFonts w:ascii="Times New Roman" w:hAnsi="Times New Roman"/>
      <w:sz w:val="24"/>
      <w:szCs w:val="22"/>
      <w:lang w:val="pl-PL" w:eastAsia="pl-PL"/>
    </w:rPr>
  </w:style>
  <w:style w:type="paragraph" w:customStyle="1" w:styleId="Navadensplet1">
    <w:name w:val="Navaden (splet)1"/>
    <w:basedOn w:val="Navaden"/>
    <w:uiPriority w:val="99"/>
    <w:rsid w:val="00342A40"/>
    <w:pPr>
      <w:overflowPunct/>
      <w:autoSpaceDE/>
      <w:autoSpaceDN/>
      <w:adjustRightInd/>
      <w:spacing w:before="100" w:beforeAutospacing="1" w:after="240"/>
      <w:jc w:val="left"/>
      <w:textAlignment w:val="auto"/>
    </w:pPr>
    <w:rPr>
      <w:rFonts w:ascii="Times New Roman" w:hAnsi="Times New Roman"/>
      <w:sz w:val="24"/>
      <w:szCs w:val="22"/>
      <w:lang w:eastAsia="ja-JP"/>
    </w:rPr>
  </w:style>
  <w:style w:type="paragraph" w:customStyle="1" w:styleId="MOPbesedilo">
    <w:name w:val="MOP_besedilo"/>
    <w:basedOn w:val="Navadensplet1"/>
    <w:uiPriority w:val="99"/>
    <w:rsid w:val="00342A40"/>
    <w:pPr>
      <w:jc w:val="both"/>
    </w:pPr>
    <w:rPr>
      <w:rFonts w:ascii="Arial" w:eastAsia="TimesNewRoman" w:hAnsi="Arial" w:cs="Arial"/>
      <w:sz w:val="20"/>
      <w:szCs w:val="20"/>
    </w:rPr>
  </w:style>
  <w:style w:type="numbering" w:customStyle="1" w:styleId="Alinejazaodstavkom1">
    <w:name w:val="Alineja za odstavkom1"/>
    <w:uiPriority w:val="99"/>
    <w:rsid w:val="00BA6CBA"/>
    <w:pPr>
      <w:numPr>
        <w:numId w:val="3"/>
      </w:numPr>
    </w:pPr>
  </w:style>
  <w:style w:type="character" w:customStyle="1" w:styleId="FootnoteTextChar1">
    <w:name w:val="Footnote Text Char1"/>
    <w:uiPriority w:val="99"/>
    <w:semiHidden/>
    <w:rsid w:val="00BA6CBA"/>
    <w:rPr>
      <w:rFonts w:ascii="Arial" w:eastAsia="Times New Roman" w:hAnsi="Arial"/>
    </w:rPr>
  </w:style>
  <w:style w:type="table" w:customStyle="1" w:styleId="TableGrid1">
    <w:name w:val="Table Grid1"/>
    <w:basedOn w:val="Navadnatabela"/>
    <w:next w:val="Tabelamrea"/>
    <w:uiPriority w:val="99"/>
    <w:rsid w:val="00BA6CBA"/>
    <w:rPr>
      <w:rFonts w:eastAsia="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7">
    <w:name w:val="Pa7"/>
    <w:basedOn w:val="Navaden"/>
    <w:next w:val="Navaden"/>
    <w:uiPriority w:val="99"/>
    <w:rsid w:val="00342A40"/>
    <w:pPr>
      <w:overflowPunct/>
      <w:spacing w:line="221" w:lineRule="atLeast"/>
      <w:jc w:val="left"/>
      <w:textAlignment w:val="auto"/>
    </w:pPr>
    <w:rPr>
      <w:rFonts w:ascii="Verdana" w:hAnsi="Verdana"/>
      <w:szCs w:val="22"/>
      <w:lang w:eastAsia="ja-JP"/>
    </w:rPr>
  </w:style>
  <w:style w:type="paragraph" w:customStyle="1" w:styleId="ZnakZnak1">
    <w:name w:val="Znak Znak1"/>
    <w:basedOn w:val="Navaden"/>
    <w:uiPriority w:val="99"/>
    <w:rsid w:val="00342A40"/>
    <w:pPr>
      <w:overflowPunct/>
      <w:autoSpaceDE/>
      <w:autoSpaceDN/>
      <w:adjustRightInd/>
      <w:jc w:val="left"/>
      <w:textAlignment w:val="auto"/>
    </w:pPr>
    <w:rPr>
      <w:szCs w:val="22"/>
      <w:lang w:val="pl-PL" w:eastAsia="pl-PL"/>
    </w:rPr>
  </w:style>
  <w:style w:type="paragraph" w:customStyle="1" w:styleId="esegmenth4">
    <w:name w:val="esegment_h4"/>
    <w:basedOn w:val="Navaden"/>
    <w:uiPriority w:val="99"/>
    <w:rsid w:val="00342A40"/>
    <w:pPr>
      <w:overflowPunct/>
      <w:autoSpaceDE/>
      <w:autoSpaceDN/>
      <w:adjustRightInd/>
      <w:spacing w:before="100" w:beforeAutospacing="1" w:after="100" w:afterAutospacing="1"/>
      <w:jc w:val="left"/>
      <w:textAlignment w:val="auto"/>
    </w:pPr>
    <w:rPr>
      <w:rFonts w:ascii="Times New Roman" w:hAnsi="Times New Roman"/>
      <w:sz w:val="24"/>
      <w:szCs w:val="22"/>
      <w:lang w:eastAsia="ja-JP"/>
    </w:rPr>
  </w:style>
  <w:style w:type="paragraph" w:customStyle="1" w:styleId="1Heading">
    <w:name w:val="1 Heading"/>
    <w:uiPriority w:val="99"/>
    <w:rsid w:val="00342A40"/>
    <w:pPr>
      <w:tabs>
        <w:tab w:val="num" w:pos="432"/>
      </w:tabs>
      <w:spacing w:before="240" w:after="60" w:line="360" w:lineRule="auto"/>
      <w:ind w:left="432" w:hanging="432"/>
    </w:pPr>
    <w:rPr>
      <w:rFonts w:ascii="Tahoma" w:eastAsia="Times New Roman" w:hAnsi="Tahoma"/>
      <w:sz w:val="28"/>
      <w:szCs w:val="24"/>
    </w:rPr>
  </w:style>
  <w:style w:type="paragraph" w:customStyle="1" w:styleId="Standard1">
    <w:name w:val="Standard1"/>
    <w:uiPriority w:val="99"/>
    <w:rsid w:val="00342A40"/>
    <w:rPr>
      <w:rFonts w:eastAsia="ヒラギノ角ゴ Pro W3"/>
      <w:color w:val="000000"/>
      <w:sz w:val="24"/>
      <w:szCs w:val="22"/>
      <w:lang w:eastAsia="zh-CN"/>
    </w:rPr>
  </w:style>
  <w:style w:type="paragraph" w:customStyle="1" w:styleId="Podnaslov1">
    <w:name w:val="Podnaslov1"/>
    <w:basedOn w:val="Navaden"/>
    <w:next w:val="Navaden"/>
    <w:autoRedefine/>
    <w:uiPriority w:val="99"/>
    <w:rsid w:val="00342A40"/>
    <w:pPr>
      <w:numPr>
        <w:ilvl w:val="1"/>
        <w:numId w:val="11"/>
      </w:numPr>
      <w:overflowPunct/>
      <w:autoSpaceDE/>
      <w:autoSpaceDN/>
      <w:adjustRightInd/>
      <w:spacing w:before="240" w:after="60"/>
      <w:ind w:left="998" w:hanging="431"/>
      <w:textAlignment w:val="auto"/>
    </w:pPr>
    <w:rPr>
      <w:rFonts w:ascii="Calibri" w:hAnsi="Calibri"/>
      <w:bCs/>
      <w:sz w:val="24"/>
      <w:szCs w:val="28"/>
      <w:lang w:eastAsia="en-US"/>
    </w:rPr>
  </w:style>
  <w:style w:type="paragraph" w:customStyle="1" w:styleId="font0">
    <w:name w:val="font0"/>
    <w:basedOn w:val="Navaden"/>
    <w:uiPriority w:val="99"/>
    <w:rsid w:val="00342A40"/>
    <w:pPr>
      <w:overflowPunct/>
      <w:autoSpaceDE/>
      <w:autoSpaceDN/>
      <w:adjustRightInd/>
      <w:spacing w:before="100" w:beforeAutospacing="1" w:after="100" w:afterAutospacing="1"/>
      <w:jc w:val="left"/>
      <w:textAlignment w:val="auto"/>
    </w:pPr>
    <w:rPr>
      <w:rFonts w:ascii="Calibri" w:hAnsi="Calibri"/>
      <w:color w:val="000000"/>
      <w:szCs w:val="22"/>
      <w:lang w:eastAsia="ja-JP"/>
    </w:rPr>
  </w:style>
  <w:style w:type="paragraph" w:customStyle="1" w:styleId="font5">
    <w:name w:val="font5"/>
    <w:basedOn w:val="Navaden"/>
    <w:rsid w:val="00342A40"/>
    <w:pPr>
      <w:overflowPunct/>
      <w:autoSpaceDE/>
      <w:autoSpaceDN/>
      <w:adjustRightInd/>
      <w:spacing w:before="100" w:beforeAutospacing="1" w:after="100" w:afterAutospacing="1"/>
      <w:jc w:val="left"/>
      <w:textAlignment w:val="auto"/>
    </w:pPr>
    <w:rPr>
      <w:rFonts w:ascii="Calibri" w:hAnsi="Calibri"/>
      <w:color w:val="000000"/>
      <w:szCs w:val="22"/>
      <w:lang w:eastAsia="ja-JP"/>
    </w:rPr>
  </w:style>
  <w:style w:type="paragraph" w:customStyle="1" w:styleId="xl65">
    <w:name w:val="xl65"/>
    <w:basedOn w:val="Navaden"/>
    <w:rsid w:val="00342A40"/>
    <w:pPr>
      <w:shd w:val="clear" w:color="auto" w:fill="C6EFCE"/>
      <w:overflowPunct/>
      <w:autoSpaceDE/>
      <w:autoSpaceDN/>
      <w:adjustRightInd/>
      <w:spacing w:before="100" w:beforeAutospacing="1" w:after="100" w:afterAutospacing="1"/>
      <w:jc w:val="left"/>
      <w:textAlignment w:val="auto"/>
    </w:pPr>
    <w:rPr>
      <w:rFonts w:ascii="Times New Roman" w:hAnsi="Times New Roman"/>
      <w:color w:val="006100"/>
      <w:sz w:val="24"/>
      <w:szCs w:val="22"/>
      <w:lang w:eastAsia="ja-JP"/>
    </w:rPr>
  </w:style>
  <w:style w:type="paragraph" w:customStyle="1" w:styleId="xl67">
    <w:name w:val="xl67"/>
    <w:basedOn w:val="Navaden"/>
    <w:rsid w:val="00342A40"/>
    <w:pPr>
      <w:shd w:val="clear" w:color="auto" w:fill="C6EFCE"/>
      <w:overflowPunct/>
      <w:autoSpaceDE/>
      <w:autoSpaceDN/>
      <w:adjustRightInd/>
      <w:spacing w:before="100" w:beforeAutospacing="1" w:after="100" w:afterAutospacing="1"/>
      <w:jc w:val="left"/>
      <w:textAlignment w:val="auto"/>
    </w:pPr>
    <w:rPr>
      <w:rFonts w:ascii="Times New Roman" w:hAnsi="Times New Roman"/>
      <w:color w:val="006100"/>
      <w:sz w:val="24"/>
      <w:szCs w:val="22"/>
      <w:lang w:eastAsia="ja-JP"/>
    </w:rPr>
  </w:style>
  <w:style w:type="paragraph" w:customStyle="1" w:styleId="xl68">
    <w:name w:val="xl68"/>
    <w:basedOn w:val="Navaden"/>
    <w:rsid w:val="00342A40"/>
    <w:pPr>
      <w:shd w:val="clear" w:color="auto" w:fill="C8E4EA"/>
      <w:overflowPunct/>
      <w:autoSpaceDE/>
      <w:autoSpaceDN/>
      <w:adjustRightInd/>
      <w:spacing w:before="100" w:beforeAutospacing="1" w:after="100" w:afterAutospacing="1"/>
      <w:jc w:val="left"/>
      <w:textAlignment w:val="auto"/>
    </w:pPr>
    <w:rPr>
      <w:rFonts w:ascii="Times New Roman" w:hAnsi="Times New Roman"/>
      <w:sz w:val="24"/>
      <w:szCs w:val="22"/>
      <w:lang w:eastAsia="ja-JP"/>
    </w:rPr>
  </w:style>
  <w:style w:type="paragraph" w:customStyle="1" w:styleId="xl69">
    <w:name w:val="xl69"/>
    <w:basedOn w:val="Navaden"/>
    <w:rsid w:val="00342A40"/>
    <w:pPr>
      <w:shd w:val="clear" w:color="auto" w:fill="C8E4EA"/>
      <w:overflowPunct/>
      <w:autoSpaceDE/>
      <w:autoSpaceDN/>
      <w:adjustRightInd/>
      <w:spacing w:before="100" w:beforeAutospacing="1" w:after="100" w:afterAutospacing="1"/>
      <w:jc w:val="left"/>
      <w:textAlignment w:val="auto"/>
    </w:pPr>
    <w:rPr>
      <w:rFonts w:ascii="Times New Roman" w:hAnsi="Times New Roman"/>
      <w:sz w:val="24"/>
      <w:szCs w:val="22"/>
      <w:lang w:eastAsia="ja-JP"/>
    </w:rPr>
  </w:style>
  <w:style w:type="paragraph" w:customStyle="1" w:styleId="xl66">
    <w:name w:val="xl66"/>
    <w:basedOn w:val="Navaden"/>
    <w:rsid w:val="00342A40"/>
    <w:pPr>
      <w:shd w:val="clear" w:color="auto" w:fill="D4D3DF"/>
      <w:overflowPunct/>
      <w:autoSpaceDE/>
      <w:autoSpaceDN/>
      <w:adjustRightInd/>
      <w:spacing w:before="100" w:beforeAutospacing="1" w:after="100" w:afterAutospacing="1"/>
      <w:jc w:val="left"/>
      <w:textAlignment w:val="auto"/>
    </w:pPr>
    <w:rPr>
      <w:rFonts w:ascii="Times New Roman" w:hAnsi="Times New Roman"/>
      <w:sz w:val="24"/>
      <w:szCs w:val="22"/>
      <w:lang w:eastAsia="ja-JP"/>
    </w:rPr>
  </w:style>
  <w:style w:type="paragraph" w:customStyle="1" w:styleId="xl70">
    <w:name w:val="xl70"/>
    <w:basedOn w:val="Navaden"/>
    <w:rsid w:val="00342A40"/>
    <w:pPr>
      <w:shd w:val="clear" w:color="auto" w:fill="C8E4EA"/>
      <w:overflowPunct/>
      <w:autoSpaceDE/>
      <w:autoSpaceDN/>
      <w:adjustRightInd/>
      <w:spacing w:before="100" w:beforeAutospacing="1" w:after="100" w:afterAutospacing="1"/>
      <w:jc w:val="left"/>
      <w:textAlignment w:val="auto"/>
    </w:pPr>
    <w:rPr>
      <w:rFonts w:ascii="Times New Roman" w:hAnsi="Times New Roman"/>
      <w:sz w:val="24"/>
      <w:szCs w:val="22"/>
      <w:lang w:eastAsia="ja-JP"/>
    </w:rPr>
  </w:style>
  <w:style w:type="paragraph" w:customStyle="1" w:styleId="mrppsi">
    <w:name w:val="mrppsi"/>
    <w:basedOn w:val="Navaden"/>
    <w:uiPriority w:val="99"/>
    <w:rsid w:val="00342A40"/>
    <w:pPr>
      <w:overflowPunct/>
      <w:autoSpaceDE/>
      <w:autoSpaceDN/>
      <w:adjustRightInd/>
      <w:spacing w:before="100" w:beforeAutospacing="1" w:after="100" w:afterAutospacing="1"/>
      <w:jc w:val="left"/>
      <w:textAlignment w:val="auto"/>
    </w:pPr>
    <w:rPr>
      <w:rFonts w:ascii="Times New Roman" w:hAnsi="Times New Roman"/>
      <w:sz w:val="24"/>
      <w:szCs w:val="22"/>
      <w:lang w:eastAsia="ja-JP"/>
    </w:rPr>
  </w:style>
  <w:style w:type="paragraph" w:customStyle="1" w:styleId="len0">
    <w:name w:val="len"/>
    <w:basedOn w:val="Navaden"/>
    <w:uiPriority w:val="99"/>
    <w:rsid w:val="00342A40"/>
    <w:pPr>
      <w:overflowPunct/>
      <w:autoSpaceDE/>
      <w:autoSpaceDN/>
      <w:adjustRightInd/>
      <w:spacing w:before="100" w:beforeAutospacing="1" w:after="100" w:afterAutospacing="1" w:line="360" w:lineRule="auto"/>
      <w:jc w:val="left"/>
      <w:textAlignment w:val="auto"/>
    </w:pPr>
    <w:rPr>
      <w:rFonts w:ascii="Times New Roman" w:hAnsi="Times New Roman"/>
      <w:sz w:val="24"/>
      <w:szCs w:val="22"/>
      <w:lang w:val="en-GB" w:eastAsia="zh-CN"/>
    </w:rPr>
  </w:style>
  <w:style w:type="paragraph" w:customStyle="1" w:styleId="xl63">
    <w:name w:val="xl63"/>
    <w:basedOn w:val="Navaden"/>
    <w:rsid w:val="00342A40"/>
    <w:pPr>
      <w:overflowPunct/>
      <w:autoSpaceDE/>
      <w:autoSpaceDN/>
      <w:adjustRightInd/>
      <w:spacing w:before="100" w:beforeAutospacing="1" w:after="100" w:afterAutospacing="1"/>
      <w:jc w:val="right"/>
      <w:textAlignment w:val="auto"/>
    </w:pPr>
    <w:rPr>
      <w:rFonts w:ascii="Times New Roman" w:hAnsi="Times New Roman"/>
      <w:b/>
      <w:bCs/>
      <w:sz w:val="28"/>
      <w:szCs w:val="28"/>
      <w:lang w:eastAsia="ja-JP"/>
    </w:rPr>
  </w:style>
  <w:style w:type="paragraph" w:customStyle="1" w:styleId="xl64">
    <w:name w:val="xl64"/>
    <w:basedOn w:val="Navaden"/>
    <w:rsid w:val="00342A40"/>
    <w:pPr>
      <w:overflowPunct/>
      <w:autoSpaceDE/>
      <w:autoSpaceDN/>
      <w:adjustRightInd/>
      <w:spacing w:before="100" w:beforeAutospacing="1" w:after="100" w:afterAutospacing="1"/>
      <w:jc w:val="left"/>
      <w:textAlignment w:val="auto"/>
    </w:pPr>
    <w:rPr>
      <w:rFonts w:ascii="Times New Roman" w:hAnsi="Times New Roman"/>
      <w:sz w:val="24"/>
      <w:szCs w:val="22"/>
      <w:lang w:eastAsia="ja-JP"/>
    </w:rPr>
  </w:style>
  <w:style w:type="paragraph" w:customStyle="1" w:styleId="xl71">
    <w:name w:val="xl71"/>
    <w:basedOn w:val="Navaden"/>
    <w:rsid w:val="00342A40"/>
    <w:pPr>
      <w:overflowPunct/>
      <w:autoSpaceDE/>
      <w:autoSpaceDN/>
      <w:adjustRightInd/>
      <w:spacing w:before="100" w:beforeAutospacing="1" w:after="100" w:afterAutospacing="1"/>
      <w:jc w:val="right"/>
      <w:textAlignment w:val="auto"/>
    </w:pPr>
    <w:rPr>
      <w:rFonts w:ascii="Times New Roman" w:hAnsi="Times New Roman"/>
      <w:b/>
      <w:bCs/>
      <w:sz w:val="24"/>
      <w:szCs w:val="22"/>
      <w:lang w:eastAsia="ja-JP"/>
    </w:rPr>
  </w:style>
  <w:style w:type="paragraph" w:customStyle="1" w:styleId="xl72">
    <w:name w:val="xl72"/>
    <w:basedOn w:val="Navaden"/>
    <w:rsid w:val="00342A40"/>
    <w:pPr>
      <w:overflowPunct/>
      <w:autoSpaceDE/>
      <w:autoSpaceDN/>
      <w:adjustRightInd/>
      <w:spacing w:before="100" w:beforeAutospacing="1" w:after="100" w:afterAutospacing="1"/>
      <w:jc w:val="left"/>
      <w:textAlignment w:val="auto"/>
    </w:pPr>
    <w:rPr>
      <w:rFonts w:ascii="Times New Roman" w:hAnsi="Times New Roman"/>
      <w:b/>
      <w:bCs/>
      <w:sz w:val="24"/>
      <w:szCs w:val="22"/>
      <w:lang w:eastAsia="ja-JP"/>
    </w:rPr>
  </w:style>
  <w:style w:type="paragraph" w:customStyle="1" w:styleId="xl73">
    <w:name w:val="xl73"/>
    <w:basedOn w:val="Navaden"/>
    <w:rsid w:val="00342A40"/>
    <w:pPr>
      <w:overflowPunct/>
      <w:autoSpaceDE/>
      <w:autoSpaceDN/>
      <w:adjustRightInd/>
      <w:spacing w:before="100" w:beforeAutospacing="1" w:after="100" w:afterAutospacing="1"/>
      <w:jc w:val="right"/>
      <w:textAlignment w:val="auto"/>
    </w:pPr>
    <w:rPr>
      <w:rFonts w:ascii="Times New Roman" w:hAnsi="Times New Roman"/>
      <w:color w:val="C0504D"/>
      <w:sz w:val="24"/>
      <w:szCs w:val="22"/>
      <w:lang w:eastAsia="ja-JP"/>
    </w:rPr>
  </w:style>
  <w:style w:type="paragraph" w:customStyle="1" w:styleId="xl74">
    <w:name w:val="xl74"/>
    <w:basedOn w:val="Navaden"/>
    <w:rsid w:val="00342A40"/>
    <w:pPr>
      <w:overflowPunct/>
      <w:autoSpaceDE/>
      <w:autoSpaceDN/>
      <w:adjustRightInd/>
      <w:spacing w:before="100" w:beforeAutospacing="1" w:after="100" w:afterAutospacing="1"/>
      <w:jc w:val="left"/>
      <w:textAlignment w:val="auto"/>
    </w:pPr>
    <w:rPr>
      <w:rFonts w:ascii="Times New Roman" w:hAnsi="Times New Roman"/>
      <w:color w:val="C0504D"/>
      <w:sz w:val="24"/>
      <w:szCs w:val="22"/>
      <w:lang w:eastAsia="ja-JP"/>
    </w:rPr>
  </w:style>
  <w:style w:type="paragraph" w:customStyle="1" w:styleId="xl75">
    <w:name w:val="xl75"/>
    <w:basedOn w:val="Navaden"/>
    <w:rsid w:val="00342A40"/>
    <w:pPr>
      <w:shd w:val="clear" w:color="auto" w:fill="FDE9D9"/>
      <w:overflowPunct/>
      <w:autoSpaceDE/>
      <w:autoSpaceDN/>
      <w:adjustRightInd/>
      <w:spacing w:before="100" w:beforeAutospacing="1" w:after="100" w:afterAutospacing="1"/>
      <w:jc w:val="right"/>
      <w:textAlignment w:val="auto"/>
    </w:pPr>
    <w:rPr>
      <w:rFonts w:ascii="Times New Roman" w:hAnsi="Times New Roman"/>
      <w:color w:val="F79646"/>
      <w:sz w:val="24"/>
      <w:szCs w:val="22"/>
      <w:lang w:eastAsia="ja-JP"/>
    </w:rPr>
  </w:style>
  <w:style w:type="paragraph" w:customStyle="1" w:styleId="xl76">
    <w:name w:val="xl76"/>
    <w:basedOn w:val="Navaden"/>
    <w:rsid w:val="00342A40"/>
    <w:pPr>
      <w:shd w:val="clear" w:color="auto" w:fill="FDE9D9"/>
      <w:overflowPunct/>
      <w:autoSpaceDE/>
      <w:autoSpaceDN/>
      <w:adjustRightInd/>
      <w:spacing w:before="100" w:beforeAutospacing="1" w:after="100" w:afterAutospacing="1"/>
      <w:jc w:val="left"/>
      <w:textAlignment w:val="auto"/>
    </w:pPr>
    <w:rPr>
      <w:rFonts w:ascii="Times New Roman" w:hAnsi="Times New Roman"/>
      <w:color w:val="F79646"/>
      <w:sz w:val="24"/>
      <w:szCs w:val="22"/>
      <w:lang w:eastAsia="ja-JP"/>
    </w:rPr>
  </w:style>
  <w:style w:type="paragraph" w:customStyle="1" w:styleId="xl77">
    <w:name w:val="xl77"/>
    <w:basedOn w:val="Navaden"/>
    <w:rsid w:val="00342A40"/>
    <w:pPr>
      <w:overflowPunct/>
      <w:autoSpaceDE/>
      <w:autoSpaceDN/>
      <w:adjustRightInd/>
      <w:spacing w:before="100" w:beforeAutospacing="1" w:after="100" w:afterAutospacing="1"/>
      <w:jc w:val="right"/>
      <w:textAlignment w:val="auto"/>
    </w:pPr>
    <w:rPr>
      <w:rFonts w:ascii="Times New Roman" w:hAnsi="Times New Roman"/>
      <w:b/>
      <w:bCs/>
      <w:sz w:val="24"/>
      <w:szCs w:val="22"/>
      <w:lang w:eastAsia="ja-JP"/>
    </w:rPr>
  </w:style>
  <w:style w:type="paragraph" w:customStyle="1" w:styleId="xl78">
    <w:name w:val="xl78"/>
    <w:basedOn w:val="Navaden"/>
    <w:rsid w:val="00342A40"/>
    <w:pPr>
      <w:overflowPunct/>
      <w:autoSpaceDE/>
      <w:autoSpaceDN/>
      <w:adjustRightInd/>
      <w:spacing w:before="100" w:beforeAutospacing="1" w:after="100" w:afterAutospacing="1"/>
      <w:jc w:val="right"/>
      <w:textAlignment w:val="auto"/>
    </w:pPr>
    <w:rPr>
      <w:rFonts w:ascii="Times New Roman" w:hAnsi="Times New Roman"/>
      <w:sz w:val="24"/>
      <w:szCs w:val="22"/>
      <w:lang w:eastAsia="ja-JP"/>
    </w:rPr>
  </w:style>
  <w:style w:type="paragraph" w:customStyle="1" w:styleId="xl79">
    <w:name w:val="xl79"/>
    <w:basedOn w:val="Navaden"/>
    <w:rsid w:val="00342A40"/>
    <w:pPr>
      <w:overflowPunct/>
      <w:autoSpaceDE/>
      <w:autoSpaceDN/>
      <w:adjustRightInd/>
      <w:spacing w:before="100" w:beforeAutospacing="1" w:after="100" w:afterAutospacing="1"/>
      <w:jc w:val="left"/>
      <w:textAlignment w:val="auto"/>
    </w:pPr>
    <w:rPr>
      <w:rFonts w:ascii="Times New Roman" w:hAnsi="Times New Roman"/>
      <w:sz w:val="24"/>
      <w:szCs w:val="22"/>
      <w:lang w:eastAsia="ja-JP"/>
    </w:rPr>
  </w:style>
  <w:style w:type="paragraph" w:customStyle="1" w:styleId="xl80">
    <w:name w:val="xl80"/>
    <w:basedOn w:val="Navaden"/>
    <w:rsid w:val="00342A40"/>
    <w:pPr>
      <w:overflowPunct/>
      <w:autoSpaceDE/>
      <w:autoSpaceDN/>
      <w:adjustRightInd/>
      <w:spacing w:before="100" w:beforeAutospacing="1" w:after="100" w:afterAutospacing="1"/>
      <w:jc w:val="right"/>
      <w:textAlignment w:val="auto"/>
    </w:pPr>
    <w:rPr>
      <w:rFonts w:ascii="Times New Roman" w:hAnsi="Times New Roman"/>
      <w:color w:val="C0504D"/>
      <w:sz w:val="24"/>
      <w:szCs w:val="22"/>
      <w:lang w:eastAsia="ja-JP"/>
    </w:rPr>
  </w:style>
  <w:style w:type="paragraph" w:customStyle="1" w:styleId="xl81">
    <w:name w:val="xl81"/>
    <w:basedOn w:val="Navaden"/>
    <w:rsid w:val="00342A40"/>
    <w:pPr>
      <w:overflowPunct/>
      <w:autoSpaceDE/>
      <w:autoSpaceDN/>
      <w:adjustRightInd/>
      <w:spacing w:before="100" w:beforeAutospacing="1" w:after="100" w:afterAutospacing="1"/>
      <w:jc w:val="left"/>
      <w:textAlignment w:val="auto"/>
    </w:pPr>
    <w:rPr>
      <w:rFonts w:ascii="Times New Roman" w:hAnsi="Times New Roman"/>
      <w:color w:val="C0504D"/>
      <w:sz w:val="24"/>
      <w:szCs w:val="22"/>
      <w:lang w:eastAsia="ja-JP"/>
    </w:rPr>
  </w:style>
  <w:style w:type="paragraph" w:customStyle="1" w:styleId="xl82">
    <w:name w:val="xl82"/>
    <w:basedOn w:val="Navaden"/>
    <w:rsid w:val="00342A40"/>
    <w:pPr>
      <w:overflowPunct/>
      <w:autoSpaceDE/>
      <w:autoSpaceDN/>
      <w:adjustRightInd/>
      <w:spacing w:before="100" w:beforeAutospacing="1" w:after="100" w:afterAutospacing="1"/>
      <w:jc w:val="left"/>
      <w:textAlignment w:val="auto"/>
    </w:pPr>
    <w:rPr>
      <w:rFonts w:ascii="Times New Roman" w:hAnsi="Times New Roman"/>
      <w:sz w:val="24"/>
      <w:szCs w:val="22"/>
      <w:lang w:eastAsia="ja-JP"/>
    </w:rPr>
  </w:style>
  <w:style w:type="paragraph" w:customStyle="1" w:styleId="xl83">
    <w:name w:val="xl83"/>
    <w:basedOn w:val="Navaden"/>
    <w:rsid w:val="00342A40"/>
    <w:pPr>
      <w:overflowPunct/>
      <w:autoSpaceDE/>
      <w:autoSpaceDN/>
      <w:adjustRightInd/>
      <w:spacing w:before="100" w:beforeAutospacing="1" w:after="100" w:afterAutospacing="1"/>
      <w:jc w:val="left"/>
      <w:textAlignment w:val="auto"/>
    </w:pPr>
    <w:rPr>
      <w:rFonts w:ascii="Times New Roman" w:hAnsi="Times New Roman"/>
      <w:sz w:val="24"/>
      <w:szCs w:val="22"/>
      <w:lang w:eastAsia="ja-JP"/>
    </w:rPr>
  </w:style>
  <w:style w:type="paragraph" w:customStyle="1" w:styleId="xl84">
    <w:name w:val="xl84"/>
    <w:basedOn w:val="Navaden"/>
    <w:rsid w:val="00342A40"/>
    <w:pPr>
      <w:overflowPunct/>
      <w:autoSpaceDE/>
      <w:autoSpaceDN/>
      <w:adjustRightInd/>
      <w:spacing w:before="100" w:beforeAutospacing="1" w:after="100" w:afterAutospacing="1"/>
      <w:jc w:val="right"/>
      <w:textAlignment w:val="auto"/>
    </w:pPr>
    <w:rPr>
      <w:rFonts w:ascii="Times New Roman" w:hAnsi="Times New Roman"/>
      <w:sz w:val="24"/>
      <w:szCs w:val="22"/>
      <w:lang w:eastAsia="ja-JP"/>
    </w:rPr>
  </w:style>
  <w:style w:type="paragraph" w:customStyle="1" w:styleId="xl85">
    <w:name w:val="xl85"/>
    <w:basedOn w:val="Navaden"/>
    <w:rsid w:val="00342A40"/>
    <w:pPr>
      <w:overflowPunct/>
      <w:autoSpaceDE/>
      <w:autoSpaceDN/>
      <w:adjustRightInd/>
      <w:spacing w:before="100" w:beforeAutospacing="1" w:after="100" w:afterAutospacing="1"/>
      <w:jc w:val="left"/>
      <w:textAlignment w:val="auto"/>
    </w:pPr>
    <w:rPr>
      <w:rFonts w:ascii="Times New Roman" w:hAnsi="Times New Roman"/>
      <w:sz w:val="24"/>
      <w:szCs w:val="22"/>
      <w:lang w:eastAsia="ja-JP"/>
    </w:rPr>
  </w:style>
  <w:style w:type="paragraph" w:customStyle="1" w:styleId="xl86">
    <w:name w:val="xl86"/>
    <w:basedOn w:val="Navaden"/>
    <w:rsid w:val="00342A40"/>
    <w:pPr>
      <w:shd w:val="clear" w:color="auto" w:fill="FDE9D9"/>
      <w:overflowPunct/>
      <w:autoSpaceDE/>
      <w:autoSpaceDN/>
      <w:adjustRightInd/>
      <w:spacing w:before="100" w:beforeAutospacing="1" w:after="100" w:afterAutospacing="1"/>
      <w:jc w:val="right"/>
      <w:textAlignment w:val="auto"/>
    </w:pPr>
    <w:rPr>
      <w:rFonts w:ascii="Times New Roman" w:hAnsi="Times New Roman"/>
      <w:b/>
      <w:bCs/>
      <w:color w:val="F79646"/>
      <w:sz w:val="24"/>
      <w:szCs w:val="22"/>
      <w:lang w:eastAsia="ja-JP"/>
    </w:rPr>
  </w:style>
  <w:style w:type="paragraph" w:customStyle="1" w:styleId="xl87">
    <w:name w:val="xl87"/>
    <w:basedOn w:val="Navaden"/>
    <w:rsid w:val="00342A40"/>
    <w:pPr>
      <w:shd w:val="clear" w:color="auto" w:fill="FDE9D9"/>
      <w:overflowPunct/>
      <w:autoSpaceDE/>
      <w:autoSpaceDN/>
      <w:adjustRightInd/>
      <w:spacing w:before="100" w:beforeAutospacing="1" w:after="100" w:afterAutospacing="1"/>
      <w:jc w:val="left"/>
      <w:textAlignment w:val="auto"/>
    </w:pPr>
    <w:rPr>
      <w:rFonts w:ascii="Times New Roman" w:hAnsi="Times New Roman"/>
      <w:b/>
      <w:bCs/>
      <w:color w:val="F79646"/>
      <w:sz w:val="24"/>
      <w:szCs w:val="22"/>
      <w:lang w:eastAsia="ja-JP"/>
    </w:rPr>
  </w:style>
  <w:style w:type="paragraph" w:customStyle="1" w:styleId="BodyTextSL">
    <w:name w:val="Body Text SL"/>
    <w:basedOn w:val="Telobesedila"/>
    <w:rsid w:val="00342A40"/>
    <w:pPr>
      <w:suppressAutoHyphens w:val="0"/>
      <w:jc w:val="both"/>
    </w:pPr>
    <w:rPr>
      <w:rFonts w:ascii="Arial" w:hAnsi="Arial"/>
      <w:lang w:eastAsia="sl-SI"/>
    </w:rPr>
  </w:style>
  <w:style w:type="paragraph" w:customStyle="1" w:styleId="Brezrazmikov1">
    <w:name w:val="Brez razmikov1"/>
    <w:uiPriority w:val="99"/>
    <w:rsid w:val="00342A40"/>
    <w:rPr>
      <w:rFonts w:ascii="Tahoma" w:eastAsia="Times New Roman" w:hAnsi="Tahoma"/>
      <w:sz w:val="22"/>
      <w:szCs w:val="22"/>
      <w:lang w:eastAsia="en-US"/>
    </w:rPr>
  </w:style>
  <w:style w:type="paragraph" w:customStyle="1" w:styleId="Natevanje2">
    <w:name w:val="Naštevanje2"/>
    <w:basedOn w:val="Navaden"/>
    <w:uiPriority w:val="99"/>
    <w:rsid w:val="00342A40"/>
    <w:pPr>
      <w:overflowPunct/>
      <w:autoSpaceDE/>
      <w:autoSpaceDN/>
      <w:adjustRightInd/>
      <w:spacing w:after="160"/>
      <w:ind w:left="454" w:hanging="454"/>
      <w:jc w:val="left"/>
      <w:textAlignment w:val="auto"/>
    </w:pPr>
    <w:rPr>
      <w:rFonts w:ascii="Times New Roman" w:hAnsi="Times New Roman"/>
      <w:b/>
      <w:sz w:val="24"/>
      <w:szCs w:val="20"/>
      <w:lang w:val="en-US" w:eastAsia="en-US"/>
    </w:rPr>
  </w:style>
  <w:style w:type="paragraph" w:customStyle="1" w:styleId="Zamik2">
    <w:name w:val="Zamik2"/>
    <w:basedOn w:val="Navaden"/>
    <w:uiPriority w:val="99"/>
    <w:rsid w:val="00342A40"/>
    <w:pPr>
      <w:tabs>
        <w:tab w:val="left" w:pos="3969"/>
        <w:tab w:val="left" w:pos="5103"/>
      </w:tabs>
      <w:overflowPunct/>
      <w:autoSpaceDE/>
      <w:autoSpaceDN/>
      <w:adjustRightInd/>
      <w:ind w:left="794" w:hanging="284"/>
      <w:jc w:val="left"/>
      <w:textAlignment w:val="auto"/>
    </w:pPr>
    <w:rPr>
      <w:rFonts w:ascii="Times New Roman" w:hAnsi="Times New Roman"/>
      <w:sz w:val="24"/>
      <w:szCs w:val="20"/>
      <w:lang w:val="en-US" w:eastAsia="en-US"/>
    </w:rPr>
  </w:style>
  <w:style w:type="paragraph" w:customStyle="1" w:styleId="Natevanje1">
    <w:name w:val="Naštevanje1"/>
    <w:basedOn w:val="Navaden"/>
    <w:uiPriority w:val="99"/>
    <w:rsid w:val="00342A40"/>
    <w:pPr>
      <w:overflowPunct/>
      <w:autoSpaceDE/>
      <w:autoSpaceDN/>
      <w:adjustRightInd/>
      <w:ind w:left="454" w:hanging="454"/>
      <w:jc w:val="left"/>
      <w:textAlignment w:val="auto"/>
    </w:pPr>
    <w:rPr>
      <w:rFonts w:ascii="Times New Roman" w:hAnsi="Times New Roman"/>
      <w:sz w:val="24"/>
      <w:szCs w:val="20"/>
      <w:lang w:val="en-US" w:eastAsia="en-US"/>
    </w:rPr>
  </w:style>
  <w:style w:type="paragraph" w:customStyle="1" w:styleId="Zamik3">
    <w:name w:val="Zamik3"/>
    <w:basedOn w:val="Zamik2"/>
    <w:uiPriority w:val="99"/>
    <w:rsid w:val="00342A40"/>
    <w:pPr>
      <w:ind w:left="1135"/>
    </w:pPr>
  </w:style>
  <w:style w:type="paragraph" w:customStyle="1" w:styleId="Zamik4">
    <w:name w:val="Zamik4"/>
    <w:basedOn w:val="Zamik2"/>
    <w:uiPriority w:val="99"/>
    <w:rsid w:val="00342A40"/>
    <w:pPr>
      <w:tabs>
        <w:tab w:val="clear" w:pos="3969"/>
        <w:tab w:val="clear" w:pos="5103"/>
      </w:tabs>
      <w:ind w:left="454" w:hanging="454"/>
      <w:jc w:val="both"/>
    </w:pPr>
  </w:style>
  <w:style w:type="paragraph" w:customStyle="1" w:styleId="Break">
    <w:name w:val="Break"/>
    <w:basedOn w:val="Navaden"/>
    <w:uiPriority w:val="99"/>
    <w:rsid w:val="00342A40"/>
    <w:pPr>
      <w:overflowPunct/>
      <w:adjustRightInd/>
      <w:spacing w:before="240" w:after="240"/>
      <w:ind w:left="709" w:hanging="709"/>
      <w:textAlignment w:val="auto"/>
    </w:pPr>
    <w:rPr>
      <w:rFonts w:ascii="Times New Roman" w:hAnsi="Times New Roman"/>
      <w:b/>
      <w:i/>
      <w:szCs w:val="20"/>
      <w:lang w:val="en-GB" w:eastAsia="en-US"/>
    </w:rPr>
  </w:style>
  <w:style w:type="paragraph" w:customStyle="1" w:styleId="Step">
    <w:name w:val="Step"/>
    <w:basedOn w:val="Glava"/>
    <w:uiPriority w:val="99"/>
    <w:rsid w:val="00342A40"/>
    <w:pPr>
      <w:keepNext/>
      <w:numPr>
        <w:numId w:val="12"/>
      </w:numPr>
      <w:tabs>
        <w:tab w:val="clear" w:pos="1021"/>
        <w:tab w:val="clear" w:pos="4536"/>
        <w:tab w:val="clear" w:pos="9072"/>
        <w:tab w:val="left" w:pos="284"/>
        <w:tab w:val="left" w:pos="397"/>
        <w:tab w:val="num" w:pos="937"/>
      </w:tabs>
      <w:overflowPunct/>
      <w:autoSpaceDE/>
      <w:autoSpaceDN/>
      <w:adjustRightInd/>
      <w:spacing w:after="60"/>
      <w:ind w:left="284" w:hanging="284"/>
      <w:textAlignment w:val="auto"/>
    </w:pPr>
    <w:rPr>
      <w:rFonts w:ascii="Times New Roman" w:hAnsi="Times New Roman"/>
      <w:b/>
      <w:sz w:val="22"/>
      <w:szCs w:val="20"/>
      <w:lang w:val="en-GB" w:eastAsia="en-US"/>
    </w:rPr>
  </w:style>
  <w:style w:type="paragraph" w:customStyle="1" w:styleId="PHASE">
    <w:name w:val="PHASE"/>
    <w:basedOn w:val="Glava"/>
    <w:rsid w:val="00342A40"/>
    <w:pPr>
      <w:keepNext/>
      <w:numPr>
        <w:numId w:val="13"/>
      </w:numPr>
      <w:pBdr>
        <w:top w:val="single" w:sz="6" w:space="1" w:color="808080"/>
        <w:left w:val="single" w:sz="6" w:space="4" w:color="808080"/>
        <w:bottom w:val="single" w:sz="6" w:space="1" w:color="808080"/>
        <w:right w:val="single" w:sz="6" w:space="4" w:color="808080"/>
      </w:pBdr>
      <w:tabs>
        <w:tab w:val="clear" w:pos="1800"/>
        <w:tab w:val="clear" w:pos="4536"/>
        <w:tab w:val="clear" w:pos="9072"/>
        <w:tab w:val="num" w:pos="937"/>
      </w:tabs>
      <w:overflowPunct/>
      <w:autoSpaceDE/>
      <w:autoSpaceDN/>
      <w:adjustRightInd/>
      <w:spacing w:before="240" w:after="60"/>
      <w:ind w:left="937" w:hanging="397"/>
      <w:textAlignment w:val="auto"/>
    </w:pPr>
    <w:rPr>
      <w:rFonts w:ascii="Times New Roman Bold" w:hAnsi="Times New Roman Bold"/>
      <w:b/>
      <w:sz w:val="22"/>
      <w:szCs w:val="20"/>
      <w:lang w:val="en-US" w:eastAsia="en-US"/>
    </w:rPr>
  </w:style>
  <w:style w:type="paragraph" w:customStyle="1" w:styleId="Question">
    <w:name w:val="Question"/>
    <w:basedOn w:val="Navaden"/>
    <w:uiPriority w:val="99"/>
    <w:rsid w:val="00342A40"/>
    <w:pPr>
      <w:numPr>
        <w:numId w:val="14"/>
      </w:numPr>
      <w:tabs>
        <w:tab w:val="clear" w:pos="1440"/>
        <w:tab w:val="num" w:pos="937"/>
        <w:tab w:val="left" w:pos="1021"/>
        <w:tab w:val="left" w:pos="1247"/>
      </w:tabs>
      <w:overflowPunct/>
      <w:autoSpaceDE/>
      <w:autoSpaceDN/>
      <w:adjustRightInd/>
      <w:spacing w:after="60"/>
      <w:ind w:left="937" w:hanging="397"/>
      <w:textAlignment w:val="auto"/>
    </w:pPr>
    <w:rPr>
      <w:rFonts w:ascii="Times New Roman" w:hAnsi="Times New Roman"/>
      <w:color w:val="0000FF"/>
      <w:szCs w:val="20"/>
      <w:lang w:val="en-GB" w:eastAsia="en-US"/>
    </w:rPr>
  </w:style>
  <w:style w:type="paragraph" w:customStyle="1" w:styleId="resolution">
    <w:name w:val="resolution"/>
    <w:basedOn w:val="Navaden"/>
    <w:rsid w:val="00342A40"/>
    <w:pPr>
      <w:numPr>
        <w:numId w:val="15"/>
      </w:numPr>
      <w:pBdr>
        <w:top w:val="single" w:sz="4" w:space="1" w:color="auto"/>
        <w:left w:val="single" w:sz="4" w:space="4" w:color="auto"/>
        <w:bottom w:val="single" w:sz="4" w:space="1" w:color="auto"/>
        <w:right w:val="single" w:sz="4" w:space="4" w:color="auto"/>
      </w:pBdr>
      <w:tabs>
        <w:tab w:val="clear" w:pos="1080"/>
        <w:tab w:val="num" w:pos="937"/>
      </w:tabs>
      <w:overflowPunct/>
      <w:adjustRightInd/>
      <w:spacing w:after="120"/>
      <w:ind w:left="937" w:hanging="397"/>
      <w:textAlignment w:val="auto"/>
    </w:pPr>
    <w:rPr>
      <w:rFonts w:ascii="Times New Roman" w:hAnsi="Times New Roman"/>
      <w:szCs w:val="20"/>
      <w:lang w:val="en-GB" w:eastAsia="en-US"/>
    </w:rPr>
  </w:style>
  <w:style w:type="paragraph" w:customStyle="1" w:styleId="BalloonText1">
    <w:name w:val="Balloon Text1"/>
    <w:basedOn w:val="Navaden"/>
    <w:uiPriority w:val="99"/>
    <w:semiHidden/>
    <w:rsid w:val="00342A40"/>
    <w:pPr>
      <w:overflowPunct/>
      <w:autoSpaceDE/>
      <w:autoSpaceDN/>
      <w:adjustRightInd/>
      <w:ind w:firstLine="284"/>
      <w:textAlignment w:val="auto"/>
    </w:pPr>
    <w:rPr>
      <w:rFonts w:ascii="Calibri" w:hAnsi="Calibri" w:cs="Tahoma"/>
      <w:sz w:val="16"/>
      <w:lang w:val="en-US" w:eastAsia="en-US"/>
    </w:rPr>
  </w:style>
  <w:style w:type="paragraph" w:customStyle="1" w:styleId="a">
    <w:name w:val="_"/>
    <w:uiPriority w:val="99"/>
    <w:semiHidden/>
    <w:rsid w:val="00342A40"/>
    <w:pPr>
      <w:widowControl w:val="0"/>
      <w:tabs>
        <w:tab w:val="left" w:pos="-720"/>
      </w:tabs>
      <w:suppressAutoHyphens/>
    </w:pPr>
    <w:rPr>
      <w:rFonts w:eastAsia="Times New Roman"/>
      <w:sz w:val="24"/>
      <w:szCs w:val="22"/>
      <w:lang w:val="en-US"/>
    </w:rPr>
  </w:style>
  <w:style w:type="paragraph" w:customStyle="1" w:styleId="Navadensplet13">
    <w:name w:val="Navaden (splet)13"/>
    <w:basedOn w:val="Navaden"/>
    <w:uiPriority w:val="99"/>
    <w:rsid w:val="00342A40"/>
    <w:pPr>
      <w:overflowPunct/>
      <w:autoSpaceDE/>
      <w:autoSpaceDN/>
      <w:adjustRightInd/>
      <w:ind w:firstLine="284"/>
      <w:jc w:val="left"/>
      <w:textAlignment w:val="auto"/>
    </w:pPr>
    <w:rPr>
      <w:rFonts w:ascii="Times New Roman" w:hAnsi="Times New Roman"/>
      <w:sz w:val="24"/>
      <w:szCs w:val="22"/>
      <w:lang w:eastAsia="ja-JP"/>
    </w:rPr>
  </w:style>
  <w:style w:type="paragraph" w:customStyle="1" w:styleId="Bullet">
    <w:name w:val="Bullet"/>
    <w:basedOn w:val="Navaden"/>
    <w:uiPriority w:val="99"/>
    <w:rsid w:val="00342A40"/>
    <w:pPr>
      <w:numPr>
        <w:numId w:val="16"/>
      </w:numPr>
      <w:tabs>
        <w:tab w:val="clear" w:pos="360"/>
        <w:tab w:val="num" w:pos="937"/>
      </w:tabs>
      <w:overflowPunct/>
      <w:autoSpaceDE/>
      <w:autoSpaceDN/>
      <w:adjustRightInd/>
      <w:ind w:left="937" w:hanging="397"/>
      <w:textAlignment w:val="auto"/>
    </w:pPr>
    <w:rPr>
      <w:rFonts w:ascii="Times New Roman" w:hAnsi="Times New Roman"/>
      <w:sz w:val="24"/>
      <w:szCs w:val="20"/>
      <w:lang w:val="en-US" w:eastAsia="en-US"/>
    </w:rPr>
  </w:style>
  <w:style w:type="paragraph" w:customStyle="1" w:styleId="Typedudocument">
    <w:name w:val="Type du document"/>
    <w:basedOn w:val="Navaden"/>
    <w:next w:val="Navaden"/>
    <w:uiPriority w:val="99"/>
    <w:rsid w:val="00342A40"/>
    <w:pPr>
      <w:widowControl w:val="0"/>
      <w:overflowPunct/>
      <w:autoSpaceDE/>
      <w:autoSpaceDN/>
      <w:adjustRightInd/>
      <w:spacing w:before="360"/>
      <w:ind w:firstLine="284"/>
      <w:jc w:val="center"/>
      <w:textAlignment w:val="auto"/>
    </w:pPr>
    <w:rPr>
      <w:rFonts w:ascii="Times New Roman" w:hAnsi="Times New Roman"/>
      <w:b/>
      <w:sz w:val="24"/>
      <w:szCs w:val="20"/>
      <w:lang w:val="en-US" w:eastAsia="en-US"/>
    </w:rPr>
  </w:style>
  <w:style w:type="paragraph" w:customStyle="1" w:styleId="NavadenPrvavrstica0">
    <w:name w:val="Navaden + Prva vrstica:  0"/>
    <w:aliases w:val="5 cm"/>
    <w:basedOn w:val="Navaden"/>
    <w:uiPriority w:val="99"/>
    <w:rsid w:val="00342A40"/>
    <w:pPr>
      <w:overflowPunct/>
      <w:autoSpaceDE/>
      <w:autoSpaceDN/>
      <w:adjustRightInd/>
      <w:ind w:firstLine="284"/>
      <w:textAlignment w:val="auto"/>
    </w:pPr>
    <w:rPr>
      <w:rFonts w:ascii="Times New Roman" w:hAnsi="Times New Roman"/>
      <w:sz w:val="24"/>
      <w:szCs w:val="20"/>
      <w:lang w:eastAsia="en-US"/>
    </w:rPr>
  </w:style>
  <w:style w:type="character" w:customStyle="1" w:styleId="IntenseQuoteChar1">
    <w:name w:val="Intense Quote Char1"/>
    <w:uiPriority w:val="30"/>
    <w:rsid w:val="00BA6CBA"/>
    <w:rPr>
      <w:rFonts w:ascii="Arial" w:eastAsia="Times New Roman" w:hAnsi="Arial"/>
      <w:b/>
      <w:bCs/>
      <w:i/>
      <w:iCs/>
      <w:color w:val="4F81BD"/>
      <w:sz w:val="22"/>
      <w:szCs w:val="16"/>
    </w:rPr>
  </w:style>
  <w:style w:type="paragraph" w:customStyle="1" w:styleId="ContentsHeading">
    <w:name w:val="Contents Heading"/>
    <w:basedOn w:val="Navaden"/>
    <w:autoRedefine/>
    <w:uiPriority w:val="99"/>
    <w:rsid w:val="00342A40"/>
    <w:pPr>
      <w:spacing w:after="120"/>
      <w:ind w:firstLine="187"/>
      <w:textAlignment w:val="auto"/>
    </w:pPr>
    <w:rPr>
      <w:rFonts w:ascii="Times New Roman" w:hAnsi="Times New Roman"/>
      <w:bCs/>
      <w:sz w:val="24"/>
      <w:szCs w:val="20"/>
      <w:lang w:val="en-GB" w:eastAsia="en-US"/>
    </w:rPr>
  </w:style>
  <w:style w:type="paragraph" w:customStyle="1" w:styleId="Tabelaklasina31">
    <w:name w:val="Tabela – klasična 31"/>
    <w:basedOn w:val="Pripombabesedilo"/>
    <w:next w:val="Pripombabesedilo"/>
    <w:uiPriority w:val="99"/>
    <w:rsid w:val="00342A40"/>
    <w:rPr>
      <w:rFonts w:ascii="Times New Roman" w:hAnsi="Times New Roman"/>
      <w:b/>
      <w:bCs/>
      <w:szCs w:val="20"/>
      <w:lang w:val="en-US" w:eastAsia="en-US"/>
    </w:rPr>
  </w:style>
  <w:style w:type="paragraph" w:customStyle="1" w:styleId="Tabela">
    <w:name w:val="Tabela"/>
    <w:basedOn w:val="Navaden"/>
    <w:link w:val="TabelaZnakZnak"/>
    <w:rsid w:val="00342A40"/>
    <w:pPr>
      <w:numPr>
        <w:numId w:val="17"/>
      </w:numPr>
      <w:tabs>
        <w:tab w:val="clear" w:pos="432"/>
        <w:tab w:val="num" w:pos="937"/>
      </w:tabs>
      <w:overflowPunct/>
      <w:autoSpaceDE/>
      <w:autoSpaceDN/>
      <w:adjustRightInd/>
      <w:spacing w:before="120"/>
      <w:ind w:left="431" w:hanging="431"/>
      <w:textAlignment w:val="auto"/>
    </w:pPr>
    <w:rPr>
      <w:rFonts w:ascii="Arial Narrow" w:hAnsi="Arial Narrow"/>
      <w:noProof/>
      <w:sz w:val="24"/>
      <w:szCs w:val="22"/>
      <w:lang w:val="en-GB" w:eastAsia="ja-JP"/>
    </w:rPr>
  </w:style>
  <w:style w:type="paragraph" w:customStyle="1" w:styleId="alinea">
    <w:name w:val="alinea"/>
    <w:basedOn w:val="Navaden"/>
    <w:uiPriority w:val="99"/>
    <w:semiHidden/>
    <w:rsid w:val="00342A40"/>
    <w:pPr>
      <w:tabs>
        <w:tab w:val="left" w:pos="851"/>
        <w:tab w:val="left" w:pos="993"/>
        <w:tab w:val="right" w:pos="8789"/>
      </w:tabs>
      <w:overflowPunct/>
      <w:autoSpaceDE/>
      <w:autoSpaceDN/>
      <w:adjustRightInd/>
      <w:spacing w:before="120" w:after="120" w:line="240" w:lineRule="atLeast"/>
      <w:ind w:left="567" w:hanging="567"/>
      <w:textAlignment w:val="auto"/>
    </w:pPr>
    <w:rPr>
      <w:rFonts w:ascii="Times New Roman" w:hAnsi="Times New Roman"/>
      <w:sz w:val="24"/>
      <w:szCs w:val="20"/>
      <w:lang w:val="en-GB" w:eastAsia="en-US"/>
    </w:rPr>
  </w:style>
  <w:style w:type="paragraph" w:customStyle="1" w:styleId="Povzetek">
    <w:name w:val="_Povzetek"/>
    <w:basedOn w:val="Navaden"/>
    <w:uiPriority w:val="99"/>
    <w:rsid w:val="00342A40"/>
    <w:pPr>
      <w:overflowPunct/>
      <w:autoSpaceDE/>
      <w:autoSpaceDN/>
      <w:adjustRightInd/>
      <w:textAlignment w:val="auto"/>
    </w:pPr>
    <w:rPr>
      <w:rFonts w:cs="Arial"/>
      <w:b/>
      <w:szCs w:val="20"/>
      <w:lang w:val="pl-PL" w:eastAsia="en-US"/>
    </w:rPr>
  </w:style>
  <w:style w:type="paragraph" w:customStyle="1" w:styleId="WW-Oznaenseznam">
    <w:name w:val="WW-Označen seznam"/>
    <w:basedOn w:val="Navaden"/>
    <w:uiPriority w:val="99"/>
    <w:rsid w:val="00342A40"/>
    <w:pPr>
      <w:widowControl w:val="0"/>
      <w:tabs>
        <w:tab w:val="num" w:pos="1021"/>
      </w:tabs>
      <w:suppressAutoHyphens/>
      <w:overflowPunct/>
      <w:autoSpaceDE/>
      <w:autoSpaceDN/>
      <w:adjustRightInd/>
      <w:ind w:left="-84"/>
      <w:jc w:val="left"/>
      <w:textAlignment w:val="auto"/>
    </w:pPr>
    <w:rPr>
      <w:rFonts w:ascii="Nimbus Roman No9 L" w:eastAsia="Luxi Sans" w:hAnsi="Nimbus Roman No9 L"/>
      <w:sz w:val="24"/>
      <w:szCs w:val="22"/>
      <w:lang w:eastAsia="ja-JP"/>
    </w:rPr>
  </w:style>
  <w:style w:type="paragraph" w:customStyle="1" w:styleId="N">
    <w:name w:val="N"/>
    <w:basedOn w:val="Navaden"/>
    <w:uiPriority w:val="99"/>
    <w:rsid w:val="00342A40"/>
    <w:pPr>
      <w:tabs>
        <w:tab w:val="left" w:pos="144"/>
      </w:tabs>
      <w:overflowPunct/>
      <w:autoSpaceDE/>
      <w:autoSpaceDN/>
      <w:adjustRightInd/>
      <w:textAlignment w:val="auto"/>
    </w:pPr>
    <w:rPr>
      <w:rFonts w:ascii="SL Dutch" w:hAnsi="SL Dutch"/>
      <w:sz w:val="24"/>
      <w:szCs w:val="20"/>
      <w:lang w:val="en-GB" w:eastAsia="en-US"/>
    </w:rPr>
  </w:style>
  <w:style w:type="paragraph" w:customStyle="1" w:styleId="copy2">
    <w:name w:val="copy2"/>
    <w:basedOn w:val="Navaden"/>
    <w:uiPriority w:val="99"/>
    <w:rsid w:val="00342A40"/>
    <w:pPr>
      <w:overflowPunct/>
      <w:autoSpaceDE/>
      <w:autoSpaceDN/>
      <w:adjustRightInd/>
      <w:spacing w:before="100" w:beforeAutospacing="1" w:after="100" w:afterAutospacing="1"/>
      <w:jc w:val="left"/>
      <w:textAlignment w:val="auto"/>
    </w:pPr>
    <w:rPr>
      <w:rFonts w:ascii="Verdana" w:hAnsi="Verdana"/>
      <w:color w:val="000000"/>
      <w:sz w:val="17"/>
      <w:szCs w:val="17"/>
      <w:lang w:eastAsia="ja-JP"/>
    </w:rPr>
  </w:style>
  <w:style w:type="paragraph" w:customStyle="1" w:styleId="Par-letter">
    <w:name w:val="Par-letter"/>
    <w:basedOn w:val="Navaden"/>
    <w:next w:val="Navaden"/>
    <w:uiPriority w:val="99"/>
    <w:rsid w:val="00342A40"/>
    <w:pPr>
      <w:widowControl w:val="0"/>
      <w:tabs>
        <w:tab w:val="left" w:pos="720"/>
      </w:tabs>
      <w:overflowPunct/>
      <w:autoSpaceDE/>
      <w:autoSpaceDN/>
      <w:adjustRightInd/>
      <w:spacing w:line="360" w:lineRule="auto"/>
      <w:ind w:left="720" w:hanging="720"/>
      <w:jc w:val="left"/>
      <w:textAlignment w:val="auto"/>
    </w:pPr>
    <w:rPr>
      <w:rFonts w:ascii="Times New Roman" w:hAnsi="Times New Roman"/>
      <w:sz w:val="24"/>
      <w:szCs w:val="20"/>
      <w:lang w:val="en-US" w:eastAsia="en-US"/>
    </w:rPr>
  </w:style>
  <w:style w:type="paragraph" w:customStyle="1" w:styleId="Char2ZnakChar1ZnakChar">
    <w:name w:val="Char2 Znak Char1 Znak Char"/>
    <w:basedOn w:val="Navaden"/>
    <w:uiPriority w:val="99"/>
    <w:rsid w:val="00342A40"/>
    <w:pPr>
      <w:overflowPunct/>
      <w:autoSpaceDE/>
      <w:autoSpaceDN/>
      <w:adjustRightInd/>
      <w:jc w:val="left"/>
      <w:textAlignment w:val="auto"/>
    </w:pPr>
    <w:rPr>
      <w:rFonts w:ascii="Times New Roman" w:hAnsi="Times New Roman"/>
      <w:sz w:val="24"/>
      <w:szCs w:val="22"/>
      <w:lang w:val="pl-PL" w:eastAsia="pl-PL"/>
    </w:rPr>
  </w:style>
  <w:style w:type="paragraph" w:customStyle="1" w:styleId="Title1">
    <w:name w:val="Title1"/>
    <w:basedOn w:val="Navaden"/>
    <w:uiPriority w:val="99"/>
    <w:rsid w:val="00342A40"/>
    <w:pPr>
      <w:overflowPunct/>
      <w:autoSpaceDE/>
      <w:autoSpaceDN/>
      <w:adjustRightInd/>
      <w:jc w:val="center"/>
      <w:textAlignment w:val="auto"/>
    </w:pPr>
    <w:rPr>
      <w:rFonts w:ascii="Calibri" w:hAnsi="Calibri"/>
      <w:sz w:val="32"/>
      <w:szCs w:val="22"/>
      <w:lang w:eastAsia="ja-JP"/>
    </w:rPr>
  </w:style>
  <w:style w:type="paragraph" w:customStyle="1" w:styleId="CharZnakChar">
    <w:name w:val="Char Znak Char"/>
    <w:basedOn w:val="Navaden"/>
    <w:uiPriority w:val="99"/>
    <w:rsid w:val="00342A40"/>
    <w:pPr>
      <w:overflowPunct/>
      <w:autoSpaceDE/>
      <w:autoSpaceDN/>
      <w:adjustRightInd/>
      <w:jc w:val="left"/>
      <w:textAlignment w:val="auto"/>
    </w:pPr>
    <w:rPr>
      <w:rFonts w:ascii="Times New Roman" w:hAnsi="Times New Roman"/>
      <w:sz w:val="24"/>
      <w:szCs w:val="22"/>
      <w:lang w:val="pl-PL" w:eastAsia="pl-PL"/>
    </w:rPr>
  </w:style>
  <w:style w:type="paragraph" w:customStyle="1" w:styleId="CharChar1Char">
    <w:name w:val="Char Char1 Char"/>
    <w:basedOn w:val="Navaden"/>
    <w:uiPriority w:val="99"/>
    <w:rsid w:val="00342A40"/>
    <w:pPr>
      <w:overflowPunct/>
      <w:autoSpaceDE/>
      <w:autoSpaceDN/>
      <w:adjustRightInd/>
      <w:jc w:val="left"/>
      <w:textAlignment w:val="auto"/>
    </w:pPr>
    <w:rPr>
      <w:rFonts w:ascii="Times New Roman" w:hAnsi="Times New Roman"/>
      <w:sz w:val="24"/>
      <w:szCs w:val="22"/>
      <w:lang w:val="pl-PL" w:eastAsia="pl-PL"/>
    </w:rPr>
  </w:style>
  <w:style w:type="paragraph" w:customStyle="1" w:styleId="ZnakZnakCharZnakZnakCharZnakZnakCharZnakZnakZnakZnakCharZnakZnakZnakZnakZnak">
    <w:name w:val="Znak Znak Char Znak Znak Char Znak Znak Char Znak Znak Znak Znak Char Znak Znak Znak Znak Znak"/>
    <w:basedOn w:val="Navaden"/>
    <w:uiPriority w:val="99"/>
    <w:rsid w:val="00342A40"/>
    <w:pPr>
      <w:overflowPunct/>
      <w:autoSpaceDE/>
      <w:autoSpaceDN/>
      <w:adjustRightInd/>
      <w:jc w:val="left"/>
      <w:textAlignment w:val="auto"/>
    </w:pPr>
    <w:rPr>
      <w:rFonts w:ascii="Times New Roman" w:hAnsi="Times New Roman"/>
      <w:sz w:val="24"/>
      <w:szCs w:val="22"/>
      <w:lang w:val="pl-PL" w:eastAsia="pl-PL"/>
    </w:rPr>
  </w:style>
  <w:style w:type="paragraph" w:customStyle="1" w:styleId="Okvirspredpisi-body">
    <w:name w:val="Okvir s predpisi - body"/>
    <w:basedOn w:val="Navaden"/>
    <w:uiPriority w:val="99"/>
    <w:rsid w:val="00342A40"/>
    <w:pPr>
      <w:numPr>
        <w:numId w:val="18"/>
      </w:numPr>
      <w:tabs>
        <w:tab w:val="clear" w:pos="360"/>
        <w:tab w:val="num" w:pos="937"/>
      </w:tabs>
      <w:overflowPunct/>
      <w:autoSpaceDE/>
      <w:autoSpaceDN/>
      <w:adjustRightInd/>
      <w:ind w:left="937" w:hanging="397"/>
      <w:jc w:val="left"/>
      <w:textAlignment w:val="auto"/>
    </w:pPr>
    <w:rPr>
      <w:i/>
      <w:szCs w:val="22"/>
      <w:lang w:eastAsia="ja-JP"/>
    </w:rPr>
  </w:style>
  <w:style w:type="paragraph" w:customStyle="1" w:styleId="Char2ZnakChar">
    <w:name w:val="Char2 Znak Char"/>
    <w:basedOn w:val="Navaden"/>
    <w:uiPriority w:val="99"/>
    <w:rsid w:val="00342A40"/>
    <w:pPr>
      <w:overflowPunct/>
      <w:autoSpaceDE/>
      <w:autoSpaceDN/>
      <w:adjustRightInd/>
      <w:jc w:val="left"/>
      <w:textAlignment w:val="auto"/>
    </w:pPr>
    <w:rPr>
      <w:rFonts w:ascii="Times New Roman" w:hAnsi="Times New Roman"/>
      <w:sz w:val="24"/>
      <w:szCs w:val="22"/>
      <w:lang w:val="pl-PL" w:eastAsia="pl-PL"/>
    </w:rPr>
  </w:style>
  <w:style w:type="paragraph" w:customStyle="1" w:styleId="S">
    <w:name w:val="S"/>
    <w:basedOn w:val="Navaden"/>
    <w:rsid w:val="00342A40"/>
    <w:pPr>
      <w:overflowPunct/>
      <w:autoSpaceDE/>
      <w:autoSpaceDN/>
      <w:adjustRightInd/>
      <w:jc w:val="left"/>
      <w:textAlignment w:val="auto"/>
    </w:pPr>
    <w:rPr>
      <w:rFonts w:ascii="Times" w:hAnsi="Times"/>
      <w:sz w:val="24"/>
      <w:szCs w:val="20"/>
      <w:lang w:val="en-GB" w:eastAsia="ja-JP"/>
    </w:rPr>
  </w:style>
  <w:style w:type="paragraph" w:customStyle="1" w:styleId="Char2">
    <w:name w:val="Char2"/>
    <w:basedOn w:val="Navaden"/>
    <w:uiPriority w:val="99"/>
    <w:rsid w:val="00342A40"/>
    <w:pPr>
      <w:overflowPunct/>
      <w:autoSpaceDE/>
      <w:autoSpaceDN/>
      <w:adjustRightInd/>
      <w:jc w:val="left"/>
      <w:textAlignment w:val="auto"/>
    </w:pPr>
    <w:rPr>
      <w:rFonts w:ascii="Times New Roman" w:hAnsi="Times New Roman"/>
      <w:sz w:val="24"/>
      <w:szCs w:val="22"/>
      <w:lang w:val="pl-PL" w:eastAsia="pl-PL"/>
    </w:rPr>
  </w:style>
  <w:style w:type="character" w:customStyle="1" w:styleId="lennoveleZnak">
    <w:name w:val="Člen_novele Znak"/>
    <w:link w:val="lennovele"/>
    <w:rsid w:val="00BA6CBA"/>
    <w:rPr>
      <w:rFonts w:ascii="Arial" w:eastAsia="Times New Roman" w:hAnsi="Arial"/>
      <w:b/>
      <w:sz w:val="22"/>
      <w:szCs w:val="22"/>
      <w:lang w:val="x-none" w:eastAsia="x-none"/>
    </w:rPr>
  </w:style>
  <w:style w:type="paragraph" w:customStyle="1" w:styleId="KAZALO">
    <w:name w:val="KAZALO"/>
    <w:basedOn w:val="Naslov10"/>
    <w:uiPriority w:val="99"/>
    <w:rsid w:val="00BA6CBA"/>
    <w:pPr>
      <w:keepLines/>
      <w:numPr>
        <w:numId w:val="0"/>
      </w:numPr>
      <w:overflowPunct/>
      <w:autoSpaceDE/>
      <w:autoSpaceDN/>
      <w:adjustRightInd/>
      <w:spacing w:before="480" w:after="0"/>
      <w:mirrorIndents w:val="0"/>
      <w:jc w:val="left"/>
      <w:textAlignment w:val="auto"/>
    </w:pPr>
    <w:rPr>
      <w:color w:val="365F91"/>
      <w:kern w:val="0"/>
      <w:lang w:eastAsia="ja-JP"/>
    </w:rPr>
  </w:style>
  <w:style w:type="character" w:customStyle="1" w:styleId="Style1zakopalnavodaChar">
    <w:name w:val="Style1 za kopalna voda Char"/>
    <w:link w:val="Style1zakopalnavoda"/>
    <w:uiPriority w:val="99"/>
    <w:locked/>
    <w:rsid w:val="00BA6CBA"/>
    <w:rPr>
      <w:rFonts w:ascii="Arial" w:eastAsia="Times New Roman" w:hAnsi="Arial"/>
      <w:b/>
      <w:caps/>
      <w:sz w:val="22"/>
      <w:szCs w:val="22"/>
      <w:lang w:val="x-none" w:eastAsia="x-none"/>
    </w:rPr>
  </w:style>
  <w:style w:type="paragraph" w:customStyle="1" w:styleId="Style1zakopalnavoda">
    <w:name w:val="Style1 za kopalna voda"/>
    <w:basedOn w:val="Odstavekseznama"/>
    <w:link w:val="Style1zakopalnavodaChar"/>
    <w:uiPriority w:val="99"/>
    <w:rsid w:val="00BA6CBA"/>
    <w:pPr>
      <w:numPr>
        <w:numId w:val="35"/>
      </w:numPr>
      <w:overflowPunct/>
      <w:autoSpaceDE/>
      <w:autoSpaceDN/>
      <w:adjustRightInd/>
      <w:contextualSpacing/>
      <w:jc w:val="left"/>
      <w:textAlignment w:val="auto"/>
    </w:pPr>
    <w:rPr>
      <w:b/>
      <w:caps/>
      <w:sz w:val="22"/>
      <w:szCs w:val="22"/>
    </w:rPr>
  </w:style>
  <w:style w:type="paragraph" w:customStyle="1" w:styleId="Naslov3Arial">
    <w:name w:val="Naslov 3 + Arial"/>
    <w:aliases w:val="10 pt,Po:  12 pt,Razmik vrstic:  Natančno 13 pt"/>
    <w:basedOn w:val="Naslov3"/>
    <w:uiPriority w:val="99"/>
    <w:rsid w:val="00BA6CBA"/>
    <w:pPr>
      <w:keepLines/>
      <w:numPr>
        <w:ilvl w:val="0"/>
        <w:numId w:val="0"/>
      </w:numPr>
      <w:overflowPunct/>
      <w:autoSpaceDE/>
      <w:autoSpaceDN/>
      <w:adjustRightInd/>
      <w:spacing w:before="200" w:line="260" w:lineRule="exact"/>
      <w:textAlignment w:val="auto"/>
    </w:pPr>
    <w:rPr>
      <w:b w:val="0"/>
      <w:color w:val="4F81BD"/>
      <w:sz w:val="20"/>
      <w:szCs w:val="24"/>
      <w:lang w:eastAsia="ja-JP"/>
    </w:rPr>
  </w:style>
  <w:style w:type="paragraph" w:customStyle="1" w:styleId="SlogNaslov1Levo0cmPrvavrstica0cm">
    <w:name w:val="Slog Naslov 1 + Levo:  0 cm Prva vrstica:  0 cm"/>
    <w:basedOn w:val="Naslov10"/>
    <w:uiPriority w:val="99"/>
    <w:rsid w:val="00BA6CBA"/>
    <w:pPr>
      <w:keepLines/>
      <w:numPr>
        <w:numId w:val="36"/>
      </w:numPr>
      <w:tabs>
        <w:tab w:val="clear" w:pos="855"/>
        <w:tab w:val="num" w:pos="937"/>
      </w:tabs>
      <w:overflowPunct/>
      <w:autoSpaceDE/>
      <w:autoSpaceDN/>
      <w:adjustRightInd/>
      <w:spacing w:before="480"/>
      <w:ind w:left="937" w:hanging="397"/>
      <w:mirrorIndents w:val="0"/>
      <w:jc w:val="left"/>
      <w:textAlignment w:val="auto"/>
    </w:pPr>
    <w:rPr>
      <w:rFonts w:ascii="Arial Narrow" w:hAnsi="Arial Narrow"/>
      <w:b w:val="0"/>
      <w:caps/>
      <w:color w:val="365F91"/>
      <w:kern w:val="28"/>
      <w:lang w:eastAsia="en-US"/>
    </w:rPr>
  </w:style>
  <w:style w:type="paragraph" w:customStyle="1" w:styleId="SlogNaslov2ArialNarrow">
    <w:name w:val="Slog Naslov 2 + Arial Narrow"/>
    <w:basedOn w:val="Naslov20"/>
    <w:uiPriority w:val="99"/>
    <w:rsid w:val="00BA6CBA"/>
    <w:pPr>
      <w:keepLines/>
      <w:numPr>
        <w:numId w:val="37"/>
      </w:numPr>
      <w:tabs>
        <w:tab w:val="clear" w:pos="576"/>
        <w:tab w:val="left" w:pos="851"/>
      </w:tabs>
      <w:overflowPunct/>
      <w:autoSpaceDE/>
      <w:autoSpaceDN/>
      <w:adjustRightInd/>
      <w:spacing w:before="200" w:after="0" w:line="360" w:lineRule="auto"/>
      <w:ind w:left="1095" w:hanging="555"/>
      <w:textAlignment w:val="auto"/>
    </w:pPr>
    <w:rPr>
      <w:rFonts w:ascii="Arial Narrow" w:hAnsi="Arial Narrow"/>
      <w:b w:val="0"/>
      <w:i w:val="0"/>
      <w:iCs w:val="0"/>
      <w:color w:val="4F81BD"/>
      <w:lang w:eastAsia="en-US"/>
    </w:rPr>
  </w:style>
  <w:style w:type="paragraph" w:customStyle="1" w:styleId="SlogChar2ArialNarrowObojestransko">
    <w:name w:val="Slog  Char2 + Arial Narrow Obojestransko"/>
    <w:basedOn w:val="Char2"/>
    <w:uiPriority w:val="99"/>
    <w:rsid w:val="00342A40"/>
    <w:pPr>
      <w:jc w:val="both"/>
    </w:pPr>
    <w:rPr>
      <w:rFonts w:ascii="Arial Narrow" w:hAnsi="Arial Narrow"/>
      <w:szCs w:val="20"/>
    </w:rPr>
  </w:style>
  <w:style w:type="paragraph" w:customStyle="1" w:styleId="Char2ZnakChar1">
    <w:name w:val="Char2 Znak Char1"/>
    <w:basedOn w:val="Navaden"/>
    <w:uiPriority w:val="99"/>
    <w:rsid w:val="00342A40"/>
    <w:pPr>
      <w:overflowPunct/>
      <w:autoSpaceDE/>
      <w:autoSpaceDN/>
      <w:adjustRightInd/>
      <w:jc w:val="left"/>
      <w:textAlignment w:val="auto"/>
    </w:pPr>
    <w:rPr>
      <w:rFonts w:ascii="Times New Roman" w:hAnsi="Times New Roman"/>
      <w:sz w:val="24"/>
      <w:szCs w:val="22"/>
      <w:lang w:val="pl-PL" w:eastAsia="pl-PL"/>
    </w:rPr>
  </w:style>
  <w:style w:type="paragraph" w:customStyle="1" w:styleId="CharZnakCharZnakCharZnakCharZnakChar">
    <w:name w:val="Char Znak Char Znak Char Znak Char Znak Char"/>
    <w:basedOn w:val="Navaden"/>
    <w:uiPriority w:val="99"/>
    <w:rsid w:val="00342A40"/>
    <w:pPr>
      <w:overflowPunct/>
      <w:autoSpaceDE/>
      <w:autoSpaceDN/>
      <w:adjustRightInd/>
      <w:jc w:val="left"/>
      <w:textAlignment w:val="auto"/>
    </w:pPr>
    <w:rPr>
      <w:rFonts w:ascii="Times New Roman" w:hAnsi="Times New Roman"/>
      <w:sz w:val="24"/>
      <w:szCs w:val="22"/>
      <w:lang w:val="pl-PL" w:eastAsia="pl-PL"/>
    </w:rPr>
  </w:style>
  <w:style w:type="paragraph" w:customStyle="1" w:styleId="Char">
    <w:name w:val="Char"/>
    <w:basedOn w:val="Navaden"/>
    <w:uiPriority w:val="99"/>
    <w:rsid w:val="00342A40"/>
    <w:pPr>
      <w:overflowPunct/>
      <w:autoSpaceDE/>
      <w:autoSpaceDN/>
      <w:adjustRightInd/>
      <w:jc w:val="left"/>
      <w:textAlignment w:val="auto"/>
    </w:pPr>
    <w:rPr>
      <w:rFonts w:ascii="Times New Roman" w:hAnsi="Times New Roman"/>
      <w:sz w:val="24"/>
      <w:szCs w:val="22"/>
      <w:lang w:val="pl-PL" w:eastAsia="pl-PL"/>
    </w:rPr>
  </w:style>
  <w:style w:type="paragraph" w:customStyle="1" w:styleId="tabele">
    <w:name w:val="tabele"/>
    <w:uiPriority w:val="99"/>
    <w:rsid w:val="00342A40"/>
    <w:pPr>
      <w:autoSpaceDE w:val="0"/>
      <w:autoSpaceDN w:val="0"/>
      <w:adjustRightInd w:val="0"/>
    </w:pPr>
    <w:rPr>
      <w:rFonts w:ascii="Tahoma" w:eastAsia="Times New Roman" w:hAnsi="Tahoma" w:cs="Arial"/>
      <w:color w:val="000000"/>
      <w:sz w:val="22"/>
      <w:szCs w:val="22"/>
    </w:rPr>
  </w:style>
  <w:style w:type="paragraph" w:customStyle="1" w:styleId="CharZnakCharZnakChar">
    <w:name w:val="Char Znak Char Znak Char"/>
    <w:basedOn w:val="Navaden"/>
    <w:uiPriority w:val="99"/>
    <w:rsid w:val="00342A40"/>
    <w:pPr>
      <w:overflowPunct/>
      <w:autoSpaceDE/>
      <w:autoSpaceDN/>
      <w:adjustRightInd/>
      <w:jc w:val="left"/>
      <w:textAlignment w:val="auto"/>
    </w:pPr>
    <w:rPr>
      <w:rFonts w:ascii="Times New Roman" w:hAnsi="Times New Roman"/>
      <w:sz w:val="24"/>
      <w:szCs w:val="22"/>
      <w:lang w:val="pl-PL" w:eastAsia="pl-PL"/>
    </w:rPr>
  </w:style>
  <w:style w:type="paragraph" w:customStyle="1" w:styleId="CharZnakCharZnakCharZnakCharZnakCharZnakChar">
    <w:name w:val="Char Znak Char Znak Char Znak Char Znak Char Znak Char"/>
    <w:basedOn w:val="Navaden"/>
    <w:uiPriority w:val="99"/>
    <w:rsid w:val="00342A40"/>
    <w:pPr>
      <w:overflowPunct/>
      <w:autoSpaceDE/>
      <w:autoSpaceDN/>
      <w:adjustRightInd/>
      <w:jc w:val="left"/>
      <w:textAlignment w:val="auto"/>
    </w:pPr>
    <w:rPr>
      <w:rFonts w:ascii="Times New Roman" w:hAnsi="Times New Roman"/>
      <w:sz w:val="24"/>
      <w:szCs w:val="22"/>
      <w:lang w:val="pl-PL" w:eastAsia="pl-PL"/>
    </w:rPr>
  </w:style>
  <w:style w:type="paragraph" w:customStyle="1" w:styleId="SlogNaslov3ArialNarrowSamovelikerke">
    <w:name w:val="Slog Naslov 3 + Arial Narrow Samo velike črke"/>
    <w:basedOn w:val="Naslov3"/>
    <w:uiPriority w:val="99"/>
    <w:rsid w:val="00BA6CBA"/>
    <w:pPr>
      <w:keepLines/>
      <w:numPr>
        <w:numId w:val="37"/>
      </w:numPr>
      <w:tabs>
        <w:tab w:val="left" w:pos="851"/>
      </w:tabs>
      <w:overflowPunct/>
      <w:autoSpaceDE/>
      <w:autoSpaceDN/>
      <w:adjustRightInd/>
      <w:spacing w:before="200"/>
      <w:textAlignment w:val="auto"/>
    </w:pPr>
    <w:rPr>
      <w:rFonts w:ascii="Arial Narrow" w:hAnsi="Arial Narrow"/>
      <w:b w:val="0"/>
      <w:caps/>
      <w:color w:val="4F81BD"/>
      <w:szCs w:val="24"/>
      <w:lang w:eastAsia="en-US"/>
    </w:rPr>
  </w:style>
  <w:style w:type="paragraph" w:customStyle="1" w:styleId="SlogSlogNaslov3ArialNarrowSamovelikerkeNeKrepko">
    <w:name w:val="Slog Slog Naslov 3 + Arial Narrow Samo velike črke + Ne Krepko"/>
    <w:basedOn w:val="SlogNaslov3ArialNarrowSamovelikerke"/>
    <w:uiPriority w:val="99"/>
    <w:rsid w:val="00BA6CBA"/>
    <w:pPr>
      <w:numPr>
        <w:ilvl w:val="0"/>
        <w:numId w:val="0"/>
      </w:numPr>
      <w:tabs>
        <w:tab w:val="num" w:pos="720"/>
      </w:tabs>
      <w:ind w:left="720" w:hanging="720"/>
    </w:pPr>
    <w:rPr>
      <w:bCs w:val="0"/>
    </w:rPr>
  </w:style>
  <w:style w:type="paragraph" w:customStyle="1" w:styleId="SlogSlogSlogNaslov3ArialNarrowSamovelikerkeNeKrepk">
    <w:name w:val="Slog Slog Slog Naslov 3 + Arial Narrow Samo velike črke + Ne Krepk..."/>
    <w:basedOn w:val="SlogSlogNaslov3ArialNarrowSamovelikerkeNeKrepko"/>
    <w:uiPriority w:val="99"/>
    <w:rsid w:val="00BA6CBA"/>
    <w:pPr>
      <w:numPr>
        <w:ilvl w:val="2"/>
        <w:numId w:val="38"/>
      </w:numPr>
      <w:tabs>
        <w:tab w:val="num" w:pos="720"/>
      </w:tabs>
      <w:ind w:left="720"/>
    </w:pPr>
  </w:style>
  <w:style w:type="paragraph" w:customStyle="1" w:styleId="SlogNaslov5ArialNarrow12ptLeee">
    <w:name w:val="Slog Naslov 5 + Arial Narrow 12 pt Ležeče"/>
    <w:basedOn w:val="Naslov5"/>
    <w:autoRedefine/>
    <w:uiPriority w:val="99"/>
    <w:rsid w:val="00BA6CBA"/>
    <w:pPr>
      <w:numPr>
        <w:ilvl w:val="0"/>
        <w:numId w:val="0"/>
      </w:numPr>
      <w:tabs>
        <w:tab w:val="left" w:pos="907"/>
      </w:tabs>
      <w:snapToGrid w:val="0"/>
      <w:spacing w:before="120" w:after="120"/>
      <w:jc w:val="both"/>
    </w:pPr>
    <w:rPr>
      <w:rFonts w:ascii="Arial Narrow" w:hAnsi="Arial Narrow"/>
      <w:b w:val="0"/>
      <w:bCs/>
      <w:i/>
      <w:color w:val="243F60"/>
      <w:sz w:val="24"/>
      <w:szCs w:val="20"/>
      <w:lang w:val="en-US" w:eastAsia="en-US"/>
    </w:rPr>
  </w:style>
  <w:style w:type="paragraph" w:customStyle="1" w:styleId="Izvlecek">
    <w:name w:val="Izvlecek"/>
    <w:basedOn w:val="Navaden"/>
    <w:uiPriority w:val="99"/>
    <w:rsid w:val="00342A40"/>
    <w:pPr>
      <w:overflowPunct/>
      <w:autoSpaceDE/>
      <w:autoSpaceDN/>
      <w:adjustRightInd/>
      <w:spacing w:after="220"/>
      <w:textAlignment w:val="auto"/>
    </w:pPr>
    <w:rPr>
      <w:rFonts w:cs="Arial"/>
      <w:szCs w:val="20"/>
      <w:lang w:val="en-US" w:eastAsia="en-US"/>
    </w:rPr>
  </w:style>
  <w:style w:type="paragraph" w:customStyle="1" w:styleId="Naslovizvlecek">
    <w:name w:val="Naslov izvlecek"/>
    <w:basedOn w:val="Navaden"/>
    <w:next w:val="Izvlecek"/>
    <w:uiPriority w:val="99"/>
    <w:rsid w:val="00342A40"/>
    <w:pPr>
      <w:keepNext/>
      <w:keepLines/>
      <w:overflowPunct/>
      <w:autoSpaceDE/>
      <w:autoSpaceDN/>
      <w:adjustRightInd/>
      <w:spacing w:before="440" w:after="220"/>
      <w:textAlignment w:val="auto"/>
    </w:pPr>
    <w:rPr>
      <w:rFonts w:cs="Arial"/>
      <w:b/>
      <w:bCs/>
      <w:caps/>
      <w:sz w:val="24"/>
      <w:szCs w:val="22"/>
      <w:lang w:eastAsia="en-US"/>
    </w:rPr>
  </w:style>
  <w:style w:type="character" w:customStyle="1" w:styleId="PodnapisCharChar">
    <w:name w:val="Podnapis Char Char"/>
    <w:link w:val="PodnapisChar"/>
    <w:uiPriority w:val="99"/>
    <w:locked/>
    <w:rsid w:val="00342A40"/>
    <w:rPr>
      <w:rFonts w:ascii="Arial" w:hAnsi="Arial" w:cs="Arial"/>
      <w:sz w:val="18"/>
      <w:szCs w:val="18"/>
      <w:lang w:val="x-none" w:eastAsia="en-US"/>
    </w:rPr>
  </w:style>
  <w:style w:type="paragraph" w:customStyle="1" w:styleId="PodnapisangChar">
    <w:name w:val="Podnapis ang Char"/>
    <w:basedOn w:val="PodnapisChar"/>
    <w:next w:val="Navaden"/>
    <w:link w:val="PodnapisangCharChar"/>
    <w:uiPriority w:val="99"/>
    <w:rsid w:val="00342A40"/>
    <w:pPr>
      <w:keepNext w:val="0"/>
      <w:spacing w:after="220"/>
    </w:pPr>
    <w:rPr>
      <w:lang w:val="en-GB"/>
    </w:rPr>
  </w:style>
  <w:style w:type="paragraph" w:customStyle="1" w:styleId="PodnapisChar">
    <w:name w:val="Podnapis Char"/>
    <w:basedOn w:val="Navaden"/>
    <w:next w:val="PodnapisangChar"/>
    <w:link w:val="PodnapisCharChar"/>
    <w:uiPriority w:val="99"/>
    <w:rsid w:val="00342A40"/>
    <w:pPr>
      <w:keepNext/>
      <w:keepLines/>
      <w:overflowPunct/>
      <w:autoSpaceDE/>
      <w:autoSpaceDN/>
      <w:adjustRightInd/>
      <w:textAlignment w:val="auto"/>
    </w:pPr>
    <w:rPr>
      <w:rFonts w:eastAsia="Calibri"/>
      <w:sz w:val="18"/>
      <w:szCs w:val="18"/>
      <w:lang w:val="x-none" w:eastAsia="en-US"/>
    </w:rPr>
  </w:style>
  <w:style w:type="character" w:customStyle="1" w:styleId="PodnapisangCharChar">
    <w:name w:val="Podnapis ang Char Char"/>
    <w:link w:val="PodnapisangChar"/>
    <w:uiPriority w:val="99"/>
    <w:locked/>
    <w:rsid w:val="00342A40"/>
    <w:rPr>
      <w:rFonts w:ascii="Arial" w:hAnsi="Arial" w:cs="Arial"/>
      <w:sz w:val="18"/>
      <w:szCs w:val="18"/>
      <w:lang w:val="en-GB" w:eastAsia="en-US"/>
    </w:rPr>
  </w:style>
  <w:style w:type="paragraph" w:customStyle="1" w:styleId="SlogKazaloslik">
    <w:name w:val="Slog Kazalo slik"/>
    <w:aliases w:val="Table of Tables + Arial Narrow Krepko"/>
    <w:basedOn w:val="Kazaloslik"/>
    <w:uiPriority w:val="99"/>
    <w:rsid w:val="00BA6CBA"/>
    <w:pPr>
      <w:spacing w:before="0" w:after="0"/>
      <w:ind w:left="480" w:hanging="480"/>
      <w:jc w:val="both"/>
    </w:pPr>
    <w:rPr>
      <w:rFonts w:ascii="Arial Narrow" w:hAnsi="Arial Narrow"/>
      <w:bCs/>
      <w:sz w:val="24"/>
      <w:szCs w:val="20"/>
      <w:lang w:val="en-US" w:eastAsia="en-US"/>
    </w:rPr>
  </w:style>
  <w:style w:type="paragraph" w:customStyle="1" w:styleId="SlogTabela">
    <w:name w:val="Slog Tabela"/>
    <w:basedOn w:val="Kazaloslik"/>
    <w:uiPriority w:val="99"/>
    <w:rsid w:val="00BA6CBA"/>
    <w:pPr>
      <w:tabs>
        <w:tab w:val="num" w:pos="432"/>
      </w:tabs>
      <w:spacing w:before="0" w:after="0"/>
      <w:ind w:left="432" w:hanging="432"/>
      <w:jc w:val="both"/>
    </w:pPr>
    <w:rPr>
      <w:rFonts w:ascii="Arial Narrow" w:hAnsi="Arial Narrow"/>
      <w:bCs/>
      <w:sz w:val="24"/>
      <w:szCs w:val="20"/>
      <w:lang w:eastAsia="en-US"/>
    </w:rPr>
  </w:style>
  <w:style w:type="character" w:customStyle="1" w:styleId="poroilomonitoring111Znak">
    <w:name w:val="poročilo monitoring 1.1.1 Znak"/>
    <w:link w:val="poroilomonitoring111"/>
    <w:uiPriority w:val="99"/>
    <w:locked/>
    <w:rsid w:val="00BA6CBA"/>
    <w:rPr>
      <w:rFonts w:ascii="Arial" w:hAnsi="Arial" w:cs="Arial"/>
      <w:b/>
      <w:bCs/>
      <w:i/>
      <w:iCs/>
      <w:sz w:val="24"/>
      <w:lang w:val="en-US" w:eastAsia="en-US"/>
    </w:rPr>
  </w:style>
  <w:style w:type="paragraph" w:customStyle="1" w:styleId="ListParagraph1">
    <w:name w:val="List Paragraph1"/>
    <w:basedOn w:val="Navaden"/>
    <w:uiPriority w:val="99"/>
    <w:qFormat/>
    <w:rsid w:val="00342A40"/>
    <w:pPr>
      <w:overflowPunct/>
      <w:autoSpaceDE/>
      <w:autoSpaceDN/>
      <w:adjustRightInd/>
      <w:ind w:left="720"/>
      <w:contextualSpacing/>
      <w:jc w:val="left"/>
      <w:textAlignment w:val="auto"/>
    </w:pPr>
    <w:rPr>
      <w:rFonts w:ascii="Times New Roman" w:hAnsi="Times New Roman"/>
      <w:sz w:val="24"/>
      <w:szCs w:val="22"/>
      <w:lang w:eastAsia="ja-JP"/>
    </w:rPr>
  </w:style>
  <w:style w:type="paragraph" w:customStyle="1" w:styleId="CharChar">
    <w:name w:val="Char Char"/>
    <w:basedOn w:val="Navaden"/>
    <w:uiPriority w:val="99"/>
    <w:rsid w:val="00342A40"/>
    <w:pPr>
      <w:overflowPunct/>
      <w:autoSpaceDE/>
      <w:autoSpaceDN/>
      <w:adjustRightInd/>
      <w:jc w:val="left"/>
      <w:textAlignment w:val="auto"/>
    </w:pPr>
    <w:rPr>
      <w:rFonts w:ascii="Times New Roman" w:hAnsi="Times New Roman"/>
      <w:sz w:val="24"/>
      <w:szCs w:val="22"/>
      <w:lang w:val="pl-PL" w:eastAsia="pl-PL"/>
    </w:rPr>
  </w:style>
  <w:style w:type="paragraph" w:customStyle="1" w:styleId="poroilomonitoring111">
    <w:name w:val="poročilo monitoring 1.1.1"/>
    <w:basedOn w:val="Navaden"/>
    <w:link w:val="poroilomonitoring111Znak"/>
    <w:uiPriority w:val="99"/>
    <w:rsid w:val="00BA6CBA"/>
    <w:pPr>
      <w:overflowPunct/>
      <w:autoSpaceDE/>
      <w:autoSpaceDN/>
      <w:adjustRightInd/>
      <w:jc w:val="left"/>
      <w:textAlignment w:val="auto"/>
    </w:pPr>
    <w:rPr>
      <w:rFonts w:eastAsia="Calibri"/>
      <w:b/>
      <w:bCs/>
      <w:i/>
      <w:iCs/>
      <w:sz w:val="24"/>
      <w:szCs w:val="20"/>
      <w:lang w:val="en-US" w:eastAsia="en-US"/>
    </w:rPr>
  </w:style>
  <w:style w:type="character" w:customStyle="1" w:styleId="poroilomonitoring11Znak">
    <w:name w:val="poročilo monitoring 1.1 Znak"/>
    <w:link w:val="poroilomonitoring11"/>
    <w:uiPriority w:val="99"/>
    <w:locked/>
    <w:rsid w:val="00BA6CBA"/>
    <w:rPr>
      <w:rFonts w:ascii="Arial" w:hAnsi="Arial" w:cs="Arial"/>
      <w:b/>
      <w:bCs/>
      <w:sz w:val="24"/>
      <w:lang w:val="en-US" w:eastAsia="en-US"/>
    </w:rPr>
  </w:style>
  <w:style w:type="paragraph" w:customStyle="1" w:styleId="poroilomonitoring11">
    <w:name w:val="poročilo monitoring 1.1"/>
    <w:basedOn w:val="Navaden"/>
    <w:link w:val="poroilomonitoring11Znak"/>
    <w:uiPriority w:val="99"/>
    <w:rsid w:val="00BA6CBA"/>
    <w:pPr>
      <w:overflowPunct/>
      <w:textAlignment w:val="auto"/>
    </w:pPr>
    <w:rPr>
      <w:rFonts w:eastAsia="Calibri"/>
      <w:b/>
      <w:bCs/>
      <w:sz w:val="24"/>
      <w:szCs w:val="20"/>
      <w:lang w:val="en-US" w:eastAsia="en-US"/>
    </w:rPr>
  </w:style>
  <w:style w:type="paragraph" w:customStyle="1" w:styleId="poroilomonitoring1">
    <w:name w:val="poročilo monitoring 1"/>
    <w:basedOn w:val="Navaden"/>
    <w:uiPriority w:val="99"/>
    <w:rsid w:val="00BA6CBA"/>
    <w:pPr>
      <w:overflowPunct/>
      <w:autoSpaceDE/>
      <w:autoSpaceDN/>
      <w:adjustRightInd/>
      <w:jc w:val="left"/>
      <w:textAlignment w:val="auto"/>
    </w:pPr>
    <w:rPr>
      <w:rFonts w:cs="Arial"/>
      <w:b/>
      <w:bCs/>
      <w:sz w:val="26"/>
      <w:szCs w:val="26"/>
      <w:lang w:eastAsia="ja-JP"/>
    </w:rPr>
  </w:style>
  <w:style w:type="paragraph" w:customStyle="1" w:styleId="poroilomonitoringslika">
    <w:name w:val="poročilo monitoring slika"/>
    <w:basedOn w:val="Navaden"/>
    <w:uiPriority w:val="99"/>
    <w:rsid w:val="00BA6CBA"/>
    <w:pPr>
      <w:overflowPunct/>
      <w:autoSpaceDE/>
      <w:autoSpaceDN/>
      <w:adjustRightInd/>
      <w:jc w:val="center"/>
      <w:textAlignment w:val="auto"/>
    </w:pPr>
    <w:rPr>
      <w:rFonts w:cs="Arial"/>
      <w:szCs w:val="20"/>
      <w:lang w:eastAsia="ja-JP"/>
    </w:rPr>
  </w:style>
  <w:style w:type="paragraph" w:customStyle="1" w:styleId="BesediloAriel11obojestransko">
    <w:name w:val="Besedilo Ariel 11 obojestransko"/>
    <w:basedOn w:val="Navaden"/>
    <w:link w:val="BesediloAriel11obojestranskoZnak"/>
    <w:uiPriority w:val="99"/>
    <w:rsid w:val="00342A40"/>
    <w:pPr>
      <w:overflowPunct/>
      <w:autoSpaceDE/>
      <w:autoSpaceDN/>
      <w:adjustRightInd/>
      <w:textAlignment w:val="auto"/>
    </w:pPr>
    <w:rPr>
      <w:szCs w:val="22"/>
      <w:lang w:eastAsia="ja-JP"/>
    </w:rPr>
  </w:style>
  <w:style w:type="character" w:customStyle="1" w:styleId="NaslovpregZnak">
    <w:name w:val="Naslov preg Znak"/>
    <w:aliases w:val="slika Znak"/>
    <w:link w:val="Naslovpreg"/>
    <w:locked/>
    <w:rsid w:val="00327C62"/>
    <w:rPr>
      <w:rFonts w:ascii="Arial" w:hAnsi="Arial"/>
      <w:lang w:val="x-none" w:eastAsia="x-none"/>
    </w:rPr>
  </w:style>
  <w:style w:type="paragraph" w:customStyle="1" w:styleId="Naslovpreg">
    <w:name w:val="Naslov preg"/>
    <w:aliases w:val="slika"/>
    <w:basedOn w:val="Navaden"/>
    <w:link w:val="NaslovpregZnak"/>
    <w:qFormat/>
    <w:rsid w:val="00327C62"/>
    <w:pPr>
      <w:overflowPunct/>
      <w:autoSpaceDE/>
      <w:autoSpaceDN/>
      <w:adjustRightInd/>
      <w:spacing w:line="276" w:lineRule="auto"/>
      <w:textAlignment w:val="auto"/>
    </w:pPr>
    <w:rPr>
      <w:rFonts w:eastAsia="Calibri"/>
      <w:szCs w:val="20"/>
      <w:lang w:val="x-none" w:eastAsia="x-none"/>
    </w:rPr>
  </w:style>
  <w:style w:type="paragraph" w:customStyle="1" w:styleId="alineazatevilnotoko0">
    <w:name w:val="alineazatevilnotoko"/>
    <w:basedOn w:val="Navaden"/>
    <w:uiPriority w:val="99"/>
    <w:rsid w:val="00342A40"/>
    <w:pPr>
      <w:overflowPunct/>
      <w:autoSpaceDE/>
      <w:autoSpaceDN/>
      <w:adjustRightInd/>
      <w:spacing w:before="100" w:beforeAutospacing="1" w:after="100" w:afterAutospacing="1"/>
      <w:jc w:val="left"/>
      <w:textAlignment w:val="auto"/>
    </w:pPr>
    <w:rPr>
      <w:rFonts w:ascii="Times New Roman" w:hAnsi="Times New Roman"/>
      <w:sz w:val="24"/>
      <w:szCs w:val="22"/>
      <w:lang w:eastAsia="ja-JP"/>
    </w:rPr>
  </w:style>
  <w:style w:type="paragraph" w:customStyle="1" w:styleId="ListParagraph2">
    <w:name w:val="List Paragraph2"/>
    <w:basedOn w:val="Navaden"/>
    <w:uiPriority w:val="99"/>
    <w:rsid w:val="00342A40"/>
    <w:pPr>
      <w:overflowPunct/>
      <w:autoSpaceDE/>
      <w:autoSpaceDN/>
      <w:adjustRightInd/>
      <w:spacing w:after="200" w:line="276" w:lineRule="auto"/>
      <w:ind w:left="720"/>
      <w:contextualSpacing/>
      <w:jc w:val="left"/>
      <w:textAlignment w:val="auto"/>
    </w:pPr>
    <w:rPr>
      <w:rFonts w:ascii="Calibri" w:eastAsia="Calibri" w:hAnsi="Calibri"/>
      <w:szCs w:val="22"/>
      <w:lang w:eastAsia="en-US"/>
    </w:rPr>
  </w:style>
  <w:style w:type="character" w:customStyle="1" w:styleId="Corpsdutexte">
    <w:name w:val="Corps du texte_"/>
    <w:link w:val="Corpsdutexte0"/>
    <w:uiPriority w:val="99"/>
    <w:locked/>
    <w:rsid w:val="00342A40"/>
    <w:rPr>
      <w:rFonts w:ascii="Times New Roman" w:hAnsi="Times New Roman"/>
      <w:sz w:val="21"/>
      <w:szCs w:val="21"/>
      <w:shd w:val="clear" w:color="auto" w:fill="FFFFFF"/>
    </w:rPr>
  </w:style>
  <w:style w:type="paragraph" w:customStyle="1" w:styleId="Corpsdutexte0">
    <w:name w:val="Corps du texte"/>
    <w:basedOn w:val="Navaden"/>
    <w:link w:val="Corpsdutexte"/>
    <w:uiPriority w:val="99"/>
    <w:rsid w:val="00342A40"/>
    <w:pPr>
      <w:widowControl w:val="0"/>
      <w:shd w:val="clear" w:color="auto" w:fill="FFFFFF"/>
      <w:overflowPunct/>
      <w:autoSpaceDE/>
      <w:autoSpaceDN/>
      <w:adjustRightInd/>
      <w:spacing w:line="240" w:lineRule="atLeast"/>
      <w:jc w:val="left"/>
      <w:textAlignment w:val="auto"/>
    </w:pPr>
    <w:rPr>
      <w:rFonts w:ascii="Times New Roman" w:eastAsia="Calibri" w:hAnsi="Times New Roman"/>
      <w:sz w:val="21"/>
      <w:szCs w:val="21"/>
      <w:lang w:val="x-none" w:eastAsia="x-none"/>
    </w:rPr>
  </w:style>
  <w:style w:type="character" w:styleId="Konnaopomba-sklic">
    <w:name w:val="endnote reference"/>
    <w:semiHidden/>
    <w:unhideWhenUsed/>
    <w:rsid w:val="00342A40"/>
    <w:rPr>
      <w:vertAlign w:val="superscript"/>
    </w:rPr>
  </w:style>
  <w:style w:type="character" w:styleId="Neenpoudarek">
    <w:name w:val="Subtle Emphasis"/>
    <w:uiPriority w:val="19"/>
    <w:qFormat/>
    <w:rsid w:val="00342A40"/>
    <w:rPr>
      <w:i/>
      <w:iCs/>
      <w:color w:val="808080"/>
    </w:rPr>
  </w:style>
  <w:style w:type="character" w:styleId="Intenzivenpoudarek">
    <w:name w:val="Intense Emphasis"/>
    <w:uiPriority w:val="21"/>
    <w:qFormat/>
    <w:rsid w:val="00342A40"/>
    <w:rPr>
      <w:b/>
      <w:bCs/>
      <w:i/>
      <w:iCs/>
      <w:color w:val="4F81BD"/>
    </w:rPr>
  </w:style>
  <w:style w:type="character" w:styleId="Neensklic">
    <w:name w:val="Subtle Reference"/>
    <w:uiPriority w:val="31"/>
    <w:qFormat/>
    <w:rsid w:val="00342A40"/>
    <w:rPr>
      <w:smallCaps/>
      <w:color w:val="C0504D"/>
      <w:u w:val="single"/>
    </w:rPr>
  </w:style>
  <w:style w:type="character" w:styleId="Intenzivensklic">
    <w:name w:val="Intense Reference"/>
    <w:uiPriority w:val="32"/>
    <w:qFormat/>
    <w:rsid w:val="00342A40"/>
    <w:rPr>
      <w:b/>
      <w:bCs/>
      <w:smallCaps/>
      <w:color w:val="C0504D"/>
      <w:spacing w:val="5"/>
      <w:u w:val="single"/>
    </w:rPr>
  </w:style>
  <w:style w:type="character" w:styleId="Naslovknjige">
    <w:name w:val="Book Title"/>
    <w:aliases w:val="Literatura"/>
    <w:uiPriority w:val="33"/>
    <w:qFormat/>
    <w:rsid w:val="00342A40"/>
    <w:rPr>
      <w:b/>
      <w:bCs/>
      <w:smallCaps/>
      <w:spacing w:val="5"/>
    </w:rPr>
  </w:style>
  <w:style w:type="paragraph" w:customStyle="1" w:styleId="StyleCaptionNotBold">
    <w:name w:val="Style Caption + Not Bold"/>
    <w:basedOn w:val="Navaden"/>
    <w:link w:val="StyleCaptionNotBoldChar"/>
    <w:rsid w:val="00342A40"/>
    <w:pPr>
      <w:overflowPunct/>
      <w:autoSpaceDE/>
      <w:autoSpaceDN/>
      <w:adjustRightInd/>
      <w:jc w:val="left"/>
      <w:textAlignment w:val="auto"/>
    </w:pPr>
    <w:rPr>
      <w:rFonts w:ascii="Calibri" w:hAnsi="Calibri"/>
      <w:color w:val="4F81BD"/>
      <w:sz w:val="22"/>
      <w:szCs w:val="22"/>
      <w:lang w:val="x-none" w:eastAsia="ja-JP"/>
    </w:rPr>
  </w:style>
  <w:style w:type="character" w:customStyle="1" w:styleId="StyleCaptionNotBoldChar">
    <w:name w:val="Style Caption + Not Bold Char"/>
    <w:link w:val="StyleCaptionNotBold"/>
    <w:locked/>
    <w:rsid w:val="00342A40"/>
    <w:rPr>
      <w:rFonts w:eastAsia="Times New Roman"/>
      <w:color w:val="4F81BD"/>
      <w:sz w:val="22"/>
      <w:szCs w:val="22"/>
      <w:lang w:eastAsia="ja-JP"/>
    </w:rPr>
  </w:style>
  <w:style w:type="character" w:customStyle="1" w:styleId="mediumtext">
    <w:name w:val="medium_text"/>
    <w:rsid w:val="00342A40"/>
  </w:style>
  <w:style w:type="character" w:customStyle="1" w:styleId="arrroworange">
    <w:name w:val="arrrow_orange"/>
    <w:rsid w:val="00342A40"/>
  </w:style>
  <w:style w:type="character" w:customStyle="1" w:styleId="shorttext">
    <w:name w:val="short_text"/>
    <w:rsid w:val="00342A40"/>
  </w:style>
  <w:style w:type="character" w:customStyle="1" w:styleId="nivo1">
    <w:name w:val="nivo1"/>
    <w:rsid w:val="00342A40"/>
  </w:style>
  <w:style w:type="character" w:customStyle="1" w:styleId="atn">
    <w:name w:val="atn"/>
    <w:rsid w:val="00342A40"/>
  </w:style>
  <w:style w:type="character" w:customStyle="1" w:styleId="NapisZnak1">
    <w:name w:val="Napis Znak1"/>
    <w:aliases w:val="Znak Znak Znak Znak Znak Znak1,Znak Znak Znak Znak1,Znak Znak Znak Znak Znak Znak2, Znak Znak Znak Znak Znak Znak1, Znak Znak Znak Znak1"/>
    <w:uiPriority w:val="99"/>
    <w:rsid w:val="00342A40"/>
    <w:rPr>
      <w:rFonts w:ascii="Tahoma" w:hAnsi="Tahoma" w:cs="Tahoma" w:hint="default"/>
      <w:b/>
      <w:bCs/>
      <w:lang w:val="sl-SI" w:eastAsia="sl-SI" w:bidi="ar-SA"/>
    </w:rPr>
  </w:style>
  <w:style w:type="character" w:customStyle="1" w:styleId="st">
    <w:name w:val="st"/>
    <w:uiPriority w:val="99"/>
    <w:rsid w:val="00342A40"/>
  </w:style>
  <w:style w:type="character" w:customStyle="1" w:styleId="sitetitle">
    <w:name w:val="site_title"/>
    <w:rsid w:val="00342A40"/>
  </w:style>
  <w:style w:type="character" w:customStyle="1" w:styleId="mrptns">
    <w:name w:val="mrptns"/>
    <w:rsid w:val="00342A40"/>
  </w:style>
  <w:style w:type="character" w:customStyle="1" w:styleId="mrppfc">
    <w:name w:val="mrppfc"/>
    <w:rsid w:val="00342A40"/>
  </w:style>
  <w:style w:type="character" w:customStyle="1" w:styleId="mrppsc">
    <w:name w:val="mrppsc"/>
    <w:uiPriority w:val="99"/>
    <w:rsid w:val="00342A40"/>
  </w:style>
  <w:style w:type="character" w:customStyle="1" w:styleId="mrppfcsl">
    <w:name w:val="mrppfcsl"/>
    <w:rsid w:val="00342A40"/>
  </w:style>
  <w:style w:type="character" w:customStyle="1" w:styleId="indicatorreportsubsectiontitletext">
    <w:name w:val="indicator_report_subsection_title_text"/>
    <w:uiPriority w:val="99"/>
    <w:rsid w:val="00342A40"/>
    <w:rPr>
      <w:rFonts w:ascii="Times New Roman" w:hAnsi="Times New Roman" w:cs="Times New Roman" w:hint="default"/>
    </w:rPr>
  </w:style>
  <w:style w:type="character" w:customStyle="1" w:styleId="A4">
    <w:name w:val="A4"/>
    <w:uiPriority w:val="99"/>
    <w:rsid w:val="00342A40"/>
    <w:rPr>
      <w:rFonts w:ascii="Minion Pro" w:hAnsi="Minion Pro" w:cs="Minion Pro" w:hint="default"/>
      <w:color w:val="221E1F"/>
      <w:sz w:val="15"/>
      <w:szCs w:val="15"/>
    </w:rPr>
  </w:style>
  <w:style w:type="character" w:customStyle="1" w:styleId="tw4winMark">
    <w:name w:val="tw4winMark"/>
    <w:rsid w:val="00342A40"/>
    <w:rPr>
      <w:rFonts w:ascii="Courier New" w:hAnsi="Courier New" w:cs="Courier New" w:hint="default"/>
      <w:vanish/>
      <w:webHidden w:val="0"/>
      <w:color w:val="800080"/>
      <w:vertAlign w:val="subscript"/>
      <w:specVanish w:val="0"/>
    </w:rPr>
  </w:style>
  <w:style w:type="paragraph" w:customStyle="1" w:styleId="SlogNapisNeKrepko">
    <w:name w:val="Slog Napis + Ne Krepko"/>
    <w:basedOn w:val="Navaden"/>
    <w:link w:val="SlogNapisNeKrepkoZnak"/>
    <w:rsid w:val="00342A40"/>
    <w:pPr>
      <w:overflowPunct/>
      <w:autoSpaceDE/>
      <w:autoSpaceDN/>
      <w:adjustRightInd/>
      <w:jc w:val="left"/>
      <w:textAlignment w:val="auto"/>
    </w:pPr>
    <w:rPr>
      <w:rFonts w:ascii="Calibri" w:hAnsi="Calibri"/>
      <w:color w:val="4F81BD"/>
      <w:sz w:val="22"/>
      <w:szCs w:val="22"/>
      <w:lang w:val="x-none" w:eastAsia="ja-JP"/>
    </w:rPr>
  </w:style>
  <w:style w:type="character" w:customStyle="1" w:styleId="SlogNapisNeKrepkoZnak">
    <w:name w:val="Slog Napis + Ne Krepko Znak"/>
    <w:link w:val="SlogNapisNeKrepko"/>
    <w:locked/>
    <w:rsid w:val="00342A40"/>
    <w:rPr>
      <w:rFonts w:eastAsia="Times New Roman"/>
      <w:color w:val="4F81BD"/>
      <w:sz w:val="22"/>
      <w:szCs w:val="22"/>
      <w:lang w:eastAsia="ja-JP"/>
    </w:rPr>
  </w:style>
  <w:style w:type="character" w:customStyle="1" w:styleId="Lead-inEmphasis">
    <w:name w:val="Lead-in Emphasis"/>
    <w:rsid w:val="00342A40"/>
    <w:rPr>
      <w:rFonts w:ascii="Times New Roman" w:hAnsi="Times New Roman" w:cs="Times New Roman" w:hint="default"/>
      <w:b/>
      <w:bCs w:val="0"/>
      <w:spacing w:val="-4"/>
    </w:rPr>
  </w:style>
  <w:style w:type="character" w:customStyle="1" w:styleId="Hiperpovezava1">
    <w:name w:val="Hiperpovezava1"/>
    <w:uiPriority w:val="99"/>
    <w:rsid w:val="00342A40"/>
    <w:rPr>
      <w:rFonts w:ascii="Verdana" w:hAnsi="Verdana" w:hint="default"/>
      <w:b w:val="0"/>
      <w:bCs w:val="0"/>
      <w:color w:val="284E8F"/>
      <w:sz w:val="22"/>
      <w:szCs w:val="22"/>
      <w:u w:val="single"/>
    </w:rPr>
  </w:style>
  <w:style w:type="character" w:customStyle="1" w:styleId="SlogArialNarrowSamovelikerke">
    <w:name w:val="Slog Arial Narrow Samo velike črke"/>
    <w:rsid w:val="00342A40"/>
    <w:rPr>
      <w:rFonts w:ascii="Arial Narrow" w:hAnsi="Arial Narrow" w:hint="default"/>
      <w:b/>
      <w:bCs w:val="0"/>
      <w:caps/>
    </w:rPr>
  </w:style>
  <w:style w:type="character" w:customStyle="1" w:styleId="SlogArialNarrowKrepkoSamovelikerke">
    <w:name w:val="Slog Arial Narrow Krepko Samo velike črke"/>
    <w:rsid w:val="00342A40"/>
    <w:rPr>
      <w:rFonts w:ascii="Arial Narrow" w:hAnsi="Arial Narrow" w:hint="default"/>
      <w:b/>
      <w:bCs/>
      <w:caps/>
    </w:rPr>
  </w:style>
  <w:style w:type="character" w:customStyle="1" w:styleId="velikost">
    <w:name w:val="velikost"/>
    <w:uiPriority w:val="99"/>
    <w:rsid w:val="00342A40"/>
  </w:style>
  <w:style w:type="character" w:customStyle="1" w:styleId="SlikaChar">
    <w:name w:val="Slika Char"/>
    <w:uiPriority w:val="99"/>
    <w:rsid w:val="00342A40"/>
    <w:rPr>
      <w:rFonts w:ascii="Arial" w:hAnsi="Arial" w:cs="Arial" w:hint="default"/>
      <w:sz w:val="24"/>
      <w:szCs w:val="24"/>
      <w:lang w:eastAsia="en-US"/>
    </w:rPr>
  </w:style>
  <w:style w:type="character" w:customStyle="1" w:styleId="SlogArial10pt">
    <w:name w:val="Slog Arial 10 pt"/>
    <w:rsid w:val="00342A40"/>
    <w:rPr>
      <w:rFonts w:ascii="Arial" w:hAnsi="Arial" w:cs="Arial" w:hint="default"/>
      <w:sz w:val="24"/>
      <w:szCs w:val="24"/>
    </w:rPr>
  </w:style>
  <w:style w:type="character" w:customStyle="1" w:styleId="graphtitle2">
    <w:name w:val="graph_title2"/>
    <w:uiPriority w:val="99"/>
    <w:rsid w:val="00342A40"/>
  </w:style>
  <w:style w:type="character" w:customStyle="1" w:styleId="PripombabesediloZnak1">
    <w:name w:val="Pripomba – besedilo Znak1"/>
    <w:uiPriority w:val="99"/>
    <w:semiHidden/>
    <w:rsid w:val="00342A40"/>
    <w:rPr>
      <w:rFonts w:ascii="Times New Roman" w:hAnsi="Times New Roman" w:cs="Times New Roman" w:hint="default"/>
      <w:lang w:eastAsia="en-US"/>
    </w:rPr>
  </w:style>
  <w:style w:type="character" w:customStyle="1" w:styleId="apple-converted-space">
    <w:name w:val="apple-converted-space"/>
    <w:rsid w:val="00342A40"/>
  </w:style>
  <w:style w:type="table" w:styleId="Tabelaklasina3">
    <w:name w:val="Table Classic 3"/>
    <w:basedOn w:val="Navadnatabela"/>
    <w:semiHidden/>
    <w:unhideWhenUsed/>
    <w:rsid w:val="00342A40"/>
    <w:rPr>
      <w:rFonts w:eastAsia="Times New Roman"/>
      <w:color w:val="000080"/>
      <w:sz w:val="22"/>
      <w:szCs w:val="22"/>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ela-mrea1">
    <w:name w:val="Tabela - mreža1"/>
    <w:basedOn w:val="Navadnatabela"/>
    <w:rsid w:val="00342A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mik1">
    <w:name w:val="Zamik1"/>
    <w:basedOn w:val="Zamik2"/>
    <w:uiPriority w:val="99"/>
    <w:rsid w:val="00342A40"/>
    <w:pPr>
      <w:ind w:left="284"/>
    </w:pPr>
  </w:style>
  <w:style w:type="paragraph" w:customStyle="1" w:styleId="Imepreglednicealislike">
    <w:name w:val="Ime preglednice ali slike"/>
    <w:basedOn w:val="Navaden"/>
    <w:link w:val="ImepreglednicealislikeCharChar"/>
    <w:rsid w:val="00342A40"/>
    <w:pPr>
      <w:overflowPunct/>
      <w:autoSpaceDE/>
      <w:autoSpaceDN/>
      <w:adjustRightInd/>
      <w:textAlignment w:val="auto"/>
    </w:pPr>
    <w:rPr>
      <w:rFonts w:ascii="Tahoma" w:hAnsi="Tahoma" w:cs="Tahoma"/>
      <w:color w:val="4F81BD"/>
      <w:sz w:val="18"/>
      <w:szCs w:val="18"/>
      <w:lang w:eastAsia="ja-JP"/>
    </w:rPr>
  </w:style>
  <w:style w:type="paragraph" w:customStyle="1" w:styleId="Slog5">
    <w:name w:val="Slog 5"/>
    <w:basedOn w:val="Naslov10"/>
    <w:uiPriority w:val="99"/>
    <w:rsid w:val="00342A40"/>
    <w:pPr>
      <w:keepLines/>
      <w:numPr>
        <w:ilvl w:val="3"/>
        <w:numId w:val="19"/>
      </w:numPr>
      <w:tabs>
        <w:tab w:val="clear" w:pos="864"/>
      </w:tabs>
      <w:overflowPunct/>
      <w:autoSpaceDE/>
      <w:autoSpaceDN/>
      <w:adjustRightInd/>
      <w:spacing w:before="0" w:after="0"/>
      <w:ind w:left="1260" w:hanging="720"/>
      <w:textAlignment w:val="auto"/>
      <w:outlineLvl w:val="3"/>
    </w:pPr>
    <w:rPr>
      <w:rFonts w:ascii="Arial Narrow" w:hAnsi="Arial Narrow"/>
      <w:b w:val="0"/>
      <w:bCs w:val="0"/>
      <w:iCs/>
      <w:color w:val="4F81BD"/>
      <w:kern w:val="0"/>
      <w:sz w:val="22"/>
      <w:szCs w:val="24"/>
      <w:lang w:eastAsia="en-US"/>
    </w:rPr>
  </w:style>
  <w:style w:type="paragraph" w:customStyle="1" w:styleId="poroilomonitoringpreglednica">
    <w:name w:val="poročilo monitoring preglednica"/>
    <w:basedOn w:val="Navaden"/>
    <w:uiPriority w:val="99"/>
    <w:rsid w:val="00BA6CBA"/>
    <w:pPr>
      <w:overflowPunct/>
      <w:autoSpaceDE/>
      <w:autoSpaceDN/>
      <w:adjustRightInd/>
      <w:textAlignment w:val="auto"/>
    </w:pPr>
    <w:rPr>
      <w:rFonts w:cs="Arial"/>
      <w:szCs w:val="20"/>
      <w:lang w:eastAsia="en-US"/>
    </w:rPr>
  </w:style>
  <w:style w:type="numbering" w:styleId="111111">
    <w:name w:val="Outline List 2"/>
    <w:basedOn w:val="Brezseznama"/>
    <w:semiHidden/>
    <w:unhideWhenUsed/>
    <w:rsid w:val="00342A40"/>
  </w:style>
  <w:style w:type="numbering" w:customStyle="1" w:styleId="Slog1">
    <w:name w:val="Slog1"/>
    <w:uiPriority w:val="99"/>
    <w:rsid w:val="00342A40"/>
  </w:style>
  <w:style w:type="numbering" w:customStyle="1" w:styleId="Nastevanje">
    <w:name w:val="Nastevanje"/>
    <w:basedOn w:val="Brezseznama"/>
    <w:rsid w:val="00366611"/>
    <w:pPr>
      <w:numPr>
        <w:numId w:val="33"/>
      </w:numPr>
    </w:pPr>
  </w:style>
  <w:style w:type="paragraph" w:styleId="Napis">
    <w:name w:val="caption"/>
    <w:aliases w:val="Napis1,Znak Znak Znak Znak Znak Char,Znak Znak Znak Char,Tabele Char, Znak Znak Znak Znak Znak, Znak Znak Znak,Preglednica;Slika,Caption Char,Nadpis"/>
    <w:basedOn w:val="Navaden"/>
    <w:next w:val="Navaden"/>
    <w:link w:val="NapisZnak2"/>
    <w:uiPriority w:val="99"/>
    <w:unhideWhenUsed/>
    <w:qFormat/>
    <w:rsid w:val="003176A4"/>
    <w:rPr>
      <w:rFonts w:cs="Arial"/>
      <w:bCs/>
      <w:szCs w:val="18"/>
      <w:lang w:eastAsia="x-none"/>
    </w:rPr>
  </w:style>
  <w:style w:type="table" w:customStyle="1" w:styleId="Navadnatabela1">
    <w:name w:val="Navadna tabela1"/>
    <w:uiPriority w:val="99"/>
    <w:semiHidden/>
    <w:rsid w:val="008C1ABF"/>
    <w:tblPr>
      <w:tblCellMar>
        <w:top w:w="0" w:type="dxa"/>
        <w:left w:w="108" w:type="dxa"/>
        <w:bottom w:w="0" w:type="dxa"/>
        <w:right w:w="108" w:type="dxa"/>
      </w:tblCellMar>
    </w:tblPr>
  </w:style>
  <w:style w:type="character" w:customStyle="1" w:styleId="NapisZnak2">
    <w:name w:val="Napis Znak2"/>
    <w:aliases w:val="Napis1 Znak,Znak Znak Znak Znak Znak Char Znak,Znak Znak Znak Char Znak,Tabele Char Znak, Znak Znak Znak Znak Znak Znak, Znak Znak Znak Znak,Preglednica;Slika Znak1,Caption Char Znak,Nadpis Znak"/>
    <w:link w:val="Napis"/>
    <w:uiPriority w:val="99"/>
    <w:locked/>
    <w:rsid w:val="003176A4"/>
    <w:rPr>
      <w:rFonts w:ascii="Arial" w:eastAsia="Times New Roman" w:hAnsi="Arial" w:cs="Arial"/>
      <w:bCs/>
      <w:szCs w:val="18"/>
      <w:lang w:eastAsia="x-none"/>
    </w:rPr>
  </w:style>
  <w:style w:type="character" w:customStyle="1" w:styleId="ListParagraphChar1">
    <w:name w:val="List Paragraph Char1"/>
    <w:uiPriority w:val="34"/>
    <w:locked/>
    <w:rsid w:val="00617138"/>
    <w:rPr>
      <w:rFonts w:ascii="Tahoma" w:hAnsi="Tahoma" w:cs="Times New Roman"/>
      <w:sz w:val="24"/>
      <w:szCs w:val="24"/>
      <w:lang w:eastAsia="sl-SI"/>
    </w:rPr>
  </w:style>
  <w:style w:type="paragraph" w:customStyle="1" w:styleId="Odstavekseznama1">
    <w:name w:val="Odstavek seznama1"/>
    <w:basedOn w:val="Navaden"/>
    <w:uiPriority w:val="99"/>
    <w:qFormat/>
    <w:rsid w:val="00617138"/>
    <w:pPr>
      <w:overflowPunct/>
      <w:autoSpaceDE/>
      <w:autoSpaceDN/>
      <w:adjustRightInd/>
      <w:ind w:left="720"/>
      <w:contextualSpacing/>
      <w:jc w:val="left"/>
      <w:textAlignment w:val="auto"/>
    </w:pPr>
    <w:rPr>
      <w:rFonts w:ascii="Times New Roman" w:eastAsia="Calibri" w:hAnsi="Times New Roman"/>
      <w:noProof/>
      <w:sz w:val="24"/>
      <w:szCs w:val="24"/>
      <w:lang w:eastAsia="en-US"/>
    </w:rPr>
  </w:style>
  <w:style w:type="character" w:customStyle="1" w:styleId="Slog2nivoZnak">
    <w:name w:val="Slog 2 nivo Znak"/>
    <w:link w:val="Naslovv2"/>
    <w:uiPriority w:val="99"/>
    <w:locked/>
    <w:rsid w:val="00BA6CBA"/>
    <w:rPr>
      <w:rFonts w:ascii="Arial" w:hAnsi="Arial" w:cs="Arial"/>
      <w:b/>
      <w:bCs/>
      <w:sz w:val="24"/>
      <w:lang w:val="x-none" w:eastAsia="x-none"/>
    </w:rPr>
  </w:style>
  <w:style w:type="paragraph" w:customStyle="1" w:styleId="Naslovv2">
    <w:name w:val="Naslovv 2"/>
    <w:basedOn w:val="poroilomonitoring11"/>
    <w:link w:val="Slog2nivoZnak"/>
    <w:uiPriority w:val="99"/>
    <w:rsid w:val="00BA6CBA"/>
    <w:pPr>
      <w:tabs>
        <w:tab w:val="num" w:pos="576"/>
      </w:tabs>
      <w:ind w:left="576" w:hanging="576"/>
      <w:outlineLvl w:val="1"/>
    </w:pPr>
    <w:rPr>
      <w:lang w:val="x-none" w:eastAsia="x-none"/>
    </w:rPr>
  </w:style>
  <w:style w:type="character" w:customStyle="1" w:styleId="Slog1testZnak">
    <w:name w:val="Slog1test Znak"/>
    <w:link w:val="Slog1test"/>
    <w:uiPriority w:val="99"/>
    <w:locked/>
    <w:rsid w:val="00BA6CBA"/>
    <w:rPr>
      <w:rFonts w:ascii="Arial" w:eastAsia="Times New Roman" w:hAnsi="Arial"/>
      <w:bCs/>
      <w:i/>
      <w:iCs/>
      <w:color w:val="4F81BD"/>
      <w:szCs w:val="24"/>
      <w:lang w:val="x-none" w:eastAsia="x-none"/>
    </w:rPr>
  </w:style>
  <w:style w:type="paragraph" w:customStyle="1" w:styleId="Slog1test">
    <w:name w:val="Slog1test"/>
    <w:basedOn w:val="Naslov3"/>
    <w:link w:val="Slog1testZnak"/>
    <w:uiPriority w:val="99"/>
    <w:rsid w:val="00BA6CBA"/>
    <w:pPr>
      <w:keepNext w:val="0"/>
      <w:keepLines/>
      <w:numPr>
        <w:ilvl w:val="0"/>
        <w:numId w:val="0"/>
      </w:numPr>
      <w:overflowPunct/>
      <w:spacing w:before="0" w:after="0"/>
      <w:textAlignment w:val="auto"/>
    </w:pPr>
    <w:rPr>
      <w:b w:val="0"/>
      <w:i/>
      <w:iCs/>
      <w:color w:val="4F81BD"/>
      <w:sz w:val="20"/>
      <w:szCs w:val="24"/>
    </w:rPr>
  </w:style>
  <w:style w:type="table" w:customStyle="1" w:styleId="TableClassic31">
    <w:name w:val="Table Classic 31"/>
    <w:basedOn w:val="Navadnatabela"/>
    <w:next w:val="Tabelaklasina3"/>
    <w:semiHidden/>
    <w:unhideWhenUsed/>
    <w:rsid w:val="00BA6CBA"/>
    <w:rPr>
      <w:rFonts w:eastAsia="Times New Roman"/>
      <w:color w:val="000080"/>
      <w:sz w:val="22"/>
      <w:szCs w:val="22"/>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ela-mrea11">
    <w:name w:val="Tabela - mreža11"/>
    <w:basedOn w:val="Navadnatabela"/>
    <w:rsid w:val="00BA6CB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gNaslov4ArialNarrow">
    <w:name w:val="Slog Naslov 4 + Arial Narrow"/>
    <w:basedOn w:val="Naslov10"/>
    <w:uiPriority w:val="99"/>
    <w:rsid w:val="00BA6CBA"/>
    <w:pPr>
      <w:keepLines/>
      <w:numPr>
        <w:numId w:val="0"/>
      </w:numPr>
      <w:tabs>
        <w:tab w:val="num" w:pos="864"/>
      </w:tabs>
      <w:overflowPunct/>
      <w:autoSpaceDE/>
      <w:autoSpaceDN/>
      <w:adjustRightInd/>
      <w:spacing w:before="120" w:after="120"/>
      <w:ind w:left="864" w:hanging="864"/>
      <w:mirrorIndents w:val="0"/>
      <w:textAlignment w:val="auto"/>
      <w:outlineLvl w:val="3"/>
    </w:pPr>
    <w:rPr>
      <w:rFonts w:ascii="Arial Narrow" w:hAnsi="Arial Narrow"/>
      <w:b w:val="0"/>
      <w:color w:val="4F81BD"/>
      <w:kern w:val="0"/>
      <w:sz w:val="22"/>
      <w:szCs w:val="20"/>
      <w:lang w:eastAsia="en-US"/>
    </w:rPr>
  </w:style>
  <w:style w:type="numbering" w:customStyle="1" w:styleId="1111111">
    <w:name w:val="1 / 1.1 / 1.1.11"/>
    <w:basedOn w:val="Brezseznama"/>
    <w:next w:val="111111"/>
    <w:semiHidden/>
    <w:unhideWhenUsed/>
    <w:rsid w:val="00BA6CBA"/>
    <w:pPr>
      <w:numPr>
        <w:numId w:val="21"/>
      </w:numPr>
    </w:pPr>
  </w:style>
  <w:style w:type="numbering" w:customStyle="1" w:styleId="Slog11">
    <w:name w:val="Slog11"/>
    <w:uiPriority w:val="99"/>
    <w:rsid w:val="00BA6CBA"/>
    <w:pPr>
      <w:numPr>
        <w:numId w:val="22"/>
      </w:numPr>
    </w:pPr>
  </w:style>
  <w:style w:type="numbering" w:customStyle="1" w:styleId="Nastevanje1">
    <w:name w:val="Nastevanje1"/>
    <w:basedOn w:val="Brezseznama"/>
    <w:rsid w:val="00BA6CBA"/>
    <w:pPr>
      <w:numPr>
        <w:numId w:val="34"/>
      </w:numPr>
    </w:pPr>
  </w:style>
  <w:style w:type="table" w:customStyle="1" w:styleId="Navadnatabela11">
    <w:name w:val="Navadna tabela11"/>
    <w:uiPriority w:val="99"/>
    <w:semiHidden/>
    <w:rsid w:val="00BA6CBA"/>
    <w:tblPr>
      <w:tblCellMar>
        <w:top w:w="0" w:type="dxa"/>
        <w:left w:w="108" w:type="dxa"/>
        <w:bottom w:w="0" w:type="dxa"/>
        <w:right w:w="108" w:type="dxa"/>
      </w:tblCellMar>
    </w:tblPr>
  </w:style>
  <w:style w:type="character" w:customStyle="1" w:styleId="CaptionChar1">
    <w:name w:val="Caption Char1"/>
    <w:aliases w:val="Napis1 Char,Caption Char Char,Znak Znak Znak Znak Znak Char Char,Znak Znak Znak Char Char,Tabele Char Char, Znak Znak Znak Znak Znak Char, Znak Znak Znak Char, Znak Znak Znak Char Char, Znak Znak Znak Znak Znak Char1"/>
    <w:locked/>
    <w:rsid w:val="00BA6CBA"/>
    <w:rPr>
      <w:rFonts w:ascii="Arial" w:eastAsia="Times New Roman" w:hAnsi="Arial"/>
      <w:b/>
      <w:bCs/>
    </w:rPr>
  </w:style>
  <w:style w:type="paragraph" w:customStyle="1" w:styleId="ZPN1">
    <w:name w:val="_ZPN 1"/>
    <w:basedOn w:val="Navaden"/>
    <w:rsid w:val="00DF1F12"/>
    <w:pPr>
      <w:overflowPunct/>
      <w:autoSpaceDE/>
      <w:autoSpaceDN/>
      <w:adjustRightInd/>
      <w:jc w:val="left"/>
      <w:textAlignment w:val="auto"/>
    </w:pPr>
    <w:rPr>
      <w:rFonts w:ascii="Tahoma" w:hAnsi="Tahoma"/>
      <w:szCs w:val="24"/>
    </w:rPr>
  </w:style>
  <w:style w:type="paragraph" w:customStyle="1" w:styleId="font6">
    <w:name w:val="font6"/>
    <w:basedOn w:val="Navaden"/>
    <w:rsid w:val="000C6C2A"/>
    <w:pPr>
      <w:overflowPunct/>
      <w:autoSpaceDE/>
      <w:autoSpaceDN/>
      <w:adjustRightInd/>
      <w:spacing w:before="100" w:beforeAutospacing="1" w:after="100" w:afterAutospacing="1"/>
      <w:jc w:val="left"/>
      <w:textAlignment w:val="auto"/>
    </w:pPr>
    <w:rPr>
      <w:rFonts w:ascii="Tahoma" w:hAnsi="Tahoma" w:cs="Tahoma"/>
      <w:b/>
      <w:bCs/>
      <w:color w:val="000000"/>
      <w:sz w:val="16"/>
    </w:rPr>
  </w:style>
  <w:style w:type="paragraph" w:customStyle="1" w:styleId="font7">
    <w:name w:val="font7"/>
    <w:basedOn w:val="Navaden"/>
    <w:rsid w:val="000C6C2A"/>
    <w:pPr>
      <w:overflowPunct/>
      <w:autoSpaceDE/>
      <w:autoSpaceDN/>
      <w:adjustRightInd/>
      <w:spacing w:before="100" w:beforeAutospacing="1" w:after="100" w:afterAutospacing="1"/>
      <w:jc w:val="left"/>
      <w:textAlignment w:val="auto"/>
    </w:pPr>
    <w:rPr>
      <w:rFonts w:ascii="Arial Narrow" w:hAnsi="Arial Narrow"/>
      <w:sz w:val="18"/>
      <w:szCs w:val="18"/>
    </w:rPr>
  </w:style>
  <w:style w:type="paragraph" w:customStyle="1" w:styleId="xl130">
    <w:name w:val="xl130"/>
    <w:basedOn w:val="Navaden"/>
    <w:rsid w:val="000C6C2A"/>
    <w:pPr>
      <w:overflowPunct/>
      <w:autoSpaceDE/>
      <w:autoSpaceDN/>
      <w:adjustRightInd/>
      <w:spacing w:before="100" w:beforeAutospacing="1" w:after="100" w:afterAutospacing="1"/>
      <w:jc w:val="left"/>
      <w:textAlignment w:val="center"/>
    </w:pPr>
    <w:rPr>
      <w:rFonts w:ascii="Arial Narrow" w:hAnsi="Arial Narrow"/>
      <w:sz w:val="18"/>
      <w:szCs w:val="18"/>
    </w:rPr>
  </w:style>
  <w:style w:type="paragraph" w:customStyle="1" w:styleId="xl131">
    <w:name w:val="xl131"/>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center"/>
    </w:pPr>
    <w:rPr>
      <w:rFonts w:ascii="Arial Narrow" w:hAnsi="Arial Narrow"/>
      <w:sz w:val="18"/>
      <w:szCs w:val="18"/>
    </w:rPr>
  </w:style>
  <w:style w:type="paragraph" w:customStyle="1" w:styleId="xl132">
    <w:name w:val="xl132"/>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center"/>
    </w:pPr>
    <w:rPr>
      <w:rFonts w:ascii="Arial Narrow" w:hAnsi="Arial Narrow"/>
      <w:sz w:val="18"/>
      <w:szCs w:val="18"/>
    </w:rPr>
  </w:style>
  <w:style w:type="paragraph" w:customStyle="1" w:styleId="xl133">
    <w:name w:val="xl133"/>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center"/>
    </w:pPr>
    <w:rPr>
      <w:rFonts w:ascii="Arial Narrow" w:hAnsi="Arial Narrow"/>
      <w:sz w:val="18"/>
      <w:szCs w:val="18"/>
    </w:rPr>
  </w:style>
  <w:style w:type="paragraph" w:customStyle="1" w:styleId="xl134">
    <w:name w:val="xl134"/>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Narrow" w:hAnsi="Arial Narrow"/>
      <w:sz w:val="18"/>
      <w:szCs w:val="18"/>
    </w:rPr>
  </w:style>
  <w:style w:type="paragraph" w:customStyle="1" w:styleId="xl135">
    <w:name w:val="xl135"/>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center"/>
    </w:pPr>
    <w:rPr>
      <w:rFonts w:ascii="Arial Narrow" w:hAnsi="Arial Narrow"/>
      <w:sz w:val="18"/>
      <w:szCs w:val="18"/>
    </w:rPr>
  </w:style>
  <w:style w:type="paragraph" w:customStyle="1" w:styleId="xl136">
    <w:name w:val="xl136"/>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Narrow" w:hAnsi="Arial Narrow"/>
      <w:sz w:val="18"/>
      <w:szCs w:val="18"/>
    </w:rPr>
  </w:style>
  <w:style w:type="paragraph" w:customStyle="1" w:styleId="xl137">
    <w:name w:val="xl137"/>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Narrow" w:hAnsi="Arial Narrow"/>
      <w:sz w:val="18"/>
      <w:szCs w:val="18"/>
    </w:rPr>
  </w:style>
  <w:style w:type="paragraph" w:customStyle="1" w:styleId="xl138">
    <w:name w:val="xl138"/>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center"/>
    </w:pPr>
    <w:rPr>
      <w:rFonts w:ascii="Arial Narrow" w:hAnsi="Arial Narrow"/>
      <w:sz w:val="18"/>
      <w:szCs w:val="18"/>
    </w:rPr>
  </w:style>
  <w:style w:type="paragraph" w:customStyle="1" w:styleId="xl139">
    <w:name w:val="xl139"/>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Narrow" w:hAnsi="Arial Narrow"/>
      <w:sz w:val="18"/>
      <w:szCs w:val="18"/>
    </w:rPr>
  </w:style>
  <w:style w:type="paragraph" w:customStyle="1" w:styleId="xl140">
    <w:name w:val="xl140"/>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Narrow" w:hAnsi="Arial Narrow"/>
      <w:sz w:val="18"/>
      <w:szCs w:val="18"/>
    </w:rPr>
  </w:style>
  <w:style w:type="paragraph" w:customStyle="1" w:styleId="xl141">
    <w:name w:val="xl141"/>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Narrow" w:hAnsi="Arial Narrow"/>
      <w:sz w:val="18"/>
      <w:szCs w:val="18"/>
    </w:rPr>
  </w:style>
  <w:style w:type="paragraph" w:customStyle="1" w:styleId="xl142">
    <w:name w:val="xl142"/>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center"/>
    </w:pPr>
    <w:rPr>
      <w:rFonts w:ascii="Arial Narrow" w:hAnsi="Arial Narrow"/>
      <w:sz w:val="18"/>
      <w:szCs w:val="18"/>
    </w:rPr>
  </w:style>
  <w:style w:type="paragraph" w:customStyle="1" w:styleId="xl143">
    <w:name w:val="xl143"/>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Narrow" w:hAnsi="Arial Narrow"/>
      <w:sz w:val="18"/>
      <w:szCs w:val="18"/>
    </w:rPr>
  </w:style>
  <w:style w:type="paragraph" w:customStyle="1" w:styleId="xl144">
    <w:name w:val="xl144"/>
    <w:basedOn w:val="Navaden"/>
    <w:rsid w:val="000C6C2A"/>
    <w:pPr>
      <w:overflowPunct/>
      <w:autoSpaceDE/>
      <w:autoSpaceDN/>
      <w:adjustRightInd/>
      <w:spacing w:before="100" w:beforeAutospacing="1" w:after="100" w:afterAutospacing="1"/>
      <w:jc w:val="left"/>
      <w:textAlignment w:val="center"/>
    </w:pPr>
    <w:rPr>
      <w:rFonts w:ascii="Arial Narrow" w:hAnsi="Arial Narrow"/>
      <w:sz w:val="18"/>
      <w:szCs w:val="18"/>
    </w:rPr>
  </w:style>
  <w:style w:type="paragraph" w:customStyle="1" w:styleId="xl145">
    <w:name w:val="xl145"/>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center"/>
    </w:pPr>
    <w:rPr>
      <w:rFonts w:ascii="Arial Narrow" w:hAnsi="Arial Narrow"/>
      <w:sz w:val="18"/>
      <w:szCs w:val="18"/>
    </w:rPr>
  </w:style>
  <w:style w:type="paragraph" w:customStyle="1" w:styleId="xl146">
    <w:name w:val="xl146"/>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Narrow" w:hAnsi="Arial Narrow"/>
      <w:sz w:val="18"/>
      <w:szCs w:val="18"/>
    </w:rPr>
  </w:style>
  <w:style w:type="paragraph" w:customStyle="1" w:styleId="xl147">
    <w:name w:val="xl147"/>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Narrow" w:hAnsi="Arial Narrow"/>
      <w:sz w:val="18"/>
      <w:szCs w:val="18"/>
    </w:rPr>
  </w:style>
  <w:style w:type="paragraph" w:customStyle="1" w:styleId="xl148">
    <w:name w:val="xl148"/>
    <w:basedOn w:val="Navaden"/>
    <w:rsid w:val="000C6C2A"/>
    <w:pPr>
      <w:overflowPunct/>
      <w:autoSpaceDE/>
      <w:autoSpaceDN/>
      <w:adjustRightInd/>
      <w:spacing w:before="100" w:beforeAutospacing="1" w:after="100" w:afterAutospacing="1"/>
      <w:jc w:val="left"/>
      <w:textAlignment w:val="center"/>
    </w:pPr>
    <w:rPr>
      <w:rFonts w:ascii="Arial Narrow" w:hAnsi="Arial Narrow"/>
      <w:sz w:val="18"/>
      <w:szCs w:val="18"/>
    </w:rPr>
  </w:style>
  <w:style w:type="paragraph" w:customStyle="1" w:styleId="xl149">
    <w:name w:val="xl149"/>
    <w:basedOn w:val="Navaden"/>
    <w:rsid w:val="000C6C2A"/>
    <w:pPr>
      <w:overflowPunct/>
      <w:autoSpaceDE/>
      <w:autoSpaceDN/>
      <w:adjustRightInd/>
      <w:spacing w:before="100" w:beforeAutospacing="1" w:after="100" w:afterAutospacing="1"/>
      <w:jc w:val="left"/>
      <w:textAlignment w:val="center"/>
    </w:pPr>
    <w:rPr>
      <w:rFonts w:ascii="Arial Narrow" w:hAnsi="Arial Narrow"/>
      <w:sz w:val="18"/>
      <w:szCs w:val="18"/>
    </w:rPr>
  </w:style>
  <w:style w:type="paragraph" w:customStyle="1" w:styleId="xl150">
    <w:name w:val="xl150"/>
    <w:basedOn w:val="Navaden"/>
    <w:rsid w:val="000C6C2A"/>
    <w:pPr>
      <w:overflowPunct/>
      <w:autoSpaceDE/>
      <w:autoSpaceDN/>
      <w:adjustRightInd/>
      <w:spacing w:before="100" w:beforeAutospacing="1" w:after="100" w:afterAutospacing="1"/>
      <w:jc w:val="left"/>
      <w:textAlignment w:val="center"/>
    </w:pPr>
    <w:rPr>
      <w:rFonts w:ascii="Arial Narrow" w:hAnsi="Arial Narrow"/>
      <w:sz w:val="18"/>
      <w:szCs w:val="18"/>
    </w:rPr>
  </w:style>
  <w:style w:type="paragraph" w:customStyle="1" w:styleId="xl151">
    <w:name w:val="xl151"/>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center"/>
    </w:pPr>
    <w:rPr>
      <w:rFonts w:ascii="Arial Narrow" w:hAnsi="Arial Narrow"/>
      <w:sz w:val="18"/>
      <w:szCs w:val="18"/>
    </w:rPr>
  </w:style>
  <w:style w:type="paragraph" w:customStyle="1" w:styleId="xl152">
    <w:name w:val="xl152"/>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auto"/>
    </w:pPr>
    <w:rPr>
      <w:rFonts w:ascii="Arial Narrow" w:hAnsi="Arial Narrow"/>
      <w:sz w:val="18"/>
      <w:szCs w:val="18"/>
    </w:rPr>
  </w:style>
  <w:style w:type="paragraph" w:customStyle="1" w:styleId="xl153">
    <w:name w:val="xl153"/>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rFonts w:ascii="Arial Narrow" w:hAnsi="Arial Narrow"/>
      <w:sz w:val="18"/>
      <w:szCs w:val="18"/>
    </w:rPr>
  </w:style>
  <w:style w:type="paragraph" w:customStyle="1" w:styleId="xl154">
    <w:name w:val="xl154"/>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auto"/>
    </w:pPr>
    <w:rPr>
      <w:rFonts w:ascii="Arial Narrow" w:hAnsi="Arial Narrow"/>
      <w:sz w:val="18"/>
      <w:szCs w:val="18"/>
    </w:rPr>
  </w:style>
  <w:style w:type="paragraph" w:customStyle="1" w:styleId="xl155">
    <w:name w:val="xl155"/>
    <w:basedOn w:val="Navaden"/>
    <w:rsid w:val="000C6C2A"/>
    <w:pPr>
      <w:overflowPunct/>
      <w:autoSpaceDE/>
      <w:autoSpaceDN/>
      <w:adjustRightInd/>
      <w:spacing w:before="100" w:beforeAutospacing="1" w:after="100" w:afterAutospacing="1"/>
      <w:jc w:val="center"/>
      <w:textAlignment w:val="center"/>
    </w:pPr>
    <w:rPr>
      <w:rFonts w:ascii="Arial Narrow" w:hAnsi="Arial Narrow"/>
      <w:sz w:val="18"/>
      <w:szCs w:val="18"/>
    </w:rPr>
  </w:style>
  <w:style w:type="paragraph" w:customStyle="1" w:styleId="xl156">
    <w:name w:val="xl156"/>
    <w:basedOn w:val="Navaden"/>
    <w:rsid w:val="000C6C2A"/>
    <w:pPr>
      <w:overflowPunct/>
      <w:autoSpaceDE/>
      <w:autoSpaceDN/>
      <w:adjustRightInd/>
      <w:spacing w:before="100" w:beforeAutospacing="1" w:after="100" w:afterAutospacing="1"/>
      <w:jc w:val="right"/>
      <w:textAlignment w:val="center"/>
    </w:pPr>
    <w:rPr>
      <w:rFonts w:ascii="Arial Narrow" w:hAnsi="Arial Narrow"/>
      <w:sz w:val="18"/>
      <w:szCs w:val="18"/>
    </w:rPr>
  </w:style>
  <w:style w:type="paragraph" w:customStyle="1" w:styleId="xl157">
    <w:name w:val="xl157"/>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center"/>
    </w:pPr>
    <w:rPr>
      <w:rFonts w:ascii="Arial Narrow" w:hAnsi="Arial Narrow"/>
      <w:b/>
      <w:bCs/>
      <w:sz w:val="24"/>
      <w:szCs w:val="24"/>
    </w:rPr>
  </w:style>
  <w:style w:type="paragraph" w:customStyle="1" w:styleId="xl158">
    <w:name w:val="xl158"/>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Narrow" w:hAnsi="Arial Narrow"/>
      <w:b/>
      <w:bCs/>
      <w:sz w:val="24"/>
      <w:szCs w:val="24"/>
    </w:rPr>
  </w:style>
  <w:style w:type="paragraph" w:customStyle="1" w:styleId="StyleCaption">
    <w:name w:val="Style Caption"/>
    <w:aliases w:val="Znak Znak Znak Znak Znak + Black"/>
    <w:basedOn w:val="Napis"/>
    <w:link w:val="StyleCaptionChar"/>
    <w:rsid w:val="00590E36"/>
    <w:pPr>
      <w:overflowPunct/>
      <w:autoSpaceDE/>
      <w:autoSpaceDN/>
      <w:adjustRightInd/>
      <w:spacing w:before="6"/>
      <w:ind w:right="93"/>
      <w:textAlignment w:val="auto"/>
    </w:pPr>
    <w:rPr>
      <w:rFonts w:ascii="Tahoma" w:hAnsi="Tahoma"/>
      <w:color w:val="000000"/>
      <w:lang w:eastAsia="sl-SI"/>
    </w:rPr>
  </w:style>
  <w:style w:type="character" w:styleId="tevilkastrani">
    <w:name w:val="page number"/>
    <w:basedOn w:val="Privzetapisavaodstavka"/>
    <w:uiPriority w:val="99"/>
    <w:rsid w:val="00590E36"/>
  </w:style>
  <w:style w:type="character" w:customStyle="1" w:styleId="StyleCaptionChar">
    <w:name w:val="Style Caption Char"/>
    <w:aliases w:val="Znak Znak Znak Znak Znak + Black Char"/>
    <w:link w:val="StyleCaption"/>
    <w:rsid w:val="00590E36"/>
    <w:rPr>
      <w:rFonts w:ascii="Tahoma" w:eastAsia="Times New Roman" w:hAnsi="Tahoma"/>
      <w:bCs/>
      <w:color w:val="000000"/>
      <w:lang w:eastAsia="sl-SI"/>
    </w:rPr>
  </w:style>
  <w:style w:type="character" w:customStyle="1" w:styleId="PVO-2CharChar">
    <w:name w:val="PVO-2 Char Char"/>
    <w:rsid w:val="00590E36"/>
    <w:rPr>
      <w:rFonts w:ascii="Tahoma" w:hAnsi="Tahoma" w:cs="Arial"/>
      <w:bCs/>
      <w:iCs/>
      <w:sz w:val="28"/>
      <w:szCs w:val="28"/>
      <w:lang w:val="sl-SI" w:eastAsia="sl-SI" w:bidi="ar-SA"/>
    </w:rPr>
  </w:style>
  <w:style w:type="character" w:customStyle="1" w:styleId="ZnakChar">
    <w:name w:val="Znak Char"/>
    <w:aliases w:val="PVO-1 Char Char"/>
    <w:rsid w:val="00590E36"/>
    <w:rPr>
      <w:rFonts w:ascii="Tahoma" w:hAnsi="Tahoma" w:cs="Arial"/>
      <w:bCs/>
      <w:kern w:val="32"/>
      <w:sz w:val="28"/>
      <w:szCs w:val="32"/>
      <w:lang w:val="sl-SI" w:eastAsia="sl-SI" w:bidi="ar-SA"/>
    </w:rPr>
  </w:style>
  <w:style w:type="character" w:customStyle="1" w:styleId="ImepreglednicealislikeCharChar">
    <w:name w:val="Ime preglednice ali slike Char Char"/>
    <w:link w:val="Imepreglednicealislike"/>
    <w:rsid w:val="00590E36"/>
    <w:rPr>
      <w:rFonts w:ascii="Tahoma" w:eastAsia="Times New Roman" w:hAnsi="Tahoma" w:cs="Tahoma" w:hint="default"/>
      <w:b w:val="0"/>
      <w:bCs w:val="0"/>
      <w:color w:val="4F81BD"/>
      <w:sz w:val="18"/>
      <w:szCs w:val="18"/>
      <w:lang w:val="sl-SI" w:eastAsia="ja-JP" w:bidi="ar-SA"/>
    </w:rPr>
  </w:style>
  <w:style w:type="paragraph" w:customStyle="1" w:styleId="Preglednicasredinsko">
    <w:name w:val="Preglednica sredinsko"/>
    <w:basedOn w:val="Navaden"/>
    <w:rsid w:val="00590E36"/>
    <w:pPr>
      <w:overflowPunct/>
      <w:autoSpaceDE/>
      <w:autoSpaceDN/>
      <w:adjustRightInd/>
      <w:jc w:val="center"/>
      <w:textAlignment w:val="auto"/>
    </w:pPr>
    <w:rPr>
      <w:rFonts w:ascii="Tahoma" w:hAnsi="Tahoma" w:cs="Tahoma"/>
      <w:szCs w:val="20"/>
    </w:rPr>
  </w:style>
  <w:style w:type="paragraph" w:customStyle="1" w:styleId="Preglednicasredinskoglava">
    <w:name w:val="Preglednica sredinsko glava"/>
    <w:basedOn w:val="Navaden"/>
    <w:rsid w:val="00590E36"/>
    <w:pPr>
      <w:overflowPunct/>
      <w:autoSpaceDE/>
      <w:autoSpaceDN/>
      <w:adjustRightInd/>
      <w:jc w:val="center"/>
      <w:textAlignment w:val="auto"/>
    </w:pPr>
    <w:rPr>
      <w:rFonts w:ascii="Tahoma" w:hAnsi="Tahoma" w:cs="Tahoma"/>
      <w:b/>
      <w:szCs w:val="20"/>
    </w:rPr>
  </w:style>
  <w:style w:type="character" w:customStyle="1" w:styleId="ZnakChar0">
    <w:name w:val="Znak Char"/>
    <w:aliases w:val="Znak3 Char Char"/>
    <w:rsid w:val="00590E36"/>
    <w:rPr>
      <w:rFonts w:ascii="Tahoma" w:hAnsi="Tahoma"/>
      <w:bCs/>
      <w:sz w:val="24"/>
      <w:szCs w:val="28"/>
      <w:lang w:val="sl-SI" w:eastAsia="sl-SI" w:bidi="ar-SA"/>
    </w:rPr>
  </w:style>
  <w:style w:type="paragraph" w:customStyle="1" w:styleId="Naslov6a">
    <w:name w:val="Naslov 6a"/>
    <w:basedOn w:val="Naslov6"/>
    <w:next w:val="Telobesedila"/>
    <w:rsid w:val="00590E36"/>
    <w:pPr>
      <w:keepNext w:val="0"/>
      <w:keepLines w:val="0"/>
      <w:numPr>
        <w:ilvl w:val="0"/>
        <w:numId w:val="0"/>
      </w:numPr>
      <w:spacing w:before="240" w:after="60"/>
    </w:pPr>
    <w:rPr>
      <w:rFonts w:ascii="Tahoma" w:hAnsi="Tahoma"/>
      <w:b/>
      <w:bCs/>
      <w:i w:val="0"/>
      <w:iCs w:val="0"/>
      <w:color w:val="auto"/>
      <w:lang w:val="sl-SI" w:eastAsia="sl-SI"/>
    </w:rPr>
  </w:style>
  <w:style w:type="character" w:customStyle="1" w:styleId="ZnakZnakZnakZnakZnakZnakZnak1">
    <w:name w:val="Znak Znak Znak Znak Znak Znak Znak1"/>
    <w:rsid w:val="00590E36"/>
    <w:rPr>
      <w:rFonts w:ascii="Tahoma" w:hAnsi="Tahoma"/>
      <w:b/>
      <w:bCs/>
      <w:lang w:val="sl-SI" w:eastAsia="sl-SI" w:bidi="ar-SA"/>
    </w:rPr>
  </w:style>
  <w:style w:type="character" w:customStyle="1" w:styleId="ZnakZnak5">
    <w:name w:val="Znak Znak5"/>
    <w:rsid w:val="00590E36"/>
    <w:rPr>
      <w:rFonts w:ascii="Tahoma" w:hAnsi="Tahoma" w:cs="Arial"/>
      <w:bCs/>
      <w:kern w:val="32"/>
      <w:sz w:val="28"/>
      <w:szCs w:val="32"/>
    </w:rPr>
  </w:style>
  <w:style w:type="character" w:customStyle="1" w:styleId="ZnakZnak4">
    <w:name w:val="Znak Znak4"/>
    <w:rsid w:val="00590E36"/>
    <w:rPr>
      <w:rFonts w:ascii="Tahoma" w:hAnsi="Tahoma" w:cs="Arial"/>
      <w:bCs/>
      <w:iCs/>
      <w:sz w:val="28"/>
      <w:szCs w:val="28"/>
    </w:rPr>
  </w:style>
  <w:style w:type="character" w:customStyle="1" w:styleId="ImepregledniceChar">
    <w:name w:val="Ime preglednice Char"/>
    <w:aliases w:val="slike Char"/>
    <w:rsid w:val="00590E36"/>
    <w:rPr>
      <w:rFonts w:ascii="Tahoma" w:hAnsi="Tahoma"/>
      <w:lang w:val="sl-SI" w:eastAsia="sl-SI" w:bidi="ar-SA"/>
    </w:rPr>
  </w:style>
  <w:style w:type="paragraph" w:customStyle="1" w:styleId="Znak1ZnakZnak">
    <w:name w:val="Znak1 Znak Znak"/>
    <w:basedOn w:val="Navaden"/>
    <w:rsid w:val="00590E36"/>
    <w:pPr>
      <w:overflowPunct/>
      <w:autoSpaceDE/>
      <w:autoSpaceDN/>
      <w:adjustRightInd/>
      <w:spacing w:after="160" w:line="240" w:lineRule="exact"/>
      <w:jc w:val="left"/>
      <w:textAlignment w:val="auto"/>
    </w:pPr>
    <w:rPr>
      <w:rFonts w:ascii="Tahoma" w:hAnsi="Tahoma" w:cs="Tahoma"/>
      <w:szCs w:val="20"/>
      <w:lang w:val="en-US" w:eastAsia="en-US"/>
    </w:rPr>
  </w:style>
  <w:style w:type="character" w:customStyle="1" w:styleId="uvlaka2Char">
    <w:name w:val="uvlaka 2 Char"/>
    <w:aliases w:val="uvlaka 2 Char Char"/>
    <w:rsid w:val="00590E36"/>
    <w:rPr>
      <w:rFonts w:ascii="Tahoma" w:hAnsi="Tahoma"/>
      <w:sz w:val="22"/>
      <w:szCs w:val="24"/>
      <w:lang w:val="sl-SI" w:eastAsia="sl-SI" w:bidi="ar-SA"/>
    </w:rPr>
  </w:style>
  <w:style w:type="character" w:customStyle="1" w:styleId="ZnakZnakZnakZnakZnakZnakZnak10">
    <w:name w:val="Znak Znak Znak Znak Znak Znak Znak1"/>
    <w:rsid w:val="00590E36"/>
    <w:rPr>
      <w:rFonts w:ascii="Tahoma" w:hAnsi="Tahoma" w:cs="Times New Roman"/>
      <w:b/>
      <w:bCs/>
      <w:lang w:val="sl-SI" w:eastAsia="sl-SI" w:bidi="ar-SA"/>
    </w:rPr>
  </w:style>
  <w:style w:type="character" w:customStyle="1" w:styleId="ZnakZnakZnakChar2">
    <w:name w:val="Znak Znak Znak Char2"/>
    <w:aliases w:val=" Znak Znak Char2, Znak Znak Znak Znak Znak Char Char2"/>
    <w:rsid w:val="00590E36"/>
    <w:rPr>
      <w:rFonts w:ascii="Tahoma" w:hAnsi="Tahoma"/>
      <w:b/>
      <w:bCs/>
      <w:lang w:val="sl-SI" w:eastAsia="sl-SI" w:bidi="ar-SA"/>
    </w:rPr>
  </w:style>
  <w:style w:type="character" w:customStyle="1" w:styleId="ZnakZnakZnakChar1">
    <w:name w:val="Znak Znak Znak Char1"/>
    <w:aliases w:val=" Znak Znak Char1, Znak Znak Znak Znak Znak Char Char1"/>
    <w:rsid w:val="00590E36"/>
    <w:rPr>
      <w:rFonts w:ascii="Tahoma" w:hAnsi="Tahoma"/>
      <w:b/>
      <w:bCs/>
      <w:lang w:val="sl-SI" w:eastAsia="sl-SI" w:bidi="ar-SA"/>
    </w:rPr>
  </w:style>
  <w:style w:type="character" w:customStyle="1" w:styleId="ZnakZnakZnak2">
    <w:name w:val="Znak Znak Znak2"/>
    <w:rsid w:val="00590E36"/>
    <w:rPr>
      <w:rFonts w:ascii="Tahoma" w:hAnsi="Tahoma"/>
      <w:bCs/>
      <w:sz w:val="24"/>
      <w:szCs w:val="28"/>
      <w:lang w:val="sl-SI" w:eastAsia="sl-SI" w:bidi="ar-SA"/>
    </w:rPr>
  </w:style>
  <w:style w:type="character" w:customStyle="1" w:styleId="ZnakZnak2">
    <w:name w:val="Znak Znak2"/>
    <w:rsid w:val="00590E36"/>
    <w:rPr>
      <w:rFonts w:ascii="Tahoma" w:hAnsi="Tahoma" w:cs="Arial"/>
      <w:bCs/>
      <w:iCs/>
      <w:sz w:val="28"/>
      <w:szCs w:val="22"/>
      <w:lang w:val="sl-SI" w:eastAsia="sl-SI" w:bidi="ar-SA"/>
    </w:rPr>
  </w:style>
  <w:style w:type="character" w:customStyle="1" w:styleId="ZnakZnak3">
    <w:name w:val="Znak Znak3"/>
    <w:rsid w:val="00590E36"/>
    <w:rPr>
      <w:rFonts w:ascii="Tahoma" w:hAnsi="Tahoma" w:cs="Arial"/>
      <w:bCs/>
      <w:kern w:val="32"/>
      <w:sz w:val="28"/>
      <w:szCs w:val="32"/>
      <w:lang w:val="sl-SI" w:eastAsia="sl-SI" w:bidi="ar-SA"/>
    </w:rPr>
  </w:style>
  <w:style w:type="character" w:customStyle="1" w:styleId="ZnakZnak10">
    <w:name w:val="Znak Znak1"/>
    <w:rsid w:val="00590E36"/>
    <w:rPr>
      <w:rFonts w:ascii="Tahoma" w:hAnsi="Tahoma" w:cs="Arial"/>
      <w:bCs/>
      <w:sz w:val="24"/>
      <w:szCs w:val="26"/>
      <w:lang w:val="sl-SI" w:eastAsia="sl-SI" w:bidi="ar-SA"/>
    </w:rPr>
  </w:style>
  <w:style w:type="character" w:customStyle="1" w:styleId="ZnakZnakZnakZnakZnakChar2">
    <w:name w:val="Znak Znak Znak Znak Znak Char2"/>
    <w:aliases w:val=" Znak Znak Znak Char Char2, Znak Znak Znak Char3,Znak Znak Znak Znak Znak Char Char1,Znak Znak Znak Znak Znak Char3,Znak Znak Znak Char3"/>
    <w:rsid w:val="00590E36"/>
    <w:rPr>
      <w:rFonts w:ascii="Tahoma" w:hAnsi="Tahoma"/>
      <w:b/>
      <w:bCs/>
      <w:lang w:val="sl-SI" w:eastAsia="sl-SI" w:bidi="ar-SA"/>
    </w:rPr>
  </w:style>
  <w:style w:type="character" w:customStyle="1" w:styleId="ZnakZnakZnakChar20">
    <w:name w:val="Znak Znak Znak Char2"/>
    <w:aliases w:val="Znak Znak Char2,Znak Znak Znak Znak Znak Char Char2"/>
    <w:rsid w:val="00590E36"/>
    <w:rPr>
      <w:rFonts w:ascii="Tahoma" w:hAnsi="Tahoma" w:cs="Times New Roman"/>
      <w:b/>
      <w:bCs/>
      <w:lang w:val="sl-SI" w:eastAsia="sl-SI" w:bidi="ar-SA"/>
    </w:rPr>
  </w:style>
  <w:style w:type="character" w:customStyle="1" w:styleId="HeaderChar">
    <w:name w:val="Header Char"/>
    <w:aliases w:val="Header-PR Char"/>
    <w:semiHidden/>
    <w:locked/>
    <w:rsid w:val="00590E36"/>
    <w:rPr>
      <w:rFonts w:ascii="Tahoma" w:hAnsi="Tahoma" w:cs="Times New Roman"/>
      <w:sz w:val="24"/>
      <w:szCs w:val="24"/>
      <w:lang w:val="sl-SI" w:eastAsia="sl-SI" w:bidi="ar-SA"/>
    </w:rPr>
  </w:style>
  <w:style w:type="character" w:customStyle="1" w:styleId="CharChar5">
    <w:name w:val="Char Char5"/>
    <w:rsid w:val="00590E36"/>
    <w:rPr>
      <w:rFonts w:ascii="Tahoma" w:hAnsi="Tahoma" w:cs="Tahoma"/>
      <w:b/>
      <w:bCs/>
      <w:iCs/>
      <w:sz w:val="22"/>
      <w:szCs w:val="26"/>
      <w:u w:val="words"/>
      <w:lang w:val="sl-SI" w:eastAsia="sl-SI" w:bidi="ar-SA"/>
    </w:rPr>
  </w:style>
  <w:style w:type="character" w:customStyle="1" w:styleId="CharChar4">
    <w:name w:val="Char Char4"/>
    <w:semiHidden/>
    <w:locked/>
    <w:rsid w:val="00590E36"/>
    <w:rPr>
      <w:rFonts w:ascii="Tahoma" w:hAnsi="Tahoma"/>
      <w:bCs/>
      <w:sz w:val="22"/>
      <w:szCs w:val="22"/>
      <w:lang w:val="sl-SI" w:eastAsia="sl-SI" w:bidi="ar-SA"/>
    </w:rPr>
  </w:style>
  <w:style w:type="character" w:customStyle="1" w:styleId="CharChar3">
    <w:name w:val="Char Char3"/>
    <w:semiHidden/>
    <w:locked/>
    <w:rsid w:val="00590E36"/>
    <w:rPr>
      <w:rFonts w:ascii="Tahoma" w:hAnsi="Tahoma"/>
      <w:sz w:val="22"/>
      <w:szCs w:val="24"/>
      <w:lang w:val="sl-SI" w:eastAsia="sl-SI" w:bidi="ar-SA"/>
    </w:rPr>
  </w:style>
  <w:style w:type="character" w:customStyle="1" w:styleId="Footer1CharChar">
    <w:name w:val="Footer1 Char Char"/>
    <w:semiHidden/>
    <w:locked/>
    <w:rsid w:val="00590E36"/>
    <w:rPr>
      <w:rFonts w:ascii="Tahoma" w:hAnsi="Tahoma"/>
      <w:sz w:val="22"/>
      <w:szCs w:val="24"/>
      <w:lang w:val="sl-SI" w:eastAsia="sl-SI" w:bidi="ar-SA"/>
    </w:rPr>
  </w:style>
  <w:style w:type="character" w:customStyle="1" w:styleId="Header-PRCharChar">
    <w:name w:val="Header-PR Char Char"/>
    <w:semiHidden/>
    <w:locked/>
    <w:rsid w:val="00590E36"/>
    <w:rPr>
      <w:rFonts w:ascii="Tahoma" w:hAnsi="Tahoma"/>
      <w:sz w:val="22"/>
      <w:szCs w:val="24"/>
      <w:lang w:val="sl-SI" w:eastAsia="sl-SI" w:bidi="ar-SA"/>
    </w:rPr>
  </w:style>
  <w:style w:type="character" w:customStyle="1" w:styleId="ZnakZnakZnakChar11">
    <w:name w:val="Znak Znak Znak Char11"/>
    <w:aliases w:val="Znak Znak Char1,Znak Znak Znak Znak Znak Char Char11"/>
    <w:rsid w:val="00590E36"/>
    <w:rPr>
      <w:rFonts w:ascii="Tahoma" w:hAnsi="Tahoma" w:cs="Times New Roman"/>
      <w:b/>
      <w:bCs/>
      <w:lang w:val="sl-SI" w:eastAsia="sl-SI" w:bidi="ar-SA"/>
    </w:rPr>
  </w:style>
  <w:style w:type="character" w:customStyle="1" w:styleId="ZnakZnakZnakZnakZnakChar20">
    <w:name w:val="Znak Znak Znak Znak Znak Char2"/>
    <w:aliases w:val="Znak Znak Znak Char Char2"/>
    <w:rsid w:val="00590E36"/>
    <w:rPr>
      <w:rFonts w:ascii="Tahoma" w:hAnsi="Tahoma" w:cs="Times New Roman"/>
      <w:b/>
      <w:bCs/>
      <w:lang w:val="sl-SI" w:eastAsia="sl-SI" w:bidi="ar-SA"/>
    </w:rPr>
  </w:style>
  <w:style w:type="character" w:customStyle="1" w:styleId="ZnakZnakZnakZnakZnakZnakZnak2">
    <w:name w:val="Znak Znak Znak Znak Znak Znak Znak2"/>
    <w:rsid w:val="00590E36"/>
    <w:rPr>
      <w:rFonts w:ascii="Tahoma" w:hAnsi="Tahoma" w:cs="Tahoma"/>
      <w:b/>
      <w:bCs/>
      <w:lang w:val="sl-SI" w:eastAsia="sl-SI"/>
    </w:rPr>
  </w:style>
  <w:style w:type="paragraph" w:customStyle="1" w:styleId="p">
    <w:name w:val="p"/>
    <w:basedOn w:val="Navaden"/>
    <w:rsid w:val="00590E36"/>
    <w:pPr>
      <w:overflowPunct/>
      <w:autoSpaceDE/>
      <w:autoSpaceDN/>
      <w:adjustRightInd/>
      <w:spacing w:before="60" w:after="15"/>
      <w:ind w:left="15" w:right="15" w:firstLine="240"/>
      <w:textAlignment w:val="auto"/>
    </w:pPr>
    <w:rPr>
      <w:rFonts w:cs="Arial"/>
      <w:color w:val="222222"/>
      <w:szCs w:val="22"/>
    </w:rPr>
  </w:style>
  <w:style w:type="character" w:customStyle="1" w:styleId="ZnakZnakZnakZnakZnakZnakZnak11">
    <w:name w:val="Znak Znak Znak Znak Znak Znak Znak11"/>
    <w:rsid w:val="00590E36"/>
    <w:rPr>
      <w:rFonts w:ascii="Tahoma" w:hAnsi="Tahoma" w:cs="Tahoma"/>
      <w:b/>
      <w:bCs/>
      <w:lang w:val="sl-SI" w:eastAsia="sl-SI"/>
    </w:rPr>
  </w:style>
  <w:style w:type="character" w:customStyle="1" w:styleId="ZnakCharChar">
    <w:name w:val="Znak Char Char"/>
    <w:rsid w:val="00590E36"/>
    <w:rPr>
      <w:rFonts w:ascii="Tahoma" w:hAnsi="Tahoma"/>
      <w:bCs/>
      <w:sz w:val="24"/>
      <w:szCs w:val="28"/>
      <w:lang w:val="sl-SI" w:eastAsia="sl-SI" w:bidi="ar-SA"/>
    </w:rPr>
  </w:style>
  <w:style w:type="character" w:customStyle="1" w:styleId="Heading5Char">
    <w:name w:val="Heading 5 Char"/>
    <w:rsid w:val="00590E36"/>
    <w:rPr>
      <w:rFonts w:ascii="Tahoma" w:hAnsi="Tahoma" w:cs="Tahoma"/>
      <w:b/>
      <w:bCs/>
      <w:iCs/>
      <w:sz w:val="22"/>
      <w:szCs w:val="26"/>
      <w:u w:val="single"/>
      <w:lang w:val="sl-SI" w:eastAsia="sl-SI" w:bidi="ar-SA"/>
    </w:rPr>
  </w:style>
  <w:style w:type="paragraph" w:customStyle="1" w:styleId="Revision1">
    <w:name w:val="Revision1"/>
    <w:hidden/>
    <w:uiPriority w:val="99"/>
    <w:semiHidden/>
    <w:rsid w:val="00590E36"/>
    <w:rPr>
      <w:rFonts w:ascii="Tahoma" w:eastAsia="Times New Roman" w:hAnsi="Tahoma"/>
      <w:sz w:val="22"/>
      <w:szCs w:val="24"/>
    </w:rPr>
  </w:style>
  <w:style w:type="character" w:styleId="Krepko">
    <w:name w:val="Strong"/>
    <w:uiPriority w:val="99"/>
    <w:qFormat/>
    <w:rsid w:val="00590E36"/>
    <w:rPr>
      <w:b/>
      <w:bCs/>
    </w:rPr>
  </w:style>
  <w:style w:type="table" w:styleId="Tabelapreprosta2">
    <w:name w:val="Table Simple 2"/>
    <w:basedOn w:val="Navadnatabela"/>
    <w:rsid w:val="00590E36"/>
    <w:pPr>
      <w:jc w:val="both"/>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SlogObojestransko">
    <w:name w:val="Slog Obojestransko"/>
    <w:basedOn w:val="Navaden"/>
    <w:uiPriority w:val="99"/>
    <w:rsid w:val="00590E36"/>
    <w:pPr>
      <w:overflowPunct/>
      <w:autoSpaceDE/>
      <w:autoSpaceDN/>
      <w:adjustRightInd/>
      <w:textAlignment w:val="auto"/>
    </w:pPr>
    <w:rPr>
      <w:rFonts w:ascii="Tahoma" w:hAnsi="Tahoma" w:cs="Tahoma"/>
      <w:sz w:val="24"/>
      <w:szCs w:val="24"/>
      <w:lang w:eastAsia="en-US"/>
    </w:rPr>
  </w:style>
  <w:style w:type="paragraph" w:customStyle="1" w:styleId="ListParagraph3">
    <w:name w:val="List Paragraph3"/>
    <w:basedOn w:val="Navaden"/>
    <w:uiPriority w:val="99"/>
    <w:qFormat/>
    <w:rsid w:val="00590E36"/>
    <w:pPr>
      <w:overflowPunct/>
      <w:autoSpaceDE/>
      <w:autoSpaceDN/>
      <w:adjustRightInd/>
      <w:ind w:left="720"/>
      <w:contextualSpacing/>
      <w:textAlignment w:val="auto"/>
    </w:pPr>
    <w:rPr>
      <w:rFonts w:ascii="Tahoma" w:hAnsi="Tahoma" w:cs="Tahoma"/>
      <w:szCs w:val="22"/>
    </w:rPr>
  </w:style>
  <w:style w:type="character" w:customStyle="1" w:styleId="Heading4Char">
    <w:name w:val="Heading 4 Char"/>
    <w:uiPriority w:val="99"/>
    <w:rsid w:val="00590E36"/>
    <w:rPr>
      <w:rFonts w:ascii="Tahoma" w:hAnsi="Tahoma" w:cs="Tahoma"/>
      <w:sz w:val="28"/>
      <w:szCs w:val="28"/>
      <w:lang w:val="sl-SI" w:eastAsia="sl-SI"/>
    </w:rPr>
  </w:style>
  <w:style w:type="paragraph" w:customStyle="1" w:styleId="PRILOGE">
    <w:name w:val="PRILOGE"/>
    <w:basedOn w:val="Navaden"/>
    <w:uiPriority w:val="99"/>
    <w:rsid w:val="00590E36"/>
    <w:pPr>
      <w:overflowPunct/>
      <w:autoSpaceDE/>
      <w:autoSpaceDN/>
      <w:adjustRightInd/>
      <w:textAlignment w:val="auto"/>
    </w:pPr>
    <w:rPr>
      <w:rFonts w:ascii="Tahoma" w:hAnsi="Tahoma" w:cs="Tahoma"/>
      <w:sz w:val="24"/>
      <w:szCs w:val="24"/>
    </w:rPr>
  </w:style>
  <w:style w:type="paragraph" w:customStyle="1" w:styleId="Znak1">
    <w:name w:val="Znak1"/>
    <w:basedOn w:val="Navaden"/>
    <w:uiPriority w:val="99"/>
    <w:rsid w:val="00590E36"/>
    <w:pPr>
      <w:overflowPunct/>
      <w:autoSpaceDE/>
      <w:autoSpaceDN/>
      <w:adjustRightInd/>
      <w:jc w:val="left"/>
      <w:textAlignment w:val="auto"/>
    </w:pPr>
    <w:rPr>
      <w:rFonts w:ascii="Times New Roman" w:hAnsi="Times New Roman"/>
      <w:sz w:val="24"/>
      <w:szCs w:val="24"/>
      <w:lang w:val="pl-PL" w:eastAsia="pl-PL"/>
    </w:rPr>
  </w:style>
  <w:style w:type="paragraph" w:customStyle="1" w:styleId="ZnakZnak1CharCharZnakZnak">
    <w:name w:val="Znak Znak1 Char Char Znak Znak"/>
    <w:basedOn w:val="Navaden"/>
    <w:uiPriority w:val="99"/>
    <w:rsid w:val="00590E36"/>
    <w:pPr>
      <w:overflowPunct/>
      <w:autoSpaceDE/>
      <w:autoSpaceDN/>
      <w:adjustRightInd/>
      <w:jc w:val="left"/>
      <w:textAlignment w:val="auto"/>
    </w:pPr>
    <w:rPr>
      <w:rFonts w:ascii="Times New Roman" w:hAnsi="Times New Roman"/>
      <w:sz w:val="24"/>
      <w:szCs w:val="24"/>
      <w:lang w:val="pl-PL" w:eastAsia="pl-PL"/>
    </w:rPr>
  </w:style>
  <w:style w:type="paragraph" w:customStyle="1" w:styleId="ZnakZnak1CharCharZnakZnak1">
    <w:name w:val="Znak Znak1 Char Char Znak Znak1"/>
    <w:basedOn w:val="Navaden"/>
    <w:uiPriority w:val="99"/>
    <w:rsid w:val="00590E36"/>
    <w:pPr>
      <w:overflowPunct/>
      <w:autoSpaceDE/>
      <w:autoSpaceDN/>
      <w:adjustRightInd/>
      <w:jc w:val="left"/>
      <w:textAlignment w:val="auto"/>
    </w:pPr>
    <w:rPr>
      <w:rFonts w:ascii="Times New Roman" w:hAnsi="Times New Roman"/>
      <w:sz w:val="24"/>
      <w:szCs w:val="24"/>
      <w:lang w:val="pl-PL" w:eastAsia="pl-PL"/>
    </w:rPr>
  </w:style>
  <w:style w:type="character" w:customStyle="1" w:styleId="Heading3CharChar">
    <w:name w:val="Heading 3 Char Char"/>
    <w:uiPriority w:val="99"/>
    <w:rsid w:val="00590E36"/>
    <w:rPr>
      <w:rFonts w:ascii="Tahoma" w:hAnsi="Tahoma" w:cs="Tahoma"/>
      <w:sz w:val="26"/>
      <w:szCs w:val="26"/>
      <w:lang w:val="sl-SI" w:eastAsia="sl-SI"/>
    </w:rPr>
  </w:style>
  <w:style w:type="paragraph" w:customStyle="1" w:styleId="hmnavaden">
    <w:name w:val="hm_navaden"/>
    <w:basedOn w:val="Navaden"/>
    <w:link w:val="hmnavadenChar"/>
    <w:uiPriority w:val="99"/>
    <w:rsid w:val="00590E36"/>
    <w:pPr>
      <w:overflowPunct/>
      <w:autoSpaceDE/>
      <w:autoSpaceDN/>
      <w:adjustRightInd/>
      <w:spacing w:line="168" w:lineRule="auto"/>
      <w:textAlignment w:val="auto"/>
    </w:pPr>
    <w:rPr>
      <w:rFonts w:ascii="Arial Unicode MS" w:eastAsia="Arial Unicode MS" w:hAnsi="Arial Unicode MS"/>
      <w:sz w:val="24"/>
      <w:szCs w:val="24"/>
      <w:lang w:val="x-none" w:eastAsia="en-US"/>
    </w:rPr>
  </w:style>
  <w:style w:type="character" w:customStyle="1" w:styleId="hmnavadenChar">
    <w:name w:val="hm_navaden Char"/>
    <w:link w:val="hmnavaden"/>
    <w:uiPriority w:val="99"/>
    <w:rsid w:val="00590E36"/>
    <w:rPr>
      <w:rFonts w:ascii="Arial Unicode MS" w:eastAsia="Arial Unicode MS" w:hAnsi="Arial Unicode MS"/>
      <w:sz w:val="24"/>
      <w:szCs w:val="24"/>
      <w:lang w:val="x-none" w:eastAsia="en-US"/>
    </w:rPr>
  </w:style>
  <w:style w:type="paragraph" w:customStyle="1" w:styleId="Znak1CharChar">
    <w:name w:val="Znak1 Char Char"/>
    <w:basedOn w:val="Navaden"/>
    <w:uiPriority w:val="99"/>
    <w:rsid w:val="00590E36"/>
    <w:pPr>
      <w:overflowPunct/>
      <w:autoSpaceDE/>
      <w:autoSpaceDN/>
      <w:adjustRightInd/>
      <w:jc w:val="left"/>
      <w:textAlignment w:val="auto"/>
    </w:pPr>
    <w:rPr>
      <w:rFonts w:ascii="Times New Roman" w:hAnsi="Times New Roman"/>
      <w:sz w:val="24"/>
      <w:szCs w:val="24"/>
      <w:lang w:val="pl-PL" w:eastAsia="pl-PL"/>
    </w:rPr>
  </w:style>
  <w:style w:type="paragraph" w:customStyle="1" w:styleId="ZnakZnak1CharCharZnakZnakCharCharZnak">
    <w:name w:val="Znak Znak1 Char Char Znak Znak Char Char Znak"/>
    <w:basedOn w:val="Navaden"/>
    <w:uiPriority w:val="99"/>
    <w:rsid w:val="00590E36"/>
    <w:pPr>
      <w:overflowPunct/>
      <w:autoSpaceDE/>
      <w:autoSpaceDN/>
      <w:adjustRightInd/>
      <w:jc w:val="left"/>
      <w:textAlignment w:val="auto"/>
    </w:pPr>
    <w:rPr>
      <w:rFonts w:ascii="Times New Roman" w:hAnsi="Times New Roman"/>
      <w:sz w:val="24"/>
      <w:szCs w:val="24"/>
      <w:lang w:val="pl-PL" w:eastAsia="pl-PL"/>
    </w:rPr>
  </w:style>
  <w:style w:type="character" w:customStyle="1" w:styleId="HTML-oblikovanoZnak1">
    <w:name w:val="HTML-oblikovano Znak1"/>
    <w:rsid w:val="00590E36"/>
    <w:rPr>
      <w:rFonts w:ascii="Courier New" w:hAnsi="Courier New" w:cs="Courier New"/>
    </w:rPr>
  </w:style>
  <w:style w:type="character" w:customStyle="1" w:styleId="HTMLPreformattedChar1">
    <w:name w:val="HTML Preformatted Char1"/>
    <w:uiPriority w:val="99"/>
    <w:semiHidden/>
    <w:rsid w:val="00590E36"/>
    <w:rPr>
      <w:rFonts w:ascii="Courier New" w:hAnsi="Courier New" w:cs="Courier New"/>
      <w:sz w:val="20"/>
      <w:szCs w:val="20"/>
    </w:rPr>
  </w:style>
  <w:style w:type="character" w:customStyle="1" w:styleId="ZnakZnak30">
    <w:name w:val="Znak Znak3"/>
    <w:uiPriority w:val="99"/>
    <w:rsid w:val="00590E36"/>
    <w:rPr>
      <w:rFonts w:ascii="Tahoma" w:hAnsi="Tahoma" w:cs="Tahoma"/>
      <w:sz w:val="28"/>
      <w:szCs w:val="28"/>
      <w:lang w:val="sl-SI" w:eastAsia="sl-SI"/>
    </w:rPr>
  </w:style>
  <w:style w:type="paragraph" w:customStyle="1" w:styleId="ZnakZnak1CharCharZnakZnakCharCharZnakZnakZnak">
    <w:name w:val="Znak Znak1 Char Char Znak Znak Char Char Znak Znak Znak"/>
    <w:basedOn w:val="Navaden"/>
    <w:uiPriority w:val="99"/>
    <w:rsid w:val="00590E36"/>
    <w:pPr>
      <w:overflowPunct/>
      <w:autoSpaceDE/>
      <w:autoSpaceDN/>
      <w:adjustRightInd/>
      <w:jc w:val="left"/>
      <w:textAlignment w:val="auto"/>
    </w:pPr>
    <w:rPr>
      <w:rFonts w:ascii="Times New Roman" w:hAnsi="Times New Roman"/>
      <w:sz w:val="24"/>
      <w:szCs w:val="24"/>
      <w:lang w:val="pl-PL" w:eastAsia="pl-PL"/>
    </w:rPr>
  </w:style>
  <w:style w:type="character" w:customStyle="1" w:styleId="ZnakCharChar0">
    <w:name w:val="Znak Char Char"/>
    <w:uiPriority w:val="99"/>
    <w:rsid w:val="00590E36"/>
    <w:rPr>
      <w:rFonts w:ascii="Tahoma" w:hAnsi="Tahoma" w:cs="Tahoma"/>
      <w:sz w:val="26"/>
      <w:szCs w:val="26"/>
      <w:lang w:val="sl-SI" w:eastAsia="sl-SI"/>
    </w:rPr>
  </w:style>
  <w:style w:type="paragraph" w:customStyle="1" w:styleId="Revizija1">
    <w:name w:val="Revizija1"/>
    <w:hidden/>
    <w:uiPriority w:val="99"/>
    <w:semiHidden/>
    <w:rsid w:val="00590E36"/>
    <w:rPr>
      <w:rFonts w:ascii="Tahoma" w:eastAsia="Times New Roman" w:hAnsi="Tahoma" w:cs="Tahoma"/>
      <w:sz w:val="22"/>
      <w:szCs w:val="22"/>
    </w:rPr>
  </w:style>
  <w:style w:type="numbering" w:customStyle="1" w:styleId="Nastevanje2">
    <w:name w:val="Nastevanje2"/>
    <w:basedOn w:val="Brezseznama"/>
    <w:rsid w:val="00590E36"/>
    <w:pPr>
      <w:numPr>
        <w:numId w:val="1"/>
      </w:numPr>
    </w:pPr>
  </w:style>
  <w:style w:type="paragraph" w:customStyle="1" w:styleId="SlogNaslov2">
    <w:name w:val="Slog Naslov 2"/>
    <w:aliases w:val="PVO-2 + Arial Pred:  0 pt Po:  0 pt"/>
    <w:basedOn w:val="Naslov20"/>
    <w:rsid w:val="00590E36"/>
    <w:pPr>
      <w:tabs>
        <w:tab w:val="num" w:pos="576"/>
      </w:tabs>
      <w:overflowPunct/>
      <w:autoSpaceDE/>
      <w:autoSpaceDN/>
      <w:adjustRightInd/>
      <w:spacing w:before="0" w:after="0"/>
      <w:textAlignment w:val="auto"/>
    </w:pPr>
    <w:rPr>
      <w:b w:val="0"/>
      <w:bCs w:val="0"/>
      <w:iCs w:val="0"/>
      <w:szCs w:val="20"/>
      <w:lang w:val="sl-SI" w:eastAsia="sl-SI"/>
    </w:rPr>
  </w:style>
  <w:style w:type="paragraph" w:styleId="Revizija">
    <w:name w:val="Revision"/>
    <w:hidden/>
    <w:uiPriority w:val="99"/>
    <w:semiHidden/>
    <w:rsid w:val="00590E36"/>
    <w:rPr>
      <w:rFonts w:ascii="Tahoma" w:eastAsia="Times New Roman" w:hAnsi="Tahoma"/>
      <w:sz w:val="22"/>
      <w:szCs w:val="24"/>
    </w:rPr>
  </w:style>
  <w:style w:type="paragraph" w:customStyle="1" w:styleId="NaslovpredpisaZnakZnak">
    <w:name w:val="Naslov_predpisa Znak Znak"/>
    <w:basedOn w:val="Navaden"/>
    <w:rsid w:val="00590E36"/>
    <w:pPr>
      <w:suppressAutoHyphens/>
      <w:autoSpaceDN/>
      <w:adjustRightInd/>
      <w:spacing w:before="120" w:after="160" w:line="200" w:lineRule="exact"/>
      <w:jc w:val="center"/>
    </w:pPr>
    <w:rPr>
      <w:rFonts w:cs="Arial"/>
      <w:b/>
      <w:sz w:val="24"/>
      <w:szCs w:val="24"/>
      <w:lang w:eastAsia="ar-SA"/>
    </w:rPr>
  </w:style>
  <w:style w:type="character" w:customStyle="1" w:styleId="BodyTextIndentChar">
    <w:name w:val="Body Text Indent Char"/>
    <w:locked/>
    <w:rsid w:val="00590E36"/>
    <w:rPr>
      <w:rFonts w:ascii="Arial Unicode MS" w:eastAsia="Arial Unicode MS" w:cs="Arial Unicode MS"/>
      <w:bCs/>
      <w:sz w:val="24"/>
      <w:szCs w:val="24"/>
      <w:lang w:val="sl-SI" w:eastAsia="sl-SI" w:bidi="ar-SA"/>
    </w:rPr>
  </w:style>
  <w:style w:type="paragraph" w:customStyle="1" w:styleId="index">
    <w:name w:val="index"/>
    <w:basedOn w:val="Navaden"/>
    <w:semiHidden/>
    <w:rsid w:val="00590E36"/>
    <w:pPr>
      <w:widowControl w:val="0"/>
      <w:overflowPunct/>
      <w:autoSpaceDE/>
      <w:autoSpaceDN/>
      <w:adjustRightInd/>
      <w:spacing w:before="120"/>
      <w:textAlignment w:val="auto"/>
    </w:pPr>
    <w:rPr>
      <w:rFonts w:ascii="Dutch" w:hAnsi="Dutch"/>
      <w:b/>
      <w:sz w:val="24"/>
      <w:szCs w:val="24"/>
      <w:lang w:val="hr-HR"/>
    </w:rPr>
  </w:style>
  <w:style w:type="paragraph" w:customStyle="1" w:styleId="NASLOV0">
    <w:name w:val="NASLOV"/>
    <w:basedOn w:val="Navaden"/>
    <w:semiHidden/>
    <w:rsid w:val="00590E36"/>
    <w:pPr>
      <w:widowControl w:val="0"/>
      <w:overflowPunct/>
      <w:autoSpaceDE/>
      <w:autoSpaceDN/>
      <w:adjustRightInd/>
      <w:spacing w:before="360"/>
      <w:textAlignment w:val="auto"/>
    </w:pPr>
    <w:rPr>
      <w:b/>
      <w:sz w:val="24"/>
      <w:szCs w:val="24"/>
      <w:lang w:val="en-GB"/>
    </w:rPr>
  </w:style>
  <w:style w:type="paragraph" w:customStyle="1" w:styleId="navaden1">
    <w:name w:val="navaden1"/>
    <w:basedOn w:val="Navaden"/>
    <w:semiHidden/>
    <w:rsid w:val="00590E36"/>
    <w:pPr>
      <w:adjustRightInd/>
      <w:textAlignment w:val="auto"/>
    </w:pPr>
    <w:rPr>
      <w:rFonts w:ascii="Tahoma" w:hAnsi="Tahoma"/>
      <w:color w:val="000000"/>
      <w:sz w:val="24"/>
      <w:szCs w:val="21"/>
      <w:lang w:val="en-GB"/>
    </w:rPr>
  </w:style>
  <w:style w:type="paragraph" w:customStyle="1" w:styleId="Normal1">
    <w:name w:val="Normal1"/>
    <w:basedOn w:val="Navaden"/>
    <w:semiHidden/>
    <w:rsid w:val="00590E36"/>
    <w:pPr>
      <w:widowControl w:val="0"/>
      <w:overflowPunct/>
      <w:autoSpaceDE/>
      <w:autoSpaceDN/>
      <w:adjustRightInd/>
      <w:spacing w:before="240"/>
      <w:textAlignment w:val="auto"/>
    </w:pPr>
    <w:rPr>
      <w:noProof/>
      <w:sz w:val="24"/>
      <w:szCs w:val="24"/>
    </w:rPr>
  </w:style>
  <w:style w:type="paragraph" w:customStyle="1" w:styleId="tekst">
    <w:name w:val="tekst"/>
    <w:basedOn w:val="Navaden"/>
    <w:semiHidden/>
    <w:rsid w:val="00590E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pPr>
    <w:rPr>
      <w:rFonts w:ascii="Symbol" w:hAnsi="Symbol"/>
      <w:sz w:val="24"/>
      <w:szCs w:val="24"/>
      <w:lang w:val="en-GB"/>
    </w:rPr>
  </w:style>
  <w:style w:type="paragraph" w:customStyle="1" w:styleId="tekstbold">
    <w:name w:val="tekstbold"/>
    <w:basedOn w:val="Navaden"/>
    <w:semiHidden/>
    <w:rsid w:val="00590E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pPr>
    <w:rPr>
      <w:rFonts w:ascii="CRO_Swiss-Normal" w:hAnsi="CRO_Swiss-Normal"/>
      <w:b/>
      <w:sz w:val="24"/>
      <w:szCs w:val="24"/>
      <w:lang w:val="en-GB"/>
    </w:rPr>
  </w:style>
  <w:style w:type="paragraph" w:customStyle="1" w:styleId="body-0020text-0020indent">
    <w:name w:val="body-0020text-0020indent"/>
    <w:basedOn w:val="Navaden"/>
    <w:rsid w:val="00590E36"/>
    <w:pPr>
      <w:overflowPunct/>
      <w:autoSpaceDE/>
      <w:autoSpaceDN/>
      <w:adjustRightInd/>
      <w:spacing w:before="100" w:beforeAutospacing="1" w:after="100" w:afterAutospacing="1"/>
      <w:jc w:val="left"/>
      <w:textAlignment w:val="auto"/>
    </w:pPr>
    <w:rPr>
      <w:rFonts w:ascii="Arial Unicode MS" w:eastAsia="Arial Unicode MS" w:hAnsi="Arial Unicode MS" w:cs="Arial Unicode MS"/>
      <w:sz w:val="24"/>
      <w:szCs w:val="24"/>
      <w:lang w:val="en-GB" w:eastAsia="en-US"/>
    </w:rPr>
  </w:style>
  <w:style w:type="character" w:customStyle="1" w:styleId="BodyTextChar">
    <w:name w:val="Body Text Char"/>
    <w:aliases w:val="uvlaka 2 Char"/>
    <w:locked/>
    <w:rsid w:val="00590E36"/>
    <w:rPr>
      <w:rFonts w:ascii="Tahoma" w:hAnsi="Tahoma" w:cs="Times New Roman"/>
      <w:sz w:val="24"/>
      <w:szCs w:val="24"/>
      <w:lang w:val="sl-SI" w:eastAsia="sl-SI" w:bidi="ar-SA"/>
    </w:rPr>
  </w:style>
  <w:style w:type="paragraph" w:customStyle="1" w:styleId="BodyText22">
    <w:name w:val="Body Text 22"/>
    <w:basedOn w:val="Navaden"/>
    <w:rsid w:val="00590E36"/>
    <w:pPr>
      <w:tabs>
        <w:tab w:val="left" w:pos="1134"/>
      </w:tabs>
      <w:overflowPunct/>
      <w:autoSpaceDE/>
      <w:autoSpaceDN/>
      <w:adjustRightInd/>
      <w:ind w:left="284"/>
      <w:textAlignment w:val="auto"/>
    </w:pPr>
    <w:rPr>
      <w:rFonts w:ascii="Times New Roman" w:hAnsi="Times New Roman"/>
      <w:sz w:val="24"/>
      <w:szCs w:val="20"/>
    </w:rPr>
  </w:style>
  <w:style w:type="paragraph" w:customStyle="1" w:styleId="NoSpacing1">
    <w:name w:val="No Spacing1"/>
    <w:uiPriority w:val="1"/>
    <w:qFormat/>
    <w:rsid w:val="00590E36"/>
    <w:rPr>
      <w:rFonts w:ascii="Tahoma" w:hAnsi="Tahoma"/>
      <w:sz w:val="22"/>
      <w:szCs w:val="22"/>
      <w:lang w:eastAsia="en-US"/>
    </w:rPr>
  </w:style>
  <w:style w:type="character" w:customStyle="1" w:styleId="CharChar13">
    <w:name w:val="Char Char13"/>
    <w:semiHidden/>
    <w:locked/>
    <w:rsid w:val="00590E36"/>
    <w:rPr>
      <w:rFonts w:ascii="Tahoma" w:hAnsi="Tahoma" w:cs="Tahoma"/>
      <w:b/>
      <w:bCs/>
      <w:i/>
      <w:iCs/>
      <w:sz w:val="26"/>
      <w:szCs w:val="26"/>
      <w:lang w:val="sl-SI" w:eastAsia="sl-SI" w:bidi="ar-SA"/>
    </w:rPr>
  </w:style>
  <w:style w:type="paragraph" w:customStyle="1" w:styleId="Char2ZnakChar1ZnakCharZnak">
    <w:name w:val="Char2 Znak Char1 Znak Char Znak"/>
    <w:basedOn w:val="Navaden"/>
    <w:uiPriority w:val="99"/>
    <w:rsid w:val="00590E36"/>
    <w:pPr>
      <w:overflowPunct/>
      <w:autoSpaceDE/>
      <w:autoSpaceDN/>
      <w:adjustRightInd/>
      <w:jc w:val="left"/>
      <w:textAlignment w:val="auto"/>
    </w:pPr>
    <w:rPr>
      <w:rFonts w:ascii="Tahoma" w:hAnsi="Tahoma" w:cs="Tahoma"/>
      <w:sz w:val="24"/>
      <w:szCs w:val="24"/>
      <w:lang w:val="pl-PL" w:eastAsia="pl-PL"/>
    </w:rPr>
  </w:style>
  <w:style w:type="paragraph" w:customStyle="1" w:styleId="Char2ZnakChar1ZnakChar1">
    <w:name w:val="Char2 Znak Char1 Znak Char1"/>
    <w:basedOn w:val="Navaden"/>
    <w:rsid w:val="00590E36"/>
    <w:pPr>
      <w:overflowPunct/>
      <w:autoSpaceDE/>
      <w:autoSpaceDN/>
      <w:adjustRightInd/>
      <w:jc w:val="left"/>
      <w:textAlignment w:val="auto"/>
    </w:pPr>
    <w:rPr>
      <w:rFonts w:ascii="Tahoma" w:hAnsi="Tahoma" w:cs="Tahoma"/>
      <w:sz w:val="24"/>
      <w:szCs w:val="24"/>
      <w:lang w:val="pl-PL" w:eastAsia="pl-PL"/>
    </w:rPr>
  </w:style>
  <w:style w:type="character" w:customStyle="1" w:styleId="CharChar130">
    <w:name w:val="Char Char13"/>
    <w:semiHidden/>
    <w:locked/>
    <w:rsid w:val="00590E36"/>
    <w:rPr>
      <w:rFonts w:ascii="Tahoma" w:hAnsi="Tahoma" w:cs="Tahoma"/>
      <w:b/>
      <w:bCs/>
      <w:i/>
      <w:iCs/>
      <w:sz w:val="26"/>
      <w:szCs w:val="26"/>
      <w:lang w:val="sl-SI" w:eastAsia="sl-SI" w:bidi="ar-SA"/>
    </w:rPr>
  </w:style>
  <w:style w:type="character" w:customStyle="1" w:styleId="FooterChar">
    <w:name w:val="Footer Char"/>
    <w:aliases w:val="Footer1 Char"/>
    <w:uiPriority w:val="99"/>
    <w:locked/>
    <w:rsid w:val="00590E36"/>
    <w:rPr>
      <w:rFonts w:ascii="Tahoma" w:hAnsi="Tahoma" w:cs="Times New Roman"/>
      <w:sz w:val="24"/>
      <w:szCs w:val="24"/>
      <w:lang w:val="sl-SI" w:eastAsia="sl-SI" w:bidi="ar-SA"/>
    </w:rPr>
  </w:style>
  <w:style w:type="character" w:styleId="Poudarek">
    <w:name w:val="Emphasis"/>
    <w:uiPriority w:val="20"/>
    <w:qFormat/>
    <w:rsid w:val="00AE2FAB"/>
    <w:rPr>
      <w:i/>
      <w:iCs/>
    </w:rPr>
  </w:style>
  <w:style w:type="character" w:customStyle="1" w:styleId="ZnakZnak50">
    <w:name w:val="Znak Znak5"/>
    <w:rsid w:val="00D915AB"/>
    <w:rPr>
      <w:rFonts w:ascii="Tahoma" w:hAnsi="Tahoma" w:cs="Arial"/>
      <w:bCs/>
      <w:kern w:val="32"/>
      <w:sz w:val="28"/>
      <w:szCs w:val="32"/>
    </w:rPr>
  </w:style>
  <w:style w:type="character" w:customStyle="1" w:styleId="ZnakZnak40">
    <w:name w:val="Znak Znak4"/>
    <w:rsid w:val="00D915AB"/>
    <w:rPr>
      <w:rFonts w:ascii="Tahoma" w:hAnsi="Tahoma" w:cs="Arial"/>
      <w:bCs/>
      <w:iCs/>
      <w:sz w:val="28"/>
      <w:szCs w:val="28"/>
    </w:rPr>
  </w:style>
  <w:style w:type="paragraph" w:customStyle="1" w:styleId="Znak1ZnakZnak0">
    <w:name w:val="Znak1 Znak Znak"/>
    <w:basedOn w:val="Navaden"/>
    <w:rsid w:val="00D915AB"/>
    <w:pPr>
      <w:overflowPunct/>
      <w:autoSpaceDE/>
      <w:autoSpaceDN/>
      <w:adjustRightInd/>
      <w:spacing w:after="160" w:line="240" w:lineRule="exact"/>
      <w:jc w:val="left"/>
      <w:textAlignment w:val="auto"/>
    </w:pPr>
    <w:rPr>
      <w:rFonts w:ascii="Tahoma" w:hAnsi="Tahoma" w:cs="Tahoma"/>
      <w:szCs w:val="20"/>
      <w:lang w:val="en-US" w:eastAsia="en-US"/>
    </w:rPr>
  </w:style>
  <w:style w:type="character" w:customStyle="1" w:styleId="ZnakZnakZnak20">
    <w:name w:val="Znak Znak Znak2"/>
    <w:rsid w:val="00D915AB"/>
    <w:rPr>
      <w:rFonts w:ascii="Tahoma" w:hAnsi="Tahoma"/>
      <w:bCs/>
      <w:sz w:val="24"/>
      <w:szCs w:val="28"/>
      <w:lang w:val="sl-SI" w:eastAsia="sl-SI" w:bidi="ar-SA"/>
    </w:rPr>
  </w:style>
  <w:style w:type="character" w:customStyle="1" w:styleId="ZnakZnak20">
    <w:name w:val="Znak Znak2"/>
    <w:rsid w:val="00D915AB"/>
    <w:rPr>
      <w:rFonts w:ascii="Tahoma" w:hAnsi="Tahoma" w:cs="Arial"/>
      <w:bCs/>
      <w:iCs/>
      <w:sz w:val="28"/>
      <w:szCs w:val="22"/>
      <w:lang w:val="sl-SI" w:eastAsia="sl-SI" w:bidi="ar-SA"/>
    </w:rPr>
  </w:style>
  <w:style w:type="character" w:customStyle="1" w:styleId="CharChar50">
    <w:name w:val="Char Char5"/>
    <w:rsid w:val="00D915AB"/>
    <w:rPr>
      <w:rFonts w:ascii="Tahoma" w:hAnsi="Tahoma" w:cs="Tahoma"/>
      <w:b/>
      <w:bCs/>
      <w:iCs/>
      <w:sz w:val="22"/>
      <w:szCs w:val="26"/>
      <w:u w:val="words"/>
      <w:lang w:val="sl-SI" w:eastAsia="sl-SI" w:bidi="ar-SA"/>
    </w:rPr>
  </w:style>
  <w:style w:type="character" w:customStyle="1" w:styleId="CharChar40">
    <w:name w:val="Char Char4"/>
    <w:semiHidden/>
    <w:locked/>
    <w:rsid w:val="00D915AB"/>
    <w:rPr>
      <w:rFonts w:ascii="Tahoma" w:hAnsi="Tahoma"/>
      <w:bCs/>
      <w:sz w:val="22"/>
      <w:szCs w:val="22"/>
      <w:lang w:val="sl-SI" w:eastAsia="sl-SI" w:bidi="ar-SA"/>
    </w:rPr>
  </w:style>
  <w:style w:type="character" w:customStyle="1" w:styleId="CharChar30">
    <w:name w:val="Char Char3"/>
    <w:semiHidden/>
    <w:locked/>
    <w:rsid w:val="00D915AB"/>
    <w:rPr>
      <w:rFonts w:ascii="Tahoma" w:hAnsi="Tahoma"/>
      <w:sz w:val="22"/>
      <w:szCs w:val="24"/>
      <w:lang w:val="sl-SI" w:eastAsia="sl-SI" w:bidi="ar-SA"/>
    </w:rPr>
  </w:style>
  <w:style w:type="paragraph" w:customStyle="1" w:styleId="podnaslov0">
    <w:name w:val="podnaslov"/>
    <w:basedOn w:val="Navaden"/>
    <w:link w:val="podnaslovZnak0"/>
    <w:qFormat/>
    <w:rsid w:val="00424902"/>
    <w:pPr>
      <w:spacing w:before="240" w:after="240"/>
    </w:pPr>
    <w:rPr>
      <w:rFonts w:cs="Arial"/>
      <w:b/>
      <w:szCs w:val="22"/>
    </w:rPr>
  </w:style>
  <w:style w:type="character" w:customStyle="1" w:styleId="podnaslovZnak0">
    <w:name w:val="podnaslov Znak"/>
    <w:link w:val="podnaslov0"/>
    <w:rsid w:val="00424902"/>
    <w:rPr>
      <w:rFonts w:ascii="Arial" w:eastAsia="Times New Roman" w:hAnsi="Arial" w:cs="Arial"/>
      <w:b/>
      <w:szCs w:val="22"/>
    </w:rPr>
  </w:style>
  <w:style w:type="character" w:customStyle="1" w:styleId="UnresolvedMention1">
    <w:name w:val="Unresolved Mention1"/>
    <w:basedOn w:val="Privzetapisavaodstavka"/>
    <w:uiPriority w:val="99"/>
    <w:semiHidden/>
    <w:unhideWhenUsed/>
    <w:rsid w:val="00367336"/>
    <w:rPr>
      <w:color w:val="605E5C"/>
      <w:shd w:val="clear" w:color="auto" w:fill="E1DFDD"/>
    </w:rPr>
  </w:style>
  <w:style w:type="character" w:customStyle="1" w:styleId="BesediloAriel11obojestranskoZnak">
    <w:name w:val="Besedilo Ariel 11 obojestransko Znak"/>
    <w:link w:val="BesediloAriel11obojestransko"/>
    <w:rsid w:val="00C1748F"/>
    <w:rPr>
      <w:rFonts w:ascii="Arial" w:eastAsia="Times New Roman" w:hAnsi="Arial"/>
      <w:szCs w:val="22"/>
      <w:lang w:eastAsia="ja-JP"/>
    </w:rPr>
  </w:style>
  <w:style w:type="character" w:customStyle="1" w:styleId="jlqj4b">
    <w:name w:val="jlqj4b"/>
    <w:rsid w:val="00C1748F"/>
  </w:style>
  <w:style w:type="character" w:customStyle="1" w:styleId="viiyi">
    <w:name w:val="viiyi"/>
    <w:rsid w:val="00C1748F"/>
  </w:style>
  <w:style w:type="paragraph" w:customStyle="1" w:styleId="ZnakZnak21">
    <w:name w:val="Znak Znak2"/>
    <w:basedOn w:val="Navaden"/>
    <w:rsid w:val="00C1748F"/>
    <w:pPr>
      <w:overflowPunct/>
      <w:autoSpaceDE/>
      <w:autoSpaceDN/>
      <w:adjustRightInd/>
      <w:spacing w:line="240" w:lineRule="auto"/>
      <w:jc w:val="left"/>
      <w:textAlignment w:val="auto"/>
    </w:pPr>
    <w:rPr>
      <w:rFonts w:ascii="Times New Roman" w:hAnsi="Times New Roman"/>
      <w:sz w:val="24"/>
      <w:szCs w:val="24"/>
      <w:lang w:val="pl-PL" w:eastAsia="pl-PL"/>
    </w:rPr>
  </w:style>
  <w:style w:type="paragraph" w:customStyle="1" w:styleId="Naslovpoglavje2">
    <w:name w:val="Naslov poglavje 2"/>
    <w:basedOn w:val="Naslov20"/>
    <w:link w:val="Naslovpoglavje2Znak"/>
    <w:qFormat/>
    <w:rsid w:val="00C1748F"/>
    <w:pPr>
      <w:tabs>
        <w:tab w:val="clear" w:pos="709"/>
      </w:tabs>
      <w:spacing w:before="240" w:after="60" w:line="240" w:lineRule="auto"/>
      <w:jc w:val="both"/>
    </w:pPr>
    <w:rPr>
      <w:rFonts w:cs="Arial"/>
      <w:bCs w:val="0"/>
      <w:i w:val="0"/>
      <w:iCs w:val="0"/>
      <w:sz w:val="22"/>
      <w:szCs w:val="16"/>
      <w:lang w:val="sl-SI" w:eastAsia="sl-SI"/>
    </w:rPr>
  </w:style>
  <w:style w:type="character" w:customStyle="1" w:styleId="Naslovpoglavje2Znak">
    <w:name w:val="Naslov poglavje 2 Znak"/>
    <w:link w:val="Naslovpoglavje2"/>
    <w:rsid w:val="00C1748F"/>
    <w:rPr>
      <w:rFonts w:ascii="Arial" w:eastAsia="Times New Roman" w:hAnsi="Arial" w:cs="Arial"/>
      <w:b/>
      <w:sz w:val="22"/>
      <w:szCs w:val="16"/>
    </w:rPr>
  </w:style>
  <w:style w:type="paragraph" w:customStyle="1" w:styleId="GeoZSVsebina">
    <w:name w:val="GeoZS_Vsebina"/>
    <w:basedOn w:val="Navaden"/>
    <w:qFormat/>
    <w:rsid w:val="004815CB"/>
    <w:pPr>
      <w:widowControl w:val="0"/>
      <w:overflowPunct/>
      <w:autoSpaceDE/>
      <w:autoSpaceDN/>
      <w:adjustRightInd/>
      <w:spacing w:after="220" w:line="276" w:lineRule="auto"/>
      <w:textAlignment w:val="auto"/>
    </w:pPr>
    <w:rPr>
      <w:rFonts w:asciiTheme="minorHAnsi" w:eastAsiaTheme="majorEastAsia" w:hAnsiTheme="minorHAnsi"/>
      <w:snapToGrid w:val="0"/>
      <w:kern w:val="22"/>
      <w:sz w:val="22"/>
      <w:szCs w:val="22"/>
      <w:lang w:eastAsia="en-US"/>
    </w:rPr>
  </w:style>
  <w:style w:type="table" w:customStyle="1" w:styleId="Tabelamrea1">
    <w:name w:val="Tabela – mreža1"/>
    <w:basedOn w:val="Navadnatabela"/>
    <w:next w:val="Tabelamrea"/>
    <w:rsid w:val="004815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39"/>
    <w:rsid w:val="004815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oZSPodnaslovStL1">
    <w:name w:val="GeoZS_PodnaslovSt_L1."/>
    <w:basedOn w:val="Navaden"/>
    <w:next w:val="GeoZSVsebina"/>
    <w:qFormat/>
    <w:rsid w:val="00110F1A"/>
    <w:pPr>
      <w:pageBreakBefore/>
      <w:widowControl w:val="0"/>
      <w:numPr>
        <w:numId w:val="66"/>
      </w:numPr>
      <w:pBdr>
        <w:left w:val="single" w:sz="48" w:space="4" w:color="5CAC34"/>
      </w:pBdr>
      <w:overflowPunct/>
      <w:autoSpaceDE/>
      <w:autoSpaceDN/>
      <w:adjustRightInd/>
      <w:spacing w:before="220" w:after="220" w:line="276" w:lineRule="auto"/>
      <w:contextualSpacing/>
      <w:jc w:val="left"/>
      <w:textAlignment w:val="auto"/>
      <w:outlineLvl w:val="0"/>
    </w:pPr>
    <w:rPr>
      <w:rFonts w:asciiTheme="minorHAnsi" w:eastAsiaTheme="majorEastAsia" w:hAnsiTheme="minorHAnsi"/>
      <w:b/>
      <w:snapToGrid w:val="0"/>
      <w:kern w:val="22"/>
      <w:sz w:val="22"/>
      <w:szCs w:val="22"/>
      <w:lang w:eastAsia="en-US"/>
    </w:rPr>
  </w:style>
  <w:style w:type="paragraph" w:customStyle="1" w:styleId="GeoZSPodnaslovStL2">
    <w:name w:val="GeoZS_PodnaslovSt_L2."/>
    <w:basedOn w:val="GeoZSPodnaslovStL1"/>
    <w:semiHidden/>
    <w:qFormat/>
    <w:rsid w:val="00110F1A"/>
    <w:pPr>
      <w:pageBreakBefore w:val="0"/>
      <w:numPr>
        <w:ilvl w:val="1"/>
      </w:numPr>
      <w:pBdr>
        <w:left w:val="none" w:sz="0" w:space="0" w:color="auto"/>
      </w:pBdr>
      <w:outlineLvl w:val="1"/>
    </w:pPr>
  </w:style>
  <w:style w:type="paragraph" w:customStyle="1" w:styleId="GeoZSPodnaslovStL3">
    <w:name w:val="GeoZS_PodnaslovSt_L3."/>
    <w:basedOn w:val="GeoZSPodnaslovStL1"/>
    <w:link w:val="GeoZSPodnaslovStL3Char"/>
    <w:semiHidden/>
    <w:qFormat/>
    <w:rsid w:val="00110F1A"/>
    <w:pPr>
      <w:pageBreakBefore w:val="0"/>
      <w:numPr>
        <w:ilvl w:val="2"/>
      </w:numPr>
      <w:pBdr>
        <w:left w:val="none" w:sz="0" w:space="0" w:color="auto"/>
      </w:pBdr>
      <w:outlineLvl w:val="2"/>
    </w:pPr>
  </w:style>
  <w:style w:type="character" w:customStyle="1" w:styleId="GeoZSPodnaslovStL3Char">
    <w:name w:val="GeoZS_PodnaslovSt_L3. Char"/>
    <w:basedOn w:val="Privzetapisavaodstavka"/>
    <w:link w:val="GeoZSPodnaslovStL3"/>
    <w:semiHidden/>
    <w:rsid w:val="00110F1A"/>
    <w:rPr>
      <w:rFonts w:asciiTheme="minorHAnsi" w:eastAsiaTheme="majorEastAsia" w:hAnsiTheme="minorHAnsi"/>
      <w:b/>
      <w:snapToGrid w:val="0"/>
      <w:kern w:val="22"/>
      <w:sz w:val="22"/>
      <w:szCs w:val="22"/>
      <w:lang w:eastAsia="en-US"/>
    </w:rPr>
  </w:style>
  <w:style w:type="paragraph" w:customStyle="1" w:styleId="GeoZSPodnaslovStL4">
    <w:name w:val="GeoZS_PodnaslovSt_L4."/>
    <w:basedOn w:val="GeoZSPodnaslovStL1"/>
    <w:link w:val="GeoZSPodnaslovStL4Char"/>
    <w:semiHidden/>
    <w:qFormat/>
    <w:rsid w:val="00110F1A"/>
    <w:pPr>
      <w:pageBreakBefore w:val="0"/>
      <w:numPr>
        <w:ilvl w:val="3"/>
      </w:numPr>
      <w:pBdr>
        <w:left w:val="none" w:sz="0" w:space="0" w:color="auto"/>
      </w:pBdr>
      <w:outlineLvl w:val="2"/>
    </w:pPr>
  </w:style>
  <w:style w:type="paragraph" w:customStyle="1" w:styleId="GeoZSPodnaslovStL5">
    <w:name w:val="GeoZS_PodnaslovSt_L5."/>
    <w:basedOn w:val="GeoZSPodnaslovStL1"/>
    <w:semiHidden/>
    <w:qFormat/>
    <w:rsid w:val="00110F1A"/>
    <w:pPr>
      <w:pageBreakBefore w:val="0"/>
      <w:numPr>
        <w:ilvl w:val="4"/>
      </w:numPr>
      <w:pBdr>
        <w:left w:val="none" w:sz="0" w:space="0" w:color="auto"/>
      </w:pBdr>
      <w:outlineLvl w:val="2"/>
    </w:pPr>
  </w:style>
  <w:style w:type="paragraph" w:customStyle="1" w:styleId="GeoZSPodnaslovStL6">
    <w:name w:val="GeoZS_PodnaslovSt_L6."/>
    <w:basedOn w:val="GeoZSPodnaslovStL1"/>
    <w:semiHidden/>
    <w:qFormat/>
    <w:rsid w:val="00110F1A"/>
    <w:pPr>
      <w:pageBreakBefore w:val="0"/>
      <w:numPr>
        <w:ilvl w:val="5"/>
      </w:numPr>
      <w:pBdr>
        <w:left w:val="none" w:sz="0" w:space="0" w:color="auto"/>
      </w:pBdr>
      <w:outlineLvl w:val="2"/>
    </w:pPr>
  </w:style>
  <w:style w:type="paragraph" w:customStyle="1" w:styleId="GeoZSPodnaslovStL7">
    <w:name w:val="GeoZS_PodnaslovSt_L7."/>
    <w:basedOn w:val="GeoZSPodnaslovStL1"/>
    <w:semiHidden/>
    <w:qFormat/>
    <w:rsid w:val="00110F1A"/>
    <w:pPr>
      <w:pageBreakBefore w:val="0"/>
      <w:numPr>
        <w:ilvl w:val="6"/>
      </w:numPr>
      <w:pBdr>
        <w:left w:val="none" w:sz="0" w:space="0" w:color="auto"/>
      </w:pBdr>
      <w:outlineLvl w:val="2"/>
    </w:pPr>
  </w:style>
  <w:style w:type="paragraph" w:customStyle="1" w:styleId="GeoZSPodnaslovStL8">
    <w:name w:val="GeoZS_PodnaslovSt_L8."/>
    <w:basedOn w:val="GeoZSPodnaslovStL1"/>
    <w:semiHidden/>
    <w:qFormat/>
    <w:rsid w:val="00110F1A"/>
    <w:pPr>
      <w:pageBreakBefore w:val="0"/>
      <w:numPr>
        <w:ilvl w:val="7"/>
      </w:numPr>
      <w:pBdr>
        <w:left w:val="none" w:sz="0" w:space="0" w:color="auto"/>
      </w:pBdr>
      <w:outlineLvl w:val="2"/>
    </w:pPr>
  </w:style>
  <w:style w:type="paragraph" w:customStyle="1" w:styleId="GeoZSPodnaslovStL9">
    <w:name w:val="GeoZS_PodnaslovSt_L9."/>
    <w:basedOn w:val="GeoZSPodnaslovStL1"/>
    <w:next w:val="GeoZSVsebina"/>
    <w:semiHidden/>
    <w:qFormat/>
    <w:rsid w:val="00110F1A"/>
    <w:pPr>
      <w:pageBreakBefore w:val="0"/>
      <w:numPr>
        <w:ilvl w:val="8"/>
      </w:numPr>
      <w:pBdr>
        <w:left w:val="none" w:sz="0" w:space="0" w:color="auto"/>
      </w:pBdr>
      <w:outlineLvl w:val="2"/>
    </w:pPr>
  </w:style>
  <w:style w:type="character" w:customStyle="1" w:styleId="GeoZSPodnaslovStL4Char">
    <w:name w:val="GeoZS_PodnaslovSt_L4. Char"/>
    <w:basedOn w:val="Privzetapisavaodstavka"/>
    <w:link w:val="GeoZSPodnaslovStL4"/>
    <w:semiHidden/>
    <w:rsid w:val="00110F1A"/>
    <w:rPr>
      <w:rFonts w:asciiTheme="minorHAnsi" w:eastAsiaTheme="majorEastAsia" w:hAnsiTheme="minorHAnsi"/>
      <w:b/>
      <w:snapToGrid w:val="0"/>
      <w:kern w:val="22"/>
      <w:sz w:val="22"/>
      <w:szCs w:val="22"/>
      <w:lang w:eastAsia="en-US"/>
    </w:rPr>
  </w:style>
  <w:style w:type="table" w:styleId="Svetlosenenje">
    <w:name w:val="Light Shading"/>
    <w:basedOn w:val="Navadnatabela"/>
    <w:uiPriority w:val="60"/>
    <w:rsid w:val="0082141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aslov1">
    <w:name w:val="Naslov1"/>
    <w:basedOn w:val="Odstavekseznama"/>
    <w:qFormat/>
    <w:rsid w:val="00E4448F"/>
    <w:pPr>
      <w:numPr>
        <w:numId w:val="93"/>
      </w:numPr>
      <w:overflowPunct/>
      <w:autoSpaceDE/>
      <w:autoSpaceDN/>
      <w:adjustRightInd/>
      <w:spacing w:line="240" w:lineRule="auto"/>
      <w:contextualSpacing/>
      <w:textAlignment w:val="auto"/>
    </w:pPr>
    <w:rPr>
      <w:rFonts w:cs="Arial"/>
      <w:sz w:val="24"/>
      <w:szCs w:val="24"/>
      <w:lang w:val="sl-SI" w:eastAsia="sl-SI"/>
    </w:rPr>
  </w:style>
  <w:style w:type="paragraph" w:customStyle="1" w:styleId="Naslov2">
    <w:name w:val="Naslov2"/>
    <w:basedOn w:val="Odstavekseznama"/>
    <w:qFormat/>
    <w:rsid w:val="00E4448F"/>
    <w:pPr>
      <w:numPr>
        <w:ilvl w:val="1"/>
        <w:numId w:val="93"/>
      </w:numPr>
      <w:overflowPunct/>
      <w:autoSpaceDE/>
      <w:autoSpaceDN/>
      <w:adjustRightInd/>
      <w:spacing w:line="240" w:lineRule="auto"/>
      <w:ind w:left="578" w:hanging="578"/>
      <w:contextualSpacing/>
      <w:textAlignment w:val="auto"/>
    </w:pPr>
    <w:rPr>
      <w:rFonts w:cs="Arial"/>
      <w:szCs w:val="20"/>
      <w:lang w:val="sl-SI" w:eastAsia="sl-SI"/>
    </w:rPr>
  </w:style>
  <w:style w:type="paragraph" w:customStyle="1" w:styleId="Naslov31">
    <w:name w:val="Naslov3.1"/>
    <w:basedOn w:val="Navaden"/>
    <w:link w:val="Naslov31Znak"/>
    <w:qFormat/>
    <w:rsid w:val="00E4448F"/>
    <w:pPr>
      <w:numPr>
        <w:ilvl w:val="2"/>
        <w:numId w:val="93"/>
      </w:numPr>
      <w:overflowPunct/>
      <w:autoSpaceDE/>
      <w:autoSpaceDN/>
      <w:adjustRightInd/>
      <w:spacing w:line="240" w:lineRule="auto"/>
      <w:ind w:left="720"/>
      <w:contextualSpacing/>
      <w:textAlignment w:val="auto"/>
    </w:pPr>
    <w:rPr>
      <w:rFonts w:cs="Arial"/>
      <w:caps/>
      <w:szCs w:val="20"/>
    </w:rPr>
  </w:style>
  <w:style w:type="paragraph" w:customStyle="1" w:styleId="Naslov41">
    <w:name w:val="Naslov4.1"/>
    <w:basedOn w:val="Navaden"/>
    <w:qFormat/>
    <w:rsid w:val="00E4448F"/>
    <w:pPr>
      <w:numPr>
        <w:ilvl w:val="3"/>
        <w:numId w:val="93"/>
      </w:numPr>
      <w:overflowPunct/>
      <w:autoSpaceDE/>
      <w:autoSpaceDN/>
      <w:adjustRightInd/>
      <w:spacing w:line="240" w:lineRule="auto"/>
      <w:ind w:left="862" w:hanging="862"/>
      <w:contextualSpacing/>
      <w:textAlignment w:val="auto"/>
    </w:pPr>
    <w:rPr>
      <w:rFonts w:cs="Arial"/>
      <w:caps/>
      <w:szCs w:val="20"/>
    </w:rPr>
  </w:style>
  <w:style w:type="character" w:customStyle="1" w:styleId="Naslov31Znak">
    <w:name w:val="Naslov3.1 Znak"/>
    <w:basedOn w:val="Privzetapisavaodstavka"/>
    <w:link w:val="Naslov31"/>
    <w:rsid w:val="00E4448F"/>
    <w:rPr>
      <w:rFonts w:ascii="Arial" w:eastAsia="Times New Roman" w:hAnsi="Arial" w:cs="Arial"/>
      <w:caps/>
    </w:rPr>
  </w:style>
  <w:style w:type="character" w:customStyle="1" w:styleId="im">
    <w:name w:val="im"/>
    <w:basedOn w:val="Privzetapisavaodstavka"/>
    <w:rsid w:val="00E4448F"/>
  </w:style>
  <w:style w:type="paragraph" w:customStyle="1" w:styleId="Navadenbrezrazmikov">
    <w:name w:val="Navaden brez razmikov"/>
    <w:basedOn w:val="Navaden"/>
    <w:uiPriority w:val="99"/>
    <w:rsid w:val="00611726"/>
    <w:pPr>
      <w:overflowPunct/>
      <w:autoSpaceDE/>
      <w:autoSpaceDN/>
      <w:adjustRightInd/>
      <w:spacing w:line="264" w:lineRule="auto"/>
      <w:textAlignment w:val="auto"/>
    </w:pPr>
    <w:rPr>
      <w:rFonts w:cs="Arial"/>
      <w:sz w:val="24"/>
      <w:szCs w:val="24"/>
    </w:rPr>
  </w:style>
  <w:style w:type="table" w:customStyle="1" w:styleId="Tabelamrea2">
    <w:name w:val="Tabela – mreža2"/>
    <w:basedOn w:val="Navadnatabela"/>
    <w:next w:val="Tabelamrea"/>
    <w:uiPriority w:val="39"/>
    <w:rsid w:val="00BA13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sedilo">
    <w:name w:val="Besedilo"/>
    <w:basedOn w:val="Navaden"/>
    <w:rsid w:val="00250276"/>
    <w:pPr>
      <w:overflowPunct/>
      <w:autoSpaceDE/>
      <w:autoSpaceDN/>
      <w:adjustRightInd/>
      <w:spacing w:line="240" w:lineRule="auto"/>
      <w:textAlignment w:val="auto"/>
    </w:pPr>
    <w:rPr>
      <w:szCs w:val="20"/>
      <w:lang w:val="en-US" w:eastAsia="en-US"/>
    </w:rPr>
  </w:style>
  <w:style w:type="character" w:customStyle="1" w:styleId="TabelaZnakZnak">
    <w:name w:val="Tabela Znak Znak"/>
    <w:link w:val="Tabela"/>
    <w:rsid w:val="00264E6A"/>
    <w:rPr>
      <w:rFonts w:ascii="Arial Narrow" w:eastAsia="Times New Roman" w:hAnsi="Arial Narrow"/>
      <w:noProof/>
      <w:sz w:val="24"/>
      <w:szCs w:val="22"/>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semiHidden="0" w:uiPriority="0" w:unhideWhenUsed="0"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qFormat="1"/>
    <w:lsdException w:name="footnote reference" w:qFormat="1"/>
    <w:lsdException w:name="endnote reference" w:uiPriority="0"/>
    <w:lsdException w:name="List 3" w:uiPriority="0"/>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Document Map" w:uiPriority="0"/>
    <w:lsdException w:name="Outline List 2" w:uiPriority="0"/>
    <w:lsdException w:name="Table Simple 2" w:uiPriority="0"/>
    <w:lsdException w:name="Table Classic 3"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avaden">
    <w:name w:val="Normal"/>
    <w:qFormat/>
    <w:rsid w:val="004C5336"/>
    <w:pPr>
      <w:overflowPunct w:val="0"/>
      <w:autoSpaceDE w:val="0"/>
      <w:autoSpaceDN w:val="0"/>
      <w:adjustRightInd w:val="0"/>
      <w:spacing w:line="280" w:lineRule="atLeast"/>
      <w:jc w:val="both"/>
      <w:textAlignment w:val="baseline"/>
    </w:pPr>
    <w:rPr>
      <w:rFonts w:ascii="Arial" w:eastAsia="Times New Roman" w:hAnsi="Arial"/>
      <w:szCs w:val="16"/>
    </w:rPr>
  </w:style>
  <w:style w:type="paragraph" w:styleId="Naslov10">
    <w:name w:val="heading 1"/>
    <w:aliases w:val="Naslov 1 nuv,Znak,PVO-1"/>
    <w:basedOn w:val="Navaden"/>
    <w:next w:val="Navaden"/>
    <w:link w:val="Naslov1Znak"/>
    <w:qFormat/>
    <w:rsid w:val="003C7C5E"/>
    <w:pPr>
      <w:keepNext/>
      <w:numPr>
        <w:numId w:val="121"/>
      </w:numPr>
      <w:tabs>
        <w:tab w:val="left" w:pos="567"/>
      </w:tabs>
      <w:spacing w:before="240" w:after="240"/>
      <w:mirrorIndents/>
      <w:outlineLvl w:val="0"/>
    </w:pPr>
    <w:rPr>
      <w:b/>
      <w:bCs/>
      <w:kern w:val="32"/>
      <w:sz w:val="28"/>
      <w:szCs w:val="28"/>
      <w:lang w:val="x-none" w:eastAsia="x-none"/>
    </w:rPr>
  </w:style>
  <w:style w:type="paragraph" w:styleId="Naslov20">
    <w:name w:val="heading 2"/>
    <w:aliases w:val="naslov nuv 2,PVO-2"/>
    <w:basedOn w:val="Navaden"/>
    <w:next w:val="Navaden"/>
    <w:link w:val="Naslov2Znak"/>
    <w:unhideWhenUsed/>
    <w:qFormat/>
    <w:rsid w:val="003C7C5E"/>
    <w:pPr>
      <w:keepNext/>
      <w:numPr>
        <w:ilvl w:val="1"/>
        <w:numId w:val="121"/>
      </w:numPr>
      <w:tabs>
        <w:tab w:val="center" w:pos="709"/>
      </w:tabs>
      <w:spacing w:before="480" w:after="240"/>
      <w:jc w:val="left"/>
      <w:outlineLvl w:val="1"/>
    </w:pPr>
    <w:rPr>
      <w:b/>
      <w:bCs/>
      <w:i/>
      <w:iCs/>
      <w:sz w:val="24"/>
      <w:szCs w:val="28"/>
      <w:lang w:val="x-none" w:eastAsia="x-none"/>
    </w:rPr>
  </w:style>
  <w:style w:type="paragraph" w:styleId="Naslov3">
    <w:name w:val="heading 3"/>
    <w:aliases w:val="3 nuv,Pvo-3"/>
    <w:basedOn w:val="Navaden"/>
    <w:next w:val="Navaden"/>
    <w:link w:val="Naslov3Znak"/>
    <w:autoRedefine/>
    <w:unhideWhenUsed/>
    <w:qFormat/>
    <w:rsid w:val="00FE5E55"/>
    <w:pPr>
      <w:keepNext/>
      <w:numPr>
        <w:ilvl w:val="2"/>
        <w:numId w:val="121"/>
      </w:numPr>
      <w:spacing w:before="240" w:after="120" w:line="240" w:lineRule="auto"/>
      <w:outlineLvl w:val="2"/>
    </w:pPr>
    <w:rPr>
      <w:b/>
      <w:bCs/>
      <w:sz w:val="22"/>
      <w:szCs w:val="26"/>
      <w:lang w:val="x-none" w:eastAsia="x-none"/>
    </w:rPr>
  </w:style>
  <w:style w:type="paragraph" w:styleId="Naslov4">
    <w:name w:val="heading 4"/>
    <w:aliases w:val="nuv 2, Znak,Znak3"/>
    <w:basedOn w:val="Navaden"/>
    <w:link w:val="Naslov4Znak"/>
    <w:qFormat/>
    <w:rsid w:val="00424902"/>
    <w:pPr>
      <w:numPr>
        <w:ilvl w:val="3"/>
        <w:numId w:val="121"/>
      </w:numPr>
      <w:tabs>
        <w:tab w:val="center" w:pos="1134"/>
      </w:tabs>
      <w:overflowPunct/>
      <w:autoSpaceDE/>
      <w:autoSpaceDN/>
      <w:adjustRightInd/>
      <w:spacing w:before="100" w:beforeAutospacing="1" w:after="100" w:afterAutospacing="1"/>
      <w:jc w:val="left"/>
      <w:textAlignment w:val="auto"/>
      <w:outlineLvl w:val="3"/>
    </w:pPr>
    <w:rPr>
      <w:b/>
      <w:bCs/>
      <w:color w:val="000000"/>
      <w:szCs w:val="27"/>
      <w:lang w:val="x-none" w:eastAsia="x-none"/>
    </w:rPr>
  </w:style>
  <w:style w:type="paragraph" w:styleId="Naslov5">
    <w:name w:val="heading 5"/>
    <w:aliases w:val="5 nuv"/>
    <w:basedOn w:val="Navaden"/>
    <w:next w:val="Navaden"/>
    <w:link w:val="Naslov5Znak"/>
    <w:uiPriority w:val="99"/>
    <w:unhideWhenUsed/>
    <w:qFormat/>
    <w:rsid w:val="009F10BB"/>
    <w:pPr>
      <w:keepNext/>
      <w:keepLines/>
      <w:numPr>
        <w:ilvl w:val="4"/>
        <w:numId w:val="121"/>
      </w:numPr>
      <w:tabs>
        <w:tab w:val="center" w:pos="1134"/>
      </w:tabs>
      <w:overflowPunct/>
      <w:autoSpaceDE/>
      <w:autoSpaceDN/>
      <w:adjustRightInd/>
      <w:spacing w:before="240" w:after="240"/>
      <w:jc w:val="left"/>
      <w:textAlignment w:val="auto"/>
      <w:outlineLvl w:val="4"/>
    </w:pPr>
    <w:rPr>
      <w:b/>
      <w:szCs w:val="22"/>
      <w:lang w:val="x-none" w:eastAsia="ja-JP"/>
    </w:rPr>
  </w:style>
  <w:style w:type="paragraph" w:styleId="Naslov6">
    <w:name w:val="heading 6"/>
    <w:basedOn w:val="Navaden"/>
    <w:next w:val="Navaden"/>
    <w:link w:val="Naslov6Znak"/>
    <w:unhideWhenUsed/>
    <w:qFormat/>
    <w:rsid w:val="00342A40"/>
    <w:pPr>
      <w:keepNext/>
      <w:keepLines/>
      <w:numPr>
        <w:ilvl w:val="5"/>
        <w:numId w:val="121"/>
      </w:numPr>
      <w:overflowPunct/>
      <w:autoSpaceDE/>
      <w:autoSpaceDN/>
      <w:adjustRightInd/>
      <w:spacing w:before="200"/>
      <w:jc w:val="left"/>
      <w:textAlignment w:val="auto"/>
      <w:outlineLvl w:val="5"/>
    </w:pPr>
    <w:rPr>
      <w:rFonts w:ascii="Cambria" w:hAnsi="Cambria"/>
      <w:i/>
      <w:iCs/>
      <w:color w:val="243F60"/>
      <w:sz w:val="22"/>
      <w:szCs w:val="22"/>
      <w:lang w:val="x-none" w:eastAsia="ja-JP"/>
    </w:rPr>
  </w:style>
  <w:style w:type="paragraph" w:styleId="Naslov7">
    <w:name w:val="heading 7"/>
    <w:basedOn w:val="Navaden"/>
    <w:next w:val="Navaden"/>
    <w:link w:val="Naslov7Znak"/>
    <w:unhideWhenUsed/>
    <w:qFormat/>
    <w:rsid w:val="00342A40"/>
    <w:pPr>
      <w:keepNext/>
      <w:keepLines/>
      <w:numPr>
        <w:ilvl w:val="6"/>
        <w:numId w:val="121"/>
      </w:numPr>
      <w:overflowPunct/>
      <w:autoSpaceDE/>
      <w:autoSpaceDN/>
      <w:adjustRightInd/>
      <w:spacing w:before="200"/>
      <w:jc w:val="left"/>
      <w:textAlignment w:val="auto"/>
      <w:outlineLvl w:val="6"/>
    </w:pPr>
    <w:rPr>
      <w:rFonts w:ascii="Cambria" w:hAnsi="Cambria"/>
      <w:i/>
      <w:iCs/>
      <w:color w:val="404040"/>
      <w:sz w:val="22"/>
      <w:szCs w:val="22"/>
      <w:lang w:val="x-none" w:eastAsia="ja-JP"/>
    </w:rPr>
  </w:style>
  <w:style w:type="paragraph" w:styleId="Naslov8">
    <w:name w:val="heading 8"/>
    <w:basedOn w:val="Navaden"/>
    <w:next w:val="Navaden"/>
    <w:link w:val="Naslov8Znak"/>
    <w:unhideWhenUsed/>
    <w:qFormat/>
    <w:rsid w:val="00342A40"/>
    <w:pPr>
      <w:keepNext/>
      <w:keepLines/>
      <w:numPr>
        <w:ilvl w:val="7"/>
        <w:numId w:val="121"/>
      </w:numPr>
      <w:overflowPunct/>
      <w:autoSpaceDE/>
      <w:autoSpaceDN/>
      <w:adjustRightInd/>
      <w:spacing w:before="200"/>
      <w:jc w:val="left"/>
      <w:textAlignment w:val="auto"/>
      <w:outlineLvl w:val="7"/>
    </w:pPr>
    <w:rPr>
      <w:rFonts w:ascii="Cambria" w:hAnsi="Cambria"/>
      <w:color w:val="4F81BD"/>
      <w:szCs w:val="20"/>
      <w:lang w:val="x-none" w:eastAsia="ja-JP"/>
    </w:rPr>
  </w:style>
  <w:style w:type="paragraph" w:styleId="Naslov9">
    <w:name w:val="heading 9"/>
    <w:basedOn w:val="Navaden"/>
    <w:next w:val="Navaden"/>
    <w:link w:val="Naslov9Znak"/>
    <w:unhideWhenUsed/>
    <w:qFormat/>
    <w:rsid w:val="00342A40"/>
    <w:pPr>
      <w:keepNext/>
      <w:keepLines/>
      <w:numPr>
        <w:ilvl w:val="8"/>
        <w:numId w:val="121"/>
      </w:numPr>
      <w:overflowPunct/>
      <w:autoSpaceDE/>
      <w:autoSpaceDN/>
      <w:adjustRightInd/>
      <w:spacing w:before="200"/>
      <w:jc w:val="left"/>
      <w:textAlignment w:val="auto"/>
      <w:outlineLvl w:val="8"/>
    </w:pPr>
    <w:rPr>
      <w:rFonts w:ascii="Cambria" w:hAnsi="Cambria"/>
      <w:i/>
      <w:iCs/>
      <w:color w:val="404040"/>
      <w:szCs w:val="20"/>
      <w:lang w:val="x-none" w:eastAsia="ja-JP"/>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Alinejazarkovnotoko">
    <w:name w:val="Alineja za črkovno točko"/>
    <w:basedOn w:val="Alineazatevilnotoko"/>
    <w:link w:val="AlinejazarkovnotokoZnak"/>
    <w:qFormat/>
    <w:rsid w:val="0019232A"/>
    <w:pPr>
      <w:ind w:left="454"/>
    </w:pPr>
  </w:style>
  <w:style w:type="paragraph" w:styleId="Noga">
    <w:name w:val="footer"/>
    <w:aliases w:val="Footer1"/>
    <w:basedOn w:val="Navaden"/>
    <w:link w:val="NogaZnak"/>
    <w:uiPriority w:val="99"/>
    <w:unhideWhenUsed/>
    <w:rsid w:val="00653C19"/>
    <w:pPr>
      <w:tabs>
        <w:tab w:val="center" w:pos="4536"/>
        <w:tab w:val="right" w:pos="9072"/>
      </w:tabs>
    </w:pPr>
    <w:rPr>
      <w:rFonts w:ascii="Times New Roman" w:eastAsia="Calibri" w:hAnsi="Times New Roman"/>
      <w:szCs w:val="20"/>
      <w:lang w:val="x-none" w:eastAsia="x-none"/>
    </w:rPr>
  </w:style>
  <w:style w:type="character" w:customStyle="1" w:styleId="NogaZnak">
    <w:name w:val="Noga Znak"/>
    <w:aliases w:val="Footer1 Znak"/>
    <w:link w:val="Noga"/>
    <w:uiPriority w:val="99"/>
    <w:rsid w:val="00653C19"/>
    <w:rPr>
      <w:rFonts w:ascii="Times New Roman" w:hAnsi="Times New Roman"/>
    </w:rPr>
  </w:style>
  <w:style w:type="paragraph" w:styleId="Glava">
    <w:name w:val="header"/>
    <w:aliases w:val="Header-PR"/>
    <w:basedOn w:val="Navaden"/>
    <w:link w:val="GlavaZnak"/>
    <w:uiPriority w:val="99"/>
    <w:rsid w:val="00443548"/>
    <w:pPr>
      <w:tabs>
        <w:tab w:val="center" w:pos="4536"/>
        <w:tab w:val="right" w:pos="9072"/>
      </w:tabs>
    </w:pPr>
    <w:rPr>
      <w:sz w:val="16"/>
      <w:lang w:val="x-none"/>
    </w:rPr>
  </w:style>
  <w:style w:type="character" w:customStyle="1" w:styleId="GlavaZnak">
    <w:name w:val="Glava Znak"/>
    <w:aliases w:val="Header-PR Znak"/>
    <w:link w:val="Glava"/>
    <w:uiPriority w:val="99"/>
    <w:rsid w:val="00443548"/>
    <w:rPr>
      <w:rFonts w:ascii="Arial" w:eastAsia="Times New Roman" w:hAnsi="Arial" w:cs="Times New Roman"/>
      <w:sz w:val="16"/>
      <w:szCs w:val="16"/>
      <w:lang w:eastAsia="sl-SI"/>
    </w:rPr>
  </w:style>
  <w:style w:type="paragraph" w:customStyle="1" w:styleId="Vrstapredpisa">
    <w:name w:val="Vrsta predpisa"/>
    <w:basedOn w:val="Navaden"/>
    <w:link w:val="VrstapredpisaZnak"/>
    <w:qFormat/>
    <w:rsid w:val="00A40E63"/>
    <w:pPr>
      <w:suppressAutoHyphens/>
      <w:spacing w:before="480"/>
      <w:jc w:val="center"/>
    </w:pPr>
    <w:rPr>
      <w:b/>
      <w:bCs/>
      <w:color w:val="000000"/>
      <w:spacing w:val="40"/>
      <w:sz w:val="22"/>
      <w:szCs w:val="22"/>
      <w:lang w:val="x-none" w:eastAsia="x-none"/>
    </w:rPr>
  </w:style>
  <w:style w:type="paragraph" w:customStyle="1" w:styleId="Naslovpredpisa">
    <w:name w:val="Naslov_predpisa"/>
    <w:basedOn w:val="Navaden"/>
    <w:link w:val="NaslovpredpisaZnak"/>
    <w:qFormat/>
    <w:rsid w:val="00FA628D"/>
    <w:pPr>
      <w:suppressAutoHyphens/>
      <w:jc w:val="center"/>
    </w:pPr>
    <w:rPr>
      <w:b/>
      <w:sz w:val="22"/>
      <w:szCs w:val="22"/>
      <w:lang w:val="x-none" w:eastAsia="x-none"/>
    </w:rPr>
  </w:style>
  <w:style w:type="character" w:customStyle="1" w:styleId="VrstapredpisaZnak">
    <w:name w:val="Vrsta predpisa Znak"/>
    <w:link w:val="Vrstapredpisa"/>
    <w:rsid w:val="00A40E63"/>
    <w:rPr>
      <w:rFonts w:ascii="Arial" w:eastAsia="Times New Roman" w:hAnsi="Arial" w:cs="Arial"/>
      <w:b/>
      <w:bCs/>
      <w:color w:val="000000"/>
      <w:spacing w:val="40"/>
      <w:sz w:val="22"/>
      <w:szCs w:val="22"/>
    </w:rPr>
  </w:style>
  <w:style w:type="paragraph" w:customStyle="1" w:styleId="Poglavje">
    <w:name w:val="Poglavje"/>
    <w:basedOn w:val="Navaden"/>
    <w:qFormat/>
    <w:rsid w:val="00625CE5"/>
    <w:pPr>
      <w:suppressAutoHyphens/>
      <w:spacing w:before="480"/>
      <w:jc w:val="center"/>
    </w:pPr>
    <w:rPr>
      <w:rFonts w:cs="Arial"/>
      <w:szCs w:val="22"/>
    </w:rPr>
  </w:style>
  <w:style w:type="character" w:customStyle="1" w:styleId="NaslovpredpisaZnak">
    <w:name w:val="Naslov_predpisa Znak"/>
    <w:link w:val="Naslovpredpisa"/>
    <w:rsid w:val="00A40E63"/>
    <w:rPr>
      <w:rFonts w:ascii="Arial" w:eastAsia="Times New Roman" w:hAnsi="Arial" w:cs="Arial"/>
      <w:b/>
      <w:sz w:val="22"/>
      <w:szCs w:val="22"/>
    </w:rPr>
  </w:style>
  <w:style w:type="paragraph" w:customStyle="1" w:styleId="nuvbrez">
    <w:name w:val="nuv brez"/>
    <w:basedOn w:val="Navaden"/>
    <w:uiPriority w:val="99"/>
    <w:qFormat/>
    <w:rsid w:val="00D75325"/>
    <w:pPr>
      <w:overflowPunct/>
      <w:autoSpaceDE/>
      <w:autoSpaceDN/>
      <w:adjustRightInd/>
      <w:spacing w:line="264" w:lineRule="auto"/>
      <w:textAlignment w:val="auto"/>
    </w:pPr>
    <w:rPr>
      <w:rFonts w:cs="Arial"/>
      <w:b/>
      <w:sz w:val="24"/>
      <w:szCs w:val="22"/>
      <w:lang w:eastAsia="ja-JP"/>
    </w:rPr>
  </w:style>
  <w:style w:type="paragraph" w:styleId="Besedilooblaka">
    <w:name w:val="Balloon Text"/>
    <w:basedOn w:val="Navaden"/>
    <w:link w:val="BesedilooblakaZnak"/>
    <w:uiPriority w:val="99"/>
    <w:semiHidden/>
    <w:rsid w:val="001A77AE"/>
    <w:rPr>
      <w:rFonts w:ascii="Tahoma" w:hAnsi="Tahoma"/>
      <w:sz w:val="16"/>
      <w:lang w:val="x-none" w:eastAsia="x-none"/>
    </w:rPr>
  </w:style>
  <w:style w:type="numbering" w:customStyle="1" w:styleId="NoList1">
    <w:name w:val="No List1"/>
    <w:next w:val="Brezseznama"/>
    <w:uiPriority w:val="99"/>
    <w:semiHidden/>
    <w:unhideWhenUsed/>
    <w:rsid w:val="00BA6CBA"/>
  </w:style>
  <w:style w:type="paragraph" w:customStyle="1" w:styleId="Odstavek">
    <w:name w:val="Odstavek"/>
    <w:basedOn w:val="Navaden"/>
    <w:link w:val="OdstavekZnak"/>
    <w:qFormat/>
    <w:rsid w:val="00AC6273"/>
    <w:pPr>
      <w:spacing w:before="240"/>
      <w:ind w:firstLine="1021"/>
    </w:pPr>
    <w:rPr>
      <w:sz w:val="22"/>
      <w:szCs w:val="22"/>
      <w:lang w:val="x-none" w:eastAsia="x-none"/>
    </w:rPr>
  </w:style>
  <w:style w:type="paragraph" w:customStyle="1" w:styleId="Pravnapodlaga">
    <w:name w:val="Pravna podlaga"/>
    <w:basedOn w:val="Odstavek"/>
    <w:link w:val="PravnapodlagaZnak"/>
    <w:qFormat/>
    <w:rsid w:val="00357591"/>
    <w:pPr>
      <w:spacing w:before="480"/>
    </w:pPr>
  </w:style>
  <w:style w:type="character" w:customStyle="1" w:styleId="OdstavekZnak">
    <w:name w:val="Odstavek Znak"/>
    <w:link w:val="Odstavek"/>
    <w:rsid w:val="00AC6273"/>
    <w:rPr>
      <w:rFonts w:ascii="Arial" w:eastAsia="Times New Roman" w:hAnsi="Arial" w:cs="Arial"/>
      <w:sz w:val="22"/>
      <w:szCs w:val="22"/>
    </w:rPr>
  </w:style>
  <w:style w:type="character" w:customStyle="1" w:styleId="AlinejazarkovnotokoZnak">
    <w:name w:val="Alineja za črkovno točko Znak"/>
    <w:link w:val="Alinejazarkovnotoko"/>
    <w:rsid w:val="0019232A"/>
    <w:rPr>
      <w:rFonts w:ascii="Arial" w:eastAsia="Times New Roman" w:hAnsi="Arial"/>
      <w:sz w:val="22"/>
      <w:szCs w:val="22"/>
      <w:lang w:val="x-none" w:eastAsia="x-none"/>
    </w:rPr>
  </w:style>
  <w:style w:type="paragraph" w:customStyle="1" w:styleId="Pa0">
    <w:name w:val="Pa0"/>
    <w:basedOn w:val="Navaden"/>
    <w:next w:val="Navaden"/>
    <w:uiPriority w:val="99"/>
    <w:rsid w:val="00357591"/>
    <w:pPr>
      <w:overflowPunct/>
      <w:spacing w:line="201" w:lineRule="atLeast"/>
      <w:jc w:val="left"/>
      <w:textAlignment w:val="auto"/>
    </w:pPr>
    <w:rPr>
      <w:rFonts w:eastAsia="Calibri" w:cs="Arial"/>
      <w:sz w:val="24"/>
      <w:szCs w:val="24"/>
      <w:lang w:eastAsia="en-US"/>
    </w:rPr>
  </w:style>
  <w:style w:type="paragraph" w:customStyle="1" w:styleId="atekst">
    <w:name w:val="a_tekst"/>
    <w:rsid w:val="00493E8B"/>
    <w:pPr>
      <w:overflowPunct w:val="0"/>
      <w:autoSpaceDE w:val="0"/>
      <w:autoSpaceDN w:val="0"/>
      <w:adjustRightInd w:val="0"/>
      <w:spacing w:line="200" w:lineRule="exact"/>
      <w:ind w:firstLine="397"/>
      <w:jc w:val="both"/>
      <w:textAlignment w:val="baseline"/>
    </w:pPr>
    <w:rPr>
      <w:rFonts w:ascii="Arial" w:eastAsia="Times New Roman" w:hAnsi="Arial" w:cs="Arial"/>
      <w:sz w:val="17"/>
      <w:szCs w:val="17"/>
    </w:rPr>
  </w:style>
  <w:style w:type="paragraph" w:customStyle="1" w:styleId="aodloktekst">
    <w:name w:val="a_odloktekst"/>
    <w:basedOn w:val="atekst"/>
    <w:next w:val="atekst"/>
    <w:rsid w:val="00493E8B"/>
    <w:pPr>
      <w:suppressAutoHyphens/>
      <w:spacing w:before="60" w:line="220" w:lineRule="exact"/>
      <w:ind w:firstLine="0"/>
      <w:jc w:val="center"/>
    </w:pPr>
    <w:rPr>
      <w:b/>
      <w:bCs/>
      <w:color w:val="0000FF"/>
      <w:sz w:val="20"/>
      <w:szCs w:val="20"/>
    </w:rPr>
  </w:style>
  <w:style w:type="paragraph" w:customStyle="1" w:styleId="aodlok">
    <w:name w:val="a_odlok"/>
    <w:basedOn w:val="atekst"/>
    <w:next w:val="aodloktekst"/>
    <w:rsid w:val="00493E8B"/>
    <w:pPr>
      <w:suppressAutoHyphens/>
      <w:spacing w:before="240" w:line="220" w:lineRule="exact"/>
      <w:ind w:firstLine="0"/>
      <w:jc w:val="center"/>
    </w:pPr>
    <w:rPr>
      <w:b/>
      <w:bCs/>
      <w:color w:val="0000FF"/>
      <w:sz w:val="20"/>
      <w:szCs w:val="20"/>
    </w:rPr>
  </w:style>
  <w:style w:type="paragraph" w:customStyle="1" w:styleId="anaslovsv">
    <w:name w:val="a_naslovsv"/>
    <w:basedOn w:val="atekst"/>
    <w:next w:val="atekst"/>
    <w:rsid w:val="00493E8B"/>
    <w:pPr>
      <w:suppressAutoHyphens/>
      <w:spacing w:before="240"/>
      <w:ind w:firstLine="0"/>
      <w:jc w:val="center"/>
      <w:outlineLvl w:val="3"/>
    </w:pPr>
  </w:style>
  <w:style w:type="paragraph" w:customStyle="1" w:styleId="anaslovpk">
    <w:name w:val="a_naslovpk"/>
    <w:basedOn w:val="atekst"/>
    <w:next w:val="atekst"/>
    <w:rsid w:val="00493E8B"/>
    <w:pPr>
      <w:suppressAutoHyphens/>
      <w:spacing w:before="180"/>
      <w:ind w:firstLine="0"/>
      <w:jc w:val="center"/>
      <w:outlineLvl w:val="3"/>
    </w:pPr>
  </w:style>
  <w:style w:type="paragraph" w:customStyle="1" w:styleId="Oddelek">
    <w:name w:val="Oddelek"/>
    <w:basedOn w:val="Navaden"/>
    <w:link w:val="OddelekZnak1"/>
    <w:qFormat/>
    <w:rsid w:val="00357591"/>
    <w:pPr>
      <w:tabs>
        <w:tab w:val="left" w:pos="540"/>
        <w:tab w:val="left" w:pos="900"/>
      </w:tabs>
      <w:spacing w:before="480"/>
      <w:jc w:val="center"/>
    </w:pPr>
    <w:rPr>
      <w:sz w:val="22"/>
      <w:szCs w:val="22"/>
      <w:lang w:val="x-none" w:eastAsia="x-none"/>
    </w:rPr>
  </w:style>
  <w:style w:type="paragraph" w:customStyle="1" w:styleId="Odsek">
    <w:name w:val="Odsek"/>
    <w:basedOn w:val="Navaden"/>
    <w:link w:val="OdsekZnak"/>
    <w:qFormat/>
    <w:rsid w:val="00357591"/>
    <w:pPr>
      <w:tabs>
        <w:tab w:val="left" w:pos="567"/>
        <w:tab w:val="left" w:pos="993"/>
      </w:tabs>
      <w:spacing w:before="480" w:line="240" w:lineRule="atLeast"/>
      <w:jc w:val="center"/>
    </w:pPr>
    <w:rPr>
      <w:sz w:val="22"/>
      <w:szCs w:val="22"/>
      <w:lang w:val="x-none" w:eastAsia="x-none"/>
    </w:rPr>
  </w:style>
  <w:style w:type="paragraph" w:customStyle="1" w:styleId="Del">
    <w:name w:val="Del"/>
    <w:basedOn w:val="Poglavje"/>
    <w:link w:val="DelZnak"/>
    <w:qFormat/>
    <w:rsid w:val="00357591"/>
    <w:rPr>
      <w:rFonts w:cs="Times New Roman"/>
      <w:sz w:val="22"/>
      <w:lang w:val="x-none" w:eastAsia="x-none"/>
    </w:rPr>
  </w:style>
  <w:style w:type="character" w:customStyle="1" w:styleId="OddelekZnak1">
    <w:name w:val="Oddelek Znak1"/>
    <w:link w:val="Oddelek"/>
    <w:rsid w:val="00357591"/>
    <w:rPr>
      <w:rFonts w:ascii="Arial" w:eastAsia="Times New Roman" w:hAnsi="Arial" w:cs="Arial"/>
      <w:sz w:val="22"/>
      <w:szCs w:val="22"/>
    </w:rPr>
  </w:style>
  <w:style w:type="character" w:customStyle="1" w:styleId="OdsekZnak">
    <w:name w:val="Odsek Znak"/>
    <w:link w:val="Odsek"/>
    <w:rsid w:val="00357591"/>
    <w:rPr>
      <w:rFonts w:ascii="Arial" w:eastAsia="Times New Roman" w:hAnsi="Arial" w:cs="Arial"/>
      <w:sz w:val="22"/>
      <w:szCs w:val="22"/>
    </w:rPr>
  </w:style>
  <w:style w:type="paragraph" w:customStyle="1" w:styleId="Naslovnadlenom">
    <w:name w:val="Naslov nad členom"/>
    <w:basedOn w:val="Navaden"/>
    <w:link w:val="NaslovnadlenomZnak"/>
    <w:qFormat/>
    <w:rsid w:val="00357591"/>
    <w:pPr>
      <w:tabs>
        <w:tab w:val="left" w:pos="540"/>
        <w:tab w:val="left" w:pos="900"/>
      </w:tabs>
      <w:spacing w:before="480"/>
      <w:jc w:val="center"/>
    </w:pPr>
    <w:rPr>
      <w:b/>
      <w:sz w:val="22"/>
      <w:szCs w:val="22"/>
      <w:lang w:val="x-none" w:eastAsia="x-none"/>
    </w:rPr>
  </w:style>
  <w:style w:type="character" w:customStyle="1" w:styleId="DelZnak">
    <w:name w:val="Del Znak"/>
    <w:link w:val="Del"/>
    <w:rsid w:val="00357591"/>
    <w:rPr>
      <w:rFonts w:ascii="Arial" w:eastAsia="Times New Roman" w:hAnsi="Arial" w:cs="Arial"/>
      <w:sz w:val="22"/>
      <w:szCs w:val="22"/>
    </w:rPr>
  </w:style>
  <w:style w:type="character" w:customStyle="1" w:styleId="NaslovnadlenomZnak">
    <w:name w:val="Naslov nad členom Znak"/>
    <w:link w:val="Naslovnadlenom"/>
    <w:rsid w:val="00357591"/>
    <w:rPr>
      <w:rFonts w:ascii="Arial" w:eastAsia="Times New Roman" w:hAnsi="Arial" w:cs="Arial"/>
      <w:b/>
      <w:sz w:val="22"/>
      <w:szCs w:val="22"/>
    </w:rPr>
  </w:style>
  <w:style w:type="paragraph" w:customStyle="1" w:styleId="aclen">
    <w:name w:val="a_clen"/>
    <w:basedOn w:val="atekst"/>
    <w:next w:val="atekst"/>
    <w:rsid w:val="00493E8B"/>
    <w:pPr>
      <w:suppressAutoHyphens/>
      <w:spacing w:before="120" w:after="60"/>
      <w:ind w:firstLine="0"/>
      <w:jc w:val="center"/>
      <w:outlineLvl w:val="4"/>
    </w:pPr>
  </w:style>
  <w:style w:type="paragraph" w:customStyle="1" w:styleId="aclenpodnaslov">
    <w:name w:val="a_clenpodnaslov"/>
    <w:basedOn w:val="aclen"/>
    <w:next w:val="atekst"/>
    <w:rsid w:val="00493E8B"/>
    <w:pPr>
      <w:spacing w:before="0"/>
      <w:outlineLvl w:val="9"/>
    </w:pPr>
  </w:style>
  <w:style w:type="paragraph" w:customStyle="1" w:styleId="apodpis">
    <w:name w:val="a_podpis"/>
    <w:basedOn w:val="atekst"/>
    <w:rsid w:val="00493E8B"/>
    <w:pPr>
      <w:suppressAutoHyphens/>
      <w:ind w:left="1134" w:firstLine="0"/>
      <w:jc w:val="center"/>
    </w:pPr>
  </w:style>
  <w:style w:type="paragraph" w:customStyle="1" w:styleId="Nazivpodpisnika">
    <w:name w:val="Naziv podpisnika"/>
    <w:basedOn w:val="Navaden"/>
    <w:link w:val="NazivpodpisnikaZnak"/>
    <w:rsid w:val="006D65A2"/>
    <w:pPr>
      <w:tabs>
        <w:tab w:val="left" w:pos="6521"/>
      </w:tabs>
      <w:ind w:left="5670"/>
    </w:pPr>
    <w:rPr>
      <w:sz w:val="22"/>
      <w:szCs w:val="22"/>
      <w:lang w:val="x-none" w:eastAsia="x-none"/>
    </w:rPr>
  </w:style>
  <w:style w:type="paragraph" w:customStyle="1" w:styleId="atekstdat">
    <w:name w:val="a_tekst_dat"/>
    <w:basedOn w:val="atekst"/>
    <w:uiPriority w:val="99"/>
    <w:rsid w:val="00493E8B"/>
    <w:rPr>
      <w:b/>
      <w:color w:val="FF0000"/>
    </w:rPr>
  </w:style>
  <w:style w:type="character" w:customStyle="1" w:styleId="NazivpodpisnikaZnak">
    <w:name w:val="Naziv podpisnika Znak"/>
    <w:link w:val="Nazivpodpisnika"/>
    <w:rsid w:val="006D65A2"/>
    <w:rPr>
      <w:rFonts w:ascii="Arial" w:eastAsia="Times New Roman" w:hAnsi="Arial" w:cs="Arial"/>
      <w:sz w:val="22"/>
      <w:szCs w:val="22"/>
    </w:rPr>
  </w:style>
  <w:style w:type="paragraph" w:customStyle="1" w:styleId="rkovnatokazaodstavkom">
    <w:name w:val="Črkovna točka_za odstavkom"/>
    <w:basedOn w:val="Navaden"/>
    <w:link w:val="rkovnatokazaodstavkomZnak"/>
    <w:qFormat/>
    <w:rsid w:val="00FA628D"/>
    <w:rPr>
      <w:sz w:val="22"/>
      <w:szCs w:val="22"/>
      <w:lang w:val="x-none" w:eastAsia="x-none"/>
    </w:rPr>
  </w:style>
  <w:style w:type="paragraph" w:customStyle="1" w:styleId="Alineazatevilnotoko">
    <w:name w:val="Alinea za številčno točko"/>
    <w:basedOn w:val="Alineazaodstavkom"/>
    <w:link w:val="AlineazatevilnotokoZnak"/>
    <w:qFormat/>
    <w:rsid w:val="00C71C33"/>
    <w:pPr>
      <w:ind w:left="567" w:hanging="170"/>
    </w:pPr>
  </w:style>
  <w:style w:type="character" w:customStyle="1" w:styleId="rkovnatokazaodstavkomZnak">
    <w:name w:val="Črkovna točka_za odstavkom Znak"/>
    <w:link w:val="rkovnatokazaodstavkom"/>
    <w:rsid w:val="00FA628D"/>
    <w:rPr>
      <w:rFonts w:ascii="Arial" w:eastAsia="Times New Roman" w:hAnsi="Arial"/>
      <w:sz w:val="22"/>
      <w:szCs w:val="22"/>
      <w:lang w:val="x-none" w:eastAsia="x-none"/>
    </w:rPr>
  </w:style>
  <w:style w:type="paragraph" w:customStyle="1" w:styleId="tevilnatoka">
    <w:name w:val="Številčna točka"/>
    <w:basedOn w:val="Navaden"/>
    <w:link w:val="tevilnatokaZnak"/>
    <w:qFormat/>
    <w:rsid w:val="006D65A2"/>
    <w:pPr>
      <w:numPr>
        <w:numId w:val="4"/>
      </w:numPr>
      <w:tabs>
        <w:tab w:val="left" w:pos="540"/>
        <w:tab w:val="left" w:pos="900"/>
      </w:tabs>
      <w:overflowPunct/>
      <w:autoSpaceDE/>
      <w:autoSpaceDN/>
      <w:adjustRightInd/>
      <w:textAlignment w:val="auto"/>
    </w:pPr>
    <w:rPr>
      <w:sz w:val="22"/>
      <w:szCs w:val="22"/>
      <w:lang w:val="x-none" w:eastAsia="x-none"/>
    </w:rPr>
  </w:style>
  <w:style w:type="character" w:customStyle="1" w:styleId="AlineazatevilnotokoZnak">
    <w:name w:val="Alinea za številčno točko Znak"/>
    <w:link w:val="Alineazatevilnotoko"/>
    <w:rsid w:val="00C71C33"/>
    <w:rPr>
      <w:rFonts w:ascii="Arial" w:eastAsia="Times New Roman" w:hAnsi="Arial"/>
      <w:sz w:val="22"/>
      <w:szCs w:val="22"/>
      <w:lang w:val="x-none" w:eastAsia="x-none"/>
    </w:rPr>
  </w:style>
  <w:style w:type="paragraph" w:customStyle="1" w:styleId="rkovnatokazatevilnotoko">
    <w:name w:val="Črkovna točka za številčno točko"/>
    <w:basedOn w:val="tevilnatoka"/>
    <w:link w:val="rkovnatokazatevilnotokoZnak"/>
    <w:qFormat/>
    <w:rsid w:val="006D65A2"/>
    <w:pPr>
      <w:numPr>
        <w:numId w:val="6"/>
      </w:numPr>
      <w:ind w:left="907" w:hanging="510"/>
    </w:pPr>
  </w:style>
  <w:style w:type="character" w:customStyle="1" w:styleId="tevilnatokaZnak">
    <w:name w:val="Številčna točka Znak"/>
    <w:link w:val="tevilnatoka"/>
    <w:rsid w:val="006D65A2"/>
    <w:rPr>
      <w:rFonts w:ascii="Arial" w:eastAsia="Times New Roman" w:hAnsi="Arial"/>
      <w:sz w:val="22"/>
      <w:szCs w:val="22"/>
      <w:lang w:val="x-none" w:eastAsia="x-none"/>
    </w:rPr>
  </w:style>
  <w:style w:type="paragraph" w:customStyle="1" w:styleId="Alineazaodstavkom">
    <w:name w:val="Alinea za odstavkom"/>
    <w:basedOn w:val="Navaden"/>
    <w:link w:val="AlineazaodstavkomZnak"/>
    <w:qFormat/>
    <w:rsid w:val="006D65A2"/>
    <w:pPr>
      <w:numPr>
        <w:numId w:val="5"/>
      </w:numPr>
      <w:tabs>
        <w:tab w:val="left" w:pos="540"/>
        <w:tab w:val="left" w:pos="900"/>
      </w:tabs>
      <w:overflowPunct/>
      <w:autoSpaceDE/>
      <w:autoSpaceDN/>
      <w:adjustRightInd/>
      <w:textAlignment w:val="auto"/>
    </w:pPr>
    <w:rPr>
      <w:sz w:val="22"/>
      <w:szCs w:val="22"/>
      <w:lang w:val="x-none" w:eastAsia="x-none"/>
    </w:rPr>
  </w:style>
  <w:style w:type="character" w:customStyle="1" w:styleId="rkovnatokazatevilnotokoZnak">
    <w:name w:val="Črkovna točka za številčno točko Znak"/>
    <w:link w:val="rkovnatokazatevilnotoko"/>
    <w:rsid w:val="006D65A2"/>
    <w:rPr>
      <w:rFonts w:ascii="Arial" w:eastAsia="Times New Roman" w:hAnsi="Arial"/>
      <w:sz w:val="22"/>
      <w:szCs w:val="22"/>
      <w:lang w:val="x-none" w:eastAsia="x-none"/>
    </w:rPr>
  </w:style>
  <w:style w:type="paragraph" w:customStyle="1" w:styleId="tevilkanakoncupredpisa">
    <w:name w:val="Številka na koncu predpisa"/>
    <w:basedOn w:val="Datumsprejetja"/>
    <w:link w:val="tevilkanakoncupredpisaZnak"/>
    <w:qFormat/>
    <w:rsid w:val="00357591"/>
    <w:pPr>
      <w:spacing w:before="480"/>
    </w:pPr>
  </w:style>
  <w:style w:type="character" w:customStyle="1" w:styleId="AlineazaodstavkomZnak">
    <w:name w:val="Alinea za odstavkom Znak"/>
    <w:link w:val="Alineazaodstavkom"/>
    <w:rsid w:val="006D65A2"/>
    <w:rPr>
      <w:rFonts w:ascii="Arial" w:eastAsia="Times New Roman" w:hAnsi="Arial"/>
      <w:sz w:val="22"/>
      <w:szCs w:val="22"/>
      <w:lang w:val="x-none" w:eastAsia="x-none"/>
    </w:rPr>
  </w:style>
  <w:style w:type="paragraph" w:customStyle="1" w:styleId="Datumsprejetja">
    <w:name w:val="Datum sprejetja"/>
    <w:basedOn w:val="Navaden"/>
    <w:link w:val="DatumsprejetjaZnak"/>
    <w:qFormat/>
    <w:rsid w:val="00357591"/>
    <w:pPr>
      <w:tabs>
        <w:tab w:val="left" w:pos="567"/>
        <w:tab w:val="left" w:pos="900"/>
        <w:tab w:val="left" w:pos="1440"/>
        <w:tab w:val="left" w:pos="1872"/>
        <w:tab w:val="left" w:pos="2880"/>
        <w:tab w:val="left" w:pos="5760"/>
      </w:tabs>
    </w:pPr>
    <w:rPr>
      <w:snapToGrid w:val="0"/>
      <w:color w:val="000000"/>
      <w:sz w:val="22"/>
      <w:szCs w:val="22"/>
      <w:lang w:val="x-none" w:eastAsia="x-none"/>
    </w:rPr>
  </w:style>
  <w:style w:type="character" w:customStyle="1" w:styleId="tevilkanakoncupredpisaZnak">
    <w:name w:val="Številka na koncu predpisa Znak"/>
    <w:link w:val="tevilkanakoncupredpisa"/>
    <w:rsid w:val="009C7DEB"/>
    <w:rPr>
      <w:rFonts w:ascii="Arial" w:eastAsia="Times New Roman" w:hAnsi="Arial" w:cs="Arial"/>
      <w:snapToGrid w:val="0"/>
      <w:color w:val="000000"/>
      <w:sz w:val="22"/>
      <w:szCs w:val="22"/>
    </w:rPr>
  </w:style>
  <w:style w:type="paragraph" w:customStyle="1" w:styleId="Podpisnik">
    <w:name w:val="Podpisnik"/>
    <w:basedOn w:val="Navaden"/>
    <w:link w:val="PodpisnikZnak"/>
    <w:qFormat/>
    <w:rsid w:val="006D65A2"/>
    <w:pPr>
      <w:tabs>
        <w:tab w:val="left" w:pos="6521"/>
      </w:tabs>
      <w:ind w:left="5670"/>
    </w:pPr>
    <w:rPr>
      <w:sz w:val="22"/>
      <w:szCs w:val="22"/>
      <w:lang w:val="x-none" w:eastAsia="x-none"/>
    </w:rPr>
  </w:style>
  <w:style w:type="character" w:customStyle="1" w:styleId="DatumsprejetjaZnak">
    <w:name w:val="Datum sprejetja Znak"/>
    <w:link w:val="Datumsprejetja"/>
    <w:rsid w:val="009C7DEB"/>
    <w:rPr>
      <w:rFonts w:ascii="Arial" w:eastAsia="Times New Roman" w:hAnsi="Arial" w:cs="Arial"/>
      <w:snapToGrid w:val="0"/>
      <w:color w:val="000000"/>
      <w:sz w:val="22"/>
      <w:szCs w:val="22"/>
    </w:rPr>
  </w:style>
  <w:style w:type="character" w:styleId="Hiperpovezava">
    <w:name w:val="Hyperlink"/>
    <w:uiPriority w:val="99"/>
    <w:unhideWhenUsed/>
    <w:rsid w:val="00625461"/>
    <w:rPr>
      <w:color w:val="0000FF"/>
      <w:u w:val="single"/>
    </w:rPr>
  </w:style>
  <w:style w:type="character" w:customStyle="1" w:styleId="PodpisnikZnak">
    <w:name w:val="Podpisnik Znak"/>
    <w:link w:val="Podpisnik"/>
    <w:rsid w:val="006D65A2"/>
    <w:rPr>
      <w:rFonts w:ascii="Arial" w:eastAsia="Times New Roman" w:hAnsi="Arial" w:cs="Arial"/>
      <w:sz w:val="22"/>
      <w:szCs w:val="22"/>
    </w:rPr>
  </w:style>
  <w:style w:type="paragraph" w:customStyle="1" w:styleId="lennaslov">
    <w:name w:val="Člen_naslov"/>
    <w:basedOn w:val="Navaden"/>
    <w:uiPriority w:val="99"/>
    <w:qFormat/>
    <w:rsid w:val="0054314E"/>
    <w:pPr>
      <w:suppressAutoHyphens/>
      <w:jc w:val="center"/>
    </w:pPr>
    <w:rPr>
      <w:b/>
      <w:szCs w:val="22"/>
      <w:lang w:val="x-none" w:eastAsia="x-none"/>
    </w:rPr>
  </w:style>
  <w:style w:type="character" w:customStyle="1" w:styleId="PravnapodlagaZnak">
    <w:name w:val="Pravna podlaga Znak"/>
    <w:link w:val="Pravnapodlaga"/>
    <w:rsid w:val="00357591"/>
    <w:rPr>
      <w:rFonts w:ascii="Arial" w:eastAsia="Times New Roman" w:hAnsi="Arial" w:cs="Arial"/>
      <w:sz w:val="22"/>
      <w:szCs w:val="22"/>
    </w:rPr>
  </w:style>
  <w:style w:type="paragraph" w:customStyle="1" w:styleId="Pododdelek">
    <w:name w:val="Pododdelek"/>
    <w:basedOn w:val="Navaden"/>
    <w:link w:val="PododdelekZnak"/>
    <w:qFormat/>
    <w:rsid w:val="00357591"/>
    <w:pPr>
      <w:tabs>
        <w:tab w:val="left" w:pos="540"/>
        <w:tab w:val="left" w:pos="900"/>
      </w:tabs>
      <w:spacing w:before="480"/>
      <w:jc w:val="center"/>
    </w:pPr>
    <w:rPr>
      <w:sz w:val="22"/>
      <w:szCs w:val="22"/>
      <w:lang w:val="x-none" w:eastAsia="x-none"/>
    </w:rPr>
  </w:style>
  <w:style w:type="character" w:customStyle="1" w:styleId="Komentar-sklic">
    <w:name w:val="Komentar - sklic"/>
    <w:semiHidden/>
    <w:rsid w:val="00357591"/>
    <w:rPr>
      <w:sz w:val="16"/>
      <w:szCs w:val="16"/>
    </w:rPr>
  </w:style>
  <w:style w:type="character" w:customStyle="1" w:styleId="PododdelekZnak">
    <w:name w:val="Pododdelek Znak"/>
    <w:link w:val="Pododdelek"/>
    <w:rsid w:val="00357591"/>
    <w:rPr>
      <w:rFonts w:ascii="Arial" w:eastAsia="Times New Roman" w:hAnsi="Arial" w:cs="Arial"/>
      <w:sz w:val="22"/>
      <w:szCs w:val="22"/>
    </w:rPr>
  </w:style>
  <w:style w:type="paragraph" w:customStyle="1" w:styleId="EVA">
    <w:name w:val="EVA"/>
    <w:basedOn w:val="Navaden"/>
    <w:link w:val="EVAZnak"/>
    <w:qFormat/>
    <w:rsid w:val="00357591"/>
    <w:pPr>
      <w:tabs>
        <w:tab w:val="left" w:pos="567"/>
        <w:tab w:val="left" w:pos="900"/>
      </w:tabs>
    </w:pPr>
    <w:rPr>
      <w:color w:val="000000"/>
      <w:sz w:val="22"/>
      <w:szCs w:val="22"/>
      <w:lang w:val="x-none" w:eastAsia="x-none"/>
    </w:rPr>
  </w:style>
  <w:style w:type="paragraph" w:styleId="Navadensplet">
    <w:name w:val="Normal (Web)"/>
    <w:aliases w:val="Normal (Tabele)"/>
    <w:basedOn w:val="Navaden"/>
    <w:uiPriority w:val="99"/>
    <w:unhideWhenUsed/>
    <w:rsid w:val="00AE7827"/>
    <w:pPr>
      <w:overflowPunct/>
      <w:autoSpaceDE/>
      <w:autoSpaceDN/>
      <w:adjustRightInd/>
      <w:spacing w:after="161"/>
      <w:textAlignment w:val="auto"/>
    </w:pPr>
    <w:rPr>
      <w:rFonts w:ascii="Times New Roman" w:hAnsi="Times New Roman"/>
      <w:color w:val="333333"/>
      <w:sz w:val="14"/>
      <w:szCs w:val="14"/>
    </w:rPr>
  </w:style>
  <w:style w:type="character" w:customStyle="1" w:styleId="EVAZnak">
    <w:name w:val="EVA Znak"/>
    <w:link w:val="EVA"/>
    <w:rsid w:val="009C7DEB"/>
    <w:rPr>
      <w:rFonts w:ascii="Arial" w:eastAsia="Times New Roman" w:hAnsi="Arial" w:cs="Arial"/>
      <w:color w:val="000000"/>
      <w:sz w:val="22"/>
      <w:szCs w:val="22"/>
    </w:rPr>
  </w:style>
  <w:style w:type="paragraph" w:customStyle="1" w:styleId="Komentar-besedilo">
    <w:name w:val="Komentar - besedilo"/>
    <w:basedOn w:val="Navaden"/>
    <w:link w:val="Komentar-besediloZnak"/>
    <w:semiHidden/>
    <w:rsid w:val="00357591"/>
    <w:pPr>
      <w:overflowPunct/>
      <w:autoSpaceDE/>
      <w:autoSpaceDN/>
      <w:adjustRightInd/>
      <w:textAlignment w:val="auto"/>
    </w:pPr>
    <w:rPr>
      <w:szCs w:val="20"/>
      <w:lang w:val="x-none" w:eastAsia="en-US"/>
    </w:rPr>
  </w:style>
  <w:style w:type="character" w:customStyle="1" w:styleId="Komentar-besediloZnak">
    <w:name w:val="Komentar - besedilo Znak"/>
    <w:link w:val="Komentar-besedilo"/>
    <w:semiHidden/>
    <w:rsid w:val="00357591"/>
    <w:rPr>
      <w:rFonts w:ascii="Arial" w:eastAsia="Times New Roman" w:hAnsi="Arial"/>
      <w:lang w:eastAsia="en-US"/>
    </w:rPr>
  </w:style>
  <w:style w:type="paragraph" w:customStyle="1" w:styleId="Imeorgana">
    <w:name w:val="Ime organa"/>
    <w:basedOn w:val="Navaden"/>
    <w:link w:val="ImeorganaZnak"/>
    <w:qFormat/>
    <w:rsid w:val="00357591"/>
    <w:pPr>
      <w:tabs>
        <w:tab w:val="left" w:pos="6521"/>
      </w:tabs>
      <w:spacing w:before="480"/>
      <w:ind w:left="5670"/>
      <w:jc w:val="left"/>
    </w:pPr>
    <w:rPr>
      <w:sz w:val="22"/>
      <w:szCs w:val="22"/>
      <w:lang w:val="x-none" w:eastAsia="x-none"/>
    </w:rPr>
  </w:style>
  <w:style w:type="character" w:customStyle="1" w:styleId="Naslov4Znak">
    <w:name w:val="Naslov 4 Znak"/>
    <w:aliases w:val="nuv 2 Znak, Znak Znak,Znak3 Znak"/>
    <w:link w:val="Naslov4"/>
    <w:rsid w:val="00424902"/>
    <w:rPr>
      <w:rFonts w:ascii="Arial" w:eastAsia="Times New Roman" w:hAnsi="Arial"/>
      <w:b/>
      <w:bCs/>
      <w:color w:val="000000"/>
      <w:szCs w:val="27"/>
      <w:lang w:val="x-none" w:eastAsia="x-none"/>
    </w:rPr>
  </w:style>
  <w:style w:type="paragraph" w:customStyle="1" w:styleId="Alineja">
    <w:name w:val="Alineja"/>
    <w:basedOn w:val="Navaden"/>
    <w:link w:val="AlinejaZnak"/>
    <w:qFormat/>
    <w:rsid w:val="004F06B5"/>
    <w:pPr>
      <w:numPr>
        <w:numId w:val="2"/>
      </w:numPr>
      <w:spacing w:line="200" w:lineRule="exact"/>
    </w:pPr>
    <w:rPr>
      <w:sz w:val="17"/>
      <w:szCs w:val="17"/>
      <w:lang w:val="x-none" w:eastAsia="x-none"/>
    </w:rPr>
  </w:style>
  <w:style w:type="character" w:customStyle="1" w:styleId="AlinejaZnak">
    <w:name w:val="Alineja Znak"/>
    <w:link w:val="Alineja"/>
    <w:rsid w:val="004F06B5"/>
    <w:rPr>
      <w:rFonts w:ascii="Arial" w:eastAsia="Times New Roman" w:hAnsi="Arial"/>
      <w:sz w:val="17"/>
      <w:szCs w:val="17"/>
      <w:lang w:val="x-none" w:eastAsia="x-none"/>
    </w:rPr>
  </w:style>
  <w:style w:type="paragraph" w:customStyle="1" w:styleId="Opozorilo">
    <w:name w:val="Opozorilo"/>
    <w:basedOn w:val="Navaden"/>
    <w:link w:val="OpozoriloZnak"/>
    <w:qFormat/>
    <w:rsid w:val="00AC6273"/>
    <w:pPr>
      <w:spacing w:before="240" w:after="360" w:line="200" w:lineRule="exact"/>
    </w:pPr>
    <w:rPr>
      <w:color w:val="808080"/>
      <w:sz w:val="17"/>
      <w:szCs w:val="17"/>
      <w:lang w:val="x-none" w:eastAsia="x-none"/>
    </w:rPr>
  </w:style>
  <w:style w:type="character" w:customStyle="1" w:styleId="OpozoriloZnak">
    <w:name w:val="Opozorilo Znak"/>
    <w:link w:val="Opozorilo"/>
    <w:rsid w:val="00AC6273"/>
    <w:rPr>
      <w:rFonts w:ascii="Arial" w:eastAsia="Times New Roman" w:hAnsi="Arial" w:cs="Arial"/>
      <w:color w:val="808080"/>
      <w:sz w:val="17"/>
      <w:szCs w:val="17"/>
    </w:rPr>
  </w:style>
  <w:style w:type="paragraph" w:customStyle="1" w:styleId="len">
    <w:name w:val="Člen"/>
    <w:basedOn w:val="Navaden"/>
    <w:link w:val="lenZnak"/>
    <w:qFormat/>
    <w:rsid w:val="00BA6CBA"/>
    <w:pPr>
      <w:suppressAutoHyphens/>
      <w:spacing w:before="480"/>
      <w:jc w:val="center"/>
    </w:pPr>
    <w:rPr>
      <w:b/>
      <w:sz w:val="22"/>
      <w:szCs w:val="22"/>
      <w:lang w:val="x-none" w:eastAsia="x-none"/>
    </w:rPr>
  </w:style>
  <w:style w:type="paragraph" w:customStyle="1" w:styleId="Priloga">
    <w:name w:val="Priloga"/>
    <w:basedOn w:val="Navaden"/>
    <w:link w:val="PrilogaZnak"/>
    <w:qFormat/>
    <w:rsid w:val="009C7DEB"/>
    <w:pPr>
      <w:spacing w:before="380" w:after="60" w:line="200" w:lineRule="exact"/>
    </w:pPr>
    <w:rPr>
      <w:b/>
      <w:sz w:val="17"/>
      <w:szCs w:val="17"/>
      <w:lang w:val="x-none" w:eastAsia="x-none"/>
    </w:rPr>
  </w:style>
  <w:style w:type="character" w:customStyle="1" w:styleId="lenZnak">
    <w:name w:val="Člen Znak"/>
    <w:link w:val="len"/>
    <w:rsid w:val="00BA6CBA"/>
    <w:rPr>
      <w:rFonts w:ascii="Arial" w:eastAsia="Times New Roman" w:hAnsi="Arial"/>
      <w:b/>
      <w:sz w:val="22"/>
      <w:szCs w:val="22"/>
      <w:lang w:val="x-none" w:eastAsia="x-none"/>
    </w:rPr>
  </w:style>
  <w:style w:type="character" w:customStyle="1" w:styleId="PrilogaZnak">
    <w:name w:val="Priloga Znak"/>
    <w:link w:val="Priloga"/>
    <w:rsid w:val="009C7DEB"/>
    <w:rPr>
      <w:rFonts w:ascii="Arial" w:eastAsia="Times New Roman" w:hAnsi="Arial" w:cs="Arial"/>
      <w:b/>
      <w:sz w:val="17"/>
      <w:szCs w:val="17"/>
    </w:rPr>
  </w:style>
  <w:style w:type="paragraph" w:customStyle="1" w:styleId="rta">
    <w:name w:val="Črta"/>
    <w:basedOn w:val="Navaden"/>
    <w:link w:val="rtaZnak"/>
    <w:qFormat/>
    <w:rsid w:val="004F06B5"/>
    <w:pPr>
      <w:spacing w:before="360"/>
      <w:jc w:val="center"/>
    </w:pPr>
    <w:rPr>
      <w:sz w:val="22"/>
      <w:szCs w:val="22"/>
      <w:lang w:val="x-none" w:eastAsia="x-none"/>
    </w:rPr>
  </w:style>
  <w:style w:type="paragraph" w:customStyle="1" w:styleId="NPB">
    <w:name w:val="NPB"/>
    <w:basedOn w:val="Vrstapredpisa"/>
    <w:qFormat/>
    <w:rsid w:val="00AC6273"/>
    <w:rPr>
      <w:spacing w:val="0"/>
    </w:rPr>
  </w:style>
  <w:style w:type="character" w:customStyle="1" w:styleId="rtaZnak">
    <w:name w:val="Črta Znak"/>
    <w:link w:val="rta"/>
    <w:rsid w:val="004F06B5"/>
    <w:rPr>
      <w:rFonts w:ascii="Arial" w:eastAsia="Times New Roman" w:hAnsi="Arial" w:cs="Arial"/>
      <w:sz w:val="22"/>
      <w:szCs w:val="22"/>
    </w:rPr>
  </w:style>
  <w:style w:type="paragraph" w:customStyle="1" w:styleId="Zamaknjenadolobaprvinivo">
    <w:name w:val="Zamaknjena določba_prvi nivo"/>
    <w:basedOn w:val="Alineazaodstavkom"/>
    <w:link w:val="ZamaknjenadolobaprvinivoZnak"/>
    <w:qFormat/>
    <w:rsid w:val="00134138"/>
    <w:pPr>
      <w:numPr>
        <w:numId w:val="0"/>
      </w:numPr>
    </w:pPr>
  </w:style>
  <w:style w:type="paragraph" w:customStyle="1" w:styleId="Zamaknjenadolobadruginivo">
    <w:name w:val="Zamaknjena določba_drugi nivo"/>
    <w:basedOn w:val="rkovnatokazatevilnotoko"/>
    <w:link w:val="ZamaknjenadolobadruginivoZnak"/>
    <w:qFormat/>
    <w:rsid w:val="00A14B5C"/>
    <w:pPr>
      <w:numPr>
        <w:numId w:val="0"/>
      </w:numPr>
      <w:ind w:left="397"/>
    </w:pPr>
  </w:style>
  <w:style w:type="character" w:customStyle="1" w:styleId="ZamaknjenadolobaprvinivoZnak">
    <w:name w:val="Zamaknjena določba_prvi nivo Znak"/>
    <w:link w:val="Zamaknjenadolobaprvinivo"/>
    <w:rsid w:val="00134138"/>
    <w:rPr>
      <w:rFonts w:ascii="Arial" w:eastAsia="Times New Roman" w:hAnsi="Arial" w:cs="Arial"/>
      <w:sz w:val="22"/>
      <w:szCs w:val="22"/>
    </w:rPr>
  </w:style>
  <w:style w:type="character" w:customStyle="1" w:styleId="ZamaknjenadolobadruginivoZnak">
    <w:name w:val="Zamaknjena določba_drugi nivo Znak"/>
    <w:link w:val="Zamaknjenadolobadruginivo"/>
    <w:rsid w:val="00A14B5C"/>
    <w:rPr>
      <w:rFonts w:ascii="Arial" w:eastAsia="Times New Roman" w:hAnsi="Arial" w:cs="Arial"/>
      <w:sz w:val="22"/>
      <w:szCs w:val="22"/>
    </w:rPr>
  </w:style>
  <w:style w:type="paragraph" w:customStyle="1" w:styleId="Alineazapodtoko">
    <w:name w:val="Alinea za podtočko"/>
    <w:basedOn w:val="Alineazaodstavkom"/>
    <w:link w:val="AlineazapodtokoZnak"/>
    <w:qFormat/>
    <w:rsid w:val="00A14B5C"/>
    <w:pPr>
      <w:ind w:left="1134" w:hanging="227"/>
    </w:pPr>
  </w:style>
  <w:style w:type="paragraph" w:customStyle="1" w:styleId="Zamakanjenadolobatretjinivo">
    <w:name w:val="Zamakanjena določba_tretji nivo"/>
    <w:basedOn w:val="Zamaknjenadolobadruginivo"/>
    <w:link w:val="ZamakanjenadolobatretjinivoZnak"/>
    <w:qFormat/>
    <w:rsid w:val="00A14B5C"/>
    <w:pPr>
      <w:ind w:left="907"/>
    </w:pPr>
  </w:style>
  <w:style w:type="character" w:customStyle="1" w:styleId="AlineazapodtokoZnak">
    <w:name w:val="Alinea za podtočko Znak"/>
    <w:link w:val="Alineazapodtoko"/>
    <w:rsid w:val="009C7DEB"/>
    <w:rPr>
      <w:rFonts w:ascii="Arial" w:eastAsia="Times New Roman" w:hAnsi="Arial"/>
      <w:sz w:val="22"/>
      <w:szCs w:val="22"/>
      <w:lang w:val="x-none" w:eastAsia="x-none"/>
    </w:rPr>
  </w:style>
  <w:style w:type="numbering" w:customStyle="1" w:styleId="Alinejazaodstavkom">
    <w:name w:val="Alineja za odstavkom"/>
    <w:uiPriority w:val="99"/>
    <w:rsid w:val="007B1C11"/>
  </w:style>
  <w:style w:type="character" w:customStyle="1" w:styleId="ZamakanjenadolobatretjinivoZnak">
    <w:name w:val="Zamakanjena določba_tretji nivo Znak"/>
    <w:link w:val="Zamakanjenadolobatretjinivo"/>
    <w:rsid w:val="00A14B5C"/>
    <w:rPr>
      <w:rFonts w:ascii="Arial" w:eastAsia="Times New Roman" w:hAnsi="Arial" w:cs="Arial"/>
      <w:sz w:val="22"/>
      <w:szCs w:val="22"/>
    </w:rPr>
  </w:style>
  <w:style w:type="character" w:customStyle="1" w:styleId="ImeorganaZnak">
    <w:name w:val="Ime organa Znak"/>
    <w:link w:val="Imeorgana"/>
    <w:rsid w:val="00357591"/>
    <w:rPr>
      <w:rFonts w:ascii="Arial" w:eastAsia="Times New Roman" w:hAnsi="Arial" w:cs="Arial"/>
      <w:sz w:val="22"/>
      <w:szCs w:val="22"/>
    </w:rPr>
  </w:style>
  <w:style w:type="paragraph" w:styleId="Odstavekseznama">
    <w:name w:val="List Paragraph"/>
    <w:aliases w:val="Heading 2_sj,Dot pt,Povzetek odstavka"/>
    <w:basedOn w:val="Navaden"/>
    <w:link w:val="OdstavekseznamaZnak"/>
    <w:uiPriority w:val="34"/>
    <w:qFormat/>
    <w:rsid w:val="007E0CB5"/>
    <w:pPr>
      <w:ind w:left="708"/>
    </w:pPr>
    <w:rPr>
      <w:lang w:val="x-none" w:eastAsia="x-none"/>
    </w:rPr>
  </w:style>
  <w:style w:type="paragraph" w:customStyle="1" w:styleId="odstavek0">
    <w:name w:val="odstavek"/>
    <w:basedOn w:val="Navaden"/>
    <w:rsid w:val="00C0439E"/>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tevilnatoka0">
    <w:name w:val="tevilnatoka"/>
    <w:basedOn w:val="Navaden"/>
    <w:uiPriority w:val="99"/>
    <w:rsid w:val="00C0439E"/>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Default">
    <w:name w:val="Default"/>
    <w:uiPriority w:val="99"/>
    <w:rsid w:val="00342A40"/>
    <w:pPr>
      <w:autoSpaceDE w:val="0"/>
      <w:autoSpaceDN w:val="0"/>
      <w:adjustRightInd w:val="0"/>
    </w:pPr>
    <w:rPr>
      <w:rFonts w:ascii="HGIJDP+Arial" w:eastAsia="Times New Roman" w:hAnsi="HGIJDP+Arial" w:cs="HGIJDP+Arial"/>
      <w:color w:val="000000"/>
      <w:sz w:val="24"/>
      <w:szCs w:val="24"/>
      <w:lang w:eastAsia="ja-JP"/>
    </w:rPr>
  </w:style>
  <w:style w:type="character" w:customStyle="1" w:styleId="Naslov3Znak">
    <w:name w:val="Naslov 3 Znak"/>
    <w:aliases w:val="3 nuv Znak,Pvo-3 Znak"/>
    <w:link w:val="Naslov3"/>
    <w:rsid w:val="00FE5E55"/>
    <w:rPr>
      <w:rFonts w:ascii="Arial" w:eastAsia="Times New Roman" w:hAnsi="Arial"/>
      <w:b/>
      <w:bCs/>
      <w:sz w:val="22"/>
      <w:szCs w:val="26"/>
      <w:lang w:val="x-none" w:eastAsia="x-none"/>
    </w:rPr>
  </w:style>
  <w:style w:type="character" w:customStyle="1" w:styleId="OdstavekseznamaZnak">
    <w:name w:val="Odstavek seznama Znak"/>
    <w:aliases w:val="Heading 2_sj Znak,Dot pt Znak,Povzetek odstavka Znak"/>
    <w:link w:val="Odstavekseznama"/>
    <w:uiPriority w:val="34"/>
    <w:locked/>
    <w:rsid w:val="007E0CB5"/>
    <w:rPr>
      <w:rFonts w:ascii="Arial" w:eastAsia="Times New Roman" w:hAnsi="Arial"/>
      <w:szCs w:val="16"/>
      <w:lang w:val="x-none" w:eastAsia="x-none"/>
    </w:rPr>
  </w:style>
  <w:style w:type="character" w:customStyle="1" w:styleId="Naslov1Znak">
    <w:name w:val="Naslov 1 Znak"/>
    <w:aliases w:val="Naslov 1 nuv Znak,Znak Znak6,PVO-1 Znak"/>
    <w:link w:val="Naslov10"/>
    <w:rsid w:val="003C7C5E"/>
    <w:rPr>
      <w:rFonts w:ascii="Arial" w:eastAsia="Times New Roman" w:hAnsi="Arial"/>
      <w:b/>
      <w:bCs/>
      <w:kern w:val="32"/>
      <w:sz w:val="28"/>
      <w:szCs w:val="28"/>
      <w:lang w:val="x-none" w:eastAsia="x-none"/>
    </w:rPr>
  </w:style>
  <w:style w:type="character" w:customStyle="1" w:styleId="Sprotnaopomba-besediloZnak">
    <w:name w:val="Sprotna opomba - besedilo Znak"/>
    <w:aliases w:val="Footnote Znak,Footnote text Znak,Testo nota a piè di pagina_Rientro Znak,stile 1 Znak,Footnote1 Znak,Footnote2 Znak,Footnote3 Znak,Footnote4 Znak,Footnote5 Znak,Footnote6 Znak,Footnote7 Znak,Footnote8 Znak,Footnote9 Znak"/>
    <w:link w:val="Sprotnaopomba-besedilo"/>
    <w:uiPriority w:val="99"/>
    <w:locked/>
    <w:rsid w:val="00852D80"/>
    <w:rPr>
      <w:rFonts w:ascii="Arial" w:hAnsi="Arial" w:cs="Tahoma"/>
      <w:sz w:val="18"/>
      <w:lang w:val="x-none" w:eastAsia="x-none"/>
    </w:rPr>
  </w:style>
  <w:style w:type="paragraph" w:styleId="Sprotnaopomba-besedilo">
    <w:name w:val="footnote text"/>
    <w:aliases w:val="Footnote,Footnote text,Testo nota a piè di pagina_Rientro,stile 1,Footnote1,Footnote2,Footnote3,Footnote4,Footnote5,Footnote6,Footnote7,Footnote8,Footnote9,Footnote10,Footnote11,Footnote21,Footnote31,Footnote41,Footnote51,ft,o"/>
    <w:basedOn w:val="Navaden"/>
    <w:link w:val="Sprotnaopomba-besediloZnak"/>
    <w:uiPriority w:val="99"/>
    <w:unhideWhenUsed/>
    <w:qFormat/>
    <w:rsid w:val="00852D80"/>
    <w:pPr>
      <w:overflowPunct/>
      <w:autoSpaceDE/>
      <w:autoSpaceDN/>
      <w:adjustRightInd/>
      <w:jc w:val="left"/>
      <w:textAlignment w:val="auto"/>
    </w:pPr>
    <w:rPr>
      <w:rFonts w:eastAsia="Calibri"/>
      <w:sz w:val="18"/>
      <w:szCs w:val="20"/>
      <w:lang w:val="x-none" w:eastAsia="x-none"/>
    </w:rPr>
  </w:style>
  <w:style w:type="character" w:customStyle="1" w:styleId="Sprotnaopomba-besediloZnak1">
    <w:name w:val="Sprotna opomba - besedilo Znak1"/>
    <w:aliases w:val="Footnote Znak1,Footnote text Znak1,Testo nota a piè di pagina_Rientro Znak1,stile 1 Znak1,Footnote1 Znak1,Footnote2 Znak1,Footnote3 Znak1,Footnote4 Znak1,Footnote5 Znak1,Footnote6 Znak1,Footnote7 Znak1,Footnote8 Znak1"/>
    <w:uiPriority w:val="99"/>
    <w:semiHidden/>
    <w:rsid w:val="00342A40"/>
    <w:rPr>
      <w:rFonts w:ascii="Arial" w:eastAsia="Times New Roman" w:hAnsi="Arial"/>
    </w:rPr>
  </w:style>
  <w:style w:type="paragraph" w:styleId="Pripombabesedilo">
    <w:name w:val="annotation text"/>
    <w:basedOn w:val="Navaden"/>
    <w:link w:val="PripombabesediloZnak"/>
    <w:uiPriority w:val="99"/>
    <w:unhideWhenUsed/>
    <w:rsid w:val="00342A40"/>
    <w:pPr>
      <w:overflowPunct/>
      <w:autoSpaceDE/>
      <w:autoSpaceDN/>
      <w:adjustRightInd/>
      <w:jc w:val="left"/>
      <w:textAlignment w:val="auto"/>
    </w:pPr>
    <w:rPr>
      <w:szCs w:val="22"/>
      <w:lang w:val="x-none" w:eastAsia="ja-JP"/>
    </w:rPr>
  </w:style>
  <w:style w:type="character" w:customStyle="1" w:styleId="PripombabesediloZnak">
    <w:name w:val="Pripomba – besedilo Znak"/>
    <w:link w:val="Pripombabesedilo"/>
    <w:uiPriority w:val="99"/>
    <w:rsid w:val="00342A40"/>
    <w:rPr>
      <w:rFonts w:ascii="Arial" w:eastAsia="Times New Roman" w:hAnsi="Arial"/>
      <w:szCs w:val="22"/>
      <w:lang w:eastAsia="ja-JP"/>
    </w:rPr>
  </w:style>
  <w:style w:type="paragraph" w:customStyle="1" w:styleId="Napis2">
    <w:name w:val="Napis2"/>
    <w:aliases w:val="Znak Znak Znak Znak Znak,Znak Znak Znak,Preglednica,Slika,Tabele,Znak Znak"/>
    <w:basedOn w:val="Navaden"/>
    <w:next w:val="Navaden"/>
    <w:uiPriority w:val="99"/>
    <w:qFormat/>
    <w:rsid w:val="00327C62"/>
    <w:pPr>
      <w:overflowPunct/>
      <w:autoSpaceDE/>
      <w:autoSpaceDN/>
      <w:adjustRightInd/>
      <w:jc w:val="left"/>
      <w:textAlignment w:val="auto"/>
    </w:pPr>
    <w:rPr>
      <w:b/>
      <w:bCs/>
      <w:szCs w:val="18"/>
      <w:lang w:eastAsia="ja-JP"/>
    </w:rPr>
  </w:style>
  <w:style w:type="paragraph" w:customStyle="1" w:styleId="Natevanjeotevileno">
    <w:name w:val="Naštevanje oštevilčeno"/>
    <w:basedOn w:val="Navaden"/>
    <w:uiPriority w:val="99"/>
    <w:rsid w:val="00342A40"/>
    <w:pPr>
      <w:numPr>
        <w:numId w:val="8"/>
      </w:numPr>
      <w:overflowPunct/>
      <w:autoSpaceDE/>
      <w:autoSpaceDN/>
      <w:adjustRightInd/>
      <w:textAlignment w:val="auto"/>
    </w:pPr>
    <w:rPr>
      <w:rFonts w:ascii="Calibri" w:hAnsi="Calibri"/>
      <w:szCs w:val="22"/>
      <w:lang w:eastAsia="ja-JP"/>
    </w:rPr>
  </w:style>
  <w:style w:type="character" w:styleId="Sprotnaopomba-sklic">
    <w:name w:val="footnote reference"/>
    <w:aliases w:val="Footnote symbol,Fussnota,Footnote reference number,note TESI,SUPERS,EN Footnote Reference,-E Fußnotenzeichen,number,Times 10 Point,Exposant 3 Point,Footnote Reference_LVL6,Footnote Reference_LVL61,Footnote Reference_LVL62,stylish"/>
    <w:uiPriority w:val="99"/>
    <w:unhideWhenUsed/>
    <w:qFormat/>
    <w:rsid w:val="00342A40"/>
    <w:rPr>
      <w:vertAlign w:val="superscript"/>
    </w:rPr>
  </w:style>
  <w:style w:type="character" w:styleId="Pripombasklic">
    <w:name w:val="annotation reference"/>
    <w:uiPriority w:val="99"/>
    <w:unhideWhenUsed/>
    <w:rsid w:val="00342A40"/>
    <w:rPr>
      <w:sz w:val="16"/>
      <w:szCs w:val="16"/>
    </w:rPr>
  </w:style>
  <w:style w:type="character" w:customStyle="1" w:styleId="hps">
    <w:name w:val="hps"/>
    <w:uiPriority w:val="99"/>
    <w:rsid w:val="00342A40"/>
  </w:style>
  <w:style w:type="table" w:styleId="Tabelamrea">
    <w:name w:val="Table Grid"/>
    <w:basedOn w:val="Navadnatabela"/>
    <w:uiPriority w:val="39"/>
    <w:rsid w:val="00342A40"/>
    <w:rPr>
      <w:rFonts w:eastAsia="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Znak">
    <w:name w:val="Naslov 2 Znak"/>
    <w:aliases w:val="naslov nuv 2 Znak,PVO-2 Znak"/>
    <w:link w:val="Naslov20"/>
    <w:rsid w:val="003C7C5E"/>
    <w:rPr>
      <w:rFonts w:ascii="Arial" w:eastAsia="Times New Roman" w:hAnsi="Arial"/>
      <w:b/>
      <w:bCs/>
      <w:i/>
      <w:iCs/>
      <w:sz w:val="24"/>
      <w:szCs w:val="28"/>
      <w:lang w:val="x-none" w:eastAsia="x-none"/>
    </w:rPr>
  </w:style>
  <w:style w:type="character" w:customStyle="1" w:styleId="ImepregledniceZnak">
    <w:name w:val="Ime preglednice Znak"/>
    <w:aliases w:val="slike Znak"/>
    <w:link w:val="Imepreglednice"/>
    <w:uiPriority w:val="99"/>
    <w:locked/>
    <w:rsid w:val="00342A40"/>
  </w:style>
  <w:style w:type="paragraph" w:customStyle="1" w:styleId="Imepreglednice">
    <w:name w:val="Ime preglednice"/>
    <w:aliases w:val="slike"/>
    <w:basedOn w:val="Navaden"/>
    <w:link w:val="ImepregledniceZnak"/>
    <w:uiPriority w:val="99"/>
    <w:rsid w:val="00342A40"/>
    <w:pPr>
      <w:overflowPunct/>
      <w:autoSpaceDE/>
      <w:autoSpaceDN/>
      <w:adjustRightInd/>
      <w:textAlignment w:val="auto"/>
    </w:pPr>
    <w:rPr>
      <w:rFonts w:ascii="Calibri" w:eastAsia="Calibri" w:hAnsi="Calibri"/>
      <w:szCs w:val="20"/>
    </w:rPr>
  </w:style>
  <w:style w:type="character" w:customStyle="1" w:styleId="Preglednicalevo">
    <w:name w:val="Preglednica levo"/>
    <w:rsid w:val="00342A40"/>
    <w:rPr>
      <w:rFonts w:ascii="Tahoma" w:hAnsi="Tahoma" w:cs="Tahoma" w:hint="default"/>
      <w:sz w:val="20"/>
      <w:szCs w:val="20"/>
    </w:rPr>
  </w:style>
  <w:style w:type="character" w:customStyle="1" w:styleId="Preglednicalevoglava">
    <w:name w:val="Preglednica levo glava"/>
    <w:rsid w:val="00342A40"/>
    <w:rPr>
      <w:rFonts w:ascii="Tahoma" w:hAnsi="Tahoma" w:cs="Tahoma" w:hint="default"/>
      <w:b/>
      <w:bCs/>
      <w:sz w:val="20"/>
      <w:szCs w:val="20"/>
    </w:rPr>
  </w:style>
  <w:style w:type="character" w:customStyle="1" w:styleId="Naslov5Znak">
    <w:name w:val="Naslov 5 Znak"/>
    <w:aliases w:val="5 nuv Znak"/>
    <w:link w:val="Naslov5"/>
    <w:uiPriority w:val="99"/>
    <w:rsid w:val="009F10BB"/>
    <w:rPr>
      <w:rFonts w:ascii="Arial" w:eastAsia="Times New Roman" w:hAnsi="Arial"/>
      <w:b/>
      <w:szCs w:val="22"/>
      <w:lang w:val="x-none" w:eastAsia="ja-JP"/>
    </w:rPr>
  </w:style>
  <w:style w:type="character" w:customStyle="1" w:styleId="Naslov6Znak">
    <w:name w:val="Naslov 6 Znak"/>
    <w:link w:val="Naslov6"/>
    <w:rsid w:val="00342A40"/>
    <w:rPr>
      <w:rFonts w:ascii="Cambria" w:eastAsia="Times New Roman" w:hAnsi="Cambria"/>
      <w:i/>
      <w:iCs/>
      <w:color w:val="243F60"/>
      <w:sz w:val="22"/>
      <w:szCs w:val="22"/>
      <w:lang w:val="x-none" w:eastAsia="ja-JP"/>
    </w:rPr>
  </w:style>
  <w:style w:type="character" w:customStyle="1" w:styleId="Naslov7Znak">
    <w:name w:val="Naslov 7 Znak"/>
    <w:link w:val="Naslov7"/>
    <w:rsid w:val="00342A40"/>
    <w:rPr>
      <w:rFonts w:ascii="Cambria" w:eastAsia="Times New Roman" w:hAnsi="Cambria"/>
      <w:i/>
      <w:iCs/>
      <w:color w:val="404040"/>
      <w:sz w:val="22"/>
      <w:szCs w:val="22"/>
      <w:lang w:val="x-none" w:eastAsia="ja-JP"/>
    </w:rPr>
  </w:style>
  <w:style w:type="character" w:customStyle="1" w:styleId="Naslov8Znak">
    <w:name w:val="Naslov 8 Znak"/>
    <w:link w:val="Naslov8"/>
    <w:rsid w:val="00342A40"/>
    <w:rPr>
      <w:rFonts w:ascii="Cambria" w:eastAsia="Times New Roman" w:hAnsi="Cambria"/>
      <w:color w:val="4F81BD"/>
      <w:lang w:val="x-none" w:eastAsia="ja-JP"/>
    </w:rPr>
  </w:style>
  <w:style w:type="character" w:customStyle="1" w:styleId="Naslov9Znak">
    <w:name w:val="Naslov 9 Znak"/>
    <w:link w:val="Naslov9"/>
    <w:rsid w:val="00342A40"/>
    <w:rPr>
      <w:rFonts w:ascii="Cambria" w:eastAsia="Times New Roman" w:hAnsi="Cambria"/>
      <w:i/>
      <w:iCs/>
      <w:color w:val="404040"/>
      <w:lang w:val="x-none" w:eastAsia="ja-JP"/>
    </w:rPr>
  </w:style>
  <w:style w:type="character" w:styleId="SledenaHiperpovezava">
    <w:name w:val="FollowedHyperlink"/>
    <w:uiPriority w:val="99"/>
    <w:unhideWhenUsed/>
    <w:rsid w:val="00342A40"/>
    <w:rPr>
      <w:color w:val="800080"/>
      <w:u w:val="single"/>
    </w:rPr>
  </w:style>
  <w:style w:type="character" w:customStyle="1" w:styleId="Naslov1Znak1">
    <w:name w:val="Naslov 1 Znak1"/>
    <w:aliases w:val="NASLOV Znak1,PVO-1 Znak1"/>
    <w:uiPriority w:val="9"/>
    <w:locked/>
    <w:rsid w:val="00342A40"/>
    <w:rPr>
      <w:rFonts w:ascii="Cambria" w:eastAsia="Times New Roman" w:hAnsi="Cambria" w:cs="Times New Roman" w:hint="default"/>
      <w:b/>
      <w:bCs/>
      <w:i/>
      <w:iCs/>
      <w:color w:val="4F81BD"/>
    </w:rPr>
  </w:style>
  <w:style w:type="character" w:customStyle="1" w:styleId="Naslov3Znak1">
    <w:name w:val="Naslov 3 Znak1"/>
    <w:aliases w:val="Pvo-3 Znak1,PVO-3 Znak1"/>
    <w:uiPriority w:val="9"/>
    <w:semiHidden/>
    <w:rsid w:val="00342A40"/>
    <w:rPr>
      <w:rFonts w:ascii="Cambria" w:eastAsia="Times New Roman" w:hAnsi="Cambria" w:cs="Times New Roman"/>
      <w:b/>
      <w:bCs/>
      <w:color w:val="4F81BD"/>
      <w:sz w:val="22"/>
      <w:szCs w:val="22"/>
    </w:rPr>
  </w:style>
  <w:style w:type="paragraph" w:styleId="HTML-oblikovano">
    <w:name w:val="HTML Preformatted"/>
    <w:basedOn w:val="Navaden"/>
    <w:link w:val="HTML-oblikovanoZnak"/>
    <w:uiPriority w:val="99"/>
    <w:unhideWhenUsed/>
    <w:rsid w:val="00342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jc w:val="left"/>
      <w:textAlignment w:val="auto"/>
    </w:pPr>
    <w:rPr>
      <w:rFonts w:ascii="Courier New" w:hAnsi="Courier New"/>
      <w:szCs w:val="20"/>
      <w:lang w:val="x-none" w:eastAsia="ja-JP"/>
    </w:rPr>
  </w:style>
  <w:style w:type="character" w:customStyle="1" w:styleId="HTML-oblikovanoZnak">
    <w:name w:val="HTML-oblikovano Znak"/>
    <w:link w:val="HTML-oblikovano"/>
    <w:uiPriority w:val="99"/>
    <w:rsid w:val="00342A40"/>
    <w:rPr>
      <w:rFonts w:ascii="Courier New" w:eastAsia="Times New Roman" w:hAnsi="Courier New" w:cs="Courier New"/>
      <w:lang w:eastAsia="ja-JP"/>
    </w:rPr>
  </w:style>
  <w:style w:type="paragraph" w:styleId="Stvarnokazalo1">
    <w:name w:val="index 1"/>
    <w:basedOn w:val="Navaden"/>
    <w:next w:val="Navaden"/>
    <w:autoRedefine/>
    <w:uiPriority w:val="99"/>
    <w:semiHidden/>
    <w:unhideWhenUsed/>
    <w:rsid w:val="00342A40"/>
    <w:pPr>
      <w:overflowPunct/>
      <w:autoSpaceDE/>
      <w:autoSpaceDN/>
      <w:adjustRightInd/>
      <w:ind w:left="240" w:hanging="240"/>
      <w:textAlignment w:val="auto"/>
    </w:pPr>
    <w:rPr>
      <w:rFonts w:ascii="Times New Roman" w:hAnsi="Times New Roman"/>
      <w:sz w:val="24"/>
      <w:szCs w:val="20"/>
      <w:lang w:val="en-US" w:eastAsia="en-US"/>
    </w:rPr>
  </w:style>
  <w:style w:type="paragraph" w:styleId="Stvarnokazalo2">
    <w:name w:val="index 2"/>
    <w:basedOn w:val="Navaden"/>
    <w:next w:val="Navaden"/>
    <w:autoRedefine/>
    <w:uiPriority w:val="99"/>
    <w:semiHidden/>
    <w:unhideWhenUsed/>
    <w:rsid w:val="00342A40"/>
    <w:pPr>
      <w:overflowPunct/>
      <w:autoSpaceDE/>
      <w:autoSpaceDN/>
      <w:adjustRightInd/>
      <w:ind w:left="480" w:hanging="240"/>
      <w:textAlignment w:val="auto"/>
    </w:pPr>
    <w:rPr>
      <w:rFonts w:ascii="Times New Roman" w:hAnsi="Times New Roman"/>
      <w:sz w:val="24"/>
      <w:szCs w:val="20"/>
      <w:lang w:val="en-US" w:eastAsia="en-US"/>
    </w:rPr>
  </w:style>
  <w:style w:type="paragraph" w:styleId="Stvarnokazalo3">
    <w:name w:val="index 3"/>
    <w:basedOn w:val="Navaden"/>
    <w:next w:val="Navaden"/>
    <w:autoRedefine/>
    <w:uiPriority w:val="99"/>
    <w:semiHidden/>
    <w:unhideWhenUsed/>
    <w:rsid w:val="00342A40"/>
    <w:pPr>
      <w:overflowPunct/>
      <w:autoSpaceDE/>
      <w:autoSpaceDN/>
      <w:adjustRightInd/>
      <w:ind w:left="720" w:hanging="240"/>
      <w:textAlignment w:val="auto"/>
    </w:pPr>
    <w:rPr>
      <w:rFonts w:ascii="Times New Roman" w:hAnsi="Times New Roman"/>
      <w:sz w:val="24"/>
      <w:szCs w:val="20"/>
      <w:lang w:val="en-US" w:eastAsia="en-US"/>
    </w:rPr>
  </w:style>
  <w:style w:type="paragraph" w:styleId="Stvarnokazalo4">
    <w:name w:val="index 4"/>
    <w:basedOn w:val="Navaden"/>
    <w:next w:val="Navaden"/>
    <w:autoRedefine/>
    <w:uiPriority w:val="99"/>
    <w:semiHidden/>
    <w:unhideWhenUsed/>
    <w:rsid w:val="00342A40"/>
    <w:pPr>
      <w:overflowPunct/>
      <w:autoSpaceDE/>
      <w:autoSpaceDN/>
      <w:adjustRightInd/>
      <w:ind w:left="960" w:hanging="240"/>
      <w:textAlignment w:val="auto"/>
    </w:pPr>
    <w:rPr>
      <w:rFonts w:ascii="Times New Roman" w:hAnsi="Times New Roman"/>
      <w:sz w:val="24"/>
      <w:szCs w:val="20"/>
      <w:lang w:val="en-US" w:eastAsia="en-US"/>
    </w:rPr>
  </w:style>
  <w:style w:type="paragraph" w:styleId="Stvarnokazalo5">
    <w:name w:val="index 5"/>
    <w:basedOn w:val="Navaden"/>
    <w:next w:val="Navaden"/>
    <w:autoRedefine/>
    <w:uiPriority w:val="99"/>
    <w:semiHidden/>
    <w:unhideWhenUsed/>
    <w:rsid w:val="00342A40"/>
    <w:pPr>
      <w:overflowPunct/>
      <w:autoSpaceDE/>
      <w:autoSpaceDN/>
      <w:adjustRightInd/>
      <w:ind w:left="1200" w:hanging="240"/>
      <w:textAlignment w:val="auto"/>
    </w:pPr>
    <w:rPr>
      <w:rFonts w:ascii="Times New Roman" w:hAnsi="Times New Roman"/>
      <w:sz w:val="24"/>
      <w:szCs w:val="20"/>
      <w:lang w:val="en-US" w:eastAsia="en-US"/>
    </w:rPr>
  </w:style>
  <w:style w:type="paragraph" w:styleId="Stvarnokazalo6">
    <w:name w:val="index 6"/>
    <w:basedOn w:val="Navaden"/>
    <w:next w:val="Navaden"/>
    <w:autoRedefine/>
    <w:uiPriority w:val="99"/>
    <w:semiHidden/>
    <w:unhideWhenUsed/>
    <w:rsid w:val="00342A40"/>
    <w:pPr>
      <w:overflowPunct/>
      <w:autoSpaceDE/>
      <w:autoSpaceDN/>
      <w:adjustRightInd/>
      <w:ind w:left="1440" w:hanging="240"/>
      <w:textAlignment w:val="auto"/>
    </w:pPr>
    <w:rPr>
      <w:rFonts w:ascii="Times New Roman" w:hAnsi="Times New Roman"/>
      <w:sz w:val="24"/>
      <w:szCs w:val="20"/>
      <w:lang w:val="en-US" w:eastAsia="en-US"/>
    </w:rPr>
  </w:style>
  <w:style w:type="paragraph" w:styleId="Stvarnokazalo7">
    <w:name w:val="index 7"/>
    <w:basedOn w:val="Navaden"/>
    <w:next w:val="Navaden"/>
    <w:autoRedefine/>
    <w:uiPriority w:val="99"/>
    <w:semiHidden/>
    <w:unhideWhenUsed/>
    <w:rsid w:val="00342A40"/>
    <w:pPr>
      <w:overflowPunct/>
      <w:autoSpaceDE/>
      <w:autoSpaceDN/>
      <w:adjustRightInd/>
      <w:ind w:left="1680" w:hanging="240"/>
      <w:textAlignment w:val="auto"/>
    </w:pPr>
    <w:rPr>
      <w:rFonts w:ascii="Times New Roman" w:hAnsi="Times New Roman"/>
      <w:sz w:val="24"/>
      <w:szCs w:val="20"/>
      <w:lang w:val="en-US" w:eastAsia="en-US"/>
    </w:rPr>
  </w:style>
  <w:style w:type="paragraph" w:styleId="Stvarnokazalo8">
    <w:name w:val="index 8"/>
    <w:basedOn w:val="Navaden"/>
    <w:next w:val="Navaden"/>
    <w:autoRedefine/>
    <w:uiPriority w:val="99"/>
    <w:semiHidden/>
    <w:unhideWhenUsed/>
    <w:rsid w:val="00342A40"/>
    <w:pPr>
      <w:overflowPunct/>
      <w:autoSpaceDE/>
      <w:autoSpaceDN/>
      <w:adjustRightInd/>
      <w:ind w:left="1920" w:hanging="240"/>
      <w:textAlignment w:val="auto"/>
    </w:pPr>
    <w:rPr>
      <w:rFonts w:ascii="Times New Roman" w:hAnsi="Times New Roman"/>
      <w:sz w:val="24"/>
      <w:szCs w:val="20"/>
      <w:lang w:val="en-US" w:eastAsia="en-US"/>
    </w:rPr>
  </w:style>
  <w:style w:type="paragraph" w:styleId="Stvarnokazalo9">
    <w:name w:val="index 9"/>
    <w:basedOn w:val="Navaden"/>
    <w:next w:val="Navaden"/>
    <w:autoRedefine/>
    <w:uiPriority w:val="99"/>
    <w:semiHidden/>
    <w:unhideWhenUsed/>
    <w:rsid w:val="00342A40"/>
    <w:pPr>
      <w:overflowPunct/>
      <w:autoSpaceDE/>
      <w:autoSpaceDN/>
      <w:adjustRightInd/>
      <w:ind w:left="2160" w:hanging="240"/>
      <w:textAlignment w:val="auto"/>
    </w:pPr>
    <w:rPr>
      <w:rFonts w:ascii="Times New Roman" w:hAnsi="Times New Roman"/>
      <w:sz w:val="24"/>
      <w:szCs w:val="20"/>
      <w:lang w:val="en-US" w:eastAsia="en-US"/>
    </w:rPr>
  </w:style>
  <w:style w:type="paragraph" w:styleId="Kazalovsebine1">
    <w:name w:val="toc 1"/>
    <w:basedOn w:val="Navaden"/>
    <w:next w:val="Navaden"/>
    <w:autoRedefine/>
    <w:uiPriority w:val="39"/>
    <w:unhideWhenUsed/>
    <w:qFormat/>
    <w:rsid w:val="002D083E"/>
    <w:pPr>
      <w:tabs>
        <w:tab w:val="left" w:pos="567"/>
        <w:tab w:val="right" w:leader="dot" w:pos="9063"/>
      </w:tabs>
      <w:overflowPunct/>
      <w:autoSpaceDE/>
      <w:autoSpaceDN/>
      <w:adjustRightInd/>
      <w:spacing w:before="120" w:after="120"/>
      <w:ind w:left="567" w:right="567" w:hanging="567"/>
      <w:textAlignment w:val="auto"/>
    </w:pPr>
    <w:rPr>
      <w:bCs/>
      <w:caps/>
      <w:sz w:val="24"/>
      <w:szCs w:val="20"/>
      <w:lang w:eastAsia="ja-JP"/>
    </w:rPr>
  </w:style>
  <w:style w:type="paragraph" w:styleId="Kazalovsebine2">
    <w:name w:val="toc 2"/>
    <w:basedOn w:val="Navaden"/>
    <w:next w:val="Navaden"/>
    <w:autoRedefine/>
    <w:uiPriority w:val="39"/>
    <w:unhideWhenUsed/>
    <w:qFormat/>
    <w:rsid w:val="002D083E"/>
    <w:pPr>
      <w:tabs>
        <w:tab w:val="left" w:pos="960"/>
        <w:tab w:val="right" w:leader="dot" w:pos="9063"/>
      </w:tabs>
      <w:overflowPunct/>
      <w:autoSpaceDE/>
      <w:autoSpaceDN/>
      <w:adjustRightInd/>
      <w:spacing w:after="60"/>
      <w:ind w:left="992" w:right="567" w:hanging="754"/>
      <w:textAlignment w:val="auto"/>
    </w:pPr>
    <w:rPr>
      <w:sz w:val="24"/>
      <w:szCs w:val="22"/>
      <w:lang w:eastAsia="ja-JP"/>
    </w:rPr>
  </w:style>
  <w:style w:type="paragraph" w:styleId="Kazalovsebine3">
    <w:name w:val="toc 3"/>
    <w:basedOn w:val="Navaden"/>
    <w:next w:val="Navaden"/>
    <w:autoRedefine/>
    <w:uiPriority w:val="39"/>
    <w:unhideWhenUsed/>
    <w:qFormat/>
    <w:rsid w:val="002D083E"/>
    <w:pPr>
      <w:tabs>
        <w:tab w:val="left" w:pos="1134"/>
        <w:tab w:val="right" w:pos="9061"/>
      </w:tabs>
      <w:overflowPunct/>
      <w:autoSpaceDE/>
      <w:autoSpaceDN/>
      <w:adjustRightInd/>
      <w:ind w:left="1134" w:right="567" w:hanging="652"/>
      <w:textAlignment w:val="auto"/>
    </w:pPr>
    <w:rPr>
      <w:iCs/>
      <w:szCs w:val="20"/>
      <w:lang w:eastAsia="ja-JP"/>
    </w:rPr>
  </w:style>
  <w:style w:type="paragraph" w:styleId="Kazalovsebine4">
    <w:name w:val="toc 4"/>
    <w:basedOn w:val="Navaden"/>
    <w:next w:val="Navaden"/>
    <w:autoRedefine/>
    <w:uiPriority w:val="39"/>
    <w:unhideWhenUsed/>
    <w:rsid w:val="006621AE"/>
    <w:pPr>
      <w:overflowPunct/>
      <w:autoSpaceDE/>
      <w:autoSpaceDN/>
      <w:adjustRightInd/>
      <w:ind w:left="720"/>
      <w:jc w:val="left"/>
      <w:textAlignment w:val="auto"/>
    </w:pPr>
    <w:rPr>
      <w:sz w:val="18"/>
      <w:szCs w:val="18"/>
      <w:lang w:eastAsia="ja-JP"/>
    </w:rPr>
  </w:style>
  <w:style w:type="paragraph" w:styleId="Kazalovsebine5">
    <w:name w:val="toc 5"/>
    <w:basedOn w:val="Navaden"/>
    <w:next w:val="Navaden"/>
    <w:autoRedefine/>
    <w:uiPriority w:val="39"/>
    <w:unhideWhenUsed/>
    <w:rsid w:val="00342A40"/>
    <w:pPr>
      <w:overflowPunct/>
      <w:autoSpaceDE/>
      <w:autoSpaceDN/>
      <w:adjustRightInd/>
      <w:ind w:left="960"/>
      <w:jc w:val="left"/>
      <w:textAlignment w:val="auto"/>
    </w:pPr>
    <w:rPr>
      <w:rFonts w:ascii="Times New Roman" w:hAnsi="Times New Roman"/>
      <w:sz w:val="18"/>
      <w:szCs w:val="18"/>
      <w:lang w:eastAsia="ja-JP"/>
    </w:rPr>
  </w:style>
  <w:style w:type="paragraph" w:styleId="Kazalovsebine6">
    <w:name w:val="toc 6"/>
    <w:basedOn w:val="Navaden"/>
    <w:next w:val="Navaden"/>
    <w:autoRedefine/>
    <w:uiPriority w:val="39"/>
    <w:unhideWhenUsed/>
    <w:rsid w:val="00342A40"/>
    <w:pPr>
      <w:overflowPunct/>
      <w:autoSpaceDE/>
      <w:autoSpaceDN/>
      <w:adjustRightInd/>
      <w:ind w:left="1200"/>
      <w:jc w:val="left"/>
      <w:textAlignment w:val="auto"/>
    </w:pPr>
    <w:rPr>
      <w:rFonts w:ascii="Times New Roman" w:hAnsi="Times New Roman"/>
      <w:sz w:val="18"/>
      <w:szCs w:val="18"/>
      <w:lang w:eastAsia="ja-JP"/>
    </w:rPr>
  </w:style>
  <w:style w:type="paragraph" w:styleId="Kazalovsebine7">
    <w:name w:val="toc 7"/>
    <w:basedOn w:val="Navaden"/>
    <w:next w:val="Navaden"/>
    <w:autoRedefine/>
    <w:uiPriority w:val="39"/>
    <w:unhideWhenUsed/>
    <w:rsid w:val="00342A40"/>
    <w:pPr>
      <w:overflowPunct/>
      <w:autoSpaceDE/>
      <w:autoSpaceDN/>
      <w:adjustRightInd/>
      <w:ind w:left="1440"/>
      <w:jc w:val="left"/>
      <w:textAlignment w:val="auto"/>
    </w:pPr>
    <w:rPr>
      <w:rFonts w:ascii="Times New Roman" w:hAnsi="Times New Roman"/>
      <w:sz w:val="18"/>
      <w:szCs w:val="18"/>
      <w:lang w:eastAsia="ja-JP"/>
    </w:rPr>
  </w:style>
  <w:style w:type="paragraph" w:styleId="Kazalovsebine8">
    <w:name w:val="toc 8"/>
    <w:basedOn w:val="Navaden"/>
    <w:next w:val="Navaden"/>
    <w:autoRedefine/>
    <w:uiPriority w:val="39"/>
    <w:unhideWhenUsed/>
    <w:rsid w:val="00342A40"/>
    <w:pPr>
      <w:overflowPunct/>
      <w:autoSpaceDE/>
      <w:autoSpaceDN/>
      <w:adjustRightInd/>
      <w:ind w:left="1680"/>
      <w:jc w:val="left"/>
      <w:textAlignment w:val="auto"/>
    </w:pPr>
    <w:rPr>
      <w:rFonts w:ascii="Times New Roman" w:hAnsi="Times New Roman"/>
      <w:sz w:val="18"/>
      <w:szCs w:val="18"/>
      <w:lang w:eastAsia="ja-JP"/>
    </w:rPr>
  </w:style>
  <w:style w:type="paragraph" w:styleId="Kazalovsebine9">
    <w:name w:val="toc 9"/>
    <w:basedOn w:val="Navaden"/>
    <w:next w:val="Navaden"/>
    <w:autoRedefine/>
    <w:uiPriority w:val="39"/>
    <w:unhideWhenUsed/>
    <w:rsid w:val="00342A40"/>
    <w:pPr>
      <w:overflowPunct/>
      <w:autoSpaceDE/>
      <w:autoSpaceDN/>
      <w:adjustRightInd/>
      <w:ind w:left="1920"/>
      <w:jc w:val="left"/>
      <w:textAlignment w:val="auto"/>
    </w:pPr>
    <w:rPr>
      <w:rFonts w:ascii="Times New Roman" w:hAnsi="Times New Roman"/>
      <w:sz w:val="18"/>
      <w:szCs w:val="18"/>
      <w:lang w:eastAsia="ja-JP"/>
    </w:rPr>
  </w:style>
  <w:style w:type="character" w:customStyle="1" w:styleId="NogaZnak1">
    <w:name w:val="Noga Znak1"/>
    <w:aliases w:val="Footer1 Znak1"/>
    <w:semiHidden/>
    <w:rsid w:val="00342A40"/>
    <w:rPr>
      <w:rFonts w:ascii="Calibri" w:eastAsia="Times New Roman" w:hAnsi="Calibri" w:cs="Times New Roman"/>
      <w:sz w:val="22"/>
      <w:szCs w:val="22"/>
      <w:lang w:eastAsia="ja-JP"/>
    </w:rPr>
  </w:style>
  <w:style w:type="paragraph" w:styleId="Stvarnokazalo-naslov">
    <w:name w:val="index heading"/>
    <w:basedOn w:val="Navaden"/>
    <w:next w:val="Stvarnokazalo1"/>
    <w:uiPriority w:val="99"/>
    <w:semiHidden/>
    <w:unhideWhenUsed/>
    <w:rsid w:val="00342A40"/>
    <w:pPr>
      <w:widowControl w:val="0"/>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overflowPunct/>
      <w:autoSpaceDE/>
      <w:autoSpaceDN/>
      <w:adjustRightInd/>
      <w:ind w:firstLine="284"/>
      <w:textAlignment w:val="auto"/>
    </w:pPr>
    <w:rPr>
      <w:rFonts w:ascii="Times New Roman" w:hAnsi="Times New Roman"/>
      <w:sz w:val="24"/>
      <w:szCs w:val="20"/>
      <w:lang w:val="en-US" w:eastAsia="en-US"/>
    </w:rPr>
  </w:style>
  <w:style w:type="character" w:customStyle="1" w:styleId="NapisZnak">
    <w:name w:val="Napis Znak"/>
    <w:aliases w:val="Znak Znak Znak Znak Znak Znak,Znak Znak Znak Znak,Slika Znak,Tabele Znak,Znak Znak Znak1,Preglednica;Slika Znak,Napis1 Znak1,Znak Znak Znak Znak Znak Char Znak1,Znak Znak Znak Char Znak1,Tabele Char Znak1,Znak Znak Znak Znak Znak Znak Znak"/>
    <w:locked/>
    <w:rsid w:val="00342A40"/>
    <w:rPr>
      <w:b/>
      <w:bCs w:val="0"/>
      <w:color w:val="4F81BD"/>
      <w:sz w:val="21"/>
      <w:szCs w:val="21"/>
    </w:rPr>
  </w:style>
  <w:style w:type="paragraph" w:styleId="Kazaloslik">
    <w:name w:val="table of figures"/>
    <w:aliases w:val="Table of Tables"/>
    <w:basedOn w:val="Navaden"/>
    <w:next w:val="Navaden"/>
    <w:uiPriority w:val="99"/>
    <w:unhideWhenUsed/>
    <w:rsid w:val="00342A40"/>
    <w:pPr>
      <w:overflowPunct/>
      <w:autoSpaceDE/>
      <w:autoSpaceDN/>
      <w:adjustRightInd/>
      <w:spacing w:before="120" w:after="120"/>
      <w:jc w:val="left"/>
      <w:textAlignment w:val="auto"/>
    </w:pPr>
    <w:rPr>
      <w:rFonts w:ascii="Calibri" w:hAnsi="Calibri"/>
      <w:szCs w:val="22"/>
      <w:lang w:eastAsia="ja-JP"/>
    </w:rPr>
  </w:style>
  <w:style w:type="paragraph" w:styleId="Konnaopomba-besedilo">
    <w:name w:val="endnote text"/>
    <w:basedOn w:val="Navaden"/>
    <w:link w:val="Konnaopomba-besediloZnak"/>
    <w:uiPriority w:val="99"/>
    <w:semiHidden/>
    <w:unhideWhenUsed/>
    <w:rsid w:val="00342A40"/>
    <w:pPr>
      <w:overflowPunct/>
      <w:autoSpaceDE/>
      <w:autoSpaceDN/>
      <w:adjustRightInd/>
      <w:spacing w:after="60"/>
      <w:ind w:firstLine="284"/>
      <w:textAlignment w:val="auto"/>
    </w:pPr>
    <w:rPr>
      <w:rFonts w:ascii="Times New Roman" w:hAnsi="Times New Roman"/>
      <w:szCs w:val="20"/>
      <w:lang w:val="en-GB" w:eastAsia="en-US"/>
    </w:rPr>
  </w:style>
  <w:style w:type="character" w:customStyle="1" w:styleId="Konnaopomba-besediloZnak">
    <w:name w:val="Končna opomba - besedilo Znak"/>
    <w:link w:val="Konnaopomba-besedilo"/>
    <w:uiPriority w:val="99"/>
    <w:semiHidden/>
    <w:rsid w:val="00342A40"/>
    <w:rPr>
      <w:rFonts w:ascii="Times New Roman" w:eastAsia="Times New Roman" w:hAnsi="Times New Roman"/>
      <w:lang w:val="en-GB" w:eastAsia="en-US"/>
    </w:rPr>
  </w:style>
  <w:style w:type="paragraph" w:styleId="Seznam">
    <w:name w:val="List"/>
    <w:basedOn w:val="Navaden"/>
    <w:uiPriority w:val="99"/>
    <w:semiHidden/>
    <w:unhideWhenUsed/>
    <w:rsid w:val="00342A40"/>
    <w:pPr>
      <w:overflowPunct/>
      <w:autoSpaceDE/>
      <w:autoSpaceDN/>
      <w:adjustRightInd/>
      <w:ind w:left="283" w:hanging="283"/>
      <w:jc w:val="left"/>
      <w:textAlignment w:val="auto"/>
    </w:pPr>
    <w:rPr>
      <w:rFonts w:ascii="Verdana" w:hAnsi="Verdana"/>
      <w:b/>
      <w:szCs w:val="22"/>
      <w:lang w:val="en-GB" w:eastAsia="en-US"/>
    </w:rPr>
  </w:style>
  <w:style w:type="paragraph" w:styleId="Otevilenseznam">
    <w:name w:val="List Number"/>
    <w:basedOn w:val="Navaden"/>
    <w:uiPriority w:val="99"/>
    <w:semiHidden/>
    <w:unhideWhenUsed/>
    <w:rsid w:val="00342A40"/>
    <w:pPr>
      <w:numPr>
        <w:numId w:val="9"/>
      </w:numPr>
      <w:tabs>
        <w:tab w:val="clear" w:pos="360"/>
      </w:tabs>
      <w:overflowPunct/>
      <w:autoSpaceDE/>
      <w:autoSpaceDN/>
      <w:adjustRightInd/>
      <w:ind w:left="1440"/>
      <w:textAlignment w:val="auto"/>
    </w:pPr>
    <w:rPr>
      <w:rFonts w:ascii="Times New Roman" w:hAnsi="Times New Roman"/>
      <w:sz w:val="24"/>
      <w:szCs w:val="20"/>
      <w:lang w:eastAsia="en-US"/>
    </w:rPr>
  </w:style>
  <w:style w:type="character" w:customStyle="1" w:styleId="Seznam3Znak">
    <w:name w:val="Seznam 3 Znak"/>
    <w:link w:val="Seznam3"/>
    <w:semiHidden/>
    <w:locked/>
    <w:rsid w:val="00342A40"/>
    <w:rPr>
      <w:rFonts w:ascii="Times New Roman (WE)" w:hAnsi="Times New Roman (WE)"/>
      <w:sz w:val="24"/>
      <w:lang w:val="en-US" w:eastAsia="en-US"/>
    </w:rPr>
  </w:style>
  <w:style w:type="paragraph" w:styleId="Seznam3">
    <w:name w:val="List 3"/>
    <w:basedOn w:val="Navaden"/>
    <w:link w:val="Seznam3Znak"/>
    <w:semiHidden/>
    <w:unhideWhenUsed/>
    <w:rsid w:val="00342A40"/>
    <w:pPr>
      <w:overflowPunct/>
      <w:autoSpaceDE/>
      <w:autoSpaceDN/>
      <w:adjustRightInd/>
      <w:ind w:left="849" w:hanging="283"/>
      <w:textAlignment w:val="auto"/>
    </w:pPr>
    <w:rPr>
      <w:rFonts w:ascii="Times New Roman (WE)" w:eastAsia="Calibri" w:hAnsi="Times New Roman (WE)"/>
      <w:sz w:val="24"/>
      <w:szCs w:val="20"/>
      <w:lang w:val="en-US" w:eastAsia="en-US"/>
    </w:rPr>
  </w:style>
  <w:style w:type="paragraph" w:styleId="Otevilenseznam2">
    <w:name w:val="List Number 2"/>
    <w:basedOn w:val="Navaden"/>
    <w:uiPriority w:val="99"/>
    <w:semiHidden/>
    <w:unhideWhenUsed/>
    <w:rsid w:val="00342A40"/>
    <w:pPr>
      <w:numPr>
        <w:numId w:val="10"/>
      </w:numPr>
      <w:tabs>
        <w:tab w:val="clear" w:pos="643"/>
      </w:tabs>
      <w:overflowPunct/>
      <w:autoSpaceDE/>
      <w:autoSpaceDN/>
      <w:adjustRightInd/>
      <w:ind w:left="720"/>
      <w:textAlignment w:val="auto"/>
    </w:pPr>
    <w:rPr>
      <w:rFonts w:ascii="Times New Roman" w:hAnsi="Times New Roman"/>
      <w:sz w:val="24"/>
      <w:szCs w:val="20"/>
      <w:lang w:eastAsia="en-US"/>
    </w:rPr>
  </w:style>
  <w:style w:type="paragraph" w:styleId="Naslov">
    <w:name w:val="Title"/>
    <w:basedOn w:val="Navaden"/>
    <w:next w:val="Navaden"/>
    <w:link w:val="NaslovZnak"/>
    <w:uiPriority w:val="99"/>
    <w:qFormat/>
    <w:rsid w:val="00342A40"/>
    <w:pPr>
      <w:pBdr>
        <w:bottom w:val="single" w:sz="8" w:space="4" w:color="4F81BD"/>
      </w:pBdr>
      <w:overflowPunct/>
      <w:autoSpaceDE/>
      <w:autoSpaceDN/>
      <w:adjustRightInd/>
      <w:spacing w:after="300"/>
      <w:contextualSpacing/>
      <w:jc w:val="left"/>
      <w:textAlignment w:val="auto"/>
    </w:pPr>
    <w:rPr>
      <w:rFonts w:ascii="Cambria" w:hAnsi="Cambria"/>
      <w:color w:val="17365D"/>
      <w:spacing w:val="5"/>
      <w:kern w:val="28"/>
      <w:sz w:val="52"/>
      <w:szCs w:val="52"/>
      <w:lang w:val="x-none" w:eastAsia="ja-JP"/>
    </w:rPr>
  </w:style>
  <w:style w:type="character" w:customStyle="1" w:styleId="NaslovZnak">
    <w:name w:val="Naslov Znak"/>
    <w:link w:val="Naslov"/>
    <w:uiPriority w:val="99"/>
    <w:rsid w:val="00342A40"/>
    <w:rPr>
      <w:rFonts w:ascii="Cambria" w:eastAsia="Times New Roman" w:hAnsi="Cambria"/>
      <w:color w:val="17365D"/>
      <w:spacing w:val="5"/>
      <w:kern w:val="28"/>
      <w:sz w:val="52"/>
      <w:szCs w:val="52"/>
      <w:lang w:eastAsia="ja-JP"/>
    </w:rPr>
  </w:style>
  <w:style w:type="paragraph" w:styleId="Telobesedila">
    <w:name w:val="Body Text"/>
    <w:aliases w:val="  uvlaka 2,uvlaka 2"/>
    <w:basedOn w:val="Navaden"/>
    <w:link w:val="TelobesedilaZnak"/>
    <w:uiPriority w:val="99"/>
    <w:unhideWhenUsed/>
    <w:rsid w:val="00342A40"/>
    <w:pPr>
      <w:suppressAutoHyphens/>
      <w:overflowPunct/>
      <w:autoSpaceDE/>
      <w:autoSpaceDN/>
      <w:adjustRightInd/>
      <w:spacing w:after="120"/>
      <w:jc w:val="left"/>
      <w:textAlignment w:val="auto"/>
    </w:pPr>
    <w:rPr>
      <w:rFonts w:ascii="Times New Roman" w:hAnsi="Times New Roman"/>
      <w:sz w:val="22"/>
      <w:szCs w:val="22"/>
      <w:lang w:val="x-none" w:eastAsia="ar-SA"/>
    </w:rPr>
  </w:style>
  <w:style w:type="character" w:customStyle="1" w:styleId="TelobesedilaZnak">
    <w:name w:val="Telo besedila Znak"/>
    <w:aliases w:val="  uvlaka 2 Znak,uvlaka 2 Znak"/>
    <w:link w:val="Telobesedila"/>
    <w:uiPriority w:val="99"/>
    <w:rsid w:val="00342A40"/>
    <w:rPr>
      <w:rFonts w:ascii="Times New Roman" w:eastAsia="Times New Roman" w:hAnsi="Times New Roman"/>
      <w:sz w:val="22"/>
      <w:szCs w:val="22"/>
      <w:lang w:eastAsia="ar-SA"/>
    </w:rPr>
  </w:style>
  <w:style w:type="paragraph" w:styleId="Telobesedila-zamik">
    <w:name w:val="Body Text Indent"/>
    <w:basedOn w:val="Navaden"/>
    <w:link w:val="Telobesedila-zamikZnak"/>
    <w:uiPriority w:val="99"/>
    <w:semiHidden/>
    <w:unhideWhenUsed/>
    <w:rsid w:val="00342A40"/>
    <w:pPr>
      <w:overflowPunct/>
      <w:autoSpaceDE/>
      <w:autoSpaceDN/>
      <w:adjustRightInd/>
      <w:spacing w:after="120"/>
      <w:ind w:left="283"/>
      <w:jc w:val="left"/>
      <w:textAlignment w:val="auto"/>
    </w:pPr>
    <w:rPr>
      <w:rFonts w:ascii="Calibri" w:hAnsi="Calibri"/>
      <w:sz w:val="22"/>
      <w:szCs w:val="22"/>
      <w:lang w:val="x-none" w:eastAsia="ja-JP"/>
    </w:rPr>
  </w:style>
  <w:style w:type="character" w:customStyle="1" w:styleId="Telobesedila-zamikZnak">
    <w:name w:val="Telo besedila - zamik Znak"/>
    <w:link w:val="Telobesedila-zamik"/>
    <w:uiPriority w:val="99"/>
    <w:semiHidden/>
    <w:rsid w:val="00342A40"/>
    <w:rPr>
      <w:rFonts w:eastAsia="Times New Roman"/>
      <w:sz w:val="22"/>
      <w:szCs w:val="22"/>
      <w:lang w:eastAsia="ja-JP"/>
    </w:rPr>
  </w:style>
  <w:style w:type="paragraph" w:styleId="Podnaslov">
    <w:name w:val="Subtitle"/>
    <w:aliases w:val="4 nuv"/>
    <w:basedOn w:val="Navaden"/>
    <w:next w:val="Navaden"/>
    <w:link w:val="PodnaslovZnak"/>
    <w:uiPriority w:val="11"/>
    <w:qFormat/>
    <w:rsid w:val="00093C4A"/>
    <w:pPr>
      <w:overflowPunct/>
      <w:autoSpaceDE/>
      <w:autoSpaceDN/>
      <w:adjustRightInd/>
      <w:jc w:val="left"/>
      <w:textAlignment w:val="auto"/>
    </w:pPr>
    <w:rPr>
      <w:b/>
      <w:iCs/>
      <w:spacing w:val="15"/>
      <w:sz w:val="24"/>
      <w:szCs w:val="24"/>
      <w:lang w:val="x-none" w:eastAsia="ja-JP"/>
    </w:rPr>
  </w:style>
  <w:style w:type="character" w:customStyle="1" w:styleId="PodnaslovZnak">
    <w:name w:val="Podnaslov Znak"/>
    <w:aliases w:val="4 nuv Znak"/>
    <w:link w:val="Podnaslov"/>
    <w:uiPriority w:val="11"/>
    <w:rsid w:val="00093C4A"/>
    <w:rPr>
      <w:rFonts w:ascii="Arial" w:eastAsia="Times New Roman" w:hAnsi="Arial"/>
      <w:b/>
      <w:iCs/>
      <w:spacing w:val="15"/>
      <w:sz w:val="24"/>
      <w:szCs w:val="24"/>
      <w:lang w:eastAsia="ja-JP"/>
    </w:rPr>
  </w:style>
  <w:style w:type="paragraph" w:styleId="Telobesedila2">
    <w:name w:val="Body Text 2"/>
    <w:basedOn w:val="Navaden"/>
    <w:link w:val="Telobesedila2Znak"/>
    <w:uiPriority w:val="99"/>
    <w:unhideWhenUsed/>
    <w:rsid w:val="00342A40"/>
    <w:pPr>
      <w:overflowPunct/>
      <w:autoSpaceDE/>
      <w:autoSpaceDN/>
      <w:adjustRightInd/>
      <w:spacing w:before="120" w:after="60"/>
      <w:ind w:firstLine="284"/>
      <w:textAlignment w:val="auto"/>
    </w:pPr>
    <w:rPr>
      <w:rFonts w:ascii="Times New Roman" w:hAnsi="Times New Roman"/>
      <w:sz w:val="22"/>
      <w:szCs w:val="20"/>
      <w:lang w:val="en-GB" w:eastAsia="en-US"/>
    </w:rPr>
  </w:style>
  <w:style w:type="character" w:customStyle="1" w:styleId="Telobesedila2Znak">
    <w:name w:val="Telo besedila 2 Znak"/>
    <w:link w:val="Telobesedila2"/>
    <w:uiPriority w:val="99"/>
    <w:rsid w:val="00342A40"/>
    <w:rPr>
      <w:rFonts w:ascii="Times New Roman" w:eastAsia="Times New Roman" w:hAnsi="Times New Roman"/>
      <w:sz w:val="22"/>
      <w:lang w:val="en-GB" w:eastAsia="en-US"/>
    </w:rPr>
  </w:style>
  <w:style w:type="paragraph" w:styleId="Telobesedila3">
    <w:name w:val="Body Text 3"/>
    <w:basedOn w:val="Navaden"/>
    <w:link w:val="Telobesedila3Znak"/>
    <w:uiPriority w:val="99"/>
    <w:semiHidden/>
    <w:unhideWhenUsed/>
    <w:rsid w:val="00342A40"/>
    <w:pPr>
      <w:overflowPunct/>
      <w:autoSpaceDE/>
      <w:autoSpaceDN/>
      <w:adjustRightInd/>
      <w:spacing w:after="60"/>
      <w:ind w:firstLine="284"/>
      <w:jc w:val="center"/>
      <w:textAlignment w:val="auto"/>
    </w:pPr>
    <w:rPr>
      <w:rFonts w:ascii="Times New Roman" w:hAnsi="Times New Roman"/>
      <w:b/>
      <w:sz w:val="40"/>
      <w:szCs w:val="20"/>
      <w:lang w:val="en-GB" w:eastAsia="en-US"/>
    </w:rPr>
  </w:style>
  <w:style w:type="character" w:customStyle="1" w:styleId="Telobesedila3Znak">
    <w:name w:val="Telo besedila 3 Znak"/>
    <w:link w:val="Telobesedila3"/>
    <w:uiPriority w:val="99"/>
    <w:semiHidden/>
    <w:rsid w:val="00342A40"/>
    <w:rPr>
      <w:rFonts w:ascii="Times New Roman" w:eastAsia="Times New Roman" w:hAnsi="Times New Roman"/>
      <w:b/>
      <w:sz w:val="40"/>
      <w:lang w:val="en-GB" w:eastAsia="en-US"/>
    </w:rPr>
  </w:style>
  <w:style w:type="paragraph" w:styleId="Telobesedila-zamik2">
    <w:name w:val="Body Text Indent 2"/>
    <w:basedOn w:val="Navaden"/>
    <w:link w:val="Telobesedila-zamik2Znak"/>
    <w:uiPriority w:val="99"/>
    <w:unhideWhenUsed/>
    <w:rsid w:val="00342A40"/>
    <w:pPr>
      <w:overflowPunct/>
      <w:autoSpaceDE/>
      <w:autoSpaceDN/>
      <w:adjustRightInd/>
      <w:spacing w:after="60"/>
      <w:ind w:left="1021" w:firstLine="284"/>
      <w:textAlignment w:val="auto"/>
    </w:pPr>
    <w:rPr>
      <w:rFonts w:ascii="Times New Roman" w:hAnsi="Times New Roman"/>
      <w:sz w:val="22"/>
      <w:szCs w:val="20"/>
      <w:lang w:val="en-GB" w:eastAsia="en-US"/>
    </w:rPr>
  </w:style>
  <w:style w:type="character" w:customStyle="1" w:styleId="Telobesedila-zamik2Znak">
    <w:name w:val="Telo besedila - zamik 2 Znak"/>
    <w:link w:val="Telobesedila-zamik2"/>
    <w:uiPriority w:val="99"/>
    <w:rsid w:val="00342A40"/>
    <w:rPr>
      <w:rFonts w:ascii="Times New Roman" w:eastAsia="Times New Roman" w:hAnsi="Times New Roman"/>
      <w:sz w:val="22"/>
      <w:lang w:val="en-GB" w:eastAsia="en-US"/>
    </w:rPr>
  </w:style>
  <w:style w:type="paragraph" w:styleId="Telobesedila-zamik3">
    <w:name w:val="Body Text Indent 3"/>
    <w:basedOn w:val="Navaden"/>
    <w:link w:val="Telobesedila-zamik3Znak"/>
    <w:uiPriority w:val="99"/>
    <w:semiHidden/>
    <w:unhideWhenUsed/>
    <w:rsid w:val="00342A40"/>
    <w:pPr>
      <w:overflowPunct/>
      <w:autoSpaceDE/>
      <w:autoSpaceDN/>
      <w:adjustRightInd/>
      <w:spacing w:after="60"/>
      <w:ind w:left="360" w:firstLine="284"/>
      <w:textAlignment w:val="auto"/>
    </w:pPr>
    <w:rPr>
      <w:rFonts w:ascii="Times New Roman" w:hAnsi="Times New Roman"/>
      <w:sz w:val="22"/>
      <w:szCs w:val="20"/>
      <w:lang w:val="en-GB" w:eastAsia="en-US"/>
    </w:rPr>
  </w:style>
  <w:style w:type="character" w:customStyle="1" w:styleId="Telobesedila-zamik3Znak">
    <w:name w:val="Telo besedila - zamik 3 Znak"/>
    <w:link w:val="Telobesedila-zamik3"/>
    <w:uiPriority w:val="99"/>
    <w:semiHidden/>
    <w:rsid w:val="00342A40"/>
    <w:rPr>
      <w:rFonts w:ascii="Times New Roman" w:eastAsia="Times New Roman" w:hAnsi="Times New Roman"/>
      <w:sz w:val="22"/>
      <w:lang w:val="en-GB" w:eastAsia="en-US"/>
    </w:rPr>
  </w:style>
  <w:style w:type="paragraph" w:styleId="Blokbesedila">
    <w:name w:val="Block Text"/>
    <w:basedOn w:val="Navaden"/>
    <w:uiPriority w:val="99"/>
    <w:semiHidden/>
    <w:unhideWhenUsed/>
    <w:rsid w:val="00342A40"/>
    <w:pPr>
      <w:overflowPunct/>
      <w:autoSpaceDE/>
      <w:autoSpaceDN/>
      <w:adjustRightInd/>
      <w:spacing w:after="60"/>
      <w:ind w:left="113" w:right="113" w:firstLine="284"/>
      <w:textAlignment w:val="auto"/>
    </w:pPr>
    <w:rPr>
      <w:rFonts w:ascii="Times New Roman" w:hAnsi="Times New Roman"/>
      <w:color w:val="0000FF"/>
      <w:sz w:val="18"/>
      <w:szCs w:val="20"/>
      <w:lang w:val="en-GB" w:eastAsia="en-US"/>
    </w:rPr>
  </w:style>
  <w:style w:type="paragraph" w:styleId="Zgradbadokumenta">
    <w:name w:val="Document Map"/>
    <w:basedOn w:val="Navaden"/>
    <w:link w:val="ZgradbadokumentaZnak"/>
    <w:semiHidden/>
    <w:unhideWhenUsed/>
    <w:rsid w:val="00342A40"/>
    <w:pPr>
      <w:shd w:val="clear" w:color="auto" w:fill="000080"/>
      <w:overflowPunct/>
      <w:autoSpaceDE/>
      <w:autoSpaceDN/>
      <w:adjustRightInd/>
      <w:spacing w:after="60"/>
      <w:ind w:firstLine="284"/>
      <w:textAlignment w:val="auto"/>
    </w:pPr>
    <w:rPr>
      <w:rFonts w:ascii="Calibri" w:hAnsi="Calibri"/>
      <w:sz w:val="22"/>
      <w:szCs w:val="20"/>
      <w:lang w:val="en-GB" w:eastAsia="en-US"/>
    </w:rPr>
  </w:style>
  <w:style w:type="character" w:customStyle="1" w:styleId="ZgradbadokumentaZnak">
    <w:name w:val="Zgradba dokumenta Znak"/>
    <w:link w:val="Zgradbadokumenta"/>
    <w:rsid w:val="00342A40"/>
    <w:rPr>
      <w:rFonts w:eastAsia="Times New Roman"/>
      <w:sz w:val="22"/>
      <w:shd w:val="clear" w:color="auto" w:fill="000080"/>
      <w:lang w:val="en-GB" w:eastAsia="en-US"/>
    </w:rPr>
  </w:style>
  <w:style w:type="paragraph" w:styleId="Golobesedilo">
    <w:name w:val="Plain Text"/>
    <w:basedOn w:val="Navaden"/>
    <w:link w:val="GolobesediloZnak"/>
    <w:uiPriority w:val="99"/>
    <w:unhideWhenUsed/>
    <w:rsid w:val="00342A40"/>
    <w:pPr>
      <w:overflowPunct/>
      <w:autoSpaceDE/>
      <w:autoSpaceDN/>
      <w:adjustRightInd/>
      <w:ind w:firstLine="284"/>
      <w:jc w:val="left"/>
      <w:textAlignment w:val="auto"/>
    </w:pPr>
    <w:rPr>
      <w:rFonts w:ascii="Courier New" w:hAnsi="Courier New"/>
      <w:szCs w:val="20"/>
      <w:lang w:val="en-US" w:eastAsia="ja-JP"/>
    </w:rPr>
  </w:style>
  <w:style w:type="character" w:customStyle="1" w:styleId="GolobesediloZnak">
    <w:name w:val="Golo besedilo Znak"/>
    <w:link w:val="Golobesedilo"/>
    <w:uiPriority w:val="99"/>
    <w:rsid w:val="00342A40"/>
    <w:rPr>
      <w:rFonts w:ascii="Courier New" w:eastAsia="Times New Roman" w:hAnsi="Courier New"/>
      <w:lang w:val="en-US" w:eastAsia="ja-JP"/>
    </w:rPr>
  </w:style>
  <w:style w:type="paragraph" w:styleId="Zadevapripombe">
    <w:name w:val="annotation subject"/>
    <w:basedOn w:val="Pripombabesedilo"/>
    <w:next w:val="Pripombabesedilo"/>
    <w:link w:val="ZadevapripombeZnak"/>
    <w:uiPriority w:val="99"/>
    <w:semiHidden/>
    <w:unhideWhenUsed/>
    <w:rsid w:val="00342A40"/>
    <w:rPr>
      <w:b/>
      <w:bCs/>
    </w:rPr>
  </w:style>
  <w:style w:type="character" w:customStyle="1" w:styleId="ZadevapripombeZnak">
    <w:name w:val="Zadeva pripombe Znak"/>
    <w:link w:val="Zadevapripombe"/>
    <w:uiPriority w:val="99"/>
    <w:semiHidden/>
    <w:rsid w:val="00342A40"/>
    <w:rPr>
      <w:rFonts w:ascii="Arial" w:eastAsia="Times New Roman" w:hAnsi="Arial"/>
      <w:b/>
      <w:bCs/>
      <w:szCs w:val="22"/>
      <w:lang w:eastAsia="ja-JP"/>
    </w:rPr>
  </w:style>
  <w:style w:type="character" w:customStyle="1" w:styleId="BesedilooblakaZnak">
    <w:name w:val="Besedilo oblačka Znak"/>
    <w:link w:val="Besedilooblaka"/>
    <w:uiPriority w:val="99"/>
    <w:semiHidden/>
    <w:rsid w:val="00342A40"/>
    <w:rPr>
      <w:rFonts w:ascii="Tahoma" w:eastAsia="Times New Roman" w:hAnsi="Tahoma" w:cs="Tahoma"/>
      <w:sz w:val="16"/>
      <w:szCs w:val="16"/>
    </w:rPr>
  </w:style>
  <w:style w:type="paragraph" w:styleId="Brezrazmikov">
    <w:name w:val="No Spacing"/>
    <w:uiPriority w:val="1"/>
    <w:qFormat/>
    <w:rsid w:val="00342A40"/>
    <w:rPr>
      <w:rFonts w:eastAsia="Times New Roman"/>
      <w:sz w:val="22"/>
      <w:szCs w:val="22"/>
      <w:lang w:eastAsia="ja-JP"/>
    </w:rPr>
  </w:style>
  <w:style w:type="paragraph" w:styleId="Citat">
    <w:name w:val="Quote"/>
    <w:basedOn w:val="Navaden"/>
    <w:next w:val="Navaden"/>
    <w:link w:val="CitatZnak"/>
    <w:uiPriority w:val="29"/>
    <w:qFormat/>
    <w:rsid w:val="00342A40"/>
    <w:pPr>
      <w:overflowPunct/>
      <w:autoSpaceDE/>
      <w:autoSpaceDN/>
      <w:adjustRightInd/>
      <w:jc w:val="left"/>
      <w:textAlignment w:val="auto"/>
    </w:pPr>
    <w:rPr>
      <w:rFonts w:ascii="Calibri" w:hAnsi="Calibri"/>
      <w:i/>
      <w:iCs/>
      <w:color w:val="000000"/>
      <w:sz w:val="22"/>
      <w:szCs w:val="22"/>
      <w:lang w:val="x-none" w:eastAsia="ja-JP"/>
    </w:rPr>
  </w:style>
  <w:style w:type="character" w:customStyle="1" w:styleId="CitatZnak">
    <w:name w:val="Citat Znak"/>
    <w:link w:val="Citat"/>
    <w:uiPriority w:val="29"/>
    <w:rsid w:val="00342A40"/>
    <w:rPr>
      <w:rFonts w:eastAsia="Times New Roman"/>
      <w:i/>
      <w:iCs/>
      <w:color w:val="000000"/>
      <w:sz w:val="22"/>
      <w:szCs w:val="22"/>
      <w:lang w:eastAsia="ja-JP"/>
    </w:rPr>
  </w:style>
  <w:style w:type="character" w:customStyle="1" w:styleId="IntenzivencitatZnak">
    <w:name w:val="Intenziven citat Znak"/>
    <w:aliases w:val="Seznam Prilog Znak"/>
    <w:link w:val="Intenzivencitat"/>
    <w:uiPriority w:val="30"/>
    <w:locked/>
    <w:rsid w:val="00342A40"/>
    <w:rPr>
      <w:b/>
      <w:bCs/>
      <w:i/>
      <w:iCs/>
      <w:color w:val="4F81BD"/>
    </w:rPr>
  </w:style>
  <w:style w:type="paragraph" w:styleId="Intenzivencitat">
    <w:name w:val="Intense Quote"/>
    <w:aliases w:val="Seznam Prilog"/>
    <w:basedOn w:val="Navaden"/>
    <w:next w:val="Navaden"/>
    <w:link w:val="IntenzivencitatZnak"/>
    <w:uiPriority w:val="30"/>
    <w:qFormat/>
    <w:rsid w:val="00342A40"/>
    <w:pPr>
      <w:pBdr>
        <w:bottom w:val="single" w:sz="4" w:space="4" w:color="4F81BD"/>
      </w:pBdr>
      <w:overflowPunct/>
      <w:autoSpaceDE/>
      <w:autoSpaceDN/>
      <w:adjustRightInd/>
      <w:spacing w:before="200" w:after="280"/>
      <w:ind w:left="936" w:right="936"/>
      <w:jc w:val="left"/>
      <w:textAlignment w:val="auto"/>
    </w:pPr>
    <w:rPr>
      <w:rFonts w:ascii="Calibri" w:eastAsia="Calibri" w:hAnsi="Calibri"/>
      <w:b/>
      <w:bCs/>
      <w:i/>
      <w:iCs/>
      <w:color w:val="4F81BD"/>
      <w:szCs w:val="20"/>
      <w:lang w:val="x-none" w:eastAsia="x-none"/>
    </w:rPr>
  </w:style>
  <w:style w:type="character" w:customStyle="1" w:styleId="IntenzivencitatZnak1">
    <w:name w:val="Intenziven citat Znak1"/>
    <w:aliases w:val="Seznam Prilog Znak1"/>
    <w:uiPriority w:val="30"/>
    <w:rsid w:val="00342A40"/>
    <w:rPr>
      <w:rFonts w:ascii="Arial" w:eastAsia="Times New Roman" w:hAnsi="Arial"/>
      <w:b/>
      <w:bCs/>
      <w:i/>
      <w:iCs/>
      <w:color w:val="4F81BD"/>
      <w:sz w:val="22"/>
      <w:szCs w:val="16"/>
    </w:rPr>
  </w:style>
  <w:style w:type="paragraph" w:styleId="NaslovTOC">
    <w:name w:val="TOC Heading"/>
    <w:basedOn w:val="Naslov10"/>
    <w:next w:val="Navaden"/>
    <w:uiPriority w:val="99"/>
    <w:unhideWhenUsed/>
    <w:qFormat/>
    <w:rsid w:val="00342A40"/>
    <w:pPr>
      <w:keepLines/>
      <w:numPr>
        <w:ilvl w:val="3"/>
        <w:numId w:val="0"/>
      </w:numPr>
      <w:overflowPunct/>
      <w:autoSpaceDE/>
      <w:autoSpaceDN/>
      <w:adjustRightInd/>
      <w:spacing w:before="480" w:after="0"/>
      <w:ind w:left="432" w:hanging="432"/>
      <w:jc w:val="left"/>
      <w:textAlignment w:val="auto"/>
      <w:outlineLvl w:val="9"/>
    </w:pPr>
    <w:rPr>
      <w:color w:val="365F91"/>
      <w:kern w:val="0"/>
      <w:lang w:eastAsia="ja-JP"/>
    </w:rPr>
  </w:style>
  <w:style w:type="paragraph" w:customStyle="1" w:styleId="lennovele">
    <w:name w:val="Člen_novele"/>
    <w:basedOn w:val="len"/>
    <w:link w:val="lennoveleZnak"/>
    <w:qFormat/>
    <w:rsid w:val="00BA6CBA"/>
  </w:style>
  <w:style w:type="paragraph" w:customStyle="1" w:styleId="ZnakZnak2CharCharZnakZnak">
    <w:name w:val="Znak Znak2 Char Char Znak Znak"/>
    <w:basedOn w:val="Navaden"/>
    <w:uiPriority w:val="99"/>
    <w:rsid w:val="00342A40"/>
    <w:pPr>
      <w:overflowPunct/>
      <w:autoSpaceDE/>
      <w:autoSpaceDN/>
      <w:adjustRightInd/>
      <w:jc w:val="left"/>
      <w:textAlignment w:val="auto"/>
    </w:pPr>
    <w:rPr>
      <w:rFonts w:ascii="Times New Roman" w:hAnsi="Times New Roman"/>
      <w:noProof/>
      <w:sz w:val="24"/>
      <w:szCs w:val="22"/>
      <w:lang w:val="pl-PL" w:eastAsia="pl-PL"/>
    </w:rPr>
  </w:style>
  <w:style w:type="paragraph" w:customStyle="1" w:styleId="ZnakZnakZnakZnakZnak1">
    <w:name w:val="Znak Znak Znak Znak Znak1"/>
    <w:basedOn w:val="Navaden"/>
    <w:uiPriority w:val="99"/>
    <w:rsid w:val="00342A40"/>
    <w:pPr>
      <w:overflowPunct/>
      <w:autoSpaceDE/>
      <w:autoSpaceDN/>
      <w:adjustRightInd/>
      <w:jc w:val="left"/>
      <w:textAlignment w:val="auto"/>
    </w:pPr>
    <w:rPr>
      <w:rFonts w:ascii="Times New Roman" w:hAnsi="Times New Roman"/>
      <w:sz w:val="24"/>
      <w:szCs w:val="22"/>
      <w:lang w:val="pl-PL" w:eastAsia="pl-PL"/>
    </w:rPr>
  </w:style>
  <w:style w:type="paragraph" w:customStyle="1" w:styleId="Navadensplet1">
    <w:name w:val="Navaden (splet)1"/>
    <w:basedOn w:val="Navaden"/>
    <w:uiPriority w:val="99"/>
    <w:rsid w:val="00342A40"/>
    <w:pPr>
      <w:overflowPunct/>
      <w:autoSpaceDE/>
      <w:autoSpaceDN/>
      <w:adjustRightInd/>
      <w:spacing w:before="100" w:beforeAutospacing="1" w:after="240"/>
      <w:jc w:val="left"/>
      <w:textAlignment w:val="auto"/>
    </w:pPr>
    <w:rPr>
      <w:rFonts w:ascii="Times New Roman" w:hAnsi="Times New Roman"/>
      <w:sz w:val="24"/>
      <w:szCs w:val="22"/>
      <w:lang w:eastAsia="ja-JP"/>
    </w:rPr>
  </w:style>
  <w:style w:type="paragraph" w:customStyle="1" w:styleId="MOPbesedilo">
    <w:name w:val="MOP_besedilo"/>
    <w:basedOn w:val="Navadensplet1"/>
    <w:uiPriority w:val="99"/>
    <w:rsid w:val="00342A40"/>
    <w:pPr>
      <w:jc w:val="both"/>
    </w:pPr>
    <w:rPr>
      <w:rFonts w:ascii="Arial" w:eastAsia="TimesNewRoman" w:hAnsi="Arial" w:cs="Arial"/>
      <w:sz w:val="20"/>
      <w:szCs w:val="20"/>
    </w:rPr>
  </w:style>
  <w:style w:type="numbering" w:customStyle="1" w:styleId="Alinejazaodstavkom1">
    <w:name w:val="Alineja za odstavkom1"/>
    <w:uiPriority w:val="99"/>
    <w:rsid w:val="00BA6CBA"/>
    <w:pPr>
      <w:numPr>
        <w:numId w:val="3"/>
      </w:numPr>
    </w:pPr>
  </w:style>
  <w:style w:type="character" w:customStyle="1" w:styleId="FootnoteTextChar1">
    <w:name w:val="Footnote Text Char1"/>
    <w:uiPriority w:val="99"/>
    <w:semiHidden/>
    <w:rsid w:val="00BA6CBA"/>
    <w:rPr>
      <w:rFonts w:ascii="Arial" w:eastAsia="Times New Roman" w:hAnsi="Arial"/>
    </w:rPr>
  </w:style>
  <w:style w:type="table" w:customStyle="1" w:styleId="TableGrid1">
    <w:name w:val="Table Grid1"/>
    <w:basedOn w:val="Navadnatabela"/>
    <w:next w:val="Tabelamrea"/>
    <w:uiPriority w:val="99"/>
    <w:rsid w:val="00BA6CBA"/>
    <w:rPr>
      <w:rFonts w:eastAsia="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7">
    <w:name w:val="Pa7"/>
    <w:basedOn w:val="Navaden"/>
    <w:next w:val="Navaden"/>
    <w:uiPriority w:val="99"/>
    <w:rsid w:val="00342A40"/>
    <w:pPr>
      <w:overflowPunct/>
      <w:spacing w:line="221" w:lineRule="atLeast"/>
      <w:jc w:val="left"/>
      <w:textAlignment w:val="auto"/>
    </w:pPr>
    <w:rPr>
      <w:rFonts w:ascii="Verdana" w:hAnsi="Verdana"/>
      <w:szCs w:val="22"/>
      <w:lang w:eastAsia="ja-JP"/>
    </w:rPr>
  </w:style>
  <w:style w:type="paragraph" w:customStyle="1" w:styleId="ZnakZnak1">
    <w:name w:val="Znak Znak1"/>
    <w:basedOn w:val="Navaden"/>
    <w:uiPriority w:val="99"/>
    <w:rsid w:val="00342A40"/>
    <w:pPr>
      <w:overflowPunct/>
      <w:autoSpaceDE/>
      <w:autoSpaceDN/>
      <w:adjustRightInd/>
      <w:jc w:val="left"/>
      <w:textAlignment w:val="auto"/>
    </w:pPr>
    <w:rPr>
      <w:szCs w:val="22"/>
      <w:lang w:val="pl-PL" w:eastAsia="pl-PL"/>
    </w:rPr>
  </w:style>
  <w:style w:type="paragraph" w:customStyle="1" w:styleId="esegmenth4">
    <w:name w:val="esegment_h4"/>
    <w:basedOn w:val="Navaden"/>
    <w:uiPriority w:val="99"/>
    <w:rsid w:val="00342A40"/>
    <w:pPr>
      <w:overflowPunct/>
      <w:autoSpaceDE/>
      <w:autoSpaceDN/>
      <w:adjustRightInd/>
      <w:spacing w:before="100" w:beforeAutospacing="1" w:after="100" w:afterAutospacing="1"/>
      <w:jc w:val="left"/>
      <w:textAlignment w:val="auto"/>
    </w:pPr>
    <w:rPr>
      <w:rFonts w:ascii="Times New Roman" w:hAnsi="Times New Roman"/>
      <w:sz w:val="24"/>
      <w:szCs w:val="22"/>
      <w:lang w:eastAsia="ja-JP"/>
    </w:rPr>
  </w:style>
  <w:style w:type="paragraph" w:customStyle="1" w:styleId="1Heading">
    <w:name w:val="1 Heading"/>
    <w:uiPriority w:val="99"/>
    <w:rsid w:val="00342A40"/>
    <w:pPr>
      <w:tabs>
        <w:tab w:val="num" w:pos="432"/>
      </w:tabs>
      <w:spacing w:before="240" w:after="60" w:line="360" w:lineRule="auto"/>
      <w:ind w:left="432" w:hanging="432"/>
    </w:pPr>
    <w:rPr>
      <w:rFonts w:ascii="Tahoma" w:eastAsia="Times New Roman" w:hAnsi="Tahoma"/>
      <w:sz w:val="28"/>
      <w:szCs w:val="24"/>
    </w:rPr>
  </w:style>
  <w:style w:type="paragraph" w:customStyle="1" w:styleId="Standard1">
    <w:name w:val="Standard1"/>
    <w:uiPriority w:val="99"/>
    <w:rsid w:val="00342A40"/>
    <w:rPr>
      <w:rFonts w:eastAsia="ヒラギノ角ゴ Pro W3"/>
      <w:color w:val="000000"/>
      <w:sz w:val="24"/>
      <w:szCs w:val="22"/>
      <w:lang w:eastAsia="zh-CN"/>
    </w:rPr>
  </w:style>
  <w:style w:type="paragraph" w:customStyle="1" w:styleId="Podnaslov1">
    <w:name w:val="Podnaslov1"/>
    <w:basedOn w:val="Navaden"/>
    <w:next w:val="Navaden"/>
    <w:autoRedefine/>
    <w:uiPriority w:val="99"/>
    <w:rsid w:val="00342A40"/>
    <w:pPr>
      <w:numPr>
        <w:ilvl w:val="1"/>
        <w:numId w:val="11"/>
      </w:numPr>
      <w:overflowPunct/>
      <w:autoSpaceDE/>
      <w:autoSpaceDN/>
      <w:adjustRightInd/>
      <w:spacing w:before="240" w:after="60"/>
      <w:ind w:left="998" w:hanging="431"/>
      <w:textAlignment w:val="auto"/>
    </w:pPr>
    <w:rPr>
      <w:rFonts w:ascii="Calibri" w:hAnsi="Calibri"/>
      <w:bCs/>
      <w:sz w:val="24"/>
      <w:szCs w:val="28"/>
      <w:lang w:eastAsia="en-US"/>
    </w:rPr>
  </w:style>
  <w:style w:type="paragraph" w:customStyle="1" w:styleId="font0">
    <w:name w:val="font0"/>
    <w:basedOn w:val="Navaden"/>
    <w:uiPriority w:val="99"/>
    <w:rsid w:val="00342A40"/>
    <w:pPr>
      <w:overflowPunct/>
      <w:autoSpaceDE/>
      <w:autoSpaceDN/>
      <w:adjustRightInd/>
      <w:spacing w:before="100" w:beforeAutospacing="1" w:after="100" w:afterAutospacing="1"/>
      <w:jc w:val="left"/>
      <w:textAlignment w:val="auto"/>
    </w:pPr>
    <w:rPr>
      <w:rFonts w:ascii="Calibri" w:hAnsi="Calibri"/>
      <w:color w:val="000000"/>
      <w:szCs w:val="22"/>
      <w:lang w:eastAsia="ja-JP"/>
    </w:rPr>
  </w:style>
  <w:style w:type="paragraph" w:customStyle="1" w:styleId="font5">
    <w:name w:val="font5"/>
    <w:basedOn w:val="Navaden"/>
    <w:rsid w:val="00342A40"/>
    <w:pPr>
      <w:overflowPunct/>
      <w:autoSpaceDE/>
      <w:autoSpaceDN/>
      <w:adjustRightInd/>
      <w:spacing w:before="100" w:beforeAutospacing="1" w:after="100" w:afterAutospacing="1"/>
      <w:jc w:val="left"/>
      <w:textAlignment w:val="auto"/>
    </w:pPr>
    <w:rPr>
      <w:rFonts w:ascii="Calibri" w:hAnsi="Calibri"/>
      <w:color w:val="000000"/>
      <w:szCs w:val="22"/>
      <w:lang w:eastAsia="ja-JP"/>
    </w:rPr>
  </w:style>
  <w:style w:type="paragraph" w:customStyle="1" w:styleId="xl65">
    <w:name w:val="xl65"/>
    <w:basedOn w:val="Navaden"/>
    <w:rsid w:val="00342A40"/>
    <w:pPr>
      <w:shd w:val="clear" w:color="auto" w:fill="C6EFCE"/>
      <w:overflowPunct/>
      <w:autoSpaceDE/>
      <w:autoSpaceDN/>
      <w:adjustRightInd/>
      <w:spacing w:before="100" w:beforeAutospacing="1" w:after="100" w:afterAutospacing="1"/>
      <w:jc w:val="left"/>
      <w:textAlignment w:val="auto"/>
    </w:pPr>
    <w:rPr>
      <w:rFonts w:ascii="Times New Roman" w:hAnsi="Times New Roman"/>
      <w:color w:val="006100"/>
      <w:sz w:val="24"/>
      <w:szCs w:val="22"/>
      <w:lang w:eastAsia="ja-JP"/>
    </w:rPr>
  </w:style>
  <w:style w:type="paragraph" w:customStyle="1" w:styleId="xl67">
    <w:name w:val="xl67"/>
    <w:basedOn w:val="Navaden"/>
    <w:rsid w:val="00342A40"/>
    <w:pPr>
      <w:shd w:val="clear" w:color="auto" w:fill="C6EFCE"/>
      <w:overflowPunct/>
      <w:autoSpaceDE/>
      <w:autoSpaceDN/>
      <w:adjustRightInd/>
      <w:spacing w:before="100" w:beforeAutospacing="1" w:after="100" w:afterAutospacing="1"/>
      <w:jc w:val="left"/>
      <w:textAlignment w:val="auto"/>
    </w:pPr>
    <w:rPr>
      <w:rFonts w:ascii="Times New Roman" w:hAnsi="Times New Roman"/>
      <w:color w:val="006100"/>
      <w:sz w:val="24"/>
      <w:szCs w:val="22"/>
      <w:lang w:eastAsia="ja-JP"/>
    </w:rPr>
  </w:style>
  <w:style w:type="paragraph" w:customStyle="1" w:styleId="xl68">
    <w:name w:val="xl68"/>
    <w:basedOn w:val="Navaden"/>
    <w:rsid w:val="00342A40"/>
    <w:pPr>
      <w:shd w:val="clear" w:color="auto" w:fill="C8E4EA"/>
      <w:overflowPunct/>
      <w:autoSpaceDE/>
      <w:autoSpaceDN/>
      <w:adjustRightInd/>
      <w:spacing w:before="100" w:beforeAutospacing="1" w:after="100" w:afterAutospacing="1"/>
      <w:jc w:val="left"/>
      <w:textAlignment w:val="auto"/>
    </w:pPr>
    <w:rPr>
      <w:rFonts w:ascii="Times New Roman" w:hAnsi="Times New Roman"/>
      <w:sz w:val="24"/>
      <w:szCs w:val="22"/>
      <w:lang w:eastAsia="ja-JP"/>
    </w:rPr>
  </w:style>
  <w:style w:type="paragraph" w:customStyle="1" w:styleId="xl69">
    <w:name w:val="xl69"/>
    <w:basedOn w:val="Navaden"/>
    <w:rsid w:val="00342A40"/>
    <w:pPr>
      <w:shd w:val="clear" w:color="auto" w:fill="C8E4EA"/>
      <w:overflowPunct/>
      <w:autoSpaceDE/>
      <w:autoSpaceDN/>
      <w:adjustRightInd/>
      <w:spacing w:before="100" w:beforeAutospacing="1" w:after="100" w:afterAutospacing="1"/>
      <w:jc w:val="left"/>
      <w:textAlignment w:val="auto"/>
    </w:pPr>
    <w:rPr>
      <w:rFonts w:ascii="Times New Roman" w:hAnsi="Times New Roman"/>
      <w:sz w:val="24"/>
      <w:szCs w:val="22"/>
      <w:lang w:eastAsia="ja-JP"/>
    </w:rPr>
  </w:style>
  <w:style w:type="paragraph" w:customStyle="1" w:styleId="xl66">
    <w:name w:val="xl66"/>
    <w:basedOn w:val="Navaden"/>
    <w:rsid w:val="00342A40"/>
    <w:pPr>
      <w:shd w:val="clear" w:color="auto" w:fill="D4D3DF"/>
      <w:overflowPunct/>
      <w:autoSpaceDE/>
      <w:autoSpaceDN/>
      <w:adjustRightInd/>
      <w:spacing w:before="100" w:beforeAutospacing="1" w:after="100" w:afterAutospacing="1"/>
      <w:jc w:val="left"/>
      <w:textAlignment w:val="auto"/>
    </w:pPr>
    <w:rPr>
      <w:rFonts w:ascii="Times New Roman" w:hAnsi="Times New Roman"/>
      <w:sz w:val="24"/>
      <w:szCs w:val="22"/>
      <w:lang w:eastAsia="ja-JP"/>
    </w:rPr>
  </w:style>
  <w:style w:type="paragraph" w:customStyle="1" w:styleId="xl70">
    <w:name w:val="xl70"/>
    <w:basedOn w:val="Navaden"/>
    <w:rsid w:val="00342A40"/>
    <w:pPr>
      <w:shd w:val="clear" w:color="auto" w:fill="C8E4EA"/>
      <w:overflowPunct/>
      <w:autoSpaceDE/>
      <w:autoSpaceDN/>
      <w:adjustRightInd/>
      <w:spacing w:before="100" w:beforeAutospacing="1" w:after="100" w:afterAutospacing="1"/>
      <w:jc w:val="left"/>
      <w:textAlignment w:val="auto"/>
    </w:pPr>
    <w:rPr>
      <w:rFonts w:ascii="Times New Roman" w:hAnsi="Times New Roman"/>
      <w:sz w:val="24"/>
      <w:szCs w:val="22"/>
      <w:lang w:eastAsia="ja-JP"/>
    </w:rPr>
  </w:style>
  <w:style w:type="paragraph" w:customStyle="1" w:styleId="mrppsi">
    <w:name w:val="mrppsi"/>
    <w:basedOn w:val="Navaden"/>
    <w:uiPriority w:val="99"/>
    <w:rsid w:val="00342A40"/>
    <w:pPr>
      <w:overflowPunct/>
      <w:autoSpaceDE/>
      <w:autoSpaceDN/>
      <w:adjustRightInd/>
      <w:spacing w:before="100" w:beforeAutospacing="1" w:after="100" w:afterAutospacing="1"/>
      <w:jc w:val="left"/>
      <w:textAlignment w:val="auto"/>
    </w:pPr>
    <w:rPr>
      <w:rFonts w:ascii="Times New Roman" w:hAnsi="Times New Roman"/>
      <w:sz w:val="24"/>
      <w:szCs w:val="22"/>
      <w:lang w:eastAsia="ja-JP"/>
    </w:rPr>
  </w:style>
  <w:style w:type="paragraph" w:customStyle="1" w:styleId="len0">
    <w:name w:val="len"/>
    <w:basedOn w:val="Navaden"/>
    <w:uiPriority w:val="99"/>
    <w:rsid w:val="00342A40"/>
    <w:pPr>
      <w:overflowPunct/>
      <w:autoSpaceDE/>
      <w:autoSpaceDN/>
      <w:adjustRightInd/>
      <w:spacing w:before="100" w:beforeAutospacing="1" w:after="100" w:afterAutospacing="1" w:line="360" w:lineRule="auto"/>
      <w:jc w:val="left"/>
      <w:textAlignment w:val="auto"/>
    </w:pPr>
    <w:rPr>
      <w:rFonts w:ascii="Times New Roman" w:hAnsi="Times New Roman"/>
      <w:sz w:val="24"/>
      <w:szCs w:val="22"/>
      <w:lang w:val="en-GB" w:eastAsia="zh-CN"/>
    </w:rPr>
  </w:style>
  <w:style w:type="paragraph" w:customStyle="1" w:styleId="xl63">
    <w:name w:val="xl63"/>
    <w:basedOn w:val="Navaden"/>
    <w:rsid w:val="00342A40"/>
    <w:pPr>
      <w:overflowPunct/>
      <w:autoSpaceDE/>
      <w:autoSpaceDN/>
      <w:adjustRightInd/>
      <w:spacing w:before="100" w:beforeAutospacing="1" w:after="100" w:afterAutospacing="1"/>
      <w:jc w:val="right"/>
      <w:textAlignment w:val="auto"/>
    </w:pPr>
    <w:rPr>
      <w:rFonts w:ascii="Times New Roman" w:hAnsi="Times New Roman"/>
      <w:b/>
      <w:bCs/>
      <w:sz w:val="28"/>
      <w:szCs w:val="28"/>
      <w:lang w:eastAsia="ja-JP"/>
    </w:rPr>
  </w:style>
  <w:style w:type="paragraph" w:customStyle="1" w:styleId="xl64">
    <w:name w:val="xl64"/>
    <w:basedOn w:val="Navaden"/>
    <w:rsid w:val="00342A40"/>
    <w:pPr>
      <w:overflowPunct/>
      <w:autoSpaceDE/>
      <w:autoSpaceDN/>
      <w:adjustRightInd/>
      <w:spacing w:before="100" w:beforeAutospacing="1" w:after="100" w:afterAutospacing="1"/>
      <w:jc w:val="left"/>
      <w:textAlignment w:val="auto"/>
    </w:pPr>
    <w:rPr>
      <w:rFonts w:ascii="Times New Roman" w:hAnsi="Times New Roman"/>
      <w:sz w:val="24"/>
      <w:szCs w:val="22"/>
      <w:lang w:eastAsia="ja-JP"/>
    </w:rPr>
  </w:style>
  <w:style w:type="paragraph" w:customStyle="1" w:styleId="xl71">
    <w:name w:val="xl71"/>
    <w:basedOn w:val="Navaden"/>
    <w:rsid w:val="00342A40"/>
    <w:pPr>
      <w:overflowPunct/>
      <w:autoSpaceDE/>
      <w:autoSpaceDN/>
      <w:adjustRightInd/>
      <w:spacing w:before="100" w:beforeAutospacing="1" w:after="100" w:afterAutospacing="1"/>
      <w:jc w:val="right"/>
      <w:textAlignment w:val="auto"/>
    </w:pPr>
    <w:rPr>
      <w:rFonts w:ascii="Times New Roman" w:hAnsi="Times New Roman"/>
      <w:b/>
      <w:bCs/>
      <w:sz w:val="24"/>
      <w:szCs w:val="22"/>
      <w:lang w:eastAsia="ja-JP"/>
    </w:rPr>
  </w:style>
  <w:style w:type="paragraph" w:customStyle="1" w:styleId="xl72">
    <w:name w:val="xl72"/>
    <w:basedOn w:val="Navaden"/>
    <w:rsid w:val="00342A40"/>
    <w:pPr>
      <w:overflowPunct/>
      <w:autoSpaceDE/>
      <w:autoSpaceDN/>
      <w:adjustRightInd/>
      <w:spacing w:before="100" w:beforeAutospacing="1" w:after="100" w:afterAutospacing="1"/>
      <w:jc w:val="left"/>
      <w:textAlignment w:val="auto"/>
    </w:pPr>
    <w:rPr>
      <w:rFonts w:ascii="Times New Roman" w:hAnsi="Times New Roman"/>
      <w:b/>
      <w:bCs/>
      <w:sz w:val="24"/>
      <w:szCs w:val="22"/>
      <w:lang w:eastAsia="ja-JP"/>
    </w:rPr>
  </w:style>
  <w:style w:type="paragraph" w:customStyle="1" w:styleId="xl73">
    <w:name w:val="xl73"/>
    <w:basedOn w:val="Navaden"/>
    <w:rsid w:val="00342A40"/>
    <w:pPr>
      <w:overflowPunct/>
      <w:autoSpaceDE/>
      <w:autoSpaceDN/>
      <w:adjustRightInd/>
      <w:spacing w:before="100" w:beforeAutospacing="1" w:after="100" w:afterAutospacing="1"/>
      <w:jc w:val="right"/>
      <w:textAlignment w:val="auto"/>
    </w:pPr>
    <w:rPr>
      <w:rFonts w:ascii="Times New Roman" w:hAnsi="Times New Roman"/>
      <w:color w:val="C0504D"/>
      <w:sz w:val="24"/>
      <w:szCs w:val="22"/>
      <w:lang w:eastAsia="ja-JP"/>
    </w:rPr>
  </w:style>
  <w:style w:type="paragraph" w:customStyle="1" w:styleId="xl74">
    <w:name w:val="xl74"/>
    <w:basedOn w:val="Navaden"/>
    <w:rsid w:val="00342A40"/>
    <w:pPr>
      <w:overflowPunct/>
      <w:autoSpaceDE/>
      <w:autoSpaceDN/>
      <w:adjustRightInd/>
      <w:spacing w:before="100" w:beforeAutospacing="1" w:after="100" w:afterAutospacing="1"/>
      <w:jc w:val="left"/>
      <w:textAlignment w:val="auto"/>
    </w:pPr>
    <w:rPr>
      <w:rFonts w:ascii="Times New Roman" w:hAnsi="Times New Roman"/>
      <w:color w:val="C0504D"/>
      <w:sz w:val="24"/>
      <w:szCs w:val="22"/>
      <w:lang w:eastAsia="ja-JP"/>
    </w:rPr>
  </w:style>
  <w:style w:type="paragraph" w:customStyle="1" w:styleId="xl75">
    <w:name w:val="xl75"/>
    <w:basedOn w:val="Navaden"/>
    <w:rsid w:val="00342A40"/>
    <w:pPr>
      <w:shd w:val="clear" w:color="auto" w:fill="FDE9D9"/>
      <w:overflowPunct/>
      <w:autoSpaceDE/>
      <w:autoSpaceDN/>
      <w:adjustRightInd/>
      <w:spacing w:before="100" w:beforeAutospacing="1" w:after="100" w:afterAutospacing="1"/>
      <w:jc w:val="right"/>
      <w:textAlignment w:val="auto"/>
    </w:pPr>
    <w:rPr>
      <w:rFonts w:ascii="Times New Roman" w:hAnsi="Times New Roman"/>
      <w:color w:val="F79646"/>
      <w:sz w:val="24"/>
      <w:szCs w:val="22"/>
      <w:lang w:eastAsia="ja-JP"/>
    </w:rPr>
  </w:style>
  <w:style w:type="paragraph" w:customStyle="1" w:styleId="xl76">
    <w:name w:val="xl76"/>
    <w:basedOn w:val="Navaden"/>
    <w:rsid w:val="00342A40"/>
    <w:pPr>
      <w:shd w:val="clear" w:color="auto" w:fill="FDE9D9"/>
      <w:overflowPunct/>
      <w:autoSpaceDE/>
      <w:autoSpaceDN/>
      <w:adjustRightInd/>
      <w:spacing w:before="100" w:beforeAutospacing="1" w:after="100" w:afterAutospacing="1"/>
      <w:jc w:val="left"/>
      <w:textAlignment w:val="auto"/>
    </w:pPr>
    <w:rPr>
      <w:rFonts w:ascii="Times New Roman" w:hAnsi="Times New Roman"/>
      <w:color w:val="F79646"/>
      <w:sz w:val="24"/>
      <w:szCs w:val="22"/>
      <w:lang w:eastAsia="ja-JP"/>
    </w:rPr>
  </w:style>
  <w:style w:type="paragraph" w:customStyle="1" w:styleId="xl77">
    <w:name w:val="xl77"/>
    <w:basedOn w:val="Navaden"/>
    <w:rsid w:val="00342A40"/>
    <w:pPr>
      <w:overflowPunct/>
      <w:autoSpaceDE/>
      <w:autoSpaceDN/>
      <w:adjustRightInd/>
      <w:spacing w:before="100" w:beforeAutospacing="1" w:after="100" w:afterAutospacing="1"/>
      <w:jc w:val="right"/>
      <w:textAlignment w:val="auto"/>
    </w:pPr>
    <w:rPr>
      <w:rFonts w:ascii="Times New Roman" w:hAnsi="Times New Roman"/>
      <w:b/>
      <w:bCs/>
      <w:sz w:val="24"/>
      <w:szCs w:val="22"/>
      <w:lang w:eastAsia="ja-JP"/>
    </w:rPr>
  </w:style>
  <w:style w:type="paragraph" w:customStyle="1" w:styleId="xl78">
    <w:name w:val="xl78"/>
    <w:basedOn w:val="Navaden"/>
    <w:rsid w:val="00342A40"/>
    <w:pPr>
      <w:overflowPunct/>
      <w:autoSpaceDE/>
      <w:autoSpaceDN/>
      <w:adjustRightInd/>
      <w:spacing w:before="100" w:beforeAutospacing="1" w:after="100" w:afterAutospacing="1"/>
      <w:jc w:val="right"/>
      <w:textAlignment w:val="auto"/>
    </w:pPr>
    <w:rPr>
      <w:rFonts w:ascii="Times New Roman" w:hAnsi="Times New Roman"/>
      <w:sz w:val="24"/>
      <w:szCs w:val="22"/>
      <w:lang w:eastAsia="ja-JP"/>
    </w:rPr>
  </w:style>
  <w:style w:type="paragraph" w:customStyle="1" w:styleId="xl79">
    <w:name w:val="xl79"/>
    <w:basedOn w:val="Navaden"/>
    <w:rsid w:val="00342A40"/>
    <w:pPr>
      <w:overflowPunct/>
      <w:autoSpaceDE/>
      <w:autoSpaceDN/>
      <w:adjustRightInd/>
      <w:spacing w:before="100" w:beforeAutospacing="1" w:after="100" w:afterAutospacing="1"/>
      <w:jc w:val="left"/>
      <w:textAlignment w:val="auto"/>
    </w:pPr>
    <w:rPr>
      <w:rFonts w:ascii="Times New Roman" w:hAnsi="Times New Roman"/>
      <w:sz w:val="24"/>
      <w:szCs w:val="22"/>
      <w:lang w:eastAsia="ja-JP"/>
    </w:rPr>
  </w:style>
  <w:style w:type="paragraph" w:customStyle="1" w:styleId="xl80">
    <w:name w:val="xl80"/>
    <w:basedOn w:val="Navaden"/>
    <w:rsid w:val="00342A40"/>
    <w:pPr>
      <w:overflowPunct/>
      <w:autoSpaceDE/>
      <w:autoSpaceDN/>
      <w:adjustRightInd/>
      <w:spacing w:before="100" w:beforeAutospacing="1" w:after="100" w:afterAutospacing="1"/>
      <w:jc w:val="right"/>
      <w:textAlignment w:val="auto"/>
    </w:pPr>
    <w:rPr>
      <w:rFonts w:ascii="Times New Roman" w:hAnsi="Times New Roman"/>
      <w:color w:val="C0504D"/>
      <w:sz w:val="24"/>
      <w:szCs w:val="22"/>
      <w:lang w:eastAsia="ja-JP"/>
    </w:rPr>
  </w:style>
  <w:style w:type="paragraph" w:customStyle="1" w:styleId="xl81">
    <w:name w:val="xl81"/>
    <w:basedOn w:val="Navaden"/>
    <w:rsid w:val="00342A40"/>
    <w:pPr>
      <w:overflowPunct/>
      <w:autoSpaceDE/>
      <w:autoSpaceDN/>
      <w:adjustRightInd/>
      <w:spacing w:before="100" w:beforeAutospacing="1" w:after="100" w:afterAutospacing="1"/>
      <w:jc w:val="left"/>
      <w:textAlignment w:val="auto"/>
    </w:pPr>
    <w:rPr>
      <w:rFonts w:ascii="Times New Roman" w:hAnsi="Times New Roman"/>
      <w:color w:val="C0504D"/>
      <w:sz w:val="24"/>
      <w:szCs w:val="22"/>
      <w:lang w:eastAsia="ja-JP"/>
    </w:rPr>
  </w:style>
  <w:style w:type="paragraph" w:customStyle="1" w:styleId="xl82">
    <w:name w:val="xl82"/>
    <w:basedOn w:val="Navaden"/>
    <w:rsid w:val="00342A40"/>
    <w:pPr>
      <w:overflowPunct/>
      <w:autoSpaceDE/>
      <w:autoSpaceDN/>
      <w:adjustRightInd/>
      <w:spacing w:before="100" w:beforeAutospacing="1" w:after="100" w:afterAutospacing="1"/>
      <w:jc w:val="left"/>
      <w:textAlignment w:val="auto"/>
    </w:pPr>
    <w:rPr>
      <w:rFonts w:ascii="Times New Roman" w:hAnsi="Times New Roman"/>
      <w:sz w:val="24"/>
      <w:szCs w:val="22"/>
      <w:lang w:eastAsia="ja-JP"/>
    </w:rPr>
  </w:style>
  <w:style w:type="paragraph" w:customStyle="1" w:styleId="xl83">
    <w:name w:val="xl83"/>
    <w:basedOn w:val="Navaden"/>
    <w:rsid w:val="00342A40"/>
    <w:pPr>
      <w:overflowPunct/>
      <w:autoSpaceDE/>
      <w:autoSpaceDN/>
      <w:adjustRightInd/>
      <w:spacing w:before="100" w:beforeAutospacing="1" w:after="100" w:afterAutospacing="1"/>
      <w:jc w:val="left"/>
      <w:textAlignment w:val="auto"/>
    </w:pPr>
    <w:rPr>
      <w:rFonts w:ascii="Times New Roman" w:hAnsi="Times New Roman"/>
      <w:sz w:val="24"/>
      <w:szCs w:val="22"/>
      <w:lang w:eastAsia="ja-JP"/>
    </w:rPr>
  </w:style>
  <w:style w:type="paragraph" w:customStyle="1" w:styleId="xl84">
    <w:name w:val="xl84"/>
    <w:basedOn w:val="Navaden"/>
    <w:rsid w:val="00342A40"/>
    <w:pPr>
      <w:overflowPunct/>
      <w:autoSpaceDE/>
      <w:autoSpaceDN/>
      <w:adjustRightInd/>
      <w:spacing w:before="100" w:beforeAutospacing="1" w:after="100" w:afterAutospacing="1"/>
      <w:jc w:val="right"/>
      <w:textAlignment w:val="auto"/>
    </w:pPr>
    <w:rPr>
      <w:rFonts w:ascii="Times New Roman" w:hAnsi="Times New Roman"/>
      <w:sz w:val="24"/>
      <w:szCs w:val="22"/>
      <w:lang w:eastAsia="ja-JP"/>
    </w:rPr>
  </w:style>
  <w:style w:type="paragraph" w:customStyle="1" w:styleId="xl85">
    <w:name w:val="xl85"/>
    <w:basedOn w:val="Navaden"/>
    <w:rsid w:val="00342A40"/>
    <w:pPr>
      <w:overflowPunct/>
      <w:autoSpaceDE/>
      <w:autoSpaceDN/>
      <w:adjustRightInd/>
      <w:spacing w:before="100" w:beforeAutospacing="1" w:after="100" w:afterAutospacing="1"/>
      <w:jc w:val="left"/>
      <w:textAlignment w:val="auto"/>
    </w:pPr>
    <w:rPr>
      <w:rFonts w:ascii="Times New Roman" w:hAnsi="Times New Roman"/>
      <w:sz w:val="24"/>
      <w:szCs w:val="22"/>
      <w:lang w:eastAsia="ja-JP"/>
    </w:rPr>
  </w:style>
  <w:style w:type="paragraph" w:customStyle="1" w:styleId="xl86">
    <w:name w:val="xl86"/>
    <w:basedOn w:val="Navaden"/>
    <w:rsid w:val="00342A40"/>
    <w:pPr>
      <w:shd w:val="clear" w:color="auto" w:fill="FDE9D9"/>
      <w:overflowPunct/>
      <w:autoSpaceDE/>
      <w:autoSpaceDN/>
      <w:adjustRightInd/>
      <w:spacing w:before="100" w:beforeAutospacing="1" w:after="100" w:afterAutospacing="1"/>
      <w:jc w:val="right"/>
      <w:textAlignment w:val="auto"/>
    </w:pPr>
    <w:rPr>
      <w:rFonts w:ascii="Times New Roman" w:hAnsi="Times New Roman"/>
      <w:b/>
      <w:bCs/>
      <w:color w:val="F79646"/>
      <w:sz w:val="24"/>
      <w:szCs w:val="22"/>
      <w:lang w:eastAsia="ja-JP"/>
    </w:rPr>
  </w:style>
  <w:style w:type="paragraph" w:customStyle="1" w:styleId="xl87">
    <w:name w:val="xl87"/>
    <w:basedOn w:val="Navaden"/>
    <w:rsid w:val="00342A40"/>
    <w:pPr>
      <w:shd w:val="clear" w:color="auto" w:fill="FDE9D9"/>
      <w:overflowPunct/>
      <w:autoSpaceDE/>
      <w:autoSpaceDN/>
      <w:adjustRightInd/>
      <w:spacing w:before="100" w:beforeAutospacing="1" w:after="100" w:afterAutospacing="1"/>
      <w:jc w:val="left"/>
      <w:textAlignment w:val="auto"/>
    </w:pPr>
    <w:rPr>
      <w:rFonts w:ascii="Times New Roman" w:hAnsi="Times New Roman"/>
      <w:b/>
      <w:bCs/>
      <w:color w:val="F79646"/>
      <w:sz w:val="24"/>
      <w:szCs w:val="22"/>
      <w:lang w:eastAsia="ja-JP"/>
    </w:rPr>
  </w:style>
  <w:style w:type="paragraph" w:customStyle="1" w:styleId="BodyTextSL">
    <w:name w:val="Body Text SL"/>
    <w:basedOn w:val="Telobesedila"/>
    <w:rsid w:val="00342A40"/>
    <w:pPr>
      <w:suppressAutoHyphens w:val="0"/>
      <w:jc w:val="both"/>
    </w:pPr>
    <w:rPr>
      <w:rFonts w:ascii="Arial" w:hAnsi="Arial"/>
      <w:lang w:eastAsia="sl-SI"/>
    </w:rPr>
  </w:style>
  <w:style w:type="paragraph" w:customStyle="1" w:styleId="Brezrazmikov1">
    <w:name w:val="Brez razmikov1"/>
    <w:uiPriority w:val="99"/>
    <w:rsid w:val="00342A40"/>
    <w:rPr>
      <w:rFonts w:ascii="Tahoma" w:eastAsia="Times New Roman" w:hAnsi="Tahoma"/>
      <w:sz w:val="22"/>
      <w:szCs w:val="22"/>
      <w:lang w:eastAsia="en-US"/>
    </w:rPr>
  </w:style>
  <w:style w:type="paragraph" w:customStyle="1" w:styleId="Natevanje2">
    <w:name w:val="Naštevanje2"/>
    <w:basedOn w:val="Navaden"/>
    <w:uiPriority w:val="99"/>
    <w:rsid w:val="00342A40"/>
    <w:pPr>
      <w:overflowPunct/>
      <w:autoSpaceDE/>
      <w:autoSpaceDN/>
      <w:adjustRightInd/>
      <w:spacing w:after="160"/>
      <w:ind w:left="454" w:hanging="454"/>
      <w:jc w:val="left"/>
      <w:textAlignment w:val="auto"/>
    </w:pPr>
    <w:rPr>
      <w:rFonts w:ascii="Times New Roman" w:hAnsi="Times New Roman"/>
      <w:b/>
      <w:sz w:val="24"/>
      <w:szCs w:val="20"/>
      <w:lang w:val="en-US" w:eastAsia="en-US"/>
    </w:rPr>
  </w:style>
  <w:style w:type="paragraph" w:customStyle="1" w:styleId="Zamik2">
    <w:name w:val="Zamik2"/>
    <w:basedOn w:val="Navaden"/>
    <w:uiPriority w:val="99"/>
    <w:rsid w:val="00342A40"/>
    <w:pPr>
      <w:tabs>
        <w:tab w:val="left" w:pos="3969"/>
        <w:tab w:val="left" w:pos="5103"/>
      </w:tabs>
      <w:overflowPunct/>
      <w:autoSpaceDE/>
      <w:autoSpaceDN/>
      <w:adjustRightInd/>
      <w:ind w:left="794" w:hanging="284"/>
      <w:jc w:val="left"/>
      <w:textAlignment w:val="auto"/>
    </w:pPr>
    <w:rPr>
      <w:rFonts w:ascii="Times New Roman" w:hAnsi="Times New Roman"/>
      <w:sz w:val="24"/>
      <w:szCs w:val="20"/>
      <w:lang w:val="en-US" w:eastAsia="en-US"/>
    </w:rPr>
  </w:style>
  <w:style w:type="paragraph" w:customStyle="1" w:styleId="Natevanje1">
    <w:name w:val="Naštevanje1"/>
    <w:basedOn w:val="Navaden"/>
    <w:uiPriority w:val="99"/>
    <w:rsid w:val="00342A40"/>
    <w:pPr>
      <w:overflowPunct/>
      <w:autoSpaceDE/>
      <w:autoSpaceDN/>
      <w:adjustRightInd/>
      <w:ind w:left="454" w:hanging="454"/>
      <w:jc w:val="left"/>
      <w:textAlignment w:val="auto"/>
    </w:pPr>
    <w:rPr>
      <w:rFonts w:ascii="Times New Roman" w:hAnsi="Times New Roman"/>
      <w:sz w:val="24"/>
      <w:szCs w:val="20"/>
      <w:lang w:val="en-US" w:eastAsia="en-US"/>
    </w:rPr>
  </w:style>
  <w:style w:type="paragraph" w:customStyle="1" w:styleId="Zamik3">
    <w:name w:val="Zamik3"/>
    <w:basedOn w:val="Zamik2"/>
    <w:uiPriority w:val="99"/>
    <w:rsid w:val="00342A40"/>
    <w:pPr>
      <w:ind w:left="1135"/>
    </w:pPr>
  </w:style>
  <w:style w:type="paragraph" w:customStyle="1" w:styleId="Zamik4">
    <w:name w:val="Zamik4"/>
    <w:basedOn w:val="Zamik2"/>
    <w:uiPriority w:val="99"/>
    <w:rsid w:val="00342A40"/>
    <w:pPr>
      <w:tabs>
        <w:tab w:val="clear" w:pos="3969"/>
        <w:tab w:val="clear" w:pos="5103"/>
      </w:tabs>
      <w:ind w:left="454" w:hanging="454"/>
      <w:jc w:val="both"/>
    </w:pPr>
  </w:style>
  <w:style w:type="paragraph" w:customStyle="1" w:styleId="Break">
    <w:name w:val="Break"/>
    <w:basedOn w:val="Navaden"/>
    <w:uiPriority w:val="99"/>
    <w:rsid w:val="00342A40"/>
    <w:pPr>
      <w:overflowPunct/>
      <w:adjustRightInd/>
      <w:spacing w:before="240" w:after="240"/>
      <w:ind w:left="709" w:hanging="709"/>
      <w:textAlignment w:val="auto"/>
    </w:pPr>
    <w:rPr>
      <w:rFonts w:ascii="Times New Roman" w:hAnsi="Times New Roman"/>
      <w:b/>
      <w:i/>
      <w:szCs w:val="20"/>
      <w:lang w:val="en-GB" w:eastAsia="en-US"/>
    </w:rPr>
  </w:style>
  <w:style w:type="paragraph" w:customStyle="1" w:styleId="Step">
    <w:name w:val="Step"/>
    <w:basedOn w:val="Glava"/>
    <w:uiPriority w:val="99"/>
    <w:rsid w:val="00342A40"/>
    <w:pPr>
      <w:keepNext/>
      <w:numPr>
        <w:numId w:val="12"/>
      </w:numPr>
      <w:tabs>
        <w:tab w:val="clear" w:pos="1021"/>
        <w:tab w:val="clear" w:pos="4536"/>
        <w:tab w:val="clear" w:pos="9072"/>
        <w:tab w:val="left" w:pos="284"/>
        <w:tab w:val="left" w:pos="397"/>
        <w:tab w:val="num" w:pos="937"/>
      </w:tabs>
      <w:overflowPunct/>
      <w:autoSpaceDE/>
      <w:autoSpaceDN/>
      <w:adjustRightInd/>
      <w:spacing w:after="60"/>
      <w:ind w:left="284" w:hanging="284"/>
      <w:textAlignment w:val="auto"/>
    </w:pPr>
    <w:rPr>
      <w:rFonts w:ascii="Times New Roman" w:hAnsi="Times New Roman"/>
      <w:b/>
      <w:sz w:val="22"/>
      <w:szCs w:val="20"/>
      <w:lang w:val="en-GB" w:eastAsia="en-US"/>
    </w:rPr>
  </w:style>
  <w:style w:type="paragraph" w:customStyle="1" w:styleId="PHASE">
    <w:name w:val="PHASE"/>
    <w:basedOn w:val="Glava"/>
    <w:rsid w:val="00342A40"/>
    <w:pPr>
      <w:keepNext/>
      <w:numPr>
        <w:numId w:val="13"/>
      </w:numPr>
      <w:pBdr>
        <w:top w:val="single" w:sz="6" w:space="1" w:color="808080"/>
        <w:left w:val="single" w:sz="6" w:space="4" w:color="808080"/>
        <w:bottom w:val="single" w:sz="6" w:space="1" w:color="808080"/>
        <w:right w:val="single" w:sz="6" w:space="4" w:color="808080"/>
      </w:pBdr>
      <w:tabs>
        <w:tab w:val="clear" w:pos="1800"/>
        <w:tab w:val="clear" w:pos="4536"/>
        <w:tab w:val="clear" w:pos="9072"/>
        <w:tab w:val="num" w:pos="937"/>
      </w:tabs>
      <w:overflowPunct/>
      <w:autoSpaceDE/>
      <w:autoSpaceDN/>
      <w:adjustRightInd/>
      <w:spacing w:before="240" w:after="60"/>
      <w:ind w:left="937" w:hanging="397"/>
      <w:textAlignment w:val="auto"/>
    </w:pPr>
    <w:rPr>
      <w:rFonts w:ascii="Times New Roman Bold" w:hAnsi="Times New Roman Bold"/>
      <w:b/>
      <w:sz w:val="22"/>
      <w:szCs w:val="20"/>
      <w:lang w:val="en-US" w:eastAsia="en-US"/>
    </w:rPr>
  </w:style>
  <w:style w:type="paragraph" w:customStyle="1" w:styleId="Question">
    <w:name w:val="Question"/>
    <w:basedOn w:val="Navaden"/>
    <w:uiPriority w:val="99"/>
    <w:rsid w:val="00342A40"/>
    <w:pPr>
      <w:numPr>
        <w:numId w:val="14"/>
      </w:numPr>
      <w:tabs>
        <w:tab w:val="clear" w:pos="1440"/>
        <w:tab w:val="num" w:pos="937"/>
        <w:tab w:val="left" w:pos="1021"/>
        <w:tab w:val="left" w:pos="1247"/>
      </w:tabs>
      <w:overflowPunct/>
      <w:autoSpaceDE/>
      <w:autoSpaceDN/>
      <w:adjustRightInd/>
      <w:spacing w:after="60"/>
      <w:ind w:left="937" w:hanging="397"/>
      <w:textAlignment w:val="auto"/>
    </w:pPr>
    <w:rPr>
      <w:rFonts w:ascii="Times New Roman" w:hAnsi="Times New Roman"/>
      <w:color w:val="0000FF"/>
      <w:szCs w:val="20"/>
      <w:lang w:val="en-GB" w:eastAsia="en-US"/>
    </w:rPr>
  </w:style>
  <w:style w:type="paragraph" w:customStyle="1" w:styleId="resolution">
    <w:name w:val="resolution"/>
    <w:basedOn w:val="Navaden"/>
    <w:rsid w:val="00342A40"/>
    <w:pPr>
      <w:numPr>
        <w:numId w:val="15"/>
      </w:numPr>
      <w:pBdr>
        <w:top w:val="single" w:sz="4" w:space="1" w:color="auto"/>
        <w:left w:val="single" w:sz="4" w:space="4" w:color="auto"/>
        <w:bottom w:val="single" w:sz="4" w:space="1" w:color="auto"/>
        <w:right w:val="single" w:sz="4" w:space="4" w:color="auto"/>
      </w:pBdr>
      <w:tabs>
        <w:tab w:val="clear" w:pos="1080"/>
        <w:tab w:val="num" w:pos="937"/>
      </w:tabs>
      <w:overflowPunct/>
      <w:adjustRightInd/>
      <w:spacing w:after="120"/>
      <w:ind w:left="937" w:hanging="397"/>
      <w:textAlignment w:val="auto"/>
    </w:pPr>
    <w:rPr>
      <w:rFonts w:ascii="Times New Roman" w:hAnsi="Times New Roman"/>
      <w:szCs w:val="20"/>
      <w:lang w:val="en-GB" w:eastAsia="en-US"/>
    </w:rPr>
  </w:style>
  <w:style w:type="paragraph" w:customStyle="1" w:styleId="BalloonText1">
    <w:name w:val="Balloon Text1"/>
    <w:basedOn w:val="Navaden"/>
    <w:uiPriority w:val="99"/>
    <w:semiHidden/>
    <w:rsid w:val="00342A40"/>
    <w:pPr>
      <w:overflowPunct/>
      <w:autoSpaceDE/>
      <w:autoSpaceDN/>
      <w:adjustRightInd/>
      <w:ind w:firstLine="284"/>
      <w:textAlignment w:val="auto"/>
    </w:pPr>
    <w:rPr>
      <w:rFonts w:ascii="Calibri" w:hAnsi="Calibri" w:cs="Tahoma"/>
      <w:sz w:val="16"/>
      <w:lang w:val="en-US" w:eastAsia="en-US"/>
    </w:rPr>
  </w:style>
  <w:style w:type="paragraph" w:customStyle="1" w:styleId="a">
    <w:name w:val="_"/>
    <w:uiPriority w:val="99"/>
    <w:semiHidden/>
    <w:rsid w:val="00342A40"/>
    <w:pPr>
      <w:widowControl w:val="0"/>
      <w:tabs>
        <w:tab w:val="left" w:pos="-720"/>
      </w:tabs>
      <w:suppressAutoHyphens/>
    </w:pPr>
    <w:rPr>
      <w:rFonts w:eastAsia="Times New Roman"/>
      <w:sz w:val="24"/>
      <w:szCs w:val="22"/>
      <w:lang w:val="en-US"/>
    </w:rPr>
  </w:style>
  <w:style w:type="paragraph" w:customStyle="1" w:styleId="Navadensplet13">
    <w:name w:val="Navaden (splet)13"/>
    <w:basedOn w:val="Navaden"/>
    <w:uiPriority w:val="99"/>
    <w:rsid w:val="00342A40"/>
    <w:pPr>
      <w:overflowPunct/>
      <w:autoSpaceDE/>
      <w:autoSpaceDN/>
      <w:adjustRightInd/>
      <w:ind w:firstLine="284"/>
      <w:jc w:val="left"/>
      <w:textAlignment w:val="auto"/>
    </w:pPr>
    <w:rPr>
      <w:rFonts w:ascii="Times New Roman" w:hAnsi="Times New Roman"/>
      <w:sz w:val="24"/>
      <w:szCs w:val="22"/>
      <w:lang w:eastAsia="ja-JP"/>
    </w:rPr>
  </w:style>
  <w:style w:type="paragraph" w:customStyle="1" w:styleId="Bullet">
    <w:name w:val="Bullet"/>
    <w:basedOn w:val="Navaden"/>
    <w:uiPriority w:val="99"/>
    <w:rsid w:val="00342A40"/>
    <w:pPr>
      <w:numPr>
        <w:numId w:val="16"/>
      </w:numPr>
      <w:tabs>
        <w:tab w:val="clear" w:pos="360"/>
        <w:tab w:val="num" w:pos="937"/>
      </w:tabs>
      <w:overflowPunct/>
      <w:autoSpaceDE/>
      <w:autoSpaceDN/>
      <w:adjustRightInd/>
      <w:ind w:left="937" w:hanging="397"/>
      <w:textAlignment w:val="auto"/>
    </w:pPr>
    <w:rPr>
      <w:rFonts w:ascii="Times New Roman" w:hAnsi="Times New Roman"/>
      <w:sz w:val="24"/>
      <w:szCs w:val="20"/>
      <w:lang w:val="en-US" w:eastAsia="en-US"/>
    </w:rPr>
  </w:style>
  <w:style w:type="paragraph" w:customStyle="1" w:styleId="Typedudocument">
    <w:name w:val="Type du document"/>
    <w:basedOn w:val="Navaden"/>
    <w:next w:val="Navaden"/>
    <w:uiPriority w:val="99"/>
    <w:rsid w:val="00342A40"/>
    <w:pPr>
      <w:widowControl w:val="0"/>
      <w:overflowPunct/>
      <w:autoSpaceDE/>
      <w:autoSpaceDN/>
      <w:adjustRightInd/>
      <w:spacing w:before="360"/>
      <w:ind w:firstLine="284"/>
      <w:jc w:val="center"/>
      <w:textAlignment w:val="auto"/>
    </w:pPr>
    <w:rPr>
      <w:rFonts w:ascii="Times New Roman" w:hAnsi="Times New Roman"/>
      <w:b/>
      <w:sz w:val="24"/>
      <w:szCs w:val="20"/>
      <w:lang w:val="en-US" w:eastAsia="en-US"/>
    </w:rPr>
  </w:style>
  <w:style w:type="paragraph" w:customStyle="1" w:styleId="NavadenPrvavrstica0">
    <w:name w:val="Navaden + Prva vrstica:  0"/>
    <w:aliases w:val="5 cm"/>
    <w:basedOn w:val="Navaden"/>
    <w:uiPriority w:val="99"/>
    <w:rsid w:val="00342A40"/>
    <w:pPr>
      <w:overflowPunct/>
      <w:autoSpaceDE/>
      <w:autoSpaceDN/>
      <w:adjustRightInd/>
      <w:ind w:firstLine="284"/>
      <w:textAlignment w:val="auto"/>
    </w:pPr>
    <w:rPr>
      <w:rFonts w:ascii="Times New Roman" w:hAnsi="Times New Roman"/>
      <w:sz w:val="24"/>
      <w:szCs w:val="20"/>
      <w:lang w:eastAsia="en-US"/>
    </w:rPr>
  </w:style>
  <w:style w:type="character" w:customStyle="1" w:styleId="IntenseQuoteChar1">
    <w:name w:val="Intense Quote Char1"/>
    <w:uiPriority w:val="30"/>
    <w:rsid w:val="00BA6CBA"/>
    <w:rPr>
      <w:rFonts w:ascii="Arial" w:eastAsia="Times New Roman" w:hAnsi="Arial"/>
      <w:b/>
      <w:bCs/>
      <w:i/>
      <w:iCs/>
      <w:color w:val="4F81BD"/>
      <w:sz w:val="22"/>
      <w:szCs w:val="16"/>
    </w:rPr>
  </w:style>
  <w:style w:type="paragraph" w:customStyle="1" w:styleId="ContentsHeading">
    <w:name w:val="Contents Heading"/>
    <w:basedOn w:val="Navaden"/>
    <w:autoRedefine/>
    <w:uiPriority w:val="99"/>
    <w:rsid w:val="00342A40"/>
    <w:pPr>
      <w:spacing w:after="120"/>
      <w:ind w:firstLine="187"/>
      <w:textAlignment w:val="auto"/>
    </w:pPr>
    <w:rPr>
      <w:rFonts w:ascii="Times New Roman" w:hAnsi="Times New Roman"/>
      <w:bCs/>
      <w:sz w:val="24"/>
      <w:szCs w:val="20"/>
      <w:lang w:val="en-GB" w:eastAsia="en-US"/>
    </w:rPr>
  </w:style>
  <w:style w:type="paragraph" w:customStyle="1" w:styleId="Tabelaklasina31">
    <w:name w:val="Tabela – klasična 31"/>
    <w:basedOn w:val="Pripombabesedilo"/>
    <w:next w:val="Pripombabesedilo"/>
    <w:uiPriority w:val="99"/>
    <w:rsid w:val="00342A40"/>
    <w:rPr>
      <w:rFonts w:ascii="Times New Roman" w:hAnsi="Times New Roman"/>
      <w:b/>
      <w:bCs/>
      <w:szCs w:val="20"/>
      <w:lang w:val="en-US" w:eastAsia="en-US"/>
    </w:rPr>
  </w:style>
  <w:style w:type="paragraph" w:customStyle="1" w:styleId="Tabela">
    <w:name w:val="Tabela"/>
    <w:basedOn w:val="Navaden"/>
    <w:link w:val="TabelaZnakZnak"/>
    <w:rsid w:val="00342A40"/>
    <w:pPr>
      <w:numPr>
        <w:numId w:val="17"/>
      </w:numPr>
      <w:tabs>
        <w:tab w:val="clear" w:pos="432"/>
        <w:tab w:val="num" w:pos="937"/>
      </w:tabs>
      <w:overflowPunct/>
      <w:autoSpaceDE/>
      <w:autoSpaceDN/>
      <w:adjustRightInd/>
      <w:spacing w:before="120"/>
      <w:ind w:left="431" w:hanging="431"/>
      <w:textAlignment w:val="auto"/>
    </w:pPr>
    <w:rPr>
      <w:rFonts w:ascii="Arial Narrow" w:hAnsi="Arial Narrow"/>
      <w:noProof/>
      <w:sz w:val="24"/>
      <w:szCs w:val="22"/>
      <w:lang w:val="en-GB" w:eastAsia="ja-JP"/>
    </w:rPr>
  </w:style>
  <w:style w:type="paragraph" w:customStyle="1" w:styleId="alinea">
    <w:name w:val="alinea"/>
    <w:basedOn w:val="Navaden"/>
    <w:uiPriority w:val="99"/>
    <w:semiHidden/>
    <w:rsid w:val="00342A40"/>
    <w:pPr>
      <w:tabs>
        <w:tab w:val="left" w:pos="851"/>
        <w:tab w:val="left" w:pos="993"/>
        <w:tab w:val="right" w:pos="8789"/>
      </w:tabs>
      <w:overflowPunct/>
      <w:autoSpaceDE/>
      <w:autoSpaceDN/>
      <w:adjustRightInd/>
      <w:spacing w:before="120" w:after="120" w:line="240" w:lineRule="atLeast"/>
      <w:ind w:left="567" w:hanging="567"/>
      <w:textAlignment w:val="auto"/>
    </w:pPr>
    <w:rPr>
      <w:rFonts w:ascii="Times New Roman" w:hAnsi="Times New Roman"/>
      <w:sz w:val="24"/>
      <w:szCs w:val="20"/>
      <w:lang w:val="en-GB" w:eastAsia="en-US"/>
    </w:rPr>
  </w:style>
  <w:style w:type="paragraph" w:customStyle="1" w:styleId="Povzetek">
    <w:name w:val="_Povzetek"/>
    <w:basedOn w:val="Navaden"/>
    <w:uiPriority w:val="99"/>
    <w:rsid w:val="00342A40"/>
    <w:pPr>
      <w:overflowPunct/>
      <w:autoSpaceDE/>
      <w:autoSpaceDN/>
      <w:adjustRightInd/>
      <w:textAlignment w:val="auto"/>
    </w:pPr>
    <w:rPr>
      <w:rFonts w:cs="Arial"/>
      <w:b/>
      <w:szCs w:val="20"/>
      <w:lang w:val="pl-PL" w:eastAsia="en-US"/>
    </w:rPr>
  </w:style>
  <w:style w:type="paragraph" w:customStyle="1" w:styleId="WW-Oznaenseznam">
    <w:name w:val="WW-Označen seznam"/>
    <w:basedOn w:val="Navaden"/>
    <w:uiPriority w:val="99"/>
    <w:rsid w:val="00342A40"/>
    <w:pPr>
      <w:widowControl w:val="0"/>
      <w:tabs>
        <w:tab w:val="num" w:pos="1021"/>
      </w:tabs>
      <w:suppressAutoHyphens/>
      <w:overflowPunct/>
      <w:autoSpaceDE/>
      <w:autoSpaceDN/>
      <w:adjustRightInd/>
      <w:ind w:left="-84"/>
      <w:jc w:val="left"/>
      <w:textAlignment w:val="auto"/>
    </w:pPr>
    <w:rPr>
      <w:rFonts w:ascii="Nimbus Roman No9 L" w:eastAsia="Luxi Sans" w:hAnsi="Nimbus Roman No9 L"/>
      <w:sz w:val="24"/>
      <w:szCs w:val="22"/>
      <w:lang w:eastAsia="ja-JP"/>
    </w:rPr>
  </w:style>
  <w:style w:type="paragraph" w:customStyle="1" w:styleId="N">
    <w:name w:val="N"/>
    <w:basedOn w:val="Navaden"/>
    <w:uiPriority w:val="99"/>
    <w:rsid w:val="00342A40"/>
    <w:pPr>
      <w:tabs>
        <w:tab w:val="left" w:pos="144"/>
      </w:tabs>
      <w:overflowPunct/>
      <w:autoSpaceDE/>
      <w:autoSpaceDN/>
      <w:adjustRightInd/>
      <w:textAlignment w:val="auto"/>
    </w:pPr>
    <w:rPr>
      <w:rFonts w:ascii="SL Dutch" w:hAnsi="SL Dutch"/>
      <w:sz w:val="24"/>
      <w:szCs w:val="20"/>
      <w:lang w:val="en-GB" w:eastAsia="en-US"/>
    </w:rPr>
  </w:style>
  <w:style w:type="paragraph" w:customStyle="1" w:styleId="copy2">
    <w:name w:val="copy2"/>
    <w:basedOn w:val="Navaden"/>
    <w:uiPriority w:val="99"/>
    <w:rsid w:val="00342A40"/>
    <w:pPr>
      <w:overflowPunct/>
      <w:autoSpaceDE/>
      <w:autoSpaceDN/>
      <w:adjustRightInd/>
      <w:spacing w:before="100" w:beforeAutospacing="1" w:after="100" w:afterAutospacing="1"/>
      <w:jc w:val="left"/>
      <w:textAlignment w:val="auto"/>
    </w:pPr>
    <w:rPr>
      <w:rFonts w:ascii="Verdana" w:hAnsi="Verdana"/>
      <w:color w:val="000000"/>
      <w:sz w:val="17"/>
      <w:szCs w:val="17"/>
      <w:lang w:eastAsia="ja-JP"/>
    </w:rPr>
  </w:style>
  <w:style w:type="paragraph" w:customStyle="1" w:styleId="Par-letter">
    <w:name w:val="Par-letter"/>
    <w:basedOn w:val="Navaden"/>
    <w:next w:val="Navaden"/>
    <w:uiPriority w:val="99"/>
    <w:rsid w:val="00342A40"/>
    <w:pPr>
      <w:widowControl w:val="0"/>
      <w:tabs>
        <w:tab w:val="left" w:pos="720"/>
      </w:tabs>
      <w:overflowPunct/>
      <w:autoSpaceDE/>
      <w:autoSpaceDN/>
      <w:adjustRightInd/>
      <w:spacing w:line="360" w:lineRule="auto"/>
      <w:ind w:left="720" w:hanging="720"/>
      <w:jc w:val="left"/>
      <w:textAlignment w:val="auto"/>
    </w:pPr>
    <w:rPr>
      <w:rFonts w:ascii="Times New Roman" w:hAnsi="Times New Roman"/>
      <w:sz w:val="24"/>
      <w:szCs w:val="20"/>
      <w:lang w:val="en-US" w:eastAsia="en-US"/>
    </w:rPr>
  </w:style>
  <w:style w:type="paragraph" w:customStyle="1" w:styleId="Char2ZnakChar1ZnakChar">
    <w:name w:val="Char2 Znak Char1 Znak Char"/>
    <w:basedOn w:val="Navaden"/>
    <w:uiPriority w:val="99"/>
    <w:rsid w:val="00342A40"/>
    <w:pPr>
      <w:overflowPunct/>
      <w:autoSpaceDE/>
      <w:autoSpaceDN/>
      <w:adjustRightInd/>
      <w:jc w:val="left"/>
      <w:textAlignment w:val="auto"/>
    </w:pPr>
    <w:rPr>
      <w:rFonts w:ascii="Times New Roman" w:hAnsi="Times New Roman"/>
      <w:sz w:val="24"/>
      <w:szCs w:val="22"/>
      <w:lang w:val="pl-PL" w:eastAsia="pl-PL"/>
    </w:rPr>
  </w:style>
  <w:style w:type="paragraph" w:customStyle="1" w:styleId="Title1">
    <w:name w:val="Title1"/>
    <w:basedOn w:val="Navaden"/>
    <w:uiPriority w:val="99"/>
    <w:rsid w:val="00342A40"/>
    <w:pPr>
      <w:overflowPunct/>
      <w:autoSpaceDE/>
      <w:autoSpaceDN/>
      <w:adjustRightInd/>
      <w:jc w:val="center"/>
      <w:textAlignment w:val="auto"/>
    </w:pPr>
    <w:rPr>
      <w:rFonts w:ascii="Calibri" w:hAnsi="Calibri"/>
      <w:sz w:val="32"/>
      <w:szCs w:val="22"/>
      <w:lang w:eastAsia="ja-JP"/>
    </w:rPr>
  </w:style>
  <w:style w:type="paragraph" w:customStyle="1" w:styleId="CharZnakChar">
    <w:name w:val="Char Znak Char"/>
    <w:basedOn w:val="Navaden"/>
    <w:uiPriority w:val="99"/>
    <w:rsid w:val="00342A40"/>
    <w:pPr>
      <w:overflowPunct/>
      <w:autoSpaceDE/>
      <w:autoSpaceDN/>
      <w:adjustRightInd/>
      <w:jc w:val="left"/>
      <w:textAlignment w:val="auto"/>
    </w:pPr>
    <w:rPr>
      <w:rFonts w:ascii="Times New Roman" w:hAnsi="Times New Roman"/>
      <w:sz w:val="24"/>
      <w:szCs w:val="22"/>
      <w:lang w:val="pl-PL" w:eastAsia="pl-PL"/>
    </w:rPr>
  </w:style>
  <w:style w:type="paragraph" w:customStyle="1" w:styleId="CharChar1Char">
    <w:name w:val="Char Char1 Char"/>
    <w:basedOn w:val="Navaden"/>
    <w:uiPriority w:val="99"/>
    <w:rsid w:val="00342A40"/>
    <w:pPr>
      <w:overflowPunct/>
      <w:autoSpaceDE/>
      <w:autoSpaceDN/>
      <w:adjustRightInd/>
      <w:jc w:val="left"/>
      <w:textAlignment w:val="auto"/>
    </w:pPr>
    <w:rPr>
      <w:rFonts w:ascii="Times New Roman" w:hAnsi="Times New Roman"/>
      <w:sz w:val="24"/>
      <w:szCs w:val="22"/>
      <w:lang w:val="pl-PL" w:eastAsia="pl-PL"/>
    </w:rPr>
  </w:style>
  <w:style w:type="paragraph" w:customStyle="1" w:styleId="ZnakZnakCharZnakZnakCharZnakZnakCharZnakZnakZnakZnakCharZnakZnakZnakZnakZnak">
    <w:name w:val="Znak Znak Char Znak Znak Char Znak Znak Char Znak Znak Znak Znak Char Znak Znak Znak Znak Znak"/>
    <w:basedOn w:val="Navaden"/>
    <w:uiPriority w:val="99"/>
    <w:rsid w:val="00342A40"/>
    <w:pPr>
      <w:overflowPunct/>
      <w:autoSpaceDE/>
      <w:autoSpaceDN/>
      <w:adjustRightInd/>
      <w:jc w:val="left"/>
      <w:textAlignment w:val="auto"/>
    </w:pPr>
    <w:rPr>
      <w:rFonts w:ascii="Times New Roman" w:hAnsi="Times New Roman"/>
      <w:sz w:val="24"/>
      <w:szCs w:val="22"/>
      <w:lang w:val="pl-PL" w:eastAsia="pl-PL"/>
    </w:rPr>
  </w:style>
  <w:style w:type="paragraph" w:customStyle="1" w:styleId="Okvirspredpisi-body">
    <w:name w:val="Okvir s predpisi - body"/>
    <w:basedOn w:val="Navaden"/>
    <w:uiPriority w:val="99"/>
    <w:rsid w:val="00342A40"/>
    <w:pPr>
      <w:numPr>
        <w:numId w:val="18"/>
      </w:numPr>
      <w:tabs>
        <w:tab w:val="clear" w:pos="360"/>
        <w:tab w:val="num" w:pos="937"/>
      </w:tabs>
      <w:overflowPunct/>
      <w:autoSpaceDE/>
      <w:autoSpaceDN/>
      <w:adjustRightInd/>
      <w:ind w:left="937" w:hanging="397"/>
      <w:jc w:val="left"/>
      <w:textAlignment w:val="auto"/>
    </w:pPr>
    <w:rPr>
      <w:i/>
      <w:szCs w:val="22"/>
      <w:lang w:eastAsia="ja-JP"/>
    </w:rPr>
  </w:style>
  <w:style w:type="paragraph" w:customStyle="1" w:styleId="Char2ZnakChar">
    <w:name w:val="Char2 Znak Char"/>
    <w:basedOn w:val="Navaden"/>
    <w:uiPriority w:val="99"/>
    <w:rsid w:val="00342A40"/>
    <w:pPr>
      <w:overflowPunct/>
      <w:autoSpaceDE/>
      <w:autoSpaceDN/>
      <w:adjustRightInd/>
      <w:jc w:val="left"/>
      <w:textAlignment w:val="auto"/>
    </w:pPr>
    <w:rPr>
      <w:rFonts w:ascii="Times New Roman" w:hAnsi="Times New Roman"/>
      <w:sz w:val="24"/>
      <w:szCs w:val="22"/>
      <w:lang w:val="pl-PL" w:eastAsia="pl-PL"/>
    </w:rPr>
  </w:style>
  <w:style w:type="paragraph" w:customStyle="1" w:styleId="S">
    <w:name w:val="S"/>
    <w:basedOn w:val="Navaden"/>
    <w:rsid w:val="00342A40"/>
    <w:pPr>
      <w:overflowPunct/>
      <w:autoSpaceDE/>
      <w:autoSpaceDN/>
      <w:adjustRightInd/>
      <w:jc w:val="left"/>
      <w:textAlignment w:val="auto"/>
    </w:pPr>
    <w:rPr>
      <w:rFonts w:ascii="Times" w:hAnsi="Times"/>
      <w:sz w:val="24"/>
      <w:szCs w:val="20"/>
      <w:lang w:val="en-GB" w:eastAsia="ja-JP"/>
    </w:rPr>
  </w:style>
  <w:style w:type="paragraph" w:customStyle="1" w:styleId="Char2">
    <w:name w:val="Char2"/>
    <w:basedOn w:val="Navaden"/>
    <w:uiPriority w:val="99"/>
    <w:rsid w:val="00342A40"/>
    <w:pPr>
      <w:overflowPunct/>
      <w:autoSpaceDE/>
      <w:autoSpaceDN/>
      <w:adjustRightInd/>
      <w:jc w:val="left"/>
      <w:textAlignment w:val="auto"/>
    </w:pPr>
    <w:rPr>
      <w:rFonts w:ascii="Times New Roman" w:hAnsi="Times New Roman"/>
      <w:sz w:val="24"/>
      <w:szCs w:val="22"/>
      <w:lang w:val="pl-PL" w:eastAsia="pl-PL"/>
    </w:rPr>
  </w:style>
  <w:style w:type="character" w:customStyle="1" w:styleId="lennoveleZnak">
    <w:name w:val="Člen_novele Znak"/>
    <w:link w:val="lennovele"/>
    <w:rsid w:val="00BA6CBA"/>
    <w:rPr>
      <w:rFonts w:ascii="Arial" w:eastAsia="Times New Roman" w:hAnsi="Arial"/>
      <w:b/>
      <w:sz w:val="22"/>
      <w:szCs w:val="22"/>
      <w:lang w:val="x-none" w:eastAsia="x-none"/>
    </w:rPr>
  </w:style>
  <w:style w:type="paragraph" w:customStyle="1" w:styleId="KAZALO">
    <w:name w:val="KAZALO"/>
    <w:basedOn w:val="Naslov10"/>
    <w:uiPriority w:val="99"/>
    <w:rsid w:val="00BA6CBA"/>
    <w:pPr>
      <w:keepLines/>
      <w:numPr>
        <w:numId w:val="0"/>
      </w:numPr>
      <w:overflowPunct/>
      <w:autoSpaceDE/>
      <w:autoSpaceDN/>
      <w:adjustRightInd/>
      <w:spacing w:before="480" w:after="0"/>
      <w:mirrorIndents w:val="0"/>
      <w:jc w:val="left"/>
      <w:textAlignment w:val="auto"/>
    </w:pPr>
    <w:rPr>
      <w:color w:val="365F91"/>
      <w:kern w:val="0"/>
      <w:lang w:eastAsia="ja-JP"/>
    </w:rPr>
  </w:style>
  <w:style w:type="character" w:customStyle="1" w:styleId="Style1zakopalnavodaChar">
    <w:name w:val="Style1 za kopalna voda Char"/>
    <w:link w:val="Style1zakopalnavoda"/>
    <w:uiPriority w:val="99"/>
    <w:locked/>
    <w:rsid w:val="00BA6CBA"/>
    <w:rPr>
      <w:rFonts w:ascii="Arial" w:eastAsia="Times New Roman" w:hAnsi="Arial"/>
      <w:b/>
      <w:caps/>
      <w:sz w:val="22"/>
      <w:szCs w:val="22"/>
      <w:lang w:val="x-none" w:eastAsia="x-none"/>
    </w:rPr>
  </w:style>
  <w:style w:type="paragraph" w:customStyle="1" w:styleId="Style1zakopalnavoda">
    <w:name w:val="Style1 za kopalna voda"/>
    <w:basedOn w:val="Odstavekseznama"/>
    <w:link w:val="Style1zakopalnavodaChar"/>
    <w:uiPriority w:val="99"/>
    <w:rsid w:val="00BA6CBA"/>
    <w:pPr>
      <w:numPr>
        <w:numId w:val="35"/>
      </w:numPr>
      <w:overflowPunct/>
      <w:autoSpaceDE/>
      <w:autoSpaceDN/>
      <w:adjustRightInd/>
      <w:contextualSpacing/>
      <w:jc w:val="left"/>
      <w:textAlignment w:val="auto"/>
    </w:pPr>
    <w:rPr>
      <w:b/>
      <w:caps/>
      <w:sz w:val="22"/>
      <w:szCs w:val="22"/>
    </w:rPr>
  </w:style>
  <w:style w:type="paragraph" w:customStyle="1" w:styleId="Naslov3Arial">
    <w:name w:val="Naslov 3 + Arial"/>
    <w:aliases w:val="10 pt,Po:  12 pt,Razmik vrstic:  Natančno 13 pt"/>
    <w:basedOn w:val="Naslov3"/>
    <w:uiPriority w:val="99"/>
    <w:rsid w:val="00BA6CBA"/>
    <w:pPr>
      <w:keepLines/>
      <w:numPr>
        <w:ilvl w:val="0"/>
        <w:numId w:val="0"/>
      </w:numPr>
      <w:overflowPunct/>
      <w:autoSpaceDE/>
      <w:autoSpaceDN/>
      <w:adjustRightInd/>
      <w:spacing w:before="200" w:line="260" w:lineRule="exact"/>
      <w:textAlignment w:val="auto"/>
    </w:pPr>
    <w:rPr>
      <w:b w:val="0"/>
      <w:color w:val="4F81BD"/>
      <w:sz w:val="20"/>
      <w:szCs w:val="24"/>
      <w:lang w:eastAsia="ja-JP"/>
    </w:rPr>
  </w:style>
  <w:style w:type="paragraph" w:customStyle="1" w:styleId="SlogNaslov1Levo0cmPrvavrstica0cm">
    <w:name w:val="Slog Naslov 1 + Levo:  0 cm Prva vrstica:  0 cm"/>
    <w:basedOn w:val="Naslov10"/>
    <w:uiPriority w:val="99"/>
    <w:rsid w:val="00BA6CBA"/>
    <w:pPr>
      <w:keepLines/>
      <w:numPr>
        <w:numId w:val="36"/>
      </w:numPr>
      <w:tabs>
        <w:tab w:val="clear" w:pos="855"/>
        <w:tab w:val="num" w:pos="937"/>
      </w:tabs>
      <w:overflowPunct/>
      <w:autoSpaceDE/>
      <w:autoSpaceDN/>
      <w:adjustRightInd/>
      <w:spacing w:before="480"/>
      <w:ind w:left="937" w:hanging="397"/>
      <w:mirrorIndents w:val="0"/>
      <w:jc w:val="left"/>
      <w:textAlignment w:val="auto"/>
    </w:pPr>
    <w:rPr>
      <w:rFonts w:ascii="Arial Narrow" w:hAnsi="Arial Narrow"/>
      <w:b w:val="0"/>
      <w:caps/>
      <w:color w:val="365F91"/>
      <w:kern w:val="28"/>
      <w:lang w:eastAsia="en-US"/>
    </w:rPr>
  </w:style>
  <w:style w:type="paragraph" w:customStyle="1" w:styleId="SlogNaslov2ArialNarrow">
    <w:name w:val="Slog Naslov 2 + Arial Narrow"/>
    <w:basedOn w:val="Naslov20"/>
    <w:uiPriority w:val="99"/>
    <w:rsid w:val="00BA6CBA"/>
    <w:pPr>
      <w:keepLines/>
      <w:numPr>
        <w:numId w:val="37"/>
      </w:numPr>
      <w:tabs>
        <w:tab w:val="clear" w:pos="576"/>
        <w:tab w:val="left" w:pos="851"/>
      </w:tabs>
      <w:overflowPunct/>
      <w:autoSpaceDE/>
      <w:autoSpaceDN/>
      <w:adjustRightInd/>
      <w:spacing w:before="200" w:after="0" w:line="360" w:lineRule="auto"/>
      <w:ind w:left="1095" w:hanging="555"/>
      <w:textAlignment w:val="auto"/>
    </w:pPr>
    <w:rPr>
      <w:rFonts w:ascii="Arial Narrow" w:hAnsi="Arial Narrow"/>
      <w:b w:val="0"/>
      <w:i w:val="0"/>
      <w:iCs w:val="0"/>
      <w:color w:val="4F81BD"/>
      <w:lang w:eastAsia="en-US"/>
    </w:rPr>
  </w:style>
  <w:style w:type="paragraph" w:customStyle="1" w:styleId="SlogChar2ArialNarrowObojestransko">
    <w:name w:val="Slog  Char2 + Arial Narrow Obojestransko"/>
    <w:basedOn w:val="Char2"/>
    <w:uiPriority w:val="99"/>
    <w:rsid w:val="00342A40"/>
    <w:pPr>
      <w:jc w:val="both"/>
    </w:pPr>
    <w:rPr>
      <w:rFonts w:ascii="Arial Narrow" w:hAnsi="Arial Narrow"/>
      <w:szCs w:val="20"/>
    </w:rPr>
  </w:style>
  <w:style w:type="paragraph" w:customStyle="1" w:styleId="Char2ZnakChar1">
    <w:name w:val="Char2 Znak Char1"/>
    <w:basedOn w:val="Navaden"/>
    <w:uiPriority w:val="99"/>
    <w:rsid w:val="00342A40"/>
    <w:pPr>
      <w:overflowPunct/>
      <w:autoSpaceDE/>
      <w:autoSpaceDN/>
      <w:adjustRightInd/>
      <w:jc w:val="left"/>
      <w:textAlignment w:val="auto"/>
    </w:pPr>
    <w:rPr>
      <w:rFonts w:ascii="Times New Roman" w:hAnsi="Times New Roman"/>
      <w:sz w:val="24"/>
      <w:szCs w:val="22"/>
      <w:lang w:val="pl-PL" w:eastAsia="pl-PL"/>
    </w:rPr>
  </w:style>
  <w:style w:type="paragraph" w:customStyle="1" w:styleId="CharZnakCharZnakCharZnakCharZnakChar">
    <w:name w:val="Char Znak Char Znak Char Znak Char Znak Char"/>
    <w:basedOn w:val="Navaden"/>
    <w:uiPriority w:val="99"/>
    <w:rsid w:val="00342A40"/>
    <w:pPr>
      <w:overflowPunct/>
      <w:autoSpaceDE/>
      <w:autoSpaceDN/>
      <w:adjustRightInd/>
      <w:jc w:val="left"/>
      <w:textAlignment w:val="auto"/>
    </w:pPr>
    <w:rPr>
      <w:rFonts w:ascii="Times New Roman" w:hAnsi="Times New Roman"/>
      <w:sz w:val="24"/>
      <w:szCs w:val="22"/>
      <w:lang w:val="pl-PL" w:eastAsia="pl-PL"/>
    </w:rPr>
  </w:style>
  <w:style w:type="paragraph" w:customStyle="1" w:styleId="Char">
    <w:name w:val="Char"/>
    <w:basedOn w:val="Navaden"/>
    <w:uiPriority w:val="99"/>
    <w:rsid w:val="00342A40"/>
    <w:pPr>
      <w:overflowPunct/>
      <w:autoSpaceDE/>
      <w:autoSpaceDN/>
      <w:adjustRightInd/>
      <w:jc w:val="left"/>
      <w:textAlignment w:val="auto"/>
    </w:pPr>
    <w:rPr>
      <w:rFonts w:ascii="Times New Roman" w:hAnsi="Times New Roman"/>
      <w:sz w:val="24"/>
      <w:szCs w:val="22"/>
      <w:lang w:val="pl-PL" w:eastAsia="pl-PL"/>
    </w:rPr>
  </w:style>
  <w:style w:type="paragraph" w:customStyle="1" w:styleId="tabele">
    <w:name w:val="tabele"/>
    <w:uiPriority w:val="99"/>
    <w:rsid w:val="00342A40"/>
    <w:pPr>
      <w:autoSpaceDE w:val="0"/>
      <w:autoSpaceDN w:val="0"/>
      <w:adjustRightInd w:val="0"/>
    </w:pPr>
    <w:rPr>
      <w:rFonts w:ascii="Tahoma" w:eastAsia="Times New Roman" w:hAnsi="Tahoma" w:cs="Arial"/>
      <w:color w:val="000000"/>
      <w:sz w:val="22"/>
      <w:szCs w:val="22"/>
    </w:rPr>
  </w:style>
  <w:style w:type="paragraph" w:customStyle="1" w:styleId="CharZnakCharZnakChar">
    <w:name w:val="Char Znak Char Znak Char"/>
    <w:basedOn w:val="Navaden"/>
    <w:uiPriority w:val="99"/>
    <w:rsid w:val="00342A40"/>
    <w:pPr>
      <w:overflowPunct/>
      <w:autoSpaceDE/>
      <w:autoSpaceDN/>
      <w:adjustRightInd/>
      <w:jc w:val="left"/>
      <w:textAlignment w:val="auto"/>
    </w:pPr>
    <w:rPr>
      <w:rFonts w:ascii="Times New Roman" w:hAnsi="Times New Roman"/>
      <w:sz w:val="24"/>
      <w:szCs w:val="22"/>
      <w:lang w:val="pl-PL" w:eastAsia="pl-PL"/>
    </w:rPr>
  </w:style>
  <w:style w:type="paragraph" w:customStyle="1" w:styleId="CharZnakCharZnakCharZnakCharZnakCharZnakChar">
    <w:name w:val="Char Znak Char Znak Char Znak Char Znak Char Znak Char"/>
    <w:basedOn w:val="Navaden"/>
    <w:uiPriority w:val="99"/>
    <w:rsid w:val="00342A40"/>
    <w:pPr>
      <w:overflowPunct/>
      <w:autoSpaceDE/>
      <w:autoSpaceDN/>
      <w:adjustRightInd/>
      <w:jc w:val="left"/>
      <w:textAlignment w:val="auto"/>
    </w:pPr>
    <w:rPr>
      <w:rFonts w:ascii="Times New Roman" w:hAnsi="Times New Roman"/>
      <w:sz w:val="24"/>
      <w:szCs w:val="22"/>
      <w:lang w:val="pl-PL" w:eastAsia="pl-PL"/>
    </w:rPr>
  </w:style>
  <w:style w:type="paragraph" w:customStyle="1" w:styleId="SlogNaslov3ArialNarrowSamovelikerke">
    <w:name w:val="Slog Naslov 3 + Arial Narrow Samo velike črke"/>
    <w:basedOn w:val="Naslov3"/>
    <w:uiPriority w:val="99"/>
    <w:rsid w:val="00BA6CBA"/>
    <w:pPr>
      <w:keepLines/>
      <w:numPr>
        <w:numId w:val="37"/>
      </w:numPr>
      <w:tabs>
        <w:tab w:val="left" w:pos="851"/>
      </w:tabs>
      <w:overflowPunct/>
      <w:autoSpaceDE/>
      <w:autoSpaceDN/>
      <w:adjustRightInd/>
      <w:spacing w:before="200"/>
      <w:textAlignment w:val="auto"/>
    </w:pPr>
    <w:rPr>
      <w:rFonts w:ascii="Arial Narrow" w:hAnsi="Arial Narrow"/>
      <w:b w:val="0"/>
      <w:caps/>
      <w:color w:val="4F81BD"/>
      <w:szCs w:val="24"/>
      <w:lang w:eastAsia="en-US"/>
    </w:rPr>
  </w:style>
  <w:style w:type="paragraph" w:customStyle="1" w:styleId="SlogSlogNaslov3ArialNarrowSamovelikerkeNeKrepko">
    <w:name w:val="Slog Slog Naslov 3 + Arial Narrow Samo velike črke + Ne Krepko"/>
    <w:basedOn w:val="SlogNaslov3ArialNarrowSamovelikerke"/>
    <w:uiPriority w:val="99"/>
    <w:rsid w:val="00BA6CBA"/>
    <w:pPr>
      <w:numPr>
        <w:ilvl w:val="0"/>
        <w:numId w:val="0"/>
      </w:numPr>
      <w:tabs>
        <w:tab w:val="num" w:pos="720"/>
      </w:tabs>
      <w:ind w:left="720" w:hanging="720"/>
    </w:pPr>
    <w:rPr>
      <w:bCs w:val="0"/>
    </w:rPr>
  </w:style>
  <w:style w:type="paragraph" w:customStyle="1" w:styleId="SlogSlogSlogNaslov3ArialNarrowSamovelikerkeNeKrepk">
    <w:name w:val="Slog Slog Slog Naslov 3 + Arial Narrow Samo velike črke + Ne Krepk..."/>
    <w:basedOn w:val="SlogSlogNaslov3ArialNarrowSamovelikerkeNeKrepko"/>
    <w:uiPriority w:val="99"/>
    <w:rsid w:val="00BA6CBA"/>
    <w:pPr>
      <w:numPr>
        <w:ilvl w:val="2"/>
        <w:numId w:val="38"/>
      </w:numPr>
      <w:tabs>
        <w:tab w:val="num" w:pos="720"/>
      </w:tabs>
      <w:ind w:left="720"/>
    </w:pPr>
  </w:style>
  <w:style w:type="paragraph" w:customStyle="1" w:styleId="SlogNaslov5ArialNarrow12ptLeee">
    <w:name w:val="Slog Naslov 5 + Arial Narrow 12 pt Ležeče"/>
    <w:basedOn w:val="Naslov5"/>
    <w:autoRedefine/>
    <w:uiPriority w:val="99"/>
    <w:rsid w:val="00BA6CBA"/>
    <w:pPr>
      <w:numPr>
        <w:ilvl w:val="0"/>
        <w:numId w:val="0"/>
      </w:numPr>
      <w:tabs>
        <w:tab w:val="left" w:pos="907"/>
      </w:tabs>
      <w:snapToGrid w:val="0"/>
      <w:spacing w:before="120" w:after="120"/>
      <w:jc w:val="both"/>
    </w:pPr>
    <w:rPr>
      <w:rFonts w:ascii="Arial Narrow" w:hAnsi="Arial Narrow"/>
      <w:b w:val="0"/>
      <w:bCs/>
      <w:i/>
      <w:color w:val="243F60"/>
      <w:sz w:val="24"/>
      <w:szCs w:val="20"/>
      <w:lang w:val="en-US" w:eastAsia="en-US"/>
    </w:rPr>
  </w:style>
  <w:style w:type="paragraph" w:customStyle="1" w:styleId="Izvlecek">
    <w:name w:val="Izvlecek"/>
    <w:basedOn w:val="Navaden"/>
    <w:uiPriority w:val="99"/>
    <w:rsid w:val="00342A40"/>
    <w:pPr>
      <w:overflowPunct/>
      <w:autoSpaceDE/>
      <w:autoSpaceDN/>
      <w:adjustRightInd/>
      <w:spacing w:after="220"/>
      <w:textAlignment w:val="auto"/>
    </w:pPr>
    <w:rPr>
      <w:rFonts w:cs="Arial"/>
      <w:szCs w:val="20"/>
      <w:lang w:val="en-US" w:eastAsia="en-US"/>
    </w:rPr>
  </w:style>
  <w:style w:type="paragraph" w:customStyle="1" w:styleId="Naslovizvlecek">
    <w:name w:val="Naslov izvlecek"/>
    <w:basedOn w:val="Navaden"/>
    <w:next w:val="Izvlecek"/>
    <w:uiPriority w:val="99"/>
    <w:rsid w:val="00342A40"/>
    <w:pPr>
      <w:keepNext/>
      <w:keepLines/>
      <w:overflowPunct/>
      <w:autoSpaceDE/>
      <w:autoSpaceDN/>
      <w:adjustRightInd/>
      <w:spacing w:before="440" w:after="220"/>
      <w:textAlignment w:val="auto"/>
    </w:pPr>
    <w:rPr>
      <w:rFonts w:cs="Arial"/>
      <w:b/>
      <w:bCs/>
      <w:caps/>
      <w:sz w:val="24"/>
      <w:szCs w:val="22"/>
      <w:lang w:eastAsia="en-US"/>
    </w:rPr>
  </w:style>
  <w:style w:type="character" w:customStyle="1" w:styleId="PodnapisCharChar">
    <w:name w:val="Podnapis Char Char"/>
    <w:link w:val="PodnapisChar"/>
    <w:uiPriority w:val="99"/>
    <w:locked/>
    <w:rsid w:val="00342A40"/>
    <w:rPr>
      <w:rFonts w:ascii="Arial" w:hAnsi="Arial" w:cs="Arial"/>
      <w:sz w:val="18"/>
      <w:szCs w:val="18"/>
      <w:lang w:val="x-none" w:eastAsia="en-US"/>
    </w:rPr>
  </w:style>
  <w:style w:type="paragraph" w:customStyle="1" w:styleId="PodnapisangChar">
    <w:name w:val="Podnapis ang Char"/>
    <w:basedOn w:val="PodnapisChar"/>
    <w:next w:val="Navaden"/>
    <w:link w:val="PodnapisangCharChar"/>
    <w:uiPriority w:val="99"/>
    <w:rsid w:val="00342A40"/>
    <w:pPr>
      <w:keepNext w:val="0"/>
      <w:spacing w:after="220"/>
    </w:pPr>
    <w:rPr>
      <w:lang w:val="en-GB"/>
    </w:rPr>
  </w:style>
  <w:style w:type="paragraph" w:customStyle="1" w:styleId="PodnapisChar">
    <w:name w:val="Podnapis Char"/>
    <w:basedOn w:val="Navaden"/>
    <w:next w:val="PodnapisangChar"/>
    <w:link w:val="PodnapisCharChar"/>
    <w:uiPriority w:val="99"/>
    <w:rsid w:val="00342A40"/>
    <w:pPr>
      <w:keepNext/>
      <w:keepLines/>
      <w:overflowPunct/>
      <w:autoSpaceDE/>
      <w:autoSpaceDN/>
      <w:adjustRightInd/>
      <w:textAlignment w:val="auto"/>
    </w:pPr>
    <w:rPr>
      <w:rFonts w:eastAsia="Calibri"/>
      <w:sz w:val="18"/>
      <w:szCs w:val="18"/>
      <w:lang w:val="x-none" w:eastAsia="en-US"/>
    </w:rPr>
  </w:style>
  <w:style w:type="character" w:customStyle="1" w:styleId="PodnapisangCharChar">
    <w:name w:val="Podnapis ang Char Char"/>
    <w:link w:val="PodnapisangChar"/>
    <w:uiPriority w:val="99"/>
    <w:locked/>
    <w:rsid w:val="00342A40"/>
    <w:rPr>
      <w:rFonts w:ascii="Arial" w:hAnsi="Arial" w:cs="Arial"/>
      <w:sz w:val="18"/>
      <w:szCs w:val="18"/>
      <w:lang w:val="en-GB" w:eastAsia="en-US"/>
    </w:rPr>
  </w:style>
  <w:style w:type="paragraph" w:customStyle="1" w:styleId="SlogKazaloslik">
    <w:name w:val="Slog Kazalo slik"/>
    <w:aliases w:val="Table of Tables + Arial Narrow Krepko"/>
    <w:basedOn w:val="Kazaloslik"/>
    <w:uiPriority w:val="99"/>
    <w:rsid w:val="00BA6CBA"/>
    <w:pPr>
      <w:spacing w:before="0" w:after="0"/>
      <w:ind w:left="480" w:hanging="480"/>
      <w:jc w:val="both"/>
    </w:pPr>
    <w:rPr>
      <w:rFonts w:ascii="Arial Narrow" w:hAnsi="Arial Narrow"/>
      <w:bCs/>
      <w:sz w:val="24"/>
      <w:szCs w:val="20"/>
      <w:lang w:val="en-US" w:eastAsia="en-US"/>
    </w:rPr>
  </w:style>
  <w:style w:type="paragraph" w:customStyle="1" w:styleId="SlogTabela">
    <w:name w:val="Slog Tabela"/>
    <w:basedOn w:val="Kazaloslik"/>
    <w:uiPriority w:val="99"/>
    <w:rsid w:val="00BA6CBA"/>
    <w:pPr>
      <w:tabs>
        <w:tab w:val="num" w:pos="432"/>
      </w:tabs>
      <w:spacing w:before="0" w:after="0"/>
      <w:ind w:left="432" w:hanging="432"/>
      <w:jc w:val="both"/>
    </w:pPr>
    <w:rPr>
      <w:rFonts w:ascii="Arial Narrow" w:hAnsi="Arial Narrow"/>
      <w:bCs/>
      <w:sz w:val="24"/>
      <w:szCs w:val="20"/>
      <w:lang w:eastAsia="en-US"/>
    </w:rPr>
  </w:style>
  <w:style w:type="character" w:customStyle="1" w:styleId="poroilomonitoring111Znak">
    <w:name w:val="poročilo monitoring 1.1.1 Znak"/>
    <w:link w:val="poroilomonitoring111"/>
    <w:uiPriority w:val="99"/>
    <w:locked/>
    <w:rsid w:val="00BA6CBA"/>
    <w:rPr>
      <w:rFonts w:ascii="Arial" w:hAnsi="Arial" w:cs="Arial"/>
      <w:b/>
      <w:bCs/>
      <w:i/>
      <w:iCs/>
      <w:sz w:val="24"/>
      <w:lang w:val="en-US" w:eastAsia="en-US"/>
    </w:rPr>
  </w:style>
  <w:style w:type="paragraph" w:customStyle="1" w:styleId="ListParagraph1">
    <w:name w:val="List Paragraph1"/>
    <w:basedOn w:val="Navaden"/>
    <w:uiPriority w:val="99"/>
    <w:qFormat/>
    <w:rsid w:val="00342A40"/>
    <w:pPr>
      <w:overflowPunct/>
      <w:autoSpaceDE/>
      <w:autoSpaceDN/>
      <w:adjustRightInd/>
      <w:ind w:left="720"/>
      <w:contextualSpacing/>
      <w:jc w:val="left"/>
      <w:textAlignment w:val="auto"/>
    </w:pPr>
    <w:rPr>
      <w:rFonts w:ascii="Times New Roman" w:hAnsi="Times New Roman"/>
      <w:sz w:val="24"/>
      <w:szCs w:val="22"/>
      <w:lang w:eastAsia="ja-JP"/>
    </w:rPr>
  </w:style>
  <w:style w:type="paragraph" w:customStyle="1" w:styleId="CharChar">
    <w:name w:val="Char Char"/>
    <w:basedOn w:val="Navaden"/>
    <w:uiPriority w:val="99"/>
    <w:rsid w:val="00342A40"/>
    <w:pPr>
      <w:overflowPunct/>
      <w:autoSpaceDE/>
      <w:autoSpaceDN/>
      <w:adjustRightInd/>
      <w:jc w:val="left"/>
      <w:textAlignment w:val="auto"/>
    </w:pPr>
    <w:rPr>
      <w:rFonts w:ascii="Times New Roman" w:hAnsi="Times New Roman"/>
      <w:sz w:val="24"/>
      <w:szCs w:val="22"/>
      <w:lang w:val="pl-PL" w:eastAsia="pl-PL"/>
    </w:rPr>
  </w:style>
  <w:style w:type="paragraph" w:customStyle="1" w:styleId="poroilomonitoring111">
    <w:name w:val="poročilo monitoring 1.1.1"/>
    <w:basedOn w:val="Navaden"/>
    <w:link w:val="poroilomonitoring111Znak"/>
    <w:uiPriority w:val="99"/>
    <w:rsid w:val="00BA6CBA"/>
    <w:pPr>
      <w:overflowPunct/>
      <w:autoSpaceDE/>
      <w:autoSpaceDN/>
      <w:adjustRightInd/>
      <w:jc w:val="left"/>
      <w:textAlignment w:val="auto"/>
    </w:pPr>
    <w:rPr>
      <w:rFonts w:eastAsia="Calibri"/>
      <w:b/>
      <w:bCs/>
      <w:i/>
      <w:iCs/>
      <w:sz w:val="24"/>
      <w:szCs w:val="20"/>
      <w:lang w:val="en-US" w:eastAsia="en-US"/>
    </w:rPr>
  </w:style>
  <w:style w:type="character" w:customStyle="1" w:styleId="poroilomonitoring11Znak">
    <w:name w:val="poročilo monitoring 1.1 Znak"/>
    <w:link w:val="poroilomonitoring11"/>
    <w:uiPriority w:val="99"/>
    <w:locked/>
    <w:rsid w:val="00BA6CBA"/>
    <w:rPr>
      <w:rFonts w:ascii="Arial" w:hAnsi="Arial" w:cs="Arial"/>
      <w:b/>
      <w:bCs/>
      <w:sz w:val="24"/>
      <w:lang w:val="en-US" w:eastAsia="en-US"/>
    </w:rPr>
  </w:style>
  <w:style w:type="paragraph" w:customStyle="1" w:styleId="poroilomonitoring11">
    <w:name w:val="poročilo monitoring 1.1"/>
    <w:basedOn w:val="Navaden"/>
    <w:link w:val="poroilomonitoring11Znak"/>
    <w:uiPriority w:val="99"/>
    <w:rsid w:val="00BA6CBA"/>
    <w:pPr>
      <w:overflowPunct/>
      <w:textAlignment w:val="auto"/>
    </w:pPr>
    <w:rPr>
      <w:rFonts w:eastAsia="Calibri"/>
      <w:b/>
      <w:bCs/>
      <w:sz w:val="24"/>
      <w:szCs w:val="20"/>
      <w:lang w:val="en-US" w:eastAsia="en-US"/>
    </w:rPr>
  </w:style>
  <w:style w:type="paragraph" w:customStyle="1" w:styleId="poroilomonitoring1">
    <w:name w:val="poročilo monitoring 1"/>
    <w:basedOn w:val="Navaden"/>
    <w:uiPriority w:val="99"/>
    <w:rsid w:val="00BA6CBA"/>
    <w:pPr>
      <w:overflowPunct/>
      <w:autoSpaceDE/>
      <w:autoSpaceDN/>
      <w:adjustRightInd/>
      <w:jc w:val="left"/>
      <w:textAlignment w:val="auto"/>
    </w:pPr>
    <w:rPr>
      <w:rFonts w:cs="Arial"/>
      <w:b/>
      <w:bCs/>
      <w:sz w:val="26"/>
      <w:szCs w:val="26"/>
      <w:lang w:eastAsia="ja-JP"/>
    </w:rPr>
  </w:style>
  <w:style w:type="paragraph" w:customStyle="1" w:styleId="poroilomonitoringslika">
    <w:name w:val="poročilo monitoring slika"/>
    <w:basedOn w:val="Navaden"/>
    <w:uiPriority w:val="99"/>
    <w:rsid w:val="00BA6CBA"/>
    <w:pPr>
      <w:overflowPunct/>
      <w:autoSpaceDE/>
      <w:autoSpaceDN/>
      <w:adjustRightInd/>
      <w:jc w:val="center"/>
      <w:textAlignment w:val="auto"/>
    </w:pPr>
    <w:rPr>
      <w:rFonts w:cs="Arial"/>
      <w:szCs w:val="20"/>
      <w:lang w:eastAsia="ja-JP"/>
    </w:rPr>
  </w:style>
  <w:style w:type="paragraph" w:customStyle="1" w:styleId="BesediloAriel11obojestransko">
    <w:name w:val="Besedilo Ariel 11 obojestransko"/>
    <w:basedOn w:val="Navaden"/>
    <w:link w:val="BesediloAriel11obojestranskoZnak"/>
    <w:uiPriority w:val="99"/>
    <w:rsid w:val="00342A40"/>
    <w:pPr>
      <w:overflowPunct/>
      <w:autoSpaceDE/>
      <w:autoSpaceDN/>
      <w:adjustRightInd/>
      <w:textAlignment w:val="auto"/>
    </w:pPr>
    <w:rPr>
      <w:szCs w:val="22"/>
      <w:lang w:eastAsia="ja-JP"/>
    </w:rPr>
  </w:style>
  <w:style w:type="character" w:customStyle="1" w:styleId="NaslovpregZnak">
    <w:name w:val="Naslov preg Znak"/>
    <w:aliases w:val="slika Znak"/>
    <w:link w:val="Naslovpreg"/>
    <w:locked/>
    <w:rsid w:val="00327C62"/>
    <w:rPr>
      <w:rFonts w:ascii="Arial" w:hAnsi="Arial"/>
      <w:lang w:val="x-none" w:eastAsia="x-none"/>
    </w:rPr>
  </w:style>
  <w:style w:type="paragraph" w:customStyle="1" w:styleId="Naslovpreg">
    <w:name w:val="Naslov preg"/>
    <w:aliases w:val="slika"/>
    <w:basedOn w:val="Navaden"/>
    <w:link w:val="NaslovpregZnak"/>
    <w:qFormat/>
    <w:rsid w:val="00327C62"/>
    <w:pPr>
      <w:overflowPunct/>
      <w:autoSpaceDE/>
      <w:autoSpaceDN/>
      <w:adjustRightInd/>
      <w:spacing w:line="276" w:lineRule="auto"/>
      <w:textAlignment w:val="auto"/>
    </w:pPr>
    <w:rPr>
      <w:rFonts w:eastAsia="Calibri"/>
      <w:szCs w:val="20"/>
      <w:lang w:val="x-none" w:eastAsia="x-none"/>
    </w:rPr>
  </w:style>
  <w:style w:type="paragraph" w:customStyle="1" w:styleId="alineazatevilnotoko0">
    <w:name w:val="alineazatevilnotoko"/>
    <w:basedOn w:val="Navaden"/>
    <w:uiPriority w:val="99"/>
    <w:rsid w:val="00342A40"/>
    <w:pPr>
      <w:overflowPunct/>
      <w:autoSpaceDE/>
      <w:autoSpaceDN/>
      <w:adjustRightInd/>
      <w:spacing w:before="100" w:beforeAutospacing="1" w:after="100" w:afterAutospacing="1"/>
      <w:jc w:val="left"/>
      <w:textAlignment w:val="auto"/>
    </w:pPr>
    <w:rPr>
      <w:rFonts w:ascii="Times New Roman" w:hAnsi="Times New Roman"/>
      <w:sz w:val="24"/>
      <w:szCs w:val="22"/>
      <w:lang w:eastAsia="ja-JP"/>
    </w:rPr>
  </w:style>
  <w:style w:type="paragraph" w:customStyle="1" w:styleId="ListParagraph2">
    <w:name w:val="List Paragraph2"/>
    <w:basedOn w:val="Navaden"/>
    <w:uiPriority w:val="99"/>
    <w:rsid w:val="00342A40"/>
    <w:pPr>
      <w:overflowPunct/>
      <w:autoSpaceDE/>
      <w:autoSpaceDN/>
      <w:adjustRightInd/>
      <w:spacing w:after="200" w:line="276" w:lineRule="auto"/>
      <w:ind w:left="720"/>
      <w:contextualSpacing/>
      <w:jc w:val="left"/>
      <w:textAlignment w:val="auto"/>
    </w:pPr>
    <w:rPr>
      <w:rFonts w:ascii="Calibri" w:eastAsia="Calibri" w:hAnsi="Calibri"/>
      <w:szCs w:val="22"/>
      <w:lang w:eastAsia="en-US"/>
    </w:rPr>
  </w:style>
  <w:style w:type="character" w:customStyle="1" w:styleId="Corpsdutexte">
    <w:name w:val="Corps du texte_"/>
    <w:link w:val="Corpsdutexte0"/>
    <w:uiPriority w:val="99"/>
    <w:locked/>
    <w:rsid w:val="00342A40"/>
    <w:rPr>
      <w:rFonts w:ascii="Times New Roman" w:hAnsi="Times New Roman"/>
      <w:sz w:val="21"/>
      <w:szCs w:val="21"/>
      <w:shd w:val="clear" w:color="auto" w:fill="FFFFFF"/>
    </w:rPr>
  </w:style>
  <w:style w:type="paragraph" w:customStyle="1" w:styleId="Corpsdutexte0">
    <w:name w:val="Corps du texte"/>
    <w:basedOn w:val="Navaden"/>
    <w:link w:val="Corpsdutexte"/>
    <w:uiPriority w:val="99"/>
    <w:rsid w:val="00342A40"/>
    <w:pPr>
      <w:widowControl w:val="0"/>
      <w:shd w:val="clear" w:color="auto" w:fill="FFFFFF"/>
      <w:overflowPunct/>
      <w:autoSpaceDE/>
      <w:autoSpaceDN/>
      <w:adjustRightInd/>
      <w:spacing w:line="240" w:lineRule="atLeast"/>
      <w:jc w:val="left"/>
      <w:textAlignment w:val="auto"/>
    </w:pPr>
    <w:rPr>
      <w:rFonts w:ascii="Times New Roman" w:eastAsia="Calibri" w:hAnsi="Times New Roman"/>
      <w:sz w:val="21"/>
      <w:szCs w:val="21"/>
      <w:lang w:val="x-none" w:eastAsia="x-none"/>
    </w:rPr>
  </w:style>
  <w:style w:type="character" w:styleId="Konnaopomba-sklic">
    <w:name w:val="endnote reference"/>
    <w:semiHidden/>
    <w:unhideWhenUsed/>
    <w:rsid w:val="00342A40"/>
    <w:rPr>
      <w:vertAlign w:val="superscript"/>
    </w:rPr>
  </w:style>
  <w:style w:type="character" w:styleId="Neenpoudarek">
    <w:name w:val="Subtle Emphasis"/>
    <w:uiPriority w:val="19"/>
    <w:qFormat/>
    <w:rsid w:val="00342A40"/>
    <w:rPr>
      <w:i/>
      <w:iCs/>
      <w:color w:val="808080"/>
    </w:rPr>
  </w:style>
  <w:style w:type="character" w:styleId="Intenzivenpoudarek">
    <w:name w:val="Intense Emphasis"/>
    <w:uiPriority w:val="21"/>
    <w:qFormat/>
    <w:rsid w:val="00342A40"/>
    <w:rPr>
      <w:b/>
      <w:bCs/>
      <w:i/>
      <w:iCs/>
      <w:color w:val="4F81BD"/>
    </w:rPr>
  </w:style>
  <w:style w:type="character" w:styleId="Neensklic">
    <w:name w:val="Subtle Reference"/>
    <w:uiPriority w:val="31"/>
    <w:qFormat/>
    <w:rsid w:val="00342A40"/>
    <w:rPr>
      <w:smallCaps/>
      <w:color w:val="C0504D"/>
      <w:u w:val="single"/>
    </w:rPr>
  </w:style>
  <w:style w:type="character" w:styleId="Intenzivensklic">
    <w:name w:val="Intense Reference"/>
    <w:uiPriority w:val="32"/>
    <w:qFormat/>
    <w:rsid w:val="00342A40"/>
    <w:rPr>
      <w:b/>
      <w:bCs/>
      <w:smallCaps/>
      <w:color w:val="C0504D"/>
      <w:spacing w:val="5"/>
      <w:u w:val="single"/>
    </w:rPr>
  </w:style>
  <w:style w:type="character" w:styleId="Naslovknjige">
    <w:name w:val="Book Title"/>
    <w:aliases w:val="Literatura"/>
    <w:uiPriority w:val="33"/>
    <w:qFormat/>
    <w:rsid w:val="00342A40"/>
    <w:rPr>
      <w:b/>
      <w:bCs/>
      <w:smallCaps/>
      <w:spacing w:val="5"/>
    </w:rPr>
  </w:style>
  <w:style w:type="paragraph" w:customStyle="1" w:styleId="StyleCaptionNotBold">
    <w:name w:val="Style Caption + Not Bold"/>
    <w:basedOn w:val="Navaden"/>
    <w:link w:val="StyleCaptionNotBoldChar"/>
    <w:rsid w:val="00342A40"/>
    <w:pPr>
      <w:overflowPunct/>
      <w:autoSpaceDE/>
      <w:autoSpaceDN/>
      <w:adjustRightInd/>
      <w:jc w:val="left"/>
      <w:textAlignment w:val="auto"/>
    </w:pPr>
    <w:rPr>
      <w:rFonts w:ascii="Calibri" w:hAnsi="Calibri"/>
      <w:color w:val="4F81BD"/>
      <w:sz w:val="22"/>
      <w:szCs w:val="22"/>
      <w:lang w:val="x-none" w:eastAsia="ja-JP"/>
    </w:rPr>
  </w:style>
  <w:style w:type="character" w:customStyle="1" w:styleId="StyleCaptionNotBoldChar">
    <w:name w:val="Style Caption + Not Bold Char"/>
    <w:link w:val="StyleCaptionNotBold"/>
    <w:locked/>
    <w:rsid w:val="00342A40"/>
    <w:rPr>
      <w:rFonts w:eastAsia="Times New Roman"/>
      <w:color w:val="4F81BD"/>
      <w:sz w:val="22"/>
      <w:szCs w:val="22"/>
      <w:lang w:eastAsia="ja-JP"/>
    </w:rPr>
  </w:style>
  <w:style w:type="character" w:customStyle="1" w:styleId="mediumtext">
    <w:name w:val="medium_text"/>
    <w:rsid w:val="00342A40"/>
  </w:style>
  <w:style w:type="character" w:customStyle="1" w:styleId="arrroworange">
    <w:name w:val="arrrow_orange"/>
    <w:rsid w:val="00342A40"/>
  </w:style>
  <w:style w:type="character" w:customStyle="1" w:styleId="shorttext">
    <w:name w:val="short_text"/>
    <w:rsid w:val="00342A40"/>
  </w:style>
  <w:style w:type="character" w:customStyle="1" w:styleId="nivo1">
    <w:name w:val="nivo1"/>
    <w:rsid w:val="00342A40"/>
  </w:style>
  <w:style w:type="character" w:customStyle="1" w:styleId="atn">
    <w:name w:val="atn"/>
    <w:rsid w:val="00342A40"/>
  </w:style>
  <w:style w:type="character" w:customStyle="1" w:styleId="NapisZnak1">
    <w:name w:val="Napis Znak1"/>
    <w:aliases w:val="Znak Znak Znak Znak Znak Znak1,Znak Znak Znak Znak1,Znak Znak Znak Znak Znak Znak2, Znak Znak Znak Znak Znak Znak1, Znak Znak Znak Znak1"/>
    <w:uiPriority w:val="99"/>
    <w:rsid w:val="00342A40"/>
    <w:rPr>
      <w:rFonts w:ascii="Tahoma" w:hAnsi="Tahoma" w:cs="Tahoma" w:hint="default"/>
      <w:b/>
      <w:bCs/>
      <w:lang w:val="sl-SI" w:eastAsia="sl-SI" w:bidi="ar-SA"/>
    </w:rPr>
  </w:style>
  <w:style w:type="character" w:customStyle="1" w:styleId="st">
    <w:name w:val="st"/>
    <w:uiPriority w:val="99"/>
    <w:rsid w:val="00342A40"/>
  </w:style>
  <w:style w:type="character" w:customStyle="1" w:styleId="sitetitle">
    <w:name w:val="site_title"/>
    <w:rsid w:val="00342A40"/>
  </w:style>
  <w:style w:type="character" w:customStyle="1" w:styleId="mrptns">
    <w:name w:val="mrptns"/>
    <w:rsid w:val="00342A40"/>
  </w:style>
  <w:style w:type="character" w:customStyle="1" w:styleId="mrppfc">
    <w:name w:val="mrppfc"/>
    <w:rsid w:val="00342A40"/>
  </w:style>
  <w:style w:type="character" w:customStyle="1" w:styleId="mrppsc">
    <w:name w:val="mrppsc"/>
    <w:uiPriority w:val="99"/>
    <w:rsid w:val="00342A40"/>
  </w:style>
  <w:style w:type="character" w:customStyle="1" w:styleId="mrppfcsl">
    <w:name w:val="mrppfcsl"/>
    <w:rsid w:val="00342A40"/>
  </w:style>
  <w:style w:type="character" w:customStyle="1" w:styleId="indicatorreportsubsectiontitletext">
    <w:name w:val="indicator_report_subsection_title_text"/>
    <w:uiPriority w:val="99"/>
    <w:rsid w:val="00342A40"/>
    <w:rPr>
      <w:rFonts w:ascii="Times New Roman" w:hAnsi="Times New Roman" w:cs="Times New Roman" w:hint="default"/>
    </w:rPr>
  </w:style>
  <w:style w:type="character" w:customStyle="1" w:styleId="A4">
    <w:name w:val="A4"/>
    <w:uiPriority w:val="99"/>
    <w:rsid w:val="00342A40"/>
    <w:rPr>
      <w:rFonts w:ascii="Minion Pro" w:hAnsi="Minion Pro" w:cs="Minion Pro" w:hint="default"/>
      <w:color w:val="221E1F"/>
      <w:sz w:val="15"/>
      <w:szCs w:val="15"/>
    </w:rPr>
  </w:style>
  <w:style w:type="character" w:customStyle="1" w:styleId="tw4winMark">
    <w:name w:val="tw4winMark"/>
    <w:rsid w:val="00342A40"/>
    <w:rPr>
      <w:rFonts w:ascii="Courier New" w:hAnsi="Courier New" w:cs="Courier New" w:hint="default"/>
      <w:vanish/>
      <w:webHidden w:val="0"/>
      <w:color w:val="800080"/>
      <w:vertAlign w:val="subscript"/>
      <w:specVanish w:val="0"/>
    </w:rPr>
  </w:style>
  <w:style w:type="paragraph" w:customStyle="1" w:styleId="SlogNapisNeKrepko">
    <w:name w:val="Slog Napis + Ne Krepko"/>
    <w:basedOn w:val="Navaden"/>
    <w:link w:val="SlogNapisNeKrepkoZnak"/>
    <w:rsid w:val="00342A40"/>
    <w:pPr>
      <w:overflowPunct/>
      <w:autoSpaceDE/>
      <w:autoSpaceDN/>
      <w:adjustRightInd/>
      <w:jc w:val="left"/>
      <w:textAlignment w:val="auto"/>
    </w:pPr>
    <w:rPr>
      <w:rFonts w:ascii="Calibri" w:hAnsi="Calibri"/>
      <w:color w:val="4F81BD"/>
      <w:sz w:val="22"/>
      <w:szCs w:val="22"/>
      <w:lang w:val="x-none" w:eastAsia="ja-JP"/>
    </w:rPr>
  </w:style>
  <w:style w:type="character" w:customStyle="1" w:styleId="SlogNapisNeKrepkoZnak">
    <w:name w:val="Slog Napis + Ne Krepko Znak"/>
    <w:link w:val="SlogNapisNeKrepko"/>
    <w:locked/>
    <w:rsid w:val="00342A40"/>
    <w:rPr>
      <w:rFonts w:eastAsia="Times New Roman"/>
      <w:color w:val="4F81BD"/>
      <w:sz w:val="22"/>
      <w:szCs w:val="22"/>
      <w:lang w:eastAsia="ja-JP"/>
    </w:rPr>
  </w:style>
  <w:style w:type="character" w:customStyle="1" w:styleId="Lead-inEmphasis">
    <w:name w:val="Lead-in Emphasis"/>
    <w:rsid w:val="00342A40"/>
    <w:rPr>
      <w:rFonts w:ascii="Times New Roman" w:hAnsi="Times New Roman" w:cs="Times New Roman" w:hint="default"/>
      <w:b/>
      <w:bCs w:val="0"/>
      <w:spacing w:val="-4"/>
    </w:rPr>
  </w:style>
  <w:style w:type="character" w:customStyle="1" w:styleId="Hiperpovezava1">
    <w:name w:val="Hiperpovezava1"/>
    <w:uiPriority w:val="99"/>
    <w:rsid w:val="00342A40"/>
    <w:rPr>
      <w:rFonts w:ascii="Verdana" w:hAnsi="Verdana" w:hint="default"/>
      <w:b w:val="0"/>
      <w:bCs w:val="0"/>
      <w:color w:val="284E8F"/>
      <w:sz w:val="22"/>
      <w:szCs w:val="22"/>
      <w:u w:val="single"/>
    </w:rPr>
  </w:style>
  <w:style w:type="character" w:customStyle="1" w:styleId="SlogArialNarrowSamovelikerke">
    <w:name w:val="Slog Arial Narrow Samo velike črke"/>
    <w:rsid w:val="00342A40"/>
    <w:rPr>
      <w:rFonts w:ascii="Arial Narrow" w:hAnsi="Arial Narrow" w:hint="default"/>
      <w:b/>
      <w:bCs w:val="0"/>
      <w:caps/>
    </w:rPr>
  </w:style>
  <w:style w:type="character" w:customStyle="1" w:styleId="SlogArialNarrowKrepkoSamovelikerke">
    <w:name w:val="Slog Arial Narrow Krepko Samo velike črke"/>
    <w:rsid w:val="00342A40"/>
    <w:rPr>
      <w:rFonts w:ascii="Arial Narrow" w:hAnsi="Arial Narrow" w:hint="default"/>
      <w:b/>
      <w:bCs/>
      <w:caps/>
    </w:rPr>
  </w:style>
  <w:style w:type="character" w:customStyle="1" w:styleId="velikost">
    <w:name w:val="velikost"/>
    <w:uiPriority w:val="99"/>
    <w:rsid w:val="00342A40"/>
  </w:style>
  <w:style w:type="character" w:customStyle="1" w:styleId="SlikaChar">
    <w:name w:val="Slika Char"/>
    <w:uiPriority w:val="99"/>
    <w:rsid w:val="00342A40"/>
    <w:rPr>
      <w:rFonts w:ascii="Arial" w:hAnsi="Arial" w:cs="Arial" w:hint="default"/>
      <w:sz w:val="24"/>
      <w:szCs w:val="24"/>
      <w:lang w:eastAsia="en-US"/>
    </w:rPr>
  </w:style>
  <w:style w:type="character" w:customStyle="1" w:styleId="SlogArial10pt">
    <w:name w:val="Slog Arial 10 pt"/>
    <w:rsid w:val="00342A40"/>
    <w:rPr>
      <w:rFonts w:ascii="Arial" w:hAnsi="Arial" w:cs="Arial" w:hint="default"/>
      <w:sz w:val="24"/>
      <w:szCs w:val="24"/>
    </w:rPr>
  </w:style>
  <w:style w:type="character" w:customStyle="1" w:styleId="graphtitle2">
    <w:name w:val="graph_title2"/>
    <w:uiPriority w:val="99"/>
    <w:rsid w:val="00342A40"/>
  </w:style>
  <w:style w:type="character" w:customStyle="1" w:styleId="PripombabesediloZnak1">
    <w:name w:val="Pripomba – besedilo Znak1"/>
    <w:uiPriority w:val="99"/>
    <w:semiHidden/>
    <w:rsid w:val="00342A40"/>
    <w:rPr>
      <w:rFonts w:ascii="Times New Roman" w:hAnsi="Times New Roman" w:cs="Times New Roman" w:hint="default"/>
      <w:lang w:eastAsia="en-US"/>
    </w:rPr>
  </w:style>
  <w:style w:type="character" w:customStyle="1" w:styleId="apple-converted-space">
    <w:name w:val="apple-converted-space"/>
    <w:rsid w:val="00342A40"/>
  </w:style>
  <w:style w:type="table" w:styleId="Tabelaklasina3">
    <w:name w:val="Table Classic 3"/>
    <w:basedOn w:val="Navadnatabela"/>
    <w:semiHidden/>
    <w:unhideWhenUsed/>
    <w:rsid w:val="00342A40"/>
    <w:rPr>
      <w:rFonts w:eastAsia="Times New Roman"/>
      <w:color w:val="000080"/>
      <w:sz w:val="22"/>
      <w:szCs w:val="22"/>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ela-mrea1">
    <w:name w:val="Tabela - mreža1"/>
    <w:basedOn w:val="Navadnatabela"/>
    <w:rsid w:val="00342A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mik1">
    <w:name w:val="Zamik1"/>
    <w:basedOn w:val="Zamik2"/>
    <w:uiPriority w:val="99"/>
    <w:rsid w:val="00342A40"/>
    <w:pPr>
      <w:ind w:left="284"/>
    </w:pPr>
  </w:style>
  <w:style w:type="paragraph" w:customStyle="1" w:styleId="Imepreglednicealislike">
    <w:name w:val="Ime preglednice ali slike"/>
    <w:basedOn w:val="Navaden"/>
    <w:link w:val="ImepreglednicealislikeCharChar"/>
    <w:rsid w:val="00342A40"/>
    <w:pPr>
      <w:overflowPunct/>
      <w:autoSpaceDE/>
      <w:autoSpaceDN/>
      <w:adjustRightInd/>
      <w:textAlignment w:val="auto"/>
    </w:pPr>
    <w:rPr>
      <w:rFonts w:ascii="Tahoma" w:hAnsi="Tahoma" w:cs="Tahoma"/>
      <w:color w:val="4F81BD"/>
      <w:sz w:val="18"/>
      <w:szCs w:val="18"/>
      <w:lang w:eastAsia="ja-JP"/>
    </w:rPr>
  </w:style>
  <w:style w:type="paragraph" w:customStyle="1" w:styleId="Slog5">
    <w:name w:val="Slog 5"/>
    <w:basedOn w:val="Naslov10"/>
    <w:uiPriority w:val="99"/>
    <w:rsid w:val="00342A40"/>
    <w:pPr>
      <w:keepLines/>
      <w:numPr>
        <w:ilvl w:val="3"/>
        <w:numId w:val="19"/>
      </w:numPr>
      <w:tabs>
        <w:tab w:val="clear" w:pos="864"/>
      </w:tabs>
      <w:overflowPunct/>
      <w:autoSpaceDE/>
      <w:autoSpaceDN/>
      <w:adjustRightInd/>
      <w:spacing w:before="0" w:after="0"/>
      <w:ind w:left="1260" w:hanging="720"/>
      <w:textAlignment w:val="auto"/>
      <w:outlineLvl w:val="3"/>
    </w:pPr>
    <w:rPr>
      <w:rFonts w:ascii="Arial Narrow" w:hAnsi="Arial Narrow"/>
      <w:b w:val="0"/>
      <w:bCs w:val="0"/>
      <w:iCs/>
      <w:color w:val="4F81BD"/>
      <w:kern w:val="0"/>
      <w:sz w:val="22"/>
      <w:szCs w:val="24"/>
      <w:lang w:eastAsia="en-US"/>
    </w:rPr>
  </w:style>
  <w:style w:type="paragraph" w:customStyle="1" w:styleId="poroilomonitoringpreglednica">
    <w:name w:val="poročilo monitoring preglednica"/>
    <w:basedOn w:val="Navaden"/>
    <w:uiPriority w:val="99"/>
    <w:rsid w:val="00BA6CBA"/>
    <w:pPr>
      <w:overflowPunct/>
      <w:autoSpaceDE/>
      <w:autoSpaceDN/>
      <w:adjustRightInd/>
      <w:textAlignment w:val="auto"/>
    </w:pPr>
    <w:rPr>
      <w:rFonts w:cs="Arial"/>
      <w:szCs w:val="20"/>
      <w:lang w:eastAsia="en-US"/>
    </w:rPr>
  </w:style>
  <w:style w:type="numbering" w:styleId="111111">
    <w:name w:val="Outline List 2"/>
    <w:basedOn w:val="Brezseznama"/>
    <w:semiHidden/>
    <w:unhideWhenUsed/>
    <w:rsid w:val="00342A40"/>
  </w:style>
  <w:style w:type="numbering" w:customStyle="1" w:styleId="Slog1">
    <w:name w:val="Slog1"/>
    <w:uiPriority w:val="99"/>
    <w:rsid w:val="00342A40"/>
  </w:style>
  <w:style w:type="numbering" w:customStyle="1" w:styleId="Nastevanje">
    <w:name w:val="Nastevanje"/>
    <w:basedOn w:val="Brezseznama"/>
    <w:rsid w:val="00366611"/>
    <w:pPr>
      <w:numPr>
        <w:numId w:val="33"/>
      </w:numPr>
    </w:pPr>
  </w:style>
  <w:style w:type="paragraph" w:styleId="Napis">
    <w:name w:val="caption"/>
    <w:aliases w:val="Napis1,Znak Znak Znak Znak Znak Char,Znak Znak Znak Char,Tabele Char, Znak Znak Znak Znak Znak, Znak Znak Znak,Preglednica;Slika,Caption Char,Nadpis"/>
    <w:basedOn w:val="Navaden"/>
    <w:next w:val="Navaden"/>
    <w:link w:val="NapisZnak2"/>
    <w:uiPriority w:val="99"/>
    <w:unhideWhenUsed/>
    <w:qFormat/>
    <w:rsid w:val="003176A4"/>
    <w:rPr>
      <w:rFonts w:cs="Arial"/>
      <w:bCs/>
      <w:szCs w:val="18"/>
      <w:lang w:eastAsia="x-none"/>
    </w:rPr>
  </w:style>
  <w:style w:type="table" w:customStyle="1" w:styleId="Navadnatabela1">
    <w:name w:val="Navadna tabela1"/>
    <w:uiPriority w:val="99"/>
    <w:semiHidden/>
    <w:rsid w:val="008C1ABF"/>
    <w:tblPr>
      <w:tblCellMar>
        <w:top w:w="0" w:type="dxa"/>
        <w:left w:w="108" w:type="dxa"/>
        <w:bottom w:w="0" w:type="dxa"/>
        <w:right w:w="108" w:type="dxa"/>
      </w:tblCellMar>
    </w:tblPr>
  </w:style>
  <w:style w:type="character" w:customStyle="1" w:styleId="NapisZnak2">
    <w:name w:val="Napis Znak2"/>
    <w:aliases w:val="Napis1 Znak,Znak Znak Znak Znak Znak Char Znak,Znak Znak Znak Char Znak,Tabele Char Znak, Znak Znak Znak Znak Znak Znak, Znak Znak Znak Znak,Preglednica;Slika Znak1,Caption Char Znak,Nadpis Znak"/>
    <w:link w:val="Napis"/>
    <w:uiPriority w:val="99"/>
    <w:locked/>
    <w:rsid w:val="003176A4"/>
    <w:rPr>
      <w:rFonts w:ascii="Arial" w:eastAsia="Times New Roman" w:hAnsi="Arial" w:cs="Arial"/>
      <w:bCs/>
      <w:szCs w:val="18"/>
      <w:lang w:eastAsia="x-none"/>
    </w:rPr>
  </w:style>
  <w:style w:type="character" w:customStyle="1" w:styleId="ListParagraphChar1">
    <w:name w:val="List Paragraph Char1"/>
    <w:uiPriority w:val="34"/>
    <w:locked/>
    <w:rsid w:val="00617138"/>
    <w:rPr>
      <w:rFonts w:ascii="Tahoma" w:hAnsi="Tahoma" w:cs="Times New Roman"/>
      <w:sz w:val="24"/>
      <w:szCs w:val="24"/>
      <w:lang w:eastAsia="sl-SI"/>
    </w:rPr>
  </w:style>
  <w:style w:type="paragraph" w:customStyle="1" w:styleId="Odstavekseznama1">
    <w:name w:val="Odstavek seznama1"/>
    <w:basedOn w:val="Navaden"/>
    <w:uiPriority w:val="99"/>
    <w:qFormat/>
    <w:rsid w:val="00617138"/>
    <w:pPr>
      <w:overflowPunct/>
      <w:autoSpaceDE/>
      <w:autoSpaceDN/>
      <w:adjustRightInd/>
      <w:ind w:left="720"/>
      <w:contextualSpacing/>
      <w:jc w:val="left"/>
      <w:textAlignment w:val="auto"/>
    </w:pPr>
    <w:rPr>
      <w:rFonts w:ascii="Times New Roman" w:eastAsia="Calibri" w:hAnsi="Times New Roman"/>
      <w:noProof/>
      <w:sz w:val="24"/>
      <w:szCs w:val="24"/>
      <w:lang w:eastAsia="en-US"/>
    </w:rPr>
  </w:style>
  <w:style w:type="character" w:customStyle="1" w:styleId="Slog2nivoZnak">
    <w:name w:val="Slog 2 nivo Znak"/>
    <w:link w:val="Naslovv2"/>
    <w:uiPriority w:val="99"/>
    <w:locked/>
    <w:rsid w:val="00BA6CBA"/>
    <w:rPr>
      <w:rFonts w:ascii="Arial" w:hAnsi="Arial" w:cs="Arial"/>
      <w:b/>
      <w:bCs/>
      <w:sz w:val="24"/>
      <w:lang w:val="x-none" w:eastAsia="x-none"/>
    </w:rPr>
  </w:style>
  <w:style w:type="paragraph" w:customStyle="1" w:styleId="Naslovv2">
    <w:name w:val="Naslovv 2"/>
    <w:basedOn w:val="poroilomonitoring11"/>
    <w:link w:val="Slog2nivoZnak"/>
    <w:uiPriority w:val="99"/>
    <w:rsid w:val="00BA6CBA"/>
    <w:pPr>
      <w:tabs>
        <w:tab w:val="num" w:pos="576"/>
      </w:tabs>
      <w:ind w:left="576" w:hanging="576"/>
      <w:outlineLvl w:val="1"/>
    </w:pPr>
    <w:rPr>
      <w:lang w:val="x-none" w:eastAsia="x-none"/>
    </w:rPr>
  </w:style>
  <w:style w:type="character" w:customStyle="1" w:styleId="Slog1testZnak">
    <w:name w:val="Slog1test Znak"/>
    <w:link w:val="Slog1test"/>
    <w:uiPriority w:val="99"/>
    <w:locked/>
    <w:rsid w:val="00BA6CBA"/>
    <w:rPr>
      <w:rFonts w:ascii="Arial" w:eastAsia="Times New Roman" w:hAnsi="Arial"/>
      <w:bCs/>
      <w:i/>
      <w:iCs/>
      <w:color w:val="4F81BD"/>
      <w:szCs w:val="24"/>
      <w:lang w:val="x-none" w:eastAsia="x-none"/>
    </w:rPr>
  </w:style>
  <w:style w:type="paragraph" w:customStyle="1" w:styleId="Slog1test">
    <w:name w:val="Slog1test"/>
    <w:basedOn w:val="Naslov3"/>
    <w:link w:val="Slog1testZnak"/>
    <w:uiPriority w:val="99"/>
    <w:rsid w:val="00BA6CBA"/>
    <w:pPr>
      <w:keepNext w:val="0"/>
      <w:keepLines/>
      <w:numPr>
        <w:ilvl w:val="0"/>
        <w:numId w:val="0"/>
      </w:numPr>
      <w:overflowPunct/>
      <w:spacing w:before="0" w:after="0"/>
      <w:textAlignment w:val="auto"/>
    </w:pPr>
    <w:rPr>
      <w:b w:val="0"/>
      <w:i/>
      <w:iCs/>
      <w:color w:val="4F81BD"/>
      <w:sz w:val="20"/>
      <w:szCs w:val="24"/>
    </w:rPr>
  </w:style>
  <w:style w:type="table" w:customStyle="1" w:styleId="TableClassic31">
    <w:name w:val="Table Classic 31"/>
    <w:basedOn w:val="Navadnatabela"/>
    <w:next w:val="Tabelaklasina3"/>
    <w:semiHidden/>
    <w:unhideWhenUsed/>
    <w:rsid w:val="00BA6CBA"/>
    <w:rPr>
      <w:rFonts w:eastAsia="Times New Roman"/>
      <w:color w:val="000080"/>
      <w:sz w:val="22"/>
      <w:szCs w:val="22"/>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ela-mrea11">
    <w:name w:val="Tabela - mreža11"/>
    <w:basedOn w:val="Navadnatabela"/>
    <w:rsid w:val="00BA6CB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gNaslov4ArialNarrow">
    <w:name w:val="Slog Naslov 4 + Arial Narrow"/>
    <w:basedOn w:val="Naslov10"/>
    <w:uiPriority w:val="99"/>
    <w:rsid w:val="00BA6CBA"/>
    <w:pPr>
      <w:keepLines/>
      <w:numPr>
        <w:numId w:val="0"/>
      </w:numPr>
      <w:tabs>
        <w:tab w:val="num" w:pos="864"/>
      </w:tabs>
      <w:overflowPunct/>
      <w:autoSpaceDE/>
      <w:autoSpaceDN/>
      <w:adjustRightInd/>
      <w:spacing w:before="120" w:after="120"/>
      <w:ind w:left="864" w:hanging="864"/>
      <w:mirrorIndents w:val="0"/>
      <w:textAlignment w:val="auto"/>
      <w:outlineLvl w:val="3"/>
    </w:pPr>
    <w:rPr>
      <w:rFonts w:ascii="Arial Narrow" w:hAnsi="Arial Narrow"/>
      <w:b w:val="0"/>
      <w:color w:val="4F81BD"/>
      <w:kern w:val="0"/>
      <w:sz w:val="22"/>
      <w:szCs w:val="20"/>
      <w:lang w:eastAsia="en-US"/>
    </w:rPr>
  </w:style>
  <w:style w:type="numbering" w:customStyle="1" w:styleId="1111111">
    <w:name w:val="1 / 1.1 / 1.1.11"/>
    <w:basedOn w:val="Brezseznama"/>
    <w:next w:val="111111"/>
    <w:semiHidden/>
    <w:unhideWhenUsed/>
    <w:rsid w:val="00BA6CBA"/>
    <w:pPr>
      <w:numPr>
        <w:numId w:val="21"/>
      </w:numPr>
    </w:pPr>
  </w:style>
  <w:style w:type="numbering" w:customStyle="1" w:styleId="Slog11">
    <w:name w:val="Slog11"/>
    <w:uiPriority w:val="99"/>
    <w:rsid w:val="00BA6CBA"/>
    <w:pPr>
      <w:numPr>
        <w:numId w:val="22"/>
      </w:numPr>
    </w:pPr>
  </w:style>
  <w:style w:type="numbering" w:customStyle="1" w:styleId="Nastevanje1">
    <w:name w:val="Nastevanje1"/>
    <w:basedOn w:val="Brezseznama"/>
    <w:rsid w:val="00BA6CBA"/>
    <w:pPr>
      <w:numPr>
        <w:numId w:val="34"/>
      </w:numPr>
    </w:pPr>
  </w:style>
  <w:style w:type="table" w:customStyle="1" w:styleId="Navadnatabela11">
    <w:name w:val="Navadna tabela11"/>
    <w:uiPriority w:val="99"/>
    <w:semiHidden/>
    <w:rsid w:val="00BA6CBA"/>
    <w:tblPr>
      <w:tblCellMar>
        <w:top w:w="0" w:type="dxa"/>
        <w:left w:w="108" w:type="dxa"/>
        <w:bottom w:w="0" w:type="dxa"/>
        <w:right w:w="108" w:type="dxa"/>
      </w:tblCellMar>
    </w:tblPr>
  </w:style>
  <w:style w:type="character" w:customStyle="1" w:styleId="CaptionChar1">
    <w:name w:val="Caption Char1"/>
    <w:aliases w:val="Napis1 Char,Caption Char Char,Znak Znak Znak Znak Znak Char Char,Znak Znak Znak Char Char,Tabele Char Char, Znak Znak Znak Znak Znak Char, Znak Znak Znak Char, Znak Znak Znak Char Char, Znak Znak Znak Znak Znak Char1"/>
    <w:locked/>
    <w:rsid w:val="00BA6CBA"/>
    <w:rPr>
      <w:rFonts w:ascii="Arial" w:eastAsia="Times New Roman" w:hAnsi="Arial"/>
      <w:b/>
      <w:bCs/>
    </w:rPr>
  </w:style>
  <w:style w:type="paragraph" w:customStyle="1" w:styleId="ZPN1">
    <w:name w:val="_ZPN 1"/>
    <w:basedOn w:val="Navaden"/>
    <w:rsid w:val="00DF1F12"/>
    <w:pPr>
      <w:overflowPunct/>
      <w:autoSpaceDE/>
      <w:autoSpaceDN/>
      <w:adjustRightInd/>
      <w:jc w:val="left"/>
      <w:textAlignment w:val="auto"/>
    </w:pPr>
    <w:rPr>
      <w:rFonts w:ascii="Tahoma" w:hAnsi="Tahoma"/>
      <w:szCs w:val="24"/>
    </w:rPr>
  </w:style>
  <w:style w:type="paragraph" w:customStyle="1" w:styleId="font6">
    <w:name w:val="font6"/>
    <w:basedOn w:val="Navaden"/>
    <w:rsid w:val="000C6C2A"/>
    <w:pPr>
      <w:overflowPunct/>
      <w:autoSpaceDE/>
      <w:autoSpaceDN/>
      <w:adjustRightInd/>
      <w:spacing w:before="100" w:beforeAutospacing="1" w:after="100" w:afterAutospacing="1"/>
      <w:jc w:val="left"/>
      <w:textAlignment w:val="auto"/>
    </w:pPr>
    <w:rPr>
      <w:rFonts w:ascii="Tahoma" w:hAnsi="Tahoma" w:cs="Tahoma"/>
      <w:b/>
      <w:bCs/>
      <w:color w:val="000000"/>
      <w:sz w:val="16"/>
    </w:rPr>
  </w:style>
  <w:style w:type="paragraph" w:customStyle="1" w:styleId="font7">
    <w:name w:val="font7"/>
    <w:basedOn w:val="Navaden"/>
    <w:rsid w:val="000C6C2A"/>
    <w:pPr>
      <w:overflowPunct/>
      <w:autoSpaceDE/>
      <w:autoSpaceDN/>
      <w:adjustRightInd/>
      <w:spacing w:before="100" w:beforeAutospacing="1" w:after="100" w:afterAutospacing="1"/>
      <w:jc w:val="left"/>
      <w:textAlignment w:val="auto"/>
    </w:pPr>
    <w:rPr>
      <w:rFonts w:ascii="Arial Narrow" w:hAnsi="Arial Narrow"/>
      <w:sz w:val="18"/>
      <w:szCs w:val="18"/>
    </w:rPr>
  </w:style>
  <w:style w:type="paragraph" w:customStyle="1" w:styleId="xl130">
    <w:name w:val="xl130"/>
    <w:basedOn w:val="Navaden"/>
    <w:rsid w:val="000C6C2A"/>
    <w:pPr>
      <w:overflowPunct/>
      <w:autoSpaceDE/>
      <w:autoSpaceDN/>
      <w:adjustRightInd/>
      <w:spacing w:before="100" w:beforeAutospacing="1" w:after="100" w:afterAutospacing="1"/>
      <w:jc w:val="left"/>
      <w:textAlignment w:val="center"/>
    </w:pPr>
    <w:rPr>
      <w:rFonts w:ascii="Arial Narrow" w:hAnsi="Arial Narrow"/>
      <w:sz w:val="18"/>
      <w:szCs w:val="18"/>
    </w:rPr>
  </w:style>
  <w:style w:type="paragraph" w:customStyle="1" w:styleId="xl131">
    <w:name w:val="xl131"/>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center"/>
    </w:pPr>
    <w:rPr>
      <w:rFonts w:ascii="Arial Narrow" w:hAnsi="Arial Narrow"/>
      <w:sz w:val="18"/>
      <w:szCs w:val="18"/>
    </w:rPr>
  </w:style>
  <w:style w:type="paragraph" w:customStyle="1" w:styleId="xl132">
    <w:name w:val="xl132"/>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center"/>
    </w:pPr>
    <w:rPr>
      <w:rFonts w:ascii="Arial Narrow" w:hAnsi="Arial Narrow"/>
      <w:sz w:val="18"/>
      <w:szCs w:val="18"/>
    </w:rPr>
  </w:style>
  <w:style w:type="paragraph" w:customStyle="1" w:styleId="xl133">
    <w:name w:val="xl133"/>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center"/>
    </w:pPr>
    <w:rPr>
      <w:rFonts w:ascii="Arial Narrow" w:hAnsi="Arial Narrow"/>
      <w:sz w:val="18"/>
      <w:szCs w:val="18"/>
    </w:rPr>
  </w:style>
  <w:style w:type="paragraph" w:customStyle="1" w:styleId="xl134">
    <w:name w:val="xl134"/>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Narrow" w:hAnsi="Arial Narrow"/>
      <w:sz w:val="18"/>
      <w:szCs w:val="18"/>
    </w:rPr>
  </w:style>
  <w:style w:type="paragraph" w:customStyle="1" w:styleId="xl135">
    <w:name w:val="xl135"/>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center"/>
    </w:pPr>
    <w:rPr>
      <w:rFonts w:ascii="Arial Narrow" w:hAnsi="Arial Narrow"/>
      <w:sz w:val="18"/>
      <w:szCs w:val="18"/>
    </w:rPr>
  </w:style>
  <w:style w:type="paragraph" w:customStyle="1" w:styleId="xl136">
    <w:name w:val="xl136"/>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Narrow" w:hAnsi="Arial Narrow"/>
      <w:sz w:val="18"/>
      <w:szCs w:val="18"/>
    </w:rPr>
  </w:style>
  <w:style w:type="paragraph" w:customStyle="1" w:styleId="xl137">
    <w:name w:val="xl137"/>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Narrow" w:hAnsi="Arial Narrow"/>
      <w:sz w:val="18"/>
      <w:szCs w:val="18"/>
    </w:rPr>
  </w:style>
  <w:style w:type="paragraph" w:customStyle="1" w:styleId="xl138">
    <w:name w:val="xl138"/>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center"/>
    </w:pPr>
    <w:rPr>
      <w:rFonts w:ascii="Arial Narrow" w:hAnsi="Arial Narrow"/>
      <w:sz w:val="18"/>
      <w:szCs w:val="18"/>
    </w:rPr>
  </w:style>
  <w:style w:type="paragraph" w:customStyle="1" w:styleId="xl139">
    <w:name w:val="xl139"/>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Narrow" w:hAnsi="Arial Narrow"/>
      <w:sz w:val="18"/>
      <w:szCs w:val="18"/>
    </w:rPr>
  </w:style>
  <w:style w:type="paragraph" w:customStyle="1" w:styleId="xl140">
    <w:name w:val="xl140"/>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Narrow" w:hAnsi="Arial Narrow"/>
      <w:sz w:val="18"/>
      <w:szCs w:val="18"/>
    </w:rPr>
  </w:style>
  <w:style w:type="paragraph" w:customStyle="1" w:styleId="xl141">
    <w:name w:val="xl141"/>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Narrow" w:hAnsi="Arial Narrow"/>
      <w:sz w:val="18"/>
      <w:szCs w:val="18"/>
    </w:rPr>
  </w:style>
  <w:style w:type="paragraph" w:customStyle="1" w:styleId="xl142">
    <w:name w:val="xl142"/>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center"/>
    </w:pPr>
    <w:rPr>
      <w:rFonts w:ascii="Arial Narrow" w:hAnsi="Arial Narrow"/>
      <w:sz w:val="18"/>
      <w:szCs w:val="18"/>
    </w:rPr>
  </w:style>
  <w:style w:type="paragraph" w:customStyle="1" w:styleId="xl143">
    <w:name w:val="xl143"/>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Narrow" w:hAnsi="Arial Narrow"/>
      <w:sz w:val="18"/>
      <w:szCs w:val="18"/>
    </w:rPr>
  </w:style>
  <w:style w:type="paragraph" w:customStyle="1" w:styleId="xl144">
    <w:name w:val="xl144"/>
    <w:basedOn w:val="Navaden"/>
    <w:rsid w:val="000C6C2A"/>
    <w:pPr>
      <w:overflowPunct/>
      <w:autoSpaceDE/>
      <w:autoSpaceDN/>
      <w:adjustRightInd/>
      <w:spacing w:before="100" w:beforeAutospacing="1" w:after="100" w:afterAutospacing="1"/>
      <w:jc w:val="left"/>
      <w:textAlignment w:val="center"/>
    </w:pPr>
    <w:rPr>
      <w:rFonts w:ascii="Arial Narrow" w:hAnsi="Arial Narrow"/>
      <w:sz w:val="18"/>
      <w:szCs w:val="18"/>
    </w:rPr>
  </w:style>
  <w:style w:type="paragraph" w:customStyle="1" w:styleId="xl145">
    <w:name w:val="xl145"/>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center"/>
    </w:pPr>
    <w:rPr>
      <w:rFonts w:ascii="Arial Narrow" w:hAnsi="Arial Narrow"/>
      <w:sz w:val="18"/>
      <w:szCs w:val="18"/>
    </w:rPr>
  </w:style>
  <w:style w:type="paragraph" w:customStyle="1" w:styleId="xl146">
    <w:name w:val="xl146"/>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Narrow" w:hAnsi="Arial Narrow"/>
      <w:sz w:val="18"/>
      <w:szCs w:val="18"/>
    </w:rPr>
  </w:style>
  <w:style w:type="paragraph" w:customStyle="1" w:styleId="xl147">
    <w:name w:val="xl147"/>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Narrow" w:hAnsi="Arial Narrow"/>
      <w:sz w:val="18"/>
      <w:szCs w:val="18"/>
    </w:rPr>
  </w:style>
  <w:style w:type="paragraph" w:customStyle="1" w:styleId="xl148">
    <w:name w:val="xl148"/>
    <w:basedOn w:val="Navaden"/>
    <w:rsid w:val="000C6C2A"/>
    <w:pPr>
      <w:overflowPunct/>
      <w:autoSpaceDE/>
      <w:autoSpaceDN/>
      <w:adjustRightInd/>
      <w:spacing w:before="100" w:beforeAutospacing="1" w:after="100" w:afterAutospacing="1"/>
      <w:jc w:val="left"/>
      <w:textAlignment w:val="center"/>
    </w:pPr>
    <w:rPr>
      <w:rFonts w:ascii="Arial Narrow" w:hAnsi="Arial Narrow"/>
      <w:sz w:val="18"/>
      <w:szCs w:val="18"/>
    </w:rPr>
  </w:style>
  <w:style w:type="paragraph" w:customStyle="1" w:styleId="xl149">
    <w:name w:val="xl149"/>
    <w:basedOn w:val="Navaden"/>
    <w:rsid w:val="000C6C2A"/>
    <w:pPr>
      <w:overflowPunct/>
      <w:autoSpaceDE/>
      <w:autoSpaceDN/>
      <w:adjustRightInd/>
      <w:spacing w:before="100" w:beforeAutospacing="1" w:after="100" w:afterAutospacing="1"/>
      <w:jc w:val="left"/>
      <w:textAlignment w:val="center"/>
    </w:pPr>
    <w:rPr>
      <w:rFonts w:ascii="Arial Narrow" w:hAnsi="Arial Narrow"/>
      <w:sz w:val="18"/>
      <w:szCs w:val="18"/>
    </w:rPr>
  </w:style>
  <w:style w:type="paragraph" w:customStyle="1" w:styleId="xl150">
    <w:name w:val="xl150"/>
    <w:basedOn w:val="Navaden"/>
    <w:rsid w:val="000C6C2A"/>
    <w:pPr>
      <w:overflowPunct/>
      <w:autoSpaceDE/>
      <w:autoSpaceDN/>
      <w:adjustRightInd/>
      <w:spacing w:before="100" w:beforeAutospacing="1" w:after="100" w:afterAutospacing="1"/>
      <w:jc w:val="left"/>
      <w:textAlignment w:val="center"/>
    </w:pPr>
    <w:rPr>
      <w:rFonts w:ascii="Arial Narrow" w:hAnsi="Arial Narrow"/>
      <w:sz w:val="18"/>
      <w:szCs w:val="18"/>
    </w:rPr>
  </w:style>
  <w:style w:type="paragraph" w:customStyle="1" w:styleId="xl151">
    <w:name w:val="xl151"/>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center"/>
    </w:pPr>
    <w:rPr>
      <w:rFonts w:ascii="Arial Narrow" w:hAnsi="Arial Narrow"/>
      <w:sz w:val="18"/>
      <w:szCs w:val="18"/>
    </w:rPr>
  </w:style>
  <w:style w:type="paragraph" w:customStyle="1" w:styleId="xl152">
    <w:name w:val="xl152"/>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auto"/>
    </w:pPr>
    <w:rPr>
      <w:rFonts w:ascii="Arial Narrow" w:hAnsi="Arial Narrow"/>
      <w:sz w:val="18"/>
      <w:szCs w:val="18"/>
    </w:rPr>
  </w:style>
  <w:style w:type="paragraph" w:customStyle="1" w:styleId="xl153">
    <w:name w:val="xl153"/>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rFonts w:ascii="Arial Narrow" w:hAnsi="Arial Narrow"/>
      <w:sz w:val="18"/>
      <w:szCs w:val="18"/>
    </w:rPr>
  </w:style>
  <w:style w:type="paragraph" w:customStyle="1" w:styleId="xl154">
    <w:name w:val="xl154"/>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auto"/>
    </w:pPr>
    <w:rPr>
      <w:rFonts w:ascii="Arial Narrow" w:hAnsi="Arial Narrow"/>
      <w:sz w:val="18"/>
      <w:szCs w:val="18"/>
    </w:rPr>
  </w:style>
  <w:style w:type="paragraph" w:customStyle="1" w:styleId="xl155">
    <w:name w:val="xl155"/>
    <w:basedOn w:val="Navaden"/>
    <w:rsid w:val="000C6C2A"/>
    <w:pPr>
      <w:overflowPunct/>
      <w:autoSpaceDE/>
      <w:autoSpaceDN/>
      <w:adjustRightInd/>
      <w:spacing w:before="100" w:beforeAutospacing="1" w:after="100" w:afterAutospacing="1"/>
      <w:jc w:val="center"/>
      <w:textAlignment w:val="center"/>
    </w:pPr>
    <w:rPr>
      <w:rFonts w:ascii="Arial Narrow" w:hAnsi="Arial Narrow"/>
      <w:sz w:val="18"/>
      <w:szCs w:val="18"/>
    </w:rPr>
  </w:style>
  <w:style w:type="paragraph" w:customStyle="1" w:styleId="xl156">
    <w:name w:val="xl156"/>
    <w:basedOn w:val="Navaden"/>
    <w:rsid w:val="000C6C2A"/>
    <w:pPr>
      <w:overflowPunct/>
      <w:autoSpaceDE/>
      <w:autoSpaceDN/>
      <w:adjustRightInd/>
      <w:spacing w:before="100" w:beforeAutospacing="1" w:after="100" w:afterAutospacing="1"/>
      <w:jc w:val="right"/>
      <w:textAlignment w:val="center"/>
    </w:pPr>
    <w:rPr>
      <w:rFonts w:ascii="Arial Narrow" w:hAnsi="Arial Narrow"/>
      <w:sz w:val="18"/>
      <w:szCs w:val="18"/>
    </w:rPr>
  </w:style>
  <w:style w:type="paragraph" w:customStyle="1" w:styleId="xl157">
    <w:name w:val="xl157"/>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center"/>
    </w:pPr>
    <w:rPr>
      <w:rFonts w:ascii="Arial Narrow" w:hAnsi="Arial Narrow"/>
      <w:b/>
      <w:bCs/>
      <w:sz w:val="24"/>
      <w:szCs w:val="24"/>
    </w:rPr>
  </w:style>
  <w:style w:type="paragraph" w:customStyle="1" w:styleId="xl158">
    <w:name w:val="xl158"/>
    <w:basedOn w:val="Navaden"/>
    <w:rsid w:val="000C6C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Narrow" w:hAnsi="Arial Narrow"/>
      <w:b/>
      <w:bCs/>
      <w:sz w:val="24"/>
      <w:szCs w:val="24"/>
    </w:rPr>
  </w:style>
  <w:style w:type="paragraph" w:customStyle="1" w:styleId="StyleCaption">
    <w:name w:val="Style Caption"/>
    <w:aliases w:val="Znak Znak Znak Znak Znak + Black"/>
    <w:basedOn w:val="Napis"/>
    <w:link w:val="StyleCaptionChar"/>
    <w:rsid w:val="00590E36"/>
    <w:pPr>
      <w:overflowPunct/>
      <w:autoSpaceDE/>
      <w:autoSpaceDN/>
      <w:adjustRightInd/>
      <w:spacing w:before="6"/>
      <w:ind w:right="93"/>
      <w:textAlignment w:val="auto"/>
    </w:pPr>
    <w:rPr>
      <w:rFonts w:ascii="Tahoma" w:hAnsi="Tahoma"/>
      <w:color w:val="000000"/>
      <w:lang w:eastAsia="sl-SI"/>
    </w:rPr>
  </w:style>
  <w:style w:type="character" w:styleId="tevilkastrani">
    <w:name w:val="page number"/>
    <w:basedOn w:val="Privzetapisavaodstavka"/>
    <w:uiPriority w:val="99"/>
    <w:rsid w:val="00590E36"/>
  </w:style>
  <w:style w:type="character" w:customStyle="1" w:styleId="StyleCaptionChar">
    <w:name w:val="Style Caption Char"/>
    <w:aliases w:val="Znak Znak Znak Znak Znak + Black Char"/>
    <w:link w:val="StyleCaption"/>
    <w:rsid w:val="00590E36"/>
    <w:rPr>
      <w:rFonts w:ascii="Tahoma" w:eastAsia="Times New Roman" w:hAnsi="Tahoma"/>
      <w:bCs/>
      <w:color w:val="000000"/>
      <w:lang w:eastAsia="sl-SI"/>
    </w:rPr>
  </w:style>
  <w:style w:type="character" w:customStyle="1" w:styleId="PVO-2CharChar">
    <w:name w:val="PVO-2 Char Char"/>
    <w:rsid w:val="00590E36"/>
    <w:rPr>
      <w:rFonts w:ascii="Tahoma" w:hAnsi="Tahoma" w:cs="Arial"/>
      <w:bCs/>
      <w:iCs/>
      <w:sz w:val="28"/>
      <w:szCs w:val="28"/>
      <w:lang w:val="sl-SI" w:eastAsia="sl-SI" w:bidi="ar-SA"/>
    </w:rPr>
  </w:style>
  <w:style w:type="character" w:customStyle="1" w:styleId="ZnakChar">
    <w:name w:val="Znak Char"/>
    <w:aliases w:val="PVO-1 Char Char"/>
    <w:rsid w:val="00590E36"/>
    <w:rPr>
      <w:rFonts w:ascii="Tahoma" w:hAnsi="Tahoma" w:cs="Arial"/>
      <w:bCs/>
      <w:kern w:val="32"/>
      <w:sz w:val="28"/>
      <w:szCs w:val="32"/>
      <w:lang w:val="sl-SI" w:eastAsia="sl-SI" w:bidi="ar-SA"/>
    </w:rPr>
  </w:style>
  <w:style w:type="character" w:customStyle="1" w:styleId="ImepreglednicealislikeCharChar">
    <w:name w:val="Ime preglednice ali slike Char Char"/>
    <w:link w:val="Imepreglednicealislike"/>
    <w:rsid w:val="00590E36"/>
    <w:rPr>
      <w:rFonts w:ascii="Tahoma" w:eastAsia="Times New Roman" w:hAnsi="Tahoma" w:cs="Tahoma" w:hint="default"/>
      <w:b w:val="0"/>
      <w:bCs w:val="0"/>
      <w:color w:val="4F81BD"/>
      <w:sz w:val="18"/>
      <w:szCs w:val="18"/>
      <w:lang w:val="sl-SI" w:eastAsia="ja-JP" w:bidi="ar-SA"/>
    </w:rPr>
  </w:style>
  <w:style w:type="paragraph" w:customStyle="1" w:styleId="Preglednicasredinsko">
    <w:name w:val="Preglednica sredinsko"/>
    <w:basedOn w:val="Navaden"/>
    <w:rsid w:val="00590E36"/>
    <w:pPr>
      <w:overflowPunct/>
      <w:autoSpaceDE/>
      <w:autoSpaceDN/>
      <w:adjustRightInd/>
      <w:jc w:val="center"/>
      <w:textAlignment w:val="auto"/>
    </w:pPr>
    <w:rPr>
      <w:rFonts w:ascii="Tahoma" w:hAnsi="Tahoma" w:cs="Tahoma"/>
      <w:szCs w:val="20"/>
    </w:rPr>
  </w:style>
  <w:style w:type="paragraph" w:customStyle="1" w:styleId="Preglednicasredinskoglava">
    <w:name w:val="Preglednica sredinsko glava"/>
    <w:basedOn w:val="Navaden"/>
    <w:rsid w:val="00590E36"/>
    <w:pPr>
      <w:overflowPunct/>
      <w:autoSpaceDE/>
      <w:autoSpaceDN/>
      <w:adjustRightInd/>
      <w:jc w:val="center"/>
      <w:textAlignment w:val="auto"/>
    </w:pPr>
    <w:rPr>
      <w:rFonts w:ascii="Tahoma" w:hAnsi="Tahoma" w:cs="Tahoma"/>
      <w:b/>
      <w:szCs w:val="20"/>
    </w:rPr>
  </w:style>
  <w:style w:type="character" w:customStyle="1" w:styleId="ZnakChar0">
    <w:name w:val="Znak Char"/>
    <w:aliases w:val="Znak3 Char Char"/>
    <w:rsid w:val="00590E36"/>
    <w:rPr>
      <w:rFonts w:ascii="Tahoma" w:hAnsi="Tahoma"/>
      <w:bCs/>
      <w:sz w:val="24"/>
      <w:szCs w:val="28"/>
      <w:lang w:val="sl-SI" w:eastAsia="sl-SI" w:bidi="ar-SA"/>
    </w:rPr>
  </w:style>
  <w:style w:type="paragraph" w:customStyle="1" w:styleId="Naslov6a">
    <w:name w:val="Naslov 6a"/>
    <w:basedOn w:val="Naslov6"/>
    <w:next w:val="Telobesedila"/>
    <w:rsid w:val="00590E36"/>
    <w:pPr>
      <w:keepNext w:val="0"/>
      <w:keepLines w:val="0"/>
      <w:numPr>
        <w:ilvl w:val="0"/>
        <w:numId w:val="0"/>
      </w:numPr>
      <w:spacing w:before="240" w:after="60"/>
    </w:pPr>
    <w:rPr>
      <w:rFonts w:ascii="Tahoma" w:hAnsi="Tahoma"/>
      <w:b/>
      <w:bCs/>
      <w:i w:val="0"/>
      <w:iCs w:val="0"/>
      <w:color w:val="auto"/>
      <w:lang w:val="sl-SI" w:eastAsia="sl-SI"/>
    </w:rPr>
  </w:style>
  <w:style w:type="character" w:customStyle="1" w:styleId="ZnakZnakZnakZnakZnakZnakZnak1">
    <w:name w:val="Znak Znak Znak Znak Znak Znak Znak1"/>
    <w:rsid w:val="00590E36"/>
    <w:rPr>
      <w:rFonts w:ascii="Tahoma" w:hAnsi="Tahoma"/>
      <w:b/>
      <w:bCs/>
      <w:lang w:val="sl-SI" w:eastAsia="sl-SI" w:bidi="ar-SA"/>
    </w:rPr>
  </w:style>
  <w:style w:type="character" w:customStyle="1" w:styleId="ZnakZnak5">
    <w:name w:val="Znak Znak5"/>
    <w:rsid w:val="00590E36"/>
    <w:rPr>
      <w:rFonts w:ascii="Tahoma" w:hAnsi="Tahoma" w:cs="Arial"/>
      <w:bCs/>
      <w:kern w:val="32"/>
      <w:sz w:val="28"/>
      <w:szCs w:val="32"/>
    </w:rPr>
  </w:style>
  <w:style w:type="character" w:customStyle="1" w:styleId="ZnakZnak4">
    <w:name w:val="Znak Znak4"/>
    <w:rsid w:val="00590E36"/>
    <w:rPr>
      <w:rFonts w:ascii="Tahoma" w:hAnsi="Tahoma" w:cs="Arial"/>
      <w:bCs/>
      <w:iCs/>
      <w:sz w:val="28"/>
      <w:szCs w:val="28"/>
    </w:rPr>
  </w:style>
  <w:style w:type="character" w:customStyle="1" w:styleId="ImepregledniceChar">
    <w:name w:val="Ime preglednice Char"/>
    <w:aliases w:val="slike Char"/>
    <w:rsid w:val="00590E36"/>
    <w:rPr>
      <w:rFonts w:ascii="Tahoma" w:hAnsi="Tahoma"/>
      <w:lang w:val="sl-SI" w:eastAsia="sl-SI" w:bidi="ar-SA"/>
    </w:rPr>
  </w:style>
  <w:style w:type="paragraph" w:customStyle="1" w:styleId="Znak1ZnakZnak">
    <w:name w:val="Znak1 Znak Znak"/>
    <w:basedOn w:val="Navaden"/>
    <w:rsid w:val="00590E36"/>
    <w:pPr>
      <w:overflowPunct/>
      <w:autoSpaceDE/>
      <w:autoSpaceDN/>
      <w:adjustRightInd/>
      <w:spacing w:after="160" w:line="240" w:lineRule="exact"/>
      <w:jc w:val="left"/>
      <w:textAlignment w:val="auto"/>
    </w:pPr>
    <w:rPr>
      <w:rFonts w:ascii="Tahoma" w:hAnsi="Tahoma" w:cs="Tahoma"/>
      <w:szCs w:val="20"/>
      <w:lang w:val="en-US" w:eastAsia="en-US"/>
    </w:rPr>
  </w:style>
  <w:style w:type="character" w:customStyle="1" w:styleId="uvlaka2Char">
    <w:name w:val="uvlaka 2 Char"/>
    <w:aliases w:val="uvlaka 2 Char Char"/>
    <w:rsid w:val="00590E36"/>
    <w:rPr>
      <w:rFonts w:ascii="Tahoma" w:hAnsi="Tahoma"/>
      <w:sz w:val="22"/>
      <w:szCs w:val="24"/>
      <w:lang w:val="sl-SI" w:eastAsia="sl-SI" w:bidi="ar-SA"/>
    </w:rPr>
  </w:style>
  <w:style w:type="character" w:customStyle="1" w:styleId="ZnakZnakZnakZnakZnakZnakZnak10">
    <w:name w:val="Znak Znak Znak Znak Znak Znak Znak1"/>
    <w:rsid w:val="00590E36"/>
    <w:rPr>
      <w:rFonts w:ascii="Tahoma" w:hAnsi="Tahoma" w:cs="Times New Roman"/>
      <w:b/>
      <w:bCs/>
      <w:lang w:val="sl-SI" w:eastAsia="sl-SI" w:bidi="ar-SA"/>
    </w:rPr>
  </w:style>
  <w:style w:type="character" w:customStyle="1" w:styleId="ZnakZnakZnakChar2">
    <w:name w:val="Znak Znak Znak Char2"/>
    <w:aliases w:val=" Znak Znak Char2, Znak Znak Znak Znak Znak Char Char2"/>
    <w:rsid w:val="00590E36"/>
    <w:rPr>
      <w:rFonts w:ascii="Tahoma" w:hAnsi="Tahoma"/>
      <w:b/>
      <w:bCs/>
      <w:lang w:val="sl-SI" w:eastAsia="sl-SI" w:bidi="ar-SA"/>
    </w:rPr>
  </w:style>
  <w:style w:type="character" w:customStyle="1" w:styleId="ZnakZnakZnakChar1">
    <w:name w:val="Znak Znak Znak Char1"/>
    <w:aliases w:val=" Znak Znak Char1, Znak Znak Znak Znak Znak Char Char1"/>
    <w:rsid w:val="00590E36"/>
    <w:rPr>
      <w:rFonts w:ascii="Tahoma" w:hAnsi="Tahoma"/>
      <w:b/>
      <w:bCs/>
      <w:lang w:val="sl-SI" w:eastAsia="sl-SI" w:bidi="ar-SA"/>
    </w:rPr>
  </w:style>
  <w:style w:type="character" w:customStyle="1" w:styleId="ZnakZnakZnak2">
    <w:name w:val="Znak Znak Znak2"/>
    <w:rsid w:val="00590E36"/>
    <w:rPr>
      <w:rFonts w:ascii="Tahoma" w:hAnsi="Tahoma"/>
      <w:bCs/>
      <w:sz w:val="24"/>
      <w:szCs w:val="28"/>
      <w:lang w:val="sl-SI" w:eastAsia="sl-SI" w:bidi="ar-SA"/>
    </w:rPr>
  </w:style>
  <w:style w:type="character" w:customStyle="1" w:styleId="ZnakZnak2">
    <w:name w:val="Znak Znak2"/>
    <w:rsid w:val="00590E36"/>
    <w:rPr>
      <w:rFonts w:ascii="Tahoma" w:hAnsi="Tahoma" w:cs="Arial"/>
      <w:bCs/>
      <w:iCs/>
      <w:sz w:val="28"/>
      <w:szCs w:val="22"/>
      <w:lang w:val="sl-SI" w:eastAsia="sl-SI" w:bidi="ar-SA"/>
    </w:rPr>
  </w:style>
  <w:style w:type="character" w:customStyle="1" w:styleId="ZnakZnak3">
    <w:name w:val="Znak Znak3"/>
    <w:rsid w:val="00590E36"/>
    <w:rPr>
      <w:rFonts w:ascii="Tahoma" w:hAnsi="Tahoma" w:cs="Arial"/>
      <w:bCs/>
      <w:kern w:val="32"/>
      <w:sz w:val="28"/>
      <w:szCs w:val="32"/>
      <w:lang w:val="sl-SI" w:eastAsia="sl-SI" w:bidi="ar-SA"/>
    </w:rPr>
  </w:style>
  <w:style w:type="character" w:customStyle="1" w:styleId="ZnakZnak10">
    <w:name w:val="Znak Znak1"/>
    <w:rsid w:val="00590E36"/>
    <w:rPr>
      <w:rFonts w:ascii="Tahoma" w:hAnsi="Tahoma" w:cs="Arial"/>
      <w:bCs/>
      <w:sz w:val="24"/>
      <w:szCs w:val="26"/>
      <w:lang w:val="sl-SI" w:eastAsia="sl-SI" w:bidi="ar-SA"/>
    </w:rPr>
  </w:style>
  <w:style w:type="character" w:customStyle="1" w:styleId="ZnakZnakZnakZnakZnakChar2">
    <w:name w:val="Znak Znak Znak Znak Znak Char2"/>
    <w:aliases w:val=" Znak Znak Znak Char Char2, Znak Znak Znak Char3,Znak Znak Znak Znak Znak Char Char1,Znak Znak Znak Znak Znak Char3,Znak Znak Znak Char3"/>
    <w:rsid w:val="00590E36"/>
    <w:rPr>
      <w:rFonts w:ascii="Tahoma" w:hAnsi="Tahoma"/>
      <w:b/>
      <w:bCs/>
      <w:lang w:val="sl-SI" w:eastAsia="sl-SI" w:bidi="ar-SA"/>
    </w:rPr>
  </w:style>
  <w:style w:type="character" w:customStyle="1" w:styleId="ZnakZnakZnakChar20">
    <w:name w:val="Znak Znak Znak Char2"/>
    <w:aliases w:val="Znak Znak Char2,Znak Znak Znak Znak Znak Char Char2"/>
    <w:rsid w:val="00590E36"/>
    <w:rPr>
      <w:rFonts w:ascii="Tahoma" w:hAnsi="Tahoma" w:cs="Times New Roman"/>
      <w:b/>
      <w:bCs/>
      <w:lang w:val="sl-SI" w:eastAsia="sl-SI" w:bidi="ar-SA"/>
    </w:rPr>
  </w:style>
  <w:style w:type="character" w:customStyle="1" w:styleId="HeaderChar">
    <w:name w:val="Header Char"/>
    <w:aliases w:val="Header-PR Char"/>
    <w:semiHidden/>
    <w:locked/>
    <w:rsid w:val="00590E36"/>
    <w:rPr>
      <w:rFonts w:ascii="Tahoma" w:hAnsi="Tahoma" w:cs="Times New Roman"/>
      <w:sz w:val="24"/>
      <w:szCs w:val="24"/>
      <w:lang w:val="sl-SI" w:eastAsia="sl-SI" w:bidi="ar-SA"/>
    </w:rPr>
  </w:style>
  <w:style w:type="character" w:customStyle="1" w:styleId="CharChar5">
    <w:name w:val="Char Char5"/>
    <w:rsid w:val="00590E36"/>
    <w:rPr>
      <w:rFonts w:ascii="Tahoma" w:hAnsi="Tahoma" w:cs="Tahoma"/>
      <w:b/>
      <w:bCs/>
      <w:iCs/>
      <w:sz w:val="22"/>
      <w:szCs w:val="26"/>
      <w:u w:val="words"/>
      <w:lang w:val="sl-SI" w:eastAsia="sl-SI" w:bidi="ar-SA"/>
    </w:rPr>
  </w:style>
  <w:style w:type="character" w:customStyle="1" w:styleId="CharChar4">
    <w:name w:val="Char Char4"/>
    <w:semiHidden/>
    <w:locked/>
    <w:rsid w:val="00590E36"/>
    <w:rPr>
      <w:rFonts w:ascii="Tahoma" w:hAnsi="Tahoma"/>
      <w:bCs/>
      <w:sz w:val="22"/>
      <w:szCs w:val="22"/>
      <w:lang w:val="sl-SI" w:eastAsia="sl-SI" w:bidi="ar-SA"/>
    </w:rPr>
  </w:style>
  <w:style w:type="character" w:customStyle="1" w:styleId="CharChar3">
    <w:name w:val="Char Char3"/>
    <w:semiHidden/>
    <w:locked/>
    <w:rsid w:val="00590E36"/>
    <w:rPr>
      <w:rFonts w:ascii="Tahoma" w:hAnsi="Tahoma"/>
      <w:sz w:val="22"/>
      <w:szCs w:val="24"/>
      <w:lang w:val="sl-SI" w:eastAsia="sl-SI" w:bidi="ar-SA"/>
    </w:rPr>
  </w:style>
  <w:style w:type="character" w:customStyle="1" w:styleId="Footer1CharChar">
    <w:name w:val="Footer1 Char Char"/>
    <w:semiHidden/>
    <w:locked/>
    <w:rsid w:val="00590E36"/>
    <w:rPr>
      <w:rFonts w:ascii="Tahoma" w:hAnsi="Tahoma"/>
      <w:sz w:val="22"/>
      <w:szCs w:val="24"/>
      <w:lang w:val="sl-SI" w:eastAsia="sl-SI" w:bidi="ar-SA"/>
    </w:rPr>
  </w:style>
  <w:style w:type="character" w:customStyle="1" w:styleId="Header-PRCharChar">
    <w:name w:val="Header-PR Char Char"/>
    <w:semiHidden/>
    <w:locked/>
    <w:rsid w:val="00590E36"/>
    <w:rPr>
      <w:rFonts w:ascii="Tahoma" w:hAnsi="Tahoma"/>
      <w:sz w:val="22"/>
      <w:szCs w:val="24"/>
      <w:lang w:val="sl-SI" w:eastAsia="sl-SI" w:bidi="ar-SA"/>
    </w:rPr>
  </w:style>
  <w:style w:type="character" w:customStyle="1" w:styleId="ZnakZnakZnakChar11">
    <w:name w:val="Znak Znak Znak Char11"/>
    <w:aliases w:val="Znak Znak Char1,Znak Znak Znak Znak Znak Char Char11"/>
    <w:rsid w:val="00590E36"/>
    <w:rPr>
      <w:rFonts w:ascii="Tahoma" w:hAnsi="Tahoma" w:cs="Times New Roman"/>
      <w:b/>
      <w:bCs/>
      <w:lang w:val="sl-SI" w:eastAsia="sl-SI" w:bidi="ar-SA"/>
    </w:rPr>
  </w:style>
  <w:style w:type="character" w:customStyle="1" w:styleId="ZnakZnakZnakZnakZnakChar20">
    <w:name w:val="Znak Znak Znak Znak Znak Char2"/>
    <w:aliases w:val="Znak Znak Znak Char Char2"/>
    <w:rsid w:val="00590E36"/>
    <w:rPr>
      <w:rFonts w:ascii="Tahoma" w:hAnsi="Tahoma" w:cs="Times New Roman"/>
      <w:b/>
      <w:bCs/>
      <w:lang w:val="sl-SI" w:eastAsia="sl-SI" w:bidi="ar-SA"/>
    </w:rPr>
  </w:style>
  <w:style w:type="character" w:customStyle="1" w:styleId="ZnakZnakZnakZnakZnakZnakZnak2">
    <w:name w:val="Znak Znak Znak Znak Znak Znak Znak2"/>
    <w:rsid w:val="00590E36"/>
    <w:rPr>
      <w:rFonts w:ascii="Tahoma" w:hAnsi="Tahoma" w:cs="Tahoma"/>
      <w:b/>
      <w:bCs/>
      <w:lang w:val="sl-SI" w:eastAsia="sl-SI"/>
    </w:rPr>
  </w:style>
  <w:style w:type="paragraph" w:customStyle="1" w:styleId="p">
    <w:name w:val="p"/>
    <w:basedOn w:val="Navaden"/>
    <w:rsid w:val="00590E36"/>
    <w:pPr>
      <w:overflowPunct/>
      <w:autoSpaceDE/>
      <w:autoSpaceDN/>
      <w:adjustRightInd/>
      <w:spacing w:before="60" w:after="15"/>
      <w:ind w:left="15" w:right="15" w:firstLine="240"/>
      <w:textAlignment w:val="auto"/>
    </w:pPr>
    <w:rPr>
      <w:rFonts w:cs="Arial"/>
      <w:color w:val="222222"/>
      <w:szCs w:val="22"/>
    </w:rPr>
  </w:style>
  <w:style w:type="character" w:customStyle="1" w:styleId="ZnakZnakZnakZnakZnakZnakZnak11">
    <w:name w:val="Znak Znak Znak Znak Znak Znak Znak11"/>
    <w:rsid w:val="00590E36"/>
    <w:rPr>
      <w:rFonts w:ascii="Tahoma" w:hAnsi="Tahoma" w:cs="Tahoma"/>
      <w:b/>
      <w:bCs/>
      <w:lang w:val="sl-SI" w:eastAsia="sl-SI"/>
    </w:rPr>
  </w:style>
  <w:style w:type="character" w:customStyle="1" w:styleId="ZnakCharChar">
    <w:name w:val="Znak Char Char"/>
    <w:rsid w:val="00590E36"/>
    <w:rPr>
      <w:rFonts w:ascii="Tahoma" w:hAnsi="Tahoma"/>
      <w:bCs/>
      <w:sz w:val="24"/>
      <w:szCs w:val="28"/>
      <w:lang w:val="sl-SI" w:eastAsia="sl-SI" w:bidi="ar-SA"/>
    </w:rPr>
  </w:style>
  <w:style w:type="character" w:customStyle="1" w:styleId="Heading5Char">
    <w:name w:val="Heading 5 Char"/>
    <w:rsid w:val="00590E36"/>
    <w:rPr>
      <w:rFonts w:ascii="Tahoma" w:hAnsi="Tahoma" w:cs="Tahoma"/>
      <w:b/>
      <w:bCs/>
      <w:iCs/>
      <w:sz w:val="22"/>
      <w:szCs w:val="26"/>
      <w:u w:val="single"/>
      <w:lang w:val="sl-SI" w:eastAsia="sl-SI" w:bidi="ar-SA"/>
    </w:rPr>
  </w:style>
  <w:style w:type="paragraph" w:customStyle="1" w:styleId="Revision1">
    <w:name w:val="Revision1"/>
    <w:hidden/>
    <w:uiPriority w:val="99"/>
    <w:semiHidden/>
    <w:rsid w:val="00590E36"/>
    <w:rPr>
      <w:rFonts w:ascii="Tahoma" w:eastAsia="Times New Roman" w:hAnsi="Tahoma"/>
      <w:sz w:val="22"/>
      <w:szCs w:val="24"/>
    </w:rPr>
  </w:style>
  <w:style w:type="character" w:styleId="Krepko">
    <w:name w:val="Strong"/>
    <w:uiPriority w:val="99"/>
    <w:qFormat/>
    <w:rsid w:val="00590E36"/>
    <w:rPr>
      <w:b/>
      <w:bCs/>
    </w:rPr>
  </w:style>
  <w:style w:type="table" w:styleId="Tabelapreprosta2">
    <w:name w:val="Table Simple 2"/>
    <w:basedOn w:val="Navadnatabela"/>
    <w:rsid w:val="00590E36"/>
    <w:pPr>
      <w:jc w:val="both"/>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SlogObojestransko">
    <w:name w:val="Slog Obojestransko"/>
    <w:basedOn w:val="Navaden"/>
    <w:uiPriority w:val="99"/>
    <w:rsid w:val="00590E36"/>
    <w:pPr>
      <w:overflowPunct/>
      <w:autoSpaceDE/>
      <w:autoSpaceDN/>
      <w:adjustRightInd/>
      <w:textAlignment w:val="auto"/>
    </w:pPr>
    <w:rPr>
      <w:rFonts w:ascii="Tahoma" w:hAnsi="Tahoma" w:cs="Tahoma"/>
      <w:sz w:val="24"/>
      <w:szCs w:val="24"/>
      <w:lang w:eastAsia="en-US"/>
    </w:rPr>
  </w:style>
  <w:style w:type="paragraph" w:customStyle="1" w:styleId="ListParagraph3">
    <w:name w:val="List Paragraph3"/>
    <w:basedOn w:val="Navaden"/>
    <w:uiPriority w:val="99"/>
    <w:qFormat/>
    <w:rsid w:val="00590E36"/>
    <w:pPr>
      <w:overflowPunct/>
      <w:autoSpaceDE/>
      <w:autoSpaceDN/>
      <w:adjustRightInd/>
      <w:ind w:left="720"/>
      <w:contextualSpacing/>
      <w:textAlignment w:val="auto"/>
    </w:pPr>
    <w:rPr>
      <w:rFonts w:ascii="Tahoma" w:hAnsi="Tahoma" w:cs="Tahoma"/>
      <w:szCs w:val="22"/>
    </w:rPr>
  </w:style>
  <w:style w:type="character" w:customStyle="1" w:styleId="Heading4Char">
    <w:name w:val="Heading 4 Char"/>
    <w:uiPriority w:val="99"/>
    <w:rsid w:val="00590E36"/>
    <w:rPr>
      <w:rFonts w:ascii="Tahoma" w:hAnsi="Tahoma" w:cs="Tahoma"/>
      <w:sz w:val="28"/>
      <w:szCs w:val="28"/>
      <w:lang w:val="sl-SI" w:eastAsia="sl-SI"/>
    </w:rPr>
  </w:style>
  <w:style w:type="paragraph" w:customStyle="1" w:styleId="PRILOGE">
    <w:name w:val="PRILOGE"/>
    <w:basedOn w:val="Navaden"/>
    <w:uiPriority w:val="99"/>
    <w:rsid w:val="00590E36"/>
    <w:pPr>
      <w:overflowPunct/>
      <w:autoSpaceDE/>
      <w:autoSpaceDN/>
      <w:adjustRightInd/>
      <w:textAlignment w:val="auto"/>
    </w:pPr>
    <w:rPr>
      <w:rFonts w:ascii="Tahoma" w:hAnsi="Tahoma" w:cs="Tahoma"/>
      <w:sz w:val="24"/>
      <w:szCs w:val="24"/>
    </w:rPr>
  </w:style>
  <w:style w:type="paragraph" w:customStyle="1" w:styleId="Znak1">
    <w:name w:val="Znak1"/>
    <w:basedOn w:val="Navaden"/>
    <w:uiPriority w:val="99"/>
    <w:rsid w:val="00590E36"/>
    <w:pPr>
      <w:overflowPunct/>
      <w:autoSpaceDE/>
      <w:autoSpaceDN/>
      <w:adjustRightInd/>
      <w:jc w:val="left"/>
      <w:textAlignment w:val="auto"/>
    </w:pPr>
    <w:rPr>
      <w:rFonts w:ascii="Times New Roman" w:hAnsi="Times New Roman"/>
      <w:sz w:val="24"/>
      <w:szCs w:val="24"/>
      <w:lang w:val="pl-PL" w:eastAsia="pl-PL"/>
    </w:rPr>
  </w:style>
  <w:style w:type="paragraph" w:customStyle="1" w:styleId="ZnakZnak1CharCharZnakZnak">
    <w:name w:val="Znak Znak1 Char Char Znak Znak"/>
    <w:basedOn w:val="Navaden"/>
    <w:uiPriority w:val="99"/>
    <w:rsid w:val="00590E36"/>
    <w:pPr>
      <w:overflowPunct/>
      <w:autoSpaceDE/>
      <w:autoSpaceDN/>
      <w:adjustRightInd/>
      <w:jc w:val="left"/>
      <w:textAlignment w:val="auto"/>
    </w:pPr>
    <w:rPr>
      <w:rFonts w:ascii="Times New Roman" w:hAnsi="Times New Roman"/>
      <w:sz w:val="24"/>
      <w:szCs w:val="24"/>
      <w:lang w:val="pl-PL" w:eastAsia="pl-PL"/>
    </w:rPr>
  </w:style>
  <w:style w:type="paragraph" w:customStyle="1" w:styleId="ZnakZnak1CharCharZnakZnak1">
    <w:name w:val="Znak Znak1 Char Char Znak Znak1"/>
    <w:basedOn w:val="Navaden"/>
    <w:uiPriority w:val="99"/>
    <w:rsid w:val="00590E36"/>
    <w:pPr>
      <w:overflowPunct/>
      <w:autoSpaceDE/>
      <w:autoSpaceDN/>
      <w:adjustRightInd/>
      <w:jc w:val="left"/>
      <w:textAlignment w:val="auto"/>
    </w:pPr>
    <w:rPr>
      <w:rFonts w:ascii="Times New Roman" w:hAnsi="Times New Roman"/>
      <w:sz w:val="24"/>
      <w:szCs w:val="24"/>
      <w:lang w:val="pl-PL" w:eastAsia="pl-PL"/>
    </w:rPr>
  </w:style>
  <w:style w:type="character" w:customStyle="1" w:styleId="Heading3CharChar">
    <w:name w:val="Heading 3 Char Char"/>
    <w:uiPriority w:val="99"/>
    <w:rsid w:val="00590E36"/>
    <w:rPr>
      <w:rFonts w:ascii="Tahoma" w:hAnsi="Tahoma" w:cs="Tahoma"/>
      <w:sz w:val="26"/>
      <w:szCs w:val="26"/>
      <w:lang w:val="sl-SI" w:eastAsia="sl-SI"/>
    </w:rPr>
  </w:style>
  <w:style w:type="paragraph" w:customStyle="1" w:styleId="hmnavaden">
    <w:name w:val="hm_navaden"/>
    <w:basedOn w:val="Navaden"/>
    <w:link w:val="hmnavadenChar"/>
    <w:uiPriority w:val="99"/>
    <w:rsid w:val="00590E36"/>
    <w:pPr>
      <w:overflowPunct/>
      <w:autoSpaceDE/>
      <w:autoSpaceDN/>
      <w:adjustRightInd/>
      <w:spacing w:line="168" w:lineRule="auto"/>
      <w:textAlignment w:val="auto"/>
    </w:pPr>
    <w:rPr>
      <w:rFonts w:ascii="Arial Unicode MS" w:eastAsia="Arial Unicode MS" w:hAnsi="Arial Unicode MS"/>
      <w:sz w:val="24"/>
      <w:szCs w:val="24"/>
      <w:lang w:val="x-none" w:eastAsia="en-US"/>
    </w:rPr>
  </w:style>
  <w:style w:type="character" w:customStyle="1" w:styleId="hmnavadenChar">
    <w:name w:val="hm_navaden Char"/>
    <w:link w:val="hmnavaden"/>
    <w:uiPriority w:val="99"/>
    <w:rsid w:val="00590E36"/>
    <w:rPr>
      <w:rFonts w:ascii="Arial Unicode MS" w:eastAsia="Arial Unicode MS" w:hAnsi="Arial Unicode MS"/>
      <w:sz w:val="24"/>
      <w:szCs w:val="24"/>
      <w:lang w:val="x-none" w:eastAsia="en-US"/>
    </w:rPr>
  </w:style>
  <w:style w:type="paragraph" w:customStyle="1" w:styleId="Znak1CharChar">
    <w:name w:val="Znak1 Char Char"/>
    <w:basedOn w:val="Navaden"/>
    <w:uiPriority w:val="99"/>
    <w:rsid w:val="00590E36"/>
    <w:pPr>
      <w:overflowPunct/>
      <w:autoSpaceDE/>
      <w:autoSpaceDN/>
      <w:adjustRightInd/>
      <w:jc w:val="left"/>
      <w:textAlignment w:val="auto"/>
    </w:pPr>
    <w:rPr>
      <w:rFonts w:ascii="Times New Roman" w:hAnsi="Times New Roman"/>
      <w:sz w:val="24"/>
      <w:szCs w:val="24"/>
      <w:lang w:val="pl-PL" w:eastAsia="pl-PL"/>
    </w:rPr>
  </w:style>
  <w:style w:type="paragraph" w:customStyle="1" w:styleId="ZnakZnak1CharCharZnakZnakCharCharZnak">
    <w:name w:val="Znak Znak1 Char Char Znak Znak Char Char Znak"/>
    <w:basedOn w:val="Navaden"/>
    <w:uiPriority w:val="99"/>
    <w:rsid w:val="00590E36"/>
    <w:pPr>
      <w:overflowPunct/>
      <w:autoSpaceDE/>
      <w:autoSpaceDN/>
      <w:adjustRightInd/>
      <w:jc w:val="left"/>
      <w:textAlignment w:val="auto"/>
    </w:pPr>
    <w:rPr>
      <w:rFonts w:ascii="Times New Roman" w:hAnsi="Times New Roman"/>
      <w:sz w:val="24"/>
      <w:szCs w:val="24"/>
      <w:lang w:val="pl-PL" w:eastAsia="pl-PL"/>
    </w:rPr>
  </w:style>
  <w:style w:type="character" w:customStyle="1" w:styleId="HTML-oblikovanoZnak1">
    <w:name w:val="HTML-oblikovano Znak1"/>
    <w:rsid w:val="00590E36"/>
    <w:rPr>
      <w:rFonts w:ascii="Courier New" w:hAnsi="Courier New" w:cs="Courier New"/>
    </w:rPr>
  </w:style>
  <w:style w:type="character" w:customStyle="1" w:styleId="HTMLPreformattedChar1">
    <w:name w:val="HTML Preformatted Char1"/>
    <w:uiPriority w:val="99"/>
    <w:semiHidden/>
    <w:rsid w:val="00590E36"/>
    <w:rPr>
      <w:rFonts w:ascii="Courier New" w:hAnsi="Courier New" w:cs="Courier New"/>
      <w:sz w:val="20"/>
      <w:szCs w:val="20"/>
    </w:rPr>
  </w:style>
  <w:style w:type="character" w:customStyle="1" w:styleId="ZnakZnak30">
    <w:name w:val="Znak Znak3"/>
    <w:uiPriority w:val="99"/>
    <w:rsid w:val="00590E36"/>
    <w:rPr>
      <w:rFonts w:ascii="Tahoma" w:hAnsi="Tahoma" w:cs="Tahoma"/>
      <w:sz w:val="28"/>
      <w:szCs w:val="28"/>
      <w:lang w:val="sl-SI" w:eastAsia="sl-SI"/>
    </w:rPr>
  </w:style>
  <w:style w:type="paragraph" w:customStyle="1" w:styleId="ZnakZnak1CharCharZnakZnakCharCharZnakZnakZnak">
    <w:name w:val="Znak Znak1 Char Char Znak Znak Char Char Znak Znak Znak"/>
    <w:basedOn w:val="Navaden"/>
    <w:uiPriority w:val="99"/>
    <w:rsid w:val="00590E36"/>
    <w:pPr>
      <w:overflowPunct/>
      <w:autoSpaceDE/>
      <w:autoSpaceDN/>
      <w:adjustRightInd/>
      <w:jc w:val="left"/>
      <w:textAlignment w:val="auto"/>
    </w:pPr>
    <w:rPr>
      <w:rFonts w:ascii="Times New Roman" w:hAnsi="Times New Roman"/>
      <w:sz w:val="24"/>
      <w:szCs w:val="24"/>
      <w:lang w:val="pl-PL" w:eastAsia="pl-PL"/>
    </w:rPr>
  </w:style>
  <w:style w:type="character" w:customStyle="1" w:styleId="ZnakCharChar0">
    <w:name w:val="Znak Char Char"/>
    <w:uiPriority w:val="99"/>
    <w:rsid w:val="00590E36"/>
    <w:rPr>
      <w:rFonts w:ascii="Tahoma" w:hAnsi="Tahoma" w:cs="Tahoma"/>
      <w:sz w:val="26"/>
      <w:szCs w:val="26"/>
      <w:lang w:val="sl-SI" w:eastAsia="sl-SI"/>
    </w:rPr>
  </w:style>
  <w:style w:type="paragraph" w:customStyle="1" w:styleId="Revizija1">
    <w:name w:val="Revizija1"/>
    <w:hidden/>
    <w:uiPriority w:val="99"/>
    <w:semiHidden/>
    <w:rsid w:val="00590E36"/>
    <w:rPr>
      <w:rFonts w:ascii="Tahoma" w:eastAsia="Times New Roman" w:hAnsi="Tahoma" w:cs="Tahoma"/>
      <w:sz w:val="22"/>
      <w:szCs w:val="22"/>
    </w:rPr>
  </w:style>
  <w:style w:type="numbering" w:customStyle="1" w:styleId="Nastevanje2">
    <w:name w:val="Nastevanje2"/>
    <w:basedOn w:val="Brezseznama"/>
    <w:rsid w:val="00590E36"/>
    <w:pPr>
      <w:numPr>
        <w:numId w:val="1"/>
      </w:numPr>
    </w:pPr>
  </w:style>
  <w:style w:type="paragraph" w:customStyle="1" w:styleId="SlogNaslov2">
    <w:name w:val="Slog Naslov 2"/>
    <w:aliases w:val="PVO-2 + Arial Pred:  0 pt Po:  0 pt"/>
    <w:basedOn w:val="Naslov20"/>
    <w:rsid w:val="00590E36"/>
    <w:pPr>
      <w:tabs>
        <w:tab w:val="num" w:pos="576"/>
      </w:tabs>
      <w:overflowPunct/>
      <w:autoSpaceDE/>
      <w:autoSpaceDN/>
      <w:adjustRightInd/>
      <w:spacing w:before="0" w:after="0"/>
      <w:textAlignment w:val="auto"/>
    </w:pPr>
    <w:rPr>
      <w:b w:val="0"/>
      <w:bCs w:val="0"/>
      <w:iCs w:val="0"/>
      <w:szCs w:val="20"/>
      <w:lang w:val="sl-SI" w:eastAsia="sl-SI"/>
    </w:rPr>
  </w:style>
  <w:style w:type="paragraph" w:styleId="Revizija">
    <w:name w:val="Revision"/>
    <w:hidden/>
    <w:uiPriority w:val="99"/>
    <w:semiHidden/>
    <w:rsid w:val="00590E36"/>
    <w:rPr>
      <w:rFonts w:ascii="Tahoma" w:eastAsia="Times New Roman" w:hAnsi="Tahoma"/>
      <w:sz w:val="22"/>
      <w:szCs w:val="24"/>
    </w:rPr>
  </w:style>
  <w:style w:type="paragraph" w:customStyle="1" w:styleId="NaslovpredpisaZnakZnak">
    <w:name w:val="Naslov_predpisa Znak Znak"/>
    <w:basedOn w:val="Navaden"/>
    <w:rsid w:val="00590E36"/>
    <w:pPr>
      <w:suppressAutoHyphens/>
      <w:autoSpaceDN/>
      <w:adjustRightInd/>
      <w:spacing w:before="120" w:after="160" w:line="200" w:lineRule="exact"/>
      <w:jc w:val="center"/>
    </w:pPr>
    <w:rPr>
      <w:rFonts w:cs="Arial"/>
      <w:b/>
      <w:sz w:val="24"/>
      <w:szCs w:val="24"/>
      <w:lang w:eastAsia="ar-SA"/>
    </w:rPr>
  </w:style>
  <w:style w:type="character" w:customStyle="1" w:styleId="BodyTextIndentChar">
    <w:name w:val="Body Text Indent Char"/>
    <w:locked/>
    <w:rsid w:val="00590E36"/>
    <w:rPr>
      <w:rFonts w:ascii="Arial Unicode MS" w:eastAsia="Arial Unicode MS" w:cs="Arial Unicode MS"/>
      <w:bCs/>
      <w:sz w:val="24"/>
      <w:szCs w:val="24"/>
      <w:lang w:val="sl-SI" w:eastAsia="sl-SI" w:bidi="ar-SA"/>
    </w:rPr>
  </w:style>
  <w:style w:type="paragraph" w:customStyle="1" w:styleId="index">
    <w:name w:val="index"/>
    <w:basedOn w:val="Navaden"/>
    <w:semiHidden/>
    <w:rsid w:val="00590E36"/>
    <w:pPr>
      <w:widowControl w:val="0"/>
      <w:overflowPunct/>
      <w:autoSpaceDE/>
      <w:autoSpaceDN/>
      <w:adjustRightInd/>
      <w:spacing w:before="120"/>
      <w:textAlignment w:val="auto"/>
    </w:pPr>
    <w:rPr>
      <w:rFonts w:ascii="Dutch" w:hAnsi="Dutch"/>
      <w:b/>
      <w:sz w:val="24"/>
      <w:szCs w:val="24"/>
      <w:lang w:val="hr-HR"/>
    </w:rPr>
  </w:style>
  <w:style w:type="paragraph" w:customStyle="1" w:styleId="NASLOV0">
    <w:name w:val="NASLOV"/>
    <w:basedOn w:val="Navaden"/>
    <w:semiHidden/>
    <w:rsid w:val="00590E36"/>
    <w:pPr>
      <w:widowControl w:val="0"/>
      <w:overflowPunct/>
      <w:autoSpaceDE/>
      <w:autoSpaceDN/>
      <w:adjustRightInd/>
      <w:spacing w:before="360"/>
      <w:textAlignment w:val="auto"/>
    </w:pPr>
    <w:rPr>
      <w:b/>
      <w:sz w:val="24"/>
      <w:szCs w:val="24"/>
      <w:lang w:val="en-GB"/>
    </w:rPr>
  </w:style>
  <w:style w:type="paragraph" w:customStyle="1" w:styleId="navaden1">
    <w:name w:val="navaden1"/>
    <w:basedOn w:val="Navaden"/>
    <w:semiHidden/>
    <w:rsid w:val="00590E36"/>
    <w:pPr>
      <w:adjustRightInd/>
      <w:textAlignment w:val="auto"/>
    </w:pPr>
    <w:rPr>
      <w:rFonts w:ascii="Tahoma" w:hAnsi="Tahoma"/>
      <w:color w:val="000000"/>
      <w:sz w:val="24"/>
      <w:szCs w:val="21"/>
      <w:lang w:val="en-GB"/>
    </w:rPr>
  </w:style>
  <w:style w:type="paragraph" w:customStyle="1" w:styleId="Normal1">
    <w:name w:val="Normal1"/>
    <w:basedOn w:val="Navaden"/>
    <w:semiHidden/>
    <w:rsid w:val="00590E36"/>
    <w:pPr>
      <w:widowControl w:val="0"/>
      <w:overflowPunct/>
      <w:autoSpaceDE/>
      <w:autoSpaceDN/>
      <w:adjustRightInd/>
      <w:spacing w:before="240"/>
      <w:textAlignment w:val="auto"/>
    </w:pPr>
    <w:rPr>
      <w:noProof/>
      <w:sz w:val="24"/>
      <w:szCs w:val="24"/>
    </w:rPr>
  </w:style>
  <w:style w:type="paragraph" w:customStyle="1" w:styleId="tekst">
    <w:name w:val="tekst"/>
    <w:basedOn w:val="Navaden"/>
    <w:semiHidden/>
    <w:rsid w:val="00590E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pPr>
    <w:rPr>
      <w:rFonts w:ascii="Symbol" w:hAnsi="Symbol"/>
      <w:sz w:val="24"/>
      <w:szCs w:val="24"/>
      <w:lang w:val="en-GB"/>
    </w:rPr>
  </w:style>
  <w:style w:type="paragraph" w:customStyle="1" w:styleId="tekstbold">
    <w:name w:val="tekstbold"/>
    <w:basedOn w:val="Navaden"/>
    <w:semiHidden/>
    <w:rsid w:val="00590E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pPr>
    <w:rPr>
      <w:rFonts w:ascii="CRO_Swiss-Normal" w:hAnsi="CRO_Swiss-Normal"/>
      <w:b/>
      <w:sz w:val="24"/>
      <w:szCs w:val="24"/>
      <w:lang w:val="en-GB"/>
    </w:rPr>
  </w:style>
  <w:style w:type="paragraph" w:customStyle="1" w:styleId="body-0020text-0020indent">
    <w:name w:val="body-0020text-0020indent"/>
    <w:basedOn w:val="Navaden"/>
    <w:rsid w:val="00590E36"/>
    <w:pPr>
      <w:overflowPunct/>
      <w:autoSpaceDE/>
      <w:autoSpaceDN/>
      <w:adjustRightInd/>
      <w:spacing w:before="100" w:beforeAutospacing="1" w:after="100" w:afterAutospacing="1"/>
      <w:jc w:val="left"/>
      <w:textAlignment w:val="auto"/>
    </w:pPr>
    <w:rPr>
      <w:rFonts w:ascii="Arial Unicode MS" w:eastAsia="Arial Unicode MS" w:hAnsi="Arial Unicode MS" w:cs="Arial Unicode MS"/>
      <w:sz w:val="24"/>
      <w:szCs w:val="24"/>
      <w:lang w:val="en-GB" w:eastAsia="en-US"/>
    </w:rPr>
  </w:style>
  <w:style w:type="character" w:customStyle="1" w:styleId="BodyTextChar">
    <w:name w:val="Body Text Char"/>
    <w:aliases w:val="uvlaka 2 Char"/>
    <w:locked/>
    <w:rsid w:val="00590E36"/>
    <w:rPr>
      <w:rFonts w:ascii="Tahoma" w:hAnsi="Tahoma" w:cs="Times New Roman"/>
      <w:sz w:val="24"/>
      <w:szCs w:val="24"/>
      <w:lang w:val="sl-SI" w:eastAsia="sl-SI" w:bidi="ar-SA"/>
    </w:rPr>
  </w:style>
  <w:style w:type="paragraph" w:customStyle="1" w:styleId="BodyText22">
    <w:name w:val="Body Text 22"/>
    <w:basedOn w:val="Navaden"/>
    <w:rsid w:val="00590E36"/>
    <w:pPr>
      <w:tabs>
        <w:tab w:val="left" w:pos="1134"/>
      </w:tabs>
      <w:overflowPunct/>
      <w:autoSpaceDE/>
      <w:autoSpaceDN/>
      <w:adjustRightInd/>
      <w:ind w:left="284"/>
      <w:textAlignment w:val="auto"/>
    </w:pPr>
    <w:rPr>
      <w:rFonts w:ascii="Times New Roman" w:hAnsi="Times New Roman"/>
      <w:sz w:val="24"/>
      <w:szCs w:val="20"/>
    </w:rPr>
  </w:style>
  <w:style w:type="paragraph" w:customStyle="1" w:styleId="NoSpacing1">
    <w:name w:val="No Spacing1"/>
    <w:uiPriority w:val="1"/>
    <w:qFormat/>
    <w:rsid w:val="00590E36"/>
    <w:rPr>
      <w:rFonts w:ascii="Tahoma" w:hAnsi="Tahoma"/>
      <w:sz w:val="22"/>
      <w:szCs w:val="22"/>
      <w:lang w:eastAsia="en-US"/>
    </w:rPr>
  </w:style>
  <w:style w:type="character" w:customStyle="1" w:styleId="CharChar13">
    <w:name w:val="Char Char13"/>
    <w:semiHidden/>
    <w:locked/>
    <w:rsid w:val="00590E36"/>
    <w:rPr>
      <w:rFonts w:ascii="Tahoma" w:hAnsi="Tahoma" w:cs="Tahoma"/>
      <w:b/>
      <w:bCs/>
      <w:i/>
      <w:iCs/>
      <w:sz w:val="26"/>
      <w:szCs w:val="26"/>
      <w:lang w:val="sl-SI" w:eastAsia="sl-SI" w:bidi="ar-SA"/>
    </w:rPr>
  </w:style>
  <w:style w:type="paragraph" w:customStyle="1" w:styleId="Char2ZnakChar1ZnakCharZnak">
    <w:name w:val="Char2 Znak Char1 Znak Char Znak"/>
    <w:basedOn w:val="Navaden"/>
    <w:uiPriority w:val="99"/>
    <w:rsid w:val="00590E36"/>
    <w:pPr>
      <w:overflowPunct/>
      <w:autoSpaceDE/>
      <w:autoSpaceDN/>
      <w:adjustRightInd/>
      <w:jc w:val="left"/>
      <w:textAlignment w:val="auto"/>
    </w:pPr>
    <w:rPr>
      <w:rFonts w:ascii="Tahoma" w:hAnsi="Tahoma" w:cs="Tahoma"/>
      <w:sz w:val="24"/>
      <w:szCs w:val="24"/>
      <w:lang w:val="pl-PL" w:eastAsia="pl-PL"/>
    </w:rPr>
  </w:style>
  <w:style w:type="paragraph" w:customStyle="1" w:styleId="Char2ZnakChar1ZnakChar1">
    <w:name w:val="Char2 Znak Char1 Znak Char1"/>
    <w:basedOn w:val="Navaden"/>
    <w:rsid w:val="00590E36"/>
    <w:pPr>
      <w:overflowPunct/>
      <w:autoSpaceDE/>
      <w:autoSpaceDN/>
      <w:adjustRightInd/>
      <w:jc w:val="left"/>
      <w:textAlignment w:val="auto"/>
    </w:pPr>
    <w:rPr>
      <w:rFonts w:ascii="Tahoma" w:hAnsi="Tahoma" w:cs="Tahoma"/>
      <w:sz w:val="24"/>
      <w:szCs w:val="24"/>
      <w:lang w:val="pl-PL" w:eastAsia="pl-PL"/>
    </w:rPr>
  </w:style>
  <w:style w:type="character" w:customStyle="1" w:styleId="CharChar130">
    <w:name w:val="Char Char13"/>
    <w:semiHidden/>
    <w:locked/>
    <w:rsid w:val="00590E36"/>
    <w:rPr>
      <w:rFonts w:ascii="Tahoma" w:hAnsi="Tahoma" w:cs="Tahoma"/>
      <w:b/>
      <w:bCs/>
      <w:i/>
      <w:iCs/>
      <w:sz w:val="26"/>
      <w:szCs w:val="26"/>
      <w:lang w:val="sl-SI" w:eastAsia="sl-SI" w:bidi="ar-SA"/>
    </w:rPr>
  </w:style>
  <w:style w:type="character" w:customStyle="1" w:styleId="FooterChar">
    <w:name w:val="Footer Char"/>
    <w:aliases w:val="Footer1 Char"/>
    <w:uiPriority w:val="99"/>
    <w:locked/>
    <w:rsid w:val="00590E36"/>
    <w:rPr>
      <w:rFonts w:ascii="Tahoma" w:hAnsi="Tahoma" w:cs="Times New Roman"/>
      <w:sz w:val="24"/>
      <w:szCs w:val="24"/>
      <w:lang w:val="sl-SI" w:eastAsia="sl-SI" w:bidi="ar-SA"/>
    </w:rPr>
  </w:style>
  <w:style w:type="character" w:styleId="Poudarek">
    <w:name w:val="Emphasis"/>
    <w:uiPriority w:val="20"/>
    <w:qFormat/>
    <w:rsid w:val="00AE2FAB"/>
    <w:rPr>
      <w:i/>
      <w:iCs/>
    </w:rPr>
  </w:style>
  <w:style w:type="character" w:customStyle="1" w:styleId="ZnakZnak50">
    <w:name w:val="Znak Znak5"/>
    <w:rsid w:val="00D915AB"/>
    <w:rPr>
      <w:rFonts w:ascii="Tahoma" w:hAnsi="Tahoma" w:cs="Arial"/>
      <w:bCs/>
      <w:kern w:val="32"/>
      <w:sz w:val="28"/>
      <w:szCs w:val="32"/>
    </w:rPr>
  </w:style>
  <w:style w:type="character" w:customStyle="1" w:styleId="ZnakZnak40">
    <w:name w:val="Znak Znak4"/>
    <w:rsid w:val="00D915AB"/>
    <w:rPr>
      <w:rFonts w:ascii="Tahoma" w:hAnsi="Tahoma" w:cs="Arial"/>
      <w:bCs/>
      <w:iCs/>
      <w:sz w:val="28"/>
      <w:szCs w:val="28"/>
    </w:rPr>
  </w:style>
  <w:style w:type="paragraph" w:customStyle="1" w:styleId="Znak1ZnakZnak0">
    <w:name w:val="Znak1 Znak Znak"/>
    <w:basedOn w:val="Navaden"/>
    <w:rsid w:val="00D915AB"/>
    <w:pPr>
      <w:overflowPunct/>
      <w:autoSpaceDE/>
      <w:autoSpaceDN/>
      <w:adjustRightInd/>
      <w:spacing w:after="160" w:line="240" w:lineRule="exact"/>
      <w:jc w:val="left"/>
      <w:textAlignment w:val="auto"/>
    </w:pPr>
    <w:rPr>
      <w:rFonts w:ascii="Tahoma" w:hAnsi="Tahoma" w:cs="Tahoma"/>
      <w:szCs w:val="20"/>
      <w:lang w:val="en-US" w:eastAsia="en-US"/>
    </w:rPr>
  </w:style>
  <w:style w:type="character" w:customStyle="1" w:styleId="ZnakZnakZnak20">
    <w:name w:val="Znak Znak Znak2"/>
    <w:rsid w:val="00D915AB"/>
    <w:rPr>
      <w:rFonts w:ascii="Tahoma" w:hAnsi="Tahoma"/>
      <w:bCs/>
      <w:sz w:val="24"/>
      <w:szCs w:val="28"/>
      <w:lang w:val="sl-SI" w:eastAsia="sl-SI" w:bidi="ar-SA"/>
    </w:rPr>
  </w:style>
  <w:style w:type="character" w:customStyle="1" w:styleId="ZnakZnak20">
    <w:name w:val="Znak Znak2"/>
    <w:rsid w:val="00D915AB"/>
    <w:rPr>
      <w:rFonts w:ascii="Tahoma" w:hAnsi="Tahoma" w:cs="Arial"/>
      <w:bCs/>
      <w:iCs/>
      <w:sz w:val="28"/>
      <w:szCs w:val="22"/>
      <w:lang w:val="sl-SI" w:eastAsia="sl-SI" w:bidi="ar-SA"/>
    </w:rPr>
  </w:style>
  <w:style w:type="character" w:customStyle="1" w:styleId="CharChar50">
    <w:name w:val="Char Char5"/>
    <w:rsid w:val="00D915AB"/>
    <w:rPr>
      <w:rFonts w:ascii="Tahoma" w:hAnsi="Tahoma" w:cs="Tahoma"/>
      <w:b/>
      <w:bCs/>
      <w:iCs/>
      <w:sz w:val="22"/>
      <w:szCs w:val="26"/>
      <w:u w:val="words"/>
      <w:lang w:val="sl-SI" w:eastAsia="sl-SI" w:bidi="ar-SA"/>
    </w:rPr>
  </w:style>
  <w:style w:type="character" w:customStyle="1" w:styleId="CharChar40">
    <w:name w:val="Char Char4"/>
    <w:semiHidden/>
    <w:locked/>
    <w:rsid w:val="00D915AB"/>
    <w:rPr>
      <w:rFonts w:ascii="Tahoma" w:hAnsi="Tahoma"/>
      <w:bCs/>
      <w:sz w:val="22"/>
      <w:szCs w:val="22"/>
      <w:lang w:val="sl-SI" w:eastAsia="sl-SI" w:bidi="ar-SA"/>
    </w:rPr>
  </w:style>
  <w:style w:type="character" w:customStyle="1" w:styleId="CharChar30">
    <w:name w:val="Char Char3"/>
    <w:semiHidden/>
    <w:locked/>
    <w:rsid w:val="00D915AB"/>
    <w:rPr>
      <w:rFonts w:ascii="Tahoma" w:hAnsi="Tahoma"/>
      <w:sz w:val="22"/>
      <w:szCs w:val="24"/>
      <w:lang w:val="sl-SI" w:eastAsia="sl-SI" w:bidi="ar-SA"/>
    </w:rPr>
  </w:style>
  <w:style w:type="paragraph" w:customStyle="1" w:styleId="podnaslov0">
    <w:name w:val="podnaslov"/>
    <w:basedOn w:val="Navaden"/>
    <w:link w:val="podnaslovZnak0"/>
    <w:qFormat/>
    <w:rsid w:val="00424902"/>
    <w:pPr>
      <w:spacing w:before="240" w:after="240"/>
    </w:pPr>
    <w:rPr>
      <w:rFonts w:cs="Arial"/>
      <w:b/>
      <w:szCs w:val="22"/>
    </w:rPr>
  </w:style>
  <w:style w:type="character" w:customStyle="1" w:styleId="podnaslovZnak0">
    <w:name w:val="podnaslov Znak"/>
    <w:link w:val="podnaslov0"/>
    <w:rsid w:val="00424902"/>
    <w:rPr>
      <w:rFonts w:ascii="Arial" w:eastAsia="Times New Roman" w:hAnsi="Arial" w:cs="Arial"/>
      <w:b/>
      <w:szCs w:val="22"/>
    </w:rPr>
  </w:style>
  <w:style w:type="character" w:customStyle="1" w:styleId="UnresolvedMention1">
    <w:name w:val="Unresolved Mention1"/>
    <w:basedOn w:val="Privzetapisavaodstavka"/>
    <w:uiPriority w:val="99"/>
    <w:semiHidden/>
    <w:unhideWhenUsed/>
    <w:rsid w:val="00367336"/>
    <w:rPr>
      <w:color w:val="605E5C"/>
      <w:shd w:val="clear" w:color="auto" w:fill="E1DFDD"/>
    </w:rPr>
  </w:style>
  <w:style w:type="character" w:customStyle="1" w:styleId="BesediloAriel11obojestranskoZnak">
    <w:name w:val="Besedilo Ariel 11 obojestransko Znak"/>
    <w:link w:val="BesediloAriel11obojestransko"/>
    <w:rsid w:val="00C1748F"/>
    <w:rPr>
      <w:rFonts w:ascii="Arial" w:eastAsia="Times New Roman" w:hAnsi="Arial"/>
      <w:szCs w:val="22"/>
      <w:lang w:eastAsia="ja-JP"/>
    </w:rPr>
  </w:style>
  <w:style w:type="character" w:customStyle="1" w:styleId="jlqj4b">
    <w:name w:val="jlqj4b"/>
    <w:rsid w:val="00C1748F"/>
  </w:style>
  <w:style w:type="character" w:customStyle="1" w:styleId="viiyi">
    <w:name w:val="viiyi"/>
    <w:rsid w:val="00C1748F"/>
  </w:style>
  <w:style w:type="paragraph" w:customStyle="1" w:styleId="ZnakZnak21">
    <w:name w:val="Znak Znak2"/>
    <w:basedOn w:val="Navaden"/>
    <w:rsid w:val="00C1748F"/>
    <w:pPr>
      <w:overflowPunct/>
      <w:autoSpaceDE/>
      <w:autoSpaceDN/>
      <w:adjustRightInd/>
      <w:spacing w:line="240" w:lineRule="auto"/>
      <w:jc w:val="left"/>
      <w:textAlignment w:val="auto"/>
    </w:pPr>
    <w:rPr>
      <w:rFonts w:ascii="Times New Roman" w:hAnsi="Times New Roman"/>
      <w:sz w:val="24"/>
      <w:szCs w:val="24"/>
      <w:lang w:val="pl-PL" w:eastAsia="pl-PL"/>
    </w:rPr>
  </w:style>
  <w:style w:type="paragraph" w:customStyle="1" w:styleId="Naslovpoglavje2">
    <w:name w:val="Naslov poglavje 2"/>
    <w:basedOn w:val="Naslov20"/>
    <w:link w:val="Naslovpoglavje2Znak"/>
    <w:qFormat/>
    <w:rsid w:val="00C1748F"/>
    <w:pPr>
      <w:tabs>
        <w:tab w:val="clear" w:pos="709"/>
      </w:tabs>
      <w:spacing w:before="240" w:after="60" w:line="240" w:lineRule="auto"/>
      <w:jc w:val="both"/>
    </w:pPr>
    <w:rPr>
      <w:rFonts w:cs="Arial"/>
      <w:bCs w:val="0"/>
      <w:i w:val="0"/>
      <w:iCs w:val="0"/>
      <w:sz w:val="22"/>
      <w:szCs w:val="16"/>
      <w:lang w:val="sl-SI" w:eastAsia="sl-SI"/>
    </w:rPr>
  </w:style>
  <w:style w:type="character" w:customStyle="1" w:styleId="Naslovpoglavje2Znak">
    <w:name w:val="Naslov poglavje 2 Znak"/>
    <w:link w:val="Naslovpoglavje2"/>
    <w:rsid w:val="00C1748F"/>
    <w:rPr>
      <w:rFonts w:ascii="Arial" w:eastAsia="Times New Roman" w:hAnsi="Arial" w:cs="Arial"/>
      <w:b/>
      <w:sz w:val="22"/>
      <w:szCs w:val="16"/>
    </w:rPr>
  </w:style>
  <w:style w:type="paragraph" w:customStyle="1" w:styleId="GeoZSVsebina">
    <w:name w:val="GeoZS_Vsebina"/>
    <w:basedOn w:val="Navaden"/>
    <w:qFormat/>
    <w:rsid w:val="004815CB"/>
    <w:pPr>
      <w:widowControl w:val="0"/>
      <w:overflowPunct/>
      <w:autoSpaceDE/>
      <w:autoSpaceDN/>
      <w:adjustRightInd/>
      <w:spacing w:after="220" w:line="276" w:lineRule="auto"/>
      <w:textAlignment w:val="auto"/>
    </w:pPr>
    <w:rPr>
      <w:rFonts w:asciiTheme="minorHAnsi" w:eastAsiaTheme="majorEastAsia" w:hAnsiTheme="minorHAnsi"/>
      <w:snapToGrid w:val="0"/>
      <w:kern w:val="22"/>
      <w:sz w:val="22"/>
      <w:szCs w:val="22"/>
      <w:lang w:eastAsia="en-US"/>
    </w:rPr>
  </w:style>
  <w:style w:type="table" w:customStyle="1" w:styleId="Tabelamrea1">
    <w:name w:val="Tabela – mreža1"/>
    <w:basedOn w:val="Navadnatabela"/>
    <w:next w:val="Tabelamrea"/>
    <w:rsid w:val="004815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39"/>
    <w:rsid w:val="004815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oZSPodnaslovStL1">
    <w:name w:val="GeoZS_PodnaslovSt_L1."/>
    <w:basedOn w:val="Navaden"/>
    <w:next w:val="GeoZSVsebina"/>
    <w:qFormat/>
    <w:rsid w:val="00110F1A"/>
    <w:pPr>
      <w:pageBreakBefore/>
      <w:widowControl w:val="0"/>
      <w:numPr>
        <w:numId w:val="66"/>
      </w:numPr>
      <w:pBdr>
        <w:left w:val="single" w:sz="48" w:space="4" w:color="5CAC34"/>
      </w:pBdr>
      <w:overflowPunct/>
      <w:autoSpaceDE/>
      <w:autoSpaceDN/>
      <w:adjustRightInd/>
      <w:spacing w:before="220" w:after="220" w:line="276" w:lineRule="auto"/>
      <w:contextualSpacing/>
      <w:jc w:val="left"/>
      <w:textAlignment w:val="auto"/>
      <w:outlineLvl w:val="0"/>
    </w:pPr>
    <w:rPr>
      <w:rFonts w:asciiTheme="minorHAnsi" w:eastAsiaTheme="majorEastAsia" w:hAnsiTheme="minorHAnsi"/>
      <w:b/>
      <w:snapToGrid w:val="0"/>
      <w:kern w:val="22"/>
      <w:sz w:val="22"/>
      <w:szCs w:val="22"/>
      <w:lang w:eastAsia="en-US"/>
    </w:rPr>
  </w:style>
  <w:style w:type="paragraph" w:customStyle="1" w:styleId="GeoZSPodnaslovStL2">
    <w:name w:val="GeoZS_PodnaslovSt_L2."/>
    <w:basedOn w:val="GeoZSPodnaslovStL1"/>
    <w:semiHidden/>
    <w:qFormat/>
    <w:rsid w:val="00110F1A"/>
    <w:pPr>
      <w:pageBreakBefore w:val="0"/>
      <w:numPr>
        <w:ilvl w:val="1"/>
      </w:numPr>
      <w:pBdr>
        <w:left w:val="none" w:sz="0" w:space="0" w:color="auto"/>
      </w:pBdr>
      <w:outlineLvl w:val="1"/>
    </w:pPr>
  </w:style>
  <w:style w:type="paragraph" w:customStyle="1" w:styleId="GeoZSPodnaslovStL3">
    <w:name w:val="GeoZS_PodnaslovSt_L3."/>
    <w:basedOn w:val="GeoZSPodnaslovStL1"/>
    <w:link w:val="GeoZSPodnaslovStL3Char"/>
    <w:semiHidden/>
    <w:qFormat/>
    <w:rsid w:val="00110F1A"/>
    <w:pPr>
      <w:pageBreakBefore w:val="0"/>
      <w:numPr>
        <w:ilvl w:val="2"/>
      </w:numPr>
      <w:pBdr>
        <w:left w:val="none" w:sz="0" w:space="0" w:color="auto"/>
      </w:pBdr>
      <w:outlineLvl w:val="2"/>
    </w:pPr>
  </w:style>
  <w:style w:type="character" w:customStyle="1" w:styleId="GeoZSPodnaslovStL3Char">
    <w:name w:val="GeoZS_PodnaslovSt_L3. Char"/>
    <w:basedOn w:val="Privzetapisavaodstavka"/>
    <w:link w:val="GeoZSPodnaslovStL3"/>
    <w:semiHidden/>
    <w:rsid w:val="00110F1A"/>
    <w:rPr>
      <w:rFonts w:asciiTheme="minorHAnsi" w:eastAsiaTheme="majorEastAsia" w:hAnsiTheme="minorHAnsi"/>
      <w:b/>
      <w:snapToGrid w:val="0"/>
      <w:kern w:val="22"/>
      <w:sz w:val="22"/>
      <w:szCs w:val="22"/>
      <w:lang w:eastAsia="en-US"/>
    </w:rPr>
  </w:style>
  <w:style w:type="paragraph" w:customStyle="1" w:styleId="GeoZSPodnaslovStL4">
    <w:name w:val="GeoZS_PodnaslovSt_L4."/>
    <w:basedOn w:val="GeoZSPodnaslovStL1"/>
    <w:link w:val="GeoZSPodnaslovStL4Char"/>
    <w:semiHidden/>
    <w:qFormat/>
    <w:rsid w:val="00110F1A"/>
    <w:pPr>
      <w:pageBreakBefore w:val="0"/>
      <w:numPr>
        <w:ilvl w:val="3"/>
      </w:numPr>
      <w:pBdr>
        <w:left w:val="none" w:sz="0" w:space="0" w:color="auto"/>
      </w:pBdr>
      <w:outlineLvl w:val="2"/>
    </w:pPr>
  </w:style>
  <w:style w:type="paragraph" w:customStyle="1" w:styleId="GeoZSPodnaslovStL5">
    <w:name w:val="GeoZS_PodnaslovSt_L5."/>
    <w:basedOn w:val="GeoZSPodnaslovStL1"/>
    <w:semiHidden/>
    <w:qFormat/>
    <w:rsid w:val="00110F1A"/>
    <w:pPr>
      <w:pageBreakBefore w:val="0"/>
      <w:numPr>
        <w:ilvl w:val="4"/>
      </w:numPr>
      <w:pBdr>
        <w:left w:val="none" w:sz="0" w:space="0" w:color="auto"/>
      </w:pBdr>
      <w:outlineLvl w:val="2"/>
    </w:pPr>
  </w:style>
  <w:style w:type="paragraph" w:customStyle="1" w:styleId="GeoZSPodnaslovStL6">
    <w:name w:val="GeoZS_PodnaslovSt_L6."/>
    <w:basedOn w:val="GeoZSPodnaslovStL1"/>
    <w:semiHidden/>
    <w:qFormat/>
    <w:rsid w:val="00110F1A"/>
    <w:pPr>
      <w:pageBreakBefore w:val="0"/>
      <w:numPr>
        <w:ilvl w:val="5"/>
      </w:numPr>
      <w:pBdr>
        <w:left w:val="none" w:sz="0" w:space="0" w:color="auto"/>
      </w:pBdr>
      <w:outlineLvl w:val="2"/>
    </w:pPr>
  </w:style>
  <w:style w:type="paragraph" w:customStyle="1" w:styleId="GeoZSPodnaslovStL7">
    <w:name w:val="GeoZS_PodnaslovSt_L7."/>
    <w:basedOn w:val="GeoZSPodnaslovStL1"/>
    <w:semiHidden/>
    <w:qFormat/>
    <w:rsid w:val="00110F1A"/>
    <w:pPr>
      <w:pageBreakBefore w:val="0"/>
      <w:numPr>
        <w:ilvl w:val="6"/>
      </w:numPr>
      <w:pBdr>
        <w:left w:val="none" w:sz="0" w:space="0" w:color="auto"/>
      </w:pBdr>
      <w:outlineLvl w:val="2"/>
    </w:pPr>
  </w:style>
  <w:style w:type="paragraph" w:customStyle="1" w:styleId="GeoZSPodnaslovStL8">
    <w:name w:val="GeoZS_PodnaslovSt_L8."/>
    <w:basedOn w:val="GeoZSPodnaslovStL1"/>
    <w:semiHidden/>
    <w:qFormat/>
    <w:rsid w:val="00110F1A"/>
    <w:pPr>
      <w:pageBreakBefore w:val="0"/>
      <w:numPr>
        <w:ilvl w:val="7"/>
      </w:numPr>
      <w:pBdr>
        <w:left w:val="none" w:sz="0" w:space="0" w:color="auto"/>
      </w:pBdr>
      <w:outlineLvl w:val="2"/>
    </w:pPr>
  </w:style>
  <w:style w:type="paragraph" w:customStyle="1" w:styleId="GeoZSPodnaslovStL9">
    <w:name w:val="GeoZS_PodnaslovSt_L9."/>
    <w:basedOn w:val="GeoZSPodnaslovStL1"/>
    <w:next w:val="GeoZSVsebina"/>
    <w:semiHidden/>
    <w:qFormat/>
    <w:rsid w:val="00110F1A"/>
    <w:pPr>
      <w:pageBreakBefore w:val="0"/>
      <w:numPr>
        <w:ilvl w:val="8"/>
      </w:numPr>
      <w:pBdr>
        <w:left w:val="none" w:sz="0" w:space="0" w:color="auto"/>
      </w:pBdr>
      <w:outlineLvl w:val="2"/>
    </w:pPr>
  </w:style>
  <w:style w:type="character" w:customStyle="1" w:styleId="GeoZSPodnaslovStL4Char">
    <w:name w:val="GeoZS_PodnaslovSt_L4. Char"/>
    <w:basedOn w:val="Privzetapisavaodstavka"/>
    <w:link w:val="GeoZSPodnaslovStL4"/>
    <w:semiHidden/>
    <w:rsid w:val="00110F1A"/>
    <w:rPr>
      <w:rFonts w:asciiTheme="minorHAnsi" w:eastAsiaTheme="majorEastAsia" w:hAnsiTheme="minorHAnsi"/>
      <w:b/>
      <w:snapToGrid w:val="0"/>
      <w:kern w:val="22"/>
      <w:sz w:val="22"/>
      <w:szCs w:val="22"/>
      <w:lang w:eastAsia="en-US"/>
    </w:rPr>
  </w:style>
  <w:style w:type="table" w:styleId="Svetlosenenje">
    <w:name w:val="Light Shading"/>
    <w:basedOn w:val="Navadnatabela"/>
    <w:uiPriority w:val="60"/>
    <w:rsid w:val="0082141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aslov1">
    <w:name w:val="Naslov1"/>
    <w:basedOn w:val="Odstavekseznama"/>
    <w:qFormat/>
    <w:rsid w:val="00E4448F"/>
    <w:pPr>
      <w:numPr>
        <w:numId w:val="93"/>
      </w:numPr>
      <w:overflowPunct/>
      <w:autoSpaceDE/>
      <w:autoSpaceDN/>
      <w:adjustRightInd/>
      <w:spacing w:line="240" w:lineRule="auto"/>
      <w:contextualSpacing/>
      <w:textAlignment w:val="auto"/>
    </w:pPr>
    <w:rPr>
      <w:rFonts w:cs="Arial"/>
      <w:sz w:val="24"/>
      <w:szCs w:val="24"/>
      <w:lang w:val="sl-SI" w:eastAsia="sl-SI"/>
    </w:rPr>
  </w:style>
  <w:style w:type="paragraph" w:customStyle="1" w:styleId="Naslov2">
    <w:name w:val="Naslov2"/>
    <w:basedOn w:val="Odstavekseznama"/>
    <w:qFormat/>
    <w:rsid w:val="00E4448F"/>
    <w:pPr>
      <w:numPr>
        <w:ilvl w:val="1"/>
        <w:numId w:val="93"/>
      </w:numPr>
      <w:overflowPunct/>
      <w:autoSpaceDE/>
      <w:autoSpaceDN/>
      <w:adjustRightInd/>
      <w:spacing w:line="240" w:lineRule="auto"/>
      <w:ind w:left="578" w:hanging="578"/>
      <w:contextualSpacing/>
      <w:textAlignment w:val="auto"/>
    </w:pPr>
    <w:rPr>
      <w:rFonts w:cs="Arial"/>
      <w:szCs w:val="20"/>
      <w:lang w:val="sl-SI" w:eastAsia="sl-SI"/>
    </w:rPr>
  </w:style>
  <w:style w:type="paragraph" w:customStyle="1" w:styleId="Naslov31">
    <w:name w:val="Naslov3.1"/>
    <w:basedOn w:val="Navaden"/>
    <w:link w:val="Naslov31Znak"/>
    <w:qFormat/>
    <w:rsid w:val="00E4448F"/>
    <w:pPr>
      <w:numPr>
        <w:ilvl w:val="2"/>
        <w:numId w:val="93"/>
      </w:numPr>
      <w:overflowPunct/>
      <w:autoSpaceDE/>
      <w:autoSpaceDN/>
      <w:adjustRightInd/>
      <w:spacing w:line="240" w:lineRule="auto"/>
      <w:ind w:left="720"/>
      <w:contextualSpacing/>
      <w:textAlignment w:val="auto"/>
    </w:pPr>
    <w:rPr>
      <w:rFonts w:cs="Arial"/>
      <w:caps/>
      <w:szCs w:val="20"/>
    </w:rPr>
  </w:style>
  <w:style w:type="paragraph" w:customStyle="1" w:styleId="Naslov41">
    <w:name w:val="Naslov4.1"/>
    <w:basedOn w:val="Navaden"/>
    <w:qFormat/>
    <w:rsid w:val="00E4448F"/>
    <w:pPr>
      <w:numPr>
        <w:ilvl w:val="3"/>
        <w:numId w:val="93"/>
      </w:numPr>
      <w:overflowPunct/>
      <w:autoSpaceDE/>
      <w:autoSpaceDN/>
      <w:adjustRightInd/>
      <w:spacing w:line="240" w:lineRule="auto"/>
      <w:ind w:left="862" w:hanging="862"/>
      <w:contextualSpacing/>
      <w:textAlignment w:val="auto"/>
    </w:pPr>
    <w:rPr>
      <w:rFonts w:cs="Arial"/>
      <w:caps/>
      <w:szCs w:val="20"/>
    </w:rPr>
  </w:style>
  <w:style w:type="character" w:customStyle="1" w:styleId="Naslov31Znak">
    <w:name w:val="Naslov3.1 Znak"/>
    <w:basedOn w:val="Privzetapisavaodstavka"/>
    <w:link w:val="Naslov31"/>
    <w:rsid w:val="00E4448F"/>
    <w:rPr>
      <w:rFonts w:ascii="Arial" w:eastAsia="Times New Roman" w:hAnsi="Arial" w:cs="Arial"/>
      <w:caps/>
    </w:rPr>
  </w:style>
  <w:style w:type="character" w:customStyle="1" w:styleId="im">
    <w:name w:val="im"/>
    <w:basedOn w:val="Privzetapisavaodstavka"/>
    <w:rsid w:val="00E4448F"/>
  </w:style>
  <w:style w:type="paragraph" w:customStyle="1" w:styleId="Navadenbrezrazmikov">
    <w:name w:val="Navaden brez razmikov"/>
    <w:basedOn w:val="Navaden"/>
    <w:uiPriority w:val="99"/>
    <w:rsid w:val="00611726"/>
    <w:pPr>
      <w:overflowPunct/>
      <w:autoSpaceDE/>
      <w:autoSpaceDN/>
      <w:adjustRightInd/>
      <w:spacing w:line="264" w:lineRule="auto"/>
      <w:textAlignment w:val="auto"/>
    </w:pPr>
    <w:rPr>
      <w:rFonts w:cs="Arial"/>
      <w:sz w:val="24"/>
      <w:szCs w:val="24"/>
    </w:rPr>
  </w:style>
  <w:style w:type="table" w:customStyle="1" w:styleId="Tabelamrea2">
    <w:name w:val="Tabela – mreža2"/>
    <w:basedOn w:val="Navadnatabela"/>
    <w:next w:val="Tabelamrea"/>
    <w:uiPriority w:val="39"/>
    <w:rsid w:val="00BA13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sedilo">
    <w:name w:val="Besedilo"/>
    <w:basedOn w:val="Navaden"/>
    <w:rsid w:val="00250276"/>
    <w:pPr>
      <w:overflowPunct/>
      <w:autoSpaceDE/>
      <w:autoSpaceDN/>
      <w:adjustRightInd/>
      <w:spacing w:line="240" w:lineRule="auto"/>
      <w:textAlignment w:val="auto"/>
    </w:pPr>
    <w:rPr>
      <w:szCs w:val="20"/>
      <w:lang w:val="en-US" w:eastAsia="en-US"/>
    </w:rPr>
  </w:style>
  <w:style w:type="character" w:customStyle="1" w:styleId="TabelaZnakZnak">
    <w:name w:val="Tabela Znak Znak"/>
    <w:link w:val="Tabela"/>
    <w:rsid w:val="00264E6A"/>
    <w:rPr>
      <w:rFonts w:ascii="Arial Narrow" w:eastAsia="Times New Roman" w:hAnsi="Arial Narrow"/>
      <w:noProof/>
      <w:sz w:val="24"/>
      <w:szCs w:val="22"/>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7210">
      <w:bodyDiv w:val="1"/>
      <w:marLeft w:val="0"/>
      <w:marRight w:val="0"/>
      <w:marTop w:val="0"/>
      <w:marBottom w:val="0"/>
      <w:divBdr>
        <w:top w:val="none" w:sz="0" w:space="0" w:color="auto"/>
        <w:left w:val="none" w:sz="0" w:space="0" w:color="auto"/>
        <w:bottom w:val="none" w:sz="0" w:space="0" w:color="auto"/>
        <w:right w:val="none" w:sz="0" w:space="0" w:color="auto"/>
      </w:divBdr>
      <w:divsChild>
        <w:div w:id="2040471407">
          <w:marLeft w:val="0"/>
          <w:marRight w:val="0"/>
          <w:marTop w:val="0"/>
          <w:marBottom w:val="0"/>
          <w:divBdr>
            <w:top w:val="none" w:sz="0" w:space="0" w:color="auto"/>
            <w:left w:val="none" w:sz="0" w:space="0" w:color="auto"/>
            <w:bottom w:val="none" w:sz="0" w:space="0" w:color="auto"/>
            <w:right w:val="none" w:sz="0" w:space="0" w:color="auto"/>
          </w:divBdr>
          <w:divsChild>
            <w:div w:id="510414630">
              <w:marLeft w:val="0"/>
              <w:marRight w:val="46"/>
              <w:marTop w:val="0"/>
              <w:marBottom w:val="0"/>
              <w:divBdr>
                <w:top w:val="none" w:sz="0" w:space="0" w:color="auto"/>
                <w:left w:val="none" w:sz="0" w:space="0" w:color="auto"/>
                <w:bottom w:val="none" w:sz="0" w:space="0" w:color="auto"/>
                <w:right w:val="none" w:sz="0" w:space="0" w:color="auto"/>
              </w:divBdr>
              <w:divsChild>
                <w:div w:id="77141865">
                  <w:marLeft w:val="0"/>
                  <w:marRight w:val="0"/>
                  <w:marTop w:val="0"/>
                  <w:marBottom w:val="115"/>
                  <w:divBdr>
                    <w:top w:val="none" w:sz="0" w:space="0" w:color="auto"/>
                    <w:left w:val="none" w:sz="0" w:space="0" w:color="auto"/>
                    <w:bottom w:val="none" w:sz="0" w:space="0" w:color="auto"/>
                    <w:right w:val="none" w:sz="0" w:space="0" w:color="auto"/>
                  </w:divBdr>
                  <w:divsChild>
                    <w:div w:id="1262185173">
                      <w:marLeft w:val="0"/>
                      <w:marRight w:val="0"/>
                      <w:marTop w:val="0"/>
                      <w:marBottom w:val="0"/>
                      <w:divBdr>
                        <w:top w:val="none" w:sz="0" w:space="0" w:color="auto"/>
                        <w:left w:val="none" w:sz="0" w:space="0" w:color="auto"/>
                        <w:bottom w:val="none" w:sz="0" w:space="0" w:color="auto"/>
                        <w:right w:val="none" w:sz="0" w:space="0" w:color="auto"/>
                      </w:divBdr>
                      <w:divsChild>
                        <w:div w:id="55378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3483">
      <w:bodyDiv w:val="1"/>
      <w:marLeft w:val="0"/>
      <w:marRight w:val="0"/>
      <w:marTop w:val="0"/>
      <w:marBottom w:val="0"/>
      <w:divBdr>
        <w:top w:val="none" w:sz="0" w:space="0" w:color="auto"/>
        <w:left w:val="none" w:sz="0" w:space="0" w:color="auto"/>
        <w:bottom w:val="none" w:sz="0" w:space="0" w:color="auto"/>
        <w:right w:val="none" w:sz="0" w:space="0" w:color="auto"/>
      </w:divBdr>
    </w:div>
    <w:div w:id="79495268">
      <w:bodyDiv w:val="1"/>
      <w:marLeft w:val="0"/>
      <w:marRight w:val="0"/>
      <w:marTop w:val="0"/>
      <w:marBottom w:val="0"/>
      <w:divBdr>
        <w:top w:val="none" w:sz="0" w:space="0" w:color="auto"/>
        <w:left w:val="none" w:sz="0" w:space="0" w:color="auto"/>
        <w:bottom w:val="none" w:sz="0" w:space="0" w:color="auto"/>
        <w:right w:val="none" w:sz="0" w:space="0" w:color="auto"/>
      </w:divBdr>
    </w:div>
    <w:div w:id="81218130">
      <w:bodyDiv w:val="1"/>
      <w:marLeft w:val="0"/>
      <w:marRight w:val="0"/>
      <w:marTop w:val="0"/>
      <w:marBottom w:val="0"/>
      <w:divBdr>
        <w:top w:val="none" w:sz="0" w:space="0" w:color="auto"/>
        <w:left w:val="none" w:sz="0" w:space="0" w:color="auto"/>
        <w:bottom w:val="none" w:sz="0" w:space="0" w:color="auto"/>
        <w:right w:val="none" w:sz="0" w:space="0" w:color="auto"/>
      </w:divBdr>
    </w:div>
    <w:div w:id="118301955">
      <w:bodyDiv w:val="1"/>
      <w:marLeft w:val="0"/>
      <w:marRight w:val="0"/>
      <w:marTop w:val="0"/>
      <w:marBottom w:val="0"/>
      <w:divBdr>
        <w:top w:val="none" w:sz="0" w:space="0" w:color="auto"/>
        <w:left w:val="none" w:sz="0" w:space="0" w:color="auto"/>
        <w:bottom w:val="none" w:sz="0" w:space="0" w:color="auto"/>
        <w:right w:val="none" w:sz="0" w:space="0" w:color="auto"/>
      </w:divBdr>
    </w:div>
    <w:div w:id="179852434">
      <w:bodyDiv w:val="1"/>
      <w:marLeft w:val="0"/>
      <w:marRight w:val="0"/>
      <w:marTop w:val="0"/>
      <w:marBottom w:val="0"/>
      <w:divBdr>
        <w:top w:val="none" w:sz="0" w:space="0" w:color="auto"/>
        <w:left w:val="none" w:sz="0" w:space="0" w:color="auto"/>
        <w:bottom w:val="none" w:sz="0" w:space="0" w:color="auto"/>
        <w:right w:val="none" w:sz="0" w:space="0" w:color="auto"/>
      </w:divBdr>
    </w:div>
    <w:div w:id="180708773">
      <w:bodyDiv w:val="1"/>
      <w:marLeft w:val="0"/>
      <w:marRight w:val="0"/>
      <w:marTop w:val="0"/>
      <w:marBottom w:val="0"/>
      <w:divBdr>
        <w:top w:val="none" w:sz="0" w:space="0" w:color="auto"/>
        <w:left w:val="none" w:sz="0" w:space="0" w:color="auto"/>
        <w:bottom w:val="none" w:sz="0" w:space="0" w:color="auto"/>
        <w:right w:val="none" w:sz="0" w:space="0" w:color="auto"/>
      </w:divBdr>
    </w:div>
    <w:div w:id="222834124">
      <w:bodyDiv w:val="1"/>
      <w:marLeft w:val="0"/>
      <w:marRight w:val="0"/>
      <w:marTop w:val="0"/>
      <w:marBottom w:val="0"/>
      <w:divBdr>
        <w:top w:val="none" w:sz="0" w:space="0" w:color="auto"/>
        <w:left w:val="none" w:sz="0" w:space="0" w:color="auto"/>
        <w:bottom w:val="none" w:sz="0" w:space="0" w:color="auto"/>
        <w:right w:val="none" w:sz="0" w:space="0" w:color="auto"/>
      </w:divBdr>
    </w:div>
    <w:div w:id="313459489">
      <w:bodyDiv w:val="1"/>
      <w:marLeft w:val="0"/>
      <w:marRight w:val="0"/>
      <w:marTop w:val="0"/>
      <w:marBottom w:val="0"/>
      <w:divBdr>
        <w:top w:val="none" w:sz="0" w:space="0" w:color="auto"/>
        <w:left w:val="none" w:sz="0" w:space="0" w:color="auto"/>
        <w:bottom w:val="none" w:sz="0" w:space="0" w:color="auto"/>
        <w:right w:val="none" w:sz="0" w:space="0" w:color="auto"/>
      </w:divBdr>
    </w:div>
    <w:div w:id="395668759">
      <w:bodyDiv w:val="1"/>
      <w:marLeft w:val="0"/>
      <w:marRight w:val="0"/>
      <w:marTop w:val="0"/>
      <w:marBottom w:val="0"/>
      <w:divBdr>
        <w:top w:val="none" w:sz="0" w:space="0" w:color="auto"/>
        <w:left w:val="none" w:sz="0" w:space="0" w:color="auto"/>
        <w:bottom w:val="none" w:sz="0" w:space="0" w:color="auto"/>
        <w:right w:val="none" w:sz="0" w:space="0" w:color="auto"/>
      </w:divBdr>
    </w:div>
    <w:div w:id="438718477">
      <w:bodyDiv w:val="1"/>
      <w:marLeft w:val="0"/>
      <w:marRight w:val="0"/>
      <w:marTop w:val="0"/>
      <w:marBottom w:val="0"/>
      <w:divBdr>
        <w:top w:val="none" w:sz="0" w:space="0" w:color="auto"/>
        <w:left w:val="none" w:sz="0" w:space="0" w:color="auto"/>
        <w:bottom w:val="none" w:sz="0" w:space="0" w:color="auto"/>
        <w:right w:val="none" w:sz="0" w:space="0" w:color="auto"/>
      </w:divBdr>
    </w:div>
    <w:div w:id="481847455">
      <w:bodyDiv w:val="1"/>
      <w:marLeft w:val="0"/>
      <w:marRight w:val="0"/>
      <w:marTop w:val="0"/>
      <w:marBottom w:val="0"/>
      <w:divBdr>
        <w:top w:val="none" w:sz="0" w:space="0" w:color="auto"/>
        <w:left w:val="none" w:sz="0" w:space="0" w:color="auto"/>
        <w:bottom w:val="none" w:sz="0" w:space="0" w:color="auto"/>
        <w:right w:val="none" w:sz="0" w:space="0" w:color="auto"/>
      </w:divBdr>
    </w:div>
    <w:div w:id="485437106">
      <w:bodyDiv w:val="1"/>
      <w:marLeft w:val="0"/>
      <w:marRight w:val="0"/>
      <w:marTop w:val="0"/>
      <w:marBottom w:val="0"/>
      <w:divBdr>
        <w:top w:val="none" w:sz="0" w:space="0" w:color="auto"/>
        <w:left w:val="none" w:sz="0" w:space="0" w:color="auto"/>
        <w:bottom w:val="none" w:sz="0" w:space="0" w:color="auto"/>
        <w:right w:val="none" w:sz="0" w:space="0" w:color="auto"/>
      </w:divBdr>
    </w:div>
    <w:div w:id="518005970">
      <w:bodyDiv w:val="1"/>
      <w:marLeft w:val="0"/>
      <w:marRight w:val="0"/>
      <w:marTop w:val="0"/>
      <w:marBottom w:val="0"/>
      <w:divBdr>
        <w:top w:val="none" w:sz="0" w:space="0" w:color="auto"/>
        <w:left w:val="none" w:sz="0" w:space="0" w:color="auto"/>
        <w:bottom w:val="none" w:sz="0" w:space="0" w:color="auto"/>
        <w:right w:val="none" w:sz="0" w:space="0" w:color="auto"/>
      </w:divBdr>
    </w:div>
    <w:div w:id="537940097">
      <w:bodyDiv w:val="1"/>
      <w:marLeft w:val="0"/>
      <w:marRight w:val="0"/>
      <w:marTop w:val="0"/>
      <w:marBottom w:val="0"/>
      <w:divBdr>
        <w:top w:val="none" w:sz="0" w:space="0" w:color="auto"/>
        <w:left w:val="none" w:sz="0" w:space="0" w:color="auto"/>
        <w:bottom w:val="none" w:sz="0" w:space="0" w:color="auto"/>
        <w:right w:val="none" w:sz="0" w:space="0" w:color="auto"/>
      </w:divBdr>
    </w:div>
    <w:div w:id="558784018">
      <w:bodyDiv w:val="1"/>
      <w:marLeft w:val="0"/>
      <w:marRight w:val="0"/>
      <w:marTop w:val="0"/>
      <w:marBottom w:val="0"/>
      <w:divBdr>
        <w:top w:val="none" w:sz="0" w:space="0" w:color="auto"/>
        <w:left w:val="none" w:sz="0" w:space="0" w:color="auto"/>
        <w:bottom w:val="none" w:sz="0" w:space="0" w:color="auto"/>
        <w:right w:val="none" w:sz="0" w:space="0" w:color="auto"/>
      </w:divBdr>
    </w:div>
    <w:div w:id="609123529">
      <w:bodyDiv w:val="1"/>
      <w:marLeft w:val="0"/>
      <w:marRight w:val="0"/>
      <w:marTop w:val="0"/>
      <w:marBottom w:val="0"/>
      <w:divBdr>
        <w:top w:val="none" w:sz="0" w:space="0" w:color="auto"/>
        <w:left w:val="none" w:sz="0" w:space="0" w:color="auto"/>
        <w:bottom w:val="none" w:sz="0" w:space="0" w:color="auto"/>
        <w:right w:val="none" w:sz="0" w:space="0" w:color="auto"/>
      </w:divBdr>
    </w:div>
    <w:div w:id="623536733">
      <w:bodyDiv w:val="1"/>
      <w:marLeft w:val="0"/>
      <w:marRight w:val="0"/>
      <w:marTop w:val="0"/>
      <w:marBottom w:val="0"/>
      <w:divBdr>
        <w:top w:val="none" w:sz="0" w:space="0" w:color="auto"/>
        <w:left w:val="none" w:sz="0" w:space="0" w:color="auto"/>
        <w:bottom w:val="none" w:sz="0" w:space="0" w:color="auto"/>
        <w:right w:val="none" w:sz="0" w:space="0" w:color="auto"/>
      </w:divBdr>
    </w:div>
    <w:div w:id="666708295">
      <w:bodyDiv w:val="1"/>
      <w:marLeft w:val="0"/>
      <w:marRight w:val="0"/>
      <w:marTop w:val="0"/>
      <w:marBottom w:val="0"/>
      <w:divBdr>
        <w:top w:val="none" w:sz="0" w:space="0" w:color="auto"/>
        <w:left w:val="none" w:sz="0" w:space="0" w:color="auto"/>
        <w:bottom w:val="none" w:sz="0" w:space="0" w:color="auto"/>
        <w:right w:val="none" w:sz="0" w:space="0" w:color="auto"/>
      </w:divBdr>
    </w:div>
    <w:div w:id="673339548">
      <w:bodyDiv w:val="1"/>
      <w:marLeft w:val="0"/>
      <w:marRight w:val="0"/>
      <w:marTop w:val="0"/>
      <w:marBottom w:val="0"/>
      <w:divBdr>
        <w:top w:val="none" w:sz="0" w:space="0" w:color="auto"/>
        <w:left w:val="none" w:sz="0" w:space="0" w:color="auto"/>
        <w:bottom w:val="none" w:sz="0" w:space="0" w:color="auto"/>
        <w:right w:val="none" w:sz="0" w:space="0" w:color="auto"/>
      </w:divBdr>
    </w:div>
    <w:div w:id="696465275">
      <w:bodyDiv w:val="1"/>
      <w:marLeft w:val="0"/>
      <w:marRight w:val="0"/>
      <w:marTop w:val="0"/>
      <w:marBottom w:val="0"/>
      <w:divBdr>
        <w:top w:val="none" w:sz="0" w:space="0" w:color="auto"/>
        <w:left w:val="none" w:sz="0" w:space="0" w:color="auto"/>
        <w:bottom w:val="none" w:sz="0" w:space="0" w:color="auto"/>
        <w:right w:val="none" w:sz="0" w:space="0" w:color="auto"/>
      </w:divBdr>
    </w:div>
    <w:div w:id="767458824">
      <w:bodyDiv w:val="1"/>
      <w:marLeft w:val="0"/>
      <w:marRight w:val="0"/>
      <w:marTop w:val="0"/>
      <w:marBottom w:val="0"/>
      <w:divBdr>
        <w:top w:val="none" w:sz="0" w:space="0" w:color="auto"/>
        <w:left w:val="none" w:sz="0" w:space="0" w:color="auto"/>
        <w:bottom w:val="none" w:sz="0" w:space="0" w:color="auto"/>
        <w:right w:val="none" w:sz="0" w:space="0" w:color="auto"/>
      </w:divBdr>
    </w:div>
    <w:div w:id="771972914">
      <w:bodyDiv w:val="1"/>
      <w:marLeft w:val="0"/>
      <w:marRight w:val="0"/>
      <w:marTop w:val="0"/>
      <w:marBottom w:val="0"/>
      <w:divBdr>
        <w:top w:val="none" w:sz="0" w:space="0" w:color="auto"/>
        <w:left w:val="none" w:sz="0" w:space="0" w:color="auto"/>
        <w:bottom w:val="none" w:sz="0" w:space="0" w:color="auto"/>
        <w:right w:val="none" w:sz="0" w:space="0" w:color="auto"/>
      </w:divBdr>
    </w:div>
    <w:div w:id="779107201">
      <w:bodyDiv w:val="1"/>
      <w:marLeft w:val="0"/>
      <w:marRight w:val="0"/>
      <w:marTop w:val="0"/>
      <w:marBottom w:val="0"/>
      <w:divBdr>
        <w:top w:val="none" w:sz="0" w:space="0" w:color="auto"/>
        <w:left w:val="none" w:sz="0" w:space="0" w:color="auto"/>
        <w:bottom w:val="none" w:sz="0" w:space="0" w:color="auto"/>
        <w:right w:val="none" w:sz="0" w:space="0" w:color="auto"/>
      </w:divBdr>
    </w:div>
    <w:div w:id="811950302">
      <w:bodyDiv w:val="1"/>
      <w:marLeft w:val="0"/>
      <w:marRight w:val="0"/>
      <w:marTop w:val="0"/>
      <w:marBottom w:val="0"/>
      <w:divBdr>
        <w:top w:val="none" w:sz="0" w:space="0" w:color="auto"/>
        <w:left w:val="none" w:sz="0" w:space="0" w:color="auto"/>
        <w:bottom w:val="none" w:sz="0" w:space="0" w:color="auto"/>
        <w:right w:val="none" w:sz="0" w:space="0" w:color="auto"/>
      </w:divBdr>
    </w:div>
    <w:div w:id="837766279">
      <w:bodyDiv w:val="1"/>
      <w:marLeft w:val="0"/>
      <w:marRight w:val="0"/>
      <w:marTop w:val="0"/>
      <w:marBottom w:val="0"/>
      <w:divBdr>
        <w:top w:val="none" w:sz="0" w:space="0" w:color="auto"/>
        <w:left w:val="none" w:sz="0" w:space="0" w:color="auto"/>
        <w:bottom w:val="none" w:sz="0" w:space="0" w:color="auto"/>
        <w:right w:val="none" w:sz="0" w:space="0" w:color="auto"/>
      </w:divBdr>
    </w:div>
    <w:div w:id="848636674">
      <w:bodyDiv w:val="1"/>
      <w:marLeft w:val="0"/>
      <w:marRight w:val="0"/>
      <w:marTop w:val="0"/>
      <w:marBottom w:val="0"/>
      <w:divBdr>
        <w:top w:val="none" w:sz="0" w:space="0" w:color="auto"/>
        <w:left w:val="none" w:sz="0" w:space="0" w:color="auto"/>
        <w:bottom w:val="none" w:sz="0" w:space="0" w:color="auto"/>
        <w:right w:val="none" w:sz="0" w:space="0" w:color="auto"/>
      </w:divBdr>
    </w:div>
    <w:div w:id="915935966">
      <w:bodyDiv w:val="1"/>
      <w:marLeft w:val="0"/>
      <w:marRight w:val="0"/>
      <w:marTop w:val="0"/>
      <w:marBottom w:val="0"/>
      <w:divBdr>
        <w:top w:val="none" w:sz="0" w:space="0" w:color="auto"/>
        <w:left w:val="none" w:sz="0" w:space="0" w:color="auto"/>
        <w:bottom w:val="none" w:sz="0" w:space="0" w:color="auto"/>
        <w:right w:val="none" w:sz="0" w:space="0" w:color="auto"/>
      </w:divBdr>
    </w:div>
    <w:div w:id="917713090">
      <w:bodyDiv w:val="1"/>
      <w:marLeft w:val="0"/>
      <w:marRight w:val="0"/>
      <w:marTop w:val="0"/>
      <w:marBottom w:val="0"/>
      <w:divBdr>
        <w:top w:val="none" w:sz="0" w:space="0" w:color="auto"/>
        <w:left w:val="none" w:sz="0" w:space="0" w:color="auto"/>
        <w:bottom w:val="none" w:sz="0" w:space="0" w:color="auto"/>
        <w:right w:val="none" w:sz="0" w:space="0" w:color="auto"/>
      </w:divBdr>
    </w:div>
    <w:div w:id="953948348">
      <w:bodyDiv w:val="1"/>
      <w:marLeft w:val="0"/>
      <w:marRight w:val="0"/>
      <w:marTop w:val="0"/>
      <w:marBottom w:val="0"/>
      <w:divBdr>
        <w:top w:val="none" w:sz="0" w:space="0" w:color="auto"/>
        <w:left w:val="none" w:sz="0" w:space="0" w:color="auto"/>
        <w:bottom w:val="none" w:sz="0" w:space="0" w:color="auto"/>
        <w:right w:val="none" w:sz="0" w:space="0" w:color="auto"/>
      </w:divBdr>
    </w:div>
    <w:div w:id="985622706">
      <w:bodyDiv w:val="1"/>
      <w:marLeft w:val="0"/>
      <w:marRight w:val="0"/>
      <w:marTop w:val="0"/>
      <w:marBottom w:val="0"/>
      <w:divBdr>
        <w:top w:val="none" w:sz="0" w:space="0" w:color="auto"/>
        <w:left w:val="none" w:sz="0" w:space="0" w:color="auto"/>
        <w:bottom w:val="none" w:sz="0" w:space="0" w:color="auto"/>
        <w:right w:val="none" w:sz="0" w:space="0" w:color="auto"/>
      </w:divBdr>
    </w:div>
    <w:div w:id="1003506549">
      <w:bodyDiv w:val="1"/>
      <w:marLeft w:val="0"/>
      <w:marRight w:val="0"/>
      <w:marTop w:val="0"/>
      <w:marBottom w:val="0"/>
      <w:divBdr>
        <w:top w:val="none" w:sz="0" w:space="0" w:color="auto"/>
        <w:left w:val="none" w:sz="0" w:space="0" w:color="auto"/>
        <w:bottom w:val="none" w:sz="0" w:space="0" w:color="auto"/>
        <w:right w:val="none" w:sz="0" w:space="0" w:color="auto"/>
      </w:divBdr>
    </w:div>
    <w:div w:id="1021009993">
      <w:bodyDiv w:val="1"/>
      <w:marLeft w:val="0"/>
      <w:marRight w:val="0"/>
      <w:marTop w:val="0"/>
      <w:marBottom w:val="0"/>
      <w:divBdr>
        <w:top w:val="none" w:sz="0" w:space="0" w:color="auto"/>
        <w:left w:val="none" w:sz="0" w:space="0" w:color="auto"/>
        <w:bottom w:val="none" w:sz="0" w:space="0" w:color="auto"/>
        <w:right w:val="none" w:sz="0" w:space="0" w:color="auto"/>
      </w:divBdr>
    </w:div>
    <w:div w:id="1078287396">
      <w:bodyDiv w:val="1"/>
      <w:marLeft w:val="0"/>
      <w:marRight w:val="0"/>
      <w:marTop w:val="0"/>
      <w:marBottom w:val="0"/>
      <w:divBdr>
        <w:top w:val="none" w:sz="0" w:space="0" w:color="auto"/>
        <w:left w:val="none" w:sz="0" w:space="0" w:color="auto"/>
        <w:bottom w:val="none" w:sz="0" w:space="0" w:color="auto"/>
        <w:right w:val="none" w:sz="0" w:space="0" w:color="auto"/>
      </w:divBdr>
      <w:divsChild>
        <w:div w:id="255595236">
          <w:marLeft w:val="0"/>
          <w:marRight w:val="0"/>
          <w:marTop w:val="0"/>
          <w:marBottom w:val="0"/>
          <w:divBdr>
            <w:top w:val="none" w:sz="0" w:space="0" w:color="auto"/>
            <w:left w:val="none" w:sz="0" w:space="0" w:color="auto"/>
            <w:bottom w:val="none" w:sz="0" w:space="0" w:color="auto"/>
            <w:right w:val="none" w:sz="0" w:space="0" w:color="auto"/>
          </w:divBdr>
          <w:divsChild>
            <w:div w:id="1039820524">
              <w:marLeft w:val="0"/>
              <w:marRight w:val="46"/>
              <w:marTop w:val="0"/>
              <w:marBottom w:val="0"/>
              <w:divBdr>
                <w:top w:val="none" w:sz="0" w:space="0" w:color="auto"/>
                <w:left w:val="none" w:sz="0" w:space="0" w:color="auto"/>
                <w:bottom w:val="none" w:sz="0" w:space="0" w:color="auto"/>
                <w:right w:val="none" w:sz="0" w:space="0" w:color="auto"/>
              </w:divBdr>
              <w:divsChild>
                <w:div w:id="488208367">
                  <w:marLeft w:val="0"/>
                  <w:marRight w:val="0"/>
                  <w:marTop w:val="0"/>
                  <w:marBottom w:val="115"/>
                  <w:divBdr>
                    <w:top w:val="none" w:sz="0" w:space="0" w:color="auto"/>
                    <w:left w:val="none" w:sz="0" w:space="0" w:color="auto"/>
                    <w:bottom w:val="none" w:sz="0" w:space="0" w:color="auto"/>
                    <w:right w:val="none" w:sz="0" w:space="0" w:color="auto"/>
                  </w:divBdr>
                  <w:divsChild>
                    <w:div w:id="1136293236">
                      <w:marLeft w:val="0"/>
                      <w:marRight w:val="0"/>
                      <w:marTop w:val="0"/>
                      <w:marBottom w:val="0"/>
                      <w:divBdr>
                        <w:top w:val="none" w:sz="0" w:space="0" w:color="auto"/>
                        <w:left w:val="none" w:sz="0" w:space="0" w:color="auto"/>
                        <w:bottom w:val="none" w:sz="0" w:space="0" w:color="auto"/>
                        <w:right w:val="none" w:sz="0" w:space="0" w:color="auto"/>
                      </w:divBdr>
                      <w:divsChild>
                        <w:div w:id="17532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94331">
      <w:bodyDiv w:val="1"/>
      <w:marLeft w:val="0"/>
      <w:marRight w:val="0"/>
      <w:marTop w:val="0"/>
      <w:marBottom w:val="0"/>
      <w:divBdr>
        <w:top w:val="none" w:sz="0" w:space="0" w:color="auto"/>
        <w:left w:val="none" w:sz="0" w:space="0" w:color="auto"/>
        <w:bottom w:val="none" w:sz="0" w:space="0" w:color="auto"/>
        <w:right w:val="none" w:sz="0" w:space="0" w:color="auto"/>
      </w:divBdr>
    </w:div>
    <w:div w:id="1186404003">
      <w:bodyDiv w:val="1"/>
      <w:marLeft w:val="0"/>
      <w:marRight w:val="0"/>
      <w:marTop w:val="0"/>
      <w:marBottom w:val="0"/>
      <w:divBdr>
        <w:top w:val="none" w:sz="0" w:space="0" w:color="auto"/>
        <w:left w:val="none" w:sz="0" w:space="0" w:color="auto"/>
        <w:bottom w:val="none" w:sz="0" w:space="0" w:color="auto"/>
        <w:right w:val="none" w:sz="0" w:space="0" w:color="auto"/>
      </w:divBdr>
    </w:div>
    <w:div w:id="1214341945">
      <w:bodyDiv w:val="1"/>
      <w:marLeft w:val="0"/>
      <w:marRight w:val="0"/>
      <w:marTop w:val="0"/>
      <w:marBottom w:val="0"/>
      <w:divBdr>
        <w:top w:val="none" w:sz="0" w:space="0" w:color="auto"/>
        <w:left w:val="none" w:sz="0" w:space="0" w:color="auto"/>
        <w:bottom w:val="none" w:sz="0" w:space="0" w:color="auto"/>
        <w:right w:val="none" w:sz="0" w:space="0" w:color="auto"/>
      </w:divBdr>
    </w:div>
    <w:div w:id="1237471367">
      <w:bodyDiv w:val="1"/>
      <w:marLeft w:val="0"/>
      <w:marRight w:val="0"/>
      <w:marTop w:val="0"/>
      <w:marBottom w:val="0"/>
      <w:divBdr>
        <w:top w:val="none" w:sz="0" w:space="0" w:color="auto"/>
        <w:left w:val="none" w:sz="0" w:space="0" w:color="auto"/>
        <w:bottom w:val="none" w:sz="0" w:space="0" w:color="auto"/>
        <w:right w:val="none" w:sz="0" w:space="0" w:color="auto"/>
      </w:divBdr>
    </w:div>
    <w:div w:id="1337489777">
      <w:bodyDiv w:val="1"/>
      <w:marLeft w:val="0"/>
      <w:marRight w:val="0"/>
      <w:marTop w:val="0"/>
      <w:marBottom w:val="0"/>
      <w:divBdr>
        <w:top w:val="none" w:sz="0" w:space="0" w:color="auto"/>
        <w:left w:val="none" w:sz="0" w:space="0" w:color="auto"/>
        <w:bottom w:val="none" w:sz="0" w:space="0" w:color="auto"/>
        <w:right w:val="none" w:sz="0" w:space="0" w:color="auto"/>
      </w:divBdr>
    </w:div>
    <w:div w:id="1341852066">
      <w:bodyDiv w:val="1"/>
      <w:marLeft w:val="0"/>
      <w:marRight w:val="0"/>
      <w:marTop w:val="0"/>
      <w:marBottom w:val="0"/>
      <w:divBdr>
        <w:top w:val="none" w:sz="0" w:space="0" w:color="auto"/>
        <w:left w:val="none" w:sz="0" w:space="0" w:color="auto"/>
        <w:bottom w:val="none" w:sz="0" w:space="0" w:color="auto"/>
        <w:right w:val="none" w:sz="0" w:space="0" w:color="auto"/>
      </w:divBdr>
      <w:divsChild>
        <w:div w:id="205265644">
          <w:marLeft w:val="0"/>
          <w:marRight w:val="0"/>
          <w:marTop w:val="0"/>
          <w:marBottom w:val="0"/>
          <w:divBdr>
            <w:top w:val="none" w:sz="0" w:space="0" w:color="auto"/>
            <w:left w:val="none" w:sz="0" w:space="0" w:color="auto"/>
            <w:bottom w:val="none" w:sz="0" w:space="0" w:color="auto"/>
            <w:right w:val="none" w:sz="0" w:space="0" w:color="auto"/>
          </w:divBdr>
          <w:divsChild>
            <w:div w:id="625047450">
              <w:marLeft w:val="0"/>
              <w:marRight w:val="46"/>
              <w:marTop w:val="0"/>
              <w:marBottom w:val="0"/>
              <w:divBdr>
                <w:top w:val="none" w:sz="0" w:space="0" w:color="auto"/>
                <w:left w:val="none" w:sz="0" w:space="0" w:color="auto"/>
                <w:bottom w:val="none" w:sz="0" w:space="0" w:color="auto"/>
                <w:right w:val="none" w:sz="0" w:space="0" w:color="auto"/>
              </w:divBdr>
              <w:divsChild>
                <w:div w:id="2026977548">
                  <w:marLeft w:val="0"/>
                  <w:marRight w:val="0"/>
                  <w:marTop w:val="0"/>
                  <w:marBottom w:val="115"/>
                  <w:divBdr>
                    <w:top w:val="none" w:sz="0" w:space="0" w:color="auto"/>
                    <w:left w:val="none" w:sz="0" w:space="0" w:color="auto"/>
                    <w:bottom w:val="none" w:sz="0" w:space="0" w:color="auto"/>
                    <w:right w:val="none" w:sz="0" w:space="0" w:color="auto"/>
                  </w:divBdr>
                  <w:divsChild>
                    <w:div w:id="229384878">
                      <w:marLeft w:val="0"/>
                      <w:marRight w:val="0"/>
                      <w:marTop w:val="0"/>
                      <w:marBottom w:val="0"/>
                      <w:divBdr>
                        <w:top w:val="none" w:sz="0" w:space="0" w:color="auto"/>
                        <w:left w:val="none" w:sz="0" w:space="0" w:color="auto"/>
                        <w:bottom w:val="none" w:sz="0" w:space="0" w:color="auto"/>
                        <w:right w:val="none" w:sz="0" w:space="0" w:color="auto"/>
                      </w:divBdr>
                      <w:divsChild>
                        <w:div w:id="4467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965788">
      <w:bodyDiv w:val="1"/>
      <w:marLeft w:val="0"/>
      <w:marRight w:val="0"/>
      <w:marTop w:val="0"/>
      <w:marBottom w:val="0"/>
      <w:divBdr>
        <w:top w:val="none" w:sz="0" w:space="0" w:color="auto"/>
        <w:left w:val="none" w:sz="0" w:space="0" w:color="auto"/>
        <w:bottom w:val="none" w:sz="0" w:space="0" w:color="auto"/>
        <w:right w:val="none" w:sz="0" w:space="0" w:color="auto"/>
      </w:divBdr>
    </w:div>
    <w:div w:id="1385178456">
      <w:bodyDiv w:val="1"/>
      <w:marLeft w:val="0"/>
      <w:marRight w:val="0"/>
      <w:marTop w:val="0"/>
      <w:marBottom w:val="0"/>
      <w:divBdr>
        <w:top w:val="none" w:sz="0" w:space="0" w:color="auto"/>
        <w:left w:val="none" w:sz="0" w:space="0" w:color="auto"/>
        <w:bottom w:val="none" w:sz="0" w:space="0" w:color="auto"/>
        <w:right w:val="none" w:sz="0" w:space="0" w:color="auto"/>
      </w:divBdr>
    </w:div>
    <w:div w:id="1406613525">
      <w:bodyDiv w:val="1"/>
      <w:marLeft w:val="0"/>
      <w:marRight w:val="0"/>
      <w:marTop w:val="0"/>
      <w:marBottom w:val="0"/>
      <w:divBdr>
        <w:top w:val="none" w:sz="0" w:space="0" w:color="auto"/>
        <w:left w:val="none" w:sz="0" w:space="0" w:color="auto"/>
        <w:bottom w:val="none" w:sz="0" w:space="0" w:color="auto"/>
        <w:right w:val="none" w:sz="0" w:space="0" w:color="auto"/>
      </w:divBdr>
      <w:divsChild>
        <w:div w:id="2093578988">
          <w:marLeft w:val="0"/>
          <w:marRight w:val="0"/>
          <w:marTop w:val="0"/>
          <w:marBottom w:val="0"/>
          <w:divBdr>
            <w:top w:val="none" w:sz="0" w:space="0" w:color="auto"/>
            <w:left w:val="none" w:sz="0" w:space="0" w:color="auto"/>
            <w:bottom w:val="none" w:sz="0" w:space="0" w:color="auto"/>
            <w:right w:val="none" w:sz="0" w:space="0" w:color="auto"/>
          </w:divBdr>
          <w:divsChild>
            <w:div w:id="484972859">
              <w:marLeft w:val="0"/>
              <w:marRight w:val="46"/>
              <w:marTop w:val="0"/>
              <w:marBottom w:val="0"/>
              <w:divBdr>
                <w:top w:val="none" w:sz="0" w:space="0" w:color="auto"/>
                <w:left w:val="none" w:sz="0" w:space="0" w:color="auto"/>
                <w:bottom w:val="none" w:sz="0" w:space="0" w:color="auto"/>
                <w:right w:val="none" w:sz="0" w:space="0" w:color="auto"/>
              </w:divBdr>
              <w:divsChild>
                <w:div w:id="1720208223">
                  <w:marLeft w:val="0"/>
                  <w:marRight w:val="0"/>
                  <w:marTop w:val="0"/>
                  <w:marBottom w:val="115"/>
                  <w:divBdr>
                    <w:top w:val="none" w:sz="0" w:space="0" w:color="auto"/>
                    <w:left w:val="none" w:sz="0" w:space="0" w:color="auto"/>
                    <w:bottom w:val="none" w:sz="0" w:space="0" w:color="auto"/>
                    <w:right w:val="none" w:sz="0" w:space="0" w:color="auto"/>
                  </w:divBdr>
                  <w:divsChild>
                    <w:div w:id="2112973320">
                      <w:marLeft w:val="0"/>
                      <w:marRight w:val="0"/>
                      <w:marTop w:val="0"/>
                      <w:marBottom w:val="0"/>
                      <w:divBdr>
                        <w:top w:val="none" w:sz="0" w:space="0" w:color="auto"/>
                        <w:left w:val="none" w:sz="0" w:space="0" w:color="auto"/>
                        <w:bottom w:val="none" w:sz="0" w:space="0" w:color="auto"/>
                        <w:right w:val="none" w:sz="0" w:space="0" w:color="auto"/>
                      </w:divBdr>
                      <w:divsChild>
                        <w:div w:id="33669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745817">
      <w:bodyDiv w:val="1"/>
      <w:marLeft w:val="0"/>
      <w:marRight w:val="0"/>
      <w:marTop w:val="0"/>
      <w:marBottom w:val="0"/>
      <w:divBdr>
        <w:top w:val="none" w:sz="0" w:space="0" w:color="auto"/>
        <w:left w:val="none" w:sz="0" w:space="0" w:color="auto"/>
        <w:bottom w:val="none" w:sz="0" w:space="0" w:color="auto"/>
        <w:right w:val="none" w:sz="0" w:space="0" w:color="auto"/>
      </w:divBdr>
    </w:div>
    <w:div w:id="1438911656">
      <w:bodyDiv w:val="1"/>
      <w:marLeft w:val="0"/>
      <w:marRight w:val="0"/>
      <w:marTop w:val="0"/>
      <w:marBottom w:val="0"/>
      <w:divBdr>
        <w:top w:val="none" w:sz="0" w:space="0" w:color="auto"/>
        <w:left w:val="none" w:sz="0" w:space="0" w:color="auto"/>
        <w:bottom w:val="none" w:sz="0" w:space="0" w:color="auto"/>
        <w:right w:val="none" w:sz="0" w:space="0" w:color="auto"/>
      </w:divBdr>
    </w:div>
    <w:div w:id="1450012384">
      <w:bodyDiv w:val="1"/>
      <w:marLeft w:val="0"/>
      <w:marRight w:val="0"/>
      <w:marTop w:val="0"/>
      <w:marBottom w:val="0"/>
      <w:divBdr>
        <w:top w:val="none" w:sz="0" w:space="0" w:color="auto"/>
        <w:left w:val="none" w:sz="0" w:space="0" w:color="auto"/>
        <w:bottom w:val="none" w:sz="0" w:space="0" w:color="auto"/>
        <w:right w:val="none" w:sz="0" w:space="0" w:color="auto"/>
      </w:divBdr>
    </w:div>
    <w:div w:id="1475682151">
      <w:bodyDiv w:val="1"/>
      <w:marLeft w:val="0"/>
      <w:marRight w:val="0"/>
      <w:marTop w:val="0"/>
      <w:marBottom w:val="0"/>
      <w:divBdr>
        <w:top w:val="none" w:sz="0" w:space="0" w:color="auto"/>
        <w:left w:val="none" w:sz="0" w:space="0" w:color="auto"/>
        <w:bottom w:val="none" w:sz="0" w:space="0" w:color="auto"/>
        <w:right w:val="none" w:sz="0" w:space="0" w:color="auto"/>
      </w:divBdr>
    </w:div>
    <w:div w:id="1511606989">
      <w:bodyDiv w:val="1"/>
      <w:marLeft w:val="0"/>
      <w:marRight w:val="0"/>
      <w:marTop w:val="0"/>
      <w:marBottom w:val="0"/>
      <w:divBdr>
        <w:top w:val="none" w:sz="0" w:space="0" w:color="auto"/>
        <w:left w:val="none" w:sz="0" w:space="0" w:color="auto"/>
        <w:bottom w:val="none" w:sz="0" w:space="0" w:color="auto"/>
        <w:right w:val="none" w:sz="0" w:space="0" w:color="auto"/>
      </w:divBdr>
    </w:div>
    <w:div w:id="1519923695">
      <w:bodyDiv w:val="1"/>
      <w:marLeft w:val="0"/>
      <w:marRight w:val="0"/>
      <w:marTop w:val="0"/>
      <w:marBottom w:val="0"/>
      <w:divBdr>
        <w:top w:val="none" w:sz="0" w:space="0" w:color="auto"/>
        <w:left w:val="none" w:sz="0" w:space="0" w:color="auto"/>
        <w:bottom w:val="none" w:sz="0" w:space="0" w:color="auto"/>
        <w:right w:val="none" w:sz="0" w:space="0" w:color="auto"/>
      </w:divBdr>
    </w:div>
    <w:div w:id="1561985933">
      <w:bodyDiv w:val="1"/>
      <w:marLeft w:val="0"/>
      <w:marRight w:val="0"/>
      <w:marTop w:val="0"/>
      <w:marBottom w:val="0"/>
      <w:divBdr>
        <w:top w:val="none" w:sz="0" w:space="0" w:color="auto"/>
        <w:left w:val="none" w:sz="0" w:space="0" w:color="auto"/>
        <w:bottom w:val="none" w:sz="0" w:space="0" w:color="auto"/>
        <w:right w:val="none" w:sz="0" w:space="0" w:color="auto"/>
      </w:divBdr>
    </w:div>
    <w:div w:id="1608463339">
      <w:bodyDiv w:val="1"/>
      <w:marLeft w:val="0"/>
      <w:marRight w:val="0"/>
      <w:marTop w:val="0"/>
      <w:marBottom w:val="0"/>
      <w:divBdr>
        <w:top w:val="none" w:sz="0" w:space="0" w:color="auto"/>
        <w:left w:val="none" w:sz="0" w:space="0" w:color="auto"/>
        <w:bottom w:val="none" w:sz="0" w:space="0" w:color="auto"/>
        <w:right w:val="none" w:sz="0" w:space="0" w:color="auto"/>
      </w:divBdr>
    </w:div>
    <w:div w:id="1611165693">
      <w:bodyDiv w:val="1"/>
      <w:marLeft w:val="0"/>
      <w:marRight w:val="0"/>
      <w:marTop w:val="0"/>
      <w:marBottom w:val="0"/>
      <w:divBdr>
        <w:top w:val="none" w:sz="0" w:space="0" w:color="auto"/>
        <w:left w:val="none" w:sz="0" w:space="0" w:color="auto"/>
        <w:bottom w:val="none" w:sz="0" w:space="0" w:color="auto"/>
        <w:right w:val="none" w:sz="0" w:space="0" w:color="auto"/>
      </w:divBdr>
    </w:div>
    <w:div w:id="1641571769">
      <w:bodyDiv w:val="1"/>
      <w:marLeft w:val="0"/>
      <w:marRight w:val="0"/>
      <w:marTop w:val="0"/>
      <w:marBottom w:val="0"/>
      <w:divBdr>
        <w:top w:val="none" w:sz="0" w:space="0" w:color="auto"/>
        <w:left w:val="none" w:sz="0" w:space="0" w:color="auto"/>
        <w:bottom w:val="none" w:sz="0" w:space="0" w:color="auto"/>
        <w:right w:val="none" w:sz="0" w:space="0" w:color="auto"/>
      </w:divBdr>
    </w:div>
    <w:div w:id="1642609301">
      <w:bodyDiv w:val="1"/>
      <w:marLeft w:val="0"/>
      <w:marRight w:val="0"/>
      <w:marTop w:val="0"/>
      <w:marBottom w:val="0"/>
      <w:divBdr>
        <w:top w:val="none" w:sz="0" w:space="0" w:color="auto"/>
        <w:left w:val="none" w:sz="0" w:space="0" w:color="auto"/>
        <w:bottom w:val="none" w:sz="0" w:space="0" w:color="auto"/>
        <w:right w:val="none" w:sz="0" w:space="0" w:color="auto"/>
      </w:divBdr>
    </w:div>
    <w:div w:id="1662540619">
      <w:bodyDiv w:val="1"/>
      <w:marLeft w:val="0"/>
      <w:marRight w:val="0"/>
      <w:marTop w:val="0"/>
      <w:marBottom w:val="0"/>
      <w:divBdr>
        <w:top w:val="none" w:sz="0" w:space="0" w:color="auto"/>
        <w:left w:val="none" w:sz="0" w:space="0" w:color="auto"/>
        <w:bottom w:val="none" w:sz="0" w:space="0" w:color="auto"/>
        <w:right w:val="none" w:sz="0" w:space="0" w:color="auto"/>
      </w:divBdr>
    </w:div>
    <w:div w:id="1699045311">
      <w:bodyDiv w:val="1"/>
      <w:marLeft w:val="0"/>
      <w:marRight w:val="0"/>
      <w:marTop w:val="0"/>
      <w:marBottom w:val="0"/>
      <w:divBdr>
        <w:top w:val="none" w:sz="0" w:space="0" w:color="auto"/>
        <w:left w:val="none" w:sz="0" w:space="0" w:color="auto"/>
        <w:bottom w:val="none" w:sz="0" w:space="0" w:color="auto"/>
        <w:right w:val="none" w:sz="0" w:space="0" w:color="auto"/>
      </w:divBdr>
    </w:div>
    <w:div w:id="1722174044">
      <w:bodyDiv w:val="1"/>
      <w:marLeft w:val="0"/>
      <w:marRight w:val="0"/>
      <w:marTop w:val="0"/>
      <w:marBottom w:val="0"/>
      <w:divBdr>
        <w:top w:val="none" w:sz="0" w:space="0" w:color="auto"/>
        <w:left w:val="none" w:sz="0" w:space="0" w:color="auto"/>
        <w:bottom w:val="none" w:sz="0" w:space="0" w:color="auto"/>
        <w:right w:val="none" w:sz="0" w:space="0" w:color="auto"/>
      </w:divBdr>
    </w:div>
    <w:div w:id="1758211568">
      <w:bodyDiv w:val="1"/>
      <w:marLeft w:val="0"/>
      <w:marRight w:val="0"/>
      <w:marTop w:val="0"/>
      <w:marBottom w:val="0"/>
      <w:divBdr>
        <w:top w:val="none" w:sz="0" w:space="0" w:color="auto"/>
        <w:left w:val="none" w:sz="0" w:space="0" w:color="auto"/>
        <w:bottom w:val="none" w:sz="0" w:space="0" w:color="auto"/>
        <w:right w:val="none" w:sz="0" w:space="0" w:color="auto"/>
      </w:divBdr>
    </w:div>
    <w:div w:id="1768236161">
      <w:bodyDiv w:val="1"/>
      <w:marLeft w:val="0"/>
      <w:marRight w:val="0"/>
      <w:marTop w:val="0"/>
      <w:marBottom w:val="0"/>
      <w:divBdr>
        <w:top w:val="none" w:sz="0" w:space="0" w:color="auto"/>
        <w:left w:val="none" w:sz="0" w:space="0" w:color="auto"/>
        <w:bottom w:val="none" w:sz="0" w:space="0" w:color="auto"/>
        <w:right w:val="none" w:sz="0" w:space="0" w:color="auto"/>
      </w:divBdr>
    </w:div>
    <w:div w:id="1775128984">
      <w:bodyDiv w:val="1"/>
      <w:marLeft w:val="0"/>
      <w:marRight w:val="0"/>
      <w:marTop w:val="0"/>
      <w:marBottom w:val="0"/>
      <w:divBdr>
        <w:top w:val="none" w:sz="0" w:space="0" w:color="auto"/>
        <w:left w:val="none" w:sz="0" w:space="0" w:color="auto"/>
        <w:bottom w:val="none" w:sz="0" w:space="0" w:color="auto"/>
        <w:right w:val="none" w:sz="0" w:space="0" w:color="auto"/>
      </w:divBdr>
    </w:div>
    <w:div w:id="1852064480">
      <w:bodyDiv w:val="1"/>
      <w:marLeft w:val="0"/>
      <w:marRight w:val="0"/>
      <w:marTop w:val="0"/>
      <w:marBottom w:val="0"/>
      <w:divBdr>
        <w:top w:val="none" w:sz="0" w:space="0" w:color="auto"/>
        <w:left w:val="none" w:sz="0" w:space="0" w:color="auto"/>
        <w:bottom w:val="none" w:sz="0" w:space="0" w:color="auto"/>
        <w:right w:val="none" w:sz="0" w:space="0" w:color="auto"/>
      </w:divBdr>
    </w:div>
    <w:div w:id="1871919238">
      <w:bodyDiv w:val="1"/>
      <w:marLeft w:val="0"/>
      <w:marRight w:val="0"/>
      <w:marTop w:val="0"/>
      <w:marBottom w:val="0"/>
      <w:divBdr>
        <w:top w:val="none" w:sz="0" w:space="0" w:color="auto"/>
        <w:left w:val="none" w:sz="0" w:space="0" w:color="auto"/>
        <w:bottom w:val="none" w:sz="0" w:space="0" w:color="auto"/>
        <w:right w:val="none" w:sz="0" w:space="0" w:color="auto"/>
      </w:divBdr>
    </w:div>
    <w:div w:id="1886865762">
      <w:bodyDiv w:val="1"/>
      <w:marLeft w:val="0"/>
      <w:marRight w:val="0"/>
      <w:marTop w:val="0"/>
      <w:marBottom w:val="0"/>
      <w:divBdr>
        <w:top w:val="none" w:sz="0" w:space="0" w:color="auto"/>
        <w:left w:val="none" w:sz="0" w:space="0" w:color="auto"/>
        <w:bottom w:val="none" w:sz="0" w:space="0" w:color="auto"/>
        <w:right w:val="none" w:sz="0" w:space="0" w:color="auto"/>
      </w:divBdr>
    </w:div>
    <w:div w:id="1891113771">
      <w:bodyDiv w:val="1"/>
      <w:marLeft w:val="0"/>
      <w:marRight w:val="0"/>
      <w:marTop w:val="0"/>
      <w:marBottom w:val="0"/>
      <w:divBdr>
        <w:top w:val="none" w:sz="0" w:space="0" w:color="auto"/>
        <w:left w:val="none" w:sz="0" w:space="0" w:color="auto"/>
        <w:bottom w:val="none" w:sz="0" w:space="0" w:color="auto"/>
        <w:right w:val="none" w:sz="0" w:space="0" w:color="auto"/>
      </w:divBdr>
    </w:div>
    <w:div w:id="1946502795">
      <w:bodyDiv w:val="1"/>
      <w:marLeft w:val="0"/>
      <w:marRight w:val="0"/>
      <w:marTop w:val="0"/>
      <w:marBottom w:val="0"/>
      <w:divBdr>
        <w:top w:val="none" w:sz="0" w:space="0" w:color="auto"/>
        <w:left w:val="none" w:sz="0" w:space="0" w:color="auto"/>
        <w:bottom w:val="none" w:sz="0" w:space="0" w:color="auto"/>
        <w:right w:val="none" w:sz="0" w:space="0" w:color="auto"/>
      </w:divBdr>
    </w:div>
    <w:div w:id="1958290456">
      <w:bodyDiv w:val="1"/>
      <w:marLeft w:val="0"/>
      <w:marRight w:val="0"/>
      <w:marTop w:val="0"/>
      <w:marBottom w:val="0"/>
      <w:divBdr>
        <w:top w:val="none" w:sz="0" w:space="0" w:color="auto"/>
        <w:left w:val="none" w:sz="0" w:space="0" w:color="auto"/>
        <w:bottom w:val="none" w:sz="0" w:space="0" w:color="auto"/>
        <w:right w:val="none" w:sz="0" w:space="0" w:color="auto"/>
      </w:divBdr>
    </w:div>
    <w:div w:id="2020040430">
      <w:bodyDiv w:val="1"/>
      <w:marLeft w:val="0"/>
      <w:marRight w:val="0"/>
      <w:marTop w:val="0"/>
      <w:marBottom w:val="0"/>
      <w:divBdr>
        <w:top w:val="none" w:sz="0" w:space="0" w:color="auto"/>
        <w:left w:val="none" w:sz="0" w:space="0" w:color="auto"/>
        <w:bottom w:val="none" w:sz="0" w:space="0" w:color="auto"/>
        <w:right w:val="none" w:sz="0" w:space="0" w:color="auto"/>
      </w:divBdr>
    </w:div>
    <w:div w:id="2032756510">
      <w:bodyDiv w:val="1"/>
      <w:marLeft w:val="0"/>
      <w:marRight w:val="0"/>
      <w:marTop w:val="0"/>
      <w:marBottom w:val="0"/>
      <w:divBdr>
        <w:top w:val="none" w:sz="0" w:space="0" w:color="auto"/>
        <w:left w:val="none" w:sz="0" w:space="0" w:color="auto"/>
        <w:bottom w:val="none" w:sz="0" w:space="0" w:color="auto"/>
        <w:right w:val="none" w:sz="0" w:space="0" w:color="auto"/>
      </w:divBdr>
    </w:div>
    <w:div w:id="2062944512">
      <w:bodyDiv w:val="1"/>
      <w:marLeft w:val="0"/>
      <w:marRight w:val="0"/>
      <w:marTop w:val="0"/>
      <w:marBottom w:val="0"/>
      <w:divBdr>
        <w:top w:val="none" w:sz="0" w:space="0" w:color="auto"/>
        <w:left w:val="none" w:sz="0" w:space="0" w:color="auto"/>
        <w:bottom w:val="none" w:sz="0" w:space="0" w:color="auto"/>
        <w:right w:val="none" w:sz="0" w:space="0" w:color="auto"/>
      </w:divBdr>
    </w:div>
    <w:div w:id="2066372715">
      <w:bodyDiv w:val="1"/>
      <w:marLeft w:val="0"/>
      <w:marRight w:val="0"/>
      <w:marTop w:val="0"/>
      <w:marBottom w:val="0"/>
      <w:divBdr>
        <w:top w:val="none" w:sz="0" w:space="0" w:color="auto"/>
        <w:left w:val="none" w:sz="0" w:space="0" w:color="auto"/>
        <w:bottom w:val="none" w:sz="0" w:space="0" w:color="auto"/>
        <w:right w:val="none" w:sz="0" w:space="0" w:color="auto"/>
      </w:divBdr>
    </w:div>
    <w:div w:id="2076928044">
      <w:bodyDiv w:val="1"/>
      <w:marLeft w:val="0"/>
      <w:marRight w:val="0"/>
      <w:marTop w:val="0"/>
      <w:marBottom w:val="0"/>
      <w:divBdr>
        <w:top w:val="none" w:sz="0" w:space="0" w:color="auto"/>
        <w:left w:val="none" w:sz="0" w:space="0" w:color="auto"/>
        <w:bottom w:val="none" w:sz="0" w:space="0" w:color="auto"/>
        <w:right w:val="none" w:sz="0" w:space="0" w:color="auto"/>
      </w:divBdr>
    </w:div>
    <w:div w:id="2128891863">
      <w:bodyDiv w:val="1"/>
      <w:marLeft w:val="0"/>
      <w:marRight w:val="0"/>
      <w:marTop w:val="0"/>
      <w:marBottom w:val="0"/>
      <w:divBdr>
        <w:top w:val="none" w:sz="0" w:space="0" w:color="auto"/>
        <w:left w:val="none" w:sz="0" w:space="0" w:color="auto"/>
        <w:bottom w:val="none" w:sz="0" w:space="0" w:color="auto"/>
        <w:right w:val="none" w:sz="0" w:space="0" w:color="auto"/>
      </w:divBdr>
    </w:div>
    <w:div w:id="2131849711">
      <w:bodyDiv w:val="1"/>
      <w:marLeft w:val="0"/>
      <w:marRight w:val="0"/>
      <w:marTop w:val="0"/>
      <w:marBottom w:val="0"/>
      <w:divBdr>
        <w:top w:val="none" w:sz="0" w:space="0" w:color="auto"/>
        <w:left w:val="none" w:sz="0" w:space="0" w:color="auto"/>
        <w:bottom w:val="none" w:sz="0" w:space="0" w:color="auto"/>
        <w:right w:val="none" w:sz="0" w:space="0" w:color="auto"/>
      </w:divBdr>
    </w:div>
    <w:div w:id="2140108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radni-list.si/1/objava.jsp?sop=2008-01-2416" TargetMode="External"/><Relationship Id="rId21" Type="http://schemas.openxmlformats.org/officeDocument/2006/relationships/hyperlink" Target="javascript:if(typeof%20zxywnC60==typeof%20alert)zxywnC60();linkTo_UnCryptMailto('lzhksn9fo-lnoZfnu-rh');" TargetMode="External"/><Relationship Id="rId42" Type="http://schemas.openxmlformats.org/officeDocument/2006/relationships/image" Target="media/image1.png"/><Relationship Id="rId47" Type="http://schemas.openxmlformats.org/officeDocument/2006/relationships/image" Target="media/image6.png"/><Relationship Id="rId63" Type="http://schemas.openxmlformats.org/officeDocument/2006/relationships/chart" Target="charts/chart3.xml"/><Relationship Id="rId68" Type="http://schemas.openxmlformats.org/officeDocument/2006/relationships/image" Target="media/image26.png"/><Relationship Id="rId84" Type="http://schemas.openxmlformats.org/officeDocument/2006/relationships/image" Target="media/image39.png"/><Relationship Id="rId89" Type="http://schemas.openxmlformats.org/officeDocument/2006/relationships/image" Target="media/image42.png"/><Relationship Id="rId112" Type="http://schemas.openxmlformats.org/officeDocument/2006/relationships/header" Target="header7.xml"/><Relationship Id="rId16" Type="http://schemas.openxmlformats.org/officeDocument/2006/relationships/header" Target="header5.xml"/><Relationship Id="rId107" Type="http://schemas.openxmlformats.org/officeDocument/2006/relationships/image" Target="media/image58.emf"/><Relationship Id="rId11" Type="http://schemas.openxmlformats.org/officeDocument/2006/relationships/footer" Target="footer1.xml"/><Relationship Id="rId24" Type="http://schemas.openxmlformats.org/officeDocument/2006/relationships/hyperlink" Target="http://www.uradni-list.si/1/objava.jsp?sop=2006-01-2856" TargetMode="External"/><Relationship Id="rId32" Type="http://schemas.openxmlformats.org/officeDocument/2006/relationships/hyperlink" Target="http://www.uradni-list.si/1/objava.jsp?sop=2013-01-3337" TargetMode="External"/><Relationship Id="rId37" Type="http://schemas.openxmlformats.org/officeDocument/2006/relationships/hyperlink" Target="http://www.uradni-list.si/1/objava.jsp?sop=2018-01-0887" TargetMode="External"/><Relationship Id="rId40" Type="http://schemas.openxmlformats.org/officeDocument/2006/relationships/chart" Target="charts/chart1.xml"/><Relationship Id="rId45" Type="http://schemas.openxmlformats.org/officeDocument/2006/relationships/image" Target="media/image4.png"/><Relationship Id="rId53" Type="http://schemas.openxmlformats.org/officeDocument/2006/relationships/image" Target="media/image12.png"/><Relationship Id="rId58" Type="http://schemas.openxmlformats.org/officeDocument/2006/relationships/image" Target="media/image17.png"/><Relationship Id="rId66" Type="http://schemas.openxmlformats.org/officeDocument/2006/relationships/image" Target="media/image24.png"/><Relationship Id="rId74" Type="http://schemas.openxmlformats.org/officeDocument/2006/relationships/image" Target="media/image31.png"/><Relationship Id="rId79" Type="http://schemas.openxmlformats.org/officeDocument/2006/relationships/image" Target="media/image35.emf"/><Relationship Id="rId87" Type="http://schemas.openxmlformats.org/officeDocument/2006/relationships/chart" Target="charts/chart6.xml"/><Relationship Id="rId102" Type="http://schemas.openxmlformats.org/officeDocument/2006/relationships/image" Target="media/image54.png"/><Relationship Id="rId110" Type="http://schemas.openxmlformats.org/officeDocument/2006/relationships/oleObject" Target="embeddings/oleObject5.bin"/><Relationship Id="rId115" Type="http://schemas.openxmlformats.org/officeDocument/2006/relationships/theme" Target="theme/theme1.xml"/><Relationship Id="rId149" Type="http://schemas.microsoft.com/office/2011/relationships/commentsExtended" Target="commentsExtended.xml"/><Relationship Id="rId5" Type="http://schemas.openxmlformats.org/officeDocument/2006/relationships/settings" Target="settings.xml"/><Relationship Id="rId61" Type="http://schemas.openxmlformats.org/officeDocument/2006/relationships/image" Target="media/image20.png"/><Relationship Id="rId82" Type="http://schemas.openxmlformats.org/officeDocument/2006/relationships/image" Target="media/image37.png"/><Relationship Id="rId90" Type="http://schemas.openxmlformats.org/officeDocument/2006/relationships/image" Target="media/image43.jpg"/><Relationship Id="rId95" Type="http://schemas.openxmlformats.org/officeDocument/2006/relationships/image" Target="media/image48.png"/><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hyperlink" Target="http://www.uradni-list.si/1/objava.jsp?sop=2006-01-1682" TargetMode="External"/><Relationship Id="rId27" Type="http://schemas.openxmlformats.org/officeDocument/2006/relationships/hyperlink" Target="http://www.uradni-list.si/1/objava.jsp?sop=2008-01-3026" TargetMode="External"/><Relationship Id="rId30" Type="http://schemas.openxmlformats.org/officeDocument/2006/relationships/hyperlink" Target="http://www.uradni-list.si/1/objava.jsp?sop=2012-01-2011" TargetMode="External"/><Relationship Id="rId35" Type="http://schemas.openxmlformats.org/officeDocument/2006/relationships/hyperlink" Target="http://www.uradni-list.si/1/objava.jsp?sop=2016-01-1264" TargetMode="External"/><Relationship Id="rId43" Type="http://schemas.openxmlformats.org/officeDocument/2006/relationships/image" Target="media/image2.png"/><Relationship Id="rId48" Type="http://schemas.openxmlformats.org/officeDocument/2006/relationships/image" Target="media/image7.png"/><Relationship Id="rId56" Type="http://schemas.openxmlformats.org/officeDocument/2006/relationships/image" Target="media/image15.png"/><Relationship Id="rId64" Type="http://schemas.openxmlformats.org/officeDocument/2006/relationships/image" Target="media/image22.emf"/><Relationship Id="rId69" Type="http://schemas.openxmlformats.org/officeDocument/2006/relationships/image" Target="media/image27.png"/><Relationship Id="rId77" Type="http://schemas.openxmlformats.org/officeDocument/2006/relationships/image" Target="media/image34.emf"/><Relationship Id="rId100" Type="http://schemas.openxmlformats.org/officeDocument/2006/relationships/image" Target="media/image52.png"/><Relationship Id="rId105" Type="http://schemas.openxmlformats.org/officeDocument/2006/relationships/image" Target="media/image57.emf"/><Relationship Id="rId113"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image" Target="media/image10.png"/><Relationship Id="rId72" Type="http://schemas.openxmlformats.org/officeDocument/2006/relationships/chart" Target="charts/chart4.xml"/><Relationship Id="rId80" Type="http://schemas.openxmlformats.org/officeDocument/2006/relationships/oleObject" Target="embeddings/oleObject2.bin"/><Relationship Id="rId85" Type="http://schemas.openxmlformats.org/officeDocument/2006/relationships/image" Target="media/image40.png"/><Relationship Id="rId93" Type="http://schemas.openxmlformats.org/officeDocument/2006/relationships/image" Target="media/image46.png"/><Relationship Id="rId98" Type="http://schemas.openxmlformats.org/officeDocument/2006/relationships/image" Target="media/image50.jpeg"/><Relationship Id="rId150" Type="http://schemas.microsoft.com/office/2018/08/relationships/commentsExtensible" Target="commentsExtensi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www.uradni-list.si/1/objava.jsp?sop=2007-01-1761" TargetMode="External"/><Relationship Id="rId33" Type="http://schemas.openxmlformats.org/officeDocument/2006/relationships/hyperlink" Target="http://www.uradni-list.si/1/objava.jsp?sop=2015-01-2359" TargetMode="External"/><Relationship Id="rId38" Type="http://schemas.openxmlformats.org/officeDocument/2006/relationships/hyperlink" Target="http://www.uradni-list.si/1/objava.jsp?sop=2018-01-4120" TargetMode="External"/><Relationship Id="rId46" Type="http://schemas.openxmlformats.org/officeDocument/2006/relationships/image" Target="media/image5.png"/><Relationship Id="rId59" Type="http://schemas.openxmlformats.org/officeDocument/2006/relationships/image" Target="media/image18.png"/><Relationship Id="rId67" Type="http://schemas.openxmlformats.org/officeDocument/2006/relationships/image" Target="media/image25.png"/><Relationship Id="rId103" Type="http://schemas.openxmlformats.org/officeDocument/2006/relationships/image" Target="media/image55.png"/><Relationship Id="rId108" Type="http://schemas.openxmlformats.org/officeDocument/2006/relationships/oleObject" Target="embeddings/oleObject4.bin"/><Relationship Id="rId20" Type="http://schemas.openxmlformats.org/officeDocument/2006/relationships/hyperlink" Target="http://www.mnvp.gov.si/" TargetMode="External"/><Relationship Id="rId41" Type="http://schemas.openxmlformats.org/officeDocument/2006/relationships/chart" Target="charts/chart2.xml"/><Relationship Id="rId54" Type="http://schemas.openxmlformats.org/officeDocument/2006/relationships/image" Target="media/image13.png"/><Relationship Id="rId62" Type="http://schemas.openxmlformats.org/officeDocument/2006/relationships/image" Target="media/image21.png"/><Relationship Id="rId70" Type="http://schemas.openxmlformats.org/officeDocument/2006/relationships/image" Target="media/image28.png"/><Relationship Id="rId75" Type="http://schemas.openxmlformats.org/officeDocument/2006/relationships/image" Target="media/image32.png"/><Relationship Id="rId83" Type="http://schemas.openxmlformats.org/officeDocument/2006/relationships/image" Target="media/image38.png"/><Relationship Id="rId88" Type="http://schemas.openxmlformats.org/officeDocument/2006/relationships/image" Target="media/image41.emf"/><Relationship Id="rId91" Type="http://schemas.openxmlformats.org/officeDocument/2006/relationships/image" Target="media/image44.png"/><Relationship Id="rId96" Type="http://schemas.openxmlformats.org/officeDocument/2006/relationships/image" Target="media/image49.png"/><Relationship Id="rId11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uradni-list.si/1/objava.jsp?sop=2006-01-2089" TargetMode="External"/><Relationship Id="rId28" Type="http://schemas.openxmlformats.org/officeDocument/2006/relationships/hyperlink" Target="http://www.uradni-list.si/1/objava.jsp?sop=2009-01-4888" TargetMode="External"/><Relationship Id="rId36" Type="http://schemas.openxmlformats.org/officeDocument/2006/relationships/hyperlink" Target="http://www.uradni-list.si/1/objava.jsp?sop=2017-01-2914" TargetMode="External"/><Relationship Id="rId49" Type="http://schemas.openxmlformats.org/officeDocument/2006/relationships/image" Target="media/image8.png"/><Relationship Id="rId57" Type="http://schemas.openxmlformats.org/officeDocument/2006/relationships/image" Target="media/image16.png"/><Relationship Id="rId106" Type="http://schemas.openxmlformats.org/officeDocument/2006/relationships/oleObject" Target="embeddings/oleObject3.bin"/><Relationship Id="rId114"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yperlink" Target="http://www.uradni-list.si/1/objava.jsp?sop=2012-01-2415" TargetMode="External"/><Relationship Id="rId44" Type="http://schemas.openxmlformats.org/officeDocument/2006/relationships/image" Target="media/image3.png"/><Relationship Id="rId52" Type="http://schemas.openxmlformats.org/officeDocument/2006/relationships/image" Target="media/image11.png"/><Relationship Id="rId60" Type="http://schemas.openxmlformats.org/officeDocument/2006/relationships/image" Target="media/image19.png"/><Relationship Id="rId65" Type="http://schemas.openxmlformats.org/officeDocument/2006/relationships/image" Target="media/image23.png"/><Relationship Id="rId73" Type="http://schemas.openxmlformats.org/officeDocument/2006/relationships/image" Target="media/image30.png"/><Relationship Id="rId78" Type="http://schemas.openxmlformats.org/officeDocument/2006/relationships/oleObject" Target="embeddings/oleObject1.bin"/><Relationship Id="rId81" Type="http://schemas.openxmlformats.org/officeDocument/2006/relationships/image" Target="media/image36.jpeg"/><Relationship Id="rId86" Type="http://schemas.openxmlformats.org/officeDocument/2006/relationships/chart" Target="charts/chart5.xml"/><Relationship Id="rId94" Type="http://schemas.openxmlformats.org/officeDocument/2006/relationships/image" Target="media/image47.png"/><Relationship Id="rId99" Type="http://schemas.openxmlformats.org/officeDocument/2006/relationships/image" Target="media/image51.jpeg"/><Relationship Id="rId101" Type="http://schemas.openxmlformats.org/officeDocument/2006/relationships/image" Target="media/image53.png"/><Relationship Id="rId151"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yperlink" Target="http://www.uradni-list.si/1/objava.jsp?sop=2005-01-2796" TargetMode="External"/><Relationship Id="rId109" Type="http://schemas.openxmlformats.org/officeDocument/2006/relationships/image" Target="media/image59.emf"/><Relationship Id="rId34" Type="http://schemas.openxmlformats.org/officeDocument/2006/relationships/hyperlink" Target="http://www.uradni-list.si/1/objava.jsp?sop=2015-01-4085" TargetMode="External"/><Relationship Id="rId50" Type="http://schemas.openxmlformats.org/officeDocument/2006/relationships/image" Target="media/image9.png"/><Relationship Id="rId55" Type="http://schemas.openxmlformats.org/officeDocument/2006/relationships/image" Target="media/image14.png"/><Relationship Id="rId76" Type="http://schemas.openxmlformats.org/officeDocument/2006/relationships/image" Target="media/image33.png"/><Relationship Id="rId97" Type="http://schemas.openxmlformats.org/officeDocument/2006/relationships/chart" Target="charts/chart7.xml"/><Relationship Id="rId104" Type="http://schemas.openxmlformats.org/officeDocument/2006/relationships/image" Target="media/image56.png"/><Relationship Id="rId7" Type="http://schemas.openxmlformats.org/officeDocument/2006/relationships/footnotes" Target="footnotes.xml"/><Relationship Id="rId71" Type="http://schemas.openxmlformats.org/officeDocument/2006/relationships/image" Target="media/image29.png"/><Relationship Id="rId92" Type="http://schemas.openxmlformats.org/officeDocument/2006/relationships/image" Target="media/image45.png"/><Relationship Id="rId2" Type="http://schemas.openxmlformats.org/officeDocument/2006/relationships/numbering" Target="numbering.xml"/><Relationship Id="rId29" Type="http://schemas.openxmlformats.org/officeDocument/2006/relationships/hyperlink" Target="http://www.uradni-list.si/1/objava.jsp?sop=2009-01-489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blaz.pokersnik\Desktop\NUV%20III%20K&#268;N%20analiz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laz.pokersnik\Desktop\NUV%20III%20K&#268;N%20analiz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okumenti\1_Nejc\NUV%20III\2.2.1.6%20Pokrovnost%20tal\analiza_IzVRS_NUV_II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Slu&#382;ba_oktober%202021\2-17%20NUV%20III\3-01%20NUV%20III%20Analiza%20obremenitev\Vplivi%20na%20stanje%20VTPV\Organsko%20onesna&#382;enje.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Leila.Ramadan\Desktop\NUV%20III%20grafi-delovni%20dokument%20Leila.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venera\users\Poje\My%20Documents\MONITORINGI%2010-21\NA&#268;RT%20UPRAVLJANJA%20Z%20VODAMI\TRETJI%20NA&#268;RT\TEKST%20MOP\KV%2017-2020%20razredi.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pivotSource>
    <c:name>[NUV III KČN analize.xlsx]Slika2-2!Vrtilna tabela3</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dLbl>
          <c:idx val="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marker>
          <c:symbol val="none"/>
        </c:marker>
        <c:dLbl>
          <c:idx val="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marker>
          <c:symbol val="none"/>
        </c:marker>
        <c:dLbl>
          <c:idx val="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marker>
          <c:symbol val="none"/>
        </c:marker>
      </c:pivotFmt>
      <c:pivotFmt>
        <c:idx val="10"/>
        <c:marker>
          <c:symbol val="none"/>
        </c:marker>
        <c:dLbl>
          <c:idx val="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marker>
          <c:symbol val="none"/>
        </c:marker>
        <c:dLbl>
          <c:idx val="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marker>
          <c:symbol val="none"/>
        </c:marker>
        <c:dLbl>
          <c:idx val="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marker>
          <c:symbol val="none"/>
        </c:marker>
      </c:pivotFmt>
      <c:pivotFmt>
        <c:idx val="14"/>
        <c:marker>
          <c:symbol val="none"/>
        </c:marker>
        <c:dLbl>
          <c:idx val="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marker>
          <c:symbol val="none"/>
        </c:marker>
        <c:dLbl>
          <c:idx val="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
        <c:marker>
          <c:symbol val="none"/>
        </c:marker>
        <c:dLbl>
          <c:idx val="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
        <c:marker>
          <c:symbol val="none"/>
        </c:marker>
      </c:pivotFmt>
    </c:pivotFmts>
    <c:plotArea>
      <c:layout/>
      <c:barChart>
        <c:barDir val="col"/>
        <c:grouping val="stacked"/>
        <c:varyColors val="0"/>
        <c:ser>
          <c:idx val="0"/>
          <c:order val="0"/>
          <c:tx>
            <c:strRef>
              <c:f>'Slika2-2'!$B$3:$B$4</c:f>
              <c:strCache>
                <c:ptCount val="1"/>
                <c:pt idx="0">
                  <c:v>10.000 PE ≤ KČN &lt; 100.000 PE</c:v>
                </c:pt>
              </c:strCache>
            </c:strRef>
          </c:tx>
          <c:invertIfNegative val="0"/>
          <c:dLbls>
            <c:spPr>
              <a:noFill/>
              <a:ln>
                <a:noFill/>
              </a:ln>
              <a:effectLst/>
            </c:spPr>
            <c:txPr>
              <a:bodyPr/>
              <a:lstStyle/>
              <a:p>
                <a:pPr>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'Slika2-2'!$A$5:$A$11</c:f>
              <c:strCache>
                <c:ptCount val="6"/>
                <c:pt idx="0">
                  <c:v>Drava</c:v>
                </c:pt>
                <c:pt idx="1">
                  <c:v>Mura</c:v>
                </c:pt>
                <c:pt idx="2">
                  <c:v>Savinja</c:v>
                </c:pt>
                <c:pt idx="3">
                  <c:v>Spodnja Sava</c:v>
                </c:pt>
                <c:pt idx="4">
                  <c:v>Srednja Sava</c:v>
                </c:pt>
                <c:pt idx="5">
                  <c:v>Zgornja Sava</c:v>
                </c:pt>
              </c:strCache>
            </c:strRef>
          </c:cat>
          <c:val>
            <c:numRef>
              <c:f>'Slika2-2'!$B$5:$B$11</c:f>
              <c:numCache>
                <c:formatCode>General</c:formatCode>
                <c:ptCount val="6"/>
                <c:pt idx="0">
                  <c:v>5</c:v>
                </c:pt>
                <c:pt idx="1">
                  <c:v>5</c:v>
                </c:pt>
                <c:pt idx="2">
                  <c:v>5</c:v>
                </c:pt>
                <c:pt idx="3">
                  <c:v>4</c:v>
                </c:pt>
                <c:pt idx="4">
                  <c:v>8</c:v>
                </c:pt>
                <c:pt idx="5">
                  <c:v>6</c:v>
                </c:pt>
              </c:numCache>
            </c:numRef>
          </c:val>
          <c:extLst xmlns:c16r2="http://schemas.microsoft.com/office/drawing/2015/06/chart">
            <c:ext xmlns:c16="http://schemas.microsoft.com/office/drawing/2014/chart" uri="{C3380CC4-5D6E-409C-BE32-E72D297353CC}">
              <c16:uniqueId val="{00000000-F2B3-4981-87C9-D23A70887774}"/>
            </c:ext>
          </c:extLst>
        </c:ser>
        <c:ser>
          <c:idx val="1"/>
          <c:order val="1"/>
          <c:tx>
            <c:strRef>
              <c:f>'Slika2-2'!$C$3:$C$4</c:f>
              <c:strCache>
                <c:ptCount val="1"/>
                <c:pt idx="0">
                  <c:v>2.000 PE ≤ KČN &lt; 10.000 PE</c:v>
                </c:pt>
              </c:strCache>
            </c:strRef>
          </c:tx>
          <c:invertIfNegative val="0"/>
          <c:dLbls>
            <c:spPr>
              <a:noFill/>
              <a:ln>
                <a:noFill/>
              </a:ln>
              <a:effectLst/>
            </c:spPr>
            <c:txPr>
              <a:bodyPr/>
              <a:lstStyle/>
              <a:p>
                <a:pPr>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'Slika2-2'!$A$5:$A$11</c:f>
              <c:strCache>
                <c:ptCount val="6"/>
                <c:pt idx="0">
                  <c:v>Drava</c:v>
                </c:pt>
                <c:pt idx="1">
                  <c:v>Mura</c:v>
                </c:pt>
                <c:pt idx="2">
                  <c:v>Savinja</c:v>
                </c:pt>
                <c:pt idx="3">
                  <c:v>Spodnja Sava</c:v>
                </c:pt>
                <c:pt idx="4">
                  <c:v>Srednja Sava</c:v>
                </c:pt>
                <c:pt idx="5">
                  <c:v>Zgornja Sava</c:v>
                </c:pt>
              </c:strCache>
            </c:strRef>
          </c:cat>
          <c:val>
            <c:numRef>
              <c:f>'Slika2-2'!$C$5:$C$11</c:f>
              <c:numCache>
                <c:formatCode>General</c:formatCode>
                <c:ptCount val="6"/>
                <c:pt idx="0">
                  <c:v>20</c:v>
                </c:pt>
                <c:pt idx="1">
                  <c:v>12</c:v>
                </c:pt>
                <c:pt idx="2">
                  <c:v>3</c:v>
                </c:pt>
                <c:pt idx="3">
                  <c:v>19</c:v>
                </c:pt>
                <c:pt idx="4">
                  <c:v>10</c:v>
                </c:pt>
                <c:pt idx="5">
                  <c:v>8</c:v>
                </c:pt>
              </c:numCache>
            </c:numRef>
          </c:val>
          <c:extLst xmlns:c16r2="http://schemas.microsoft.com/office/drawing/2015/06/chart">
            <c:ext xmlns:c16="http://schemas.microsoft.com/office/drawing/2014/chart" uri="{C3380CC4-5D6E-409C-BE32-E72D297353CC}">
              <c16:uniqueId val="{00000001-F2B3-4981-87C9-D23A70887774}"/>
            </c:ext>
          </c:extLst>
        </c:ser>
        <c:ser>
          <c:idx val="2"/>
          <c:order val="2"/>
          <c:tx>
            <c:strRef>
              <c:f>'Slika2-2'!$D$3:$D$4</c:f>
              <c:strCache>
                <c:ptCount val="1"/>
                <c:pt idx="0">
                  <c:v>50 PE ≤ KČN &lt; 2.000 PE</c:v>
                </c:pt>
              </c:strCache>
            </c:strRef>
          </c:tx>
          <c:invertIfNegative val="0"/>
          <c:dLbls>
            <c:spPr>
              <a:noFill/>
              <a:ln>
                <a:noFill/>
              </a:ln>
              <a:effectLst/>
            </c:spPr>
            <c:txPr>
              <a:bodyPr/>
              <a:lstStyle/>
              <a:p>
                <a:pPr>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'Slika2-2'!$A$5:$A$11</c:f>
              <c:strCache>
                <c:ptCount val="6"/>
                <c:pt idx="0">
                  <c:v>Drava</c:v>
                </c:pt>
                <c:pt idx="1">
                  <c:v>Mura</c:v>
                </c:pt>
                <c:pt idx="2">
                  <c:v>Savinja</c:v>
                </c:pt>
                <c:pt idx="3">
                  <c:v>Spodnja Sava</c:v>
                </c:pt>
                <c:pt idx="4">
                  <c:v>Srednja Sava</c:v>
                </c:pt>
                <c:pt idx="5">
                  <c:v>Zgornja Sava</c:v>
                </c:pt>
              </c:strCache>
            </c:strRef>
          </c:cat>
          <c:val>
            <c:numRef>
              <c:f>'Slika2-2'!$D$5:$D$11</c:f>
              <c:numCache>
                <c:formatCode>General</c:formatCode>
                <c:ptCount val="6"/>
                <c:pt idx="0">
                  <c:v>70</c:v>
                </c:pt>
                <c:pt idx="1">
                  <c:v>36</c:v>
                </c:pt>
                <c:pt idx="2">
                  <c:v>28</c:v>
                </c:pt>
                <c:pt idx="3">
                  <c:v>75</c:v>
                </c:pt>
                <c:pt idx="4">
                  <c:v>68</c:v>
                </c:pt>
                <c:pt idx="5">
                  <c:v>30</c:v>
                </c:pt>
              </c:numCache>
            </c:numRef>
          </c:val>
          <c:extLst xmlns:c16r2="http://schemas.microsoft.com/office/drawing/2015/06/chart">
            <c:ext xmlns:c16="http://schemas.microsoft.com/office/drawing/2014/chart" uri="{C3380CC4-5D6E-409C-BE32-E72D297353CC}">
              <c16:uniqueId val="{00000002-F2B3-4981-87C9-D23A70887774}"/>
            </c:ext>
          </c:extLst>
        </c:ser>
        <c:ser>
          <c:idx val="3"/>
          <c:order val="3"/>
          <c:tx>
            <c:strRef>
              <c:f>'Slika2-2'!$E$3:$E$4</c:f>
              <c:strCache>
                <c:ptCount val="1"/>
                <c:pt idx="0">
                  <c:v>KČN ≥ 10.000 PE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'Slika2-2'!$A$5:$A$11</c:f>
              <c:strCache>
                <c:ptCount val="6"/>
                <c:pt idx="0">
                  <c:v>Drava</c:v>
                </c:pt>
                <c:pt idx="1">
                  <c:v>Mura</c:v>
                </c:pt>
                <c:pt idx="2">
                  <c:v>Savinja</c:v>
                </c:pt>
                <c:pt idx="3">
                  <c:v>Spodnja Sava</c:v>
                </c:pt>
                <c:pt idx="4">
                  <c:v>Srednja Sava</c:v>
                </c:pt>
                <c:pt idx="5">
                  <c:v>Zgornja Sava</c:v>
                </c:pt>
              </c:strCache>
            </c:strRef>
          </c:cat>
          <c:val>
            <c:numRef>
              <c:f>'Slika2-2'!$E$5:$E$11</c:f>
              <c:numCache>
                <c:formatCode>General</c:formatCode>
                <c:ptCount val="6"/>
                <c:pt idx="0">
                  <c:v>1</c:v>
                </c:pt>
                <c:pt idx="3">
                  <c:v>1</c:v>
                </c:pt>
                <c:pt idx="4">
                  <c:v>2</c:v>
                </c:pt>
              </c:numCache>
            </c:numRef>
          </c:val>
          <c:extLst xmlns:c16r2="http://schemas.microsoft.com/office/drawing/2015/06/chart">
            <c:ext xmlns:c16="http://schemas.microsoft.com/office/drawing/2014/chart" uri="{C3380CC4-5D6E-409C-BE32-E72D297353CC}">
              <c16:uniqueId val="{00000003-F2B3-4981-87C9-D23A70887774}"/>
            </c:ext>
          </c:extLst>
        </c:ser>
        <c:dLbls>
          <c:showLegendKey val="0"/>
          <c:showVal val="0"/>
          <c:showCatName val="0"/>
          <c:showSerName val="0"/>
          <c:showPercent val="0"/>
          <c:showBubbleSize val="0"/>
        </c:dLbls>
        <c:gapWidth val="150"/>
        <c:overlap val="100"/>
        <c:axId val="184758272"/>
        <c:axId val="184759808"/>
      </c:barChart>
      <c:catAx>
        <c:axId val="184758272"/>
        <c:scaling>
          <c:orientation val="minMax"/>
        </c:scaling>
        <c:delete val="0"/>
        <c:axPos val="b"/>
        <c:numFmt formatCode="General" sourceLinked="0"/>
        <c:majorTickMark val="out"/>
        <c:minorTickMark val="none"/>
        <c:tickLblPos val="nextTo"/>
        <c:crossAx val="184759808"/>
        <c:crosses val="autoZero"/>
        <c:auto val="1"/>
        <c:lblAlgn val="ctr"/>
        <c:lblOffset val="100"/>
        <c:noMultiLvlLbl val="0"/>
      </c:catAx>
      <c:valAx>
        <c:axId val="184759808"/>
        <c:scaling>
          <c:orientation val="minMax"/>
        </c:scaling>
        <c:delete val="0"/>
        <c:axPos val="l"/>
        <c:majorGridlines/>
        <c:numFmt formatCode="General" sourceLinked="1"/>
        <c:majorTickMark val="out"/>
        <c:minorTickMark val="none"/>
        <c:tickLblPos val="nextTo"/>
        <c:crossAx val="184758272"/>
        <c:crosses val="autoZero"/>
        <c:crossBetween val="between"/>
      </c:valAx>
    </c:plotArea>
    <c:legend>
      <c:legendPos val="r"/>
      <c:layout>
        <c:manualLayout>
          <c:xMode val="edge"/>
          <c:yMode val="edge"/>
          <c:x val="0.6572526055825002"/>
          <c:y val="0.158229086719682"/>
          <c:w val="0.33333333333333331"/>
          <c:h val="0.63901392534266543"/>
        </c:manualLayout>
      </c:layout>
      <c:overlay val="0"/>
    </c:legend>
    <c:plotVisOnly val="1"/>
    <c:dispBlanksAs val="gap"/>
    <c:showDLblsOverMax val="0"/>
  </c:chart>
  <c:spPr>
    <a:ln w="3175">
      <a:solidFill>
        <a:schemeClr val="bg1">
          <a:lumMod val="75000"/>
        </a:schemeClr>
      </a:solidFill>
    </a:ln>
  </c:spPr>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pivotSource>
    <c:name>[NUV III KČN analize.xlsx]Slika 2-3!Vrtilna tabela3</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dLbl>
          <c:idx val="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marker>
          <c:symbol val="none"/>
        </c:marker>
        <c:dLbl>
          <c:idx val="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marker>
          <c:symbol val="none"/>
        </c:marker>
        <c:dLbl>
          <c:idx val="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marker>
          <c:symbol val="none"/>
        </c:marker>
        <c:dLbl>
          <c:idx val="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marker>
          <c:symbol val="none"/>
        </c:marker>
        <c:dLbl>
          <c:idx val="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marker>
          <c:symbol val="none"/>
        </c:marker>
        <c:dLbl>
          <c:idx val="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marker>
          <c:symbol val="none"/>
        </c:marker>
        <c:dLbl>
          <c:idx val="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marker>
          <c:symbol val="none"/>
        </c:marker>
        <c:dLbl>
          <c:idx val="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marker>
          <c:symbol val="none"/>
        </c:marker>
        <c:dLbl>
          <c:idx val="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marker>
          <c:symbol val="none"/>
        </c:marker>
        <c:dLbl>
          <c:idx val="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
        <c:marker>
          <c:symbol val="none"/>
        </c:marker>
        <c:dLbl>
          <c:idx val="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
        <c:marker>
          <c:symbol val="none"/>
        </c:marker>
        <c:dLbl>
          <c:idx val="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8"/>
        <c:marker>
          <c:symbol val="none"/>
        </c:marker>
        <c:dLbl>
          <c:idx val="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9"/>
        <c:marker>
          <c:symbol val="none"/>
        </c:marker>
        <c:dLbl>
          <c:idx val="0"/>
          <c:spPr/>
          <c:txPr>
            <a:bodyPr/>
            <a:lstStyle/>
            <a:p>
              <a:pPr>
                <a:defRPr/>
              </a:pPr>
              <a:endParaRPr lang="sl-SI"/>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manualLayout>
          <c:layoutTarget val="inner"/>
          <c:xMode val="edge"/>
          <c:yMode val="edge"/>
          <c:x val="4.1149836350137504E-2"/>
          <c:y val="0.14845882726197687"/>
          <c:w val="0.78372857238998972"/>
          <c:h val="0.7201677482622364"/>
        </c:manualLayout>
      </c:layout>
      <c:barChart>
        <c:barDir val="col"/>
        <c:grouping val="stacked"/>
        <c:varyColors val="0"/>
        <c:ser>
          <c:idx val="0"/>
          <c:order val="0"/>
          <c:tx>
            <c:strRef>
              <c:f>'Slika 2-3'!$B$3:$B$4</c:f>
              <c:strCache>
                <c:ptCount val="1"/>
                <c:pt idx="0">
                  <c:v>sekundarno</c:v>
                </c:pt>
              </c:strCache>
            </c:strRef>
          </c:tx>
          <c:invertIfNegative val="0"/>
          <c:dLbls>
            <c:spPr>
              <a:noFill/>
              <a:ln>
                <a:noFill/>
              </a:ln>
              <a:effectLst/>
            </c:spPr>
            <c:txPr>
              <a:bodyPr/>
              <a:lstStyle/>
              <a:p>
                <a:pPr>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'Slika 2-3'!$A$5:$A$11</c:f>
              <c:strCache>
                <c:ptCount val="6"/>
                <c:pt idx="0">
                  <c:v>Drava</c:v>
                </c:pt>
                <c:pt idx="1">
                  <c:v>Mura</c:v>
                </c:pt>
                <c:pt idx="2">
                  <c:v>Savinja</c:v>
                </c:pt>
                <c:pt idx="3">
                  <c:v>Spodnja Sava</c:v>
                </c:pt>
                <c:pt idx="4">
                  <c:v>Srednja Sava</c:v>
                </c:pt>
                <c:pt idx="5">
                  <c:v>Zgornja Sava</c:v>
                </c:pt>
              </c:strCache>
            </c:strRef>
          </c:cat>
          <c:val>
            <c:numRef>
              <c:f>'Slika 2-3'!$B$5:$B$11</c:f>
              <c:numCache>
                <c:formatCode>General</c:formatCode>
                <c:ptCount val="6"/>
                <c:pt idx="0">
                  <c:v>84</c:v>
                </c:pt>
                <c:pt idx="1">
                  <c:v>48</c:v>
                </c:pt>
                <c:pt idx="2">
                  <c:v>29</c:v>
                </c:pt>
                <c:pt idx="3">
                  <c:v>80</c:v>
                </c:pt>
                <c:pt idx="4">
                  <c:v>73</c:v>
                </c:pt>
                <c:pt idx="5">
                  <c:v>35</c:v>
                </c:pt>
              </c:numCache>
            </c:numRef>
          </c:val>
          <c:extLst xmlns:c16r2="http://schemas.microsoft.com/office/drawing/2015/06/chart">
            <c:ext xmlns:c16="http://schemas.microsoft.com/office/drawing/2014/chart" uri="{C3380CC4-5D6E-409C-BE32-E72D297353CC}">
              <c16:uniqueId val="{00000000-94EF-444D-AF72-68CFAFF70FD5}"/>
            </c:ext>
          </c:extLst>
        </c:ser>
        <c:ser>
          <c:idx val="1"/>
          <c:order val="1"/>
          <c:tx>
            <c:strRef>
              <c:f>'Slika 2-3'!$C$3:$C$4</c:f>
              <c:strCache>
                <c:ptCount val="1"/>
                <c:pt idx="0">
                  <c:v>terciarno</c:v>
                </c:pt>
              </c:strCache>
            </c:strRef>
          </c:tx>
          <c:invertIfNegative val="0"/>
          <c:dLbls>
            <c:spPr>
              <a:noFill/>
              <a:ln>
                <a:noFill/>
              </a:ln>
              <a:effectLst/>
            </c:spPr>
            <c:txPr>
              <a:bodyPr/>
              <a:lstStyle/>
              <a:p>
                <a:pPr>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'Slika 2-3'!$A$5:$A$11</c:f>
              <c:strCache>
                <c:ptCount val="6"/>
                <c:pt idx="0">
                  <c:v>Drava</c:v>
                </c:pt>
                <c:pt idx="1">
                  <c:v>Mura</c:v>
                </c:pt>
                <c:pt idx="2">
                  <c:v>Savinja</c:v>
                </c:pt>
                <c:pt idx="3">
                  <c:v>Spodnja Sava</c:v>
                </c:pt>
                <c:pt idx="4">
                  <c:v>Srednja Sava</c:v>
                </c:pt>
                <c:pt idx="5">
                  <c:v>Zgornja Sava</c:v>
                </c:pt>
              </c:strCache>
            </c:strRef>
          </c:cat>
          <c:val>
            <c:numRef>
              <c:f>'Slika 2-3'!$C$5:$C$11</c:f>
              <c:numCache>
                <c:formatCode>General</c:formatCode>
                <c:ptCount val="6"/>
                <c:pt idx="0">
                  <c:v>12</c:v>
                </c:pt>
                <c:pt idx="1">
                  <c:v>5</c:v>
                </c:pt>
                <c:pt idx="2">
                  <c:v>7</c:v>
                </c:pt>
                <c:pt idx="3">
                  <c:v>19</c:v>
                </c:pt>
                <c:pt idx="4">
                  <c:v>15</c:v>
                </c:pt>
                <c:pt idx="5">
                  <c:v>9</c:v>
                </c:pt>
              </c:numCache>
            </c:numRef>
          </c:val>
          <c:extLst xmlns:c16r2="http://schemas.microsoft.com/office/drawing/2015/06/chart">
            <c:ext xmlns:c16="http://schemas.microsoft.com/office/drawing/2014/chart" uri="{C3380CC4-5D6E-409C-BE32-E72D297353CC}">
              <c16:uniqueId val="{00000001-94EF-444D-AF72-68CFAFF70FD5}"/>
            </c:ext>
          </c:extLst>
        </c:ser>
        <c:dLbls>
          <c:showLegendKey val="0"/>
          <c:showVal val="0"/>
          <c:showCatName val="0"/>
          <c:showSerName val="0"/>
          <c:showPercent val="0"/>
          <c:showBubbleSize val="0"/>
        </c:dLbls>
        <c:gapWidth val="150"/>
        <c:overlap val="100"/>
        <c:axId val="205399168"/>
        <c:axId val="205400704"/>
      </c:barChart>
      <c:catAx>
        <c:axId val="205399168"/>
        <c:scaling>
          <c:orientation val="minMax"/>
        </c:scaling>
        <c:delete val="0"/>
        <c:axPos val="b"/>
        <c:numFmt formatCode="General" sourceLinked="0"/>
        <c:majorTickMark val="out"/>
        <c:minorTickMark val="none"/>
        <c:tickLblPos val="nextTo"/>
        <c:crossAx val="205400704"/>
        <c:crosses val="autoZero"/>
        <c:auto val="1"/>
        <c:lblAlgn val="ctr"/>
        <c:lblOffset val="100"/>
        <c:noMultiLvlLbl val="0"/>
      </c:catAx>
      <c:valAx>
        <c:axId val="205400704"/>
        <c:scaling>
          <c:orientation val="minMax"/>
        </c:scaling>
        <c:delete val="0"/>
        <c:axPos val="l"/>
        <c:majorGridlines/>
        <c:numFmt formatCode="General" sourceLinked="1"/>
        <c:majorTickMark val="out"/>
        <c:minorTickMark val="none"/>
        <c:tickLblPos val="nextTo"/>
        <c:crossAx val="205399168"/>
        <c:crosses val="autoZero"/>
        <c:crossBetween val="between"/>
      </c:valAx>
      <c:spPr>
        <a:ln>
          <a:solidFill>
            <a:schemeClr val="bg1">
              <a:lumMod val="75000"/>
            </a:schemeClr>
          </a:solidFill>
        </a:ln>
      </c:spPr>
    </c:plotArea>
    <c:legend>
      <c:legendPos val="r"/>
      <c:layout>
        <c:manualLayout>
          <c:xMode val="edge"/>
          <c:yMode val="edge"/>
          <c:x val="0.85811747890488033"/>
          <c:y val="0.42853335640737217"/>
          <c:w val="0.13954739413958023"/>
          <c:h val="0.21308773903262093"/>
        </c:manualLayout>
      </c:layout>
      <c:overlay val="0"/>
    </c:legend>
    <c:plotVisOnly val="1"/>
    <c:dispBlanksAs val="gap"/>
    <c:showDLblsOverMax val="0"/>
  </c:chart>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l-SI" sz="1200"/>
              <a:t>Delež</a:t>
            </a:r>
            <a:r>
              <a:rPr lang="sl-SI" sz="1200" baseline="0"/>
              <a:t> rabe zemljišč %</a:t>
            </a:r>
            <a:endParaRPr lang="sl-SI" sz="1200"/>
          </a:p>
        </c:rich>
      </c:tx>
      <c:overlay val="0"/>
    </c:title>
    <c:autoTitleDeleted val="0"/>
    <c:plotArea>
      <c:layout/>
      <c:barChart>
        <c:barDir val="col"/>
        <c:grouping val="percentStacked"/>
        <c:varyColors val="0"/>
        <c:ser>
          <c:idx val="0"/>
          <c:order val="0"/>
          <c:tx>
            <c:strRef>
              <c:f>analiza_pokrovnost!$I$2</c:f>
              <c:strCache>
                <c:ptCount val="1"/>
                <c:pt idx="0">
                  <c:v>Umetne površine</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analiza_pokrovnost!$B$3:$B$8</c:f>
              <c:strCache>
                <c:ptCount val="6"/>
                <c:pt idx="0">
                  <c:v>Drava</c:v>
                </c:pt>
                <c:pt idx="1">
                  <c:v>Mura</c:v>
                </c:pt>
                <c:pt idx="2">
                  <c:v>Savinja</c:v>
                </c:pt>
                <c:pt idx="3">
                  <c:v>Spodnja Sava</c:v>
                </c:pt>
                <c:pt idx="4">
                  <c:v>Srednja Sava</c:v>
                </c:pt>
                <c:pt idx="5">
                  <c:v>Zgornja Sava</c:v>
                </c:pt>
              </c:strCache>
            </c:strRef>
          </c:cat>
          <c:val>
            <c:numRef>
              <c:f>analiza_pokrovnost!$I$3:$I$8</c:f>
              <c:numCache>
                <c:formatCode>0%</c:formatCode>
                <c:ptCount val="6"/>
                <c:pt idx="0">
                  <c:v>4.3598147318663953E-2</c:v>
                </c:pt>
                <c:pt idx="1">
                  <c:v>5.0532383859347427E-2</c:v>
                </c:pt>
                <c:pt idx="2">
                  <c:v>3.2140695475424995E-2</c:v>
                </c:pt>
                <c:pt idx="3">
                  <c:v>2.00879989729424E-2</c:v>
                </c:pt>
                <c:pt idx="4">
                  <c:v>5.9685533968943209E-2</c:v>
                </c:pt>
                <c:pt idx="5">
                  <c:v>3.5348406625835299E-2</c:v>
                </c:pt>
              </c:numCache>
            </c:numRef>
          </c:val>
          <c:extLst xmlns:c16r2="http://schemas.microsoft.com/office/drawing/2015/06/chart">
            <c:ext xmlns:c16="http://schemas.microsoft.com/office/drawing/2014/chart" uri="{C3380CC4-5D6E-409C-BE32-E72D297353CC}">
              <c16:uniqueId val="{00000000-E36A-48A0-B875-2A21915B5FD8}"/>
            </c:ext>
          </c:extLst>
        </c:ser>
        <c:ser>
          <c:idx val="1"/>
          <c:order val="1"/>
          <c:tx>
            <c:strRef>
              <c:f>analiza_pokrovnost!$J$2</c:f>
              <c:strCache>
                <c:ptCount val="1"/>
                <c:pt idx="0">
                  <c:v>Naravne površine</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analiza_pokrovnost!$B$3:$B$8</c:f>
              <c:strCache>
                <c:ptCount val="6"/>
                <c:pt idx="0">
                  <c:v>Drava</c:v>
                </c:pt>
                <c:pt idx="1">
                  <c:v>Mura</c:v>
                </c:pt>
                <c:pt idx="2">
                  <c:v>Savinja</c:v>
                </c:pt>
                <c:pt idx="3">
                  <c:v>Spodnja Sava</c:v>
                </c:pt>
                <c:pt idx="4">
                  <c:v>Srednja Sava</c:v>
                </c:pt>
                <c:pt idx="5">
                  <c:v>Zgornja Sava</c:v>
                </c:pt>
              </c:strCache>
            </c:strRef>
          </c:cat>
          <c:val>
            <c:numRef>
              <c:f>analiza_pokrovnost!$J$3:$J$8</c:f>
              <c:numCache>
                <c:formatCode>0%</c:formatCode>
                <c:ptCount val="6"/>
                <c:pt idx="0">
                  <c:v>0.49413129094485664</c:v>
                </c:pt>
                <c:pt idx="1">
                  <c:v>0.29176041810276865</c:v>
                </c:pt>
                <c:pt idx="2">
                  <c:v>0.59365437892480488</c:v>
                </c:pt>
                <c:pt idx="3">
                  <c:v>0.62055433970314033</c:v>
                </c:pt>
                <c:pt idx="4">
                  <c:v>0.65028143409691552</c:v>
                </c:pt>
                <c:pt idx="5">
                  <c:v>0.77746653520835629</c:v>
                </c:pt>
              </c:numCache>
            </c:numRef>
          </c:val>
          <c:extLst xmlns:c16r2="http://schemas.microsoft.com/office/drawing/2015/06/chart">
            <c:ext xmlns:c16="http://schemas.microsoft.com/office/drawing/2014/chart" uri="{C3380CC4-5D6E-409C-BE32-E72D297353CC}">
              <c16:uniqueId val="{00000001-E36A-48A0-B875-2A21915B5FD8}"/>
            </c:ext>
          </c:extLst>
        </c:ser>
        <c:ser>
          <c:idx val="2"/>
          <c:order val="2"/>
          <c:tx>
            <c:strRef>
              <c:f>analiza_pokrovnost!$K$2</c:f>
              <c:strCache>
                <c:ptCount val="1"/>
                <c:pt idx="0">
                  <c:v>Ekstenzivno kmetijstvo</c:v>
                </c:pt>
              </c:strCache>
            </c:strRef>
          </c:tx>
          <c:spPr>
            <a:solidFill>
              <a:schemeClr val="accent3"/>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analiza_pokrovnost!$B$3:$B$8</c:f>
              <c:strCache>
                <c:ptCount val="6"/>
                <c:pt idx="0">
                  <c:v>Drava</c:v>
                </c:pt>
                <c:pt idx="1">
                  <c:v>Mura</c:v>
                </c:pt>
                <c:pt idx="2">
                  <c:v>Savinja</c:v>
                </c:pt>
                <c:pt idx="3">
                  <c:v>Spodnja Sava</c:v>
                </c:pt>
                <c:pt idx="4">
                  <c:v>Srednja Sava</c:v>
                </c:pt>
                <c:pt idx="5">
                  <c:v>Zgornja Sava</c:v>
                </c:pt>
              </c:strCache>
            </c:strRef>
          </c:cat>
          <c:val>
            <c:numRef>
              <c:f>analiza_pokrovnost!$K$3:$K$8</c:f>
              <c:numCache>
                <c:formatCode>0%</c:formatCode>
                <c:ptCount val="6"/>
                <c:pt idx="0">
                  <c:v>0.18767540511797079</c:v>
                </c:pt>
                <c:pt idx="1">
                  <c:v>0.11437081149658734</c:v>
                </c:pt>
                <c:pt idx="2">
                  <c:v>0.18984674260555837</c:v>
                </c:pt>
                <c:pt idx="3">
                  <c:v>0.13742529299443923</c:v>
                </c:pt>
                <c:pt idx="4">
                  <c:v>0.14300862389713292</c:v>
                </c:pt>
                <c:pt idx="5">
                  <c:v>0.11460937880560595</c:v>
                </c:pt>
              </c:numCache>
            </c:numRef>
          </c:val>
          <c:extLst xmlns:c16r2="http://schemas.microsoft.com/office/drawing/2015/06/chart">
            <c:ext xmlns:c16="http://schemas.microsoft.com/office/drawing/2014/chart" uri="{C3380CC4-5D6E-409C-BE32-E72D297353CC}">
              <c16:uniqueId val="{00000002-E36A-48A0-B875-2A21915B5FD8}"/>
            </c:ext>
          </c:extLst>
        </c:ser>
        <c:ser>
          <c:idx val="3"/>
          <c:order val="3"/>
          <c:tx>
            <c:strRef>
              <c:f>analiza_pokrovnost!$L$2</c:f>
              <c:strCache>
                <c:ptCount val="1"/>
                <c:pt idx="0">
                  <c:v>Intenzivno kmetijstvo</c:v>
                </c:pt>
              </c:strCache>
            </c:strRef>
          </c:tx>
          <c:spPr>
            <a:solidFill>
              <a:schemeClr val="accent4"/>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analiza_pokrovnost!$B$3:$B$8</c:f>
              <c:strCache>
                <c:ptCount val="6"/>
                <c:pt idx="0">
                  <c:v>Drava</c:v>
                </c:pt>
                <c:pt idx="1">
                  <c:v>Mura</c:v>
                </c:pt>
                <c:pt idx="2">
                  <c:v>Savinja</c:v>
                </c:pt>
                <c:pt idx="3">
                  <c:v>Spodnja Sava</c:v>
                </c:pt>
                <c:pt idx="4">
                  <c:v>Srednja Sava</c:v>
                </c:pt>
                <c:pt idx="5">
                  <c:v>Zgornja Sava</c:v>
                </c:pt>
              </c:strCache>
            </c:strRef>
          </c:cat>
          <c:val>
            <c:numRef>
              <c:f>analiza_pokrovnost!$L$3:$L$8</c:f>
              <c:numCache>
                <c:formatCode>0%</c:formatCode>
                <c:ptCount val="6"/>
                <c:pt idx="0">
                  <c:v>0.27459515661850858</c:v>
                </c:pt>
                <c:pt idx="1">
                  <c:v>0.54333638654129657</c:v>
                </c:pt>
                <c:pt idx="2">
                  <c:v>0.18435818299421183</c:v>
                </c:pt>
                <c:pt idx="3">
                  <c:v>0.22193236832947819</c:v>
                </c:pt>
                <c:pt idx="4">
                  <c:v>0.14702440803700834</c:v>
                </c:pt>
                <c:pt idx="5">
                  <c:v>7.2575679360202552E-2</c:v>
                </c:pt>
              </c:numCache>
            </c:numRef>
          </c:val>
          <c:extLst xmlns:c16r2="http://schemas.microsoft.com/office/drawing/2015/06/chart">
            <c:ext xmlns:c16="http://schemas.microsoft.com/office/drawing/2014/chart" uri="{C3380CC4-5D6E-409C-BE32-E72D297353CC}">
              <c16:uniqueId val="{00000003-E36A-48A0-B875-2A21915B5FD8}"/>
            </c:ext>
          </c:extLst>
        </c:ser>
        <c:dLbls>
          <c:showLegendKey val="0"/>
          <c:showVal val="0"/>
          <c:showCatName val="0"/>
          <c:showSerName val="0"/>
          <c:showPercent val="0"/>
          <c:showBubbleSize val="0"/>
        </c:dLbls>
        <c:gapWidth val="55"/>
        <c:overlap val="100"/>
        <c:axId val="226766848"/>
        <c:axId val="226768384"/>
      </c:barChart>
      <c:catAx>
        <c:axId val="22676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26768384"/>
        <c:crosses val="autoZero"/>
        <c:auto val="1"/>
        <c:lblAlgn val="ctr"/>
        <c:lblOffset val="100"/>
        <c:noMultiLvlLbl val="0"/>
      </c:catAx>
      <c:valAx>
        <c:axId val="2267683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267668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Graf!$G$6</c:f>
              <c:strCache>
                <c:ptCount val="1"/>
                <c:pt idx="0">
                  <c:v>Točkovni viri industrijske odpadne vode</c:v>
                </c:pt>
              </c:strCache>
            </c:strRef>
          </c:tx>
          <c:spPr>
            <a:solidFill>
              <a:schemeClr val="accent1"/>
            </a:solidFill>
            <a:ln>
              <a:noFill/>
            </a:ln>
            <a:effectLst/>
          </c:spPr>
          <c:invertIfNegative val="0"/>
          <c:cat>
            <c:strRef>
              <c:f>Graf!$F$8:$F$13</c:f>
              <c:strCache>
                <c:ptCount val="6"/>
                <c:pt idx="0">
                  <c:v>Mura</c:v>
                </c:pt>
                <c:pt idx="1">
                  <c:v>Drava</c:v>
                </c:pt>
                <c:pt idx="2">
                  <c:v>Savinja</c:v>
                </c:pt>
                <c:pt idx="3">
                  <c:v>Zgornja Sava</c:v>
                </c:pt>
                <c:pt idx="4">
                  <c:v>Srednja Sava</c:v>
                </c:pt>
                <c:pt idx="5">
                  <c:v>Spodnja Sava</c:v>
                </c:pt>
              </c:strCache>
            </c:strRef>
          </c:cat>
          <c:val>
            <c:numRef>
              <c:f>Graf!$G$8:$G$13</c:f>
              <c:numCache>
                <c:formatCode>0%</c:formatCode>
                <c:ptCount val="6"/>
                <c:pt idx="0">
                  <c:v>0.16603155362316876</c:v>
                </c:pt>
                <c:pt idx="1">
                  <c:v>3.7697344332047591E-2</c:v>
                </c:pt>
                <c:pt idx="2">
                  <c:v>0.29116072294414452</c:v>
                </c:pt>
                <c:pt idx="3">
                  <c:v>0.13551062697575125</c:v>
                </c:pt>
                <c:pt idx="4">
                  <c:v>0.17667324986943089</c:v>
                </c:pt>
                <c:pt idx="5">
                  <c:v>0.91022415472031437</c:v>
                </c:pt>
              </c:numCache>
            </c:numRef>
          </c:val>
          <c:extLst xmlns:c16r2="http://schemas.microsoft.com/office/drawing/2015/06/chart">
            <c:ext xmlns:c16="http://schemas.microsoft.com/office/drawing/2014/chart" uri="{C3380CC4-5D6E-409C-BE32-E72D297353CC}">
              <c16:uniqueId val="{00000000-053D-450C-B3F3-C6F39B174764}"/>
            </c:ext>
          </c:extLst>
        </c:ser>
        <c:ser>
          <c:idx val="1"/>
          <c:order val="1"/>
          <c:tx>
            <c:strRef>
              <c:f>Graf!$H$6</c:f>
              <c:strCache>
                <c:ptCount val="1"/>
                <c:pt idx="0">
                  <c:v>Točkovni viri prečiščene odpadne vode iz KČN</c:v>
                </c:pt>
              </c:strCache>
            </c:strRef>
          </c:tx>
          <c:spPr>
            <a:solidFill>
              <a:schemeClr val="accent2"/>
            </a:solidFill>
            <a:ln>
              <a:noFill/>
            </a:ln>
            <a:effectLst/>
          </c:spPr>
          <c:invertIfNegative val="0"/>
          <c:cat>
            <c:strRef>
              <c:f>Graf!$F$8:$F$13</c:f>
              <c:strCache>
                <c:ptCount val="6"/>
                <c:pt idx="0">
                  <c:v>Mura</c:v>
                </c:pt>
                <c:pt idx="1">
                  <c:v>Drava</c:v>
                </c:pt>
                <c:pt idx="2">
                  <c:v>Savinja</c:v>
                </c:pt>
                <c:pt idx="3">
                  <c:v>Zgornja Sava</c:v>
                </c:pt>
                <c:pt idx="4">
                  <c:v>Srednja Sava</c:v>
                </c:pt>
                <c:pt idx="5">
                  <c:v>Spodnja Sava</c:v>
                </c:pt>
              </c:strCache>
            </c:strRef>
          </c:cat>
          <c:val>
            <c:numRef>
              <c:f>Graf!$H$8:$H$13</c:f>
              <c:numCache>
                <c:formatCode>0%</c:formatCode>
                <c:ptCount val="6"/>
                <c:pt idx="0">
                  <c:v>0.7637231449447649</c:v>
                </c:pt>
                <c:pt idx="1">
                  <c:v>0.64755660849599406</c:v>
                </c:pt>
                <c:pt idx="2">
                  <c:v>0.48130232367384146</c:v>
                </c:pt>
                <c:pt idx="3">
                  <c:v>0.48138074418981608</c:v>
                </c:pt>
                <c:pt idx="4">
                  <c:v>0.65609508120339033</c:v>
                </c:pt>
                <c:pt idx="5">
                  <c:v>5.1448774998068443E-2</c:v>
                </c:pt>
              </c:numCache>
            </c:numRef>
          </c:val>
          <c:extLst xmlns:c16r2="http://schemas.microsoft.com/office/drawing/2015/06/chart">
            <c:ext xmlns:c16="http://schemas.microsoft.com/office/drawing/2014/chart" uri="{C3380CC4-5D6E-409C-BE32-E72D297353CC}">
              <c16:uniqueId val="{00000001-053D-450C-B3F3-C6F39B174764}"/>
            </c:ext>
          </c:extLst>
        </c:ser>
        <c:ser>
          <c:idx val="2"/>
          <c:order val="2"/>
          <c:tx>
            <c:strRef>
              <c:f>Graf!$I$6</c:f>
              <c:strCache>
                <c:ptCount val="1"/>
                <c:pt idx="0">
                  <c:v>Razpršeni viri komunalne odpadne vode, ki nastaja v objektih, ki niso priključeni na javni kanalizacijski sistem</c:v>
                </c:pt>
              </c:strCache>
            </c:strRef>
          </c:tx>
          <c:spPr>
            <a:solidFill>
              <a:schemeClr val="accent3"/>
            </a:solidFill>
            <a:ln>
              <a:noFill/>
            </a:ln>
            <a:effectLst/>
          </c:spPr>
          <c:invertIfNegative val="0"/>
          <c:cat>
            <c:strRef>
              <c:f>Graf!$F$8:$F$13</c:f>
              <c:strCache>
                <c:ptCount val="6"/>
                <c:pt idx="0">
                  <c:v>Mura</c:v>
                </c:pt>
                <c:pt idx="1">
                  <c:v>Drava</c:v>
                </c:pt>
                <c:pt idx="2">
                  <c:v>Savinja</c:v>
                </c:pt>
                <c:pt idx="3">
                  <c:v>Zgornja Sava</c:v>
                </c:pt>
                <c:pt idx="4">
                  <c:v>Srednja Sava</c:v>
                </c:pt>
                <c:pt idx="5">
                  <c:v>Spodnja Sava</c:v>
                </c:pt>
              </c:strCache>
            </c:strRef>
          </c:cat>
          <c:val>
            <c:numRef>
              <c:f>Graf!$I$8:$I$13</c:f>
              <c:numCache>
                <c:formatCode>0%</c:formatCode>
                <c:ptCount val="6"/>
                <c:pt idx="0">
                  <c:v>7.0245301432066379E-2</c:v>
                </c:pt>
                <c:pt idx="1">
                  <c:v>0.31474604717195831</c:v>
                </c:pt>
                <c:pt idx="2">
                  <c:v>0.22753695338201393</c:v>
                </c:pt>
                <c:pt idx="3">
                  <c:v>0.38310862883443264</c:v>
                </c:pt>
                <c:pt idx="4">
                  <c:v>0.16723166892717875</c:v>
                </c:pt>
                <c:pt idx="5">
                  <c:v>3.83270702816172E-2</c:v>
                </c:pt>
              </c:numCache>
            </c:numRef>
          </c:val>
          <c:extLst xmlns:c16r2="http://schemas.microsoft.com/office/drawing/2015/06/chart">
            <c:ext xmlns:c16="http://schemas.microsoft.com/office/drawing/2014/chart" uri="{C3380CC4-5D6E-409C-BE32-E72D297353CC}">
              <c16:uniqueId val="{00000002-053D-450C-B3F3-C6F39B174764}"/>
            </c:ext>
          </c:extLst>
        </c:ser>
        <c:dLbls>
          <c:showLegendKey val="0"/>
          <c:showVal val="0"/>
          <c:showCatName val="0"/>
          <c:showSerName val="0"/>
          <c:showPercent val="0"/>
          <c:showBubbleSize val="0"/>
        </c:dLbls>
        <c:gapWidth val="219"/>
        <c:overlap val="-27"/>
        <c:axId val="226812672"/>
        <c:axId val="226814208"/>
      </c:barChart>
      <c:catAx>
        <c:axId val="22681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26814208"/>
        <c:crosses val="autoZero"/>
        <c:auto val="1"/>
        <c:lblAlgn val="ctr"/>
        <c:lblOffset val="100"/>
        <c:noMultiLvlLbl val="0"/>
      </c:catAx>
      <c:valAx>
        <c:axId val="226814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Delež emisije snovi izražene kot biokemijska potreba po kisiku - BPK5 (%)</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268126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l-SI"/>
              <a:t> </a:t>
            </a:r>
          </a:p>
        </c:rich>
      </c:tx>
      <c:overlay val="0"/>
    </c:title>
    <c:autoTitleDeleted val="0"/>
    <c:plotArea>
      <c:layout>
        <c:manualLayout>
          <c:layoutTarget val="inner"/>
          <c:xMode val="edge"/>
          <c:yMode val="edge"/>
          <c:x val="0.31420369345390758"/>
          <c:y val="0.13453488768449398"/>
          <c:w val="0.43308444514028588"/>
          <c:h val="0.58883092558040495"/>
        </c:manualLayout>
      </c:layout>
      <c:lineChart>
        <c:grouping val="standard"/>
        <c:varyColors val="0"/>
        <c:ser>
          <c:idx val="0"/>
          <c:order val="0"/>
          <c:tx>
            <c:strRef>
              <c:f>'VO D'!$T$13</c:f>
              <c:strCache>
                <c:ptCount val="1"/>
                <c:pt idx="0">
                  <c:v>EO</c:v>
                </c:pt>
              </c:strCache>
            </c:strRef>
          </c:tx>
          <c:cat>
            <c:numRef>
              <c:f>'VO D'!$S$15:$S$23</c:f>
              <c:numCache>
                <c:formatCode>General</c:formatCode>
                <c:ptCount val="8"/>
                <c:pt idx="0">
                  <c:v>2010</c:v>
                </c:pt>
                <c:pt idx="1">
                  <c:v>2011</c:v>
                </c:pt>
                <c:pt idx="2">
                  <c:v>2012</c:v>
                </c:pt>
                <c:pt idx="3">
                  <c:v>2013</c:v>
                </c:pt>
                <c:pt idx="4">
                  <c:v>2014</c:v>
                </c:pt>
                <c:pt idx="5">
                  <c:v>2015</c:v>
                </c:pt>
                <c:pt idx="6">
                  <c:v>2016</c:v>
                </c:pt>
                <c:pt idx="7">
                  <c:v>2017</c:v>
                </c:pt>
              </c:numCache>
            </c:numRef>
          </c:cat>
          <c:val>
            <c:numRef>
              <c:f>'VO D'!$T$14:$T$23</c:f>
              <c:numCache>
                <c:formatCode>#,##0.00</c:formatCode>
                <c:ptCount val="9"/>
                <c:pt idx="0">
                  <c:v>1089134.6200000001</c:v>
                </c:pt>
                <c:pt idx="1">
                  <c:v>1054343.94</c:v>
                </c:pt>
                <c:pt idx="2">
                  <c:v>1032131.06</c:v>
                </c:pt>
                <c:pt idx="3">
                  <c:v>1003385.03</c:v>
                </c:pt>
                <c:pt idx="4">
                  <c:v>962883.82</c:v>
                </c:pt>
                <c:pt idx="5">
                  <c:v>947635.46</c:v>
                </c:pt>
                <c:pt idx="6">
                  <c:v>875825.39</c:v>
                </c:pt>
                <c:pt idx="7">
                  <c:v>828889.08</c:v>
                </c:pt>
                <c:pt idx="8">
                  <c:v>810624.01</c:v>
                </c:pt>
              </c:numCache>
            </c:numRef>
          </c:val>
          <c:smooth val="0"/>
          <c:extLst xmlns:c16r2="http://schemas.microsoft.com/office/drawing/2015/06/chart">
            <c:ext xmlns:c16="http://schemas.microsoft.com/office/drawing/2014/chart" uri="{C3380CC4-5D6E-409C-BE32-E72D297353CC}">
              <c16:uniqueId val="{00000000-0AB5-4990-AF50-B9899EF53317}"/>
            </c:ext>
          </c:extLst>
        </c:ser>
        <c:dLbls>
          <c:showLegendKey val="0"/>
          <c:showVal val="0"/>
          <c:showCatName val="0"/>
          <c:showSerName val="0"/>
          <c:showPercent val="0"/>
          <c:showBubbleSize val="0"/>
        </c:dLbls>
        <c:marker val="1"/>
        <c:smooth val="0"/>
        <c:axId val="235737088"/>
        <c:axId val="235739008"/>
      </c:lineChart>
      <c:lineChart>
        <c:grouping val="standard"/>
        <c:varyColors val="0"/>
        <c:ser>
          <c:idx val="1"/>
          <c:order val="1"/>
          <c:tx>
            <c:strRef>
              <c:f>'VO D'!$U$13</c:f>
              <c:strCache>
                <c:ptCount val="1"/>
                <c:pt idx="0">
                  <c:v>število zavezancev</c:v>
                </c:pt>
              </c:strCache>
            </c:strRef>
          </c:tx>
          <c:cat>
            <c:numRef>
              <c:f>'VO D'!$S$14:$S$23</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'VO D'!$U$14:$U$23</c:f>
              <c:numCache>
                <c:formatCode>General</c:formatCode>
                <c:ptCount val="9"/>
                <c:pt idx="0">
                  <c:v>96</c:v>
                </c:pt>
                <c:pt idx="1">
                  <c:v>96</c:v>
                </c:pt>
                <c:pt idx="2">
                  <c:v>101</c:v>
                </c:pt>
                <c:pt idx="3">
                  <c:v>104</c:v>
                </c:pt>
                <c:pt idx="4">
                  <c:v>105</c:v>
                </c:pt>
                <c:pt idx="5">
                  <c:v>108</c:v>
                </c:pt>
                <c:pt idx="6">
                  <c:v>108</c:v>
                </c:pt>
                <c:pt idx="7">
                  <c:v>109</c:v>
                </c:pt>
                <c:pt idx="8">
                  <c:v>110</c:v>
                </c:pt>
              </c:numCache>
            </c:numRef>
          </c:val>
          <c:smooth val="0"/>
          <c:extLst xmlns:c16r2="http://schemas.microsoft.com/office/drawing/2015/06/chart">
            <c:ext xmlns:c16="http://schemas.microsoft.com/office/drawing/2014/chart" uri="{C3380CC4-5D6E-409C-BE32-E72D297353CC}">
              <c16:uniqueId val="{00000001-0AB5-4990-AF50-B9899EF53317}"/>
            </c:ext>
          </c:extLst>
        </c:ser>
        <c:dLbls>
          <c:showLegendKey val="0"/>
          <c:showVal val="0"/>
          <c:showCatName val="0"/>
          <c:showSerName val="0"/>
          <c:showPercent val="0"/>
          <c:showBubbleSize val="0"/>
        </c:dLbls>
        <c:marker val="1"/>
        <c:smooth val="0"/>
        <c:axId val="235746816"/>
        <c:axId val="235745280"/>
      </c:lineChart>
      <c:catAx>
        <c:axId val="235737088"/>
        <c:scaling>
          <c:orientation val="minMax"/>
        </c:scaling>
        <c:delete val="0"/>
        <c:axPos val="b"/>
        <c:title>
          <c:tx>
            <c:rich>
              <a:bodyPr/>
              <a:lstStyle/>
              <a:p>
                <a:pPr>
                  <a:defRPr/>
                </a:pPr>
                <a:r>
                  <a:rPr lang="sl-SI"/>
                  <a:t>Leto</a:t>
                </a:r>
              </a:p>
            </c:rich>
          </c:tx>
          <c:overlay val="0"/>
        </c:title>
        <c:numFmt formatCode="General" sourceLinked="1"/>
        <c:majorTickMark val="in"/>
        <c:minorTickMark val="in"/>
        <c:tickLblPos val="nextTo"/>
        <c:txPr>
          <a:bodyPr rot="-5400000" vert="horz"/>
          <a:lstStyle/>
          <a:p>
            <a:pPr>
              <a:defRPr/>
            </a:pPr>
            <a:endParaRPr lang="sl-SI"/>
          </a:p>
        </c:txPr>
        <c:crossAx val="235739008"/>
        <c:crosses val="autoZero"/>
        <c:auto val="1"/>
        <c:lblAlgn val="ctr"/>
        <c:lblOffset val="1"/>
        <c:tickLblSkip val="1"/>
        <c:tickMarkSkip val="1"/>
        <c:noMultiLvlLbl val="0"/>
      </c:catAx>
      <c:valAx>
        <c:axId val="235739008"/>
        <c:scaling>
          <c:orientation val="minMax"/>
        </c:scaling>
        <c:delete val="0"/>
        <c:axPos val="l"/>
        <c:majorGridlines/>
        <c:title>
          <c:tx>
            <c:rich>
              <a:bodyPr rot="-5400000" vert="horz"/>
              <a:lstStyle/>
              <a:p>
                <a:pPr algn="ctr" rtl="0">
                  <a:defRPr/>
                </a:pPr>
                <a:r>
                  <a:rPr lang="sl-SI"/>
                  <a:t>Enote obremenitve in število zavezancev za industrijsko odpadno vodo za obdobje 2009 do 2013</a:t>
                </a:r>
              </a:p>
              <a:p>
                <a:pPr algn="ctr" rtl="0">
                  <a:defRPr/>
                </a:pPr>
                <a:endParaRPr lang="sl-SI"/>
              </a:p>
            </c:rich>
          </c:tx>
          <c:layout>
            <c:manualLayout>
              <c:xMode val="edge"/>
              <c:yMode val="edge"/>
              <c:x val="1.9837043361243024E-2"/>
              <c:y val="0.13793468998193409"/>
            </c:manualLayout>
          </c:layout>
          <c:overlay val="0"/>
        </c:title>
        <c:numFmt formatCode="#,##0.00" sourceLinked="1"/>
        <c:majorTickMark val="out"/>
        <c:minorTickMark val="none"/>
        <c:tickLblPos val="nextTo"/>
        <c:spPr>
          <a:ln>
            <a:solidFill>
              <a:schemeClr val="bg1">
                <a:lumMod val="85000"/>
              </a:schemeClr>
            </a:solidFill>
          </a:ln>
        </c:spPr>
        <c:crossAx val="235737088"/>
        <c:crossesAt val="1"/>
        <c:crossBetween val="between"/>
      </c:valAx>
      <c:valAx>
        <c:axId val="235745280"/>
        <c:scaling>
          <c:orientation val="minMax"/>
        </c:scaling>
        <c:delete val="0"/>
        <c:axPos val="r"/>
        <c:numFmt formatCode="@" sourceLinked="0"/>
        <c:majorTickMark val="out"/>
        <c:minorTickMark val="none"/>
        <c:tickLblPos val="nextTo"/>
        <c:crossAx val="235746816"/>
        <c:crosses val="max"/>
        <c:crossBetween val="between"/>
      </c:valAx>
      <c:catAx>
        <c:axId val="235746816"/>
        <c:scaling>
          <c:orientation val="minMax"/>
        </c:scaling>
        <c:delete val="1"/>
        <c:axPos val="b"/>
        <c:numFmt formatCode="General" sourceLinked="1"/>
        <c:majorTickMark val="out"/>
        <c:minorTickMark val="none"/>
        <c:tickLblPos val="nextTo"/>
        <c:crossAx val="235745280"/>
        <c:crosses val="autoZero"/>
        <c:auto val="1"/>
        <c:lblAlgn val="ctr"/>
        <c:lblOffset val="100"/>
        <c:noMultiLvlLbl val="0"/>
      </c:catAx>
      <c:spPr>
        <a:solidFill>
          <a:schemeClr val="bg1">
            <a:lumMod val="85000"/>
          </a:schemeClr>
        </a:solidFill>
      </c:spPr>
    </c:plotArea>
    <c:legend>
      <c:legendPos val="b"/>
      <c:layout>
        <c:manualLayout>
          <c:xMode val="edge"/>
          <c:yMode val="edge"/>
          <c:x val="0.18707499470045252"/>
          <c:y val="0.89706841194168463"/>
          <c:w val="0.52249410849210343"/>
          <c:h val="8.0014928910237676E-2"/>
        </c:manualLayout>
      </c:layout>
      <c:overlay val="0"/>
    </c:legend>
    <c:plotVisOnly val="1"/>
    <c:dispBlanksAs val="gap"/>
    <c:showDLblsOverMax val="0"/>
  </c:chart>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sl-SI"/>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l-SI"/>
              <a:t> </a:t>
            </a:r>
          </a:p>
        </c:rich>
      </c:tx>
      <c:overlay val="0"/>
    </c:title>
    <c:autoTitleDeleted val="0"/>
    <c:plotArea>
      <c:layout>
        <c:manualLayout>
          <c:layoutTarget val="inner"/>
          <c:xMode val="edge"/>
          <c:yMode val="edge"/>
          <c:x val="0.31420369345390758"/>
          <c:y val="0.13453488768449398"/>
          <c:w val="0.43308444514028588"/>
          <c:h val="0.58883092558040495"/>
        </c:manualLayout>
      </c:layout>
      <c:lineChart>
        <c:grouping val="standard"/>
        <c:varyColors val="0"/>
        <c:ser>
          <c:idx val="0"/>
          <c:order val="0"/>
          <c:tx>
            <c:strRef>
              <c:f>'VO D'!$T$13</c:f>
              <c:strCache>
                <c:ptCount val="1"/>
                <c:pt idx="0">
                  <c:v>EO</c:v>
                </c:pt>
              </c:strCache>
            </c:strRef>
          </c:tx>
          <c:cat>
            <c:numRef>
              <c:f>'VO D'!$S$15:$S$23</c:f>
              <c:numCache>
                <c:formatCode>General</c:formatCode>
                <c:ptCount val="8"/>
                <c:pt idx="0">
                  <c:v>2010</c:v>
                </c:pt>
                <c:pt idx="1">
                  <c:v>2011</c:v>
                </c:pt>
                <c:pt idx="2">
                  <c:v>2012</c:v>
                </c:pt>
                <c:pt idx="3">
                  <c:v>2013</c:v>
                </c:pt>
                <c:pt idx="4">
                  <c:v>2014</c:v>
                </c:pt>
                <c:pt idx="5">
                  <c:v>2015</c:v>
                </c:pt>
                <c:pt idx="6">
                  <c:v>2016</c:v>
                </c:pt>
                <c:pt idx="7">
                  <c:v>2017</c:v>
                </c:pt>
              </c:numCache>
            </c:numRef>
          </c:cat>
          <c:val>
            <c:numRef>
              <c:f>'VO D'!$T$15:$T$23</c:f>
              <c:numCache>
                <c:formatCode>#,##0.00</c:formatCode>
                <c:ptCount val="8"/>
                <c:pt idx="0">
                  <c:v>1054343.94</c:v>
                </c:pt>
                <c:pt idx="1">
                  <c:v>1032131.06</c:v>
                </c:pt>
                <c:pt idx="2">
                  <c:v>1003385.03</c:v>
                </c:pt>
                <c:pt idx="3">
                  <c:v>962883.82</c:v>
                </c:pt>
                <c:pt idx="4">
                  <c:v>947635.46</c:v>
                </c:pt>
                <c:pt idx="5">
                  <c:v>875825.39</c:v>
                </c:pt>
                <c:pt idx="6">
                  <c:v>828889.08</c:v>
                </c:pt>
                <c:pt idx="7">
                  <c:v>810624.01</c:v>
                </c:pt>
              </c:numCache>
            </c:numRef>
          </c:val>
          <c:smooth val="0"/>
          <c:extLst xmlns:c16r2="http://schemas.microsoft.com/office/drawing/2015/06/chart">
            <c:ext xmlns:c16="http://schemas.microsoft.com/office/drawing/2014/chart" uri="{C3380CC4-5D6E-409C-BE32-E72D297353CC}">
              <c16:uniqueId val="{00000000-8357-4DF3-9F47-433919C942FA}"/>
            </c:ext>
          </c:extLst>
        </c:ser>
        <c:dLbls>
          <c:showLegendKey val="0"/>
          <c:showVal val="0"/>
          <c:showCatName val="0"/>
          <c:showSerName val="0"/>
          <c:showPercent val="0"/>
          <c:showBubbleSize val="0"/>
        </c:dLbls>
        <c:marker val="1"/>
        <c:smooth val="0"/>
        <c:axId val="261481984"/>
        <c:axId val="261483904"/>
      </c:lineChart>
      <c:lineChart>
        <c:grouping val="standard"/>
        <c:varyColors val="0"/>
        <c:ser>
          <c:idx val="1"/>
          <c:order val="1"/>
          <c:tx>
            <c:strRef>
              <c:f>'VO D'!$U$13</c:f>
              <c:strCache>
                <c:ptCount val="1"/>
                <c:pt idx="0">
                  <c:v>število zavezancev</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'VO D'!$S$15:$S$23</c:f>
              <c:numCache>
                <c:formatCode>General</c:formatCode>
                <c:ptCount val="8"/>
                <c:pt idx="0">
                  <c:v>2010</c:v>
                </c:pt>
                <c:pt idx="1">
                  <c:v>2011</c:v>
                </c:pt>
                <c:pt idx="2">
                  <c:v>2012</c:v>
                </c:pt>
                <c:pt idx="3">
                  <c:v>2013</c:v>
                </c:pt>
                <c:pt idx="4">
                  <c:v>2014</c:v>
                </c:pt>
                <c:pt idx="5">
                  <c:v>2015</c:v>
                </c:pt>
                <c:pt idx="6">
                  <c:v>2016</c:v>
                </c:pt>
                <c:pt idx="7">
                  <c:v>2017</c:v>
                </c:pt>
              </c:numCache>
            </c:numRef>
          </c:cat>
          <c:val>
            <c:numRef>
              <c:f>'VO D'!$U$15:$U$23</c:f>
              <c:numCache>
                <c:formatCode>General</c:formatCode>
                <c:ptCount val="8"/>
                <c:pt idx="0">
                  <c:v>96</c:v>
                </c:pt>
                <c:pt idx="1">
                  <c:v>101</c:v>
                </c:pt>
                <c:pt idx="2">
                  <c:v>104</c:v>
                </c:pt>
                <c:pt idx="3">
                  <c:v>105</c:v>
                </c:pt>
                <c:pt idx="4">
                  <c:v>108</c:v>
                </c:pt>
                <c:pt idx="5">
                  <c:v>108</c:v>
                </c:pt>
                <c:pt idx="6">
                  <c:v>109</c:v>
                </c:pt>
                <c:pt idx="7">
                  <c:v>110</c:v>
                </c:pt>
              </c:numCache>
            </c:numRef>
          </c:val>
          <c:smooth val="0"/>
          <c:extLst xmlns:c16r2="http://schemas.microsoft.com/office/drawing/2015/06/chart">
            <c:ext xmlns:c16="http://schemas.microsoft.com/office/drawing/2014/chart" uri="{C3380CC4-5D6E-409C-BE32-E72D297353CC}">
              <c16:uniqueId val="{00000001-8357-4DF3-9F47-433919C942FA}"/>
            </c:ext>
          </c:extLst>
        </c:ser>
        <c:dLbls>
          <c:showLegendKey val="0"/>
          <c:showVal val="0"/>
          <c:showCatName val="0"/>
          <c:showSerName val="0"/>
          <c:showPercent val="0"/>
          <c:showBubbleSize val="0"/>
        </c:dLbls>
        <c:marker val="1"/>
        <c:smooth val="0"/>
        <c:axId val="261487616"/>
        <c:axId val="261486080"/>
      </c:lineChart>
      <c:catAx>
        <c:axId val="261481984"/>
        <c:scaling>
          <c:orientation val="minMax"/>
        </c:scaling>
        <c:delete val="0"/>
        <c:axPos val="b"/>
        <c:title>
          <c:tx>
            <c:rich>
              <a:bodyPr/>
              <a:lstStyle/>
              <a:p>
                <a:pPr>
                  <a:defRPr/>
                </a:pPr>
                <a:r>
                  <a:rPr lang="sl-SI"/>
                  <a:t>Leto</a:t>
                </a:r>
              </a:p>
            </c:rich>
          </c:tx>
          <c:overlay val="0"/>
        </c:title>
        <c:numFmt formatCode="General" sourceLinked="1"/>
        <c:majorTickMark val="in"/>
        <c:minorTickMark val="in"/>
        <c:tickLblPos val="nextTo"/>
        <c:txPr>
          <a:bodyPr rot="-5400000" vert="horz"/>
          <a:lstStyle/>
          <a:p>
            <a:pPr>
              <a:defRPr/>
            </a:pPr>
            <a:endParaRPr lang="sl-SI"/>
          </a:p>
        </c:txPr>
        <c:crossAx val="261483904"/>
        <c:crosses val="autoZero"/>
        <c:auto val="1"/>
        <c:lblAlgn val="ctr"/>
        <c:lblOffset val="1"/>
        <c:tickLblSkip val="1"/>
        <c:tickMarkSkip val="1"/>
        <c:noMultiLvlLbl val="0"/>
      </c:catAx>
      <c:valAx>
        <c:axId val="261483904"/>
        <c:scaling>
          <c:orientation val="minMax"/>
        </c:scaling>
        <c:delete val="0"/>
        <c:axPos val="l"/>
        <c:majorGridlines/>
        <c:title>
          <c:tx>
            <c:rich>
              <a:bodyPr rot="-5400000" vert="horz"/>
              <a:lstStyle/>
              <a:p>
                <a:pPr algn="ctr" rtl="0">
                  <a:defRPr/>
                </a:pPr>
                <a:r>
                  <a:rPr lang="sl-SI"/>
                  <a:t>Enote obremenitve in število zavezancev za industrijsko odpadno vodo za obdobje 2009 do 2013</a:t>
                </a:r>
              </a:p>
              <a:p>
                <a:pPr algn="ctr" rtl="0">
                  <a:defRPr/>
                </a:pPr>
                <a:endParaRPr lang="sl-SI"/>
              </a:p>
            </c:rich>
          </c:tx>
          <c:layout>
            <c:manualLayout>
              <c:xMode val="edge"/>
              <c:yMode val="edge"/>
              <c:x val="1.9837043361243024E-2"/>
              <c:y val="0.13793468998193409"/>
            </c:manualLayout>
          </c:layout>
          <c:overlay val="0"/>
        </c:title>
        <c:numFmt formatCode="#,##0.00" sourceLinked="1"/>
        <c:majorTickMark val="out"/>
        <c:minorTickMark val="none"/>
        <c:tickLblPos val="nextTo"/>
        <c:crossAx val="261481984"/>
        <c:crossesAt val="1"/>
        <c:crossBetween val="between"/>
      </c:valAx>
      <c:valAx>
        <c:axId val="261486080"/>
        <c:scaling>
          <c:orientation val="minMax"/>
        </c:scaling>
        <c:delete val="0"/>
        <c:axPos val="r"/>
        <c:numFmt formatCode="@" sourceLinked="0"/>
        <c:majorTickMark val="out"/>
        <c:minorTickMark val="none"/>
        <c:tickLblPos val="nextTo"/>
        <c:crossAx val="261487616"/>
        <c:crosses val="max"/>
        <c:crossBetween val="between"/>
      </c:valAx>
      <c:catAx>
        <c:axId val="261487616"/>
        <c:scaling>
          <c:orientation val="minMax"/>
        </c:scaling>
        <c:delete val="1"/>
        <c:axPos val="b"/>
        <c:numFmt formatCode="General" sourceLinked="1"/>
        <c:majorTickMark val="out"/>
        <c:minorTickMark val="none"/>
        <c:tickLblPos val="nextTo"/>
        <c:crossAx val="261486080"/>
        <c:crosses val="autoZero"/>
        <c:auto val="1"/>
        <c:lblAlgn val="ctr"/>
        <c:lblOffset val="100"/>
        <c:noMultiLvlLbl val="0"/>
      </c:catAx>
    </c:plotArea>
    <c:legend>
      <c:legendPos val="b"/>
      <c:layout>
        <c:manualLayout>
          <c:xMode val="edge"/>
          <c:yMode val="edge"/>
          <c:x val="0.18707499470045252"/>
          <c:y val="0.89706841194168463"/>
          <c:w val="0.52249410849210343"/>
          <c:h val="8.0014928910237676E-2"/>
        </c:manualLayout>
      </c:layout>
      <c:overlay val="0"/>
    </c:legend>
    <c:plotVisOnly val="1"/>
    <c:dispBlanksAs val="gap"/>
    <c:showDLblsOverMax val="0"/>
  </c:chart>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sl-SI"/>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R</a:t>
            </a:r>
            <a:r>
              <a:rPr lang="en-US"/>
              <a:t>azvrstitev kopanih voda po kakovosti</a:t>
            </a:r>
          </a:p>
        </c:rich>
      </c:tx>
      <c:overlay val="0"/>
      <c:spPr>
        <a:noFill/>
        <a:ln>
          <a:noFill/>
        </a:ln>
        <a:effectLst/>
      </c:spPr>
    </c:title>
    <c:autoTitleDeleted val="0"/>
    <c:plotArea>
      <c:layout/>
      <c:barChart>
        <c:barDir val="col"/>
        <c:grouping val="clustered"/>
        <c:varyColors val="0"/>
        <c:ser>
          <c:idx val="0"/>
          <c:order val="0"/>
          <c:tx>
            <c:strRef>
              <c:f>List1!$J$4</c:f>
              <c:strCache>
                <c:ptCount val="1"/>
                <c:pt idx="0">
                  <c:v>odlična </c:v>
                </c:pt>
              </c:strCache>
            </c:strRef>
          </c:tx>
          <c:spPr>
            <a:solidFill>
              <a:schemeClr val="accent1">
                <a:lumMod val="75000"/>
              </a:schemeClr>
            </a:solidFill>
            <a:ln w="19050">
              <a:solidFill>
                <a:schemeClr val="lt1"/>
              </a:solidFill>
            </a:ln>
            <a:effectLst/>
          </c:spPr>
          <c:invertIfNegative val="0"/>
          <c:cat>
            <c:numRef>
              <c:f>List1!$K$3:$M$3</c:f>
              <c:numCache>
                <c:formatCode>General</c:formatCode>
                <c:ptCount val="3"/>
                <c:pt idx="0">
                  <c:v>2018</c:v>
                </c:pt>
                <c:pt idx="1">
                  <c:v>2019</c:v>
                </c:pt>
                <c:pt idx="2">
                  <c:v>2020</c:v>
                </c:pt>
              </c:numCache>
            </c:numRef>
          </c:cat>
          <c:val>
            <c:numRef>
              <c:f>List1!$K$4:$M$4</c:f>
              <c:numCache>
                <c:formatCode>General</c:formatCode>
                <c:ptCount val="3"/>
                <c:pt idx="0">
                  <c:v>16</c:v>
                </c:pt>
                <c:pt idx="1">
                  <c:v>13</c:v>
                </c:pt>
                <c:pt idx="2">
                  <c:v>14</c:v>
                </c:pt>
              </c:numCache>
            </c:numRef>
          </c:val>
          <c:extLst xmlns:c16r2="http://schemas.microsoft.com/office/drawing/2015/06/chart">
            <c:ext xmlns:c16="http://schemas.microsoft.com/office/drawing/2014/chart" uri="{C3380CC4-5D6E-409C-BE32-E72D297353CC}">
              <c16:uniqueId val="{00000000-C0F4-4312-8378-D7A22F84DE18}"/>
            </c:ext>
          </c:extLst>
        </c:ser>
        <c:ser>
          <c:idx val="1"/>
          <c:order val="1"/>
          <c:tx>
            <c:strRef>
              <c:f>List1!$J$5</c:f>
              <c:strCache>
                <c:ptCount val="1"/>
                <c:pt idx="0">
                  <c:v>dobra</c:v>
                </c:pt>
              </c:strCache>
            </c:strRef>
          </c:tx>
          <c:spPr>
            <a:solidFill>
              <a:srgbClr val="00B0F0"/>
            </a:solidFill>
            <a:ln w="19050">
              <a:solidFill>
                <a:schemeClr val="lt1"/>
              </a:solidFill>
            </a:ln>
            <a:effectLst/>
          </c:spPr>
          <c:invertIfNegative val="0"/>
          <c:cat>
            <c:numRef>
              <c:f>List1!$K$3:$M$3</c:f>
              <c:numCache>
                <c:formatCode>General</c:formatCode>
                <c:ptCount val="3"/>
                <c:pt idx="0">
                  <c:v>2018</c:v>
                </c:pt>
                <c:pt idx="1">
                  <c:v>2019</c:v>
                </c:pt>
                <c:pt idx="2">
                  <c:v>2020</c:v>
                </c:pt>
              </c:numCache>
            </c:numRef>
          </c:cat>
          <c:val>
            <c:numRef>
              <c:f>List1!$K$5:$M$5</c:f>
              <c:numCache>
                <c:formatCode>General</c:formatCode>
                <c:ptCount val="3"/>
                <c:pt idx="0">
                  <c:v>3</c:v>
                </c:pt>
                <c:pt idx="1">
                  <c:v>4</c:v>
                </c:pt>
                <c:pt idx="2">
                  <c:v>3</c:v>
                </c:pt>
              </c:numCache>
            </c:numRef>
          </c:val>
          <c:extLst xmlns:c16r2="http://schemas.microsoft.com/office/drawing/2015/06/chart">
            <c:ext xmlns:c16="http://schemas.microsoft.com/office/drawing/2014/chart" uri="{C3380CC4-5D6E-409C-BE32-E72D297353CC}">
              <c16:uniqueId val="{00000001-C0F4-4312-8378-D7A22F84DE18}"/>
            </c:ext>
          </c:extLst>
        </c:ser>
        <c:ser>
          <c:idx val="2"/>
          <c:order val="2"/>
          <c:tx>
            <c:strRef>
              <c:f>List1!$J$6</c:f>
              <c:strCache>
                <c:ptCount val="1"/>
                <c:pt idx="0">
                  <c:v>zadostna</c:v>
                </c:pt>
              </c:strCache>
            </c:strRef>
          </c:tx>
          <c:spPr>
            <a:solidFill>
              <a:srgbClr val="00B050"/>
            </a:solidFill>
            <a:ln w="19050">
              <a:solidFill>
                <a:schemeClr val="lt1"/>
              </a:solidFill>
            </a:ln>
            <a:effectLst/>
          </c:spPr>
          <c:invertIfNegative val="0"/>
          <c:cat>
            <c:numRef>
              <c:f>List1!$K$3:$M$3</c:f>
              <c:numCache>
                <c:formatCode>General</c:formatCode>
                <c:ptCount val="3"/>
                <c:pt idx="0">
                  <c:v>2018</c:v>
                </c:pt>
                <c:pt idx="1">
                  <c:v>2019</c:v>
                </c:pt>
                <c:pt idx="2">
                  <c:v>2020</c:v>
                </c:pt>
              </c:numCache>
            </c:numRef>
          </c:cat>
          <c:val>
            <c:numRef>
              <c:f>List1!$K$6:$M$6</c:f>
              <c:numCache>
                <c:formatCode>General</c:formatCode>
                <c:ptCount val="3"/>
                <c:pt idx="0">
                  <c:v>0</c:v>
                </c:pt>
                <c:pt idx="1">
                  <c:v>2</c:v>
                </c:pt>
                <c:pt idx="2">
                  <c:v>2</c:v>
                </c:pt>
              </c:numCache>
            </c:numRef>
          </c:val>
          <c:extLst xmlns:c16r2="http://schemas.microsoft.com/office/drawing/2015/06/chart">
            <c:ext xmlns:c16="http://schemas.microsoft.com/office/drawing/2014/chart" uri="{C3380CC4-5D6E-409C-BE32-E72D297353CC}">
              <c16:uniqueId val="{00000002-C0F4-4312-8378-D7A22F84DE18}"/>
            </c:ext>
          </c:extLst>
        </c:ser>
        <c:ser>
          <c:idx val="3"/>
          <c:order val="3"/>
          <c:tx>
            <c:strRef>
              <c:f>List1!$J$7</c:f>
              <c:strCache>
                <c:ptCount val="1"/>
                <c:pt idx="0">
                  <c:v>slaba</c:v>
                </c:pt>
              </c:strCache>
            </c:strRef>
          </c:tx>
          <c:spPr>
            <a:solidFill>
              <a:srgbClr val="FF0000"/>
            </a:solidFill>
          </c:spPr>
          <c:invertIfNegative val="0"/>
          <c:cat>
            <c:numRef>
              <c:f>List1!$K$3:$M$3</c:f>
              <c:numCache>
                <c:formatCode>General</c:formatCode>
                <c:ptCount val="3"/>
                <c:pt idx="0">
                  <c:v>2018</c:v>
                </c:pt>
                <c:pt idx="1">
                  <c:v>2019</c:v>
                </c:pt>
                <c:pt idx="2">
                  <c:v>2020</c:v>
                </c:pt>
              </c:numCache>
            </c:numRef>
          </c:cat>
          <c:val>
            <c:numRef>
              <c:f>List1!$K$7:$M$7</c:f>
              <c:numCache>
                <c:formatCode>General</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3-C0F4-4312-8378-D7A22F84DE18}"/>
            </c:ext>
          </c:extLst>
        </c:ser>
        <c:dLbls>
          <c:showLegendKey val="0"/>
          <c:showVal val="0"/>
          <c:showCatName val="0"/>
          <c:showSerName val="0"/>
          <c:showPercent val="0"/>
          <c:showBubbleSize val="0"/>
        </c:dLbls>
        <c:gapWidth val="150"/>
        <c:axId val="261820416"/>
        <c:axId val="261822336"/>
      </c:barChart>
      <c:catAx>
        <c:axId val="261820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leto</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61822336"/>
        <c:crosses val="autoZero"/>
        <c:auto val="1"/>
        <c:lblAlgn val="ctr"/>
        <c:lblOffset val="100"/>
        <c:noMultiLvlLbl val="0"/>
      </c:catAx>
      <c:valAx>
        <c:axId val="261822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število</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61820416"/>
        <c:crosses val="autoZero"/>
        <c:crossBetween val="between"/>
      </c:valAx>
      <c:spPr>
        <a:noFill/>
        <a:ln w="25400">
          <a:noFill/>
        </a:ln>
      </c:spPr>
    </c:plotArea>
    <c:legend>
      <c:legendPos val="b"/>
      <c:overlay val="0"/>
    </c:legend>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lgn="just">
        <a:defRPr/>
      </a:pPr>
      <a:endParaRPr lang="sl-SI"/>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0.82372</cdr:x>
      <cdr:y>0.14173</cdr:y>
    </cdr:from>
    <cdr:to>
      <cdr:x>0.90385</cdr:x>
      <cdr:y>0.75328</cdr:y>
    </cdr:to>
    <cdr:sp macro="" textlink="">
      <cdr:nvSpPr>
        <cdr:cNvPr id="2" name="PoljeZBesedilom 1"/>
        <cdr:cNvSpPr txBox="1"/>
      </cdr:nvSpPr>
      <cdr:spPr>
        <a:xfrm xmlns:a="http://schemas.openxmlformats.org/drawingml/2006/main">
          <a:off x="4450773" y="467591"/>
          <a:ext cx="432955" cy="20175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l-SI" sz="1100"/>
        </a:p>
      </cdr:txBody>
    </cdr:sp>
  </cdr:relSizeAnchor>
  <cdr:relSizeAnchor xmlns:cdr="http://schemas.openxmlformats.org/drawingml/2006/chartDrawing">
    <cdr:from>
      <cdr:x>0.83333</cdr:x>
      <cdr:y>0.22572</cdr:y>
    </cdr:from>
    <cdr:to>
      <cdr:x>0.90385</cdr:x>
      <cdr:y>0.67192</cdr:y>
    </cdr:to>
    <cdr:sp macro="" textlink="">
      <cdr:nvSpPr>
        <cdr:cNvPr id="3" name="PoljeZBesedilom 2"/>
        <cdr:cNvSpPr txBox="1"/>
      </cdr:nvSpPr>
      <cdr:spPr>
        <a:xfrm xmlns:a="http://schemas.openxmlformats.org/drawingml/2006/main">
          <a:off x="4502728" y="744681"/>
          <a:ext cx="381000" cy="1472046"/>
        </a:xfrm>
        <a:prstGeom xmlns:a="http://schemas.openxmlformats.org/drawingml/2006/main" prst="rect">
          <a:avLst/>
        </a:prstGeom>
      </cdr:spPr>
      <cdr:txBody>
        <a:bodyPr xmlns:a="http://schemas.openxmlformats.org/drawingml/2006/main" vertOverflow="clip" vert="vert270" wrap="square" rtlCol="0">
          <a:noAutofit/>
          <a:scene3d>
            <a:camera prst="orthographicFront">
              <a:rot lat="0" lon="0" rev="0"/>
            </a:camera>
            <a:lightRig rig="threePt" dir="t"/>
          </a:scene3d>
        </a:bodyPr>
        <a:lstStyle xmlns:a="http://schemas.openxmlformats.org/drawingml/2006/main"/>
        <a:p xmlns:a="http://schemas.openxmlformats.org/drawingml/2006/main">
          <a:r>
            <a:rPr lang="sl-SI" sz="1200" b="1"/>
            <a:t>Število zavezancev</a:t>
          </a:r>
        </a:p>
      </cdr:txBody>
    </cdr:sp>
  </cdr:relSizeAnchor>
</c:userShapes>
</file>

<file path=word/drawings/drawing2.xml><?xml version="1.0" encoding="utf-8"?>
<c:userShapes xmlns:c="http://schemas.openxmlformats.org/drawingml/2006/chart">
  <cdr:relSizeAnchor xmlns:cdr="http://schemas.openxmlformats.org/drawingml/2006/chartDrawing">
    <cdr:from>
      <cdr:x>0.82372</cdr:x>
      <cdr:y>0.14173</cdr:y>
    </cdr:from>
    <cdr:to>
      <cdr:x>0.90385</cdr:x>
      <cdr:y>0.75328</cdr:y>
    </cdr:to>
    <cdr:sp macro="" textlink="">
      <cdr:nvSpPr>
        <cdr:cNvPr id="2" name="PoljeZBesedilom 1"/>
        <cdr:cNvSpPr txBox="1"/>
      </cdr:nvSpPr>
      <cdr:spPr>
        <a:xfrm xmlns:a="http://schemas.openxmlformats.org/drawingml/2006/main">
          <a:off x="4450773" y="467591"/>
          <a:ext cx="432955" cy="20175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l-SI" sz="1100"/>
        </a:p>
      </cdr:txBody>
    </cdr:sp>
  </cdr:relSizeAnchor>
  <cdr:relSizeAnchor xmlns:cdr="http://schemas.openxmlformats.org/drawingml/2006/chartDrawing">
    <cdr:from>
      <cdr:x>0.83333</cdr:x>
      <cdr:y>0.22572</cdr:y>
    </cdr:from>
    <cdr:to>
      <cdr:x>0.90385</cdr:x>
      <cdr:y>0.67192</cdr:y>
    </cdr:to>
    <cdr:sp macro="" textlink="">
      <cdr:nvSpPr>
        <cdr:cNvPr id="3" name="PoljeZBesedilom 2"/>
        <cdr:cNvSpPr txBox="1"/>
      </cdr:nvSpPr>
      <cdr:spPr>
        <a:xfrm xmlns:a="http://schemas.openxmlformats.org/drawingml/2006/main">
          <a:off x="4502728" y="744681"/>
          <a:ext cx="381000" cy="1472046"/>
        </a:xfrm>
        <a:prstGeom xmlns:a="http://schemas.openxmlformats.org/drawingml/2006/main" prst="rect">
          <a:avLst/>
        </a:prstGeom>
      </cdr:spPr>
      <cdr:txBody>
        <a:bodyPr xmlns:a="http://schemas.openxmlformats.org/drawingml/2006/main" vertOverflow="clip" vert="vert270" wrap="square" rtlCol="0">
          <a:noAutofit/>
          <a:scene3d>
            <a:camera prst="orthographicFront">
              <a:rot lat="0" lon="0" rev="0"/>
            </a:camera>
            <a:lightRig rig="threePt" dir="t"/>
          </a:scene3d>
        </a:bodyPr>
        <a:lstStyle xmlns:a="http://schemas.openxmlformats.org/drawingml/2006/main"/>
        <a:p xmlns:a="http://schemas.openxmlformats.org/drawingml/2006/main">
          <a:r>
            <a:rPr lang="sl-SI" sz="1200" b="1"/>
            <a:t>Število zavezancev</a:t>
          </a:r>
        </a:p>
      </cdr:txBody>
    </cdr:sp>
  </cdr:rel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B68BF-0B38-4688-8F1C-2CD1D8A17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283</Pages>
  <Words>113157</Words>
  <Characters>645001</Characters>
  <Application>Microsoft Office Word</Application>
  <DocSecurity>0</DocSecurity>
  <Lines>5375</Lines>
  <Paragraphs>1513</Paragraphs>
  <ScaleCrop>false</ScaleCrop>
  <HeadingPairs>
    <vt:vector size="2" baseType="variant">
      <vt:variant>
        <vt:lpstr>Naslov</vt:lpstr>
      </vt:variant>
      <vt:variant>
        <vt:i4>1</vt:i4>
      </vt:variant>
    </vt:vector>
  </HeadingPairs>
  <TitlesOfParts>
    <vt:vector size="1" baseType="lpstr">
      <vt:lpstr/>
    </vt:vector>
  </TitlesOfParts>
  <LinksUpToDate>false</LinksUpToDate>
  <CharactersWithSpaces>756645</CharactersWithSpaces>
  <SharedDoc>false</SharedDoc>
  <HLinks>
    <vt:vector size="906" baseType="variant">
      <vt:variant>
        <vt:i4>4456540</vt:i4>
      </vt:variant>
      <vt:variant>
        <vt:i4>2172</vt:i4>
      </vt:variant>
      <vt:variant>
        <vt:i4>0</vt:i4>
      </vt:variant>
      <vt:variant>
        <vt:i4>5</vt:i4>
      </vt:variant>
      <vt:variant>
        <vt:lpwstr>http://vrs-3.vlada.si/MANDAT13/vladnagradiva.nsf/71d4985ffda5de89c12572c3003716c4/a6f1c68c8adc2e23c1257cd00025d160/$FILE/Porocilo.DOC</vt:lpwstr>
      </vt:variant>
      <vt:variant>
        <vt:lpwstr/>
      </vt:variant>
      <vt:variant>
        <vt:i4>8257571</vt:i4>
      </vt:variant>
      <vt:variant>
        <vt:i4>2169</vt:i4>
      </vt:variant>
      <vt:variant>
        <vt:i4>0</vt:i4>
      </vt:variant>
      <vt:variant>
        <vt:i4>5</vt:i4>
      </vt:variant>
      <vt:variant>
        <vt:lpwstr>http://www.stat.si/</vt:lpwstr>
      </vt:variant>
      <vt:variant>
        <vt:lpwstr/>
      </vt:variant>
      <vt:variant>
        <vt:i4>4259847</vt:i4>
      </vt:variant>
      <vt:variant>
        <vt:i4>2166</vt:i4>
      </vt:variant>
      <vt:variant>
        <vt:i4>0</vt:i4>
      </vt:variant>
      <vt:variant>
        <vt:i4>5</vt:i4>
      </vt:variant>
      <vt:variant>
        <vt:lpwstr>http://drugg.fgg.uni-lj.si/3861/</vt:lpwstr>
      </vt:variant>
      <vt:variant>
        <vt:lpwstr/>
      </vt:variant>
      <vt:variant>
        <vt:i4>5242969</vt:i4>
      </vt:variant>
      <vt:variant>
        <vt:i4>2163</vt:i4>
      </vt:variant>
      <vt:variant>
        <vt:i4>0</vt:i4>
      </vt:variant>
      <vt:variant>
        <vt:i4>5</vt:i4>
      </vt:variant>
      <vt:variant>
        <vt:lpwstr>http://www.eea.europa.eu/data-and-maps/figures/water-exploitation-index-wei-3 (pridobljeno 8</vt:lpwstr>
      </vt:variant>
      <vt:variant>
        <vt:lpwstr/>
      </vt:variant>
      <vt:variant>
        <vt:i4>4456533</vt:i4>
      </vt:variant>
      <vt:variant>
        <vt:i4>2160</vt:i4>
      </vt:variant>
      <vt:variant>
        <vt:i4>0</vt:i4>
      </vt:variant>
      <vt:variant>
        <vt:i4>5</vt:i4>
      </vt:variant>
      <vt:variant>
        <vt:lpwstr>http://www.arso.gov.si/vode/vpra%C5%A1anja in odgovori/vpr_vodne_pravice.html</vt:lpwstr>
      </vt:variant>
      <vt:variant>
        <vt:lpwstr/>
      </vt:variant>
      <vt:variant>
        <vt:i4>4849699</vt:i4>
      </vt:variant>
      <vt:variant>
        <vt:i4>2157</vt:i4>
      </vt:variant>
      <vt:variant>
        <vt:i4>0</vt:i4>
      </vt:variant>
      <vt:variant>
        <vt:i4>5</vt:i4>
      </vt:variant>
      <vt:variant>
        <vt:lpwstr>http://zakonodaja.gov.si/rpsi/r05/predpis_ZAKO1945.html</vt:lpwstr>
      </vt:variant>
      <vt:variant>
        <vt:lpwstr/>
      </vt:variant>
      <vt:variant>
        <vt:i4>4390950</vt:i4>
      </vt:variant>
      <vt:variant>
        <vt:i4>2154</vt:i4>
      </vt:variant>
      <vt:variant>
        <vt:i4>0</vt:i4>
      </vt:variant>
      <vt:variant>
        <vt:i4>5</vt:i4>
      </vt:variant>
      <vt:variant>
        <vt:lpwstr>http://zakonodaja.gov.si/rpsi/r05/predpis_ZAKO1015.html</vt:lpwstr>
      </vt:variant>
      <vt:variant>
        <vt:lpwstr/>
      </vt:variant>
      <vt:variant>
        <vt:i4>262148</vt:i4>
      </vt:variant>
      <vt:variant>
        <vt:i4>2151</vt:i4>
      </vt:variant>
      <vt:variant>
        <vt:i4>0</vt:i4>
      </vt:variant>
      <vt:variant>
        <vt:i4>5</vt:i4>
      </vt:variant>
      <vt:variant>
        <vt:lpwstr>http://www.arso.gov.si/vode/poro%C4%8Dila in publikacije/Program 2010 - 2015.pdf</vt:lpwstr>
      </vt:variant>
      <vt:variant>
        <vt:lpwstr/>
      </vt:variant>
      <vt:variant>
        <vt:i4>3604549</vt:i4>
      </vt:variant>
      <vt:variant>
        <vt:i4>2148</vt:i4>
      </vt:variant>
      <vt:variant>
        <vt:i4>0</vt:i4>
      </vt:variant>
      <vt:variant>
        <vt:i4>5</vt:i4>
      </vt:variant>
      <vt:variant>
        <vt:lpwstr>http://www.mgrt.gov.si/fileadmin/mgrt.gov.si/pageuploads/razpisi/JN/DT/TSA_-_POVZETEK_STUDIJE.pdf</vt:lpwstr>
      </vt:variant>
      <vt:variant>
        <vt:lpwstr/>
      </vt:variant>
      <vt:variant>
        <vt:i4>5898242</vt:i4>
      </vt:variant>
      <vt:variant>
        <vt:i4>2145</vt:i4>
      </vt:variant>
      <vt:variant>
        <vt:i4>0</vt:i4>
      </vt:variant>
      <vt:variant>
        <vt:i4>5</vt:i4>
      </vt:variant>
      <vt:variant>
        <vt:lpwstr>http://www.zzv-mb.si/images/monitoring-pitnih-vod/2012-monitoring-letno-porocilo.pdf</vt:lpwstr>
      </vt:variant>
      <vt:variant>
        <vt:lpwstr/>
      </vt:variant>
      <vt:variant>
        <vt:i4>34</vt:i4>
      </vt:variant>
      <vt:variant>
        <vt:i4>2142</vt:i4>
      </vt:variant>
      <vt:variant>
        <vt:i4>0</vt:i4>
      </vt:variant>
      <vt:variant>
        <vt:i4>5</vt:i4>
      </vt:variant>
      <vt:variant>
        <vt:lpwstr>http://www.wttc.org/site_media/uploads/downloads/slovenia2012.pdf</vt:lpwstr>
      </vt:variant>
      <vt:variant>
        <vt:lpwstr/>
      </vt:variant>
      <vt:variant>
        <vt:i4>2359335</vt:i4>
      </vt:variant>
      <vt:variant>
        <vt:i4>2139</vt:i4>
      </vt:variant>
      <vt:variant>
        <vt:i4>0</vt:i4>
      </vt:variant>
      <vt:variant>
        <vt:i4>5</vt:i4>
      </vt:variant>
      <vt:variant>
        <vt:lpwstr>http://www.mgrt.gov.si/fileadmin/mgrt.gov.si/pageuploads/turizem/Turizem-strategije_politike/Strategija_turizem_sprejeto_7.6.2012.pdf</vt:lpwstr>
      </vt:variant>
      <vt:variant>
        <vt:lpwstr/>
      </vt:variant>
      <vt:variant>
        <vt:i4>917616</vt:i4>
      </vt:variant>
      <vt:variant>
        <vt:i4>2136</vt:i4>
      </vt:variant>
      <vt:variant>
        <vt:i4>0</vt:i4>
      </vt:variant>
      <vt:variant>
        <vt:i4>5</vt:i4>
      </vt:variant>
      <vt:variant>
        <vt:lpwstr>http://www.umar.gov.si/fileadmin/user_upload/publikacije/analiza/spoml14/PNGG_2014_splet.pdf</vt:lpwstr>
      </vt:variant>
      <vt:variant>
        <vt:lpwstr/>
      </vt:variant>
      <vt:variant>
        <vt:i4>4653111</vt:i4>
      </vt:variant>
      <vt:variant>
        <vt:i4>2133</vt:i4>
      </vt:variant>
      <vt:variant>
        <vt:i4>0</vt:i4>
      </vt:variant>
      <vt:variant>
        <vt:i4>5</vt:i4>
      </vt:variant>
      <vt:variant>
        <vt:lpwstr>http://www.stat.si/novica_prikazi.aspx?id=5728</vt:lpwstr>
      </vt:variant>
      <vt:variant>
        <vt:lpwstr/>
      </vt:variant>
      <vt:variant>
        <vt:i4>3735578</vt:i4>
      </vt:variant>
      <vt:variant>
        <vt:i4>2130</vt:i4>
      </vt:variant>
      <vt:variant>
        <vt:i4>0</vt:i4>
      </vt:variant>
      <vt:variant>
        <vt:i4>5</vt:i4>
      </vt:variant>
      <vt:variant>
        <vt:lpwstr>http://pxweb.stat.si/pxweb/Dialog/varval.asp?ma=05C4004S&amp;ti=&amp;path=../Database/Dem_soc/05_prebivalstvo/10_stevilo_preb/20_05C40_prebivalstvo_obcine/&amp;lang=2</vt:lpwstr>
      </vt:variant>
      <vt:variant>
        <vt:lpwstr/>
      </vt:variant>
      <vt:variant>
        <vt:i4>3735578</vt:i4>
      </vt:variant>
      <vt:variant>
        <vt:i4>2127</vt:i4>
      </vt:variant>
      <vt:variant>
        <vt:i4>0</vt:i4>
      </vt:variant>
      <vt:variant>
        <vt:i4>5</vt:i4>
      </vt:variant>
      <vt:variant>
        <vt:lpwstr>http://pxweb.stat.si/pxweb/Dialog/varval.asp?ma=05C4004S&amp;ti=&amp;path=../Database/Dem_soc/05_prebivalstvo/10_stevilo_preb/20_05C40_prebivalstvo_obcine/&amp;lang=2</vt:lpwstr>
      </vt:variant>
      <vt:variant>
        <vt:lpwstr/>
      </vt:variant>
      <vt:variant>
        <vt:i4>4456568</vt:i4>
      </vt:variant>
      <vt:variant>
        <vt:i4>2124</vt:i4>
      </vt:variant>
      <vt:variant>
        <vt:i4>0</vt:i4>
      </vt:variant>
      <vt:variant>
        <vt:i4>5</vt:i4>
      </vt:variant>
      <vt:variant>
        <vt:lpwstr>http://pxweb.stat.si/pxweb/Dialog/varval.asp?ma=2722203S&amp;ti=&amp;path=../Database/Okolje/27_okolje/03_27193_voda/04_27222_namakanje/&amp;lang=2</vt:lpwstr>
      </vt:variant>
      <vt:variant>
        <vt:lpwstr/>
      </vt:variant>
      <vt:variant>
        <vt:i4>1114167</vt:i4>
      </vt:variant>
      <vt:variant>
        <vt:i4>2121</vt:i4>
      </vt:variant>
      <vt:variant>
        <vt:i4>0</vt:i4>
      </vt:variant>
      <vt:variant>
        <vt:i4>5</vt:i4>
      </vt:variant>
      <vt:variant>
        <vt:lpwstr>http://www.stat.si/doc/metod_pojasnila/03-019-MP.htm</vt:lpwstr>
      </vt:variant>
      <vt:variant>
        <vt:lpwstr/>
      </vt:variant>
      <vt:variant>
        <vt:i4>7536723</vt:i4>
      </vt:variant>
      <vt:variant>
        <vt:i4>2118</vt:i4>
      </vt:variant>
      <vt:variant>
        <vt:i4>0</vt:i4>
      </vt:variant>
      <vt:variant>
        <vt:i4>5</vt:i4>
      </vt:variant>
      <vt:variant>
        <vt:lpwstr>http://pxweb.stat.si/pxweb/Dialog/varval.asp?ma=0301915S&amp;ti=&amp;path=../Database/Ekonomsko/03_nacionalni_racuni/05_03019_BDP_letni/&amp;lang=2</vt:lpwstr>
      </vt:variant>
      <vt:variant>
        <vt:lpwstr/>
      </vt:variant>
      <vt:variant>
        <vt:i4>5832711</vt:i4>
      </vt:variant>
      <vt:variant>
        <vt:i4>2115</vt:i4>
      </vt:variant>
      <vt:variant>
        <vt:i4>0</vt:i4>
      </vt:variant>
      <vt:variant>
        <vt:i4>5</vt:i4>
      </vt:variant>
      <vt:variant>
        <vt:lpwstr>http://pxweb.stat.si/pxweb/Dialog/varval.asp?ma=2221102s&amp;ti=&amp;path=../Database/Ekonomsko/22_transport/01_22211_transport_panoge/&amp;lang=2</vt:lpwstr>
      </vt:variant>
      <vt:variant>
        <vt:lpwstr/>
      </vt:variant>
      <vt:variant>
        <vt:i4>5963881</vt:i4>
      </vt:variant>
      <vt:variant>
        <vt:i4>2112</vt:i4>
      </vt:variant>
      <vt:variant>
        <vt:i4>0</vt:i4>
      </vt:variant>
      <vt:variant>
        <vt:i4>5</vt:i4>
      </vt:variant>
      <vt:variant>
        <vt:lpwstr>http://pxweb.stat.si/pxweb/Dialog/varval.asp?ma=2222102S&amp;ti=&amp;path=../Database/Ekonomsko/22_transport/08_22221_reg_cestna_vozila/&amp;lang=2</vt:lpwstr>
      </vt:variant>
      <vt:variant>
        <vt:lpwstr/>
      </vt:variant>
      <vt:variant>
        <vt:i4>7340140</vt:i4>
      </vt:variant>
      <vt:variant>
        <vt:i4>2109</vt:i4>
      </vt:variant>
      <vt:variant>
        <vt:i4>0</vt:i4>
      </vt:variant>
      <vt:variant>
        <vt:i4>5</vt:i4>
      </vt:variant>
      <vt:variant>
        <vt:lpwstr>http://pxweb.stat.si/pxweb/Dialog/varval.asp?ma=2750104S&amp;ti=&amp;path=../Database/Okolje/27_okolje/03_27193_voda/01_27501_javni_vodovod/&amp;lang=2</vt:lpwstr>
      </vt:variant>
      <vt:variant>
        <vt:lpwstr/>
      </vt:variant>
      <vt:variant>
        <vt:i4>7340138</vt:i4>
      </vt:variant>
      <vt:variant>
        <vt:i4>2106</vt:i4>
      </vt:variant>
      <vt:variant>
        <vt:i4>0</vt:i4>
      </vt:variant>
      <vt:variant>
        <vt:i4>5</vt:i4>
      </vt:variant>
      <vt:variant>
        <vt:lpwstr>http://pxweb.stat.si/pxweb/Dialog/varval.asp?ma=2750102S&amp;ti=&amp;path=../Database/Okolje/27_okolje/03_27193_voda/01_27501_javni_vodovod/&amp;lang=2</vt:lpwstr>
      </vt:variant>
      <vt:variant>
        <vt:lpwstr/>
      </vt:variant>
      <vt:variant>
        <vt:i4>7077955</vt:i4>
      </vt:variant>
      <vt:variant>
        <vt:i4>2103</vt:i4>
      </vt:variant>
      <vt:variant>
        <vt:i4>0</vt:i4>
      </vt:variant>
      <vt:variant>
        <vt:i4>5</vt:i4>
      </vt:variant>
      <vt:variant>
        <vt:lpwstr>http://pxweb.stat.si/pxweb/Dialog/varval.asp?ma=2164507S&amp;ti=&amp;path=../Database/Ekonomsko/21_gostinstvo_turizem/02_21645_nastanitev_letno/&amp;lang=2</vt:lpwstr>
      </vt:variant>
      <vt:variant>
        <vt:lpwstr/>
      </vt:variant>
      <vt:variant>
        <vt:i4>3866653</vt:i4>
      </vt:variant>
      <vt:variant>
        <vt:i4>2100</vt:i4>
      </vt:variant>
      <vt:variant>
        <vt:i4>0</vt:i4>
      </vt:variant>
      <vt:variant>
        <vt:i4>5</vt:i4>
      </vt:variant>
      <vt:variant>
        <vt:lpwstr>http://pxweb.stat.si/pxweb/Dialog/varval.asp?ma=1822301S&amp;ti=&amp;path=../Database/Okolje/18_energetika/05_18223_obnovljivi_viri_odpadki/&amp;lang=2</vt:lpwstr>
      </vt:variant>
      <vt:variant>
        <vt:lpwstr/>
      </vt:variant>
      <vt:variant>
        <vt:i4>1376262</vt:i4>
      </vt:variant>
      <vt:variant>
        <vt:i4>2097</vt:i4>
      </vt:variant>
      <vt:variant>
        <vt:i4>0</vt:i4>
      </vt:variant>
      <vt:variant>
        <vt:i4>5</vt:i4>
      </vt:variant>
      <vt:variant>
        <vt:lpwstr>http://pxweb.stat.si/pxweb/Dialog/varval.asp?ma=1817602S&amp;ti=&amp;path=../Database/Okolje/18_energetika/03_18176_elektricna_energija/&amp;lang=2</vt:lpwstr>
      </vt:variant>
      <vt:variant>
        <vt:lpwstr/>
      </vt:variant>
      <vt:variant>
        <vt:i4>5898268</vt:i4>
      </vt:variant>
      <vt:variant>
        <vt:i4>2094</vt:i4>
      </vt:variant>
      <vt:variant>
        <vt:i4>0</vt:i4>
      </vt:variant>
      <vt:variant>
        <vt:i4>5</vt:i4>
      </vt:variant>
      <vt:variant>
        <vt:lpwstr>http://pxweb.stat.si/pxweb/Dialog/varval.asp?ma=1560005S&amp;ti=&amp;path=../Database/Okolje/15_kmetijstvo_ribistvo/03_kmetijska_gospod/07_15600_kmet_gosp_regije/&amp;lang=2</vt:lpwstr>
      </vt:variant>
      <vt:variant>
        <vt:lpwstr/>
      </vt:variant>
      <vt:variant>
        <vt:i4>5898264</vt:i4>
      </vt:variant>
      <vt:variant>
        <vt:i4>2091</vt:i4>
      </vt:variant>
      <vt:variant>
        <vt:i4>0</vt:i4>
      </vt:variant>
      <vt:variant>
        <vt:i4>5</vt:i4>
      </vt:variant>
      <vt:variant>
        <vt:lpwstr>http://pxweb.stat.si/pxweb/Dialog/varval.asp?ma=1560001S&amp;ti=&amp;path=../Database/Okolje/15_kmetijstvo_ribistvo/03_kmetijska_gospod/07_15600_kmet_gosp_regije/&amp;lang=2</vt:lpwstr>
      </vt:variant>
      <vt:variant>
        <vt:lpwstr/>
      </vt:variant>
      <vt:variant>
        <vt:i4>19</vt:i4>
      </vt:variant>
      <vt:variant>
        <vt:i4>2088</vt:i4>
      </vt:variant>
      <vt:variant>
        <vt:i4>0</vt:i4>
      </vt:variant>
      <vt:variant>
        <vt:i4>5</vt:i4>
      </vt:variant>
      <vt:variant>
        <vt:lpwstr>http://pxweb.stat.si/pxweb/Dialog/varval.asp?ma=15P0302S&amp;ti=&amp;path=../Database/Kmetijstvo_2010/01_Splosni_pregled/03_15P03_stat_regije/&amp;lang=2</vt:lpwstr>
      </vt:variant>
      <vt:variant>
        <vt:lpwstr/>
      </vt:variant>
      <vt:variant>
        <vt:i4>1245283</vt:i4>
      </vt:variant>
      <vt:variant>
        <vt:i4>2085</vt:i4>
      </vt:variant>
      <vt:variant>
        <vt:i4>0</vt:i4>
      </vt:variant>
      <vt:variant>
        <vt:i4>5</vt:i4>
      </vt:variant>
      <vt:variant>
        <vt:lpwstr>http://pxweb.stat.si/pxweb/Dialog/varval.asp?ma=15P0402S&amp;ti=&amp;path=../Database/Kmetijstvo_2010/01_Splosni_pregled/05_15P04_obcine/&amp;lang=2</vt:lpwstr>
      </vt:variant>
      <vt:variant>
        <vt:lpwstr/>
      </vt:variant>
      <vt:variant>
        <vt:i4>5832731</vt:i4>
      </vt:variant>
      <vt:variant>
        <vt:i4>2082</vt:i4>
      </vt:variant>
      <vt:variant>
        <vt:i4>0</vt:i4>
      </vt:variant>
      <vt:variant>
        <vt:i4>5</vt:i4>
      </vt:variant>
      <vt:variant>
        <vt:lpwstr>http://pxweb.stat.si/pxweb/Dialog/varval.asp?ma=05A2010S&amp;ti=&amp;path=../Database/Dem_soc/05_prebivalstvo/05_osnovni_podatki_preb/10_05A20_prebivalstvo_letno/&amp;lang=2</vt:lpwstr>
      </vt:variant>
      <vt:variant>
        <vt:lpwstr/>
      </vt:variant>
      <vt:variant>
        <vt:i4>4653057</vt:i4>
      </vt:variant>
      <vt:variant>
        <vt:i4>2079</vt:i4>
      </vt:variant>
      <vt:variant>
        <vt:i4>0</vt:i4>
      </vt:variant>
      <vt:variant>
        <vt:i4>5</vt:i4>
      </vt:variant>
      <vt:variant>
        <vt:lpwstr>http://pxweb.stat.si/pxweb/Dialog/varval.asp?ma=05J1002S&amp;ti=&amp;path=../Database/Dem_soc/05_prebivalstvo/30_Rodnost/05_05J10_rojeni_SL/&amp;lang=2</vt:lpwstr>
      </vt:variant>
      <vt:variant>
        <vt:lpwstr/>
      </vt:variant>
      <vt:variant>
        <vt:i4>4521989</vt:i4>
      </vt:variant>
      <vt:variant>
        <vt:i4>2076</vt:i4>
      </vt:variant>
      <vt:variant>
        <vt:i4>0</vt:i4>
      </vt:variant>
      <vt:variant>
        <vt:i4>5</vt:i4>
      </vt:variant>
      <vt:variant>
        <vt:lpwstr>http://pxweb.stat.si/pxweb/Dialog/varval.asp?ma=05F2005S&amp;ti=&amp;path=../Database/Dem_soc/05_prebivalstvo/17_Gospodinjstva/10_05F20_Gospodinjsva_SR/&amp;lang=2</vt:lpwstr>
      </vt:variant>
      <vt:variant>
        <vt:lpwstr/>
      </vt:variant>
      <vt:variant>
        <vt:i4>6160432</vt:i4>
      </vt:variant>
      <vt:variant>
        <vt:i4>2073</vt:i4>
      </vt:variant>
      <vt:variant>
        <vt:i4>0</vt:i4>
      </vt:variant>
      <vt:variant>
        <vt:i4>5</vt:i4>
      </vt:variant>
      <vt:variant>
        <vt:lpwstr>http://pxweb.stat.si/pxweb/Dialog/varval.asp?ma=05C1012S&amp;ti=&amp;path=../Database/Dem_soc/05_prebivalstvo/10_stevilo_preb/05_05C10_prebivalstvo_kohez/&amp;lang=2</vt:lpwstr>
      </vt:variant>
      <vt:variant>
        <vt:lpwstr/>
      </vt:variant>
      <vt:variant>
        <vt:i4>2883695</vt:i4>
      </vt:variant>
      <vt:variant>
        <vt:i4>2070</vt:i4>
      </vt:variant>
      <vt:variant>
        <vt:i4>0</vt:i4>
      </vt:variant>
      <vt:variant>
        <vt:i4>5</vt:i4>
      </vt:variant>
      <vt:variant>
        <vt:lpwstr>http://pxweb.stat.si/pxweb/Dialog/varval.asp?ma=05C2002S&amp;ti=&amp;path=../Database/Dem_soc/05_prebivalstvo/10_stevilo_preb/10_05C20_prebivalstvo_stat_regije/&amp;lang=2</vt:lpwstr>
      </vt:variant>
      <vt:variant>
        <vt:lpwstr/>
      </vt:variant>
      <vt:variant>
        <vt:i4>1048639</vt:i4>
      </vt:variant>
      <vt:variant>
        <vt:i4>2067</vt:i4>
      </vt:variant>
      <vt:variant>
        <vt:i4>0</vt:i4>
      </vt:variant>
      <vt:variant>
        <vt:i4>5</vt:i4>
      </vt:variant>
      <vt:variant>
        <vt:lpwstr>http://www.stat.si/doc/metod_pojasnila/05-007-MP.htm</vt:lpwstr>
      </vt:variant>
      <vt:variant>
        <vt:lpwstr/>
      </vt:variant>
      <vt:variant>
        <vt:i4>5439553</vt:i4>
      </vt:variant>
      <vt:variant>
        <vt:i4>2064</vt:i4>
      </vt:variant>
      <vt:variant>
        <vt:i4>0</vt:i4>
      </vt:variant>
      <vt:variant>
        <vt:i4>5</vt:i4>
      </vt:variant>
      <vt:variant>
        <vt:lpwstr>https://www.stat.si/klasje/klasje.asp</vt:lpwstr>
      </vt:variant>
      <vt:variant>
        <vt:lpwstr/>
      </vt:variant>
      <vt:variant>
        <vt:i4>131152</vt:i4>
      </vt:variant>
      <vt:variant>
        <vt:i4>2061</vt:i4>
      </vt:variant>
      <vt:variant>
        <vt:i4>0</vt:i4>
      </vt:variant>
      <vt:variant>
        <vt:i4>5</vt:i4>
      </vt:variant>
      <vt:variant>
        <vt:lpwstr>http://www.stat.si/doc/pub/vodaodizviradoizpusta.pdf</vt:lpwstr>
      </vt:variant>
      <vt:variant>
        <vt:lpwstr/>
      </vt:variant>
      <vt:variant>
        <vt:i4>5242883</vt:i4>
      </vt:variant>
      <vt:variant>
        <vt:i4>2058</vt:i4>
      </vt:variant>
      <vt:variant>
        <vt:i4>0</vt:i4>
      </vt:variant>
      <vt:variant>
        <vt:i4>5</vt:i4>
      </vt:variant>
      <vt:variant>
        <vt:lpwstr>http://www.hse.si/si/zanimivosti/novice/2014/04/517-HE-Krsko-s-1-4-2014-v-rednem-obratovanju</vt:lpwstr>
      </vt:variant>
      <vt:variant>
        <vt:lpwstr/>
      </vt:variant>
      <vt:variant>
        <vt:i4>8061044</vt:i4>
      </vt:variant>
      <vt:variant>
        <vt:i4>2055</vt:i4>
      </vt:variant>
      <vt:variant>
        <vt:i4>0</vt:i4>
      </vt:variant>
      <vt:variant>
        <vt:i4>5</vt:i4>
      </vt:variant>
      <vt:variant>
        <vt:lpwstr>http://www.arso.gov.si/varstvo okolja/poro%C4%8Dila/poro%C4%8Dila o stanju okolja v Sloveniji/POS2009_zdruzeni_dokument0.pdf</vt:lpwstr>
      </vt:variant>
      <vt:variant>
        <vt:lpwstr/>
      </vt:variant>
      <vt:variant>
        <vt:i4>2359327</vt:i4>
      </vt:variant>
      <vt:variant>
        <vt:i4>2052</vt:i4>
      </vt:variant>
      <vt:variant>
        <vt:i4>0</vt:i4>
      </vt:variant>
      <vt:variant>
        <vt:i4>5</vt:i4>
      </vt:variant>
      <vt:variant>
        <vt:lpwstr>http://www.vlada.si/delo_vlade/gradiva_v_obravnavi/gradivo_v_obravnavi/?tx_govpapers_pi1%5bsingle%5d=%2FMANDAT13%2FVLADNAGRADIVA.NSF%2F18a6b9887c33a0bdc12570e50034eb54%2F7ae2ab9bd1753e97c1257c66005d755f%3FOpenDocument&amp;cHash=b766edcd9a9992ab9bf5fd54aae31d2d</vt:lpwstr>
      </vt:variant>
      <vt:variant>
        <vt:lpwstr/>
      </vt:variant>
      <vt:variant>
        <vt:i4>7864356</vt:i4>
      </vt:variant>
      <vt:variant>
        <vt:i4>2049</vt:i4>
      </vt:variant>
      <vt:variant>
        <vt:i4>0</vt:i4>
      </vt:variant>
      <vt:variant>
        <vt:i4>5</vt:i4>
      </vt:variant>
      <vt:variant>
        <vt:lpwstr>http://www.mko.gov.si/si/delovna_podrocja/voda/okvirna_direktiva_o_morski_strategiji/zacetna_presoja_stanja_morskega_okolja_dolocitev_dobrega_stanja_morskega_okolja_ciljnih_vrednosti_in_kazalnikov/</vt:lpwstr>
      </vt:variant>
      <vt:variant>
        <vt:lpwstr/>
      </vt:variant>
      <vt:variant>
        <vt:i4>6160503</vt:i4>
      </vt:variant>
      <vt:variant>
        <vt:i4>2046</vt:i4>
      </vt:variant>
      <vt:variant>
        <vt:i4>0</vt:i4>
      </vt:variant>
      <vt:variant>
        <vt:i4>5</vt:i4>
      </vt:variant>
      <vt:variant>
        <vt:lpwstr>http://appsso.eurostat.ec.europa.eu/nui/show.do?dataset=proj_13npzms&amp;lang=en</vt:lpwstr>
      </vt:variant>
      <vt:variant>
        <vt:lpwstr/>
      </vt:variant>
      <vt:variant>
        <vt:i4>3014675</vt:i4>
      </vt:variant>
      <vt:variant>
        <vt:i4>2043</vt:i4>
      </vt:variant>
      <vt:variant>
        <vt:i4>0</vt:i4>
      </vt:variant>
      <vt:variant>
        <vt:i4>5</vt:i4>
      </vt:variant>
      <vt:variant>
        <vt:lpwstr>http://appsso.eurostat.ec.europa.eu/nui/show.do?dataset=proj_13npms&amp;lang=en</vt:lpwstr>
      </vt:variant>
      <vt:variant>
        <vt:lpwstr/>
      </vt:variant>
      <vt:variant>
        <vt:i4>4194418</vt:i4>
      </vt:variant>
      <vt:variant>
        <vt:i4>2040</vt:i4>
      </vt:variant>
      <vt:variant>
        <vt:i4>0</vt:i4>
      </vt:variant>
      <vt:variant>
        <vt:i4>5</vt:i4>
      </vt:variant>
      <vt:variant>
        <vt:lpwstr>http://epp.eurostat.ec.europa.eu/cache/ITY_SDDS/EN/proj_13n_esms.htm</vt:lpwstr>
      </vt:variant>
      <vt:variant>
        <vt:lpwstr/>
      </vt:variant>
      <vt:variant>
        <vt:i4>4259892</vt:i4>
      </vt:variant>
      <vt:variant>
        <vt:i4>2037</vt:i4>
      </vt:variant>
      <vt:variant>
        <vt:i4>0</vt:i4>
      </vt:variant>
      <vt:variant>
        <vt:i4>5</vt:i4>
      </vt:variant>
      <vt:variant>
        <vt:lpwstr>http://www.stat.si/novica_prikazi.aspx?id=6128</vt:lpwstr>
      </vt:variant>
      <vt:variant>
        <vt:lpwstr/>
      </vt:variant>
      <vt:variant>
        <vt:i4>4849715</vt:i4>
      </vt:variant>
      <vt:variant>
        <vt:i4>2034</vt:i4>
      </vt:variant>
      <vt:variant>
        <vt:i4>0</vt:i4>
      </vt:variant>
      <vt:variant>
        <vt:i4>5</vt:i4>
      </vt:variant>
      <vt:variant>
        <vt:lpwstr>http://www.stat.si/novica_prikazi.aspx?id=5765</vt:lpwstr>
      </vt:variant>
      <vt:variant>
        <vt:lpwstr/>
      </vt:variant>
      <vt:variant>
        <vt:i4>8257644</vt:i4>
      </vt:variant>
      <vt:variant>
        <vt:i4>2031</vt:i4>
      </vt:variant>
      <vt:variant>
        <vt:i4>0</vt:i4>
      </vt:variant>
      <vt:variant>
        <vt:i4>5</vt:i4>
      </vt:variant>
      <vt:variant>
        <vt:lpwstr>http://www.borzen.si/si/cp/SitePages/Porocila.aspx</vt:lpwstr>
      </vt:variant>
      <vt:variant>
        <vt:lpwstr/>
      </vt:variant>
      <vt:variant>
        <vt:i4>8257644</vt:i4>
      </vt:variant>
      <vt:variant>
        <vt:i4>2028</vt:i4>
      </vt:variant>
      <vt:variant>
        <vt:i4>0</vt:i4>
      </vt:variant>
      <vt:variant>
        <vt:i4>5</vt:i4>
      </vt:variant>
      <vt:variant>
        <vt:lpwstr>http://www.borzen.si/si/cp/SitePages/Porocila.aspx</vt:lpwstr>
      </vt:variant>
      <vt:variant>
        <vt:lpwstr/>
      </vt:variant>
      <vt:variant>
        <vt:i4>1376328</vt:i4>
      </vt:variant>
      <vt:variant>
        <vt:i4>2025</vt:i4>
      </vt:variant>
      <vt:variant>
        <vt:i4>0</vt:i4>
      </vt:variant>
      <vt:variant>
        <vt:i4>5</vt:i4>
      </vt:variant>
      <vt:variant>
        <vt:lpwstr>http://www.energetika-portal.si/fileadmin/dokumenti/Podrocja/Energetika/Shema_OVE_SPTE/Podpore_2014_slo.pdf</vt:lpwstr>
      </vt:variant>
      <vt:variant>
        <vt:lpwstr/>
      </vt:variant>
      <vt:variant>
        <vt:i4>1376335</vt:i4>
      </vt:variant>
      <vt:variant>
        <vt:i4>2022</vt:i4>
      </vt:variant>
      <vt:variant>
        <vt:i4>0</vt:i4>
      </vt:variant>
      <vt:variant>
        <vt:i4>5</vt:i4>
      </vt:variant>
      <vt:variant>
        <vt:lpwstr>http://www.energetika-portal.si/fileadmin/dokumenti/Podrocja/Energetika/Shema_OVE_SPTE/Podpore_2013_slo.pdf</vt:lpwstr>
      </vt:variant>
      <vt:variant>
        <vt:lpwstr/>
      </vt:variant>
      <vt:variant>
        <vt:i4>1245284</vt:i4>
      </vt:variant>
      <vt:variant>
        <vt:i4>2019</vt:i4>
      </vt:variant>
      <vt:variant>
        <vt:i4>0</vt:i4>
      </vt:variant>
      <vt:variant>
        <vt:i4>5</vt:i4>
      </vt:variant>
      <vt:variant>
        <vt:lpwstr>http://www.energetika-portal.si/fileadmin/dokumenti/Podrocja/Energetika/Shema_OVE_SPTE/Podpore_Jul_2012_slo.pdf</vt:lpwstr>
      </vt:variant>
      <vt:variant>
        <vt:lpwstr/>
      </vt:variant>
      <vt:variant>
        <vt:i4>7209011</vt:i4>
      </vt:variant>
      <vt:variant>
        <vt:i4>2016</vt:i4>
      </vt:variant>
      <vt:variant>
        <vt:i4>0</vt:i4>
      </vt:variant>
      <vt:variant>
        <vt:i4>5</vt:i4>
      </vt:variant>
      <vt:variant>
        <vt:lpwstr>http://giam2.zrc-sazu.si/sites/default/files/9789612540906.pdf</vt:lpwstr>
      </vt:variant>
      <vt:variant>
        <vt:lpwstr/>
      </vt:variant>
      <vt:variant>
        <vt:i4>1048695</vt:i4>
      </vt:variant>
      <vt:variant>
        <vt:i4>2013</vt:i4>
      </vt:variant>
      <vt:variant>
        <vt:i4>0</vt:i4>
      </vt:variant>
      <vt:variant>
        <vt:i4>5</vt:i4>
      </vt:variant>
      <vt:variant>
        <vt:lpwstr>http://kazalci.arso.gov.si/?data=indicator&amp;ind_id=456</vt:lpwstr>
      </vt:variant>
      <vt:variant>
        <vt:lpwstr/>
      </vt:variant>
      <vt:variant>
        <vt:i4>1114224</vt:i4>
      </vt:variant>
      <vt:variant>
        <vt:i4>2010</vt:i4>
      </vt:variant>
      <vt:variant>
        <vt:i4>0</vt:i4>
      </vt:variant>
      <vt:variant>
        <vt:i4>5</vt:i4>
      </vt:variant>
      <vt:variant>
        <vt:lpwstr>http://kazalci.arso.gov.si/?data=indicator&amp;ind_id=348</vt:lpwstr>
      </vt:variant>
      <vt:variant>
        <vt:lpwstr/>
      </vt:variant>
      <vt:variant>
        <vt:i4>1507440</vt:i4>
      </vt:variant>
      <vt:variant>
        <vt:i4>2007</vt:i4>
      </vt:variant>
      <vt:variant>
        <vt:i4>0</vt:i4>
      </vt:variant>
      <vt:variant>
        <vt:i4>5</vt:i4>
      </vt:variant>
      <vt:variant>
        <vt:lpwstr>http://kazalci.arso.gov.si/?data=indicator&amp;ind_id=322</vt:lpwstr>
      </vt:variant>
      <vt:variant>
        <vt:lpwstr/>
      </vt:variant>
      <vt:variant>
        <vt:i4>393245</vt:i4>
      </vt:variant>
      <vt:variant>
        <vt:i4>2004</vt:i4>
      </vt:variant>
      <vt:variant>
        <vt:i4>0</vt:i4>
      </vt:variant>
      <vt:variant>
        <vt:i4>5</vt:i4>
      </vt:variant>
      <vt:variant>
        <vt:lpwstr>http://www.arso.gov.si/soer/</vt:lpwstr>
      </vt:variant>
      <vt:variant>
        <vt:lpwstr/>
      </vt:variant>
      <vt:variant>
        <vt:i4>1245303</vt:i4>
      </vt:variant>
      <vt:variant>
        <vt:i4>2001</vt:i4>
      </vt:variant>
      <vt:variant>
        <vt:i4>0</vt:i4>
      </vt:variant>
      <vt:variant>
        <vt:i4>5</vt:i4>
      </vt:variant>
      <vt:variant>
        <vt:lpwstr>http://kazalci.arso.gov.si/?data=indicator&amp;ind_id=460</vt:lpwstr>
      </vt:variant>
      <vt:variant>
        <vt:lpwstr/>
      </vt:variant>
      <vt:variant>
        <vt:i4>8126506</vt:i4>
      </vt:variant>
      <vt:variant>
        <vt:i4>555</vt:i4>
      </vt:variant>
      <vt:variant>
        <vt:i4>0</vt:i4>
      </vt:variant>
      <vt:variant>
        <vt:i4>5</vt:i4>
      </vt:variant>
      <vt:variant>
        <vt:lpwstr>http://www.uradni-list.si/1/objava.jsp?sop=2005-01-2796</vt:lpwstr>
      </vt:variant>
      <vt:variant>
        <vt:lpwstr/>
      </vt:variant>
      <vt:variant>
        <vt:i4>6815816</vt:i4>
      </vt:variant>
      <vt:variant>
        <vt:i4>540</vt:i4>
      </vt:variant>
      <vt:variant>
        <vt:i4>0</vt:i4>
      </vt:variant>
      <vt:variant>
        <vt:i4>5</vt:i4>
      </vt:variant>
      <vt:variant>
        <vt:lpwstr>javascript:if(typeof zxywnC60==typeof alert)zxywnC60();linkTo_UnCryptMailto('lzhksn9fo-lnoZfnu-rh');</vt:lpwstr>
      </vt:variant>
      <vt:variant>
        <vt:lpwstr/>
      </vt:variant>
      <vt:variant>
        <vt:i4>8060985</vt:i4>
      </vt:variant>
      <vt:variant>
        <vt:i4>537</vt:i4>
      </vt:variant>
      <vt:variant>
        <vt:i4>0</vt:i4>
      </vt:variant>
      <vt:variant>
        <vt:i4>5</vt:i4>
      </vt:variant>
      <vt:variant>
        <vt:lpwstr>http://www.mop.gov.si/</vt:lpwstr>
      </vt:variant>
      <vt:variant>
        <vt:lpwstr/>
      </vt:variant>
      <vt:variant>
        <vt:i4>1572918</vt:i4>
      </vt:variant>
      <vt:variant>
        <vt:i4>530</vt:i4>
      </vt:variant>
      <vt:variant>
        <vt:i4>0</vt:i4>
      </vt:variant>
      <vt:variant>
        <vt:i4>5</vt:i4>
      </vt:variant>
      <vt:variant>
        <vt:lpwstr/>
      </vt:variant>
      <vt:variant>
        <vt:lpwstr>_Toc464458358</vt:lpwstr>
      </vt:variant>
      <vt:variant>
        <vt:i4>1572918</vt:i4>
      </vt:variant>
      <vt:variant>
        <vt:i4>524</vt:i4>
      </vt:variant>
      <vt:variant>
        <vt:i4>0</vt:i4>
      </vt:variant>
      <vt:variant>
        <vt:i4>5</vt:i4>
      </vt:variant>
      <vt:variant>
        <vt:lpwstr/>
      </vt:variant>
      <vt:variant>
        <vt:lpwstr>_Toc464458357</vt:lpwstr>
      </vt:variant>
      <vt:variant>
        <vt:i4>1572918</vt:i4>
      </vt:variant>
      <vt:variant>
        <vt:i4>518</vt:i4>
      </vt:variant>
      <vt:variant>
        <vt:i4>0</vt:i4>
      </vt:variant>
      <vt:variant>
        <vt:i4>5</vt:i4>
      </vt:variant>
      <vt:variant>
        <vt:lpwstr/>
      </vt:variant>
      <vt:variant>
        <vt:lpwstr>_Toc464458356</vt:lpwstr>
      </vt:variant>
      <vt:variant>
        <vt:i4>1572918</vt:i4>
      </vt:variant>
      <vt:variant>
        <vt:i4>512</vt:i4>
      </vt:variant>
      <vt:variant>
        <vt:i4>0</vt:i4>
      </vt:variant>
      <vt:variant>
        <vt:i4>5</vt:i4>
      </vt:variant>
      <vt:variant>
        <vt:lpwstr/>
      </vt:variant>
      <vt:variant>
        <vt:lpwstr>_Toc464458355</vt:lpwstr>
      </vt:variant>
      <vt:variant>
        <vt:i4>1572918</vt:i4>
      </vt:variant>
      <vt:variant>
        <vt:i4>506</vt:i4>
      </vt:variant>
      <vt:variant>
        <vt:i4>0</vt:i4>
      </vt:variant>
      <vt:variant>
        <vt:i4>5</vt:i4>
      </vt:variant>
      <vt:variant>
        <vt:lpwstr/>
      </vt:variant>
      <vt:variant>
        <vt:lpwstr>_Toc464458354</vt:lpwstr>
      </vt:variant>
      <vt:variant>
        <vt:i4>1572918</vt:i4>
      </vt:variant>
      <vt:variant>
        <vt:i4>500</vt:i4>
      </vt:variant>
      <vt:variant>
        <vt:i4>0</vt:i4>
      </vt:variant>
      <vt:variant>
        <vt:i4>5</vt:i4>
      </vt:variant>
      <vt:variant>
        <vt:lpwstr/>
      </vt:variant>
      <vt:variant>
        <vt:lpwstr>_Toc464458353</vt:lpwstr>
      </vt:variant>
      <vt:variant>
        <vt:i4>1572918</vt:i4>
      </vt:variant>
      <vt:variant>
        <vt:i4>494</vt:i4>
      </vt:variant>
      <vt:variant>
        <vt:i4>0</vt:i4>
      </vt:variant>
      <vt:variant>
        <vt:i4>5</vt:i4>
      </vt:variant>
      <vt:variant>
        <vt:lpwstr/>
      </vt:variant>
      <vt:variant>
        <vt:lpwstr>_Toc464458352</vt:lpwstr>
      </vt:variant>
      <vt:variant>
        <vt:i4>1572918</vt:i4>
      </vt:variant>
      <vt:variant>
        <vt:i4>488</vt:i4>
      </vt:variant>
      <vt:variant>
        <vt:i4>0</vt:i4>
      </vt:variant>
      <vt:variant>
        <vt:i4>5</vt:i4>
      </vt:variant>
      <vt:variant>
        <vt:lpwstr/>
      </vt:variant>
      <vt:variant>
        <vt:lpwstr>_Toc464458351</vt:lpwstr>
      </vt:variant>
      <vt:variant>
        <vt:i4>1572918</vt:i4>
      </vt:variant>
      <vt:variant>
        <vt:i4>482</vt:i4>
      </vt:variant>
      <vt:variant>
        <vt:i4>0</vt:i4>
      </vt:variant>
      <vt:variant>
        <vt:i4>5</vt:i4>
      </vt:variant>
      <vt:variant>
        <vt:lpwstr/>
      </vt:variant>
      <vt:variant>
        <vt:lpwstr>_Toc464458350</vt:lpwstr>
      </vt:variant>
      <vt:variant>
        <vt:i4>1638454</vt:i4>
      </vt:variant>
      <vt:variant>
        <vt:i4>476</vt:i4>
      </vt:variant>
      <vt:variant>
        <vt:i4>0</vt:i4>
      </vt:variant>
      <vt:variant>
        <vt:i4>5</vt:i4>
      </vt:variant>
      <vt:variant>
        <vt:lpwstr/>
      </vt:variant>
      <vt:variant>
        <vt:lpwstr>_Toc464458349</vt:lpwstr>
      </vt:variant>
      <vt:variant>
        <vt:i4>1638454</vt:i4>
      </vt:variant>
      <vt:variant>
        <vt:i4>470</vt:i4>
      </vt:variant>
      <vt:variant>
        <vt:i4>0</vt:i4>
      </vt:variant>
      <vt:variant>
        <vt:i4>5</vt:i4>
      </vt:variant>
      <vt:variant>
        <vt:lpwstr/>
      </vt:variant>
      <vt:variant>
        <vt:lpwstr>_Toc464458348</vt:lpwstr>
      </vt:variant>
      <vt:variant>
        <vt:i4>1638454</vt:i4>
      </vt:variant>
      <vt:variant>
        <vt:i4>464</vt:i4>
      </vt:variant>
      <vt:variant>
        <vt:i4>0</vt:i4>
      </vt:variant>
      <vt:variant>
        <vt:i4>5</vt:i4>
      </vt:variant>
      <vt:variant>
        <vt:lpwstr/>
      </vt:variant>
      <vt:variant>
        <vt:lpwstr>_Toc464458347</vt:lpwstr>
      </vt:variant>
      <vt:variant>
        <vt:i4>1638454</vt:i4>
      </vt:variant>
      <vt:variant>
        <vt:i4>458</vt:i4>
      </vt:variant>
      <vt:variant>
        <vt:i4>0</vt:i4>
      </vt:variant>
      <vt:variant>
        <vt:i4>5</vt:i4>
      </vt:variant>
      <vt:variant>
        <vt:lpwstr/>
      </vt:variant>
      <vt:variant>
        <vt:lpwstr>_Toc464458346</vt:lpwstr>
      </vt:variant>
      <vt:variant>
        <vt:i4>1638454</vt:i4>
      </vt:variant>
      <vt:variant>
        <vt:i4>452</vt:i4>
      </vt:variant>
      <vt:variant>
        <vt:i4>0</vt:i4>
      </vt:variant>
      <vt:variant>
        <vt:i4>5</vt:i4>
      </vt:variant>
      <vt:variant>
        <vt:lpwstr/>
      </vt:variant>
      <vt:variant>
        <vt:lpwstr>_Toc464458345</vt:lpwstr>
      </vt:variant>
      <vt:variant>
        <vt:i4>1638454</vt:i4>
      </vt:variant>
      <vt:variant>
        <vt:i4>446</vt:i4>
      </vt:variant>
      <vt:variant>
        <vt:i4>0</vt:i4>
      </vt:variant>
      <vt:variant>
        <vt:i4>5</vt:i4>
      </vt:variant>
      <vt:variant>
        <vt:lpwstr/>
      </vt:variant>
      <vt:variant>
        <vt:lpwstr>_Toc464458344</vt:lpwstr>
      </vt:variant>
      <vt:variant>
        <vt:i4>1638454</vt:i4>
      </vt:variant>
      <vt:variant>
        <vt:i4>440</vt:i4>
      </vt:variant>
      <vt:variant>
        <vt:i4>0</vt:i4>
      </vt:variant>
      <vt:variant>
        <vt:i4>5</vt:i4>
      </vt:variant>
      <vt:variant>
        <vt:lpwstr/>
      </vt:variant>
      <vt:variant>
        <vt:lpwstr>_Toc464458343</vt:lpwstr>
      </vt:variant>
      <vt:variant>
        <vt:i4>1638454</vt:i4>
      </vt:variant>
      <vt:variant>
        <vt:i4>434</vt:i4>
      </vt:variant>
      <vt:variant>
        <vt:i4>0</vt:i4>
      </vt:variant>
      <vt:variant>
        <vt:i4>5</vt:i4>
      </vt:variant>
      <vt:variant>
        <vt:lpwstr/>
      </vt:variant>
      <vt:variant>
        <vt:lpwstr>_Toc464458342</vt:lpwstr>
      </vt:variant>
      <vt:variant>
        <vt:i4>1638454</vt:i4>
      </vt:variant>
      <vt:variant>
        <vt:i4>428</vt:i4>
      </vt:variant>
      <vt:variant>
        <vt:i4>0</vt:i4>
      </vt:variant>
      <vt:variant>
        <vt:i4>5</vt:i4>
      </vt:variant>
      <vt:variant>
        <vt:lpwstr/>
      </vt:variant>
      <vt:variant>
        <vt:lpwstr>_Toc464458341</vt:lpwstr>
      </vt:variant>
      <vt:variant>
        <vt:i4>1638454</vt:i4>
      </vt:variant>
      <vt:variant>
        <vt:i4>422</vt:i4>
      </vt:variant>
      <vt:variant>
        <vt:i4>0</vt:i4>
      </vt:variant>
      <vt:variant>
        <vt:i4>5</vt:i4>
      </vt:variant>
      <vt:variant>
        <vt:lpwstr/>
      </vt:variant>
      <vt:variant>
        <vt:lpwstr>_Toc464458340</vt:lpwstr>
      </vt:variant>
      <vt:variant>
        <vt:i4>1966134</vt:i4>
      </vt:variant>
      <vt:variant>
        <vt:i4>416</vt:i4>
      </vt:variant>
      <vt:variant>
        <vt:i4>0</vt:i4>
      </vt:variant>
      <vt:variant>
        <vt:i4>5</vt:i4>
      </vt:variant>
      <vt:variant>
        <vt:lpwstr/>
      </vt:variant>
      <vt:variant>
        <vt:lpwstr>_Toc464458339</vt:lpwstr>
      </vt:variant>
      <vt:variant>
        <vt:i4>1966134</vt:i4>
      </vt:variant>
      <vt:variant>
        <vt:i4>410</vt:i4>
      </vt:variant>
      <vt:variant>
        <vt:i4>0</vt:i4>
      </vt:variant>
      <vt:variant>
        <vt:i4>5</vt:i4>
      </vt:variant>
      <vt:variant>
        <vt:lpwstr/>
      </vt:variant>
      <vt:variant>
        <vt:lpwstr>_Toc464458338</vt:lpwstr>
      </vt:variant>
      <vt:variant>
        <vt:i4>1966134</vt:i4>
      </vt:variant>
      <vt:variant>
        <vt:i4>404</vt:i4>
      </vt:variant>
      <vt:variant>
        <vt:i4>0</vt:i4>
      </vt:variant>
      <vt:variant>
        <vt:i4>5</vt:i4>
      </vt:variant>
      <vt:variant>
        <vt:lpwstr/>
      </vt:variant>
      <vt:variant>
        <vt:lpwstr>_Toc464458337</vt:lpwstr>
      </vt:variant>
      <vt:variant>
        <vt:i4>1966134</vt:i4>
      </vt:variant>
      <vt:variant>
        <vt:i4>398</vt:i4>
      </vt:variant>
      <vt:variant>
        <vt:i4>0</vt:i4>
      </vt:variant>
      <vt:variant>
        <vt:i4>5</vt:i4>
      </vt:variant>
      <vt:variant>
        <vt:lpwstr/>
      </vt:variant>
      <vt:variant>
        <vt:lpwstr>_Toc464458336</vt:lpwstr>
      </vt:variant>
      <vt:variant>
        <vt:i4>1966134</vt:i4>
      </vt:variant>
      <vt:variant>
        <vt:i4>392</vt:i4>
      </vt:variant>
      <vt:variant>
        <vt:i4>0</vt:i4>
      </vt:variant>
      <vt:variant>
        <vt:i4>5</vt:i4>
      </vt:variant>
      <vt:variant>
        <vt:lpwstr/>
      </vt:variant>
      <vt:variant>
        <vt:lpwstr>_Toc464458335</vt:lpwstr>
      </vt:variant>
      <vt:variant>
        <vt:i4>1966134</vt:i4>
      </vt:variant>
      <vt:variant>
        <vt:i4>386</vt:i4>
      </vt:variant>
      <vt:variant>
        <vt:i4>0</vt:i4>
      </vt:variant>
      <vt:variant>
        <vt:i4>5</vt:i4>
      </vt:variant>
      <vt:variant>
        <vt:lpwstr/>
      </vt:variant>
      <vt:variant>
        <vt:lpwstr>_Toc464458334</vt:lpwstr>
      </vt:variant>
      <vt:variant>
        <vt:i4>1966134</vt:i4>
      </vt:variant>
      <vt:variant>
        <vt:i4>380</vt:i4>
      </vt:variant>
      <vt:variant>
        <vt:i4>0</vt:i4>
      </vt:variant>
      <vt:variant>
        <vt:i4>5</vt:i4>
      </vt:variant>
      <vt:variant>
        <vt:lpwstr/>
      </vt:variant>
      <vt:variant>
        <vt:lpwstr>_Toc464458333</vt:lpwstr>
      </vt:variant>
      <vt:variant>
        <vt:i4>1966134</vt:i4>
      </vt:variant>
      <vt:variant>
        <vt:i4>374</vt:i4>
      </vt:variant>
      <vt:variant>
        <vt:i4>0</vt:i4>
      </vt:variant>
      <vt:variant>
        <vt:i4>5</vt:i4>
      </vt:variant>
      <vt:variant>
        <vt:lpwstr/>
      </vt:variant>
      <vt:variant>
        <vt:lpwstr>_Toc464458332</vt:lpwstr>
      </vt:variant>
      <vt:variant>
        <vt:i4>1966134</vt:i4>
      </vt:variant>
      <vt:variant>
        <vt:i4>368</vt:i4>
      </vt:variant>
      <vt:variant>
        <vt:i4>0</vt:i4>
      </vt:variant>
      <vt:variant>
        <vt:i4>5</vt:i4>
      </vt:variant>
      <vt:variant>
        <vt:lpwstr/>
      </vt:variant>
      <vt:variant>
        <vt:lpwstr>_Toc464458331</vt:lpwstr>
      </vt:variant>
      <vt:variant>
        <vt:i4>1966134</vt:i4>
      </vt:variant>
      <vt:variant>
        <vt:i4>362</vt:i4>
      </vt:variant>
      <vt:variant>
        <vt:i4>0</vt:i4>
      </vt:variant>
      <vt:variant>
        <vt:i4>5</vt:i4>
      </vt:variant>
      <vt:variant>
        <vt:lpwstr/>
      </vt:variant>
      <vt:variant>
        <vt:lpwstr>_Toc464458330</vt:lpwstr>
      </vt:variant>
      <vt:variant>
        <vt:i4>2031670</vt:i4>
      </vt:variant>
      <vt:variant>
        <vt:i4>356</vt:i4>
      </vt:variant>
      <vt:variant>
        <vt:i4>0</vt:i4>
      </vt:variant>
      <vt:variant>
        <vt:i4>5</vt:i4>
      </vt:variant>
      <vt:variant>
        <vt:lpwstr/>
      </vt:variant>
      <vt:variant>
        <vt:lpwstr>_Toc464458329</vt:lpwstr>
      </vt:variant>
      <vt:variant>
        <vt:i4>2031670</vt:i4>
      </vt:variant>
      <vt:variant>
        <vt:i4>350</vt:i4>
      </vt:variant>
      <vt:variant>
        <vt:i4>0</vt:i4>
      </vt:variant>
      <vt:variant>
        <vt:i4>5</vt:i4>
      </vt:variant>
      <vt:variant>
        <vt:lpwstr/>
      </vt:variant>
      <vt:variant>
        <vt:lpwstr>_Toc464458328</vt:lpwstr>
      </vt:variant>
      <vt:variant>
        <vt:i4>2031670</vt:i4>
      </vt:variant>
      <vt:variant>
        <vt:i4>344</vt:i4>
      </vt:variant>
      <vt:variant>
        <vt:i4>0</vt:i4>
      </vt:variant>
      <vt:variant>
        <vt:i4>5</vt:i4>
      </vt:variant>
      <vt:variant>
        <vt:lpwstr/>
      </vt:variant>
      <vt:variant>
        <vt:lpwstr>_Toc464458327</vt:lpwstr>
      </vt:variant>
      <vt:variant>
        <vt:i4>2031670</vt:i4>
      </vt:variant>
      <vt:variant>
        <vt:i4>338</vt:i4>
      </vt:variant>
      <vt:variant>
        <vt:i4>0</vt:i4>
      </vt:variant>
      <vt:variant>
        <vt:i4>5</vt:i4>
      </vt:variant>
      <vt:variant>
        <vt:lpwstr/>
      </vt:variant>
      <vt:variant>
        <vt:lpwstr>_Toc464458326</vt:lpwstr>
      </vt:variant>
      <vt:variant>
        <vt:i4>2031670</vt:i4>
      </vt:variant>
      <vt:variant>
        <vt:i4>332</vt:i4>
      </vt:variant>
      <vt:variant>
        <vt:i4>0</vt:i4>
      </vt:variant>
      <vt:variant>
        <vt:i4>5</vt:i4>
      </vt:variant>
      <vt:variant>
        <vt:lpwstr/>
      </vt:variant>
      <vt:variant>
        <vt:lpwstr>_Toc464458325</vt:lpwstr>
      </vt:variant>
      <vt:variant>
        <vt:i4>2031670</vt:i4>
      </vt:variant>
      <vt:variant>
        <vt:i4>326</vt:i4>
      </vt:variant>
      <vt:variant>
        <vt:i4>0</vt:i4>
      </vt:variant>
      <vt:variant>
        <vt:i4>5</vt:i4>
      </vt:variant>
      <vt:variant>
        <vt:lpwstr/>
      </vt:variant>
      <vt:variant>
        <vt:lpwstr>_Toc464458324</vt:lpwstr>
      </vt:variant>
      <vt:variant>
        <vt:i4>2031670</vt:i4>
      </vt:variant>
      <vt:variant>
        <vt:i4>320</vt:i4>
      </vt:variant>
      <vt:variant>
        <vt:i4>0</vt:i4>
      </vt:variant>
      <vt:variant>
        <vt:i4>5</vt:i4>
      </vt:variant>
      <vt:variant>
        <vt:lpwstr/>
      </vt:variant>
      <vt:variant>
        <vt:lpwstr>_Toc464458323</vt:lpwstr>
      </vt:variant>
      <vt:variant>
        <vt:i4>2031670</vt:i4>
      </vt:variant>
      <vt:variant>
        <vt:i4>314</vt:i4>
      </vt:variant>
      <vt:variant>
        <vt:i4>0</vt:i4>
      </vt:variant>
      <vt:variant>
        <vt:i4>5</vt:i4>
      </vt:variant>
      <vt:variant>
        <vt:lpwstr/>
      </vt:variant>
      <vt:variant>
        <vt:lpwstr>_Toc464458322</vt:lpwstr>
      </vt:variant>
      <vt:variant>
        <vt:i4>2031670</vt:i4>
      </vt:variant>
      <vt:variant>
        <vt:i4>308</vt:i4>
      </vt:variant>
      <vt:variant>
        <vt:i4>0</vt:i4>
      </vt:variant>
      <vt:variant>
        <vt:i4>5</vt:i4>
      </vt:variant>
      <vt:variant>
        <vt:lpwstr/>
      </vt:variant>
      <vt:variant>
        <vt:lpwstr>_Toc464458321</vt:lpwstr>
      </vt:variant>
      <vt:variant>
        <vt:i4>2031670</vt:i4>
      </vt:variant>
      <vt:variant>
        <vt:i4>302</vt:i4>
      </vt:variant>
      <vt:variant>
        <vt:i4>0</vt:i4>
      </vt:variant>
      <vt:variant>
        <vt:i4>5</vt:i4>
      </vt:variant>
      <vt:variant>
        <vt:lpwstr/>
      </vt:variant>
      <vt:variant>
        <vt:lpwstr>_Toc464458320</vt:lpwstr>
      </vt:variant>
      <vt:variant>
        <vt:i4>1835062</vt:i4>
      </vt:variant>
      <vt:variant>
        <vt:i4>296</vt:i4>
      </vt:variant>
      <vt:variant>
        <vt:i4>0</vt:i4>
      </vt:variant>
      <vt:variant>
        <vt:i4>5</vt:i4>
      </vt:variant>
      <vt:variant>
        <vt:lpwstr/>
      </vt:variant>
      <vt:variant>
        <vt:lpwstr>_Toc464458319</vt:lpwstr>
      </vt:variant>
      <vt:variant>
        <vt:i4>1835062</vt:i4>
      </vt:variant>
      <vt:variant>
        <vt:i4>290</vt:i4>
      </vt:variant>
      <vt:variant>
        <vt:i4>0</vt:i4>
      </vt:variant>
      <vt:variant>
        <vt:i4>5</vt:i4>
      </vt:variant>
      <vt:variant>
        <vt:lpwstr/>
      </vt:variant>
      <vt:variant>
        <vt:lpwstr>_Toc464458318</vt:lpwstr>
      </vt:variant>
      <vt:variant>
        <vt:i4>1835062</vt:i4>
      </vt:variant>
      <vt:variant>
        <vt:i4>284</vt:i4>
      </vt:variant>
      <vt:variant>
        <vt:i4>0</vt:i4>
      </vt:variant>
      <vt:variant>
        <vt:i4>5</vt:i4>
      </vt:variant>
      <vt:variant>
        <vt:lpwstr/>
      </vt:variant>
      <vt:variant>
        <vt:lpwstr>_Toc464458317</vt:lpwstr>
      </vt:variant>
      <vt:variant>
        <vt:i4>1835062</vt:i4>
      </vt:variant>
      <vt:variant>
        <vt:i4>278</vt:i4>
      </vt:variant>
      <vt:variant>
        <vt:i4>0</vt:i4>
      </vt:variant>
      <vt:variant>
        <vt:i4>5</vt:i4>
      </vt:variant>
      <vt:variant>
        <vt:lpwstr/>
      </vt:variant>
      <vt:variant>
        <vt:lpwstr>_Toc464458316</vt:lpwstr>
      </vt:variant>
      <vt:variant>
        <vt:i4>1835062</vt:i4>
      </vt:variant>
      <vt:variant>
        <vt:i4>272</vt:i4>
      </vt:variant>
      <vt:variant>
        <vt:i4>0</vt:i4>
      </vt:variant>
      <vt:variant>
        <vt:i4>5</vt:i4>
      </vt:variant>
      <vt:variant>
        <vt:lpwstr/>
      </vt:variant>
      <vt:variant>
        <vt:lpwstr>_Toc464458315</vt:lpwstr>
      </vt:variant>
      <vt:variant>
        <vt:i4>1835062</vt:i4>
      </vt:variant>
      <vt:variant>
        <vt:i4>266</vt:i4>
      </vt:variant>
      <vt:variant>
        <vt:i4>0</vt:i4>
      </vt:variant>
      <vt:variant>
        <vt:i4>5</vt:i4>
      </vt:variant>
      <vt:variant>
        <vt:lpwstr/>
      </vt:variant>
      <vt:variant>
        <vt:lpwstr>_Toc464458314</vt:lpwstr>
      </vt:variant>
      <vt:variant>
        <vt:i4>1835062</vt:i4>
      </vt:variant>
      <vt:variant>
        <vt:i4>260</vt:i4>
      </vt:variant>
      <vt:variant>
        <vt:i4>0</vt:i4>
      </vt:variant>
      <vt:variant>
        <vt:i4>5</vt:i4>
      </vt:variant>
      <vt:variant>
        <vt:lpwstr/>
      </vt:variant>
      <vt:variant>
        <vt:lpwstr>_Toc464458313</vt:lpwstr>
      </vt:variant>
      <vt:variant>
        <vt:i4>1835062</vt:i4>
      </vt:variant>
      <vt:variant>
        <vt:i4>254</vt:i4>
      </vt:variant>
      <vt:variant>
        <vt:i4>0</vt:i4>
      </vt:variant>
      <vt:variant>
        <vt:i4>5</vt:i4>
      </vt:variant>
      <vt:variant>
        <vt:lpwstr/>
      </vt:variant>
      <vt:variant>
        <vt:lpwstr>_Toc464458312</vt:lpwstr>
      </vt:variant>
      <vt:variant>
        <vt:i4>1835062</vt:i4>
      </vt:variant>
      <vt:variant>
        <vt:i4>248</vt:i4>
      </vt:variant>
      <vt:variant>
        <vt:i4>0</vt:i4>
      </vt:variant>
      <vt:variant>
        <vt:i4>5</vt:i4>
      </vt:variant>
      <vt:variant>
        <vt:lpwstr/>
      </vt:variant>
      <vt:variant>
        <vt:lpwstr>_Toc464458311</vt:lpwstr>
      </vt:variant>
      <vt:variant>
        <vt:i4>1835062</vt:i4>
      </vt:variant>
      <vt:variant>
        <vt:i4>242</vt:i4>
      </vt:variant>
      <vt:variant>
        <vt:i4>0</vt:i4>
      </vt:variant>
      <vt:variant>
        <vt:i4>5</vt:i4>
      </vt:variant>
      <vt:variant>
        <vt:lpwstr/>
      </vt:variant>
      <vt:variant>
        <vt:lpwstr>_Toc464458310</vt:lpwstr>
      </vt:variant>
      <vt:variant>
        <vt:i4>1900598</vt:i4>
      </vt:variant>
      <vt:variant>
        <vt:i4>236</vt:i4>
      </vt:variant>
      <vt:variant>
        <vt:i4>0</vt:i4>
      </vt:variant>
      <vt:variant>
        <vt:i4>5</vt:i4>
      </vt:variant>
      <vt:variant>
        <vt:lpwstr/>
      </vt:variant>
      <vt:variant>
        <vt:lpwstr>_Toc464458309</vt:lpwstr>
      </vt:variant>
      <vt:variant>
        <vt:i4>1900598</vt:i4>
      </vt:variant>
      <vt:variant>
        <vt:i4>230</vt:i4>
      </vt:variant>
      <vt:variant>
        <vt:i4>0</vt:i4>
      </vt:variant>
      <vt:variant>
        <vt:i4>5</vt:i4>
      </vt:variant>
      <vt:variant>
        <vt:lpwstr/>
      </vt:variant>
      <vt:variant>
        <vt:lpwstr>_Toc464458308</vt:lpwstr>
      </vt:variant>
      <vt:variant>
        <vt:i4>1900598</vt:i4>
      </vt:variant>
      <vt:variant>
        <vt:i4>224</vt:i4>
      </vt:variant>
      <vt:variant>
        <vt:i4>0</vt:i4>
      </vt:variant>
      <vt:variant>
        <vt:i4>5</vt:i4>
      </vt:variant>
      <vt:variant>
        <vt:lpwstr/>
      </vt:variant>
      <vt:variant>
        <vt:lpwstr>_Toc464458307</vt:lpwstr>
      </vt:variant>
      <vt:variant>
        <vt:i4>1900598</vt:i4>
      </vt:variant>
      <vt:variant>
        <vt:i4>218</vt:i4>
      </vt:variant>
      <vt:variant>
        <vt:i4>0</vt:i4>
      </vt:variant>
      <vt:variant>
        <vt:i4>5</vt:i4>
      </vt:variant>
      <vt:variant>
        <vt:lpwstr/>
      </vt:variant>
      <vt:variant>
        <vt:lpwstr>_Toc464458306</vt:lpwstr>
      </vt:variant>
      <vt:variant>
        <vt:i4>1900598</vt:i4>
      </vt:variant>
      <vt:variant>
        <vt:i4>212</vt:i4>
      </vt:variant>
      <vt:variant>
        <vt:i4>0</vt:i4>
      </vt:variant>
      <vt:variant>
        <vt:i4>5</vt:i4>
      </vt:variant>
      <vt:variant>
        <vt:lpwstr/>
      </vt:variant>
      <vt:variant>
        <vt:lpwstr>_Toc464458305</vt:lpwstr>
      </vt:variant>
      <vt:variant>
        <vt:i4>1900598</vt:i4>
      </vt:variant>
      <vt:variant>
        <vt:i4>206</vt:i4>
      </vt:variant>
      <vt:variant>
        <vt:i4>0</vt:i4>
      </vt:variant>
      <vt:variant>
        <vt:i4>5</vt:i4>
      </vt:variant>
      <vt:variant>
        <vt:lpwstr/>
      </vt:variant>
      <vt:variant>
        <vt:lpwstr>_Toc464458304</vt:lpwstr>
      </vt:variant>
      <vt:variant>
        <vt:i4>1900598</vt:i4>
      </vt:variant>
      <vt:variant>
        <vt:i4>200</vt:i4>
      </vt:variant>
      <vt:variant>
        <vt:i4>0</vt:i4>
      </vt:variant>
      <vt:variant>
        <vt:i4>5</vt:i4>
      </vt:variant>
      <vt:variant>
        <vt:lpwstr/>
      </vt:variant>
      <vt:variant>
        <vt:lpwstr>_Toc464458303</vt:lpwstr>
      </vt:variant>
      <vt:variant>
        <vt:i4>1900598</vt:i4>
      </vt:variant>
      <vt:variant>
        <vt:i4>194</vt:i4>
      </vt:variant>
      <vt:variant>
        <vt:i4>0</vt:i4>
      </vt:variant>
      <vt:variant>
        <vt:i4>5</vt:i4>
      </vt:variant>
      <vt:variant>
        <vt:lpwstr/>
      </vt:variant>
      <vt:variant>
        <vt:lpwstr>_Toc464458302</vt:lpwstr>
      </vt:variant>
      <vt:variant>
        <vt:i4>1900598</vt:i4>
      </vt:variant>
      <vt:variant>
        <vt:i4>188</vt:i4>
      </vt:variant>
      <vt:variant>
        <vt:i4>0</vt:i4>
      </vt:variant>
      <vt:variant>
        <vt:i4>5</vt:i4>
      </vt:variant>
      <vt:variant>
        <vt:lpwstr/>
      </vt:variant>
      <vt:variant>
        <vt:lpwstr>_Toc464458301</vt:lpwstr>
      </vt:variant>
      <vt:variant>
        <vt:i4>1900598</vt:i4>
      </vt:variant>
      <vt:variant>
        <vt:i4>182</vt:i4>
      </vt:variant>
      <vt:variant>
        <vt:i4>0</vt:i4>
      </vt:variant>
      <vt:variant>
        <vt:i4>5</vt:i4>
      </vt:variant>
      <vt:variant>
        <vt:lpwstr/>
      </vt:variant>
      <vt:variant>
        <vt:lpwstr>_Toc464458300</vt:lpwstr>
      </vt:variant>
      <vt:variant>
        <vt:i4>1310775</vt:i4>
      </vt:variant>
      <vt:variant>
        <vt:i4>176</vt:i4>
      </vt:variant>
      <vt:variant>
        <vt:i4>0</vt:i4>
      </vt:variant>
      <vt:variant>
        <vt:i4>5</vt:i4>
      </vt:variant>
      <vt:variant>
        <vt:lpwstr/>
      </vt:variant>
      <vt:variant>
        <vt:lpwstr>_Toc464458299</vt:lpwstr>
      </vt:variant>
      <vt:variant>
        <vt:i4>1310775</vt:i4>
      </vt:variant>
      <vt:variant>
        <vt:i4>170</vt:i4>
      </vt:variant>
      <vt:variant>
        <vt:i4>0</vt:i4>
      </vt:variant>
      <vt:variant>
        <vt:i4>5</vt:i4>
      </vt:variant>
      <vt:variant>
        <vt:lpwstr/>
      </vt:variant>
      <vt:variant>
        <vt:lpwstr>_Toc464458298</vt:lpwstr>
      </vt:variant>
      <vt:variant>
        <vt:i4>1310775</vt:i4>
      </vt:variant>
      <vt:variant>
        <vt:i4>164</vt:i4>
      </vt:variant>
      <vt:variant>
        <vt:i4>0</vt:i4>
      </vt:variant>
      <vt:variant>
        <vt:i4>5</vt:i4>
      </vt:variant>
      <vt:variant>
        <vt:lpwstr/>
      </vt:variant>
      <vt:variant>
        <vt:lpwstr>_Toc464458297</vt:lpwstr>
      </vt:variant>
      <vt:variant>
        <vt:i4>1310775</vt:i4>
      </vt:variant>
      <vt:variant>
        <vt:i4>158</vt:i4>
      </vt:variant>
      <vt:variant>
        <vt:i4>0</vt:i4>
      </vt:variant>
      <vt:variant>
        <vt:i4>5</vt:i4>
      </vt:variant>
      <vt:variant>
        <vt:lpwstr/>
      </vt:variant>
      <vt:variant>
        <vt:lpwstr>_Toc464458296</vt:lpwstr>
      </vt:variant>
      <vt:variant>
        <vt:i4>1310775</vt:i4>
      </vt:variant>
      <vt:variant>
        <vt:i4>152</vt:i4>
      </vt:variant>
      <vt:variant>
        <vt:i4>0</vt:i4>
      </vt:variant>
      <vt:variant>
        <vt:i4>5</vt:i4>
      </vt:variant>
      <vt:variant>
        <vt:lpwstr/>
      </vt:variant>
      <vt:variant>
        <vt:lpwstr>_Toc464458295</vt:lpwstr>
      </vt:variant>
      <vt:variant>
        <vt:i4>1310775</vt:i4>
      </vt:variant>
      <vt:variant>
        <vt:i4>146</vt:i4>
      </vt:variant>
      <vt:variant>
        <vt:i4>0</vt:i4>
      </vt:variant>
      <vt:variant>
        <vt:i4>5</vt:i4>
      </vt:variant>
      <vt:variant>
        <vt:lpwstr/>
      </vt:variant>
      <vt:variant>
        <vt:lpwstr>_Toc464458294</vt:lpwstr>
      </vt:variant>
      <vt:variant>
        <vt:i4>1310775</vt:i4>
      </vt:variant>
      <vt:variant>
        <vt:i4>140</vt:i4>
      </vt:variant>
      <vt:variant>
        <vt:i4>0</vt:i4>
      </vt:variant>
      <vt:variant>
        <vt:i4>5</vt:i4>
      </vt:variant>
      <vt:variant>
        <vt:lpwstr/>
      </vt:variant>
      <vt:variant>
        <vt:lpwstr>_Toc464458293</vt:lpwstr>
      </vt:variant>
      <vt:variant>
        <vt:i4>1310775</vt:i4>
      </vt:variant>
      <vt:variant>
        <vt:i4>134</vt:i4>
      </vt:variant>
      <vt:variant>
        <vt:i4>0</vt:i4>
      </vt:variant>
      <vt:variant>
        <vt:i4>5</vt:i4>
      </vt:variant>
      <vt:variant>
        <vt:lpwstr/>
      </vt:variant>
      <vt:variant>
        <vt:lpwstr>_Toc464458292</vt:lpwstr>
      </vt:variant>
      <vt:variant>
        <vt:i4>1310775</vt:i4>
      </vt:variant>
      <vt:variant>
        <vt:i4>128</vt:i4>
      </vt:variant>
      <vt:variant>
        <vt:i4>0</vt:i4>
      </vt:variant>
      <vt:variant>
        <vt:i4>5</vt:i4>
      </vt:variant>
      <vt:variant>
        <vt:lpwstr/>
      </vt:variant>
      <vt:variant>
        <vt:lpwstr>_Toc464458291</vt:lpwstr>
      </vt:variant>
      <vt:variant>
        <vt:i4>1310775</vt:i4>
      </vt:variant>
      <vt:variant>
        <vt:i4>122</vt:i4>
      </vt:variant>
      <vt:variant>
        <vt:i4>0</vt:i4>
      </vt:variant>
      <vt:variant>
        <vt:i4>5</vt:i4>
      </vt:variant>
      <vt:variant>
        <vt:lpwstr/>
      </vt:variant>
      <vt:variant>
        <vt:lpwstr>_Toc464458290</vt:lpwstr>
      </vt:variant>
      <vt:variant>
        <vt:i4>1376311</vt:i4>
      </vt:variant>
      <vt:variant>
        <vt:i4>116</vt:i4>
      </vt:variant>
      <vt:variant>
        <vt:i4>0</vt:i4>
      </vt:variant>
      <vt:variant>
        <vt:i4>5</vt:i4>
      </vt:variant>
      <vt:variant>
        <vt:lpwstr/>
      </vt:variant>
      <vt:variant>
        <vt:lpwstr>_Toc464458289</vt:lpwstr>
      </vt:variant>
      <vt:variant>
        <vt:i4>1376311</vt:i4>
      </vt:variant>
      <vt:variant>
        <vt:i4>110</vt:i4>
      </vt:variant>
      <vt:variant>
        <vt:i4>0</vt:i4>
      </vt:variant>
      <vt:variant>
        <vt:i4>5</vt:i4>
      </vt:variant>
      <vt:variant>
        <vt:lpwstr/>
      </vt:variant>
      <vt:variant>
        <vt:lpwstr>_Toc464458288</vt:lpwstr>
      </vt:variant>
      <vt:variant>
        <vt:i4>1376311</vt:i4>
      </vt:variant>
      <vt:variant>
        <vt:i4>104</vt:i4>
      </vt:variant>
      <vt:variant>
        <vt:i4>0</vt:i4>
      </vt:variant>
      <vt:variant>
        <vt:i4>5</vt:i4>
      </vt:variant>
      <vt:variant>
        <vt:lpwstr/>
      </vt:variant>
      <vt:variant>
        <vt:lpwstr>_Toc464458287</vt:lpwstr>
      </vt:variant>
      <vt:variant>
        <vt:i4>1376311</vt:i4>
      </vt:variant>
      <vt:variant>
        <vt:i4>98</vt:i4>
      </vt:variant>
      <vt:variant>
        <vt:i4>0</vt:i4>
      </vt:variant>
      <vt:variant>
        <vt:i4>5</vt:i4>
      </vt:variant>
      <vt:variant>
        <vt:lpwstr/>
      </vt:variant>
      <vt:variant>
        <vt:lpwstr>_Toc464458286</vt:lpwstr>
      </vt:variant>
      <vt:variant>
        <vt:i4>1376311</vt:i4>
      </vt:variant>
      <vt:variant>
        <vt:i4>92</vt:i4>
      </vt:variant>
      <vt:variant>
        <vt:i4>0</vt:i4>
      </vt:variant>
      <vt:variant>
        <vt:i4>5</vt:i4>
      </vt:variant>
      <vt:variant>
        <vt:lpwstr/>
      </vt:variant>
      <vt:variant>
        <vt:lpwstr>_Toc464458285</vt:lpwstr>
      </vt:variant>
      <vt:variant>
        <vt:i4>1376311</vt:i4>
      </vt:variant>
      <vt:variant>
        <vt:i4>86</vt:i4>
      </vt:variant>
      <vt:variant>
        <vt:i4>0</vt:i4>
      </vt:variant>
      <vt:variant>
        <vt:i4>5</vt:i4>
      </vt:variant>
      <vt:variant>
        <vt:lpwstr/>
      </vt:variant>
      <vt:variant>
        <vt:lpwstr>_Toc464458284</vt:lpwstr>
      </vt:variant>
      <vt:variant>
        <vt:i4>1376311</vt:i4>
      </vt:variant>
      <vt:variant>
        <vt:i4>80</vt:i4>
      </vt:variant>
      <vt:variant>
        <vt:i4>0</vt:i4>
      </vt:variant>
      <vt:variant>
        <vt:i4>5</vt:i4>
      </vt:variant>
      <vt:variant>
        <vt:lpwstr/>
      </vt:variant>
      <vt:variant>
        <vt:lpwstr>_Toc464458283</vt:lpwstr>
      </vt:variant>
      <vt:variant>
        <vt:i4>1376311</vt:i4>
      </vt:variant>
      <vt:variant>
        <vt:i4>74</vt:i4>
      </vt:variant>
      <vt:variant>
        <vt:i4>0</vt:i4>
      </vt:variant>
      <vt:variant>
        <vt:i4>5</vt:i4>
      </vt:variant>
      <vt:variant>
        <vt:lpwstr/>
      </vt:variant>
      <vt:variant>
        <vt:lpwstr>_Toc464458282</vt:lpwstr>
      </vt:variant>
      <vt:variant>
        <vt:i4>1376311</vt:i4>
      </vt:variant>
      <vt:variant>
        <vt:i4>68</vt:i4>
      </vt:variant>
      <vt:variant>
        <vt:i4>0</vt:i4>
      </vt:variant>
      <vt:variant>
        <vt:i4>5</vt:i4>
      </vt:variant>
      <vt:variant>
        <vt:lpwstr/>
      </vt:variant>
      <vt:variant>
        <vt:lpwstr>_Toc464458281</vt:lpwstr>
      </vt:variant>
      <vt:variant>
        <vt:i4>1376311</vt:i4>
      </vt:variant>
      <vt:variant>
        <vt:i4>62</vt:i4>
      </vt:variant>
      <vt:variant>
        <vt:i4>0</vt:i4>
      </vt:variant>
      <vt:variant>
        <vt:i4>5</vt:i4>
      </vt:variant>
      <vt:variant>
        <vt:lpwstr/>
      </vt:variant>
      <vt:variant>
        <vt:lpwstr>_Toc464458280</vt:lpwstr>
      </vt:variant>
      <vt:variant>
        <vt:i4>1703991</vt:i4>
      </vt:variant>
      <vt:variant>
        <vt:i4>56</vt:i4>
      </vt:variant>
      <vt:variant>
        <vt:i4>0</vt:i4>
      </vt:variant>
      <vt:variant>
        <vt:i4>5</vt:i4>
      </vt:variant>
      <vt:variant>
        <vt:lpwstr/>
      </vt:variant>
      <vt:variant>
        <vt:lpwstr>_Toc464458279</vt:lpwstr>
      </vt:variant>
      <vt:variant>
        <vt:i4>1703991</vt:i4>
      </vt:variant>
      <vt:variant>
        <vt:i4>50</vt:i4>
      </vt:variant>
      <vt:variant>
        <vt:i4>0</vt:i4>
      </vt:variant>
      <vt:variant>
        <vt:i4>5</vt:i4>
      </vt:variant>
      <vt:variant>
        <vt:lpwstr/>
      </vt:variant>
      <vt:variant>
        <vt:lpwstr>_Toc464458278</vt:lpwstr>
      </vt:variant>
      <vt:variant>
        <vt:i4>1703991</vt:i4>
      </vt:variant>
      <vt:variant>
        <vt:i4>44</vt:i4>
      </vt:variant>
      <vt:variant>
        <vt:i4>0</vt:i4>
      </vt:variant>
      <vt:variant>
        <vt:i4>5</vt:i4>
      </vt:variant>
      <vt:variant>
        <vt:lpwstr/>
      </vt:variant>
      <vt:variant>
        <vt:lpwstr>_Toc464458277</vt:lpwstr>
      </vt:variant>
      <vt:variant>
        <vt:i4>1703991</vt:i4>
      </vt:variant>
      <vt:variant>
        <vt:i4>38</vt:i4>
      </vt:variant>
      <vt:variant>
        <vt:i4>0</vt:i4>
      </vt:variant>
      <vt:variant>
        <vt:i4>5</vt:i4>
      </vt:variant>
      <vt:variant>
        <vt:lpwstr/>
      </vt:variant>
      <vt:variant>
        <vt:lpwstr>_Toc464458276</vt:lpwstr>
      </vt:variant>
      <vt:variant>
        <vt:i4>1703991</vt:i4>
      </vt:variant>
      <vt:variant>
        <vt:i4>32</vt:i4>
      </vt:variant>
      <vt:variant>
        <vt:i4>0</vt:i4>
      </vt:variant>
      <vt:variant>
        <vt:i4>5</vt:i4>
      </vt:variant>
      <vt:variant>
        <vt:lpwstr/>
      </vt:variant>
      <vt:variant>
        <vt:lpwstr>_Toc464458275</vt:lpwstr>
      </vt:variant>
      <vt:variant>
        <vt:i4>1703991</vt:i4>
      </vt:variant>
      <vt:variant>
        <vt:i4>26</vt:i4>
      </vt:variant>
      <vt:variant>
        <vt:i4>0</vt:i4>
      </vt:variant>
      <vt:variant>
        <vt:i4>5</vt:i4>
      </vt:variant>
      <vt:variant>
        <vt:lpwstr/>
      </vt:variant>
      <vt:variant>
        <vt:lpwstr>_Toc464458274</vt:lpwstr>
      </vt:variant>
      <vt:variant>
        <vt:i4>1703991</vt:i4>
      </vt:variant>
      <vt:variant>
        <vt:i4>20</vt:i4>
      </vt:variant>
      <vt:variant>
        <vt:i4>0</vt:i4>
      </vt:variant>
      <vt:variant>
        <vt:i4>5</vt:i4>
      </vt:variant>
      <vt:variant>
        <vt:lpwstr/>
      </vt:variant>
      <vt:variant>
        <vt:lpwstr>_Toc464458273</vt:lpwstr>
      </vt:variant>
      <vt:variant>
        <vt:i4>1703991</vt:i4>
      </vt:variant>
      <vt:variant>
        <vt:i4>14</vt:i4>
      </vt:variant>
      <vt:variant>
        <vt:i4>0</vt:i4>
      </vt:variant>
      <vt:variant>
        <vt:i4>5</vt:i4>
      </vt:variant>
      <vt:variant>
        <vt:lpwstr/>
      </vt:variant>
      <vt:variant>
        <vt:lpwstr>_Toc464458272</vt:lpwstr>
      </vt:variant>
      <vt:variant>
        <vt:i4>1703991</vt:i4>
      </vt:variant>
      <vt:variant>
        <vt:i4>8</vt:i4>
      </vt:variant>
      <vt:variant>
        <vt:i4>0</vt:i4>
      </vt:variant>
      <vt:variant>
        <vt:i4>5</vt:i4>
      </vt:variant>
      <vt:variant>
        <vt:lpwstr/>
      </vt:variant>
      <vt:variant>
        <vt:lpwstr>_Toc464458271</vt:lpwstr>
      </vt:variant>
      <vt:variant>
        <vt:i4>3801180</vt:i4>
      </vt:variant>
      <vt:variant>
        <vt:i4>3</vt:i4>
      </vt:variant>
      <vt:variant>
        <vt:i4>0</vt:i4>
      </vt:variant>
      <vt:variant>
        <vt:i4>5</vt:i4>
      </vt:variant>
      <vt:variant>
        <vt:lpwstr>mailto:gp.gs@gov.si</vt:lpwstr>
      </vt:variant>
      <vt:variant>
        <vt:lpwstr/>
      </vt:variant>
      <vt:variant>
        <vt:i4>8061039</vt:i4>
      </vt:variant>
      <vt:variant>
        <vt:i4>0</vt:i4>
      </vt:variant>
      <vt:variant>
        <vt:i4>0</vt:i4>
      </vt:variant>
      <vt:variant>
        <vt:i4>5</vt:i4>
      </vt:variant>
      <vt:variant>
        <vt:lpwstr>http://www.mkgp.gov.si/si/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2022-12-09T08:48:00Z</dcterms:created>
  <dcterms:modified xsi:type="dcterms:W3CDTF">2023-02-26T21:15:00Z</dcterms:modified>
</cp:coreProperties>
</file>